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11A4" w14:textId="49E061F4" w:rsidR="00E8684A" w:rsidRPr="002C21B8" w:rsidRDefault="004665D9" w:rsidP="00B13123">
      <w:pPr>
        <w:pStyle w:val="Caption"/>
        <w:jc w:val="center"/>
        <w:rPr>
          <w:noProof w:val="0"/>
        </w:rPr>
      </w:pPr>
      <w:r w:rsidRPr="002C21B8">
        <w:rPr>
          <w:rFonts w:asciiTheme="majorBidi" w:hAnsiTheme="majorBidi" w:cstheme="majorBidi"/>
          <w:sz w:val="24"/>
          <w:szCs w:val="24"/>
          <w:lang w:eastAsia="zh-CN"/>
        </w:rPr>
        <w:drawing>
          <wp:inline distT="0" distB="0" distL="0" distR="0" wp14:anchorId="401AB438" wp14:editId="5B80955E">
            <wp:extent cx="2838450" cy="855924"/>
            <wp:effectExtent l="0" t="0" r="0" b="1905"/>
            <wp:docPr id="2" name="Picture 1" descr="C:\Users\ad1xxxdh\AppData\Local\Microsoft\Windows\INetCache\Content.Word\UOSLogo_Primary_Viole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1xxxdh\AppData\Local\Microsoft\Windows\INetCache\Content.Word\UOSLogo_Primary_Violet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4155" cy="863675"/>
                    </a:xfrm>
                    <a:prstGeom prst="rect">
                      <a:avLst/>
                    </a:prstGeom>
                    <a:noFill/>
                    <a:ln>
                      <a:noFill/>
                    </a:ln>
                  </pic:spPr>
                </pic:pic>
              </a:graphicData>
            </a:graphic>
          </wp:inline>
        </w:drawing>
      </w:r>
    </w:p>
    <w:p w14:paraId="34A49DCA" w14:textId="77777777" w:rsidR="00E8684A" w:rsidRPr="002C21B8" w:rsidRDefault="00E8684A" w:rsidP="003374F4"/>
    <w:p w14:paraId="75FEA292" w14:textId="77777777" w:rsidR="004665D9" w:rsidRPr="002C21B8" w:rsidRDefault="004665D9" w:rsidP="003374F4"/>
    <w:p w14:paraId="09FD48A9" w14:textId="559F02A6" w:rsidR="00E8684A" w:rsidRPr="002C21B8" w:rsidRDefault="00E8684A" w:rsidP="003374F4">
      <w:pPr>
        <w:pStyle w:val="Title"/>
        <w:rPr>
          <w:b/>
          <w:bCs/>
        </w:rPr>
      </w:pPr>
      <w:r w:rsidRPr="002C21B8">
        <w:rPr>
          <w:b/>
          <w:bCs/>
        </w:rPr>
        <w:t>Exploring variation in prescribing practices in rare diseases</w:t>
      </w:r>
      <w:r w:rsidR="002537DF" w:rsidRPr="002C21B8">
        <w:rPr>
          <w:b/>
          <w:bCs/>
        </w:rPr>
        <w:t xml:space="preserve">: the case of prescribing </w:t>
      </w:r>
      <w:r w:rsidR="002F0740" w:rsidRPr="002C21B8">
        <w:rPr>
          <w:b/>
          <w:bCs/>
        </w:rPr>
        <w:t>tolvaptan</w:t>
      </w:r>
      <w:r w:rsidR="002537DF" w:rsidRPr="002C21B8">
        <w:rPr>
          <w:b/>
          <w:bCs/>
        </w:rPr>
        <w:t xml:space="preserve"> for </w:t>
      </w:r>
      <w:r w:rsidR="000E44F5" w:rsidRPr="002C21B8">
        <w:rPr>
          <w:b/>
          <w:bCs/>
        </w:rPr>
        <w:t>autosomal dominant polycystic kidney disease</w:t>
      </w:r>
    </w:p>
    <w:p w14:paraId="1EE02486" w14:textId="77777777" w:rsidR="009B0F36" w:rsidRPr="002C21B8" w:rsidRDefault="009B0F36" w:rsidP="00971F94">
      <w:pPr>
        <w:jc w:val="center"/>
      </w:pPr>
    </w:p>
    <w:p w14:paraId="6E534F47" w14:textId="77777777" w:rsidR="003374F4" w:rsidRPr="002C21B8" w:rsidRDefault="003374F4" w:rsidP="00C02CAA">
      <w:pPr>
        <w:jc w:val="center"/>
      </w:pPr>
    </w:p>
    <w:p w14:paraId="2D99D3A6" w14:textId="6015970D" w:rsidR="00E8684A" w:rsidRPr="002C21B8" w:rsidRDefault="00E8684A" w:rsidP="00C02CAA">
      <w:pPr>
        <w:jc w:val="center"/>
        <w:rPr>
          <w:b/>
          <w:bCs/>
          <w:sz w:val="32"/>
          <w:szCs w:val="32"/>
        </w:rPr>
      </w:pPr>
      <w:r w:rsidRPr="002C21B8">
        <w:rPr>
          <w:b/>
          <w:bCs/>
          <w:sz w:val="32"/>
          <w:szCs w:val="32"/>
        </w:rPr>
        <w:t xml:space="preserve">Matthew </w:t>
      </w:r>
      <w:r w:rsidR="009B0F36" w:rsidRPr="002C21B8">
        <w:rPr>
          <w:b/>
          <w:bCs/>
          <w:sz w:val="32"/>
          <w:szCs w:val="32"/>
        </w:rPr>
        <w:t xml:space="preserve">John </w:t>
      </w:r>
      <w:r w:rsidRPr="002C21B8">
        <w:rPr>
          <w:b/>
          <w:bCs/>
          <w:sz w:val="32"/>
          <w:szCs w:val="32"/>
        </w:rPr>
        <w:t>Gittus</w:t>
      </w:r>
    </w:p>
    <w:p w14:paraId="56F2B853" w14:textId="77777777" w:rsidR="003374F4" w:rsidRPr="002C21B8" w:rsidRDefault="003374F4" w:rsidP="00C02CAA">
      <w:pPr>
        <w:jc w:val="center"/>
        <w:rPr>
          <w:sz w:val="28"/>
          <w:szCs w:val="28"/>
        </w:rPr>
      </w:pPr>
    </w:p>
    <w:p w14:paraId="38BF55B2" w14:textId="2CE4760B" w:rsidR="009B0F36" w:rsidRPr="002C21B8" w:rsidRDefault="009B0F36" w:rsidP="004665D9">
      <w:pPr>
        <w:spacing w:line="240" w:lineRule="auto"/>
        <w:jc w:val="center"/>
        <w:rPr>
          <w:sz w:val="28"/>
          <w:szCs w:val="28"/>
        </w:rPr>
      </w:pPr>
      <w:r w:rsidRPr="002C21B8">
        <w:rPr>
          <w:sz w:val="28"/>
          <w:szCs w:val="28"/>
        </w:rPr>
        <w:t xml:space="preserve">A thesis submitted in partial fulfilment of the requirements for the degree of </w:t>
      </w:r>
      <w:r w:rsidR="00C02CAA" w:rsidRPr="002C21B8">
        <w:rPr>
          <w:sz w:val="28"/>
          <w:szCs w:val="28"/>
        </w:rPr>
        <w:t xml:space="preserve">                </w:t>
      </w:r>
      <w:r w:rsidRPr="002C21B8">
        <w:rPr>
          <w:sz w:val="28"/>
          <w:szCs w:val="28"/>
        </w:rPr>
        <w:t>Doctor of Philosophy</w:t>
      </w:r>
    </w:p>
    <w:p w14:paraId="1C02953B" w14:textId="77777777" w:rsidR="009B0F36" w:rsidRPr="002C21B8" w:rsidRDefault="009B0F36" w:rsidP="004665D9">
      <w:pPr>
        <w:spacing w:line="240" w:lineRule="auto"/>
        <w:rPr>
          <w:sz w:val="28"/>
          <w:szCs w:val="28"/>
        </w:rPr>
      </w:pPr>
    </w:p>
    <w:p w14:paraId="793C1B42" w14:textId="77777777" w:rsidR="004665D9" w:rsidRPr="002C21B8" w:rsidRDefault="004665D9" w:rsidP="004665D9">
      <w:pPr>
        <w:spacing w:line="240" w:lineRule="auto"/>
        <w:rPr>
          <w:sz w:val="28"/>
          <w:szCs w:val="28"/>
        </w:rPr>
      </w:pPr>
    </w:p>
    <w:p w14:paraId="6104682E" w14:textId="2E7C7837" w:rsidR="003374F4" w:rsidRPr="002C21B8" w:rsidRDefault="009B0F36" w:rsidP="004665D9">
      <w:pPr>
        <w:spacing w:line="240" w:lineRule="auto"/>
        <w:jc w:val="center"/>
        <w:rPr>
          <w:sz w:val="28"/>
          <w:szCs w:val="28"/>
        </w:rPr>
      </w:pPr>
      <w:r w:rsidRPr="002C21B8">
        <w:rPr>
          <w:sz w:val="28"/>
          <w:szCs w:val="28"/>
        </w:rPr>
        <w:t>The University of Sheffield</w:t>
      </w:r>
    </w:p>
    <w:p w14:paraId="2DC91771" w14:textId="781CAF11" w:rsidR="003374F4" w:rsidRPr="002C21B8" w:rsidRDefault="009B0F36" w:rsidP="004665D9">
      <w:pPr>
        <w:spacing w:line="240" w:lineRule="auto"/>
        <w:jc w:val="center"/>
        <w:rPr>
          <w:sz w:val="28"/>
          <w:szCs w:val="28"/>
        </w:rPr>
      </w:pPr>
      <w:r w:rsidRPr="002C21B8">
        <w:rPr>
          <w:sz w:val="28"/>
          <w:szCs w:val="28"/>
        </w:rPr>
        <w:t>Sheffield Centre for Health and Related Research (SCHARR)</w:t>
      </w:r>
    </w:p>
    <w:p w14:paraId="6D40E65C" w14:textId="77777777" w:rsidR="005C3B67" w:rsidRPr="002C21B8" w:rsidRDefault="009B0F36" w:rsidP="004665D9">
      <w:pPr>
        <w:spacing w:line="240" w:lineRule="auto"/>
        <w:jc w:val="center"/>
        <w:rPr>
          <w:sz w:val="28"/>
          <w:szCs w:val="28"/>
        </w:rPr>
      </w:pPr>
      <w:r w:rsidRPr="002C21B8">
        <w:rPr>
          <w:sz w:val="28"/>
          <w:szCs w:val="28"/>
        </w:rPr>
        <w:t>School of Medicine and Population Health</w:t>
      </w:r>
    </w:p>
    <w:p w14:paraId="157B5344" w14:textId="77777777" w:rsidR="00971F94" w:rsidRPr="002C21B8" w:rsidRDefault="00971F94" w:rsidP="004665D9">
      <w:pPr>
        <w:spacing w:line="240" w:lineRule="auto"/>
        <w:rPr>
          <w:sz w:val="28"/>
          <w:szCs w:val="28"/>
        </w:rPr>
      </w:pPr>
    </w:p>
    <w:p w14:paraId="4318CD09" w14:textId="77777777" w:rsidR="004665D9" w:rsidRPr="002C21B8" w:rsidRDefault="004665D9" w:rsidP="004665D9">
      <w:pPr>
        <w:spacing w:line="240" w:lineRule="auto"/>
        <w:rPr>
          <w:sz w:val="28"/>
          <w:szCs w:val="28"/>
        </w:rPr>
      </w:pPr>
    </w:p>
    <w:p w14:paraId="2F690686" w14:textId="0B498C21" w:rsidR="00C02CAA" w:rsidRPr="002C21B8" w:rsidRDefault="00971F94" w:rsidP="004665D9">
      <w:pPr>
        <w:spacing w:line="240" w:lineRule="auto"/>
        <w:jc w:val="center"/>
        <w:rPr>
          <w:sz w:val="28"/>
          <w:szCs w:val="28"/>
        </w:rPr>
      </w:pPr>
      <w:r w:rsidRPr="002C21B8">
        <w:rPr>
          <w:sz w:val="28"/>
          <w:szCs w:val="28"/>
        </w:rPr>
        <w:t>Submission</w:t>
      </w:r>
      <w:r w:rsidR="00C02CAA" w:rsidRPr="002C21B8">
        <w:rPr>
          <w:sz w:val="28"/>
          <w:szCs w:val="28"/>
        </w:rPr>
        <w:t xml:space="preserve"> date: 1</w:t>
      </w:r>
      <w:r w:rsidR="001B07FC" w:rsidRPr="002C21B8">
        <w:rPr>
          <w:sz w:val="28"/>
          <w:szCs w:val="28"/>
        </w:rPr>
        <w:t>5</w:t>
      </w:r>
      <w:r w:rsidR="00C02CAA" w:rsidRPr="002C21B8">
        <w:rPr>
          <w:sz w:val="28"/>
          <w:szCs w:val="28"/>
        </w:rPr>
        <w:t xml:space="preserve"> May 2026</w:t>
      </w:r>
    </w:p>
    <w:p w14:paraId="61D65DE5" w14:textId="77777777" w:rsidR="00C02CAA" w:rsidRPr="002C21B8" w:rsidRDefault="00C02CAA" w:rsidP="00C02CAA">
      <w:pPr>
        <w:rPr>
          <w:rFonts w:ascii="Source Sans Pro" w:hAnsi="Source Sans Pro" w:cstheme="majorBidi"/>
          <w:sz w:val="24"/>
          <w:szCs w:val="24"/>
        </w:rPr>
      </w:pPr>
    </w:p>
    <w:p w14:paraId="6182EB00" w14:textId="77777777" w:rsidR="0029797A" w:rsidRPr="002C21B8" w:rsidRDefault="0029797A" w:rsidP="0029797A">
      <w:pPr>
        <w:pStyle w:val="Heading1"/>
        <w:numPr>
          <w:ilvl w:val="0"/>
          <w:numId w:val="0"/>
        </w:numPr>
        <w:ind w:left="1"/>
      </w:pPr>
      <w:bookmarkStart w:id="0" w:name="_Toc229687181"/>
      <w:r w:rsidRPr="002C21B8">
        <w:lastRenderedPageBreak/>
        <w:t>Acknowledgements</w:t>
      </w:r>
      <w:bookmarkEnd w:id="0"/>
    </w:p>
    <w:p w14:paraId="7CE2691F" w14:textId="72DD38CC" w:rsidR="00327BE7" w:rsidRPr="002C21B8" w:rsidRDefault="00327BE7" w:rsidP="00327BE7">
      <w:pPr>
        <w:spacing w:before="240"/>
      </w:pPr>
      <w:r w:rsidRPr="002C21B8">
        <w:t>I thank my supervisors</w:t>
      </w:r>
      <w:r w:rsidR="00B24322" w:rsidRPr="002C21B8">
        <w:t>,</w:t>
      </w:r>
      <w:r w:rsidRPr="002C21B8">
        <w:t xml:space="preserve"> James Fotheringham for his invaluable guidance and commitment to fostering independent thinking; Alicia O’Cathain for her expertise in mixed methods research and gentle encouragement throughout; and Albert Ong for provid</w:t>
      </w:r>
      <w:r w:rsidR="00A9597F" w:rsidRPr="002C21B8">
        <w:t>ing</w:t>
      </w:r>
      <w:r w:rsidRPr="002C21B8">
        <w:t xml:space="preserve"> his </w:t>
      </w:r>
      <w:r w:rsidR="00E3004B" w:rsidRPr="002C21B8">
        <w:t xml:space="preserve">vast </w:t>
      </w:r>
      <w:r w:rsidR="00DF245E" w:rsidRPr="002C21B8">
        <w:t>experience</w:t>
      </w:r>
      <w:r w:rsidRPr="002C21B8">
        <w:t xml:space="preserve"> and knowledge of ADPKD.</w:t>
      </w:r>
    </w:p>
    <w:p w14:paraId="4F9619B9" w14:textId="0C7CCFD6" w:rsidR="008214DB" w:rsidRPr="002C21B8" w:rsidRDefault="006E5134" w:rsidP="0029797A">
      <w:r w:rsidRPr="002C21B8">
        <w:t>Thanks should</w:t>
      </w:r>
      <w:r w:rsidR="000D24AA" w:rsidRPr="002C21B8">
        <w:t xml:space="preserve"> go to the participating kidney centres</w:t>
      </w:r>
      <w:r w:rsidR="00291E17" w:rsidRPr="002C21B8">
        <w:t>,</w:t>
      </w:r>
      <w:r w:rsidR="000D24AA" w:rsidRPr="002C21B8">
        <w:t xml:space="preserve"> as this research would not have been possible without their support. I am particularly grateful to the lead clinicians and their wider healthcare teams who contributed their time to participate in the </w:t>
      </w:r>
      <w:r w:rsidR="00327BE7" w:rsidRPr="002C21B8">
        <w:t>multiple case study</w:t>
      </w:r>
      <w:r w:rsidR="000D24AA" w:rsidRPr="002C21B8">
        <w:t>. Especially, as th</w:t>
      </w:r>
      <w:r w:rsidR="000F3D58" w:rsidRPr="002C21B8">
        <w:t xml:space="preserve">is </w:t>
      </w:r>
      <w:r w:rsidR="000D24AA" w:rsidRPr="002C21B8">
        <w:t>involved them discussing their practices</w:t>
      </w:r>
      <w:r w:rsidR="00B12C5C" w:rsidRPr="002C21B8">
        <w:t>,</w:t>
      </w:r>
      <w:r w:rsidR="000D24AA" w:rsidRPr="002C21B8">
        <w:t xml:space="preserve"> which I appreciate may have been challenging at times. I am also thankful to the people with ADPKD who provided their data to the RaDaR database, agreed to their appointments being observed</w:t>
      </w:r>
      <w:r w:rsidR="00B12C5C" w:rsidRPr="002C21B8">
        <w:t>,</w:t>
      </w:r>
      <w:r w:rsidR="000D24AA" w:rsidRPr="002C21B8">
        <w:t xml:space="preserve"> and participated in the PPI group.</w:t>
      </w:r>
    </w:p>
    <w:p w14:paraId="2A344E39" w14:textId="141E7060" w:rsidR="008214DB" w:rsidRPr="002C21B8" w:rsidRDefault="006C4E5C" w:rsidP="0029797A">
      <w:r w:rsidRPr="002C21B8">
        <w:t xml:space="preserve">Special thanks should be given to the </w:t>
      </w:r>
      <w:r w:rsidR="008214DB" w:rsidRPr="002C21B8">
        <w:t>National Registry of Rare Kidney Diseases (RaDaR) team</w:t>
      </w:r>
      <w:r w:rsidRPr="002C21B8">
        <w:t xml:space="preserve"> for allowing me to use their data</w:t>
      </w:r>
      <w:r w:rsidR="00CE4E2D" w:rsidRPr="002C21B8">
        <w:t>base</w:t>
      </w:r>
      <w:r w:rsidR="008214DB" w:rsidRPr="002C21B8">
        <w:t>, and specifically</w:t>
      </w:r>
      <w:r w:rsidR="00291E17" w:rsidRPr="002C21B8">
        <w:t xml:space="preserve"> to</w:t>
      </w:r>
      <w:r w:rsidR="008214DB" w:rsidRPr="002C21B8">
        <w:t xml:space="preserve"> David Pitcher, for his time and expertise in supporting the statistical analysis.</w:t>
      </w:r>
      <w:r w:rsidR="00B12C5C" w:rsidRPr="002C21B8">
        <w:t xml:space="preserve"> I would also like to </w:t>
      </w:r>
      <w:r w:rsidR="00D63680" w:rsidRPr="002C21B8">
        <w:t xml:space="preserve">thank </w:t>
      </w:r>
      <w:r w:rsidR="00B12C5C" w:rsidRPr="002C21B8">
        <w:t xml:space="preserve">Louese Dunn and Sam Walmsley from the Sheffield Clinical Research team </w:t>
      </w:r>
      <w:r w:rsidR="00D63680" w:rsidRPr="002C21B8">
        <w:t xml:space="preserve">for their support </w:t>
      </w:r>
      <w:r w:rsidR="00B12C5C" w:rsidRPr="002C21B8">
        <w:t>during the application for ethical approval.</w:t>
      </w:r>
    </w:p>
    <w:p w14:paraId="46C5B8B8" w14:textId="2E617792" w:rsidR="00B20756" w:rsidRPr="002C21B8" w:rsidRDefault="004A1260" w:rsidP="0029797A">
      <w:r w:rsidRPr="002C21B8">
        <w:t xml:space="preserve">Additionally, I would like to acknowledge the financial support from </w:t>
      </w:r>
      <w:r w:rsidR="00B20756" w:rsidRPr="002C21B8">
        <w:t>The Healthcare Improvement Studies (THIS) Institute</w:t>
      </w:r>
      <w:r w:rsidR="00704D41" w:rsidRPr="002C21B8">
        <w:t>, which made this research possible.</w:t>
      </w:r>
    </w:p>
    <w:p w14:paraId="4B6B6EFD" w14:textId="2ED7C85F" w:rsidR="00B20756" w:rsidRPr="002C21B8" w:rsidRDefault="008668A4" w:rsidP="0029797A">
      <w:r w:rsidRPr="002C21B8">
        <w:t>And finally, I would like to express my gratitude to my mother for the strong foundation</w:t>
      </w:r>
      <w:r w:rsidR="002865B5" w:rsidRPr="002C21B8">
        <w:t>,</w:t>
      </w:r>
      <w:r w:rsidRPr="002C21B8">
        <w:t xml:space="preserve"> and her unwavering belief in me. Thanks should also go to my </w:t>
      </w:r>
      <w:r w:rsidR="00B12C5C" w:rsidRPr="002C21B8">
        <w:t>partner</w:t>
      </w:r>
      <w:r w:rsidR="00DF245E" w:rsidRPr="002C21B8">
        <w:t>,</w:t>
      </w:r>
      <w:r w:rsidR="00B12C5C" w:rsidRPr="002C21B8">
        <w:t xml:space="preserve"> Gavin, </w:t>
      </w:r>
      <w:r w:rsidR="00B20756" w:rsidRPr="002C21B8">
        <w:t>for h</w:t>
      </w:r>
      <w:r w:rsidR="006D0055" w:rsidRPr="002C21B8">
        <w:t>is seemingly endless patience and understanding. I could not have done this without you.</w:t>
      </w:r>
    </w:p>
    <w:p w14:paraId="7B07800C" w14:textId="77777777" w:rsidR="0029797A" w:rsidRPr="002C21B8" w:rsidRDefault="0029797A" w:rsidP="0029797A">
      <w:pPr>
        <w:sectPr w:rsidR="0029797A" w:rsidRPr="002C21B8" w:rsidSect="0029797A">
          <w:headerReference w:type="default" r:id="rId9"/>
          <w:footerReference w:type="even" r:id="rId10"/>
          <w:footerReference w:type="default" r:id="rId11"/>
          <w:footerReference w:type="first" r:id="rId12"/>
          <w:pgSz w:w="11906" w:h="16838"/>
          <w:pgMar w:top="1440" w:right="1440" w:bottom="1440" w:left="1440" w:header="708" w:footer="708" w:gutter="0"/>
          <w:cols w:space="708"/>
          <w:titlePg/>
          <w:docGrid w:linePitch="360"/>
        </w:sectPr>
      </w:pPr>
    </w:p>
    <w:p w14:paraId="72F50BC6" w14:textId="77777777" w:rsidR="0029797A" w:rsidRPr="002C21B8" w:rsidRDefault="0029797A" w:rsidP="0029797A">
      <w:pPr>
        <w:pStyle w:val="Heading1"/>
        <w:numPr>
          <w:ilvl w:val="0"/>
          <w:numId w:val="0"/>
        </w:numPr>
        <w:spacing w:before="120"/>
      </w:pPr>
      <w:bookmarkStart w:id="1" w:name="_Toc229687182"/>
      <w:r w:rsidRPr="002C21B8">
        <w:lastRenderedPageBreak/>
        <w:t>Abstract</w:t>
      </w:r>
      <w:bookmarkEnd w:id="1"/>
    </w:p>
    <w:p w14:paraId="3DD1ABA8" w14:textId="77777777" w:rsidR="0029797A" w:rsidRPr="002C21B8" w:rsidRDefault="0029797A" w:rsidP="0029797A">
      <w:pPr>
        <w:spacing w:after="120" w:line="240" w:lineRule="auto"/>
        <w:rPr>
          <w:b/>
          <w:bCs/>
          <w:sz w:val="32"/>
          <w:szCs w:val="32"/>
        </w:rPr>
      </w:pPr>
      <w:r w:rsidRPr="002C21B8">
        <w:rPr>
          <w:b/>
          <w:bCs/>
          <w:sz w:val="32"/>
          <w:szCs w:val="32"/>
        </w:rPr>
        <w:t>Background</w:t>
      </w:r>
    </w:p>
    <w:p w14:paraId="2FB3281F" w14:textId="77777777" w:rsidR="0029797A" w:rsidRPr="002C21B8" w:rsidRDefault="0029797A" w:rsidP="0029797A">
      <w:pPr>
        <w:spacing w:after="160"/>
      </w:pPr>
      <w:r w:rsidRPr="002C21B8">
        <w:t>Rare diseases pose a challenge to healthcare systems. Autosomal dominant polycystic kidney disease (ADPKD) is a rare kidney disease that has a single disease-modifying therapy, tolvaptan. However, its use varies between UK kidney centres. Little is known about how clinicians make prescribing decisions in ADPKD. This study examined variation in tolvaptan prescribing and factors influencing decision-making across UK kidney centres.</w:t>
      </w:r>
    </w:p>
    <w:p w14:paraId="0716E9CF" w14:textId="77777777" w:rsidR="0029797A" w:rsidRPr="002C21B8" w:rsidRDefault="0029797A" w:rsidP="0029797A">
      <w:pPr>
        <w:spacing w:before="120" w:after="120" w:line="240" w:lineRule="auto"/>
        <w:rPr>
          <w:b/>
          <w:bCs/>
          <w:sz w:val="32"/>
          <w:szCs w:val="32"/>
        </w:rPr>
      </w:pPr>
      <w:r w:rsidRPr="002C21B8">
        <w:rPr>
          <w:b/>
          <w:bCs/>
          <w:sz w:val="32"/>
          <w:szCs w:val="32"/>
        </w:rPr>
        <w:t>Methods</w:t>
      </w:r>
    </w:p>
    <w:p w14:paraId="151454B0" w14:textId="77777777" w:rsidR="0029797A" w:rsidRPr="002C21B8" w:rsidRDefault="0029797A" w:rsidP="0029797A">
      <w:pPr>
        <w:spacing w:after="160"/>
      </w:pPr>
      <w:r w:rsidRPr="002C21B8">
        <w:t>This mixed-methods study had four phases. An overview of 26 systematic reviews was conducted to adapt a conceptual model of prescribing decision-making to chronic conditions. ADPKD registry data was used to identify variation in tolvaptan prescribing across UK kidney centres. A multiple case study of three kidney centres was conducted with 12 interviews, 23 observations and 8 documents to explore reasons for this variation; the conceptual model was then refined for rare diseases. The final phase was a national survey to measure the extent to which these factors varied between centres.</w:t>
      </w:r>
    </w:p>
    <w:p w14:paraId="4801970A" w14:textId="77777777" w:rsidR="0029797A" w:rsidRPr="002C21B8" w:rsidRDefault="0029797A" w:rsidP="0029797A">
      <w:pPr>
        <w:spacing w:before="120" w:after="120" w:line="240" w:lineRule="auto"/>
        <w:rPr>
          <w:b/>
          <w:bCs/>
          <w:sz w:val="32"/>
          <w:szCs w:val="32"/>
        </w:rPr>
      </w:pPr>
      <w:r w:rsidRPr="002C21B8">
        <w:rPr>
          <w:b/>
          <w:bCs/>
          <w:sz w:val="32"/>
          <w:szCs w:val="32"/>
        </w:rPr>
        <w:t>Results</w:t>
      </w:r>
    </w:p>
    <w:p w14:paraId="000C2FD5" w14:textId="77777777" w:rsidR="0029797A" w:rsidRPr="002C21B8" w:rsidRDefault="0029797A" w:rsidP="0029797A">
      <w:pPr>
        <w:spacing w:after="160"/>
      </w:pPr>
      <w:r w:rsidRPr="002C21B8">
        <w:t>The overview identified factors relevant to prescribing decision-making in chronic conditions. Registry data showed variation in tolvaptan prescribing between kidney centres, mainly in initiation among eligible patients. The multiple case study suggested that variation arose from multiple interacting factors. Service configuration appeared to shape patient identification, eligibility assessment and initiation. Dedicated tolvaptan clinics improved coordination of prescribing. Although national guidelines define eligibility, centres varied in which criteria were used and how they were applied. Clinical leadership shaped prescribing norms. Pharmacist involvement appeared to increase guideline-adherence. How risks were communicated to patients varied and appeared to influence patient uptake. Survey data demonstrated variation across centres in all these factors.</w:t>
      </w:r>
    </w:p>
    <w:p w14:paraId="6E939FA5" w14:textId="77777777" w:rsidR="0029797A" w:rsidRPr="002C21B8" w:rsidRDefault="0029797A" w:rsidP="0029797A">
      <w:pPr>
        <w:spacing w:before="120" w:after="120" w:line="240" w:lineRule="auto"/>
        <w:rPr>
          <w:b/>
          <w:bCs/>
          <w:sz w:val="32"/>
          <w:szCs w:val="32"/>
        </w:rPr>
      </w:pPr>
      <w:r w:rsidRPr="002C21B8">
        <w:rPr>
          <w:b/>
          <w:bCs/>
          <w:sz w:val="32"/>
          <w:szCs w:val="32"/>
        </w:rPr>
        <w:t>Conclusions</w:t>
      </w:r>
    </w:p>
    <w:p w14:paraId="1D677C1B" w14:textId="17CED609" w:rsidR="00B23467" w:rsidRPr="002C21B8" w:rsidRDefault="00B23467" w:rsidP="00B23467">
      <w:r w:rsidRPr="002C21B8">
        <w:t xml:space="preserve">Variation in tolvaptan prescribing for ADPKD between UK kidney centres appears to be influenced by differences in service configuration, clinical leadership, and local interpretation of eligibility criteria. This suggests that both system and clinician-level factors </w:t>
      </w:r>
      <w:r w:rsidR="008D0F27" w:rsidRPr="002C21B8">
        <w:t xml:space="preserve">may </w:t>
      </w:r>
      <w:r w:rsidR="006026B5" w:rsidRPr="002C21B8">
        <w:t>s</w:t>
      </w:r>
      <w:r w:rsidRPr="002C21B8">
        <w:t>hape prescribing decision-making in rare diseases and contribute to unwarranted variation in practice.</w:t>
      </w:r>
    </w:p>
    <w:p w14:paraId="30606FA9" w14:textId="67D9EEAC" w:rsidR="0029797A" w:rsidRPr="002C21B8" w:rsidRDefault="0029797A" w:rsidP="0029797A">
      <w:pPr>
        <w:spacing w:after="160"/>
      </w:pPr>
      <w:r w:rsidRPr="002C21B8">
        <w:br w:type="page"/>
      </w:r>
    </w:p>
    <w:p w14:paraId="7EA86B1A" w14:textId="77777777" w:rsidR="0029797A" w:rsidRPr="002C21B8" w:rsidRDefault="0029797A" w:rsidP="0029797A">
      <w:pPr>
        <w:pStyle w:val="Heading1"/>
        <w:numPr>
          <w:ilvl w:val="0"/>
          <w:numId w:val="0"/>
        </w:numPr>
        <w:ind w:left="1"/>
      </w:pPr>
      <w:bookmarkStart w:id="2" w:name="_Toc229687183"/>
      <w:r w:rsidRPr="002C21B8">
        <w:lastRenderedPageBreak/>
        <w:t>Plain language summary</w:t>
      </w:r>
      <w:bookmarkEnd w:id="2"/>
    </w:p>
    <w:p w14:paraId="1E21B3F1" w14:textId="77777777" w:rsidR="0029797A" w:rsidRPr="002C21B8" w:rsidRDefault="0029797A" w:rsidP="0029797A">
      <w:pPr>
        <w:spacing w:after="0"/>
        <w:rPr>
          <w:b/>
          <w:bCs/>
          <w:sz w:val="32"/>
          <w:szCs w:val="32"/>
        </w:rPr>
      </w:pPr>
      <w:r w:rsidRPr="002C21B8">
        <w:rPr>
          <w:b/>
          <w:bCs/>
          <w:sz w:val="32"/>
          <w:szCs w:val="32"/>
        </w:rPr>
        <w:t>Background and aims of the research</w:t>
      </w:r>
    </w:p>
    <w:p w14:paraId="0E00E2D2" w14:textId="77777777" w:rsidR="0029797A" w:rsidRPr="002C21B8" w:rsidRDefault="0029797A" w:rsidP="0029797A">
      <w:r w:rsidRPr="002C21B8">
        <w:t>Rare diseases are health problems that affect only a small number of people. For a health problem to be called a rare disease, it has to affect fewer than 1 in 2,000 people. They can be challenging for healthcare systems because there is often limited research into these health problems and some clinicians see people with them less often so can be less experienced.</w:t>
      </w:r>
    </w:p>
    <w:p w14:paraId="530A4397" w14:textId="59A9C310" w:rsidR="0029797A" w:rsidRPr="002C21B8" w:rsidRDefault="0029797A" w:rsidP="0029797A">
      <w:r w:rsidRPr="002C21B8">
        <w:t>Autosomal dominant polycystic kidney disease (ADPKD) is a rare kidney disease that is passed down through families. It causes fluid-filled sacs, called cysts, to grow in the kidneys. Over time, more cysts form and the ones already in the kidneys grow larger. This can damage the kidneys and reduce how well they work. For many people, this can cause the kidneys to stop working altogether (kidney failure). A medi</w:t>
      </w:r>
      <w:r w:rsidR="00F0235A" w:rsidRPr="002C21B8">
        <w:t>cation</w:t>
      </w:r>
      <w:r w:rsidRPr="002C21B8">
        <w:t xml:space="preserve"> called tolvaptan can slow this process in some people, but it is not suitable for everyone.</w:t>
      </w:r>
    </w:p>
    <w:p w14:paraId="4BCFE5A0" w14:textId="08272A94" w:rsidR="0029797A" w:rsidRPr="002C21B8" w:rsidRDefault="0029797A" w:rsidP="0029797A">
      <w:r w:rsidRPr="002C21B8">
        <w:t>In the UK, kidney centres seem to use tolvaptan in different ways. It is not clear why this happens or how clinicians decide whether to prescribe tolvaptan. This study aimed to learn how these decisions are made and why prescribing may vary between kidney centres. Knowing this may also help explain how clinicians decide whether to prescribe medi</w:t>
      </w:r>
      <w:r w:rsidR="007F1949" w:rsidRPr="002C21B8">
        <w:t>cation</w:t>
      </w:r>
      <w:r w:rsidRPr="002C21B8">
        <w:t>s for people with other rare diseases.</w:t>
      </w:r>
    </w:p>
    <w:p w14:paraId="01A908F0" w14:textId="77777777" w:rsidR="0029797A" w:rsidRPr="002C21B8" w:rsidRDefault="0029797A" w:rsidP="0029797A">
      <w:pPr>
        <w:spacing w:before="240" w:after="0"/>
        <w:rPr>
          <w:b/>
          <w:bCs/>
          <w:sz w:val="32"/>
          <w:szCs w:val="32"/>
        </w:rPr>
      </w:pPr>
      <w:r w:rsidRPr="002C21B8">
        <w:rPr>
          <w:b/>
          <w:bCs/>
          <w:sz w:val="32"/>
          <w:szCs w:val="32"/>
        </w:rPr>
        <w:t>Design and methods</w:t>
      </w:r>
    </w:p>
    <w:p w14:paraId="4CC8A28C" w14:textId="08F7ED95" w:rsidR="0029797A" w:rsidRPr="002C21B8" w:rsidRDefault="0029797A" w:rsidP="0029797A">
      <w:r w:rsidRPr="002C21B8">
        <w:t>This research had four main parts. First, it looked at how clinicians decide whether to prescribe medi</w:t>
      </w:r>
      <w:r w:rsidR="007F1949" w:rsidRPr="002C21B8">
        <w:t>cations</w:t>
      </w:r>
      <w:r w:rsidRPr="002C21B8">
        <w:t xml:space="preserve"> for long-term health problems like diabetes and high blood pressure. This helped guide the other parts of the research. Second, national data was used to see how tolvaptan is prescribed to people with ADPKD and whether there are differences between kidney centres. Third, three kidney centres were visited to see how they prescribe tolvaptan. This was done by talking to clinicians, observing appointments between clinicians and people with ADPKD, and looking at documents that are used to help clinicians make decisions. Finally, a survey was sent to all the kidney centres in the UK to ask questions about their centre and how they prescribe tolvaptan.</w:t>
      </w:r>
    </w:p>
    <w:p w14:paraId="4810BA03" w14:textId="77777777" w:rsidR="0029797A" w:rsidRPr="002C21B8" w:rsidRDefault="0029797A" w:rsidP="0029797A">
      <w:pPr>
        <w:spacing w:before="240" w:after="0"/>
        <w:rPr>
          <w:b/>
          <w:bCs/>
          <w:sz w:val="32"/>
          <w:szCs w:val="32"/>
        </w:rPr>
      </w:pPr>
      <w:r w:rsidRPr="002C21B8">
        <w:rPr>
          <w:b/>
          <w:bCs/>
          <w:sz w:val="32"/>
          <w:szCs w:val="32"/>
        </w:rPr>
        <w:t>What was found?</w:t>
      </w:r>
    </w:p>
    <w:p w14:paraId="44BCF2A3" w14:textId="12959E25" w:rsidR="0029797A" w:rsidRPr="002C21B8" w:rsidRDefault="0029797A" w:rsidP="0029797A">
      <w:pPr>
        <w:tabs>
          <w:tab w:val="left" w:pos="7991"/>
        </w:tabs>
      </w:pPr>
      <w:r w:rsidRPr="002C21B8">
        <w:t>Looking at the evidence from other long-term health problems showed that clinicians’ decisions to prescribe med</w:t>
      </w:r>
      <w:r w:rsidR="00A856BE" w:rsidRPr="002C21B8">
        <w:t>ication</w:t>
      </w:r>
      <w:r w:rsidRPr="002C21B8">
        <w:t>s are influenced by many different factors. These included things like who the patient is, how clinicians weigh up the risks and benefits, clinicians’ experience, workload in the clinic, costs of the medi</w:t>
      </w:r>
      <w:r w:rsidR="00A856BE" w:rsidRPr="002C21B8">
        <w:t>cation</w:t>
      </w:r>
      <w:r w:rsidRPr="002C21B8">
        <w:t>, and external factors like guidelines and expert advice.</w:t>
      </w:r>
    </w:p>
    <w:p w14:paraId="1FB5201F" w14:textId="77777777" w:rsidR="0029797A" w:rsidRPr="002C21B8" w:rsidRDefault="0029797A" w:rsidP="0029797A">
      <w:r w:rsidRPr="002C21B8">
        <w:lastRenderedPageBreak/>
        <w:t>The national data showed that there were differences between centres in how tolvaptan was prescribed to people with ADPKD. There were a large number of people who could be prescribed tolvaptan but did not start on it. Some kidney centres started more people on tolvaptan than expected, while others did so less often. There were also people who were not supposed to be prescribed tolvaptan according to the guidelines but were prescribed it, but this number was smaller. Most kidney centres prescribed tolvaptan in a similar way for this group of people.</w:t>
      </w:r>
    </w:p>
    <w:p w14:paraId="029E14FD" w14:textId="77777777" w:rsidR="0029797A" w:rsidRPr="002C21B8" w:rsidRDefault="0029797A" w:rsidP="0029797A">
      <w:r w:rsidRPr="002C21B8">
        <w:t>The main difference between the three kidney centres that were visited was how people were assessed to decide whether they could start tolvaptan. These differences seemed to be driven by the structure of the clinics, how doctors and other clinicians made decisions, and how information was given to people with ADPKD.</w:t>
      </w:r>
    </w:p>
    <w:p w14:paraId="0597EB94" w14:textId="77777777" w:rsidR="0029797A" w:rsidRPr="002C21B8" w:rsidRDefault="0029797A" w:rsidP="0029797A">
      <w:r w:rsidRPr="002C21B8">
        <w:t>Kidney centres with separate tolvaptan clinics seemed to be more organised. This made it easier to deliver the treatment and more likely that it would be prescribed in the same way. This involved sharing prescribing responsibilities across the team to make the treatment easier to deliver.</w:t>
      </w:r>
    </w:p>
    <w:p w14:paraId="3035530D" w14:textId="77777777" w:rsidR="0029797A" w:rsidRPr="002C21B8" w:rsidRDefault="0029797A" w:rsidP="0029797A">
      <w:r w:rsidRPr="002C21B8">
        <w:t>Clinicians at the kidney centres used the same guidelines to help them make decisions. However, the tests used to decide whether someone can take tolvaptan were different across the three kidney centres. This was based on the opinions of the senior doctor and whether the test was available. Leadership played an important role in shaping how often tolvaptan was offered and how quickly kidney centres started using it after it was available to be prescribed. Involving pharmacists and other members of the healthcare team helped make sure prescribing was done in a similar way within a kidney centre. How doctors and other members of the healthcare team spoke to people with ADPKD about tolvaptan affected whether, and when, they would start it. Finally, kidney centres that look at how they prescribe tolvaptan to people with ADPKD in a structured way (through audits) have an opportunity to learn from and improve their practice.</w:t>
      </w:r>
    </w:p>
    <w:p w14:paraId="08BFF2BD" w14:textId="77777777" w:rsidR="0029797A" w:rsidRPr="002C21B8" w:rsidRDefault="0029797A" w:rsidP="0029797A">
      <w:r w:rsidRPr="002C21B8">
        <w:t>Findings from the survey showed similar differences between the three kidney centres to kidney centres across the UK. This suggests that the patterns in how tolvaptan is prescribed, and what caused these differences between the three kidney centres, may also be relevant to these other centres.</w:t>
      </w:r>
    </w:p>
    <w:p w14:paraId="46CFE067" w14:textId="77777777" w:rsidR="0029797A" w:rsidRPr="002C21B8" w:rsidRDefault="0029797A" w:rsidP="0029797A">
      <w:pPr>
        <w:spacing w:before="240" w:after="0"/>
        <w:rPr>
          <w:b/>
          <w:bCs/>
          <w:sz w:val="32"/>
          <w:szCs w:val="32"/>
        </w:rPr>
      </w:pPr>
      <w:r w:rsidRPr="002C21B8">
        <w:rPr>
          <w:b/>
          <w:bCs/>
          <w:sz w:val="32"/>
          <w:szCs w:val="32"/>
        </w:rPr>
        <w:t>What does this mean?</w:t>
      </w:r>
    </w:p>
    <w:p w14:paraId="3FD65BC1" w14:textId="3F289A92" w:rsidR="00C02CAA" w:rsidRPr="002C21B8" w:rsidRDefault="0029797A" w:rsidP="00C02CAA">
      <w:pPr>
        <w:rPr>
          <w:rFonts w:ascii="Source Sans Pro" w:hAnsi="Source Sans Pro" w:cstheme="majorBidi"/>
          <w:sz w:val="24"/>
          <w:szCs w:val="24"/>
        </w:rPr>
      </w:pPr>
      <w:r w:rsidRPr="002C21B8">
        <w:t>How the clinic is structured, which tests are used to decide if someone can take tolvaptan, and who is making decisions, appear to explain differences in how tolvaptan is prescribed in kidney centres.</w:t>
      </w:r>
    </w:p>
    <w:p w14:paraId="45BB17E5" w14:textId="6452B85E" w:rsidR="005C3B67" w:rsidRPr="002C21B8" w:rsidRDefault="005C3B67" w:rsidP="00C02CAA">
      <w:pPr>
        <w:spacing w:after="0"/>
        <w:jc w:val="left"/>
        <w:rPr>
          <w:b/>
          <w:bCs/>
        </w:rPr>
      </w:pPr>
      <w:r w:rsidRPr="002C21B8">
        <w:rPr>
          <w:b/>
          <w:bCs/>
        </w:rPr>
        <w:br w:type="page"/>
      </w:r>
    </w:p>
    <w:p w14:paraId="3CFAC1B8" w14:textId="08137076" w:rsidR="000E1881" w:rsidRPr="002C21B8" w:rsidRDefault="0029797A" w:rsidP="00050E9E">
      <w:pPr>
        <w:pStyle w:val="Heading1"/>
        <w:numPr>
          <w:ilvl w:val="0"/>
          <w:numId w:val="0"/>
        </w:numPr>
        <w:ind w:left="1"/>
      </w:pPr>
      <w:bookmarkStart w:id="3" w:name="_Toc229687184"/>
      <w:r w:rsidRPr="002C21B8">
        <w:lastRenderedPageBreak/>
        <w:t>Table of c</w:t>
      </w:r>
      <w:r w:rsidR="009A5DED" w:rsidRPr="002C21B8">
        <w:t>ontents</w:t>
      </w:r>
      <w:bookmarkEnd w:id="3"/>
    </w:p>
    <w:p w14:paraId="694A182E" w14:textId="4EB4A82A" w:rsidR="004178EC" w:rsidRPr="002C21B8" w:rsidRDefault="00686BCB" w:rsidP="004178EC">
      <w:pPr>
        <w:pStyle w:val="TOC1"/>
        <w:spacing w:beforeLines="80" w:before="192" w:line="240" w:lineRule="auto"/>
        <w:rPr>
          <w:rFonts w:eastAsiaTheme="minorEastAsia" w:cstheme="minorBidi"/>
          <w:b w:val="0"/>
          <w:bCs w:val="0"/>
          <w:iCs w:val="0"/>
          <w:noProof/>
          <w:kern w:val="2"/>
          <w14:ligatures w14:val="standardContextual"/>
        </w:rPr>
      </w:pPr>
      <w:r w:rsidRPr="002C21B8">
        <w:rPr>
          <w:i/>
        </w:rPr>
        <w:fldChar w:fldCharType="begin"/>
      </w:r>
      <w:r w:rsidRPr="002C21B8">
        <w:rPr>
          <w:i/>
        </w:rPr>
        <w:instrText xml:space="preserve"> TOC \o "1-2" \h \z \u </w:instrText>
      </w:r>
      <w:r w:rsidRPr="002C21B8">
        <w:rPr>
          <w:i/>
        </w:rPr>
        <w:fldChar w:fldCharType="separate"/>
      </w:r>
      <w:hyperlink w:anchor="_Toc229687181" w:history="1">
        <w:r w:rsidR="004178EC" w:rsidRPr="002C21B8">
          <w:rPr>
            <w:rStyle w:val="Hyperlink"/>
            <w:noProof/>
          </w:rPr>
          <w:t>Acknowledgements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_Toc229687181 \h </w:instrText>
        </w:r>
        <w:r w:rsidR="004178EC" w:rsidRPr="002C21B8">
          <w:rPr>
            <w:noProof/>
            <w:webHidden/>
          </w:rPr>
        </w:r>
        <w:r w:rsidR="004178EC" w:rsidRPr="002C21B8">
          <w:rPr>
            <w:noProof/>
            <w:webHidden/>
          </w:rPr>
          <w:fldChar w:fldCharType="separate"/>
        </w:r>
        <w:r w:rsidR="00E925DC">
          <w:rPr>
            <w:noProof/>
            <w:webHidden/>
          </w:rPr>
          <w:t>2</w:t>
        </w:r>
        <w:r w:rsidR="004178EC" w:rsidRPr="002C21B8">
          <w:rPr>
            <w:noProof/>
            <w:webHidden/>
          </w:rPr>
          <w:fldChar w:fldCharType="end"/>
        </w:r>
      </w:hyperlink>
    </w:p>
    <w:p w14:paraId="5A8E9485" w14:textId="76D2D4D8"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2" w:history="1">
        <w:r w:rsidR="004178EC" w:rsidRPr="002C21B8">
          <w:rPr>
            <w:rStyle w:val="Hyperlink"/>
            <w:noProof/>
          </w:rPr>
          <w:t>Abstract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_Toc229687182 \h </w:instrText>
        </w:r>
        <w:r w:rsidR="004178EC" w:rsidRPr="002C21B8">
          <w:rPr>
            <w:noProof/>
            <w:webHidden/>
          </w:rPr>
        </w:r>
        <w:r w:rsidR="004178EC" w:rsidRPr="002C21B8">
          <w:rPr>
            <w:noProof/>
            <w:webHidden/>
          </w:rPr>
          <w:fldChar w:fldCharType="separate"/>
        </w:r>
        <w:r w:rsidR="00E925DC">
          <w:rPr>
            <w:noProof/>
            <w:webHidden/>
          </w:rPr>
          <w:t>3</w:t>
        </w:r>
        <w:r w:rsidR="004178EC" w:rsidRPr="002C21B8">
          <w:rPr>
            <w:noProof/>
            <w:webHidden/>
          </w:rPr>
          <w:fldChar w:fldCharType="end"/>
        </w:r>
      </w:hyperlink>
    </w:p>
    <w:p w14:paraId="2AE49D2A" w14:textId="3F1630AF"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3" w:history="1">
        <w:r w:rsidR="004178EC" w:rsidRPr="002C21B8">
          <w:rPr>
            <w:rStyle w:val="Hyperlink"/>
            <w:noProof/>
          </w:rPr>
          <w:t>Plain language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_Toc229687183 \h </w:instrText>
        </w:r>
        <w:r w:rsidR="004178EC" w:rsidRPr="002C21B8">
          <w:rPr>
            <w:noProof/>
            <w:webHidden/>
          </w:rPr>
        </w:r>
        <w:r w:rsidR="004178EC" w:rsidRPr="002C21B8">
          <w:rPr>
            <w:noProof/>
            <w:webHidden/>
          </w:rPr>
          <w:fldChar w:fldCharType="separate"/>
        </w:r>
        <w:r w:rsidR="00E925DC">
          <w:rPr>
            <w:noProof/>
            <w:webHidden/>
          </w:rPr>
          <w:t>4</w:t>
        </w:r>
        <w:r w:rsidR="004178EC" w:rsidRPr="002C21B8">
          <w:rPr>
            <w:noProof/>
            <w:webHidden/>
          </w:rPr>
          <w:fldChar w:fldCharType="end"/>
        </w:r>
      </w:hyperlink>
    </w:p>
    <w:p w14:paraId="1F6E2ED9" w14:textId="16816185"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4" w:history="1">
        <w:r w:rsidR="004178EC" w:rsidRPr="002C21B8">
          <w:rPr>
            <w:rStyle w:val="Hyperlink"/>
            <w:noProof/>
          </w:rPr>
          <w:t>Table of contents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_Toc229687184 \h </w:instrText>
        </w:r>
        <w:r w:rsidR="004178EC" w:rsidRPr="002C21B8">
          <w:rPr>
            <w:noProof/>
            <w:webHidden/>
          </w:rPr>
        </w:r>
        <w:r w:rsidR="004178EC" w:rsidRPr="002C21B8">
          <w:rPr>
            <w:noProof/>
            <w:webHidden/>
          </w:rPr>
          <w:fldChar w:fldCharType="separate"/>
        </w:r>
        <w:r w:rsidR="00E925DC">
          <w:rPr>
            <w:noProof/>
            <w:webHidden/>
          </w:rPr>
          <w:t>6</w:t>
        </w:r>
        <w:r w:rsidR="004178EC" w:rsidRPr="002C21B8">
          <w:rPr>
            <w:noProof/>
            <w:webHidden/>
          </w:rPr>
          <w:fldChar w:fldCharType="end"/>
        </w:r>
      </w:hyperlink>
    </w:p>
    <w:p w14:paraId="61080575" w14:textId="4A84D488"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5" w:history="1">
        <w:r w:rsidR="004178EC" w:rsidRPr="002C21B8">
          <w:rPr>
            <w:rStyle w:val="Hyperlink"/>
            <w:noProof/>
          </w:rPr>
          <w:t>List of abbreviations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_Toc229687185 \h </w:instrText>
        </w:r>
        <w:r w:rsidR="004178EC" w:rsidRPr="002C21B8">
          <w:rPr>
            <w:noProof/>
            <w:webHidden/>
          </w:rPr>
        </w:r>
        <w:r w:rsidR="004178EC" w:rsidRPr="002C21B8">
          <w:rPr>
            <w:noProof/>
            <w:webHidden/>
          </w:rPr>
          <w:fldChar w:fldCharType="separate"/>
        </w:r>
        <w:r w:rsidR="00E925DC">
          <w:rPr>
            <w:noProof/>
            <w:webHidden/>
          </w:rPr>
          <w:t>9</w:t>
        </w:r>
        <w:r w:rsidR="004178EC" w:rsidRPr="002C21B8">
          <w:rPr>
            <w:noProof/>
            <w:webHidden/>
          </w:rPr>
          <w:fldChar w:fldCharType="end"/>
        </w:r>
      </w:hyperlink>
    </w:p>
    <w:p w14:paraId="0BC6566A" w14:textId="37AF8425"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6" w:history="1">
        <w:r w:rsidR="004178EC" w:rsidRPr="002C21B8">
          <w:rPr>
            <w:rStyle w:val="Hyperlink"/>
            <w:noProof/>
          </w:rPr>
          <w:t>Glossary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_Toc229687186 \h </w:instrText>
        </w:r>
        <w:r w:rsidR="004178EC" w:rsidRPr="002C21B8">
          <w:rPr>
            <w:noProof/>
            <w:webHidden/>
          </w:rPr>
        </w:r>
        <w:r w:rsidR="004178EC" w:rsidRPr="002C21B8">
          <w:rPr>
            <w:noProof/>
            <w:webHidden/>
          </w:rPr>
          <w:fldChar w:fldCharType="separate"/>
        </w:r>
        <w:r w:rsidR="00E925DC">
          <w:rPr>
            <w:noProof/>
            <w:webHidden/>
          </w:rPr>
          <w:t>11</w:t>
        </w:r>
        <w:r w:rsidR="004178EC" w:rsidRPr="002C21B8">
          <w:rPr>
            <w:noProof/>
            <w:webHidden/>
          </w:rPr>
          <w:fldChar w:fldCharType="end"/>
        </w:r>
      </w:hyperlink>
    </w:p>
    <w:p w14:paraId="52EDCC1E" w14:textId="55A814CF"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7" w:history="1">
        <w:r w:rsidR="004178EC" w:rsidRPr="002C21B8">
          <w:rPr>
            <w:rStyle w:val="Hyperlink"/>
            <w:noProof/>
          </w:rPr>
          <w:t>List of tables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_Toc229687187 \h </w:instrText>
        </w:r>
        <w:r w:rsidR="004178EC" w:rsidRPr="002C21B8">
          <w:rPr>
            <w:noProof/>
            <w:webHidden/>
          </w:rPr>
        </w:r>
        <w:r w:rsidR="004178EC" w:rsidRPr="002C21B8">
          <w:rPr>
            <w:noProof/>
            <w:webHidden/>
          </w:rPr>
          <w:fldChar w:fldCharType="separate"/>
        </w:r>
        <w:r w:rsidR="00E925DC">
          <w:rPr>
            <w:noProof/>
            <w:webHidden/>
          </w:rPr>
          <w:t>14</w:t>
        </w:r>
        <w:r w:rsidR="004178EC" w:rsidRPr="002C21B8">
          <w:rPr>
            <w:noProof/>
            <w:webHidden/>
          </w:rPr>
          <w:fldChar w:fldCharType="end"/>
        </w:r>
      </w:hyperlink>
    </w:p>
    <w:p w14:paraId="07BC69CD" w14:textId="56CB4FE2"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8" w:history="1">
        <w:r w:rsidR="004178EC" w:rsidRPr="002C21B8">
          <w:rPr>
            <w:rStyle w:val="Hyperlink"/>
            <w:noProof/>
          </w:rPr>
          <w:t>List of figures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_Toc229687188 \h </w:instrText>
        </w:r>
        <w:r w:rsidR="004178EC" w:rsidRPr="002C21B8">
          <w:rPr>
            <w:noProof/>
            <w:webHidden/>
          </w:rPr>
        </w:r>
        <w:r w:rsidR="004178EC" w:rsidRPr="002C21B8">
          <w:rPr>
            <w:noProof/>
            <w:webHidden/>
          </w:rPr>
          <w:fldChar w:fldCharType="separate"/>
        </w:r>
        <w:r w:rsidR="00E925DC">
          <w:rPr>
            <w:noProof/>
            <w:webHidden/>
          </w:rPr>
          <w:t>15</w:t>
        </w:r>
        <w:r w:rsidR="004178EC" w:rsidRPr="002C21B8">
          <w:rPr>
            <w:noProof/>
            <w:webHidden/>
          </w:rPr>
          <w:fldChar w:fldCharType="end"/>
        </w:r>
      </w:hyperlink>
    </w:p>
    <w:p w14:paraId="62339B36" w14:textId="5F50633A"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89" w:history="1">
        <w:r w:rsidR="004178EC" w:rsidRPr="002C21B8">
          <w:rPr>
            <w:rStyle w:val="Hyperlink"/>
            <w:noProof/>
          </w:rPr>
          <w:t>Declaration</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_Toc229687189 \h </w:instrText>
        </w:r>
        <w:r w:rsidR="004178EC" w:rsidRPr="002C21B8">
          <w:rPr>
            <w:noProof/>
            <w:webHidden/>
          </w:rPr>
        </w:r>
        <w:r w:rsidR="004178EC" w:rsidRPr="002C21B8">
          <w:rPr>
            <w:noProof/>
            <w:webHidden/>
          </w:rPr>
          <w:fldChar w:fldCharType="separate"/>
        </w:r>
        <w:r w:rsidR="00E925DC">
          <w:rPr>
            <w:noProof/>
            <w:webHidden/>
          </w:rPr>
          <w:t>16</w:t>
        </w:r>
        <w:r w:rsidR="004178EC" w:rsidRPr="002C21B8">
          <w:rPr>
            <w:noProof/>
            <w:webHidden/>
          </w:rPr>
          <w:fldChar w:fldCharType="end"/>
        </w:r>
      </w:hyperlink>
    </w:p>
    <w:p w14:paraId="70D65A3B" w14:textId="0F3F0ACC"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190" w:history="1">
        <w:r w:rsidR="004178EC" w:rsidRPr="002C21B8">
          <w:rPr>
            <w:rStyle w:val="Hyperlink"/>
            <w:noProof/>
          </w:rPr>
          <w:t>Chapter 1 – Introduction</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_Toc229687190 \h </w:instrText>
        </w:r>
        <w:r w:rsidR="004178EC" w:rsidRPr="002C21B8">
          <w:rPr>
            <w:noProof/>
            <w:webHidden/>
          </w:rPr>
        </w:r>
        <w:r w:rsidR="004178EC" w:rsidRPr="002C21B8">
          <w:rPr>
            <w:noProof/>
            <w:webHidden/>
          </w:rPr>
          <w:fldChar w:fldCharType="separate"/>
        </w:r>
        <w:r w:rsidR="00E925DC">
          <w:rPr>
            <w:noProof/>
            <w:webHidden/>
          </w:rPr>
          <w:t>17</w:t>
        </w:r>
        <w:r w:rsidR="004178EC" w:rsidRPr="002C21B8">
          <w:rPr>
            <w:noProof/>
            <w:webHidden/>
          </w:rPr>
          <w:fldChar w:fldCharType="end"/>
        </w:r>
      </w:hyperlink>
    </w:p>
    <w:p w14:paraId="6A506DAF" w14:textId="50C6209B"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1" w:history="1">
        <w:r w:rsidR="004178EC" w:rsidRPr="002C21B8">
          <w:rPr>
            <w:rStyle w:val="Hyperlink"/>
            <w:noProof/>
          </w:rPr>
          <w:t>1.1 Prescribing in rare diseases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_Toc229687191 \h </w:instrText>
        </w:r>
        <w:r w:rsidR="004178EC" w:rsidRPr="002C21B8">
          <w:rPr>
            <w:noProof/>
            <w:webHidden/>
          </w:rPr>
        </w:r>
        <w:r w:rsidR="004178EC" w:rsidRPr="002C21B8">
          <w:rPr>
            <w:noProof/>
            <w:webHidden/>
          </w:rPr>
          <w:fldChar w:fldCharType="separate"/>
        </w:r>
        <w:r w:rsidR="00E925DC">
          <w:rPr>
            <w:noProof/>
            <w:webHidden/>
          </w:rPr>
          <w:t>17</w:t>
        </w:r>
        <w:r w:rsidR="004178EC" w:rsidRPr="002C21B8">
          <w:rPr>
            <w:noProof/>
            <w:webHidden/>
          </w:rPr>
          <w:fldChar w:fldCharType="end"/>
        </w:r>
      </w:hyperlink>
    </w:p>
    <w:p w14:paraId="2A8CD420" w14:textId="6DE5ED22"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2" w:history="1">
        <w:r w:rsidR="004178EC" w:rsidRPr="002C21B8">
          <w:rPr>
            <w:rStyle w:val="Hyperlink"/>
            <w:noProof/>
          </w:rPr>
          <w:t>1.2 Tolvaptan in autosomal dominant polycystic kidney disease (ADPKD) as a case of prescribing for a rare disease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_Toc229687192 \h </w:instrText>
        </w:r>
        <w:r w:rsidR="004178EC" w:rsidRPr="002C21B8">
          <w:rPr>
            <w:noProof/>
            <w:webHidden/>
          </w:rPr>
        </w:r>
        <w:r w:rsidR="004178EC" w:rsidRPr="002C21B8">
          <w:rPr>
            <w:noProof/>
            <w:webHidden/>
          </w:rPr>
          <w:fldChar w:fldCharType="separate"/>
        </w:r>
        <w:r w:rsidR="00E925DC">
          <w:rPr>
            <w:noProof/>
            <w:webHidden/>
          </w:rPr>
          <w:t>18</w:t>
        </w:r>
        <w:r w:rsidR="004178EC" w:rsidRPr="002C21B8">
          <w:rPr>
            <w:noProof/>
            <w:webHidden/>
          </w:rPr>
          <w:fldChar w:fldCharType="end"/>
        </w:r>
      </w:hyperlink>
    </w:p>
    <w:p w14:paraId="77B2ABA2" w14:textId="07B0038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3" w:history="1">
        <w:r w:rsidR="004178EC" w:rsidRPr="002C21B8">
          <w:rPr>
            <w:rStyle w:val="Hyperlink"/>
            <w:noProof/>
          </w:rPr>
          <w:t>1.3 Research question, aims and objectives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_Toc229687193 \h </w:instrText>
        </w:r>
        <w:r w:rsidR="004178EC" w:rsidRPr="002C21B8">
          <w:rPr>
            <w:noProof/>
            <w:webHidden/>
          </w:rPr>
        </w:r>
        <w:r w:rsidR="004178EC" w:rsidRPr="002C21B8">
          <w:rPr>
            <w:noProof/>
            <w:webHidden/>
          </w:rPr>
          <w:fldChar w:fldCharType="separate"/>
        </w:r>
        <w:r w:rsidR="00E925DC">
          <w:rPr>
            <w:noProof/>
            <w:webHidden/>
          </w:rPr>
          <w:t>19</w:t>
        </w:r>
        <w:r w:rsidR="004178EC" w:rsidRPr="002C21B8">
          <w:rPr>
            <w:noProof/>
            <w:webHidden/>
          </w:rPr>
          <w:fldChar w:fldCharType="end"/>
        </w:r>
      </w:hyperlink>
    </w:p>
    <w:p w14:paraId="1C6F6828" w14:textId="4755FA4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4" w:history="1">
        <w:r w:rsidR="004178EC" w:rsidRPr="002C21B8">
          <w:rPr>
            <w:rStyle w:val="Hyperlink"/>
            <w:noProof/>
          </w:rPr>
          <w:t>1.4 Researcher voice, positionality and reflexivity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_Toc229687194 \h </w:instrText>
        </w:r>
        <w:r w:rsidR="004178EC" w:rsidRPr="002C21B8">
          <w:rPr>
            <w:noProof/>
            <w:webHidden/>
          </w:rPr>
        </w:r>
        <w:r w:rsidR="004178EC" w:rsidRPr="002C21B8">
          <w:rPr>
            <w:noProof/>
            <w:webHidden/>
          </w:rPr>
          <w:fldChar w:fldCharType="separate"/>
        </w:r>
        <w:r w:rsidR="00E925DC">
          <w:rPr>
            <w:noProof/>
            <w:webHidden/>
          </w:rPr>
          <w:t>19</w:t>
        </w:r>
        <w:r w:rsidR="004178EC" w:rsidRPr="002C21B8">
          <w:rPr>
            <w:noProof/>
            <w:webHidden/>
          </w:rPr>
          <w:fldChar w:fldCharType="end"/>
        </w:r>
      </w:hyperlink>
    </w:p>
    <w:p w14:paraId="78FB7535" w14:textId="7A8DBD7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5" w:history="1">
        <w:r w:rsidR="004178EC" w:rsidRPr="002C21B8">
          <w:rPr>
            <w:rStyle w:val="Hyperlink"/>
            <w:noProof/>
          </w:rPr>
          <w:t>1.5 Context of the doctoral research</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_Toc229687195 \h </w:instrText>
        </w:r>
        <w:r w:rsidR="004178EC" w:rsidRPr="002C21B8">
          <w:rPr>
            <w:noProof/>
            <w:webHidden/>
          </w:rPr>
        </w:r>
        <w:r w:rsidR="004178EC" w:rsidRPr="002C21B8">
          <w:rPr>
            <w:noProof/>
            <w:webHidden/>
          </w:rPr>
          <w:fldChar w:fldCharType="separate"/>
        </w:r>
        <w:r w:rsidR="00E925DC">
          <w:rPr>
            <w:noProof/>
            <w:webHidden/>
          </w:rPr>
          <w:t>20</w:t>
        </w:r>
        <w:r w:rsidR="004178EC" w:rsidRPr="002C21B8">
          <w:rPr>
            <w:noProof/>
            <w:webHidden/>
          </w:rPr>
          <w:fldChar w:fldCharType="end"/>
        </w:r>
      </w:hyperlink>
    </w:p>
    <w:p w14:paraId="61CC78AC" w14:textId="6C18BB0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6" w:history="1">
        <w:r w:rsidR="004178EC" w:rsidRPr="002C21B8">
          <w:rPr>
            <w:rStyle w:val="Hyperlink"/>
            <w:noProof/>
          </w:rPr>
          <w:t>1.6 Study design and research methods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_Toc229687196 \h </w:instrText>
        </w:r>
        <w:r w:rsidR="004178EC" w:rsidRPr="002C21B8">
          <w:rPr>
            <w:noProof/>
            <w:webHidden/>
          </w:rPr>
        </w:r>
        <w:r w:rsidR="004178EC" w:rsidRPr="002C21B8">
          <w:rPr>
            <w:noProof/>
            <w:webHidden/>
          </w:rPr>
          <w:fldChar w:fldCharType="separate"/>
        </w:r>
        <w:r w:rsidR="00E925DC">
          <w:rPr>
            <w:noProof/>
            <w:webHidden/>
          </w:rPr>
          <w:t>21</w:t>
        </w:r>
        <w:r w:rsidR="004178EC" w:rsidRPr="002C21B8">
          <w:rPr>
            <w:noProof/>
            <w:webHidden/>
          </w:rPr>
          <w:fldChar w:fldCharType="end"/>
        </w:r>
      </w:hyperlink>
    </w:p>
    <w:p w14:paraId="7C3E5970" w14:textId="781CC04B"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7" w:history="1">
        <w:r w:rsidR="004178EC" w:rsidRPr="002C21B8">
          <w:rPr>
            <w:rStyle w:val="Hyperlink"/>
            <w:noProof/>
          </w:rPr>
          <w:t>1.7 Type of thesis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_Toc229687197 \h </w:instrText>
        </w:r>
        <w:r w:rsidR="004178EC" w:rsidRPr="002C21B8">
          <w:rPr>
            <w:noProof/>
            <w:webHidden/>
          </w:rPr>
        </w:r>
        <w:r w:rsidR="004178EC" w:rsidRPr="002C21B8">
          <w:rPr>
            <w:noProof/>
            <w:webHidden/>
          </w:rPr>
          <w:fldChar w:fldCharType="separate"/>
        </w:r>
        <w:r w:rsidR="00E925DC">
          <w:rPr>
            <w:noProof/>
            <w:webHidden/>
          </w:rPr>
          <w:t>22</w:t>
        </w:r>
        <w:r w:rsidR="004178EC" w:rsidRPr="002C21B8">
          <w:rPr>
            <w:noProof/>
            <w:webHidden/>
          </w:rPr>
          <w:fldChar w:fldCharType="end"/>
        </w:r>
      </w:hyperlink>
    </w:p>
    <w:p w14:paraId="7EFA20A9" w14:textId="1DDD389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8" w:history="1">
        <w:r w:rsidR="004178EC" w:rsidRPr="002C21B8">
          <w:rPr>
            <w:rStyle w:val="Hyperlink"/>
            <w:noProof/>
          </w:rPr>
          <w:t>1.8 Structure of the thesis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_Toc229687198 \h </w:instrText>
        </w:r>
        <w:r w:rsidR="004178EC" w:rsidRPr="002C21B8">
          <w:rPr>
            <w:noProof/>
            <w:webHidden/>
          </w:rPr>
        </w:r>
        <w:r w:rsidR="004178EC" w:rsidRPr="002C21B8">
          <w:rPr>
            <w:noProof/>
            <w:webHidden/>
          </w:rPr>
          <w:fldChar w:fldCharType="separate"/>
        </w:r>
        <w:r w:rsidR="00E925DC">
          <w:rPr>
            <w:noProof/>
            <w:webHidden/>
          </w:rPr>
          <w:t>22</w:t>
        </w:r>
        <w:r w:rsidR="004178EC" w:rsidRPr="002C21B8">
          <w:rPr>
            <w:noProof/>
            <w:webHidden/>
          </w:rPr>
          <w:fldChar w:fldCharType="end"/>
        </w:r>
      </w:hyperlink>
    </w:p>
    <w:p w14:paraId="5CC3E0B7" w14:textId="67ECCE3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199" w:history="1">
        <w:r w:rsidR="004178EC" w:rsidRPr="002C21B8">
          <w:rPr>
            <w:rStyle w:val="Hyperlink"/>
            <w:noProof/>
          </w:rPr>
          <w:t>1.9 Dissemination</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_Toc229687199 \h </w:instrText>
        </w:r>
        <w:r w:rsidR="004178EC" w:rsidRPr="002C21B8">
          <w:rPr>
            <w:noProof/>
            <w:webHidden/>
          </w:rPr>
        </w:r>
        <w:r w:rsidR="004178EC" w:rsidRPr="002C21B8">
          <w:rPr>
            <w:noProof/>
            <w:webHidden/>
          </w:rPr>
          <w:fldChar w:fldCharType="separate"/>
        </w:r>
        <w:r w:rsidR="00E925DC">
          <w:rPr>
            <w:noProof/>
            <w:webHidden/>
          </w:rPr>
          <w:t>23</w:t>
        </w:r>
        <w:r w:rsidR="004178EC" w:rsidRPr="002C21B8">
          <w:rPr>
            <w:noProof/>
            <w:webHidden/>
          </w:rPr>
          <w:fldChar w:fldCharType="end"/>
        </w:r>
      </w:hyperlink>
    </w:p>
    <w:p w14:paraId="6190A6EB" w14:textId="1561DE99"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00" w:history="1">
        <w:r w:rsidR="004178EC" w:rsidRPr="002C21B8">
          <w:rPr>
            <w:rStyle w:val="Hyperlink"/>
            <w:noProof/>
          </w:rPr>
          <w:t>Chapter 2 – Background</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_Toc229687200 \h </w:instrText>
        </w:r>
        <w:r w:rsidR="004178EC" w:rsidRPr="002C21B8">
          <w:rPr>
            <w:noProof/>
            <w:webHidden/>
          </w:rPr>
        </w:r>
        <w:r w:rsidR="004178EC" w:rsidRPr="002C21B8">
          <w:rPr>
            <w:noProof/>
            <w:webHidden/>
          </w:rPr>
          <w:fldChar w:fldCharType="separate"/>
        </w:r>
        <w:r w:rsidR="00E925DC">
          <w:rPr>
            <w:noProof/>
            <w:webHidden/>
          </w:rPr>
          <w:t>25</w:t>
        </w:r>
        <w:r w:rsidR="004178EC" w:rsidRPr="002C21B8">
          <w:rPr>
            <w:noProof/>
            <w:webHidden/>
          </w:rPr>
          <w:fldChar w:fldCharType="end"/>
        </w:r>
      </w:hyperlink>
    </w:p>
    <w:p w14:paraId="0560686E" w14:textId="4F46C78A"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1" w:history="1">
        <w:r w:rsidR="004178EC" w:rsidRPr="002C21B8">
          <w:rPr>
            <w:rStyle w:val="Hyperlink"/>
            <w:noProof/>
          </w:rPr>
          <w:t>2.1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_Toc229687201 \h </w:instrText>
        </w:r>
        <w:r w:rsidR="004178EC" w:rsidRPr="002C21B8">
          <w:rPr>
            <w:noProof/>
            <w:webHidden/>
          </w:rPr>
        </w:r>
        <w:r w:rsidR="004178EC" w:rsidRPr="002C21B8">
          <w:rPr>
            <w:noProof/>
            <w:webHidden/>
          </w:rPr>
          <w:fldChar w:fldCharType="separate"/>
        </w:r>
        <w:r w:rsidR="00E925DC">
          <w:rPr>
            <w:noProof/>
            <w:webHidden/>
          </w:rPr>
          <w:t>25</w:t>
        </w:r>
        <w:r w:rsidR="004178EC" w:rsidRPr="002C21B8">
          <w:rPr>
            <w:noProof/>
            <w:webHidden/>
          </w:rPr>
          <w:fldChar w:fldCharType="end"/>
        </w:r>
      </w:hyperlink>
    </w:p>
    <w:p w14:paraId="5E92FC61" w14:textId="69C8634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2" w:history="1">
        <w:r w:rsidR="004178EC" w:rsidRPr="002C21B8">
          <w:rPr>
            <w:rStyle w:val="Hyperlink"/>
            <w:noProof/>
          </w:rPr>
          <w:t>2.2 Rare diseases: definitions, prevalence and challenge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_Toc229687202 \h </w:instrText>
        </w:r>
        <w:r w:rsidR="004178EC" w:rsidRPr="002C21B8">
          <w:rPr>
            <w:noProof/>
            <w:webHidden/>
          </w:rPr>
        </w:r>
        <w:r w:rsidR="004178EC" w:rsidRPr="002C21B8">
          <w:rPr>
            <w:noProof/>
            <w:webHidden/>
          </w:rPr>
          <w:fldChar w:fldCharType="separate"/>
        </w:r>
        <w:r w:rsidR="00E925DC">
          <w:rPr>
            <w:noProof/>
            <w:webHidden/>
          </w:rPr>
          <w:t>25</w:t>
        </w:r>
        <w:r w:rsidR="004178EC" w:rsidRPr="002C21B8">
          <w:rPr>
            <w:noProof/>
            <w:webHidden/>
          </w:rPr>
          <w:fldChar w:fldCharType="end"/>
        </w:r>
      </w:hyperlink>
    </w:p>
    <w:p w14:paraId="47E90CD3" w14:textId="0EF9A99A"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3" w:history="1">
        <w:r w:rsidR="004178EC" w:rsidRPr="002C21B8">
          <w:rPr>
            <w:rStyle w:val="Hyperlink"/>
            <w:noProof/>
          </w:rPr>
          <w:t>2.3 Prescribing as a decision-making process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_Toc229687203 \h </w:instrText>
        </w:r>
        <w:r w:rsidR="004178EC" w:rsidRPr="002C21B8">
          <w:rPr>
            <w:noProof/>
            <w:webHidden/>
          </w:rPr>
        </w:r>
        <w:r w:rsidR="004178EC" w:rsidRPr="002C21B8">
          <w:rPr>
            <w:noProof/>
            <w:webHidden/>
          </w:rPr>
          <w:fldChar w:fldCharType="separate"/>
        </w:r>
        <w:r w:rsidR="00E925DC">
          <w:rPr>
            <w:noProof/>
            <w:webHidden/>
          </w:rPr>
          <w:t>28</w:t>
        </w:r>
        <w:r w:rsidR="004178EC" w:rsidRPr="002C21B8">
          <w:rPr>
            <w:noProof/>
            <w:webHidden/>
          </w:rPr>
          <w:fldChar w:fldCharType="end"/>
        </w:r>
      </w:hyperlink>
    </w:p>
    <w:p w14:paraId="529DD098" w14:textId="124FA98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4" w:history="1">
        <w:r w:rsidR="004178EC" w:rsidRPr="002C21B8">
          <w:rPr>
            <w:rStyle w:val="Hyperlink"/>
            <w:noProof/>
          </w:rPr>
          <w:t>2.4 Rare diseases add an additional layer of complexity in prescribing</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_Toc229687204 \h </w:instrText>
        </w:r>
        <w:r w:rsidR="004178EC" w:rsidRPr="002C21B8">
          <w:rPr>
            <w:noProof/>
            <w:webHidden/>
          </w:rPr>
        </w:r>
        <w:r w:rsidR="004178EC" w:rsidRPr="002C21B8">
          <w:rPr>
            <w:noProof/>
            <w:webHidden/>
          </w:rPr>
          <w:fldChar w:fldCharType="separate"/>
        </w:r>
        <w:r w:rsidR="00E925DC">
          <w:rPr>
            <w:noProof/>
            <w:webHidden/>
          </w:rPr>
          <w:t>36</w:t>
        </w:r>
        <w:r w:rsidR="004178EC" w:rsidRPr="002C21B8">
          <w:rPr>
            <w:noProof/>
            <w:webHidden/>
          </w:rPr>
          <w:fldChar w:fldCharType="end"/>
        </w:r>
      </w:hyperlink>
    </w:p>
    <w:p w14:paraId="0B583E2C" w14:textId="7BA2333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5" w:history="1">
        <w:r w:rsidR="004178EC" w:rsidRPr="002C21B8">
          <w:rPr>
            <w:rStyle w:val="Hyperlink"/>
            <w:noProof/>
          </w:rPr>
          <w:t>2.5 ADPKD as a case to explore factors influencing prescribing decisions in rare diseases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_Toc229687205 \h </w:instrText>
        </w:r>
        <w:r w:rsidR="004178EC" w:rsidRPr="002C21B8">
          <w:rPr>
            <w:noProof/>
            <w:webHidden/>
          </w:rPr>
        </w:r>
        <w:r w:rsidR="004178EC" w:rsidRPr="002C21B8">
          <w:rPr>
            <w:noProof/>
            <w:webHidden/>
          </w:rPr>
          <w:fldChar w:fldCharType="separate"/>
        </w:r>
        <w:r w:rsidR="00E925DC">
          <w:rPr>
            <w:noProof/>
            <w:webHidden/>
          </w:rPr>
          <w:t>37</w:t>
        </w:r>
        <w:r w:rsidR="004178EC" w:rsidRPr="002C21B8">
          <w:rPr>
            <w:noProof/>
            <w:webHidden/>
          </w:rPr>
          <w:fldChar w:fldCharType="end"/>
        </w:r>
      </w:hyperlink>
    </w:p>
    <w:p w14:paraId="5355E77D" w14:textId="071CA1C6"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6" w:history="1">
        <w:r w:rsidR="004178EC" w:rsidRPr="002C21B8">
          <w:rPr>
            <w:rStyle w:val="Hyperlink"/>
            <w:noProof/>
          </w:rPr>
          <w:t>2.6 Research gap</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_Toc229687206 \h </w:instrText>
        </w:r>
        <w:r w:rsidR="004178EC" w:rsidRPr="002C21B8">
          <w:rPr>
            <w:noProof/>
            <w:webHidden/>
          </w:rPr>
        </w:r>
        <w:r w:rsidR="004178EC" w:rsidRPr="002C21B8">
          <w:rPr>
            <w:noProof/>
            <w:webHidden/>
          </w:rPr>
          <w:fldChar w:fldCharType="separate"/>
        </w:r>
        <w:r w:rsidR="00E925DC">
          <w:rPr>
            <w:noProof/>
            <w:webHidden/>
          </w:rPr>
          <w:t>45</w:t>
        </w:r>
        <w:r w:rsidR="004178EC" w:rsidRPr="002C21B8">
          <w:rPr>
            <w:noProof/>
            <w:webHidden/>
          </w:rPr>
          <w:fldChar w:fldCharType="end"/>
        </w:r>
      </w:hyperlink>
    </w:p>
    <w:p w14:paraId="219E8785" w14:textId="3A1BA58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7" w:history="1">
        <w:r w:rsidR="004178EC" w:rsidRPr="002C21B8">
          <w:rPr>
            <w:rStyle w:val="Hyperlink"/>
            <w:noProof/>
          </w:rPr>
          <w:t>2.7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_Toc229687207 \h </w:instrText>
        </w:r>
        <w:r w:rsidR="004178EC" w:rsidRPr="002C21B8">
          <w:rPr>
            <w:noProof/>
            <w:webHidden/>
          </w:rPr>
        </w:r>
        <w:r w:rsidR="004178EC" w:rsidRPr="002C21B8">
          <w:rPr>
            <w:noProof/>
            <w:webHidden/>
          </w:rPr>
          <w:fldChar w:fldCharType="separate"/>
        </w:r>
        <w:r w:rsidR="00E925DC">
          <w:rPr>
            <w:noProof/>
            <w:webHidden/>
          </w:rPr>
          <w:t>47</w:t>
        </w:r>
        <w:r w:rsidR="004178EC" w:rsidRPr="002C21B8">
          <w:rPr>
            <w:noProof/>
            <w:webHidden/>
          </w:rPr>
          <w:fldChar w:fldCharType="end"/>
        </w:r>
      </w:hyperlink>
    </w:p>
    <w:p w14:paraId="59C1BC60" w14:textId="06643129"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08" w:history="1">
        <w:r w:rsidR="004178EC" w:rsidRPr="002C21B8">
          <w:rPr>
            <w:rStyle w:val="Hyperlink"/>
            <w:noProof/>
          </w:rPr>
          <w:t>Chapter 3 – Methodology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_Toc229687208 \h </w:instrText>
        </w:r>
        <w:r w:rsidR="004178EC" w:rsidRPr="002C21B8">
          <w:rPr>
            <w:noProof/>
            <w:webHidden/>
          </w:rPr>
        </w:r>
        <w:r w:rsidR="004178EC" w:rsidRPr="002C21B8">
          <w:rPr>
            <w:noProof/>
            <w:webHidden/>
          </w:rPr>
          <w:fldChar w:fldCharType="separate"/>
        </w:r>
        <w:r w:rsidR="00E925DC">
          <w:rPr>
            <w:noProof/>
            <w:webHidden/>
          </w:rPr>
          <w:t>48</w:t>
        </w:r>
        <w:r w:rsidR="004178EC" w:rsidRPr="002C21B8">
          <w:rPr>
            <w:noProof/>
            <w:webHidden/>
          </w:rPr>
          <w:fldChar w:fldCharType="end"/>
        </w:r>
      </w:hyperlink>
    </w:p>
    <w:p w14:paraId="78649E84" w14:textId="3139E0B5"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09" w:history="1">
        <w:r w:rsidR="004178EC" w:rsidRPr="002C21B8">
          <w:rPr>
            <w:rStyle w:val="Hyperlink"/>
            <w:noProof/>
          </w:rPr>
          <w:t>3.1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_Toc229687209 \h </w:instrText>
        </w:r>
        <w:r w:rsidR="004178EC" w:rsidRPr="002C21B8">
          <w:rPr>
            <w:noProof/>
            <w:webHidden/>
          </w:rPr>
        </w:r>
        <w:r w:rsidR="004178EC" w:rsidRPr="002C21B8">
          <w:rPr>
            <w:noProof/>
            <w:webHidden/>
          </w:rPr>
          <w:fldChar w:fldCharType="separate"/>
        </w:r>
        <w:r w:rsidR="00E925DC">
          <w:rPr>
            <w:noProof/>
            <w:webHidden/>
          </w:rPr>
          <w:t>48</w:t>
        </w:r>
        <w:r w:rsidR="004178EC" w:rsidRPr="002C21B8">
          <w:rPr>
            <w:noProof/>
            <w:webHidden/>
          </w:rPr>
          <w:fldChar w:fldCharType="end"/>
        </w:r>
      </w:hyperlink>
    </w:p>
    <w:p w14:paraId="47222085" w14:textId="449EDA47"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0" w:history="1">
        <w:r w:rsidR="004178EC" w:rsidRPr="002C21B8">
          <w:rPr>
            <w:rStyle w:val="Hyperlink"/>
            <w:noProof/>
          </w:rPr>
          <w:t>3.2 Research question, aims and objectives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_Toc229687210 \h </w:instrText>
        </w:r>
        <w:r w:rsidR="004178EC" w:rsidRPr="002C21B8">
          <w:rPr>
            <w:noProof/>
            <w:webHidden/>
          </w:rPr>
        </w:r>
        <w:r w:rsidR="004178EC" w:rsidRPr="002C21B8">
          <w:rPr>
            <w:noProof/>
            <w:webHidden/>
          </w:rPr>
          <w:fldChar w:fldCharType="separate"/>
        </w:r>
        <w:r w:rsidR="00E925DC">
          <w:rPr>
            <w:noProof/>
            <w:webHidden/>
          </w:rPr>
          <w:t>48</w:t>
        </w:r>
        <w:r w:rsidR="004178EC" w:rsidRPr="002C21B8">
          <w:rPr>
            <w:noProof/>
            <w:webHidden/>
          </w:rPr>
          <w:fldChar w:fldCharType="end"/>
        </w:r>
      </w:hyperlink>
    </w:p>
    <w:p w14:paraId="03465DD2" w14:textId="4EEBEDA2"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1" w:history="1">
        <w:r w:rsidR="004178EC" w:rsidRPr="002C21B8">
          <w:rPr>
            <w:rStyle w:val="Hyperlink"/>
            <w:noProof/>
          </w:rPr>
          <w:t>3.3 Methodology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_Toc229687211 \h </w:instrText>
        </w:r>
        <w:r w:rsidR="004178EC" w:rsidRPr="002C21B8">
          <w:rPr>
            <w:noProof/>
            <w:webHidden/>
          </w:rPr>
        </w:r>
        <w:r w:rsidR="004178EC" w:rsidRPr="002C21B8">
          <w:rPr>
            <w:noProof/>
            <w:webHidden/>
          </w:rPr>
          <w:fldChar w:fldCharType="separate"/>
        </w:r>
        <w:r w:rsidR="00E925DC">
          <w:rPr>
            <w:noProof/>
            <w:webHidden/>
          </w:rPr>
          <w:t>49</w:t>
        </w:r>
        <w:r w:rsidR="004178EC" w:rsidRPr="002C21B8">
          <w:rPr>
            <w:noProof/>
            <w:webHidden/>
          </w:rPr>
          <w:fldChar w:fldCharType="end"/>
        </w:r>
      </w:hyperlink>
    </w:p>
    <w:p w14:paraId="3D89EA0D" w14:textId="4B79C63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2" w:history="1">
        <w:r w:rsidR="004178EC" w:rsidRPr="002C21B8">
          <w:rPr>
            <w:rStyle w:val="Hyperlink"/>
            <w:noProof/>
          </w:rPr>
          <w:t>3.4 Integration within mixed methods research</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_Toc229687212 \h </w:instrText>
        </w:r>
        <w:r w:rsidR="004178EC" w:rsidRPr="002C21B8">
          <w:rPr>
            <w:noProof/>
            <w:webHidden/>
          </w:rPr>
        </w:r>
        <w:r w:rsidR="004178EC" w:rsidRPr="002C21B8">
          <w:rPr>
            <w:noProof/>
            <w:webHidden/>
          </w:rPr>
          <w:fldChar w:fldCharType="separate"/>
        </w:r>
        <w:r w:rsidR="00E925DC">
          <w:rPr>
            <w:noProof/>
            <w:webHidden/>
          </w:rPr>
          <w:t>61</w:t>
        </w:r>
        <w:r w:rsidR="004178EC" w:rsidRPr="002C21B8">
          <w:rPr>
            <w:noProof/>
            <w:webHidden/>
          </w:rPr>
          <w:fldChar w:fldCharType="end"/>
        </w:r>
      </w:hyperlink>
    </w:p>
    <w:p w14:paraId="6EE4C75E" w14:textId="6E81943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3" w:history="1">
        <w:r w:rsidR="004178EC" w:rsidRPr="002C21B8">
          <w:rPr>
            <w:rStyle w:val="Hyperlink"/>
            <w:noProof/>
          </w:rPr>
          <w:t>3.5 Rigour and trustworthiness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_Toc229687213 \h </w:instrText>
        </w:r>
        <w:r w:rsidR="004178EC" w:rsidRPr="002C21B8">
          <w:rPr>
            <w:noProof/>
            <w:webHidden/>
          </w:rPr>
        </w:r>
        <w:r w:rsidR="004178EC" w:rsidRPr="002C21B8">
          <w:rPr>
            <w:noProof/>
            <w:webHidden/>
          </w:rPr>
          <w:fldChar w:fldCharType="separate"/>
        </w:r>
        <w:r w:rsidR="00E925DC">
          <w:rPr>
            <w:noProof/>
            <w:webHidden/>
          </w:rPr>
          <w:t>61</w:t>
        </w:r>
        <w:r w:rsidR="004178EC" w:rsidRPr="002C21B8">
          <w:rPr>
            <w:noProof/>
            <w:webHidden/>
          </w:rPr>
          <w:fldChar w:fldCharType="end"/>
        </w:r>
      </w:hyperlink>
    </w:p>
    <w:p w14:paraId="59C15F67" w14:textId="12F1101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4" w:history="1">
        <w:r w:rsidR="004178EC" w:rsidRPr="002C21B8">
          <w:rPr>
            <w:rStyle w:val="Hyperlink"/>
            <w:noProof/>
          </w:rPr>
          <w:t>3.6 Reflexivity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_Toc229687214 \h </w:instrText>
        </w:r>
        <w:r w:rsidR="004178EC" w:rsidRPr="002C21B8">
          <w:rPr>
            <w:noProof/>
            <w:webHidden/>
          </w:rPr>
        </w:r>
        <w:r w:rsidR="004178EC" w:rsidRPr="002C21B8">
          <w:rPr>
            <w:noProof/>
            <w:webHidden/>
          </w:rPr>
          <w:fldChar w:fldCharType="separate"/>
        </w:r>
        <w:r w:rsidR="00E925DC">
          <w:rPr>
            <w:noProof/>
            <w:webHidden/>
          </w:rPr>
          <w:t>64</w:t>
        </w:r>
        <w:r w:rsidR="004178EC" w:rsidRPr="002C21B8">
          <w:rPr>
            <w:noProof/>
            <w:webHidden/>
          </w:rPr>
          <w:fldChar w:fldCharType="end"/>
        </w:r>
      </w:hyperlink>
    </w:p>
    <w:p w14:paraId="6A75CECD" w14:textId="5A3E0C1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5" w:history="1">
        <w:r w:rsidR="004178EC" w:rsidRPr="002C21B8">
          <w:rPr>
            <w:rStyle w:val="Hyperlink"/>
            <w:noProof/>
          </w:rPr>
          <w:t>3.7 Ethical considerations across the programme of research</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_Toc229687215 \h </w:instrText>
        </w:r>
        <w:r w:rsidR="004178EC" w:rsidRPr="002C21B8">
          <w:rPr>
            <w:noProof/>
            <w:webHidden/>
          </w:rPr>
        </w:r>
        <w:r w:rsidR="004178EC" w:rsidRPr="002C21B8">
          <w:rPr>
            <w:noProof/>
            <w:webHidden/>
          </w:rPr>
          <w:fldChar w:fldCharType="separate"/>
        </w:r>
        <w:r w:rsidR="00E925DC">
          <w:rPr>
            <w:noProof/>
            <w:webHidden/>
          </w:rPr>
          <w:t>65</w:t>
        </w:r>
        <w:r w:rsidR="004178EC" w:rsidRPr="002C21B8">
          <w:rPr>
            <w:noProof/>
            <w:webHidden/>
          </w:rPr>
          <w:fldChar w:fldCharType="end"/>
        </w:r>
      </w:hyperlink>
    </w:p>
    <w:p w14:paraId="448B8D40" w14:textId="39957D6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6" w:history="1">
        <w:r w:rsidR="004178EC" w:rsidRPr="002C21B8">
          <w:rPr>
            <w:rStyle w:val="Hyperlink"/>
            <w:noProof/>
          </w:rPr>
          <w:t>3.8 Patient and public involvement (PPI)</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_Toc229687216 \h </w:instrText>
        </w:r>
        <w:r w:rsidR="004178EC" w:rsidRPr="002C21B8">
          <w:rPr>
            <w:noProof/>
            <w:webHidden/>
          </w:rPr>
        </w:r>
        <w:r w:rsidR="004178EC" w:rsidRPr="002C21B8">
          <w:rPr>
            <w:noProof/>
            <w:webHidden/>
          </w:rPr>
          <w:fldChar w:fldCharType="separate"/>
        </w:r>
        <w:r w:rsidR="00E925DC">
          <w:rPr>
            <w:noProof/>
            <w:webHidden/>
          </w:rPr>
          <w:t>68</w:t>
        </w:r>
        <w:r w:rsidR="004178EC" w:rsidRPr="002C21B8">
          <w:rPr>
            <w:noProof/>
            <w:webHidden/>
          </w:rPr>
          <w:fldChar w:fldCharType="end"/>
        </w:r>
      </w:hyperlink>
    </w:p>
    <w:p w14:paraId="38B6B6FA" w14:textId="13BDF202"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7" w:history="1">
        <w:r w:rsidR="004178EC" w:rsidRPr="002C21B8">
          <w:rPr>
            <w:rStyle w:val="Hyperlink"/>
            <w:noProof/>
          </w:rPr>
          <w:t>3.9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_Toc229687217 \h </w:instrText>
        </w:r>
        <w:r w:rsidR="004178EC" w:rsidRPr="002C21B8">
          <w:rPr>
            <w:noProof/>
            <w:webHidden/>
          </w:rPr>
        </w:r>
        <w:r w:rsidR="004178EC" w:rsidRPr="002C21B8">
          <w:rPr>
            <w:noProof/>
            <w:webHidden/>
          </w:rPr>
          <w:fldChar w:fldCharType="separate"/>
        </w:r>
        <w:r w:rsidR="00E925DC">
          <w:rPr>
            <w:noProof/>
            <w:webHidden/>
          </w:rPr>
          <w:t>71</w:t>
        </w:r>
        <w:r w:rsidR="004178EC" w:rsidRPr="002C21B8">
          <w:rPr>
            <w:noProof/>
            <w:webHidden/>
          </w:rPr>
          <w:fldChar w:fldCharType="end"/>
        </w:r>
      </w:hyperlink>
    </w:p>
    <w:p w14:paraId="54966FC8" w14:textId="1F7D3933"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18" w:history="1">
        <w:r w:rsidR="004178EC" w:rsidRPr="002C21B8">
          <w:rPr>
            <w:rStyle w:val="Hyperlink"/>
            <w:noProof/>
          </w:rPr>
          <w:t>Chapter 4 – Systematic review (overview of systematic reviews) of factors influencing prescribing decision-making in chronic conditions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_Toc229687218 \h </w:instrText>
        </w:r>
        <w:r w:rsidR="004178EC" w:rsidRPr="002C21B8">
          <w:rPr>
            <w:noProof/>
            <w:webHidden/>
          </w:rPr>
        </w:r>
        <w:r w:rsidR="004178EC" w:rsidRPr="002C21B8">
          <w:rPr>
            <w:noProof/>
            <w:webHidden/>
          </w:rPr>
          <w:fldChar w:fldCharType="separate"/>
        </w:r>
        <w:r w:rsidR="00E925DC">
          <w:rPr>
            <w:noProof/>
            <w:webHidden/>
          </w:rPr>
          <w:t>72</w:t>
        </w:r>
        <w:r w:rsidR="004178EC" w:rsidRPr="002C21B8">
          <w:rPr>
            <w:noProof/>
            <w:webHidden/>
          </w:rPr>
          <w:fldChar w:fldCharType="end"/>
        </w:r>
      </w:hyperlink>
    </w:p>
    <w:p w14:paraId="2A4B3921" w14:textId="66924985"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19" w:history="1">
        <w:r w:rsidR="004178EC" w:rsidRPr="002C21B8">
          <w:rPr>
            <w:rStyle w:val="Hyperlink"/>
            <w:noProof/>
          </w:rPr>
          <w:t>4.1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_Toc229687219 \h </w:instrText>
        </w:r>
        <w:r w:rsidR="004178EC" w:rsidRPr="002C21B8">
          <w:rPr>
            <w:noProof/>
            <w:webHidden/>
          </w:rPr>
        </w:r>
        <w:r w:rsidR="004178EC" w:rsidRPr="002C21B8">
          <w:rPr>
            <w:noProof/>
            <w:webHidden/>
          </w:rPr>
          <w:fldChar w:fldCharType="separate"/>
        </w:r>
        <w:r w:rsidR="00E925DC">
          <w:rPr>
            <w:noProof/>
            <w:webHidden/>
          </w:rPr>
          <w:t>72</w:t>
        </w:r>
        <w:r w:rsidR="004178EC" w:rsidRPr="002C21B8">
          <w:rPr>
            <w:noProof/>
            <w:webHidden/>
          </w:rPr>
          <w:fldChar w:fldCharType="end"/>
        </w:r>
      </w:hyperlink>
    </w:p>
    <w:p w14:paraId="22DB68ED" w14:textId="27417D7F"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0" w:history="1">
        <w:r w:rsidR="004178EC" w:rsidRPr="002C21B8">
          <w:rPr>
            <w:rStyle w:val="Hyperlink"/>
            <w:noProof/>
          </w:rPr>
          <w:t>4.2 Manuscript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_Toc229687220 \h </w:instrText>
        </w:r>
        <w:r w:rsidR="004178EC" w:rsidRPr="002C21B8">
          <w:rPr>
            <w:noProof/>
            <w:webHidden/>
          </w:rPr>
        </w:r>
        <w:r w:rsidR="004178EC" w:rsidRPr="002C21B8">
          <w:rPr>
            <w:noProof/>
            <w:webHidden/>
          </w:rPr>
          <w:fldChar w:fldCharType="separate"/>
        </w:r>
        <w:r w:rsidR="00E925DC">
          <w:rPr>
            <w:noProof/>
            <w:webHidden/>
          </w:rPr>
          <w:t>73</w:t>
        </w:r>
        <w:r w:rsidR="004178EC" w:rsidRPr="002C21B8">
          <w:rPr>
            <w:noProof/>
            <w:webHidden/>
          </w:rPr>
          <w:fldChar w:fldCharType="end"/>
        </w:r>
      </w:hyperlink>
    </w:p>
    <w:p w14:paraId="56551FF1" w14:textId="7903073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1" w:history="1">
        <w:r w:rsidR="004178EC" w:rsidRPr="002C21B8">
          <w:rPr>
            <w:rStyle w:val="Hyperlink"/>
            <w:noProof/>
          </w:rPr>
          <w:t>4.3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_Toc229687221 \h </w:instrText>
        </w:r>
        <w:r w:rsidR="004178EC" w:rsidRPr="002C21B8">
          <w:rPr>
            <w:noProof/>
            <w:webHidden/>
          </w:rPr>
        </w:r>
        <w:r w:rsidR="004178EC" w:rsidRPr="002C21B8">
          <w:rPr>
            <w:noProof/>
            <w:webHidden/>
          </w:rPr>
          <w:fldChar w:fldCharType="separate"/>
        </w:r>
        <w:r w:rsidR="00E925DC">
          <w:rPr>
            <w:noProof/>
            <w:webHidden/>
          </w:rPr>
          <w:t>103</w:t>
        </w:r>
        <w:r w:rsidR="004178EC" w:rsidRPr="002C21B8">
          <w:rPr>
            <w:noProof/>
            <w:webHidden/>
          </w:rPr>
          <w:fldChar w:fldCharType="end"/>
        </w:r>
      </w:hyperlink>
    </w:p>
    <w:p w14:paraId="1AB74435" w14:textId="54A9EC68"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22" w:history="1">
        <w:r w:rsidR="004178EC" w:rsidRPr="002C21B8">
          <w:rPr>
            <w:rStyle w:val="Hyperlink"/>
            <w:noProof/>
          </w:rPr>
          <w:t>Chapter 5 – Variation in tolvaptan prescribing for autosomal dominant polycystic kidney disease in the United Kingdom and its impact on quality of life and costs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_Toc229687222 \h </w:instrText>
        </w:r>
        <w:r w:rsidR="004178EC" w:rsidRPr="002C21B8">
          <w:rPr>
            <w:noProof/>
            <w:webHidden/>
          </w:rPr>
        </w:r>
        <w:r w:rsidR="004178EC" w:rsidRPr="002C21B8">
          <w:rPr>
            <w:noProof/>
            <w:webHidden/>
          </w:rPr>
          <w:fldChar w:fldCharType="separate"/>
        </w:r>
        <w:r w:rsidR="00E925DC">
          <w:rPr>
            <w:noProof/>
            <w:webHidden/>
          </w:rPr>
          <w:t>104</w:t>
        </w:r>
        <w:r w:rsidR="004178EC" w:rsidRPr="002C21B8">
          <w:rPr>
            <w:noProof/>
            <w:webHidden/>
          </w:rPr>
          <w:fldChar w:fldCharType="end"/>
        </w:r>
      </w:hyperlink>
    </w:p>
    <w:p w14:paraId="03C06F10" w14:textId="267A3712"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3" w:history="1">
        <w:r w:rsidR="004178EC" w:rsidRPr="002C21B8">
          <w:rPr>
            <w:rStyle w:val="Hyperlink"/>
            <w:noProof/>
          </w:rPr>
          <w:t>5.1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_Toc229687223 \h </w:instrText>
        </w:r>
        <w:r w:rsidR="004178EC" w:rsidRPr="002C21B8">
          <w:rPr>
            <w:noProof/>
            <w:webHidden/>
          </w:rPr>
        </w:r>
        <w:r w:rsidR="004178EC" w:rsidRPr="002C21B8">
          <w:rPr>
            <w:noProof/>
            <w:webHidden/>
          </w:rPr>
          <w:fldChar w:fldCharType="separate"/>
        </w:r>
        <w:r w:rsidR="00E925DC">
          <w:rPr>
            <w:noProof/>
            <w:webHidden/>
          </w:rPr>
          <w:t>104</w:t>
        </w:r>
        <w:r w:rsidR="004178EC" w:rsidRPr="002C21B8">
          <w:rPr>
            <w:noProof/>
            <w:webHidden/>
          </w:rPr>
          <w:fldChar w:fldCharType="end"/>
        </w:r>
      </w:hyperlink>
    </w:p>
    <w:p w14:paraId="08716912" w14:textId="1AB29EC4"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4" w:history="1">
        <w:r w:rsidR="004178EC" w:rsidRPr="002C21B8">
          <w:rPr>
            <w:rStyle w:val="Hyperlink"/>
            <w:noProof/>
          </w:rPr>
          <w:t>5.2 Manuscript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_Toc229687224 \h </w:instrText>
        </w:r>
        <w:r w:rsidR="004178EC" w:rsidRPr="002C21B8">
          <w:rPr>
            <w:noProof/>
            <w:webHidden/>
          </w:rPr>
        </w:r>
        <w:r w:rsidR="004178EC" w:rsidRPr="002C21B8">
          <w:rPr>
            <w:noProof/>
            <w:webHidden/>
          </w:rPr>
          <w:fldChar w:fldCharType="separate"/>
        </w:r>
        <w:r w:rsidR="00E925DC">
          <w:rPr>
            <w:noProof/>
            <w:webHidden/>
          </w:rPr>
          <w:t>105</w:t>
        </w:r>
        <w:r w:rsidR="004178EC" w:rsidRPr="002C21B8">
          <w:rPr>
            <w:noProof/>
            <w:webHidden/>
          </w:rPr>
          <w:fldChar w:fldCharType="end"/>
        </w:r>
      </w:hyperlink>
    </w:p>
    <w:p w14:paraId="01D88A1F" w14:textId="755CCB2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5" w:history="1">
        <w:r w:rsidR="004178EC" w:rsidRPr="002C21B8">
          <w:rPr>
            <w:rStyle w:val="Hyperlink"/>
            <w:noProof/>
          </w:rPr>
          <w:t>5.3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_Toc229687225 \h </w:instrText>
        </w:r>
        <w:r w:rsidR="004178EC" w:rsidRPr="002C21B8">
          <w:rPr>
            <w:noProof/>
            <w:webHidden/>
          </w:rPr>
        </w:r>
        <w:r w:rsidR="004178EC" w:rsidRPr="002C21B8">
          <w:rPr>
            <w:noProof/>
            <w:webHidden/>
          </w:rPr>
          <w:fldChar w:fldCharType="separate"/>
        </w:r>
        <w:r w:rsidR="00E925DC">
          <w:rPr>
            <w:noProof/>
            <w:webHidden/>
          </w:rPr>
          <w:t>123</w:t>
        </w:r>
        <w:r w:rsidR="004178EC" w:rsidRPr="002C21B8">
          <w:rPr>
            <w:noProof/>
            <w:webHidden/>
          </w:rPr>
          <w:fldChar w:fldCharType="end"/>
        </w:r>
      </w:hyperlink>
    </w:p>
    <w:p w14:paraId="6B376BAD" w14:textId="0839D99C"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26" w:history="1">
        <w:r w:rsidR="004178EC" w:rsidRPr="002C21B8">
          <w:rPr>
            <w:rStyle w:val="Hyperlink"/>
            <w:noProof/>
          </w:rPr>
          <w:t>Chapter 6 – Understanding variation between kidney centres in the implementation of tolvaptan in the management of autosomal dominant polycystic kidney disease: a multiple case study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_Toc229687226 \h </w:instrText>
        </w:r>
        <w:r w:rsidR="004178EC" w:rsidRPr="002C21B8">
          <w:rPr>
            <w:noProof/>
            <w:webHidden/>
          </w:rPr>
        </w:r>
        <w:r w:rsidR="004178EC" w:rsidRPr="002C21B8">
          <w:rPr>
            <w:noProof/>
            <w:webHidden/>
          </w:rPr>
          <w:fldChar w:fldCharType="separate"/>
        </w:r>
        <w:r w:rsidR="00E925DC">
          <w:rPr>
            <w:noProof/>
            <w:webHidden/>
          </w:rPr>
          <w:t>124</w:t>
        </w:r>
        <w:r w:rsidR="004178EC" w:rsidRPr="002C21B8">
          <w:rPr>
            <w:noProof/>
            <w:webHidden/>
          </w:rPr>
          <w:fldChar w:fldCharType="end"/>
        </w:r>
      </w:hyperlink>
    </w:p>
    <w:p w14:paraId="482AB054" w14:textId="2867FBB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7" w:history="1">
        <w:r w:rsidR="004178EC" w:rsidRPr="002C21B8">
          <w:rPr>
            <w:rStyle w:val="Hyperlink"/>
            <w:noProof/>
          </w:rPr>
          <w:t>6.1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_Toc229687227 \h </w:instrText>
        </w:r>
        <w:r w:rsidR="004178EC" w:rsidRPr="002C21B8">
          <w:rPr>
            <w:noProof/>
            <w:webHidden/>
          </w:rPr>
        </w:r>
        <w:r w:rsidR="004178EC" w:rsidRPr="002C21B8">
          <w:rPr>
            <w:noProof/>
            <w:webHidden/>
          </w:rPr>
          <w:fldChar w:fldCharType="separate"/>
        </w:r>
        <w:r w:rsidR="00E925DC">
          <w:rPr>
            <w:noProof/>
            <w:webHidden/>
          </w:rPr>
          <w:t>124</w:t>
        </w:r>
        <w:r w:rsidR="004178EC" w:rsidRPr="002C21B8">
          <w:rPr>
            <w:noProof/>
            <w:webHidden/>
          </w:rPr>
          <w:fldChar w:fldCharType="end"/>
        </w:r>
      </w:hyperlink>
    </w:p>
    <w:p w14:paraId="28BB6740" w14:textId="52D00BD3"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8" w:history="1">
        <w:r w:rsidR="004178EC" w:rsidRPr="002C21B8">
          <w:rPr>
            <w:rStyle w:val="Hyperlink"/>
            <w:noProof/>
          </w:rPr>
          <w:t>6.2 Manuscript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_Toc229687228 \h </w:instrText>
        </w:r>
        <w:r w:rsidR="004178EC" w:rsidRPr="002C21B8">
          <w:rPr>
            <w:noProof/>
            <w:webHidden/>
          </w:rPr>
        </w:r>
        <w:r w:rsidR="004178EC" w:rsidRPr="002C21B8">
          <w:rPr>
            <w:noProof/>
            <w:webHidden/>
          </w:rPr>
          <w:fldChar w:fldCharType="separate"/>
        </w:r>
        <w:r w:rsidR="00E925DC">
          <w:rPr>
            <w:noProof/>
            <w:webHidden/>
          </w:rPr>
          <w:t>125</w:t>
        </w:r>
        <w:r w:rsidR="004178EC" w:rsidRPr="002C21B8">
          <w:rPr>
            <w:noProof/>
            <w:webHidden/>
          </w:rPr>
          <w:fldChar w:fldCharType="end"/>
        </w:r>
      </w:hyperlink>
    </w:p>
    <w:p w14:paraId="3874C8D5" w14:textId="6E783F74"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29" w:history="1">
        <w:r w:rsidR="004178EC" w:rsidRPr="002C21B8">
          <w:rPr>
            <w:rStyle w:val="Hyperlink"/>
            <w:noProof/>
          </w:rPr>
          <w:t>6.3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_Toc229687229 \h </w:instrText>
        </w:r>
        <w:r w:rsidR="004178EC" w:rsidRPr="002C21B8">
          <w:rPr>
            <w:noProof/>
            <w:webHidden/>
          </w:rPr>
        </w:r>
        <w:r w:rsidR="004178EC" w:rsidRPr="002C21B8">
          <w:rPr>
            <w:noProof/>
            <w:webHidden/>
          </w:rPr>
          <w:fldChar w:fldCharType="separate"/>
        </w:r>
        <w:r w:rsidR="00E925DC">
          <w:rPr>
            <w:noProof/>
            <w:webHidden/>
          </w:rPr>
          <w:t>151</w:t>
        </w:r>
        <w:r w:rsidR="004178EC" w:rsidRPr="002C21B8">
          <w:rPr>
            <w:noProof/>
            <w:webHidden/>
          </w:rPr>
          <w:fldChar w:fldCharType="end"/>
        </w:r>
      </w:hyperlink>
    </w:p>
    <w:p w14:paraId="73497143" w14:textId="7D3CD247"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30" w:history="1">
        <w:r w:rsidR="004178EC" w:rsidRPr="002C21B8">
          <w:rPr>
            <w:rStyle w:val="Hyperlink"/>
            <w:noProof/>
          </w:rPr>
          <w:t>Chapter 7 – Developing a conceptual model of prescribing decision-making in rare diseases: insights from tolvaptan prescribing for autosomal dominant polycystic kidney disease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_Toc229687230 \h </w:instrText>
        </w:r>
        <w:r w:rsidR="004178EC" w:rsidRPr="002C21B8">
          <w:rPr>
            <w:noProof/>
            <w:webHidden/>
          </w:rPr>
        </w:r>
        <w:r w:rsidR="004178EC" w:rsidRPr="002C21B8">
          <w:rPr>
            <w:noProof/>
            <w:webHidden/>
          </w:rPr>
          <w:fldChar w:fldCharType="separate"/>
        </w:r>
        <w:r w:rsidR="00E925DC">
          <w:rPr>
            <w:noProof/>
            <w:webHidden/>
          </w:rPr>
          <w:t>152</w:t>
        </w:r>
        <w:r w:rsidR="004178EC" w:rsidRPr="002C21B8">
          <w:rPr>
            <w:noProof/>
            <w:webHidden/>
          </w:rPr>
          <w:fldChar w:fldCharType="end"/>
        </w:r>
      </w:hyperlink>
    </w:p>
    <w:p w14:paraId="638B0808" w14:textId="5A2BE016"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1" w:history="1">
        <w:r w:rsidR="004178EC" w:rsidRPr="002C21B8">
          <w:rPr>
            <w:rStyle w:val="Hyperlink"/>
            <w:noProof/>
          </w:rPr>
          <w:t>7.1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_Toc229687231 \h </w:instrText>
        </w:r>
        <w:r w:rsidR="004178EC" w:rsidRPr="002C21B8">
          <w:rPr>
            <w:noProof/>
            <w:webHidden/>
          </w:rPr>
        </w:r>
        <w:r w:rsidR="004178EC" w:rsidRPr="002C21B8">
          <w:rPr>
            <w:noProof/>
            <w:webHidden/>
          </w:rPr>
          <w:fldChar w:fldCharType="separate"/>
        </w:r>
        <w:r w:rsidR="00E925DC">
          <w:rPr>
            <w:noProof/>
            <w:webHidden/>
          </w:rPr>
          <w:t>152</w:t>
        </w:r>
        <w:r w:rsidR="004178EC" w:rsidRPr="002C21B8">
          <w:rPr>
            <w:noProof/>
            <w:webHidden/>
          </w:rPr>
          <w:fldChar w:fldCharType="end"/>
        </w:r>
      </w:hyperlink>
    </w:p>
    <w:p w14:paraId="67BFFBF0" w14:textId="57385ECA"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2" w:history="1">
        <w:r w:rsidR="004178EC" w:rsidRPr="002C21B8">
          <w:rPr>
            <w:rStyle w:val="Hyperlink"/>
            <w:noProof/>
          </w:rPr>
          <w:t>7.2 Manuscript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_Toc229687232 \h </w:instrText>
        </w:r>
        <w:r w:rsidR="004178EC" w:rsidRPr="002C21B8">
          <w:rPr>
            <w:noProof/>
            <w:webHidden/>
          </w:rPr>
        </w:r>
        <w:r w:rsidR="004178EC" w:rsidRPr="002C21B8">
          <w:rPr>
            <w:noProof/>
            <w:webHidden/>
          </w:rPr>
          <w:fldChar w:fldCharType="separate"/>
        </w:r>
        <w:r w:rsidR="00E925DC">
          <w:rPr>
            <w:noProof/>
            <w:webHidden/>
          </w:rPr>
          <w:t>153</w:t>
        </w:r>
        <w:r w:rsidR="004178EC" w:rsidRPr="002C21B8">
          <w:rPr>
            <w:noProof/>
            <w:webHidden/>
          </w:rPr>
          <w:fldChar w:fldCharType="end"/>
        </w:r>
      </w:hyperlink>
    </w:p>
    <w:p w14:paraId="4B3108A5" w14:textId="3EEE386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3" w:history="1">
        <w:r w:rsidR="004178EC" w:rsidRPr="002C21B8">
          <w:rPr>
            <w:rStyle w:val="Hyperlink"/>
            <w:noProof/>
          </w:rPr>
          <w:t>7.3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_Toc229687233 \h </w:instrText>
        </w:r>
        <w:r w:rsidR="004178EC" w:rsidRPr="002C21B8">
          <w:rPr>
            <w:noProof/>
            <w:webHidden/>
          </w:rPr>
        </w:r>
        <w:r w:rsidR="004178EC" w:rsidRPr="002C21B8">
          <w:rPr>
            <w:noProof/>
            <w:webHidden/>
          </w:rPr>
          <w:fldChar w:fldCharType="separate"/>
        </w:r>
        <w:r w:rsidR="00E925DC">
          <w:rPr>
            <w:noProof/>
            <w:webHidden/>
          </w:rPr>
          <w:t>175</w:t>
        </w:r>
        <w:r w:rsidR="004178EC" w:rsidRPr="002C21B8">
          <w:rPr>
            <w:noProof/>
            <w:webHidden/>
          </w:rPr>
          <w:fldChar w:fldCharType="end"/>
        </w:r>
      </w:hyperlink>
    </w:p>
    <w:p w14:paraId="33256F58" w14:textId="6EF18527"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34" w:history="1">
        <w:r w:rsidR="004178EC" w:rsidRPr="002C21B8">
          <w:rPr>
            <w:rStyle w:val="Hyperlink"/>
            <w:noProof/>
          </w:rPr>
          <w:t>Chapter 8 – Variation in tolvaptan prescribing pathways for autosomal dominant polycystic kidney disease: a national survey of clinical practice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_Toc229687234 \h </w:instrText>
        </w:r>
        <w:r w:rsidR="004178EC" w:rsidRPr="002C21B8">
          <w:rPr>
            <w:noProof/>
            <w:webHidden/>
          </w:rPr>
        </w:r>
        <w:r w:rsidR="004178EC" w:rsidRPr="002C21B8">
          <w:rPr>
            <w:noProof/>
            <w:webHidden/>
          </w:rPr>
          <w:fldChar w:fldCharType="separate"/>
        </w:r>
        <w:r w:rsidR="00E925DC">
          <w:rPr>
            <w:noProof/>
            <w:webHidden/>
          </w:rPr>
          <w:t>176</w:t>
        </w:r>
        <w:r w:rsidR="004178EC" w:rsidRPr="002C21B8">
          <w:rPr>
            <w:noProof/>
            <w:webHidden/>
          </w:rPr>
          <w:fldChar w:fldCharType="end"/>
        </w:r>
      </w:hyperlink>
    </w:p>
    <w:p w14:paraId="3E2D4ECC" w14:textId="6A32E546"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5" w:history="1">
        <w:r w:rsidR="004178EC" w:rsidRPr="002C21B8">
          <w:rPr>
            <w:rStyle w:val="Hyperlink"/>
            <w:noProof/>
          </w:rPr>
          <w:t>8.1 Chapter outline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_Toc229687235 \h </w:instrText>
        </w:r>
        <w:r w:rsidR="004178EC" w:rsidRPr="002C21B8">
          <w:rPr>
            <w:noProof/>
            <w:webHidden/>
          </w:rPr>
        </w:r>
        <w:r w:rsidR="004178EC" w:rsidRPr="002C21B8">
          <w:rPr>
            <w:noProof/>
            <w:webHidden/>
          </w:rPr>
          <w:fldChar w:fldCharType="separate"/>
        </w:r>
        <w:r w:rsidR="00E925DC">
          <w:rPr>
            <w:noProof/>
            <w:webHidden/>
          </w:rPr>
          <w:t>176</w:t>
        </w:r>
        <w:r w:rsidR="004178EC" w:rsidRPr="002C21B8">
          <w:rPr>
            <w:noProof/>
            <w:webHidden/>
          </w:rPr>
          <w:fldChar w:fldCharType="end"/>
        </w:r>
      </w:hyperlink>
    </w:p>
    <w:p w14:paraId="6B34BB0D" w14:textId="05E2FB33"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6" w:history="1">
        <w:r w:rsidR="004178EC" w:rsidRPr="002C21B8">
          <w:rPr>
            <w:rStyle w:val="Hyperlink"/>
            <w:noProof/>
          </w:rPr>
          <w:t>8.2 Manuscript-style report</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_Toc229687236 \h </w:instrText>
        </w:r>
        <w:r w:rsidR="004178EC" w:rsidRPr="002C21B8">
          <w:rPr>
            <w:noProof/>
            <w:webHidden/>
          </w:rPr>
        </w:r>
        <w:r w:rsidR="004178EC" w:rsidRPr="002C21B8">
          <w:rPr>
            <w:noProof/>
            <w:webHidden/>
          </w:rPr>
          <w:fldChar w:fldCharType="separate"/>
        </w:r>
        <w:r w:rsidR="00E925DC">
          <w:rPr>
            <w:noProof/>
            <w:webHidden/>
          </w:rPr>
          <w:t>177</w:t>
        </w:r>
        <w:r w:rsidR="004178EC" w:rsidRPr="002C21B8">
          <w:rPr>
            <w:noProof/>
            <w:webHidden/>
          </w:rPr>
          <w:fldChar w:fldCharType="end"/>
        </w:r>
      </w:hyperlink>
    </w:p>
    <w:p w14:paraId="60F8E4D8" w14:textId="5251E567"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7" w:history="1">
        <w:r w:rsidR="004178EC" w:rsidRPr="002C21B8">
          <w:rPr>
            <w:rStyle w:val="Hyperlink"/>
            <w:noProof/>
          </w:rPr>
          <w:t>8.3 Chapter summary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_Toc229687237 \h </w:instrText>
        </w:r>
        <w:r w:rsidR="004178EC" w:rsidRPr="002C21B8">
          <w:rPr>
            <w:noProof/>
            <w:webHidden/>
          </w:rPr>
        </w:r>
        <w:r w:rsidR="004178EC" w:rsidRPr="002C21B8">
          <w:rPr>
            <w:noProof/>
            <w:webHidden/>
          </w:rPr>
          <w:fldChar w:fldCharType="separate"/>
        </w:r>
        <w:r w:rsidR="00E925DC">
          <w:rPr>
            <w:noProof/>
            <w:webHidden/>
          </w:rPr>
          <w:t>190</w:t>
        </w:r>
        <w:r w:rsidR="004178EC" w:rsidRPr="002C21B8">
          <w:rPr>
            <w:noProof/>
            <w:webHidden/>
          </w:rPr>
          <w:fldChar w:fldCharType="end"/>
        </w:r>
      </w:hyperlink>
    </w:p>
    <w:p w14:paraId="47702DBA" w14:textId="07F7B301"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38" w:history="1">
        <w:r w:rsidR="004178EC" w:rsidRPr="002C21B8">
          <w:rPr>
            <w:rStyle w:val="Hyperlink"/>
            <w:noProof/>
          </w:rPr>
          <w:t>Chapter 9 – Discussion</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_Toc229687238 \h </w:instrText>
        </w:r>
        <w:r w:rsidR="004178EC" w:rsidRPr="002C21B8">
          <w:rPr>
            <w:noProof/>
            <w:webHidden/>
          </w:rPr>
        </w:r>
        <w:r w:rsidR="004178EC" w:rsidRPr="002C21B8">
          <w:rPr>
            <w:noProof/>
            <w:webHidden/>
          </w:rPr>
          <w:fldChar w:fldCharType="separate"/>
        </w:r>
        <w:r w:rsidR="00E925DC">
          <w:rPr>
            <w:noProof/>
            <w:webHidden/>
          </w:rPr>
          <w:t>191</w:t>
        </w:r>
        <w:r w:rsidR="004178EC" w:rsidRPr="002C21B8">
          <w:rPr>
            <w:noProof/>
            <w:webHidden/>
          </w:rPr>
          <w:fldChar w:fldCharType="end"/>
        </w:r>
      </w:hyperlink>
    </w:p>
    <w:p w14:paraId="35970AB1" w14:textId="5A9F7C42"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39" w:history="1">
        <w:r w:rsidR="004178EC" w:rsidRPr="002C21B8">
          <w:rPr>
            <w:rStyle w:val="Hyperlink"/>
            <w:noProof/>
          </w:rPr>
          <w:t>9.1 Introduction</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_Toc229687239 \h </w:instrText>
        </w:r>
        <w:r w:rsidR="004178EC" w:rsidRPr="002C21B8">
          <w:rPr>
            <w:noProof/>
            <w:webHidden/>
          </w:rPr>
        </w:r>
        <w:r w:rsidR="004178EC" w:rsidRPr="002C21B8">
          <w:rPr>
            <w:noProof/>
            <w:webHidden/>
          </w:rPr>
          <w:fldChar w:fldCharType="separate"/>
        </w:r>
        <w:r w:rsidR="00E925DC">
          <w:rPr>
            <w:noProof/>
            <w:webHidden/>
          </w:rPr>
          <w:t>191</w:t>
        </w:r>
        <w:r w:rsidR="004178EC" w:rsidRPr="002C21B8">
          <w:rPr>
            <w:noProof/>
            <w:webHidden/>
          </w:rPr>
          <w:fldChar w:fldCharType="end"/>
        </w:r>
      </w:hyperlink>
    </w:p>
    <w:p w14:paraId="7E820522" w14:textId="13DFD45B"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0" w:history="1">
        <w:r w:rsidR="004178EC" w:rsidRPr="002C21B8">
          <w:rPr>
            <w:rStyle w:val="Hyperlink"/>
            <w:noProof/>
          </w:rPr>
          <w:t>9.2 Summary of main findings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_Toc229687240 \h </w:instrText>
        </w:r>
        <w:r w:rsidR="004178EC" w:rsidRPr="002C21B8">
          <w:rPr>
            <w:noProof/>
            <w:webHidden/>
          </w:rPr>
        </w:r>
        <w:r w:rsidR="004178EC" w:rsidRPr="002C21B8">
          <w:rPr>
            <w:noProof/>
            <w:webHidden/>
          </w:rPr>
          <w:fldChar w:fldCharType="separate"/>
        </w:r>
        <w:r w:rsidR="00E925DC">
          <w:rPr>
            <w:noProof/>
            <w:webHidden/>
          </w:rPr>
          <w:t>191</w:t>
        </w:r>
        <w:r w:rsidR="004178EC" w:rsidRPr="002C21B8">
          <w:rPr>
            <w:noProof/>
            <w:webHidden/>
          </w:rPr>
          <w:fldChar w:fldCharType="end"/>
        </w:r>
      </w:hyperlink>
    </w:p>
    <w:p w14:paraId="5D0BEB93" w14:textId="35085468"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1" w:history="1">
        <w:r w:rsidR="004178EC" w:rsidRPr="002C21B8">
          <w:rPr>
            <w:rStyle w:val="Hyperlink"/>
            <w:noProof/>
          </w:rPr>
          <w:t>9.3 Integration of findings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_Toc229687241 \h </w:instrText>
        </w:r>
        <w:r w:rsidR="004178EC" w:rsidRPr="002C21B8">
          <w:rPr>
            <w:noProof/>
            <w:webHidden/>
          </w:rPr>
        </w:r>
        <w:r w:rsidR="004178EC" w:rsidRPr="002C21B8">
          <w:rPr>
            <w:noProof/>
            <w:webHidden/>
          </w:rPr>
          <w:fldChar w:fldCharType="separate"/>
        </w:r>
        <w:r w:rsidR="00E925DC">
          <w:rPr>
            <w:noProof/>
            <w:webHidden/>
          </w:rPr>
          <w:t>192</w:t>
        </w:r>
        <w:r w:rsidR="004178EC" w:rsidRPr="002C21B8">
          <w:rPr>
            <w:noProof/>
            <w:webHidden/>
          </w:rPr>
          <w:fldChar w:fldCharType="end"/>
        </w:r>
      </w:hyperlink>
    </w:p>
    <w:p w14:paraId="2D595AC4" w14:textId="3BF1AF2E"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2" w:history="1">
        <w:r w:rsidR="004178EC" w:rsidRPr="002C21B8">
          <w:rPr>
            <w:rStyle w:val="Hyperlink"/>
            <w:noProof/>
          </w:rPr>
          <w:t>9.4 Interpretation of findings in relation to the wider literature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_Toc229687242 \h </w:instrText>
        </w:r>
        <w:r w:rsidR="004178EC" w:rsidRPr="002C21B8">
          <w:rPr>
            <w:noProof/>
            <w:webHidden/>
          </w:rPr>
        </w:r>
        <w:r w:rsidR="004178EC" w:rsidRPr="002C21B8">
          <w:rPr>
            <w:noProof/>
            <w:webHidden/>
          </w:rPr>
          <w:fldChar w:fldCharType="separate"/>
        </w:r>
        <w:r w:rsidR="00E925DC">
          <w:rPr>
            <w:noProof/>
            <w:webHidden/>
          </w:rPr>
          <w:t>196</w:t>
        </w:r>
        <w:r w:rsidR="004178EC" w:rsidRPr="002C21B8">
          <w:rPr>
            <w:noProof/>
            <w:webHidden/>
          </w:rPr>
          <w:fldChar w:fldCharType="end"/>
        </w:r>
      </w:hyperlink>
    </w:p>
    <w:p w14:paraId="57FBEE6A" w14:textId="7FB1E32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3" w:history="1">
        <w:r w:rsidR="004178EC" w:rsidRPr="002C21B8">
          <w:rPr>
            <w:rStyle w:val="Hyperlink"/>
            <w:noProof/>
          </w:rPr>
          <w:t>9.5 Strengths and limitations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_Toc229687243 \h </w:instrText>
        </w:r>
        <w:r w:rsidR="004178EC" w:rsidRPr="002C21B8">
          <w:rPr>
            <w:noProof/>
            <w:webHidden/>
          </w:rPr>
        </w:r>
        <w:r w:rsidR="004178EC" w:rsidRPr="002C21B8">
          <w:rPr>
            <w:noProof/>
            <w:webHidden/>
          </w:rPr>
          <w:fldChar w:fldCharType="separate"/>
        </w:r>
        <w:r w:rsidR="00E925DC">
          <w:rPr>
            <w:noProof/>
            <w:webHidden/>
          </w:rPr>
          <w:t>207</w:t>
        </w:r>
        <w:r w:rsidR="004178EC" w:rsidRPr="002C21B8">
          <w:rPr>
            <w:noProof/>
            <w:webHidden/>
          </w:rPr>
          <w:fldChar w:fldCharType="end"/>
        </w:r>
      </w:hyperlink>
    </w:p>
    <w:p w14:paraId="76F630D8" w14:textId="2677E36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4" w:history="1">
        <w:r w:rsidR="004178EC" w:rsidRPr="002C21B8">
          <w:rPr>
            <w:rStyle w:val="Hyperlink"/>
            <w:noProof/>
          </w:rPr>
          <w:t>9.6 Transferability of findings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_Toc229687244 \h </w:instrText>
        </w:r>
        <w:r w:rsidR="004178EC" w:rsidRPr="002C21B8">
          <w:rPr>
            <w:noProof/>
            <w:webHidden/>
          </w:rPr>
        </w:r>
        <w:r w:rsidR="004178EC" w:rsidRPr="002C21B8">
          <w:rPr>
            <w:noProof/>
            <w:webHidden/>
          </w:rPr>
          <w:fldChar w:fldCharType="separate"/>
        </w:r>
        <w:r w:rsidR="00E925DC">
          <w:rPr>
            <w:noProof/>
            <w:webHidden/>
          </w:rPr>
          <w:t>209</w:t>
        </w:r>
        <w:r w:rsidR="004178EC" w:rsidRPr="002C21B8">
          <w:rPr>
            <w:noProof/>
            <w:webHidden/>
          </w:rPr>
          <w:fldChar w:fldCharType="end"/>
        </w:r>
      </w:hyperlink>
    </w:p>
    <w:p w14:paraId="5DBCD497" w14:textId="59940BC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5" w:history="1">
        <w:r w:rsidR="004178EC" w:rsidRPr="002C21B8">
          <w:rPr>
            <w:rStyle w:val="Hyperlink"/>
            <w:noProof/>
          </w:rPr>
          <w:t>9.7 Influence of PPI on the programme of research</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_Toc229687245 \h </w:instrText>
        </w:r>
        <w:r w:rsidR="004178EC" w:rsidRPr="002C21B8">
          <w:rPr>
            <w:noProof/>
            <w:webHidden/>
          </w:rPr>
        </w:r>
        <w:r w:rsidR="004178EC" w:rsidRPr="002C21B8">
          <w:rPr>
            <w:noProof/>
            <w:webHidden/>
          </w:rPr>
          <w:fldChar w:fldCharType="separate"/>
        </w:r>
        <w:r w:rsidR="00E925DC">
          <w:rPr>
            <w:noProof/>
            <w:webHidden/>
          </w:rPr>
          <w:t>209</w:t>
        </w:r>
        <w:r w:rsidR="004178EC" w:rsidRPr="002C21B8">
          <w:rPr>
            <w:noProof/>
            <w:webHidden/>
          </w:rPr>
          <w:fldChar w:fldCharType="end"/>
        </w:r>
      </w:hyperlink>
    </w:p>
    <w:p w14:paraId="303483F1" w14:textId="7FC01356"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6" w:history="1">
        <w:r w:rsidR="004178EC" w:rsidRPr="002C21B8">
          <w:rPr>
            <w:rStyle w:val="Hyperlink"/>
            <w:noProof/>
          </w:rPr>
          <w:t>9.8 Reflexivity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_Toc229687246 \h </w:instrText>
        </w:r>
        <w:r w:rsidR="004178EC" w:rsidRPr="002C21B8">
          <w:rPr>
            <w:noProof/>
            <w:webHidden/>
          </w:rPr>
        </w:r>
        <w:r w:rsidR="004178EC" w:rsidRPr="002C21B8">
          <w:rPr>
            <w:noProof/>
            <w:webHidden/>
          </w:rPr>
          <w:fldChar w:fldCharType="separate"/>
        </w:r>
        <w:r w:rsidR="00E925DC">
          <w:rPr>
            <w:noProof/>
            <w:webHidden/>
          </w:rPr>
          <w:t>210</w:t>
        </w:r>
        <w:r w:rsidR="004178EC" w:rsidRPr="002C21B8">
          <w:rPr>
            <w:noProof/>
            <w:webHidden/>
          </w:rPr>
          <w:fldChar w:fldCharType="end"/>
        </w:r>
      </w:hyperlink>
    </w:p>
    <w:p w14:paraId="69B67B48" w14:textId="6BB7E40A"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7" w:history="1">
        <w:r w:rsidR="004178EC" w:rsidRPr="002C21B8">
          <w:rPr>
            <w:rStyle w:val="Hyperlink"/>
            <w:noProof/>
          </w:rPr>
          <w:t>9.9 Unique contributions to knowledge</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_Toc229687247 \h </w:instrText>
        </w:r>
        <w:r w:rsidR="004178EC" w:rsidRPr="002C21B8">
          <w:rPr>
            <w:noProof/>
            <w:webHidden/>
          </w:rPr>
        </w:r>
        <w:r w:rsidR="004178EC" w:rsidRPr="002C21B8">
          <w:rPr>
            <w:noProof/>
            <w:webHidden/>
          </w:rPr>
          <w:fldChar w:fldCharType="separate"/>
        </w:r>
        <w:r w:rsidR="00E925DC">
          <w:rPr>
            <w:noProof/>
            <w:webHidden/>
          </w:rPr>
          <w:t>212</w:t>
        </w:r>
        <w:r w:rsidR="004178EC" w:rsidRPr="002C21B8">
          <w:rPr>
            <w:noProof/>
            <w:webHidden/>
          </w:rPr>
          <w:fldChar w:fldCharType="end"/>
        </w:r>
      </w:hyperlink>
    </w:p>
    <w:p w14:paraId="18A464FB" w14:textId="5371CD1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8" w:history="1">
        <w:r w:rsidR="004178EC" w:rsidRPr="002C21B8">
          <w:rPr>
            <w:rStyle w:val="Hyperlink"/>
            <w:noProof/>
          </w:rPr>
          <w:t>9.10 Recommendations for clinical practice and policy</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_Toc229687248 \h </w:instrText>
        </w:r>
        <w:r w:rsidR="004178EC" w:rsidRPr="002C21B8">
          <w:rPr>
            <w:noProof/>
            <w:webHidden/>
          </w:rPr>
        </w:r>
        <w:r w:rsidR="004178EC" w:rsidRPr="002C21B8">
          <w:rPr>
            <w:noProof/>
            <w:webHidden/>
          </w:rPr>
          <w:fldChar w:fldCharType="separate"/>
        </w:r>
        <w:r w:rsidR="00E925DC">
          <w:rPr>
            <w:noProof/>
            <w:webHidden/>
          </w:rPr>
          <w:t>213</w:t>
        </w:r>
        <w:r w:rsidR="004178EC" w:rsidRPr="002C21B8">
          <w:rPr>
            <w:noProof/>
            <w:webHidden/>
          </w:rPr>
          <w:fldChar w:fldCharType="end"/>
        </w:r>
      </w:hyperlink>
    </w:p>
    <w:p w14:paraId="75C2B344" w14:textId="41393027"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49" w:history="1">
        <w:r w:rsidR="004178EC" w:rsidRPr="002C21B8">
          <w:rPr>
            <w:rStyle w:val="Hyperlink"/>
            <w:noProof/>
          </w:rPr>
          <w:t>9.11 Future research priorities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_Toc229687249 \h </w:instrText>
        </w:r>
        <w:r w:rsidR="004178EC" w:rsidRPr="002C21B8">
          <w:rPr>
            <w:noProof/>
            <w:webHidden/>
          </w:rPr>
        </w:r>
        <w:r w:rsidR="004178EC" w:rsidRPr="002C21B8">
          <w:rPr>
            <w:noProof/>
            <w:webHidden/>
          </w:rPr>
          <w:fldChar w:fldCharType="separate"/>
        </w:r>
        <w:r w:rsidR="00E925DC">
          <w:rPr>
            <w:noProof/>
            <w:webHidden/>
          </w:rPr>
          <w:t>214</w:t>
        </w:r>
        <w:r w:rsidR="004178EC" w:rsidRPr="002C21B8">
          <w:rPr>
            <w:noProof/>
            <w:webHidden/>
          </w:rPr>
          <w:fldChar w:fldCharType="end"/>
        </w:r>
      </w:hyperlink>
    </w:p>
    <w:p w14:paraId="49643FD9" w14:textId="07965D6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0" w:history="1">
        <w:r w:rsidR="004178EC" w:rsidRPr="002C21B8">
          <w:rPr>
            <w:rStyle w:val="Hyperlink"/>
            <w:noProof/>
          </w:rPr>
          <w:t>9.12 Conclusions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_Toc229687250 \h </w:instrText>
        </w:r>
        <w:r w:rsidR="004178EC" w:rsidRPr="002C21B8">
          <w:rPr>
            <w:noProof/>
            <w:webHidden/>
          </w:rPr>
        </w:r>
        <w:r w:rsidR="004178EC" w:rsidRPr="002C21B8">
          <w:rPr>
            <w:noProof/>
            <w:webHidden/>
          </w:rPr>
          <w:fldChar w:fldCharType="separate"/>
        </w:r>
        <w:r w:rsidR="00E925DC">
          <w:rPr>
            <w:noProof/>
            <w:webHidden/>
          </w:rPr>
          <w:t>216</w:t>
        </w:r>
        <w:r w:rsidR="004178EC" w:rsidRPr="002C21B8">
          <w:rPr>
            <w:noProof/>
            <w:webHidden/>
          </w:rPr>
          <w:fldChar w:fldCharType="end"/>
        </w:r>
      </w:hyperlink>
    </w:p>
    <w:p w14:paraId="25F24352" w14:textId="4AD31804"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51" w:history="1">
        <w:r w:rsidR="004178EC" w:rsidRPr="002C21B8">
          <w:rPr>
            <w:rStyle w:val="Hyperlink"/>
            <w:noProof/>
          </w:rPr>
          <w:t>References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_Toc229687251 \h </w:instrText>
        </w:r>
        <w:r w:rsidR="004178EC" w:rsidRPr="002C21B8">
          <w:rPr>
            <w:noProof/>
            <w:webHidden/>
          </w:rPr>
        </w:r>
        <w:r w:rsidR="004178EC" w:rsidRPr="002C21B8">
          <w:rPr>
            <w:noProof/>
            <w:webHidden/>
          </w:rPr>
          <w:fldChar w:fldCharType="separate"/>
        </w:r>
        <w:r w:rsidR="00E925DC">
          <w:rPr>
            <w:noProof/>
            <w:webHidden/>
          </w:rPr>
          <w:t>217</w:t>
        </w:r>
        <w:r w:rsidR="004178EC" w:rsidRPr="002C21B8">
          <w:rPr>
            <w:noProof/>
            <w:webHidden/>
          </w:rPr>
          <w:fldChar w:fldCharType="end"/>
        </w:r>
      </w:hyperlink>
    </w:p>
    <w:p w14:paraId="5A0D724F" w14:textId="6E873B7E" w:rsidR="004178EC" w:rsidRPr="002C21B8" w:rsidRDefault="00000000" w:rsidP="004178EC">
      <w:pPr>
        <w:pStyle w:val="TOC1"/>
        <w:spacing w:beforeLines="80" w:before="192" w:line="240" w:lineRule="auto"/>
        <w:rPr>
          <w:rFonts w:eastAsiaTheme="minorEastAsia" w:cstheme="minorBidi"/>
          <w:b w:val="0"/>
          <w:bCs w:val="0"/>
          <w:iCs w:val="0"/>
          <w:noProof/>
          <w:kern w:val="2"/>
          <w14:ligatures w14:val="standardContextual"/>
        </w:rPr>
      </w:pPr>
      <w:hyperlink w:anchor="_Toc229687252" w:history="1">
        <w:r w:rsidR="004178EC" w:rsidRPr="002C21B8">
          <w:rPr>
            <w:rStyle w:val="Hyperlink"/>
            <w:noProof/>
          </w:rPr>
          <w:t>Appendices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_Toc229687252 \h </w:instrText>
        </w:r>
        <w:r w:rsidR="004178EC" w:rsidRPr="002C21B8">
          <w:rPr>
            <w:noProof/>
            <w:webHidden/>
          </w:rPr>
        </w:r>
        <w:r w:rsidR="004178EC" w:rsidRPr="002C21B8">
          <w:rPr>
            <w:noProof/>
            <w:webHidden/>
          </w:rPr>
          <w:fldChar w:fldCharType="separate"/>
        </w:r>
        <w:r w:rsidR="00E925DC">
          <w:rPr>
            <w:noProof/>
            <w:webHidden/>
          </w:rPr>
          <w:t>257</w:t>
        </w:r>
        <w:r w:rsidR="004178EC" w:rsidRPr="002C21B8">
          <w:rPr>
            <w:noProof/>
            <w:webHidden/>
          </w:rPr>
          <w:fldChar w:fldCharType="end"/>
        </w:r>
      </w:hyperlink>
    </w:p>
    <w:p w14:paraId="50E73284" w14:textId="48314CB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3" w:history="1">
        <w:r w:rsidR="004178EC" w:rsidRPr="002C21B8">
          <w:rPr>
            <w:rStyle w:val="Hyperlink"/>
            <w:noProof/>
          </w:rPr>
          <w:t>Appendix 1. Author contributions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_Toc229687253 \h </w:instrText>
        </w:r>
        <w:r w:rsidR="004178EC" w:rsidRPr="002C21B8">
          <w:rPr>
            <w:noProof/>
            <w:webHidden/>
          </w:rPr>
        </w:r>
        <w:r w:rsidR="004178EC" w:rsidRPr="002C21B8">
          <w:rPr>
            <w:noProof/>
            <w:webHidden/>
          </w:rPr>
          <w:fldChar w:fldCharType="separate"/>
        </w:r>
        <w:r w:rsidR="00E925DC">
          <w:rPr>
            <w:noProof/>
            <w:webHidden/>
          </w:rPr>
          <w:t>257</w:t>
        </w:r>
        <w:r w:rsidR="004178EC" w:rsidRPr="002C21B8">
          <w:rPr>
            <w:noProof/>
            <w:webHidden/>
          </w:rPr>
          <w:fldChar w:fldCharType="end"/>
        </w:r>
      </w:hyperlink>
    </w:p>
    <w:p w14:paraId="5089C86B" w14:textId="69955F71"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4" w:history="1">
        <w:r w:rsidR="004178EC" w:rsidRPr="002C21B8">
          <w:rPr>
            <w:rStyle w:val="Hyperlink"/>
            <w:noProof/>
          </w:rPr>
          <w:t>Appendix 2. Ethical approval documents</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_Toc229687254 \h </w:instrText>
        </w:r>
        <w:r w:rsidR="004178EC" w:rsidRPr="002C21B8">
          <w:rPr>
            <w:noProof/>
            <w:webHidden/>
          </w:rPr>
        </w:r>
        <w:r w:rsidR="004178EC" w:rsidRPr="002C21B8">
          <w:rPr>
            <w:noProof/>
            <w:webHidden/>
          </w:rPr>
          <w:fldChar w:fldCharType="separate"/>
        </w:r>
        <w:r w:rsidR="00E925DC">
          <w:rPr>
            <w:noProof/>
            <w:webHidden/>
          </w:rPr>
          <w:t>262</w:t>
        </w:r>
        <w:r w:rsidR="004178EC" w:rsidRPr="002C21B8">
          <w:rPr>
            <w:noProof/>
            <w:webHidden/>
          </w:rPr>
          <w:fldChar w:fldCharType="end"/>
        </w:r>
      </w:hyperlink>
    </w:p>
    <w:p w14:paraId="50DAA23D" w14:textId="19AE3E0B"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5" w:history="1">
        <w:r w:rsidR="004178EC" w:rsidRPr="002C21B8">
          <w:rPr>
            <w:rStyle w:val="Hyperlink"/>
            <w:noProof/>
          </w:rPr>
          <w:t>Appendix 3. Additional details on the methods for the systematic review (Phase 1)</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_Toc229687255 \h </w:instrText>
        </w:r>
        <w:r w:rsidR="004178EC" w:rsidRPr="002C21B8">
          <w:rPr>
            <w:noProof/>
            <w:webHidden/>
          </w:rPr>
        </w:r>
        <w:r w:rsidR="004178EC" w:rsidRPr="002C21B8">
          <w:rPr>
            <w:noProof/>
            <w:webHidden/>
          </w:rPr>
          <w:fldChar w:fldCharType="separate"/>
        </w:r>
        <w:r w:rsidR="00E925DC">
          <w:rPr>
            <w:noProof/>
            <w:webHidden/>
          </w:rPr>
          <w:t>268</w:t>
        </w:r>
        <w:r w:rsidR="004178EC" w:rsidRPr="002C21B8">
          <w:rPr>
            <w:noProof/>
            <w:webHidden/>
          </w:rPr>
          <w:fldChar w:fldCharType="end"/>
        </w:r>
      </w:hyperlink>
    </w:p>
    <w:p w14:paraId="6E8ED12E" w14:textId="79BD8B1E"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6" w:history="1">
        <w:r w:rsidR="004178EC" w:rsidRPr="002C21B8">
          <w:rPr>
            <w:rStyle w:val="Hyperlink"/>
            <w:noProof/>
          </w:rPr>
          <w:t>Appendix 4. Publication materials for journal article 1 (Chapter 4)</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_Toc229687256 \h </w:instrText>
        </w:r>
        <w:r w:rsidR="004178EC" w:rsidRPr="002C21B8">
          <w:rPr>
            <w:noProof/>
            <w:webHidden/>
          </w:rPr>
        </w:r>
        <w:r w:rsidR="004178EC" w:rsidRPr="002C21B8">
          <w:rPr>
            <w:noProof/>
            <w:webHidden/>
          </w:rPr>
          <w:fldChar w:fldCharType="separate"/>
        </w:r>
        <w:r w:rsidR="00E925DC">
          <w:rPr>
            <w:noProof/>
            <w:webHidden/>
          </w:rPr>
          <w:t>293</w:t>
        </w:r>
        <w:r w:rsidR="004178EC" w:rsidRPr="002C21B8">
          <w:rPr>
            <w:noProof/>
            <w:webHidden/>
          </w:rPr>
          <w:fldChar w:fldCharType="end"/>
        </w:r>
      </w:hyperlink>
    </w:p>
    <w:p w14:paraId="77FBB570" w14:textId="2907DC49"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7" w:history="1">
        <w:r w:rsidR="004178EC" w:rsidRPr="002C21B8">
          <w:rPr>
            <w:rStyle w:val="Hyperlink"/>
            <w:noProof/>
          </w:rPr>
          <w:t>Appendix 5. Additional details on the methods for the analysis of registry data (Phase 2)</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_Toc229687257 \h </w:instrText>
        </w:r>
        <w:r w:rsidR="004178EC" w:rsidRPr="002C21B8">
          <w:rPr>
            <w:noProof/>
            <w:webHidden/>
          </w:rPr>
        </w:r>
        <w:r w:rsidR="004178EC" w:rsidRPr="002C21B8">
          <w:rPr>
            <w:noProof/>
            <w:webHidden/>
          </w:rPr>
          <w:fldChar w:fldCharType="separate"/>
        </w:r>
        <w:r w:rsidR="00E925DC">
          <w:rPr>
            <w:noProof/>
            <w:webHidden/>
          </w:rPr>
          <w:t>326</w:t>
        </w:r>
        <w:r w:rsidR="004178EC" w:rsidRPr="002C21B8">
          <w:rPr>
            <w:noProof/>
            <w:webHidden/>
          </w:rPr>
          <w:fldChar w:fldCharType="end"/>
        </w:r>
      </w:hyperlink>
    </w:p>
    <w:p w14:paraId="0E6C80E7" w14:textId="68EE07AC"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8" w:history="1">
        <w:r w:rsidR="004178EC" w:rsidRPr="002C21B8">
          <w:rPr>
            <w:rStyle w:val="Hyperlink"/>
            <w:noProof/>
          </w:rPr>
          <w:t>Appendix 6. Publication materials for journal article 2 (Chapter 5)</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_Toc229687258 \h </w:instrText>
        </w:r>
        <w:r w:rsidR="004178EC" w:rsidRPr="002C21B8">
          <w:rPr>
            <w:noProof/>
            <w:webHidden/>
          </w:rPr>
        </w:r>
        <w:r w:rsidR="004178EC" w:rsidRPr="002C21B8">
          <w:rPr>
            <w:noProof/>
            <w:webHidden/>
          </w:rPr>
          <w:fldChar w:fldCharType="separate"/>
        </w:r>
        <w:r w:rsidR="00E925DC">
          <w:rPr>
            <w:noProof/>
            <w:webHidden/>
          </w:rPr>
          <w:t>346</w:t>
        </w:r>
        <w:r w:rsidR="004178EC" w:rsidRPr="002C21B8">
          <w:rPr>
            <w:noProof/>
            <w:webHidden/>
          </w:rPr>
          <w:fldChar w:fldCharType="end"/>
        </w:r>
      </w:hyperlink>
    </w:p>
    <w:p w14:paraId="7399D117" w14:textId="5173EAA3"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59" w:history="1">
        <w:r w:rsidR="004178EC" w:rsidRPr="002C21B8">
          <w:rPr>
            <w:rStyle w:val="Hyperlink"/>
            <w:noProof/>
          </w:rPr>
          <w:t>Appendix 7. Additional details on the methods for the multiple case study (Phase 3)</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_Toc229687259 \h </w:instrText>
        </w:r>
        <w:r w:rsidR="004178EC" w:rsidRPr="002C21B8">
          <w:rPr>
            <w:noProof/>
            <w:webHidden/>
          </w:rPr>
        </w:r>
        <w:r w:rsidR="004178EC" w:rsidRPr="002C21B8">
          <w:rPr>
            <w:noProof/>
            <w:webHidden/>
          </w:rPr>
          <w:fldChar w:fldCharType="separate"/>
        </w:r>
        <w:r w:rsidR="00E925DC">
          <w:rPr>
            <w:noProof/>
            <w:webHidden/>
          </w:rPr>
          <w:t>365</w:t>
        </w:r>
        <w:r w:rsidR="004178EC" w:rsidRPr="002C21B8">
          <w:rPr>
            <w:noProof/>
            <w:webHidden/>
          </w:rPr>
          <w:fldChar w:fldCharType="end"/>
        </w:r>
      </w:hyperlink>
    </w:p>
    <w:p w14:paraId="6EF761E1" w14:textId="31DEAAAE"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60" w:history="1">
        <w:r w:rsidR="004178EC" w:rsidRPr="002C21B8">
          <w:rPr>
            <w:rStyle w:val="Hyperlink"/>
            <w:noProof/>
          </w:rPr>
          <w:t>Appendix 8. Publication materials for journal articles 3 &amp; 4 (Chapters 6 &amp; 7)</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_Toc229687260 \h </w:instrText>
        </w:r>
        <w:r w:rsidR="004178EC" w:rsidRPr="002C21B8">
          <w:rPr>
            <w:noProof/>
            <w:webHidden/>
          </w:rPr>
        </w:r>
        <w:r w:rsidR="004178EC" w:rsidRPr="002C21B8">
          <w:rPr>
            <w:noProof/>
            <w:webHidden/>
          </w:rPr>
          <w:fldChar w:fldCharType="separate"/>
        </w:r>
        <w:r w:rsidR="00E925DC">
          <w:rPr>
            <w:noProof/>
            <w:webHidden/>
          </w:rPr>
          <w:t>374</w:t>
        </w:r>
        <w:r w:rsidR="004178EC" w:rsidRPr="002C21B8">
          <w:rPr>
            <w:noProof/>
            <w:webHidden/>
          </w:rPr>
          <w:fldChar w:fldCharType="end"/>
        </w:r>
      </w:hyperlink>
    </w:p>
    <w:p w14:paraId="2372DE9D" w14:textId="34F934F0"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61" w:history="1">
        <w:r w:rsidR="004178EC" w:rsidRPr="002C21B8">
          <w:rPr>
            <w:rStyle w:val="Hyperlink"/>
            <w:noProof/>
          </w:rPr>
          <w:t>Appendix 9. Additional details on the methods for the survey of clinical practice (Phase 4)</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_Toc229687261 \h </w:instrText>
        </w:r>
        <w:r w:rsidR="004178EC" w:rsidRPr="002C21B8">
          <w:rPr>
            <w:noProof/>
            <w:webHidden/>
          </w:rPr>
        </w:r>
        <w:r w:rsidR="004178EC" w:rsidRPr="002C21B8">
          <w:rPr>
            <w:noProof/>
            <w:webHidden/>
          </w:rPr>
          <w:fldChar w:fldCharType="separate"/>
        </w:r>
        <w:r w:rsidR="00E925DC">
          <w:rPr>
            <w:noProof/>
            <w:webHidden/>
          </w:rPr>
          <w:t>404</w:t>
        </w:r>
        <w:r w:rsidR="004178EC" w:rsidRPr="002C21B8">
          <w:rPr>
            <w:noProof/>
            <w:webHidden/>
          </w:rPr>
          <w:fldChar w:fldCharType="end"/>
        </w:r>
      </w:hyperlink>
    </w:p>
    <w:p w14:paraId="08D2F9D7" w14:textId="5517D02A" w:rsidR="004178EC" w:rsidRPr="002C21B8" w:rsidRDefault="00000000" w:rsidP="004178EC">
      <w:pPr>
        <w:pStyle w:val="TOC2"/>
        <w:rPr>
          <w:rFonts w:eastAsiaTheme="minorEastAsia" w:cstheme="minorBidi"/>
          <w:b w:val="0"/>
          <w:bCs w:val="0"/>
          <w:noProof/>
          <w:kern w:val="2"/>
          <w:sz w:val="24"/>
          <w:szCs w:val="24"/>
          <w14:ligatures w14:val="standardContextual"/>
        </w:rPr>
      </w:pPr>
      <w:hyperlink w:anchor="_Toc229687262" w:history="1">
        <w:r w:rsidR="004178EC" w:rsidRPr="002C21B8">
          <w:rPr>
            <w:rStyle w:val="Hyperlink"/>
            <w:noProof/>
          </w:rPr>
          <w:t>Appendix 10. Publication materials for the national survey of clinical practice (Chapter 8)</w:t>
        </w:r>
        <w:r w:rsidR="004178EC" w:rsidRPr="002C21B8">
          <w:rPr>
            <w:noProof/>
            <w:webHidden/>
          </w:rPr>
          <w:tab/>
        </w:r>
        <w:r w:rsidR="004178EC" w:rsidRPr="002C21B8">
          <w:rPr>
            <w:noProof/>
            <w:webHidden/>
          </w:rPr>
          <w:fldChar w:fldCharType="begin"/>
        </w:r>
        <w:r w:rsidR="004178EC" w:rsidRPr="002C21B8">
          <w:rPr>
            <w:noProof/>
            <w:webHidden/>
          </w:rPr>
          <w:instrText xml:space="preserve"> PAGEREF _Toc229687262 \h </w:instrText>
        </w:r>
        <w:r w:rsidR="004178EC" w:rsidRPr="002C21B8">
          <w:rPr>
            <w:noProof/>
            <w:webHidden/>
          </w:rPr>
        </w:r>
        <w:r w:rsidR="004178EC" w:rsidRPr="002C21B8">
          <w:rPr>
            <w:noProof/>
            <w:webHidden/>
          </w:rPr>
          <w:fldChar w:fldCharType="separate"/>
        </w:r>
        <w:r w:rsidR="00E925DC">
          <w:rPr>
            <w:noProof/>
            <w:webHidden/>
          </w:rPr>
          <w:t>407</w:t>
        </w:r>
        <w:r w:rsidR="004178EC" w:rsidRPr="002C21B8">
          <w:rPr>
            <w:noProof/>
            <w:webHidden/>
          </w:rPr>
          <w:fldChar w:fldCharType="end"/>
        </w:r>
      </w:hyperlink>
    </w:p>
    <w:p w14:paraId="2270BEE3" w14:textId="20C7678D" w:rsidR="00E8684A" w:rsidRPr="002C21B8" w:rsidRDefault="00686BCB" w:rsidP="00A27F21">
      <w:pPr>
        <w:pStyle w:val="Heading1"/>
        <w:numPr>
          <w:ilvl w:val="0"/>
          <w:numId w:val="0"/>
        </w:numPr>
        <w:spacing w:beforeLines="80" w:before="192" w:line="240" w:lineRule="auto"/>
      </w:pPr>
      <w:r w:rsidRPr="002C21B8">
        <w:rPr>
          <w:rFonts w:asciiTheme="minorHAnsi" w:hAnsiTheme="minorHAnsi" w:cstheme="minorHAnsi"/>
          <w:i/>
          <w:iCs/>
          <w:sz w:val="24"/>
          <w:szCs w:val="24"/>
        </w:rPr>
        <w:lastRenderedPageBreak/>
        <w:fldChar w:fldCharType="end"/>
      </w:r>
      <w:bookmarkStart w:id="4" w:name="_Toc229687185"/>
      <w:r w:rsidR="0029797A" w:rsidRPr="002C21B8">
        <w:t>List of a</w:t>
      </w:r>
      <w:r w:rsidR="00E8684A" w:rsidRPr="002C21B8">
        <w:t>bbreviations</w:t>
      </w:r>
      <w:bookmarkEnd w:id="4"/>
    </w:p>
    <w:p w14:paraId="5A57DB89" w14:textId="77777777" w:rsidR="00E8684A" w:rsidRPr="002C21B8" w:rsidRDefault="00E8684A" w:rsidP="007C445A">
      <w:pPr>
        <w:spacing w:before="200"/>
      </w:pPr>
      <w:r w:rsidRPr="002C21B8">
        <w:t>Common abbreviations that are used in this thesis are included; this list is not exhaustive.</w:t>
      </w:r>
    </w:p>
    <w:p w14:paraId="778E0523" w14:textId="77777777" w:rsidR="00E8684A" w:rsidRPr="002C21B8" w:rsidRDefault="00E8684A" w:rsidP="003374F4">
      <w:r w:rsidRPr="002C21B8">
        <w:rPr>
          <w:b/>
        </w:rPr>
        <w:t>ADPKD</w:t>
      </w:r>
      <w:r w:rsidRPr="002C21B8">
        <w:tab/>
      </w:r>
      <w:r w:rsidRPr="002C21B8">
        <w:tab/>
        <w:t>Autosomal Dominant Polycystic Kidney Disease</w:t>
      </w:r>
    </w:p>
    <w:p w14:paraId="16AAF967" w14:textId="77777777" w:rsidR="00E8684A" w:rsidRPr="002C21B8" w:rsidRDefault="00E8684A" w:rsidP="003374F4">
      <w:r w:rsidRPr="002C21B8">
        <w:rPr>
          <w:b/>
        </w:rPr>
        <w:t>CPG</w:t>
      </w:r>
      <w:r w:rsidRPr="002C21B8">
        <w:rPr>
          <w:b/>
        </w:rPr>
        <w:tab/>
      </w:r>
      <w:r w:rsidRPr="002C21B8">
        <w:rPr>
          <w:b/>
        </w:rPr>
        <w:tab/>
      </w:r>
      <w:r w:rsidRPr="002C21B8">
        <w:t>Clinical Practice Guideline</w:t>
      </w:r>
    </w:p>
    <w:p w14:paraId="382EA635" w14:textId="77777777" w:rsidR="00E8684A" w:rsidRPr="002C21B8" w:rsidRDefault="00E8684A" w:rsidP="003374F4">
      <w:r w:rsidRPr="002C21B8">
        <w:rPr>
          <w:b/>
        </w:rPr>
        <w:t>CT</w:t>
      </w:r>
      <w:r w:rsidRPr="002C21B8">
        <w:rPr>
          <w:b/>
        </w:rPr>
        <w:tab/>
      </w:r>
      <w:r w:rsidRPr="002C21B8">
        <w:rPr>
          <w:b/>
        </w:rPr>
        <w:tab/>
      </w:r>
      <w:r w:rsidRPr="002C21B8">
        <w:t>Computed Tomography</w:t>
      </w:r>
    </w:p>
    <w:p w14:paraId="70AB0529" w14:textId="77777777" w:rsidR="00E8684A" w:rsidRPr="002C21B8" w:rsidRDefault="00E8684A" w:rsidP="003374F4">
      <w:r w:rsidRPr="002C21B8">
        <w:rPr>
          <w:b/>
        </w:rPr>
        <w:t>EMA</w:t>
      </w:r>
      <w:r w:rsidRPr="002C21B8">
        <w:rPr>
          <w:b/>
        </w:rPr>
        <w:tab/>
      </w:r>
      <w:r w:rsidRPr="002C21B8">
        <w:rPr>
          <w:b/>
        </w:rPr>
        <w:tab/>
      </w:r>
      <w:r w:rsidRPr="002C21B8">
        <w:t>European Medicines Agency</w:t>
      </w:r>
    </w:p>
    <w:p w14:paraId="6BF1E1CA" w14:textId="77777777" w:rsidR="00E8684A" w:rsidRPr="002C21B8" w:rsidRDefault="00E8684A" w:rsidP="003374F4">
      <w:pPr>
        <w:rPr>
          <w:b/>
        </w:rPr>
      </w:pPr>
      <w:r w:rsidRPr="002C21B8">
        <w:rPr>
          <w:b/>
        </w:rPr>
        <w:t>ERA</w:t>
      </w:r>
      <w:r w:rsidRPr="002C21B8">
        <w:rPr>
          <w:b/>
        </w:rPr>
        <w:tab/>
      </w:r>
      <w:r w:rsidRPr="002C21B8">
        <w:rPr>
          <w:b/>
        </w:rPr>
        <w:tab/>
      </w:r>
      <w:r w:rsidRPr="002C21B8">
        <w:t>European Renal Association</w:t>
      </w:r>
    </w:p>
    <w:p w14:paraId="396FF1CD" w14:textId="791C2F93" w:rsidR="00E8684A" w:rsidRPr="002C21B8" w:rsidRDefault="00E8684A" w:rsidP="003374F4">
      <w:pPr>
        <w:rPr>
          <w:b/>
        </w:rPr>
      </w:pPr>
      <w:r w:rsidRPr="002C21B8">
        <w:rPr>
          <w:b/>
        </w:rPr>
        <w:t>ESKD</w:t>
      </w:r>
      <w:r w:rsidRPr="002C21B8">
        <w:rPr>
          <w:b/>
        </w:rPr>
        <w:tab/>
      </w:r>
      <w:r w:rsidRPr="002C21B8">
        <w:rPr>
          <w:b/>
        </w:rPr>
        <w:tab/>
      </w:r>
      <w:r w:rsidRPr="002C21B8">
        <w:t>End Stage Kidney Disease</w:t>
      </w:r>
    </w:p>
    <w:p w14:paraId="169C2336" w14:textId="77777777" w:rsidR="00E8684A" w:rsidRPr="002C21B8" w:rsidRDefault="00E8684A" w:rsidP="003374F4">
      <w:pPr>
        <w:rPr>
          <w:b/>
        </w:rPr>
      </w:pPr>
      <w:r w:rsidRPr="002C21B8">
        <w:rPr>
          <w:b/>
        </w:rPr>
        <w:t>EU</w:t>
      </w:r>
      <w:r w:rsidRPr="002C21B8">
        <w:tab/>
      </w:r>
      <w:r w:rsidRPr="002C21B8">
        <w:tab/>
        <w:t>European Union</w:t>
      </w:r>
    </w:p>
    <w:p w14:paraId="7EFF8B02" w14:textId="77777777" w:rsidR="00E8684A" w:rsidRPr="002C21B8" w:rsidRDefault="00E8684A" w:rsidP="003374F4">
      <w:r w:rsidRPr="002C21B8">
        <w:rPr>
          <w:b/>
        </w:rPr>
        <w:t>HTA</w:t>
      </w:r>
      <w:r w:rsidRPr="002C21B8">
        <w:rPr>
          <w:b/>
        </w:rPr>
        <w:tab/>
      </w:r>
      <w:r w:rsidRPr="002C21B8">
        <w:rPr>
          <w:b/>
        </w:rPr>
        <w:tab/>
      </w:r>
      <w:r w:rsidRPr="002C21B8">
        <w:t>Health Technology Assessment</w:t>
      </w:r>
    </w:p>
    <w:p w14:paraId="2C84B501" w14:textId="77777777" w:rsidR="00E8684A" w:rsidRPr="002C21B8" w:rsidRDefault="00E8684A" w:rsidP="003374F4">
      <w:r w:rsidRPr="002C21B8">
        <w:rPr>
          <w:b/>
        </w:rPr>
        <w:t>KDIGO</w:t>
      </w:r>
      <w:r w:rsidRPr="002C21B8">
        <w:rPr>
          <w:b/>
        </w:rPr>
        <w:tab/>
      </w:r>
      <w:r w:rsidRPr="002C21B8">
        <w:rPr>
          <w:b/>
        </w:rPr>
        <w:tab/>
      </w:r>
      <w:r w:rsidRPr="002C21B8">
        <w:t>Kidney Disease Improving Global Outcomes</w:t>
      </w:r>
    </w:p>
    <w:p w14:paraId="7A20A2C7" w14:textId="77777777" w:rsidR="00E8684A" w:rsidRPr="002C21B8" w:rsidRDefault="00E8684A" w:rsidP="003374F4">
      <w:r w:rsidRPr="002C21B8">
        <w:rPr>
          <w:b/>
        </w:rPr>
        <w:t>KRT</w:t>
      </w:r>
      <w:r w:rsidRPr="002C21B8">
        <w:rPr>
          <w:b/>
        </w:rPr>
        <w:tab/>
      </w:r>
      <w:r w:rsidRPr="002C21B8">
        <w:rPr>
          <w:b/>
        </w:rPr>
        <w:tab/>
      </w:r>
      <w:r w:rsidRPr="002C21B8">
        <w:t>Kidney Replacement Therapy</w:t>
      </w:r>
    </w:p>
    <w:p w14:paraId="3CE2262D" w14:textId="2B759A0E" w:rsidR="005067FA" w:rsidRPr="002C21B8" w:rsidRDefault="005067FA" w:rsidP="003374F4">
      <w:pPr>
        <w:rPr>
          <w:bCs/>
        </w:rPr>
      </w:pPr>
      <w:r w:rsidRPr="002C21B8">
        <w:rPr>
          <w:b/>
        </w:rPr>
        <w:t>MHRA</w:t>
      </w:r>
      <w:r w:rsidRPr="002C21B8">
        <w:rPr>
          <w:b/>
        </w:rPr>
        <w:tab/>
      </w:r>
      <w:r w:rsidRPr="002C21B8">
        <w:rPr>
          <w:b/>
        </w:rPr>
        <w:tab/>
      </w:r>
      <w:r w:rsidRPr="002C21B8">
        <w:rPr>
          <w:bCs/>
        </w:rPr>
        <w:t>Medicines and Healthcare products Regulatory Agency</w:t>
      </w:r>
    </w:p>
    <w:p w14:paraId="5A525A49" w14:textId="157B791E" w:rsidR="00C90844" w:rsidRPr="002C21B8" w:rsidRDefault="00C90844" w:rsidP="003374F4">
      <w:pPr>
        <w:rPr>
          <w:bCs/>
        </w:rPr>
      </w:pPr>
      <w:r w:rsidRPr="002C21B8">
        <w:rPr>
          <w:b/>
        </w:rPr>
        <w:t>MIC</w:t>
      </w:r>
      <w:r w:rsidRPr="002C21B8">
        <w:rPr>
          <w:b/>
        </w:rPr>
        <w:tab/>
      </w:r>
      <w:r w:rsidRPr="002C21B8">
        <w:rPr>
          <w:b/>
        </w:rPr>
        <w:tab/>
      </w:r>
      <w:r w:rsidRPr="002C21B8">
        <w:rPr>
          <w:bCs/>
        </w:rPr>
        <w:t>Mayo Imaging Classification</w:t>
      </w:r>
    </w:p>
    <w:p w14:paraId="5111AE11" w14:textId="38ACDACA" w:rsidR="00E8684A" w:rsidRPr="002C21B8" w:rsidRDefault="00E8684A" w:rsidP="003374F4">
      <w:r w:rsidRPr="002C21B8">
        <w:rPr>
          <w:b/>
        </w:rPr>
        <w:t>MRI</w:t>
      </w:r>
      <w:r w:rsidRPr="002C21B8">
        <w:rPr>
          <w:b/>
        </w:rPr>
        <w:tab/>
      </w:r>
      <w:r w:rsidRPr="002C21B8">
        <w:rPr>
          <w:b/>
        </w:rPr>
        <w:tab/>
      </w:r>
      <w:r w:rsidRPr="002C21B8">
        <w:t>Magnetic Resonance Imaging</w:t>
      </w:r>
    </w:p>
    <w:p w14:paraId="2E4FB318" w14:textId="77777777" w:rsidR="00E8684A" w:rsidRPr="002C21B8" w:rsidRDefault="00E8684A" w:rsidP="003374F4">
      <w:r w:rsidRPr="002C21B8">
        <w:rPr>
          <w:b/>
        </w:rPr>
        <w:t>NHS</w:t>
      </w:r>
      <w:r w:rsidRPr="002C21B8">
        <w:rPr>
          <w:b/>
        </w:rPr>
        <w:tab/>
      </w:r>
      <w:r w:rsidRPr="002C21B8">
        <w:rPr>
          <w:b/>
        </w:rPr>
        <w:tab/>
      </w:r>
      <w:r w:rsidRPr="002C21B8">
        <w:t>National Health Service</w:t>
      </w:r>
    </w:p>
    <w:p w14:paraId="42966F4B" w14:textId="77777777" w:rsidR="00E8684A" w:rsidRPr="002C21B8" w:rsidRDefault="00E8684A" w:rsidP="003374F4">
      <w:r w:rsidRPr="002C21B8">
        <w:rPr>
          <w:b/>
        </w:rPr>
        <w:t>NICE</w:t>
      </w:r>
      <w:r w:rsidRPr="002C21B8">
        <w:rPr>
          <w:b/>
        </w:rPr>
        <w:tab/>
      </w:r>
      <w:r w:rsidRPr="002C21B8">
        <w:tab/>
        <w:t>National Institute for Health and Care Excellence</w:t>
      </w:r>
    </w:p>
    <w:p w14:paraId="531B679D" w14:textId="77777777" w:rsidR="00E8684A" w:rsidRPr="002C21B8" w:rsidRDefault="00E8684A" w:rsidP="003374F4">
      <w:r w:rsidRPr="002C21B8">
        <w:rPr>
          <w:b/>
        </w:rPr>
        <w:t>PKD</w:t>
      </w:r>
      <w:r w:rsidRPr="002C21B8">
        <w:tab/>
      </w:r>
      <w:r w:rsidRPr="002C21B8">
        <w:tab/>
        <w:t>Polycystic Kidney Disease</w:t>
      </w:r>
    </w:p>
    <w:p w14:paraId="5D62D3E4" w14:textId="77777777" w:rsidR="00E8684A" w:rsidRPr="002C21B8" w:rsidRDefault="00E8684A" w:rsidP="003374F4">
      <w:r w:rsidRPr="002C21B8">
        <w:rPr>
          <w:b/>
        </w:rPr>
        <w:t>PPI</w:t>
      </w:r>
      <w:r w:rsidRPr="002C21B8">
        <w:rPr>
          <w:b/>
        </w:rPr>
        <w:tab/>
      </w:r>
      <w:r w:rsidRPr="002C21B8">
        <w:rPr>
          <w:b/>
        </w:rPr>
        <w:tab/>
      </w:r>
      <w:r w:rsidRPr="002C21B8">
        <w:t>Patient and Public Involvement</w:t>
      </w:r>
    </w:p>
    <w:p w14:paraId="0F43B5C7" w14:textId="5FC31A54" w:rsidR="00C90844" w:rsidRPr="002C21B8" w:rsidRDefault="00C90844" w:rsidP="003374F4">
      <w:r w:rsidRPr="002C21B8">
        <w:rPr>
          <w:b/>
          <w:bCs/>
        </w:rPr>
        <w:t>PROPKD</w:t>
      </w:r>
      <w:r w:rsidRPr="002C21B8">
        <w:tab/>
        <w:t>Predicting Renal Outcome in Polycystic Kidney Disease</w:t>
      </w:r>
    </w:p>
    <w:p w14:paraId="3367B436" w14:textId="77777777" w:rsidR="00E8684A" w:rsidRPr="002C21B8" w:rsidRDefault="00E8684A" w:rsidP="003374F4">
      <w:r w:rsidRPr="002C21B8">
        <w:rPr>
          <w:b/>
        </w:rPr>
        <w:t>PV</w:t>
      </w:r>
      <w:r w:rsidRPr="002C21B8">
        <w:rPr>
          <w:b/>
        </w:rPr>
        <w:tab/>
      </w:r>
      <w:r w:rsidRPr="002C21B8">
        <w:rPr>
          <w:b/>
        </w:rPr>
        <w:tab/>
      </w:r>
      <w:r w:rsidRPr="002C21B8">
        <w:t>Patient View</w:t>
      </w:r>
    </w:p>
    <w:p w14:paraId="2C79420D" w14:textId="77777777" w:rsidR="00E8684A" w:rsidRPr="002C21B8" w:rsidRDefault="00E8684A" w:rsidP="003374F4">
      <w:r w:rsidRPr="002C21B8">
        <w:rPr>
          <w:b/>
        </w:rPr>
        <w:t>QRA</w:t>
      </w:r>
      <w:r w:rsidRPr="002C21B8">
        <w:tab/>
      </w:r>
      <w:r w:rsidRPr="002C21B8">
        <w:tab/>
        <w:t>Qualitative Residual Analysis</w:t>
      </w:r>
    </w:p>
    <w:p w14:paraId="42E7BCAC" w14:textId="77777777" w:rsidR="00E8684A" w:rsidRPr="002C21B8" w:rsidRDefault="00E8684A" w:rsidP="003374F4">
      <w:r w:rsidRPr="002C21B8">
        <w:rPr>
          <w:b/>
        </w:rPr>
        <w:t>RA</w:t>
      </w:r>
      <w:r w:rsidRPr="002C21B8">
        <w:rPr>
          <w:b/>
        </w:rPr>
        <w:tab/>
      </w:r>
      <w:r w:rsidRPr="002C21B8">
        <w:rPr>
          <w:b/>
        </w:rPr>
        <w:tab/>
      </w:r>
      <w:r w:rsidRPr="002C21B8">
        <w:t>Renal Association</w:t>
      </w:r>
    </w:p>
    <w:p w14:paraId="4F3DE50E" w14:textId="77777777" w:rsidR="00E8684A" w:rsidRPr="002C21B8" w:rsidRDefault="00E8684A" w:rsidP="003374F4">
      <w:r w:rsidRPr="002C21B8">
        <w:rPr>
          <w:b/>
        </w:rPr>
        <w:lastRenderedPageBreak/>
        <w:t>RaDaR</w:t>
      </w:r>
      <w:r w:rsidRPr="002C21B8">
        <w:tab/>
      </w:r>
      <w:r w:rsidRPr="002C21B8">
        <w:tab/>
        <w:t>Registry of Rare Kidney Diseases</w:t>
      </w:r>
    </w:p>
    <w:p w14:paraId="5CF85731" w14:textId="00161ED7" w:rsidR="004D6699" w:rsidRPr="002C21B8" w:rsidRDefault="004D6699" w:rsidP="003374F4">
      <w:pPr>
        <w:rPr>
          <w:bCs/>
        </w:rPr>
      </w:pPr>
      <w:r w:rsidRPr="002C21B8">
        <w:rPr>
          <w:b/>
        </w:rPr>
        <w:t>REC</w:t>
      </w:r>
      <w:r w:rsidRPr="002C21B8">
        <w:rPr>
          <w:b/>
        </w:rPr>
        <w:tab/>
      </w:r>
      <w:r w:rsidRPr="002C21B8">
        <w:rPr>
          <w:b/>
        </w:rPr>
        <w:tab/>
      </w:r>
      <w:r w:rsidRPr="002C21B8">
        <w:rPr>
          <w:bCs/>
        </w:rPr>
        <w:t>Research Ethics Committee</w:t>
      </w:r>
    </w:p>
    <w:p w14:paraId="42AC2702" w14:textId="5AEC2917" w:rsidR="00A019E7" w:rsidRPr="002C21B8" w:rsidRDefault="00A019E7" w:rsidP="003374F4">
      <w:pPr>
        <w:rPr>
          <w:bCs/>
        </w:rPr>
      </w:pPr>
      <w:r w:rsidRPr="002C21B8">
        <w:rPr>
          <w:b/>
        </w:rPr>
        <w:t>REPRISE</w:t>
      </w:r>
      <w:r w:rsidR="005724E3" w:rsidRPr="002C21B8">
        <w:rPr>
          <w:bCs/>
        </w:rPr>
        <w:tab/>
      </w:r>
      <w:r w:rsidR="00A32BDD" w:rsidRPr="002C21B8">
        <w:rPr>
          <w:bCs/>
        </w:rPr>
        <w:t>Replicating Evidence of Preserved Renal function: Investigation of Safety and Efficacy</w:t>
      </w:r>
    </w:p>
    <w:p w14:paraId="6D2B41A5" w14:textId="3E65A85A" w:rsidR="00E8684A" w:rsidRPr="002C21B8" w:rsidRDefault="00E8684A" w:rsidP="003374F4">
      <w:r w:rsidRPr="002C21B8">
        <w:rPr>
          <w:b/>
        </w:rPr>
        <w:t>SMC</w:t>
      </w:r>
      <w:r w:rsidRPr="002C21B8">
        <w:tab/>
      </w:r>
      <w:r w:rsidRPr="002C21B8">
        <w:tab/>
        <w:t>Scottish Medicines Consortium</w:t>
      </w:r>
    </w:p>
    <w:p w14:paraId="0AD85F2E" w14:textId="229358AB" w:rsidR="00A019E7" w:rsidRPr="002C21B8" w:rsidRDefault="00A019E7" w:rsidP="00A32BDD">
      <w:pPr>
        <w:ind w:left="1440" w:hanging="1440"/>
      </w:pPr>
      <w:r w:rsidRPr="002C21B8">
        <w:rPr>
          <w:b/>
          <w:bCs/>
        </w:rPr>
        <w:t>TEMPO</w:t>
      </w:r>
      <w:r w:rsidR="00A32BDD" w:rsidRPr="002C21B8">
        <w:rPr>
          <w:b/>
          <w:bCs/>
        </w:rPr>
        <w:tab/>
      </w:r>
      <w:r w:rsidR="00A32BDD" w:rsidRPr="002C21B8">
        <w:t>Tolvaptan Efficacy and safety in Management of Polycystic kidney disease and its Outcomes</w:t>
      </w:r>
    </w:p>
    <w:p w14:paraId="2F824D8E" w14:textId="77777777" w:rsidR="00E8684A" w:rsidRPr="002C21B8" w:rsidRDefault="00E8684A" w:rsidP="003374F4">
      <w:r w:rsidRPr="002C21B8">
        <w:rPr>
          <w:b/>
        </w:rPr>
        <w:t>UK</w:t>
      </w:r>
      <w:r w:rsidRPr="002C21B8">
        <w:rPr>
          <w:b/>
        </w:rPr>
        <w:tab/>
      </w:r>
      <w:r w:rsidRPr="002C21B8">
        <w:tab/>
        <w:t>United Kingdom</w:t>
      </w:r>
    </w:p>
    <w:p w14:paraId="34E608BE" w14:textId="77777777" w:rsidR="00E8684A" w:rsidRPr="002C21B8" w:rsidRDefault="00E8684A" w:rsidP="003374F4">
      <w:bookmarkStart w:id="5" w:name="_heading=h.4i7ojhp" w:colFirst="0" w:colLast="0"/>
      <w:bookmarkEnd w:id="5"/>
      <w:r w:rsidRPr="002C21B8">
        <w:rPr>
          <w:b/>
        </w:rPr>
        <w:t>UKKA</w:t>
      </w:r>
      <w:r w:rsidRPr="002C21B8">
        <w:tab/>
      </w:r>
      <w:r w:rsidRPr="002C21B8">
        <w:tab/>
        <w:t>United Kingdom Kidney Association</w:t>
      </w:r>
    </w:p>
    <w:p w14:paraId="6F6B2742" w14:textId="04D318BB" w:rsidR="00E8684A" w:rsidRPr="002C21B8" w:rsidRDefault="00E8684A" w:rsidP="003374F4">
      <w:r w:rsidRPr="002C21B8">
        <w:rPr>
          <w:b/>
        </w:rPr>
        <w:t>US</w:t>
      </w:r>
      <w:r w:rsidRPr="002C21B8">
        <w:rPr>
          <w:b/>
        </w:rPr>
        <w:tab/>
      </w:r>
      <w:r w:rsidRPr="002C21B8">
        <w:rPr>
          <w:b/>
        </w:rPr>
        <w:tab/>
      </w:r>
      <w:r w:rsidRPr="002C21B8">
        <w:t>Ultrasonography</w:t>
      </w:r>
    </w:p>
    <w:p w14:paraId="7CCDF7F3" w14:textId="77777777" w:rsidR="00E8684A" w:rsidRPr="002C21B8" w:rsidRDefault="00E8684A" w:rsidP="003374F4">
      <w:r w:rsidRPr="002C21B8">
        <w:rPr>
          <w:b/>
        </w:rPr>
        <w:t>USA</w:t>
      </w:r>
      <w:r w:rsidRPr="002C21B8">
        <w:rPr>
          <w:b/>
        </w:rPr>
        <w:tab/>
      </w:r>
      <w:r w:rsidRPr="002C21B8">
        <w:rPr>
          <w:b/>
        </w:rPr>
        <w:tab/>
      </w:r>
      <w:r w:rsidRPr="002C21B8">
        <w:t>United States of America</w:t>
      </w:r>
    </w:p>
    <w:p w14:paraId="018A8CBA" w14:textId="77777777" w:rsidR="005C3B67" w:rsidRPr="002C21B8" w:rsidRDefault="00E8684A" w:rsidP="005C3B67">
      <w:r w:rsidRPr="002C21B8">
        <w:rPr>
          <w:b/>
        </w:rPr>
        <w:t>WHO</w:t>
      </w:r>
      <w:r w:rsidRPr="002C21B8">
        <w:tab/>
      </w:r>
      <w:r w:rsidRPr="002C21B8">
        <w:tab/>
        <w:t>World Health Organization</w:t>
      </w:r>
    </w:p>
    <w:p w14:paraId="5DAB4F5C" w14:textId="77777777" w:rsidR="005C3B67" w:rsidRPr="002C21B8" w:rsidRDefault="005C3B67">
      <w:pPr>
        <w:spacing w:after="0" w:line="240" w:lineRule="auto"/>
        <w:jc w:val="left"/>
        <w:rPr>
          <w:rFonts w:eastAsiaTheme="majorEastAsia"/>
          <w:b/>
          <w:bCs/>
          <w:color w:val="000000" w:themeColor="text1"/>
          <w:sz w:val="36"/>
          <w:szCs w:val="36"/>
        </w:rPr>
      </w:pPr>
      <w:r w:rsidRPr="002C21B8">
        <w:br w:type="page"/>
      </w:r>
    </w:p>
    <w:p w14:paraId="24E413D5" w14:textId="6376BFDC" w:rsidR="00E8684A" w:rsidRPr="002C21B8" w:rsidRDefault="00E8684A" w:rsidP="005C3B67">
      <w:pPr>
        <w:pStyle w:val="Heading1"/>
        <w:numPr>
          <w:ilvl w:val="0"/>
          <w:numId w:val="0"/>
        </w:numPr>
        <w:ind w:left="1"/>
      </w:pPr>
      <w:bookmarkStart w:id="6" w:name="_Toc229687186"/>
      <w:r w:rsidRPr="002C21B8">
        <w:lastRenderedPageBreak/>
        <w:t>Glossary</w:t>
      </w:r>
      <w:bookmarkEnd w:id="6"/>
    </w:p>
    <w:p w14:paraId="5CD9A267" w14:textId="62FA6632" w:rsidR="00E8684A" w:rsidRPr="002C21B8" w:rsidRDefault="00E8684A" w:rsidP="003374F4">
      <w:r w:rsidRPr="002C21B8">
        <w:t xml:space="preserve">The definitions in this glossary </w:t>
      </w:r>
      <w:r w:rsidR="00206788" w:rsidRPr="002C21B8">
        <w:t xml:space="preserve">are used in this </w:t>
      </w:r>
      <w:r w:rsidRPr="002C21B8">
        <w:t>thesis</w:t>
      </w:r>
      <w:r w:rsidR="00EC0149" w:rsidRPr="002C21B8">
        <w:t>. T</w:t>
      </w:r>
      <w:r w:rsidR="001E4386" w:rsidRPr="002C21B8">
        <w:t>his</w:t>
      </w:r>
      <w:r w:rsidRPr="002C21B8">
        <w:t xml:space="preserve"> list is not exhaustive.</w:t>
      </w:r>
    </w:p>
    <w:p w14:paraId="0EC7A76F" w14:textId="77777777" w:rsidR="00BC7F3C" w:rsidRPr="002C21B8" w:rsidRDefault="00BC7F3C" w:rsidP="00211FC4">
      <w:pPr>
        <w:spacing w:after="0"/>
        <w:rPr>
          <w:b/>
          <w:bCs/>
        </w:rPr>
      </w:pPr>
      <w:r w:rsidRPr="002C21B8">
        <w:rPr>
          <w:b/>
          <w:bCs/>
        </w:rPr>
        <w:t>ADPKD clinic</w:t>
      </w:r>
    </w:p>
    <w:p w14:paraId="2BECBB8E" w14:textId="475BFB8E" w:rsidR="00BC7F3C" w:rsidRPr="002C21B8" w:rsidRDefault="00B30BC1" w:rsidP="007E3EFF">
      <w:pPr>
        <w:spacing w:after="140"/>
      </w:pPr>
      <w:r w:rsidRPr="002C21B8">
        <w:t>A</w:t>
      </w:r>
      <w:r w:rsidR="00E551F4" w:rsidRPr="002C21B8">
        <w:t xml:space="preserve"> specialist </w:t>
      </w:r>
      <w:r w:rsidRPr="002C21B8">
        <w:t xml:space="preserve">outpatient clinic in a kidney centre </w:t>
      </w:r>
      <w:r w:rsidR="00595E0C" w:rsidRPr="002C21B8">
        <w:t>that</w:t>
      </w:r>
      <w:r w:rsidRPr="002C21B8">
        <w:t xml:space="preserve"> diagnos</w:t>
      </w:r>
      <w:r w:rsidR="00595E0C" w:rsidRPr="002C21B8">
        <w:t>e</w:t>
      </w:r>
      <w:r w:rsidRPr="002C21B8">
        <w:t>s, assess</w:t>
      </w:r>
      <w:r w:rsidR="00595E0C" w:rsidRPr="002C21B8">
        <w:t>es</w:t>
      </w:r>
      <w:r w:rsidR="00851C13" w:rsidRPr="002C21B8">
        <w:t>, manag</w:t>
      </w:r>
      <w:r w:rsidR="00595E0C" w:rsidRPr="002C21B8">
        <w:t>es</w:t>
      </w:r>
      <w:r w:rsidR="00851C13" w:rsidRPr="002C21B8">
        <w:t xml:space="preserve"> </w:t>
      </w:r>
      <w:r w:rsidRPr="002C21B8">
        <w:t>and monitor</w:t>
      </w:r>
      <w:r w:rsidR="00595E0C" w:rsidRPr="002C21B8">
        <w:t>s</w:t>
      </w:r>
      <w:r w:rsidRPr="002C21B8">
        <w:t xml:space="preserve"> people with ADPKD</w:t>
      </w:r>
      <w:r w:rsidR="00E551F4" w:rsidRPr="002C21B8">
        <w:t xml:space="preserve">, </w:t>
      </w:r>
      <w:r w:rsidRPr="002C21B8">
        <w:t>includ</w:t>
      </w:r>
      <w:r w:rsidR="00E551F4" w:rsidRPr="002C21B8">
        <w:t>ing</w:t>
      </w:r>
      <w:r w:rsidRPr="002C21B8">
        <w:t xml:space="preserve"> consideration of disease-modifying therapies.</w:t>
      </w:r>
    </w:p>
    <w:p w14:paraId="0022CE3A" w14:textId="2EC889A9" w:rsidR="002A0358" w:rsidRPr="002C21B8" w:rsidRDefault="002A0358" w:rsidP="00211FC4">
      <w:pPr>
        <w:spacing w:after="0"/>
        <w:rPr>
          <w:b/>
          <w:bCs/>
        </w:rPr>
      </w:pPr>
      <w:r w:rsidRPr="002C21B8">
        <w:rPr>
          <w:b/>
          <w:bCs/>
        </w:rPr>
        <w:t xml:space="preserve">Audit </w:t>
      </w:r>
      <w:r w:rsidR="00595E0C" w:rsidRPr="002C21B8">
        <w:rPr>
          <w:b/>
          <w:bCs/>
        </w:rPr>
        <w:t>t</w:t>
      </w:r>
      <w:r w:rsidRPr="002C21B8">
        <w:rPr>
          <w:b/>
          <w:bCs/>
        </w:rPr>
        <w:t>rail</w:t>
      </w:r>
    </w:p>
    <w:p w14:paraId="3880A568" w14:textId="456DBC15" w:rsidR="002A0358" w:rsidRPr="002C21B8" w:rsidRDefault="00215AD2" w:rsidP="007E3EFF">
      <w:pPr>
        <w:spacing w:after="140"/>
      </w:pPr>
      <w:r w:rsidRPr="002C21B8">
        <w:t xml:space="preserve">A systematic documentation of all stages of the research process that </w:t>
      </w:r>
      <w:r w:rsidR="00EC0149" w:rsidRPr="002C21B8">
        <w:t xml:space="preserve">could </w:t>
      </w:r>
      <w:r w:rsidRPr="002C21B8">
        <w:t>enable external reviewer</w:t>
      </w:r>
      <w:r w:rsidR="00EC0149" w:rsidRPr="002C21B8">
        <w:t>s</w:t>
      </w:r>
      <w:r w:rsidRPr="002C21B8">
        <w:t xml:space="preserve"> to trace the </w:t>
      </w:r>
      <w:r w:rsidR="00EC0149" w:rsidRPr="002C21B8">
        <w:t>development of the research</w:t>
      </w:r>
      <w:r w:rsidRPr="002C21B8">
        <w:t xml:space="preserve"> from raw data through </w:t>
      </w:r>
      <w:r w:rsidR="00EC0149" w:rsidRPr="002C21B8">
        <w:t xml:space="preserve">to </w:t>
      </w:r>
      <w:r w:rsidRPr="002C21B8">
        <w:t>findings and conclusions.</w:t>
      </w:r>
    </w:p>
    <w:p w14:paraId="0D4ACF0F" w14:textId="3279A7B0" w:rsidR="00FB1F19" w:rsidRPr="002C21B8" w:rsidRDefault="00FB1F19" w:rsidP="00211FC4">
      <w:pPr>
        <w:spacing w:after="0"/>
        <w:rPr>
          <w:b/>
          <w:bCs/>
        </w:rPr>
      </w:pPr>
      <w:r w:rsidRPr="002C21B8">
        <w:rPr>
          <w:b/>
          <w:bCs/>
        </w:rPr>
        <w:t>Axiology</w:t>
      </w:r>
    </w:p>
    <w:p w14:paraId="2E8B9C45" w14:textId="396613F2" w:rsidR="00FB1F19" w:rsidRPr="002C21B8" w:rsidRDefault="0037732E" w:rsidP="007E3EFF">
      <w:pPr>
        <w:spacing w:after="140"/>
      </w:pPr>
      <w:r w:rsidRPr="002C21B8">
        <w:t>The role of values, ethics and researche</w:t>
      </w:r>
      <w:r w:rsidR="00EC0149" w:rsidRPr="002C21B8">
        <w:t xml:space="preserve">r </w:t>
      </w:r>
      <w:r w:rsidRPr="002C21B8">
        <w:t>judgement in the research process.</w:t>
      </w:r>
    </w:p>
    <w:p w14:paraId="64062F9B" w14:textId="0233933D" w:rsidR="007466EE" w:rsidRPr="002C21B8" w:rsidRDefault="007466EE" w:rsidP="007466EE">
      <w:pPr>
        <w:spacing w:after="0"/>
        <w:rPr>
          <w:b/>
          <w:bCs/>
        </w:rPr>
      </w:pPr>
      <w:r w:rsidRPr="002C21B8">
        <w:rPr>
          <w:b/>
          <w:bCs/>
        </w:rPr>
        <w:t>Case</w:t>
      </w:r>
    </w:p>
    <w:p w14:paraId="5C5D287F" w14:textId="41C6DA3D" w:rsidR="007466EE" w:rsidRPr="002C21B8" w:rsidRDefault="007466EE" w:rsidP="007E3EFF">
      <w:pPr>
        <w:spacing w:after="140"/>
      </w:pPr>
      <w:r w:rsidRPr="002C21B8">
        <w:t>A bounded system studied in its natural context, defined by the phenomenon of interest and its surrounding environment.</w:t>
      </w:r>
    </w:p>
    <w:p w14:paraId="1F681ACA" w14:textId="1F13C329" w:rsidR="008153CF" w:rsidRPr="002C21B8" w:rsidRDefault="008153CF" w:rsidP="008153CF">
      <w:pPr>
        <w:spacing w:after="0"/>
        <w:rPr>
          <w:b/>
          <w:bCs/>
        </w:rPr>
      </w:pPr>
      <w:r w:rsidRPr="002C21B8">
        <w:rPr>
          <w:b/>
          <w:bCs/>
        </w:rPr>
        <w:t>Case study</w:t>
      </w:r>
    </w:p>
    <w:p w14:paraId="77D87066" w14:textId="3EAD03C4" w:rsidR="008153CF" w:rsidRPr="002C21B8" w:rsidRDefault="008153CF" w:rsidP="008153CF">
      <w:pPr>
        <w:spacing w:after="140"/>
      </w:pPr>
      <w:r w:rsidRPr="002C21B8">
        <w:t xml:space="preserve">A qualitative research approach that involves </w:t>
      </w:r>
      <w:r w:rsidR="007C7B57" w:rsidRPr="002C21B8">
        <w:t xml:space="preserve">an </w:t>
      </w:r>
      <w:r w:rsidRPr="002C21B8">
        <w:t>in-depth, detailed examination of a particular case (or cases) within a real-world context.</w:t>
      </w:r>
    </w:p>
    <w:p w14:paraId="687F4CAF" w14:textId="2745744E" w:rsidR="005B77F1" w:rsidRPr="002C21B8" w:rsidRDefault="005B77F1" w:rsidP="00211FC4">
      <w:pPr>
        <w:spacing w:after="0"/>
        <w:rPr>
          <w:b/>
          <w:bCs/>
        </w:rPr>
      </w:pPr>
      <w:r w:rsidRPr="002C21B8">
        <w:rPr>
          <w:b/>
          <w:bCs/>
        </w:rPr>
        <w:t>Clinician</w:t>
      </w:r>
    </w:p>
    <w:p w14:paraId="1ED005BC" w14:textId="6F2B57EF" w:rsidR="005B77F1" w:rsidRPr="002C21B8" w:rsidRDefault="005B77F1" w:rsidP="007E3EFF">
      <w:pPr>
        <w:spacing w:after="140"/>
      </w:pPr>
      <w:r w:rsidRPr="002C21B8">
        <w:t>A healthcare professional who provides direct care to patients</w:t>
      </w:r>
      <w:r w:rsidR="0037732E" w:rsidRPr="002C21B8">
        <w:t>.</w:t>
      </w:r>
      <w:r w:rsidRPr="002C21B8">
        <w:t xml:space="preserve"> </w:t>
      </w:r>
      <w:r w:rsidR="0037732E" w:rsidRPr="002C21B8">
        <w:t>T</w:t>
      </w:r>
      <w:r w:rsidRPr="002C21B8">
        <w:t>his</w:t>
      </w:r>
      <w:r w:rsidR="0037732E" w:rsidRPr="002C21B8">
        <w:t xml:space="preserve"> term encompasses a wide range of roles</w:t>
      </w:r>
      <w:r w:rsidRPr="002C21B8">
        <w:t xml:space="preserve"> includ</w:t>
      </w:r>
      <w:r w:rsidR="000F0B56" w:rsidRPr="002C21B8">
        <w:t>ing</w:t>
      </w:r>
      <w:r w:rsidRPr="002C21B8">
        <w:t xml:space="preserve"> doctors, nurses, pharmacists, physiotherapists, occupational therapists etc.</w:t>
      </w:r>
    </w:p>
    <w:p w14:paraId="31165F9F" w14:textId="37A9673D" w:rsidR="00AD6909" w:rsidRPr="002C21B8" w:rsidRDefault="00AD6909" w:rsidP="00AD6909">
      <w:pPr>
        <w:spacing w:after="0"/>
        <w:rPr>
          <w:b/>
          <w:bCs/>
        </w:rPr>
      </w:pPr>
      <w:r w:rsidRPr="002C21B8">
        <w:rPr>
          <w:b/>
          <w:bCs/>
        </w:rPr>
        <w:t>Condition-specific clinic model</w:t>
      </w:r>
    </w:p>
    <w:p w14:paraId="258B83C1" w14:textId="744A5322" w:rsidR="00AE0F92" w:rsidRPr="002C21B8" w:rsidRDefault="00AD6909" w:rsidP="007E3EFF">
      <w:pPr>
        <w:spacing w:after="140"/>
      </w:pPr>
      <w:r w:rsidRPr="002C21B8">
        <w:t xml:space="preserve">A clinic model </w:t>
      </w:r>
      <w:r w:rsidR="00EC0149" w:rsidRPr="002C21B8">
        <w:t>in which</w:t>
      </w:r>
      <w:r w:rsidRPr="002C21B8">
        <w:t xml:space="preserve"> care is organised around </w:t>
      </w:r>
      <w:r w:rsidR="00EC0149" w:rsidRPr="002C21B8">
        <w:t>a single</w:t>
      </w:r>
      <w:r w:rsidRPr="002C21B8">
        <w:t xml:space="preserve"> disease or a narrowly defined group of conditions e.g. ADPKD clinic or renal genetics clinic.</w:t>
      </w:r>
    </w:p>
    <w:p w14:paraId="115181AD" w14:textId="041ADA51" w:rsidR="00AE0F92" w:rsidRPr="002C21B8" w:rsidRDefault="00AE0F92" w:rsidP="00AE0F92">
      <w:pPr>
        <w:spacing w:after="0"/>
        <w:rPr>
          <w:b/>
          <w:bCs/>
        </w:rPr>
      </w:pPr>
      <w:r w:rsidRPr="002C21B8">
        <w:rPr>
          <w:b/>
          <w:bCs/>
        </w:rPr>
        <w:t>Disease modifying t</w:t>
      </w:r>
      <w:r w:rsidR="00787AC0" w:rsidRPr="002C21B8">
        <w:rPr>
          <w:b/>
          <w:bCs/>
        </w:rPr>
        <w:t>herapy</w:t>
      </w:r>
    </w:p>
    <w:p w14:paraId="7EE89273" w14:textId="762DC3CA" w:rsidR="00AE0F92" w:rsidRPr="002C21B8" w:rsidRDefault="00787AC0" w:rsidP="007E3EFF">
      <w:pPr>
        <w:spacing w:after="140"/>
      </w:pPr>
      <w:r w:rsidRPr="002C21B8">
        <w:t>A treatment that targets the underlying cause of a diseases to delay, slow down or reverse progression.</w:t>
      </w:r>
    </w:p>
    <w:p w14:paraId="390724CE" w14:textId="77777777" w:rsidR="00FB1F19" w:rsidRPr="002C21B8" w:rsidRDefault="00FB1F19" w:rsidP="00FB1F19">
      <w:pPr>
        <w:spacing w:after="0"/>
        <w:rPr>
          <w:b/>
          <w:bCs/>
        </w:rPr>
      </w:pPr>
      <w:r w:rsidRPr="002C21B8">
        <w:rPr>
          <w:b/>
          <w:bCs/>
        </w:rPr>
        <w:t>Epistemology</w:t>
      </w:r>
    </w:p>
    <w:p w14:paraId="3030A668" w14:textId="124A489E" w:rsidR="00FB1F19" w:rsidRPr="002C21B8" w:rsidRDefault="00024F5F" w:rsidP="007E3EFF">
      <w:pPr>
        <w:spacing w:after="140"/>
      </w:pPr>
      <w:r w:rsidRPr="002C21B8">
        <w:t>A</w:t>
      </w:r>
      <w:r w:rsidR="001951CB" w:rsidRPr="002C21B8">
        <w:t xml:space="preserve"> researcher’s a</w:t>
      </w:r>
      <w:r w:rsidR="00FB1F19" w:rsidRPr="002C21B8">
        <w:t xml:space="preserve">ssumptions about how knowledge is </w:t>
      </w:r>
      <w:r w:rsidR="001951CB" w:rsidRPr="002C21B8">
        <w:t>constructed and understood.</w:t>
      </w:r>
    </w:p>
    <w:p w14:paraId="243822F6" w14:textId="1FF25EEE" w:rsidR="00E8684A" w:rsidRPr="002C21B8" w:rsidRDefault="00E8684A" w:rsidP="00211FC4">
      <w:pPr>
        <w:spacing w:after="0"/>
        <w:rPr>
          <w:b/>
          <w:bCs/>
        </w:rPr>
      </w:pPr>
      <w:r w:rsidRPr="002C21B8">
        <w:rPr>
          <w:b/>
          <w:bCs/>
        </w:rPr>
        <w:t>European Renal Association</w:t>
      </w:r>
    </w:p>
    <w:p w14:paraId="77B3810B" w14:textId="77CB98FF" w:rsidR="007E3EFF" w:rsidRPr="002C21B8" w:rsidRDefault="00B53C16" w:rsidP="007E3EFF">
      <w:pPr>
        <w:spacing w:after="140"/>
      </w:pPr>
      <w:r w:rsidRPr="002C21B8">
        <w:t>A</w:t>
      </w:r>
      <w:r w:rsidR="00D60CCD" w:rsidRPr="002C21B8">
        <w:t xml:space="preserve"> professional </w:t>
      </w:r>
      <w:r w:rsidRPr="002C21B8">
        <w:t xml:space="preserve">nephrology </w:t>
      </w:r>
      <w:r w:rsidR="00D60CCD" w:rsidRPr="002C21B8">
        <w:t xml:space="preserve">society that promotes research, education and clinical practice </w:t>
      </w:r>
      <w:r w:rsidR="000F0B56" w:rsidRPr="002C21B8">
        <w:t xml:space="preserve">for </w:t>
      </w:r>
      <w:r w:rsidRPr="002C21B8">
        <w:t>kidney disease in Europe.</w:t>
      </w:r>
    </w:p>
    <w:p w14:paraId="7A0605C9" w14:textId="47EA044B" w:rsidR="00BC7F3C" w:rsidRPr="002C21B8" w:rsidRDefault="00BC7F3C" w:rsidP="00211FC4">
      <w:pPr>
        <w:spacing w:after="0"/>
        <w:rPr>
          <w:b/>
          <w:bCs/>
        </w:rPr>
      </w:pPr>
      <w:r w:rsidRPr="002C21B8">
        <w:rPr>
          <w:b/>
          <w:bCs/>
        </w:rPr>
        <w:lastRenderedPageBreak/>
        <w:t xml:space="preserve">General nephrology clinic </w:t>
      </w:r>
    </w:p>
    <w:p w14:paraId="5AA4ACB2" w14:textId="3C6A6DFF" w:rsidR="00B80E87" w:rsidRPr="002C21B8" w:rsidRDefault="00BC7F3C" w:rsidP="007E3EFF">
      <w:pPr>
        <w:spacing w:after="140"/>
      </w:pPr>
      <w:r w:rsidRPr="002C21B8">
        <w:t>An outpatient</w:t>
      </w:r>
      <w:r w:rsidR="00B30BC1" w:rsidRPr="002C21B8">
        <w:t xml:space="preserve"> </w:t>
      </w:r>
      <w:r w:rsidRPr="002C21B8">
        <w:t>clinic in a kidney centre that assesses, diagnoses and provides ongoing management for a broad range of kidney diseases.</w:t>
      </w:r>
    </w:p>
    <w:p w14:paraId="133471C6" w14:textId="56DEAD40" w:rsidR="00AD6909" w:rsidRPr="002C21B8" w:rsidRDefault="00AD6909" w:rsidP="00AD6909">
      <w:pPr>
        <w:spacing w:after="0"/>
        <w:rPr>
          <w:b/>
          <w:bCs/>
        </w:rPr>
      </w:pPr>
      <w:r w:rsidRPr="002C21B8">
        <w:rPr>
          <w:b/>
          <w:bCs/>
        </w:rPr>
        <w:t xml:space="preserve">Generalist clinic model </w:t>
      </w:r>
    </w:p>
    <w:p w14:paraId="62539FE0" w14:textId="7A821AA0" w:rsidR="00AD6909" w:rsidRPr="002C21B8" w:rsidRDefault="00AD6909" w:rsidP="007E3EFF">
      <w:pPr>
        <w:spacing w:after="140"/>
      </w:pPr>
      <w:r w:rsidRPr="002C21B8">
        <w:t>A clinic model where patients with a broad range of kidney diseases are seen together within the same clinic.</w:t>
      </w:r>
    </w:p>
    <w:p w14:paraId="7B9D1F50" w14:textId="6B958671" w:rsidR="00211FC4" w:rsidRPr="002C21B8" w:rsidRDefault="00211FC4" w:rsidP="00211FC4">
      <w:pPr>
        <w:spacing w:after="0"/>
        <w:rPr>
          <w:b/>
          <w:bCs/>
        </w:rPr>
      </w:pPr>
      <w:r w:rsidRPr="002C21B8">
        <w:rPr>
          <w:b/>
          <w:bCs/>
        </w:rPr>
        <w:t>Health board</w:t>
      </w:r>
    </w:p>
    <w:p w14:paraId="407232E0" w14:textId="566E449B" w:rsidR="00211FC4" w:rsidRPr="002C21B8" w:rsidRDefault="00D60CCD" w:rsidP="007E3EFF">
      <w:pPr>
        <w:spacing w:after="140"/>
      </w:pPr>
      <w:r w:rsidRPr="002C21B8">
        <w:t>A r</w:t>
      </w:r>
      <w:r w:rsidR="00211FC4" w:rsidRPr="002C21B8">
        <w:t xml:space="preserve">egional </w:t>
      </w:r>
      <w:r w:rsidRPr="002C21B8">
        <w:t xml:space="preserve">organisation responsible for planning and delivering NHS </w:t>
      </w:r>
      <w:r w:rsidR="00211FC4" w:rsidRPr="002C21B8">
        <w:t>services in Scotland and Wales</w:t>
      </w:r>
      <w:r w:rsidR="00811CBF" w:rsidRPr="002C21B8">
        <w:t>. This is e</w:t>
      </w:r>
      <w:r w:rsidR="00211FC4" w:rsidRPr="002C21B8">
        <w:t xml:space="preserve">quivalent </w:t>
      </w:r>
      <w:r w:rsidR="00644165" w:rsidRPr="002C21B8">
        <w:t>to</w:t>
      </w:r>
      <w:r w:rsidR="00211FC4" w:rsidRPr="002C21B8">
        <w:t xml:space="preserve"> </w:t>
      </w:r>
      <w:r w:rsidR="00CE03D7" w:rsidRPr="002C21B8">
        <w:t xml:space="preserve">a </w:t>
      </w:r>
      <w:r w:rsidR="00211FC4" w:rsidRPr="002C21B8">
        <w:t>hospital trust in Engla</w:t>
      </w:r>
      <w:r w:rsidR="00CE03D7" w:rsidRPr="002C21B8">
        <w:t>nd</w:t>
      </w:r>
      <w:r w:rsidR="000B35BE" w:rsidRPr="002C21B8">
        <w:t xml:space="preserve"> and Northern Ireland</w:t>
      </w:r>
      <w:r w:rsidR="00811CBF" w:rsidRPr="002C21B8">
        <w:t>.</w:t>
      </w:r>
    </w:p>
    <w:p w14:paraId="6EBBF3E5" w14:textId="3C887140" w:rsidR="00A528E2" w:rsidRPr="002C21B8" w:rsidRDefault="00A528E2" w:rsidP="00D60CCD">
      <w:pPr>
        <w:spacing w:after="0"/>
        <w:rPr>
          <w:b/>
          <w:bCs/>
        </w:rPr>
      </w:pPr>
      <w:r w:rsidRPr="002C21B8">
        <w:rPr>
          <w:b/>
          <w:bCs/>
        </w:rPr>
        <w:t>Hospital trust</w:t>
      </w:r>
    </w:p>
    <w:p w14:paraId="1C457277" w14:textId="24611F09" w:rsidR="001951CB" w:rsidRPr="002C21B8" w:rsidRDefault="00A528E2" w:rsidP="007E3EFF">
      <w:pPr>
        <w:spacing w:after="140"/>
      </w:pPr>
      <w:r w:rsidRPr="002C21B8">
        <w:t xml:space="preserve">An organisational unit within </w:t>
      </w:r>
      <w:r w:rsidR="00D60CCD" w:rsidRPr="002C21B8">
        <w:t xml:space="preserve">NHS </w:t>
      </w:r>
      <w:r w:rsidR="004E3E5C" w:rsidRPr="002C21B8">
        <w:t xml:space="preserve">services in </w:t>
      </w:r>
      <w:r w:rsidR="00D60CCD" w:rsidRPr="002C21B8">
        <w:t>England</w:t>
      </w:r>
      <w:r w:rsidRPr="002C21B8">
        <w:t xml:space="preserve"> </w:t>
      </w:r>
      <w:r w:rsidR="004E3E5C" w:rsidRPr="002C21B8">
        <w:t xml:space="preserve">and </w:t>
      </w:r>
      <w:r w:rsidR="00367E48" w:rsidRPr="002C21B8">
        <w:t xml:space="preserve">the Health and Social Care in </w:t>
      </w:r>
      <w:r w:rsidR="004E3E5C" w:rsidRPr="002C21B8">
        <w:t xml:space="preserve">Northern Ireland </w:t>
      </w:r>
      <w:r w:rsidR="00D60CCD" w:rsidRPr="002C21B8">
        <w:t>responsible for delivering regional hospital and specialist services.</w:t>
      </w:r>
      <w:r w:rsidR="00811CBF" w:rsidRPr="002C21B8">
        <w:t xml:space="preserve"> This is equivalent to a health board in Scotland and Wales.</w:t>
      </w:r>
    </w:p>
    <w:p w14:paraId="17144E22" w14:textId="6893BF10" w:rsidR="00E8684A" w:rsidRPr="002C21B8" w:rsidRDefault="00A019E7" w:rsidP="00211FC4">
      <w:pPr>
        <w:spacing w:after="0"/>
        <w:rPr>
          <w:b/>
          <w:bCs/>
        </w:rPr>
      </w:pPr>
      <w:r w:rsidRPr="002C21B8">
        <w:rPr>
          <w:b/>
          <w:bCs/>
        </w:rPr>
        <w:t>Kidney centre</w:t>
      </w:r>
    </w:p>
    <w:p w14:paraId="01063B15" w14:textId="081417DB" w:rsidR="00E8684A" w:rsidRPr="002C21B8" w:rsidRDefault="00211FC4" w:rsidP="007E3EFF">
      <w:pPr>
        <w:spacing w:after="140"/>
      </w:pPr>
      <w:r w:rsidRPr="002C21B8">
        <w:t xml:space="preserve">A </w:t>
      </w:r>
      <w:r w:rsidR="00E551F4" w:rsidRPr="002C21B8">
        <w:t xml:space="preserve">nephrology </w:t>
      </w:r>
      <w:r w:rsidR="00024F5F" w:rsidRPr="002C21B8">
        <w:t>department</w:t>
      </w:r>
      <w:r w:rsidR="00E551F4" w:rsidRPr="002C21B8">
        <w:t xml:space="preserve"> within </w:t>
      </w:r>
      <w:r w:rsidR="00024F5F" w:rsidRPr="002C21B8">
        <w:t xml:space="preserve">a </w:t>
      </w:r>
      <w:r w:rsidR="00E551F4" w:rsidRPr="002C21B8">
        <w:t xml:space="preserve">secondary care </w:t>
      </w:r>
      <w:r w:rsidR="00024F5F" w:rsidRPr="002C21B8">
        <w:t xml:space="preserve">hospital </w:t>
      </w:r>
      <w:r w:rsidR="00E551F4" w:rsidRPr="002C21B8">
        <w:t xml:space="preserve">that provides specialist assessment, treatment and long-term management of people with </w:t>
      </w:r>
      <w:r w:rsidR="00D60CCD" w:rsidRPr="002C21B8">
        <w:t>kidney disease</w:t>
      </w:r>
      <w:r w:rsidR="00851C13" w:rsidRPr="002C21B8">
        <w:t xml:space="preserve"> through both inpatient and outpatient care.</w:t>
      </w:r>
    </w:p>
    <w:p w14:paraId="4C3B77D2" w14:textId="77777777" w:rsidR="00211FC4" w:rsidRPr="002C21B8" w:rsidRDefault="00211FC4" w:rsidP="00211FC4">
      <w:pPr>
        <w:spacing w:after="0"/>
        <w:rPr>
          <w:b/>
          <w:bCs/>
        </w:rPr>
      </w:pPr>
      <w:r w:rsidRPr="002C21B8">
        <w:rPr>
          <w:b/>
          <w:bCs/>
        </w:rPr>
        <w:t>National Health Service</w:t>
      </w:r>
    </w:p>
    <w:p w14:paraId="0EAE654F" w14:textId="63C02B7C" w:rsidR="003A1344" w:rsidRPr="002C21B8" w:rsidRDefault="003A1344" w:rsidP="007E3EFF">
      <w:pPr>
        <w:spacing w:after="140"/>
      </w:pPr>
      <w:r w:rsidRPr="002C21B8">
        <w:t>The collective term for the four separate publicly funded healthcare systems in the United Kingdom: NHS England, NHS Scotland, NHS Wa</w:t>
      </w:r>
      <w:r w:rsidR="00A528E2" w:rsidRPr="002C21B8">
        <w:t>l</w:t>
      </w:r>
      <w:r w:rsidRPr="002C21B8">
        <w:t>es and Health and Social Care (Northern Ireland)</w:t>
      </w:r>
      <w:r w:rsidR="00D60CCD" w:rsidRPr="002C21B8">
        <w:t>.</w:t>
      </w:r>
    </w:p>
    <w:p w14:paraId="6715481A" w14:textId="06C6AB83" w:rsidR="00E8684A" w:rsidRPr="002C21B8" w:rsidRDefault="00E8684A" w:rsidP="00211FC4">
      <w:pPr>
        <w:spacing w:after="0"/>
        <w:rPr>
          <w:b/>
          <w:bCs/>
        </w:rPr>
      </w:pPr>
      <w:r w:rsidRPr="002C21B8">
        <w:rPr>
          <w:b/>
          <w:bCs/>
        </w:rPr>
        <w:t>National Institute for Health and Care Excellence</w:t>
      </w:r>
    </w:p>
    <w:p w14:paraId="367C057C" w14:textId="38718075" w:rsidR="00E8684A" w:rsidRPr="002C21B8" w:rsidRDefault="00E8684A" w:rsidP="007E3EFF">
      <w:pPr>
        <w:spacing w:after="140"/>
      </w:pPr>
      <w:r w:rsidRPr="002C21B8">
        <w:t xml:space="preserve">An </w:t>
      </w:r>
      <w:r w:rsidR="00A019E7" w:rsidRPr="002C21B8">
        <w:t>independent</w:t>
      </w:r>
      <w:r w:rsidRPr="002C21B8">
        <w:t xml:space="preserve"> public body</w:t>
      </w:r>
      <w:r w:rsidR="00A019E7" w:rsidRPr="002C21B8">
        <w:t xml:space="preserve"> that provides </w:t>
      </w:r>
      <w:r w:rsidR="00D60CCD" w:rsidRPr="002C21B8">
        <w:t>evidence-based guidance and recommendations for health and social care in England.</w:t>
      </w:r>
    </w:p>
    <w:p w14:paraId="4EEB2489" w14:textId="77777777" w:rsidR="00E8684A" w:rsidRPr="002C21B8" w:rsidRDefault="00E8684A" w:rsidP="00211FC4">
      <w:pPr>
        <w:spacing w:after="0"/>
        <w:rPr>
          <w:b/>
          <w:bCs/>
        </w:rPr>
      </w:pPr>
      <w:r w:rsidRPr="002C21B8">
        <w:rPr>
          <w:b/>
          <w:bCs/>
        </w:rPr>
        <w:t>National Registry of Rare Kidney Diseases (RaDaR)</w:t>
      </w:r>
    </w:p>
    <w:p w14:paraId="2DE58858" w14:textId="78091DD8" w:rsidR="00E8684A" w:rsidRPr="002C21B8" w:rsidRDefault="00E8684A" w:rsidP="007E3EFF">
      <w:pPr>
        <w:spacing w:after="140"/>
      </w:pPr>
      <w:r w:rsidRPr="002C21B8">
        <w:t xml:space="preserve">A UK Kidney Association initiative </w:t>
      </w:r>
      <w:r w:rsidR="00D60CCD" w:rsidRPr="002C21B8">
        <w:t>that collects and analyses data on p</w:t>
      </w:r>
      <w:r w:rsidR="00EC0149" w:rsidRPr="002C21B8">
        <w:t>eople</w:t>
      </w:r>
      <w:r w:rsidR="00D60CCD" w:rsidRPr="002C21B8">
        <w:t xml:space="preserve"> with rare kidney diseases</w:t>
      </w:r>
      <w:r w:rsidRPr="002C21B8">
        <w:t>.</w:t>
      </w:r>
    </w:p>
    <w:p w14:paraId="194B2120" w14:textId="5328DB51" w:rsidR="00FB1F19" w:rsidRPr="002C21B8" w:rsidRDefault="00FB1F19" w:rsidP="00211FC4">
      <w:pPr>
        <w:spacing w:after="0"/>
        <w:rPr>
          <w:b/>
          <w:bCs/>
        </w:rPr>
      </w:pPr>
      <w:r w:rsidRPr="002C21B8">
        <w:rPr>
          <w:b/>
          <w:bCs/>
        </w:rPr>
        <w:t>Ontology</w:t>
      </w:r>
    </w:p>
    <w:p w14:paraId="7E857540" w14:textId="645E7DC2" w:rsidR="00FB1F19" w:rsidRPr="002C21B8" w:rsidRDefault="00024F5F" w:rsidP="007E3EFF">
      <w:pPr>
        <w:spacing w:after="140"/>
      </w:pPr>
      <w:r w:rsidRPr="002C21B8">
        <w:t xml:space="preserve">A researcher’s assumptions about </w:t>
      </w:r>
      <w:r w:rsidR="00FB1F19" w:rsidRPr="002C21B8">
        <w:t>what exists and the structure of reality.</w:t>
      </w:r>
    </w:p>
    <w:p w14:paraId="3AF80766" w14:textId="5E7C7AFA" w:rsidR="00FB1F19" w:rsidRPr="002C21B8" w:rsidRDefault="00FB1F19" w:rsidP="00FB1F19">
      <w:pPr>
        <w:spacing w:after="0"/>
        <w:rPr>
          <w:b/>
          <w:bCs/>
        </w:rPr>
      </w:pPr>
      <w:r w:rsidRPr="002C21B8">
        <w:rPr>
          <w:b/>
          <w:bCs/>
        </w:rPr>
        <w:t>Positionality</w:t>
      </w:r>
    </w:p>
    <w:p w14:paraId="30F918DB" w14:textId="5F3B6977" w:rsidR="00B80E87" w:rsidRPr="002C21B8" w:rsidRDefault="00024F5F" w:rsidP="007E3EFF">
      <w:pPr>
        <w:spacing w:after="140"/>
      </w:pPr>
      <w:r w:rsidRPr="002C21B8">
        <w:t xml:space="preserve">A </w:t>
      </w:r>
      <w:r w:rsidR="00FB1F19" w:rsidRPr="002C21B8">
        <w:t xml:space="preserve">researcher’s interpretative lens </w:t>
      </w:r>
      <w:r w:rsidRPr="002C21B8">
        <w:t xml:space="preserve">that is </w:t>
      </w:r>
      <w:r w:rsidR="00FB1F19" w:rsidRPr="002C21B8">
        <w:t>shaped by their prior experience, theoretical commitments and sociocultural context.</w:t>
      </w:r>
    </w:p>
    <w:p w14:paraId="59AA0999" w14:textId="35239432" w:rsidR="002A0358" w:rsidRPr="002C21B8" w:rsidRDefault="002A0358" w:rsidP="002A0358">
      <w:pPr>
        <w:spacing w:after="0"/>
        <w:rPr>
          <w:b/>
          <w:bCs/>
        </w:rPr>
      </w:pPr>
      <w:r w:rsidRPr="002C21B8">
        <w:rPr>
          <w:b/>
          <w:bCs/>
        </w:rPr>
        <w:lastRenderedPageBreak/>
        <w:t>Reflexive journal</w:t>
      </w:r>
    </w:p>
    <w:p w14:paraId="70B37C14" w14:textId="422BA721" w:rsidR="00AD6909" w:rsidRPr="002C21B8" w:rsidRDefault="00215AD2" w:rsidP="007E3EFF">
      <w:pPr>
        <w:spacing w:after="140"/>
      </w:pPr>
      <w:r w:rsidRPr="002C21B8">
        <w:t xml:space="preserve">A documented record of </w:t>
      </w:r>
      <w:r w:rsidR="004F3F81" w:rsidRPr="002C21B8">
        <w:t xml:space="preserve">a </w:t>
      </w:r>
      <w:r w:rsidRPr="002C21B8">
        <w:t xml:space="preserve">researcher’s ongoing reflexive practice during </w:t>
      </w:r>
      <w:r w:rsidR="00B80E87" w:rsidRPr="002C21B8">
        <w:t xml:space="preserve">the </w:t>
      </w:r>
      <w:r w:rsidRPr="002C21B8">
        <w:t>research, with particular attention to how their position</w:t>
      </w:r>
      <w:r w:rsidR="004F3F81" w:rsidRPr="002C21B8">
        <w:t>ality</w:t>
      </w:r>
      <w:r w:rsidRPr="002C21B8">
        <w:t xml:space="preserve"> may influence data collection, analysis and interpretation.</w:t>
      </w:r>
    </w:p>
    <w:p w14:paraId="7ACDBD64" w14:textId="3D2933C2" w:rsidR="00FB1F19" w:rsidRPr="002C21B8" w:rsidRDefault="00FB1F19" w:rsidP="00FB1F19">
      <w:pPr>
        <w:spacing w:after="0"/>
        <w:rPr>
          <w:b/>
          <w:bCs/>
        </w:rPr>
      </w:pPr>
      <w:r w:rsidRPr="002C21B8">
        <w:rPr>
          <w:b/>
          <w:bCs/>
        </w:rPr>
        <w:t>Reflexivity</w:t>
      </w:r>
    </w:p>
    <w:p w14:paraId="41E79220" w14:textId="3CB8C37A" w:rsidR="00FB1F19" w:rsidRPr="002C21B8" w:rsidRDefault="00FB1F19" w:rsidP="007E3EFF">
      <w:pPr>
        <w:spacing w:after="140"/>
      </w:pPr>
      <w:r w:rsidRPr="002C21B8">
        <w:t xml:space="preserve">The process of critically examining how </w:t>
      </w:r>
      <w:r w:rsidR="004F3F81" w:rsidRPr="002C21B8">
        <w:t>a</w:t>
      </w:r>
      <w:r w:rsidRPr="002C21B8">
        <w:t xml:space="preserve"> researcher’s positionality influences </w:t>
      </w:r>
      <w:r w:rsidR="004F3F81" w:rsidRPr="002C21B8">
        <w:t xml:space="preserve">all </w:t>
      </w:r>
      <w:r w:rsidRPr="002C21B8">
        <w:t>stages of the research process and its outcomes.</w:t>
      </w:r>
    </w:p>
    <w:p w14:paraId="1D0DBD1D" w14:textId="77777777" w:rsidR="00E8684A" w:rsidRPr="002C21B8" w:rsidRDefault="00E8684A" w:rsidP="00211FC4">
      <w:pPr>
        <w:spacing w:after="0"/>
        <w:rPr>
          <w:b/>
          <w:bCs/>
        </w:rPr>
      </w:pPr>
      <w:r w:rsidRPr="002C21B8">
        <w:rPr>
          <w:b/>
          <w:bCs/>
        </w:rPr>
        <w:t>Renal Association</w:t>
      </w:r>
    </w:p>
    <w:p w14:paraId="4DD0688F" w14:textId="71E5F28B" w:rsidR="00D60CCD" w:rsidRPr="002C21B8" w:rsidRDefault="00E8684A" w:rsidP="007E3EFF">
      <w:pPr>
        <w:spacing w:after="140"/>
      </w:pPr>
      <w:r w:rsidRPr="002C21B8">
        <w:t>The previous name for the UKKA. See UK Kidney Association</w:t>
      </w:r>
      <w:r w:rsidR="00CC5E6C" w:rsidRPr="002C21B8">
        <w:t>.</w:t>
      </w:r>
    </w:p>
    <w:p w14:paraId="31146543" w14:textId="4D605431" w:rsidR="00E551F4" w:rsidRPr="002C21B8" w:rsidRDefault="00E551F4" w:rsidP="00E551F4">
      <w:pPr>
        <w:spacing w:after="0"/>
        <w:rPr>
          <w:b/>
          <w:bCs/>
        </w:rPr>
      </w:pPr>
      <w:r w:rsidRPr="002C21B8">
        <w:rPr>
          <w:b/>
          <w:bCs/>
        </w:rPr>
        <w:t>Renal genetics clinic</w:t>
      </w:r>
    </w:p>
    <w:p w14:paraId="767D92DA" w14:textId="16C2F8A2" w:rsidR="00E551F4" w:rsidRPr="002C21B8" w:rsidRDefault="00E551F4" w:rsidP="007E3EFF">
      <w:pPr>
        <w:spacing w:after="140"/>
      </w:pPr>
      <w:r w:rsidRPr="002C21B8">
        <w:t xml:space="preserve">A specialist </w:t>
      </w:r>
      <w:r w:rsidR="00851C13" w:rsidRPr="002C21B8">
        <w:t>outpatient clinic in a kidney centre that diagnos</w:t>
      </w:r>
      <w:r w:rsidR="00595E0C" w:rsidRPr="002C21B8">
        <w:t>e</w:t>
      </w:r>
      <w:r w:rsidR="00851C13" w:rsidRPr="002C21B8">
        <w:t>s, assess</w:t>
      </w:r>
      <w:r w:rsidR="00595E0C" w:rsidRPr="002C21B8">
        <w:t>es</w:t>
      </w:r>
      <w:r w:rsidR="00851C13" w:rsidRPr="002C21B8">
        <w:t>, manage</w:t>
      </w:r>
      <w:r w:rsidR="00595E0C" w:rsidRPr="002C21B8">
        <w:t>s</w:t>
      </w:r>
      <w:r w:rsidR="00851C13" w:rsidRPr="002C21B8">
        <w:t xml:space="preserve"> and monitor</w:t>
      </w:r>
      <w:r w:rsidR="00595E0C" w:rsidRPr="002C21B8">
        <w:t>s</w:t>
      </w:r>
      <w:r w:rsidR="00851C13" w:rsidRPr="002C21B8">
        <w:t xml:space="preserve"> people with inherited kidney diseases.</w:t>
      </w:r>
    </w:p>
    <w:p w14:paraId="118BB88F" w14:textId="6A5F807D" w:rsidR="002A0358" w:rsidRPr="002C21B8" w:rsidRDefault="002A0358" w:rsidP="002A0358">
      <w:pPr>
        <w:spacing w:after="0"/>
        <w:rPr>
          <w:b/>
          <w:bCs/>
        </w:rPr>
      </w:pPr>
      <w:r w:rsidRPr="002C21B8">
        <w:rPr>
          <w:b/>
          <w:bCs/>
        </w:rPr>
        <w:t>Research paradigm</w:t>
      </w:r>
    </w:p>
    <w:p w14:paraId="3D679719" w14:textId="3B2369FC" w:rsidR="002A0358" w:rsidRPr="002C21B8" w:rsidRDefault="004C45AC" w:rsidP="007E3EFF">
      <w:pPr>
        <w:spacing w:after="140"/>
      </w:pPr>
      <w:r w:rsidRPr="002C21B8">
        <w:t>A researcher’s worldview or philosophical framework, including their beliefs, values and assumptions, that guides the research process.</w:t>
      </w:r>
    </w:p>
    <w:p w14:paraId="792E58D7" w14:textId="0166A9A4" w:rsidR="00A019E7" w:rsidRPr="002C21B8" w:rsidRDefault="00A019E7" w:rsidP="00211FC4">
      <w:pPr>
        <w:spacing w:after="0"/>
        <w:rPr>
          <w:b/>
          <w:bCs/>
        </w:rPr>
      </w:pPr>
      <w:r w:rsidRPr="002C21B8">
        <w:rPr>
          <w:b/>
          <w:bCs/>
        </w:rPr>
        <w:t>Scottish Medicines Consortium</w:t>
      </w:r>
    </w:p>
    <w:p w14:paraId="61F0E604" w14:textId="3120A0BA" w:rsidR="00A019E7" w:rsidRPr="002C21B8" w:rsidRDefault="00D60CCD" w:rsidP="007E3EFF">
      <w:pPr>
        <w:spacing w:after="140"/>
      </w:pPr>
      <w:r w:rsidRPr="002C21B8">
        <w:t>A national body that evaluates and provides guidance on the use of medic</w:t>
      </w:r>
      <w:r w:rsidR="00DC4A69" w:rsidRPr="002C21B8">
        <w:t>ation</w:t>
      </w:r>
      <w:r w:rsidRPr="002C21B8">
        <w:t>s within NHS Scotland.</w:t>
      </w:r>
    </w:p>
    <w:p w14:paraId="5DCF5027" w14:textId="77777777" w:rsidR="00314450" w:rsidRPr="002C21B8" w:rsidRDefault="00314450" w:rsidP="00211FC4">
      <w:pPr>
        <w:spacing w:after="0"/>
        <w:rPr>
          <w:b/>
          <w:bCs/>
        </w:rPr>
      </w:pPr>
      <w:r w:rsidRPr="002C21B8">
        <w:rPr>
          <w:b/>
          <w:bCs/>
        </w:rPr>
        <w:t>Triangulation</w:t>
      </w:r>
    </w:p>
    <w:p w14:paraId="20A5EF89" w14:textId="68B11020" w:rsidR="00314450" w:rsidRPr="002C21B8" w:rsidRDefault="00314450" w:rsidP="007E3EFF">
      <w:pPr>
        <w:spacing w:after="140"/>
      </w:pPr>
      <w:r w:rsidRPr="002C21B8">
        <w:t xml:space="preserve">The use of multiple methods or data sources to enhance the credibility of a </w:t>
      </w:r>
      <w:r w:rsidR="00C57FD1" w:rsidRPr="002C21B8">
        <w:t>study</w:t>
      </w:r>
      <w:r w:rsidRPr="002C21B8">
        <w:t xml:space="preserve"> by comparing and contrasting findings.</w:t>
      </w:r>
    </w:p>
    <w:p w14:paraId="2B3AF496" w14:textId="77777777" w:rsidR="00BC7F3C" w:rsidRPr="002C21B8" w:rsidRDefault="00BC7F3C" w:rsidP="00211FC4">
      <w:pPr>
        <w:spacing w:after="0"/>
        <w:rPr>
          <w:b/>
          <w:bCs/>
        </w:rPr>
      </w:pPr>
      <w:r w:rsidRPr="002C21B8">
        <w:rPr>
          <w:b/>
          <w:bCs/>
        </w:rPr>
        <w:t>Tolvaptan clinic</w:t>
      </w:r>
    </w:p>
    <w:p w14:paraId="039698CA" w14:textId="29737D8D" w:rsidR="00BC7F3C" w:rsidRPr="002C21B8" w:rsidRDefault="00BC7F3C" w:rsidP="007E3EFF">
      <w:pPr>
        <w:spacing w:after="140"/>
      </w:pPr>
      <w:r w:rsidRPr="002C21B8">
        <w:t>A specialist outpatient clinic at a kidney centre that focuses on initiating, monitoring and titrating the dose of tolvaptan in the management of ADPKD.</w:t>
      </w:r>
    </w:p>
    <w:p w14:paraId="70FAF15F" w14:textId="7B1C0E80" w:rsidR="00BC7F3C" w:rsidRPr="002C21B8" w:rsidRDefault="00BC7F3C" w:rsidP="00BC7F3C">
      <w:pPr>
        <w:spacing w:after="0"/>
        <w:rPr>
          <w:b/>
          <w:bCs/>
        </w:rPr>
      </w:pPr>
      <w:r w:rsidRPr="002C21B8">
        <w:rPr>
          <w:b/>
          <w:bCs/>
        </w:rPr>
        <w:t>Tolvaptan care pathway</w:t>
      </w:r>
    </w:p>
    <w:p w14:paraId="660AC36B" w14:textId="1654A776" w:rsidR="00BC7F3C" w:rsidRPr="002C21B8" w:rsidRDefault="00BC7F3C" w:rsidP="007E3EFF">
      <w:pPr>
        <w:spacing w:after="140"/>
      </w:pPr>
      <w:r w:rsidRPr="002C21B8">
        <w:t>The structured clinical and organisational activities through which kidney centres deliver tolvaptan.</w:t>
      </w:r>
    </w:p>
    <w:p w14:paraId="4EABC1B5" w14:textId="3B8559B0" w:rsidR="007466EE" w:rsidRPr="002C21B8" w:rsidRDefault="007466EE" w:rsidP="007466EE">
      <w:pPr>
        <w:spacing w:after="0"/>
        <w:rPr>
          <w:b/>
          <w:bCs/>
        </w:rPr>
      </w:pPr>
      <w:r w:rsidRPr="002C21B8">
        <w:rPr>
          <w:b/>
          <w:bCs/>
        </w:rPr>
        <w:t>Unit of analysis</w:t>
      </w:r>
    </w:p>
    <w:p w14:paraId="2E331E89" w14:textId="425AB9AA" w:rsidR="007466EE" w:rsidRPr="002C21B8" w:rsidRDefault="00B80E87" w:rsidP="007E3EFF">
      <w:pPr>
        <w:spacing w:after="140"/>
      </w:pPr>
      <w:r w:rsidRPr="002C21B8">
        <w:t xml:space="preserve">The primary analytical focus of the study. In some designs, </w:t>
      </w:r>
      <w:r w:rsidR="00D912F3" w:rsidRPr="002C21B8">
        <w:t>this</w:t>
      </w:r>
      <w:r w:rsidRPr="002C21B8">
        <w:t xml:space="preserve"> can be the case itself, while in embedded designs </w:t>
      </w:r>
      <w:r w:rsidR="00BE633C" w:rsidRPr="002C21B8">
        <w:t xml:space="preserve">there </w:t>
      </w:r>
      <w:r w:rsidRPr="002C21B8">
        <w:t>may be subunit</w:t>
      </w:r>
      <w:r w:rsidR="00BE633C" w:rsidRPr="002C21B8">
        <w:t>s</w:t>
      </w:r>
      <w:r w:rsidRPr="002C21B8">
        <w:t xml:space="preserve"> within the case (e.g. individuals, teams or events).</w:t>
      </w:r>
    </w:p>
    <w:p w14:paraId="0E29514D" w14:textId="4BF904D3" w:rsidR="00E8684A" w:rsidRPr="002C21B8" w:rsidRDefault="00E8684A" w:rsidP="00211FC4">
      <w:pPr>
        <w:spacing w:after="0"/>
        <w:rPr>
          <w:b/>
          <w:bCs/>
        </w:rPr>
      </w:pPr>
      <w:r w:rsidRPr="002C21B8">
        <w:rPr>
          <w:b/>
          <w:bCs/>
        </w:rPr>
        <w:t>United Kingdom Kidney Association</w:t>
      </w:r>
    </w:p>
    <w:p w14:paraId="378BE632" w14:textId="361D5C48" w:rsidR="00AD6909" w:rsidRPr="002C21B8" w:rsidRDefault="00E8684A" w:rsidP="00657524">
      <w:pPr>
        <w:spacing w:after="140"/>
      </w:pPr>
      <w:r w:rsidRPr="002C21B8">
        <w:t xml:space="preserve">The </w:t>
      </w:r>
      <w:r w:rsidR="00D60CCD" w:rsidRPr="002C21B8">
        <w:t xml:space="preserve">national </w:t>
      </w:r>
      <w:r w:rsidRPr="002C21B8">
        <w:t xml:space="preserve">professional </w:t>
      </w:r>
      <w:r w:rsidR="00D60CCD" w:rsidRPr="002C21B8">
        <w:t>societ</w:t>
      </w:r>
      <w:r w:rsidRPr="002C21B8">
        <w:t xml:space="preserve">y </w:t>
      </w:r>
      <w:r w:rsidR="00D60CCD" w:rsidRPr="002C21B8">
        <w:t>in nephrology for the United Kingdom that supports the delivery of kidney care, education and research.</w:t>
      </w:r>
      <w:r w:rsidR="00AD6909" w:rsidRPr="002C21B8">
        <w:br w:type="page"/>
      </w:r>
    </w:p>
    <w:p w14:paraId="6D67C8FF" w14:textId="2D72456E" w:rsidR="0094637E" w:rsidRPr="002C21B8" w:rsidRDefault="006837E3" w:rsidP="0094637E">
      <w:pPr>
        <w:pStyle w:val="Heading1"/>
        <w:numPr>
          <w:ilvl w:val="0"/>
          <w:numId w:val="0"/>
        </w:numPr>
      </w:pPr>
      <w:bookmarkStart w:id="7" w:name="_Toc229687187"/>
      <w:r w:rsidRPr="002C21B8">
        <w:lastRenderedPageBreak/>
        <w:t>List of t</w:t>
      </w:r>
      <w:r w:rsidR="00E8684A" w:rsidRPr="002C21B8">
        <w:t>ables</w:t>
      </w:r>
      <w:bookmarkStart w:id="8" w:name="_Toc155419631"/>
      <w:bookmarkEnd w:id="7"/>
    </w:p>
    <w:p w14:paraId="4ECB55B2" w14:textId="55B63DAA" w:rsidR="00C474BE" w:rsidRDefault="00E8684A">
      <w:pPr>
        <w:pStyle w:val="TableofFigures"/>
        <w:tabs>
          <w:tab w:val="right" w:leader="dot" w:pos="9016"/>
        </w:tabs>
        <w:rPr>
          <w:rFonts w:eastAsiaTheme="minorEastAsia" w:cstheme="minorBidi"/>
          <w:noProof/>
          <w:kern w:val="2"/>
          <w:sz w:val="24"/>
          <w:szCs w:val="24"/>
          <w14:ligatures w14:val="standardContextual"/>
        </w:rPr>
      </w:pPr>
      <w:r w:rsidRPr="002C21B8">
        <w:rPr>
          <w:rFonts w:ascii="Calibri" w:hAnsi="Calibri"/>
        </w:rPr>
        <w:fldChar w:fldCharType="begin"/>
      </w:r>
      <w:r w:rsidRPr="002C21B8">
        <w:rPr>
          <w:rFonts w:ascii="Calibri" w:hAnsi="Calibri"/>
        </w:rPr>
        <w:instrText xml:space="preserve"> TOC \h \z \c "Table" </w:instrText>
      </w:r>
      <w:r w:rsidRPr="002C21B8">
        <w:rPr>
          <w:rFonts w:ascii="Calibri" w:hAnsi="Calibri"/>
        </w:rPr>
        <w:fldChar w:fldCharType="separate"/>
      </w:r>
      <w:hyperlink w:anchor="_Toc236991737" w:history="1">
        <w:r w:rsidR="00C474BE" w:rsidRPr="00B05470">
          <w:rPr>
            <w:rStyle w:val="Hyperlink"/>
            <w:rFonts w:eastAsiaTheme="majorEastAsia"/>
            <w:noProof/>
          </w:rPr>
          <w:t>Table 1. International definitions of rare diseases expressed as prevalence thresholds</w:t>
        </w:r>
        <w:r w:rsidR="00C474BE">
          <w:rPr>
            <w:noProof/>
            <w:webHidden/>
          </w:rPr>
          <w:tab/>
        </w:r>
        <w:r w:rsidR="00C474BE">
          <w:rPr>
            <w:noProof/>
            <w:webHidden/>
          </w:rPr>
          <w:fldChar w:fldCharType="begin"/>
        </w:r>
        <w:r w:rsidR="00C474BE">
          <w:rPr>
            <w:noProof/>
            <w:webHidden/>
          </w:rPr>
          <w:instrText xml:space="preserve"> PAGEREF _Toc236991737 \h </w:instrText>
        </w:r>
        <w:r w:rsidR="00C474BE">
          <w:rPr>
            <w:noProof/>
            <w:webHidden/>
          </w:rPr>
        </w:r>
        <w:r w:rsidR="00C474BE">
          <w:rPr>
            <w:noProof/>
            <w:webHidden/>
          </w:rPr>
          <w:fldChar w:fldCharType="separate"/>
        </w:r>
        <w:r w:rsidR="00C474BE">
          <w:rPr>
            <w:noProof/>
            <w:webHidden/>
          </w:rPr>
          <w:t>26</w:t>
        </w:r>
        <w:r w:rsidR="00C474BE">
          <w:rPr>
            <w:noProof/>
            <w:webHidden/>
          </w:rPr>
          <w:fldChar w:fldCharType="end"/>
        </w:r>
      </w:hyperlink>
    </w:p>
    <w:p w14:paraId="69A36747" w14:textId="787D2645"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38" w:history="1">
        <w:r w:rsidR="00C474BE" w:rsidRPr="00B05470">
          <w:rPr>
            <w:rStyle w:val="Hyperlink"/>
            <w:rFonts w:eastAsiaTheme="majorEastAsia"/>
            <w:noProof/>
          </w:rPr>
          <w:t>Table 2. Factors influencing physician prescribing behaviour and relation to theory (Murshid and Mohaidin, 2017)</w:t>
        </w:r>
        <w:r w:rsidR="00C474BE">
          <w:rPr>
            <w:noProof/>
            <w:webHidden/>
          </w:rPr>
          <w:tab/>
        </w:r>
        <w:r w:rsidR="00C474BE">
          <w:rPr>
            <w:noProof/>
            <w:webHidden/>
          </w:rPr>
          <w:fldChar w:fldCharType="begin"/>
        </w:r>
        <w:r w:rsidR="00C474BE">
          <w:rPr>
            <w:noProof/>
            <w:webHidden/>
          </w:rPr>
          <w:instrText xml:space="preserve"> PAGEREF _Toc236991738 \h </w:instrText>
        </w:r>
        <w:r w:rsidR="00C474BE">
          <w:rPr>
            <w:noProof/>
            <w:webHidden/>
          </w:rPr>
        </w:r>
        <w:r w:rsidR="00C474BE">
          <w:rPr>
            <w:noProof/>
            <w:webHidden/>
          </w:rPr>
          <w:fldChar w:fldCharType="separate"/>
        </w:r>
        <w:r w:rsidR="00C474BE">
          <w:rPr>
            <w:noProof/>
            <w:webHidden/>
          </w:rPr>
          <w:t>34</w:t>
        </w:r>
        <w:r w:rsidR="00C474BE">
          <w:rPr>
            <w:noProof/>
            <w:webHidden/>
          </w:rPr>
          <w:fldChar w:fldCharType="end"/>
        </w:r>
      </w:hyperlink>
    </w:p>
    <w:p w14:paraId="3CBDF1EC" w14:textId="1D25CD45"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39" w:history="1">
        <w:r w:rsidR="00C474BE" w:rsidRPr="00B05470">
          <w:rPr>
            <w:rStyle w:val="Hyperlink"/>
            <w:rFonts w:eastAsiaTheme="majorEastAsia"/>
            <w:noProof/>
          </w:rPr>
          <w:t>Table 3. Comparison of prescribing in acute and chronic conditions</w:t>
        </w:r>
        <w:r w:rsidR="00C474BE">
          <w:rPr>
            <w:noProof/>
            <w:webHidden/>
          </w:rPr>
          <w:tab/>
        </w:r>
        <w:r w:rsidR="00C474BE">
          <w:rPr>
            <w:noProof/>
            <w:webHidden/>
          </w:rPr>
          <w:fldChar w:fldCharType="begin"/>
        </w:r>
        <w:r w:rsidR="00C474BE">
          <w:rPr>
            <w:noProof/>
            <w:webHidden/>
          </w:rPr>
          <w:instrText xml:space="preserve"> PAGEREF _Toc236991739 \h </w:instrText>
        </w:r>
        <w:r w:rsidR="00C474BE">
          <w:rPr>
            <w:noProof/>
            <w:webHidden/>
          </w:rPr>
        </w:r>
        <w:r w:rsidR="00C474BE">
          <w:rPr>
            <w:noProof/>
            <w:webHidden/>
          </w:rPr>
          <w:fldChar w:fldCharType="separate"/>
        </w:r>
        <w:r w:rsidR="00C474BE">
          <w:rPr>
            <w:noProof/>
            <w:webHidden/>
          </w:rPr>
          <w:t>35</w:t>
        </w:r>
        <w:r w:rsidR="00C474BE">
          <w:rPr>
            <w:noProof/>
            <w:webHidden/>
          </w:rPr>
          <w:fldChar w:fldCharType="end"/>
        </w:r>
      </w:hyperlink>
    </w:p>
    <w:p w14:paraId="5DF6D07C" w14:textId="5E4C4439"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0" w:history="1">
        <w:r w:rsidR="00C474BE" w:rsidRPr="00B05470">
          <w:rPr>
            <w:rStyle w:val="Hyperlink"/>
            <w:rFonts w:eastAsiaTheme="majorEastAsia"/>
            <w:noProof/>
          </w:rPr>
          <w:t>Table 4. Mixed methods design types, adapted from (Creswell and Plano Clark, 2017)</w:t>
        </w:r>
        <w:r w:rsidR="00C474BE">
          <w:rPr>
            <w:noProof/>
            <w:webHidden/>
          </w:rPr>
          <w:tab/>
        </w:r>
        <w:r w:rsidR="00C474BE">
          <w:rPr>
            <w:noProof/>
            <w:webHidden/>
          </w:rPr>
          <w:fldChar w:fldCharType="begin"/>
        </w:r>
        <w:r w:rsidR="00C474BE">
          <w:rPr>
            <w:noProof/>
            <w:webHidden/>
          </w:rPr>
          <w:instrText xml:space="preserve"> PAGEREF _Toc236991740 \h </w:instrText>
        </w:r>
        <w:r w:rsidR="00C474BE">
          <w:rPr>
            <w:noProof/>
            <w:webHidden/>
          </w:rPr>
        </w:r>
        <w:r w:rsidR="00C474BE">
          <w:rPr>
            <w:noProof/>
            <w:webHidden/>
          </w:rPr>
          <w:fldChar w:fldCharType="separate"/>
        </w:r>
        <w:r w:rsidR="00C474BE">
          <w:rPr>
            <w:noProof/>
            <w:webHidden/>
          </w:rPr>
          <w:t>51</w:t>
        </w:r>
        <w:r w:rsidR="00C474BE">
          <w:rPr>
            <w:noProof/>
            <w:webHidden/>
          </w:rPr>
          <w:fldChar w:fldCharType="end"/>
        </w:r>
      </w:hyperlink>
    </w:p>
    <w:p w14:paraId="60A91882" w14:textId="469892C7"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1" w:history="1">
        <w:r w:rsidR="00C474BE" w:rsidRPr="00B05470">
          <w:rPr>
            <w:rStyle w:val="Hyperlink"/>
            <w:rFonts w:eastAsiaTheme="majorEastAsia"/>
            <w:noProof/>
          </w:rPr>
          <w:t>Table 5. Trustworthiness and quality characteristics of quantitative and qualitative research methods, adapted from (Lincoln and Guba, 1985)</w:t>
        </w:r>
        <w:r w:rsidR="00C474BE">
          <w:rPr>
            <w:noProof/>
            <w:webHidden/>
          </w:rPr>
          <w:tab/>
        </w:r>
        <w:r w:rsidR="00C474BE">
          <w:rPr>
            <w:noProof/>
            <w:webHidden/>
          </w:rPr>
          <w:fldChar w:fldCharType="begin"/>
        </w:r>
        <w:r w:rsidR="00C474BE">
          <w:rPr>
            <w:noProof/>
            <w:webHidden/>
          </w:rPr>
          <w:instrText xml:space="preserve"> PAGEREF _Toc236991741 \h </w:instrText>
        </w:r>
        <w:r w:rsidR="00C474BE">
          <w:rPr>
            <w:noProof/>
            <w:webHidden/>
          </w:rPr>
        </w:r>
        <w:r w:rsidR="00C474BE">
          <w:rPr>
            <w:noProof/>
            <w:webHidden/>
          </w:rPr>
          <w:fldChar w:fldCharType="separate"/>
        </w:r>
        <w:r w:rsidR="00C474BE">
          <w:rPr>
            <w:noProof/>
            <w:webHidden/>
          </w:rPr>
          <w:t>62</w:t>
        </w:r>
        <w:r w:rsidR="00C474BE">
          <w:rPr>
            <w:noProof/>
            <w:webHidden/>
          </w:rPr>
          <w:fldChar w:fldCharType="end"/>
        </w:r>
      </w:hyperlink>
    </w:p>
    <w:p w14:paraId="521E2FE8" w14:textId="0C0F2660"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2" w:history="1">
        <w:r w:rsidR="00C474BE" w:rsidRPr="00B05470">
          <w:rPr>
            <w:rStyle w:val="Hyperlink"/>
            <w:rFonts w:eastAsiaTheme="majorEastAsia"/>
            <w:noProof/>
          </w:rPr>
          <w:t>Table 6. Overview of PPI activities and key contributions to programme of research</w:t>
        </w:r>
        <w:r w:rsidR="00C474BE">
          <w:rPr>
            <w:noProof/>
            <w:webHidden/>
          </w:rPr>
          <w:tab/>
        </w:r>
        <w:r w:rsidR="00C474BE">
          <w:rPr>
            <w:noProof/>
            <w:webHidden/>
          </w:rPr>
          <w:fldChar w:fldCharType="begin"/>
        </w:r>
        <w:r w:rsidR="00C474BE">
          <w:rPr>
            <w:noProof/>
            <w:webHidden/>
          </w:rPr>
          <w:instrText xml:space="preserve"> PAGEREF _Toc236991742 \h </w:instrText>
        </w:r>
        <w:r w:rsidR="00C474BE">
          <w:rPr>
            <w:noProof/>
            <w:webHidden/>
          </w:rPr>
        </w:r>
        <w:r w:rsidR="00C474BE">
          <w:rPr>
            <w:noProof/>
            <w:webHidden/>
          </w:rPr>
          <w:fldChar w:fldCharType="separate"/>
        </w:r>
        <w:r w:rsidR="00C474BE">
          <w:rPr>
            <w:noProof/>
            <w:webHidden/>
          </w:rPr>
          <w:t>70</w:t>
        </w:r>
        <w:r w:rsidR="00C474BE">
          <w:rPr>
            <w:noProof/>
            <w:webHidden/>
          </w:rPr>
          <w:fldChar w:fldCharType="end"/>
        </w:r>
      </w:hyperlink>
    </w:p>
    <w:p w14:paraId="6B20BAB5" w14:textId="006EDE7B"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3" w:history="1">
        <w:r w:rsidR="00C474BE" w:rsidRPr="00B05470">
          <w:rPr>
            <w:rStyle w:val="Hyperlink"/>
            <w:rFonts w:eastAsiaTheme="majorEastAsia"/>
            <w:noProof/>
          </w:rPr>
          <w:t>Table 7. Eligibility criteria reported according to the SPIDER framework</w:t>
        </w:r>
        <w:r w:rsidR="00C474BE">
          <w:rPr>
            <w:noProof/>
            <w:webHidden/>
          </w:rPr>
          <w:tab/>
        </w:r>
        <w:r w:rsidR="00C474BE">
          <w:rPr>
            <w:noProof/>
            <w:webHidden/>
          </w:rPr>
          <w:fldChar w:fldCharType="begin"/>
        </w:r>
        <w:r w:rsidR="00C474BE">
          <w:rPr>
            <w:noProof/>
            <w:webHidden/>
          </w:rPr>
          <w:instrText xml:space="preserve"> PAGEREF _Toc236991743 \h </w:instrText>
        </w:r>
        <w:r w:rsidR="00C474BE">
          <w:rPr>
            <w:noProof/>
            <w:webHidden/>
          </w:rPr>
        </w:r>
        <w:r w:rsidR="00C474BE">
          <w:rPr>
            <w:noProof/>
            <w:webHidden/>
          </w:rPr>
          <w:fldChar w:fldCharType="separate"/>
        </w:r>
        <w:r w:rsidR="00C474BE">
          <w:rPr>
            <w:noProof/>
            <w:webHidden/>
          </w:rPr>
          <w:t>77</w:t>
        </w:r>
        <w:r w:rsidR="00C474BE">
          <w:rPr>
            <w:noProof/>
            <w:webHidden/>
          </w:rPr>
          <w:fldChar w:fldCharType="end"/>
        </w:r>
      </w:hyperlink>
    </w:p>
    <w:p w14:paraId="61A7B361" w14:textId="78D63B0F"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4" w:history="1">
        <w:r w:rsidR="00C474BE" w:rsidRPr="00B05470">
          <w:rPr>
            <w:rStyle w:val="Hyperlink"/>
            <w:rFonts w:eastAsiaTheme="majorEastAsia"/>
            <w:noProof/>
          </w:rPr>
          <w:t>Table 8. Characteristics of included systematic reviews</w:t>
        </w:r>
        <w:r w:rsidR="00C474BE">
          <w:rPr>
            <w:noProof/>
            <w:webHidden/>
          </w:rPr>
          <w:tab/>
        </w:r>
        <w:r w:rsidR="00C474BE">
          <w:rPr>
            <w:noProof/>
            <w:webHidden/>
          </w:rPr>
          <w:fldChar w:fldCharType="begin"/>
        </w:r>
        <w:r w:rsidR="00C474BE">
          <w:rPr>
            <w:noProof/>
            <w:webHidden/>
          </w:rPr>
          <w:instrText xml:space="preserve"> PAGEREF _Toc236991744 \h </w:instrText>
        </w:r>
        <w:r w:rsidR="00C474BE">
          <w:rPr>
            <w:noProof/>
            <w:webHidden/>
          </w:rPr>
        </w:r>
        <w:r w:rsidR="00C474BE">
          <w:rPr>
            <w:noProof/>
            <w:webHidden/>
          </w:rPr>
          <w:fldChar w:fldCharType="separate"/>
        </w:r>
        <w:r w:rsidR="00C474BE">
          <w:rPr>
            <w:noProof/>
            <w:webHidden/>
          </w:rPr>
          <w:t>82</w:t>
        </w:r>
        <w:r w:rsidR="00C474BE">
          <w:rPr>
            <w:noProof/>
            <w:webHidden/>
          </w:rPr>
          <w:fldChar w:fldCharType="end"/>
        </w:r>
      </w:hyperlink>
    </w:p>
    <w:p w14:paraId="79997337" w14:textId="6F5D852A"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5" w:history="1">
        <w:r w:rsidR="00C474BE" w:rsidRPr="00B05470">
          <w:rPr>
            <w:rStyle w:val="Hyperlink"/>
            <w:rFonts w:eastAsiaTheme="majorEastAsia"/>
            <w:noProof/>
          </w:rPr>
          <w:t>Table 9. Summary of qualitative findings</w:t>
        </w:r>
        <w:r w:rsidR="00C474BE">
          <w:rPr>
            <w:noProof/>
            <w:webHidden/>
          </w:rPr>
          <w:tab/>
        </w:r>
        <w:r w:rsidR="00C474BE">
          <w:rPr>
            <w:noProof/>
            <w:webHidden/>
          </w:rPr>
          <w:fldChar w:fldCharType="begin"/>
        </w:r>
        <w:r w:rsidR="00C474BE">
          <w:rPr>
            <w:noProof/>
            <w:webHidden/>
          </w:rPr>
          <w:instrText xml:space="preserve"> PAGEREF _Toc236991745 \h </w:instrText>
        </w:r>
        <w:r w:rsidR="00C474BE">
          <w:rPr>
            <w:noProof/>
            <w:webHidden/>
          </w:rPr>
        </w:r>
        <w:r w:rsidR="00C474BE">
          <w:rPr>
            <w:noProof/>
            <w:webHidden/>
          </w:rPr>
          <w:fldChar w:fldCharType="separate"/>
        </w:r>
        <w:r w:rsidR="00C474BE">
          <w:rPr>
            <w:noProof/>
            <w:webHidden/>
          </w:rPr>
          <w:t>85</w:t>
        </w:r>
        <w:r w:rsidR="00C474BE">
          <w:rPr>
            <w:noProof/>
            <w:webHidden/>
          </w:rPr>
          <w:fldChar w:fldCharType="end"/>
        </w:r>
      </w:hyperlink>
    </w:p>
    <w:p w14:paraId="0EE6032A" w14:textId="6D9B3BFC"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6" w:history="1">
        <w:r w:rsidR="00C474BE" w:rsidRPr="00B05470">
          <w:rPr>
            <w:rStyle w:val="Hyperlink"/>
            <w:rFonts w:eastAsiaTheme="majorEastAsia"/>
            <w:noProof/>
          </w:rPr>
          <w:t>Table 10. Summary of quantitative factors in relation to qualitative findings</w:t>
        </w:r>
        <w:r w:rsidR="00C474BE">
          <w:rPr>
            <w:noProof/>
            <w:webHidden/>
          </w:rPr>
          <w:tab/>
        </w:r>
        <w:r w:rsidR="00C474BE">
          <w:rPr>
            <w:noProof/>
            <w:webHidden/>
          </w:rPr>
          <w:fldChar w:fldCharType="begin"/>
        </w:r>
        <w:r w:rsidR="00C474BE">
          <w:rPr>
            <w:noProof/>
            <w:webHidden/>
          </w:rPr>
          <w:instrText xml:space="preserve"> PAGEREF _Toc236991746 \h </w:instrText>
        </w:r>
        <w:r w:rsidR="00C474BE">
          <w:rPr>
            <w:noProof/>
            <w:webHidden/>
          </w:rPr>
        </w:r>
        <w:r w:rsidR="00C474BE">
          <w:rPr>
            <w:noProof/>
            <w:webHidden/>
          </w:rPr>
          <w:fldChar w:fldCharType="separate"/>
        </w:r>
        <w:r w:rsidR="00C474BE">
          <w:rPr>
            <w:noProof/>
            <w:webHidden/>
          </w:rPr>
          <w:t>96</w:t>
        </w:r>
        <w:r w:rsidR="00C474BE">
          <w:rPr>
            <w:noProof/>
            <w:webHidden/>
          </w:rPr>
          <w:fldChar w:fldCharType="end"/>
        </w:r>
      </w:hyperlink>
    </w:p>
    <w:p w14:paraId="2914113D" w14:textId="6545FF39"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7" w:history="1">
        <w:r w:rsidR="00C474BE" w:rsidRPr="00B05470">
          <w:rPr>
            <w:rStyle w:val="Hyperlink"/>
            <w:rFonts w:eastAsiaTheme="majorEastAsia"/>
            <w:noProof/>
          </w:rPr>
          <w:t>Table 11. Characteristics of kidney centres and participants</w:t>
        </w:r>
        <w:r w:rsidR="00C474BE">
          <w:rPr>
            <w:noProof/>
            <w:webHidden/>
          </w:rPr>
          <w:tab/>
        </w:r>
        <w:r w:rsidR="00C474BE">
          <w:rPr>
            <w:noProof/>
            <w:webHidden/>
          </w:rPr>
          <w:fldChar w:fldCharType="begin"/>
        </w:r>
        <w:r w:rsidR="00C474BE">
          <w:rPr>
            <w:noProof/>
            <w:webHidden/>
          </w:rPr>
          <w:instrText xml:space="preserve"> PAGEREF _Toc236991747 \h </w:instrText>
        </w:r>
        <w:r w:rsidR="00C474BE">
          <w:rPr>
            <w:noProof/>
            <w:webHidden/>
          </w:rPr>
        </w:r>
        <w:r w:rsidR="00C474BE">
          <w:rPr>
            <w:noProof/>
            <w:webHidden/>
          </w:rPr>
          <w:fldChar w:fldCharType="separate"/>
        </w:r>
        <w:r w:rsidR="00C474BE">
          <w:rPr>
            <w:noProof/>
            <w:webHidden/>
          </w:rPr>
          <w:t>112</w:t>
        </w:r>
        <w:r w:rsidR="00C474BE">
          <w:rPr>
            <w:noProof/>
            <w:webHidden/>
          </w:rPr>
          <w:fldChar w:fldCharType="end"/>
        </w:r>
      </w:hyperlink>
    </w:p>
    <w:p w14:paraId="01E626BB" w14:textId="1E7F3645"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8" w:history="1">
        <w:r w:rsidR="00C474BE" w:rsidRPr="00B05470">
          <w:rPr>
            <w:rStyle w:val="Hyperlink"/>
            <w:rFonts w:eastAsiaTheme="majorEastAsia"/>
            <w:noProof/>
          </w:rPr>
          <w:t>Table 12. Characteristics of patients eligible for tolvaptan, stratified by initiation status</w:t>
        </w:r>
        <w:r w:rsidR="00C474BE">
          <w:rPr>
            <w:noProof/>
            <w:webHidden/>
          </w:rPr>
          <w:tab/>
        </w:r>
        <w:r w:rsidR="00C474BE">
          <w:rPr>
            <w:noProof/>
            <w:webHidden/>
          </w:rPr>
          <w:fldChar w:fldCharType="begin"/>
        </w:r>
        <w:r w:rsidR="00C474BE">
          <w:rPr>
            <w:noProof/>
            <w:webHidden/>
          </w:rPr>
          <w:instrText xml:space="preserve"> PAGEREF _Toc236991748 \h </w:instrText>
        </w:r>
        <w:r w:rsidR="00C474BE">
          <w:rPr>
            <w:noProof/>
            <w:webHidden/>
          </w:rPr>
        </w:r>
        <w:r w:rsidR="00C474BE">
          <w:rPr>
            <w:noProof/>
            <w:webHidden/>
          </w:rPr>
          <w:fldChar w:fldCharType="separate"/>
        </w:r>
        <w:r w:rsidR="00C474BE">
          <w:rPr>
            <w:noProof/>
            <w:webHidden/>
          </w:rPr>
          <w:t>113</w:t>
        </w:r>
        <w:r w:rsidR="00C474BE">
          <w:rPr>
            <w:noProof/>
            <w:webHidden/>
          </w:rPr>
          <w:fldChar w:fldCharType="end"/>
        </w:r>
      </w:hyperlink>
    </w:p>
    <w:p w14:paraId="7568980A" w14:textId="6423263B"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49" w:history="1">
        <w:r w:rsidR="00C474BE" w:rsidRPr="00B05470">
          <w:rPr>
            <w:rStyle w:val="Hyperlink"/>
            <w:rFonts w:eastAsiaTheme="majorEastAsia"/>
            <w:noProof/>
          </w:rPr>
          <w:t>Table 13. Characteristics of patients initiated on tolvaptan, stratified by eligibility status</w:t>
        </w:r>
        <w:r w:rsidR="00C474BE">
          <w:rPr>
            <w:noProof/>
            <w:webHidden/>
          </w:rPr>
          <w:tab/>
        </w:r>
        <w:r w:rsidR="00C474BE">
          <w:rPr>
            <w:noProof/>
            <w:webHidden/>
          </w:rPr>
          <w:fldChar w:fldCharType="begin"/>
        </w:r>
        <w:r w:rsidR="00C474BE">
          <w:rPr>
            <w:noProof/>
            <w:webHidden/>
          </w:rPr>
          <w:instrText xml:space="preserve"> PAGEREF _Toc236991749 \h </w:instrText>
        </w:r>
        <w:r w:rsidR="00C474BE">
          <w:rPr>
            <w:noProof/>
            <w:webHidden/>
          </w:rPr>
        </w:r>
        <w:r w:rsidR="00C474BE">
          <w:rPr>
            <w:noProof/>
            <w:webHidden/>
          </w:rPr>
          <w:fldChar w:fldCharType="separate"/>
        </w:r>
        <w:r w:rsidR="00C474BE">
          <w:rPr>
            <w:noProof/>
            <w:webHidden/>
          </w:rPr>
          <w:t>115</w:t>
        </w:r>
        <w:r w:rsidR="00C474BE">
          <w:rPr>
            <w:noProof/>
            <w:webHidden/>
          </w:rPr>
          <w:fldChar w:fldCharType="end"/>
        </w:r>
      </w:hyperlink>
    </w:p>
    <w:p w14:paraId="489DBC1C" w14:textId="3FF945E3"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0" w:history="1">
        <w:r w:rsidR="00C474BE" w:rsidRPr="00B05470">
          <w:rPr>
            <w:rStyle w:val="Hyperlink"/>
            <w:rFonts w:eastAsiaTheme="majorEastAsia"/>
            <w:noProof/>
          </w:rPr>
          <w:t>Table 14. Estimated net potential savings from initiating tolvaptan in eligible patients who were not initiated in the UK and estimated costs of initiating ineligible patients, by PAS discount level</w:t>
        </w:r>
        <w:r w:rsidR="00C474BE">
          <w:rPr>
            <w:noProof/>
            <w:webHidden/>
          </w:rPr>
          <w:tab/>
        </w:r>
        <w:r w:rsidR="00C474BE">
          <w:rPr>
            <w:noProof/>
            <w:webHidden/>
          </w:rPr>
          <w:fldChar w:fldCharType="begin"/>
        </w:r>
        <w:r w:rsidR="00C474BE">
          <w:rPr>
            <w:noProof/>
            <w:webHidden/>
          </w:rPr>
          <w:instrText xml:space="preserve"> PAGEREF _Toc236991750 \h </w:instrText>
        </w:r>
        <w:r w:rsidR="00C474BE">
          <w:rPr>
            <w:noProof/>
            <w:webHidden/>
          </w:rPr>
        </w:r>
        <w:r w:rsidR="00C474BE">
          <w:rPr>
            <w:noProof/>
            <w:webHidden/>
          </w:rPr>
          <w:fldChar w:fldCharType="separate"/>
        </w:r>
        <w:r w:rsidR="00C474BE">
          <w:rPr>
            <w:noProof/>
            <w:webHidden/>
          </w:rPr>
          <w:t>118</w:t>
        </w:r>
        <w:r w:rsidR="00C474BE">
          <w:rPr>
            <w:noProof/>
            <w:webHidden/>
          </w:rPr>
          <w:fldChar w:fldCharType="end"/>
        </w:r>
      </w:hyperlink>
    </w:p>
    <w:p w14:paraId="66464DF8" w14:textId="0C6DB350"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1" w:history="1">
        <w:r w:rsidR="00C474BE" w:rsidRPr="00B05470">
          <w:rPr>
            <w:rStyle w:val="Hyperlink"/>
            <w:rFonts w:eastAsiaTheme="majorEastAsia"/>
            <w:noProof/>
          </w:rPr>
          <w:t>Table 15. Data collection methods undertaken at each case site</w:t>
        </w:r>
        <w:r w:rsidR="00C474BE">
          <w:rPr>
            <w:noProof/>
            <w:webHidden/>
          </w:rPr>
          <w:tab/>
        </w:r>
        <w:r w:rsidR="00C474BE">
          <w:rPr>
            <w:noProof/>
            <w:webHidden/>
          </w:rPr>
          <w:fldChar w:fldCharType="begin"/>
        </w:r>
        <w:r w:rsidR="00C474BE">
          <w:rPr>
            <w:noProof/>
            <w:webHidden/>
          </w:rPr>
          <w:instrText xml:space="preserve"> PAGEREF _Toc236991751 \h </w:instrText>
        </w:r>
        <w:r w:rsidR="00C474BE">
          <w:rPr>
            <w:noProof/>
            <w:webHidden/>
          </w:rPr>
        </w:r>
        <w:r w:rsidR="00C474BE">
          <w:rPr>
            <w:noProof/>
            <w:webHidden/>
          </w:rPr>
          <w:fldChar w:fldCharType="separate"/>
        </w:r>
        <w:r w:rsidR="00C474BE">
          <w:rPr>
            <w:noProof/>
            <w:webHidden/>
          </w:rPr>
          <w:t>131</w:t>
        </w:r>
        <w:r w:rsidR="00C474BE">
          <w:rPr>
            <w:noProof/>
            <w:webHidden/>
          </w:rPr>
          <w:fldChar w:fldCharType="end"/>
        </w:r>
      </w:hyperlink>
    </w:p>
    <w:p w14:paraId="322A0E18" w14:textId="0591021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2" w:history="1">
        <w:r w:rsidR="00C474BE" w:rsidRPr="00B05470">
          <w:rPr>
            <w:rStyle w:val="Hyperlink"/>
            <w:rFonts w:eastAsiaTheme="majorEastAsia"/>
            <w:noProof/>
          </w:rPr>
          <w:t>Table 16. Characteristics of cases participating in the multiple case study</w:t>
        </w:r>
        <w:r w:rsidR="00C474BE">
          <w:rPr>
            <w:noProof/>
            <w:webHidden/>
          </w:rPr>
          <w:tab/>
        </w:r>
        <w:r w:rsidR="00C474BE">
          <w:rPr>
            <w:noProof/>
            <w:webHidden/>
          </w:rPr>
          <w:fldChar w:fldCharType="begin"/>
        </w:r>
        <w:r w:rsidR="00C474BE">
          <w:rPr>
            <w:noProof/>
            <w:webHidden/>
          </w:rPr>
          <w:instrText xml:space="preserve"> PAGEREF _Toc236991752 \h </w:instrText>
        </w:r>
        <w:r w:rsidR="00C474BE">
          <w:rPr>
            <w:noProof/>
            <w:webHidden/>
          </w:rPr>
        </w:r>
        <w:r w:rsidR="00C474BE">
          <w:rPr>
            <w:noProof/>
            <w:webHidden/>
          </w:rPr>
          <w:fldChar w:fldCharType="separate"/>
        </w:r>
        <w:r w:rsidR="00C474BE">
          <w:rPr>
            <w:noProof/>
            <w:webHidden/>
          </w:rPr>
          <w:t>132</w:t>
        </w:r>
        <w:r w:rsidR="00C474BE">
          <w:rPr>
            <w:noProof/>
            <w:webHidden/>
          </w:rPr>
          <w:fldChar w:fldCharType="end"/>
        </w:r>
      </w:hyperlink>
    </w:p>
    <w:p w14:paraId="126B70E2" w14:textId="091406A6"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3" w:history="1">
        <w:r w:rsidR="00C474BE" w:rsidRPr="00B05470">
          <w:rPr>
            <w:rStyle w:val="Hyperlink"/>
            <w:rFonts w:eastAsiaTheme="majorEastAsia"/>
            <w:noProof/>
          </w:rPr>
          <w:t>Table 17. Summary of cross-case comparison in tolvaptan implementation and prescribing practices across the three study cases</w:t>
        </w:r>
        <w:r w:rsidR="00C474BE">
          <w:rPr>
            <w:noProof/>
            <w:webHidden/>
          </w:rPr>
          <w:tab/>
        </w:r>
        <w:r w:rsidR="00C474BE">
          <w:rPr>
            <w:noProof/>
            <w:webHidden/>
          </w:rPr>
          <w:fldChar w:fldCharType="begin"/>
        </w:r>
        <w:r w:rsidR="00C474BE">
          <w:rPr>
            <w:noProof/>
            <w:webHidden/>
          </w:rPr>
          <w:instrText xml:space="preserve"> PAGEREF _Toc236991753 \h </w:instrText>
        </w:r>
        <w:r w:rsidR="00C474BE">
          <w:rPr>
            <w:noProof/>
            <w:webHidden/>
          </w:rPr>
        </w:r>
        <w:r w:rsidR="00C474BE">
          <w:rPr>
            <w:noProof/>
            <w:webHidden/>
          </w:rPr>
          <w:fldChar w:fldCharType="separate"/>
        </w:r>
        <w:r w:rsidR="00C474BE">
          <w:rPr>
            <w:noProof/>
            <w:webHidden/>
          </w:rPr>
          <w:t>136</w:t>
        </w:r>
        <w:r w:rsidR="00C474BE">
          <w:rPr>
            <w:noProof/>
            <w:webHidden/>
          </w:rPr>
          <w:fldChar w:fldCharType="end"/>
        </w:r>
      </w:hyperlink>
    </w:p>
    <w:p w14:paraId="3ED6507D" w14:textId="7242A1E3"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4" w:history="1">
        <w:r w:rsidR="00C474BE" w:rsidRPr="00B05470">
          <w:rPr>
            <w:rStyle w:val="Hyperlink"/>
            <w:rFonts w:eastAsiaTheme="majorEastAsia"/>
            <w:noProof/>
          </w:rPr>
          <w:t>Table 18. Key themes linking implementation to prescribing practices in cases</w:t>
        </w:r>
        <w:r w:rsidR="00C474BE">
          <w:rPr>
            <w:noProof/>
            <w:webHidden/>
          </w:rPr>
          <w:tab/>
        </w:r>
        <w:r w:rsidR="00C474BE">
          <w:rPr>
            <w:noProof/>
            <w:webHidden/>
          </w:rPr>
          <w:fldChar w:fldCharType="begin"/>
        </w:r>
        <w:r w:rsidR="00C474BE">
          <w:rPr>
            <w:noProof/>
            <w:webHidden/>
          </w:rPr>
          <w:instrText xml:space="preserve"> PAGEREF _Toc236991754 \h </w:instrText>
        </w:r>
        <w:r w:rsidR="00C474BE">
          <w:rPr>
            <w:noProof/>
            <w:webHidden/>
          </w:rPr>
        </w:r>
        <w:r w:rsidR="00C474BE">
          <w:rPr>
            <w:noProof/>
            <w:webHidden/>
          </w:rPr>
          <w:fldChar w:fldCharType="separate"/>
        </w:r>
        <w:r w:rsidR="00C474BE">
          <w:rPr>
            <w:noProof/>
            <w:webHidden/>
          </w:rPr>
          <w:t>148</w:t>
        </w:r>
        <w:r w:rsidR="00C474BE">
          <w:rPr>
            <w:noProof/>
            <w:webHidden/>
          </w:rPr>
          <w:fldChar w:fldCharType="end"/>
        </w:r>
      </w:hyperlink>
    </w:p>
    <w:p w14:paraId="3EDAA2B4" w14:textId="0BDBC0E1"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5" w:history="1">
        <w:r w:rsidR="00C474BE" w:rsidRPr="00B05470">
          <w:rPr>
            <w:rStyle w:val="Hyperlink"/>
            <w:rFonts w:eastAsiaTheme="majorEastAsia"/>
            <w:noProof/>
          </w:rPr>
          <w:t>Table 19. Professional roles and clinical contexts of interview participants</w:t>
        </w:r>
        <w:r w:rsidR="00C474BE">
          <w:rPr>
            <w:noProof/>
            <w:webHidden/>
          </w:rPr>
          <w:tab/>
        </w:r>
        <w:r w:rsidR="00C474BE">
          <w:rPr>
            <w:noProof/>
            <w:webHidden/>
          </w:rPr>
          <w:fldChar w:fldCharType="begin"/>
        </w:r>
        <w:r w:rsidR="00C474BE">
          <w:rPr>
            <w:noProof/>
            <w:webHidden/>
          </w:rPr>
          <w:instrText xml:space="preserve"> PAGEREF _Toc236991755 \h </w:instrText>
        </w:r>
        <w:r w:rsidR="00C474BE">
          <w:rPr>
            <w:noProof/>
            <w:webHidden/>
          </w:rPr>
        </w:r>
        <w:r w:rsidR="00C474BE">
          <w:rPr>
            <w:noProof/>
            <w:webHidden/>
          </w:rPr>
          <w:fldChar w:fldCharType="separate"/>
        </w:r>
        <w:r w:rsidR="00C474BE">
          <w:rPr>
            <w:noProof/>
            <w:webHidden/>
          </w:rPr>
          <w:t>159</w:t>
        </w:r>
        <w:r w:rsidR="00C474BE">
          <w:rPr>
            <w:noProof/>
            <w:webHidden/>
          </w:rPr>
          <w:fldChar w:fldCharType="end"/>
        </w:r>
      </w:hyperlink>
    </w:p>
    <w:p w14:paraId="64A09E51" w14:textId="63F4D98E"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6" w:history="1">
        <w:r w:rsidR="00C474BE" w:rsidRPr="00B05470">
          <w:rPr>
            <w:rStyle w:val="Hyperlink"/>
            <w:rFonts w:eastAsiaTheme="majorEastAsia"/>
            <w:noProof/>
          </w:rPr>
          <w:t>Table 20. Factors affecting prescribing decision-making for tolvaptan for ADPKD mapped to the existing conceptual model of prescribing decision-making in chronic conditions</w:t>
        </w:r>
        <w:r w:rsidR="00C474BE">
          <w:rPr>
            <w:noProof/>
            <w:webHidden/>
          </w:rPr>
          <w:tab/>
        </w:r>
        <w:r w:rsidR="00C474BE">
          <w:rPr>
            <w:noProof/>
            <w:webHidden/>
          </w:rPr>
          <w:fldChar w:fldCharType="begin"/>
        </w:r>
        <w:r w:rsidR="00C474BE">
          <w:rPr>
            <w:noProof/>
            <w:webHidden/>
          </w:rPr>
          <w:instrText xml:space="preserve"> PAGEREF _Toc236991756 \h </w:instrText>
        </w:r>
        <w:r w:rsidR="00C474BE">
          <w:rPr>
            <w:noProof/>
            <w:webHidden/>
          </w:rPr>
        </w:r>
        <w:r w:rsidR="00C474BE">
          <w:rPr>
            <w:noProof/>
            <w:webHidden/>
          </w:rPr>
          <w:fldChar w:fldCharType="separate"/>
        </w:r>
        <w:r w:rsidR="00C474BE">
          <w:rPr>
            <w:noProof/>
            <w:webHidden/>
          </w:rPr>
          <w:t>160</w:t>
        </w:r>
        <w:r w:rsidR="00C474BE">
          <w:rPr>
            <w:noProof/>
            <w:webHidden/>
          </w:rPr>
          <w:fldChar w:fldCharType="end"/>
        </w:r>
      </w:hyperlink>
    </w:p>
    <w:p w14:paraId="00E67BD8" w14:textId="5C20FDEA"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7" w:history="1">
        <w:r w:rsidR="00C474BE" w:rsidRPr="00B05470">
          <w:rPr>
            <w:rStyle w:val="Hyperlink"/>
            <w:rFonts w:eastAsiaTheme="majorEastAsia"/>
            <w:noProof/>
          </w:rPr>
          <w:t>Table 21. Respondent-reported estimates of service characteristics across kidney centres</w:t>
        </w:r>
        <w:r w:rsidR="00C474BE">
          <w:rPr>
            <w:noProof/>
            <w:webHidden/>
          </w:rPr>
          <w:tab/>
        </w:r>
        <w:r w:rsidR="00C474BE">
          <w:rPr>
            <w:noProof/>
            <w:webHidden/>
          </w:rPr>
          <w:fldChar w:fldCharType="begin"/>
        </w:r>
        <w:r w:rsidR="00C474BE">
          <w:rPr>
            <w:noProof/>
            <w:webHidden/>
          </w:rPr>
          <w:instrText xml:space="preserve"> PAGEREF _Toc236991757 \h </w:instrText>
        </w:r>
        <w:r w:rsidR="00C474BE">
          <w:rPr>
            <w:noProof/>
            <w:webHidden/>
          </w:rPr>
        </w:r>
        <w:r w:rsidR="00C474BE">
          <w:rPr>
            <w:noProof/>
            <w:webHidden/>
          </w:rPr>
          <w:fldChar w:fldCharType="separate"/>
        </w:r>
        <w:r w:rsidR="00C474BE">
          <w:rPr>
            <w:noProof/>
            <w:webHidden/>
          </w:rPr>
          <w:t>184</w:t>
        </w:r>
        <w:r w:rsidR="00C474BE">
          <w:rPr>
            <w:noProof/>
            <w:webHidden/>
          </w:rPr>
          <w:fldChar w:fldCharType="end"/>
        </w:r>
      </w:hyperlink>
    </w:p>
    <w:p w14:paraId="2529CEF5" w14:textId="1881A07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58" w:history="1">
        <w:r w:rsidR="00C474BE" w:rsidRPr="00B05470">
          <w:rPr>
            <w:rStyle w:val="Hyperlink"/>
            <w:rFonts w:eastAsiaTheme="majorEastAsia"/>
            <w:noProof/>
          </w:rPr>
          <w:t>Table 22. Joint display of findings from Phases 3 and 4</w:t>
        </w:r>
        <w:r w:rsidR="00C474BE">
          <w:rPr>
            <w:noProof/>
            <w:webHidden/>
          </w:rPr>
          <w:tab/>
        </w:r>
        <w:r w:rsidR="00C474BE">
          <w:rPr>
            <w:noProof/>
            <w:webHidden/>
          </w:rPr>
          <w:fldChar w:fldCharType="begin"/>
        </w:r>
        <w:r w:rsidR="00C474BE">
          <w:rPr>
            <w:noProof/>
            <w:webHidden/>
          </w:rPr>
          <w:instrText xml:space="preserve"> PAGEREF _Toc236991758 \h </w:instrText>
        </w:r>
        <w:r w:rsidR="00C474BE">
          <w:rPr>
            <w:noProof/>
            <w:webHidden/>
          </w:rPr>
        </w:r>
        <w:r w:rsidR="00C474BE">
          <w:rPr>
            <w:noProof/>
            <w:webHidden/>
          </w:rPr>
          <w:fldChar w:fldCharType="separate"/>
        </w:r>
        <w:r w:rsidR="00C474BE">
          <w:rPr>
            <w:noProof/>
            <w:webHidden/>
          </w:rPr>
          <w:t>195</w:t>
        </w:r>
        <w:r w:rsidR="00C474BE">
          <w:rPr>
            <w:noProof/>
            <w:webHidden/>
          </w:rPr>
          <w:fldChar w:fldCharType="end"/>
        </w:r>
      </w:hyperlink>
    </w:p>
    <w:p w14:paraId="1EB48BE3" w14:textId="4FF55D67" w:rsidR="005C3B67" w:rsidRPr="002C21B8" w:rsidRDefault="00E8684A" w:rsidP="00AA5C2E">
      <w:r w:rsidRPr="002C21B8">
        <w:fldChar w:fldCharType="end"/>
      </w:r>
      <w:r w:rsidR="005C3B67" w:rsidRPr="002C21B8">
        <w:br w:type="page"/>
      </w:r>
    </w:p>
    <w:p w14:paraId="076E6370" w14:textId="6F08EFF4" w:rsidR="00907F73" w:rsidRPr="002C21B8" w:rsidRDefault="006837E3" w:rsidP="00907F73">
      <w:pPr>
        <w:pStyle w:val="Heading1"/>
        <w:numPr>
          <w:ilvl w:val="0"/>
          <w:numId w:val="0"/>
        </w:numPr>
        <w:ind w:left="1"/>
      </w:pPr>
      <w:bookmarkStart w:id="9" w:name="_Toc229687188"/>
      <w:r w:rsidRPr="002C21B8">
        <w:lastRenderedPageBreak/>
        <w:t>List of f</w:t>
      </w:r>
      <w:r w:rsidR="00E8684A" w:rsidRPr="002C21B8">
        <w:t>igures</w:t>
      </w:r>
      <w:bookmarkEnd w:id="9"/>
    </w:p>
    <w:p w14:paraId="626D21F2" w14:textId="06B5C8F3" w:rsidR="00C474BE" w:rsidRDefault="00E8684A">
      <w:pPr>
        <w:pStyle w:val="TableofFigures"/>
        <w:tabs>
          <w:tab w:val="right" w:leader="dot" w:pos="9016"/>
        </w:tabs>
        <w:rPr>
          <w:rFonts w:eastAsiaTheme="minorEastAsia" w:cstheme="minorBidi"/>
          <w:noProof/>
          <w:kern w:val="2"/>
          <w:sz w:val="24"/>
          <w:szCs w:val="24"/>
          <w14:ligatures w14:val="standardContextual"/>
        </w:rPr>
      </w:pPr>
      <w:r w:rsidRPr="002C21B8">
        <w:rPr>
          <w:rFonts w:ascii="Calibri" w:hAnsi="Calibri"/>
        </w:rPr>
        <w:fldChar w:fldCharType="begin"/>
      </w:r>
      <w:r w:rsidRPr="002C21B8">
        <w:rPr>
          <w:rFonts w:ascii="Calibri" w:hAnsi="Calibri"/>
        </w:rPr>
        <w:instrText xml:space="preserve"> TOC \h \z \c "Figure" </w:instrText>
      </w:r>
      <w:r w:rsidRPr="002C21B8">
        <w:rPr>
          <w:rFonts w:ascii="Calibri" w:hAnsi="Calibri"/>
        </w:rPr>
        <w:fldChar w:fldCharType="separate"/>
      </w:r>
      <w:hyperlink w:anchor="_Toc236991759" w:history="1">
        <w:r w:rsidR="00C474BE" w:rsidRPr="009C0487">
          <w:rPr>
            <w:rStyle w:val="Hyperlink"/>
            <w:rFonts w:eastAsiaTheme="majorEastAsia"/>
            <w:noProof/>
          </w:rPr>
          <w:t>Figure 1. The prescribing process based on the WHO 6-step model (De Vries et al., 1994)</w:t>
        </w:r>
        <w:r w:rsidR="00C474BE">
          <w:rPr>
            <w:noProof/>
            <w:webHidden/>
          </w:rPr>
          <w:tab/>
        </w:r>
        <w:r w:rsidR="00C474BE">
          <w:rPr>
            <w:noProof/>
            <w:webHidden/>
          </w:rPr>
          <w:fldChar w:fldCharType="begin"/>
        </w:r>
        <w:r w:rsidR="00C474BE">
          <w:rPr>
            <w:noProof/>
            <w:webHidden/>
          </w:rPr>
          <w:instrText xml:space="preserve"> PAGEREF _Toc236991759 \h </w:instrText>
        </w:r>
        <w:r w:rsidR="00C474BE">
          <w:rPr>
            <w:noProof/>
            <w:webHidden/>
          </w:rPr>
        </w:r>
        <w:r w:rsidR="00C474BE">
          <w:rPr>
            <w:noProof/>
            <w:webHidden/>
          </w:rPr>
          <w:fldChar w:fldCharType="separate"/>
        </w:r>
        <w:r w:rsidR="00C474BE">
          <w:rPr>
            <w:noProof/>
            <w:webHidden/>
          </w:rPr>
          <w:t>29</w:t>
        </w:r>
        <w:r w:rsidR="00C474BE">
          <w:rPr>
            <w:noProof/>
            <w:webHidden/>
          </w:rPr>
          <w:fldChar w:fldCharType="end"/>
        </w:r>
      </w:hyperlink>
    </w:p>
    <w:p w14:paraId="0FBC2433" w14:textId="5E38F437"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0" w:history="1">
        <w:r w:rsidR="00C474BE" w:rsidRPr="009C0487">
          <w:rPr>
            <w:rStyle w:val="Hyperlink"/>
            <w:rFonts w:eastAsiaTheme="majorEastAsia"/>
            <w:noProof/>
          </w:rPr>
          <w:t>Figure 2. A conceptual model of physician decision-making (Murshid and Mohaidin, 2017)</w:t>
        </w:r>
        <w:r w:rsidR="00C474BE">
          <w:rPr>
            <w:noProof/>
            <w:webHidden/>
          </w:rPr>
          <w:tab/>
        </w:r>
        <w:r w:rsidR="00C474BE">
          <w:rPr>
            <w:noProof/>
            <w:webHidden/>
          </w:rPr>
          <w:fldChar w:fldCharType="begin"/>
        </w:r>
        <w:r w:rsidR="00C474BE">
          <w:rPr>
            <w:noProof/>
            <w:webHidden/>
          </w:rPr>
          <w:instrText xml:space="preserve"> PAGEREF _Toc236991760 \h </w:instrText>
        </w:r>
        <w:r w:rsidR="00C474BE">
          <w:rPr>
            <w:noProof/>
            <w:webHidden/>
          </w:rPr>
        </w:r>
        <w:r w:rsidR="00C474BE">
          <w:rPr>
            <w:noProof/>
            <w:webHidden/>
          </w:rPr>
          <w:fldChar w:fldCharType="separate"/>
        </w:r>
        <w:r w:rsidR="00C474BE">
          <w:rPr>
            <w:noProof/>
            <w:webHidden/>
          </w:rPr>
          <w:t>33</w:t>
        </w:r>
        <w:r w:rsidR="00C474BE">
          <w:rPr>
            <w:noProof/>
            <w:webHidden/>
          </w:rPr>
          <w:fldChar w:fldCharType="end"/>
        </w:r>
      </w:hyperlink>
    </w:p>
    <w:p w14:paraId="3FC55F7E" w14:textId="4FF2F9CA"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1" w:history="1">
        <w:r w:rsidR="00C474BE" w:rsidRPr="009C0487">
          <w:rPr>
            <w:rStyle w:val="Hyperlink"/>
            <w:rFonts w:eastAsiaTheme="majorEastAsia"/>
            <w:noProof/>
          </w:rPr>
          <w:t>Figure 3. Timeline of ADPKD and tolvaptan events</w:t>
        </w:r>
        <w:r w:rsidR="00C474BE">
          <w:rPr>
            <w:noProof/>
            <w:webHidden/>
          </w:rPr>
          <w:tab/>
        </w:r>
        <w:r w:rsidR="00C474BE">
          <w:rPr>
            <w:noProof/>
            <w:webHidden/>
          </w:rPr>
          <w:fldChar w:fldCharType="begin"/>
        </w:r>
        <w:r w:rsidR="00C474BE">
          <w:rPr>
            <w:noProof/>
            <w:webHidden/>
          </w:rPr>
          <w:instrText xml:space="preserve"> PAGEREF _Toc236991761 \h </w:instrText>
        </w:r>
        <w:r w:rsidR="00C474BE">
          <w:rPr>
            <w:noProof/>
            <w:webHidden/>
          </w:rPr>
        </w:r>
        <w:r w:rsidR="00C474BE">
          <w:rPr>
            <w:noProof/>
            <w:webHidden/>
          </w:rPr>
          <w:fldChar w:fldCharType="separate"/>
        </w:r>
        <w:r w:rsidR="00C474BE">
          <w:rPr>
            <w:noProof/>
            <w:webHidden/>
          </w:rPr>
          <w:t>41</w:t>
        </w:r>
        <w:r w:rsidR="00C474BE">
          <w:rPr>
            <w:noProof/>
            <w:webHidden/>
          </w:rPr>
          <w:fldChar w:fldCharType="end"/>
        </w:r>
      </w:hyperlink>
    </w:p>
    <w:p w14:paraId="11ED29A3" w14:textId="5EAE7CBF"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2" w:history="1">
        <w:r w:rsidR="00C474BE" w:rsidRPr="009C0487">
          <w:rPr>
            <w:rStyle w:val="Hyperlink"/>
            <w:rFonts w:eastAsiaTheme="majorEastAsia"/>
            <w:noProof/>
          </w:rPr>
          <w:t>Figure 4. Overview of the research design</w:t>
        </w:r>
        <w:r w:rsidR="00C474BE">
          <w:rPr>
            <w:noProof/>
            <w:webHidden/>
          </w:rPr>
          <w:tab/>
        </w:r>
        <w:r w:rsidR="00C474BE">
          <w:rPr>
            <w:noProof/>
            <w:webHidden/>
          </w:rPr>
          <w:fldChar w:fldCharType="begin"/>
        </w:r>
        <w:r w:rsidR="00C474BE">
          <w:rPr>
            <w:noProof/>
            <w:webHidden/>
          </w:rPr>
          <w:instrText xml:space="preserve"> PAGEREF _Toc236991762 \h </w:instrText>
        </w:r>
        <w:r w:rsidR="00C474BE">
          <w:rPr>
            <w:noProof/>
            <w:webHidden/>
          </w:rPr>
        </w:r>
        <w:r w:rsidR="00C474BE">
          <w:rPr>
            <w:noProof/>
            <w:webHidden/>
          </w:rPr>
          <w:fldChar w:fldCharType="separate"/>
        </w:r>
        <w:r w:rsidR="00C474BE">
          <w:rPr>
            <w:noProof/>
            <w:webHidden/>
          </w:rPr>
          <w:t>53</w:t>
        </w:r>
        <w:r w:rsidR="00C474BE">
          <w:rPr>
            <w:noProof/>
            <w:webHidden/>
          </w:rPr>
          <w:fldChar w:fldCharType="end"/>
        </w:r>
      </w:hyperlink>
    </w:p>
    <w:p w14:paraId="526302EB" w14:textId="14DAAEEB"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3" w:history="1">
        <w:r w:rsidR="00C474BE" w:rsidRPr="009C0487">
          <w:rPr>
            <w:rStyle w:val="Hyperlink"/>
            <w:rFonts w:eastAsiaTheme="majorEastAsia"/>
            <w:noProof/>
          </w:rPr>
          <w:t>Figure 5. Flow chart of mixed methods design</w:t>
        </w:r>
        <w:r w:rsidR="00C474BE">
          <w:rPr>
            <w:noProof/>
            <w:webHidden/>
          </w:rPr>
          <w:tab/>
        </w:r>
        <w:r w:rsidR="00C474BE">
          <w:rPr>
            <w:noProof/>
            <w:webHidden/>
          </w:rPr>
          <w:fldChar w:fldCharType="begin"/>
        </w:r>
        <w:r w:rsidR="00C474BE">
          <w:rPr>
            <w:noProof/>
            <w:webHidden/>
          </w:rPr>
          <w:instrText xml:space="preserve"> PAGEREF _Toc236991763 \h </w:instrText>
        </w:r>
        <w:r w:rsidR="00C474BE">
          <w:rPr>
            <w:noProof/>
            <w:webHidden/>
          </w:rPr>
        </w:r>
        <w:r w:rsidR="00C474BE">
          <w:rPr>
            <w:noProof/>
            <w:webHidden/>
          </w:rPr>
          <w:fldChar w:fldCharType="separate"/>
        </w:r>
        <w:r w:rsidR="00C474BE">
          <w:rPr>
            <w:noProof/>
            <w:webHidden/>
          </w:rPr>
          <w:t>60</w:t>
        </w:r>
        <w:r w:rsidR="00C474BE">
          <w:rPr>
            <w:noProof/>
            <w:webHidden/>
          </w:rPr>
          <w:fldChar w:fldCharType="end"/>
        </w:r>
      </w:hyperlink>
    </w:p>
    <w:p w14:paraId="3B73CDC2" w14:textId="2D56FAB8"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4" w:history="1">
        <w:r w:rsidR="00C474BE" w:rsidRPr="009C0487">
          <w:rPr>
            <w:rStyle w:val="Hyperlink"/>
            <w:rFonts w:eastAsiaTheme="majorEastAsia"/>
            <w:noProof/>
          </w:rPr>
          <w:t>Figure 6. Conceptual model of physician decision-making  (Murshid and Mohaidin, 2017)</w:t>
        </w:r>
        <w:r w:rsidR="00C474BE">
          <w:rPr>
            <w:noProof/>
            <w:webHidden/>
          </w:rPr>
          <w:tab/>
        </w:r>
        <w:r w:rsidR="00C474BE">
          <w:rPr>
            <w:noProof/>
            <w:webHidden/>
          </w:rPr>
          <w:fldChar w:fldCharType="begin"/>
        </w:r>
        <w:r w:rsidR="00C474BE">
          <w:rPr>
            <w:noProof/>
            <w:webHidden/>
          </w:rPr>
          <w:instrText xml:space="preserve"> PAGEREF _Toc236991764 \h </w:instrText>
        </w:r>
        <w:r w:rsidR="00C474BE">
          <w:rPr>
            <w:noProof/>
            <w:webHidden/>
          </w:rPr>
        </w:r>
        <w:r w:rsidR="00C474BE">
          <w:rPr>
            <w:noProof/>
            <w:webHidden/>
          </w:rPr>
          <w:fldChar w:fldCharType="separate"/>
        </w:r>
        <w:r w:rsidR="00C474BE">
          <w:rPr>
            <w:noProof/>
            <w:webHidden/>
          </w:rPr>
          <w:t>76</w:t>
        </w:r>
        <w:r w:rsidR="00C474BE">
          <w:rPr>
            <w:noProof/>
            <w:webHidden/>
          </w:rPr>
          <w:fldChar w:fldCharType="end"/>
        </w:r>
      </w:hyperlink>
    </w:p>
    <w:p w14:paraId="64A963E4" w14:textId="783BAA7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5" w:history="1">
        <w:r w:rsidR="00C474BE" w:rsidRPr="009C0487">
          <w:rPr>
            <w:rStyle w:val="Hyperlink"/>
            <w:rFonts w:eastAsiaTheme="majorEastAsia"/>
            <w:noProof/>
          </w:rPr>
          <w:t>Figure 7. PRISMA flowchart</w:t>
        </w:r>
        <w:r w:rsidR="00C474BE">
          <w:rPr>
            <w:noProof/>
            <w:webHidden/>
          </w:rPr>
          <w:tab/>
        </w:r>
        <w:r w:rsidR="00C474BE">
          <w:rPr>
            <w:noProof/>
            <w:webHidden/>
          </w:rPr>
          <w:fldChar w:fldCharType="begin"/>
        </w:r>
        <w:r w:rsidR="00C474BE">
          <w:rPr>
            <w:noProof/>
            <w:webHidden/>
          </w:rPr>
          <w:instrText xml:space="preserve"> PAGEREF _Toc236991765 \h </w:instrText>
        </w:r>
        <w:r w:rsidR="00C474BE">
          <w:rPr>
            <w:noProof/>
            <w:webHidden/>
          </w:rPr>
        </w:r>
        <w:r w:rsidR="00C474BE">
          <w:rPr>
            <w:noProof/>
            <w:webHidden/>
          </w:rPr>
          <w:fldChar w:fldCharType="separate"/>
        </w:r>
        <w:r w:rsidR="00C474BE">
          <w:rPr>
            <w:noProof/>
            <w:webHidden/>
          </w:rPr>
          <w:t>80</w:t>
        </w:r>
        <w:r w:rsidR="00C474BE">
          <w:rPr>
            <w:noProof/>
            <w:webHidden/>
          </w:rPr>
          <w:fldChar w:fldCharType="end"/>
        </w:r>
      </w:hyperlink>
    </w:p>
    <w:p w14:paraId="516A088E" w14:textId="4FCC4131"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6" w:history="1">
        <w:r w:rsidR="00C474BE" w:rsidRPr="009C0487">
          <w:rPr>
            <w:rStyle w:val="Hyperlink"/>
            <w:rFonts w:eastAsiaTheme="majorEastAsia"/>
            <w:noProof/>
          </w:rPr>
          <w:t>Figure 8. The conceptual model of prescribing decision-making in chronic conditions</w:t>
        </w:r>
        <w:r w:rsidR="00C474BE">
          <w:rPr>
            <w:noProof/>
            <w:webHidden/>
          </w:rPr>
          <w:tab/>
        </w:r>
        <w:r w:rsidR="00C474BE">
          <w:rPr>
            <w:noProof/>
            <w:webHidden/>
          </w:rPr>
          <w:fldChar w:fldCharType="begin"/>
        </w:r>
        <w:r w:rsidR="00C474BE">
          <w:rPr>
            <w:noProof/>
            <w:webHidden/>
          </w:rPr>
          <w:instrText xml:space="preserve"> PAGEREF _Toc236991766 \h </w:instrText>
        </w:r>
        <w:r w:rsidR="00C474BE">
          <w:rPr>
            <w:noProof/>
            <w:webHidden/>
          </w:rPr>
        </w:r>
        <w:r w:rsidR="00C474BE">
          <w:rPr>
            <w:noProof/>
            <w:webHidden/>
          </w:rPr>
          <w:fldChar w:fldCharType="separate"/>
        </w:r>
        <w:r w:rsidR="00C474BE">
          <w:rPr>
            <w:noProof/>
            <w:webHidden/>
          </w:rPr>
          <w:t>94</w:t>
        </w:r>
        <w:r w:rsidR="00C474BE">
          <w:rPr>
            <w:noProof/>
            <w:webHidden/>
          </w:rPr>
          <w:fldChar w:fldCharType="end"/>
        </w:r>
      </w:hyperlink>
    </w:p>
    <w:p w14:paraId="6BD70A8C" w14:textId="55F699D3"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7" w:history="1">
        <w:r w:rsidR="00C474BE" w:rsidRPr="009C0487">
          <w:rPr>
            <w:rStyle w:val="Hyperlink"/>
            <w:rFonts w:eastAsiaTheme="majorEastAsia"/>
            <w:noProof/>
          </w:rPr>
          <w:t>Figure 9. Participant flow diagram</w:t>
        </w:r>
        <w:r w:rsidR="00C474BE">
          <w:rPr>
            <w:noProof/>
            <w:webHidden/>
          </w:rPr>
          <w:tab/>
        </w:r>
        <w:r w:rsidR="00C474BE">
          <w:rPr>
            <w:noProof/>
            <w:webHidden/>
          </w:rPr>
          <w:fldChar w:fldCharType="begin"/>
        </w:r>
        <w:r w:rsidR="00C474BE">
          <w:rPr>
            <w:noProof/>
            <w:webHidden/>
          </w:rPr>
          <w:instrText xml:space="preserve"> PAGEREF _Toc236991767 \h </w:instrText>
        </w:r>
        <w:r w:rsidR="00C474BE">
          <w:rPr>
            <w:noProof/>
            <w:webHidden/>
          </w:rPr>
        </w:r>
        <w:r w:rsidR="00C474BE">
          <w:rPr>
            <w:noProof/>
            <w:webHidden/>
          </w:rPr>
          <w:fldChar w:fldCharType="separate"/>
        </w:r>
        <w:r w:rsidR="00C474BE">
          <w:rPr>
            <w:noProof/>
            <w:webHidden/>
          </w:rPr>
          <w:t>112</w:t>
        </w:r>
        <w:r w:rsidR="00C474BE">
          <w:rPr>
            <w:noProof/>
            <w:webHidden/>
          </w:rPr>
          <w:fldChar w:fldCharType="end"/>
        </w:r>
      </w:hyperlink>
    </w:p>
    <w:p w14:paraId="33BC8A55" w14:textId="01BF78C8"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8" w:history="1">
        <w:r w:rsidR="00C474BE" w:rsidRPr="009C0487">
          <w:rPr>
            <w:rStyle w:val="Hyperlink"/>
            <w:rFonts w:eastAsiaTheme="majorEastAsia"/>
            <w:noProof/>
          </w:rPr>
          <w:t>Figure 10. Forest plot of predictors for initiation in eligible patients</w:t>
        </w:r>
        <w:r w:rsidR="00C474BE">
          <w:rPr>
            <w:noProof/>
            <w:webHidden/>
          </w:rPr>
          <w:tab/>
        </w:r>
        <w:r w:rsidR="00C474BE">
          <w:rPr>
            <w:noProof/>
            <w:webHidden/>
          </w:rPr>
          <w:fldChar w:fldCharType="begin"/>
        </w:r>
        <w:r w:rsidR="00C474BE">
          <w:rPr>
            <w:noProof/>
            <w:webHidden/>
          </w:rPr>
          <w:instrText xml:space="preserve"> PAGEREF _Toc236991768 \h </w:instrText>
        </w:r>
        <w:r w:rsidR="00C474BE">
          <w:rPr>
            <w:noProof/>
            <w:webHidden/>
          </w:rPr>
        </w:r>
        <w:r w:rsidR="00C474BE">
          <w:rPr>
            <w:noProof/>
            <w:webHidden/>
          </w:rPr>
          <w:fldChar w:fldCharType="separate"/>
        </w:r>
        <w:r w:rsidR="00C474BE">
          <w:rPr>
            <w:noProof/>
            <w:webHidden/>
          </w:rPr>
          <w:t>114</w:t>
        </w:r>
        <w:r w:rsidR="00C474BE">
          <w:rPr>
            <w:noProof/>
            <w:webHidden/>
          </w:rPr>
          <w:fldChar w:fldCharType="end"/>
        </w:r>
      </w:hyperlink>
    </w:p>
    <w:p w14:paraId="6313A0E4" w14:textId="02028CD1"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69" w:history="1">
        <w:r w:rsidR="00C474BE" w:rsidRPr="009C0487">
          <w:rPr>
            <w:rStyle w:val="Hyperlink"/>
            <w:rFonts w:eastAsiaTheme="majorEastAsia"/>
            <w:noProof/>
          </w:rPr>
          <w:t>Figure 11. Tolvaptan initiation in eligible patients by kidney centre; adjusted for age, CKD stage, and year of eligibility</w:t>
        </w:r>
        <w:r w:rsidR="00C474BE">
          <w:rPr>
            <w:noProof/>
            <w:webHidden/>
          </w:rPr>
          <w:tab/>
        </w:r>
        <w:r w:rsidR="00C474BE">
          <w:rPr>
            <w:noProof/>
            <w:webHidden/>
          </w:rPr>
          <w:fldChar w:fldCharType="begin"/>
        </w:r>
        <w:r w:rsidR="00C474BE">
          <w:rPr>
            <w:noProof/>
            <w:webHidden/>
          </w:rPr>
          <w:instrText xml:space="preserve"> PAGEREF _Toc236991769 \h </w:instrText>
        </w:r>
        <w:r w:rsidR="00C474BE">
          <w:rPr>
            <w:noProof/>
            <w:webHidden/>
          </w:rPr>
        </w:r>
        <w:r w:rsidR="00C474BE">
          <w:rPr>
            <w:noProof/>
            <w:webHidden/>
          </w:rPr>
          <w:fldChar w:fldCharType="separate"/>
        </w:r>
        <w:r w:rsidR="00C474BE">
          <w:rPr>
            <w:noProof/>
            <w:webHidden/>
          </w:rPr>
          <w:t>115</w:t>
        </w:r>
        <w:r w:rsidR="00C474BE">
          <w:rPr>
            <w:noProof/>
            <w:webHidden/>
          </w:rPr>
          <w:fldChar w:fldCharType="end"/>
        </w:r>
      </w:hyperlink>
    </w:p>
    <w:p w14:paraId="031025A5" w14:textId="4C97481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0" w:history="1">
        <w:r w:rsidR="00C474BE" w:rsidRPr="009C0487">
          <w:rPr>
            <w:rStyle w:val="Hyperlink"/>
            <w:rFonts w:eastAsiaTheme="majorEastAsia"/>
            <w:noProof/>
          </w:rPr>
          <w:t>Figure 12. Forest plot of predictors of eligibility in initiated patients</w:t>
        </w:r>
        <w:r w:rsidR="00C474BE">
          <w:rPr>
            <w:noProof/>
            <w:webHidden/>
          </w:rPr>
          <w:tab/>
        </w:r>
        <w:r w:rsidR="00C474BE">
          <w:rPr>
            <w:noProof/>
            <w:webHidden/>
          </w:rPr>
          <w:fldChar w:fldCharType="begin"/>
        </w:r>
        <w:r w:rsidR="00C474BE">
          <w:rPr>
            <w:noProof/>
            <w:webHidden/>
          </w:rPr>
          <w:instrText xml:space="preserve"> PAGEREF _Toc236991770 \h </w:instrText>
        </w:r>
        <w:r w:rsidR="00C474BE">
          <w:rPr>
            <w:noProof/>
            <w:webHidden/>
          </w:rPr>
        </w:r>
        <w:r w:rsidR="00C474BE">
          <w:rPr>
            <w:noProof/>
            <w:webHidden/>
          </w:rPr>
          <w:fldChar w:fldCharType="separate"/>
        </w:r>
        <w:r w:rsidR="00C474BE">
          <w:rPr>
            <w:noProof/>
            <w:webHidden/>
          </w:rPr>
          <w:t>116</w:t>
        </w:r>
        <w:r w:rsidR="00C474BE">
          <w:rPr>
            <w:noProof/>
            <w:webHidden/>
          </w:rPr>
          <w:fldChar w:fldCharType="end"/>
        </w:r>
      </w:hyperlink>
    </w:p>
    <w:p w14:paraId="1D80E41D" w14:textId="1990F723"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1" w:history="1">
        <w:r w:rsidR="00C474BE" w:rsidRPr="009C0487">
          <w:rPr>
            <w:rStyle w:val="Hyperlink"/>
            <w:rFonts w:eastAsiaTheme="majorEastAsia"/>
            <w:noProof/>
          </w:rPr>
          <w:t>Figure 13. Tolvaptan eligibility in initiated patients by kidney centre; adjusted for CKD stage</w:t>
        </w:r>
        <w:r w:rsidR="00C474BE">
          <w:rPr>
            <w:noProof/>
            <w:webHidden/>
          </w:rPr>
          <w:tab/>
        </w:r>
        <w:r w:rsidR="00C474BE">
          <w:rPr>
            <w:noProof/>
            <w:webHidden/>
          </w:rPr>
          <w:fldChar w:fldCharType="begin"/>
        </w:r>
        <w:r w:rsidR="00C474BE">
          <w:rPr>
            <w:noProof/>
            <w:webHidden/>
          </w:rPr>
          <w:instrText xml:space="preserve"> PAGEREF _Toc236991771 \h </w:instrText>
        </w:r>
        <w:r w:rsidR="00C474BE">
          <w:rPr>
            <w:noProof/>
            <w:webHidden/>
          </w:rPr>
        </w:r>
        <w:r w:rsidR="00C474BE">
          <w:rPr>
            <w:noProof/>
            <w:webHidden/>
          </w:rPr>
          <w:fldChar w:fldCharType="separate"/>
        </w:r>
        <w:r w:rsidR="00C474BE">
          <w:rPr>
            <w:noProof/>
            <w:webHidden/>
          </w:rPr>
          <w:t>117</w:t>
        </w:r>
        <w:r w:rsidR="00C474BE">
          <w:rPr>
            <w:noProof/>
            <w:webHidden/>
          </w:rPr>
          <w:fldChar w:fldCharType="end"/>
        </w:r>
      </w:hyperlink>
    </w:p>
    <w:p w14:paraId="74BBF6B7" w14:textId="1ADCF0AE"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2" w:history="1">
        <w:r w:rsidR="00C474BE" w:rsidRPr="009C0487">
          <w:rPr>
            <w:rStyle w:val="Hyperlink"/>
            <w:rFonts w:eastAsiaTheme="majorEastAsia"/>
            <w:noProof/>
          </w:rPr>
          <w:t>Figure 14. Diagram of the Consolidated Framework for Implementation Research adapted to the tolvaptan care pathway (faded constructs were not identified in cases), adapted from Damschroder et al. (2022)</w:t>
        </w:r>
        <w:r w:rsidR="00C474BE">
          <w:rPr>
            <w:noProof/>
            <w:webHidden/>
          </w:rPr>
          <w:tab/>
        </w:r>
        <w:r w:rsidR="00C474BE">
          <w:rPr>
            <w:noProof/>
            <w:webHidden/>
          </w:rPr>
          <w:fldChar w:fldCharType="begin"/>
        </w:r>
        <w:r w:rsidR="00C474BE">
          <w:rPr>
            <w:noProof/>
            <w:webHidden/>
          </w:rPr>
          <w:instrText xml:space="preserve"> PAGEREF _Toc236991772 \h </w:instrText>
        </w:r>
        <w:r w:rsidR="00C474BE">
          <w:rPr>
            <w:noProof/>
            <w:webHidden/>
          </w:rPr>
        </w:r>
        <w:r w:rsidR="00C474BE">
          <w:rPr>
            <w:noProof/>
            <w:webHidden/>
          </w:rPr>
          <w:fldChar w:fldCharType="separate"/>
        </w:r>
        <w:r w:rsidR="00C474BE">
          <w:rPr>
            <w:noProof/>
            <w:webHidden/>
          </w:rPr>
          <w:t>134</w:t>
        </w:r>
        <w:r w:rsidR="00C474BE">
          <w:rPr>
            <w:noProof/>
            <w:webHidden/>
          </w:rPr>
          <w:fldChar w:fldCharType="end"/>
        </w:r>
      </w:hyperlink>
    </w:p>
    <w:p w14:paraId="69F4B494" w14:textId="045938AA"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3" w:history="1">
        <w:r w:rsidR="00C474BE" w:rsidRPr="009C0487">
          <w:rPr>
            <w:rStyle w:val="Hyperlink"/>
            <w:rFonts w:eastAsiaTheme="majorEastAsia"/>
            <w:noProof/>
          </w:rPr>
          <w:t>Figure 15. Conceptual model of prescribing decision-making in rare diseases based on ADPKD and tolvaptan findings</w:t>
        </w:r>
        <w:r w:rsidR="00C474BE">
          <w:rPr>
            <w:noProof/>
            <w:webHidden/>
          </w:rPr>
          <w:tab/>
        </w:r>
        <w:r w:rsidR="00C474BE">
          <w:rPr>
            <w:noProof/>
            <w:webHidden/>
          </w:rPr>
          <w:fldChar w:fldCharType="begin"/>
        </w:r>
        <w:r w:rsidR="00C474BE">
          <w:rPr>
            <w:noProof/>
            <w:webHidden/>
          </w:rPr>
          <w:instrText xml:space="preserve"> PAGEREF _Toc236991773 \h </w:instrText>
        </w:r>
        <w:r w:rsidR="00C474BE">
          <w:rPr>
            <w:noProof/>
            <w:webHidden/>
          </w:rPr>
        </w:r>
        <w:r w:rsidR="00C474BE">
          <w:rPr>
            <w:noProof/>
            <w:webHidden/>
          </w:rPr>
          <w:fldChar w:fldCharType="separate"/>
        </w:r>
        <w:r w:rsidR="00C474BE">
          <w:rPr>
            <w:noProof/>
            <w:webHidden/>
          </w:rPr>
          <w:t>171</w:t>
        </w:r>
        <w:r w:rsidR="00C474BE">
          <w:rPr>
            <w:noProof/>
            <w:webHidden/>
          </w:rPr>
          <w:fldChar w:fldCharType="end"/>
        </w:r>
      </w:hyperlink>
    </w:p>
    <w:p w14:paraId="6BC07365" w14:textId="629033CC"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4" w:history="1">
        <w:r w:rsidR="00C474BE" w:rsidRPr="009C0487">
          <w:rPr>
            <w:rStyle w:val="Hyperlink"/>
            <w:rFonts w:eastAsiaTheme="majorEastAsia"/>
            <w:noProof/>
          </w:rPr>
          <w:t>Figure 16. Flow diagram of survey participants and drop-out rates at each stage/section</w:t>
        </w:r>
        <w:r w:rsidR="00C474BE">
          <w:rPr>
            <w:noProof/>
            <w:webHidden/>
          </w:rPr>
          <w:tab/>
        </w:r>
        <w:r w:rsidR="00C474BE">
          <w:rPr>
            <w:noProof/>
            <w:webHidden/>
          </w:rPr>
          <w:fldChar w:fldCharType="begin"/>
        </w:r>
        <w:r w:rsidR="00C474BE">
          <w:rPr>
            <w:noProof/>
            <w:webHidden/>
          </w:rPr>
          <w:instrText xml:space="preserve"> PAGEREF _Toc236991774 \h </w:instrText>
        </w:r>
        <w:r w:rsidR="00C474BE">
          <w:rPr>
            <w:noProof/>
            <w:webHidden/>
          </w:rPr>
        </w:r>
        <w:r w:rsidR="00C474BE">
          <w:rPr>
            <w:noProof/>
            <w:webHidden/>
          </w:rPr>
          <w:fldChar w:fldCharType="separate"/>
        </w:r>
        <w:r w:rsidR="00C474BE">
          <w:rPr>
            <w:noProof/>
            <w:webHidden/>
          </w:rPr>
          <w:t>182</w:t>
        </w:r>
        <w:r w:rsidR="00C474BE">
          <w:rPr>
            <w:noProof/>
            <w:webHidden/>
          </w:rPr>
          <w:fldChar w:fldCharType="end"/>
        </w:r>
      </w:hyperlink>
    </w:p>
    <w:p w14:paraId="5117DD88" w14:textId="477851B1"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5" w:history="1">
        <w:r w:rsidR="00C474BE" w:rsidRPr="009C0487">
          <w:rPr>
            <w:rStyle w:val="Hyperlink"/>
            <w:rFonts w:eastAsiaTheme="majorEastAsia"/>
            <w:noProof/>
          </w:rPr>
          <w:t>Figure 17. Configuration of clinicians involved in tolvaptan services at each kidney centre</w:t>
        </w:r>
        <w:r w:rsidR="00C474BE">
          <w:rPr>
            <w:noProof/>
            <w:webHidden/>
          </w:rPr>
          <w:tab/>
        </w:r>
        <w:r w:rsidR="00C474BE">
          <w:rPr>
            <w:noProof/>
            <w:webHidden/>
          </w:rPr>
          <w:fldChar w:fldCharType="begin"/>
        </w:r>
        <w:r w:rsidR="00C474BE">
          <w:rPr>
            <w:noProof/>
            <w:webHidden/>
          </w:rPr>
          <w:instrText xml:space="preserve"> PAGEREF _Toc236991775 \h </w:instrText>
        </w:r>
        <w:r w:rsidR="00C474BE">
          <w:rPr>
            <w:noProof/>
            <w:webHidden/>
          </w:rPr>
        </w:r>
        <w:r w:rsidR="00C474BE">
          <w:rPr>
            <w:noProof/>
            <w:webHidden/>
          </w:rPr>
          <w:fldChar w:fldCharType="separate"/>
        </w:r>
        <w:r w:rsidR="00C474BE">
          <w:rPr>
            <w:noProof/>
            <w:webHidden/>
          </w:rPr>
          <w:t>185</w:t>
        </w:r>
        <w:r w:rsidR="00C474BE">
          <w:rPr>
            <w:noProof/>
            <w:webHidden/>
          </w:rPr>
          <w:fldChar w:fldCharType="end"/>
        </w:r>
      </w:hyperlink>
    </w:p>
    <w:p w14:paraId="1B9A7D34" w14:textId="345F962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6" w:history="1">
        <w:r w:rsidR="00C474BE" w:rsidRPr="009C0487">
          <w:rPr>
            <w:rStyle w:val="Hyperlink"/>
            <w:rFonts w:eastAsiaTheme="majorEastAsia"/>
            <w:noProof/>
          </w:rPr>
          <w:t>Figure 18. Professional involvement in the tolvaptan prescribing pathway stratified by consultant-type leading service and decision-making model</w:t>
        </w:r>
        <w:r w:rsidR="00C474BE">
          <w:rPr>
            <w:noProof/>
            <w:webHidden/>
          </w:rPr>
          <w:tab/>
        </w:r>
        <w:r w:rsidR="00C474BE">
          <w:rPr>
            <w:noProof/>
            <w:webHidden/>
          </w:rPr>
          <w:fldChar w:fldCharType="begin"/>
        </w:r>
        <w:r w:rsidR="00C474BE">
          <w:rPr>
            <w:noProof/>
            <w:webHidden/>
          </w:rPr>
          <w:instrText xml:space="preserve"> PAGEREF _Toc236991776 \h </w:instrText>
        </w:r>
        <w:r w:rsidR="00C474BE">
          <w:rPr>
            <w:noProof/>
            <w:webHidden/>
          </w:rPr>
        </w:r>
        <w:r w:rsidR="00C474BE">
          <w:rPr>
            <w:noProof/>
            <w:webHidden/>
          </w:rPr>
          <w:fldChar w:fldCharType="separate"/>
        </w:r>
        <w:r w:rsidR="00C474BE">
          <w:rPr>
            <w:noProof/>
            <w:webHidden/>
          </w:rPr>
          <w:t>185</w:t>
        </w:r>
        <w:r w:rsidR="00C474BE">
          <w:rPr>
            <w:noProof/>
            <w:webHidden/>
          </w:rPr>
          <w:fldChar w:fldCharType="end"/>
        </w:r>
      </w:hyperlink>
    </w:p>
    <w:p w14:paraId="10C202B8" w14:textId="03C477AD"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7" w:history="1">
        <w:r w:rsidR="00C474BE" w:rsidRPr="009C0487">
          <w:rPr>
            <w:rStyle w:val="Hyperlink"/>
            <w:rFonts w:eastAsiaTheme="majorEastAsia"/>
            <w:noProof/>
          </w:rPr>
          <w:t>Figure 19. Methods for providing patient information on tolvaptan</w:t>
        </w:r>
        <w:r w:rsidR="00C474BE">
          <w:rPr>
            <w:noProof/>
            <w:webHidden/>
          </w:rPr>
          <w:tab/>
        </w:r>
        <w:r w:rsidR="00C474BE">
          <w:rPr>
            <w:noProof/>
            <w:webHidden/>
          </w:rPr>
          <w:fldChar w:fldCharType="begin"/>
        </w:r>
        <w:r w:rsidR="00C474BE">
          <w:rPr>
            <w:noProof/>
            <w:webHidden/>
          </w:rPr>
          <w:instrText xml:space="preserve"> PAGEREF _Toc236991777 \h </w:instrText>
        </w:r>
        <w:r w:rsidR="00C474BE">
          <w:rPr>
            <w:noProof/>
            <w:webHidden/>
          </w:rPr>
        </w:r>
        <w:r w:rsidR="00C474BE">
          <w:rPr>
            <w:noProof/>
            <w:webHidden/>
          </w:rPr>
          <w:fldChar w:fldCharType="separate"/>
        </w:r>
        <w:r w:rsidR="00C474BE">
          <w:rPr>
            <w:noProof/>
            <w:webHidden/>
          </w:rPr>
          <w:t>186</w:t>
        </w:r>
        <w:r w:rsidR="00C474BE">
          <w:rPr>
            <w:noProof/>
            <w:webHidden/>
          </w:rPr>
          <w:fldChar w:fldCharType="end"/>
        </w:r>
      </w:hyperlink>
    </w:p>
    <w:p w14:paraId="7DEF039D" w14:textId="7943368B" w:rsidR="00C474BE" w:rsidRDefault="00000000">
      <w:pPr>
        <w:pStyle w:val="TableofFigures"/>
        <w:tabs>
          <w:tab w:val="right" w:leader="dot" w:pos="9016"/>
        </w:tabs>
        <w:rPr>
          <w:rFonts w:eastAsiaTheme="minorEastAsia" w:cstheme="minorBidi"/>
          <w:noProof/>
          <w:kern w:val="2"/>
          <w:sz w:val="24"/>
          <w:szCs w:val="24"/>
          <w14:ligatures w14:val="standardContextual"/>
        </w:rPr>
      </w:pPr>
      <w:hyperlink w:anchor="_Toc236991778" w:history="1">
        <w:r w:rsidR="00C474BE" w:rsidRPr="009C0487">
          <w:rPr>
            <w:rStyle w:val="Hyperlink"/>
            <w:rFonts w:eastAsiaTheme="majorEastAsia"/>
            <w:noProof/>
          </w:rPr>
          <w:t>Figure 20. Combinations of eligibility criteria used by kidney centres</w:t>
        </w:r>
        <w:r w:rsidR="00C474BE">
          <w:rPr>
            <w:noProof/>
            <w:webHidden/>
          </w:rPr>
          <w:tab/>
        </w:r>
        <w:r w:rsidR="00C474BE">
          <w:rPr>
            <w:noProof/>
            <w:webHidden/>
          </w:rPr>
          <w:fldChar w:fldCharType="begin"/>
        </w:r>
        <w:r w:rsidR="00C474BE">
          <w:rPr>
            <w:noProof/>
            <w:webHidden/>
          </w:rPr>
          <w:instrText xml:space="preserve"> PAGEREF _Toc236991778 \h </w:instrText>
        </w:r>
        <w:r w:rsidR="00C474BE">
          <w:rPr>
            <w:noProof/>
            <w:webHidden/>
          </w:rPr>
        </w:r>
        <w:r w:rsidR="00C474BE">
          <w:rPr>
            <w:noProof/>
            <w:webHidden/>
          </w:rPr>
          <w:fldChar w:fldCharType="separate"/>
        </w:r>
        <w:r w:rsidR="00C474BE">
          <w:rPr>
            <w:noProof/>
            <w:webHidden/>
          </w:rPr>
          <w:t>188</w:t>
        </w:r>
        <w:r w:rsidR="00C474BE">
          <w:rPr>
            <w:noProof/>
            <w:webHidden/>
          </w:rPr>
          <w:fldChar w:fldCharType="end"/>
        </w:r>
      </w:hyperlink>
    </w:p>
    <w:p w14:paraId="3880C9D6" w14:textId="556A95C5" w:rsidR="00050E9E" w:rsidRPr="002C21B8" w:rsidRDefault="00E8684A" w:rsidP="00F13B65">
      <w:r w:rsidRPr="002C21B8">
        <w:fldChar w:fldCharType="end"/>
      </w:r>
      <w:bookmarkEnd w:id="8"/>
      <w:r w:rsidR="00050E9E" w:rsidRPr="002C21B8">
        <w:br w:type="page"/>
      </w:r>
    </w:p>
    <w:p w14:paraId="3EE728D8" w14:textId="427DF78D" w:rsidR="00050E9E" w:rsidRPr="002C21B8" w:rsidRDefault="00050E9E" w:rsidP="00050E9E">
      <w:pPr>
        <w:pStyle w:val="Heading1"/>
        <w:numPr>
          <w:ilvl w:val="0"/>
          <w:numId w:val="0"/>
        </w:numPr>
        <w:ind w:left="1"/>
      </w:pPr>
      <w:bookmarkStart w:id="10" w:name="_Toc229687189"/>
      <w:r w:rsidRPr="002C21B8">
        <w:lastRenderedPageBreak/>
        <w:t>Declaration</w:t>
      </w:r>
      <w:bookmarkEnd w:id="10"/>
    </w:p>
    <w:p w14:paraId="7BD4D90C" w14:textId="77777777" w:rsidR="00050E9E" w:rsidRPr="002C21B8" w:rsidRDefault="00050E9E" w:rsidP="008F4F9A">
      <w:pPr>
        <w:spacing w:after="0"/>
      </w:pPr>
    </w:p>
    <w:p w14:paraId="791C485A" w14:textId="758EA174" w:rsidR="0029797A" w:rsidRPr="002C21B8" w:rsidRDefault="00050E9E" w:rsidP="00F558FF">
      <w:pPr>
        <w:rPr>
          <w:sz w:val="24"/>
          <w:szCs w:val="24"/>
        </w:rPr>
        <w:sectPr w:rsidR="0029797A" w:rsidRPr="002C21B8" w:rsidSect="00FD5B53">
          <w:headerReference w:type="default" r:id="rId13"/>
          <w:pgSz w:w="11906" w:h="16838"/>
          <w:pgMar w:top="1440" w:right="1440" w:bottom="1440" w:left="1440" w:header="708" w:footer="708" w:gutter="0"/>
          <w:cols w:space="708"/>
          <w:docGrid w:linePitch="360"/>
        </w:sectPr>
      </w:pPr>
      <w:r w:rsidRPr="002C21B8">
        <w:rPr>
          <w:sz w:val="24"/>
          <w:szCs w:val="24"/>
        </w:rPr>
        <w:t>I, the author, confirm that the Thesis is my own work. I am aware of the University’s Guidance on Academic Integrity (</w:t>
      </w:r>
      <w:hyperlink r:id="rId14" w:history="1">
        <w:r w:rsidRPr="002C21B8">
          <w:rPr>
            <w:rStyle w:val="Hyperlink"/>
            <w:rFonts w:eastAsiaTheme="majorEastAsia"/>
            <w:sz w:val="24"/>
            <w:szCs w:val="24"/>
          </w:rPr>
          <w:t>https://www.sheffield.ac.uk/study-skills/assessment/academic-integrity/academic-integrity</w:t>
        </w:r>
      </w:hyperlink>
      <w:r w:rsidRPr="002C21B8">
        <w:rPr>
          <w:sz w:val="24"/>
          <w:szCs w:val="24"/>
        </w:rPr>
        <w:t>). This work has not previously been presented for an award at this, or any other, university.</w:t>
      </w:r>
    </w:p>
    <w:p w14:paraId="1CF75662" w14:textId="1632157A" w:rsidR="001262CE" w:rsidRPr="002C21B8" w:rsidRDefault="007153B6" w:rsidP="007F1616">
      <w:pPr>
        <w:pStyle w:val="Heading1"/>
      </w:pPr>
      <w:bookmarkStart w:id="11" w:name="_–_Introduction"/>
      <w:bookmarkStart w:id="12" w:name="_Toc229687190"/>
      <w:bookmarkEnd w:id="11"/>
      <w:r w:rsidRPr="002C21B8">
        <w:lastRenderedPageBreak/>
        <w:t>– Introduction</w:t>
      </w:r>
      <w:bookmarkEnd w:id="12"/>
    </w:p>
    <w:p w14:paraId="72B840DE" w14:textId="4C7F960D" w:rsidR="00EF6650" w:rsidRPr="002C21B8" w:rsidRDefault="00945FF8" w:rsidP="00581663">
      <w:pPr>
        <w:pStyle w:val="Heading2"/>
      </w:pPr>
      <w:bookmarkStart w:id="13" w:name="_Toc229687191"/>
      <w:r w:rsidRPr="002C21B8">
        <w:t>Prescribing in rare diseases</w:t>
      </w:r>
      <w:bookmarkEnd w:id="13"/>
    </w:p>
    <w:p w14:paraId="47063F4C" w14:textId="7194D07D" w:rsidR="00CB2119" w:rsidRPr="002C21B8" w:rsidRDefault="000750F8" w:rsidP="00D27777">
      <w:r w:rsidRPr="002C21B8">
        <w:t xml:space="preserve">Prescribing </w:t>
      </w:r>
      <w:r w:rsidR="00305477" w:rsidRPr="002C21B8">
        <w:t xml:space="preserve">is the </w:t>
      </w:r>
      <w:r w:rsidRPr="002C21B8">
        <w:t xml:space="preserve">most common </w:t>
      </w:r>
      <w:r w:rsidR="00305477" w:rsidRPr="002C21B8">
        <w:t xml:space="preserve">patient-level </w:t>
      </w:r>
      <w:r w:rsidRPr="002C21B8">
        <w:t>intervention</w:t>
      </w:r>
      <w:r w:rsidR="00305477" w:rsidRPr="002C21B8">
        <w:t xml:space="preserve"> in the National Health Service (NHS)</w:t>
      </w:r>
      <w:r w:rsidR="00355D08" w:rsidRPr="002C21B8">
        <w:t xml:space="preserve"> and the second highest area of spending after staffing costs </w:t>
      </w:r>
      <w:r w:rsidR="00355D08" w:rsidRPr="002C21B8">
        <w:fldChar w:fldCharType="begin"/>
      </w:r>
      <w:r w:rsidR="00355D08" w:rsidRPr="002C21B8">
        <w:instrText xml:space="preserve"> ADDIN EN.CITE &lt;EndNote&gt;&lt;Cite&gt;&lt;Author&gt;NHS Digital&lt;/Author&gt;&lt;Year&gt;2026&lt;/Year&gt;&lt;RecNum&gt;125536&lt;/RecNum&gt;&lt;DisplayText&gt;(NHS Digital, 2026)&lt;/DisplayText&gt;&lt;record&gt;&lt;rec-number&gt;125536&lt;/rec-number&gt;&lt;foreign-keys&gt;&lt;key app="EN" db-id="xpefzwa5hf9dt2ea9fax95x7xvxz90v09dtf" timestamp="1777538776"&gt;125536&lt;/key&gt;&lt;/foreign-keys&gt;&lt;ref-type name="Web Page"&gt;12&lt;/ref-type&gt;&lt;contributors&gt;&lt;authors&gt;&lt;author&gt;NHS Digital,&lt;/author&gt;&lt;/authors&gt;&lt;/contributors&gt;&lt;titles&gt;&lt;title&gt;Prescribing data&lt;/title&gt;&lt;/titles&gt;&lt;number&gt;30/04/2026)&lt;/number&gt;&lt;dates&gt;&lt;year&gt;2026&lt;/year&gt;&lt;/dates&gt;&lt;urls&gt;&lt;related-urls&gt;&lt;url&gt;https://digital.nhs.uk/data-and-information/areas-of-interest/prescribing&lt;/url&gt;&lt;/related-urls&gt;&lt;/urls&gt;&lt;/record&gt;&lt;/Cite&gt;&lt;/EndNote&gt;</w:instrText>
      </w:r>
      <w:r w:rsidR="00355D08" w:rsidRPr="002C21B8">
        <w:fldChar w:fldCharType="separate"/>
      </w:r>
      <w:r w:rsidR="00355D08" w:rsidRPr="002C21B8">
        <w:rPr>
          <w:noProof/>
        </w:rPr>
        <w:t>(NHS Digital, 2026)</w:t>
      </w:r>
      <w:r w:rsidR="00355D08" w:rsidRPr="002C21B8">
        <w:fldChar w:fldCharType="end"/>
      </w:r>
      <w:r w:rsidR="00305477" w:rsidRPr="002C21B8">
        <w:t xml:space="preserve">. </w:t>
      </w:r>
      <w:r w:rsidR="00D27777" w:rsidRPr="002C21B8">
        <w:t xml:space="preserve">Prescribing costs in England were </w:t>
      </w:r>
      <w:r w:rsidR="00CB2119" w:rsidRPr="002C21B8">
        <w:t>£20.6 billion</w:t>
      </w:r>
      <w:r w:rsidR="00D27777" w:rsidRPr="002C21B8">
        <w:t xml:space="preserve"> in 2023</w:t>
      </w:r>
      <w:r w:rsidR="00CB2119" w:rsidRPr="002C21B8">
        <w:t xml:space="preserve"> (National Health Service Business Services Authority, 2024</w:t>
      </w:r>
      <w:r w:rsidR="00945FF8" w:rsidRPr="002C21B8">
        <w:t>)</w:t>
      </w:r>
      <w:r w:rsidR="00305477" w:rsidRPr="002C21B8">
        <w:t xml:space="preserve">. </w:t>
      </w:r>
      <w:r w:rsidR="00F34D56" w:rsidRPr="002C21B8">
        <w:t xml:space="preserve">Prescribing decision-making is considered a complex </w:t>
      </w:r>
      <w:r w:rsidR="0048671C" w:rsidRPr="002C21B8">
        <w:t>and highly context</w:t>
      </w:r>
      <w:r w:rsidR="00626595" w:rsidRPr="002C21B8">
        <w:t>-</w:t>
      </w:r>
      <w:r w:rsidR="0048671C" w:rsidRPr="002C21B8">
        <w:t xml:space="preserve">dependent </w:t>
      </w:r>
      <w:r w:rsidR="00355D08" w:rsidRPr="002C21B8">
        <w:t>process</w:t>
      </w:r>
      <w:r w:rsidR="00D27777" w:rsidRPr="002C21B8">
        <w:t xml:space="preserve"> </w:t>
      </w:r>
      <w:r w:rsidR="00720289" w:rsidRPr="002C21B8">
        <w:t>that is</w:t>
      </w:r>
      <w:r w:rsidR="00D27777" w:rsidRPr="002C21B8">
        <w:t xml:space="preserve"> influenced by many factors</w:t>
      </w:r>
      <w:r w:rsidR="00F34D56" w:rsidRPr="002C21B8">
        <w:t>,</w:t>
      </w:r>
      <w:r w:rsidR="00D27777" w:rsidRPr="002C21B8">
        <w:t xml:space="preserve"> each</w:t>
      </w:r>
      <w:r w:rsidR="00F34D56" w:rsidRPr="002C21B8">
        <w:t xml:space="preserve"> of which can</w:t>
      </w:r>
      <w:r w:rsidR="00D27777" w:rsidRPr="002C21B8">
        <w:t xml:space="preserve"> be weighed differently </w:t>
      </w:r>
      <w:r w:rsidR="00305477" w:rsidRPr="002C21B8">
        <w:fldChar w:fldCharType="begin"/>
      </w:r>
      <w:r w:rsidR="00305477" w:rsidRPr="002C21B8">
        <w:instrText xml:space="preserve"> ADDIN EN.CITE &lt;EndNote&gt;&lt;Cite&gt;&lt;Author&gt;Carter&lt;/Author&gt;&lt;Year&gt;2021&lt;/Year&gt;&lt;RecNum&gt;5041&lt;/RecNum&gt;&lt;DisplayText&gt;(Carter, Chapman and Watson, 2021)&lt;/DisplayText&gt;&lt;record&gt;&lt;rec-number&gt;5041&lt;/rec-number&gt;&lt;foreign-keys&gt;&lt;key app="EN" db-id="xpefzwa5hf9dt2ea9fax95x7xvxz90v09dtf" timestamp="1699899869"&gt;5041&lt;/key&gt;&lt;/foreign-keys&gt;&lt;ref-type name="Journal Article"&gt;17&lt;/ref-type&gt;&lt;contributors&gt;&lt;authors&gt;&lt;author&gt;Carter, M.&lt;/author&gt;&lt;author&gt;Chapman, S.&lt;/author&gt;&lt;author&gt;Watson, M. C.&lt;/author&gt;&lt;/authors&gt;&lt;/contributors&gt;&lt;auth-address&gt;Department of Pharmacy &amp;amp; Pharmacology, University of Bath, Bath, UK mdc50@bath.ac.uk.&amp;#xD;Department of Pharmacy &amp;amp; Pharmacology, University of Bath, Bath, UK.&amp;#xD;Strathclyde Institute of Pharmacy and Biomedical Sciences, University of Strathclyde, Glasgow, UK.&lt;/auth-address&gt;&lt;titles&gt;&lt;title&gt;Multiplicity and complexity: a qualitative exploration of influences on prescribing in UK general practice&lt;/title&gt;&lt;secondary-title&gt;BMJ Open&lt;/secondary-title&gt;&lt;/titles&gt;&lt;periodical&gt;&lt;full-title&gt;BMJ open&lt;/full-title&gt;&lt;/periodical&gt;&lt;pages&gt;e041460&lt;/pages&gt;&lt;volume&gt;11&lt;/volume&gt;&lt;number&gt;1&lt;/number&gt;&lt;edition&gt;20210111&lt;/edition&gt;&lt;keywords&gt;&lt;keyword&gt;Attitude of Health Personnel&lt;/keyword&gt;&lt;keyword&gt;England&lt;/keyword&gt;&lt;keyword&gt;*General Practice&lt;/keyword&gt;&lt;keyword&gt;Humans&lt;/keyword&gt;&lt;keyword&gt;Qualitative Research&lt;/keyword&gt;&lt;keyword&gt;*State Medicine&lt;/keyword&gt;&lt;keyword&gt;United Kingdom&lt;/keyword&gt;&lt;keyword&gt;organisation of health services&lt;/keyword&gt;&lt;keyword&gt;primary care&lt;/keyword&gt;&lt;keyword&gt;protocols &amp;amp; guidelines&lt;/keyword&gt;&lt;/keywords&gt;&lt;dates&gt;&lt;year&gt;2021&lt;/year&gt;&lt;pub-dates&gt;&lt;date&gt;Jan 11&lt;/date&gt;&lt;/pub-dates&gt;&lt;/dates&gt;&lt;isbn&gt;2044-6055&lt;/isbn&gt;&lt;accession-num&gt;33431490&lt;/accession-num&gt;&lt;urls&gt;&lt;/urls&gt;&lt;custom1&gt;Competing interests: None declared.&lt;/custom1&gt;&lt;custom2&gt;PMC7802664&lt;/custom2&gt;&lt;electronic-resource-num&gt;10.1136/bmjopen-2020-041460&lt;/electronic-resource-num&gt;&lt;remote-database-provider&gt;NLM&lt;/remote-database-provider&gt;&lt;language&gt;eng&lt;/language&gt;&lt;/record&gt;&lt;/Cite&gt;&lt;/EndNote&gt;</w:instrText>
      </w:r>
      <w:r w:rsidR="00305477" w:rsidRPr="002C21B8">
        <w:fldChar w:fldCharType="separate"/>
      </w:r>
      <w:r w:rsidR="00305477" w:rsidRPr="002C21B8">
        <w:t>(Carter, Chapman and Watson, 2021)</w:t>
      </w:r>
      <w:r w:rsidR="00305477" w:rsidRPr="002C21B8">
        <w:fldChar w:fldCharType="end"/>
      </w:r>
      <w:r w:rsidR="00305477" w:rsidRPr="002C21B8">
        <w:t xml:space="preserve">. </w:t>
      </w:r>
      <w:r w:rsidR="00D27777" w:rsidRPr="002C21B8">
        <w:t>I</w:t>
      </w:r>
      <w:r w:rsidR="0048671C" w:rsidRPr="002C21B8">
        <w:t xml:space="preserve">t is </w:t>
      </w:r>
      <w:r w:rsidR="00D27777" w:rsidRPr="002C21B8">
        <w:t xml:space="preserve">important to understand how </w:t>
      </w:r>
      <w:r w:rsidR="00720289" w:rsidRPr="002C21B8">
        <w:t xml:space="preserve">these </w:t>
      </w:r>
      <w:r w:rsidR="00D27777" w:rsidRPr="002C21B8">
        <w:t>decisions are made in clinical practice and the factors that influence them to ensure prescribing is safe, effective and equitable</w:t>
      </w:r>
      <w:r w:rsidR="0048671C" w:rsidRPr="002C21B8">
        <w:t xml:space="preserve"> </w:t>
      </w:r>
      <w:r w:rsidR="00305477" w:rsidRPr="002C21B8">
        <w:fldChar w:fldCharType="begin"/>
      </w:r>
      <w:r w:rsidR="00590E88" w:rsidRPr="002C21B8">
        <w:instrText xml:space="preserve"> ADDIN EN.CITE &lt;EndNote&gt;&lt;Cite&gt;&lt;Author&gt;Maxwell&lt;/Author&gt;&lt;Year&gt;2016&lt;/Year&gt;&lt;RecNum&gt;5296&lt;/RecNum&gt;&lt;DisplayText&gt;(Maxwell, 2016)&lt;/DisplayText&gt;&lt;record&gt;&lt;rec-number&gt;5296&lt;/rec-number&gt;&lt;foreign-keys&gt;&lt;key app="EN" db-id="xpefzwa5hf9dt2ea9fax95x7xvxz90v09dtf" timestamp="1701256917"&gt;5296&lt;/key&gt;&lt;/foreign-keys&gt;&lt;ref-type name="Journal Article"&gt;17&lt;/ref-type&gt;&lt;contributors&gt;&lt;authors&gt;&lt;author&gt;Maxwell, S. R.&lt;/author&gt;&lt;/authors&gt;&lt;/contributors&gt;&lt;auth-address&gt;University of Edinburgh, Edinburgh, UK and honorary consultant physician, Western General Hospital, Edinburgh, UK s.maxwell@ed.ac.uk.&lt;/auth-address&gt;&lt;titles&gt;&lt;title&gt;Rational prescribing: the principles of drug selection&lt;/title&gt;&lt;secondary-title&gt;Clinical Medicine&lt;/secondary-title&gt;&lt;/titles&gt;&lt;periodical&gt;&lt;full-title&gt;Clinical Medicine&lt;/full-title&gt;&lt;/periodical&gt;&lt;pages&gt;459-464&lt;/pages&gt;&lt;volume&gt;16&lt;/volume&gt;&lt;number&gt;5&lt;/number&gt;&lt;keywords&gt;&lt;keyword&gt;*Drug Prescriptions&lt;/keyword&gt;&lt;keyword&gt;*Drug Therapy/methods/standards&lt;/keyword&gt;&lt;keyword&gt;Humans&lt;/keyword&gt;&lt;keyword&gt;Precision Medicine&lt;/keyword&gt;&lt;keyword&gt;Drug selection&lt;/keyword&gt;&lt;keyword&gt;interindividual variation&lt;/keyword&gt;&lt;keyword&gt;monitoring therapy&lt;/keyword&gt;&lt;keyword&gt;personalised medicine&lt;/keyword&gt;&lt;keyword&gt;prescribing&lt;/keyword&gt;&lt;keyword&gt;rational prescribing&lt;/keyword&gt;&lt;/keywords&gt;&lt;dates&gt;&lt;year&gt;2016&lt;/year&gt;&lt;pub-dates&gt;&lt;date&gt;Oct&lt;/date&gt;&lt;/pub-dates&gt;&lt;/dates&gt;&lt;isbn&gt;1470-2118 (Print)&amp;#xD;1470-2118&lt;/isbn&gt;&lt;accession-num&gt;27697811&lt;/accession-num&gt;&lt;urls&gt;&lt;/urls&gt;&lt;custom2&gt;PMC6297291&lt;/custom2&gt;&lt;electronic-resource-num&gt;10.7861/clinmedicine.16-5-459&lt;/electronic-resource-num&gt;&lt;remote-database-provider&gt;NLM&lt;/remote-database-provider&gt;&lt;language&gt;eng&lt;/language&gt;&lt;/record&gt;&lt;/Cite&gt;&lt;/EndNote&gt;</w:instrText>
      </w:r>
      <w:r w:rsidR="00305477" w:rsidRPr="002C21B8">
        <w:fldChar w:fldCharType="separate"/>
      </w:r>
      <w:r w:rsidR="00305477" w:rsidRPr="002C21B8">
        <w:rPr>
          <w:noProof/>
        </w:rPr>
        <w:t>(Maxwell, 2016)</w:t>
      </w:r>
      <w:r w:rsidR="00305477" w:rsidRPr="002C21B8">
        <w:fldChar w:fldCharType="end"/>
      </w:r>
      <w:r w:rsidR="00305477" w:rsidRPr="002C21B8">
        <w:t>.</w:t>
      </w:r>
    </w:p>
    <w:p w14:paraId="7F6D4B50" w14:textId="4FAB4B8A" w:rsidR="008F5C53" w:rsidRPr="002C21B8" w:rsidRDefault="00CB2119" w:rsidP="00D82866">
      <w:r w:rsidRPr="002C21B8">
        <w:t xml:space="preserve">Rare diseases are conditions that affect </w:t>
      </w:r>
      <w:r w:rsidR="00996B14" w:rsidRPr="002C21B8">
        <w:t>a</w:t>
      </w:r>
      <w:r w:rsidRPr="002C21B8">
        <w:t xml:space="preserve"> small number of people in </w:t>
      </w:r>
      <w:r w:rsidR="00D82866" w:rsidRPr="002C21B8">
        <w:t xml:space="preserve">the </w:t>
      </w:r>
      <w:r w:rsidR="009802B4" w:rsidRPr="002C21B8">
        <w:t>general</w:t>
      </w:r>
      <w:r w:rsidRPr="002C21B8">
        <w:t xml:space="preserve"> population</w:t>
      </w:r>
      <w:r w:rsidR="00BE0F7E" w:rsidRPr="002C21B8">
        <w:t xml:space="preserve">, typically less than 1 in 2,000 </w:t>
      </w:r>
      <w:r w:rsidR="00BE0F7E" w:rsidRPr="002C21B8">
        <w:fldChar w:fldCharType="begin"/>
      </w:r>
      <w:r w:rsidR="00BE0F7E" w:rsidRPr="002C21B8">
        <w:instrText xml:space="preserve"> ADDIN EN.CITE &lt;EndNote&gt;&lt;Cite&gt;&lt;Author&gt;European Commission&lt;/Author&gt;&lt;Year&gt;2020&lt;/Year&gt;&lt;RecNum&gt;5018&lt;/RecNum&gt;&lt;DisplayText&gt;(European Commission, 2020)&lt;/DisplayText&gt;&lt;record&gt;&lt;rec-number&gt;5018&lt;/rec-number&gt;&lt;foreign-keys&gt;&lt;key app="EN" db-id="xpefzwa5hf9dt2ea9fax95x7xvxz90v09dtf" timestamp="1699890121"&gt;5018&lt;/key&gt;&lt;/foreign-keys&gt;&lt;ref-type name="Web Page"&gt;12&lt;/ref-type&gt;&lt;contributors&gt;&lt;authors&gt;&lt;author&gt;European Commission,&lt;/author&gt;&lt;/authors&gt;&lt;/contributors&gt;&lt;titles&gt;&lt;title&gt;Rare diseases&lt;/title&gt;&lt;/titles&gt;&lt;number&gt;13/11/2023)&lt;/number&gt;&lt;dates&gt;&lt;year&gt;2020&lt;/year&gt;&lt;/dates&gt;&lt;urls&gt;&lt;related-urls&gt;&lt;url&gt;https://ec.europa.eu/info/research-and-innovation/research-area/health/rare-diseases_en&lt;/url&gt;&lt;/related-urls&gt;&lt;/urls&gt;&lt;/record&gt;&lt;/Cite&gt;&lt;/EndNote&gt;</w:instrText>
      </w:r>
      <w:r w:rsidR="00BE0F7E" w:rsidRPr="002C21B8">
        <w:fldChar w:fldCharType="separate"/>
      </w:r>
      <w:r w:rsidR="00BE0F7E" w:rsidRPr="002C21B8">
        <w:t>(European Commission, 2020)</w:t>
      </w:r>
      <w:r w:rsidR="00BE0F7E" w:rsidRPr="002C21B8">
        <w:fldChar w:fldCharType="end"/>
      </w:r>
      <w:r w:rsidR="000F52EB" w:rsidRPr="002C21B8">
        <w:t xml:space="preserve">. </w:t>
      </w:r>
      <w:r w:rsidR="002671C5" w:rsidRPr="002C21B8">
        <w:t>Due to their rarity</w:t>
      </w:r>
      <w:r w:rsidR="00ED2FC0" w:rsidRPr="002C21B8">
        <w:t xml:space="preserve"> and often limited evidence base</w:t>
      </w:r>
      <w:r w:rsidR="002671C5" w:rsidRPr="002C21B8">
        <w:t xml:space="preserve">, </w:t>
      </w:r>
      <w:r w:rsidR="00ED2FC0" w:rsidRPr="002C21B8">
        <w:t xml:space="preserve">there is greater uncertainty </w:t>
      </w:r>
      <w:r w:rsidR="009B4069" w:rsidRPr="002C21B8">
        <w:t xml:space="preserve">associated with these conditions </w:t>
      </w:r>
      <w:r w:rsidR="005D56BC" w:rsidRPr="002C21B8">
        <w:t>that further increases the complexity of prescribing</w:t>
      </w:r>
      <w:r w:rsidR="002671C5" w:rsidRPr="002C21B8">
        <w:t xml:space="preserve"> </w:t>
      </w:r>
      <w:r w:rsidR="005D56BC" w:rsidRPr="002C21B8">
        <w:t>decisions</w:t>
      </w:r>
      <w:r w:rsidR="00EF6DFF" w:rsidRPr="002C21B8">
        <w:t xml:space="preserve"> and can lead to variation in practice</w:t>
      </w:r>
      <w:r w:rsidR="005D56BC" w:rsidRPr="002C21B8">
        <w:t xml:space="preserve"> </w:t>
      </w:r>
      <w:r w:rsidR="002671C5" w:rsidRPr="002C21B8">
        <w:fldChar w:fldCharType="begin">
          <w:fldData xml:space="preserve">PEVuZE5vdGU+PENpdGU+PEF1dGhvcj5EZXBhcnRtZW50IG9mIEhlYWx0aCBhbmQgU29jaWFsIENh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</w:fldData>
        </w:fldChar>
      </w:r>
      <w:r w:rsidR="00EF6DFF" w:rsidRPr="002C21B8">
        <w:instrText xml:space="preserve"> ADDIN EN.CITE </w:instrText>
      </w:r>
      <w:r w:rsidR="00EF6DFF" w:rsidRPr="002C21B8">
        <w:fldChar w:fldCharType="begin">
          <w:fldData xml:space="preserve">PEVuZE5vdGU+PENpdGU+PEF1dGhvcj5EZXBhcnRtZW50IG9mIEhlYWx0aCBhbmQgU29jaWFsIENh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</w:fldData>
        </w:fldChar>
      </w:r>
      <w:r w:rsidR="00EF6DFF" w:rsidRPr="002C21B8">
        <w:instrText xml:space="preserve"> ADDIN EN.CITE.DATA </w:instrText>
      </w:r>
      <w:r w:rsidR="00EF6DFF" w:rsidRPr="002C21B8">
        <w:fldChar w:fldCharType="end"/>
      </w:r>
      <w:r w:rsidR="002671C5" w:rsidRPr="002C21B8">
        <w:fldChar w:fldCharType="separate"/>
      </w:r>
      <w:r w:rsidR="00EF6DFF" w:rsidRPr="002C21B8">
        <w:rPr>
          <w:noProof/>
        </w:rPr>
        <w:t>(Department of Health and Social Care, 2021; Nguengang Wakap</w:t>
      </w:r>
      <w:r w:rsidR="00EF6DFF" w:rsidRPr="002C21B8">
        <w:rPr>
          <w:i/>
          <w:noProof/>
        </w:rPr>
        <w:t xml:space="preserve"> et al.</w:t>
      </w:r>
      <w:r w:rsidR="00EF6DFF" w:rsidRPr="002C21B8">
        <w:rPr>
          <w:noProof/>
        </w:rPr>
        <w:t>, 2020)</w:t>
      </w:r>
      <w:r w:rsidR="002671C5" w:rsidRPr="002C21B8">
        <w:fldChar w:fldCharType="end"/>
      </w:r>
      <w:r w:rsidR="005D56BC" w:rsidRPr="002C21B8">
        <w:t xml:space="preserve">. </w:t>
      </w:r>
      <w:r w:rsidR="00EF6DFF" w:rsidRPr="002C21B8">
        <w:t xml:space="preserve">This variation can have both clinical and economic consequences </w:t>
      </w:r>
      <w:r w:rsidR="000750F8" w:rsidRPr="002C21B8">
        <w:rPr>
          <w:color w:val="202124"/>
          <w:shd w:val="clear" w:color="auto" w:fill="FFFFFF"/>
        </w:rPr>
        <w:fldChar w:fldCharType="begin"/>
      </w:r>
      <w:r w:rsidR="000750F8" w:rsidRPr="002C21B8">
        <w:rPr>
          <w:color w:val="202124"/>
          <w:shd w:val="clear" w:color="auto" w:fill="FFFFFF"/>
        </w:rPr>
        <w:instrText xml:space="preserve"> ADDIN EN.CITE &lt;EndNote&gt;&lt;Cite&gt;&lt;Author&gt;López-Bastida&lt;/Author&gt;&lt;Year&gt;2016&lt;/Year&gt;&lt;RecNum&gt;5242&lt;/RecNum&gt;&lt;DisplayText&gt;(López-Bastida&lt;style face="italic"&gt; et al.&lt;/style&gt;, 2016)&lt;/DisplayText&gt;&lt;record&gt;&lt;rec-number&gt;5242&lt;/rec-number&gt;&lt;foreign-keys&gt;&lt;key app="EN" db-id="xpefzwa5hf9dt2ea9fax95x7xvxz90v09dtf" timestamp="1701093318"&gt;5242&lt;/key&gt;&lt;/foreign-keys&gt;&lt;ref-type name="Journal Article"&gt;17&lt;/ref-type&gt;&lt;contributors&gt;&lt;authors&gt;&lt;author&gt;López-Bastida, Julio&lt;/author&gt;&lt;author&gt;Oliva-Moreno, Juan&lt;/author&gt;&lt;author&gt;Linertová, Renata&lt;/author&gt;&lt;author&gt;Serrano-Aguilar, Pedro&lt;/author&gt;&lt;/authors&gt;&lt;/contributors&gt;&lt;titles&gt;&lt;title&gt;Social/economic costs and health-related quality of life in patients with rare diseases in Europe&lt;/title&gt;&lt;secondary-title&gt;The European Journal of Health Economics&lt;/secondary-title&gt;&lt;/titles&gt;&lt;periodical&gt;&lt;full-title&gt;The European Journal of Health Economics&lt;/full-title&gt;&lt;/periodical&gt;&lt;pages&gt;1-5&lt;/pages&gt;&lt;volume&gt;17&lt;/volume&gt;&lt;number&gt;Suppl 1&lt;/number&gt;&lt;dates&gt;&lt;year&gt;2016&lt;/year&gt;&lt;/dates&gt;&lt;isbn&gt;1618-7598&lt;/isbn&gt;&lt;urls&gt;&lt;/urls&gt;&lt;/record&gt;&lt;/Cite&gt;&lt;/EndNote&gt;</w:instrText>
      </w:r>
      <w:r w:rsidR="000750F8" w:rsidRPr="002C21B8">
        <w:rPr>
          <w:color w:val="202124"/>
          <w:shd w:val="clear" w:color="auto" w:fill="FFFFFF"/>
        </w:rPr>
        <w:fldChar w:fldCharType="separate"/>
      </w:r>
      <w:r w:rsidR="000750F8" w:rsidRPr="002C21B8">
        <w:rPr>
          <w:color w:val="202124"/>
          <w:shd w:val="clear" w:color="auto" w:fill="FFFFFF"/>
        </w:rPr>
        <w:t>(López-Bastida</w:t>
      </w:r>
      <w:r w:rsidR="000750F8" w:rsidRPr="002C21B8">
        <w:rPr>
          <w:i/>
          <w:color w:val="202124"/>
          <w:shd w:val="clear" w:color="auto" w:fill="FFFFFF"/>
        </w:rPr>
        <w:t xml:space="preserve"> et al.</w:t>
      </w:r>
      <w:r w:rsidR="000750F8" w:rsidRPr="002C21B8">
        <w:rPr>
          <w:color w:val="202124"/>
          <w:shd w:val="clear" w:color="auto" w:fill="FFFFFF"/>
        </w:rPr>
        <w:t>, 2016)</w:t>
      </w:r>
      <w:r w:rsidR="000750F8" w:rsidRPr="002C21B8">
        <w:rPr>
          <w:color w:val="202124"/>
          <w:shd w:val="clear" w:color="auto" w:fill="FFFFFF"/>
        </w:rPr>
        <w:fldChar w:fldCharType="end"/>
      </w:r>
      <w:r w:rsidR="000750F8" w:rsidRPr="002C21B8">
        <w:rPr>
          <w:color w:val="202124"/>
          <w:shd w:val="clear" w:color="auto" w:fill="FFFFFF"/>
        </w:rPr>
        <w:t>.</w:t>
      </w:r>
      <w:r w:rsidR="000750F8" w:rsidRPr="002C21B8">
        <w:t xml:space="preserve"> </w:t>
      </w:r>
      <w:r w:rsidR="00ED2FC0" w:rsidRPr="002C21B8">
        <w:t xml:space="preserve">From </w:t>
      </w:r>
      <w:r w:rsidR="000B2573" w:rsidRPr="002C21B8">
        <w:t>a</w:t>
      </w:r>
      <w:r w:rsidR="00ED2FC0" w:rsidRPr="002C21B8">
        <w:t xml:space="preserve"> clinical perspective, r</w:t>
      </w:r>
      <w:r w:rsidR="00746916" w:rsidRPr="002C21B8">
        <w:t>are diseases are generally associated with substantial impairment to health-related quality of life</w:t>
      </w:r>
      <w:r w:rsidR="005B6246" w:rsidRPr="002C21B8">
        <w:t xml:space="preserve"> that is</w:t>
      </w:r>
      <w:r w:rsidR="00ED2FC0" w:rsidRPr="002C21B8">
        <w:t xml:space="preserve"> </w:t>
      </w:r>
      <w:r w:rsidR="00746916" w:rsidRPr="002C21B8">
        <w:t>comparable to</w:t>
      </w:r>
      <w:r w:rsidR="00E91D68" w:rsidRPr="002C21B8">
        <w:t>,</w:t>
      </w:r>
      <w:r w:rsidR="00746916" w:rsidRPr="002C21B8">
        <w:t xml:space="preserve"> or worse than</w:t>
      </w:r>
      <w:r w:rsidR="00E91D68" w:rsidRPr="002C21B8">
        <w:t>,</w:t>
      </w:r>
      <w:r w:rsidR="00746916" w:rsidRPr="002C21B8">
        <w:t xml:space="preserve"> that reported in more common conditions </w:t>
      </w:r>
      <w:r w:rsidR="000750F8" w:rsidRPr="002C21B8">
        <w:fldChar w:fldCharType="begin"/>
      </w:r>
      <w:r w:rsidR="00CE4967" w:rsidRPr="002C21B8">
        <w:instrText xml:space="preserve"> ADDIN EN.CITE &lt;EndNote&gt;&lt;Cite&gt;&lt;Author&gt;Delaye&lt;/Author&gt;&lt;Year&gt;2022&lt;/Year&gt;&lt;RecNum&gt;5260&lt;/RecNum&gt;&lt;DisplayText&gt;(Delaye, Cacciatore and Kole, 2022)&lt;/DisplayText&gt;&lt;record&gt;&lt;rec-number&gt;5260&lt;/rec-number&gt;&lt;foreign-keys&gt;&lt;key app="EN" db-id="xpefzwa5hf9dt2ea9fax95x7xvxz90v09dtf" timestamp="1701100281"&gt;5260&lt;/key&gt;&lt;/foreign-keys&gt;&lt;ref-type name="Journal Article"&gt;17&lt;/ref-type&gt;&lt;contributors&gt;&lt;authors&gt;&lt;author&gt;Delaye, J.&lt;/author&gt;&lt;author&gt;Cacciatore, P.&lt;/author&gt;&lt;author&gt;Kole, A.&lt;/author&gt;&lt;/authors&gt;&lt;/contributors&gt;&lt;auth-address&gt;European Organisation for Rare Diseases (EURORDIS), Paris, France.&amp;#xD;GSK Vaccines Srl, Siena, Italy.&lt;/auth-address&gt;&lt;titles&gt;&lt;title&gt;Valuing the &amp;quot;Burden&amp;quot; and Impact of Rare Diseases: A Scoping Review&lt;/title&gt;&lt;secondary-title&gt;Frontiers in Pharmacology&lt;/secondary-title&gt;&lt;/titles&gt;&lt;periodical&gt;&lt;full-title&gt;Frontiers in pharmacology&lt;/full-title&gt;&lt;/periodical&gt;&lt;pages&gt;914338&lt;/pages&gt;&lt;volume&gt;13&lt;/volume&gt;&lt;edition&gt;20220608&lt;/edition&gt;&lt;keywords&gt;&lt;keyword&gt;Cost of illness&lt;/keyword&gt;&lt;keyword&gt;Europe&lt;/keyword&gt;&lt;keyword&gt;Impact Assesment&lt;/keyword&gt;&lt;keyword&gt;Quality of Life&lt;/keyword&gt;&lt;keyword&gt;Rare diseases&lt;/keyword&gt;&lt;keyword&gt;Scoping review&lt;/keyword&gt;&lt;keyword&gt;burden of disease&lt;/keyword&gt;&lt;/keywords&gt;&lt;dates&gt;&lt;year&gt;2022&lt;/year&gt;&lt;/dates&gt;&lt;isbn&gt;1663-9812 (Print)&amp;#xD;1663-9812&lt;/isbn&gt;&lt;accession-num&gt;35754469&lt;/accession-num&gt;&lt;urls&gt;&lt;/urls&gt;&lt;custom1&gt;PC was employed by the company GSK Vaccines Srl. The remaining authors declare that the research was conducted in the absence of any commercial or financial relationships that could be construed as a potential conflict of interest.&lt;/custom1&gt;&lt;custom2&gt;PMC9213803&lt;/custom2&gt;&lt;electronic-resource-num&gt;10.3389/fphar.2022.914338&lt;/electronic-resource-num&gt;&lt;remote-database-provider&gt;NLM&lt;/remote-database-provider&gt;&lt;language&gt;eng&lt;/language&gt;&lt;/record&gt;&lt;/Cite&gt;&lt;/EndNote&gt;</w:instrText>
      </w:r>
      <w:r w:rsidR="000750F8" w:rsidRPr="002C21B8">
        <w:fldChar w:fldCharType="separate"/>
      </w:r>
      <w:r w:rsidR="000750F8" w:rsidRPr="002C21B8">
        <w:rPr>
          <w:noProof/>
        </w:rPr>
        <w:t>(Delaye, Cacciatore and Kole, 2022)</w:t>
      </w:r>
      <w:r w:rsidR="000750F8" w:rsidRPr="002C21B8">
        <w:fldChar w:fldCharType="end"/>
      </w:r>
      <w:r w:rsidR="000750F8" w:rsidRPr="002C21B8">
        <w:t xml:space="preserve">. </w:t>
      </w:r>
      <w:r w:rsidR="00746916" w:rsidRPr="002C21B8">
        <w:t xml:space="preserve">Where effective </w:t>
      </w:r>
      <w:r w:rsidR="00C7030A" w:rsidRPr="002C21B8">
        <w:t>medications</w:t>
      </w:r>
      <w:r w:rsidR="00746916" w:rsidRPr="002C21B8">
        <w:t xml:space="preserve"> exist for rare diseases, they can lead to clinically meaningful improvements in patient survival, morbidity and quality of life in treated populations </w:t>
      </w:r>
      <w:r w:rsidR="00746916" w:rsidRPr="002C21B8">
        <w:fldChar w:fldCharType="begin"/>
      </w:r>
      <w:r w:rsidR="00746916" w:rsidRPr="002C21B8">
        <w:instrText xml:space="preserve"> ADDIN EN.CITE &lt;EndNote&gt;&lt;Cite&gt;&lt;Author&gt;Onakpoya&lt;/Author&gt;&lt;Year&gt;2015&lt;/Year&gt;&lt;RecNum&gt;5285&lt;/RecNum&gt;&lt;DisplayText&gt;(Onakpoya&lt;style face="italic"&gt; et al.&lt;/style&gt;, 2015)&lt;/DisplayText&gt;&lt;record&gt;&lt;rec-number&gt;5285&lt;/rec-number&gt;&lt;foreign-keys&gt;&lt;key app="EN" db-id="xpefzwa5hf9dt2ea9fax95x7xvxz90v09dtf" timestamp="1701111849"&gt;5285&lt;/key&gt;&lt;/foreign-keys&gt;&lt;ref-type name="Journal Article"&gt;17&lt;/ref-type&gt;&lt;contributors&gt;&lt;authors&gt;&lt;author&gt;Onakpoya, Igho J&lt;/author&gt;&lt;author&gt;Spencer, Elizabeth A&lt;/author&gt;&lt;author&gt;Thompson, Matthew J&lt;/author&gt;&lt;author&gt;Heneghan, Carl J&lt;/author&gt;&lt;/authors&gt;&lt;/contributors&gt;&lt;titles&gt;&lt;title&gt;Effectiveness, safety and costs of orphan drugs: an evidence-based review&lt;/title&gt;&lt;secondary-title&gt;BMJ Open&lt;/secondary-title&gt;&lt;/titles&gt;&lt;periodical&gt;&lt;full-title&gt;BMJ open&lt;/full-title&gt;&lt;/periodical&gt;&lt;pages&gt;e007199&lt;/pages&gt;&lt;volume&gt;5&lt;/volume&gt;&lt;number&gt;6&lt;/number&gt;&lt;dates&gt;&lt;year&gt;2015&lt;/year&gt;&lt;/dates&gt;&lt;isbn&gt;2044-6055&lt;/isbn&gt;&lt;urls&gt;&lt;/urls&gt;&lt;/record&gt;&lt;/Cite&gt;&lt;/EndNote&gt;</w:instrText>
      </w:r>
      <w:r w:rsidR="00746916" w:rsidRPr="002C21B8">
        <w:fldChar w:fldCharType="separate"/>
      </w:r>
      <w:r w:rsidR="00746916" w:rsidRPr="002C21B8">
        <w:rPr>
          <w:noProof/>
        </w:rPr>
        <w:t>(Onakpoya</w:t>
      </w:r>
      <w:r w:rsidR="00746916" w:rsidRPr="002C21B8">
        <w:rPr>
          <w:i/>
          <w:noProof/>
        </w:rPr>
        <w:t xml:space="preserve"> et al.</w:t>
      </w:r>
      <w:r w:rsidR="00746916" w:rsidRPr="002C21B8">
        <w:rPr>
          <w:noProof/>
        </w:rPr>
        <w:t>, 2015)</w:t>
      </w:r>
      <w:r w:rsidR="00746916" w:rsidRPr="002C21B8">
        <w:fldChar w:fldCharType="end"/>
      </w:r>
      <w:r w:rsidR="00746916" w:rsidRPr="002C21B8">
        <w:t xml:space="preserve">. </w:t>
      </w:r>
      <w:r w:rsidR="00B85909" w:rsidRPr="002C21B8">
        <w:t>T</w:t>
      </w:r>
      <w:r w:rsidR="00746916" w:rsidRPr="002C21B8">
        <w:t xml:space="preserve">here are </w:t>
      </w:r>
      <w:r w:rsidR="00FE53B2" w:rsidRPr="002C21B8">
        <w:t xml:space="preserve">also </w:t>
      </w:r>
      <w:r w:rsidR="00746916" w:rsidRPr="002C21B8">
        <w:t xml:space="preserve">important economic considerations. Although </w:t>
      </w:r>
      <w:r w:rsidR="000750F8" w:rsidRPr="002C21B8">
        <w:t xml:space="preserve">rare disease </w:t>
      </w:r>
      <w:r w:rsidR="00176BCE" w:rsidRPr="002C21B8">
        <w:t>medications</w:t>
      </w:r>
      <w:r w:rsidR="000750F8" w:rsidRPr="002C21B8">
        <w:t xml:space="preserve"> are used by relatively few patients, they account for approximately 7% of total pharmaceutical expenditure in Europe </w:t>
      </w:r>
      <w:r w:rsidR="000750F8" w:rsidRPr="002C21B8">
        <w:fldChar w:fldCharType="begin"/>
      </w:r>
      <w:r w:rsidR="00590E88" w:rsidRPr="002C21B8">
        <w:instrText xml:space="preserve"> ADDIN EN.CITE &lt;EndNote&gt;&lt;Cite&gt;&lt;Author&gt;Mestre-Ferrandiz&lt;/Author&gt;&lt;Year&gt;2019&lt;/Year&gt;&lt;RecNum&gt;125298&lt;/RecNum&gt;&lt;DisplayText&gt;(Mestre-Ferrandiz&lt;style face="italic"&gt; et al.&lt;/style&gt;, 2019)&lt;/DisplayText&gt;&lt;record&gt;&lt;rec-number&gt;125298&lt;/rec-number&gt;&lt;foreign-keys&gt;&lt;key app="EN" db-id="xpefzwa5hf9dt2ea9fax95x7xvxz90v09dtf" timestamp="1774886564"&gt;125298&lt;/key&gt;&lt;/foreign-keys&gt;&lt;ref-type name="Journal Article"&gt;17&lt;/ref-type&gt;&lt;contributors&gt;&lt;authors&gt;&lt;author&gt;Mestre-Ferrandiz, Jorge&lt;/author&gt;&lt;author&gt;Palaska, Christina&lt;/author&gt;&lt;author&gt;Kelly, Tom&lt;/author&gt;&lt;author&gt;Hutchings, Adam&lt;/author&gt;&lt;author&gt;Parnaby, Adam&lt;/author&gt;&lt;/authors&gt;&lt;/contributors&gt;&lt;titles&gt;&lt;title&gt;An analysis of orphan medicine expenditure in Europe: is it sustainable?&lt;/title&gt;&lt;secondary-title&gt;Orphanet Journal of Rare Diseases&lt;/secondary-title&gt;&lt;/titles&gt;&lt;periodical&gt;&lt;full-title&gt;Orphanet Journal of Rare Diseases&lt;/full-title&gt;&lt;/periodical&gt;&lt;pages&gt;287&lt;/pages&gt;&lt;volume&gt;14&lt;/volume&gt;&lt;number&gt;1&lt;/number&gt;&lt;dates&gt;&lt;year&gt;2019&lt;/year&gt;&lt;/dates&gt;&lt;isbn&gt;1750-1172&lt;/isbn&gt;&lt;urls&gt;&lt;/urls&gt;&lt;/record&gt;&lt;/Cite&gt;&lt;/EndNote&gt;</w:instrText>
      </w:r>
      <w:r w:rsidR="000750F8" w:rsidRPr="002C21B8">
        <w:fldChar w:fldCharType="separate"/>
      </w:r>
      <w:r w:rsidR="000750F8" w:rsidRPr="002C21B8">
        <w:rPr>
          <w:noProof/>
        </w:rPr>
        <w:t>(Mestre-Ferrandiz</w:t>
      </w:r>
      <w:r w:rsidR="000750F8" w:rsidRPr="002C21B8">
        <w:rPr>
          <w:i/>
          <w:noProof/>
        </w:rPr>
        <w:t xml:space="preserve"> et al.</w:t>
      </w:r>
      <w:r w:rsidR="000750F8" w:rsidRPr="002C21B8">
        <w:rPr>
          <w:noProof/>
        </w:rPr>
        <w:t>, 2019)</w:t>
      </w:r>
      <w:r w:rsidR="000750F8" w:rsidRPr="002C21B8">
        <w:fldChar w:fldCharType="end"/>
      </w:r>
      <w:r w:rsidR="000750F8" w:rsidRPr="002C21B8">
        <w:t xml:space="preserve"> and 11% in the United States </w:t>
      </w:r>
      <w:r w:rsidR="000750F8" w:rsidRPr="002C21B8">
        <w:fldChar w:fldCharType="begin"/>
      </w:r>
      <w:r w:rsidR="00062561" w:rsidRPr="002C21B8">
        <w:instrText xml:space="preserve"> ADDIN EN.CITE &lt;EndNote&gt;&lt;Cite&gt;&lt;Author&gt;IQVIA Institute&lt;/Author&gt;&lt;Year&gt;2020&lt;/Year&gt;&lt;RecNum&gt;125299&lt;/RecNum&gt;&lt;DisplayText&gt;(IQVIA Institute, 2020)&lt;/DisplayText&gt;&lt;record&gt;&lt;rec-number&gt;125299&lt;/rec-number&gt;&lt;foreign-keys&gt;&lt;key app="EN" db-id="xpefzwa5hf9dt2ea9fax95x7xvxz90v09dtf" timestamp="1774886754"&gt;125299&lt;/key&gt;&lt;/foreign-keys&gt;&lt;ref-type name="Web Page"&gt;12&lt;/ref-type&gt;&lt;contributors&gt;&lt;authors&gt;&lt;author&gt;IQVIA Institute,&lt;/author&gt;&lt;/authors&gt;&lt;/contributors&gt;&lt;titles&gt;&lt;title&gt;Orphan Drugs in the United States: Rare Disease Innovation and Cost Trends Through 2019&lt;/title&gt;&lt;/titles&gt;&lt;number&gt;28/04/2026)&lt;/number&gt;&lt;dates&gt;&lt;year&gt;2020&lt;/year&gt;&lt;/dates&gt;&lt;urls&gt;&lt;related-urls&gt;&lt;url&gt;https://rarediseases.org/wp-content/uploads/2021/03/orphan-drugs-in-the-united-states-NRD-2020.pdf&lt;/url&gt;&lt;/related-urls&gt;&lt;/urls&gt;&lt;access-date&gt;(30/03/2026&lt;/access-date&gt;&lt;/record&gt;&lt;/Cite&gt;&lt;/EndNote&gt;</w:instrText>
      </w:r>
      <w:r w:rsidR="000750F8" w:rsidRPr="002C21B8">
        <w:fldChar w:fldCharType="separate"/>
      </w:r>
      <w:r w:rsidR="000750F8" w:rsidRPr="002C21B8">
        <w:rPr>
          <w:noProof/>
        </w:rPr>
        <w:t>(IQVIA Institute, 2020)</w:t>
      </w:r>
      <w:r w:rsidR="000750F8" w:rsidRPr="002C21B8">
        <w:fldChar w:fldCharType="end"/>
      </w:r>
      <w:r w:rsidR="000750F8" w:rsidRPr="002C21B8">
        <w:t>.</w:t>
      </w:r>
    </w:p>
    <w:p w14:paraId="0D63143B" w14:textId="3C88A12A" w:rsidR="008F5C53" w:rsidRPr="002C21B8" w:rsidRDefault="004B7899" w:rsidP="00B9736E">
      <w:r w:rsidRPr="002C21B8">
        <w:t>Decision-making is recognised to be difficult when evidence is limited or there is uncertainty, such as in rare diseases</w:t>
      </w:r>
      <w:r w:rsidR="000E01E8">
        <w:t xml:space="preserve"> </w:t>
      </w:r>
      <w:r w:rsidR="000E01E8">
        <w:fldChar w:fldCharType="begin"/>
      </w:r>
      <w:r w:rsidR="000E01E8">
        <w:instrText xml:space="preserve"> ADDIN EN.CITE &lt;EndNote&gt;&lt;Cite&gt;&lt;Author&gt;Budych&lt;/Author&gt;&lt;Year&gt;2012&lt;/Year&gt;&lt;RecNum&gt;5268&lt;/RecNum&gt;&lt;DisplayText&gt;(Budych, Helms and Schultz, 2012)&lt;/DisplayText&gt;&lt;record&gt;&lt;rec-number&gt;5268&lt;/rec-number&gt;&lt;foreign-keys&gt;&lt;key app="EN" db-id="xpefzwa5hf9dt2ea9fax95x7xvxz90v09dtf" timestamp="1701102597"&gt;5268&lt;/key&gt;&lt;/foreign-keys&gt;&lt;ref-type name="Journal Article"&gt;17&lt;/ref-type&gt;&lt;contributors&gt;&lt;authors&gt;&lt;author&gt;Budych, Karolina&lt;/author&gt;&lt;author&gt;Helms, Thomas M.&lt;/author&gt;&lt;author&gt;Schultz, Carsten&lt;/author&gt;&lt;/authors&gt;&lt;/contributors&gt;&lt;titles&gt;&lt;title&gt;How do patients with rare diseases experience the medical encounter? Exploring role behavior and its impact on patient–physician interaction&lt;/title&gt;&lt;secondary-title&gt;Health Policy&lt;/secondary-title&gt;&lt;/titles&gt;&lt;periodical&gt;&lt;full-title&gt;Health Policy&lt;/full-title&gt;&lt;/periodical&gt;&lt;pages&gt;154-164&lt;/pages&gt;&lt;volume&gt;105&lt;/volume&gt;&lt;number&gt;2&lt;/number&gt;&lt;keywords&gt;&lt;keyword&gt;Rare diseases&lt;/keyword&gt;&lt;keyword&gt;Role behavior&lt;/keyword&gt;&lt;keyword&gt;Patient–physician interaction&lt;/keyword&gt;&lt;keyword&gt;Uncertainty management&lt;/keyword&gt;&lt;/keywords&gt;&lt;dates&gt;&lt;year&gt;2012&lt;/year&gt;&lt;pub-dates&gt;&lt;date&gt;2012/05/01/&lt;/date&gt;&lt;/pub-dates&gt;&lt;/dates&gt;&lt;isbn&gt;0168-8510&lt;/isbn&gt;&lt;urls&gt;&lt;related-urls&gt;&lt;url&gt;https://www.sciencedirect.com/science/article/pii/S0168851012000644&lt;/url&gt;&lt;/related-urls&gt;&lt;/urls&gt;&lt;electronic-resource-num&gt;https://doi.org/10.1016/j.healthpol.2012.02.018&lt;/electronic-resource-num&gt;&lt;/record&gt;&lt;/Cite&gt;&lt;/EndNote&gt;</w:instrText>
      </w:r>
      <w:r w:rsidR="000E01E8">
        <w:fldChar w:fldCharType="separate"/>
      </w:r>
      <w:r w:rsidR="000E01E8">
        <w:rPr>
          <w:noProof/>
        </w:rPr>
        <w:t>(Budych, Helms and Schultz, 2012)</w:t>
      </w:r>
      <w:r w:rsidR="000E01E8">
        <w:fldChar w:fldCharType="end"/>
      </w:r>
      <w:r w:rsidRPr="002C21B8">
        <w:t xml:space="preserve">. </w:t>
      </w:r>
      <w:r w:rsidR="008F45AA" w:rsidRPr="002C21B8">
        <w:t xml:space="preserve">However, there are relatively few studies describing how prescribing decisions are made for rare disease </w:t>
      </w:r>
      <w:r w:rsidR="00D24FA3" w:rsidRPr="002C21B8">
        <w:t>medication</w:t>
      </w:r>
      <w:r w:rsidR="008F45AA" w:rsidRPr="002C21B8">
        <w:t xml:space="preserve">s </w:t>
      </w:r>
      <w:r w:rsidR="00BE0F7E" w:rsidRPr="002C21B8">
        <w:fldChar w:fldCharType="begin"/>
      </w:r>
      <w:r w:rsidR="00BE0F7E" w:rsidRPr="002C21B8">
        <w:instrText xml:space="preserve"> ADDIN EN.CITE &lt;EndNote&gt;&lt;Cite&gt;&lt;Author&gt;Zybarth&lt;/Author&gt;&lt;Year&gt;2024&lt;/Year&gt;&lt;RecNum&gt;125516&lt;/RecNum&gt;&lt;DisplayText&gt;(Zybarth&lt;style face="italic"&gt; et al.&lt;/style&gt;, 2024)&lt;/DisplayText&gt;&lt;record&gt;&lt;rec-number&gt;125516&lt;/rec-number&gt;&lt;foreign-keys&gt;&lt;key app="EN" db-id="xpefzwa5hf9dt2ea9fax95x7xvxz90v09dtf" timestamp="1777383490"&gt;125516&lt;/key&gt;&lt;/foreign-keys&gt;&lt;ref-type name="Journal Article"&gt;17&lt;/ref-type&gt;&lt;contributors&gt;&lt;authors&gt;&lt;author&gt;Zybarth, David&lt;/author&gt;&lt;author&gt;Inhestern, Laura&lt;/author&gt;&lt;author&gt;Otto, Ramona&lt;/author&gt;&lt;author&gt;Bergelt, Corinna&lt;/author&gt;&lt;/authors&gt;&lt;/contributors&gt;&lt;titles&gt;&lt;title&gt;Uncertainties of healthcare professionals and informal caregivers in rare diseases: A systematic review&lt;/title&gt;&lt;secondary-title&gt;Heliyon&lt;/secondary-title&gt;&lt;/titles&gt;&lt;periodical&gt;&lt;full-title&gt;Heliyon&lt;/full-title&gt;&lt;/periodical&gt;&lt;pages&gt;e38677&lt;/pages&gt;&lt;volume&gt;10&lt;/volume&gt;&lt;number&gt;19&lt;/number&gt;&lt;dates&gt;&lt;year&gt;2024&lt;/year&gt;&lt;/dates&gt;&lt;isbn&gt;2405-8440&lt;/isbn&gt;&lt;urls&gt;&lt;/urls&gt;&lt;/record&gt;&lt;/Cite&gt;&lt;/EndNote&gt;</w:instrText>
      </w:r>
      <w:r w:rsidR="00BE0F7E" w:rsidRPr="002C21B8">
        <w:fldChar w:fldCharType="separate"/>
      </w:r>
      <w:r w:rsidR="00BE0F7E" w:rsidRPr="002C21B8">
        <w:rPr>
          <w:noProof/>
        </w:rPr>
        <w:t>(Zybarth</w:t>
      </w:r>
      <w:r w:rsidR="00BE0F7E" w:rsidRPr="002C21B8">
        <w:rPr>
          <w:i/>
          <w:noProof/>
        </w:rPr>
        <w:t xml:space="preserve"> et al.</w:t>
      </w:r>
      <w:r w:rsidR="00BE0F7E" w:rsidRPr="002C21B8">
        <w:rPr>
          <w:noProof/>
        </w:rPr>
        <w:t>, 2024)</w:t>
      </w:r>
      <w:r w:rsidR="00BE0F7E" w:rsidRPr="002C21B8">
        <w:fldChar w:fldCharType="end"/>
      </w:r>
      <w:r w:rsidR="00C14AC4" w:rsidRPr="002C21B8">
        <w:t xml:space="preserve">. </w:t>
      </w:r>
      <w:r w:rsidR="00B9736E" w:rsidRPr="002C21B8">
        <w:t xml:space="preserve">Most </w:t>
      </w:r>
      <w:r w:rsidR="008F45AA" w:rsidRPr="002C21B8">
        <w:t>of</w:t>
      </w:r>
      <w:r w:rsidR="00B85909" w:rsidRPr="002C21B8">
        <w:t xml:space="preserve"> the existing literature on prescribing decision-making has been based on research conducted in primary </w:t>
      </w:r>
      <w:r w:rsidR="00B9736E" w:rsidRPr="002C21B8">
        <w:t>care and is heavily focused on common acute conditions, particularly infections and short-term pain, reflecting a predominance of these scenarios in this setting</w:t>
      </w:r>
      <w:r w:rsidR="007C1C27" w:rsidRPr="002C21B8">
        <w:t xml:space="preserve"> </w:t>
      </w:r>
      <w:r w:rsidR="007C1C27" w:rsidRPr="002C21B8">
        <w:fldChar w:fldCharType="begin"/>
      </w:r>
      <w:r w:rsidR="007C1C27" w:rsidRPr="002C21B8">
        <w:instrText xml:space="preserve"> ADDIN EN.CITE &lt;EndNote&gt;&lt;Cite&gt;&lt;Author&gt;Tonkin-Crine&lt;/Author&gt;&lt;Year&gt;2011&lt;/Year&gt;&lt;RecNum&gt;125517&lt;/RecNum&gt;&lt;DisplayText&gt;(Little&lt;style face="italic"&gt; et al.&lt;/style&gt;, 2004; Tonkin-Crine, Yardley and Little, 2011)&lt;/DisplayText&gt;&lt;record&gt;&lt;rec-number&gt;125517&lt;/rec-number&gt;&lt;foreign-keys&gt;&lt;key app="EN" db-id="xpefzwa5hf9dt2ea9fax95x7xvxz90v09dtf" timestamp="1777383969"&gt;125517&lt;/key&gt;&lt;/foreign-keys&gt;&lt;ref-type name="Journal Article"&gt;17&lt;/ref-type&gt;&lt;contributors&gt;&lt;authors&gt;&lt;author&gt;Tonkin-Crine, Sarah&lt;/author&gt;&lt;author&gt;Yardley, Lucy&lt;/author&gt;&lt;author&gt;Little, Paul&lt;/author&gt;&lt;/authors&gt;&lt;/contributors&gt;&lt;titles&gt;&lt;title&gt;Antibiotic prescribing for acute respiratory tract infections in primary care: a systematic review and meta-ethnography&lt;/title&gt;&lt;secondary-title&gt;Journal of Antimicrobial Chemotherapy&lt;/secondary-title&gt;&lt;/titles&gt;&lt;periodical&gt;&lt;full-title&gt;Journal of Antimicrobial Chemotherapy&lt;/full-title&gt;&lt;/periodical&gt;&lt;pages&gt;2215-2223&lt;/pages&gt;&lt;volume&gt;66&lt;/volume&gt;&lt;number&gt;10&lt;/number&gt;&lt;dates&gt;&lt;year&gt;2011&lt;/year&gt;&lt;/dates&gt;&lt;isbn&gt;1460-2091&lt;/isbn&gt;&lt;urls&gt;&lt;/urls&gt;&lt;/record&gt;&lt;/Cite&gt;&lt;Cite&gt;&lt;Author&gt;Little&lt;/Author&gt;&lt;Year&gt;2004&lt;/Year&gt;&lt;RecNum&gt;125537&lt;/RecNum&gt;&lt;record&gt;&lt;rec-number&gt;125537&lt;/rec-number&gt;&lt;foreign-keys&gt;&lt;key app="EN" db-id="xpefzwa5hf9dt2ea9fax95x7xvxz90v09dtf" timestamp="1777544574"&gt;125537&lt;/key&gt;&lt;/foreign-keys&gt;&lt;ref-type name="Journal Article"&gt;17&lt;/ref-type&gt;&lt;contributors&gt;&lt;authors&gt;&lt;author&gt;Little, P&lt;/author&gt;&lt;author&gt;Dorward, M&lt;/author&gt;&lt;author&gt;Warner, G&lt;/author&gt;&lt;author&gt;Stephens, K&lt;/author&gt;&lt;author&gt;Senior, J&lt;/author&gt;&lt;author&gt;Moore, M&lt;/author&gt;&lt;/authors&gt;&lt;/contributors&gt;&lt;titles&gt;&lt;title&gt;Importance of patient pressure and perceived medical need for investigations, referral, and prescribing in primary care: nested observational study&lt;/title&gt;&lt;secondary-title&gt;British Medical Journal&lt;/secondary-title&gt;&lt;/titles&gt;&lt;periodical&gt;&lt;full-title&gt;British Medical Journal&lt;/full-title&gt;&lt;/periodical&gt;&lt;volume&gt;328&lt;/volume&gt;&lt;dates&gt;&lt;year&gt;2004&lt;/year&gt;&lt;/dates&gt;&lt;urls&gt;&lt;/urls&gt;&lt;/record&gt;&lt;/Cite&gt;&lt;/EndNote&gt;</w:instrText>
      </w:r>
      <w:r w:rsidR="007C1C27" w:rsidRPr="002C21B8">
        <w:fldChar w:fldCharType="separate"/>
      </w:r>
      <w:r w:rsidR="007C1C27" w:rsidRPr="002C21B8">
        <w:rPr>
          <w:noProof/>
        </w:rPr>
        <w:t>(Little</w:t>
      </w:r>
      <w:r w:rsidR="007C1C27" w:rsidRPr="002C21B8">
        <w:rPr>
          <w:i/>
          <w:noProof/>
        </w:rPr>
        <w:t xml:space="preserve"> et al.</w:t>
      </w:r>
      <w:r w:rsidR="007C1C27" w:rsidRPr="002C21B8">
        <w:rPr>
          <w:noProof/>
        </w:rPr>
        <w:t>, 2004; Tonkin-Crine, Yardley and Little, 2011)</w:t>
      </w:r>
      <w:r w:rsidR="007C1C27" w:rsidRPr="002C21B8">
        <w:fldChar w:fldCharType="end"/>
      </w:r>
      <w:r w:rsidR="00B9736E" w:rsidRPr="002C21B8">
        <w:t xml:space="preserve">. </w:t>
      </w:r>
      <w:r w:rsidR="008F45AA" w:rsidRPr="002C21B8">
        <w:t xml:space="preserve">Prescribing in this context is </w:t>
      </w:r>
      <w:r w:rsidR="00B85909" w:rsidRPr="002C21B8">
        <w:t xml:space="preserve">highly </w:t>
      </w:r>
      <w:r w:rsidR="008F45AA" w:rsidRPr="002C21B8">
        <w:t xml:space="preserve">protocol-driven, based on </w:t>
      </w:r>
      <w:r w:rsidR="007C1C27" w:rsidRPr="002C21B8">
        <w:t xml:space="preserve">a </w:t>
      </w:r>
      <w:r w:rsidR="008F45AA" w:rsidRPr="002C21B8">
        <w:t>more established evidence base</w:t>
      </w:r>
      <w:r w:rsidR="00DD54C2" w:rsidRPr="002C21B8">
        <w:t xml:space="preserve"> and often has short-term predictable outcomes</w:t>
      </w:r>
      <w:r w:rsidR="007C1C27" w:rsidRPr="002C21B8">
        <w:t xml:space="preserve">, so </w:t>
      </w:r>
      <w:r w:rsidR="00626595" w:rsidRPr="002C21B8">
        <w:t xml:space="preserve">it </w:t>
      </w:r>
      <w:r w:rsidR="007C1C27" w:rsidRPr="002C21B8">
        <w:t xml:space="preserve">is </w:t>
      </w:r>
      <w:r w:rsidR="00DD54C2" w:rsidRPr="002C21B8">
        <w:t xml:space="preserve">therefore </w:t>
      </w:r>
      <w:r w:rsidR="007C1C27" w:rsidRPr="002C21B8">
        <w:t xml:space="preserve">unlikely </w:t>
      </w:r>
      <w:r w:rsidR="007C1C27" w:rsidRPr="002C21B8">
        <w:lastRenderedPageBreak/>
        <w:t xml:space="preserve">to be directly transferable to rare diseases </w:t>
      </w:r>
      <w:r w:rsidR="00B9736E" w:rsidRPr="002C21B8">
        <w:fldChar w:fldCharType="begin"/>
      </w:r>
      <w:r w:rsidR="00B9736E" w:rsidRPr="002C21B8">
        <w:instrText xml:space="preserve"> ADDIN EN.CITE &lt;EndNote&gt;&lt;Cite&gt;&lt;Author&gt;Tonkin-Crine&lt;/Author&gt;&lt;Year&gt;2011&lt;/Year&gt;&lt;RecNum&gt;125517&lt;/RecNum&gt;&lt;DisplayText&gt;(Almutairi&lt;style face="italic"&gt; et al.&lt;/style&gt;, 2025; Tonkin-Crine, Yardley and Little, 2011)&lt;/DisplayText&gt;&lt;record&gt;&lt;rec-number&gt;125517&lt;/rec-number&gt;&lt;foreign-keys&gt;&lt;key app="EN" db-id="xpefzwa5hf9dt2ea9fax95x7xvxz90v09dtf" timestamp="1777383969"&gt;125517&lt;/key&gt;&lt;/foreign-keys&gt;&lt;ref-type name="Journal Article"&gt;17&lt;/ref-type&gt;&lt;contributors&gt;&lt;authors&gt;&lt;author&gt;Tonkin-Crine, Sarah&lt;/author&gt;&lt;author&gt;Yardley, Lucy&lt;/author&gt;&lt;author&gt;Little, Paul&lt;/author&gt;&lt;/authors&gt;&lt;/contributors&gt;&lt;titles&gt;&lt;title&gt;Antibiotic prescribing for acute respiratory tract infections in primary care: a systematic review and meta-ethnography&lt;/title&gt;&lt;secondary-title&gt;Journal of Antimicrobial Chemotherapy&lt;/secondary-title&gt;&lt;/titles&gt;&lt;periodical&gt;&lt;full-title&gt;Journal of Antimicrobial Chemotherapy&lt;/full-title&gt;&lt;/periodical&gt;&lt;pages&gt;2215-2223&lt;/pages&gt;&lt;volume&gt;66&lt;/volume&gt;&lt;number&gt;10&lt;/number&gt;&lt;dates&gt;&lt;year&gt;2011&lt;/year&gt;&lt;/dates&gt;&lt;isbn&gt;1460-2091&lt;/isbn&gt;&lt;urls&gt;&lt;/urls&gt;&lt;/record&gt;&lt;/Cite&gt;&lt;Cite&gt;&lt;Author&gt;Almutairi&lt;/Author&gt;&lt;Year&gt;2025&lt;/Year&gt;&lt;RecNum&gt;125518&lt;/RecNum&gt;&lt;record&gt;&lt;rec-number&gt;125518&lt;/rec-number&gt;&lt;foreign-keys&gt;&lt;key app="EN" db-id="xpefzwa5hf9dt2ea9fax95x7xvxz90v09dtf" timestamp="1777384123"&gt;125518&lt;/key&gt;&lt;/foreign-keys&gt;&lt;ref-type name="Journal Article"&gt;17&lt;/ref-type&gt;&lt;contributors&gt;&lt;authors&gt;&lt;author&gt;Almutairi, Abdulmalik&lt;/author&gt;&lt;author&gt;Coyer, Fiona&lt;/author&gt;&lt;author&gt;Keogh, Samantha&lt;/author&gt;&lt;author&gt;Hughes, James&lt;/author&gt;&lt;/authors&gt;&lt;/contributors&gt;&lt;titles&gt;&lt;title&gt;Factors influencing pain management in patients presenting to the emergency department: A mixed-method systematic review&lt;/title&gt;&lt;secondary-title&gt;International Journal of Nursing Studies&lt;/secondary-title&gt;&lt;/titles&gt;&lt;periodical&gt;&lt;full-title&gt;International journal of nursing studies&lt;/full-title&gt;&lt;/periodical&gt;&lt;pages&gt;105214&lt;/pages&gt;&lt;volume&gt;172&lt;/volume&gt;&lt;dates&gt;&lt;year&gt;2025&lt;/year&gt;&lt;/dates&gt;&lt;isbn&gt;0020-7489&lt;/isbn&gt;&lt;urls&gt;&lt;/urls&gt;&lt;/record&gt;&lt;/Cite&gt;&lt;/EndNote&gt;</w:instrText>
      </w:r>
      <w:r w:rsidR="00B9736E" w:rsidRPr="002C21B8">
        <w:fldChar w:fldCharType="separate"/>
      </w:r>
      <w:r w:rsidR="00B9736E" w:rsidRPr="002C21B8">
        <w:rPr>
          <w:noProof/>
        </w:rPr>
        <w:t>(Almutairi</w:t>
      </w:r>
      <w:r w:rsidR="00B9736E" w:rsidRPr="002C21B8">
        <w:rPr>
          <w:i/>
          <w:noProof/>
        </w:rPr>
        <w:t xml:space="preserve"> et al.</w:t>
      </w:r>
      <w:r w:rsidR="00B9736E" w:rsidRPr="002C21B8">
        <w:rPr>
          <w:noProof/>
        </w:rPr>
        <w:t>, 2025; Tonkin-Crine, Yardley and Little, 2011)</w:t>
      </w:r>
      <w:r w:rsidR="00B9736E" w:rsidRPr="002C21B8">
        <w:fldChar w:fldCharType="end"/>
      </w:r>
      <w:r w:rsidR="00D82866" w:rsidRPr="002C21B8">
        <w:t xml:space="preserve">. </w:t>
      </w:r>
      <w:r w:rsidR="007C1C27" w:rsidRPr="002C21B8">
        <w:t>There is a need for further research to develop a conceptual model of prescribing decision-making in rare diseases to better understand presc</w:t>
      </w:r>
      <w:r w:rsidR="00B606C2" w:rsidRPr="002C21B8">
        <w:t>rib</w:t>
      </w:r>
      <w:r w:rsidR="007C1C27" w:rsidRPr="002C21B8">
        <w:t>ing in this context.</w:t>
      </w:r>
      <w:r w:rsidR="003311CF" w:rsidRPr="002C21B8">
        <w:t xml:space="preserve"> Conducting research for a specific medication and rare disease context may facilitate the </w:t>
      </w:r>
      <w:r w:rsidR="00A26C5A" w:rsidRPr="002C21B8">
        <w:t>development of such a model.</w:t>
      </w:r>
    </w:p>
    <w:p w14:paraId="2464A18A" w14:textId="07F1134C" w:rsidR="009802B4" w:rsidRPr="002C21B8" w:rsidRDefault="00945FF8" w:rsidP="00581663">
      <w:pPr>
        <w:pStyle w:val="Heading2"/>
      </w:pPr>
      <w:bookmarkStart w:id="14" w:name="_Toc229687192"/>
      <w:r w:rsidRPr="002C21B8">
        <w:t>T</w:t>
      </w:r>
      <w:r w:rsidR="001275D1" w:rsidRPr="002C21B8">
        <w:t>olvaptan</w:t>
      </w:r>
      <w:r w:rsidRPr="002C21B8">
        <w:t xml:space="preserve"> in </w:t>
      </w:r>
      <w:r w:rsidR="003311CF" w:rsidRPr="002C21B8">
        <w:t>autosomal dominant polycystic kidney disease (A</w:t>
      </w:r>
      <w:r w:rsidRPr="002C21B8">
        <w:t>DPKD</w:t>
      </w:r>
      <w:r w:rsidR="003311CF" w:rsidRPr="002C21B8">
        <w:t>)</w:t>
      </w:r>
      <w:r w:rsidRPr="002C21B8">
        <w:t xml:space="preserve"> </w:t>
      </w:r>
      <w:r w:rsidR="00A26C5A" w:rsidRPr="002C21B8">
        <w:t>as a case of prescribing for a rare disease</w:t>
      </w:r>
      <w:bookmarkEnd w:id="14"/>
    </w:p>
    <w:p w14:paraId="0DAD73AD" w14:textId="1DEBDFCB" w:rsidR="00B30BC1" w:rsidRPr="002C21B8" w:rsidRDefault="007528AB" w:rsidP="003374F4">
      <w:r w:rsidRPr="002C21B8">
        <w:t>Specialist k</w:t>
      </w:r>
      <w:r w:rsidR="00AA6824" w:rsidRPr="002C21B8">
        <w:t xml:space="preserve">idney care in the United Kingdom (UK) </w:t>
      </w:r>
      <w:r w:rsidRPr="002C21B8">
        <w:t xml:space="preserve">is delivered through the </w:t>
      </w:r>
      <w:r w:rsidR="000B2573" w:rsidRPr="002C21B8">
        <w:t>N</w:t>
      </w:r>
      <w:r w:rsidRPr="002C21B8">
        <w:t xml:space="preserve">ational </w:t>
      </w:r>
      <w:r w:rsidR="000B2573" w:rsidRPr="002C21B8">
        <w:t>H</w:t>
      </w:r>
      <w:r w:rsidRPr="002C21B8">
        <w:t xml:space="preserve">ealth </w:t>
      </w:r>
      <w:r w:rsidR="000B2573" w:rsidRPr="002C21B8">
        <w:t>S</w:t>
      </w:r>
      <w:r w:rsidR="000E01E8">
        <w:t>ervice</w:t>
      </w:r>
      <w:r w:rsidRPr="002C21B8">
        <w:t xml:space="preserve"> (NHS) by nephrology departments in acute hospital trusts, often referred to as kidney centres or units</w:t>
      </w:r>
      <w:r w:rsidR="00091838">
        <w:t xml:space="preserve"> </w:t>
      </w:r>
      <w:r w:rsidR="00091838">
        <w:fldChar w:fldCharType="begin"/>
      </w:r>
      <w:r w:rsidR="00091838">
        <w:instrText xml:space="preserve"> ADDIN EN.CITE &lt;EndNote&gt;&lt;Cite&gt;&lt;Author&gt;UK Renal Registry&lt;/Author&gt;&lt;Year&gt;2025&lt;/Year&gt;&lt;RecNum&gt;125526&lt;/RecNum&gt;&lt;DisplayText&gt;(UK Renal Registry, 2025)&lt;/DisplayText&gt;&lt;record&gt;&lt;rec-number&gt;125526&lt;/rec-number&gt;&lt;foreign-keys&gt;&lt;key app="EN" db-id="xpefzwa5hf9dt2ea9fax95x7xvxz90v09dtf" timestamp="1777397619"&gt;125526&lt;/key&gt;&lt;/foreign-keys&gt;&lt;ref-type name="Web Page"&gt;12&lt;/ref-type&gt;&lt;contributors&gt;&lt;authors&gt;&lt;author&gt;UK Renal Registry,&lt;/author&gt;&lt;/authors&gt;&lt;/contributors&gt;&lt;titles&gt;&lt;title&gt;UK Renal Registry Summary of Annual Reprot - analyses of adult data to the end of 2023&lt;/title&gt;&lt;/titles&gt;&lt;number&gt;28/04/2026)&lt;/number&gt;&lt;dates&gt;&lt;year&gt;2025&lt;/year&gt;&lt;/dates&gt;&lt;urls&gt;&lt;related-urls&gt;&lt;url&gt;https://ukkidney.org/audit-research/annual-report&lt;/url&gt;&lt;/related-urls&gt;&lt;/urls&gt;&lt;/record&gt;&lt;/Cite&gt;&lt;/EndNote&gt;</w:instrText>
      </w:r>
      <w:r w:rsidR="00091838">
        <w:fldChar w:fldCharType="separate"/>
      </w:r>
      <w:r w:rsidR="00091838">
        <w:rPr>
          <w:noProof/>
        </w:rPr>
        <w:t>(UK Renal Registry, 2025)</w:t>
      </w:r>
      <w:r w:rsidR="00091838">
        <w:fldChar w:fldCharType="end"/>
      </w:r>
      <w:r w:rsidR="003A32C8" w:rsidRPr="002C21B8">
        <w:t xml:space="preserve">. </w:t>
      </w:r>
      <w:r w:rsidR="00F97D2F" w:rsidRPr="002C21B8">
        <w:t xml:space="preserve">There are currently </w:t>
      </w:r>
      <w:r w:rsidR="00AA6824" w:rsidRPr="002C21B8">
        <w:t xml:space="preserve">72 adult kidney centres in the UK </w:t>
      </w:r>
      <w:r w:rsidR="00C03E05" w:rsidRPr="002C21B8">
        <w:fldChar w:fldCharType="begin"/>
      </w:r>
      <w:r w:rsidR="00012A3E" w:rsidRPr="002C21B8">
        <w:instrText xml:space="preserve"> ADDIN EN.CITE &lt;EndNote&gt;&lt;Cite&gt;&lt;Author&gt;UK Kidney Association&lt;/Author&gt;&lt;Year&gt;2024&lt;/Year&gt;&lt;RecNum&gt;125407&lt;/RecNum&gt;&lt;DisplayText&gt;(UK Kidney Association, 2024)&lt;/DisplayText&gt;&lt;record&gt;&lt;rec-number&gt;125407&lt;/rec-number&gt;&lt;foreign-keys&gt;&lt;key app="EN" db-id="xpefzwa5hf9dt2ea9fax95x7xvxz90v09dtf" timestamp="1775718141"&gt;125407&lt;/key&gt;&lt;/foreign-keys&gt;&lt;ref-type name="Web Page"&gt;12&lt;/ref-type&gt;&lt;contributors&gt;&lt;authors&gt;&lt;author&gt;UK Kidney Association,&lt;/author&gt;&lt;/authors&gt;&lt;/contributors&gt;&lt;titles&gt;&lt;title&gt;UK Kidney History&lt;/title&gt;&lt;/titles&gt;&lt;number&gt;09/04/2026)&lt;/number&gt;&lt;dates&gt;&lt;year&gt;2024&lt;/year&gt;&lt;/dates&gt;&lt;urls&gt;&lt;related-urls&gt;&lt;url&gt;https://ukkidneyhistory.org/units/&lt;/url&gt;&lt;/related-urls&gt;&lt;/urls&gt;&lt;/record&gt;&lt;/Cite&gt;&lt;/EndNote&gt;</w:instrText>
      </w:r>
      <w:r w:rsidR="00C03E05" w:rsidRPr="002C21B8">
        <w:fldChar w:fldCharType="separate"/>
      </w:r>
      <w:r w:rsidR="00012A3E" w:rsidRPr="002C21B8">
        <w:rPr>
          <w:noProof/>
        </w:rPr>
        <w:t>(UK Kidney Association, 2024)</w:t>
      </w:r>
      <w:r w:rsidR="00C03E05" w:rsidRPr="002C21B8">
        <w:fldChar w:fldCharType="end"/>
      </w:r>
      <w:r w:rsidR="00C03E05" w:rsidRPr="002C21B8">
        <w:t>.</w:t>
      </w:r>
    </w:p>
    <w:p w14:paraId="22D4342D" w14:textId="5C0DA98C" w:rsidR="000F0316" w:rsidRPr="002C21B8" w:rsidRDefault="00700805" w:rsidP="000F0316">
      <w:r w:rsidRPr="002C21B8">
        <w:t xml:space="preserve">ADPKD </w:t>
      </w:r>
      <w:r w:rsidR="009802B4" w:rsidRPr="002C21B8">
        <w:t xml:space="preserve">is the most common inherited kidney disease affecting over 12 </w:t>
      </w:r>
      <w:r w:rsidR="00D82866" w:rsidRPr="002C21B8">
        <w:t>million</w:t>
      </w:r>
      <w:r w:rsidR="009802B4" w:rsidRPr="002C21B8">
        <w:t xml:space="preserve"> people worldwide and</w:t>
      </w:r>
      <w:r w:rsidR="003311CF" w:rsidRPr="002C21B8">
        <w:t xml:space="preserve"> </w:t>
      </w:r>
      <w:r w:rsidR="003B5134" w:rsidRPr="002C21B8">
        <w:t xml:space="preserve">up to </w:t>
      </w:r>
      <w:r w:rsidR="003311CF" w:rsidRPr="002C21B8">
        <w:t>70,000 in the U</w:t>
      </w:r>
      <w:r w:rsidR="003B5134" w:rsidRPr="002C21B8">
        <w:t>K</w:t>
      </w:r>
      <w:r w:rsidR="00150399" w:rsidRPr="002C21B8">
        <w:t xml:space="preserve"> </w:t>
      </w:r>
      <w:r w:rsidR="00150399" w:rsidRPr="002C21B8">
        <w:fldChar w:fldCharType="begin"/>
      </w:r>
      <w:r w:rsidR="00150399" w:rsidRPr="002C21B8">
        <w:instrText xml:space="preserve"> ADDIN EN.CITE &lt;EndNote&gt;&lt;Cite&gt;&lt;Author&gt;Grantham&lt;/Author&gt;&lt;Year&gt;2008&lt;/Year&gt;&lt;RecNum&gt;125202&lt;/RecNum&gt;&lt;DisplayText&gt;(Grantham&lt;style face="italic"&gt; et al.&lt;/style&gt;, 2008)&lt;/DisplayText&gt;&lt;record&gt;&lt;rec-number&gt;125202&lt;/rec-number&gt;&lt;foreign-keys&gt;&lt;key app="EN" db-id="xpefzwa5hf9dt2ea9fax95x7xvxz90v09dtf" timestamp="1771231143"&gt;125202&lt;/key&gt;&lt;/foreign-keys&gt;&lt;ref-type name="Journal Article"&gt;17&lt;/ref-type&gt;&lt;contributors&gt;&lt;authors&gt;&lt;author&gt;Grantham, JJ&lt;/author&gt;&lt;author&gt;Cook, LT&lt;/author&gt;&lt;author&gt;Torres, VE&lt;/author&gt;&lt;author&gt;Bost, JE&lt;/author&gt;&lt;author&gt;Chapman, AB&lt;/author&gt;&lt;author&gt;Harris, PC&lt;/author&gt;&lt;author&gt;Guay-Woodford, LM&lt;/author&gt;&lt;author&gt;Bae, KT&lt;/author&gt;&lt;/authors&gt;&lt;/contributors&gt;&lt;titles&gt;&lt;title&gt;Determinants of renal volume in autosomal-dominant polycystic kidney disease&lt;/title&gt;&lt;secondary-title&gt;Kidney International&lt;/secondary-title&gt;&lt;/titles&gt;&lt;periodical&gt;&lt;full-title&gt;Kidney international&lt;/full-title&gt;&lt;/periodical&gt;&lt;pages&gt;108-116&lt;/pages&gt;&lt;volume&gt;73&lt;/volume&gt;&lt;number&gt;1&lt;/number&gt;&lt;dates&gt;&lt;year&gt;2008&lt;/year&gt;&lt;/dates&gt;&lt;isbn&gt;0085-2538&lt;/isbn&gt;&lt;urls&gt;&lt;/urls&gt;&lt;/record&gt;&lt;/Cite&gt;&lt;/EndNote&gt;</w:instrText>
      </w:r>
      <w:r w:rsidR="00150399" w:rsidRPr="002C21B8">
        <w:fldChar w:fldCharType="separate"/>
      </w:r>
      <w:r w:rsidR="00150399" w:rsidRPr="002C21B8">
        <w:rPr>
          <w:noProof/>
        </w:rPr>
        <w:t>(Grantham</w:t>
      </w:r>
      <w:r w:rsidR="00150399" w:rsidRPr="002C21B8">
        <w:rPr>
          <w:i/>
          <w:noProof/>
        </w:rPr>
        <w:t xml:space="preserve"> et al.</w:t>
      </w:r>
      <w:r w:rsidR="00150399" w:rsidRPr="002C21B8">
        <w:rPr>
          <w:noProof/>
        </w:rPr>
        <w:t>, 2008)</w:t>
      </w:r>
      <w:r w:rsidR="00150399" w:rsidRPr="002C21B8">
        <w:fldChar w:fldCharType="end"/>
      </w:r>
      <w:r w:rsidR="003311CF" w:rsidRPr="002C21B8">
        <w:t xml:space="preserve">. It is characterised by the progressive development of kidney cysts and </w:t>
      </w:r>
      <w:r w:rsidR="00BB1EA8" w:rsidRPr="002C21B8">
        <w:t xml:space="preserve">an associated </w:t>
      </w:r>
      <w:r w:rsidR="003923CA" w:rsidRPr="002C21B8">
        <w:t xml:space="preserve">gradual </w:t>
      </w:r>
      <w:r w:rsidR="003311CF" w:rsidRPr="002C21B8">
        <w:t>decline in kidney function</w:t>
      </w:r>
      <w:r w:rsidR="00087B97" w:rsidRPr="002C21B8">
        <w:t xml:space="preserve">. This leads to kidney failure in the </w:t>
      </w:r>
      <w:r w:rsidR="00C75276" w:rsidRPr="002C21B8">
        <w:t>majority of</w:t>
      </w:r>
      <w:r w:rsidR="00DD54C2" w:rsidRPr="002C21B8">
        <w:t xml:space="preserve"> cases</w:t>
      </w:r>
      <w:r w:rsidR="00BB0DD3" w:rsidRPr="002C21B8">
        <w:t xml:space="preserve"> </w:t>
      </w:r>
      <w:r w:rsidR="00DD54C2"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DD54C2" w:rsidRPr="002C21B8">
        <w:instrText xml:space="preserve"> ADDIN EN.CITE </w:instrText>
      </w:r>
      <w:r w:rsidR="00DD54C2"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DD54C2" w:rsidRPr="002C21B8">
        <w:instrText xml:space="preserve"> ADDIN EN.CITE.DATA </w:instrText>
      </w:r>
      <w:r w:rsidR="00DD54C2" w:rsidRPr="002C21B8">
        <w:fldChar w:fldCharType="end"/>
      </w:r>
      <w:r w:rsidR="00DD54C2" w:rsidRPr="002C21B8">
        <w:fldChar w:fldCharType="separate"/>
      </w:r>
      <w:r w:rsidR="00DD54C2" w:rsidRPr="002C21B8">
        <w:rPr>
          <w:noProof/>
        </w:rPr>
        <w:t>(Chapman</w:t>
      </w:r>
      <w:r w:rsidR="00DD54C2" w:rsidRPr="002C21B8">
        <w:rPr>
          <w:i/>
          <w:noProof/>
        </w:rPr>
        <w:t xml:space="preserve"> et al.</w:t>
      </w:r>
      <w:r w:rsidR="00DD54C2" w:rsidRPr="002C21B8">
        <w:rPr>
          <w:noProof/>
        </w:rPr>
        <w:t>, 2015; Cornec-Le Gall, Alam and Perrone, 2019)</w:t>
      </w:r>
      <w:r w:rsidR="00DD54C2" w:rsidRPr="002C21B8">
        <w:fldChar w:fldCharType="end"/>
      </w:r>
      <w:r w:rsidR="00DD54C2" w:rsidRPr="002C21B8">
        <w:t>.</w:t>
      </w:r>
      <w:r w:rsidR="00150399" w:rsidRPr="002C21B8">
        <w:t xml:space="preserve"> </w:t>
      </w:r>
      <w:r w:rsidR="00DB2182" w:rsidRPr="002C21B8">
        <w:t>Outpatient c</w:t>
      </w:r>
      <w:r w:rsidR="00150399" w:rsidRPr="002C21B8">
        <w:t xml:space="preserve">are for people with ADPKD </w:t>
      </w:r>
      <w:r w:rsidR="00DB2182" w:rsidRPr="002C21B8">
        <w:t xml:space="preserve">at kidney centres </w:t>
      </w:r>
      <w:r w:rsidR="00150399" w:rsidRPr="002C21B8">
        <w:t>in the UK</w:t>
      </w:r>
      <w:r w:rsidR="009F06F8" w:rsidRPr="002C21B8">
        <w:t xml:space="preserve"> </w:t>
      </w:r>
      <w:r w:rsidR="00DB2182" w:rsidRPr="002C21B8">
        <w:t xml:space="preserve">can be </w:t>
      </w:r>
      <w:r w:rsidR="00150399" w:rsidRPr="002C21B8">
        <w:t xml:space="preserve">delivered through </w:t>
      </w:r>
      <w:r w:rsidR="000F0316" w:rsidRPr="002C21B8">
        <w:t>ADPKD, renal genetics or general nephrology clinics.</w:t>
      </w:r>
    </w:p>
    <w:p w14:paraId="37768FE4" w14:textId="3CFEFE7E" w:rsidR="0086655E" w:rsidRPr="002C21B8" w:rsidRDefault="00150399" w:rsidP="003374F4">
      <w:r w:rsidRPr="002C21B8">
        <w:t xml:space="preserve">Traditionally, </w:t>
      </w:r>
      <w:r w:rsidR="009F06F8" w:rsidRPr="002C21B8">
        <w:t xml:space="preserve">the </w:t>
      </w:r>
      <w:r w:rsidRPr="002C21B8">
        <w:t>management of ADPKD has been largely supportive</w:t>
      </w:r>
      <w:r w:rsidR="009F06F8" w:rsidRPr="002C21B8">
        <w:t xml:space="preserve"> with a focus on blood pressure control, monitoring of kidney function and treatment of complications. Tolvaptan was the first disease-modifying therapy </w:t>
      </w:r>
      <w:r w:rsidR="004B5F5D" w:rsidRPr="002C21B8">
        <w:t>available</w:t>
      </w:r>
      <w:r w:rsidR="00440A41" w:rsidRPr="002C21B8">
        <w:t xml:space="preserve"> </w:t>
      </w:r>
      <w:r w:rsidR="009802B4" w:rsidRPr="002C21B8">
        <w:t>for people with ADPKD</w:t>
      </w:r>
      <w:r w:rsidR="009F06F8" w:rsidRPr="002C21B8">
        <w:t xml:space="preserve"> </w:t>
      </w:r>
      <w:r w:rsidR="00C03E05" w:rsidRPr="002C21B8">
        <w:fldChar w:fldCharType="begin"/>
      </w:r>
      <w:r w:rsidR="00590E88" w:rsidRPr="002C21B8">
        <w:instrText xml:space="preserve"> ADDIN EN.CITE &lt;EndNote&gt;&lt;Cite&gt;&lt;Author&gt;National Institute for Health and Care Excellence&lt;/Author&gt;&lt;Year&gt;2015&lt;/Year&gt;&lt;RecNum&gt;4967&lt;/RecNum&gt;&lt;DisplayText&gt;(National Institute for Health and Care Excellence, 2015a)&lt;/DisplayText&gt;&lt;record&gt;&lt;rec-number&gt;4967&lt;/rec-number&gt;&lt;foreign-keys&gt;&lt;key app="EN" db-id="xpefzwa5hf9dt2ea9fax95x7xvxz90v09dtf" timestamp="1699647214"&gt;4967&lt;/key&gt;&lt;/foreign-keys&gt;&lt;ref-type name="Web Page"&gt;12&lt;/ref-type&gt;&lt;contributors&gt;&lt;authors&gt;&lt;author&gt;National Institute for Health and Care Excellence,&lt;/author&gt;&lt;/authors&gt;&lt;/contributors&gt;&lt;titles&gt;&lt;title&gt;Medicines optimisation: the safe and effective use of medicines to enable the best possible outcomes&lt;/title&gt;&lt;/titles&gt;&lt;number&gt;26/04/2026)&lt;/number&gt;&lt;dates&gt;&lt;year&gt;2015&lt;/year&gt;&lt;/dates&gt;&lt;urls&gt;&lt;related-urls&gt;&lt;url&gt;www.nice.org.uk/guidance/ng5&lt;/url&gt;&lt;/related-urls&gt;&lt;/urls&gt;&lt;/record&gt;&lt;/Cite&gt;&lt;/EndNote&gt;</w:instrText>
      </w:r>
      <w:r w:rsidR="00C03E05" w:rsidRPr="002C21B8">
        <w:fldChar w:fldCharType="separate"/>
      </w:r>
      <w:r w:rsidR="00590E88" w:rsidRPr="002C21B8">
        <w:rPr>
          <w:noProof/>
        </w:rPr>
        <w:t>(National Institute for Health and Care Excellence, 2015a)</w:t>
      </w:r>
      <w:r w:rsidR="00C03E05" w:rsidRPr="002C21B8">
        <w:fldChar w:fldCharType="end"/>
      </w:r>
      <w:r w:rsidR="009802B4" w:rsidRPr="002C21B8">
        <w:t xml:space="preserve">. </w:t>
      </w:r>
      <w:r w:rsidR="00385376" w:rsidRPr="002C21B8">
        <w:t xml:space="preserve">In this thesis, the term ‘tolvaptan care pathway’ refers to the clinical and organisational activities through which kidney centres deliver tolvaptan to people with ADPKD. </w:t>
      </w:r>
      <w:r w:rsidR="0036794C" w:rsidRPr="002C21B8">
        <w:t xml:space="preserve">While </w:t>
      </w:r>
      <w:r w:rsidR="009802B4" w:rsidRPr="002C21B8">
        <w:t>guidelines have been published with clear eligibility criteria</w:t>
      </w:r>
      <w:r w:rsidR="00996B14" w:rsidRPr="002C21B8">
        <w:t xml:space="preserve"> </w:t>
      </w:r>
      <w:r w:rsidR="00996B14" w:rsidRPr="002C21B8">
        <w:fldChar w:fldCharType="begin">
          <w:fldData xml:space="preserve">PEVuZE5vdGU+PENpdGU+PEF1dGhvcj5SZW5hbCBBc3NvY2lhdGlvbjwvQXV0aG9yPjxZZWFyPjIw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</w:fldData>
        </w:fldChar>
      </w:r>
      <w:r w:rsidR="00996B14" w:rsidRPr="002C21B8">
        <w:instrText xml:space="preserve"> ADDIN EN.CITE </w:instrText>
      </w:r>
      <w:r w:rsidR="00996B14" w:rsidRPr="002C21B8">
        <w:fldChar w:fldCharType="begin">
          <w:fldData xml:space="preserve">PEVuZE5vdGU+PENpdGU+PEF1dGhvcj5SZW5hbCBBc3NvY2lhdGlvbjwvQXV0aG9yPjxZZWFyPjIw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</w:fldData>
        </w:fldChar>
      </w:r>
      <w:r w:rsidR="00996B14" w:rsidRPr="002C21B8">
        <w:instrText xml:space="preserve"> ADDIN EN.CITE.DATA </w:instrText>
      </w:r>
      <w:r w:rsidR="00996B14" w:rsidRPr="002C21B8">
        <w:fldChar w:fldCharType="end"/>
      </w:r>
      <w:r w:rsidR="00996B14" w:rsidRPr="002C21B8">
        <w:fldChar w:fldCharType="separate"/>
      </w:r>
      <w:r w:rsidR="00996B14" w:rsidRPr="002C21B8">
        <w:rPr>
          <w:noProof/>
        </w:rPr>
        <w:t>(Gittus</w:t>
      </w:r>
      <w:r w:rsidR="00996B14" w:rsidRPr="002C21B8">
        <w:rPr>
          <w:i/>
          <w:noProof/>
        </w:rPr>
        <w:t xml:space="preserve"> et al.</w:t>
      </w:r>
      <w:r w:rsidR="00996B14" w:rsidRPr="002C21B8">
        <w:rPr>
          <w:noProof/>
        </w:rPr>
        <w:t>, 2025a; Renal Association, 2016)</w:t>
      </w:r>
      <w:r w:rsidR="00996B14" w:rsidRPr="002C21B8">
        <w:fldChar w:fldCharType="end"/>
      </w:r>
      <w:r w:rsidR="009802B4" w:rsidRPr="002C21B8">
        <w:t>, anecdotal</w:t>
      </w:r>
      <w:r w:rsidR="00385376" w:rsidRPr="002C21B8">
        <w:t xml:space="preserve"> reports </w:t>
      </w:r>
      <w:r w:rsidR="00B67885" w:rsidRPr="002C21B8">
        <w:t xml:space="preserve">and limited high-level analyses suggest possible variation in </w:t>
      </w:r>
      <w:r w:rsidR="009802B4" w:rsidRPr="002C21B8">
        <w:t xml:space="preserve">tolvaptan </w:t>
      </w:r>
      <w:r w:rsidR="00B67885" w:rsidRPr="002C21B8">
        <w:t xml:space="preserve">prescribing </w:t>
      </w:r>
      <w:r w:rsidR="00385376" w:rsidRPr="002C21B8">
        <w:t>between</w:t>
      </w:r>
      <w:r w:rsidR="00B67885" w:rsidRPr="002C21B8">
        <w:t xml:space="preserve"> UK </w:t>
      </w:r>
      <w:r w:rsidR="009802B4" w:rsidRPr="002C21B8">
        <w:t>kidney centres</w:t>
      </w:r>
      <w:r w:rsidR="00091838">
        <w:t xml:space="preserve"> </w:t>
      </w:r>
      <w:r w:rsidR="00091838">
        <w:fldChar w:fldCharType="begin"/>
      </w:r>
      <w:r w:rsidR="00091838">
        <w:instrText xml:space="preserve"> ADDIN EN.CITE &lt;EndNote&gt;&lt;Cite&gt;&lt;Author&gt;Chong&lt;/Author&gt;&lt;Year&gt;2022&lt;/Year&gt;&lt;RecNum&gt;125304&lt;/RecNum&gt;&lt;DisplayText&gt;(Chong,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091838">
        <w:fldChar w:fldCharType="separate"/>
      </w:r>
      <w:r w:rsidR="00091838">
        <w:rPr>
          <w:noProof/>
        </w:rPr>
        <w:t>(Chong, Harris and Ong, 2022)</w:t>
      </w:r>
      <w:r w:rsidR="00091838">
        <w:fldChar w:fldCharType="end"/>
      </w:r>
      <w:r w:rsidR="009802B4" w:rsidRPr="002C21B8">
        <w:t>.</w:t>
      </w:r>
    </w:p>
    <w:p w14:paraId="61D3682F" w14:textId="64C91220" w:rsidR="00B67885" w:rsidRPr="002C21B8" w:rsidRDefault="004809C9" w:rsidP="003374F4">
      <w:r w:rsidRPr="002C21B8">
        <w:t>As a</w:t>
      </w:r>
      <w:r w:rsidR="00BB0DD3" w:rsidRPr="002C21B8">
        <w:t xml:space="preserve"> relatively common rare disease with an approved </w:t>
      </w:r>
      <w:r w:rsidR="004423E8" w:rsidRPr="002C21B8">
        <w:t>medication</w:t>
      </w:r>
      <w:r w:rsidRPr="002C21B8">
        <w:t>,</w:t>
      </w:r>
      <w:r w:rsidR="00BB0DD3" w:rsidRPr="002C21B8">
        <w:t xml:space="preserve"> published prescribing guidelines </w:t>
      </w:r>
      <w:r w:rsidRPr="002C21B8">
        <w:t xml:space="preserve">and suspected variation in prescribing practice, ADPKD presents a useful case through which to explore </w:t>
      </w:r>
      <w:r w:rsidR="00C60069" w:rsidRPr="002C21B8">
        <w:t xml:space="preserve">prescribing </w:t>
      </w:r>
      <w:r w:rsidRPr="002C21B8">
        <w:t>decision-making in rare diseases.</w:t>
      </w:r>
      <w:r w:rsidR="00B67885" w:rsidRPr="002C21B8">
        <w:t xml:space="preserve"> Understanding </w:t>
      </w:r>
      <w:r w:rsidR="00C60069" w:rsidRPr="002C21B8">
        <w:t xml:space="preserve">the mechanisms underlying prescribing in this context could </w:t>
      </w:r>
      <w:r w:rsidR="0074031E" w:rsidRPr="002C21B8">
        <w:t xml:space="preserve">help to </w:t>
      </w:r>
      <w:r w:rsidR="00B67885" w:rsidRPr="002C21B8">
        <w:t>i</w:t>
      </w:r>
      <w:r w:rsidR="003923CA" w:rsidRPr="002C21B8">
        <w:t xml:space="preserve">mprove </w:t>
      </w:r>
      <w:r w:rsidR="00B67885" w:rsidRPr="002C21B8">
        <w:t xml:space="preserve">access to </w:t>
      </w:r>
      <w:r w:rsidR="003923CA" w:rsidRPr="002C21B8">
        <w:t xml:space="preserve">tolvaptan </w:t>
      </w:r>
      <w:r w:rsidR="00B67885" w:rsidRPr="002C21B8">
        <w:t>and outcomes for people with ADPKD</w:t>
      </w:r>
      <w:r w:rsidR="003923CA" w:rsidRPr="002C21B8">
        <w:t xml:space="preserve">. This may also be used to </w:t>
      </w:r>
      <w:r w:rsidR="0074031E" w:rsidRPr="002C21B8">
        <w:t>inform the development of</w:t>
      </w:r>
      <w:r w:rsidR="00C60069" w:rsidRPr="002C21B8">
        <w:t xml:space="preserve"> a conceptual model of prescribing</w:t>
      </w:r>
      <w:r w:rsidR="0074031E" w:rsidRPr="002C21B8">
        <w:t xml:space="preserve"> in rare diseases</w:t>
      </w:r>
      <w:r w:rsidR="00C60069" w:rsidRPr="002C21B8">
        <w:t>.</w:t>
      </w:r>
    </w:p>
    <w:p w14:paraId="76A46303" w14:textId="77777777" w:rsidR="001275D1" w:rsidRPr="002C21B8" w:rsidRDefault="001275D1" w:rsidP="00581663">
      <w:pPr>
        <w:pStyle w:val="Heading2"/>
      </w:pPr>
      <w:bookmarkStart w:id="15" w:name="_Toc229687193"/>
      <w:r w:rsidRPr="002C21B8">
        <w:lastRenderedPageBreak/>
        <w:t>Research question, aims and objectives</w:t>
      </w:r>
      <w:bookmarkEnd w:id="15"/>
    </w:p>
    <w:p w14:paraId="1B776846" w14:textId="77777777" w:rsidR="001275D1" w:rsidRPr="002C21B8" w:rsidRDefault="001275D1" w:rsidP="001275D1">
      <w:r w:rsidRPr="002C21B8">
        <w:t>The primary research question was:</w:t>
      </w:r>
    </w:p>
    <w:p w14:paraId="4EE7F469" w14:textId="2ADBEAE9" w:rsidR="001275D1" w:rsidRPr="002C21B8" w:rsidRDefault="001275D1" w:rsidP="001275D1">
      <w:pPr>
        <w:ind w:left="426"/>
      </w:pPr>
      <w:r w:rsidRPr="002C21B8">
        <w:t>“Is there variation in the prescribing of tolvaptan for adults with ADPKD across UK kidney centres</w:t>
      </w:r>
      <w:r w:rsidR="00D23BAB" w:rsidRPr="002C21B8">
        <w:t xml:space="preserve"> </w:t>
      </w:r>
      <w:r w:rsidRPr="002C21B8">
        <w:t>and what factors explain any observed variation?”</w:t>
      </w:r>
    </w:p>
    <w:p w14:paraId="3333ABDB" w14:textId="28E4F834" w:rsidR="008F5C53" w:rsidRPr="002C21B8" w:rsidRDefault="001275D1" w:rsidP="008F5C53">
      <w:r w:rsidRPr="002C21B8">
        <w:t>The aim</w:t>
      </w:r>
      <w:r w:rsidR="00F34D56" w:rsidRPr="002C21B8">
        <w:t>s</w:t>
      </w:r>
      <w:r w:rsidRPr="002C21B8">
        <w:t xml:space="preserve"> of this thesis w</w:t>
      </w:r>
      <w:r w:rsidR="00F34D56" w:rsidRPr="002C21B8">
        <w:t>ere</w:t>
      </w:r>
      <w:r w:rsidRPr="002C21B8">
        <w:t xml:space="preserve"> to examine variation in tolvaptan prescribing across UK kidney centres and to develop an explanatory account of the factors shaping this variation.</w:t>
      </w:r>
    </w:p>
    <w:p w14:paraId="71517196" w14:textId="4ED2FB15" w:rsidR="001275D1" w:rsidRPr="002C21B8" w:rsidRDefault="001275D1" w:rsidP="001275D1">
      <w:r w:rsidRPr="002C21B8">
        <w:t>The f</w:t>
      </w:r>
      <w:r w:rsidR="00A366A3" w:rsidRPr="002C21B8">
        <w:t>ive</w:t>
      </w:r>
      <w:r w:rsidRPr="002C21B8">
        <w:t xml:space="preserve"> objectives were:</w:t>
      </w:r>
    </w:p>
    <w:p w14:paraId="5C7F8BF7" w14:textId="42B8F55F" w:rsidR="001275D1" w:rsidRPr="002C21B8" w:rsidRDefault="001275D1" w:rsidP="00A97F07">
      <w:pPr>
        <w:pStyle w:val="ListParagraph"/>
        <w:numPr>
          <w:ilvl w:val="0"/>
          <w:numId w:val="57"/>
        </w:numPr>
        <w:spacing w:after="120"/>
        <w:ind w:left="709" w:hanging="425"/>
        <w:contextualSpacing w:val="0"/>
      </w:pPr>
      <w:r w:rsidRPr="002C21B8">
        <w:t xml:space="preserve">To develop a conceptual model of prescribing </w:t>
      </w:r>
      <w:r w:rsidR="007748AF" w:rsidRPr="002C21B8">
        <w:t>decision-making in</w:t>
      </w:r>
      <w:r w:rsidRPr="002C21B8">
        <w:t xml:space="preserve"> chronic </w:t>
      </w:r>
      <w:r w:rsidR="00717D3C" w:rsidRPr="002C21B8">
        <w:t>condition</w:t>
      </w:r>
      <w:r w:rsidRPr="002C21B8">
        <w:t>s</w:t>
      </w:r>
    </w:p>
    <w:p w14:paraId="242961F7" w14:textId="6D5793BB" w:rsidR="001275D1" w:rsidRPr="002C21B8" w:rsidRDefault="001275D1" w:rsidP="00A97F07">
      <w:pPr>
        <w:pStyle w:val="ListParagraph"/>
        <w:numPr>
          <w:ilvl w:val="0"/>
          <w:numId w:val="57"/>
        </w:numPr>
        <w:spacing w:after="120"/>
        <w:ind w:left="714" w:hanging="425"/>
        <w:contextualSpacing w:val="0"/>
      </w:pPr>
      <w:r w:rsidRPr="002C21B8">
        <w:rPr>
          <w:rFonts w:eastAsia="Arial"/>
        </w:rPr>
        <w:t xml:space="preserve">To quantify current variation in tolvaptan prescribing practices between UK kidney centres when compared to guidance from </w:t>
      </w:r>
      <w:r w:rsidR="006D7CD1" w:rsidRPr="002C21B8">
        <w:rPr>
          <w:rFonts w:eastAsia="Arial"/>
        </w:rPr>
        <w:t xml:space="preserve">the </w:t>
      </w:r>
      <w:r w:rsidRPr="002C21B8">
        <w:rPr>
          <w:rFonts w:eastAsia="Arial"/>
        </w:rPr>
        <w:t>National Institute for Health and Care Excellence (NICE) and the Renal Association (RA)</w:t>
      </w:r>
    </w:p>
    <w:p w14:paraId="62A01566" w14:textId="512F9403" w:rsidR="001275D1" w:rsidRPr="002C21B8" w:rsidRDefault="001275D1" w:rsidP="00A97F07">
      <w:pPr>
        <w:pStyle w:val="ListParagraph"/>
        <w:numPr>
          <w:ilvl w:val="0"/>
          <w:numId w:val="57"/>
        </w:numPr>
        <w:spacing w:after="120"/>
        <w:ind w:left="714" w:hanging="425"/>
        <w:contextualSpacing w:val="0"/>
      </w:pPr>
      <w:r w:rsidRPr="002C21B8">
        <w:t>To identify variation between kidney centres in the implementation of tolvaptan care pathways</w:t>
      </w:r>
    </w:p>
    <w:p w14:paraId="3261CDA3" w14:textId="49E63171" w:rsidR="001275D1" w:rsidRPr="002C21B8" w:rsidRDefault="001275D1" w:rsidP="00A97F07">
      <w:pPr>
        <w:pStyle w:val="ListParagraph"/>
        <w:numPr>
          <w:ilvl w:val="0"/>
          <w:numId w:val="57"/>
        </w:numPr>
        <w:spacing w:after="120"/>
        <w:ind w:left="714" w:hanging="425"/>
        <w:contextualSpacing w:val="0"/>
      </w:pPr>
      <w:r w:rsidRPr="002C21B8">
        <w:rPr>
          <w:rFonts w:eastAsia="Arial"/>
        </w:rPr>
        <w:t>To identify the factors influencing healthcare professionals’ decisions to initiate tolvaptan at kidney centres</w:t>
      </w:r>
    </w:p>
    <w:p w14:paraId="6D1AA90C" w14:textId="6AE70EC9" w:rsidR="001275D1" w:rsidRPr="002C21B8" w:rsidRDefault="001275D1" w:rsidP="00A97F07">
      <w:pPr>
        <w:pStyle w:val="ListParagraph"/>
        <w:numPr>
          <w:ilvl w:val="0"/>
          <w:numId w:val="57"/>
        </w:numPr>
        <w:spacing w:after="120"/>
        <w:ind w:left="714" w:hanging="425"/>
        <w:contextualSpacing w:val="0"/>
      </w:pPr>
      <w:r w:rsidRPr="002C21B8">
        <w:rPr>
          <w:rFonts w:eastAsia="Arial"/>
        </w:rPr>
        <w:t xml:space="preserve">To develop a conceptual model of prescribing decision-making </w:t>
      </w:r>
      <w:r w:rsidR="007748AF" w:rsidRPr="002C21B8">
        <w:rPr>
          <w:rFonts w:eastAsia="Arial"/>
        </w:rPr>
        <w:t xml:space="preserve">in </w:t>
      </w:r>
      <w:r w:rsidRPr="002C21B8">
        <w:rPr>
          <w:rFonts w:eastAsia="Arial"/>
        </w:rPr>
        <w:t>rare disease</w:t>
      </w:r>
      <w:r w:rsidR="00AA2CD9" w:rsidRPr="002C21B8">
        <w:rPr>
          <w:rFonts w:eastAsia="Arial"/>
        </w:rPr>
        <w:t>s</w:t>
      </w:r>
    </w:p>
    <w:p w14:paraId="756124E6" w14:textId="7E9EE2BC" w:rsidR="00A26C5A" w:rsidRPr="002C21B8" w:rsidRDefault="005422A1" w:rsidP="00581663">
      <w:pPr>
        <w:pStyle w:val="Heading2"/>
      </w:pPr>
      <w:bookmarkStart w:id="16" w:name="_Researcher_voice,_positionality"/>
      <w:bookmarkStart w:id="17" w:name="_Toc229687194"/>
      <w:bookmarkEnd w:id="16"/>
      <w:r w:rsidRPr="002C21B8">
        <w:t>Researcher voice, positionality and reflexivity</w:t>
      </w:r>
      <w:bookmarkEnd w:id="17"/>
    </w:p>
    <w:p w14:paraId="5B495B4B" w14:textId="5AACAD2F" w:rsidR="000526C1" w:rsidRPr="002C21B8" w:rsidRDefault="009F3D96" w:rsidP="009F3D96">
      <w:r w:rsidRPr="002C21B8">
        <w:t xml:space="preserve">Positionality and reflexivity are closely related but distinct concepts. Positionality refers to the researcher’s interpretative lens shaped by their prior experience, theoretical commitments and sociocultural context. Reflexivity is the process of critically examining how this lens influences all stages of the research process and its </w:t>
      </w:r>
      <w:r w:rsidR="0097555E" w:rsidRPr="002C21B8">
        <w:t>findings</w:t>
      </w:r>
      <w:r w:rsidRPr="002C21B8">
        <w:t xml:space="preserve"> </w:t>
      </w:r>
      <w:r w:rsidRPr="002C21B8">
        <w:fldChar w:fldCharType="begin"/>
      </w:r>
      <w:r w:rsidR="00A46115" w:rsidRPr="002C21B8">
        <w:instrText xml:space="preserve"> ADDIN EN.CITE &lt;EndNote&gt;&lt;Cite&gt;&lt;Author&gt;Alvesson&lt;/Author&gt;&lt;Year&gt;2017&lt;/Year&gt;&lt;RecNum&gt;125438&lt;/RecNum&gt;&lt;DisplayText&gt;(Alvesson and Sköldberg, 2017)&lt;/DisplayText&gt;&lt;record&gt;&lt;rec-number&gt;125438&lt;/rec-number&gt;&lt;foreign-keys&gt;&lt;key app="EN" db-id="xpefzwa5hf9dt2ea9fax95x7xvxz90v09dtf" timestamp="1776065410"&gt;125438&lt;/key&gt;&lt;/foreign-keys&gt;&lt;ref-type name="Book"&gt;6&lt;/ref-type&gt;&lt;contributors&gt;&lt;authors&gt;&lt;author&gt;Alvesson, Mats&lt;/author&gt;&lt;author&gt;Sköldberg, Kaj&lt;/author&gt;&lt;/authors&gt;&lt;/contributors&gt;&lt;titles&gt;&lt;title&gt;Reflexive methodology: New vistas for qualitative research&lt;/title&gt;&lt;/titles&gt;&lt;section&gt;1-216&lt;/section&gt;&lt;dates&gt;&lt;year&gt;2017&lt;/year&gt;&lt;/dates&gt;&lt;pub-location&gt;London, UK&lt;/pub-location&gt;&lt;publisher&gt;SAGE Publications Ltd&lt;/publisher&gt;&lt;urls&gt;&lt;/urls&gt;&lt;/record&gt;&lt;/Cite&gt;&lt;/EndNote&gt;</w:instrText>
      </w:r>
      <w:r w:rsidRPr="002C21B8">
        <w:fldChar w:fldCharType="separate"/>
      </w:r>
      <w:r w:rsidRPr="002C21B8">
        <w:rPr>
          <w:noProof/>
        </w:rPr>
        <w:t>(Alvesson and Sköldberg, 2017)</w:t>
      </w:r>
      <w:r w:rsidRPr="002C21B8">
        <w:fldChar w:fldCharType="end"/>
      </w:r>
      <w:r w:rsidRPr="002C21B8">
        <w:t>. Although traditionally associated with qualitative research</w:t>
      </w:r>
      <w:r w:rsidR="006374DF" w:rsidRPr="002C21B8">
        <w:t xml:space="preserve"> in applied health research</w:t>
      </w:r>
      <w:r w:rsidRPr="002C21B8">
        <w:t>, these concepts are increasing</w:t>
      </w:r>
      <w:r w:rsidR="00AB4369" w:rsidRPr="002C21B8">
        <w:t>ly</w:t>
      </w:r>
      <w:r w:rsidRPr="002C21B8">
        <w:t xml:space="preserve"> recognised as </w:t>
      </w:r>
      <w:r w:rsidR="000526C1" w:rsidRPr="002C21B8">
        <w:t>important for</w:t>
      </w:r>
      <w:r w:rsidRPr="002C21B8">
        <w:t xml:space="preserve"> quantitative and</w:t>
      </w:r>
      <w:r w:rsidR="0011357C" w:rsidRPr="002C21B8">
        <w:t xml:space="preserve"> mixed methods approaches</w:t>
      </w:r>
      <w:r w:rsidR="00A4177E" w:rsidRPr="002C21B8">
        <w:t xml:space="preserve">, and </w:t>
      </w:r>
      <w:r w:rsidR="0011357C" w:rsidRPr="002C21B8">
        <w:t xml:space="preserve">were </w:t>
      </w:r>
      <w:r w:rsidR="00AB4369" w:rsidRPr="002C21B8">
        <w:t xml:space="preserve">considered during </w:t>
      </w:r>
      <w:r w:rsidR="0011357C" w:rsidRPr="002C21B8">
        <w:t>all phases</w:t>
      </w:r>
      <w:r w:rsidR="00AB4369" w:rsidRPr="002C21B8">
        <w:t xml:space="preserve"> </w:t>
      </w:r>
      <w:r w:rsidR="00A4177E" w:rsidRPr="002C21B8">
        <w:t>of</w:t>
      </w:r>
      <w:r w:rsidR="00AB4369" w:rsidRPr="002C21B8">
        <w:t xml:space="preserve"> this programme of research</w:t>
      </w:r>
      <w:r w:rsidRPr="002C21B8">
        <w:t xml:space="preserve"> </w:t>
      </w:r>
      <w:r w:rsidRPr="002C21B8">
        <w:fldChar w:fldCharType="begin"/>
      </w:r>
      <w:r w:rsidR="002F6167" w:rsidRPr="002C21B8">
        <w:instrText xml:space="preserve"> ADDIN EN.CITE &lt;EndNote&gt;&lt;Cite&gt;&lt;Author&gt;Jamieson&lt;/Author&gt;&lt;Year&gt;2023&lt;/Year&gt;&lt;RecNum&gt;125396&lt;/RecNum&gt;&lt;DisplayText&gt;(Jamieson, Govaart and Pownall, 2023)&lt;/DisplayText&gt;&lt;record&gt;&lt;rec-number&gt;125396&lt;/rec-number&gt;&lt;foreign-keys&gt;&lt;key app="EN" db-id="xpefzwa5hf9dt2ea9fax95x7xvxz90v09dtf" timestamp="1775641032"&gt;125396&lt;/key&gt;&lt;/foreign-keys&gt;&lt;ref-type name="Journal Article"&gt;17&lt;/ref-type&gt;&lt;contributors&gt;&lt;authors&gt;&lt;author&gt;Jamieson, Michelle K&lt;/author&gt;&lt;author&gt;Govaart, Gisela H&lt;/author&gt;&lt;author&gt;Pownall, Madeleine&lt;/author&gt;&lt;/authors&gt;&lt;/contributors&gt;&lt;titles&gt;&lt;title&gt;Reflexivity in quantitative research: A rationale and beginner&amp;apos;s guide&lt;/title&gt;&lt;secondary-title&gt;Social and Personality Psychology Compass&lt;/secondary-title&gt;&lt;/titles&gt;&lt;periodical&gt;&lt;full-title&gt;Social and personality psychology compass&lt;/full-title&gt;&lt;/periodical&gt;&lt;pages&gt;e12735&lt;/pages&gt;&lt;volume&gt;17&lt;/volume&gt;&lt;number&gt;4&lt;/number&gt;&lt;dates&gt;&lt;year&gt;2023&lt;/year&gt;&lt;/dates&gt;&lt;isbn&gt;1751-9004&lt;/isbn&gt;&lt;urls&gt;&lt;/urls&gt;&lt;/record&gt;&lt;/Cite&gt;&lt;/EndNote&gt;</w:instrText>
      </w:r>
      <w:r w:rsidRPr="002C21B8">
        <w:fldChar w:fldCharType="separate"/>
      </w:r>
      <w:r w:rsidRPr="002C21B8">
        <w:rPr>
          <w:noProof/>
        </w:rPr>
        <w:t>(Jamieson, Govaart and Pownall, 2023)</w:t>
      </w:r>
      <w:r w:rsidRPr="002C21B8">
        <w:fldChar w:fldCharType="end"/>
      </w:r>
      <w:r w:rsidRPr="002C21B8">
        <w:t>.</w:t>
      </w:r>
      <w:r w:rsidR="006374DF" w:rsidRPr="002C21B8">
        <w:t xml:space="preserve"> </w:t>
      </w:r>
      <w:r w:rsidR="000526C1" w:rsidRPr="002C21B8">
        <w:t xml:space="preserve">This section </w:t>
      </w:r>
      <w:r w:rsidR="0040297D" w:rsidRPr="002C21B8">
        <w:t xml:space="preserve">outlines my </w:t>
      </w:r>
      <w:r w:rsidR="000526C1" w:rsidRPr="002C21B8">
        <w:t xml:space="preserve">positionality in </w:t>
      </w:r>
      <w:r w:rsidR="0040297D" w:rsidRPr="002C21B8">
        <w:t xml:space="preserve">relation to </w:t>
      </w:r>
      <w:r w:rsidR="000526C1" w:rsidRPr="002C21B8">
        <w:t xml:space="preserve">the research. Reflexive considerations are presented within the </w:t>
      </w:r>
      <w:r w:rsidR="00AD02B2" w:rsidRPr="002C21B8">
        <w:t>methodology</w:t>
      </w:r>
      <w:r w:rsidR="000526C1" w:rsidRPr="002C21B8">
        <w:t xml:space="preserve"> chapter (</w:t>
      </w:r>
      <w:hyperlink w:anchor="_Reflexivity" w:history="1">
        <w:r w:rsidR="006315FD" w:rsidRPr="002C21B8">
          <w:rPr>
            <w:rStyle w:val="Hyperlink"/>
          </w:rPr>
          <w:t xml:space="preserve">Section </w:t>
        </w:r>
        <w:r w:rsidR="00E646A9" w:rsidRPr="002C21B8">
          <w:rPr>
            <w:rStyle w:val="Hyperlink"/>
          </w:rPr>
          <w:t>3.6</w:t>
        </w:r>
      </w:hyperlink>
      <w:r w:rsidR="000526C1" w:rsidRPr="002C21B8">
        <w:t xml:space="preserve">), where the anticipated influence of my background is </w:t>
      </w:r>
      <w:r w:rsidR="00B328EE" w:rsidRPr="002C21B8">
        <w:t xml:space="preserve">acknowledged </w:t>
      </w:r>
      <w:r w:rsidR="000526C1" w:rsidRPr="002C21B8">
        <w:t>and accounted for in the</w:t>
      </w:r>
      <w:r w:rsidR="00E47131" w:rsidRPr="002C21B8">
        <w:t xml:space="preserve"> design and</w:t>
      </w:r>
      <w:r w:rsidR="000526C1" w:rsidRPr="002C21B8">
        <w:t xml:space="preserve"> </w:t>
      </w:r>
      <w:r w:rsidR="00AD02B2" w:rsidRPr="002C21B8">
        <w:t>conduct of the research</w:t>
      </w:r>
      <w:r w:rsidR="00C00C47">
        <w:t xml:space="preserve">. This is then </w:t>
      </w:r>
      <w:r w:rsidR="000526C1" w:rsidRPr="002C21B8">
        <w:t>revisited in the discussion chapter (</w:t>
      </w:r>
      <w:hyperlink w:anchor="_Reflexivity" w:history="1">
        <w:r w:rsidR="00E646A9" w:rsidRPr="002C21B8">
          <w:rPr>
            <w:rStyle w:val="Hyperlink"/>
          </w:rPr>
          <w:t>Section 9.</w:t>
        </w:r>
        <w:r w:rsidR="000B2573" w:rsidRPr="002C21B8">
          <w:rPr>
            <w:rStyle w:val="Hyperlink"/>
          </w:rPr>
          <w:t>8</w:t>
        </w:r>
      </w:hyperlink>
      <w:r w:rsidR="000526C1" w:rsidRPr="002C21B8">
        <w:t xml:space="preserve">) </w:t>
      </w:r>
      <w:r w:rsidR="00C00C47">
        <w:t>to consider</w:t>
      </w:r>
      <w:r w:rsidR="00AD02B2" w:rsidRPr="002C21B8">
        <w:t xml:space="preserve"> how </w:t>
      </w:r>
      <w:r w:rsidR="0040297D" w:rsidRPr="002C21B8">
        <w:t>it</w:t>
      </w:r>
      <w:r w:rsidR="00AD02B2" w:rsidRPr="002C21B8">
        <w:t xml:space="preserve"> influenced the research process and findings.</w:t>
      </w:r>
      <w:r w:rsidR="0040297D" w:rsidRPr="002C21B8">
        <w:t xml:space="preserve"> </w:t>
      </w:r>
      <w:r w:rsidR="0040297D" w:rsidRPr="002C21B8">
        <w:lastRenderedPageBreak/>
        <w:t>First-person language is used deliberately in this thesis where it is appropriate to describe my positionality and research actions.</w:t>
      </w:r>
    </w:p>
    <w:p w14:paraId="4C8D7610" w14:textId="5C6CBE1E" w:rsidR="00A4177E" w:rsidRPr="002C21B8" w:rsidRDefault="00A4177E" w:rsidP="00AD2A91">
      <w:r w:rsidRPr="002C21B8">
        <w:t xml:space="preserve">I have been a </w:t>
      </w:r>
      <w:r w:rsidR="00AD2A91" w:rsidRPr="002C21B8">
        <w:t>doctor</w:t>
      </w:r>
      <w:r w:rsidR="000B2573" w:rsidRPr="002C21B8">
        <w:t xml:space="preserve"> </w:t>
      </w:r>
      <w:r w:rsidR="00AD2A91" w:rsidRPr="002C21B8">
        <w:t xml:space="preserve">in </w:t>
      </w:r>
      <w:r w:rsidRPr="002C21B8">
        <w:t>train</w:t>
      </w:r>
      <w:r w:rsidR="00AD2A91" w:rsidRPr="002C21B8">
        <w:t xml:space="preserve">ing for the last eleven years, with the last six years being in a nephrology training post at the </w:t>
      </w:r>
      <w:r w:rsidRPr="002C21B8">
        <w:t>Sheffield Teaching Hospitals Trust</w:t>
      </w:r>
      <w:r w:rsidR="00AD2A91" w:rsidRPr="002C21B8">
        <w:t xml:space="preserve">. This </w:t>
      </w:r>
      <w:r w:rsidRPr="002C21B8">
        <w:t xml:space="preserve">has regularly put me into </w:t>
      </w:r>
      <w:r w:rsidR="00674252" w:rsidRPr="002C21B8">
        <w:t xml:space="preserve">regular </w:t>
      </w:r>
      <w:r w:rsidRPr="002C21B8">
        <w:t xml:space="preserve">contact with people with ADPKD. Through this clinical work, I became interested in </w:t>
      </w:r>
      <w:r w:rsidR="005D4A52" w:rsidRPr="002C21B8">
        <w:t>how</w:t>
      </w:r>
      <w:r w:rsidRPr="002C21B8">
        <w:t xml:space="preserve"> tolvaptan </w:t>
      </w:r>
      <w:r w:rsidR="005D4A52" w:rsidRPr="002C21B8">
        <w:t xml:space="preserve">is </w:t>
      </w:r>
      <w:r w:rsidRPr="002C21B8">
        <w:t>prescrib</w:t>
      </w:r>
      <w:r w:rsidR="005D4A52" w:rsidRPr="002C21B8">
        <w:t>ed</w:t>
      </w:r>
      <w:r w:rsidR="000B2573" w:rsidRPr="002C21B8">
        <w:t>,</w:t>
      </w:r>
      <w:r w:rsidR="005D4A52" w:rsidRPr="002C21B8">
        <w:t xml:space="preserve"> </w:t>
      </w:r>
      <w:r w:rsidRPr="002C21B8">
        <w:t>as I ha</w:t>
      </w:r>
      <w:r w:rsidR="00B26649" w:rsidRPr="002C21B8">
        <w:t>ve</w:t>
      </w:r>
      <w:r w:rsidRPr="002C21B8">
        <w:t xml:space="preserve"> </w:t>
      </w:r>
      <w:r w:rsidR="000B2573" w:rsidRPr="002C21B8">
        <w:t>observed</w:t>
      </w:r>
      <w:r w:rsidRPr="002C21B8">
        <w:t xml:space="preserve"> </w:t>
      </w:r>
      <w:r w:rsidR="00B26649" w:rsidRPr="002C21B8">
        <w:t>it</w:t>
      </w:r>
      <w:r w:rsidRPr="002C21B8">
        <w:t xml:space="preserve"> being used differently </w:t>
      </w:r>
      <w:r w:rsidR="00B72C37" w:rsidRPr="002C21B8">
        <w:t>by</w:t>
      </w:r>
      <w:r w:rsidRPr="002C21B8">
        <w:t xml:space="preserve"> clinicians and became aware of variation across kidney centres. </w:t>
      </w:r>
      <w:r w:rsidR="001E10EC" w:rsidRPr="002C21B8">
        <w:t>My</w:t>
      </w:r>
      <w:r w:rsidRPr="002C21B8">
        <w:t xml:space="preserve"> clinical experience </w:t>
      </w:r>
      <w:r w:rsidR="001E10EC" w:rsidRPr="002C21B8">
        <w:t xml:space="preserve">of managing people with ADPKD </w:t>
      </w:r>
      <w:r w:rsidRPr="002C21B8">
        <w:t>prompted wider engagement with ADPKD c</w:t>
      </w:r>
      <w:r w:rsidR="001E10EC" w:rsidRPr="002C21B8">
        <w:t>ommunity</w:t>
      </w:r>
      <w:r w:rsidR="0037527C" w:rsidRPr="002C21B8">
        <w:t>,</w:t>
      </w:r>
      <w:r w:rsidRPr="002C21B8">
        <w:t xml:space="preserve"> which has influenced my understanding of variation in clinical practice and shaped my perspective on prescribing in ADPKD.</w:t>
      </w:r>
    </w:p>
    <w:p w14:paraId="595B69EA" w14:textId="50584BA1" w:rsidR="005D4A52" w:rsidRPr="002C21B8" w:rsidRDefault="00B80E87" w:rsidP="009F3D96">
      <w:r w:rsidRPr="002C21B8">
        <w:t xml:space="preserve">I have </w:t>
      </w:r>
      <w:r w:rsidR="00F06945" w:rsidRPr="002C21B8">
        <w:t>been</w:t>
      </w:r>
      <w:r w:rsidR="008E0C47" w:rsidRPr="002C21B8">
        <w:t xml:space="preserve"> a trainee representative on th</w:t>
      </w:r>
      <w:r w:rsidR="00A4177E" w:rsidRPr="002C21B8">
        <w:t>e UK Kidney Association clinical guidelines committee</w:t>
      </w:r>
      <w:r w:rsidR="008E0C47" w:rsidRPr="002C21B8">
        <w:t xml:space="preserve"> for the last two years</w:t>
      </w:r>
      <w:r w:rsidRPr="002C21B8">
        <w:t xml:space="preserve">. This is a multidisciplinary group of clinicians and expert patients that oversees the development of guidelines for the UK nephrology community. Through this role, </w:t>
      </w:r>
      <w:r w:rsidR="00A4177E" w:rsidRPr="002C21B8">
        <w:t xml:space="preserve">I </w:t>
      </w:r>
      <w:r w:rsidR="00D74DA1" w:rsidRPr="002C21B8">
        <w:t xml:space="preserve">have </w:t>
      </w:r>
      <w:r w:rsidR="008E0C47" w:rsidRPr="002C21B8">
        <w:t>developed an understanding of how guidelines are developed</w:t>
      </w:r>
      <w:r w:rsidR="00657876" w:rsidRPr="002C21B8">
        <w:t>,</w:t>
      </w:r>
      <w:r w:rsidR="008E0C47" w:rsidRPr="002C21B8">
        <w:t xml:space="preserve"> and </w:t>
      </w:r>
      <w:r w:rsidR="00A4177E" w:rsidRPr="002C21B8">
        <w:t xml:space="preserve">co-authored </w:t>
      </w:r>
      <w:r w:rsidR="00D74DA1" w:rsidRPr="002C21B8">
        <w:t xml:space="preserve">an </w:t>
      </w:r>
      <w:r w:rsidR="00A4177E" w:rsidRPr="002C21B8">
        <w:t>updated commentary on</w:t>
      </w:r>
      <w:r w:rsidR="008E0C47" w:rsidRPr="002C21B8">
        <w:t xml:space="preserve"> the use of</w:t>
      </w:r>
      <w:r w:rsidR="00A4177E" w:rsidRPr="002C21B8">
        <w:t xml:space="preserve"> tolvaptan in the management of ADPKD </w:t>
      </w:r>
      <w:r w:rsidR="003717AD"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EN.CITE.DATA </w:instrText>
      </w:r>
      <w:r w:rsidR="00763983" w:rsidRPr="002C21B8">
        <w:fldChar w:fldCharType="end"/>
      </w:r>
      <w:r w:rsidR="003717AD" w:rsidRPr="002C21B8">
        <w:fldChar w:fldCharType="separate"/>
      </w:r>
      <w:r w:rsidR="003717AD" w:rsidRPr="002C21B8">
        <w:rPr>
          <w:noProof/>
        </w:rPr>
        <w:t>(Gittus</w:t>
      </w:r>
      <w:r w:rsidR="003717AD" w:rsidRPr="002C21B8">
        <w:rPr>
          <w:i/>
          <w:noProof/>
        </w:rPr>
        <w:t xml:space="preserve"> et al.</w:t>
      </w:r>
      <w:r w:rsidR="003717AD" w:rsidRPr="002C21B8">
        <w:rPr>
          <w:noProof/>
        </w:rPr>
        <w:t>, 2025a)</w:t>
      </w:r>
      <w:r w:rsidR="003717AD" w:rsidRPr="002C21B8">
        <w:fldChar w:fldCharType="end"/>
      </w:r>
      <w:r w:rsidR="00A4177E" w:rsidRPr="002C21B8">
        <w:t xml:space="preserve">. I have </w:t>
      </w:r>
      <w:r w:rsidR="00B364CF" w:rsidRPr="002C21B8">
        <w:t xml:space="preserve">also </w:t>
      </w:r>
      <w:r w:rsidR="00A4177E" w:rsidRPr="002C21B8">
        <w:t>been a member of the UK ADPKD Clinical Study Group for the last 4 years</w:t>
      </w:r>
      <w:r w:rsidR="00D6657C" w:rsidRPr="002C21B8">
        <w:t xml:space="preserve">. </w:t>
      </w:r>
      <w:r w:rsidR="00B364CF" w:rsidRPr="002C21B8">
        <w:t xml:space="preserve">This is a research group of nephrology researchers and </w:t>
      </w:r>
      <w:r w:rsidR="00A7196C" w:rsidRPr="002C21B8">
        <w:t xml:space="preserve">expert </w:t>
      </w:r>
      <w:r w:rsidR="00B364CF" w:rsidRPr="002C21B8">
        <w:t>patient</w:t>
      </w:r>
      <w:r w:rsidR="00A7196C" w:rsidRPr="002C21B8">
        <w:t xml:space="preserve">s </w:t>
      </w:r>
      <w:r w:rsidR="00B364CF" w:rsidRPr="002C21B8">
        <w:t>that aims to</w:t>
      </w:r>
      <w:r w:rsidR="001E10EC" w:rsidRPr="002C21B8">
        <w:t xml:space="preserve"> advance</w:t>
      </w:r>
      <w:r w:rsidR="00B364CF" w:rsidRPr="002C21B8">
        <w:t xml:space="preserve"> </w:t>
      </w:r>
      <w:r w:rsidR="001E10EC" w:rsidRPr="002C21B8">
        <w:t xml:space="preserve">ADPKD </w:t>
      </w:r>
      <w:r w:rsidR="00B364CF" w:rsidRPr="002C21B8">
        <w:t>research in the UK</w:t>
      </w:r>
      <w:r w:rsidR="001E10EC" w:rsidRPr="002C21B8">
        <w:t xml:space="preserve"> through collaboration</w:t>
      </w:r>
      <w:r w:rsidR="00B364CF" w:rsidRPr="002C21B8">
        <w:t xml:space="preserve">. </w:t>
      </w:r>
      <w:r w:rsidR="00D6657C" w:rsidRPr="002C21B8">
        <w:t>Th</w:t>
      </w:r>
      <w:r w:rsidR="001E10EC" w:rsidRPr="002C21B8">
        <w:t>ese roles</w:t>
      </w:r>
      <w:r w:rsidR="00D6657C" w:rsidRPr="002C21B8">
        <w:t xml:space="preserve"> ha</w:t>
      </w:r>
      <w:r w:rsidR="00A7196C" w:rsidRPr="002C21B8">
        <w:t>ve</w:t>
      </w:r>
      <w:r w:rsidR="00D6657C" w:rsidRPr="002C21B8">
        <w:t xml:space="preserve"> provided a wider understanding of variation in ADPKD management and has contributed to my awareness of how clinical judgement and context influence</w:t>
      </w:r>
      <w:r w:rsidR="00E70821" w:rsidRPr="002C21B8">
        <w:t xml:space="preserve"> prescribing </w:t>
      </w:r>
      <w:r w:rsidR="00D6657C" w:rsidRPr="002C21B8">
        <w:t xml:space="preserve">decisions. </w:t>
      </w:r>
      <w:r w:rsidR="00D74DA1" w:rsidRPr="002C21B8">
        <w:t xml:space="preserve">My involvement with the PKD charity </w:t>
      </w:r>
      <w:r w:rsidR="00A807C5" w:rsidRPr="002C21B8">
        <w:t xml:space="preserve">has included </w:t>
      </w:r>
      <w:r w:rsidR="00A7196C" w:rsidRPr="002C21B8">
        <w:t xml:space="preserve">providing </w:t>
      </w:r>
      <w:r w:rsidR="00D74DA1" w:rsidRPr="002C21B8">
        <w:t xml:space="preserve">teaching to patients, reviewing patient-facing information and </w:t>
      </w:r>
      <w:r w:rsidR="005D4A52" w:rsidRPr="002C21B8">
        <w:t xml:space="preserve">engaging in discussions with people </w:t>
      </w:r>
      <w:r w:rsidR="000E217B" w:rsidRPr="002C21B8">
        <w:t>that have</w:t>
      </w:r>
      <w:r w:rsidR="005D4A52" w:rsidRPr="002C21B8">
        <w:t xml:space="preserve"> ADPKD</w:t>
      </w:r>
      <w:r w:rsidR="00A807C5" w:rsidRPr="002C21B8">
        <w:t>. These activities have given me</w:t>
      </w:r>
      <w:r w:rsidR="00D74DA1" w:rsidRPr="002C21B8">
        <w:t xml:space="preserve"> </w:t>
      </w:r>
      <w:r w:rsidR="00A7196C" w:rsidRPr="002C21B8">
        <w:t xml:space="preserve">an </w:t>
      </w:r>
      <w:r w:rsidR="00D74DA1" w:rsidRPr="002C21B8">
        <w:t>insight into th</w:t>
      </w:r>
      <w:r w:rsidR="005D4A52" w:rsidRPr="002C21B8">
        <w:t>eir</w:t>
      </w:r>
      <w:r w:rsidR="00D74DA1" w:rsidRPr="002C21B8">
        <w:t xml:space="preserve"> expectations and priorities </w:t>
      </w:r>
      <w:r w:rsidR="00A807C5" w:rsidRPr="002C21B8">
        <w:t>regarding</w:t>
      </w:r>
      <w:r w:rsidR="00D74DA1" w:rsidRPr="002C21B8">
        <w:t xml:space="preserve"> medi</w:t>
      </w:r>
      <w:r w:rsidR="004875D1" w:rsidRPr="002C21B8">
        <w:t>cation</w:t>
      </w:r>
      <w:r w:rsidR="00A807C5" w:rsidRPr="002C21B8">
        <w:t>s</w:t>
      </w:r>
      <w:r w:rsidR="00D74DA1" w:rsidRPr="002C21B8">
        <w:t>.</w:t>
      </w:r>
    </w:p>
    <w:p w14:paraId="19B30FAB" w14:textId="2B1522C4" w:rsidR="005D4A52" w:rsidRPr="002C21B8" w:rsidRDefault="00D74DA1" w:rsidP="009F3D96">
      <w:r w:rsidRPr="002C21B8">
        <w:t>Collectively</w:t>
      </w:r>
      <w:r w:rsidR="005D4A52" w:rsidRPr="002C21B8">
        <w:t>,</w:t>
      </w:r>
      <w:r w:rsidRPr="002C21B8">
        <w:t xml:space="preserve"> these experiences </w:t>
      </w:r>
      <w:r w:rsidR="005D4A52" w:rsidRPr="002C21B8">
        <w:t xml:space="preserve">have </w:t>
      </w:r>
      <w:r w:rsidRPr="002C21B8">
        <w:t>shaped my understanding of variation in</w:t>
      </w:r>
      <w:r w:rsidR="005D4A52" w:rsidRPr="002C21B8">
        <w:t xml:space="preserve"> clinical</w:t>
      </w:r>
      <w:r w:rsidRPr="002C21B8">
        <w:t xml:space="preserve"> practice and </w:t>
      </w:r>
      <w:r w:rsidR="005D4A52" w:rsidRPr="002C21B8">
        <w:t>prescribing</w:t>
      </w:r>
      <w:r w:rsidRPr="002C21B8">
        <w:t xml:space="preserve"> decisions in ADPKD</w:t>
      </w:r>
      <w:r w:rsidR="005D4A52" w:rsidRPr="002C21B8">
        <w:t>,</w:t>
      </w:r>
      <w:r w:rsidRPr="002C21B8">
        <w:t xml:space="preserve"> </w:t>
      </w:r>
      <w:r w:rsidR="005D4A52" w:rsidRPr="002C21B8">
        <w:t>and motivated me to develop a programme of research focused on variation in tolvaptan prescribing practices for ADPKD.</w:t>
      </w:r>
    </w:p>
    <w:p w14:paraId="33E5BBCC" w14:textId="68365DB2" w:rsidR="0040297D" w:rsidRPr="002C21B8" w:rsidRDefault="00C25283" w:rsidP="00581663">
      <w:pPr>
        <w:pStyle w:val="Heading2"/>
      </w:pPr>
      <w:bookmarkStart w:id="18" w:name="_Toc229687195"/>
      <w:r w:rsidRPr="002C21B8">
        <w:t>Context of the doctoral research</w:t>
      </w:r>
      <w:bookmarkEnd w:id="18"/>
    </w:p>
    <w:p w14:paraId="425DF2D4" w14:textId="638828DD" w:rsidR="00540223" w:rsidRPr="002C21B8" w:rsidRDefault="00A26C5A" w:rsidP="00540223">
      <w:r w:rsidRPr="002C21B8">
        <w:t xml:space="preserve">I undertook this research as part of a </w:t>
      </w:r>
      <w:r w:rsidR="00DB7287" w:rsidRPr="002C21B8">
        <w:t>D</w:t>
      </w:r>
      <w:r w:rsidRPr="002C21B8">
        <w:t xml:space="preserve">octoral </w:t>
      </w:r>
      <w:r w:rsidR="00DB7287" w:rsidRPr="002C21B8">
        <w:t>F</w:t>
      </w:r>
      <w:r w:rsidRPr="002C21B8">
        <w:t>ellowship funded by The Healthcare Improvement Studies (THIS) Institute</w:t>
      </w:r>
      <w:r w:rsidR="00B364CF" w:rsidRPr="002C21B8">
        <w:t xml:space="preserve">, which </w:t>
      </w:r>
      <w:r w:rsidR="00540223" w:rsidRPr="002C21B8">
        <w:t>is</w:t>
      </w:r>
      <w:r w:rsidRPr="002C21B8">
        <w:t xml:space="preserve"> a UK research </w:t>
      </w:r>
      <w:r w:rsidR="00540223" w:rsidRPr="002C21B8">
        <w:t>organisation</w:t>
      </w:r>
      <w:r w:rsidRPr="002C21B8">
        <w:t xml:space="preserve"> </w:t>
      </w:r>
      <w:r w:rsidR="00B364CF" w:rsidRPr="002C21B8">
        <w:t xml:space="preserve">that </w:t>
      </w:r>
      <w:r w:rsidRPr="002C21B8">
        <w:t>focuse</w:t>
      </w:r>
      <w:r w:rsidR="00B364CF" w:rsidRPr="002C21B8">
        <w:t>s</w:t>
      </w:r>
      <w:r w:rsidRPr="002C21B8">
        <w:t xml:space="preserve"> on healthcare improvement science and methodological innovation </w:t>
      </w:r>
      <w:r w:rsidR="00E87068" w:rsidRPr="002C21B8">
        <w:fldChar w:fldCharType="begin"/>
      </w:r>
      <w:r w:rsidR="008A2F67" w:rsidRPr="002C21B8">
        <w:instrText xml:space="preserve"> ADDIN EN.CITE &lt;EndNote&gt;&lt;Cite&gt;&lt;Author&gt;The Healthcare Improvement Studies Institute&lt;/Author&gt;&lt;Year&gt;2025&lt;/Year&gt;&lt;RecNum&gt;125498&lt;/RecNum&gt;&lt;DisplayText&gt;(The Healthcare Improvement Studies Institute, 2025)&lt;/DisplayText&gt;&lt;record&gt;&lt;rec-number&gt;125498&lt;/rec-number&gt;&lt;foreign-keys&gt;&lt;key app="EN" db-id="xpefzwa5hf9dt2ea9fax95x7xvxz90v09dtf" timestamp="1776866034"&gt;125498&lt;/key&gt;&lt;/foreign-keys&gt;&lt;ref-type name="Web Page"&gt;12&lt;/ref-type&gt;&lt;contributors&gt;&lt;authors&gt;&lt;author&gt;The Healthcare Improvement Studies Institute,&lt;/author&gt;&lt;/authors&gt;&lt;/contributors&gt;&lt;titles&gt;&lt;title&gt;About THIS.&lt;/title&gt;&lt;/titles&gt;&lt;number&gt;22/04/2026)&lt;/number&gt;&lt;dates&gt;&lt;year&gt;2025&lt;/year&gt;&lt;/dates&gt;&lt;urls&gt;&lt;related-urls&gt;&lt;url&gt;https://www.thisinstitute.cam.ac.uk/about/&lt;/url&gt;&lt;/related-urls&gt;&lt;/urls&gt;&lt;/record&gt;&lt;/Cite&gt;&lt;/EndNote&gt;</w:instrText>
      </w:r>
      <w:r w:rsidR="00E87068" w:rsidRPr="002C21B8">
        <w:fldChar w:fldCharType="separate"/>
      </w:r>
      <w:r w:rsidR="008A2F67" w:rsidRPr="002C21B8">
        <w:rPr>
          <w:noProof/>
        </w:rPr>
        <w:t>(The Healthcare Improvement Studies Institute, 2025)</w:t>
      </w:r>
      <w:r w:rsidR="00E87068" w:rsidRPr="002C21B8">
        <w:fldChar w:fldCharType="end"/>
      </w:r>
      <w:r w:rsidRPr="002C21B8">
        <w:t xml:space="preserve">. </w:t>
      </w:r>
      <w:r w:rsidR="00D6657C" w:rsidRPr="002C21B8">
        <w:t xml:space="preserve">Although I had a longstanding interest in qualitative and mixed methods research, this </w:t>
      </w:r>
      <w:r w:rsidR="00720289" w:rsidRPr="002C21B8">
        <w:t>fellowship provided the</w:t>
      </w:r>
      <w:r w:rsidR="00D6657C" w:rsidRPr="002C21B8">
        <w:t xml:space="preserve"> first opportunity</w:t>
      </w:r>
      <w:r w:rsidR="00720289" w:rsidRPr="002C21B8">
        <w:t xml:space="preserve"> for me</w:t>
      </w:r>
      <w:r w:rsidR="00D6657C" w:rsidRPr="002C21B8">
        <w:t xml:space="preserve"> to </w:t>
      </w:r>
      <w:r w:rsidR="006011F4" w:rsidRPr="002C21B8">
        <w:t xml:space="preserve">apply </w:t>
      </w:r>
      <w:r w:rsidR="00D74DA1" w:rsidRPr="002C21B8">
        <w:t>these</w:t>
      </w:r>
      <w:r w:rsidR="00D6657C" w:rsidRPr="002C21B8">
        <w:t xml:space="preserve"> approaches within an applied research context. </w:t>
      </w:r>
      <w:r w:rsidRPr="002C21B8">
        <w:t xml:space="preserve">The </w:t>
      </w:r>
      <w:r w:rsidR="00720289" w:rsidRPr="002C21B8">
        <w:t xml:space="preserve">overall focus of the </w:t>
      </w:r>
      <w:r w:rsidRPr="002C21B8">
        <w:t xml:space="preserve">fellowship </w:t>
      </w:r>
      <w:r w:rsidR="00720289" w:rsidRPr="002C21B8">
        <w:t>was the examination of</w:t>
      </w:r>
      <w:r w:rsidRPr="002C21B8">
        <w:t xml:space="preserve"> variation in tolvaptan prescribing in the </w:t>
      </w:r>
      <w:r w:rsidRPr="002C21B8">
        <w:lastRenderedPageBreak/>
        <w:t>management of ADPKD</w:t>
      </w:r>
      <w:r w:rsidR="00720289" w:rsidRPr="002C21B8">
        <w:t>,</w:t>
      </w:r>
      <w:r w:rsidRPr="002C21B8">
        <w:t xml:space="preserve"> using a multi-phase mixed-methods approach known as </w:t>
      </w:r>
      <w:r w:rsidR="00CD054A" w:rsidRPr="002C21B8">
        <w:t>q</w:t>
      </w:r>
      <w:r w:rsidRPr="002C21B8">
        <w:t xml:space="preserve">ualitative </w:t>
      </w:r>
      <w:r w:rsidR="00CD054A" w:rsidRPr="002C21B8">
        <w:t>r</w:t>
      </w:r>
      <w:r w:rsidRPr="002C21B8">
        <w:t xml:space="preserve">esidual </w:t>
      </w:r>
      <w:r w:rsidR="00CD054A" w:rsidRPr="002C21B8">
        <w:t>a</w:t>
      </w:r>
      <w:r w:rsidRPr="002C21B8">
        <w:t xml:space="preserve">nalysis </w:t>
      </w:r>
      <w:r w:rsidR="00E87068" w:rsidRPr="002C21B8">
        <w:fldChar w:fldCharType="begin"/>
      </w:r>
      <w:r w:rsidR="00E87068" w:rsidRPr="002C21B8">
        <w:instrText xml:space="preserve"> ADDIN EN.CITE &lt;EndNote&gt;&lt;Cite&gt;&lt;Author&gt;Onwuegbuzie&lt;/Author&gt;&lt;Year&gt;2008&lt;/Year&gt;&lt;RecNum&gt;5476&lt;/RecNum&gt;&lt;DisplayText&gt;(Onwuegbuzie, Leech and Collins, 2008)&lt;/DisplayText&gt;&lt;record&gt;&lt;rec-number&gt;5476&lt;/rec-number&gt;&lt;foreign-keys&gt;&lt;key app="EN" db-id="xpefzwa5hf9dt2ea9fax95x7xvxz90v09dtf" timestamp="1704523368"&gt;5476&lt;/key&gt;&lt;/foreign-keys&gt;&lt;ref-type name="Journal Article"&gt;17&lt;/ref-type&gt;&lt;contributors&gt;&lt;authors&gt;&lt;author&gt;Onwuegbuzie, Anthony J&lt;/author&gt;&lt;author&gt;Leech, Nancy L&lt;/author&gt;&lt;author&gt;Collins, Kathleen MT&lt;/author&gt;&lt;/authors&gt;&lt;/contributors&gt;&lt;titles&gt;&lt;title&gt;Interviewing the interpretive researcher: A method for addressing the crises of representation, legitimation, and praxis&lt;/title&gt;&lt;secondary-title&gt;International Journal of Qualitative Methods&lt;/secondary-title&gt;&lt;/titles&gt;&lt;periodical&gt;&lt;full-title&gt;International Journal of Qualitative Methods&lt;/full-title&gt;&lt;/periodical&gt;&lt;pages&gt;1-17&lt;/pages&gt;&lt;volume&gt;7&lt;/volume&gt;&lt;number&gt;4&lt;/number&gt;&lt;dates&gt;&lt;year&gt;2008&lt;/year&gt;&lt;/dates&gt;&lt;isbn&gt;1609-4069&lt;/isbn&gt;&lt;urls&gt;&lt;/urls&gt;&lt;/record&gt;&lt;/Cite&gt;&lt;/EndNote&gt;</w:instrText>
      </w:r>
      <w:r w:rsidR="00E87068" w:rsidRPr="002C21B8">
        <w:fldChar w:fldCharType="separate"/>
      </w:r>
      <w:r w:rsidR="00E87068" w:rsidRPr="002C21B8">
        <w:t>(Onwuegbuzie, Leech and Collins, 2008)</w:t>
      </w:r>
      <w:r w:rsidR="00E87068" w:rsidRPr="002C21B8">
        <w:fldChar w:fldCharType="end"/>
      </w:r>
      <w:r w:rsidR="0086598B" w:rsidRPr="002C21B8">
        <w:t>.</w:t>
      </w:r>
    </w:p>
    <w:p w14:paraId="11B5D5D3" w14:textId="7AB4D62D" w:rsidR="00A83D7C" w:rsidRPr="002C21B8" w:rsidRDefault="0086598B" w:rsidP="009F06F8">
      <w:r w:rsidRPr="002C21B8">
        <w:t>Q</w:t>
      </w:r>
      <w:r w:rsidR="0039091A" w:rsidRPr="002C21B8">
        <w:t xml:space="preserve">ualitative </w:t>
      </w:r>
      <w:r w:rsidR="00CD054A" w:rsidRPr="002C21B8">
        <w:t>r</w:t>
      </w:r>
      <w:r w:rsidR="0039091A" w:rsidRPr="002C21B8">
        <w:t xml:space="preserve">esidual </w:t>
      </w:r>
      <w:r w:rsidR="00CD054A" w:rsidRPr="002C21B8">
        <w:t>a</w:t>
      </w:r>
      <w:r w:rsidR="0039091A" w:rsidRPr="002C21B8">
        <w:t>nalysis</w:t>
      </w:r>
      <w:r w:rsidRPr="002C21B8">
        <w:t xml:space="preserve"> involves</w:t>
      </w:r>
      <w:r w:rsidR="00F2215B" w:rsidRPr="002C21B8">
        <w:t xml:space="preserve">: </w:t>
      </w:r>
      <w:r w:rsidRPr="002C21B8">
        <w:t>(i) measuring variation using routine data and the factors affecting it, (ii) undertaking qualitative research on a small number of diverse cases to identify new factors, (iii) collecting or identifying data on these new factors, and then (iv) using this data with the original routine data to explain further variation in practice. This is a long process and is larger than a PhD. Therefore</w:t>
      </w:r>
      <w:r w:rsidR="005F3B18" w:rsidRPr="002C21B8">
        <w:t>,</w:t>
      </w:r>
      <w:r w:rsidRPr="002C21B8">
        <w:t xml:space="preserve"> for this thesis</w:t>
      </w:r>
      <w:r w:rsidR="005F3B18" w:rsidRPr="002C21B8">
        <w:t>,</w:t>
      </w:r>
      <w:r w:rsidRPr="002C21B8">
        <w:t xml:space="preserve"> I chose to present the first three phases of </w:t>
      </w:r>
      <w:r w:rsidR="0039091A" w:rsidRPr="002C21B8">
        <w:t xml:space="preserve">qualitative residual analysis </w:t>
      </w:r>
      <w:r w:rsidRPr="002C21B8">
        <w:t xml:space="preserve">alongside a systematic review of factors </w:t>
      </w:r>
      <w:r w:rsidR="0039091A" w:rsidRPr="002C21B8">
        <w:t>influenc</w:t>
      </w:r>
      <w:r w:rsidRPr="002C21B8">
        <w:t xml:space="preserve">ing prescribing </w:t>
      </w:r>
      <w:r w:rsidR="00DB7287" w:rsidRPr="002C21B8">
        <w:t>decision-making</w:t>
      </w:r>
      <w:r w:rsidR="0039091A" w:rsidRPr="002C21B8">
        <w:t xml:space="preserve"> for chronic conditions</w:t>
      </w:r>
      <w:r w:rsidRPr="002C21B8">
        <w:t xml:space="preserve">. I am in the process of completing the final phase of </w:t>
      </w:r>
      <w:r w:rsidR="0039091A" w:rsidRPr="002C21B8">
        <w:t>qualitative residual analysis</w:t>
      </w:r>
      <w:r w:rsidRPr="002C21B8">
        <w:t xml:space="preserve"> in the last few months of my THIS</w:t>
      </w:r>
      <w:r w:rsidR="0039091A" w:rsidRPr="002C21B8">
        <w:t xml:space="preserve"> Institute</w:t>
      </w:r>
      <w:r w:rsidRPr="002C21B8">
        <w:t xml:space="preserve"> Doctoral Fellowship.</w:t>
      </w:r>
    </w:p>
    <w:p w14:paraId="2B0AE744" w14:textId="26C734E6" w:rsidR="0036794C" w:rsidRPr="002C21B8" w:rsidRDefault="0036794C" w:rsidP="00581663">
      <w:pPr>
        <w:pStyle w:val="Heading2"/>
      </w:pPr>
      <w:bookmarkStart w:id="19" w:name="_Toc229687196"/>
      <w:r w:rsidRPr="002C21B8">
        <w:t xml:space="preserve">Study </w:t>
      </w:r>
      <w:r w:rsidR="00E53610" w:rsidRPr="002C21B8">
        <w:t>d</w:t>
      </w:r>
      <w:r w:rsidRPr="002C21B8">
        <w:t xml:space="preserve">esign and </w:t>
      </w:r>
      <w:r w:rsidR="00E53610" w:rsidRPr="002C21B8">
        <w:t>r</w:t>
      </w:r>
      <w:r w:rsidRPr="002C21B8">
        <w:t xml:space="preserve">esearch </w:t>
      </w:r>
      <w:r w:rsidR="00E53610" w:rsidRPr="002C21B8">
        <w:t>m</w:t>
      </w:r>
      <w:r w:rsidRPr="002C21B8">
        <w:t>ethods</w:t>
      </w:r>
      <w:bookmarkEnd w:id="19"/>
    </w:p>
    <w:p w14:paraId="050F6C66" w14:textId="0076EB71" w:rsidR="008F5C53" w:rsidRPr="002C21B8" w:rsidRDefault="00281B3C" w:rsidP="008F5C53">
      <w:r w:rsidRPr="002C21B8">
        <w:t>This is a mixed methods study with four sequential methods:</w:t>
      </w:r>
    </w:p>
    <w:p w14:paraId="686EDD6E" w14:textId="6D4189E6" w:rsidR="008F5C53" w:rsidRPr="002C21B8" w:rsidRDefault="008E2C23" w:rsidP="00C670A4">
      <w:pPr>
        <w:ind w:left="1843" w:hanging="1123"/>
      </w:pPr>
      <w:r w:rsidRPr="002C21B8">
        <w:rPr>
          <w:b/>
          <w:bCs/>
        </w:rPr>
        <w:t>Phase 1</w:t>
      </w:r>
      <w:r w:rsidRPr="002C21B8">
        <w:tab/>
      </w:r>
      <w:r w:rsidR="001A63C2" w:rsidRPr="002C21B8">
        <w:t>A</w:t>
      </w:r>
      <w:r w:rsidR="00B51A7C" w:rsidRPr="002C21B8">
        <w:t xml:space="preserve"> </w:t>
      </w:r>
      <w:r w:rsidR="00B51A7C" w:rsidRPr="002C21B8">
        <w:rPr>
          <w:b/>
          <w:bCs/>
        </w:rPr>
        <w:t>systematic review</w:t>
      </w:r>
      <w:r w:rsidR="00B51A7C" w:rsidRPr="002C21B8">
        <w:t xml:space="preserve"> (</w:t>
      </w:r>
      <w:r w:rsidR="00E06102" w:rsidRPr="002C21B8">
        <w:t>overview of systematic reviews</w:t>
      </w:r>
      <w:r w:rsidR="00B51A7C" w:rsidRPr="002C21B8">
        <w:t>)</w:t>
      </w:r>
      <w:r w:rsidR="008F5C53" w:rsidRPr="002C21B8">
        <w:t xml:space="preserve"> </w:t>
      </w:r>
      <w:r w:rsidR="00F86CD4" w:rsidRPr="002C21B8">
        <w:t xml:space="preserve">was undertaken to synthesise evidence on factors influencing prescribing decision-making in chronic conditions. This informed refinement of an existing conceptual model of prescribing decision-making </w:t>
      </w:r>
      <w:r w:rsidR="00281B3C" w:rsidRPr="002C21B8">
        <w:t>for any condition</w:t>
      </w:r>
      <w:r w:rsidR="00DD01EE" w:rsidRPr="002C21B8">
        <w:t>s</w:t>
      </w:r>
      <w:r w:rsidR="00281B3C" w:rsidRPr="002C21B8">
        <w:t xml:space="preserve"> </w:t>
      </w:r>
      <w:r w:rsidR="00F86CD4" w:rsidRPr="002C21B8">
        <w:t>to the context of chronic conditions</w:t>
      </w:r>
      <w:r w:rsidR="00E83205" w:rsidRPr="002C21B8">
        <w:t xml:space="preserve"> </w:t>
      </w:r>
      <w:r w:rsidR="00E83205" w:rsidRPr="002C21B8">
        <w:fldChar w:fldCharType="begin"/>
      </w:r>
      <w:r w:rsidR="00E83205" w:rsidRPr="002C21B8">
        <w:instrText xml:space="preserve"> ADDIN EN.CITE &lt;EndNote&gt;&lt;Cite&gt;&lt;Author&gt;Murshid&lt;/Author&gt;&lt;Year&gt;2017&lt;/Year&gt;&lt;RecNum&gt;5043&lt;/RecNum&gt;&lt;DisplayText&gt;(Murshid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E83205" w:rsidRPr="002C21B8">
        <w:fldChar w:fldCharType="separate"/>
      </w:r>
      <w:r w:rsidR="00E83205" w:rsidRPr="002C21B8">
        <w:rPr>
          <w:noProof/>
        </w:rPr>
        <w:t>(Murshid and Mohaidin, 2017)</w:t>
      </w:r>
      <w:r w:rsidR="00E83205" w:rsidRPr="002C21B8">
        <w:fldChar w:fldCharType="end"/>
      </w:r>
      <w:r w:rsidR="00E83205" w:rsidRPr="002C21B8">
        <w:t>.</w:t>
      </w:r>
    </w:p>
    <w:p w14:paraId="02B070F3" w14:textId="191FB2DC" w:rsidR="008F5C53" w:rsidRPr="002C21B8" w:rsidRDefault="008E2C23" w:rsidP="00C670A4">
      <w:pPr>
        <w:ind w:left="1843" w:hanging="1123"/>
      </w:pPr>
      <w:r w:rsidRPr="002C21B8">
        <w:rPr>
          <w:b/>
          <w:bCs/>
        </w:rPr>
        <w:t>Phase 2</w:t>
      </w:r>
      <w:r w:rsidR="00C670A4" w:rsidRPr="002C21B8">
        <w:rPr>
          <w:b/>
          <w:bCs/>
        </w:rPr>
        <w:tab/>
      </w:r>
      <w:r w:rsidR="0018265A" w:rsidRPr="002C21B8">
        <w:t>Quantitative</w:t>
      </w:r>
      <w:r w:rsidR="0018265A" w:rsidRPr="002C21B8">
        <w:rPr>
          <w:b/>
          <w:bCs/>
        </w:rPr>
        <w:t xml:space="preserve"> a</w:t>
      </w:r>
      <w:r w:rsidR="008F5C53" w:rsidRPr="002C21B8">
        <w:rPr>
          <w:b/>
          <w:bCs/>
        </w:rPr>
        <w:t xml:space="preserve">nalysis of </w:t>
      </w:r>
      <w:r w:rsidR="0018265A" w:rsidRPr="002C21B8">
        <w:rPr>
          <w:b/>
          <w:bCs/>
        </w:rPr>
        <w:t xml:space="preserve">registry </w:t>
      </w:r>
      <w:r w:rsidR="008F5C53" w:rsidRPr="002C21B8">
        <w:rPr>
          <w:b/>
          <w:bCs/>
        </w:rPr>
        <w:t>data</w:t>
      </w:r>
      <w:r w:rsidR="008F5C53" w:rsidRPr="002C21B8">
        <w:t xml:space="preserve"> from the ADPKD cohort within the UK National Registry of Rare Kidney Diseases (RaDaR) to identify variation between kidney centres in tolvaptan prescribing against national guidance</w:t>
      </w:r>
      <w:r w:rsidR="00E83205" w:rsidRPr="002C21B8">
        <w:t>.</w:t>
      </w:r>
    </w:p>
    <w:p w14:paraId="4CF9C8CF" w14:textId="3C68BF3C" w:rsidR="008F5C53" w:rsidRPr="002C21B8" w:rsidRDefault="008E2C23" w:rsidP="00C670A4">
      <w:pPr>
        <w:ind w:left="1843" w:hanging="1123"/>
      </w:pPr>
      <w:r w:rsidRPr="002C21B8">
        <w:rPr>
          <w:b/>
          <w:bCs/>
        </w:rPr>
        <w:t>Phase 3</w:t>
      </w:r>
      <w:r w:rsidR="00C670A4" w:rsidRPr="002C21B8">
        <w:rPr>
          <w:b/>
          <w:bCs/>
        </w:rPr>
        <w:tab/>
      </w:r>
      <w:r w:rsidR="008F5C53" w:rsidRPr="002C21B8">
        <w:t>Three kidney centres with diverse prescribing practice</w:t>
      </w:r>
      <w:r w:rsidR="005F3B18" w:rsidRPr="002C21B8">
        <w:t>s</w:t>
      </w:r>
      <w:r w:rsidR="008F5C53" w:rsidRPr="002C21B8">
        <w:t xml:space="preserve"> were selected for a </w:t>
      </w:r>
      <w:r w:rsidR="008F5C53" w:rsidRPr="002C21B8">
        <w:rPr>
          <w:b/>
          <w:bCs/>
        </w:rPr>
        <w:t>multiple case study</w:t>
      </w:r>
      <w:r w:rsidR="008F5C53" w:rsidRPr="002C21B8">
        <w:t xml:space="preserve"> exploring factors influencing</w:t>
      </w:r>
      <w:r w:rsidR="005F3B18" w:rsidRPr="002C21B8">
        <w:t xml:space="preserve"> the</w:t>
      </w:r>
      <w:r w:rsidR="008F5C53" w:rsidRPr="002C21B8">
        <w:t xml:space="preserve"> implementation of tolvaptan care pathways and clinician decision-making</w:t>
      </w:r>
      <w:r w:rsidR="00E83205" w:rsidRPr="002C21B8">
        <w:t>.</w:t>
      </w:r>
    </w:p>
    <w:p w14:paraId="38EA6609" w14:textId="44D97E54" w:rsidR="00F86CD4" w:rsidRPr="002C21B8" w:rsidRDefault="008E2C23" w:rsidP="00C670A4">
      <w:pPr>
        <w:ind w:left="1843" w:hanging="1123"/>
      </w:pPr>
      <w:r w:rsidRPr="002C21B8">
        <w:rPr>
          <w:b/>
          <w:bCs/>
        </w:rPr>
        <w:t>Phase 4</w:t>
      </w:r>
      <w:r w:rsidRPr="002C21B8">
        <w:tab/>
      </w:r>
      <w:r w:rsidR="008F5C53" w:rsidRPr="002C21B8">
        <w:t xml:space="preserve">A </w:t>
      </w:r>
      <w:r w:rsidR="008F5C53" w:rsidRPr="002C21B8">
        <w:rPr>
          <w:b/>
          <w:bCs/>
        </w:rPr>
        <w:t xml:space="preserve">national </w:t>
      </w:r>
      <w:r w:rsidR="00FC190F" w:rsidRPr="002C21B8">
        <w:rPr>
          <w:b/>
          <w:bCs/>
        </w:rPr>
        <w:t>survey of clinical practice</w:t>
      </w:r>
      <w:r w:rsidR="008F5C53" w:rsidRPr="002C21B8">
        <w:t xml:space="preserve"> was undertaken to measure the prevalence of factors identified in the case studies</w:t>
      </w:r>
      <w:r w:rsidR="00E83205" w:rsidRPr="002C21B8">
        <w:t>.</w:t>
      </w:r>
    </w:p>
    <w:p w14:paraId="63265534" w14:textId="51CFB746" w:rsidR="00982964" w:rsidRPr="002C21B8" w:rsidRDefault="00F86CD4" w:rsidP="00F86CD4">
      <w:r w:rsidRPr="002C21B8">
        <w:t>Together, the</w:t>
      </w:r>
      <w:r w:rsidR="00281B3C" w:rsidRPr="002C21B8">
        <w:t xml:space="preserve"> findings </w:t>
      </w:r>
      <w:r w:rsidRPr="002C21B8">
        <w:t xml:space="preserve">enabled </w:t>
      </w:r>
      <w:r w:rsidR="001A63C2" w:rsidRPr="002C21B8">
        <w:t>the development of an explanatory account of variation in prescribing practices for tolvaptan in the management of ADPKD in the UK</w:t>
      </w:r>
      <w:r w:rsidR="00281B3C" w:rsidRPr="002C21B8">
        <w:t xml:space="preserve"> and the development of a new conceptual model of pr</w:t>
      </w:r>
      <w:r w:rsidR="00F82C54" w:rsidRPr="002C21B8">
        <w:t xml:space="preserve">escribing decision-making in </w:t>
      </w:r>
      <w:r w:rsidR="00281B3C" w:rsidRPr="002C21B8">
        <w:t>rare diseases</w:t>
      </w:r>
      <w:r w:rsidR="001A63C2" w:rsidRPr="002C21B8">
        <w:t>.</w:t>
      </w:r>
    </w:p>
    <w:p w14:paraId="7148D5DE" w14:textId="77777777" w:rsidR="00982964" w:rsidRPr="002C21B8" w:rsidRDefault="00982964">
      <w:pPr>
        <w:spacing w:after="0" w:line="240" w:lineRule="auto"/>
        <w:jc w:val="left"/>
      </w:pPr>
      <w:r w:rsidRPr="002C21B8">
        <w:br w:type="page"/>
      </w:r>
    </w:p>
    <w:p w14:paraId="23531ADD" w14:textId="3B991A24" w:rsidR="0036794C" w:rsidRPr="002C21B8" w:rsidRDefault="00281B3C" w:rsidP="00581663">
      <w:pPr>
        <w:pStyle w:val="Heading2"/>
      </w:pPr>
      <w:bookmarkStart w:id="20" w:name="_Toc229687197"/>
      <w:r w:rsidRPr="002C21B8">
        <w:lastRenderedPageBreak/>
        <w:t xml:space="preserve">Type </w:t>
      </w:r>
      <w:r w:rsidR="0036794C" w:rsidRPr="002C21B8">
        <w:t xml:space="preserve">of </w:t>
      </w:r>
      <w:r w:rsidR="00E53610" w:rsidRPr="002C21B8">
        <w:t>t</w:t>
      </w:r>
      <w:r w:rsidR="0036794C" w:rsidRPr="002C21B8">
        <w:t>hesis</w:t>
      </w:r>
      <w:bookmarkEnd w:id="20"/>
    </w:p>
    <w:p w14:paraId="6532153A" w14:textId="06542CE0" w:rsidR="007E1334" w:rsidRPr="002C21B8" w:rsidRDefault="00281B3C" w:rsidP="005422A1">
      <w:r w:rsidRPr="002C21B8">
        <w:t xml:space="preserve">The University of Sheffield offers </w:t>
      </w:r>
      <w:r w:rsidR="00144B24" w:rsidRPr="002C21B8">
        <w:t xml:space="preserve">different types of PhDs. </w:t>
      </w:r>
      <w:r w:rsidR="0036794C" w:rsidRPr="002C21B8">
        <w:t xml:space="preserve">This thesis </w:t>
      </w:r>
      <w:r w:rsidR="00144B24" w:rsidRPr="002C21B8">
        <w:t>is a ‘</w:t>
      </w:r>
      <w:r w:rsidR="0036794C" w:rsidRPr="002C21B8">
        <w:t>publication format</w:t>
      </w:r>
      <w:r w:rsidR="00144B24" w:rsidRPr="002C21B8">
        <w:t>’ thesis</w:t>
      </w:r>
      <w:r w:rsidR="0036794C" w:rsidRPr="002C21B8">
        <w:t xml:space="preserve">, also known as </w:t>
      </w:r>
      <w:r w:rsidR="004E5953" w:rsidRPr="002C21B8">
        <w:t xml:space="preserve">a </w:t>
      </w:r>
      <w:r w:rsidR="00144B24" w:rsidRPr="002C21B8">
        <w:t>‘</w:t>
      </w:r>
      <w:r w:rsidR="0036794C" w:rsidRPr="002C21B8">
        <w:t>journal format</w:t>
      </w:r>
      <w:r w:rsidR="00144B24" w:rsidRPr="002C21B8">
        <w:t>’</w:t>
      </w:r>
      <w:r w:rsidR="006F2D44" w:rsidRPr="002C21B8">
        <w:t xml:space="preserve"> thesis</w:t>
      </w:r>
      <w:r w:rsidR="0036794C" w:rsidRPr="002C21B8">
        <w:t>,</w:t>
      </w:r>
      <w:r w:rsidR="00540223" w:rsidRPr="002C21B8">
        <w:t xml:space="preserve"> which is often undertaken</w:t>
      </w:r>
      <w:r w:rsidR="0036794C" w:rsidRPr="002C21B8">
        <w:t xml:space="preserve"> to support</w:t>
      </w:r>
      <w:r w:rsidR="004E5953" w:rsidRPr="002C21B8">
        <w:t xml:space="preserve"> the</w:t>
      </w:r>
      <w:r w:rsidR="0036794C" w:rsidRPr="002C21B8">
        <w:t xml:space="preserve"> dissemination of the research findings without the need for a prolonged post-submission publication process</w:t>
      </w:r>
      <w:r w:rsidR="00144B24" w:rsidRPr="002C21B8">
        <w:t xml:space="preserve"> </w:t>
      </w:r>
      <w:r w:rsidR="00B51A7C" w:rsidRPr="002C21B8">
        <w:fldChar w:fldCharType="begin"/>
      </w:r>
      <w:r w:rsidR="00B51A7C" w:rsidRPr="002C21B8">
        <w:instrText xml:space="preserve"> ADDIN EN.CITE &lt;EndNote&gt;&lt;Cite&gt;&lt;Author&gt;University of Sheffield&lt;/Author&gt;&lt;Year&gt;2026&lt;/Year&gt;&lt;RecNum&gt;125497&lt;/RecNum&gt;&lt;DisplayText&gt;(University of Sheffield, 2026)&lt;/DisplayText&gt;&lt;record&gt;&lt;rec-number&gt;125497&lt;/rec-number&gt;&lt;foreign-keys&gt;&lt;key app="EN" db-id="xpefzwa5hf9dt2ea9fax95x7xvxz90v09dtf" timestamp="1776864900"&gt;125497&lt;/key&gt;&lt;/foreign-keys&gt;&lt;ref-type name="Web Page"&gt;12&lt;/ref-type&gt;&lt;contributors&gt;&lt;authors&gt;&lt;author&gt;University of Sheffield,&lt;/author&gt;&lt;/authors&gt;&lt;/contributors&gt;&lt;titles&gt;&lt;title&gt;Thesis formats&lt;/title&gt;&lt;/titles&gt;&lt;number&gt;22/04/2026)&lt;/number&gt;&lt;dates&gt;&lt;year&gt;2026&lt;/year&gt;&lt;/dates&gt;&lt;urls&gt;&lt;related-urls&gt;&lt;url&gt;https://sheffield.ac.uk/rpi/pgr/examination/formats&lt;/url&gt;&lt;/related-urls&gt;&lt;/urls&gt;&lt;/record&gt;&lt;/Cite&gt;&lt;/EndNote&gt;</w:instrText>
      </w:r>
      <w:r w:rsidR="00B51A7C" w:rsidRPr="002C21B8">
        <w:fldChar w:fldCharType="separate"/>
      </w:r>
      <w:r w:rsidR="00B51A7C" w:rsidRPr="002C21B8">
        <w:rPr>
          <w:noProof/>
        </w:rPr>
        <w:t>(University of Sheffield, 2026)</w:t>
      </w:r>
      <w:r w:rsidR="00B51A7C" w:rsidRPr="002C21B8">
        <w:fldChar w:fldCharType="end"/>
      </w:r>
      <w:r w:rsidR="0036794C" w:rsidRPr="002C21B8">
        <w:t>.</w:t>
      </w:r>
      <w:r w:rsidR="00E83205" w:rsidRPr="002C21B8">
        <w:t xml:space="preserve"> This format has been growing in popularity and involves </w:t>
      </w:r>
      <w:r w:rsidR="00144B24" w:rsidRPr="002C21B8">
        <w:t>present</w:t>
      </w:r>
      <w:r w:rsidR="00E83205" w:rsidRPr="002C21B8">
        <w:t>ing</w:t>
      </w:r>
      <w:r w:rsidR="00144B24" w:rsidRPr="002C21B8">
        <w:t xml:space="preserve"> findings as a s</w:t>
      </w:r>
      <w:r w:rsidR="006F2D44" w:rsidRPr="002C21B8">
        <w:t>eries</w:t>
      </w:r>
      <w:r w:rsidR="00144B24" w:rsidRPr="002C21B8">
        <w:t xml:space="preserve"> of journal articles, some of which are published or submitted</w:t>
      </w:r>
      <w:r w:rsidR="00DD01EE" w:rsidRPr="002C21B8">
        <w:t>,</w:t>
      </w:r>
      <w:r w:rsidR="00144B24" w:rsidRPr="002C21B8">
        <w:t xml:space="preserve"> and some of which will be submitted after thesis submission</w:t>
      </w:r>
      <w:r w:rsidR="00E83205" w:rsidRPr="002C21B8">
        <w:t xml:space="preserve"> </w:t>
      </w:r>
      <w:r w:rsidR="00E83205" w:rsidRPr="002C21B8">
        <w:fldChar w:fldCharType="begin"/>
      </w:r>
      <w:r w:rsidR="00E83205" w:rsidRPr="002C21B8">
        <w:instrText xml:space="preserve"> ADDIN EN.CITE &lt;EndNote&gt;&lt;Cite&gt;&lt;Author&gt;Robinson&lt;/Author&gt;&lt;Year&gt;2023&lt;/Year&gt;&lt;RecNum&gt;125519&lt;/RecNum&gt;&lt;DisplayText&gt;(Mason&lt;style face="italic"&gt; et al.&lt;/style&gt;, 2025; Robinson, 2023)&lt;/DisplayText&gt;&lt;record&gt;&lt;rec-number&gt;125519&lt;/rec-number&gt;&lt;foreign-keys&gt;&lt;key app="EN" db-id="xpefzwa5hf9dt2ea9fax95x7xvxz90v09dtf" timestamp="1777384427"&gt;125519&lt;/key&gt;&lt;/foreign-keys&gt;&lt;ref-type name="Journal Article"&gt;17&lt;/ref-type&gt;&lt;contributors&gt;&lt;authors&gt;&lt;author&gt;Robinson, Caitlin&lt;/author&gt;&lt;/authors&gt;&lt;/contributors&gt;&lt;titles&gt;&lt;title&gt;Mainstreaming the alternative format thesis in UK higher education: a systematic narrative review of institutional policies&lt;/title&gt;&lt;secondary-title&gt;Perspectives: Policy and Practice in Higher Education&lt;/secondary-title&gt;&lt;/titles&gt;&lt;periodical&gt;&lt;full-title&gt;Perspectives: policy and practice in higher education&lt;/full-title&gt;&lt;/periodical&gt;&lt;pages&gt;140-149&lt;/pages&gt;&lt;volume&gt;27&lt;/volume&gt;&lt;number&gt;4&lt;/number&gt;&lt;dates&gt;&lt;year&gt;2023&lt;/year&gt;&lt;/dates&gt;&lt;isbn&gt;1360-3108&lt;/isbn&gt;&lt;urls&gt;&lt;/urls&gt;&lt;/record&gt;&lt;/Cite&gt;&lt;Cite&gt;&lt;Author&gt;Mason&lt;/Author&gt;&lt;Year&gt;2025&lt;/Year&gt;&lt;RecNum&gt;125520&lt;/RecNum&gt;&lt;record&gt;&lt;rec-number&gt;125520&lt;/rec-number&gt;&lt;foreign-keys&gt;&lt;key app="EN" db-id="xpefzwa5hf9dt2ea9fax95x7xvxz90v09dtf" timestamp="1777384503"&gt;125520&lt;/key&gt;&lt;/foreign-keys&gt;&lt;ref-type name="Journal Article"&gt;17&lt;/ref-type&gt;&lt;contributors&gt;&lt;authors&gt;&lt;author&gt;Mason, Shannon&lt;/author&gt;&lt;author&gt;Frick, Liezel&lt;/author&gt;&lt;author&gt;Castelló, Montserrat&lt;/author&gt;&lt;author&gt;Cheng, Wenjuan&lt;/author&gt;&lt;author&gt;Chong, Sin Wang&lt;/author&gt;&lt;author&gt;Díaz Villalba, Laura&lt;/author&gt;&lt;author&gt;García-Morante, Marina&lt;/author&gt;&lt;author&gt;Kong, Ming Sum&lt;/author&gt;&lt;author&gt;Sakurai, Yusuke&lt;/author&gt;&lt;author&gt;Shojaeian, Nazila&lt;/author&gt;&lt;/authors&gt;&lt;/contributors&gt;&lt;titles&gt;&lt;title&gt;Prominence, promotion and positioning of the ‘thesis by publication’in six countries&lt;/title&gt;&lt;secondary-title&gt;Higher Education Policy&lt;/secondary-title&gt;&lt;/titles&gt;&lt;periodical&gt;&lt;full-title&gt;Higher education policy&lt;/full-title&gt;&lt;/periodical&gt;&lt;pages&gt;472-492&lt;/pages&gt;&lt;volume&gt;38&lt;/volume&gt;&lt;number&gt;3&lt;/number&gt;&lt;dates&gt;&lt;year&gt;2025&lt;/year&gt;&lt;/dates&gt;&lt;isbn&gt;0952-8733&lt;/isbn&gt;&lt;urls&gt;&lt;/urls&gt;&lt;/record&gt;&lt;/Cite&gt;&lt;/EndNote&gt;</w:instrText>
      </w:r>
      <w:r w:rsidR="00E83205" w:rsidRPr="002C21B8">
        <w:fldChar w:fldCharType="separate"/>
      </w:r>
      <w:r w:rsidR="00E83205" w:rsidRPr="002C21B8">
        <w:rPr>
          <w:noProof/>
        </w:rPr>
        <w:t>(Mason</w:t>
      </w:r>
      <w:r w:rsidR="00E83205" w:rsidRPr="002C21B8">
        <w:rPr>
          <w:i/>
          <w:noProof/>
        </w:rPr>
        <w:t xml:space="preserve"> et al.</w:t>
      </w:r>
      <w:r w:rsidR="00E83205" w:rsidRPr="002C21B8">
        <w:rPr>
          <w:noProof/>
        </w:rPr>
        <w:t>, 2025; Robinson, 2023)</w:t>
      </w:r>
      <w:r w:rsidR="00E83205" w:rsidRPr="002C21B8">
        <w:fldChar w:fldCharType="end"/>
      </w:r>
      <w:r w:rsidR="00144B24" w:rsidRPr="002C21B8">
        <w:t>.</w:t>
      </w:r>
      <w:r w:rsidR="005F3488" w:rsidRPr="002C21B8">
        <w:t xml:space="preserve"> The journal articles are presented in their original journal format, including the use of ‘we’ in line with </w:t>
      </w:r>
      <w:r w:rsidR="00D218AD" w:rsidRPr="002C21B8">
        <w:t xml:space="preserve">the conventional </w:t>
      </w:r>
      <w:r w:rsidR="00A145C7" w:rsidRPr="002C21B8">
        <w:t xml:space="preserve">journal article writing </w:t>
      </w:r>
      <w:r w:rsidR="00D218AD" w:rsidRPr="002C21B8">
        <w:t>style</w:t>
      </w:r>
      <w:r w:rsidR="005F3488" w:rsidRPr="002C21B8">
        <w:t>.</w:t>
      </w:r>
    </w:p>
    <w:p w14:paraId="46D3782F" w14:textId="441BC5E8" w:rsidR="00D82866" w:rsidRPr="002C21B8" w:rsidRDefault="00144B24" w:rsidP="00594E99">
      <w:pPr>
        <w:spacing w:after="120"/>
      </w:pPr>
      <w:r w:rsidRPr="002C21B8">
        <w:t>There are four journal articles within this thesis: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9"/>
      </w:tblGrid>
      <w:tr w:rsidR="00B51A7C" w:rsidRPr="002C21B8" w14:paraId="7BF1F78A" w14:textId="77777777" w:rsidTr="00581663">
        <w:tc>
          <w:tcPr>
            <w:tcW w:w="1843" w:type="dxa"/>
            <w:tcBorders>
              <w:top w:val="single" w:sz="12" w:space="0" w:color="000000" w:themeColor="text1"/>
              <w:bottom w:val="single" w:sz="4" w:space="0" w:color="000000" w:themeColor="text1"/>
            </w:tcBorders>
          </w:tcPr>
          <w:p w14:paraId="52A220CE" w14:textId="3802BD67" w:rsidR="00B51A7C" w:rsidRPr="002C21B8" w:rsidRDefault="00C31442" w:rsidP="00A728F6">
            <w:pPr>
              <w:spacing w:before="60" w:after="60" w:line="240" w:lineRule="auto"/>
              <w:rPr>
                <w:b/>
                <w:bCs/>
                <w:sz w:val="20"/>
                <w:szCs w:val="20"/>
              </w:rPr>
            </w:pPr>
            <w:r w:rsidRPr="002C21B8">
              <w:rPr>
                <w:b/>
                <w:bCs/>
                <w:sz w:val="20"/>
                <w:szCs w:val="20"/>
              </w:rPr>
              <w:t>Phase</w:t>
            </w:r>
          </w:p>
        </w:tc>
        <w:tc>
          <w:tcPr>
            <w:tcW w:w="7229" w:type="dxa"/>
            <w:tcBorders>
              <w:top w:val="single" w:sz="12" w:space="0" w:color="000000" w:themeColor="text1"/>
              <w:bottom w:val="single" w:sz="4" w:space="0" w:color="000000" w:themeColor="text1"/>
            </w:tcBorders>
            <w:shd w:val="clear" w:color="auto" w:fill="auto"/>
          </w:tcPr>
          <w:p w14:paraId="49D7822F" w14:textId="60DFBB0B" w:rsidR="00B51A7C" w:rsidRPr="002C21B8" w:rsidRDefault="00B51A7C" w:rsidP="00A728F6">
            <w:pPr>
              <w:spacing w:before="60" w:after="60" w:line="240" w:lineRule="auto"/>
              <w:rPr>
                <w:b/>
                <w:bCs/>
                <w:sz w:val="20"/>
                <w:szCs w:val="20"/>
                <w:shd w:val="clear" w:color="auto" w:fill="FFFFFF"/>
              </w:rPr>
            </w:pPr>
            <w:r w:rsidRPr="002C21B8">
              <w:rPr>
                <w:b/>
                <w:bCs/>
                <w:sz w:val="20"/>
                <w:szCs w:val="20"/>
              </w:rPr>
              <w:t xml:space="preserve">Journal </w:t>
            </w:r>
            <w:r w:rsidR="0039059C" w:rsidRPr="002C21B8">
              <w:rPr>
                <w:b/>
                <w:bCs/>
                <w:sz w:val="20"/>
                <w:szCs w:val="20"/>
              </w:rPr>
              <w:t>a</w:t>
            </w:r>
            <w:r w:rsidR="00B73C3E" w:rsidRPr="002C21B8">
              <w:rPr>
                <w:b/>
                <w:bCs/>
                <w:sz w:val="20"/>
                <w:szCs w:val="20"/>
              </w:rPr>
              <w:t>r</w:t>
            </w:r>
            <w:r w:rsidRPr="002C21B8">
              <w:rPr>
                <w:b/>
                <w:bCs/>
                <w:sz w:val="20"/>
                <w:szCs w:val="20"/>
              </w:rPr>
              <w:t>ticle</w:t>
            </w:r>
          </w:p>
        </w:tc>
      </w:tr>
      <w:tr w:rsidR="00B51A7C" w:rsidRPr="002C21B8" w14:paraId="0B831998" w14:textId="77777777" w:rsidTr="00581663">
        <w:tc>
          <w:tcPr>
            <w:tcW w:w="1843" w:type="dxa"/>
            <w:tcBorders>
              <w:top w:val="single" w:sz="4" w:space="0" w:color="000000" w:themeColor="text1"/>
            </w:tcBorders>
          </w:tcPr>
          <w:p w14:paraId="69410228" w14:textId="6086DB89" w:rsidR="00B51A7C" w:rsidRPr="002C21B8" w:rsidRDefault="005C6B6F" w:rsidP="00A728F6">
            <w:pPr>
              <w:spacing w:before="60" w:after="60" w:line="240" w:lineRule="auto"/>
              <w:jc w:val="left"/>
              <w:rPr>
                <w:sz w:val="20"/>
                <w:szCs w:val="20"/>
                <w:shd w:val="clear" w:color="auto" w:fill="FFFFFF"/>
              </w:rPr>
            </w:pPr>
            <w:r w:rsidRPr="002C21B8">
              <w:rPr>
                <w:sz w:val="20"/>
                <w:szCs w:val="20"/>
                <w:shd w:val="clear" w:color="auto" w:fill="FFFFFF"/>
              </w:rPr>
              <w:t>Phase 1</w:t>
            </w:r>
            <w:r w:rsidR="00791C69" w:rsidRPr="002C21B8">
              <w:rPr>
                <w:sz w:val="20"/>
                <w:szCs w:val="20"/>
                <w:shd w:val="clear" w:color="auto" w:fill="FFFFFF"/>
              </w:rPr>
              <w:t xml:space="preserve">                           </w:t>
            </w:r>
            <w:r w:rsidR="006A3A76" w:rsidRPr="002C21B8">
              <w:rPr>
                <w:sz w:val="20"/>
                <w:szCs w:val="20"/>
                <w:shd w:val="clear" w:color="auto" w:fill="FFFFFF"/>
              </w:rPr>
              <w:t>Systematic review</w:t>
            </w:r>
            <w:r w:rsidR="00B51A7C" w:rsidRPr="002C21B8">
              <w:rPr>
                <w:sz w:val="20"/>
                <w:szCs w:val="20"/>
                <w:shd w:val="clear" w:color="auto" w:fill="FFFFFF"/>
              </w:rPr>
              <w:t xml:space="preserve"> </w:t>
            </w:r>
          </w:p>
        </w:tc>
        <w:tc>
          <w:tcPr>
            <w:tcW w:w="7229" w:type="dxa"/>
            <w:tcBorders>
              <w:top w:val="single" w:sz="4" w:space="0" w:color="000000" w:themeColor="text1"/>
            </w:tcBorders>
            <w:shd w:val="clear" w:color="auto" w:fill="auto"/>
          </w:tcPr>
          <w:p w14:paraId="0CB2599B" w14:textId="658D4173" w:rsidR="00B51A7C" w:rsidRPr="002C21B8" w:rsidRDefault="00B55CD7" w:rsidP="00A728F6">
            <w:pPr>
              <w:spacing w:before="60" w:after="60" w:line="240" w:lineRule="auto"/>
              <w:rPr>
                <w:sz w:val="20"/>
                <w:szCs w:val="20"/>
              </w:rPr>
            </w:pPr>
            <w:r w:rsidRPr="002C21B8">
              <w:rPr>
                <w:sz w:val="20"/>
                <w:szCs w:val="20"/>
                <w:shd w:val="clear" w:color="auto" w:fill="FFFFFF"/>
              </w:rPr>
              <w:t>Gittus, M., O’Cathain, A., Miller, K., Oklopcic, A., Ong, A. C.</w:t>
            </w:r>
            <w:r w:rsidR="00E87068" w:rsidRPr="002C21B8">
              <w:rPr>
                <w:sz w:val="20"/>
                <w:szCs w:val="20"/>
                <w:shd w:val="clear" w:color="auto" w:fill="FFFFFF"/>
              </w:rPr>
              <w:t xml:space="preserve"> M.</w:t>
            </w:r>
            <w:r w:rsidRPr="002C21B8">
              <w:rPr>
                <w:sz w:val="20"/>
                <w:szCs w:val="20"/>
                <w:shd w:val="clear" w:color="auto" w:fill="FFFFFF"/>
              </w:rPr>
              <w:t>, &amp; Fotheringham, J.</w:t>
            </w:r>
            <w:r w:rsidR="00B51A7C" w:rsidRPr="002C21B8">
              <w:rPr>
                <w:sz w:val="20"/>
                <w:szCs w:val="20"/>
                <w:shd w:val="clear" w:color="auto" w:fill="FFFFFF"/>
              </w:rPr>
              <w:t xml:space="preserve"> (2025). A conceptual model of factors potentially influencing prescribing decisions for chronic conditions: an overview of systematic reviews.</w:t>
            </w:r>
            <w:r w:rsidR="00C31442" w:rsidRPr="002C21B8">
              <w:rPr>
                <w:sz w:val="20"/>
                <w:szCs w:val="20"/>
                <w:shd w:val="clear" w:color="auto" w:fill="FFFFFF"/>
              </w:rPr>
              <w:t xml:space="preserve"> </w:t>
            </w:r>
            <w:r w:rsidR="00B51A7C" w:rsidRPr="002C21B8">
              <w:rPr>
                <w:i/>
                <w:iCs/>
                <w:sz w:val="20"/>
                <w:szCs w:val="20"/>
              </w:rPr>
              <w:t>BMC Medicine</w:t>
            </w:r>
            <w:r w:rsidR="00B51A7C" w:rsidRPr="002C21B8">
              <w:rPr>
                <w:sz w:val="20"/>
                <w:szCs w:val="20"/>
                <w:shd w:val="clear" w:color="auto" w:fill="FFFFFF"/>
              </w:rPr>
              <w:t>,</w:t>
            </w:r>
            <w:r w:rsidR="00C31442" w:rsidRPr="002C21B8">
              <w:rPr>
                <w:sz w:val="20"/>
                <w:szCs w:val="20"/>
                <w:shd w:val="clear" w:color="auto" w:fill="FFFFFF"/>
              </w:rPr>
              <w:t xml:space="preserve"> </w:t>
            </w:r>
            <w:r w:rsidR="00B51A7C" w:rsidRPr="002C21B8">
              <w:rPr>
                <w:i/>
                <w:iCs/>
                <w:sz w:val="20"/>
                <w:szCs w:val="20"/>
              </w:rPr>
              <w:t>23</w:t>
            </w:r>
            <w:r w:rsidR="00B51A7C" w:rsidRPr="002C21B8">
              <w:rPr>
                <w:sz w:val="20"/>
                <w:szCs w:val="20"/>
                <w:shd w:val="clear" w:color="auto" w:fill="FFFFFF"/>
              </w:rPr>
              <w:t>(1), 364.</w:t>
            </w:r>
          </w:p>
        </w:tc>
      </w:tr>
      <w:tr w:rsidR="005B758E" w:rsidRPr="002C21B8" w14:paraId="4C4D41C3" w14:textId="77777777" w:rsidTr="00581663">
        <w:trPr>
          <w:trHeight w:val="429"/>
        </w:trPr>
        <w:tc>
          <w:tcPr>
            <w:tcW w:w="1843" w:type="dxa"/>
          </w:tcPr>
          <w:p w14:paraId="614DECBA" w14:textId="0B54796E" w:rsidR="00B51A7C" w:rsidRPr="002C21B8" w:rsidRDefault="005C6B6F" w:rsidP="00A728F6">
            <w:pPr>
              <w:spacing w:before="60" w:after="60" w:line="240" w:lineRule="auto"/>
              <w:jc w:val="left"/>
              <w:rPr>
                <w:sz w:val="20"/>
                <w:szCs w:val="20"/>
                <w:shd w:val="clear" w:color="auto" w:fill="FFFFFF"/>
              </w:rPr>
            </w:pPr>
            <w:r w:rsidRPr="002C21B8">
              <w:rPr>
                <w:sz w:val="20"/>
                <w:szCs w:val="20"/>
                <w:shd w:val="clear" w:color="auto" w:fill="FFFFFF"/>
              </w:rPr>
              <w:t>Phase 2</w:t>
            </w:r>
            <w:r w:rsidR="00791C69" w:rsidRPr="002C21B8">
              <w:rPr>
                <w:sz w:val="20"/>
                <w:szCs w:val="20"/>
                <w:shd w:val="clear" w:color="auto" w:fill="FFFFFF"/>
              </w:rPr>
              <w:t xml:space="preserve">                           </w:t>
            </w:r>
            <w:r w:rsidR="00B51A7C" w:rsidRPr="002C21B8">
              <w:rPr>
                <w:sz w:val="20"/>
                <w:szCs w:val="20"/>
                <w:shd w:val="clear" w:color="auto" w:fill="FFFFFF"/>
              </w:rPr>
              <w:t xml:space="preserve">Analysis of </w:t>
            </w:r>
            <w:r w:rsidRPr="002C21B8">
              <w:rPr>
                <w:sz w:val="20"/>
                <w:szCs w:val="20"/>
                <w:shd w:val="clear" w:color="auto" w:fill="FFFFFF"/>
              </w:rPr>
              <w:t>registry</w:t>
            </w:r>
            <w:r w:rsidR="00B51A7C" w:rsidRPr="002C21B8">
              <w:rPr>
                <w:sz w:val="20"/>
                <w:szCs w:val="20"/>
                <w:shd w:val="clear" w:color="auto" w:fill="FFFFFF"/>
              </w:rPr>
              <w:t xml:space="preserve"> data</w:t>
            </w:r>
          </w:p>
        </w:tc>
        <w:tc>
          <w:tcPr>
            <w:tcW w:w="7229" w:type="dxa"/>
            <w:shd w:val="clear" w:color="auto" w:fill="auto"/>
          </w:tcPr>
          <w:p w14:paraId="3F798C9F" w14:textId="2CDE5108" w:rsidR="00B51A7C" w:rsidRPr="002C21B8" w:rsidRDefault="00B55CD7" w:rsidP="00A728F6">
            <w:pPr>
              <w:spacing w:before="60" w:after="60" w:line="240" w:lineRule="auto"/>
              <w:rPr>
                <w:sz w:val="20"/>
                <w:szCs w:val="20"/>
                <w:shd w:val="clear" w:color="auto" w:fill="FFFFFF"/>
              </w:rPr>
            </w:pPr>
            <w:r w:rsidRPr="002C21B8">
              <w:rPr>
                <w:sz w:val="20"/>
                <w:szCs w:val="20"/>
                <w:shd w:val="clear" w:color="auto" w:fill="FFFFFF"/>
              </w:rPr>
              <w:t>Gittus, M., Pitcher, D., O’Cathain, A., Ong, A.</w:t>
            </w:r>
            <w:r w:rsidR="00CC7787" w:rsidRPr="002C21B8">
              <w:rPr>
                <w:sz w:val="20"/>
                <w:szCs w:val="20"/>
                <w:shd w:val="clear" w:color="auto" w:fill="FFFFFF"/>
              </w:rPr>
              <w:t xml:space="preserve"> </w:t>
            </w:r>
            <w:r w:rsidRPr="002C21B8">
              <w:rPr>
                <w:sz w:val="20"/>
                <w:szCs w:val="20"/>
                <w:shd w:val="clear" w:color="auto" w:fill="FFFFFF"/>
              </w:rPr>
              <w:t>C.</w:t>
            </w:r>
            <w:r w:rsidR="00CC7787" w:rsidRPr="002C21B8">
              <w:rPr>
                <w:sz w:val="20"/>
                <w:szCs w:val="20"/>
                <w:shd w:val="clear" w:color="auto" w:fill="FFFFFF"/>
              </w:rPr>
              <w:t xml:space="preserve"> </w:t>
            </w:r>
            <w:r w:rsidRPr="002C21B8">
              <w:rPr>
                <w:sz w:val="20"/>
                <w:szCs w:val="20"/>
                <w:shd w:val="clear" w:color="auto" w:fill="FFFFFF"/>
              </w:rPr>
              <w:t>M</w:t>
            </w:r>
            <w:r w:rsidR="00CC7787" w:rsidRPr="002C21B8">
              <w:rPr>
                <w:sz w:val="20"/>
                <w:szCs w:val="20"/>
                <w:shd w:val="clear" w:color="auto" w:fill="FFFFFF"/>
              </w:rPr>
              <w:t>.</w:t>
            </w:r>
            <w:r w:rsidRPr="002C21B8">
              <w:rPr>
                <w:sz w:val="20"/>
                <w:szCs w:val="20"/>
                <w:shd w:val="clear" w:color="auto" w:fill="FFFFFF"/>
              </w:rPr>
              <w:t>, Simms, R., Fotheringham, J.</w:t>
            </w:r>
            <w:r w:rsidR="00B51A7C" w:rsidRPr="002C21B8">
              <w:rPr>
                <w:sz w:val="20"/>
                <w:szCs w:val="20"/>
                <w:shd w:val="clear" w:color="auto" w:fill="FFFFFF"/>
              </w:rPr>
              <w:t xml:space="preserve"> </w:t>
            </w:r>
            <w:r w:rsidRPr="002C21B8">
              <w:rPr>
                <w:sz w:val="20"/>
                <w:szCs w:val="20"/>
                <w:shd w:val="clear" w:color="auto" w:fill="FFFFFF"/>
              </w:rPr>
              <w:t xml:space="preserve">(Submitted). </w:t>
            </w:r>
            <w:r w:rsidR="00B51A7C" w:rsidRPr="002C21B8">
              <w:rPr>
                <w:sz w:val="20"/>
                <w:szCs w:val="20"/>
                <w:shd w:val="clear" w:color="auto" w:fill="FFFFFF"/>
              </w:rPr>
              <w:t xml:space="preserve">Variation in </w:t>
            </w:r>
            <w:r w:rsidR="003240DC" w:rsidRPr="002C21B8">
              <w:rPr>
                <w:sz w:val="20"/>
                <w:szCs w:val="20"/>
                <w:shd w:val="clear" w:color="auto" w:fill="FFFFFF"/>
              </w:rPr>
              <w:t>t</w:t>
            </w:r>
            <w:r w:rsidR="00B51A7C" w:rsidRPr="002C21B8">
              <w:rPr>
                <w:sz w:val="20"/>
                <w:szCs w:val="20"/>
                <w:shd w:val="clear" w:color="auto" w:fill="FFFFFF"/>
              </w:rPr>
              <w:t xml:space="preserve">olvaptan </w:t>
            </w:r>
            <w:r w:rsidR="003240DC" w:rsidRPr="002C21B8">
              <w:rPr>
                <w:sz w:val="20"/>
                <w:szCs w:val="20"/>
                <w:shd w:val="clear" w:color="auto" w:fill="FFFFFF"/>
              </w:rPr>
              <w:t>p</w:t>
            </w:r>
            <w:r w:rsidR="00B51A7C" w:rsidRPr="002C21B8">
              <w:rPr>
                <w:sz w:val="20"/>
                <w:szCs w:val="20"/>
                <w:shd w:val="clear" w:color="auto" w:fill="FFFFFF"/>
              </w:rPr>
              <w:t xml:space="preserve">rescribing for </w:t>
            </w:r>
            <w:r w:rsidR="003240DC" w:rsidRPr="002C21B8">
              <w:rPr>
                <w:sz w:val="20"/>
                <w:szCs w:val="20"/>
                <w:shd w:val="clear" w:color="auto" w:fill="FFFFFF"/>
              </w:rPr>
              <w:t>a</w:t>
            </w:r>
            <w:r w:rsidR="00B51A7C" w:rsidRPr="002C21B8">
              <w:rPr>
                <w:sz w:val="20"/>
                <w:szCs w:val="20"/>
                <w:shd w:val="clear" w:color="auto" w:fill="FFFFFF"/>
              </w:rPr>
              <w:t xml:space="preserve">utosomal </w:t>
            </w:r>
            <w:r w:rsidR="003240DC" w:rsidRPr="002C21B8">
              <w:rPr>
                <w:sz w:val="20"/>
                <w:szCs w:val="20"/>
                <w:shd w:val="clear" w:color="auto" w:fill="FFFFFF"/>
              </w:rPr>
              <w:t>d</w:t>
            </w:r>
            <w:r w:rsidR="00B51A7C" w:rsidRPr="002C21B8">
              <w:rPr>
                <w:sz w:val="20"/>
                <w:szCs w:val="20"/>
                <w:shd w:val="clear" w:color="auto" w:fill="FFFFFF"/>
              </w:rPr>
              <w:t xml:space="preserve">ominant </w:t>
            </w:r>
            <w:r w:rsidR="003240DC" w:rsidRPr="002C21B8">
              <w:rPr>
                <w:sz w:val="20"/>
                <w:szCs w:val="20"/>
                <w:shd w:val="clear" w:color="auto" w:fill="FFFFFF"/>
              </w:rPr>
              <w:t>p</w:t>
            </w:r>
            <w:r w:rsidR="00B51A7C" w:rsidRPr="002C21B8">
              <w:rPr>
                <w:sz w:val="20"/>
                <w:szCs w:val="20"/>
                <w:shd w:val="clear" w:color="auto" w:fill="FFFFFF"/>
              </w:rPr>
              <w:t xml:space="preserve">olycystic </w:t>
            </w:r>
            <w:r w:rsidR="003240DC" w:rsidRPr="002C21B8">
              <w:rPr>
                <w:sz w:val="20"/>
                <w:szCs w:val="20"/>
                <w:shd w:val="clear" w:color="auto" w:fill="FFFFFF"/>
              </w:rPr>
              <w:t>k</w:t>
            </w:r>
            <w:r w:rsidR="00B51A7C" w:rsidRPr="002C21B8">
              <w:rPr>
                <w:sz w:val="20"/>
                <w:szCs w:val="20"/>
                <w:shd w:val="clear" w:color="auto" w:fill="FFFFFF"/>
              </w:rPr>
              <w:t xml:space="preserve">idney </w:t>
            </w:r>
            <w:r w:rsidR="003240DC" w:rsidRPr="002C21B8">
              <w:rPr>
                <w:sz w:val="20"/>
                <w:szCs w:val="20"/>
                <w:shd w:val="clear" w:color="auto" w:fill="FFFFFF"/>
              </w:rPr>
              <w:t>d</w:t>
            </w:r>
            <w:r w:rsidR="00B51A7C" w:rsidRPr="002C21B8">
              <w:rPr>
                <w:sz w:val="20"/>
                <w:szCs w:val="20"/>
                <w:shd w:val="clear" w:color="auto" w:fill="FFFFFF"/>
              </w:rPr>
              <w:t xml:space="preserve">isease in the United Kingdom and </w:t>
            </w:r>
            <w:r w:rsidR="003240DC" w:rsidRPr="002C21B8">
              <w:rPr>
                <w:sz w:val="20"/>
                <w:szCs w:val="20"/>
                <w:shd w:val="clear" w:color="auto" w:fill="FFFFFF"/>
              </w:rPr>
              <w:t>i</w:t>
            </w:r>
            <w:r w:rsidR="00B51A7C" w:rsidRPr="002C21B8">
              <w:rPr>
                <w:sz w:val="20"/>
                <w:szCs w:val="20"/>
                <w:shd w:val="clear" w:color="auto" w:fill="FFFFFF"/>
              </w:rPr>
              <w:t xml:space="preserve">ts Impact on </w:t>
            </w:r>
            <w:r w:rsidR="003240DC" w:rsidRPr="002C21B8">
              <w:rPr>
                <w:sz w:val="20"/>
                <w:szCs w:val="20"/>
                <w:shd w:val="clear" w:color="auto" w:fill="FFFFFF"/>
              </w:rPr>
              <w:t>q</w:t>
            </w:r>
            <w:r w:rsidR="00B51A7C" w:rsidRPr="002C21B8">
              <w:rPr>
                <w:sz w:val="20"/>
                <w:szCs w:val="20"/>
                <w:shd w:val="clear" w:color="auto" w:fill="FFFFFF"/>
              </w:rPr>
              <w:t xml:space="preserve">uality of </w:t>
            </w:r>
            <w:r w:rsidR="003240DC" w:rsidRPr="002C21B8">
              <w:rPr>
                <w:sz w:val="20"/>
                <w:szCs w:val="20"/>
                <w:shd w:val="clear" w:color="auto" w:fill="FFFFFF"/>
              </w:rPr>
              <w:t>l</w:t>
            </w:r>
            <w:r w:rsidR="00B51A7C" w:rsidRPr="002C21B8">
              <w:rPr>
                <w:sz w:val="20"/>
                <w:szCs w:val="20"/>
                <w:shd w:val="clear" w:color="auto" w:fill="FFFFFF"/>
              </w:rPr>
              <w:t xml:space="preserve">ife and </w:t>
            </w:r>
            <w:r w:rsidR="003240DC" w:rsidRPr="002C21B8">
              <w:rPr>
                <w:sz w:val="20"/>
                <w:szCs w:val="20"/>
                <w:shd w:val="clear" w:color="auto" w:fill="FFFFFF"/>
              </w:rPr>
              <w:t>c</w:t>
            </w:r>
            <w:r w:rsidR="00B51A7C" w:rsidRPr="002C21B8">
              <w:rPr>
                <w:sz w:val="20"/>
                <w:szCs w:val="20"/>
                <w:shd w:val="clear" w:color="auto" w:fill="FFFFFF"/>
              </w:rPr>
              <w:t>osts.</w:t>
            </w:r>
          </w:p>
        </w:tc>
      </w:tr>
      <w:tr w:rsidR="005B758E" w:rsidRPr="002C21B8" w14:paraId="6B0A835C" w14:textId="77777777" w:rsidTr="00581663">
        <w:tc>
          <w:tcPr>
            <w:tcW w:w="1843" w:type="dxa"/>
          </w:tcPr>
          <w:p w14:paraId="0AEC9397" w14:textId="4F1568AE" w:rsidR="00B51A7C" w:rsidRPr="002C21B8" w:rsidRDefault="005C6B6F" w:rsidP="00A728F6">
            <w:pPr>
              <w:spacing w:before="60" w:after="60" w:line="240" w:lineRule="auto"/>
              <w:jc w:val="left"/>
              <w:rPr>
                <w:sz w:val="20"/>
                <w:szCs w:val="20"/>
                <w:shd w:val="clear" w:color="auto" w:fill="FFFFFF"/>
              </w:rPr>
            </w:pPr>
            <w:r w:rsidRPr="002C21B8">
              <w:rPr>
                <w:sz w:val="20"/>
                <w:szCs w:val="20"/>
                <w:shd w:val="clear" w:color="auto" w:fill="FFFFFF"/>
              </w:rPr>
              <w:t>Phase 3</w:t>
            </w:r>
            <w:r w:rsidR="00791C69" w:rsidRPr="002C21B8">
              <w:rPr>
                <w:sz w:val="20"/>
                <w:szCs w:val="20"/>
                <w:shd w:val="clear" w:color="auto" w:fill="FFFFFF"/>
              </w:rPr>
              <w:t xml:space="preserve">                           </w:t>
            </w:r>
            <w:r w:rsidR="00B51A7C" w:rsidRPr="002C21B8">
              <w:rPr>
                <w:sz w:val="20"/>
                <w:szCs w:val="20"/>
                <w:shd w:val="clear" w:color="auto" w:fill="FFFFFF"/>
              </w:rPr>
              <w:t>Multiple case study</w:t>
            </w:r>
          </w:p>
        </w:tc>
        <w:tc>
          <w:tcPr>
            <w:tcW w:w="7229" w:type="dxa"/>
            <w:shd w:val="clear" w:color="auto" w:fill="auto"/>
          </w:tcPr>
          <w:p w14:paraId="4AE0BEF7" w14:textId="710FCFE2" w:rsidR="00B51A7C" w:rsidRPr="002C21B8" w:rsidRDefault="00B55CD7" w:rsidP="00A728F6">
            <w:pPr>
              <w:spacing w:before="60" w:after="60" w:line="240" w:lineRule="auto"/>
              <w:rPr>
                <w:sz w:val="20"/>
                <w:szCs w:val="20"/>
                <w:shd w:val="clear" w:color="auto" w:fill="FFFFFF"/>
              </w:rPr>
            </w:pPr>
            <w:r w:rsidRPr="002C21B8">
              <w:rPr>
                <w:sz w:val="20"/>
                <w:szCs w:val="20"/>
                <w:shd w:val="clear" w:color="auto" w:fill="FFFFFF"/>
              </w:rPr>
              <w:t xml:space="preserve">Gittus, M., Fotheringham, J., </w:t>
            </w:r>
            <w:r w:rsidR="00A743F3" w:rsidRPr="002C21B8">
              <w:rPr>
                <w:sz w:val="20"/>
                <w:szCs w:val="20"/>
                <w:shd w:val="clear" w:color="auto" w:fill="FFFFFF"/>
              </w:rPr>
              <w:t xml:space="preserve">Ong, A. C. M., </w:t>
            </w:r>
            <w:r w:rsidRPr="002C21B8">
              <w:rPr>
                <w:sz w:val="20"/>
                <w:szCs w:val="20"/>
                <w:shd w:val="clear" w:color="auto" w:fill="FFFFFF"/>
              </w:rPr>
              <w:t>O’Cathain, A.</w:t>
            </w:r>
            <w:r w:rsidR="00B51A7C" w:rsidRPr="002C21B8">
              <w:rPr>
                <w:sz w:val="20"/>
                <w:szCs w:val="20"/>
                <w:shd w:val="clear" w:color="auto" w:fill="FFFFFF"/>
              </w:rPr>
              <w:t xml:space="preserve"> </w:t>
            </w:r>
            <w:r w:rsidRPr="002C21B8">
              <w:rPr>
                <w:sz w:val="20"/>
                <w:szCs w:val="20"/>
                <w:shd w:val="clear" w:color="auto" w:fill="FFFFFF"/>
              </w:rPr>
              <w:t xml:space="preserve">(Submitted). </w:t>
            </w:r>
            <w:r w:rsidR="008E2D67" w:rsidRPr="002C21B8">
              <w:rPr>
                <w:sz w:val="20"/>
                <w:szCs w:val="20"/>
                <w:shd w:val="clear" w:color="auto" w:fill="FFFFFF"/>
              </w:rPr>
              <w:t>Understanding v</w:t>
            </w:r>
            <w:r w:rsidR="00B51A7C" w:rsidRPr="002C21B8">
              <w:rPr>
                <w:sz w:val="20"/>
                <w:szCs w:val="20"/>
                <w:shd w:val="clear" w:color="auto" w:fill="FFFFFF"/>
              </w:rPr>
              <w:t xml:space="preserve">ariation </w:t>
            </w:r>
            <w:r w:rsidR="003240DC" w:rsidRPr="002C21B8">
              <w:rPr>
                <w:sz w:val="20"/>
                <w:szCs w:val="20"/>
                <w:shd w:val="clear" w:color="auto" w:fill="FFFFFF"/>
              </w:rPr>
              <w:t>b</w:t>
            </w:r>
            <w:r w:rsidR="00B51A7C" w:rsidRPr="002C21B8">
              <w:rPr>
                <w:sz w:val="20"/>
                <w:szCs w:val="20"/>
                <w:shd w:val="clear" w:color="auto" w:fill="FFFFFF"/>
              </w:rPr>
              <w:t xml:space="preserve">etween </w:t>
            </w:r>
            <w:r w:rsidR="003240DC" w:rsidRPr="002C21B8">
              <w:rPr>
                <w:sz w:val="20"/>
                <w:szCs w:val="20"/>
                <w:shd w:val="clear" w:color="auto" w:fill="FFFFFF"/>
              </w:rPr>
              <w:t>k</w:t>
            </w:r>
            <w:r w:rsidR="00B51A7C" w:rsidRPr="002C21B8">
              <w:rPr>
                <w:sz w:val="20"/>
                <w:szCs w:val="20"/>
                <w:shd w:val="clear" w:color="auto" w:fill="FFFFFF"/>
              </w:rPr>
              <w:t xml:space="preserve">idney </w:t>
            </w:r>
            <w:r w:rsidR="003240DC" w:rsidRPr="002C21B8">
              <w:rPr>
                <w:sz w:val="20"/>
                <w:szCs w:val="20"/>
                <w:shd w:val="clear" w:color="auto" w:fill="FFFFFF"/>
              </w:rPr>
              <w:t>c</w:t>
            </w:r>
            <w:r w:rsidR="00B51A7C" w:rsidRPr="002C21B8">
              <w:rPr>
                <w:sz w:val="20"/>
                <w:szCs w:val="20"/>
                <w:shd w:val="clear" w:color="auto" w:fill="FFFFFF"/>
              </w:rPr>
              <w:t xml:space="preserve">entres in </w:t>
            </w:r>
            <w:r w:rsidR="008E2D67" w:rsidRPr="002C21B8">
              <w:rPr>
                <w:sz w:val="20"/>
                <w:szCs w:val="20"/>
                <w:shd w:val="clear" w:color="auto" w:fill="FFFFFF"/>
              </w:rPr>
              <w:t>implementation of tolvaptan</w:t>
            </w:r>
            <w:r w:rsidR="00B51A7C" w:rsidRPr="002C21B8">
              <w:rPr>
                <w:sz w:val="20"/>
                <w:szCs w:val="20"/>
                <w:shd w:val="clear" w:color="auto" w:fill="FFFFFF"/>
              </w:rPr>
              <w:t xml:space="preserve"> in the </w:t>
            </w:r>
            <w:r w:rsidR="003240DC" w:rsidRPr="002C21B8">
              <w:rPr>
                <w:sz w:val="20"/>
                <w:szCs w:val="20"/>
                <w:shd w:val="clear" w:color="auto" w:fill="FFFFFF"/>
              </w:rPr>
              <w:t>m</w:t>
            </w:r>
            <w:r w:rsidR="00B51A7C" w:rsidRPr="002C21B8">
              <w:rPr>
                <w:sz w:val="20"/>
                <w:szCs w:val="20"/>
                <w:shd w:val="clear" w:color="auto" w:fill="FFFFFF"/>
              </w:rPr>
              <w:t xml:space="preserve">anagement of </w:t>
            </w:r>
            <w:r w:rsidR="003240DC" w:rsidRPr="002C21B8">
              <w:rPr>
                <w:sz w:val="20"/>
                <w:szCs w:val="20"/>
                <w:shd w:val="clear" w:color="auto" w:fill="FFFFFF"/>
              </w:rPr>
              <w:t>a</w:t>
            </w:r>
            <w:r w:rsidR="00B51A7C" w:rsidRPr="002C21B8">
              <w:rPr>
                <w:sz w:val="20"/>
                <w:szCs w:val="20"/>
                <w:shd w:val="clear" w:color="auto" w:fill="FFFFFF"/>
              </w:rPr>
              <w:t xml:space="preserve">utosomal </w:t>
            </w:r>
            <w:r w:rsidR="003240DC" w:rsidRPr="002C21B8">
              <w:rPr>
                <w:sz w:val="20"/>
                <w:szCs w:val="20"/>
                <w:shd w:val="clear" w:color="auto" w:fill="FFFFFF"/>
              </w:rPr>
              <w:t>d</w:t>
            </w:r>
            <w:r w:rsidR="00B51A7C" w:rsidRPr="002C21B8">
              <w:rPr>
                <w:sz w:val="20"/>
                <w:szCs w:val="20"/>
                <w:shd w:val="clear" w:color="auto" w:fill="FFFFFF"/>
              </w:rPr>
              <w:t xml:space="preserve">ominant </w:t>
            </w:r>
            <w:r w:rsidR="003240DC" w:rsidRPr="002C21B8">
              <w:rPr>
                <w:sz w:val="20"/>
                <w:szCs w:val="20"/>
                <w:shd w:val="clear" w:color="auto" w:fill="FFFFFF"/>
              </w:rPr>
              <w:t>p</w:t>
            </w:r>
            <w:r w:rsidR="00B51A7C" w:rsidRPr="002C21B8">
              <w:rPr>
                <w:sz w:val="20"/>
                <w:szCs w:val="20"/>
                <w:shd w:val="clear" w:color="auto" w:fill="FFFFFF"/>
              </w:rPr>
              <w:t xml:space="preserve">olycystic </w:t>
            </w:r>
            <w:r w:rsidR="003240DC" w:rsidRPr="002C21B8">
              <w:rPr>
                <w:sz w:val="20"/>
                <w:szCs w:val="20"/>
                <w:shd w:val="clear" w:color="auto" w:fill="FFFFFF"/>
              </w:rPr>
              <w:t>k</w:t>
            </w:r>
            <w:r w:rsidR="00B51A7C" w:rsidRPr="002C21B8">
              <w:rPr>
                <w:sz w:val="20"/>
                <w:szCs w:val="20"/>
                <w:shd w:val="clear" w:color="auto" w:fill="FFFFFF"/>
              </w:rPr>
              <w:t xml:space="preserve">idney </w:t>
            </w:r>
            <w:r w:rsidR="003240DC" w:rsidRPr="002C21B8">
              <w:rPr>
                <w:sz w:val="20"/>
                <w:szCs w:val="20"/>
                <w:shd w:val="clear" w:color="auto" w:fill="FFFFFF"/>
              </w:rPr>
              <w:t>d</w:t>
            </w:r>
            <w:r w:rsidR="00B51A7C" w:rsidRPr="002C21B8">
              <w:rPr>
                <w:sz w:val="20"/>
                <w:szCs w:val="20"/>
                <w:shd w:val="clear" w:color="auto" w:fill="FFFFFF"/>
              </w:rPr>
              <w:t xml:space="preserve">isease: </w:t>
            </w:r>
            <w:r w:rsidR="003240DC" w:rsidRPr="002C21B8">
              <w:rPr>
                <w:sz w:val="20"/>
                <w:szCs w:val="20"/>
                <w:shd w:val="clear" w:color="auto" w:fill="FFFFFF"/>
              </w:rPr>
              <w:t>a</w:t>
            </w:r>
            <w:r w:rsidR="00B51A7C" w:rsidRPr="002C21B8">
              <w:rPr>
                <w:sz w:val="20"/>
                <w:szCs w:val="20"/>
                <w:shd w:val="clear" w:color="auto" w:fill="FFFFFF"/>
              </w:rPr>
              <w:t xml:space="preserve"> </w:t>
            </w:r>
            <w:r w:rsidR="003240DC" w:rsidRPr="002C21B8">
              <w:rPr>
                <w:sz w:val="20"/>
                <w:szCs w:val="20"/>
                <w:shd w:val="clear" w:color="auto" w:fill="FFFFFF"/>
              </w:rPr>
              <w:t>m</w:t>
            </w:r>
            <w:r w:rsidR="00B51A7C" w:rsidRPr="002C21B8">
              <w:rPr>
                <w:sz w:val="20"/>
                <w:szCs w:val="20"/>
                <w:shd w:val="clear" w:color="auto" w:fill="FFFFFF"/>
              </w:rPr>
              <w:t xml:space="preserve">ultiple </w:t>
            </w:r>
            <w:r w:rsidR="003240DC" w:rsidRPr="002C21B8">
              <w:rPr>
                <w:sz w:val="20"/>
                <w:szCs w:val="20"/>
                <w:shd w:val="clear" w:color="auto" w:fill="FFFFFF"/>
              </w:rPr>
              <w:t>c</w:t>
            </w:r>
            <w:r w:rsidR="00B51A7C" w:rsidRPr="002C21B8">
              <w:rPr>
                <w:sz w:val="20"/>
                <w:szCs w:val="20"/>
                <w:shd w:val="clear" w:color="auto" w:fill="FFFFFF"/>
              </w:rPr>
              <w:t xml:space="preserve">ase </w:t>
            </w:r>
            <w:r w:rsidR="003240DC" w:rsidRPr="002C21B8">
              <w:rPr>
                <w:sz w:val="20"/>
                <w:szCs w:val="20"/>
                <w:shd w:val="clear" w:color="auto" w:fill="FFFFFF"/>
              </w:rPr>
              <w:t>s</w:t>
            </w:r>
            <w:r w:rsidR="00B51A7C" w:rsidRPr="002C21B8">
              <w:rPr>
                <w:sz w:val="20"/>
                <w:szCs w:val="20"/>
                <w:shd w:val="clear" w:color="auto" w:fill="FFFFFF"/>
              </w:rPr>
              <w:t>tudy.</w:t>
            </w:r>
          </w:p>
        </w:tc>
      </w:tr>
      <w:tr w:rsidR="005B758E" w:rsidRPr="002C21B8" w14:paraId="48597F08" w14:textId="77777777" w:rsidTr="00581663">
        <w:tc>
          <w:tcPr>
            <w:tcW w:w="1843" w:type="dxa"/>
            <w:tcBorders>
              <w:bottom w:val="single" w:sz="12" w:space="0" w:color="000000" w:themeColor="text1"/>
            </w:tcBorders>
          </w:tcPr>
          <w:p w14:paraId="1D770B85" w14:textId="3ED4AFED" w:rsidR="00B51A7C" w:rsidRPr="002C21B8" w:rsidRDefault="005C6B6F" w:rsidP="00A728F6">
            <w:pPr>
              <w:spacing w:before="60" w:after="60" w:line="240" w:lineRule="auto"/>
              <w:jc w:val="left"/>
              <w:rPr>
                <w:sz w:val="20"/>
                <w:szCs w:val="20"/>
                <w:shd w:val="clear" w:color="auto" w:fill="FFFFFF"/>
              </w:rPr>
            </w:pPr>
            <w:r w:rsidRPr="002C21B8">
              <w:rPr>
                <w:sz w:val="20"/>
                <w:szCs w:val="20"/>
                <w:shd w:val="clear" w:color="auto" w:fill="FFFFFF"/>
              </w:rPr>
              <w:t>Phase 3</w:t>
            </w:r>
            <w:r w:rsidR="00791C69" w:rsidRPr="002C21B8">
              <w:rPr>
                <w:sz w:val="20"/>
                <w:szCs w:val="20"/>
                <w:shd w:val="clear" w:color="auto" w:fill="FFFFFF"/>
              </w:rPr>
              <w:t xml:space="preserve">                           </w:t>
            </w:r>
            <w:r w:rsidR="00B51A7C" w:rsidRPr="002C21B8">
              <w:rPr>
                <w:sz w:val="20"/>
                <w:szCs w:val="20"/>
                <w:shd w:val="clear" w:color="auto" w:fill="FFFFFF"/>
              </w:rPr>
              <w:t>Multiple case study</w:t>
            </w:r>
          </w:p>
        </w:tc>
        <w:tc>
          <w:tcPr>
            <w:tcW w:w="7229" w:type="dxa"/>
            <w:tcBorders>
              <w:bottom w:val="single" w:sz="12" w:space="0" w:color="000000" w:themeColor="text1"/>
            </w:tcBorders>
            <w:shd w:val="clear" w:color="auto" w:fill="auto"/>
          </w:tcPr>
          <w:p w14:paraId="0D5E5D08" w14:textId="08BFB152" w:rsidR="00B51A7C" w:rsidRPr="002C21B8" w:rsidRDefault="00B55CD7" w:rsidP="00A728F6">
            <w:pPr>
              <w:spacing w:before="60" w:after="60" w:line="240" w:lineRule="auto"/>
              <w:rPr>
                <w:sz w:val="20"/>
                <w:szCs w:val="20"/>
                <w:shd w:val="clear" w:color="auto" w:fill="FFFFFF"/>
              </w:rPr>
            </w:pPr>
            <w:r w:rsidRPr="002C21B8">
              <w:rPr>
                <w:sz w:val="20"/>
                <w:szCs w:val="20"/>
                <w:shd w:val="clear" w:color="auto" w:fill="FFFFFF"/>
              </w:rPr>
              <w:t xml:space="preserve">Gittus, M., Fotheringham, J., </w:t>
            </w:r>
            <w:r w:rsidR="00A743F3" w:rsidRPr="002C21B8">
              <w:rPr>
                <w:sz w:val="20"/>
                <w:szCs w:val="20"/>
                <w:shd w:val="clear" w:color="auto" w:fill="FFFFFF"/>
              </w:rPr>
              <w:t xml:space="preserve">Ong, A. C. M., </w:t>
            </w:r>
            <w:r w:rsidRPr="002C21B8">
              <w:rPr>
                <w:sz w:val="20"/>
                <w:szCs w:val="20"/>
                <w:shd w:val="clear" w:color="auto" w:fill="FFFFFF"/>
              </w:rPr>
              <w:t>O’Cathain, A</w:t>
            </w:r>
            <w:r w:rsidR="00B51A7C" w:rsidRPr="002C21B8">
              <w:rPr>
                <w:sz w:val="20"/>
                <w:szCs w:val="20"/>
                <w:shd w:val="clear" w:color="auto" w:fill="FFFFFF"/>
              </w:rPr>
              <w:t xml:space="preserve">. </w:t>
            </w:r>
            <w:r w:rsidRPr="002C21B8">
              <w:rPr>
                <w:sz w:val="20"/>
                <w:szCs w:val="20"/>
                <w:shd w:val="clear" w:color="auto" w:fill="FFFFFF"/>
              </w:rPr>
              <w:t>(</w:t>
            </w:r>
            <w:r w:rsidR="0087226F" w:rsidRPr="002C21B8">
              <w:rPr>
                <w:sz w:val="20"/>
                <w:szCs w:val="20"/>
                <w:shd w:val="clear" w:color="auto" w:fill="FFFFFF"/>
              </w:rPr>
              <w:t>In preparation</w:t>
            </w:r>
            <w:r w:rsidRPr="002C21B8">
              <w:rPr>
                <w:sz w:val="20"/>
                <w:szCs w:val="20"/>
                <w:shd w:val="clear" w:color="auto" w:fill="FFFFFF"/>
              </w:rPr>
              <w:t xml:space="preserve">). </w:t>
            </w:r>
            <w:r w:rsidR="00594E99" w:rsidRPr="002C21B8">
              <w:rPr>
                <w:sz w:val="20"/>
                <w:szCs w:val="20"/>
                <w:shd w:val="clear" w:color="auto" w:fill="FFFFFF"/>
              </w:rPr>
              <w:t>A. Developing a conceptual model of prescribing decision-making in rare diseases: insights from tolvaptan prescribing for autosomal dominant polycystic kidney disease.</w:t>
            </w:r>
          </w:p>
        </w:tc>
      </w:tr>
    </w:tbl>
    <w:p w14:paraId="45F3329E" w14:textId="401F447D" w:rsidR="005422A1" w:rsidRPr="002C21B8" w:rsidRDefault="00071700" w:rsidP="00594E99">
      <w:pPr>
        <w:spacing w:before="280"/>
      </w:pPr>
      <w:r w:rsidRPr="002C21B8">
        <w:t xml:space="preserve">The contribution of each of the co-authors can be found in </w:t>
      </w:r>
      <w:hyperlink w:anchor="_Appendix_1._Author" w:history="1">
        <w:r w:rsidRPr="002C21B8">
          <w:rPr>
            <w:rStyle w:val="Hyperlink"/>
          </w:rPr>
          <w:t xml:space="preserve">Appendix </w:t>
        </w:r>
        <w:r w:rsidR="00D96F06" w:rsidRPr="002C21B8">
          <w:rPr>
            <w:rStyle w:val="Hyperlink"/>
          </w:rPr>
          <w:t>1</w:t>
        </w:r>
      </w:hyperlink>
      <w:r w:rsidRPr="002C21B8">
        <w:t>.</w:t>
      </w:r>
      <w:r w:rsidR="00930834" w:rsidRPr="002C21B8">
        <w:t xml:space="preserve"> </w:t>
      </w:r>
      <w:r w:rsidR="008967A6" w:rsidRPr="002C21B8">
        <w:t xml:space="preserve">The </w:t>
      </w:r>
      <w:r w:rsidR="00FC190F" w:rsidRPr="002C21B8">
        <w:t>survey of clinical practice</w:t>
      </w:r>
      <w:r w:rsidR="008967A6" w:rsidRPr="002C21B8">
        <w:t xml:space="preserve"> </w:t>
      </w:r>
      <w:r w:rsidR="006F2D44" w:rsidRPr="002C21B8">
        <w:t xml:space="preserve">in Phase 4 </w:t>
      </w:r>
      <w:r w:rsidR="008967A6" w:rsidRPr="002C21B8">
        <w:t xml:space="preserve">will be published in conjunction with the reanalysis of </w:t>
      </w:r>
      <w:r w:rsidR="006F2D44" w:rsidRPr="002C21B8">
        <w:t>registry</w:t>
      </w:r>
      <w:r w:rsidR="008967A6" w:rsidRPr="002C21B8">
        <w:t xml:space="preserve"> data in a final journal article.</w:t>
      </w:r>
    </w:p>
    <w:p w14:paraId="58EFDC8C" w14:textId="4B44AA3E" w:rsidR="008967A6" w:rsidRPr="002C21B8" w:rsidRDefault="008967A6" w:rsidP="00581663">
      <w:pPr>
        <w:pStyle w:val="Heading2"/>
      </w:pPr>
      <w:bookmarkStart w:id="21" w:name="_Toc229687198"/>
      <w:r w:rsidRPr="002C21B8">
        <w:t>Structure of th</w:t>
      </w:r>
      <w:r w:rsidR="00DD4F37" w:rsidRPr="002C21B8">
        <w:t>e</w:t>
      </w:r>
      <w:r w:rsidRPr="002C21B8">
        <w:t xml:space="preserve"> thesis</w:t>
      </w:r>
      <w:bookmarkEnd w:id="21"/>
    </w:p>
    <w:p w14:paraId="45E44EE4" w14:textId="664A4BA3" w:rsidR="0036794C" w:rsidRPr="002C21B8" w:rsidRDefault="0036794C" w:rsidP="003374F4">
      <w:r w:rsidRPr="002C21B8">
        <w:t xml:space="preserve">The thesis comprises </w:t>
      </w:r>
      <w:r w:rsidR="00F65517" w:rsidRPr="002C21B8">
        <w:t xml:space="preserve">of nine </w:t>
      </w:r>
      <w:r w:rsidRPr="002C21B8">
        <w:t>chapters</w:t>
      </w:r>
      <w:r w:rsidR="002545DB" w:rsidRPr="002C21B8">
        <w:t>,</w:t>
      </w:r>
      <w:r w:rsidR="00E919D7" w:rsidRPr="002C21B8">
        <w:t xml:space="preserve"> including this introduction</w:t>
      </w:r>
      <w:r w:rsidRPr="002C21B8">
        <w:t>.</w:t>
      </w:r>
    </w:p>
    <w:p w14:paraId="046AB288" w14:textId="7A5AF50B" w:rsidR="00A94176" w:rsidRPr="002C21B8" w:rsidRDefault="0036794C" w:rsidP="00EF6650">
      <w:r w:rsidRPr="002C21B8">
        <w:rPr>
          <w:b/>
          <w:bCs/>
        </w:rPr>
        <w:t>Chapter 2</w:t>
      </w:r>
      <w:r w:rsidR="00FC4682" w:rsidRPr="002C21B8">
        <w:rPr>
          <w:b/>
          <w:bCs/>
        </w:rPr>
        <w:t>:</w:t>
      </w:r>
      <w:r w:rsidR="00EF6650" w:rsidRPr="002C21B8">
        <w:t xml:space="preserve"> </w:t>
      </w:r>
      <w:r w:rsidR="00FC4682" w:rsidRPr="002C21B8">
        <w:t>B</w:t>
      </w:r>
      <w:r w:rsidR="00EF6650" w:rsidRPr="002C21B8">
        <w:t xml:space="preserve">ackground on rare diseases, the prescribing process and variation in clinical practice. </w:t>
      </w:r>
      <w:r w:rsidR="00FC4682" w:rsidRPr="002C21B8">
        <w:t xml:space="preserve">It introduces a </w:t>
      </w:r>
      <w:r w:rsidR="00EF6650" w:rsidRPr="002C21B8">
        <w:t xml:space="preserve">theory-based conceptual model </w:t>
      </w:r>
      <w:r w:rsidR="00F82C54" w:rsidRPr="002C21B8">
        <w:t>of</w:t>
      </w:r>
      <w:r w:rsidR="00EF6650" w:rsidRPr="002C21B8">
        <w:t xml:space="preserve"> prescribing decision-making in general </w:t>
      </w:r>
      <w:r w:rsidR="008967A6" w:rsidRPr="002C21B8">
        <w:t xml:space="preserve">and </w:t>
      </w:r>
      <w:r w:rsidR="00EF6650" w:rsidRPr="002C21B8">
        <w:t xml:space="preserve">demonstrates how the decision-making process may </w:t>
      </w:r>
      <w:r w:rsidR="00540223" w:rsidRPr="002C21B8">
        <w:t>vary</w:t>
      </w:r>
      <w:r w:rsidR="00EF6650" w:rsidRPr="002C21B8">
        <w:t xml:space="preserve"> in different contexts. It identifies that there is limited </w:t>
      </w:r>
      <w:r w:rsidR="001B5362" w:rsidRPr="002C21B8">
        <w:t xml:space="preserve">understanding </w:t>
      </w:r>
      <w:r w:rsidR="00EF6650" w:rsidRPr="002C21B8">
        <w:t xml:space="preserve">of the factors that influence prescribing decision-making for rare diseases and how these may contribute to variation in practice. It then positions ADPKD and its sole disease-modifying therapy, tolvaptan, as a suitable </w:t>
      </w:r>
      <w:r w:rsidR="0039091A" w:rsidRPr="002C21B8">
        <w:t xml:space="preserve">case </w:t>
      </w:r>
      <w:r w:rsidR="00EF6650" w:rsidRPr="002C21B8">
        <w:t>to examine these factors for rare diseases in general.</w:t>
      </w:r>
    </w:p>
    <w:p w14:paraId="43823B08" w14:textId="1567C575" w:rsidR="0036794C" w:rsidRPr="002C21B8" w:rsidRDefault="0036794C" w:rsidP="003374F4">
      <w:r w:rsidRPr="002C21B8">
        <w:rPr>
          <w:b/>
          <w:bCs/>
        </w:rPr>
        <w:lastRenderedPageBreak/>
        <w:t xml:space="preserve">Chapter </w:t>
      </w:r>
      <w:r w:rsidR="008967A6" w:rsidRPr="002C21B8">
        <w:rPr>
          <w:b/>
          <w:bCs/>
        </w:rPr>
        <w:t>3</w:t>
      </w:r>
      <w:r w:rsidR="00FC4682" w:rsidRPr="002C21B8">
        <w:rPr>
          <w:b/>
          <w:bCs/>
        </w:rPr>
        <w:t>:</w:t>
      </w:r>
      <w:r w:rsidR="00FC4682" w:rsidRPr="002C21B8">
        <w:t xml:space="preserve"> Overview</w:t>
      </w:r>
      <w:r w:rsidRPr="002C21B8">
        <w:t xml:space="preserve"> of </w:t>
      </w:r>
      <w:r w:rsidR="008967A6" w:rsidRPr="002C21B8">
        <w:t>methodology</w:t>
      </w:r>
      <w:r w:rsidR="00540223" w:rsidRPr="002C21B8">
        <w:t xml:space="preserve"> for the programme of research</w:t>
      </w:r>
      <w:r w:rsidRPr="002C21B8">
        <w:t>.</w:t>
      </w:r>
    </w:p>
    <w:p w14:paraId="25E5FDD2" w14:textId="514B94AA" w:rsidR="008967A6" w:rsidRPr="002C21B8" w:rsidRDefault="008967A6" w:rsidP="008967A6">
      <w:r w:rsidRPr="002C21B8">
        <w:rPr>
          <w:b/>
          <w:bCs/>
        </w:rPr>
        <w:t>Chapter 4</w:t>
      </w:r>
      <w:r w:rsidR="00FC4682" w:rsidRPr="002C21B8">
        <w:rPr>
          <w:b/>
          <w:bCs/>
        </w:rPr>
        <w:t>:</w:t>
      </w:r>
      <w:r w:rsidRPr="002C21B8">
        <w:rPr>
          <w:b/>
          <w:bCs/>
        </w:rPr>
        <w:t xml:space="preserve"> </w:t>
      </w:r>
      <w:r w:rsidR="00FC4682" w:rsidRPr="002C21B8">
        <w:t>S</w:t>
      </w:r>
      <w:r w:rsidRPr="002C21B8">
        <w:t xml:space="preserve">ystematic review (an </w:t>
      </w:r>
      <w:r w:rsidR="00E06102" w:rsidRPr="002C21B8">
        <w:t>overview of systematic reviews</w:t>
      </w:r>
      <w:r w:rsidRPr="002C21B8">
        <w:t xml:space="preserve">) that synthesises wider literature and adapts the existing conceptual model of factors influencing prescribing decisions in general to chronic </w:t>
      </w:r>
      <w:r w:rsidR="00717D3C" w:rsidRPr="002C21B8">
        <w:t>condition</w:t>
      </w:r>
      <w:r w:rsidRPr="002C21B8">
        <w:t>s (published journal article).</w:t>
      </w:r>
    </w:p>
    <w:p w14:paraId="75CA55E7" w14:textId="0DC1F8CA" w:rsidR="008967A6" w:rsidRPr="002C21B8" w:rsidRDefault="0036794C" w:rsidP="003374F4">
      <w:pPr>
        <w:rPr>
          <w:b/>
          <w:bCs/>
        </w:rPr>
      </w:pPr>
      <w:r w:rsidRPr="002C21B8">
        <w:rPr>
          <w:b/>
          <w:bCs/>
        </w:rPr>
        <w:t>Chapter 5</w:t>
      </w:r>
      <w:r w:rsidR="00FC4682" w:rsidRPr="002C21B8">
        <w:rPr>
          <w:b/>
          <w:bCs/>
        </w:rPr>
        <w:t>:</w:t>
      </w:r>
      <w:r w:rsidRPr="002C21B8">
        <w:rPr>
          <w:b/>
          <w:bCs/>
        </w:rPr>
        <w:t xml:space="preserve"> </w:t>
      </w:r>
      <w:r w:rsidR="008967A6" w:rsidRPr="002C21B8">
        <w:t>Quan</w:t>
      </w:r>
      <w:r w:rsidR="00C31442" w:rsidRPr="002C21B8">
        <w:t>titative</w:t>
      </w:r>
      <w:r w:rsidR="008967A6" w:rsidRPr="002C21B8">
        <w:t xml:space="preserve"> </w:t>
      </w:r>
      <w:r w:rsidR="00581663" w:rsidRPr="002C21B8">
        <w:t xml:space="preserve">registry data </w:t>
      </w:r>
      <w:r w:rsidR="008967A6" w:rsidRPr="002C21B8">
        <w:t>analysis of</w:t>
      </w:r>
      <w:r w:rsidR="00C31442" w:rsidRPr="002C21B8">
        <w:t xml:space="preserve"> tolvaptan</w:t>
      </w:r>
      <w:r w:rsidR="00DD4F37" w:rsidRPr="002C21B8">
        <w:t xml:space="preserve"> prescribing </w:t>
      </w:r>
      <w:r w:rsidR="008967A6" w:rsidRPr="002C21B8">
        <w:t>(submitted journal article)</w:t>
      </w:r>
      <w:r w:rsidR="00C31442" w:rsidRPr="002C21B8">
        <w:t>.</w:t>
      </w:r>
    </w:p>
    <w:p w14:paraId="2B85D1FC" w14:textId="75E36DE3" w:rsidR="008967A6" w:rsidRPr="002C21B8" w:rsidRDefault="008967A6" w:rsidP="003374F4">
      <w:r w:rsidRPr="002C21B8">
        <w:rPr>
          <w:b/>
          <w:bCs/>
        </w:rPr>
        <w:t>Chapter 6</w:t>
      </w:r>
      <w:r w:rsidR="00FC4682" w:rsidRPr="002C21B8">
        <w:rPr>
          <w:b/>
          <w:bCs/>
        </w:rPr>
        <w:t>:</w:t>
      </w:r>
      <w:r w:rsidR="00C31442" w:rsidRPr="002C21B8">
        <w:rPr>
          <w:b/>
          <w:bCs/>
        </w:rPr>
        <w:t xml:space="preserve"> </w:t>
      </w:r>
      <w:r w:rsidR="00DD4F37" w:rsidRPr="002C21B8">
        <w:t xml:space="preserve">Variation in </w:t>
      </w:r>
      <w:r w:rsidR="00C31442" w:rsidRPr="002C21B8">
        <w:t>tolvaptan</w:t>
      </w:r>
      <w:r w:rsidR="00DD4F37" w:rsidRPr="002C21B8">
        <w:t xml:space="preserve"> prescribing in three UK kidney centres </w:t>
      </w:r>
      <w:r w:rsidRPr="002C21B8">
        <w:t>(</w:t>
      </w:r>
      <w:r w:rsidR="00DD4F37" w:rsidRPr="002C21B8">
        <w:t>submitted journal article)</w:t>
      </w:r>
      <w:r w:rsidR="00C31442" w:rsidRPr="002C21B8">
        <w:t>.</w:t>
      </w:r>
    </w:p>
    <w:p w14:paraId="05BFEA99" w14:textId="6C748162" w:rsidR="008967A6" w:rsidRPr="002C21B8" w:rsidRDefault="008967A6" w:rsidP="003374F4">
      <w:r w:rsidRPr="002C21B8">
        <w:rPr>
          <w:b/>
          <w:bCs/>
        </w:rPr>
        <w:t>Chapter 7</w:t>
      </w:r>
      <w:r w:rsidR="00FC4682" w:rsidRPr="002C21B8">
        <w:rPr>
          <w:b/>
          <w:bCs/>
        </w:rPr>
        <w:t>:</w:t>
      </w:r>
      <w:r w:rsidR="00C31442" w:rsidRPr="002C21B8">
        <w:rPr>
          <w:b/>
          <w:bCs/>
        </w:rPr>
        <w:t xml:space="preserve"> </w:t>
      </w:r>
      <w:r w:rsidR="00DD4F37" w:rsidRPr="002C21B8">
        <w:t>Factors influencing</w:t>
      </w:r>
      <w:r w:rsidR="00C66FE3" w:rsidRPr="002C21B8">
        <w:rPr>
          <w:shd w:val="clear" w:color="auto" w:fill="FFFFFF"/>
        </w:rPr>
        <w:t xml:space="preserve"> clinicians’ decisions to initiate tolvaptan for autosomal dominant polycystic kidney disease</w:t>
      </w:r>
      <w:r w:rsidR="00DD4F37" w:rsidRPr="002C21B8">
        <w:t xml:space="preserve"> to help build a new conceptual model of </w:t>
      </w:r>
      <w:r w:rsidR="00C66FE3" w:rsidRPr="002C21B8">
        <w:t xml:space="preserve">prescribing decision-making in rare diseases </w:t>
      </w:r>
      <w:r w:rsidR="00DD4F37" w:rsidRPr="002C21B8">
        <w:t>(journal article in preparation for submission)</w:t>
      </w:r>
      <w:r w:rsidR="0039091A" w:rsidRPr="002C21B8">
        <w:t>.</w:t>
      </w:r>
    </w:p>
    <w:p w14:paraId="761F870E" w14:textId="551C990E" w:rsidR="0036794C" w:rsidRPr="002C21B8" w:rsidRDefault="008967A6" w:rsidP="003374F4">
      <w:r w:rsidRPr="002C21B8">
        <w:rPr>
          <w:b/>
          <w:bCs/>
        </w:rPr>
        <w:t xml:space="preserve">Chapter </w:t>
      </w:r>
      <w:r w:rsidR="00DD4F37" w:rsidRPr="002C21B8">
        <w:rPr>
          <w:b/>
          <w:bCs/>
        </w:rPr>
        <w:t>8</w:t>
      </w:r>
      <w:r w:rsidR="00FC4682" w:rsidRPr="002C21B8">
        <w:rPr>
          <w:b/>
          <w:bCs/>
        </w:rPr>
        <w:t>:</w:t>
      </w:r>
      <w:r w:rsidR="00DD4F37" w:rsidRPr="002C21B8">
        <w:rPr>
          <w:b/>
          <w:bCs/>
        </w:rPr>
        <w:t xml:space="preserve"> </w:t>
      </w:r>
      <w:r w:rsidR="00A620D6" w:rsidRPr="002C21B8">
        <w:t>N</w:t>
      </w:r>
      <w:r w:rsidR="00C31442" w:rsidRPr="002C21B8">
        <w:t xml:space="preserve">ational </w:t>
      </w:r>
      <w:r w:rsidR="00FC190F" w:rsidRPr="002C21B8">
        <w:t>survey of clinical practice</w:t>
      </w:r>
      <w:r w:rsidR="00C31442" w:rsidRPr="002C21B8">
        <w:t xml:space="preserve"> </w:t>
      </w:r>
      <w:r w:rsidR="0033772C" w:rsidRPr="002C21B8">
        <w:t>to</w:t>
      </w:r>
      <w:r w:rsidR="00C31442" w:rsidRPr="002C21B8">
        <w:t xml:space="preserve"> </w:t>
      </w:r>
      <w:r w:rsidR="0033772C" w:rsidRPr="002C21B8">
        <w:t>assess practices and factors influencing tolvaptan prescribing in UK kidney centres.</w:t>
      </w:r>
    </w:p>
    <w:p w14:paraId="6CF22E67" w14:textId="28B6CEF9" w:rsidR="0036794C" w:rsidRPr="002C21B8" w:rsidRDefault="0036794C" w:rsidP="003374F4">
      <w:r w:rsidRPr="002C21B8">
        <w:rPr>
          <w:b/>
          <w:bCs/>
        </w:rPr>
        <w:t xml:space="preserve">Chapter </w:t>
      </w:r>
      <w:r w:rsidR="00EB5EE8" w:rsidRPr="002C21B8">
        <w:rPr>
          <w:b/>
          <w:bCs/>
        </w:rPr>
        <w:t>9</w:t>
      </w:r>
      <w:r w:rsidR="00FC4682" w:rsidRPr="002C21B8">
        <w:rPr>
          <w:b/>
          <w:bCs/>
        </w:rPr>
        <w:t>:</w:t>
      </w:r>
      <w:r w:rsidRPr="002C21B8">
        <w:t xml:space="preserve"> </w:t>
      </w:r>
      <w:r w:rsidR="00FC4682" w:rsidRPr="002C21B8">
        <w:t>D</w:t>
      </w:r>
      <w:r w:rsidRPr="002C21B8">
        <w:t>iscussion</w:t>
      </w:r>
      <w:r w:rsidR="00DD4F37" w:rsidRPr="002C21B8">
        <w:t xml:space="preserve"> </w:t>
      </w:r>
      <w:r w:rsidR="00FC4682" w:rsidRPr="002C21B8">
        <w:t>of</w:t>
      </w:r>
      <w:r w:rsidRPr="002C21B8">
        <w:t xml:space="preserve"> the main findings, compar</w:t>
      </w:r>
      <w:r w:rsidR="00FC4682" w:rsidRPr="002C21B8">
        <w:t xml:space="preserve">ison with existing literature, </w:t>
      </w:r>
      <w:r w:rsidRPr="002C21B8">
        <w:t xml:space="preserve">strengths and limitations </w:t>
      </w:r>
      <w:r w:rsidR="00DD4F37" w:rsidRPr="002C21B8">
        <w:t xml:space="preserve">and </w:t>
      </w:r>
      <w:r w:rsidR="00FC4682" w:rsidRPr="002C21B8">
        <w:t>r</w:t>
      </w:r>
      <w:r w:rsidRPr="002C21B8">
        <w:t xml:space="preserve">ecommendations for </w:t>
      </w:r>
      <w:r w:rsidR="00EF6650" w:rsidRPr="002C21B8">
        <w:t>clinical practice and future research</w:t>
      </w:r>
      <w:r w:rsidRPr="002C21B8">
        <w:t>.</w:t>
      </w:r>
    </w:p>
    <w:p w14:paraId="383676EB" w14:textId="3C700296" w:rsidR="005422A1" w:rsidRPr="002C21B8" w:rsidRDefault="00072AF3" w:rsidP="007F4F1D">
      <w:r w:rsidRPr="002C21B8">
        <w:t xml:space="preserve">Due to the word count limitations imposed by journals, </w:t>
      </w:r>
      <w:r w:rsidR="00D165E2" w:rsidRPr="002C21B8">
        <w:t xml:space="preserve">some details </w:t>
      </w:r>
      <w:r w:rsidR="006F2D44" w:rsidRPr="002C21B8">
        <w:t>of</w:t>
      </w:r>
      <w:r w:rsidR="00D165E2" w:rsidRPr="002C21B8">
        <w:t xml:space="preserve"> the methods have not been included in </w:t>
      </w:r>
      <w:r w:rsidR="00FC4682" w:rsidRPr="002C21B8">
        <w:t>C</w:t>
      </w:r>
      <w:r w:rsidR="00D165E2" w:rsidRPr="002C21B8">
        <w:t xml:space="preserve">hapters </w:t>
      </w:r>
      <w:r w:rsidR="00C31442" w:rsidRPr="002C21B8">
        <w:t>4</w:t>
      </w:r>
      <w:r w:rsidR="00D165E2" w:rsidRPr="002C21B8">
        <w:t xml:space="preserve"> to </w:t>
      </w:r>
      <w:r w:rsidR="00C31442" w:rsidRPr="002C21B8">
        <w:t>8</w:t>
      </w:r>
      <w:r w:rsidR="00D165E2" w:rsidRPr="002C21B8">
        <w:t>.</w:t>
      </w:r>
      <w:r w:rsidR="00540223" w:rsidRPr="002C21B8">
        <w:t xml:space="preserve"> </w:t>
      </w:r>
      <w:r w:rsidRPr="002C21B8">
        <w:t>Additional detail</w:t>
      </w:r>
      <w:r w:rsidR="00D165E2" w:rsidRPr="002C21B8">
        <w:t>s</w:t>
      </w:r>
      <w:r w:rsidR="006374DF" w:rsidRPr="002C21B8">
        <w:t xml:space="preserve"> </w:t>
      </w:r>
      <w:r w:rsidRPr="002C21B8">
        <w:t>ha</w:t>
      </w:r>
      <w:r w:rsidR="00D165E2" w:rsidRPr="002C21B8">
        <w:t>ve</w:t>
      </w:r>
      <w:r w:rsidRPr="002C21B8">
        <w:t xml:space="preserve"> been provided in the appendices.</w:t>
      </w:r>
    </w:p>
    <w:p w14:paraId="6855AC3D" w14:textId="3E6B06DF" w:rsidR="0023376C" w:rsidRPr="002C21B8" w:rsidRDefault="0023376C" w:rsidP="00581663">
      <w:pPr>
        <w:pStyle w:val="Heading2"/>
        <w:spacing w:after="120"/>
      </w:pPr>
      <w:bookmarkStart w:id="22" w:name="_Toc229687199"/>
      <w:r w:rsidRPr="002C21B8">
        <w:t>Dissemination</w:t>
      </w:r>
      <w:bookmarkEnd w:id="22"/>
    </w:p>
    <w:p w14:paraId="39BD8550" w14:textId="77777777" w:rsidR="0023376C" w:rsidRPr="002C21B8" w:rsidRDefault="0023376C" w:rsidP="001B5362">
      <w:pPr>
        <w:spacing w:before="40" w:after="0"/>
        <w:rPr>
          <w:b/>
          <w:bCs/>
          <w:sz w:val="28"/>
          <w:szCs w:val="28"/>
        </w:rPr>
      </w:pPr>
      <w:r w:rsidRPr="002C21B8">
        <w:rPr>
          <w:b/>
          <w:bCs/>
          <w:sz w:val="28"/>
          <w:szCs w:val="28"/>
        </w:rPr>
        <w:t>Publications</w:t>
      </w:r>
    </w:p>
    <w:p w14:paraId="54FB5AF2" w14:textId="49DCDD8A" w:rsidR="00930834" w:rsidRPr="002C21B8" w:rsidRDefault="0023376C" w:rsidP="00581663">
      <w:pPr>
        <w:rPr>
          <w:shd w:val="clear" w:color="auto" w:fill="FFFFFF"/>
        </w:rPr>
      </w:pPr>
      <w:r w:rsidRPr="002C21B8">
        <w:rPr>
          <w:shd w:val="clear" w:color="auto" w:fill="FFFFFF"/>
        </w:rPr>
        <w:t>Gittus, M., O’Cathain, A., Miller, K., Oklopcic, A., Ong, A. C.</w:t>
      </w:r>
      <w:r w:rsidR="0087226F" w:rsidRPr="002C21B8">
        <w:rPr>
          <w:shd w:val="clear" w:color="auto" w:fill="FFFFFF"/>
        </w:rPr>
        <w:t xml:space="preserve"> M.</w:t>
      </w:r>
      <w:r w:rsidRPr="002C21B8">
        <w:rPr>
          <w:shd w:val="clear" w:color="auto" w:fill="FFFFFF"/>
        </w:rPr>
        <w:t>, Fotheringham, J. (2025). A conceptual model of factors potentially influencing prescribing decisions for chronic conditions: an overview of systematic reviews.</w:t>
      </w:r>
      <w:r w:rsidRPr="002C21B8">
        <w:rPr>
          <w:rStyle w:val="apple-converted-space"/>
          <w:color w:val="222222"/>
          <w:shd w:val="clear" w:color="auto" w:fill="FFFFFF"/>
        </w:rPr>
        <w:t xml:space="preserve"> </w:t>
      </w:r>
      <w:r w:rsidRPr="002C21B8">
        <w:rPr>
          <w:i/>
          <w:iCs/>
        </w:rPr>
        <w:t>BMC Medicine</w:t>
      </w:r>
      <w:r w:rsidRPr="002C21B8">
        <w:rPr>
          <w:shd w:val="clear" w:color="auto" w:fill="FFFFFF"/>
        </w:rPr>
        <w:t>,</w:t>
      </w:r>
      <w:r w:rsidRPr="002C21B8">
        <w:rPr>
          <w:rStyle w:val="apple-converted-space"/>
          <w:color w:val="222222"/>
          <w:shd w:val="clear" w:color="auto" w:fill="FFFFFF"/>
        </w:rPr>
        <w:t xml:space="preserve"> </w:t>
      </w:r>
      <w:r w:rsidRPr="002C21B8">
        <w:rPr>
          <w:i/>
          <w:iCs/>
        </w:rPr>
        <w:t>23</w:t>
      </w:r>
      <w:r w:rsidRPr="002C21B8">
        <w:rPr>
          <w:shd w:val="clear" w:color="auto" w:fill="FFFFFF"/>
        </w:rPr>
        <w:t>(1), 364.</w:t>
      </w:r>
    </w:p>
    <w:p w14:paraId="2033CC5E" w14:textId="77777777" w:rsidR="0023376C" w:rsidRPr="002C21B8" w:rsidRDefault="0023376C" w:rsidP="001B5362">
      <w:pPr>
        <w:spacing w:before="40" w:after="0"/>
        <w:rPr>
          <w:b/>
          <w:bCs/>
          <w:sz w:val="28"/>
          <w:szCs w:val="28"/>
        </w:rPr>
      </w:pPr>
      <w:r w:rsidRPr="002C21B8">
        <w:rPr>
          <w:b/>
          <w:bCs/>
          <w:sz w:val="28"/>
          <w:szCs w:val="28"/>
        </w:rPr>
        <w:t>Submitted</w:t>
      </w:r>
    </w:p>
    <w:p w14:paraId="7E33EC37" w14:textId="56D82201" w:rsidR="0023376C" w:rsidRPr="002C21B8" w:rsidRDefault="0023376C" w:rsidP="00581663">
      <w:pPr>
        <w:rPr>
          <w:i/>
          <w:iCs/>
          <w:shd w:val="clear" w:color="auto" w:fill="FFFFFF"/>
        </w:rPr>
      </w:pPr>
      <w:r w:rsidRPr="002C21B8">
        <w:rPr>
          <w:shd w:val="clear" w:color="auto" w:fill="FFFFFF"/>
        </w:rPr>
        <w:t>Gittus, M., Pitcher, D., O’Cathain, A., Ong, A.</w:t>
      </w:r>
      <w:r w:rsidR="0087226F" w:rsidRPr="002C21B8">
        <w:rPr>
          <w:shd w:val="clear" w:color="auto" w:fill="FFFFFF"/>
        </w:rPr>
        <w:t xml:space="preserve"> </w:t>
      </w:r>
      <w:r w:rsidRPr="002C21B8">
        <w:rPr>
          <w:shd w:val="clear" w:color="auto" w:fill="FFFFFF"/>
        </w:rPr>
        <w:t>C.</w:t>
      </w:r>
      <w:r w:rsidR="0087226F" w:rsidRPr="002C21B8">
        <w:rPr>
          <w:shd w:val="clear" w:color="auto" w:fill="FFFFFF"/>
        </w:rPr>
        <w:t xml:space="preserve"> </w:t>
      </w:r>
      <w:r w:rsidRPr="002C21B8">
        <w:rPr>
          <w:shd w:val="clear" w:color="auto" w:fill="FFFFFF"/>
        </w:rPr>
        <w:t xml:space="preserve">M., Simms, R., Fotheringham, J. Variation in </w:t>
      </w:r>
      <w:r w:rsidR="00766F30" w:rsidRPr="002C21B8">
        <w:rPr>
          <w:shd w:val="clear" w:color="auto" w:fill="FFFFFF"/>
        </w:rPr>
        <w:t>t</w:t>
      </w:r>
      <w:r w:rsidRPr="002C21B8">
        <w:rPr>
          <w:shd w:val="clear" w:color="auto" w:fill="FFFFFF"/>
        </w:rPr>
        <w:t xml:space="preserve">olvaptan </w:t>
      </w:r>
      <w:r w:rsidR="00766F30" w:rsidRPr="002C21B8">
        <w:rPr>
          <w:shd w:val="clear" w:color="auto" w:fill="FFFFFF"/>
        </w:rPr>
        <w:t>p</w:t>
      </w:r>
      <w:r w:rsidRPr="002C21B8">
        <w:rPr>
          <w:shd w:val="clear" w:color="auto" w:fill="FFFFFF"/>
        </w:rPr>
        <w:t xml:space="preserve">rescribing for </w:t>
      </w:r>
      <w:r w:rsidR="00766F30" w:rsidRPr="002C21B8">
        <w:rPr>
          <w:shd w:val="clear" w:color="auto" w:fill="FFFFFF"/>
        </w:rPr>
        <w:t>a</w:t>
      </w:r>
      <w:r w:rsidRPr="002C21B8">
        <w:rPr>
          <w:shd w:val="clear" w:color="auto" w:fill="FFFFFF"/>
        </w:rPr>
        <w:t xml:space="preserve">utosomal </w:t>
      </w:r>
      <w:r w:rsidR="00766F30" w:rsidRPr="002C21B8">
        <w:rPr>
          <w:shd w:val="clear" w:color="auto" w:fill="FFFFFF"/>
        </w:rPr>
        <w:t>d</w:t>
      </w:r>
      <w:r w:rsidRPr="002C21B8">
        <w:rPr>
          <w:shd w:val="clear" w:color="auto" w:fill="FFFFFF"/>
        </w:rPr>
        <w:t xml:space="preserve">ominant </w:t>
      </w:r>
      <w:r w:rsidR="00766F30" w:rsidRPr="002C21B8">
        <w:rPr>
          <w:shd w:val="clear" w:color="auto" w:fill="FFFFFF"/>
        </w:rPr>
        <w:t>p</w:t>
      </w:r>
      <w:r w:rsidRPr="002C21B8">
        <w:rPr>
          <w:shd w:val="clear" w:color="auto" w:fill="FFFFFF"/>
        </w:rPr>
        <w:t xml:space="preserve">olycystic </w:t>
      </w:r>
      <w:r w:rsidR="00766F30" w:rsidRPr="002C21B8">
        <w:rPr>
          <w:shd w:val="clear" w:color="auto" w:fill="FFFFFF"/>
        </w:rPr>
        <w:t>k</w:t>
      </w:r>
      <w:r w:rsidRPr="002C21B8">
        <w:rPr>
          <w:shd w:val="clear" w:color="auto" w:fill="FFFFFF"/>
        </w:rPr>
        <w:t xml:space="preserve">idney </w:t>
      </w:r>
      <w:r w:rsidR="00766F30" w:rsidRPr="002C21B8">
        <w:rPr>
          <w:shd w:val="clear" w:color="auto" w:fill="FFFFFF"/>
        </w:rPr>
        <w:t>d</w:t>
      </w:r>
      <w:r w:rsidRPr="002C21B8">
        <w:rPr>
          <w:shd w:val="clear" w:color="auto" w:fill="FFFFFF"/>
        </w:rPr>
        <w:t xml:space="preserve">isease in the United Kingdom and </w:t>
      </w:r>
      <w:r w:rsidR="00766F30" w:rsidRPr="002C21B8">
        <w:rPr>
          <w:shd w:val="clear" w:color="auto" w:fill="FFFFFF"/>
        </w:rPr>
        <w:t>i</w:t>
      </w:r>
      <w:r w:rsidRPr="002C21B8">
        <w:rPr>
          <w:shd w:val="clear" w:color="auto" w:fill="FFFFFF"/>
        </w:rPr>
        <w:t xml:space="preserve">ts </w:t>
      </w:r>
      <w:r w:rsidR="00766F30" w:rsidRPr="002C21B8">
        <w:rPr>
          <w:shd w:val="clear" w:color="auto" w:fill="FFFFFF"/>
        </w:rPr>
        <w:t>i</w:t>
      </w:r>
      <w:r w:rsidRPr="002C21B8">
        <w:rPr>
          <w:shd w:val="clear" w:color="auto" w:fill="FFFFFF"/>
        </w:rPr>
        <w:t xml:space="preserve">mpact on </w:t>
      </w:r>
      <w:r w:rsidR="00766F30" w:rsidRPr="002C21B8">
        <w:rPr>
          <w:shd w:val="clear" w:color="auto" w:fill="FFFFFF"/>
        </w:rPr>
        <w:t>q</w:t>
      </w:r>
      <w:r w:rsidRPr="002C21B8">
        <w:rPr>
          <w:shd w:val="clear" w:color="auto" w:fill="FFFFFF"/>
        </w:rPr>
        <w:t xml:space="preserve">uality of </w:t>
      </w:r>
      <w:r w:rsidR="00766F30" w:rsidRPr="002C21B8">
        <w:rPr>
          <w:shd w:val="clear" w:color="auto" w:fill="FFFFFF"/>
        </w:rPr>
        <w:t>l</w:t>
      </w:r>
      <w:r w:rsidRPr="002C21B8">
        <w:rPr>
          <w:shd w:val="clear" w:color="auto" w:fill="FFFFFF"/>
        </w:rPr>
        <w:t xml:space="preserve">ife and </w:t>
      </w:r>
      <w:r w:rsidR="00766F30" w:rsidRPr="002C21B8">
        <w:rPr>
          <w:shd w:val="clear" w:color="auto" w:fill="FFFFFF"/>
        </w:rPr>
        <w:t>c</w:t>
      </w:r>
      <w:r w:rsidRPr="002C21B8">
        <w:rPr>
          <w:shd w:val="clear" w:color="auto" w:fill="FFFFFF"/>
        </w:rPr>
        <w:t>osts.</w:t>
      </w:r>
      <w:r w:rsidR="008606E7" w:rsidRPr="002C21B8">
        <w:rPr>
          <w:shd w:val="clear" w:color="auto" w:fill="FFFFFF"/>
        </w:rPr>
        <w:t xml:space="preserve"> Submitted to</w:t>
      </w:r>
      <w:r w:rsidRPr="002C21B8">
        <w:rPr>
          <w:shd w:val="clear" w:color="auto" w:fill="FFFFFF"/>
        </w:rPr>
        <w:t xml:space="preserve"> </w:t>
      </w:r>
      <w:r w:rsidRPr="002C21B8">
        <w:rPr>
          <w:i/>
          <w:iCs/>
          <w:shd w:val="clear" w:color="auto" w:fill="FFFFFF"/>
        </w:rPr>
        <w:t>PLOS One</w:t>
      </w:r>
      <w:r w:rsidR="0059251B" w:rsidRPr="002C21B8">
        <w:rPr>
          <w:i/>
          <w:iCs/>
          <w:shd w:val="clear" w:color="auto" w:fill="FFFFFF"/>
        </w:rPr>
        <w:t>.</w:t>
      </w:r>
    </w:p>
    <w:p w14:paraId="28F9F16B" w14:textId="3B96BA51" w:rsidR="007E1334" w:rsidRPr="002C21B8" w:rsidRDefault="0023376C" w:rsidP="00581663">
      <w:pPr>
        <w:rPr>
          <w:i/>
          <w:iCs/>
          <w:shd w:val="clear" w:color="auto" w:fill="FFFFFF"/>
        </w:rPr>
      </w:pPr>
      <w:r w:rsidRPr="002C21B8">
        <w:rPr>
          <w:shd w:val="clear" w:color="auto" w:fill="FFFFFF"/>
        </w:rPr>
        <w:t>Gittus</w:t>
      </w:r>
      <w:r w:rsidR="001B5362" w:rsidRPr="002C21B8">
        <w:rPr>
          <w:shd w:val="clear" w:color="auto" w:fill="FFFFFF"/>
        </w:rPr>
        <w:t>,</w:t>
      </w:r>
      <w:r w:rsidRPr="002C21B8">
        <w:rPr>
          <w:shd w:val="clear" w:color="auto" w:fill="FFFFFF"/>
        </w:rPr>
        <w:t xml:space="preserve"> M</w:t>
      </w:r>
      <w:r w:rsidR="001B5362" w:rsidRPr="002C21B8">
        <w:rPr>
          <w:shd w:val="clear" w:color="auto" w:fill="FFFFFF"/>
        </w:rPr>
        <w:t>.</w:t>
      </w:r>
      <w:r w:rsidRPr="002C21B8">
        <w:rPr>
          <w:shd w:val="clear" w:color="auto" w:fill="FFFFFF"/>
        </w:rPr>
        <w:t>, Fotheringham</w:t>
      </w:r>
      <w:r w:rsidR="001B5362" w:rsidRPr="002C21B8">
        <w:rPr>
          <w:shd w:val="clear" w:color="auto" w:fill="FFFFFF"/>
        </w:rPr>
        <w:t>,</w:t>
      </w:r>
      <w:r w:rsidRPr="002C21B8">
        <w:rPr>
          <w:shd w:val="clear" w:color="auto" w:fill="FFFFFF"/>
        </w:rPr>
        <w:t xml:space="preserve"> J</w:t>
      </w:r>
      <w:r w:rsidR="001B5362" w:rsidRPr="002C21B8">
        <w:rPr>
          <w:shd w:val="clear" w:color="auto" w:fill="FFFFFF"/>
        </w:rPr>
        <w:t>.</w:t>
      </w:r>
      <w:r w:rsidRPr="002C21B8">
        <w:rPr>
          <w:shd w:val="clear" w:color="auto" w:fill="FFFFFF"/>
        </w:rPr>
        <w:t>, Ong, A.</w:t>
      </w:r>
      <w:r w:rsidR="0087226F" w:rsidRPr="002C21B8">
        <w:rPr>
          <w:shd w:val="clear" w:color="auto" w:fill="FFFFFF"/>
        </w:rPr>
        <w:t xml:space="preserve"> </w:t>
      </w:r>
      <w:r w:rsidRPr="002C21B8">
        <w:rPr>
          <w:shd w:val="clear" w:color="auto" w:fill="FFFFFF"/>
        </w:rPr>
        <w:t>C.</w:t>
      </w:r>
      <w:r w:rsidR="0087226F" w:rsidRPr="002C21B8">
        <w:rPr>
          <w:shd w:val="clear" w:color="auto" w:fill="FFFFFF"/>
        </w:rPr>
        <w:t xml:space="preserve"> </w:t>
      </w:r>
      <w:r w:rsidRPr="002C21B8">
        <w:rPr>
          <w:shd w:val="clear" w:color="auto" w:fill="FFFFFF"/>
        </w:rPr>
        <w:t>M., O’Cathain</w:t>
      </w:r>
      <w:r w:rsidR="00091DC4" w:rsidRPr="002C21B8">
        <w:rPr>
          <w:shd w:val="clear" w:color="auto" w:fill="FFFFFF"/>
        </w:rPr>
        <w:t>,</w:t>
      </w:r>
      <w:r w:rsidRPr="002C21B8">
        <w:rPr>
          <w:shd w:val="clear" w:color="auto" w:fill="FFFFFF"/>
        </w:rPr>
        <w:t xml:space="preserve"> A. </w:t>
      </w:r>
      <w:r w:rsidR="00DC3093" w:rsidRPr="002C21B8">
        <w:rPr>
          <w:shd w:val="clear" w:color="auto" w:fill="FFFFFF"/>
        </w:rPr>
        <w:t>Understanding v</w:t>
      </w:r>
      <w:r w:rsidRPr="002C21B8">
        <w:rPr>
          <w:shd w:val="clear" w:color="auto" w:fill="FFFFFF"/>
        </w:rPr>
        <w:t xml:space="preserve">ariation </w:t>
      </w:r>
      <w:r w:rsidR="00766F30" w:rsidRPr="002C21B8">
        <w:rPr>
          <w:shd w:val="clear" w:color="auto" w:fill="FFFFFF"/>
        </w:rPr>
        <w:t>b</w:t>
      </w:r>
      <w:r w:rsidRPr="002C21B8">
        <w:rPr>
          <w:shd w:val="clear" w:color="auto" w:fill="FFFFFF"/>
        </w:rPr>
        <w:t xml:space="preserve">etween </w:t>
      </w:r>
      <w:r w:rsidR="00766F30" w:rsidRPr="002C21B8">
        <w:rPr>
          <w:shd w:val="clear" w:color="auto" w:fill="FFFFFF"/>
        </w:rPr>
        <w:t>k</w:t>
      </w:r>
      <w:r w:rsidRPr="002C21B8">
        <w:rPr>
          <w:shd w:val="clear" w:color="auto" w:fill="FFFFFF"/>
        </w:rPr>
        <w:t>idney centres in</w:t>
      </w:r>
      <w:r w:rsidR="00DC3093" w:rsidRPr="002C21B8">
        <w:rPr>
          <w:shd w:val="clear" w:color="auto" w:fill="FFFFFF"/>
        </w:rPr>
        <w:t xml:space="preserve"> the implementation of tolvaptan in the management</w:t>
      </w:r>
      <w:r w:rsidRPr="002C21B8">
        <w:rPr>
          <w:shd w:val="clear" w:color="auto" w:fill="FFFFFF"/>
        </w:rPr>
        <w:t xml:space="preserve"> of </w:t>
      </w:r>
      <w:r w:rsidR="00766F30" w:rsidRPr="002C21B8">
        <w:rPr>
          <w:shd w:val="clear" w:color="auto" w:fill="FFFFFF"/>
        </w:rPr>
        <w:t>a</w:t>
      </w:r>
      <w:r w:rsidRPr="002C21B8">
        <w:rPr>
          <w:shd w:val="clear" w:color="auto" w:fill="FFFFFF"/>
        </w:rPr>
        <w:t xml:space="preserve">utosomal </w:t>
      </w:r>
      <w:r w:rsidR="00766F30" w:rsidRPr="002C21B8">
        <w:rPr>
          <w:shd w:val="clear" w:color="auto" w:fill="FFFFFF"/>
        </w:rPr>
        <w:t>d</w:t>
      </w:r>
      <w:r w:rsidRPr="002C21B8">
        <w:rPr>
          <w:shd w:val="clear" w:color="auto" w:fill="FFFFFF"/>
        </w:rPr>
        <w:t xml:space="preserve">ominant </w:t>
      </w:r>
      <w:r w:rsidR="00766F30" w:rsidRPr="002C21B8">
        <w:rPr>
          <w:shd w:val="clear" w:color="auto" w:fill="FFFFFF"/>
        </w:rPr>
        <w:t>p</w:t>
      </w:r>
      <w:r w:rsidRPr="002C21B8">
        <w:rPr>
          <w:shd w:val="clear" w:color="auto" w:fill="FFFFFF"/>
        </w:rPr>
        <w:t xml:space="preserve">olycystic </w:t>
      </w:r>
      <w:r w:rsidR="00766F30" w:rsidRPr="002C21B8">
        <w:rPr>
          <w:shd w:val="clear" w:color="auto" w:fill="FFFFFF"/>
        </w:rPr>
        <w:t>k</w:t>
      </w:r>
      <w:r w:rsidRPr="002C21B8">
        <w:rPr>
          <w:shd w:val="clear" w:color="auto" w:fill="FFFFFF"/>
        </w:rPr>
        <w:t xml:space="preserve">idney </w:t>
      </w:r>
      <w:r w:rsidR="00766F30" w:rsidRPr="002C21B8">
        <w:rPr>
          <w:shd w:val="clear" w:color="auto" w:fill="FFFFFF"/>
        </w:rPr>
        <w:t>d</w:t>
      </w:r>
      <w:r w:rsidRPr="002C21B8">
        <w:rPr>
          <w:shd w:val="clear" w:color="auto" w:fill="FFFFFF"/>
        </w:rPr>
        <w:t xml:space="preserve">isease: </w:t>
      </w:r>
      <w:r w:rsidR="001B5362" w:rsidRPr="002C21B8">
        <w:rPr>
          <w:shd w:val="clear" w:color="auto" w:fill="FFFFFF"/>
        </w:rPr>
        <w:t>a</w:t>
      </w:r>
      <w:r w:rsidRPr="002C21B8">
        <w:rPr>
          <w:shd w:val="clear" w:color="auto" w:fill="FFFFFF"/>
        </w:rPr>
        <w:t xml:space="preserve"> </w:t>
      </w:r>
      <w:r w:rsidR="001B5362" w:rsidRPr="002C21B8">
        <w:rPr>
          <w:shd w:val="clear" w:color="auto" w:fill="FFFFFF"/>
        </w:rPr>
        <w:t>m</w:t>
      </w:r>
      <w:r w:rsidRPr="002C21B8">
        <w:rPr>
          <w:shd w:val="clear" w:color="auto" w:fill="FFFFFF"/>
        </w:rPr>
        <w:t xml:space="preserve">ultiple </w:t>
      </w:r>
      <w:r w:rsidR="001B5362" w:rsidRPr="002C21B8">
        <w:rPr>
          <w:shd w:val="clear" w:color="auto" w:fill="FFFFFF"/>
        </w:rPr>
        <w:t>c</w:t>
      </w:r>
      <w:r w:rsidRPr="002C21B8">
        <w:rPr>
          <w:shd w:val="clear" w:color="auto" w:fill="FFFFFF"/>
        </w:rPr>
        <w:t xml:space="preserve">ase </w:t>
      </w:r>
      <w:r w:rsidR="001B5362" w:rsidRPr="002C21B8">
        <w:rPr>
          <w:shd w:val="clear" w:color="auto" w:fill="FFFFFF"/>
        </w:rPr>
        <w:t>s</w:t>
      </w:r>
      <w:r w:rsidRPr="002C21B8">
        <w:rPr>
          <w:shd w:val="clear" w:color="auto" w:fill="FFFFFF"/>
        </w:rPr>
        <w:t>tudy.</w:t>
      </w:r>
      <w:r w:rsidR="008606E7" w:rsidRPr="002C21B8">
        <w:rPr>
          <w:shd w:val="clear" w:color="auto" w:fill="FFFFFF"/>
        </w:rPr>
        <w:t xml:space="preserve"> Submitted</w:t>
      </w:r>
    </w:p>
    <w:p w14:paraId="17AF5DE1" w14:textId="7DA6DDCB" w:rsidR="0023376C" w:rsidRPr="002C21B8" w:rsidRDefault="0023376C" w:rsidP="005422A1">
      <w:pPr>
        <w:spacing w:after="0"/>
        <w:rPr>
          <w:b/>
          <w:bCs/>
          <w:sz w:val="28"/>
          <w:szCs w:val="28"/>
        </w:rPr>
      </w:pPr>
      <w:r w:rsidRPr="002C21B8">
        <w:rPr>
          <w:b/>
          <w:bCs/>
          <w:sz w:val="28"/>
          <w:szCs w:val="28"/>
        </w:rPr>
        <w:lastRenderedPageBreak/>
        <w:t>In preparation</w:t>
      </w:r>
    </w:p>
    <w:p w14:paraId="3DB14992" w14:textId="5217B226" w:rsidR="0023376C" w:rsidRPr="002C21B8" w:rsidRDefault="0023376C" w:rsidP="005422A1">
      <w:pPr>
        <w:spacing w:after="160"/>
        <w:rPr>
          <w:i/>
          <w:iCs/>
          <w:shd w:val="clear" w:color="auto" w:fill="FFFFFF"/>
        </w:rPr>
      </w:pPr>
      <w:r w:rsidRPr="002C21B8">
        <w:rPr>
          <w:shd w:val="clear" w:color="auto" w:fill="FFFFFF"/>
        </w:rPr>
        <w:t xml:space="preserve">Gittus, M., Fotheringham, J., </w:t>
      </w:r>
      <w:r w:rsidR="00A94176" w:rsidRPr="002C21B8">
        <w:rPr>
          <w:shd w:val="clear" w:color="auto" w:fill="FFFFFF"/>
        </w:rPr>
        <w:t>Ong, A.</w:t>
      </w:r>
      <w:r w:rsidR="005F2C98" w:rsidRPr="002C21B8">
        <w:rPr>
          <w:shd w:val="clear" w:color="auto" w:fill="FFFFFF"/>
        </w:rPr>
        <w:t xml:space="preserve"> </w:t>
      </w:r>
      <w:r w:rsidR="00A94176" w:rsidRPr="002C21B8">
        <w:rPr>
          <w:shd w:val="clear" w:color="auto" w:fill="FFFFFF"/>
        </w:rPr>
        <w:t>C.</w:t>
      </w:r>
      <w:r w:rsidR="005F2C98" w:rsidRPr="002C21B8">
        <w:rPr>
          <w:shd w:val="clear" w:color="auto" w:fill="FFFFFF"/>
        </w:rPr>
        <w:t xml:space="preserve"> </w:t>
      </w:r>
      <w:r w:rsidR="00A94176" w:rsidRPr="002C21B8">
        <w:rPr>
          <w:shd w:val="clear" w:color="auto" w:fill="FFFFFF"/>
        </w:rPr>
        <w:t xml:space="preserve">M., </w:t>
      </w:r>
      <w:r w:rsidRPr="002C21B8">
        <w:rPr>
          <w:shd w:val="clear" w:color="auto" w:fill="FFFFFF"/>
        </w:rPr>
        <w:t xml:space="preserve">O’Cathain, A. </w:t>
      </w:r>
      <w:r w:rsidR="00594E99" w:rsidRPr="002C21B8">
        <w:rPr>
          <w:shd w:val="clear" w:color="auto" w:fill="FFFFFF"/>
        </w:rPr>
        <w:t>Developing a conceptual model of prescribing decision-making in rare diseases: insights from tolvaptan prescribing for autosomal dominant polycystic kidney disease</w:t>
      </w:r>
      <w:r w:rsidRPr="002C21B8">
        <w:rPr>
          <w:shd w:val="clear" w:color="auto" w:fill="FFFFFF"/>
        </w:rPr>
        <w:t xml:space="preserve">. </w:t>
      </w:r>
      <w:r w:rsidR="008606E7" w:rsidRPr="002C21B8">
        <w:rPr>
          <w:shd w:val="clear" w:color="auto" w:fill="FFFFFF"/>
        </w:rPr>
        <w:t xml:space="preserve">In preparation for </w:t>
      </w:r>
      <w:r w:rsidRPr="002C21B8">
        <w:rPr>
          <w:i/>
          <w:iCs/>
          <w:shd w:val="clear" w:color="auto" w:fill="FFFFFF"/>
        </w:rPr>
        <w:t>Orphanet Journal</w:t>
      </w:r>
      <w:r w:rsidR="00DF6538" w:rsidRPr="002C21B8">
        <w:rPr>
          <w:i/>
          <w:iCs/>
          <w:shd w:val="clear" w:color="auto" w:fill="FFFFFF"/>
        </w:rPr>
        <w:t xml:space="preserve"> of Rare Diseases</w:t>
      </w:r>
      <w:r w:rsidR="0059251B" w:rsidRPr="002C21B8">
        <w:rPr>
          <w:i/>
          <w:iCs/>
          <w:shd w:val="clear" w:color="auto" w:fill="FFFFFF"/>
        </w:rPr>
        <w:t>.</w:t>
      </w:r>
    </w:p>
    <w:p w14:paraId="55602ECB" w14:textId="77777777" w:rsidR="0023376C" w:rsidRPr="002C21B8" w:rsidRDefault="0023376C" w:rsidP="005422A1">
      <w:pPr>
        <w:spacing w:after="0"/>
        <w:rPr>
          <w:b/>
          <w:bCs/>
          <w:sz w:val="28"/>
          <w:szCs w:val="28"/>
        </w:rPr>
      </w:pPr>
      <w:r w:rsidRPr="002C21B8">
        <w:rPr>
          <w:b/>
          <w:bCs/>
          <w:sz w:val="28"/>
          <w:szCs w:val="28"/>
        </w:rPr>
        <w:t>Conference oral presentations</w:t>
      </w:r>
    </w:p>
    <w:p w14:paraId="2AFC2C43" w14:textId="4E911233" w:rsidR="0023376C" w:rsidRPr="002C21B8" w:rsidRDefault="0023376C" w:rsidP="005422A1">
      <w:pPr>
        <w:spacing w:after="160"/>
        <w:rPr>
          <w:shd w:val="clear" w:color="auto" w:fill="FFFFFF"/>
        </w:rPr>
      </w:pPr>
      <w:r w:rsidRPr="002C21B8">
        <w:rPr>
          <w:shd w:val="clear" w:color="auto" w:fill="FFFFFF"/>
        </w:rPr>
        <w:t>Gittus, M., O’Cathain</w:t>
      </w:r>
      <w:r w:rsidR="00091DC4" w:rsidRPr="002C21B8">
        <w:rPr>
          <w:shd w:val="clear" w:color="auto" w:fill="FFFFFF"/>
        </w:rPr>
        <w:t>,</w:t>
      </w:r>
      <w:r w:rsidR="00881CA5" w:rsidRPr="002C21B8">
        <w:rPr>
          <w:shd w:val="clear" w:color="auto" w:fill="FFFFFF"/>
        </w:rPr>
        <w:t xml:space="preserve"> A.</w:t>
      </w:r>
      <w:r w:rsidRPr="002C21B8">
        <w:rPr>
          <w:shd w:val="clear" w:color="auto" w:fill="FFFFFF"/>
        </w:rPr>
        <w:t>, Ong, A. C.</w:t>
      </w:r>
      <w:r w:rsidR="00013D8F" w:rsidRPr="002C21B8">
        <w:rPr>
          <w:shd w:val="clear" w:color="auto" w:fill="FFFFFF"/>
        </w:rPr>
        <w:t xml:space="preserve"> M.</w:t>
      </w:r>
      <w:r w:rsidRPr="002C21B8">
        <w:rPr>
          <w:shd w:val="clear" w:color="auto" w:fill="FFFFFF"/>
        </w:rPr>
        <w:t xml:space="preserve">, Fotheringham, J. One </w:t>
      </w:r>
      <w:r w:rsidR="0059251B" w:rsidRPr="002C21B8">
        <w:rPr>
          <w:shd w:val="clear" w:color="auto" w:fill="FFFFFF"/>
        </w:rPr>
        <w:t>d</w:t>
      </w:r>
      <w:r w:rsidRPr="002C21B8">
        <w:rPr>
          <w:shd w:val="clear" w:color="auto" w:fill="FFFFFF"/>
        </w:rPr>
        <w:t xml:space="preserve">rug, </w:t>
      </w:r>
      <w:r w:rsidR="0059251B" w:rsidRPr="002C21B8">
        <w:rPr>
          <w:shd w:val="clear" w:color="auto" w:fill="FFFFFF"/>
        </w:rPr>
        <w:t>d</w:t>
      </w:r>
      <w:r w:rsidRPr="002C21B8">
        <w:rPr>
          <w:shd w:val="clear" w:color="auto" w:fill="FFFFFF"/>
        </w:rPr>
        <w:t xml:space="preserve">ifferent </w:t>
      </w:r>
      <w:r w:rsidR="0059251B" w:rsidRPr="002C21B8">
        <w:rPr>
          <w:shd w:val="clear" w:color="auto" w:fill="FFFFFF"/>
        </w:rPr>
        <w:t>a</w:t>
      </w:r>
      <w:r w:rsidRPr="002C21B8">
        <w:rPr>
          <w:shd w:val="clear" w:color="auto" w:fill="FFFFFF"/>
        </w:rPr>
        <w:t xml:space="preserve">pproaches: </w:t>
      </w:r>
      <w:r w:rsidR="0059251B" w:rsidRPr="002C21B8">
        <w:rPr>
          <w:shd w:val="clear" w:color="auto" w:fill="FFFFFF"/>
        </w:rPr>
        <w:t>a</w:t>
      </w:r>
      <w:r w:rsidRPr="002C21B8">
        <w:rPr>
          <w:shd w:val="clear" w:color="auto" w:fill="FFFFFF"/>
        </w:rPr>
        <w:t xml:space="preserve"> </w:t>
      </w:r>
      <w:r w:rsidR="0059251B" w:rsidRPr="002C21B8">
        <w:rPr>
          <w:shd w:val="clear" w:color="auto" w:fill="FFFFFF"/>
        </w:rPr>
        <w:t>m</w:t>
      </w:r>
      <w:r w:rsidRPr="002C21B8">
        <w:rPr>
          <w:shd w:val="clear" w:color="auto" w:fill="FFFFFF"/>
        </w:rPr>
        <w:t>ixed-</w:t>
      </w:r>
      <w:r w:rsidR="0059251B" w:rsidRPr="002C21B8">
        <w:rPr>
          <w:shd w:val="clear" w:color="auto" w:fill="FFFFFF"/>
        </w:rPr>
        <w:t>m</w:t>
      </w:r>
      <w:r w:rsidRPr="002C21B8">
        <w:rPr>
          <w:shd w:val="clear" w:color="auto" w:fill="FFFFFF"/>
        </w:rPr>
        <w:t xml:space="preserve">ethods </w:t>
      </w:r>
      <w:r w:rsidR="0059251B" w:rsidRPr="002C21B8">
        <w:rPr>
          <w:shd w:val="clear" w:color="auto" w:fill="FFFFFF"/>
        </w:rPr>
        <w:t>s</w:t>
      </w:r>
      <w:r w:rsidRPr="002C21B8">
        <w:rPr>
          <w:shd w:val="clear" w:color="auto" w:fill="FFFFFF"/>
        </w:rPr>
        <w:t xml:space="preserve">tudy </w:t>
      </w:r>
      <w:r w:rsidR="0059251B" w:rsidRPr="002C21B8">
        <w:rPr>
          <w:shd w:val="clear" w:color="auto" w:fill="FFFFFF"/>
        </w:rPr>
        <w:t>e</w:t>
      </w:r>
      <w:r w:rsidRPr="002C21B8">
        <w:rPr>
          <w:shd w:val="clear" w:color="auto" w:fill="FFFFFF"/>
        </w:rPr>
        <w:t xml:space="preserve">xploring </w:t>
      </w:r>
      <w:r w:rsidR="0059251B" w:rsidRPr="002C21B8">
        <w:rPr>
          <w:shd w:val="clear" w:color="auto" w:fill="FFFFFF"/>
        </w:rPr>
        <w:t>v</w:t>
      </w:r>
      <w:r w:rsidRPr="002C21B8">
        <w:rPr>
          <w:shd w:val="clear" w:color="auto" w:fill="FFFFFF"/>
        </w:rPr>
        <w:t xml:space="preserve">ariation in </w:t>
      </w:r>
      <w:r w:rsidR="0059251B" w:rsidRPr="002C21B8">
        <w:rPr>
          <w:shd w:val="clear" w:color="auto" w:fill="FFFFFF"/>
        </w:rPr>
        <w:t>t</w:t>
      </w:r>
      <w:r w:rsidRPr="002C21B8">
        <w:rPr>
          <w:shd w:val="clear" w:color="auto" w:fill="FFFFFF"/>
        </w:rPr>
        <w:t xml:space="preserve">olvaptan </w:t>
      </w:r>
      <w:r w:rsidR="0059251B" w:rsidRPr="002C21B8">
        <w:rPr>
          <w:shd w:val="clear" w:color="auto" w:fill="FFFFFF"/>
        </w:rPr>
        <w:t>p</w:t>
      </w:r>
      <w:r w:rsidRPr="002C21B8">
        <w:rPr>
          <w:shd w:val="clear" w:color="auto" w:fill="FFFFFF"/>
        </w:rPr>
        <w:t xml:space="preserve">rescribing </w:t>
      </w:r>
      <w:r w:rsidR="0059251B" w:rsidRPr="002C21B8">
        <w:rPr>
          <w:shd w:val="clear" w:color="auto" w:fill="FFFFFF"/>
        </w:rPr>
        <w:t>a</w:t>
      </w:r>
      <w:r w:rsidRPr="002C21B8">
        <w:rPr>
          <w:shd w:val="clear" w:color="auto" w:fill="FFFFFF"/>
        </w:rPr>
        <w:t xml:space="preserve">cross UK </w:t>
      </w:r>
      <w:r w:rsidR="0059251B" w:rsidRPr="002C21B8">
        <w:rPr>
          <w:shd w:val="clear" w:color="auto" w:fill="FFFFFF"/>
        </w:rPr>
        <w:t>k</w:t>
      </w:r>
      <w:r w:rsidRPr="002C21B8">
        <w:rPr>
          <w:shd w:val="clear" w:color="auto" w:fill="FFFFFF"/>
        </w:rPr>
        <w:t xml:space="preserve">idney </w:t>
      </w:r>
      <w:r w:rsidR="00E820F8" w:rsidRPr="002C21B8">
        <w:rPr>
          <w:shd w:val="clear" w:color="auto" w:fill="FFFFFF"/>
        </w:rPr>
        <w:t>centre</w:t>
      </w:r>
      <w:r w:rsidRPr="002C21B8">
        <w:rPr>
          <w:shd w:val="clear" w:color="auto" w:fill="FFFFFF"/>
        </w:rPr>
        <w:t>s</w:t>
      </w:r>
      <w:r w:rsidR="00881CA5" w:rsidRPr="002C21B8">
        <w:rPr>
          <w:shd w:val="clear" w:color="auto" w:fill="FFFFFF"/>
        </w:rPr>
        <w:t>. Presented at</w:t>
      </w:r>
      <w:r w:rsidRPr="002C21B8">
        <w:rPr>
          <w:shd w:val="clear" w:color="auto" w:fill="FFFFFF"/>
        </w:rPr>
        <w:t xml:space="preserve"> </w:t>
      </w:r>
      <w:r w:rsidR="00A95B13" w:rsidRPr="002C21B8">
        <w:rPr>
          <w:shd w:val="clear" w:color="auto" w:fill="FFFFFF"/>
        </w:rPr>
        <w:t>European Renal Association (</w:t>
      </w:r>
      <w:r w:rsidR="00C25A89" w:rsidRPr="002C21B8">
        <w:rPr>
          <w:shd w:val="clear" w:color="auto" w:fill="FFFFFF"/>
        </w:rPr>
        <w:t>ERA</w:t>
      </w:r>
      <w:r w:rsidR="00A95B13" w:rsidRPr="002C21B8">
        <w:rPr>
          <w:shd w:val="clear" w:color="auto" w:fill="FFFFFF"/>
        </w:rPr>
        <w:t>)</w:t>
      </w:r>
      <w:r w:rsidRPr="002C21B8">
        <w:rPr>
          <w:shd w:val="clear" w:color="auto" w:fill="FFFFFF"/>
        </w:rPr>
        <w:t xml:space="preserve"> Congress 2026</w:t>
      </w:r>
      <w:r w:rsidR="0087226F" w:rsidRPr="002C21B8">
        <w:rPr>
          <w:shd w:val="clear" w:color="auto" w:fill="FFFFFF"/>
        </w:rPr>
        <w:t xml:space="preserve"> (Annual international conference for kidney professionals)</w:t>
      </w:r>
      <w:r w:rsidR="0059251B" w:rsidRPr="002C21B8">
        <w:rPr>
          <w:shd w:val="clear" w:color="auto" w:fill="FFFFFF"/>
        </w:rPr>
        <w:t>.</w:t>
      </w:r>
    </w:p>
    <w:p w14:paraId="273ABDB7" w14:textId="77777777" w:rsidR="0023376C" w:rsidRPr="002C21B8" w:rsidRDefault="0023376C" w:rsidP="005422A1">
      <w:pPr>
        <w:spacing w:after="0"/>
        <w:rPr>
          <w:b/>
          <w:bCs/>
          <w:sz w:val="28"/>
          <w:szCs w:val="28"/>
        </w:rPr>
      </w:pPr>
      <w:r w:rsidRPr="002C21B8">
        <w:rPr>
          <w:b/>
          <w:bCs/>
          <w:sz w:val="28"/>
          <w:szCs w:val="28"/>
        </w:rPr>
        <w:t>Conference poster presentations</w:t>
      </w:r>
    </w:p>
    <w:p w14:paraId="138CD1E0" w14:textId="2C037C3E" w:rsidR="0023376C" w:rsidRPr="002C21B8" w:rsidRDefault="0023376C" w:rsidP="005422A1">
      <w:pPr>
        <w:spacing w:after="160"/>
        <w:rPr>
          <w:shd w:val="clear" w:color="auto" w:fill="FFFFFF"/>
        </w:rPr>
      </w:pPr>
      <w:r w:rsidRPr="002C21B8">
        <w:rPr>
          <w:shd w:val="clear" w:color="auto" w:fill="FFFFFF"/>
        </w:rPr>
        <w:t>Gittus, M., O’Cathain</w:t>
      </w:r>
      <w:r w:rsidR="00091DC4" w:rsidRPr="002C21B8">
        <w:rPr>
          <w:shd w:val="clear" w:color="auto" w:fill="FFFFFF"/>
        </w:rPr>
        <w:t>,</w:t>
      </w:r>
      <w:r w:rsidR="00DA675E" w:rsidRPr="002C21B8">
        <w:rPr>
          <w:shd w:val="clear" w:color="auto" w:fill="FFFFFF"/>
        </w:rPr>
        <w:t xml:space="preserve"> A.</w:t>
      </w:r>
      <w:r w:rsidRPr="002C21B8">
        <w:rPr>
          <w:shd w:val="clear" w:color="auto" w:fill="FFFFFF"/>
        </w:rPr>
        <w:t>, Ong, A. C.</w:t>
      </w:r>
      <w:r w:rsidR="00013D8F" w:rsidRPr="002C21B8">
        <w:rPr>
          <w:shd w:val="clear" w:color="auto" w:fill="FFFFFF"/>
        </w:rPr>
        <w:t xml:space="preserve"> M.</w:t>
      </w:r>
      <w:r w:rsidRPr="002C21B8">
        <w:rPr>
          <w:shd w:val="clear" w:color="auto" w:fill="FFFFFF"/>
        </w:rPr>
        <w:t>, Fotheringham, J. Centre-level variation in tolvaptan prescribing for ADPKD in the UK</w:t>
      </w:r>
      <w:r w:rsidR="00881CA5" w:rsidRPr="002C21B8">
        <w:rPr>
          <w:shd w:val="clear" w:color="auto" w:fill="FFFFFF"/>
        </w:rPr>
        <w:t xml:space="preserve">. Presented at </w:t>
      </w:r>
      <w:r w:rsidRPr="002C21B8">
        <w:rPr>
          <w:shd w:val="clear" w:color="auto" w:fill="FFFFFF"/>
        </w:rPr>
        <w:t>UK Kidney Week 2023</w:t>
      </w:r>
      <w:r w:rsidR="0087226F" w:rsidRPr="002C21B8">
        <w:rPr>
          <w:shd w:val="clear" w:color="auto" w:fill="FFFFFF"/>
        </w:rPr>
        <w:t xml:space="preserve"> (Annual national conference for UK kidney professionals)</w:t>
      </w:r>
      <w:r w:rsidR="0059251B" w:rsidRPr="002C21B8">
        <w:rPr>
          <w:shd w:val="clear" w:color="auto" w:fill="FFFFFF"/>
        </w:rPr>
        <w:t>.</w:t>
      </w:r>
    </w:p>
    <w:p w14:paraId="31A52068" w14:textId="4C1FC6F4" w:rsidR="00A95B13" w:rsidRPr="002C21B8" w:rsidRDefault="0023376C" w:rsidP="005422A1">
      <w:pPr>
        <w:spacing w:after="160"/>
        <w:rPr>
          <w:shd w:val="clear" w:color="auto" w:fill="FFFFFF"/>
        </w:rPr>
      </w:pPr>
      <w:r w:rsidRPr="002C21B8">
        <w:rPr>
          <w:shd w:val="clear" w:color="auto" w:fill="FFFFFF"/>
        </w:rPr>
        <w:t>Gittus, M., O’Cathain</w:t>
      </w:r>
      <w:r w:rsidR="00091DC4" w:rsidRPr="002C21B8">
        <w:rPr>
          <w:shd w:val="clear" w:color="auto" w:fill="FFFFFF"/>
        </w:rPr>
        <w:t>,</w:t>
      </w:r>
      <w:r w:rsidR="00DA675E" w:rsidRPr="002C21B8">
        <w:rPr>
          <w:shd w:val="clear" w:color="auto" w:fill="FFFFFF"/>
        </w:rPr>
        <w:t xml:space="preserve"> A.</w:t>
      </w:r>
      <w:r w:rsidRPr="002C21B8">
        <w:rPr>
          <w:shd w:val="clear" w:color="auto" w:fill="FFFFFF"/>
        </w:rPr>
        <w:t>, Ong, A. C.</w:t>
      </w:r>
      <w:r w:rsidR="00013D8F" w:rsidRPr="002C21B8">
        <w:rPr>
          <w:shd w:val="clear" w:color="auto" w:fill="FFFFFF"/>
        </w:rPr>
        <w:t xml:space="preserve"> M.</w:t>
      </w:r>
      <w:r w:rsidRPr="002C21B8">
        <w:rPr>
          <w:shd w:val="clear" w:color="auto" w:fill="FFFFFF"/>
        </w:rPr>
        <w:t>, Fotheringham, J. A critical review of patient information on tolvaptan for ADPKD with enhancement by AI</w:t>
      </w:r>
      <w:r w:rsidR="00881CA5" w:rsidRPr="002C21B8">
        <w:rPr>
          <w:shd w:val="clear" w:color="auto" w:fill="FFFFFF"/>
        </w:rPr>
        <w:t>. Presented at</w:t>
      </w:r>
      <w:r w:rsidRPr="002C21B8">
        <w:rPr>
          <w:shd w:val="clear" w:color="auto" w:fill="FFFFFF"/>
        </w:rPr>
        <w:t xml:space="preserve"> UK Kidney Week 2025</w:t>
      </w:r>
      <w:r w:rsidR="0059251B" w:rsidRPr="002C21B8">
        <w:rPr>
          <w:shd w:val="clear" w:color="auto" w:fill="FFFFFF"/>
        </w:rPr>
        <w:t>.</w:t>
      </w:r>
    </w:p>
    <w:p w14:paraId="5B54D883" w14:textId="75C1BB78" w:rsidR="0023376C" w:rsidRPr="002C21B8" w:rsidRDefault="0023376C" w:rsidP="005422A1">
      <w:pPr>
        <w:spacing w:after="160"/>
        <w:rPr>
          <w:shd w:val="clear" w:color="auto" w:fill="FFFFFF"/>
        </w:rPr>
        <w:sectPr w:rsidR="0023376C" w:rsidRPr="002C21B8" w:rsidSect="00FD5B53">
          <w:headerReference w:type="default" r:id="rId15"/>
          <w:pgSz w:w="11906" w:h="16838"/>
          <w:pgMar w:top="1440" w:right="1440" w:bottom="1440" w:left="1440" w:header="708" w:footer="708" w:gutter="0"/>
          <w:cols w:space="708"/>
          <w:docGrid w:linePitch="360"/>
        </w:sectPr>
      </w:pPr>
      <w:r w:rsidRPr="002C21B8">
        <w:rPr>
          <w:shd w:val="clear" w:color="auto" w:fill="FFFFFF"/>
        </w:rPr>
        <w:t>Gittus, M., O’Cathain</w:t>
      </w:r>
      <w:r w:rsidR="00091DC4" w:rsidRPr="002C21B8">
        <w:rPr>
          <w:shd w:val="clear" w:color="auto" w:fill="FFFFFF"/>
        </w:rPr>
        <w:t>,</w:t>
      </w:r>
      <w:r w:rsidR="00DA675E" w:rsidRPr="002C21B8">
        <w:rPr>
          <w:shd w:val="clear" w:color="auto" w:fill="FFFFFF"/>
        </w:rPr>
        <w:t xml:space="preserve"> A.</w:t>
      </w:r>
      <w:r w:rsidRPr="002C21B8">
        <w:rPr>
          <w:shd w:val="clear" w:color="auto" w:fill="FFFFFF"/>
        </w:rPr>
        <w:t>, Ong, A. C.</w:t>
      </w:r>
      <w:r w:rsidR="00F76AC3" w:rsidRPr="002C21B8">
        <w:rPr>
          <w:shd w:val="clear" w:color="auto" w:fill="FFFFFF"/>
        </w:rPr>
        <w:t xml:space="preserve"> M.</w:t>
      </w:r>
      <w:r w:rsidRPr="002C21B8">
        <w:rPr>
          <w:shd w:val="clear" w:color="auto" w:fill="FFFFFF"/>
        </w:rPr>
        <w:t xml:space="preserve">, Fotheringham, J. Beyond </w:t>
      </w:r>
      <w:r w:rsidR="00E820F8" w:rsidRPr="002C21B8">
        <w:rPr>
          <w:shd w:val="clear" w:color="auto" w:fill="FFFFFF"/>
        </w:rPr>
        <w:t>n</w:t>
      </w:r>
      <w:r w:rsidRPr="002C21B8">
        <w:rPr>
          <w:shd w:val="clear" w:color="auto" w:fill="FFFFFF"/>
        </w:rPr>
        <w:t xml:space="preserve">ational </w:t>
      </w:r>
      <w:r w:rsidR="00E820F8" w:rsidRPr="002C21B8">
        <w:rPr>
          <w:shd w:val="clear" w:color="auto" w:fill="FFFFFF"/>
        </w:rPr>
        <w:t>g</w:t>
      </w:r>
      <w:r w:rsidRPr="002C21B8">
        <w:rPr>
          <w:shd w:val="clear" w:color="auto" w:fill="FFFFFF"/>
        </w:rPr>
        <w:t xml:space="preserve">uidance: </w:t>
      </w:r>
      <w:r w:rsidR="00E820F8" w:rsidRPr="002C21B8">
        <w:rPr>
          <w:shd w:val="clear" w:color="auto" w:fill="FFFFFF"/>
        </w:rPr>
        <w:t>v</w:t>
      </w:r>
      <w:r w:rsidRPr="002C21B8">
        <w:rPr>
          <w:shd w:val="clear" w:color="auto" w:fill="FFFFFF"/>
        </w:rPr>
        <w:t xml:space="preserve">ariation in </w:t>
      </w:r>
      <w:r w:rsidR="00E820F8" w:rsidRPr="002C21B8">
        <w:rPr>
          <w:shd w:val="clear" w:color="auto" w:fill="FFFFFF"/>
        </w:rPr>
        <w:t>t</w:t>
      </w:r>
      <w:r w:rsidRPr="002C21B8">
        <w:rPr>
          <w:shd w:val="clear" w:color="auto" w:fill="FFFFFF"/>
        </w:rPr>
        <w:t xml:space="preserve">olvaptan </w:t>
      </w:r>
      <w:r w:rsidR="00E820F8" w:rsidRPr="002C21B8">
        <w:rPr>
          <w:shd w:val="clear" w:color="auto" w:fill="FFFFFF"/>
        </w:rPr>
        <w:t>p</w:t>
      </w:r>
      <w:r w:rsidRPr="002C21B8">
        <w:rPr>
          <w:shd w:val="clear" w:color="auto" w:fill="FFFFFF"/>
        </w:rPr>
        <w:t xml:space="preserve">rescribing </w:t>
      </w:r>
      <w:r w:rsidR="00E820F8" w:rsidRPr="002C21B8">
        <w:rPr>
          <w:shd w:val="clear" w:color="auto" w:fill="FFFFFF"/>
        </w:rPr>
        <w:t>p</w:t>
      </w:r>
      <w:r w:rsidRPr="002C21B8">
        <w:rPr>
          <w:shd w:val="clear" w:color="auto" w:fill="FFFFFF"/>
        </w:rPr>
        <w:t xml:space="preserve">ractices for ADPKD: </w:t>
      </w:r>
      <w:r w:rsidR="00E820F8" w:rsidRPr="002C21B8">
        <w:rPr>
          <w:shd w:val="clear" w:color="auto" w:fill="FFFFFF"/>
        </w:rPr>
        <w:t>a m</w:t>
      </w:r>
      <w:r w:rsidRPr="002C21B8">
        <w:rPr>
          <w:shd w:val="clear" w:color="auto" w:fill="FFFFFF"/>
        </w:rPr>
        <w:t xml:space="preserve">ultiple </w:t>
      </w:r>
      <w:r w:rsidR="00E820F8" w:rsidRPr="002C21B8">
        <w:rPr>
          <w:shd w:val="clear" w:color="auto" w:fill="FFFFFF"/>
        </w:rPr>
        <w:t>c</w:t>
      </w:r>
      <w:r w:rsidRPr="002C21B8">
        <w:rPr>
          <w:shd w:val="clear" w:color="auto" w:fill="FFFFFF"/>
        </w:rPr>
        <w:t xml:space="preserve">ase </w:t>
      </w:r>
      <w:r w:rsidR="00E820F8" w:rsidRPr="002C21B8">
        <w:rPr>
          <w:shd w:val="clear" w:color="auto" w:fill="FFFFFF"/>
        </w:rPr>
        <w:t>s</w:t>
      </w:r>
      <w:r w:rsidRPr="002C21B8">
        <w:rPr>
          <w:shd w:val="clear" w:color="auto" w:fill="FFFFFF"/>
        </w:rPr>
        <w:t>tudy</w:t>
      </w:r>
      <w:r w:rsidR="00881CA5" w:rsidRPr="002C21B8">
        <w:rPr>
          <w:shd w:val="clear" w:color="auto" w:fill="FFFFFF"/>
        </w:rPr>
        <w:t xml:space="preserve">. Presented at </w:t>
      </w:r>
      <w:r w:rsidRPr="002C21B8">
        <w:rPr>
          <w:shd w:val="clear" w:color="auto" w:fill="FFFFFF"/>
        </w:rPr>
        <w:t>UK Kidney Week 202</w:t>
      </w:r>
      <w:r w:rsidR="00FD5B53" w:rsidRPr="002C21B8">
        <w:rPr>
          <w:shd w:val="clear" w:color="auto" w:fill="FFFFFF"/>
        </w:rPr>
        <w:t>6</w:t>
      </w:r>
    </w:p>
    <w:p w14:paraId="6502F87C" w14:textId="77777777" w:rsidR="00FD5B53" w:rsidRPr="002C21B8" w:rsidRDefault="00FD5B53" w:rsidP="00FD5B53"/>
    <w:p w14:paraId="0397818B" w14:textId="77777777" w:rsidR="00A36C29" w:rsidRPr="002C21B8" w:rsidRDefault="00A36C29" w:rsidP="00FD5B53">
      <w:pPr>
        <w:sectPr w:rsidR="00A36C29" w:rsidRPr="002C21B8" w:rsidSect="0009672F">
          <w:headerReference w:type="default" r:id="rId16"/>
          <w:type w:val="continuous"/>
          <w:pgSz w:w="11906" w:h="16838"/>
          <w:pgMar w:top="1440" w:right="1440" w:bottom="1440" w:left="1440" w:header="708" w:footer="708" w:gutter="0"/>
          <w:cols w:space="708"/>
          <w:docGrid w:linePitch="360"/>
        </w:sectPr>
      </w:pPr>
    </w:p>
    <w:p w14:paraId="733B6EE8" w14:textId="2ED3A8EE" w:rsidR="002360AB" w:rsidRPr="002C21B8" w:rsidRDefault="00766659" w:rsidP="005C6B6F">
      <w:pPr>
        <w:pStyle w:val="Heading1"/>
      </w:pPr>
      <w:bookmarkStart w:id="23" w:name="_Toc229687200"/>
      <w:r w:rsidRPr="002C21B8">
        <w:lastRenderedPageBreak/>
        <w:t>– Background</w:t>
      </w:r>
      <w:bookmarkEnd w:id="23"/>
    </w:p>
    <w:p w14:paraId="54E3A3EF" w14:textId="0C820661" w:rsidR="00370DE1" w:rsidRPr="002C21B8" w:rsidRDefault="00370DE1" w:rsidP="00581663">
      <w:pPr>
        <w:pStyle w:val="Heading2"/>
      </w:pPr>
      <w:bookmarkStart w:id="24" w:name="_Toc229687201"/>
      <w:r w:rsidRPr="002C21B8">
        <w:t>Chapter outline</w:t>
      </w:r>
      <w:bookmarkEnd w:id="24"/>
    </w:p>
    <w:p w14:paraId="4B393321" w14:textId="3B37DC0F" w:rsidR="00BC25DF" w:rsidRPr="002C21B8" w:rsidRDefault="00794042" w:rsidP="003374F4">
      <w:r w:rsidRPr="002C21B8">
        <w:t>Th</w:t>
      </w:r>
      <w:r w:rsidR="00BC25DF" w:rsidRPr="002C21B8">
        <w:t xml:space="preserve">is background chapter introduces rare diseases as a group of low prevalence conditions that present challenges </w:t>
      </w:r>
      <w:r w:rsidR="004E5032" w:rsidRPr="002C21B8">
        <w:t xml:space="preserve">that can </w:t>
      </w:r>
      <w:r w:rsidR="00BC25DF" w:rsidRPr="002C21B8">
        <w:t>influence clinical management. It then outlines the prescribing process, discu</w:t>
      </w:r>
      <w:r w:rsidR="00B7144D" w:rsidRPr="002C21B8">
        <w:t>s</w:t>
      </w:r>
      <w:r w:rsidR="00BC25DF" w:rsidRPr="002C21B8">
        <w:t xml:space="preserve">ses underlying theories and models, and highlights how context </w:t>
      </w:r>
      <w:r w:rsidR="00B7144D" w:rsidRPr="002C21B8">
        <w:t>influences</w:t>
      </w:r>
      <w:r w:rsidR="00BC25DF" w:rsidRPr="002C21B8">
        <w:t xml:space="preserve"> decision-making</w:t>
      </w:r>
      <w:r w:rsidR="004E5032" w:rsidRPr="002C21B8">
        <w:t xml:space="preserve"> and may lead to variation in practice</w:t>
      </w:r>
      <w:r w:rsidR="00BC25DF" w:rsidRPr="002C21B8">
        <w:t xml:space="preserve">. The chapter ends with a detailed overview of ADPKD, introduces tolvaptan as the sole disease-modifying therapy and positions ADPKD as a </w:t>
      </w:r>
      <w:r w:rsidR="00C8640E" w:rsidRPr="002C21B8">
        <w:t>case</w:t>
      </w:r>
      <w:r w:rsidR="00BC25DF" w:rsidRPr="002C21B8">
        <w:t xml:space="preserve"> </w:t>
      </w:r>
      <w:r w:rsidR="00B7144D" w:rsidRPr="002C21B8">
        <w:t>for exploring</w:t>
      </w:r>
      <w:r w:rsidR="00BC25DF" w:rsidRPr="002C21B8">
        <w:t xml:space="preserve"> broader factors influencing prescribing decisions in rare diseases</w:t>
      </w:r>
      <w:r w:rsidR="00B7144D" w:rsidRPr="002C21B8">
        <w:t>.</w:t>
      </w:r>
    </w:p>
    <w:p w14:paraId="7AC95D62" w14:textId="222CD27B" w:rsidR="00D313A3" w:rsidRPr="002C21B8" w:rsidRDefault="00F74C1A" w:rsidP="00581663">
      <w:pPr>
        <w:pStyle w:val="Heading2"/>
      </w:pPr>
      <w:bookmarkStart w:id="25" w:name="_Rare_diseases:_definitions,"/>
      <w:bookmarkStart w:id="26" w:name="_Toc229687202"/>
      <w:bookmarkEnd w:id="25"/>
      <w:r w:rsidRPr="002C21B8">
        <w:t>Rare diseases</w:t>
      </w:r>
      <w:r w:rsidR="003027A1" w:rsidRPr="002C21B8">
        <w:t xml:space="preserve">: </w:t>
      </w:r>
      <w:r w:rsidR="00553884" w:rsidRPr="002C21B8">
        <w:t>definitions, prevalence and challenge</w:t>
      </w:r>
      <w:bookmarkEnd w:id="26"/>
    </w:p>
    <w:p w14:paraId="7EBF735D" w14:textId="77777777" w:rsidR="00F74C1A" w:rsidRPr="002C21B8" w:rsidRDefault="00F74C1A" w:rsidP="00871BC3">
      <w:pPr>
        <w:pStyle w:val="Heading3"/>
        <w:spacing w:before="120"/>
      </w:pPr>
      <w:r w:rsidRPr="002C21B8">
        <w:t>Defining rare diseases and prevalence</w:t>
      </w:r>
    </w:p>
    <w:p w14:paraId="197E514F" w14:textId="7754B887" w:rsidR="00831FAB" w:rsidRPr="002C21B8" w:rsidRDefault="00D3598D" w:rsidP="00E919D7">
      <w:r w:rsidRPr="002C21B8">
        <w:t xml:space="preserve">Rare diseases </w:t>
      </w:r>
      <w:r w:rsidR="003F7A04" w:rsidRPr="002C21B8">
        <w:t>are</w:t>
      </w:r>
      <w:r w:rsidR="008A2F67" w:rsidRPr="002C21B8">
        <w:t xml:space="preserve"> </w:t>
      </w:r>
      <w:r w:rsidR="00C73B11" w:rsidRPr="002C21B8">
        <w:t>typically</w:t>
      </w:r>
      <w:r w:rsidR="00D051B3" w:rsidRPr="002C21B8">
        <w:t xml:space="preserve"> </w:t>
      </w:r>
      <w:r w:rsidR="003F7A04" w:rsidRPr="002C21B8">
        <w:t xml:space="preserve">chronic conditions </w:t>
      </w:r>
      <w:r w:rsidR="00E919D7" w:rsidRPr="002C21B8">
        <w:t xml:space="preserve">that </w:t>
      </w:r>
      <w:r w:rsidR="00D051B3" w:rsidRPr="002C21B8">
        <w:t>result</w:t>
      </w:r>
      <w:r w:rsidR="003F7A04" w:rsidRPr="002C21B8">
        <w:t xml:space="preserve"> in long-term illness, disability and premature death in children and adults</w:t>
      </w:r>
      <w:r w:rsidR="00C81E9B" w:rsidRPr="002C21B8">
        <w:t xml:space="preserve"> </w:t>
      </w:r>
      <w:r w:rsidR="00C81E9B" w:rsidRPr="002C21B8">
        <w:fldChar w:fldCharType="begin"/>
      </w:r>
      <w:r w:rsidR="008A2F67" w:rsidRPr="002C21B8">
        <w:instrText xml:space="preserve"> ADDIN EN.CITE &lt;EndNote&gt;&lt;Cite&gt;&lt;Author&gt;World Health Organization&lt;/Author&gt;&lt;Year&gt;2025&lt;/Year&gt;&lt;RecNum&gt;125274&lt;/RecNum&gt;&lt;DisplayText&gt;(World Health Organization, 2025)&lt;/DisplayText&gt;&lt;record&gt;&lt;rec-number&gt;125274&lt;/rec-number&gt;&lt;foreign-keys&gt;&lt;key app="EN" db-id="xpefzwa5hf9dt2ea9fax95x7xvxz90v09dtf" timestamp="1773934291"&gt;125274&lt;/key&gt;&lt;/foreign-keys&gt;&lt;ref-type name="Web Page"&gt;12&lt;/ref-type&gt;&lt;contributors&gt;&lt;authors&gt;&lt;author&gt;World Health Organization,&lt;/author&gt;&lt;/authors&gt;&lt;/contributors&gt;&lt;titles&gt;&lt;title&gt;Rare diseases: A global health priority for equity and inclusion&lt;/title&gt;&lt;secondary-title&gt;World Health Organization: Geneva, Switzerland&lt;/secondary-title&gt;&lt;/titles&gt;&lt;periodical&gt;&lt;full-title&gt;World Health Organization: Geneva, Switzerland&lt;/full-title&gt;&lt;/periodical&gt;&lt;number&gt;03/04/2026)&lt;/number&gt;&lt;dates&gt;&lt;year&gt;2025&lt;/year&gt;&lt;/dates&gt;&lt;urls&gt;&lt;related-urls&gt;&lt;url&gt;https://apps.who.int/gb/ebwha/pdf_files/EB156/B156_CONF2-en.pdf&lt;/url&gt;&lt;/related-urls&gt;&lt;/urls&gt;&lt;/record&gt;&lt;/Cite&gt;&lt;/EndNote&gt;</w:instrText>
      </w:r>
      <w:r w:rsidR="00C81E9B" w:rsidRPr="002C21B8">
        <w:fldChar w:fldCharType="separate"/>
      </w:r>
      <w:r w:rsidR="008A2F67" w:rsidRPr="002C21B8">
        <w:rPr>
          <w:noProof/>
        </w:rPr>
        <w:t>(World Health Organization, 2025)</w:t>
      </w:r>
      <w:r w:rsidR="00C81E9B" w:rsidRPr="002C21B8">
        <w:fldChar w:fldCharType="end"/>
      </w:r>
      <w:r w:rsidRPr="002C21B8">
        <w:t>.</w:t>
      </w:r>
      <w:r w:rsidR="003369E7" w:rsidRPr="002C21B8">
        <w:t xml:space="preserve"> </w:t>
      </w:r>
      <w:r w:rsidR="00C53AE5" w:rsidRPr="002C21B8">
        <w:t xml:space="preserve">Most are genetic in origin, with </w:t>
      </w:r>
      <w:r w:rsidR="008A2F67" w:rsidRPr="002C21B8">
        <w:t xml:space="preserve">an </w:t>
      </w:r>
      <w:r w:rsidR="00C53AE5" w:rsidRPr="002C21B8">
        <w:t>estimate</w:t>
      </w:r>
      <w:r w:rsidR="008A2F67" w:rsidRPr="002C21B8">
        <w:t>d</w:t>
      </w:r>
      <w:r w:rsidR="00C53AE5" w:rsidRPr="002C21B8">
        <w:t xml:space="preserve"> 70</w:t>
      </w:r>
      <w:r w:rsidR="008A2F67" w:rsidRPr="002C21B8">
        <w:t xml:space="preserve"> to </w:t>
      </w:r>
      <w:r w:rsidR="00C53AE5" w:rsidRPr="002C21B8">
        <w:t>80% hav</w:t>
      </w:r>
      <w:r w:rsidR="008A2F67" w:rsidRPr="002C21B8">
        <w:t>ing</w:t>
      </w:r>
      <w:r w:rsidR="00C53AE5" w:rsidRPr="002C21B8">
        <w:t xml:space="preserve"> a confirmed or suspected genetic basis </w:t>
      </w:r>
      <w:r w:rsidR="00C53AE5" w:rsidRPr="002C21B8">
        <w:fldChar w:fldCharType="begin"/>
      </w:r>
      <w:r w:rsidR="00C53AE5" w:rsidRPr="002C21B8">
        <w:instrText xml:space="preserve"> ADDIN EN.CITE &lt;EndNote&gt;&lt;Cite&gt;&lt;Author&gt;Marwaha&lt;/Author&gt;&lt;Year&gt;2022&lt;/Year&gt;&lt;RecNum&gt;5240&lt;/RecNum&gt;&lt;DisplayText&gt;(Marwaha, Knowles and Ashley, 2022)&lt;/DisplayText&gt;&lt;record&gt;&lt;rec-number&gt;5240&lt;/rec-number&gt;&lt;foreign-keys&gt;&lt;key app="EN" db-id="xpefzwa5hf9dt2ea9fax95x7xvxz90v09dtf" timestamp="1701089022"&gt;5240&lt;/key&gt;&lt;/foreign-keys&gt;&lt;ref-type name="Journal Article"&gt;17&lt;/ref-type&gt;&lt;contributors&gt;&lt;authors&gt;&lt;author&gt;Marwaha, Shruti&lt;/author&gt;&lt;author&gt;Knowles, Joshua W.&lt;/author&gt;&lt;author&gt;Ashley, Euan A.&lt;/author&gt;&lt;/authors&gt;&lt;/contributors&gt;&lt;titles&gt;&lt;title&gt;A guide for the diagnosis of rare and undiagnosed disease: beyond the exome&lt;/title&gt;&lt;secondary-title&gt;Genome Medicine&lt;/secondary-title&gt;&lt;/titles&gt;&lt;periodical&gt;&lt;full-title&gt;Genome Medicine&lt;/full-title&gt;&lt;/periodical&gt;&lt;pages&gt;23&lt;/pages&gt;&lt;volume&gt;14&lt;/volume&gt;&lt;number&gt;1&lt;/number&gt;&lt;dates&gt;&lt;year&gt;2022&lt;/year&gt;&lt;pub-dates&gt;&lt;date&gt;2022/02/28&lt;/date&gt;&lt;/pub-dates&gt;&lt;/dates&gt;&lt;isbn&gt;1756-994X&lt;/isbn&gt;&lt;urls&gt;&lt;related-urls&gt;&lt;url&gt;https://doi.org/10.1186/s13073-022-01026-w&lt;/url&gt;&lt;/related-urls&gt;&lt;/urls&gt;&lt;electronic-resource-num&gt;10.1186/s13073-022-01026-w&lt;/electronic-resource-num&gt;&lt;/record&gt;&lt;/Cite&gt;&lt;/EndNote&gt;</w:instrText>
      </w:r>
      <w:r w:rsidR="00C53AE5" w:rsidRPr="002C21B8">
        <w:fldChar w:fldCharType="separate"/>
      </w:r>
      <w:r w:rsidR="00C53AE5" w:rsidRPr="002C21B8">
        <w:t>(Marwaha, Knowles and Ashley, 2022)</w:t>
      </w:r>
      <w:r w:rsidR="00C53AE5" w:rsidRPr="002C21B8">
        <w:fldChar w:fldCharType="end"/>
      </w:r>
      <w:r w:rsidR="00C53AE5" w:rsidRPr="002C21B8">
        <w:t xml:space="preserve">. </w:t>
      </w:r>
      <w:r w:rsidR="009F122B" w:rsidRPr="002C21B8">
        <w:t xml:space="preserve">They </w:t>
      </w:r>
      <w:r w:rsidR="00113C3D" w:rsidRPr="002C21B8">
        <w:t xml:space="preserve">are a diverse group of </w:t>
      </w:r>
      <w:r w:rsidR="009F122B" w:rsidRPr="002C21B8">
        <w:t xml:space="preserve">conditions with differences in the organs affected, disease severity and patient outcomes, but are </w:t>
      </w:r>
      <w:r w:rsidR="008A2F67" w:rsidRPr="002C21B8">
        <w:t>characterised by</w:t>
      </w:r>
      <w:r w:rsidR="00766DF9" w:rsidRPr="002C21B8">
        <w:t xml:space="preserve"> </w:t>
      </w:r>
      <w:r w:rsidR="00831FAB" w:rsidRPr="002C21B8">
        <w:t xml:space="preserve">a </w:t>
      </w:r>
      <w:r w:rsidR="00766DF9" w:rsidRPr="002C21B8">
        <w:t>low prevalence</w:t>
      </w:r>
      <w:r w:rsidR="00607D31">
        <w:t xml:space="preserve"> </w:t>
      </w:r>
      <w:r w:rsidR="00607D31">
        <w:fldChar w:fldCharType="begin"/>
      </w:r>
      <w:r w:rsidR="00607D31">
        <w:instrText xml:space="preserve"> ADDIN EN.CITE &lt;EndNote&gt;&lt;Cite&gt;&lt;Author&gt;Richter&lt;/Author&gt;&lt;Year&gt;2015&lt;/Year&gt;&lt;RecNum&gt;125634&lt;/RecNum&gt;&lt;DisplayText&gt;(Richter&lt;style face="italic"&gt; et al.&lt;/style&gt;, 2015)&lt;/DisplayText&gt;&lt;record&gt;&lt;rec-number&gt;125634&lt;/rec-number&gt;&lt;foreign-keys&gt;&lt;key app="EN" db-id="xpefzwa5hf9dt2ea9fax95x7xvxz90v09dtf" timestamp="1786094900"&gt;125634&lt;/key&gt;&lt;/foreign-keys&gt;&lt;ref-type name="Journal Article"&gt;17&lt;/ref-type&gt;&lt;contributors&gt;&lt;authors&gt;&lt;author&gt;Richter, Trevor&lt;/author&gt;&lt;author&gt;Nestler-Parr, Sandra&lt;/author&gt;&lt;author&gt;Babela, Robert&lt;/author&gt;&lt;author&gt;Khan, Zeba M&lt;/author&gt;&lt;author&gt;Tesoro, Theresa&lt;/author&gt;&lt;author&gt;Molsen, Elizabeth&lt;/author&gt;&lt;author&gt;Hughes, Dyfrig A&lt;/author&gt;&lt;/authors&gt;&lt;/contributors&gt;&lt;titles&gt;&lt;title&gt;Rare disease terminology and definitions—a systematic global review: report of the ISPOR rare disease special interest group&lt;/title&gt;&lt;secondary-title&gt;Value in health&lt;/secondary-title&gt;&lt;/titles&gt;&lt;periodical&gt;&lt;full-title&gt;Value in Health&lt;/full-title&gt;&lt;/periodical&gt;&lt;pages&gt;906-914&lt;/pages&gt;&lt;volume&gt;18&lt;/volume&gt;&lt;number&gt;6&lt;/number&gt;&lt;dates&gt;&lt;year&gt;2015&lt;/year&gt;&lt;/dates&gt;&lt;isbn&gt;1098-3015&lt;/isbn&gt;&lt;urls&gt;&lt;/urls&gt;&lt;/record&gt;&lt;/Cite&gt;&lt;/EndNote&gt;</w:instrText>
      </w:r>
      <w:r w:rsidR="00607D31">
        <w:fldChar w:fldCharType="separate"/>
      </w:r>
      <w:r w:rsidR="00607D31">
        <w:rPr>
          <w:noProof/>
        </w:rPr>
        <w:t>(Richter</w:t>
      </w:r>
      <w:r w:rsidR="00607D31" w:rsidRPr="00607D31">
        <w:rPr>
          <w:i/>
          <w:noProof/>
        </w:rPr>
        <w:t xml:space="preserve"> et al.</w:t>
      </w:r>
      <w:r w:rsidR="00607D31">
        <w:rPr>
          <w:noProof/>
        </w:rPr>
        <w:t>, 2015)</w:t>
      </w:r>
      <w:r w:rsidR="00607D31">
        <w:fldChar w:fldCharType="end"/>
      </w:r>
      <w:r w:rsidR="00766DF9" w:rsidRPr="002C21B8">
        <w:t>.</w:t>
      </w:r>
    </w:p>
    <w:p w14:paraId="73789270" w14:textId="33E77B43" w:rsidR="0091387C" w:rsidRPr="002C21B8" w:rsidRDefault="003369E7" w:rsidP="00E919D7">
      <w:pPr>
        <w:rPr>
          <w:noProof/>
        </w:rPr>
      </w:pPr>
      <w:r w:rsidRPr="002C21B8">
        <w:t xml:space="preserve">There is no universally agreed definition </w:t>
      </w:r>
      <w:r w:rsidR="00831FAB" w:rsidRPr="002C21B8">
        <w:t>for</w:t>
      </w:r>
      <w:r w:rsidR="009F122B" w:rsidRPr="002C21B8">
        <w:t xml:space="preserve"> a rare disease</w:t>
      </w:r>
      <w:r w:rsidR="00193E69" w:rsidRPr="002C21B8">
        <w:t>,</w:t>
      </w:r>
      <w:r w:rsidR="009F122B" w:rsidRPr="002C21B8">
        <w:t xml:space="preserve"> </w:t>
      </w:r>
      <w:r w:rsidR="003F7A04" w:rsidRPr="002C21B8">
        <w:t>with</w:t>
      </w:r>
      <w:r w:rsidR="00766DF9" w:rsidRPr="002C21B8">
        <w:t xml:space="preserve"> prevalence </w:t>
      </w:r>
      <w:r w:rsidRPr="002C21B8">
        <w:t>thresholds var</w:t>
      </w:r>
      <w:r w:rsidR="00766DF9" w:rsidRPr="002C21B8">
        <w:t>y</w:t>
      </w:r>
      <w:r w:rsidR="003F7A04" w:rsidRPr="002C21B8">
        <w:t>ing</w:t>
      </w:r>
      <w:r w:rsidRPr="002C21B8">
        <w:t xml:space="preserve"> by </w:t>
      </w:r>
      <w:r w:rsidR="00831FAB" w:rsidRPr="002C21B8">
        <w:t xml:space="preserve">region and </w:t>
      </w:r>
      <w:r w:rsidRPr="002C21B8">
        <w:t>country</w:t>
      </w:r>
      <w:r w:rsidR="00DA5529" w:rsidRPr="002C21B8">
        <w:t xml:space="preserve"> (</w:t>
      </w:r>
      <w:r w:rsidRPr="002C21B8">
        <w:fldChar w:fldCharType="begin"/>
      </w:r>
      <w:r w:rsidRPr="002C21B8">
        <w:instrText xml:space="preserve"> REF _Ref217282203 \h  \* MERGEFORMAT </w:instrText>
      </w:r>
      <w:r w:rsidRPr="002C21B8">
        <w:fldChar w:fldCharType="separate"/>
      </w:r>
      <w:r w:rsidR="00DB3709" w:rsidRPr="002C21B8">
        <w:rPr>
          <w:noProof/>
        </w:rPr>
        <w:t>Table</w:t>
      </w:r>
      <w:r w:rsidR="00DB3709" w:rsidRPr="002C21B8">
        <w:t xml:space="preserve"> </w:t>
      </w:r>
      <w:r w:rsidR="00DB3709">
        <w:rPr>
          <w:noProof/>
        </w:rPr>
        <w:t>1</w:t>
      </w:r>
      <w:r w:rsidRPr="002C21B8">
        <w:fldChar w:fldCharType="end"/>
      </w:r>
      <w:r w:rsidR="00113C3D" w:rsidRPr="002C21B8">
        <w:t>)</w:t>
      </w:r>
      <w:r w:rsidRPr="002C21B8">
        <w:t xml:space="preserve">. </w:t>
      </w:r>
      <w:r w:rsidR="003F7A04" w:rsidRPr="002C21B8">
        <w:t xml:space="preserve">The </w:t>
      </w:r>
      <w:r w:rsidRPr="002C21B8">
        <w:t xml:space="preserve">European </w:t>
      </w:r>
      <w:r w:rsidR="009B5734" w:rsidRPr="002C21B8">
        <w:t>Commission</w:t>
      </w:r>
      <w:r w:rsidR="00CD0F39" w:rsidRPr="002C21B8">
        <w:t>’s</w:t>
      </w:r>
      <w:r w:rsidRPr="002C21B8">
        <w:t xml:space="preserve"> defin</w:t>
      </w:r>
      <w:r w:rsidR="009F122B" w:rsidRPr="002C21B8">
        <w:t xml:space="preserve">ition of </w:t>
      </w:r>
      <w:r w:rsidRPr="002C21B8">
        <w:t xml:space="preserve">a rare disease </w:t>
      </w:r>
      <w:r w:rsidR="00831FAB" w:rsidRPr="002C21B8">
        <w:t xml:space="preserve">is the most widely cited </w:t>
      </w:r>
      <w:r w:rsidR="00113C3D" w:rsidRPr="002C21B8">
        <w:t xml:space="preserve">and was adopted </w:t>
      </w:r>
      <w:r w:rsidRPr="002C21B8">
        <w:t xml:space="preserve">in this thesis: </w:t>
      </w:r>
      <w:r w:rsidR="00831FAB" w:rsidRPr="002C21B8">
        <w:t>a condition</w:t>
      </w:r>
      <w:r w:rsidRPr="002C21B8">
        <w:t xml:space="preserve"> affecting fewer than 1 in 2,000 people</w:t>
      </w:r>
      <w:r w:rsidR="00113C3D" w:rsidRPr="002C21B8">
        <w:t xml:space="preserve"> </w:t>
      </w:r>
      <w:r w:rsidRPr="002C21B8">
        <w:fldChar w:fldCharType="begin"/>
      </w:r>
      <w:r w:rsidRPr="002C21B8">
        <w:instrText xml:space="preserve"> ADDIN EN.CITE &lt;EndNote&gt;&lt;Cite&gt;&lt;Author&gt;European Commission&lt;/Author&gt;&lt;Year&gt;2020&lt;/Year&gt;&lt;RecNum&gt;5018&lt;/RecNum&gt;&lt;DisplayText&gt;(European Commission, 2020)&lt;/DisplayText&gt;&lt;record&gt;&lt;rec-number&gt;5018&lt;/rec-number&gt;&lt;foreign-keys&gt;&lt;key app="EN" db-id="xpefzwa5hf9dt2ea9fax95x7xvxz90v09dtf" timestamp="1699890121"&gt;5018&lt;/key&gt;&lt;/foreign-keys&gt;&lt;ref-type name="Web Page"&gt;12&lt;/ref-type&gt;&lt;contributors&gt;&lt;authors&gt;&lt;author&gt;European Commission,&lt;/author&gt;&lt;/authors&gt;&lt;/contributors&gt;&lt;titles&gt;&lt;title&gt;Rare diseases&lt;/title&gt;&lt;/titles&gt;&lt;number&gt;13/11/2023)&lt;/number&gt;&lt;dates&gt;&lt;year&gt;2020&lt;/year&gt;&lt;/dates&gt;&lt;urls&gt;&lt;related-urls&gt;&lt;url&gt;https://ec.europa.eu/info/research-and-innovation/research-area/health/rare-diseases_en&lt;/url&gt;&lt;/related-urls&gt;&lt;/urls&gt;&lt;/record&gt;&lt;/Cite&gt;&lt;/EndNote&gt;</w:instrText>
      </w:r>
      <w:r w:rsidRPr="002C21B8">
        <w:fldChar w:fldCharType="separate"/>
      </w:r>
      <w:r w:rsidRPr="002C21B8">
        <w:t>(European Commission, 2020)</w:t>
      </w:r>
      <w:r w:rsidRPr="002C21B8">
        <w:fldChar w:fldCharType="end"/>
      </w:r>
      <w:r w:rsidRPr="002C21B8">
        <w:t xml:space="preserve">. </w:t>
      </w:r>
      <w:r w:rsidR="009F122B" w:rsidRPr="002C21B8">
        <w:t xml:space="preserve">Within this </w:t>
      </w:r>
      <w:r w:rsidR="00831FAB" w:rsidRPr="002C21B8">
        <w:t>definition</w:t>
      </w:r>
      <w:r w:rsidR="009F122B" w:rsidRPr="002C21B8">
        <w:t>, prevalence varies considerably</w:t>
      </w:r>
      <w:r w:rsidR="00831FAB" w:rsidRPr="002C21B8">
        <w:t xml:space="preserve">, </w:t>
      </w:r>
      <w:r w:rsidR="009F122B" w:rsidRPr="002C21B8">
        <w:t>with some rare diseases affecting many thousands of people worldwide</w:t>
      </w:r>
      <w:r w:rsidR="00193E69" w:rsidRPr="002C21B8">
        <w:t>,</w:t>
      </w:r>
      <w:r w:rsidR="009F122B" w:rsidRPr="002C21B8">
        <w:t xml:space="preserve"> whereas ‘ultra-rare’ diseases may only affect </w:t>
      </w:r>
      <w:r w:rsidR="00447D3F" w:rsidRPr="002C21B8">
        <w:t xml:space="preserve">a few dozen </w:t>
      </w:r>
      <w:r w:rsidR="00447D3F" w:rsidRPr="002C21B8">
        <w:fldChar w:fldCharType="begin"/>
      </w:r>
      <w:r w:rsidR="00FB33CE" w:rsidRPr="002C21B8">
        <w:instrText xml:space="preserve"> ADDIN EN.CITE &lt;EndNote&gt;&lt;Cite&gt;&lt;Author&gt;Department of Health and Social Care&lt;/Author&gt;&lt;Year&gt;2021&lt;/Year&gt;&lt;RecNum&gt;17246&lt;/RecNum&gt;&lt;DisplayText&gt;(Department of Health and Social Care, 2021)&lt;/DisplayText&gt;&lt;record&gt;&lt;rec-number&gt;17246&lt;/rec-number&gt;&lt;foreign-keys&gt;&lt;key app="EN" db-id="xpefzwa5hf9dt2ea9fax95x7xvxz90v09dtf" timestamp="1716884091"&gt;17246&lt;/key&gt;&lt;/foreign-keys&gt;&lt;ref-type name="Web Page"&gt;12&lt;/ref-type&gt;&lt;contributors&gt;&lt;authors&gt;&lt;author&gt;Department of Health and Social Care,&lt;/author&gt;&lt;/authors&gt;&lt;/contributors&gt;&lt;titles&gt;&lt;title&gt;The UK Rare Diseases Framework&lt;/title&gt;&lt;/titles&gt;&lt;number&gt;20/04/2026)&lt;/number&gt;&lt;dates&gt;&lt;year&gt;2021&lt;/year&gt;&lt;/dates&gt;&lt;urls&gt;&lt;related-urls&gt;&lt;url&gt;https://www.gov.uk/government/publications/uk-rare-diseases-framework/the-uk-rare-diseases-framework&lt;/url&gt;&lt;/related-urls&gt;&lt;/urls&gt;&lt;access-date&gt;28th May 2024&lt;/access-date&gt;&lt;/record&gt;&lt;/Cite&gt;&lt;/EndNote&gt;</w:instrText>
      </w:r>
      <w:r w:rsidR="00447D3F" w:rsidRPr="002C21B8">
        <w:fldChar w:fldCharType="separate"/>
      </w:r>
      <w:r w:rsidR="00FB33CE" w:rsidRPr="002C21B8">
        <w:rPr>
          <w:noProof/>
        </w:rPr>
        <w:t>(Department of Health and Social Care, 2021)</w:t>
      </w:r>
      <w:r w:rsidR="00447D3F" w:rsidRPr="002C21B8">
        <w:fldChar w:fldCharType="end"/>
      </w:r>
      <w:r w:rsidR="00447D3F" w:rsidRPr="002C21B8">
        <w:t>.</w:t>
      </w:r>
    </w:p>
    <w:p w14:paraId="74EFB99F" w14:textId="4A5F99B1" w:rsidR="0091387C" w:rsidRPr="002C21B8" w:rsidRDefault="0091387C" w:rsidP="00831FAB">
      <w:r w:rsidRPr="002C21B8">
        <w:t>An estimated 6,000 to 8,000 conditions meet th</w:t>
      </w:r>
      <w:r w:rsidR="002D7FCF" w:rsidRPr="002C21B8">
        <w:t xml:space="preserve">e </w:t>
      </w:r>
      <w:r w:rsidRPr="002C21B8">
        <w:t>definition</w:t>
      </w:r>
      <w:r w:rsidR="00831FAB" w:rsidRPr="002C21B8">
        <w:t xml:space="preserve"> of a rare disease</w:t>
      </w:r>
      <w:r w:rsidRPr="002C21B8">
        <w:t>. Although each is individually rare, they are collective</w:t>
      </w:r>
      <w:r w:rsidR="00831FAB" w:rsidRPr="002C21B8">
        <w:t>ly</w:t>
      </w:r>
      <w:r w:rsidRPr="002C21B8">
        <w:t xml:space="preserve"> common. Approximately </w:t>
      </w:r>
      <w:r w:rsidR="009F122B" w:rsidRPr="002C21B8">
        <w:t>3.5</w:t>
      </w:r>
      <w:r w:rsidR="00B775D0" w:rsidRPr="002C21B8">
        <w:t>–</w:t>
      </w:r>
      <w:r w:rsidR="009F122B" w:rsidRPr="002C21B8">
        <w:t xml:space="preserve">5.9% of the global population </w:t>
      </w:r>
      <w:r w:rsidRPr="002C21B8">
        <w:t>ha</w:t>
      </w:r>
      <w:r w:rsidR="00193E69" w:rsidRPr="002C21B8">
        <w:t>s</w:t>
      </w:r>
      <w:r w:rsidR="009F122B" w:rsidRPr="002C21B8">
        <w:t xml:space="preserve"> a rare disease</w:t>
      </w:r>
      <w:r w:rsidRPr="002C21B8">
        <w:t xml:space="preserve"> which is equivalent to around</w:t>
      </w:r>
      <w:r w:rsidR="009F122B" w:rsidRPr="002C21B8">
        <w:t xml:space="preserve"> 300 million people </w:t>
      </w:r>
      <w:r w:rsidR="00BD029C" w:rsidRPr="002C21B8">
        <w:fldChar w:fldCharType="begin"/>
      </w:r>
      <w:r w:rsidR="00BD029C" w:rsidRPr="002C21B8">
        <w:instrText xml:space="preserve"> ADDIN EN.CITE &lt;EndNote&gt;&lt;Cite&gt;&lt;Author&gt;Nguengang Wakap&lt;/Author&gt;&lt;Year&gt;2020&lt;/Year&gt;&lt;RecNum&gt;5000&lt;/RecNum&gt;&lt;DisplayText&gt;(Nguengang Wakap&lt;style face="italic"&gt; et al.&lt;/style&gt;, 2020)&lt;/DisplayText&gt;&lt;record&gt;&lt;rec-number&gt;5000&lt;/rec-number&gt;&lt;foreign-keys&gt;&lt;key app="EN" db-id="xpefzwa5hf9dt2ea9fax95x7xvxz90v09dtf" timestamp="1699885925"&gt;5000&lt;/key&gt;&lt;/foreign-keys&gt;&lt;ref-type name="Journal Article"&gt;17&lt;/ref-type&gt;&lt;contributors&gt;&lt;authors&gt;&lt;author&gt;Nguengang Wakap, Stéphanie&lt;/author&gt;&lt;author&gt;Lambert, Deborah M.&lt;/author&gt;&lt;author&gt;Olry, Annie&lt;/author&gt;&lt;author&gt;Rodwell, Charlotte&lt;/author&gt;&lt;author&gt;Gueydan, Charlotte&lt;/author&gt;&lt;author&gt;Lanneau, Valérie&lt;/author&gt;&lt;author&gt;Murphy, Daniel&lt;/author&gt;&lt;author&gt;Le Cam, Yann&lt;/author&gt;&lt;author&gt;Rath, Ana&lt;/author&gt;&lt;/authors&gt;&lt;/contributors&gt;&lt;titles&gt;&lt;title&gt;Estimating cumulative point prevalence of rare diseases: analysis of the Orphanet database&lt;/title&gt;&lt;secondary-title&gt;European Journal of Human Genetics&lt;/secondary-title&gt;&lt;/titles&gt;&lt;periodical&gt;&lt;full-title&gt;European Journal of Human Genetics&lt;/full-title&gt;&lt;/periodical&gt;&lt;pages&gt;165-173&lt;/pages&gt;&lt;volume&gt;28&lt;/volume&gt;&lt;number&gt;2&lt;/number&gt;&lt;dates&gt;&lt;year&gt;2020&lt;/year&gt;&lt;pub-dates&gt;&lt;date&gt;2020/02/01&lt;/date&gt;&lt;/pub-dates&gt;&lt;/dates&gt;&lt;isbn&gt;1476-5438&lt;/isbn&gt;&lt;urls&gt;&lt;related-urls&gt;&lt;url&gt;https://doi.org/10.1038/s41431-019-0508-0&lt;/url&gt;&lt;/related-urls&gt;&lt;/urls&gt;&lt;electronic-resource-num&gt;10.1038/s41431-019-0508-0&lt;/electronic-resource-num&gt;&lt;/record&gt;&lt;/Cite&gt;&lt;/EndNote&gt;</w:instrText>
      </w:r>
      <w:r w:rsidR="00BD029C" w:rsidRPr="002C21B8">
        <w:fldChar w:fldCharType="separate"/>
      </w:r>
      <w:r w:rsidR="00BD029C" w:rsidRPr="002C21B8">
        <w:t>(Nguengang Wakap</w:t>
      </w:r>
      <w:r w:rsidR="00BD029C" w:rsidRPr="002C21B8">
        <w:rPr>
          <w:i/>
        </w:rPr>
        <w:t xml:space="preserve"> et al.</w:t>
      </w:r>
      <w:r w:rsidR="00BD029C" w:rsidRPr="002C21B8">
        <w:t>, 2020)</w:t>
      </w:r>
      <w:r w:rsidR="00BD029C" w:rsidRPr="002C21B8">
        <w:fldChar w:fldCharType="end"/>
      </w:r>
      <w:r w:rsidR="009B5734" w:rsidRPr="002C21B8">
        <w:t>.</w:t>
      </w:r>
      <w:r w:rsidR="00D051B3" w:rsidRPr="002C21B8">
        <w:t xml:space="preserve"> </w:t>
      </w:r>
      <w:r w:rsidRPr="002C21B8">
        <w:t xml:space="preserve">This </w:t>
      </w:r>
      <w:r w:rsidR="00D37D44" w:rsidRPr="002C21B8">
        <w:t xml:space="preserve">aggregated </w:t>
      </w:r>
      <w:r w:rsidRPr="002C21B8">
        <w:t xml:space="preserve">prevalence is </w:t>
      </w:r>
      <w:r w:rsidR="00113C3D" w:rsidRPr="002C21B8">
        <w:t xml:space="preserve">best understood in comparison with more </w:t>
      </w:r>
      <w:r w:rsidRPr="002C21B8">
        <w:t xml:space="preserve">common chronic conditions. For example, </w:t>
      </w:r>
      <w:r w:rsidR="00D41D97" w:rsidRPr="002C21B8">
        <w:t xml:space="preserve">hypertension </w:t>
      </w:r>
      <w:r w:rsidRPr="002C21B8">
        <w:t xml:space="preserve">affects approximately </w:t>
      </w:r>
      <w:r w:rsidR="00D41D97" w:rsidRPr="002C21B8">
        <w:t>30%</w:t>
      </w:r>
      <w:r w:rsidRPr="002C21B8">
        <w:t xml:space="preserve"> of adults globally,</w:t>
      </w:r>
      <w:r w:rsidR="008A2F67" w:rsidRPr="002C21B8">
        <w:t xml:space="preserve"> </w:t>
      </w:r>
      <w:r w:rsidRPr="002C21B8">
        <w:t xml:space="preserve">chronic kidney disease </w:t>
      </w:r>
      <w:r w:rsidR="009A27C9" w:rsidRPr="002C21B8">
        <w:t xml:space="preserve">(CKD) </w:t>
      </w:r>
      <w:r w:rsidRPr="002C21B8">
        <w:t>approximately 14%</w:t>
      </w:r>
      <w:r w:rsidR="00193E69" w:rsidRPr="002C21B8">
        <w:t>,</w:t>
      </w:r>
      <w:r w:rsidRPr="002C21B8">
        <w:t xml:space="preserve"> and diabetes approximately 11% </w:t>
      </w:r>
      <w:r w:rsidR="008A2F67" w:rsidRPr="002C21B8">
        <w:fldChar w:fldCharType="begin">
          <w:fldData xml:space="preserve">PEVuZE5vdGU+PENpdGU+PEF1dGhvcj5NaWxsczwvQXV0aG9yPjxZZWFyPjIwMjA8L1llYXI+PFJl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</w:fldData>
        </w:fldChar>
      </w:r>
      <w:r w:rsidRPr="002C21B8">
        <w:instrText xml:space="preserve"> ADDIN EN.CITE </w:instrText>
      </w:r>
      <w:r w:rsidRPr="002C21B8">
        <w:fldChar w:fldCharType="begin">
          <w:fldData xml:space="preserve">PEVuZE5vdGU+PENpdGU+PEF1dGhvcj5NaWxsczwvQXV0aG9yPjxZZWFyPjIwMjA8L1llYXI+PFJl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</w:fldData>
        </w:fldChar>
      </w:r>
      <w:r w:rsidRPr="002C21B8">
        <w:instrText xml:space="preserve"> ADDIN EN.CITE.DATA </w:instrText>
      </w:r>
      <w:r w:rsidRPr="002C21B8">
        <w:fldChar w:fldCharType="end"/>
      </w:r>
      <w:r w:rsidR="008A2F67" w:rsidRPr="002C21B8">
        <w:fldChar w:fldCharType="separate"/>
      </w:r>
      <w:r w:rsidRPr="002C21B8">
        <w:rPr>
          <w:noProof/>
        </w:rPr>
        <w:t>(Genitsaridi</w:t>
      </w:r>
      <w:r w:rsidRPr="002C21B8">
        <w:rPr>
          <w:i/>
          <w:noProof/>
        </w:rPr>
        <w:t xml:space="preserve"> et al.</w:t>
      </w:r>
      <w:r w:rsidRPr="002C21B8">
        <w:rPr>
          <w:noProof/>
        </w:rPr>
        <w:t>, 2026; Mark</w:t>
      </w:r>
      <w:r w:rsidRPr="002C21B8">
        <w:rPr>
          <w:i/>
          <w:noProof/>
        </w:rPr>
        <w:t xml:space="preserve"> et al.</w:t>
      </w:r>
      <w:r w:rsidRPr="002C21B8">
        <w:rPr>
          <w:noProof/>
        </w:rPr>
        <w:t>, 2025; Mills, Stefanescu and He, 2020)</w:t>
      </w:r>
      <w:r w:rsidR="008A2F67" w:rsidRPr="002C21B8">
        <w:fldChar w:fldCharType="end"/>
      </w:r>
      <w:bookmarkStart w:id="27" w:name="_Ref217282203"/>
      <w:r w:rsidR="00113C3D" w:rsidRPr="002C21B8">
        <w:t>.</w:t>
      </w:r>
    </w:p>
    <w:p w14:paraId="684379AB" w14:textId="7B97C206" w:rsidR="00F74C1A" w:rsidRPr="002C21B8" w:rsidRDefault="00F74C1A" w:rsidP="0078737C">
      <w:pPr>
        <w:pStyle w:val="Caption"/>
        <w:keepNext w:val="0"/>
        <w:rPr>
          <w:noProof w:val="0"/>
        </w:rPr>
      </w:pPr>
      <w:bookmarkStart w:id="28" w:name="_Ref226125116"/>
      <w:bookmarkStart w:id="29" w:name="_Toc236991737"/>
      <w:r w:rsidRPr="002C21B8">
        <w:rPr>
          <w:noProof w:val="0"/>
        </w:rPr>
        <w:lastRenderedPageBreak/>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w:t>
      </w:r>
      <w:r w:rsidRPr="002C21B8">
        <w:rPr>
          <w:noProof w:val="0"/>
        </w:rPr>
        <w:fldChar w:fldCharType="end"/>
      </w:r>
      <w:bookmarkEnd w:id="27"/>
      <w:bookmarkEnd w:id="28"/>
      <w:r w:rsidRPr="002C21B8">
        <w:rPr>
          <w:noProof w:val="0"/>
        </w:rPr>
        <w:t xml:space="preserve">. </w:t>
      </w:r>
      <w:r w:rsidR="00F35B51" w:rsidRPr="002C21B8">
        <w:rPr>
          <w:noProof w:val="0"/>
        </w:rPr>
        <w:t>International definitions of rare diseases expressed as prevalence thresholds</w:t>
      </w:r>
      <w:bookmarkEnd w:id="29"/>
    </w:p>
    <w:tbl>
      <w:tblPr>
        <w:tblStyle w:val="ListTable1Light-Accent3"/>
        <w:tblW w:w="9070" w:type="dxa"/>
        <w:tblLook w:val="04A0" w:firstRow="1" w:lastRow="0" w:firstColumn="1" w:lastColumn="0" w:noHBand="0" w:noVBand="1"/>
      </w:tblPr>
      <w:tblGrid>
        <w:gridCol w:w="1814"/>
        <w:gridCol w:w="3855"/>
        <w:gridCol w:w="1814"/>
        <w:gridCol w:w="1587"/>
      </w:tblGrid>
      <w:tr w:rsidR="00E27340" w:rsidRPr="002C21B8" w14:paraId="5062BF9F" w14:textId="77777777" w:rsidTr="00E2734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tcBorders>
              <w:top w:val="single" w:sz="12" w:space="0" w:color="auto"/>
              <w:bottom w:val="single" w:sz="4" w:space="0" w:color="auto"/>
            </w:tcBorders>
            <w:shd w:val="clear" w:color="auto" w:fill="auto"/>
            <w:vAlign w:val="center"/>
          </w:tcPr>
          <w:p w14:paraId="7F9F7A58" w14:textId="77777777" w:rsidR="00F74C1A" w:rsidRPr="002C21B8" w:rsidRDefault="00F74C1A" w:rsidP="0078737C">
            <w:pPr>
              <w:spacing w:beforeLines="20" w:before="48" w:afterLines="20" w:after="48" w:line="240" w:lineRule="auto"/>
              <w:rPr>
                <w:sz w:val="18"/>
                <w:szCs w:val="18"/>
              </w:rPr>
            </w:pPr>
            <w:r w:rsidRPr="002C21B8">
              <w:rPr>
                <w:sz w:val="18"/>
                <w:szCs w:val="18"/>
              </w:rPr>
              <w:t>Country</w:t>
            </w:r>
          </w:p>
        </w:tc>
        <w:tc>
          <w:tcPr>
            <w:tcW w:w="3855" w:type="dxa"/>
            <w:tcBorders>
              <w:top w:val="single" w:sz="12" w:space="0" w:color="auto"/>
              <w:bottom w:val="single" w:sz="4" w:space="0" w:color="auto"/>
            </w:tcBorders>
            <w:shd w:val="clear" w:color="auto" w:fill="auto"/>
            <w:vAlign w:val="center"/>
          </w:tcPr>
          <w:p w14:paraId="24259162" w14:textId="77777777" w:rsidR="00F74C1A" w:rsidRPr="002C21B8" w:rsidRDefault="00F74C1A" w:rsidP="0078737C">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Source</w:t>
            </w:r>
          </w:p>
        </w:tc>
        <w:tc>
          <w:tcPr>
            <w:tcW w:w="1814" w:type="dxa"/>
            <w:tcBorders>
              <w:top w:val="single" w:sz="12" w:space="0" w:color="auto"/>
              <w:bottom w:val="single" w:sz="4" w:space="0" w:color="auto"/>
            </w:tcBorders>
            <w:shd w:val="clear" w:color="auto" w:fill="auto"/>
            <w:vAlign w:val="center"/>
          </w:tcPr>
          <w:p w14:paraId="50472967" w14:textId="0C7FB83C" w:rsidR="00F74C1A" w:rsidRPr="002C21B8" w:rsidRDefault="00FA4972" w:rsidP="0078737C">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Reported p</w:t>
            </w:r>
            <w:r w:rsidR="00F74C1A" w:rsidRPr="002C21B8">
              <w:rPr>
                <w:sz w:val="18"/>
                <w:szCs w:val="18"/>
              </w:rPr>
              <w:t>revalence</w:t>
            </w:r>
          </w:p>
        </w:tc>
        <w:tc>
          <w:tcPr>
            <w:tcW w:w="1587" w:type="dxa"/>
            <w:tcBorders>
              <w:top w:val="single" w:sz="12" w:space="0" w:color="auto"/>
              <w:bottom w:val="single" w:sz="4" w:space="0" w:color="auto"/>
            </w:tcBorders>
            <w:shd w:val="clear" w:color="auto" w:fill="auto"/>
            <w:vAlign w:val="center"/>
          </w:tcPr>
          <w:p w14:paraId="550C3539" w14:textId="21D54A07" w:rsidR="00F74C1A" w:rsidRPr="002C21B8" w:rsidRDefault="00FA4972" w:rsidP="0078737C">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1 in N prevalence*</w:t>
            </w:r>
          </w:p>
        </w:tc>
      </w:tr>
      <w:tr w:rsidR="00E27340" w:rsidRPr="002C21B8" w14:paraId="1DFB2D46"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7F7DC2A1" w14:textId="3EDDC518" w:rsidR="00F74C1A" w:rsidRPr="002C21B8" w:rsidRDefault="00E27340" w:rsidP="0078737C">
            <w:pPr>
              <w:spacing w:beforeLines="20" w:before="48" w:afterLines="20" w:after="48" w:line="240" w:lineRule="auto"/>
              <w:rPr>
                <w:sz w:val="18"/>
                <w:szCs w:val="18"/>
              </w:rPr>
            </w:pPr>
            <w:r w:rsidRPr="002C21B8">
              <w:rPr>
                <w:sz w:val="18"/>
                <w:szCs w:val="18"/>
              </w:rPr>
              <w:t>WHO</w:t>
            </w:r>
          </w:p>
        </w:tc>
        <w:tc>
          <w:tcPr>
            <w:tcW w:w="3855" w:type="dxa"/>
            <w:shd w:val="clear" w:color="auto" w:fill="FFFFFF" w:themeFill="background1"/>
          </w:tcPr>
          <w:p w14:paraId="16A09898"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&lt;EndNote&gt;&lt;Cite&gt;&lt;Author&gt;World Health Organization&lt;/Author&gt;&lt;Year&gt;2021&lt;/Year&gt;&lt;RecNum&gt;5021&lt;/RecNum&gt;&lt;DisplayText&gt;(World Health Organization, 2021)&lt;/DisplayText&gt;&lt;record&gt;&lt;rec-number&gt;5021&lt;/rec-number&gt;&lt;foreign-keys&gt;&lt;key app="EN" db-id="xpefzwa5hf9dt2ea9fax95x7xvxz90v09dtf" timestamp="1699891078"&gt;5021&lt;/key&gt;&lt;/foreign-keys&gt;&lt;ref-type name="Web Page"&gt;12&lt;/ref-type&gt;&lt;contributors&gt;&lt;authors&gt;&lt;author&gt;World Health Organization,&lt;/author&gt;&lt;/authors&gt;&lt;/contributors&gt;&lt;titles&gt;&lt;title&gt;International Classification of Diseases - Eleventh Revision (ICD-11)&lt;/title&gt;&lt;/titles&gt;&lt;number&gt;13/11/2023)&lt;/number&gt;&lt;dates&gt;&lt;year&gt;2021&lt;/year&gt;&lt;/dates&gt;&lt;pub-location&gt;Geneva, Switzerland&lt;/pub-location&gt;&lt;urls&gt;&lt;related-urls&gt;&lt;url&gt;https://icd.who.int/browse11&lt;/url&gt;&lt;/related-urls&gt;&lt;/urls&gt;&lt;/record&gt;&lt;/Cite&gt;&lt;/EndNote&gt;</w:instrText>
            </w:r>
            <w:r w:rsidRPr="002C21B8">
              <w:rPr>
                <w:sz w:val="18"/>
                <w:szCs w:val="18"/>
              </w:rPr>
              <w:fldChar w:fldCharType="separate"/>
            </w:r>
            <w:r w:rsidRPr="002C21B8">
              <w:rPr>
                <w:sz w:val="18"/>
                <w:szCs w:val="18"/>
              </w:rPr>
              <w:t>(World Health Organization, 2021)</w:t>
            </w:r>
            <w:r w:rsidRPr="002C21B8">
              <w:rPr>
                <w:sz w:val="18"/>
                <w:szCs w:val="18"/>
              </w:rPr>
              <w:fldChar w:fldCharType="end"/>
            </w:r>
          </w:p>
        </w:tc>
        <w:tc>
          <w:tcPr>
            <w:tcW w:w="1814" w:type="dxa"/>
            <w:shd w:val="clear" w:color="auto" w:fill="FFFFFF" w:themeFill="background1"/>
            <w:vAlign w:val="center"/>
          </w:tcPr>
          <w:p w14:paraId="2A0ACDAC"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&lt;65 in 100,000</w:t>
            </w:r>
          </w:p>
        </w:tc>
        <w:tc>
          <w:tcPr>
            <w:tcW w:w="1587" w:type="dxa"/>
            <w:shd w:val="clear" w:color="auto" w:fill="FFFFFF" w:themeFill="background1"/>
            <w:vAlign w:val="center"/>
          </w:tcPr>
          <w:p w14:paraId="7B80F9C6"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1,538</w:t>
            </w:r>
          </w:p>
        </w:tc>
      </w:tr>
      <w:tr w:rsidR="00E27340" w:rsidRPr="002C21B8" w14:paraId="09A4A791"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48049226" w14:textId="77777777" w:rsidR="00F74C1A" w:rsidRPr="002C21B8" w:rsidRDefault="00F74C1A" w:rsidP="0078737C">
            <w:pPr>
              <w:spacing w:beforeLines="20" w:before="48" w:afterLines="20" w:after="48" w:line="240" w:lineRule="auto"/>
              <w:rPr>
                <w:sz w:val="18"/>
                <w:szCs w:val="18"/>
              </w:rPr>
            </w:pPr>
            <w:r w:rsidRPr="002C21B8">
              <w:rPr>
                <w:sz w:val="18"/>
                <w:szCs w:val="18"/>
              </w:rPr>
              <w:t>Brazil</w:t>
            </w:r>
          </w:p>
        </w:tc>
        <w:tc>
          <w:tcPr>
            <w:tcW w:w="3855" w:type="dxa"/>
            <w:shd w:val="clear" w:color="auto" w:fill="FFFFFF" w:themeFill="background1"/>
          </w:tcPr>
          <w:p w14:paraId="72678CB9" w14:textId="28D3B58C"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098E9C02"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 65 in 100,000</w:t>
            </w:r>
          </w:p>
        </w:tc>
        <w:tc>
          <w:tcPr>
            <w:tcW w:w="1587" w:type="dxa"/>
            <w:shd w:val="clear" w:color="auto" w:fill="FFFFFF" w:themeFill="background1"/>
            <w:vAlign w:val="center"/>
          </w:tcPr>
          <w:p w14:paraId="3F03A383"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1,538</w:t>
            </w:r>
          </w:p>
        </w:tc>
      </w:tr>
      <w:tr w:rsidR="00E27340" w:rsidRPr="002C21B8" w14:paraId="0341E29D"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49E7D94A" w14:textId="77777777" w:rsidR="00544F7F" w:rsidRPr="002C21B8" w:rsidRDefault="00544F7F" w:rsidP="0078737C">
            <w:pPr>
              <w:spacing w:beforeLines="20" w:before="48" w:afterLines="20" w:after="48" w:line="240" w:lineRule="auto"/>
              <w:rPr>
                <w:sz w:val="18"/>
                <w:szCs w:val="18"/>
              </w:rPr>
            </w:pPr>
            <w:r w:rsidRPr="002C21B8">
              <w:rPr>
                <w:sz w:val="18"/>
                <w:szCs w:val="18"/>
              </w:rPr>
              <w:t>United States</w:t>
            </w:r>
          </w:p>
        </w:tc>
        <w:tc>
          <w:tcPr>
            <w:tcW w:w="3855" w:type="dxa"/>
            <w:shd w:val="clear" w:color="auto" w:fill="FFFFFF" w:themeFill="background1"/>
          </w:tcPr>
          <w:p w14:paraId="5E87BAC8"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&lt;EndNote&gt;&lt;Cite&gt;&lt;Author&gt;Food and Drug Administration&lt;/Author&gt;&lt;Year&gt;2022&lt;/Year&gt;&lt;RecNum&gt;5019&lt;/RecNum&gt;&lt;DisplayText&gt;(Food and Drug Administration, 2022)&lt;/DisplayText&gt;&lt;record&gt;&lt;rec-number&gt;5019&lt;/rec-number&gt;&lt;foreign-keys&gt;&lt;key app="EN" db-id="xpefzwa5hf9dt2ea9fax95x7xvxz90v09dtf" timestamp="1699890559"&gt;5019&lt;/key&gt;&lt;/foreign-keys&gt;&lt;ref-type name="Web Page"&gt;12&lt;/ref-type&gt;&lt;contributors&gt;&lt;authors&gt;&lt;author&gt;Food and Drug Administration,&lt;/author&gt;&lt;/authors&gt;&lt;/contributors&gt;&lt;titles&gt;&lt;title&gt;Rare Diseases at FDA&lt;/title&gt;&lt;/titles&gt;&lt;number&gt;13/11/2023)&lt;/number&gt;&lt;dates&gt;&lt;year&gt;2022&lt;/year&gt;&lt;/dates&gt;&lt;urls&gt;&lt;related-urls&gt;&lt;url&gt;https://www.fda.gov/patients/rare-diseases-fda&lt;/url&gt;&lt;/related-urls&gt;&lt;/urls&gt;&lt;/record&gt;&lt;/Cite&gt;&lt;/EndNote&gt;</w:instrText>
            </w:r>
            <w:r w:rsidRPr="002C21B8">
              <w:rPr>
                <w:sz w:val="18"/>
                <w:szCs w:val="18"/>
              </w:rPr>
              <w:fldChar w:fldCharType="separate"/>
            </w:r>
            <w:r w:rsidRPr="002C21B8">
              <w:rPr>
                <w:sz w:val="18"/>
                <w:szCs w:val="18"/>
              </w:rPr>
              <w:t>(Food and Drug Administration, 2022)</w:t>
            </w:r>
            <w:r w:rsidRPr="002C21B8">
              <w:rPr>
                <w:sz w:val="18"/>
                <w:szCs w:val="18"/>
              </w:rPr>
              <w:fldChar w:fldCharType="end"/>
            </w:r>
          </w:p>
        </w:tc>
        <w:tc>
          <w:tcPr>
            <w:tcW w:w="1814" w:type="dxa"/>
            <w:shd w:val="clear" w:color="auto" w:fill="FFFFFF" w:themeFill="background1"/>
            <w:vAlign w:val="center"/>
          </w:tcPr>
          <w:p w14:paraId="18156EC3"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&lt;200,000</w:t>
            </w:r>
          </w:p>
        </w:tc>
        <w:tc>
          <w:tcPr>
            <w:tcW w:w="1587" w:type="dxa"/>
            <w:shd w:val="clear" w:color="auto" w:fill="FFFFFF" w:themeFill="background1"/>
            <w:vAlign w:val="center"/>
          </w:tcPr>
          <w:p w14:paraId="0946FC18"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1,700</w:t>
            </w:r>
          </w:p>
        </w:tc>
      </w:tr>
      <w:tr w:rsidR="00E27340" w:rsidRPr="002C21B8" w14:paraId="5833A7A8"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0DAA5945" w14:textId="77777777" w:rsidR="00544F7F" w:rsidRPr="002C21B8" w:rsidRDefault="00544F7F" w:rsidP="0078737C">
            <w:pPr>
              <w:spacing w:beforeLines="20" w:before="48" w:afterLines="20" w:after="48" w:line="240" w:lineRule="auto"/>
              <w:rPr>
                <w:sz w:val="18"/>
                <w:szCs w:val="18"/>
              </w:rPr>
            </w:pPr>
            <w:r w:rsidRPr="002C21B8">
              <w:rPr>
                <w:sz w:val="18"/>
                <w:szCs w:val="18"/>
              </w:rPr>
              <w:t>Argentina</w:t>
            </w:r>
          </w:p>
        </w:tc>
        <w:tc>
          <w:tcPr>
            <w:tcW w:w="3855" w:type="dxa"/>
            <w:shd w:val="clear" w:color="auto" w:fill="FFFFFF" w:themeFill="background1"/>
          </w:tcPr>
          <w:p w14:paraId="5B2F739F" w14:textId="012AD6A6"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46738682"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58FC0AB5"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r>
      <w:tr w:rsidR="00E27340" w:rsidRPr="002C21B8" w14:paraId="05C97A12"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1246FE98" w14:textId="77777777" w:rsidR="00F74C1A" w:rsidRPr="002C21B8" w:rsidRDefault="00F74C1A" w:rsidP="0078737C">
            <w:pPr>
              <w:spacing w:beforeLines="20" w:before="48" w:afterLines="20" w:after="48" w:line="240" w:lineRule="auto"/>
              <w:rPr>
                <w:sz w:val="18"/>
                <w:szCs w:val="18"/>
              </w:rPr>
            </w:pPr>
            <w:r w:rsidRPr="002C21B8">
              <w:rPr>
                <w:sz w:val="18"/>
                <w:szCs w:val="18"/>
              </w:rPr>
              <w:t>Australia</w:t>
            </w:r>
          </w:p>
        </w:tc>
        <w:tc>
          <w:tcPr>
            <w:tcW w:w="3855" w:type="dxa"/>
            <w:shd w:val="clear" w:color="auto" w:fill="FFFFFF" w:themeFill="background1"/>
          </w:tcPr>
          <w:p w14:paraId="48A1D094" w14:textId="66AF5A54"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725AE2" w:rsidRPr="002C21B8">
              <w:rPr>
                <w:sz w:val="18"/>
                <w:szCs w:val="18"/>
              </w:rPr>
              <w:instrText xml:space="preserve"> ADDIN EN.CITE &lt;EndNote&gt;&lt;Cite&gt;&lt;Author&gt;Australian Government&lt;/Author&gt;&lt;Year&gt;2022&lt;/Year&gt;&lt;RecNum&gt;5233&lt;/RecNum&gt;&lt;DisplayText&gt;(Australian Government, 2022)&lt;/DisplayText&gt;&lt;record&gt;&lt;rec-number&gt;5233&lt;/rec-number&gt;&lt;foreign-keys&gt;&lt;key app="EN" db-id="xpefzwa5hf9dt2ea9fax95x7xvxz90v09dtf" timestamp="1701086833"&gt;5233&lt;/key&gt;&lt;/foreign-keys&gt;&lt;ref-type name="Web Page"&gt;12&lt;/ref-type&gt;&lt;contributors&gt;&lt;authors&gt;&lt;author&gt;Australian Government,&lt;/author&gt;&lt;/authors&gt;&lt;secondary-authors&gt;&lt;author&gt;Department of Health and Aged Care,&lt;/author&gt;&lt;/secondary-authors&gt;&lt;/contributors&gt;&lt;titles&gt;&lt;title&gt;What we’re doing about rare diseases&lt;/title&gt;&lt;/titles&gt;&lt;number&gt;03/04/2024)&lt;/number&gt;&lt;dates&gt;&lt;year&gt;2022&lt;/year&gt;&lt;/dates&gt;&lt;urls&gt;&lt;related-urls&gt;&lt;url&gt;https://www.health.gov.au/topics/chronic-conditions/what-were-doing-about-chronic-conditions/what-were-doing-about-rare-diseases&lt;/url&gt;&lt;/related-urls&gt;&lt;/urls&gt;&lt;/record&gt;&lt;/Cite&gt;&lt;/EndNote&gt;</w:instrText>
            </w:r>
            <w:r w:rsidRPr="002C21B8">
              <w:rPr>
                <w:sz w:val="18"/>
                <w:szCs w:val="18"/>
              </w:rPr>
              <w:fldChar w:fldCharType="separate"/>
            </w:r>
            <w:r w:rsidRPr="002C21B8">
              <w:rPr>
                <w:noProof/>
                <w:sz w:val="18"/>
                <w:szCs w:val="18"/>
              </w:rPr>
              <w:t>(Australian Government, 2022)</w:t>
            </w:r>
            <w:r w:rsidRPr="002C21B8">
              <w:rPr>
                <w:sz w:val="18"/>
                <w:szCs w:val="18"/>
              </w:rPr>
              <w:fldChar w:fldCharType="end"/>
            </w:r>
          </w:p>
        </w:tc>
        <w:tc>
          <w:tcPr>
            <w:tcW w:w="1814" w:type="dxa"/>
            <w:shd w:val="clear" w:color="auto" w:fill="FFFFFF" w:themeFill="background1"/>
            <w:vAlign w:val="center"/>
          </w:tcPr>
          <w:p w14:paraId="02CBA2EC"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5935F373"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2,000</w:t>
            </w:r>
          </w:p>
        </w:tc>
      </w:tr>
      <w:tr w:rsidR="00E27340" w:rsidRPr="002C21B8" w14:paraId="420DB7CB"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1D5CAF40" w14:textId="77777777" w:rsidR="00F74C1A" w:rsidRPr="002C21B8" w:rsidRDefault="00F74C1A" w:rsidP="0078737C">
            <w:pPr>
              <w:spacing w:beforeLines="20" w:before="48" w:afterLines="20" w:after="48" w:line="240" w:lineRule="auto"/>
              <w:rPr>
                <w:sz w:val="18"/>
                <w:szCs w:val="18"/>
              </w:rPr>
            </w:pPr>
            <w:r w:rsidRPr="002C21B8">
              <w:rPr>
                <w:sz w:val="18"/>
                <w:szCs w:val="18"/>
              </w:rPr>
              <w:t>Canada</w:t>
            </w:r>
          </w:p>
        </w:tc>
        <w:tc>
          <w:tcPr>
            <w:tcW w:w="3855" w:type="dxa"/>
            <w:shd w:val="clear" w:color="auto" w:fill="FFFFFF" w:themeFill="background1"/>
          </w:tcPr>
          <w:p w14:paraId="07BBF243"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&lt;EndNote&gt;&lt;Cite&gt;&lt;Author&gt;Canadian Organization for Rare Disorders&lt;/Author&gt;&lt;Year&gt;2023&lt;/Year&gt;&lt;RecNum&gt;5234&lt;/RecNum&gt;&lt;DisplayText&gt;(Canadian Organization for Rare Disorders, 2023)&lt;/DisplayText&gt;&lt;record&gt;&lt;rec-number&gt;5234&lt;/rec-number&gt;&lt;foreign-keys&gt;&lt;key app="EN" db-id="xpefzwa5hf9dt2ea9fax95x7xvxz90v09dtf" timestamp="1701087103"&gt;5234&lt;/key&gt;&lt;/foreign-keys&gt;&lt;ref-type name="Web Page"&gt;12&lt;/ref-type&gt;&lt;contributors&gt;&lt;authors&gt;&lt;author&gt;Canadian Organization for Rare Disorders,&lt;/author&gt;&lt;/authors&gt;&lt;/contributors&gt;&lt;titles&gt;&lt;title&gt;CORD - Key facts&lt;/title&gt;&lt;/titles&gt;&lt;number&gt;27/11/2023)&lt;/number&gt;&lt;dates&gt;&lt;year&gt;2023&lt;/year&gt;&lt;/dates&gt;&lt;urls&gt;&lt;related-urls&gt;&lt;url&gt;https://www.raredisorders.ca/about-cord/&lt;/url&gt;&lt;/related-urls&gt;&lt;/urls&gt;&lt;/record&gt;&lt;/Cite&gt;&lt;/EndNote&gt;</w:instrText>
            </w:r>
            <w:r w:rsidRPr="002C21B8">
              <w:rPr>
                <w:sz w:val="18"/>
                <w:szCs w:val="18"/>
              </w:rPr>
              <w:fldChar w:fldCharType="separate"/>
            </w:r>
            <w:r w:rsidRPr="002C21B8">
              <w:rPr>
                <w:sz w:val="18"/>
                <w:szCs w:val="18"/>
              </w:rPr>
              <w:t>(Canadian Organization for Rare Disorders, 2023)</w:t>
            </w:r>
            <w:r w:rsidRPr="002C21B8">
              <w:rPr>
                <w:sz w:val="18"/>
                <w:szCs w:val="18"/>
              </w:rPr>
              <w:fldChar w:fldCharType="end"/>
            </w:r>
          </w:p>
        </w:tc>
        <w:tc>
          <w:tcPr>
            <w:tcW w:w="1814" w:type="dxa"/>
            <w:shd w:val="clear" w:color="auto" w:fill="FFFFFF" w:themeFill="background1"/>
            <w:vAlign w:val="center"/>
          </w:tcPr>
          <w:p w14:paraId="504996CE"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c>
          <w:tcPr>
            <w:tcW w:w="1587" w:type="dxa"/>
            <w:shd w:val="clear" w:color="auto" w:fill="FFFFFF" w:themeFill="background1"/>
            <w:vAlign w:val="center"/>
          </w:tcPr>
          <w:p w14:paraId="322B4BF5"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r>
      <w:tr w:rsidR="00E27340" w:rsidRPr="002C21B8" w14:paraId="2A62FD9C"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2D9FEFFC" w14:textId="77777777" w:rsidR="00544F7F" w:rsidRPr="002C21B8" w:rsidRDefault="00544F7F" w:rsidP="0078737C">
            <w:pPr>
              <w:spacing w:beforeLines="20" w:before="48" w:afterLines="20" w:after="48" w:line="240" w:lineRule="auto"/>
              <w:rPr>
                <w:sz w:val="18"/>
                <w:szCs w:val="18"/>
              </w:rPr>
            </w:pPr>
            <w:r w:rsidRPr="002C21B8">
              <w:rPr>
                <w:sz w:val="18"/>
                <w:szCs w:val="18"/>
              </w:rPr>
              <w:t>Chile</w:t>
            </w:r>
          </w:p>
        </w:tc>
        <w:tc>
          <w:tcPr>
            <w:tcW w:w="3855" w:type="dxa"/>
            <w:shd w:val="clear" w:color="auto" w:fill="FFFFFF" w:themeFill="background1"/>
          </w:tcPr>
          <w:p w14:paraId="6BC64FF1" w14:textId="1741E872"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31F5AFA3"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395FC706"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2,000</w:t>
            </w:r>
          </w:p>
        </w:tc>
      </w:tr>
      <w:tr w:rsidR="00E27340" w:rsidRPr="002C21B8" w14:paraId="5FA698FB"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6AE02454" w14:textId="77777777" w:rsidR="00544F7F" w:rsidRPr="002C21B8" w:rsidRDefault="00544F7F" w:rsidP="0078737C">
            <w:pPr>
              <w:spacing w:beforeLines="20" w:before="48" w:afterLines="20" w:after="48" w:line="240" w:lineRule="auto"/>
              <w:rPr>
                <w:sz w:val="18"/>
                <w:szCs w:val="18"/>
              </w:rPr>
            </w:pPr>
            <w:r w:rsidRPr="002C21B8">
              <w:rPr>
                <w:sz w:val="18"/>
                <w:szCs w:val="18"/>
              </w:rPr>
              <w:t>Ecuador</w:t>
            </w:r>
          </w:p>
        </w:tc>
        <w:tc>
          <w:tcPr>
            <w:tcW w:w="3855" w:type="dxa"/>
            <w:shd w:val="clear" w:color="auto" w:fill="FFFFFF" w:themeFill="background1"/>
          </w:tcPr>
          <w:p w14:paraId="33DE924B" w14:textId="0B66CD5B"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7C9F10BF"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7D5276DB"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r>
      <w:tr w:rsidR="00E27340" w:rsidRPr="002C21B8" w14:paraId="406098F7"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746B41DB" w14:textId="77777777" w:rsidR="00544F7F" w:rsidRPr="002C21B8" w:rsidRDefault="00544F7F" w:rsidP="0078737C">
            <w:pPr>
              <w:spacing w:beforeLines="20" w:before="48" w:afterLines="20" w:after="48" w:line="240" w:lineRule="auto"/>
              <w:rPr>
                <w:sz w:val="18"/>
                <w:szCs w:val="18"/>
              </w:rPr>
            </w:pPr>
            <w:r w:rsidRPr="002C21B8">
              <w:rPr>
                <w:sz w:val="18"/>
                <w:szCs w:val="18"/>
              </w:rPr>
              <w:t>European Union</w:t>
            </w:r>
          </w:p>
        </w:tc>
        <w:tc>
          <w:tcPr>
            <w:tcW w:w="3855" w:type="dxa"/>
            <w:shd w:val="clear" w:color="auto" w:fill="FFFFFF" w:themeFill="background1"/>
          </w:tcPr>
          <w:p w14:paraId="51CA7308"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&lt;EndNote&gt;&lt;Cite&gt;&lt;Author&gt;European Commission&lt;/Author&gt;&lt;Year&gt;2020&lt;/Year&gt;&lt;RecNum&gt;5018&lt;/RecNum&gt;&lt;DisplayText&gt;(European Commission, 2020)&lt;/DisplayText&gt;&lt;record&gt;&lt;rec-number&gt;5018&lt;/rec-number&gt;&lt;foreign-keys&gt;&lt;key app="EN" db-id="xpefzwa5hf9dt2ea9fax95x7xvxz90v09dtf" timestamp="1699890121"&gt;5018&lt;/key&gt;&lt;/foreign-keys&gt;&lt;ref-type name="Web Page"&gt;12&lt;/ref-type&gt;&lt;contributors&gt;&lt;authors&gt;&lt;author&gt;European Commission,&lt;/author&gt;&lt;/authors&gt;&lt;/contributors&gt;&lt;titles&gt;&lt;title&gt;Rare diseases&lt;/title&gt;&lt;/titles&gt;&lt;number&gt;13/11/2023)&lt;/number&gt;&lt;dates&gt;&lt;year&gt;2020&lt;/year&gt;&lt;/dates&gt;&lt;urls&gt;&lt;related-urls&gt;&lt;url&gt;https://ec.europa.eu/info/research-and-innovation/research-area/health/rare-diseases_en&lt;/url&gt;&lt;/related-urls&gt;&lt;/urls&gt;&lt;/record&gt;&lt;/Cite&gt;&lt;/EndNote&gt;</w:instrText>
            </w:r>
            <w:r w:rsidRPr="002C21B8">
              <w:rPr>
                <w:sz w:val="18"/>
                <w:szCs w:val="18"/>
              </w:rPr>
              <w:fldChar w:fldCharType="separate"/>
            </w:r>
            <w:r w:rsidRPr="002C21B8">
              <w:rPr>
                <w:sz w:val="18"/>
                <w:szCs w:val="18"/>
              </w:rPr>
              <w:t>(European Commission, 2020)</w:t>
            </w:r>
            <w:r w:rsidRPr="002C21B8">
              <w:rPr>
                <w:sz w:val="18"/>
                <w:szCs w:val="18"/>
              </w:rPr>
              <w:fldChar w:fldCharType="end"/>
            </w:r>
          </w:p>
        </w:tc>
        <w:tc>
          <w:tcPr>
            <w:tcW w:w="1814" w:type="dxa"/>
            <w:shd w:val="clear" w:color="auto" w:fill="FFFFFF" w:themeFill="background1"/>
            <w:vAlign w:val="center"/>
          </w:tcPr>
          <w:p w14:paraId="5EABD923"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2,000</w:t>
            </w:r>
          </w:p>
        </w:tc>
        <w:tc>
          <w:tcPr>
            <w:tcW w:w="1587" w:type="dxa"/>
            <w:shd w:val="clear" w:color="auto" w:fill="FFFFFF" w:themeFill="background1"/>
            <w:vAlign w:val="center"/>
          </w:tcPr>
          <w:p w14:paraId="01B60EC0" w14:textId="77777777" w:rsidR="00544F7F" w:rsidRPr="002C21B8" w:rsidRDefault="00544F7F"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2,000</w:t>
            </w:r>
          </w:p>
        </w:tc>
      </w:tr>
      <w:tr w:rsidR="00E27340" w:rsidRPr="002C21B8" w14:paraId="43621F1B"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1E3EE2D6" w14:textId="77777777" w:rsidR="00F74C1A" w:rsidRPr="002C21B8" w:rsidRDefault="00F74C1A" w:rsidP="0078737C">
            <w:pPr>
              <w:spacing w:beforeLines="20" w:before="48" w:afterLines="20" w:after="48" w:line="240" w:lineRule="auto"/>
              <w:rPr>
                <w:sz w:val="18"/>
                <w:szCs w:val="18"/>
              </w:rPr>
            </w:pPr>
            <w:r w:rsidRPr="002C21B8">
              <w:rPr>
                <w:sz w:val="18"/>
                <w:szCs w:val="18"/>
              </w:rPr>
              <w:t>Mexico</w:t>
            </w:r>
          </w:p>
        </w:tc>
        <w:tc>
          <w:tcPr>
            <w:tcW w:w="3855" w:type="dxa"/>
            <w:shd w:val="clear" w:color="auto" w:fill="FFFFFF" w:themeFill="background1"/>
          </w:tcPr>
          <w:p w14:paraId="6D90EDC0" w14:textId="013E6A46"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6BFDDFED"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058466A3"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r>
      <w:tr w:rsidR="00E27340" w:rsidRPr="002C21B8" w14:paraId="33C2CE67"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265028E0" w14:textId="77777777" w:rsidR="00F74C1A" w:rsidRPr="002C21B8" w:rsidRDefault="00F74C1A" w:rsidP="0078737C">
            <w:pPr>
              <w:spacing w:beforeLines="20" w:before="48" w:afterLines="20" w:after="48" w:line="240" w:lineRule="auto"/>
              <w:rPr>
                <w:sz w:val="18"/>
                <w:szCs w:val="18"/>
              </w:rPr>
            </w:pPr>
            <w:r w:rsidRPr="002C21B8">
              <w:rPr>
                <w:sz w:val="18"/>
                <w:szCs w:val="18"/>
              </w:rPr>
              <w:t>Panama</w:t>
            </w:r>
          </w:p>
        </w:tc>
        <w:tc>
          <w:tcPr>
            <w:tcW w:w="3855" w:type="dxa"/>
            <w:shd w:val="clear" w:color="auto" w:fill="FFFFFF" w:themeFill="background1"/>
          </w:tcPr>
          <w:p w14:paraId="6C3CD996" w14:textId="4CB2C5CD"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757442E1"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&lt;5 in 10,000</w:t>
            </w:r>
          </w:p>
        </w:tc>
        <w:tc>
          <w:tcPr>
            <w:tcW w:w="1587" w:type="dxa"/>
            <w:shd w:val="clear" w:color="auto" w:fill="FFFFFF" w:themeFill="background1"/>
            <w:vAlign w:val="center"/>
          </w:tcPr>
          <w:p w14:paraId="0836A774"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2,000</w:t>
            </w:r>
          </w:p>
        </w:tc>
      </w:tr>
      <w:tr w:rsidR="00E27340" w:rsidRPr="002C21B8" w14:paraId="223DF57A"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56D5C96B" w14:textId="77777777" w:rsidR="00544F7F" w:rsidRPr="002C21B8" w:rsidRDefault="00544F7F" w:rsidP="0078737C">
            <w:pPr>
              <w:spacing w:beforeLines="20" w:before="48" w:afterLines="20" w:after="48" w:line="240" w:lineRule="auto"/>
              <w:rPr>
                <w:sz w:val="18"/>
                <w:szCs w:val="18"/>
              </w:rPr>
            </w:pPr>
            <w:r w:rsidRPr="002C21B8">
              <w:rPr>
                <w:sz w:val="18"/>
                <w:szCs w:val="18"/>
              </w:rPr>
              <w:t>Singapore</w:t>
            </w:r>
          </w:p>
        </w:tc>
        <w:tc>
          <w:tcPr>
            <w:tcW w:w="3855" w:type="dxa"/>
            <w:shd w:val="clear" w:color="auto" w:fill="FFFFFF" w:themeFill="background1"/>
          </w:tcPr>
          <w:p w14:paraId="629D0096"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&lt;EndNote&gt;&lt;Cite&gt;&lt;Author&gt;Singapore Medicines Act&lt;/Author&gt;&lt;Year&gt;2005&lt;/Year&gt;&lt;RecNum&gt;5256&lt;/RecNum&gt;&lt;DisplayText&gt;(Singapore Medicines Act, 2005)&lt;/DisplayText&gt;&lt;record&gt;&lt;rec-number&gt;5256&lt;/rec-number&gt;&lt;foreign-keys&gt;&lt;key app="EN" db-id="xpefzwa5hf9dt2ea9fax95x7xvxz90v09dtf" timestamp="1701098784"&gt;5256&lt;/key&gt;&lt;/foreign-keys&gt;&lt;ref-type name="Web Page"&gt;12&lt;/ref-type&gt;&lt;contributors&gt;&lt;authors&gt;&lt;author&gt;Singapore Medicines Act,&lt;/author&gt;&lt;/authors&gt;&lt;/contributors&gt;&lt;titles&gt;&lt;title&gt;Medicines Act (Chapter 176 - Section 9), Medicines (Orphan Drugs)&lt;/title&gt;&lt;/titles&gt;&lt;dates&gt;&lt;year&gt;2005&lt;/year&gt;&lt;pub-dates&gt;&lt;date&gt;21/05/2025)&lt;/date&gt;&lt;/pub-dates&gt;&lt;/dates&gt;&lt;urls&gt;&lt;related-urls&gt;&lt;url&gt;https://sso.agc.gov.sg/SL/MA1975-OR12?DocDate=20050331&amp;amp;ValidDate=20160122&amp;amp;TransactionDate=20160122&lt;/url&gt;&lt;/related-urls&gt;&lt;/urls&gt;&lt;/record&gt;&lt;/Cite&gt;&lt;/EndNote&gt;</w:instrText>
            </w:r>
            <w:r w:rsidRPr="002C21B8">
              <w:rPr>
                <w:sz w:val="18"/>
                <w:szCs w:val="18"/>
              </w:rPr>
              <w:fldChar w:fldCharType="separate"/>
            </w:r>
            <w:r w:rsidRPr="002C21B8">
              <w:rPr>
                <w:noProof/>
                <w:sz w:val="18"/>
                <w:szCs w:val="18"/>
              </w:rPr>
              <w:t>(Singapore Medicines Act, 2005)</w:t>
            </w:r>
            <w:r w:rsidRPr="002C21B8">
              <w:rPr>
                <w:sz w:val="18"/>
                <w:szCs w:val="18"/>
              </w:rPr>
              <w:fldChar w:fldCharType="end"/>
            </w:r>
          </w:p>
        </w:tc>
        <w:tc>
          <w:tcPr>
            <w:tcW w:w="1814" w:type="dxa"/>
            <w:shd w:val="clear" w:color="auto" w:fill="FFFFFF" w:themeFill="background1"/>
            <w:vAlign w:val="center"/>
          </w:tcPr>
          <w:p w14:paraId="3C2C57DA" w14:textId="74D8888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c>
          <w:tcPr>
            <w:tcW w:w="1587" w:type="dxa"/>
            <w:shd w:val="clear" w:color="auto" w:fill="FFFFFF" w:themeFill="background1"/>
            <w:vAlign w:val="center"/>
          </w:tcPr>
          <w:p w14:paraId="0C332C7A" w14:textId="77777777" w:rsidR="00544F7F" w:rsidRPr="002C21B8" w:rsidRDefault="00544F7F"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2,000</w:t>
            </w:r>
          </w:p>
        </w:tc>
      </w:tr>
      <w:tr w:rsidR="00E27340" w:rsidRPr="002C21B8" w14:paraId="609B181A"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63FEF690" w14:textId="77777777" w:rsidR="00F74C1A" w:rsidRPr="002C21B8" w:rsidRDefault="00F74C1A" w:rsidP="0078737C">
            <w:pPr>
              <w:spacing w:beforeLines="20" w:before="48" w:afterLines="20" w:after="48" w:line="240" w:lineRule="auto"/>
              <w:rPr>
                <w:sz w:val="18"/>
                <w:szCs w:val="18"/>
              </w:rPr>
            </w:pPr>
            <w:r w:rsidRPr="002C21B8">
              <w:rPr>
                <w:sz w:val="18"/>
                <w:szCs w:val="18"/>
              </w:rPr>
              <w:t>Japan</w:t>
            </w:r>
          </w:p>
        </w:tc>
        <w:tc>
          <w:tcPr>
            <w:tcW w:w="3855" w:type="dxa"/>
            <w:shd w:val="clear" w:color="auto" w:fill="FFFFFF" w:themeFill="background1"/>
          </w:tcPr>
          <w:p w14:paraId="4745DAD6" w14:textId="06F3CDDD" w:rsidR="00F74C1A" w:rsidRPr="002C21B8" w:rsidRDefault="002F558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&lt;EndNote&gt;&lt;Cite&gt;&lt;Author&gt;Hayashi&lt;/Author&gt;&lt;Year&gt;2008&lt;/Year&gt;&lt;RecNum&gt;125515&lt;/RecNum&gt;&lt;DisplayText&gt;(Hayashi and Umeda, 2008)&lt;/DisplayText&gt;&lt;record&gt;&lt;rec-number&gt;125515&lt;/rec-number&gt;&lt;foreign-keys&gt;&lt;key app="EN" db-id="xpefzwa5hf9dt2ea9fax95x7xvxz90v09dtf" timestamp="1777373943"&gt;125515&lt;/key&gt;&lt;/foreign-keys&gt;&lt;ref-type name="Journal Article"&gt;17&lt;/ref-type&gt;&lt;contributors&gt;&lt;authors&gt;&lt;author&gt;Hayashi, Shuichiro&lt;/author&gt;&lt;author&gt;Umeda, Tamami&lt;/author&gt;&lt;/authors&gt;&lt;/contributors&gt;&lt;titles&gt;&lt;title&gt;35 years of Japanese policy on rare diseases&lt;/title&gt;&lt;secondary-title&gt;The Lancet&lt;/secondary-title&gt;&lt;/titles&gt;&lt;periodical&gt;&lt;full-title&gt;The Lancet&lt;/full-title&gt;&lt;/periodical&gt;&lt;pages&gt;889-890&lt;/pages&gt;&lt;volume&gt;372&lt;/volume&gt;&lt;number&gt;9642&lt;/number&gt;&lt;dates&gt;&lt;year&gt;2008&lt;/year&gt;&lt;/dates&gt;&lt;isbn&gt;0140-6736&lt;/isbn&gt;&lt;urls&gt;&lt;/urls&gt;&lt;/record&gt;&lt;/Cite&gt;&lt;/EndNote&gt;</w:instrText>
            </w:r>
            <w:r w:rsidRPr="002C21B8">
              <w:rPr>
                <w:sz w:val="18"/>
                <w:szCs w:val="18"/>
              </w:rPr>
              <w:fldChar w:fldCharType="separate"/>
            </w:r>
            <w:r w:rsidRPr="002C21B8">
              <w:rPr>
                <w:noProof/>
                <w:sz w:val="18"/>
                <w:szCs w:val="18"/>
              </w:rPr>
              <w:t>(Hayashi and Umeda, 2008)</w:t>
            </w:r>
            <w:r w:rsidRPr="002C21B8">
              <w:rPr>
                <w:sz w:val="18"/>
                <w:szCs w:val="18"/>
              </w:rPr>
              <w:fldChar w:fldCharType="end"/>
            </w:r>
          </w:p>
        </w:tc>
        <w:tc>
          <w:tcPr>
            <w:tcW w:w="1814" w:type="dxa"/>
            <w:shd w:val="clear" w:color="auto" w:fill="FFFFFF" w:themeFill="background1"/>
            <w:vAlign w:val="center"/>
          </w:tcPr>
          <w:p w14:paraId="5DE92C7E"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&lt;50,000</w:t>
            </w:r>
          </w:p>
        </w:tc>
        <w:tc>
          <w:tcPr>
            <w:tcW w:w="1587" w:type="dxa"/>
            <w:shd w:val="clear" w:color="auto" w:fill="FFFFFF" w:themeFill="background1"/>
            <w:vAlign w:val="center"/>
          </w:tcPr>
          <w:p w14:paraId="555CB510" w14:textId="2D1719D8"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2,</w:t>
            </w:r>
            <w:r w:rsidR="00544F7F" w:rsidRPr="002C21B8">
              <w:rPr>
                <w:sz w:val="18"/>
                <w:szCs w:val="18"/>
              </w:rPr>
              <w:t>480</w:t>
            </w:r>
          </w:p>
        </w:tc>
      </w:tr>
      <w:tr w:rsidR="00E27340" w:rsidRPr="002C21B8" w14:paraId="7EE00153"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38F88FDD" w14:textId="77777777" w:rsidR="00F74C1A" w:rsidRPr="002C21B8" w:rsidRDefault="00F74C1A" w:rsidP="0078737C">
            <w:pPr>
              <w:spacing w:beforeLines="20" w:before="48" w:afterLines="20" w:after="48" w:line="240" w:lineRule="auto"/>
              <w:rPr>
                <w:sz w:val="18"/>
                <w:szCs w:val="18"/>
              </w:rPr>
            </w:pPr>
            <w:r w:rsidRPr="002C21B8">
              <w:rPr>
                <w:sz w:val="18"/>
                <w:szCs w:val="18"/>
              </w:rPr>
              <w:t>South Korea</w:t>
            </w:r>
          </w:p>
        </w:tc>
        <w:tc>
          <w:tcPr>
            <w:tcW w:w="3855" w:type="dxa"/>
            <w:shd w:val="clear" w:color="auto" w:fill="FFFFFF" w:themeFill="background1"/>
          </w:tcPr>
          <w:p w14:paraId="32B3D2C6"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&lt;EndNote&gt;&lt;Cite&gt;&lt;Author&gt;Kang&lt;/Author&gt;&lt;Year&gt;2023&lt;/Year&gt;&lt;RecNum&gt;5235&lt;/RecNum&gt;&lt;DisplayText&gt;(Kang and Choi, 2023)&lt;/DisplayText&gt;&lt;record&gt;&lt;rec-number&gt;5235&lt;/rec-number&gt;&lt;foreign-keys&gt;&lt;key app="EN" db-id="xpefzwa5hf9dt2ea9fax95x7xvxz90v09dtf" timestamp="1701087179"&gt;5235&lt;/key&gt;&lt;/foreign-keys&gt;&lt;ref-type name="Journal Article"&gt;17&lt;/ref-type&gt;&lt;contributors&gt;&lt;authors&gt;&lt;author&gt;Kang, Daewon&lt;/author&gt;&lt;author&gt;Choi, Sang-Eun&lt;/author&gt;&lt;/authors&gt;&lt;/contributors&gt;&lt;titles&gt;&lt;title&gt;Horizontal healthcare utilization inequity in patients with rare diseases in Korea&lt;/title&gt;&lt;secondary-title&gt;International Journal for Equity in Health&lt;/secondary-title&gt;&lt;/titles&gt;&lt;periodical&gt;&lt;full-title&gt;International Journal for Equity in Health&lt;/full-title&gt;&lt;/periodical&gt;&lt;pages&gt;1-9&lt;/pages&gt;&lt;volume&gt;22&lt;/volume&gt;&lt;number&gt;1&lt;/number&gt;&lt;dates&gt;&lt;year&gt;2023&lt;/year&gt;&lt;/dates&gt;&lt;isbn&gt;1475-9276&lt;/isbn&gt;&lt;urls&gt;&lt;/urls&gt;&lt;/record&gt;&lt;/Cite&gt;&lt;/EndNote&gt;</w:instrText>
            </w:r>
            <w:r w:rsidRPr="002C21B8">
              <w:rPr>
                <w:sz w:val="18"/>
                <w:szCs w:val="18"/>
              </w:rPr>
              <w:fldChar w:fldCharType="separate"/>
            </w:r>
            <w:r w:rsidRPr="002C21B8">
              <w:rPr>
                <w:sz w:val="18"/>
                <w:szCs w:val="18"/>
              </w:rPr>
              <w:t>(Kang and Choi, 2023)</w:t>
            </w:r>
            <w:r w:rsidRPr="002C21B8">
              <w:rPr>
                <w:sz w:val="18"/>
                <w:szCs w:val="18"/>
              </w:rPr>
              <w:fldChar w:fldCharType="end"/>
            </w:r>
          </w:p>
        </w:tc>
        <w:tc>
          <w:tcPr>
            <w:tcW w:w="1814" w:type="dxa"/>
            <w:shd w:val="clear" w:color="auto" w:fill="FFFFFF" w:themeFill="background1"/>
            <w:vAlign w:val="center"/>
          </w:tcPr>
          <w:p w14:paraId="37A9C654"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&lt;20,000</w:t>
            </w:r>
          </w:p>
        </w:tc>
        <w:tc>
          <w:tcPr>
            <w:tcW w:w="1587" w:type="dxa"/>
            <w:shd w:val="clear" w:color="auto" w:fill="FFFFFF" w:themeFill="background1"/>
            <w:vAlign w:val="center"/>
          </w:tcPr>
          <w:p w14:paraId="072A5A89" w14:textId="44C7BFC3"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2,</w:t>
            </w:r>
            <w:r w:rsidR="00544F7F" w:rsidRPr="002C21B8">
              <w:rPr>
                <w:sz w:val="18"/>
                <w:szCs w:val="18"/>
              </w:rPr>
              <w:t>588</w:t>
            </w:r>
          </w:p>
        </w:tc>
      </w:tr>
      <w:tr w:rsidR="00E27340" w:rsidRPr="002C21B8" w14:paraId="2AFC0167"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417B46E3" w14:textId="77777777" w:rsidR="00F74C1A" w:rsidRPr="002C21B8" w:rsidRDefault="00F74C1A" w:rsidP="0078737C">
            <w:pPr>
              <w:spacing w:beforeLines="20" w:before="48" w:afterLines="20" w:after="48" w:line="240" w:lineRule="auto"/>
              <w:rPr>
                <w:sz w:val="18"/>
                <w:szCs w:val="18"/>
              </w:rPr>
            </w:pPr>
            <w:r w:rsidRPr="002C21B8">
              <w:rPr>
                <w:sz w:val="18"/>
                <w:szCs w:val="18"/>
              </w:rPr>
              <w:t>Columbia</w:t>
            </w:r>
          </w:p>
        </w:tc>
        <w:tc>
          <w:tcPr>
            <w:tcW w:w="3855" w:type="dxa"/>
            <w:shd w:val="clear" w:color="auto" w:fill="FFFFFF" w:themeFill="background1"/>
          </w:tcPr>
          <w:p w14:paraId="315B438A" w14:textId="29813E25"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153ACD24"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&lt;2 in 10,000</w:t>
            </w:r>
          </w:p>
        </w:tc>
        <w:tc>
          <w:tcPr>
            <w:tcW w:w="1587" w:type="dxa"/>
            <w:shd w:val="clear" w:color="auto" w:fill="FFFFFF" w:themeFill="background1"/>
            <w:vAlign w:val="center"/>
          </w:tcPr>
          <w:p w14:paraId="0BDCA6E9"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5,000</w:t>
            </w:r>
          </w:p>
        </w:tc>
      </w:tr>
      <w:tr w:rsidR="00E27340" w:rsidRPr="002C21B8" w14:paraId="57808B22"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20CE8E35" w14:textId="77777777" w:rsidR="00F74C1A" w:rsidRPr="002C21B8" w:rsidRDefault="00F74C1A" w:rsidP="0078737C">
            <w:pPr>
              <w:spacing w:beforeLines="20" w:before="48" w:afterLines="20" w:after="48" w:line="240" w:lineRule="auto"/>
              <w:rPr>
                <w:sz w:val="18"/>
                <w:szCs w:val="18"/>
              </w:rPr>
            </w:pPr>
            <w:r w:rsidRPr="002C21B8">
              <w:rPr>
                <w:sz w:val="18"/>
                <w:szCs w:val="18"/>
              </w:rPr>
              <w:t>India</w:t>
            </w:r>
          </w:p>
        </w:tc>
        <w:tc>
          <w:tcPr>
            <w:tcW w:w="3855" w:type="dxa"/>
            <w:shd w:val="clear" w:color="auto" w:fill="FFFFFF" w:themeFill="background1"/>
          </w:tcPr>
          <w:p w14:paraId="2F324D2A"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&lt;EndNote&gt;&lt;Cite&gt;&lt;Author&gt;Organization for Rare Diseases India&lt;/Author&gt;&lt;Year&gt;2023&lt;/Year&gt;&lt;RecNum&gt;5237&lt;/RecNum&gt;&lt;DisplayText&gt;(Organization for Rare Diseases India, 2023)&lt;/DisplayText&gt;&lt;record&gt;&lt;rec-number&gt;5237&lt;/rec-number&gt;&lt;foreign-keys&gt;&lt;key app="EN" db-id="xpefzwa5hf9dt2ea9fax95x7xvxz90v09dtf" timestamp="1701087474"&gt;5237&lt;/key&gt;&lt;/foreign-keys&gt;&lt;ref-type name="Web Page"&gt;12&lt;/ref-type&gt;&lt;contributors&gt;&lt;authors&gt;&lt;author&gt;Organization for Rare Diseases India,&lt;/author&gt;&lt;/authors&gt;&lt;/contributors&gt;&lt;titles&gt;&lt;title&gt;Rare Disease Definition&lt;/title&gt;&lt;/titles&gt;&lt;number&gt;27/11/2023)&lt;/number&gt;&lt;dates&gt;&lt;year&gt;2023&lt;/year&gt;&lt;/dates&gt;&lt;urls&gt;&lt;related-urls&gt;&lt;url&gt;https://ordindia.in/about-rd/rare-disease-definition/#:~:text=Considering%20the%20large%20population%20of,in%205%2C000%20people%20or%20less.&lt;/url&gt;&lt;/related-urls&gt;&lt;/urls&gt;&lt;/record&gt;&lt;/Cite&gt;&lt;/EndNote&gt;</w:instrText>
            </w:r>
            <w:r w:rsidRPr="002C21B8">
              <w:rPr>
                <w:sz w:val="18"/>
                <w:szCs w:val="18"/>
              </w:rPr>
              <w:fldChar w:fldCharType="separate"/>
            </w:r>
            <w:r w:rsidRPr="002C21B8">
              <w:rPr>
                <w:sz w:val="18"/>
                <w:szCs w:val="18"/>
              </w:rPr>
              <w:t>(Organization for Rare Diseases India, 2023)</w:t>
            </w:r>
            <w:r w:rsidRPr="002C21B8">
              <w:rPr>
                <w:sz w:val="18"/>
                <w:szCs w:val="18"/>
              </w:rPr>
              <w:fldChar w:fldCharType="end"/>
            </w:r>
          </w:p>
        </w:tc>
        <w:tc>
          <w:tcPr>
            <w:tcW w:w="1814" w:type="dxa"/>
            <w:shd w:val="clear" w:color="auto" w:fill="FFFFFF" w:themeFill="background1"/>
            <w:vAlign w:val="center"/>
          </w:tcPr>
          <w:p w14:paraId="37C709CB"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5,000</w:t>
            </w:r>
          </w:p>
        </w:tc>
        <w:tc>
          <w:tcPr>
            <w:tcW w:w="1587" w:type="dxa"/>
            <w:shd w:val="clear" w:color="auto" w:fill="FFFFFF" w:themeFill="background1"/>
            <w:vAlign w:val="center"/>
          </w:tcPr>
          <w:p w14:paraId="69CF79CD"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5,000</w:t>
            </w:r>
          </w:p>
        </w:tc>
      </w:tr>
      <w:tr w:rsidR="00E27340" w:rsidRPr="002C21B8" w14:paraId="77774E4B"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79667323" w14:textId="77777777" w:rsidR="00F74C1A" w:rsidRPr="002C21B8" w:rsidRDefault="00F74C1A" w:rsidP="0078737C">
            <w:pPr>
              <w:spacing w:beforeLines="20" w:before="48" w:afterLines="20" w:after="48" w:line="240" w:lineRule="auto"/>
              <w:rPr>
                <w:sz w:val="18"/>
                <w:szCs w:val="18"/>
              </w:rPr>
            </w:pPr>
            <w:r w:rsidRPr="002C21B8">
              <w:rPr>
                <w:sz w:val="18"/>
                <w:szCs w:val="18"/>
              </w:rPr>
              <w:t>Russia</w:t>
            </w:r>
          </w:p>
        </w:tc>
        <w:tc>
          <w:tcPr>
            <w:tcW w:w="3855" w:type="dxa"/>
            <w:shd w:val="clear" w:color="auto" w:fill="FFFFFF" w:themeFill="background1"/>
          </w:tcPr>
          <w:p w14:paraId="6A5BF31C"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Pr="002C21B8">
              <w:rPr>
                <w:sz w:val="18"/>
                <w:szCs w:val="18"/>
              </w:rPr>
              <w:instrText xml:space="preserve"> ADDIN EN.CITE &lt;EndNote&gt;&lt;Cite&gt;&lt;Author&gt;Federal Regulation&lt;/Author&gt;&lt;Year&gt;2011&lt;/Year&gt;&lt;RecNum&gt;5248&lt;/RecNum&gt;&lt;DisplayText&gt;(Federal Regulation, 2011)&lt;/DisplayText&gt;&lt;record&gt;&lt;rec-number&gt;5248&lt;/rec-number&gt;&lt;foreign-keys&gt;&lt;key app="EN" db-id="xpefzwa5hf9dt2ea9fax95x7xvxz90v09dtf" timestamp="1701096314"&gt;5248&lt;/key&gt;&lt;/foreign-keys&gt;&lt;ref-type name="Web Page"&gt;12&lt;/ref-type&gt;&lt;contributors&gt;&lt;authors&gt;&lt;author&gt;Federal Regulation,&lt;/author&gt;&lt;/authors&gt;&lt;/contributors&gt;&lt;titles&gt;&lt;title&gt;No 323-F3 Base of Healthcare for Russian Federation Citizenship&lt;/title&gt;&lt;/titles&gt;&lt;number&gt;27/11/2023)&lt;/number&gt;&lt;dates&gt;&lt;year&gt;2011&lt;/year&gt;&lt;/dates&gt;&lt;urls&gt;&lt;related-urls&gt;&lt;url&gt;http://www.consultant.ru/document/cons_doc_LAW_121895/&lt;/url&gt;&lt;/related-urls&gt;&lt;/urls&gt;&lt;/record&gt;&lt;/Cite&gt;&lt;/EndNote&gt;</w:instrText>
            </w:r>
            <w:r w:rsidRPr="002C21B8">
              <w:rPr>
                <w:sz w:val="18"/>
                <w:szCs w:val="18"/>
              </w:rPr>
              <w:fldChar w:fldCharType="separate"/>
            </w:r>
            <w:r w:rsidRPr="002C21B8">
              <w:rPr>
                <w:sz w:val="18"/>
                <w:szCs w:val="18"/>
              </w:rPr>
              <w:t>(Federal Regulation, 2011)</w:t>
            </w:r>
            <w:r w:rsidRPr="002C21B8">
              <w:rPr>
                <w:sz w:val="18"/>
                <w:szCs w:val="18"/>
              </w:rPr>
              <w:fldChar w:fldCharType="end"/>
            </w:r>
          </w:p>
        </w:tc>
        <w:tc>
          <w:tcPr>
            <w:tcW w:w="1814" w:type="dxa"/>
            <w:shd w:val="clear" w:color="auto" w:fill="FFFFFF" w:themeFill="background1"/>
            <w:vAlign w:val="center"/>
          </w:tcPr>
          <w:p w14:paraId="648A5A80"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10,000</w:t>
            </w:r>
          </w:p>
        </w:tc>
        <w:tc>
          <w:tcPr>
            <w:tcW w:w="1587" w:type="dxa"/>
            <w:shd w:val="clear" w:color="auto" w:fill="FFFFFF" w:themeFill="background1"/>
            <w:vAlign w:val="center"/>
          </w:tcPr>
          <w:p w14:paraId="2ABEDED5"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10,000</w:t>
            </w:r>
          </w:p>
        </w:tc>
      </w:tr>
      <w:tr w:rsidR="00E27340" w:rsidRPr="002C21B8" w14:paraId="1786760A"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370386F0" w14:textId="77777777" w:rsidR="00F74C1A" w:rsidRPr="002C21B8" w:rsidRDefault="00F74C1A" w:rsidP="0078737C">
            <w:pPr>
              <w:spacing w:beforeLines="20" w:before="48" w:afterLines="20" w:after="48" w:line="240" w:lineRule="auto"/>
              <w:rPr>
                <w:sz w:val="18"/>
                <w:szCs w:val="18"/>
              </w:rPr>
            </w:pPr>
            <w:r w:rsidRPr="002C21B8">
              <w:rPr>
                <w:sz w:val="18"/>
                <w:szCs w:val="18"/>
              </w:rPr>
              <w:t>Taiwan</w:t>
            </w:r>
          </w:p>
        </w:tc>
        <w:tc>
          <w:tcPr>
            <w:tcW w:w="3855" w:type="dxa"/>
            <w:shd w:val="clear" w:color="auto" w:fill="FFFFFF" w:themeFill="background1"/>
          </w:tcPr>
          <w:p w14:paraId="1D5C6A0D" w14:textId="78424F90"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0215B0" w:rsidRPr="002C21B8">
              <w:rPr>
                <w:sz w:val="18"/>
                <w:szCs w:val="18"/>
              </w:rPr>
              <w:instrText xml:space="preserve"> ADDIN EN.CITE &lt;EndNote&gt;&lt;Cite&gt;&lt;Author&gt;Song&lt;/Author&gt;&lt;Year&gt;2012&lt;/Year&gt;&lt;RecNum&gt;5238&lt;/RecNum&gt;&lt;DisplayText&gt;(Song&lt;style face="italic"&gt; et al.&lt;/style&gt;, 2012)&lt;/DisplayText&gt;&lt;record&gt;&lt;rec-number&gt;5238&lt;/rec-number&gt;&lt;foreign-keys&gt;&lt;key app="EN" db-id="xpefzwa5hf9dt2ea9fax95x7xvxz90v09dtf" timestamp="1701088395"&gt;5238&lt;/key&gt;&lt;/foreign-keys&gt;&lt;ref-type name="Journal Article"&gt;17&lt;/ref-type&gt;&lt;contributors&gt;&lt;authors&gt;&lt;author&gt;Song, Peipei&lt;/author&gt;&lt;author&gt;Gao, Jianjun&lt;/author&gt;&lt;author&gt;Inagaki, Yoshinori&lt;/author&gt;&lt;author&gt;Kokudo, Norihiro&lt;/author&gt;&lt;author&gt;Tang, Wei&lt;/author&gt;&lt;/authors&gt;&lt;/contributors&gt;&lt;titles&gt;&lt;title&gt;Rare diseases, orphan drugs, and their regulation in Asia: Current status and future perspectives&lt;/title&gt;&lt;secondary-title&gt;Intractable &amp;amp; Rare Diseases Research&lt;/secondary-title&gt;&lt;/titles&gt;&lt;periodical&gt;&lt;full-title&gt;Intractable &amp;amp; rare diseases research&lt;/full-title&gt;&lt;/periodical&gt;&lt;pages&gt;3-9&lt;/pages&gt;&lt;volume&gt;1&lt;/volume&gt;&lt;number&gt;1&lt;/number&gt;&lt;dates&gt;&lt;year&gt;2012&lt;/year&gt;&lt;/dates&gt;&lt;isbn&gt;2186-3644&lt;/isbn&gt;&lt;urls&gt;&lt;/urls&gt;&lt;/record&gt;&lt;/Cite&gt;&lt;/EndNote&gt;</w:instrText>
            </w:r>
            <w:r w:rsidRPr="002C21B8">
              <w:rPr>
                <w:sz w:val="18"/>
                <w:szCs w:val="18"/>
              </w:rPr>
              <w:fldChar w:fldCharType="separate"/>
            </w:r>
            <w:r w:rsidRPr="002C21B8">
              <w:rPr>
                <w:noProof/>
                <w:sz w:val="18"/>
                <w:szCs w:val="18"/>
              </w:rPr>
              <w:t>(Song</w:t>
            </w:r>
            <w:r w:rsidRPr="002C21B8">
              <w:rPr>
                <w:i/>
                <w:noProof/>
                <w:sz w:val="18"/>
                <w:szCs w:val="18"/>
              </w:rPr>
              <w:t xml:space="preserve"> et al.</w:t>
            </w:r>
            <w:r w:rsidRPr="002C21B8">
              <w:rPr>
                <w:noProof/>
                <w:sz w:val="18"/>
                <w:szCs w:val="18"/>
              </w:rPr>
              <w:t>, 2012)</w:t>
            </w:r>
            <w:r w:rsidRPr="002C21B8">
              <w:rPr>
                <w:sz w:val="18"/>
                <w:szCs w:val="18"/>
              </w:rPr>
              <w:fldChar w:fldCharType="end"/>
            </w:r>
          </w:p>
        </w:tc>
        <w:tc>
          <w:tcPr>
            <w:tcW w:w="1814" w:type="dxa"/>
            <w:shd w:val="clear" w:color="auto" w:fill="FFFFFF" w:themeFill="background1"/>
            <w:vAlign w:val="center"/>
          </w:tcPr>
          <w:p w14:paraId="7D5D256C"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10,000</w:t>
            </w:r>
          </w:p>
        </w:tc>
        <w:tc>
          <w:tcPr>
            <w:tcW w:w="1587" w:type="dxa"/>
            <w:shd w:val="clear" w:color="auto" w:fill="FFFFFF" w:themeFill="background1"/>
            <w:vAlign w:val="center"/>
          </w:tcPr>
          <w:p w14:paraId="7971A2FB"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10,000</w:t>
            </w:r>
          </w:p>
        </w:tc>
      </w:tr>
      <w:tr w:rsidR="00E27340" w:rsidRPr="002C21B8" w14:paraId="1C3F52B6"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1C6B250B" w14:textId="77777777" w:rsidR="00F74C1A" w:rsidRPr="002C21B8" w:rsidRDefault="00F74C1A" w:rsidP="0078737C">
            <w:pPr>
              <w:spacing w:beforeLines="20" w:before="48" w:afterLines="20" w:after="48" w:line="240" w:lineRule="auto"/>
              <w:rPr>
                <w:sz w:val="18"/>
                <w:szCs w:val="18"/>
              </w:rPr>
            </w:pPr>
            <w:r w:rsidRPr="002C21B8">
              <w:rPr>
                <w:sz w:val="18"/>
                <w:szCs w:val="18"/>
              </w:rPr>
              <w:t>Turkey</w:t>
            </w:r>
          </w:p>
        </w:tc>
        <w:tc>
          <w:tcPr>
            <w:tcW w:w="3855" w:type="dxa"/>
            <w:shd w:val="clear" w:color="auto" w:fill="FFFFFF" w:themeFill="background1"/>
          </w:tcPr>
          <w:p w14:paraId="5578CE71" w14:textId="1C37D084"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CB09F5" w:rsidRPr="002C21B8">
              <w:rPr>
                <w:sz w:val="18"/>
                <w:szCs w:val="18"/>
              </w:rPr>
              <w:instrText xml:space="preserve"> ADDIN EN.CITE &lt;EndNote&gt;&lt;Cite&gt;&lt;Author&gt;Kiliç&lt;/Author&gt;&lt;Year&gt;2013&lt;/Year&gt;&lt;RecNum&gt;5250&lt;/RecNum&gt;&lt;DisplayText&gt;(Kiliç&lt;style face="italic"&gt; et al.&lt;/style&gt;, 2013)&lt;/DisplayText&gt;&lt;record&gt;&lt;rec-number&gt;5250&lt;/rec-number&gt;&lt;foreign-keys&gt;&lt;key app="EN" db-id="xpefzwa5hf9dt2ea9fax95x7xvxz90v09dtf" timestamp="1701096398"&gt;5250&lt;/key&gt;&lt;/foreign-keys&gt;&lt;ref-type name="Journal Article"&gt;17&lt;/ref-type&gt;&lt;contributors&gt;&lt;authors&gt;&lt;author&gt;Kiliç, P&lt;/author&gt;&lt;author&gt;Koçkaya, G&lt;/author&gt;&lt;author&gt;Yemşen, Ö&lt;/author&gt;&lt;author&gt;Tan, C&lt;/author&gt;&lt;author&gt;Handan Öztunca, F&lt;/author&gt;&lt;author&gt;Aksungur, P&lt;/author&gt;&lt;/authors&gt;&lt;/contributors&gt;&lt;titles&gt;&lt;title&gt;Orphan drug regulation in Turkey&lt;/title&gt;&lt;secondary-title&gt;Journal of Pharmaceutical Health Services Research&lt;/secondary-title&gt;&lt;/titles&gt;&lt;periodical&gt;&lt;full-title&gt;Journal of Pharmaceutical Health Services Research&lt;/full-title&gt;&lt;/periodical&gt;&lt;pages&gt;151-153&lt;/pages&gt;&lt;volume&gt;4&lt;/volume&gt;&lt;number&gt;3&lt;/number&gt;&lt;dates&gt;&lt;year&gt;2013&lt;/year&gt;&lt;/dates&gt;&lt;urls&gt;&lt;/urls&gt;&lt;/record&gt;&lt;/Cite&gt;&lt;/EndNote&gt;</w:instrText>
            </w:r>
            <w:r w:rsidRPr="002C21B8">
              <w:rPr>
                <w:sz w:val="18"/>
                <w:szCs w:val="18"/>
              </w:rPr>
              <w:fldChar w:fldCharType="separate"/>
            </w:r>
            <w:r w:rsidRPr="002C21B8">
              <w:rPr>
                <w:noProof/>
                <w:sz w:val="18"/>
                <w:szCs w:val="18"/>
              </w:rPr>
              <w:t>(Kiliç</w:t>
            </w:r>
            <w:r w:rsidRPr="002C21B8">
              <w:rPr>
                <w:i/>
                <w:noProof/>
                <w:sz w:val="18"/>
                <w:szCs w:val="18"/>
              </w:rPr>
              <w:t xml:space="preserve"> et al.</w:t>
            </w:r>
            <w:r w:rsidRPr="002C21B8">
              <w:rPr>
                <w:noProof/>
                <w:sz w:val="18"/>
                <w:szCs w:val="18"/>
              </w:rPr>
              <w:t>, 2013)</w:t>
            </w:r>
            <w:r w:rsidRPr="002C21B8">
              <w:rPr>
                <w:sz w:val="18"/>
                <w:szCs w:val="18"/>
              </w:rPr>
              <w:fldChar w:fldCharType="end"/>
            </w:r>
          </w:p>
        </w:tc>
        <w:tc>
          <w:tcPr>
            <w:tcW w:w="1814" w:type="dxa"/>
            <w:shd w:val="clear" w:color="auto" w:fill="FFFFFF" w:themeFill="background1"/>
            <w:vAlign w:val="center"/>
          </w:tcPr>
          <w:p w14:paraId="1694AEC7"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100,000</w:t>
            </w:r>
          </w:p>
        </w:tc>
        <w:tc>
          <w:tcPr>
            <w:tcW w:w="1587" w:type="dxa"/>
            <w:shd w:val="clear" w:color="auto" w:fill="FFFFFF" w:themeFill="background1"/>
            <w:vAlign w:val="center"/>
          </w:tcPr>
          <w:p w14:paraId="6101C715"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100,000</w:t>
            </w:r>
          </w:p>
        </w:tc>
      </w:tr>
      <w:tr w:rsidR="00E27340" w:rsidRPr="002C21B8" w14:paraId="3024C5CF" w14:textId="77777777" w:rsidTr="00E27340">
        <w:trPr>
          <w:trHeight w:val="283"/>
        </w:trPr>
        <w:tc>
          <w:tcPr>
            <w:cnfStyle w:val="001000000000" w:firstRow="0" w:lastRow="0" w:firstColumn="1" w:lastColumn="0" w:oddVBand="0" w:evenVBand="0" w:oddHBand="0" w:evenHBand="0" w:firstRowFirstColumn="0" w:firstRowLastColumn="0" w:lastRowFirstColumn="0" w:lastRowLastColumn="0"/>
            <w:tcW w:w="1814" w:type="dxa"/>
            <w:shd w:val="clear" w:color="auto" w:fill="FFFFFF" w:themeFill="background1"/>
            <w:vAlign w:val="center"/>
          </w:tcPr>
          <w:p w14:paraId="4454E10A" w14:textId="77777777" w:rsidR="00F74C1A" w:rsidRPr="002C21B8" w:rsidRDefault="00F74C1A" w:rsidP="0078737C">
            <w:pPr>
              <w:spacing w:beforeLines="20" w:before="48" w:afterLines="20" w:after="48" w:line="240" w:lineRule="auto"/>
              <w:rPr>
                <w:sz w:val="18"/>
                <w:szCs w:val="18"/>
              </w:rPr>
            </w:pPr>
            <w:r w:rsidRPr="002C21B8">
              <w:rPr>
                <w:sz w:val="18"/>
                <w:szCs w:val="18"/>
              </w:rPr>
              <w:t>Peru</w:t>
            </w:r>
          </w:p>
        </w:tc>
        <w:tc>
          <w:tcPr>
            <w:tcW w:w="3855" w:type="dxa"/>
            <w:shd w:val="clear" w:color="auto" w:fill="FFFFFF" w:themeFill="background1"/>
          </w:tcPr>
          <w:p w14:paraId="074A1D12" w14:textId="301980E8"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fldChar w:fldCharType="begin"/>
            </w:r>
            <w:r w:rsidR="0060457F" w:rsidRPr="002C21B8">
              <w:rPr>
                <w:sz w:val="18"/>
                <w:szCs w:val="18"/>
              </w:rPr>
              <w:instrText xml:space="preserve"> ADDIN EN.CITE &lt;EndNote&gt;&lt;Cite&gt;&lt;Author&gt;Wainstock&lt;/Author&gt;&lt;Year&gt;2023&lt;/Year&gt;&lt;RecNum&gt;5239&lt;/RecNum&gt;&lt;DisplayText&gt;(Wainstock and Katz, 2023)&lt;/DisplayText&gt;&lt;record&gt;&lt;rec-number&gt;5239&lt;/rec-number&gt;&lt;foreign-keys&gt;&lt;key app="EN" db-id="xpefzwa5hf9dt2ea9fax95x7xvxz90v09dtf" timestamp="1701088635"&gt;5239&lt;/key&gt;&lt;/foreign-keys&gt;&lt;ref-type name="Journal Article"&gt;17&lt;/ref-type&gt;&lt;contributors&gt;&lt;authors&gt;&lt;author&gt;Wainstock, Daniel&lt;/author&gt;&lt;author&gt;Katz, Amiel&lt;/author&gt;&lt;/authors&gt;&lt;/contributors&gt;&lt;titles&gt;&lt;title&gt;Advancing rare disease policy in Latin America: a call to action&lt;/title&gt;&lt;secondary-title&gt;The Lancet Regional Health–Americas&lt;/secondary-title&gt;&lt;/titles&gt;&lt;periodical&gt;&lt;full-title&gt;The Lancet Regional Health–Americas&lt;/full-title&gt;&lt;/periodical&gt;&lt;pages&gt;100434&lt;/pages&gt;&lt;volume&gt;18&lt;/volume&gt;&lt;dates&gt;&lt;year&gt;2023&lt;/year&gt;&lt;/dates&gt;&lt;isbn&gt;2667-193X&lt;/isbn&gt;&lt;urls&gt;&lt;/urls&gt;&lt;/record&gt;&lt;/Cite&gt;&lt;/EndNote&gt;</w:instrText>
            </w:r>
            <w:r w:rsidRPr="002C21B8">
              <w:rPr>
                <w:sz w:val="18"/>
                <w:szCs w:val="18"/>
              </w:rPr>
              <w:fldChar w:fldCharType="separate"/>
            </w:r>
            <w:r w:rsidRPr="002C21B8">
              <w:rPr>
                <w:noProof/>
                <w:sz w:val="18"/>
                <w:szCs w:val="18"/>
              </w:rPr>
              <w:t>(Wainstock and Katz, 2023)</w:t>
            </w:r>
            <w:r w:rsidRPr="002C21B8">
              <w:rPr>
                <w:sz w:val="18"/>
                <w:szCs w:val="18"/>
              </w:rPr>
              <w:fldChar w:fldCharType="end"/>
            </w:r>
          </w:p>
        </w:tc>
        <w:tc>
          <w:tcPr>
            <w:tcW w:w="1814" w:type="dxa"/>
            <w:shd w:val="clear" w:color="auto" w:fill="FFFFFF" w:themeFill="background1"/>
            <w:vAlign w:val="center"/>
          </w:tcPr>
          <w:p w14:paraId="4149E640"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100,000</w:t>
            </w:r>
          </w:p>
        </w:tc>
        <w:tc>
          <w:tcPr>
            <w:tcW w:w="1587" w:type="dxa"/>
            <w:shd w:val="clear" w:color="auto" w:fill="FFFFFF" w:themeFill="background1"/>
            <w:vAlign w:val="center"/>
          </w:tcPr>
          <w:p w14:paraId="4B12ED41" w14:textId="77777777" w:rsidR="00F74C1A" w:rsidRPr="002C21B8" w:rsidRDefault="00F74C1A" w:rsidP="0078737C">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&lt;1 in 100,000</w:t>
            </w:r>
          </w:p>
        </w:tc>
      </w:tr>
      <w:tr w:rsidR="00E27340" w:rsidRPr="002C21B8" w14:paraId="5D98FCBB" w14:textId="77777777" w:rsidTr="00E2734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814" w:type="dxa"/>
            <w:tcBorders>
              <w:bottom w:val="single" w:sz="12" w:space="0" w:color="auto"/>
            </w:tcBorders>
            <w:shd w:val="clear" w:color="auto" w:fill="FFFFFF" w:themeFill="background1"/>
            <w:vAlign w:val="center"/>
          </w:tcPr>
          <w:p w14:paraId="0DC55EF5" w14:textId="77777777" w:rsidR="00F74C1A" w:rsidRPr="002C21B8" w:rsidRDefault="00F74C1A" w:rsidP="0078737C">
            <w:pPr>
              <w:spacing w:beforeLines="20" w:before="48" w:afterLines="20" w:after="48" w:line="240" w:lineRule="auto"/>
              <w:rPr>
                <w:sz w:val="18"/>
                <w:szCs w:val="18"/>
              </w:rPr>
            </w:pPr>
            <w:r w:rsidRPr="002C21B8">
              <w:rPr>
                <w:sz w:val="18"/>
                <w:szCs w:val="18"/>
              </w:rPr>
              <w:t>China</w:t>
            </w:r>
          </w:p>
        </w:tc>
        <w:tc>
          <w:tcPr>
            <w:tcW w:w="3855" w:type="dxa"/>
            <w:tcBorders>
              <w:bottom w:val="single" w:sz="12" w:space="0" w:color="auto"/>
            </w:tcBorders>
            <w:shd w:val="clear" w:color="auto" w:fill="FFFFFF" w:themeFill="background1"/>
          </w:tcPr>
          <w:p w14:paraId="67D89ECA" w14:textId="698CA0FA"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fldChar w:fldCharType="begin"/>
            </w:r>
            <w:r w:rsidR="00763983" w:rsidRPr="002C21B8">
              <w:rPr>
                <w:sz w:val="18"/>
                <w:szCs w:val="18"/>
              </w:rPr>
              <w:instrText xml:space="preserve"> ADDIN EN.CITE &lt;EndNote&gt;&lt;Cite&gt;&lt;Author&gt;He&lt;/Author&gt;&lt;Year&gt;2018&lt;/Year&gt;&lt;RecNum&gt;5236&lt;/RecNum&gt;&lt;DisplayText&gt;(He&lt;style face="italic"&gt; et al.&lt;/style&gt;, 2018)&lt;/DisplayText&gt;&lt;record&gt;&lt;rec-number&gt;5236&lt;/rec-number&gt;&lt;foreign-keys&gt;&lt;key app="EN" db-id="xpefzwa5hf9dt2ea9fax95x7xvxz90v09dtf" timestamp="1701087231"&gt;5236&lt;/key&gt;&lt;/foreign-keys&gt;&lt;ref-type name="Journal Article"&gt;17&lt;/ref-type&gt;&lt;contributors&gt;&lt;authors&gt;&lt;author&gt;He, J.&lt;/author&gt;&lt;author&gt;Kang, Q.&lt;/author&gt;&lt;author&gt;Hu, J.&lt;/author&gt;&lt;author&gt;Song, P.&lt;/author&gt;&lt;author&gt;Jin, C.&lt;/author&gt;&lt;/authors&gt;&lt;/contributors&gt;&lt;auth-address&gt;Department of Health Policy Research, Shanghai Health Development Research Center, Shanghai Medical Information Center, Shanghai, China.&amp;#xD;School of Public Health, Fudan University, Shanghai, China.&amp;#xD;School of International Pharmaceutical Business, China Pharmaceutical University, Nanjing, China.&lt;/auth-address&gt;&lt;titles&gt;&lt;title&gt;China has officially released its first national list of rare diseases&lt;/title&gt;&lt;secondary-title&gt;Intractable Rare Disease Research&lt;/secondary-title&gt;&lt;/titles&gt;&lt;periodical&gt;&lt;full-title&gt;Intractable Rare Disease Research&lt;/full-title&gt;&lt;/periodical&gt;&lt;pages&gt;145-147&lt;/pages&gt;&lt;volume&gt;7&lt;/volume&gt;&lt;number&gt;2&lt;/number&gt;&lt;keywords&gt;&lt;keyword&gt;Rare diseases&lt;/keyword&gt;&lt;keyword&gt;disease classification&lt;/keyword&gt;&lt;keyword&gt;disease management&lt;/keyword&gt;&lt;keyword&gt;orphan drugs&lt;/keyword&gt;&lt;/keywords&gt;&lt;dates&gt;&lt;year&gt;2018&lt;/year&gt;&lt;pub-dates&gt;&lt;date&gt;May&lt;/date&gt;&lt;/pub-dates&gt;&lt;/dates&gt;&lt;isbn&gt;2186-3644 (Print)&amp;#xD;2186-3644&lt;/isbn&gt;&lt;accession-num&gt;29862160&lt;/accession-num&gt;&lt;urls&gt;&lt;/urls&gt;&lt;custom2&gt;PMC5982625&lt;/custom2&gt;&lt;electronic-resource-num&gt;10.5582/irdr.2018.01056&lt;/electronic-resource-num&gt;&lt;remote-database-provider&gt;NLM&lt;/remote-database-provider&gt;&lt;language&gt;eng&lt;/language&gt;&lt;/record&gt;&lt;/Cite&gt;&lt;/EndNote&gt;</w:instrText>
            </w:r>
            <w:r w:rsidRPr="002C21B8">
              <w:rPr>
                <w:sz w:val="18"/>
                <w:szCs w:val="18"/>
              </w:rPr>
              <w:fldChar w:fldCharType="separate"/>
            </w:r>
            <w:r w:rsidRPr="002C21B8">
              <w:rPr>
                <w:noProof/>
                <w:sz w:val="18"/>
                <w:szCs w:val="18"/>
              </w:rPr>
              <w:t>(He</w:t>
            </w:r>
            <w:r w:rsidRPr="002C21B8">
              <w:rPr>
                <w:i/>
                <w:noProof/>
                <w:sz w:val="18"/>
                <w:szCs w:val="18"/>
              </w:rPr>
              <w:t xml:space="preserve"> et al.</w:t>
            </w:r>
            <w:r w:rsidRPr="002C21B8">
              <w:rPr>
                <w:noProof/>
                <w:sz w:val="18"/>
                <w:szCs w:val="18"/>
              </w:rPr>
              <w:t>, 2018)</w:t>
            </w:r>
            <w:r w:rsidRPr="002C21B8">
              <w:rPr>
                <w:sz w:val="18"/>
                <w:szCs w:val="18"/>
              </w:rPr>
              <w:fldChar w:fldCharType="end"/>
            </w:r>
          </w:p>
        </w:tc>
        <w:tc>
          <w:tcPr>
            <w:tcW w:w="1814" w:type="dxa"/>
            <w:tcBorders>
              <w:bottom w:val="single" w:sz="12" w:space="0" w:color="auto"/>
            </w:tcBorders>
            <w:shd w:val="clear" w:color="auto" w:fill="FFFFFF" w:themeFill="background1"/>
            <w:vAlign w:val="center"/>
          </w:tcPr>
          <w:p w14:paraId="7C5097A7"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500,000</w:t>
            </w:r>
          </w:p>
        </w:tc>
        <w:tc>
          <w:tcPr>
            <w:tcW w:w="1587" w:type="dxa"/>
            <w:tcBorders>
              <w:bottom w:val="single" w:sz="12" w:space="0" w:color="auto"/>
            </w:tcBorders>
            <w:shd w:val="clear" w:color="auto" w:fill="FFFFFF" w:themeFill="background1"/>
            <w:vAlign w:val="center"/>
          </w:tcPr>
          <w:p w14:paraId="3AD6CD91" w14:textId="77777777" w:rsidR="00F74C1A" w:rsidRPr="002C21B8" w:rsidRDefault="00F74C1A" w:rsidP="0078737C">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&lt;1 in 500,000</w:t>
            </w:r>
          </w:p>
        </w:tc>
      </w:tr>
    </w:tbl>
    <w:p w14:paraId="0258CFF4" w14:textId="7536FA8A" w:rsidR="004B346F" w:rsidRPr="002C21B8" w:rsidRDefault="007E7314" w:rsidP="0078737C">
      <w:pPr>
        <w:pStyle w:val="Caption"/>
        <w:keepNext w:val="0"/>
        <w:spacing w:before="240"/>
        <w:rPr>
          <w:noProof w:val="0"/>
          <w:sz w:val="15"/>
          <w:szCs w:val="15"/>
        </w:rPr>
      </w:pPr>
      <w:r w:rsidRPr="002C21B8">
        <w:rPr>
          <w:noProof w:val="0"/>
          <w:sz w:val="15"/>
          <w:szCs w:val="15"/>
        </w:rPr>
        <w:t>*</w:t>
      </w:r>
      <w:r w:rsidR="009F0F73" w:rsidRPr="002C21B8">
        <w:rPr>
          <w:noProof w:val="0"/>
          <w:sz w:val="15"/>
          <w:szCs w:val="15"/>
        </w:rPr>
        <w:t xml:space="preserve"> </w:t>
      </w:r>
      <w:r w:rsidR="00FA4972" w:rsidRPr="002C21B8">
        <w:rPr>
          <w:noProof w:val="0"/>
          <w:sz w:val="15"/>
          <w:szCs w:val="15"/>
        </w:rPr>
        <w:t xml:space="preserve">Prevalence </w:t>
      </w:r>
      <w:r w:rsidR="00BE0E8D" w:rsidRPr="002C21B8">
        <w:rPr>
          <w:noProof w:val="0"/>
          <w:sz w:val="15"/>
          <w:szCs w:val="15"/>
        </w:rPr>
        <w:t>thresholds</w:t>
      </w:r>
      <w:r w:rsidR="00FA4972" w:rsidRPr="002C21B8">
        <w:rPr>
          <w:noProof w:val="0"/>
          <w:sz w:val="15"/>
          <w:szCs w:val="15"/>
        </w:rPr>
        <w:t xml:space="preserve"> </w:t>
      </w:r>
      <w:r w:rsidR="00BE0E8D" w:rsidRPr="002C21B8">
        <w:rPr>
          <w:noProof w:val="0"/>
          <w:sz w:val="15"/>
          <w:szCs w:val="15"/>
        </w:rPr>
        <w:t>expressed as 1 in N individuals and ordered from higher to lower prevalence thresholds</w:t>
      </w:r>
      <w:r w:rsidR="00FA4972" w:rsidRPr="002C21B8">
        <w:rPr>
          <w:noProof w:val="0"/>
          <w:sz w:val="15"/>
          <w:szCs w:val="15"/>
        </w:rPr>
        <w:t xml:space="preserve">. Where </w:t>
      </w:r>
      <w:r w:rsidR="002B305A" w:rsidRPr="002C21B8">
        <w:rPr>
          <w:noProof w:val="0"/>
          <w:sz w:val="15"/>
          <w:szCs w:val="15"/>
        </w:rPr>
        <w:t>only case counts were reported</w:t>
      </w:r>
      <w:r w:rsidR="00FA4972" w:rsidRPr="002C21B8">
        <w:rPr>
          <w:noProof w:val="0"/>
          <w:sz w:val="15"/>
          <w:szCs w:val="15"/>
        </w:rPr>
        <w:t xml:space="preserve">, values were </w:t>
      </w:r>
      <w:r w:rsidR="002B6E5B" w:rsidRPr="002C21B8">
        <w:rPr>
          <w:noProof w:val="0"/>
          <w:sz w:val="15"/>
          <w:szCs w:val="15"/>
        </w:rPr>
        <w:t>calculated</w:t>
      </w:r>
      <w:r w:rsidR="00FA4972" w:rsidRPr="002C21B8">
        <w:rPr>
          <w:noProof w:val="0"/>
          <w:sz w:val="15"/>
          <w:szCs w:val="15"/>
        </w:rPr>
        <w:t xml:space="preserve"> from published prevalence using </w:t>
      </w:r>
      <w:r w:rsidR="002B305A" w:rsidRPr="002C21B8">
        <w:rPr>
          <w:noProof w:val="0"/>
          <w:sz w:val="15"/>
          <w:szCs w:val="15"/>
        </w:rPr>
        <w:t xml:space="preserve">2024 </w:t>
      </w:r>
      <w:r w:rsidR="00FA4972" w:rsidRPr="002C21B8">
        <w:rPr>
          <w:noProof w:val="0"/>
          <w:sz w:val="15"/>
          <w:szCs w:val="15"/>
        </w:rPr>
        <w:t xml:space="preserve">country population data </w:t>
      </w:r>
      <w:r w:rsidR="00FA4972" w:rsidRPr="002C21B8">
        <w:rPr>
          <w:noProof w:val="0"/>
          <w:sz w:val="15"/>
          <w:szCs w:val="15"/>
        </w:rPr>
        <w:fldChar w:fldCharType="begin"/>
      </w:r>
      <w:r w:rsidR="00FA4972" w:rsidRPr="002C21B8">
        <w:rPr>
          <w:noProof w:val="0"/>
          <w:sz w:val="15"/>
          <w:szCs w:val="15"/>
        </w:rPr>
        <w:instrText xml:space="preserve"> ADDIN EN.CITE &lt;EndNote&gt;&lt;Cite&gt;&lt;Author&gt;World Bank Group&lt;/Author&gt;&lt;Year&gt;2024&lt;/Year&gt;&lt;RecNum&gt;125524&lt;/RecNum&gt;&lt;DisplayText&gt;(World Bank Group, 2024)&lt;/DisplayText&gt;&lt;record&gt;&lt;rec-number&gt;125524&lt;/rec-number&gt;&lt;foreign-keys&gt;&lt;key app="EN" db-id="xpefzwa5hf9dt2ea9fax95x7xvxz90v09dtf" timestamp="1777391332"&gt;125524&lt;/key&gt;&lt;/foreign-keys&gt;&lt;ref-type name="Web Page"&gt;12&lt;/ref-type&gt;&lt;contributors&gt;&lt;authors&gt;&lt;author&gt;World Bank Group,&lt;/author&gt;&lt;/authors&gt;&lt;/contributors&gt;&lt;titles&gt;&lt;title&gt;Population, total&lt;/title&gt;&lt;/titles&gt;&lt;number&gt;28/04/2026)&lt;/number&gt;&lt;dates&gt;&lt;year&gt;2024&lt;/year&gt;&lt;/dates&gt;&lt;urls&gt;&lt;related-urls&gt;&lt;url&gt;https://data.worldbank.org/indicator/SP.POP.TOTL?end=2024&amp;amp;start=2024&amp;amp;view=map&lt;/url&gt;&lt;/related-urls&gt;&lt;/urls&gt;&lt;/record&gt;&lt;/Cite&gt;&lt;/EndNote&gt;</w:instrText>
      </w:r>
      <w:r w:rsidR="00FA4972" w:rsidRPr="002C21B8">
        <w:rPr>
          <w:noProof w:val="0"/>
          <w:sz w:val="15"/>
          <w:szCs w:val="15"/>
        </w:rPr>
        <w:fldChar w:fldCharType="separate"/>
      </w:r>
      <w:r w:rsidR="00FA4972" w:rsidRPr="002C21B8">
        <w:rPr>
          <w:sz w:val="15"/>
          <w:szCs w:val="15"/>
        </w:rPr>
        <w:t>(World Bank Group, 2024)</w:t>
      </w:r>
      <w:r w:rsidR="00FA4972" w:rsidRPr="002C21B8">
        <w:rPr>
          <w:noProof w:val="0"/>
          <w:sz w:val="15"/>
          <w:szCs w:val="15"/>
        </w:rPr>
        <w:fldChar w:fldCharType="end"/>
      </w:r>
      <w:r w:rsidR="001761EF" w:rsidRPr="002C21B8">
        <w:rPr>
          <w:noProof w:val="0"/>
          <w:sz w:val="15"/>
          <w:szCs w:val="15"/>
        </w:rPr>
        <w:t>.</w:t>
      </w:r>
      <w:r w:rsidR="000C7078" w:rsidRPr="002C21B8">
        <w:rPr>
          <w:noProof w:val="0"/>
          <w:sz w:val="15"/>
          <w:szCs w:val="15"/>
        </w:rPr>
        <w:t xml:space="preserve"> World Health Organization (WHO).</w:t>
      </w:r>
    </w:p>
    <w:p w14:paraId="51246F98" w14:textId="08A378AA" w:rsidR="00F74C1A" w:rsidRPr="002C21B8" w:rsidRDefault="003027A1" w:rsidP="004507C8">
      <w:pPr>
        <w:pStyle w:val="Heading3"/>
      </w:pPr>
      <w:r w:rsidRPr="002C21B8">
        <w:t xml:space="preserve">Challenges </w:t>
      </w:r>
      <w:r w:rsidR="00553884" w:rsidRPr="002C21B8">
        <w:t xml:space="preserve">in </w:t>
      </w:r>
      <w:r w:rsidR="00191CE6" w:rsidRPr="002C21B8">
        <w:t xml:space="preserve">the clinical </w:t>
      </w:r>
      <w:r w:rsidR="007536ED" w:rsidRPr="002C21B8">
        <w:t>manag</w:t>
      </w:r>
      <w:r w:rsidR="00191CE6" w:rsidRPr="002C21B8">
        <w:t xml:space="preserve">ement of </w:t>
      </w:r>
      <w:r w:rsidR="007536ED" w:rsidRPr="002C21B8">
        <w:t>rare diseases</w:t>
      </w:r>
    </w:p>
    <w:p w14:paraId="1929A23E" w14:textId="47A65E90" w:rsidR="00E132CA" w:rsidRPr="002C21B8" w:rsidRDefault="00E132CA" w:rsidP="00E132CA">
      <w:r w:rsidRPr="002C21B8">
        <w:t xml:space="preserve">Although rare diseases are a </w:t>
      </w:r>
      <w:r w:rsidR="005772EC" w:rsidRPr="002C21B8">
        <w:t>diverse</w:t>
      </w:r>
      <w:r w:rsidR="00491D45" w:rsidRPr="002C21B8">
        <w:t xml:space="preserve"> </w:t>
      </w:r>
      <w:r w:rsidRPr="002C21B8">
        <w:t xml:space="preserve">group of conditions, many of the challenges </w:t>
      </w:r>
      <w:r w:rsidR="00A25313" w:rsidRPr="002C21B8">
        <w:t xml:space="preserve">in the healthcare setting </w:t>
      </w:r>
      <w:r w:rsidRPr="002C21B8">
        <w:t xml:space="preserve">are shared due to their low prevalence. These challenges </w:t>
      </w:r>
      <w:r w:rsidR="00A25313" w:rsidRPr="002C21B8">
        <w:t xml:space="preserve">can be </w:t>
      </w:r>
      <w:r w:rsidRPr="002C21B8">
        <w:t xml:space="preserve">considered </w:t>
      </w:r>
      <w:r w:rsidR="00A25313" w:rsidRPr="002C21B8">
        <w:t xml:space="preserve">from the perspective of </w:t>
      </w:r>
      <w:r w:rsidRPr="002C21B8">
        <w:t>different stakeholders.</w:t>
      </w:r>
    </w:p>
    <w:p w14:paraId="45D2A2EF" w14:textId="380B07CC" w:rsidR="00553884" w:rsidRPr="002C21B8" w:rsidRDefault="000663E4" w:rsidP="00ED2D36">
      <w:pPr>
        <w:pStyle w:val="Heading4"/>
      </w:pPr>
      <w:r w:rsidRPr="002C21B8">
        <w:t>People</w:t>
      </w:r>
      <w:r w:rsidR="004024ED" w:rsidRPr="002C21B8">
        <w:t xml:space="preserve"> living with rare disease</w:t>
      </w:r>
      <w:r w:rsidRPr="002C21B8">
        <w:t>s</w:t>
      </w:r>
    </w:p>
    <w:p w14:paraId="1B973F23" w14:textId="321C61F6" w:rsidR="000663E4" w:rsidRPr="002C21B8" w:rsidRDefault="000663E4" w:rsidP="00A25313">
      <w:r w:rsidRPr="002C21B8">
        <w:t>People living with</w:t>
      </w:r>
      <w:r w:rsidR="00581E5B" w:rsidRPr="002C21B8">
        <w:t xml:space="preserve"> rare diseases often describe a </w:t>
      </w:r>
      <w:r w:rsidR="005772EC" w:rsidRPr="002C21B8">
        <w:t>‘</w:t>
      </w:r>
      <w:r w:rsidR="00581E5B" w:rsidRPr="002C21B8">
        <w:t>diagnostic odyssey</w:t>
      </w:r>
      <w:r w:rsidR="005772EC" w:rsidRPr="002C21B8">
        <w:t>’</w:t>
      </w:r>
      <w:r w:rsidR="00B35EA7" w:rsidRPr="002C21B8">
        <w:t xml:space="preserve"> </w:t>
      </w:r>
      <w:r w:rsidR="00545A10" w:rsidRPr="002C21B8">
        <w:t xml:space="preserve">spanning several years and involving multiple clinicians before an accurate diagnosis is made </w:t>
      </w:r>
      <w:r w:rsidR="00EF503D" w:rsidRPr="002C21B8">
        <w:fldChar w:fldCharType="begin"/>
      </w:r>
      <w:r w:rsidR="00A46115" w:rsidRPr="002C21B8">
        <w:instrText xml:space="preserve"> ADDIN EN.CITE &lt;EndNote&gt;&lt;Cite&gt;&lt;Author&gt;Black&lt;/Author&gt;&lt;Year&gt;2015&lt;/Year&gt;&lt;RecNum&gt;125293&lt;/RecNum&gt;&lt;DisplayText&gt;(Black, Martineau and Manacorda, 2015)&lt;/DisplayText&gt;&lt;record&gt;&lt;rec-number&gt;125293&lt;/rec-number&gt;&lt;foreign-keys&gt;&lt;key app="EN" db-id="xpefzwa5hf9dt2ea9fax95x7xvxz90v09dtf" timestamp="1774879462"&gt;125293&lt;/key&gt;&lt;/foreign-keys&gt;&lt;ref-type name="Journal Article"&gt;17&lt;/ref-type&gt;&lt;contributors&gt;&lt;authors&gt;&lt;author&gt;Black, Nick&lt;/author&gt;&lt;author&gt;Martineau, Fred&lt;/author&gt;&lt;author&gt;Manacorda, Tommaso&lt;/author&gt;&lt;/authors&gt;&lt;/contributors&gt;&lt;titles&gt;&lt;title&gt;Diagnostic odyssey for rare diseases: exploration of potential indicators&lt;/title&gt;&lt;secondary-title&gt;Policy Innovation Research Unit (PIRU)&lt;/secondary-title&gt;&lt;/titles&gt;&lt;periodical&gt;&lt;full-title&gt;Policy Innovation Research Unit (PIRU)&lt;/full-title&gt;&lt;/periodical&gt;&lt;pages&gt;1-65&lt;/pages&gt;&lt;volume&gt;1&lt;/volume&gt;&lt;number&gt;1&lt;/number&gt;&lt;dates&gt;&lt;year&gt;2015&lt;/year&gt;&lt;/dates&gt;&lt;urls&gt;&lt;/urls&gt;&lt;/record&gt;&lt;/Cite&gt;&lt;/EndNote&gt;</w:instrText>
      </w:r>
      <w:r w:rsidR="00EF503D" w:rsidRPr="002C21B8">
        <w:fldChar w:fldCharType="separate"/>
      </w:r>
      <w:r w:rsidR="00EF503D" w:rsidRPr="002C21B8">
        <w:rPr>
          <w:noProof/>
        </w:rPr>
        <w:t>(Black, Martineau and Manacorda, 2015)</w:t>
      </w:r>
      <w:r w:rsidR="00EF503D" w:rsidRPr="002C21B8">
        <w:fldChar w:fldCharType="end"/>
      </w:r>
      <w:r w:rsidR="00EF503D" w:rsidRPr="002C21B8">
        <w:t>.</w:t>
      </w:r>
      <w:r w:rsidR="004024ED" w:rsidRPr="002C21B8">
        <w:t xml:space="preserve"> </w:t>
      </w:r>
      <w:r w:rsidR="001D4E07" w:rsidRPr="002C21B8">
        <w:t>This is often attributed to their low prevalence, non-specific symptoms</w:t>
      </w:r>
      <w:r w:rsidR="00B35EA7" w:rsidRPr="002C21B8">
        <w:t xml:space="preserve"> and disease heterogeneity</w:t>
      </w:r>
      <w:r w:rsidR="001D4E07" w:rsidRPr="002C21B8">
        <w:t xml:space="preserve"> </w:t>
      </w:r>
      <w:r w:rsidR="00607D31">
        <w:t xml:space="preserve">leading to </w:t>
      </w:r>
      <w:r w:rsidR="00BD3F48" w:rsidRPr="002C21B8">
        <w:t xml:space="preserve">variation in presentation and disease severity </w:t>
      </w:r>
      <w:r w:rsidR="001D4E07" w:rsidRPr="002C21B8">
        <w:fldChar w:fldCharType="begin">
          <w:fldData xml:space="preserve">PEVuZE5vdGU+PENpdGU+PEF1dGhvcj5HdW5lczwvQXV0aG9yPjxZZWFyPjIwMjU8L1llYXI+PFJl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</w:fldData>
        </w:fldChar>
      </w:r>
      <w:r w:rsidR="00763983" w:rsidRPr="002C21B8">
        <w:instrText xml:space="preserve"> ADDIN EN.CITE </w:instrText>
      </w:r>
      <w:r w:rsidR="00763983" w:rsidRPr="002C21B8">
        <w:fldChar w:fldCharType="begin">
          <w:fldData xml:space="preserve">PEVuZE5vdGU+PENpdGU+PEF1dGhvcj5HdW5lczwvQXV0aG9yPjxZZWFyPjIwMjU8L1llYXI+PFJl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</w:fldData>
        </w:fldChar>
      </w:r>
      <w:r w:rsidR="00763983" w:rsidRPr="002C21B8">
        <w:instrText xml:space="preserve"> ADDIN EN.CITE.DATA </w:instrText>
      </w:r>
      <w:r w:rsidR="00763983" w:rsidRPr="002C21B8">
        <w:fldChar w:fldCharType="end"/>
      </w:r>
      <w:r w:rsidR="001D4E07" w:rsidRPr="002C21B8">
        <w:fldChar w:fldCharType="separate"/>
      </w:r>
      <w:r w:rsidR="001D4E07" w:rsidRPr="002C21B8">
        <w:rPr>
          <w:noProof/>
        </w:rPr>
        <w:t>(Gunes</w:t>
      </w:r>
      <w:r w:rsidR="001D4E07" w:rsidRPr="002C21B8">
        <w:rPr>
          <w:i/>
          <w:noProof/>
        </w:rPr>
        <w:t xml:space="preserve"> et al.</w:t>
      </w:r>
      <w:r w:rsidR="001D4E07" w:rsidRPr="002C21B8">
        <w:rPr>
          <w:noProof/>
        </w:rPr>
        <w:t>, 2025)</w:t>
      </w:r>
      <w:r w:rsidR="001D4E07" w:rsidRPr="002C21B8">
        <w:fldChar w:fldCharType="end"/>
      </w:r>
      <w:r w:rsidR="001D4E07" w:rsidRPr="002C21B8">
        <w:t xml:space="preserve">. </w:t>
      </w:r>
      <w:r w:rsidR="00DB0559" w:rsidRPr="002C21B8">
        <w:t xml:space="preserve">After </w:t>
      </w:r>
      <w:r w:rsidR="001D4E07" w:rsidRPr="002C21B8">
        <w:t xml:space="preserve">diagnosis, </w:t>
      </w:r>
      <w:r w:rsidRPr="002C21B8">
        <w:t>they</w:t>
      </w:r>
      <w:r w:rsidR="001D4E07" w:rsidRPr="002C21B8">
        <w:t xml:space="preserve"> </w:t>
      </w:r>
      <w:r w:rsidRPr="002C21B8">
        <w:t xml:space="preserve">may </w:t>
      </w:r>
      <w:r w:rsidR="00F478BB" w:rsidRPr="002C21B8">
        <w:t>face</w:t>
      </w:r>
      <w:r w:rsidR="001D4E07" w:rsidRPr="002C21B8">
        <w:t xml:space="preserve"> </w:t>
      </w:r>
      <w:r w:rsidR="006A3CE5" w:rsidRPr="002C21B8">
        <w:t xml:space="preserve">additional </w:t>
      </w:r>
      <w:r w:rsidR="00F478BB" w:rsidRPr="002C21B8">
        <w:t xml:space="preserve">barriers </w:t>
      </w:r>
      <w:r w:rsidR="006A3CE5" w:rsidRPr="002C21B8">
        <w:t xml:space="preserve">in accessing </w:t>
      </w:r>
      <w:r w:rsidRPr="002C21B8">
        <w:t xml:space="preserve">specialist </w:t>
      </w:r>
      <w:r w:rsidR="006A3CE5" w:rsidRPr="002C21B8">
        <w:t>care</w:t>
      </w:r>
      <w:r w:rsidRPr="002C21B8">
        <w:t xml:space="preserve"> and </w:t>
      </w:r>
      <w:r w:rsidR="00FC26BD" w:rsidRPr="002C21B8">
        <w:t>medications</w:t>
      </w:r>
      <w:r w:rsidRPr="002C21B8">
        <w:t xml:space="preserve"> </w:t>
      </w:r>
      <w:r w:rsidRPr="002C21B8">
        <w:rPr>
          <w:color w:val="202124"/>
          <w:shd w:val="clear" w:color="auto" w:fill="FFFFFF"/>
        </w:rPr>
        <w:t>which leads many to become their own advocates</w:t>
      </w:r>
      <w:r w:rsidRPr="002C21B8">
        <w:t xml:space="preserve"> </w:t>
      </w:r>
      <w:r w:rsidRPr="002C21B8">
        <w:fldChar w:fldCharType="begin">
          <w:fldData xml:space="preserve">PEVuZE5vdGU+PENpdGU+PEF1dGhvcj5Nb2xzdGVyPC9BdXRob3I+PFllYXI+MjAxNjwvWWVhcj48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</w:fldData>
        </w:fldChar>
      </w:r>
      <w:r w:rsidR="00590E88" w:rsidRPr="002C21B8">
        <w:instrText xml:space="preserve"> ADDIN EN.CITE </w:instrText>
      </w:r>
      <w:r w:rsidR="00590E88" w:rsidRPr="002C21B8">
        <w:fldChar w:fldCharType="begin">
          <w:fldData xml:space="preserve">PEVuZE5vdGU+PENpdGU+PEF1dGhvcj5Nb2xzdGVyPC9BdXRob3I+PFllYXI+MjAxNjwvWWVhcj48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</w:fldData>
        </w:fldChar>
      </w:r>
      <w:r w:rsidR="00590E88" w:rsidRPr="002C21B8">
        <w:instrText xml:space="preserve"> ADDIN EN.CITE.DATA </w:instrText>
      </w:r>
      <w:r w:rsidR="00590E88" w:rsidRPr="002C21B8">
        <w:fldChar w:fldCharType="end"/>
      </w:r>
      <w:r w:rsidRPr="002C21B8">
        <w:fldChar w:fldCharType="separate"/>
      </w:r>
      <w:r w:rsidRPr="002C21B8">
        <w:rPr>
          <w:noProof/>
        </w:rPr>
        <w:t>(Gunes</w:t>
      </w:r>
      <w:r w:rsidRPr="002C21B8">
        <w:rPr>
          <w:i/>
          <w:noProof/>
        </w:rPr>
        <w:t xml:space="preserve"> et al.</w:t>
      </w:r>
      <w:r w:rsidRPr="002C21B8">
        <w:rPr>
          <w:noProof/>
        </w:rPr>
        <w:t>, 2025; Molster</w:t>
      </w:r>
      <w:r w:rsidRPr="002C21B8">
        <w:rPr>
          <w:i/>
          <w:noProof/>
        </w:rPr>
        <w:t xml:space="preserve"> et al.</w:t>
      </w:r>
      <w:r w:rsidRPr="002C21B8">
        <w:rPr>
          <w:noProof/>
        </w:rPr>
        <w:t>, 2016)</w:t>
      </w:r>
      <w:r w:rsidRPr="002C21B8">
        <w:fldChar w:fldCharType="end"/>
      </w:r>
      <w:r w:rsidRPr="002C21B8">
        <w:rPr>
          <w:color w:val="202124"/>
          <w:shd w:val="clear" w:color="auto" w:fill="FFFFFF"/>
        </w:rPr>
        <w:t xml:space="preserve">. </w:t>
      </w:r>
      <w:r w:rsidR="004A379F" w:rsidRPr="002C21B8">
        <w:rPr>
          <w:color w:val="202124"/>
          <w:shd w:val="clear" w:color="auto" w:fill="FFFFFF"/>
        </w:rPr>
        <w:t>To address this</w:t>
      </w:r>
      <w:r w:rsidR="00C62FE3" w:rsidRPr="002C21B8">
        <w:rPr>
          <w:color w:val="202124"/>
          <w:shd w:val="clear" w:color="auto" w:fill="FFFFFF"/>
        </w:rPr>
        <w:t>,</w:t>
      </w:r>
      <w:r w:rsidR="004A379F" w:rsidRPr="002C21B8">
        <w:rPr>
          <w:color w:val="202124"/>
          <w:shd w:val="clear" w:color="auto" w:fill="FFFFFF"/>
        </w:rPr>
        <w:t xml:space="preserve"> condition-specific clinics and centralisation of care into expert centres ha</w:t>
      </w:r>
      <w:r w:rsidR="00323D72">
        <w:rPr>
          <w:color w:val="202124"/>
          <w:shd w:val="clear" w:color="auto" w:fill="FFFFFF"/>
        </w:rPr>
        <w:t>ve</w:t>
      </w:r>
      <w:r w:rsidR="004A379F" w:rsidRPr="002C21B8">
        <w:rPr>
          <w:color w:val="202124"/>
          <w:shd w:val="clear" w:color="auto" w:fill="FFFFFF"/>
        </w:rPr>
        <w:t xml:space="preserve"> been </w:t>
      </w:r>
      <w:r w:rsidR="00260782" w:rsidRPr="002C21B8">
        <w:rPr>
          <w:color w:val="202124"/>
          <w:shd w:val="clear" w:color="auto" w:fill="FFFFFF"/>
        </w:rPr>
        <w:t>advocated</w:t>
      </w:r>
      <w:r w:rsidR="004A379F" w:rsidRPr="002C21B8">
        <w:rPr>
          <w:color w:val="202124"/>
          <w:shd w:val="clear" w:color="auto" w:fill="FFFFFF"/>
        </w:rPr>
        <w:t xml:space="preserve">. This </w:t>
      </w:r>
      <w:r w:rsidR="00A25313" w:rsidRPr="002C21B8">
        <w:rPr>
          <w:color w:val="202124"/>
          <w:shd w:val="clear" w:color="auto" w:fill="FFFFFF"/>
        </w:rPr>
        <w:t xml:space="preserve">has </w:t>
      </w:r>
      <w:r w:rsidR="004A379F" w:rsidRPr="002C21B8">
        <w:rPr>
          <w:color w:val="202124"/>
          <w:shd w:val="clear" w:color="auto" w:fill="FFFFFF"/>
        </w:rPr>
        <w:lastRenderedPageBreak/>
        <w:t xml:space="preserve">been shown to </w:t>
      </w:r>
      <w:r w:rsidR="00A25313" w:rsidRPr="002C21B8">
        <w:rPr>
          <w:color w:val="202124"/>
          <w:shd w:val="clear" w:color="auto" w:fill="FFFFFF"/>
        </w:rPr>
        <w:t>improve patient outcomes and efficiency, but can increase the burden on patients</w:t>
      </w:r>
      <w:r w:rsidR="00F00552" w:rsidRPr="002C21B8">
        <w:rPr>
          <w:color w:val="202124"/>
          <w:shd w:val="clear" w:color="auto" w:fill="FFFFFF"/>
        </w:rPr>
        <w:t>,</w:t>
      </w:r>
      <w:r w:rsidR="00A25313" w:rsidRPr="002C21B8">
        <w:rPr>
          <w:color w:val="202124"/>
          <w:shd w:val="clear" w:color="auto" w:fill="FFFFFF"/>
        </w:rPr>
        <w:t xml:space="preserve"> </w:t>
      </w:r>
      <w:r w:rsidR="004A379F" w:rsidRPr="002C21B8">
        <w:rPr>
          <w:color w:val="202124"/>
          <w:shd w:val="clear" w:color="auto" w:fill="FFFFFF"/>
        </w:rPr>
        <w:t>as</w:t>
      </w:r>
      <w:r w:rsidR="00A25313" w:rsidRPr="002C21B8">
        <w:rPr>
          <w:color w:val="202124"/>
          <w:shd w:val="clear" w:color="auto" w:fill="FFFFFF"/>
        </w:rPr>
        <w:t xml:space="preserve"> lon</w:t>
      </w:r>
      <w:r w:rsidR="00193E69" w:rsidRPr="002C21B8">
        <w:rPr>
          <w:color w:val="202124"/>
          <w:shd w:val="clear" w:color="auto" w:fill="FFFFFF"/>
        </w:rPr>
        <w:t>g-</w:t>
      </w:r>
      <w:r w:rsidR="00A25313" w:rsidRPr="002C21B8">
        <w:rPr>
          <w:color w:val="202124"/>
          <w:shd w:val="clear" w:color="auto" w:fill="FFFFFF"/>
        </w:rPr>
        <w:t>distance travel and out</w:t>
      </w:r>
      <w:r w:rsidR="00193E69" w:rsidRPr="002C21B8">
        <w:rPr>
          <w:color w:val="202124"/>
          <w:shd w:val="clear" w:color="auto" w:fill="FFFFFF"/>
        </w:rPr>
        <w:t>-</w:t>
      </w:r>
      <w:r w:rsidR="00A25313" w:rsidRPr="002C21B8">
        <w:rPr>
          <w:color w:val="202124"/>
          <w:shd w:val="clear" w:color="auto" w:fill="FFFFFF"/>
        </w:rPr>
        <w:t>of</w:t>
      </w:r>
      <w:r w:rsidR="00193E69" w:rsidRPr="002C21B8">
        <w:rPr>
          <w:color w:val="202124"/>
          <w:shd w:val="clear" w:color="auto" w:fill="FFFFFF"/>
        </w:rPr>
        <w:t>-</w:t>
      </w:r>
      <w:r w:rsidR="00A25313" w:rsidRPr="002C21B8">
        <w:rPr>
          <w:color w:val="202124"/>
          <w:shd w:val="clear" w:color="auto" w:fill="FFFFFF"/>
        </w:rPr>
        <w:t xml:space="preserve">pocket expenses </w:t>
      </w:r>
      <w:r w:rsidR="0013600C" w:rsidRPr="002C21B8">
        <w:rPr>
          <w:color w:val="202124"/>
          <w:shd w:val="clear" w:color="auto" w:fill="FFFFFF"/>
        </w:rPr>
        <w:t>are</w:t>
      </w:r>
      <w:r w:rsidR="004A379F" w:rsidRPr="002C21B8">
        <w:rPr>
          <w:color w:val="202124"/>
          <w:shd w:val="clear" w:color="auto" w:fill="FFFFFF"/>
        </w:rPr>
        <w:t xml:space="preserve"> often </w:t>
      </w:r>
      <w:r w:rsidR="00260782" w:rsidRPr="002C21B8">
        <w:rPr>
          <w:color w:val="202124"/>
          <w:shd w:val="clear" w:color="auto" w:fill="FFFFFF"/>
        </w:rPr>
        <w:t>associated with attending these appointments</w:t>
      </w:r>
      <w:r w:rsidRPr="002C21B8">
        <w:rPr>
          <w:color w:val="202124"/>
          <w:shd w:val="clear" w:color="auto" w:fill="FFFFFF"/>
        </w:rPr>
        <w:t xml:space="preserve"> </w:t>
      </w:r>
      <w:r w:rsidR="00DB0559" w:rsidRPr="002C21B8">
        <w:fldChar w:fldCharType="begin"/>
      </w:r>
      <w:r w:rsidR="00DB0559" w:rsidRPr="002C21B8">
        <w:instrText xml:space="preserve"> ADDIN EN.CITE &lt;EndNote&gt;&lt;Cite&gt;&lt;Author&gt;Walton&lt;/Author&gt;&lt;Year&gt;2023&lt;/Year&gt;&lt;RecNum&gt;125305&lt;/RecNum&gt;&lt;DisplayText&gt;(Walton&lt;style face="italic"&gt; et al.&lt;/style&gt;, 2023)&lt;/DisplayText&gt;&lt;record&gt;&lt;rec-number&gt;125305&lt;/rec-number&gt;&lt;foreign-keys&gt;&lt;key app="EN" db-id="xpefzwa5hf9dt2ea9fax95x7xvxz90v09dtf" timestamp="1774983936"&gt;125305&lt;/key&gt;&lt;/foreign-keys&gt;&lt;ref-type name="Journal Article"&gt;17&lt;/ref-type&gt;&lt;contributors&gt;&lt;authors&gt;&lt;author&gt;Walton, Holly&lt;/author&gt;&lt;author&gt;Ng, Pei Li&lt;/author&gt;&lt;author&gt;Simpson, Amy&lt;/author&gt;&lt;author&gt;Bloom, Lara&lt;/author&gt;&lt;author&gt;Chitty, Lyn S&lt;/author&gt;&lt;author&gt;Fulop, Naomi J&lt;/author&gt;&lt;author&gt;Hunter, Amy&lt;/author&gt;&lt;author&gt;Jones, Jennifer&lt;/author&gt;&lt;author&gt;Kai, Joe&lt;/author&gt;&lt;author&gt;Kerecuk, Larissa&lt;/author&gt;&lt;/authors&gt;&lt;/contributors&gt;&lt;titles&gt;&lt;title&gt;Experiences of coordinated care for people in the UK affected by rare diseases: cross-sectional survey of patients, carers, and healthcare professionals&lt;/title&gt;&lt;secondary-title&gt;Orphanet Journal of Rare Diseases&lt;/secondary-title&gt;&lt;/titles&gt;&lt;periodical&gt;&lt;full-title&gt;Orphanet Journal of Rare Diseases&lt;/full-title&gt;&lt;/periodical&gt;&lt;pages&gt;364&lt;/pages&gt;&lt;volume&gt;18&lt;/volume&gt;&lt;number&gt;1&lt;/number&gt;&lt;dates&gt;&lt;year&gt;2023&lt;/year&gt;&lt;/dates&gt;&lt;isbn&gt;1750-1172&lt;/isbn&gt;&lt;urls&gt;&lt;/urls&gt;&lt;/record&gt;&lt;/Cite&gt;&lt;/EndNote&gt;</w:instrText>
      </w:r>
      <w:r w:rsidR="00DB0559" w:rsidRPr="002C21B8">
        <w:fldChar w:fldCharType="separate"/>
      </w:r>
      <w:r w:rsidR="00DB0559" w:rsidRPr="002C21B8">
        <w:t>(Walton</w:t>
      </w:r>
      <w:r w:rsidR="00DB0559" w:rsidRPr="002C21B8">
        <w:rPr>
          <w:i/>
        </w:rPr>
        <w:t xml:space="preserve"> et al.</w:t>
      </w:r>
      <w:r w:rsidR="00DB0559" w:rsidRPr="002C21B8">
        <w:t>, 2023)</w:t>
      </w:r>
      <w:r w:rsidR="00DB0559" w:rsidRPr="002C21B8">
        <w:fldChar w:fldCharType="end"/>
      </w:r>
      <w:r w:rsidR="00DB0559" w:rsidRPr="002C21B8">
        <w:t>.</w:t>
      </w:r>
    </w:p>
    <w:p w14:paraId="119111DD" w14:textId="6C3A81ED" w:rsidR="00553884" w:rsidRPr="002C21B8" w:rsidRDefault="00581E5B" w:rsidP="00ED2D36">
      <w:pPr>
        <w:pStyle w:val="Heading4"/>
      </w:pPr>
      <w:r w:rsidRPr="002C21B8">
        <w:t>Clinicians</w:t>
      </w:r>
    </w:p>
    <w:p w14:paraId="071066A4" w14:textId="17FE6C5C" w:rsidR="00491D45" w:rsidRPr="002C21B8" w:rsidRDefault="00E31955" w:rsidP="003117F3">
      <w:r w:rsidRPr="002C21B8">
        <w:t xml:space="preserve">Many rare diseases are unfamiliar to clinicians outside of specialist centres. Due to their low prevalence, it can be difficult </w:t>
      </w:r>
      <w:r w:rsidR="00C17C1F" w:rsidRPr="002C21B8">
        <w:t xml:space="preserve">for clinicians </w:t>
      </w:r>
      <w:r w:rsidRPr="002C21B8">
        <w:t xml:space="preserve">to gain experience </w:t>
      </w:r>
      <w:r w:rsidR="00C17C1F" w:rsidRPr="002C21B8">
        <w:t>man</w:t>
      </w:r>
      <w:r w:rsidR="00C9359C" w:rsidRPr="002C21B8">
        <w:t>a</w:t>
      </w:r>
      <w:r w:rsidR="00C17C1F" w:rsidRPr="002C21B8">
        <w:t>ging</w:t>
      </w:r>
      <w:r w:rsidRPr="002C21B8">
        <w:t xml:space="preserve"> these conditions </w:t>
      </w:r>
      <w:r w:rsidR="00491D45" w:rsidRPr="002C21B8">
        <w:rPr>
          <w:shd w:val="clear" w:color="auto" w:fill="FFFFFF"/>
        </w:rPr>
        <w:fldChar w:fldCharType="begin">
          <w:fldData xml:space="preserve">PEVuZE5vdGU+PENpdGU+PEF1dGhvcj5Mb3BlczwvQXV0aG9yPjxZZWFyPjIwMTg8L1llYXI+PFJl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</w:fldData>
        </w:fldChar>
      </w:r>
      <w:r w:rsidR="00455B2B" w:rsidRPr="002C21B8">
        <w:rPr>
          <w:shd w:val="clear" w:color="auto" w:fill="FFFFFF"/>
        </w:rPr>
        <w:instrText xml:space="preserve"> ADDIN EN.CITE </w:instrText>
      </w:r>
      <w:r w:rsidR="00455B2B" w:rsidRPr="002C21B8">
        <w:rPr>
          <w:shd w:val="clear" w:color="auto" w:fill="FFFFFF"/>
        </w:rPr>
        <w:fldChar w:fldCharType="begin">
          <w:fldData xml:space="preserve">PEVuZE5vdGU+PENpdGU+PEF1dGhvcj5Mb3BlczwvQXV0aG9yPjxZZWFyPjIwMTg8L1llYXI+PFJl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</w:fldData>
        </w:fldChar>
      </w:r>
      <w:r w:rsidR="00455B2B" w:rsidRPr="002C21B8">
        <w:rPr>
          <w:shd w:val="clear" w:color="auto" w:fill="FFFFFF"/>
        </w:rPr>
        <w:instrText xml:space="preserve"> ADDIN EN.CITE.DATA </w:instrText>
      </w:r>
      <w:r w:rsidR="00455B2B" w:rsidRPr="002C21B8">
        <w:rPr>
          <w:shd w:val="clear" w:color="auto" w:fill="FFFFFF"/>
        </w:rPr>
      </w:r>
      <w:r w:rsidR="00455B2B" w:rsidRPr="002C21B8">
        <w:rPr>
          <w:shd w:val="clear" w:color="auto" w:fill="FFFFFF"/>
        </w:rPr>
        <w:fldChar w:fldCharType="end"/>
      </w:r>
      <w:r w:rsidR="00491D45" w:rsidRPr="002C21B8">
        <w:rPr>
          <w:shd w:val="clear" w:color="auto" w:fill="FFFFFF"/>
        </w:rPr>
      </w:r>
      <w:r w:rsidR="00491D45" w:rsidRPr="002C21B8">
        <w:rPr>
          <w:shd w:val="clear" w:color="auto" w:fill="FFFFFF"/>
        </w:rPr>
        <w:fldChar w:fldCharType="separate"/>
      </w:r>
      <w:r w:rsidR="00491D45" w:rsidRPr="002C21B8">
        <w:rPr>
          <w:noProof/>
          <w:shd w:val="clear" w:color="auto" w:fill="FFFFFF"/>
        </w:rPr>
        <w:t>(Lopes</w:t>
      </w:r>
      <w:r w:rsidR="00491D45" w:rsidRPr="002C21B8">
        <w:rPr>
          <w:i/>
          <w:noProof/>
          <w:shd w:val="clear" w:color="auto" w:fill="FFFFFF"/>
        </w:rPr>
        <w:t xml:space="preserve"> et al.</w:t>
      </w:r>
      <w:r w:rsidR="00491D45" w:rsidRPr="002C21B8">
        <w:rPr>
          <w:noProof/>
          <w:shd w:val="clear" w:color="auto" w:fill="FFFFFF"/>
        </w:rPr>
        <w:t>, 2018; Phillips</w:t>
      </w:r>
      <w:r w:rsidR="00491D45" w:rsidRPr="002C21B8">
        <w:rPr>
          <w:i/>
          <w:noProof/>
          <w:shd w:val="clear" w:color="auto" w:fill="FFFFFF"/>
        </w:rPr>
        <w:t xml:space="preserve"> et al.</w:t>
      </w:r>
      <w:r w:rsidR="00491D45" w:rsidRPr="002C21B8">
        <w:rPr>
          <w:noProof/>
          <w:shd w:val="clear" w:color="auto" w:fill="FFFFFF"/>
        </w:rPr>
        <w:t>, 2024)</w:t>
      </w:r>
      <w:r w:rsidR="00491D45" w:rsidRPr="002C21B8">
        <w:rPr>
          <w:shd w:val="clear" w:color="auto" w:fill="FFFFFF"/>
        </w:rPr>
        <w:fldChar w:fldCharType="end"/>
      </w:r>
      <w:r w:rsidR="00491D45" w:rsidRPr="002C21B8">
        <w:t xml:space="preserve">. </w:t>
      </w:r>
      <w:r w:rsidRPr="002C21B8">
        <w:t xml:space="preserve">The high heterogeneity in presentation and disease severity </w:t>
      </w:r>
      <w:r w:rsidR="00D2488A" w:rsidRPr="002C21B8">
        <w:t xml:space="preserve">associated with rare diseases </w:t>
      </w:r>
      <w:r w:rsidRPr="002C21B8">
        <w:t xml:space="preserve">can also increase uncertainty. This makes clinicians </w:t>
      </w:r>
      <w:r w:rsidR="00BD3F48" w:rsidRPr="002C21B8">
        <w:t xml:space="preserve">managing people with rare diseases </w:t>
      </w:r>
      <w:r w:rsidRPr="002C21B8">
        <w:t>often reliant on</w:t>
      </w:r>
      <w:r w:rsidR="001932FB" w:rsidRPr="002C21B8">
        <w:t xml:space="preserve"> published</w:t>
      </w:r>
      <w:r w:rsidRPr="002C21B8">
        <w:t xml:space="preserve"> guidelines, specialist expertise or peer networks to support their decision-making</w:t>
      </w:r>
      <w:r w:rsidR="00A25313" w:rsidRPr="002C21B8">
        <w:t xml:space="preserve"> </w:t>
      </w:r>
      <w:r w:rsidR="00A35AB3" w:rsidRPr="002C21B8">
        <w:rPr>
          <w:shd w:val="clear" w:color="auto" w:fill="FFFFFF"/>
        </w:rPr>
        <w:fldChar w:fldCharType="begin"/>
      </w:r>
      <w:r w:rsidR="00A35AB3" w:rsidRPr="002C21B8">
        <w:rPr>
          <w:shd w:val="clear" w:color="auto" w:fill="FFFFFF"/>
        </w:rPr>
        <w:instrText xml:space="preserve"> ADDIN EN.CITE &lt;EndNote&gt;&lt;Cite&gt;&lt;Author&gt;Chaudhary&lt;/Author&gt;&lt;Year&gt;2025&lt;/Year&gt;&lt;RecNum&gt;125295&lt;/RecNum&gt;&lt;DisplayText&gt;(Chaudhary and Kumar, 2025)&lt;/DisplayText&gt;&lt;record&gt;&lt;rec-number&gt;125295&lt;/rec-number&gt;&lt;foreign-keys&gt;&lt;key app="EN" db-id="xpefzwa5hf9dt2ea9fax95x7xvxz90v09dtf" timestamp="1774881051"&gt;125295&lt;/key&gt;&lt;/foreign-keys&gt;&lt;ref-type name="Journal Article"&gt;17&lt;/ref-type&gt;&lt;contributors&gt;&lt;authors&gt;&lt;author&gt;Chaudhary, Aryan&lt;/author&gt;&lt;author&gt;Kumar, Vidyapati&lt;/author&gt;&lt;/authors&gt;&lt;/contributors&gt;&lt;titles&gt;&lt;title&gt;Rare diseases: a comprehensive literature review and future directions&lt;/title&gt;&lt;secondary-title&gt;Journal of Rare Diseases&lt;/secondary-title&gt;&lt;/titles&gt;&lt;periodical&gt;&lt;full-title&gt;Journal of Rare Diseases&lt;/full-title&gt;&lt;/periodical&gt;&lt;pages&gt;33&lt;/pages&gt;&lt;volume&gt;4&lt;/volume&gt;&lt;number&gt;1&lt;/number&gt;&lt;dates&gt;&lt;year&gt;2025&lt;/year&gt;&lt;/dates&gt;&lt;isbn&gt;2731-085X&lt;/isbn&gt;&lt;urls&gt;&lt;/urls&gt;&lt;/record&gt;&lt;/Cite&gt;&lt;/EndNote&gt;</w:instrText>
      </w:r>
      <w:r w:rsidR="00A35AB3" w:rsidRPr="002C21B8">
        <w:rPr>
          <w:shd w:val="clear" w:color="auto" w:fill="FFFFFF"/>
        </w:rPr>
        <w:fldChar w:fldCharType="separate"/>
      </w:r>
      <w:r w:rsidR="00A35AB3" w:rsidRPr="002C21B8">
        <w:rPr>
          <w:shd w:val="clear" w:color="auto" w:fill="FFFFFF"/>
        </w:rPr>
        <w:t>(Chaudhary and Kumar, 2025)</w:t>
      </w:r>
      <w:r w:rsidR="00A35AB3" w:rsidRPr="002C21B8">
        <w:rPr>
          <w:shd w:val="clear" w:color="auto" w:fill="FFFFFF"/>
        </w:rPr>
        <w:fldChar w:fldCharType="end"/>
      </w:r>
      <w:r w:rsidR="00A35AB3" w:rsidRPr="002C21B8">
        <w:t>.</w:t>
      </w:r>
    </w:p>
    <w:p w14:paraId="04662549" w14:textId="482811E8" w:rsidR="00553884" w:rsidRPr="002C21B8" w:rsidRDefault="00581E5B" w:rsidP="00ED2D36">
      <w:pPr>
        <w:pStyle w:val="Heading4"/>
      </w:pPr>
      <w:r w:rsidRPr="002C21B8">
        <w:t>Healthcare systems</w:t>
      </w:r>
    </w:p>
    <w:p w14:paraId="5F40B4CE" w14:textId="1F5D1DAD" w:rsidR="006E7614" w:rsidRPr="002C21B8" w:rsidRDefault="00064D69" w:rsidP="00CA1B2F">
      <w:r w:rsidRPr="002C21B8">
        <w:t xml:space="preserve">Meeting the healthcare needs of people living with rare diseases </w:t>
      </w:r>
      <w:r w:rsidR="003F46F2" w:rsidRPr="002C21B8">
        <w:t xml:space="preserve">is widely recognised to be difficult. </w:t>
      </w:r>
      <w:r w:rsidR="00CA1B2F" w:rsidRPr="002C21B8">
        <w:t xml:space="preserve">Constrained healthcare budgets, limited resources and a shortage of expertise can </w:t>
      </w:r>
      <w:r w:rsidR="003F46F2" w:rsidRPr="002C21B8">
        <w:t xml:space="preserve">fragment care and </w:t>
      </w:r>
      <w:r w:rsidR="00CA1B2F" w:rsidRPr="002C21B8">
        <w:t xml:space="preserve">lead to health inequities </w:t>
      </w:r>
      <w:r w:rsidR="001B24CB" w:rsidRPr="002C21B8">
        <w:fldChar w:fldCharType="begin"/>
      </w:r>
      <w:r w:rsidR="001B24CB" w:rsidRPr="002C21B8">
        <w:instrText xml:space="preserve"> ADDIN EN.CITE &lt;EndNote&gt;&lt;Cite&gt;&lt;Author&gt;Uhlenbusch&lt;/Author&gt;&lt;Year&gt;2019&lt;/Year&gt;&lt;RecNum&gt;5223&lt;/RecNum&gt;&lt;DisplayText&gt;(Uhlenbusch, Löwe and Depping, 2019)&lt;/DisplayText&gt;&lt;record&gt;&lt;rec-number&gt;5223&lt;/rec-number&gt;&lt;foreign-keys&gt;&lt;key app="EN" db-id="xpefzwa5hf9dt2ea9fax95x7xvxz90v09dtf" timestamp="1700861745"&gt;5223&lt;/key&gt;&lt;/foreign-keys&gt;&lt;ref-type name="Journal Article"&gt;17&lt;/ref-type&gt;&lt;contributors&gt;&lt;authors&gt;&lt;author&gt;Uhlenbusch, Natalie&lt;/author&gt;&lt;author&gt;Löwe, Bernd&lt;/author&gt;&lt;author&gt;Depping, Miriam, K&lt;/author&gt;&lt;/authors&gt;&lt;/contributors&gt;&lt;titles&gt;&lt;title&gt;Perceived burden in dealing with different rare diseases: a qualitative focus group study&lt;/title&gt;&lt;secondary-title&gt;BMJ Open&lt;/secondary-title&gt;&lt;/titles&gt;&lt;periodical&gt;&lt;full-title&gt;BMJ open&lt;/full-title&gt;&lt;/periodical&gt;&lt;pages&gt;e033353&lt;/pages&gt;&lt;volume&gt;9&lt;/volume&gt;&lt;number&gt;12&lt;/number&gt;&lt;dates&gt;&lt;year&gt;2019&lt;/year&gt;&lt;/dates&gt;&lt;urls&gt;&lt;related-urls&gt;&lt;url&gt;http://bmjopen.bmj.com/content/9/12/e033353.abstract&lt;/url&gt;&lt;/related-urls&gt;&lt;/urls&gt;&lt;electronic-resource-num&gt;10.1136/bmjopen-2019-033353&lt;/electronic-resource-num&gt;&lt;/record&gt;&lt;/Cite&gt;&lt;/EndNote&gt;</w:instrText>
      </w:r>
      <w:r w:rsidR="001B24CB" w:rsidRPr="002C21B8">
        <w:fldChar w:fldCharType="separate"/>
      </w:r>
      <w:r w:rsidR="001B24CB" w:rsidRPr="002C21B8">
        <w:t>(Uhlenbusch, Löwe and Depping, 2019)</w:t>
      </w:r>
      <w:r w:rsidR="001B24CB" w:rsidRPr="002C21B8">
        <w:fldChar w:fldCharType="end"/>
      </w:r>
      <w:r w:rsidR="001B24CB" w:rsidRPr="002C21B8">
        <w:t xml:space="preserve">. </w:t>
      </w:r>
      <w:r w:rsidR="003F46F2" w:rsidRPr="002C21B8">
        <w:t>Condition-specific clinics or c</w:t>
      </w:r>
      <w:r w:rsidR="00CA1B2F" w:rsidRPr="002C21B8">
        <w:t>entralis</w:t>
      </w:r>
      <w:r w:rsidR="003F46F2" w:rsidRPr="002C21B8">
        <w:t>ation</w:t>
      </w:r>
      <w:r w:rsidR="00CA1B2F" w:rsidRPr="002C21B8">
        <w:t xml:space="preserve"> </w:t>
      </w:r>
      <w:r w:rsidR="003F46F2" w:rsidRPr="002C21B8">
        <w:t xml:space="preserve">of </w:t>
      </w:r>
      <w:r w:rsidR="00CA1B2F" w:rsidRPr="002C21B8">
        <w:t xml:space="preserve">care </w:t>
      </w:r>
      <w:r w:rsidR="003F46F2" w:rsidRPr="002C21B8">
        <w:t xml:space="preserve">in expert centres </w:t>
      </w:r>
      <w:r w:rsidR="00F00552" w:rsidRPr="002C21B8">
        <w:t xml:space="preserve">may </w:t>
      </w:r>
      <w:r w:rsidR="00CA1B2F" w:rsidRPr="002C21B8">
        <w:t>address some of these issues</w:t>
      </w:r>
      <w:r w:rsidR="003F46F2" w:rsidRPr="002C21B8">
        <w:t xml:space="preserve"> but these </w:t>
      </w:r>
      <w:r w:rsidR="005444AB" w:rsidRPr="002C21B8">
        <w:t xml:space="preserve">can </w:t>
      </w:r>
      <w:r w:rsidR="00CA1B2F" w:rsidRPr="002C21B8">
        <w:t>place additional burden on those with a rare disease</w:t>
      </w:r>
      <w:r w:rsidR="00327D5E" w:rsidRPr="002C21B8">
        <w:t xml:space="preserve"> as discussed above</w:t>
      </w:r>
      <w:r w:rsidR="001B24CB" w:rsidRPr="002C21B8">
        <w:t xml:space="preserve"> </w:t>
      </w:r>
      <w:r w:rsidR="001B24CB" w:rsidRPr="002C21B8">
        <w:fldChar w:fldCharType="begin"/>
      </w:r>
      <w:r w:rsidR="001B24CB" w:rsidRPr="002C21B8">
        <w:instrText xml:space="preserve"> ADDIN EN.CITE &lt;EndNote&gt;&lt;Cite&gt;&lt;Author&gt;Morris&lt;/Author&gt;&lt;Year&gt;2022&lt;/Year&gt;&lt;RecNum&gt;125296&lt;/RecNum&gt;&lt;DisplayText&gt;(Morris&lt;style face="italic"&gt; et al.&lt;/style&gt;, 2022)&lt;/DisplayText&gt;&lt;record&gt;&lt;rec-number&gt;125296&lt;/rec-number&gt;&lt;foreign-keys&gt;&lt;key app="EN" db-id="xpefzwa5hf9dt2ea9fax95x7xvxz90v09dtf" timestamp="1774881912"&gt;125296&lt;/key&gt;&lt;/foreign-keys&gt;&lt;ref-type name="Journal Article"&gt;17&lt;/ref-type&gt;&lt;contributors&gt;&lt;authors&gt;&lt;author&gt;Morris, Stephen&lt;/author&gt;&lt;author&gt;Hudson, Emma&lt;/author&gt;&lt;author&gt;Bloom, Lara&lt;/author&gt;&lt;author&gt;Chitty, Lyn S&lt;/author&gt;&lt;author&gt;Fulop, Naomi J&lt;/author&gt;&lt;author&gt;Hunter, Amy&lt;/author&gt;&lt;author&gt;Jones, Jennifer&lt;/author&gt;&lt;author&gt;Kai, Joe&lt;/author&gt;&lt;author&gt;Kerecuk, Larissa&lt;/author&gt;&lt;author&gt;Kokocinska, Maria&lt;/author&gt;&lt;/authors&gt;&lt;/contributors&gt;&lt;titles&gt;&lt;title&gt;Co-ordinated care for people affected by rare diseases: the CONCORD mixed-methods study&lt;/title&gt;&lt;secondary-title&gt;Health and Social Care Delivery Research&lt;/secondary-title&gt;&lt;/titles&gt;&lt;periodical&gt;&lt;full-title&gt;Health and Social Care Delivery Research&lt;/full-title&gt;&lt;/periodical&gt;&lt;pages&gt;1-220&lt;/pages&gt;&lt;volume&gt;10&lt;/volume&gt;&lt;number&gt;5&lt;/number&gt;&lt;dates&gt;&lt;year&gt;2022&lt;/year&gt;&lt;/dates&gt;&lt;urls&gt;&lt;/urls&gt;&lt;/record&gt;&lt;/Cite&gt;&lt;/EndNote&gt;</w:instrText>
      </w:r>
      <w:r w:rsidR="001B24CB" w:rsidRPr="002C21B8">
        <w:fldChar w:fldCharType="separate"/>
      </w:r>
      <w:r w:rsidR="001B24CB" w:rsidRPr="002C21B8">
        <w:t>(Morris</w:t>
      </w:r>
      <w:r w:rsidR="001B24CB" w:rsidRPr="002C21B8">
        <w:rPr>
          <w:i/>
        </w:rPr>
        <w:t xml:space="preserve"> et al.</w:t>
      </w:r>
      <w:r w:rsidR="001B24CB" w:rsidRPr="002C21B8">
        <w:t>, 2022)</w:t>
      </w:r>
      <w:r w:rsidR="001B24CB" w:rsidRPr="002C21B8">
        <w:fldChar w:fldCharType="end"/>
      </w:r>
      <w:r w:rsidR="00327D5E" w:rsidRPr="002C21B8">
        <w:t>.</w:t>
      </w:r>
    </w:p>
    <w:p w14:paraId="019C36C9" w14:textId="49B06790" w:rsidR="00FC16F6" w:rsidRPr="002C21B8" w:rsidRDefault="00FC16F6" w:rsidP="00ED2D36">
      <w:pPr>
        <w:pStyle w:val="Heading4"/>
      </w:pPr>
      <w:r w:rsidRPr="002C21B8">
        <w:t>Research</w:t>
      </w:r>
      <w:r w:rsidR="005772EC" w:rsidRPr="002C21B8">
        <w:t xml:space="preserve"> and academic community</w:t>
      </w:r>
    </w:p>
    <w:p w14:paraId="60EE6122" w14:textId="4B4482CF" w:rsidR="00FC16F6" w:rsidRPr="002C21B8" w:rsidRDefault="00FC16F6" w:rsidP="00FC16F6">
      <w:r w:rsidRPr="002C21B8">
        <w:t xml:space="preserve">Conducting rare disease research </w:t>
      </w:r>
      <w:r w:rsidR="00064D69" w:rsidRPr="002C21B8">
        <w:t xml:space="preserve">can be challenging. Patient recruitment can be difficult </w:t>
      </w:r>
      <w:r w:rsidR="009F4F8D" w:rsidRPr="002C21B8">
        <w:t xml:space="preserve">due </w:t>
      </w:r>
      <w:r w:rsidR="00064D69" w:rsidRPr="002C21B8">
        <w:t xml:space="preserve">to low prevalence and geographically </w:t>
      </w:r>
      <w:r w:rsidRPr="002C21B8">
        <w:t xml:space="preserve">dispersed populations </w:t>
      </w:r>
      <w:r w:rsidRPr="002C21B8">
        <w:fldChar w:fldCharType="begin">
          <w:fldData xml:space="preserve">PEVuZE5vdGU+PENpdGU+PEF1dGhvcj5TdG9sbGVyPC9BdXRob3I+PFllYXI+MjAxODwvWWVhcj48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</w:fldData>
        </w:fldChar>
      </w:r>
      <w:r w:rsidRPr="002C21B8">
        <w:instrText xml:space="preserve"> ADDIN EN.CITE </w:instrText>
      </w:r>
      <w:r w:rsidRPr="002C21B8">
        <w:fldChar w:fldCharType="begin">
          <w:fldData xml:space="preserve">PEVuZE5vdGU+PENpdGU+PEF1dGhvcj5TdG9sbGVyPC9BdXRob3I+PFllYXI+MjAxODwvWWVhcj48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</w:fldData>
        </w:fldChar>
      </w:r>
      <w:r w:rsidRPr="002C21B8">
        <w:instrText xml:space="preserve"> ADDIN EN.CITE.DATA </w:instrText>
      </w:r>
      <w:r w:rsidRPr="002C21B8">
        <w:fldChar w:fldCharType="end"/>
      </w:r>
      <w:r w:rsidRPr="002C21B8">
        <w:fldChar w:fldCharType="separate"/>
      </w:r>
      <w:r w:rsidRPr="002C21B8">
        <w:t>(Stoller, 2018; Taruscio and Gahl, 2024)</w:t>
      </w:r>
      <w:r w:rsidRPr="002C21B8">
        <w:fldChar w:fldCharType="end"/>
      </w:r>
      <w:r w:rsidRPr="002C21B8">
        <w:t xml:space="preserve">. </w:t>
      </w:r>
      <w:r w:rsidR="00064D69" w:rsidRPr="002C21B8">
        <w:t xml:space="preserve">This may require </w:t>
      </w:r>
      <w:r w:rsidRPr="002C21B8">
        <w:t xml:space="preserve">innovative trial designs or </w:t>
      </w:r>
      <w:r w:rsidR="00193E69" w:rsidRPr="002C21B8">
        <w:t xml:space="preserve">the </w:t>
      </w:r>
      <w:r w:rsidRPr="002C21B8">
        <w:t>use of real-world data</w:t>
      </w:r>
      <w:r w:rsidR="003571AD" w:rsidRPr="002C21B8">
        <w:t xml:space="preserve"> </w:t>
      </w:r>
      <w:r w:rsidRPr="002C21B8">
        <w:fldChar w:fldCharType="begin"/>
      </w:r>
      <w:r w:rsidRPr="002C21B8">
        <w:instrText xml:space="preserve"> ADDIN EN.CITE &lt;EndNote&gt;&lt;Cite&gt;&lt;Author&gt;Dayer&lt;/Author&gt;&lt;Year&gt;2024&lt;/Year&gt;&lt;RecNum&gt;125297&lt;/RecNum&gt;&lt;DisplayText&gt;(Dayer&lt;style face="italic"&gt; et al.&lt;/style&gt;, 2024)&lt;/DisplayText&gt;&lt;record&gt;&lt;rec-number&gt;125297&lt;/rec-number&gt;&lt;foreign-keys&gt;&lt;key app="EN" db-id="xpefzwa5hf9dt2ea9fax95x7xvxz90v09dtf" timestamp="1774884737"&gt;125297&lt;/key&gt;&lt;/foreign-keys&gt;&lt;ref-type name="Journal Article"&gt;17&lt;/ref-type&gt;&lt;contributors&gt;&lt;authors&gt;&lt;author&gt;Dayer, Victoria W&lt;/author&gt;&lt;author&gt;Drummond, Michael F&lt;/author&gt;&lt;author&gt;Dabbous, Omar&lt;/author&gt;&lt;author&gt;Toumi, Mondher&lt;/author&gt;&lt;author&gt;Neumann, Peter&lt;/author&gt;&lt;author&gt;Tunis, Sean&lt;/author&gt;&lt;author&gt;Teich, Nelson&lt;/author&gt;&lt;author&gt;Saleh, Shadi&lt;/author&gt;&lt;author&gt;Persson, Ulf&lt;/author&gt;&lt;author&gt;von der Schulenburg, Johann-Matthias Graf&lt;/author&gt;&lt;/authors&gt;&lt;/contributors&gt;&lt;titles&gt;&lt;title&gt;Real-world evidence for coverage determination of treatments for rare diseases&lt;/title&gt;&lt;secondary-title&gt;Orphanet Journal of Rare Diseases&lt;/secondary-title&gt;&lt;/titles&gt;&lt;periodical&gt;&lt;full-title&gt;Orphanet Journal of Rare Diseases&lt;/full-title&gt;&lt;/periodical&gt;&lt;pages&gt;47&lt;/pages&gt;&lt;volume&gt;19&lt;/volume&gt;&lt;number&gt;1&lt;/number&gt;&lt;dates&gt;&lt;year&gt;2024&lt;/year&gt;&lt;/dates&gt;&lt;isbn&gt;1750-1172&lt;/isbn&gt;&lt;urls&gt;&lt;/urls&gt;&lt;/record&gt;&lt;/Cite&gt;&lt;/EndNote&gt;</w:instrText>
      </w:r>
      <w:r w:rsidRPr="002C21B8">
        <w:fldChar w:fldCharType="separate"/>
      </w:r>
      <w:r w:rsidRPr="002C21B8">
        <w:t>(Dayer</w:t>
      </w:r>
      <w:r w:rsidRPr="002C21B8">
        <w:rPr>
          <w:i/>
        </w:rPr>
        <w:t xml:space="preserve"> et al.</w:t>
      </w:r>
      <w:r w:rsidRPr="002C21B8">
        <w:t>, 2024)</w:t>
      </w:r>
      <w:r w:rsidRPr="002C21B8">
        <w:fldChar w:fldCharType="end"/>
      </w:r>
      <w:r w:rsidR="003571AD" w:rsidRPr="002C21B8">
        <w:t xml:space="preserve">. However, </w:t>
      </w:r>
      <w:r w:rsidR="00064D69" w:rsidRPr="002C21B8">
        <w:t xml:space="preserve">the low prevalence means it may </w:t>
      </w:r>
      <w:r w:rsidRPr="002C21B8">
        <w:t xml:space="preserve">be difficult to obtain statistically significant results </w:t>
      </w:r>
      <w:r w:rsidRPr="002C21B8">
        <w:fldChar w:fldCharType="begin"/>
      </w:r>
      <w:r w:rsidRPr="002C21B8">
        <w:instrText xml:space="preserve"> ADDIN EN.CITE &lt;EndNote&gt;&lt;Cite&gt;&lt;Author&gt;Melnikova&lt;/Author&gt;&lt;Year&gt;2012&lt;/Year&gt;&lt;RecNum&gt;5029&lt;/RecNum&gt;&lt;DisplayText&gt;(Melnikova, 2012)&lt;/DisplayText&gt;&lt;record&gt;&lt;rec-number&gt;5029&lt;/rec-number&gt;&lt;foreign-keys&gt;&lt;key app="EN" db-id="xpefzwa5hf9dt2ea9fax95x7xvxz90v09dtf" timestamp="1699893814"&gt;5029&lt;/key&gt;&lt;/foreign-keys&gt;&lt;ref-type name="Journal Article"&gt;17&lt;/ref-type&gt;&lt;contributors&gt;&lt;authors&gt;&lt;author&gt;Melnikova, Irena&lt;/author&gt;&lt;/authors&gt;&lt;/contributors&gt;&lt;titles&gt;&lt;title&gt;Rare diseases and orphan drugs&lt;/title&gt;&lt;secondary-title&gt;Nature Reviews Drug Discovery&lt;/secondary-title&gt;&lt;/titles&gt;&lt;periodical&gt;&lt;full-title&gt;Nature Reviews Drug Discovery&lt;/full-title&gt;&lt;/periodical&gt;&lt;pages&gt;267-268&lt;/pages&gt;&lt;volume&gt;11&lt;/volume&gt;&lt;number&gt;4&lt;/number&gt;&lt;dates&gt;&lt;year&gt;2012&lt;/year&gt;&lt;pub-dates&gt;&lt;date&gt;2012/04/01&lt;/date&gt;&lt;/pub-dates&gt;&lt;/dates&gt;&lt;isbn&gt;1474-1784&lt;/isbn&gt;&lt;urls&gt;&lt;related-urls&gt;&lt;url&gt;https://doi.org/10.1038/nrd3654&lt;/url&gt;&lt;/related-urls&gt;&lt;/urls&gt;&lt;electronic-resource-num&gt;10.1038/nrd3654&lt;/electronic-resource-num&gt;&lt;/record&gt;&lt;/Cite&gt;&lt;/EndNote&gt;</w:instrText>
      </w:r>
      <w:r w:rsidRPr="002C21B8">
        <w:fldChar w:fldCharType="separate"/>
      </w:r>
      <w:r w:rsidRPr="002C21B8">
        <w:t>(Melnikova, 2012)</w:t>
      </w:r>
      <w:r w:rsidRPr="002C21B8">
        <w:fldChar w:fldCharType="end"/>
      </w:r>
      <w:r w:rsidRPr="002C21B8">
        <w:t xml:space="preserve">. </w:t>
      </w:r>
      <w:r w:rsidR="00064D69" w:rsidRPr="002C21B8">
        <w:t xml:space="preserve">Aside from the low prevalence, researching rare diseases may be difficult as many are highly heterogeneous, have fewer funding opportunities and would require </w:t>
      </w:r>
      <w:r w:rsidRPr="002C21B8">
        <w:t xml:space="preserve">multi-speciality collaboration as </w:t>
      </w:r>
      <w:r w:rsidR="00064D69" w:rsidRPr="002C21B8">
        <w:t xml:space="preserve">they </w:t>
      </w:r>
      <w:r w:rsidRPr="002C21B8">
        <w:t xml:space="preserve">often involve multiple organs </w:t>
      </w:r>
      <w:r w:rsidRPr="002C21B8">
        <w:fldChar w:fldCharType="begin"/>
      </w:r>
      <w:r w:rsidRPr="002C21B8">
        <w:instrText xml:space="preserve"> ADDIN EN.CITE &lt;EndNote&gt;&lt;Cite&gt;&lt;Author&gt;Dayer&lt;/Author&gt;&lt;Year&gt;2024&lt;/Year&gt;&lt;RecNum&gt;125297&lt;/RecNum&gt;&lt;DisplayText&gt;(Dayer&lt;style face="italic"&gt; et al.&lt;/style&gt;, 2024)&lt;/DisplayText&gt;&lt;record&gt;&lt;rec-number&gt;125297&lt;/rec-number&gt;&lt;foreign-keys&gt;&lt;key app="EN" db-id="xpefzwa5hf9dt2ea9fax95x7xvxz90v09dtf" timestamp="1774884737"&gt;125297&lt;/key&gt;&lt;/foreign-keys&gt;&lt;ref-type name="Journal Article"&gt;17&lt;/ref-type&gt;&lt;contributors&gt;&lt;authors&gt;&lt;author&gt;Dayer, Victoria W&lt;/author&gt;&lt;author&gt;Drummond, Michael F&lt;/author&gt;&lt;author&gt;Dabbous, Omar&lt;/author&gt;&lt;author&gt;Toumi, Mondher&lt;/author&gt;&lt;author&gt;Neumann, Peter&lt;/author&gt;&lt;author&gt;Tunis, Sean&lt;/author&gt;&lt;author&gt;Teich, Nelson&lt;/author&gt;&lt;author&gt;Saleh, Shadi&lt;/author&gt;&lt;author&gt;Persson, Ulf&lt;/author&gt;&lt;author&gt;von der Schulenburg, Johann-Matthias Graf&lt;/author&gt;&lt;/authors&gt;&lt;/contributors&gt;&lt;titles&gt;&lt;title&gt;Real-world evidence for coverage determination of treatments for rare diseases&lt;/title&gt;&lt;secondary-title&gt;Orphanet Journal of Rare Diseases&lt;/secondary-title&gt;&lt;/titles&gt;&lt;periodical&gt;&lt;full-title&gt;Orphanet Journal of Rare Diseases&lt;/full-title&gt;&lt;/periodical&gt;&lt;pages&gt;47&lt;/pages&gt;&lt;volume&gt;19&lt;/volume&gt;&lt;number&gt;1&lt;/number&gt;&lt;dates&gt;&lt;year&gt;2024&lt;/year&gt;&lt;/dates&gt;&lt;isbn&gt;1750-1172&lt;/isbn&gt;&lt;urls&gt;&lt;/urls&gt;&lt;/record&gt;&lt;/Cite&gt;&lt;/EndNote&gt;</w:instrText>
      </w:r>
      <w:r w:rsidRPr="002C21B8">
        <w:fldChar w:fldCharType="separate"/>
      </w:r>
      <w:r w:rsidRPr="002C21B8">
        <w:t>(Dayer</w:t>
      </w:r>
      <w:r w:rsidRPr="002C21B8">
        <w:rPr>
          <w:i/>
        </w:rPr>
        <w:t xml:space="preserve"> et al.</w:t>
      </w:r>
      <w:r w:rsidRPr="002C21B8">
        <w:t>, 2024)</w:t>
      </w:r>
      <w:r w:rsidRPr="002C21B8">
        <w:fldChar w:fldCharType="end"/>
      </w:r>
      <w:r w:rsidRPr="002C21B8">
        <w:t>.</w:t>
      </w:r>
    </w:p>
    <w:p w14:paraId="760CC6BB" w14:textId="77777777" w:rsidR="00797565" w:rsidRPr="002C21B8" w:rsidRDefault="00797565" w:rsidP="00ED2D36">
      <w:pPr>
        <w:pStyle w:val="Heading4"/>
      </w:pPr>
      <w:r w:rsidRPr="002C21B8">
        <w:t>Pharmaceutical industry</w:t>
      </w:r>
    </w:p>
    <w:p w14:paraId="7EF41D16" w14:textId="61ADFB68" w:rsidR="00797565" w:rsidRPr="002C21B8" w:rsidRDefault="00797565" w:rsidP="00B77BB3">
      <w:r w:rsidRPr="002C21B8">
        <w:t xml:space="preserve">Developing </w:t>
      </w:r>
      <w:r w:rsidR="00C52BCA" w:rsidRPr="002C21B8">
        <w:t>medication</w:t>
      </w:r>
      <w:r w:rsidRPr="002C21B8">
        <w:t xml:space="preserve">s for rare diseases </w:t>
      </w:r>
      <w:r w:rsidR="00FF60C2" w:rsidRPr="002C21B8">
        <w:t>can be challenging for pharmaceutical companies due to small patient populations</w:t>
      </w:r>
      <w:r w:rsidR="002B1AAE" w:rsidRPr="002C21B8">
        <w:t xml:space="preserve">. This can </w:t>
      </w:r>
      <w:r w:rsidR="00FF60C2" w:rsidRPr="002C21B8">
        <w:t xml:space="preserve">create </w:t>
      </w:r>
      <w:r w:rsidR="00473B59" w:rsidRPr="002C21B8">
        <w:t>uncertainty</w:t>
      </w:r>
      <w:r w:rsidR="00FF60C2" w:rsidRPr="002C21B8">
        <w:t xml:space="preserve"> around development pathways and</w:t>
      </w:r>
      <w:r w:rsidR="00473B59" w:rsidRPr="002C21B8">
        <w:t xml:space="preserve"> potential</w:t>
      </w:r>
      <w:r w:rsidR="00FF60C2" w:rsidRPr="002C21B8">
        <w:t xml:space="preserve"> commercial returns. </w:t>
      </w:r>
      <w:r w:rsidR="002B1AAE" w:rsidRPr="002C21B8">
        <w:t xml:space="preserve">As a result, rare disease </w:t>
      </w:r>
      <w:r w:rsidR="00414AB5" w:rsidRPr="002C21B8">
        <w:t>medication</w:t>
      </w:r>
      <w:r w:rsidR="002B1AAE" w:rsidRPr="002C21B8">
        <w:t xml:space="preserve">s can be perceived as higher risk to develop. This may partly explain why many rare diseases do not have an approved </w:t>
      </w:r>
      <w:r w:rsidR="00351E86" w:rsidRPr="002C21B8">
        <w:t>medication</w:t>
      </w:r>
      <w:r w:rsidR="002B1AAE" w:rsidRPr="002C21B8">
        <w:t xml:space="preserve"> and those that do</w:t>
      </w:r>
      <w:r w:rsidR="009F4F8D" w:rsidRPr="002C21B8">
        <w:t>,</w:t>
      </w:r>
      <w:r w:rsidR="002B1AAE" w:rsidRPr="002C21B8">
        <w:t xml:space="preserve"> </w:t>
      </w:r>
      <w:r w:rsidR="00FC16F6" w:rsidRPr="002C21B8">
        <w:t xml:space="preserve">often only have a single therapeutic option </w:t>
      </w:r>
      <w:r w:rsidR="00FC16F6" w:rsidRPr="002C21B8">
        <w:fldChar w:fldCharType="begin"/>
      </w:r>
      <w:r w:rsidR="007C3C0A" w:rsidRPr="002C21B8">
        <w:instrText xml:space="preserve"> ADDIN EN.CITE &lt;EndNote&gt;&lt;Cite&gt;&lt;Author&gt;European Parliament&lt;/Author&gt;&lt;Year&gt;2026&lt;/Year&gt;&lt;RecNum&gt;125347&lt;/RecNum&gt;&lt;DisplayText&gt;(European Parliament, 2026)&lt;/DisplayText&gt;&lt;record&gt;&lt;rec-number&gt;125347&lt;/rec-number&gt;&lt;foreign-keys&gt;&lt;key app="EN" db-id="xpefzwa5hf9dt2ea9fax95x7xvxz90v09dtf" timestamp="1775229542"&gt;125347&lt;/key&gt;&lt;/foreign-keys&gt;&lt;ref-type name="Web Page"&gt;12&lt;/ref-type&gt;&lt;contributors&gt;&lt;authors&gt;&lt;author&gt;European Parliament,&lt;/author&gt;&lt;/authors&gt;&lt;/contributors&gt;&lt;titles&gt;&lt;title&gt;EU rare disease action plan - European Added Value Assessment&lt;/title&gt;&lt;/titles&gt;&lt;number&gt;03/04/2026)&lt;/number&gt;&lt;dates&gt;&lt;year&gt;2026&lt;/year&gt;&lt;/dates&gt;&lt;urls&gt;&lt;related-urls&gt;&lt;url&gt;https://www.europarl.europa.eu/RegData/etudes/STUD/2026/774708/EPRS_STU(2026)774708_EN.pdf&lt;/url&gt;&lt;/related-urls&gt;&lt;/urls&gt;&lt;/record&gt;&lt;/Cite&gt;&lt;/EndNote&gt;</w:instrText>
      </w:r>
      <w:r w:rsidR="00FC16F6" w:rsidRPr="002C21B8">
        <w:fldChar w:fldCharType="separate"/>
      </w:r>
      <w:r w:rsidR="007C3C0A" w:rsidRPr="002C21B8">
        <w:rPr>
          <w:noProof/>
        </w:rPr>
        <w:t>(European Parliament, 2026)</w:t>
      </w:r>
      <w:r w:rsidR="00FC16F6" w:rsidRPr="002C21B8">
        <w:fldChar w:fldCharType="end"/>
      </w:r>
      <w:r w:rsidR="00FC16F6" w:rsidRPr="002C21B8">
        <w:t>.</w:t>
      </w:r>
      <w:r w:rsidR="0048772D" w:rsidRPr="002C21B8">
        <w:t xml:space="preserve"> </w:t>
      </w:r>
      <w:r w:rsidR="00B77BB3" w:rsidRPr="002C21B8">
        <w:t xml:space="preserve">To encourage </w:t>
      </w:r>
      <w:r w:rsidR="002B1AAE" w:rsidRPr="002C21B8">
        <w:t xml:space="preserve">the </w:t>
      </w:r>
      <w:r w:rsidR="00B77BB3" w:rsidRPr="002C21B8">
        <w:t>development</w:t>
      </w:r>
      <w:r w:rsidR="002B1AAE" w:rsidRPr="002C21B8">
        <w:t xml:space="preserve"> of new </w:t>
      </w:r>
      <w:r w:rsidR="00974EFE" w:rsidRPr="002C21B8">
        <w:t>medication</w:t>
      </w:r>
      <w:r w:rsidR="002B1AAE" w:rsidRPr="002C21B8">
        <w:t>s for rare disea</w:t>
      </w:r>
      <w:r w:rsidR="00B90CD2" w:rsidRPr="002C21B8">
        <w:t>ses</w:t>
      </w:r>
      <w:r w:rsidR="00B77BB3" w:rsidRPr="002C21B8">
        <w:t xml:space="preserve">, many regions have introduced incentives such as </w:t>
      </w:r>
      <w:r w:rsidR="00B77BB3" w:rsidRPr="002C21B8">
        <w:lastRenderedPageBreak/>
        <w:t>orphan drug designation, market exclusivity and regulatory support (McCabe, Claxton and Tsuchiya, 2005).</w:t>
      </w:r>
    </w:p>
    <w:p w14:paraId="33A94528" w14:textId="687B858D" w:rsidR="00FC16F6" w:rsidRPr="002C21B8" w:rsidRDefault="00FC16F6" w:rsidP="00ED2D36">
      <w:pPr>
        <w:pStyle w:val="Heading4"/>
      </w:pPr>
      <w:r w:rsidRPr="002C21B8">
        <w:t>Health</w:t>
      </w:r>
      <w:r w:rsidR="00473B59" w:rsidRPr="002C21B8">
        <w:t xml:space="preserve"> technology assessment organisations</w:t>
      </w:r>
    </w:p>
    <w:p w14:paraId="1D6E8321" w14:textId="7E5DC6DC" w:rsidR="00FC16F6" w:rsidRPr="002C21B8" w:rsidRDefault="00473B59" w:rsidP="00EE7D9B">
      <w:r w:rsidRPr="002C21B8">
        <w:t>Rare diseases can present challenges to health technology approval bodies, such as the National Institute for Health and Care Excellence (NICE) and Scottish Medicines Consortium (SMC)</w:t>
      </w:r>
      <w:r w:rsidR="00D404D5" w:rsidRPr="002C21B8">
        <w:t xml:space="preserve">. Rare disease </w:t>
      </w:r>
      <w:r w:rsidR="00611D78" w:rsidRPr="002C21B8">
        <w:t>medication</w:t>
      </w:r>
      <w:r w:rsidR="00D404D5" w:rsidRPr="002C21B8">
        <w:t xml:space="preserve">s often have </w:t>
      </w:r>
      <w:r w:rsidR="00EE7D9B" w:rsidRPr="002C21B8">
        <w:t xml:space="preserve">high costs, </w:t>
      </w:r>
      <w:r w:rsidR="00A7577B" w:rsidRPr="002C21B8">
        <w:t>limited</w:t>
      </w:r>
      <w:r w:rsidR="00EE7D9B" w:rsidRPr="002C21B8">
        <w:t xml:space="preserve"> evidence and uncertain </w:t>
      </w:r>
      <w:r w:rsidRPr="002C21B8">
        <w:t xml:space="preserve">long-term outcomes </w:t>
      </w:r>
      <w:r w:rsidR="00EE7D9B" w:rsidRPr="002C21B8">
        <w:t xml:space="preserve">that make it difficult for them to meet standard </w:t>
      </w:r>
      <w:r w:rsidR="00A7577B" w:rsidRPr="002C21B8">
        <w:t>t</w:t>
      </w:r>
      <w:r w:rsidR="0083024C" w:rsidRPr="002C21B8">
        <w:t xml:space="preserve">echnology </w:t>
      </w:r>
      <w:r w:rsidR="00A7577B" w:rsidRPr="002C21B8">
        <w:t>a</w:t>
      </w:r>
      <w:r w:rsidR="0083024C" w:rsidRPr="002C21B8">
        <w:t>ppraisal</w:t>
      </w:r>
      <w:r w:rsidR="00EE7D9B" w:rsidRPr="002C21B8">
        <w:t xml:space="preserve"> cost-effectiveness thresholds. As a result, </w:t>
      </w:r>
      <w:r w:rsidR="0096725D" w:rsidRPr="002C21B8">
        <w:t>medication</w:t>
      </w:r>
      <w:r w:rsidR="00EE7D9B" w:rsidRPr="002C21B8">
        <w:t xml:space="preserve">s may not be approved if they do not meet this threshold or they may be restricted to specific subgroups </w:t>
      </w:r>
      <w:r w:rsidR="00FC16F6" w:rsidRPr="002C21B8">
        <w:fldChar w:fldCharType="begin"/>
      </w:r>
      <w:r w:rsidR="00FC16F6" w:rsidRPr="002C21B8">
        <w:instrText xml:space="preserve"> ADDIN EN.CITE &lt;EndNote&gt;&lt;Cite&gt;&lt;Author&gt;Basu&lt;/Author&gt;&lt;Year&gt;2025&lt;/Year&gt;&lt;RecNum&gt;125308&lt;/RecNum&gt;&lt;DisplayText&gt;(Basu&lt;style face="italic"&gt; et al.&lt;/style&gt;, 2025)&lt;/DisplayText&gt;&lt;record&gt;&lt;rec-number&gt;125308&lt;/rec-number&gt;&lt;foreign-keys&gt;&lt;key app="EN" db-id="xpefzwa5hf9dt2ea9fax95x7xvxz90v09dtf" timestamp="1774985583"&gt;125308&lt;/key&gt;&lt;/foreign-keys&gt;&lt;ref-type name="Journal Article"&gt;17&lt;/ref-type&gt;&lt;contributors&gt;&lt;authors&gt;&lt;author&gt;Basu, Anirban&lt;/author&gt;&lt;author&gt;Thomas, Simu K&lt;/author&gt;&lt;author&gt;Chapman, Richard H&lt;/author&gt;&lt;author&gt;Spangler, Jason&lt;/author&gt;&lt;/authors&gt;&lt;/contributors&gt;&lt;titles&gt;&lt;title&gt;HTA Evidence in Rare Diseases: Just Rare or Also Special? A. Basu et al&lt;/title&gt;&lt;secondary-title&gt;Pharmacoeconomics&lt;/secondary-title&gt;&lt;/titles&gt;&lt;periodical&gt;&lt;full-title&gt;PharmacoEconomics&lt;/full-title&gt;&lt;/periodical&gt;&lt;pages&gt;1271-1279&lt;/pages&gt;&lt;volume&gt;43&lt;/volume&gt;&lt;number&gt;11&lt;/number&gt;&lt;dates&gt;&lt;year&gt;2025&lt;/year&gt;&lt;/dates&gt;&lt;isbn&gt;1170-7690&lt;/isbn&gt;&lt;urls&gt;&lt;/urls&gt;&lt;/record&gt;&lt;/Cite&gt;&lt;/EndNote&gt;</w:instrText>
      </w:r>
      <w:r w:rsidR="00FC16F6" w:rsidRPr="002C21B8">
        <w:fldChar w:fldCharType="separate"/>
      </w:r>
      <w:r w:rsidR="00FC16F6" w:rsidRPr="002C21B8">
        <w:t>(Basu</w:t>
      </w:r>
      <w:r w:rsidR="00FC16F6" w:rsidRPr="002C21B8">
        <w:rPr>
          <w:i/>
        </w:rPr>
        <w:t xml:space="preserve"> et al.</w:t>
      </w:r>
      <w:r w:rsidR="00FC16F6" w:rsidRPr="002C21B8">
        <w:t>, 2025)</w:t>
      </w:r>
      <w:r w:rsidR="00FC16F6" w:rsidRPr="002C21B8">
        <w:fldChar w:fldCharType="end"/>
      </w:r>
      <w:r w:rsidR="00FC16F6" w:rsidRPr="002C21B8">
        <w:t>.</w:t>
      </w:r>
      <w:r w:rsidR="00EE7D9B" w:rsidRPr="002C21B8">
        <w:t xml:space="preserve"> This led to the introduction of the</w:t>
      </w:r>
      <w:r w:rsidR="00A7577B" w:rsidRPr="002C21B8">
        <w:t xml:space="preserve"> </w:t>
      </w:r>
      <w:r w:rsidR="00EE7D9B" w:rsidRPr="002C21B8">
        <w:t>Highly Specialised Technologies programme for ultra-rare diseases which has a</w:t>
      </w:r>
      <w:r w:rsidR="0083024C" w:rsidRPr="002C21B8">
        <w:t>n up to</w:t>
      </w:r>
      <w:r w:rsidR="00EE7D9B" w:rsidRPr="002C21B8">
        <w:t xml:space="preserve"> 10-times higher cost-effectiveness threshold </w:t>
      </w:r>
      <w:r w:rsidR="009946E5" w:rsidRPr="002C21B8">
        <w:t xml:space="preserve">than for more common </w:t>
      </w:r>
      <w:r w:rsidR="00064D69" w:rsidRPr="002C21B8">
        <w:t>conditions</w:t>
      </w:r>
      <w:r w:rsidR="00EE7D9B" w:rsidRPr="002C21B8">
        <w:t xml:space="preserve"> </w:t>
      </w:r>
      <w:r w:rsidR="0083024C" w:rsidRPr="002C21B8">
        <w:fldChar w:fldCharType="begin"/>
      </w:r>
      <w:r w:rsidR="0083024C" w:rsidRPr="002C21B8">
        <w:instrText xml:space="preserve"> ADDIN EN.CITE &lt;EndNote&gt;&lt;Cite&gt;&lt;Author&gt;National Institute for Health and Care Excellence&lt;/Author&gt;&lt;Year&gt;2026&lt;/Year&gt;&lt;RecNum&gt;125579&lt;/RecNum&gt;&lt;DisplayText&gt;(National Institute for Health and Care Excellence, 2026)&lt;/DisplayText&gt;&lt;record&gt;&lt;rec-number&gt;125579&lt;/rec-number&gt;&lt;foreign-keys&gt;&lt;key app="EN" db-id="xpefzwa5hf9dt2ea9fax95x7xvxz90v09dtf" timestamp="1778312508"&gt;125579&lt;/key&gt;&lt;/foreign-keys&gt;&lt;ref-type name="Web Page"&gt;12&lt;/ref-type&gt;&lt;contributors&gt;&lt;authors&gt;&lt;author&gt;National Institute for Health and Care Excellence,&lt;/author&gt;&lt;/authors&gt;&lt;/contributors&gt;&lt;titles&gt;&lt;title&gt;Changes to NICE’s cost-effectiveness thresholds&lt;/title&gt;&lt;/titles&gt;&lt;number&gt;09/05/2026)&lt;/number&gt;&lt;dates&gt;&lt;year&gt;2026&lt;/year&gt;&lt;/dates&gt;&lt;urls&gt;&lt;related-urls&gt;&lt;url&gt;https://www.nice.org.uk/what-nice-does/faqs/changes-to-nice-s-cost-effectiveness-thresholds&lt;/url&gt;&lt;/related-urls&gt;&lt;/urls&gt;&lt;/record&gt;&lt;/Cite&gt;&lt;/EndNote&gt;</w:instrText>
      </w:r>
      <w:r w:rsidR="0083024C" w:rsidRPr="002C21B8">
        <w:fldChar w:fldCharType="separate"/>
      </w:r>
      <w:r w:rsidR="0083024C" w:rsidRPr="002C21B8">
        <w:rPr>
          <w:noProof/>
        </w:rPr>
        <w:t>(National Institute for Health and Care Excellence, 2026)</w:t>
      </w:r>
      <w:r w:rsidR="0083024C" w:rsidRPr="002C21B8">
        <w:fldChar w:fldCharType="end"/>
      </w:r>
      <w:r w:rsidR="00EE7D9B" w:rsidRPr="002C21B8">
        <w:t>.</w:t>
      </w:r>
    </w:p>
    <w:p w14:paraId="6D7D8D87" w14:textId="6A160C5D" w:rsidR="00EC68E1" w:rsidRPr="002C21B8" w:rsidRDefault="008061DA" w:rsidP="00581663">
      <w:pPr>
        <w:pStyle w:val="Heading2"/>
      </w:pPr>
      <w:bookmarkStart w:id="30" w:name="_Toc229687203"/>
      <w:r w:rsidRPr="002C21B8">
        <w:t>Prescribing</w:t>
      </w:r>
      <w:r w:rsidR="008A5B41" w:rsidRPr="002C21B8">
        <w:t xml:space="preserve"> </w:t>
      </w:r>
      <w:r w:rsidR="00F1035E" w:rsidRPr="002C21B8">
        <w:t xml:space="preserve">as a </w:t>
      </w:r>
      <w:r w:rsidR="008A5B41" w:rsidRPr="002C21B8">
        <w:t>decision-making</w:t>
      </w:r>
      <w:r w:rsidR="00F1035E" w:rsidRPr="002C21B8">
        <w:t xml:space="preserve"> </w:t>
      </w:r>
      <w:r w:rsidR="008A5B41" w:rsidRPr="002C21B8">
        <w:t>process</w:t>
      </w:r>
      <w:bookmarkEnd w:id="30"/>
    </w:p>
    <w:p w14:paraId="6570A67C" w14:textId="40E5B1CC" w:rsidR="002C294C" w:rsidRPr="002C21B8" w:rsidRDefault="00783CFA" w:rsidP="002C294C">
      <w:r w:rsidRPr="002C21B8">
        <w:t xml:space="preserve">Prescribing is the most common patient-level intervention in the </w:t>
      </w:r>
      <w:r w:rsidR="0000312F" w:rsidRPr="002C21B8">
        <w:t>National</w:t>
      </w:r>
      <w:r w:rsidRPr="002C21B8">
        <w:t xml:space="preserve"> Health Service (NHS)</w:t>
      </w:r>
      <w:r w:rsidR="003B0E1F" w:rsidRPr="002C21B8">
        <w:t>. Medic</w:t>
      </w:r>
      <w:r w:rsidR="00E6753D" w:rsidRPr="002C21B8">
        <w:t>ations</w:t>
      </w:r>
      <w:r w:rsidR="003B0E1F" w:rsidRPr="002C21B8">
        <w:t xml:space="preserve"> are </w:t>
      </w:r>
      <w:r w:rsidR="001E0DC2" w:rsidRPr="002C21B8">
        <w:t xml:space="preserve">central to </w:t>
      </w:r>
      <w:r w:rsidR="003B0E1F" w:rsidRPr="002C21B8">
        <w:t>modern healthcare</w:t>
      </w:r>
      <w:r w:rsidR="00224CB4" w:rsidRPr="002C21B8">
        <w:t>,</w:t>
      </w:r>
      <w:r w:rsidR="000F796C" w:rsidRPr="002C21B8">
        <w:t xml:space="preserve"> </w:t>
      </w:r>
      <w:r w:rsidR="003B0E1F" w:rsidRPr="002C21B8">
        <w:t xml:space="preserve">being used for </w:t>
      </w:r>
      <w:r w:rsidR="007E6465" w:rsidRPr="002C21B8">
        <w:t>“</w:t>
      </w:r>
      <w:r w:rsidR="003B0E1F" w:rsidRPr="002C21B8">
        <w:t>the prevention and treatment of illness, maintenance of health and management of chronic conditions</w:t>
      </w:r>
      <w:r w:rsidR="007E6465" w:rsidRPr="002C21B8">
        <w:t>”</w:t>
      </w:r>
      <w:r w:rsidR="003B0E1F" w:rsidRPr="002C21B8">
        <w:t xml:space="preserve"> </w:t>
      </w:r>
      <w:r w:rsidR="003B0E1F" w:rsidRPr="002C21B8">
        <w:fldChar w:fldCharType="begin"/>
      </w:r>
      <w:r w:rsidR="005D7DBC" w:rsidRPr="002C21B8">
        <w:instrText xml:space="preserve"> ADDIN EN.CITE &lt;EndNote&gt;&lt;Cite&gt;&lt;Author&gt;Royal Pharmaceutical Society&lt;/Author&gt;&lt;Year&gt;2013&lt;/Year&gt;&lt;RecNum&gt;125348&lt;/RecNum&gt;&lt;DisplayText&gt;(Royal Pharmaceutical Society, 2013)&lt;/DisplayText&gt;&lt;record&gt;&lt;rec-number&gt;125348&lt;/rec-number&gt;&lt;foreign-keys&gt;&lt;key app="EN" db-id="xpefzwa5hf9dt2ea9fax95x7xvxz90v09dtf" timestamp="1775238694"&gt;125348&lt;/key&gt;&lt;/foreign-keys&gt;&lt;ref-type name="Web Page"&gt;12&lt;/ref-type&gt;&lt;contributors&gt;&lt;authors&gt;&lt;author&gt;Royal Pharmaceutical Society,&lt;/author&gt;&lt;/authors&gt;&lt;/contributors&gt;&lt;titles&gt;&lt;title&gt;Medicines Optimisation: Helping Patients to Make the Most of Medicines: Good Practice Guidance for Healthcare Professionals in England, May 2013&lt;/title&gt;&lt;/titles&gt;&lt;number&gt;06/02/2025)&lt;/number&gt;&lt;dates&gt;&lt;year&gt;2013&lt;/year&gt;&lt;/dates&gt;&lt;urls&gt;&lt;related-urls&gt;&lt;url&gt;https://www.rcpharm.org/medicines-safety/medicines-optimisation.asp&lt;/url&gt;&lt;/related-urls&gt;&lt;/urls&gt;&lt;/record&gt;&lt;/Cite&gt;&lt;/EndNote&gt;</w:instrText>
      </w:r>
      <w:r w:rsidR="003B0E1F" w:rsidRPr="002C21B8">
        <w:fldChar w:fldCharType="separate"/>
      </w:r>
      <w:r w:rsidR="005D7DBC" w:rsidRPr="002C21B8">
        <w:rPr>
          <w:noProof/>
        </w:rPr>
        <w:t>(Royal Pharmaceutical Society, 2013)</w:t>
      </w:r>
      <w:r w:rsidR="003B0E1F" w:rsidRPr="002C21B8">
        <w:fldChar w:fldCharType="end"/>
      </w:r>
      <w:r w:rsidR="003B0E1F" w:rsidRPr="002C21B8">
        <w:t xml:space="preserve">. </w:t>
      </w:r>
      <w:r w:rsidR="005444AB" w:rsidRPr="002C21B8">
        <w:t>Given this, it is not surprising that p</w:t>
      </w:r>
      <w:r w:rsidR="00C7450B" w:rsidRPr="002C21B8">
        <w:t xml:space="preserve">rescribing costs are </w:t>
      </w:r>
      <w:r w:rsidRPr="002C21B8">
        <w:t>the second highest area of spending after staffing costs</w:t>
      </w:r>
      <w:r w:rsidR="005444AB" w:rsidRPr="002C21B8">
        <w:t xml:space="preserve">. </w:t>
      </w:r>
      <w:r w:rsidR="005065FD" w:rsidRPr="002C21B8">
        <w:t>In 2023, t</w:t>
      </w:r>
      <w:r w:rsidR="0000312F" w:rsidRPr="002C21B8">
        <w:t>he total expenditure</w:t>
      </w:r>
      <w:r w:rsidR="001E796A" w:rsidRPr="002C21B8">
        <w:t xml:space="preserve"> on medic</w:t>
      </w:r>
      <w:r w:rsidR="00E6753D" w:rsidRPr="002C21B8">
        <w:t>ation</w:t>
      </w:r>
      <w:r w:rsidR="001E7CB6" w:rsidRPr="002C21B8">
        <w:t>s</w:t>
      </w:r>
      <w:r w:rsidR="0000312F" w:rsidRPr="002C21B8">
        <w:t xml:space="preserve"> </w:t>
      </w:r>
      <w:r w:rsidR="005444AB" w:rsidRPr="002C21B8">
        <w:t>in</w:t>
      </w:r>
      <w:r w:rsidR="0000312F" w:rsidRPr="002C21B8">
        <w:t xml:space="preserve"> NHS England </w:t>
      </w:r>
      <w:r w:rsidR="005444AB" w:rsidRPr="002C21B8">
        <w:t>alone was</w:t>
      </w:r>
      <w:r w:rsidR="0000312F" w:rsidRPr="002C21B8">
        <w:t xml:space="preserve"> </w:t>
      </w:r>
      <w:r w:rsidRPr="002C21B8">
        <w:t xml:space="preserve">£20.6 </w:t>
      </w:r>
      <w:r w:rsidR="0000312F" w:rsidRPr="002C21B8">
        <w:t xml:space="preserve">billion </w:t>
      </w:r>
      <w:r w:rsidR="0000312F" w:rsidRPr="002C21B8">
        <w:fldChar w:fldCharType="begin"/>
      </w:r>
      <w:r w:rsidR="003C2902" w:rsidRPr="002C21B8">
        <w:instrText xml:space="preserve"> ADDIN EN.CITE &lt;EndNote&gt;&lt;Cite&gt;&lt;Author&gt;NHS Business Services Authority&lt;/Author&gt;&lt;Year&gt;2024&lt;/Year&gt;&lt;RecNum&gt;5340&lt;/RecNum&gt;&lt;DisplayText&gt;(NHS Business Services Authority, 2024)&lt;/DisplayText&gt;&lt;record&gt;&lt;rec-number&gt;5340&lt;/rec-number&gt;&lt;foreign-keys&gt;&lt;key app="EN" db-id="xpefzwa5hf9dt2ea9fax95x7xvxz90v09dtf" timestamp="1701430621"&gt;5340&lt;/key&gt;&lt;/foreign-keys&gt;&lt;ref-type name="Web Page"&gt;12&lt;/ref-type&gt;&lt;contributors&gt;&lt;authors&gt;&lt;author&gt;NHS Business Services Authority,&lt;/author&gt;&lt;/authors&gt;&lt;/contributors&gt;&lt;titles&gt;&lt;title&gt;Prescribing Costs in Hospitals and the community - England 2023/2024&lt;/title&gt;&lt;/titles&gt;&lt;number&gt;01/03/2026)&lt;/number&gt;&lt;dates&gt;&lt;year&gt;2024&lt;/year&gt;&lt;/dates&gt;&lt;urls&gt;&lt;related-urls&gt;&lt;url&gt;https://www.nhsbsa.nhs.uk/statistical-collections/prescribing-costs-hospitals-and-community-england/prescribing-costs-hospitals-and-community-england-2023-24&lt;/url&gt;&lt;/related-urls&gt;&lt;/urls&gt;&lt;/record&gt;&lt;/Cite&gt;&lt;/EndNote&gt;</w:instrText>
      </w:r>
      <w:r w:rsidR="0000312F" w:rsidRPr="002C21B8">
        <w:fldChar w:fldCharType="separate"/>
      </w:r>
      <w:r w:rsidR="003C2902" w:rsidRPr="002C21B8">
        <w:rPr>
          <w:noProof/>
        </w:rPr>
        <w:t>(NHS Business Services Authority, 2024)</w:t>
      </w:r>
      <w:r w:rsidR="0000312F" w:rsidRPr="002C21B8">
        <w:fldChar w:fldCharType="end"/>
      </w:r>
      <w:r w:rsidRPr="002C21B8">
        <w:t>.</w:t>
      </w:r>
      <w:r w:rsidR="003B0E1F" w:rsidRPr="002C21B8">
        <w:t xml:space="preserve"> </w:t>
      </w:r>
      <w:r w:rsidR="0000312F" w:rsidRPr="002C21B8">
        <w:t>While prescribing is ubiquitous across the NHS, it is inherently complex and context-dependent</w:t>
      </w:r>
      <w:r w:rsidR="00AF15BF" w:rsidRPr="002C21B8">
        <w:t xml:space="preserve"> </w:t>
      </w:r>
      <w:r w:rsidR="00AF15BF" w:rsidRPr="002C21B8">
        <w:fldChar w:fldCharType="begin"/>
      </w:r>
      <w:r w:rsidR="00AF15BF" w:rsidRPr="002C21B8">
        <w:instrText xml:space="preserve"> ADDIN EN.CITE &lt;EndNote&gt;&lt;Cite&gt;&lt;Author&gt;Carter&lt;/Author&gt;&lt;Year&gt;2021&lt;/Year&gt;&lt;RecNum&gt;5041&lt;/RecNum&gt;&lt;DisplayText&gt;(Carter, Chapman and Watson, 2021)&lt;/DisplayText&gt;&lt;record&gt;&lt;rec-number&gt;5041&lt;/rec-number&gt;&lt;foreign-keys&gt;&lt;key app="EN" db-id="xpefzwa5hf9dt2ea9fax95x7xvxz90v09dtf" timestamp="1699899869"&gt;5041&lt;/key&gt;&lt;/foreign-keys&gt;&lt;ref-type name="Journal Article"&gt;17&lt;/ref-type&gt;&lt;contributors&gt;&lt;authors&gt;&lt;author&gt;Carter, M.&lt;/author&gt;&lt;author&gt;Chapman, S.&lt;/author&gt;&lt;author&gt;Watson, M. C.&lt;/author&gt;&lt;/authors&gt;&lt;/contributors&gt;&lt;auth-address&gt;Department of Pharmacy &amp;amp; Pharmacology, University of Bath, Bath, UK mdc50@bath.ac.uk.&amp;#xD;Department of Pharmacy &amp;amp; Pharmacology, University of Bath, Bath, UK.&amp;#xD;Strathclyde Institute of Pharmacy and Biomedical Sciences, University of Strathclyde, Glasgow, UK.&lt;/auth-address&gt;&lt;titles&gt;&lt;title&gt;Multiplicity and complexity: a qualitative exploration of influences on prescribing in UK general practice&lt;/title&gt;&lt;secondary-title&gt;BMJ Open&lt;/secondary-title&gt;&lt;/titles&gt;&lt;periodical&gt;&lt;full-title&gt;BMJ open&lt;/full-title&gt;&lt;/periodical&gt;&lt;pages&gt;e041460&lt;/pages&gt;&lt;volume&gt;11&lt;/volume&gt;&lt;number&gt;1&lt;/number&gt;&lt;edition&gt;20210111&lt;/edition&gt;&lt;keywords&gt;&lt;keyword&gt;Attitude of Health Personnel&lt;/keyword&gt;&lt;keyword&gt;England&lt;/keyword&gt;&lt;keyword&gt;*General Practice&lt;/keyword&gt;&lt;keyword&gt;Humans&lt;/keyword&gt;&lt;keyword&gt;Qualitative Research&lt;/keyword&gt;&lt;keyword&gt;*State Medicine&lt;/keyword&gt;&lt;keyword&gt;United Kingdom&lt;/keyword&gt;&lt;keyword&gt;organisation of health services&lt;/keyword&gt;&lt;keyword&gt;primary care&lt;/keyword&gt;&lt;keyword&gt;protocols &amp;amp; guidelines&lt;/keyword&gt;&lt;/keywords&gt;&lt;dates&gt;&lt;year&gt;2021&lt;/year&gt;&lt;pub-dates&gt;&lt;date&gt;Jan 11&lt;/date&gt;&lt;/pub-dates&gt;&lt;/dates&gt;&lt;isbn&gt;2044-6055&lt;/isbn&gt;&lt;accession-num&gt;33431490&lt;/accession-num&gt;&lt;urls&gt;&lt;/urls&gt;&lt;custom1&gt;Competing interests: None declared.&lt;/custom1&gt;&lt;custom2&gt;PMC7802664&lt;/custom2&gt;&lt;electronic-resource-num&gt;10.1136/bmjopen-2020-041460&lt;/electronic-resource-num&gt;&lt;remote-database-provider&gt;NLM&lt;/remote-database-provider&gt;&lt;language&gt;eng&lt;/language&gt;&lt;/record&gt;&lt;/Cite&gt;&lt;/EndNote&gt;</w:instrText>
      </w:r>
      <w:r w:rsidR="00AF15BF" w:rsidRPr="002C21B8">
        <w:fldChar w:fldCharType="separate"/>
      </w:r>
      <w:r w:rsidR="00AF15BF" w:rsidRPr="002C21B8">
        <w:t>(Carter, Chapman and Watson, 2021)</w:t>
      </w:r>
      <w:r w:rsidR="00AF15BF" w:rsidRPr="002C21B8">
        <w:fldChar w:fldCharType="end"/>
      </w:r>
      <w:r w:rsidR="0000312F" w:rsidRPr="002C21B8">
        <w:t xml:space="preserve">. </w:t>
      </w:r>
      <w:r w:rsidR="00845566" w:rsidRPr="002C21B8">
        <w:t xml:space="preserve">In many cases, the prescribing decisions of clinicians are multifactorial. </w:t>
      </w:r>
      <w:r w:rsidR="00C7450B" w:rsidRPr="002C21B8">
        <w:t>A b</w:t>
      </w:r>
      <w:r w:rsidR="00845566" w:rsidRPr="002C21B8">
        <w:t>etter u</w:t>
      </w:r>
      <w:r w:rsidR="0012316D" w:rsidRPr="002C21B8">
        <w:t xml:space="preserve">nderstanding </w:t>
      </w:r>
      <w:r w:rsidR="00845566" w:rsidRPr="002C21B8">
        <w:t>of the</w:t>
      </w:r>
      <w:r w:rsidR="0012316D" w:rsidRPr="002C21B8">
        <w:t xml:space="preserve"> factors </w:t>
      </w:r>
      <w:r w:rsidR="00845566" w:rsidRPr="002C21B8">
        <w:t>considered by clinicians</w:t>
      </w:r>
      <w:r w:rsidR="003C2902" w:rsidRPr="002C21B8">
        <w:t xml:space="preserve"> when making these decisions</w:t>
      </w:r>
      <w:r w:rsidR="00845566" w:rsidRPr="002C21B8">
        <w:t xml:space="preserve"> c</w:t>
      </w:r>
      <w:r w:rsidR="00C7450B" w:rsidRPr="002C21B8">
        <w:t>ould</w:t>
      </w:r>
      <w:r w:rsidR="00845566" w:rsidRPr="002C21B8">
        <w:t xml:space="preserve"> support</w:t>
      </w:r>
      <w:r w:rsidR="003C2902" w:rsidRPr="002C21B8">
        <w:t xml:space="preserve"> safer, more efficient and equitable </w:t>
      </w:r>
      <w:r w:rsidR="00440875" w:rsidRPr="002C21B8">
        <w:t>prescribing</w:t>
      </w:r>
      <w:r w:rsidR="00AF15BF" w:rsidRPr="002C21B8">
        <w:t xml:space="preserve"> </w:t>
      </w:r>
      <w:r w:rsidR="002C294C" w:rsidRPr="002C21B8">
        <w:fldChar w:fldCharType="begin"/>
      </w:r>
      <w:r w:rsidR="00590E88" w:rsidRPr="002C21B8">
        <w:instrText xml:space="preserve"> ADDIN EN.CITE &lt;EndNote&gt;&lt;Cite&gt;&lt;Author&gt;Maxwell&lt;/Author&gt;&lt;Year&gt;2016&lt;/Year&gt;&lt;RecNum&gt;5296&lt;/RecNum&gt;&lt;DisplayText&gt;(Maxwell, 2016)&lt;/DisplayText&gt;&lt;record&gt;&lt;rec-number&gt;5296&lt;/rec-number&gt;&lt;foreign-keys&gt;&lt;key app="EN" db-id="xpefzwa5hf9dt2ea9fax95x7xvxz90v09dtf" timestamp="1701256917"&gt;5296&lt;/key&gt;&lt;/foreign-keys&gt;&lt;ref-type name="Journal Article"&gt;17&lt;/ref-type&gt;&lt;contributors&gt;&lt;authors&gt;&lt;author&gt;Maxwell, S. R.&lt;/author&gt;&lt;/authors&gt;&lt;/contributors&gt;&lt;auth-address&gt;University of Edinburgh, Edinburgh, UK and honorary consultant physician, Western General Hospital, Edinburgh, UK s.maxwell@ed.ac.uk.&lt;/auth-address&gt;&lt;titles&gt;&lt;title&gt;Rational prescribing: the principles of drug selection&lt;/title&gt;&lt;secondary-title&gt;Clinical Medicine&lt;/secondary-title&gt;&lt;/titles&gt;&lt;periodical&gt;&lt;full-title&gt;Clinical Medicine&lt;/full-title&gt;&lt;/periodical&gt;&lt;pages&gt;459-464&lt;/pages&gt;&lt;volume&gt;16&lt;/volume&gt;&lt;number&gt;5&lt;/number&gt;&lt;keywords&gt;&lt;keyword&gt;*Drug Prescriptions&lt;/keyword&gt;&lt;keyword&gt;*Drug Therapy/methods/standards&lt;/keyword&gt;&lt;keyword&gt;Humans&lt;/keyword&gt;&lt;keyword&gt;Precision Medicine&lt;/keyword&gt;&lt;keyword&gt;Drug selection&lt;/keyword&gt;&lt;keyword&gt;interindividual variation&lt;/keyword&gt;&lt;keyword&gt;monitoring therapy&lt;/keyword&gt;&lt;keyword&gt;personalised medicine&lt;/keyword&gt;&lt;keyword&gt;prescribing&lt;/keyword&gt;&lt;keyword&gt;rational prescribing&lt;/keyword&gt;&lt;/keywords&gt;&lt;dates&gt;&lt;year&gt;2016&lt;/year&gt;&lt;pub-dates&gt;&lt;date&gt;Oct&lt;/date&gt;&lt;/pub-dates&gt;&lt;/dates&gt;&lt;isbn&gt;1470-2118 (Print)&amp;#xD;1470-2118&lt;/isbn&gt;&lt;accession-num&gt;27697811&lt;/accession-num&gt;&lt;urls&gt;&lt;/urls&gt;&lt;custom2&gt;PMC6297291&lt;/custom2&gt;&lt;electronic-resource-num&gt;10.7861/clinmedicine.16-5-459&lt;/electronic-resource-num&gt;&lt;remote-database-provider&gt;NLM&lt;/remote-database-provider&gt;&lt;language&gt;eng&lt;/language&gt;&lt;/record&gt;&lt;/Cite&gt;&lt;/EndNote&gt;</w:instrText>
      </w:r>
      <w:r w:rsidR="002C294C" w:rsidRPr="002C21B8">
        <w:fldChar w:fldCharType="separate"/>
      </w:r>
      <w:r w:rsidR="002C294C" w:rsidRPr="002C21B8">
        <w:rPr>
          <w:noProof/>
        </w:rPr>
        <w:t>(Maxwell, 2016)</w:t>
      </w:r>
      <w:r w:rsidR="002C294C" w:rsidRPr="002C21B8">
        <w:fldChar w:fldCharType="end"/>
      </w:r>
      <w:r w:rsidR="002C294C" w:rsidRPr="002C21B8">
        <w:t>.</w:t>
      </w:r>
      <w:r w:rsidR="00440875" w:rsidRPr="002C21B8">
        <w:t xml:space="preserve"> The first step toward</w:t>
      </w:r>
      <w:r w:rsidR="00845566" w:rsidRPr="002C21B8">
        <w:t>s</w:t>
      </w:r>
      <w:r w:rsidR="00440875" w:rsidRPr="002C21B8">
        <w:t xml:space="preserve"> understanding how </w:t>
      </w:r>
      <w:r w:rsidR="00E96BFE" w:rsidRPr="002C21B8">
        <w:t>prescribing</w:t>
      </w:r>
      <w:r w:rsidR="00440875" w:rsidRPr="002C21B8">
        <w:t xml:space="preserve"> decisions are made is to consider the prescribing process itself</w:t>
      </w:r>
      <w:r w:rsidR="00845566" w:rsidRPr="002C21B8">
        <w:t xml:space="preserve"> which is discussed in the following sections.</w:t>
      </w:r>
    </w:p>
    <w:p w14:paraId="63DE9B1D" w14:textId="6AE4EA3A" w:rsidR="002C294C" w:rsidRPr="002C21B8" w:rsidRDefault="003B0E1F" w:rsidP="004507C8">
      <w:pPr>
        <w:pStyle w:val="Heading3"/>
      </w:pPr>
      <w:bookmarkStart w:id="31" w:name="_The_prescribing_process"/>
      <w:bookmarkEnd w:id="31"/>
      <w:r w:rsidRPr="002C21B8">
        <w:t>The prescribing process</w:t>
      </w:r>
    </w:p>
    <w:p w14:paraId="1AEFDA5C" w14:textId="21BC66E9" w:rsidR="003C2902" w:rsidRPr="002C21B8" w:rsidRDefault="00B4072E" w:rsidP="00DF02D1">
      <w:r w:rsidRPr="002C21B8">
        <w:t xml:space="preserve">Prescribing is a complex, multi-step process that involves a range of stakeholders. The key steps are outlined in the </w:t>
      </w:r>
      <w:r w:rsidR="009B379D" w:rsidRPr="002C21B8">
        <w:t>World Health Organisation (WHO) guide to good prescribing</w:t>
      </w:r>
      <w:r w:rsidR="00C7450B" w:rsidRPr="002C21B8">
        <w:t xml:space="preserve"> </w:t>
      </w:r>
      <w:r w:rsidR="00C7450B" w:rsidRPr="002C21B8">
        <w:fldChar w:fldCharType="begin"/>
      </w:r>
      <w:r w:rsidR="00C7450B" w:rsidRPr="002C21B8">
        <w:instrText xml:space="preserve"> ADDIN EN.CITE &lt;EndNote&gt;&lt;Cite&gt;&lt;Author&gt;De Vries&lt;/Author&gt;&lt;Year&gt;1994&lt;/Year&gt;&lt;RecNum&gt;125346&lt;/RecNum&gt;&lt;DisplayText&gt;(De Vries&lt;style face="italic"&gt; et al.&lt;/style&gt;, 1994)&lt;/DisplayText&gt;&lt;record&gt;&lt;rec-number&gt;125346&lt;/rec-number&gt;&lt;foreign-keys&gt;&lt;key app="EN" db-id="xpefzwa5hf9dt2ea9fax95x7xvxz90v09dtf" timestamp="1775215157"&gt;125346&lt;/key&gt;&lt;/foreign-keys&gt;&lt;ref-type name="Web Page"&gt;12&lt;/ref-type&gt;&lt;contributors&gt;&lt;authors&gt;&lt;author&gt;De Vries, TPG&lt;/author&gt;&lt;author&gt;Henning, Rob H&lt;/author&gt;&lt;author&gt;Hogerzeil, Hans V&lt;/author&gt;&lt;author&gt;Fresle, DA&lt;/author&gt;&lt;/authors&gt;&lt;/contributors&gt;&lt;titles&gt;&lt;title&gt;Guide to good prescribing: a practical manual&lt;/title&gt;&lt;/titles&gt;&lt;number&gt;15/03/2026)&lt;/number&gt;&lt;dates&gt;&lt;year&gt;1994&lt;/year&gt;&lt;/dates&gt;&lt;publisher&gt;World Health Organization&lt;/publisher&gt;&lt;urls&gt;&lt;related-urls&gt;&lt;url&gt;https://iris.who.int/bitstreams/4e79820f-9519-4687-91f6-38b89f96d334/download&lt;/url&gt;&lt;/related-urls&gt;&lt;/urls&gt;&lt;/record&gt;&lt;/Cite&gt;&lt;/EndNote&gt;</w:instrText>
      </w:r>
      <w:r w:rsidR="00C7450B" w:rsidRPr="002C21B8">
        <w:fldChar w:fldCharType="separate"/>
      </w:r>
      <w:r w:rsidR="00C7450B" w:rsidRPr="002C21B8">
        <w:rPr>
          <w:noProof/>
        </w:rPr>
        <w:t>(De Vries</w:t>
      </w:r>
      <w:r w:rsidR="00C7450B" w:rsidRPr="002C21B8">
        <w:rPr>
          <w:i/>
          <w:noProof/>
        </w:rPr>
        <w:t xml:space="preserve"> et al.</w:t>
      </w:r>
      <w:r w:rsidR="00C7450B" w:rsidRPr="002C21B8">
        <w:rPr>
          <w:noProof/>
        </w:rPr>
        <w:t>, 1994)</w:t>
      </w:r>
      <w:r w:rsidR="00C7450B" w:rsidRPr="002C21B8">
        <w:fldChar w:fldCharType="end"/>
      </w:r>
      <w:r w:rsidR="006C00A2" w:rsidRPr="002C21B8">
        <w:t xml:space="preserve">, </w:t>
      </w:r>
      <w:r w:rsidR="009B379D" w:rsidRPr="002C21B8">
        <w:t>illustrated in</w:t>
      </w:r>
      <w:r w:rsidR="004F6912" w:rsidRPr="002C21B8">
        <w:t xml:space="preserve"> </w:t>
      </w:r>
      <w:r w:rsidR="004F6912" w:rsidRPr="002C21B8">
        <w:fldChar w:fldCharType="begin"/>
      </w:r>
      <w:r w:rsidR="004F6912" w:rsidRPr="002C21B8">
        <w:instrText xml:space="preserve"> REF _Ref226743017 \h </w:instrText>
      </w:r>
      <w:r w:rsidR="00B56060" w:rsidRPr="002C21B8">
        <w:instrText xml:space="preserve"> \* MERGEFORMAT </w:instrText>
      </w:r>
      <w:r w:rsidR="004F6912" w:rsidRPr="002C21B8">
        <w:fldChar w:fldCharType="separate"/>
      </w:r>
      <w:r w:rsidR="00DB3709" w:rsidRPr="002C21B8">
        <w:t xml:space="preserve">Figure </w:t>
      </w:r>
      <w:r w:rsidR="00DB3709">
        <w:rPr>
          <w:noProof/>
        </w:rPr>
        <w:t>1</w:t>
      </w:r>
      <w:r w:rsidR="004F6912" w:rsidRPr="002C21B8">
        <w:fldChar w:fldCharType="end"/>
      </w:r>
      <w:bookmarkStart w:id="32" w:name="_Ref217282632"/>
      <w:r w:rsidR="003B0E1F" w:rsidRPr="002C21B8">
        <w:t>.</w:t>
      </w:r>
      <w:r w:rsidR="003C2902" w:rsidRPr="002C21B8">
        <w:t xml:space="preserve"> Although it was developed in the 1990s, </w:t>
      </w:r>
      <w:r w:rsidRPr="002C21B8">
        <w:t xml:space="preserve">this description of the prescribing process remains widely used due to its simplicity and relevance to decision-making in clinical practice </w:t>
      </w:r>
      <w:r w:rsidR="003C2902" w:rsidRPr="002C21B8">
        <w:fldChar w:fldCharType="begin"/>
      </w:r>
      <w:r w:rsidR="003C2902" w:rsidRPr="002C21B8">
        <w:instrText xml:space="preserve"> ADDIN EN.CITE &lt;EndNote&gt;&lt;Cite&gt;&lt;Author&gt;Tichelaar&lt;/Author&gt;&lt;Year&gt;2020&lt;/Year&gt;&lt;RecNum&gt;125540&lt;/RecNum&gt;&lt;DisplayText&gt;(Tichelaar&lt;style face="italic"&gt; et al.&lt;/style&gt;, 2020)&lt;/DisplayText&gt;&lt;record&gt;&lt;rec-number&gt;125540&lt;/rec-number&gt;&lt;foreign-keys&gt;&lt;key app="EN" db-id="xpefzwa5hf9dt2ea9fax95x7xvxz90v09dtf" timestamp="1777570739"&gt;125540&lt;/key&gt;&lt;/foreign-keys&gt;&lt;ref-type name="Journal Article"&gt;17&lt;/ref-type&gt;&lt;contributors&gt;&lt;authors&gt;&lt;author&gt;Tichelaar, J&lt;/author&gt;&lt;author&gt;Richir, MC&lt;/author&gt;&lt;author&gt;Garner, S&lt;/author&gt;&lt;author&gt;Hogerzeil, H&lt;/author&gt;&lt;author&gt;de Vries, Th PGM&lt;/author&gt;&lt;/authors&gt;&lt;/contributors&gt;&lt;titles&gt;&lt;title&gt;WHO guide to good prescribing is 25 years old: quo vadis?&lt;/title&gt;&lt;secondary-title&gt;European Journal of Clinical Pharmacology&lt;/secondary-title&gt;&lt;/titles&gt;&lt;periodical&gt;&lt;full-title&gt;European journal of clinical pharmacology&lt;/full-title&gt;&lt;/periodical&gt;&lt;pages&gt;507-513&lt;/pages&gt;&lt;volume&gt;76&lt;/volume&gt;&lt;number&gt;4&lt;/number&gt;&lt;dates&gt;&lt;year&gt;2020&lt;/year&gt;&lt;/dates&gt;&lt;isbn&gt;0031-6970&lt;/isbn&gt;&lt;urls&gt;&lt;/urls&gt;&lt;/record&gt;&lt;/Cite&gt;&lt;/EndNote&gt;</w:instrText>
      </w:r>
      <w:r w:rsidR="003C2902" w:rsidRPr="002C21B8">
        <w:fldChar w:fldCharType="separate"/>
      </w:r>
      <w:r w:rsidR="003C2902" w:rsidRPr="002C21B8">
        <w:rPr>
          <w:noProof/>
        </w:rPr>
        <w:t>(Tichelaar</w:t>
      </w:r>
      <w:r w:rsidR="003C2902" w:rsidRPr="002C21B8">
        <w:rPr>
          <w:i/>
          <w:noProof/>
        </w:rPr>
        <w:t xml:space="preserve"> et al.</w:t>
      </w:r>
      <w:r w:rsidR="003C2902" w:rsidRPr="002C21B8">
        <w:rPr>
          <w:noProof/>
        </w:rPr>
        <w:t>, 2020)</w:t>
      </w:r>
      <w:r w:rsidR="003C2902" w:rsidRPr="002C21B8">
        <w:fldChar w:fldCharType="end"/>
      </w:r>
      <w:r w:rsidR="003C2902" w:rsidRPr="002C21B8">
        <w:t xml:space="preserve">. </w:t>
      </w:r>
      <w:r w:rsidRPr="002C21B8">
        <w:t xml:space="preserve">However, it is important to recognise that this process does not reflect the shift in healthcare from </w:t>
      </w:r>
      <w:r w:rsidR="008338D5" w:rsidRPr="002C21B8">
        <w:t>medical paternalism</w:t>
      </w:r>
      <w:r w:rsidR="006A66B1" w:rsidRPr="002C21B8">
        <w:t xml:space="preserve"> </w:t>
      </w:r>
      <w:r w:rsidR="003C2902" w:rsidRPr="002C21B8">
        <w:t>to patient-centred care and shared decision-making</w:t>
      </w:r>
      <w:r w:rsidRPr="002C21B8">
        <w:t xml:space="preserve"> </w:t>
      </w:r>
      <w:r w:rsidRPr="002C21B8">
        <w:lastRenderedPageBreak/>
        <w:fldChar w:fldCharType="begin"/>
      </w:r>
      <w:r w:rsidRPr="002C21B8">
        <w:instrText xml:space="preserve"> ADDIN EN.CITE &lt;EndNote&gt;&lt;Cite&gt;&lt;Author&gt;Sandman&lt;/Author&gt;&lt;Year&gt;2010&lt;/Year&gt;&lt;RecNum&gt;125542&lt;/RecNum&gt;&lt;DisplayText&gt;(Sandman and Munthe, 2010)&lt;/DisplayText&gt;&lt;record&gt;&lt;rec-number&gt;125542&lt;/rec-number&gt;&lt;foreign-keys&gt;&lt;key app="EN" db-id="xpefzwa5hf9dt2ea9fax95x7xvxz90v09dtf" timestamp="1777572699"&gt;125542&lt;/key&gt;&lt;/foreign-keys&gt;&lt;ref-type name="Journal Article"&gt;17&lt;/ref-type&gt;&lt;contributors&gt;&lt;authors&gt;&lt;author&gt;Sandman, Lars&lt;/author&gt;&lt;author&gt;Munthe, Christian&lt;/author&gt;&lt;/authors&gt;&lt;/contributors&gt;&lt;titles&gt;&lt;title&gt;Shared decision making, paternalism and patient choice&lt;/title&gt;&lt;secondary-title&gt;Health Care Analysis&lt;/secondary-title&gt;&lt;/titles&gt;&lt;periodical&gt;&lt;full-title&gt;Health care analysis&lt;/full-title&gt;&lt;/periodical&gt;&lt;pages&gt;60-84&lt;/pages&gt;&lt;volume&gt;18&lt;/volume&gt;&lt;number&gt;1&lt;/number&gt;&lt;dates&gt;&lt;year&gt;2010&lt;/year&gt;&lt;/dates&gt;&lt;isbn&gt;1065-3058&lt;/isbn&gt;&lt;urls&gt;&lt;/urls&gt;&lt;/record&gt;&lt;/Cite&gt;&lt;/EndNote&gt;</w:instrText>
      </w:r>
      <w:r w:rsidRPr="002C21B8">
        <w:fldChar w:fldCharType="separate"/>
      </w:r>
      <w:r w:rsidRPr="002C21B8">
        <w:rPr>
          <w:noProof/>
        </w:rPr>
        <w:t>(Sandman and Munthe, 2010)</w:t>
      </w:r>
      <w:r w:rsidRPr="002C21B8">
        <w:fldChar w:fldCharType="end"/>
      </w:r>
      <w:r w:rsidRPr="002C21B8">
        <w:t xml:space="preserve">. For this reason, these aspects have been incorporated into the descriptions of the six steps of the prescribing process in the following </w:t>
      </w:r>
      <w:r w:rsidR="002527CC" w:rsidRPr="002C21B8">
        <w:t>sub</w:t>
      </w:r>
      <w:r w:rsidRPr="002C21B8">
        <w:t>sections.</w:t>
      </w:r>
    </w:p>
    <w:p w14:paraId="3F8DA8B2" w14:textId="63A09F68" w:rsidR="00796AAC" w:rsidRPr="002C21B8" w:rsidRDefault="00EC68E1" w:rsidP="00DF02D1">
      <w:pPr>
        <w:pStyle w:val="Caption"/>
        <w:keepNext w:val="0"/>
        <w:rPr>
          <w:noProof w:val="0"/>
        </w:rPr>
      </w:pPr>
      <w:bookmarkStart w:id="33" w:name="_Ref226743017"/>
      <w:bookmarkStart w:id="34" w:name="_Toc236991759"/>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w:t>
      </w:r>
      <w:r w:rsidR="001B725E" w:rsidRPr="002C21B8">
        <w:rPr>
          <w:noProof w:val="0"/>
        </w:rPr>
        <w:fldChar w:fldCharType="end"/>
      </w:r>
      <w:bookmarkEnd w:id="32"/>
      <w:bookmarkEnd w:id="33"/>
      <w:r w:rsidRPr="002C21B8">
        <w:rPr>
          <w:noProof w:val="0"/>
        </w:rPr>
        <w:t xml:space="preserve">. </w:t>
      </w:r>
      <w:r w:rsidR="00E51D10" w:rsidRPr="002C21B8">
        <w:rPr>
          <w:noProof w:val="0"/>
        </w:rPr>
        <w:t xml:space="preserve">The </w:t>
      </w:r>
      <w:r w:rsidRPr="002C21B8">
        <w:rPr>
          <w:noProof w:val="0"/>
        </w:rPr>
        <w:t>prescribing proces</w:t>
      </w:r>
      <w:r w:rsidR="00796AAC" w:rsidRPr="002C21B8">
        <w:rPr>
          <w:noProof w:val="0"/>
        </w:rPr>
        <w:t>s</w:t>
      </w:r>
      <w:r w:rsidR="00E51D10" w:rsidRPr="002C21B8">
        <w:rPr>
          <w:noProof w:val="0"/>
        </w:rPr>
        <w:t xml:space="preserve"> </w:t>
      </w:r>
      <w:r w:rsidR="00BF0449" w:rsidRPr="002C21B8">
        <w:rPr>
          <w:noProof w:val="0"/>
        </w:rPr>
        <w:t>based on</w:t>
      </w:r>
      <w:r w:rsidR="0059277A" w:rsidRPr="002C21B8">
        <w:rPr>
          <w:noProof w:val="0"/>
        </w:rPr>
        <w:t xml:space="preserve"> the</w:t>
      </w:r>
      <w:r w:rsidR="00BF0449" w:rsidRPr="002C21B8">
        <w:rPr>
          <w:noProof w:val="0"/>
        </w:rPr>
        <w:t xml:space="preserve"> WHO</w:t>
      </w:r>
      <w:r w:rsidR="00892505" w:rsidRPr="002C21B8">
        <w:rPr>
          <w:noProof w:val="0"/>
        </w:rPr>
        <w:t xml:space="preserve"> 6-step model</w:t>
      </w:r>
      <w:r w:rsidR="00796AAC" w:rsidRPr="002C21B8">
        <w:rPr>
          <w:noProof w:val="0"/>
        </w:rPr>
        <w:t xml:space="preserve"> </w:t>
      </w:r>
      <w:r w:rsidR="00796AAC" w:rsidRPr="002C21B8">
        <w:rPr>
          <w:noProof w:val="0"/>
        </w:rPr>
        <w:fldChar w:fldCharType="begin"/>
      </w:r>
      <w:r w:rsidR="00D27FD1" w:rsidRPr="002C21B8">
        <w:rPr>
          <w:noProof w:val="0"/>
        </w:rPr>
        <w:instrText xml:space="preserve"> ADDIN EN.CITE &lt;EndNote&gt;&lt;Cite&gt;&lt;Author&gt;De Vries&lt;/Author&gt;&lt;Year&gt;1994&lt;/Year&gt;&lt;RecNum&gt;125346&lt;/RecNum&gt;&lt;DisplayText&gt;(De Vries&lt;style face="italic"&gt; et al.&lt;/style&gt;, 1994)&lt;/DisplayText&gt;&lt;record&gt;&lt;rec-number&gt;125346&lt;/rec-number&gt;&lt;foreign-keys&gt;&lt;key app="EN" db-id="xpefzwa5hf9dt2ea9fax95x7xvxz90v09dtf" timestamp="1775215157"&gt;125346&lt;/key&gt;&lt;/foreign-keys&gt;&lt;ref-type name="Web Page"&gt;12&lt;/ref-type&gt;&lt;contributors&gt;&lt;authors&gt;&lt;author&gt;De Vries, TPG&lt;/author&gt;&lt;author&gt;Henning, Rob H&lt;/author&gt;&lt;author&gt;Hogerzeil, Hans V&lt;/author&gt;&lt;author&gt;Fresle, DA&lt;/author&gt;&lt;/authors&gt;&lt;/contributors&gt;&lt;titles&gt;&lt;title&gt;Guide to good prescribing: a practical manual&lt;/title&gt;&lt;/titles&gt;&lt;number&gt;15/03/2026)&lt;/number&gt;&lt;dates&gt;&lt;year&gt;1994&lt;/year&gt;&lt;/dates&gt;&lt;publisher&gt;World Health Organization&lt;/publisher&gt;&lt;urls&gt;&lt;related-urls&gt;&lt;url&gt;https://iris.who.int/bitstreams/4e79820f-9519-4687-91f6-38b89f96d334/download&lt;/url&gt;&lt;/related-urls&gt;&lt;/urls&gt;&lt;/record&gt;&lt;/Cite&gt;&lt;/EndNote&gt;</w:instrText>
      </w:r>
      <w:r w:rsidR="00796AAC" w:rsidRPr="002C21B8">
        <w:rPr>
          <w:noProof w:val="0"/>
        </w:rPr>
        <w:fldChar w:fldCharType="separate"/>
      </w:r>
      <w:r w:rsidR="00796AAC" w:rsidRPr="002C21B8">
        <w:t>(De Vries et al., 1994)</w:t>
      </w:r>
      <w:bookmarkEnd w:id="34"/>
      <w:r w:rsidR="00796AAC" w:rsidRPr="002C21B8">
        <w:rPr>
          <w:noProof w:val="0"/>
        </w:rPr>
        <w:fldChar w:fldCharType="end"/>
      </w:r>
    </w:p>
    <w:p w14:paraId="52AC3EA9" w14:textId="41484FC4" w:rsidR="00DB254E" w:rsidRPr="002C21B8" w:rsidRDefault="00C27F85" w:rsidP="00DF02D1">
      <w:pPr>
        <w:spacing w:line="240" w:lineRule="auto"/>
      </w:pPr>
      <w:r w:rsidRPr="002C21B8">
        <w:rPr>
          <w:noProof/>
        </w:rPr>
        <w:drawing>
          <wp:inline distT="0" distB="0" distL="0" distR="0" wp14:anchorId="2270AF8C" wp14:editId="3D7E474B">
            <wp:extent cx="5688256" cy="2962141"/>
            <wp:effectExtent l="0" t="0" r="0" b="0"/>
            <wp:docPr id="995766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66199" name=""/>
                    <pic:cNvPicPr/>
                  </pic:nvPicPr>
                  <pic:blipFill rotWithShape="1">
                    <a:blip r:embed="rId17"/>
                    <a:srcRect t="-7450" b="-6824"/>
                    <a:stretch/>
                  </pic:blipFill>
                  <pic:spPr bwMode="auto">
                    <a:xfrm>
                      <a:off x="0" y="0"/>
                      <a:ext cx="5689949" cy="2963023"/>
                    </a:xfrm>
                    <a:prstGeom prst="rect">
                      <a:avLst/>
                    </a:prstGeom>
                    <a:ln>
                      <a:noFill/>
                    </a:ln>
                    <a:extLst>
                      <a:ext uri="{53640926-AAD7-44D8-BBD7-CCE9431645EC}">
                        <a14:shadowObscured xmlns:a14="http://schemas.microsoft.com/office/drawing/2010/main"/>
                      </a:ext>
                    </a:extLst>
                  </pic:spPr>
                </pic:pic>
              </a:graphicData>
            </a:graphic>
          </wp:inline>
        </w:drawing>
      </w:r>
    </w:p>
    <w:p w14:paraId="74AC6FEC" w14:textId="5978BFCB" w:rsidR="002C294C" w:rsidRPr="002C21B8" w:rsidRDefault="002C294C" w:rsidP="00ED2D36">
      <w:pPr>
        <w:pStyle w:val="Heading4"/>
      </w:pPr>
      <w:r w:rsidRPr="002C21B8">
        <w:t xml:space="preserve">Identify </w:t>
      </w:r>
      <w:r w:rsidR="000E133A" w:rsidRPr="002C21B8">
        <w:t xml:space="preserve">the </w:t>
      </w:r>
      <w:r w:rsidRPr="002C21B8">
        <w:t>problem</w:t>
      </w:r>
    </w:p>
    <w:p w14:paraId="3643139D" w14:textId="01629BBD" w:rsidR="0058483D" w:rsidRPr="002C21B8" w:rsidRDefault="0058483D" w:rsidP="0058483D">
      <w:r w:rsidRPr="002C21B8">
        <w:t>I</w:t>
      </w:r>
      <w:r w:rsidR="00DE4CFB" w:rsidRPr="002C21B8">
        <w:t>dentifying</w:t>
      </w:r>
      <w:r w:rsidR="001112CE" w:rsidRPr="002C21B8">
        <w:t xml:space="preserve"> </w:t>
      </w:r>
      <w:r w:rsidR="003F5DF3" w:rsidRPr="002C21B8">
        <w:t xml:space="preserve">a </w:t>
      </w:r>
      <w:r w:rsidR="00DE4CFB" w:rsidRPr="002C21B8">
        <w:t>patient’s</w:t>
      </w:r>
      <w:r w:rsidR="001112CE" w:rsidRPr="002C21B8">
        <w:t xml:space="preserve"> health problem</w:t>
      </w:r>
      <w:r w:rsidR="00DE4CFB" w:rsidRPr="002C21B8">
        <w:t xml:space="preserve"> </w:t>
      </w:r>
      <w:r w:rsidR="00F601C1" w:rsidRPr="002C21B8">
        <w:t>entails</w:t>
      </w:r>
      <w:r w:rsidR="003F5DF3" w:rsidRPr="002C21B8">
        <w:t xml:space="preserve"> reviewing clinical history, examination and investigation </w:t>
      </w:r>
      <w:r w:rsidR="00722B47" w:rsidRPr="002C21B8">
        <w:t>finding</w:t>
      </w:r>
      <w:r w:rsidR="003F5DF3" w:rsidRPr="002C21B8">
        <w:t xml:space="preserve">s to determine whether they are eligible for treatment. This can be based on the available evidence, guideline recommendations and patient characteristics </w:t>
      </w:r>
      <w:r w:rsidR="00CB10A3" w:rsidRPr="002C21B8">
        <w:fldChar w:fldCharType="begin"/>
      </w:r>
      <w:r w:rsidR="00502953" w:rsidRPr="002C21B8">
        <w:instrText xml:space="preserve"> ADDIN EN.CITE &lt;EndNote&gt;&lt;Cite&gt;&lt;Author&gt;Thistlethwaite&lt;/Author&gt;&lt;Year&gt;2010&lt;/Year&gt;&lt;RecNum&gt;17604&lt;/RecNum&gt;&lt;DisplayText&gt;(Thistlethwaite, Ajjawi and Aslani, 2010)&lt;/DisplayText&gt;&lt;record&gt;&lt;rec-number&gt;17604&lt;/rec-number&gt;&lt;foreign-keys&gt;&lt;key app="EN" db-id="xpefzwa5hf9dt2ea9fax95x7xvxz90v09dtf" timestamp="1727876040"&gt;17604&lt;/key&gt;&lt;/foreign-keys&gt;&lt;ref-type name="Journal Article"&gt;17&lt;/ref-type&gt;&lt;contributors&gt;&lt;authors&gt;&lt;author&gt;Thistlethwaite, JE&lt;/author&gt;&lt;author&gt;Ajjawi, Rola&lt;/author&gt;&lt;author&gt;Aslani, Parisa&lt;/author&gt;&lt;/authors&gt;&lt;/contributors&gt;&lt;titles&gt;&lt;title&gt;The decision to prescribe: influences and choice&lt;/title&gt;&lt;secondary-title&gt;InnovAiT&lt;/secondary-title&gt;&lt;/titles&gt;&lt;periodical&gt;&lt;full-title&gt;InnovAiT&lt;/full-title&gt;&lt;/periodical&gt;&lt;pages&gt;237-243&lt;/pages&gt;&lt;volume&gt;3&lt;/volume&gt;&lt;number&gt;4&lt;/number&gt;&lt;dates&gt;&lt;year&gt;2010&lt;/year&gt;&lt;/dates&gt;&lt;urls&gt;&lt;/urls&gt;&lt;/record&gt;&lt;/Cite&gt;&lt;/EndNote&gt;</w:instrText>
      </w:r>
      <w:r w:rsidR="00CB10A3" w:rsidRPr="002C21B8">
        <w:fldChar w:fldCharType="separate"/>
      </w:r>
      <w:r w:rsidR="00CB10A3" w:rsidRPr="002C21B8">
        <w:rPr>
          <w:noProof/>
        </w:rPr>
        <w:t>(Thistlethwaite, Ajjawi and Aslani, 2010)</w:t>
      </w:r>
      <w:r w:rsidR="00CB10A3" w:rsidRPr="002C21B8">
        <w:fldChar w:fldCharType="end"/>
      </w:r>
      <w:r w:rsidR="003F5DF3" w:rsidRPr="002C21B8">
        <w:t xml:space="preserve">. Contextual factors at the clinician-level such as their experience with the condition or </w:t>
      </w:r>
      <w:r w:rsidR="007138F2" w:rsidRPr="002C21B8">
        <w:t>medic</w:t>
      </w:r>
      <w:r w:rsidR="000905FC" w:rsidRPr="002C21B8">
        <w:t>ation</w:t>
      </w:r>
      <w:r w:rsidR="00722B47" w:rsidRPr="002C21B8">
        <w:t>,</w:t>
      </w:r>
      <w:r w:rsidR="003F5DF3" w:rsidRPr="002C21B8">
        <w:t xml:space="preserve"> or system-level such as time pressures or resource availability may influence </w:t>
      </w:r>
      <w:r w:rsidR="00722B47" w:rsidRPr="002C21B8">
        <w:t xml:space="preserve">this step of the prescribing process </w:t>
      </w:r>
      <w:r w:rsidR="00CB10A3" w:rsidRPr="002C21B8">
        <w:fldChar w:fldCharType="begin"/>
      </w:r>
      <w:r w:rsidR="000215B0" w:rsidRPr="002C21B8">
        <w:instrText xml:space="preserve"> ADDIN EN.CITE &lt;EndNote&gt;&lt;Cite&gt;&lt;Author&gt;Freedman&lt;/Author&gt;&lt;Year&gt;2021&lt;/Year&gt;&lt;RecNum&gt;125130&lt;/RecNum&gt;&lt;DisplayText&gt;(Freedman&lt;style face="italic"&gt; et al.&lt;/style&gt;, 2021; Vreugdenhil&lt;style face="italic"&gt; et al.&lt;/style&gt;, 2023)&lt;/DisplayText&gt;&lt;record&gt;&lt;rec-number&gt;125130&lt;/rec-number&gt;&lt;foreign-keys&gt;&lt;key app="EN" db-id="xpefzwa5hf9dt2ea9fax95x7xvxz90v09dtf" timestamp="1766390875"&gt;125130&lt;/key&gt;&lt;/foreign-keys&gt;&lt;ref-type name="Journal Article"&gt;17&lt;/ref-type&gt;&lt;contributors&gt;&lt;authors&gt;&lt;author&gt;Freedman, Seth&lt;/author&gt;&lt;author&gt;Golberstein, Ezra&lt;/author&gt;&lt;author&gt;Huang, Tsan-Yao&lt;/author&gt;&lt;author&gt;Satin, David J&lt;/author&gt;&lt;author&gt;Smith, Laura Barrie&lt;/author&gt;&lt;/authors&gt;&lt;/contributors&gt;&lt;titles&gt;&lt;title&gt;Docs with their eyes on the clock? The effect of time pressures on primary care productivity&lt;/title&gt;&lt;secondary-title&gt;Journal of Health Economics&lt;/secondary-title&gt;&lt;/titles&gt;&lt;periodical&gt;&lt;full-title&gt;Journal of health economics&lt;/full-title&gt;&lt;/periodical&gt;&lt;pages&gt;102442&lt;/pages&gt;&lt;volume&gt;77&lt;/volume&gt;&lt;dates&gt;&lt;year&gt;2021&lt;/year&gt;&lt;/dates&gt;&lt;isbn&gt;0167-6296&lt;/isbn&gt;&lt;urls&gt;&lt;/urls&gt;&lt;/record&gt;&lt;/Cite&gt;&lt;Cite&gt;&lt;Author&gt;Vreugdenhil&lt;/Author&gt;&lt;Year&gt;2023&lt;/Year&gt;&lt;RecNum&gt;125129&lt;/RecNum&gt;&lt;record&gt;&lt;rec-number&gt;125129&lt;/rec-number&gt;&lt;foreign-keys&gt;&lt;key app="EN" db-id="xpefzwa5hf9dt2ea9fax95x7xvxz90v09dtf" timestamp="1766390807"&gt;125129&lt;/key&gt;&lt;/foreign-keys&gt;&lt;ref-type name="Journal Article"&gt;17&lt;/ref-type&gt;&lt;contributors&gt;&lt;authors&gt;&lt;author&gt;Vreugdenhil, Jettie&lt;/author&gt;&lt;author&gt;Somra, Sunia&lt;/author&gt;&lt;author&gt;Ket, Hans&lt;/author&gt;&lt;author&gt;Custers, Eugene JFM&lt;/author&gt;&lt;author&gt;Reinders, Marcel E&lt;/author&gt;&lt;author&gt;Dobber, Jos&lt;/author&gt;&lt;author&gt;Kusurkar, Rashmi A&lt;/author&gt;&lt;/authors&gt;&lt;/contributors&gt;&lt;titles&gt;&lt;title&gt;Reasoning like a doctor or like a nurse? A systematic integrative review&lt;/title&gt;&lt;secondary-title&gt;Frontiers in Medicine&lt;/secondary-title&gt;&lt;/titles&gt;&lt;periodical&gt;&lt;full-title&gt;Frontiers in medicine&lt;/full-title&gt;&lt;/periodical&gt;&lt;pages&gt;1017783&lt;/pages&gt;&lt;volume&gt;10&lt;/volume&gt;&lt;dates&gt;&lt;year&gt;2023&lt;/year&gt;&lt;/dates&gt;&lt;isbn&gt;2296-858X&lt;/isbn&gt;&lt;urls&gt;&lt;/urls&gt;&lt;/record&gt;&lt;/Cite&gt;&lt;/EndNote&gt;</w:instrText>
      </w:r>
      <w:r w:rsidR="00CB10A3" w:rsidRPr="002C21B8">
        <w:fldChar w:fldCharType="separate"/>
      </w:r>
      <w:r w:rsidR="00E80E2B" w:rsidRPr="002C21B8">
        <w:rPr>
          <w:noProof/>
        </w:rPr>
        <w:t>(Freedman</w:t>
      </w:r>
      <w:r w:rsidR="00E80E2B" w:rsidRPr="002C21B8">
        <w:rPr>
          <w:i/>
          <w:noProof/>
        </w:rPr>
        <w:t xml:space="preserve"> et al.</w:t>
      </w:r>
      <w:r w:rsidR="00E80E2B" w:rsidRPr="002C21B8">
        <w:rPr>
          <w:noProof/>
        </w:rPr>
        <w:t>, 2021; Vreugdenhil</w:t>
      </w:r>
      <w:r w:rsidR="00E80E2B" w:rsidRPr="002C21B8">
        <w:rPr>
          <w:i/>
          <w:noProof/>
        </w:rPr>
        <w:t xml:space="preserve"> et al.</w:t>
      </w:r>
      <w:r w:rsidR="00E80E2B" w:rsidRPr="002C21B8">
        <w:rPr>
          <w:noProof/>
        </w:rPr>
        <w:t>, 2023)</w:t>
      </w:r>
      <w:r w:rsidR="00CB10A3" w:rsidRPr="002C21B8">
        <w:fldChar w:fldCharType="end"/>
      </w:r>
      <w:r w:rsidR="00CB10A3" w:rsidRPr="002C21B8">
        <w:t>.</w:t>
      </w:r>
    </w:p>
    <w:p w14:paraId="52AC8F23" w14:textId="0AC15769" w:rsidR="002C294C" w:rsidRPr="002C21B8" w:rsidRDefault="002C294C" w:rsidP="00ED2D36">
      <w:pPr>
        <w:pStyle w:val="Heading4"/>
      </w:pPr>
      <w:r w:rsidRPr="002C21B8">
        <w:t>Specify therapeutic objective</w:t>
      </w:r>
    </w:p>
    <w:p w14:paraId="20590ECC" w14:textId="0B3FA691" w:rsidR="00654A5E" w:rsidRPr="002C21B8" w:rsidRDefault="005D3880" w:rsidP="002A58AF">
      <w:r w:rsidRPr="002C21B8">
        <w:t>S</w:t>
      </w:r>
      <w:r w:rsidR="006E1A3F" w:rsidRPr="002C21B8">
        <w:t>pecify</w:t>
      </w:r>
      <w:r w:rsidRPr="002C21B8">
        <w:t xml:space="preserve">ing </w:t>
      </w:r>
      <w:r w:rsidR="006E1A3F" w:rsidRPr="002C21B8">
        <w:t>the therapeutic objective</w:t>
      </w:r>
      <w:r w:rsidR="00F601C1" w:rsidRPr="002C21B8">
        <w:t xml:space="preserve"> is the </w:t>
      </w:r>
      <w:r w:rsidR="002527CC" w:rsidRPr="002C21B8">
        <w:t>identification</w:t>
      </w:r>
      <w:r w:rsidR="00F601C1" w:rsidRPr="002C21B8">
        <w:t xml:space="preserve"> of</w:t>
      </w:r>
      <w:r w:rsidR="006E1A3F" w:rsidRPr="002C21B8">
        <w:t xml:space="preserve"> the </w:t>
      </w:r>
      <w:r w:rsidR="003F5DF3" w:rsidRPr="002C21B8">
        <w:t xml:space="preserve">treatment’s </w:t>
      </w:r>
      <w:r w:rsidR="006E1A3F" w:rsidRPr="002C21B8">
        <w:t xml:space="preserve">intended outcome </w:t>
      </w:r>
      <w:r w:rsidR="003F5DF3" w:rsidRPr="002C21B8">
        <w:t xml:space="preserve">which could be to </w:t>
      </w:r>
      <w:r w:rsidR="006E1A3F" w:rsidRPr="002C21B8">
        <w:t>control symptoms, prevent complications or improv</w:t>
      </w:r>
      <w:r w:rsidR="003F5DF3" w:rsidRPr="002C21B8">
        <w:t>e</w:t>
      </w:r>
      <w:r w:rsidR="006E1A3F" w:rsidRPr="002C21B8">
        <w:t xml:space="preserve"> quality of life. </w:t>
      </w:r>
      <w:r w:rsidR="002A58AF" w:rsidRPr="002C21B8">
        <w:t>In modern practice, this step is increasingly informed by shared decision-making whereby clinicians and patients collaboratively agree treatment goals based on the available clinical evidence as well as</w:t>
      </w:r>
      <w:r w:rsidR="003F5DF3" w:rsidRPr="002C21B8">
        <w:t xml:space="preserve"> the preferences and expectations of </w:t>
      </w:r>
      <w:r w:rsidR="00E80E2B" w:rsidRPr="002C21B8">
        <w:t xml:space="preserve">both clinicians and patients </w:t>
      </w:r>
      <w:r w:rsidR="00E80E2B" w:rsidRPr="002C21B8">
        <w:fldChar w:fldCharType="begin"/>
      </w:r>
      <w:r w:rsidR="00502953" w:rsidRPr="002C21B8">
        <w:instrText xml:space="preserve"> ADDIN EN.CITE &lt;EndNote&gt;&lt;Cite&gt;&lt;Author&gt;Krist&lt;/Author&gt;&lt;Year&gt;2017&lt;/Year&gt;&lt;RecNum&gt;125132&lt;/RecNum&gt;&lt;DisplayText&gt;(Krist&lt;style face="italic"&gt; et al.&lt;/style&gt;, 2017; Thistlethwaite, Ajjawi and Aslani, 2010)&lt;/DisplayText&gt;&lt;record&gt;&lt;rec-number&gt;125132&lt;/rec-number&gt;&lt;foreign-keys&gt;&lt;key app="EN" db-id="xpefzwa5hf9dt2ea9fax95x7xvxz90v09dtf" timestamp="1766391099"&gt;125132&lt;/key&gt;&lt;/foreign-keys&gt;&lt;ref-type name="Journal Article"&gt;17&lt;/ref-type&gt;&lt;contributors&gt;&lt;authors&gt;&lt;author&gt;Krist, Alex H&lt;/author&gt;&lt;author&gt;Tong, Sebastian T&lt;/author&gt;&lt;author&gt;Aycock, Rebecca A&lt;/author&gt;&lt;author&gt;Longo, Daniel R&lt;/author&gt;&lt;/authors&gt;&lt;/contributors&gt;&lt;titles&gt;&lt;title&gt;Engaging patients in decision-making and behavior change to promote prevention&lt;/title&gt;&lt;secondary-title&gt;Information Services and Use&lt;/secondary-title&gt;&lt;/titles&gt;&lt;periodical&gt;&lt;full-title&gt;Information Services and Use&lt;/full-title&gt;&lt;/periodical&gt;&lt;pages&gt;105-122&lt;/pages&gt;&lt;volume&gt;37&lt;/volume&gt;&lt;number&gt;2&lt;/number&gt;&lt;dates&gt;&lt;year&gt;2017&lt;/year&gt;&lt;/dates&gt;&lt;isbn&gt;0167-5265&lt;/isbn&gt;&lt;urls&gt;&lt;/urls&gt;&lt;/record&gt;&lt;/Cite&gt;&lt;Cite&gt;&lt;Author&gt;Thistlethwaite&lt;/Author&gt;&lt;Year&gt;2010&lt;/Year&gt;&lt;RecNum&gt;17604&lt;/RecNum&gt;&lt;record&gt;&lt;rec-number&gt;17604&lt;/rec-number&gt;&lt;foreign-keys&gt;&lt;key app="EN" db-id="xpefzwa5hf9dt2ea9fax95x7xvxz90v09dtf" timestamp="1727876040"&gt;17604&lt;/key&gt;&lt;/foreign-keys&gt;&lt;ref-type name="Journal Article"&gt;17&lt;/ref-type&gt;&lt;contributors&gt;&lt;authors&gt;&lt;author&gt;Thistlethwaite, JE&lt;/author&gt;&lt;author&gt;Ajjawi, Rola&lt;/author&gt;&lt;author&gt;Aslani, Parisa&lt;/author&gt;&lt;/authors&gt;&lt;/contributors&gt;&lt;titles&gt;&lt;title&gt;The decision to prescribe: influences and choice&lt;/title&gt;&lt;secondary-title&gt;InnovAiT&lt;/secondary-title&gt;&lt;/titles&gt;&lt;periodical&gt;&lt;full-title&gt;InnovAiT&lt;/full-title&gt;&lt;/periodical&gt;&lt;pages&gt;237-243&lt;/pages&gt;&lt;volume&gt;3&lt;/volume&gt;&lt;number&gt;4&lt;/number&gt;&lt;dates&gt;&lt;year&gt;2010&lt;/year&gt;&lt;/dates&gt;&lt;urls&gt;&lt;/urls&gt;&lt;/record&gt;&lt;/Cite&gt;&lt;/EndNote&gt;</w:instrText>
      </w:r>
      <w:r w:rsidR="00E80E2B" w:rsidRPr="002C21B8">
        <w:fldChar w:fldCharType="separate"/>
      </w:r>
      <w:r w:rsidR="00E80E2B" w:rsidRPr="002C21B8">
        <w:rPr>
          <w:noProof/>
        </w:rPr>
        <w:t>(Krist</w:t>
      </w:r>
      <w:r w:rsidR="00E80E2B" w:rsidRPr="002C21B8">
        <w:rPr>
          <w:i/>
          <w:noProof/>
        </w:rPr>
        <w:t xml:space="preserve"> et al.</w:t>
      </w:r>
      <w:r w:rsidR="00E80E2B" w:rsidRPr="002C21B8">
        <w:rPr>
          <w:noProof/>
        </w:rPr>
        <w:t>, 2017; Thistlethwaite, Ajjawi and Aslani, 2010)</w:t>
      </w:r>
      <w:r w:rsidR="00E80E2B" w:rsidRPr="002C21B8">
        <w:fldChar w:fldCharType="end"/>
      </w:r>
      <w:r w:rsidR="00E80E2B" w:rsidRPr="002C21B8">
        <w:t>.</w:t>
      </w:r>
    </w:p>
    <w:p w14:paraId="3D7728ED" w14:textId="5D94591B" w:rsidR="002C294C" w:rsidRPr="002C21B8" w:rsidRDefault="002C294C" w:rsidP="00ED2D36">
      <w:pPr>
        <w:pStyle w:val="Heading4"/>
      </w:pPr>
      <w:r w:rsidRPr="002C21B8">
        <w:t>Select appropriate treatment</w:t>
      </w:r>
    </w:p>
    <w:p w14:paraId="0CA78798" w14:textId="40E58570" w:rsidR="00BC76A6" w:rsidRPr="002C21B8" w:rsidRDefault="00E80E2B" w:rsidP="00751221">
      <w:r w:rsidRPr="002C21B8">
        <w:t>S</w:t>
      </w:r>
      <w:r w:rsidR="006E1A3F" w:rsidRPr="002C21B8">
        <w:t>elect</w:t>
      </w:r>
      <w:r w:rsidRPr="002C21B8">
        <w:t>ing</w:t>
      </w:r>
      <w:r w:rsidR="006E1A3F" w:rsidRPr="002C21B8">
        <w:t xml:space="preserve"> the appropriate treatment </w:t>
      </w:r>
      <w:r w:rsidRPr="002C21B8">
        <w:t xml:space="preserve">involves </w:t>
      </w:r>
      <w:r w:rsidR="006E1A3F" w:rsidRPr="002C21B8">
        <w:t xml:space="preserve">considering </w:t>
      </w:r>
      <w:r w:rsidR="00751221" w:rsidRPr="002C21B8">
        <w:t xml:space="preserve">the choice of </w:t>
      </w:r>
      <w:r w:rsidR="007138F2" w:rsidRPr="002C21B8">
        <w:t>medi</w:t>
      </w:r>
      <w:r w:rsidR="000905FC" w:rsidRPr="002C21B8">
        <w:t>cation</w:t>
      </w:r>
      <w:r w:rsidRPr="002C21B8">
        <w:t xml:space="preserve"> (if there are options)</w:t>
      </w:r>
      <w:r w:rsidR="00751221" w:rsidRPr="002C21B8">
        <w:t>, dose</w:t>
      </w:r>
      <w:r w:rsidRPr="002C21B8">
        <w:t>s</w:t>
      </w:r>
      <w:r w:rsidR="00A019E7" w:rsidRPr="002C21B8">
        <w:t>, frequency</w:t>
      </w:r>
      <w:r w:rsidR="00751221" w:rsidRPr="002C21B8">
        <w:t xml:space="preserve"> and formulation. Decisions are informed by </w:t>
      </w:r>
      <w:r w:rsidRPr="002C21B8">
        <w:t>guidelines</w:t>
      </w:r>
      <w:r w:rsidR="00751221" w:rsidRPr="002C21B8">
        <w:t xml:space="preserve">, local formularies, </w:t>
      </w:r>
      <w:r w:rsidR="00751221" w:rsidRPr="002C21B8">
        <w:lastRenderedPageBreak/>
        <w:t xml:space="preserve">drug </w:t>
      </w:r>
      <w:r w:rsidRPr="002C21B8">
        <w:t>availability</w:t>
      </w:r>
      <w:r w:rsidR="00751221" w:rsidRPr="002C21B8">
        <w:t xml:space="preserve"> and</w:t>
      </w:r>
      <w:r w:rsidRPr="002C21B8">
        <w:t xml:space="preserve"> </w:t>
      </w:r>
      <w:r w:rsidR="000A5473" w:rsidRPr="002C21B8">
        <w:t xml:space="preserve">the </w:t>
      </w:r>
      <w:r w:rsidR="008B2E06" w:rsidRPr="002C21B8">
        <w:t xml:space="preserve">wider </w:t>
      </w:r>
      <w:r w:rsidRPr="002C21B8">
        <w:t>healthcare team</w:t>
      </w:r>
      <w:r w:rsidR="002A58AF" w:rsidRPr="002C21B8">
        <w:t xml:space="preserve"> </w:t>
      </w:r>
      <w:r w:rsidR="002A58AF" w:rsidRPr="002C21B8">
        <w:fldChar w:fldCharType="begin">
          <w:fldData xml:space="preserve">PEVuZE5vdGU+PENpdGU+PEF1dGhvcj5EYXZhcmk8L0F1dGhvcj48WWVhcj4yMDE4PC9ZZWFyPjxS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==
</w:fldData>
        </w:fldChar>
      </w:r>
      <w:r w:rsidR="002A58AF" w:rsidRPr="002C21B8">
        <w:instrText xml:space="preserve"> ADDIN EN.CITE </w:instrText>
      </w:r>
      <w:r w:rsidR="002A58AF" w:rsidRPr="002C21B8">
        <w:fldChar w:fldCharType="begin">
          <w:fldData xml:space="preserve">PEVuZE5vdGU+PENpdGU+PEF1dGhvcj5EYXZhcmk8L0F1dGhvcj48WWVhcj4yMDE4PC9ZZWFyPjxS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==
</w:fldData>
        </w:fldChar>
      </w:r>
      <w:r w:rsidR="002A58AF" w:rsidRPr="002C21B8">
        <w:instrText xml:space="preserve"> ADDIN EN.CITE.DATA </w:instrText>
      </w:r>
      <w:r w:rsidR="002A58AF" w:rsidRPr="002C21B8">
        <w:fldChar w:fldCharType="end"/>
      </w:r>
      <w:r w:rsidR="002A58AF" w:rsidRPr="002C21B8">
        <w:fldChar w:fldCharType="separate"/>
      </w:r>
      <w:r w:rsidR="002A58AF" w:rsidRPr="002C21B8">
        <w:rPr>
          <w:noProof/>
        </w:rPr>
        <w:t>(Davari, Khorasani and Tigabu, 2018)</w:t>
      </w:r>
      <w:r w:rsidR="002A58AF" w:rsidRPr="002C21B8">
        <w:fldChar w:fldCharType="end"/>
      </w:r>
      <w:r w:rsidR="00751221" w:rsidRPr="002C21B8">
        <w:t>.</w:t>
      </w:r>
      <w:r w:rsidRPr="002C21B8">
        <w:t xml:space="preserve"> </w:t>
      </w:r>
      <w:r w:rsidR="00E237C0" w:rsidRPr="002C21B8">
        <w:t xml:space="preserve">Patient requests for specific </w:t>
      </w:r>
      <w:r w:rsidR="009513B3" w:rsidRPr="002C21B8">
        <w:t>medication</w:t>
      </w:r>
      <w:r w:rsidR="00E237C0" w:rsidRPr="002C21B8">
        <w:t xml:space="preserve">s </w:t>
      </w:r>
      <w:r w:rsidR="00885AFF" w:rsidRPr="002C21B8">
        <w:t>are</w:t>
      </w:r>
      <w:r w:rsidR="00E237C0" w:rsidRPr="002C21B8">
        <w:t xml:space="preserve"> becoming increasingly common which can influence the selection of which </w:t>
      </w:r>
      <w:r w:rsidR="007138F2" w:rsidRPr="002C21B8">
        <w:t>medi</w:t>
      </w:r>
      <w:r w:rsidR="008B4C67" w:rsidRPr="002C21B8">
        <w:t>cation</w:t>
      </w:r>
      <w:r w:rsidR="00E237C0" w:rsidRPr="002C21B8">
        <w:t xml:space="preserve"> is </w:t>
      </w:r>
      <w:r w:rsidR="007B470D" w:rsidRPr="002C21B8">
        <w:t xml:space="preserve">considered </w:t>
      </w:r>
      <w:r w:rsidR="00E237C0" w:rsidRPr="002C21B8">
        <w:t xml:space="preserve">appropriate </w:t>
      </w:r>
      <w:r w:rsidR="00E237C0" w:rsidRPr="002C21B8">
        <w:fldChar w:fldCharType="begin"/>
      </w:r>
      <w:r w:rsidR="00E237C0" w:rsidRPr="002C21B8">
        <w:instrText xml:space="preserve"> ADDIN EN.CITE &lt;EndNote&gt;&lt;Cite&gt;&lt;Author&gt;Toiviainen&lt;/Author&gt;&lt;Year&gt;2005&lt;/Year&gt;&lt;RecNum&gt;125546&lt;/RecNum&gt;&lt;DisplayText&gt;(Toiviainen, Vuorenkoski and Hemminki, 2005)&lt;/DisplayText&gt;&lt;record&gt;&lt;rec-number&gt;125546&lt;/rec-number&gt;&lt;foreign-keys&gt;&lt;key app="EN" db-id="xpefzwa5hf9dt2ea9fax95x7xvxz90v09dtf" timestamp="1777575192"&gt;125546&lt;/key&gt;&lt;/foreign-keys&gt;&lt;ref-type name="Journal Article"&gt;17&lt;/ref-type&gt;&lt;contributors&gt;&lt;authors&gt;&lt;author&gt;Toiviainen, Hanna K&lt;/author&gt;&lt;author&gt;Vuorenkoski, Lauri&lt;/author&gt;&lt;author&gt;Hemminki, Elina&lt;/author&gt;&lt;/authors&gt;&lt;/contributors&gt;&lt;titles&gt;&lt;title&gt;Physicians’ opinions on patients’ requests for specific treatments and examinations&lt;/title&gt;&lt;secondary-title&gt;Health Expectations&lt;/secondary-title&gt;&lt;/titles&gt;&lt;periodical&gt;&lt;full-title&gt;Health expectations&lt;/full-title&gt;&lt;/periodical&gt;&lt;pages&gt;43-53&lt;/pages&gt;&lt;volume&gt;8&lt;/volume&gt;&lt;number&gt;1&lt;/number&gt;&lt;dates&gt;&lt;year&gt;2005&lt;/year&gt;&lt;/dates&gt;&lt;isbn&gt;1369-6513&lt;/isbn&gt;&lt;urls&gt;&lt;/urls&gt;&lt;/record&gt;&lt;/Cite&gt;&lt;/EndNote&gt;</w:instrText>
      </w:r>
      <w:r w:rsidR="00E237C0" w:rsidRPr="002C21B8">
        <w:fldChar w:fldCharType="separate"/>
      </w:r>
      <w:r w:rsidR="00E237C0" w:rsidRPr="002C21B8">
        <w:rPr>
          <w:noProof/>
        </w:rPr>
        <w:t>(Toiviainen, Vuorenkoski and Hemminki, 2005)</w:t>
      </w:r>
      <w:r w:rsidR="00E237C0" w:rsidRPr="002C21B8">
        <w:fldChar w:fldCharType="end"/>
      </w:r>
      <w:r w:rsidR="002A58AF" w:rsidRPr="002C21B8">
        <w:t xml:space="preserve">. </w:t>
      </w:r>
      <w:r w:rsidRPr="002C21B8">
        <w:t xml:space="preserve">Outside of these clinical and system factors, </w:t>
      </w:r>
      <w:r w:rsidR="006E64CB" w:rsidRPr="002C21B8">
        <w:t xml:space="preserve">sales and marketing by </w:t>
      </w:r>
      <w:r w:rsidRPr="002C21B8">
        <w:t>pharmaceutical compa</w:t>
      </w:r>
      <w:r w:rsidR="006E64CB" w:rsidRPr="002C21B8">
        <w:t>n</w:t>
      </w:r>
      <w:r w:rsidRPr="002C21B8">
        <w:t xml:space="preserve">ies may </w:t>
      </w:r>
      <w:r w:rsidR="002A58AF" w:rsidRPr="002C21B8">
        <w:t xml:space="preserve">also </w:t>
      </w:r>
      <w:r w:rsidR="006E64CB" w:rsidRPr="002C21B8">
        <w:t xml:space="preserve">be influential </w:t>
      </w:r>
      <w:r w:rsidR="00DD3920" w:rsidRPr="002C21B8">
        <w:t>at the individual and centre-level</w:t>
      </w:r>
      <w:r w:rsidR="003612A4" w:rsidRPr="002C21B8">
        <w:t xml:space="preserve"> </w:t>
      </w:r>
      <w:r w:rsidRPr="002C21B8">
        <w:fldChar w:fldCharType="begin"/>
      </w:r>
      <w:r w:rsidR="00502953" w:rsidRPr="002C21B8">
        <w:instrText xml:space="preserve"> ADDIN EN.CITE &lt;EndNote&gt;&lt;Cite&gt;&lt;Author&gt;Thistlethwaite&lt;/Author&gt;&lt;Year&gt;2010&lt;/Year&gt;&lt;RecNum&gt;17604&lt;/RecNum&gt;&lt;DisplayText&gt;(Thistlethwaite, Ajjawi and Aslani, 2010)&lt;/DisplayText&gt;&lt;record&gt;&lt;rec-number&gt;17604&lt;/rec-number&gt;&lt;foreign-keys&gt;&lt;key app="EN" db-id="xpefzwa5hf9dt2ea9fax95x7xvxz90v09dtf" timestamp="1727876040"&gt;17604&lt;/key&gt;&lt;/foreign-keys&gt;&lt;ref-type name="Journal Article"&gt;17&lt;/ref-type&gt;&lt;contributors&gt;&lt;authors&gt;&lt;author&gt;Thistlethwaite, JE&lt;/author&gt;&lt;author&gt;Ajjawi, Rola&lt;/author&gt;&lt;author&gt;Aslani, Parisa&lt;/author&gt;&lt;/authors&gt;&lt;/contributors&gt;&lt;titles&gt;&lt;title&gt;The decision to prescribe: influences and choice&lt;/title&gt;&lt;secondary-title&gt;InnovAiT&lt;/secondary-title&gt;&lt;/titles&gt;&lt;periodical&gt;&lt;full-title&gt;InnovAiT&lt;/full-title&gt;&lt;/periodical&gt;&lt;pages&gt;237-243&lt;/pages&gt;&lt;volume&gt;3&lt;/volume&gt;&lt;number&gt;4&lt;/number&gt;&lt;dates&gt;&lt;year&gt;2010&lt;/year&gt;&lt;/dates&gt;&lt;urls&gt;&lt;/urls&gt;&lt;/record&gt;&lt;/Cite&gt;&lt;/EndNote&gt;</w:instrText>
      </w:r>
      <w:r w:rsidRPr="002C21B8">
        <w:fldChar w:fldCharType="separate"/>
      </w:r>
      <w:r w:rsidRPr="002C21B8">
        <w:rPr>
          <w:noProof/>
        </w:rPr>
        <w:t>(Thistlethwaite, Ajjawi and Aslani, 2010)</w:t>
      </w:r>
      <w:r w:rsidRPr="002C21B8">
        <w:fldChar w:fldCharType="end"/>
      </w:r>
      <w:r w:rsidRPr="002C21B8">
        <w:t>.</w:t>
      </w:r>
    </w:p>
    <w:p w14:paraId="3D664290" w14:textId="63E2223C" w:rsidR="002C294C" w:rsidRPr="002C21B8" w:rsidRDefault="002C294C" w:rsidP="00ED2D36">
      <w:pPr>
        <w:pStyle w:val="Heading4"/>
      </w:pPr>
      <w:r w:rsidRPr="002C21B8">
        <w:t>Initiate treatment</w:t>
      </w:r>
    </w:p>
    <w:p w14:paraId="1C507E09" w14:textId="3A834250" w:rsidR="00E80E2B" w:rsidRPr="002C21B8" w:rsidRDefault="00E80E2B" w:rsidP="00E7663C">
      <w:r w:rsidRPr="002C21B8">
        <w:t xml:space="preserve">Initiating treatment involves </w:t>
      </w:r>
      <w:r w:rsidR="007B470D" w:rsidRPr="002C21B8">
        <w:t>implement</w:t>
      </w:r>
      <w:r w:rsidRPr="002C21B8">
        <w:t xml:space="preserve">ing the prescribing decision by generating the prescription and coordinating with other members of the healthcare team to </w:t>
      </w:r>
      <w:r w:rsidR="00E7663C" w:rsidRPr="002C21B8">
        <w:t>conduct prescription reviews, ensure appropriate dispensing and support administration. Prescriptions are often electronic and may be supported by clinical decision support s</w:t>
      </w:r>
      <w:r w:rsidR="007B470D" w:rsidRPr="002C21B8">
        <w:t>ystems</w:t>
      </w:r>
      <w:r w:rsidR="00E7663C" w:rsidRPr="002C21B8">
        <w:t xml:space="preserve"> which can prompt consideration of alternatives or highlight safety issues </w:t>
      </w:r>
      <w:r w:rsidR="00A52720" w:rsidRPr="002C21B8">
        <w:fldChar w:fldCharType="begin"/>
      </w:r>
      <w:r w:rsidR="00F238BA" w:rsidRPr="002C21B8">
        <w:instrText xml:space="preserve"> ADDIN EN.CITE &lt;EndNote&gt;&lt;Cite&gt;&lt;Author&gt;Chen&lt;/Author&gt;&lt;Year&gt;2023&lt;/Year&gt;&lt;RecNum&gt;125037&lt;/RecNum&gt;&lt;DisplayText&gt;(Chen&lt;style face="italic"&gt; et al.&lt;/style&gt;, 2023)&lt;/DisplayText&gt;&lt;record&gt;&lt;rec-number&gt;125037&lt;/rec-number&gt;&lt;foreign-keys&gt;&lt;key app="EN" db-id="xpefzwa5hf9dt2ea9fax95x7xvxz90v09dtf" timestamp="1758534201"&gt;125037&lt;/key&gt;&lt;/foreign-keys&gt;&lt;ref-type name="Journal Article"&gt;17&lt;/ref-type&gt;&lt;contributors&gt;&lt;authors&gt;&lt;author&gt;Chen, Zhao&lt;/author&gt;&lt;author&gt;Liang, Ning&lt;/author&gt;&lt;author&gt;Zhang, Haili&lt;/author&gt;&lt;author&gt;Li, Huizhen&lt;/author&gt;&lt;author&gt;Yang, Yijiu&lt;/author&gt;&lt;author&gt;Zong, Xingyu&lt;/author&gt;&lt;author&gt;Chen, Yaxin&lt;/author&gt;&lt;author&gt;Wang, Yanping&lt;/author&gt;&lt;author&gt;Shi, Nannan&lt;/author&gt;&lt;/authors&gt;&lt;/contributors&gt;&lt;titles&gt;&lt;title&gt;Harnessing the power of clinical decision support systems: challenges and opportunities&lt;/title&gt;&lt;secondary-title&gt;Open Heart&lt;/secondary-title&gt;&lt;/titles&gt;&lt;periodical&gt;&lt;full-title&gt;Open heart&lt;/full-title&gt;&lt;/periodical&gt;&lt;pages&gt;e002432&lt;/pages&gt;&lt;volume&gt;10&lt;/volume&gt;&lt;number&gt;2&lt;/number&gt;&lt;dates&gt;&lt;year&gt;2023&lt;/year&gt;&lt;/dates&gt;&lt;isbn&gt;2053-3624&lt;/isbn&gt;&lt;urls&gt;&lt;/urls&gt;&lt;/record&gt;&lt;/Cite&gt;&lt;/EndNote&gt;</w:instrText>
      </w:r>
      <w:r w:rsidR="00A52720" w:rsidRPr="002C21B8">
        <w:fldChar w:fldCharType="separate"/>
      </w:r>
      <w:r w:rsidR="00F238BA" w:rsidRPr="002C21B8">
        <w:t>(Chen</w:t>
      </w:r>
      <w:r w:rsidR="00F238BA" w:rsidRPr="002C21B8">
        <w:rPr>
          <w:i/>
        </w:rPr>
        <w:t xml:space="preserve"> et al.</w:t>
      </w:r>
      <w:r w:rsidR="00F238BA" w:rsidRPr="002C21B8">
        <w:t>, 2023)</w:t>
      </w:r>
      <w:r w:rsidR="00A52720" w:rsidRPr="002C21B8">
        <w:fldChar w:fldCharType="end"/>
      </w:r>
      <w:r w:rsidR="00A52720" w:rsidRPr="002C21B8">
        <w:t>.</w:t>
      </w:r>
      <w:r w:rsidR="00E7663C" w:rsidRPr="002C21B8">
        <w:t xml:space="preserve"> Prescription reviews are typically undertaken by pharmacists or pharmacy technicians to identify safety concerns, potential medication interactions or patients that are not eligible for the prescribed </w:t>
      </w:r>
      <w:r w:rsidR="007138F2" w:rsidRPr="002C21B8">
        <w:t>medi</w:t>
      </w:r>
      <w:r w:rsidR="00211DCD" w:rsidRPr="002C21B8">
        <w:t>cation</w:t>
      </w:r>
      <w:r w:rsidR="007138F2" w:rsidRPr="002C21B8">
        <w:t>.</w:t>
      </w:r>
      <w:r w:rsidR="00E7663C" w:rsidRPr="002C21B8">
        <w:t xml:space="preserve"> The stringency and thoroughness of this prescription review </w:t>
      </w:r>
      <w:r w:rsidR="00B668DB" w:rsidRPr="002C21B8">
        <w:t xml:space="preserve">can </w:t>
      </w:r>
      <w:r w:rsidR="00E7663C" w:rsidRPr="002C21B8">
        <w:t>influence</w:t>
      </w:r>
      <w:r w:rsidR="00400CE9" w:rsidRPr="002C21B8">
        <w:t xml:space="preserve"> </w:t>
      </w:r>
      <w:r w:rsidR="00E7663C" w:rsidRPr="002C21B8">
        <w:t xml:space="preserve">whether </w:t>
      </w:r>
      <w:r w:rsidR="00B668DB" w:rsidRPr="002C21B8">
        <w:t xml:space="preserve">a </w:t>
      </w:r>
      <w:r w:rsidR="00E7663C" w:rsidRPr="002C21B8">
        <w:t>patient ultimately receive</w:t>
      </w:r>
      <w:r w:rsidR="00B668DB" w:rsidRPr="002C21B8">
        <w:t>s</w:t>
      </w:r>
      <w:r w:rsidR="00E7663C" w:rsidRPr="002C21B8">
        <w:t xml:space="preserve"> the treatment </w:t>
      </w:r>
      <w:r w:rsidR="00A52720" w:rsidRPr="002C21B8">
        <w:fldChar w:fldCharType="begin"/>
      </w:r>
      <w:r w:rsidR="00CB09F5" w:rsidRPr="002C21B8">
        <w:instrText xml:space="preserve"> ADDIN EN.CITE &lt;EndNote&gt;&lt;Cite&gt;&lt;Author&gt;Khan&lt;/Author&gt;&lt;Year&gt;2021&lt;/Year&gt;&lt;RecNum&gt;125035&lt;/RecNum&gt;&lt;DisplayText&gt;(Duncan&lt;style face="italic"&gt; et al.&lt;/style&gt;, 2019; Khan and Aslani, 2021)&lt;/DisplayText&gt;&lt;record&gt;&lt;rec-number&gt;125035&lt;/rec-number&gt;&lt;foreign-keys&gt;&lt;key app="EN" db-id="xpefzwa5hf9dt2ea9fax95x7xvxz90v09dtf" timestamp="1758534098"&gt;125035&lt;/key&gt;&lt;/foreign-keys&gt;&lt;ref-type name="Journal Article"&gt;17&lt;/ref-type&gt;&lt;contributors&gt;&lt;authors&gt;&lt;author&gt;Khan, Muhammad Umair&lt;/author&gt;&lt;author&gt;Aslani, Parisa&lt;/author&gt;&lt;/authors&gt;&lt;/contributors&gt;&lt;titles&gt;&lt;title&gt;Exploring factors influencing initiation, implementation and discontinuation of medications in adults with ADHD&lt;/title&gt;&lt;secondary-title&gt;Health Expectations&lt;/secondary-title&gt;&lt;/titles&gt;&lt;periodical&gt;&lt;full-title&gt;Health expectations&lt;/full-title&gt;&lt;/periodical&gt;&lt;pages&gt;S82-94&lt;/pages&gt;&lt;volume&gt;24&lt;/volume&gt;&lt;number&gt;S1&lt;/number&gt;&lt;dates&gt;&lt;year&gt;2021&lt;/year&gt;&lt;/dates&gt;&lt;isbn&gt;1369-6513&lt;/isbn&gt;&lt;urls&gt;&lt;/urls&gt;&lt;/record&gt;&lt;/Cite&gt;&lt;Cite&gt;&lt;Author&gt;Duncan&lt;/Author&gt;&lt;Year&gt;2019&lt;/Year&gt;&lt;RecNum&gt;125036&lt;/RecNum&gt;&lt;record&gt;&lt;rec-number&gt;125036&lt;/rec-number&gt;&lt;foreign-keys&gt;&lt;key app="EN" db-id="xpefzwa5hf9dt2ea9fax95x7xvxz90v09dtf" timestamp="1758534160"&gt;125036&lt;/key&gt;&lt;/foreign-keys&gt;&lt;ref-type name="Journal Article"&gt;17&lt;/ref-type&gt;&lt;contributors&gt;&lt;authors&gt;&lt;author&gt;Duncan, Polly&lt;/author&gt;&lt;author&gt;Cabral, Christie&lt;/author&gt;&lt;author&gt;McCahon, Deborah&lt;/author&gt;&lt;author&gt;Guthrie, Bruce&lt;/author&gt;&lt;author&gt;Ridd, Matthew J&lt;/author&gt;&lt;/authors&gt;&lt;/contributors&gt;&lt;titles&gt;&lt;title&gt;Efficiency versus thoroughness in medication review: a qualitative interview study in UK primary care&lt;/title&gt;&lt;secondary-title&gt;British Journal of General Practice&lt;/secondary-title&gt;&lt;/titles&gt;&lt;periodical&gt;&lt;full-title&gt;British Journal of General Practice&lt;/full-title&gt;&lt;/periodical&gt;&lt;pages&gt;e190-198&lt;/pages&gt;&lt;volume&gt;69&lt;/volume&gt;&lt;number&gt;680&lt;/number&gt;&lt;dates&gt;&lt;year&gt;2019&lt;/year&gt;&lt;/dates&gt;&lt;isbn&gt;0960-1643&lt;/isbn&gt;&lt;urls&gt;&lt;/urls&gt;&lt;/record&gt;&lt;/Cite&gt;&lt;/EndNote&gt;</w:instrText>
      </w:r>
      <w:r w:rsidR="00A52720" w:rsidRPr="002C21B8">
        <w:fldChar w:fldCharType="separate"/>
      </w:r>
      <w:r w:rsidR="00347825" w:rsidRPr="002C21B8">
        <w:rPr>
          <w:noProof/>
        </w:rPr>
        <w:t>(Duncan</w:t>
      </w:r>
      <w:r w:rsidR="00347825" w:rsidRPr="002C21B8">
        <w:rPr>
          <w:i/>
          <w:noProof/>
        </w:rPr>
        <w:t xml:space="preserve"> et al.</w:t>
      </w:r>
      <w:r w:rsidR="00347825" w:rsidRPr="002C21B8">
        <w:rPr>
          <w:noProof/>
        </w:rPr>
        <w:t>, 2019; Khan and Aslani, 2021)</w:t>
      </w:r>
      <w:r w:rsidR="00A52720" w:rsidRPr="002C21B8">
        <w:fldChar w:fldCharType="end"/>
      </w:r>
      <w:r w:rsidR="00A52720" w:rsidRPr="002C21B8">
        <w:t>.</w:t>
      </w:r>
      <w:r w:rsidR="00E7663C" w:rsidRPr="002C21B8">
        <w:t xml:space="preserve"> P</w:t>
      </w:r>
      <w:r w:rsidR="00A52720" w:rsidRPr="002C21B8">
        <w:t>rescription</w:t>
      </w:r>
      <w:r w:rsidR="00722B47" w:rsidRPr="002C21B8">
        <w:t>s</w:t>
      </w:r>
      <w:r w:rsidR="00A52720" w:rsidRPr="002C21B8">
        <w:t xml:space="preserve"> can only </w:t>
      </w:r>
      <w:r w:rsidR="00F75B88" w:rsidRPr="002C21B8">
        <w:t xml:space="preserve">be </w:t>
      </w:r>
      <w:r w:rsidR="007B29CA" w:rsidRPr="002C21B8">
        <w:t xml:space="preserve">dispensed </w:t>
      </w:r>
      <w:r w:rsidR="00F75B88" w:rsidRPr="002C21B8">
        <w:t xml:space="preserve">if </w:t>
      </w:r>
      <w:r w:rsidR="00E7663C" w:rsidRPr="002C21B8">
        <w:t xml:space="preserve">the </w:t>
      </w:r>
      <w:r w:rsidR="007138F2" w:rsidRPr="002C21B8">
        <w:t>medic</w:t>
      </w:r>
      <w:r w:rsidR="00211DCD" w:rsidRPr="002C21B8">
        <w:t>ation</w:t>
      </w:r>
      <w:r w:rsidR="00E7663C" w:rsidRPr="002C21B8">
        <w:t xml:space="preserve"> </w:t>
      </w:r>
      <w:r w:rsidR="00F75B88" w:rsidRPr="002C21B8">
        <w:t xml:space="preserve">is </w:t>
      </w:r>
      <w:r w:rsidR="00A52720" w:rsidRPr="002C21B8">
        <w:t xml:space="preserve">available. Geographic and socioeconomic barriers may prevent </w:t>
      </w:r>
      <w:r w:rsidR="00F75B88" w:rsidRPr="002C21B8">
        <w:t>this</w:t>
      </w:r>
      <w:r w:rsidR="00A52720" w:rsidRPr="002C21B8">
        <w:t>, particularly in rural or underserved areas. Stock shortages, restricted access to specialist pharmacies, or changes in supplier can all prevent initiation</w:t>
      </w:r>
      <w:r w:rsidR="00E7663C" w:rsidRPr="002C21B8">
        <w:t xml:space="preserve"> which may </w:t>
      </w:r>
      <w:r w:rsidR="00A52720" w:rsidRPr="002C21B8">
        <w:t xml:space="preserve">prompt prescribers to select alternatives or defer treatment altogether </w:t>
      </w:r>
      <w:r w:rsidR="00A52720" w:rsidRPr="002C21B8">
        <w:fldChar w:fldCharType="begin"/>
      </w:r>
      <w:r w:rsidR="00502953" w:rsidRPr="002C21B8">
        <w:instrText xml:space="preserve"> ADDIN EN.CITE &lt;EndNote&gt;&lt;Cite&gt;&lt;Author&gt;Scoggins&lt;/Author&gt;&lt;Year&gt;2006&lt;/Year&gt;&lt;RecNum&gt;125034&lt;/RecNum&gt;&lt;DisplayText&gt;(Scoggins&lt;style face="italic"&gt; et al.&lt;/style&gt;, 2006)&lt;/DisplayText&gt;&lt;record&gt;&lt;rec-number&gt;125034&lt;/rec-number&gt;&lt;foreign-keys&gt;&lt;key app="EN" db-id="xpefzwa5hf9dt2ea9fax95x7xvxz90v09dtf" timestamp="1758534007"&gt;125034&lt;/key&gt;&lt;/foreign-keys&gt;&lt;ref-type name="Web Page"&gt;12&lt;/ref-type&gt;&lt;contributors&gt;&lt;authors&gt;&lt;author&gt;Scoggins, A&lt;/author&gt;&lt;author&gt;Tiessen, J&lt;/author&gt;&lt;author&gt;Ling, T&lt;/author&gt;&lt;author&gt;Rabinovich, L&lt;/author&gt;&lt;/authors&gt;&lt;/contributors&gt;&lt;titles&gt;&lt;title&gt;Prescribing in primary care, Understanding what shapes GPs’ prescribing choices and how might these be changed&lt;/title&gt;&lt;secondary-title&gt;RAND Corporation, Cambridge, UK&lt;/secondary-title&gt;&lt;/titles&gt;&lt;periodical&gt;&lt;full-title&gt;RAND Corporation, Cambridge, UK&lt;/full-title&gt;&lt;/periodical&gt;&lt;number&gt;01/04/2026)&lt;/number&gt;&lt;dates&gt;&lt;year&gt;2006&lt;/year&gt;&lt;/dates&gt;&lt;urls&gt;&lt;related-urls&gt;&lt;url&gt;https://www.rand.org/pubs/technical_reports/TR443.html&lt;/url&gt;&lt;/related-urls&gt;&lt;/urls&gt;&lt;/record&gt;&lt;/Cite&gt;&lt;/EndNote&gt;</w:instrText>
      </w:r>
      <w:r w:rsidR="00A52720" w:rsidRPr="002C21B8">
        <w:fldChar w:fldCharType="separate"/>
      </w:r>
      <w:r w:rsidR="00F238BA" w:rsidRPr="002C21B8">
        <w:rPr>
          <w:noProof/>
        </w:rPr>
        <w:t>(Scoggins</w:t>
      </w:r>
      <w:r w:rsidR="00F238BA" w:rsidRPr="002C21B8">
        <w:rPr>
          <w:i/>
          <w:noProof/>
        </w:rPr>
        <w:t xml:space="preserve"> et al.</w:t>
      </w:r>
      <w:r w:rsidR="00F238BA" w:rsidRPr="002C21B8">
        <w:rPr>
          <w:noProof/>
        </w:rPr>
        <w:t>, 2006)</w:t>
      </w:r>
      <w:r w:rsidR="00A52720" w:rsidRPr="002C21B8">
        <w:fldChar w:fldCharType="end"/>
      </w:r>
      <w:r w:rsidR="00A52720" w:rsidRPr="002C21B8">
        <w:t>.</w:t>
      </w:r>
      <w:r w:rsidR="00E7663C" w:rsidRPr="002C21B8">
        <w:t xml:space="preserve"> Finally, p</w:t>
      </w:r>
      <w:r w:rsidR="00A52720" w:rsidRPr="002C21B8">
        <w:t xml:space="preserve">rescribers </w:t>
      </w:r>
      <w:r w:rsidR="00416B8D" w:rsidRPr="002C21B8">
        <w:t xml:space="preserve">may </w:t>
      </w:r>
      <w:r w:rsidR="00A52720" w:rsidRPr="002C21B8">
        <w:t>hesitate to initiate treatments if safe and reliable administration cannot be guaranteed</w:t>
      </w:r>
      <w:r w:rsidR="00B668DB" w:rsidRPr="002C21B8">
        <w:t xml:space="preserve">. This is most often </w:t>
      </w:r>
      <w:r w:rsidR="00E7663C" w:rsidRPr="002C21B8">
        <w:t xml:space="preserve">related to medication </w:t>
      </w:r>
      <w:r w:rsidR="006E64CB" w:rsidRPr="002C21B8">
        <w:t xml:space="preserve">and </w:t>
      </w:r>
      <w:r w:rsidR="00E7663C" w:rsidRPr="002C21B8">
        <w:t xml:space="preserve">patient </w:t>
      </w:r>
      <w:r w:rsidR="006E64CB" w:rsidRPr="002C21B8">
        <w:t>characteristics</w:t>
      </w:r>
      <w:r w:rsidR="00E7663C" w:rsidRPr="002C21B8">
        <w:t xml:space="preserve"> </w:t>
      </w:r>
      <w:r w:rsidR="00A52720" w:rsidRPr="002C21B8">
        <w:fldChar w:fldCharType="begin"/>
      </w:r>
      <w:r w:rsidR="00F238BA" w:rsidRPr="002C21B8">
        <w:instrText xml:space="preserve"> ADDIN EN.CITE &lt;EndNote&gt;&lt;Cite&gt;&lt;Author&gt;Hartjes&lt;/Author&gt;&lt;Year&gt;2025&lt;/Year&gt;&lt;RecNum&gt;125033&lt;/RecNum&gt;&lt;DisplayText&gt;(Hartjes&lt;style face="italic"&gt; et al.&lt;/style&gt;, 2025)&lt;/DisplayText&gt;&lt;record&gt;&lt;rec-number&gt;125033&lt;/rec-number&gt;&lt;foreign-keys&gt;&lt;key app="EN" db-id="xpefzwa5hf9dt2ea9fax95x7xvxz90v09dtf" timestamp="1758533894"&gt;125033&lt;/key&gt;&lt;/foreign-keys&gt;&lt;ref-type name="Journal Article"&gt;17&lt;/ref-type&gt;&lt;contributors&gt;&lt;authors&gt;&lt;author&gt;Hartjes, Mariëlle G&lt;/author&gt;&lt;author&gt;Elsevier, Annelot EF&lt;/author&gt;&lt;author&gt;Grijpma, Jan Willem&lt;/author&gt;&lt;author&gt;Richir, Milan C&lt;/author&gt;&lt;author&gt;van Agtmael, Michiel A&lt;/author&gt;&lt;author&gt;Tichelaar, Jelle&lt;/author&gt;&lt;/authors&gt;&lt;/contributors&gt;&lt;titles&gt;&lt;title&gt;Understanding factors that influence the drug choice of prescribers: AQ‐methodology study&lt;/title&gt;&lt;secondary-title&gt;British Journal of Clinical Pharmacology&lt;/secondary-title&gt;&lt;/titles&gt;&lt;periodical&gt;&lt;full-title&gt;British Journal of Clinical Pharmacology&lt;/full-title&gt;&lt;/periodical&gt;&lt;pages&gt;2151-2161&lt;/pages&gt;&lt;volume&gt;91&lt;/volume&gt;&lt;number&gt;8&lt;/number&gt;&lt;dates&gt;&lt;year&gt;2025&lt;/year&gt;&lt;/dates&gt;&lt;isbn&gt;0306-5251&lt;/isbn&gt;&lt;urls&gt;&lt;/urls&gt;&lt;/record&gt;&lt;/Cite&gt;&lt;/EndNote&gt;</w:instrText>
      </w:r>
      <w:r w:rsidR="00A52720" w:rsidRPr="002C21B8">
        <w:fldChar w:fldCharType="separate"/>
      </w:r>
      <w:r w:rsidR="00F238BA" w:rsidRPr="002C21B8">
        <w:t>(Hartjes</w:t>
      </w:r>
      <w:r w:rsidR="00F238BA" w:rsidRPr="002C21B8">
        <w:rPr>
          <w:i/>
        </w:rPr>
        <w:t xml:space="preserve"> et al.</w:t>
      </w:r>
      <w:r w:rsidR="00F238BA" w:rsidRPr="002C21B8">
        <w:t>, 2025)</w:t>
      </w:r>
      <w:r w:rsidR="00A52720" w:rsidRPr="002C21B8">
        <w:fldChar w:fldCharType="end"/>
      </w:r>
      <w:r w:rsidR="00A52720" w:rsidRPr="002C21B8">
        <w:t>.</w:t>
      </w:r>
    </w:p>
    <w:p w14:paraId="595E9980" w14:textId="726B600B" w:rsidR="002C294C" w:rsidRPr="002C21B8" w:rsidRDefault="002C294C" w:rsidP="00ED2D36">
      <w:pPr>
        <w:pStyle w:val="Heading4"/>
      </w:pPr>
      <w:r w:rsidRPr="002C21B8">
        <w:t>Provide patient information</w:t>
      </w:r>
    </w:p>
    <w:p w14:paraId="4A3DE4BB" w14:textId="7E571FE6" w:rsidR="0099438F" w:rsidRPr="002C21B8" w:rsidRDefault="00F601C1" w:rsidP="006E64CB">
      <w:r w:rsidRPr="002C21B8">
        <w:t xml:space="preserve">Providing patient information is </w:t>
      </w:r>
      <w:r w:rsidR="00B668DB" w:rsidRPr="002C21B8">
        <w:t>the</w:t>
      </w:r>
      <w:r w:rsidRPr="002C21B8">
        <w:t xml:space="preserve"> step in the </w:t>
      </w:r>
      <w:r w:rsidR="00AB44F4" w:rsidRPr="002C21B8">
        <w:t>WHO good prescribing guide</w:t>
      </w:r>
      <w:r w:rsidRPr="002C21B8">
        <w:t xml:space="preserve"> that focuses </w:t>
      </w:r>
      <w:r w:rsidR="00AB44F4" w:rsidRPr="002C21B8">
        <w:t xml:space="preserve">on </w:t>
      </w:r>
      <w:r w:rsidRPr="002C21B8">
        <w:t xml:space="preserve">giving </w:t>
      </w:r>
      <w:r w:rsidR="00AB44F4" w:rsidRPr="002C21B8">
        <w:t>patients</w:t>
      </w:r>
      <w:r w:rsidRPr="002C21B8">
        <w:t xml:space="preserve"> clear</w:t>
      </w:r>
      <w:r w:rsidR="00AB44F4" w:rsidRPr="002C21B8">
        <w:t xml:space="preserve"> instructions</w:t>
      </w:r>
      <w:r w:rsidR="00F67434" w:rsidRPr="002C21B8">
        <w:t xml:space="preserve"> </w:t>
      </w:r>
      <w:r w:rsidR="00AB44F4" w:rsidRPr="002C21B8">
        <w:t>and warnings to support them to take medi</w:t>
      </w:r>
      <w:r w:rsidR="00260141" w:rsidRPr="002C21B8">
        <w:t>cation</w:t>
      </w:r>
      <w:r w:rsidR="00AB44F4" w:rsidRPr="002C21B8">
        <w:t>s safely and effectively</w:t>
      </w:r>
      <w:r w:rsidR="0035339D" w:rsidRPr="002C21B8">
        <w:t xml:space="preserve"> </w:t>
      </w:r>
      <w:r w:rsidR="0035339D" w:rsidRPr="002C21B8">
        <w:fldChar w:fldCharType="begin"/>
      </w:r>
      <w:r w:rsidR="00E237C0" w:rsidRPr="002C21B8">
        <w:instrText xml:space="preserve"> ADDIN EN.CITE &lt;EndNote&gt;&lt;Cite&gt;&lt;Author&gt;Pollock&lt;/Author&gt;&lt;Year&gt;2007&lt;/Year&gt;&lt;RecNum&gt;125544&lt;/RecNum&gt;&lt;DisplayText&gt;(Pollock, Bazaldua and Dobbie, 2007)&lt;/DisplayText&gt;&lt;record&gt;&lt;rec-number&gt;125544&lt;/rec-number&gt;&lt;foreign-keys&gt;&lt;key app="EN" db-id="xpefzwa5hf9dt2ea9fax95x7xvxz90v09dtf" timestamp="1777574294"&gt;125544&lt;/key&gt;&lt;/foreign-keys&gt;&lt;ref-type name="Journal Article"&gt;17&lt;/ref-type&gt;&lt;contributors&gt;&lt;authors&gt;&lt;author&gt;Pollock, Madelyn&lt;/author&gt;&lt;author&gt;Bazaldua, Oralia V&lt;/author&gt;&lt;author&gt;Dobbie, Alison E&lt;/author&gt;&lt;/authors&gt;&lt;/contributors&gt;&lt;titles&gt;&lt;title&gt;Appropriate prescribing of medications: an eight-step approach&lt;/title&gt;&lt;secondary-title&gt;American Family Physician&lt;/secondary-title&gt;&lt;/titles&gt;&lt;periodical&gt;&lt;full-title&gt;American family physician&lt;/full-title&gt;&lt;/periodical&gt;&lt;pages&gt;231-236&lt;/pages&gt;&lt;volume&gt;75&lt;/volume&gt;&lt;number&gt;2&lt;/number&gt;&lt;dates&gt;&lt;year&gt;2007&lt;/year&gt;&lt;/dates&gt;&lt;urls&gt;&lt;/urls&gt;&lt;/record&gt;&lt;/Cite&gt;&lt;/EndNote&gt;</w:instrText>
      </w:r>
      <w:r w:rsidR="0035339D" w:rsidRPr="002C21B8">
        <w:fldChar w:fldCharType="separate"/>
      </w:r>
      <w:r w:rsidR="00E237C0" w:rsidRPr="002C21B8">
        <w:rPr>
          <w:noProof/>
        </w:rPr>
        <w:t>(Pollock, Bazaldua and Dobbie, 2007)</w:t>
      </w:r>
      <w:r w:rsidR="0035339D" w:rsidRPr="002C21B8">
        <w:fldChar w:fldCharType="end"/>
      </w:r>
      <w:r w:rsidR="00AB44F4" w:rsidRPr="002C21B8">
        <w:t xml:space="preserve">. However, information is also provided to patients during the specification of therapeutic </w:t>
      </w:r>
      <w:r w:rsidR="0035339D" w:rsidRPr="002C21B8">
        <w:t>objectives</w:t>
      </w:r>
      <w:r w:rsidR="00AB44F4" w:rsidRPr="002C21B8">
        <w:t xml:space="preserve"> and selection of appropriate treatment to support their informed and active participation in shared decision-making </w:t>
      </w:r>
      <w:r w:rsidR="003D0D81" w:rsidRPr="002C21B8">
        <w:fldChar w:fldCharType="begin"/>
      </w:r>
      <w:r w:rsidR="003D0D81" w:rsidRPr="002C21B8">
        <w:instrText xml:space="preserve"> ADDIN EN.CITE &lt;EndNote&gt;&lt;Cite&gt;&lt;Author&gt;Elwyn&lt;/Author&gt;&lt;Year&gt;2012&lt;/Year&gt;&lt;RecNum&gt;125143&lt;/RecNum&gt;&lt;DisplayText&gt;(Elwyn&lt;style face="italic"&gt; et al.&lt;/style&gt;, 2012)&lt;/DisplayText&gt;&lt;record&gt;&lt;rec-number&gt;125143&lt;/rec-number&gt;&lt;foreign-keys&gt;&lt;key app="EN" db-id="xpefzwa5hf9dt2ea9fax95x7xvxz90v09dtf" timestamp="1766397404"&gt;125143&lt;/key&gt;&lt;/foreign-keys&gt;&lt;ref-type name="Journal Article"&gt;17&lt;/ref-type&gt;&lt;contributors&gt;&lt;authors&gt;&lt;author&gt;Elwyn, Glyn&lt;/author&gt;&lt;author&gt;Frosch, Dominick&lt;/author&gt;&lt;author&gt;Thomson, Richard&lt;/author&gt;&lt;author&gt;Joseph-Williams, Natalie&lt;/author&gt;&lt;author&gt;Lloyd, Amy&lt;/author&gt;&lt;author&gt;Kinnersley, Paul&lt;/author&gt;&lt;author&gt;Cording, Emma&lt;/author&gt;&lt;author&gt;Tomson, Dave&lt;/author&gt;&lt;author&gt;Dodd, Carole&lt;/author&gt;&lt;author&gt;Rollnick, Stephen&lt;/author&gt;&lt;/authors&gt;&lt;/contributors&gt;&lt;titles&gt;&lt;title&gt;Shared decision making: a model for clinical practice&lt;/title&gt;&lt;secondary-title&gt;Journal of General Internal Medicine&lt;/secondary-title&gt;&lt;/titles&gt;&lt;periodical&gt;&lt;full-title&gt;Journal of general internal medicine&lt;/full-title&gt;&lt;/periodical&gt;&lt;pages&gt;1361-1367&lt;/pages&gt;&lt;volume&gt;27&lt;/volume&gt;&lt;number&gt;10&lt;/number&gt;&lt;dates&gt;&lt;year&gt;2012&lt;/year&gt;&lt;/dates&gt;&lt;isbn&gt;0884-8734&lt;/isbn&gt;&lt;urls&gt;&lt;/urls&gt;&lt;/record&gt;&lt;/Cite&gt;&lt;/EndNote&gt;</w:instrText>
      </w:r>
      <w:r w:rsidR="003D0D81" w:rsidRPr="002C21B8">
        <w:fldChar w:fldCharType="separate"/>
      </w:r>
      <w:r w:rsidR="003D0D81" w:rsidRPr="002C21B8">
        <w:rPr>
          <w:noProof/>
        </w:rPr>
        <w:t>(Elwyn</w:t>
      </w:r>
      <w:r w:rsidR="003D0D81" w:rsidRPr="002C21B8">
        <w:rPr>
          <w:i/>
          <w:noProof/>
        </w:rPr>
        <w:t xml:space="preserve"> et al.</w:t>
      </w:r>
      <w:r w:rsidR="003D0D81" w:rsidRPr="002C21B8">
        <w:rPr>
          <w:noProof/>
        </w:rPr>
        <w:t>, 2012)</w:t>
      </w:r>
      <w:r w:rsidR="003D0D81" w:rsidRPr="002C21B8">
        <w:fldChar w:fldCharType="end"/>
      </w:r>
      <w:r w:rsidR="00AB44F4" w:rsidRPr="002C21B8">
        <w:t xml:space="preserve">. In both contexts, providing information is important to ensure patient </w:t>
      </w:r>
      <w:r w:rsidR="006E64CB" w:rsidRPr="002C21B8">
        <w:t xml:space="preserve">satisfaction, treatment adherence and outcomes. </w:t>
      </w:r>
      <w:r w:rsidR="00AB44F4" w:rsidRPr="002C21B8">
        <w:t>This i</w:t>
      </w:r>
      <w:r w:rsidR="006E64CB" w:rsidRPr="002C21B8">
        <w:t>nformation can be given verbally during consultations or non-verbally th</w:t>
      </w:r>
      <w:r w:rsidR="00400CE9" w:rsidRPr="002C21B8">
        <w:t>r</w:t>
      </w:r>
      <w:r w:rsidR="006E64CB" w:rsidRPr="002C21B8">
        <w:t xml:space="preserve">ough </w:t>
      </w:r>
      <w:r w:rsidR="006C5047" w:rsidRPr="002C21B8">
        <w:t>written materials</w:t>
      </w:r>
      <w:r w:rsidR="006E64CB" w:rsidRPr="002C21B8">
        <w:t xml:space="preserve">. How this information is framed </w:t>
      </w:r>
      <w:r w:rsidR="00400CE9" w:rsidRPr="002C21B8">
        <w:t>is</w:t>
      </w:r>
      <w:r w:rsidR="003D0D81" w:rsidRPr="002C21B8">
        <w:t xml:space="preserve"> important </w:t>
      </w:r>
      <w:r w:rsidR="006E64CB" w:rsidRPr="002C21B8">
        <w:t xml:space="preserve">for patient understanding and </w:t>
      </w:r>
      <w:r w:rsidR="003D0D81" w:rsidRPr="002C21B8">
        <w:t xml:space="preserve">can influence the </w:t>
      </w:r>
      <w:r w:rsidR="006E64CB" w:rsidRPr="002C21B8">
        <w:t xml:space="preserve">uptake of </w:t>
      </w:r>
      <w:r w:rsidR="00941CD0" w:rsidRPr="002C21B8">
        <w:t>medication</w:t>
      </w:r>
      <w:r w:rsidR="006E64CB" w:rsidRPr="002C21B8">
        <w:t xml:space="preserve">s </w:t>
      </w:r>
      <w:r w:rsidR="0099438F" w:rsidRPr="002C21B8">
        <w:fldChar w:fldCharType="begin"/>
      </w:r>
      <w:r w:rsidR="001445B8" w:rsidRPr="002C21B8">
        <w:instrText xml:space="preserve"> ADDIN EN.CITE &lt;EndNote&gt;&lt;Cite&gt;&lt;Author&gt;Coulter&lt;/Author&gt;&lt;Year&gt;2007&lt;/Year&gt;&lt;RecNum&gt;125363&lt;/RecNum&gt;&lt;DisplayText&gt;(Coulter and Ellins, 2007; National Academies of Sciences, 2017)&lt;/DisplayText&gt;&lt;record&gt;&lt;rec-number&gt;125363&lt;/rec-number&gt;&lt;foreign-keys&gt;&lt;key app="EN" db-id="xpefzwa5hf9dt2ea9fax95x7xvxz90v09dtf" timestamp="1775291183"&gt;125363&lt;/key&gt;&lt;/foreign-keys&gt;&lt;ref-type name="Journal Article"&gt;17&lt;/ref-type&gt;&lt;contributors&gt;&lt;authors&gt;&lt;author&gt;Coulter, Angela&lt;/author&gt;&lt;author&gt;Ellins, Jo&lt;/author&gt;&lt;/authors&gt;&lt;/contributors&gt;&lt;titles&gt;&lt;title&gt;Effectiveness of strategies for informing, educating, and involving patients&lt;/title&gt;&lt;secondary-title&gt;Bmj&lt;/secondary-title&gt;&lt;/titles&gt;&lt;periodical&gt;&lt;full-title&gt;BMJ&lt;/full-title&gt;&lt;/periodical&gt;&lt;pages&gt;24-27&lt;/pages&gt;&lt;volume&gt;335&lt;/volume&gt;&lt;number&gt;7609&lt;/number&gt;&lt;dates&gt;&lt;year&gt;2007&lt;/year&gt;&lt;/dates&gt;&lt;isbn&gt;0959-8138&lt;/isbn&gt;&lt;urls&gt;&lt;/urls&gt;&lt;/record&gt;&lt;/Cite&gt;&lt;Cite&gt;&lt;Author&gt;National Academies of Sciences&lt;/Author&gt;&lt;Year&gt;2017&lt;/Year&gt;&lt;RecNum&gt;125364&lt;/RecNum&gt;&lt;record&gt;&lt;rec-number&gt;125364&lt;/rec-number&gt;&lt;foreign-keys&gt;&lt;key app="EN" db-id="xpefzwa5hf9dt2ea9fax95x7xvxz90v09dtf" timestamp="1775291229"&gt;125364&lt;/key&gt;&lt;/foreign-keys&gt;&lt;ref-type name="Book"&gt;6&lt;/ref-type&gt;&lt;contributors&gt;&lt;authors&gt;&lt;author&gt;National Academies of Sciences, Engineering and Medicine,&lt;/author&gt;&lt;/authors&gt;&lt;/contributors&gt;&lt;titles&gt;&lt;title&gt;Communicating Clearly about Medicines: Proceedings of a Workshop&lt;/title&gt;&lt;/titles&gt;&lt;section&gt;1-124&lt;/section&gt;&lt;dates&gt;&lt;year&gt;2017&lt;/year&gt;&lt;/dates&gt;&lt;publisher&gt;National Academies Press&lt;/publisher&gt;&lt;isbn&gt;0309461855&lt;/isbn&gt;&lt;urls&gt;&lt;/urls&gt;&lt;/record&gt;&lt;/Cite&gt;&lt;/EndNote&gt;</w:instrText>
      </w:r>
      <w:r w:rsidR="0099438F" w:rsidRPr="002C21B8">
        <w:fldChar w:fldCharType="separate"/>
      </w:r>
      <w:r w:rsidR="00725AE2" w:rsidRPr="002C21B8">
        <w:rPr>
          <w:noProof/>
        </w:rPr>
        <w:t>(Coulter and Ellins, 2007; National Academies of Sciences, 2017)</w:t>
      </w:r>
      <w:r w:rsidR="0099438F" w:rsidRPr="002C21B8">
        <w:fldChar w:fldCharType="end"/>
      </w:r>
      <w:r w:rsidR="0099438F" w:rsidRPr="002C21B8">
        <w:t>.</w:t>
      </w:r>
    </w:p>
    <w:p w14:paraId="5AA4105B" w14:textId="667E4B3C" w:rsidR="002C294C" w:rsidRPr="002C21B8" w:rsidRDefault="002C294C" w:rsidP="00ED2D36">
      <w:pPr>
        <w:pStyle w:val="Heading4"/>
      </w:pPr>
      <w:r w:rsidRPr="002C21B8">
        <w:lastRenderedPageBreak/>
        <w:t>Monitor treatment</w:t>
      </w:r>
    </w:p>
    <w:p w14:paraId="7DEE4317" w14:textId="2BC017EB" w:rsidR="003C2902" w:rsidRPr="002C21B8" w:rsidRDefault="006E64CB" w:rsidP="00B94EA0">
      <w:r w:rsidRPr="002C21B8">
        <w:t>M</w:t>
      </w:r>
      <w:r w:rsidR="000F4667" w:rsidRPr="002C21B8">
        <w:t xml:space="preserve">onitoring </w:t>
      </w:r>
      <w:r w:rsidR="00F67434" w:rsidRPr="002C21B8">
        <w:t>includes</w:t>
      </w:r>
      <w:r w:rsidRPr="002C21B8">
        <w:t xml:space="preserve"> </w:t>
      </w:r>
      <w:r w:rsidR="00F67434" w:rsidRPr="002C21B8">
        <w:t xml:space="preserve">the </w:t>
      </w:r>
      <w:r w:rsidR="000F4667" w:rsidRPr="002C21B8">
        <w:t>evaluat</w:t>
      </w:r>
      <w:r w:rsidRPr="002C21B8">
        <w:t>i</w:t>
      </w:r>
      <w:r w:rsidR="00F67434" w:rsidRPr="002C21B8">
        <w:t>o</w:t>
      </w:r>
      <w:r w:rsidRPr="002C21B8">
        <w:t>n</w:t>
      </w:r>
      <w:r w:rsidR="00F67434" w:rsidRPr="002C21B8">
        <w:t xml:space="preserve"> of</w:t>
      </w:r>
      <w:r w:rsidRPr="002C21B8">
        <w:t xml:space="preserve"> </w:t>
      </w:r>
      <w:r w:rsidR="00F67434" w:rsidRPr="002C21B8">
        <w:t xml:space="preserve">the </w:t>
      </w:r>
      <w:r w:rsidR="000F4667" w:rsidRPr="002C21B8">
        <w:t xml:space="preserve">effectiveness, safety and </w:t>
      </w:r>
      <w:r w:rsidR="000A43B1" w:rsidRPr="002C21B8">
        <w:t xml:space="preserve">patient </w:t>
      </w:r>
      <w:r w:rsidR="000F4667" w:rsidRPr="002C21B8">
        <w:t>adherence</w:t>
      </w:r>
      <w:r w:rsidR="00B94EA0" w:rsidRPr="002C21B8">
        <w:t xml:space="preserve"> </w:t>
      </w:r>
      <w:r w:rsidR="00F67434" w:rsidRPr="002C21B8">
        <w:t>of a medic</w:t>
      </w:r>
      <w:r w:rsidR="00FC6210" w:rsidRPr="002C21B8">
        <w:t>ation</w:t>
      </w:r>
      <w:r w:rsidR="00F67434" w:rsidRPr="002C21B8">
        <w:t xml:space="preserve"> </w:t>
      </w:r>
      <w:r w:rsidR="00B94EA0" w:rsidRPr="002C21B8">
        <w:t xml:space="preserve">through </w:t>
      </w:r>
      <w:r w:rsidR="000F4667" w:rsidRPr="002C21B8">
        <w:t>follow-up consultations</w:t>
      </w:r>
      <w:r w:rsidR="00B94EA0" w:rsidRPr="002C21B8">
        <w:t xml:space="preserve"> and </w:t>
      </w:r>
      <w:r w:rsidR="000F4667" w:rsidRPr="002C21B8">
        <w:t>laboratory tests</w:t>
      </w:r>
      <w:r w:rsidR="00B94EA0" w:rsidRPr="002C21B8">
        <w:t xml:space="preserve">. This may lead to </w:t>
      </w:r>
      <w:r w:rsidR="000A43B1" w:rsidRPr="002C21B8">
        <w:t xml:space="preserve">dose </w:t>
      </w:r>
      <w:r w:rsidR="00B94EA0" w:rsidRPr="002C21B8">
        <w:t xml:space="preserve">changes, switching to alternative </w:t>
      </w:r>
      <w:r w:rsidR="00F0784F" w:rsidRPr="002C21B8">
        <w:t>medication</w:t>
      </w:r>
      <w:r w:rsidR="00B94EA0" w:rsidRPr="002C21B8">
        <w:t xml:space="preserve">s or discontinuation. </w:t>
      </w:r>
      <w:r w:rsidR="000F4667" w:rsidRPr="002C21B8">
        <w:t xml:space="preserve">The need for monitoring may influence whether a </w:t>
      </w:r>
      <w:r w:rsidR="009B576F" w:rsidRPr="002C21B8">
        <w:t>medic</w:t>
      </w:r>
      <w:r w:rsidR="00F90271" w:rsidRPr="002C21B8">
        <w:t>ation</w:t>
      </w:r>
      <w:r w:rsidR="000F4667" w:rsidRPr="002C21B8">
        <w:t xml:space="preserve"> is prescribed. At the healthcare system level, monitoring requires additional resources </w:t>
      </w:r>
      <w:r w:rsidR="0073197B" w:rsidRPr="002C21B8">
        <w:t xml:space="preserve">that could make initiating a </w:t>
      </w:r>
      <w:r w:rsidR="009B576F" w:rsidRPr="002C21B8">
        <w:t>medic</w:t>
      </w:r>
      <w:r w:rsidR="00781B92" w:rsidRPr="002C21B8">
        <w:t>ation</w:t>
      </w:r>
      <w:r w:rsidR="0073197B" w:rsidRPr="002C21B8">
        <w:t xml:space="preserve"> unfeasible</w:t>
      </w:r>
      <w:r w:rsidR="00B94EA0" w:rsidRPr="002C21B8">
        <w:t xml:space="preserve">. </w:t>
      </w:r>
      <w:r w:rsidR="00D66B43" w:rsidRPr="002C21B8">
        <w:t>In practice, m</w:t>
      </w:r>
      <w:r w:rsidR="00B94EA0" w:rsidRPr="002C21B8">
        <w:t xml:space="preserve">onitoring requirements may also deter patients from starting a </w:t>
      </w:r>
      <w:r w:rsidR="009B576F" w:rsidRPr="002C21B8">
        <w:t>medic</w:t>
      </w:r>
      <w:r w:rsidR="00781B92" w:rsidRPr="002C21B8">
        <w:t>ation</w:t>
      </w:r>
      <w:r w:rsidR="009E63CB" w:rsidRPr="002C21B8">
        <w:t>,</w:t>
      </w:r>
      <w:r w:rsidR="00B94EA0" w:rsidRPr="002C21B8">
        <w:t xml:space="preserve"> as </w:t>
      </w:r>
      <w:r w:rsidR="00FE0C68" w:rsidRPr="002C21B8">
        <w:t>patients may then perceive the medic</w:t>
      </w:r>
      <w:r w:rsidR="00781B92" w:rsidRPr="002C21B8">
        <w:t>ation</w:t>
      </w:r>
      <w:r w:rsidR="00FE0C68" w:rsidRPr="002C21B8">
        <w:t xml:space="preserve"> to be high </w:t>
      </w:r>
      <w:r w:rsidR="00B94EA0" w:rsidRPr="002C21B8">
        <w:t xml:space="preserve">risk or </w:t>
      </w:r>
      <w:r w:rsidR="00FE0C68" w:rsidRPr="002C21B8">
        <w:t xml:space="preserve">find </w:t>
      </w:r>
      <w:r w:rsidR="00B94EA0" w:rsidRPr="002C21B8">
        <w:t>attending additional appointments</w:t>
      </w:r>
      <w:r w:rsidR="006C5047" w:rsidRPr="002C21B8">
        <w:t xml:space="preserve"> </w:t>
      </w:r>
      <w:r w:rsidR="00B94EA0" w:rsidRPr="002C21B8">
        <w:t xml:space="preserve">burdensome </w:t>
      </w:r>
      <w:r w:rsidR="007B29CA" w:rsidRPr="002C21B8">
        <w:fldChar w:fldCharType="begin"/>
      </w:r>
      <w:r w:rsidR="002726AE" w:rsidRPr="002C21B8">
        <w:instrText xml:space="preserve"> ADDIN EN.CITE &lt;EndNote&gt;&lt;Cite&gt;&lt;Author&gt;Picco&lt;/Author&gt;&lt;Year&gt;2021&lt;/Year&gt;&lt;RecNum&gt;125032&lt;/RecNum&gt;&lt;DisplayText&gt;(Picco&lt;style face="italic"&gt; et al.&lt;/style&gt;, 2021)&lt;/DisplayText&gt;&lt;record&gt;&lt;rec-number&gt;125032&lt;/rec-number&gt;&lt;foreign-keys&gt;&lt;key app="EN" db-id="xpefzwa5hf9dt2ea9fax95x7xvxz90v09dtf" timestamp="1758533771"&gt;125032&lt;/key&gt;&lt;/foreign-keys&gt;&lt;ref-type name="Journal Article"&gt;17&lt;/ref-type&gt;&lt;contributors&gt;&lt;authors&gt;&lt;author&gt;Picco, Louisa&lt;/author&gt;&lt;author&gt;Lam, Tina&lt;/author&gt;&lt;author&gt;Haines, Sarah&lt;/author&gt;&lt;author&gt;Nielsen, Suzanne&lt;/author&gt;&lt;/authors&gt;&lt;/contributors&gt;&lt;titles&gt;&lt;title&gt;How prescription drug monitoring programs influence clinical decision-making: a mixed methods systematic review and meta-analysis&lt;/title&gt;&lt;secondary-title&gt;Drug and Alcohol Dependence&lt;/secondary-title&gt;&lt;/titles&gt;&lt;periodical&gt;&lt;full-title&gt;Drug and Alcohol Dependence&lt;/full-title&gt;&lt;/periodical&gt;&lt;pages&gt;109090&lt;/pages&gt;&lt;volume&gt;228&lt;/volume&gt;&lt;dates&gt;&lt;year&gt;2021&lt;/year&gt;&lt;/dates&gt;&lt;isbn&gt;0376-8716&lt;/isbn&gt;&lt;urls&gt;&lt;/urls&gt;&lt;/record&gt;&lt;/Cite&gt;&lt;/EndNote&gt;</w:instrText>
      </w:r>
      <w:r w:rsidR="007B29CA" w:rsidRPr="002C21B8">
        <w:fldChar w:fldCharType="separate"/>
      </w:r>
      <w:r w:rsidR="007B29CA" w:rsidRPr="002C21B8">
        <w:rPr>
          <w:noProof/>
        </w:rPr>
        <w:t>(Picco</w:t>
      </w:r>
      <w:r w:rsidR="007B29CA" w:rsidRPr="002C21B8">
        <w:rPr>
          <w:i/>
          <w:noProof/>
        </w:rPr>
        <w:t xml:space="preserve"> et al.</w:t>
      </w:r>
      <w:r w:rsidR="007B29CA" w:rsidRPr="002C21B8">
        <w:rPr>
          <w:noProof/>
        </w:rPr>
        <w:t>, 2021)</w:t>
      </w:r>
      <w:r w:rsidR="007B29CA" w:rsidRPr="002C21B8">
        <w:fldChar w:fldCharType="end"/>
      </w:r>
      <w:r w:rsidR="007B29CA" w:rsidRPr="002C21B8">
        <w:t>.</w:t>
      </w:r>
    </w:p>
    <w:p w14:paraId="3402B43B" w14:textId="4B158D05" w:rsidR="00F1035E" w:rsidRPr="002C21B8" w:rsidRDefault="00CB10A3" w:rsidP="004507C8">
      <w:pPr>
        <w:pStyle w:val="Heading3"/>
      </w:pPr>
      <w:r w:rsidRPr="002C21B8">
        <w:t>Describing v</w:t>
      </w:r>
      <w:r w:rsidR="00F1035E" w:rsidRPr="002C21B8">
        <w:t>ariation in prescribing practices</w:t>
      </w:r>
    </w:p>
    <w:p w14:paraId="0DC31544" w14:textId="5F0B201A" w:rsidR="008C19D6" w:rsidRPr="002C21B8" w:rsidRDefault="00CB10A3" w:rsidP="00EE1545">
      <w:r w:rsidRPr="002C21B8">
        <w:t xml:space="preserve">As illustrated in </w:t>
      </w:r>
      <w:hyperlink w:anchor="_The_prescribing_process" w:history="1">
        <w:r w:rsidRPr="002C21B8">
          <w:rPr>
            <w:rStyle w:val="Hyperlink"/>
          </w:rPr>
          <w:t xml:space="preserve">Section </w:t>
        </w:r>
        <w:r w:rsidR="007A4606" w:rsidRPr="002C21B8">
          <w:rPr>
            <w:rStyle w:val="Hyperlink"/>
          </w:rPr>
          <w:t>2.3.1</w:t>
        </w:r>
      </w:hyperlink>
      <w:r w:rsidRPr="002C21B8">
        <w:t>, prescribing involves multiple steps and decision points</w:t>
      </w:r>
      <w:r w:rsidR="00B5430D" w:rsidRPr="002C21B8">
        <w:t>,</w:t>
      </w:r>
      <w:r w:rsidRPr="002C21B8">
        <w:t xml:space="preserve"> </w:t>
      </w:r>
      <w:r w:rsidR="00B5430D" w:rsidRPr="002C21B8">
        <w:t>this</w:t>
      </w:r>
      <w:r w:rsidRPr="002C21B8">
        <w:t xml:space="preserve"> make</w:t>
      </w:r>
      <w:r w:rsidR="00B5430D" w:rsidRPr="002C21B8">
        <w:t>s</w:t>
      </w:r>
      <w:r w:rsidRPr="002C21B8">
        <w:t xml:space="preserve"> it inherently prone to variation </w:t>
      </w:r>
      <w:r w:rsidR="00EC546B" w:rsidRPr="002C21B8">
        <w:fldChar w:fldCharType="begin">
          <w:fldData xml:space="preserve">PEVuZE5vdGU+PENpdGU+PEF1dGhvcj5EYXZhcmk8L0F1dGhvcj48WWVhcj4yMDE4PC9ZZWFyPjxS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=
</w:fldData>
        </w:fldChar>
      </w:r>
      <w:r w:rsidR="00CE4967" w:rsidRPr="002C21B8">
        <w:instrText xml:space="preserve"> ADDIN EN.CITE </w:instrText>
      </w:r>
      <w:r w:rsidR="00CE4967" w:rsidRPr="002C21B8">
        <w:fldChar w:fldCharType="begin">
          <w:fldData xml:space="preserve">PEVuZE5vdGU+PENpdGU+PEF1dGhvcj5EYXZhcmk8L0F1dGhvcj48WWVhcj4yMDE4PC9ZZWFyPjxS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=
</w:fldData>
        </w:fldChar>
      </w:r>
      <w:r w:rsidR="00CE4967" w:rsidRPr="002C21B8">
        <w:instrText xml:space="preserve"> ADDIN EN.CITE.DATA </w:instrText>
      </w:r>
      <w:r w:rsidR="00CE4967" w:rsidRPr="002C21B8">
        <w:fldChar w:fldCharType="end"/>
      </w:r>
      <w:r w:rsidR="00EC546B" w:rsidRPr="002C21B8">
        <w:fldChar w:fldCharType="separate"/>
      </w:r>
      <w:r w:rsidR="00EC546B" w:rsidRPr="002C21B8">
        <w:rPr>
          <w:noProof/>
        </w:rPr>
        <w:t>(Davari, Khorasani and Tigabu, 2018)</w:t>
      </w:r>
      <w:r w:rsidR="00EC546B" w:rsidRPr="002C21B8">
        <w:fldChar w:fldCharType="end"/>
      </w:r>
      <w:r w:rsidR="006D1F21" w:rsidRPr="002C21B8">
        <w:t xml:space="preserve">. </w:t>
      </w:r>
      <w:r w:rsidR="002E69B0" w:rsidRPr="002C21B8">
        <w:t xml:space="preserve">Variation in </w:t>
      </w:r>
      <w:r w:rsidR="00EE1545" w:rsidRPr="002C21B8">
        <w:t>prescribing</w:t>
      </w:r>
      <w:r w:rsidR="002E69B0" w:rsidRPr="002C21B8">
        <w:t xml:space="preserve"> practices refers to </w:t>
      </w:r>
      <w:r w:rsidR="00EE1545" w:rsidRPr="002C21B8">
        <w:t>measurable</w:t>
      </w:r>
      <w:r w:rsidR="002E69B0" w:rsidRPr="002C21B8">
        <w:t xml:space="preserve"> </w:t>
      </w:r>
      <w:r w:rsidR="00EE1545" w:rsidRPr="002C21B8">
        <w:t>differences</w:t>
      </w:r>
      <w:r w:rsidR="002E69B0" w:rsidRPr="002C21B8">
        <w:t xml:space="preserve"> in how </w:t>
      </w:r>
      <w:r w:rsidR="00EE1545" w:rsidRPr="002C21B8">
        <w:t>clinicians</w:t>
      </w:r>
      <w:r w:rsidR="002E69B0" w:rsidRPr="002C21B8">
        <w:t xml:space="preserve"> select, dose or monitor </w:t>
      </w:r>
      <w:r w:rsidR="00EE1545" w:rsidRPr="002C21B8">
        <w:t>medications</w:t>
      </w:r>
      <w:r w:rsidR="002E69B0" w:rsidRPr="002C21B8">
        <w:t xml:space="preserve"> for the same conditions</w:t>
      </w:r>
      <w:r w:rsidR="000471FF" w:rsidRPr="002C21B8">
        <w:t xml:space="preserve"> </w:t>
      </w:r>
      <w:r w:rsidR="000471FF" w:rsidRPr="002C21B8">
        <w:fldChar w:fldCharType="begin"/>
      </w:r>
      <w:r w:rsidR="00590E88" w:rsidRPr="002C21B8">
        <w:instrText xml:space="preserve"> ADDIN EN.CITE &lt;EndNote&gt;&lt;Cite&gt;&lt;Author&gt;Maxwell&lt;/Author&gt;&lt;Year&gt;2016&lt;/Year&gt;&lt;RecNum&gt;5296&lt;/RecNum&gt;&lt;DisplayText&gt;(Maxwell, 2016)&lt;/DisplayText&gt;&lt;record&gt;&lt;rec-number&gt;5296&lt;/rec-number&gt;&lt;foreign-keys&gt;&lt;key app="EN" db-id="xpefzwa5hf9dt2ea9fax95x7xvxz90v09dtf" timestamp="1701256917"&gt;5296&lt;/key&gt;&lt;/foreign-keys&gt;&lt;ref-type name="Journal Article"&gt;17&lt;/ref-type&gt;&lt;contributors&gt;&lt;authors&gt;&lt;author&gt;Maxwell, S. R.&lt;/author&gt;&lt;/authors&gt;&lt;/contributors&gt;&lt;auth-address&gt;University of Edinburgh, Edinburgh, UK and honorary consultant physician, Western General Hospital, Edinburgh, UK s.maxwell@ed.ac.uk.&lt;/auth-address&gt;&lt;titles&gt;&lt;title&gt;Rational prescribing: the principles of drug selection&lt;/title&gt;&lt;secondary-title&gt;Clinical Medicine&lt;/secondary-title&gt;&lt;/titles&gt;&lt;periodical&gt;&lt;full-title&gt;Clinical Medicine&lt;/full-title&gt;&lt;/periodical&gt;&lt;pages&gt;459-464&lt;/pages&gt;&lt;volume&gt;16&lt;/volume&gt;&lt;number&gt;5&lt;/number&gt;&lt;keywords&gt;&lt;keyword&gt;*Drug Prescriptions&lt;/keyword&gt;&lt;keyword&gt;*Drug Therapy/methods/standards&lt;/keyword&gt;&lt;keyword&gt;Humans&lt;/keyword&gt;&lt;keyword&gt;Precision Medicine&lt;/keyword&gt;&lt;keyword&gt;Drug selection&lt;/keyword&gt;&lt;keyword&gt;interindividual variation&lt;/keyword&gt;&lt;keyword&gt;monitoring therapy&lt;/keyword&gt;&lt;keyword&gt;personalised medicine&lt;/keyword&gt;&lt;keyword&gt;prescribing&lt;/keyword&gt;&lt;keyword&gt;rational prescribing&lt;/keyword&gt;&lt;/keywords&gt;&lt;dates&gt;&lt;year&gt;2016&lt;/year&gt;&lt;pub-dates&gt;&lt;date&gt;Oct&lt;/date&gt;&lt;/pub-dates&gt;&lt;/dates&gt;&lt;isbn&gt;1470-2118 (Print)&amp;#xD;1470-2118&lt;/isbn&gt;&lt;accession-num&gt;27697811&lt;/accession-num&gt;&lt;urls&gt;&lt;/urls&gt;&lt;custom2&gt;PMC6297291&lt;/custom2&gt;&lt;electronic-resource-num&gt;10.7861/clinmedicine.16-5-459&lt;/electronic-resource-num&gt;&lt;remote-database-provider&gt;NLM&lt;/remote-database-provider&gt;&lt;language&gt;eng&lt;/language&gt;&lt;/record&gt;&lt;/Cite&gt;&lt;/EndNote&gt;</w:instrText>
      </w:r>
      <w:r w:rsidR="000471FF" w:rsidRPr="002C21B8">
        <w:fldChar w:fldCharType="separate"/>
      </w:r>
      <w:r w:rsidR="000471FF" w:rsidRPr="002C21B8">
        <w:rPr>
          <w:noProof/>
        </w:rPr>
        <w:t>(Maxwell, 2016)</w:t>
      </w:r>
      <w:r w:rsidR="000471FF" w:rsidRPr="002C21B8">
        <w:fldChar w:fldCharType="end"/>
      </w:r>
      <w:r w:rsidR="002E69B0" w:rsidRPr="002C21B8">
        <w:t xml:space="preserve">. </w:t>
      </w:r>
      <w:r w:rsidR="00722B47" w:rsidRPr="002C21B8">
        <w:t xml:space="preserve">Not all </w:t>
      </w:r>
      <w:r w:rsidR="00D70210" w:rsidRPr="002C21B8">
        <w:t xml:space="preserve">variation is undesirable, as it may reflect appropriate personalisation of care </w:t>
      </w:r>
      <w:r w:rsidR="007A4606" w:rsidRPr="002C21B8">
        <w:fldChar w:fldCharType="begin"/>
      </w:r>
      <w:r w:rsidR="007A4606" w:rsidRPr="002C21B8">
        <w:instrText xml:space="preserve"> ADDIN EN.CITE &lt;EndNote&gt;&lt;Cite&gt;&lt;Author&gt;Atsma&lt;/Author&gt;&lt;Year&gt;2020&lt;/Year&gt;&lt;RecNum&gt;125501&lt;/RecNum&gt;&lt;DisplayText&gt;(Atsma, Elwyn and Westert, 2020)&lt;/DisplayText&gt;&lt;record&gt;&lt;rec-number&gt;125501&lt;/rec-number&gt;&lt;foreign-keys&gt;&lt;key app="EN" db-id="xpefzwa5hf9dt2ea9fax95x7xvxz90v09dtf" timestamp="1777026084"&gt;125501&lt;/key&gt;&lt;/foreign-keys&gt;&lt;ref-type name="Journal Article"&gt;17&lt;/ref-type&gt;&lt;contributors&gt;&lt;authors&gt;&lt;author&gt;Atsma, Femke&lt;/author&gt;&lt;author&gt;Elwyn, Glyn&lt;/author&gt;&lt;author&gt;Westert, Gert&lt;/author&gt;&lt;/authors&gt;&lt;/contributors&gt;&lt;titles&gt;&lt;title&gt;Understanding unwarranted variation in clinical practice: a focus on network effects, reflective medicine and learning health systems&lt;/title&gt;&lt;secondary-title&gt;International Journal for Quality in Health Care&lt;/secondary-title&gt;&lt;/titles&gt;&lt;periodical&gt;&lt;full-title&gt;International journal for quality in health care&lt;/full-title&gt;&lt;/periodical&gt;&lt;pages&gt;271-274&lt;/pages&gt;&lt;volume&gt;32&lt;/volume&gt;&lt;number&gt;4&lt;/number&gt;&lt;dates&gt;&lt;year&gt;2020&lt;/year&gt;&lt;/dates&gt;&lt;isbn&gt;1353-4505&lt;/isbn&gt;&lt;urls&gt;&lt;/urls&gt;&lt;/record&gt;&lt;/Cite&gt;&lt;/EndNote&gt;</w:instrText>
      </w:r>
      <w:r w:rsidR="007A4606" w:rsidRPr="002C21B8">
        <w:fldChar w:fldCharType="separate"/>
      </w:r>
      <w:r w:rsidR="007A4606" w:rsidRPr="002C21B8">
        <w:rPr>
          <w:noProof/>
        </w:rPr>
        <w:t>(Atsma, Elwyn and Westert, 2020)</w:t>
      </w:r>
      <w:r w:rsidR="007A4606" w:rsidRPr="002C21B8">
        <w:fldChar w:fldCharType="end"/>
      </w:r>
      <w:r w:rsidR="007A4606" w:rsidRPr="002C21B8">
        <w:t xml:space="preserve">. </w:t>
      </w:r>
      <w:r w:rsidR="008C19D6" w:rsidRPr="002C21B8">
        <w:fldChar w:fldCharType="begin"/>
      </w:r>
      <w:r w:rsidR="000215B0" w:rsidRPr="002C21B8">
        <w:instrText xml:space="preserve"> ADDIN EN.CITE &lt;EndNote&gt;&lt;Cite AuthorYear="1"&gt;&lt;Author&gt;Wennberg&lt;/Author&gt;&lt;Year&gt;2002&lt;/Year&gt;&lt;RecNum&gt;4971&lt;/RecNum&gt;&lt;DisplayText&gt;Wennberg (2002)&lt;/DisplayText&gt;&lt;record&gt;&lt;rec-number&gt;4971&lt;/rec-number&gt;&lt;foreign-keys&gt;&lt;key app="EN" db-id="xpefzwa5hf9dt2ea9fax95x7xvxz90v09dtf" timestamp="1699805684"&gt;4971&lt;/key&gt;&lt;/foreign-keys&gt;&lt;ref-type name="Journal Article"&gt;17&lt;/ref-type&gt;&lt;contributors&gt;&lt;authors&gt;&lt;author&gt;Wennberg, John E&lt;/author&gt;&lt;/authors&gt;&lt;/contributors&gt;&lt;titles&gt;&lt;title&gt;Unwarranted variations in healthcare delivery: implications for academic medical centres&lt;/title&gt;&lt;secondary-title&gt;BMJ&lt;/secondary-title&gt;&lt;/titles&gt;&lt;periodical&gt;&lt;full-title&gt;BMJ&lt;/full-title&gt;&lt;/periodical&gt;&lt;pages&gt;961-964&lt;/pages&gt;&lt;volume&gt;325&lt;/volume&gt;&lt;number&gt;7370&lt;/number&gt;&lt;dates&gt;&lt;year&gt;2002&lt;/year&gt;&lt;/dates&gt;&lt;isbn&gt;0959-8138&lt;/isbn&gt;&lt;urls&gt;&lt;/urls&gt;&lt;/record&gt;&lt;/Cite&gt;&lt;/EndNote&gt;</w:instrText>
      </w:r>
      <w:r w:rsidR="008C19D6" w:rsidRPr="002C21B8">
        <w:fldChar w:fldCharType="separate"/>
      </w:r>
      <w:r w:rsidR="007A4606" w:rsidRPr="002C21B8">
        <w:rPr>
          <w:noProof/>
        </w:rPr>
        <w:t>Wennberg (2002)</w:t>
      </w:r>
      <w:r w:rsidR="008C19D6" w:rsidRPr="002C21B8">
        <w:fldChar w:fldCharType="end"/>
      </w:r>
      <w:r w:rsidR="007A4606" w:rsidRPr="002C21B8">
        <w:t xml:space="preserve"> describes variation in terms of warranted and unwarranted variation:</w:t>
      </w:r>
    </w:p>
    <w:p w14:paraId="1E743122" w14:textId="027DE710" w:rsidR="008C19D6" w:rsidRPr="002C21B8" w:rsidRDefault="008C19D6" w:rsidP="00A97F07">
      <w:pPr>
        <w:pStyle w:val="ListParagraph"/>
        <w:numPr>
          <w:ilvl w:val="0"/>
          <w:numId w:val="8"/>
        </w:numPr>
      </w:pPr>
      <w:r w:rsidRPr="002C21B8">
        <w:rPr>
          <w:b/>
          <w:bCs/>
        </w:rPr>
        <w:t>Warranted variation:</w:t>
      </w:r>
      <w:r w:rsidRPr="002C21B8">
        <w:t xml:space="preserve"> This is due to the different demographic, socioeconomic or clinical profile of the patients seen by a healthcare provider</w:t>
      </w:r>
    </w:p>
    <w:p w14:paraId="29AE4AB1" w14:textId="6064564E" w:rsidR="008C19D6" w:rsidRPr="002C21B8" w:rsidRDefault="008C19D6" w:rsidP="00A97F07">
      <w:pPr>
        <w:pStyle w:val="ListParagraph"/>
        <w:numPr>
          <w:ilvl w:val="0"/>
          <w:numId w:val="8"/>
        </w:numPr>
      </w:pPr>
      <w:r w:rsidRPr="002C21B8">
        <w:rPr>
          <w:b/>
          <w:bCs/>
        </w:rPr>
        <w:t xml:space="preserve">Unwarranted variation: </w:t>
      </w:r>
      <w:r w:rsidRPr="002C21B8">
        <w:t>This is unrelated to demographic or any other factors external to the provider and can be linked to non-evidence-based or inefficient clinical practice, management failings or other centre-level factors</w:t>
      </w:r>
    </w:p>
    <w:p w14:paraId="7C8CFEC6" w14:textId="6748A489" w:rsidR="00EE1545" w:rsidRPr="002C21B8" w:rsidRDefault="00EE1545" w:rsidP="00EE1545">
      <w:r w:rsidRPr="002C21B8">
        <w:t xml:space="preserve">The overall goal should be to reduce </w:t>
      </w:r>
      <w:r w:rsidR="00601DA5" w:rsidRPr="002C21B8">
        <w:t>unwarranted</w:t>
      </w:r>
      <w:r w:rsidRPr="002C21B8">
        <w:t xml:space="preserve"> variation, which </w:t>
      </w:r>
      <w:r w:rsidR="00722B47" w:rsidRPr="002C21B8">
        <w:t xml:space="preserve">can </w:t>
      </w:r>
      <w:r w:rsidRPr="002C21B8">
        <w:t xml:space="preserve">reflect </w:t>
      </w:r>
      <w:r w:rsidR="00873B45" w:rsidRPr="002C21B8">
        <w:t>gaps in professional knowledge, inconsistency in its application and wider system-level influences</w:t>
      </w:r>
      <w:r w:rsidR="00E334AF" w:rsidRPr="002C21B8">
        <w:t>, whi</w:t>
      </w:r>
      <w:r w:rsidR="00873B45" w:rsidRPr="002C21B8">
        <w:t>le</w:t>
      </w:r>
      <w:r w:rsidRPr="002C21B8">
        <w:t xml:space="preserve"> preserving </w:t>
      </w:r>
      <w:r w:rsidR="00601DA5" w:rsidRPr="002C21B8">
        <w:t>warranted</w:t>
      </w:r>
      <w:r w:rsidRPr="002C21B8">
        <w:t xml:space="preserve"> variation that </w:t>
      </w:r>
      <w:r w:rsidR="00E334AF" w:rsidRPr="002C21B8">
        <w:t xml:space="preserve">takes into account patient characteristics and preferences </w:t>
      </w:r>
      <w:r w:rsidRPr="002C21B8">
        <w:fldChar w:fldCharType="begin"/>
      </w:r>
      <w:r w:rsidR="00590E88" w:rsidRPr="002C21B8">
        <w:instrText xml:space="preserve"> ADDIN EN.CITE &lt;EndNote&gt;&lt;Cite&gt;&lt;Author&gt;Mulley&lt;/Author&gt;&lt;Year&gt;2010&lt;/Year&gt;&lt;RecNum&gt;4972&lt;/RecNum&gt;&lt;DisplayText&gt;(Mulley, 2010)&lt;/DisplayText&gt;&lt;record&gt;&lt;rec-number&gt;4972&lt;/rec-number&gt;&lt;foreign-keys&gt;&lt;key app="EN" db-id="xpefzwa5hf9dt2ea9fax95x7xvxz90v09dtf" timestamp="1699806282"&gt;4972&lt;/key&gt;&lt;/foreign-keys&gt;&lt;ref-type name="Journal Article"&gt;17&lt;/ref-type&gt;&lt;contributors&gt;&lt;authors&gt;&lt;author&gt;Mulley, A. G.&lt;/author&gt;&lt;/authors&gt;&lt;/contributors&gt;&lt;titles&gt;&lt;title&gt;Improving productivity in the NHS&lt;/title&gt;&lt;secondary-title&gt;BMJ&lt;/secondary-title&gt;&lt;/titles&gt;&lt;periodical&gt;&lt;full-title&gt;BMJ&lt;/full-title&gt;&lt;/periodical&gt;&lt;pages&gt;c3965&lt;/pages&gt;&lt;volume&gt;341&lt;/volume&gt;&lt;edition&gt;20100727&lt;/edition&gt;&lt;keywords&gt;&lt;keyword&gt;*Efficiency, Organizational&lt;/keyword&gt;&lt;keyword&gt;State Medicine/*organization &amp;amp; administration&lt;/keyword&gt;&lt;keyword&gt;United Kingdom&lt;/keyword&gt;&lt;/keywords&gt;&lt;dates&gt;&lt;year&gt;2010&lt;/year&gt;&lt;pub-dates&gt;&lt;date&gt;Jul 27&lt;/date&gt;&lt;/pub-dates&gt;&lt;/dates&gt;&lt;isbn&gt;0959-8138&lt;/isbn&gt;&lt;accession-num&gt;20663837&lt;/accession-num&gt;&lt;urls&gt;&lt;/urls&gt;&lt;electronic-resource-num&gt;10.1136/bmj.c3965&lt;/electronic-resource-num&gt;&lt;remote-database-provider&gt;NLM&lt;/remote-database-provider&gt;&lt;language&gt;eng&lt;/language&gt;&lt;/record&gt;&lt;/Cite&gt;&lt;/EndNote&gt;</w:instrText>
      </w:r>
      <w:r w:rsidRPr="002C21B8">
        <w:fldChar w:fldCharType="separate"/>
      </w:r>
      <w:r w:rsidRPr="002C21B8">
        <w:rPr>
          <w:noProof/>
        </w:rPr>
        <w:t>(Mulley, 2010)</w:t>
      </w:r>
      <w:r w:rsidRPr="002C21B8">
        <w:fldChar w:fldCharType="end"/>
      </w:r>
      <w:r w:rsidRPr="002C21B8">
        <w:t xml:space="preserve">. </w:t>
      </w:r>
      <w:r w:rsidR="007A4606" w:rsidRPr="002C21B8">
        <w:t>However, separating warranted from unwarranted variation can be difficult.</w:t>
      </w:r>
      <w:r w:rsidR="00170CE9" w:rsidRPr="002C21B8">
        <w:t xml:space="preserve"> </w:t>
      </w:r>
      <w:r w:rsidRPr="002C21B8">
        <w:fldChar w:fldCharType="begin"/>
      </w:r>
      <w:r w:rsidR="00725AE2" w:rsidRPr="002C21B8">
        <w:instrText xml:space="preserve"> ADDIN EN.CITE &lt;EndNote&gt;&lt;Cite AuthorYear="1"&gt;&lt;Author&gt;Andersen&lt;/Author&gt;&lt;Year&gt;1990&lt;/Year&gt;&lt;RecNum&gt;4990&lt;/RecNum&gt;&lt;DisplayText&gt;Andersen and Mooney (1990)&lt;/DisplayText&gt;&lt;record&gt;&lt;rec-number&gt;4990&lt;/rec-number&gt;&lt;foreign-keys&gt;&lt;key app="EN" db-id="xpefzwa5hf9dt2ea9fax95x7xvxz90v09dtf" timestamp="1699875064"&gt;4990&lt;/key&gt;&lt;/foreign-keys&gt;&lt;ref-type name="Book"&gt;6&lt;/ref-type&gt;&lt;contributors&gt;&lt;authors&gt;&lt;author&gt;Andersen, Tavs Folmer &lt;/author&gt;&lt;author&gt;Mooney, Gavin&lt;/author&gt;&lt;/authors&gt;&lt;/contributors&gt;&lt;titles&gt;&lt;title&gt;The Challenges of Medical Practice Variations&lt;/title&gt;&lt;/titles&gt;&lt;pages&gt;117-152&lt;/pages&gt;&lt;dates&gt;&lt;year&gt;1990&lt;/year&gt;&lt;/dates&gt;&lt;pub-location&gt;London, UK&lt;/pub-location&gt;&lt;publisher&gt;The MacMillan Press&lt;/publisher&gt;&lt;isbn&gt;0333475097&lt;/isbn&gt;&lt;urls&gt;&lt;/urls&gt;&lt;/record&gt;&lt;/Cite&gt;&lt;/EndNote&gt;</w:instrText>
      </w:r>
      <w:r w:rsidRPr="002C21B8">
        <w:fldChar w:fldCharType="separate"/>
      </w:r>
      <w:r w:rsidR="00763983" w:rsidRPr="002C21B8">
        <w:rPr>
          <w:noProof/>
        </w:rPr>
        <w:t>Andersen and Mooney (1990)</w:t>
      </w:r>
      <w:r w:rsidRPr="002C21B8">
        <w:fldChar w:fldCharType="end"/>
      </w:r>
      <w:r w:rsidRPr="002C21B8">
        <w:t xml:space="preserve"> encapsulate this dilemma:</w:t>
      </w:r>
    </w:p>
    <w:p w14:paraId="315CCAA8" w14:textId="3742237A" w:rsidR="00EE1545" w:rsidRPr="002C21B8" w:rsidRDefault="00EE1545" w:rsidP="00EE1545">
      <w:pPr>
        <w:ind w:left="720"/>
      </w:pPr>
      <w:r w:rsidRPr="002C21B8">
        <w:rPr>
          <w:i/>
          <w:iCs/>
        </w:rPr>
        <w:t xml:space="preserve">“If variations represent evidence of inappropriate care, which care is inappropriate? Are the regions, institutions, or practitioners with high rates over-providing, or are the low ones under-providing, or does the </w:t>
      </w:r>
      <w:r w:rsidR="00C273FD" w:rsidRPr="002C21B8">
        <w:rPr>
          <w:i/>
          <w:iCs/>
        </w:rPr>
        <w:t>‘</w:t>
      </w:r>
      <w:r w:rsidRPr="002C21B8">
        <w:rPr>
          <w:i/>
          <w:iCs/>
        </w:rPr>
        <w:t>best</w:t>
      </w:r>
      <w:r w:rsidR="00C273FD" w:rsidRPr="002C21B8">
        <w:rPr>
          <w:i/>
          <w:iCs/>
        </w:rPr>
        <w:t>’</w:t>
      </w:r>
      <w:r w:rsidRPr="002C21B8">
        <w:rPr>
          <w:i/>
          <w:iCs/>
        </w:rPr>
        <w:t xml:space="preserve"> lie somewhere in the middle?”</w:t>
      </w:r>
    </w:p>
    <w:p w14:paraId="63C83AE1" w14:textId="23E7ECEC" w:rsidR="00EE1545" w:rsidRPr="002C21B8" w:rsidRDefault="00EE1545" w:rsidP="00F4718A">
      <w:r w:rsidRPr="002C21B8">
        <w:t>Th</w:t>
      </w:r>
      <w:r w:rsidR="000471FF" w:rsidRPr="002C21B8">
        <w:t>e</w:t>
      </w:r>
      <w:r w:rsidRPr="002C21B8">
        <w:t xml:space="preserve"> determination of whether variation is </w:t>
      </w:r>
      <w:r w:rsidR="005A760D" w:rsidRPr="002C21B8">
        <w:t>warranted or unwarranted is</w:t>
      </w:r>
      <w:r w:rsidRPr="002C21B8">
        <w:t xml:space="preserve"> highly context-dependent</w:t>
      </w:r>
      <w:r w:rsidR="000471FF" w:rsidRPr="002C21B8">
        <w:t xml:space="preserve"> </w:t>
      </w:r>
      <w:r w:rsidR="000471FF" w:rsidRPr="002C21B8">
        <w:fldChar w:fldCharType="begin"/>
      </w:r>
      <w:r w:rsidR="000215B0" w:rsidRPr="002C21B8">
        <w:instrText xml:space="preserve"> ADDIN EN.CITE &lt;EndNote&gt;&lt;Cite&gt;&lt;Author&gt;Sutherland&lt;/Author&gt;&lt;Year&gt;2020&lt;/Year&gt;&lt;RecNum&gt;4976&lt;/RecNum&gt;&lt;DisplayText&gt;(Sutherland and Levesque, 2020)&lt;/DisplayText&gt;&lt;record&gt;&lt;rec-number&gt;4976&lt;/rec-number&gt;&lt;foreign-keys&gt;&lt;key app="EN" db-id="xpefzwa5hf9dt2ea9fax95x7xvxz90v09dtf" timestamp="1699809136"&gt;4976&lt;/key&gt;&lt;/foreign-keys&gt;&lt;ref-type name="Journal Article"&gt;17&lt;/ref-type&gt;&lt;contributors&gt;&lt;authors&gt;&lt;author&gt;Sutherland, K.&lt;/author&gt;&lt;author&gt;Levesque, J. F.&lt;/author&gt;&lt;/authors&gt;&lt;/contributors&gt;&lt;auth-address&gt;Agency for Clinical Innovation, Chatswood, New South Wales, Australia.&amp;#xD;Centre for Primary Health Care and Equity, UNSW Randwick Campus, Randwick, New South Wales, Australia.&lt;/auth-address&gt;&lt;titles&gt;&lt;title&gt;Unwarranted clinical variation in health care: Definitions and proposal of an analytic framework&lt;/title&gt;&lt;secondary-title&gt;Journal of Evaluation in Clinical Practice&lt;/secondary-title&gt;&lt;/titles&gt;&lt;periodical&gt;&lt;full-title&gt;Journal of evaluation in clinical practice&lt;/full-title&gt;&lt;/periodical&gt;&lt;pages&gt;687-696&lt;/pages&gt;&lt;volume&gt;26&lt;/volume&gt;&lt;number&gt;3&lt;/number&gt;&lt;edition&gt;20190528&lt;/edition&gt;&lt;keywords&gt;&lt;keyword&gt;*Clinical Decision-Making&lt;/keyword&gt;&lt;keyword&gt;*Delivery of Health Care&lt;/keyword&gt;&lt;keyword&gt;Humans&lt;/keyword&gt;&lt;keyword&gt;framework&lt;/keyword&gt;&lt;keyword&gt;performance measurement&lt;/keyword&gt;&lt;keyword&gt;quality improvement&lt;/keyword&gt;&lt;keyword&gt;unwarranted clinical variation&lt;/keyword&gt;&lt;/keywords&gt;&lt;dates&gt;&lt;year&gt;2020&lt;/year&gt;&lt;pub-dates&gt;&lt;date&gt;Jun&lt;/date&gt;&lt;/pub-dates&gt;&lt;/dates&gt;&lt;isbn&gt;1356-1294 (Print)&amp;#xD;1356-1294&lt;/isbn&gt;&lt;accession-num&gt;31136047&lt;/accession-num&gt;&lt;urls&gt;&lt;/urls&gt;&lt;custom1&gt;Both authors are full time employees of NSW Health. There are no external funding sources. There are no conflicts of interest to disclose.&lt;/custom1&gt;&lt;custom2&gt;PMC7317701&lt;/custom2&gt;&lt;electronic-resource-num&gt;10.1111/jep.13181&lt;/electronic-resource-num&gt;&lt;remote-database-provider&gt;NLM&lt;/remote-database-provider&gt;&lt;language&gt;eng&lt;/language&gt;&lt;/record&gt;&lt;/Cite&gt;&lt;/EndNote&gt;</w:instrText>
      </w:r>
      <w:r w:rsidR="000471FF" w:rsidRPr="002C21B8">
        <w:fldChar w:fldCharType="separate"/>
      </w:r>
      <w:r w:rsidR="000471FF" w:rsidRPr="002C21B8">
        <w:rPr>
          <w:noProof/>
        </w:rPr>
        <w:t>(Sutherland and Levesque, 2020)</w:t>
      </w:r>
      <w:r w:rsidR="000471FF" w:rsidRPr="002C21B8">
        <w:fldChar w:fldCharType="end"/>
      </w:r>
      <w:r w:rsidR="00F4718A" w:rsidRPr="002C21B8">
        <w:t>.</w:t>
      </w:r>
      <w:r w:rsidR="00C60142" w:rsidRPr="002C21B8">
        <w:t xml:space="preserve"> Even within UK kidney centres</w:t>
      </w:r>
      <w:r w:rsidR="00D70210" w:rsidRPr="002C21B8">
        <w:t xml:space="preserve">, different </w:t>
      </w:r>
      <w:r w:rsidR="00C60142" w:rsidRPr="002C21B8">
        <w:t>patient case-mix</w:t>
      </w:r>
      <w:r w:rsidR="00D70210" w:rsidRPr="002C21B8">
        <w:t>es</w:t>
      </w:r>
      <w:r w:rsidR="00C60142" w:rsidRPr="002C21B8">
        <w:t xml:space="preserve">, service </w:t>
      </w:r>
      <w:r w:rsidR="00C60142" w:rsidRPr="002C21B8">
        <w:lastRenderedPageBreak/>
        <w:t>configuration</w:t>
      </w:r>
      <w:r w:rsidR="00793C45" w:rsidRPr="002C21B8">
        <w:t>s</w:t>
      </w:r>
      <w:r w:rsidR="00C60142" w:rsidRPr="002C21B8">
        <w:t>, specialist expertise, and resource availability ha</w:t>
      </w:r>
      <w:r w:rsidR="00D70210" w:rsidRPr="002C21B8">
        <w:t>ve</w:t>
      </w:r>
      <w:r w:rsidR="00C60142" w:rsidRPr="002C21B8">
        <w:t xml:space="preserve"> been demonstrated</w:t>
      </w:r>
      <w:r w:rsidR="001545E6" w:rsidRPr="002C21B8">
        <w:t>,</w:t>
      </w:r>
      <w:r w:rsidR="00D70210" w:rsidRPr="002C21B8">
        <w:t xml:space="preserve"> which may all </w:t>
      </w:r>
      <w:r w:rsidR="000A43B1" w:rsidRPr="002C21B8">
        <w:t xml:space="preserve">contribute </w:t>
      </w:r>
      <w:r w:rsidR="00C60142" w:rsidRPr="002C21B8">
        <w:t xml:space="preserve">to variation in practice </w:t>
      </w:r>
      <w:r w:rsidR="00C60142" w:rsidRPr="002C21B8">
        <w:fldChar w:fldCharType="begin">
          <w:fldData xml:space="preserve">PEVuZE5vdGU+PENpdGU+PEF1dGhvcj5Eb2N0b3I8L0F1dGhvcj48WWVhcj4yMDIzPC9ZZWFyPjxS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</w:fldData>
        </w:fldChar>
      </w:r>
      <w:r w:rsidR="00C60142" w:rsidRPr="002C21B8">
        <w:instrText xml:space="preserve"> ADDIN EN.CITE </w:instrText>
      </w:r>
      <w:r w:rsidR="00C60142" w:rsidRPr="002C21B8">
        <w:fldChar w:fldCharType="begin">
          <w:fldData xml:space="preserve">PEVuZE5vdGU+PENpdGU+PEF1dGhvcj5Eb2N0b3I8L0F1dGhvcj48WWVhcj4yMDIzPC9ZZWFyPjxS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</w:fldData>
        </w:fldChar>
      </w:r>
      <w:r w:rsidR="00C60142" w:rsidRPr="002C21B8">
        <w:instrText xml:space="preserve"> ADDIN EN.CITE.DATA </w:instrText>
      </w:r>
      <w:r w:rsidR="00C60142" w:rsidRPr="002C21B8">
        <w:fldChar w:fldCharType="end"/>
      </w:r>
      <w:r w:rsidR="00C60142" w:rsidRPr="002C21B8">
        <w:fldChar w:fldCharType="separate"/>
      </w:r>
      <w:r w:rsidR="00C60142" w:rsidRPr="002C21B8">
        <w:rPr>
          <w:noProof/>
        </w:rPr>
        <w:t>(Castledine</w:t>
      </w:r>
      <w:r w:rsidR="00C60142" w:rsidRPr="002C21B8">
        <w:rPr>
          <w:i/>
          <w:noProof/>
        </w:rPr>
        <w:t xml:space="preserve"> et al.</w:t>
      </w:r>
      <w:r w:rsidR="00C60142" w:rsidRPr="002C21B8">
        <w:rPr>
          <w:noProof/>
        </w:rPr>
        <w:t>, 2013; Doctor, Gale and Chan, 2023; UK Renal Registry, 2025)</w:t>
      </w:r>
      <w:r w:rsidR="00C60142" w:rsidRPr="002C21B8">
        <w:fldChar w:fldCharType="end"/>
      </w:r>
      <w:r w:rsidR="00C60142" w:rsidRPr="002C21B8">
        <w:t>.</w:t>
      </w:r>
      <w:r w:rsidR="00F4718A" w:rsidRPr="002C21B8">
        <w:t xml:space="preserve"> </w:t>
      </w:r>
      <w:r w:rsidR="00C60142" w:rsidRPr="002C21B8">
        <w:t xml:space="preserve">Variation </w:t>
      </w:r>
      <w:r w:rsidR="000471FF" w:rsidRPr="002C21B8">
        <w:t>also</w:t>
      </w:r>
      <w:r w:rsidRPr="002C21B8">
        <w:t xml:space="preserve"> depends on what is chosen as the reference point</w:t>
      </w:r>
      <w:r w:rsidR="000471FF" w:rsidRPr="002C21B8">
        <w:t xml:space="preserve"> for comparison</w:t>
      </w:r>
      <w:r w:rsidRPr="002C21B8">
        <w:t xml:space="preserve">. </w:t>
      </w:r>
      <w:r w:rsidR="00F4718A" w:rsidRPr="002C21B8">
        <w:t>Variation could be measured by comparing practices to other hospitals</w:t>
      </w:r>
      <w:r w:rsidR="00D70210" w:rsidRPr="002C21B8">
        <w:t>,</w:t>
      </w:r>
      <w:r w:rsidR="00F4718A" w:rsidRPr="002C21B8">
        <w:t xml:space="preserve"> historical trends in the same service, or </w:t>
      </w:r>
      <w:r w:rsidRPr="002C21B8">
        <w:t xml:space="preserve">evidence-based </w:t>
      </w:r>
      <w:r w:rsidR="00F4718A" w:rsidRPr="002C21B8">
        <w:t>recommendations</w:t>
      </w:r>
      <w:r w:rsidRPr="002C21B8">
        <w:t xml:space="preserve"> in guidelines</w:t>
      </w:r>
      <w:r w:rsidR="000471FF" w:rsidRPr="002C21B8">
        <w:t xml:space="preserve"> </w:t>
      </w:r>
      <w:r w:rsidR="000471FF" w:rsidRPr="002C21B8">
        <w:fldChar w:fldCharType="begin"/>
      </w:r>
      <w:r w:rsidR="00731A52" w:rsidRPr="002C21B8">
        <w:instrText xml:space="preserve"> ADDIN EN.CITE &lt;EndNote&gt;&lt;Cite&gt;&lt;Author&gt;Bottle&lt;/Author&gt;&lt;Year&gt;2024&lt;/Year&gt;&lt;RecNum&gt;125352&lt;/RecNum&gt;&lt;DisplayText&gt;(Bottle and Kristensen, 2024; Tomson and Van Der Veer, 2013)&lt;/DisplayText&gt;&lt;record&gt;&lt;rec-number&gt;125352&lt;/rec-number&gt;&lt;foreign-keys&gt;&lt;key app="EN" db-id="xpefzwa5hf9dt2ea9fax95x7xvxz90v09dtf" timestamp="1775248682"&gt;125352&lt;/key&gt;&lt;/foreign-keys&gt;&lt;ref-type name="Journal Article"&gt;17&lt;/ref-type&gt;&lt;contributors&gt;&lt;authors&gt;&lt;author&gt;Bottle, Alex&lt;/author&gt;&lt;author&gt;Kristensen, Pia Kjær&lt;/author&gt;&lt;/authors&gt;&lt;/contributors&gt;&lt;titles&gt;&lt;title&gt;Variation in quality of care between hospitals: how to identify learning opportunities&lt;/title&gt;&lt;secondary-title&gt;BMJ Quality and Safety&lt;/secondary-title&gt;&lt;/titles&gt;&lt;periodical&gt;&lt;full-title&gt;BMJ Quality and Safety&lt;/full-title&gt;&lt;/periodical&gt;&lt;pages&gt;413-415&lt;/pages&gt;&lt;volume&gt;33&lt;/volume&gt;&lt;number&gt;7&lt;/number&gt;&lt;dates&gt;&lt;year&gt;2024&lt;/year&gt;&lt;/dates&gt;&lt;isbn&gt;2044-5415&lt;/isbn&gt;&lt;urls&gt;&lt;/urls&gt;&lt;/record&gt;&lt;/Cite&gt;&lt;Cite&gt;&lt;Author&gt;Tomson&lt;/Author&gt;&lt;Year&gt;2013&lt;/Year&gt;&lt;RecNum&gt;125353&lt;/RecNum&gt;&lt;record&gt;&lt;rec-number&gt;125353&lt;/rec-number&gt;&lt;foreign-keys&gt;&lt;key app="EN" db-id="xpefzwa5hf9dt2ea9fax95x7xvxz90v09dtf" timestamp="1775248718"&gt;125353&lt;/key&gt;&lt;/foreign-keys&gt;&lt;ref-type name="Journal Article"&gt;17&lt;/ref-type&gt;&lt;contributors&gt;&lt;authors&gt;&lt;author&gt;Tomson, Charles RV&lt;/author&gt;&lt;author&gt;Van Der Veer, Sabine N&lt;/author&gt;&lt;/authors&gt;&lt;/contributors&gt;&lt;titles&gt;&lt;title&gt;Learning from practice variation to improve the quality of care&lt;/title&gt;&lt;secondary-title&gt;Clinical Medicine&lt;/secondary-title&gt;&lt;/titles&gt;&lt;periodical&gt;&lt;full-title&gt;Clinical Medicine&lt;/full-title&gt;&lt;/periodical&gt;&lt;pages&gt;19-23&lt;/pages&gt;&lt;volume&gt;13&lt;/volume&gt;&lt;number&gt;1&lt;/number&gt;&lt;dates&gt;&lt;year&gt;2013&lt;/year&gt;&lt;/dates&gt;&lt;isbn&gt;1470-2118&lt;/isbn&gt;&lt;urls&gt;&lt;/urls&gt;&lt;/record&gt;&lt;/Cite&gt;&lt;/EndNote&gt;</w:instrText>
      </w:r>
      <w:r w:rsidR="000471FF" w:rsidRPr="002C21B8">
        <w:fldChar w:fldCharType="separate"/>
      </w:r>
      <w:r w:rsidR="000471FF" w:rsidRPr="002C21B8">
        <w:rPr>
          <w:noProof/>
        </w:rPr>
        <w:t>(Bottle and Kristensen, 2024; Tomson and Van Der Veer, 2013)</w:t>
      </w:r>
      <w:r w:rsidR="000471FF" w:rsidRPr="002C21B8">
        <w:fldChar w:fldCharType="end"/>
      </w:r>
      <w:r w:rsidRPr="002C21B8">
        <w:t>.</w:t>
      </w:r>
    </w:p>
    <w:p w14:paraId="20126803" w14:textId="0E4F0751" w:rsidR="001D034F" w:rsidRPr="002C21B8" w:rsidRDefault="00BE3B94" w:rsidP="004507C8">
      <w:pPr>
        <w:pStyle w:val="Heading3"/>
      </w:pPr>
      <w:r w:rsidRPr="002C21B8">
        <w:t>I</w:t>
      </w:r>
      <w:r w:rsidR="001D034F" w:rsidRPr="002C21B8">
        <w:t>mplications</w:t>
      </w:r>
      <w:r w:rsidR="00CE6F4C" w:rsidRPr="002C21B8">
        <w:t xml:space="preserve"> of </w:t>
      </w:r>
      <w:r w:rsidR="003E0C74" w:rsidRPr="002C21B8">
        <w:t xml:space="preserve">unwarranted </w:t>
      </w:r>
      <w:r w:rsidR="00CE6F4C" w:rsidRPr="002C21B8">
        <w:t>variation</w:t>
      </w:r>
    </w:p>
    <w:p w14:paraId="51E3DB40" w14:textId="7D80FE88" w:rsidR="002E69B0" w:rsidRPr="002C21B8" w:rsidRDefault="00EC546B" w:rsidP="002C294C">
      <w:r w:rsidRPr="002C21B8">
        <w:t xml:space="preserve">Variation in prescribing practices </w:t>
      </w:r>
      <w:r w:rsidR="001B104F" w:rsidRPr="002C21B8">
        <w:t>may</w:t>
      </w:r>
      <w:r w:rsidRPr="002C21B8">
        <w:t xml:space="preserve"> </w:t>
      </w:r>
      <w:r w:rsidR="001B104F" w:rsidRPr="002C21B8">
        <w:t xml:space="preserve">have implications for patient outcomes, healthcare resource use and </w:t>
      </w:r>
      <w:r w:rsidR="00230F54" w:rsidRPr="002C21B8">
        <w:t>health</w:t>
      </w:r>
      <w:r w:rsidRPr="002C21B8">
        <w:t xml:space="preserve"> equity. </w:t>
      </w:r>
      <w:r w:rsidR="00BF3129" w:rsidRPr="002C21B8">
        <w:t xml:space="preserve">When eligible patients do not receive a </w:t>
      </w:r>
      <w:r w:rsidR="00DF1AEF" w:rsidRPr="002C21B8">
        <w:t>medic</w:t>
      </w:r>
      <w:r w:rsidR="00F03A50" w:rsidRPr="002C21B8">
        <w:t>ation</w:t>
      </w:r>
      <w:r w:rsidR="001B5F90" w:rsidRPr="002C21B8">
        <w:t>,</w:t>
      </w:r>
      <w:r w:rsidR="00AA4345" w:rsidRPr="002C21B8">
        <w:t xml:space="preserve"> this </w:t>
      </w:r>
      <w:r w:rsidR="00E452A7" w:rsidRPr="002C21B8">
        <w:t xml:space="preserve">can </w:t>
      </w:r>
      <w:r w:rsidR="00AA4345" w:rsidRPr="002C21B8">
        <w:t xml:space="preserve">represent a missed opportunity to improve their health </w:t>
      </w:r>
      <w:r w:rsidR="00CE6F4C" w:rsidRPr="002C21B8">
        <w:t>outcomes</w:t>
      </w:r>
      <w:r w:rsidR="00E452A7" w:rsidRPr="002C21B8">
        <w:t xml:space="preserve"> </w:t>
      </w:r>
      <w:r w:rsidR="00C8067D" w:rsidRPr="002C21B8">
        <w:fldChar w:fldCharType="begin"/>
      </w:r>
      <w:r w:rsidR="0060457F" w:rsidRPr="002C21B8">
        <w:instrText xml:space="preserve"> ADDIN EN.CITE &lt;EndNote&gt;&lt;Cite&gt;&lt;Author&gt;Walker&lt;/Author&gt;&lt;Year&gt;2017&lt;/Year&gt;&lt;RecNum&gt;125354&lt;/RecNum&gt;&lt;DisplayText&gt;(Walker&lt;style face="italic"&gt; et al.&lt;/style&gt;, 2017)&lt;/DisplayText&gt;&lt;record&gt;&lt;rec-number&gt;125354&lt;/rec-number&gt;&lt;foreign-keys&gt;&lt;key app="EN" db-id="xpefzwa5hf9dt2ea9fax95x7xvxz90v09dtf" timestamp="1775249661"&gt;125354&lt;/key&gt;&lt;/foreign-keys&gt;&lt;ref-type name="Journal Article"&gt;17&lt;/ref-type&gt;&lt;contributors&gt;&lt;authors&gt;&lt;author&gt;Walker, Simon&lt;/author&gt;&lt;author&gt;Spackman, Eldon&lt;/author&gt;&lt;author&gt;Conrad, Nathalie&lt;/author&gt;&lt;author&gt;Emdin, Connor A&lt;/author&gt;&lt;author&gt;Griffin, Ed&lt;/author&gt;&lt;author&gt;Rahimi, Kazem&lt;/author&gt;&lt;author&gt;Sculpher, Mark&lt;/author&gt;&lt;/authors&gt;&lt;/contributors&gt;&lt;titles&gt;&lt;title&gt;Impact of missed treatment opportunities on outcomes in hospitalised patients with heart failure&lt;/title&gt;&lt;secondary-title&gt;Open Heart&lt;/secondary-title&gt;&lt;/titles&gt;&lt;periodical&gt;&lt;full-title&gt;Open heart&lt;/full-title&gt;&lt;/periodical&gt;&lt;pages&gt;e000726&lt;/pages&gt;&lt;volume&gt;4&lt;/volume&gt;&lt;number&gt;2&lt;/number&gt;&lt;dates&gt;&lt;year&gt;2017&lt;/year&gt;&lt;/dates&gt;&lt;isbn&gt;2053-3624&lt;/isbn&gt;&lt;urls&gt;&lt;/urls&gt;&lt;/record&gt;&lt;/Cite&gt;&lt;/EndNote&gt;</w:instrText>
      </w:r>
      <w:r w:rsidR="00C8067D" w:rsidRPr="002C21B8">
        <w:fldChar w:fldCharType="separate"/>
      </w:r>
      <w:r w:rsidR="00C8067D" w:rsidRPr="002C21B8">
        <w:rPr>
          <w:noProof/>
        </w:rPr>
        <w:t>(Walker</w:t>
      </w:r>
      <w:r w:rsidR="00C8067D" w:rsidRPr="002C21B8">
        <w:rPr>
          <w:i/>
          <w:noProof/>
        </w:rPr>
        <w:t xml:space="preserve"> et al.</w:t>
      </w:r>
      <w:r w:rsidR="00C8067D" w:rsidRPr="002C21B8">
        <w:rPr>
          <w:noProof/>
        </w:rPr>
        <w:t>, 2017)</w:t>
      </w:r>
      <w:r w:rsidR="00C8067D" w:rsidRPr="002C21B8">
        <w:fldChar w:fldCharType="end"/>
      </w:r>
      <w:r w:rsidR="00AA4345" w:rsidRPr="002C21B8">
        <w:t xml:space="preserve">. Conversely, </w:t>
      </w:r>
      <w:r w:rsidR="00CE6F4C" w:rsidRPr="002C21B8">
        <w:t>prescribing</w:t>
      </w:r>
      <w:r w:rsidR="00AA4345" w:rsidRPr="002C21B8">
        <w:t xml:space="preserve"> a </w:t>
      </w:r>
      <w:r w:rsidR="00DF1AEF" w:rsidRPr="002C21B8">
        <w:t>medic</w:t>
      </w:r>
      <w:r w:rsidR="00F03A50" w:rsidRPr="002C21B8">
        <w:t>ation</w:t>
      </w:r>
      <w:r w:rsidR="00AA4345" w:rsidRPr="002C21B8">
        <w:t xml:space="preserve"> to a patient </w:t>
      </w:r>
      <w:r w:rsidR="00793C45" w:rsidRPr="002C21B8">
        <w:t>who</w:t>
      </w:r>
      <w:r w:rsidR="00AA4345" w:rsidRPr="002C21B8">
        <w:t xml:space="preserve"> is not eligible </w:t>
      </w:r>
      <w:r w:rsidR="00793D14" w:rsidRPr="002C21B8">
        <w:t xml:space="preserve">may </w:t>
      </w:r>
      <w:r w:rsidR="00AA4345" w:rsidRPr="002C21B8">
        <w:t>expose them to unnecessary risks and</w:t>
      </w:r>
      <w:r w:rsidR="00793D14" w:rsidRPr="002C21B8">
        <w:t xml:space="preserve"> </w:t>
      </w:r>
      <w:r w:rsidR="00C8067D" w:rsidRPr="002C21B8">
        <w:t>potential</w:t>
      </w:r>
      <w:r w:rsidR="00E452A7" w:rsidRPr="002C21B8">
        <w:t xml:space="preserve"> </w:t>
      </w:r>
      <w:r w:rsidR="00C8067D" w:rsidRPr="002C21B8">
        <w:t>harm</w:t>
      </w:r>
      <w:r w:rsidR="00477A66" w:rsidRPr="002C21B8">
        <w:t>,</w:t>
      </w:r>
      <w:r w:rsidR="00C8067D" w:rsidRPr="002C21B8">
        <w:t xml:space="preserve"> without an opportunity for </w:t>
      </w:r>
      <w:r w:rsidR="00AA4345" w:rsidRPr="002C21B8">
        <w:t>any meaningful benefit</w:t>
      </w:r>
      <w:r w:rsidR="00097BC1" w:rsidRPr="002C21B8">
        <w:t xml:space="preserve">s </w:t>
      </w:r>
      <w:r w:rsidR="00097BC1" w:rsidRPr="002C21B8">
        <w:fldChar w:fldCharType="begin"/>
      </w:r>
      <w:r w:rsidR="00590E88" w:rsidRPr="002C21B8">
        <w:instrText xml:space="preserve"> ADDIN EN.CITE &lt;EndNote&gt;&lt;Cite&gt;&lt;Author&gt;Mekonnen&lt;/Author&gt;&lt;Year&gt;2021&lt;/Year&gt;&lt;RecNum&gt;125355&lt;/RecNum&gt;&lt;DisplayText&gt;(Mekonnen&lt;style face="italic"&gt; et al.&lt;/style&gt;, 2021)&lt;/DisplayText&gt;&lt;record&gt;&lt;rec-number&gt;125355&lt;/rec-number&gt;&lt;foreign-keys&gt;&lt;key app="EN" db-id="xpefzwa5hf9dt2ea9fax95x7xvxz90v09dtf" timestamp="1775249801"&gt;125355&lt;/key&gt;&lt;/foreign-keys&gt;&lt;ref-type name="Journal Article"&gt;17&lt;/ref-type&gt;&lt;contributors&gt;&lt;authors&gt;&lt;author&gt;Mekonnen, Alemayehu B&lt;/author&gt;&lt;author&gt;Redley, Bernice&lt;/author&gt;&lt;author&gt;de Courten, Barbora&lt;/author&gt;&lt;author&gt;Manias, Elizabeth&lt;/author&gt;&lt;/authors&gt;&lt;/contributors&gt;&lt;titles&gt;&lt;title&gt;Potentially inappropriate prescribing and its associations with health‐related and system‐related outcomes in hospitalised older adults: a systematic review and meta‐analysis&lt;/title&gt;&lt;secondary-title&gt;British Journal of Clinical Pharmacology&lt;/secondary-title&gt;&lt;/titles&gt;&lt;periodical&gt;&lt;full-title&gt;British Journal of Clinical Pharmacology&lt;/full-title&gt;&lt;/periodical&gt;&lt;pages&gt;4150-4172&lt;/pages&gt;&lt;volume&gt;87&lt;/volume&gt;&lt;number&gt;11&lt;/number&gt;&lt;dates&gt;&lt;year&gt;2021&lt;/year&gt;&lt;/dates&gt;&lt;isbn&gt;0306-5251&lt;/isbn&gt;&lt;urls&gt;&lt;/urls&gt;&lt;/record&gt;&lt;/Cite&gt;&lt;/EndNote&gt;</w:instrText>
      </w:r>
      <w:r w:rsidR="00097BC1" w:rsidRPr="002C21B8">
        <w:fldChar w:fldCharType="separate"/>
      </w:r>
      <w:r w:rsidR="00097BC1" w:rsidRPr="002C21B8">
        <w:rPr>
          <w:noProof/>
        </w:rPr>
        <w:t>(Mekonnen</w:t>
      </w:r>
      <w:r w:rsidR="00097BC1" w:rsidRPr="002C21B8">
        <w:rPr>
          <w:i/>
          <w:noProof/>
        </w:rPr>
        <w:t xml:space="preserve"> et al.</w:t>
      </w:r>
      <w:r w:rsidR="00097BC1" w:rsidRPr="002C21B8">
        <w:rPr>
          <w:noProof/>
        </w:rPr>
        <w:t>, 2021)</w:t>
      </w:r>
      <w:r w:rsidR="00097BC1" w:rsidRPr="002C21B8">
        <w:fldChar w:fldCharType="end"/>
      </w:r>
      <w:r w:rsidR="00AA4345" w:rsidRPr="002C21B8">
        <w:t xml:space="preserve">. Both scenarios </w:t>
      </w:r>
      <w:r w:rsidR="007A46D5" w:rsidRPr="002C21B8">
        <w:t xml:space="preserve">can </w:t>
      </w:r>
      <w:r w:rsidR="00AA4345" w:rsidRPr="002C21B8">
        <w:t>have economic implications</w:t>
      </w:r>
      <w:r w:rsidR="007A46D5" w:rsidRPr="002C21B8">
        <w:t>. U</w:t>
      </w:r>
      <w:r w:rsidR="001B5F90" w:rsidRPr="002C21B8">
        <w:t xml:space="preserve">ntreated </w:t>
      </w:r>
      <w:r w:rsidR="00E452A7" w:rsidRPr="002C21B8">
        <w:t xml:space="preserve">eligible </w:t>
      </w:r>
      <w:r w:rsidR="001B5F90" w:rsidRPr="002C21B8">
        <w:t>patients may incur higher lifetime healthcare costs due to worsening disease</w:t>
      </w:r>
      <w:r w:rsidR="00E452A7" w:rsidRPr="002C21B8">
        <w:t xml:space="preserve"> or complications</w:t>
      </w:r>
      <w:r w:rsidR="001B5F90" w:rsidRPr="002C21B8">
        <w:t xml:space="preserve">, while unnecessary treatment </w:t>
      </w:r>
      <w:r w:rsidR="007A46D5" w:rsidRPr="002C21B8">
        <w:t>may be considered</w:t>
      </w:r>
      <w:r w:rsidR="001B5F90" w:rsidRPr="002C21B8">
        <w:t xml:space="preserve"> inefficient use of resources that could be allocated to effective care elsewhere</w:t>
      </w:r>
      <w:r w:rsidR="00097BC1" w:rsidRPr="002C21B8">
        <w:t xml:space="preserve"> </w:t>
      </w:r>
      <w:r w:rsidR="00097BC1" w:rsidRPr="002C21B8">
        <w:fldChar w:fldCharType="begin"/>
      </w:r>
      <w:r w:rsidR="00097BC1" w:rsidRPr="002C21B8">
        <w:instrText xml:space="preserve"> ADDIN EN.CITE &lt;EndNote&gt;&lt;Cite&gt;&lt;Author&gt;Nouhi&lt;/Author&gt;&lt;Year&gt;2019&lt;/Year&gt;&lt;RecNum&gt;125357&lt;/RecNum&gt;&lt;DisplayText&gt;(Nouhi&lt;style face="italic"&gt; et al.&lt;/style&gt;, 2019)&lt;/DisplayText&gt;&lt;record&gt;&lt;rec-number&gt;125357&lt;/rec-number&gt;&lt;foreign-keys&gt;&lt;key app="EN" db-id="xpefzwa5hf9dt2ea9fax95x7xvxz90v09dtf" timestamp="1775249926"&gt;125357&lt;/key&gt;&lt;/foreign-keys&gt;&lt;ref-type name="Journal Article"&gt;17&lt;/ref-type&gt;&lt;contributors&gt;&lt;authors&gt;&lt;author&gt;Nouhi, Mojtaba&lt;/author&gt;&lt;author&gt;Hadian, Mohamad&lt;/author&gt;&lt;author&gt;Jahangiri, Reza&lt;/author&gt;&lt;author&gt;Hakimzadeh, Mostafa&lt;/author&gt;&lt;author&gt;Gray, Serajaddin&lt;/author&gt;&lt;author&gt;Olyaeemanesh, Alireza&lt;/author&gt;&lt;/authors&gt;&lt;/contributors&gt;&lt;titles&gt;&lt;title&gt;The economic consequences of practice style variation in providing medical interventions: A systematic review of the literature&lt;/title&gt;&lt;secondary-title&gt;Journal of Education and Health Promotion&lt;/secondary-title&gt;&lt;/titles&gt;&lt;periodical&gt;&lt;full-title&gt;Journal of Education and Health Promotion&lt;/full-title&gt;&lt;/periodical&gt;&lt;pages&gt;119&lt;/pages&gt;&lt;volume&gt;8&lt;/volume&gt;&lt;number&gt;1&lt;/number&gt;&lt;dates&gt;&lt;year&gt;2019&lt;/year&gt;&lt;/dates&gt;&lt;isbn&gt;2277-9531&lt;/isbn&gt;&lt;urls&gt;&lt;/urls&gt;&lt;/record&gt;&lt;/Cite&gt;&lt;/EndNote&gt;</w:instrText>
      </w:r>
      <w:r w:rsidR="00097BC1" w:rsidRPr="002C21B8">
        <w:fldChar w:fldCharType="separate"/>
      </w:r>
      <w:r w:rsidR="00097BC1" w:rsidRPr="002C21B8">
        <w:t>(Nouhi</w:t>
      </w:r>
      <w:r w:rsidR="00097BC1" w:rsidRPr="002C21B8">
        <w:rPr>
          <w:i/>
        </w:rPr>
        <w:t xml:space="preserve"> et al.</w:t>
      </w:r>
      <w:r w:rsidR="00097BC1" w:rsidRPr="002C21B8">
        <w:t>, 2019)</w:t>
      </w:r>
      <w:r w:rsidR="00097BC1" w:rsidRPr="002C21B8">
        <w:fldChar w:fldCharType="end"/>
      </w:r>
      <w:r w:rsidR="001B5F90" w:rsidRPr="002C21B8">
        <w:t xml:space="preserve">. Variation may also contribute to unequal access to </w:t>
      </w:r>
      <w:r w:rsidR="009C6676" w:rsidRPr="002C21B8">
        <w:t>medication</w:t>
      </w:r>
      <w:r w:rsidR="001B5F90" w:rsidRPr="002C21B8">
        <w:t>s which raises concerns for health equity</w:t>
      </w:r>
      <w:r w:rsidR="00097BC1" w:rsidRPr="002C21B8">
        <w:t xml:space="preserve"> </w:t>
      </w:r>
      <w:r w:rsidR="00097BC1" w:rsidRPr="002C21B8">
        <w:fldChar w:fldCharType="begin"/>
      </w:r>
      <w:r w:rsidR="00097BC1" w:rsidRPr="002C21B8">
        <w:instrText xml:space="preserve"> ADDIN EN.CITE &lt;EndNote&gt;&lt;Cite&gt;&lt;Author&gt;Harvey&lt;/Author&gt;&lt;Year&gt;2023&lt;/Year&gt;&lt;RecNum&gt;125356&lt;/RecNum&gt;&lt;DisplayText&gt;(Harvey&lt;style face="italic"&gt; et al.&lt;/style&gt;, 2023)&lt;/DisplayText&gt;&lt;record&gt;&lt;rec-number&gt;125356&lt;/rec-number&gt;&lt;foreign-keys&gt;&lt;key app="EN" db-id="xpefzwa5hf9dt2ea9fax95x7xvxz90v09dtf" timestamp="1775249873"&gt;125356&lt;/key&gt;&lt;/foreign-keys&gt;&lt;ref-type name="Journal Article"&gt;17&lt;/ref-type&gt;&lt;contributors&gt;&lt;authors&gt;&lt;author&gt;Harvey, Eleanor J&lt;/author&gt;&lt;author&gt;De Brún, Caroline&lt;/author&gt;&lt;author&gt;Casale, Ella&lt;/author&gt;&lt;author&gt;Finistrella, Viviana&lt;/author&gt;&lt;author&gt;Ashiru-Oredope, Diane&lt;/author&gt;&lt;/authors&gt;&lt;/contributors&gt;&lt;titles&gt;&lt;title&gt;Influence of factors commonly known to be associated with health inequalities on antibiotic use in high-income countries: a systematic scoping review&lt;/title&gt;&lt;secondary-title&gt;Journal of Antimicrobial Chemotherapy&lt;/secondary-title&gt;&lt;/titles&gt;&lt;periodical&gt;&lt;full-title&gt;Journal of Antimicrobial Chemotherapy&lt;/full-title&gt;&lt;/periodical&gt;&lt;pages&gt;861-870&lt;/pages&gt;&lt;volume&gt;78&lt;/volume&gt;&lt;number&gt;4&lt;/number&gt;&lt;dates&gt;&lt;year&gt;2023&lt;/year&gt;&lt;/dates&gt;&lt;isbn&gt;0305-7453&lt;/isbn&gt;&lt;urls&gt;&lt;/urls&gt;&lt;/record&gt;&lt;/Cite&gt;&lt;/EndNote&gt;</w:instrText>
      </w:r>
      <w:r w:rsidR="00097BC1" w:rsidRPr="002C21B8">
        <w:fldChar w:fldCharType="separate"/>
      </w:r>
      <w:r w:rsidR="00097BC1" w:rsidRPr="002C21B8">
        <w:t>(Harvey</w:t>
      </w:r>
      <w:r w:rsidR="00097BC1" w:rsidRPr="002C21B8">
        <w:rPr>
          <w:i/>
        </w:rPr>
        <w:t xml:space="preserve"> et al.</w:t>
      </w:r>
      <w:r w:rsidR="00097BC1" w:rsidRPr="002C21B8">
        <w:t>, 2023)</w:t>
      </w:r>
      <w:r w:rsidR="00097BC1" w:rsidRPr="002C21B8">
        <w:fldChar w:fldCharType="end"/>
      </w:r>
      <w:r w:rsidR="001B5F90" w:rsidRPr="002C21B8">
        <w:t>.</w:t>
      </w:r>
    </w:p>
    <w:p w14:paraId="5BCCAF3F" w14:textId="3DE1F738" w:rsidR="00ED6A55" w:rsidRPr="002C21B8" w:rsidRDefault="00923D13" w:rsidP="00D6618C">
      <w:r w:rsidRPr="002C21B8">
        <w:t xml:space="preserve">A </w:t>
      </w:r>
      <w:r w:rsidR="00ED6A55" w:rsidRPr="002C21B8">
        <w:t xml:space="preserve">wide range </w:t>
      </w:r>
      <w:r w:rsidR="00097BC1" w:rsidRPr="002C21B8">
        <w:t xml:space="preserve">of factors </w:t>
      </w:r>
      <w:r w:rsidR="00ED6A55" w:rsidRPr="002C21B8">
        <w:t xml:space="preserve">have been described </w:t>
      </w:r>
      <w:r w:rsidR="00F0450A" w:rsidRPr="002C21B8">
        <w:t>as</w:t>
      </w:r>
      <w:r w:rsidR="00ED6A55" w:rsidRPr="002C21B8">
        <w:t xml:space="preserve"> influenc</w:t>
      </w:r>
      <w:r w:rsidR="00A51C1E" w:rsidRPr="002C21B8">
        <w:t>ing</w:t>
      </w:r>
      <w:r w:rsidR="00ED6A55" w:rsidRPr="002C21B8">
        <w:t xml:space="preserve"> </w:t>
      </w:r>
      <w:r w:rsidR="006D76FC" w:rsidRPr="002C21B8">
        <w:t>prescribing</w:t>
      </w:r>
      <w:r w:rsidR="00ED6A55" w:rsidRPr="002C21B8">
        <w:t xml:space="preserve"> decisions and contribut</w:t>
      </w:r>
      <w:r w:rsidR="00274E61" w:rsidRPr="002C21B8">
        <w:t>ing</w:t>
      </w:r>
      <w:r w:rsidR="00ED6A55" w:rsidRPr="002C21B8">
        <w:t xml:space="preserve"> to variation in practice </w:t>
      </w:r>
      <w:r w:rsidR="00ED6A55" w:rsidRPr="002C21B8">
        <w:fldChar w:fldCharType="begin">
          <w:fldData xml:space="preserve">PEVuZE5vdGU+PENpdGU+PEF1dGhvcj5EYXZhcmk8L0F1dGhvcj48WWVhcj4yMDE4PC9ZZWFyPjxS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=
</w:fldData>
        </w:fldChar>
      </w:r>
      <w:r w:rsidR="00CE4967" w:rsidRPr="002C21B8">
        <w:instrText xml:space="preserve"> ADDIN EN.CITE </w:instrText>
      </w:r>
      <w:r w:rsidR="00CE4967" w:rsidRPr="002C21B8">
        <w:fldChar w:fldCharType="begin">
          <w:fldData xml:space="preserve">PEVuZE5vdGU+PENpdGU+PEF1dGhvcj5EYXZhcmk8L0F1dGhvcj48WWVhcj4yMDE4PC9ZZWFyPjxS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=
</w:fldData>
        </w:fldChar>
      </w:r>
      <w:r w:rsidR="00CE4967" w:rsidRPr="002C21B8">
        <w:instrText xml:space="preserve"> ADDIN EN.CITE.DATA </w:instrText>
      </w:r>
      <w:r w:rsidR="00CE4967" w:rsidRPr="002C21B8">
        <w:fldChar w:fldCharType="end"/>
      </w:r>
      <w:r w:rsidR="00ED6A55" w:rsidRPr="002C21B8">
        <w:fldChar w:fldCharType="separate"/>
      </w:r>
      <w:r w:rsidR="00ED6A55" w:rsidRPr="002C21B8">
        <w:rPr>
          <w:noProof/>
        </w:rPr>
        <w:t>(Davari, Khorasani and Tigabu, 2018)</w:t>
      </w:r>
      <w:r w:rsidR="00ED6A55" w:rsidRPr="002C21B8">
        <w:fldChar w:fldCharType="end"/>
      </w:r>
      <w:r w:rsidR="00ED6A55" w:rsidRPr="002C21B8">
        <w:t xml:space="preserve">. </w:t>
      </w:r>
      <w:r w:rsidR="00097BC1" w:rsidRPr="002C21B8">
        <w:t xml:space="preserve">Understanding these influences is essential to explain why </w:t>
      </w:r>
      <w:r w:rsidR="00ED6A55" w:rsidRPr="002C21B8">
        <w:t>variation occurs</w:t>
      </w:r>
      <w:r w:rsidR="006F76DF" w:rsidRPr="002C21B8">
        <w:t xml:space="preserve"> and to minimise </w:t>
      </w:r>
      <w:r w:rsidR="00ED6A55" w:rsidRPr="002C21B8">
        <w:t xml:space="preserve">unwarranted variation </w:t>
      </w:r>
      <w:r w:rsidR="006F76DF" w:rsidRPr="002C21B8">
        <w:t xml:space="preserve">where possible </w:t>
      </w:r>
      <w:r w:rsidR="00ED6A55" w:rsidRPr="002C21B8">
        <w:fldChar w:fldCharType="begin"/>
      </w:r>
      <w:r w:rsidR="000215B0" w:rsidRPr="002C21B8">
        <w:instrText xml:space="preserve"> ADDIN EN.CITE &lt;EndNote&gt;&lt;Cite&gt;&lt;Author&gt;Sutherland&lt;/Author&gt;&lt;Year&gt;2020&lt;/Year&gt;&lt;RecNum&gt;4976&lt;/RecNum&gt;&lt;DisplayText&gt;(Sutherland and Levesque, 2020)&lt;/DisplayText&gt;&lt;record&gt;&lt;rec-number&gt;4976&lt;/rec-number&gt;&lt;foreign-keys&gt;&lt;key app="EN" db-id="xpefzwa5hf9dt2ea9fax95x7xvxz90v09dtf" timestamp="1699809136"&gt;4976&lt;/key&gt;&lt;/foreign-keys&gt;&lt;ref-type name="Journal Article"&gt;17&lt;/ref-type&gt;&lt;contributors&gt;&lt;authors&gt;&lt;author&gt;Sutherland, K.&lt;/author&gt;&lt;author&gt;Levesque, J. F.&lt;/author&gt;&lt;/authors&gt;&lt;/contributors&gt;&lt;auth-address&gt;Agency for Clinical Innovation, Chatswood, New South Wales, Australia.&amp;#xD;Centre for Primary Health Care and Equity, UNSW Randwick Campus, Randwick, New South Wales, Australia.&lt;/auth-address&gt;&lt;titles&gt;&lt;title&gt;Unwarranted clinical variation in health care: Definitions and proposal of an analytic framework&lt;/title&gt;&lt;secondary-title&gt;Journal of Evaluation in Clinical Practice&lt;/secondary-title&gt;&lt;/titles&gt;&lt;periodical&gt;&lt;full-title&gt;Journal of evaluation in clinical practice&lt;/full-title&gt;&lt;/periodical&gt;&lt;pages&gt;687-696&lt;/pages&gt;&lt;volume&gt;26&lt;/volume&gt;&lt;number&gt;3&lt;/number&gt;&lt;edition&gt;20190528&lt;/edition&gt;&lt;keywords&gt;&lt;keyword&gt;*Clinical Decision-Making&lt;/keyword&gt;&lt;keyword&gt;*Delivery of Health Care&lt;/keyword&gt;&lt;keyword&gt;Humans&lt;/keyword&gt;&lt;keyword&gt;framework&lt;/keyword&gt;&lt;keyword&gt;performance measurement&lt;/keyword&gt;&lt;keyword&gt;quality improvement&lt;/keyword&gt;&lt;keyword&gt;unwarranted clinical variation&lt;/keyword&gt;&lt;/keywords&gt;&lt;dates&gt;&lt;year&gt;2020&lt;/year&gt;&lt;pub-dates&gt;&lt;date&gt;Jun&lt;/date&gt;&lt;/pub-dates&gt;&lt;/dates&gt;&lt;isbn&gt;1356-1294 (Print)&amp;#xD;1356-1294&lt;/isbn&gt;&lt;accession-num&gt;31136047&lt;/accession-num&gt;&lt;urls&gt;&lt;/urls&gt;&lt;custom1&gt;Both authors are full time employees of NSW Health. There are no external funding sources. There are no conflicts of interest to disclose.&lt;/custom1&gt;&lt;custom2&gt;PMC7317701&lt;/custom2&gt;&lt;electronic-resource-num&gt;10.1111/jep.13181&lt;/electronic-resource-num&gt;&lt;remote-database-provider&gt;NLM&lt;/remote-database-provider&gt;&lt;language&gt;eng&lt;/language&gt;&lt;/record&gt;&lt;/Cite&gt;&lt;/EndNote&gt;</w:instrText>
      </w:r>
      <w:r w:rsidR="00ED6A55" w:rsidRPr="002C21B8">
        <w:fldChar w:fldCharType="separate"/>
      </w:r>
      <w:r w:rsidR="00ED6A55" w:rsidRPr="002C21B8">
        <w:rPr>
          <w:noProof/>
        </w:rPr>
        <w:t>(Sutherland and Levesque, 2020)</w:t>
      </w:r>
      <w:r w:rsidR="00ED6A55" w:rsidRPr="002C21B8">
        <w:fldChar w:fldCharType="end"/>
      </w:r>
      <w:r w:rsidR="00ED6A55" w:rsidRPr="002C21B8">
        <w:t xml:space="preserve">. </w:t>
      </w:r>
      <w:r w:rsidR="00076263" w:rsidRPr="002C21B8">
        <w:t xml:space="preserve">As demonstrated in </w:t>
      </w:r>
      <w:hyperlink w:anchor="_The_prescribing_process" w:history="1">
        <w:r w:rsidR="00B54536" w:rsidRPr="002C21B8">
          <w:rPr>
            <w:rStyle w:val="Hyperlink"/>
          </w:rPr>
          <w:t>Section 2.3.1</w:t>
        </w:r>
      </w:hyperlink>
      <w:r w:rsidR="00076263" w:rsidRPr="002C21B8">
        <w:t xml:space="preserve">, prescribing </w:t>
      </w:r>
      <w:r w:rsidR="009618C1" w:rsidRPr="002C21B8">
        <w:t>is a</w:t>
      </w:r>
      <w:r w:rsidR="00076263" w:rsidRPr="002C21B8">
        <w:t xml:space="preserve"> complex</w:t>
      </w:r>
      <w:r w:rsidR="00423DC8" w:rsidRPr="002C21B8">
        <w:t xml:space="preserve"> </w:t>
      </w:r>
      <w:r w:rsidR="009618C1" w:rsidRPr="002C21B8">
        <w:t xml:space="preserve">process. Evidence from studies of clinical behaviour </w:t>
      </w:r>
      <w:r w:rsidR="007A46D5" w:rsidRPr="002C21B8">
        <w:t>suggest</w:t>
      </w:r>
      <w:r w:rsidR="00D6618C" w:rsidRPr="002C21B8">
        <w:t>s</w:t>
      </w:r>
      <w:r w:rsidR="009618C1" w:rsidRPr="002C21B8">
        <w:t xml:space="preserve"> that complex </w:t>
      </w:r>
      <w:r w:rsidR="007A46D5" w:rsidRPr="002C21B8">
        <w:t xml:space="preserve">healthcare </w:t>
      </w:r>
      <w:r w:rsidR="009618C1" w:rsidRPr="002C21B8">
        <w:t xml:space="preserve">processes </w:t>
      </w:r>
      <w:r w:rsidR="007A46D5" w:rsidRPr="002C21B8">
        <w:t xml:space="preserve">may </w:t>
      </w:r>
      <w:r w:rsidR="009618C1" w:rsidRPr="002C21B8">
        <w:t xml:space="preserve">not be fully understood through descriptive approaches </w:t>
      </w:r>
      <w:r w:rsidR="00A94E9B" w:rsidRPr="002C21B8">
        <w:t>alone. S</w:t>
      </w:r>
      <w:r w:rsidR="009618C1" w:rsidRPr="002C21B8">
        <w:t xml:space="preserve">tructured methods are </w:t>
      </w:r>
      <w:r w:rsidR="00A94E9B" w:rsidRPr="002C21B8">
        <w:t>therefore</w:t>
      </w:r>
      <w:r w:rsidR="00D6618C" w:rsidRPr="002C21B8">
        <w:t xml:space="preserve"> </w:t>
      </w:r>
      <w:r w:rsidR="00707A76" w:rsidRPr="002C21B8">
        <w:t xml:space="preserve">needed to </w:t>
      </w:r>
      <w:r w:rsidR="00D6618C" w:rsidRPr="002C21B8">
        <w:t xml:space="preserve">explore the underlying factors that </w:t>
      </w:r>
      <w:r w:rsidR="00477A66" w:rsidRPr="002C21B8">
        <w:t xml:space="preserve">may </w:t>
      </w:r>
      <w:r w:rsidR="00D6618C" w:rsidRPr="002C21B8">
        <w:t>contribute to variation in practice</w:t>
      </w:r>
      <w:r w:rsidR="00707A76" w:rsidRPr="002C21B8">
        <w:t xml:space="preserve"> </w:t>
      </w:r>
      <w:r w:rsidR="00ED6A55" w:rsidRPr="002C21B8">
        <w:fldChar w:fldCharType="begin"/>
      </w:r>
      <w:r w:rsidR="00EB3D82" w:rsidRPr="002C21B8">
        <w:instrText xml:space="preserve"> ADDIN EN.CITE &lt;EndNote&gt;&lt;Cite&gt;&lt;Author&gt;Eccles&lt;/Author&gt;&lt;Year&gt;2012&lt;/Year&gt;&lt;RecNum&gt;125359&lt;/RecNum&gt;&lt;DisplayText&gt;(Eccles&lt;style face="italic"&gt; et al.&lt;/style&gt;, 2012; Michie, Van Stralen and West, 2011)&lt;/DisplayText&gt;&lt;record&gt;&lt;rec-number&gt;125359&lt;/rec-number&gt;&lt;foreign-keys&gt;&lt;key app="EN" db-id="xpefzwa5hf9dt2ea9fax95x7xvxz90v09dtf" timestamp="1775250435"&gt;125359&lt;/key&gt;&lt;/foreign-keys&gt;&lt;ref-type name="Journal Article"&gt;17&lt;/ref-type&gt;&lt;contributors&gt;&lt;authors&gt;&lt;author&gt;Eccles, Martin P&lt;/author&gt;&lt;author&gt;Grimshaw, Jeremy M&lt;/author&gt;&lt;author&gt;MacLennan, Graeme&lt;/author&gt;&lt;author&gt;Bonetti, Debbie&lt;/author&gt;&lt;author&gt;Glidewell, Liz&lt;/author&gt;&lt;author&gt;Pitts, Nigel B&lt;/author&gt;&lt;author&gt;Steen, Nick&lt;/author&gt;&lt;author&gt;Thomas, Ruth&lt;/author&gt;&lt;author&gt;Walker, Anne&lt;/author&gt;&lt;author&gt;Johnston, Marie&lt;/author&gt;&lt;/authors&gt;&lt;/contributors&gt;&lt;titles&gt;&lt;title&gt;Explaining clinical behaviors using multiple theoretical models&lt;/title&gt;&lt;secondary-title&gt;Implementation Science&lt;/secondary-title&gt;&lt;/titles&gt;&lt;periodical&gt;&lt;full-title&gt;Implementation Science&lt;/full-title&gt;&lt;/periodical&gt;&lt;pages&gt;99&lt;/pages&gt;&lt;volume&gt;7&lt;/volume&gt;&lt;number&gt;1&lt;/number&gt;&lt;dates&gt;&lt;year&gt;2012&lt;/year&gt;&lt;/dates&gt;&lt;isbn&gt;1748-5908&lt;/isbn&gt;&lt;urls&gt;&lt;/urls&gt;&lt;/record&gt;&lt;/Cite&gt;&lt;Cite&gt;&lt;Author&gt;Michie&lt;/Author&gt;&lt;Year&gt;2011&lt;/Year&gt;&lt;RecNum&gt;125547&lt;/RecNum&gt;&lt;record&gt;&lt;rec-number&gt;125547&lt;/rec-number&gt;&lt;foreign-keys&gt;&lt;key app="EN" db-id="xpefzwa5hf9dt2ea9fax95x7xvxz90v09dtf" timestamp="1777621385"&gt;125547&lt;/key&gt;&lt;/foreign-keys&gt;&lt;ref-type name="Journal Article"&gt;17&lt;/ref-type&gt;&lt;contributors&gt;&lt;authors&gt;&lt;author&gt;Michie, Susan&lt;/author&gt;&lt;author&gt;Van Stralen, Maartje M&lt;/author&gt;&lt;author&gt;West, Robert&lt;/author&gt;&lt;/authors&gt;&lt;/contributors&gt;&lt;titles&gt;&lt;title&gt;The behaviour change wheel: a new method for characterising and designing behaviour change interventions&lt;/title&gt;&lt;secondary-title&gt;Implementation Science&lt;/secondary-title&gt;&lt;/titles&gt;&lt;periodical&gt;&lt;full-title&gt;Implementation Science&lt;/full-title&gt;&lt;/periodical&gt;&lt;pages&gt;42&lt;/pages&gt;&lt;volume&gt;6&lt;/volume&gt;&lt;number&gt;1&lt;/number&gt;&lt;dates&gt;&lt;year&gt;2011&lt;/year&gt;&lt;/dates&gt;&lt;isbn&gt;1748-5908&lt;/isbn&gt;&lt;urls&gt;&lt;/urls&gt;&lt;/record&gt;&lt;/Cite&gt;&lt;/EndNote&gt;</w:instrText>
      </w:r>
      <w:r w:rsidR="00ED6A55" w:rsidRPr="002C21B8">
        <w:fldChar w:fldCharType="separate"/>
      </w:r>
      <w:r w:rsidR="00EB3D82" w:rsidRPr="002C21B8">
        <w:rPr>
          <w:noProof/>
        </w:rPr>
        <w:t>(Eccles</w:t>
      </w:r>
      <w:r w:rsidR="00EB3D82" w:rsidRPr="002C21B8">
        <w:rPr>
          <w:i/>
          <w:noProof/>
        </w:rPr>
        <w:t xml:space="preserve"> et al.</w:t>
      </w:r>
      <w:r w:rsidR="00EB3D82" w:rsidRPr="002C21B8">
        <w:rPr>
          <w:noProof/>
        </w:rPr>
        <w:t>, 2012; Michie, Van Stralen and West, 2011)</w:t>
      </w:r>
      <w:r w:rsidR="00ED6A55" w:rsidRPr="002C21B8">
        <w:fldChar w:fldCharType="end"/>
      </w:r>
      <w:r w:rsidR="00ED6A55" w:rsidRPr="002C21B8">
        <w:t>.</w:t>
      </w:r>
    </w:p>
    <w:p w14:paraId="1FD6CF71" w14:textId="4CA53C76" w:rsidR="00B87D87" w:rsidRPr="002C21B8" w:rsidRDefault="00BE3B94" w:rsidP="004507C8">
      <w:pPr>
        <w:pStyle w:val="Heading3"/>
      </w:pPr>
      <w:r w:rsidRPr="002C21B8">
        <w:t>C</w:t>
      </w:r>
      <w:r w:rsidR="00A15C75" w:rsidRPr="002C21B8">
        <w:t>onceptual model o</w:t>
      </w:r>
      <w:r w:rsidR="00FB3402" w:rsidRPr="002C21B8">
        <w:t>f</w:t>
      </w:r>
      <w:r w:rsidR="00A15C75" w:rsidRPr="002C21B8">
        <w:t xml:space="preserve"> </w:t>
      </w:r>
      <w:r w:rsidR="006F76DF" w:rsidRPr="002C21B8">
        <w:t xml:space="preserve">prescribing </w:t>
      </w:r>
      <w:r w:rsidR="00553884" w:rsidRPr="002C21B8">
        <w:t>decision</w:t>
      </w:r>
      <w:r w:rsidR="00FB3402" w:rsidRPr="002C21B8">
        <w:t>-making</w:t>
      </w:r>
    </w:p>
    <w:p w14:paraId="6DB6B3F1" w14:textId="3B62600E" w:rsidR="00247A26" w:rsidRPr="002C21B8" w:rsidRDefault="00247A26" w:rsidP="001A3EC7">
      <w:r w:rsidRPr="002C21B8">
        <w:t xml:space="preserve">A theory is a set of principles that explain a phenomenon and predict how its components behave under different conditions </w:t>
      </w:r>
      <w:r w:rsidRPr="002C21B8">
        <w:fldChar w:fldCharType="begin"/>
      </w:r>
      <w:r w:rsidR="00046586" w:rsidRPr="002C21B8">
        <w:instrText xml:space="preserve"> ADDIN EN.CITE &lt;EndNote&gt;&lt;Cite&gt;&lt;Author&gt;Glanz&lt;/Author&gt;&lt;Year&gt;2008&lt;/Year&gt;&lt;RecNum&gt;125362&lt;/RecNum&gt;&lt;DisplayText&gt;(Glanz, Rimer and Viswanath, 2008)&lt;/DisplayText&gt;&lt;record&gt;&lt;rec-number&gt;125362&lt;/rec-number&gt;&lt;foreign-keys&gt;&lt;key app="EN" db-id="xpefzwa5hf9dt2ea9fax95x7xvxz90v09dtf" timestamp="1775284770"&gt;125362&lt;/key&gt;&lt;/foreign-keys&gt;&lt;ref-type name="Book"&gt;6&lt;/ref-type&gt;&lt;contributors&gt;&lt;authors&gt;&lt;author&gt;Glanz, Karen&lt;/author&gt;&lt;author&gt;Rimer, Barbara K&lt;/author&gt;&lt;author&gt;Viswanath, Kasisomayajula&lt;/author&gt;&lt;/authors&gt;&lt;/contributors&gt;&lt;titles&gt;&lt;title&gt;Health behavior and health education: theory, research, and practice&lt;/title&gt;&lt;/titles&gt;&lt;section&gt;1-592&lt;/section&gt;&lt;dates&gt;&lt;year&gt;2008&lt;/year&gt;&lt;/dates&gt;&lt;pub-location&gt;San Francisco, California, USA&lt;/pub-location&gt;&lt;publisher&gt;John Wiley &amp;amp; Sons&lt;/publisher&gt;&lt;isbn&gt;0470432489&lt;/isbn&gt;&lt;urls&gt;&lt;/urls&gt;&lt;/record&gt;&lt;/Cite&gt;&lt;/EndNote&gt;</w:instrText>
      </w:r>
      <w:r w:rsidRPr="002C21B8">
        <w:fldChar w:fldCharType="separate"/>
      </w:r>
      <w:r w:rsidRPr="002C21B8">
        <w:rPr>
          <w:noProof/>
        </w:rPr>
        <w:t>(Glanz, Rimer and Viswanath, 2008)</w:t>
      </w:r>
      <w:r w:rsidRPr="002C21B8">
        <w:fldChar w:fldCharType="end"/>
      </w:r>
      <w:r w:rsidRPr="002C21B8">
        <w:t xml:space="preserve">. </w:t>
      </w:r>
      <w:r w:rsidR="00B85476" w:rsidRPr="002C21B8">
        <w:t>These theories can be used to develop conceptual frameworks or models</w:t>
      </w:r>
      <w:r w:rsidR="00EB3D82" w:rsidRPr="002C21B8">
        <w:t>, terms</w:t>
      </w:r>
      <w:r w:rsidR="00B85476" w:rsidRPr="002C21B8">
        <w:t xml:space="preserve"> which are often used interchangeably</w:t>
      </w:r>
      <w:r w:rsidR="001F4895" w:rsidRPr="002C21B8">
        <w:t xml:space="preserve"> </w:t>
      </w:r>
      <w:r w:rsidR="00B85476" w:rsidRPr="002C21B8">
        <w:fldChar w:fldCharType="begin"/>
      </w:r>
      <w:r w:rsidR="00121D05" w:rsidRPr="002C21B8">
        <w:instrText xml:space="preserve"> ADDIN EN.CITE &lt;EndNote&gt;&lt;Cite&gt;&lt;Author&gt;Gray&lt;/Author&gt;&lt;Year&gt;2016&lt;/Year&gt;&lt;RecNum&gt;125527&lt;/RecNum&gt;&lt;DisplayText&gt;(Gray and Sockolow, 2016)&lt;/DisplayText&gt;&lt;record&gt;&lt;rec-number&gt;125527&lt;/rec-number&gt;&lt;foreign-keys&gt;&lt;key app="EN" db-id="xpefzwa5hf9dt2ea9fax95x7xvxz90v09dtf" timestamp="1777397883"&gt;125527&lt;/key&gt;&lt;/foreign-keys&gt;&lt;ref-type name="Journal Article"&gt;17&lt;/ref-type&gt;&lt;contributors&gt;&lt;authors&gt;&lt;author&gt;Gray, Kathleen&lt;/author&gt;&lt;author&gt;Sockolow, Paulina&lt;/author&gt;&lt;/authors&gt;&lt;/contributors&gt;&lt;titles&gt;&lt;title&gt;Conceptual models in health informatics research: a literature review and suggestions for development&lt;/title&gt;&lt;secondary-title&gt;JMIR Medical Informatics&lt;/secondary-title&gt;&lt;/titles&gt;&lt;periodical&gt;&lt;full-title&gt;JMIR medical informatics&lt;/full-title&gt;&lt;/periodical&gt;&lt;pages&gt;e5021&lt;/pages&gt;&lt;volume&gt;4&lt;/volume&gt;&lt;number&gt;1&lt;/number&gt;&lt;dates&gt;&lt;year&gt;2016&lt;/year&gt;&lt;/dates&gt;&lt;urls&gt;&lt;/urls&gt;&lt;/record&gt;&lt;/Cite&gt;&lt;/EndNote&gt;</w:instrText>
      </w:r>
      <w:r w:rsidR="00B85476" w:rsidRPr="002C21B8">
        <w:fldChar w:fldCharType="separate"/>
      </w:r>
      <w:r w:rsidR="00B85476" w:rsidRPr="002C21B8">
        <w:rPr>
          <w:noProof/>
        </w:rPr>
        <w:t>(Gray and Sockolow, 2016)</w:t>
      </w:r>
      <w:r w:rsidR="00B85476" w:rsidRPr="002C21B8">
        <w:fldChar w:fldCharType="end"/>
      </w:r>
      <w:r w:rsidR="00B85476" w:rsidRPr="002C21B8">
        <w:t xml:space="preserve">. Conceptual frameworks typically provide a broad structure for organising relevant factors, </w:t>
      </w:r>
      <w:r w:rsidR="00B85476" w:rsidRPr="002C21B8">
        <w:lastRenderedPageBreak/>
        <w:t>whereas conceptual models represent a more focused representation of how these factors are thought to interact and influence an outcome</w:t>
      </w:r>
      <w:r w:rsidR="005A6D40" w:rsidRPr="002C21B8">
        <w:t xml:space="preserve"> </w:t>
      </w:r>
      <w:r w:rsidR="005A6D40" w:rsidRPr="002C21B8">
        <w:fldChar w:fldCharType="begin"/>
      </w:r>
      <w:r w:rsidR="002D2008" w:rsidRPr="002C21B8">
        <w:instrText xml:space="preserve"> ADDIN EN.CITE &lt;EndNote&gt;&lt;Cite&gt;&lt;Author&gt;Nilsen&lt;/Author&gt;&lt;Year&gt;2020&lt;/Year&gt;&lt;RecNum&gt;125587&lt;/RecNum&gt;&lt;DisplayText&gt;(Nilsen, 2020)&lt;/DisplayText&gt;&lt;record&gt;&lt;rec-number&gt;125587&lt;/rec-number&gt;&lt;foreign-keys&gt;&lt;key app="EN" db-id="xpefzwa5hf9dt2ea9fax95x7xvxz90v09dtf" timestamp="1778354584"&gt;125587&lt;/key&gt;&lt;/foreign-keys&gt;&lt;ref-type name="Book Section"&gt;5&lt;/ref-type&gt;&lt;contributors&gt;&lt;authors&gt;&lt;author&gt;Nilsen, Per&lt;/author&gt;&lt;/authors&gt;&lt;/contributors&gt;&lt;titles&gt;&lt;title&gt;Making sense of implementation theories, models, and frameworks&lt;/title&gt;&lt;secondary-title&gt;Implementation Science 3.0&lt;/secondary-title&gt;&lt;/titles&gt;&lt;pages&gt;53-79&lt;/pages&gt;&lt;dates&gt;&lt;year&gt;2020&lt;/year&gt;&lt;/dates&gt;&lt;pub-location&gt;New York, USA&lt;/pub-location&gt;&lt;publisher&gt;Springer Publishing&lt;/publisher&gt;&lt;urls&gt;&lt;/urls&gt;&lt;/record&gt;&lt;/Cite&gt;&lt;/EndNote&gt;</w:instrText>
      </w:r>
      <w:r w:rsidR="005A6D40" w:rsidRPr="002C21B8">
        <w:fldChar w:fldCharType="separate"/>
      </w:r>
      <w:r w:rsidR="005A6D40" w:rsidRPr="002C21B8">
        <w:rPr>
          <w:noProof/>
        </w:rPr>
        <w:t>(Nilsen, 2020)</w:t>
      </w:r>
      <w:r w:rsidR="005A6D40" w:rsidRPr="002C21B8">
        <w:fldChar w:fldCharType="end"/>
      </w:r>
      <w:r w:rsidRPr="002C21B8">
        <w:t>.</w:t>
      </w:r>
    </w:p>
    <w:p w14:paraId="1BFF4DB1" w14:textId="4D272395" w:rsidR="00037C05" w:rsidRPr="002C21B8" w:rsidRDefault="00E96BFE" w:rsidP="001A3EC7">
      <w:r w:rsidRPr="002C21B8">
        <w:t xml:space="preserve">In </w:t>
      </w:r>
      <w:r w:rsidR="00AF3111" w:rsidRPr="002C21B8">
        <w:t xml:space="preserve">an </w:t>
      </w:r>
      <w:r w:rsidRPr="002C21B8">
        <w:t>attempt to understand variation in prescribing practices and the factors influencing prescribing decisions, authors have developed</w:t>
      </w:r>
      <w:r w:rsidR="00037C05" w:rsidRPr="002C21B8">
        <w:t xml:space="preserve"> a range of</w:t>
      </w:r>
      <w:r w:rsidRPr="002C21B8">
        <w:t xml:space="preserve"> theories and models. </w:t>
      </w:r>
      <w:r w:rsidR="00037C05" w:rsidRPr="002C21B8">
        <w:t xml:space="preserve">These include behavioural theories, implementation frameworks and models of clinical decision-making which tend to address specific aspects of prescribing behaviour rather than providing an integrated account of </w:t>
      </w:r>
      <w:r w:rsidR="00847C2E" w:rsidRPr="002C21B8">
        <w:t xml:space="preserve">the </w:t>
      </w:r>
      <w:r w:rsidR="00037C05" w:rsidRPr="002C21B8">
        <w:t>factors influencing prescribing.</w:t>
      </w:r>
    </w:p>
    <w:p w14:paraId="3EEC9F35" w14:textId="01A416CD" w:rsidR="003C2902" w:rsidRPr="002C21B8" w:rsidRDefault="00E815BC" w:rsidP="000331BE">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w:t>
      </w:r>
      <w:r w:rsidR="00C74FD7" w:rsidRPr="002C21B8">
        <w:t xml:space="preserve">present </w:t>
      </w:r>
      <w:r w:rsidR="00037C05" w:rsidRPr="002C21B8">
        <w:t>one of the few</w:t>
      </w:r>
      <w:r w:rsidR="00C74FD7" w:rsidRPr="002C21B8">
        <w:t xml:space="preserve"> </w:t>
      </w:r>
      <w:r w:rsidR="00037C05" w:rsidRPr="002C21B8">
        <w:t xml:space="preserve">conceptual </w:t>
      </w:r>
      <w:r w:rsidR="00C74FD7" w:rsidRPr="002C21B8">
        <w:t>model</w:t>
      </w:r>
      <w:r w:rsidR="00037C05" w:rsidRPr="002C21B8">
        <w:t>s</w:t>
      </w:r>
      <w:r w:rsidR="00C74FD7" w:rsidRPr="002C21B8">
        <w:t xml:space="preserve"> f</w:t>
      </w:r>
      <w:r w:rsidR="007B3682" w:rsidRPr="002C21B8">
        <w:t>or</w:t>
      </w:r>
      <w:r w:rsidR="00C74FD7" w:rsidRPr="002C21B8">
        <w:t xml:space="preserve"> prescribing</w:t>
      </w:r>
      <w:r w:rsidR="00037C05" w:rsidRPr="002C21B8">
        <w:t xml:space="preserve"> that</w:t>
      </w:r>
      <w:r w:rsidR="00C74FD7" w:rsidRPr="002C21B8">
        <w:t xml:space="preserve"> </w:t>
      </w:r>
      <w:r w:rsidR="007138F2" w:rsidRPr="002C21B8">
        <w:t>combines</w:t>
      </w:r>
      <w:r w:rsidR="00C74FD7" w:rsidRPr="002C21B8">
        <w:t xml:space="preserve"> multiple theoretical perspectives </w:t>
      </w:r>
      <w:r w:rsidR="00037C05" w:rsidRPr="002C21B8">
        <w:t>within a single model (</w:t>
      </w:r>
      <w:r w:rsidR="00037C05" w:rsidRPr="002C21B8">
        <w:fldChar w:fldCharType="begin"/>
      </w:r>
      <w:r w:rsidR="00037C05" w:rsidRPr="002C21B8">
        <w:instrText xml:space="preserve"> REF _Ref217284242 \h  \* MERGEFORMAT </w:instrText>
      </w:r>
      <w:r w:rsidR="00037C05" w:rsidRPr="002C21B8">
        <w:fldChar w:fldCharType="separate"/>
      </w:r>
      <w:r w:rsidR="00DB3709" w:rsidRPr="002C21B8">
        <w:t xml:space="preserve">Figure </w:t>
      </w:r>
      <w:r w:rsidR="00DB3709">
        <w:t>2</w:t>
      </w:r>
      <w:r w:rsidR="00037C05" w:rsidRPr="002C21B8">
        <w:fldChar w:fldCharType="end"/>
      </w:r>
      <w:r w:rsidR="00037C05" w:rsidRPr="002C21B8">
        <w:t xml:space="preserve"> and </w:t>
      </w:r>
      <w:r w:rsidR="00037C05" w:rsidRPr="002C21B8">
        <w:fldChar w:fldCharType="begin"/>
      </w:r>
      <w:r w:rsidR="00037C05" w:rsidRPr="002C21B8">
        <w:instrText xml:space="preserve"> REF _Ref217287771 \h  \* MERGEFORMAT </w:instrText>
      </w:r>
      <w:r w:rsidR="00037C05" w:rsidRPr="002C21B8">
        <w:fldChar w:fldCharType="separate"/>
      </w:r>
      <w:r w:rsidR="00DB3709" w:rsidRPr="002C21B8">
        <w:rPr>
          <w:noProof/>
        </w:rPr>
        <w:t>Table</w:t>
      </w:r>
      <w:r w:rsidR="00DB3709" w:rsidRPr="002C21B8">
        <w:t xml:space="preserve"> </w:t>
      </w:r>
      <w:r w:rsidR="00DB3709">
        <w:rPr>
          <w:noProof/>
        </w:rPr>
        <w:t>2</w:t>
      </w:r>
      <w:r w:rsidR="00037C05" w:rsidRPr="002C21B8">
        <w:fldChar w:fldCharType="end"/>
      </w:r>
      <w:r w:rsidR="00037C05" w:rsidRPr="002C21B8">
        <w:t>)</w:t>
      </w:r>
      <w:r w:rsidR="00C74FD7" w:rsidRPr="002C21B8">
        <w:t xml:space="preserve">. Their model highlights the roles of key stakeholders in the prescribing process, including </w:t>
      </w:r>
      <w:r w:rsidR="00E96BFE" w:rsidRPr="002C21B8">
        <w:t>marketing efforts, patients, pharmacists</w:t>
      </w:r>
      <w:r w:rsidR="00D0508D" w:rsidRPr="002C21B8">
        <w:t>,</w:t>
      </w:r>
      <w:r w:rsidR="00E96BFE" w:rsidRPr="002C21B8">
        <w:t xml:space="preserve"> and </w:t>
      </w:r>
      <w:r w:rsidR="00D0508D" w:rsidRPr="002C21B8">
        <w:t>contextual factors</w:t>
      </w:r>
      <w:r w:rsidR="00E96BFE" w:rsidRPr="002C21B8">
        <w:t>.</w:t>
      </w:r>
    </w:p>
    <w:p w14:paraId="22226B47" w14:textId="2643D2B2" w:rsidR="001A3EC7" w:rsidRPr="002C21B8" w:rsidRDefault="001A3EC7" w:rsidP="000331BE">
      <w:pPr>
        <w:pStyle w:val="Caption"/>
        <w:keepNext w:val="0"/>
        <w:rPr>
          <w:noProof w:val="0"/>
          <w:sz w:val="22"/>
          <w:szCs w:val="22"/>
        </w:rPr>
      </w:pPr>
      <w:bookmarkStart w:id="35" w:name="_Ref217284242"/>
      <w:bookmarkStart w:id="36" w:name="_Toc236991760"/>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2</w:t>
      </w:r>
      <w:r w:rsidR="001B725E" w:rsidRPr="002C21B8">
        <w:rPr>
          <w:noProof w:val="0"/>
        </w:rPr>
        <w:fldChar w:fldCharType="end"/>
      </w:r>
      <w:bookmarkEnd w:id="35"/>
      <w:r w:rsidRPr="002C21B8">
        <w:rPr>
          <w:noProof w:val="0"/>
        </w:rPr>
        <w:t>.</w:t>
      </w:r>
      <w:r w:rsidR="00E51D10" w:rsidRPr="002C21B8">
        <w:rPr>
          <w:noProof w:val="0"/>
        </w:rPr>
        <w:t xml:space="preserve"> A</w:t>
      </w:r>
      <w:r w:rsidRPr="002C21B8">
        <w:rPr>
          <w:noProof w:val="0"/>
        </w:rPr>
        <w:t xml:space="preserve"> conceptual</w:t>
      </w:r>
      <w:r w:rsidR="00E815BC" w:rsidRPr="002C21B8">
        <w:rPr>
          <w:noProof w:val="0"/>
        </w:rPr>
        <w:t xml:space="preserve"> model</w:t>
      </w:r>
      <w:r w:rsidRPr="002C21B8">
        <w:rPr>
          <w:noProof w:val="0"/>
        </w:rPr>
        <w:t xml:space="preserve"> </w:t>
      </w:r>
      <w:r w:rsidR="001C54C0" w:rsidRPr="002C21B8">
        <w:rPr>
          <w:noProof w:val="0"/>
        </w:rPr>
        <w:t>of physician</w:t>
      </w:r>
      <w:r w:rsidRPr="002C21B8">
        <w:rPr>
          <w:noProof w:val="0"/>
        </w:rPr>
        <w:t xml:space="preserve"> decision</w:t>
      </w:r>
      <w:r w:rsidR="00FB3402" w:rsidRPr="002C21B8">
        <w:rPr>
          <w:noProof w:val="0"/>
        </w:rPr>
        <w:t xml:space="preserve">-making </w:t>
      </w:r>
      <w:r w:rsidR="00E51D10" w:rsidRPr="002C21B8">
        <w:rPr>
          <w:noProof w:val="0"/>
        </w:rPr>
        <w:fldChar w:fldCharType="begin"/>
      </w:r>
      <w:r w:rsidR="00590E88" w:rsidRPr="002C21B8">
        <w:rPr>
          <w:noProof w:val="0"/>
        </w:rPr>
        <w:instrText xml:space="preserve"> ADDIN EN.CITE &lt;EndNote&gt;&lt;Cite&gt;&lt;Author&gt;Murshid&lt;/Author&gt;&lt;Year&gt;2017&lt;/Year&gt;&lt;RecNum&gt;5043&lt;/RecNum&gt;&lt;DisplayText&gt;(Murshid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E51D10" w:rsidRPr="002C21B8">
        <w:rPr>
          <w:noProof w:val="0"/>
        </w:rPr>
        <w:fldChar w:fldCharType="separate"/>
      </w:r>
      <w:r w:rsidR="00E51D10" w:rsidRPr="002C21B8">
        <w:t>(Murshid and Mohaidin, 2017)</w:t>
      </w:r>
      <w:bookmarkEnd w:id="36"/>
      <w:r w:rsidR="00E51D10" w:rsidRPr="002C21B8">
        <w:rPr>
          <w:noProof w:val="0"/>
        </w:rPr>
        <w:fldChar w:fldCharType="end"/>
      </w:r>
    </w:p>
    <w:p w14:paraId="4B62B111" w14:textId="6EA8C531" w:rsidR="00B94EA0" w:rsidRPr="002C21B8" w:rsidRDefault="003E7051" w:rsidP="000331BE">
      <w:pPr>
        <w:spacing w:line="240" w:lineRule="auto"/>
      </w:pPr>
      <w:r w:rsidRPr="002C21B8">
        <w:rPr>
          <w:noProof/>
        </w:rPr>
        <w:drawing>
          <wp:inline distT="0" distB="0" distL="0" distR="0" wp14:anchorId="5BA1E3AF" wp14:editId="568BF3C5">
            <wp:extent cx="5040000" cy="4684028"/>
            <wp:effectExtent l="0" t="0" r="1905" b="2540"/>
            <wp:docPr id="2066465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65415" name=""/>
                    <pic:cNvPicPr/>
                  </pic:nvPicPr>
                  <pic:blipFill>
                    <a:blip r:embed="rId18"/>
                    <a:stretch>
                      <a:fillRect/>
                    </a:stretch>
                  </pic:blipFill>
                  <pic:spPr>
                    <a:xfrm>
                      <a:off x="0" y="0"/>
                      <a:ext cx="5040000" cy="4684028"/>
                    </a:xfrm>
                    <a:prstGeom prst="rect">
                      <a:avLst/>
                    </a:prstGeom>
                  </pic:spPr>
                </pic:pic>
              </a:graphicData>
            </a:graphic>
          </wp:inline>
        </w:drawing>
      </w:r>
    </w:p>
    <w:p w14:paraId="06D85DBE" w14:textId="77777777" w:rsidR="0078737C" w:rsidRPr="002C21B8" w:rsidRDefault="0078737C">
      <w:pPr>
        <w:spacing w:after="0" w:line="240" w:lineRule="auto"/>
        <w:jc w:val="left"/>
        <w:rPr>
          <w:i/>
          <w:iCs/>
          <w:color w:val="7B7B7B" w:themeColor="accent3" w:themeShade="BF"/>
          <w:sz w:val="18"/>
          <w:szCs w:val="18"/>
        </w:rPr>
      </w:pPr>
      <w:bookmarkStart w:id="37" w:name="_Ref217287771"/>
      <w:r w:rsidRPr="002C21B8">
        <w:br w:type="page"/>
      </w:r>
    </w:p>
    <w:p w14:paraId="1D7A37C5" w14:textId="3F03FB45" w:rsidR="001A3EC7" w:rsidRPr="002C21B8" w:rsidRDefault="001A3EC7" w:rsidP="0078737C">
      <w:pPr>
        <w:pStyle w:val="Caption"/>
        <w:keepNext w:val="0"/>
        <w:rPr>
          <w:noProof w:val="0"/>
        </w:rPr>
      </w:pPr>
      <w:bookmarkStart w:id="38" w:name="_Toc236991738"/>
      <w:r w:rsidRPr="002C21B8">
        <w:rPr>
          <w:noProof w:val="0"/>
        </w:rPr>
        <w:lastRenderedPageBreak/>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2</w:t>
      </w:r>
      <w:r w:rsidRPr="002C21B8">
        <w:rPr>
          <w:noProof w:val="0"/>
        </w:rPr>
        <w:fldChar w:fldCharType="end"/>
      </w:r>
      <w:bookmarkEnd w:id="37"/>
      <w:r w:rsidRPr="002C21B8">
        <w:rPr>
          <w:noProof w:val="0"/>
        </w:rPr>
        <w:t>. Factors influencing physician prescribing behaviour and relation to theory (Murshid and Mohaidin, 2017)</w:t>
      </w:r>
      <w:bookmarkEnd w:id="38"/>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827"/>
        <w:gridCol w:w="2982"/>
      </w:tblGrid>
      <w:tr w:rsidR="001A3EC7" w:rsidRPr="002C21B8" w14:paraId="44A41348" w14:textId="77777777" w:rsidTr="00071972">
        <w:trPr>
          <w:trHeight w:val="283"/>
        </w:trPr>
        <w:tc>
          <w:tcPr>
            <w:tcW w:w="2122" w:type="dxa"/>
            <w:tcBorders>
              <w:top w:val="single" w:sz="12" w:space="0" w:color="000000" w:themeColor="text1"/>
              <w:bottom w:val="single" w:sz="6" w:space="0" w:color="000000" w:themeColor="text1"/>
            </w:tcBorders>
            <w:shd w:val="clear" w:color="auto" w:fill="auto"/>
          </w:tcPr>
          <w:p w14:paraId="74BA4426" w14:textId="77777777" w:rsidR="001A3EC7" w:rsidRPr="002C21B8" w:rsidRDefault="001A3EC7" w:rsidP="0078737C">
            <w:pPr>
              <w:spacing w:beforeLines="20" w:before="48" w:afterLines="20" w:after="48" w:line="240" w:lineRule="auto"/>
              <w:rPr>
                <w:b/>
                <w:bCs/>
                <w:sz w:val="18"/>
                <w:szCs w:val="18"/>
              </w:rPr>
            </w:pPr>
            <w:r w:rsidRPr="002C21B8">
              <w:rPr>
                <w:b/>
                <w:bCs/>
                <w:sz w:val="18"/>
                <w:szCs w:val="18"/>
              </w:rPr>
              <w:t>Factor categories</w:t>
            </w:r>
          </w:p>
        </w:tc>
        <w:tc>
          <w:tcPr>
            <w:tcW w:w="3827" w:type="dxa"/>
            <w:tcBorders>
              <w:top w:val="single" w:sz="12" w:space="0" w:color="000000" w:themeColor="text1"/>
              <w:bottom w:val="single" w:sz="6" w:space="0" w:color="000000" w:themeColor="text1"/>
            </w:tcBorders>
            <w:shd w:val="clear" w:color="auto" w:fill="auto"/>
          </w:tcPr>
          <w:p w14:paraId="28D55FDD" w14:textId="39D1A8F1" w:rsidR="001A3EC7" w:rsidRPr="002C21B8" w:rsidRDefault="001A3EC7" w:rsidP="0078737C">
            <w:pPr>
              <w:spacing w:beforeLines="20" w:before="48" w:afterLines="20" w:after="48" w:line="240" w:lineRule="auto"/>
              <w:rPr>
                <w:b/>
                <w:bCs/>
                <w:sz w:val="18"/>
                <w:szCs w:val="18"/>
              </w:rPr>
            </w:pPr>
            <w:r w:rsidRPr="002C21B8">
              <w:rPr>
                <w:b/>
                <w:bCs/>
                <w:sz w:val="18"/>
                <w:szCs w:val="18"/>
              </w:rPr>
              <w:t>Component</w:t>
            </w:r>
          </w:p>
        </w:tc>
        <w:tc>
          <w:tcPr>
            <w:tcW w:w="2982" w:type="dxa"/>
            <w:tcBorders>
              <w:top w:val="single" w:sz="12" w:space="0" w:color="000000" w:themeColor="text1"/>
              <w:bottom w:val="single" w:sz="6" w:space="0" w:color="000000" w:themeColor="text1"/>
            </w:tcBorders>
            <w:shd w:val="clear" w:color="auto" w:fill="auto"/>
          </w:tcPr>
          <w:p w14:paraId="1CCB7715" w14:textId="77777777" w:rsidR="001A3EC7" w:rsidRPr="002C21B8" w:rsidRDefault="001A3EC7" w:rsidP="0078737C">
            <w:pPr>
              <w:spacing w:beforeLines="20" w:before="48" w:afterLines="20" w:after="48" w:line="240" w:lineRule="auto"/>
              <w:jc w:val="left"/>
              <w:rPr>
                <w:b/>
                <w:bCs/>
                <w:sz w:val="18"/>
                <w:szCs w:val="18"/>
              </w:rPr>
            </w:pPr>
            <w:r w:rsidRPr="002C21B8">
              <w:rPr>
                <w:b/>
                <w:bCs/>
                <w:sz w:val="18"/>
                <w:szCs w:val="18"/>
              </w:rPr>
              <w:t>Theory</w:t>
            </w:r>
          </w:p>
        </w:tc>
      </w:tr>
      <w:tr w:rsidR="001A3EC7" w:rsidRPr="002C21B8" w14:paraId="7E5654AE" w14:textId="77777777" w:rsidTr="00071972">
        <w:trPr>
          <w:trHeight w:val="283"/>
        </w:trPr>
        <w:tc>
          <w:tcPr>
            <w:tcW w:w="2122" w:type="dxa"/>
            <w:vMerge w:val="restart"/>
            <w:tcBorders>
              <w:top w:val="single" w:sz="6" w:space="0" w:color="000000" w:themeColor="text1"/>
            </w:tcBorders>
            <w:shd w:val="clear" w:color="auto" w:fill="auto"/>
          </w:tcPr>
          <w:p w14:paraId="658482E7" w14:textId="77777777" w:rsidR="001A3EC7" w:rsidRPr="002C21B8" w:rsidRDefault="001A3EC7" w:rsidP="0078737C">
            <w:pPr>
              <w:spacing w:beforeLines="20" w:before="48" w:afterLines="20" w:after="48" w:line="240" w:lineRule="auto"/>
              <w:rPr>
                <w:sz w:val="18"/>
                <w:szCs w:val="18"/>
              </w:rPr>
            </w:pPr>
            <w:r w:rsidRPr="002C21B8">
              <w:rPr>
                <w:sz w:val="18"/>
                <w:szCs w:val="18"/>
              </w:rPr>
              <w:t>Marketing efforts</w:t>
            </w:r>
          </w:p>
        </w:tc>
        <w:tc>
          <w:tcPr>
            <w:tcW w:w="3827" w:type="dxa"/>
            <w:tcBorders>
              <w:top w:val="single" w:sz="6" w:space="0" w:color="000000" w:themeColor="text1"/>
            </w:tcBorders>
            <w:shd w:val="clear" w:color="auto" w:fill="auto"/>
          </w:tcPr>
          <w:p w14:paraId="279EB847" w14:textId="008B12D6" w:rsidR="001A3EC7" w:rsidRPr="002C21B8" w:rsidRDefault="001A3EC7" w:rsidP="0078737C">
            <w:pPr>
              <w:spacing w:beforeLines="20" w:before="48" w:afterLines="20" w:after="48" w:line="240" w:lineRule="auto"/>
              <w:rPr>
                <w:sz w:val="18"/>
                <w:szCs w:val="18"/>
              </w:rPr>
            </w:pPr>
            <w:r w:rsidRPr="002C21B8">
              <w:rPr>
                <w:sz w:val="18"/>
                <w:szCs w:val="18"/>
              </w:rPr>
              <w:t>Drug information</w:t>
            </w:r>
          </w:p>
        </w:tc>
        <w:tc>
          <w:tcPr>
            <w:tcW w:w="2982" w:type="dxa"/>
            <w:tcBorders>
              <w:top w:val="single" w:sz="6" w:space="0" w:color="000000" w:themeColor="text1"/>
            </w:tcBorders>
            <w:shd w:val="clear" w:color="auto" w:fill="auto"/>
          </w:tcPr>
          <w:p w14:paraId="0F1045E6" w14:textId="35545CF5" w:rsidR="001A3EC7" w:rsidRPr="002C21B8" w:rsidRDefault="009F3358" w:rsidP="0078737C">
            <w:pPr>
              <w:spacing w:beforeLines="20" w:before="48" w:afterLines="20" w:after="48" w:line="240" w:lineRule="auto"/>
              <w:jc w:val="left"/>
              <w:rPr>
                <w:sz w:val="18"/>
                <w:szCs w:val="18"/>
              </w:rPr>
            </w:pPr>
            <w:r w:rsidRPr="002C21B8">
              <w:rPr>
                <w:sz w:val="18"/>
                <w:szCs w:val="18"/>
              </w:rPr>
              <w:t>Theory of P</w:t>
            </w:r>
            <w:r w:rsidR="001A3EC7" w:rsidRPr="002C21B8">
              <w:rPr>
                <w:sz w:val="18"/>
                <w:szCs w:val="18"/>
              </w:rPr>
              <w:t>lanned Behaviour Persuasion Theory</w:t>
            </w:r>
          </w:p>
        </w:tc>
      </w:tr>
      <w:tr w:rsidR="001A3EC7" w:rsidRPr="002C21B8" w14:paraId="0B6FB4D6" w14:textId="77777777" w:rsidTr="00071972">
        <w:trPr>
          <w:trHeight w:val="283"/>
        </w:trPr>
        <w:tc>
          <w:tcPr>
            <w:tcW w:w="2122" w:type="dxa"/>
            <w:vMerge/>
            <w:shd w:val="clear" w:color="auto" w:fill="auto"/>
          </w:tcPr>
          <w:p w14:paraId="50FB8607" w14:textId="77777777" w:rsidR="001A3EC7" w:rsidRPr="002C21B8" w:rsidRDefault="001A3EC7" w:rsidP="0078737C">
            <w:pPr>
              <w:spacing w:beforeLines="20" w:before="48" w:afterLines="20" w:after="48" w:line="240" w:lineRule="auto"/>
              <w:rPr>
                <w:sz w:val="18"/>
                <w:szCs w:val="18"/>
              </w:rPr>
            </w:pPr>
          </w:p>
        </w:tc>
        <w:tc>
          <w:tcPr>
            <w:tcW w:w="3827" w:type="dxa"/>
            <w:shd w:val="clear" w:color="auto" w:fill="auto"/>
          </w:tcPr>
          <w:p w14:paraId="5C51AD42" w14:textId="29F0D2AA" w:rsidR="001A3EC7" w:rsidRPr="002C21B8" w:rsidRDefault="001C7D42" w:rsidP="0078737C">
            <w:pPr>
              <w:spacing w:beforeLines="20" w:before="48" w:afterLines="20" w:after="48" w:line="240" w:lineRule="auto"/>
              <w:rPr>
                <w:sz w:val="18"/>
                <w:szCs w:val="18"/>
              </w:rPr>
            </w:pPr>
            <w:r w:rsidRPr="002C21B8">
              <w:rPr>
                <w:sz w:val="18"/>
                <w:szCs w:val="18"/>
              </w:rPr>
              <w:t>Brands of the drug</w:t>
            </w:r>
          </w:p>
        </w:tc>
        <w:tc>
          <w:tcPr>
            <w:tcW w:w="2982" w:type="dxa"/>
            <w:shd w:val="clear" w:color="auto" w:fill="auto"/>
          </w:tcPr>
          <w:p w14:paraId="2EDDBB85" w14:textId="08DAA1C8" w:rsidR="001A3EC7"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r w:rsidR="001A3EC7" w:rsidRPr="002C21B8">
              <w:rPr>
                <w:sz w:val="18"/>
                <w:szCs w:val="18"/>
              </w:rPr>
              <w:t>Persuasion Theory</w:t>
            </w:r>
          </w:p>
        </w:tc>
      </w:tr>
      <w:tr w:rsidR="001A3EC7" w:rsidRPr="002C21B8" w14:paraId="5F17CAEF" w14:textId="77777777" w:rsidTr="00071972">
        <w:trPr>
          <w:trHeight w:val="283"/>
        </w:trPr>
        <w:tc>
          <w:tcPr>
            <w:tcW w:w="2122" w:type="dxa"/>
            <w:vMerge/>
            <w:shd w:val="clear" w:color="auto" w:fill="auto"/>
          </w:tcPr>
          <w:p w14:paraId="57792F36" w14:textId="77777777" w:rsidR="001A3EC7" w:rsidRPr="002C21B8" w:rsidRDefault="001A3EC7" w:rsidP="0078737C">
            <w:pPr>
              <w:spacing w:beforeLines="20" w:before="48" w:afterLines="20" w:after="48" w:line="240" w:lineRule="auto"/>
              <w:rPr>
                <w:sz w:val="18"/>
                <w:szCs w:val="18"/>
              </w:rPr>
            </w:pPr>
          </w:p>
        </w:tc>
        <w:tc>
          <w:tcPr>
            <w:tcW w:w="3827" w:type="dxa"/>
            <w:shd w:val="clear" w:color="auto" w:fill="auto"/>
          </w:tcPr>
          <w:p w14:paraId="5F1510AB" w14:textId="6606C8F7" w:rsidR="001A3EC7" w:rsidRPr="002C21B8" w:rsidRDefault="001A3EC7" w:rsidP="0078737C">
            <w:pPr>
              <w:spacing w:beforeLines="20" w:before="48" w:afterLines="20" w:after="48" w:line="240" w:lineRule="auto"/>
              <w:rPr>
                <w:sz w:val="18"/>
                <w:szCs w:val="18"/>
              </w:rPr>
            </w:pPr>
            <w:r w:rsidRPr="002C21B8">
              <w:rPr>
                <w:sz w:val="18"/>
                <w:szCs w:val="18"/>
              </w:rPr>
              <w:t>Engagement activities</w:t>
            </w:r>
          </w:p>
        </w:tc>
        <w:tc>
          <w:tcPr>
            <w:tcW w:w="2982" w:type="dxa"/>
            <w:shd w:val="clear" w:color="auto" w:fill="auto"/>
          </w:tcPr>
          <w:p w14:paraId="54BFD9EA" w14:textId="467D1AEF" w:rsidR="001A3EC7"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r w:rsidR="001A3EC7" w:rsidRPr="002C21B8">
              <w:rPr>
                <w:sz w:val="18"/>
                <w:szCs w:val="18"/>
              </w:rPr>
              <w:t>Persuasion Theory</w:t>
            </w:r>
          </w:p>
        </w:tc>
      </w:tr>
      <w:tr w:rsidR="001A3EC7" w:rsidRPr="002C21B8" w14:paraId="30D89B21" w14:textId="77777777" w:rsidTr="00071972">
        <w:trPr>
          <w:trHeight w:val="283"/>
        </w:trPr>
        <w:tc>
          <w:tcPr>
            <w:tcW w:w="2122" w:type="dxa"/>
            <w:vMerge/>
            <w:tcBorders>
              <w:bottom w:val="single" w:sz="6" w:space="0" w:color="000000" w:themeColor="text1"/>
            </w:tcBorders>
            <w:shd w:val="clear" w:color="auto" w:fill="auto"/>
          </w:tcPr>
          <w:p w14:paraId="2ED1265D" w14:textId="77777777" w:rsidR="001A3EC7" w:rsidRPr="002C21B8" w:rsidRDefault="001A3EC7" w:rsidP="0078737C">
            <w:pPr>
              <w:spacing w:beforeLines="20" w:before="48" w:afterLines="20" w:after="48" w:line="240" w:lineRule="auto"/>
              <w:rPr>
                <w:sz w:val="18"/>
                <w:szCs w:val="18"/>
              </w:rPr>
            </w:pPr>
          </w:p>
        </w:tc>
        <w:tc>
          <w:tcPr>
            <w:tcW w:w="3827" w:type="dxa"/>
            <w:tcBorders>
              <w:bottom w:val="single" w:sz="6" w:space="0" w:color="000000" w:themeColor="text1"/>
            </w:tcBorders>
            <w:shd w:val="clear" w:color="auto" w:fill="auto"/>
          </w:tcPr>
          <w:p w14:paraId="28B99B13" w14:textId="7E889DB7" w:rsidR="001A3EC7" w:rsidRPr="002C21B8" w:rsidRDefault="001A3EC7" w:rsidP="0078737C">
            <w:pPr>
              <w:spacing w:beforeLines="20" w:before="48" w:afterLines="20" w:after="48" w:line="240" w:lineRule="auto"/>
              <w:rPr>
                <w:sz w:val="18"/>
                <w:szCs w:val="18"/>
              </w:rPr>
            </w:pPr>
            <w:r w:rsidRPr="002C21B8">
              <w:rPr>
                <w:sz w:val="18"/>
                <w:szCs w:val="18"/>
              </w:rPr>
              <w:t>Medical representative effectiveness</w:t>
            </w:r>
          </w:p>
        </w:tc>
        <w:tc>
          <w:tcPr>
            <w:tcW w:w="2982" w:type="dxa"/>
            <w:tcBorders>
              <w:bottom w:val="single" w:sz="6" w:space="0" w:color="000000" w:themeColor="text1"/>
            </w:tcBorders>
            <w:shd w:val="clear" w:color="auto" w:fill="auto"/>
          </w:tcPr>
          <w:p w14:paraId="6584C078" w14:textId="487F1788" w:rsidR="001A3EC7"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r w:rsidR="001A3EC7" w:rsidRPr="002C21B8">
              <w:rPr>
                <w:sz w:val="18"/>
                <w:szCs w:val="18"/>
              </w:rPr>
              <w:t>Persuasion Theory</w:t>
            </w:r>
          </w:p>
        </w:tc>
      </w:tr>
      <w:tr w:rsidR="001A3EC7" w:rsidRPr="002C21B8" w14:paraId="6A65F2E6" w14:textId="77777777" w:rsidTr="00071972">
        <w:trPr>
          <w:trHeight w:val="283"/>
        </w:trPr>
        <w:tc>
          <w:tcPr>
            <w:tcW w:w="2122" w:type="dxa"/>
            <w:vMerge w:val="restart"/>
            <w:tcBorders>
              <w:top w:val="single" w:sz="6" w:space="0" w:color="000000" w:themeColor="text1"/>
            </w:tcBorders>
            <w:shd w:val="clear" w:color="auto" w:fill="auto"/>
          </w:tcPr>
          <w:p w14:paraId="00C40B2C" w14:textId="77777777" w:rsidR="001A3EC7" w:rsidRPr="002C21B8" w:rsidRDefault="001A3EC7" w:rsidP="0078737C">
            <w:pPr>
              <w:spacing w:beforeLines="20" w:before="48" w:afterLines="20" w:after="48" w:line="240" w:lineRule="auto"/>
              <w:rPr>
                <w:sz w:val="18"/>
                <w:szCs w:val="18"/>
              </w:rPr>
            </w:pPr>
            <w:r w:rsidRPr="002C21B8">
              <w:rPr>
                <w:sz w:val="18"/>
                <w:szCs w:val="18"/>
              </w:rPr>
              <w:t>Patient characteristics</w:t>
            </w:r>
          </w:p>
        </w:tc>
        <w:tc>
          <w:tcPr>
            <w:tcW w:w="3827" w:type="dxa"/>
            <w:tcBorders>
              <w:top w:val="single" w:sz="6" w:space="0" w:color="000000" w:themeColor="text1"/>
            </w:tcBorders>
            <w:shd w:val="clear" w:color="auto" w:fill="auto"/>
          </w:tcPr>
          <w:p w14:paraId="7BED43B7" w14:textId="77777777" w:rsidR="001A3EC7" w:rsidRPr="002C21B8" w:rsidRDefault="001A3EC7" w:rsidP="0078737C">
            <w:pPr>
              <w:spacing w:beforeLines="20" w:before="48" w:afterLines="20" w:after="48" w:line="240" w:lineRule="auto"/>
              <w:rPr>
                <w:sz w:val="18"/>
                <w:szCs w:val="18"/>
              </w:rPr>
            </w:pPr>
            <w:r w:rsidRPr="002C21B8">
              <w:rPr>
                <w:sz w:val="18"/>
                <w:szCs w:val="18"/>
              </w:rPr>
              <w:t>Patient request for drug</w:t>
            </w:r>
          </w:p>
        </w:tc>
        <w:tc>
          <w:tcPr>
            <w:tcW w:w="2982" w:type="dxa"/>
            <w:tcBorders>
              <w:top w:val="single" w:sz="6" w:space="0" w:color="000000" w:themeColor="text1"/>
            </w:tcBorders>
            <w:shd w:val="clear" w:color="auto" w:fill="auto"/>
          </w:tcPr>
          <w:p w14:paraId="584BAE2E" w14:textId="77777777" w:rsidR="001A3EC7" w:rsidRPr="002C21B8" w:rsidRDefault="001A3EC7" w:rsidP="0078737C">
            <w:pPr>
              <w:spacing w:beforeLines="20" w:before="48" w:afterLines="20" w:after="48" w:line="240" w:lineRule="auto"/>
              <w:jc w:val="left"/>
              <w:rPr>
                <w:sz w:val="18"/>
                <w:szCs w:val="18"/>
              </w:rPr>
            </w:pPr>
            <w:r w:rsidRPr="002C21B8">
              <w:rPr>
                <w:sz w:val="18"/>
                <w:szCs w:val="18"/>
              </w:rPr>
              <w:t>Agency Theory</w:t>
            </w:r>
          </w:p>
        </w:tc>
      </w:tr>
      <w:tr w:rsidR="001A3EC7" w:rsidRPr="002C21B8" w14:paraId="01432EB3" w14:textId="77777777" w:rsidTr="00071972">
        <w:trPr>
          <w:trHeight w:val="283"/>
        </w:trPr>
        <w:tc>
          <w:tcPr>
            <w:tcW w:w="2122" w:type="dxa"/>
            <w:vMerge/>
            <w:tcBorders>
              <w:bottom w:val="single" w:sz="6" w:space="0" w:color="000000" w:themeColor="text1"/>
            </w:tcBorders>
            <w:shd w:val="clear" w:color="auto" w:fill="auto"/>
          </w:tcPr>
          <w:p w14:paraId="642459BD" w14:textId="77777777" w:rsidR="001A3EC7" w:rsidRPr="002C21B8" w:rsidRDefault="001A3EC7" w:rsidP="0078737C">
            <w:pPr>
              <w:spacing w:beforeLines="20" w:before="48" w:afterLines="20" w:after="48" w:line="240" w:lineRule="auto"/>
              <w:rPr>
                <w:sz w:val="18"/>
                <w:szCs w:val="18"/>
              </w:rPr>
            </w:pPr>
          </w:p>
        </w:tc>
        <w:tc>
          <w:tcPr>
            <w:tcW w:w="3827" w:type="dxa"/>
            <w:tcBorders>
              <w:bottom w:val="single" w:sz="6" w:space="0" w:color="000000" w:themeColor="text1"/>
            </w:tcBorders>
            <w:shd w:val="clear" w:color="auto" w:fill="auto"/>
          </w:tcPr>
          <w:p w14:paraId="61938EFC" w14:textId="77777777" w:rsidR="001A3EC7" w:rsidRPr="002C21B8" w:rsidRDefault="001A3EC7" w:rsidP="0078737C">
            <w:pPr>
              <w:spacing w:beforeLines="20" w:before="48" w:afterLines="20" w:after="48" w:line="240" w:lineRule="auto"/>
              <w:rPr>
                <w:sz w:val="18"/>
                <w:szCs w:val="18"/>
              </w:rPr>
            </w:pPr>
            <w:r w:rsidRPr="002C21B8">
              <w:rPr>
                <w:sz w:val="18"/>
                <w:szCs w:val="18"/>
              </w:rPr>
              <w:t>Patient expectations</w:t>
            </w:r>
          </w:p>
        </w:tc>
        <w:tc>
          <w:tcPr>
            <w:tcW w:w="2982" w:type="dxa"/>
            <w:tcBorders>
              <w:bottom w:val="single" w:sz="6" w:space="0" w:color="000000" w:themeColor="text1"/>
            </w:tcBorders>
            <w:shd w:val="clear" w:color="auto" w:fill="auto"/>
          </w:tcPr>
          <w:p w14:paraId="74E145E4" w14:textId="77777777" w:rsidR="001A3EC7" w:rsidRPr="002C21B8" w:rsidRDefault="001A3EC7" w:rsidP="0078737C">
            <w:pPr>
              <w:spacing w:beforeLines="20" w:before="48" w:afterLines="20" w:after="48" w:line="240" w:lineRule="auto"/>
              <w:jc w:val="left"/>
              <w:rPr>
                <w:sz w:val="18"/>
                <w:szCs w:val="18"/>
              </w:rPr>
            </w:pPr>
            <w:r w:rsidRPr="002C21B8">
              <w:rPr>
                <w:sz w:val="18"/>
                <w:szCs w:val="18"/>
              </w:rPr>
              <w:t>Agency Theory</w:t>
            </w:r>
          </w:p>
        </w:tc>
      </w:tr>
      <w:tr w:rsidR="001A3EC7" w:rsidRPr="002C21B8" w14:paraId="638F55EF" w14:textId="77777777" w:rsidTr="00071972">
        <w:trPr>
          <w:trHeight w:val="283"/>
        </w:trPr>
        <w:tc>
          <w:tcPr>
            <w:tcW w:w="2122" w:type="dxa"/>
            <w:vMerge w:val="restart"/>
            <w:tcBorders>
              <w:top w:val="single" w:sz="6" w:space="0" w:color="000000" w:themeColor="text1"/>
            </w:tcBorders>
            <w:shd w:val="clear" w:color="auto" w:fill="auto"/>
          </w:tcPr>
          <w:p w14:paraId="096327AD" w14:textId="77777777" w:rsidR="001A3EC7" w:rsidRPr="002C21B8" w:rsidRDefault="001A3EC7" w:rsidP="0078737C">
            <w:pPr>
              <w:spacing w:beforeLines="20" w:before="48" w:afterLines="20" w:after="48" w:line="240" w:lineRule="auto"/>
              <w:rPr>
                <w:sz w:val="18"/>
                <w:szCs w:val="18"/>
              </w:rPr>
            </w:pPr>
            <w:r w:rsidRPr="002C21B8">
              <w:rPr>
                <w:sz w:val="18"/>
                <w:szCs w:val="18"/>
              </w:rPr>
              <w:t>Pharmacist factors</w:t>
            </w:r>
          </w:p>
        </w:tc>
        <w:tc>
          <w:tcPr>
            <w:tcW w:w="3827" w:type="dxa"/>
            <w:tcBorders>
              <w:top w:val="single" w:sz="6" w:space="0" w:color="000000" w:themeColor="text1"/>
            </w:tcBorders>
            <w:shd w:val="clear" w:color="auto" w:fill="auto"/>
          </w:tcPr>
          <w:p w14:paraId="3BF5D67D" w14:textId="77777777" w:rsidR="001A3EC7" w:rsidRPr="002C21B8" w:rsidRDefault="001A3EC7" w:rsidP="0078737C">
            <w:pPr>
              <w:spacing w:beforeLines="20" w:before="48" w:afterLines="20" w:after="48" w:line="240" w:lineRule="auto"/>
              <w:rPr>
                <w:sz w:val="18"/>
                <w:szCs w:val="18"/>
              </w:rPr>
            </w:pPr>
            <w:r w:rsidRPr="002C21B8">
              <w:rPr>
                <w:sz w:val="18"/>
                <w:szCs w:val="18"/>
              </w:rPr>
              <w:t>Pharmacist-physician collaboration</w:t>
            </w:r>
          </w:p>
        </w:tc>
        <w:tc>
          <w:tcPr>
            <w:tcW w:w="2982" w:type="dxa"/>
            <w:tcBorders>
              <w:top w:val="single" w:sz="6" w:space="0" w:color="000000" w:themeColor="text1"/>
            </w:tcBorders>
            <w:shd w:val="clear" w:color="auto" w:fill="auto"/>
          </w:tcPr>
          <w:p w14:paraId="6132590E" w14:textId="77777777" w:rsidR="001A3EC7" w:rsidRPr="002C21B8" w:rsidRDefault="001A3EC7" w:rsidP="0078737C">
            <w:pPr>
              <w:spacing w:beforeLines="20" w:before="48" w:afterLines="20" w:after="48" w:line="240" w:lineRule="auto"/>
              <w:jc w:val="left"/>
              <w:rPr>
                <w:sz w:val="18"/>
                <w:szCs w:val="18"/>
              </w:rPr>
            </w:pPr>
            <w:r w:rsidRPr="002C21B8">
              <w:rPr>
                <w:sz w:val="18"/>
                <w:szCs w:val="18"/>
              </w:rPr>
              <w:t>Social Power Theory</w:t>
            </w:r>
          </w:p>
        </w:tc>
      </w:tr>
      <w:tr w:rsidR="001A3EC7" w:rsidRPr="002C21B8" w14:paraId="11DBB431" w14:textId="77777777" w:rsidTr="00071972">
        <w:trPr>
          <w:trHeight w:val="283"/>
        </w:trPr>
        <w:tc>
          <w:tcPr>
            <w:tcW w:w="2122" w:type="dxa"/>
            <w:vMerge/>
            <w:tcBorders>
              <w:bottom w:val="single" w:sz="6" w:space="0" w:color="000000" w:themeColor="text1"/>
            </w:tcBorders>
            <w:shd w:val="clear" w:color="auto" w:fill="auto"/>
          </w:tcPr>
          <w:p w14:paraId="0CE0A897" w14:textId="77777777" w:rsidR="001A3EC7" w:rsidRPr="002C21B8" w:rsidRDefault="001A3EC7" w:rsidP="0078737C">
            <w:pPr>
              <w:spacing w:beforeLines="20" w:before="48" w:afterLines="20" w:after="48" w:line="240" w:lineRule="auto"/>
              <w:rPr>
                <w:sz w:val="18"/>
                <w:szCs w:val="18"/>
              </w:rPr>
            </w:pPr>
          </w:p>
        </w:tc>
        <w:tc>
          <w:tcPr>
            <w:tcW w:w="3827" w:type="dxa"/>
            <w:tcBorders>
              <w:bottom w:val="single" w:sz="6" w:space="0" w:color="000000" w:themeColor="text1"/>
            </w:tcBorders>
            <w:shd w:val="clear" w:color="auto" w:fill="auto"/>
          </w:tcPr>
          <w:p w14:paraId="21B05883" w14:textId="77777777" w:rsidR="001A3EC7" w:rsidRPr="002C21B8" w:rsidRDefault="001A3EC7" w:rsidP="0078737C">
            <w:pPr>
              <w:spacing w:beforeLines="20" w:before="48" w:afterLines="20" w:after="48" w:line="240" w:lineRule="auto"/>
              <w:rPr>
                <w:sz w:val="18"/>
                <w:szCs w:val="18"/>
              </w:rPr>
            </w:pPr>
            <w:r w:rsidRPr="002C21B8">
              <w:rPr>
                <w:sz w:val="18"/>
                <w:szCs w:val="18"/>
              </w:rPr>
              <w:t>Pharmacist expert power</w:t>
            </w:r>
          </w:p>
        </w:tc>
        <w:tc>
          <w:tcPr>
            <w:tcW w:w="2982" w:type="dxa"/>
            <w:tcBorders>
              <w:bottom w:val="single" w:sz="6" w:space="0" w:color="000000" w:themeColor="text1"/>
            </w:tcBorders>
            <w:shd w:val="clear" w:color="auto" w:fill="auto"/>
          </w:tcPr>
          <w:p w14:paraId="05406126" w14:textId="77777777" w:rsidR="001A3EC7" w:rsidRPr="002C21B8" w:rsidRDefault="001A3EC7" w:rsidP="0078737C">
            <w:pPr>
              <w:spacing w:beforeLines="20" w:before="48" w:afterLines="20" w:after="48" w:line="240" w:lineRule="auto"/>
              <w:jc w:val="left"/>
              <w:rPr>
                <w:sz w:val="18"/>
                <w:szCs w:val="18"/>
              </w:rPr>
            </w:pPr>
            <w:r w:rsidRPr="002C21B8">
              <w:rPr>
                <w:sz w:val="18"/>
                <w:szCs w:val="18"/>
              </w:rPr>
              <w:t xml:space="preserve">Social Power Theory </w:t>
            </w:r>
          </w:p>
        </w:tc>
      </w:tr>
      <w:tr w:rsidR="001A3EC7" w:rsidRPr="002C21B8" w14:paraId="7017D4BE" w14:textId="77777777" w:rsidTr="00071972">
        <w:trPr>
          <w:trHeight w:val="283"/>
        </w:trPr>
        <w:tc>
          <w:tcPr>
            <w:tcW w:w="2122" w:type="dxa"/>
            <w:vMerge w:val="restart"/>
            <w:tcBorders>
              <w:top w:val="single" w:sz="6" w:space="0" w:color="000000" w:themeColor="text1"/>
            </w:tcBorders>
            <w:shd w:val="clear" w:color="auto" w:fill="auto"/>
          </w:tcPr>
          <w:p w14:paraId="349C76EC" w14:textId="77777777" w:rsidR="001A3EC7" w:rsidRPr="002C21B8" w:rsidRDefault="001A3EC7" w:rsidP="0078737C">
            <w:pPr>
              <w:spacing w:beforeLines="20" w:before="48" w:afterLines="20" w:after="48" w:line="240" w:lineRule="auto"/>
              <w:rPr>
                <w:sz w:val="18"/>
                <w:szCs w:val="18"/>
              </w:rPr>
            </w:pPr>
            <w:r w:rsidRPr="002C21B8">
              <w:rPr>
                <w:sz w:val="18"/>
                <w:szCs w:val="18"/>
              </w:rPr>
              <w:t>Contextual factors</w:t>
            </w:r>
          </w:p>
        </w:tc>
        <w:tc>
          <w:tcPr>
            <w:tcW w:w="3827" w:type="dxa"/>
            <w:tcBorders>
              <w:top w:val="single" w:sz="6" w:space="0" w:color="000000" w:themeColor="text1"/>
            </w:tcBorders>
            <w:shd w:val="clear" w:color="auto" w:fill="auto"/>
          </w:tcPr>
          <w:p w14:paraId="718AFB45" w14:textId="77777777" w:rsidR="001A3EC7" w:rsidRPr="002C21B8" w:rsidRDefault="001A3EC7" w:rsidP="0078737C">
            <w:pPr>
              <w:spacing w:beforeLines="20" w:before="48" w:afterLines="20" w:after="48" w:line="240" w:lineRule="auto"/>
              <w:rPr>
                <w:sz w:val="18"/>
                <w:szCs w:val="18"/>
              </w:rPr>
            </w:pPr>
            <w:r w:rsidRPr="002C21B8">
              <w:rPr>
                <w:sz w:val="18"/>
                <w:szCs w:val="18"/>
              </w:rPr>
              <w:t>Trustworthiness</w:t>
            </w:r>
          </w:p>
        </w:tc>
        <w:tc>
          <w:tcPr>
            <w:tcW w:w="2982" w:type="dxa"/>
            <w:tcBorders>
              <w:top w:val="single" w:sz="6" w:space="0" w:color="000000" w:themeColor="text1"/>
            </w:tcBorders>
            <w:shd w:val="clear" w:color="auto" w:fill="auto"/>
          </w:tcPr>
          <w:p w14:paraId="7BD68777" w14:textId="77777777" w:rsidR="001A3EC7" w:rsidRPr="002C21B8" w:rsidRDefault="001A3EC7" w:rsidP="0078737C">
            <w:pPr>
              <w:spacing w:beforeLines="20" w:before="48" w:afterLines="20" w:after="48" w:line="240" w:lineRule="auto"/>
              <w:jc w:val="left"/>
              <w:rPr>
                <w:sz w:val="18"/>
                <w:szCs w:val="18"/>
              </w:rPr>
            </w:pPr>
            <w:r w:rsidRPr="002C21B8">
              <w:rPr>
                <w:sz w:val="18"/>
                <w:szCs w:val="18"/>
              </w:rPr>
              <w:t>Social Power Theory</w:t>
            </w:r>
          </w:p>
        </w:tc>
      </w:tr>
      <w:tr w:rsidR="009F3358" w:rsidRPr="002C21B8" w14:paraId="540EAED9" w14:textId="77777777" w:rsidTr="00071972">
        <w:trPr>
          <w:trHeight w:val="283"/>
        </w:trPr>
        <w:tc>
          <w:tcPr>
            <w:tcW w:w="2122" w:type="dxa"/>
            <w:vMerge/>
            <w:shd w:val="clear" w:color="auto" w:fill="auto"/>
          </w:tcPr>
          <w:p w14:paraId="5D49683F" w14:textId="77777777" w:rsidR="009F3358" w:rsidRPr="002C21B8" w:rsidRDefault="009F3358" w:rsidP="0078737C">
            <w:pPr>
              <w:spacing w:beforeLines="20" w:before="48" w:afterLines="20" w:after="48" w:line="240" w:lineRule="auto"/>
              <w:rPr>
                <w:sz w:val="18"/>
                <w:szCs w:val="18"/>
              </w:rPr>
            </w:pPr>
          </w:p>
        </w:tc>
        <w:tc>
          <w:tcPr>
            <w:tcW w:w="3827" w:type="dxa"/>
            <w:shd w:val="clear" w:color="auto" w:fill="auto"/>
          </w:tcPr>
          <w:p w14:paraId="64311007" w14:textId="77777777" w:rsidR="009F3358" w:rsidRPr="002C21B8" w:rsidRDefault="009F3358" w:rsidP="0078737C">
            <w:pPr>
              <w:spacing w:beforeLines="20" w:before="48" w:afterLines="20" w:after="48" w:line="240" w:lineRule="auto"/>
              <w:rPr>
                <w:sz w:val="18"/>
                <w:szCs w:val="18"/>
              </w:rPr>
            </w:pPr>
            <w:r w:rsidRPr="002C21B8">
              <w:rPr>
                <w:sz w:val="18"/>
                <w:szCs w:val="18"/>
              </w:rPr>
              <w:t xml:space="preserve">Physician habit persistence </w:t>
            </w:r>
          </w:p>
        </w:tc>
        <w:tc>
          <w:tcPr>
            <w:tcW w:w="2982" w:type="dxa"/>
            <w:shd w:val="clear" w:color="auto" w:fill="auto"/>
          </w:tcPr>
          <w:p w14:paraId="4940BFE6" w14:textId="19753723" w:rsidR="009F3358"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p>
        </w:tc>
      </w:tr>
      <w:tr w:rsidR="009F3358" w:rsidRPr="002C21B8" w14:paraId="778BF6D9" w14:textId="77777777" w:rsidTr="00071972">
        <w:trPr>
          <w:trHeight w:val="283"/>
        </w:trPr>
        <w:tc>
          <w:tcPr>
            <w:tcW w:w="2122" w:type="dxa"/>
            <w:vMerge/>
            <w:shd w:val="clear" w:color="auto" w:fill="auto"/>
          </w:tcPr>
          <w:p w14:paraId="5256A1EF" w14:textId="77777777" w:rsidR="009F3358" w:rsidRPr="002C21B8" w:rsidRDefault="009F3358" w:rsidP="0078737C">
            <w:pPr>
              <w:spacing w:beforeLines="20" w:before="48" w:afterLines="20" w:after="48" w:line="240" w:lineRule="auto"/>
              <w:rPr>
                <w:sz w:val="18"/>
                <w:szCs w:val="18"/>
              </w:rPr>
            </w:pPr>
          </w:p>
        </w:tc>
        <w:tc>
          <w:tcPr>
            <w:tcW w:w="3827" w:type="dxa"/>
            <w:shd w:val="clear" w:color="auto" w:fill="auto"/>
          </w:tcPr>
          <w:p w14:paraId="608F2544" w14:textId="77777777" w:rsidR="009F3358" w:rsidRPr="002C21B8" w:rsidRDefault="009F3358" w:rsidP="0078737C">
            <w:pPr>
              <w:spacing w:beforeLines="20" w:before="48" w:afterLines="20" w:after="48" w:line="240" w:lineRule="auto"/>
              <w:rPr>
                <w:sz w:val="18"/>
                <w:szCs w:val="18"/>
              </w:rPr>
            </w:pPr>
            <w:r w:rsidRPr="002C21B8">
              <w:rPr>
                <w:sz w:val="18"/>
                <w:szCs w:val="18"/>
              </w:rPr>
              <w:t>Cost-benefit ratio of a drug</w:t>
            </w:r>
          </w:p>
        </w:tc>
        <w:tc>
          <w:tcPr>
            <w:tcW w:w="2982" w:type="dxa"/>
            <w:shd w:val="clear" w:color="auto" w:fill="auto"/>
          </w:tcPr>
          <w:p w14:paraId="6E957A91" w14:textId="29E62573" w:rsidR="009F3358"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p>
        </w:tc>
      </w:tr>
      <w:tr w:rsidR="009F3358" w:rsidRPr="002C21B8" w14:paraId="0C54BD00" w14:textId="77777777" w:rsidTr="00071972">
        <w:trPr>
          <w:trHeight w:val="283"/>
        </w:trPr>
        <w:tc>
          <w:tcPr>
            <w:tcW w:w="2122" w:type="dxa"/>
            <w:vMerge/>
            <w:tcBorders>
              <w:bottom w:val="single" w:sz="12" w:space="0" w:color="000000" w:themeColor="text1"/>
            </w:tcBorders>
            <w:shd w:val="clear" w:color="auto" w:fill="auto"/>
          </w:tcPr>
          <w:p w14:paraId="4F89CB82" w14:textId="77777777" w:rsidR="009F3358" w:rsidRPr="002C21B8" w:rsidRDefault="009F3358" w:rsidP="0078737C">
            <w:pPr>
              <w:spacing w:beforeLines="20" w:before="48" w:afterLines="20" w:after="48" w:line="240" w:lineRule="auto"/>
              <w:rPr>
                <w:sz w:val="18"/>
                <w:szCs w:val="18"/>
              </w:rPr>
            </w:pPr>
          </w:p>
        </w:tc>
        <w:tc>
          <w:tcPr>
            <w:tcW w:w="3827" w:type="dxa"/>
            <w:tcBorders>
              <w:bottom w:val="single" w:sz="12" w:space="0" w:color="000000" w:themeColor="text1"/>
            </w:tcBorders>
            <w:shd w:val="clear" w:color="auto" w:fill="auto"/>
          </w:tcPr>
          <w:p w14:paraId="74510A9F" w14:textId="77777777" w:rsidR="009F3358" w:rsidRPr="002C21B8" w:rsidRDefault="009F3358" w:rsidP="0078737C">
            <w:pPr>
              <w:spacing w:beforeLines="20" w:before="48" w:afterLines="20" w:after="48" w:line="240" w:lineRule="auto"/>
              <w:rPr>
                <w:sz w:val="18"/>
                <w:szCs w:val="18"/>
              </w:rPr>
            </w:pPr>
            <w:r w:rsidRPr="002C21B8">
              <w:rPr>
                <w:sz w:val="18"/>
                <w:szCs w:val="18"/>
              </w:rPr>
              <w:t>Drug characteristics</w:t>
            </w:r>
          </w:p>
        </w:tc>
        <w:tc>
          <w:tcPr>
            <w:tcW w:w="2982" w:type="dxa"/>
            <w:tcBorders>
              <w:bottom w:val="single" w:sz="12" w:space="0" w:color="000000" w:themeColor="text1"/>
            </w:tcBorders>
            <w:shd w:val="clear" w:color="auto" w:fill="auto"/>
          </w:tcPr>
          <w:p w14:paraId="64117224" w14:textId="5317F0E5" w:rsidR="009F3358" w:rsidRPr="002C21B8" w:rsidRDefault="009F3358" w:rsidP="0078737C">
            <w:pPr>
              <w:spacing w:beforeLines="20" w:before="48" w:afterLines="20" w:after="48" w:line="240" w:lineRule="auto"/>
              <w:jc w:val="left"/>
              <w:rPr>
                <w:sz w:val="18"/>
                <w:szCs w:val="18"/>
              </w:rPr>
            </w:pPr>
            <w:r w:rsidRPr="002C21B8">
              <w:rPr>
                <w:sz w:val="18"/>
                <w:szCs w:val="18"/>
              </w:rPr>
              <w:t xml:space="preserve">Theory of Planned Behaviour </w:t>
            </w:r>
          </w:p>
        </w:tc>
      </w:tr>
    </w:tbl>
    <w:p w14:paraId="3A3C5AD3" w14:textId="77777777" w:rsidR="00BD3F48" w:rsidRPr="002C21B8" w:rsidRDefault="00BD3F48" w:rsidP="0078737C">
      <w:pPr>
        <w:spacing w:line="240" w:lineRule="auto"/>
      </w:pPr>
    </w:p>
    <w:p w14:paraId="686B1FBE" w14:textId="33FADEA6" w:rsidR="007B3682" w:rsidRPr="002C21B8" w:rsidRDefault="00E96BFE" w:rsidP="00923D13">
      <w:r w:rsidRPr="002C21B8">
        <w:t xml:space="preserve">The conceptual model proposed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00AA6FA5" w:rsidRPr="002C21B8">
        <w:t xml:space="preserve"> was selected to inform data collection and analysis across the phases </w:t>
      </w:r>
      <w:r w:rsidR="00D0508D" w:rsidRPr="002C21B8">
        <w:t xml:space="preserve">in this programme of research </w:t>
      </w:r>
      <w:r w:rsidR="00AA6FA5" w:rsidRPr="002C21B8">
        <w:t xml:space="preserve">as it </w:t>
      </w:r>
      <w:r w:rsidR="00EB3D82" w:rsidRPr="002C21B8">
        <w:t>incorporates a broad range of factors</w:t>
      </w:r>
      <w:r w:rsidR="007B3682" w:rsidRPr="002C21B8">
        <w:t xml:space="preserve"> that can</w:t>
      </w:r>
      <w:r w:rsidR="00EB3D82" w:rsidRPr="002C21B8">
        <w:t xml:space="preserve"> influenc</w:t>
      </w:r>
      <w:r w:rsidR="007B3682" w:rsidRPr="002C21B8">
        <w:t>e</w:t>
      </w:r>
      <w:r w:rsidR="00EB3D82" w:rsidRPr="002C21B8">
        <w:t xml:space="preserve"> </w:t>
      </w:r>
      <w:r w:rsidR="00AA6FA5" w:rsidRPr="002C21B8">
        <w:t xml:space="preserve">prescribing </w:t>
      </w:r>
      <w:r w:rsidR="007B3682" w:rsidRPr="002C21B8">
        <w:t>decision-making</w:t>
      </w:r>
      <w:r w:rsidR="00AA6FA5" w:rsidRPr="002C21B8">
        <w:t>.</w:t>
      </w:r>
      <w:r w:rsidR="007B3682" w:rsidRPr="002C21B8">
        <w:t xml:space="preserve"> Earlier models tended to focus on isolated factors influencing prescribing decisions and </w:t>
      </w:r>
      <w:r w:rsidR="00DF3FE6" w:rsidRPr="002C21B8">
        <w:t xml:space="preserve">were physician-focused </w:t>
      </w:r>
      <w:r w:rsidR="003D12B5" w:rsidRPr="002C21B8">
        <w:fldChar w:fldCharType="begin">
          <w:fldData xml:space="preserve">PEVuZE5vdGU+PENpdGU+PEF1dGhvcj5LbmFwcDwvQXV0aG9yPjxZZWFyPjE5NzI8L1llYXI+PFJl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</w:fldData>
        </w:fldChar>
      </w:r>
      <w:r w:rsidR="00590E88" w:rsidRPr="002C21B8">
        <w:instrText xml:space="preserve"> ADDIN EN.CITE </w:instrText>
      </w:r>
      <w:r w:rsidR="00590E88" w:rsidRPr="002C21B8">
        <w:fldChar w:fldCharType="begin">
          <w:fldData xml:space="preserve">PEVuZE5vdGU+PENpdGU+PEF1dGhvcj5LbmFwcDwvQXV0aG9yPjxZZWFyPjE5NzI8L1llYXI+PFJl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</w:fldData>
        </w:fldChar>
      </w:r>
      <w:r w:rsidR="00590E88" w:rsidRPr="002C21B8">
        <w:instrText xml:space="preserve"> ADDIN EN.CITE.DATA </w:instrText>
      </w:r>
      <w:r w:rsidR="00590E88" w:rsidRPr="002C21B8">
        <w:fldChar w:fldCharType="end"/>
      </w:r>
      <w:r w:rsidR="003D12B5" w:rsidRPr="002C21B8">
        <w:fldChar w:fldCharType="separate"/>
      </w:r>
      <w:r w:rsidR="00923D13" w:rsidRPr="002C21B8">
        <w:rPr>
          <w:noProof/>
        </w:rPr>
        <w:t>(Hemminki, 1975; Knapp and Oeltjen, 1972; Kyle, Nissen and Tett, 2008)</w:t>
      </w:r>
      <w:r w:rsidR="003D12B5" w:rsidRPr="002C21B8">
        <w:fldChar w:fldCharType="end"/>
      </w:r>
      <w:r w:rsidR="00923D13" w:rsidRPr="002C21B8">
        <w:t>.</w:t>
      </w:r>
    </w:p>
    <w:p w14:paraId="4777AB31" w14:textId="649928BE" w:rsidR="00B20147" w:rsidRPr="002C21B8" w:rsidRDefault="002A6C39" w:rsidP="007B3682">
      <w:r w:rsidRPr="002C21B8">
        <w:fldChar w:fldCharType="begin"/>
      </w:r>
      <w:r w:rsidR="00B72AE4"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00B72AE4" w:rsidRPr="002C21B8">
        <w:rPr>
          <w:noProof/>
        </w:rPr>
        <w:t>Murshid and Mohaidin (2017)</w:t>
      </w:r>
      <w:r w:rsidRPr="002C21B8">
        <w:fldChar w:fldCharType="end"/>
      </w:r>
      <w:r w:rsidRPr="002C21B8">
        <w:t xml:space="preserve"> </w:t>
      </w:r>
      <w:r w:rsidR="00FB33CE" w:rsidRPr="002C21B8">
        <w:t>present a model that extends</w:t>
      </w:r>
      <w:r w:rsidR="007B3682" w:rsidRPr="002C21B8">
        <w:t xml:space="preserve"> the range of stakeholders involved in </w:t>
      </w:r>
      <w:r w:rsidR="00B72AE4" w:rsidRPr="002C21B8">
        <w:t xml:space="preserve">the </w:t>
      </w:r>
      <w:r w:rsidR="007B3682" w:rsidRPr="002C21B8">
        <w:t>prescribing process</w:t>
      </w:r>
      <w:r w:rsidR="00DF3FE6" w:rsidRPr="002C21B8">
        <w:t xml:space="preserve">. </w:t>
      </w:r>
      <w:r w:rsidR="00FB33CE" w:rsidRPr="002C21B8">
        <w:t>Within their model, p</w:t>
      </w:r>
      <w:r w:rsidR="007B3682" w:rsidRPr="002C21B8">
        <w:t xml:space="preserve">harmacists </w:t>
      </w:r>
      <w:r w:rsidR="00DF3FE6" w:rsidRPr="002C21B8">
        <w:t xml:space="preserve">are described </w:t>
      </w:r>
      <w:r w:rsidR="00B72AE4" w:rsidRPr="002C21B8">
        <w:t xml:space="preserve">as </w:t>
      </w:r>
      <w:r w:rsidR="007B3682" w:rsidRPr="002C21B8">
        <w:t>having their own expert power, whereas earlier models frequently omitted them or positioned them primarily as dispensers</w:t>
      </w:r>
      <w:r w:rsidR="00923D13" w:rsidRPr="002C21B8">
        <w:t xml:space="preserve"> </w:t>
      </w:r>
      <w:r w:rsidR="00923D13" w:rsidRPr="002C21B8">
        <w:fldChar w:fldCharType="begin">
          <w:fldData xml:space="preserve">PEVuZE5vdGU+PENpdGU+PEF1dGhvcj5SYWlzY2g8L0F1dGhvcj48WWVhcj4xOTkwPC9ZZWFyPjxS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</w:fldData>
        </w:fldChar>
      </w:r>
      <w:r w:rsidR="00EB3D82" w:rsidRPr="002C21B8">
        <w:instrText xml:space="preserve"> ADDIN EN.CITE </w:instrText>
      </w:r>
      <w:r w:rsidR="00EB3D82" w:rsidRPr="002C21B8">
        <w:fldChar w:fldCharType="begin">
          <w:fldData xml:space="preserve">PEVuZE5vdGU+PENpdGU+PEF1dGhvcj5SYWlzY2g8L0F1dGhvcj48WWVhcj4xOTkwPC9ZZWFyPjxS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</w:fldData>
        </w:fldChar>
      </w:r>
      <w:r w:rsidR="00EB3D82" w:rsidRPr="002C21B8">
        <w:instrText xml:space="preserve"> ADDIN EN.CITE.DATA </w:instrText>
      </w:r>
      <w:r w:rsidR="00EB3D82" w:rsidRPr="002C21B8">
        <w:fldChar w:fldCharType="end"/>
      </w:r>
      <w:r w:rsidR="00923D13" w:rsidRPr="002C21B8">
        <w:fldChar w:fldCharType="separate"/>
      </w:r>
      <w:r w:rsidR="00EB3D82" w:rsidRPr="002C21B8">
        <w:rPr>
          <w:noProof/>
        </w:rPr>
        <w:t>(Gallan, 2004; Raisch, 1990; Singh, 2008)</w:t>
      </w:r>
      <w:r w:rsidR="00923D13" w:rsidRPr="002C21B8">
        <w:fldChar w:fldCharType="end"/>
      </w:r>
      <w:r w:rsidR="003F58EB" w:rsidRPr="002C21B8">
        <w:t>.</w:t>
      </w:r>
      <w:r w:rsidR="003D12B5" w:rsidRPr="002C21B8">
        <w:t xml:space="preserve"> </w:t>
      </w:r>
      <w:r w:rsidR="007B3682" w:rsidRPr="002C21B8">
        <w:t xml:space="preserve">It also incorporates patients as influential in decision-making, although patient autonomy and shared decision-making are not included </w:t>
      </w:r>
      <w:r w:rsidR="003F58EB" w:rsidRPr="002C21B8">
        <w:fldChar w:fldCharType="begin"/>
      </w:r>
      <w:r w:rsidR="000215B0" w:rsidRPr="002C21B8">
        <w:instrText xml:space="preserve"> ADDIN EN.CITE &lt;EndNote&gt;&lt;Cite&gt;&lt;Author&gt;Sandman&lt;/Author&gt;&lt;Year&gt;2009&lt;/Year&gt;&lt;RecNum&gt;125314&lt;/RecNum&gt;&lt;DisplayText&gt;(Sandman and Munthe, 2009)&lt;/DisplayText&gt;&lt;record&gt;&lt;rec-number&gt;125314&lt;/rec-number&gt;&lt;foreign-keys&gt;&lt;key app="EN" db-id="xpefzwa5hf9dt2ea9fax95x7xvxz90v09dtf" timestamp="1775042082"&gt;125314&lt;/key&gt;&lt;/foreign-keys&gt;&lt;ref-type name="Journal Article"&gt;17&lt;/ref-type&gt;&lt;contributors&gt;&lt;authors&gt;&lt;author&gt;Sandman, Lars&lt;/author&gt;&lt;author&gt;Munthe, Christian&lt;/author&gt;&lt;/authors&gt;&lt;/contributors&gt;&lt;titles&gt;&lt;title&gt;Shared decision-making and patient autonomy&lt;/title&gt;&lt;secondary-title&gt;Theoretical Medicine and Bioethics&lt;/secondary-title&gt;&lt;/titles&gt;&lt;periodical&gt;&lt;full-title&gt;Theoretical medicine and bioethics&lt;/full-title&gt;&lt;/periodical&gt;&lt;pages&gt;289-310&lt;/pages&gt;&lt;volume&gt;30&lt;/volume&gt;&lt;number&gt;4&lt;/number&gt;&lt;dates&gt;&lt;year&gt;2009&lt;/year&gt;&lt;/dates&gt;&lt;isbn&gt;1386-7415&lt;/isbn&gt;&lt;urls&gt;&lt;/urls&gt;&lt;/record&gt;&lt;/Cite&gt;&lt;/EndNote&gt;</w:instrText>
      </w:r>
      <w:r w:rsidR="003F58EB" w:rsidRPr="002C21B8">
        <w:fldChar w:fldCharType="separate"/>
      </w:r>
      <w:r w:rsidR="003F58EB" w:rsidRPr="002C21B8">
        <w:rPr>
          <w:noProof/>
        </w:rPr>
        <w:t>(Sandman and Munthe, 2009)</w:t>
      </w:r>
      <w:r w:rsidR="003F58EB" w:rsidRPr="002C21B8">
        <w:fldChar w:fldCharType="end"/>
      </w:r>
      <w:r w:rsidR="003F58EB" w:rsidRPr="002C21B8">
        <w:t>.</w:t>
      </w:r>
      <w:r w:rsidR="00B72AE4" w:rsidRPr="002C21B8">
        <w:t xml:space="preserve"> </w:t>
      </w:r>
      <w:r w:rsidR="00FB33CE" w:rsidRPr="002C21B8">
        <w:t>However,</w:t>
      </w:r>
      <w:r w:rsidR="00D54502" w:rsidRPr="002C21B8">
        <w:t xml:space="preserve"> the</w:t>
      </w:r>
      <w:r w:rsidR="00FB33CE" w:rsidRPr="002C21B8">
        <w:t xml:space="preserve"> prescribing authority </w:t>
      </w:r>
      <w:r w:rsidR="00D54502" w:rsidRPr="002C21B8">
        <w:t xml:space="preserve">ultimately </w:t>
      </w:r>
      <w:r w:rsidR="00FB33CE" w:rsidRPr="002C21B8">
        <w:t xml:space="preserve">remains </w:t>
      </w:r>
      <w:r w:rsidR="00D54502" w:rsidRPr="002C21B8">
        <w:t>with</w:t>
      </w:r>
      <w:r w:rsidR="00FB33CE" w:rsidRPr="002C21B8">
        <w:t xml:space="preserve"> </w:t>
      </w:r>
      <w:r w:rsidR="00B72AE4" w:rsidRPr="002C21B8">
        <w:t>physician</w:t>
      </w:r>
      <w:r w:rsidR="00FB33CE" w:rsidRPr="002C21B8">
        <w:t>s</w:t>
      </w:r>
      <w:r w:rsidR="006E68B5" w:rsidRPr="002C21B8">
        <w:t>, who are described</w:t>
      </w:r>
      <w:r w:rsidR="00B72AE4" w:rsidRPr="002C21B8">
        <w:t xml:space="preserve"> as the final decision-maker</w:t>
      </w:r>
      <w:r w:rsidR="006E68B5" w:rsidRPr="002C21B8">
        <w:t>s</w:t>
      </w:r>
      <w:r w:rsidR="00FB33CE" w:rsidRPr="002C21B8">
        <w:t>. This</w:t>
      </w:r>
      <w:r w:rsidR="00B72AE4" w:rsidRPr="002C21B8">
        <w:t xml:space="preserve"> could be considered exclusionary in modern healthcare, as </w:t>
      </w:r>
      <w:r w:rsidR="00DF3FE6" w:rsidRPr="002C21B8">
        <w:t xml:space="preserve">prescribing </w:t>
      </w:r>
      <w:r w:rsidR="00B72AE4" w:rsidRPr="002C21B8">
        <w:t>responsibilities</w:t>
      </w:r>
      <w:r w:rsidR="00DF3FE6" w:rsidRPr="002C21B8">
        <w:t xml:space="preserve"> are increasingly </w:t>
      </w:r>
      <w:r w:rsidR="00C40375" w:rsidRPr="002C21B8">
        <w:t xml:space="preserve">shared </w:t>
      </w:r>
      <w:r w:rsidR="0009584D" w:rsidRPr="002C21B8">
        <w:t xml:space="preserve">or </w:t>
      </w:r>
      <w:r w:rsidR="00C40375" w:rsidRPr="002C21B8">
        <w:t>independently</w:t>
      </w:r>
      <w:r w:rsidR="00B72AE4" w:rsidRPr="002C21B8">
        <w:t xml:space="preserve"> undertaken</w:t>
      </w:r>
      <w:r w:rsidR="00C40375" w:rsidRPr="002C21B8">
        <w:t xml:space="preserve"> </w:t>
      </w:r>
      <w:r w:rsidR="0009584D" w:rsidRPr="002C21B8">
        <w:t xml:space="preserve">by other members of the healthcare team </w:t>
      </w:r>
      <w:r w:rsidR="00ED1B9F" w:rsidRPr="002C21B8">
        <w:fldChar w:fldCharType="begin"/>
      </w:r>
      <w:r w:rsidR="00CE4967" w:rsidRPr="002C21B8">
        <w:instrText xml:space="preserve"> ADDIN EN.CITE &lt;EndNote&gt;&lt;Cite&gt;&lt;Author&gt;Deslandes&lt;/Author&gt;&lt;Year&gt;2022&lt;/Year&gt;&lt;RecNum&gt;125315&lt;/RecNum&gt;&lt;DisplayText&gt;(Deslandes&lt;style face="italic"&gt; et al.&lt;/style&gt;, 2022)&lt;/DisplayText&gt;&lt;record&gt;&lt;rec-number&gt;125315&lt;/rec-number&gt;&lt;foreign-keys&gt;&lt;key app="EN" db-id="xpefzwa5hf9dt2ea9fax95x7xvxz90v09dtf" timestamp="1775042427"&gt;125315&lt;/key&gt;&lt;/foreign-keys&gt;&lt;ref-type name="Journal Article"&gt;17&lt;/ref-type&gt;&lt;contributors&gt;&lt;authors&gt;&lt;author&gt;Deslandes, Paul&lt;/author&gt;&lt;author&gt;Blowers, Hannah&lt;/author&gt;&lt;author&gt;Haines, Kath&lt;/author&gt;&lt;author&gt;Hodson, Karen&lt;/author&gt;&lt;author&gt;Deslandes, Rhian&lt;/author&gt;&lt;/authors&gt;&lt;/contributors&gt;&lt;titles&gt;&lt;title&gt;Medicines prescribed by non-medical independent prescribers in primary care in Wales: a 10-year longitudinal study April 2011–March 2021&lt;/title&gt;&lt;secondary-title&gt;BMJ Open&lt;/secondary-title&gt;&lt;/titles&gt;&lt;periodical&gt;&lt;full-title&gt;BMJ open&lt;/full-title&gt;&lt;/periodical&gt;&lt;pages&gt;e059204&lt;/pages&gt;&lt;volume&gt;12&lt;/volume&gt;&lt;number&gt;2&lt;/number&gt;&lt;dates&gt;&lt;year&gt;2022&lt;/year&gt;&lt;/dates&gt;&lt;isbn&gt;2044-6055&lt;/isbn&gt;&lt;urls&gt;&lt;/urls&gt;&lt;/record&gt;&lt;/Cite&gt;&lt;/EndNote&gt;</w:instrText>
      </w:r>
      <w:r w:rsidR="00ED1B9F" w:rsidRPr="002C21B8">
        <w:fldChar w:fldCharType="separate"/>
      </w:r>
      <w:r w:rsidR="00ED1B9F" w:rsidRPr="002C21B8">
        <w:rPr>
          <w:noProof/>
        </w:rPr>
        <w:t>(Deslandes</w:t>
      </w:r>
      <w:r w:rsidR="00ED1B9F" w:rsidRPr="002C21B8">
        <w:rPr>
          <w:i/>
          <w:noProof/>
        </w:rPr>
        <w:t xml:space="preserve"> et al.</w:t>
      </w:r>
      <w:r w:rsidR="00ED1B9F" w:rsidRPr="002C21B8">
        <w:rPr>
          <w:noProof/>
        </w:rPr>
        <w:t>, 2022)</w:t>
      </w:r>
      <w:r w:rsidR="00ED1B9F" w:rsidRPr="002C21B8">
        <w:fldChar w:fldCharType="end"/>
      </w:r>
      <w:r w:rsidR="0009584D" w:rsidRPr="002C21B8">
        <w:t>.</w:t>
      </w:r>
    </w:p>
    <w:p w14:paraId="02843AFA" w14:textId="428F2D55" w:rsidR="00E2695F" w:rsidRPr="002C21B8" w:rsidRDefault="00B72AE4" w:rsidP="00F06F84">
      <w:r w:rsidRPr="002C21B8">
        <w:t xml:space="preserve">There are some important limitations to consider when using conceptual models. </w:t>
      </w:r>
      <w:r w:rsidR="00991923" w:rsidRPr="002C21B8">
        <w:t xml:space="preserve">They may oversimplify complex clinical </w:t>
      </w:r>
      <w:r w:rsidR="00EB3D82" w:rsidRPr="002C21B8">
        <w:t>practices</w:t>
      </w:r>
      <w:r w:rsidR="00991923" w:rsidRPr="002C21B8">
        <w:t>, be overly generic and omit contextual factors, or be highly context-specific which limits the</w:t>
      </w:r>
      <w:r w:rsidRPr="002C21B8">
        <w:t>ir</w:t>
      </w:r>
      <w:r w:rsidR="00991923" w:rsidRPr="002C21B8">
        <w:t xml:space="preserve"> applica</w:t>
      </w:r>
      <w:r w:rsidRPr="002C21B8">
        <w:t>tion</w:t>
      </w:r>
      <w:r w:rsidR="00991923" w:rsidRPr="002C21B8">
        <w:t xml:space="preserve"> beyond the original setting </w:t>
      </w:r>
      <w:r w:rsidR="00417DB6" w:rsidRPr="002C21B8">
        <w:fldChar w:fldCharType="begin"/>
      </w:r>
      <w:r w:rsidR="00417DB6" w:rsidRPr="002C21B8">
        <w:instrText xml:space="preserve"> ADDIN EN.CITE &lt;EndNote&gt;&lt;Cite&gt;&lt;Author&gt;Príncipe&lt;/Author&gt;&lt;Year&gt;2023&lt;/Year&gt;&lt;RecNum&gt;125333&lt;/RecNum&gt;&lt;DisplayText&gt;(Príncipe&lt;style face="italic"&gt; et al.&lt;/style&gt;, 2023)&lt;/DisplayText&gt;&lt;record&gt;&lt;rec-number&gt;125333&lt;/rec-number&gt;&lt;foreign-keys&gt;&lt;key app="EN" db-id="xpefzwa5hf9dt2ea9fax95x7xvxz90v09dtf" timestamp="1775143007"&gt;125333&lt;/key&gt;&lt;/foreign-keys&gt;&lt;ref-type name="Journal Article"&gt;17&lt;/ref-type&gt;&lt;contributors&gt;&lt;authors&gt;&lt;author&gt;Príncipe, Alex S&lt;/author&gt;&lt;author&gt;Filho, Aloísio SN&lt;/author&gt;&lt;author&gt;Machado, Bruna AS&lt;/author&gt;&lt;author&gt;Barbosa, Josiane DV&lt;/author&gt;&lt;author&gt;Winkler, Ingrid&lt;/author&gt;&lt;author&gt;Ferreira, Cristiano V&lt;/author&gt;&lt;/authors&gt;&lt;/contributors&gt;&lt;titles&gt;&lt;title&gt;Decision support frameworks in public health emergencies: a systematic review of dynamic models in complex contexts&lt;/title&gt;&lt;secondary-title&gt;International Journal of Environmental Research and Public Health&lt;/secondary-title&gt;&lt;/titles&gt;&lt;periodical&gt;&lt;full-title&gt;International journal of environmental research and public health&lt;/full-title&gt;&lt;/periodical&gt;&lt;pages&gt;6685&lt;/pages&gt;&lt;volume&gt;20&lt;/volume&gt;&lt;number&gt;17&lt;/number&gt;&lt;dates&gt;&lt;year&gt;2023&lt;/year&gt;&lt;/dates&gt;&lt;isbn&gt;1660-4601&lt;/isbn&gt;&lt;urls&gt;&lt;/urls&gt;&lt;/record&gt;&lt;/Cite&gt;&lt;/EndNote&gt;</w:instrText>
      </w:r>
      <w:r w:rsidR="00417DB6" w:rsidRPr="002C21B8">
        <w:fldChar w:fldCharType="separate"/>
      </w:r>
      <w:r w:rsidR="00417DB6" w:rsidRPr="002C21B8">
        <w:t>(Príncipe</w:t>
      </w:r>
      <w:r w:rsidR="00417DB6" w:rsidRPr="002C21B8">
        <w:rPr>
          <w:i/>
        </w:rPr>
        <w:t xml:space="preserve"> et al.</w:t>
      </w:r>
      <w:r w:rsidR="00417DB6" w:rsidRPr="002C21B8">
        <w:t>, 2023)</w:t>
      </w:r>
      <w:r w:rsidR="00417DB6" w:rsidRPr="002C21B8">
        <w:fldChar w:fldCharType="end"/>
      </w:r>
      <w:r w:rsidR="00417DB6" w:rsidRPr="002C21B8">
        <w:t>.</w:t>
      </w:r>
      <w:r w:rsidR="00991923" w:rsidRPr="002C21B8">
        <w:t xml:space="preserve"> </w:t>
      </w:r>
      <w:r w:rsidRPr="002C21B8">
        <w:t xml:space="preserve">The majority of research into prescribing decision-making has been conducted within primary care with a </w:t>
      </w:r>
      <w:r w:rsidRPr="002C21B8">
        <w:lastRenderedPageBreak/>
        <w:t>focus on acute conditions such as infections and short-term pain</w:t>
      </w:r>
      <w:r w:rsidR="00651DFE" w:rsidRPr="002C21B8">
        <w:t xml:space="preserve"> </w:t>
      </w:r>
      <w:r w:rsidR="00651DFE" w:rsidRPr="002C21B8">
        <w:fldChar w:fldCharType="begin"/>
      </w:r>
      <w:r w:rsidR="00651DFE" w:rsidRPr="002C21B8">
        <w:instrText xml:space="preserve"> ADDIN EN.CITE &lt;EndNote&gt;&lt;Cite&gt;&lt;Author&gt;Tonkin-Crine&lt;/Author&gt;&lt;Year&gt;2011&lt;/Year&gt;&lt;RecNum&gt;125517&lt;/RecNum&gt;&lt;DisplayText&gt;(Little&lt;style face="italic"&gt; et al.&lt;/style&gt;, 2004; Tonkin-Crine, Yardley and Little, 2011)&lt;/DisplayText&gt;&lt;record&gt;&lt;rec-number&gt;125517&lt;/rec-number&gt;&lt;foreign-keys&gt;&lt;key app="EN" db-id="xpefzwa5hf9dt2ea9fax95x7xvxz90v09dtf" timestamp="1777383969"&gt;125517&lt;/key&gt;&lt;/foreign-keys&gt;&lt;ref-type name="Journal Article"&gt;17&lt;/ref-type&gt;&lt;contributors&gt;&lt;authors&gt;&lt;author&gt;Tonkin-Crine, Sarah&lt;/author&gt;&lt;author&gt;Yardley, Lucy&lt;/author&gt;&lt;author&gt;Little, Paul&lt;/author&gt;&lt;/authors&gt;&lt;/contributors&gt;&lt;titles&gt;&lt;title&gt;Antibiotic prescribing for acute respiratory tract infections in primary care: a systematic review and meta-ethnography&lt;/title&gt;&lt;secondary-title&gt;Journal of Antimicrobial Chemotherapy&lt;/secondary-title&gt;&lt;/titles&gt;&lt;periodical&gt;&lt;full-title&gt;Journal of Antimicrobial Chemotherapy&lt;/full-title&gt;&lt;/periodical&gt;&lt;pages&gt;2215-2223&lt;/pages&gt;&lt;volume&gt;66&lt;/volume&gt;&lt;number&gt;10&lt;/number&gt;&lt;dates&gt;&lt;year&gt;2011&lt;/year&gt;&lt;/dates&gt;&lt;isbn&gt;1460-2091&lt;/isbn&gt;&lt;urls&gt;&lt;/urls&gt;&lt;/record&gt;&lt;/Cite&gt;&lt;Cite&gt;&lt;Author&gt;Little&lt;/Author&gt;&lt;Year&gt;2004&lt;/Year&gt;&lt;RecNum&gt;125537&lt;/RecNum&gt;&lt;record&gt;&lt;rec-number&gt;125537&lt;/rec-number&gt;&lt;foreign-keys&gt;&lt;key app="EN" db-id="xpefzwa5hf9dt2ea9fax95x7xvxz90v09dtf" timestamp="1777544574"&gt;125537&lt;/key&gt;&lt;/foreign-keys&gt;&lt;ref-type name="Journal Article"&gt;17&lt;/ref-type&gt;&lt;contributors&gt;&lt;authors&gt;&lt;author&gt;Little, P&lt;/author&gt;&lt;author&gt;Dorward, M&lt;/author&gt;&lt;author&gt;Warner, G&lt;/author&gt;&lt;author&gt;Stephens, K&lt;/author&gt;&lt;author&gt;Senior, J&lt;/author&gt;&lt;author&gt;Moore, M&lt;/author&gt;&lt;/authors&gt;&lt;/contributors&gt;&lt;titles&gt;&lt;title&gt;Importance of patient pressure and perceived medical need for investigations, referral, and prescribing in primary care: nested observational study&lt;/title&gt;&lt;secondary-title&gt;British Medical Journal&lt;/secondary-title&gt;&lt;/titles&gt;&lt;periodical&gt;&lt;full-title&gt;British Medical Journal&lt;/full-title&gt;&lt;/periodical&gt;&lt;volume&gt;328&lt;/volume&gt;&lt;dates&gt;&lt;year&gt;2004&lt;/year&gt;&lt;/dates&gt;&lt;urls&gt;&lt;/urls&gt;&lt;/record&gt;&lt;/Cite&gt;&lt;/EndNote&gt;</w:instrText>
      </w:r>
      <w:r w:rsidR="00651DFE" w:rsidRPr="002C21B8">
        <w:fldChar w:fldCharType="separate"/>
      </w:r>
      <w:r w:rsidR="00651DFE" w:rsidRPr="002C21B8">
        <w:rPr>
          <w:noProof/>
        </w:rPr>
        <w:t>(Little</w:t>
      </w:r>
      <w:r w:rsidR="00651DFE" w:rsidRPr="002C21B8">
        <w:rPr>
          <w:i/>
          <w:noProof/>
        </w:rPr>
        <w:t xml:space="preserve"> et al.</w:t>
      </w:r>
      <w:r w:rsidR="00651DFE" w:rsidRPr="002C21B8">
        <w:rPr>
          <w:noProof/>
        </w:rPr>
        <w:t>, 2004; Tonkin-Crine, Yardley and Little, 2011)</w:t>
      </w:r>
      <w:r w:rsidR="00651DFE" w:rsidRPr="002C21B8">
        <w:fldChar w:fldCharType="end"/>
      </w:r>
      <w:r w:rsidRPr="002C21B8">
        <w:t xml:space="preserve">. As a result, theories, models and frameworks developed from this evidence base may </w:t>
      </w:r>
      <w:r w:rsidR="00F92928" w:rsidRPr="002C21B8">
        <w:t xml:space="preserve">not </w:t>
      </w:r>
      <w:r w:rsidR="00640D57" w:rsidRPr="002C21B8">
        <w:t xml:space="preserve">fully </w:t>
      </w:r>
      <w:r w:rsidR="00EB3D82" w:rsidRPr="002C21B8">
        <w:t xml:space="preserve">reflect decision-making </w:t>
      </w:r>
      <w:r w:rsidR="00EF3633" w:rsidRPr="002C21B8">
        <w:t xml:space="preserve">processes </w:t>
      </w:r>
      <w:r w:rsidR="00640D57" w:rsidRPr="002C21B8">
        <w:t xml:space="preserve">in other </w:t>
      </w:r>
      <w:r w:rsidRPr="002C21B8">
        <w:t xml:space="preserve">clinical </w:t>
      </w:r>
      <w:r w:rsidR="00640D57" w:rsidRPr="002C21B8">
        <w:t>contexts.</w:t>
      </w:r>
    </w:p>
    <w:p w14:paraId="70679321" w14:textId="26111386" w:rsidR="006463C1" w:rsidRPr="002C21B8" w:rsidRDefault="00520ED4" w:rsidP="004507C8">
      <w:pPr>
        <w:pStyle w:val="Heading3"/>
      </w:pPr>
      <w:r w:rsidRPr="002C21B8">
        <w:t>Prescribing in acute versus chronic contexts</w:t>
      </w:r>
    </w:p>
    <w:p w14:paraId="5A3B2392" w14:textId="3E47B56D" w:rsidR="00FB33CE" w:rsidRPr="002C21B8" w:rsidRDefault="00EE07A7" w:rsidP="00D05E0B">
      <w:r w:rsidRPr="002C21B8">
        <w:t xml:space="preserve">How prescribing decisions are made </w:t>
      </w:r>
      <w:r w:rsidR="00610D20" w:rsidRPr="002C21B8">
        <w:t xml:space="preserve">depends on the clinical context, with prescribing for acute and chronic conditions representing two common scenarios. Key differences are summarised in </w:t>
      </w:r>
      <w:r w:rsidR="00610D20" w:rsidRPr="002C21B8">
        <w:fldChar w:fldCharType="begin"/>
      </w:r>
      <w:r w:rsidR="00610D20" w:rsidRPr="002C21B8">
        <w:instrText xml:space="preserve"> REF _Ref226125127 \h </w:instrText>
      </w:r>
      <w:r w:rsidR="00585F6D" w:rsidRPr="002C21B8">
        <w:instrText xml:space="preserve"> \* MERGEFORMAT </w:instrText>
      </w:r>
      <w:r w:rsidR="00610D20" w:rsidRPr="002C21B8">
        <w:fldChar w:fldCharType="separate"/>
      </w:r>
      <w:r w:rsidR="00DB3709" w:rsidRPr="002C21B8">
        <w:t xml:space="preserve">Table </w:t>
      </w:r>
      <w:r w:rsidR="00DB3709">
        <w:t>3</w:t>
      </w:r>
      <w:r w:rsidR="00610D20" w:rsidRPr="002C21B8">
        <w:fldChar w:fldCharType="end"/>
      </w:r>
      <w:r w:rsidR="00610D20" w:rsidRPr="002C21B8">
        <w:t xml:space="preserve"> and discussed further below.</w:t>
      </w:r>
    </w:p>
    <w:p w14:paraId="55F860EB" w14:textId="145ADE75" w:rsidR="00E2695F" w:rsidRPr="002C21B8" w:rsidRDefault="00E2695F" w:rsidP="0078737C">
      <w:pPr>
        <w:pStyle w:val="Caption"/>
        <w:keepNext w:val="0"/>
        <w:rPr>
          <w:noProof w:val="0"/>
        </w:rPr>
      </w:pPr>
      <w:bookmarkStart w:id="39" w:name="_Ref226125127"/>
      <w:bookmarkStart w:id="40" w:name="_Ref226125102"/>
      <w:bookmarkStart w:id="41" w:name="_Toc236991739"/>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3</w:t>
      </w:r>
      <w:r w:rsidRPr="002C21B8">
        <w:rPr>
          <w:noProof w:val="0"/>
        </w:rPr>
        <w:fldChar w:fldCharType="end"/>
      </w:r>
      <w:bookmarkEnd w:id="39"/>
      <w:r w:rsidRPr="002C21B8">
        <w:rPr>
          <w:noProof w:val="0"/>
        </w:rPr>
        <w:t>. Comparison of prescribing in acute and chronic conditions</w:t>
      </w:r>
      <w:bookmarkEnd w:id="40"/>
      <w:bookmarkEnd w:id="41"/>
    </w:p>
    <w:tbl>
      <w:tblPr>
        <w:tblStyle w:val="ListTable1Light-Accent3"/>
        <w:tblW w:w="9016" w:type="dxa"/>
        <w:tblLook w:val="04A0" w:firstRow="1" w:lastRow="0" w:firstColumn="1" w:lastColumn="0" w:noHBand="0" w:noVBand="1"/>
      </w:tblPr>
      <w:tblGrid>
        <w:gridCol w:w="2127"/>
        <w:gridCol w:w="3402"/>
        <w:gridCol w:w="3487"/>
      </w:tblGrid>
      <w:tr w:rsidR="0089797D" w:rsidRPr="002C21B8" w14:paraId="3DA05176" w14:textId="77777777" w:rsidTr="0040251A">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auto"/>
              <w:bottom w:val="single" w:sz="4" w:space="0" w:color="auto"/>
            </w:tcBorders>
            <w:shd w:val="clear" w:color="auto" w:fill="auto"/>
          </w:tcPr>
          <w:p w14:paraId="02508EE7" w14:textId="413F174A" w:rsidR="0089797D" w:rsidRPr="002C21B8" w:rsidRDefault="0089797D" w:rsidP="0078737C">
            <w:pPr>
              <w:spacing w:beforeLines="20" w:before="48" w:afterLines="20" w:after="48" w:line="240" w:lineRule="auto"/>
              <w:jc w:val="left"/>
              <w:rPr>
                <w:sz w:val="18"/>
                <w:szCs w:val="18"/>
              </w:rPr>
            </w:pPr>
            <w:r w:rsidRPr="002C21B8">
              <w:rPr>
                <w:sz w:val="18"/>
                <w:szCs w:val="18"/>
              </w:rPr>
              <w:t>Feature</w:t>
            </w:r>
          </w:p>
        </w:tc>
        <w:tc>
          <w:tcPr>
            <w:tcW w:w="3402" w:type="dxa"/>
            <w:tcBorders>
              <w:top w:val="single" w:sz="12" w:space="0" w:color="auto"/>
              <w:bottom w:val="single" w:sz="4" w:space="0" w:color="auto"/>
            </w:tcBorders>
            <w:shd w:val="clear" w:color="auto" w:fill="auto"/>
          </w:tcPr>
          <w:p w14:paraId="6786E1B2" w14:textId="74CC1B54" w:rsidR="0089797D" w:rsidRPr="002C21B8" w:rsidRDefault="0089797D" w:rsidP="0078737C">
            <w:pPr>
              <w:spacing w:beforeLines="20" w:before="48" w:afterLines="20" w:after="48"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Acute conditions</w:t>
            </w:r>
          </w:p>
        </w:tc>
        <w:tc>
          <w:tcPr>
            <w:tcW w:w="3487" w:type="dxa"/>
            <w:tcBorders>
              <w:top w:val="single" w:sz="12" w:space="0" w:color="auto"/>
              <w:bottom w:val="single" w:sz="4" w:space="0" w:color="auto"/>
            </w:tcBorders>
            <w:shd w:val="clear" w:color="auto" w:fill="auto"/>
          </w:tcPr>
          <w:p w14:paraId="3C8D6932" w14:textId="2D937100" w:rsidR="0089797D" w:rsidRPr="002C21B8" w:rsidRDefault="0089797D" w:rsidP="0078737C">
            <w:pPr>
              <w:spacing w:beforeLines="20" w:before="48" w:afterLines="20" w:after="48" w:line="240" w:lineRule="auto"/>
              <w:jc w:val="left"/>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Chronic conditions</w:t>
            </w:r>
          </w:p>
        </w:tc>
      </w:tr>
      <w:tr w:rsidR="0089797D" w:rsidRPr="002C21B8" w14:paraId="2813288C" w14:textId="77777777" w:rsidTr="0040251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tcPr>
          <w:p w14:paraId="0FB6E7CB" w14:textId="77777777" w:rsidR="0089797D" w:rsidRPr="002C21B8" w:rsidRDefault="0089797D" w:rsidP="0078737C">
            <w:pPr>
              <w:spacing w:beforeLines="20" w:before="48" w:afterLines="20" w:after="48" w:line="240" w:lineRule="auto"/>
              <w:jc w:val="left"/>
              <w:rPr>
                <w:sz w:val="18"/>
                <w:szCs w:val="18"/>
              </w:rPr>
            </w:pPr>
            <w:r w:rsidRPr="002C21B8">
              <w:rPr>
                <w:sz w:val="18"/>
                <w:szCs w:val="18"/>
              </w:rPr>
              <w:t>Example</w:t>
            </w:r>
          </w:p>
        </w:tc>
        <w:tc>
          <w:tcPr>
            <w:tcW w:w="3402" w:type="dxa"/>
            <w:shd w:val="clear" w:color="auto" w:fill="FFFFFF" w:themeFill="background1"/>
          </w:tcPr>
          <w:p w14:paraId="76E722F2" w14:textId="7A870061" w:rsidR="0089797D" w:rsidRPr="002C21B8" w:rsidRDefault="005A7237"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Antibiotics in infections</w:t>
            </w:r>
          </w:p>
        </w:tc>
        <w:tc>
          <w:tcPr>
            <w:tcW w:w="3487" w:type="dxa"/>
            <w:shd w:val="clear" w:color="auto" w:fill="FFFFFF" w:themeFill="background1"/>
          </w:tcPr>
          <w:p w14:paraId="1C3493B4" w14:textId="210128E8" w:rsidR="0089797D" w:rsidRPr="002C21B8" w:rsidRDefault="0089797D"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Antihypertensives</w:t>
            </w:r>
            <w:r w:rsidR="005A7237" w:rsidRPr="002C21B8">
              <w:rPr>
                <w:sz w:val="18"/>
                <w:szCs w:val="18"/>
              </w:rPr>
              <w:t xml:space="preserve"> in hypertension</w:t>
            </w:r>
          </w:p>
        </w:tc>
      </w:tr>
      <w:tr w:rsidR="0089797D" w:rsidRPr="002C21B8" w14:paraId="650E21B5" w14:textId="77777777" w:rsidTr="0040251A">
        <w:trPr>
          <w:trHeight w:val="283"/>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tcPr>
          <w:p w14:paraId="020759A1" w14:textId="77777777" w:rsidR="0089797D" w:rsidRPr="002C21B8" w:rsidRDefault="0089797D" w:rsidP="0078737C">
            <w:pPr>
              <w:spacing w:beforeLines="20" w:before="48" w:afterLines="20" w:after="48" w:line="240" w:lineRule="auto"/>
              <w:jc w:val="left"/>
              <w:rPr>
                <w:sz w:val="18"/>
                <w:szCs w:val="18"/>
              </w:rPr>
            </w:pPr>
            <w:r w:rsidRPr="002C21B8">
              <w:rPr>
                <w:sz w:val="18"/>
                <w:szCs w:val="18"/>
              </w:rPr>
              <w:t>Purpose</w:t>
            </w:r>
          </w:p>
        </w:tc>
        <w:tc>
          <w:tcPr>
            <w:tcW w:w="3402" w:type="dxa"/>
            <w:shd w:val="clear" w:color="auto" w:fill="FFFFFF" w:themeFill="background1"/>
          </w:tcPr>
          <w:p w14:paraId="6F063600" w14:textId="77777777" w:rsidR="0089797D" w:rsidRPr="002C21B8" w:rsidRDefault="0089797D"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Curative or immediate symptom relief</w:t>
            </w:r>
          </w:p>
        </w:tc>
        <w:tc>
          <w:tcPr>
            <w:tcW w:w="3487" w:type="dxa"/>
            <w:shd w:val="clear" w:color="auto" w:fill="FFFFFF" w:themeFill="background1"/>
          </w:tcPr>
          <w:p w14:paraId="5C5286E7" w14:textId="77777777" w:rsidR="0089797D" w:rsidRPr="002C21B8" w:rsidRDefault="0089797D"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Slow disease progression, reduce long-term complications or improve quality of life</w:t>
            </w:r>
          </w:p>
        </w:tc>
      </w:tr>
      <w:tr w:rsidR="0089797D" w:rsidRPr="002C21B8" w14:paraId="2CF32833" w14:textId="77777777" w:rsidTr="0040251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tcPr>
          <w:p w14:paraId="7D4D58F2" w14:textId="5BCE6137" w:rsidR="0089797D" w:rsidRPr="002C21B8" w:rsidRDefault="0089797D" w:rsidP="0078737C">
            <w:pPr>
              <w:spacing w:beforeLines="20" w:before="48" w:afterLines="20" w:after="48" w:line="240" w:lineRule="auto"/>
              <w:jc w:val="left"/>
              <w:rPr>
                <w:sz w:val="18"/>
                <w:szCs w:val="18"/>
              </w:rPr>
            </w:pPr>
            <w:r w:rsidRPr="002C21B8">
              <w:rPr>
                <w:sz w:val="18"/>
                <w:szCs w:val="18"/>
              </w:rPr>
              <w:t>Risk vs benefit</w:t>
            </w:r>
          </w:p>
        </w:tc>
        <w:tc>
          <w:tcPr>
            <w:tcW w:w="3402" w:type="dxa"/>
            <w:shd w:val="clear" w:color="auto" w:fill="FFFFFF" w:themeFill="background1"/>
          </w:tcPr>
          <w:p w14:paraId="1B5A4A35" w14:textId="1573B22E" w:rsidR="0089797D" w:rsidRPr="002C21B8" w:rsidRDefault="0089797D"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Immediate risk often outweighs potential harm</w:t>
            </w:r>
          </w:p>
        </w:tc>
        <w:tc>
          <w:tcPr>
            <w:tcW w:w="3487" w:type="dxa"/>
            <w:shd w:val="clear" w:color="auto" w:fill="FFFFFF" w:themeFill="background1"/>
          </w:tcPr>
          <w:p w14:paraId="71DD8454" w14:textId="6A853C57" w:rsidR="0089797D" w:rsidRPr="002C21B8" w:rsidRDefault="0089797D"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Benefits often delayed and not certain; risks more apparent</w:t>
            </w:r>
          </w:p>
        </w:tc>
      </w:tr>
      <w:tr w:rsidR="0089797D" w:rsidRPr="002C21B8" w14:paraId="19DCEBD6" w14:textId="77777777" w:rsidTr="0040251A">
        <w:trPr>
          <w:trHeight w:val="283"/>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tcPr>
          <w:p w14:paraId="1D0F4CA3" w14:textId="563F36F9" w:rsidR="0089797D" w:rsidRPr="002C21B8" w:rsidRDefault="0089797D" w:rsidP="0078737C">
            <w:pPr>
              <w:spacing w:beforeLines="20" w:before="48" w:afterLines="20" w:after="48" w:line="240" w:lineRule="auto"/>
              <w:jc w:val="left"/>
              <w:rPr>
                <w:sz w:val="18"/>
                <w:szCs w:val="18"/>
              </w:rPr>
            </w:pPr>
            <w:r w:rsidRPr="002C21B8">
              <w:rPr>
                <w:sz w:val="18"/>
                <w:szCs w:val="18"/>
              </w:rPr>
              <w:t>Decision-making context</w:t>
            </w:r>
          </w:p>
        </w:tc>
        <w:tc>
          <w:tcPr>
            <w:tcW w:w="3402" w:type="dxa"/>
            <w:shd w:val="clear" w:color="auto" w:fill="FFFFFF" w:themeFill="background1"/>
          </w:tcPr>
          <w:p w14:paraId="6EFBD1AB" w14:textId="19E9CDE8" w:rsidR="0089797D" w:rsidRPr="002C21B8" w:rsidRDefault="005A7237"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Urgent decisions</w:t>
            </w:r>
          </w:p>
        </w:tc>
        <w:tc>
          <w:tcPr>
            <w:tcW w:w="3487" w:type="dxa"/>
            <w:shd w:val="clear" w:color="auto" w:fill="FFFFFF" w:themeFill="background1"/>
          </w:tcPr>
          <w:p w14:paraId="4DA77FC3" w14:textId="2234A5CD" w:rsidR="0089797D" w:rsidRPr="002C21B8" w:rsidRDefault="005A7237"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Less urgent decisions; potential for clinical inertia</w:t>
            </w:r>
          </w:p>
        </w:tc>
      </w:tr>
      <w:tr w:rsidR="0089797D" w:rsidRPr="002C21B8" w14:paraId="4FB61F22" w14:textId="77777777" w:rsidTr="0040251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7" w:type="dxa"/>
            <w:shd w:val="clear" w:color="auto" w:fill="FFFFFF" w:themeFill="background1"/>
          </w:tcPr>
          <w:p w14:paraId="4B502185" w14:textId="4D0EFABE" w:rsidR="0089797D" w:rsidRPr="002C21B8" w:rsidRDefault="0089797D" w:rsidP="0078737C">
            <w:pPr>
              <w:spacing w:beforeLines="20" w:before="48" w:afterLines="20" w:after="48" w:line="240" w:lineRule="auto"/>
              <w:jc w:val="left"/>
              <w:rPr>
                <w:sz w:val="18"/>
                <w:szCs w:val="18"/>
              </w:rPr>
            </w:pPr>
            <w:r w:rsidRPr="002C21B8">
              <w:rPr>
                <w:sz w:val="18"/>
                <w:szCs w:val="18"/>
              </w:rPr>
              <w:t>Shared decision-making</w:t>
            </w:r>
          </w:p>
        </w:tc>
        <w:tc>
          <w:tcPr>
            <w:tcW w:w="3402" w:type="dxa"/>
            <w:shd w:val="clear" w:color="auto" w:fill="FFFFFF" w:themeFill="background1"/>
          </w:tcPr>
          <w:p w14:paraId="5C22CEAC" w14:textId="6CBE430C" w:rsidR="0089797D" w:rsidRPr="002C21B8" w:rsidRDefault="005A7237"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Less opportunities for patient involvement; patient requests</w:t>
            </w:r>
          </w:p>
        </w:tc>
        <w:tc>
          <w:tcPr>
            <w:tcW w:w="3487" w:type="dxa"/>
            <w:shd w:val="clear" w:color="auto" w:fill="FFFFFF" w:themeFill="background1"/>
          </w:tcPr>
          <w:p w14:paraId="3E5F70C7" w14:textId="0A58AB80" w:rsidR="0089797D" w:rsidRPr="002C21B8" w:rsidRDefault="005A7237" w:rsidP="0078737C">
            <w:pPr>
              <w:spacing w:beforeLines="20" w:before="48" w:afterLines="20" w:after="48"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Greater patient involvement; adherence priority</w:t>
            </w:r>
          </w:p>
        </w:tc>
      </w:tr>
      <w:tr w:rsidR="0089797D" w:rsidRPr="002C21B8" w14:paraId="10CDA75A" w14:textId="77777777" w:rsidTr="0040251A">
        <w:trPr>
          <w:trHeight w:val="283"/>
        </w:trPr>
        <w:tc>
          <w:tcPr>
            <w:cnfStyle w:val="001000000000" w:firstRow="0" w:lastRow="0" w:firstColumn="1" w:lastColumn="0" w:oddVBand="0" w:evenVBand="0" w:oddHBand="0" w:evenHBand="0" w:firstRowFirstColumn="0" w:firstRowLastColumn="0" w:lastRowFirstColumn="0" w:lastRowLastColumn="0"/>
            <w:tcW w:w="2127" w:type="dxa"/>
            <w:tcBorders>
              <w:bottom w:val="single" w:sz="12" w:space="0" w:color="auto"/>
            </w:tcBorders>
            <w:shd w:val="clear" w:color="auto" w:fill="FFFFFF" w:themeFill="background1"/>
          </w:tcPr>
          <w:p w14:paraId="622F7202" w14:textId="0216FC97" w:rsidR="0089797D" w:rsidRPr="002C21B8" w:rsidRDefault="0089797D" w:rsidP="0078737C">
            <w:pPr>
              <w:spacing w:beforeLines="20" w:before="48" w:afterLines="20" w:after="48" w:line="240" w:lineRule="auto"/>
              <w:jc w:val="left"/>
              <w:rPr>
                <w:sz w:val="18"/>
                <w:szCs w:val="18"/>
              </w:rPr>
            </w:pPr>
            <w:r w:rsidRPr="002C21B8">
              <w:rPr>
                <w:sz w:val="18"/>
                <w:szCs w:val="18"/>
              </w:rPr>
              <w:t>Feedback/Reassessment</w:t>
            </w:r>
          </w:p>
        </w:tc>
        <w:tc>
          <w:tcPr>
            <w:tcW w:w="3402" w:type="dxa"/>
            <w:tcBorders>
              <w:bottom w:val="single" w:sz="12" w:space="0" w:color="auto"/>
            </w:tcBorders>
            <w:shd w:val="clear" w:color="auto" w:fill="FFFFFF" w:themeFill="background1"/>
          </w:tcPr>
          <w:p w14:paraId="51359390" w14:textId="7BF1ABA1" w:rsidR="0089797D" w:rsidRPr="002C21B8" w:rsidRDefault="0089797D"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Effects apparent quickly</w:t>
            </w:r>
            <w:r w:rsidR="005A7237" w:rsidRPr="002C21B8">
              <w:rPr>
                <w:sz w:val="18"/>
                <w:szCs w:val="18"/>
              </w:rPr>
              <w:t>; early indication if modification needed</w:t>
            </w:r>
          </w:p>
        </w:tc>
        <w:tc>
          <w:tcPr>
            <w:tcW w:w="3487" w:type="dxa"/>
            <w:tcBorders>
              <w:bottom w:val="single" w:sz="12" w:space="0" w:color="auto"/>
            </w:tcBorders>
            <w:shd w:val="clear" w:color="auto" w:fill="FFFFFF" w:themeFill="background1"/>
          </w:tcPr>
          <w:p w14:paraId="0F6AD72E" w14:textId="56CC3C58" w:rsidR="0089797D" w:rsidRPr="002C21B8" w:rsidRDefault="005A7237" w:rsidP="0078737C">
            <w:pPr>
              <w:spacing w:beforeLines="20" w:before="48" w:afterLines="20" w:after="48"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Slow or no feedback</w:t>
            </w:r>
          </w:p>
        </w:tc>
      </w:tr>
    </w:tbl>
    <w:p w14:paraId="70374CE6" w14:textId="77777777" w:rsidR="0089797D" w:rsidRPr="002C21B8" w:rsidRDefault="0089797D" w:rsidP="0078737C">
      <w:pPr>
        <w:spacing w:line="240" w:lineRule="auto"/>
      </w:pPr>
    </w:p>
    <w:p w14:paraId="0F0577B2" w14:textId="379E5167" w:rsidR="00DD7062" w:rsidRPr="002C21B8" w:rsidRDefault="009B683C" w:rsidP="00B06DF6">
      <w:r w:rsidRPr="002C21B8">
        <w:t>When prescribing for acute conditions</w:t>
      </w:r>
      <w:r w:rsidR="0096316F" w:rsidRPr="002C21B8">
        <w:t>,</w:t>
      </w:r>
      <w:r w:rsidRPr="002C21B8">
        <w:t xml:space="preserve"> the intention is typically curative or to provide immediate relief through a targeted short-term </w:t>
      </w:r>
      <w:r w:rsidR="00C418AF" w:rsidRPr="002C21B8">
        <w:t>medication</w:t>
      </w:r>
      <w:r w:rsidRPr="002C21B8">
        <w:t xml:space="preserve">. An example of this is the prescribing of antibiotics to treat an acute infection </w:t>
      </w:r>
      <w:r w:rsidRPr="002C21B8">
        <w:fldChar w:fldCharType="begin"/>
      </w:r>
      <w:r w:rsidRPr="002C21B8">
        <w:instrText xml:space="preserve"> ADDIN EN.CITE &lt;EndNote&gt;&lt;Cite&gt;&lt;Author&gt;Poluektova&lt;/Author&gt;&lt;Year&gt;2023&lt;/Year&gt;&lt;RecNum&gt;125335&lt;/RecNum&gt;&lt;DisplayText&gt;(Poluektova&lt;style face="italic"&gt; et al.&lt;/style&gt;, 2023)&lt;/DisplayText&gt;&lt;record&gt;&lt;rec-number&gt;125335&lt;/rec-number&gt;&lt;foreign-keys&gt;&lt;key app="EN" db-id="xpefzwa5hf9dt2ea9fax95x7xvxz90v09dtf" timestamp="1775160644"&gt;125335&lt;/key&gt;&lt;/foreign-keys&gt;&lt;ref-type name="Journal Article"&gt;17&lt;/ref-type&gt;&lt;contributors&gt;&lt;authors&gt;&lt;author&gt;Poluektova, Olga&lt;/author&gt;&lt;author&gt;Robertson, Deirdre A&lt;/author&gt;&lt;author&gt;Rafferty, Aisling&lt;/author&gt;&lt;author&gt;Cunney, Robert&lt;/author&gt;&lt;author&gt;Lunn, Peter D&lt;/author&gt;&lt;/authors&gt;&lt;/contributors&gt;&lt;titles&gt;&lt;title&gt;A scoping review and behavioural analysis of factors underlying overuse of antimicrobials&lt;/title&gt;&lt;secondary-title&gt;JAC-Antimicrobial Resistance&lt;/secondary-title&gt;&lt;/titles&gt;&lt;periodical&gt;&lt;full-title&gt;JAC-Antimicrobial Resistance&lt;/full-title&gt;&lt;/periodical&gt;&lt;pages&gt;dlad043&lt;/pages&gt;&lt;volume&gt;5&lt;/volume&gt;&lt;number&gt;3&lt;/number&gt;&lt;dates&gt;&lt;year&gt;2023&lt;/year&gt;&lt;/dates&gt;&lt;isbn&gt;2632-1823&lt;/isbn&gt;&lt;urls&gt;&lt;/urls&gt;&lt;/record&gt;&lt;/Cite&gt;&lt;/EndNote&gt;</w:instrText>
      </w:r>
      <w:r w:rsidRPr="002C21B8">
        <w:fldChar w:fldCharType="separate"/>
      </w:r>
      <w:r w:rsidRPr="002C21B8">
        <w:t>(Poluektova</w:t>
      </w:r>
      <w:r w:rsidRPr="002C21B8">
        <w:rPr>
          <w:i/>
        </w:rPr>
        <w:t xml:space="preserve"> et al.</w:t>
      </w:r>
      <w:r w:rsidRPr="002C21B8">
        <w:t>, 2023)</w:t>
      </w:r>
      <w:r w:rsidRPr="002C21B8">
        <w:fldChar w:fldCharType="end"/>
      </w:r>
      <w:r w:rsidRPr="002C21B8">
        <w:t xml:space="preserve">. </w:t>
      </w:r>
      <w:r w:rsidR="007C05F4" w:rsidRPr="002C21B8">
        <w:t xml:space="preserve">The immediate risk of clinical deterioration without treatment often outweighs the potential harms of </w:t>
      </w:r>
      <w:r w:rsidR="00FB33CE" w:rsidRPr="002C21B8">
        <w:t xml:space="preserve">a </w:t>
      </w:r>
      <w:r w:rsidR="00F8321A" w:rsidRPr="002C21B8">
        <w:t>medi</w:t>
      </w:r>
      <w:r w:rsidR="00AE1132" w:rsidRPr="002C21B8">
        <w:t>cation</w:t>
      </w:r>
      <w:r w:rsidR="007C05F4" w:rsidRPr="002C21B8">
        <w:t xml:space="preserve">, encouraging initiation even when </w:t>
      </w:r>
      <w:r w:rsidRPr="002C21B8">
        <w:t xml:space="preserve">clinical </w:t>
      </w:r>
      <w:r w:rsidR="007C05F4" w:rsidRPr="002C21B8">
        <w:t>information is incomplete</w:t>
      </w:r>
      <w:r w:rsidRPr="002C21B8">
        <w:t xml:space="preserve"> </w:t>
      </w:r>
      <w:r w:rsidR="002269BE" w:rsidRPr="002C21B8">
        <w:fldChar w:fldCharType="begin"/>
      </w:r>
      <w:r w:rsidR="00FF0A99" w:rsidRPr="002C21B8">
        <w:instrText xml:space="preserve"> ADDIN EN.CITE &lt;EndNote&gt;&lt;Cite&gt;&lt;Author&gt;Pandolfo&lt;/Author&gt;&lt;Year&gt;2022&lt;/Year&gt;&lt;RecNum&gt;125336&lt;/RecNum&gt;&lt;DisplayText&gt;(Pandolfo&lt;style face="italic"&gt; et al.&lt;/style&gt;, 2022)&lt;/DisplayText&gt;&lt;record&gt;&lt;rec-number&gt;125336&lt;/rec-number&gt;&lt;foreign-keys&gt;&lt;key app="EN" db-id="xpefzwa5hf9dt2ea9fax95x7xvxz90v09dtf" timestamp="1775161920"&gt;125336&lt;/key&gt;&lt;/foreign-keys&gt;&lt;ref-type name="Journal Article"&gt;17&lt;/ref-type&gt;&lt;contributors&gt;&lt;authors&gt;&lt;author&gt;Pandolfo, Alyssa M&lt;/author&gt;&lt;author&gt;Horne, Robert&lt;/author&gt;&lt;author&gt;Jani, Yogini&lt;/author&gt;&lt;author&gt;Reader, Tom W&lt;/author&gt;&lt;author&gt;Bidad, Natalie&lt;/author&gt;&lt;author&gt;Brealey, David&lt;/author&gt;&lt;author&gt;Enne, Virve I&lt;/author&gt;&lt;author&gt;Livermore, David M&lt;/author&gt;&lt;author&gt;Gant, Vanya&lt;/author&gt;&lt;author&gt;Brett, Stephen J&lt;/author&gt;&lt;/authors&gt;&lt;/contributors&gt;&lt;titles&gt;&lt;title&gt;Understanding decisions about antibiotic prescribing in ICU: an application of the Necessity Concerns Framework&lt;/title&gt;&lt;secondary-title&gt;BMJ Quality &amp;amp; Safety&lt;/secondary-title&gt;&lt;/titles&gt;&lt;periodical&gt;&lt;full-title&gt;BMJ quality &amp;amp; safety&lt;/full-title&gt;&lt;/periodical&gt;&lt;pages&gt;199-210&lt;/pages&gt;&lt;volume&gt;31&lt;/volume&gt;&lt;number&gt;3&lt;/number&gt;&lt;dates&gt;&lt;year&gt;2022&lt;/year&gt;&lt;/dates&gt;&lt;isbn&gt;2044-5415&lt;/isbn&gt;&lt;urls&gt;&lt;/urls&gt;&lt;/record&gt;&lt;/Cite&gt;&lt;/EndNote&gt;</w:instrText>
      </w:r>
      <w:r w:rsidR="002269BE" w:rsidRPr="002C21B8">
        <w:fldChar w:fldCharType="separate"/>
      </w:r>
      <w:r w:rsidR="002269BE" w:rsidRPr="002C21B8">
        <w:rPr>
          <w:noProof/>
        </w:rPr>
        <w:t>(Pandolfo</w:t>
      </w:r>
      <w:r w:rsidR="002269BE" w:rsidRPr="002C21B8">
        <w:rPr>
          <w:i/>
          <w:noProof/>
        </w:rPr>
        <w:t xml:space="preserve"> et al.</w:t>
      </w:r>
      <w:r w:rsidR="002269BE" w:rsidRPr="002C21B8">
        <w:rPr>
          <w:noProof/>
        </w:rPr>
        <w:t>, 2022)</w:t>
      </w:r>
      <w:r w:rsidR="002269BE" w:rsidRPr="002C21B8">
        <w:fldChar w:fldCharType="end"/>
      </w:r>
      <w:r w:rsidR="00D6623B" w:rsidRPr="002C21B8">
        <w:t xml:space="preserve">. </w:t>
      </w:r>
      <w:r w:rsidR="00DD7062" w:rsidRPr="002C21B8">
        <w:t xml:space="preserve">The effects of </w:t>
      </w:r>
      <w:r w:rsidR="0069117D" w:rsidRPr="002C21B8">
        <w:t>medication</w:t>
      </w:r>
      <w:r w:rsidR="00DD7062" w:rsidRPr="002C21B8">
        <w:t>s are often apparent quickly which provides immediate feedback to enable timely reassessment and modification of</w:t>
      </w:r>
      <w:r w:rsidR="00FB33CE" w:rsidRPr="002C21B8">
        <w:t xml:space="preserve"> the</w:t>
      </w:r>
      <w:r w:rsidR="00DD7062" w:rsidRPr="002C21B8">
        <w:t xml:space="preserve"> treatment regimen if required</w:t>
      </w:r>
      <w:r w:rsidR="002269BE" w:rsidRPr="002C21B8">
        <w:t xml:space="preserve"> </w:t>
      </w:r>
      <w:r w:rsidR="002269BE" w:rsidRPr="002C21B8">
        <w:fldChar w:fldCharType="begin"/>
      </w:r>
      <w:r w:rsidR="000215B0" w:rsidRPr="002C21B8">
        <w:instrText xml:space="preserve"> ADDIN EN.CITE &lt;EndNote&gt;&lt;Cite&gt;&lt;Author&gt;Rawson&lt;/Author&gt;&lt;Year&gt;2016&lt;/Year&gt;&lt;RecNum&gt;125337&lt;/RecNum&gt;&lt;DisplayText&gt;(Rawson&lt;style face="italic"&gt; et al.&lt;/style&gt;, 2016)&lt;/DisplayText&gt;&lt;record&gt;&lt;rec-number&gt;125337&lt;/rec-number&gt;&lt;foreign-keys&gt;&lt;key app="EN" db-id="xpefzwa5hf9dt2ea9fax95x7xvxz90v09dtf" timestamp="1775162354"&gt;125337&lt;/key&gt;&lt;/foreign-keys&gt;&lt;ref-type name="Journal Article"&gt;17&lt;/ref-type&gt;&lt;contributors&gt;&lt;authors&gt;&lt;author&gt;Rawson, Timothy Miles&lt;/author&gt;&lt;author&gt;Charani, Esmita&lt;/author&gt;&lt;author&gt;Moore, Luke Stephen Prockter&lt;/author&gt;&lt;author&gt;Hernandez, Bernard&lt;/author&gt;&lt;author&gt;Castro-Sánchez, Enrique&lt;/author&gt;&lt;author&gt;Herrero, Pau&lt;/author&gt;&lt;author&gt;Georgiou, Pantelis&lt;/author&gt;&lt;author&gt;Holmes, Alison Helen&lt;/author&gt;&lt;/authors&gt;&lt;/contributors&gt;&lt;titles&gt;&lt;title&gt;Mapping the decision pathways of acute infection management in secondary care among UK medical physicians: a qualitative study&lt;/title&gt;&lt;secondary-title&gt;BMC Medicine&lt;/secondary-title&gt;&lt;/titles&gt;&lt;periodical&gt;&lt;full-title&gt;BMC medicine&lt;/full-title&gt;&lt;/periodical&gt;&lt;pages&gt;208&lt;/pages&gt;&lt;volume&gt;14&lt;/volume&gt;&lt;number&gt;1&lt;/number&gt;&lt;dates&gt;&lt;year&gt;2016&lt;/year&gt;&lt;/dates&gt;&lt;isbn&gt;1741-7015&lt;/isbn&gt;&lt;urls&gt;&lt;/urls&gt;&lt;/record&gt;&lt;/Cite&gt;&lt;/EndNote&gt;</w:instrText>
      </w:r>
      <w:r w:rsidR="002269BE" w:rsidRPr="002C21B8">
        <w:fldChar w:fldCharType="separate"/>
      </w:r>
      <w:r w:rsidR="002269BE" w:rsidRPr="002C21B8">
        <w:rPr>
          <w:noProof/>
        </w:rPr>
        <w:t>(Rawson</w:t>
      </w:r>
      <w:r w:rsidR="002269BE" w:rsidRPr="002C21B8">
        <w:rPr>
          <w:i/>
          <w:noProof/>
        </w:rPr>
        <w:t xml:space="preserve"> et al.</w:t>
      </w:r>
      <w:r w:rsidR="002269BE" w:rsidRPr="002C21B8">
        <w:rPr>
          <w:noProof/>
        </w:rPr>
        <w:t>, 2016)</w:t>
      </w:r>
      <w:r w:rsidR="002269BE" w:rsidRPr="002C21B8">
        <w:fldChar w:fldCharType="end"/>
      </w:r>
      <w:r w:rsidR="00D6623B" w:rsidRPr="002C21B8">
        <w:t xml:space="preserve">. </w:t>
      </w:r>
      <w:r w:rsidR="00DD7062" w:rsidRPr="002C21B8">
        <w:t>Decisions are often made in time</w:t>
      </w:r>
      <w:r w:rsidR="0096316F" w:rsidRPr="002C21B8">
        <w:t>-</w:t>
      </w:r>
      <w:r w:rsidR="00DD7062" w:rsidRPr="002C21B8">
        <w:t xml:space="preserve">pressured environments with high workloads so clinicians often rely on </w:t>
      </w:r>
      <w:r w:rsidR="00FB33CE" w:rsidRPr="002C21B8">
        <w:t>‘</w:t>
      </w:r>
      <w:r w:rsidR="00DD7062" w:rsidRPr="002C21B8">
        <w:t>rules of thumb</w:t>
      </w:r>
      <w:r w:rsidR="00FB33CE" w:rsidRPr="002C21B8">
        <w:t>’</w:t>
      </w:r>
      <w:r w:rsidR="00DD7062" w:rsidRPr="002C21B8">
        <w:t xml:space="preserve">, clinical guidelines or empiric protocols </w:t>
      </w:r>
      <w:r w:rsidR="00DD7062" w:rsidRPr="002C21B8">
        <w:fldChar w:fldCharType="begin">
          <w:fldData xml:space="preserve">PEVuZE5vdGU+PENpdGU+PEF1dGhvcj5DaGFyYW5pPC9BdXRob3I+PFllYXI+MjAxMTwvWWVhcj48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</w:fldData>
        </w:fldChar>
      </w:r>
      <w:r w:rsidR="000215B0" w:rsidRPr="002C21B8">
        <w:instrText xml:space="preserve"> ADDIN EN.CITE </w:instrText>
      </w:r>
      <w:r w:rsidR="000215B0" w:rsidRPr="002C21B8">
        <w:fldChar w:fldCharType="begin">
          <w:fldData xml:space="preserve">PEVuZE5vdGU+PENpdGU+PEF1dGhvcj5DaGFyYW5pPC9BdXRob3I+PFllYXI+MjAxMTwvWWVhcj48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</w:fldData>
        </w:fldChar>
      </w:r>
      <w:r w:rsidR="000215B0" w:rsidRPr="002C21B8">
        <w:instrText xml:space="preserve"> ADDIN EN.CITE.DATA </w:instrText>
      </w:r>
      <w:r w:rsidR="000215B0" w:rsidRPr="002C21B8">
        <w:fldChar w:fldCharType="end"/>
      </w:r>
      <w:r w:rsidR="00DD7062" w:rsidRPr="002C21B8">
        <w:fldChar w:fldCharType="separate"/>
      </w:r>
      <w:r w:rsidR="00DD7062" w:rsidRPr="002C21B8">
        <w:rPr>
          <w:noProof/>
        </w:rPr>
        <w:t>(Charani</w:t>
      </w:r>
      <w:r w:rsidR="00DD7062" w:rsidRPr="002C21B8">
        <w:rPr>
          <w:i/>
          <w:noProof/>
        </w:rPr>
        <w:t xml:space="preserve"> et al.</w:t>
      </w:r>
      <w:r w:rsidR="00DD7062" w:rsidRPr="002C21B8">
        <w:rPr>
          <w:noProof/>
        </w:rPr>
        <w:t>, 2011; Rawson</w:t>
      </w:r>
      <w:r w:rsidR="00DD7062" w:rsidRPr="002C21B8">
        <w:rPr>
          <w:i/>
          <w:noProof/>
        </w:rPr>
        <w:t xml:space="preserve"> et al.</w:t>
      </w:r>
      <w:r w:rsidR="00DD7062" w:rsidRPr="002C21B8">
        <w:rPr>
          <w:noProof/>
        </w:rPr>
        <w:t>, 2016)</w:t>
      </w:r>
      <w:r w:rsidR="00DD7062" w:rsidRPr="002C21B8">
        <w:fldChar w:fldCharType="end"/>
      </w:r>
      <w:r w:rsidR="00DD7062" w:rsidRPr="002C21B8">
        <w:t xml:space="preserve">. </w:t>
      </w:r>
      <w:r w:rsidR="00B06DF6" w:rsidRPr="002C21B8">
        <w:t xml:space="preserve">The urgency of decision-making </w:t>
      </w:r>
      <w:r w:rsidR="00280FA0" w:rsidRPr="002C21B8">
        <w:t xml:space="preserve">in this context </w:t>
      </w:r>
      <w:r w:rsidR="00B06DF6" w:rsidRPr="002C21B8">
        <w:t xml:space="preserve">means that opportunities for formal shared decision-making </w:t>
      </w:r>
      <w:r w:rsidR="00FB33CE" w:rsidRPr="002C21B8">
        <w:t>can</w:t>
      </w:r>
      <w:r w:rsidR="00280FA0" w:rsidRPr="002C21B8">
        <w:t xml:space="preserve"> often</w:t>
      </w:r>
      <w:r w:rsidR="00FB33CE" w:rsidRPr="002C21B8">
        <w:t xml:space="preserve"> be</w:t>
      </w:r>
      <w:r w:rsidR="00B06DF6" w:rsidRPr="002C21B8">
        <w:t xml:space="preserve"> limited.</w:t>
      </w:r>
      <w:r w:rsidR="00280FA0" w:rsidRPr="002C21B8">
        <w:t xml:space="preserve"> Limited time can </w:t>
      </w:r>
      <w:r w:rsidR="00FB33CE" w:rsidRPr="002C21B8">
        <w:t xml:space="preserve">also increase the influence of </w:t>
      </w:r>
      <w:r w:rsidR="00B06DF6" w:rsidRPr="002C21B8">
        <w:t>patient requests</w:t>
      </w:r>
      <w:r w:rsidR="00280FA0" w:rsidRPr="002C21B8">
        <w:t xml:space="preserve"> as </w:t>
      </w:r>
      <w:r w:rsidR="00FB33CE" w:rsidRPr="002C21B8">
        <w:t xml:space="preserve">clinicians </w:t>
      </w:r>
      <w:r w:rsidR="00280FA0" w:rsidRPr="002C21B8">
        <w:t xml:space="preserve">may be </w:t>
      </w:r>
      <w:r w:rsidR="00FB33CE" w:rsidRPr="002C21B8">
        <w:t xml:space="preserve">more likely to initiate </w:t>
      </w:r>
      <w:r w:rsidR="0040251A" w:rsidRPr="002C21B8">
        <w:t xml:space="preserve">a </w:t>
      </w:r>
      <w:r w:rsidR="00C512BF" w:rsidRPr="002C21B8">
        <w:t>medication</w:t>
      </w:r>
      <w:r w:rsidR="00FB33CE" w:rsidRPr="002C21B8">
        <w:t xml:space="preserve"> to avoid </w:t>
      </w:r>
      <w:r w:rsidR="00B06DF6" w:rsidRPr="002C21B8">
        <w:t>prolonged negotiation</w:t>
      </w:r>
      <w:r w:rsidR="00FB33CE" w:rsidRPr="002C21B8">
        <w:t>,</w:t>
      </w:r>
      <w:r w:rsidR="00B06DF6" w:rsidRPr="002C21B8">
        <w:t xml:space="preserve"> even </w:t>
      </w:r>
      <w:r w:rsidR="00280FA0" w:rsidRPr="002C21B8">
        <w:t xml:space="preserve">if </w:t>
      </w:r>
      <w:r w:rsidR="00B06DF6" w:rsidRPr="002C21B8">
        <w:t xml:space="preserve">the clinical benefit is </w:t>
      </w:r>
      <w:r w:rsidR="00FB33CE" w:rsidRPr="002C21B8">
        <w:t>un</w:t>
      </w:r>
      <w:r w:rsidR="00B06DF6" w:rsidRPr="002C21B8">
        <w:t xml:space="preserve">certain </w:t>
      </w:r>
      <w:r w:rsidR="00B06DF6" w:rsidRPr="002C21B8">
        <w:fldChar w:fldCharType="begin"/>
      </w:r>
      <w:r w:rsidR="00CE4967" w:rsidRPr="002C21B8">
        <w:instrText xml:space="preserve"> ADDIN EN.CITE &lt;EndNote&gt;&lt;Cite&gt;&lt;Author&gt;Coenen&lt;/Author&gt;&lt;Year&gt;2006&lt;/Year&gt;&lt;RecNum&gt;125345&lt;/RecNum&gt;&lt;DisplayText&gt;(Coenen&lt;style face="italic"&gt; et al.&lt;/style&gt;, 2006)&lt;/DisplayText&gt;&lt;record&gt;&lt;rec-number&gt;125345&lt;/rec-number&gt;&lt;foreign-keys&gt;&lt;key app="EN" db-id="xpefzwa5hf9dt2ea9fax95x7xvxz90v09dtf" timestamp="1775200671"&gt;125345&lt;/key&gt;&lt;/foreign-keys&gt;&lt;ref-type name="Journal Article"&gt;17&lt;/ref-type&gt;&lt;contributors&gt;&lt;authors&gt;&lt;author&gt;Coenen, Samuel&lt;/author&gt;&lt;author&gt;Michiels, Barbara&lt;/author&gt;&lt;author&gt;Renard, Didier&lt;/author&gt;&lt;author&gt;Denekens, Joke&lt;/author&gt;&lt;author&gt;Van Royen, Paul&lt;/author&gt;&lt;/authors&gt;&lt;/contributors&gt;&lt;titles&gt;&lt;title&gt;Antibiotic prescribing for acute cough: the effect of perceived patient demand&lt;/title&gt;&lt;secondary-title&gt;British Journal of General Practice&lt;/secondary-title&gt;&lt;/titles&gt;&lt;periodical&gt;&lt;full-title&gt;British Journal of General Practice&lt;/full-title&gt;&lt;/periodical&gt;&lt;pages&gt;183&lt;/pages&gt;&lt;volume&gt;56&lt;/volume&gt;&lt;number&gt;524&lt;/number&gt;&lt;dates&gt;&lt;year&gt;2006&lt;/year&gt;&lt;/dates&gt;&lt;urls&gt;&lt;/urls&gt;&lt;/record&gt;&lt;/Cite&gt;&lt;/EndNote&gt;</w:instrText>
      </w:r>
      <w:r w:rsidR="00B06DF6" w:rsidRPr="002C21B8">
        <w:fldChar w:fldCharType="separate"/>
      </w:r>
      <w:r w:rsidR="00B06DF6" w:rsidRPr="002C21B8">
        <w:rPr>
          <w:noProof/>
        </w:rPr>
        <w:t>(Coenen</w:t>
      </w:r>
      <w:r w:rsidR="00B06DF6" w:rsidRPr="002C21B8">
        <w:rPr>
          <w:i/>
          <w:noProof/>
        </w:rPr>
        <w:t xml:space="preserve"> et al.</w:t>
      </w:r>
      <w:r w:rsidR="00B06DF6" w:rsidRPr="002C21B8">
        <w:rPr>
          <w:noProof/>
        </w:rPr>
        <w:t>, 2006)</w:t>
      </w:r>
      <w:r w:rsidR="00B06DF6" w:rsidRPr="002C21B8">
        <w:fldChar w:fldCharType="end"/>
      </w:r>
      <w:r w:rsidR="00B06DF6" w:rsidRPr="002C21B8">
        <w:t>.</w:t>
      </w:r>
    </w:p>
    <w:p w14:paraId="00F6402F" w14:textId="0737F67D" w:rsidR="00F92648" w:rsidRPr="002C21B8" w:rsidRDefault="00D6623B" w:rsidP="009B683C">
      <w:r w:rsidRPr="002C21B8">
        <w:lastRenderedPageBreak/>
        <w:t xml:space="preserve">In contrast, </w:t>
      </w:r>
      <w:r w:rsidR="009B683C" w:rsidRPr="002C21B8">
        <w:t xml:space="preserve">when </w:t>
      </w:r>
      <w:r w:rsidRPr="002C21B8">
        <w:t>prescribing</w:t>
      </w:r>
      <w:r w:rsidR="008D7401" w:rsidRPr="002C21B8">
        <w:t xml:space="preserve"> for chronic conditions</w:t>
      </w:r>
      <w:r w:rsidR="0096316F" w:rsidRPr="002C21B8">
        <w:t>,</w:t>
      </w:r>
      <w:r w:rsidR="009B683C" w:rsidRPr="002C21B8">
        <w:t xml:space="preserve"> the intention is </w:t>
      </w:r>
      <w:r w:rsidR="00FB33CE" w:rsidRPr="002C21B8">
        <w:t xml:space="preserve">often </w:t>
      </w:r>
      <w:r w:rsidR="009B683C" w:rsidRPr="002C21B8">
        <w:t xml:space="preserve">to slow disease progression, reduce the risk of future complications, and improve long-term outcomes or quality of life </w:t>
      </w:r>
      <w:r w:rsidR="00DD7062" w:rsidRPr="002C21B8">
        <w:fldChar w:fldCharType="begin"/>
      </w:r>
      <w:r w:rsidR="00FB33CE" w:rsidRPr="002C21B8">
        <w:instrText xml:space="preserve"> ADDIN EN.CITE &lt;EndNote&gt;&lt;Cite&gt;&lt;Author&gt;Department of Health and Social Care&lt;/Author&gt;&lt;Year&gt;2012&lt;/Year&gt;&lt;RecNum&gt;125344&lt;/RecNum&gt;&lt;DisplayText&gt;(Department of Health and Social Care, 2012)&lt;/DisplayText&gt;&lt;record&gt;&lt;rec-number&gt;125344&lt;/rec-number&gt;&lt;foreign-keys&gt;&lt;key app="EN" db-id="xpefzwa5hf9dt2ea9fax95x7xvxz90v09dtf" timestamp="1775199615"&gt;125344&lt;/key&gt;&lt;/foreign-keys&gt;&lt;ref-type name="Web Page"&gt;12&lt;/ref-type&gt;&lt;contributors&gt;&lt;authors&gt;&lt;author&gt;Department of Health and Social Care,&lt;/author&gt;&lt;/authors&gt;&lt;/contributors&gt;&lt;titles&gt;&lt;title&gt;Long term conditions compendium of information: Third edition&lt;/title&gt;&lt;/titles&gt;&lt;number&gt;03/04/2026)&lt;/number&gt;&lt;dates&gt;&lt;year&gt;2012&lt;/year&gt;&lt;/dates&gt;&lt;urls&gt;&lt;related-urls&gt;&lt;url&gt;https://assets.publishing.service.gov.uk/media/5a7c638340f0b62aff6c154e/dh_134486.pdf&lt;/url&gt;&lt;/related-urls&gt;&lt;/urls&gt;&lt;/record&gt;&lt;/Cite&gt;&lt;/EndNote&gt;</w:instrText>
      </w:r>
      <w:r w:rsidR="00DD7062" w:rsidRPr="002C21B8">
        <w:fldChar w:fldCharType="separate"/>
      </w:r>
      <w:r w:rsidR="00FB33CE" w:rsidRPr="002C21B8">
        <w:rPr>
          <w:noProof/>
        </w:rPr>
        <w:t>(Department of Health and Social Care, 2012)</w:t>
      </w:r>
      <w:r w:rsidR="00DD7062" w:rsidRPr="002C21B8">
        <w:fldChar w:fldCharType="end"/>
      </w:r>
      <w:r w:rsidR="009B683C" w:rsidRPr="002C21B8">
        <w:t xml:space="preserve">. </w:t>
      </w:r>
      <w:r w:rsidR="00EC42AD" w:rsidRPr="002C21B8">
        <w:t xml:space="preserve">The benefits of </w:t>
      </w:r>
      <w:r w:rsidR="00F17F59" w:rsidRPr="002C21B8">
        <w:t>medications</w:t>
      </w:r>
      <w:r w:rsidR="00EC42AD" w:rsidRPr="002C21B8">
        <w:t xml:space="preserve"> for chronic conditions are often less certain and realised over years rather than days</w:t>
      </w:r>
      <w:r w:rsidR="0096316F" w:rsidRPr="002C21B8">
        <w:t>,</w:t>
      </w:r>
      <w:r w:rsidR="00403B41" w:rsidRPr="002C21B8">
        <w:t xml:space="preserve"> whereas risks are much more apparent</w:t>
      </w:r>
      <w:r w:rsidR="00280FA0" w:rsidRPr="002C21B8">
        <w:t xml:space="preserve"> </w:t>
      </w:r>
      <w:r w:rsidR="00280FA0" w:rsidRPr="002C21B8">
        <w:fldChar w:fldCharType="begin"/>
      </w:r>
      <w:r w:rsidR="00280FA0" w:rsidRPr="002C21B8">
        <w:instrText xml:space="preserve"> ADDIN EN.CITE &lt;EndNote&gt;&lt;Cite&gt;&lt;Author&gt;Fried&lt;/Author&gt;&lt;Year&gt;2014&lt;/Year&gt;&lt;RecNum&gt;125580&lt;/RecNum&gt;&lt;DisplayText&gt;(Fried&lt;style face="italic"&gt; et al.&lt;/style&gt;, 2014)&lt;/DisplayText&gt;&lt;record&gt;&lt;rec-number&gt;125580&lt;/rec-number&gt;&lt;foreign-keys&gt;&lt;key app="EN" db-id="xpefzwa5hf9dt2ea9fax95x7xvxz90v09dtf" timestamp="1778315771"&gt;125580&lt;/key&gt;&lt;/foreign-keys&gt;&lt;ref-type name="Journal Article"&gt;17&lt;/ref-type&gt;&lt;contributors&gt;&lt;authors&gt;&lt;author&gt;Fried, Terri R&lt;/author&gt;&lt;author&gt;O’Leary, John&lt;/author&gt;&lt;author&gt;Towle, Virginia&lt;/author&gt;&lt;author&gt;Goldstein, Mary K&lt;/author&gt;&lt;author&gt;Trentelange, Mark&lt;/author&gt;&lt;author&gt;Martin, Deanna K&lt;/author&gt;&lt;/authors&gt;&lt;/contributors&gt;&lt;titles&gt;&lt;title&gt;The effects of comorbidity on the benefits and harms of treatment for chronic disease: a systematic review&lt;/title&gt;&lt;secondary-title&gt;PLOS One&lt;/secondary-title&gt;&lt;/titles&gt;&lt;periodical&gt;&lt;full-title&gt;PLoS ONE&lt;/full-title&gt;&lt;/periodical&gt;&lt;pages&gt;e112593&lt;/pages&gt;&lt;volume&gt;9&lt;/volume&gt;&lt;number&gt;11&lt;/number&gt;&lt;dates&gt;&lt;year&gt;2014&lt;/year&gt;&lt;/dates&gt;&lt;isbn&gt;1932-6203&lt;/isbn&gt;&lt;urls&gt;&lt;/urls&gt;&lt;/record&gt;&lt;/Cite&gt;&lt;/EndNote&gt;</w:instrText>
      </w:r>
      <w:r w:rsidR="00280FA0" w:rsidRPr="002C21B8">
        <w:fldChar w:fldCharType="separate"/>
      </w:r>
      <w:r w:rsidR="00280FA0" w:rsidRPr="002C21B8">
        <w:rPr>
          <w:noProof/>
        </w:rPr>
        <w:t>(Fried</w:t>
      </w:r>
      <w:r w:rsidR="00280FA0" w:rsidRPr="002C21B8">
        <w:rPr>
          <w:i/>
          <w:noProof/>
        </w:rPr>
        <w:t xml:space="preserve"> et al.</w:t>
      </w:r>
      <w:r w:rsidR="00280FA0" w:rsidRPr="002C21B8">
        <w:rPr>
          <w:noProof/>
        </w:rPr>
        <w:t>, 2014)</w:t>
      </w:r>
      <w:r w:rsidR="00280FA0" w:rsidRPr="002C21B8">
        <w:fldChar w:fldCharType="end"/>
      </w:r>
      <w:r w:rsidR="00EC42AD" w:rsidRPr="002C21B8">
        <w:t xml:space="preserve">. </w:t>
      </w:r>
      <w:r w:rsidR="00403B41" w:rsidRPr="002C21B8">
        <w:t>This is in part because these prescribing decisions frequently occur in the context of multimorbidity and polypharmacy which increase the cumulative risk</w:t>
      </w:r>
      <w:r w:rsidR="00FB33CE" w:rsidRPr="002C21B8">
        <w:t xml:space="preserve"> when prescribing </w:t>
      </w:r>
      <w:r w:rsidR="004077F5" w:rsidRPr="002C21B8">
        <w:t>medication</w:t>
      </w:r>
      <w:r w:rsidR="00FB33CE" w:rsidRPr="002C21B8">
        <w:t>s</w:t>
      </w:r>
      <w:r w:rsidR="00403B41" w:rsidRPr="002C21B8">
        <w:t xml:space="preserve"> </w:t>
      </w:r>
      <w:r w:rsidR="00403B41" w:rsidRPr="002C21B8">
        <w:fldChar w:fldCharType="begin">
          <w:fldData xml:space="preserve">PEVuZE5vdGU+PENpdGU+PEF1dGhvcj5OaWNob2xzb248L0F1dGhvcj48WWVhcj4yMDI0PC9ZZWFy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</w:fldData>
        </w:fldChar>
      </w:r>
      <w:r w:rsidR="00280FA0" w:rsidRPr="002C21B8">
        <w:instrText xml:space="preserve"> ADDIN EN.CITE </w:instrText>
      </w:r>
      <w:r w:rsidR="00280FA0" w:rsidRPr="002C21B8">
        <w:fldChar w:fldCharType="begin">
          <w:fldData xml:space="preserve">PEVuZE5vdGU+PENpdGU+PEF1dGhvcj5OaWNob2xzb248L0F1dGhvcj48WWVhcj4yMDI0PC9ZZWFy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</w:fldData>
        </w:fldChar>
      </w:r>
      <w:r w:rsidR="00280FA0" w:rsidRPr="002C21B8">
        <w:instrText xml:space="preserve"> ADDIN EN.CITE.DATA </w:instrText>
      </w:r>
      <w:r w:rsidR="00280FA0" w:rsidRPr="002C21B8">
        <w:fldChar w:fldCharType="end"/>
      </w:r>
      <w:r w:rsidR="00403B41" w:rsidRPr="002C21B8">
        <w:fldChar w:fldCharType="separate"/>
      </w:r>
      <w:r w:rsidR="00280FA0" w:rsidRPr="002C21B8">
        <w:rPr>
          <w:noProof/>
        </w:rPr>
        <w:t>(Fried</w:t>
      </w:r>
      <w:r w:rsidR="00280FA0" w:rsidRPr="002C21B8">
        <w:rPr>
          <w:i/>
          <w:noProof/>
        </w:rPr>
        <w:t xml:space="preserve"> et al.</w:t>
      </w:r>
      <w:r w:rsidR="00280FA0" w:rsidRPr="002C21B8">
        <w:rPr>
          <w:noProof/>
        </w:rPr>
        <w:t>, 2014; Nicholson</w:t>
      </w:r>
      <w:r w:rsidR="00280FA0" w:rsidRPr="002C21B8">
        <w:rPr>
          <w:i/>
          <w:noProof/>
        </w:rPr>
        <w:t xml:space="preserve"> et al.</w:t>
      </w:r>
      <w:r w:rsidR="00280FA0" w:rsidRPr="002C21B8">
        <w:rPr>
          <w:noProof/>
        </w:rPr>
        <w:t>, 2024)</w:t>
      </w:r>
      <w:r w:rsidR="00403B41" w:rsidRPr="002C21B8">
        <w:fldChar w:fldCharType="end"/>
      </w:r>
      <w:r w:rsidR="00403B41" w:rsidRPr="002C21B8">
        <w:t xml:space="preserve">. These factors can combine </w:t>
      </w:r>
      <w:r w:rsidR="00FB33CE" w:rsidRPr="002C21B8">
        <w:t xml:space="preserve">to </w:t>
      </w:r>
      <w:r w:rsidR="00403B41" w:rsidRPr="002C21B8">
        <w:t>reduc</w:t>
      </w:r>
      <w:r w:rsidR="00FB33CE" w:rsidRPr="002C21B8">
        <w:t>e</w:t>
      </w:r>
      <w:r w:rsidR="00403B41" w:rsidRPr="002C21B8">
        <w:t xml:space="preserve"> the </w:t>
      </w:r>
      <w:r w:rsidR="00EC42AD" w:rsidRPr="002C21B8">
        <w:t xml:space="preserve">perceived urgency to initiate </w:t>
      </w:r>
      <w:r w:rsidR="00AA6C5C" w:rsidRPr="002C21B8">
        <w:t>a medication</w:t>
      </w:r>
      <w:r w:rsidR="00EC42AD" w:rsidRPr="002C21B8">
        <w:t xml:space="preserve"> and </w:t>
      </w:r>
      <w:r w:rsidR="00A04B4C" w:rsidRPr="002C21B8">
        <w:t>c</w:t>
      </w:r>
      <w:r w:rsidR="00EC42AD" w:rsidRPr="002C21B8">
        <w:t xml:space="preserve">ontribute to clinical inertia which </w:t>
      </w:r>
      <w:r w:rsidR="00A04B4C" w:rsidRPr="002C21B8">
        <w:t>can</w:t>
      </w:r>
      <w:r w:rsidR="00F92648" w:rsidRPr="002C21B8">
        <w:t xml:space="preserve"> be</w:t>
      </w:r>
      <w:r w:rsidR="00A04B4C" w:rsidRPr="002C21B8">
        <w:t xml:space="preserve"> </w:t>
      </w:r>
      <w:r w:rsidR="00EC42AD" w:rsidRPr="002C21B8">
        <w:t xml:space="preserve">described as the </w:t>
      </w:r>
      <w:r w:rsidR="00EC42AD" w:rsidRPr="003F3DC3">
        <w:rPr>
          <w:i/>
          <w:iCs/>
        </w:rPr>
        <w:t>“recognition of a problem, but failure to act”</w:t>
      </w:r>
      <w:r w:rsidR="00EC42AD" w:rsidRPr="002C21B8">
        <w:t xml:space="preserve"> </w:t>
      </w:r>
      <w:r w:rsidR="00A04B4C" w:rsidRPr="002C21B8">
        <w:fldChar w:fldCharType="begin"/>
      </w:r>
      <w:r w:rsidR="000215B0" w:rsidRPr="002C21B8">
        <w:instrText xml:space="preserve"> ADDIN EN.CITE &lt;EndNote&gt;&lt;Cite&gt;&lt;Author&gt;Phillips&lt;/Author&gt;&lt;Year&gt;2001&lt;/Year&gt;&lt;RecNum&gt;101027&lt;/RecNum&gt;&lt;DisplayText&gt;(Phillips&lt;style face="italic"&gt; et al.&lt;/style&gt;, 2001)&lt;/DisplayText&gt;&lt;record&gt;&lt;rec-number&gt;101027&lt;/rec-number&gt;&lt;foreign-keys&gt;&lt;key app="EN" db-id="xpefzwa5hf9dt2ea9fax95x7xvxz90v09dtf" timestamp="1728561513"&gt;101027&lt;/key&gt;&lt;/foreign-keys&gt;&lt;ref-type name="Journal Article"&gt;17&lt;/ref-type&gt;&lt;contributors&gt;&lt;authors&gt;&lt;author&gt;Phillips, Lawrence S&lt;/author&gt;&lt;author&gt;Branch Jr, William T&lt;/author&gt;&lt;author&gt;Cook, Curtiss B&lt;/author&gt;&lt;author&gt;Doyle, Joyce P&lt;/author&gt;&lt;author&gt;El-Kebbi, Imad M&lt;/author&gt;&lt;author&gt;Gallina, Daniel L&lt;/author&gt;&lt;author&gt;Miller, Christopher D&lt;/author&gt;&lt;author&gt;Ziemer, David C&lt;/author&gt;&lt;author&gt;Barnes, Catherine S&lt;/author&gt;&lt;/authors&gt;&lt;/contributors&gt;&lt;titles&gt;&lt;title&gt;Clinical inertia&lt;/title&gt;&lt;secondary-title&gt;Annals of Internal Medicine&lt;/secondary-title&gt;&lt;/titles&gt;&lt;periodical&gt;&lt;full-title&gt;Annals of internal medicine&lt;/full-title&gt;&lt;/periodical&gt;&lt;pages&gt;825-834&lt;/pages&gt;&lt;volume&gt;135&lt;/volume&gt;&lt;number&gt;9&lt;/number&gt;&lt;dates&gt;&lt;year&gt;2001&lt;/year&gt;&lt;/dates&gt;&lt;isbn&gt;0003-4819&lt;/isbn&gt;&lt;urls&gt;&lt;/urls&gt;&lt;/record&gt;&lt;/Cite&gt;&lt;/EndNote&gt;</w:instrText>
      </w:r>
      <w:r w:rsidR="00A04B4C" w:rsidRPr="002C21B8">
        <w:fldChar w:fldCharType="separate"/>
      </w:r>
      <w:r w:rsidR="00A04B4C" w:rsidRPr="002C21B8">
        <w:rPr>
          <w:noProof/>
        </w:rPr>
        <w:t>(Phillips</w:t>
      </w:r>
      <w:r w:rsidR="00A04B4C" w:rsidRPr="002C21B8">
        <w:rPr>
          <w:i/>
          <w:noProof/>
        </w:rPr>
        <w:t xml:space="preserve"> et al.</w:t>
      </w:r>
      <w:r w:rsidR="00A04B4C" w:rsidRPr="002C21B8">
        <w:rPr>
          <w:noProof/>
        </w:rPr>
        <w:t>, 2001)</w:t>
      </w:r>
      <w:r w:rsidR="00A04B4C" w:rsidRPr="002C21B8">
        <w:fldChar w:fldCharType="end"/>
      </w:r>
      <w:r w:rsidR="00EC42AD" w:rsidRPr="002C21B8">
        <w:t>.</w:t>
      </w:r>
      <w:r w:rsidR="00F92648" w:rsidRPr="002C21B8">
        <w:t xml:space="preserve"> </w:t>
      </w:r>
      <w:r w:rsidR="00FB33CE" w:rsidRPr="002C21B8">
        <w:t xml:space="preserve">An example in nephrology would be </w:t>
      </w:r>
      <w:r w:rsidR="00A22EB8" w:rsidRPr="002C21B8">
        <w:t>recognising that a patient has progressive chronic kidney disease and indications for treatment initiation (e.g. renal-angiotensin system blockade)</w:t>
      </w:r>
      <w:r w:rsidR="00FB33CE" w:rsidRPr="002C21B8">
        <w:t>,</w:t>
      </w:r>
      <w:r w:rsidR="00A22EB8" w:rsidRPr="002C21B8">
        <w:t xml:space="preserve"> but </w:t>
      </w:r>
      <w:r w:rsidR="00FB33CE" w:rsidRPr="002C21B8">
        <w:t xml:space="preserve">the prescription of an appropriate </w:t>
      </w:r>
      <w:r w:rsidR="00AA6C5C" w:rsidRPr="002C21B8">
        <w:t>medication</w:t>
      </w:r>
      <w:r w:rsidR="00FB33CE" w:rsidRPr="002C21B8">
        <w:t xml:space="preserve"> is either</w:t>
      </w:r>
      <w:r w:rsidR="00A22EB8" w:rsidRPr="002C21B8">
        <w:t xml:space="preserve"> delayed or not undertaken</w:t>
      </w:r>
      <w:r w:rsidR="007113EF" w:rsidRPr="002C21B8">
        <w:t xml:space="preserve">. </w:t>
      </w:r>
      <w:r w:rsidRPr="002C21B8">
        <w:t xml:space="preserve">This </w:t>
      </w:r>
      <w:r w:rsidR="00F92648" w:rsidRPr="002C21B8">
        <w:t xml:space="preserve">effect may be amplified when evidence is limited, implementation is complex or there are </w:t>
      </w:r>
      <w:r w:rsidR="00FB33CE" w:rsidRPr="002C21B8">
        <w:t>high</w:t>
      </w:r>
      <w:r w:rsidR="0096316F" w:rsidRPr="002C21B8">
        <w:t>-</w:t>
      </w:r>
      <w:r w:rsidR="00FB33CE" w:rsidRPr="002C21B8">
        <w:t>intensity</w:t>
      </w:r>
      <w:r w:rsidR="00F92648" w:rsidRPr="002C21B8">
        <w:t xml:space="preserve"> monitoring requirements </w:t>
      </w:r>
      <w:r w:rsidR="00F92648" w:rsidRPr="002C21B8">
        <w:fldChar w:fldCharType="begin"/>
      </w:r>
      <w:r w:rsidR="00731A52" w:rsidRPr="002C21B8">
        <w:instrText xml:space="preserve"> ADDIN EN.CITE &lt;EndNote&gt;&lt;Cite&gt;&lt;Author&gt;Mair&lt;/Author&gt;&lt;Year&gt;2014&lt;/Year&gt;&lt;RecNum&gt;125342&lt;/RecNum&gt;&lt;DisplayText&gt;(Mair and May, 2014)&lt;/DisplayText&gt;&lt;record&gt;&lt;rec-number&gt;125342&lt;/rec-number&gt;&lt;foreign-keys&gt;&lt;key app="EN" db-id="xpefzwa5hf9dt2ea9fax95x7xvxz90v09dtf" timestamp="1775197392"&gt;125342&lt;/key&gt;&lt;/foreign-keys&gt;&lt;ref-type name="Journal Article"&gt;17&lt;/ref-type&gt;&lt;contributors&gt;&lt;authors&gt;&lt;author&gt;Mair, Frances S&lt;/author&gt;&lt;author&gt;May, Carl R&lt;/author&gt;&lt;/authors&gt;&lt;/contributors&gt;&lt;titles&gt;&lt;title&gt;Thinking about the burden of treatment&lt;/title&gt;&lt;secondary-title&gt;BMJ&lt;/secondary-title&gt;&lt;/titles&gt;&lt;periodical&gt;&lt;full-title&gt;BMJ&lt;/full-title&gt;&lt;/periodical&gt;&lt;pages&gt;g6680&lt;/pages&gt;&lt;volume&gt;349&lt;/volume&gt;&lt;dates&gt;&lt;year&gt;2014&lt;/year&gt;&lt;/dates&gt;&lt;isbn&gt;1756-1833&lt;/isbn&gt;&lt;urls&gt;&lt;/urls&gt;&lt;/record&gt;&lt;/Cite&gt;&lt;/EndNote&gt;</w:instrText>
      </w:r>
      <w:r w:rsidR="00F92648" w:rsidRPr="002C21B8">
        <w:fldChar w:fldCharType="separate"/>
      </w:r>
      <w:r w:rsidR="00F92648" w:rsidRPr="002C21B8">
        <w:rPr>
          <w:noProof/>
        </w:rPr>
        <w:t>(Mair and May, 2014)</w:t>
      </w:r>
      <w:r w:rsidR="00F92648" w:rsidRPr="002C21B8">
        <w:fldChar w:fldCharType="end"/>
      </w:r>
      <w:r w:rsidR="00F92648" w:rsidRPr="002C21B8">
        <w:t xml:space="preserve">. </w:t>
      </w:r>
      <w:r w:rsidR="001D307C" w:rsidRPr="002C21B8">
        <w:t xml:space="preserve">It also tends to involve </w:t>
      </w:r>
      <w:r w:rsidR="00FB33CE" w:rsidRPr="002C21B8">
        <w:t>more</w:t>
      </w:r>
      <w:r w:rsidR="001D307C" w:rsidRPr="002C21B8">
        <w:t xml:space="preserve"> shared decision-making </w:t>
      </w:r>
      <w:r w:rsidR="00FB33CE" w:rsidRPr="002C21B8">
        <w:t xml:space="preserve">than prescribing for acute conditions </w:t>
      </w:r>
      <w:r w:rsidR="001D307C" w:rsidRPr="002C21B8">
        <w:t>with patient</w:t>
      </w:r>
      <w:r w:rsidR="00FB33CE" w:rsidRPr="002C21B8">
        <w:t xml:space="preserve"> perspectives and expectations</w:t>
      </w:r>
      <w:r w:rsidR="001D307C" w:rsidRPr="002C21B8">
        <w:t xml:space="preserve"> being more actively </w:t>
      </w:r>
      <w:r w:rsidR="00FB33CE" w:rsidRPr="002C21B8">
        <w:t>considered</w:t>
      </w:r>
      <w:r w:rsidR="0096316F" w:rsidRPr="002C21B8">
        <w:t>,</w:t>
      </w:r>
      <w:r w:rsidR="00FB33CE" w:rsidRPr="002C21B8">
        <w:t xml:space="preserve"> given the need for </w:t>
      </w:r>
      <w:r w:rsidR="001D307C" w:rsidRPr="002C21B8">
        <w:t xml:space="preserve">long-term adherence to achieve </w:t>
      </w:r>
      <w:r w:rsidR="00FB33CE" w:rsidRPr="002C21B8">
        <w:t xml:space="preserve">treatment </w:t>
      </w:r>
      <w:r w:rsidR="001D307C" w:rsidRPr="002C21B8">
        <w:t xml:space="preserve">benefits </w:t>
      </w:r>
      <w:r w:rsidR="00F92648" w:rsidRPr="002C21B8">
        <w:fldChar w:fldCharType="begin"/>
      </w:r>
      <w:r w:rsidR="00F92648" w:rsidRPr="002C21B8">
        <w:instrText xml:space="preserve"> ADDIN EN.CITE &lt;EndNote&gt;&lt;Cite&gt;&lt;Author&gt;Ward&lt;/Author&gt;&lt;Year&gt;2020&lt;/Year&gt;&lt;RecNum&gt;125343&lt;/RecNum&gt;&lt;DisplayText&gt;(Ward&lt;style face="italic"&gt; et al.&lt;/style&gt;, 2020)&lt;/DisplayText&gt;&lt;record&gt;&lt;rec-number&gt;125343&lt;/rec-number&gt;&lt;foreign-keys&gt;&lt;key app="EN" db-id="xpefzwa5hf9dt2ea9fax95x7xvxz90v09dtf" timestamp="1775197520"&gt;125343&lt;/key&gt;&lt;/foreign-keys&gt;&lt;ref-type name="Journal Article"&gt;17&lt;/ref-type&gt;&lt;contributors&gt;&lt;authors&gt;&lt;author&gt;Ward, Joel&lt;/author&gt;&lt;author&gt;Kalsi, Dilraj&lt;/author&gt;&lt;author&gt;Barnett, Nina&lt;/author&gt;&lt;author&gt;Fulford, Bill KWM&lt;/author&gt;&lt;author&gt;Handa, Ashok&lt;/author&gt;&lt;/authors&gt;&lt;/contributors&gt;&lt;titles&gt;&lt;title&gt;Shared decision making in chronic medication use: scenarios depicting exemplary care&lt;/title&gt;&lt;secondary-title&gt;Research in Social and Administrative Pharmacy&lt;/secondary-title&gt;&lt;/titles&gt;&lt;periodical&gt;&lt;full-title&gt;Research in Social and Administrative Pharmacy&lt;/full-title&gt;&lt;/periodical&gt;&lt;pages&gt;108-110&lt;/pages&gt;&lt;volume&gt;16&lt;/volume&gt;&lt;number&gt;1&lt;/number&gt;&lt;dates&gt;&lt;year&gt;2020&lt;/year&gt;&lt;/dates&gt;&lt;isbn&gt;1551-7411&lt;/isbn&gt;&lt;urls&gt;&lt;/urls&gt;&lt;/record&gt;&lt;/Cite&gt;&lt;/EndNote&gt;</w:instrText>
      </w:r>
      <w:r w:rsidR="00F92648" w:rsidRPr="002C21B8">
        <w:fldChar w:fldCharType="separate"/>
      </w:r>
      <w:r w:rsidR="00F92648" w:rsidRPr="002C21B8">
        <w:t>(Ward</w:t>
      </w:r>
      <w:r w:rsidR="00F92648" w:rsidRPr="002C21B8">
        <w:rPr>
          <w:i/>
        </w:rPr>
        <w:t xml:space="preserve"> et al.</w:t>
      </w:r>
      <w:r w:rsidR="00F92648" w:rsidRPr="002C21B8">
        <w:t>, 2020)</w:t>
      </w:r>
      <w:r w:rsidR="00F92648" w:rsidRPr="002C21B8">
        <w:fldChar w:fldCharType="end"/>
      </w:r>
      <w:r w:rsidR="001D307C" w:rsidRPr="002C21B8">
        <w:t>.</w:t>
      </w:r>
    </w:p>
    <w:p w14:paraId="6559CCCB" w14:textId="15EFD108" w:rsidR="00D6623B" w:rsidRPr="002C21B8" w:rsidRDefault="00910281" w:rsidP="00910281">
      <w:r w:rsidRPr="002C21B8">
        <w:t xml:space="preserve">These differences suggest that theories and conceptual models of prescribing developed in general or based on acute conditions may not fully </w:t>
      </w:r>
      <w:r w:rsidR="002108FB" w:rsidRPr="002C21B8">
        <w:t>take into account</w:t>
      </w:r>
      <w:r w:rsidRPr="002C21B8">
        <w:t xml:space="preserve"> the factors influencing prescribing for chronic conditions.</w:t>
      </w:r>
    </w:p>
    <w:p w14:paraId="60CB280F" w14:textId="4D9ABC69" w:rsidR="0036794C" w:rsidRPr="002C21B8" w:rsidRDefault="00553884" w:rsidP="00581663">
      <w:pPr>
        <w:pStyle w:val="Heading2"/>
      </w:pPr>
      <w:bookmarkStart w:id="42" w:name="_Rare_diseases_add"/>
      <w:bookmarkStart w:id="43" w:name="_Toc229687204"/>
      <w:bookmarkEnd w:id="42"/>
      <w:r w:rsidRPr="002C21B8">
        <w:t>Rare diseases add an additional layer of complexity in prescribing</w:t>
      </w:r>
      <w:bookmarkEnd w:id="43"/>
    </w:p>
    <w:p w14:paraId="7B8881DC" w14:textId="249D09C4" w:rsidR="00B77266" w:rsidRPr="002C21B8" w:rsidRDefault="002400B3" w:rsidP="00553884">
      <w:r w:rsidRPr="002C21B8">
        <w:t xml:space="preserve">As discussed in </w:t>
      </w:r>
      <w:hyperlink w:anchor="_Rare_diseases:_definitions," w:history="1">
        <w:r w:rsidRPr="002C21B8">
          <w:rPr>
            <w:rStyle w:val="Hyperlink"/>
          </w:rPr>
          <w:t>Section 2.2</w:t>
        </w:r>
      </w:hyperlink>
      <w:r w:rsidRPr="002C21B8">
        <w:t>, r</w:t>
      </w:r>
      <w:r w:rsidR="00F270A2" w:rsidRPr="002C21B8">
        <w:t>are disease</w:t>
      </w:r>
      <w:r w:rsidR="00B77266" w:rsidRPr="002C21B8">
        <w:t>s</w:t>
      </w:r>
      <w:r w:rsidR="00FB33CE" w:rsidRPr="002C21B8">
        <w:t xml:space="preserve"> are a diverse group of </w:t>
      </w:r>
      <w:r w:rsidRPr="002C21B8">
        <w:t>typically</w:t>
      </w:r>
      <w:r w:rsidR="00FB33CE" w:rsidRPr="002C21B8">
        <w:t xml:space="preserve"> chronic conditions that can</w:t>
      </w:r>
      <w:r w:rsidR="00B77266" w:rsidRPr="002C21B8">
        <w:t xml:space="preserve"> </w:t>
      </w:r>
      <w:r w:rsidR="0045524C" w:rsidRPr="002C21B8">
        <w:t xml:space="preserve">introduce additional challenges for prescribing due to their </w:t>
      </w:r>
      <w:r w:rsidR="00B77266" w:rsidRPr="002C21B8">
        <w:t xml:space="preserve">low prevalence, disease heterogeneity, </w:t>
      </w:r>
      <w:r w:rsidR="0045524C" w:rsidRPr="002C21B8">
        <w:t xml:space="preserve">and </w:t>
      </w:r>
      <w:r w:rsidR="00B77266" w:rsidRPr="002C21B8">
        <w:t xml:space="preserve">limited evidence base. </w:t>
      </w:r>
      <w:r w:rsidR="00FB33CE" w:rsidRPr="002C21B8">
        <w:t>C</w:t>
      </w:r>
      <w:r w:rsidR="0045524C" w:rsidRPr="002C21B8">
        <w:t xml:space="preserve">linicians often have less experience managing these conditions which increases uncertainty and </w:t>
      </w:r>
      <w:r w:rsidR="00FB33CE" w:rsidRPr="002C21B8">
        <w:t xml:space="preserve">can </w:t>
      </w:r>
      <w:r w:rsidR="0045524C" w:rsidRPr="002C21B8">
        <w:t xml:space="preserve">contribute to greater variation in prescribing practices </w:t>
      </w:r>
      <w:r w:rsidR="0045524C" w:rsidRPr="002C21B8">
        <w:fldChar w:fldCharType="begin"/>
      </w:r>
      <w:r w:rsidR="000215B0" w:rsidRPr="002C21B8">
        <w:instrText xml:space="preserve"> ADDIN EN.CITE &lt;EndNote&gt;&lt;Cite&gt;&lt;Author&gt;Phillips&lt;/Author&gt;&lt;Year&gt;2024&lt;/Year&gt;&lt;RecNum&gt;125306&lt;/RecNum&gt;&lt;DisplayText&gt;(Phillips&lt;style face="italic"&gt; et al.&lt;/style&gt;, 2024)&lt;/DisplayText&gt;&lt;record&gt;&lt;rec-number&gt;125306&lt;/rec-number&gt;&lt;foreign-keys&gt;&lt;key app="EN" db-id="xpefzwa5hf9dt2ea9fax95x7xvxz90v09dtf" timestamp="1774985012"&gt;125306&lt;/key&gt;&lt;/foreign-keys&gt;&lt;ref-type name="Journal Article"&gt;17&lt;/ref-type&gt;&lt;contributors&gt;&lt;authors&gt;&lt;author&gt;Phillips, Christine&lt;/author&gt;&lt;author&gt;Parkinson, Anne&lt;/author&gt;&lt;author&gt;Namsrai, Tergel&lt;/author&gt;&lt;author&gt;Chalmers, Anita&lt;/author&gt;&lt;author&gt;Dews, Carolyn&lt;/author&gt;&lt;author&gt;Gregory, Dianne&lt;/author&gt;&lt;author&gt;Kelly, Elaine&lt;/author&gt;&lt;author&gt;Lowe, Christine&lt;/author&gt;&lt;author&gt;Desborough, Jane&lt;/author&gt;&lt;/authors&gt;&lt;/contributors&gt;&lt;titles&gt;&lt;title&gt;Time to diagnosis for a rare disease: managing medical uncertainty. A qualitative study&lt;/title&gt;&lt;secondary-title&gt;Orphanet Journal of Rare Diseases&lt;/secondary-title&gt;&lt;/titles&gt;&lt;periodical&gt;&lt;full-title&gt;Orphanet Journal of Rare Diseases&lt;/full-title&gt;&lt;/periodical&gt;&lt;pages&gt;297&lt;/pages&gt;&lt;volume&gt;19&lt;/volume&gt;&lt;number&gt;1&lt;/number&gt;&lt;dates&gt;&lt;year&gt;2024&lt;/year&gt;&lt;/dates&gt;&lt;isbn&gt;1750-1172&lt;/isbn&gt;&lt;urls&gt;&lt;/urls&gt;&lt;/record&gt;&lt;/Cite&gt;&lt;/EndNote&gt;</w:instrText>
      </w:r>
      <w:r w:rsidR="0045524C" w:rsidRPr="002C21B8">
        <w:fldChar w:fldCharType="separate"/>
      </w:r>
      <w:r w:rsidR="0045524C" w:rsidRPr="002C21B8">
        <w:rPr>
          <w:noProof/>
        </w:rPr>
        <w:t>(Phillips</w:t>
      </w:r>
      <w:r w:rsidR="0045524C" w:rsidRPr="002C21B8">
        <w:rPr>
          <w:i/>
          <w:noProof/>
        </w:rPr>
        <w:t xml:space="preserve"> et al.</w:t>
      </w:r>
      <w:r w:rsidR="0045524C" w:rsidRPr="002C21B8">
        <w:rPr>
          <w:noProof/>
        </w:rPr>
        <w:t>, 2024)</w:t>
      </w:r>
      <w:r w:rsidR="0045524C" w:rsidRPr="002C21B8">
        <w:fldChar w:fldCharType="end"/>
      </w:r>
      <w:r w:rsidR="0045524C" w:rsidRPr="002C21B8">
        <w:t>.</w:t>
      </w:r>
      <w:r w:rsidR="00041B46" w:rsidRPr="002C21B8">
        <w:t xml:space="preserve"> </w:t>
      </w:r>
      <w:r w:rsidR="005513D9" w:rsidRPr="002C21B8">
        <w:t>Prescribing decisions in rare diseases are particularly high</w:t>
      </w:r>
      <w:r w:rsidR="00C51EBC" w:rsidRPr="002C21B8">
        <w:t>-</w:t>
      </w:r>
      <w:r w:rsidR="005513D9" w:rsidRPr="002C21B8">
        <w:t xml:space="preserve">stakes due to </w:t>
      </w:r>
      <w:r w:rsidRPr="002C21B8">
        <w:t xml:space="preserve">potential </w:t>
      </w:r>
      <w:r w:rsidR="005513D9" w:rsidRPr="002C21B8">
        <w:t>clinical and economic consequences</w:t>
      </w:r>
      <w:r w:rsidR="00FC5F2A" w:rsidRPr="002C21B8">
        <w:t xml:space="preserve"> </w:t>
      </w:r>
      <w:r w:rsidR="00FC5F2A" w:rsidRPr="002C21B8">
        <w:rPr>
          <w:color w:val="202124"/>
          <w:shd w:val="clear" w:color="auto" w:fill="FFFFFF"/>
        </w:rPr>
        <w:fldChar w:fldCharType="begin"/>
      </w:r>
      <w:r w:rsidR="00FC5F2A" w:rsidRPr="002C21B8">
        <w:rPr>
          <w:color w:val="202124"/>
          <w:shd w:val="clear" w:color="auto" w:fill="FFFFFF"/>
        </w:rPr>
        <w:instrText xml:space="preserve"> ADDIN EN.CITE &lt;EndNote&gt;&lt;Cite&gt;&lt;Author&gt;López-Bastida&lt;/Author&gt;&lt;Year&gt;2016&lt;/Year&gt;&lt;RecNum&gt;5242&lt;/RecNum&gt;&lt;DisplayText&gt;(López-Bastida&lt;style face="italic"&gt; et al.&lt;/style&gt;, 2016)&lt;/DisplayText&gt;&lt;record&gt;&lt;rec-number&gt;5242&lt;/rec-number&gt;&lt;foreign-keys&gt;&lt;key app="EN" db-id="xpefzwa5hf9dt2ea9fax95x7xvxz90v09dtf" timestamp="1701093318"&gt;5242&lt;/key&gt;&lt;/foreign-keys&gt;&lt;ref-type name="Journal Article"&gt;17&lt;/ref-type&gt;&lt;contributors&gt;&lt;authors&gt;&lt;author&gt;López-Bastida, Julio&lt;/author&gt;&lt;author&gt;Oliva-Moreno, Juan&lt;/author&gt;&lt;author&gt;Linertová, Renata&lt;/author&gt;&lt;author&gt;Serrano-Aguilar, Pedro&lt;/author&gt;&lt;/authors&gt;&lt;/contributors&gt;&lt;titles&gt;&lt;title&gt;Social/economic costs and health-related quality of life in patients with rare diseases in Europe&lt;/title&gt;&lt;secondary-title&gt;The European Journal of Health Economics&lt;/secondary-title&gt;&lt;/titles&gt;&lt;periodical&gt;&lt;full-title&gt;The European Journal of Health Economics&lt;/full-title&gt;&lt;/periodical&gt;&lt;pages&gt;1-5&lt;/pages&gt;&lt;volume&gt;17&lt;/volume&gt;&lt;number&gt;Suppl 1&lt;/number&gt;&lt;dates&gt;&lt;year&gt;2016&lt;/year&gt;&lt;/dates&gt;&lt;isbn&gt;1618-7598&lt;/isbn&gt;&lt;urls&gt;&lt;/urls&gt;&lt;/record&gt;&lt;/Cite&gt;&lt;/EndNote&gt;</w:instrText>
      </w:r>
      <w:r w:rsidR="00FC5F2A" w:rsidRPr="002C21B8">
        <w:rPr>
          <w:color w:val="202124"/>
          <w:shd w:val="clear" w:color="auto" w:fill="FFFFFF"/>
        </w:rPr>
        <w:fldChar w:fldCharType="separate"/>
      </w:r>
      <w:r w:rsidR="00FC5F2A" w:rsidRPr="002C21B8">
        <w:rPr>
          <w:color w:val="202124"/>
          <w:shd w:val="clear" w:color="auto" w:fill="FFFFFF"/>
        </w:rPr>
        <w:t>(López-Bastida</w:t>
      </w:r>
      <w:r w:rsidR="00FC5F2A" w:rsidRPr="002C21B8">
        <w:rPr>
          <w:i/>
          <w:color w:val="202124"/>
          <w:shd w:val="clear" w:color="auto" w:fill="FFFFFF"/>
        </w:rPr>
        <w:t xml:space="preserve"> et al.</w:t>
      </w:r>
      <w:r w:rsidR="00FC5F2A" w:rsidRPr="002C21B8">
        <w:rPr>
          <w:color w:val="202124"/>
          <w:shd w:val="clear" w:color="auto" w:fill="FFFFFF"/>
        </w:rPr>
        <w:t>, 2016)</w:t>
      </w:r>
      <w:r w:rsidR="00FC5F2A" w:rsidRPr="002C21B8">
        <w:rPr>
          <w:color w:val="202124"/>
          <w:shd w:val="clear" w:color="auto" w:fill="FFFFFF"/>
        </w:rPr>
        <w:fldChar w:fldCharType="end"/>
      </w:r>
      <w:r w:rsidR="00FC5F2A" w:rsidRPr="002C21B8">
        <w:rPr>
          <w:color w:val="202124"/>
          <w:shd w:val="clear" w:color="auto" w:fill="FFFFFF"/>
        </w:rPr>
        <w:t>.</w:t>
      </w:r>
      <w:r w:rsidR="005513D9" w:rsidRPr="002C21B8">
        <w:t xml:space="preserve"> Th</w:t>
      </w:r>
      <w:r w:rsidR="00C51EBC" w:rsidRPr="002C21B8">
        <w:t xml:space="preserve">ey are </w:t>
      </w:r>
      <w:r w:rsidR="00FC5F2A" w:rsidRPr="002C21B8">
        <w:t>considered</w:t>
      </w:r>
      <w:r w:rsidR="00C51EBC" w:rsidRPr="002C21B8">
        <w:t xml:space="preserve"> </w:t>
      </w:r>
      <w:r w:rsidR="008865E7" w:rsidRPr="002C21B8">
        <w:t xml:space="preserve">to impose a greater </w:t>
      </w:r>
      <w:r w:rsidR="00C51EBC" w:rsidRPr="002C21B8">
        <w:t>burden</w:t>
      </w:r>
      <w:r w:rsidR="008F0778" w:rsidRPr="002C21B8">
        <w:t xml:space="preserve"> </w:t>
      </w:r>
      <w:r w:rsidR="008865E7" w:rsidRPr="002C21B8">
        <w:t xml:space="preserve">on patients leading to </w:t>
      </w:r>
      <w:r w:rsidR="008F0778" w:rsidRPr="002C21B8">
        <w:t xml:space="preserve">worse health-related quality of life </w:t>
      </w:r>
      <w:r w:rsidR="00C51EBC" w:rsidRPr="002C21B8">
        <w:t>than</w:t>
      </w:r>
      <w:r w:rsidR="008865E7" w:rsidRPr="002C21B8">
        <w:t xml:space="preserve"> for</w:t>
      </w:r>
      <w:r w:rsidR="00C51EBC" w:rsidRPr="002C21B8">
        <w:t xml:space="preserve"> many common conditions </w:t>
      </w:r>
      <w:r w:rsidR="00C51EBC" w:rsidRPr="002C21B8">
        <w:fldChar w:fldCharType="begin"/>
      </w:r>
      <w:r w:rsidR="00CE4967" w:rsidRPr="002C21B8">
        <w:instrText xml:space="preserve"> ADDIN EN.CITE &lt;EndNote&gt;&lt;Cite&gt;&lt;Author&gt;Delaye&lt;/Author&gt;&lt;Year&gt;2022&lt;/Year&gt;&lt;RecNum&gt;5260&lt;/RecNum&gt;&lt;DisplayText&gt;(Delaye, Cacciatore and Kole, 2022)&lt;/DisplayText&gt;&lt;record&gt;&lt;rec-number&gt;5260&lt;/rec-number&gt;&lt;foreign-keys&gt;&lt;key app="EN" db-id="xpefzwa5hf9dt2ea9fax95x7xvxz90v09dtf" timestamp="1701100281"&gt;5260&lt;/key&gt;&lt;/foreign-keys&gt;&lt;ref-type name="Journal Article"&gt;17&lt;/ref-type&gt;&lt;contributors&gt;&lt;authors&gt;&lt;author&gt;Delaye, J.&lt;/author&gt;&lt;author&gt;Cacciatore, P.&lt;/author&gt;&lt;author&gt;Kole, A.&lt;/author&gt;&lt;/authors&gt;&lt;/contributors&gt;&lt;auth-address&gt;European Organisation for Rare Diseases (EURORDIS), Paris, France.&amp;#xD;GSK Vaccines Srl, Siena, Italy.&lt;/auth-address&gt;&lt;titles&gt;&lt;title&gt;Valuing the &amp;quot;Burden&amp;quot; and Impact of Rare Diseases: A Scoping Review&lt;/title&gt;&lt;secondary-title&gt;Frontiers in Pharmacology&lt;/secondary-title&gt;&lt;/titles&gt;&lt;periodical&gt;&lt;full-title&gt;Frontiers in pharmacology&lt;/full-title&gt;&lt;/periodical&gt;&lt;pages&gt;914338&lt;/pages&gt;&lt;volume&gt;13&lt;/volume&gt;&lt;edition&gt;20220608&lt;/edition&gt;&lt;keywords&gt;&lt;keyword&gt;Cost of illness&lt;/keyword&gt;&lt;keyword&gt;Europe&lt;/keyword&gt;&lt;keyword&gt;Impact Assesment&lt;/keyword&gt;&lt;keyword&gt;Quality of Life&lt;/keyword&gt;&lt;keyword&gt;Rare diseases&lt;/keyword&gt;&lt;keyword&gt;Scoping review&lt;/keyword&gt;&lt;keyword&gt;burden of disease&lt;/keyword&gt;&lt;/keywords&gt;&lt;dates&gt;&lt;year&gt;2022&lt;/year&gt;&lt;/dates&gt;&lt;isbn&gt;1663-9812 (Print)&amp;#xD;1663-9812&lt;/isbn&gt;&lt;accession-num&gt;35754469&lt;/accession-num&gt;&lt;urls&gt;&lt;/urls&gt;&lt;custom1&gt;PC was employed by the company GSK Vaccines Srl. The remaining authors declare that the research was conducted in the absence of any commercial or financial relationships that could be construed as a potential conflict of interest.&lt;/custom1&gt;&lt;custom2&gt;PMC9213803&lt;/custom2&gt;&lt;electronic-resource-num&gt;10.3389/fphar.2022.914338&lt;/electronic-resource-num&gt;&lt;remote-database-provider&gt;NLM&lt;/remote-database-provider&gt;&lt;language&gt;eng&lt;/language&gt;&lt;/record&gt;&lt;/Cite&gt;&lt;/EndNote&gt;</w:instrText>
      </w:r>
      <w:r w:rsidR="00C51EBC" w:rsidRPr="002C21B8">
        <w:fldChar w:fldCharType="separate"/>
      </w:r>
      <w:r w:rsidR="00C51EBC" w:rsidRPr="002C21B8">
        <w:rPr>
          <w:noProof/>
        </w:rPr>
        <w:t>(Delaye, Cacciatore and Kole, 2022)</w:t>
      </w:r>
      <w:r w:rsidR="00C51EBC" w:rsidRPr="002C21B8">
        <w:fldChar w:fldCharType="end"/>
      </w:r>
      <w:r w:rsidR="00C51EBC" w:rsidRPr="002C21B8">
        <w:t xml:space="preserve">. Where effective </w:t>
      </w:r>
      <w:r w:rsidR="00872EC7" w:rsidRPr="002C21B8">
        <w:t>medication</w:t>
      </w:r>
      <w:r w:rsidR="00FC5F2A" w:rsidRPr="002C21B8">
        <w:t>s</w:t>
      </w:r>
      <w:r w:rsidR="00C51EBC" w:rsidRPr="002C21B8">
        <w:t xml:space="preserve"> exist, evidence shows they can significantly reduce this burden and improve outcomes</w:t>
      </w:r>
      <w:r w:rsidR="00FC5F2A" w:rsidRPr="002C21B8">
        <w:t xml:space="preserve">. Examples of this include </w:t>
      </w:r>
      <w:r w:rsidR="00C51EBC" w:rsidRPr="002C21B8">
        <w:t xml:space="preserve">cystic fibrosis </w:t>
      </w:r>
      <w:r w:rsidR="00C51EBC" w:rsidRPr="002C21B8">
        <w:fldChar w:fldCharType="begin"/>
      </w:r>
      <w:r w:rsidR="00CE4967" w:rsidRPr="002C21B8">
        <w:instrText xml:space="preserve"> ADDIN EN.CITE &lt;EndNote&gt;&lt;Cite&gt;&lt;Author&gt;Dwight&lt;/Author&gt;&lt;Year&gt;2021&lt;/Year&gt;&lt;RecNum&gt;125367&lt;/RecNum&gt;&lt;DisplayText&gt;(Dwight and Marshall, 2021)&lt;/DisplayText&gt;&lt;record&gt;&lt;rec-number&gt;125367&lt;/rec-number&gt;&lt;foreign-keys&gt;&lt;key app="EN" db-id="xpefzwa5hf9dt2ea9fax95x7xvxz90v09dtf" timestamp="1775299440"&gt;125367&lt;/key&gt;&lt;/foreign-keys&gt;&lt;ref-type name="Journal Article"&gt;17&lt;/ref-type&gt;&lt;contributors&gt;&lt;authors&gt;&lt;author&gt;Dwight, Mary&lt;/author&gt;&lt;author&gt;Marshall, Bruce&lt;/author&gt;&lt;/authors&gt;&lt;/contributors&gt;&lt;titles&gt;&lt;title&gt;CFTR modulators: transformative therapies for cystic fibrosis&lt;/title&gt;&lt;secondary-title&gt;Journal of Managed Care &amp;amp; Specialty Pharmacy&lt;/secondary-title&gt;&lt;/titles&gt;&lt;periodical&gt;&lt;full-title&gt;Journal of managed care &amp;amp; specialty pharmacy&lt;/full-title&gt;&lt;/periodical&gt;&lt;pages&gt;281-284&lt;/pages&gt;&lt;volume&gt;27&lt;/volume&gt;&lt;number&gt;2&lt;/number&gt;&lt;dates&gt;&lt;year&gt;2021&lt;/year&gt;&lt;/dates&gt;&lt;isbn&gt;2376-0540&lt;/isbn&gt;&lt;urls&gt;&lt;/urls&gt;&lt;/record&gt;&lt;/Cite&gt;&lt;/EndNote&gt;</w:instrText>
      </w:r>
      <w:r w:rsidR="00C51EBC" w:rsidRPr="002C21B8">
        <w:fldChar w:fldCharType="separate"/>
      </w:r>
      <w:r w:rsidR="00C51EBC" w:rsidRPr="002C21B8">
        <w:rPr>
          <w:noProof/>
        </w:rPr>
        <w:t>(Dwight and Marshall, 2021)</w:t>
      </w:r>
      <w:r w:rsidR="00C51EBC" w:rsidRPr="002C21B8">
        <w:fldChar w:fldCharType="end"/>
      </w:r>
      <w:r w:rsidR="00C51EBC" w:rsidRPr="002C21B8">
        <w:t xml:space="preserve">, </w:t>
      </w:r>
      <w:r w:rsidR="00FB33CE" w:rsidRPr="002C21B8">
        <w:t xml:space="preserve">cardiac </w:t>
      </w:r>
      <w:r w:rsidR="00C51EBC" w:rsidRPr="002C21B8">
        <w:t xml:space="preserve">amyloidosis </w:t>
      </w:r>
      <w:r w:rsidR="00C51EBC" w:rsidRPr="002C21B8">
        <w:fldChar w:fldCharType="begin"/>
      </w:r>
      <w:r w:rsidR="00C51EBC" w:rsidRPr="002C21B8">
        <w:instrText xml:space="preserve"> ADDIN EN.CITE &lt;EndNote&gt;&lt;Cite&gt;&lt;Author&gt;Prata&lt;/Author&gt;&lt;Year&gt;2025&lt;/Year&gt;&lt;RecNum&gt;125366&lt;/RecNum&gt;&lt;DisplayText&gt;(Prata&lt;style face="italic"&gt; et al.&lt;/style&gt;, 2025)&lt;/DisplayText&gt;&lt;record&gt;&lt;rec-number&gt;125366&lt;/rec-number&gt;&lt;foreign-keys&gt;&lt;key app="EN" db-id="xpefzwa5hf9dt2ea9fax95x7xvxz90v09dtf" timestamp="1775299407"&gt;125366&lt;/key&gt;&lt;/foreign-keys&gt;&lt;ref-type name="Journal Article"&gt;17&lt;/ref-type&gt;&lt;contributors&gt;&lt;authors&gt;&lt;author&gt;Prata, Alonzo Armani&lt;/author&gt;&lt;author&gt;Katsuyama, Eric Shih&lt;/author&gt;&lt;author&gt;Scardini, Pedro Gabriel&lt;/author&gt;&lt;author&gt;Covre, Ana Carolina&lt;/author&gt;&lt;author&gt;Neto, Wilson Falco&lt;/author&gt;&lt;author&gt;Fernandes, Julia Marques&lt;/author&gt;&lt;author&gt;Barbosa, Gabriel Scarpioni&lt;/author&gt;&lt;author&gt;Fukunaga, Chris&lt;/author&gt;&lt;author&gt;Pinheiro, Rafael Petri&lt;/author&gt;&lt;author&gt;Antunes, Vanio LJ&lt;/author&gt;&lt;/authors&gt;&lt;/contributors&gt;&lt;titles&gt;&lt;title&gt;The efficacy and safety of specific therapies for cardiac Transthyretin-mediated amyloidosis: a systematic review and meta-analysis of randomized trials&lt;/title&gt;&lt;secondary-title&gt;BMC Cardiovascular Disorders&lt;/secondary-title&gt;&lt;/titles&gt;&lt;periodical&gt;&lt;full-title&gt;BMC cardiovascular disorders&lt;/full-title&gt;&lt;/periodical&gt;&lt;pages&gt;296&lt;/pages&gt;&lt;volume&gt;25&lt;/volume&gt;&lt;number&gt;1&lt;/number&gt;&lt;dates&gt;&lt;year&gt;2025&lt;/year&gt;&lt;/dates&gt;&lt;isbn&gt;1471-2261&lt;/isbn&gt;&lt;urls&gt;&lt;/urls&gt;&lt;/record&gt;&lt;/Cite&gt;&lt;/EndNote&gt;</w:instrText>
      </w:r>
      <w:r w:rsidR="00C51EBC" w:rsidRPr="002C21B8">
        <w:fldChar w:fldCharType="separate"/>
      </w:r>
      <w:r w:rsidR="00C51EBC" w:rsidRPr="002C21B8">
        <w:t>(Prata</w:t>
      </w:r>
      <w:r w:rsidR="00C51EBC" w:rsidRPr="002C21B8">
        <w:rPr>
          <w:i/>
        </w:rPr>
        <w:t xml:space="preserve"> et al.</w:t>
      </w:r>
      <w:r w:rsidR="00C51EBC" w:rsidRPr="002C21B8">
        <w:t>, 2025)</w:t>
      </w:r>
      <w:r w:rsidR="00C51EBC" w:rsidRPr="002C21B8">
        <w:fldChar w:fldCharType="end"/>
      </w:r>
      <w:r w:rsidR="00FC5F2A" w:rsidRPr="002C21B8">
        <w:t xml:space="preserve"> and motor neurone disease </w:t>
      </w:r>
      <w:r w:rsidR="00FC5F2A" w:rsidRPr="002C21B8">
        <w:fldChar w:fldCharType="begin"/>
      </w:r>
      <w:r w:rsidR="00FC5F2A" w:rsidRPr="002C21B8">
        <w:instrText xml:space="preserve"> ADDIN EN.CITE &lt;EndNote&gt;&lt;Cite&gt;&lt;Author&gt;Armengol&lt;/Author&gt;&lt;Year&gt;2024&lt;/Year&gt;&lt;RecNum&gt;125368&lt;/RecNum&gt;&lt;DisplayText&gt;(Armengol&lt;style face="italic"&gt; et al.&lt;/style&gt;, 2024)&lt;/DisplayText&gt;&lt;record&gt;&lt;rec-number&gt;125368&lt;/rec-number&gt;&lt;foreign-keys&gt;&lt;key app="EN" db-id="xpefzwa5hf9dt2ea9fax95x7xvxz90v09dtf" timestamp="1775299548"&gt;125368&lt;/key&gt;&lt;/foreign-keys&gt;&lt;ref-type name="Journal Article"&gt;17&lt;/ref-type&gt;&lt;contributors&gt;&lt;authors&gt;&lt;author&gt;Armengol, Victor D&lt;/author&gt;&lt;author&gt;Darras, Basil T&lt;/author&gt;&lt;author&gt;Abulaban, Ahmad A&lt;/author&gt;&lt;author&gt;Alshehri, Ali&lt;/author&gt;&lt;author&gt;Barisic, Nina&lt;/author&gt;&lt;author&gt;Ben-Omran, Tawfeg&lt;/author&gt;&lt;author&gt;Bernert, Guenther&lt;/author&gt;&lt;author&gt;Castiglioni, Claudia&lt;/author&gt;&lt;author&gt;Chien, Yin-Hsiu&lt;/author&gt;&lt;author&gt;Farrar, Michelle A&lt;/author&gt;&lt;/authors&gt;&lt;/contributors&gt;&lt;titles&gt;&lt;title&gt;Life-saving treatments for spinal muscular atrophy: global access and availability&lt;/title&gt;&lt;secondary-title&gt;Neurology: Clinical Practice&lt;/secondary-title&gt;&lt;/titles&gt;&lt;periodical&gt;&lt;full-title&gt;Neurology: Clinical Practice&lt;/full-title&gt;&lt;/periodical&gt;&lt;pages&gt;e200224&lt;/pages&gt;&lt;volume&gt;14&lt;/volume&gt;&lt;number&gt;1&lt;/number&gt;&lt;dates&gt;&lt;year&gt;2024&lt;/year&gt;&lt;/dates&gt;&lt;isbn&gt;2163-0402&lt;/isbn&gt;&lt;urls&gt;&lt;/urls&gt;&lt;/record&gt;&lt;/Cite&gt;&lt;/EndNote&gt;</w:instrText>
      </w:r>
      <w:r w:rsidR="00FC5F2A" w:rsidRPr="002C21B8">
        <w:fldChar w:fldCharType="separate"/>
      </w:r>
      <w:r w:rsidR="00FC5F2A" w:rsidRPr="002C21B8">
        <w:t>(Armengol</w:t>
      </w:r>
      <w:r w:rsidR="00FC5F2A" w:rsidRPr="002C21B8">
        <w:rPr>
          <w:i/>
        </w:rPr>
        <w:t xml:space="preserve"> et al.</w:t>
      </w:r>
      <w:r w:rsidR="00FC5F2A" w:rsidRPr="002C21B8">
        <w:t>, 2024)</w:t>
      </w:r>
      <w:r w:rsidR="00FC5F2A" w:rsidRPr="002C21B8">
        <w:fldChar w:fldCharType="end"/>
      </w:r>
      <w:r w:rsidR="00FC5F2A" w:rsidRPr="002C21B8">
        <w:t>.</w:t>
      </w:r>
      <w:r w:rsidR="00C51EBC" w:rsidRPr="002C21B8">
        <w:t xml:space="preserve"> </w:t>
      </w:r>
      <w:r w:rsidR="005513D9" w:rsidRPr="002C21B8">
        <w:t xml:space="preserve">Although rare disease </w:t>
      </w:r>
      <w:r w:rsidR="00872EC7" w:rsidRPr="002C21B8">
        <w:t>medication</w:t>
      </w:r>
      <w:r w:rsidR="005513D9" w:rsidRPr="002C21B8">
        <w:t xml:space="preserve">s are used by relatively few patients, they </w:t>
      </w:r>
      <w:r w:rsidR="00C51EBC" w:rsidRPr="002C21B8">
        <w:t xml:space="preserve">account for a </w:t>
      </w:r>
      <w:r w:rsidR="005513D9" w:rsidRPr="002C21B8">
        <w:t>significant proportion of healthcare expenditure</w:t>
      </w:r>
      <w:r w:rsidR="008865E7" w:rsidRPr="002C21B8">
        <w:t xml:space="preserve">. This is estimated at </w:t>
      </w:r>
      <w:r w:rsidR="005513D9" w:rsidRPr="002C21B8">
        <w:t xml:space="preserve">approximately 7% of total </w:t>
      </w:r>
      <w:r w:rsidR="005513D9" w:rsidRPr="002C21B8">
        <w:lastRenderedPageBreak/>
        <w:t>pharmaceutical expenditure</w:t>
      </w:r>
      <w:r w:rsidR="00FC5F2A" w:rsidRPr="002C21B8">
        <w:t xml:space="preserve"> </w:t>
      </w:r>
      <w:r w:rsidR="005513D9" w:rsidRPr="002C21B8">
        <w:t xml:space="preserve">in Europe </w:t>
      </w:r>
      <w:r w:rsidR="005513D9" w:rsidRPr="002C21B8">
        <w:fldChar w:fldCharType="begin"/>
      </w:r>
      <w:r w:rsidR="00590E88" w:rsidRPr="002C21B8">
        <w:instrText xml:space="preserve"> ADDIN EN.CITE &lt;EndNote&gt;&lt;Cite&gt;&lt;Author&gt;Mestre-Ferrandiz&lt;/Author&gt;&lt;Year&gt;2019&lt;/Year&gt;&lt;RecNum&gt;125298&lt;/RecNum&gt;&lt;DisplayText&gt;(Mestre-Ferrandiz&lt;style face="italic"&gt; et al.&lt;/style&gt;, 2019)&lt;/DisplayText&gt;&lt;record&gt;&lt;rec-number&gt;125298&lt;/rec-number&gt;&lt;foreign-keys&gt;&lt;key app="EN" db-id="xpefzwa5hf9dt2ea9fax95x7xvxz90v09dtf" timestamp="1774886564"&gt;125298&lt;/key&gt;&lt;/foreign-keys&gt;&lt;ref-type name="Journal Article"&gt;17&lt;/ref-type&gt;&lt;contributors&gt;&lt;authors&gt;&lt;author&gt;Mestre-Ferrandiz, Jorge&lt;/author&gt;&lt;author&gt;Palaska, Christina&lt;/author&gt;&lt;author&gt;Kelly, Tom&lt;/author&gt;&lt;author&gt;Hutchings, Adam&lt;/author&gt;&lt;author&gt;Parnaby, Adam&lt;/author&gt;&lt;/authors&gt;&lt;/contributors&gt;&lt;titles&gt;&lt;title&gt;An analysis of orphan medicine expenditure in Europe: is it sustainable?&lt;/title&gt;&lt;secondary-title&gt;Orphanet Journal of Rare Diseases&lt;/secondary-title&gt;&lt;/titles&gt;&lt;periodical&gt;&lt;full-title&gt;Orphanet Journal of Rare Diseases&lt;/full-title&gt;&lt;/periodical&gt;&lt;pages&gt;287&lt;/pages&gt;&lt;volume&gt;14&lt;/volume&gt;&lt;number&gt;1&lt;/number&gt;&lt;dates&gt;&lt;year&gt;2019&lt;/year&gt;&lt;/dates&gt;&lt;isbn&gt;1750-1172&lt;/isbn&gt;&lt;urls&gt;&lt;/urls&gt;&lt;/record&gt;&lt;/Cite&gt;&lt;/EndNote&gt;</w:instrText>
      </w:r>
      <w:r w:rsidR="005513D9" w:rsidRPr="002C21B8">
        <w:fldChar w:fldCharType="separate"/>
      </w:r>
      <w:r w:rsidR="005513D9" w:rsidRPr="002C21B8">
        <w:rPr>
          <w:noProof/>
        </w:rPr>
        <w:t>(Mestre-Ferrandiz</w:t>
      </w:r>
      <w:r w:rsidR="005513D9" w:rsidRPr="002C21B8">
        <w:rPr>
          <w:i/>
          <w:noProof/>
        </w:rPr>
        <w:t xml:space="preserve"> et al.</w:t>
      </w:r>
      <w:r w:rsidR="005513D9" w:rsidRPr="002C21B8">
        <w:rPr>
          <w:noProof/>
        </w:rPr>
        <w:t>, 2019)</w:t>
      </w:r>
      <w:r w:rsidR="005513D9" w:rsidRPr="002C21B8">
        <w:fldChar w:fldCharType="end"/>
      </w:r>
      <w:r w:rsidR="005513D9" w:rsidRPr="002C21B8">
        <w:t xml:space="preserve"> and 11% in the United States </w:t>
      </w:r>
      <w:r w:rsidR="005513D9" w:rsidRPr="002C21B8">
        <w:fldChar w:fldCharType="begin"/>
      </w:r>
      <w:r w:rsidR="00062561" w:rsidRPr="002C21B8">
        <w:instrText xml:space="preserve"> ADDIN EN.CITE &lt;EndNote&gt;&lt;Cite&gt;&lt;Author&gt;IQVIA Institute&lt;/Author&gt;&lt;Year&gt;2020&lt;/Year&gt;&lt;RecNum&gt;125299&lt;/RecNum&gt;&lt;DisplayText&gt;(IQVIA Institute, 2020)&lt;/DisplayText&gt;&lt;record&gt;&lt;rec-number&gt;125299&lt;/rec-number&gt;&lt;foreign-keys&gt;&lt;key app="EN" db-id="xpefzwa5hf9dt2ea9fax95x7xvxz90v09dtf" timestamp="1774886754"&gt;125299&lt;/key&gt;&lt;/foreign-keys&gt;&lt;ref-type name="Web Page"&gt;12&lt;/ref-type&gt;&lt;contributors&gt;&lt;authors&gt;&lt;author&gt;IQVIA Institute,&lt;/author&gt;&lt;/authors&gt;&lt;/contributors&gt;&lt;titles&gt;&lt;title&gt;Orphan Drugs in the United States: Rare Disease Innovation and Cost Trends Through 2019&lt;/title&gt;&lt;/titles&gt;&lt;number&gt;28/04/2026)&lt;/number&gt;&lt;dates&gt;&lt;year&gt;2020&lt;/year&gt;&lt;/dates&gt;&lt;urls&gt;&lt;related-urls&gt;&lt;url&gt;https://rarediseases.org/wp-content/uploads/2021/03/orphan-drugs-in-the-united-states-NRD-2020.pdf&lt;/url&gt;&lt;/related-urls&gt;&lt;/urls&gt;&lt;access-date&gt;(30/03/2026&lt;/access-date&gt;&lt;/record&gt;&lt;/Cite&gt;&lt;/EndNote&gt;</w:instrText>
      </w:r>
      <w:r w:rsidR="005513D9" w:rsidRPr="002C21B8">
        <w:fldChar w:fldCharType="separate"/>
      </w:r>
      <w:r w:rsidR="000750F8" w:rsidRPr="002C21B8">
        <w:rPr>
          <w:noProof/>
        </w:rPr>
        <w:t>(IQVIA Institute, 2020)</w:t>
      </w:r>
      <w:r w:rsidR="005513D9" w:rsidRPr="002C21B8">
        <w:fldChar w:fldCharType="end"/>
      </w:r>
      <w:r w:rsidR="005513D9" w:rsidRPr="002C21B8">
        <w:t>.</w:t>
      </w:r>
    </w:p>
    <w:p w14:paraId="7B054ECC" w14:textId="619BF138" w:rsidR="00073C63" w:rsidRPr="002C21B8" w:rsidRDefault="00A3561D" w:rsidP="00553884">
      <w:r w:rsidRPr="002C21B8">
        <w:rPr>
          <w:color w:val="202124"/>
          <w:shd w:val="clear" w:color="auto" w:fill="FFFFFF"/>
        </w:rPr>
        <w:t xml:space="preserve">Despite these potential consequences, </w:t>
      </w:r>
      <w:r w:rsidR="0058751C" w:rsidRPr="002C21B8">
        <w:rPr>
          <w:color w:val="202124"/>
          <w:shd w:val="clear" w:color="auto" w:fill="FFFFFF"/>
        </w:rPr>
        <w:t xml:space="preserve">there appears to be </w:t>
      </w:r>
      <w:r w:rsidRPr="002C21B8">
        <w:rPr>
          <w:color w:val="202124"/>
          <w:shd w:val="clear" w:color="auto" w:fill="FFFFFF"/>
        </w:rPr>
        <w:t xml:space="preserve">no established theories or conceptual models that comprehensively explain how prescribing decisions are made for rare diseases. </w:t>
      </w:r>
      <w:r w:rsidRPr="002C21B8">
        <w:t xml:space="preserve">Most existing studies focus on single stakeholders, isolated stages of the prescribing process or extrapolate from conditions that </w:t>
      </w:r>
      <w:r w:rsidR="008550BF" w:rsidRPr="002C21B8">
        <w:t xml:space="preserve">do not reflect the complexity and uncertainty associated with </w:t>
      </w:r>
      <w:r w:rsidRPr="002C21B8">
        <w:t xml:space="preserve">rare diseases </w:t>
      </w:r>
      <w:r w:rsidRPr="002C21B8">
        <w:fldChar w:fldCharType="begin"/>
      </w:r>
      <w:r w:rsidRPr="002C21B8">
        <w:instrText xml:space="preserve"> ADDIN EN.CITE &lt;EndNote&gt;&lt;Cite&gt;&lt;Author&gt;Yoon&lt;/Author&gt;&lt;Year&gt;2023&lt;/Year&gt;&lt;RecNum&gt;125369&lt;/RecNum&gt;&lt;DisplayText&gt;(Yoon&lt;style face="italic"&gt; et al.&lt;/style&gt;, 2023)&lt;/DisplayText&gt;&lt;record&gt;&lt;rec-number&gt;125369&lt;/rec-number&gt;&lt;foreign-keys&gt;&lt;key app="EN" db-id="xpefzwa5hf9dt2ea9fax95x7xvxz90v09dtf" timestamp="1775300585"&gt;125369&lt;/key&gt;&lt;/foreign-keys&gt;&lt;ref-type name="Journal Article"&gt;17&lt;/ref-type&gt;&lt;contributors&gt;&lt;authors&gt;&lt;author&gt;Yoon, Soho&lt;/author&gt;&lt;author&gt;Lee, Minjee&lt;/author&gt;&lt;author&gt;Jung, Hoi-In&lt;/author&gt;&lt;author&gt;Khan, M Mahmud&lt;/author&gt;&lt;author&gt;Kim, So-Yoon&lt;/author&gt;&lt;author&gt;Kim, Hannah&lt;/author&gt;&lt;author&gt;Wasti, Sophia&lt;/author&gt;&lt;/authors&gt;&lt;/contributors&gt;&lt;titles&gt;&lt;title&gt;Prioritization of research engaged with rare disease stakeholders: a systematic review and thematic analysis&lt;/title&gt;&lt;secondary-title&gt;Orphanet Journal of Rare Diseases&lt;/secondary-title&gt;&lt;/titles&gt;&lt;periodical&gt;&lt;full-title&gt;Orphanet Journal of Rare Diseases&lt;/full-title&gt;&lt;/periodical&gt;&lt;pages&gt;363&lt;/pages&gt;&lt;volume&gt;18&lt;/volume&gt;&lt;number&gt;1&lt;/number&gt;&lt;dates&gt;&lt;year&gt;2023&lt;/year&gt;&lt;/dates&gt;&lt;isbn&gt;1750-1172&lt;/isbn&gt;&lt;urls&gt;&lt;/urls&gt;&lt;/record&gt;&lt;/Cite&gt;&lt;/EndNote&gt;</w:instrText>
      </w:r>
      <w:r w:rsidRPr="002C21B8">
        <w:fldChar w:fldCharType="separate"/>
      </w:r>
      <w:r w:rsidRPr="002C21B8">
        <w:t>(Yoon</w:t>
      </w:r>
      <w:r w:rsidRPr="002C21B8">
        <w:rPr>
          <w:i/>
        </w:rPr>
        <w:t xml:space="preserve"> et al.</w:t>
      </w:r>
      <w:r w:rsidRPr="002C21B8">
        <w:t>, 2023)</w:t>
      </w:r>
      <w:r w:rsidRPr="002C21B8">
        <w:fldChar w:fldCharType="end"/>
      </w:r>
      <w:r w:rsidRPr="002C21B8">
        <w:t>.</w:t>
      </w:r>
      <w:r w:rsidR="006D368C" w:rsidRPr="002C21B8">
        <w:t xml:space="preserve"> </w:t>
      </w:r>
      <w:r w:rsidR="00073C63" w:rsidRPr="002C21B8">
        <w:t xml:space="preserve">A </w:t>
      </w:r>
      <w:r w:rsidR="00E048CA">
        <w:t>targeted literature search</w:t>
      </w:r>
      <w:r w:rsidR="00073C63" w:rsidRPr="002C21B8">
        <w:t xml:space="preserve"> </w:t>
      </w:r>
      <w:r w:rsidR="00CD5D74" w:rsidRPr="002C21B8">
        <w:t xml:space="preserve">was </w:t>
      </w:r>
      <w:r w:rsidR="00073C63" w:rsidRPr="002C21B8">
        <w:t>conducted</w:t>
      </w:r>
      <w:r w:rsidR="00FB33CE" w:rsidRPr="002C21B8">
        <w:t xml:space="preserve"> in M</w:t>
      </w:r>
      <w:r w:rsidR="00C2131A" w:rsidRPr="002C21B8">
        <w:t>EDLINE (Ovid)</w:t>
      </w:r>
      <w:r w:rsidR="00073C63" w:rsidRPr="002C21B8">
        <w:t xml:space="preserve"> to </w:t>
      </w:r>
      <w:r w:rsidR="006D368C" w:rsidRPr="002C21B8">
        <w:t xml:space="preserve">identify </w:t>
      </w:r>
      <w:r w:rsidR="00CD5D74" w:rsidRPr="002C21B8">
        <w:t xml:space="preserve">literature relevant to prescribing decision-making in rare diseases using </w:t>
      </w:r>
      <w:r w:rsidR="00FB33CE" w:rsidRPr="002C21B8">
        <w:t>Medical Subject Headings (MeSH terms</w:t>
      </w:r>
      <w:r w:rsidR="00022FCF" w:rsidRPr="002C21B8">
        <w:t>)</w:t>
      </w:r>
      <w:r w:rsidR="00FB33CE" w:rsidRPr="002C21B8">
        <w:t xml:space="preserve"> for </w:t>
      </w:r>
      <w:r w:rsidR="00CD5D74" w:rsidRPr="002C21B8">
        <w:t>Rare Diseases and the top five rare diseases with the highest number of industry projects in the UK between 2016</w:t>
      </w:r>
      <w:r w:rsidR="00D701A4" w:rsidRPr="002C21B8">
        <w:t xml:space="preserve"> and </w:t>
      </w:r>
      <w:r w:rsidR="00CD5D74" w:rsidRPr="002C21B8">
        <w:t>2021</w:t>
      </w:r>
      <w:r w:rsidR="00E048CA">
        <w:t xml:space="preserve"> and ADPKD</w:t>
      </w:r>
      <w:r w:rsidR="00513136" w:rsidRPr="002C21B8">
        <w:t xml:space="preserve"> </w:t>
      </w:r>
      <w:r w:rsidR="00513136" w:rsidRPr="002C21B8">
        <w:fldChar w:fldCharType="begin"/>
      </w:r>
      <w:r w:rsidR="001F4D9D" w:rsidRPr="002C21B8">
        <w:instrText xml:space="preserve"> ADDIN EN.CITE &lt;EndNote&gt;&lt;Cite&gt;&lt;Author&gt;Bainbridge&lt;/Author&gt;&lt;Year&gt;2023&lt;/Year&gt;&lt;RecNum&gt;125500&lt;/RecNum&gt;&lt;DisplayText&gt;(Bainbridge, 2023)&lt;/DisplayText&gt;&lt;record&gt;&lt;rec-number&gt;125500&lt;/rec-number&gt;&lt;foreign-keys&gt;&lt;key app="EN" db-id="xpefzwa5hf9dt2ea9fax95x7xvxz90v09dtf" timestamp="1777023999"&gt;125500&lt;/key&gt;&lt;/foreign-keys&gt;&lt;ref-type name="Journal Article"&gt;17&lt;/ref-type&gt;&lt;contributors&gt;&lt;authors&gt;&lt;author&gt;Bainbridge, Kath&lt;/author&gt;&lt;/authors&gt;&lt;/contributors&gt;&lt;titles&gt;&lt;title&gt;Rare diseases research landscape project report&lt;/title&gt;&lt;secondary-title&gt;National Institute for Health and Care Research Open Research&lt;/secondary-title&gt;&lt;/titles&gt;&lt;periodical&gt;&lt;full-title&gt;National Institute for Health and Care Research Open Research&lt;/full-title&gt;&lt;/periodical&gt;&lt;pages&gt;45&lt;/pages&gt;&lt;volume&gt;3&lt;/volume&gt;&lt;number&gt;45&lt;/number&gt;&lt;dates&gt;&lt;year&gt;2023&lt;/year&gt;&lt;/dates&gt;&lt;urls&gt;&lt;/urls&gt;&lt;/record&gt;&lt;/Cite&gt;&lt;/EndNote&gt;</w:instrText>
      </w:r>
      <w:r w:rsidR="00513136" w:rsidRPr="002C21B8">
        <w:fldChar w:fldCharType="separate"/>
      </w:r>
      <w:r w:rsidR="0003443C" w:rsidRPr="002C21B8">
        <w:rPr>
          <w:noProof/>
        </w:rPr>
        <w:t>(Bainbridge, 2023)</w:t>
      </w:r>
      <w:r w:rsidR="00513136" w:rsidRPr="002C21B8">
        <w:fldChar w:fldCharType="end"/>
      </w:r>
      <w:r w:rsidR="00CD5D74" w:rsidRPr="002C21B8">
        <w:t>.</w:t>
      </w:r>
      <w:r w:rsidR="00F42C90" w:rsidRPr="002C21B8">
        <w:t xml:space="preserve"> Th</w:t>
      </w:r>
      <w:r w:rsidR="007F5686" w:rsidRPr="002C21B8">
        <w:t>e</w:t>
      </w:r>
      <w:r w:rsidR="00F42C90" w:rsidRPr="002C21B8">
        <w:t xml:space="preserve"> search strategy is included</w:t>
      </w:r>
      <w:r w:rsidR="00513136" w:rsidRPr="002C21B8">
        <w:t xml:space="preserve"> in</w:t>
      </w:r>
      <w:r w:rsidR="00822CF1" w:rsidRPr="002C21B8">
        <w:t xml:space="preserve"> the </w:t>
      </w:r>
      <w:hyperlink w:anchor="_Appendix_3._Additional" w:history="1">
        <w:r w:rsidR="00822CF1" w:rsidRPr="002C21B8">
          <w:rPr>
            <w:rStyle w:val="Hyperlink"/>
          </w:rPr>
          <w:t>additional details on the methods for the systematic review</w:t>
        </w:r>
      </w:hyperlink>
      <w:r w:rsidR="00F42C90" w:rsidRPr="002C21B8">
        <w:t xml:space="preserve">. </w:t>
      </w:r>
      <w:r w:rsidR="00CD5D74" w:rsidRPr="002C21B8">
        <w:t xml:space="preserve">This </w:t>
      </w:r>
      <w:r w:rsidR="009F6F07" w:rsidRPr="002C21B8">
        <w:t>identified</w:t>
      </w:r>
      <w:r w:rsidR="00F42C90" w:rsidRPr="002C21B8">
        <w:t xml:space="preserve"> only</w:t>
      </w:r>
      <w:r w:rsidR="009F6F07" w:rsidRPr="002C21B8">
        <w:t xml:space="preserve"> two potential studies </w:t>
      </w:r>
      <w:r w:rsidR="00F42C90" w:rsidRPr="002C21B8">
        <w:t>for inclusion</w:t>
      </w:r>
      <w:r w:rsidR="00FB0A67" w:rsidRPr="002C21B8">
        <w:t>,</w:t>
      </w:r>
      <w:r w:rsidR="00F42C90" w:rsidRPr="002C21B8">
        <w:t xml:space="preserve"> with one on the factors influencing symptom management </w:t>
      </w:r>
      <w:r w:rsidR="00A05EB2" w:rsidRPr="002C21B8">
        <w:t xml:space="preserve">decisions </w:t>
      </w:r>
      <w:r w:rsidR="00F42C90" w:rsidRPr="002C21B8">
        <w:t xml:space="preserve">in cystic fibrosis and another on the influence of pharmaceutical company engagement activities on the decision to prescribe rare disease </w:t>
      </w:r>
      <w:r w:rsidR="00F06959" w:rsidRPr="002C21B8">
        <w:t>medication</w:t>
      </w:r>
      <w:r w:rsidR="00F42C90" w:rsidRPr="002C21B8">
        <w:t>s</w:t>
      </w:r>
      <w:r w:rsidR="008E421B">
        <w:t xml:space="preserve"> in general</w:t>
      </w:r>
      <w:r w:rsidR="00F42C90" w:rsidRPr="002C21B8">
        <w:t>.</w:t>
      </w:r>
      <w:r w:rsidR="00AD78ED" w:rsidRPr="002C21B8">
        <w:t xml:space="preserve"> Given the limited evidence base identified, there is a need to use a rare disease as a case through which to explore prescribing decision-making in this context.</w:t>
      </w:r>
    </w:p>
    <w:p w14:paraId="625476AD" w14:textId="3AFE98F5" w:rsidR="00980FA8" w:rsidRPr="002C21B8" w:rsidRDefault="00A52720" w:rsidP="00581663">
      <w:pPr>
        <w:pStyle w:val="Heading2"/>
      </w:pPr>
      <w:bookmarkStart w:id="44" w:name="_Toc229687205"/>
      <w:r w:rsidRPr="002C21B8">
        <w:t>ADPKD as a</w:t>
      </w:r>
      <w:r w:rsidR="001132A1" w:rsidRPr="002C21B8">
        <w:t xml:space="preserve"> </w:t>
      </w:r>
      <w:r w:rsidR="00C8640E" w:rsidRPr="002C21B8">
        <w:t>case</w:t>
      </w:r>
      <w:r w:rsidR="00195F30" w:rsidRPr="002C21B8">
        <w:t xml:space="preserve"> to explore factors influencing </w:t>
      </w:r>
      <w:r w:rsidR="005067FA" w:rsidRPr="002C21B8">
        <w:t>prescribing</w:t>
      </w:r>
      <w:r w:rsidR="00195F30" w:rsidRPr="002C21B8">
        <w:t xml:space="preserve"> decisions in rare diseases</w:t>
      </w:r>
      <w:bookmarkEnd w:id="44"/>
    </w:p>
    <w:p w14:paraId="35814D1F" w14:textId="040343A2" w:rsidR="00CC6E60" w:rsidRPr="002C21B8" w:rsidRDefault="00D960CF" w:rsidP="004507C8">
      <w:pPr>
        <w:pStyle w:val="Heading3"/>
      </w:pPr>
      <w:r w:rsidRPr="002C21B8">
        <w:t>O</w:t>
      </w:r>
      <w:r w:rsidR="003D09ED" w:rsidRPr="002C21B8">
        <w:t>verview of A</w:t>
      </w:r>
      <w:r w:rsidR="00CC6E60" w:rsidRPr="002C21B8">
        <w:t>DPKD</w:t>
      </w:r>
    </w:p>
    <w:p w14:paraId="1859870E" w14:textId="44599EE4" w:rsidR="00CE05D1" w:rsidRPr="002C21B8" w:rsidRDefault="00CE05D1" w:rsidP="00ED2D36">
      <w:pPr>
        <w:pStyle w:val="Heading4"/>
      </w:pPr>
      <w:r w:rsidRPr="002C21B8">
        <w:t>Epidemiology</w:t>
      </w:r>
    </w:p>
    <w:p w14:paraId="4B24F69E" w14:textId="5E801177" w:rsidR="000851F6" w:rsidRPr="002C21B8" w:rsidRDefault="00CA1F13" w:rsidP="00FD0F51">
      <w:r w:rsidRPr="002C21B8">
        <w:t>A</w:t>
      </w:r>
      <w:r w:rsidR="00C75276" w:rsidRPr="002C21B8">
        <w:t>utosomal dominant polycystic kidney disease (A</w:t>
      </w:r>
      <w:r w:rsidRPr="002C21B8">
        <w:t>DPKD</w:t>
      </w:r>
      <w:r w:rsidR="00C75276" w:rsidRPr="002C21B8">
        <w:t>)</w:t>
      </w:r>
      <w:r w:rsidRPr="002C21B8">
        <w:t xml:space="preserve"> is the most common inherited kidney </w:t>
      </w:r>
      <w:r w:rsidR="003164D9" w:rsidRPr="002C21B8">
        <w:t>disease</w:t>
      </w:r>
      <w:r w:rsidR="00FB0A67" w:rsidRPr="002C21B8">
        <w:t>,</w:t>
      </w:r>
      <w:r w:rsidR="003164D9" w:rsidRPr="002C21B8">
        <w:t xml:space="preserve"> affecting </w:t>
      </w:r>
      <w:r w:rsidR="00C75276" w:rsidRPr="002C21B8">
        <w:t xml:space="preserve">over </w:t>
      </w:r>
      <w:r w:rsidR="003164D9" w:rsidRPr="002C21B8">
        <w:t xml:space="preserve">12 million people worldwide </w:t>
      </w:r>
      <w:r w:rsidR="003164D9" w:rsidRPr="002C21B8">
        <w:fldChar w:fldCharType="begin"/>
      </w:r>
      <w:r w:rsidR="00CE4967" w:rsidRPr="002C21B8">
        <w:instrText xml:space="preserve"> ADDIN EN.CITE &lt;EndNote&gt;&lt;Cite&gt;&lt;Author&gt;Chebib&lt;/Author&gt;&lt;Year&gt;2023&lt;/Year&gt;&lt;RecNum&gt;125002&lt;/RecNum&gt;&lt;DisplayText&gt;(Chebib&lt;style face="italic"&gt; et al.&lt;/style&gt;, 2023)&lt;/DisplayText&gt;&lt;record&gt;&lt;rec-number&gt;125002&lt;/rec-number&gt;&lt;foreign-keys&gt;&lt;key app="EN" db-id="xpefzwa5hf9dt2ea9fax95x7xvxz90v09dtf" timestamp="1757061253"&gt;125002&lt;/key&gt;&lt;/foreign-keys&gt;&lt;ref-type name="Journal Article"&gt;17&lt;/ref-type&gt;&lt;contributors&gt;&lt;authors&gt;&lt;author&gt;Chebib, F. T.&lt;/author&gt;&lt;author&gt;Zhou, X.&lt;/author&gt;&lt;author&gt;Garbinsky, D.&lt;/author&gt;&lt;author&gt;Davenport, E.&lt;/author&gt;&lt;author&gt;Nunna, S.&lt;/author&gt;&lt;author&gt;Oberdhan, D.&lt;/author&gt;&lt;author&gt;Fernandes, A.&lt;/author&gt;&lt;/authors&gt;&lt;/contributors&gt;&lt;auth-address&gt;Division of Nephrology and Hypertension, Mayo Clinic, Jacksonville, FL.&amp;#xD;RTI Health Solutions, Research Triangle Park, NC.&amp;#xD;Otsuka Pharmaceutical Development &amp;amp; Commercialization, Inc, Rockville, MD.&lt;/auth-address&gt;&lt;titles&gt;&lt;title&gt;Tolvaptan and Kidney Function Decline in Older Individuals With Autosomal Dominant Polycystic Kidney Disease: A Pooled Analysis of Randomized Clinical Trials and Observational Studies&lt;/title&gt;&lt;secondary-title&gt;Kidney Medicine&lt;/secondary-title&gt;&lt;/titles&gt;&lt;periodical&gt;&lt;full-title&gt;Kidney medicine&lt;/full-title&gt;&lt;/periodical&gt;&lt;pages&gt;100639&lt;/pages&gt;&lt;volume&gt;5&lt;/volume&gt;&lt;number&gt;6&lt;/number&gt;&lt;edition&gt;20230414&lt;/edition&gt;&lt;keywords&gt;&lt;keyword&gt;Autosomal dominant polycystic kidney disease (ADPKD)&lt;/keyword&gt;&lt;keyword&gt;clinical trial&lt;/keyword&gt;&lt;keyword&gt;glomerular filtration rate (GFR)&lt;/keyword&gt;&lt;keyword&gt;subgroup analysis&lt;/keyword&gt;&lt;keyword&gt;tolvaptan&lt;/keyword&gt;&lt;/keywords&gt;&lt;dates&gt;&lt;year&gt;2023&lt;/year&gt;&lt;pub-dates&gt;&lt;date&gt;Jun&lt;/date&gt;&lt;/pub-dates&gt;&lt;/dates&gt;&lt;isbn&gt;2590-0595&lt;/isbn&gt;&lt;accession-num&gt;37250503&lt;/accession-num&gt;&lt;urls&gt;&lt;/urls&gt;&lt;custom2&gt;PMC10220412&lt;/custom2&gt;&lt;electronic-resource-num&gt;10.1016/j.xkme.2023.100639&lt;/electronic-resource-num&gt;&lt;remote-database-provider&gt;NLM&lt;/remote-database-provider&gt;&lt;language&gt;eng&lt;/language&gt;&lt;/record&gt;&lt;/Cite&gt;&lt;/EndNote&gt;</w:instrText>
      </w:r>
      <w:r w:rsidR="003164D9" w:rsidRPr="002C21B8">
        <w:fldChar w:fldCharType="separate"/>
      </w:r>
      <w:r w:rsidR="003164D9" w:rsidRPr="002C21B8">
        <w:rPr>
          <w:noProof/>
        </w:rPr>
        <w:t>(Chebib</w:t>
      </w:r>
      <w:r w:rsidR="003164D9" w:rsidRPr="002C21B8">
        <w:rPr>
          <w:i/>
          <w:noProof/>
        </w:rPr>
        <w:t xml:space="preserve"> et al.</w:t>
      </w:r>
      <w:r w:rsidR="003164D9" w:rsidRPr="002C21B8">
        <w:rPr>
          <w:noProof/>
        </w:rPr>
        <w:t>, 2023)</w:t>
      </w:r>
      <w:r w:rsidR="003164D9" w:rsidRPr="002C21B8">
        <w:fldChar w:fldCharType="end"/>
      </w:r>
      <w:r w:rsidR="003164D9" w:rsidRPr="002C21B8">
        <w:t xml:space="preserve"> and up to 70,000 in the UK </w:t>
      </w:r>
      <w:r w:rsidR="003164D9" w:rsidRPr="002C21B8">
        <w:fldChar w:fldCharType="begin"/>
      </w:r>
      <w:r w:rsidR="008A2F67" w:rsidRPr="002C21B8">
        <w:instrText xml:space="preserve"> ADDIN EN.CITE &lt;EndNote&gt;&lt;Cite&gt;&lt;Author&gt;NHS&lt;/Author&gt;&lt;Year&gt;2023&lt;/Year&gt;&lt;RecNum&gt;125101&lt;/RecNum&gt;&lt;DisplayText&gt;(NHS, 2023)&lt;/DisplayText&gt;&lt;record&gt;&lt;rec-number&gt;125101&lt;/rec-number&gt;&lt;foreign-keys&gt;&lt;key app="EN" db-id="xpefzwa5hf9dt2ea9fax95x7xvxz90v09dtf" timestamp="1764336889"&gt;125101&lt;/key&gt;&lt;/foreign-keys&gt;&lt;ref-type name="Web Page"&gt;12&lt;/ref-type&gt;&lt;contributors&gt;&lt;authors&gt;&lt;author&gt;NHS,&lt;/author&gt;&lt;/authors&gt;&lt;/contributors&gt;&lt;titles&gt;&lt;title&gt;Overview - Autosomal dominant polycystic kidney disease&lt;/title&gt;&lt;/titles&gt;&lt;number&gt;28/11/2025)&lt;/number&gt;&lt;dates&gt;&lt;year&gt;2023&lt;/year&gt;&lt;/dates&gt;&lt;urls&gt;&lt;related-urls&gt;&lt;url&gt;https://www.nhs.uk/conditions/autosomal-dominant-polycystic-kidney-disease-adpkd.com&lt;/url&gt;&lt;/related-urls&gt;&lt;/urls&gt;&lt;/record&gt;&lt;/Cite&gt;&lt;/EndNote&gt;</w:instrText>
      </w:r>
      <w:r w:rsidR="003164D9" w:rsidRPr="002C21B8">
        <w:fldChar w:fldCharType="separate"/>
      </w:r>
      <w:r w:rsidR="008A2F67" w:rsidRPr="002C21B8">
        <w:rPr>
          <w:noProof/>
        </w:rPr>
        <w:t>(NHS, 2023)</w:t>
      </w:r>
      <w:r w:rsidR="003164D9" w:rsidRPr="002C21B8">
        <w:fldChar w:fldCharType="end"/>
      </w:r>
      <w:r w:rsidR="003164D9" w:rsidRPr="002C21B8">
        <w:t xml:space="preserve">. </w:t>
      </w:r>
      <w:r w:rsidR="001E4236" w:rsidRPr="002C21B8">
        <w:t>It has an estimated worldwide prevalence of</w:t>
      </w:r>
      <w:r w:rsidR="00C75276" w:rsidRPr="002C21B8">
        <w:t xml:space="preserve"> 2.7 in 10,000 </w:t>
      </w:r>
      <w:r w:rsidR="001E4236" w:rsidRPr="002C21B8">
        <w:t xml:space="preserve">people (0.72 in 2,000) </w:t>
      </w:r>
      <w:r w:rsidR="001E4236" w:rsidRPr="002C21B8">
        <w:fldChar w:fldCharType="begin">
          <w:fldData xml:space="preserve">PEVuZE5vdGU+PENpdGU+PEF1dGhvcj5Tb2xhenpvPC9BdXRob3I+PFllYXI+MjAxODwvWWVhcj48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</w:fldData>
        </w:fldChar>
      </w:r>
      <w:r w:rsidR="001E4236" w:rsidRPr="002C21B8">
        <w:instrText xml:space="preserve"> ADDIN EN.CITE </w:instrText>
      </w:r>
      <w:r w:rsidR="001E4236" w:rsidRPr="002C21B8">
        <w:fldChar w:fldCharType="begin">
          <w:fldData xml:space="preserve">PEVuZE5vdGU+PENpdGU+PEF1dGhvcj5Tb2xhenpvPC9BdXRob3I+PFllYXI+MjAxODwvWWVhcj48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</w:fldData>
        </w:fldChar>
      </w:r>
      <w:r w:rsidR="001E4236" w:rsidRPr="002C21B8">
        <w:instrText xml:space="preserve"> ADDIN EN.CITE.DATA </w:instrText>
      </w:r>
      <w:r w:rsidR="001E4236" w:rsidRPr="002C21B8">
        <w:fldChar w:fldCharType="end"/>
      </w:r>
      <w:r w:rsidR="001E4236" w:rsidRPr="002C21B8">
        <w:fldChar w:fldCharType="separate"/>
      </w:r>
      <w:r w:rsidR="001E4236" w:rsidRPr="002C21B8">
        <w:rPr>
          <w:noProof/>
        </w:rPr>
        <w:t>(Solazzo</w:t>
      </w:r>
      <w:r w:rsidR="001E4236" w:rsidRPr="002C21B8">
        <w:rPr>
          <w:i/>
          <w:noProof/>
        </w:rPr>
        <w:t xml:space="preserve"> et al.</w:t>
      </w:r>
      <w:r w:rsidR="001E4236" w:rsidRPr="002C21B8">
        <w:rPr>
          <w:noProof/>
        </w:rPr>
        <w:t>, 2018)</w:t>
      </w:r>
      <w:r w:rsidR="001E4236" w:rsidRPr="002C21B8">
        <w:fldChar w:fldCharType="end"/>
      </w:r>
      <w:r w:rsidR="001E4236" w:rsidRPr="002C21B8">
        <w:t xml:space="preserve"> and therefore meets </w:t>
      </w:r>
      <w:r w:rsidR="003E6FDB" w:rsidRPr="002C21B8">
        <w:t xml:space="preserve">the </w:t>
      </w:r>
      <w:r w:rsidR="006F2F23" w:rsidRPr="002C21B8">
        <w:t xml:space="preserve">European </w:t>
      </w:r>
      <w:r w:rsidR="003E6FDB" w:rsidRPr="002C21B8">
        <w:t>Commission</w:t>
      </w:r>
      <w:r w:rsidR="001E4236" w:rsidRPr="002C21B8">
        <w:t>’s</w:t>
      </w:r>
      <w:r w:rsidR="003E6FDB" w:rsidRPr="002C21B8">
        <w:t xml:space="preserve"> </w:t>
      </w:r>
      <w:r w:rsidR="00C75276" w:rsidRPr="002C21B8">
        <w:t xml:space="preserve">definition of a </w:t>
      </w:r>
      <w:r w:rsidR="003164D9" w:rsidRPr="002C21B8">
        <w:t xml:space="preserve">rare disease </w:t>
      </w:r>
      <w:r w:rsidR="001E4236" w:rsidRPr="002C21B8">
        <w:fldChar w:fldCharType="begin"/>
      </w:r>
      <w:r w:rsidR="001E4236" w:rsidRPr="002C21B8">
        <w:instrText xml:space="preserve"> ADDIN EN.CITE &lt;EndNote&gt;&lt;Cite&gt;&lt;Author&gt;European Commission&lt;/Author&gt;&lt;Year&gt;2020&lt;/Year&gt;&lt;RecNum&gt;5018&lt;/RecNum&gt;&lt;DisplayText&gt;(European Commission, 2020)&lt;/DisplayText&gt;&lt;record&gt;&lt;rec-number&gt;5018&lt;/rec-number&gt;&lt;foreign-keys&gt;&lt;key app="EN" db-id="xpefzwa5hf9dt2ea9fax95x7xvxz90v09dtf" timestamp="1699890121"&gt;5018&lt;/key&gt;&lt;/foreign-keys&gt;&lt;ref-type name="Web Page"&gt;12&lt;/ref-type&gt;&lt;contributors&gt;&lt;authors&gt;&lt;author&gt;European Commission,&lt;/author&gt;&lt;/authors&gt;&lt;/contributors&gt;&lt;titles&gt;&lt;title&gt;Rare diseases&lt;/title&gt;&lt;/titles&gt;&lt;number&gt;13/11/2023)&lt;/number&gt;&lt;dates&gt;&lt;year&gt;2020&lt;/year&gt;&lt;/dates&gt;&lt;urls&gt;&lt;related-urls&gt;&lt;url&gt;https://ec.europa.eu/info/research-and-innovation/research-area/health/rare-diseases_en&lt;/url&gt;&lt;/related-urls&gt;&lt;/urls&gt;&lt;/record&gt;&lt;/Cite&gt;&lt;/EndNote&gt;</w:instrText>
      </w:r>
      <w:r w:rsidR="001E4236" w:rsidRPr="002C21B8">
        <w:fldChar w:fldCharType="separate"/>
      </w:r>
      <w:r w:rsidR="001E4236" w:rsidRPr="002C21B8">
        <w:rPr>
          <w:noProof/>
        </w:rPr>
        <w:t>(European Commission, 2020)</w:t>
      </w:r>
      <w:r w:rsidR="001E4236" w:rsidRPr="002C21B8">
        <w:fldChar w:fldCharType="end"/>
      </w:r>
      <w:r w:rsidR="001E4236" w:rsidRPr="002C21B8">
        <w:t xml:space="preserve">. </w:t>
      </w:r>
      <w:r w:rsidR="00046E20" w:rsidRPr="002C21B8">
        <w:t>It is</w:t>
      </w:r>
      <w:r w:rsidR="00AE73FB" w:rsidRPr="002C21B8">
        <w:t xml:space="preserve"> </w:t>
      </w:r>
      <w:r w:rsidR="00FD0F51" w:rsidRPr="002C21B8">
        <w:t>the fourth leading cause of kidney failure worldwide</w:t>
      </w:r>
      <w:r w:rsidR="00AE73FB" w:rsidRPr="002C21B8">
        <w:t xml:space="preserve"> and </w:t>
      </w:r>
      <w:r w:rsidR="00FD0F51" w:rsidRPr="002C21B8">
        <w:t>account</w:t>
      </w:r>
      <w:r w:rsidR="00AE73FB" w:rsidRPr="002C21B8">
        <w:t>s</w:t>
      </w:r>
      <w:r w:rsidR="00FD0F51" w:rsidRPr="002C21B8">
        <w:t xml:space="preserve"> for </w:t>
      </w:r>
      <w:r w:rsidR="00AE73FB" w:rsidRPr="002C21B8">
        <w:t>5</w:t>
      </w:r>
      <w:r w:rsidR="000131C9" w:rsidRPr="002C21B8">
        <w:t>–</w:t>
      </w:r>
      <w:r w:rsidR="00FD0F51" w:rsidRPr="002C21B8">
        <w:t xml:space="preserve">10% of </w:t>
      </w:r>
      <w:r w:rsidR="00AE73FB" w:rsidRPr="002C21B8">
        <w:t xml:space="preserve">patients receiving kidney replacement therapy </w:t>
      </w:r>
      <w:r w:rsidR="00AE73FB"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AE73FB" w:rsidRPr="002C21B8">
        <w:instrText xml:space="preserve"> ADDIN EN.CITE </w:instrText>
      </w:r>
      <w:r w:rsidR="00AE73FB"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AE73FB" w:rsidRPr="002C21B8">
        <w:instrText xml:space="preserve"> ADDIN EN.CITE.DATA </w:instrText>
      </w:r>
      <w:r w:rsidR="00AE73FB" w:rsidRPr="002C21B8">
        <w:fldChar w:fldCharType="end"/>
      </w:r>
      <w:r w:rsidR="00AE73FB" w:rsidRPr="002C21B8">
        <w:fldChar w:fldCharType="separate"/>
      </w:r>
      <w:r w:rsidR="00AE73FB" w:rsidRPr="002C21B8">
        <w:rPr>
          <w:noProof/>
        </w:rPr>
        <w:t>(Chapman</w:t>
      </w:r>
      <w:r w:rsidR="00AE73FB" w:rsidRPr="002C21B8">
        <w:rPr>
          <w:i/>
          <w:noProof/>
        </w:rPr>
        <w:t xml:space="preserve"> et al.</w:t>
      </w:r>
      <w:r w:rsidR="00AE73FB" w:rsidRPr="002C21B8">
        <w:rPr>
          <w:noProof/>
        </w:rPr>
        <w:t>, 2015; Cornec-Le Gall, Alam and Perrone, 2019)</w:t>
      </w:r>
      <w:r w:rsidR="00AE73FB" w:rsidRPr="002C21B8">
        <w:fldChar w:fldCharType="end"/>
      </w:r>
      <w:r w:rsidR="00AE73FB" w:rsidRPr="002C21B8">
        <w:t>.</w:t>
      </w:r>
    </w:p>
    <w:p w14:paraId="7D7B487C" w14:textId="367FF975" w:rsidR="00CE05D1" w:rsidRPr="002C21B8" w:rsidRDefault="00CE05D1" w:rsidP="00ED2D36">
      <w:pPr>
        <w:pStyle w:val="Heading4"/>
      </w:pPr>
      <w:r w:rsidRPr="002C21B8">
        <w:lastRenderedPageBreak/>
        <w:t>Genetics and heterogeneity</w:t>
      </w:r>
    </w:p>
    <w:p w14:paraId="64AFF3E1" w14:textId="74B09543" w:rsidR="00CE05D1" w:rsidRPr="002C21B8" w:rsidRDefault="00CE05D1" w:rsidP="007E24DE">
      <w:r w:rsidRPr="002C21B8">
        <w:t>ADPKD</w:t>
      </w:r>
      <w:r w:rsidR="00046E20" w:rsidRPr="002C21B8">
        <w:t xml:space="preserve"> </w:t>
      </w:r>
      <w:r w:rsidR="008865E7" w:rsidRPr="002C21B8">
        <w:t>has</w:t>
      </w:r>
      <w:r w:rsidR="009A6249" w:rsidRPr="002C21B8">
        <w:t xml:space="preserve"> </w:t>
      </w:r>
      <w:r w:rsidR="00D17554" w:rsidRPr="002C21B8">
        <w:t>an autosomal dominant pattern of inheritance</w:t>
      </w:r>
      <w:r w:rsidR="008865E7" w:rsidRPr="002C21B8">
        <w:t xml:space="preserve"> and is</w:t>
      </w:r>
      <w:r w:rsidR="00D17554" w:rsidRPr="002C21B8">
        <w:t xml:space="preserve"> </w:t>
      </w:r>
      <w:r w:rsidR="00CE0009" w:rsidRPr="002C21B8">
        <w:t xml:space="preserve">characterised by </w:t>
      </w:r>
      <w:r w:rsidR="009A6249" w:rsidRPr="002C21B8">
        <w:t xml:space="preserve">high penetrance but variable </w:t>
      </w:r>
      <w:r w:rsidR="008865E7" w:rsidRPr="002C21B8">
        <w:t xml:space="preserve">phenotypic </w:t>
      </w:r>
      <w:r w:rsidR="009A6249" w:rsidRPr="002C21B8">
        <w:t xml:space="preserve">expression. </w:t>
      </w:r>
      <w:r w:rsidR="008865E7" w:rsidRPr="002C21B8">
        <w:t xml:space="preserve">This means that the condition is passed down through families but the </w:t>
      </w:r>
      <w:r w:rsidR="00714EC9" w:rsidRPr="002C21B8">
        <w:t xml:space="preserve">presentation </w:t>
      </w:r>
      <w:r w:rsidR="008865E7" w:rsidRPr="002C21B8">
        <w:t xml:space="preserve">and disease severity </w:t>
      </w:r>
      <w:r w:rsidR="00714EC9" w:rsidRPr="002C21B8">
        <w:t>can vary both between families (interfamilial) and within families (intrafamilial)</w:t>
      </w:r>
      <w:r w:rsidR="00175669" w:rsidRPr="002C21B8">
        <w:t xml:space="preserve">. This </w:t>
      </w:r>
      <w:r w:rsidR="00714EC9" w:rsidRPr="002C21B8">
        <w:t>reflect</w:t>
      </w:r>
      <w:r w:rsidR="00175669" w:rsidRPr="002C21B8">
        <w:t xml:space="preserve">s </w:t>
      </w:r>
      <w:r w:rsidR="00AE73FB" w:rsidRPr="002C21B8">
        <w:t>the</w:t>
      </w:r>
      <w:r w:rsidR="00714EC9" w:rsidRPr="002C21B8">
        <w:t xml:space="preserve"> complex </w:t>
      </w:r>
      <w:r w:rsidR="009A6249" w:rsidRPr="002C21B8">
        <w:t xml:space="preserve">interplay </w:t>
      </w:r>
      <w:r w:rsidR="001C0775" w:rsidRPr="002C21B8">
        <w:t>of</w:t>
      </w:r>
      <w:r w:rsidR="009A6249" w:rsidRPr="002C21B8">
        <w:t xml:space="preserve"> genetic, epigenetic and </w:t>
      </w:r>
      <w:r w:rsidR="00B4218B" w:rsidRPr="002C21B8">
        <w:t>environmental</w:t>
      </w:r>
      <w:r w:rsidR="009A6249" w:rsidRPr="002C21B8">
        <w:t xml:space="preserve"> factors</w:t>
      </w:r>
      <w:r w:rsidR="001C0775" w:rsidRPr="002C21B8">
        <w:t xml:space="preserve"> </w:t>
      </w:r>
      <w:r w:rsidR="001C0775" w:rsidRPr="002C21B8">
        <w:fldChar w:fldCharType="begin"/>
      </w:r>
      <w:r w:rsidR="00590E88" w:rsidRPr="002C21B8">
        <w:instrText xml:space="preserve"> ADDIN EN.CITE &lt;EndNote&gt;&lt;Cite&gt;&lt;Author&gt;Lanktree&lt;/Author&gt;&lt;Year&gt;2019&lt;/Year&gt;&lt;RecNum&gt;125321&lt;/RecNum&gt;&lt;DisplayText&gt;(Lanktree&lt;style face="italic"&gt; et al.&lt;/style&gt;, 2019)&lt;/DisplayText&gt;&lt;record&gt;&lt;rec-number&gt;125321&lt;/rec-number&gt;&lt;foreign-keys&gt;&lt;key app="EN" db-id="xpefzwa5hf9dt2ea9fax95x7xvxz90v09dtf" timestamp="1775085704"&gt;125321&lt;/key&gt;&lt;/foreign-keys&gt;&lt;ref-type name="Journal Article"&gt;17&lt;/ref-type&gt;&lt;contributors&gt;&lt;authors&gt;&lt;author&gt;Lanktree, Matthew B&lt;/author&gt;&lt;author&gt;Guiard, Elsa&lt;/author&gt;&lt;author&gt;Li, Weili&lt;/author&gt;&lt;author&gt;Akbari, Pedram&lt;/author&gt;&lt;author&gt;Haghighi, Amirreza&lt;/author&gt;&lt;author&gt;Iliuta, Ioan-Andrei&lt;/author&gt;&lt;author&gt;Shi, Belili&lt;/author&gt;&lt;author&gt;Chen, Chen&lt;/author&gt;&lt;author&gt;He, Ning&lt;/author&gt;&lt;author&gt;Song, Xuewen&lt;/author&gt;&lt;/authors&gt;&lt;/contributors&gt;&lt;titles&gt;&lt;title&gt;Intrafamilial variability of ADPKD&lt;/title&gt;&lt;secondary-title&gt;Kidney International Reports&lt;/secondary-title&gt;&lt;/titles&gt;&lt;periodical&gt;&lt;full-title&gt;Kidney international reports&lt;/full-title&gt;&lt;/periodical&gt;&lt;pages&gt;995-1003&lt;/pages&gt;&lt;volume&gt;4&lt;/volume&gt;&lt;number&gt;7&lt;/number&gt;&lt;dates&gt;&lt;year&gt;2019&lt;/year&gt;&lt;/dates&gt;&lt;isbn&gt;2468-0249&lt;/isbn&gt;&lt;urls&gt;&lt;/urls&gt;&lt;/record&gt;&lt;/Cite&gt;&lt;/EndNote&gt;</w:instrText>
      </w:r>
      <w:r w:rsidR="001C0775" w:rsidRPr="002C21B8">
        <w:fldChar w:fldCharType="separate"/>
      </w:r>
      <w:r w:rsidR="001C0775" w:rsidRPr="002C21B8">
        <w:rPr>
          <w:noProof/>
        </w:rPr>
        <w:t>(Lanktree</w:t>
      </w:r>
      <w:r w:rsidR="001C0775" w:rsidRPr="002C21B8">
        <w:rPr>
          <w:i/>
          <w:noProof/>
        </w:rPr>
        <w:t xml:space="preserve"> et al.</w:t>
      </w:r>
      <w:r w:rsidR="001C0775" w:rsidRPr="002C21B8">
        <w:rPr>
          <w:noProof/>
        </w:rPr>
        <w:t>, 2019)</w:t>
      </w:r>
      <w:r w:rsidR="001C0775" w:rsidRPr="002C21B8">
        <w:fldChar w:fldCharType="end"/>
      </w:r>
      <w:r w:rsidR="009A6249" w:rsidRPr="002C21B8">
        <w:t>.</w:t>
      </w:r>
      <w:r w:rsidR="00FB392B" w:rsidRPr="002C21B8">
        <w:t xml:space="preserve"> Approximately 70</w:t>
      </w:r>
      <w:r w:rsidR="004B712A" w:rsidRPr="002C21B8">
        <w:t>–</w:t>
      </w:r>
      <w:r w:rsidR="00FB392B" w:rsidRPr="002C21B8">
        <w:t xml:space="preserve">85% of individuals with a clinical diagnosis have an identifiable pathogenic variant on genetic testing. Among genetically confirmed cases, most are caused by </w:t>
      </w:r>
      <w:r w:rsidR="00942445" w:rsidRPr="002C21B8">
        <w:t xml:space="preserve">pathogenic variants in </w:t>
      </w:r>
      <w:r w:rsidR="00942445" w:rsidRPr="002C21B8">
        <w:rPr>
          <w:i/>
          <w:iCs/>
        </w:rPr>
        <w:t>PKD1</w:t>
      </w:r>
      <w:r w:rsidR="00942445" w:rsidRPr="002C21B8">
        <w:t xml:space="preserve"> </w:t>
      </w:r>
      <w:r w:rsidR="00CB6F1A" w:rsidRPr="002C21B8">
        <w:t>(</w:t>
      </w:r>
      <w:r w:rsidR="00AE73FB" w:rsidRPr="002C21B8">
        <w:t>en</w:t>
      </w:r>
      <w:r w:rsidR="00CB6F1A" w:rsidRPr="002C21B8">
        <w:t xml:space="preserve">coding polycystin 1) </w:t>
      </w:r>
      <w:r w:rsidR="00942445" w:rsidRPr="002C21B8">
        <w:t xml:space="preserve">and </w:t>
      </w:r>
      <w:r w:rsidR="00942445" w:rsidRPr="002C21B8">
        <w:rPr>
          <w:i/>
          <w:iCs/>
        </w:rPr>
        <w:t>PKD2</w:t>
      </w:r>
      <w:r w:rsidR="001776C5" w:rsidRPr="002C21B8">
        <w:t xml:space="preserve"> (encoding polycystin 2</w:t>
      </w:r>
      <w:r w:rsidR="00CB6F1A" w:rsidRPr="002C21B8">
        <w:t>),</w:t>
      </w:r>
      <w:r w:rsidR="00942445" w:rsidRPr="002C21B8">
        <w:t xml:space="preserve"> </w:t>
      </w:r>
      <w:r w:rsidR="00531CE4" w:rsidRPr="002C21B8">
        <w:t>accounting for approximately</w:t>
      </w:r>
      <w:r w:rsidR="00CB6F1A" w:rsidRPr="002C21B8">
        <w:t xml:space="preserve"> </w:t>
      </w:r>
      <w:r w:rsidR="00531CE4" w:rsidRPr="002C21B8">
        <w:t>75</w:t>
      </w:r>
      <w:r w:rsidR="004B712A" w:rsidRPr="002C21B8">
        <w:t>–</w:t>
      </w:r>
      <w:r w:rsidR="00531CE4" w:rsidRPr="002C21B8">
        <w:t>80% and 15</w:t>
      </w:r>
      <w:r w:rsidR="004B712A" w:rsidRPr="002C21B8">
        <w:t>–2</w:t>
      </w:r>
      <w:r w:rsidR="00531CE4" w:rsidRPr="002C21B8">
        <w:t>0%</w:t>
      </w:r>
      <w:r w:rsidR="00CB6F1A" w:rsidRPr="002C21B8">
        <w:t>,</w:t>
      </w:r>
      <w:r w:rsidR="00531CE4" w:rsidRPr="002C21B8">
        <w:t xml:space="preserve"> </w:t>
      </w:r>
      <w:r w:rsidR="00CB6F1A" w:rsidRPr="002C21B8">
        <w:t>respectively</w:t>
      </w:r>
      <w:r w:rsidR="00531CE4" w:rsidRPr="002C21B8">
        <w:t xml:space="preserve">. </w:t>
      </w:r>
      <w:r w:rsidR="00531CE4" w:rsidRPr="002C21B8">
        <w:rPr>
          <w:i/>
          <w:iCs/>
        </w:rPr>
        <w:t>PKD1</w:t>
      </w:r>
      <w:r w:rsidR="00531CE4" w:rsidRPr="002C21B8">
        <w:t>-related disease is typically earlier in onset and more severe. Rare variants in other “minor</w:t>
      </w:r>
      <w:r w:rsidR="00FB392B" w:rsidRPr="002C21B8">
        <w:t>”</w:t>
      </w:r>
      <w:r w:rsidR="00531CE4" w:rsidRPr="002C21B8">
        <w:t xml:space="preserve"> genes, including </w:t>
      </w:r>
      <w:r w:rsidR="00942445" w:rsidRPr="002C21B8">
        <w:rPr>
          <w:i/>
          <w:iCs/>
        </w:rPr>
        <w:t>GANAB</w:t>
      </w:r>
      <w:r w:rsidR="00531CE4" w:rsidRPr="002C21B8">
        <w:t xml:space="preserve">, </w:t>
      </w:r>
      <w:r w:rsidR="00942445" w:rsidRPr="002C21B8">
        <w:rPr>
          <w:i/>
          <w:iCs/>
        </w:rPr>
        <w:t>DNAJB11</w:t>
      </w:r>
      <w:r w:rsidR="00531CE4" w:rsidRPr="002C21B8">
        <w:t xml:space="preserve"> and </w:t>
      </w:r>
      <w:r w:rsidR="00531CE4" w:rsidRPr="002C21B8">
        <w:rPr>
          <w:i/>
          <w:iCs/>
        </w:rPr>
        <w:t>IFT140</w:t>
      </w:r>
      <w:r w:rsidR="00AE73FB" w:rsidRPr="002C21B8">
        <w:t xml:space="preserve">, </w:t>
      </w:r>
      <w:r w:rsidR="00531CE4" w:rsidRPr="002C21B8">
        <w:t>amongst others</w:t>
      </w:r>
      <w:r w:rsidR="00942445" w:rsidRPr="002C21B8">
        <w:t xml:space="preserve">, </w:t>
      </w:r>
      <w:r w:rsidR="00531CE4" w:rsidRPr="002C21B8">
        <w:t xml:space="preserve">account for a small </w:t>
      </w:r>
      <w:r w:rsidR="001C0775" w:rsidRPr="002C21B8">
        <w:t>number</w:t>
      </w:r>
      <w:r w:rsidR="00531CE4" w:rsidRPr="002C21B8">
        <w:t xml:space="preserve"> of cases (approximately 1</w:t>
      </w:r>
      <w:r w:rsidR="00BE18FE" w:rsidRPr="002C21B8">
        <w:t>–</w:t>
      </w:r>
      <w:r w:rsidR="00531CE4" w:rsidRPr="002C21B8">
        <w:t xml:space="preserve">3%) and </w:t>
      </w:r>
      <w:r w:rsidR="00FB392B" w:rsidRPr="002C21B8">
        <w:t xml:space="preserve">are often associated with </w:t>
      </w:r>
      <w:r w:rsidR="00531CE4" w:rsidRPr="002C21B8">
        <w:t>mild</w:t>
      </w:r>
      <w:r w:rsidR="00FB0A67" w:rsidRPr="002C21B8">
        <w:t>er</w:t>
      </w:r>
      <w:r w:rsidR="00531CE4" w:rsidRPr="002C21B8">
        <w:t xml:space="preserve"> or atypical disease</w:t>
      </w:r>
      <w:r w:rsidR="00FB392B" w:rsidRPr="002C21B8">
        <w:t xml:space="preserve"> </w:t>
      </w:r>
      <w:r w:rsidR="001C0775" w:rsidRPr="002C21B8">
        <w:fldChar w:fldCharType="begin"/>
      </w:r>
      <w:r w:rsidR="001C0775" w:rsidRPr="002C21B8">
        <w:instrText xml:space="preserve"> ADDIN EN.CITE &lt;EndNote&gt;&lt;Cite&gt;&lt;Author&gt;Lanktree&lt;/Author&gt;&lt;Year&gt;2021&lt;/Year&gt;&lt;RecNum&gt;125119&lt;/RecNum&gt;&lt;DisplayText&gt;(Lanktree&lt;style face="italic"&gt; et al.&lt;/style&gt;, 2021)&lt;/DisplayText&gt;&lt;record&gt;&lt;rec-number&gt;125119&lt;/rec-number&gt;&lt;foreign-keys&gt;&lt;key app="EN" db-id="xpefzwa5hf9dt2ea9fax95x7xvxz90v09dtf" timestamp="1765793298"&gt;125119&lt;/key&gt;&lt;/foreign-keys&gt;&lt;ref-type name="Journal Article"&gt;17&lt;/ref-type&gt;&lt;contributors&gt;&lt;authors&gt;&lt;author&gt;Lanktree, Matthew B&lt;/author&gt;&lt;author&gt;Haghighi, Amirreza&lt;/author&gt;&lt;author&gt;di Bari, Ighli&lt;/author&gt;&lt;author&gt;Song, Xuewen&lt;/author&gt;&lt;author&gt;Pei, York&lt;/author&gt;&lt;/authors&gt;&lt;/contributors&gt;&lt;titles&gt;&lt;title&gt;Insights into autosomal dominant polycystic kidney disease from genetic studies&lt;/title&gt;&lt;secondary-title&gt;Clinical journal of the American Society of Nephrology&lt;/secondary-title&gt;&lt;/titles&gt;&lt;periodical&gt;&lt;full-title&gt;Clinical Journal of the American Society of Nephrology&lt;/full-title&gt;&lt;/periodical&gt;&lt;pages&gt;790-799&lt;/pages&gt;&lt;volume&gt;16&lt;/volume&gt;&lt;number&gt;5&lt;/number&gt;&lt;dates&gt;&lt;year&gt;2021&lt;/year&gt;&lt;/dates&gt;&lt;isbn&gt;1555-9041&lt;/isbn&gt;&lt;urls&gt;&lt;/urls&gt;&lt;/record&gt;&lt;/Cite&gt;&lt;/EndNote&gt;</w:instrText>
      </w:r>
      <w:r w:rsidR="001C0775" w:rsidRPr="002C21B8">
        <w:fldChar w:fldCharType="separate"/>
      </w:r>
      <w:r w:rsidR="001C0775" w:rsidRPr="002C21B8">
        <w:t>(Lanktree</w:t>
      </w:r>
      <w:r w:rsidR="001C0775" w:rsidRPr="002C21B8">
        <w:rPr>
          <w:i/>
        </w:rPr>
        <w:t xml:space="preserve"> et al.</w:t>
      </w:r>
      <w:r w:rsidR="001C0775" w:rsidRPr="002C21B8">
        <w:t>, 2021)</w:t>
      </w:r>
      <w:r w:rsidR="001C0775" w:rsidRPr="002C21B8">
        <w:fldChar w:fldCharType="end"/>
      </w:r>
      <w:r w:rsidR="009A6249" w:rsidRPr="002C21B8">
        <w:t>.</w:t>
      </w:r>
    </w:p>
    <w:p w14:paraId="2EC93673" w14:textId="7D1A32D3" w:rsidR="00CE05D1" w:rsidRPr="002C21B8" w:rsidRDefault="00CE05D1" w:rsidP="00ED2D36">
      <w:pPr>
        <w:pStyle w:val="Heading4"/>
      </w:pPr>
      <w:r w:rsidRPr="002C21B8">
        <w:t>Pathophysiology</w:t>
      </w:r>
    </w:p>
    <w:p w14:paraId="5EFBE500" w14:textId="2A9D57AE" w:rsidR="009A6249" w:rsidRPr="002C21B8" w:rsidRDefault="00531CE4" w:rsidP="003374F4">
      <w:r w:rsidRPr="002C21B8">
        <w:t xml:space="preserve">The polycystin </w:t>
      </w:r>
      <w:r w:rsidR="00F23FD1" w:rsidRPr="002C21B8">
        <w:t>proteins</w:t>
      </w:r>
      <w:r w:rsidR="00DA373D" w:rsidRPr="002C21B8">
        <w:t xml:space="preserve"> encoded by the </w:t>
      </w:r>
      <w:r w:rsidR="00DA373D" w:rsidRPr="002C21B8">
        <w:rPr>
          <w:i/>
          <w:iCs/>
        </w:rPr>
        <w:t xml:space="preserve">PKD </w:t>
      </w:r>
      <w:r w:rsidR="00DA373D" w:rsidRPr="002C21B8">
        <w:t>genes</w:t>
      </w:r>
      <w:r w:rsidR="00F23FD1" w:rsidRPr="002C21B8">
        <w:t xml:space="preserve"> form a signalling complex that is most prominently located in the primary cilia of renal tubular epithelial cells. </w:t>
      </w:r>
      <w:r w:rsidR="00417BC0" w:rsidRPr="002C21B8">
        <w:t xml:space="preserve">The main functions of this complex are the </w:t>
      </w:r>
      <w:r w:rsidR="00F23FD1" w:rsidRPr="002C21B8">
        <w:t>detect</w:t>
      </w:r>
      <w:r w:rsidR="00417BC0" w:rsidRPr="002C21B8">
        <w:t>ion of</w:t>
      </w:r>
      <w:r w:rsidR="00F23FD1" w:rsidRPr="002C21B8">
        <w:t xml:space="preserve"> fluid flow in renal tubules, regulat</w:t>
      </w:r>
      <w:r w:rsidR="00417BC0" w:rsidRPr="002C21B8">
        <w:t>ion of</w:t>
      </w:r>
      <w:r w:rsidR="00F23FD1" w:rsidRPr="002C21B8">
        <w:t xml:space="preserve"> intracellular calcium signalling, </w:t>
      </w:r>
      <w:r w:rsidR="00417BC0" w:rsidRPr="002C21B8">
        <w:t>maintenance of</w:t>
      </w:r>
      <w:r w:rsidR="00F23FD1" w:rsidRPr="002C21B8">
        <w:t xml:space="preserve"> normal tubular architecture and balanc</w:t>
      </w:r>
      <w:r w:rsidR="00417BC0" w:rsidRPr="002C21B8">
        <w:t>ing of</w:t>
      </w:r>
      <w:r w:rsidR="00F23FD1" w:rsidRPr="002C21B8">
        <w:t xml:space="preserve"> cell proliferation. </w:t>
      </w:r>
      <w:r w:rsidRPr="002C21B8">
        <w:t xml:space="preserve">Pathogenic variants in </w:t>
      </w:r>
      <w:r w:rsidR="00F23FD1" w:rsidRPr="002C21B8">
        <w:t xml:space="preserve">the polycystic kidney </w:t>
      </w:r>
      <w:r w:rsidRPr="002C21B8">
        <w:t xml:space="preserve">genes </w:t>
      </w:r>
      <w:r w:rsidR="00942445" w:rsidRPr="002C21B8">
        <w:t xml:space="preserve">disrupt </w:t>
      </w:r>
      <w:r w:rsidR="00F23FD1" w:rsidRPr="002C21B8">
        <w:t xml:space="preserve">the </w:t>
      </w:r>
      <w:r w:rsidR="00942445" w:rsidRPr="002C21B8">
        <w:t xml:space="preserve">normal </w:t>
      </w:r>
      <w:r w:rsidR="009A6249" w:rsidRPr="002C21B8">
        <w:t xml:space="preserve">polycystin pathway which reduces intracellular calcium, increases cyclic adenosine monophosphate </w:t>
      </w:r>
      <w:r w:rsidR="003B729B" w:rsidRPr="002C21B8">
        <w:t xml:space="preserve">(cAMP) </w:t>
      </w:r>
      <w:r w:rsidR="009A6249" w:rsidRPr="002C21B8">
        <w:t>levels and activates protein kinase A</w:t>
      </w:r>
      <w:r w:rsidR="00F23FD1" w:rsidRPr="002C21B8">
        <w:t xml:space="preserve"> </w:t>
      </w:r>
      <w:r w:rsidR="00F23FD1" w:rsidRPr="002C21B8">
        <w:fldChar w:fldCharType="begin"/>
      </w:r>
      <w:r w:rsidR="00F23FD1" w:rsidRPr="002C21B8">
        <w:instrText xml:space="preserve"> ADDIN EN.CITE &lt;EndNote&gt;&lt;Cite&gt;&lt;Author&gt;Ong&lt;/Author&gt;&lt;Year&gt;2005&lt;/Year&gt;&lt;RecNum&gt;125548&lt;/RecNum&gt;&lt;DisplayText&gt;(Ong and Harris, 2005)&lt;/DisplayText&gt;&lt;record&gt;&lt;rec-number&gt;125548&lt;/rec-number&gt;&lt;foreign-keys&gt;&lt;key app="EN" db-id="xpefzwa5hf9dt2ea9fax95x7xvxz90v09dtf" timestamp="1777631261"&gt;125548&lt;/key&gt;&lt;/foreign-keys&gt;&lt;ref-type name="Journal Article"&gt;17&lt;/ref-type&gt;&lt;contributors&gt;&lt;authors&gt;&lt;author&gt;Ong, Albert CM&lt;/author&gt;&lt;author&gt;Harris, Peter C&lt;/author&gt;&lt;/authors&gt;&lt;/contributors&gt;&lt;titles&gt;&lt;title&gt;Molecular pathogenesis of ADPKD: the polycystin complex gets complex&lt;/title&gt;&lt;secondary-title&gt;Kidney International&lt;/secondary-title&gt;&lt;/titles&gt;&lt;periodical&gt;&lt;full-title&gt;Kidney international&lt;/full-title&gt;&lt;/periodical&gt;&lt;pages&gt;1234-1247&lt;/pages&gt;&lt;volume&gt;67&lt;/volume&gt;&lt;number&gt;4&lt;/number&gt;&lt;dates&gt;&lt;year&gt;2005&lt;/year&gt;&lt;/dates&gt;&lt;isbn&gt;0085-2538&lt;/isbn&gt;&lt;urls&gt;&lt;/urls&gt;&lt;/record&gt;&lt;/Cite&gt;&lt;/EndNote&gt;</w:instrText>
      </w:r>
      <w:r w:rsidR="00F23FD1" w:rsidRPr="002C21B8">
        <w:fldChar w:fldCharType="separate"/>
      </w:r>
      <w:r w:rsidR="00F23FD1" w:rsidRPr="002C21B8">
        <w:rPr>
          <w:noProof/>
        </w:rPr>
        <w:t>(Ong and Harris, 2005)</w:t>
      </w:r>
      <w:r w:rsidR="00F23FD1" w:rsidRPr="002C21B8">
        <w:fldChar w:fldCharType="end"/>
      </w:r>
      <w:r w:rsidR="009A6249" w:rsidRPr="002C21B8">
        <w:t xml:space="preserve">. These changes </w:t>
      </w:r>
      <w:r w:rsidR="00F23FD1" w:rsidRPr="002C21B8">
        <w:t>lead to</w:t>
      </w:r>
      <w:r w:rsidR="009A6249" w:rsidRPr="002C21B8">
        <w:t xml:space="preserve"> cellular proliferation, fluid secretion and fibrosis, which collectively lead to </w:t>
      </w:r>
      <w:r w:rsidR="00F23FD1" w:rsidRPr="002C21B8">
        <w:t xml:space="preserve">the progressive development of </w:t>
      </w:r>
      <w:r w:rsidR="009A6249" w:rsidRPr="002C21B8">
        <w:t>cyst</w:t>
      </w:r>
      <w:r w:rsidR="00FB0A67" w:rsidRPr="002C21B8">
        <w:t>s</w:t>
      </w:r>
      <w:r w:rsidR="00F23FD1" w:rsidRPr="002C21B8">
        <w:t xml:space="preserve"> in the renal tubule</w:t>
      </w:r>
      <w:r w:rsidR="009A6249" w:rsidRPr="002C21B8">
        <w:t xml:space="preserve"> and</w:t>
      </w:r>
      <w:r w:rsidR="003E6FDB" w:rsidRPr="002C21B8">
        <w:t xml:space="preserve"> the</w:t>
      </w:r>
      <w:r w:rsidR="009A6249" w:rsidRPr="002C21B8">
        <w:t xml:space="preserve"> destruction of non-cystic kidney tissue</w:t>
      </w:r>
      <w:r w:rsidR="00CE05D1" w:rsidRPr="002C21B8">
        <w:t xml:space="preserve"> </w:t>
      </w:r>
      <w:r w:rsidR="00CE05D1" w:rsidRPr="002C21B8">
        <w:fldChar w:fldCharType="begin"/>
      </w:r>
      <w:r w:rsidR="00763983" w:rsidRPr="002C21B8">
        <w:instrText xml:space="preserve"> ADDIN EN.CITE &lt;EndNote&gt;&lt;Cite&gt;&lt;Author&gt;Harris&lt;/Author&gt;&lt;Year&gt;2014&lt;/Year&gt;&lt;RecNum&gt;125323&lt;/RecNum&gt;&lt;DisplayText&gt;(Harris and Torres, 2014)&lt;/DisplayText&gt;&lt;record&gt;&lt;rec-number&gt;125323&lt;/rec-number&gt;&lt;foreign-keys&gt;&lt;key app="EN" db-id="xpefzwa5hf9dt2ea9fax95x7xvxz90v09dtf" timestamp="1775085842"&gt;125323&lt;/key&gt;&lt;/foreign-keys&gt;&lt;ref-type name="Journal Article"&gt;17&lt;/ref-type&gt;&lt;contributors&gt;&lt;authors&gt;&lt;author&gt;Harris, Peter C&lt;/author&gt;&lt;author&gt;Torres, Vicente E&lt;/author&gt;&lt;/authors&gt;&lt;/contributors&gt;&lt;titles&gt;&lt;title&gt;Genetic mechanisms and signaling pathways in autosomal dominant polycystic kidney disease&lt;/title&gt;&lt;secondary-title&gt;The Journal of Clinical Investigation&lt;/secondary-title&gt;&lt;/titles&gt;&lt;periodical&gt;&lt;full-title&gt;The Journal of clinical investigation&lt;/full-title&gt;&lt;/periodical&gt;&lt;pages&gt;2315-2324&lt;/pages&gt;&lt;volume&gt;124&lt;/volume&gt;&lt;number&gt;6&lt;/number&gt;&lt;dates&gt;&lt;year&gt;2014&lt;/year&gt;&lt;/dates&gt;&lt;isbn&gt;0021-9738&lt;/isbn&gt;&lt;urls&gt;&lt;/urls&gt;&lt;/record&gt;&lt;/Cite&gt;&lt;/EndNote&gt;</w:instrText>
      </w:r>
      <w:r w:rsidR="00CE05D1" w:rsidRPr="002C21B8">
        <w:fldChar w:fldCharType="separate"/>
      </w:r>
      <w:r w:rsidR="00CE05D1" w:rsidRPr="002C21B8">
        <w:rPr>
          <w:noProof/>
        </w:rPr>
        <w:t>(Harris and Torres, 2014)</w:t>
      </w:r>
      <w:r w:rsidR="00CE05D1" w:rsidRPr="002C21B8">
        <w:fldChar w:fldCharType="end"/>
      </w:r>
      <w:r w:rsidR="009A6249" w:rsidRPr="002C21B8">
        <w:t>.</w:t>
      </w:r>
    </w:p>
    <w:p w14:paraId="17535E29" w14:textId="77777777" w:rsidR="00CE05D1" w:rsidRPr="002C21B8" w:rsidRDefault="00CE05D1" w:rsidP="00ED2D36">
      <w:pPr>
        <w:pStyle w:val="Heading4"/>
      </w:pPr>
      <w:r w:rsidRPr="002C21B8">
        <w:t>Diagnosis</w:t>
      </w:r>
    </w:p>
    <w:p w14:paraId="1DC3E4F0" w14:textId="35FEB912" w:rsidR="009A6249" w:rsidRPr="002C21B8" w:rsidRDefault="00D37D44" w:rsidP="003E6FDB">
      <w:r w:rsidRPr="002C21B8">
        <w:t xml:space="preserve">ADPKD is usually diagnosed between the ages of 30 and 50, when symptoms and signs start to appear. </w:t>
      </w:r>
      <w:r w:rsidR="00152141" w:rsidRPr="002C21B8">
        <w:t>A clinical diagnosis of ADPKD is usually</w:t>
      </w:r>
      <w:r w:rsidRPr="002C21B8">
        <w:t xml:space="preserve"> made</w:t>
      </w:r>
      <w:r w:rsidR="00152141" w:rsidRPr="002C21B8">
        <w:t xml:space="preserve"> based on age-dependent ultrasound imaging criteria which is particularly challenging in those with atypical clinical features, without family history or younger age </w:t>
      </w:r>
      <w:r w:rsidR="00152141" w:rsidRPr="002C21B8">
        <w:fldChar w:fldCharType="begin"/>
      </w:r>
      <w:r w:rsidR="00FF0A99" w:rsidRPr="002C21B8">
        <w:instrText xml:space="preserve"> ADDIN EN.CITE &lt;EndNote&gt;&lt;Cite&gt;&lt;Author&gt;Pei&lt;/Author&gt;&lt;Year&gt;2009&lt;/Year&gt;&lt;RecNum&gt;5098&lt;/RecNum&gt;&lt;DisplayText&gt;(Pei&lt;style face="italic"&gt; et al.&lt;/style&gt;, 2009)&lt;/DisplayText&gt;&lt;record&gt;&lt;rec-number&gt;5098&lt;/rec-number&gt;&lt;foreign-keys&gt;&lt;key app="EN" db-id="xpefzwa5hf9dt2ea9fax95x7xvxz90v09dtf" timestamp="1700144247"&gt;5098&lt;/key&gt;&lt;/foreign-keys&gt;&lt;ref-type name="Journal Article"&gt;17&lt;/ref-type&gt;&lt;contributors&gt;&lt;authors&gt;&lt;author&gt;Pei, York&lt;/author&gt;&lt;author&gt;Obaji, James&lt;/author&gt;&lt;author&gt;Dupuis, Annie&lt;/author&gt;&lt;author&gt;Paterson, Andrew D&lt;/author&gt;&lt;author&gt;Magistroni, Riccardo&lt;/author&gt;&lt;author&gt;Dicks, Elizabeth&lt;/author&gt;&lt;author&gt;Parfrey, Patrick&lt;/author&gt;&lt;author&gt;Cramer, Benvon&lt;/author&gt;&lt;author&gt;Coto, Eliecer&lt;/author&gt;&lt;author&gt;Torra, Roser&lt;/author&gt;&lt;/authors&gt;&lt;/contributors&gt;&lt;titles&gt;&lt;title&gt;Unified criteria for ultrasonographic diagnosis of ADPKD&lt;/title&gt;&lt;secondary-title&gt;Journal of the American Society of Nephrology&lt;/secondary-title&gt;&lt;/titles&gt;&lt;periodical&gt;&lt;full-title&gt;JOURNAL OF THE AMERICAN SOCIETY OF NEPHROLOGY&lt;/full-title&gt;&lt;/periodical&gt;&lt;pages&gt;205&lt;/pages&gt;&lt;volume&gt;20&lt;/volume&gt;&lt;number&gt;1&lt;/number&gt;&lt;dates&gt;&lt;year&gt;2009&lt;/year&gt;&lt;/dates&gt;&lt;urls&gt;&lt;/urls&gt;&lt;/record&gt;&lt;/Cite&gt;&lt;/EndNote&gt;</w:instrText>
      </w:r>
      <w:r w:rsidR="00152141" w:rsidRPr="002C21B8">
        <w:fldChar w:fldCharType="separate"/>
      </w:r>
      <w:r w:rsidR="00152141" w:rsidRPr="002C21B8">
        <w:rPr>
          <w:noProof/>
        </w:rPr>
        <w:t>(Pei</w:t>
      </w:r>
      <w:r w:rsidR="00152141" w:rsidRPr="002C21B8">
        <w:rPr>
          <w:i/>
          <w:noProof/>
        </w:rPr>
        <w:t xml:space="preserve"> et al.</w:t>
      </w:r>
      <w:r w:rsidR="00152141" w:rsidRPr="002C21B8">
        <w:rPr>
          <w:noProof/>
        </w:rPr>
        <w:t>, 2009)</w:t>
      </w:r>
      <w:r w:rsidR="00152141" w:rsidRPr="002C21B8">
        <w:fldChar w:fldCharType="end"/>
      </w:r>
      <w:r w:rsidR="00152141" w:rsidRPr="002C21B8">
        <w:t>.</w:t>
      </w:r>
      <w:r w:rsidR="00011E85" w:rsidRPr="002C21B8">
        <w:t xml:space="preserve"> Genomic testing is increasingly being recognised as an important </w:t>
      </w:r>
      <w:r w:rsidR="00152141" w:rsidRPr="002C21B8">
        <w:t>alternative as it can offer earlier and more accurate detection than imaging alone</w:t>
      </w:r>
      <w:r w:rsidR="00011E85" w:rsidRPr="002C21B8">
        <w:t xml:space="preserve"> </w:t>
      </w:r>
      <w:r w:rsidR="00011E85" w:rsidRPr="002C21B8">
        <w:fldChar w:fldCharType="begin"/>
      </w:r>
      <w:r w:rsidR="00062561" w:rsidRPr="002C21B8">
        <w:instrText xml:space="preserve"> ADDIN EN.CITE &lt;EndNote&gt;&lt;Cite&gt;&lt;Author&gt;Harnan&lt;/Author&gt;&lt;Year&gt;2025&lt;/Year&gt;&lt;RecNum&gt;125007&lt;/RecNum&gt;&lt;DisplayText&gt;(Harnan&lt;style face="italic"&gt; et al.&lt;/style&gt;, 2025)&lt;/DisplayText&gt;&lt;record&gt;&lt;rec-number&gt;125007&lt;/rec-number&gt;&lt;foreign-keys&gt;&lt;key app="EN" db-id="xpefzwa5hf9dt2ea9fax95x7xvxz90v09dtf" timestamp="1757321555"&gt;125007&lt;/key&gt;&lt;/foreign-keys&gt;&lt;ref-type name="Journal Article"&gt;17&lt;/ref-type&gt;&lt;contributors&gt;&lt;authors&gt;&lt;author&gt;Harnan, Sue&lt;/author&gt;&lt;author&gt;Gittus, Matt&lt;/author&gt;&lt;author&gt;Falzon, Louise&lt;/author&gt;&lt;author&gt;Durkie, Miranda&lt;/author&gt;&lt;author&gt;Mandrik, Olena&lt;/author&gt;&lt;author&gt;Ong, Albert&lt;/author&gt;&lt;author&gt;Fotheringham, James&lt;/author&gt;&lt;/authors&gt;&lt;/contributors&gt;&lt;titles&gt;&lt;title&gt;The diagnostic accuracy of ultrasound and genomic tests for the diagnosis of autosomal-dominant polycystic kidney disease: a systematic mapping review&lt;/title&gt;&lt;secondary-title&gt;Clinical Kidney Journal&lt;/secondary-title&gt;&lt;/titles&gt;&lt;periodical&gt;&lt;full-title&gt;Clinical kidney journal&lt;/full-title&gt;&lt;/periodical&gt;&lt;pages&gt;187&lt;/pages&gt;&lt;volume&gt;18&lt;/volume&gt;&lt;number&gt;7&lt;/number&gt;&lt;dates&gt;&lt;year&gt;2025&lt;/year&gt;&lt;/dates&gt;&lt;isbn&gt;2048-8505&lt;/isbn&gt;&lt;urls&gt;&lt;/urls&gt;&lt;/record&gt;&lt;/Cite&gt;&lt;/EndNote&gt;</w:instrText>
      </w:r>
      <w:r w:rsidR="00011E85" w:rsidRPr="002C21B8">
        <w:fldChar w:fldCharType="separate"/>
      </w:r>
      <w:r w:rsidR="00011E85" w:rsidRPr="002C21B8">
        <w:rPr>
          <w:noProof/>
        </w:rPr>
        <w:t>(Harnan</w:t>
      </w:r>
      <w:r w:rsidR="00011E85" w:rsidRPr="002C21B8">
        <w:rPr>
          <w:i/>
          <w:noProof/>
        </w:rPr>
        <w:t xml:space="preserve"> et al.</w:t>
      </w:r>
      <w:r w:rsidR="00011E85" w:rsidRPr="002C21B8">
        <w:rPr>
          <w:noProof/>
        </w:rPr>
        <w:t>, 2025)</w:t>
      </w:r>
      <w:r w:rsidR="00011E85" w:rsidRPr="002C21B8">
        <w:fldChar w:fldCharType="end"/>
      </w:r>
      <w:r w:rsidR="00011E85" w:rsidRPr="002C21B8">
        <w:t xml:space="preserve">. </w:t>
      </w:r>
      <w:r w:rsidR="00152141" w:rsidRPr="002C21B8">
        <w:t>It also provides valuable information for prognosis and family planning</w:t>
      </w:r>
      <w:r w:rsidR="001545E6" w:rsidRPr="002C21B8">
        <w:t>, as well as</w:t>
      </w:r>
      <w:r w:rsidR="00152141" w:rsidRPr="002C21B8">
        <w:t xml:space="preserve"> help</w:t>
      </w:r>
      <w:r w:rsidR="001545E6" w:rsidRPr="002C21B8">
        <w:t>ing to</w:t>
      </w:r>
      <w:r w:rsidR="00152141" w:rsidRPr="002C21B8">
        <w:t xml:space="preserve"> guide clinical management and </w:t>
      </w:r>
      <w:r w:rsidR="001545E6" w:rsidRPr="002C21B8">
        <w:t xml:space="preserve">the </w:t>
      </w:r>
      <w:r w:rsidR="00152141" w:rsidRPr="002C21B8">
        <w:t>screening of relatives</w:t>
      </w:r>
      <w:r w:rsidR="00A41F2D" w:rsidRPr="002C21B8">
        <w:t xml:space="preserve"> </w:t>
      </w:r>
      <w:r w:rsidR="00A41F2D" w:rsidRPr="002C21B8">
        <w:fldChar w:fldCharType="begin">
          <w:fldData xml:space="preserve">PEVuZE5vdGU+PENpdGU+PEF1dGhvcj5QZWk8L0F1dGhvcj48WWVhcj4yMDEwPC9ZZWFyPjxSZWNO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</w:fldData>
        </w:fldChar>
      </w:r>
      <w:r w:rsidR="000215B0" w:rsidRPr="002C21B8">
        <w:instrText xml:space="preserve"> ADDIN EN.CITE </w:instrText>
      </w:r>
      <w:r w:rsidR="000215B0" w:rsidRPr="002C21B8">
        <w:fldChar w:fldCharType="begin">
          <w:fldData xml:space="preserve">PEVuZE5vdGU+PENpdGU+PEF1dGhvcj5QZWk8L0F1dGhvcj48WWVhcj4yMDEwPC9ZZWFyPjxSZWNO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</w:fldData>
        </w:fldChar>
      </w:r>
      <w:r w:rsidR="000215B0" w:rsidRPr="002C21B8">
        <w:instrText xml:space="preserve"> ADDIN EN.CITE.DATA </w:instrText>
      </w:r>
      <w:r w:rsidR="000215B0" w:rsidRPr="002C21B8">
        <w:fldChar w:fldCharType="end"/>
      </w:r>
      <w:r w:rsidR="00A41F2D" w:rsidRPr="002C21B8">
        <w:fldChar w:fldCharType="separate"/>
      </w:r>
      <w:r w:rsidR="00A41F2D" w:rsidRPr="002C21B8">
        <w:rPr>
          <w:noProof/>
        </w:rPr>
        <w:t>(Pei and Watnick, 2010)</w:t>
      </w:r>
      <w:r w:rsidR="00A41F2D" w:rsidRPr="002C21B8">
        <w:fldChar w:fldCharType="end"/>
      </w:r>
      <w:r w:rsidR="001776C5" w:rsidRPr="002C21B8">
        <w:t>.</w:t>
      </w:r>
    </w:p>
    <w:p w14:paraId="29E4AA2B" w14:textId="5011E81A" w:rsidR="007F10E4" w:rsidRPr="002C21B8" w:rsidRDefault="007F10E4" w:rsidP="00ED2D36">
      <w:pPr>
        <w:pStyle w:val="Heading4"/>
      </w:pPr>
      <w:r w:rsidRPr="002C21B8">
        <w:lastRenderedPageBreak/>
        <w:t>Clinical features</w:t>
      </w:r>
    </w:p>
    <w:p w14:paraId="4AD3EF33" w14:textId="0DCB6EDC" w:rsidR="00AF57E9" w:rsidRPr="002C21B8" w:rsidRDefault="007F10E4" w:rsidP="003374F4">
      <w:r w:rsidRPr="002C21B8">
        <w:t xml:space="preserve">ADPKD presents with a wide </w:t>
      </w:r>
      <w:r w:rsidR="00F23FD1" w:rsidRPr="002C21B8">
        <w:t>range</w:t>
      </w:r>
      <w:r w:rsidRPr="002C21B8">
        <w:t xml:space="preserve"> of renal and extrarenal manifestations. </w:t>
      </w:r>
      <w:r w:rsidR="00D17554" w:rsidRPr="002C21B8">
        <w:t>Kidney</w:t>
      </w:r>
      <w:r w:rsidRPr="002C21B8">
        <w:t xml:space="preserve"> cyst formation and enlargement can lead to abdominal pain, distension, haematuria, recurrent urinary tract infections and kidney stones </w:t>
      </w:r>
      <w:r w:rsidRPr="002C21B8">
        <w:fldChar w:fldCharType="begin"/>
      </w:r>
      <w:r w:rsidR="00FF0A99" w:rsidRPr="002C21B8">
        <w:instrText xml:space="preserve"> ADDIN EN.CITE &lt;EndNote&gt;&lt;Cite&gt;&lt;Author&gt;Ong&lt;/Author&gt;&lt;Year&gt;2026&lt;/Year&gt;&lt;RecNum&gt;125325&lt;/RecNum&gt;&lt;DisplayText&gt;(Ong&lt;style face="italic"&gt; et al.&lt;/style&gt;, 2026)&lt;/DisplayText&gt;&lt;record&gt;&lt;rec-number&gt;125325&lt;/rec-number&gt;&lt;foreign-keys&gt;&lt;key app="EN" db-id="xpefzwa5hf9dt2ea9fax95x7xvxz90v09dtf" timestamp="1775121470"&gt;125325&lt;/key&gt;&lt;/foreign-keys&gt;&lt;ref-type name="Journal Article"&gt;17&lt;/ref-type&gt;&lt;contributors&gt;&lt;authors&gt;&lt;author&gt;Ong, Albert CM&lt;/author&gt;&lt;author&gt;Carriazo, Sol&lt;/author&gt;&lt;author&gt;Ma, Becky Mingyao&lt;/author&gt;&lt;author&gt;Torra, Roser&lt;/author&gt;&lt;author&gt;Pei, York&lt;/author&gt;&lt;/authors&gt;&lt;/contributors&gt;&lt;titles&gt;&lt;title&gt;Autosomal dominant polycystic kidney disease&lt;/title&gt;&lt;secondary-title&gt;The Lancet&lt;/secondary-title&gt;&lt;/titles&gt;&lt;periodical&gt;&lt;full-title&gt;The Lancet&lt;/full-title&gt;&lt;/periodical&gt;&lt;pages&gt;1289-1302&lt;/pages&gt;&lt;volume&gt;407&lt;/volume&gt;&lt;num-vols&gt;10535&lt;/num-vols&gt;&lt;dates&gt;&lt;year&gt;2026&lt;/year&gt;&lt;/dates&gt;&lt;isbn&gt;0140-6736&lt;/isbn&gt;&lt;urls&gt;&lt;/urls&gt;&lt;/record&gt;&lt;/Cite&gt;&lt;/EndNote&gt;</w:instrText>
      </w:r>
      <w:r w:rsidRPr="002C21B8">
        <w:fldChar w:fldCharType="separate"/>
      </w:r>
      <w:r w:rsidRPr="002C21B8">
        <w:rPr>
          <w:noProof/>
        </w:rPr>
        <w:t>(Ong</w:t>
      </w:r>
      <w:r w:rsidRPr="002C21B8">
        <w:rPr>
          <w:i/>
          <w:noProof/>
        </w:rPr>
        <w:t xml:space="preserve"> et al.</w:t>
      </w:r>
      <w:r w:rsidRPr="002C21B8">
        <w:rPr>
          <w:noProof/>
        </w:rPr>
        <w:t>, 2026)</w:t>
      </w:r>
      <w:r w:rsidRPr="002C21B8">
        <w:fldChar w:fldCharType="end"/>
      </w:r>
      <w:r w:rsidRPr="002C21B8">
        <w:t xml:space="preserve">. </w:t>
      </w:r>
      <w:r w:rsidR="00D17554" w:rsidRPr="002C21B8">
        <w:t>T</w:t>
      </w:r>
      <w:r w:rsidRPr="002C21B8">
        <w:t xml:space="preserve">he structural changes associated with the disease </w:t>
      </w:r>
      <w:r w:rsidR="00D17554" w:rsidRPr="002C21B8">
        <w:t>lead</w:t>
      </w:r>
      <w:r w:rsidRPr="002C21B8">
        <w:t xml:space="preserve"> to a </w:t>
      </w:r>
      <w:r w:rsidR="00D17554" w:rsidRPr="002C21B8">
        <w:t xml:space="preserve">gradual </w:t>
      </w:r>
      <w:r w:rsidRPr="002C21B8">
        <w:t>decline in kidney function</w:t>
      </w:r>
      <w:r w:rsidR="00D17554" w:rsidRPr="002C21B8">
        <w:t xml:space="preserve"> over time</w:t>
      </w:r>
      <w:r w:rsidR="006C6595" w:rsidRPr="002C21B8">
        <w:t xml:space="preserve"> in most cases</w:t>
      </w:r>
      <w:r w:rsidRPr="002C21B8">
        <w:t xml:space="preserve">, with around 50% of people requiring kidney replacement therapy through dialysis or transplantation by </w:t>
      </w:r>
      <w:r w:rsidR="00FB0A67" w:rsidRPr="002C21B8">
        <w:t xml:space="preserve">the </w:t>
      </w:r>
      <w:r w:rsidRPr="002C21B8">
        <w:t>age</w:t>
      </w:r>
      <w:r w:rsidR="00FB0A67" w:rsidRPr="002C21B8">
        <w:t xml:space="preserve"> of</w:t>
      </w:r>
      <w:r w:rsidRPr="002C21B8">
        <w:t xml:space="preserve"> 60 </w:t>
      </w:r>
      <w:r w:rsidRPr="002C21B8">
        <w:fldChar w:fldCharType="begin"/>
      </w:r>
      <w:r w:rsidRPr="002C21B8">
        <w:instrText xml:space="preserve"> ADDIN EN.CITE &lt;EndNote&gt;&lt;Cite&gt;&lt;Author&gt;Higashihara&lt;/Author&gt;&lt;Year&gt;1998&lt;/Year&gt;&lt;RecNum&gt;124901&lt;/RecNum&gt;&lt;DisplayText&gt;(Higashihara&lt;style face="italic"&gt; et al.&lt;/style&gt;, 1998)&lt;/DisplayText&gt;&lt;record&gt;&lt;rec-number&gt;124901&lt;/rec-number&gt;&lt;foreign-keys&gt;&lt;key app="EN" db-id="xpefzwa5hf9dt2ea9fax95x7xvxz90v09dtf" timestamp="1748870128"&gt;124901&lt;/key&gt;&lt;/foreign-keys&gt;&lt;ref-type name="Journal Article"&gt;17&lt;/ref-type&gt;&lt;contributors&gt;&lt;authors&gt;&lt;author&gt;Higashihara, Eiji&lt;/author&gt;&lt;author&gt;Nutahara, Kikuo&lt;/author&gt;&lt;author&gt;Kojima, Masayo&lt;/author&gt;&lt;author&gt;Tamakoshi, Akiko&lt;/author&gt;&lt;author&gt;Yoshiyuki, Ohno&lt;/author&gt;&lt;author&gt;Sakai, Hideto&lt;/author&gt;&lt;author&gt;Kurokawa, Kiyoshi&lt;/author&gt;&lt;/authors&gt;&lt;/contributors&gt;&lt;titles&gt;&lt;title&gt;Prevalence and renal prognosis of diagnosed autosomal dominant polycystic kidney disease in Japan&lt;/title&gt;&lt;secondary-title&gt;Nephron&lt;/secondary-title&gt;&lt;/titles&gt;&lt;periodical&gt;&lt;full-title&gt;Nephron&lt;/full-title&gt;&lt;/periodical&gt;&lt;pages&gt;421-427&lt;/pages&gt;&lt;volume&gt;80&lt;/volume&gt;&lt;number&gt;4&lt;/number&gt;&lt;dates&gt;&lt;year&gt;1998&lt;/year&gt;&lt;/dates&gt;&lt;isbn&gt;1660-8151&lt;/isbn&gt;&lt;urls&gt;&lt;/urls&gt;&lt;/record&gt;&lt;/Cite&gt;&lt;/EndNote&gt;</w:instrText>
      </w:r>
      <w:r w:rsidRPr="002C21B8">
        <w:fldChar w:fldCharType="separate"/>
      </w:r>
      <w:r w:rsidRPr="002C21B8">
        <w:t>(Higashihara</w:t>
      </w:r>
      <w:r w:rsidRPr="002C21B8">
        <w:rPr>
          <w:i/>
        </w:rPr>
        <w:t xml:space="preserve"> et al.</w:t>
      </w:r>
      <w:r w:rsidRPr="002C21B8">
        <w:t>, 1998)</w:t>
      </w:r>
      <w:r w:rsidRPr="002C21B8">
        <w:fldChar w:fldCharType="end"/>
      </w:r>
      <w:r w:rsidRPr="002C21B8">
        <w:t xml:space="preserve">. </w:t>
      </w:r>
      <w:r w:rsidR="00AF57E9" w:rsidRPr="002C21B8">
        <w:t xml:space="preserve">In addition to kidney involvement, people with ADPKD may also have a combination of extrarenal manifestations such as liver cysts, intracranial aneurysms and valvular dysfunction </w:t>
      </w:r>
      <w:r w:rsidRPr="002C21B8">
        <w:fldChar w:fldCharType="begin">
          <w:fldData xml:space="preserve">PEVuZE5vdGU+PENpdGU+PEF1dGhvcj5Db3JuZWMtTGUgR2FsbDwvQXV0aG9yPjxZZWFyPjIwMTk8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</w:fldData>
        </w:fldChar>
      </w:r>
      <w:r w:rsidR="00731A52" w:rsidRPr="002C21B8">
        <w:instrText xml:space="preserve"> ADDIN EN.CITE </w:instrText>
      </w:r>
      <w:r w:rsidR="00731A52" w:rsidRPr="002C21B8">
        <w:fldChar w:fldCharType="begin">
          <w:fldData xml:space="preserve">PEVuZE5vdGU+PENpdGU+PEF1dGhvcj5Db3JuZWMtTGUgR2FsbDwvQXV0aG9yPjxZZWFyPjIwMTk8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</w:fldData>
        </w:fldChar>
      </w:r>
      <w:r w:rsidR="00731A52" w:rsidRPr="002C21B8">
        <w:instrText xml:space="preserve"> ADDIN EN.CITE.DATA </w:instrText>
      </w:r>
      <w:r w:rsidR="00731A52" w:rsidRPr="002C21B8">
        <w:fldChar w:fldCharType="end"/>
      </w:r>
      <w:r w:rsidRPr="002C21B8">
        <w:fldChar w:fldCharType="separate"/>
      </w:r>
      <w:r w:rsidRPr="002C21B8">
        <w:rPr>
          <w:noProof/>
        </w:rPr>
        <w:t>(Cornec-Le Gall, Alam and Perrone, 2019)</w:t>
      </w:r>
      <w:r w:rsidRPr="002C21B8">
        <w:fldChar w:fldCharType="end"/>
      </w:r>
      <w:r w:rsidRPr="002C21B8">
        <w:t xml:space="preserve">. </w:t>
      </w:r>
      <w:r w:rsidR="006C6595" w:rsidRPr="002C21B8">
        <w:t xml:space="preserve">ADPKD is recognised to have a </w:t>
      </w:r>
      <w:r w:rsidR="00304064" w:rsidRPr="002C21B8">
        <w:t>significant</w:t>
      </w:r>
      <w:r w:rsidR="006C6595" w:rsidRPr="002C21B8">
        <w:t xml:space="preserve"> impact on quality of life due to the </w:t>
      </w:r>
      <w:r w:rsidR="00DC3FFA" w:rsidRPr="002C21B8">
        <w:t xml:space="preserve">chronic pain, fatigue, </w:t>
      </w:r>
      <w:r w:rsidR="00304064" w:rsidRPr="002C21B8">
        <w:t xml:space="preserve">psychological </w:t>
      </w:r>
      <w:r w:rsidR="00DC3FFA" w:rsidRPr="002C21B8">
        <w:t xml:space="preserve">distress and functional limitations </w:t>
      </w:r>
      <w:r w:rsidR="00807D7D" w:rsidRPr="002C21B8">
        <w:t xml:space="preserve">that </w:t>
      </w:r>
      <w:r w:rsidR="00274746" w:rsidRPr="002C21B8">
        <w:t xml:space="preserve">are </w:t>
      </w:r>
      <w:r w:rsidR="006C6595" w:rsidRPr="002C21B8">
        <w:t xml:space="preserve">experienced by people living with the condition </w:t>
      </w:r>
      <w:r w:rsidR="00F23FD1" w:rsidRPr="002C21B8">
        <w:fldChar w:fldCharType="begin"/>
      </w:r>
      <w:r w:rsidR="006C6595" w:rsidRPr="002C21B8">
        <w:instrText xml:space="preserve"> ADDIN EN.CITE &lt;EndNote&gt;&lt;Cite&gt;&lt;Author&gt;Gittus&lt;/Author&gt;&lt;Year&gt;2026&lt;/Year&gt;&lt;RecNum&gt;125549&lt;/RecNum&gt;&lt;DisplayText&gt;(Gittus, Harris and Ong, 2023; Gittus&lt;style face="italic"&gt; et al.&lt;/style&gt;, 2026)&lt;/DisplayText&gt;&lt;record&gt;&lt;rec-number&gt;125549&lt;/rec-number&gt;&lt;foreign-keys&gt;&lt;key app="EN" db-id="xpefzwa5hf9dt2ea9fax95x7xvxz90v09dtf" timestamp="1777631436"&gt;125549&lt;/key&gt;&lt;/foreign-keys&gt;&lt;ref-type name="Journal Article"&gt;17&lt;/ref-type&gt;&lt;contributors&gt;&lt;authors&gt;&lt;author&gt;Gittus, Matt&lt;/author&gt;&lt;author&gt;Zhang, Yanan&lt;/author&gt;&lt;author&gt;Harnan, Sue&lt;/author&gt;&lt;author&gt;Sutton, Anthea&lt;/author&gt;&lt;author&gt;Fotheringham, James&lt;/author&gt;&lt;author&gt;Ong, Albert C&lt;/author&gt;&lt;author&gt;Mandrik, Olena&lt;/author&gt;&lt;/authors&gt;&lt;/contributors&gt;&lt;titles&gt;&lt;title&gt;Health-related quality of life in people with autosomal dominant polycystic kidney disease: a systematic review&lt;/title&gt;&lt;secondary-title&gt;Clinical Kidney Journal&lt;/secondary-title&gt;&lt;/titles&gt;&lt;periodical&gt;&lt;full-title&gt;Clinical kidney journal&lt;/full-title&gt;&lt;/periodical&gt;&lt;pages&gt;sfag116&lt;/pages&gt;&lt;dates&gt;&lt;year&gt;2026&lt;/year&gt;&lt;/dates&gt;&lt;isbn&gt;2048-8505&lt;/isbn&gt;&lt;urls&gt;&lt;/urls&gt;&lt;/record&gt;&lt;/Cite&gt;&lt;Cite&gt;&lt;Author&gt;Gittus&lt;/Author&gt;&lt;Year&gt;2023&lt;/Year&gt;&lt;RecNum&gt;5100&lt;/RecNum&gt;&lt;record&gt;&lt;rec-number&gt;5100&lt;/rec-number&gt;&lt;foreign-keys&gt;&lt;key app="EN" db-id="xpefzwa5hf9dt2ea9fax95x7xvxz90v09dtf" timestamp="1700144580"&gt;5100&lt;/key&gt;&lt;/foreign-keys&gt;&lt;ref-type name="Journal Article"&gt;17&lt;/ref-type&gt;&lt;contributors&gt;&lt;authors&gt;&lt;author&gt;Gittus, Matthew&lt;/author&gt;&lt;author&gt;Harris, Tess&lt;/author&gt;&lt;author&gt;Ong, Albert CM&lt;/author&gt;&lt;/authors&gt;&lt;/contributors&gt;&lt;titles&gt;&lt;title&gt;Patient Perspectives on ADPKD&lt;/title&gt;&lt;secondary-title&gt;Advances in Kidney Disease and Health&lt;/secondary-title&gt;&lt;/titles&gt;&lt;periodical&gt;&lt;full-title&gt;Advances in Kidney Disease and Health&lt;/full-title&gt;&lt;/periodical&gt;&lt;pages&gt;294-302&lt;/pages&gt;&lt;volume&gt;30&lt;/volume&gt;&lt;number&gt;3&lt;/number&gt;&lt;dates&gt;&lt;year&gt;2023&lt;/year&gt;&lt;/dates&gt;&lt;isbn&gt;2949-8139&lt;/isbn&gt;&lt;urls&gt;&lt;/urls&gt;&lt;/record&gt;&lt;/Cite&gt;&lt;/EndNote&gt;</w:instrText>
      </w:r>
      <w:r w:rsidR="00F23FD1" w:rsidRPr="002C21B8">
        <w:fldChar w:fldCharType="separate"/>
      </w:r>
      <w:r w:rsidR="006C6595" w:rsidRPr="002C21B8">
        <w:rPr>
          <w:noProof/>
        </w:rPr>
        <w:t>(Gittus, Harris and Ong, 2023; Gittus</w:t>
      </w:r>
      <w:r w:rsidR="006C6595" w:rsidRPr="002C21B8">
        <w:rPr>
          <w:i/>
          <w:noProof/>
        </w:rPr>
        <w:t xml:space="preserve"> et al.</w:t>
      </w:r>
      <w:r w:rsidR="006C6595" w:rsidRPr="002C21B8">
        <w:rPr>
          <w:noProof/>
        </w:rPr>
        <w:t>, 2026)</w:t>
      </w:r>
      <w:r w:rsidR="00F23FD1" w:rsidRPr="002C21B8">
        <w:fldChar w:fldCharType="end"/>
      </w:r>
      <w:r w:rsidR="00DC3FFA" w:rsidRPr="002C21B8">
        <w:t>.</w:t>
      </w:r>
    </w:p>
    <w:p w14:paraId="5A1B23A8" w14:textId="114F94EA" w:rsidR="00C268EC" w:rsidRPr="002C21B8" w:rsidRDefault="00C268EC" w:rsidP="00ED2D36">
      <w:pPr>
        <w:pStyle w:val="Heading4"/>
      </w:pPr>
      <w:r w:rsidRPr="002C21B8">
        <w:t>Markers of disease progression</w:t>
      </w:r>
    </w:p>
    <w:p w14:paraId="61CD1FF0" w14:textId="6969520C" w:rsidR="00437943" w:rsidRPr="002C21B8" w:rsidRDefault="00437943" w:rsidP="00F922B6">
      <w:r w:rsidRPr="002C21B8">
        <w:t xml:space="preserve">As ADPKD exhibits significant variability </w:t>
      </w:r>
      <w:r w:rsidR="00CB6F1A" w:rsidRPr="002C21B8">
        <w:t xml:space="preserve">in </w:t>
      </w:r>
      <w:r w:rsidR="00F23FD1" w:rsidRPr="002C21B8">
        <w:t xml:space="preserve">disease </w:t>
      </w:r>
      <w:r w:rsidR="00CB6F1A" w:rsidRPr="002C21B8">
        <w:t xml:space="preserve">progression, there is a need for reliable and predictive markers to </w:t>
      </w:r>
      <w:r w:rsidR="00F23FD1" w:rsidRPr="002C21B8">
        <w:t>guide</w:t>
      </w:r>
      <w:r w:rsidR="00CB6F1A" w:rsidRPr="002C21B8">
        <w:t xml:space="preserve"> management. </w:t>
      </w:r>
      <w:r w:rsidRPr="002C21B8">
        <w:t>Age-indexed estimated glomerular filtration rate (eGFR) and rate of decline (</w:t>
      </w:r>
      <w:r w:rsidR="00F23FD1" w:rsidRPr="002C21B8">
        <w:t xml:space="preserve">eGFR </w:t>
      </w:r>
      <w:r w:rsidRPr="002C21B8">
        <w:t xml:space="preserve">slope) are commonly used to </w:t>
      </w:r>
      <w:r w:rsidR="00F922B6" w:rsidRPr="002C21B8">
        <w:t xml:space="preserve">assess and </w:t>
      </w:r>
      <w:r w:rsidRPr="002C21B8">
        <w:t>predict</w:t>
      </w:r>
      <w:r w:rsidR="00F23FD1" w:rsidRPr="002C21B8">
        <w:t xml:space="preserve"> </w:t>
      </w:r>
      <w:r w:rsidR="00F922B6" w:rsidRPr="002C21B8">
        <w:t xml:space="preserve">loss in </w:t>
      </w:r>
      <w:r w:rsidRPr="002C21B8">
        <w:t>kidney function. However, significant kidney enlarge</w:t>
      </w:r>
      <w:r w:rsidR="00A22EB8" w:rsidRPr="002C21B8">
        <w:t>ment</w:t>
      </w:r>
      <w:r w:rsidRPr="002C21B8">
        <w:t xml:space="preserve"> often </w:t>
      </w:r>
      <w:r w:rsidR="00F922B6" w:rsidRPr="002C21B8">
        <w:t>precedes any decline in eGFR by years or even decades</w:t>
      </w:r>
      <w:r w:rsidR="00304064" w:rsidRPr="002C21B8">
        <w:t xml:space="preserve">. This </w:t>
      </w:r>
      <w:r w:rsidR="00F922B6" w:rsidRPr="002C21B8">
        <w:t>limit</w:t>
      </w:r>
      <w:r w:rsidR="00304064" w:rsidRPr="002C21B8">
        <w:t>s</w:t>
      </w:r>
      <w:r w:rsidR="00F922B6" w:rsidRPr="002C21B8">
        <w:t xml:space="preserve"> </w:t>
      </w:r>
      <w:r w:rsidR="00304064" w:rsidRPr="002C21B8">
        <w:t>the utility of eGFR</w:t>
      </w:r>
      <w:r w:rsidR="00274746" w:rsidRPr="002C21B8">
        <w:t>-</w:t>
      </w:r>
      <w:r w:rsidR="00304064" w:rsidRPr="002C21B8">
        <w:t>based markers</w:t>
      </w:r>
      <w:r w:rsidR="00F922B6" w:rsidRPr="002C21B8">
        <w:t xml:space="preserve"> for early risk stratification</w:t>
      </w:r>
      <w:r w:rsidRPr="002C21B8">
        <w:t xml:space="preserve"> </w:t>
      </w:r>
      <w:r w:rsidRPr="002C21B8">
        <w:fldChar w:fldCharType="begin"/>
      </w:r>
      <w:r w:rsidRPr="002C21B8">
        <w:instrText xml:space="preserve"> ADDIN EN.CITE &lt;EndNote&gt;&lt;Cite&gt;&lt;Author&gt;Chebib&lt;/Author&gt;&lt;Year&gt;2021&lt;/Year&gt;&lt;RecNum&gt;125326&lt;/RecNum&gt;&lt;DisplayText&gt;(Chebib and Torres, 2021)&lt;/DisplayText&gt;&lt;record&gt;&lt;rec-number&gt;125326&lt;/rec-number&gt;&lt;foreign-keys&gt;&lt;key app="EN" db-id="xpefzwa5hf9dt2ea9fax95x7xvxz90v09dtf" timestamp="1775126004"&gt;125326&lt;/key&gt;&lt;/foreign-keys&gt;&lt;ref-type name="Journal Article"&gt;17&lt;/ref-type&gt;&lt;contributors&gt;&lt;authors&gt;&lt;author&gt;Chebib, Fouad T&lt;/author&gt;&lt;author&gt;Torres, Vicente E&lt;/author&gt;&lt;/authors&gt;&lt;/contributors&gt;&lt;titles&gt;&lt;title&gt;Assessing risk of rapid progression in autosomal dominant polycystic kidney disease and special considerations for disease-modifying therapy&lt;/title&gt;&lt;secondary-title&gt;American Journal of Kidney Diseases&lt;/secondary-title&gt;&lt;/titles&gt;&lt;periodical&gt;&lt;full-title&gt;American Journal of Kidney Diseases&lt;/full-title&gt;&lt;/periodical&gt;&lt;pages&gt;282-292&lt;/pages&gt;&lt;volume&gt;78&lt;/volume&gt;&lt;number&gt;2&lt;/number&gt;&lt;dates&gt;&lt;year&gt;2021&lt;/year&gt;&lt;/dates&gt;&lt;isbn&gt;0272-6386&lt;/isbn&gt;&lt;urls&gt;&lt;/urls&gt;&lt;/record&gt;&lt;/Cite&gt;&lt;/EndNote&gt;</w:instrText>
      </w:r>
      <w:r w:rsidRPr="002C21B8">
        <w:fldChar w:fldCharType="separate"/>
      </w:r>
      <w:r w:rsidRPr="002C21B8">
        <w:t>(Chebib and Torres, 2021)</w:t>
      </w:r>
      <w:r w:rsidRPr="002C21B8">
        <w:fldChar w:fldCharType="end"/>
      </w:r>
      <w:r w:rsidRPr="002C21B8">
        <w:t xml:space="preserve">. </w:t>
      </w:r>
      <w:r w:rsidR="00F922B6" w:rsidRPr="002C21B8">
        <w:t xml:space="preserve">As a result, other indicators of disease progression have been developed. </w:t>
      </w:r>
      <w:r w:rsidR="00CB6F1A" w:rsidRPr="002C21B8">
        <w:t>Th</w:t>
      </w:r>
      <w:r w:rsidR="00F922B6" w:rsidRPr="002C21B8">
        <w:t>e</w:t>
      </w:r>
      <w:r w:rsidR="00CB6F1A" w:rsidRPr="002C21B8">
        <w:t>s</w:t>
      </w:r>
      <w:r w:rsidR="00F922B6" w:rsidRPr="002C21B8">
        <w:t>e</w:t>
      </w:r>
      <w:r w:rsidR="00CB6F1A" w:rsidRPr="002C21B8">
        <w:t xml:space="preserve"> include kidney length </w:t>
      </w:r>
      <w:r w:rsidR="00304064" w:rsidRPr="002C21B8">
        <w:t xml:space="preserve">which can be </w:t>
      </w:r>
      <w:r w:rsidR="00CB6F1A" w:rsidRPr="002C21B8">
        <w:t xml:space="preserve">measured by ultrasound and total kidney </w:t>
      </w:r>
      <w:r w:rsidR="00EE7885" w:rsidRPr="002C21B8">
        <w:t xml:space="preserve">volume (TKV) </w:t>
      </w:r>
      <w:r w:rsidR="00CB6F1A" w:rsidRPr="002C21B8">
        <w:t xml:space="preserve">measured by </w:t>
      </w:r>
      <w:r w:rsidR="007D6633" w:rsidRPr="002C21B8">
        <w:t>m</w:t>
      </w:r>
      <w:r w:rsidR="00A22EB8" w:rsidRPr="002C21B8">
        <w:t xml:space="preserve">agnetic </w:t>
      </w:r>
      <w:r w:rsidR="007D6633" w:rsidRPr="002C21B8">
        <w:t>re</w:t>
      </w:r>
      <w:r w:rsidR="00A22EB8" w:rsidRPr="002C21B8">
        <w:t>sonance</w:t>
      </w:r>
      <w:r w:rsidR="007D6663" w:rsidRPr="002C21B8">
        <w:t xml:space="preserve"> imaging</w:t>
      </w:r>
      <w:r w:rsidR="00A22EB8" w:rsidRPr="002C21B8">
        <w:t xml:space="preserve"> (MR</w:t>
      </w:r>
      <w:r w:rsidR="007D6663" w:rsidRPr="002C21B8">
        <w:t>I</w:t>
      </w:r>
      <w:r w:rsidR="00A22EB8" w:rsidRPr="002C21B8">
        <w:t>)</w:t>
      </w:r>
      <w:r w:rsidRPr="002C21B8">
        <w:t>. More recently</w:t>
      </w:r>
      <w:r w:rsidR="00F922B6" w:rsidRPr="002C21B8">
        <w:t>,</w:t>
      </w:r>
      <w:r w:rsidRPr="002C21B8">
        <w:t xml:space="preserve"> risk stratification tools have been developed</w:t>
      </w:r>
      <w:r w:rsidR="00CB6F1A" w:rsidRPr="002C21B8">
        <w:t xml:space="preserve"> to better predict disease progression</w:t>
      </w:r>
      <w:r w:rsidR="00716961" w:rsidRPr="002C21B8">
        <w:t xml:space="preserve"> </w:t>
      </w:r>
      <w:r w:rsidR="00716961" w:rsidRPr="002C21B8">
        <w:fldChar w:fldCharType="begin"/>
      </w:r>
      <w:r w:rsidR="00CE4967" w:rsidRPr="002C21B8">
        <w:instrText xml:space="preserve"> ADDIN EN.CITE &lt;EndNote&gt;&lt;Cite&gt;&lt;Author&gt;Bhutani&lt;/Author&gt;&lt;Year&gt;2015&lt;/Year&gt;&lt;RecNum&gt;5122&lt;/RecNum&gt;&lt;DisplayText&gt;(Bhutani&lt;style face="italic"&gt; et al.&lt;/style&gt;, 2015)&lt;/DisplayText&gt;&lt;record&gt;&lt;rec-number&gt;5122&lt;/rec-number&gt;&lt;foreign-keys&gt;&lt;key app="EN" db-id="xpefzwa5hf9dt2ea9fax95x7xvxz90v09dtf" timestamp="1700148954"&gt;5122&lt;/key&gt;&lt;/foreign-keys&gt;&lt;ref-type name="Journal Article"&gt;17&lt;/ref-type&gt;&lt;contributors&gt;&lt;authors&gt;&lt;author&gt;Bhutani, Harpreet&lt;/author&gt;&lt;author&gt;Smith, Vikram&lt;/author&gt;&lt;author&gt;Rahbari-Oskoui, Frederic&lt;/author&gt;&lt;author&gt;Mittal, Ankush&lt;/author&gt;&lt;author&gt;Grantham, Jared J&lt;/author&gt;&lt;author&gt;Torres, Vicente E&lt;/author&gt;&lt;author&gt;Mrug, Michal&lt;/author&gt;&lt;author&gt;Bae, Kyongtae T&lt;/author&gt;&lt;author&gt;Wu, Zhiyuan&lt;/author&gt;&lt;author&gt;Ge, Yinghui&lt;/author&gt;&lt;/authors&gt;&lt;/contributors&gt;&lt;titles&gt;&lt;title&gt;A comparison of ultrasound and magnetic resonance imaging shows that kidney length predicts chronic kidney disease in autosomal dominant polycystic kidney disease&lt;/title&gt;&lt;secondary-title&gt;Kidney International&lt;/secondary-title&gt;&lt;/titles&gt;&lt;periodical&gt;&lt;full-title&gt;Kidney international&lt;/full-title&gt;&lt;/periodical&gt;&lt;pages&gt;146-151&lt;/pages&gt;&lt;volume&gt;88&lt;/volume&gt;&lt;number&gt;1&lt;/number&gt;&lt;dates&gt;&lt;year&gt;2015&lt;/year&gt;&lt;/dates&gt;&lt;isbn&gt;0085-2538&lt;/isbn&gt;&lt;urls&gt;&lt;/urls&gt;&lt;/record&gt;&lt;/Cite&gt;&lt;/EndNote&gt;</w:instrText>
      </w:r>
      <w:r w:rsidR="00716961" w:rsidRPr="002C21B8">
        <w:fldChar w:fldCharType="separate"/>
      </w:r>
      <w:r w:rsidR="00716961" w:rsidRPr="002C21B8">
        <w:rPr>
          <w:noProof/>
        </w:rPr>
        <w:t>(Bhutani</w:t>
      </w:r>
      <w:r w:rsidR="00716961" w:rsidRPr="002C21B8">
        <w:rPr>
          <w:i/>
          <w:noProof/>
        </w:rPr>
        <w:t xml:space="preserve"> et al.</w:t>
      </w:r>
      <w:r w:rsidR="00716961" w:rsidRPr="002C21B8">
        <w:rPr>
          <w:noProof/>
        </w:rPr>
        <w:t>, 2015)</w:t>
      </w:r>
      <w:r w:rsidR="00716961" w:rsidRPr="002C21B8">
        <w:fldChar w:fldCharType="end"/>
      </w:r>
      <w:r w:rsidR="00CB6F1A" w:rsidRPr="002C21B8">
        <w:t xml:space="preserve">. </w:t>
      </w:r>
      <w:r w:rsidR="00F922B6" w:rsidRPr="002C21B8">
        <w:t>The</w:t>
      </w:r>
      <w:r w:rsidR="00304064" w:rsidRPr="002C21B8">
        <w:t xml:space="preserve">se include the </w:t>
      </w:r>
      <w:r w:rsidRPr="002C21B8">
        <w:t>Mayo Imaging Classification (MIC)</w:t>
      </w:r>
      <w:r w:rsidR="00CB6F1A" w:rsidRPr="002C21B8">
        <w:t xml:space="preserve"> </w:t>
      </w:r>
      <w:r w:rsidR="00F922B6" w:rsidRPr="002C21B8">
        <w:t xml:space="preserve">and the Predicting Renal Outcome in Polycystic Kidney Disease (PROPKD) score. The MIC </w:t>
      </w:r>
      <w:r w:rsidR="00304064" w:rsidRPr="002C21B8">
        <w:t>predicts disease progression based on their</w:t>
      </w:r>
      <w:r w:rsidR="00CB6F1A" w:rsidRPr="002C21B8">
        <w:t xml:space="preserve"> height-adjusted </w:t>
      </w:r>
      <w:r w:rsidR="00805B7F" w:rsidRPr="002C21B8">
        <w:t>TKV</w:t>
      </w:r>
      <w:r w:rsidR="00CB6F1A" w:rsidRPr="002C21B8">
        <w:t xml:space="preserve"> and age</w:t>
      </w:r>
      <w:r w:rsidR="00B93F06" w:rsidRPr="002C21B8">
        <w:t xml:space="preserve"> </w:t>
      </w:r>
      <w:r w:rsidR="00B93F06" w:rsidRPr="002C21B8">
        <w:fldChar w:fldCharType="begin"/>
      </w:r>
      <w:r w:rsidR="00B93F06" w:rsidRPr="002C21B8">
        <w:instrText xml:space="preserve"> ADDIN EN.CITE &lt;EndNote&gt;&lt;Cite&gt;&lt;Author&gt;Irazabal&lt;/Author&gt;&lt;Year&gt;2015&lt;/Year&gt;&lt;RecNum&gt;125020&lt;/RecNum&gt;&lt;DisplayText&gt;(Irazabal&lt;style face="italic"&gt; et al.&lt;/style&gt;, 2015)&lt;/DisplayText&gt;&lt;record&gt;&lt;rec-number&gt;125020&lt;/rec-number&gt;&lt;foreign-keys&gt;&lt;key app="EN" db-id="xpefzwa5hf9dt2ea9fax95x7xvxz90v09dtf" timestamp="1757323678"&gt;125020&lt;/key&gt;&lt;/foreign-keys&gt;&lt;ref-type name="Journal Article"&gt;17&lt;/ref-type&gt;&lt;contributors&gt;&lt;authors&gt;&lt;author&gt;Irazabal, María V&lt;/author&gt;&lt;author&gt;Rangel, Laureano J&lt;/author&gt;&lt;author&gt;Bergstralh, Eric J&lt;/author&gt;&lt;author&gt;Osborn, Sara L&lt;/author&gt;&lt;author&gt;Harmon, Amber J&lt;/author&gt;&lt;author&gt;Sundsbak, Jamie L&lt;/author&gt;&lt;author&gt;Bae, Kyongtae T&lt;/author&gt;&lt;author&gt;Chapman, Arlene B&lt;/author&gt;&lt;author&gt;Grantham, Jared J&lt;/author&gt;&lt;author&gt;Mrug, Michal&lt;/author&gt;&lt;/authors&gt;&lt;/contributors&gt;&lt;titles&gt;&lt;title&gt;Imaging classification of autosomal dominant polycystic kidney disease: a simple model for selecting patients for clinical trials&lt;/title&gt;&lt;secondary-title&gt;Journal of the American Society of Nephrology&lt;/secondary-title&gt;&lt;/titles&gt;&lt;periodical&gt;&lt;full-title&gt;JOURNAL OF THE AMERICAN SOCIETY OF NEPHROLOGY&lt;/full-title&gt;&lt;/periodical&gt;&lt;pages&gt;160-172&lt;/pages&gt;&lt;volume&gt;26&lt;/volume&gt;&lt;number&gt;1&lt;/number&gt;&lt;dates&gt;&lt;year&gt;2015&lt;/year&gt;&lt;/dates&gt;&lt;isbn&gt;1046-6673&lt;/isbn&gt;&lt;urls&gt;&lt;/urls&gt;&lt;/record&gt;&lt;/Cite&gt;&lt;/EndNote&gt;</w:instrText>
      </w:r>
      <w:r w:rsidR="00B93F06" w:rsidRPr="002C21B8">
        <w:fldChar w:fldCharType="separate"/>
      </w:r>
      <w:r w:rsidR="00B93F06" w:rsidRPr="002C21B8">
        <w:rPr>
          <w:noProof/>
        </w:rPr>
        <w:t>(Irazabal</w:t>
      </w:r>
      <w:r w:rsidR="00B93F06" w:rsidRPr="002C21B8">
        <w:rPr>
          <w:i/>
          <w:noProof/>
        </w:rPr>
        <w:t xml:space="preserve"> et al.</w:t>
      </w:r>
      <w:r w:rsidR="00B93F06" w:rsidRPr="002C21B8">
        <w:rPr>
          <w:noProof/>
        </w:rPr>
        <w:t>, 2015)</w:t>
      </w:r>
      <w:r w:rsidR="00B93F06" w:rsidRPr="002C21B8">
        <w:fldChar w:fldCharType="end"/>
      </w:r>
      <w:r w:rsidR="00F922B6" w:rsidRPr="002C21B8">
        <w:t xml:space="preserve">, whereas the </w:t>
      </w:r>
      <w:r w:rsidRPr="002C21B8">
        <w:t>PROPKD score</w:t>
      </w:r>
      <w:r w:rsidR="00CB6F1A" w:rsidRPr="002C21B8">
        <w:t xml:space="preserve"> i</w:t>
      </w:r>
      <w:r w:rsidR="00F922B6" w:rsidRPr="002C21B8">
        <w:t>ntegrates</w:t>
      </w:r>
      <w:r w:rsidR="00CB6F1A" w:rsidRPr="002C21B8">
        <w:t xml:space="preserve"> genetic and clinical factors</w:t>
      </w:r>
      <w:r w:rsidR="00716961" w:rsidRPr="002C21B8">
        <w:t xml:space="preserve"> </w:t>
      </w:r>
      <w:r w:rsidR="00716961" w:rsidRPr="002C21B8">
        <w:fldChar w:fldCharType="begin"/>
      </w:r>
      <w:r w:rsidR="00731A52" w:rsidRPr="002C21B8">
        <w:instrText xml:space="preserve"> ADDIN EN.CITE &lt;EndNote&gt;&lt;Cite&gt;&lt;Author&gt;Cornec-Le Gall&lt;/Author&gt;&lt;Year&gt;2016&lt;/Year&gt;&lt;RecNum&gt;5121&lt;/RecNum&gt;&lt;DisplayText&gt;(Cornec-Le Gall&lt;style face="italic"&gt; et al.&lt;/style&gt;, 2016)&lt;/DisplayText&gt;&lt;record&gt;&lt;rec-number&gt;5121&lt;/rec-number&gt;&lt;foreign-keys&gt;&lt;key app="EN" db-id="xpefzwa5hf9dt2ea9fax95x7xvxz90v09dtf" timestamp="1700148410"&gt;5121&lt;/key&gt;&lt;/foreign-keys&gt;&lt;ref-type name="Journal Article"&gt;17&lt;/ref-type&gt;&lt;contributors&gt;&lt;authors&gt;&lt;author&gt;Cornec-Le Gall, Emilie&lt;/author&gt;&lt;author&gt;Audrézet, Marie-Pierre&lt;/author&gt;&lt;author&gt;Rousseau, Annick&lt;/author&gt;&lt;author&gt;Hourmant, Maryvonne&lt;/author&gt;&lt;author&gt;Renaudineau, Eric&lt;/author&gt;&lt;author&gt;Charasse, Christophe&lt;/author&gt;&lt;author&gt;Morin, Marie-Pascale&lt;/author&gt;&lt;author&gt;Moal, Marie-Christine&lt;/author&gt;&lt;author&gt;Dantal, Jacques&lt;/author&gt;&lt;author&gt;Wehbe, Bassem&lt;/author&gt;&lt;/authors&gt;&lt;/contributors&gt;&lt;titles&gt;&lt;title&gt;The PROPKD score: a new algorithm to predict renal survival in autosomal dominant polycystic kidney disease&lt;/title&gt;&lt;secondary-title&gt;Journal of the American Society of Nephrology&lt;/secondary-title&gt;&lt;/titles&gt;&lt;periodical&gt;&lt;full-title&gt;JOURNAL OF THE AMERICAN SOCIETY OF NEPHROLOGY&lt;/full-title&gt;&lt;/periodical&gt;&lt;pages&gt;942&lt;/pages&gt;&lt;volume&gt;27&lt;/volume&gt;&lt;number&gt;3&lt;/number&gt;&lt;dates&gt;&lt;year&gt;2016&lt;/year&gt;&lt;/dates&gt;&lt;urls&gt;&lt;/urls&gt;&lt;/record&gt;&lt;/Cite&gt;&lt;/EndNote&gt;</w:instrText>
      </w:r>
      <w:r w:rsidR="00716961" w:rsidRPr="002C21B8">
        <w:fldChar w:fldCharType="separate"/>
      </w:r>
      <w:r w:rsidR="00716961" w:rsidRPr="002C21B8">
        <w:rPr>
          <w:noProof/>
        </w:rPr>
        <w:t>(Cornec-Le Gall</w:t>
      </w:r>
      <w:r w:rsidR="00716961" w:rsidRPr="002C21B8">
        <w:rPr>
          <w:i/>
          <w:noProof/>
        </w:rPr>
        <w:t xml:space="preserve"> et al.</w:t>
      </w:r>
      <w:r w:rsidR="00716961" w:rsidRPr="002C21B8">
        <w:rPr>
          <w:noProof/>
        </w:rPr>
        <w:t>, 2016)</w:t>
      </w:r>
      <w:r w:rsidR="00716961" w:rsidRPr="002C21B8">
        <w:fldChar w:fldCharType="end"/>
      </w:r>
      <w:r w:rsidR="00CB6F1A" w:rsidRPr="002C21B8">
        <w:t>.</w:t>
      </w:r>
    </w:p>
    <w:p w14:paraId="0D26E0E4" w14:textId="5774BCCD" w:rsidR="008C6322" w:rsidRPr="002C21B8" w:rsidRDefault="008C6322" w:rsidP="00ED2D36">
      <w:pPr>
        <w:pStyle w:val="Heading4"/>
      </w:pPr>
      <w:r w:rsidRPr="002C21B8">
        <w:t>Service configuration</w:t>
      </w:r>
    </w:p>
    <w:p w14:paraId="5ED5B3FA" w14:textId="1A075579" w:rsidR="00E90F2C" w:rsidRPr="002C21B8" w:rsidRDefault="00AD74F0" w:rsidP="00F922B6">
      <w:r w:rsidRPr="002C21B8">
        <w:t xml:space="preserve">In the UK, </w:t>
      </w:r>
      <w:r w:rsidR="008C6322" w:rsidRPr="002C21B8">
        <w:t>AD</w:t>
      </w:r>
      <w:r w:rsidR="00E07B79" w:rsidRPr="002C21B8">
        <w:t>P</w:t>
      </w:r>
      <w:r w:rsidR="008C6322" w:rsidRPr="002C21B8">
        <w:t xml:space="preserve">KD care is </w:t>
      </w:r>
      <w:r w:rsidR="00304064" w:rsidRPr="002C21B8">
        <w:t xml:space="preserve">primarily </w:t>
      </w:r>
      <w:r w:rsidR="008C6322" w:rsidRPr="002C21B8">
        <w:t>delivered</w:t>
      </w:r>
      <w:r w:rsidRPr="002C21B8">
        <w:t xml:space="preserve"> within secondary care</w:t>
      </w:r>
      <w:r w:rsidR="008C6322" w:rsidRPr="002C21B8">
        <w:t xml:space="preserve"> through local kidney centres </w:t>
      </w:r>
      <w:r w:rsidR="006878CF" w:rsidRPr="002C21B8">
        <w:t>in NHS</w:t>
      </w:r>
      <w:r w:rsidR="00A50E56" w:rsidRPr="002C21B8">
        <w:t xml:space="preserve"> </w:t>
      </w:r>
      <w:r w:rsidRPr="002C21B8">
        <w:t xml:space="preserve">hospital </w:t>
      </w:r>
      <w:r w:rsidR="00A50E56" w:rsidRPr="002C21B8">
        <w:t xml:space="preserve">trusts </w:t>
      </w:r>
      <w:r w:rsidR="006878CF" w:rsidRPr="002C21B8">
        <w:t>or regional boards</w:t>
      </w:r>
      <w:r w:rsidR="00E07B79" w:rsidRPr="002C21B8">
        <w:t>.</w:t>
      </w:r>
      <w:r w:rsidR="008C6322" w:rsidRPr="002C21B8">
        <w:t xml:space="preserve"> </w:t>
      </w:r>
      <w:r w:rsidR="000F0316" w:rsidRPr="002C21B8">
        <w:t xml:space="preserve">Outpatient care for ADPKD is typically structured as a condition-specific or generalist clinic model. A condition-specific clinic model involves all, or the majority, of </w:t>
      </w:r>
      <w:r w:rsidR="0049657B" w:rsidRPr="002C21B8">
        <w:t xml:space="preserve">people with </w:t>
      </w:r>
      <w:r w:rsidR="000F0316" w:rsidRPr="002C21B8">
        <w:t>ADPKD being follow</w:t>
      </w:r>
      <w:r w:rsidR="00A419BF">
        <w:t>ed</w:t>
      </w:r>
      <w:r w:rsidR="000F0316" w:rsidRPr="002C21B8">
        <w:t xml:space="preserve"> up </w:t>
      </w:r>
      <w:r w:rsidR="0049657B" w:rsidRPr="002C21B8">
        <w:t xml:space="preserve">within a single dedicated clinic, such as an ADPKD or renal genetics clinic. In this context, the renal genetics clinic functions as a condition-specific clinic due to the predominance of ADPKD patients within their caseloads. By contrast, the generalist clinic model involves people with ADPKD being seen across </w:t>
      </w:r>
      <w:r w:rsidR="000F0316" w:rsidRPr="002C21B8">
        <w:t xml:space="preserve">multiple general nephrology clinics alongside patients </w:t>
      </w:r>
      <w:r w:rsidR="000F0316" w:rsidRPr="002C21B8">
        <w:lastRenderedPageBreak/>
        <w:t xml:space="preserve">with a </w:t>
      </w:r>
      <w:r w:rsidR="0049657B" w:rsidRPr="002C21B8">
        <w:t>wide range</w:t>
      </w:r>
      <w:r w:rsidR="000F0316" w:rsidRPr="002C21B8">
        <w:t xml:space="preserve"> of kidney conditions.</w:t>
      </w:r>
      <w:r w:rsidR="007C6193" w:rsidRPr="002C21B8">
        <w:t xml:space="preserve"> In some </w:t>
      </w:r>
      <w:r w:rsidR="00215AA4" w:rsidRPr="002C21B8">
        <w:t>areas,</w:t>
      </w:r>
      <w:r w:rsidR="007C6193" w:rsidRPr="002C21B8">
        <w:t xml:space="preserve"> </w:t>
      </w:r>
      <w:r w:rsidR="00E90F2C" w:rsidRPr="002C21B8">
        <w:t xml:space="preserve">these general nephrology clinics can refer complex patients or those requiring specialist treatment to specialist ADPKD </w:t>
      </w:r>
      <w:r w:rsidR="00A419BF">
        <w:t xml:space="preserve">clinics at other NHS trusts </w:t>
      </w:r>
      <w:r w:rsidR="00E90F2C" w:rsidRPr="002C21B8">
        <w:t>within the</w:t>
      </w:r>
      <w:r w:rsidR="00A419BF">
        <w:t>ir</w:t>
      </w:r>
      <w:r w:rsidR="00E90F2C" w:rsidRPr="002C21B8">
        <w:t xml:space="preserve"> region, often d</w:t>
      </w:r>
      <w:r w:rsidR="009D05D6" w:rsidRPr="002C21B8">
        <w:t>escribed</w:t>
      </w:r>
      <w:r w:rsidR="00E90F2C" w:rsidRPr="002C21B8">
        <w:t xml:space="preserve"> as a hub-and-spoke model </w:t>
      </w:r>
      <w:r w:rsidR="00E90F2C" w:rsidRPr="002C21B8">
        <w:fldChar w:fldCharType="begin"/>
      </w:r>
      <w:r w:rsidR="00E90F2C" w:rsidRPr="002C21B8">
        <w:instrText xml:space="preserve"> ADDIN EN.CITE &lt;EndNote&gt;&lt;Cite&gt;&lt;Author&gt;NHS England&lt;/Author&gt;&lt;Year&gt;2017&lt;/Year&gt;&lt;RecNum&gt;125528&lt;/RecNum&gt;&lt;DisplayText&gt;(NHS England, 2017)&lt;/DisplayText&gt;&lt;record&gt;&lt;rec-number&gt;125528&lt;/rec-number&gt;&lt;foreign-keys&gt;&lt;key app="EN" db-id="xpefzwa5hf9dt2ea9fax95x7xvxz90v09dtf" timestamp="1777398893"&gt;125528&lt;/key&gt;&lt;/foreign-keys&gt;&lt;ref-type name="Web Page"&gt;12&lt;/ref-type&gt;&lt;contributors&gt;&lt;authors&gt;&lt;author&gt;NHS England,&lt;/author&gt;&lt;/authors&gt;&lt;/contributors&gt;&lt;titles&gt;&lt;title&gt;Renal services&lt;/title&gt;&lt;/titles&gt;&lt;number&gt;28/04/2026)&lt;/number&gt;&lt;dates&gt;&lt;year&gt;2017&lt;/year&gt;&lt;/dates&gt;&lt;urls&gt;&lt;related-urls&gt;&lt;url&gt;https://www.england.nhs.uk/commissioning/spec-services/npc-crg/group-a/renal-services/&lt;/url&gt;&lt;/related-urls&gt;&lt;/urls&gt;&lt;/record&gt;&lt;/Cite&gt;&lt;/EndNote&gt;</w:instrText>
      </w:r>
      <w:r w:rsidR="00E90F2C" w:rsidRPr="002C21B8">
        <w:fldChar w:fldCharType="separate"/>
      </w:r>
      <w:r w:rsidR="00E90F2C" w:rsidRPr="002C21B8">
        <w:rPr>
          <w:noProof/>
        </w:rPr>
        <w:t>(NHS England, 2017)</w:t>
      </w:r>
      <w:r w:rsidR="00E90F2C" w:rsidRPr="002C21B8">
        <w:fldChar w:fldCharType="end"/>
      </w:r>
      <w:r w:rsidR="00E90F2C" w:rsidRPr="002C21B8">
        <w:t>.</w:t>
      </w:r>
    </w:p>
    <w:p w14:paraId="35D74369" w14:textId="0A842063" w:rsidR="00CE05D1" w:rsidRPr="002C21B8" w:rsidRDefault="002D3B35" w:rsidP="00ED2D36">
      <w:pPr>
        <w:pStyle w:val="Heading4"/>
      </w:pPr>
      <w:r w:rsidRPr="002C21B8">
        <w:t>Management</w:t>
      </w:r>
    </w:p>
    <w:p w14:paraId="717113F9" w14:textId="21D180E6" w:rsidR="00CC6E60" w:rsidRPr="002C21B8" w:rsidRDefault="00C268EC" w:rsidP="007E6BC5">
      <w:r w:rsidRPr="002C21B8">
        <w:t xml:space="preserve">There is currently no cure for ADPKD. </w:t>
      </w:r>
      <w:r w:rsidR="002D3B35" w:rsidRPr="002C21B8">
        <w:t xml:space="preserve">For many years, the management of ADPKD </w:t>
      </w:r>
      <w:r w:rsidRPr="002C21B8">
        <w:t>ha</w:t>
      </w:r>
      <w:r w:rsidR="0032328B" w:rsidRPr="002C21B8">
        <w:t>d</w:t>
      </w:r>
      <w:r w:rsidRPr="002C21B8">
        <w:t xml:space="preserve"> </w:t>
      </w:r>
      <w:r w:rsidR="002D3B35" w:rsidRPr="002C21B8">
        <w:t>focused on controlling symptoms and complications such as high blood pressure</w:t>
      </w:r>
      <w:r w:rsidR="0032260D" w:rsidRPr="002C21B8">
        <w:t>,</w:t>
      </w:r>
      <w:r w:rsidR="002D3B35" w:rsidRPr="002C21B8">
        <w:t xml:space="preserve"> pain</w:t>
      </w:r>
      <w:r w:rsidR="00AF57E9" w:rsidRPr="002C21B8">
        <w:t xml:space="preserve">, </w:t>
      </w:r>
      <w:r w:rsidR="002D3B35" w:rsidRPr="002C21B8">
        <w:t>urinary tract infections</w:t>
      </w:r>
      <w:r w:rsidR="00AF57E9" w:rsidRPr="002C21B8">
        <w:t xml:space="preserve"> and cyst haemorrhage/infections</w:t>
      </w:r>
      <w:r w:rsidR="00716961" w:rsidRPr="002C21B8">
        <w:t xml:space="preserve"> </w:t>
      </w:r>
      <w:r w:rsidR="00716961" w:rsidRPr="002C21B8">
        <w:fldChar w:fldCharType="begin"/>
      </w:r>
      <w:r w:rsidR="00FF0A99" w:rsidRPr="002C21B8">
        <w:instrText xml:space="preserve"> ADDIN EN.CITE &lt;EndNote&gt;&lt;Cite&gt;&lt;Author&gt;Ong&lt;/Author&gt;&lt;Year&gt;2026&lt;/Year&gt;&lt;RecNum&gt;125325&lt;/RecNum&gt;&lt;DisplayText&gt;(Ong&lt;style face="italic"&gt; et al.&lt;/style&gt;, 2026)&lt;/DisplayText&gt;&lt;record&gt;&lt;rec-number&gt;125325&lt;/rec-number&gt;&lt;foreign-keys&gt;&lt;key app="EN" db-id="xpefzwa5hf9dt2ea9fax95x7xvxz90v09dtf" timestamp="1775121470"&gt;125325&lt;/key&gt;&lt;/foreign-keys&gt;&lt;ref-type name="Journal Article"&gt;17&lt;/ref-type&gt;&lt;contributors&gt;&lt;authors&gt;&lt;author&gt;Ong, Albert CM&lt;/author&gt;&lt;author&gt;Carriazo, Sol&lt;/author&gt;&lt;author&gt;Ma, Becky Mingyao&lt;/author&gt;&lt;author&gt;Torra, Roser&lt;/author&gt;&lt;author&gt;Pei, York&lt;/author&gt;&lt;/authors&gt;&lt;/contributors&gt;&lt;titles&gt;&lt;title&gt;Autosomal dominant polycystic kidney disease&lt;/title&gt;&lt;secondary-title&gt;The Lancet&lt;/secondary-title&gt;&lt;/titles&gt;&lt;periodical&gt;&lt;full-title&gt;The Lancet&lt;/full-title&gt;&lt;/periodical&gt;&lt;pages&gt;1289-1302&lt;/pages&gt;&lt;volume&gt;407&lt;/volume&gt;&lt;num-vols&gt;10535&lt;/num-vols&gt;&lt;dates&gt;&lt;year&gt;2026&lt;/year&gt;&lt;/dates&gt;&lt;isbn&gt;0140-6736&lt;/isbn&gt;&lt;urls&gt;&lt;/urls&gt;&lt;/record&gt;&lt;/Cite&gt;&lt;/EndNote&gt;</w:instrText>
      </w:r>
      <w:r w:rsidR="00716961" w:rsidRPr="002C21B8">
        <w:fldChar w:fldCharType="separate"/>
      </w:r>
      <w:r w:rsidR="00716961" w:rsidRPr="002C21B8">
        <w:rPr>
          <w:noProof/>
        </w:rPr>
        <w:t>(Ong</w:t>
      </w:r>
      <w:r w:rsidR="00716961" w:rsidRPr="002C21B8">
        <w:rPr>
          <w:i/>
          <w:noProof/>
        </w:rPr>
        <w:t xml:space="preserve"> et al.</w:t>
      </w:r>
      <w:r w:rsidR="00716961" w:rsidRPr="002C21B8">
        <w:rPr>
          <w:noProof/>
        </w:rPr>
        <w:t>, 2026)</w:t>
      </w:r>
      <w:r w:rsidR="00716961" w:rsidRPr="002C21B8">
        <w:fldChar w:fldCharType="end"/>
      </w:r>
      <w:r w:rsidR="002D3B35" w:rsidRPr="002C21B8">
        <w:t xml:space="preserve">. </w:t>
      </w:r>
      <w:r w:rsidR="002E64BA" w:rsidRPr="002C21B8">
        <w:t xml:space="preserve">The combination of a high symptom burden and </w:t>
      </w:r>
      <w:r w:rsidR="00AD74F0" w:rsidRPr="002C21B8">
        <w:t xml:space="preserve">kidney failure </w:t>
      </w:r>
      <w:r w:rsidR="00D701A4" w:rsidRPr="002C21B8">
        <w:t xml:space="preserve">in most cases </w:t>
      </w:r>
      <w:r w:rsidR="00AD74F0" w:rsidRPr="002C21B8">
        <w:t xml:space="preserve">underpinned efforts to develop </w:t>
      </w:r>
      <w:r w:rsidR="00C91117" w:rsidRPr="002C21B8">
        <w:t>medications</w:t>
      </w:r>
      <w:r w:rsidR="00AD74F0" w:rsidRPr="002C21B8">
        <w:t xml:space="preserve"> to </w:t>
      </w:r>
      <w:r w:rsidR="002E64BA" w:rsidRPr="002C21B8">
        <w:t>slow disease progression. Tolvaptan was the first disease-modifying therapy available for the management of ADPKD</w:t>
      </w:r>
      <w:r w:rsidR="00965BE3" w:rsidRPr="002C21B8">
        <w:t xml:space="preserve"> and remains the only licensed </w:t>
      </w:r>
      <w:r w:rsidR="007D1028" w:rsidRPr="002C21B8">
        <w:t>medication of this type</w:t>
      </w:r>
      <w:r w:rsidR="00965BE3" w:rsidRPr="002C21B8">
        <w:t xml:space="preserve"> for this rare disease</w:t>
      </w:r>
      <w:r w:rsidR="001533A8" w:rsidRPr="002C21B8">
        <w:t xml:space="preserve"> </w:t>
      </w:r>
      <w:r w:rsidR="001533A8" w:rsidRPr="002C21B8">
        <w:fldChar w:fldCharType="begin">
          <w:fldData xml:space="preserve">PEVuZE5vdGU+PENpdGU+PEF1dGhvcj5Ub3JyZXM8L0F1dGhvcj48WWVhcj4yMDEyPC9ZZWFyPjxS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</w:fldData>
        </w:fldChar>
      </w:r>
      <w:r w:rsidR="001533A8" w:rsidRPr="002C21B8">
        <w:instrText xml:space="preserve"> ADDIN EN.CITE </w:instrText>
      </w:r>
      <w:r w:rsidR="001533A8" w:rsidRPr="002C21B8">
        <w:fldChar w:fldCharType="begin">
          <w:fldData xml:space="preserve">PEVuZE5vdGU+PENpdGU+PEF1dGhvcj5Ub3JyZXM8L0F1dGhvcj48WWVhcj4yMDEyPC9ZZWFyPjxS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</w:fldData>
        </w:fldChar>
      </w:r>
      <w:r w:rsidR="001533A8" w:rsidRPr="002C21B8">
        <w:instrText xml:space="preserve"> ADDIN EN.CITE.DATA </w:instrText>
      </w:r>
      <w:r w:rsidR="001533A8" w:rsidRPr="002C21B8">
        <w:fldChar w:fldCharType="end"/>
      </w:r>
      <w:r w:rsidR="001533A8" w:rsidRPr="002C21B8">
        <w:fldChar w:fldCharType="separate"/>
      </w:r>
      <w:r w:rsidR="001533A8" w:rsidRPr="002C21B8">
        <w:rPr>
          <w:noProof/>
        </w:rPr>
        <w:t>(Torres</w:t>
      </w:r>
      <w:r w:rsidR="001533A8" w:rsidRPr="002C21B8">
        <w:rPr>
          <w:i/>
          <w:noProof/>
        </w:rPr>
        <w:t xml:space="preserve"> et al.</w:t>
      </w:r>
      <w:r w:rsidR="001533A8" w:rsidRPr="002C21B8">
        <w:rPr>
          <w:noProof/>
        </w:rPr>
        <w:t>, 2012)</w:t>
      </w:r>
      <w:r w:rsidR="001533A8" w:rsidRPr="002C21B8">
        <w:fldChar w:fldCharType="end"/>
      </w:r>
      <w:r w:rsidR="002E64BA" w:rsidRPr="002C21B8">
        <w:t>.</w:t>
      </w:r>
    </w:p>
    <w:p w14:paraId="1A182874" w14:textId="200EBF25" w:rsidR="00CC6E60" w:rsidRPr="002C21B8" w:rsidRDefault="00CC6E60" w:rsidP="004507C8">
      <w:pPr>
        <w:pStyle w:val="Heading3"/>
      </w:pPr>
      <w:r w:rsidRPr="002C21B8">
        <w:t>Tolvaptan</w:t>
      </w:r>
      <w:r w:rsidR="00CE05D1" w:rsidRPr="002C21B8">
        <w:t xml:space="preserve"> for ADPKD</w:t>
      </w:r>
      <w:r w:rsidR="003D09ED" w:rsidRPr="002C21B8">
        <w:t>:</w:t>
      </w:r>
      <w:r w:rsidR="00CE05D1" w:rsidRPr="002C21B8">
        <w:t xml:space="preserve"> From mechanism of action to clinical use</w:t>
      </w:r>
    </w:p>
    <w:p w14:paraId="6162A812" w14:textId="13604D60" w:rsidR="0058751C" w:rsidRPr="002C21B8" w:rsidRDefault="008F5C53" w:rsidP="007C6193">
      <w:r w:rsidRPr="002C21B8">
        <w:t>T</w:t>
      </w:r>
      <w:r w:rsidR="008C6322" w:rsidRPr="002C21B8">
        <w:t>o</w:t>
      </w:r>
      <w:r w:rsidRPr="002C21B8">
        <w:t>lvaptan</w:t>
      </w:r>
      <w:r w:rsidR="008C6322" w:rsidRPr="002C21B8">
        <w:t xml:space="preserve"> </w:t>
      </w:r>
      <w:r w:rsidR="00965BE3" w:rsidRPr="002C21B8">
        <w:t xml:space="preserve">represented a </w:t>
      </w:r>
      <w:r w:rsidR="007C6193" w:rsidRPr="002C21B8">
        <w:t xml:space="preserve">major shift </w:t>
      </w:r>
      <w:r w:rsidR="00AD74F0" w:rsidRPr="002C21B8">
        <w:t xml:space="preserve">away </w:t>
      </w:r>
      <w:r w:rsidR="007C6193" w:rsidRPr="002C21B8">
        <w:t xml:space="preserve">from </w:t>
      </w:r>
      <w:r w:rsidR="00AD74F0" w:rsidRPr="002C21B8">
        <w:t xml:space="preserve">purely </w:t>
      </w:r>
      <w:r w:rsidR="007C6193" w:rsidRPr="002C21B8">
        <w:t>supportive management to</w:t>
      </w:r>
      <w:r w:rsidR="00AD74F0" w:rsidRPr="002C21B8">
        <w:t>wards targeting the underlying disease process in ADPKD</w:t>
      </w:r>
      <w:r w:rsidR="007C6193" w:rsidRPr="002C21B8">
        <w:t xml:space="preserve">. In the UK, it was approved by the National Institute for </w:t>
      </w:r>
      <w:r w:rsidR="007A3A64" w:rsidRPr="002C21B8">
        <w:t>H</w:t>
      </w:r>
      <w:r w:rsidR="007C6193" w:rsidRPr="002C21B8">
        <w:t xml:space="preserve">ealth and Care Excellence in 2015 for </w:t>
      </w:r>
      <w:r w:rsidR="00840B10" w:rsidRPr="002C21B8">
        <w:t>adults</w:t>
      </w:r>
      <w:r w:rsidR="007C6193" w:rsidRPr="002C21B8">
        <w:t xml:space="preserve"> with ADPKD </w:t>
      </w:r>
      <w:r w:rsidR="00A02EFC" w:rsidRPr="002C21B8">
        <w:t>and evidence of</w:t>
      </w:r>
      <w:r w:rsidR="007C6193" w:rsidRPr="002C21B8">
        <w:t xml:space="preserve"> rapidly progressive disease</w:t>
      </w:r>
      <w:r w:rsidR="00AD74F0" w:rsidRPr="002C21B8">
        <w:t xml:space="preserve"> </w:t>
      </w:r>
      <w:r w:rsidR="00AD74F0" w:rsidRPr="002C21B8">
        <w:fldChar w:fldCharType="begin"/>
      </w:r>
      <w:r w:rsidR="00AD74F0" w:rsidRPr="002C21B8">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00AD74F0" w:rsidRPr="002C21B8">
        <w:fldChar w:fldCharType="separate"/>
      </w:r>
      <w:r w:rsidR="00AD74F0" w:rsidRPr="002C21B8">
        <w:rPr>
          <w:noProof/>
        </w:rPr>
        <w:t>(National Institute for Health and Care Excellence, 2015b)</w:t>
      </w:r>
      <w:r w:rsidR="00AD74F0" w:rsidRPr="002C21B8">
        <w:fldChar w:fldCharType="end"/>
      </w:r>
      <w:r w:rsidR="007C6193" w:rsidRPr="002C21B8">
        <w:t xml:space="preserve">. </w:t>
      </w:r>
      <w:r w:rsidR="004D342A" w:rsidRPr="002C21B8">
        <w:t xml:space="preserve">Its approval </w:t>
      </w:r>
      <w:r w:rsidR="00E60725" w:rsidRPr="002C21B8">
        <w:t xml:space="preserve">was accompanied by </w:t>
      </w:r>
      <w:r w:rsidR="0032328B" w:rsidRPr="002C21B8">
        <w:t>requirements</w:t>
      </w:r>
      <w:r w:rsidR="00E60725" w:rsidRPr="002C21B8">
        <w:t xml:space="preserve"> that </w:t>
      </w:r>
      <w:r w:rsidR="004D342A" w:rsidRPr="002C21B8">
        <w:t xml:space="preserve">initiation and monitoring </w:t>
      </w:r>
      <w:r w:rsidR="00E60725" w:rsidRPr="002C21B8">
        <w:t>be restricted</w:t>
      </w:r>
      <w:r w:rsidR="004D342A" w:rsidRPr="002C21B8">
        <w:t xml:space="preserve"> </w:t>
      </w:r>
      <w:r w:rsidR="00E60725" w:rsidRPr="002C21B8">
        <w:t>to</w:t>
      </w:r>
      <w:r w:rsidR="004D342A" w:rsidRPr="002C21B8">
        <w:t xml:space="preserve"> </w:t>
      </w:r>
      <w:r w:rsidR="007C6193" w:rsidRPr="002C21B8">
        <w:t>kidney centres</w:t>
      </w:r>
      <w:r w:rsidR="00E60725" w:rsidRPr="002C21B8">
        <w:t xml:space="preserve"> in secondary care</w:t>
      </w:r>
      <w:r w:rsidR="00DA46C9" w:rsidRPr="002C21B8">
        <w:t xml:space="preserve"> </w:t>
      </w:r>
      <w:r w:rsidR="004D342A" w:rsidRPr="002C21B8">
        <w:t>due to its adverse effects and safety profile</w:t>
      </w:r>
      <w:r w:rsidR="002A5E0E" w:rsidRPr="002C21B8">
        <w:t xml:space="preserve"> </w:t>
      </w:r>
      <w:r w:rsidR="002A5E0E" w:rsidRPr="002C21B8">
        <w:fldChar w:fldCharType="begin"/>
      </w:r>
      <w:r w:rsidR="002A5E0E" w:rsidRPr="002C21B8">
        <w:instrText xml:space="preserve"> ADDIN EN.CITE &lt;EndNote&gt;&lt;Cite&gt;&lt;Author&gt;Ong&lt;/Author&gt;&lt;Year&gt;2015&lt;/Year&gt;&lt;RecNum&gt;5108&lt;/RecNum&gt;&lt;DisplayText&gt;(Ong&lt;style face="italic"&gt; et al.&lt;/style&gt;, 2015)&lt;/DisplayText&gt;&lt;record&gt;&lt;rec-number&gt;5108&lt;/rec-number&gt;&lt;foreign-keys&gt;&lt;key app="EN" db-id="xpefzwa5hf9dt2ea9fax95x7xvxz90v09dtf" timestamp="1700146758"&gt;5108&lt;/key&gt;&lt;/foreign-keys&gt;&lt;ref-type name="Journal Article"&gt;17&lt;/ref-type&gt;&lt;contributors&gt;&lt;authors&gt;&lt;author&gt;Ong, Albert CM&lt;/author&gt;&lt;author&gt;Devuyst, Olivier&lt;/author&gt;&lt;author&gt;Knebelmann, Bertrand&lt;/author&gt;&lt;author&gt;Walz, Gerd&lt;/author&gt;&lt;/authors&gt;&lt;/contributors&gt;&lt;titles&gt;&lt;title&gt;Autosomal dominant polycystic kidney disease: the changing face of clinical management&lt;/title&gt;&lt;secondary-title&gt;The Lancet&lt;/secondary-title&gt;&lt;/titles&gt;&lt;periodical&gt;&lt;full-title&gt;The Lancet&lt;/full-title&gt;&lt;/periodical&gt;&lt;pages&gt;1993-2002&lt;/pages&gt;&lt;volume&gt;385&lt;/volume&gt;&lt;number&gt;9981&lt;/number&gt;&lt;dates&gt;&lt;year&gt;2015&lt;/year&gt;&lt;/dates&gt;&lt;isbn&gt;0140-6736&lt;/isbn&gt;&lt;urls&gt;&lt;/urls&gt;&lt;/record&gt;&lt;/Cite&gt;&lt;/EndNote&gt;</w:instrText>
      </w:r>
      <w:r w:rsidR="002A5E0E" w:rsidRPr="002C21B8">
        <w:fldChar w:fldCharType="separate"/>
      </w:r>
      <w:r w:rsidR="002A5E0E" w:rsidRPr="002C21B8">
        <w:rPr>
          <w:noProof/>
        </w:rPr>
        <w:t>(Ong</w:t>
      </w:r>
      <w:r w:rsidR="002A5E0E" w:rsidRPr="002C21B8">
        <w:rPr>
          <w:i/>
          <w:noProof/>
        </w:rPr>
        <w:t xml:space="preserve"> et al.</w:t>
      </w:r>
      <w:r w:rsidR="002A5E0E" w:rsidRPr="002C21B8">
        <w:rPr>
          <w:noProof/>
        </w:rPr>
        <w:t>, 2015)</w:t>
      </w:r>
      <w:r w:rsidR="002A5E0E" w:rsidRPr="002C21B8">
        <w:fldChar w:fldCharType="end"/>
      </w:r>
      <w:r w:rsidR="007C6193" w:rsidRPr="002C21B8">
        <w:t>.</w:t>
      </w:r>
    </w:p>
    <w:p w14:paraId="02F7F8A2" w14:textId="77777777" w:rsidR="00CE05D1" w:rsidRPr="002C21B8" w:rsidRDefault="00CE05D1" w:rsidP="00ED2D36">
      <w:pPr>
        <w:pStyle w:val="Heading4"/>
      </w:pPr>
      <w:r w:rsidRPr="002C21B8">
        <w:t>Mechanism of action</w:t>
      </w:r>
    </w:p>
    <w:p w14:paraId="3C5C3ABF" w14:textId="5E79D14A" w:rsidR="003261A9" w:rsidRPr="002C21B8" w:rsidRDefault="007B64BB" w:rsidP="00B30207">
      <w:r w:rsidRPr="002C21B8">
        <w:t xml:space="preserve">Unlike traditional diuretics, </w:t>
      </w:r>
      <w:r w:rsidR="00CE05D1" w:rsidRPr="002C21B8">
        <w:t xml:space="preserve">tolvaptan </w:t>
      </w:r>
      <w:r w:rsidRPr="002C21B8">
        <w:t xml:space="preserve">acts as an aquaretic facilitating the excretion of free water without </w:t>
      </w:r>
      <w:r w:rsidR="00B30207" w:rsidRPr="002C21B8">
        <w:t>losing</w:t>
      </w:r>
      <w:r w:rsidRPr="002C21B8">
        <w:t xml:space="preserve"> electrolytes</w:t>
      </w:r>
      <w:r w:rsidR="00352121" w:rsidRPr="002C21B8">
        <w:t xml:space="preserve"> by </w:t>
      </w:r>
      <w:r w:rsidR="00B30207" w:rsidRPr="002C21B8">
        <w:t>selective</w:t>
      </w:r>
      <w:r w:rsidR="00CA1F13" w:rsidRPr="002C21B8">
        <w:t>ly</w:t>
      </w:r>
      <w:r w:rsidR="00B30207" w:rsidRPr="002C21B8">
        <w:t xml:space="preserve"> inhibi</w:t>
      </w:r>
      <w:r w:rsidR="00352121" w:rsidRPr="002C21B8">
        <w:t>t</w:t>
      </w:r>
      <w:r w:rsidR="0042003C" w:rsidRPr="002C21B8">
        <w:t>ing</w:t>
      </w:r>
      <w:r w:rsidR="00CA1F13" w:rsidRPr="002C21B8">
        <w:t xml:space="preserve"> the </w:t>
      </w:r>
      <w:r w:rsidRPr="002C21B8">
        <w:t xml:space="preserve">vasopressin 2 (V2) receptor </w:t>
      </w:r>
      <w:r w:rsidR="00253149" w:rsidRPr="002C21B8">
        <w:fldChar w:fldCharType="begin"/>
      </w:r>
      <w:r w:rsidR="00253149" w:rsidRPr="002C21B8">
        <w:instrText xml:space="preserve"> ADDIN EN.CITE &lt;EndNote&gt;&lt;Cite&gt;&lt;Author&gt;Schrier&lt;/Author&gt;&lt;Year&gt;2006&lt;/Year&gt;&lt;RecNum&gt;125317&lt;/RecNum&gt;&lt;DisplayText&gt;(Schrier&lt;style face="italic"&gt; et al.&lt;/style&gt;, 2006)&lt;/DisplayText&gt;&lt;record&gt;&lt;rec-number&gt;125317&lt;/rec-number&gt;&lt;foreign-keys&gt;&lt;key app="EN" db-id="xpefzwa5hf9dt2ea9fax95x7xvxz90v09dtf" timestamp="1775049676"&gt;125317&lt;/key&gt;&lt;/foreign-keys&gt;&lt;ref-type name="Journal Article"&gt;17&lt;/ref-type&gt;&lt;contributors&gt;&lt;authors&gt;&lt;author&gt;Schrier, Robert W&lt;/author&gt;&lt;author&gt;Gross, Peter&lt;/author&gt;&lt;author&gt;Gheorghiade, Mihai&lt;/author&gt;&lt;author&gt;Berl, Tomas&lt;/author&gt;&lt;author&gt;Verbalis, Joseph G&lt;/author&gt;&lt;author&gt;Czerwiec, Frank S&lt;/author&gt;&lt;author&gt;Orlandi, Cesare&lt;/author&gt;&lt;/authors&gt;&lt;/contributors&gt;&lt;titles&gt;&lt;title&gt;Tolvaptan, a selective oral vasopressin V2-receptor antagonist, for hyponatremia&lt;/title&gt;&lt;secondary-title&gt;New England Journal of Medicine&lt;/secondary-title&gt;&lt;/titles&gt;&lt;periodical&gt;&lt;full-title&gt;New England Journal of Medicine&lt;/full-title&gt;&lt;/periodical&gt;&lt;pages&gt;2099-2112&lt;/pages&gt;&lt;volume&gt;355&lt;/volume&gt;&lt;number&gt;20&lt;/number&gt;&lt;dates&gt;&lt;year&gt;2006&lt;/year&gt;&lt;/dates&gt;&lt;isbn&gt;0028-4793&lt;/isbn&gt;&lt;urls&gt;&lt;/urls&gt;&lt;/record&gt;&lt;/Cite&gt;&lt;/EndNote&gt;</w:instrText>
      </w:r>
      <w:r w:rsidR="00253149" w:rsidRPr="002C21B8">
        <w:fldChar w:fldCharType="separate"/>
      </w:r>
      <w:r w:rsidR="00253149" w:rsidRPr="002C21B8">
        <w:t>(Schrier</w:t>
      </w:r>
      <w:r w:rsidR="00253149" w:rsidRPr="002C21B8">
        <w:rPr>
          <w:i/>
        </w:rPr>
        <w:t xml:space="preserve"> et al.</w:t>
      </w:r>
      <w:r w:rsidR="00253149" w:rsidRPr="002C21B8">
        <w:t>, 2006)</w:t>
      </w:r>
      <w:r w:rsidR="00253149" w:rsidRPr="002C21B8">
        <w:fldChar w:fldCharType="end"/>
      </w:r>
      <w:r w:rsidR="003261A9" w:rsidRPr="002C21B8">
        <w:t xml:space="preserve">. </w:t>
      </w:r>
      <w:r w:rsidR="00B30207" w:rsidRPr="002C21B8">
        <w:t>Early clinical use</w:t>
      </w:r>
      <w:r w:rsidR="00CA1F13" w:rsidRPr="002C21B8">
        <w:t>s were</w:t>
      </w:r>
      <w:r w:rsidR="00352121" w:rsidRPr="002C21B8">
        <w:t xml:space="preserve"> to </w:t>
      </w:r>
      <w:r w:rsidR="00B30207" w:rsidRPr="002C21B8">
        <w:t>correct</w:t>
      </w:r>
      <w:r w:rsidR="00352121" w:rsidRPr="002C21B8">
        <w:t xml:space="preserve"> </w:t>
      </w:r>
      <w:r w:rsidR="00B30207" w:rsidRPr="002C21B8">
        <w:t xml:space="preserve">hyponatraemia </w:t>
      </w:r>
      <w:r w:rsidR="0048315B" w:rsidRPr="002C21B8">
        <w:t xml:space="preserve">(low sodium) </w:t>
      </w:r>
      <w:r w:rsidR="00B30207" w:rsidRPr="002C21B8">
        <w:t>and reduc</w:t>
      </w:r>
      <w:r w:rsidR="00352121" w:rsidRPr="002C21B8">
        <w:t>e</w:t>
      </w:r>
      <w:r w:rsidR="00B30207" w:rsidRPr="002C21B8">
        <w:t xml:space="preserve"> fluid overload in people with congestive heart failure, l</w:t>
      </w:r>
      <w:r w:rsidR="008F2EAC" w:rsidRPr="002C21B8">
        <w:t xml:space="preserve">iver cirrhosis </w:t>
      </w:r>
      <w:r w:rsidR="00B30207" w:rsidRPr="002C21B8">
        <w:t>and</w:t>
      </w:r>
      <w:r w:rsidR="008F2EAC" w:rsidRPr="002C21B8">
        <w:t xml:space="preserve"> </w:t>
      </w:r>
      <w:r w:rsidRPr="002C21B8">
        <w:t xml:space="preserve">the syndrome of inappropriate antidiuretic hormone (SIADH) </w:t>
      </w:r>
      <w:r w:rsidR="003261A9" w:rsidRPr="002C21B8">
        <w:fldChar w:fldCharType="begin"/>
      </w:r>
      <w:r w:rsidR="003261A9" w:rsidRPr="002C21B8">
        <w:instrText xml:space="preserve"> ADDIN EN.CITE &lt;EndNote&gt;&lt;Cite&gt;&lt;Author&gt;British National Formulary&lt;/Author&gt;&lt;Year&gt;2026&lt;/Year&gt;&lt;RecNum&gt;125316&lt;/RecNum&gt;&lt;DisplayText&gt;(British National Formulary, 2026)&lt;/DisplayText&gt;&lt;record&gt;&lt;rec-number&gt;125316&lt;/rec-number&gt;&lt;foreign-keys&gt;&lt;key app="EN" db-id="xpefzwa5hf9dt2ea9fax95x7xvxz90v09dtf" timestamp="1775049256"&gt;125316&lt;/key&gt;&lt;/foreign-keys&gt;&lt;ref-type name="Web Page"&gt;12&lt;/ref-type&gt;&lt;contributors&gt;&lt;authors&gt;&lt;author&gt;British National Formulary,&lt;/author&gt;&lt;/authors&gt;&lt;/contributors&gt;&lt;titles&gt;&lt;title&gt;Tolvaptan&lt;/title&gt;&lt;/titles&gt;&lt;number&gt;01/04/2026)&lt;/number&gt;&lt;dates&gt;&lt;year&gt;2026&lt;/year&gt;&lt;/dates&gt;&lt;urls&gt;&lt;related-urls&gt;&lt;url&gt;https://bnf.nice.org.uk/drugs/tolvaptan/&lt;/url&gt;&lt;/related-urls&gt;&lt;/urls&gt;&lt;/record&gt;&lt;/Cite&gt;&lt;/EndNote&gt;</w:instrText>
      </w:r>
      <w:r w:rsidR="003261A9" w:rsidRPr="002C21B8">
        <w:fldChar w:fldCharType="separate"/>
      </w:r>
      <w:r w:rsidR="003261A9" w:rsidRPr="002C21B8">
        <w:t>(British National Formulary, 2026)</w:t>
      </w:r>
      <w:r w:rsidR="003261A9" w:rsidRPr="002C21B8">
        <w:fldChar w:fldCharType="end"/>
      </w:r>
      <w:r w:rsidR="003261A9" w:rsidRPr="002C21B8">
        <w:t>.</w:t>
      </w:r>
    </w:p>
    <w:p w14:paraId="17274022" w14:textId="530FF5C8" w:rsidR="00CE05D1" w:rsidRPr="002C21B8" w:rsidRDefault="00CE05D1" w:rsidP="00ED2D36">
      <w:pPr>
        <w:pStyle w:val="Heading4"/>
      </w:pPr>
      <w:r w:rsidRPr="002C21B8">
        <w:t>Clinical trials</w:t>
      </w:r>
    </w:p>
    <w:p w14:paraId="1C74EC07" w14:textId="7553FE6E" w:rsidR="005315E2" w:rsidRPr="002C21B8" w:rsidRDefault="00CA1F13" w:rsidP="0027311E">
      <w:r w:rsidRPr="002C21B8">
        <w:t>P</w:t>
      </w:r>
      <w:r w:rsidR="00253149" w:rsidRPr="002C21B8">
        <w:t>re-clinical trial</w:t>
      </w:r>
      <w:r w:rsidR="00033731" w:rsidRPr="002C21B8">
        <w:t>s</w:t>
      </w:r>
      <w:r w:rsidR="00253149" w:rsidRPr="002C21B8">
        <w:t xml:space="preserve"> </w:t>
      </w:r>
      <w:r w:rsidRPr="002C21B8">
        <w:t xml:space="preserve">in animal models </w:t>
      </w:r>
      <w:r w:rsidR="00253149" w:rsidRPr="002C21B8">
        <w:t>suggested that tolvaptan may</w:t>
      </w:r>
      <w:r w:rsidR="008F2EAC" w:rsidRPr="002C21B8">
        <w:t xml:space="preserve"> </w:t>
      </w:r>
      <w:r w:rsidRPr="002C21B8">
        <w:t xml:space="preserve">also </w:t>
      </w:r>
      <w:r w:rsidR="008F2EAC" w:rsidRPr="002C21B8">
        <w:t>have a role in</w:t>
      </w:r>
      <w:r w:rsidR="00253149" w:rsidRPr="002C21B8">
        <w:t xml:space="preserve"> slow</w:t>
      </w:r>
      <w:r w:rsidR="008F2EAC" w:rsidRPr="002C21B8">
        <w:t>ing</w:t>
      </w:r>
      <w:r w:rsidR="00253149" w:rsidRPr="002C21B8">
        <w:t xml:space="preserve"> </w:t>
      </w:r>
      <w:r w:rsidR="00286E64" w:rsidRPr="002C21B8">
        <w:t xml:space="preserve">kidney </w:t>
      </w:r>
      <w:r w:rsidR="00253149" w:rsidRPr="002C21B8">
        <w:t>cyst growth in ADPKD</w:t>
      </w:r>
      <w:r w:rsidR="008F2EAC" w:rsidRPr="002C21B8">
        <w:t>. This effect occurs through V2 receptor blocka</w:t>
      </w:r>
      <w:r w:rsidRPr="002C21B8">
        <w:t>d</w:t>
      </w:r>
      <w:r w:rsidR="008F2EAC" w:rsidRPr="002C21B8">
        <w:t>e which reduces vasopressin-stimulated cAMP thought to drive the proliferation of cyst cells and fluid accumulation.</w:t>
      </w:r>
      <w:r w:rsidR="00033731" w:rsidRPr="002C21B8">
        <w:t xml:space="preserve"> </w:t>
      </w:r>
      <w:r w:rsidR="002408E3" w:rsidRPr="002C21B8">
        <w:t xml:space="preserve">This led to the evaluation of tolvaptan’s effectiveness in the management of ADPKD in clinical trials </w:t>
      </w:r>
      <w:r w:rsidR="00253149" w:rsidRPr="002C21B8">
        <w:fldChar w:fldCharType="begin"/>
      </w:r>
      <w:r w:rsidR="00763983" w:rsidRPr="002C21B8">
        <w:instrText xml:space="preserve"> ADDIN EN.CITE &lt;EndNote&gt;&lt;Cite&gt;&lt;Author&gt;Gattone&lt;/Author&gt;&lt;Year&gt;2003&lt;/Year&gt;&lt;RecNum&gt;125318&lt;/RecNum&gt;&lt;DisplayText&gt;(Gattone&lt;style face="italic"&gt; et al.&lt;/style&gt;, 2003)&lt;/DisplayText&gt;&lt;record&gt;&lt;rec-number&gt;125318&lt;/rec-number&gt;&lt;foreign-keys&gt;&lt;key app="EN" db-id="xpefzwa5hf9dt2ea9fax95x7xvxz90v09dtf" timestamp="1775050023"&gt;125318&lt;/key&gt;&lt;/foreign-keys&gt;&lt;ref-type name="Journal Article"&gt;17&lt;/ref-type&gt;&lt;contributors&gt;&lt;authors&gt;&lt;author&gt;Gattone, Vincent H&lt;/author&gt;&lt;author&gt;Wang, Xiaofang&lt;/author&gt;&lt;author&gt;Harris, Peter C&lt;/author&gt;&lt;author&gt;Torres, Vicente E&lt;/author&gt;&lt;/authors&gt;&lt;/contributors&gt;&lt;titles&gt;&lt;title&gt;Inhibition of renal cystic disease development and progression by a vasopressin V2 receptor antagonist&lt;/title&gt;&lt;secondary-title&gt;Nature Medicine&lt;/secondary-title&gt;&lt;/titles&gt;&lt;periodical&gt;&lt;full-title&gt;Nature medicine&lt;/full-title&gt;&lt;/periodical&gt;&lt;pages&gt;1323-1326&lt;/pages&gt;&lt;volume&gt;9&lt;/volume&gt;&lt;number&gt;10&lt;/number&gt;&lt;dates&gt;&lt;year&gt;2003&lt;/year&gt;&lt;/dates&gt;&lt;isbn&gt;1078-8956&lt;/isbn&gt;&lt;urls&gt;&lt;/urls&gt;&lt;/record&gt;&lt;/Cite&gt;&lt;/EndNote&gt;</w:instrText>
      </w:r>
      <w:r w:rsidR="00253149" w:rsidRPr="002C21B8">
        <w:fldChar w:fldCharType="separate"/>
      </w:r>
      <w:r w:rsidR="00253149" w:rsidRPr="002C21B8">
        <w:rPr>
          <w:noProof/>
        </w:rPr>
        <w:t>(Gattone</w:t>
      </w:r>
      <w:r w:rsidR="00253149" w:rsidRPr="002C21B8">
        <w:rPr>
          <w:i/>
          <w:noProof/>
        </w:rPr>
        <w:t xml:space="preserve"> et al.</w:t>
      </w:r>
      <w:r w:rsidR="00253149" w:rsidRPr="002C21B8">
        <w:rPr>
          <w:noProof/>
        </w:rPr>
        <w:t>, 2003)</w:t>
      </w:r>
      <w:r w:rsidR="00253149" w:rsidRPr="002C21B8">
        <w:fldChar w:fldCharType="end"/>
      </w:r>
      <w:r w:rsidR="00253149" w:rsidRPr="002C21B8">
        <w:t xml:space="preserve">. </w:t>
      </w:r>
      <w:r w:rsidR="00F6577F" w:rsidRPr="002C21B8">
        <w:t>Early evaluation in</w:t>
      </w:r>
      <w:r w:rsidR="00626284" w:rsidRPr="002C21B8">
        <w:t xml:space="preserve"> the Tolvaptan Efficacy and </w:t>
      </w:r>
      <w:r w:rsidR="006A17A7" w:rsidRPr="002C21B8">
        <w:t>S</w:t>
      </w:r>
      <w:r w:rsidR="00626284" w:rsidRPr="002C21B8">
        <w:t xml:space="preserve">afety in Management of </w:t>
      </w:r>
      <w:r w:rsidR="005067FA" w:rsidRPr="002C21B8">
        <w:t>Polycystic</w:t>
      </w:r>
      <w:r w:rsidR="00626284" w:rsidRPr="002C21B8">
        <w:t xml:space="preserve"> </w:t>
      </w:r>
      <w:r w:rsidR="006A17A7" w:rsidRPr="002C21B8">
        <w:t>K</w:t>
      </w:r>
      <w:r w:rsidR="00626284" w:rsidRPr="002C21B8">
        <w:t xml:space="preserve">idney </w:t>
      </w:r>
      <w:r w:rsidR="006A17A7" w:rsidRPr="002C21B8">
        <w:t>D</w:t>
      </w:r>
      <w:r w:rsidR="00626284" w:rsidRPr="002C21B8">
        <w:t>isease and its Outcomes</w:t>
      </w:r>
      <w:r w:rsidR="00F6577F" w:rsidRPr="002C21B8">
        <w:t xml:space="preserve"> (TEMPO) 2:4 </w:t>
      </w:r>
      <w:r w:rsidR="00626284" w:rsidRPr="002C21B8">
        <w:t xml:space="preserve">trial </w:t>
      </w:r>
      <w:r w:rsidR="00F6577F" w:rsidRPr="002C21B8">
        <w:t xml:space="preserve">established safe regimes and </w:t>
      </w:r>
      <w:r w:rsidR="00B06462" w:rsidRPr="002C21B8">
        <w:t>reported</w:t>
      </w:r>
      <w:r w:rsidR="00F6577F" w:rsidRPr="002C21B8">
        <w:t xml:space="preserve"> slower cyst growth</w:t>
      </w:r>
      <w:r w:rsidR="00B06462" w:rsidRPr="002C21B8">
        <w:t xml:space="preserve"> in those who received tolvaptan</w:t>
      </w:r>
      <w:r w:rsidR="00F6577F" w:rsidRPr="002C21B8">
        <w:t>. These findings were confirmed in</w:t>
      </w:r>
      <w:r w:rsidR="00626284" w:rsidRPr="002C21B8">
        <w:t xml:space="preserve"> the</w:t>
      </w:r>
      <w:r w:rsidR="00F6577F" w:rsidRPr="002C21B8">
        <w:t xml:space="preserve"> TEMPO 3:4 </w:t>
      </w:r>
      <w:r w:rsidR="00626284" w:rsidRPr="002C21B8">
        <w:t xml:space="preserve">trial </w:t>
      </w:r>
      <w:r w:rsidR="00F6577F" w:rsidRPr="002C21B8">
        <w:t xml:space="preserve">which showed </w:t>
      </w:r>
      <w:r w:rsidR="00F6577F" w:rsidRPr="002C21B8">
        <w:lastRenderedPageBreak/>
        <w:t xml:space="preserve">a reduction in </w:t>
      </w:r>
      <w:r w:rsidR="00D7012F" w:rsidRPr="002C21B8">
        <w:t xml:space="preserve">TKV </w:t>
      </w:r>
      <w:r w:rsidR="00F6577F" w:rsidRPr="002C21B8">
        <w:t xml:space="preserve">as well as a slower decline in estimated glomerular filtration rate (eGFR) in early-stage disease. In </w:t>
      </w:r>
      <w:r w:rsidR="00626284" w:rsidRPr="002C21B8">
        <w:t>the Replicating Evidence of Preserved Renal Function (</w:t>
      </w:r>
      <w:r w:rsidR="00F6577F" w:rsidRPr="002C21B8">
        <w:t>REPRISE</w:t>
      </w:r>
      <w:r w:rsidR="00626284" w:rsidRPr="002C21B8">
        <w:t>) tria</w:t>
      </w:r>
      <w:r w:rsidR="0045613F" w:rsidRPr="002C21B8">
        <w:t>l</w:t>
      </w:r>
      <w:r w:rsidR="00F6577F" w:rsidRPr="002C21B8">
        <w:t xml:space="preserve">, it was shown that kidney function </w:t>
      </w:r>
      <w:r w:rsidR="00D8751B" w:rsidRPr="002C21B8">
        <w:t>could be</w:t>
      </w:r>
      <w:r w:rsidR="00B06462" w:rsidRPr="002C21B8">
        <w:t xml:space="preserve"> </w:t>
      </w:r>
      <w:r w:rsidR="00F6577F" w:rsidRPr="002C21B8">
        <w:t xml:space="preserve">preserved in some patients with more advanced </w:t>
      </w:r>
      <w:r w:rsidR="00B06462" w:rsidRPr="002C21B8">
        <w:t xml:space="preserve">kidney </w:t>
      </w:r>
      <w:r w:rsidR="00F6577F" w:rsidRPr="002C21B8">
        <w:t xml:space="preserve">disease. Post-hoc </w:t>
      </w:r>
      <w:r w:rsidR="003451B5" w:rsidRPr="002C21B8">
        <w:t>analys</w:t>
      </w:r>
      <w:r w:rsidR="005315E2" w:rsidRPr="002C21B8">
        <w:t>e</w:t>
      </w:r>
      <w:r w:rsidR="003451B5" w:rsidRPr="002C21B8">
        <w:t>s</w:t>
      </w:r>
      <w:r w:rsidR="00D8751B" w:rsidRPr="002C21B8">
        <w:t xml:space="preserve"> also</w:t>
      </w:r>
      <w:r w:rsidR="00F6577F" w:rsidRPr="002C21B8">
        <w:t xml:space="preserve"> </w:t>
      </w:r>
      <w:r w:rsidR="005315E2" w:rsidRPr="002C21B8">
        <w:t xml:space="preserve">identified an association </w:t>
      </w:r>
      <w:r w:rsidR="00DB6C19" w:rsidRPr="002C21B8">
        <w:t xml:space="preserve">between </w:t>
      </w:r>
      <w:r w:rsidR="005315E2" w:rsidRPr="002C21B8">
        <w:t xml:space="preserve">tolvaptan </w:t>
      </w:r>
      <w:r w:rsidR="00DB6C19" w:rsidRPr="002C21B8">
        <w:t>and reduced patient-reported</w:t>
      </w:r>
      <w:r w:rsidR="002C199C" w:rsidRPr="002C21B8">
        <w:t xml:space="preserve"> </w:t>
      </w:r>
      <w:r w:rsidR="005315E2" w:rsidRPr="002C21B8">
        <w:t xml:space="preserve">kidney pain </w:t>
      </w:r>
      <w:r w:rsidR="00CC6E60" w:rsidRPr="002C21B8">
        <w:fldChar w:fldCharType="begin">
          <w:fldData xml:space="preserve">PEVuZE5vdGU+PENpdGU+PEF1dGhvcj5DYXN0ZWxlaWpuPC9BdXRob3I+PFllYXI+MjAxNzwvWWVh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=
</w:fldData>
        </w:fldChar>
      </w:r>
      <w:r w:rsidR="00CE4967" w:rsidRPr="002C21B8">
        <w:instrText xml:space="preserve"> ADDIN EN.CITE </w:instrText>
      </w:r>
      <w:r w:rsidR="00CE4967" w:rsidRPr="002C21B8">
        <w:fldChar w:fldCharType="begin">
          <w:fldData xml:space="preserve">PEVuZE5vdGU+PENpdGU+PEF1dGhvcj5DYXN0ZWxlaWpuPC9BdXRob3I+PFllYXI+MjAxNzwvWWVh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=
</w:fldData>
        </w:fldChar>
      </w:r>
      <w:r w:rsidR="00CE4967" w:rsidRPr="002C21B8">
        <w:instrText xml:space="preserve"> ADDIN EN.CITE.DATA </w:instrText>
      </w:r>
      <w:r w:rsidR="00CE4967" w:rsidRPr="002C21B8">
        <w:fldChar w:fldCharType="end"/>
      </w:r>
      <w:r w:rsidR="00CC6E60" w:rsidRPr="002C21B8">
        <w:fldChar w:fldCharType="separate"/>
      </w:r>
      <w:r w:rsidR="00F238BA" w:rsidRPr="002C21B8">
        <w:rPr>
          <w:noProof/>
        </w:rPr>
        <w:t>(Casteleijn</w:t>
      </w:r>
      <w:r w:rsidR="00F238BA" w:rsidRPr="002C21B8">
        <w:rPr>
          <w:i/>
          <w:noProof/>
        </w:rPr>
        <w:t xml:space="preserve"> et al.</w:t>
      </w:r>
      <w:r w:rsidR="00F238BA" w:rsidRPr="002C21B8">
        <w:rPr>
          <w:noProof/>
        </w:rPr>
        <w:t>, 2017)</w:t>
      </w:r>
      <w:r w:rsidR="00CC6E60" w:rsidRPr="002C21B8">
        <w:fldChar w:fldCharType="end"/>
      </w:r>
      <w:r w:rsidR="00CC6E60" w:rsidRPr="002C21B8">
        <w:t xml:space="preserve">. </w:t>
      </w:r>
      <w:r w:rsidR="00D46DB5" w:rsidRPr="002C21B8">
        <w:t xml:space="preserve">These </w:t>
      </w:r>
      <w:r w:rsidR="009E6164" w:rsidRPr="002C21B8">
        <w:t xml:space="preserve">clinical </w:t>
      </w:r>
      <w:r w:rsidR="00D46DB5" w:rsidRPr="002C21B8">
        <w:t xml:space="preserve">trials </w:t>
      </w:r>
      <w:r w:rsidR="00417BC0" w:rsidRPr="002C21B8">
        <w:t xml:space="preserve">were the main </w:t>
      </w:r>
      <w:r w:rsidR="00D46DB5" w:rsidRPr="002C21B8">
        <w:t xml:space="preserve">evidence base </w:t>
      </w:r>
      <w:r w:rsidR="00417BC0" w:rsidRPr="002C21B8">
        <w:t xml:space="preserve">used in </w:t>
      </w:r>
      <w:r w:rsidR="005315E2" w:rsidRPr="002C21B8">
        <w:t>the regulatory licen</w:t>
      </w:r>
      <w:r w:rsidR="006A17A7" w:rsidRPr="002C21B8">
        <w:t>s</w:t>
      </w:r>
      <w:r w:rsidR="005315E2" w:rsidRPr="002C21B8">
        <w:t>ing and approval</w:t>
      </w:r>
      <w:r w:rsidR="00D8751B" w:rsidRPr="002C21B8">
        <w:t xml:space="preserve"> of tolvaptan. Since </w:t>
      </w:r>
      <w:r w:rsidR="00212395" w:rsidRPr="002C21B8">
        <w:t xml:space="preserve">its </w:t>
      </w:r>
      <w:r w:rsidR="00D8751B" w:rsidRPr="002C21B8">
        <w:t>approval</w:t>
      </w:r>
      <w:r w:rsidR="00976EFF" w:rsidRPr="002C21B8">
        <w:t>,</w:t>
      </w:r>
      <w:r w:rsidR="00D8751B" w:rsidRPr="002C21B8">
        <w:t xml:space="preserve"> many guidelines have been developed and updated</w:t>
      </w:r>
      <w:r w:rsidR="00212395" w:rsidRPr="002C21B8">
        <w:t xml:space="preserve"> to support clinicians </w:t>
      </w:r>
      <w:r w:rsidR="00976EFF" w:rsidRPr="002C21B8">
        <w:t xml:space="preserve">when </w:t>
      </w:r>
      <w:r w:rsidR="00212395" w:rsidRPr="002C21B8">
        <w:t>making prescribing decisions in clinical practice</w:t>
      </w:r>
      <w:r w:rsidR="00D46DB5" w:rsidRPr="002C21B8">
        <w:t xml:space="preserve"> (</w:t>
      </w:r>
      <w:r w:rsidR="00496A2A" w:rsidRPr="002C21B8">
        <w:fldChar w:fldCharType="begin"/>
      </w:r>
      <w:r w:rsidR="00496A2A" w:rsidRPr="002C21B8">
        <w:instrText xml:space="preserve"> REF _Ref218956223 \h  \* MERGEFORMAT </w:instrText>
      </w:r>
      <w:r w:rsidR="00496A2A" w:rsidRPr="002C21B8">
        <w:fldChar w:fldCharType="separate"/>
      </w:r>
      <w:r w:rsidR="00DB3709" w:rsidRPr="002C21B8">
        <w:t>Figure</w:t>
      </w:r>
      <w:r w:rsidR="00DB3709" w:rsidRPr="002C21B8">
        <w:rPr>
          <w:noProof/>
        </w:rPr>
        <w:t xml:space="preserve"> </w:t>
      </w:r>
      <w:r w:rsidR="00DB3709">
        <w:rPr>
          <w:noProof/>
        </w:rPr>
        <w:t>3</w:t>
      </w:r>
      <w:r w:rsidR="00496A2A" w:rsidRPr="002C21B8">
        <w:fldChar w:fldCharType="end"/>
      </w:r>
      <w:r w:rsidR="00D46DB5" w:rsidRPr="002C21B8">
        <w:t>)</w:t>
      </w:r>
      <w:r w:rsidR="00CC6E60" w:rsidRPr="002C21B8">
        <w:t>.</w:t>
      </w:r>
      <w:bookmarkStart w:id="45" w:name="_Ref218956223"/>
      <w:bookmarkStart w:id="46" w:name="_Ref226025104"/>
    </w:p>
    <w:p w14:paraId="5C2D51DC" w14:textId="6EDF3DAB" w:rsidR="008D28D7" w:rsidRPr="002C21B8" w:rsidRDefault="008D28D7" w:rsidP="00F40A22">
      <w:pPr>
        <w:pStyle w:val="Caption"/>
        <w:keepNext w:val="0"/>
        <w:rPr>
          <w:noProof w:val="0"/>
        </w:rPr>
      </w:pPr>
      <w:bookmarkStart w:id="47" w:name="_Toc236991761"/>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3</w:t>
      </w:r>
      <w:r w:rsidR="001B725E" w:rsidRPr="002C21B8">
        <w:rPr>
          <w:noProof w:val="0"/>
        </w:rPr>
        <w:fldChar w:fldCharType="end"/>
      </w:r>
      <w:bookmarkEnd w:id="45"/>
      <w:bookmarkEnd w:id="46"/>
      <w:r w:rsidRPr="002C21B8">
        <w:rPr>
          <w:noProof w:val="0"/>
        </w:rPr>
        <w:t>. Timeline of ADPKD and tolvaptan events</w:t>
      </w:r>
      <w:bookmarkEnd w:id="47"/>
    </w:p>
    <w:p w14:paraId="23E04203" w14:textId="2BCF40AB" w:rsidR="00F955B3" w:rsidRPr="002C21B8" w:rsidRDefault="008A121A" w:rsidP="00F40A22">
      <w:pPr>
        <w:spacing w:line="240" w:lineRule="auto"/>
      </w:pPr>
      <w:r w:rsidRPr="002C21B8">
        <w:rPr>
          <w:noProof/>
        </w:rPr>
        <w:drawing>
          <wp:inline distT="0" distB="0" distL="0" distR="0" wp14:anchorId="0AD29248" wp14:editId="3AE2D0EB">
            <wp:extent cx="5721178" cy="5875205"/>
            <wp:effectExtent l="0" t="0" r="0" b="5080"/>
            <wp:docPr id="28433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31506" name=""/>
                    <pic:cNvPicPr/>
                  </pic:nvPicPr>
                  <pic:blipFill>
                    <a:blip r:embed="rId19"/>
                    <a:stretch>
                      <a:fillRect/>
                    </a:stretch>
                  </pic:blipFill>
                  <pic:spPr>
                    <a:xfrm>
                      <a:off x="0" y="0"/>
                      <a:ext cx="5751279" cy="5906117"/>
                    </a:xfrm>
                    <a:prstGeom prst="rect">
                      <a:avLst/>
                    </a:prstGeom>
                  </pic:spPr>
                </pic:pic>
              </a:graphicData>
            </a:graphic>
          </wp:inline>
        </w:drawing>
      </w:r>
    </w:p>
    <w:p w14:paraId="6298CB9E" w14:textId="4E94D472" w:rsidR="0027311E" w:rsidRPr="002C21B8" w:rsidRDefault="006F3B39">
      <w:pPr>
        <w:spacing w:after="0" w:line="240" w:lineRule="auto"/>
        <w:jc w:val="left"/>
        <w:rPr>
          <w:i/>
          <w:iCs/>
          <w:color w:val="7B7B7B" w:themeColor="accent3" w:themeShade="BF"/>
          <w:sz w:val="15"/>
          <w:szCs w:val="15"/>
        </w:rPr>
      </w:pPr>
      <w:r w:rsidRPr="002C21B8">
        <w:rPr>
          <w:i/>
          <w:iCs/>
          <w:color w:val="7B7B7B" w:themeColor="accent3" w:themeShade="BF"/>
          <w:sz w:val="15"/>
          <w:szCs w:val="15"/>
        </w:rPr>
        <w:t xml:space="preserve">Autosomal Dominant Polycystic Kidney Disease (ADPKD), </w:t>
      </w:r>
      <w:r w:rsidR="00CC4516" w:rsidRPr="002C21B8">
        <w:rPr>
          <w:i/>
          <w:iCs/>
          <w:color w:val="7B7B7B" w:themeColor="accent3" w:themeShade="BF"/>
          <w:sz w:val="15"/>
          <w:szCs w:val="15"/>
        </w:rPr>
        <w:t xml:space="preserve">Cyclic Adenosine Monophosphate (cAMP), European Renal Association (ERA), Kidney Disease: Improving Global Outcomes (KDIGO), </w:t>
      </w:r>
      <w:r w:rsidR="00382FA8" w:rsidRPr="002C21B8">
        <w:rPr>
          <w:i/>
          <w:iCs/>
          <w:color w:val="7B7B7B" w:themeColor="accent3" w:themeShade="BF"/>
          <w:sz w:val="15"/>
          <w:szCs w:val="15"/>
        </w:rPr>
        <w:t>Polycystic Kidney Disease (PKD)</w:t>
      </w:r>
      <w:r w:rsidR="00CC4516" w:rsidRPr="002C21B8">
        <w:rPr>
          <w:i/>
          <w:iCs/>
          <w:color w:val="7B7B7B" w:themeColor="accent3" w:themeShade="BF"/>
          <w:sz w:val="15"/>
          <w:szCs w:val="15"/>
        </w:rPr>
        <w:t xml:space="preserve"> Renal Association (RA), Replicating Evidence of Preserved Renal Function (REPRISE), Tolvaptan Efficacy and safety in Management of Polycystic kidney disease and its Outcomes (TEMPO), United Kingdom Kidney Association (UKKA), Vasopressin 1 (V1), Vasopressin 2 (V2)</w:t>
      </w:r>
    </w:p>
    <w:p w14:paraId="5E9FAC83" w14:textId="3A0EE04B" w:rsidR="006A499D" w:rsidRPr="002C21B8" w:rsidRDefault="006A499D" w:rsidP="00ED2D36">
      <w:pPr>
        <w:pStyle w:val="Heading4"/>
      </w:pPr>
      <w:r w:rsidRPr="002C21B8">
        <w:lastRenderedPageBreak/>
        <w:t>Adverse effects and monitoring</w:t>
      </w:r>
    </w:p>
    <w:p w14:paraId="213A8F7F" w14:textId="063113CE" w:rsidR="006A499D" w:rsidRPr="002C21B8" w:rsidRDefault="006A499D" w:rsidP="006A499D">
      <w:r w:rsidRPr="002C21B8">
        <w:t>The most frequently reported adverse effects</w:t>
      </w:r>
      <w:r w:rsidR="00212395" w:rsidRPr="002C21B8">
        <w:t xml:space="preserve"> of tolvaptan </w:t>
      </w:r>
      <w:r w:rsidR="00770D84" w:rsidRPr="002C21B8">
        <w:t>are i</w:t>
      </w:r>
      <w:r w:rsidR="00212395" w:rsidRPr="002C21B8">
        <w:t xml:space="preserve">ncreased </w:t>
      </w:r>
      <w:r w:rsidRPr="002C21B8">
        <w:t xml:space="preserve">thirst, dry mouth, polyuria and dehydration. </w:t>
      </w:r>
      <w:r w:rsidR="00212395" w:rsidRPr="002C21B8">
        <w:t xml:space="preserve">Some patients report </w:t>
      </w:r>
      <w:r w:rsidR="0044735B" w:rsidRPr="002C21B8">
        <w:t xml:space="preserve">significant polyuria, </w:t>
      </w:r>
      <w:r w:rsidR="00212395" w:rsidRPr="002C21B8">
        <w:t>p</w:t>
      </w:r>
      <w:r w:rsidR="0044735B" w:rsidRPr="002C21B8">
        <w:t xml:space="preserve">roducing </w:t>
      </w:r>
      <w:r w:rsidR="00212395" w:rsidRPr="002C21B8">
        <w:t xml:space="preserve">up to eight litres of urine per day </w:t>
      </w:r>
      <w:r w:rsidRPr="002C21B8">
        <w:fldChar w:fldCharType="begin">
          <w:fldData xml:space="preserve">PEVuZE5vdGU+PENpdGU+PEF1dGhvcj5Nw7xsbGVyPC9BdXRob3I+PFllYXI+MjAyMjwvWWVhcj48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</w:fldData>
        </w:fldChar>
      </w:r>
      <w:r w:rsidR="00C423CE" w:rsidRPr="002C21B8">
        <w:instrText xml:space="preserve"> ADDIN EN.CITE </w:instrText>
      </w:r>
      <w:r w:rsidR="00C423CE" w:rsidRPr="002C21B8">
        <w:fldChar w:fldCharType="begin">
          <w:fldData xml:space="preserve">PEVuZE5vdGU+PENpdGU+PEF1dGhvcj5Nw7xsbGVyPC9BdXRob3I+PFllYXI+MjAyMjwvWWVhcj48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</w:fldData>
        </w:fldChar>
      </w:r>
      <w:r w:rsidR="00C423CE" w:rsidRPr="002C21B8">
        <w:instrText xml:space="preserve"> ADDIN EN.CITE.DATA </w:instrText>
      </w:r>
      <w:r w:rsidR="00C423CE" w:rsidRPr="002C21B8">
        <w:fldChar w:fldCharType="end"/>
      </w:r>
      <w:r w:rsidRPr="002C21B8">
        <w:fldChar w:fldCharType="separate"/>
      </w:r>
      <w:r w:rsidR="00347825" w:rsidRPr="002C21B8">
        <w:rPr>
          <w:noProof/>
        </w:rPr>
        <w:t>(Bellos, 2021; Müller</w:t>
      </w:r>
      <w:r w:rsidR="00347825" w:rsidRPr="002C21B8">
        <w:rPr>
          <w:i/>
          <w:noProof/>
        </w:rPr>
        <w:t xml:space="preserve"> et al.</w:t>
      </w:r>
      <w:r w:rsidR="00347825" w:rsidRPr="002C21B8">
        <w:rPr>
          <w:noProof/>
        </w:rPr>
        <w:t>, 2022)</w:t>
      </w:r>
      <w:r w:rsidRPr="002C21B8">
        <w:fldChar w:fldCharType="end"/>
      </w:r>
      <w:r w:rsidR="00770D84" w:rsidRPr="002C21B8">
        <w:t xml:space="preserve">. This is </w:t>
      </w:r>
      <w:r w:rsidR="0044735B" w:rsidRPr="002C21B8">
        <w:t xml:space="preserve">frequently </w:t>
      </w:r>
      <w:r w:rsidR="00212395" w:rsidRPr="002C21B8">
        <w:t>cited as the</w:t>
      </w:r>
      <w:r w:rsidR="00770D84" w:rsidRPr="002C21B8">
        <w:t xml:space="preserve"> main</w:t>
      </w:r>
      <w:r w:rsidR="00212395" w:rsidRPr="002C21B8">
        <w:t xml:space="preserve"> </w:t>
      </w:r>
      <w:r w:rsidR="0044735B" w:rsidRPr="002C21B8">
        <w:t>reason for</w:t>
      </w:r>
      <w:r w:rsidR="00212395" w:rsidRPr="002C21B8">
        <w:t xml:space="preserve"> </w:t>
      </w:r>
      <w:r w:rsidRPr="002C21B8">
        <w:t>discontinuation</w:t>
      </w:r>
      <w:r w:rsidR="00716961" w:rsidRPr="002C21B8">
        <w:t xml:space="preserve"> </w:t>
      </w:r>
      <w:r w:rsidR="00716961" w:rsidRPr="002C21B8">
        <w:fldChar w:fldCharType="begin">
          <w:fldData xml:space="preserve">PEVuZE5vdGU+PENpdGU+PEF1dGhvcj5OYXJhbmpvPC9BdXRob3I+PFllYXI+MjAyMjwvWWVhcj48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</w:fldData>
        </w:fldChar>
      </w:r>
      <w:r w:rsidR="00716961" w:rsidRPr="002C21B8">
        <w:instrText xml:space="preserve"> ADDIN EN.CITE </w:instrText>
      </w:r>
      <w:r w:rsidR="00716961" w:rsidRPr="002C21B8">
        <w:fldChar w:fldCharType="begin">
          <w:fldData xml:space="preserve">PEVuZE5vdGU+PENpdGU+PEF1dGhvcj5OYXJhbmpvPC9BdXRob3I+PFllYXI+MjAyMjwvWWVhcj48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</w:fldData>
        </w:fldChar>
      </w:r>
      <w:r w:rsidR="00716961" w:rsidRPr="002C21B8">
        <w:instrText xml:space="preserve"> ADDIN EN.CITE.DATA </w:instrText>
      </w:r>
      <w:r w:rsidR="00716961" w:rsidRPr="002C21B8">
        <w:fldChar w:fldCharType="end"/>
      </w:r>
      <w:r w:rsidR="00716961" w:rsidRPr="002C21B8">
        <w:fldChar w:fldCharType="separate"/>
      </w:r>
      <w:r w:rsidR="00716961" w:rsidRPr="002C21B8">
        <w:t>(Naranjo</w:t>
      </w:r>
      <w:r w:rsidR="00716961" w:rsidRPr="002C21B8">
        <w:rPr>
          <w:i/>
        </w:rPr>
        <w:t xml:space="preserve"> et al.</w:t>
      </w:r>
      <w:r w:rsidR="00716961" w:rsidRPr="002C21B8">
        <w:t>, 2022; Rao</w:t>
      </w:r>
      <w:r w:rsidR="00716961" w:rsidRPr="002C21B8">
        <w:rPr>
          <w:i/>
        </w:rPr>
        <w:t xml:space="preserve"> et al.</w:t>
      </w:r>
      <w:r w:rsidR="00716961" w:rsidRPr="002C21B8">
        <w:t>, 2025)</w:t>
      </w:r>
      <w:r w:rsidR="00716961" w:rsidRPr="002C21B8">
        <w:fldChar w:fldCharType="end"/>
      </w:r>
      <w:r w:rsidRPr="002C21B8">
        <w:t xml:space="preserve">. Another rare but important adverse effect </w:t>
      </w:r>
      <w:r w:rsidR="00770D84" w:rsidRPr="002C21B8">
        <w:t>that was identified</w:t>
      </w:r>
      <w:r w:rsidR="00212395" w:rsidRPr="002C21B8">
        <w:t xml:space="preserve"> </w:t>
      </w:r>
      <w:r w:rsidR="006B0A9C" w:rsidRPr="002C21B8">
        <w:t xml:space="preserve">by </w:t>
      </w:r>
      <w:r w:rsidR="00212395" w:rsidRPr="002C21B8">
        <w:t xml:space="preserve">the clinical trials was </w:t>
      </w:r>
      <w:r w:rsidRPr="002C21B8">
        <w:t>drug-induced liver injury</w:t>
      </w:r>
      <w:r w:rsidR="00212395" w:rsidRPr="002C21B8">
        <w:t xml:space="preserve">. This led </w:t>
      </w:r>
      <w:r w:rsidRPr="002C21B8">
        <w:t>regulatory authorities</w:t>
      </w:r>
      <w:r w:rsidR="00770D84" w:rsidRPr="002C21B8">
        <w:t xml:space="preserve">, including </w:t>
      </w:r>
      <w:r w:rsidRPr="002C21B8">
        <w:t>the Medicines and Healthcare products Regulatory Agency (MHRA) in the UK, to mandate liver function monitoring</w:t>
      </w:r>
      <w:r w:rsidR="00212395" w:rsidRPr="002C21B8">
        <w:t xml:space="preserve"> </w:t>
      </w:r>
      <w:r w:rsidR="00770D84" w:rsidRPr="002C21B8">
        <w:t xml:space="preserve">when taking tolvaptan. This is </w:t>
      </w:r>
      <w:r w:rsidR="00212395" w:rsidRPr="002C21B8">
        <w:t xml:space="preserve">monthly </w:t>
      </w:r>
      <w:r w:rsidRPr="002C21B8">
        <w:t xml:space="preserve">for the first 18 months and </w:t>
      </w:r>
      <w:r w:rsidR="00770D84" w:rsidRPr="002C21B8">
        <w:t xml:space="preserve">then </w:t>
      </w:r>
      <w:r w:rsidRPr="002C21B8">
        <w:t xml:space="preserve">every three months thereafter </w:t>
      </w:r>
      <w:r w:rsidRPr="002C21B8">
        <w:fldChar w:fldCharType="begin"/>
      </w:r>
      <w:r w:rsidR="00B23597" w:rsidRPr="002C21B8">
        <w:instrText xml:space="preserve"> ADDIN EN.CITE &lt;EndNote&gt;&lt;Cite&gt;&lt;Author&gt;Medicines and Healthcare products Regulatory Agency&lt;/Author&gt;&lt;Year&gt;2014&lt;/Year&gt;&lt;RecNum&gt;125320&lt;/RecNum&gt;&lt;DisplayText&gt;(Medicines and Healthcare products Regulatory Agency, 2014)&lt;/DisplayText&gt;&lt;record&gt;&lt;rec-number&gt;125320&lt;/rec-number&gt;&lt;foreign-keys&gt;&lt;key app="EN" db-id="xpefzwa5hf9dt2ea9fax95x7xvxz90v09dtf" timestamp="1775058864"&gt;125320&lt;/key&gt;&lt;/foreign-keys&gt;&lt;ref-type name="Web Page"&gt;12&lt;/ref-type&gt;&lt;contributors&gt;&lt;authors&gt;&lt;author&gt;Medicines and Healthcare products Regulatory Agency,&lt;/author&gt;&lt;/authors&gt;&lt;/contributors&gt;&lt;titles&gt;&lt;title&gt;Tolvaptan (Samsca</w:instrText>
      </w:r>
      <w:r w:rsidR="00B23597" w:rsidRPr="002C21B8">
        <w:rPr>
          <w:rFonts w:ascii="Arial" w:hAnsi="Arial" w:cs="Arial"/>
        </w:rPr>
        <w:instrText>▼</w:instrText>
      </w:r>
      <w:r w:rsidR="00B23597" w:rsidRPr="002C21B8">
        <w:instrText>): risk of liver injury&lt;/title&gt;&lt;/titles&gt;&lt;number&gt;01/04/2026)&lt;/number&gt;&lt;dates&gt;&lt;year&gt;2014&lt;/year&gt;&lt;/dates&gt;&lt;urls&gt;&lt;related-urls&gt;&lt;url&gt;https://www.gov.uk/drug-safety-update/tolvaptan-samsca-risk-of-liver-injury.com&lt;/url&gt;&lt;/related-urls&gt;&lt;/urls&gt;&lt;/record&gt;&lt;/Cite&gt;&lt;/EndNote&gt;</w:instrText>
      </w:r>
      <w:r w:rsidRPr="002C21B8">
        <w:fldChar w:fldCharType="separate"/>
      </w:r>
      <w:r w:rsidRPr="002C21B8">
        <w:t>(Medicines and Healthcare products Regulatory Agency, 2014)</w:t>
      </w:r>
      <w:r w:rsidRPr="002C21B8">
        <w:fldChar w:fldCharType="end"/>
      </w:r>
      <w:r w:rsidRPr="002C21B8">
        <w:t>.</w:t>
      </w:r>
    </w:p>
    <w:p w14:paraId="04FAB243" w14:textId="03A74472" w:rsidR="00CE05D1" w:rsidRPr="002C21B8" w:rsidRDefault="00CE05D1" w:rsidP="00ED2D36">
      <w:pPr>
        <w:pStyle w:val="Heading4"/>
      </w:pPr>
      <w:r w:rsidRPr="002C21B8">
        <w:t>Regulatory licensing</w:t>
      </w:r>
      <w:r w:rsidR="00CA2B46" w:rsidRPr="002C21B8">
        <w:t xml:space="preserve"> and </w:t>
      </w:r>
      <w:r w:rsidR="00924E98" w:rsidRPr="002C21B8">
        <w:t>commissioning</w:t>
      </w:r>
      <w:r w:rsidR="00CA2B46" w:rsidRPr="002C21B8">
        <w:t xml:space="preserve"> policies</w:t>
      </w:r>
    </w:p>
    <w:p w14:paraId="0CE52B1B" w14:textId="5F12B1C8" w:rsidR="00213881" w:rsidRPr="002C21B8" w:rsidRDefault="00CE05D1" w:rsidP="003374F4">
      <w:r w:rsidRPr="002C21B8">
        <w:t xml:space="preserve">Tolvaptan is </w:t>
      </w:r>
      <w:r w:rsidR="00212395" w:rsidRPr="002C21B8">
        <w:t xml:space="preserve">currently </w:t>
      </w:r>
      <w:r w:rsidRPr="002C21B8">
        <w:t>the only disease-modifying therapy</w:t>
      </w:r>
      <w:r w:rsidR="00212395" w:rsidRPr="002C21B8">
        <w:t xml:space="preserve"> that has been</w:t>
      </w:r>
      <w:r w:rsidRPr="002C21B8">
        <w:t xml:space="preserve"> </w:t>
      </w:r>
      <w:r w:rsidR="00213881" w:rsidRPr="002C21B8">
        <w:t xml:space="preserve">licensed for </w:t>
      </w:r>
      <w:r w:rsidRPr="002C21B8">
        <w:t xml:space="preserve">the management of ADPKD. </w:t>
      </w:r>
      <w:r w:rsidR="00CC6E60" w:rsidRPr="002C21B8">
        <w:t>As of</w:t>
      </w:r>
      <w:r w:rsidR="00626284" w:rsidRPr="002C21B8">
        <w:t xml:space="preserve"> </w:t>
      </w:r>
      <w:r w:rsidR="006B0A9C" w:rsidRPr="002C21B8">
        <w:t>August</w:t>
      </w:r>
      <w:r w:rsidR="00626284" w:rsidRPr="002C21B8">
        <w:t xml:space="preserve"> </w:t>
      </w:r>
      <w:r w:rsidR="00CC6E60" w:rsidRPr="002C21B8">
        <w:t>202</w:t>
      </w:r>
      <w:r w:rsidR="006B0A9C" w:rsidRPr="002C21B8">
        <w:t>4</w:t>
      </w:r>
      <w:r w:rsidR="00CC6E60" w:rsidRPr="002C21B8">
        <w:t xml:space="preserve">, </w:t>
      </w:r>
      <w:r w:rsidR="00213881" w:rsidRPr="002C21B8">
        <w:t xml:space="preserve">it has been granted marketing authorisation in over 43 countries including </w:t>
      </w:r>
      <w:r w:rsidR="00CC6E60" w:rsidRPr="002C21B8">
        <w:t xml:space="preserve">Australia, Canada, the European Union, Hong Kong, Indonesia, Japan, Korea, New Zealand, Norway, Switzerland, Taiwan, Turkey, the United Kingdom </w:t>
      </w:r>
      <w:r w:rsidR="00626284" w:rsidRPr="002C21B8">
        <w:t>(UK) a</w:t>
      </w:r>
      <w:r w:rsidR="00CC6E60" w:rsidRPr="002C21B8">
        <w:t>nd the United States</w:t>
      </w:r>
      <w:r w:rsidR="006B0A9C" w:rsidRPr="002C21B8">
        <w:t xml:space="preserve"> </w:t>
      </w:r>
      <w:r w:rsidR="006B0A9C" w:rsidRPr="002C21B8">
        <w:fldChar w:fldCharType="begin"/>
      </w:r>
      <w:r w:rsidR="006B0A9C" w:rsidRPr="002C21B8">
        <w:instrText xml:space="preserve"> ADDIN EN.CITE &lt;EndNote&gt;&lt;Cite&gt;&lt;Author&gt;Otsuka Pharmaceutical Co. Ltd&lt;/Author&gt;&lt;Year&gt;2024&lt;/Year&gt;&lt;RecNum&gt;125588&lt;/RecNum&gt;&lt;DisplayText&gt;(Otsuka Pharmaceutical Co. Ltd, 2024)&lt;/DisplayText&gt;&lt;record&gt;&lt;rec-number&gt;125588&lt;/rec-number&gt;&lt;foreign-keys&gt;&lt;key app="EN" db-id="xpefzwa5hf9dt2ea9fax95x7xvxz90v09dtf" timestamp="1778505584"&gt;125588&lt;/key&gt;&lt;/foreign-keys&gt;&lt;ref-type name="Generic"&gt;13&lt;/ref-type&gt;&lt;contributors&gt;&lt;authors&gt;&lt;author&gt;Otsuka Pharmaceutical Co. Ltd,&lt;/author&gt;&lt;/authors&gt;&lt;/contributors&gt;&lt;titles&gt;&lt;title&gt;Email to Matthew Gittus&lt;/title&gt;&lt;/titles&gt;&lt;dates&gt;&lt;year&gt;2024&lt;/year&gt;&lt;pub-dates&gt;&lt;date&gt;22/08/2024&lt;/date&gt;&lt;/pub-dates&gt;&lt;/dates&gt;&lt;urls&gt;&lt;/urls&gt;&lt;/record&gt;&lt;/Cite&gt;&lt;/EndNote&gt;</w:instrText>
      </w:r>
      <w:r w:rsidR="006B0A9C" w:rsidRPr="002C21B8">
        <w:fldChar w:fldCharType="separate"/>
      </w:r>
      <w:r w:rsidR="006B0A9C" w:rsidRPr="002C21B8">
        <w:rPr>
          <w:noProof/>
        </w:rPr>
        <w:t>(Otsuka Pharmaceutical Co. Ltd, 2024)</w:t>
      </w:r>
      <w:r w:rsidR="006B0A9C" w:rsidRPr="002C21B8">
        <w:fldChar w:fldCharType="end"/>
      </w:r>
      <w:r w:rsidR="00CC6E60" w:rsidRPr="002C21B8">
        <w:t>.</w:t>
      </w:r>
    </w:p>
    <w:p w14:paraId="16310DC3" w14:textId="41F47294" w:rsidR="00CC6E60" w:rsidRPr="002C21B8" w:rsidRDefault="00213881" w:rsidP="00212395">
      <w:r w:rsidRPr="002C21B8">
        <w:t xml:space="preserve">In the UK, tolvaptan was first marketed by </w:t>
      </w:r>
      <w:r w:rsidR="00CC6E60" w:rsidRPr="002C21B8">
        <w:t>Otsuka Pharmaceuticals as Jinarc®</w:t>
      </w:r>
      <w:r w:rsidRPr="002C21B8">
        <w:t xml:space="preserve"> under a c</w:t>
      </w:r>
      <w:r w:rsidR="00CC6E60" w:rsidRPr="002C21B8">
        <w:t xml:space="preserve">ontrolled distribution agreement </w:t>
      </w:r>
      <w:r w:rsidR="006A499D" w:rsidRPr="002C21B8">
        <w:t xml:space="preserve">due to the risk of liver injury </w:t>
      </w:r>
      <w:r w:rsidR="006A499D" w:rsidRPr="002C21B8">
        <w:fldChar w:fldCharType="begin"/>
      </w:r>
      <w:r w:rsidR="00B23597" w:rsidRPr="002C21B8">
        <w:instrText xml:space="preserve"> ADDIN EN.CITE &lt;EndNote&gt;&lt;Cite&gt;&lt;Author&gt;Medicines and Healthcare products Regulatory Agency&lt;/Author&gt;&lt;Year&gt;2014&lt;/Year&gt;&lt;RecNum&gt;125320&lt;/RecNum&gt;&lt;DisplayText&gt;(Medicines and Healthcare products Regulatory Agency, 2014)&lt;/DisplayText&gt;&lt;record&gt;&lt;rec-number&gt;125320&lt;/rec-number&gt;&lt;foreign-keys&gt;&lt;key app="EN" db-id="xpefzwa5hf9dt2ea9fax95x7xvxz90v09dtf" timestamp="1775058864"&gt;125320&lt;/key&gt;&lt;/foreign-keys&gt;&lt;ref-type name="Web Page"&gt;12&lt;/ref-type&gt;&lt;contributors&gt;&lt;authors&gt;&lt;author&gt;Medicines and Healthcare products Regulatory Agency,&lt;/author&gt;&lt;/authors&gt;&lt;/contributors&gt;&lt;titles&gt;&lt;title&gt;Tolvaptan (Samsca</w:instrText>
      </w:r>
      <w:r w:rsidR="00B23597" w:rsidRPr="002C21B8">
        <w:rPr>
          <w:rFonts w:ascii="Arial" w:hAnsi="Arial" w:cs="Arial"/>
        </w:rPr>
        <w:instrText>▼</w:instrText>
      </w:r>
      <w:r w:rsidR="00B23597" w:rsidRPr="002C21B8">
        <w:instrText>): risk of liver injury&lt;/title&gt;&lt;/titles&gt;&lt;number&gt;01/04/2026)&lt;/number&gt;&lt;dates&gt;&lt;year&gt;2014&lt;/year&gt;&lt;/dates&gt;&lt;urls&gt;&lt;related-urls&gt;&lt;url&gt;https://www.gov.uk/drug-safety-update/tolvaptan-samsca-risk-of-liver-injury.com&lt;/url&gt;&lt;/related-urls&gt;&lt;/urls&gt;&lt;/record&gt;&lt;/Cite&gt;&lt;/EndNote&gt;</w:instrText>
      </w:r>
      <w:r w:rsidR="006A499D" w:rsidRPr="002C21B8">
        <w:fldChar w:fldCharType="separate"/>
      </w:r>
      <w:r w:rsidR="006A499D" w:rsidRPr="002C21B8">
        <w:t>(Medicines and Healthcare products Regulatory Agency, 2014)</w:t>
      </w:r>
      <w:r w:rsidR="006A499D" w:rsidRPr="002C21B8">
        <w:fldChar w:fldCharType="end"/>
      </w:r>
      <w:r w:rsidR="006A499D" w:rsidRPr="002C21B8">
        <w:t xml:space="preserve">. </w:t>
      </w:r>
      <w:r w:rsidR="00212395" w:rsidRPr="002C21B8">
        <w:t xml:space="preserve">Before tolvaptan could be prescribed </w:t>
      </w:r>
      <w:r w:rsidR="007E1678" w:rsidRPr="002C21B8">
        <w:t>to patients in</w:t>
      </w:r>
      <w:r w:rsidR="00212395" w:rsidRPr="002C21B8">
        <w:t xml:space="preserve"> kidney centres, clinicians </w:t>
      </w:r>
      <w:r w:rsidR="00770D84" w:rsidRPr="002C21B8">
        <w:t xml:space="preserve">were required </w:t>
      </w:r>
      <w:r w:rsidRPr="002C21B8">
        <w:t xml:space="preserve">to complete </w:t>
      </w:r>
      <w:r w:rsidR="006A499D" w:rsidRPr="002C21B8">
        <w:t xml:space="preserve">an online training programme </w:t>
      </w:r>
      <w:r w:rsidR="00770D84" w:rsidRPr="002C21B8">
        <w:t>that was provided</w:t>
      </w:r>
      <w:r w:rsidR="006A499D" w:rsidRPr="002C21B8">
        <w:t xml:space="preserve"> by the </w:t>
      </w:r>
      <w:r w:rsidRPr="002C21B8">
        <w:t xml:space="preserve">pharmaceutical company. </w:t>
      </w:r>
      <w:r w:rsidR="00D05E0B" w:rsidRPr="002C21B8">
        <w:t>T</w:t>
      </w:r>
      <w:r w:rsidR="00CC6E60" w:rsidRPr="002C21B8">
        <w:t xml:space="preserve">he controlled distribution </w:t>
      </w:r>
      <w:r w:rsidR="00212395" w:rsidRPr="002C21B8">
        <w:t xml:space="preserve">agreement was discontinued </w:t>
      </w:r>
      <w:r w:rsidR="00D05E0B" w:rsidRPr="002C21B8">
        <w:t xml:space="preserve">in 2022 </w:t>
      </w:r>
      <w:r w:rsidR="00212395" w:rsidRPr="002C21B8">
        <w:t xml:space="preserve">as </w:t>
      </w:r>
      <w:r w:rsidRPr="002C21B8">
        <w:t xml:space="preserve">monitoring </w:t>
      </w:r>
      <w:r w:rsidR="006A499D" w:rsidRPr="002C21B8">
        <w:t xml:space="preserve">for liver injury </w:t>
      </w:r>
      <w:r w:rsidR="00770D84" w:rsidRPr="002C21B8">
        <w:t>was believed to have</w:t>
      </w:r>
      <w:r w:rsidRPr="002C21B8">
        <w:t xml:space="preserve"> become </w:t>
      </w:r>
      <w:r w:rsidR="006A499D" w:rsidRPr="002C21B8">
        <w:t>standard practice</w:t>
      </w:r>
      <w:r w:rsidR="00DF6393" w:rsidRPr="002C21B8">
        <w:t>,</w:t>
      </w:r>
      <w:r w:rsidR="00770D84" w:rsidRPr="002C21B8">
        <w:t xml:space="preserve"> which meant training was no longer </w:t>
      </w:r>
      <w:r w:rsidR="00DF6393" w:rsidRPr="002C21B8">
        <w:t xml:space="preserve">mandated </w:t>
      </w:r>
      <w:r w:rsidR="00CC6E60" w:rsidRPr="002C21B8">
        <w:fldChar w:fldCharType="begin"/>
      </w:r>
      <w:r w:rsidR="007817FD" w:rsidRPr="002C21B8">
        <w:instrText xml:space="preserve"> ADDIN EN.CITE &lt;EndNote&gt;&lt;Cite&gt;&lt;Author&gt;The Prescription Medicines Code of Practice Authority&lt;/Author&gt;&lt;Year&gt;2024&lt;/Year&gt;&lt;RecNum&gt;125030&lt;/RecNum&gt;&lt;DisplayText&gt;(The Prescription Medicines Code of Practice Authority, 2024)&lt;/DisplayText&gt;&lt;record&gt;&lt;rec-number&gt;125030&lt;/rec-number&gt;&lt;foreign-keys&gt;&lt;key app="EN" db-id="xpefzwa5hf9dt2ea9fax95x7xvxz90v09dtf" timestamp="1758282175"&gt;125030&lt;/key&gt;&lt;/foreign-keys&gt;&lt;ref-type name="Web Page"&gt;12&lt;/ref-type&gt;&lt;contributors&gt;&lt;authors&gt;&lt;author&gt;The Prescription Medicines Code of Practice Authority,&lt;/author&gt;&lt;/authors&gt;&lt;/contributors&gt;&lt;titles&gt;&lt;title&gt;CASE AUTH/3751/3/23 - EX-EMPLOYEE v OTSUKA&lt;/title&gt;&lt;/titles&gt;&lt;number&gt;19/09/2025)&lt;/number&gt;&lt;dates&gt;&lt;year&gt;2024&lt;/year&gt;&lt;/dates&gt;&lt;urls&gt;&lt;related-urls&gt;&lt;url&gt;https://pmcpa.org.uk/media/eb3coriz/3751-case-report-26-september-2024.pdf&lt;/url&gt;&lt;/related-urls&gt;&lt;/urls&gt;&lt;/record&gt;&lt;/Cite&gt;&lt;/EndNote&gt;</w:instrText>
      </w:r>
      <w:r w:rsidR="00CC6E60" w:rsidRPr="002C21B8">
        <w:fldChar w:fldCharType="separate"/>
      </w:r>
      <w:r w:rsidR="00CC6E60" w:rsidRPr="002C21B8">
        <w:t>(The Prescription Medicines Code of Practice Authority, 2024)</w:t>
      </w:r>
      <w:r w:rsidR="00CC6E60" w:rsidRPr="002C21B8">
        <w:fldChar w:fldCharType="end"/>
      </w:r>
      <w:r w:rsidR="00CC6E60" w:rsidRPr="002C21B8">
        <w:t>. In January 2024, T</w:t>
      </w:r>
      <w:r w:rsidR="00C21574" w:rsidRPr="002C21B8">
        <w:t>eva</w:t>
      </w:r>
      <w:r w:rsidR="00CC6E60" w:rsidRPr="002C21B8">
        <w:t xml:space="preserve"> UK received approval from the MHRA </w:t>
      </w:r>
      <w:r w:rsidR="006A499D" w:rsidRPr="002C21B8">
        <w:t xml:space="preserve">to market a </w:t>
      </w:r>
      <w:r w:rsidR="00CC6E60" w:rsidRPr="002C21B8">
        <w:t xml:space="preserve">generic version of tolvaptan. Thus, kidney </w:t>
      </w:r>
      <w:r w:rsidR="009830CE" w:rsidRPr="002C21B8">
        <w:t>centre</w:t>
      </w:r>
      <w:r w:rsidR="00CC6E60" w:rsidRPr="002C21B8">
        <w:t xml:space="preserve">s may now use the Otsuka </w:t>
      </w:r>
      <w:r w:rsidR="0091115B" w:rsidRPr="002C21B8">
        <w:t xml:space="preserve">Pharmaceuticals </w:t>
      </w:r>
      <w:r w:rsidR="00CC6E60" w:rsidRPr="002C21B8">
        <w:t xml:space="preserve">branded Jinarc® or </w:t>
      </w:r>
      <w:r w:rsidR="0091115B" w:rsidRPr="002C21B8">
        <w:t>the</w:t>
      </w:r>
      <w:r w:rsidR="00212395" w:rsidRPr="002C21B8">
        <w:t xml:space="preserve"> </w:t>
      </w:r>
      <w:r w:rsidR="00CC6E60" w:rsidRPr="002C21B8">
        <w:t>generic versio</w:t>
      </w:r>
      <w:r w:rsidR="0091115B" w:rsidRPr="002C21B8">
        <w:t>n</w:t>
      </w:r>
      <w:r w:rsidR="00CC6E60" w:rsidRPr="002C21B8">
        <w:t xml:space="preserve"> </w:t>
      </w:r>
      <w:r w:rsidR="00C21574" w:rsidRPr="002C21B8">
        <w:t>of tolvaptan</w:t>
      </w:r>
      <w:r w:rsidR="0091115B" w:rsidRPr="002C21B8">
        <w:t xml:space="preserve"> from Teva UK</w:t>
      </w:r>
      <w:r w:rsidR="00CC6E60" w:rsidRPr="002C21B8">
        <w:t>.</w:t>
      </w:r>
    </w:p>
    <w:p w14:paraId="1E480047" w14:textId="1A3FBA0E" w:rsidR="00CA2B46" w:rsidRPr="002C21B8" w:rsidRDefault="00924E98" w:rsidP="00213881">
      <w:r w:rsidRPr="002C21B8">
        <w:t xml:space="preserve">The funding of tolvaptan is different in England than </w:t>
      </w:r>
      <w:r w:rsidR="008D6EB4">
        <w:t xml:space="preserve">the </w:t>
      </w:r>
      <w:r w:rsidRPr="002C21B8">
        <w:t>other three nations</w:t>
      </w:r>
      <w:r w:rsidR="00DF6C93" w:rsidRPr="002C21B8">
        <w:t xml:space="preserve"> in the UK</w:t>
      </w:r>
      <w:r w:rsidRPr="002C21B8">
        <w:t xml:space="preserve">. In England, tolvaptan is funded nationally through the high-cost drugs commissioning policy which requires local hospital trusts (organisational units within NHS England) to purchase the </w:t>
      </w:r>
      <w:r w:rsidR="009D2BF2" w:rsidRPr="002C21B8">
        <w:t>medication</w:t>
      </w:r>
      <w:r w:rsidRPr="002C21B8">
        <w:t xml:space="preserve"> up-front through their pharmacy budgets. </w:t>
      </w:r>
      <w:r w:rsidR="002A5E0E" w:rsidRPr="002C21B8">
        <w:t>When tolvaptan has been prescribed to a patient, t</w:t>
      </w:r>
      <w:r w:rsidRPr="002C21B8">
        <w:t>he hospital trusts then claim the cost back from NHS England. In the other three nations</w:t>
      </w:r>
      <w:r w:rsidR="009F5A64" w:rsidRPr="002C21B8">
        <w:t>,</w:t>
      </w:r>
      <w:r w:rsidRPr="002C21B8">
        <w:t xml:space="preserve"> funding is </w:t>
      </w:r>
      <w:r w:rsidR="00CE367E" w:rsidRPr="002C21B8">
        <w:t>centralised</w:t>
      </w:r>
      <w:r w:rsidRPr="002C21B8">
        <w:t xml:space="preserve"> </w:t>
      </w:r>
      <w:r w:rsidR="002B6020" w:rsidRPr="002C21B8">
        <w:t>and comes from</w:t>
      </w:r>
      <w:r w:rsidR="00CE367E" w:rsidRPr="002C21B8">
        <w:t xml:space="preserve"> the regional NHS boards in Scotland and Wales, and Health and Social Care boards in Northern Ireland</w:t>
      </w:r>
      <w:r w:rsidR="00305FFD" w:rsidRPr="002C21B8">
        <w:t>.</w:t>
      </w:r>
      <w:r w:rsidR="002A5E0E" w:rsidRPr="002C21B8">
        <w:t xml:space="preserve"> Thus, the clinician and hospital</w:t>
      </w:r>
      <w:r w:rsidR="004C08C7" w:rsidRPr="002C21B8">
        <w:t xml:space="preserve">s </w:t>
      </w:r>
      <w:r w:rsidR="002A5E0E" w:rsidRPr="002C21B8">
        <w:t xml:space="preserve">do not take direct financial responsibility for the </w:t>
      </w:r>
      <w:r w:rsidR="009D2BF2" w:rsidRPr="002C21B8">
        <w:t>medication</w:t>
      </w:r>
      <w:r w:rsidR="004C08C7" w:rsidRPr="002C21B8">
        <w:t xml:space="preserve"> in these regions</w:t>
      </w:r>
      <w:r w:rsidR="002A5E0E" w:rsidRPr="002C21B8">
        <w:t>.</w:t>
      </w:r>
    </w:p>
    <w:p w14:paraId="26638241" w14:textId="4ABC1C3A" w:rsidR="00213881" w:rsidRPr="002C21B8" w:rsidRDefault="00213881" w:rsidP="00ED2D36">
      <w:pPr>
        <w:pStyle w:val="Heading4"/>
      </w:pPr>
      <w:r w:rsidRPr="002C21B8">
        <w:lastRenderedPageBreak/>
        <w:t xml:space="preserve">Guidelines </w:t>
      </w:r>
      <w:r w:rsidR="00103E72" w:rsidRPr="002C21B8">
        <w:t xml:space="preserve">for </w:t>
      </w:r>
      <w:r w:rsidRPr="002C21B8">
        <w:t>tolvaptan</w:t>
      </w:r>
    </w:p>
    <w:p w14:paraId="2950D54C" w14:textId="06696B1F" w:rsidR="00C41F20" w:rsidRPr="002C21B8" w:rsidRDefault="00103E72" w:rsidP="00F00D80">
      <w:pPr>
        <w:spacing w:after="120"/>
      </w:pPr>
      <w:r w:rsidRPr="002C21B8">
        <w:t>Following health technology appraisals, the National Institute for Health and Care Excellence (NICE), which provides guidance on the use of medic</w:t>
      </w:r>
      <w:r w:rsidR="00416EA1" w:rsidRPr="002C21B8">
        <w:t>ation</w:t>
      </w:r>
      <w:r w:rsidRPr="002C21B8">
        <w:t>s in the NHS England</w:t>
      </w:r>
      <w:r w:rsidR="00D23BAB" w:rsidRPr="002C21B8">
        <w:t>,</w:t>
      </w:r>
      <w:r w:rsidRPr="002C21B8">
        <w:t xml:space="preserve"> and the Scottish Medicines Consortium (SMC)</w:t>
      </w:r>
      <w:r w:rsidR="00C41F20" w:rsidRPr="002C21B8">
        <w:t xml:space="preserve">, the equivalent body for NHS Scotland, issued recommendations on how tolvaptan should be used in clinical practice </w:t>
      </w:r>
      <w:r w:rsidRPr="002C21B8">
        <w:fldChar w:fldCharType="begin"/>
      </w:r>
      <w:r w:rsidR="00590E88" w:rsidRPr="002C21B8">
        <w:instrText xml:space="preserve"> ADDIN EN.CITE &lt;EndNote&gt;&lt;Cite&gt;&lt;Author&gt;Scottish Medicines Consortium&lt;/Author&gt;&lt;Year&gt;2016&lt;/Year&gt;&lt;RecNum&gt;4999&lt;/RecNum&gt;&lt;DisplayText&gt;(National Institute for Health and Care Excellence, 2015b; Scottish Medicines Consortium, 2016)&lt;/DisplayText&gt;&lt;record&gt;&lt;rec-number&gt;4999&lt;/rec-number&gt;&lt;foreign-keys&gt;&lt;key app="EN" db-id="xpefzwa5hf9dt2ea9fax95x7xvxz90v09dtf" timestamp="1699885135"&gt;4999&lt;/key&gt;&lt;/foreign-keys&gt;&lt;ref-type name="Web Page"&gt;12&lt;/ref-type&gt;&lt;contributors&gt;&lt;authors&gt;&lt;author&gt;Scottish Medicines Consortium,&lt;/author&gt;&lt;/authors&gt;&lt;/contributors&gt;&lt;titles&gt;&lt;title&gt;Tolvaptan (SMC No. 1114/1115)&lt;/title&gt;&lt;/titles&gt;&lt;number&gt;26/04/2026)&lt;/number&gt;&lt;dates&gt;&lt;year&gt;2016&lt;/year&gt;&lt;/dates&gt;&lt;urls&gt;&lt;related-urls&gt;&lt;url&gt;https://scottishmedicines.org.uk/medicines-advice/tolvaptan-jinarc-fullsubmission-111415/&lt;/url&gt;&lt;/related-urls&gt;&lt;/urls&gt;&lt;/record&gt;&lt;/Cite&gt;&lt;Cite&gt;&lt;Author&gt;National Institute for Health and Care Excellence&lt;/Author&gt;&lt;Year&gt;2015&lt;/Year&gt;&lt;RecNum&gt;124997&lt;/RecNum&gt;&lt;record&gt;&lt;rec-number&gt;124997&lt;/rec-number&gt;&lt;foreign-keys&gt;&lt;key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Pr="002C21B8">
        <w:fldChar w:fldCharType="separate"/>
      </w:r>
      <w:r w:rsidR="00590E88" w:rsidRPr="002C21B8">
        <w:rPr>
          <w:noProof/>
        </w:rPr>
        <w:t>(National Institute for Health and Care Excellence, 2015b; Scottish Medicines Consortium, 2016)</w:t>
      </w:r>
      <w:r w:rsidRPr="002C21B8">
        <w:fldChar w:fldCharType="end"/>
      </w:r>
      <w:r w:rsidRPr="002C21B8">
        <w:t xml:space="preserve">. </w:t>
      </w:r>
      <w:r w:rsidR="00C41F20" w:rsidRPr="002C21B8">
        <w:t xml:space="preserve">Both organisations recommended tolvaptan be used for people with a confirmed diagnosis of ADPKD and “rapidly progressing disease”. Prescribing </w:t>
      </w:r>
      <w:r w:rsidR="00C304CD" w:rsidRPr="002C21B8">
        <w:t xml:space="preserve">and monitoring </w:t>
      </w:r>
      <w:r w:rsidR="00C41F20" w:rsidRPr="002C21B8">
        <w:t>w</w:t>
      </w:r>
      <w:r w:rsidR="009F5A64" w:rsidRPr="002C21B8">
        <w:t>ere</w:t>
      </w:r>
      <w:r w:rsidR="00C41F20" w:rsidRPr="002C21B8">
        <w:t xml:space="preserve"> restricted to clinicians with expertise in managing people with ADPKD </w:t>
      </w:r>
      <w:r w:rsidR="00C304CD" w:rsidRPr="002C21B8">
        <w:t>in the secondary care setting.</w:t>
      </w:r>
      <w:r w:rsidR="00EB3420" w:rsidRPr="002C21B8">
        <w:t xml:space="preserve"> </w:t>
      </w:r>
      <w:r w:rsidR="00C41F20" w:rsidRPr="002C21B8">
        <w:t>This guidance is included below:</w:t>
      </w:r>
    </w:p>
    <w:tbl>
      <w:tblPr>
        <w:tblStyle w:val="TableGrid"/>
        <w:tblW w:w="0" w:type="auto"/>
        <w:tblLook w:val="04A0" w:firstRow="1" w:lastRow="0" w:firstColumn="1" w:lastColumn="0" w:noHBand="0" w:noVBand="1"/>
      </w:tblPr>
      <w:tblGrid>
        <w:gridCol w:w="9016"/>
      </w:tblGrid>
      <w:tr w:rsidR="00C41F20" w:rsidRPr="002C21B8" w14:paraId="02F4133E" w14:textId="77777777" w:rsidTr="00C304CD">
        <w:tc>
          <w:tcPr>
            <w:tcW w:w="9016" w:type="dxa"/>
            <w:tcBorders>
              <w:bottom w:val="single" w:sz="4" w:space="0" w:color="auto"/>
            </w:tcBorders>
            <w:shd w:val="clear" w:color="auto" w:fill="auto"/>
          </w:tcPr>
          <w:p w14:paraId="1D138CEB" w14:textId="7ED59B68" w:rsidR="00C41F20" w:rsidRPr="002C21B8" w:rsidRDefault="00C41F20" w:rsidP="00EB3420">
            <w:pPr>
              <w:spacing w:before="80" w:after="80" w:line="276" w:lineRule="auto"/>
              <w:rPr>
                <w:sz w:val="21"/>
                <w:szCs w:val="21"/>
              </w:rPr>
            </w:pPr>
            <w:r w:rsidRPr="002C21B8">
              <w:rPr>
                <w:sz w:val="21"/>
                <w:szCs w:val="21"/>
              </w:rPr>
              <w:t>NICE (England &amp; Wales) – TA458</w:t>
            </w:r>
            <w:r w:rsidR="00590E88" w:rsidRPr="002C21B8">
              <w:rPr>
                <w:sz w:val="21"/>
                <w:szCs w:val="21"/>
              </w:rPr>
              <w:t xml:space="preserve"> </w:t>
            </w:r>
            <w:r w:rsidR="00590E88" w:rsidRPr="002C21B8">
              <w:rPr>
                <w:sz w:val="21"/>
                <w:szCs w:val="21"/>
              </w:rPr>
              <w:fldChar w:fldCharType="begin"/>
            </w:r>
            <w:r w:rsidR="00590E88" w:rsidRPr="002C21B8">
              <w:rPr>
                <w:sz w:val="21"/>
                <w:szCs w:val="21"/>
              </w:rPr>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00590E88" w:rsidRPr="002C21B8">
              <w:rPr>
                <w:sz w:val="21"/>
                <w:szCs w:val="21"/>
              </w:rPr>
              <w:fldChar w:fldCharType="separate"/>
            </w:r>
            <w:r w:rsidR="00590E88" w:rsidRPr="002C21B8">
              <w:rPr>
                <w:noProof/>
                <w:sz w:val="21"/>
                <w:szCs w:val="21"/>
              </w:rPr>
              <w:t>(National Institute for Health and Care Excellence, 2015b)</w:t>
            </w:r>
            <w:r w:rsidR="00590E88" w:rsidRPr="002C21B8">
              <w:rPr>
                <w:sz w:val="21"/>
                <w:szCs w:val="21"/>
              </w:rPr>
              <w:fldChar w:fldCharType="end"/>
            </w:r>
            <w:r w:rsidRPr="002C21B8">
              <w:rPr>
                <w:sz w:val="21"/>
                <w:szCs w:val="21"/>
              </w:rPr>
              <w:t xml:space="preserve">: </w:t>
            </w:r>
          </w:p>
          <w:p w14:paraId="1211D1B7" w14:textId="77777777" w:rsidR="00C41F20" w:rsidRPr="002C21B8" w:rsidRDefault="00C41F20" w:rsidP="00EB3420">
            <w:pPr>
              <w:spacing w:before="80" w:after="80" w:line="276" w:lineRule="auto"/>
              <w:rPr>
                <w:sz w:val="21"/>
                <w:szCs w:val="21"/>
              </w:rPr>
            </w:pPr>
            <w:r w:rsidRPr="002C21B8">
              <w:rPr>
                <w:sz w:val="21"/>
                <w:szCs w:val="21"/>
              </w:rPr>
              <w:t>Tolvaptan is recommended as an option for treating autosomal dominant polycystic kidney disease in adults to slow the progression of cyst development and renal insufficiency only if:</w:t>
            </w:r>
          </w:p>
          <w:p w14:paraId="50A711C0" w14:textId="77777777" w:rsidR="00C41F20" w:rsidRPr="002C21B8" w:rsidRDefault="00C41F20" w:rsidP="00EB3420">
            <w:pPr>
              <w:pStyle w:val="ListParagraph"/>
              <w:numPr>
                <w:ilvl w:val="0"/>
                <w:numId w:val="1"/>
              </w:numPr>
              <w:spacing w:before="80" w:after="80" w:line="276" w:lineRule="auto"/>
              <w:contextualSpacing w:val="0"/>
              <w:rPr>
                <w:rFonts w:eastAsia="Arial"/>
                <w:sz w:val="21"/>
                <w:szCs w:val="21"/>
              </w:rPr>
            </w:pPr>
            <w:r w:rsidRPr="002C21B8">
              <w:rPr>
                <w:rFonts w:eastAsia="Arial"/>
                <w:sz w:val="21"/>
                <w:szCs w:val="21"/>
              </w:rPr>
              <w:t xml:space="preserve">there is evidence of rapidly progressing disease </w:t>
            </w:r>
          </w:p>
          <w:p w14:paraId="3460DC66" w14:textId="40F43E15" w:rsidR="00C41F20" w:rsidRPr="002C21B8" w:rsidRDefault="00C41F20" w:rsidP="00EB3420">
            <w:pPr>
              <w:pStyle w:val="ListParagraph"/>
              <w:numPr>
                <w:ilvl w:val="0"/>
                <w:numId w:val="1"/>
              </w:numPr>
              <w:spacing w:before="80" w:after="80" w:line="276" w:lineRule="auto"/>
              <w:contextualSpacing w:val="0"/>
              <w:rPr>
                <w:rFonts w:eastAsia="Arial"/>
              </w:rPr>
            </w:pPr>
            <w:r w:rsidRPr="002C21B8">
              <w:rPr>
                <w:rFonts w:eastAsia="Arial"/>
                <w:sz w:val="21"/>
                <w:szCs w:val="21"/>
              </w:rPr>
              <w:t>they have chronic kidney disease stage</w:t>
            </w:r>
            <w:r w:rsidR="00157633" w:rsidRPr="002C21B8">
              <w:rPr>
                <w:rFonts w:eastAsia="Arial"/>
                <w:sz w:val="21"/>
                <w:szCs w:val="21"/>
              </w:rPr>
              <w:t xml:space="preserve"> </w:t>
            </w:r>
            <w:r w:rsidRPr="002C21B8">
              <w:rPr>
                <w:rFonts w:eastAsia="Arial"/>
                <w:sz w:val="21"/>
                <w:szCs w:val="21"/>
              </w:rPr>
              <w:t>2 or</w:t>
            </w:r>
            <w:r w:rsidR="00157633" w:rsidRPr="002C21B8">
              <w:rPr>
                <w:rFonts w:eastAsia="Arial"/>
                <w:sz w:val="21"/>
                <w:szCs w:val="21"/>
              </w:rPr>
              <w:t xml:space="preserve"> </w:t>
            </w:r>
            <w:r w:rsidRPr="002C21B8">
              <w:rPr>
                <w:rFonts w:eastAsia="Arial"/>
                <w:sz w:val="21"/>
                <w:szCs w:val="21"/>
              </w:rPr>
              <w:t>3 at the start of treatment</w:t>
            </w:r>
          </w:p>
        </w:tc>
      </w:tr>
      <w:tr w:rsidR="00C304CD" w:rsidRPr="002C21B8" w14:paraId="3C7416E9" w14:textId="77777777" w:rsidTr="00C304CD">
        <w:tc>
          <w:tcPr>
            <w:tcW w:w="9016" w:type="dxa"/>
            <w:tcBorders>
              <w:left w:val="nil"/>
              <w:right w:val="nil"/>
            </w:tcBorders>
            <w:shd w:val="clear" w:color="auto" w:fill="auto"/>
          </w:tcPr>
          <w:p w14:paraId="0C2682C9" w14:textId="77777777" w:rsidR="00C304CD" w:rsidRPr="002C21B8" w:rsidRDefault="00C304CD" w:rsidP="00DB25FC">
            <w:pPr>
              <w:spacing w:after="0"/>
              <w:rPr>
                <w:sz w:val="8"/>
                <w:szCs w:val="8"/>
              </w:rPr>
            </w:pPr>
          </w:p>
        </w:tc>
      </w:tr>
      <w:tr w:rsidR="00C304CD" w:rsidRPr="002C21B8" w14:paraId="39513E44" w14:textId="77777777" w:rsidTr="00DB25FC">
        <w:tc>
          <w:tcPr>
            <w:tcW w:w="9016" w:type="dxa"/>
            <w:shd w:val="clear" w:color="auto" w:fill="auto"/>
          </w:tcPr>
          <w:p w14:paraId="54060305" w14:textId="0AEF9AF7" w:rsidR="00C304CD" w:rsidRPr="002C21B8" w:rsidRDefault="00C304CD" w:rsidP="00EB3420">
            <w:pPr>
              <w:spacing w:before="80" w:after="80" w:line="276" w:lineRule="auto"/>
              <w:rPr>
                <w:sz w:val="21"/>
                <w:szCs w:val="21"/>
              </w:rPr>
            </w:pPr>
            <w:r w:rsidRPr="002C21B8">
              <w:rPr>
                <w:sz w:val="21"/>
                <w:szCs w:val="21"/>
              </w:rPr>
              <w:t xml:space="preserve">SMC (Scotland) – SMC No. 1114/15 </w:t>
            </w:r>
            <w:r w:rsidRPr="002C21B8">
              <w:rPr>
                <w:sz w:val="21"/>
                <w:szCs w:val="21"/>
              </w:rPr>
              <w:fldChar w:fldCharType="begin"/>
            </w:r>
            <w:r w:rsidR="0019283F" w:rsidRPr="002C21B8">
              <w:rPr>
                <w:sz w:val="21"/>
                <w:szCs w:val="21"/>
              </w:rPr>
              <w:instrText xml:space="preserve"> ADDIN EN.CITE &lt;EndNote&gt;&lt;Cite&gt;&lt;Author&gt;Scottish Medicines Consortium&lt;/Author&gt;&lt;Year&gt;2016&lt;/Year&gt;&lt;RecNum&gt;4999&lt;/RecNum&gt;&lt;DisplayText&gt;(Scottish Medicines Consortium, 2016)&lt;/DisplayText&gt;&lt;record&gt;&lt;rec-number&gt;4999&lt;/rec-number&gt;&lt;foreign-keys&gt;&lt;key app="EN" db-id="xpefzwa5hf9dt2ea9fax95x7xvxz90v09dtf" timestamp="1699885135"&gt;4999&lt;/key&gt;&lt;/foreign-keys&gt;&lt;ref-type name="Web Page"&gt;12&lt;/ref-type&gt;&lt;contributors&gt;&lt;authors&gt;&lt;author&gt;Scottish Medicines Consortium,&lt;/author&gt;&lt;/authors&gt;&lt;/contributors&gt;&lt;titles&gt;&lt;title&gt;Tolvaptan (SMC No. 1114/1115)&lt;/title&gt;&lt;/titles&gt;&lt;number&gt;26/04/2026)&lt;/number&gt;&lt;dates&gt;&lt;year&gt;2016&lt;/year&gt;&lt;/dates&gt;&lt;urls&gt;&lt;related-urls&gt;&lt;url&gt;https://scottishmedicines.org.uk/medicines-advice/tolvaptan-jinarc-fullsubmission-111415/&lt;/url&gt;&lt;/related-urls&gt;&lt;/urls&gt;&lt;/record&gt;&lt;/Cite&gt;&lt;/EndNote&gt;</w:instrText>
            </w:r>
            <w:r w:rsidRPr="002C21B8">
              <w:rPr>
                <w:sz w:val="21"/>
                <w:szCs w:val="21"/>
              </w:rPr>
              <w:fldChar w:fldCharType="separate"/>
            </w:r>
            <w:r w:rsidRPr="002C21B8">
              <w:rPr>
                <w:sz w:val="21"/>
                <w:szCs w:val="21"/>
              </w:rPr>
              <w:t>(Scottish Medicines Consortium, 2016)</w:t>
            </w:r>
            <w:r w:rsidRPr="002C21B8">
              <w:rPr>
                <w:sz w:val="21"/>
                <w:szCs w:val="21"/>
              </w:rPr>
              <w:fldChar w:fldCharType="end"/>
            </w:r>
          </w:p>
          <w:p w14:paraId="28289E65" w14:textId="05AEB29C" w:rsidR="00C304CD" w:rsidRPr="002C21B8" w:rsidRDefault="00C304CD" w:rsidP="00EB3420">
            <w:pPr>
              <w:spacing w:before="80" w:after="80" w:line="276" w:lineRule="auto"/>
            </w:pPr>
            <w:r w:rsidRPr="002C21B8">
              <w:rPr>
                <w:sz w:val="21"/>
                <w:szCs w:val="21"/>
              </w:rPr>
              <w:t>To slow the progression of cyst development and renal insufficiency of autosomal dominant polycystic kidney disease (ADPKD) in adults with chronic kidney disease stage 1 to 3 at the initiation of treatment with evidence of rapidly progressing disease.</w:t>
            </w:r>
          </w:p>
        </w:tc>
      </w:tr>
    </w:tbl>
    <w:p w14:paraId="79541259" w14:textId="77777777" w:rsidR="00C41F20" w:rsidRPr="002C21B8" w:rsidRDefault="00C41F20" w:rsidP="00772561">
      <w:pPr>
        <w:spacing w:after="0"/>
        <w:rPr>
          <w:sz w:val="14"/>
          <w:szCs w:val="14"/>
        </w:rPr>
      </w:pPr>
    </w:p>
    <w:p w14:paraId="6A05A988" w14:textId="7C706EE3" w:rsidR="00566C28" w:rsidRPr="002C21B8" w:rsidRDefault="00566C28" w:rsidP="00213881">
      <w:r w:rsidRPr="002C21B8">
        <w:t>The Renal Association (RA), now known as the United Kingdom Kidney Association (UKKA), is a professional organisation</w:t>
      </w:r>
      <w:r w:rsidR="00A43B87" w:rsidRPr="002C21B8">
        <w:t xml:space="preserve"> for kidney care in the UK</w:t>
      </w:r>
      <w:r w:rsidRPr="002C21B8">
        <w:t xml:space="preserve"> that issues clinical guidelines and best-practice recommendations for the management of kidney diseases. </w:t>
      </w:r>
      <w:r w:rsidR="00A43B87" w:rsidRPr="002C21B8">
        <w:t>In 2016, t</w:t>
      </w:r>
      <w:r w:rsidRPr="002C21B8">
        <w:t>he</w:t>
      </w:r>
      <w:r w:rsidR="00B16FA9" w:rsidRPr="002C21B8">
        <w:t>y</w:t>
      </w:r>
      <w:r w:rsidRPr="002C21B8">
        <w:t xml:space="preserve"> issued recommendations in a commentary</w:t>
      </w:r>
      <w:r w:rsidR="00B16FA9" w:rsidRPr="002C21B8">
        <w:t xml:space="preserve"> on the NICE guidelines</w:t>
      </w:r>
      <w:r w:rsidR="00A43B87" w:rsidRPr="002C21B8">
        <w:t xml:space="preserve"> </w:t>
      </w:r>
      <w:r w:rsidR="00EB3420" w:rsidRPr="002C21B8">
        <w:t xml:space="preserve">that </w:t>
      </w:r>
      <w:r w:rsidRPr="002C21B8">
        <w:t>outlin</w:t>
      </w:r>
      <w:r w:rsidR="00EB3420" w:rsidRPr="002C21B8">
        <w:t xml:space="preserve">ed </w:t>
      </w:r>
      <w:r w:rsidRPr="002C21B8">
        <w:t>eligibility criteria and defin</w:t>
      </w:r>
      <w:r w:rsidR="00EB3420" w:rsidRPr="002C21B8">
        <w:t>ed</w:t>
      </w:r>
      <w:r w:rsidRPr="002C21B8">
        <w:t xml:space="preserve"> “rapid</w:t>
      </w:r>
      <w:r w:rsidR="00C13E96" w:rsidRPr="002C21B8">
        <w:t xml:space="preserve">ly progressing </w:t>
      </w:r>
      <w:r w:rsidRPr="002C21B8">
        <w:t xml:space="preserve">disease” based on the following criteria </w:t>
      </w:r>
      <w:r w:rsidR="00B16FA9" w:rsidRPr="002C21B8">
        <w:fldChar w:fldCharType="begin"/>
      </w:r>
      <w:r w:rsidR="00B16FA9"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00B16FA9" w:rsidRPr="002C21B8">
        <w:fldChar w:fldCharType="separate"/>
      </w:r>
      <w:r w:rsidR="00B16FA9" w:rsidRPr="002C21B8">
        <w:t>(Renal Association, 2016)</w:t>
      </w:r>
      <w:r w:rsidR="00B16FA9" w:rsidRPr="002C21B8">
        <w:fldChar w:fldCharType="end"/>
      </w:r>
      <w:r w:rsidRPr="002C21B8">
        <w:t>:</w:t>
      </w:r>
    </w:p>
    <w:p w14:paraId="5333FF57" w14:textId="77777777" w:rsidR="00213881" w:rsidRPr="002C21B8" w:rsidRDefault="00213881" w:rsidP="00380396">
      <w:pPr>
        <w:pStyle w:val="ListParagraph"/>
        <w:numPr>
          <w:ilvl w:val="0"/>
          <w:numId w:val="2"/>
        </w:numPr>
      </w:pPr>
      <w:r w:rsidRPr="002C21B8">
        <w:rPr>
          <w:rFonts w:eastAsia="Arial"/>
        </w:rPr>
        <w:t>At the initiation of treatment, patients should be aged over 18 years</w:t>
      </w:r>
    </w:p>
    <w:p w14:paraId="0CD783E6" w14:textId="658EFFE9" w:rsidR="00213881" w:rsidRPr="002C21B8" w:rsidRDefault="00213881" w:rsidP="00380396">
      <w:pPr>
        <w:pStyle w:val="ListParagraph"/>
        <w:numPr>
          <w:ilvl w:val="0"/>
          <w:numId w:val="2"/>
        </w:numPr>
      </w:pPr>
      <w:r w:rsidRPr="002C21B8">
        <w:rPr>
          <w:rFonts w:eastAsia="Arial"/>
        </w:rPr>
        <w:t>Eligible patients should have an established diagnosis of ADPKD and</w:t>
      </w:r>
      <w:r w:rsidR="00977937" w:rsidRPr="002C21B8">
        <w:rPr>
          <w:rFonts w:eastAsia="Arial"/>
        </w:rPr>
        <w:t xml:space="preserve"> CKD</w:t>
      </w:r>
      <w:r w:rsidRPr="002C21B8">
        <w:rPr>
          <w:rFonts w:eastAsia="Arial"/>
        </w:rPr>
        <w:t xml:space="preserve"> stage 2-3 </w:t>
      </w:r>
      <w:r w:rsidR="00977937" w:rsidRPr="002C21B8">
        <w:rPr>
          <w:rFonts w:eastAsia="Arial"/>
        </w:rPr>
        <w:t>in England and Wales (eGFR 30-89 ml/min/1.73m</w:t>
      </w:r>
      <w:r w:rsidR="00977937" w:rsidRPr="002C21B8">
        <w:rPr>
          <w:rFonts w:eastAsia="Arial"/>
          <w:vertAlign w:val="superscript"/>
        </w:rPr>
        <w:t>2</w:t>
      </w:r>
      <w:r w:rsidR="00977937" w:rsidRPr="002C21B8">
        <w:rPr>
          <w:rFonts w:eastAsia="Arial"/>
        </w:rPr>
        <w:t>) or stage 1-3 in Scotland (eGFR ≥30 ml/min/1.73m</w:t>
      </w:r>
      <w:r w:rsidR="00977937" w:rsidRPr="002C21B8">
        <w:rPr>
          <w:rFonts w:eastAsia="Arial"/>
          <w:vertAlign w:val="superscript"/>
        </w:rPr>
        <w:t>2</w:t>
      </w:r>
      <w:r w:rsidR="00977937" w:rsidRPr="002C21B8">
        <w:rPr>
          <w:rFonts w:eastAsia="Arial"/>
        </w:rPr>
        <w:t>)</w:t>
      </w:r>
    </w:p>
    <w:p w14:paraId="42EBD97C" w14:textId="77777777" w:rsidR="00213881" w:rsidRPr="002C21B8" w:rsidRDefault="00213881" w:rsidP="00380396">
      <w:pPr>
        <w:pStyle w:val="ListParagraph"/>
        <w:numPr>
          <w:ilvl w:val="0"/>
          <w:numId w:val="2"/>
        </w:numPr>
      </w:pPr>
      <w:r w:rsidRPr="002C21B8">
        <w:rPr>
          <w:rFonts w:eastAsia="Arial"/>
        </w:rPr>
        <w:t>Evidence of rapid disease progression</w:t>
      </w:r>
    </w:p>
    <w:p w14:paraId="6D033619" w14:textId="77777777" w:rsidR="00213881" w:rsidRPr="002C21B8" w:rsidRDefault="00213881" w:rsidP="00380396">
      <w:pPr>
        <w:pStyle w:val="ListParagraph"/>
        <w:numPr>
          <w:ilvl w:val="1"/>
          <w:numId w:val="2"/>
        </w:numPr>
      </w:pPr>
      <w:r w:rsidRPr="002C21B8">
        <w:rPr>
          <w:rFonts w:eastAsia="Arial Unicode MS"/>
        </w:rPr>
        <w:t>A sustained decline in eGFR of ≥2.5 ml/min/1.73m</w:t>
      </w:r>
      <w:r w:rsidRPr="002C21B8">
        <w:rPr>
          <w:rFonts w:eastAsia="Arial Unicode MS"/>
          <w:vertAlign w:val="superscript"/>
        </w:rPr>
        <w:t>2</w:t>
      </w:r>
      <w:r w:rsidRPr="002C21B8">
        <w:rPr>
          <w:rFonts w:eastAsia="Arial Unicode MS"/>
        </w:rPr>
        <w:t xml:space="preserve"> per year (5 results over 5 years)</w:t>
      </w:r>
    </w:p>
    <w:p w14:paraId="2F3F44EF" w14:textId="27C7F740" w:rsidR="00213881" w:rsidRPr="002C21B8" w:rsidRDefault="00213881" w:rsidP="00380396">
      <w:pPr>
        <w:pStyle w:val="ListParagraph"/>
        <w:numPr>
          <w:ilvl w:val="1"/>
          <w:numId w:val="2"/>
        </w:numPr>
      </w:pPr>
      <w:r w:rsidRPr="002C21B8">
        <w:rPr>
          <w:rFonts w:eastAsia="Arial"/>
        </w:rPr>
        <w:t xml:space="preserve">A sustained decline in eGFR of </w:t>
      </w:r>
      <w:r w:rsidR="000402A8" w:rsidRPr="002C21B8">
        <w:rPr>
          <w:rFonts w:eastAsia="Arial"/>
        </w:rPr>
        <w:t>≥</w:t>
      </w:r>
      <w:r w:rsidRPr="002C21B8">
        <w:rPr>
          <w:rFonts w:eastAsia="Arial"/>
        </w:rPr>
        <w:t>5 ml/min/1.73m</w:t>
      </w:r>
      <w:r w:rsidRPr="002C21B8">
        <w:rPr>
          <w:rFonts w:eastAsia="Arial"/>
          <w:vertAlign w:val="superscript"/>
        </w:rPr>
        <w:t>2</w:t>
      </w:r>
      <w:r w:rsidRPr="002C21B8">
        <w:rPr>
          <w:rFonts w:eastAsia="Arial"/>
        </w:rPr>
        <w:t xml:space="preserve"> over </w:t>
      </w:r>
      <w:r w:rsidR="001A0271" w:rsidRPr="002C21B8">
        <w:rPr>
          <w:rFonts w:eastAsia="Arial"/>
        </w:rPr>
        <w:t>1 year</w:t>
      </w:r>
    </w:p>
    <w:p w14:paraId="29445539" w14:textId="20841F0C" w:rsidR="00213881" w:rsidRPr="002C21B8" w:rsidRDefault="00213881" w:rsidP="00380396">
      <w:pPr>
        <w:pStyle w:val="ListParagraph"/>
        <w:numPr>
          <w:ilvl w:val="1"/>
          <w:numId w:val="2"/>
        </w:numPr>
      </w:pPr>
      <w:r w:rsidRPr="002C21B8">
        <w:rPr>
          <w:rFonts w:eastAsia="Arial Unicode MS"/>
        </w:rPr>
        <w:t>An increase in TKV of ≥5% per year measured on 3 conse</w:t>
      </w:r>
      <w:r w:rsidR="00C509BD" w:rsidRPr="002C21B8">
        <w:rPr>
          <w:rFonts w:eastAsia="Arial Unicode MS"/>
        </w:rPr>
        <w:t>cutive</w:t>
      </w:r>
      <w:r w:rsidRPr="002C21B8">
        <w:rPr>
          <w:rFonts w:eastAsia="Arial Unicode MS"/>
        </w:rPr>
        <w:t xml:space="preserve"> imaging scans</w:t>
      </w:r>
    </w:p>
    <w:p w14:paraId="3D8641BA" w14:textId="77777777" w:rsidR="00213881" w:rsidRPr="002C21B8" w:rsidRDefault="00213881" w:rsidP="00380396">
      <w:pPr>
        <w:pStyle w:val="ListParagraph"/>
        <w:numPr>
          <w:ilvl w:val="0"/>
          <w:numId w:val="2"/>
        </w:numPr>
      </w:pPr>
      <w:r w:rsidRPr="002C21B8">
        <w:rPr>
          <w:rFonts w:eastAsia="Arial Unicode MS"/>
        </w:rPr>
        <w:t>Evidence of risk of progression</w:t>
      </w:r>
    </w:p>
    <w:p w14:paraId="62944420" w14:textId="77777777" w:rsidR="00213881" w:rsidRPr="002C21B8" w:rsidRDefault="00213881" w:rsidP="00380396">
      <w:pPr>
        <w:pStyle w:val="ListParagraph"/>
        <w:numPr>
          <w:ilvl w:val="1"/>
          <w:numId w:val="2"/>
        </w:numPr>
      </w:pPr>
      <w:r w:rsidRPr="002C21B8">
        <w:t>MIC 1C-E</w:t>
      </w:r>
    </w:p>
    <w:p w14:paraId="6D066B5F" w14:textId="77777777" w:rsidR="00213881" w:rsidRPr="002C21B8" w:rsidRDefault="00213881" w:rsidP="00380396">
      <w:pPr>
        <w:pStyle w:val="ListParagraph"/>
        <w:numPr>
          <w:ilvl w:val="1"/>
          <w:numId w:val="2"/>
        </w:numPr>
      </w:pPr>
      <w:r w:rsidRPr="002C21B8">
        <w:t>PROPKD score &gt;6</w:t>
      </w:r>
    </w:p>
    <w:p w14:paraId="69C0605B" w14:textId="58DDF832" w:rsidR="00566C28" w:rsidRPr="002C21B8" w:rsidRDefault="00566C28" w:rsidP="00566C28">
      <w:r w:rsidRPr="002C21B8">
        <w:lastRenderedPageBreak/>
        <w:t>Many other organisations worldwide have</w:t>
      </w:r>
      <w:r w:rsidR="007E1678" w:rsidRPr="002C21B8">
        <w:t xml:space="preserve"> </w:t>
      </w:r>
      <w:r w:rsidRPr="002C21B8">
        <w:t xml:space="preserve">provided recommendations </w:t>
      </w:r>
      <w:r w:rsidR="007E1678" w:rsidRPr="002C21B8">
        <w:t>for</w:t>
      </w:r>
      <w:r w:rsidRPr="002C21B8">
        <w:t xml:space="preserve"> the use of tolvaptan in the management of ADPKD</w:t>
      </w:r>
      <w:r w:rsidR="00B934CB" w:rsidRPr="002C21B8">
        <w:t>,</w:t>
      </w:r>
      <w:r w:rsidR="007F7213" w:rsidRPr="002C21B8">
        <w:t xml:space="preserve"> including those in </w:t>
      </w:r>
      <w:r w:rsidR="00B806DF" w:rsidRPr="002C21B8">
        <w:t xml:space="preserve">Japan </w:t>
      </w:r>
      <w:r w:rsidR="00B806DF" w:rsidRPr="002C21B8">
        <w:fldChar w:fldCharType="begin"/>
      </w:r>
      <w:r w:rsidR="00725AE2" w:rsidRPr="002C21B8">
        <w:instrText xml:space="preserve"> ADDIN EN.CITE &lt;EndNote&gt;&lt;Cite&gt;&lt;Author&gt;Advisory Committee for Progressive Kidney Diseases&lt;/Author&gt;&lt;Year&gt;2014&lt;/Year&gt;&lt;RecNum&gt;5017&lt;/RecNum&gt;&lt;DisplayText&gt;(Advisory Committee for Progressive Kidney Diseases, 2014)&lt;/DisplayText&gt;&lt;record&gt;&lt;rec-number&gt;5017&lt;/rec-number&gt;&lt;foreign-keys&gt;&lt;key app="EN" db-id="xpefzwa5hf9dt2ea9fax95x7xvxz90v09dtf" timestamp="1699889889"&gt;5017&lt;/key&gt;&lt;/foreign-keys&gt;&lt;ref-type name="Web Page"&gt;12&lt;/ref-type&gt;&lt;contributors&gt;&lt;authors&gt;&lt;author&gt;Advisory Committee for Progressive Kidney Diseases,&lt;/author&gt;&lt;/authors&gt;&lt;/contributors&gt;&lt;titles&gt;&lt;title&gt;Evidence-Based Clinical Practice Guidelines for Polycystic Kidney Disease&lt;/title&gt;&lt;/titles&gt;&lt;number&gt;28/04/2026)&lt;/number&gt;&lt;dates&gt;&lt;year&gt;2014&lt;/year&gt;&lt;/dates&gt;&lt;urls&gt;&lt;related-urls&gt;&lt;url&gt;https://jsn.or.jp/en/guideline/pdf/PKD_eng.pdf&lt;/url&gt;&lt;/related-urls&gt;&lt;/urls&gt;&lt;/record&gt;&lt;/Cite&gt;&lt;/EndNote&gt;</w:instrText>
      </w:r>
      <w:r w:rsidR="00B806DF" w:rsidRPr="002C21B8">
        <w:fldChar w:fldCharType="separate"/>
      </w:r>
      <w:r w:rsidR="00B806DF" w:rsidRPr="002C21B8">
        <w:rPr>
          <w:noProof/>
        </w:rPr>
        <w:t>(Advisory Committee for Progressive Kidney Diseases, 2014)</w:t>
      </w:r>
      <w:r w:rsidR="00B806DF" w:rsidRPr="002C21B8">
        <w:fldChar w:fldCharType="end"/>
      </w:r>
      <w:r w:rsidR="00B806DF" w:rsidRPr="002C21B8">
        <w:t xml:space="preserve">, </w:t>
      </w:r>
      <w:r w:rsidR="007F7213" w:rsidRPr="002C21B8">
        <w:t xml:space="preserve">Europe </w:t>
      </w:r>
      <w:r w:rsidR="007F7213" w:rsidRPr="002C21B8">
        <w:fldChar w:fldCharType="begin">
          <w:fldData xml:space="preserve">PEVuZE5vdGU+PENpdGU+PEF1dGhvcj5HYW5zZXZvb3J0PC9BdXRob3I+PFllYXI+MjAxNjwvWWVh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</w:fldData>
        </w:fldChar>
      </w:r>
      <w:r w:rsidR="00590E88" w:rsidRPr="002C21B8">
        <w:instrText xml:space="preserve"> ADDIN EN.CITE </w:instrText>
      </w:r>
      <w:r w:rsidR="00590E88" w:rsidRPr="002C21B8">
        <w:fldChar w:fldCharType="begin">
          <w:fldData xml:space="preserve">PEVuZE5vdGU+PENpdGU+PEF1dGhvcj5HYW5zZXZvb3J0PC9BdXRob3I+PFllYXI+MjAxNjwvWWVh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</w:fldData>
        </w:fldChar>
      </w:r>
      <w:r w:rsidR="00590E88" w:rsidRPr="002C21B8">
        <w:instrText xml:space="preserve"> ADDIN EN.CITE.DATA </w:instrText>
      </w:r>
      <w:r w:rsidR="00590E88" w:rsidRPr="002C21B8">
        <w:fldChar w:fldCharType="end"/>
      </w:r>
      <w:r w:rsidR="007F7213" w:rsidRPr="002C21B8">
        <w:fldChar w:fldCharType="separate"/>
      </w:r>
      <w:r w:rsidR="007F7213" w:rsidRPr="002C21B8">
        <w:rPr>
          <w:noProof/>
        </w:rPr>
        <w:t>(Gansevoort</w:t>
      </w:r>
      <w:r w:rsidR="007F7213" w:rsidRPr="002C21B8">
        <w:rPr>
          <w:i/>
          <w:noProof/>
        </w:rPr>
        <w:t xml:space="preserve"> et al.</w:t>
      </w:r>
      <w:r w:rsidR="007F7213" w:rsidRPr="002C21B8">
        <w:rPr>
          <w:noProof/>
        </w:rPr>
        <w:t>, 2016; Müller</w:t>
      </w:r>
      <w:r w:rsidR="007F7213" w:rsidRPr="002C21B8">
        <w:rPr>
          <w:i/>
          <w:noProof/>
        </w:rPr>
        <w:t xml:space="preserve"> et al.</w:t>
      </w:r>
      <w:r w:rsidR="007F7213" w:rsidRPr="002C21B8">
        <w:rPr>
          <w:noProof/>
        </w:rPr>
        <w:t>, 2022)</w:t>
      </w:r>
      <w:r w:rsidR="007F7213" w:rsidRPr="002C21B8">
        <w:fldChar w:fldCharType="end"/>
      </w:r>
      <w:r w:rsidR="007F7213" w:rsidRPr="002C21B8">
        <w:t xml:space="preserve">, </w:t>
      </w:r>
      <w:r w:rsidR="00B806DF" w:rsidRPr="002C21B8">
        <w:t xml:space="preserve">Canada </w:t>
      </w:r>
      <w:r w:rsidR="00B806DF" w:rsidRPr="002C21B8">
        <w:fldChar w:fldCharType="begin"/>
      </w:r>
      <w:r w:rsidR="00B806DF" w:rsidRPr="002C21B8">
        <w:instrText xml:space="preserve"> ADDIN EN.CITE &lt;EndNote&gt;&lt;Cite&gt;&lt;Author&gt;Soroka&lt;/Author&gt;&lt;Year&gt;2017&lt;/Year&gt;&lt;RecNum&gt;125300&lt;/RecNum&gt;&lt;DisplayText&gt;(Soroka&lt;style face="italic"&gt; et al.&lt;/style&gt;, 2017)&lt;/DisplayText&gt;&lt;record&gt;&lt;rec-number&gt;125300&lt;/rec-number&gt;&lt;foreign-keys&gt;&lt;key app="EN" db-id="xpefzwa5hf9dt2ea9fax95x7xvxz90v09dtf" timestamp="1774962570"&gt;125300&lt;/key&gt;&lt;/foreign-keys&gt;&lt;ref-type name="Journal Article"&gt;17&lt;/ref-type&gt;&lt;contributors&gt;&lt;authors&gt;&lt;author&gt;Soroka, Steven&lt;/author&gt;&lt;author&gt;Alam, Ahsan&lt;/author&gt;&lt;author&gt;Bevilacqua, Micheli&lt;/author&gt;&lt;author&gt;Girard, Louis-Philippe&lt;/author&gt;&lt;author&gt;Komenda, Paul&lt;/author&gt;&lt;author&gt;Loertscher, Rolf&lt;/author&gt;&lt;author&gt;McFarlane, Philip&lt;/author&gt;&lt;author&gt;Pandeya, Sanjaya&lt;/author&gt;&lt;author&gt;Tam, Paul&lt;/author&gt;&lt;author&gt;Bichet, Daniel G&lt;/author&gt;&lt;/authors&gt;&lt;/contributors&gt;&lt;titles&gt;&lt;title&gt;Assessing risk of disease progression and pharmacological management of autosomal dominant polycystic kidney disease: a Canadian expert consensus&lt;/title&gt;&lt;secondary-title&gt;Canadian Journal of Kidney Health and Disease&lt;/secondary-title&gt;&lt;/titles&gt;&lt;periodical&gt;&lt;full-title&gt;Canadian journal of kidney health and disease&lt;/full-title&gt;&lt;/periodical&gt;&lt;pages&gt;2054358117695784&lt;/pages&gt;&lt;volume&gt;4&lt;/volume&gt;&lt;dates&gt;&lt;year&gt;2017&lt;/year&gt;&lt;/dates&gt;&lt;isbn&gt;2054-3581&lt;/isbn&gt;&lt;urls&gt;&lt;/urls&gt;&lt;/record&gt;&lt;/Cite&gt;&lt;/EndNote&gt;</w:instrText>
      </w:r>
      <w:r w:rsidR="00B806DF" w:rsidRPr="002C21B8">
        <w:fldChar w:fldCharType="separate"/>
      </w:r>
      <w:r w:rsidR="00B806DF" w:rsidRPr="002C21B8">
        <w:t>(Soroka</w:t>
      </w:r>
      <w:r w:rsidR="00B806DF" w:rsidRPr="002C21B8">
        <w:rPr>
          <w:i/>
        </w:rPr>
        <w:t xml:space="preserve"> et al.</w:t>
      </w:r>
      <w:r w:rsidR="00B806DF" w:rsidRPr="002C21B8">
        <w:t>, 2017)</w:t>
      </w:r>
      <w:r w:rsidR="00B806DF" w:rsidRPr="002C21B8">
        <w:fldChar w:fldCharType="end"/>
      </w:r>
      <w:r w:rsidR="007B0A9A" w:rsidRPr="002C21B8">
        <w:t>,</w:t>
      </w:r>
      <w:r w:rsidR="00B806DF" w:rsidRPr="002C21B8">
        <w:t xml:space="preserve"> and </w:t>
      </w:r>
      <w:r w:rsidR="007F7213" w:rsidRPr="002C21B8">
        <w:t xml:space="preserve">Australia and New Zealand </w:t>
      </w:r>
      <w:r w:rsidR="007F7213" w:rsidRPr="002C21B8">
        <w:fldChar w:fldCharType="begin"/>
      </w:r>
      <w:r w:rsidR="007F7213" w:rsidRPr="002C21B8">
        <w:instrText xml:space="preserve"> ADDIN EN.CITE &lt;EndNote&gt;&lt;Cite&gt;&lt;Author&gt;Tunnicliffe&lt;/Author&gt;&lt;Year&gt;2023&lt;/Year&gt;&lt;RecNum&gt;125301&lt;/RecNum&gt;&lt;DisplayText&gt;(Tunnicliffe, 2023)&lt;/DisplayText&gt;&lt;record&gt;&lt;rec-number&gt;125301&lt;/rec-number&gt;&lt;foreign-keys&gt;&lt;key app="EN" db-id="xpefzwa5hf9dt2ea9fax95x7xvxz90v09dtf" timestamp="1774962681"&gt;125301&lt;/key&gt;&lt;/foreign-keys&gt;&lt;ref-type name="Web Page"&gt;12&lt;/ref-type&gt;&lt;contributors&gt;&lt;authors&gt;&lt;author&gt;Tunnicliffe, David&lt;/author&gt;&lt;/authors&gt;&lt;/contributors&gt;&lt;titles&gt;&lt;title&gt;CARI Guidelines: Australian and New Zealand living guideline for pharmacological management of autosomal dominant polycystic kidney disease&lt;/title&gt;&lt;/titles&gt;&lt;number&gt;31/03/2026)&lt;/number&gt;&lt;dates&gt;&lt;year&gt;2023&lt;/year&gt;&lt;/dates&gt;&lt;urls&gt;&lt;related-urls&gt;&lt;url&gt;https://files.magicapp.org/guideline/fd9f0bf4-a6d4-414f-9d99-d1faee62f90f/published_guideline_7280-1_1.pdf&lt;/url&gt;&lt;/related-urls&gt;&lt;/urls&gt;&lt;/record&gt;&lt;/Cite&gt;&lt;/EndNote&gt;</w:instrText>
      </w:r>
      <w:r w:rsidR="007F7213" w:rsidRPr="002C21B8">
        <w:fldChar w:fldCharType="separate"/>
      </w:r>
      <w:r w:rsidR="007F7213" w:rsidRPr="002C21B8">
        <w:t>(Tunnicliffe, 2023)</w:t>
      </w:r>
      <w:r w:rsidR="007F7213" w:rsidRPr="002C21B8">
        <w:fldChar w:fldCharType="end"/>
      </w:r>
      <w:r w:rsidR="007F7213" w:rsidRPr="002C21B8">
        <w:t>. Some kidney centres providing care for people with ADPKD in the secondary care setting within the UK have</w:t>
      </w:r>
      <w:r w:rsidR="00157633" w:rsidRPr="002C21B8">
        <w:t xml:space="preserve"> also</w:t>
      </w:r>
      <w:r w:rsidR="007F7213" w:rsidRPr="002C21B8">
        <w:t xml:space="preserve"> produced their own </w:t>
      </w:r>
      <w:r w:rsidR="00554ED8" w:rsidRPr="002C21B8">
        <w:t xml:space="preserve">local </w:t>
      </w:r>
      <w:r w:rsidR="007F7213" w:rsidRPr="002C21B8">
        <w:t>guidelines. In 202</w:t>
      </w:r>
      <w:r w:rsidR="00881692" w:rsidRPr="002C21B8">
        <w:t>4</w:t>
      </w:r>
      <w:r w:rsidR="007F7213" w:rsidRPr="002C21B8">
        <w:t xml:space="preserve">, the commentary was updated </w:t>
      </w:r>
      <w:r w:rsidR="007F721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EN.CITE.DATA </w:instrText>
      </w:r>
      <w:r w:rsidR="00763983" w:rsidRPr="002C21B8">
        <w:fldChar w:fldCharType="end"/>
      </w:r>
      <w:r w:rsidR="007F7213" w:rsidRPr="002C21B8">
        <w:fldChar w:fldCharType="separate"/>
      </w:r>
      <w:r w:rsidR="007F7213" w:rsidRPr="002C21B8">
        <w:rPr>
          <w:noProof/>
        </w:rPr>
        <w:t>(Gittus</w:t>
      </w:r>
      <w:r w:rsidR="007F7213" w:rsidRPr="002C21B8">
        <w:rPr>
          <w:i/>
          <w:noProof/>
        </w:rPr>
        <w:t xml:space="preserve"> et al.</w:t>
      </w:r>
      <w:r w:rsidR="007F7213" w:rsidRPr="002C21B8">
        <w:rPr>
          <w:noProof/>
        </w:rPr>
        <w:t>, 2025a)</w:t>
      </w:r>
      <w:r w:rsidR="007F7213" w:rsidRPr="002C21B8">
        <w:fldChar w:fldCharType="end"/>
      </w:r>
      <w:r w:rsidR="007F7213" w:rsidRPr="002C21B8">
        <w:t>.</w:t>
      </w:r>
    </w:p>
    <w:p w14:paraId="4F6CAC9D" w14:textId="7FC514C4" w:rsidR="00A52720" w:rsidRPr="002C21B8" w:rsidRDefault="00CC6E60" w:rsidP="004507C8">
      <w:pPr>
        <w:pStyle w:val="Heading3"/>
      </w:pPr>
      <w:r w:rsidRPr="002C21B8">
        <w:t>Rationale for using ADPKD as a</w:t>
      </w:r>
      <w:r w:rsidR="00827A52" w:rsidRPr="002C21B8">
        <w:t xml:space="preserve"> </w:t>
      </w:r>
      <w:r w:rsidR="00C8640E" w:rsidRPr="002C21B8">
        <w:t>case</w:t>
      </w:r>
      <w:r w:rsidR="00827A52" w:rsidRPr="002C21B8">
        <w:t xml:space="preserve"> in rare diseases</w:t>
      </w:r>
    </w:p>
    <w:p w14:paraId="63A8FF0C" w14:textId="5085A7B6" w:rsidR="001273EF" w:rsidRPr="002C21B8" w:rsidRDefault="00935132" w:rsidP="00213881">
      <w:r w:rsidRPr="002C21B8">
        <w:t xml:space="preserve">The use of a </w:t>
      </w:r>
      <w:r w:rsidR="00987FCB" w:rsidRPr="002C21B8">
        <w:t>single</w:t>
      </w:r>
      <w:r w:rsidRPr="002C21B8">
        <w:t xml:space="preserve"> condition as a model to explore broader clinical and system issues is well recognised in health services research. Conditions such as chronic obstructive pulmonary disease </w:t>
      </w:r>
      <w:r w:rsidR="00987FCB" w:rsidRPr="002C21B8">
        <w:fldChar w:fldCharType="begin"/>
      </w:r>
      <w:r w:rsidR="00987FCB" w:rsidRPr="002C21B8">
        <w:instrText xml:space="preserve"> ADDIN EN.CITE &lt;EndNote&gt;&lt;Cite&gt;&lt;Author&gt;McKee&lt;/Author&gt;&lt;Year&gt;2020&lt;/Year&gt;&lt;RecNum&gt;125328&lt;/RecNum&gt;&lt;DisplayText&gt;(McKee&lt;style face="italic"&gt; et al.&lt;/style&gt;, 2020)&lt;/DisplayText&gt;&lt;record&gt;&lt;rec-number&gt;125328&lt;/rec-number&gt;&lt;foreign-keys&gt;&lt;key app="EN" db-id="xpefzwa5hf9dt2ea9fax95x7xvxz90v09dtf" timestamp="1775131127"&gt;125328&lt;/key&gt;&lt;/foreign-keys&gt;&lt;ref-type name="Book"&gt;6&lt;/ref-type&gt;&lt;contributors&gt;&lt;authors&gt;&lt;author&gt;McKee, Martin&lt;/author&gt;&lt;author&gt;Merkur, Sherry&lt;/author&gt;&lt;author&gt;Edwards, Nigel&lt;/author&gt;&lt;author&gt;Nolte, Ellen&lt;/author&gt;&lt;/authors&gt;&lt;/contributors&gt;&lt;titles&gt;&lt;title&gt;The changing role of the hospital in European health systems&lt;/title&gt;&lt;/titles&gt;&lt;section&gt;145-180&lt;/section&gt;&lt;dates&gt;&lt;year&gt;2020&lt;/year&gt;&lt;/dates&gt;&lt;publisher&gt;Cambridge University Press&lt;/publisher&gt;&lt;isbn&gt;1108790054&lt;/isbn&gt;&lt;urls&gt;&lt;/urls&gt;&lt;/record&gt;&lt;/Cite&gt;&lt;/EndNote&gt;</w:instrText>
      </w:r>
      <w:r w:rsidR="00987FCB" w:rsidRPr="002C21B8">
        <w:fldChar w:fldCharType="separate"/>
      </w:r>
      <w:r w:rsidR="00987FCB" w:rsidRPr="002C21B8">
        <w:t>(McKee</w:t>
      </w:r>
      <w:r w:rsidR="00987FCB" w:rsidRPr="002C21B8">
        <w:rPr>
          <w:i/>
        </w:rPr>
        <w:t xml:space="preserve"> et al.</w:t>
      </w:r>
      <w:r w:rsidR="00987FCB" w:rsidRPr="002C21B8">
        <w:t>, 2020)</w:t>
      </w:r>
      <w:r w:rsidR="00987FCB" w:rsidRPr="002C21B8">
        <w:fldChar w:fldCharType="end"/>
      </w:r>
      <w:r w:rsidR="00987FCB" w:rsidRPr="002C21B8">
        <w:t xml:space="preserve"> </w:t>
      </w:r>
      <w:r w:rsidRPr="002C21B8">
        <w:t>and type 2 diabetes mellitus</w:t>
      </w:r>
      <w:r w:rsidR="00987FCB" w:rsidRPr="002C21B8">
        <w:t xml:space="preserve"> </w:t>
      </w:r>
      <w:r w:rsidR="00987FCB" w:rsidRPr="002C21B8">
        <w:fldChar w:fldCharType="begin"/>
      </w:r>
      <w:r w:rsidR="000215B0" w:rsidRPr="002C21B8">
        <w:instrText xml:space="preserve"> ADDIN EN.CITE &lt;EndNote&gt;&lt;Cite&gt;&lt;Author&gt;Timpel&lt;/Author&gt;&lt;Year&gt;2020&lt;/Year&gt;&lt;RecNum&gt;125329&lt;/RecNum&gt;&lt;DisplayText&gt;(Timpel&lt;style face="italic"&gt; et al.&lt;/style&gt;, 2020)&lt;/DisplayText&gt;&lt;record&gt;&lt;rec-number&gt;125329&lt;/rec-number&gt;&lt;foreign-keys&gt;&lt;key app="EN" db-id="xpefzwa5hf9dt2ea9fax95x7xvxz90v09dtf" timestamp="1775131213"&gt;125329&lt;/key&gt;&lt;/foreign-keys&gt;&lt;ref-type name="Journal Article"&gt;17&lt;/ref-type&gt;&lt;contributors&gt;&lt;authors&gt;&lt;author&gt;Timpel, Patrick&lt;/author&gt;&lt;author&gt;Lang, Caroline&lt;/author&gt;&lt;author&gt;Wens, Johan&lt;/author&gt;&lt;author&gt;Contel, Juan Carlos&lt;/author&gt;&lt;author&gt;Schwarz, Peter EH&lt;/author&gt;&lt;/authors&gt;&lt;/contributors&gt;&lt;titles&gt;&lt;title&gt;The Manage Care model–developing an evidence-based and Expert-Driven Chronic Care Management Model for patients with diabetes&lt;/title&gt;&lt;secondary-title&gt;International Journal of Integrated Care&lt;/secondary-title&gt;&lt;/titles&gt;&lt;periodical&gt;&lt;full-title&gt;International journal of integrated care&lt;/full-title&gt;&lt;/periodical&gt;&lt;pages&gt;2&lt;/pages&gt;&lt;volume&gt;20&lt;/volume&gt;&lt;number&gt;2&lt;/number&gt;&lt;dates&gt;&lt;year&gt;2020&lt;/year&gt;&lt;/dates&gt;&lt;urls&gt;&lt;/urls&gt;&lt;/record&gt;&lt;/Cite&gt;&lt;/EndNote&gt;</w:instrText>
      </w:r>
      <w:r w:rsidR="00987FCB" w:rsidRPr="002C21B8">
        <w:fldChar w:fldCharType="separate"/>
      </w:r>
      <w:r w:rsidR="00987FCB" w:rsidRPr="002C21B8">
        <w:rPr>
          <w:noProof/>
        </w:rPr>
        <w:t>(Timpel</w:t>
      </w:r>
      <w:r w:rsidR="00987FCB" w:rsidRPr="002C21B8">
        <w:rPr>
          <w:i/>
          <w:noProof/>
        </w:rPr>
        <w:t xml:space="preserve"> et al.</w:t>
      </w:r>
      <w:r w:rsidR="00987FCB" w:rsidRPr="002C21B8">
        <w:rPr>
          <w:noProof/>
        </w:rPr>
        <w:t>, 2020)</w:t>
      </w:r>
      <w:r w:rsidR="00987FCB" w:rsidRPr="002C21B8">
        <w:fldChar w:fldCharType="end"/>
      </w:r>
      <w:r w:rsidRPr="002C21B8">
        <w:t xml:space="preserve"> are frequently used as </w:t>
      </w:r>
      <w:r w:rsidR="00C8640E" w:rsidRPr="002C21B8">
        <w:t>case</w:t>
      </w:r>
      <w:r w:rsidRPr="002C21B8">
        <w:t xml:space="preserve">s for chronic </w:t>
      </w:r>
      <w:r w:rsidR="00987FCB" w:rsidRPr="002C21B8">
        <w:t>conditions</w:t>
      </w:r>
      <w:r w:rsidRPr="002C21B8">
        <w:t xml:space="preserve">. </w:t>
      </w:r>
      <w:r w:rsidR="00987FCB" w:rsidRPr="002C21B8">
        <w:t>This approach has also been applied in more specialised areas such as Parkinson’s disease</w:t>
      </w:r>
      <w:r w:rsidR="00072B36" w:rsidRPr="002C21B8">
        <w:t>,</w:t>
      </w:r>
      <w:r w:rsidR="00987FCB" w:rsidRPr="002C21B8">
        <w:t xml:space="preserve"> </w:t>
      </w:r>
      <w:r w:rsidR="00072B36" w:rsidRPr="002C21B8">
        <w:t>wh</w:t>
      </w:r>
      <w:r w:rsidR="008D6EB4">
        <w:t>ere it</w:t>
      </w:r>
      <w:r w:rsidR="00072B36" w:rsidRPr="002C21B8">
        <w:t xml:space="preserve"> has been</w:t>
      </w:r>
      <w:r w:rsidR="00987FCB" w:rsidRPr="002C21B8">
        <w:t xml:space="preserve"> used to illustrate </w:t>
      </w:r>
      <w:r w:rsidRPr="002C21B8">
        <w:t xml:space="preserve">how integrated care strategies for one chronic neurological disorder can </w:t>
      </w:r>
      <w:r w:rsidR="00987FCB" w:rsidRPr="002C21B8">
        <w:t xml:space="preserve">generate insights that are transferable to other chronic neurological conditions </w:t>
      </w:r>
      <w:r w:rsidR="00987FCB" w:rsidRPr="002C21B8">
        <w:fldChar w:fldCharType="begin"/>
      </w:r>
      <w:r w:rsidR="00987FCB" w:rsidRPr="002C21B8">
        <w:instrText xml:space="preserve"> ADDIN EN.CITE &lt;EndNote&gt;&lt;Cite&gt;&lt;Author&gt;Bloem&lt;/Author&gt;&lt;Year&gt;2020&lt;/Year&gt;&lt;RecNum&gt;125327&lt;/RecNum&gt;&lt;DisplayText&gt;(Bloem&lt;style face="italic"&gt; et al.&lt;/style&gt;, 2020)&lt;/DisplayText&gt;&lt;record&gt;&lt;rec-number&gt;125327&lt;/rec-number&gt;&lt;foreign-keys&gt;&lt;key app="EN" db-id="xpefzwa5hf9dt2ea9fax95x7xvxz90v09dtf" timestamp="1775130921"&gt;125327&lt;/key&gt;&lt;/foreign-keys&gt;&lt;ref-type name="Journal Article"&gt;17&lt;/ref-type&gt;&lt;contributors&gt;&lt;authors&gt;&lt;author&gt;Bloem, Bastiaan R&lt;/author&gt;&lt;author&gt;Henderson, Emily J&lt;/author&gt;&lt;author&gt;Dorsey, E Ray&lt;/author&gt;&lt;author&gt;Okun, Michael S&lt;/author&gt;&lt;author&gt;Okubadejo, Njideka&lt;/author&gt;&lt;author&gt;Chan, Piu&lt;/author&gt;&lt;author&gt;Andrejack, John&lt;/author&gt;&lt;author&gt;Darweesh, Sirwan KL&lt;/author&gt;&lt;author&gt;Munneke, Marten&lt;/author&gt;&lt;/authors&gt;&lt;/contributors&gt;&lt;titles&gt;&lt;title&gt;Integrated and patient-centred management of Parkinson&amp;apos;s disease: a network model for reshaping chronic neurological care&lt;/title&gt;&lt;secondary-title&gt;The Lancet Neurology&lt;/secondary-title&gt;&lt;/titles&gt;&lt;periodical&gt;&lt;full-title&gt;The Lancet Neurology&lt;/full-title&gt;&lt;/periodical&gt;&lt;pages&gt;623-634&lt;/pages&gt;&lt;volume&gt;19&lt;/volume&gt;&lt;number&gt;7&lt;/number&gt;&lt;dates&gt;&lt;year&gt;2020&lt;/year&gt;&lt;/dates&gt;&lt;isbn&gt;1474-4422&lt;/isbn&gt;&lt;urls&gt;&lt;/urls&gt;&lt;/record&gt;&lt;/Cite&gt;&lt;/EndNote&gt;</w:instrText>
      </w:r>
      <w:r w:rsidR="00987FCB" w:rsidRPr="002C21B8">
        <w:fldChar w:fldCharType="separate"/>
      </w:r>
      <w:r w:rsidR="00987FCB" w:rsidRPr="002C21B8">
        <w:t>(Bloem</w:t>
      </w:r>
      <w:r w:rsidR="00987FCB" w:rsidRPr="002C21B8">
        <w:rPr>
          <w:i/>
        </w:rPr>
        <w:t xml:space="preserve"> et al.</w:t>
      </w:r>
      <w:r w:rsidR="00987FCB" w:rsidRPr="002C21B8">
        <w:t>, 2020)</w:t>
      </w:r>
      <w:r w:rsidR="00987FCB" w:rsidRPr="002C21B8">
        <w:fldChar w:fldCharType="end"/>
      </w:r>
      <w:r w:rsidR="00987FCB" w:rsidRPr="002C21B8">
        <w:t>.</w:t>
      </w:r>
      <w:r w:rsidR="003E2CC9" w:rsidRPr="002C21B8">
        <w:t xml:space="preserve"> </w:t>
      </w:r>
      <w:r w:rsidR="001273EF" w:rsidRPr="002C21B8">
        <w:t xml:space="preserve">This supports the use of ADPKD </w:t>
      </w:r>
      <w:r w:rsidR="00072B36" w:rsidRPr="002C21B8">
        <w:t xml:space="preserve">in this thesis </w:t>
      </w:r>
      <w:r w:rsidR="001273EF" w:rsidRPr="002C21B8">
        <w:t xml:space="preserve">as a case to explore broader issues in </w:t>
      </w:r>
      <w:r w:rsidR="00D86B4D" w:rsidRPr="002C21B8">
        <w:t xml:space="preserve">prescribing </w:t>
      </w:r>
      <w:r w:rsidR="001273EF" w:rsidRPr="002C21B8">
        <w:t>decision-making and variation in practice for rare diseases</w:t>
      </w:r>
      <w:r w:rsidR="0045706C" w:rsidRPr="002C21B8">
        <w:t xml:space="preserve"> in general</w:t>
      </w:r>
      <w:r w:rsidR="001273EF" w:rsidRPr="002C21B8">
        <w:t>.</w:t>
      </w:r>
    </w:p>
    <w:p w14:paraId="16F50430" w14:textId="1889D007" w:rsidR="00072B36" w:rsidRPr="002C21B8" w:rsidRDefault="00072B36" w:rsidP="00213881">
      <w:r w:rsidRPr="002C21B8">
        <w:t xml:space="preserve">ADPKD </w:t>
      </w:r>
      <w:r w:rsidR="00055DEC" w:rsidRPr="002C21B8">
        <w:t xml:space="preserve">was </w:t>
      </w:r>
      <w:r w:rsidR="00EB796C" w:rsidRPr="002C21B8">
        <w:t xml:space="preserve">selected </w:t>
      </w:r>
      <w:r w:rsidR="00055DEC" w:rsidRPr="002C21B8">
        <w:t xml:space="preserve">as the case in </w:t>
      </w:r>
      <w:r w:rsidRPr="002C21B8">
        <w:t xml:space="preserve">this programme of research </w:t>
      </w:r>
      <w:r w:rsidR="00055DEC" w:rsidRPr="002C21B8">
        <w:t xml:space="preserve">based on </w:t>
      </w:r>
      <w:r w:rsidR="00EB796C" w:rsidRPr="002C21B8">
        <w:t>its</w:t>
      </w:r>
      <w:r w:rsidR="00055DEC" w:rsidRPr="002C21B8">
        <w:t xml:space="preserve"> disease characteristics, </w:t>
      </w:r>
      <w:r w:rsidR="00EB796C" w:rsidRPr="002C21B8">
        <w:t xml:space="preserve">the availability of </w:t>
      </w:r>
      <w:r w:rsidR="00055DEC" w:rsidRPr="002C21B8">
        <w:t xml:space="preserve">an approved disease-modifying therapy with published guidelines, </w:t>
      </w:r>
      <w:r w:rsidR="00EB796C" w:rsidRPr="002C21B8">
        <w:t xml:space="preserve">established data </w:t>
      </w:r>
      <w:r w:rsidR="00055DEC" w:rsidRPr="002C21B8">
        <w:t xml:space="preserve">infrastructure, research team expertise and </w:t>
      </w:r>
      <w:r w:rsidR="00EB796C" w:rsidRPr="002C21B8">
        <w:t xml:space="preserve">evidence </w:t>
      </w:r>
      <w:r w:rsidR="00055DEC" w:rsidRPr="002C21B8">
        <w:t>suggesting variation in practice.</w:t>
      </w:r>
    </w:p>
    <w:p w14:paraId="66D649D9" w14:textId="5D9FC670" w:rsidR="003E2CC9" w:rsidRPr="002C21B8" w:rsidRDefault="00055DEC" w:rsidP="00DB0E84">
      <w:r w:rsidRPr="002C21B8">
        <w:t>First, ADPKD is a relatively common rare disease with an estimated prevalence of 0.72 in 2,000 people</w:t>
      </w:r>
      <w:r w:rsidR="00487795" w:rsidRPr="002C21B8">
        <w:t xml:space="preserve"> </w:t>
      </w:r>
      <w:r w:rsidR="00487795" w:rsidRPr="002C21B8">
        <w:fldChar w:fldCharType="begin">
          <w:fldData xml:space="preserve">PEVuZE5vdGU+PENpdGU+PEF1dGhvcj5Tb2xhenpvPC9BdXRob3I+PFllYXI+MjAxODwvWWVhcj48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</w:fldData>
        </w:fldChar>
      </w:r>
      <w:r w:rsidR="00487795" w:rsidRPr="002C21B8">
        <w:instrText xml:space="preserve"> ADDIN EN.CITE </w:instrText>
      </w:r>
      <w:r w:rsidR="00487795" w:rsidRPr="002C21B8">
        <w:fldChar w:fldCharType="begin">
          <w:fldData xml:space="preserve">PEVuZE5vdGU+PENpdGU+PEF1dGhvcj5Tb2xhenpvPC9BdXRob3I+PFllYXI+MjAxODwvWWVhcj48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</w:fldData>
        </w:fldChar>
      </w:r>
      <w:r w:rsidR="00487795" w:rsidRPr="002C21B8">
        <w:instrText xml:space="preserve"> ADDIN EN.CITE.DATA </w:instrText>
      </w:r>
      <w:r w:rsidR="00487795" w:rsidRPr="002C21B8">
        <w:fldChar w:fldCharType="end"/>
      </w:r>
      <w:r w:rsidR="00487795" w:rsidRPr="002C21B8">
        <w:fldChar w:fldCharType="separate"/>
      </w:r>
      <w:r w:rsidR="00487795" w:rsidRPr="002C21B8">
        <w:rPr>
          <w:noProof/>
        </w:rPr>
        <w:t>(Solazzo</w:t>
      </w:r>
      <w:r w:rsidR="00487795" w:rsidRPr="002C21B8">
        <w:rPr>
          <w:i/>
          <w:noProof/>
        </w:rPr>
        <w:t xml:space="preserve"> et al.</w:t>
      </w:r>
      <w:r w:rsidR="00487795" w:rsidRPr="002C21B8">
        <w:rPr>
          <w:noProof/>
        </w:rPr>
        <w:t>, 2018)</w:t>
      </w:r>
      <w:r w:rsidR="00487795" w:rsidRPr="002C21B8">
        <w:fldChar w:fldCharType="end"/>
      </w:r>
      <w:r w:rsidRPr="002C21B8">
        <w:t xml:space="preserve">. </w:t>
      </w:r>
      <w:r w:rsidR="00E600CF" w:rsidRPr="002C21B8">
        <w:t>While it</w:t>
      </w:r>
      <w:r w:rsidRPr="002C21B8">
        <w:t xml:space="preserve"> meets the definition of a rare disease </w:t>
      </w:r>
      <w:r w:rsidR="00487795" w:rsidRPr="002C21B8">
        <w:t xml:space="preserve">and </w:t>
      </w:r>
      <w:r w:rsidRPr="002C21B8">
        <w:t xml:space="preserve">shares many of the </w:t>
      </w:r>
      <w:r w:rsidR="00E600CF" w:rsidRPr="002C21B8">
        <w:t xml:space="preserve">associated </w:t>
      </w:r>
      <w:r w:rsidRPr="002C21B8">
        <w:t>challenges</w:t>
      </w:r>
      <w:r w:rsidR="00E600CF" w:rsidRPr="002C21B8">
        <w:t>,</w:t>
      </w:r>
      <w:r w:rsidRPr="002C21B8">
        <w:t xml:space="preserve"> it</w:t>
      </w:r>
      <w:r w:rsidR="00E600CF" w:rsidRPr="002C21B8">
        <w:t>s</w:t>
      </w:r>
      <w:r w:rsidRPr="002C21B8">
        <w:t xml:space="preserve"> </w:t>
      </w:r>
      <w:r w:rsidR="00EB796C" w:rsidRPr="002C21B8">
        <w:t>great</w:t>
      </w:r>
      <w:r w:rsidR="00E600CF" w:rsidRPr="002C21B8">
        <w:t xml:space="preserve">er prevalence means that research is more feasible than in </w:t>
      </w:r>
      <w:r w:rsidRPr="002C21B8">
        <w:t xml:space="preserve">less prevalent or ‘ultra-rare’ diseases </w:t>
      </w:r>
      <w:r w:rsidRPr="002C21B8">
        <w:fldChar w:fldCharType="begin">
          <w:fldData xml:space="preserve">PEVuZE5vdGU+PENpdGU+PEF1dGhvcj5HdW5lczwvQXV0aG9yPjxZZWFyPjIwMjU8L1llYXI+PFJl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</w:fldData>
        </w:fldChar>
      </w:r>
      <w:r w:rsidRPr="002C21B8">
        <w:instrText xml:space="preserve"> ADDIN EN.CITE </w:instrText>
      </w:r>
      <w:r w:rsidRPr="002C21B8">
        <w:fldChar w:fldCharType="begin">
          <w:fldData xml:space="preserve">PEVuZE5vdGU+PENpdGU+PEF1dGhvcj5HdW5lczwvQXV0aG9yPjxZZWFyPjIwMjU8L1llYXI+PFJl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</w:fldData>
        </w:fldChar>
      </w:r>
      <w:r w:rsidRPr="002C21B8">
        <w:instrText xml:space="preserve"> ADDIN EN.CITE.DATA </w:instrText>
      </w:r>
      <w:r w:rsidRPr="002C21B8">
        <w:fldChar w:fldCharType="end"/>
      </w:r>
      <w:r w:rsidRPr="002C21B8">
        <w:fldChar w:fldCharType="separate"/>
      </w:r>
      <w:r w:rsidRPr="002C21B8">
        <w:rPr>
          <w:noProof/>
        </w:rPr>
        <w:t>(Gunes</w:t>
      </w:r>
      <w:r w:rsidRPr="002C21B8">
        <w:rPr>
          <w:i/>
          <w:noProof/>
        </w:rPr>
        <w:t xml:space="preserve"> et al.</w:t>
      </w:r>
      <w:r w:rsidRPr="002C21B8">
        <w:rPr>
          <w:noProof/>
        </w:rPr>
        <w:t>, 2025)</w:t>
      </w:r>
      <w:r w:rsidRPr="002C21B8">
        <w:fldChar w:fldCharType="end"/>
      </w:r>
      <w:r w:rsidR="00E600CF" w:rsidRPr="002C21B8">
        <w:t>.</w:t>
      </w:r>
      <w:r w:rsidR="00644FA4" w:rsidRPr="002C21B8">
        <w:t xml:space="preserve"> This increases the likelihood of achieving adequate sample sizes and statistical power in quantitative analyses which is a common challenge in rare disease research </w:t>
      </w:r>
      <w:r w:rsidR="00644FA4" w:rsidRPr="002C21B8">
        <w:fldChar w:fldCharType="begin">
          <w:fldData xml:space="preserve">PEVuZE5vdGU+PENpdGU+PEF1dGhvcj5TdG9sbGVyPC9BdXRob3I+PFllYXI+MjAxODwvWWVhcj48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</w:fldData>
        </w:fldChar>
      </w:r>
      <w:r w:rsidR="00644FA4" w:rsidRPr="002C21B8">
        <w:instrText xml:space="preserve"> ADDIN EN.CITE </w:instrText>
      </w:r>
      <w:r w:rsidR="00644FA4" w:rsidRPr="002C21B8">
        <w:fldChar w:fldCharType="begin">
          <w:fldData xml:space="preserve">PEVuZE5vdGU+PENpdGU+PEF1dGhvcj5TdG9sbGVyPC9BdXRob3I+PFllYXI+MjAxODwvWWVhcj48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</w:fldData>
        </w:fldChar>
      </w:r>
      <w:r w:rsidR="00644FA4" w:rsidRPr="002C21B8">
        <w:instrText xml:space="preserve"> ADDIN EN.CITE.DATA </w:instrText>
      </w:r>
      <w:r w:rsidR="00644FA4" w:rsidRPr="002C21B8">
        <w:fldChar w:fldCharType="end"/>
      </w:r>
      <w:r w:rsidR="00644FA4" w:rsidRPr="002C21B8">
        <w:fldChar w:fldCharType="separate"/>
      </w:r>
      <w:r w:rsidR="00644FA4" w:rsidRPr="002C21B8">
        <w:t>(Stoller, 2018; Taruscio and Gahl, 2024)</w:t>
      </w:r>
      <w:r w:rsidR="00644FA4" w:rsidRPr="002C21B8">
        <w:fldChar w:fldCharType="end"/>
      </w:r>
      <w:r w:rsidR="00644FA4" w:rsidRPr="002C21B8">
        <w:t xml:space="preserve">. ADPKD </w:t>
      </w:r>
      <w:r w:rsidR="001B2B1A" w:rsidRPr="002C21B8">
        <w:t xml:space="preserve">can arise from pathogenic variants in multiple genes which contribute to variability in disease severity and progression. This introduces some uncertainty when determining prognosis and adds complexity to the decision-making process, particularly in relation to risk-benefit assessments for new </w:t>
      </w:r>
      <w:r w:rsidR="007A02B6" w:rsidRPr="002C21B8">
        <w:t>medication</w:t>
      </w:r>
      <w:r w:rsidR="001B2B1A" w:rsidRPr="002C21B8">
        <w:t>s</w:t>
      </w:r>
      <w:r w:rsidR="00EB796C" w:rsidRPr="002C21B8">
        <w:t xml:space="preserve"> </w:t>
      </w:r>
      <w:r w:rsidR="003E2CC9" w:rsidRPr="002C21B8">
        <w:fldChar w:fldCharType="begin"/>
      </w:r>
      <w:r w:rsidR="003E2CC9" w:rsidRPr="002C21B8">
        <w:instrText xml:space="preserve"> ADDIN EN.CITE &lt;EndNote&gt;&lt;Cite&gt;&lt;Author&gt;Woodward&lt;/Author&gt;&lt;Year&gt;2022&lt;/Year&gt;&lt;RecNum&gt;125332&lt;/RecNum&gt;&lt;DisplayText&gt;(Woodward&lt;style face="italic"&gt; et al.&lt;/style&gt;, 2022)&lt;/DisplayText&gt;&lt;record&gt;&lt;rec-number&gt;125332&lt;/rec-number&gt;&lt;foreign-keys&gt;&lt;key app="EN" db-id="xpefzwa5hf9dt2ea9fax95x7xvxz90v09dtf" timestamp="1775141491"&gt;125332&lt;/key&gt;&lt;/foreign-keys&gt;&lt;ref-type name="Journal Article"&gt;17&lt;/ref-type&gt;&lt;contributors&gt;&lt;authors&gt;&lt;author&gt;Woodward, Alexa A&lt;/author&gt;&lt;author&gt;Urbanowicz, Ryan J&lt;/author&gt;&lt;author&gt;Naj, Adam C&lt;/author&gt;&lt;author&gt;Moore, Jason H&lt;/author&gt;&lt;/authors&gt;&lt;/contributors&gt;&lt;titles&gt;&lt;title&gt;Genetic heterogeneity: Challenges, impacts, and methods through an associative lens&lt;/title&gt;&lt;secondary-title&gt;Genetic Epidemiology&lt;/secondary-title&gt;&lt;/titles&gt;&lt;periodical&gt;&lt;full-title&gt;Genetic Epidemiology&lt;/full-title&gt;&lt;/periodical&gt;&lt;pages&gt;555-571&lt;/pages&gt;&lt;volume&gt;46&lt;/volume&gt;&lt;number&gt;8&lt;/number&gt;&lt;dates&gt;&lt;year&gt;2022&lt;/year&gt;&lt;/dates&gt;&lt;isbn&gt;0741-0395&lt;/isbn&gt;&lt;urls&gt;&lt;/urls&gt;&lt;/record&gt;&lt;/Cite&gt;&lt;/EndNote&gt;</w:instrText>
      </w:r>
      <w:r w:rsidR="003E2CC9" w:rsidRPr="002C21B8">
        <w:fldChar w:fldCharType="separate"/>
      </w:r>
      <w:r w:rsidR="003E2CC9" w:rsidRPr="002C21B8">
        <w:t>(Woodward</w:t>
      </w:r>
      <w:r w:rsidR="003E2CC9" w:rsidRPr="002C21B8">
        <w:rPr>
          <w:i/>
        </w:rPr>
        <w:t xml:space="preserve"> et al.</w:t>
      </w:r>
      <w:r w:rsidR="003E2CC9" w:rsidRPr="002C21B8">
        <w:t>, 2022)</w:t>
      </w:r>
      <w:r w:rsidR="003E2CC9" w:rsidRPr="002C21B8">
        <w:fldChar w:fldCharType="end"/>
      </w:r>
      <w:r w:rsidR="003E2CC9" w:rsidRPr="002C21B8">
        <w:t>.</w:t>
      </w:r>
      <w:r w:rsidR="00554ED8" w:rsidRPr="002C21B8">
        <w:t xml:space="preserve"> </w:t>
      </w:r>
      <w:r w:rsidR="001B2B1A" w:rsidRPr="002C21B8">
        <w:t>These features make ADPKD a useful case for studying prescribing decision-making under uncertainty</w:t>
      </w:r>
      <w:r w:rsidR="00644FA4" w:rsidRPr="002C21B8">
        <w:t>.</w:t>
      </w:r>
    </w:p>
    <w:p w14:paraId="2ECB9F33" w14:textId="6EA2E7A4" w:rsidR="00644FA4" w:rsidRPr="002C21B8" w:rsidRDefault="001B2B1A" w:rsidP="001B2B1A">
      <w:r w:rsidRPr="002C21B8">
        <w:t xml:space="preserve">Second, tolvaptan is the only approved disease-modifying therapy </w:t>
      </w:r>
      <w:r w:rsidR="00644FA4" w:rsidRPr="002C21B8">
        <w:t xml:space="preserve">which focuses clinical decision-making on eligibility for a single treatment. National guidelines are available </w:t>
      </w:r>
      <w:r w:rsidR="00E2717A" w:rsidRPr="002C21B8">
        <w:t>t</w:t>
      </w:r>
      <w:r w:rsidR="00644FA4" w:rsidRPr="002C21B8">
        <w:t>h</w:t>
      </w:r>
      <w:r w:rsidR="00E2717A" w:rsidRPr="002C21B8">
        <w:t>at</w:t>
      </w:r>
      <w:r w:rsidR="00644FA4" w:rsidRPr="002C21B8">
        <w:t xml:space="preserve"> can be used as a benchmark for prescribing decision</w:t>
      </w:r>
      <w:r w:rsidR="00B934CB" w:rsidRPr="002C21B8">
        <w:t>s</w:t>
      </w:r>
      <w:r w:rsidR="00E2717A" w:rsidRPr="002C21B8">
        <w:t>,</w:t>
      </w:r>
      <w:r w:rsidR="00644FA4" w:rsidRPr="002C21B8">
        <w:t xml:space="preserve"> against which variation in prescribing practices </w:t>
      </w:r>
      <w:r w:rsidR="00D46AF1" w:rsidRPr="002C21B8">
        <w:t xml:space="preserve">between centres </w:t>
      </w:r>
      <w:r w:rsidR="00644FA4" w:rsidRPr="002C21B8">
        <w:lastRenderedPageBreak/>
        <w:t xml:space="preserve">can be assessed. </w:t>
      </w:r>
      <w:r w:rsidRPr="002C21B8">
        <w:t xml:space="preserve">In England, NHS trusts are legally required to make </w:t>
      </w:r>
      <w:r w:rsidR="00B216D7" w:rsidRPr="002C21B8">
        <w:t>medication</w:t>
      </w:r>
      <w:r w:rsidRPr="002C21B8">
        <w:t xml:space="preserve">s recommended by NICE available within three months of publication </w:t>
      </w:r>
      <w:r w:rsidRPr="002C21B8">
        <w:fldChar w:fldCharType="begin"/>
      </w:r>
      <w:r w:rsidRPr="002C21B8">
        <w:instrText xml:space="preserve"> ADDIN EN.CITE &lt;EndNote&gt;&lt;Cite&gt;&lt;Author&gt;National Institute for Health and Care Excellence&lt;/Author&gt;&lt;Year&gt;2023&lt;/Year&gt;&lt;RecNum&gt;4984&lt;/RecNum&gt;&lt;DisplayText&gt;(National Institute for Health and Care Excellence, 2023)&lt;/DisplayText&gt;&lt;record&gt;&lt;rec-number&gt;4984&lt;/rec-number&gt;&lt;foreign-keys&gt;&lt;key app="EN" db-id="xpefzwa5hf9dt2ea9fax95x7xvxz90v09dtf" timestamp="1699872523"&gt;4984&lt;/key&gt;&lt;/foreign-keys&gt;&lt;ref-type name="Web Page"&gt;12&lt;/ref-type&gt;&lt;contributors&gt;&lt;authors&gt;&lt;author&gt;National Institute for Health and Care Excellence,&lt;/author&gt;&lt;/authors&gt;&lt;/contributors&gt;&lt;titles&gt;&lt;title&gt;Technology Appraisal Guidance&lt;/title&gt;&lt;/titles&gt;&lt;number&gt;22/03/2025)&lt;/number&gt;&lt;dates&gt;&lt;year&gt;2023&lt;/year&gt;&lt;/dates&gt;&lt;urls&gt;&lt;related-urls&gt;&lt;url&gt;https://www.nice.org.uk/about/what-we-do/our-programmes/nice-guidance/nice-technology-appraisal-guidance&lt;/url&gt;&lt;/related-urls&gt;&lt;/urls&gt;&lt;access-date&gt;22/03/2026)&lt;/access-date&gt;&lt;/record&gt;&lt;/Cite&gt;&lt;/EndNote&gt;</w:instrText>
      </w:r>
      <w:r w:rsidRPr="002C21B8">
        <w:fldChar w:fldCharType="separate"/>
      </w:r>
      <w:r w:rsidRPr="002C21B8">
        <w:t>(National Institute for Health and Care Excellence, 2023)</w:t>
      </w:r>
      <w:r w:rsidRPr="002C21B8">
        <w:fldChar w:fldCharType="end"/>
      </w:r>
      <w:r w:rsidRPr="002C21B8">
        <w:t>. Although the other three nations do not have any mandates</w:t>
      </w:r>
      <w:r w:rsidR="00B934CB" w:rsidRPr="002C21B8">
        <w:t>,</w:t>
      </w:r>
      <w:r w:rsidRPr="002C21B8">
        <w:t xml:space="preserve"> </w:t>
      </w:r>
      <w:r w:rsidR="00DF6393" w:rsidRPr="002C21B8">
        <w:t>in Scotland</w:t>
      </w:r>
      <w:r w:rsidR="00D70DCB" w:rsidRPr="002C21B8">
        <w:t>,</w:t>
      </w:r>
      <w:r w:rsidR="00DF6393" w:rsidRPr="002C21B8">
        <w:t xml:space="preserve"> it is </w:t>
      </w:r>
      <w:r w:rsidRPr="002C21B8">
        <w:t>advise</w:t>
      </w:r>
      <w:r w:rsidR="00DF6393" w:rsidRPr="002C21B8">
        <w:t>d</w:t>
      </w:r>
      <w:r w:rsidRPr="002C21B8">
        <w:t xml:space="preserve"> that recommended medic</w:t>
      </w:r>
      <w:r w:rsidR="00316EC8" w:rsidRPr="002C21B8">
        <w:t>ation</w:t>
      </w:r>
      <w:r w:rsidRPr="002C21B8">
        <w:t xml:space="preserve">s should be routinely available </w:t>
      </w:r>
      <w:r w:rsidRPr="002C21B8">
        <w:fldChar w:fldCharType="begin"/>
      </w:r>
      <w:r w:rsidRPr="002C21B8">
        <w:instrText xml:space="preserve"> ADDIN EN.CITE &lt;EndNote&gt;&lt;Cite&gt;&lt;Author&gt;The Scottish Government&lt;/Author&gt;&lt;Year&gt;2012&lt;/Year&gt;&lt;RecNum&gt;125331&lt;/RecNum&gt;&lt;DisplayText&gt;(The Scottish Government, 2012)&lt;/DisplayText&gt;&lt;record&gt;&lt;rec-number&gt;125331&lt;/rec-number&gt;&lt;foreign-keys&gt;&lt;key app="EN" db-id="xpefzwa5hf9dt2ea9fax95x7xvxz90v09dtf" timestamp="1775137436"&gt;125331&lt;/key&gt;&lt;/foreign-keys&gt;&lt;ref-type name="Web Page"&gt;12&lt;/ref-type&gt;&lt;contributors&gt;&lt;authors&gt;&lt;author&gt;The Scottish Government,&lt;/author&gt;&lt;/authors&gt;&lt;/contributors&gt;&lt;titles&gt;&lt;title&gt;Guidance to further strengthen the safe and effective use of new medicines across the NHS in Scotland&lt;/title&gt;&lt;/titles&gt;&lt;number&gt;02/04/2026)&lt;/number&gt;&lt;dates&gt;&lt;year&gt;2012&lt;/year&gt;&lt;/dates&gt;&lt;urls&gt;&lt;related-urls&gt;&lt;url&gt;https://scottishmedicines.org.uk/media/2726/safe-and-effective-use-of-new-medicines.pdf&lt;/url&gt;&lt;/related-urls&gt;&lt;/urls&gt;&lt;/record&gt;&lt;/Cite&gt;&lt;/EndNote&gt;</w:instrText>
      </w:r>
      <w:r w:rsidRPr="002C21B8">
        <w:fldChar w:fldCharType="separate"/>
      </w:r>
      <w:r w:rsidRPr="002C21B8">
        <w:t>(The Scottish Government, 2012)</w:t>
      </w:r>
      <w:r w:rsidRPr="002C21B8">
        <w:fldChar w:fldCharType="end"/>
      </w:r>
      <w:r w:rsidRPr="002C21B8">
        <w:t xml:space="preserve">. </w:t>
      </w:r>
      <w:r w:rsidR="00644FA4" w:rsidRPr="002C21B8">
        <w:t>As a result, eligible people with ADPKD in the UK should all have access to tolvaptan in principle.</w:t>
      </w:r>
    </w:p>
    <w:p w14:paraId="01D28489" w14:textId="6E19A681" w:rsidR="0081283B" w:rsidRPr="002C21B8" w:rsidRDefault="00644FA4" w:rsidP="00644FA4">
      <w:r w:rsidRPr="002C21B8">
        <w:t>Third</w:t>
      </w:r>
      <w:r w:rsidR="001B2B1A" w:rsidRPr="002C21B8">
        <w:t>, t</w:t>
      </w:r>
      <w:r w:rsidR="002B2029" w:rsidRPr="002C21B8">
        <w:t>here is a</w:t>
      </w:r>
      <w:r w:rsidR="001B2B1A" w:rsidRPr="002C21B8">
        <w:t>n existing</w:t>
      </w:r>
      <w:r w:rsidR="002B2029" w:rsidRPr="002C21B8">
        <w:t xml:space="preserve"> </w:t>
      </w:r>
      <w:r w:rsidR="00D70DCB" w:rsidRPr="002C21B8">
        <w:t xml:space="preserve">national registry, the </w:t>
      </w:r>
      <w:r w:rsidR="00A614E4" w:rsidRPr="002C21B8">
        <w:t>N</w:t>
      </w:r>
      <w:r w:rsidR="002B2029" w:rsidRPr="002C21B8">
        <w:t xml:space="preserve">ational </w:t>
      </w:r>
      <w:r w:rsidR="00A614E4" w:rsidRPr="002C21B8">
        <w:t>R</w:t>
      </w:r>
      <w:r w:rsidR="002B2029" w:rsidRPr="002C21B8">
        <w:t xml:space="preserve">egistry for </w:t>
      </w:r>
      <w:r w:rsidR="00A614E4" w:rsidRPr="002C21B8">
        <w:t>R</w:t>
      </w:r>
      <w:r w:rsidR="002B2029" w:rsidRPr="002C21B8">
        <w:t xml:space="preserve">are </w:t>
      </w:r>
      <w:r w:rsidR="00A614E4" w:rsidRPr="002C21B8">
        <w:t>K</w:t>
      </w:r>
      <w:r w:rsidR="002B2029" w:rsidRPr="002C21B8">
        <w:t xml:space="preserve">idney </w:t>
      </w:r>
      <w:r w:rsidR="00A614E4" w:rsidRPr="002C21B8">
        <w:t>D</w:t>
      </w:r>
      <w:r w:rsidR="002B2029" w:rsidRPr="002C21B8">
        <w:t>iseases</w:t>
      </w:r>
      <w:r w:rsidR="001B2B1A" w:rsidRPr="002C21B8">
        <w:t xml:space="preserve"> (</w:t>
      </w:r>
      <w:r w:rsidR="002B2029" w:rsidRPr="002C21B8">
        <w:t>RaDaR</w:t>
      </w:r>
      <w:r w:rsidR="001B2B1A" w:rsidRPr="002C21B8">
        <w:t>)</w:t>
      </w:r>
      <w:r w:rsidR="004E4932" w:rsidRPr="002C21B8">
        <w:t>,</w:t>
      </w:r>
      <w:r w:rsidR="00D70DCB" w:rsidRPr="002C21B8">
        <w:t xml:space="preserve"> </w:t>
      </w:r>
      <w:r w:rsidR="002B2029" w:rsidRPr="002C21B8">
        <w:t xml:space="preserve">that collects </w:t>
      </w:r>
      <w:r w:rsidRPr="002C21B8">
        <w:t xml:space="preserve">routine data </w:t>
      </w:r>
      <w:r w:rsidR="002B2029" w:rsidRPr="002C21B8">
        <w:t xml:space="preserve">on people with rare kidney conditions from kidney centres across the UK </w:t>
      </w:r>
      <w:r w:rsidR="009817F2" w:rsidRPr="002C21B8">
        <w:fldChar w:fldCharType="begin"/>
      </w:r>
      <w:r w:rsidR="009817F2" w:rsidRPr="002C21B8">
        <w:instrText xml:space="preserve"> ADDIN EN.CITE &lt;EndNote&gt;&lt;Cite&gt;&lt;Author&gt;UK Kidney Association&lt;/Author&gt;&lt;Year&gt;2022&lt;/Year&gt;&lt;RecNum&gt;5083&lt;/RecNum&gt;&lt;DisplayText&gt;(UK Kidney Association, 2022)&lt;/DisplayText&gt;&lt;record&gt;&lt;rec-number&gt;5083&lt;/rec-number&gt;&lt;foreign-keys&gt;&lt;key app="EN" db-id="xpefzwa5hf9dt2ea9fax95x7xvxz90v09dtf" timestamp="1700132099"&gt;5083&lt;/key&gt;&lt;/foreign-keys&gt;&lt;ref-type name="Web Page"&gt;12&lt;/ref-type&gt;&lt;contributors&gt;&lt;authors&gt;&lt;author&gt;UK Kidney Association,&lt;/author&gt;&lt;/authors&gt;&lt;/contributors&gt;&lt;titles&gt;&lt;title&gt;RaDaR Registry&lt;/title&gt;&lt;/titles&gt;&lt;number&gt;16/11/2023)&lt;/number&gt;&lt;dates&gt;&lt;year&gt;2022&lt;/year&gt;&lt;/dates&gt;&lt;urls&gt;&lt;related-urls&gt;&lt;url&gt;https://ukkidney.org/rare-renal/radar&lt;/url&gt;&lt;/related-urls&gt;&lt;/urls&gt;&lt;/record&gt;&lt;/Cite&gt;&lt;/EndNote&gt;</w:instrText>
      </w:r>
      <w:r w:rsidR="009817F2" w:rsidRPr="002C21B8">
        <w:fldChar w:fldCharType="separate"/>
      </w:r>
      <w:r w:rsidR="009817F2" w:rsidRPr="002C21B8">
        <w:t>(UK Kidney Association, 2022)</w:t>
      </w:r>
      <w:r w:rsidR="009817F2" w:rsidRPr="002C21B8">
        <w:fldChar w:fldCharType="end"/>
      </w:r>
      <w:r w:rsidR="002B2029" w:rsidRPr="002C21B8">
        <w:t xml:space="preserve">. This makes conducting data analysis more feasible as data is centralised and readily </w:t>
      </w:r>
      <w:r w:rsidRPr="002C21B8">
        <w:t>available</w:t>
      </w:r>
      <w:r w:rsidR="002B2029" w:rsidRPr="002C21B8">
        <w:t>.</w:t>
      </w:r>
    </w:p>
    <w:p w14:paraId="005869C7" w14:textId="12900024" w:rsidR="00644FA4" w:rsidRPr="002C21B8" w:rsidRDefault="00644FA4" w:rsidP="00213881">
      <w:r w:rsidRPr="002C21B8">
        <w:t>Fourth,</w:t>
      </w:r>
      <w:r w:rsidR="004F6736" w:rsidRPr="002C21B8">
        <w:t xml:space="preserve"> the selection of ADPKD was also informed by my clinical experience and academic interests as discussed in </w:t>
      </w:r>
      <w:hyperlink w:anchor="_Researcher_voice,_positionality" w:history="1">
        <w:r w:rsidR="004F6736" w:rsidRPr="002C21B8">
          <w:rPr>
            <w:rStyle w:val="Hyperlink"/>
          </w:rPr>
          <w:t>Section 1.4</w:t>
        </w:r>
      </w:hyperlink>
      <w:r w:rsidR="004F6736" w:rsidRPr="002C21B8">
        <w:t>. This was supported by the wider research team’s established expertise in ADPKD and variation in practice, alongside experience in analysing large routinely collected datasets. These factors further enhanced the feasibility of conducting robust research in this area.</w:t>
      </w:r>
    </w:p>
    <w:p w14:paraId="22FBB767" w14:textId="2FAE452B" w:rsidR="00213881" w:rsidRPr="002C21B8" w:rsidRDefault="00644FA4" w:rsidP="003421CD">
      <w:r w:rsidRPr="002C21B8">
        <w:t xml:space="preserve">Finally, </w:t>
      </w:r>
      <w:r w:rsidR="004967F9" w:rsidRPr="002C21B8">
        <w:t>there is a suggestion that variation</w:t>
      </w:r>
      <w:r w:rsidR="004F6736" w:rsidRPr="002C21B8">
        <w:t xml:space="preserve"> in tolvaptan prescribing for ADPKD</w:t>
      </w:r>
      <w:r w:rsidR="004967F9" w:rsidRPr="002C21B8">
        <w:t xml:space="preserve"> may exist. </w:t>
      </w:r>
      <w:r w:rsidR="00C9487F" w:rsidRPr="002C21B8">
        <w:fldChar w:fldCharType="begin"/>
      </w:r>
      <w:r w:rsidR="00C9487F" w:rsidRPr="002C21B8">
        <w:instrText xml:space="preserve"> ADDIN EN.CITE &lt;EndNote&gt;&lt;Cite AuthorYear="1"&gt;&lt;Author&gt;Chong&lt;/Author&gt;&lt;Year&gt;2022&lt;/Year&gt;&lt;RecNum&gt;125304&lt;/RecNum&gt;&lt;DisplayText&gt;Chong,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C9487F" w:rsidRPr="002C21B8">
        <w:fldChar w:fldCharType="separate"/>
      </w:r>
      <w:r w:rsidR="00C9487F" w:rsidRPr="002C21B8">
        <w:t>Chong, Harris and Ong (2022)</w:t>
      </w:r>
      <w:r w:rsidR="00C9487F" w:rsidRPr="002C21B8">
        <w:fldChar w:fldCharType="end"/>
      </w:r>
      <w:r w:rsidR="00C9487F" w:rsidRPr="002C21B8">
        <w:t xml:space="preserve"> reported a four-fold difference in</w:t>
      </w:r>
      <w:r w:rsidR="007624DA" w:rsidRPr="002C21B8">
        <w:t xml:space="preserve"> the per-capita number of tolvaptan</w:t>
      </w:r>
      <w:r w:rsidR="00C9487F" w:rsidRPr="002C21B8">
        <w:t xml:space="preserve"> </w:t>
      </w:r>
      <w:r w:rsidR="007624DA" w:rsidRPr="002C21B8">
        <w:t xml:space="preserve">prescriptions </w:t>
      </w:r>
      <w:r w:rsidR="00C9487F" w:rsidRPr="002C21B8">
        <w:t xml:space="preserve">across </w:t>
      </w:r>
      <w:r w:rsidR="007624DA" w:rsidRPr="002C21B8">
        <w:t xml:space="preserve">integrated care boards </w:t>
      </w:r>
      <w:r w:rsidR="003421CD" w:rsidRPr="002C21B8">
        <w:t xml:space="preserve">in the UK </w:t>
      </w:r>
      <w:r w:rsidR="00C9487F" w:rsidRPr="002C21B8">
        <w:t xml:space="preserve">using NHS </w:t>
      </w:r>
      <w:r w:rsidR="00BC7DF9" w:rsidRPr="002C21B8">
        <w:t>D</w:t>
      </w:r>
      <w:r w:rsidR="00C9487F" w:rsidRPr="002C21B8">
        <w:t>igital data</w:t>
      </w:r>
      <w:r w:rsidR="007624DA" w:rsidRPr="002C21B8">
        <w:t xml:space="preserve">. </w:t>
      </w:r>
      <w:r w:rsidR="00DF6393" w:rsidRPr="002C21B8">
        <w:t>It is important to note that this</w:t>
      </w:r>
      <w:r w:rsidR="007624DA" w:rsidRPr="002C21B8">
        <w:t xml:space="preserve"> </w:t>
      </w:r>
      <w:r w:rsidR="00C9487F" w:rsidRPr="002C21B8">
        <w:t xml:space="preserve">did not distinguish </w:t>
      </w:r>
      <w:r w:rsidR="002C479C" w:rsidRPr="002C21B8">
        <w:t xml:space="preserve">tolvaptan use for </w:t>
      </w:r>
      <w:r w:rsidR="00C9487F" w:rsidRPr="002C21B8">
        <w:t>ADPKD from other indications</w:t>
      </w:r>
      <w:r w:rsidR="00571065" w:rsidRPr="002C21B8">
        <w:t>, such as</w:t>
      </w:r>
      <w:r w:rsidR="00C9487F" w:rsidRPr="002C21B8">
        <w:t xml:space="preserve"> heart failure or </w:t>
      </w:r>
      <w:r w:rsidR="00BC7DF9" w:rsidRPr="002C21B8">
        <w:t>SIADH</w:t>
      </w:r>
      <w:r w:rsidR="00C9487F" w:rsidRPr="002C21B8">
        <w:t xml:space="preserve">. In Japan, </w:t>
      </w:r>
      <w:r w:rsidR="00C9487F" w:rsidRPr="002C21B8">
        <w:fldChar w:fldCharType="begin"/>
      </w:r>
      <w:r w:rsidR="00C9487F" w:rsidRPr="002C21B8">
        <w:instrText xml:space="preserve"> ADDIN EN.CITE &lt;EndNote&gt;&lt;Cite AuthorYear="1"&gt;&lt;Author&gt;Inoue&lt;/Author&gt;&lt;Year&gt;2020&lt;/Year&gt;&lt;RecNum&gt;125187&lt;/RecNum&gt;&lt;DisplayText&gt;Inoue&lt;style face="italic"&gt; et al.&lt;/style&gt; (2020)&lt;/DisplayText&gt;&lt;record&gt;&lt;rec-number&gt;125187&lt;/rec-number&gt;&lt;foreign-keys&gt;&lt;key app="EN" db-id="xpefzwa5hf9dt2ea9fax95x7xvxz90v09dtf" timestamp="1769244242"&gt;125187&lt;/key&gt;&lt;/foreign-keys&gt;&lt;ref-type name="Journal Article"&gt;17&lt;/ref-type&gt;&lt;contributors&gt;&lt;authors&gt;&lt;author&gt;Inoue, Reiko&lt;/author&gt;&lt;author&gt;Nishi, Hiroshi&lt;/author&gt;&lt;author&gt;Inoue, Daisuke&lt;/author&gt;&lt;author&gt;Honda, Kenjiro&lt;/author&gt;&lt;author&gt;Nangaku, Masaomi&lt;/author&gt;&lt;/authors&gt;&lt;/contributors&gt;&lt;titles&gt;&lt;title&gt;Regional variance of the early use of tolvaptan for autosomal dominant polycystic kidney disease&lt;/title&gt;&lt;secondary-title&gt;Kidney360&lt;/secondary-title&gt;&lt;/titles&gt;&lt;periodical&gt;&lt;full-title&gt;Kidney360&lt;/full-title&gt;&lt;/periodical&gt;&lt;pages&gt;740-745&lt;/pages&gt;&lt;volume&gt;1&lt;/volume&gt;&lt;number&gt;8&lt;/number&gt;&lt;dates&gt;&lt;year&gt;2020&lt;/year&gt;&lt;/dates&gt;&lt;isbn&gt;2641-7650&lt;/isbn&gt;&lt;urls&gt;&lt;/urls&gt;&lt;/record&gt;&lt;/Cite&gt;&lt;/EndNote&gt;</w:instrText>
      </w:r>
      <w:r w:rsidR="00C9487F" w:rsidRPr="002C21B8">
        <w:fldChar w:fldCharType="separate"/>
      </w:r>
      <w:r w:rsidR="00C9487F" w:rsidRPr="002C21B8">
        <w:t>Inoue</w:t>
      </w:r>
      <w:r w:rsidR="00C9487F" w:rsidRPr="002C21B8">
        <w:rPr>
          <w:i/>
        </w:rPr>
        <w:t xml:space="preserve"> et al.</w:t>
      </w:r>
      <w:r w:rsidR="00C9487F" w:rsidRPr="002C21B8">
        <w:t xml:space="preserve"> (2020)</w:t>
      </w:r>
      <w:r w:rsidR="00C9487F" w:rsidRPr="002C21B8">
        <w:fldChar w:fldCharType="end"/>
      </w:r>
      <w:r w:rsidR="00C9487F" w:rsidRPr="002C21B8">
        <w:t xml:space="preserve"> also reported regional variation with some prefectures</w:t>
      </w:r>
      <w:r w:rsidR="00DF6393" w:rsidRPr="002C21B8">
        <w:t xml:space="preserve"> (administrative jurisdictions)</w:t>
      </w:r>
      <w:r w:rsidR="00C9487F" w:rsidRPr="002C21B8">
        <w:t xml:space="preserve"> prescribing up to 21 times more</w:t>
      </w:r>
      <w:r w:rsidR="002C479C" w:rsidRPr="002C21B8">
        <w:t xml:space="preserve"> tolvaptan</w:t>
      </w:r>
      <w:r w:rsidR="00C9487F" w:rsidRPr="002C21B8">
        <w:t xml:space="preserve"> than others.</w:t>
      </w:r>
      <w:r w:rsidR="004967F9" w:rsidRPr="002C21B8">
        <w:t xml:space="preserve"> While useful for </w:t>
      </w:r>
      <w:r w:rsidR="003421CD" w:rsidRPr="002C21B8">
        <w:t xml:space="preserve">describing </w:t>
      </w:r>
      <w:r w:rsidR="004967F9" w:rsidRPr="002C21B8">
        <w:t>broad trends</w:t>
      </w:r>
      <w:r w:rsidR="003421CD" w:rsidRPr="002C21B8">
        <w:t xml:space="preserve"> in tolvaptan prescribing</w:t>
      </w:r>
      <w:r w:rsidR="004967F9" w:rsidRPr="002C21B8">
        <w:t>, the</w:t>
      </w:r>
      <w:r w:rsidR="003421CD" w:rsidRPr="002C21B8">
        <w:t>y do not explain how or why such variation occurs in clinical practice at the kidney centre level. This highlights an important gap in the evidence base and further supports the use of ADPKD as a case in which to examine variation in prescribing practices.</w:t>
      </w:r>
    </w:p>
    <w:p w14:paraId="2498B1C3" w14:textId="71F7A8CE" w:rsidR="00827A52" w:rsidRPr="002C21B8" w:rsidRDefault="00827A52" w:rsidP="00581663">
      <w:pPr>
        <w:pStyle w:val="Heading2"/>
      </w:pPr>
      <w:bookmarkStart w:id="48" w:name="_Toc229687206"/>
      <w:r w:rsidRPr="002C21B8">
        <w:t>Research gap</w:t>
      </w:r>
      <w:bookmarkEnd w:id="48"/>
    </w:p>
    <w:p w14:paraId="569040E8" w14:textId="6B3F1604" w:rsidR="00B47A91" w:rsidRPr="002C21B8" w:rsidRDefault="00AA2CD9" w:rsidP="00B70A9E">
      <w:r w:rsidRPr="002C21B8">
        <w:t xml:space="preserve">Rare diseases are characterised by low prevalence, disease heterogeneity and </w:t>
      </w:r>
      <w:r w:rsidR="000526D0" w:rsidRPr="002C21B8">
        <w:t xml:space="preserve">often </w:t>
      </w:r>
      <w:r w:rsidRPr="002C21B8">
        <w:t>limited evidence which can reduce clinician experience and increase uncertainty in clinical decision-making</w:t>
      </w:r>
      <w:r w:rsidR="00072B36" w:rsidRPr="002C21B8">
        <w:t xml:space="preserve"> </w:t>
      </w:r>
      <w:r w:rsidR="00072B36" w:rsidRPr="002C21B8">
        <w:fldChar w:fldCharType="begin"/>
      </w:r>
      <w:r w:rsidR="00072B36" w:rsidRPr="002C21B8">
        <w:instrText xml:space="preserve"> ADDIN EN.CITE &lt;EndNote&gt;&lt;Cite&gt;&lt;Author&gt;Phillips&lt;/Author&gt;&lt;Year&gt;2024&lt;/Year&gt;&lt;RecNum&gt;125306&lt;/RecNum&gt;&lt;DisplayText&gt;(Phillips&lt;style face="italic"&gt; et al.&lt;/style&gt;, 2024)&lt;/DisplayText&gt;&lt;record&gt;&lt;rec-number&gt;125306&lt;/rec-number&gt;&lt;foreign-keys&gt;&lt;key app="EN" db-id="xpefzwa5hf9dt2ea9fax95x7xvxz90v09dtf" timestamp="1774985012"&gt;125306&lt;/key&gt;&lt;/foreign-keys&gt;&lt;ref-type name="Journal Article"&gt;17&lt;/ref-type&gt;&lt;contributors&gt;&lt;authors&gt;&lt;author&gt;Phillips, Christine&lt;/author&gt;&lt;author&gt;Parkinson, Anne&lt;/author&gt;&lt;author&gt;Namsrai, Tergel&lt;/author&gt;&lt;author&gt;Chalmers, Anita&lt;/author&gt;&lt;author&gt;Dews, Carolyn&lt;/author&gt;&lt;author&gt;Gregory, Dianne&lt;/author&gt;&lt;author&gt;Kelly, Elaine&lt;/author&gt;&lt;author&gt;Lowe, Christine&lt;/author&gt;&lt;author&gt;Desborough, Jane&lt;/author&gt;&lt;/authors&gt;&lt;/contributors&gt;&lt;titles&gt;&lt;title&gt;Time to diagnosis for a rare disease: managing medical uncertainty. A qualitative study&lt;/title&gt;&lt;secondary-title&gt;Orphanet Journal of Rare Diseases&lt;/secondary-title&gt;&lt;/titles&gt;&lt;periodical&gt;&lt;full-title&gt;Orphanet Journal of Rare Diseases&lt;/full-title&gt;&lt;/periodical&gt;&lt;pages&gt;297&lt;/pages&gt;&lt;volume&gt;19&lt;/volume&gt;&lt;number&gt;1&lt;/number&gt;&lt;dates&gt;&lt;year&gt;2024&lt;/year&gt;&lt;/dates&gt;&lt;isbn&gt;1750-1172&lt;/isbn&gt;&lt;urls&gt;&lt;/urls&gt;&lt;/record&gt;&lt;/Cite&gt;&lt;/EndNote&gt;</w:instrText>
      </w:r>
      <w:r w:rsidR="00072B36" w:rsidRPr="002C21B8">
        <w:fldChar w:fldCharType="separate"/>
      </w:r>
      <w:r w:rsidR="00072B36" w:rsidRPr="002C21B8">
        <w:rPr>
          <w:noProof/>
        </w:rPr>
        <w:t>(Phillips</w:t>
      </w:r>
      <w:r w:rsidR="00072B36" w:rsidRPr="002C21B8">
        <w:rPr>
          <w:i/>
          <w:noProof/>
        </w:rPr>
        <w:t xml:space="preserve"> et al.</w:t>
      </w:r>
      <w:r w:rsidR="00072B36" w:rsidRPr="002C21B8">
        <w:rPr>
          <w:noProof/>
        </w:rPr>
        <w:t>, 2024)</w:t>
      </w:r>
      <w:r w:rsidR="00072B36" w:rsidRPr="002C21B8">
        <w:fldChar w:fldCharType="end"/>
      </w:r>
      <w:r w:rsidRPr="002C21B8">
        <w:t xml:space="preserve">. </w:t>
      </w:r>
      <w:r w:rsidR="006F0561" w:rsidRPr="002C21B8">
        <w:t>Current u</w:t>
      </w:r>
      <w:r w:rsidR="000A533A" w:rsidRPr="002C21B8">
        <w:t xml:space="preserve">nderstanding of factors influencing prescribing decision-making is </w:t>
      </w:r>
      <w:r w:rsidR="005A7729" w:rsidRPr="002C21B8">
        <w:t>largely derived</w:t>
      </w:r>
      <w:r w:rsidR="000A533A" w:rsidRPr="002C21B8">
        <w:t xml:space="preserve"> </w:t>
      </w:r>
      <w:r w:rsidR="005A7729" w:rsidRPr="002C21B8">
        <w:t>from studies of</w:t>
      </w:r>
      <w:r w:rsidR="000A533A" w:rsidRPr="002C21B8">
        <w:t xml:space="preserve"> acute conditions which may not </w:t>
      </w:r>
      <w:r w:rsidR="002108FB" w:rsidRPr="002C21B8">
        <w:t xml:space="preserve">take into account </w:t>
      </w:r>
      <w:r w:rsidR="000A533A" w:rsidRPr="002C21B8">
        <w:t>the complexity in other contexts</w:t>
      </w:r>
      <w:r w:rsidR="000202F1" w:rsidRPr="002C21B8">
        <w:t>,</w:t>
      </w:r>
      <w:r w:rsidR="000A533A" w:rsidRPr="002C21B8">
        <w:t xml:space="preserve"> such as chronic conditions and rare diseases</w:t>
      </w:r>
      <w:r w:rsidR="00BD13C2" w:rsidRPr="002C21B8">
        <w:t xml:space="preserve"> </w:t>
      </w:r>
      <w:r w:rsidR="00BD13C2" w:rsidRPr="002C21B8">
        <w:fldChar w:fldCharType="begin"/>
      </w:r>
      <w:r w:rsidR="00BD13C2" w:rsidRPr="002C21B8">
        <w:instrText xml:space="preserve"> ADDIN EN.CITE &lt;EndNote&gt;&lt;Cite&gt;&lt;Author&gt;Tonkin-Crine&lt;/Author&gt;&lt;Year&gt;2011&lt;/Year&gt;&lt;RecNum&gt;125517&lt;/RecNum&gt;&lt;DisplayText&gt;(Little&lt;style face="italic"&gt; et al.&lt;/style&gt;, 2004; Tonkin-Crine, Yardley and Little, 2011)&lt;/DisplayText&gt;&lt;record&gt;&lt;rec-number&gt;125517&lt;/rec-number&gt;&lt;foreign-keys&gt;&lt;key app="EN" db-id="xpefzwa5hf9dt2ea9fax95x7xvxz90v09dtf" timestamp="1777383969"&gt;125517&lt;/key&gt;&lt;/foreign-keys&gt;&lt;ref-type name="Journal Article"&gt;17&lt;/ref-type&gt;&lt;contributors&gt;&lt;authors&gt;&lt;author&gt;Tonkin-Crine, Sarah&lt;/author&gt;&lt;author&gt;Yardley, Lucy&lt;/author&gt;&lt;author&gt;Little, Paul&lt;/author&gt;&lt;/authors&gt;&lt;/contributors&gt;&lt;titles&gt;&lt;title&gt;Antibiotic prescribing for acute respiratory tract infections in primary care: a systematic review and meta-ethnography&lt;/title&gt;&lt;secondary-title&gt;Journal of Antimicrobial Chemotherapy&lt;/secondary-title&gt;&lt;/titles&gt;&lt;periodical&gt;&lt;full-title&gt;Journal of Antimicrobial Chemotherapy&lt;/full-title&gt;&lt;/periodical&gt;&lt;pages&gt;2215-2223&lt;/pages&gt;&lt;volume&gt;66&lt;/volume&gt;&lt;number&gt;10&lt;/number&gt;&lt;dates&gt;&lt;year&gt;2011&lt;/year&gt;&lt;/dates&gt;&lt;isbn&gt;1460-2091&lt;/isbn&gt;&lt;urls&gt;&lt;/urls&gt;&lt;/record&gt;&lt;/Cite&gt;&lt;Cite&gt;&lt;Author&gt;Little&lt;/Author&gt;&lt;Year&gt;2004&lt;/Year&gt;&lt;RecNum&gt;125537&lt;/RecNum&gt;&lt;record&gt;&lt;rec-number&gt;125537&lt;/rec-number&gt;&lt;foreign-keys&gt;&lt;key app="EN" db-id="xpefzwa5hf9dt2ea9fax95x7xvxz90v09dtf" timestamp="1777544574"&gt;125537&lt;/key&gt;&lt;/foreign-keys&gt;&lt;ref-type name="Journal Article"&gt;17&lt;/ref-type&gt;&lt;contributors&gt;&lt;authors&gt;&lt;author&gt;Little, P&lt;/author&gt;&lt;author&gt;Dorward, M&lt;/author&gt;&lt;author&gt;Warner, G&lt;/author&gt;&lt;author&gt;Stephens, K&lt;/author&gt;&lt;author&gt;Senior, J&lt;/author&gt;&lt;author&gt;Moore, M&lt;/author&gt;&lt;/authors&gt;&lt;/contributors&gt;&lt;titles&gt;&lt;title&gt;Importance of patient pressure and perceived medical need for investigations, referral, and prescribing in primary care: nested observational study&lt;/title&gt;&lt;secondary-title&gt;British Medical Journal&lt;/secondary-title&gt;&lt;/titles&gt;&lt;periodical&gt;&lt;full-title&gt;British Medical Journal&lt;/full-title&gt;&lt;/periodical&gt;&lt;volume&gt;328&lt;/volume&gt;&lt;dates&gt;&lt;year&gt;2004&lt;/year&gt;&lt;/dates&gt;&lt;urls&gt;&lt;/urls&gt;&lt;/record&gt;&lt;/Cite&gt;&lt;/EndNote&gt;</w:instrText>
      </w:r>
      <w:r w:rsidR="00BD13C2" w:rsidRPr="002C21B8">
        <w:fldChar w:fldCharType="separate"/>
      </w:r>
      <w:r w:rsidR="00BD13C2" w:rsidRPr="002C21B8">
        <w:rPr>
          <w:noProof/>
        </w:rPr>
        <w:t>(Little</w:t>
      </w:r>
      <w:r w:rsidR="00BD13C2" w:rsidRPr="002C21B8">
        <w:rPr>
          <w:i/>
          <w:noProof/>
        </w:rPr>
        <w:t xml:space="preserve"> et al.</w:t>
      </w:r>
      <w:r w:rsidR="00BD13C2" w:rsidRPr="002C21B8">
        <w:rPr>
          <w:noProof/>
        </w:rPr>
        <w:t>, 2004; Tonkin-Crine, Yardley and Little, 2011)</w:t>
      </w:r>
      <w:r w:rsidR="00BD13C2" w:rsidRPr="002C21B8">
        <w:fldChar w:fldCharType="end"/>
      </w:r>
      <w:r w:rsidR="000A533A" w:rsidRPr="002C21B8">
        <w:t>.</w:t>
      </w:r>
      <w:r w:rsidR="005A7729" w:rsidRPr="002C21B8">
        <w:t xml:space="preserve"> </w:t>
      </w:r>
      <w:r w:rsidRPr="002C21B8">
        <w:t>Th</w:t>
      </w:r>
      <w:r w:rsidR="00072B36" w:rsidRPr="002C21B8">
        <w:t>is understanding is important as these factors</w:t>
      </w:r>
      <w:r w:rsidRPr="002C21B8">
        <w:t xml:space="preserve"> may contribute to variation in prescribing practic</w:t>
      </w:r>
      <w:r w:rsidR="00072B36" w:rsidRPr="002C21B8">
        <w:t>e</w:t>
      </w:r>
      <w:r w:rsidR="00571065" w:rsidRPr="002C21B8">
        <w:t>s</w:t>
      </w:r>
      <w:r w:rsidR="00BD13C2" w:rsidRPr="002C21B8">
        <w:t xml:space="preserve"> </w:t>
      </w:r>
      <w:r w:rsidR="00BD13C2" w:rsidRPr="002C21B8">
        <w:fldChar w:fldCharType="begin"/>
      </w:r>
      <w:r w:rsidR="00BD13C2" w:rsidRPr="002C21B8">
        <w:instrText xml:space="preserve"> ADDIN EN.CITE &lt;EndNote&gt;&lt;Cite&gt;&lt;Author&gt;Eccles&lt;/Author&gt;&lt;Year&gt;2012&lt;/Year&gt;&lt;RecNum&gt;125359&lt;/RecNum&gt;&lt;DisplayText&gt;(Eccles&lt;style face="italic"&gt; et al.&lt;/style&gt;, 2012; Michie, Van Stralen and West, 2011)&lt;/DisplayText&gt;&lt;record&gt;&lt;rec-number&gt;125359&lt;/rec-number&gt;&lt;foreign-keys&gt;&lt;key app="EN" db-id="xpefzwa5hf9dt2ea9fax95x7xvxz90v09dtf" timestamp="1775250435"&gt;125359&lt;/key&gt;&lt;/foreign-keys&gt;&lt;ref-type name="Journal Article"&gt;17&lt;/ref-type&gt;&lt;contributors&gt;&lt;authors&gt;&lt;author&gt;Eccles, Martin P&lt;/author&gt;&lt;author&gt;Grimshaw, Jeremy M&lt;/author&gt;&lt;author&gt;MacLennan, Graeme&lt;/author&gt;&lt;author&gt;Bonetti, Debbie&lt;/author&gt;&lt;author&gt;Glidewell, Liz&lt;/author&gt;&lt;author&gt;Pitts, Nigel B&lt;/author&gt;&lt;author&gt;Steen, Nick&lt;/author&gt;&lt;author&gt;Thomas, Ruth&lt;/author&gt;&lt;author&gt;Walker, Anne&lt;/author&gt;&lt;author&gt;Johnston, Marie&lt;/author&gt;&lt;/authors&gt;&lt;/contributors&gt;&lt;titles&gt;&lt;title&gt;Explaining clinical behaviors using multiple theoretical models&lt;/title&gt;&lt;secondary-title&gt;Implementation Science&lt;/secondary-title&gt;&lt;/titles&gt;&lt;periodical&gt;&lt;full-title&gt;Implementation Science&lt;/full-title&gt;&lt;/periodical&gt;&lt;pages&gt;99&lt;/pages&gt;&lt;volume&gt;7&lt;/volume&gt;&lt;number&gt;1&lt;/number&gt;&lt;dates&gt;&lt;year&gt;2012&lt;/year&gt;&lt;/dates&gt;&lt;isbn&gt;1748-5908&lt;/isbn&gt;&lt;urls&gt;&lt;/urls&gt;&lt;/record&gt;&lt;/Cite&gt;&lt;Cite&gt;&lt;Author&gt;Michie&lt;/Author&gt;&lt;Year&gt;2011&lt;/Year&gt;&lt;RecNum&gt;125547&lt;/RecNum&gt;&lt;record&gt;&lt;rec-number&gt;125547&lt;/rec-number&gt;&lt;foreign-keys&gt;&lt;key app="EN" db-id="xpefzwa5hf9dt2ea9fax95x7xvxz90v09dtf" timestamp="1777621385"&gt;125547&lt;/key&gt;&lt;/foreign-keys&gt;&lt;ref-type name="Journal Article"&gt;17&lt;/ref-type&gt;&lt;contributors&gt;&lt;authors&gt;&lt;author&gt;Michie, Susan&lt;/author&gt;&lt;author&gt;Van Stralen, Maartje M&lt;/author&gt;&lt;author&gt;West, Robert&lt;/author&gt;&lt;/authors&gt;&lt;/contributors&gt;&lt;titles&gt;&lt;title&gt;The behaviour change wheel: a new method for characterising and designing behaviour change interventions&lt;/title&gt;&lt;secondary-title&gt;Implementation Science&lt;/secondary-title&gt;&lt;/titles&gt;&lt;periodical&gt;&lt;full-title&gt;Implementation Science&lt;/full-title&gt;&lt;/periodical&gt;&lt;pages&gt;42&lt;/pages&gt;&lt;volume&gt;6&lt;/volume&gt;&lt;number&gt;1&lt;/number&gt;&lt;dates&gt;&lt;year&gt;2011&lt;/year&gt;&lt;/dates&gt;&lt;isbn&gt;1748-5908&lt;/isbn&gt;&lt;urls&gt;&lt;/urls&gt;&lt;/record&gt;&lt;/Cite&gt;&lt;/EndNote&gt;</w:instrText>
      </w:r>
      <w:r w:rsidR="00BD13C2" w:rsidRPr="002C21B8">
        <w:fldChar w:fldCharType="separate"/>
      </w:r>
      <w:r w:rsidR="00BD13C2" w:rsidRPr="002C21B8">
        <w:rPr>
          <w:noProof/>
        </w:rPr>
        <w:t>(Eccles</w:t>
      </w:r>
      <w:r w:rsidR="00BD13C2" w:rsidRPr="002C21B8">
        <w:rPr>
          <w:i/>
          <w:noProof/>
        </w:rPr>
        <w:t xml:space="preserve"> et al.</w:t>
      </w:r>
      <w:r w:rsidR="00BD13C2" w:rsidRPr="002C21B8">
        <w:rPr>
          <w:noProof/>
        </w:rPr>
        <w:t>, 2012; Michie, Van Stralen and West, 2011)</w:t>
      </w:r>
      <w:r w:rsidR="00BD13C2" w:rsidRPr="002C21B8">
        <w:fldChar w:fldCharType="end"/>
      </w:r>
      <w:r w:rsidRPr="002C21B8">
        <w:t>.</w:t>
      </w:r>
      <w:r w:rsidR="005A7729" w:rsidRPr="002C21B8">
        <w:t xml:space="preserve"> P</w:t>
      </w:r>
      <w:r w:rsidRPr="002C21B8">
        <w:t>revious research has described variation in the prescrib</w:t>
      </w:r>
      <w:r w:rsidR="000526D0" w:rsidRPr="002C21B8">
        <w:t>ing</w:t>
      </w:r>
      <w:r w:rsidRPr="002C21B8">
        <w:t xml:space="preserve"> of </w:t>
      </w:r>
      <w:r w:rsidR="00332941" w:rsidRPr="002C21B8">
        <w:t>medication</w:t>
      </w:r>
      <w:r w:rsidR="005A7729" w:rsidRPr="002C21B8">
        <w:t>s for rare diseases</w:t>
      </w:r>
      <w:r w:rsidR="00072B36" w:rsidRPr="002C21B8">
        <w:t>,</w:t>
      </w:r>
      <w:r w:rsidR="005A7729" w:rsidRPr="002C21B8">
        <w:t xml:space="preserve"> such as </w:t>
      </w:r>
      <w:r w:rsidRPr="002C21B8">
        <w:t xml:space="preserve">tolvaptan </w:t>
      </w:r>
      <w:r w:rsidR="005A7729" w:rsidRPr="002C21B8">
        <w:t xml:space="preserve">for </w:t>
      </w:r>
      <w:r w:rsidRPr="002C21B8">
        <w:t>ADPKD</w:t>
      </w:r>
      <w:r w:rsidR="00072B36" w:rsidRPr="002C21B8">
        <w:t>,</w:t>
      </w:r>
      <w:r w:rsidR="005A7729" w:rsidRPr="002C21B8">
        <w:t xml:space="preserve"> but has given limited </w:t>
      </w:r>
      <w:r w:rsidR="005A7729" w:rsidRPr="002C21B8">
        <w:lastRenderedPageBreak/>
        <w:t>attention to the underlying factors</w:t>
      </w:r>
      <w:r w:rsidR="00072B36" w:rsidRPr="002C21B8">
        <w:t xml:space="preserve"> </w:t>
      </w:r>
      <w:r w:rsidR="00072B36" w:rsidRPr="002C21B8">
        <w:fldChar w:fldCharType="begin"/>
      </w:r>
      <w:r w:rsidR="00072B36" w:rsidRPr="002C21B8">
        <w:instrText xml:space="preserve"> ADDIN EN.CITE &lt;EndNote&gt;&lt;Cite&gt;&lt;Author&gt;Chong&lt;/Author&gt;&lt;Year&gt;2022&lt;/Year&gt;&lt;RecNum&gt;125304&lt;/RecNum&gt;&lt;DisplayText&gt;(Chong, Harris and Ong, 2022; Inoue&lt;style face="italic"&gt; et al.&lt;/style&gt;, 2020)&lt;/DisplayText&gt;&lt;record&gt;&lt;rec-number&gt;125304&lt;/rec-number&gt;&lt;foreign-keys&gt;&lt;key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Cite&gt;&lt;Author&gt;Inoue&lt;/Author&gt;&lt;Year&gt;2020&lt;/Year&gt;&lt;RecNum&gt;125187&lt;/RecNum&gt;&lt;record&gt;&lt;rec-number&gt;125187&lt;/rec-number&gt;&lt;foreign-keys&gt;&lt;key app="EN" db-id="xpefzwa5hf9dt2ea9fax95x7xvxz90v09dtf" timestamp="1769244242"&gt;125187&lt;/key&gt;&lt;/foreign-keys&gt;&lt;ref-type name="Journal Article"&gt;17&lt;/ref-type&gt;&lt;contributors&gt;&lt;authors&gt;&lt;author&gt;Inoue, Reiko&lt;/author&gt;&lt;author&gt;Nishi, Hiroshi&lt;/author&gt;&lt;author&gt;Inoue, Daisuke&lt;/author&gt;&lt;author&gt;Honda, Kenjiro&lt;/author&gt;&lt;author&gt;Nangaku, Masaomi&lt;/author&gt;&lt;/authors&gt;&lt;/contributors&gt;&lt;titles&gt;&lt;title&gt;Regional variance of the early use of tolvaptan for autosomal dominant polycystic kidney disease&lt;/title&gt;&lt;secondary-title&gt;Kidney360&lt;/secondary-title&gt;&lt;/titles&gt;&lt;periodical&gt;&lt;full-title&gt;Kidney360&lt;/full-title&gt;&lt;/periodical&gt;&lt;pages&gt;740-745&lt;/pages&gt;&lt;volume&gt;1&lt;/volume&gt;&lt;number&gt;8&lt;/number&gt;&lt;dates&gt;&lt;year&gt;2020&lt;/year&gt;&lt;/dates&gt;&lt;isbn&gt;2641-7650&lt;/isbn&gt;&lt;urls&gt;&lt;/urls&gt;&lt;/record&gt;&lt;/Cite&gt;&lt;/EndNote&gt;</w:instrText>
      </w:r>
      <w:r w:rsidR="00072B36" w:rsidRPr="002C21B8">
        <w:fldChar w:fldCharType="separate"/>
      </w:r>
      <w:r w:rsidR="00072B36" w:rsidRPr="002C21B8">
        <w:rPr>
          <w:noProof/>
        </w:rPr>
        <w:t>(Chong, Harris and Ong, 2022; Inoue</w:t>
      </w:r>
      <w:r w:rsidR="00072B36" w:rsidRPr="002C21B8">
        <w:rPr>
          <w:i/>
          <w:noProof/>
        </w:rPr>
        <w:t xml:space="preserve"> et al.</w:t>
      </w:r>
      <w:r w:rsidR="00072B36" w:rsidRPr="002C21B8">
        <w:rPr>
          <w:noProof/>
        </w:rPr>
        <w:t>, 2020)</w:t>
      </w:r>
      <w:r w:rsidR="00072B36" w:rsidRPr="002C21B8">
        <w:fldChar w:fldCharType="end"/>
      </w:r>
      <w:r w:rsidR="005A7729" w:rsidRPr="002C21B8">
        <w:t xml:space="preserve">. </w:t>
      </w:r>
      <w:r w:rsidR="009121F7" w:rsidRPr="002C21B8">
        <w:t xml:space="preserve">Thus, there is an evidence gap not only in understanding how tolvaptan is prescribed for ADPKD, but also in </w:t>
      </w:r>
      <w:r w:rsidR="00B934CB" w:rsidRPr="002C21B8">
        <w:t xml:space="preserve">the </w:t>
      </w:r>
      <w:r w:rsidR="00B94B1D" w:rsidRPr="002C21B8">
        <w:t xml:space="preserve">current </w:t>
      </w:r>
      <w:r w:rsidR="009121F7" w:rsidRPr="002C21B8">
        <w:t>understanding</w:t>
      </w:r>
      <w:r w:rsidR="00055DEC" w:rsidRPr="002C21B8">
        <w:t xml:space="preserve"> of</w:t>
      </w:r>
      <w:r w:rsidR="009121F7" w:rsidRPr="002C21B8">
        <w:t xml:space="preserve"> </w:t>
      </w:r>
      <w:r w:rsidR="000526D0" w:rsidRPr="002C21B8">
        <w:t xml:space="preserve">the </w:t>
      </w:r>
      <w:r w:rsidR="009121F7" w:rsidRPr="002C21B8">
        <w:t xml:space="preserve">factors </w:t>
      </w:r>
      <w:r w:rsidR="000526D0" w:rsidRPr="002C21B8">
        <w:t>influencing</w:t>
      </w:r>
      <w:r w:rsidR="009121F7" w:rsidRPr="002C21B8">
        <w:t xml:space="preserve"> prescribing</w:t>
      </w:r>
      <w:r w:rsidR="000202F1" w:rsidRPr="002C21B8">
        <w:t xml:space="preserve"> decisions</w:t>
      </w:r>
      <w:r w:rsidR="009121F7" w:rsidRPr="002C21B8">
        <w:t xml:space="preserve"> for rare diseases in general.</w:t>
      </w:r>
      <w:r w:rsidR="00BD13C2" w:rsidRPr="002C21B8">
        <w:t xml:space="preserve"> </w:t>
      </w:r>
      <w:r w:rsidR="005A7729" w:rsidRPr="002C21B8">
        <w:t>Addressing this gap require</w:t>
      </w:r>
      <w:r w:rsidR="00055DEC" w:rsidRPr="002C21B8">
        <w:t>s</w:t>
      </w:r>
      <w:r w:rsidR="005A7729" w:rsidRPr="002C21B8">
        <w:t xml:space="preserve"> the quantification of variation in tolvaptan prescribing for ADPKD and </w:t>
      </w:r>
      <w:r w:rsidR="00055DEC" w:rsidRPr="002C21B8">
        <w:t xml:space="preserve">an </w:t>
      </w:r>
      <w:r w:rsidR="00BD13C2" w:rsidRPr="002C21B8">
        <w:t xml:space="preserve">improved </w:t>
      </w:r>
      <w:r w:rsidR="005B3F80" w:rsidRPr="002C21B8">
        <w:t xml:space="preserve">understanding </w:t>
      </w:r>
      <w:r w:rsidR="000526D0" w:rsidRPr="002C21B8">
        <w:t xml:space="preserve">of the </w:t>
      </w:r>
      <w:r w:rsidR="00270693" w:rsidRPr="002C21B8">
        <w:t xml:space="preserve">underlying </w:t>
      </w:r>
      <w:r w:rsidR="000202F1" w:rsidRPr="002C21B8">
        <w:t>decision-making process</w:t>
      </w:r>
      <w:r w:rsidR="00270693" w:rsidRPr="002C21B8">
        <w:t>es</w:t>
      </w:r>
      <w:r w:rsidR="000526D0" w:rsidRPr="002C21B8">
        <w:t>.</w:t>
      </w:r>
      <w:r w:rsidR="00B47A91" w:rsidRPr="002C21B8">
        <w:rPr>
          <w:rFonts w:eastAsia="Arial"/>
        </w:rPr>
        <w:br w:type="page"/>
      </w:r>
    </w:p>
    <w:p w14:paraId="04463E03" w14:textId="75ACAC14" w:rsidR="00B43F98" w:rsidRPr="002C21B8" w:rsidRDefault="00B43F98" w:rsidP="00581663">
      <w:pPr>
        <w:pStyle w:val="Heading2"/>
      </w:pPr>
      <w:bookmarkStart w:id="49" w:name="_Toc229687207"/>
      <w:r w:rsidRPr="002C21B8">
        <w:lastRenderedPageBreak/>
        <w:t xml:space="preserve">Chapter </w:t>
      </w:r>
      <w:r w:rsidR="002E1084" w:rsidRPr="002C21B8">
        <w:t>s</w:t>
      </w:r>
      <w:r w:rsidRPr="002C21B8">
        <w:t>ummary</w:t>
      </w:r>
      <w:bookmarkEnd w:id="49"/>
    </w:p>
    <w:p w14:paraId="24D4F0D4" w14:textId="479622FE" w:rsidR="00186B5E" w:rsidRPr="002C21B8" w:rsidRDefault="00B43F98" w:rsidP="00380396">
      <w:pPr>
        <w:pStyle w:val="ListParagraph"/>
        <w:numPr>
          <w:ilvl w:val="0"/>
          <w:numId w:val="3"/>
        </w:numPr>
        <w:ind w:left="851"/>
        <w:rPr>
          <w:rFonts w:eastAsia="Arial"/>
        </w:rPr>
      </w:pPr>
      <w:r w:rsidRPr="002C21B8">
        <w:rPr>
          <w:rFonts w:eastAsia="Arial"/>
        </w:rPr>
        <w:t xml:space="preserve">This chapter has </w:t>
      </w:r>
      <w:r w:rsidR="00186B5E" w:rsidRPr="002C21B8">
        <w:rPr>
          <w:rFonts w:eastAsia="Arial"/>
        </w:rPr>
        <w:t>set out the conceptual and contextual foundations for examining prescribing decision</w:t>
      </w:r>
      <w:r w:rsidR="00AB4C0D" w:rsidRPr="002C21B8">
        <w:rPr>
          <w:rFonts w:eastAsia="Arial"/>
        </w:rPr>
        <w:t>-making</w:t>
      </w:r>
      <w:r w:rsidR="00186B5E" w:rsidRPr="002C21B8">
        <w:rPr>
          <w:rFonts w:eastAsia="Arial"/>
        </w:rPr>
        <w:t xml:space="preserve"> in rare diseases</w:t>
      </w:r>
      <w:r w:rsidR="00AB4C0D" w:rsidRPr="002C21B8">
        <w:rPr>
          <w:rFonts w:eastAsia="Arial"/>
        </w:rPr>
        <w:t xml:space="preserve"> and positions </w:t>
      </w:r>
      <w:r w:rsidR="00186B5E" w:rsidRPr="002C21B8">
        <w:rPr>
          <w:rFonts w:eastAsia="Arial"/>
        </w:rPr>
        <w:t xml:space="preserve">ADPKD </w:t>
      </w:r>
      <w:r w:rsidR="00AB4C0D" w:rsidRPr="002C21B8">
        <w:rPr>
          <w:rFonts w:eastAsia="Arial"/>
        </w:rPr>
        <w:t>as a suitable case.</w:t>
      </w:r>
    </w:p>
    <w:p w14:paraId="47DF782B" w14:textId="233368D8" w:rsidR="00186B5E" w:rsidRPr="002C21B8" w:rsidRDefault="00186B5E" w:rsidP="00AB4C0D">
      <w:pPr>
        <w:pStyle w:val="ListParagraph"/>
        <w:numPr>
          <w:ilvl w:val="0"/>
          <w:numId w:val="3"/>
        </w:numPr>
        <w:ind w:left="851"/>
        <w:rPr>
          <w:rFonts w:eastAsia="Arial"/>
        </w:rPr>
      </w:pPr>
      <w:r w:rsidRPr="002C21B8">
        <w:rPr>
          <w:rFonts w:eastAsia="Arial"/>
        </w:rPr>
        <w:t xml:space="preserve">Rare diseases are a </w:t>
      </w:r>
      <w:r w:rsidR="00B47A91" w:rsidRPr="002C21B8">
        <w:rPr>
          <w:rFonts w:eastAsia="Arial"/>
        </w:rPr>
        <w:t>diverse</w:t>
      </w:r>
      <w:r w:rsidRPr="002C21B8">
        <w:rPr>
          <w:rFonts w:eastAsia="Arial"/>
        </w:rPr>
        <w:t xml:space="preserve"> group of conditions characterised by their low</w:t>
      </w:r>
      <w:r w:rsidR="00B47A91" w:rsidRPr="002C21B8">
        <w:rPr>
          <w:rFonts w:eastAsia="Arial"/>
        </w:rPr>
        <w:t xml:space="preserve"> </w:t>
      </w:r>
      <w:r w:rsidRPr="002C21B8">
        <w:rPr>
          <w:rFonts w:eastAsia="Arial"/>
        </w:rPr>
        <w:t>prevalence</w:t>
      </w:r>
      <w:r w:rsidR="00B47A91" w:rsidRPr="002C21B8">
        <w:rPr>
          <w:rFonts w:eastAsia="Arial"/>
        </w:rPr>
        <w:t>.</w:t>
      </w:r>
      <w:r w:rsidR="00F23B47" w:rsidRPr="002C21B8">
        <w:rPr>
          <w:rFonts w:eastAsia="Arial"/>
        </w:rPr>
        <w:t xml:space="preserve"> </w:t>
      </w:r>
      <w:r w:rsidR="00AB4C0D" w:rsidRPr="002C21B8">
        <w:rPr>
          <w:rFonts w:eastAsia="Arial"/>
        </w:rPr>
        <w:t>They often</w:t>
      </w:r>
      <w:r w:rsidRPr="002C21B8">
        <w:rPr>
          <w:rFonts w:eastAsia="Arial"/>
        </w:rPr>
        <w:t xml:space="preserve"> share challenges </w:t>
      </w:r>
      <w:r w:rsidR="00AB4C0D" w:rsidRPr="002C21B8">
        <w:rPr>
          <w:rFonts w:eastAsia="Arial"/>
        </w:rPr>
        <w:t xml:space="preserve">including </w:t>
      </w:r>
      <w:r w:rsidRPr="002C21B8">
        <w:rPr>
          <w:rFonts w:eastAsia="Arial"/>
        </w:rPr>
        <w:t xml:space="preserve">diagnostic uncertainty, disease heterogeneity </w:t>
      </w:r>
      <w:r w:rsidR="00AB4C0D" w:rsidRPr="002C21B8">
        <w:rPr>
          <w:rFonts w:eastAsia="Arial"/>
        </w:rPr>
        <w:t xml:space="preserve">and </w:t>
      </w:r>
      <w:r w:rsidRPr="002C21B8">
        <w:rPr>
          <w:rFonts w:eastAsia="Arial"/>
        </w:rPr>
        <w:t>limited evidence</w:t>
      </w:r>
      <w:r w:rsidR="00AB4C0D" w:rsidRPr="002C21B8">
        <w:rPr>
          <w:rFonts w:eastAsia="Arial"/>
        </w:rPr>
        <w:t xml:space="preserve"> bases</w:t>
      </w:r>
      <w:r w:rsidR="00F23B47" w:rsidRPr="002C21B8">
        <w:rPr>
          <w:rFonts w:eastAsia="Arial"/>
        </w:rPr>
        <w:t>. Th</w:t>
      </w:r>
      <w:r w:rsidR="00795B37" w:rsidRPr="002C21B8">
        <w:rPr>
          <w:rFonts w:eastAsia="Arial"/>
        </w:rPr>
        <w:t>ese factors can contribute to variation in clinical management and decision-making in practice.</w:t>
      </w:r>
    </w:p>
    <w:p w14:paraId="6645DE41" w14:textId="287CA6FD" w:rsidR="00233B81" w:rsidRPr="002C21B8" w:rsidRDefault="00233B81" w:rsidP="005350AF">
      <w:pPr>
        <w:pStyle w:val="ListParagraph"/>
        <w:numPr>
          <w:ilvl w:val="0"/>
          <w:numId w:val="3"/>
        </w:numPr>
        <w:ind w:left="851"/>
        <w:rPr>
          <w:rFonts w:eastAsia="Arial"/>
        </w:rPr>
      </w:pPr>
      <w:r w:rsidRPr="002C21B8">
        <w:rPr>
          <w:rFonts w:eastAsia="Arial"/>
        </w:rPr>
        <w:t>Prescribing is a complex multi-stage process that is highly context-dependent and shaped by many interacting patient, clinician, organisational and system-level influences</w:t>
      </w:r>
      <w:r w:rsidR="00B47A91" w:rsidRPr="002C21B8">
        <w:rPr>
          <w:rFonts w:eastAsia="Arial"/>
        </w:rPr>
        <w:t>.</w:t>
      </w:r>
      <w:r w:rsidR="005350AF" w:rsidRPr="002C21B8">
        <w:rPr>
          <w:rFonts w:eastAsia="Arial"/>
        </w:rPr>
        <w:t xml:space="preserve"> </w:t>
      </w:r>
      <w:r w:rsidRPr="002C21B8">
        <w:rPr>
          <w:rFonts w:eastAsia="Arial"/>
        </w:rPr>
        <w:t>Variation in prescribing is common in clinical practice</w:t>
      </w:r>
      <w:r w:rsidR="009946C0" w:rsidRPr="002C21B8">
        <w:rPr>
          <w:rFonts w:eastAsia="Arial"/>
        </w:rPr>
        <w:t>,</w:t>
      </w:r>
      <w:r w:rsidRPr="002C21B8">
        <w:rPr>
          <w:rFonts w:eastAsia="Arial"/>
        </w:rPr>
        <w:t xml:space="preserve"> especially in contexts with high levels of uncertainty or complexity, such as rare diseases</w:t>
      </w:r>
      <w:r w:rsidR="00B47A91" w:rsidRPr="002C21B8">
        <w:rPr>
          <w:rFonts w:eastAsia="Arial"/>
        </w:rPr>
        <w:t>.</w:t>
      </w:r>
    </w:p>
    <w:p w14:paraId="1793350D" w14:textId="6BFFBF6B" w:rsidR="00233B81" w:rsidRPr="002C21B8" w:rsidRDefault="00233B81" w:rsidP="00380396">
      <w:pPr>
        <w:pStyle w:val="ListParagraph"/>
        <w:numPr>
          <w:ilvl w:val="0"/>
          <w:numId w:val="3"/>
        </w:numPr>
        <w:ind w:left="851"/>
        <w:rPr>
          <w:rFonts w:eastAsia="Arial"/>
        </w:rPr>
      </w:pPr>
      <w:r w:rsidRPr="002C21B8">
        <w:rPr>
          <w:rFonts w:eastAsia="Arial"/>
        </w:rPr>
        <w:t>Existing conceptual models of prescribing have largely been developed in acute care settings</w:t>
      </w:r>
      <w:r w:rsidR="00161943" w:rsidRPr="002C21B8">
        <w:rPr>
          <w:rFonts w:eastAsia="Arial"/>
        </w:rPr>
        <w:t>,</w:t>
      </w:r>
      <w:r w:rsidRPr="002C21B8">
        <w:rPr>
          <w:rFonts w:eastAsia="Arial"/>
        </w:rPr>
        <w:t xml:space="preserve"> so </w:t>
      </w:r>
      <w:r w:rsidR="00161943" w:rsidRPr="002C21B8">
        <w:rPr>
          <w:rFonts w:eastAsia="Arial"/>
        </w:rPr>
        <w:t xml:space="preserve">they </w:t>
      </w:r>
      <w:r w:rsidRPr="002C21B8">
        <w:rPr>
          <w:rFonts w:eastAsia="Arial"/>
        </w:rPr>
        <w:t>may not fully explain the complexity of decision-making in chronic conditions or rare diseases</w:t>
      </w:r>
      <w:r w:rsidR="00B47A91" w:rsidRPr="002C21B8">
        <w:rPr>
          <w:rFonts w:eastAsia="Arial"/>
        </w:rPr>
        <w:t>.</w:t>
      </w:r>
    </w:p>
    <w:p w14:paraId="168206EF" w14:textId="457539FF" w:rsidR="0050435D" w:rsidRPr="002C21B8" w:rsidRDefault="0050435D" w:rsidP="005350AF">
      <w:pPr>
        <w:pStyle w:val="ListParagraph"/>
        <w:numPr>
          <w:ilvl w:val="0"/>
          <w:numId w:val="3"/>
        </w:numPr>
        <w:ind w:left="851"/>
      </w:pPr>
      <w:r w:rsidRPr="002C21B8">
        <w:rPr>
          <w:rFonts w:eastAsia="Arial"/>
        </w:rPr>
        <w:t xml:space="preserve">ADPKD is a </w:t>
      </w:r>
      <w:r w:rsidR="005350AF" w:rsidRPr="002C21B8">
        <w:rPr>
          <w:rFonts w:eastAsia="Arial"/>
        </w:rPr>
        <w:t xml:space="preserve">relatively </w:t>
      </w:r>
      <w:r w:rsidRPr="002C21B8">
        <w:rPr>
          <w:rFonts w:eastAsia="Arial"/>
        </w:rPr>
        <w:t>common rare disease associated with significant clinical and psychosocial consequences</w:t>
      </w:r>
      <w:r w:rsidR="00B47A91" w:rsidRPr="002C21B8">
        <w:rPr>
          <w:rFonts w:eastAsia="Arial"/>
        </w:rPr>
        <w:t>.</w:t>
      </w:r>
      <w:r w:rsidR="005350AF" w:rsidRPr="002C21B8">
        <w:rPr>
          <w:rFonts w:eastAsia="Arial"/>
        </w:rPr>
        <w:t xml:space="preserve"> </w:t>
      </w:r>
      <w:r w:rsidRPr="002C21B8">
        <w:rPr>
          <w:rFonts w:eastAsia="Arial"/>
        </w:rPr>
        <w:t>Tolvaptan is the sole disease-modifying therapy available for people with ADPKD to slow the growth of kidney cysts and kidney disease progression</w:t>
      </w:r>
      <w:r w:rsidR="00055ADF" w:rsidRPr="002C21B8">
        <w:rPr>
          <w:rFonts w:eastAsia="Arial"/>
        </w:rPr>
        <w:t>. Guidelines are available to support clinical decision-making</w:t>
      </w:r>
      <w:r w:rsidRPr="002C21B8">
        <w:rPr>
          <w:rFonts w:eastAsia="Arial"/>
        </w:rPr>
        <w:t xml:space="preserve"> but </w:t>
      </w:r>
      <w:r w:rsidR="00055ADF" w:rsidRPr="002C21B8">
        <w:rPr>
          <w:rFonts w:eastAsia="Arial"/>
        </w:rPr>
        <w:t xml:space="preserve">existing research </w:t>
      </w:r>
      <w:r w:rsidRPr="002C21B8">
        <w:rPr>
          <w:rFonts w:eastAsia="Arial"/>
        </w:rPr>
        <w:t>suggest</w:t>
      </w:r>
      <w:r w:rsidR="00055ADF" w:rsidRPr="002C21B8">
        <w:rPr>
          <w:rFonts w:eastAsia="Arial"/>
        </w:rPr>
        <w:t xml:space="preserve">s there </w:t>
      </w:r>
      <w:r w:rsidR="00571065" w:rsidRPr="002C21B8">
        <w:rPr>
          <w:rFonts w:eastAsia="Arial"/>
        </w:rPr>
        <w:t xml:space="preserve">may be </w:t>
      </w:r>
      <w:r w:rsidRPr="002C21B8">
        <w:rPr>
          <w:rFonts w:eastAsia="Arial"/>
        </w:rPr>
        <w:t xml:space="preserve">variation in </w:t>
      </w:r>
      <w:r w:rsidR="00055ADF" w:rsidRPr="002C21B8">
        <w:rPr>
          <w:rFonts w:eastAsia="Arial"/>
        </w:rPr>
        <w:t xml:space="preserve">prescribing </w:t>
      </w:r>
      <w:r w:rsidR="00552827" w:rsidRPr="002C21B8">
        <w:rPr>
          <w:rFonts w:eastAsia="Arial"/>
        </w:rPr>
        <w:t>practices</w:t>
      </w:r>
      <w:r w:rsidR="00B47A91" w:rsidRPr="002C21B8">
        <w:rPr>
          <w:rFonts w:eastAsia="Arial"/>
        </w:rPr>
        <w:t>.</w:t>
      </w:r>
    </w:p>
    <w:p w14:paraId="637580EC" w14:textId="77777777" w:rsidR="00B43F98" w:rsidRPr="002C21B8" w:rsidRDefault="005350AF" w:rsidP="005350AF">
      <w:pPr>
        <w:pStyle w:val="ListParagraph"/>
        <w:numPr>
          <w:ilvl w:val="0"/>
          <w:numId w:val="3"/>
        </w:numPr>
        <w:ind w:left="851"/>
      </w:pPr>
      <w:r w:rsidRPr="002C21B8">
        <w:rPr>
          <w:rFonts w:eastAsia="Arial"/>
        </w:rPr>
        <w:t xml:space="preserve">Overall, </w:t>
      </w:r>
      <w:r w:rsidR="00233B81" w:rsidRPr="002C21B8">
        <w:rPr>
          <w:rFonts w:eastAsia="Arial"/>
        </w:rPr>
        <w:t xml:space="preserve">ADPKD </w:t>
      </w:r>
      <w:r w:rsidRPr="002C21B8">
        <w:rPr>
          <w:rFonts w:eastAsia="Arial"/>
        </w:rPr>
        <w:t xml:space="preserve">provides a suitable case for examining </w:t>
      </w:r>
      <w:r w:rsidR="00233B81" w:rsidRPr="002C21B8">
        <w:rPr>
          <w:rFonts w:eastAsia="Arial"/>
        </w:rPr>
        <w:t xml:space="preserve">variation in prescribing and </w:t>
      </w:r>
      <w:r w:rsidRPr="002C21B8">
        <w:rPr>
          <w:rFonts w:eastAsia="Arial"/>
        </w:rPr>
        <w:t xml:space="preserve">the </w:t>
      </w:r>
      <w:r w:rsidR="00233B81" w:rsidRPr="002C21B8">
        <w:rPr>
          <w:rFonts w:eastAsia="Arial"/>
        </w:rPr>
        <w:t>mechanisms</w:t>
      </w:r>
      <w:r w:rsidRPr="002C21B8">
        <w:rPr>
          <w:rFonts w:eastAsia="Arial"/>
        </w:rPr>
        <w:t xml:space="preserve"> underlying decision-making in rare disease contexts</w:t>
      </w:r>
      <w:r w:rsidR="00B47A91" w:rsidRPr="002C21B8">
        <w:rPr>
          <w:rFonts w:eastAsia="Arial"/>
        </w:rPr>
        <w:t>.</w:t>
      </w:r>
    </w:p>
    <w:p w14:paraId="3BBA97AF" w14:textId="77777777" w:rsidR="00FD5B53" w:rsidRPr="002C21B8" w:rsidRDefault="00FD5B53" w:rsidP="00FD5B53">
      <w:pPr>
        <w:sectPr w:rsidR="00FD5B53" w:rsidRPr="002C21B8" w:rsidSect="00A36C29">
          <w:pgSz w:w="11906" w:h="16838"/>
          <w:pgMar w:top="1440" w:right="1440" w:bottom="1440" w:left="1440" w:header="708" w:footer="708" w:gutter="0"/>
          <w:cols w:space="708"/>
          <w:docGrid w:linePitch="360"/>
        </w:sectPr>
      </w:pPr>
    </w:p>
    <w:p w14:paraId="58698BC6" w14:textId="64F7F044" w:rsidR="00EC68E1" w:rsidRPr="002C21B8" w:rsidRDefault="00D601A5" w:rsidP="007F1616">
      <w:pPr>
        <w:pStyle w:val="Heading1"/>
      </w:pPr>
      <w:bookmarkStart w:id="50" w:name="_Toc229687208"/>
      <w:r w:rsidRPr="002C21B8">
        <w:lastRenderedPageBreak/>
        <w:t>– Methodology</w:t>
      </w:r>
      <w:bookmarkEnd w:id="50"/>
    </w:p>
    <w:p w14:paraId="642404FE" w14:textId="08B33CAD" w:rsidR="00D601A5" w:rsidRPr="002C21B8" w:rsidRDefault="00D601A5" w:rsidP="00581663">
      <w:pPr>
        <w:pStyle w:val="Heading2"/>
      </w:pPr>
      <w:bookmarkStart w:id="51" w:name="_Toc229687209"/>
      <w:bookmarkStart w:id="52" w:name="_Toc159229811"/>
      <w:r w:rsidRPr="002C21B8">
        <w:t xml:space="preserve">Chapter </w:t>
      </w:r>
      <w:r w:rsidR="00E5373E" w:rsidRPr="002C21B8">
        <w:t>o</w:t>
      </w:r>
      <w:r w:rsidR="00FE02C7" w:rsidRPr="002C21B8">
        <w:t>utline</w:t>
      </w:r>
      <w:bookmarkEnd w:id="51"/>
    </w:p>
    <w:bookmarkEnd w:id="52"/>
    <w:p w14:paraId="512023A6" w14:textId="2F269B15" w:rsidR="00601A38" w:rsidRPr="002C21B8" w:rsidRDefault="00D601A5" w:rsidP="003374F4">
      <w:r w:rsidRPr="002C21B8">
        <w:t>This chapter</w:t>
      </w:r>
      <w:r w:rsidR="00CF338D" w:rsidRPr="002C21B8">
        <w:t xml:space="preserve"> pr</w:t>
      </w:r>
      <w:r w:rsidR="003A7409" w:rsidRPr="002C21B8">
        <w:t>ovides</w:t>
      </w:r>
      <w:r w:rsidR="00CF338D" w:rsidRPr="002C21B8">
        <w:t xml:space="preserve"> an overview of the </w:t>
      </w:r>
      <w:r w:rsidR="00D94825" w:rsidRPr="002C21B8">
        <w:t xml:space="preserve">methodology </w:t>
      </w:r>
      <w:r w:rsidR="00CF338D" w:rsidRPr="002C21B8">
        <w:t>used</w:t>
      </w:r>
      <w:r w:rsidR="00651743" w:rsidRPr="002C21B8">
        <w:t xml:space="preserve"> in this programme of research</w:t>
      </w:r>
      <w:r w:rsidR="00CF338D" w:rsidRPr="002C21B8">
        <w:t>. The chapter starts with</w:t>
      </w:r>
      <w:r w:rsidR="00601A38" w:rsidRPr="002C21B8">
        <w:t xml:space="preserve"> the research question, aims and objectives. It is followed by</w:t>
      </w:r>
      <w:r w:rsidR="00CF338D" w:rsidRPr="002C21B8">
        <w:t xml:space="preserve"> a discussion of the research paradigm inform</w:t>
      </w:r>
      <w:r w:rsidR="00601A38" w:rsidRPr="002C21B8">
        <w:t>ing</w:t>
      </w:r>
      <w:r w:rsidR="00CF338D" w:rsidRPr="002C21B8">
        <w:t xml:space="preserve"> this research</w:t>
      </w:r>
      <w:r w:rsidR="00A80F5B" w:rsidRPr="002C21B8">
        <w:t xml:space="preserve"> and a rationale for adopting a mixed methods design. </w:t>
      </w:r>
      <w:r w:rsidR="00CF338D" w:rsidRPr="002C21B8">
        <w:t xml:space="preserve">The </w:t>
      </w:r>
      <w:r w:rsidR="00D94825" w:rsidRPr="002C21B8">
        <w:t xml:space="preserve">methodology for each </w:t>
      </w:r>
      <w:r w:rsidR="00E6632B" w:rsidRPr="002C21B8">
        <w:t xml:space="preserve">phase </w:t>
      </w:r>
      <w:r w:rsidR="00D94825" w:rsidRPr="002C21B8">
        <w:t xml:space="preserve">are </w:t>
      </w:r>
      <w:r w:rsidR="00CF338D" w:rsidRPr="002C21B8">
        <w:t>then presented sequentially</w:t>
      </w:r>
      <w:r w:rsidR="00AC75B3" w:rsidRPr="002C21B8">
        <w:t xml:space="preserve">. The methods used in each of the </w:t>
      </w:r>
      <w:r w:rsidR="00382312" w:rsidRPr="002C21B8">
        <w:t>phases</w:t>
      </w:r>
      <w:r w:rsidR="00AC75B3" w:rsidRPr="002C21B8">
        <w:t xml:space="preserve"> can be found in the individual </w:t>
      </w:r>
      <w:r w:rsidR="00760485" w:rsidRPr="002C21B8">
        <w:t>journal article</w:t>
      </w:r>
      <w:r w:rsidR="00AC75B3" w:rsidRPr="002C21B8">
        <w:t xml:space="preserve">s (Chapters </w:t>
      </w:r>
      <w:r w:rsidR="00071075" w:rsidRPr="002C21B8">
        <w:t>4</w:t>
      </w:r>
      <w:r w:rsidR="00AC75B3" w:rsidRPr="002C21B8">
        <w:t>-8)</w:t>
      </w:r>
      <w:r w:rsidR="00071075" w:rsidRPr="002C21B8">
        <w:t>.</w:t>
      </w:r>
      <w:r w:rsidR="00AC75B3" w:rsidRPr="002C21B8">
        <w:t xml:space="preserve"> </w:t>
      </w:r>
      <w:r w:rsidR="00601A38" w:rsidRPr="002C21B8">
        <w:t xml:space="preserve">Given the word count limitations of </w:t>
      </w:r>
      <w:r w:rsidR="00840B10" w:rsidRPr="002C21B8">
        <w:t xml:space="preserve">the </w:t>
      </w:r>
      <w:r w:rsidR="00071075" w:rsidRPr="002C21B8">
        <w:t>journal articles</w:t>
      </w:r>
      <w:r w:rsidR="00601A38" w:rsidRPr="002C21B8">
        <w:t xml:space="preserve"> prepared for publication, additional details in the methods can be found in the associated appendices. Ethic</w:t>
      </w:r>
      <w:r w:rsidR="00D24456" w:rsidRPr="002C21B8">
        <w:t>al considerations</w:t>
      </w:r>
      <w:r w:rsidR="00601A38" w:rsidRPr="002C21B8">
        <w:t xml:space="preserve"> and patient and public involvement (PPI) are included at the end of the chapter.</w:t>
      </w:r>
    </w:p>
    <w:p w14:paraId="20F019D4" w14:textId="1EE5558A" w:rsidR="00C9704C" w:rsidRPr="002C21B8" w:rsidRDefault="00C9704C" w:rsidP="00581663">
      <w:pPr>
        <w:pStyle w:val="Heading2"/>
      </w:pPr>
      <w:bookmarkStart w:id="53" w:name="_Toc229687210"/>
      <w:r w:rsidRPr="002C21B8">
        <w:t>Research question, aims and objectives</w:t>
      </w:r>
      <w:bookmarkEnd w:id="53"/>
    </w:p>
    <w:p w14:paraId="19C27AB2" w14:textId="77777777" w:rsidR="00C9704C" w:rsidRPr="002C21B8" w:rsidRDefault="00C9704C" w:rsidP="00C9704C">
      <w:r w:rsidRPr="002C21B8">
        <w:t>The primary research question was:</w:t>
      </w:r>
    </w:p>
    <w:p w14:paraId="54E9C339" w14:textId="2B801469" w:rsidR="00C9704C" w:rsidRPr="002C21B8" w:rsidRDefault="00C9704C" w:rsidP="00C9704C">
      <w:pPr>
        <w:ind w:left="720"/>
      </w:pPr>
      <w:r w:rsidRPr="002C21B8">
        <w:t xml:space="preserve">“Is there variation in the prescribing of tolvaptan for adults with ADPKD across UK kidney centres and what </w:t>
      </w:r>
      <w:r w:rsidR="001275D1" w:rsidRPr="002C21B8">
        <w:t>factors</w:t>
      </w:r>
      <w:r w:rsidRPr="002C21B8">
        <w:t xml:space="preserve"> explain any observed variation?”</w:t>
      </w:r>
    </w:p>
    <w:p w14:paraId="5D684E36" w14:textId="3A8ED466" w:rsidR="00C9704C" w:rsidRPr="002C21B8" w:rsidRDefault="00C9704C" w:rsidP="00C9704C">
      <w:r w:rsidRPr="002C21B8">
        <w:t>The aim</w:t>
      </w:r>
      <w:r w:rsidR="00F34D56" w:rsidRPr="002C21B8">
        <w:t>s</w:t>
      </w:r>
      <w:r w:rsidRPr="002C21B8">
        <w:t xml:space="preserve"> of this thesis w</w:t>
      </w:r>
      <w:r w:rsidR="00F34D56" w:rsidRPr="002C21B8">
        <w:t>ere</w:t>
      </w:r>
      <w:r w:rsidRPr="002C21B8">
        <w:t xml:space="preserve"> to examine variation in tolvaptan prescribing across UK kidney centres and to develop an explanatory account of the </w:t>
      </w:r>
      <w:r w:rsidR="00D94825" w:rsidRPr="002C21B8">
        <w:t xml:space="preserve">factors </w:t>
      </w:r>
      <w:r w:rsidRPr="002C21B8">
        <w:t>shaping this variation.</w:t>
      </w:r>
    </w:p>
    <w:p w14:paraId="13075BA0" w14:textId="29FD1FDC" w:rsidR="001275D1" w:rsidRPr="002C21B8" w:rsidRDefault="00C9704C" w:rsidP="001275D1">
      <w:r w:rsidRPr="002C21B8">
        <w:t>The f</w:t>
      </w:r>
      <w:r w:rsidR="00A366A3" w:rsidRPr="002C21B8">
        <w:t>ive</w:t>
      </w:r>
      <w:r w:rsidRPr="002C21B8">
        <w:t xml:space="preserve"> objectives were:</w:t>
      </w:r>
    </w:p>
    <w:p w14:paraId="13532B50" w14:textId="483F133D" w:rsidR="001275D1" w:rsidRPr="002C21B8" w:rsidRDefault="00D94825" w:rsidP="00A97F07">
      <w:pPr>
        <w:pStyle w:val="ListParagraph"/>
        <w:numPr>
          <w:ilvl w:val="0"/>
          <w:numId w:val="62"/>
        </w:numPr>
        <w:spacing w:after="120"/>
      </w:pPr>
      <w:r w:rsidRPr="002C21B8">
        <w:t xml:space="preserve">To develop a conceptual model of prescribing </w:t>
      </w:r>
      <w:r w:rsidR="00DE45A2" w:rsidRPr="002C21B8">
        <w:t>decision-making in</w:t>
      </w:r>
      <w:r w:rsidRPr="002C21B8">
        <w:t xml:space="preserve"> chroni</w:t>
      </w:r>
      <w:r w:rsidR="00717D3C" w:rsidRPr="002C21B8">
        <w:t>c condition</w:t>
      </w:r>
      <w:r w:rsidRPr="002C21B8">
        <w:t>s</w:t>
      </w:r>
    </w:p>
    <w:p w14:paraId="4FC55B2D" w14:textId="5EA08C76" w:rsidR="001275D1" w:rsidRPr="002C21B8" w:rsidRDefault="00C9704C" w:rsidP="00A97F07">
      <w:pPr>
        <w:pStyle w:val="ListParagraph"/>
        <w:numPr>
          <w:ilvl w:val="0"/>
          <w:numId w:val="62"/>
        </w:numPr>
        <w:spacing w:after="120"/>
      </w:pPr>
      <w:r w:rsidRPr="002C21B8">
        <w:rPr>
          <w:rFonts w:eastAsia="Arial"/>
        </w:rPr>
        <w:t xml:space="preserve">To quantify current variation in tolvaptan prescribing practices </w:t>
      </w:r>
      <w:r w:rsidR="00D94825" w:rsidRPr="002C21B8">
        <w:rPr>
          <w:rFonts w:eastAsia="Arial"/>
        </w:rPr>
        <w:t xml:space="preserve">between </w:t>
      </w:r>
      <w:r w:rsidRPr="002C21B8">
        <w:rPr>
          <w:rFonts w:eastAsia="Arial"/>
        </w:rPr>
        <w:t xml:space="preserve">UK kidney centres when compared to guidance from </w:t>
      </w:r>
      <w:r w:rsidR="00156E14" w:rsidRPr="002C21B8">
        <w:rPr>
          <w:rFonts w:eastAsia="Arial"/>
        </w:rPr>
        <w:t xml:space="preserve">the </w:t>
      </w:r>
      <w:r w:rsidRPr="002C21B8">
        <w:rPr>
          <w:rFonts w:eastAsia="Arial"/>
        </w:rPr>
        <w:t>National Institute for</w:t>
      </w:r>
      <w:r w:rsidR="00146DC9" w:rsidRPr="002C21B8">
        <w:rPr>
          <w:rFonts w:eastAsia="Arial"/>
        </w:rPr>
        <w:t xml:space="preserve"> Health and</w:t>
      </w:r>
      <w:r w:rsidRPr="002C21B8">
        <w:rPr>
          <w:rFonts w:eastAsia="Arial"/>
        </w:rPr>
        <w:t xml:space="preserve"> Care Excellence (NICE) and the Renal Association (RA)</w:t>
      </w:r>
    </w:p>
    <w:p w14:paraId="40FFC663" w14:textId="553E3B08" w:rsidR="001275D1" w:rsidRPr="002C21B8" w:rsidRDefault="00C9704C" w:rsidP="00A97F07">
      <w:pPr>
        <w:pStyle w:val="ListParagraph"/>
        <w:numPr>
          <w:ilvl w:val="0"/>
          <w:numId w:val="62"/>
        </w:numPr>
        <w:spacing w:after="120"/>
      </w:pPr>
      <w:r w:rsidRPr="002C21B8">
        <w:t xml:space="preserve">To </w:t>
      </w:r>
      <w:r w:rsidR="00D94825" w:rsidRPr="002C21B8">
        <w:t xml:space="preserve">identify variation between kidney centres in the implementation of </w:t>
      </w:r>
      <w:r w:rsidRPr="002C21B8">
        <w:t>tolvaptan care pathways</w:t>
      </w:r>
    </w:p>
    <w:p w14:paraId="2949D221" w14:textId="77A750AD" w:rsidR="001275D1" w:rsidRPr="002C21B8" w:rsidRDefault="00C9704C" w:rsidP="00A97F07">
      <w:pPr>
        <w:pStyle w:val="ListParagraph"/>
        <w:numPr>
          <w:ilvl w:val="0"/>
          <w:numId w:val="62"/>
        </w:numPr>
        <w:spacing w:after="120"/>
      </w:pPr>
      <w:r w:rsidRPr="002C21B8">
        <w:rPr>
          <w:rFonts w:eastAsia="Arial"/>
        </w:rPr>
        <w:t xml:space="preserve">To </w:t>
      </w:r>
      <w:r w:rsidR="00D94825" w:rsidRPr="002C21B8">
        <w:rPr>
          <w:rFonts w:eastAsia="Arial"/>
        </w:rPr>
        <w:t xml:space="preserve">identify </w:t>
      </w:r>
      <w:r w:rsidRPr="002C21B8">
        <w:rPr>
          <w:rFonts w:eastAsia="Arial"/>
        </w:rPr>
        <w:t>the factors influencing healthcare professionals’ decisions to initiate tolvaptan at kidney centres</w:t>
      </w:r>
    </w:p>
    <w:p w14:paraId="0092D6F9" w14:textId="22E193BA" w:rsidR="00C9704C" w:rsidRPr="002C21B8" w:rsidRDefault="00C9704C" w:rsidP="00A97F07">
      <w:pPr>
        <w:pStyle w:val="ListParagraph"/>
        <w:numPr>
          <w:ilvl w:val="0"/>
          <w:numId w:val="62"/>
        </w:numPr>
        <w:spacing w:after="120"/>
      </w:pPr>
      <w:r w:rsidRPr="002C21B8">
        <w:rPr>
          <w:rFonts w:eastAsia="Arial"/>
        </w:rPr>
        <w:t xml:space="preserve">To develop a conceptual model </w:t>
      </w:r>
      <w:r w:rsidR="008B7886" w:rsidRPr="002C21B8">
        <w:rPr>
          <w:rFonts w:eastAsia="Arial"/>
        </w:rPr>
        <w:t xml:space="preserve">of </w:t>
      </w:r>
      <w:r w:rsidRPr="002C21B8">
        <w:rPr>
          <w:rFonts w:eastAsia="Arial"/>
        </w:rPr>
        <w:t xml:space="preserve">prescribing decision-making </w:t>
      </w:r>
      <w:r w:rsidR="008B7886" w:rsidRPr="002C21B8">
        <w:rPr>
          <w:rFonts w:eastAsia="Arial"/>
        </w:rPr>
        <w:t>in</w:t>
      </w:r>
      <w:r w:rsidRPr="002C21B8">
        <w:rPr>
          <w:rFonts w:eastAsia="Arial"/>
        </w:rPr>
        <w:t xml:space="preserve"> rare disease</w:t>
      </w:r>
      <w:r w:rsidR="00AA2CD9" w:rsidRPr="002C21B8">
        <w:rPr>
          <w:rFonts w:eastAsia="Arial"/>
        </w:rPr>
        <w:t>s</w:t>
      </w:r>
    </w:p>
    <w:p w14:paraId="7B5F7039" w14:textId="77777777" w:rsidR="00322406" w:rsidRPr="002C21B8" w:rsidRDefault="00322406" w:rsidP="00581663">
      <w:pPr>
        <w:pStyle w:val="Heading2"/>
      </w:pPr>
      <w:bookmarkStart w:id="54" w:name="_Toc229687211"/>
      <w:r w:rsidRPr="002C21B8">
        <w:lastRenderedPageBreak/>
        <w:t>Methodology</w:t>
      </w:r>
      <w:bookmarkEnd w:id="54"/>
    </w:p>
    <w:p w14:paraId="38B55B8E" w14:textId="23227140" w:rsidR="00322406" w:rsidRPr="002C21B8" w:rsidRDefault="00322406" w:rsidP="004507C8">
      <w:pPr>
        <w:pStyle w:val="Heading3"/>
      </w:pPr>
      <w:r w:rsidRPr="002C21B8">
        <w:t>Research paradigm</w:t>
      </w:r>
    </w:p>
    <w:p w14:paraId="29E987C1" w14:textId="48E16363" w:rsidR="00EC38EC" w:rsidRPr="002C21B8" w:rsidRDefault="00566C1C" w:rsidP="00322406">
      <w:r w:rsidRPr="002C21B8">
        <w:t xml:space="preserve">Research questions </w:t>
      </w:r>
      <w:r w:rsidR="00EC38EC" w:rsidRPr="002C21B8">
        <w:t xml:space="preserve">and the methods used to answer them are informed and </w:t>
      </w:r>
      <w:r w:rsidR="000C4B38" w:rsidRPr="002C21B8">
        <w:t>influenced</w:t>
      </w:r>
      <w:r w:rsidR="00EC38EC" w:rsidRPr="002C21B8">
        <w:t xml:space="preserve"> by </w:t>
      </w:r>
      <w:r w:rsidR="00A80F5B" w:rsidRPr="002C21B8">
        <w:t xml:space="preserve">their </w:t>
      </w:r>
      <w:r w:rsidR="00EC38EC" w:rsidRPr="002C21B8">
        <w:t>underlying philosophical perspectives.</w:t>
      </w:r>
      <w:r w:rsidR="000C4B38" w:rsidRPr="002C21B8">
        <w:t xml:space="preserve"> These perspectives, or paradigms, serve as a lens through which the researcher views the world. Within each paradigm are</w:t>
      </w:r>
      <w:r w:rsidR="00311490" w:rsidRPr="002C21B8">
        <w:t xml:space="preserve"> underlying</w:t>
      </w:r>
      <w:r w:rsidR="00EC38EC" w:rsidRPr="002C21B8">
        <w:t xml:space="preserve"> philosophical </w:t>
      </w:r>
      <w:r w:rsidR="00311490" w:rsidRPr="002C21B8">
        <w:t xml:space="preserve">assumptions </w:t>
      </w:r>
      <w:r w:rsidR="000C4B38" w:rsidRPr="002C21B8">
        <w:t>of</w:t>
      </w:r>
      <w:r w:rsidR="00EC38EC" w:rsidRPr="002C21B8">
        <w:t xml:space="preserve"> ontology (nature of reality), epistemology (</w:t>
      </w:r>
      <w:r w:rsidR="000C4B38" w:rsidRPr="002C21B8">
        <w:t>nature of knowledge)</w:t>
      </w:r>
      <w:r w:rsidR="00EC38EC" w:rsidRPr="002C21B8">
        <w:t xml:space="preserve">, </w:t>
      </w:r>
      <w:r w:rsidR="000C4B38" w:rsidRPr="002C21B8">
        <w:t>axiology (role of values</w:t>
      </w:r>
      <w:r w:rsidR="00EC38EC" w:rsidRPr="002C21B8">
        <w:t>)</w:t>
      </w:r>
      <w:r w:rsidR="000C4B38" w:rsidRPr="002C21B8">
        <w:t xml:space="preserve"> and methodology (approach to inquiry)</w:t>
      </w:r>
      <w:r w:rsidR="00F6225E" w:rsidRPr="002C21B8">
        <w:t xml:space="preserve"> </w:t>
      </w:r>
      <w:r w:rsidR="00F6225E" w:rsidRPr="002C21B8">
        <w:fldChar w:fldCharType="begin"/>
      </w:r>
      <w:r w:rsidR="00F6225E" w:rsidRPr="002C21B8">
        <w:instrText xml:space="preserve"> ADDIN EN.CITE &lt;EndNote&gt;&lt;Cite&gt;&lt;Author&gt;Pretorius&lt;/Author&gt;&lt;Year&gt;2024&lt;/Year&gt;&lt;RecNum&gt;125371&lt;/RecNum&gt;&lt;DisplayText&gt;(Pretorius, 2024)&lt;/DisplayText&gt;&lt;record&gt;&lt;rec-number&gt;125371&lt;/rec-number&gt;&lt;foreign-keys&gt;&lt;key app="EN" db-id="xpefzwa5hf9dt2ea9fax95x7xvxz90v09dtf" timestamp="1775315541"&gt;125371&lt;/key&gt;&lt;/foreign-keys&gt;&lt;ref-type name="Journal Article"&gt;17&lt;/ref-type&gt;&lt;contributors&gt;&lt;authors&gt;&lt;author&gt;Pretorius, Lynette&lt;/author&gt;&lt;/authors&gt;&lt;/contributors&gt;&lt;titles&gt;&lt;title&gt;Demystifying research paradigms: Navigating ontology, epistemology, and axiology in research&lt;/title&gt;&lt;secondary-title&gt;The Qualitative Report&lt;/secondary-title&gt;&lt;/titles&gt;&lt;periodical&gt;&lt;full-title&gt;The qualitative report&lt;/full-title&gt;&lt;/periodical&gt;&lt;pages&gt;2698-2715&lt;/pages&gt;&lt;volume&gt;29&lt;/volume&gt;&lt;number&gt;10&lt;/number&gt;&lt;dates&gt;&lt;year&gt;2024&lt;/year&gt;&lt;/dates&gt;&lt;isbn&gt;1052-0147&lt;/isbn&gt;&lt;urls&gt;&lt;/urls&gt;&lt;/record&gt;&lt;/Cite&gt;&lt;/EndNote&gt;</w:instrText>
      </w:r>
      <w:r w:rsidR="00F6225E" w:rsidRPr="002C21B8">
        <w:fldChar w:fldCharType="separate"/>
      </w:r>
      <w:r w:rsidR="00F6225E" w:rsidRPr="002C21B8">
        <w:t>(Pretorius, 2024)</w:t>
      </w:r>
      <w:r w:rsidR="00F6225E" w:rsidRPr="002C21B8">
        <w:fldChar w:fldCharType="end"/>
      </w:r>
      <w:r w:rsidR="000C4B38" w:rsidRPr="002C21B8">
        <w:t xml:space="preserve">. </w:t>
      </w:r>
      <w:r w:rsidR="00EB4832" w:rsidRPr="002C21B8">
        <w:t xml:space="preserve">Making these assumptions explicit strengthens the clarity of the research design and influences methodological choices </w:t>
      </w:r>
      <w:r w:rsidR="00F6225E" w:rsidRPr="002C21B8">
        <w:fldChar w:fldCharType="begin"/>
      </w:r>
      <w:r w:rsidR="00455B2B" w:rsidRPr="002C21B8">
        <w:instrText xml:space="preserve"> ADDIN EN.CITE &lt;EndNote&gt;&lt;Cite&gt;&lt;Author&gt;Giles&lt;/Author&gt;&lt;Year&gt;2023&lt;/Year&gt;&lt;RecNum&gt;17251&lt;/RecNum&gt;&lt;DisplayText&gt;(Giles and Harrison, 2023)&lt;/DisplayText&gt;&lt;record&gt;&lt;rec-number&gt;17251&lt;/rec-number&gt;&lt;foreign-keys&gt;&lt;key app="EN" db-id="xpefzwa5hf9dt2ea9fax95x7xvxz90v09dtf" timestamp="1716907861"&gt;17251&lt;/key&gt;&lt;/foreign-keys&gt;&lt;ref-type name="Journal Article"&gt;17&lt;/ref-type&gt;&lt;contributors&gt;&lt;authors&gt;&lt;author&gt;Giles, E. L.&lt;/author&gt;&lt;author&gt;Harrison, S. L.&lt;/author&gt;&lt;/authors&gt;&lt;/contributors&gt;&lt;auth-address&gt;School of Health and Life Sciences, Teesside University, Middlesbrough, UK.&lt;/auth-address&gt;&lt;titles&gt;&lt;title&gt;Reflecting on the importance of theory-informed qualitative research in people with chronic respiratory disease and their carers&lt;/title&gt;&lt;secondary-title&gt;Chronic Respiratory Disease&lt;/secondary-title&gt;&lt;/titles&gt;&lt;periodical&gt;&lt;full-title&gt;Chronic Respiratory Disease&lt;/full-title&gt;&lt;/periodical&gt;&lt;pages&gt;14799731231185128&lt;/pages&gt;&lt;volume&gt;20&lt;/volume&gt;&lt;keywords&gt;&lt;keyword&gt;Humans&lt;/keyword&gt;&lt;keyword&gt;*Caregivers&lt;/keyword&gt;&lt;keyword&gt;Qualitative Research&lt;/keyword&gt;&lt;keyword&gt;Focus Groups&lt;/keyword&gt;&lt;/keywords&gt;&lt;dates&gt;&lt;year&gt;2023&lt;/year&gt;&lt;pub-dates&gt;&lt;date&gt;Jan-Dec&lt;/date&gt;&lt;/pub-dates&gt;&lt;/dates&gt;&lt;isbn&gt;1479-9723 (Print)&amp;#xD;1479-9723&lt;/isbn&gt;&lt;accession-num&gt;37344979&lt;/accession-num&gt;&lt;urls&gt;&lt;/urls&gt;&lt;custom1&gt;The author(s) declared no potential conflicts of interest with respect to the research, authorship, and/or publication of this article.&lt;/custom1&gt;&lt;custom2&gt;PMC10288393&lt;/custom2&gt;&lt;electronic-resource-num&gt;10.1177/14799731231185128&lt;/electronic-resource-num&gt;&lt;remote-database-provider&gt;NLM&lt;/remote-database-provider&gt;&lt;language&gt;eng&lt;/language&gt;&lt;/record&gt;&lt;/Cite&gt;&lt;/EndNote&gt;</w:instrText>
      </w:r>
      <w:r w:rsidR="00F6225E" w:rsidRPr="002C21B8">
        <w:fldChar w:fldCharType="separate"/>
      </w:r>
      <w:r w:rsidR="00F6225E" w:rsidRPr="002C21B8">
        <w:rPr>
          <w:noProof/>
        </w:rPr>
        <w:t>(Giles and Harrison, 2023)</w:t>
      </w:r>
      <w:r w:rsidR="00F6225E" w:rsidRPr="002C21B8">
        <w:fldChar w:fldCharType="end"/>
      </w:r>
      <w:r w:rsidR="00207330" w:rsidRPr="002C21B8">
        <w:t>.</w:t>
      </w:r>
    </w:p>
    <w:p w14:paraId="10B620E7" w14:textId="0F5D3FF4" w:rsidR="0058248F" w:rsidRPr="002C21B8" w:rsidRDefault="007545D4" w:rsidP="00172A4B">
      <w:r w:rsidRPr="002C21B8">
        <w:t xml:space="preserve">The paradigm </w:t>
      </w:r>
      <w:r w:rsidR="00826BD2" w:rsidRPr="002C21B8">
        <w:t>adopted in</w:t>
      </w:r>
      <w:r w:rsidRPr="002C21B8">
        <w:t xml:space="preserve"> this </w:t>
      </w:r>
      <w:r w:rsidR="00CE76C0" w:rsidRPr="002C21B8">
        <w:t>programme of research</w:t>
      </w:r>
      <w:r w:rsidRPr="002C21B8">
        <w:t xml:space="preserve"> was </w:t>
      </w:r>
      <w:r w:rsidR="004D66AB" w:rsidRPr="002C21B8">
        <w:t>c</w:t>
      </w:r>
      <w:r w:rsidRPr="002C21B8">
        <w:t>ritical realism</w:t>
      </w:r>
      <w:r w:rsidR="00172A4B" w:rsidRPr="002C21B8">
        <w:t xml:space="preserve">. Critical realism asserts that an objective reality exists independently of human observation, but that </w:t>
      </w:r>
      <w:r w:rsidR="00826BD2" w:rsidRPr="002C21B8">
        <w:t xml:space="preserve">a researcher’s </w:t>
      </w:r>
      <w:r w:rsidR="00172A4B" w:rsidRPr="002C21B8">
        <w:t xml:space="preserve">understanding of </w:t>
      </w:r>
      <w:r w:rsidR="004D66AB" w:rsidRPr="002C21B8">
        <w:t>it</w:t>
      </w:r>
      <w:r w:rsidR="00172A4B" w:rsidRPr="002C21B8">
        <w:t xml:space="preserve"> i</w:t>
      </w:r>
      <w:r w:rsidR="004D66AB" w:rsidRPr="002C21B8">
        <w:t>s</w:t>
      </w:r>
      <w:r w:rsidR="00172A4B" w:rsidRPr="002C21B8">
        <w:t xml:space="preserve"> always shaped by social, historical</w:t>
      </w:r>
      <w:r w:rsidR="00156E14" w:rsidRPr="002C21B8">
        <w:t>,</w:t>
      </w:r>
      <w:r w:rsidR="00172A4B" w:rsidRPr="002C21B8">
        <w:t xml:space="preserve"> and cultural contexts</w:t>
      </w:r>
      <w:r w:rsidR="00156E14" w:rsidRPr="002C21B8">
        <w:t>,</w:t>
      </w:r>
      <w:r w:rsidR="00172A4B" w:rsidRPr="002C21B8">
        <w:t xml:space="preserve"> as well as</w:t>
      </w:r>
      <w:r w:rsidR="00156E14" w:rsidRPr="002C21B8">
        <w:t xml:space="preserve"> by</w:t>
      </w:r>
      <w:r w:rsidR="00172A4B" w:rsidRPr="002C21B8">
        <w:t xml:space="preserve"> the methods use</w:t>
      </w:r>
      <w:r w:rsidR="00826BD2" w:rsidRPr="002C21B8">
        <w:t>d</w:t>
      </w:r>
      <w:r w:rsidR="00172A4B" w:rsidRPr="002C21B8">
        <w:t xml:space="preserve"> to study it </w:t>
      </w:r>
      <w:r w:rsidR="00172A4B" w:rsidRPr="002C21B8">
        <w:fldChar w:fldCharType="begin"/>
      </w:r>
      <w:r w:rsidR="00172A4B" w:rsidRPr="002C21B8">
        <w:instrText xml:space="preserve"> ADDIN EN.CITE &lt;EndNote&gt;&lt;Cite&gt;&lt;Author&gt;Archer&lt;/Author&gt;&lt;Year&gt;1999&lt;/Year&gt;&lt;RecNum&gt;125377&lt;/RecNum&gt;&lt;DisplayText&gt;(Archer&lt;style face="italic"&gt; et al.&lt;/style&gt;, 1999)&lt;/DisplayText&gt;&lt;record&gt;&lt;rec-number&gt;125377&lt;/rec-number&gt;&lt;foreign-keys&gt;&lt;key app="EN" db-id="xpefzwa5hf9dt2ea9fax95x7xvxz90v09dtf" timestamp="1775461796"&gt;125377&lt;/key&gt;&lt;/foreign-keys&gt;&lt;ref-type name="Journal Article"&gt;17&lt;/ref-type&gt;&lt;contributors&gt;&lt;authors&gt;&lt;author&gt;Archer, Margaret&lt;/author&gt;&lt;author&gt;Sharp, Rachel&lt;/author&gt;&lt;author&gt;Stones, Rob&lt;/author&gt;&lt;author&gt;Woodiwiss, Tony&lt;/author&gt;&lt;/authors&gt;&lt;/contributors&gt;&lt;titles&gt;&lt;title&gt;Critical realism and research methodology&lt;/title&gt;&lt;secondary-title&gt;Alethia&lt;/secondary-title&gt;&lt;/titles&gt;&lt;periodical&gt;&lt;full-title&gt;Alethia&lt;/full-title&gt;&lt;/periodical&gt;&lt;pages&gt;12-16&lt;/pages&gt;&lt;volume&gt;2&lt;/volume&gt;&lt;number&gt;1&lt;/number&gt;&lt;dates&gt;&lt;year&gt;1999&lt;/year&gt;&lt;/dates&gt;&lt;isbn&gt;0711-3625&lt;/isbn&gt;&lt;urls&gt;&lt;/urls&gt;&lt;/record&gt;&lt;/Cite&gt;&lt;/EndNote&gt;</w:instrText>
      </w:r>
      <w:r w:rsidR="00172A4B" w:rsidRPr="002C21B8">
        <w:fldChar w:fldCharType="separate"/>
      </w:r>
      <w:r w:rsidR="00172A4B" w:rsidRPr="002C21B8">
        <w:t>(Archer</w:t>
      </w:r>
      <w:r w:rsidR="00172A4B" w:rsidRPr="002C21B8">
        <w:rPr>
          <w:i/>
        </w:rPr>
        <w:t xml:space="preserve"> et al.</w:t>
      </w:r>
      <w:r w:rsidR="00172A4B" w:rsidRPr="002C21B8">
        <w:t>, 1999)</w:t>
      </w:r>
      <w:r w:rsidR="00172A4B" w:rsidRPr="002C21B8">
        <w:fldChar w:fldCharType="end"/>
      </w:r>
      <w:r w:rsidR="00172A4B" w:rsidRPr="002C21B8">
        <w:t>.</w:t>
      </w:r>
      <w:r w:rsidR="006F71F8" w:rsidRPr="002C21B8">
        <w:t xml:space="preserve"> </w:t>
      </w:r>
      <w:r w:rsidR="00961770" w:rsidRPr="002C21B8">
        <w:t xml:space="preserve">This means </w:t>
      </w:r>
      <w:r w:rsidR="006F71F8" w:rsidRPr="002C21B8">
        <w:t xml:space="preserve">knowledge is fallible and inherently incomplete, </w:t>
      </w:r>
      <w:r w:rsidR="00961770" w:rsidRPr="002C21B8">
        <w:t xml:space="preserve">such that </w:t>
      </w:r>
      <w:r w:rsidR="006F71F8" w:rsidRPr="002C21B8">
        <w:t>research</w:t>
      </w:r>
      <w:r w:rsidR="007A449A" w:rsidRPr="002C21B8">
        <w:t xml:space="preserve"> involves </w:t>
      </w:r>
      <w:r w:rsidR="006F71F8" w:rsidRPr="002C21B8">
        <w:t>infer</w:t>
      </w:r>
      <w:r w:rsidR="007A449A" w:rsidRPr="002C21B8">
        <w:t>ring</w:t>
      </w:r>
      <w:r w:rsidR="006F71F8" w:rsidRPr="002C21B8">
        <w:t xml:space="preserve"> the mechanisms that generate observable events rather than rely</w:t>
      </w:r>
      <w:r w:rsidR="007A449A" w:rsidRPr="002C21B8">
        <w:t>ing</w:t>
      </w:r>
      <w:r w:rsidR="006F71F8" w:rsidRPr="002C21B8">
        <w:t xml:space="preserve"> on observations alone </w:t>
      </w:r>
      <w:r w:rsidR="0058248F" w:rsidRPr="002C21B8">
        <w:fldChar w:fldCharType="begin"/>
      </w:r>
      <w:r w:rsidR="00A46115" w:rsidRPr="002C21B8">
        <w:instrText xml:space="preserve"> ADDIN EN.CITE &lt;EndNote&gt;&lt;Cite&gt;&lt;Author&gt;Bhaskar&lt;/Author&gt;&lt;Year&gt;2013&lt;/Year&gt;&lt;RecNum&gt;124968&lt;/RecNum&gt;&lt;DisplayText&gt;(Bhaskar, 2013)&lt;/DisplayText&gt;&lt;record&gt;&lt;rec-number&gt;124968&lt;/rec-number&gt;&lt;foreign-keys&gt;&lt;key app="EN" db-id="xpefzwa5hf9dt2ea9fax95x7xvxz90v09dtf" timestamp="1754556486"&gt;124968&lt;/key&gt;&lt;/foreign-keys&gt;&lt;ref-type name="Book"&gt;6&lt;/ref-type&gt;&lt;contributors&gt;&lt;authors&gt;&lt;author&gt;Bhaskar, Roy&lt;/author&gt;&lt;/authors&gt;&lt;/contributors&gt;&lt;titles&gt;&lt;title&gt;A realist theory of science&lt;/title&gt;&lt;/titles&gt;&lt;section&gt;1-304&lt;/section&gt;&lt;dates&gt;&lt;year&gt;2013&lt;/year&gt;&lt;/dates&gt;&lt;pub-location&gt;London, UK&lt;/pub-location&gt;&lt;publisher&gt;Routledge&lt;/publisher&gt;&lt;isbn&gt;020309073X&lt;/isbn&gt;&lt;urls&gt;&lt;/urls&gt;&lt;/record&gt;&lt;/Cite&gt;&lt;/EndNote&gt;</w:instrText>
      </w:r>
      <w:r w:rsidR="0058248F" w:rsidRPr="002C21B8">
        <w:fldChar w:fldCharType="separate"/>
      </w:r>
      <w:r w:rsidR="0058248F" w:rsidRPr="002C21B8">
        <w:rPr>
          <w:noProof/>
        </w:rPr>
        <w:t>(Bhaskar, 2013)</w:t>
      </w:r>
      <w:r w:rsidR="0058248F" w:rsidRPr="002C21B8">
        <w:fldChar w:fldCharType="end"/>
      </w:r>
      <w:r w:rsidR="0058248F" w:rsidRPr="002C21B8">
        <w:t>.</w:t>
      </w:r>
      <w:r w:rsidR="007343C9" w:rsidRPr="002C21B8">
        <w:t xml:space="preserve"> Critical realism also acknowledges that research is value-laden, in that values and prior experiences shape the selection of research questions, analytical decisions and interpretation of findings </w:t>
      </w:r>
      <w:r w:rsidR="007343C9" w:rsidRPr="002C21B8">
        <w:fldChar w:fldCharType="begin"/>
      </w:r>
      <w:r w:rsidR="001E0FA9" w:rsidRPr="002C21B8">
        <w:instrText xml:space="preserve"> ADDIN EN.CITE &lt;EndNote&gt;&lt;Cite&gt;&lt;Author&gt;Sayer&lt;/Author&gt;&lt;Year&gt;1999&lt;/Year&gt;&lt;RecNum&gt;125553&lt;/RecNum&gt;&lt;DisplayText&gt;(Sayer, 1999)&lt;/DisplayText&gt;&lt;record&gt;&lt;rec-number&gt;125553&lt;/rec-number&gt;&lt;foreign-keys&gt;&lt;key app="EN" db-id="xpefzwa5hf9dt2ea9fax95x7xvxz90v09dtf" timestamp="1777804061"&gt;125553&lt;/key&gt;&lt;/foreign-keys&gt;&lt;ref-type name="Book"&gt;6&lt;/ref-type&gt;&lt;contributors&gt;&lt;authors&gt;&lt;author&gt;Sayer, Andrew&lt;/author&gt;&lt;/authors&gt;&lt;/contributors&gt;&lt;titles&gt;&lt;title&gt;Realism and social science&lt;/title&gt;&lt;/titles&gt;&lt;section&gt;1-224&lt;/section&gt;&lt;dates&gt;&lt;year&gt;1999&lt;/year&gt;&lt;/dates&gt;&lt;pub-location&gt;London, UK&lt;/pub-location&gt;&lt;publisher&gt;SAGE Publications Ltd&lt;/publisher&gt;&lt;urls&gt;&lt;/urls&gt;&lt;/record&gt;&lt;/Cite&gt;&lt;/EndNote&gt;</w:instrText>
      </w:r>
      <w:r w:rsidR="007343C9" w:rsidRPr="002C21B8">
        <w:fldChar w:fldCharType="separate"/>
      </w:r>
      <w:r w:rsidR="007343C9" w:rsidRPr="002C21B8">
        <w:rPr>
          <w:noProof/>
        </w:rPr>
        <w:t>(Sayer, 1999)</w:t>
      </w:r>
      <w:r w:rsidR="007343C9" w:rsidRPr="002C21B8">
        <w:fldChar w:fldCharType="end"/>
      </w:r>
      <w:r w:rsidR="007343C9" w:rsidRPr="002C21B8">
        <w:t>.</w:t>
      </w:r>
    </w:p>
    <w:p w14:paraId="1BE167EC" w14:textId="3465D701" w:rsidR="004A4730" w:rsidRPr="002C21B8" w:rsidRDefault="004D66AB" w:rsidP="000E2BF7">
      <w:r w:rsidRPr="002C21B8">
        <w:t>Reality in critical realism is stratified into three levels</w:t>
      </w:r>
      <w:r w:rsidR="003917C6" w:rsidRPr="002C21B8">
        <w:t xml:space="preserve"> </w:t>
      </w:r>
      <w:r w:rsidR="003917C6" w:rsidRPr="002C21B8">
        <w:fldChar w:fldCharType="begin"/>
      </w:r>
      <w:r w:rsidR="00763983" w:rsidRPr="002C21B8">
        <w:instrText xml:space="preserve"> ADDIN EN.CITE &lt;EndNote&gt;&lt;Cite&gt;&lt;Author&gt;Fletcher&lt;/Author&gt;&lt;Year&gt;2017&lt;/Year&gt;&lt;RecNum&gt;125044&lt;/RecNum&gt;&lt;DisplayText&gt;(Fletcher, 2017)&lt;/DisplayText&gt;&lt;record&gt;&lt;rec-number&gt;125044&lt;/rec-number&gt;&lt;foreign-keys&gt;&lt;key app="EN" db-id="xpefzwa5hf9dt2ea9fax95x7xvxz90v09dtf" timestamp="1758788172"&gt;125044&lt;/key&gt;&lt;/foreign-keys&gt;&lt;ref-type name="Journal Article"&gt;17&lt;/ref-type&gt;&lt;contributors&gt;&lt;authors&gt;&lt;author&gt;Fletcher, Amber J&lt;/author&gt;&lt;/authors&gt;&lt;/contributors&gt;&lt;titles&gt;&lt;title&gt;Applying critical realism in qualitative research: methodology meets method&lt;/title&gt;&lt;secondary-title&gt;International Journal of Social Research Methodology&lt;/secondary-title&gt;&lt;/titles&gt;&lt;periodical&gt;&lt;full-title&gt;International Journal of Social Research Methodology&lt;/full-title&gt;&lt;/periodical&gt;&lt;pages&gt;181-194&lt;/pages&gt;&lt;volume&gt;20&lt;/volume&gt;&lt;number&gt;2&lt;/number&gt;&lt;dates&gt;&lt;year&gt;2017&lt;/year&gt;&lt;/dates&gt;&lt;isbn&gt;1364-5579&lt;/isbn&gt;&lt;urls&gt;&lt;/urls&gt;&lt;/record&gt;&lt;/Cite&gt;&lt;/EndNote&gt;</w:instrText>
      </w:r>
      <w:r w:rsidR="003917C6" w:rsidRPr="002C21B8">
        <w:fldChar w:fldCharType="separate"/>
      </w:r>
      <w:r w:rsidR="003917C6" w:rsidRPr="002C21B8">
        <w:rPr>
          <w:noProof/>
        </w:rPr>
        <w:t>(Fletcher, 2017)</w:t>
      </w:r>
      <w:r w:rsidR="003917C6" w:rsidRPr="002C21B8">
        <w:fldChar w:fldCharType="end"/>
      </w:r>
      <w:r w:rsidR="004A4730" w:rsidRPr="002C21B8">
        <w:t>:</w:t>
      </w:r>
    </w:p>
    <w:p w14:paraId="446F1148" w14:textId="59E122F4" w:rsidR="004A4730" w:rsidRPr="002C21B8" w:rsidRDefault="004A4730" w:rsidP="00A97F07">
      <w:pPr>
        <w:pStyle w:val="ListParagraph"/>
        <w:numPr>
          <w:ilvl w:val="0"/>
          <w:numId w:val="49"/>
        </w:numPr>
      </w:pPr>
      <w:r w:rsidRPr="002C21B8">
        <w:rPr>
          <w:b/>
          <w:bCs/>
        </w:rPr>
        <w:t>Empirical:</w:t>
      </w:r>
      <w:r w:rsidRPr="002C21B8">
        <w:t xml:space="preserve"> what </w:t>
      </w:r>
      <w:r w:rsidR="00826BD2" w:rsidRPr="002C21B8">
        <w:t>a researcher</w:t>
      </w:r>
      <w:r w:rsidRPr="002C21B8">
        <w:t xml:space="preserve"> can observe or experience, akin to the visible part of an iceberg</w:t>
      </w:r>
    </w:p>
    <w:p w14:paraId="661202D4" w14:textId="3C46615E" w:rsidR="004A4730" w:rsidRPr="002C21B8" w:rsidRDefault="004A4730" w:rsidP="00A97F07">
      <w:pPr>
        <w:pStyle w:val="ListParagraph"/>
        <w:numPr>
          <w:ilvl w:val="0"/>
          <w:numId w:val="49"/>
        </w:numPr>
      </w:pPr>
      <w:r w:rsidRPr="002C21B8">
        <w:rPr>
          <w:b/>
          <w:bCs/>
        </w:rPr>
        <w:t>Actual:</w:t>
      </w:r>
      <w:r w:rsidRPr="002C21B8">
        <w:t xml:space="preserve"> events that occur regardless of whether they are observed, lying just below the surface</w:t>
      </w:r>
    </w:p>
    <w:p w14:paraId="38510DFA" w14:textId="3CC343EE" w:rsidR="007567FC" w:rsidRPr="002C21B8" w:rsidRDefault="004A4730" w:rsidP="00A97F07">
      <w:pPr>
        <w:pStyle w:val="ListParagraph"/>
        <w:numPr>
          <w:ilvl w:val="0"/>
          <w:numId w:val="49"/>
        </w:numPr>
      </w:pPr>
      <w:r w:rsidRPr="002C21B8">
        <w:rPr>
          <w:b/>
          <w:bCs/>
        </w:rPr>
        <w:t>Real:</w:t>
      </w:r>
      <w:r w:rsidRPr="002C21B8">
        <w:t xml:space="preserve"> the underlying structures and mechanisms that generate </w:t>
      </w:r>
      <w:r w:rsidR="007567FC" w:rsidRPr="002C21B8">
        <w:t xml:space="preserve">those </w:t>
      </w:r>
      <w:r w:rsidRPr="002C21B8">
        <w:t>events</w:t>
      </w:r>
      <w:r w:rsidR="00276DCA" w:rsidRPr="002C21B8">
        <w:t xml:space="preserve"> that are not </w:t>
      </w:r>
      <w:r w:rsidR="007567FC" w:rsidRPr="002C21B8">
        <w:t>directly observable</w:t>
      </w:r>
    </w:p>
    <w:p w14:paraId="753F3C83" w14:textId="7CB5A1A4" w:rsidR="00531548" w:rsidRPr="002C21B8" w:rsidRDefault="00AD5661" w:rsidP="00264F29">
      <w:r w:rsidRPr="002C21B8">
        <w:t>Within this paradigm</w:t>
      </w:r>
      <w:r w:rsidR="00997289" w:rsidRPr="002C21B8">
        <w:t>,</w:t>
      </w:r>
      <w:r w:rsidRPr="002C21B8">
        <w:t xml:space="preserve"> variation in tolvaptan prescribing can be understood across these three levels of reality. Observable prescribing patterns represent the empirical level, while prescribing decisions and events occurring in clinical settings</w:t>
      </w:r>
      <w:r w:rsidR="00A361EB" w:rsidRPr="002C21B8">
        <w:t>,</w:t>
      </w:r>
      <w:r w:rsidRPr="002C21B8">
        <w:t xml:space="preserve"> whether observed or not</w:t>
      </w:r>
      <w:r w:rsidR="00A361EB" w:rsidRPr="002C21B8">
        <w:t>,</w:t>
      </w:r>
      <w:r w:rsidRPr="002C21B8">
        <w:t xml:space="preserve"> sit within the actual level. The underlying mechanisms driving this variation, such as clinician reasoning and organisational influences, exist at the real level and are not directly observable, but are inferred from clinicians’ accounts, behaviours and observed prescribing patterns</w:t>
      </w:r>
      <w:r w:rsidR="00997289" w:rsidRPr="002C21B8">
        <w:t xml:space="preserve"> (ontology)</w:t>
      </w:r>
      <w:r w:rsidRPr="002C21B8">
        <w:t>.</w:t>
      </w:r>
    </w:p>
    <w:p w14:paraId="4BAAC6DC" w14:textId="198F4D0A" w:rsidR="00531548" w:rsidRPr="002C21B8" w:rsidRDefault="000028B9" w:rsidP="00264F29">
      <w:r w:rsidRPr="002C21B8">
        <w:lastRenderedPageBreak/>
        <w:t xml:space="preserve">While critical realism does not dictate specific methods to generate knowledge, it </w:t>
      </w:r>
      <w:r w:rsidR="00885E0D" w:rsidRPr="002C21B8">
        <w:t xml:space="preserve">suggests </w:t>
      </w:r>
      <w:r w:rsidRPr="002C21B8">
        <w:t xml:space="preserve">that </w:t>
      </w:r>
      <w:r w:rsidR="0046219E" w:rsidRPr="002C21B8">
        <w:t>answer</w:t>
      </w:r>
      <w:r w:rsidR="00885E0D" w:rsidRPr="002C21B8">
        <w:t>ing</w:t>
      </w:r>
      <w:r w:rsidR="0046219E" w:rsidRPr="002C21B8">
        <w:t xml:space="preserve"> </w:t>
      </w:r>
      <w:r w:rsidR="00885E0D" w:rsidRPr="002C21B8">
        <w:t>the</w:t>
      </w:r>
      <w:r w:rsidR="0046219E" w:rsidRPr="002C21B8">
        <w:t xml:space="preserve"> </w:t>
      </w:r>
      <w:r w:rsidRPr="002C21B8">
        <w:t xml:space="preserve">research question </w:t>
      </w:r>
      <w:r w:rsidR="00885E0D" w:rsidRPr="002C21B8">
        <w:t>in this thesis require</w:t>
      </w:r>
      <w:r w:rsidR="0062596D" w:rsidRPr="002C21B8">
        <w:t>s</w:t>
      </w:r>
      <w:r w:rsidR="00885E0D" w:rsidRPr="002C21B8">
        <w:t xml:space="preserve"> </w:t>
      </w:r>
      <w:r w:rsidRPr="002C21B8">
        <w:t xml:space="preserve">approaches </w:t>
      </w:r>
      <w:r w:rsidR="00885E0D" w:rsidRPr="002C21B8">
        <w:t xml:space="preserve">capable of </w:t>
      </w:r>
      <w:r w:rsidR="0046219E" w:rsidRPr="002C21B8">
        <w:t xml:space="preserve">identifying </w:t>
      </w:r>
      <w:r w:rsidRPr="002C21B8">
        <w:t xml:space="preserve">both observable prescribing patterns and the underlying mechanisms </w:t>
      </w:r>
      <w:r w:rsidRPr="002C21B8">
        <w:fldChar w:fldCharType="begin"/>
      </w:r>
      <w:r w:rsidRPr="002C21B8">
        <w:instrText xml:space="preserve"> ADDIN EN.CITE &lt;EndNote&gt;&lt;Cite&gt;&lt;Author&gt;Stutchbury&lt;/Author&gt;&lt;Year&gt;2022&lt;/Year&gt;&lt;RecNum&gt;124966&lt;/RecNum&gt;&lt;DisplayText&gt;(Stutchbury, 2022)&lt;/DisplayText&gt;&lt;record&gt;&lt;rec-number&gt;124966&lt;/rec-number&gt;&lt;foreign-keys&gt;&lt;key app="EN" db-id="xpefzwa5hf9dt2ea9fax95x7xvxz90v09dtf" timestamp="1754556047"&gt;124966&lt;/key&gt;&lt;/foreign-keys&gt;&lt;ref-type name="Journal Article"&gt;17&lt;/ref-type&gt;&lt;contributors&gt;&lt;authors&gt;&lt;author&gt;Stutchbury, Kristina&lt;/author&gt;&lt;/authors&gt;&lt;/contributors&gt;&lt;titles&gt;&lt;title&gt;Critical realism: An explanatory framework for small-scale qualitative studies or an ‘unhelpful edifice’?&lt;/title&gt;&lt;secondary-title&gt;International Journal of Research &amp;amp; Method in Education&lt;/secondary-title&gt;&lt;/titles&gt;&lt;periodical&gt;&lt;full-title&gt;International Journal of Research &amp;amp; Method in Education&lt;/full-title&gt;&lt;/periodical&gt;&lt;pages&gt;113-128&lt;/pages&gt;&lt;volume&gt;45&lt;/volume&gt;&lt;number&gt;2&lt;/number&gt;&lt;dates&gt;&lt;year&gt;2022&lt;/year&gt;&lt;/dates&gt;&lt;isbn&gt;1743-727X&lt;/isbn&gt;&lt;urls&gt;&lt;/urls&gt;&lt;/record&gt;&lt;/Cite&gt;&lt;/EndNote&gt;</w:instrText>
      </w:r>
      <w:r w:rsidRPr="002C21B8">
        <w:fldChar w:fldCharType="separate"/>
      </w:r>
      <w:r w:rsidRPr="002C21B8">
        <w:t>(Stutchbury, 2022)</w:t>
      </w:r>
      <w:r w:rsidRPr="002C21B8">
        <w:fldChar w:fldCharType="end"/>
      </w:r>
      <w:r w:rsidRPr="002C21B8">
        <w:t xml:space="preserve">. </w:t>
      </w:r>
      <w:r w:rsidR="00997289" w:rsidRPr="002C21B8">
        <w:t xml:space="preserve">The </w:t>
      </w:r>
      <w:r w:rsidR="00885E0D" w:rsidRPr="002C21B8">
        <w:t xml:space="preserve">knowledge generated in </w:t>
      </w:r>
      <w:r w:rsidR="00997289" w:rsidRPr="002C21B8">
        <w:t xml:space="preserve">this programme of research consists of quantitative prescribing data and qualitative accounts through which inferences about </w:t>
      </w:r>
      <w:r w:rsidR="0062596D" w:rsidRPr="002C21B8">
        <w:t xml:space="preserve">the </w:t>
      </w:r>
      <w:r w:rsidR="00997289" w:rsidRPr="002C21B8">
        <w:t>mechanisms leading to variation in prescribing practices of tolvaptan can be developed (epistemology).</w:t>
      </w:r>
    </w:p>
    <w:p w14:paraId="477FA781" w14:textId="0E8D1FDB" w:rsidR="009C1732" w:rsidRPr="002C21B8" w:rsidRDefault="00997289" w:rsidP="00264F29">
      <w:r w:rsidRPr="002C21B8">
        <w:t xml:space="preserve">The focus of this programme of research was informed by my clinical and professional experience, which recognises variation in tolvaptan prescribing as an important issue due to its implications for </w:t>
      </w:r>
      <w:r w:rsidR="0062596D" w:rsidRPr="002C21B8">
        <w:t xml:space="preserve">the </w:t>
      </w:r>
      <w:r w:rsidRPr="002C21B8">
        <w:t xml:space="preserve">consistency of care and potential for unwarranted variation in clinical practice </w:t>
      </w:r>
      <w:r w:rsidR="009C1732" w:rsidRPr="002C21B8">
        <w:t>(axiology).</w:t>
      </w:r>
    </w:p>
    <w:p w14:paraId="2C98D093" w14:textId="35B9F1AD" w:rsidR="00E51997" w:rsidRPr="002C21B8" w:rsidRDefault="00826BD2" w:rsidP="004507C8">
      <w:pPr>
        <w:pStyle w:val="Heading3"/>
      </w:pPr>
      <w:r w:rsidRPr="002C21B8">
        <w:t>M</w:t>
      </w:r>
      <w:r w:rsidR="00E51997" w:rsidRPr="002C21B8">
        <w:t>ixed methods research</w:t>
      </w:r>
    </w:p>
    <w:p w14:paraId="403BF45A" w14:textId="46642642" w:rsidR="00875B05" w:rsidRPr="002C21B8" w:rsidRDefault="00A3400F" w:rsidP="00875B05">
      <w:r w:rsidRPr="002C21B8">
        <w:t>Research</w:t>
      </w:r>
      <w:r w:rsidR="00875B05" w:rsidRPr="002C21B8">
        <w:t xml:space="preserve"> </w:t>
      </w:r>
      <w:r w:rsidRPr="002C21B8">
        <w:t>typically adopt</w:t>
      </w:r>
      <w:r w:rsidR="0062596D" w:rsidRPr="002C21B8">
        <w:t>s</w:t>
      </w:r>
      <w:r w:rsidR="00875B05" w:rsidRPr="002C21B8">
        <w:t xml:space="preserve"> a</w:t>
      </w:r>
      <w:r w:rsidRPr="002C21B8">
        <w:t xml:space="preserve"> quantitative, qualitative or mixed methods </w:t>
      </w:r>
      <w:r w:rsidR="00875B05" w:rsidRPr="002C21B8">
        <w:t xml:space="preserve">study </w:t>
      </w:r>
      <w:r w:rsidRPr="002C21B8">
        <w:t>design depending on the research question being addressed. Quantitative research</w:t>
      </w:r>
      <w:r w:rsidR="00875B05" w:rsidRPr="002C21B8">
        <w:t xml:space="preserve"> uses numerical data </w:t>
      </w:r>
      <w:r w:rsidR="00B33F5C" w:rsidRPr="002C21B8">
        <w:t xml:space="preserve">and statistical analysis </w:t>
      </w:r>
      <w:r w:rsidR="00875B05" w:rsidRPr="002C21B8">
        <w:t xml:space="preserve">to </w:t>
      </w:r>
      <w:r w:rsidRPr="002C21B8">
        <w:t>identify patterns, trends or outcomes</w:t>
      </w:r>
      <w:r w:rsidR="00875B05" w:rsidRPr="002C21B8">
        <w:t xml:space="preserve"> </w:t>
      </w:r>
      <w:r w:rsidR="00875B05" w:rsidRPr="002C21B8">
        <w:fldChar w:fldCharType="begin"/>
      </w:r>
      <w:r w:rsidR="00725AE2" w:rsidRPr="002C21B8">
        <w:instrText xml:space="preserve"> ADDIN EN.CITE &lt;EndNote&gt;&lt;Cite&gt;&lt;Author&gt;Watson&lt;/Author&gt;&lt;Year&gt;2015&lt;/Year&gt;&lt;RecNum&gt;125391&lt;/RecNum&gt;&lt;DisplayText&gt;(Watson, 2015)&lt;/DisplayText&gt;&lt;record&gt;&lt;rec-number&gt;125391&lt;/rec-number&gt;&lt;foreign-keys&gt;&lt;key app="EN" db-id="xpefzwa5hf9dt2ea9fax95x7xvxz90v09dtf" timestamp="1775562962"&gt;125391&lt;/key&gt;&lt;/foreign-keys&gt;&lt;ref-type name="Journal Article"&gt;17&lt;/ref-type&gt;&lt;contributors&gt;&lt;authors&gt;&lt;author&gt;Watson, Roger&lt;/author&gt;&lt;/authors&gt;&lt;/contributors&gt;&lt;titles&gt;&lt;title&gt;Quantitative research&lt;/title&gt;&lt;secondary-title&gt;Nursing Standard&lt;/secondary-title&gt;&lt;/titles&gt;&lt;periodical&gt;&lt;full-title&gt;Nursing Standard&lt;/full-title&gt;&lt;/periodical&gt;&lt;pages&gt;44&lt;/pages&gt;&lt;volume&gt;29&lt;/volume&gt;&lt;number&gt;31&lt;/number&gt;&lt;dates&gt;&lt;year&gt;2015&lt;/year&gt;&lt;/dates&gt;&lt;isbn&gt;0029-6570&lt;/isbn&gt;&lt;urls&gt;&lt;/urls&gt;&lt;/record&gt;&lt;/Cite&gt;&lt;/EndNote&gt;</w:instrText>
      </w:r>
      <w:r w:rsidR="00875B05" w:rsidRPr="002C21B8">
        <w:fldChar w:fldCharType="separate"/>
      </w:r>
      <w:r w:rsidR="00875B05" w:rsidRPr="002C21B8">
        <w:rPr>
          <w:noProof/>
        </w:rPr>
        <w:t>(Watson, 2015)</w:t>
      </w:r>
      <w:r w:rsidR="00875B05" w:rsidRPr="002C21B8">
        <w:fldChar w:fldCharType="end"/>
      </w:r>
      <w:r w:rsidRPr="002C21B8">
        <w:t xml:space="preserve">. </w:t>
      </w:r>
      <w:r w:rsidR="00875B05" w:rsidRPr="002C21B8">
        <w:t>Qualitative research gathers participants</w:t>
      </w:r>
      <w:r w:rsidR="00156E14" w:rsidRPr="002C21B8">
        <w:t>’</w:t>
      </w:r>
      <w:r w:rsidR="00875B05" w:rsidRPr="002C21B8">
        <w:t xml:space="preserve"> opinions, attitudes and lived experiences</w:t>
      </w:r>
      <w:r w:rsidR="00331F66" w:rsidRPr="002C21B8">
        <w:t xml:space="preserve"> </w:t>
      </w:r>
      <w:r w:rsidR="00331F66" w:rsidRPr="002C21B8">
        <w:fldChar w:fldCharType="begin"/>
      </w:r>
      <w:r w:rsidR="00331F66" w:rsidRPr="002C21B8">
        <w:instrText xml:space="preserve"> ADDIN EN.CITE &lt;EndNote&gt;&lt;Cite&gt;&lt;Author&gt;Lim&lt;/Author&gt;&lt;Year&gt;2025&lt;/Year&gt;&lt;RecNum&gt;124972&lt;/RecNum&gt;&lt;DisplayText&gt;(Lim, 2025)&lt;/DisplayText&gt;&lt;record&gt;&lt;rec-number&gt;124972&lt;/rec-number&gt;&lt;foreign-keys&gt;&lt;key app="EN" db-id="xpefzwa5hf9dt2ea9fax95x7xvxz90v09dtf" timestamp="1755510111"&gt;124972&lt;/key&gt;&lt;/foreign-keys&gt;&lt;ref-type name="Journal Article"&gt;17&lt;/ref-type&gt;&lt;contributors&gt;&lt;authors&gt;&lt;author&gt;Lim, Weng Marc&lt;/author&gt;&lt;/authors&gt;&lt;/contributors&gt;&lt;titles&gt;&lt;title&gt;What is qualitative research? An overview and guidelines&lt;/title&gt;&lt;secondary-title&gt;Australasian Marketing Journal&lt;/secondary-title&gt;&lt;/titles&gt;&lt;periodical&gt;&lt;full-title&gt;Australasian Marketing Journal&lt;/full-title&gt;&lt;/periodical&gt;&lt;pages&gt;199-229&lt;/pages&gt;&lt;volume&gt;33&lt;/volume&gt;&lt;number&gt;2&lt;/number&gt;&lt;dates&gt;&lt;year&gt;2025&lt;/year&gt;&lt;/dates&gt;&lt;isbn&gt;1441-3582&lt;/isbn&gt;&lt;urls&gt;&lt;/urls&gt;&lt;/record&gt;&lt;/Cite&gt;&lt;/EndNote&gt;</w:instrText>
      </w:r>
      <w:r w:rsidR="00331F66" w:rsidRPr="002C21B8">
        <w:fldChar w:fldCharType="separate"/>
      </w:r>
      <w:r w:rsidR="00331F66" w:rsidRPr="002C21B8">
        <w:rPr>
          <w:noProof/>
        </w:rPr>
        <w:t>(Lim, 2025)</w:t>
      </w:r>
      <w:r w:rsidR="00331F66" w:rsidRPr="002C21B8">
        <w:fldChar w:fldCharType="end"/>
      </w:r>
      <w:r w:rsidR="00875B05" w:rsidRPr="002C21B8">
        <w:t>.</w:t>
      </w:r>
    </w:p>
    <w:p w14:paraId="47ACEEC9" w14:textId="7BACF1D8" w:rsidR="00CE4B46" w:rsidRPr="002C21B8" w:rsidRDefault="003F3FE1" w:rsidP="00E51997">
      <w:r w:rsidRPr="002C21B8">
        <w:t>Mixed methods research</w:t>
      </w:r>
      <w:r w:rsidR="00A3400F" w:rsidRPr="002C21B8">
        <w:t xml:space="preserve"> combines these approaches within a single </w:t>
      </w:r>
      <w:r w:rsidR="00442F3E" w:rsidRPr="002C21B8">
        <w:t>programme of research</w:t>
      </w:r>
      <w:r w:rsidR="00A3400F" w:rsidRPr="002C21B8">
        <w:t xml:space="preserve">. It generally includes at least </w:t>
      </w:r>
      <w:r w:rsidR="00CE4B46" w:rsidRPr="002C21B8">
        <w:t xml:space="preserve">one quantitative method with structured data collection and statistical analysis, alongside at least one qualitative method with </w:t>
      </w:r>
      <w:r w:rsidR="00826BD2" w:rsidRPr="002C21B8">
        <w:t>semi</w:t>
      </w:r>
      <w:r w:rsidR="006D7096" w:rsidRPr="002C21B8">
        <w:t>-</w:t>
      </w:r>
      <w:r w:rsidR="00FE4AD0" w:rsidRPr="002C21B8">
        <w:t>structured</w:t>
      </w:r>
      <w:r w:rsidR="00826BD2" w:rsidRPr="002C21B8">
        <w:t xml:space="preserve"> or un</w:t>
      </w:r>
      <w:r w:rsidR="00CE4B46" w:rsidRPr="002C21B8">
        <w:t>structured data collection and thematic analysis</w:t>
      </w:r>
      <w:r w:rsidR="00F16F97" w:rsidRPr="002C21B8">
        <w:t xml:space="preserve"> </w:t>
      </w:r>
      <w:r w:rsidR="00F16F97" w:rsidRPr="002C21B8">
        <w:fldChar w:fldCharType="begin"/>
      </w:r>
      <w:r w:rsidR="00FF0A99" w:rsidRPr="002C21B8">
        <w:instrText xml:space="preserve"> ADDIN EN.CITE &lt;EndNote&gt;&lt;Cite&gt;&lt;Author&gt;O&amp;apos;Cathain&lt;/Author&gt;&lt;Year&gt;2007&lt;/Year&gt;&lt;RecNum&gt;125379&lt;/RecNum&gt;&lt;DisplayText&gt;(O&amp;apos;Cathain, Murphy and Nicholl, 2007)&lt;/DisplayText&gt;&lt;record&gt;&lt;rec-number&gt;125379&lt;/rec-number&gt;&lt;foreign-keys&gt;&lt;key app="EN" db-id="xpefzwa5hf9dt2ea9fax95x7xvxz90v09dtf" timestamp="1775494252"&gt;125379&lt;/key&gt;&lt;/foreign-keys&gt;&lt;ref-type name="Journal Article"&gt;17&lt;/ref-type&gt;&lt;contributors&gt;&lt;authors&gt;&lt;author&gt;O&amp;apos;Cathain, Alicia&lt;/author&gt;&lt;author&gt;Murphy, Elizabeth&lt;/author&gt;&lt;author&gt;Nicholl, Jon&lt;/author&gt;&lt;/authors&gt;&lt;/contributors&gt;&lt;titles&gt;&lt;title&gt;Why, and how, mixed methods research is undertaken in health services research in England: a mixed methods study&lt;/title&gt;&lt;secondary-title&gt;BMC Health Services Research&lt;/secondary-title&gt;&lt;/titles&gt;&lt;periodical&gt;&lt;full-title&gt;BMC health services research&lt;/full-title&gt;&lt;/periodical&gt;&lt;pages&gt;85&lt;/pages&gt;&lt;volume&gt;7&lt;/volume&gt;&lt;number&gt;1&lt;/number&gt;&lt;dates&gt;&lt;year&gt;2007&lt;/year&gt;&lt;/dates&gt;&lt;isbn&gt;1472-6963&lt;/isbn&gt;&lt;urls&gt;&lt;/urls&gt;&lt;/record&gt;&lt;/Cite&gt;&lt;/EndNote&gt;</w:instrText>
      </w:r>
      <w:r w:rsidR="00F16F97" w:rsidRPr="002C21B8">
        <w:fldChar w:fldCharType="separate"/>
      </w:r>
      <w:r w:rsidR="00F16F97" w:rsidRPr="002C21B8">
        <w:rPr>
          <w:noProof/>
        </w:rPr>
        <w:t>(O'Cathain, Murphy and Nicholl, 2007)</w:t>
      </w:r>
      <w:r w:rsidR="00F16F97" w:rsidRPr="002C21B8">
        <w:fldChar w:fldCharType="end"/>
      </w:r>
      <w:r w:rsidR="00CE4B46" w:rsidRPr="002C21B8">
        <w:t xml:space="preserve">. </w:t>
      </w:r>
      <w:r w:rsidR="00A3400F" w:rsidRPr="002C21B8">
        <w:t xml:space="preserve">By integrating these two approaches, mixed methods research </w:t>
      </w:r>
      <w:r w:rsidR="00826BD2" w:rsidRPr="002C21B8">
        <w:t>includes</w:t>
      </w:r>
      <w:r w:rsidR="00A3400F" w:rsidRPr="002C21B8">
        <w:t xml:space="preserve"> both </w:t>
      </w:r>
      <w:r w:rsidR="00156E14" w:rsidRPr="002C21B8">
        <w:t xml:space="preserve">the </w:t>
      </w:r>
      <w:r w:rsidR="00A3400F" w:rsidRPr="002C21B8">
        <w:t xml:space="preserve">measurable </w:t>
      </w:r>
      <w:r w:rsidR="00875B05" w:rsidRPr="002C21B8">
        <w:t>outcomes</w:t>
      </w:r>
      <w:r w:rsidR="00A3400F" w:rsidRPr="002C21B8">
        <w:t xml:space="preserve"> and underlying</w:t>
      </w:r>
      <w:r w:rsidR="007D4726" w:rsidRPr="002C21B8">
        <w:t xml:space="preserve"> mechanisms</w:t>
      </w:r>
      <w:r w:rsidR="00A3400F" w:rsidRPr="002C21B8">
        <w:t xml:space="preserve"> to provide a more comprehensive understanding of complex phenomena than either method alone </w:t>
      </w:r>
      <w:r w:rsidR="00CE4B46" w:rsidRPr="002C21B8">
        <w:fldChar w:fldCharType="begin"/>
      </w:r>
      <w:r w:rsidR="00A46115" w:rsidRPr="002C21B8">
        <w:instrText xml:space="preserve"> ADDIN EN.CITE &lt;EndNote&gt;&lt;Cite&gt;&lt;Author&gt;Creswell&lt;/Author&gt;&lt;Year&gt;2017&lt;/Year&gt;&lt;RecNum&gt;5571&lt;/RecNum&gt;&lt;DisplayText&gt;(Creswell and Plano Clark, 2017)&lt;/DisplayText&gt;&lt;record&gt;&lt;rec-number&gt;5571&lt;/rec-number&gt;&lt;foreign-keys&gt;&lt;key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00CE4B46" w:rsidRPr="002C21B8">
        <w:fldChar w:fldCharType="separate"/>
      </w:r>
      <w:r w:rsidR="00AA4764" w:rsidRPr="002C21B8">
        <w:rPr>
          <w:noProof/>
        </w:rPr>
        <w:t>(Creswell and Plano Clark, 2017)</w:t>
      </w:r>
      <w:r w:rsidR="00CE4B46" w:rsidRPr="002C21B8">
        <w:fldChar w:fldCharType="end"/>
      </w:r>
      <w:r w:rsidR="00A3400F" w:rsidRPr="002C21B8">
        <w:t>.</w:t>
      </w:r>
    </w:p>
    <w:p w14:paraId="25EA1BC6" w14:textId="387E8960" w:rsidR="003F3FE1" w:rsidRPr="002C21B8" w:rsidRDefault="00826BD2" w:rsidP="004708C9">
      <w:r w:rsidRPr="002C21B8">
        <w:t>Applied health</w:t>
      </w:r>
      <w:r w:rsidR="00F16F97" w:rsidRPr="002C21B8">
        <w:t xml:space="preserve"> research has historically relied on quantitative research methods. Over the last t</w:t>
      </w:r>
      <w:r w:rsidRPr="002C21B8">
        <w:t>hree</w:t>
      </w:r>
      <w:r w:rsidR="00F16F97" w:rsidRPr="002C21B8">
        <w:t xml:space="preserve"> decades</w:t>
      </w:r>
      <w:r w:rsidR="004708C9" w:rsidRPr="002C21B8">
        <w:t>,</w:t>
      </w:r>
      <w:r w:rsidR="00F16F97" w:rsidRPr="002C21B8">
        <w:t xml:space="preserve"> there has been a marked increase in mixed methods </w:t>
      </w:r>
      <w:r w:rsidR="004708C9" w:rsidRPr="002C21B8">
        <w:t xml:space="preserve">research </w:t>
      </w:r>
      <w:r w:rsidR="00F16F97" w:rsidRPr="002C21B8">
        <w:t xml:space="preserve">reflecting a </w:t>
      </w:r>
      <w:r w:rsidR="00875B05" w:rsidRPr="002C21B8">
        <w:t xml:space="preserve">growing </w:t>
      </w:r>
      <w:r w:rsidR="00F16F97" w:rsidRPr="002C21B8">
        <w:t xml:space="preserve">recognition that quantitative data alone cannot fully </w:t>
      </w:r>
      <w:r w:rsidRPr="002C21B8">
        <w:t>address</w:t>
      </w:r>
      <w:r w:rsidR="00F16F97" w:rsidRPr="002C21B8">
        <w:t xml:space="preserve"> the complexity of </w:t>
      </w:r>
      <w:r w:rsidR="004708C9" w:rsidRPr="002C21B8">
        <w:t>health services</w:t>
      </w:r>
      <w:r w:rsidR="00F16F97" w:rsidRPr="002C21B8">
        <w:t xml:space="preserve"> </w:t>
      </w:r>
      <w:r w:rsidR="00F16F97" w:rsidRPr="002C21B8">
        <w:fldChar w:fldCharType="begin"/>
      </w:r>
      <w:r w:rsidR="00FF0A99" w:rsidRPr="002C21B8">
        <w:instrText xml:space="preserve"> ADDIN EN.CITE &lt;EndNote&gt;&lt;Cite&gt;&lt;Author&gt;O&amp;apos;Cathain&lt;/Author&gt;&lt;Year&gt;2007&lt;/Year&gt;&lt;RecNum&gt;125379&lt;/RecNum&gt;&lt;DisplayText&gt;(O&amp;apos;Cathain, Murphy and Nicholl, 2007)&lt;/DisplayText&gt;&lt;record&gt;&lt;rec-number&gt;125379&lt;/rec-number&gt;&lt;foreign-keys&gt;&lt;key app="EN" db-id="xpefzwa5hf9dt2ea9fax95x7xvxz90v09dtf" timestamp="1775494252"&gt;125379&lt;/key&gt;&lt;/foreign-keys&gt;&lt;ref-type name="Journal Article"&gt;17&lt;/ref-type&gt;&lt;contributors&gt;&lt;authors&gt;&lt;author&gt;O&amp;apos;Cathain, Alicia&lt;/author&gt;&lt;author&gt;Murphy, Elizabeth&lt;/author&gt;&lt;author&gt;Nicholl, Jon&lt;/author&gt;&lt;/authors&gt;&lt;/contributors&gt;&lt;titles&gt;&lt;title&gt;Why, and how, mixed methods research is undertaken in health services research in England: a mixed methods study&lt;/title&gt;&lt;secondary-title&gt;BMC Health Services Research&lt;/secondary-title&gt;&lt;/titles&gt;&lt;periodical&gt;&lt;full-title&gt;BMC health services research&lt;/full-title&gt;&lt;/periodical&gt;&lt;pages&gt;85&lt;/pages&gt;&lt;volume&gt;7&lt;/volume&gt;&lt;number&gt;1&lt;/number&gt;&lt;dates&gt;&lt;year&gt;2007&lt;/year&gt;&lt;/dates&gt;&lt;isbn&gt;1472-6963&lt;/isbn&gt;&lt;urls&gt;&lt;/urls&gt;&lt;/record&gt;&lt;/Cite&gt;&lt;/EndNote&gt;</w:instrText>
      </w:r>
      <w:r w:rsidR="00F16F97" w:rsidRPr="002C21B8">
        <w:fldChar w:fldCharType="separate"/>
      </w:r>
      <w:r w:rsidR="00F16F97" w:rsidRPr="002C21B8">
        <w:rPr>
          <w:noProof/>
        </w:rPr>
        <w:t>(O'Cathain, Murphy and Nicholl, 2007)</w:t>
      </w:r>
      <w:r w:rsidR="00F16F97" w:rsidRPr="002C21B8">
        <w:fldChar w:fldCharType="end"/>
      </w:r>
      <w:r w:rsidR="00F16F97" w:rsidRPr="002C21B8">
        <w:t xml:space="preserve">. </w:t>
      </w:r>
      <w:r w:rsidRPr="002C21B8">
        <w:t xml:space="preserve">It usually focuses on primary research and does not include secondary research such as systematic reviews. However, there is no reason why it cannot include a systematic review and so the </w:t>
      </w:r>
      <w:r w:rsidR="00E06102" w:rsidRPr="002C21B8">
        <w:t>overview of systematic reviews</w:t>
      </w:r>
      <w:r w:rsidR="00A405D5" w:rsidRPr="002C21B8">
        <w:t xml:space="preserve"> is included here along</w:t>
      </w:r>
      <w:r w:rsidR="0062596D" w:rsidRPr="002C21B8">
        <w:t>side</w:t>
      </w:r>
      <w:r w:rsidR="00A405D5" w:rsidRPr="002C21B8">
        <w:t xml:space="preserve"> the primary research methods</w:t>
      </w:r>
      <w:r w:rsidR="00B40EC0" w:rsidRPr="002C21B8">
        <w:t>,</w:t>
      </w:r>
      <w:r w:rsidR="00A405D5" w:rsidRPr="002C21B8">
        <w:t xml:space="preserve"> </w:t>
      </w:r>
      <w:r w:rsidR="0062596D" w:rsidRPr="002C21B8">
        <w:t xml:space="preserve">comprising </w:t>
      </w:r>
      <w:r w:rsidR="00A405D5" w:rsidRPr="002C21B8">
        <w:t>o</w:t>
      </w:r>
      <w:r w:rsidR="0062596D" w:rsidRPr="002C21B8">
        <w:t xml:space="preserve">f the </w:t>
      </w:r>
      <w:r w:rsidR="00A405D5" w:rsidRPr="002C21B8">
        <w:t xml:space="preserve">analysis of routine data, </w:t>
      </w:r>
      <w:r w:rsidR="00A01210" w:rsidRPr="002C21B8">
        <w:t xml:space="preserve">multiple </w:t>
      </w:r>
      <w:r w:rsidR="00A405D5" w:rsidRPr="002C21B8">
        <w:t>case stud</w:t>
      </w:r>
      <w:r w:rsidR="00A01210" w:rsidRPr="002C21B8">
        <w:t>y</w:t>
      </w:r>
      <w:r w:rsidR="00A405D5" w:rsidRPr="002C21B8">
        <w:t xml:space="preserve"> and survey. </w:t>
      </w:r>
      <w:r w:rsidR="004708C9" w:rsidRPr="002C21B8">
        <w:t xml:space="preserve">The following sections present a rationale for the mixed methods approach and describe the study design according to </w:t>
      </w:r>
      <w:r w:rsidR="00F16F97" w:rsidRPr="002C21B8">
        <w:t xml:space="preserve">the </w:t>
      </w:r>
      <w:r w:rsidR="003F3FE1" w:rsidRPr="002C21B8">
        <w:t>Good Reporting of A Mixed Met</w:t>
      </w:r>
      <w:r w:rsidR="00F16F97" w:rsidRPr="002C21B8">
        <w:t>h</w:t>
      </w:r>
      <w:r w:rsidR="003F3FE1" w:rsidRPr="002C21B8">
        <w:t xml:space="preserve">ods Study (GRAMMS) </w:t>
      </w:r>
      <w:r w:rsidR="00234E91" w:rsidRPr="002C21B8">
        <w:t>checklist</w:t>
      </w:r>
      <w:r w:rsidR="00F16F97" w:rsidRPr="002C21B8">
        <w:t xml:space="preserve"> </w:t>
      </w:r>
      <w:r w:rsidR="00F16F97" w:rsidRPr="002C21B8">
        <w:fldChar w:fldCharType="begin"/>
      </w:r>
      <w:r w:rsidR="00FF0A99" w:rsidRPr="002C21B8">
        <w:instrText xml:space="preserve"> ADDIN EN.CITE &lt;EndNote&gt;&lt;Cite&gt;&lt;Author&gt;O’Cathain&lt;/Author&gt;&lt;Year&gt;2008&lt;/Year&gt;&lt;RecNum&gt;5188&lt;/RecNum&gt;&lt;DisplayText&gt;(O’Cathain, Murphy and Nicholl, 2008)&lt;/DisplayText&gt;&lt;record&gt;&lt;rec-number&gt;5188&lt;/rec-number&gt;&lt;foreign-keys&gt;&lt;key app="EN" db-id="xpefzwa5hf9dt2ea9fax95x7xvxz90v09dtf" timestamp="1700666489"&gt;5188&lt;/key&gt;&lt;/foreign-keys&gt;&lt;ref-type name="Journal Article"&gt;17&lt;/ref-type&gt;&lt;contributors&gt;&lt;authors&gt;&lt;author&gt;O’Cathain, Alicia&lt;/author&gt;&lt;author&gt;Murphy, Elizabeth&lt;/author&gt;&lt;author&gt;Nicholl, Jon&lt;/author&gt;&lt;/authors&gt;&lt;/contributors&gt;&lt;titles&gt;&lt;title&gt;The quality of mixed methods studies in health services research&lt;/title&gt;&lt;secondary-title&gt;Journal of Health Services Research &amp;amp; Policy&lt;/secondary-title&gt;&lt;/titles&gt;&lt;periodical&gt;&lt;full-title&gt;Journal of health services research &amp;amp; policy&lt;/full-title&gt;&lt;/periodical&gt;&lt;pages&gt;92-98&lt;/pages&gt;&lt;volume&gt;13&lt;/volume&gt;&lt;number&gt;2&lt;/number&gt;&lt;dates&gt;&lt;year&gt;2008&lt;/year&gt;&lt;/dates&gt;&lt;isbn&gt;1355-8196&lt;/isbn&gt;&lt;urls&gt;&lt;/urls&gt;&lt;/record&gt;&lt;/Cite&gt;&lt;/EndNote&gt;</w:instrText>
      </w:r>
      <w:r w:rsidR="00F16F97" w:rsidRPr="002C21B8">
        <w:fldChar w:fldCharType="separate"/>
      </w:r>
      <w:r w:rsidR="00264F29" w:rsidRPr="002C21B8">
        <w:rPr>
          <w:noProof/>
        </w:rPr>
        <w:t>(O’Cathain, Murphy and Nicholl, 2008)</w:t>
      </w:r>
      <w:r w:rsidR="00F16F97" w:rsidRPr="002C21B8">
        <w:fldChar w:fldCharType="end"/>
      </w:r>
      <w:r w:rsidR="00836448" w:rsidRPr="002C21B8">
        <w:t>.</w:t>
      </w:r>
    </w:p>
    <w:p w14:paraId="4EEB2399" w14:textId="674A121D" w:rsidR="00566C1C" w:rsidRPr="002C21B8" w:rsidRDefault="00127B50" w:rsidP="00ED2D36">
      <w:pPr>
        <w:pStyle w:val="Heading4"/>
      </w:pPr>
      <w:r w:rsidRPr="002C21B8">
        <w:lastRenderedPageBreak/>
        <w:t>Rationale for the</w:t>
      </w:r>
      <w:r w:rsidR="00566C1C" w:rsidRPr="002C21B8">
        <w:t xml:space="preserve"> mixed methods approach</w:t>
      </w:r>
    </w:p>
    <w:p w14:paraId="251F2A86" w14:textId="20A2C1F5" w:rsidR="00491C02" w:rsidRPr="002C21B8" w:rsidRDefault="00264F29" w:rsidP="003C4039">
      <w:r w:rsidRPr="002C21B8">
        <w:t xml:space="preserve">Mixed methods approaches are common in </w:t>
      </w:r>
      <w:r w:rsidR="006B76B7" w:rsidRPr="002C21B8">
        <w:t xml:space="preserve">applied </w:t>
      </w:r>
      <w:r w:rsidRPr="002C21B8">
        <w:t xml:space="preserve">health research because they allow researchers to address the complexity of healthcare delivery and engage with a broader set of questions than quantitative or qualitative methods alone </w:t>
      </w:r>
      <w:r w:rsidRPr="002C21B8">
        <w:fldChar w:fldCharType="begin"/>
      </w:r>
      <w:r w:rsidRPr="002C21B8">
        <w:instrText xml:space="preserve"> ADDIN EN.CITE &lt;EndNote&gt;&lt;Cite&gt;&lt;Author&gt;Curry&lt;/Author&gt;&lt;Year&gt;2013&lt;/Year&gt;&lt;RecNum&gt;125380&lt;/RecNum&gt;&lt;DisplayText&gt;(Curry&lt;style face="italic"&gt; et al.&lt;/style&gt;, 2013)&lt;/DisplayText&gt;&lt;record&gt;&lt;rec-number&gt;125380&lt;/rec-number&gt;&lt;foreign-keys&gt;&lt;key app="EN" db-id="xpefzwa5hf9dt2ea9fax95x7xvxz90v09dtf" timestamp="1775496648"&gt;125380&lt;/key&gt;&lt;/foreign-keys&gt;&lt;ref-type name="Journal Article"&gt;17&lt;/ref-type&gt;&lt;contributors&gt;&lt;authors&gt;&lt;author&gt;Curry, Leslie A&lt;/author&gt;&lt;author&gt;Krumholz, Harlan M&lt;/author&gt;&lt;author&gt;O’Cathain, Alicia&lt;/author&gt;&lt;author&gt;Clark, Vicki L Plano&lt;/author&gt;&lt;author&gt;Cherlin, Emily&lt;/author&gt;&lt;author&gt;Bradley, Elizabeth H&lt;/author&gt;&lt;/authors&gt;&lt;/contributors&gt;&lt;titles&gt;&lt;title&gt;Mixed methods in biomedical and health services research&lt;/title&gt;&lt;secondary-title&gt;Circulation: Cardiovascular Quality and Outcomes&lt;/secondary-title&gt;&lt;/titles&gt;&lt;periodical&gt;&lt;full-title&gt;Circulation: Cardiovascular Quality and Outcomes&lt;/full-title&gt;&lt;/periodical&gt;&lt;pages&gt;119-123&lt;/pages&gt;&lt;volume&gt;6&lt;/volume&gt;&lt;number&gt;1&lt;/number&gt;&lt;dates&gt;&lt;year&gt;2013&lt;/year&gt;&lt;/dates&gt;&lt;isbn&gt;1941-7713&lt;/isbn&gt;&lt;urls&gt;&lt;/urls&gt;&lt;/record&gt;&lt;/Cite&gt;&lt;/EndNote&gt;</w:instrText>
      </w:r>
      <w:r w:rsidRPr="002C21B8">
        <w:fldChar w:fldCharType="separate"/>
      </w:r>
      <w:r w:rsidRPr="002C21B8">
        <w:t>(Curry</w:t>
      </w:r>
      <w:r w:rsidRPr="002C21B8">
        <w:rPr>
          <w:i/>
        </w:rPr>
        <w:t xml:space="preserve"> et al.</w:t>
      </w:r>
      <w:r w:rsidRPr="002C21B8">
        <w:t>, 2013)</w:t>
      </w:r>
      <w:r w:rsidRPr="002C21B8">
        <w:fldChar w:fldCharType="end"/>
      </w:r>
      <w:r w:rsidRPr="002C21B8">
        <w:t xml:space="preserve">. </w:t>
      </w:r>
      <w:r w:rsidR="003C4039" w:rsidRPr="002C21B8">
        <w:t>Specific reasons for adopting a mixed methods approach can include explanation (qualitative data explains qualitative findings), interpretation (</w:t>
      </w:r>
      <w:r w:rsidR="008D6EB4">
        <w:t>one helps interpret the other without assigning causality</w:t>
      </w:r>
      <w:r w:rsidR="003C4039" w:rsidRPr="002C21B8">
        <w:t xml:space="preserve">), </w:t>
      </w:r>
      <w:r w:rsidR="008D6EB4">
        <w:t>exploration</w:t>
      </w:r>
      <w:r w:rsidR="003C4039" w:rsidRPr="002C21B8">
        <w:t xml:space="preserve"> (qualitative cases e</w:t>
      </w:r>
      <w:r w:rsidR="008D6EB4">
        <w:t>xplore</w:t>
      </w:r>
      <w:r w:rsidR="003C4039" w:rsidRPr="002C21B8">
        <w:t xml:space="preserve"> quantitative patterns), sampling (quantitative data informs selection of qualitative participants), development (one method informs the design of tools, instruments or hypotheses for the other), and triangulation (agreement or complementarity of findings is sought by combining methods) </w:t>
      </w:r>
      <w:r w:rsidR="005B2860" w:rsidRPr="002C21B8">
        <w:fldChar w:fldCharType="begin"/>
      </w:r>
      <w:r w:rsidR="00FF0A99" w:rsidRPr="002C21B8">
        <w:instrText xml:space="preserve"> ADDIN EN.CITE &lt;EndNote&gt;&lt;Cite&gt;&lt;Author&gt;O&amp;apos;Cathain&lt;/Author&gt;&lt;Year&gt;2007&lt;/Year&gt;&lt;RecNum&gt;125379&lt;/RecNum&gt;&lt;DisplayText&gt;(O&amp;apos;Cathain, Murphy and Nicholl, 2007)&lt;/DisplayText&gt;&lt;record&gt;&lt;rec-number&gt;125379&lt;/rec-number&gt;&lt;foreign-keys&gt;&lt;key app="EN" db-id="xpefzwa5hf9dt2ea9fax95x7xvxz90v09dtf" timestamp="1775494252"&gt;125379&lt;/key&gt;&lt;/foreign-keys&gt;&lt;ref-type name="Journal Article"&gt;17&lt;/ref-type&gt;&lt;contributors&gt;&lt;authors&gt;&lt;author&gt;O&amp;apos;Cathain, Alicia&lt;/author&gt;&lt;author&gt;Murphy, Elizabeth&lt;/author&gt;&lt;author&gt;Nicholl, Jon&lt;/author&gt;&lt;/authors&gt;&lt;/contributors&gt;&lt;titles&gt;&lt;title&gt;Why, and how, mixed methods research is undertaken in health services research in England: a mixed methods study&lt;/title&gt;&lt;secondary-title&gt;BMC Health Services Research&lt;/secondary-title&gt;&lt;/titles&gt;&lt;periodical&gt;&lt;full-title&gt;BMC health services research&lt;/full-title&gt;&lt;/periodical&gt;&lt;pages&gt;85&lt;/pages&gt;&lt;volume&gt;7&lt;/volume&gt;&lt;number&gt;1&lt;/number&gt;&lt;dates&gt;&lt;year&gt;2007&lt;/year&gt;&lt;/dates&gt;&lt;isbn&gt;1472-6963&lt;/isbn&gt;&lt;urls&gt;&lt;/urls&gt;&lt;/record&gt;&lt;/Cite&gt;&lt;/EndNote&gt;</w:instrText>
      </w:r>
      <w:r w:rsidR="005B2860" w:rsidRPr="002C21B8">
        <w:fldChar w:fldCharType="separate"/>
      </w:r>
      <w:r w:rsidR="005B2860" w:rsidRPr="002C21B8">
        <w:rPr>
          <w:noProof/>
        </w:rPr>
        <w:t>(O'Cathain, Murphy and Nicholl, 2007)</w:t>
      </w:r>
      <w:r w:rsidR="005B2860" w:rsidRPr="002C21B8">
        <w:fldChar w:fldCharType="end"/>
      </w:r>
      <w:r w:rsidR="003C4039" w:rsidRPr="002C21B8">
        <w:t>. I</w:t>
      </w:r>
      <w:r w:rsidR="005B2860" w:rsidRPr="002C21B8">
        <w:t>t</w:t>
      </w:r>
      <w:r w:rsidR="003C4039" w:rsidRPr="002C21B8">
        <w:t xml:space="preserve"> can also be used to a</w:t>
      </w:r>
      <w:r w:rsidR="00A405D5" w:rsidRPr="002C21B8">
        <w:t>ddress</w:t>
      </w:r>
      <w:r w:rsidR="005B2860" w:rsidRPr="002C21B8">
        <w:t xml:space="preserve"> two</w:t>
      </w:r>
      <w:r w:rsidR="003C4039" w:rsidRPr="002C21B8">
        <w:t xml:space="preserve"> </w:t>
      </w:r>
      <w:r w:rsidR="005B2860" w:rsidRPr="002C21B8">
        <w:t xml:space="preserve">linked, but equally important, research questions </w:t>
      </w:r>
      <w:r w:rsidR="005B2860" w:rsidRPr="002C21B8">
        <w:fldChar w:fldCharType="begin"/>
      </w:r>
      <w:r w:rsidR="002726AE" w:rsidRPr="002C21B8">
        <w:instrText xml:space="preserve"> ADDIN EN.CITE &lt;EndNote&gt;&lt;Cite&gt;&lt;Author&gt;O&amp;apos;Cathain&lt;/Author&gt;&lt;Year&gt;2006&lt;/Year&gt;&lt;RecNum&gt;125382&lt;/RecNum&gt;&lt;DisplayText&gt;(O&amp;apos;Cathain and Thomas, 2006)&lt;/DisplayText&gt;&lt;record&gt;&lt;rec-number&gt;125382&lt;/rec-number&gt;&lt;foreign-keys&gt;&lt;key app="EN" db-id="xpefzwa5hf9dt2ea9fax95x7xvxz90v09dtf" timestamp="1775502222"&gt;125382&lt;/key&gt;&lt;/foreign-keys&gt;&lt;ref-type name="Journal Article"&gt;17&lt;/ref-type&gt;&lt;contributors&gt;&lt;authors&gt;&lt;author&gt;O&amp;apos;Cathain, Alicia&lt;/author&gt;&lt;author&gt;Thomas, Kate&lt;/author&gt;&lt;/authors&gt;&lt;/contributors&gt;&lt;titles&gt;&lt;title&gt;Combining qualitative and quantitative methods&lt;/title&gt;&lt;secondary-title&gt;Qualitative Research in Health Care&lt;/secondary-title&gt;&lt;/titles&gt;&lt;periodical&gt;&lt;full-title&gt;Qualitative research in health care&lt;/full-title&gt;&lt;/periodical&gt;&lt;pages&gt;102-111&lt;/pages&gt;&lt;dates&gt;&lt;year&gt;2006&lt;/year&gt;&lt;/dates&gt;&lt;urls&gt;&lt;/urls&gt;&lt;/record&gt;&lt;/Cite&gt;&lt;/EndNote&gt;</w:instrText>
      </w:r>
      <w:r w:rsidR="005B2860" w:rsidRPr="002C21B8">
        <w:fldChar w:fldCharType="separate"/>
      </w:r>
      <w:r w:rsidR="005B2860" w:rsidRPr="002C21B8">
        <w:rPr>
          <w:noProof/>
        </w:rPr>
        <w:t>(O'Cathain and Thomas, 2006)</w:t>
      </w:r>
      <w:r w:rsidR="005B2860" w:rsidRPr="002C21B8">
        <w:fldChar w:fldCharType="end"/>
      </w:r>
      <w:r w:rsidR="005B2860" w:rsidRPr="002C21B8">
        <w:t>.</w:t>
      </w:r>
    </w:p>
    <w:p w14:paraId="603BBA60" w14:textId="2D955E01" w:rsidR="00171766" w:rsidRPr="002C21B8" w:rsidRDefault="00A405D5" w:rsidP="00886F9A">
      <w:r w:rsidRPr="002C21B8">
        <w:t xml:space="preserve">A mixed methods approach was </w:t>
      </w:r>
      <w:r w:rsidR="00171766" w:rsidRPr="002C21B8">
        <w:t>requir</w:t>
      </w:r>
      <w:r w:rsidRPr="002C21B8">
        <w:t xml:space="preserve">ed to </w:t>
      </w:r>
      <w:r w:rsidR="00171766" w:rsidRPr="002C21B8">
        <w:t>a</w:t>
      </w:r>
      <w:r w:rsidRPr="002C21B8">
        <w:t>ddress</w:t>
      </w:r>
      <w:r w:rsidR="00026A81" w:rsidRPr="002C21B8">
        <w:t xml:space="preserve"> </w:t>
      </w:r>
      <w:r w:rsidR="00D21370" w:rsidRPr="002C21B8">
        <w:t>the aim</w:t>
      </w:r>
      <w:r w:rsidR="00F34D56" w:rsidRPr="002C21B8">
        <w:t>s</w:t>
      </w:r>
      <w:r w:rsidR="00D21370" w:rsidRPr="002C21B8">
        <w:t xml:space="preserve"> of this research</w:t>
      </w:r>
      <w:r w:rsidR="00171766" w:rsidRPr="002C21B8">
        <w:t>, which w</w:t>
      </w:r>
      <w:r w:rsidR="002344AB" w:rsidRPr="002C21B8">
        <w:t>ere</w:t>
      </w:r>
      <w:r w:rsidR="00171766" w:rsidRPr="002C21B8">
        <w:t xml:space="preserve"> </w:t>
      </w:r>
      <w:r w:rsidR="00D21370" w:rsidRPr="002C21B8">
        <w:t xml:space="preserve">to </w:t>
      </w:r>
      <w:r w:rsidR="003771E5" w:rsidRPr="002C21B8">
        <w:t xml:space="preserve">examine </w:t>
      </w:r>
      <w:r w:rsidR="00D21370" w:rsidRPr="002C21B8">
        <w:t xml:space="preserve">the extent of the variation in tolvaptan prescribing across kidney centres in the UK and </w:t>
      </w:r>
      <w:r w:rsidR="00171766" w:rsidRPr="002C21B8">
        <w:t>explore</w:t>
      </w:r>
      <w:r w:rsidR="00D21370" w:rsidRPr="002C21B8">
        <w:t xml:space="preserve"> the underlying factors contributing to this variation</w:t>
      </w:r>
      <w:r w:rsidR="000A15E2" w:rsidRPr="002C21B8">
        <w:t>.</w:t>
      </w:r>
      <w:r w:rsidR="00171766" w:rsidRPr="002C21B8">
        <w:t xml:space="preserve"> Th</w:t>
      </w:r>
      <w:r w:rsidR="00C54038" w:rsidRPr="002C21B8">
        <w:t>ese</w:t>
      </w:r>
      <w:r w:rsidR="00171766" w:rsidRPr="002C21B8">
        <w:t xml:space="preserve"> </w:t>
      </w:r>
      <w:r w:rsidR="00FF6111" w:rsidRPr="002C21B8">
        <w:t xml:space="preserve">aims would be difficult to achieve using </w:t>
      </w:r>
      <w:r w:rsidR="00171766" w:rsidRPr="002C21B8">
        <w:t>quantitative or qualitative approaches alone.</w:t>
      </w:r>
    </w:p>
    <w:p w14:paraId="210349F1" w14:textId="6A9DF894" w:rsidR="00566C1C" w:rsidRPr="002C21B8" w:rsidRDefault="00566C1C" w:rsidP="00ED2D36">
      <w:pPr>
        <w:pStyle w:val="Heading4"/>
      </w:pPr>
      <w:r w:rsidRPr="002C21B8">
        <w:t>A description of the mixed m</w:t>
      </w:r>
      <w:r w:rsidR="005B6A4B" w:rsidRPr="002C21B8">
        <w:t>e</w:t>
      </w:r>
      <w:r w:rsidRPr="002C21B8">
        <w:t>thods design</w:t>
      </w:r>
      <w:r w:rsidR="005A381E" w:rsidRPr="002C21B8">
        <w:t xml:space="preserve"> used in this </w:t>
      </w:r>
      <w:r w:rsidR="00ED36A2" w:rsidRPr="002C21B8">
        <w:t>programme of research</w:t>
      </w:r>
    </w:p>
    <w:p w14:paraId="4899A3D2" w14:textId="35A9D709" w:rsidR="002A60F2" w:rsidRPr="002C21B8" w:rsidRDefault="00A2759A" w:rsidP="00026A81">
      <w:r w:rsidRPr="002C21B8">
        <w:t>When conceptualising mixed methods research designs</w:t>
      </w:r>
      <w:r w:rsidR="0036675B" w:rsidRPr="002C21B8">
        <w:t>,</w:t>
      </w:r>
      <w:r w:rsidRPr="002C21B8">
        <w:t xml:space="preserve"> there are some important considerations: </w:t>
      </w:r>
      <w:r w:rsidR="00864101" w:rsidRPr="002C21B8">
        <w:t>(i</w:t>
      </w:r>
      <w:r w:rsidRPr="002C21B8">
        <w:t xml:space="preserve">) </w:t>
      </w:r>
      <w:r w:rsidR="00534173" w:rsidRPr="002C21B8">
        <w:t>the order of the quantitative and qualitative components</w:t>
      </w:r>
      <w:r w:rsidR="00864101" w:rsidRPr="002C21B8">
        <w:t xml:space="preserve"> (sequential, concurrent or multiphase)</w:t>
      </w:r>
      <w:r w:rsidRPr="002C21B8">
        <w:t xml:space="preserve">, </w:t>
      </w:r>
      <w:r w:rsidR="00864101" w:rsidRPr="002C21B8">
        <w:t>(ii</w:t>
      </w:r>
      <w:r w:rsidRPr="002C21B8">
        <w:t xml:space="preserve">) which component is implemented first, </w:t>
      </w:r>
      <w:r w:rsidR="00864101" w:rsidRPr="002C21B8">
        <w:t>(iii</w:t>
      </w:r>
      <w:r w:rsidRPr="002C21B8">
        <w:t xml:space="preserve">) the priority given to each component, and </w:t>
      </w:r>
      <w:r w:rsidR="00864101" w:rsidRPr="002C21B8">
        <w:t>(iv</w:t>
      </w:r>
      <w:r w:rsidRPr="002C21B8">
        <w:t xml:space="preserve">) the phase of integration. These combinations are summarised in </w:t>
      </w:r>
      <w:r w:rsidRPr="002C21B8">
        <w:fldChar w:fldCharType="begin"/>
      </w:r>
      <w:r w:rsidRPr="002C21B8">
        <w:instrText xml:space="preserve"> REF _Ref217312317 \h  \* MERGEFORMAT </w:instrText>
      </w:r>
      <w:r w:rsidRPr="002C21B8">
        <w:fldChar w:fldCharType="separate"/>
      </w:r>
      <w:r w:rsidR="00DB3709" w:rsidRPr="002C21B8">
        <w:t xml:space="preserve">Table </w:t>
      </w:r>
      <w:r w:rsidR="00DB3709">
        <w:t>4</w:t>
      </w:r>
      <w:r w:rsidRPr="002C21B8">
        <w:fldChar w:fldCharType="end"/>
      </w:r>
      <w:r w:rsidRPr="002C21B8">
        <w:t xml:space="preserve"> </w:t>
      </w:r>
      <w:r w:rsidRPr="002C21B8">
        <w:fldChar w:fldCharType="begin"/>
      </w:r>
      <w:r w:rsidR="00A46115" w:rsidRPr="002C21B8">
        <w:instrText xml:space="preserve"> ADDIN EN.CITE &lt;EndNote&gt;&lt;Cite&gt;&lt;Author&gt;Creswell&lt;/Author&gt;&lt;Year&gt;2017&lt;/Year&gt;&lt;RecNum&gt;5571&lt;/RecNum&gt;&lt;DisplayText&gt;(Creswell and Plano Clark, 2017)&lt;/DisplayText&gt;&lt;record&gt;&lt;rec-number&gt;5571&lt;/rec-number&gt;&lt;foreign-keys&gt;&lt;key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Pr="002C21B8">
        <w:fldChar w:fldCharType="separate"/>
      </w:r>
      <w:r w:rsidR="00AA4764" w:rsidRPr="002C21B8">
        <w:rPr>
          <w:noProof/>
        </w:rPr>
        <w:t>(Creswell and Plano Clark, 2017)</w:t>
      </w:r>
      <w:r w:rsidRPr="002C21B8">
        <w:fldChar w:fldCharType="end"/>
      </w:r>
      <w:r w:rsidRPr="002C21B8">
        <w:t>.</w:t>
      </w:r>
    </w:p>
    <w:p w14:paraId="614B97AB" w14:textId="057CCC6B" w:rsidR="00A2759A" w:rsidRPr="002C21B8" w:rsidRDefault="00A2759A" w:rsidP="003D2717">
      <w:pPr>
        <w:pStyle w:val="Caption"/>
        <w:keepNext w:val="0"/>
        <w:rPr>
          <w:noProof w:val="0"/>
        </w:rPr>
      </w:pPr>
      <w:bookmarkStart w:id="55" w:name="_Ref217312317"/>
      <w:bookmarkStart w:id="56" w:name="_Toc236991740"/>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4</w:t>
      </w:r>
      <w:r w:rsidRPr="002C21B8">
        <w:rPr>
          <w:noProof w:val="0"/>
        </w:rPr>
        <w:fldChar w:fldCharType="end"/>
      </w:r>
      <w:bookmarkEnd w:id="55"/>
      <w:r w:rsidRPr="002C21B8">
        <w:rPr>
          <w:noProof w:val="0"/>
        </w:rPr>
        <w:t xml:space="preserve">. Mixed methods design types, adapted from </w:t>
      </w:r>
      <w:r w:rsidRPr="002C21B8">
        <w:rPr>
          <w:noProof w:val="0"/>
        </w:rPr>
        <w:fldChar w:fldCharType="begin"/>
      </w:r>
      <w:r w:rsidR="00A46115" w:rsidRPr="002C21B8">
        <w:rPr>
          <w:noProof w:val="0"/>
        </w:rPr>
        <w:instrText xml:space="preserve"> ADDIN EN.CITE &lt;EndNote&gt;&lt;Cite&gt;&lt;Author&gt;Creswell&lt;/Author&gt;&lt;Year&gt;2017&lt;/Year&gt;&lt;RecNum&gt;5571&lt;/RecNum&gt;&lt;DisplayText&gt;(Creswell and Plano Clark, 2017)&lt;/DisplayText&gt;&lt;record&gt;&lt;rec-number&gt;5571&lt;/rec-number&gt;&lt;foreign-keys&gt;&lt;key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Pr="002C21B8">
        <w:rPr>
          <w:noProof w:val="0"/>
        </w:rPr>
        <w:fldChar w:fldCharType="separate"/>
      </w:r>
      <w:r w:rsidR="00AA4764" w:rsidRPr="002C21B8">
        <w:t>(Creswell and Plano Clark, 2017)</w:t>
      </w:r>
      <w:bookmarkEnd w:id="56"/>
      <w:r w:rsidRPr="002C21B8">
        <w:rPr>
          <w:noProof w:val="0"/>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551"/>
        <w:gridCol w:w="2127"/>
        <w:gridCol w:w="2353"/>
      </w:tblGrid>
      <w:tr w:rsidR="00A2759A" w:rsidRPr="002C21B8" w14:paraId="4DC2A685" w14:textId="77777777" w:rsidTr="006E17AC">
        <w:tc>
          <w:tcPr>
            <w:tcW w:w="1985" w:type="dxa"/>
            <w:tcBorders>
              <w:top w:val="single" w:sz="12" w:space="0" w:color="000000" w:themeColor="text1"/>
              <w:bottom w:val="single" w:sz="4" w:space="0" w:color="000000" w:themeColor="text1"/>
            </w:tcBorders>
            <w:shd w:val="clear" w:color="auto" w:fill="auto"/>
            <w:vAlign w:val="center"/>
          </w:tcPr>
          <w:p w14:paraId="2C0667D8" w14:textId="0CB02360" w:rsidR="00A2759A" w:rsidRPr="002C21B8" w:rsidRDefault="00544ACE" w:rsidP="003D2717">
            <w:pPr>
              <w:spacing w:before="60" w:after="60" w:line="240" w:lineRule="auto"/>
              <w:rPr>
                <w:b/>
                <w:bCs/>
                <w:sz w:val="18"/>
                <w:szCs w:val="18"/>
              </w:rPr>
            </w:pPr>
            <w:r w:rsidRPr="002C21B8">
              <w:rPr>
                <w:b/>
                <w:bCs/>
                <w:sz w:val="18"/>
                <w:szCs w:val="18"/>
              </w:rPr>
              <w:t>Order</w:t>
            </w:r>
          </w:p>
        </w:tc>
        <w:tc>
          <w:tcPr>
            <w:tcW w:w="2551" w:type="dxa"/>
            <w:tcBorders>
              <w:top w:val="single" w:sz="12" w:space="0" w:color="000000" w:themeColor="text1"/>
              <w:bottom w:val="single" w:sz="4" w:space="0" w:color="000000" w:themeColor="text1"/>
            </w:tcBorders>
            <w:shd w:val="clear" w:color="auto" w:fill="auto"/>
            <w:vAlign w:val="center"/>
          </w:tcPr>
          <w:p w14:paraId="0CCA9274" w14:textId="77777777" w:rsidR="00A2759A" w:rsidRPr="002C21B8" w:rsidRDefault="00A2759A" w:rsidP="003D2717">
            <w:pPr>
              <w:spacing w:before="60" w:after="60" w:line="240" w:lineRule="auto"/>
              <w:rPr>
                <w:b/>
                <w:bCs/>
                <w:sz w:val="18"/>
                <w:szCs w:val="18"/>
              </w:rPr>
            </w:pPr>
            <w:r w:rsidRPr="002C21B8">
              <w:rPr>
                <w:b/>
                <w:bCs/>
                <w:sz w:val="18"/>
                <w:szCs w:val="18"/>
              </w:rPr>
              <w:t>Implementation</w:t>
            </w:r>
          </w:p>
        </w:tc>
        <w:tc>
          <w:tcPr>
            <w:tcW w:w="2127" w:type="dxa"/>
            <w:tcBorders>
              <w:top w:val="single" w:sz="12" w:space="0" w:color="000000" w:themeColor="text1"/>
              <w:bottom w:val="single" w:sz="4" w:space="0" w:color="000000" w:themeColor="text1"/>
            </w:tcBorders>
            <w:shd w:val="clear" w:color="auto" w:fill="auto"/>
            <w:vAlign w:val="center"/>
          </w:tcPr>
          <w:p w14:paraId="52611C78" w14:textId="77777777" w:rsidR="00A2759A" w:rsidRPr="002C21B8" w:rsidRDefault="00A2759A" w:rsidP="003D2717">
            <w:pPr>
              <w:spacing w:before="60" w:after="60" w:line="240" w:lineRule="auto"/>
              <w:rPr>
                <w:b/>
                <w:bCs/>
                <w:sz w:val="18"/>
                <w:szCs w:val="18"/>
              </w:rPr>
            </w:pPr>
            <w:r w:rsidRPr="002C21B8">
              <w:rPr>
                <w:b/>
                <w:bCs/>
                <w:sz w:val="18"/>
                <w:szCs w:val="18"/>
              </w:rPr>
              <w:t>Priority</w:t>
            </w:r>
          </w:p>
        </w:tc>
        <w:tc>
          <w:tcPr>
            <w:tcW w:w="2353" w:type="dxa"/>
            <w:tcBorders>
              <w:top w:val="single" w:sz="12" w:space="0" w:color="000000" w:themeColor="text1"/>
              <w:bottom w:val="single" w:sz="4" w:space="0" w:color="000000" w:themeColor="text1"/>
            </w:tcBorders>
            <w:shd w:val="clear" w:color="auto" w:fill="auto"/>
            <w:vAlign w:val="center"/>
          </w:tcPr>
          <w:p w14:paraId="728E0780" w14:textId="77777777" w:rsidR="00A2759A" w:rsidRPr="002C21B8" w:rsidRDefault="00A2759A" w:rsidP="003D2717">
            <w:pPr>
              <w:spacing w:before="60" w:after="60" w:line="240" w:lineRule="auto"/>
              <w:rPr>
                <w:b/>
                <w:bCs/>
                <w:sz w:val="18"/>
                <w:szCs w:val="18"/>
              </w:rPr>
            </w:pPr>
            <w:r w:rsidRPr="002C21B8">
              <w:rPr>
                <w:b/>
                <w:bCs/>
                <w:sz w:val="18"/>
                <w:szCs w:val="18"/>
              </w:rPr>
              <w:t>Phase of integration</w:t>
            </w:r>
          </w:p>
        </w:tc>
      </w:tr>
      <w:tr w:rsidR="00A2759A" w:rsidRPr="002C21B8" w14:paraId="71B73B0F" w14:textId="77777777" w:rsidTr="00DB25FC">
        <w:tc>
          <w:tcPr>
            <w:tcW w:w="9016" w:type="dxa"/>
            <w:gridSpan w:val="4"/>
            <w:tcBorders>
              <w:top w:val="single" w:sz="4" w:space="0" w:color="000000" w:themeColor="text1"/>
            </w:tcBorders>
            <w:shd w:val="clear" w:color="auto" w:fill="auto"/>
            <w:vAlign w:val="center"/>
          </w:tcPr>
          <w:p w14:paraId="3F7B213F" w14:textId="77777777" w:rsidR="00A2759A" w:rsidRPr="002C21B8" w:rsidRDefault="00A2759A" w:rsidP="003D2717">
            <w:pPr>
              <w:spacing w:before="60" w:after="60" w:line="240" w:lineRule="auto"/>
              <w:rPr>
                <w:b/>
                <w:bCs/>
                <w:sz w:val="18"/>
                <w:szCs w:val="18"/>
              </w:rPr>
            </w:pPr>
            <w:r w:rsidRPr="002C21B8">
              <w:rPr>
                <w:b/>
                <w:bCs/>
                <w:sz w:val="18"/>
                <w:szCs w:val="18"/>
              </w:rPr>
              <w:t>Sequential designs</w:t>
            </w:r>
          </w:p>
        </w:tc>
      </w:tr>
      <w:tr w:rsidR="00A2759A" w:rsidRPr="002C21B8" w14:paraId="6EEC1936" w14:textId="77777777" w:rsidTr="006E17AC">
        <w:tc>
          <w:tcPr>
            <w:tcW w:w="1985" w:type="dxa"/>
            <w:shd w:val="clear" w:color="auto" w:fill="auto"/>
            <w:vAlign w:val="center"/>
          </w:tcPr>
          <w:p w14:paraId="1D61B21A" w14:textId="77777777" w:rsidR="00A2759A" w:rsidRPr="002C21B8" w:rsidRDefault="00A2759A" w:rsidP="003D2717">
            <w:pPr>
              <w:spacing w:before="60" w:after="60" w:line="240" w:lineRule="auto"/>
              <w:rPr>
                <w:sz w:val="18"/>
                <w:szCs w:val="18"/>
              </w:rPr>
            </w:pPr>
            <w:r w:rsidRPr="002C21B8">
              <w:rPr>
                <w:sz w:val="18"/>
                <w:szCs w:val="18"/>
              </w:rPr>
              <w:t>Explanatory</w:t>
            </w:r>
          </w:p>
        </w:tc>
        <w:tc>
          <w:tcPr>
            <w:tcW w:w="2551" w:type="dxa"/>
            <w:shd w:val="clear" w:color="auto" w:fill="auto"/>
            <w:vAlign w:val="center"/>
          </w:tcPr>
          <w:p w14:paraId="47FA4877" w14:textId="77777777" w:rsidR="00A2759A" w:rsidRPr="002C21B8" w:rsidRDefault="00A2759A" w:rsidP="003D2717">
            <w:pPr>
              <w:spacing w:before="60" w:after="60" w:line="240" w:lineRule="auto"/>
              <w:rPr>
                <w:sz w:val="18"/>
                <w:szCs w:val="18"/>
              </w:rPr>
            </w:pPr>
            <w:r w:rsidRPr="002C21B8">
              <w:rPr>
                <w:sz w:val="18"/>
                <w:szCs w:val="18"/>
              </w:rPr>
              <w:t>Quantitative first</w:t>
            </w:r>
          </w:p>
        </w:tc>
        <w:tc>
          <w:tcPr>
            <w:tcW w:w="2127" w:type="dxa"/>
            <w:shd w:val="clear" w:color="auto" w:fill="auto"/>
            <w:vAlign w:val="center"/>
          </w:tcPr>
          <w:p w14:paraId="67BADFD6" w14:textId="77777777" w:rsidR="00A2759A" w:rsidRPr="002C21B8" w:rsidRDefault="00A2759A" w:rsidP="003D2717">
            <w:pPr>
              <w:spacing w:before="60" w:after="60" w:line="240" w:lineRule="auto"/>
              <w:rPr>
                <w:sz w:val="18"/>
                <w:szCs w:val="18"/>
              </w:rPr>
            </w:pPr>
            <w:r w:rsidRPr="002C21B8">
              <w:rPr>
                <w:sz w:val="18"/>
                <w:szCs w:val="18"/>
              </w:rPr>
              <w:t>Usually quantitative</w:t>
            </w:r>
          </w:p>
        </w:tc>
        <w:tc>
          <w:tcPr>
            <w:tcW w:w="2353" w:type="dxa"/>
            <w:shd w:val="clear" w:color="auto" w:fill="auto"/>
            <w:vAlign w:val="center"/>
          </w:tcPr>
          <w:p w14:paraId="0729F015" w14:textId="77777777" w:rsidR="00A2759A" w:rsidRPr="002C21B8" w:rsidRDefault="00A2759A" w:rsidP="003D2717">
            <w:pPr>
              <w:spacing w:before="60" w:after="60" w:line="240" w:lineRule="auto"/>
              <w:rPr>
                <w:sz w:val="18"/>
                <w:szCs w:val="18"/>
              </w:rPr>
            </w:pPr>
            <w:r w:rsidRPr="002C21B8">
              <w:rPr>
                <w:sz w:val="18"/>
                <w:szCs w:val="18"/>
              </w:rPr>
              <w:t>Interpretation</w:t>
            </w:r>
          </w:p>
        </w:tc>
      </w:tr>
      <w:tr w:rsidR="00A2759A" w:rsidRPr="002C21B8" w14:paraId="2F5F21FB" w14:textId="77777777" w:rsidTr="006E17AC">
        <w:tc>
          <w:tcPr>
            <w:tcW w:w="1985" w:type="dxa"/>
            <w:shd w:val="clear" w:color="auto" w:fill="auto"/>
            <w:vAlign w:val="center"/>
          </w:tcPr>
          <w:p w14:paraId="729026AC" w14:textId="77777777" w:rsidR="00A2759A" w:rsidRPr="002C21B8" w:rsidRDefault="00A2759A" w:rsidP="003D2717">
            <w:pPr>
              <w:spacing w:before="60" w:after="60" w:line="240" w:lineRule="auto"/>
              <w:rPr>
                <w:sz w:val="18"/>
                <w:szCs w:val="18"/>
              </w:rPr>
            </w:pPr>
            <w:r w:rsidRPr="002C21B8">
              <w:rPr>
                <w:sz w:val="18"/>
                <w:szCs w:val="18"/>
              </w:rPr>
              <w:t>Exploratory</w:t>
            </w:r>
          </w:p>
        </w:tc>
        <w:tc>
          <w:tcPr>
            <w:tcW w:w="2551" w:type="dxa"/>
            <w:shd w:val="clear" w:color="auto" w:fill="auto"/>
            <w:vAlign w:val="center"/>
          </w:tcPr>
          <w:p w14:paraId="1F2890A5" w14:textId="77777777" w:rsidR="00A2759A" w:rsidRPr="002C21B8" w:rsidRDefault="00A2759A" w:rsidP="003D2717">
            <w:pPr>
              <w:spacing w:before="60" w:after="60" w:line="240" w:lineRule="auto"/>
              <w:rPr>
                <w:sz w:val="18"/>
                <w:szCs w:val="18"/>
              </w:rPr>
            </w:pPr>
            <w:r w:rsidRPr="002C21B8">
              <w:rPr>
                <w:sz w:val="18"/>
                <w:szCs w:val="18"/>
              </w:rPr>
              <w:t>Qualitative first</w:t>
            </w:r>
          </w:p>
        </w:tc>
        <w:tc>
          <w:tcPr>
            <w:tcW w:w="2127" w:type="dxa"/>
            <w:shd w:val="clear" w:color="auto" w:fill="auto"/>
            <w:vAlign w:val="center"/>
          </w:tcPr>
          <w:p w14:paraId="7241BCAA" w14:textId="77777777" w:rsidR="00A2759A" w:rsidRPr="002C21B8" w:rsidRDefault="00A2759A" w:rsidP="003D2717">
            <w:pPr>
              <w:spacing w:before="60" w:after="60" w:line="240" w:lineRule="auto"/>
              <w:rPr>
                <w:sz w:val="18"/>
                <w:szCs w:val="18"/>
              </w:rPr>
            </w:pPr>
            <w:r w:rsidRPr="002C21B8">
              <w:rPr>
                <w:sz w:val="18"/>
                <w:szCs w:val="18"/>
              </w:rPr>
              <w:t>Usually qualitative</w:t>
            </w:r>
          </w:p>
        </w:tc>
        <w:tc>
          <w:tcPr>
            <w:tcW w:w="2353" w:type="dxa"/>
            <w:shd w:val="clear" w:color="auto" w:fill="auto"/>
            <w:vAlign w:val="center"/>
          </w:tcPr>
          <w:p w14:paraId="5EEFC4D6" w14:textId="77777777" w:rsidR="00A2759A" w:rsidRPr="002C21B8" w:rsidRDefault="00A2759A" w:rsidP="003D2717">
            <w:pPr>
              <w:spacing w:before="60" w:after="60" w:line="240" w:lineRule="auto"/>
              <w:rPr>
                <w:sz w:val="18"/>
                <w:szCs w:val="18"/>
              </w:rPr>
            </w:pPr>
            <w:r w:rsidRPr="002C21B8">
              <w:rPr>
                <w:sz w:val="18"/>
                <w:szCs w:val="18"/>
              </w:rPr>
              <w:t>Interpretation</w:t>
            </w:r>
          </w:p>
        </w:tc>
      </w:tr>
      <w:tr w:rsidR="00A2759A" w:rsidRPr="002C21B8" w14:paraId="5AF264D8" w14:textId="77777777" w:rsidTr="006E17AC">
        <w:tc>
          <w:tcPr>
            <w:tcW w:w="1985" w:type="dxa"/>
            <w:tcBorders>
              <w:bottom w:val="single" w:sz="6" w:space="0" w:color="000000" w:themeColor="text1"/>
            </w:tcBorders>
            <w:shd w:val="clear" w:color="auto" w:fill="auto"/>
            <w:vAlign w:val="center"/>
          </w:tcPr>
          <w:p w14:paraId="6FA764A9" w14:textId="77777777" w:rsidR="00A2759A" w:rsidRPr="002C21B8" w:rsidRDefault="00A2759A" w:rsidP="003D2717">
            <w:pPr>
              <w:spacing w:before="60" w:after="60" w:line="240" w:lineRule="auto"/>
              <w:rPr>
                <w:sz w:val="18"/>
                <w:szCs w:val="18"/>
              </w:rPr>
            </w:pPr>
            <w:r w:rsidRPr="002C21B8">
              <w:rPr>
                <w:sz w:val="18"/>
                <w:szCs w:val="18"/>
              </w:rPr>
              <w:t>Transformative</w:t>
            </w:r>
          </w:p>
        </w:tc>
        <w:tc>
          <w:tcPr>
            <w:tcW w:w="2551" w:type="dxa"/>
            <w:tcBorders>
              <w:bottom w:val="single" w:sz="6" w:space="0" w:color="000000" w:themeColor="text1"/>
            </w:tcBorders>
            <w:shd w:val="clear" w:color="auto" w:fill="auto"/>
            <w:vAlign w:val="center"/>
          </w:tcPr>
          <w:p w14:paraId="03CD965E" w14:textId="77777777" w:rsidR="00A2759A" w:rsidRPr="002C21B8" w:rsidRDefault="00A2759A" w:rsidP="003D2717">
            <w:pPr>
              <w:spacing w:before="60" w:after="60" w:line="240" w:lineRule="auto"/>
              <w:rPr>
                <w:sz w:val="18"/>
                <w:szCs w:val="18"/>
              </w:rPr>
            </w:pPr>
            <w:r w:rsidRPr="002C21B8">
              <w:rPr>
                <w:sz w:val="18"/>
                <w:szCs w:val="18"/>
              </w:rPr>
              <w:t>Either approach first</w:t>
            </w:r>
          </w:p>
        </w:tc>
        <w:tc>
          <w:tcPr>
            <w:tcW w:w="2127" w:type="dxa"/>
            <w:tcBorders>
              <w:bottom w:val="single" w:sz="6" w:space="0" w:color="000000" w:themeColor="text1"/>
            </w:tcBorders>
            <w:shd w:val="clear" w:color="auto" w:fill="auto"/>
            <w:vAlign w:val="center"/>
          </w:tcPr>
          <w:p w14:paraId="010E4814" w14:textId="77777777" w:rsidR="00A2759A" w:rsidRPr="002C21B8" w:rsidRDefault="00A2759A" w:rsidP="003D2717">
            <w:pPr>
              <w:spacing w:before="60" w:after="60" w:line="240" w:lineRule="auto"/>
              <w:rPr>
                <w:sz w:val="18"/>
                <w:szCs w:val="18"/>
              </w:rPr>
            </w:pPr>
            <w:r w:rsidRPr="002C21B8">
              <w:rPr>
                <w:sz w:val="18"/>
                <w:szCs w:val="18"/>
              </w:rPr>
              <w:t>Any priority</w:t>
            </w:r>
          </w:p>
        </w:tc>
        <w:tc>
          <w:tcPr>
            <w:tcW w:w="2353" w:type="dxa"/>
            <w:tcBorders>
              <w:bottom w:val="single" w:sz="6" w:space="0" w:color="000000" w:themeColor="text1"/>
            </w:tcBorders>
            <w:shd w:val="clear" w:color="auto" w:fill="auto"/>
            <w:vAlign w:val="center"/>
          </w:tcPr>
          <w:p w14:paraId="1BEFD606" w14:textId="77777777" w:rsidR="00A2759A" w:rsidRPr="002C21B8" w:rsidRDefault="00A2759A" w:rsidP="003D2717">
            <w:pPr>
              <w:spacing w:before="60" w:after="60" w:line="240" w:lineRule="auto"/>
              <w:rPr>
                <w:sz w:val="18"/>
                <w:szCs w:val="18"/>
              </w:rPr>
            </w:pPr>
            <w:r w:rsidRPr="002C21B8">
              <w:rPr>
                <w:sz w:val="18"/>
                <w:szCs w:val="18"/>
              </w:rPr>
              <w:t>Interpretation</w:t>
            </w:r>
          </w:p>
        </w:tc>
      </w:tr>
      <w:tr w:rsidR="00A2759A" w:rsidRPr="002C21B8" w14:paraId="294C70B9" w14:textId="77777777" w:rsidTr="00DB25FC">
        <w:tc>
          <w:tcPr>
            <w:tcW w:w="9016" w:type="dxa"/>
            <w:gridSpan w:val="4"/>
            <w:tcBorders>
              <w:top w:val="single" w:sz="6" w:space="0" w:color="000000" w:themeColor="text1"/>
            </w:tcBorders>
            <w:shd w:val="clear" w:color="auto" w:fill="auto"/>
            <w:vAlign w:val="center"/>
          </w:tcPr>
          <w:p w14:paraId="20138E72" w14:textId="77777777" w:rsidR="00A2759A" w:rsidRPr="002C21B8" w:rsidRDefault="00A2759A" w:rsidP="003D2717">
            <w:pPr>
              <w:spacing w:before="60" w:after="60" w:line="240" w:lineRule="auto"/>
              <w:rPr>
                <w:b/>
                <w:bCs/>
                <w:sz w:val="18"/>
                <w:szCs w:val="18"/>
              </w:rPr>
            </w:pPr>
            <w:r w:rsidRPr="002C21B8">
              <w:rPr>
                <w:b/>
                <w:bCs/>
                <w:sz w:val="18"/>
                <w:szCs w:val="18"/>
              </w:rPr>
              <w:t>Concurrent designs</w:t>
            </w:r>
          </w:p>
        </w:tc>
      </w:tr>
      <w:tr w:rsidR="00A2759A" w:rsidRPr="002C21B8" w14:paraId="4F0FDBB5" w14:textId="77777777" w:rsidTr="006E17AC">
        <w:tc>
          <w:tcPr>
            <w:tcW w:w="1985" w:type="dxa"/>
            <w:shd w:val="clear" w:color="auto" w:fill="auto"/>
            <w:vAlign w:val="center"/>
          </w:tcPr>
          <w:p w14:paraId="748D43B8" w14:textId="77777777" w:rsidR="00A2759A" w:rsidRPr="002C21B8" w:rsidRDefault="00A2759A" w:rsidP="003D2717">
            <w:pPr>
              <w:spacing w:before="60" w:after="60" w:line="240" w:lineRule="auto"/>
              <w:rPr>
                <w:sz w:val="18"/>
                <w:szCs w:val="18"/>
              </w:rPr>
            </w:pPr>
            <w:r w:rsidRPr="002C21B8">
              <w:rPr>
                <w:sz w:val="18"/>
                <w:szCs w:val="18"/>
              </w:rPr>
              <w:t>Triangulation</w:t>
            </w:r>
          </w:p>
        </w:tc>
        <w:tc>
          <w:tcPr>
            <w:tcW w:w="2551" w:type="dxa"/>
            <w:shd w:val="clear" w:color="auto" w:fill="auto"/>
            <w:vAlign w:val="center"/>
          </w:tcPr>
          <w:p w14:paraId="6A6BD3DD" w14:textId="77777777" w:rsidR="00A2759A" w:rsidRPr="002C21B8" w:rsidRDefault="00A2759A" w:rsidP="003D2717">
            <w:pPr>
              <w:spacing w:before="60" w:after="60" w:line="240" w:lineRule="auto"/>
              <w:rPr>
                <w:sz w:val="18"/>
                <w:szCs w:val="18"/>
              </w:rPr>
            </w:pPr>
            <w:r w:rsidRPr="002C21B8">
              <w:rPr>
                <w:sz w:val="18"/>
                <w:szCs w:val="18"/>
              </w:rPr>
              <w:t>Concurrent</w:t>
            </w:r>
          </w:p>
        </w:tc>
        <w:tc>
          <w:tcPr>
            <w:tcW w:w="2127" w:type="dxa"/>
            <w:shd w:val="clear" w:color="auto" w:fill="auto"/>
            <w:vAlign w:val="center"/>
          </w:tcPr>
          <w:p w14:paraId="45ABC663" w14:textId="77777777" w:rsidR="00A2759A" w:rsidRPr="002C21B8" w:rsidRDefault="00A2759A" w:rsidP="003D2717">
            <w:pPr>
              <w:spacing w:before="60" w:after="60" w:line="240" w:lineRule="auto"/>
              <w:rPr>
                <w:sz w:val="18"/>
                <w:szCs w:val="18"/>
              </w:rPr>
            </w:pPr>
            <w:r w:rsidRPr="002C21B8">
              <w:rPr>
                <w:sz w:val="18"/>
                <w:szCs w:val="18"/>
              </w:rPr>
              <w:t>Preferably equal</w:t>
            </w:r>
          </w:p>
        </w:tc>
        <w:tc>
          <w:tcPr>
            <w:tcW w:w="2353" w:type="dxa"/>
            <w:shd w:val="clear" w:color="auto" w:fill="auto"/>
            <w:vAlign w:val="center"/>
          </w:tcPr>
          <w:p w14:paraId="69E69C87" w14:textId="77777777" w:rsidR="00A2759A" w:rsidRPr="002C21B8" w:rsidRDefault="00A2759A" w:rsidP="003D2717">
            <w:pPr>
              <w:spacing w:before="60" w:after="60" w:line="240" w:lineRule="auto"/>
              <w:rPr>
                <w:sz w:val="18"/>
                <w:szCs w:val="18"/>
              </w:rPr>
            </w:pPr>
            <w:r w:rsidRPr="002C21B8">
              <w:rPr>
                <w:sz w:val="18"/>
                <w:szCs w:val="18"/>
              </w:rPr>
              <w:t>Interpretation or analysis</w:t>
            </w:r>
          </w:p>
        </w:tc>
      </w:tr>
      <w:tr w:rsidR="00A2759A" w:rsidRPr="002C21B8" w14:paraId="5B350EBC" w14:textId="77777777" w:rsidTr="006E17AC">
        <w:tc>
          <w:tcPr>
            <w:tcW w:w="1985" w:type="dxa"/>
            <w:shd w:val="clear" w:color="auto" w:fill="auto"/>
            <w:vAlign w:val="center"/>
          </w:tcPr>
          <w:p w14:paraId="2E6C817A" w14:textId="77777777" w:rsidR="00A2759A" w:rsidRPr="002C21B8" w:rsidRDefault="00A2759A" w:rsidP="003D2717">
            <w:pPr>
              <w:spacing w:before="60" w:after="60" w:line="240" w:lineRule="auto"/>
              <w:rPr>
                <w:sz w:val="18"/>
                <w:szCs w:val="18"/>
              </w:rPr>
            </w:pPr>
            <w:r w:rsidRPr="002C21B8">
              <w:rPr>
                <w:sz w:val="18"/>
                <w:szCs w:val="18"/>
              </w:rPr>
              <w:t>Nested</w:t>
            </w:r>
          </w:p>
        </w:tc>
        <w:tc>
          <w:tcPr>
            <w:tcW w:w="2551" w:type="dxa"/>
            <w:shd w:val="clear" w:color="auto" w:fill="auto"/>
            <w:vAlign w:val="center"/>
          </w:tcPr>
          <w:p w14:paraId="13AFED2E" w14:textId="77777777" w:rsidR="00A2759A" w:rsidRPr="002C21B8" w:rsidRDefault="00A2759A" w:rsidP="003D2717">
            <w:pPr>
              <w:spacing w:before="60" w:after="60" w:line="240" w:lineRule="auto"/>
              <w:rPr>
                <w:sz w:val="18"/>
                <w:szCs w:val="18"/>
              </w:rPr>
            </w:pPr>
            <w:r w:rsidRPr="002C21B8">
              <w:rPr>
                <w:sz w:val="18"/>
                <w:szCs w:val="18"/>
              </w:rPr>
              <w:t xml:space="preserve">Concurrent </w:t>
            </w:r>
          </w:p>
        </w:tc>
        <w:tc>
          <w:tcPr>
            <w:tcW w:w="2127" w:type="dxa"/>
            <w:shd w:val="clear" w:color="auto" w:fill="auto"/>
            <w:vAlign w:val="center"/>
          </w:tcPr>
          <w:p w14:paraId="5F2AB89A" w14:textId="77777777" w:rsidR="00A2759A" w:rsidRPr="002C21B8" w:rsidRDefault="00A2759A" w:rsidP="003D2717">
            <w:pPr>
              <w:spacing w:before="60" w:after="60" w:line="240" w:lineRule="auto"/>
              <w:rPr>
                <w:sz w:val="18"/>
                <w:szCs w:val="18"/>
              </w:rPr>
            </w:pPr>
            <w:r w:rsidRPr="002C21B8">
              <w:rPr>
                <w:sz w:val="18"/>
                <w:szCs w:val="18"/>
              </w:rPr>
              <w:t>Any priority</w:t>
            </w:r>
          </w:p>
        </w:tc>
        <w:tc>
          <w:tcPr>
            <w:tcW w:w="2353" w:type="dxa"/>
            <w:shd w:val="clear" w:color="auto" w:fill="auto"/>
            <w:vAlign w:val="center"/>
          </w:tcPr>
          <w:p w14:paraId="04F8E34F" w14:textId="77777777" w:rsidR="00A2759A" w:rsidRPr="002C21B8" w:rsidRDefault="00A2759A" w:rsidP="003D2717">
            <w:pPr>
              <w:spacing w:before="60" w:after="60" w:line="240" w:lineRule="auto"/>
              <w:rPr>
                <w:sz w:val="18"/>
                <w:szCs w:val="18"/>
              </w:rPr>
            </w:pPr>
            <w:r w:rsidRPr="002C21B8">
              <w:rPr>
                <w:sz w:val="18"/>
                <w:szCs w:val="18"/>
              </w:rPr>
              <w:t>Analysis</w:t>
            </w:r>
          </w:p>
        </w:tc>
      </w:tr>
      <w:tr w:rsidR="00A2759A" w:rsidRPr="002C21B8" w14:paraId="242E65BC" w14:textId="77777777" w:rsidTr="006E17AC">
        <w:tc>
          <w:tcPr>
            <w:tcW w:w="1985" w:type="dxa"/>
            <w:tcBorders>
              <w:bottom w:val="single" w:sz="6" w:space="0" w:color="000000" w:themeColor="text1"/>
            </w:tcBorders>
            <w:shd w:val="clear" w:color="auto" w:fill="auto"/>
            <w:vAlign w:val="center"/>
          </w:tcPr>
          <w:p w14:paraId="1D83359D" w14:textId="77777777" w:rsidR="00A2759A" w:rsidRPr="002C21B8" w:rsidRDefault="00A2759A" w:rsidP="003D2717">
            <w:pPr>
              <w:spacing w:before="60" w:after="60" w:line="240" w:lineRule="auto"/>
              <w:rPr>
                <w:sz w:val="18"/>
                <w:szCs w:val="18"/>
              </w:rPr>
            </w:pPr>
            <w:r w:rsidRPr="002C21B8">
              <w:rPr>
                <w:sz w:val="18"/>
                <w:szCs w:val="18"/>
              </w:rPr>
              <w:t>Transformative</w:t>
            </w:r>
          </w:p>
        </w:tc>
        <w:tc>
          <w:tcPr>
            <w:tcW w:w="2551" w:type="dxa"/>
            <w:tcBorders>
              <w:bottom w:val="single" w:sz="6" w:space="0" w:color="000000" w:themeColor="text1"/>
            </w:tcBorders>
            <w:shd w:val="clear" w:color="auto" w:fill="auto"/>
            <w:vAlign w:val="center"/>
          </w:tcPr>
          <w:p w14:paraId="4DAC906A" w14:textId="77777777" w:rsidR="00A2759A" w:rsidRPr="002C21B8" w:rsidRDefault="00A2759A" w:rsidP="003D2717">
            <w:pPr>
              <w:spacing w:before="60" w:after="60" w:line="240" w:lineRule="auto"/>
              <w:rPr>
                <w:sz w:val="18"/>
                <w:szCs w:val="18"/>
              </w:rPr>
            </w:pPr>
            <w:r w:rsidRPr="002C21B8">
              <w:rPr>
                <w:sz w:val="18"/>
                <w:szCs w:val="18"/>
              </w:rPr>
              <w:t>Concurrent</w:t>
            </w:r>
          </w:p>
        </w:tc>
        <w:tc>
          <w:tcPr>
            <w:tcW w:w="2127" w:type="dxa"/>
            <w:tcBorders>
              <w:bottom w:val="single" w:sz="6" w:space="0" w:color="000000" w:themeColor="text1"/>
            </w:tcBorders>
            <w:shd w:val="clear" w:color="auto" w:fill="auto"/>
            <w:vAlign w:val="center"/>
          </w:tcPr>
          <w:p w14:paraId="702D1E2D" w14:textId="77777777" w:rsidR="00A2759A" w:rsidRPr="002C21B8" w:rsidRDefault="00A2759A" w:rsidP="003D2717">
            <w:pPr>
              <w:spacing w:before="60" w:after="60" w:line="240" w:lineRule="auto"/>
              <w:rPr>
                <w:sz w:val="18"/>
                <w:szCs w:val="18"/>
              </w:rPr>
            </w:pPr>
            <w:r w:rsidRPr="002C21B8">
              <w:rPr>
                <w:sz w:val="18"/>
                <w:szCs w:val="18"/>
              </w:rPr>
              <w:t>Any priority or equal</w:t>
            </w:r>
          </w:p>
        </w:tc>
        <w:tc>
          <w:tcPr>
            <w:tcW w:w="2353" w:type="dxa"/>
            <w:tcBorders>
              <w:bottom w:val="single" w:sz="6" w:space="0" w:color="000000" w:themeColor="text1"/>
            </w:tcBorders>
            <w:shd w:val="clear" w:color="auto" w:fill="auto"/>
            <w:vAlign w:val="center"/>
          </w:tcPr>
          <w:p w14:paraId="0DEBA53A" w14:textId="2147D8A7" w:rsidR="00A2759A" w:rsidRPr="002C21B8" w:rsidRDefault="00A2759A" w:rsidP="003D2717">
            <w:pPr>
              <w:spacing w:before="60" w:after="60" w:line="240" w:lineRule="auto"/>
              <w:rPr>
                <w:sz w:val="18"/>
                <w:szCs w:val="18"/>
              </w:rPr>
            </w:pPr>
            <w:r w:rsidRPr="002C21B8">
              <w:rPr>
                <w:sz w:val="18"/>
                <w:szCs w:val="18"/>
              </w:rPr>
              <w:t xml:space="preserve">Usually </w:t>
            </w:r>
            <w:r w:rsidR="00A62423" w:rsidRPr="002C21B8">
              <w:rPr>
                <w:sz w:val="18"/>
                <w:szCs w:val="18"/>
              </w:rPr>
              <w:t>a</w:t>
            </w:r>
            <w:r w:rsidRPr="002C21B8">
              <w:rPr>
                <w:sz w:val="18"/>
                <w:szCs w:val="18"/>
              </w:rPr>
              <w:t>nalysis</w:t>
            </w:r>
          </w:p>
        </w:tc>
      </w:tr>
      <w:tr w:rsidR="00A2759A" w:rsidRPr="002C21B8" w14:paraId="0E3B6C2F" w14:textId="77777777" w:rsidTr="00DB25FC">
        <w:tc>
          <w:tcPr>
            <w:tcW w:w="9016" w:type="dxa"/>
            <w:gridSpan w:val="4"/>
            <w:tcBorders>
              <w:top w:val="single" w:sz="6" w:space="0" w:color="000000" w:themeColor="text1"/>
            </w:tcBorders>
            <w:shd w:val="clear" w:color="auto" w:fill="auto"/>
            <w:vAlign w:val="center"/>
          </w:tcPr>
          <w:p w14:paraId="23019199" w14:textId="77777777" w:rsidR="00A2759A" w:rsidRPr="002C21B8" w:rsidRDefault="00A2759A" w:rsidP="003D2717">
            <w:pPr>
              <w:spacing w:before="60" w:after="60" w:line="240" w:lineRule="auto"/>
              <w:rPr>
                <w:b/>
                <w:bCs/>
                <w:sz w:val="18"/>
                <w:szCs w:val="18"/>
              </w:rPr>
            </w:pPr>
            <w:r w:rsidRPr="002C21B8">
              <w:rPr>
                <w:b/>
                <w:bCs/>
                <w:sz w:val="18"/>
                <w:szCs w:val="18"/>
              </w:rPr>
              <w:t>Multiphase designs</w:t>
            </w:r>
          </w:p>
        </w:tc>
      </w:tr>
      <w:tr w:rsidR="00A2759A" w:rsidRPr="002C21B8" w14:paraId="255D4D48" w14:textId="77777777" w:rsidTr="006E17AC">
        <w:tc>
          <w:tcPr>
            <w:tcW w:w="1985" w:type="dxa"/>
            <w:tcBorders>
              <w:bottom w:val="single" w:sz="12" w:space="0" w:color="000000" w:themeColor="text1"/>
            </w:tcBorders>
            <w:shd w:val="clear" w:color="auto" w:fill="auto"/>
            <w:vAlign w:val="center"/>
          </w:tcPr>
          <w:p w14:paraId="18B1F323" w14:textId="77777777" w:rsidR="00A2759A" w:rsidRPr="002C21B8" w:rsidRDefault="00A2759A" w:rsidP="003D2717">
            <w:pPr>
              <w:spacing w:before="60" w:after="60" w:line="240" w:lineRule="auto"/>
              <w:rPr>
                <w:sz w:val="18"/>
                <w:szCs w:val="18"/>
              </w:rPr>
            </w:pPr>
            <w:r w:rsidRPr="002C21B8">
              <w:rPr>
                <w:sz w:val="18"/>
                <w:szCs w:val="18"/>
              </w:rPr>
              <w:t>&gt; 2 phases</w:t>
            </w:r>
          </w:p>
        </w:tc>
        <w:tc>
          <w:tcPr>
            <w:tcW w:w="2551" w:type="dxa"/>
            <w:tcBorders>
              <w:bottom w:val="single" w:sz="12" w:space="0" w:color="000000" w:themeColor="text1"/>
            </w:tcBorders>
            <w:shd w:val="clear" w:color="auto" w:fill="auto"/>
            <w:vAlign w:val="center"/>
          </w:tcPr>
          <w:p w14:paraId="7DC931B2" w14:textId="77777777" w:rsidR="00A2759A" w:rsidRPr="002C21B8" w:rsidRDefault="00A2759A" w:rsidP="003D2717">
            <w:pPr>
              <w:spacing w:before="60" w:after="60" w:line="240" w:lineRule="auto"/>
              <w:rPr>
                <w:sz w:val="18"/>
                <w:szCs w:val="18"/>
              </w:rPr>
            </w:pPr>
            <w:r w:rsidRPr="002C21B8">
              <w:rPr>
                <w:sz w:val="18"/>
                <w:szCs w:val="18"/>
              </w:rPr>
              <w:t>Sequential or concurrent</w:t>
            </w:r>
          </w:p>
        </w:tc>
        <w:tc>
          <w:tcPr>
            <w:tcW w:w="2127" w:type="dxa"/>
            <w:tcBorders>
              <w:bottom w:val="single" w:sz="12" w:space="0" w:color="000000" w:themeColor="text1"/>
            </w:tcBorders>
            <w:shd w:val="clear" w:color="auto" w:fill="auto"/>
            <w:vAlign w:val="center"/>
          </w:tcPr>
          <w:p w14:paraId="2A846B68" w14:textId="77777777" w:rsidR="00A2759A" w:rsidRPr="002C21B8" w:rsidRDefault="00A2759A" w:rsidP="003D2717">
            <w:pPr>
              <w:spacing w:before="60" w:after="60" w:line="240" w:lineRule="auto"/>
              <w:rPr>
                <w:sz w:val="18"/>
                <w:szCs w:val="18"/>
              </w:rPr>
            </w:pPr>
            <w:r w:rsidRPr="002C21B8">
              <w:rPr>
                <w:sz w:val="18"/>
                <w:szCs w:val="18"/>
              </w:rPr>
              <w:t>Usually equal</w:t>
            </w:r>
          </w:p>
        </w:tc>
        <w:tc>
          <w:tcPr>
            <w:tcW w:w="2353" w:type="dxa"/>
            <w:tcBorders>
              <w:bottom w:val="single" w:sz="12" w:space="0" w:color="000000" w:themeColor="text1"/>
            </w:tcBorders>
            <w:shd w:val="clear" w:color="auto" w:fill="auto"/>
            <w:vAlign w:val="center"/>
          </w:tcPr>
          <w:p w14:paraId="35194448" w14:textId="77777777" w:rsidR="00A2759A" w:rsidRPr="002C21B8" w:rsidRDefault="00A2759A" w:rsidP="003D2717">
            <w:pPr>
              <w:spacing w:before="60" w:after="60" w:line="240" w:lineRule="auto"/>
              <w:rPr>
                <w:sz w:val="18"/>
                <w:szCs w:val="18"/>
              </w:rPr>
            </w:pPr>
            <w:r w:rsidRPr="002C21B8">
              <w:rPr>
                <w:sz w:val="18"/>
                <w:szCs w:val="18"/>
              </w:rPr>
              <w:t>Usually analysis</w:t>
            </w:r>
          </w:p>
        </w:tc>
      </w:tr>
    </w:tbl>
    <w:p w14:paraId="21A8B591" w14:textId="5EA998B7" w:rsidR="000F21F6" w:rsidRPr="002C21B8" w:rsidRDefault="000F21F6" w:rsidP="003D2717">
      <w:pPr>
        <w:spacing w:after="0" w:line="240" w:lineRule="auto"/>
        <w:jc w:val="left"/>
        <w:rPr>
          <w:b/>
          <w:bCs/>
          <w:i/>
          <w:iCs/>
        </w:rPr>
      </w:pPr>
    </w:p>
    <w:p w14:paraId="5A1F6F24" w14:textId="77777777" w:rsidR="003E68A5" w:rsidRPr="002C21B8" w:rsidRDefault="003E68A5" w:rsidP="003D2717">
      <w:pPr>
        <w:spacing w:after="0" w:line="240" w:lineRule="auto"/>
        <w:rPr>
          <w:b/>
          <w:bCs/>
          <w:i/>
          <w:iCs/>
        </w:rPr>
      </w:pPr>
    </w:p>
    <w:p w14:paraId="10D2A3B7" w14:textId="648B96A7" w:rsidR="00A405D5" w:rsidRPr="002C21B8" w:rsidRDefault="00A405D5" w:rsidP="0098749A">
      <w:pPr>
        <w:spacing w:after="0"/>
        <w:rPr>
          <w:b/>
          <w:bCs/>
          <w:i/>
          <w:iCs/>
        </w:rPr>
      </w:pPr>
      <w:r w:rsidRPr="002C21B8">
        <w:rPr>
          <w:b/>
          <w:bCs/>
          <w:i/>
          <w:iCs/>
        </w:rPr>
        <w:lastRenderedPageBreak/>
        <w:t xml:space="preserve">The design used for the </w:t>
      </w:r>
      <w:r w:rsidR="00ED36A2" w:rsidRPr="002C21B8">
        <w:rPr>
          <w:b/>
          <w:bCs/>
          <w:i/>
          <w:iCs/>
        </w:rPr>
        <w:t>programme of research</w:t>
      </w:r>
      <w:r w:rsidRPr="002C21B8">
        <w:rPr>
          <w:b/>
          <w:bCs/>
          <w:i/>
          <w:iCs/>
        </w:rPr>
        <w:t>, of which this thesis is a part</w:t>
      </w:r>
    </w:p>
    <w:p w14:paraId="459A047A" w14:textId="1447367C" w:rsidR="00F76835" w:rsidRPr="002C21B8" w:rsidRDefault="004C0E8F" w:rsidP="00322406">
      <w:r w:rsidRPr="002C21B8">
        <w:t>A</w:t>
      </w:r>
      <w:r w:rsidR="003817A6" w:rsidRPr="002C21B8">
        <w:t xml:space="preserve">s stated in </w:t>
      </w:r>
      <w:hyperlink w:anchor="_–_Introduction" w:history="1">
        <w:r w:rsidR="003817A6" w:rsidRPr="002C21B8">
          <w:rPr>
            <w:rStyle w:val="Hyperlink"/>
          </w:rPr>
          <w:t>Chapter 1</w:t>
        </w:r>
      </w:hyperlink>
      <w:r w:rsidR="003817A6" w:rsidRPr="002C21B8">
        <w:t xml:space="preserve">, this thesis is part of a wider </w:t>
      </w:r>
      <w:r w:rsidR="00ED36A2" w:rsidRPr="002C21B8">
        <w:t>programme of research</w:t>
      </w:r>
      <w:r w:rsidR="003817A6" w:rsidRPr="002C21B8">
        <w:t xml:space="preserve"> for a THIS </w:t>
      </w:r>
      <w:r w:rsidR="00103235" w:rsidRPr="002C21B8">
        <w:t xml:space="preserve">Institute </w:t>
      </w:r>
      <w:r w:rsidR="003817A6" w:rsidRPr="002C21B8">
        <w:t xml:space="preserve">Doctoral Fellowship. The </w:t>
      </w:r>
      <w:r w:rsidR="00A2759A" w:rsidRPr="002C21B8">
        <w:t xml:space="preserve">mixed-methods </w:t>
      </w:r>
      <w:r w:rsidR="00856A07" w:rsidRPr="002C21B8">
        <w:t>design</w:t>
      </w:r>
      <w:r w:rsidR="00A2759A" w:rsidRPr="002C21B8">
        <w:t xml:space="preserve"> </w:t>
      </w:r>
      <w:r w:rsidR="003817A6" w:rsidRPr="002C21B8">
        <w:t xml:space="preserve">for the primary research </w:t>
      </w:r>
      <w:r w:rsidR="00045388" w:rsidRPr="002C21B8">
        <w:t>had a</w:t>
      </w:r>
      <w:r w:rsidR="003817A6" w:rsidRPr="002C21B8">
        <w:t xml:space="preserve"> </w:t>
      </w:r>
      <w:r w:rsidR="00A2759A" w:rsidRPr="002C21B8">
        <w:t xml:space="preserve">qualitative residual analysis </w:t>
      </w:r>
      <w:r w:rsidR="00F76835" w:rsidRPr="002C21B8">
        <w:t>(QRA)</w:t>
      </w:r>
      <w:r w:rsidR="00045388" w:rsidRPr="002C21B8">
        <w:t xml:space="preserve"> approach</w:t>
      </w:r>
      <w:r w:rsidR="000D7898" w:rsidRPr="002C21B8">
        <w:t>. This</w:t>
      </w:r>
      <w:r w:rsidR="00CF20EE" w:rsidRPr="002C21B8">
        <w:t xml:space="preserve"> </w:t>
      </w:r>
      <w:r w:rsidR="003817A6" w:rsidRPr="002C21B8">
        <w:t>is</w:t>
      </w:r>
      <w:r w:rsidR="00CF20EE" w:rsidRPr="002C21B8">
        <w:t xml:space="preserve"> a sequential multiphase design</w:t>
      </w:r>
      <w:r w:rsidR="00E82840" w:rsidRPr="002C21B8">
        <w:t>,</w:t>
      </w:r>
      <w:r w:rsidR="00CF20EE" w:rsidRPr="002C21B8">
        <w:t xml:space="preserve"> </w:t>
      </w:r>
      <w:r w:rsidR="000D7898" w:rsidRPr="002C21B8">
        <w:t>in which</w:t>
      </w:r>
      <w:r w:rsidR="00CF20EE" w:rsidRPr="002C21B8">
        <w:t xml:space="preserve"> </w:t>
      </w:r>
      <w:r w:rsidR="000D7898" w:rsidRPr="002C21B8">
        <w:t>both components ha</w:t>
      </w:r>
      <w:r w:rsidR="003817A6" w:rsidRPr="002C21B8">
        <w:t>ve</w:t>
      </w:r>
      <w:r w:rsidR="000D7898" w:rsidRPr="002C21B8">
        <w:t xml:space="preserve"> equal priority and integration occurs du</w:t>
      </w:r>
      <w:r w:rsidR="00074394" w:rsidRPr="002C21B8">
        <w:t xml:space="preserve">ring </w:t>
      </w:r>
      <w:r w:rsidR="006868CC" w:rsidRPr="002C21B8">
        <w:t>the interpretation phase</w:t>
      </w:r>
      <w:r w:rsidR="000D7898" w:rsidRPr="002C21B8">
        <w:t xml:space="preserve">. </w:t>
      </w:r>
      <w:r w:rsidR="00F76835" w:rsidRPr="002C21B8">
        <w:t xml:space="preserve">It was originally described by </w:t>
      </w:r>
      <w:r w:rsidR="00322406" w:rsidRPr="002C21B8">
        <w:fldChar w:fldCharType="begin"/>
      </w:r>
      <w:r w:rsidR="00322406" w:rsidRPr="002C21B8">
        <w:instrText xml:space="preserve"> ADDIN EN.CITE &lt;EndNote&gt;&lt;Cite AuthorYear="1"&gt;&lt;Author&gt;Fry&lt;/Author&gt;&lt;Year&gt;1981&lt;/Year&gt;&lt;RecNum&gt;5191&lt;/RecNum&gt;&lt;DisplayText&gt;Fry, Chantavanich and Chantavanich (1981)&lt;/DisplayText&gt;&lt;record&gt;&lt;rec-number&gt;5191&lt;/rec-number&gt;&lt;foreign-keys&gt;&lt;key app="EN" db-id="xpefzwa5hf9dt2ea9fax95x7xvxz90v09dtf" timestamp="1700666748"&gt;5191&lt;/key&gt;&lt;/foreign-keys&gt;&lt;ref-type name="Journal Article"&gt;17&lt;/ref-type&gt;&lt;contributors&gt;&lt;authors&gt;&lt;author&gt;Fry, Gerald&lt;/author&gt;&lt;author&gt;Chantavanich, Supang&lt;/author&gt;&lt;author&gt;Chantavanich, Amrung&lt;/author&gt;&lt;/authors&gt;&lt;/contributors&gt;&lt;titles&gt;&lt;title&gt;Merging quantitative and qualitative research techniques: toward a new research paradigm 1&lt;/title&gt;&lt;secondary-title&gt;Anthropology &amp;amp; Education Quarterly&lt;/secondary-title&gt;&lt;/titles&gt;&lt;periodical&gt;&lt;full-title&gt;Anthropology &amp;amp; Education Quarterly&lt;/full-title&gt;&lt;/periodical&gt;&lt;pages&gt;145-158&lt;/pages&gt;&lt;volume&gt;12&lt;/volume&gt;&lt;number&gt;2&lt;/number&gt;&lt;dates&gt;&lt;year&gt;1981&lt;/year&gt;&lt;/dates&gt;&lt;isbn&gt;0161-7761&lt;/isbn&gt;&lt;urls&gt;&lt;/urls&gt;&lt;/record&gt;&lt;/Cite&gt;&lt;/EndNote&gt;</w:instrText>
      </w:r>
      <w:r w:rsidR="00322406" w:rsidRPr="002C21B8">
        <w:fldChar w:fldCharType="separate"/>
      </w:r>
      <w:r w:rsidR="00322406" w:rsidRPr="002C21B8">
        <w:t>Fry, Chantavanich and Chantavanich (1981)</w:t>
      </w:r>
      <w:r w:rsidR="00322406" w:rsidRPr="002C21B8">
        <w:fldChar w:fldCharType="end"/>
      </w:r>
      <w:r w:rsidR="00322406" w:rsidRPr="002C21B8">
        <w:t xml:space="preserve"> as </w:t>
      </w:r>
      <w:r w:rsidR="00074394" w:rsidRPr="002C21B8">
        <w:t>‘</w:t>
      </w:r>
      <w:r w:rsidR="00322406" w:rsidRPr="002C21B8">
        <w:t>ethnographic residual analysis</w:t>
      </w:r>
      <w:r w:rsidR="00074394" w:rsidRPr="002C21B8">
        <w:t xml:space="preserve">’ in which quantitative results are used to identify cases that deviate from expected outcomes (large residuals) that are then explored through ethnography. In this context, ethnography is </w:t>
      </w:r>
      <w:r w:rsidRPr="002C21B8">
        <w:t xml:space="preserve">a qualitative research method in which researchers study a group of people by observing and </w:t>
      </w:r>
      <w:r w:rsidR="003817A6" w:rsidRPr="002C21B8">
        <w:t xml:space="preserve">(sometimes) </w:t>
      </w:r>
      <w:r w:rsidRPr="002C21B8">
        <w:t xml:space="preserve">participating in their environment </w:t>
      </w:r>
      <w:r w:rsidRPr="002C21B8">
        <w:fldChar w:fldCharType="begin"/>
      </w:r>
      <w:r w:rsidR="00331F66" w:rsidRPr="002C21B8">
        <w:instrText xml:space="preserve"> ADDIN EN.CITE &lt;EndNote&gt;&lt;Cite&gt;&lt;Author&gt;Symbaluk&lt;/Author&gt;&lt;Year&gt;2024&lt;/Year&gt;&lt;RecNum&gt;125384&lt;/RecNum&gt;&lt;DisplayText&gt;(Symbaluk and Hall, 2024)&lt;/DisplayText&gt;&lt;record&gt;&lt;rec-number&gt;125384&lt;/rec-number&gt;&lt;foreign-keys&gt;&lt;key app="EN" db-id="xpefzwa5hf9dt2ea9fax95x7xvxz90v09dtf" timestamp="1775546609"&gt;125384&lt;/key&gt;&lt;/foreign-keys&gt;&lt;ref-type name="Book"&gt;6&lt;/ref-type&gt;&lt;contributors&gt;&lt;authors&gt;&lt;author&gt;Symbaluk, Diane&lt;/author&gt;&lt;author&gt;Hall, Robyn&lt;/author&gt;&lt;/authors&gt;&lt;/contributors&gt;&lt;titles&gt;&lt;title&gt;Research methods: Exploring the social world in Canadian contexts&lt;/title&gt;&lt;/titles&gt;&lt;edition&gt;3rd&lt;/edition&gt;&lt;section&gt;1-444&lt;/section&gt;&lt;dates&gt;&lt;year&gt;2024&lt;/year&gt;&lt;/dates&gt;&lt;pub-location&gt;Edmonton, Alberta, Canada&lt;/pub-location&gt;&lt;publisher&gt;MacEwan Open Books&lt;/publisher&gt;&lt;urls&gt;&lt;/urls&gt;&lt;/record&gt;&lt;/Cite&gt;&lt;/EndNote&gt;</w:instrText>
      </w:r>
      <w:r w:rsidRPr="002C21B8">
        <w:fldChar w:fldCharType="separate"/>
      </w:r>
      <w:r w:rsidRPr="002C21B8">
        <w:rPr>
          <w:noProof/>
        </w:rPr>
        <w:t>(Symbaluk and Hall, 2024)</w:t>
      </w:r>
      <w:r w:rsidRPr="002C21B8">
        <w:fldChar w:fldCharType="end"/>
      </w:r>
      <w:r w:rsidRPr="002C21B8">
        <w:t xml:space="preserve">. </w:t>
      </w:r>
      <w:r w:rsidR="00F76835" w:rsidRPr="002C21B8">
        <w:t xml:space="preserve">However, ethnography is not always </w:t>
      </w:r>
      <w:r w:rsidR="003817A6" w:rsidRPr="002C21B8">
        <w:t>used in QRA</w:t>
      </w:r>
      <w:r w:rsidR="00D23BAB" w:rsidRPr="002C21B8">
        <w:t xml:space="preserve"> </w:t>
      </w:r>
      <w:r w:rsidR="00F76835" w:rsidRPr="002C21B8">
        <w:t xml:space="preserve">and other methods such as interviews, focus groups, </w:t>
      </w:r>
      <w:r w:rsidR="00EC29A5" w:rsidRPr="002C21B8">
        <w:t xml:space="preserve">observations or </w:t>
      </w:r>
      <w:r w:rsidR="00F76835" w:rsidRPr="002C21B8">
        <w:t xml:space="preserve">document analysis may be </w:t>
      </w:r>
      <w:r w:rsidR="000D7898" w:rsidRPr="002C21B8">
        <w:t>undertaken,</w:t>
      </w:r>
      <w:r w:rsidR="00F76835" w:rsidRPr="002C21B8">
        <w:t xml:space="preserve"> either on their own or as part of a multiple case</w:t>
      </w:r>
      <w:r w:rsidR="006B76B7" w:rsidRPr="002C21B8">
        <w:t xml:space="preserve"> study</w:t>
      </w:r>
      <w:r w:rsidR="00F76835" w:rsidRPr="002C21B8">
        <w:t xml:space="preserve"> </w:t>
      </w:r>
      <w:r w:rsidR="00ED36A2" w:rsidRPr="002C21B8">
        <w:t>design</w:t>
      </w:r>
      <w:r w:rsidR="00EC29A5" w:rsidRPr="002C21B8">
        <w:t xml:space="preserve"> </w:t>
      </w:r>
      <w:r w:rsidR="00EC29A5" w:rsidRPr="002C21B8">
        <w:fldChar w:fldCharType="begin"/>
      </w:r>
      <w:r w:rsidR="00EC29A5" w:rsidRPr="002C21B8">
        <w:instrText xml:space="preserve"> ADDIN EN.CITE &lt;EndNote&gt;&lt;Cite&gt;&lt;Author&gt;Onwuegbuzie&lt;/Author&gt;&lt;Year&gt;2008&lt;/Year&gt;&lt;RecNum&gt;5476&lt;/RecNum&gt;&lt;DisplayText&gt;(Onwuegbuzie, Leech and Collins, 2008)&lt;/DisplayText&gt;&lt;record&gt;&lt;rec-number&gt;5476&lt;/rec-number&gt;&lt;foreign-keys&gt;&lt;key app="EN" db-id="xpefzwa5hf9dt2ea9fax95x7xvxz90v09dtf" timestamp="1704523368"&gt;5476&lt;/key&gt;&lt;/foreign-keys&gt;&lt;ref-type name="Journal Article"&gt;17&lt;/ref-type&gt;&lt;contributors&gt;&lt;authors&gt;&lt;author&gt;Onwuegbuzie, Anthony J&lt;/author&gt;&lt;author&gt;Leech, Nancy L&lt;/author&gt;&lt;author&gt;Collins, Kathleen MT&lt;/author&gt;&lt;/authors&gt;&lt;/contributors&gt;&lt;titles&gt;&lt;title&gt;Interviewing the interpretive researcher: A method for addressing the crises of representation, legitimation, and praxis&lt;/title&gt;&lt;secondary-title&gt;International Journal of Qualitative Methods&lt;/secondary-title&gt;&lt;/titles&gt;&lt;periodical&gt;&lt;full-title&gt;International Journal of Qualitative Methods&lt;/full-title&gt;&lt;/periodical&gt;&lt;pages&gt;1-17&lt;/pages&gt;&lt;volume&gt;7&lt;/volume&gt;&lt;number&gt;4&lt;/number&gt;&lt;dates&gt;&lt;year&gt;2008&lt;/year&gt;&lt;/dates&gt;&lt;isbn&gt;1609-4069&lt;/isbn&gt;&lt;urls&gt;&lt;/urls&gt;&lt;/record&gt;&lt;/Cite&gt;&lt;/EndNote&gt;</w:instrText>
      </w:r>
      <w:r w:rsidR="00EC29A5" w:rsidRPr="002C21B8">
        <w:fldChar w:fldCharType="separate"/>
      </w:r>
      <w:r w:rsidR="00EC29A5" w:rsidRPr="002C21B8">
        <w:t>(Onwuegbuzie, Leech and Collins, 2008)</w:t>
      </w:r>
      <w:r w:rsidR="00EC29A5" w:rsidRPr="002C21B8">
        <w:fldChar w:fldCharType="end"/>
      </w:r>
      <w:r w:rsidR="00F76835" w:rsidRPr="002C21B8">
        <w:t xml:space="preserve">. </w:t>
      </w:r>
      <w:r w:rsidR="000463C3" w:rsidRPr="002C21B8">
        <w:t xml:space="preserve">QRA </w:t>
      </w:r>
      <w:r w:rsidR="000D7898" w:rsidRPr="002C21B8">
        <w:t>ha</w:t>
      </w:r>
      <w:r w:rsidR="000463C3" w:rsidRPr="002C21B8">
        <w:t xml:space="preserve">s </w:t>
      </w:r>
      <w:r w:rsidR="003817A6" w:rsidRPr="002C21B8">
        <w:t xml:space="preserve">been </w:t>
      </w:r>
      <w:r w:rsidR="000463C3" w:rsidRPr="002C21B8">
        <w:t xml:space="preserve">used within healthcare research, particularly in the context of emergency medicine and trauma care studies in the UK </w:t>
      </w:r>
      <w:r w:rsidR="000463C3" w:rsidRPr="002C21B8">
        <w:fldChar w:fldCharType="begin">
          <w:fldData xml:space="preserve">PEVuZE5vdGU+PENpdGU+PEF1dGhvcj5P4oCZQ2F0aGFpbjwvQXV0aG9yPjxZZWFyPjIwMTM8L1ll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=
</w:fldData>
        </w:fldChar>
      </w:r>
      <w:r w:rsidR="00590E88" w:rsidRPr="002C21B8">
        <w:instrText xml:space="preserve"> ADDIN EN.CITE </w:instrText>
      </w:r>
      <w:r w:rsidR="00590E88" w:rsidRPr="002C21B8">
        <w:fldChar w:fldCharType="begin">
          <w:fldData xml:space="preserve">PEVuZE5vdGU+PENpdGU+PEF1dGhvcj5P4oCZQ2F0aGFpbjwvQXV0aG9yPjxZZWFyPjIwMTM8L1ll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=
</w:fldData>
        </w:fldChar>
      </w:r>
      <w:r w:rsidR="00590E88" w:rsidRPr="002C21B8">
        <w:instrText xml:space="preserve"> ADDIN EN.CITE.DATA </w:instrText>
      </w:r>
      <w:r w:rsidR="00590E88" w:rsidRPr="002C21B8">
        <w:fldChar w:fldCharType="end"/>
      </w:r>
      <w:r w:rsidR="000463C3" w:rsidRPr="002C21B8">
        <w:fldChar w:fldCharType="separate"/>
      </w:r>
      <w:r w:rsidR="000463C3" w:rsidRPr="002C21B8">
        <w:rPr>
          <w:noProof/>
        </w:rPr>
        <w:t>(Mason</w:t>
      </w:r>
      <w:r w:rsidR="000463C3" w:rsidRPr="002C21B8">
        <w:rPr>
          <w:i/>
          <w:noProof/>
        </w:rPr>
        <w:t xml:space="preserve"> et al.</w:t>
      </w:r>
      <w:r w:rsidR="000463C3" w:rsidRPr="002C21B8">
        <w:rPr>
          <w:noProof/>
        </w:rPr>
        <w:t>, 2006; O’Cathain</w:t>
      </w:r>
      <w:r w:rsidR="000463C3" w:rsidRPr="002C21B8">
        <w:rPr>
          <w:i/>
          <w:noProof/>
        </w:rPr>
        <w:t xml:space="preserve"> et al.</w:t>
      </w:r>
      <w:r w:rsidR="000463C3" w:rsidRPr="002C21B8">
        <w:rPr>
          <w:noProof/>
        </w:rPr>
        <w:t>, 2013; Sammy, 2019)</w:t>
      </w:r>
      <w:r w:rsidR="000463C3" w:rsidRPr="002C21B8">
        <w:fldChar w:fldCharType="end"/>
      </w:r>
      <w:r w:rsidR="000463C3" w:rsidRPr="002C21B8">
        <w:t xml:space="preserve">. </w:t>
      </w:r>
      <w:r w:rsidR="000D7898" w:rsidRPr="002C21B8">
        <w:t xml:space="preserve">For example, </w:t>
      </w:r>
      <w:r w:rsidR="000463C3" w:rsidRPr="002C21B8">
        <w:fldChar w:fldCharType="begin"/>
      </w:r>
      <w:r w:rsidR="005D7DBC" w:rsidRPr="002C21B8">
        <w:instrText xml:space="preserve"> ADDIN EN.CITE &lt;EndNote&gt;&lt;Cite AuthorYear="1"&gt;&lt;Author&gt;O&amp;apos;Cathain&lt;/Author&gt;&lt;Year&gt;2014&lt;/Year&gt;&lt;RecNum&gt;124965&lt;/RecNum&gt;&lt;DisplayText&gt;O&amp;apos;Cathain&lt;style face="italic"&gt; et al.&lt;/style&gt; (2014)&lt;/DisplayText&gt;&lt;record&gt;&lt;rec-number&gt;124965&lt;/rec-number&gt;&lt;foreign-keys&gt;&lt;key app="EN" db-id="xpefzwa5hf9dt2ea9fax95x7xvxz90v09dtf" timestamp="1754487771"&gt;124965&lt;/key&gt;&lt;/foreign-keys&gt;&lt;ref-type name="Journal Article"&gt;17&lt;/ref-type&gt;&lt;contributors&gt;&lt;authors&gt;&lt;author&gt;O&amp;apos;Cathain, Alicia&lt;/author&gt;&lt;author&gt;Knowles, Emma&lt;/author&gt;&lt;author&gt;Turner, Janette&lt;/author&gt;&lt;author&gt;Hirst, E&lt;/author&gt;&lt;author&gt;Goodacre, Steve&lt;/author&gt;&lt;author&gt;Nicholl, J&lt;/author&gt;&lt;/authors&gt;&lt;/contributors&gt;&lt;titles&gt;&lt;title&gt;Explaining variation in emergency admissions: a mixed-methods study of emergency and urgent care systems&lt;/title&gt;&lt;secondary-title&gt;Journal of Health Services Research and Policy&lt;/secondary-title&gt;&lt;/titles&gt;&lt;periodical&gt;&lt;full-title&gt;Journal of Health Services Research and Policy&lt;/full-title&gt;&lt;/periodical&gt;&lt;pages&gt;1-119&lt;/pages&gt;&lt;volume&gt;2&lt;/volume&gt;&lt;number&gt;48&lt;/number&gt;&lt;dates&gt;&lt;year&gt;2014&lt;/year&gt;&lt;/dates&gt;&lt;urls&gt;&lt;/urls&gt;&lt;/record&gt;&lt;/Cite&gt;&lt;/EndNote&gt;</w:instrText>
      </w:r>
      <w:r w:rsidR="000463C3" w:rsidRPr="002C21B8">
        <w:fldChar w:fldCharType="separate"/>
      </w:r>
      <w:r w:rsidR="000463C3" w:rsidRPr="002C21B8">
        <w:rPr>
          <w:noProof/>
        </w:rPr>
        <w:t>O'Cathain</w:t>
      </w:r>
      <w:r w:rsidR="000463C3" w:rsidRPr="002C21B8">
        <w:rPr>
          <w:i/>
          <w:noProof/>
        </w:rPr>
        <w:t xml:space="preserve"> et al.</w:t>
      </w:r>
      <w:r w:rsidR="000463C3" w:rsidRPr="002C21B8">
        <w:rPr>
          <w:noProof/>
        </w:rPr>
        <w:t xml:space="preserve"> (2014)</w:t>
      </w:r>
      <w:r w:rsidR="000463C3" w:rsidRPr="002C21B8">
        <w:fldChar w:fldCharType="end"/>
      </w:r>
      <w:r w:rsidR="000463C3" w:rsidRPr="002C21B8">
        <w:t xml:space="preserve"> and </w:t>
      </w:r>
      <w:r w:rsidR="000463C3" w:rsidRPr="002C21B8">
        <w:fldChar w:fldCharType="begin"/>
      </w:r>
      <w:r w:rsidR="000463C3" w:rsidRPr="002C21B8">
        <w:instrText xml:space="preserve"> ADDIN EN.CITE &lt;EndNote&gt;&lt;Cite AuthorYear="1"&gt;&lt;Author&gt;Sammy&lt;/Author&gt;&lt;Year&gt;2019&lt;/Year&gt;&lt;RecNum&gt;5195&lt;/RecNum&gt;&lt;DisplayText&gt;Sammy (2019)&lt;/DisplayText&gt;&lt;record&gt;&lt;rec-number&gt;5195&lt;/rec-number&gt;&lt;foreign-keys&gt;&lt;key app="EN" db-id="xpefzwa5hf9dt2ea9fax95x7xvxz90v09dtf" timestamp="1700667057"&gt;5195&lt;/key&gt;&lt;/foreign-keys&gt;&lt;ref-type name="Thesis"&gt;32&lt;/ref-type&gt;&lt;contributors&gt;&lt;authors&gt;&lt;author&gt;Sammy, Ian&lt;/author&gt;&lt;/authors&gt;&lt;/contributors&gt;&lt;titles&gt;&lt;title&gt;Identifying Older Major Trauma Patient Characteristics and Care Process Factors that Impact on Mortality–a Mixed Methods Study&lt;/title&gt;&lt;/titles&gt;&lt;dates&gt;&lt;year&gt;2019&lt;/year&gt;&lt;/dates&gt;&lt;publisher&gt;University of Sheffield&lt;/publisher&gt;&lt;urls&gt;&lt;/urls&gt;&lt;/record&gt;&lt;/Cite&gt;&lt;/EndNote&gt;</w:instrText>
      </w:r>
      <w:r w:rsidR="000463C3" w:rsidRPr="002C21B8">
        <w:fldChar w:fldCharType="separate"/>
      </w:r>
      <w:r w:rsidR="000463C3" w:rsidRPr="002C21B8">
        <w:t>Sammy (2019)</w:t>
      </w:r>
      <w:r w:rsidR="000463C3" w:rsidRPr="002C21B8">
        <w:fldChar w:fldCharType="end"/>
      </w:r>
      <w:r w:rsidR="000463C3" w:rsidRPr="002C21B8">
        <w:t xml:space="preserve"> used a QRA approach to identify factors influencing avoidable emergency admissions and mortality </w:t>
      </w:r>
      <w:r w:rsidR="003817A6" w:rsidRPr="002C21B8">
        <w:t>in</w:t>
      </w:r>
      <w:r w:rsidR="000463C3" w:rsidRPr="002C21B8">
        <w:t xml:space="preserve"> older major trauma patients</w:t>
      </w:r>
      <w:r w:rsidR="0036675B" w:rsidRPr="002C21B8">
        <w:t>,</w:t>
      </w:r>
      <w:r w:rsidR="000463C3" w:rsidRPr="002C21B8">
        <w:t xml:space="preserve"> respectively.</w:t>
      </w:r>
    </w:p>
    <w:p w14:paraId="2ACCA9BB" w14:textId="32699357" w:rsidR="004C0E8F" w:rsidRPr="002C21B8" w:rsidRDefault="005E4550" w:rsidP="00446F55">
      <w:r w:rsidRPr="002C21B8">
        <w:t xml:space="preserve">QRA was selected because it provided </w:t>
      </w:r>
      <w:r w:rsidR="00446F55" w:rsidRPr="002C21B8">
        <w:t xml:space="preserve">a structured </w:t>
      </w:r>
      <w:r w:rsidRPr="002C21B8">
        <w:t xml:space="preserve">approach to explicitly link quantitative </w:t>
      </w:r>
      <w:r w:rsidR="00446F55" w:rsidRPr="002C21B8">
        <w:t>patterns with qualitative insights. This approach was well</w:t>
      </w:r>
      <w:r w:rsidR="0036675B" w:rsidRPr="002C21B8">
        <w:t>-</w:t>
      </w:r>
      <w:r w:rsidR="00446F55" w:rsidRPr="002C21B8">
        <w:t xml:space="preserve">positioned to explain variation between </w:t>
      </w:r>
      <w:r w:rsidR="003817A6" w:rsidRPr="002C21B8">
        <w:t xml:space="preserve">kidney </w:t>
      </w:r>
      <w:r w:rsidR="00446F55" w:rsidRPr="002C21B8">
        <w:t xml:space="preserve">centres and generate contextualised insights into the </w:t>
      </w:r>
      <w:r w:rsidR="00CA680F" w:rsidRPr="002C21B8">
        <w:t>underlying</w:t>
      </w:r>
      <w:r w:rsidR="00446F55" w:rsidRPr="002C21B8">
        <w:t xml:space="preserve"> mechanisms.</w:t>
      </w:r>
      <w:r w:rsidR="003817A6" w:rsidRPr="002C21B8">
        <w:t xml:space="preserve"> </w:t>
      </w:r>
      <w:r w:rsidR="0064148E" w:rsidRPr="002C21B8">
        <w:t>The design</w:t>
      </w:r>
      <w:r w:rsidR="00147085" w:rsidRPr="002C21B8">
        <w:t xml:space="preserve"> for this programme of research</w:t>
      </w:r>
      <w:r w:rsidR="0064148E" w:rsidRPr="002C21B8">
        <w:t xml:space="preserve"> comprised</w:t>
      </w:r>
      <w:r w:rsidR="0036675B" w:rsidRPr="002C21B8">
        <w:t xml:space="preserve"> of</w:t>
      </w:r>
      <w:r w:rsidR="0064148E" w:rsidRPr="002C21B8">
        <w:t xml:space="preserve"> four phases. First, an analysis of registry data </w:t>
      </w:r>
      <w:r w:rsidR="003817A6" w:rsidRPr="002C21B8">
        <w:t>to</w:t>
      </w:r>
      <w:r w:rsidR="00134BE9" w:rsidRPr="002C21B8">
        <w:t xml:space="preserve"> quantify variation between kidney centres and inform sampling for the subsequent phase</w:t>
      </w:r>
      <w:r w:rsidR="0064148E" w:rsidRPr="002C21B8">
        <w:t>. Second, a</w:t>
      </w:r>
      <w:r w:rsidR="003817A6" w:rsidRPr="002C21B8">
        <w:t xml:space="preserve"> multiple case study to</w:t>
      </w:r>
      <w:r w:rsidR="00134BE9" w:rsidRPr="002C21B8">
        <w:t xml:space="preserve"> explore underlying variation in the implementation of tolvaptan care pathways and identify factors influencing decision-making that may lead to this variation</w:t>
      </w:r>
      <w:r w:rsidR="0064148E" w:rsidRPr="002C21B8">
        <w:t>. Third,</w:t>
      </w:r>
      <w:r w:rsidR="003817A6" w:rsidRPr="002C21B8">
        <w:t xml:space="preserve"> a </w:t>
      </w:r>
      <w:r w:rsidR="00134BE9" w:rsidRPr="002C21B8">
        <w:t xml:space="preserve">national </w:t>
      </w:r>
      <w:r w:rsidR="003817A6" w:rsidRPr="002C21B8">
        <w:t xml:space="preserve">survey of </w:t>
      </w:r>
      <w:r w:rsidR="00134BE9" w:rsidRPr="002C21B8">
        <w:t xml:space="preserve">clinical practice at </w:t>
      </w:r>
      <w:r w:rsidR="003817A6" w:rsidRPr="002C21B8">
        <w:t xml:space="preserve">kidney centres </w:t>
      </w:r>
      <w:r w:rsidR="00D66AF8" w:rsidRPr="002C21B8">
        <w:t>c</w:t>
      </w:r>
      <w:r w:rsidR="003817A6" w:rsidRPr="002C21B8">
        <w:t>o</w:t>
      </w:r>
      <w:r w:rsidR="00D66AF8" w:rsidRPr="002C21B8">
        <w:t>mpleted by</w:t>
      </w:r>
      <w:r w:rsidR="00134BE9" w:rsidRPr="002C21B8">
        <w:t xml:space="preserve"> </w:t>
      </w:r>
      <w:r w:rsidR="00843413" w:rsidRPr="002C21B8">
        <w:t xml:space="preserve">ADPKD lead clinicians to </w:t>
      </w:r>
      <w:r w:rsidR="0064148E" w:rsidRPr="002C21B8">
        <w:t>assess the relevance of the qualitative findings to nephrology centres across the UK. F</w:t>
      </w:r>
      <w:r w:rsidR="003817A6" w:rsidRPr="002C21B8">
        <w:t>inally</w:t>
      </w:r>
      <w:r w:rsidR="0064148E" w:rsidRPr="002C21B8">
        <w:t>, a</w:t>
      </w:r>
      <w:r w:rsidR="003817A6" w:rsidRPr="002C21B8">
        <w:t xml:space="preserve"> reanalysis of the </w:t>
      </w:r>
      <w:r w:rsidR="00134BE9" w:rsidRPr="002C21B8">
        <w:t>registry</w:t>
      </w:r>
      <w:r w:rsidR="003817A6" w:rsidRPr="002C21B8">
        <w:t xml:space="preserve"> data using the data on new factors measured in the survey</w:t>
      </w:r>
      <w:r w:rsidR="008838A7" w:rsidRPr="002C21B8">
        <w:t>,</w:t>
      </w:r>
      <w:r w:rsidR="003817A6" w:rsidRPr="002C21B8">
        <w:t xml:space="preserve"> to</w:t>
      </w:r>
      <w:r w:rsidR="0064148E" w:rsidRPr="002C21B8">
        <w:t xml:space="preserve"> assess whether factors identified explain previously observed variation between centres</w:t>
      </w:r>
      <w:r w:rsidR="00A94F0B" w:rsidRPr="002C21B8">
        <w:t>.</w:t>
      </w:r>
    </w:p>
    <w:p w14:paraId="300EDA4D" w14:textId="77777777" w:rsidR="003817A6" w:rsidRPr="002C21B8" w:rsidRDefault="003817A6" w:rsidP="0098749A">
      <w:pPr>
        <w:spacing w:after="0"/>
        <w:rPr>
          <w:b/>
          <w:bCs/>
          <w:i/>
          <w:iCs/>
        </w:rPr>
      </w:pPr>
      <w:r w:rsidRPr="002C21B8">
        <w:rPr>
          <w:b/>
          <w:bCs/>
          <w:i/>
          <w:iCs/>
        </w:rPr>
        <w:t>The research design in this thesis</w:t>
      </w:r>
    </w:p>
    <w:p w14:paraId="32AEE2D1" w14:textId="3C6393D2" w:rsidR="00F76835" w:rsidRPr="002C21B8" w:rsidRDefault="00D45650" w:rsidP="00AA25DD">
      <w:r w:rsidRPr="002C21B8">
        <w:t>The design for the thesis is slightly different from th</w:t>
      </w:r>
      <w:r w:rsidR="007A2945" w:rsidRPr="002C21B8">
        <w:t>at in t</w:t>
      </w:r>
      <w:r w:rsidRPr="002C21B8">
        <w:t xml:space="preserve">he fellowship. </w:t>
      </w:r>
      <w:r w:rsidR="007A2945" w:rsidRPr="002C21B8">
        <w:t xml:space="preserve">It also follows a </w:t>
      </w:r>
      <w:r w:rsidRPr="002C21B8">
        <w:t xml:space="preserve">sequential mixed methods </w:t>
      </w:r>
      <w:r w:rsidR="007A2945" w:rsidRPr="002C21B8">
        <w:t>approach</w:t>
      </w:r>
      <w:r w:rsidR="0036675B" w:rsidRPr="002C21B8">
        <w:t>,</w:t>
      </w:r>
      <w:r w:rsidRPr="002C21B8">
        <w:t xml:space="preserve"> but with </w:t>
      </w:r>
      <w:r w:rsidR="00EE185E" w:rsidRPr="002C21B8">
        <w:t>P</w:t>
      </w:r>
      <w:r w:rsidRPr="002C21B8">
        <w:t xml:space="preserve">hase 1 </w:t>
      </w:r>
      <w:r w:rsidR="005B4EDE" w:rsidRPr="002C21B8">
        <w:t xml:space="preserve">being a systematic review of prescribing </w:t>
      </w:r>
      <w:r w:rsidR="00D66AF8" w:rsidRPr="002C21B8">
        <w:t xml:space="preserve">decision-making </w:t>
      </w:r>
      <w:r w:rsidR="005B4EDE" w:rsidRPr="002C21B8">
        <w:t xml:space="preserve">in chronic </w:t>
      </w:r>
      <w:r w:rsidR="00717D3C" w:rsidRPr="002C21B8">
        <w:t>condition</w:t>
      </w:r>
      <w:r w:rsidR="005B4EDE" w:rsidRPr="002C21B8">
        <w:t>s to offer a conceptual model for the primary research</w:t>
      </w:r>
      <w:r w:rsidR="00D34081" w:rsidRPr="002C21B8">
        <w:t xml:space="preserve">. This is reported </w:t>
      </w:r>
      <w:r w:rsidR="00607BD2" w:rsidRPr="002C21B8">
        <w:t>in journal article 1</w:t>
      </w:r>
      <w:r w:rsidR="005B4EDE" w:rsidRPr="002C21B8">
        <w:t xml:space="preserve">. This was followed by </w:t>
      </w:r>
      <w:r w:rsidR="00EE185E" w:rsidRPr="002C21B8">
        <w:t>P</w:t>
      </w:r>
      <w:r w:rsidR="005B4EDE" w:rsidRPr="002C21B8">
        <w:t>hases 2-4</w:t>
      </w:r>
      <w:r w:rsidR="0036675B" w:rsidRPr="002C21B8">
        <w:t>,</w:t>
      </w:r>
      <w:r w:rsidR="00A94F0B" w:rsidRPr="002C21B8">
        <w:t xml:space="preserve"> which is</w:t>
      </w:r>
      <w:r w:rsidR="005B4EDE" w:rsidRPr="002C21B8">
        <w:t xml:space="preserve"> the primary research</w:t>
      </w:r>
      <w:r w:rsidR="00AA25DD" w:rsidRPr="002C21B8">
        <w:t xml:space="preserve">: </w:t>
      </w:r>
      <w:r w:rsidR="00EE185E" w:rsidRPr="002C21B8">
        <w:t>P</w:t>
      </w:r>
      <w:r w:rsidR="00AA25DD" w:rsidRPr="002C21B8">
        <w:t>hase 2</w:t>
      </w:r>
      <w:r w:rsidR="002344AB" w:rsidRPr="002C21B8">
        <w:t>,</w:t>
      </w:r>
      <w:r w:rsidR="00AA25DD" w:rsidRPr="002C21B8">
        <w:t xml:space="preserve"> the </w:t>
      </w:r>
      <w:r w:rsidR="005B4EDE" w:rsidRPr="002C21B8">
        <w:t>analysis of re</w:t>
      </w:r>
      <w:r w:rsidR="00EE185E" w:rsidRPr="002C21B8">
        <w:t>gistry</w:t>
      </w:r>
      <w:r w:rsidR="005B4EDE" w:rsidRPr="002C21B8">
        <w:t xml:space="preserve"> data, followed by </w:t>
      </w:r>
      <w:r w:rsidR="00EE185E" w:rsidRPr="002C21B8">
        <w:t>P</w:t>
      </w:r>
      <w:r w:rsidR="00AA25DD" w:rsidRPr="002C21B8">
        <w:t>hase 3</w:t>
      </w:r>
      <w:r w:rsidR="0036675B" w:rsidRPr="002C21B8">
        <w:t>,</w:t>
      </w:r>
      <w:r w:rsidR="00AA25DD" w:rsidRPr="002C21B8">
        <w:t xml:space="preserve"> </w:t>
      </w:r>
      <w:r w:rsidR="005B4EDE" w:rsidRPr="002C21B8">
        <w:t xml:space="preserve">a multiple case study, followed by </w:t>
      </w:r>
      <w:r w:rsidR="00EE185E" w:rsidRPr="002C21B8">
        <w:t>P</w:t>
      </w:r>
      <w:r w:rsidR="00AA25DD" w:rsidRPr="002C21B8">
        <w:t>hase 4</w:t>
      </w:r>
      <w:r w:rsidR="0036675B" w:rsidRPr="002C21B8">
        <w:t>,</w:t>
      </w:r>
      <w:r w:rsidR="00AA25DD" w:rsidRPr="002C21B8">
        <w:t xml:space="preserve"> </w:t>
      </w:r>
      <w:r w:rsidR="005B4EDE" w:rsidRPr="002C21B8">
        <w:t xml:space="preserve">a </w:t>
      </w:r>
      <w:r w:rsidR="00FC190F" w:rsidRPr="002C21B8">
        <w:t xml:space="preserve">national </w:t>
      </w:r>
      <w:r w:rsidR="005B4EDE" w:rsidRPr="002C21B8">
        <w:t xml:space="preserve">survey of </w:t>
      </w:r>
      <w:r w:rsidR="005B4EDE" w:rsidRPr="002C21B8">
        <w:lastRenderedPageBreak/>
        <w:t xml:space="preserve">clinical practice. The reanalysis of the </w:t>
      </w:r>
      <w:r w:rsidR="00FC190F" w:rsidRPr="002C21B8">
        <w:t>registry</w:t>
      </w:r>
      <w:r w:rsidR="005B4EDE" w:rsidRPr="002C21B8">
        <w:t xml:space="preserve"> data is not included in this thesis because the sequential nature of the design </w:t>
      </w:r>
      <w:r w:rsidR="00607BD2" w:rsidRPr="002C21B8">
        <w:t xml:space="preserve">meant it </w:t>
      </w:r>
      <w:r w:rsidR="005B4EDE" w:rsidRPr="002C21B8">
        <w:t>could not be completed within a three year full time PhD</w:t>
      </w:r>
      <w:r w:rsidR="00AA25DD" w:rsidRPr="002C21B8">
        <w:t xml:space="preserve">, and </w:t>
      </w:r>
      <w:r w:rsidR="00EE185E" w:rsidRPr="002C21B8">
        <w:t>P</w:t>
      </w:r>
      <w:r w:rsidR="00AA25DD" w:rsidRPr="002C21B8">
        <w:t>hases 1-4 were su</w:t>
      </w:r>
      <w:r w:rsidR="00C748B3" w:rsidRPr="002C21B8">
        <w:t xml:space="preserve">fficient </w:t>
      </w:r>
      <w:r w:rsidR="00AA25DD" w:rsidRPr="002C21B8">
        <w:t>for a PhD</w:t>
      </w:r>
      <w:r w:rsidR="005B4EDE" w:rsidRPr="002C21B8">
        <w:t>.</w:t>
      </w:r>
      <w:r w:rsidRPr="002C21B8">
        <w:t xml:space="preserve"> </w:t>
      </w:r>
      <w:r w:rsidR="005B4EDE" w:rsidRPr="002C21B8">
        <w:t>For the primary research, kidney c</w:t>
      </w:r>
      <w:r w:rsidR="00F76835" w:rsidRPr="002C21B8">
        <w:t>entre-level prescribing of tolvaptan</w:t>
      </w:r>
      <w:r w:rsidR="00531059" w:rsidRPr="002C21B8">
        <w:t xml:space="preserve"> was analysed </w:t>
      </w:r>
      <w:r w:rsidR="00067EB6" w:rsidRPr="002C21B8">
        <w:t xml:space="preserve">to identify patterns of prescribing and centres </w:t>
      </w:r>
      <w:r w:rsidR="005B4EDE" w:rsidRPr="002C21B8">
        <w:t xml:space="preserve">which </w:t>
      </w:r>
      <w:r w:rsidR="00067EB6" w:rsidRPr="002C21B8">
        <w:t xml:space="preserve">deviated from </w:t>
      </w:r>
      <w:r w:rsidR="005B4EDE" w:rsidRPr="002C21B8">
        <w:t>NICE guidelines</w:t>
      </w:r>
      <w:r w:rsidR="00D34081" w:rsidRPr="002C21B8">
        <w:t>. Th</w:t>
      </w:r>
      <w:r w:rsidR="00DD6EA3" w:rsidRPr="002C21B8">
        <w:t>e results from this</w:t>
      </w:r>
      <w:r w:rsidR="00D34081" w:rsidRPr="002C21B8">
        <w:t xml:space="preserve"> </w:t>
      </w:r>
      <w:r w:rsidR="00DD6EA3" w:rsidRPr="002C21B8">
        <w:t>analysis are</w:t>
      </w:r>
      <w:r w:rsidR="009D4904" w:rsidRPr="002C21B8">
        <w:t xml:space="preserve"> reported in</w:t>
      </w:r>
      <w:r w:rsidR="005B4EDE" w:rsidRPr="002C21B8">
        <w:t xml:space="preserve"> </w:t>
      </w:r>
      <w:r w:rsidR="0039059C" w:rsidRPr="002C21B8">
        <w:t>j</w:t>
      </w:r>
      <w:r w:rsidR="00760485" w:rsidRPr="002C21B8">
        <w:t>ournal a</w:t>
      </w:r>
      <w:r w:rsidR="005B4EDE" w:rsidRPr="002C21B8">
        <w:t>r</w:t>
      </w:r>
      <w:r w:rsidR="00760485" w:rsidRPr="002C21B8">
        <w:t>ticle</w:t>
      </w:r>
      <w:r w:rsidR="005B4EDE" w:rsidRPr="002C21B8">
        <w:t xml:space="preserve"> 2</w:t>
      </w:r>
      <w:r w:rsidR="00F76835" w:rsidRPr="002C21B8">
        <w:t xml:space="preserve">. </w:t>
      </w:r>
      <w:r w:rsidR="00AA25DD" w:rsidRPr="002C21B8">
        <w:t>Then</w:t>
      </w:r>
      <w:r w:rsidR="002344AB" w:rsidRPr="002C21B8">
        <w:t>,</w:t>
      </w:r>
      <w:r w:rsidR="00AA25DD" w:rsidRPr="002C21B8">
        <w:t xml:space="preserve"> t</w:t>
      </w:r>
      <w:r w:rsidR="005B4EDE" w:rsidRPr="002C21B8">
        <w:t>hree kidney c</w:t>
      </w:r>
      <w:r w:rsidR="00F76835" w:rsidRPr="002C21B8">
        <w:t>entres</w:t>
      </w:r>
      <w:r w:rsidR="00FF7CFD" w:rsidRPr="002C21B8">
        <w:t xml:space="preserve"> </w:t>
      </w:r>
      <w:r w:rsidR="005B4EDE" w:rsidRPr="002C21B8">
        <w:t xml:space="preserve">with </w:t>
      </w:r>
      <w:r w:rsidR="00035D5C" w:rsidRPr="002C21B8">
        <w:t xml:space="preserve">different </w:t>
      </w:r>
      <w:r w:rsidR="00D62B48" w:rsidRPr="002C21B8">
        <w:t xml:space="preserve">prescribing </w:t>
      </w:r>
      <w:r w:rsidR="005B4EDE" w:rsidRPr="002C21B8">
        <w:t>practice</w:t>
      </w:r>
      <w:r w:rsidR="0036675B" w:rsidRPr="002C21B8">
        <w:t>s</w:t>
      </w:r>
      <w:r w:rsidR="00035D5C" w:rsidRPr="002C21B8">
        <w:t xml:space="preserve"> and contexts</w:t>
      </w:r>
      <w:r w:rsidR="00067EB6" w:rsidRPr="002C21B8">
        <w:t xml:space="preserve"> were explored through a </w:t>
      </w:r>
      <w:r w:rsidR="00F76835" w:rsidRPr="002C21B8">
        <w:t>multiple case study</w:t>
      </w:r>
      <w:r w:rsidR="006A2EBD" w:rsidRPr="002C21B8">
        <w:t xml:space="preserve"> using qualitative methods. </w:t>
      </w:r>
      <w:r w:rsidR="00067EB6" w:rsidRPr="002C21B8">
        <w:t>This aimed</w:t>
      </w:r>
      <w:r w:rsidR="00F76835" w:rsidRPr="002C21B8">
        <w:t xml:space="preserve"> to identify </w:t>
      </w:r>
      <w:r w:rsidR="00231F21" w:rsidRPr="002C21B8">
        <w:t xml:space="preserve">mechanisms </w:t>
      </w:r>
      <w:r w:rsidR="00A407D0" w:rsidRPr="002C21B8">
        <w:t xml:space="preserve">that may </w:t>
      </w:r>
      <w:r w:rsidR="005B4EDE" w:rsidRPr="002C21B8">
        <w:t>explain</w:t>
      </w:r>
      <w:r w:rsidR="00A407D0" w:rsidRPr="002C21B8">
        <w:t xml:space="preserve"> </w:t>
      </w:r>
      <w:r w:rsidR="00332A9C" w:rsidRPr="002C21B8">
        <w:t xml:space="preserve">the </w:t>
      </w:r>
      <w:r w:rsidR="00A407D0" w:rsidRPr="002C21B8">
        <w:t>observed</w:t>
      </w:r>
      <w:r w:rsidR="005B4EDE" w:rsidRPr="002C21B8">
        <w:t xml:space="preserve"> variation in prescribing practices between kidney centres. While analysing the data</w:t>
      </w:r>
      <w:r w:rsidR="0036675B" w:rsidRPr="002C21B8">
        <w:t>,</w:t>
      </w:r>
      <w:r w:rsidR="005B4EDE" w:rsidRPr="002C21B8">
        <w:t xml:space="preserve"> </w:t>
      </w:r>
      <w:r w:rsidR="00F76835" w:rsidRPr="002C21B8">
        <w:t>the</w:t>
      </w:r>
      <w:r w:rsidR="00D34081" w:rsidRPr="002C21B8">
        <w:t xml:space="preserve"> implementation of the</w:t>
      </w:r>
      <w:r w:rsidR="00F76835" w:rsidRPr="002C21B8">
        <w:t xml:space="preserve"> tolvaptan care </w:t>
      </w:r>
      <w:r w:rsidR="000463C3" w:rsidRPr="002C21B8">
        <w:t>pathway</w:t>
      </w:r>
      <w:r w:rsidR="00F76835" w:rsidRPr="002C21B8">
        <w:t xml:space="preserve"> </w:t>
      </w:r>
      <w:r w:rsidR="00D34081" w:rsidRPr="002C21B8">
        <w:t xml:space="preserve">in the cases </w:t>
      </w:r>
      <w:r w:rsidR="00BB70EA" w:rsidRPr="002C21B8">
        <w:t xml:space="preserve">was identified as an important explanatory focus for understanding </w:t>
      </w:r>
      <w:r w:rsidR="00C748B3" w:rsidRPr="002C21B8">
        <w:t>variation between kidney centres</w:t>
      </w:r>
      <w:r w:rsidR="00BB70EA" w:rsidRPr="002C21B8">
        <w:t>. T</w:t>
      </w:r>
      <w:r w:rsidR="00D34081" w:rsidRPr="002C21B8">
        <w:t xml:space="preserve">his formed the basis for </w:t>
      </w:r>
      <w:r w:rsidR="00760485" w:rsidRPr="002C21B8">
        <w:t>journal article</w:t>
      </w:r>
      <w:r w:rsidR="005B4EDE" w:rsidRPr="002C21B8">
        <w:t xml:space="preserve"> 3. </w:t>
      </w:r>
      <w:r w:rsidR="00AA25DD" w:rsidRPr="002C21B8">
        <w:t xml:space="preserve">The </w:t>
      </w:r>
      <w:r w:rsidR="00EE185E" w:rsidRPr="002C21B8">
        <w:t>P</w:t>
      </w:r>
      <w:r w:rsidR="00AA25DD" w:rsidRPr="002C21B8">
        <w:t>hase 3 multiple case study also identified</w:t>
      </w:r>
      <w:r w:rsidR="00F76835" w:rsidRPr="002C21B8">
        <w:t xml:space="preserve"> factors </w:t>
      </w:r>
      <w:r w:rsidR="000463C3" w:rsidRPr="002C21B8">
        <w:t>influencing</w:t>
      </w:r>
      <w:r w:rsidR="00F76835" w:rsidRPr="002C21B8">
        <w:t xml:space="preserve"> </w:t>
      </w:r>
      <w:r w:rsidR="000463C3" w:rsidRPr="002C21B8">
        <w:t>clinicians</w:t>
      </w:r>
      <w:r w:rsidR="00F76835" w:rsidRPr="002C21B8">
        <w:t xml:space="preserve">’ </w:t>
      </w:r>
      <w:r w:rsidR="00AA25DD" w:rsidRPr="002C21B8">
        <w:t xml:space="preserve">prescribing </w:t>
      </w:r>
      <w:r w:rsidR="00F76835" w:rsidRPr="002C21B8">
        <w:t>decision-making</w:t>
      </w:r>
      <w:r w:rsidR="00AA25DD" w:rsidRPr="002C21B8">
        <w:t xml:space="preserve"> for </w:t>
      </w:r>
      <w:r w:rsidR="001F455D" w:rsidRPr="002C21B8">
        <w:t>tolvaptan</w:t>
      </w:r>
      <w:r w:rsidR="00AA25DD" w:rsidRPr="002C21B8">
        <w:t xml:space="preserve"> that could </w:t>
      </w:r>
      <w:r w:rsidR="00332A9C" w:rsidRPr="002C21B8">
        <w:t>be used to develop a</w:t>
      </w:r>
      <w:r w:rsidR="00AA25DD" w:rsidRPr="002C21B8">
        <w:t xml:space="preserve"> new conceptual model for prescribing</w:t>
      </w:r>
      <w:r w:rsidR="008B7886" w:rsidRPr="002C21B8">
        <w:t xml:space="preserve"> decision-making in</w:t>
      </w:r>
      <w:r w:rsidR="00AA25DD" w:rsidRPr="002C21B8">
        <w:t xml:space="preserve"> rare diseases</w:t>
      </w:r>
      <w:r w:rsidR="00332A9C" w:rsidRPr="002C21B8">
        <w:t>. This is reported</w:t>
      </w:r>
      <w:r w:rsidR="00AA25DD" w:rsidRPr="002C21B8">
        <w:t xml:space="preserve"> in </w:t>
      </w:r>
      <w:r w:rsidR="0039059C" w:rsidRPr="002C21B8">
        <w:t>j</w:t>
      </w:r>
      <w:r w:rsidR="00EE185E" w:rsidRPr="002C21B8">
        <w:t xml:space="preserve">ournal </w:t>
      </w:r>
      <w:r w:rsidR="0039059C" w:rsidRPr="002C21B8">
        <w:t>a</w:t>
      </w:r>
      <w:r w:rsidR="00EE185E" w:rsidRPr="002C21B8">
        <w:t xml:space="preserve">rticle </w:t>
      </w:r>
      <w:r w:rsidR="00AA25DD" w:rsidRPr="002C21B8">
        <w:t>4</w:t>
      </w:r>
      <w:r w:rsidR="00F76835" w:rsidRPr="002C21B8">
        <w:t xml:space="preserve">. </w:t>
      </w:r>
      <w:r w:rsidR="00AA25DD" w:rsidRPr="002C21B8">
        <w:t xml:space="preserve">The </w:t>
      </w:r>
      <w:r w:rsidR="001F455D" w:rsidRPr="002C21B8">
        <w:t>fourth</w:t>
      </w:r>
      <w:r w:rsidR="00AA25DD" w:rsidRPr="002C21B8">
        <w:t xml:space="preserve"> </w:t>
      </w:r>
      <w:r w:rsidR="00F76835" w:rsidRPr="002C21B8">
        <w:t>phase generate</w:t>
      </w:r>
      <w:r w:rsidR="006A2EBD" w:rsidRPr="002C21B8">
        <w:t>d</w:t>
      </w:r>
      <w:r w:rsidR="00F76835" w:rsidRPr="002C21B8">
        <w:t xml:space="preserve"> </w:t>
      </w:r>
      <w:r w:rsidR="00067EB6" w:rsidRPr="002C21B8">
        <w:t xml:space="preserve">new centre-level </w:t>
      </w:r>
      <w:r w:rsidR="00F76835" w:rsidRPr="002C21B8">
        <w:t>data</w:t>
      </w:r>
      <w:r w:rsidR="005D62D1" w:rsidRPr="002C21B8">
        <w:t xml:space="preserve"> </w:t>
      </w:r>
      <w:r w:rsidR="00332A9C" w:rsidRPr="002C21B8">
        <w:t xml:space="preserve">through a survey </w:t>
      </w:r>
      <w:r w:rsidR="00067EB6" w:rsidRPr="002C21B8">
        <w:t xml:space="preserve">and </w:t>
      </w:r>
      <w:r w:rsidR="006A2EBD" w:rsidRPr="002C21B8">
        <w:t>assessed whether the insights from the multiple case study were relevant to other kidney centres</w:t>
      </w:r>
      <w:r w:rsidR="003D6073" w:rsidRPr="002C21B8">
        <w:t xml:space="preserve"> in the UK</w:t>
      </w:r>
      <w:r w:rsidR="006A2EBD" w:rsidRPr="002C21B8">
        <w:t xml:space="preserve">. The insights from the multiple case study and newly generated centre-level data will be used to refine the original model and reanalyse the data from the national </w:t>
      </w:r>
      <w:r w:rsidR="00C364FC" w:rsidRPr="002C21B8">
        <w:t>registry</w:t>
      </w:r>
      <w:r w:rsidR="00AA25DD" w:rsidRPr="002C21B8">
        <w:t xml:space="preserve"> (not reported here)</w:t>
      </w:r>
      <w:r w:rsidR="006A2EBD" w:rsidRPr="002C21B8">
        <w:t xml:space="preserve">. </w:t>
      </w:r>
      <w:r w:rsidR="0097292A" w:rsidRPr="002C21B8">
        <w:fldChar w:fldCharType="begin"/>
      </w:r>
      <w:r w:rsidR="0097292A" w:rsidRPr="002C21B8">
        <w:instrText xml:space="preserve"> REF _Ref217911314 \h  \* MERGEFORMAT </w:instrText>
      </w:r>
      <w:r w:rsidR="0097292A" w:rsidRPr="002C21B8">
        <w:fldChar w:fldCharType="separate"/>
      </w:r>
      <w:r w:rsidR="00DB3709" w:rsidRPr="002C21B8">
        <w:t xml:space="preserve">Figure </w:t>
      </w:r>
      <w:r w:rsidR="00DB3709">
        <w:rPr>
          <w:noProof/>
        </w:rPr>
        <w:t>4</w:t>
      </w:r>
      <w:r w:rsidR="0097292A" w:rsidRPr="002C21B8">
        <w:fldChar w:fldCharType="end"/>
      </w:r>
      <w:r w:rsidR="0097292A" w:rsidRPr="002C21B8">
        <w:t xml:space="preserve"> </w:t>
      </w:r>
      <w:r w:rsidR="006F51FD" w:rsidRPr="002C21B8">
        <w:t xml:space="preserve">illustrates the four phases of the </w:t>
      </w:r>
      <w:r w:rsidR="00852445" w:rsidRPr="002C21B8">
        <w:t>programme of research</w:t>
      </w:r>
      <w:r w:rsidR="006F51FD" w:rsidRPr="002C21B8">
        <w:t xml:space="preserve"> in line with guidance described by </w:t>
      </w:r>
      <w:r w:rsidR="006F51FD" w:rsidRPr="002C21B8">
        <w:fldChar w:fldCharType="begin"/>
      </w:r>
      <w:r w:rsidR="00A46115" w:rsidRPr="002C21B8">
        <w:instrText xml:space="preserve"> ADDIN EN.CITE &lt;EndNote&gt;&lt;Cite AuthorYear="1"&gt;&lt;Author&gt;Creswell&lt;/Author&gt;&lt;Year&gt;2017&lt;/Year&gt;&lt;RecNum&gt;5571&lt;/RecNum&gt;&lt;DisplayText&gt;Creswell and Plano Clark (2017)&lt;/DisplayText&gt;&lt;record&gt;&lt;rec-number&gt;5571&lt;/rec-number&gt;&lt;foreign-keys&gt;&lt;key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006F51FD" w:rsidRPr="002C21B8">
        <w:fldChar w:fldCharType="separate"/>
      </w:r>
      <w:r w:rsidR="006F51FD" w:rsidRPr="002C21B8">
        <w:rPr>
          <w:noProof/>
        </w:rPr>
        <w:t>Creswell and Plano Clark (2017)</w:t>
      </w:r>
      <w:r w:rsidR="006F51FD" w:rsidRPr="002C21B8">
        <w:fldChar w:fldCharType="end"/>
      </w:r>
      <w:r w:rsidR="006F51FD" w:rsidRPr="002C21B8">
        <w:t xml:space="preserve"> </w:t>
      </w:r>
      <w:r w:rsidR="00BE7DA6" w:rsidRPr="002C21B8">
        <w:t xml:space="preserve">when visually representing </w:t>
      </w:r>
      <w:r w:rsidR="006F51FD" w:rsidRPr="002C21B8">
        <w:t>mixed methods research.</w:t>
      </w:r>
    </w:p>
    <w:p w14:paraId="0C13E968" w14:textId="2A403F50" w:rsidR="00322406" w:rsidRPr="002C21B8" w:rsidRDefault="00322406" w:rsidP="00F40A22">
      <w:pPr>
        <w:pStyle w:val="Caption"/>
        <w:keepNext w:val="0"/>
        <w:rPr>
          <w:noProof w:val="0"/>
          <w:color w:val="000000" w:themeColor="text1" w:themeShade="BF"/>
          <w:sz w:val="22"/>
          <w:szCs w:val="22"/>
        </w:rPr>
      </w:pPr>
      <w:bookmarkStart w:id="57" w:name="_Ref217911314"/>
      <w:bookmarkStart w:id="58" w:name="_Toc236991762"/>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4</w:t>
      </w:r>
      <w:r w:rsidR="001B725E" w:rsidRPr="002C21B8">
        <w:rPr>
          <w:noProof w:val="0"/>
        </w:rPr>
        <w:fldChar w:fldCharType="end"/>
      </w:r>
      <w:bookmarkEnd w:id="57"/>
      <w:r w:rsidRPr="002C21B8">
        <w:rPr>
          <w:noProof w:val="0"/>
        </w:rPr>
        <w:t xml:space="preserve">. </w:t>
      </w:r>
      <w:r w:rsidR="00FC190F" w:rsidRPr="002C21B8">
        <w:rPr>
          <w:noProof w:val="0"/>
        </w:rPr>
        <w:t>Overview of the research design</w:t>
      </w:r>
      <w:bookmarkEnd w:id="58"/>
    </w:p>
    <w:p w14:paraId="032D41C4" w14:textId="18CB7903" w:rsidR="00C7474B" w:rsidRPr="002C21B8" w:rsidRDefault="00FC190F" w:rsidP="00F40A22">
      <w:pPr>
        <w:spacing w:line="240" w:lineRule="auto"/>
      </w:pPr>
      <w:r w:rsidRPr="002C21B8">
        <w:rPr>
          <w:noProof/>
        </w:rPr>
        <w:drawing>
          <wp:inline distT="0" distB="0" distL="0" distR="0" wp14:anchorId="2687CAAB" wp14:editId="2E8754C3">
            <wp:extent cx="5731168" cy="1184794"/>
            <wp:effectExtent l="0" t="0" r="0" b="0"/>
            <wp:docPr id="1927296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96280" name=""/>
                    <pic:cNvPicPr/>
                  </pic:nvPicPr>
                  <pic:blipFill rotWithShape="1">
                    <a:blip r:embed="rId20"/>
                    <a:srcRect t="-14066" b="-15332"/>
                    <a:stretch/>
                  </pic:blipFill>
                  <pic:spPr bwMode="auto">
                    <a:xfrm>
                      <a:off x="0" y="0"/>
                      <a:ext cx="5731510" cy="1184865"/>
                    </a:xfrm>
                    <a:prstGeom prst="rect">
                      <a:avLst/>
                    </a:prstGeom>
                    <a:ln>
                      <a:noFill/>
                    </a:ln>
                    <a:extLst>
                      <a:ext uri="{53640926-AAD7-44D8-BBD7-CCE9431645EC}">
                        <a14:shadowObscured xmlns:a14="http://schemas.microsoft.com/office/drawing/2010/main"/>
                      </a:ext>
                    </a:extLst>
                  </pic:spPr>
                </pic:pic>
              </a:graphicData>
            </a:graphic>
          </wp:inline>
        </w:drawing>
      </w:r>
    </w:p>
    <w:p w14:paraId="2FDA28D3" w14:textId="18B83E1E" w:rsidR="00FC6E89" w:rsidRPr="002C21B8" w:rsidRDefault="00AA25DD" w:rsidP="004507C8">
      <w:pPr>
        <w:pStyle w:val="Heading3"/>
      </w:pPr>
      <w:r w:rsidRPr="002C21B8">
        <w:t>Methodology for each phase</w:t>
      </w:r>
    </w:p>
    <w:p w14:paraId="6D6A8567" w14:textId="5C77DD92" w:rsidR="00AA25DD" w:rsidRPr="002C21B8" w:rsidRDefault="00AA25DD" w:rsidP="00ED2D36">
      <w:pPr>
        <w:pStyle w:val="Heading4"/>
      </w:pPr>
      <w:r w:rsidRPr="002C21B8">
        <w:t>Phase 1</w:t>
      </w:r>
      <w:r w:rsidR="00C86FB1" w:rsidRPr="002C21B8">
        <w:t xml:space="preserve"> –</w:t>
      </w:r>
      <w:r w:rsidR="001F455D" w:rsidRPr="002C21B8">
        <w:t xml:space="preserve"> S</w:t>
      </w:r>
      <w:r w:rsidRPr="002C21B8">
        <w:t>ystematic review</w:t>
      </w:r>
    </w:p>
    <w:p w14:paraId="1CE4A567" w14:textId="026E2EC0" w:rsidR="00AA25DD" w:rsidRPr="002C21B8" w:rsidRDefault="00AA25DD" w:rsidP="00AA25DD">
      <w:r w:rsidRPr="002C21B8">
        <w:t xml:space="preserve">An </w:t>
      </w:r>
      <w:r w:rsidR="00E06102" w:rsidRPr="002C21B8">
        <w:t>overview of systematic reviews</w:t>
      </w:r>
      <w:r w:rsidRPr="002C21B8">
        <w:t xml:space="preserve">, also known as a systematic review of reviews or umbrella review, synthesises evidence from existing systematic reviews and meta-analyses </w:t>
      </w:r>
      <w:r w:rsidRPr="002C21B8">
        <w:fldChar w:fldCharType="begin">
          <w:fldData xml:space="preserve">PEVuZE5vdGU+PENpdGU+PEF1dGhvcj5IdW50PC9BdXRob3I+PFllYXI+MjAxODwvWWVhcj48UmVj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==
</w:fldData>
        </w:fldChar>
      </w:r>
      <w:r w:rsidR="00763983" w:rsidRPr="002C21B8">
        <w:instrText xml:space="preserve"> ADDIN EN.CITE </w:instrText>
      </w:r>
      <w:r w:rsidR="00763983" w:rsidRPr="002C21B8">
        <w:fldChar w:fldCharType="begin">
          <w:fldData xml:space="preserve">PEVuZE5vdGU+PENpdGU+PEF1dGhvcj5IdW50PC9BdXRob3I+PFllYXI+MjAxODwvWWVhcj48UmVj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==
</w:fldData>
        </w:fldChar>
      </w:r>
      <w:r w:rsidR="00763983" w:rsidRPr="002C21B8">
        <w:instrText xml:space="preserve"> ADDIN EN.CITE.DATA </w:instrText>
      </w:r>
      <w:r w:rsidR="00763983" w:rsidRPr="002C21B8">
        <w:fldChar w:fldCharType="end"/>
      </w:r>
      <w:r w:rsidRPr="002C21B8">
        <w:fldChar w:fldCharType="separate"/>
      </w:r>
      <w:r w:rsidRPr="002C21B8">
        <w:rPr>
          <w:noProof/>
        </w:rPr>
        <w:t>(Hunt</w:t>
      </w:r>
      <w:r w:rsidRPr="002C21B8">
        <w:rPr>
          <w:i/>
          <w:noProof/>
        </w:rPr>
        <w:t xml:space="preserve"> et al.</w:t>
      </w:r>
      <w:r w:rsidRPr="002C21B8">
        <w:rPr>
          <w:noProof/>
        </w:rPr>
        <w:t>, 2018)</w:t>
      </w:r>
      <w:r w:rsidRPr="002C21B8">
        <w:fldChar w:fldCharType="end"/>
      </w:r>
      <w:r w:rsidRPr="002C21B8">
        <w:t xml:space="preserve">. This </w:t>
      </w:r>
      <w:r w:rsidR="000B07CD" w:rsidRPr="002C21B8">
        <w:t xml:space="preserve">method </w:t>
      </w:r>
      <w:r w:rsidRPr="002C21B8">
        <w:t>provides a high-level synthesis of consistent findings, discrepancies and gaps across disease</w:t>
      </w:r>
      <w:r w:rsidR="000725FE" w:rsidRPr="002C21B8">
        <w:t xml:space="preserve"> </w:t>
      </w:r>
      <w:r w:rsidRPr="002C21B8">
        <w:t>areas</w:t>
      </w:r>
      <w:r w:rsidR="003C3B5D" w:rsidRPr="002C21B8">
        <w:t xml:space="preserve"> that can</w:t>
      </w:r>
      <w:r w:rsidRPr="002C21B8">
        <w:t xml:space="preserve"> generat</w:t>
      </w:r>
      <w:r w:rsidR="003C3B5D" w:rsidRPr="002C21B8">
        <w:t>e</w:t>
      </w:r>
      <w:r w:rsidRPr="002C21B8">
        <w:t xml:space="preserve"> insights that may not be </w:t>
      </w:r>
      <w:r w:rsidR="00786B07" w:rsidRPr="002C21B8">
        <w:t>appare</w:t>
      </w:r>
      <w:r w:rsidRPr="002C21B8">
        <w:t xml:space="preserve">nt </w:t>
      </w:r>
      <w:r w:rsidR="000B07CD" w:rsidRPr="002C21B8">
        <w:t>in</w:t>
      </w:r>
      <w:r w:rsidRPr="002C21B8">
        <w:t xml:space="preserve"> individual reviews. It also offers a pragmatic and efficient means of drawing on the large volume of existing evidence in an area to answer broader research questions</w:t>
      </w:r>
      <w:r w:rsidR="00731A52" w:rsidRPr="002C21B8">
        <w:t xml:space="preserve"> </w:t>
      </w:r>
      <w:r w:rsidR="00731A52" w:rsidRPr="002C21B8">
        <w:fldChar w:fldCharType="begin"/>
      </w:r>
      <w:r w:rsidR="00731A52" w:rsidRPr="002C21B8">
        <w:instrText xml:space="preserve"> ADDIN EN.CITE &lt;EndNote&gt;&lt;Cite&gt;&lt;Author&gt;McKenzie&lt;/Author&gt;&lt;Year&gt;2017&lt;/Year&gt;&lt;RecNum&gt;125513&lt;/RecNum&gt;&lt;DisplayText&gt;(McKenzie and Brennan, 2017)&lt;/DisplayText&gt;&lt;record&gt;&lt;rec-number&gt;125513&lt;/rec-number&gt;&lt;foreign-keys&gt;&lt;key app="EN" db-id="xpefzwa5hf9dt2ea9fax95x7xvxz90v09dtf" timestamp="1777305056"&gt;125513&lt;/key&gt;&lt;/foreign-keys&gt;&lt;ref-type name="Journal Article"&gt;17&lt;/ref-type&gt;&lt;contributors&gt;&lt;authors&gt;&lt;author&gt;McKenzie, Joanne E&lt;/author&gt;&lt;author&gt;Brennan, Sue E&lt;/author&gt;&lt;/authors&gt;&lt;/contributors&gt;&lt;titles&gt;&lt;title&gt;Overviews of systematic reviews: great promise, greater challenge&lt;/title&gt;&lt;secondary-title&gt;Systematic Reviews&lt;/secondary-title&gt;&lt;/titles&gt;&lt;periodical&gt;&lt;full-title&gt;Systematic Reviews&lt;/full-title&gt;&lt;/periodical&gt;&lt;pages&gt;185&lt;/pages&gt;&lt;volume&gt;6&lt;/volume&gt;&lt;number&gt;1&lt;/number&gt;&lt;dates&gt;&lt;year&gt;2017&lt;/year&gt;&lt;/dates&gt;&lt;isbn&gt;2046-4053&lt;/isbn&gt;&lt;urls&gt;&lt;/urls&gt;&lt;/record&gt;&lt;/Cite&gt;&lt;/EndNote&gt;</w:instrText>
      </w:r>
      <w:r w:rsidR="00731A52" w:rsidRPr="002C21B8">
        <w:fldChar w:fldCharType="separate"/>
      </w:r>
      <w:r w:rsidR="00731A52" w:rsidRPr="002C21B8">
        <w:rPr>
          <w:noProof/>
        </w:rPr>
        <w:t>(McKenzie and Brennan, 2017)</w:t>
      </w:r>
      <w:r w:rsidR="00731A52" w:rsidRPr="002C21B8">
        <w:fldChar w:fldCharType="end"/>
      </w:r>
      <w:r w:rsidRPr="002C21B8">
        <w:t>.</w:t>
      </w:r>
    </w:p>
    <w:p w14:paraId="7CD11378" w14:textId="153A826B" w:rsidR="00AA25DD" w:rsidRPr="002C21B8" w:rsidRDefault="00AA25DD" w:rsidP="001F455D">
      <w:r w:rsidRPr="002C21B8">
        <w:lastRenderedPageBreak/>
        <w:t>There is little published evidence describing how prescribing decisions are made in practice for rare diseases, including ADPKD. As</w:t>
      </w:r>
      <w:r w:rsidR="000B7CD5" w:rsidRPr="002C21B8">
        <w:t xml:space="preserve"> discussed in </w:t>
      </w:r>
      <w:hyperlink w:anchor="_Rare_diseases_add" w:history="1">
        <w:r w:rsidR="000B7CD5" w:rsidRPr="002C21B8">
          <w:rPr>
            <w:rStyle w:val="Hyperlink"/>
          </w:rPr>
          <w:t>Section 2.4</w:t>
        </w:r>
      </w:hyperlink>
      <w:r w:rsidR="000B7CD5" w:rsidRPr="002C21B8">
        <w:t xml:space="preserve">, a </w:t>
      </w:r>
      <w:r w:rsidR="008D6EB4">
        <w:t xml:space="preserve">targeted literature search </w:t>
      </w:r>
      <w:r w:rsidR="000B7CD5" w:rsidRPr="002C21B8">
        <w:t>identified only two relevant studies on prescribing factors influencing prescribing decision-making for rare diseases</w:t>
      </w:r>
      <w:r w:rsidR="0036675B" w:rsidRPr="002C21B8">
        <w:t>,</w:t>
      </w:r>
      <w:r w:rsidR="000B7CD5" w:rsidRPr="002C21B8">
        <w:t xml:space="preserve"> which w</w:t>
      </w:r>
      <w:r w:rsidR="0036675B" w:rsidRPr="002C21B8">
        <w:t>ere</w:t>
      </w:r>
      <w:r w:rsidR="000B7CD5" w:rsidRPr="002C21B8">
        <w:t xml:space="preserve"> not sufficient to support the development of a conceptual model. </w:t>
      </w:r>
      <w:r w:rsidRPr="002C21B8">
        <w:t>Evidence from other, more common, chronic conditions provided the closest available proxy. Both common chronic conditions and rare diseases involve the initiation of long-term</w:t>
      </w:r>
      <w:r w:rsidR="003C3B5D" w:rsidRPr="002C21B8">
        <w:t>,</w:t>
      </w:r>
      <w:r w:rsidRPr="002C21B8">
        <w:t xml:space="preserve"> </w:t>
      </w:r>
      <w:r w:rsidR="00786B07" w:rsidRPr="002C21B8">
        <w:t xml:space="preserve">non-curative </w:t>
      </w:r>
      <w:r w:rsidR="002A77EE" w:rsidRPr="002C21B8">
        <w:t>medication</w:t>
      </w:r>
      <w:r w:rsidR="00786B07" w:rsidRPr="002C21B8">
        <w:t xml:space="preserve">s intended to modify </w:t>
      </w:r>
      <w:r w:rsidR="004B4C86" w:rsidRPr="002C21B8">
        <w:t>disease</w:t>
      </w:r>
      <w:r w:rsidR="00786B07" w:rsidRPr="002C21B8">
        <w:t xml:space="preserve"> progression or symptoms over time, and are</w:t>
      </w:r>
      <w:r w:rsidRPr="002C21B8">
        <w:t xml:space="preserve"> often undertaken in the context of uncertain long-term benefits and </w:t>
      </w:r>
      <w:r w:rsidR="003C3B5D" w:rsidRPr="002C21B8">
        <w:t>risks</w:t>
      </w:r>
      <w:r w:rsidRPr="002C21B8">
        <w:t xml:space="preserve">. Although this </w:t>
      </w:r>
      <w:r w:rsidR="00E06102" w:rsidRPr="002C21B8">
        <w:t>overview of systematic reviews</w:t>
      </w:r>
      <w:r w:rsidRPr="002C21B8">
        <w:t xml:space="preserve"> was unlikely to </w:t>
      </w:r>
      <w:r w:rsidR="008F3997" w:rsidRPr="002C21B8">
        <w:t>take into account</w:t>
      </w:r>
      <w:r w:rsidRPr="002C21B8">
        <w:t xml:space="preserve"> all the factors influencing prescribing decisions for rare diseases, it provided a useful foundation </w:t>
      </w:r>
      <w:r w:rsidR="000B7CD5" w:rsidRPr="002C21B8">
        <w:t xml:space="preserve">in this </w:t>
      </w:r>
      <w:r w:rsidR="00C663D7" w:rsidRPr="002C21B8">
        <w:t>programme of research to</w:t>
      </w:r>
      <w:r w:rsidR="000B7CD5" w:rsidRPr="002C21B8">
        <w:t xml:space="preserve"> </w:t>
      </w:r>
      <w:r w:rsidRPr="002C21B8">
        <w:t xml:space="preserve">understand prescribing initiation in the related context of chronic </w:t>
      </w:r>
      <w:r w:rsidR="00717D3C" w:rsidRPr="002C21B8">
        <w:t>conditions</w:t>
      </w:r>
      <w:r w:rsidRPr="002C21B8">
        <w:t>.</w:t>
      </w:r>
      <w:r w:rsidR="00CC4789" w:rsidRPr="002C21B8">
        <w:t xml:space="preserve"> </w:t>
      </w:r>
      <w:r w:rsidRPr="002C21B8">
        <w:t xml:space="preserve">The </w:t>
      </w:r>
      <w:r w:rsidR="00CC4789" w:rsidRPr="002C21B8">
        <w:t xml:space="preserve">new </w:t>
      </w:r>
      <w:r w:rsidRPr="002C21B8">
        <w:t xml:space="preserve">conceptual model </w:t>
      </w:r>
      <w:r w:rsidR="00CC4789" w:rsidRPr="002C21B8">
        <w:t xml:space="preserve">of prescribing </w:t>
      </w:r>
      <w:r w:rsidR="008B7886" w:rsidRPr="002C21B8">
        <w:t xml:space="preserve">decision-making adapted for the context of </w:t>
      </w:r>
      <w:r w:rsidR="00CC4789" w:rsidRPr="002C21B8">
        <w:t xml:space="preserve">chronic </w:t>
      </w:r>
      <w:r w:rsidR="00717D3C" w:rsidRPr="002C21B8">
        <w:t>condition</w:t>
      </w:r>
      <w:r w:rsidR="00CC4789" w:rsidRPr="002C21B8">
        <w:t xml:space="preserve">s </w:t>
      </w:r>
      <w:r w:rsidRPr="002C21B8">
        <w:t>was</w:t>
      </w:r>
      <w:r w:rsidR="004B4C86" w:rsidRPr="002C21B8">
        <w:t xml:space="preserve"> then</w:t>
      </w:r>
      <w:r w:rsidRPr="002C21B8">
        <w:t xml:space="preserve"> available to inform the design and interpretation of the later phases of the </w:t>
      </w:r>
      <w:r w:rsidR="003A5BDF" w:rsidRPr="002C21B8">
        <w:t>programme of research</w:t>
      </w:r>
      <w:r w:rsidRPr="002C21B8">
        <w:t>.</w:t>
      </w:r>
    </w:p>
    <w:p w14:paraId="1574026F" w14:textId="3C053E65" w:rsidR="00FC6E89" w:rsidRPr="002C21B8" w:rsidRDefault="00FC6E89" w:rsidP="00ED2D36">
      <w:pPr>
        <w:pStyle w:val="Heading4"/>
      </w:pPr>
      <w:bookmarkStart w:id="59" w:name="_Phase_2_–"/>
      <w:bookmarkEnd w:id="59"/>
      <w:r w:rsidRPr="002C21B8">
        <w:t xml:space="preserve">Phase </w:t>
      </w:r>
      <w:r w:rsidR="00CC4789" w:rsidRPr="002C21B8">
        <w:t>2</w:t>
      </w:r>
      <w:r w:rsidR="00C86FB1" w:rsidRPr="002C21B8">
        <w:t xml:space="preserve"> – </w:t>
      </w:r>
      <w:r w:rsidR="00747691" w:rsidRPr="002C21B8">
        <w:t xml:space="preserve">Analysis of </w:t>
      </w:r>
      <w:r w:rsidR="00CC4789" w:rsidRPr="002C21B8">
        <w:t>registry data</w:t>
      </w:r>
    </w:p>
    <w:p w14:paraId="40DBDB40" w14:textId="42F3E3CB" w:rsidR="00163F4B" w:rsidRPr="002C21B8" w:rsidRDefault="006A2EBD" w:rsidP="00EC6348">
      <w:r w:rsidRPr="002C21B8">
        <w:t xml:space="preserve">The </w:t>
      </w:r>
      <w:r w:rsidR="00CC4789" w:rsidRPr="002C21B8">
        <w:t xml:space="preserve">primary research </w:t>
      </w:r>
      <w:r w:rsidRPr="002C21B8">
        <w:t>began with</w:t>
      </w:r>
      <w:r w:rsidR="00FF7CFD" w:rsidRPr="002C21B8">
        <w:t xml:space="preserve"> an analysis of </w:t>
      </w:r>
      <w:r w:rsidR="00CC4789" w:rsidRPr="002C21B8">
        <w:t xml:space="preserve">kidney </w:t>
      </w:r>
      <w:r w:rsidR="00FF7CFD" w:rsidRPr="002C21B8">
        <w:t>centre-level tolvaptan</w:t>
      </w:r>
      <w:r w:rsidR="00775E80" w:rsidRPr="002C21B8">
        <w:t xml:space="preserve"> prescribing</w:t>
      </w:r>
      <w:r w:rsidR="00FF7CFD" w:rsidRPr="002C21B8">
        <w:t xml:space="preserve"> to identify </w:t>
      </w:r>
      <w:r w:rsidR="00CC4789" w:rsidRPr="002C21B8">
        <w:t>variation</w:t>
      </w:r>
      <w:r w:rsidR="0098749A" w:rsidRPr="002C21B8">
        <w:t xml:space="preserve"> </w:t>
      </w:r>
      <w:r w:rsidR="00CC4789" w:rsidRPr="002C21B8">
        <w:t xml:space="preserve">between </w:t>
      </w:r>
      <w:r w:rsidR="00FF7CFD" w:rsidRPr="002C21B8">
        <w:t>UK kidney centres</w:t>
      </w:r>
      <w:r w:rsidR="0098749A" w:rsidRPr="002C21B8">
        <w:t xml:space="preserve">. </w:t>
      </w:r>
      <w:r w:rsidR="00C7474B" w:rsidRPr="002C21B8">
        <w:t>The analysis was conducted at the kidney centre</w:t>
      </w:r>
      <w:r w:rsidR="005069A3" w:rsidRPr="002C21B8">
        <w:t xml:space="preserve"> </w:t>
      </w:r>
      <w:r w:rsidR="00C7474B" w:rsidRPr="002C21B8">
        <w:t xml:space="preserve">level using routine data collected on people with ADPKD. Variation was defined as differences in </w:t>
      </w:r>
      <w:r w:rsidR="00682900" w:rsidRPr="002C21B8">
        <w:t xml:space="preserve">kidney </w:t>
      </w:r>
      <w:r w:rsidR="00C7474B" w:rsidRPr="002C21B8">
        <w:t xml:space="preserve">centre-level tolvaptan prescribing </w:t>
      </w:r>
      <w:r w:rsidR="00163F4B" w:rsidRPr="002C21B8">
        <w:t>relative to</w:t>
      </w:r>
      <w:r w:rsidR="00C7474B" w:rsidRPr="002C21B8">
        <w:t xml:space="preserve"> NICE and RA guidelines</w:t>
      </w:r>
      <w:r w:rsidR="00163F4B" w:rsidRPr="002C21B8">
        <w:t xml:space="preserve">, focusing on </w:t>
      </w:r>
      <w:r w:rsidR="00477201" w:rsidRPr="002C21B8">
        <w:t>eligible</w:t>
      </w:r>
      <w:r w:rsidR="007F269D" w:rsidRPr="002C21B8">
        <w:t xml:space="preserve"> patients</w:t>
      </w:r>
      <w:r w:rsidR="00477201" w:rsidRPr="002C21B8">
        <w:t xml:space="preserve"> who were not initiated and patients initiated who did not meet eligibility criteria.</w:t>
      </w:r>
    </w:p>
    <w:p w14:paraId="3B6DB7D0" w14:textId="3A5FA407" w:rsidR="001F455D" w:rsidRPr="002C21B8" w:rsidRDefault="002C7434" w:rsidP="00EC6348">
      <w:r w:rsidRPr="002C21B8">
        <w:t>Registry data is particularly suited to examining variation in clinical practice as they include routinely collected information across multiple centres and heterogen</w:t>
      </w:r>
      <w:r w:rsidR="00511F16" w:rsidRPr="002C21B8">
        <w:t>e</w:t>
      </w:r>
      <w:r w:rsidRPr="002C21B8">
        <w:t xml:space="preserve">ous patient populations. This allows the assessment of real-world treatment patterns and differences in care delivery between centres. This </w:t>
      </w:r>
      <w:r w:rsidR="0098749A" w:rsidRPr="002C21B8">
        <w:t>can then be used to drive quality improvement and greater equity in healthcare</w:t>
      </w:r>
      <w:r w:rsidRPr="002C21B8">
        <w:t xml:space="preserve"> </w:t>
      </w:r>
      <w:r w:rsidRPr="002C21B8">
        <w:fldChar w:fldCharType="begin"/>
      </w:r>
      <w:r w:rsidR="00D27FD1" w:rsidRPr="002C21B8">
        <w:instrText xml:space="preserve"> ADDIN EN.CITE &lt;EndNote&gt;&lt;Cite&gt;&lt;Author&gt;Gliklich&lt;/Author&gt;&lt;Year&gt;2014&lt;/Year&gt;&lt;RecNum&gt;5358&lt;/RecNum&gt;&lt;DisplayText&gt;(Gliklich, Dreyer and Leavy, 2014)&lt;/DisplayText&gt;&lt;record&gt;&lt;rec-number&gt;5358&lt;/rec-number&gt;&lt;foreign-keys&gt;&lt;key app="EN" db-id="xpefzwa5hf9dt2ea9fax95x7xvxz90v09dtf" timestamp="1701683121"&gt;5358&lt;/key&gt;&lt;/foreign-keys&gt;&lt;ref-type name="Web Page"&gt;12&lt;/ref-type&gt;&lt;contributors&gt;&lt;authors&gt;&lt;author&gt;Gliklich, Richard E&lt;/author&gt;&lt;author&gt;Dreyer, Nancy A&lt;/author&gt;&lt;author&gt;Leavy, Michelle B&lt;/author&gt;&lt;/authors&gt;&lt;/contributors&gt;&lt;titles&gt;&lt;title&gt;Registries for evaluating patient outcomes: a user’s guide&lt;/title&gt;&lt;/titles&gt;&lt;number&gt;28/04/2026)&lt;/number&gt;&lt;dates&gt;&lt;year&gt;2014&lt;/year&gt;&lt;/dates&gt;&lt;isbn&gt;1587634333&lt;/isbn&gt;&lt;urls&gt;&lt;related-urls&gt;&lt;url&gt;https://effectivehealthcare.ahrq.gov/sites/default/files/pdf/registries-evaluating-patient-outcomes-4th-edition.pdf&lt;/url&gt;&lt;/related-urls&gt;&lt;/urls&gt;&lt;/record&gt;&lt;/Cite&gt;&lt;/EndNote&gt;</w:instrText>
      </w:r>
      <w:r w:rsidRPr="002C21B8">
        <w:fldChar w:fldCharType="separate"/>
      </w:r>
      <w:r w:rsidRPr="002C21B8">
        <w:rPr>
          <w:noProof/>
        </w:rPr>
        <w:t>(Gliklich, Dreyer and Leavy, 2014)</w:t>
      </w:r>
      <w:r w:rsidRPr="002C21B8">
        <w:fldChar w:fldCharType="end"/>
      </w:r>
      <w:r w:rsidR="0098749A" w:rsidRPr="002C21B8">
        <w:t xml:space="preserve">. </w:t>
      </w:r>
      <w:r w:rsidRPr="002C21B8">
        <w:t xml:space="preserve">In this </w:t>
      </w:r>
      <w:r w:rsidR="003A5BDF" w:rsidRPr="002C21B8">
        <w:t>programme of research</w:t>
      </w:r>
      <w:r w:rsidRPr="002C21B8">
        <w:t xml:space="preserve">, the analysis of registry data </w:t>
      </w:r>
      <w:r w:rsidR="00C7474B" w:rsidRPr="002C21B8">
        <w:t xml:space="preserve">also </w:t>
      </w:r>
      <w:r w:rsidR="001A3B1C" w:rsidRPr="002C21B8">
        <w:t>inform</w:t>
      </w:r>
      <w:r w:rsidR="00C7474B" w:rsidRPr="002C21B8">
        <w:t>ed purposive</w:t>
      </w:r>
      <w:r w:rsidR="001A3B1C" w:rsidRPr="002C21B8">
        <w:t xml:space="preserve"> case selection </w:t>
      </w:r>
      <w:r w:rsidR="00C7474B" w:rsidRPr="002C21B8">
        <w:t xml:space="preserve">of kidney centres </w:t>
      </w:r>
      <w:r w:rsidR="001A3B1C" w:rsidRPr="002C21B8">
        <w:t xml:space="preserve">for the </w:t>
      </w:r>
      <w:r w:rsidRPr="002C21B8">
        <w:t>Phase 3 multiple case study</w:t>
      </w:r>
      <w:r w:rsidR="001A3B1C" w:rsidRPr="002C21B8">
        <w:t>.</w:t>
      </w:r>
    </w:p>
    <w:p w14:paraId="516F9564" w14:textId="0F58C09C" w:rsidR="00E729A8" w:rsidRPr="002C21B8" w:rsidRDefault="00E729A8" w:rsidP="00E729A8">
      <w:pPr>
        <w:spacing w:before="120" w:after="0"/>
        <w:rPr>
          <w:b/>
          <w:bCs/>
          <w:i/>
          <w:iCs/>
        </w:rPr>
      </w:pPr>
      <w:r w:rsidRPr="002C21B8">
        <w:rPr>
          <w:b/>
          <w:bCs/>
          <w:i/>
          <w:iCs/>
        </w:rPr>
        <w:t>The</w:t>
      </w:r>
      <w:r w:rsidR="0036675B" w:rsidRPr="002C21B8">
        <w:rPr>
          <w:b/>
          <w:bCs/>
          <w:i/>
          <w:iCs/>
        </w:rPr>
        <w:t xml:space="preserve"> N</w:t>
      </w:r>
      <w:r w:rsidRPr="002C21B8">
        <w:rPr>
          <w:b/>
          <w:bCs/>
          <w:i/>
          <w:iCs/>
        </w:rPr>
        <w:t xml:space="preserve">ational </w:t>
      </w:r>
      <w:r w:rsidR="0036675B" w:rsidRPr="002C21B8">
        <w:rPr>
          <w:b/>
          <w:bCs/>
          <w:i/>
          <w:iCs/>
        </w:rPr>
        <w:t>R</w:t>
      </w:r>
      <w:r w:rsidRPr="002C21B8">
        <w:rPr>
          <w:b/>
          <w:bCs/>
          <w:i/>
          <w:iCs/>
        </w:rPr>
        <w:t xml:space="preserve">are </w:t>
      </w:r>
      <w:r w:rsidR="0036675B" w:rsidRPr="002C21B8">
        <w:rPr>
          <w:b/>
          <w:bCs/>
          <w:i/>
          <w:iCs/>
        </w:rPr>
        <w:t>K</w:t>
      </w:r>
      <w:r w:rsidRPr="002C21B8">
        <w:rPr>
          <w:b/>
          <w:bCs/>
          <w:i/>
          <w:iCs/>
        </w:rPr>
        <w:t xml:space="preserve">idney </w:t>
      </w:r>
      <w:r w:rsidR="0036675B" w:rsidRPr="002C21B8">
        <w:rPr>
          <w:b/>
          <w:bCs/>
          <w:i/>
          <w:iCs/>
        </w:rPr>
        <w:t>D</w:t>
      </w:r>
      <w:r w:rsidRPr="002C21B8">
        <w:rPr>
          <w:b/>
          <w:bCs/>
          <w:i/>
          <w:iCs/>
        </w:rPr>
        <w:t xml:space="preserve">isease </w:t>
      </w:r>
      <w:r w:rsidR="0036675B" w:rsidRPr="002C21B8">
        <w:rPr>
          <w:b/>
          <w:bCs/>
          <w:i/>
          <w:iCs/>
        </w:rPr>
        <w:t>R</w:t>
      </w:r>
      <w:r w:rsidRPr="002C21B8">
        <w:rPr>
          <w:b/>
          <w:bCs/>
          <w:i/>
          <w:iCs/>
        </w:rPr>
        <w:t>egistry (RaDaR)</w:t>
      </w:r>
    </w:p>
    <w:p w14:paraId="3CA394D4" w14:textId="6CC757C8" w:rsidR="00E729A8" w:rsidRPr="002C21B8" w:rsidRDefault="00E729A8" w:rsidP="00E729A8">
      <w:r w:rsidRPr="002C21B8">
        <w:t xml:space="preserve">RaDaR is a UKKA initiative that generates data on patients with rare kidney diseases </w:t>
      </w:r>
      <w:r w:rsidR="00AD12F5" w:rsidRPr="002C21B8">
        <w:t>across all four UK nations (England, Scotland, Wales and Northern Ireland).</w:t>
      </w:r>
      <w:r w:rsidRPr="002C21B8">
        <w:t xml:space="preserve"> It is the largest rare kidney disease registry globally</w:t>
      </w:r>
      <w:r w:rsidR="0036675B" w:rsidRPr="002C21B8">
        <w:t>,</w:t>
      </w:r>
      <w:r w:rsidRPr="002C21B8">
        <w:t xml:space="preserve"> including 35,000 patients recruited from over 109 sites. Data is collected from patients with over 40 different rare diseases</w:t>
      </w:r>
      <w:r w:rsidR="0036675B" w:rsidRPr="002C21B8">
        <w:t>,</w:t>
      </w:r>
      <w:r w:rsidRPr="002C21B8">
        <w:t xml:space="preserve"> including ADPKD. The aim of the registry</w:t>
      </w:r>
      <w:r w:rsidR="00511F16" w:rsidRPr="002C21B8">
        <w:t xml:space="preserve"> is</w:t>
      </w:r>
      <w:r w:rsidRPr="002C21B8">
        <w:t xml:space="preserve"> to facilitate translational and epidemiological research into rare diseases. Membership is voluntary</w:t>
      </w:r>
      <w:r w:rsidR="005069A3" w:rsidRPr="002C21B8">
        <w:t>,</w:t>
      </w:r>
      <w:r w:rsidRPr="002C21B8">
        <w:t xml:space="preserve"> with patients recruited by their local healthcare team. At recruitment</w:t>
      </w:r>
      <w:r w:rsidR="005069A3" w:rsidRPr="002C21B8">
        <w:t>,</w:t>
      </w:r>
      <w:r w:rsidRPr="002C21B8">
        <w:t xml:space="preserve"> they are consented to participate in wider research.</w:t>
      </w:r>
    </w:p>
    <w:p w14:paraId="747AD2A2" w14:textId="45F911D7" w:rsidR="00E729A8" w:rsidRPr="002C21B8" w:rsidRDefault="00E729A8" w:rsidP="00E729A8">
      <w:r w:rsidRPr="002C21B8">
        <w:lastRenderedPageBreak/>
        <w:t xml:space="preserve">Data is generated through manual entry and automatic data retrieval from PatientView, an online platform providing kidney patients access to their laboratory results. At the time of analysis in 2024, the ADPKD cohort consisted of 8,302 people with ADPKD. The data collected includes patient characteristics (age, ethnicity and gender), disease characteristics (primary diagnosis, comorbidities and genomic results), current medications, laboratory results </w:t>
      </w:r>
      <w:r w:rsidR="009645B3" w:rsidRPr="002C21B8">
        <w:t xml:space="preserve">(eGFR) </w:t>
      </w:r>
      <w:r w:rsidRPr="002C21B8">
        <w:t xml:space="preserve">and kidney imaging </w:t>
      </w:r>
      <w:r w:rsidRPr="002C21B8">
        <w:fldChar w:fldCharType="begin"/>
      </w:r>
      <w:r w:rsidR="00502953" w:rsidRPr="002C21B8">
        <w:instrText xml:space="preserve"> ADDIN EN.CITE &lt;EndNote&gt;&lt;Cite&gt;&lt;Author&gt;UK Kidney Association&lt;/Author&gt;&lt;Year&gt;2023&lt;/Year&gt;&lt;RecNum&gt;5435&lt;/RecNum&gt;&lt;DisplayText&gt;(UK Kidney Association, 2023b)&lt;/DisplayText&gt;&lt;record&gt;&lt;rec-number&gt;5435&lt;/rec-number&gt;&lt;foreign-keys&gt;&lt;key app="EN" db-id="xpefzwa5hf9dt2ea9fax95x7xvxz90v09dtf" timestamp="1702897278"&gt;5435&lt;/key&gt;&lt;/foreign-keys&gt;&lt;ref-type name="Web Page"&gt;12&lt;/ref-type&gt;&lt;contributors&gt;&lt;authors&gt;&lt;author&gt;UK Kidney Association,&lt;/author&gt;&lt;/authors&gt;&lt;/contributors&gt;&lt;titles&gt;&lt;title&gt;RaDaR database Data Dictionary&lt;/title&gt;&lt;/titles&gt;&lt;number&gt;18/12/2023)&lt;/number&gt;&lt;dates&gt;&lt;year&gt;2023&lt;/year&gt;&lt;/dates&gt;&lt;urls&gt;&lt;related-urls&gt;&lt;url&gt;https://ukkidney.org/audit-research/data-permissions/data/radar-database&lt;/url&gt;&lt;/related-urls&gt;&lt;/urls&gt;&lt;/record&gt;&lt;/Cite&gt;&lt;/EndNote&gt;</w:instrText>
      </w:r>
      <w:r w:rsidRPr="002C21B8">
        <w:fldChar w:fldCharType="separate"/>
      </w:r>
      <w:r w:rsidR="00502953" w:rsidRPr="002C21B8">
        <w:rPr>
          <w:noProof/>
        </w:rPr>
        <w:t>(UK Kidney Association, 2023b)</w:t>
      </w:r>
      <w:r w:rsidRPr="002C21B8">
        <w:fldChar w:fldCharType="end"/>
      </w:r>
      <w:r w:rsidRPr="002C21B8">
        <w:t>.</w:t>
      </w:r>
    </w:p>
    <w:p w14:paraId="56658F21" w14:textId="37B0BF01" w:rsidR="00EC5CCD" w:rsidRPr="002C21B8" w:rsidRDefault="00EC5CCD" w:rsidP="00E729A8">
      <w:r w:rsidRPr="002C21B8">
        <w:t>Patient-level data cannot be exported from the UK Kidney Association servers. Therefore, all analyses are undertaken by the RaDaR in-house statistic</w:t>
      </w:r>
      <w:r w:rsidR="00A92982" w:rsidRPr="002C21B8">
        <w:t>ian</w:t>
      </w:r>
      <w:r w:rsidR="006608EF" w:rsidRPr="002C21B8">
        <w:t xml:space="preserve"> team</w:t>
      </w:r>
      <w:r w:rsidRPr="002C21B8">
        <w:t>. Researchers wishing to use RaDaR data must submit an application to the RaDaR data analysis group</w:t>
      </w:r>
      <w:r w:rsidR="005069A3" w:rsidRPr="002C21B8">
        <w:t>,</w:t>
      </w:r>
      <w:r w:rsidRPr="002C21B8">
        <w:t xml:space="preserve"> wh</w:t>
      </w:r>
      <w:r w:rsidR="005069A3" w:rsidRPr="002C21B8">
        <w:t>ich</w:t>
      </w:r>
      <w:r w:rsidRPr="002C21B8">
        <w:t xml:space="preserve"> reviews proposal</w:t>
      </w:r>
      <w:r w:rsidR="009D3425" w:rsidRPr="002C21B8">
        <w:t xml:space="preserve">s for scientific and governance approval. Once approved, the researchers submit a detailed statistical analysis plan to the RaDaR statistician team. Analyses are then conducted collaboratively through an iterative process </w:t>
      </w:r>
      <w:r w:rsidR="009645B3" w:rsidRPr="002C21B8">
        <w:t>with</w:t>
      </w:r>
      <w:r w:rsidR="009D3425" w:rsidRPr="002C21B8">
        <w:t xml:space="preserve"> clarification and </w:t>
      </w:r>
      <w:r w:rsidR="009645B3" w:rsidRPr="002C21B8">
        <w:t>refinement</w:t>
      </w:r>
      <w:r w:rsidR="009D3425" w:rsidRPr="002C21B8">
        <w:t xml:space="preserve"> of the analysis plan to ensure appropriate implementation of the </w:t>
      </w:r>
      <w:r w:rsidR="00043662" w:rsidRPr="002C21B8">
        <w:t>intended</w:t>
      </w:r>
      <w:r w:rsidR="009D3425" w:rsidRPr="002C21B8">
        <w:t xml:space="preserve"> methods. Se</w:t>
      </w:r>
      <w:r w:rsidR="000A631B" w:rsidRPr="002C21B8">
        <w:t xml:space="preserve">e the </w:t>
      </w:r>
      <w:hyperlink w:anchor="_Appendix_5._Additional" w:history="1">
        <w:r w:rsidR="000A631B" w:rsidRPr="002C21B8">
          <w:rPr>
            <w:rStyle w:val="Hyperlink"/>
          </w:rPr>
          <w:t>additional details on the methods for the analysis of the registry data</w:t>
        </w:r>
      </w:hyperlink>
      <w:r w:rsidR="000A631B" w:rsidRPr="002C21B8">
        <w:t xml:space="preserve"> </w:t>
      </w:r>
      <w:r w:rsidR="009645B3" w:rsidRPr="002C21B8">
        <w:t>for both the full application form and statistical analysis plan.</w:t>
      </w:r>
    </w:p>
    <w:p w14:paraId="6BD6A8D6" w14:textId="57EDA9F1" w:rsidR="002E79B2" w:rsidRPr="002C21B8" w:rsidRDefault="002E79B2" w:rsidP="002E79B2">
      <w:r w:rsidRPr="002C21B8">
        <w:t xml:space="preserve">To my knowledge, there are no other registries </w:t>
      </w:r>
      <w:r w:rsidR="000A15E2" w:rsidRPr="002C21B8">
        <w:t>describing</w:t>
      </w:r>
      <w:r w:rsidRPr="002C21B8">
        <w:t xml:space="preserve"> tolvaptan prescribing </w:t>
      </w:r>
      <w:r w:rsidR="00E25D02" w:rsidRPr="002C21B8">
        <w:t>for</w:t>
      </w:r>
      <w:r w:rsidRPr="002C21B8">
        <w:t xml:space="preserve"> ADPKD at a national level</w:t>
      </w:r>
      <w:r w:rsidR="00AC17DC" w:rsidRPr="002C21B8">
        <w:t xml:space="preserve"> in the UK</w:t>
      </w:r>
      <w:r w:rsidRPr="002C21B8">
        <w:t xml:space="preserve">. An alternative potential data source </w:t>
      </w:r>
      <w:r w:rsidR="007F5859" w:rsidRPr="002C21B8">
        <w:t xml:space="preserve">that was </w:t>
      </w:r>
      <w:r w:rsidR="00A6534A" w:rsidRPr="002C21B8">
        <w:t xml:space="preserve">considered </w:t>
      </w:r>
      <w:r w:rsidR="007F5859" w:rsidRPr="002C21B8">
        <w:t>i</w:t>
      </w:r>
      <w:r w:rsidRPr="002C21B8">
        <w:t xml:space="preserve">s NHS </w:t>
      </w:r>
      <w:r w:rsidR="007F5859" w:rsidRPr="002C21B8">
        <w:t xml:space="preserve">Digital </w:t>
      </w:r>
      <w:r w:rsidRPr="002C21B8">
        <w:t>prescribing data</w:t>
      </w:r>
      <w:r w:rsidR="005069A3" w:rsidRPr="002C21B8">
        <w:t>,</w:t>
      </w:r>
      <w:r w:rsidRPr="002C21B8">
        <w:t xml:space="preserve"> which routinely collect</w:t>
      </w:r>
      <w:r w:rsidR="00A6534A" w:rsidRPr="002C21B8">
        <w:t>s</w:t>
      </w:r>
      <w:r w:rsidRPr="002C21B8">
        <w:t xml:space="preserve"> </w:t>
      </w:r>
      <w:r w:rsidR="00A6534A" w:rsidRPr="002C21B8">
        <w:t xml:space="preserve">administrative </w:t>
      </w:r>
      <w:r w:rsidRPr="002C21B8">
        <w:t xml:space="preserve">prescribing </w:t>
      </w:r>
      <w:r w:rsidR="00A6534A" w:rsidRPr="002C21B8">
        <w:t xml:space="preserve">information across </w:t>
      </w:r>
      <w:r w:rsidRPr="002C21B8">
        <w:t>England. However, th</w:t>
      </w:r>
      <w:r w:rsidR="00A6534A" w:rsidRPr="002C21B8">
        <w:t xml:space="preserve">is </w:t>
      </w:r>
      <w:r w:rsidRPr="002C21B8">
        <w:t>data</w:t>
      </w:r>
      <w:r w:rsidR="00A6534A" w:rsidRPr="002C21B8">
        <w:t>set</w:t>
      </w:r>
      <w:r w:rsidRPr="002C21B8">
        <w:t xml:space="preserve"> </w:t>
      </w:r>
      <w:r w:rsidR="00A6534A" w:rsidRPr="002C21B8">
        <w:t xml:space="preserve">is </w:t>
      </w:r>
      <w:r w:rsidRPr="002C21B8">
        <w:t>not disease-specific</w:t>
      </w:r>
      <w:r w:rsidR="00511F16" w:rsidRPr="002C21B8">
        <w:t xml:space="preserve">, </w:t>
      </w:r>
      <w:r w:rsidRPr="002C21B8">
        <w:t>include</w:t>
      </w:r>
      <w:r w:rsidR="00A6534A" w:rsidRPr="002C21B8">
        <w:t>s</w:t>
      </w:r>
      <w:r w:rsidRPr="002C21B8">
        <w:t xml:space="preserve"> </w:t>
      </w:r>
      <w:r w:rsidR="00511F16" w:rsidRPr="002C21B8">
        <w:t>prescriptions for multiple indications</w:t>
      </w:r>
      <w:r w:rsidR="005069A3" w:rsidRPr="002C21B8">
        <w:t>,</w:t>
      </w:r>
      <w:r w:rsidR="00A6534A" w:rsidRPr="002C21B8">
        <w:t xml:space="preserve"> and data is</w:t>
      </w:r>
      <w:r w:rsidR="00511F16" w:rsidRPr="002C21B8">
        <w:t xml:space="preserve"> </w:t>
      </w:r>
      <w:r w:rsidRPr="002C21B8">
        <w:t>not</w:t>
      </w:r>
      <w:r w:rsidR="00511F16" w:rsidRPr="002C21B8">
        <w:t xml:space="preserve"> available at</w:t>
      </w:r>
      <w:r w:rsidR="0036675B" w:rsidRPr="002C21B8">
        <w:t xml:space="preserve"> the</w:t>
      </w:r>
      <w:r w:rsidR="00511F16" w:rsidRPr="002C21B8">
        <w:t xml:space="preserve"> individual </w:t>
      </w:r>
      <w:r w:rsidRPr="002C21B8">
        <w:t>centre</w:t>
      </w:r>
      <w:r w:rsidR="00511F16" w:rsidRPr="002C21B8">
        <w:t xml:space="preserve"> level</w:t>
      </w:r>
      <w:r w:rsidRPr="002C21B8">
        <w:t xml:space="preserve"> </w:t>
      </w:r>
      <w:r w:rsidR="00511F16" w:rsidRPr="002C21B8">
        <w:t>(reporting</w:t>
      </w:r>
      <w:r w:rsidR="00615E37" w:rsidRPr="002C21B8">
        <w:t xml:space="preserve"> is</w:t>
      </w:r>
      <w:r w:rsidR="00511F16" w:rsidRPr="002C21B8">
        <w:t xml:space="preserve"> typically aggregated to </w:t>
      </w:r>
      <w:r w:rsidR="007624DA" w:rsidRPr="002C21B8">
        <w:t>regions</w:t>
      </w:r>
      <w:r w:rsidR="00511F16" w:rsidRPr="002C21B8">
        <w:t>). In addition, they do not</w:t>
      </w:r>
      <w:r w:rsidRPr="002C21B8">
        <w:t xml:space="preserve"> include patient</w:t>
      </w:r>
      <w:r w:rsidR="00E733F1" w:rsidRPr="002C21B8">
        <w:t>-level</w:t>
      </w:r>
      <w:r w:rsidR="00511F16" w:rsidRPr="002C21B8">
        <w:t xml:space="preserve"> </w:t>
      </w:r>
      <w:r w:rsidRPr="002C21B8">
        <w:t xml:space="preserve">data that </w:t>
      </w:r>
      <w:r w:rsidR="00511F16" w:rsidRPr="002C21B8">
        <w:t xml:space="preserve">is required to assess </w:t>
      </w:r>
      <w:r w:rsidR="00A6534A" w:rsidRPr="002C21B8">
        <w:t>treatment</w:t>
      </w:r>
      <w:r w:rsidR="00511F16" w:rsidRPr="002C21B8">
        <w:t xml:space="preserve"> eligibility.</w:t>
      </w:r>
    </w:p>
    <w:p w14:paraId="08ADF58D" w14:textId="55B61823" w:rsidR="00FF7CFD" w:rsidRPr="002C21B8" w:rsidRDefault="00FC6E89" w:rsidP="00ED2D36">
      <w:pPr>
        <w:pStyle w:val="Heading4"/>
      </w:pPr>
      <w:r w:rsidRPr="002C21B8">
        <w:t xml:space="preserve">Phase </w:t>
      </w:r>
      <w:r w:rsidR="00CC4789" w:rsidRPr="002C21B8">
        <w:t>3</w:t>
      </w:r>
      <w:r w:rsidR="00C86FB1" w:rsidRPr="002C21B8">
        <w:t xml:space="preserve"> –</w:t>
      </w:r>
      <w:r w:rsidRPr="002C21B8">
        <w:t xml:space="preserve"> </w:t>
      </w:r>
      <w:r w:rsidR="00322406" w:rsidRPr="002C21B8">
        <w:t>Multiple case study</w:t>
      </w:r>
    </w:p>
    <w:p w14:paraId="0D4CC625" w14:textId="65887C04" w:rsidR="00033DF7" w:rsidRPr="002C21B8" w:rsidRDefault="00CE733A" w:rsidP="0098749A">
      <w:pPr>
        <w:spacing w:before="120" w:after="0"/>
        <w:rPr>
          <w:b/>
          <w:bCs/>
          <w:i/>
          <w:iCs/>
        </w:rPr>
      </w:pPr>
      <w:r w:rsidRPr="002C21B8">
        <w:rPr>
          <w:b/>
          <w:bCs/>
          <w:i/>
          <w:iCs/>
        </w:rPr>
        <w:t>Multiple c</w:t>
      </w:r>
      <w:r w:rsidR="00033DF7" w:rsidRPr="002C21B8">
        <w:rPr>
          <w:b/>
          <w:bCs/>
          <w:i/>
          <w:iCs/>
        </w:rPr>
        <w:t>ase study design</w:t>
      </w:r>
    </w:p>
    <w:p w14:paraId="43296AC8" w14:textId="4E2F68B1" w:rsidR="00757921" w:rsidRPr="002C21B8" w:rsidRDefault="00804303" w:rsidP="00757921">
      <w:r w:rsidRPr="002C21B8">
        <w:t xml:space="preserve">According to </w:t>
      </w:r>
      <w:r w:rsidR="000C0E14"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0C0E14" w:rsidRPr="002C21B8">
        <w:fldChar w:fldCharType="separate"/>
      </w:r>
      <w:r w:rsidR="001A4009" w:rsidRPr="002C21B8">
        <w:rPr>
          <w:noProof/>
        </w:rPr>
        <w:t>Yin (2009)</w:t>
      </w:r>
      <w:r w:rsidR="000C0E14" w:rsidRPr="002C21B8">
        <w:fldChar w:fldCharType="end"/>
      </w:r>
      <w:r w:rsidR="00822B2B" w:rsidRPr="002C21B8">
        <w:t>, a case</w:t>
      </w:r>
      <w:r w:rsidR="00E07A66" w:rsidRPr="002C21B8">
        <w:t xml:space="preserve"> study </w:t>
      </w:r>
      <w:r w:rsidR="00822B2B" w:rsidRPr="002C21B8">
        <w:t xml:space="preserve">is </w:t>
      </w:r>
      <w:r w:rsidR="00E07A66" w:rsidRPr="002C21B8">
        <w:t>“</w:t>
      </w:r>
      <w:r w:rsidR="00822B2B" w:rsidRPr="002C21B8">
        <w:t>a</w:t>
      </w:r>
      <w:r w:rsidR="00E07A66" w:rsidRPr="002C21B8">
        <w:t>n empirical inquiry that investigates a</w:t>
      </w:r>
      <w:r w:rsidR="00822B2B" w:rsidRPr="002C21B8">
        <w:t xml:space="preserve"> </w:t>
      </w:r>
      <w:r w:rsidR="00E07A66" w:rsidRPr="002C21B8">
        <w:t>contemporary phenomenon within its real-life context”. Th</w:t>
      </w:r>
      <w:r w:rsidR="00757921" w:rsidRPr="002C21B8">
        <w:t>is</w:t>
      </w:r>
      <w:r w:rsidR="00E07A66" w:rsidRPr="002C21B8">
        <w:t xml:space="preserve"> research sought to investigate the prescription of tolvaptan </w:t>
      </w:r>
      <w:r w:rsidR="00112D21" w:rsidRPr="002C21B8">
        <w:t xml:space="preserve">for people with ADPKD </w:t>
      </w:r>
      <w:r w:rsidR="00E07A66" w:rsidRPr="002C21B8">
        <w:t>(the phenomenon) within UK kidney centres (the context).</w:t>
      </w:r>
      <w:r w:rsidR="003B3CD1" w:rsidRPr="002C21B8">
        <w:t xml:space="preserve"> </w:t>
      </w:r>
      <w:r w:rsidR="00B809F1" w:rsidRPr="002C21B8">
        <w:fldChar w:fldCharType="begin"/>
      </w:r>
      <w:r w:rsidR="00B809F1"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B809F1" w:rsidRPr="002C21B8">
        <w:fldChar w:fldCharType="separate"/>
      </w:r>
      <w:r w:rsidR="00B809F1" w:rsidRPr="002C21B8">
        <w:rPr>
          <w:noProof/>
        </w:rPr>
        <w:t>Yin (2009)</w:t>
      </w:r>
      <w:r w:rsidR="00B809F1" w:rsidRPr="002C21B8">
        <w:fldChar w:fldCharType="end"/>
      </w:r>
      <w:r w:rsidR="00757921" w:rsidRPr="002C21B8">
        <w:t xml:space="preserve"> distinguishes between four types of case study design based on two dimensions: (i) whether a single case or multiple cases are studied, and (ii) whether the case is examined holistically (a single unit of analysis) or through embedded subunits (multiple units of analysis).</w:t>
      </w:r>
    </w:p>
    <w:p w14:paraId="2D07AE9F" w14:textId="00D03B97" w:rsidR="00B809F1" w:rsidRPr="002C21B8" w:rsidRDefault="00B809F1" w:rsidP="00322406">
      <w:r w:rsidRPr="002C21B8">
        <w:t>A multiple-case holistic case study design was selected to enable systematic exploration of tolvaptan prescribing practices, contextual factors and mechanisms within and across kidney centres.</w:t>
      </w:r>
      <w:r w:rsidR="00B42D64" w:rsidRPr="002C21B8">
        <w:t xml:space="preserve"> Within each case, attention was given to the implementation of the ‘tolvaptan care pathway’ which includes </w:t>
      </w:r>
      <w:r w:rsidR="00B42D64" w:rsidRPr="002C21B8">
        <w:lastRenderedPageBreak/>
        <w:t>how kidney centres identify eligible patients, assess eligibility, initiate prescribing and monitor patients in practice.</w:t>
      </w:r>
    </w:p>
    <w:p w14:paraId="580EEF08" w14:textId="4EE742EE" w:rsidR="00CE733A" w:rsidRPr="002C21B8" w:rsidRDefault="00CE733A" w:rsidP="00322406">
      <w:r w:rsidRPr="002C21B8">
        <w:t xml:space="preserve">The multiple case study </w:t>
      </w:r>
      <w:r w:rsidR="00832446" w:rsidRPr="002C21B8">
        <w:t xml:space="preserve">approach </w:t>
      </w:r>
      <w:r w:rsidRPr="002C21B8">
        <w:t xml:space="preserve">described by </w:t>
      </w:r>
      <w:r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Pr="002C21B8">
        <w:rPr>
          <w:noProof/>
        </w:rPr>
        <w:t>Yin (2009)</w:t>
      </w:r>
      <w:r w:rsidRPr="002C21B8">
        <w:fldChar w:fldCharType="end"/>
      </w:r>
      <w:r w:rsidRPr="002C21B8">
        <w:t xml:space="preserve"> was </w:t>
      </w:r>
      <w:r w:rsidR="00D31C0E" w:rsidRPr="002C21B8">
        <w:t>used to guide</w:t>
      </w:r>
      <w:r w:rsidRPr="002C21B8">
        <w:t xml:space="preserve"> case selection, data collection and analytic procedures </w:t>
      </w:r>
      <w:r w:rsidR="00D31C0E" w:rsidRPr="002C21B8">
        <w:t>because</w:t>
      </w:r>
      <w:r w:rsidR="00BE6DBB" w:rsidRPr="002C21B8">
        <w:t xml:space="preserve"> it provides a clear, structured and accessible framework for applying multiple case study methodology in practice. </w:t>
      </w:r>
      <w:r w:rsidR="00074075" w:rsidRPr="002C21B8">
        <w:t>His approach is compatible with a critical realist perspective</w:t>
      </w:r>
      <w:r w:rsidR="00D74970" w:rsidRPr="002C21B8">
        <w:t>.</w:t>
      </w:r>
      <w:r w:rsidR="00074075" w:rsidRPr="002C21B8">
        <w:t xml:space="preserve"> </w:t>
      </w:r>
      <w:r w:rsidR="00D74970" w:rsidRPr="002C21B8">
        <w:t>I</w:t>
      </w:r>
      <w:r w:rsidR="00074075" w:rsidRPr="002C21B8">
        <w:t>t supports explanation-building across cases and the use of multiple sources of evidence</w:t>
      </w:r>
      <w:r w:rsidR="00D74970" w:rsidRPr="002C21B8">
        <w:t xml:space="preserve">, which </w:t>
      </w:r>
      <w:r w:rsidR="00074075" w:rsidRPr="002C21B8">
        <w:t xml:space="preserve">can be used to develop </w:t>
      </w:r>
      <w:r w:rsidR="00D74970" w:rsidRPr="002C21B8">
        <w:t>accounts o</w:t>
      </w:r>
      <w:r w:rsidR="00074075" w:rsidRPr="002C21B8">
        <w:t>f underlying mechanisms.</w:t>
      </w:r>
      <w:r w:rsidR="0018045B" w:rsidRPr="002C21B8">
        <w:t xml:space="preserve"> </w:t>
      </w:r>
      <w:r w:rsidR="00C2359B" w:rsidRPr="002C21B8">
        <w:t xml:space="preserve">Yin’s approach </w:t>
      </w:r>
      <w:r w:rsidR="0018045B" w:rsidRPr="002C21B8">
        <w:t>also</w:t>
      </w:r>
      <w:r w:rsidR="004A7B4B" w:rsidRPr="002C21B8">
        <w:t xml:space="preserve"> </w:t>
      </w:r>
      <w:r w:rsidR="00D31C0E" w:rsidRPr="002C21B8">
        <w:t xml:space="preserve">aligns with recent </w:t>
      </w:r>
      <w:r w:rsidR="003C163F" w:rsidRPr="002C21B8">
        <w:t xml:space="preserve">guidance </w:t>
      </w:r>
      <w:r w:rsidR="00755A46" w:rsidRPr="002C21B8">
        <w:t>on conducting</w:t>
      </w:r>
      <w:r w:rsidR="003C163F" w:rsidRPr="002C21B8">
        <w:t xml:space="preserve"> </w:t>
      </w:r>
      <w:r w:rsidR="00D31C0E" w:rsidRPr="002C21B8">
        <w:t xml:space="preserve">case study </w:t>
      </w:r>
      <w:r w:rsidR="00755A46" w:rsidRPr="002C21B8">
        <w:t xml:space="preserve">research </w:t>
      </w:r>
      <w:r w:rsidR="00D31C0E" w:rsidRPr="002C21B8">
        <w:t xml:space="preserve">in </w:t>
      </w:r>
      <w:r w:rsidR="00755A46" w:rsidRPr="002C21B8">
        <w:t xml:space="preserve">an </w:t>
      </w:r>
      <w:r w:rsidR="006B4531" w:rsidRPr="002C21B8">
        <w:t>applied health</w:t>
      </w:r>
      <w:r w:rsidR="00D31C0E" w:rsidRPr="002C21B8">
        <w:t xml:space="preserve"> </w:t>
      </w:r>
      <w:r w:rsidR="00755A46" w:rsidRPr="002C21B8">
        <w:t>setting</w:t>
      </w:r>
      <w:r w:rsidR="003C163F" w:rsidRPr="002C21B8">
        <w:t xml:space="preserve"> described</w:t>
      </w:r>
      <w:r w:rsidR="00D31C0E" w:rsidRPr="002C21B8">
        <w:t xml:space="preserve"> </w:t>
      </w:r>
      <w:r w:rsidRPr="002C21B8">
        <w:fldChar w:fldCharType="begin"/>
      </w:r>
      <w:r w:rsidR="005305C5" w:rsidRPr="002C21B8">
        <w:instrText xml:space="preserve"> ADDIN EN.CITE &lt;EndNote&gt;&lt;Cite&gt;&lt;Author&gt;Greenhalgh&lt;/Author&gt;&lt;Year&gt;2025&lt;/Year&gt;&lt;RecNum&gt;125287&lt;/RecNum&gt;&lt;DisplayText&gt;(Greenhalgh, 2025)&lt;/DisplayText&gt;&lt;record&gt;&lt;rec-number&gt;125287&lt;/rec-number&gt;&lt;foreign-keys&gt;&lt;key app="EN" db-id="xpefzwa5hf9dt2ea9fax95x7xvxz90v09dtf" timestamp="1774364060"&gt;125287&lt;/key&gt;&lt;/foreign-keys&gt;&lt;ref-type name="Journal Article"&gt;17&lt;/ref-type&gt;&lt;contributors&gt;&lt;authors&gt;&lt;author&gt;Greenhalgh, Trisha&lt;/author&gt;&lt;/authors&gt;&lt;/contributors&gt;&lt;titles&gt;&lt;title&gt;Case studies: a guide for researchers, educators, and implementers&lt;/title&gt;&lt;secondary-title&gt;BMJ Medicine&lt;/secondary-title&gt;&lt;/titles&gt;&lt;periodical&gt;&lt;full-title&gt;BMJ Medicine&lt;/full-title&gt;&lt;/periodical&gt;&lt;pages&gt;e001623&lt;/pages&gt;&lt;volume&gt;4&lt;/volume&gt;&lt;number&gt;1&lt;/number&gt;&lt;dates&gt;&lt;year&gt;2025&lt;/year&gt;&lt;/dates&gt;&lt;urls&gt;&lt;/urls&gt;&lt;/record&gt;&lt;/Cite&gt;&lt;/EndNote&gt;</w:instrText>
      </w:r>
      <w:r w:rsidRPr="002C21B8">
        <w:fldChar w:fldCharType="separate"/>
      </w:r>
      <w:r w:rsidR="005305C5" w:rsidRPr="002C21B8">
        <w:rPr>
          <w:noProof/>
        </w:rPr>
        <w:t>(Greenhalgh, 2025)</w:t>
      </w:r>
      <w:r w:rsidRPr="002C21B8">
        <w:fldChar w:fldCharType="end"/>
      </w:r>
      <w:r w:rsidR="00B809F1" w:rsidRPr="002C21B8">
        <w:t>. B</w:t>
      </w:r>
      <w:r w:rsidR="003C163F" w:rsidRPr="002C21B8">
        <w:t>oth</w:t>
      </w:r>
      <w:r w:rsidR="00D31C0E" w:rsidRPr="002C21B8">
        <w:t xml:space="preserve"> </w:t>
      </w:r>
      <w:r w:rsidRPr="002C21B8">
        <w:t xml:space="preserve">highlight the benefits of </w:t>
      </w:r>
      <w:r w:rsidR="005305C5" w:rsidRPr="002C21B8">
        <w:t xml:space="preserve">clear </w:t>
      </w:r>
      <w:r w:rsidRPr="002C21B8">
        <w:t xml:space="preserve">case </w:t>
      </w:r>
      <w:r w:rsidR="00A341D5" w:rsidRPr="002C21B8">
        <w:t>definitions</w:t>
      </w:r>
      <w:r w:rsidRPr="002C21B8">
        <w:t xml:space="preserve">, well-defined data sources and explicit analytic procedures. Other authors have highlighted the suitability of </w:t>
      </w:r>
      <w:r w:rsidR="00410491" w:rsidRPr="002C21B8">
        <w:t xml:space="preserve">the approach described by </w:t>
      </w:r>
      <w:r w:rsidR="00410491"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410491" w:rsidRPr="002C21B8">
        <w:fldChar w:fldCharType="separate"/>
      </w:r>
      <w:r w:rsidR="00410491" w:rsidRPr="002C21B8">
        <w:rPr>
          <w:noProof/>
        </w:rPr>
        <w:t>Yin (2009)</w:t>
      </w:r>
      <w:r w:rsidR="00410491" w:rsidRPr="002C21B8">
        <w:fldChar w:fldCharType="end"/>
      </w:r>
      <w:r w:rsidR="003C163F" w:rsidRPr="002C21B8">
        <w:t xml:space="preserve"> for </w:t>
      </w:r>
      <w:r w:rsidR="006B4531" w:rsidRPr="002C21B8">
        <w:t>applied health</w:t>
      </w:r>
      <w:r w:rsidR="003C163F" w:rsidRPr="002C21B8">
        <w:t xml:space="preserve"> research</w:t>
      </w:r>
      <w:r w:rsidR="00B809F1" w:rsidRPr="002C21B8">
        <w:t>, particularly</w:t>
      </w:r>
      <w:r w:rsidR="003C163F" w:rsidRPr="002C21B8">
        <w:t xml:space="preserve"> when </w:t>
      </w:r>
      <w:r w:rsidRPr="002C21B8">
        <w:t xml:space="preserve">conducting a multiple case study as part of a broader mixed methods design </w:t>
      </w:r>
      <w:r w:rsidRPr="002C21B8">
        <w:fldChar w:fldCharType="begin"/>
      </w:r>
      <w:r w:rsidR="005D7DBC" w:rsidRPr="002C21B8">
        <w:instrText xml:space="preserve"> ADDIN EN.CITE &lt;EndNote&gt;&lt;Cite&gt;&lt;Author&gt;O&amp;apos;Cathain&lt;/Author&gt;&lt;Year&gt;2014&lt;/Year&gt;&lt;RecNum&gt;124965&lt;/RecNum&gt;&lt;DisplayText&gt;(Baxter and Jack, 2008; O&amp;apos;Cathain&lt;style face="italic"&gt; et al.&lt;/style&gt;, 2014)&lt;/DisplayText&gt;&lt;record&gt;&lt;rec-number&gt;124965&lt;/rec-number&gt;&lt;foreign-keys&gt;&lt;key app="EN" db-id="xpefzwa5hf9dt2ea9fax95x7xvxz90v09dtf" timestamp="1754487771"&gt;124965&lt;/key&gt;&lt;/foreign-keys&gt;&lt;ref-type name="Journal Article"&gt;17&lt;/ref-type&gt;&lt;contributors&gt;&lt;authors&gt;&lt;author&gt;O&amp;apos;Cathain, Alicia&lt;/author&gt;&lt;author&gt;Knowles, Emma&lt;/author&gt;&lt;author&gt;Turner, Janette&lt;/author&gt;&lt;author&gt;Hirst, E&lt;/author&gt;&lt;author&gt;Goodacre, Steve&lt;/author&gt;&lt;author&gt;Nicholl, J&lt;/author&gt;&lt;/authors&gt;&lt;/contributors&gt;&lt;titles&gt;&lt;title&gt;Explaining variation in emergency admissions: a mixed-methods study of emergency and urgent care systems&lt;/title&gt;&lt;secondary-title&gt;Journal of Health Services Research and Policy&lt;/secondary-title&gt;&lt;/titles&gt;&lt;periodical&gt;&lt;full-title&gt;Journal of Health Services Research and Policy&lt;/full-title&gt;&lt;/periodical&gt;&lt;pages&gt;1-119&lt;/pages&gt;&lt;volume&gt;2&lt;/volume&gt;&lt;number&gt;48&lt;/number&gt;&lt;dates&gt;&lt;year&gt;2014&lt;/year&gt;&lt;/dates&gt;&lt;urls&gt;&lt;/urls&gt;&lt;/record&gt;&lt;/Cite&gt;&lt;Cite&gt;&lt;Author&gt;Baxter&lt;/Author&gt;&lt;Year&gt;2008&lt;/Year&gt;&lt;RecNum&gt;125386&lt;/RecNum&gt;&lt;record&gt;&lt;rec-number&gt;125386&lt;/rec-number&gt;&lt;foreign-keys&gt;&lt;key app="EN" db-id="xpefzwa5hf9dt2ea9fax95x7xvxz90v09dtf" timestamp="1775554289"&gt;125386&lt;/key&gt;&lt;/foreign-keys&gt;&lt;ref-type name="Journal Article"&gt;17&lt;/ref-type&gt;&lt;contributors&gt;&lt;authors&gt;&lt;author&gt;Baxter, Pamela&lt;/author&gt;&lt;author&gt;Jack, Susan&lt;/author&gt;&lt;/authors&gt;&lt;/contributors&gt;&lt;titles&gt;&lt;title&gt;Qualitative case study methodology: Study design and implementation for novice researchers&lt;/title&gt;&lt;secondary-title&gt;The Qualitative Report&lt;/secondary-title&gt;&lt;/titles&gt;&lt;periodical&gt;&lt;full-title&gt;The qualitative report&lt;/full-title&gt;&lt;/periodical&gt;&lt;pages&gt;544-559&lt;/pages&gt;&lt;volume&gt;13&lt;/volume&gt;&lt;number&gt;4&lt;/number&gt;&lt;dates&gt;&lt;year&gt;2008&lt;/year&gt;&lt;/dates&gt;&lt;isbn&gt;1052-0147&lt;/isbn&gt;&lt;urls&gt;&lt;/urls&gt;&lt;/record&gt;&lt;/Cite&gt;&lt;/EndNote&gt;</w:instrText>
      </w:r>
      <w:r w:rsidRPr="002C21B8">
        <w:fldChar w:fldCharType="separate"/>
      </w:r>
      <w:r w:rsidRPr="002C21B8">
        <w:rPr>
          <w:noProof/>
        </w:rPr>
        <w:t>(Baxter and Jack, 2008; O'Cathain</w:t>
      </w:r>
      <w:r w:rsidRPr="002C21B8">
        <w:rPr>
          <w:i/>
          <w:noProof/>
        </w:rPr>
        <w:t xml:space="preserve"> et al.</w:t>
      </w:r>
      <w:r w:rsidRPr="002C21B8">
        <w:rPr>
          <w:noProof/>
        </w:rPr>
        <w:t>, 2014)</w:t>
      </w:r>
      <w:r w:rsidRPr="002C21B8">
        <w:fldChar w:fldCharType="end"/>
      </w:r>
      <w:r w:rsidRPr="002C21B8">
        <w:t>.</w:t>
      </w:r>
    </w:p>
    <w:p w14:paraId="4502AB85" w14:textId="5F795C8D" w:rsidR="00D31C0E" w:rsidRPr="002C21B8" w:rsidRDefault="00D31C0E" w:rsidP="0098749A">
      <w:pPr>
        <w:spacing w:before="120" w:after="0"/>
        <w:rPr>
          <w:b/>
          <w:bCs/>
          <w:i/>
          <w:iCs/>
        </w:rPr>
      </w:pPr>
      <w:r w:rsidRPr="002C21B8">
        <w:rPr>
          <w:b/>
          <w:bCs/>
          <w:i/>
          <w:iCs/>
        </w:rPr>
        <w:t>Case definition</w:t>
      </w:r>
    </w:p>
    <w:p w14:paraId="2FD5BF3B" w14:textId="6CC8CD9E" w:rsidR="0027093B" w:rsidRPr="002C21B8" w:rsidRDefault="00D31C0E" w:rsidP="00FB5CDA">
      <w:r w:rsidRPr="002C21B8">
        <w:t>Each kidney centre constituted a case. The unit of analysis was the kidney centre</w:t>
      </w:r>
      <w:r w:rsidR="00A341D5" w:rsidRPr="002C21B8">
        <w:t>.</w:t>
      </w:r>
    </w:p>
    <w:p w14:paraId="7AE6C9A8" w14:textId="7A94CC5B" w:rsidR="00CE733A" w:rsidRPr="002C21B8" w:rsidRDefault="00CE733A" w:rsidP="0098749A">
      <w:pPr>
        <w:spacing w:before="120" w:after="0"/>
        <w:rPr>
          <w:b/>
          <w:bCs/>
          <w:i/>
          <w:iCs/>
        </w:rPr>
      </w:pPr>
      <w:r w:rsidRPr="002C21B8">
        <w:rPr>
          <w:b/>
          <w:bCs/>
          <w:i/>
          <w:iCs/>
        </w:rPr>
        <w:t>Case selection</w:t>
      </w:r>
    </w:p>
    <w:p w14:paraId="4CFB9335" w14:textId="6A2A73E6" w:rsidR="009C2CBE" w:rsidRPr="002C21B8" w:rsidRDefault="009C2CBE" w:rsidP="009C2CBE">
      <w:r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Pr="002C21B8">
        <w:rPr>
          <w:noProof/>
        </w:rPr>
        <w:t>Yin (2009)</w:t>
      </w:r>
      <w:r w:rsidRPr="002C21B8">
        <w:fldChar w:fldCharType="end"/>
      </w:r>
      <w:r w:rsidRPr="002C21B8">
        <w:t xml:space="preserve"> emphasises that case study research should not aim for statistical generalisation to a population. Instead, it should rely on analytical generalisation whereby findings from individual cases are used to develop, refine or challenge theoretical explanations of the phenomenon of interest.</w:t>
      </w:r>
    </w:p>
    <w:p w14:paraId="47D135CB" w14:textId="582F6C64" w:rsidR="00FA25F0" w:rsidRPr="002C21B8" w:rsidRDefault="00CE733A" w:rsidP="00CE733A">
      <w:r w:rsidRPr="002C21B8">
        <w:t xml:space="preserve">A multiple case study design with three cases was </w:t>
      </w:r>
      <w:r w:rsidR="000A157C" w:rsidRPr="002C21B8">
        <w:t>chosen</w:t>
      </w:r>
      <w:r w:rsidRPr="002C21B8">
        <w:t xml:space="preserve"> for this </w:t>
      </w:r>
      <w:r w:rsidR="003A5BDF" w:rsidRPr="002C21B8">
        <w:t>programme of research</w:t>
      </w:r>
      <w:r w:rsidR="00FA25F0" w:rsidRPr="002C21B8">
        <w:t>. The inclusion of three cases reflected the need to balance explanatory depth with</w:t>
      </w:r>
      <w:r w:rsidR="0036675B" w:rsidRPr="002C21B8">
        <w:t xml:space="preserve"> the</w:t>
      </w:r>
      <w:r w:rsidR="00FA25F0" w:rsidRPr="002C21B8">
        <w:t xml:space="preserve"> feasibility of delivering the research </w:t>
      </w:r>
      <w:r w:rsidR="001E72EA" w:rsidRPr="002C21B8">
        <w:t>with</w:t>
      </w:r>
      <w:r w:rsidR="00FA25F0" w:rsidRPr="002C21B8">
        <w:t xml:space="preserve">in the time constraints of the </w:t>
      </w:r>
      <w:r w:rsidR="00D31C0E" w:rsidRPr="002C21B8">
        <w:t>PhD</w:t>
      </w:r>
      <w:r w:rsidR="00FA25F0" w:rsidRPr="002C21B8">
        <w:t>.</w:t>
      </w:r>
      <w:r w:rsidR="00D31C0E" w:rsidRPr="002C21B8">
        <w:t xml:space="preserve"> </w:t>
      </w:r>
      <w:r w:rsidR="00D31C0E"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D31C0E" w:rsidRPr="002C21B8">
        <w:fldChar w:fldCharType="separate"/>
      </w:r>
      <w:r w:rsidR="00D31C0E" w:rsidRPr="002C21B8">
        <w:rPr>
          <w:noProof/>
        </w:rPr>
        <w:t>Yin (2009)</w:t>
      </w:r>
      <w:r w:rsidR="00D31C0E" w:rsidRPr="002C21B8">
        <w:fldChar w:fldCharType="end"/>
      </w:r>
      <w:r w:rsidR="00D31C0E" w:rsidRPr="002C21B8">
        <w:t xml:space="preserve"> suggests that multiple case designs commonly in</w:t>
      </w:r>
      <w:r w:rsidR="001E72EA" w:rsidRPr="002C21B8">
        <w:t>clude</w:t>
      </w:r>
      <w:r w:rsidR="00D31C0E" w:rsidRPr="002C21B8">
        <w:t xml:space="preserve"> between two and ten cases </w:t>
      </w:r>
      <w:r w:rsidR="00DF6A12" w:rsidRPr="002C21B8">
        <w:t>selected base</w:t>
      </w:r>
      <w:r w:rsidR="00C51FD2" w:rsidRPr="002C21B8">
        <w:t>d</w:t>
      </w:r>
      <w:r w:rsidR="00DF6A12" w:rsidRPr="002C21B8">
        <w:t xml:space="preserve"> </w:t>
      </w:r>
      <w:r w:rsidR="00D31C0E" w:rsidRPr="002C21B8">
        <w:t xml:space="preserve">on ‘replication logic’ and the aims of the </w:t>
      </w:r>
      <w:r w:rsidR="003A5BDF" w:rsidRPr="002C21B8">
        <w:t>programme of research</w:t>
      </w:r>
      <w:r w:rsidR="00D31C0E" w:rsidRPr="002C21B8">
        <w:t>.</w:t>
      </w:r>
    </w:p>
    <w:p w14:paraId="5B5A9FC9" w14:textId="02FD0491" w:rsidR="009C2CBE" w:rsidRPr="002C21B8" w:rsidRDefault="00513A4A" w:rsidP="001A4009">
      <w:r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Pr="002C21B8">
        <w:rPr>
          <w:noProof/>
        </w:rPr>
        <w:t>Yin (2009)</w:t>
      </w:r>
      <w:r w:rsidRPr="002C21B8">
        <w:fldChar w:fldCharType="end"/>
      </w:r>
      <w:r w:rsidRPr="002C21B8">
        <w:t xml:space="preserve"> </w:t>
      </w:r>
      <w:r w:rsidR="000B4BB4" w:rsidRPr="002C21B8">
        <w:t>recommends</w:t>
      </w:r>
      <w:r w:rsidRPr="002C21B8">
        <w:t xml:space="preserve"> that case selection in multiple case study designs should be guided by</w:t>
      </w:r>
      <w:r w:rsidR="00BC1329" w:rsidRPr="002C21B8">
        <w:t xml:space="preserve"> what he describes as</w:t>
      </w:r>
      <w:r w:rsidRPr="002C21B8">
        <w:t xml:space="preserve"> </w:t>
      </w:r>
      <w:r w:rsidR="00D31C0E" w:rsidRPr="002C21B8">
        <w:t>‘</w:t>
      </w:r>
      <w:r w:rsidRPr="002C21B8">
        <w:t>replication logic</w:t>
      </w:r>
      <w:r w:rsidR="00D31C0E" w:rsidRPr="002C21B8">
        <w:t>’</w:t>
      </w:r>
      <w:r w:rsidR="00395C5F" w:rsidRPr="002C21B8">
        <w:t>,</w:t>
      </w:r>
      <w:r w:rsidRPr="002C21B8">
        <w:t xml:space="preserve"> rather than statistical representativeness. </w:t>
      </w:r>
      <w:r w:rsidR="00BC1329" w:rsidRPr="002C21B8">
        <w:t>Importantly, replication in this context does not refer to repeating the same results, but to systematically testing whether theoretical propositions hold across different cases. Within this logic, cases may be selected for literal replication</w:t>
      </w:r>
      <w:r w:rsidRPr="002C21B8">
        <w:t xml:space="preserve"> (where cases are selected to </w:t>
      </w:r>
      <w:r w:rsidR="003C42B0" w:rsidRPr="002C21B8">
        <w:t>produce similar findings</w:t>
      </w:r>
      <w:r w:rsidRPr="002C21B8">
        <w:t>) or theoretical replication (where cases are selected to</w:t>
      </w:r>
      <w:r w:rsidR="003C42B0" w:rsidRPr="002C21B8">
        <w:t xml:space="preserve"> produce contrasting findings</w:t>
      </w:r>
      <w:r w:rsidRPr="002C21B8">
        <w:t xml:space="preserve">). </w:t>
      </w:r>
      <w:r w:rsidR="003C42B0" w:rsidRPr="002C21B8">
        <w:t xml:space="preserve">In practice, case </w:t>
      </w:r>
      <w:r w:rsidRPr="002C21B8">
        <w:t xml:space="preserve">selection may also be influenced by pragmatic considerations such as </w:t>
      </w:r>
      <w:r w:rsidR="003C42B0" w:rsidRPr="002C21B8">
        <w:t xml:space="preserve">access or feasibility. However, these do not </w:t>
      </w:r>
      <w:r w:rsidR="00791341" w:rsidRPr="002C21B8">
        <w:t xml:space="preserve">represent </w:t>
      </w:r>
      <w:r w:rsidR="003C42B0" w:rsidRPr="002C21B8">
        <w:t xml:space="preserve">a distinct logic and should be considered alongside </w:t>
      </w:r>
      <w:r w:rsidR="00D31C0E" w:rsidRPr="002C21B8">
        <w:t>‘</w:t>
      </w:r>
      <w:r w:rsidR="003C42B0" w:rsidRPr="002C21B8">
        <w:t>replication logic</w:t>
      </w:r>
      <w:r w:rsidR="00D31C0E" w:rsidRPr="002C21B8">
        <w:t>’</w:t>
      </w:r>
      <w:r w:rsidR="003C42B0" w:rsidRPr="002C21B8">
        <w:t>.</w:t>
      </w:r>
    </w:p>
    <w:p w14:paraId="1F3DD228" w14:textId="50CFCB4F" w:rsidR="004E4F01" w:rsidRPr="002C21B8" w:rsidRDefault="006F409F" w:rsidP="006F409F">
      <w:r w:rsidRPr="002C21B8">
        <w:lastRenderedPageBreak/>
        <w:t xml:space="preserve">In this </w:t>
      </w:r>
      <w:r w:rsidR="003A5BDF" w:rsidRPr="002C21B8">
        <w:t>programme of research</w:t>
      </w:r>
      <w:r w:rsidRPr="002C21B8">
        <w:t xml:space="preserve">, cases were purposively selected to support theoretical replication </w:t>
      </w:r>
      <w:r w:rsidR="00CE733A" w:rsidRPr="002C21B8">
        <w:fldChar w:fldCharType="begin"/>
      </w:r>
      <w:r w:rsidR="0060457F" w:rsidRPr="002C21B8">
        <w:instrText xml:space="preserve"> ADDIN EN.CITE &lt;EndNote&gt;&lt;Cite&gt;&lt;Author&gt;Yin&lt;/Author&gt;&lt;Year&gt;2009&lt;/Year&gt;&lt;RecNum&gt;5549&lt;/RecNum&gt;&lt;DisplayText&gt;(Yin,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CE733A" w:rsidRPr="002C21B8">
        <w:fldChar w:fldCharType="separate"/>
      </w:r>
      <w:r w:rsidR="00257A66" w:rsidRPr="002C21B8">
        <w:rPr>
          <w:noProof/>
        </w:rPr>
        <w:t>(Yin, 2009)</w:t>
      </w:r>
      <w:r w:rsidR="00CE733A" w:rsidRPr="002C21B8">
        <w:fldChar w:fldCharType="end"/>
      </w:r>
      <w:r w:rsidRPr="002C21B8">
        <w:t xml:space="preserve">. </w:t>
      </w:r>
      <w:r w:rsidR="00D24CBB" w:rsidRPr="002C21B8">
        <w:t xml:space="preserve">Kidney </w:t>
      </w:r>
      <w:r w:rsidR="004E4F01" w:rsidRPr="002C21B8">
        <w:t xml:space="preserve">centres </w:t>
      </w:r>
      <w:r w:rsidR="00D24CBB" w:rsidRPr="002C21B8">
        <w:t>from the</w:t>
      </w:r>
      <w:r w:rsidR="00257A66" w:rsidRPr="002C21B8">
        <w:t xml:space="preserve"> Phase 2</w:t>
      </w:r>
      <w:r w:rsidR="00D24CBB" w:rsidRPr="002C21B8">
        <w:t xml:space="preserve"> analysis </w:t>
      </w:r>
      <w:r w:rsidR="004D5213" w:rsidRPr="002C21B8">
        <w:t xml:space="preserve">of registry data, showing variation in tolvaptan prescribing relative to </w:t>
      </w:r>
      <w:r w:rsidR="00D24CBB" w:rsidRPr="002C21B8">
        <w:t xml:space="preserve">NICE </w:t>
      </w:r>
      <w:r w:rsidR="00A6534A" w:rsidRPr="002C21B8">
        <w:t xml:space="preserve">and RA </w:t>
      </w:r>
      <w:r w:rsidR="00D24CBB" w:rsidRPr="002C21B8">
        <w:t>guidelines</w:t>
      </w:r>
      <w:r w:rsidR="004E4F01" w:rsidRPr="002C21B8">
        <w:t xml:space="preserve"> were selected. Contextual features of each centre, including organisational size and geography</w:t>
      </w:r>
      <w:r w:rsidR="00FA18DF" w:rsidRPr="002C21B8">
        <w:t>,</w:t>
      </w:r>
      <w:r w:rsidR="004E4F01" w:rsidRPr="002C21B8">
        <w:t xml:space="preserve"> were also considered</w:t>
      </w:r>
      <w:r w:rsidR="00D24CBB" w:rsidRPr="002C21B8">
        <w:t xml:space="preserve"> to </w:t>
      </w:r>
      <w:r w:rsidR="004D5213" w:rsidRPr="002C21B8">
        <w:t xml:space="preserve">ensure </w:t>
      </w:r>
      <w:r w:rsidR="00D24CBB" w:rsidRPr="002C21B8">
        <w:t>a diverse sample</w:t>
      </w:r>
      <w:r w:rsidR="004D5213" w:rsidRPr="002C21B8">
        <w:t xml:space="preserve"> was selected</w:t>
      </w:r>
      <w:r w:rsidR="00CC4789" w:rsidRPr="002C21B8">
        <w:t>.</w:t>
      </w:r>
    </w:p>
    <w:p w14:paraId="4FB5ADEF" w14:textId="209BC202" w:rsidR="007276A1" w:rsidRPr="002C21B8" w:rsidRDefault="004E4F01" w:rsidP="0098749A">
      <w:pPr>
        <w:spacing w:before="120" w:after="0"/>
        <w:rPr>
          <w:b/>
          <w:bCs/>
          <w:i/>
          <w:iCs/>
        </w:rPr>
      </w:pPr>
      <w:r w:rsidRPr="002C21B8">
        <w:rPr>
          <w:b/>
          <w:bCs/>
          <w:i/>
          <w:iCs/>
        </w:rPr>
        <w:t>Sources of evidence</w:t>
      </w:r>
      <w:r w:rsidR="00D24CBB" w:rsidRPr="002C21B8">
        <w:rPr>
          <w:b/>
          <w:bCs/>
          <w:i/>
          <w:iCs/>
        </w:rPr>
        <w:t>/data collection</w:t>
      </w:r>
    </w:p>
    <w:p w14:paraId="529A448A" w14:textId="735069EC" w:rsidR="00033DF7" w:rsidRPr="002C21B8" w:rsidRDefault="00033DF7" w:rsidP="00B55168">
      <w:r w:rsidRPr="002C21B8">
        <w:t xml:space="preserve">Evidence </w:t>
      </w:r>
      <w:r w:rsidR="00D24CBB" w:rsidRPr="002C21B8">
        <w:t>within</w:t>
      </w:r>
      <w:r w:rsidRPr="002C21B8">
        <w:t xml:space="preserve"> case studies commonly comes from a variety of sources: documents, archival records, interviews, </w:t>
      </w:r>
      <w:r w:rsidR="00D4277B" w:rsidRPr="002C21B8">
        <w:t xml:space="preserve">quantitative surveys, </w:t>
      </w:r>
      <w:r w:rsidRPr="002C21B8">
        <w:t>direct observations, participant-observation and physical</w:t>
      </w:r>
      <w:r w:rsidR="00D24CBB" w:rsidRPr="002C21B8">
        <w:t xml:space="preserve"> </w:t>
      </w:r>
      <w:r w:rsidR="00187823" w:rsidRPr="002C21B8">
        <w:t xml:space="preserve">artefacts </w:t>
      </w:r>
      <w:r w:rsidR="0098749A" w:rsidRPr="002C21B8">
        <w:fldChar w:fldCharType="begin"/>
      </w:r>
      <w:r w:rsidR="0060457F" w:rsidRPr="002C21B8">
        <w:instrText xml:space="preserve"> ADDIN EN.CITE &lt;EndNote&gt;&lt;Cite&gt;&lt;Author&gt;Yin&lt;/Author&gt;&lt;Year&gt;2009&lt;/Year&gt;&lt;RecNum&gt;5549&lt;/RecNum&gt;&lt;DisplayText&gt;(Yin,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98749A" w:rsidRPr="002C21B8">
        <w:fldChar w:fldCharType="separate"/>
      </w:r>
      <w:r w:rsidR="0098749A" w:rsidRPr="002C21B8">
        <w:rPr>
          <w:noProof/>
        </w:rPr>
        <w:t>(Yin, 2009)</w:t>
      </w:r>
      <w:r w:rsidR="0098749A" w:rsidRPr="002C21B8">
        <w:fldChar w:fldCharType="end"/>
      </w:r>
      <w:r w:rsidR="004E4F01" w:rsidRPr="002C21B8">
        <w:t xml:space="preserve">. </w:t>
      </w:r>
      <w:r w:rsidR="004E4F01"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4E4F01" w:rsidRPr="002C21B8">
        <w:fldChar w:fldCharType="separate"/>
      </w:r>
      <w:r w:rsidR="004E4F01" w:rsidRPr="002C21B8">
        <w:rPr>
          <w:noProof/>
        </w:rPr>
        <w:t>Yin (2009)</w:t>
      </w:r>
      <w:r w:rsidR="004E4F01" w:rsidRPr="002C21B8">
        <w:fldChar w:fldCharType="end"/>
      </w:r>
      <w:r w:rsidR="004E4F01" w:rsidRPr="002C21B8">
        <w:t xml:space="preserve"> recommends using multiple sources of evidence </w:t>
      </w:r>
      <w:r w:rsidR="00B55168" w:rsidRPr="002C21B8">
        <w:t xml:space="preserve">so that findings are supported by </w:t>
      </w:r>
      <w:r w:rsidR="00333B5F" w:rsidRPr="002C21B8">
        <w:t>“</w:t>
      </w:r>
      <w:r w:rsidR="00B55168" w:rsidRPr="002C21B8">
        <w:t>converging lines of</w:t>
      </w:r>
      <w:r w:rsidR="00333B5F" w:rsidRPr="002C21B8">
        <w:t xml:space="preserve"> evidence”</w:t>
      </w:r>
      <w:r w:rsidR="00F07D5A" w:rsidRPr="002C21B8">
        <w:t>. This process</w:t>
      </w:r>
      <w:r w:rsidR="006907A0" w:rsidRPr="002C21B8">
        <w:t xml:space="preserve"> is</w:t>
      </w:r>
      <w:r w:rsidR="00B55168" w:rsidRPr="002C21B8">
        <w:t xml:space="preserve"> </w:t>
      </w:r>
      <w:r w:rsidR="00F07D5A" w:rsidRPr="002C21B8">
        <w:t xml:space="preserve">often described </w:t>
      </w:r>
      <w:r w:rsidR="001108F8" w:rsidRPr="002C21B8">
        <w:t xml:space="preserve">as data </w:t>
      </w:r>
      <w:r w:rsidR="00B55168" w:rsidRPr="002C21B8">
        <w:t>triangulation</w:t>
      </w:r>
      <w:r w:rsidR="00F07D5A" w:rsidRPr="002C21B8">
        <w:t xml:space="preserve"> within case study research</w:t>
      </w:r>
      <w:r w:rsidR="006907A0" w:rsidRPr="002C21B8">
        <w:t xml:space="preserve"> and is considered to </w:t>
      </w:r>
      <w:r w:rsidR="00F07D5A" w:rsidRPr="002C21B8">
        <w:t>enhance the credibility and dependability of findings</w:t>
      </w:r>
      <w:r w:rsidR="00D33DB8" w:rsidRPr="002C21B8">
        <w:t xml:space="preserve"> </w:t>
      </w:r>
      <w:r w:rsidR="00A502AE" w:rsidRPr="002C21B8">
        <w:fldChar w:fldCharType="begin"/>
      </w:r>
      <w:r w:rsidR="002726AE" w:rsidRPr="002C21B8">
        <w:instrText xml:space="preserve"> ADDIN EN.CITE &lt;EndNote&gt;&lt;Cite&gt;&lt;Author&gt;Noble&lt;/Author&gt;&lt;Year&gt;2019&lt;/Year&gt;&lt;RecNum&gt;125504&lt;/RecNum&gt;&lt;DisplayText&gt;(Noble and Heale, 2019)&lt;/DisplayText&gt;&lt;record&gt;&lt;rec-number&gt;125504&lt;/rec-number&gt;&lt;foreign-keys&gt;&lt;key app="EN" db-id="xpefzwa5hf9dt2ea9fax95x7xvxz90v09dtf" timestamp="1777107664"&gt;125504&lt;/key&gt;&lt;/foreign-keys&gt;&lt;ref-type name="Journal Article"&gt;17&lt;/ref-type&gt;&lt;contributors&gt;&lt;authors&gt;&lt;author&gt;Noble, Helen&lt;/author&gt;&lt;author&gt;Heale, Roberta&lt;/author&gt;&lt;/authors&gt;&lt;/contributors&gt;&lt;titles&gt;&lt;title&gt;Triangulation in research, with examples&lt;/title&gt;&lt;secondary-title&gt;BMJ&lt;/secondary-title&gt;&lt;/titles&gt;&lt;periodical&gt;&lt;full-title&gt;BMJ&lt;/full-title&gt;&lt;/periodical&gt;&lt;pages&gt;67-68&lt;/pages&gt;&lt;volume&gt;22&lt;/volume&gt;&lt;number&gt;3&lt;/number&gt;&lt;dates&gt;&lt;year&gt;2019&lt;/year&gt;&lt;/dates&gt;&lt;isbn&gt;1367-6539&lt;/isbn&gt;&lt;urls&gt;&lt;/urls&gt;&lt;/record&gt;&lt;/Cite&gt;&lt;/EndNote&gt;</w:instrText>
      </w:r>
      <w:r w:rsidR="00A502AE" w:rsidRPr="002C21B8">
        <w:fldChar w:fldCharType="separate"/>
      </w:r>
      <w:r w:rsidR="00A502AE" w:rsidRPr="002C21B8">
        <w:rPr>
          <w:noProof/>
        </w:rPr>
        <w:t>(Noble and Heale, 2019)</w:t>
      </w:r>
      <w:r w:rsidR="00A502AE" w:rsidRPr="002C21B8">
        <w:fldChar w:fldCharType="end"/>
      </w:r>
      <w:r w:rsidR="00F07D5A" w:rsidRPr="002C21B8">
        <w:t>.</w:t>
      </w:r>
      <w:r w:rsidR="00F05294" w:rsidRPr="002C21B8">
        <w:t xml:space="preserve"> In this multiple case study</w:t>
      </w:r>
      <w:r w:rsidR="00704058" w:rsidRPr="002C21B8">
        <w:t>,</w:t>
      </w:r>
      <w:r w:rsidR="00F05294" w:rsidRPr="002C21B8">
        <w:t xml:space="preserve"> </w:t>
      </w:r>
      <w:r w:rsidR="00A6534A" w:rsidRPr="002C21B8">
        <w:t>three</w:t>
      </w:r>
      <w:r w:rsidR="00F05294" w:rsidRPr="002C21B8">
        <w:t xml:space="preserve"> sources of evidence were used: </w:t>
      </w:r>
      <w:r w:rsidR="00A6534A" w:rsidRPr="002C21B8">
        <w:t xml:space="preserve">qualitative interviews with </w:t>
      </w:r>
      <w:r w:rsidR="00A502AE" w:rsidRPr="002C21B8">
        <w:t>clinician</w:t>
      </w:r>
      <w:r w:rsidR="00A6534A" w:rsidRPr="002C21B8">
        <w:t>s, direct observations of clinic appointments and organisational documents relevant to tolvaptan prescribing.</w:t>
      </w:r>
    </w:p>
    <w:p w14:paraId="126EDB2D" w14:textId="32E3EDF0" w:rsidR="00C067B2" w:rsidRPr="002C21B8" w:rsidRDefault="00D24CBB" w:rsidP="00527165">
      <w:pPr>
        <w:rPr>
          <w:b/>
          <w:bCs/>
          <w:u w:val="single"/>
        </w:rPr>
      </w:pPr>
      <w:r w:rsidRPr="002C21B8">
        <w:rPr>
          <w:u w:val="single"/>
        </w:rPr>
        <w:t>Qualitative i</w:t>
      </w:r>
      <w:r w:rsidR="00033DF7" w:rsidRPr="002C21B8">
        <w:rPr>
          <w:u w:val="single"/>
        </w:rPr>
        <w:t>nterviews</w:t>
      </w:r>
      <w:r w:rsidR="000A04D4" w:rsidRPr="002C21B8">
        <w:t xml:space="preserve"> </w:t>
      </w:r>
      <w:r w:rsidRPr="002C21B8">
        <w:t xml:space="preserve">with </w:t>
      </w:r>
      <w:r w:rsidR="00A502AE" w:rsidRPr="002C21B8">
        <w:t>clinicians involved in the prescribing</w:t>
      </w:r>
      <w:r w:rsidRPr="002C21B8">
        <w:t xml:space="preserve"> </w:t>
      </w:r>
      <w:r w:rsidR="00A502AE" w:rsidRPr="002C21B8">
        <w:t xml:space="preserve">process of tolvaptan </w:t>
      </w:r>
      <w:r w:rsidR="001E5DCA" w:rsidRPr="002C21B8">
        <w:t>were selected as the primary source of evidence</w:t>
      </w:r>
      <w:r w:rsidR="00593CBA" w:rsidRPr="002C21B8">
        <w:t>,</w:t>
      </w:r>
      <w:r w:rsidR="001E5DCA" w:rsidRPr="002C21B8">
        <w:t xml:space="preserve"> as they enable an in-depth exploration of clinicians’ decision-making, offering insight into reasoning and attitudes that are not directly observable through other data sources </w:t>
      </w:r>
      <w:r w:rsidR="001E5DCA" w:rsidRPr="002C21B8">
        <w:fldChar w:fldCharType="begin"/>
      </w:r>
      <w:r w:rsidR="00455B2B" w:rsidRPr="002C21B8">
        <w:instrText xml:space="preserve"> ADDIN EN.CITE &lt;EndNote&gt;&lt;Cite&gt;&lt;Author&gt;Kvale&lt;/Author&gt;&lt;Year&gt;2009&lt;/Year&gt;&lt;RecNum&gt;125431&lt;/RecNum&gt;&lt;DisplayText&gt;(Kvale and Brinkmann, 2009)&lt;/DisplayText&gt;&lt;record&gt;&lt;rec-number&gt;125431&lt;/rec-number&gt;&lt;foreign-keys&gt;&lt;key app="EN" db-id="xpefzwa5hf9dt2ea9fax95x7xvxz90v09dtf" timestamp="1775833068"&gt;125431&lt;/key&gt;&lt;/foreign-keys&gt;&lt;ref-type name="Book"&gt;6&lt;/ref-type&gt;&lt;contributors&gt;&lt;authors&gt;&lt;author&gt;Kvale, Steinar&lt;/author&gt;&lt;author&gt;Brinkmann, Svend&lt;/author&gt;&lt;/authors&gt;&lt;/contributors&gt;&lt;titles&gt;&lt;title&gt;Interviews: Learning the craft of qualitative research interviewing&lt;/title&gt;&lt;/titles&gt;&lt;section&gt;1-424&lt;/section&gt;&lt;dates&gt;&lt;year&gt;2009&lt;/year&gt;&lt;/dates&gt;&lt;pub-location&gt;London, UK&lt;/pub-location&gt;&lt;publisher&gt;SAGE Publications Ltd&lt;/publisher&gt;&lt;isbn&gt;0761925422&lt;/isbn&gt;&lt;urls&gt;&lt;/urls&gt;&lt;/record&gt;&lt;/Cite&gt;&lt;/EndNote&gt;</w:instrText>
      </w:r>
      <w:r w:rsidR="001E5DCA" w:rsidRPr="002C21B8">
        <w:fldChar w:fldCharType="separate"/>
      </w:r>
      <w:r w:rsidR="001E5DCA" w:rsidRPr="002C21B8">
        <w:rPr>
          <w:noProof/>
        </w:rPr>
        <w:t>(Kvale and Brinkmann, 2009)</w:t>
      </w:r>
      <w:r w:rsidR="001E5DCA" w:rsidRPr="002C21B8">
        <w:fldChar w:fldCharType="end"/>
      </w:r>
      <w:r w:rsidR="001E5DCA" w:rsidRPr="002C21B8">
        <w:t xml:space="preserve">. </w:t>
      </w:r>
      <w:r w:rsidR="00C067B2" w:rsidRPr="002C21B8">
        <w:t>Interviews can be structured (fixed questions asked in the same order with no deviation), semi-structured (guided questions with flexibility to probe and explore reasons) or unstructured (open conversation</w:t>
      </w:r>
      <w:r w:rsidR="00704058" w:rsidRPr="002C21B8">
        <w:t>s</w:t>
      </w:r>
      <w:r w:rsidR="00C067B2" w:rsidRPr="002C21B8">
        <w:t xml:space="preserve"> with no pre-set questions). </w:t>
      </w:r>
      <w:r w:rsidR="006B2FBE" w:rsidRPr="002C21B8">
        <w:t>A semi-structured interview design</w:t>
      </w:r>
      <w:r w:rsidR="00C067B2" w:rsidRPr="002C21B8">
        <w:t xml:space="preserve"> was </w:t>
      </w:r>
      <w:r w:rsidR="007C64E5" w:rsidRPr="002C21B8">
        <w:t xml:space="preserve">chosen to enable </w:t>
      </w:r>
      <w:r w:rsidRPr="002C21B8">
        <w:t xml:space="preserve">factors in </w:t>
      </w:r>
      <w:r w:rsidR="00C067B2" w:rsidRPr="002C21B8">
        <w:t xml:space="preserve">the conceptual model </w:t>
      </w:r>
      <w:r w:rsidR="007C64E5" w:rsidRPr="002C21B8">
        <w:t>from</w:t>
      </w:r>
      <w:r w:rsidR="00C067B2" w:rsidRPr="002C21B8">
        <w:t xml:space="preserve"> </w:t>
      </w:r>
      <w:r w:rsidR="00B54536" w:rsidRPr="002C21B8">
        <w:t xml:space="preserve">the systematic review </w:t>
      </w:r>
      <w:r w:rsidR="00C067B2" w:rsidRPr="002C21B8">
        <w:t xml:space="preserve">to be explored while </w:t>
      </w:r>
      <w:r w:rsidRPr="002C21B8">
        <w:t>also allowing</w:t>
      </w:r>
      <w:r w:rsidR="00C067B2" w:rsidRPr="002C21B8">
        <w:t xml:space="preserve"> participant</w:t>
      </w:r>
      <w:r w:rsidR="00704058" w:rsidRPr="002C21B8">
        <w:t>s</w:t>
      </w:r>
      <w:r w:rsidR="00C067B2" w:rsidRPr="002C21B8">
        <w:t xml:space="preserve"> </w:t>
      </w:r>
      <w:r w:rsidR="00F05294" w:rsidRPr="002C21B8">
        <w:t xml:space="preserve">to </w:t>
      </w:r>
      <w:r w:rsidR="00704058" w:rsidRPr="002C21B8">
        <w:t xml:space="preserve">influence the direction and content of the </w:t>
      </w:r>
      <w:r w:rsidR="00F05294" w:rsidRPr="002C21B8">
        <w:t xml:space="preserve">interview </w:t>
      </w:r>
      <w:r w:rsidR="006B2FBE" w:rsidRPr="002C21B8">
        <w:fldChar w:fldCharType="begin"/>
      </w:r>
      <w:r w:rsidR="00CE4967" w:rsidRPr="002C21B8">
        <w:instrText xml:space="preserve"> ADDIN EN.CITE &lt;EndNote&gt;&lt;Cite&gt;&lt;Author&gt;Edley&lt;/Author&gt;&lt;Year&gt;2010&lt;/Year&gt;&lt;RecNum&gt;17358&lt;/RecNum&gt;&lt;DisplayText&gt;(Edley and Litosseliti, 2010)&lt;/DisplayText&gt;&lt;record&gt;&lt;rec-number&gt;17358&lt;/rec-number&gt;&lt;foreign-keys&gt;&lt;key app="EN" db-id="xpefzwa5hf9dt2ea9fax95x7xvxz90v09dtf" timestamp="1719314161"&gt;17358&lt;/key&gt;&lt;/foreign-keys&gt;&lt;ref-type name="Journal Article"&gt;17&lt;/ref-type&gt;&lt;contributors&gt;&lt;authors&gt;&lt;author&gt;Edley, Nigel&lt;/author&gt;&lt;author&gt;Litosseliti, Lia&lt;/author&gt;&lt;/authors&gt;&lt;/contributors&gt;&lt;titles&gt;&lt;title&gt;Contemplating interviews and focus groups&lt;/title&gt;&lt;secondary-title&gt;Research Methods in Linguistics&lt;/secondary-title&gt;&lt;/titles&gt;&lt;periodical&gt;&lt;full-title&gt;Research methods in linguistics&lt;/full-title&gt;&lt;/periodical&gt;&lt;pages&gt;179&lt;/pages&gt;&lt;volume&gt;155&lt;/volume&gt;&lt;dates&gt;&lt;year&gt;2010&lt;/year&gt;&lt;/dates&gt;&lt;urls&gt;&lt;/urls&gt;&lt;/record&gt;&lt;/Cite&gt;&lt;/EndNote&gt;</w:instrText>
      </w:r>
      <w:r w:rsidR="006B2FBE" w:rsidRPr="002C21B8">
        <w:fldChar w:fldCharType="separate"/>
      </w:r>
      <w:r w:rsidR="006B2FBE" w:rsidRPr="002C21B8">
        <w:t>(Edley and Litosseliti, 2010)</w:t>
      </w:r>
      <w:r w:rsidR="006B2FBE" w:rsidRPr="002C21B8">
        <w:fldChar w:fldCharType="end"/>
      </w:r>
      <w:r w:rsidR="006B2FBE" w:rsidRPr="002C21B8">
        <w:t xml:space="preserve">. This balance is particularly </w:t>
      </w:r>
      <w:r w:rsidR="00C067B2" w:rsidRPr="002C21B8">
        <w:t xml:space="preserve">helpful for less </w:t>
      </w:r>
      <w:r w:rsidR="006B2FBE" w:rsidRPr="002C21B8">
        <w:t>experienced qualitative researchers, as i</w:t>
      </w:r>
      <w:r w:rsidR="00C067B2" w:rsidRPr="002C21B8">
        <w:t>t provides structure to ensure key areas are covered while retaining flexibility</w:t>
      </w:r>
      <w:r w:rsidR="006B2FBE" w:rsidRPr="002C21B8">
        <w:t xml:space="preserve"> </w:t>
      </w:r>
      <w:r w:rsidR="006B2FBE" w:rsidRPr="002C21B8">
        <w:fldChar w:fldCharType="begin"/>
      </w:r>
      <w:r w:rsidR="00731A52" w:rsidRPr="002C21B8">
        <w:instrText xml:space="preserve"> ADDIN EN.CITE &lt;EndNote&gt;&lt;Cite&gt;&lt;Author&gt;Moser&lt;/Author&gt;&lt;Year&gt;2018&lt;/Year&gt;&lt;RecNum&gt;125374&lt;/RecNum&gt;&lt;DisplayText&gt;(Moser and Korstjens, 2018)&lt;/DisplayText&gt;&lt;record&gt;&lt;rec-number&gt;125374&lt;/rec-number&gt;&lt;foreign-keys&gt;&lt;key app="EN" db-id="xpefzwa5hf9dt2ea9fax95x7xvxz90v09dtf" timestamp="1775383101"&gt;125374&lt;/key&gt;&lt;/foreign-keys&gt;&lt;ref-type name="Journal Article"&gt;17&lt;/ref-type&gt;&lt;contributors&gt;&lt;authors&gt;&lt;author&gt;Moser, Albine&lt;/author&gt;&lt;author&gt;Korstjens, Irene&lt;/author&gt;&lt;/authors&gt;&lt;/contributors&gt;&lt;titles&gt;&lt;title&gt;Series: Practical guidance to qualitative research. Part 3: Sampling, data collection and analysis&lt;/title&gt;&lt;secondary-title&gt;European Journal of General Practice&lt;/secondary-title&gt;&lt;/titles&gt;&lt;periodical&gt;&lt;full-title&gt;European Journal of General Practice&lt;/full-title&gt;&lt;/periodical&gt;&lt;pages&gt;9-18&lt;/pages&gt;&lt;volume&gt;24&lt;/volume&gt;&lt;number&gt;1&lt;/number&gt;&lt;dates&gt;&lt;year&gt;2018&lt;/year&gt;&lt;/dates&gt;&lt;isbn&gt;1381-4788&lt;/isbn&gt;&lt;urls&gt;&lt;/urls&gt;&lt;/record&gt;&lt;/Cite&gt;&lt;/EndNote&gt;</w:instrText>
      </w:r>
      <w:r w:rsidR="006B2FBE" w:rsidRPr="002C21B8">
        <w:fldChar w:fldCharType="separate"/>
      </w:r>
      <w:r w:rsidR="006B2FBE" w:rsidRPr="002C21B8">
        <w:t>(Moser and Korstjens, 2018)</w:t>
      </w:r>
      <w:r w:rsidR="006B2FBE" w:rsidRPr="002C21B8">
        <w:fldChar w:fldCharType="end"/>
      </w:r>
      <w:r w:rsidR="006B2FBE" w:rsidRPr="002C21B8">
        <w:t xml:space="preserve">. </w:t>
      </w:r>
      <w:r w:rsidR="00C067B2" w:rsidRPr="002C21B8">
        <w:t>H</w:t>
      </w:r>
      <w:r w:rsidR="006B2FBE" w:rsidRPr="002C21B8">
        <w:t>ealthcare professionals w</w:t>
      </w:r>
      <w:r w:rsidR="00C067B2" w:rsidRPr="002C21B8">
        <w:t xml:space="preserve">ere selected as participants </w:t>
      </w:r>
      <w:r w:rsidR="009B3FFE" w:rsidRPr="002C21B8">
        <w:t xml:space="preserve">for </w:t>
      </w:r>
      <w:r w:rsidR="00C067B2" w:rsidRPr="002C21B8">
        <w:t xml:space="preserve">their </w:t>
      </w:r>
      <w:r w:rsidR="006B2FBE" w:rsidRPr="002C21B8">
        <w:t xml:space="preserve">insight into the </w:t>
      </w:r>
      <w:r w:rsidR="00C067B2" w:rsidRPr="002C21B8">
        <w:t>organisation o</w:t>
      </w:r>
      <w:r w:rsidR="006B2FBE" w:rsidRPr="002C21B8">
        <w:t xml:space="preserve">f kidney </w:t>
      </w:r>
      <w:r w:rsidR="00C067B2" w:rsidRPr="002C21B8">
        <w:t xml:space="preserve">centres </w:t>
      </w:r>
      <w:r w:rsidR="006B2FBE" w:rsidRPr="002C21B8">
        <w:t>and ADPKD service</w:t>
      </w:r>
      <w:r w:rsidR="00C067B2" w:rsidRPr="002C21B8">
        <w:t>s</w:t>
      </w:r>
      <w:r w:rsidR="009B3FFE" w:rsidRPr="002C21B8">
        <w:t>,</w:t>
      </w:r>
      <w:r w:rsidR="006B2FBE" w:rsidRPr="002C21B8">
        <w:t xml:space="preserve"> </w:t>
      </w:r>
      <w:r w:rsidR="00C067B2" w:rsidRPr="002C21B8">
        <w:t xml:space="preserve">and their central role in initiating </w:t>
      </w:r>
      <w:r w:rsidR="006B2FBE" w:rsidRPr="002C21B8">
        <w:t>tolvaptan.</w:t>
      </w:r>
    </w:p>
    <w:p w14:paraId="79BDFA1E" w14:textId="6EFC6C4E" w:rsidR="001E5DCA" w:rsidRPr="002C21B8" w:rsidRDefault="001E5DCA" w:rsidP="006B2FBE">
      <w:r w:rsidRPr="002C21B8">
        <w:rPr>
          <w:u w:val="single"/>
        </w:rPr>
        <w:t>Direct observations</w:t>
      </w:r>
      <w:r w:rsidRPr="002C21B8">
        <w:t xml:space="preserve"> were included to complement interview data</w:t>
      </w:r>
      <w:r w:rsidR="00F05294" w:rsidRPr="002C21B8">
        <w:t xml:space="preserve">. This </w:t>
      </w:r>
      <w:r w:rsidRPr="002C21B8">
        <w:t>enable</w:t>
      </w:r>
      <w:r w:rsidR="00D4277B" w:rsidRPr="002C21B8">
        <w:t>d</w:t>
      </w:r>
      <w:r w:rsidRPr="002C21B8">
        <w:t xml:space="preserve"> comparison between reported accounts </w:t>
      </w:r>
      <w:r w:rsidR="00F05294" w:rsidRPr="002C21B8">
        <w:t xml:space="preserve">(from interviews) </w:t>
      </w:r>
      <w:r w:rsidRPr="002C21B8">
        <w:t>and clinical practice</w:t>
      </w:r>
      <w:r w:rsidR="00F05294" w:rsidRPr="002C21B8">
        <w:t xml:space="preserve"> (from observation</w:t>
      </w:r>
      <w:r w:rsidR="006907A0" w:rsidRPr="002C21B8">
        <w:t>s</w:t>
      </w:r>
      <w:r w:rsidR="00F05294" w:rsidRPr="002C21B8">
        <w:t>)</w:t>
      </w:r>
      <w:r w:rsidRPr="002C21B8">
        <w:t xml:space="preserve">. Observations are particularly valuable </w:t>
      </w:r>
      <w:r w:rsidR="000A15E2" w:rsidRPr="002C21B8">
        <w:t>for</w:t>
      </w:r>
      <w:r w:rsidRPr="002C21B8">
        <w:t xml:space="preserve"> </w:t>
      </w:r>
      <w:r w:rsidR="000A15E2" w:rsidRPr="002C21B8">
        <w:t>providing an account of</w:t>
      </w:r>
      <w:r w:rsidRPr="002C21B8">
        <w:t xml:space="preserve"> real-time interactions and contextual factors that may not be fully articulated in interviews </w:t>
      </w:r>
      <w:r w:rsidRPr="002C21B8">
        <w:fldChar w:fldCharType="begin"/>
      </w:r>
      <w:r w:rsidRPr="002C21B8">
        <w:instrText xml:space="preserve"> ADDIN EN.CITE &lt;EndNote&gt;&lt;Cite&gt;&lt;Author&gt;Chand&lt;/Author&gt;&lt;Year&gt;2025&lt;/Year&gt;&lt;RecNum&gt;125388&lt;/RecNum&gt;&lt;DisplayText&gt;(Chand, 2025)&lt;/DisplayText&gt;&lt;record&gt;&lt;rec-number&gt;125388&lt;/rec-number&gt;&lt;foreign-keys&gt;&lt;key app="EN" db-id="xpefzwa5hf9dt2ea9fax95x7xvxz90v09dtf" timestamp="1775556713"&gt;125388&lt;/key&gt;&lt;/foreign-keys&gt;&lt;ref-type name="Journal Article"&gt;17&lt;/ref-type&gt;&lt;contributors&gt;&lt;authors&gt;&lt;author&gt;Chand, Satish Prakash&lt;/author&gt;&lt;/authors&gt;&lt;/contributors&gt;&lt;titles&gt;&lt;title&gt;Methods of data collection in qualitative research: Interviews, focus groups, observations, and document analysis&lt;/title&gt;&lt;secondary-title&gt;Advances in Educational Research and Evaluation&lt;/secondary-title&gt;&lt;/titles&gt;&lt;periodical&gt;&lt;full-title&gt;Advances in Educational Research and Evaluation&lt;/full-title&gt;&lt;/periodical&gt;&lt;pages&gt;303-317&lt;/pages&gt;&lt;volume&gt;6&lt;/volume&gt;&lt;number&gt;1&lt;/number&gt;&lt;dates&gt;&lt;year&gt;2025&lt;/year&gt;&lt;/dates&gt;&lt;isbn&gt;2661-4693&lt;/isbn&gt;&lt;urls&gt;&lt;/urls&gt;&lt;/record&gt;&lt;/Cite&gt;&lt;/EndNote&gt;</w:instrText>
      </w:r>
      <w:r w:rsidRPr="002C21B8">
        <w:fldChar w:fldCharType="separate"/>
      </w:r>
      <w:r w:rsidRPr="002C21B8">
        <w:t>(Chand, 2025)</w:t>
      </w:r>
      <w:r w:rsidRPr="002C21B8">
        <w:fldChar w:fldCharType="end"/>
      </w:r>
      <w:r w:rsidRPr="002C21B8">
        <w:t xml:space="preserve">. In case study research, direct observation is recognised as an important source of evidence to help understand behaviours and interactions within their natural context </w:t>
      </w:r>
      <w:r w:rsidR="006B2FBE" w:rsidRPr="002C21B8">
        <w:fldChar w:fldCharType="begin"/>
      </w:r>
      <w:r w:rsidR="00455B2B" w:rsidRPr="002C21B8">
        <w:instrText xml:space="preserve"> ADDIN EN.CITE &lt;EndNote&gt;&lt;Cite&gt;&lt;Author&gt;Fix&lt;/Author&gt;&lt;Year&gt;2022&lt;/Year&gt;&lt;RecNum&gt;5080&lt;/RecNum&gt;&lt;DisplayText&gt;(Fix&lt;style face="italic"&gt; et al.&lt;/style&gt;, 2022)&lt;/DisplayText&gt;&lt;record&gt;&lt;rec-number&gt;5080&lt;/rec-number&gt;&lt;foreign-keys&gt;&lt;key app="EN" db-id="xpefzwa5hf9dt2ea9fax95x7xvxz90v09dtf" timestamp="1700039376"&gt;5080&lt;/key&gt;&lt;/foreign-keys&gt;&lt;ref-type name="Journal Article"&gt;17&lt;/ref-type&gt;&lt;contributors&gt;&lt;authors&gt;&lt;author&gt;Fix, G. M.&lt;/author&gt;&lt;author&gt;Kim, B.&lt;/author&gt;&lt;author&gt;Ruben, M.&lt;/author&gt;&lt;author&gt;McCullough, M. B.&lt;/author&gt;&lt;/authors&gt;&lt;/contributors&gt;&lt;auth-address&gt;VA Center for Healthcare Organization and Implementation Research, Boston and Bedford, MA, USA.&amp;#xD;Boston University School of Medicine, Boston, MA, USA.&amp;#xD;Department of Psychiatry, Harvard Medical School, Cambridge, MA, USA.&amp;#xD;Department of Psychology, University of Maine, Orono, ME, USA.&amp;#xD;Department of Public Health, University of Massachusetts Lowell, Lowell, MA, USA.&lt;/auth-address&gt;&lt;titles&gt;&lt;title&gt;Direct Observation Methods: a Practical Guide for Health Researchers&lt;/title&gt;&lt;secondary-title&gt;PEC Innovation&lt;/secondary-title&gt;&lt;/titles&gt;&lt;periodical&gt;&lt;full-title&gt;PEC Innovation&lt;/full-title&gt;&lt;/periodical&gt;&lt;pages&gt;100036&lt;/pages&gt;&lt;volume&gt;1&lt;/volume&gt;&lt;keywords&gt;&lt;keyword&gt;Direct Observation&lt;/keyword&gt;&lt;keyword&gt;Ethnography&lt;/keyword&gt;&lt;keyword&gt;Health Services Research&lt;/keyword&gt;&lt;keyword&gt;Methods&lt;/keyword&gt;&lt;keyword&gt;Qualitative Methods&lt;/keyword&gt;&lt;/keywords&gt;&lt;dates&gt;&lt;year&gt;2022&lt;/year&gt;&lt;pub-dates&gt;&lt;date&gt;Dec&lt;/date&gt;&lt;/pub-dates&gt;&lt;/dates&gt;&lt;isbn&gt;2772-6282&lt;/isbn&gt;&lt;accession-num&gt;36406296&lt;/accession-num&gt;&lt;urls&gt;&lt;/urls&gt;&lt;custom1&gt;All authors declared no conflict of interests.&lt;/custom1&gt;&lt;custom2&gt;PMC9670254&lt;/custom2&gt;&lt;custom6&gt;NIHMS1831127&lt;/custom6&gt;&lt;electronic-resource-num&gt;10.1016/j.pecinn.2022.100036&lt;/electronic-resource-num&gt;&lt;remote-database-provider&gt;NLM&lt;/remote-database-provider&gt;&lt;language&gt;eng&lt;/language&gt;&lt;/record&gt;&lt;/Cite&gt;&lt;/EndNote&gt;</w:instrText>
      </w:r>
      <w:r w:rsidR="006B2FBE" w:rsidRPr="002C21B8">
        <w:fldChar w:fldCharType="separate"/>
      </w:r>
      <w:r w:rsidR="006B2FBE" w:rsidRPr="002C21B8">
        <w:rPr>
          <w:noProof/>
        </w:rPr>
        <w:t>(Fix</w:t>
      </w:r>
      <w:r w:rsidR="006B2FBE" w:rsidRPr="002C21B8">
        <w:rPr>
          <w:i/>
          <w:noProof/>
        </w:rPr>
        <w:t xml:space="preserve"> et al.</w:t>
      </w:r>
      <w:r w:rsidR="006B2FBE" w:rsidRPr="002C21B8">
        <w:rPr>
          <w:noProof/>
        </w:rPr>
        <w:t>, 2022)</w:t>
      </w:r>
      <w:r w:rsidR="006B2FBE" w:rsidRPr="002C21B8">
        <w:fldChar w:fldCharType="end"/>
      </w:r>
      <w:r w:rsidR="006B2FBE" w:rsidRPr="002C21B8">
        <w:t xml:space="preserve">. </w:t>
      </w:r>
      <w:r w:rsidR="00D4277B" w:rsidRPr="002C21B8">
        <w:t>Observation</w:t>
      </w:r>
      <w:r w:rsidR="00F05294" w:rsidRPr="002C21B8">
        <w:t xml:space="preserve"> was undertaken in a </w:t>
      </w:r>
      <w:r w:rsidR="00D4277B" w:rsidRPr="002C21B8">
        <w:t xml:space="preserve">targeted manner rather than </w:t>
      </w:r>
      <w:r w:rsidR="00D4277B" w:rsidRPr="002C21B8">
        <w:lastRenderedPageBreak/>
        <w:t xml:space="preserve">through prolonged ethnographic immersion, reflecting the infrequent nature of tolvaptan prescribing and constraints </w:t>
      </w:r>
      <w:r w:rsidR="006F61D4" w:rsidRPr="002C21B8">
        <w:t>i</w:t>
      </w:r>
      <w:r w:rsidR="00290017" w:rsidRPr="002C21B8">
        <w:t>n observing</w:t>
      </w:r>
      <w:r w:rsidR="00D4277B" w:rsidRPr="002C21B8">
        <w:t xml:space="preserve"> relevant clinic encounters </w:t>
      </w:r>
      <w:r w:rsidR="00D4277B" w:rsidRPr="002C21B8">
        <w:fldChar w:fldCharType="begin"/>
      </w:r>
      <w:r w:rsidR="0060457F" w:rsidRPr="002C21B8">
        <w:instrText xml:space="preserve"> ADDIN EN.CITE &lt;EndNote&gt;&lt;Cite&gt;&lt;Author&gt;Patton&lt;/Author&gt;&lt;Year&gt;2014&lt;/Year&gt;&lt;RecNum&gt;125409&lt;/RecNum&gt;&lt;DisplayText&gt;(Patton, 2014)&lt;/DisplayText&gt;&lt;record&gt;&lt;rec-number&gt;125409&lt;/rec-number&gt;&lt;foreign-keys&gt;&lt;key app="EN" db-id="xpefzwa5hf9dt2ea9fax95x7xvxz90v09dtf" timestamp="1775767184"&gt;125409&lt;/key&gt;&lt;/foreign-keys&gt;&lt;ref-type name="Book"&gt;6&lt;/ref-type&gt;&lt;contributors&gt;&lt;authors&gt;&lt;author&gt;Patton, Michael Quinn&lt;/author&gt;&lt;/authors&gt;&lt;/contributors&gt;&lt;titles&gt;&lt;title&gt;Qualitative research &amp;amp; evaluation methods: Integrating theory and practice&lt;/title&gt;&lt;/titles&gt;&lt;section&gt;1-832&lt;/section&gt;&lt;dates&gt;&lt;year&gt;2014&lt;/year&gt;&lt;/dates&gt;&lt;pub-location&gt;London, UK&lt;/pub-location&gt;&lt;publisher&gt;SAGE Publications Ltd&lt;/publisher&gt;&lt;isbn&gt;1483301451&lt;/isbn&gt;&lt;urls&gt;&lt;/urls&gt;&lt;/record&gt;&lt;/Cite&gt;&lt;/EndNote&gt;</w:instrText>
      </w:r>
      <w:r w:rsidR="00D4277B" w:rsidRPr="002C21B8">
        <w:fldChar w:fldCharType="separate"/>
      </w:r>
      <w:r w:rsidR="00D4277B" w:rsidRPr="002C21B8">
        <w:rPr>
          <w:noProof/>
        </w:rPr>
        <w:t>(Patton, 2014)</w:t>
      </w:r>
      <w:r w:rsidR="00D4277B" w:rsidRPr="002C21B8">
        <w:fldChar w:fldCharType="end"/>
      </w:r>
      <w:r w:rsidR="00D4277B" w:rsidRPr="002C21B8">
        <w:t>.</w:t>
      </w:r>
    </w:p>
    <w:p w14:paraId="3E45DDF8" w14:textId="28A1890B" w:rsidR="00D4277B" w:rsidRPr="002C21B8" w:rsidRDefault="00D33DB8" w:rsidP="00D4277B">
      <w:r w:rsidRPr="002C21B8">
        <w:rPr>
          <w:u w:val="single"/>
        </w:rPr>
        <w:t>Organisational documents</w:t>
      </w:r>
      <w:r w:rsidR="00D4277B" w:rsidRPr="002C21B8">
        <w:t xml:space="preserve"> w</w:t>
      </w:r>
      <w:r w:rsidRPr="002C21B8">
        <w:t xml:space="preserve">ere included </w:t>
      </w:r>
      <w:r w:rsidR="00791341" w:rsidRPr="002C21B8">
        <w:t>because</w:t>
      </w:r>
      <w:r w:rsidR="00D4277B" w:rsidRPr="002C21B8">
        <w:t xml:space="preserve"> </w:t>
      </w:r>
      <w:r w:rsidRPr="002C21B8">
        <w:t xml:space="preserve">they </w:t>
      </w:r>
      <w:r w:rsidR="00D4277B" w:rsidRPr="002C21B8">
        <w:t xml:space="preserve">provided access to </w:t>
      </w:r>
      <w:r w:rsidRPr="002C21B8">
        <w:t xml:space="preserve">both internal processes </w:t>
      </w:r>
      <w:r w:rsidR="00D4277B" w:rsidRPr="002C21B8">
        <w:t xml:space="preserve">and policy-level information. Documents are considered key sources of evidence for understanding context and decision-making processes, particularly when used alongside other data sources </w:t>
      </w:r>
      <w:r w:rsidR="004E4F01" w:rsidRPr="002C21B8">
        <w:fldChar w:fldCharType="begin"/>
      </w:r>
      <w:r w:rsidR="0060457F" w:rsidRPr="002C21B8">
        <w:instrText xml:space="preserve"> ADDIN EN.CITE &lt;EndNote&gt;&lt;Cite&gt;&lt;Author&gt;Bowen&lt;/Author&gt;&lt;Year&gt;2009&lt;/Year&gt;&lt;RecNum&gt;5442&lt;/RecNum&gt;&lt;DisplayText&gt;(Bowen, 2009; Yin, 2009)&lt;/DisplayText&gt;&lt;record&gt;&lt;rec-number&gt;5442&lt;/rec-number&gt;&lt;foreign-keys&gt;&lt;key app="EN" db-id="xpefzwa5hf9dt2ea9fax95x7xvxz90v09dtf" timestamp="1703019861"&gt;5442&lt;/key&gt;&lt;/foreign-keys&gt;&lt;ref-type name="Journal Article"&gt;17&lt;/ref-type&gt;&lt;contributors&gt;&lt;authors&gt;&lt;author&gt;Bowen, Glenn&lt;/author&gt;&lt;/authors&gt;&lt;/contributors&gt;&lt;titles&gt;&lt;title&gt;Document Analysis as a Qualitative Research Method&lt;/title&gt;&lt;secondary-title&gt;Qualitative Research Journal&lt;/secondary-title&gt;&lt;/titles&gt;&lt;periodical&gt;&lt;full-title&gt;Qualitative Research Journal&lt;/full-title&gt;&lt;/periodical&gt;&lt;pages&gt;27-40&lt;/pages&gt;&lt;volume&gt;9&lt;/volume&gt;&lt;dates&gt;&lt;year&gt;2009&lt;/year&gt;&lt;pub-dates&gt;&lt;date&gt;08/03&lt;/date&gt;&lt;/pub-dates&gt;&lt;/dates&gt;&lt;urls&gt;&lt;/urls&gt;&lt;electronic-resource-num&gt;10.3316/QRJ0902027&lt;/electronic-resource-num&gt;&lt;/record&gt;&lt;/Cite&gt;&lt;Cite&gt;&lt;Author&gt;Yin&lt;/Author&gt;&lt;Year&gt;2009&lt;/Year&gt;&lt;RecNum&gt;5549&lt;/RecNum&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4E4F01" w:rsidRPr="002C21B8">
        <w:fldChar w:fldCharType="separate"/>
      </w:r>
      <w:r w:rsidR="00D4277B" w:rsidRPr="002C21B8">
        <w:rPr>
          <w:noProof/>
        </w:rPr>
        <w:t>(Bowen, 2009; Yin, 2009)</w:t>
      </w:r>
      <w:r w:rsidR="004E4F01" w:rsidRPr="002C21B8">
        <w:fldChar w:fldCharType="end"/>
      </w:r>
      <w:r w:rsidR="004E4F01" w:rsidRPr="002C21B8">
        <w:t xml:space="preserve">. </w:t>
      </w:r>
      <w:r w:rsidR="003A5BDF" w:rsidRPr="002C21B8">
        <w:t>D</w:t>
      </w:r>
      <w:r w:rsidR="00D4277B" w:rsidRPr="002C21B8">
        <w:t xml:space="preserve">ocument analysis was </w:t>
      </w:r>
      <w:r w:rsidR="00791341" w:rsidRPr="002C21B8">
        <w:t xml:space="preserve">selected to enhance </w:t>
      </w:r>
      <w:r w:rsidR="00D4277B" w:rsidRPr="002C21B8">
        <w:t xml:space="preserve">understanding of tolvaptan care pathways and organisational </w:t>
      </w:r>
      <w:r w:rsidR="00791341" w:rsidRPr="002C21B8">
        <w:t>influences on</w:t>
      </w:r>
      <w:r w:rsidR="00D4277B" w:rsidRPr="002C21B8">
        <w:t xml:space="preserve"> prescribing decisions that may not have been </w:t>
      </w:r>
      <w:r w:rsidR="008F3997" w:rsidRPr="002C21B8">
        <w:t>identifie</w:t>
      </w:r>
      <w:r w:rsidR="00D4277B" w:rsidRPr="002C21B8">
        <w:t xml:space="preserve">d in interviews or direct observations </w:t>
      </w:r>
      <w:r w:rsidR="00D4277B" w:rsidRPr="002C21B8">
        <w:fldChar w:fldCharType="begin"/>
      </w:r>
      <w:r w:rsidR="00CE4967" w:rsidRPr="002C21B8">
        <w:instrText xml:space="preserve"> ADDIN EN.CITE &lt;EndNote&gt;&lt;Cite&gt;&lt;Author&gt;Converse&lt;/Author&gt;&lt;Year&gt;2015&lt;/Year&gt;&lt;RecNum&gt;4992&lt;/RecNum&gt;&lt;DisplayText&gt;(Converse&lt;style face="italic"&gt; et al.&lt;/style&gt;, 2015)&lt;/DisplayText&gt;&lt;record&gt;&lt;rec-number&gt;4992&lt;/rec-number&gt;&lt;foreign-keys&gt;&lt;key app="EN" db-id="xpefzwa5hf9dt2ea9fax95x7xvxz90v09dtf" timestamp="1699876635"&gt;4992&lt;/key&gt;&lt;/foreign-keys&gt;&lt;ref-type name="Journal Article"&gt;17&lt;/ref-type&gt;&lt;contributors&gt;&lt;authors&gt;&lt;author&gt;Converse, L.&lt;/author&gt;&lt;author&gt;Barrett, K.&lt;/author&gt;&lt;author&gt;Rich, E.&lt;/author&gt;&lt;author&gt;Reschovsky, J.&lt;/author&gt;&lt;/authors&gt;&lt;/contributors&gt;&lt;auth-address&gt;Mathematica Policy Research, Washington, DC, USA, lconverse@mathematica-mpr.com.&lt;/auth-address&gt;&lt;titles&gt;&lt;title&gt;Methods of Observing Variations in Physicians&amp;apos; Decisions: The Opportunities of Clinical Vignettes&lt;/title&gt;&lt;secondary-title&gt;Journal of General Internal Medicine&lt;/secondary-title&gt;&lt;/titles&gt;&lt;periodical&gt;&lt;full-title&gt;Journal of general internal medicine&lt;/full-title&gt;&lt;/periodical&gt;&lt;pages&gt;S586-94&lt;/pages&gt;&lt;volume&gt;30 Suppl 3&lt;/volume&gt;&lt;number&gt;Suppl 3&lt;/number&gt;&lt;keywords&gt;&lt;keyword&gt;Clinical Decision-Making/*methods&lt;/keyword&gt;&lt;keyword&gt;Evidence-Based Medicine/methods&lt;/keyword&gt;&lt;keyword&gt;Humans&lt;/keyword&gt;&lt;keyword&gt;*Medical Records&lt;/keyword&gt;&lt;keyword&gt;Point-of-Care Systems&lt;/keyword&gt;&lt;keyword&gt;*Practice Patterns, Physicians&amp;apos;&lt;/keyword&gt;&lt;/keywords&gt;&lt;dates&gt;&lt;year&gt;2015&lt;/year&gt;&lt;pub-dates&gt;&lt;date&gt;Aug&lt;/date&gt;&lt;/pub-dates&gt;&lt;/dates&gt;&lt;isbn&gt;0884-8734 (Print)&amp;#xD;0884-8734&lt;/isbn&gt;&lt;accession-num&gt;26105672&lt;/accession-num&gt;&lt;urls&gt;&lt;/urls&gt;&lt;custom2&gt;PMC4512963&lt;/custom2&gt;&lt;electronic-resource-num&gt;10.1007/s11606-015-3365-8&lt;/electronic-resource-num&gt;&lt;remote-database-provider&gt;NLM&lt;/remote-database-provider&gt;&lt;language&gt;eng&lt;/language&gt;&lt;/record&gt;&lt;/Cite&gt;&lt;/EndNote&gt;</w:instrText>
      </w:r>
      <w:r w:rsidR="00D4277B" w:rsidRPr="002C21B8">
        <w:fldChar w:fldCharType="separate"/>
      </w:r>
      <w:r w:rsidR="00D4277B" w:rsidRPr="002C21B8">
        <w:rPr>
          <w:noProof/>
        </w:rPr>
        <w:t>(Converse</w:t>
      </w:r>
      <w:r w:rsidR="00D4277B" w:rsidRPr="002C21B8">
        <w:rPr>
          <w:i/>
          <w:noProof/>
        </w:rPr>
        <w:t xml:space="preserve"> et al.</w:t>
      </w:r>
      <w:r w:rsidR="00D4277B" w:rsidRPr="002C21B8">
        <w:rPr>
          <w:noProof/>
        </w:rPr>
        <w:t>, 2015)</w:t>
      </w:r>
      <w:r w:rsidR="00D4277B" w:rsidRPr="002C21B8">
        <w:fldChar w:fldCharType="end"/>
      </w:r>
      <w:r w:rsidR="00D4277B" w:rsidRPr="002C21B8">
        <w:t>.</w:t>
      </w:r>
    </w:p>
    <w:p w14:paraId="0D63F95D" w14:textId="69F6E241" w:rsidR="005B76DC" w:rsidRPr="002C21B8" w:rsidRDefault="006B2FBE" w:rsidP="005B76DC">
      <w:r w:rsidRPr="002C21B8">
        <w:t xml:space="preserve">Other potential data sources were considered. </w:t>
      </w:r>
      <w:r w:rsidR="00D4277B" w:rsidRPr="002C21B8">
        <w:t>T</w:t>
      </w:r>
      <w:r w:rsidRPr="002C21B8">
        <w:t xml:space="preserve">here </w:t>
      </w:r>
      <w:r w:rsidR="006907A0" w:rsidRPr="002C21B8">
        <w:t>ar</w:t>
      </w:r>
      <w:r w:rsidRPr="002C21B8">
        <w:t>e limited opportunities for archival records or physical artefacts to be generated in the decision-making process for tolvaptan prescribing. One potential source could be patient</w:t>
      </w:r>
      <w:r w:rsidR="00FA18DF" w:rsidRPr="002C21B8">
        <w:t>’s</w:t>
      </w:r>
      <w:r w:rsidRPr="002C21B8">
        <w:t xml:space="preserve"> medical records which may document that tolvaptan was discussed. However, the reasons underlying prescribing decisions are often not </w:t>
      </w:r>
      <w:r w:rsidR="006907A0" w:rsidRPr="002C21B8">
        <w:t xml:space="preserve">well </w:t>
      </w:r>
      <w:r w:rsidRPr="002C21B8">
        <w:t xml:space="preserve">documented </w:t>
      </w:r>
      <w:r w:rsidRPr="002C21B8">
        <w:fldChar w:fldCharType="begin"/>
      </w:r>
      <w:r w:rsidR="00CE4967" w:rsidRPr="002C21B8">
        <w:instrText xml:space="preserve"> ADDIN EN.CITE &lt;EndNote&gt;&lt;Cite&gt;&lt;Author&gt;Demsash&lt;/Author&gt;&lt;Year&gt;2023&lt;/Year&gt;&lt;RecNum&gt;124984&lt;/RecNum&gt;&lt;DisplayText&gt;(Demsash&lt;style face="italic"&gt; et al.&lt;/style&gt;, 2023)&lt;/DisplayText&gt;&lt;record&gt;&lt;rec-number&gt;124984&lt;/rec-number&gt;&lt;foreign-keys&gt;&lt;key app="EN" db-id="xpefzwa5hf9dt2ea9fax95x7xvxz90v09dtf" timestamp="1755597879"&gt;124984&lt;/key&gt;&lt;/foreign-keys&gt;&lt;ref-type name="Journal Article"&gt;17&lt;/ref-type&gt;&lt;contributors&gt;&lt;authors&gt;&lt;author&gt;Demsash, Addisalem Workie&lt;/author&gt;&lt;author&gt;Kassie, Sisay Yitayih&lt;/author&gt;&lt;author&gt;Dubale, Abiy Tasew&lt;/author&gt;&lt;author&gt;Chereka, Alex Ayenew&lt;/author&gt;&lt;author&gt;Ngusie, Habtamu Setegn&lt;/author&gt;&lt;author&gt;Hunde, Mekonnen Kenate&lt;/author&gt;&lt;author&gt;Emanu, Milkias Dugassa&lt;/author&gt;&lt;author&gt;Shibabaw, Adamu Ambachew&lt;/author&gt;&lt;author&gt;Walle, Agmasie Damtew&lt;/author&gt;&lt;/authors&gt;&lt;/contributors&gt;&lt;titles&gt;&lt;title&gt;Health professionals’ routine practice documentation and its associated factors in a resource-limited setting: a cross-sectional study&lt;/title&gt;&lt;secondary-title&gt;BMJ Health &amp;amp; Care Informatics&lt;/secondary-title&gt;&lt;/titles&gt;&lt;periodical&gt;&lt;full-title&gt;BMJ health &amp;amp; care informatics&lt;/full-title&gt;&lt;/periodical&gt;&lt;pages&gt;e100699&lt;/pages&gt;&lt;volume&gt;30&lt;/volume&gt;&lt;number&gt;1&lt;/number&gt;&lt;dates&gt;&lt;year&gt;2023&lt;/year&gt;&lt;/dates&gt;&lt;urls&gt;&lt;/urls&gt;&lt;/record&gt;&lt;/Cite&gt;&lt;/EndNote&gt;</w:instrText>
      </w:r>
      <w:r w:rsidRPr="002C21B8">
        <w:fldChar w:fldCharType="separate"/>
      </w:r>
      <w:r w:rsidRPr="002C21B8">
        <w:rPr>
          <w:noProof/>
        </w:rPr>
        <w:t>(Demsash</w:t>
      </w:r>
      <w:r w:rsidRPr="002C21B8">
        <w:rPr>
          <w:i/>
          <w:noProof/>
        </w:rPr>
        <w:t xml:space="preserve"> et al.</w:t>
      </w:r>
      <w:r w:rsidRPr="002C21B8">
        <w:rPr>
          <w:noProof/>
        </w:rPr>
        <w:t>, 2023)</w:t>
      </w:r>
      <w:r w:rsidRPr="002C21B8">
        <w:fldChar w:fldCharType="end"/>
      </w:r>
      <w:r w:rsidRPr="002C21B8">
        <w:t xml:space="preserve">. Quantitative staff surveys could </w:t>
      </w:r>
      <w:r w:rsidR="00FA18DF" w:rsidRPr="002C21B8">
        <w:t xml:space="preserve">have </w:t>
      </w:r>
      <w:r w:rsidRPr="002C21B8">
        <w:t>be</w:t>
      </w:r>
      <w:r w:rsidR="00FA18DF" w:rsidRPr="002C21B8">
        <w:t>en</w:t>
      </w:r>
      <w:r w:rsidRPr="002C21B8">
        <w:t xml:space="preserve"> used but as there is a low number of </w:t>
      </w:r>
      <w:r w:rsidR="00F05294" w:rsidRPr="002C21B8">
        <w:t xml:space="preserve">clinical staff involved in </w:t>
      </w:r>
      <w:r w:rsidR="00A502AE" w:rsidRPr="002C21B8">
        <w:t>tolvaptan</w:t>
      </w:r>
      <w:r w:rsidR="00F05294" w:rsidRPr="002C21B8">
        <w:t xml:space="preserve"> prescribing </w:t>
      </w:r>
      <w:r w:rsidRPr="002C21B8">
        <w:t xml:space="preserve">in each </w:t>
      </w:r>
      <w:r w:rsidR="00F05294" w:rsidRPr="002C21B8">
        <w:t xml:space="preserve">kidney </w:t>
      </w:r>
      <w:r w:rsidRPr="002C21B8">
        <w:t>centre</w:t>
      </w:r>
      <w:r w:rsidR="00DF6A12" w:rsidRPr="002C21B8">
        <w:t>,</w:t>
      </w:r>
      <w:r w:rsidRPr="002C21B8">
        <w:t xml:space="preserve"> this would generate a low volume of data and would lack the depth that would be gained through interviews and observations </w:t>
      </w:r>
      <w:r w:rsidRPr="002C21B8">
        <w:fldChar w:fldCharType="begin"/>
      </w:r>
      <w:r w:rsidRPr="002C21B8">
        <w:instrText xml:space="preserve"> ADDIN EN.CITE &lt;EndNote&gt;&lt;Cite&gt;&lt;Author&gt;Braun&lt;/Author&gt;&lt;Year&gt;2021&lt;/Year&gt;&lt;RecNum&gt;17360&lt;/RecNum&gt;&lt;DisplayText&gt;(Braun&lt;style face="italic"&gt; et al.&lt;/style&gt;, 2021)&lt;/DisplayText&gt;&lt;record&gt;&lt;rec-number&gt;17360&lt;/rec-number&gt;&lt;foreign-keys&gt;&lt;key app="EN" db-id="xpefzwa5hf9dt2ea9fax95x7xvxz90v09dtf" timestamp="1719315491"&gt;17360&lt;/key&gt;&lt;/foreign-keys&gt;&lt;ref-type name="Journal Article"&gt;17&lt;/ref-type&gt;&lt;contributors&gt;&lt;authors&gt;&lt;author&gt;Braun, Virginia&lt;/author&gt;&lt;author&gt;Clarke, Victoria&lt;/author&gt;&lt;author&gt;Boulton, Elicia&lt;/author&gt;&lt;author&gt;Davey, Louise&lt;/author&gt;&lt;author&gt;McEvoy, Charlotte&lt;/author&gt;&lt;/authors&gt;&lt;/contributors&gt;&lt;titles&gt;&lt;title&gt;The online survey as a qualitative research tool&lt;/title&gt;&lt;secondary-title&gt;International Journal of Social Research Methodology&lt;/secondary-title&gt;&lt;/titles&gt;&lt;periodical&gt;&lt;full-title&gt;International Journal of Social Research Methodology&lt;/full-title&gt;&lt;/periodical&gt;&lt;pages&gt;641-654&lt;/pages&gt;&lt;volume&gt;24&lt;/volume&gt;&lt;number&gt;6&lt;/number&gt;&lt;dates&gt;&lt;year&gt;2021&lt;/year&gt;&lt;pub-dates&gt;&lt;date&gt;2021/11/02&lt;/date&gt;&lt;/pub-dates&gt;&lt;/dates&gt;&lt;publisher&gt;Routledge&lt;/publisher&gt;&lt;isbn&gt;1364-5579&lt;/isbn&gt;&lt;urls&gt;&lt;related-urls&gt;&lt;url&gt;https://doi.org/10.1080/13645579.2020.1805550&lt;/url&gt;&lt;/related-urls&gt;&lt;/urls&gt;&lt;electronic-resource-num&gt;10.1080/13645579.2020.1805550&lt;/electronic-resource-num&gt;&lt;/record&gt;&lt;/Cite&gt;&lt;/EndNote&gt;</w:instrText>
      </w:r>
      <w:r w:rsidRPr="002C21B8">
        <w:fldChar w:fldCharType="separate"/>
      </w:r>
      <w:r w:rsidRPr="002C21B8">
        <w:t>(Braun</w:t>
      </w:r>
      <w:r w:rsidRPr="002C21B8">
        <w:rPr>
          <w:i/>
        </w:rPr>
        <w:t xml:space="preserve"> et al.</w:t>
      </w:r>
      <w:r w:rsidRPr="002C21B8">
        <w:t>, 2021)</w:t>
      </w:r>
      <w:r w:rsidRPr="002C21B8">
        <w:fldChar w:fldCharType="end"/>
      </w:r>
      <w:r w:rsidRPr="002C21B8">
        <w:t>. Focus groups w</w:t>
      </w:r>
      <w:r w:rsidR="00E56D0E" w:rsidRPr="002C21B8">
        <w:t>ere considered as an</w:t>
      </w:r>
      <w:r w:rsidRPr="002C21B8">
        <w:t xml:space="preserve"> alternative to one-on-one interviews.</w:t>
      </w:r>
      <w:r w:rsidR="00E56D0E" w:rsidRPr="002C21B8">
        <w:t xml:space="preserve"> </w:t>
      </w:r>
      <w:r w:rsidR="00C613F6" w:rsidRPr="002C21B8">
        <w:t xml:space="preserve">However, discussing their practice in a group setting could introduce social desirability bias, as participants may avoid comments that reflect negatively on themselves, their colleagues or their kidney centre </w:t>
      </w:r>
      <w:r w:rsidR="00A502AE" w:rsidRPr="002C21B8">
        <w:fldChar w:fldCharType="begin">
          <w:fldData xml:space="preserve">PEVuZE5vdGU+PENpdGU+PEF1dGhvcj5TdG9rZXM8L0F1dGhvcj48WWVhcj4yMDA2PC9ZZWFyPjxS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</w:fldData>
        </w:fldChar>
      </w:r>
      <w:r w:rsidR="00C613F6" w:rsidRPr="002C21B8">
        <w:instrText xml:space="preserve"> ADDIN EN.CITE </w:instrText>
      </w:r>
      <w:r w:rsidR="00C613F6" w:rsidRPr="002C21B8">
        <w:fldChar w:fldCharType="begin">
          <w:fldData xml:space="preserve">PEVuZE5vdGU+PENpdGU+PEF1dGhvcj5TdG9rZXM8L0F1dGhvcj48WWVhcj4yMDA2PC9ZZWFyPjxS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</w:fldData>
        </w:fldChar>
      </w:r>
      <w:r w:rsidR="00C613F6" w:rsidRPr="002C21B8">
        <w:instrText xml:space="preserve"> ADDIN EN.CITE.DATA </w:instrText>
      </w:r>
      <w:r w:rsidR="00C613F6" w:rsidRPr="002C21B8">
        <w:fldChar w:fldCharType="end"/>
      </w:r>
      <w:r w:rsidR="00A502AE" w:rsidRPr="002C21B8">
        <w:fldChar w:fldCharType="separate"/>
      </w:r>
      <w:r w:rsidR="00C613F6" w:rsidRPr="002C21B8">
        <w:rPr>
          <w:noProof/>
        </w:rPr>
        <w:t>(Bispo Júnior, 2022; Stokes and Bergin, 2006)</w:t>
      </w:r>
      <w:r w:rsidR="00A502AE" w:rsidRPr="002C21B8">
        <w:fldChar w:fldCharType="end"/>
      </w:r>
      <w:r w:rsidR="00E56D0E" w:rsidRPr="002C21B8">
        <w:t xml:space="preserve">. </w:t>
      </w:r>
      <w:r w:rsidRPr="002C21B8">
        <w:t xml:space="preserve">Furthermore, the hierarchical nature between professionals at different kidney centres and within the same </w:t>
      </w:r>
      <w:r w:rsidR="00E56D0E" w:rsidRPr="002C21B8">
        <w:t>centre</w:t>
      </w:r>
      <w:r w:rsidRPr="002C21B8">
        <w:t xml:space="preserve"> could risk certain voices dominating discussions, thereby limiting the depth and diversity of perspectives </w:t>
      </w:r>
      <w:r w:rsidRPr="002C21B8">
        <w:fldChar w:fldCharType="begin"/>
      </w:r>
      <w:r w:rsidR="000215B0" w:rsidRPr="002C21B8">
        <w:instrText xml:space="preserve"> ADDIN EN.CITE &lt;EndNote&gt;&lt;Cite&gt;&lt;Author&gt;Sim&lt;/Author&gt;&lt;Year&gt;2019&lt;/Year&gt;&lt;RecNum&gt;125376&lt;/RecNum&gt;&lt;DisplayText&gt;(Sim and Waterfield, 2019)&lt;/DisplayText&gt;&lt;record&gt;&lt;rec-number&gt;125376&lt;/rec-number&gt;&lt;foreign-keys&gt;&lt;key app="EN" db-id="xpefzwa5hf9dt2ea9fax95x7xvxz90v09dtf" timestamp="1775383493"&gt;125376&lt;/key&gt;&lt;/foreign-keys&gt;&lt;ref-type name="Journal Article"&gt;17&lt;/ref-type&gt;&lt;contributors&gt;&lt;authors&gt;&lt;author&gt;Sim, Julius&lt;/author&gt;&lt;author&gt;Waterfield, Jackie&lt;/author&gt;&lt;/authors&gt;&lt;/contributors&gt;&lt;titles&gt;&lt;title&gt;Focus group methodology: some ethical challenges: J. Sim, J. Waterfield&lt;/title&gt;&lt;secondary-title&gt;Quality &amp;amp; Quantity&lt;/secondary-title&gt;&lt;/titles&gt;&lt;periodical&gt;&lt;full-title&gt;Quality &amp;amp; Quantity&lt;/full-title&gt;&lt;/periodical&gt;&lt;pages&gt;3003-3022&lt;/pages&gt;&lt;volume&gt;53&lt;/volume&gt;&lt;number&gt;6&lt;/number&gt;&lt;dates&gt;&lt;year&gt;2019&lt;/year&gt;&lt;/dates&gt;&lt;isbn&gt;0033-5177&lt;/isbn&gt;&lt;urls&gt;&lt;/urls&gt;&lt;/record&gt;&lt;/Cite&gt;&lt;/EndNote&gt;</w:instrText>
      </w:r>
      <w:r w:rsidRPr="002C21B8">
        <w:fldChar w:fldCharType="separate"/>
      </w:r>
      <w:r w:rsidRPr="002C21B8">
        <w:rPr>
          <w:noProof/>
        </w:rPr>
        <w:t>(Sim and Waterfield, 2019)</w:t>
      </w:r>
      <w:r w:rsidRPr="002C21B8">
        <w:fldChar w:fldCharType="end"/>
      </w:r>
      <w:r w:rsidRPr="002C21B8">
        <w:t xml:space="preserve">. Thus, individual interviews were determined to be a more appropriate </w:t>
      </w:r>
      <w:r w:rsidR="000D5BBD" w:rsidRPr="002C21B8">
        <w:t>source of evidence</w:t>
      </w:r>
      <w:r w:rsidRPr="002C21B8">
        <w:t>.</w:t>
      </w:r>
      <w:r w:rsidR="00F05294" w:rsidRPr="002C21B8">
        <w:t xml:space="preserve"> Finally, patient interviews could have been included to </w:t>
      </w:r>
      <w:r w:rsidR="0065301F" w:rsidRPr="002C21B8">
        <w:t xml:space="preserve">gain insight into </w:t>
      </w:r>
      <w:r w:rsidR="00F05294" w:rsidRPr="002C21B8">
        <w:t xml:space="preserve">patients’ perspectives on prescribing </w:t>
      </w:r>
      <w:r w:rsidR="00A502AE" w:rsidRPr="002C21B8">
        <w:t>tolvaptan</w:t>
      </w:r>
      <w:r w:rsidR="00AC75B3" w:rsidRPr="002C21B8">
        <w:t xml:space="preserve">. However, discussions with </w:t>
      </w:r>
      <w:r w:rsidR="005B76DC" w:rsidRPr="002C21B8">
        <w:t>the patient and public involvement group i</w:t>
      </w:r>
      <w:r w:rsidR="00AC75B3" w:rsidRPr="002C21B8">
        <w:t xml:space="preserve">ndicated that </w:t>
      </w:r>
      <w:r w:rsidR="005B76DC" w:rsidRPr="002C21B8">
        <w:t xml:space="preserve">patients </w:t>
      </w:r>
      <w:r w:rsidR="00AC75B3" w:rsidRPr="002C21B8">
        <w:t>a</w:t>
      </w:r>
      <w:r w:rsidR="005B76DC" w:rsidRPr="002C21B8">
        <w:t>re generally not involved in</w:t>
      </w:r>
      <w:r w:rsidR="00AC75B3" w:rsidRPr="002C21B8">
        <w:t>,</w:t>
      </w:r>
      <w:r w:rsidR="005B76DC" w:rsidRPr="002C21B8">
        <w:t xml:space="preserve"> or aware of</w:t>
      </w:r>
      <w:r w:rsidR="00AC75B3" w:rsidRPr="002C21B8">
        <w:t>,</w:t>
      </w:r>
      <w:r w:rsidR="005B76DC" w:rsidRPr="002C21B8">
        <w:t xml:space="preserve"> the decision-making process for tolvaptan. </w:t>
      </w:r>
      <w:r w:rsidR="00AC75B3" w:rsidRPr="002C21B8">
        <w:t>As such</w:t>
      </w:r>
      <w:r w:rsidR="005B76DC" w:rsidRPr="002C21B8">
        <w:t xml:space="preserve">, patient perspectives </w:t>
      </w:r>
      <w:r w:rsidR="00AC75B3" w:rsidRPr="002C21B8">
        <w:t xml:space="preserve">were considered </w:t>
      </w:r>
      <w:r w:rsidR="005B76DC" w:rsidRPr="002C21B8">
        <w:t>unlikely to meaningfully explain centre-level variation.</w:t>
      </w:r>
    </w:p>
    <w:p w14:paraId="4196F1AF" w14:textId="1534AC4B" w:rsidR="00D24CBB" w:rsidRPr="002C21B8" w:rsidRDefault="00D24CBB" w:rsidP="00E73C15">
      <w:pPr>
        <w:spacing w:before="120" w:after="0"/>
        <w:rPr>
          <w:b/>
          <w:bCs/>
          <w:i/>
          <w:iCs/>
        </w:rPr>
      </w:pPr>
      <w:r w:rsidRPr="002C21B8">
        <w:rPr>
          <w:b/>
          <w:bCs/>
          <w:i/>
          <w:iCs/>
        </w:rPr>
        <w:t>Analysis procedures</w:t>
      </w:r>
    </w:p>
    <w:p w14:paraId="74B2E82D" w14:textId="19790BC4" w:rsidR="0034376F" w:rsidRPr="002C21B8" w:rsidRDefault="00E62281" w:rsidP="001E53CD">
      <w:r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Pr="002C21B8">
        <w:rPr>
          <w:noProof/>
        </w:rPr>
        <w:t>Yin (2009)</w:t>
      </w:r>
      <w:r w:rsidRPr="002C21B8">
        <w:fldChar w:fldCharType="end"/>
      </w:r>
      <w:r w:rsidRPr="002C21B8">
        <w:t xml:space="preserve"> recommends that analysis </w:t>
      </w:r>
      <w:r w:rsidR="002D0110" w:rsidRPr="002C21B8">
        <w:t xml:space="preserve">in case study research </w:t>
      </w:r>
      <w:r w:rsidRPr="002C21B8">
        <w:t>should be guided by the research question and underlying</w:t>
      </w:r>
      <w:r w:rsidR="00A8019E" w:rsidRPr="002C21B8">
        <w:t xml:space="preserve"> models or </w:t>
      </w:r>
      <w:r w:rsidRPr="002C21B8">
        <w:t xml:space="preserve">frameworks. </w:t>
      </w:r>
      <w:r w:rsidR="003A5BDF" w:rsidRPr="002C21B8">
        <w:t>T</w:t>
      </w:r>
      <w:r w:rsidR="00C2440E" w:rsidRPr="002C21B8">
        <w:t xml:space="preserve">wo </w:t>
      </w:r>
      <w:r w:rsidR="00620E6E" w:rsidRPr="002C21B8">
        <w:t xml:space="preserve">such </w:t>
      </w:r>
      <w:r w:rsidR="00886BA9" w:rsidRPr="002C21B8">
        <w:t>s</w:t>
      </w:r>
      <w:r w:rsidR="00620E6E" w:rsidRPr="002C21B8">
        <w:t>tructures</w:t>
      </w:r>
      <w:r w:rsidR="00C2440E" w:rsidRPr="002C21B8">
        <w:t xml:space="preserve"> were used to analyse the qualitative data</w:t>
      </w:r>
      <w:r w:rsidR="003A5BDF" w:rsidRPr="002C21B8">
        <w:t xml:space="preserve"> generated in this multiple case study</w:t>
      </w:r>
      <w:r w:rsidR="00C2440E" w:rsidRPr="002C21B8">
        <w:t xml:space="preserve">. First, the Consolidated Framework of Implementation Research (CFIR) 2.0 was used during the analysis of variation between kidney centres </w:t>
      </w:r>
      <w:r w:rsidR="00E8011D" w:rsidRPr="002C21B8">
        <w:t xml:space="preserve">with attention given to the </w:t>
      </w:r>
      <w:r w:rsidR="00C2440E" w:rsidRPr="002C21B8">
        <w:t>implementation of tolvaptan care pathways</w:t>
      </w:r>
      <w:r w:rsidR="00E8011D" w:rsidRPr="002C21B8">
        <w:t xml:space="preserve"> </w:t>
      </w:r>
      <w:r w:rsidR="00C2440E" w:rsidRPr="002C21B8">
        <w:t xml:space="preserve">(reported in journal article 3). Second, the </w:t>
      </w:r>
      <w:r w:rsidRPr="002C21B8">
        <w:t xml:space="preserve">conceptual </w:t>
      </w:r>
      <w:r w:rsidRPr="002C21B8">
        <w:lastRenderedPageBreak/>
        <w:t xml:space="preserve">model of prescribing decision-making in </w:t>
      </w:r>
      <w:r w:rsidR="00C2440E" w:rsidRPr="002C21B8">
        <w:t>chronic conditions</w:t>
      </w:r>
      <w:r w:rsidRPr="002C21B8">
        <w:t xml:space="preserve"> develope</w:t>
      </w:r>
      <w:r w:rsidR="002D0110" w:rsidRPr="002C21B8">
        <w:t>d in Phase 1</w:t>
      </w:r>
      <w:r w:rsidR="00C2440E" w:rsidRPr="002C21B8">
        <w:t xml:space="preserve"> was used to support</w:t>
      </w:r>
      <w:r w:rsidR="00DF6A12" w:rsidRPr="002C21B8">
        <w:t xml:space="preserve"> the</w:t>
      </w:r>
      <w:r w:rsidR="00C2440E" w:rsidRPr="002C21B8">
        <w:t xml:space="preserve"> analysis of factors influencing prescribing decision-making in rare diseases (reported in journal article 4)</w:t>
      </w:r>
      <w:r w:rsidRPr="002C21B8">
        <w:t xml:space="preserve">. </w:t>
      </w:r>
      <w:r w:rsidR="0016405F" w:rsidRPr="002C21B8">
        <w:fldChar w:fldCharType="begin"/>
      </w:r>
      <w:r w:rsidR="0016405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16405F" w:rsidRPr="002C21B8">
        <w:fldChar w:fldCharType="separate"/>
      </w:r>
      <w:r w:rsidR="0016405F" w:rsidRPr="002C21B8">
        <w:rPr>
          <w:noProof/>
        </w:rPr>
        <w:t>Yin (2009)</w:t>
      </w:r>
      <w:r w:rsidR="0016405F" w:rsidRPr="002C21B8">
        <w:fldChar w:fldCharType="end"/>
      </w:r>
      <w:r w:rsidRPr="002C21B8">
        <w:t xml:space="preserve"> </w:t>
      </w:r>
      <w:r w:rsidR="002D0110" w:rsidRPr="002C21B8">
        <w:t xml:space="preserve">advises that </w:t>
      </w:r>
      <w:r w:rsidR="00697902" w:rsidRPr="002C21B8">
        <w:t xml:space="preserve">data from </w:t>
      </w:r>
      <w:r w:rsidR="002D0110" w:rsidRPr="002C21B8">
        <w:t>each source of evidence should be</w:t>
      </w:r>
      <w:r w:rsidR="006126F3" w:rsidRPr="002C21B8">
        <w:t xml:space="preserve"> analysed separately,</w:t>
      </w:r>
      <w:r w:rsidR="002D0110" w:rsidRPr="002C21B8">
        <w:t xml:space="preserve"> </w:t>
      </w:r>
      <w:r w:rsidR="00697902" w:rsidRPr="002C21B8">
        <w:t xml:space="preserve">compared </w:t>
      </w:r>
      <w:r w:rsidR="002F3E41" w:rsidRPr="002C21B8">
        <w:t>and then integrated</w:t>
      </w:r>
      <w:r w:rsidR="00697902" w:rsidRPr="002C21B8">
        <w:t xml:space="preserve"> to</w:t>
      </w:r>
      <w:r w:rsidR="00AF769D" w:rsidRPr="002C21B8">
        <w:t xml:space="preserve"> </w:t>
      </w:r>
      <w:r w:rsidR="002F3E41" w:rsidRPr="002C21B8">
        <w:t>develop</w:t>
      </w:r>
      <w:r w:rsidR="00AF769D" w:rsidRPr="002C21B8">
        <w:t xml:space="preserve"> a</w:t>
      </w:r>
      <w:r w:rsidR="00E06764" w:rsidRPr="002C21B8">
        <w:t xml:space="preserve">n overall </w:t>
      </w:r>
      <w:r w:rsidR="002F3E41" w:rsidRPr="002C21B8">
        <w:t xml:space="preserve">interpretation of the </w:t>
      </w:r>
      <w:r w:rsidR="00AF769D" w:rsidRPr="002C21B8">
        <w:t xml:space="preserve">case. </w:t>
      </w:r>
      <w:r w:rsidR="002D0110" w:rsidRPr="002C21B8">
        <w:t xml:space="preserve">In </w:t>
      </w:r>
      <w:r w:rsidR="006B4531" w:rsidRPr="002C21B8">
        <w:t>applied health</w:t>
      </w:r>
      <w:r w:rsidR="002D0110" w:rsidRPr="002C21B8">
        <w:t xml:space="preserve"> research, </w:t>
      </w:r>
      <w:r w:rsidRPr="002C21B8">
        <w:fldChar w:fldCharType="begin"/>
      </w:r>
      <w:r w:rsidR="00763983" w:rsidRPr="002C21B8">
        <w:instrText xml:space="preserve"> ADDIN EN.CITE &lt;EndNote&gt;&lt;Cite AuthorYear="1"&gt;&lt;Author&gt;Greenhalgh&lt;/Author&gt;&lt;Year&gt;2025&lt;/Year&gt;&lt;RecNum&gt;125287&lt;/RecNum&gt;&lt;DisplayText&gt;Greenhalgh (2025)&lt;/DisplayText&gt;&lt;record&gt;&lt;rec-number&gt;125287&lt;/rec-number&gt;&lt;foreign-keys&gt;&lt;key app="EN" db-id="xpefzwa5hf9dt2ea9fax95x7xvxz90v09dtf" timestamp="1774364060"&gt;125287&lt;/key&gt;&lt;/foreign-keys&gt;&lt;ref-type name="Journal Article"&gt;17&lt;/ref-type&gt;&lt;contributors&gt;&lt;authors&gt;&lt;author&gt;Greenhalgh, Trisha&lt;/author&gt;&lt;/authors&gt;&lt;/contributors&gt;&lt;titles&gt;&lt;title&gt;Case studies: a guide for researchers, educators, and implementers&lt;/title&gt;&lt;secondary-title&gt;BMJ Medicine&lt;/secondary-title&gt;&lt;/titles&gt;&lt;periodical&gt;&lt;full-title&gt;BMJ Medicine&lt;/full-title&gt;&lt;/periodical&gt;&lt;pages&gt;e001623&lt;/pages&gt;&lt;volume&gt;4&lt;/volume&gt;&lt;number&gt;1&lt;/number&gt;&lt;dates&gt;&lt;year&gt;2025&lt;/year&gt;&lt;/dates&gt;&lt;urls&gt;&lt;/urls&gt;&lt;/record&gt;&lt;/Cite&gt;&lt;/EndNote&gt;</w:instrText>
      </w:r>
      <w:r w:rsidRPr="002C21B8">
        <w:fldChar w:fldCharType="separate"/>
      </w:r>
      <w:r w:rsidRPr="002C21B8">
        <w:rPr>
          <w:noProof/>
        </w:rPr>
        <w:t>Greenhalgh (2025)</w:t>
      </w:r>
      <w:r w:rsidRPr="002C21B8">
        <w:fldChar w:fldCharType="end"/>
      </w:r>
      <w:r w:rsidRPr="002C21B8">
        <w:t xml:space="preserve"> </w:t>
      </w:r>
      <w:r w:rsidR="002D0110" w:rsidRPr="002C21B8">
        <w:t xml:space="preserve">recommends using </w:t>
      </w:r>
      <w:r w:rsidRPr="002C21B8">
        <w:t>an established approach to organise, ca</w:t>
      </w:r>
      <w:r w:rsidR="002D0110" w:rsidRPr="002C21B8">
        <w:t>t</w:t>
      </w:r>
      <w:r w:rsidRPr="002C21B8">
        <w:t xml:space="preserve">egorise and integrate data from </w:t>
      </w:r>
      <w:r w:rsidR="002D0110" w:rsidRPr="002C21B8">
        <w:t xml:space="preserve">these </w:t>
      </w:r>
      <w:r w:rsidRPr="002C21B8">
        <w:t xml:space="preserve">multiple sources. </w:t>
      </w:r>
      <w:r w:rsidR="00716253" w:rsidRPr="002C21B8">
        <w:t>For this multiple case study, q</w:t>
      </w:r>
      <w:r w:rsidRPr="002C21B8">
        <w:t xml:space="preserve">ualitative </w:t>
      </w:r>
      <w:r w:rsidR="00227DA8" w:rsidRPr="002C21B8">
        <w:t>data was</w:t>
      </w:r>
      <w:r w:rsidRPr="002C21B8">
        <w:t xml:space="preserve"> analysed </w:t>
      </w:r>
      <w:r w:rsidR="00965EFB" w:rsidRPr="002C21B8">
        <w:t xml:space="preserve">using the </w:t>
      </w:r>
      <w:r w:rsidR="006126F3" w:rsidRPr="002C21B8">
        <w:t>F</w:t>
      </w:r>
      <w:r w:rsidR="00965EFB" w:rsidRPr="002C21B8">
        <w:t xml:space="preserve">ramework </w:t>
      </w:r>
      <w:r w:rsidR="006126F3" w:rsidRPr="002C21B8">
        <w:t>M</w:t>
      </w:r>
      <w:r w:rsidR="00965EFB" w:rsidRPr="002C21B8">
        <w:t xml:space="preserve">ethod for the analysis of qualitative data described by </w:t>
      </w:r>
      <w:r w:rsidR="00965EFB" w:rsidRPr="002C21B8">
        <w:fldChar w:fldCharType="begin"/>
      </w:r>
      <w:r w:rsidR="00965EFB" w:rsidRPr="002C21B8">
        <w:instrText xml:space="preserve"> ADDIN EN.CITE &lt;EndNote&gt;&lt;Cite AuthorYear="1"&gt;&lt;Author&gt;Gale&lt;/Author&gt;&lt;Year&gt;2013&lt;/Year&gt;&lt;RecNum&gt;17340&lt;/RecNum&gt;&lt;DisplayText&gt;Gale&lt;style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methodology&lt;/full-title&gt;&lt;/periodical&gt;&lt;pages&gt;1-8&lt;/pages&gt;&lt;volume&gt;13&lt;/volume&gt;&lt;dates&gt;&lt;year&gt;2013&lt;/year&gt;&lt;/dates&gt;&lt;urls&gt;&lt;/urls&gt;&lt;/record&gt;&lt;/Cite&gt;&lt;/EndNote&gt;</w:instrText>
      </w:r>
      <w:r w:rsidR="00965EFB" w:rsidRPr="002C21B8">
        <w:fldChar w:fldCharType="separate"/>
      </w:r>
      <w:r w:rsidR="00965EFB" w:rsidRPr="002C21B8">
        <w:rPr>
          <w:noProof/>
        </w:rPr>
        <w:t>Gale</w:t>
      </w:r>
      <w:r w:rsidR="00965EFB" w:rsidRPr="002C21B8">
        <w:rPr>
          <w:i/>
          <w:noProof/>
        </w:rPr>
        <w:t xml:space="preserve"> et al.</w:t>
      </w:r>
      <w:r w:rsidR="00965EFB" w:rsidRPr="002C21B8">
        <w:rPr>
          <w:noProof/>
        </w:rPr>
        <w:t xml:space="preserve"> (2013)</w:t>
      </w:r>
      <w:r w:rsidR="00965EFB" w:rsidRPr="002C21B8">
        <w:fldChar w:fldCharType="end"/>
      </w:r>
      <w:r w:rsidRPr="002C21B8">
        <w:t>. This approach facilitat</w:t>
      </w:r>
      <w:r w:rsidR="002D0110" w:rsidRPr="002C21B8">
        <w:t>es</w:t>
      </w:r>
      <w:r w:rsidRPr="002C21B8">
        <w:t xml:space="preserve"> structured coding, categorisation and charting of data into thematic matrices</w:t>
      </w:r>
      <w:r w:rsidR="002D0110" w:rsidRPr="002C21B8">
        <w:t xml:space="preserve"> to support </w:t>
      </w:r>
      <w:r w:rsidRPr="002C21B8">
        <w:t>both within-case and cross-case</w:t>
      </w:r>
      <w:r w:rsidR="002D0110" w:rsidRPr="002C21B8">
        <w:t xml:space="preserve"> comparison</w:t>
      </w:r>
      <w:r w:rsidRPr="002C21B8">
        <w:t>.</w:t>
      </w:r>
      <w:r w:rsidR="007C64E5" w:rsidRPr="002C21B8">
        <w:t xml:space="preserve"> </w:t>
      </w:r>
      <w:r w:rsidR="00F05294" w:rsidRPr="002C21B8">
        <w:t xml:space="preserve">Once analysis was complete, the factors identified as </w:t>
      </w:r>
      <w:r w:rsidR="005B76DC" w:rsidRPr="002C21B8">
        <w:t xml:space="preserve">influencing </w:t>
      </w:r>
      <w:r w:rsidR="0065668B" w:rsidRPr="002C21B8">
        <w:t xml:space="preserve">the </w:t>
      </w:r>
      <w:r w:rsidR="00F05294" w:rsidRPr="002C21B8">
        <w:t xml:space="preserve">prescribing of </w:t>
      </w:r>
      <w:r w:rsidR="005B76DC" w:rsidRPr="002C21B8">
        <w:t>tolvaptan</w:t>
      </w:r>
      <w:r w:rsidR="00F05294" w:rsidRPr="002C21B8">
        <w:t xml:space="preserve"> were included in the </w:t>
      </w:r>
      <w:r w:rsidR="00EE185E" w:rsidRPr="002C21B8">
        <w:t>P</w:t>
      </w:r>
      <w:r w:rsidR="00F05294" w:rsidRPr="002C21B8">
        <w:t>hase 4 survey.</w:t>
      </w:r>
    </w:p>
    <w:p w14:paraId="0D272ECD" w14:textId="0403C6D8" w:rsidR="00804303" w:rsidRPr="002C21B8" w:rsidRDefault="00804303" w:rsidP="00ED2D36">
      <w:pPr>
        <w:pStyle w:val="Heading4"/>
      </w:pPr>
      <w:r w:rsidRPr="002C21B8">
        <w:t xml:space="preserve">Phase </w:t>
      </w:r>
      <w:r w:rsidR="00F05294" w:rsidRPr="002C21B8">
        <w:t>4</w:t>
      </w:r>
      <w:r w:rsidR="00C86FB1" w:rsidRPr="002C21B8">
        <w:t xml:space="preserve"> – </w:t>
      </w:r>
      <w:r w:rsidR="00EE185E" w:rsidRPr="002C21B8">
        <w:t xml:space="preserve">National </w:t>
      </w:r>
      <w:r w:rsidR="00FC190F" w:rsidRPr="002C21B8">
        <w:t>survey of clinical practice</w:t>
      </w:r>
    </w:p>
    <w:p w14:paraId="578ADDF2" w14:textId="4A4BB456" w:rsidR="008F3997" w:rsidRPr="002C21B8" w:rsidRDefault="006F51FD" w:rsidP="00487930">
      <w:r w:rsidRPr="002C21B8">
        <w:t>A survey is</w:t>
      </w:r>
      <w:r w:rsidR="008F3997" w:rsidRPr="002C21B8">
        <w:t xml:space="preserve"> </w:t>
      </w:r>
      <w:r w:rsidR="00DF6A12" w:rsidRPr="002C21B8">
        <w:t xml:space="preserve">a </w:t>
      </w:r>
      <w:r w:rsidR="00CC7265" w:rsidRPr="002C21B8">
        <w:t>systematic method for collecting self-reported information</w:t>
      </w:r>
      <w:r w:rsidR="007D1ECF" w:rsidRPr="002C21B8">
        <w:t xml:space="preserve"> about </w:t>
      </w:r>
      <w:r w:rsidR="00CC7265" w:rsidRPr="002C21B8">
        <w:t>individuals</w:t>
      </w:r>
      <w:r w:rsidR="007D1ECF" w:rsidRPr="002C21B8">
        <w:t>’</w:t>
      </w:r>
      <w:r w:rsidR="00CC7265" w:rsidRPr="002C21B8">
        <w:t xml:space="preserve"> knowledge, attitudes and behaviour</w:t>
      </w:r>
      <w:r w:rsidR="003C4E38" w:rsidRPr="002C21B8">
        <w:t xml:space="preserve"> </w:t>
      </w:r>
      <w:r w:rsidR="003C4E38" w:rsidRPr="002C21B8">
        <w:fldChar w:fldCharType="begin"/>
      </w:r>
      <w:r w:rsidR="003C4E38" w:rsidRPr="002C21B8">
        <w:instrText xml:space="preserve"> ADDIN EN.CITE &lt;EndNote&gt;&lt;Cite&gt;&lt;Author&gt;Fink&lt;/Author&gt;&lt;Year&gt;2003&lt;/Year&gt;&lt;RecNum&gt;125589&lt;/RecNum&gt;&lt;DisplayText&gt;(Fink, 2003)&lt;/DisplayText&gt;&lt;record&gt;&lt;rec-number&gt;125589&lt;/rec-number&gt;&lt;foreign-keys&gt;&lt;key app="EN" db-id="xpefzwa5hf9dt2ea9fax95x7xvxz90v09dtf" timestamp="1778531068"&gt;125589&lt;/key&gt;&lt;/foreign-keys&gt;&lt;ref-type name="Book"&gt;6&lt;/ref-type&gt;&lt;contributors&gt;&lt;authors&gt;&lt;author&gt;Fink, Arlene&lt;/author&gt;&lt;/authors&gt;&lt;/contributors&gt;&lt;titles&gt;&lt;title&gt;The survey handbook&lt;/title&gt;&lt;/titles&gt;&lt;pages&gt;1-184&lt;/pages&gt;&lt;dates&gt;&lt;year&gt;2003&lt;/year&gt;&lt;/dates&gt;&lt;pub-location&gt;Thousand Oaks, California, USA&lt;/pub-location&gt;&lt;publisher&gt;SAGE Publishing Ltd&lt;/publisher&gt;&lt;isbn&gt;0761925805&lt;/isbn&gt;&lt;urls&gt;&lt;/urls&gt;&lt;/record&gt;&lt;/Cite&gt;&lt;/EndNote&gt;</w:instrText>
      </w:r>
      <w:r w:rsidR="003C4E38" w:rsidRPr="002C21B8">
        <w:fldChar w:fldCharType="separate"/>
      </w:r>
      <w:r w:rsidR="003C4E38" w:rsidRPr="002C21B8">
        <w:rPr>
          <w:noProof/>
        </w:rPr>
        <w:t>(Fink, 2003)</w:t>
      </w:r>
      <w:r w:rsidR="003C4E38" w:rsidRPr="002C21B8">
        <w:fldChar w:fldCharType="end"/>
      </w:r>
      <w:r w:rsidR="008F3997" w:rsidRPr="002C21B8">
        <w:t>.</w:t>
      </w:r>
      <w:r w:rsidR="00CC7265" w:rsidRPr="002C21B8">
        <w:t xml:space="preserve"> Good </w:t>
      </w:r>
      <w:r w:rsidR="00CB2BBC" w:rsidRPr="002C21B8">
        <w:t>survey design is essential to ensure that the responses accurately reflect participants’ views</w:t>
      </w:r>
      <w:r w:rsidR="003F2B07" w:rsidRPr="002C21B8">
        <w:t xml:space="preserve">, and that </w:t>
      </w:r>
      <w:r w:rsidR="00CB2BBC" w:rsidRPr="002C21B8">
        <w:t>bias and measurement error</w:t>
      </w:r>
      <w:r w:rsidR="003F2B07" w:rsidRPr="002C21B8">
        <w:t xml:space="preserve"> are minimised</w:t>
      </w:r>
      <w:r w:rsidR="00CB2BBC" w:rsidRPr="002C21B8">
        <w:t xml:space="preserve"> </w:t>
      </w:r>
      <w:r w:rsidR="00CB2BBC" w:rsidRPr="002C21B8">
        <w:fldChar w:fldCharType="begin"/>
      </w:r>
      <w:r w:rsidR="000215B0" w:rsidRPr="002C21B8">
        <w:instrText xml:space="preserve"> ADDIN EN.CITE &lt;EndNote&gt;&lt;Cite&gt;&lt;Author&gt;Ponto&lt;/Author&gt;&lt;Year&gt;2015&lt;/Year&gt;&lt;RecNum&gt;125507&lt;/RecNum&gt;&lt;DisplayText&gt;(Ponto, 2015)&lt;/DisplayText&gt;&lt;record&gt;&lt;rec-number&gt;125507&lt;/rec-number&gt;&lt;foreign-keys&gt;&lt;key app="EN" db-id="xpefzwa5hf9dt2ea9fax95x7xvxz90v09dtf" timestamp="1777113047"&gt;125507&lt;/key&gt;&lt;/foreign-keys&gt;&lt;ref-type name="Journal Article"&gt;17&lt;/ref-type&gt;&lt;contributors&gt;&lt;authors&gt;&lt;author&gt;Ponto, Julie&lt;/author&gt;&lt;/authors&gt;&lt;/contributors&gt;&lt;titles&gt;&lt;title&gt;Understanding and evaluating survey research&lt;/title&gt;&lt;secondary-title&gt;Journal of the Advanced Practitioner in Oncology&lt;/secondary-title&gt;&lt;/titles&gt;&lt;periodical&gt;&lt;full-title&gt;Journal of the advanced practitioner in oncology&lt;/full-title&gt;&lt;/periodical&gt;&lt;pages&gt;168&lt;/pages&gt;&lt;volume&gt;6&lt;/volume&gt;&lt;number&gt;2&lt;/number&gt;&lt;dates&gt;&lt;year&gt;2015&lt;/year&gt;&lt;/dates&gt;&lt;urls&gt;&lt;/urls&gt;&lt;/record&gt;&lt;/Cite&gt;&lt;/EndNote&gt;</w:instrText>
      </w:r>
      <w:r w:rsidR="00CB2BBC" w:rsidRPr="002C21B8">
        <w:fldChar w:fldCharType="separate"/>
      </w:r>
      <w:r w:rsidR="00CB2BBC" w:rsidRPr="002C21B8">
        <w:rPr>
          <w:noProof/>
        </w:rPr>
        <w:t>(Ponto, 2015)</w:t>
      </w:r>
      <w:r w:rsidR="00CB2BBC" w:rsidRPr="002C21B8">
        <w:fldChar w:fldCharType="end"/>
      </w:r>
      <w:r w:rsidR="00CB2BBC" w:rsidRPr="002C21B8">
        <w:t xml:space="preserve">. </w:t>
      </w:r>
      <w:r w:rsidR="00CC7265" w:rsidRPr="002C21B8">
        <w:fldChar w:fldCharType="begin"/>
      </w:r>
      <w:r w:rsidR="00CE4967" w:rsidRPr="002C21B8">
        <w:instrText xml:space="preserve"> ADDIN EN.CITE &lt;EndNote&gt;&lt;Cite AuthorYear="1"&gt;&lt;Author&gt;Boynton&lt;/Author&gt;&lt;Year&gt;2004&lt;/Year&gt;&lt;RecNum&gt;125508&lt;/RecNum&gt;&lt;DisplayText&gt;Boynton and Greenhalgh (2004)&lt;/DisplayText&gt;&lt;record&gt;&lt;rec-number&gt;125508&lt;/rec-number&gt;&lt;foreign-keys&gt;&lt;key app="EN" db-id="xpefzwa5hf9dt2ea9fax95x7xvxz90v09dtf" timestamp="1777113320"&gt;125508&lt;/key&gt;&lt;/foreign-keys&gt;&lt;ref-type name="Journal Article"&gt;17&lt;/ref-type&gt;&lt;contributors&gt;&lt;authors&gt;&lt;author&gt;Boynton, Petra M&lt;/author&gt;&lt;author&gt;Greenhalgh, Trisha&lt;/author&gt;&lt;/authors&gt;&lt;/contributors&gt;&lt;titles&gt;&lt;title&gt;Selecting, designing, and developing your questionnaire&lt;/title&gt;&lt;secondary-title&gt;BMJ&lt;/secondary-title&gt;&lt;/titles&gt;&lt;periodical&gt;&lt;full-title&gt;BMJ&lt;/full-title&gt;&lt;/periodical&gt;&lt;pages&gt;1312-1315&lt;/pages&gt;&lt;volume&gt;328&lt;/volume&gt;&lt;number&gt;7451&lt;/number&gt;&lt;dates&gt;&lt;year&gt;2004&lt;/year&gt;&lt;/dates&gt;&lt;isbn&gt;0959-8138&lt;/isbn&gt;&lt;urls&gt;&lt;/urls&gt;&lt;/record&gt;&lt;/Cite&gt;&lt;/EndNote&gt;</w:instrText>
      </w:r>
      <w:r w:rsidR="00CC7265" w:rsidRPr="002C21B8">
        <w:fldChar w:fldCharType="separate"/>
      </w:r>
      <w:r w:rsidR="00CC7265" w:rsidRPr="002C21B8">
        <w:rPr>
          <w:noProof/>
        </w:rPr>
        <w:t>Boynton and Greenhalgh (2004)</w:t>
      </w:r>
      <w:r w:rsidR="00CC7265" w:rsidRPr="002C21B8">
        <w:fldChar w:fldCharType="end"/>
      </w:r>
      <w:r w:rsidR="00CC7265" w:rsidRPr="002C21B8">
        <w:t xml:space="preserve"> outline good practice when conducting research using surveys. </w:t>
      </w:r>
      <w:r w:rsidR="00CB2BBC" w:rsidRPr="002C21B8">
        <w:t xml:space="preserve">They </w:t>
      </w:r>
      <w:r w:rsidR="007D1ECF" w:rsidRPr="002C21B8">
        <w:t xml:space="preserve">recommend that surveys </w:t>
      </w:r>
      <w:r w:rsidR="00CB2BBC" w:rsidRPr="002C21B8">
        <w:t xml:space="preserve">should </w:t>
      </w:r>
      <w:r w:rsidR="007D1ECF" w:rsidRPr="002C21B8">
        <w:t xml:space="preserve">be designed to collect information relevant to the research objectives and only used if they are able to give meaningful answers. Questions should be </w:t>
      </w:r>
      <w:r w:rsidR="00CB2BBC" w:rsidRPr="002C21B8">
        <w:t>word</w:t>
      </w:r>
      <w:r w:rsidR="007D1ECF" w:rsidRPr="002C21B8">
        <w:t>ed</w:t>
      </w:r>
      <w:r w:rsidR="00CB2BBC" w:rsidRPr="002C21B8">
        <w:t xml:space="preserve"> </w:t>
      </w:r>
      <w:r w:rsidR="007D1ECF" w:rsidRPr="002C21B8">
        <w:t>to avoid</w:t>
      </w:r>
      <w:r w:rsidR="00CB2BBC" w:rsidRPr="002C21B8">
        <w:t xml:space="preserve"> leading or double-barrelled questions</w:t>
      </w:r>
      <w:r w:rsidR="007D1ECF" w:rsidRPr="002C21B8">
        <w:t xml:space="preserve"> with</w:t>
      </w:r>
      <w:r w:rsidR="00CB2BBC" w:rsidRPr="002C21B8">
        <w:t xml:space="preserve"> </w:t>
      </w:r>
      <w:r w:rsidR="007D1ECF" w:rsidRPr="002C21B8">
        <w:t>mutually</w:t>
      </w:r>
      <w:r w:rsidR="00CB2BBC" w:rsidRPr="002C21B8">
        <w:t xml:space="preserve"> exclusive</w:t>
      </w:r>
      <w:r w:rsidR="00487930" w:rsidRPr="002C21B8">
        <w:t xml:space="preserve"> responses</w:t>
      </w:r>
      <w:r w:rsidR="00CB2BBC" w:rsidRPr="002C21B8">
        <w:t xml:space="preserve">. </w:t>
      </w:r>
      <w:r w:rsidR="00487930" w:rsidRPr="002C21B8">
        <w:t>Although piloting does not guarantee valid</w:t>
      </w:r>
      <w:r w:rsidR="00962689" w:rsidRPr="002C21B8">
        <w:t>ity</w:t>
      </w:r>
      <w:r w:rsidR="00487930" w:rsidRPr="002C21B8">
        <w:t xml:space="preserve"> or </w:t>
      </w:r>
      <w:r w:rsidR="00962689" w:rsidRPr="002C21B8">
        <w:t>reliability</w:t>
      </w:r>
      <w:r w:rsidR="00487930" w:rsidRPr="002C21B8">
        <w:t xml:space="preserve">, it can </w:t>
      </w:r>
      <w:r w:rsidR="00CB2BBC" w:rsidRPr="002C21B8">
        <w:t xml:space="preserve">identify issues </w:t>
      </w:r>
      <w:r w:rsidR="00962689" w:rsidRPr="002C21B8">
        <w:t xml:space="preserve">such as </w:t>
      </w:r>
      <w:r w:rsidR="00CB2BBC" w:rsidRPr="002C21B8">
        <w:t>questions</w:t>
      </w:r>
      <w:r w:rsidR="00487930" w:rsidRPr="002C21B8">
        <w:t xml:space="preserve"> that are difficult to interpret</w:t>
      </w:r>
      <w:r w:rsidR="00CB2BBC" w:rsidRPr="002C21B8">
        <w:t>, response burden and</w:t>
      </w:r>
      <w:r w:rsidR="00962689" w:rsidRPr="002C21B8">
        <w:t xml:space="preserve"> </w:t>
      </w:r>
      <w:r w:rsidR="00CB2BBC" w:rsidRPr="002C21B8">
        <w:t xml:space="preserve">functionality. Where possible, established reporting guidance for survey research should be followed to </w:t>
      </w:r>
      <w:r w:rsidR="007D1ECF" w:rsidRPr="002C21B8">
        <w:t>ensure</w:t>
      </w:r>
      <w:r w:rsidR="00CB2BBC" w:rsidRPr="002C21B8">
        <w:t xml:space="preserve"> rigour and reproducibility.</w:t>
      </w:r>
    </w:p>
    <w:p w14:paraId="2F770D56" w14:textId="23FE74DC" w:rsidR="00ED1908" w:rsidRPr="002C21B8" w:rsidRDefault="002923BC" w:rsidP="0072606D">
      <w:r w:rsidRPr="002C21B8">
        <w:t>In mixed methods research, surveys are</w:t>
      </w:r>
      <w:r w:rsidR="000D5BBD" w:rsidRPr="002C21B8">
        <w:t xml:space="preserve"> </w:t>
      </w:r>
      <w:r w:rsidR="0072606D" w:rsidRPr="002C21B8">
        <w:t>commonly used to complement qualitative findings by providing broader contextual data and enabl</w:t>
      </w:r>
      <w:r w:rsidR="00DF6A12" w:rsidRPr="002C21B8">
        <w:t>ing</w:t>
      </w:r>
      <w:r w:rsidR="0072606D" w:rsidRPr="002C21B8">
        <w:t xml:space="preserve"> comparison across different settings </w:t>
      </w:r>
      <w:r w:rsidRPr="002C21B8">
        <w:fldChar w:fldCharType="begin"/>
      </w:r>
      <w:r w:rsidR="00A46115" w:rsidRPr="002C21B8">
        <w:instrText xml:space="preserve"> ADDIN EN.CITE &lt;EndNote&gt;&lt;Cite&gt;&lt;Author&gt;Tariq&lt;/Author&gt;&lt;Year&gt;2013&lt;/Year&gt;&lt;RecNum&gt;125389&lt;/RecNum&gt;&lt;DisplayText&gt;(Creswell and Plano Clark, 2017; Tariq and Woodman, 2013)&lt;/DisplayText&gt;&lt;record&gt;&lt;rec-number&gt;125389&lt;/rec-number&gt;&lt;foreign-keys&gt;&lt;key app="EN" db-id="xpefzwa5hf9dt2ea9fax95x7xvxz90v09dtf" timestamp="1775559279"&gt;125389&lt;/key&gt;&lt;/foreign-keys&gt;&lt;ref-type name="Journal Article"&gt;17&lt;/ref-type&gt;&lt;contributors&gt;&lt;authors&gt;&lt;author&gt;Tariq, Shema&lt;/author&gt;&lt;author&gt;Woodman, Jenny&lt;/author&gt;&lt;/authors&gt;&lt;/contributors&gt;&lt;titles&gt;&lt;title&gt;Using mixed methods in health research&lt;/title&gt;&lt;secondary-title&gt;JRSM Short Reports&lt;/secondary-title&gt;&lt;/titles&gt;&lt;periodical&gt;&lt;full-title&gt;JRSM short reports&lt;/full-title&gt;&lt;/periodical&gt;&lt;pages&gt;2042533313479197&lt;/pages&gt;&lt;volume&gt;4&lt;/volume&gt;&lt;number&gt;6&lt;/number&gt;&lt;dates&gt;&lt;year&gt;2013&lt;/year&gt;&lt;/dates&gt;&lt;isbn&gt;2042-5333&lt;/isbn&gt;&lt;urls&gt;&lt;/urls&gt;&lt;/record&gt;&lt;/Cite&gt;&lt;Cite&gt;&lt;Author&gt;Creswell&lt;/Author&gt;&lt;Year&gt;2017&lt;/Year&gt;&lt;RecNum&gt;5571&lt;/RecNum&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Pr="002C21B8">
        <w:fldChar w:fldCharType="separate"/>
      </w:r>
      <w:r w:rsidRPr="002C21B8">
        <w:rPr>
          <w:noProof/>
        </w:rPr>
        <w:t>(Creswell and Plano Clark, 2017; Tariq and Woodman, 2013)</w:t>
      </w:r>
      <w:r w:rsidRPr="002C21B8">
        <w:fldChar w:fldCharType="end"/>
      </w:r>
      <w:r w:rsidRPr="002C21B8">
        <w:t xml:space="preserve">. </w:t>
      </w:r>
      <w:r w:rsidR="00337148" w:rsidRPr="002C21B8">
        <w:t xml:space="preserve">The </w:t>
      </w:r>
      <w:r w:rsidR="00FC190F" w:rsidRPr="002C21B8">
        <w:t>survey of practice</w:t>
      </w:r>
      <w:r w:rsidR="00337148" w:rsidRPr="002C21B8">
        <w:t xml:space="preserve"> </w:t>
      </w:r>
      <w:r w:rsidR="000D5BBD" w:rsidRPr="002C21B8">
        <w:t xml:space="preserve">was included </w:t>
      </w:r>
      <w:r w:rsidR="0072606D" w:rsidRPr="002C21B8">
        <w:t xml:space="preserve">in this </w:t>
      </w:r>
      <w:r w:rsidR="00716253" w:rsidRPr="002C21B8">
        <w:t xml:space="preserve">programme of research </w:t>
      </w:r>
      <w:r w:rsidR="0072606D" w:rsidRPr="002C21B8">
        <w:t xml:space="preserve">to assess whether insights from the multiple case study were relevant to other UK kidney centres and to generate new centre-level data to supplement the </w:t>
      </w:r>
      <w:r w:rsidR="003C4E38" w:rsidRPr="002C21B8">
        <w:t xml:space="preserve">registry </w:t>
      </w:r>
      <w:r w:rsidR="0072606D" w:rsidRPr="002C21B8">
        <w:t xml:space="preserve">RaDaR dataset and enable reanalysis </w:t>
      </w:r>
      <w:r w:rsidR="00CD5748" w:rsidRPr="002C21B8">
        <w:t xml:space="preserve">of registry data </w:t>
      </w:r>
      <w:r w:rsidR="0072606D" w:rsidRPr="002C21B8">
        <w:t xml:space="preserve">in Phase 4. </w:t>
      </w:r>
      <w:r w:rsidR="00F170CD" w:rsidRPr="002C21B8">
        <w:t xml:space="preserve">A survey was selected because </w:t>
      </w:r>
      <w:r w:rsidR="0072606D" w:rsidRPr="002C21B8">
        <w:t>i</w:t>
      </w:r>
      <w:r w:rsidR="00ED1908" w:rsidRPr="002C21B8">
        <w:t>t</w:t>
      </w:r>
      <w:r w:rsidR="0072606D" w:rsidRPr="002C21B8">
        <w:t xml:space="preserve"> provided an efficient and systematic method for collecting structured information from multiple kidney centres</w:t>
      </w:r>
      <w:r w:rsidR="00ED1908" w:rsidRPr="002C21B8">
        <w:t xml:space="preserve"> </w:t>
      </w:r>
      <w:r w:rsidR="00ED1908" w:rsidRPr="002C21B8">
        <w:fldChar w:fldCharType="begin"/>
      </w:r>
      <w:r w:rsidR="00A46115" w:rsidRPr="002C21B8">
        <w:instrText xml:space="preserve"> ADDIN EN.CITE &lt;EndNote&gt;&lt;Cite&gt;&lt;Author&gt;Blair&lt;/Author&gt;&lt;Year&gt;2013&lt;/Year&gt;&lt;RecNum&gt;125372&lt;/RecNum&gt;&lt;DisplayText&gt;(Blair, Czaja and Blair, 2013)&lt;/DisplayText&gt;&lt;record&gt;&lt;rec-number&gt;125372&lt;/rec-number&gt;&lt;foreign-keys&gt;&lt;key app="EN" db-id="xpefzwa5hf9dt2ea9fax95x7xvxz90v09dtf" timestamp="1775376998"&gt;125372&lt;/key&gt;&lt;/foreign-keys&gt;&lt;ref-type name="Book"&gt;6&lt;/ref-type&gt;&lt;contributors&gt;&lt;authors&gt;&lt;author&gt;Blair, Johnny&lt;/author&gt;&lt;author&gt;Czaja, Ronald F&lt;/author&gt;&lt;author&gt;Blair, Edward A&lt;/author&gt;&lt;/authors&gt;&lt;/contributors&gt;&lt;titles&gt;&lt;title&gt;Designing surveys: A guide to decisions and procedures&lt;/title&gt;&lt;/titles&gt;&lt;section&gt;1-440&lt;/section&gt;&lt;dates&gt;&lt;year&gt;2013&lt;/year&gt;&lt;/dates&gt;&lt;pub-location&gt;London, UK&lt;/pub-location&gt;&lt;publisher&gt;SAGE Publications Ltd&lt;/publisher&gt;&lt;isbn&gt;1483310205&lt;/isbn&gt;&lt;urls&gt;&lt;/urls&gt;&lt;/record&gt;&lt;/Cite&gt;&lt;/EndNote&gt;</w:instrText>
      </w:r>
      <w:r w:rsidR="00ED1908" w:rsidRPr="002C21B8">
        <w:fldChar w:fldCharType="separate"/>
      </w:r>
      <w:r w:rsidR="00ED1908" w:rsidRPr="002C21B8">
        <w:rPr>
          <w:noProof/>
        </w:rPr>
        <w:t>(Blair, Czaja and Blair, 2013)</w:t>
      </w:r>
      <w:r w:rsidR="00ED1908" w:rsidRPr="002C21B8">
        <w:fldChar w:fldCharType="end"/>
      </w:r>
      <w:r w:rsidR="0072606D" w:rsidRPr="002C21B8">
        <w:t xml:space="preserve">. </w:t>
      </w:r>
      <w:r w:rsidR="00266B60" w:rsidRPr="002C21B8">
        <w:t xml:space="preserve">Generating new data was necessary given the limited </w:t>
      </w:r>
      <w:r w:rsidR="006E1594" w:rsidRPr="002C21B8">
        <w:t>number of variables includ</w:t>
      </w:r>
      <w:r w:rsidR="00DF6A12" w:rsidRPr="002C21B8">
        <w:t>ed</w:t>
      </w:r>
      <w:r w:rsidR="006E1594" w:rsidRPr="002C21B8">
        <w:t xml:space="preserve"> in the RaDaR database. Specifically, there is little information on</w:t>
      </w:r>
      <w:r w:rsidR="00266B60" w:rsidRPr="002C21B8">
        <w:t xml:space="preserve"> </w:t>
      </w:r>
      <w:r w:rsidR="00DA5AEF" w:rsidRPr="002C21B8">
        <w:t xml:space="preserve">the organisational context of kidney centres such as staffing, </w:t>
      </w:r>
      <w:r w:rsidR="00B11E5F" w:rsidRPr="002C21B8">
        <w:t>tolvaptan</w:t>
      </w:r>
      <w:r w:rsidR="00266B60" w:rsidRPr="002C21B8">
        <w:t xml:space="preserve"> care pathways</w:t>
      </w:r>
      <w:r w:rsidR="006E1594" w:rsidRPr="002C21B8">
        <w:t xml:space="preserve"> or</w:t>
      </w:r>
      <w:r w:rsidR="00266B60" w:rsidRPr="002C21B8">
        <w:t xml:space="preserve"> </w:t>
      </w:r>
      <w:r w:rsidR="00DA5AEF" w:rsidRPr="002C21B8">
        <w:t>clinic structures</w:t>
      </w:r>
      <w:r w:rsidR="0072606D" w:rsidRPr="002C21B8">
        <w:t>.</w:t>
      </w:r>
    </w:p>
    <w:p w14:paraId="47C958A6" w14:textId="7C1BEABF" w:rsidR="00962689" w:rsidRPr="002C21B8" w:rsidRDefault="00841614" w:rsidP="004226A3">
      <w:r w:rsidRPr="002C21B8">
        <w:lastRenderedPageBreak/>
        <w:t xml:space="preserve">Alternatives to conducting a </w:t>
      </w:r>
      <w:r w:rsidR="006F51FD" w:rsidRPr="002C21B8">
        <w:t xml:space="preserve">survey </w:t>
      </w:r>
      <w:r w:rsidR="00794BD7" w:rsidRPr="002C21B8">
        <w:t>were considered</w:t>
      </w:r>
      <w:r w:rsidR="004D2152" w:rsidRPr="002C21B8">
        <w:t>,</w:t>
      </w:r>
      <w:r w:rsidRPr="002C21B8">
        <w:t xml:space="preserve"> but</w:t>
      </w:r>
      <w:r w:rsidR="00794BD7" w:rsidRPr="002C21B8">
        <w:t xml:space="preserve"> each had limitations</w:t>
      </w:r>
      <w:r w:rsidRPr="002C21B8">
        <w:t xml:space="preserve"> making them less suitable for this phase of the </w:t>
      </w:r>
      <w:r w:rsidR="00716253" w:rsidRPr="002C21B8">
        <w:t>programme of research</w:t>
      </w:r>
      <w:r w:rsidR="00794BD7" w:rsidRPr="002C21B8">
        <w:t xml:space="preserve">. Using other existing databases to </w:t>
      </w:r>
      <w:r w:rsidR="006F51FD" w:rsidRPr="002C21B8">
        <w:t xml:space="preserve">describe prescribing </w:t>
      </w:r>
      <w:r w:rsidR="00794BD7" w:rsidRPr="002C21B8">
        <w:t>practices w</w:t>
      </w:r>
      <w:r w:rsidR="006F51FD" w:rsidRPr="002C21B8">
        <w:t xml:space="preserve">as not </w:t>
      </w:r>
      <w:r w:rsidR="00791341" w:rsidRPr="002C21B8">
        <w:t xml:space="preserve">feasible as there are none </w:t>
      </w:r>
      <w:r w:rsidR="003C4E38" w:rsidRPr="002C21B8">
        <w:t>that were suitable</w:t>
      </w:r>
      <w:r w:rsidR="002923BC" w:rsidRPr="002C21B8">
        <w:t xml:space="preserve">. </w:t>
      </w:r>
      <w:r w:rsidR="00794BD7" w:rsidRPr="002C21B8">
        <w:t xml:space="preserve">Collating organisational documents from </w:t>
      </w:r>
      <w:r w:rsidR="006F51FD" w:rsidRPr="002C21B8">
        <w:t xml:space="preserve">kidney </w:t>
      </w:r>
      <w:r w:rsidR="00794BD7" w:rsidRPr="002C21B8">
        <w:t xml:space="preserve">centres across the UK would be possible but </w:t>
      </w:r>
      <w:r w:rsidR="006F51FD" w:rsidRPr="002C21B8">
        <w:t xml:space="preserve">unlikely to include the factors identified in the multiple case study. </w:t>
      </w:r>
      <w:r w:rsidR="00794BD7" w:rsidRPr="002C21B8">
        <w:t xml:space="preserve">Therefore, a survey was considered the most appropriate method allowing systematic collection of standardised centre-level data in a </w:t>
      </w:r>
      <w:r w:rsidR="00544CBF" w:rsidRPr="002C21B8">
        <w:t>structured and timely</w:t>
      </w:r>
      <w:r w:rsidR="00794BD7" w:rsidRPr="002C21B8">
        <w:t xml:space="preserve"> manner.</w:t>
      </w:r>
      <w:bookmarkStart w:id="60" w:name="_Ref217313315"/>
    </w:p>
    <w:p w14:paraId="4D0A0BD7" w14:textId="0F79110B" w:rsidR="00962689" w:rsidRPr="002C21B8" w:rsidRDefault="00D34781" w:rsidP="00ED2D36">
      <w:pPr>
        <w:pStyle w:val="Heading4"/>
      </w:pPr>
      <w:r w:rsidRPr="002C21B8">
        <w:t>Overview of mixed methods study design</w:t>
      </w:r>
    </w:p>
    <w:p w14:paraId="789DA6D8" w14:textId="1963D916" w:rsidR="00D20C65" w:rsidRPr="002C21B8" w:rsidRDefault="00E47DC3" w:rsidP="00F35563">
      <w:r w:rsidRPr="002C21B8">
        <w:t xml:space="preserve">A flow chart of the mixed methods design is shown in </w:t>
      </w:r>
      <w:r w:rsidR="00D34781" w:rsidRPr="002C21B8">
        <w:fldChar w:fldCharType="begin"/>
      </w:r>
      <w:r w:rsidR="00D34781" w:rsidRPr="002C21B8">
        <w:instrText xml:space="preserve"> REF _Ref228561579 \h </w:instrText>
      </w:r>
      <w:r w:rsidR="00B850AB" w:rsidRPr="002C21B8">
        <w:instrText xml:space="preserve"> \* MERGEFORMAT </w:instrText>
      </w:r>
      <w:r w:rsidR="00D34781" w:rsidRPr="002C21B8">
        <w:fldChar w:fldCharType="separate"/>
      </w:r>
      <w:r w:rsidR="00DB3709" w:rsidRPr="002C21B8">
        <w:t xml:space="preserve">Figure </w:t>
      </w:r>
      <w:r w:rsidR="00DB3709">
        <w:rPr>
          <w:noProof/>
        </w:rPr>
        <w:t>5</w:t>
      </w:r>
      <w:r w:rsidR="00D34781" w:rsidRPr="002C21B8">
        <w:fldChar w:fldCharType="end"/>
      </w:r>
      <w:bookmarkStart w:id="61" w:name="_Ref228561579"/>
      <w:r w:rsidRPr="002C21B8">
        <w:t>, summarising the methods and outputs across the programme of research.</w:t>
      </w:r>
    </w:p>
    <w:p w14:paraId="77BCAEE9" w14:textId="69703371" w:rsidR="00D601A5" w:rsidRPr="002C21B8" w:rsidRDefault="00D601A5" w:rsidP="000030A1">
      <w:pPr>
        <w:pStyle w:val="Caption"/>
        <w:keepNext w:val="0"/>
        <w:rPr>
          <w:noProof w:val="0"/>
          <w:color w:val="000000" w:themeColor="text1" w:themeShade="BF"/>
        </w:rPr>
      </w:pPr>
      <w:bookmarkStart w:id="62" w:name="_Toc236991763"/>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5</w:t>
      </w:r>
      <w:r w:rsidR="001B725E" w:rsidRPr="002C21B8">
        <w:rPr>
          <w:noProof w:val="0"/>
        </w:rPr>
        <w:fldChar w:fldCharType="end"/>
      </w:r>
      <w:bookmarkEnd w:id="60"/>
      <w:bookmarkEnd w:id="61"/>
      <w:r w:rsidRPr="002C21B8">
        <w:rPr>
          <w:noProof w:val="0"/>
        </w:rPr>
        <w:t>. Flow chart of mixed methods design</w:t>
      </w:r>
      <w:bookmarkEnd w:id="62"/>
    </w:p>
    <w:p w14:paraId="05492071" w14:textId="379A540D" w:rsidR="00D20C65" w:rsidRPr="002C21B8" w:rsidRDefault="000030A1" w:rsidP="000030A1">
      <w:pPr>
        <w:pStyle w:val="Caption"/>
        <w:keepNext w:val="0"/>
        <w:rPr>
          <w:noProof w:val="0"/>
        </w:rPr>
      </w:pPr>
      <w:r w:rsidRPr="002C21B8">
        <w:drawing>
          <wp:inline distT="0" distB="0" distL="0" distR="0" wp14:anchorId="72648E49" wp14:editId="0CEE9407">
            <wp:extent cx="5220000" cy="5064430"/>
            <wp:effectExtent l="0" t="0" r="0" b="3175"/>
            <wp:docPr id="173817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7990" name=""/>
                    <pic:cNvPicPr/>
                  </pic:nvPicPr>
                  <pic:blipFill>
                    <a:blip r:embed="rId21"/>
                    <a:stretch>
                      <a:fillRect/>
                    </a:stretch>
                  </pic:blipFill>
                  <pic:spPr>
                    <a:xfrm>
                      <a:off x="0" y="0"/>
                      <a:ext cx="5220000" cy="5064430"/>
                    </a:xfrm>
                    <a:prstGeom prst="rect">
                      <a:avLst/>
                    </a:prstGeom>
                  </pic:spPr>
                </pic:pic>
              </a:graphicData>
            </a:graphic>
          </wp:inline>
        </w:drawing>
      </w:r>
    </w:p>
    <w:p w14:paraId="373175EE" w14:textId="7D2F0CB2" w:rsidR="00B516C4" w:rsidRPr="002C21B8" w:rsidRDefault="00B516C4" w:rsidP="000030A1">
      <w:pPr>
        <w:spacing w:after="0" w:line="240" w:lineRule="auto"/>
        <w:rPr>
          <w:color w:val="7B7B7B" w:themeColor="accent3" w:themeShade="BF"/>
          <w:sz w:val="21"/>
          <w:szCs w:val="21"/>
        </w:rPr>
        <w:sectPr w:rsidR="00B516C4" w:rsidRPr="002C21B8" w:rsidSect="00FD5B53">
          <w:headerReference w:type="default" r:id="rId22"/>
          <w:pgSz w:w="11906" w:h="16838"/>
          <w:pgMar w:top="1440" w:right="1440" w:bottom="1440" w:left="1440" w:header="708" w:footer="708" w:gutter="0"/>
          <w:cols w:space="708"/>
          <w:docGrid w:linePitch="360"/>
        </w:sectPr>
      </w:pPr>
      <w:r w:rsidRPr="002C21B8">
        <w:rPr>
          <w:i/>
          <w:iCs/>
          <w:color w:val="7B7B7B" w:themeColor="accent3" w:themeShade="BF"/>
          <w:sz w:val="15"/>
          <w:szCs w:val="15"/>
        </w:rPr>
        <w:t xml:space="preserve">Autosomal Dominant Polycystic Kidney Disease (ADPKD), Qualitative (QUAL), Quantitative (QUANT), National </w:t>
      </w:r>
      <w:r w:rsidR="00A614E4" w:rsidRPr="002C21B8">
        <w:rPr>
          <w:i/>
          <w:iCs/>
          <w:color w:val="7B7B7B" w:themeColor="accent3" w:themeShade="BF"/>
          <w:sz w:val="15"/>
          <w:szCs w:val="15"/>
        </w:rPr>
        <w:t>R</w:t>
      </w:r>
      <w:r w:rsidRPr="002C21B8">
        <w:rPr>
          <w:i/>
          <w:iCs/>
          <w:color w:val="7B7B7B" w:themeColor="accent3" w:themeShade="BF"/>
          <w:sz w:val="15"/>
          <w:szCs w:val="15"/>
        </w:rPr>
        <w:t>egistry of Rare Kidney Diseases (RaDaR)</w:t>
      </w:r>
    </w:p>
    <w:p w14:paraId="3215BAF5" w14:textId="30EBFD96" w:rsidR="006F38B6" w:rsidRPr="002C21B8" w:rsidRDefault="00CE7F66" w:rsidP="00883782">
      <w:pPr>
        <w:pStyle w:val="Heading2"/>
        <w:spacing w:before="0"/>
      </w:pPr>
      <w:bookmarkStart w:id="63" w:name="_Integration_within_the"/>
      <w:bookmarkStart w:id="64" w:name="_Integration_within_mixed"/>
      <w:bookmarkStart w:id="65" w:name="_Toc229687212"/>
      <w:bookmarkEnd w:id="63"/>
      <w:bookmarkEnd w:id="64"/>
      <w:r w:rsidRPr="002C21B8">
        <w:lastRenderedPageBreak/>
        <w:t xml:space="preserve">Integration </w:t>
      </w:r>
      <w:r w:rsidR="00EF11FE" w:rsidRPr="002C21B8">
        <w:t xml:space="preserve">within mixed methods </w:t>
      </w:r>
      <w:r w:rsidR="00716253" w:rsidRPr="002C21B8">
        <w:t>research</w:t>
      </w:r>
      <w:bookmarkEnd w:id="65"/>
    </w:p>
    <w:p w14:paraId="43F76C45" w14:textId="6C563E3B" w:rsidR="003612BC" w:rsidRPr="002C21B8" w:rsidRDefault="006F38B6" w:rsidP="00C7740D">
      <w:r w:rsidRPr="002C21B8">
        <w:t>Integration</w:t>
      </w:r>
      <w:r w:rsidR="00EF11FE" w:rsidRPr="002C21B8">
        <w:t xml:space="preserve"> of data or findings within</w:t>
      </w:r>
      <w:r w:rsidR="00716253" w:rsidRPr="002C21B8">
        <w:t xml:space="preserve"> </w:t>
      </w:r>
      <w:r w:rsidR="00EF11FE" w:rsidRPr="002C21B8">
        <w:t xml:space="preserve">mixed methods </w:t>
      </w:r>
      <w:r w:rsidR="00716253" w:rsidRPr="002C21B8">
        <w:t>research</w:t>
      </w:r>
      <w:r w:rsidR="00EF11FE" w:rsidRPr="002C21B8">
        <w:t xml:space="preserve"> is important </w:t>
      </w:r>
      <w:r w:rsidR="00C7740D" w:rsidRPr="002C21B8">
        <w:fldChar w:fldCharType="begin"/>
      </w:r>
      <w:r w:rsidR="00CE4967" w:rsidRPr="002C21B8">
        <w:instrText xml:space="preserve"> ADDIN EN.CITE &lt;EndNote&gt;&lt;Cite&gt;&lt;Author&gt;Bryman&lt;/Author&gt;&lt;Year&gt;2006&lt;/Year&gt;&lt;RecNum&gt;125509&lt;/RecNum&gt;&lt;DisplayText&gt;(Bryman, 2006)&lt;/DisplayText&gt;&lt;record&gt;&lt;rec-number&gt;125509&lt;/rec-number&gt;&lt;foreign-keys&gt;&lt;key app="EN" db-id="xpefzwa5hf9dt2ea9fax95x7xvxz90v09dtf" timestamp="1777128271"&gt;125509&lt;/key&gt;&lt;/foreign-keys&gt;&lt;ref-type name="Journal Article"&gt;17&lt;/ref-type&gt;&lt;contributors&gt;&lt;authors&gt;&lt;author&gt;Bryman, Alan&lt;/author&gt;&lt;/authors&gt;&lt;/contributors&gt;&lt;titles&gt;&lt;title&gt;Integrating quantitative and qualitative research: how is it done?&lt;/title&gt;&lt;secondary-title&gt;Qualitative Research&lt;/secondary-title&gt;&lt;/titles&gt;&lt;periodical&gt;&lt;full-title&gt;Qualitative Research&lt;/full-title&gt;&lt;/periodical&gt;&lt;pages&gt;97-113&lt;/pages&gt;&lt;volume&gt;6&lt;/volume&gt;&lt;number&gt;1&lt;/number&gt;&lt;dates&gt;&lt;year&gt;2006&lt;/year&gt;&lt;/dates&gt;&lt;isbn&gt;1468-7941&lt;/isbn&gt;&lt;urls&gt;&lt;/urls&gt;&lt;/record&gt;&lt;/Cite&gt;&lt;/EndNote&gt;</w:instrText>
      </w:r>
      <w:r w:rsidR="00C7740D" w:rsidRPr="002C21B8">
        <w:fldChar w:fldCharType="separate"/>
      </w:r>
      <w:r w:rsidR="00C7740D" w:rsidRPr="002C21B8">
        <w:rPr>
          <w:noProof/>
        </w:rPr>
        <w:t>(Bryman, 2006)</w:t>
      </w:r>
      <w:r w:rsidR="00C7740D" w:rsidRPr="002C21B8">
        <w:fldChar w:fldCharType="end"/>
      </w:r>
      <w:r w:rsidR="00EF11FE" w:rsidRPr="002C21B8">
        <w:t xml:space="preserve">. </w:t>
      </w:r>
      <w:r w:rsidR="00DD3579" w:rsidRPr="002C21B8">
        <w:t xml:space="preserve">Integration occurred </w:t>
      </w:r>
      <w:r w:rsidR="00876C7C" w:rsidRPr="002C21B8">
        <w:t xml:space="preserve">in this </w:t>
      </w:r>
      <w:r w:rsidR="00716253" w:rsidRPr="002C21B8">
        <w:t xml:space="preserve">programme of research </w:t>
      </w:r>
      <w:r w:rsidR="00DD3579" w:rsidRPr="002C21B8">
        <w:t>by</w:t>
      </w:r>
      <w:r w:rsidR="00DB76F2" w:rsidRPr="002C21B8">
        <w:t xml:space="preserve"> each phase informing </w:t>
      </w:r>
      <w:r w:rsidR="00C7740D" w:rsidRPr="002C21B8">
        <w:t xml:space="preserve">a </w:t>
      </w:r>
      <w:r w:rsidR="00DD3579" w:rsidRPr="002C21B8">
        <w:t>subsequent phase or phases</w:t>
      </w:r>
      <w:r w:rsidR="00DB76F2" w:rsidRPr="002C21B8">
        <w:t xml:space="preserve">. </w:t>
      </w:r>
      <w:r w:rsidR="00DD3579" w:rsidRPr="002C21B8">
        <w:t>The conceptual model of prescribing</w:t>
      </w:r>
      <w:r w:rsidR="001C54C0" w:rsidRPr="002C21B8">
        <w:t xml:space="preserve"> decision-making</w:t>
      </w:r>
      <w:r w:rsidR="00DD3579" w:rsidRPr="002C21B8">
        <w:t xml:space="preserve"> </w:t>
      </w:r>
      <w:r w:rsidR="001C54C0" w:rsidRPr="002C21B8">
        <w:t>in</w:t>
      </w:r>
      <w:r w:rsidR="00DD3579" w:rsidRPr="002C21B8">
        <w:t xml:space="preserve"> chronic conditions </w:t>
      </w:r>
      <w:r w:rsidR="00C7740D" w:rsidRPr="002C21B8">
        <w:t xml:space="preserve">developed in the systematic review in Phase 1 </w:t>
      </w:r>
      <w:r w:rsidR="00DD3579" w:rsidRPr="002C21B8">
        <w:t xml:space="preserve">informed </w:t>
      </w:r>
      <w:r w:rsidR="00C7740D" w:rsidRPr="002C21B8">
        <w:t>the data collection and analysis of the multiple case study in Phase 3. Analysis of registry data in Phase 2 was used to select c</w:t>
      </w:r>
      <w:r w:rsidR="0030636C" w:rsidRPr="002C21B8">
        <w:t xml:space="preserve">ases for </w:t>
      </w:r>
      <w:r w:rsidR="00DD3579" w:rsidRPr="002C21B8">
        <w:t xml:space="preserve">the multiple case study in </w:t>
      </w:r>
      <w:r w:rsidR="0030636C" w:rsidRPr="002C21B8">
        <w:t xml:space="preserve">Phase </w:t>
      </w:r>
      <w:r w:rsidR="00DD3579" w:rsidRPr="002C21B8">
        <w:t>3</w:t>
      </w:r>
      <w:r w:rsidR="0030636C" w:rsidRPr="002C21B8">
        <w:t xml:space="preserve">. The qualitative findings from the multiple case study </w:t>
      </w:r>
      <w:r w:rsidR="00C7740D" w:rsidRPr="002C21B8">
        <w:t xml:space="preserve">in Phase 3 </w:t>
      </w:r>
      <w:r w:rsidR="00DD3579" w:rsidRPr="002C21B8">
        <w:t xml:space="preserve">and the systematic review in Phase 1 </w:t>
      </w:r>
      <w:r w:rsidR="0030636C" w:rsidRPr="002C21B8">
        <w:t xml:space="preserve">guided the development of the questionnaire used in the Phase 3 </w:t>
      </w:r>
      <w:r w:rsidR="00FC190F" w:rsidRPr="002C21B8">
        <w:t>survey of clinical practice</w:t>
      </w:r>
      <w:r w:rsidR="009F78A1" w:rsidRPr="002C21B8">
        <w:t>.</w:t>
      </w:r>
    </w:p>
    <w:p w14:paraId="21E5F2EE" w14:textId="266BEE6A" w:rsidR="00383376" w:rsidRPr="002C21B8" w:rsidRDefault="00DA54CC" w:rsidP="00C7740D">
      <w:r w:rsidRPr="002C21B8">
        <w:t xml:space="preserve">Triangulation is a methodological approach to integrating </w:t>
      </w:r>
      <w:r w:rsidR="00383376" w:rsidRPr="002C21B8">
        <w:t xml:space="preserve">findings from multiple </w:t>
      </w:r>
      <w:r w:rsidR="00F338D9" w:rsidRPr="002C21B8">
        <w:t>methods</w:t>
      </w:r>
      <w:r w:rsidR="00383376" w:rsidRPr="002C21B8">
        <w:t xml:space="preserve">. It involves </w:t>
      </w:r>
      <w:r w:rsidRPr="002C21B8">
        <w:t xml:space="preserve">comparing </w:t>
      </w:r>
      <w:r w:rsidR="00383376" w:rsidRPr="002C21B8">
        <w:t>findings</w:t>
      </w:r>
      <w:r w:rsidRPr="002C21B8">
        <w:t xml:space="preserve"> to </w:t>
      </w:r>
      <w:r w:rsidR="00383376" w:rsidRPr="002C21B8">
        <w:t>assess whether</w:t>
      </w:r>
      <w:r w:rsidRPr="002C21B8">
        <w:t xml:space="preserve"> they agree (convergence), offer complementary </w:t>
      </w:r>
      <w:r w:rsidR="00383376" w:rsidRPr="002C21B8">
        <w:t>i</w:t>
      </w:r>
      <w:r w:rsidRPr="002C21B8">
        <w:t>n</w:t>
      </w:r>
      <w:r w:rsidR="00383376" w:rsidRPr="002C21B8">
        <w:t>sights</w:t>
      </w:r>
      <w:r w:rsidRPr="002C21B8">
        <w:t xml:space="preserve"> on the same issue (complementarity)</w:t>
      </w:r>
      <w:r w:rsidR="00383376" w:rsidRPr="002C21B8">
        <w:t xml:space="preserve"> or</w:t>
      </w:r>
      <w:r w:rsidRPr="002C21B8">
        <w:t xml:space="preserve"> appear to contradict each other (</w:t>
      </w:r>
      <w:r w:rsidR="00F34ED7" w:rsidRPr="002C21B8">
        <w:t>d</w:t>
      </w:r>
      <w:r w:rsidR="008D1D22" w:rsidRPr="002C21B8">
        <w:t>i</w:t>
      </w:r>
      <w:r w:rsidR="00BB4FE8" w:rsidRPr="002C21B8">
        <w:t>ssonanc</w:t>
      </w:r>
      <w:r w:rsidR="00F34ED7" w:rsidRPr="002C21B8">
        <w:t>e</w:t>
      </w:r>
      <w:r w:rsidRPr="002C21B8">
        <w:t>)</w:t>
      </w:r>
      <w:r w:rsidR="00F34ED7" w:rsidRPr="002C21B8">
        <w:t xml:space="preserve"> </w:t>
      </w:r>
      <w:r w:rsidR="00F34ED7" w:rsidRPr="002C21B8">
        <w:fldChar w:fldCharType="begin">
          <w:fldData xml:space="preserve">PEVuZE5vdGU+PENpdGU+PEF1dGhvcj5FcnpiZXJnZXI8L0F1dGhvcj48WWVhcj4xOTk3PC9ZZWFy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</w:fldData>
        </w:fldChar>
      </w:r>
      <w:r w:rsidR="00EA1D8A" w:rsidRPr="002C21B8">
        <w:instrText xml:space="preserve"> ADDIN EN.CITE </w:instrText>
      </w:r>
      <w:r w:rsidR="00EA1D8A" w:rsidRPr="002C21B8">
        <w:fldChar w:fldCharType="begin">
          <w:fldData xml:space="preserve">PEVuZE5vdGU+PENpdGU+PEF1dGhvcj5FcnpiZXJnZXI8L0F1dGhvcj48WWVhcj4xOTk3PC9ZZWFy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</w:fldData>
        </w:fldChar>
      </w:r>
      <w:r w:rsidR="00EA1D8A" w:rsidRPr="002C21B8">
        <w:instrText xml:space="preserve"> ADDIN EN.CITE.DATA </w:instrText>
      </w:r>
      <w:r w:rsidR="00EA1D8A" w:rsidRPr="002C21B8">
        <w:fldChar w:fldCharType="end"/>
      </w:r>
      <w:r w:rsidR="00F34ED7" w:rsidRPr="002C21B8">
        <w:fldChar w:fldCharType="separate"/>
      </w:r>
      <w:r w:rsidR="00EA1D8A" w:rsidRPr="002C21B8">
        <w:rPr>
          <w:noProof/>
        </w:rPr>
        <w:t>(Erzberger and Prein, 1997; Farmer</w:t>
      </w:r>
      <w:r w:rsidR="00EA1D8A" w:rsidRPr="002C21B8">
        <w:rPr>
          <w:i/>
          <w:noProof/>
        </w:rPr>
        <w:t xml:space="preserve"> et al.</w:t>
      </w:r>
      <w:r w:rsidR="00EA1D8A" w:rsidRPr="002C21B8">
        <w:rPr>
          <w:noProof/>
        </w:rPr>
        <w:t>, 2006; Foster, 1997)</w:t>
      </w:r>
      <w:r w:rsidR="00F34ED7" w:rsidRPr="002C21B8">
        <w:fldChar w:fldCharType="end"/>
      </w:r>
      <w:r w:rsidR="00F34ED7" w:rsidRPr="002C21B8">
        <w:t xml:space="preserve">. </w:t>
      </w:r>
      <w:r w:rsidR="00383376" w:rsidRPr="002C21B8">
        <w:t xml:space="preserve">There may also be instances where findings are present in only one of the components (silence) </w:t>
      </w:r>
      <w:r w:rsidR="00F34ED7" w:rsidRPr="002C21B8">
        <w:fldChar w:fldCharType="begin"/>
      </w:r>
      <w:r w:rsidR="00F34ED7" w:rsidRPr="002C21B8">
        <w:instrText xml:space="preserve"> ADDIN EN.CITE &lt;EndNote&gt;&lt;Cite&gt;&lt;Author&gt;Farmer&lt;/Author&gt;&lt;Year&gt;2006&lt;/Year&gt;&lt;RecNum&gt;125395&lt;/RecNum&gt;&lt;DisplayText&gt;(Farmer&lt;style face="italic"&gt; et al.&lt;/style&gt;, 2006)&lt;/DisplayText&gt;&lt;record&gt;&lt;rec-number&gt;125395&lt;/rec-number&gt;&lt;foreign-keys&gt;&lt;key app="EN" db-id="xpefzwa5hf9dt2ea9fax95x7xvxz90v09dtf" timestamp="1775587088"&gt;125395&lt;/key&gt;&lt;/foreign-keys&gt;&lt;ref-type name="Journal Article"&gt;17&lt;/ref-type&gt;&lt;contributors&gt;&lt;authors&gt;&lt;author&gt;Farmer, Tracy&lt;/author&gt;&lt;author&gt;Robinson, Kerry&lt;/author&gt;&lt;author&gt;Elliott, Susan J&lt;/author&gt;&lt;author&gt;Eyles, John&lt;/author&gt;&lt;/authors&gt;&lt;/contributors&gt;&lt;titles&gt;&lt;title&gt;Developing and implementing a triangulation protocol for qualitative health research&lt;/title&gt;&lt;secondary-title&gt;Qualitative health research&lt;/secondary-title&gt;&lt;/titles&gt;&lt;periodical&gt;&lt;full-title&gt;Qualitative health research&lt;/full-title&gt;&lt;/periodical&gt;&lt;pages&gt;377-394&lt;/pages&gt;&lt;volume&gt;16&lt;/volume&gt;&lt;number&gt;3&lt;/number&gt;&lt;dates&gt;&lt;year&gt;2006&lt;/year&gt;&lt;/dates&gt;&lt;isbn&gt;1049-7323&lt;/isbn&gt;&lt;urls&gt;&lt;/urls&gt;&lt;/record&gt;&lt;/Cite&gt;&lt;/EndNote&gt;</w:instrText>
      </w:r>
      <w:r w:rsidR="00F34ED7" w:rsidRPr="002C21B8">
        <w:fldChar w:fldCharType="separate"/>
      </w:r>
      <w:r w:rsidR="00F34ED7" w:rsidRPr="002C21B8">
        <w:rPr>
          <w:noProof/>
        </w:rPr>
        <w:t>(Farmer</w:t>
      </w:r>
      <w:r w:rsidR="00F34ED7" w:rsidRPr="002C21B8">
        <w:rPr>
          <w:i/>
          <w:noProof/>
        </w:rPr>
        <w:t xml:space="preserve"> et al.</w:t>
      </w:r>
      <w:r w:rsidR="00F34ED7" w:rsidRPr="002C21B8">
        <w:rPr>
          <w:noProof/>
        </w:rPr>
        <w:t>, 2006)</w:t>
      </w:r>
      <w:r w:rsidR="00F34ED7" w:rsidRPr="002C21B8">
        <w:fldChar w:fldCharType="end"/>
      </w:r>
      <w:r w:rsidR="00F34ED7" w:rsidRPr="002C21B8">
        <w:t>.</w:t>
      </w:r>
      <w:r w:rsidR="00383376" w:rsidRPr="002C21B8">
        <w:t xml:space="preserve"> </w:t>
      </w:r>
      <w:r w:rsidRPr="002C21B8">
        <w:t>The most detailed description of how to carry out</w:t>
      </w:r>
      <w:r w:rsidR="00BE7EEE" w:rsidRPr="002C21B8">
        <w:t xml:space="preserve"> methodological</w:t>
      </w:r>
      <w:r w:rsidRPr="002C21B8">
        <w:t xml:space="preserve"> triangulation is described by </w:t>
      </w:r>
      <w:r w:rsidR="00383376" w:rsidRPr="002C21B8">
        <w:fldChar w:fldCharType="begin"/>
      </w:r>
      <w:r w:rsidR="00383376" w:rsidRPr="002C21B8">
        <w:instrText xml:space="preserve"> ADDIN EN.CITE &lt;EndNote&gt;&lt;Cite AuthorYear="1"&gt;&lt;Author&gt;Farmer&lt;/Author&gt;&lt;Year&gt;2006&lt;/Year&gt;&lt;RecNum&gt;125395&lt;/RecNum&gt;&lt;DisplayText&gt;Farmer&lt;style face="italic"&gt; et al.&lt;/style&gt; (2006)&lt;/DisplayText&gt;&lt;record&gt;&lt;rec-number&gt;125395&lt;/rec-number&gt;&lt;foreign-keys&gt;&lt;key app="EN" db-id="xpefzwa5hf9dt2ea9fax95x7xvxz90v09dtf" timestamp="1775587088"&gt;125395&lt;/key&gt;&lt;/foreign-keys&gt;&lt;ref-type name="Journal Article"&gt;17&lt;/ref-type&gt;&lt;contributors&gt;&lt;authors&gt;&lt;author&gt;Farmer, Tracy&lt;/author&gt;&lt;author&gt;Robinson, Kerry&lt;/author&gt;&lt;author&gt;Elliott, Susan J&lt;/author&gt;&lt;author&gt;Eyles, John&lt;/author&gt;&lt;/authors&gt;&lt;/contributors&gt;&lt;titles&gt;&lt;title&gt;Developing and implementing a triangulation protocol for qualitative health research&lt;/title&gt;&lt;secondary-title&gt;Qualitative health research&lt;/secondary-title&gt;&lt;/titles&gt;&lt;periodical&gt;&lt;full-title&gt;Qualitative health research&lt;/full-title&gt;&lt;/periodical&gt;&lt;pages&gt;377-394&lt;/pages&gt;&lt;volume&gt;16&lt;/volume&gt;&lt;number&gt;3&lt;/number&gt;&lt;dates&gt;&lt;year&gt;2006&lt;/year&gt;&lt;/dates&gt;&lt;isbn&gt;1049-7323&lt;/isbn&gt;&lt;urls&gt;&lt;/urls&gt;&lt;/record&gt;&lt;/Cite&gt;&lt;/EndNote&gt;</w:instrText>
      </w:r>
      <w:r w:rsidR="00383376" w:rsidRPr="002C21B8">
        <w:fldChar w:fldCharType="separate"/>
      </w:r>
      <w:r w:rsidR="00383376" w:rsidRPr="002C21B8">
        <w:rPr>
          <w:noProof/>
        </w:rPr>
        <w:t>Farmer</w:t>
      </w:r>
      <w:r w:rsidR="00383376" w:rsidRPr="002C21B8">
        <w:rPr>
          <w:i/>
          <w:noProof/>
        </w:rPr>
        <w:t xml:space="preserve"> et al.</w:t>
      </w:r>
      <w:r w:rsidR="00383376" w:rsidRPr="002C21B8">
        <w:rPr>
          <w:noProof/>
        </w:rPr>
        <w:t xml:space="preserve"> (2006)</w:t>
      </w:r>
      <w:r w:rsidR="00383376" w:rsidRPr="002C21B8">
        <w:fldChar w:fldCharType="end"/>
      </w:r>
      <w:r w:rsidR="00383376" w:rsidRPr="002C21B8">
        <w:t xml:space="preserve"> </w:t>
      </w:r>
      <w:r w:rsidRPr="002C21B8">
        <w:t xml:space="preserve">as </w:t>
      </w:r>
      <w:r w:rsidR="00EA1D8A" w:rsidRPr="002C21B8">
        <w:t>‘</w:t>
      </w:r>
      <w:r w:rsidRPr="002C21B8">
        <w:t>the triangulation protocol</w:t>
      </w:r>
      <w:r w:rsidR="00EA1D8A" w:rsidRPr="002C21B8">
        <w:t>’</w:t>
      </w:r>
      <w:r w:rsidR="00383376" w:rsidRPr="002C21B8">
        <w:t>. This</w:t>
      </w:r>
      <w:r w:rsidR="00F34ED7" w:rsidRPr="002C21B8">
        <w:t xml:space="preserve"> involves </w:t>
      </w:r>
      <w:r w:rsidR="00383376" w:rsidRPr="002C21B8">
        <w:t xml:space="preserve">the </w:t>
      </w:r>
      <w:r w:rsidR="00F34ED7" w:rsidRPr="002C21B8">
        <w:t>produc</w:t>
      </w:r>
      <w:r w:rsidR="00383376" w:rsidRPr="002C21B8">
        <w:t>tion of</w:t>
      </w:r>
      <w:r w:rsidR="00F34ED7" w:rsidRPr="002C21B8">
        <w:t xml:space="preserve"> a coding matrix to display findings from each component</w:t>
      </w:r>
      <w:r w:rsidRPr="002C21B8">
        <w:t xml:space="preserve">. Although the triangulation protocol was developed for qualitative data, this approach to integration can </w:t>
      </w:r>
      <w:r w:rsidR="00383376" w:rsidRPr="002C21B8">
        <w:t xml:space="preserve">also </w:t>
      </w:r>
      <w:r w:rsidRPr="002C21B8">
        <w:t xml:space="preserve">be applied within mixed methods approaches </w:t>
      </w:r>
      <w:r w:rsidR="00F34ED7" w:rsidRPr="002C21B8">
        <w:fldChar w:fldCharType="begin"/>
      </w:r>
      <w:r w:rsidR="00F34ED7" w:rsidRPr="002C21B8">
        <w:instrText xml:space="preserve"> ADDIN EN.CITE &lt;EndNote&gt;&lt;Cite&gt;&lt;Author&gt;O&amp;apos;Cathain&lt;/Author&gt;&lt;Year&gt;2010&lt;/Year&gt;&lt;RecNum&gt;37&lt;/RecNum&gt;&lt;DisplayText&gt;(O&amp;apos;Cathain, Murphy and Nicholl, 2010)&lt;/DisplayText&gt;&lt;record&gt;&lt;rec-number&gt;37&lt;/rec-number&gt;&lt;foreign-keys&gt;&lt;key app="EN" db-id="xpefzwa5hf9dt2ea9fax95x7xvxz90v09dtf" timestamp="1692719762"&gt;37&lt;/key&gt;&lt;/foreign-keys&gt;&lt;ref-type name="Journal Article"&gt;17&lt;/ref-type&gt;&lt;contributors&gt;&lt;authors&gt;&lt;author&gt;O&amp;apos;Cathain, A&lt;/author&gt;&lt;author&gt;Murphy, E&lt;/author&gt;&lt;author&gt;Nicholl, J&lt;/author&gt;&lt;/authors&gt;&lt;/contributors&gt;&lt;auth-address&gt;Medical Care Research Unit, School of Health and Related Research, University of Sheffield, Sheffield S1 4DA, UK. a.ocathain@sheffield.ac.uk&lt;/auth-address&gt;&lt;titles&gt;&lt;title&gt;Three techniques for integrating data in mixed methods studies&lt;/title&gt;&lt;secondary-title&gt;BMJ&lt;/secondary-title&gt;&lt;/titles&gt;&lt;periodical&gt;&lt;full-title&gt;BMJ&lt;/full-title&gt;&lt;/periodical&gt;&lt;pages&gt;c4587&lt;/pages&gt;&lt;volume&gt;341&lt;/volume&gt;&lt;edition&gt;20100917&lt;/edition&gt;&lt;keywords&gt;&lt;keyword&gt;*Data Interpretation, Statistical&lt;/keyword&gt;&lt;keyword&gt;*Evaluation Studies as Topic&lt;/keyword&gt;&lt;keyword&gt;*Qualitative Research&lt;/keyword&gt;&lt;/keywords&gt;&lt;dates&gt;&lt;year&gt;2010&lt;/year&gt;&lt;pub-dates&gt;&lt;date&gt;Sep 17&lt;/date&gt;&lt;/pub-dates&gt;&lt;/dates&gt;&lt;isbn&gt;1756-1833 (Electronic)&amp;#xD;0959-8138 (Linking)&lt;/isbn&gt;&lt;accession-num&gt;20851841&lt;/accession-num&gt;&lt;urls&gt;&lt;related-urls&gt;&lt;url&gt;https://www.ncbi.nlm.nih.gov/pubmed/20851841&lt;/url&gt;&lt;/related-urls&gt;&lt;/urls&gt;&lt;electronic-resource-num&gt;10.1136/bmj.c4587&lt;/electronic-resource-num&gt;&lt;remote-database-name&gt;Medline&lt;/remote-database-name&gt;&lt;remote-database-provider&gt;NLM&lt;/remote-database-provider&gt;&lt;/record&gt;&lt;/Cite&gt;&lt;/EndNote&gt;</w:instrText>
      </w:r>
      <w:r w:rsidR="00F34ED7" w:rsidRPr="002C21B8">
        <w:fldChar w:fldCharType="separate"/>
      </w:r>
      <w:r w:rsidR="00F34ED7" w:rsidRPr="002C21B8">
        <w:rPr>
          <w:noProof/>
        </w:rPr>
        <w:t>(O'Cathain, Murphy and Nicholl, 2010)</w:t>
      </w:r>
      <w:r w:rsidR="00F34ED7" w:rsidRPr="002C21B8">
        <w:fldChar w:fldCharType="end"/>
      </w:r>
      <w:r w:rsidR="00F34ED7" w:rsidRPr="002C21B8">
        <w:t>.</w:t>
      </w:r>
      <w:r w:rsidR="00383376" w:rsidRPr="002C21B8">
        <w:t xml:space="preserve"> In this </w:t>
      </w:r>
      <w:r w:rsidR="00716253" w:rsidRPr="002C21B8">
        <w:t>programme of research</w:t>
      </w:r>
      <w:r w:rsidR="00383376" w:rsidRPr="002C21B8">
        <w:t>, t</w:t>
      </w:r>
      <w:r w:rsidRPr="002C21B8">
        <w:t xml:space="preserve">he triangulation protocol was </w:t>
      </w:r>
      <w:r w:rsidR="00383376" w:rsidRPr="002C21B8">
        <w:t xml:space="preserve">applied at the interpretation stage after the separate analysis of the qualitative and quantitative components in </w:t>
      </w:r>
      <w:hyperlink w:anchor="_–_Discussion" w:history="1">
        <w:r w:rsidR="00383376" w:rsidRPr="002C21B8">
          <w:rPr>
            <w:rStyle w:val="Hyperlink"/>
          </w:rPr>
          <w:t>Chapter 9</w:t>
        </w:r>
      </w:hyperlink>
      <w:r w:rsidR="00383376" w:rsidRPr="002C21B8">
        <w:t>. This was conducted to allow the comparison and integration of findings from the multiple case study in Phase 3 and the national survey of clinical practice in Phase 4.</w:t>
      </w:r>
    </w:p>
    <w:p w14:paraId="653919EC" w14:textId="3531FFA9" w:rsidR="00CE7F66" w:rsidRPr="002C21B8" w:rsidRDefault="00D0412A" w:rsidP="00581663">
      <w:pPr>
        <w:pStyle w:val="Heading2"/>
      </w:pPr>
      <w:bookmarkStart w:id="66" w:name="_Toc229687213"/>
      <w:r w:rsidRPr="002C21B8">
        <w:t>Rigour</w:t>
      </w:r>
      <w:r w:rsidR="003630B0" w:rsidRPr="002C21B8">
        <w:t xml:space="preserve"> and </w:t>
      </w:r>
      <w:r w:rsidRPr="002C21B8">
        <w:t>trustworthiness</w:t>
      </w:r>
      <w:bookmarkEnd w:id="66"/>
    </w:p>
    <w:p w14:paraId="5FFD8CC8" w14:textId="58BCEDC7" w:rsidR="00126805" w:rsidRPr="002C21B8" w:rsidRDefault="00917CBF" w:rsidP="003D2717">
      <w:r w:rsidRPr="002C21B8">
        <w:fldChar w:fldCharType="begin"/>
      </w:r>
      <w:r w:rsidR="00A46115" w:rsidRPr="002C21B8">
        <w:instrText xml:space="preserve"> ADDIN EN.CITE &lt;EndNote&gt;&lt;Cite AuthorYear="1"&gt;&lt;Author&gt;Creswell&lt;/Author&gt;&lt;Year&gt;2017&lt;/Year&gt;&lt;RecNum&gt;5571&lt;/RecNum&gt;&lt;DisplayText&gt;Creswell and Plano Clark (2017)&lt;/DisplayText&gt;&lt;record&gt;&lt;rec-number&gt;5571&lt;/rec-number&gt;&lt;foreign-keys&gt;&lt;key app="EN" db-id="xpefzwa5hf9dt2ea9fax95x7xvxz90v09dtf" timestamp="1709116941"&gt;5571&lt;/key&gt;&lt;/foreign-keys&gt;&lt;ref-type name="Book"&gt;6&lt;/ref-type&gt;&lt;contributors&gt;&lt;authors&gt;&lt;author&gt;Creswell, John W&lt;/author&gt;&lt;author&gt;Plano Clark, Vicki L&lt;/author&gt;&lt;/authors&gt;&lt;/contributors&gt;&lt;titles&gt;&lt;title&gt;Designing and conducting mixed methods research&lt;/title&gt;&lt;/titles&gt;&lt;section&gt;1-512&lt;/section&gt;&lt;dates&gt;&lt;year&gt;2017&lt;/year&gt;&lt;/dates&gt;&lt;pub-location&gt;London, UK&lt;/pub-location&gt;&lt;publisher&gt;SAGE Publications Ltd&lt;/publisher&gt;&lt;isbn&gt;148334701X&lt;/isbn&gt;&lt;urls&gt;&lt;/urls&gt;&lt;/record&gt;&lt;/Cite&gt;&lt;/EndNote&gt;</w:instrText>
      </w:r>
      <w:r w:rsidRPr="002C21B8">
        <w:fldChar w:fldCharType="separate"/>
      </w:r>
      <w:r w:rsidR="00AA4764" w:rsidRPr="002C21B8">
        <w:rPr>
          <w:noProof/>
        </w:rPr>
        <w:t>Creswell and Plano Clark (2017)</w:t>
      </w:r>
      <w:r w:rsidRPr="002C21B8">
        <w:fldChar w:fldCharType="end"/>
      </w:r>
      <w:r w:rsidRPr="002C21B8">
        <w:t xml:space="preserve"> emphasise that mixed methods studies should demonstrate quality </w:t>
      </w:r>
      <w:r w:rsidR="00453304" w:rsidRPr="002C21B8">
        <w:t>in</w:t>
      </w:r>
      <w:r w:rsidRPr="002C21B8">
        <w:t xml:space="preserve"> both quantitative and qualitative </w:t>
      </w:r>
      <w:r w:rsidR="003B491E" w:rsidRPr="002C21B8">
        <w:t>component</w:t>
      </w:r>
      <w:r w:rsidRPr="002C21B8">
        <w:t xml:space="preserve">s </w:t>
      </w:r>
      <w:r w:rsidR="00453304" w:rsidRPr="002C21B8">
        <w:t xml:space="preserve">using </w:t>
      </w:r>
      <w:r w:rsidRPr="002C21B8">
        <w:t xml:space="preserve">appropriate criteria for each, </w:t>
      </w:r>
      <w:r w:rsidR="00097D3F" w:rsidRPr="002C21B8">
        <w:t xml:space="preserve">with </w:t>
      </w:r>
      <w:r w:rsidRPr="002C21B8">
        <w:t xml:space="preserve">overall quality </w:t>
      </w:r>
      <w:r w:rsidR="00097D3F" w:rsidRPr="002C21B8">
        <w:t>strengthened through</w:t>
      </w:r>
      <w:r w:rsidRPr="002C21B8">
        <w:t xml:space="preserve"> effective integrat</w:t>
      </w:r>
      <w:r w:rsidR="00B02B6F" w:rsidRPr="002C21B8">
        <w:t>ion</w:t>
      </w:r>
      <w:r w:rsidRPr="002C21B8">
        <w:t xml:space="preserve"> (as demonstrated in </w:t>
      </w:r>
      <w:hyperlink w:anchor="_Integration_within_mixed" w:history="1">
        <w:r w:rsidR="00B54536" w:rsidRPr="002C21B8">
          <w:rPr>
            <w:rStyle w:val="Hyperlink"/>
          </w:rPr>
          <w:t>S</w:t>
        </w:r>
        <w:r w:rsidRPr="002C21B8">
          <w:rPr>
            <w:rStyle w:val="Hyperlink"/>
          </w:rPr>
          <w:t>ecti</w:t>
        </w:r>
        <w:r w:rsidR="00B54536" w:rsidRPr="002C21B8">
          <w:rPr>
            <w:rStyle w:val="Hyperlink"/>
          </w:rPr>
          <w:t>on 3.4</w:t>
        </w:r>
      </w:hyperlink>
      <w:r w:rsidRPr="002C21B8">
        <w:t xml:space="preserve">). Accordingly, this </w:t>
      </w:r>
      <w:r w:rsidR="00716253" w:rsidRPr="002C21B8">
        <w:t>programme of research</w:t>
      </w:r>
      <w:r w:rsidRPr="002C21B8">
        <w:t xml:space="preserve"> addressed quality through rigour for quantitative components and trustworthiness for qualitative components. Rigour reflects the extent to which study design, measurement and analysis produce reliable and accurate results. It is typically evaluated </w:t>
      </w:r>
      <w:r w:rsidR="00E20A63" w:rsidRPr="002C21B8">
        <w:t>through</w:t>
      </w:r>
      <w:r w:rsidR="00610218" w:rsidRPr="002C21B8">
        <w:t xml:space="preserve"> internal validity, external validity, reliability and objectivity</w:t>
      </w:r>
      <w:r w:rsidR="008D6EB4">
        <w:t xml:space="preserve"> </w:t>
      </w:r>
      <w:r w:rsidR="008D6EB4">
        <w:fldChar w:fldCharType="begin"/>
      </w:r>
      <w:r w:rsidR="008D6EB4">
        <w:instrText xml:space="preserve"> ADDIN EN.CITE &lt;EndNote&gt;&lt;Cite&gt;&lt;Author&gt;Cook&lt;/Author&gt;&lt;Year&gt;1979&lt;/Year&gt;&lt;RecNum&gt;125635&lt;/RecNum&gt;&lt;DisplayText&gt;(Cook, Campbell and Day, 1979)&lt;/DisplayText&gt;&lt;record&gt;&lt;rec-number&gt;125635&lt;/rec-number&gt;&lt;foreign-keys&gt;&lt;key app="EN" db-id="xpefzwa5hf9dt2ea9fax95x7xvxz90v09dtf" timestamp="1786095444"&gt;125635&lt;/key&gt;&lt;/foreign-keys&gt;&lt;ref-type name="Book"&gt;6&lt;/ref-type&gt;&lt;contributors&gt;&lt;authors&gt;&lt;author&gt;Cook, Thomas D&lt;/author&gt;&lt;author&gt;Campbell, Donald Thomas&lt;/author&gt;&lt;author&gt;Day, Arles&lt;/author&gt;&lt;/authors&gt;&lt;/contributors&gt;&lt;titles&gt;&lt;title&gt;Quasi-experimentation: Design &amp;amp; analysis issues for field settings&lt;/title&gt;&lt;/titles&gt;&lt;volume&gt;351&lt;/volume&gt;&lt;dates&gt;&lt;year&gt;1979&lt;/year&gt;&lt;/dates&gt;&lt;publisher&gt;Houghton Mifflin Boston&lt;/publisher&gt;&lt;urls&gt;&lt;/urls&gt;&lt;/record&gt;&lt;/Cite&gt;&lt;/EndNote&gt;</w:instrText>
      </w:r>
      <w:r w:rsidR="008D6EB4">
        <w:fldChar w:fldCharType="separate"/>
      </w:r>
      <w:r w:rsidR="008D6EB4">
        <w:rPr>
          <w:noProof/>
        </w:rPr>
        <w:t>(Cook, Campbell and Day, 1979)</w:t>
      </w:r>
      <w:r w:rsidR="008D6EB4">
        <w:fldChar w:fldCharType="end"/>
      </w:r>
      <w:r w:rsidR="00610218" w:rsidRPr="002C21B8">
        <w:t xml:space="preserve">. Trustworthiness </w:t>
      </w:r>
      <w:r w:rsidRPr="002C21B8">
        <w:t xml:space="preserve">reflects the confidence that readers can place in the findings. </w:t>
      </w:r>
      <w:r w:rsidR="00E20A63" w:rsidRPr="002C21B8">
        <w:t>I</w:t>
      </w:r>
      <w:r w:rsidR="00402D18" w:rsidRPr="002C21B8">
        <w:t xml:space="preserve">t </w:t>
      </w:r>
      <w:r w:rsidRPr="002C21B8">
        <w:t>is typically</w:t>
      </w:r>
      <w:r w:rsidR="00402D18" w:rsidRPr="002C21B8">
        <w:t xml:space="preserve"> considered </w:t>
      </w:r>
      <w:r w:rsidR="00402D18" w:rsidRPr="002C21B8">
        <w:lastRenderedPageBreak/>
        <w:t>through credibility, transferability, dependability and confirmability</w:t>
      </w:r>
      <w:r w:rsidR="00E20A63" w:rsidRPr="002C21B8">
        <w:t xml:space="preserve"> </w:t>
      </w:r>
      <w:r w:rsidR="00E20A63" w:rsidRPr="002C21B8">
        <w:fldChar w:fldCharType="begin"/>
      </w:r>
      <w:r w:rsidR="00545323" w:rsidRPr="002C21B8">
        <w:instrText xml:space="preserve"> ADDIN EN.CITE &lt;EndNote&gt;&lt;Cite&gt;&lt;Author&gt;Lincoln&lt;/Author&gt;&lt;Year&gt;1985&lt;/Year&gt;&lt;RecNum&gt;5467&lt;/RecNum&gt;&lt;DisplayText&gt;(Lincoln and Guba, 1985)&lt;/DisplayText&gt;&lt;record&gt;&lt;rec-number&gt;5467&lt;/rec-number&gt;&lt;foreign-keys&gt;&lt;key app="EN" db-id="xpefzwa5hf9dt2ea9fax95x7xvxz90v09dtf" timestamp="1704504214"&gt;5467&lt;/key&gt;&lt;/foreign-keys&gt;&lt;ref-type name="Book"&gt;6&lt;/ref-type&gt;&lt;contributors&gt;&lt;authors&gt;&lt;author&gt;Lincoln, Yvonna S&lt;/author&gt;&lt;author&gt;Guba, Egon G&lt;/author&gt;&lt;/authors&gt;&lt;/contributors&gt;&lt;titles&gt;&lt;title&gt;Naturalistic inquiry&lt;/title&gt;&lt;/titles&gt;&lt;section&gt;1-416&lt;/section&gt;&lt;dates&gt;&lt;year&gt;1985&lt;/year&gt;&lt;/dates&gt;&lt;pub-location&gt;London, UK&lt;/pub-location&gt;&lt;publisher&gt;SAGE Publications Ltd&lt;/publisher&gt;&lt;isbn&gt;0803924313&lt;/isbn&gt;&lt;urls&gt;&lt;/urls&gt;&lt;/record&gt;&lt;/Cite&gt;&lt;/EndNote&gt;</w:instrText>
      </w:r>
      <w:r w:rsidR="00E20A63" w:rsidRPr="002C21B8">
        <w:fldChar w:fldCharType="separate"/>
      </w:r>
      <w:r w:rsidR="00E20A63" w:rsidRPr="002C21B8">
        <w:rPr>
          <w:noProof/>
        </w:rPr>
        <w:t>(Lincoln and Guba, 1985)</w:t>
      </w:r>
      <w:r w:rsidR="00E20A63" w:rsidRPr="002C21B8">
        <w:fldChar w:fldCharType="end"/>
      </w:r>
      <w:r w:rsidR="00402D18" w:rsidRPr="002C21B8">
        <w:t>.</w:t>
      </w:r>
      <w:r w:rsidRPr="002C21B8">
        <w:t xml:space="preserve"> </w:t>
      </w:r>
      <w:r w:rsidR="00126805" w:rsidRPr="002C21B8">
        <w:fldChar w:fldCharType="begin"/>
      </w:r>
      <w:r w:rsidR="00126805" w:rsidRPr="002C21B8">
        <w:instrText xml:space="preserve"> REF _Ref217324268 \h  \* MERGEFORMAT </w:instrText>
      </w:r>
      <w:r w:rsidR="00126805" w:rsidRPr="002C21B8">
        <w:fldChar w:fldCharType="separate"/>
      </w:r>
      <w:r w:rsidR="00DB3709" w:rsidRPr="002C21B8">
        <w:t xml:space="preserve">Table </w:t>
      </w:r>
      <w:r w:rsidR="00DB3709">
        <w:t>5</w:t>
      </w:r>
      <w:r w:rsidR="00126805" w:rsidRPr="002C21B8">
        <w:fldChar w:fldCharType="end"/>
      </w:r>
      <w:r w:rsidR="00126805" w:rsidRPr="002C21B8">
        <w:t xml:space="preserve"> </w:t>
      </w:r>
      <w:r w:rsidR="00E20A63" w:rsidRPr="002C21B8">
        <w:t>summarises these criteria</w:t>
      </w:r>
      <w:r w:rsidR="0024212C" w:rsidRPr="002C21B8">
        <w:t>.</w:t>
      </w:r>
    </w:p>
    <w:p w14:paraId="6F2B31C4" w14:textId="1DB51F4E" w:rsidR="00CE7F66" w:rsidRPr="002C21B8" w:rsidRDefault="00CE7F66" w:rsidP="003D2717">
      <w:pPr>
        <w:pStyle w:val="Caption"/>
        <w:keepNext w:val="0"/>
        <w:rPr>
          <w:noProof w:val="0"/>
        </w:rPr>
      </w:pPr>
      <w:bookmarkStart w:id="67" w:name="_Ref217324268"/>
      <w:bookmarkStart w:id="68" w:name="_Toc236991741"/>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5</w:t>
      </w:r>
      <w:r w:rsidRPr="002C21B8">
        <w:rPr>
          <w:noProof w:val="0"/>
        </w:rPr>
        <w:fldChar w:fldCharType="end"/>
      </w:r>
      <w:bookmarkEnd w:id="67"/>
      <w:r w:rsidRPr="002C21B8">
        <w:rPr>
          <w:noProof w:val="0"/>
        </w:rPr>
        <w:t>. Trustworthiness and quality characteristics of quantitative and qualitative research methods</w:t>
      </w:r>
      <w:r w:rsidR="00FE0A51" w:rsidRPr="002C21B8">
        <w:rPr>
          <w:noProof w:val="0"/>
        </w:rPr>
        <w:t xml:space="preserve">, adapted from </w:t>
      </w:r>
      <w:r w:rsidR="00FE0A51" w:rsidRPr="002C21B8">
        <w:rPr>
          <w:noProof w:val="0"/>
        </w:rPr>
        <w:fldChar w:fldCharType="begin"/>
      </w:r>
      <w:r w:rsidR="00545323" w:rsidRPr="002C21B8">
        <w:rPr>
          <w:noProof w:val="0"/>
        </w:rPr>
        <w:instrText xml:space="preserve"> ADDIN EN.CITE &lt;EndNote&gt;&lt;Cite&gt;&lt;Author&gt;Lincoln&lt;/Author&gt;&lt;Year&gt;1985&lt;/Year&gt;&lt;RecNum&gt;5467&lt;/RecNum&gt;&lt;DisplayText&gt;(Lincoln and Guba, 1985)&lt;/DisplayText&gt;&lt;record&gt;&lt;rec-number&gt;5467&lt;/rec-number&gt;&lt;foreign-keys&gt;&lt;key app="EN" db-id="xpefzwa5hf9dt2ea9fax95x7xvxz90v09dtf" timestamp="1704504214"&gt;5467&lt;/key&gt;&lt;/foreign-keys&gt;&lt;ref-type name="Book"&gt;6&lt;/ref-type&gt;&lt;contributors&gt;&lt;authors&gt;&lt;author&gt;Lincoln, Yvonna S&lt;/author&gt;&lt;author&gt;Guba, Egon G&lt;/author&gt;&lt;/authors&gt;&lt;/contributors&gt;&lt;titles&gt;&lt;title&gt;Naturalistic inquiry&lt;/title&gt;&lt;/titles&gt;&lt;section&gt;1-416&lt;/section&gt;&lt;dates&gt;&lt;year&gt;1985&lt;/year&gt;&lt;/dates&gt;&lt;pub-location&gt;London, UK&lt;/pub-location&gt;&lt;publisher&gt;SAGE Publications Ltd&lt;/publisher&gt;&lt;isbn&gt;0803924313&lt;/isbn&gt;&lt;urls&gt;&lt;/urls&gt;&lt;/record&gt;&lt;/Cite&gt;&lt;/EndNote&gt;</w:instrText>
      </w:r>
      <w:r w:rsidR="00FE0A51" w:rsidRPr="002C21B8">
        <w:rPr>
          <w:noProof w:val="0"/>
        </w:rPr>
        <w:fldChar w:fldCharType="separate"/>
      </w:r>
      <w:r w:rsidR="00FE0A51" w:rsidRPr="002C21B8">
        <w:t>(Lincoln and Guba, 1985)</w:t>
      </w:r>
      <w:bookmarkEnd w:id="68"/>
      <w:r w:rsidR="00FE0A51" w:rsidRPr="002C21B8">
        <w:rPr>
          <w:noProof w:val="0"/>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268"/>
        <w:gridCol w:w="4343"/>
      </w:tblGrid>
      <w:tr w:rsidR="00CE7F66" w:rsidRPr="002C21B8" w14:paraId="03AA268F" w14:textId="77777777" w:rsidTr="00960A9F">
        <w:tc>
          <w:tcPr>
            <w:tcW w:w="2405" w:type="dxa"/>
            <w:tcBorders>
              <w:top w:val="single" w:sz="12" w:space="0" w:color="000000" w:themeColor="text1"/>
              <w:bottom w:val="single" w:sz="4" w:space="0" w:color="000000" w:themeColor="text1"/>
            </w:tcBorders>
            <w:shd w:val="clear" w:color="auto" w:fill="auto"/>
          </w:tcPr>
          <w:p w14:paraId="67211F71" w14:textId="77777777" w:rsidR="00CE7F66" w:rsidRPr="002C21B8" w:rsidRDefault="00CE7F66" w:rsidP="003D2717">
            <w:pPr>
              <w:spacing w:before="60" w:after="60" w:line="240" w:lineRule="auto"/>
              <w:rPr>
                <w:b/>
                <w:bCs/>
                <w:sz w:val="18"/>
                <w:szCs w:val="18"/>
              </w:rPr>
            </w:pPr>
            <w:r w:rsidRPr="002C21B8">
              <w:rPr>
                <w:b/>
                <w:bCs/>
                <w:sz w:val="18"/>
                <w:szCs w:val="18"/>
              </w:rPr>
              <w:t>Quantitative research</w:t>
            </w:r>
          </w:p>
        </w:tc>
        <w:tc>
          <w:tcPr>
            <w:tcW w:w="2268" w:type="dxa"/>
            <w:tcBorders>
              <w:top w:val="single" w:sz="12" w:space="0" w:color="000000" w:themeColor="text1"/>
              <w:bottom w:val="single" w:sz="4" w:space="0" w:color="000000" w:themeColor="text1"/>
            </w:tcBorders>
            <w:shd w:val="clear" w:color="auto" w:fill="auto"/>
          </w:tcPr>
          <w:p w14:paraId="7CC019D3" w14:textId="77777777" w:rsidR="00CE7F66" w:rsidRPr="002C21B8" w:rsidRDefault="00CE7F66" w:rsidP="003D2717">
            <w:pPr>
              <w:spacing w:before="60" w:after="60" w:line="240" w:lineRule="auto"/>
              <w:rPr>
                <w:b/>
                <w:bCs/>
                <w:sz w:val="18"/>
                <w:szCs w:val="18"/>
              </w:rPr>
            </w:pPr>
            <w:r w:rsidRPr="002C21B8">
              <w:rPr>
                <w:b/>
                <w:bCs/>
                <w:sz w:val="18"/>
                <w:szCs w:val="18"/>
              </w:rPr>
              <w:t>Qualitative research</w:t>
            </w:r>
          </w:p>
        </w:tc>
        <w:tc>
          <w:tcPr>
            <w:tcW w:w="4343" w:type="dxa"/>
            <w:tcBorders>
              <w:top w:val="single" w:sz="12" w:space="0" w:color="000000" w:themeColor="text1"/>
              <w:bottom w:val="single" w:sz="4" w:space="0" w:color="000000" w:themeColor="text1"/>
            </w:tcBorders>
            <w:shd w:val="clear" w:color="auto" w:fill="auto"/>
          </w:tcPr>
          <w:p w14:paraId="70ABA371" w14:textId="77777777" w:rsidR="00CE7F66" w:rsidRPr="002C21B8" w:rsidRDefault="00CE7F66" w:rsidP="003D2717">
            <w:pPr>
              <w:spacing w:before="60" w:after="60" w:line="240" w:lineRule="auto"/>
              <w:rPr>
                <w:b/>
                <w:bCs/>
                <w:sz w:val="18"/>
                <w:szCs w:val="18"/>
              </w:rPr>
            </w:pPr>
            <w:r w:rsidRPr="002C21B8">
              <w:rPr>
                <w:b/>
                <w:bCs/>
                <w:sz w:val="18"/>
                <w:szCs w:val="18"/>
              </w:rPr>
              <w:t>Explanation</w:t>
            </w:r>
          </w:p>
        </w:tc>
      </w:tr>
      <w:tr w:rsidR="00CE7F66" w:rsidRPr="002C21B8" w14:paraId="32115E72" w14:textId="77777777" w:rsidTr="00B723BA">
        <w:tc>
          <w:tcPr>
            <w:tcW w:w="2405" w:type="dxa"/>
            <w:tcBorders>
              <w:top w:val="single" w:sz="4" w:space="0" w:color="000000" w:themeColor="text1"/>
            </w:tcBorders>
            <w:shd w:val="clear" w:color="auto" w:fill="auto"/>
          </w:tcPr>
          <w:p w14:paraId="3195DCD8" w14:textId="77777777" w:rsidR="00CE7F66" w:rsidRPr="002C21B8" w:rsidRDefault="00CE7F66" w:rsidP="003D2717">
            <w:pPr>
              <w:spacing w:before="60" w:after="60" w:line="240" w:lineRule="auto"/>
              <w:rPr>
                <w:sz w:val="18"/>
                <w:szCs w:val="18"/>
              </w:rPr>
            </w:pPr>
            <w:r w:rsidRPr="002C21B8">
              <w:rPr>
                <w:sz w:val="18"/>
                <w:szCs w:val="18"/>
              </w:rPr>
              <w:t>Internal validity</w:t>
            </w:r>
          </w:p>
        </w:tc>
        <w:tc>
          <w:tcPr>
            <w:tcW w:w="2268" w:type="dxa"/>
            <w:tcBorders>
              <w:top w:val="single" w:sz="4" w:space="0" w:color="000000" w:themeColor="text1"/>
            </w:tcBorders>
            <w:shd w:val="clear" w:color="auto" w:fill="auto"/>
          </w:tcPr>
          <w:p w14:paraId="5D461A57" w14:textId="77777777" w:rsidR="00CE7F66" w:rsidRPr="002C21B8" w:rsidRDefault="00CE7F66" w:rsidP="003D2717">
            <w:pPr>
              <w:spacing w:before="60" w:after="60" w:line="240" w:lineRule="auto"/>
              <w:rPr>
                <w:sz w:val="18"/>
                <w:szCs w:val="18"/>
              </w:rPr>
            </w:pPr>
            <w:r w:rsidRPr="002C21B8">
              <w:rPr>
                <w:sz w:val="18"/>
                <w:szCs w:val="18"/>
              </w:rPr>
              <w:t>Credibility</w:t>
            </w:r>
          </w:p>
        </w:tc>
        <w:tc>
          <w:tcPr>
            <w:tcW w:w="4343" w:type="dxa"/>
            <w:tcBorders>
              <w:top w:val="single" w:sz="4" w:space="0" w:color="000000" w:themeColor="text1"/>
            </w:tcBorders>
            <w:shd w:val="clear" w:color="auto" w:fill="auto"/>
          </w:tcPr>
          <w:p w14:paraId="656D6D92" w14:textId="3B30C225" w:rsidR="00CE7F66" w:rsidRPr="002C21B8" w:rsidRDefault="00CE7F66" w:rsidP="003D2717">
            <w:pPr>
              <w:spacing w:before="60" w:after="60" w:line="240" w:lineRule="auto"/>
              <w:rPr>
                <w:sz w:val="18"/>
                <w:szCs w:val="18"/>
              </w:rPr>
            </w:pPr>
            <w:r w:rsidRPr="002C21B8">
              <w:rPr>
                <w:sz w:val="18"/>
                <w:szCs w:val="18"/>
              </w:rPr>
              <w:t>The degree of confidence in the findings</w:t>
            </w:r>
          </w:p>
        </w:tc>
      </w:tr>
      <w:tr w:rsidR="00CE7F66" w:rsidRPr="002C21B8" w14:paraId="246FEF6B" w14:textId="77777777" w:rsidTr="00B723BA">
        <w:tc>
          <w:tcPr>
            <w:tcW w:w="2405" w:type="dxa"/>
            <w:shd w:val="clear" w:color="auto" w:fill="auto"/>
          </w:tcPr>
          <w:p w14:paraId="5F60FE2C" w14:textId="77777777" w:rsidR="00CE7F66" w:rsidRPr="002C21B8" w:rsidRDefault="00CE7F66" w:rsidP="003D2717">
            <w:pPr>
              <w:spacing w:before="60" w:after="60" w:line="240" w:lineRule="auto"/>
              <w:rPr>
                <w:sz w:val="18"/>
                <w:szCs w:val="18"/>
              </w:rPr>
            </w:pPr>
            <w:r w:rsidRPr="002C21B8">
              <w:rPr>
                <w:sz w:val="18"/>
                <w:szCs w:val="18"/>
              </w:rPr>
              <w:t>External validity</w:t>
            </w:r>
          </w:p>
        </w:tc>
        <w:tc>
          <w:tcPr>
            <w:tcW w:w="2268" w:type="dxa"/>
            <w:shd w:val="clear" w:color="auto" w:fill="auto"/>
          </w:tcPr>
          <w:p w14:paraId="2703D81F" w14:textId="77777777" w:rsidR="00CE7F66" w:rsidRPr="002C21B8" w:rsidRDefault="00CE7F66" w:rsidP="003D2717">
            <w:pPr>
              <w:spacing w:before="60" w:after="60" w:line="240" w:lineRule="auto"/>
              <w:rPr>
                <w:sz w:val="18"/>
                <w:szCs w:val="18"/>
              </w:rPr>
            </w:pPr>
            <w:r w:rsidRPr="002C21B8">
              <w:rPr>
                <w:sz w:val="18"/>
                <w:szCs w:val="18"/>
              </w:rPr>
              <w:t>Transferability</w:t>
            </w:r>
          </w:p>
        </w:tc>
        <w:tc>
          <w:tcPr>
            <w:tcW w:w="4343" w:type="dxa"/>
            <w:shd w:val="clear" w:color="auto" w:fill="auto"/>
          </w:tcPr>
          <w:p w14:paraId="5986D395" w14:textId="434BB651" w:rsidR="00CE7F66" w:rsidRPr="002C21B8" w:rsidRDefault="00CE7F66" w:rsidP="003D2717">
            <w:pPr>
              <w:spacing w:before="60" w:after="60" w:line="240" w:lineRule="auto"/>
              <w:rPr>
                <w:sz w:val="18"/>
                <w:szCs w:val="18"/>
              </w:rPr>
            </w:pPr>
            <w:r w:rsidRPr="002C21B8">
              <w:rPr>
                <w:sz w:val="18"/>
                <w:szCs w:val="18"/>
              </w:rPr>
              <w:t>The extent to which the findings have applications in other contexts</w:t>
            </w:r>
          </w:p>
        </w:tc>
      </w:tr>
      <w:tr w:rsidR="00CE7F66" w:rsidRPr="002C21B8" w14:paraId="5D19EE6C" w14:textId="77777777" w:rsidTr="00B723BA">
        <w:tc>
          <w:tcPr>
            <w:tcW w:w="2405" w:type="dxa"/>
            <w:shd w:val="clear" w:color="auto" w:fill="auto"/>
          </w:tcPr>
          <w:p w14:paraId="7540B21C" w14:textId="77777777" w:rsidR="00CE7F66" w:rsidRPr="002C21B8" w:rsidRDefault="00CE7F66" w:rsidP="003D2717">
            <w:pPr>
              <w:spacing w:before="60" w:after="60" w:line="240" w:lineRule="auto"/>
              <w:rPr>
                <w:sz w:val="18"/>
                <w:szCs w:val="18"/>
              </w:rPr>
            </w:pPr>
            <w:r w:rsidRPr="002C21B8">
              <w:rPr>
                <w:sz w:val="18"/>
                <w:szCs w:val="18"/>
              </w:rPr>
              <w:t>Reliability</w:t>
            </w:r>
          </w:p>
        </w:tc>
        <w:tc>
          <w:tcPr>
            <w:tcW w:w="2268" w:type="dxa"/>
            <w:shd w:val="clear" w:color="auto" w:fill="auto"/>
          </w:tcPr>
          <w:p w14:paraId="4DFDDEFF" w14:textId="77777777" w:rsidR="00CE7F66" w:rsidRPr="002C21B8" w:rsidRDefault="00CE7F66" w:rsidP="003D2717">
            <w:pPr>
              <w:spacing w:before="60" w:after="60" w:line="240" w:lineRule="auto"/>
              <w:rPr>
                <w:sz w:val="18"/>
                <w:szCs w:val="18"/>
              </w:rPr>
            </w:pPr>
            <w:r w:rsidRPr="002C21B8">
              <w:rPr>
                <w:sz w:val="18"/>
                <w:szCs w:val="18"/>
              </w:rPr>
              <w:t>Dependability</w:t>
            </w:r>
          </w:p>
        </w:tc>
        <w:tc>
          <w:tcPr>
            <w:tcW w:w="4343" w:type="dxa"/>
            <w:shd w:val="clear" w:color="auto" w:fill="auto"/>
          </w:tcPr>
          <w:p w14:paraId="1F60BC06" w14:textId="4A9E1545" w:rsidR="00CE7F66" w:rsidRPr="002C21B8" w:rsidRDefault="00CE7F66" w:rsidP="003D2717">
            <w:pPr>
              <w:spacing w:before="60" w:after="60" w:line="240" w:lineRule="auto"/>
              <w:rPr>
                <w:sz w:val="18"/>
                <w:szCs w:val="18"/>
              </w:rPr>
            </w:pPr>
            <w:r w:rsidRPr="002C21B8">
              <w:rPr>
                <w:sz w:val="18"/>
                <w:szCs w:val="18"/>
              </w:rPr>
              <w:t>The extent to which the findings are consistent and could be replicated</w:t>
            </w:r>
          </w:p>
        </w:tc>
      </w:tr>
      <w:tr w:rsidR="00CE7F66" w:rsidRPr="002C21B8" w14:paraId="5E61D306" w14:textId="77777777" w:rsidTr="00B723BA">
        <w:tc>
          <w:tcPr>
            <w:tcW w:w="2405" w:type="dxa"/>
            <w:tcBorders>
              <w:bottom w:val="single" w:sz="12" w:space="0" w:color="000000" w:themeColor="text1"/>
            </w:tcBorders>
            <w:shd w:val="clear" w:color="auto" w:fill="auto"/>
          </w:tcPr>
          <w:p w14:paraId="46DC8092" w14:textId="77777777" w:rsidR="00CE7F66" w:rsidRPr="002C21B8" w:rsidRDefault="00CE7F66" w:rsidP="003D2717">
            <w:pPr>
              <w:spacing w:before="60" w:after="60" w:line="240" w:lineRule="auto"/>
              <w:rPr>
                <w:sz w:val="18"/>
                <w:szCs w:val="18"/>
              </w:rPr>
            </w:pPr>
            <w:r w:rsidRPr="002C21B8">
              <w:rPr>
                <w:sz w:val="18"/>
                <w:szCs w:val="18"/>
              </w:rPr>
              <w:t>Objectivity</w:t>
            </w:r>
          </w:p>
        </w:tc>
        <w:tc>
          <w:tcPr>
            <w:tcW w:w="2268" w:type="dxa"/>
            <w:tcBorders>
              <w:bottom w:val="single" w:sz="12" w:space="0" w:color="000000" w:themeColor="text1"/>
            </w:tcBorders>
            <w:shd w:val="clear" w:color="auto" w:fill="auto"/>
          </w:tcPr>
          <w:p w14:paraId="143D4AFE" w14:textId="77777777" w:rsidR="00CE7F66" w:rsidRPr="002C21B8" w:rsidRDefault="00CE7F66" w:rsidP="003D2717">
            <w:pPr>
              <w:spacing w:before="60" w:after="60" w:line="240" w:lineRule="auto"/>
              <w:rPr>
                <w:sz w:val="18"/>
                <w:szCs w:val="18"/>
              </w:rPr>
            </w:pPr>
            <w:r w:rsidRPr="002C21B8">
              <w:rPr>
                <w:sz w:val="18"/>
                <w:szCs w:val="18"/>
              </w:rPr>
              <w:t>Confirmability</w:t>
            </w:r>
          </w:p>
        </w:tc>
        <w:tc>
          <w:tcPr>
            <w:tcW w:w="4343" w:type="dxa"/>
            <w:tcBorders>
              <w:bottom w:val="single" w:sz="12" w:space="0" w:color="000000" w:themeColor="text1"/>
            </w:tcBorders>
            <w:shd w:val="clear" w:color="auto" w:fill="auto"/>
          </w:tcPr>
          <w:p w14:paraId="0E729F9C" w14:textId="4803D95C" w:rsidR="00CE7F66" w:rsidRPr="002C21B8" w:rsidRDefault="00CE7F66" w:rsidP="003D2717">
            <w:pPr>
              <w:spacing w:before="60" w:after="60" w:line="240" w:lineRule="auto"/>
              <w:rPr>
                <w:sz w:val="18"/>
                <w:szCs w:val="18"/>
              </w:rPr>
            </w:pPr>
            <w:r w:rsidRPr="002C21B8">
              <w:rPr>
                <w:sz w:val="18"/>
                <w:szCs w:val="18"/>
              </w:rPr>
              <w:t xml:space="preserve">The degree of neutrality or extent to which the findings are shaped by the respondents and not </w:t>
            </w:r>
            <w:r w:rsidR="00B034DB" w:rsidRPr="002C21B8">
              <w:rPr>
                <w:sz w:val="18"/>
                <w:szCs w:val="18"/>
              </w:rPr>
              <w:t xml:space="preserve">by </w:t>
            </w:r>
            <w:r w:rsidR="00A27634" w:rsidRPr="002C21B8">
              <w:rPr>
                <w:sz w:val="18"/>
                <w:szCs w:val="18"/>
              </w:rPr>
              <w:t xml:space="preserve">the </w:t>
            </w:r>
            <w:r w:rsidRPr="002C21B8">
              <w:rPr>
                <w:sz w:val="18"/>
                <w:szCs w:val="18"/>
              </w:rPr>
              <w:t>researcher</w:t>
            </w:r>
            <w:r w:rsidR="00A27634" w:rsidRPr="002C21B8">
              <w:rPr>
                <w:sz w:val="18"/>
                <w:szCs w:val="18"/>
              </w:rPr>
              <w:t>’s</w:t>
            </w:r>
            <w:r w:rsidRPr="002C21B8">
              <w:rPr>
                <w:sz w:val="18"/>
                <w:szCs w:val="18"/>
              </w:rPr>
              <w:t xml:space="preserve"> bias</w:t>
            </w:r>
            <w:r w:rsidR="00C32EAE" w:rsidRPr="002C21B8">
              <w:rPr>
                <w:sz w:val="18"/>
                <w:szCs w:val="18"/>
              </w:rPr>
              <w:t>es</w:t>
            </w:r>
            <w:r w:rsidRPr="002C21B8">
              <w:rPr>
                <w:sz w:val="18"/>
                <w:szCs w:val="18"/>
              </w:rPr>
              <w:t>, motivation or interest</w:t>
            </w:r>
          </w:p>
        </w:tc>
      </w:tr>
    </w:tbl>
    <w:p w14:paraId="69E98596" w14:textId="77777777" w:rsidR="00CE7F66" w:rsidRPr="002C21B8" w:rsidRDefault="00CE7F66" w:rsidP="003D2717">
      <w:pPr>
        <w:spacing w:line="240" w:lineRule="auto"/>
        <w:rPr>
          <w:sz w:val="20"/>
          <w:szCs w:val="20"/>
        </w:rPr>
      </w:pPr>
    </w:p>
    <w:p w14:paraId="70706A3D" w14:textId="511CC2C2" w:rsidR="00D0412A" w:rsidRPr="002C21B8" w:rsidRDefault="00D0412A" w:rsidP="003374F4">
      <w:r w:rsidRPr="002C21B8">
        <w:t xml:space="preserve">Phase-specific approaches </w:t>
      </w:r>
      <w:r w:rsidR="007935BC" w:rsidRPr="002C21B8">
        <w:t xml:space="preserve">taken to ensure rigour and trustworthiness </w:t>
      </w:r>
      <w:r w:rsidRPr="002C21B8">
        <w:t>are outlined below, followed by considerations</w:t>
      </w:r>
      <w:r w:rsidR="00716253" w:rsidRPr="002C21B8">
        <w:t xml:space="preserve"> at the </w:t>
      </w:r>
      <w:r w:rsidR="003A5867" w:rsidRPr="002C21B8">
        <w:t xml:space="preserve">broader </w:t>
      </w:r>
      <w:r w:rsidR="00716253" w:rsidRPr="002C21B8">
        <w:t>programme level.</w:t>
      </w:r>
    </w:p>
    <w:p w14:paraId="740283B4" w14:textId="247A2AE4" w:rsidR="00356EFF" w:rsidRPr="002C21B8" w:rsidRDefault="00356EFF" w:rsidP="003374F4">
      <w:r w:rsidRPr="002C21B8">
        <w:t>In Phase 1 (</w:t>
      </w:r>
      <w:r w:rsidR="00CC3A99" w:rsidRPr="002C21B8">
        <w:t>systematic review</w:t>
      </w:r>
      <w:r w:rsidRPr="002C21B8">
        <w:t>)</w:t>
      </w:r>
      <w:r w:rsidR="00CC3A99" w:rsidRPr="002C21B8">
        <w:t xml:space="preserve">, </w:t>
      </w:r>
      <w:r w:rsidR="00666E28" w:rsidRPr="002C21B8">
        <w:t xml:space="preserve">the </w:t>
      </w:r>
      <w:r w:rsidR="00CC3A99" w:rsidRPr="002C21B8">
        <w:t xml:space="preserve">Cochrane Handbook for Systematic Reviews of Interventions </w:t>
      </w:r>
      <w:r w:rsidR="00455B2B"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455B2B" w:rsidRPr="002C21B8">
        <w:fldChar w:fldCharType="separate"/>
      </w:r>
      <w:r w:rsidR="00A46115" w:rsidRPr="002C21B8">
        <w:rPr>
          <w:noProof/>
        </w:rPr>
        <w:t>(Higgins and Green, 2024)</w:t>
      </w:r>
      <w:r w:rsidR="00455B2B" w:rsidRPr="002C21B8">
        <w:fldChar w:fldCharType="end"/>
      </w:r>
      <w:r w:rsidR="00666E28" w:rsidRPr="002C21B8">
        <w:t xml:space="preserve"> was used to provide a </w:t>
      </w:r>
      <w:r w:rsidR="00CC3A99" w:rsidRPr="002C21B8">
        <w:t>structured approach to study identification, selection, data extraction and synthesis</w:t>
      </w:r>
      <w:r w:rsidR="00666E28" w:rsidRPr="002C21B8">
        <w:t>. This enhanced both the transparency and reproducibility of the review methods. Methodological quality of the included systematic reviews was assessed using the Assessing the Methodological Quality of Systematic Reviews (</w:t>
      </w:r>
      <w:r w:rsidR="00CC3A99" w:rsidRPr="002C21B8">
        <w:t>AMSTAR</w:t>
      </w:r>
      <w:r w:rsidR="00666E28" w:rsidRPr="002C21B8">
        <w:t>)</w:t>
      </w:r>
      <w:r w:rsidR="00CC3A99" w:rsidRPr="002C21B8">
        <w:t xml:space="preserve"> 2 critical appraisal tool</w:t>
      </w:r>
      <w:r w:rsidR="00666E28" w:rsidRPr="002C21B8">
        <w:t xml:space="preserve"> </w:t>
      </w:r>
      <w:r w:rsidR="00CC3A99"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00CC3A99" w:rsidRPr="002C21B8">
        <w:instrText xml:space="preserve"> ADDIN EN.CITE </w:instrText>
      </w:r>
      <w:r w:rsidR="00CC3A99"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00CC3A99" w:rsidRPr="002C21B8">
        <w:instrText xml:space="preserve"> ADDIN EN.CITE.DATA </w:instrText>
      </w:r>
      <w:r w:rsidR="00CC3A99" w:rsidRPr="002C21B8">
        <w:fldChar w:fldCharType="end"/>
      </w:r>
      <w:r w:rsidR="00CC3A99" w:rsidRPr="002C21B8">
        <w:fldChar w:fldCharType="separate"/>
      </w:r>
      <w:r w:rsidR="00CC3A99" w:rsidRPr="002C21B8">
        <w:rPr>
          <w:noProof/>
        </w:rPr>
        <w:t>(Shea</w:t>
      </w:r>
      <w:r w:rsidR="00CC3A99" w:rsidRPr="002C21B8">
        <w:rPr>
          <w:i/>
          <w:noProof/>
        </w:rPr>
        <w:t xml:space="preserve"> et al.</w:t>
      </w:r>
      <w:r w:rsidR="00CC3A99" w:rsidRPr="002C21B8">
        <w:rPr>
          <w:noProof/>
        </w:rPr>
        <w:t>, 2017)</w:t>
      </w:r>
      <w:r w:rsidR="00CC3A99" w:rsidRPr="002C21B8">
        <w:fldChar w:fldCharType="end"/>
      </w:r>
      <w:r w:rsidR="00CC3A99" w:rsidRPr="002C21B8">
        <w:t xml:space="preserve">. </w:t>
      </w:r>
      <w:r w:rsidR="00666E28" w:rsidRPr="002C21B8">
        <w:t xml:space="preserve">This provided a systematic appraisal of the risk of bias and robustness of the included reviews. Where qualitative evidence was included, the Confidence of Evidence </w:t>
      </w:r>
      <w:r w:rsidR="003E7DF3" w:rsidRPr="002C21B8">
        <w:t>form Reviews of Qualitative research (</w:t>
      </w:r>
      <w:r w:rsidR="00666E28" w:rsidRPr="002C21B8">
        <w:t>GRADE-CERQual</w:t>
      </w:r>
      <w:r w:rsidR="003E7DF3" w:rsidRPr="002C21B8">
        <w:t>)</w:t>
      </w:r>
      <w:r w:rsidR="00666E28" w:rsidRPr="002C21B8">
        <w:t xml:space="preserve"> tool was used when considering the confidence in the synthesised qualitative findings. Together, these approaches strengthened the </w:t>
      </w:r>
      <w:r w:rsidR="003E7DF3" w:rsidRPr="002C21B8">
        <w:t xml:space="preserve">methodological </w:t>
      </w:r>
      <w:r w:rsidR="00666E28" w:rsidRPr="002C21B8">
        <w:t>rigour of the review process and the trustworthiness of the synthesised findings.</w:t>
      </w:r>
    </w:p>
    <w:p w14:paraId="241BB26D" w14:textId="7822958E" w:rsidR="008D3E42" w:rsidRPr="002C21B8" w:rsidRDefault="00D0412A" w:rsidP="003374F4">
      <w:r w:rsidRPr="002C21B8">
        <w:t>In</w:t>
      </w:r>
      <w:r w:rsidR="00623F01" w:rsidRPr="002C21B8">
        <w:t xml:space="preserve"> Phase </w:t>
      </w:r>
      <w:r w:rsidR="00356EFF" w:rsidRPr="002C21B8">
        <w:t>2</w:t>
      </w:r>
      <w:r w:rsidR="008F3997" w:rsidRPr="002C21B8">
        <w:t xml:space="preserve"> </w:t>
      </w:r>
      <w:r w:rsidR="00623F01" w:rsidRPr="002C21B8">
        <w:t>(</w:t>
      </w:r>
      <w:r w:rsidR="00F00B21" w:rsidRPr="002C21B8">
        <w:t xml:space="preserve">analysis of </w:t>
      </w:r>
      <w:r w:rsidR="00AC75B3" w:rsidRPr="002C21B8">
        <w:t>registry</w:t>
      </w:r>
      <w:r w:rsidR="00C910D9" w:rsidRPr="002C21B8">
        <w:t xml:space="preserve"> data</w:t>
      </w:r>
      <w:r w:rsidR="00623F01" w:rsidRPr="002C21B8">
        <w:t>)</w:t>
      </w:r>
      <w:r w:rsidR="00C910D9" w:rsidRPr="002C21B8">
        <w:t>,</w:t>
      </w:r>
      <w:r w:rsidR="00623F01" w:rsidRPr="002C21B8">
        <w:t xml:space="preserve"> </w:t>
      </w:r>
      <w:r w:rsidR="007207FF" w:rsidRPr="002C21B8">
        <w:t>processes to</w:t>
      </w:r>
      <w:r w:rsidR="008D3E42" w:rsidRPr="002C21B8">
        <w:t xml:space="preserve"> ensure methodological rigour</w:t>
      </w:r>
      <w:r w:rsidR="007207FF" w:rsidRPr="002C21B8">
        <w:t xml:space="preserve"> </w:t>
      </w:r>
      <w:r w:rsidR="008D3E42" w:rsidRPr="002C21B8">
        <w:t>followed</w:t>
      </w:r>
      <w:r w:rsidR="007207FF" w:rsidRPr="002C21B8">
        <w:t xml:space="preserve"> guidance for registry-based research</w:t>
      </w:r>
      <w:r w:rsidR="00344152" w:rsidRPr="002C21B8">
        <w:t xml:space="preserve">. This </w:t>
      </w:r>
      <w:r w:rsidR="007207FF" w:rsidRPr="002C21B8">
        <w:t xml:space="preserve">emphasises the importance of data quality assurance, standardised definitions and transparent analytic methods to support </w:t>
      </w:r>
      <w:r w:rsidR="00B914C9" w:rsidRPr="002C21B8">
        <w:t xml:space="preserve">the </w:t>
      </w:r>
      <w:r w:rsidR="007207FF" w:rsidRPr="002C21B8">
        <w:t xml:space="preserve">validity and reliability of findings </w:t>
      </w:r>
      <w:r w:rsidR="008D3E42" w:rsidRPr="002C21B8">
        <w:fldChar w:fldCharType="begin"/>
      </w:r>
      <w:r w:rsidR="00D27FD1" w:rsidRPr="002C21B8">
        <w:instrText xml:space="preserve"> ADDIN EN.CITE &lt;EndNote&gt;&lt;Cite&gt;&lt;Author&gt;Gliklich&lt;/Author&gt;&lt;Year&gt;2014&lt;/Year&gt;&lt;RecNum&gt;5358&lt;/RecNum&gt;&lt;DisplayText&gt;(Gliklich, Dreyer and Leavy, 2014)&lt;/DisplayText&gt;&lt;record&gt;&lt;rec-number&gt;5358&lt;/rec-number&gt;&lt;foreign-keys&gt;&lt;key app="EN" db-id="xpefzwa5hf9dt2ea9fax95x7xvxz90v09dtf" timestamp="1701683121"&gt;5358&lt;/key&gt;&lt;/foreign-keys&gt;&lt;ref-type name="Web Page"&gt;12&lt;/ref-type&gt;&lt;contributors&gt;&lt;authors&gt;&lt;author&gt;Gliklich, Richard E&lt;/author&gt;&lt;author&gt;Dreyer, Nancy A&lt;/author&gt;&lt;author&gt;Leavy, Michelle B&lt;/author&gt;&lt;/authors&gt;&lt;/contributors&gt;&lt;titles&gt;&lt;title&gt;Registries for evaluating patient outcomes: a user’s guide&lt;/title&gt;&lt;/titles&gt;&lt;number&gt;28/04/2026)&lt;/number&gt;&lt;dates&gt;&lt;year&gt;2014&lt;/year&gt;&lt;/dates&gt;&lt;isbn&gt;1587634333&lt;/isbn&gt;&lt;urls&gt;&lt;related-urls&gt;&lt;url&gt;https://effectivehealthcare.ahrq.gov/sites/default/files/pdf/registries-evaluating-patient-outcomes-4th-edition.pdf&lt;/url&gt;&lt;/related-urls&gt;&lt;/urls&gt;&lt;/record&gt;&lt;/Cite&gt;&lt;/EndNote&gt;</w:instrText>
      </w:r>
      <w:r w:rsidR="008D3E42" w:rsidRPr="002C21B8">
        <w:fldChar w:fldCharType="separate"/>
      </w:r>
      <w:r w:rsidR="008D3E42" w:rsidRPr="002C21B8">
        <w:rPr>
          <w:noProof/>
        </w:rPr>
        <w:t>(Gliklich, Dreyer and Leavy, 2014)</w:t>
      </w:r>
      <w:r w:rsidR="008D3E42" w:rsidRPr="002C21B8">
        <w:fldChar w:fldCharType="end"/>
      </w:r>
      <w:r w:rsidR="007207FF" w:rsidRPr="002C21B8">
        <w:t>.</w:t>
      </w:r>
      <w:r w:rsidR="008D3E42" w:rsidRPr="002C21B8">
        <w:t xml:space="preserve"> S</w:t>
      </w:r>
      <w:r w:rsidR="007207FF" w:rsidRPr="002C21B8">
        <w:t>ystematic data</w:t>
      </w:r>
      <w:r w:rsidR="00CC1E3F" w:rsidRPr="002C21B8">
        <w:t xml:space="preserve"> cleaning</w:t>
      </w:r>
      <w:r w:rsidR="007207FF" w:rsidRPr="002C21B8">
        <w:t xml:space="preserve"> and </w:t>
      </w:r>
      <w:r w:rsidR="008D3E42" w:rsidRPr="002C21B8">
        <w:t>validation</w:t>
      </w:r>
      <w:r w:rsidR="007207FF" w:rsidRPr="002C21B8">
        <w:t xml:space="preserve"> w</w:t>
      </w:r>
      <w:r w:rsidR="00F710C7" w:rsidRPr="002C21B8">
        <w:t>ere</w:t>
      </w:r>
      <w:r w:rsidR="007207FF" w:rsidRPr="002C21B8">
        <w:t xml:space="preserve"> undertaken </w:t>
      </w:r>
      <w:r w:rsidR="00F710C7" w:rsidRPr="002C21B8">
        <w:t>to ensure data accuracy</w:t>
      </w:r>
      <w:r w:rsidR="00CC1E3F" w:rsidRPr="002C21B8">
        <w:t xml:space="preserve"> and support internal validity</w:t>
      </w:r>
      <w:r w:rsidR="00F710C7" w:rsidRPr="002C21B8">
        <w:t>. Implausible or erroneous entries were managed according to predefined criteria</w:t>
      </w:r>
      <w:r w:rsidR="007B673D" w:rsidRPr="002C21B8">
        <w:t xml:space="preserve">. </w:t>
      </w:r>
      <w:r w:rsidR="007207FF" w:rsidRPr="002C21B8">
        <w:t>Exposures, outcomes and covariates were clearly defined</w:t>
      </w:r>
      <w:r w:rsidR="006A4A99" w:rsidRPr="002C21B8">
        <w:t xml:space="preserve"> before</w:t>
      </w:r>
      <w:r w:rsidR="007207FF" w:rsidRPr="002C21B8">
        <w:t xml:space="preserve"> the quantitative analysis</w:t>
      </w:r>
      <w:r w:rsidR="00CC1E3F" w:rsidRPr="002C21B8">
        <w:t xml:space="preserve">. </w:t>
      </w:r>
      <w:r w:rsidR="007207FF" w:rsidRPr="002C21B8">
        <w:t xml:space="preserve">To enable </w:t>
      </w:r>
      <w:r w:rsidR="008D3E42" w:rsidRPr="002C21B8">
        <w:t>assessment of</w:t>
      </w:r>
      <w:r w:rsidR="007207FF" w:rsidRPr="002C21B8">
        <w:t xml:space="preserve"> external validity, the RaDaR dataset, </w:t>
      </w:r>
      <w:r w:rsidR="008D3E42" w:rsidRPr="002C21B8">
        <w:t>its</w:t>
      </w:r>
      <w:r w:rsidR="007207FF" w:rsidRPr="002C21B8">
        <w:t xml:space="preserve"> context and</w:t>
      </w:r>
      <w:r w:rsidR="004215FE" w:rsidRPr="002C21B8">
        <w:t xml:space="preserve"> the</w:t>
      </w:r>
      <w:r w:rsidR="007207FF" w:rsidRPr="002C21B8">
        <w:t xml:space="preserve"> number of UK kidney centres undergoing analysis w</w:t>
      </w:r>
      <w:r w:rsidR="008D3E42" w:rsidRPr="002C21B8">
        <w:t>ere</w:t>
      </w:r>
      <w:r w:rsidR="007207FF" w:rsidRPr="002C21B8">
        <w:t xml:space="preserve"> clearly described. </w:t>
      </w:r>
      <w:r w:rsidR="008D3E42" w:rsidRPr="002C21B8">
        <w:t xml:space="preserve">Analysis was conducted by the RaDaR </w:t>
      </w:r>
      <w:r w:rsidR="008D3E42" w:rsidRPr="002C21B8">
        <w:lastRenderedPageBreak/>
        <w:t xml:space="preserve">statistician following a statistical analysis plan that </w:t>
      </w:r>
      <w:r w:rsidR="00AB6884" w:rsidRPr="002C21B8">
        <w:t xml:space="preserve">I </w:t>
      </w:r>
      <w:r w:rsidR="008D3E42" w:rsidRPr="002C21B8">
        <w:t>developed</w:t>
      </w:r>
      <w:r w:rsidR="00D74316" w:rsidRPr="002C21B8">
        <w:t xml:space="preserve">. This </w:t>
      </w:r>
      <w:r w:rsidR="00AB6884" w:rsidRPr="002C21B8">
        <w:t>was</w:t>
      </w:r>
      <w:r w:rsidR="008D3E42" w:rsidRPr="002C21B8">
        <w:t xml:space="preserve"> </w:t>
      </w:r>
      <w:r w:rsidR="00D74316" w:rsidRPr="002C21B8">
        <w:t xml:space="preserve">also </w:t>
      </w:r>
      <w:r w:rsidR="008D3E42" w:rsidRPr="002C21B8">
        <w:t>reviewed by my supervisory team</w:t>
      </w:r>
      <w:r w:rsidR="00D74316" w:rsidRPr="002C21B8">
        <w:t>. This</w:t>
      </w:r>
      <w:r w:rsidR="008D3E42" w:rsidRPr="002C21B8">
        <w:t xml:space="preserve"> enhanc</w:t>
      </w:r>
      <w:r w:rsidR="00D74316" w:rsidRPr="002C21B8">
        <w:t>ed</w:t>
      </w:r>
      <w:r w:rsidR="008D3E42" w:rsidRPr="002C21B8">
        <w:t xml:space="preserve"> the consistency and </w:t>
      </w:r>
      <w:r w:rsidR="005043AE" w:rsidRPr="002C21B8">
        <w:t xml:space="preserve">supported the </w:t>
      </w:r>
      <w:r w:rsidR="008D3E42" w:rsidRPr="002C21B8">
        <w:t>reproducibility of the analysis.</w:t>
      </w:r>
    </w:p>
    <w:p w14:paraId="17DF297A" w14:textId="4D5B6C2E" w:rsidR="00C910D9" w:rsidRPr="002C21B8" w:rsidRDefault="007B673D" w:rsidP="00501017">
      <w:r w:rsidRPr="002C21B8">
        <w:t xml:space="preserve">In Phase </w:t>
      </w:r>
      <w:r w:rsidR="00356EFF" w:rsidRPr="002C21B8">
        <w:t>3</w:t>
      </w:r>
      <w:r w:rsidRPr="002C21B8">
        <w:t xml:space="preserve"> (multiple case study), </w:t>
      </w:r>
      <w:r w:rsidR="00C82A50" w:rsidRPr="002C21B8">
        <w:t xml:space="preserve">the study design and conduct were informed by established case study methodology </w:t>
      </w:r>
      <w:r w:rsidR="00C82A50" w:rsidRPr="002C21B8">
        <w:fldChar w:fldCharType="begin"/>
      </w:r>
      <w:r w:rsidR="0060457F" w:rsidRPr="002C21B8">
        <w:instrText xml:space="preserve"> ADDIN EN.CITE &lt;EndNote&gt;&lt;Cite&gt;&lt;Author&gt;Yin&lt;/Author&gt;&lt;Year&gt;2009&lt;/Year&gt;&lt;RecNum&gt;5549&lt;/RecNum&gt;&lt;DisplayText&gt;(Yin,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C82A50" w:rsidRPr="002C21B8">
        <w:fldChar w:fldCharType="separate"/>
      </w:r>
      <w:r w:rsidR="00C82A50" w:rsidRPr="002C21B8">
        <w:rPr>
          <w:noProof/>
        </w:rPr>
        <w:t>(Yin, 2009)</w:t>
      </w:r>
      <w:r w:rsidR="00C82A50" w:rsidRPr="002C21B8">
        <w:fldChar w:fldCharType="end"/>
      </w:r>
      <w:r w:rsidR="00C82A50" w:rsidRPr="002C21B8">
        <w:t xml:space="preserve"> and </w:t>
      </w:r>
      <w:r w:rsidR="00EA0DC4" w:rsidRPr="002C21B8">
        <w:t xml:space="preserve">guidance on conducting case study research in an applied health </w:t>
      </w:r>
      <w:r w:rsidR="00F710C7" w:rsidRPr="002C21B8">
        <w:fldChar w:fldCharType="begin"/>
      </w:r>
      <w:r w:rsidR="00763983" w:rsidRPr="002C21B8">
        <w:instrText xml:space="preserve"> ADDIN EN.CITE &lt;EndNote&gt;&lt;Cite&gt;&lt;Author&gt;Greenhalgh&lt;/Author&gt;&lt;Year&gt;2025&lt;/Year&gt;&lt;RecNum&gt;125287&lt;/RecNum&gt;&lt;DisplayText&gt;(Greenhalgh, 2025)&lt;/DisplayText&gt;&lt;record&gt;&lt;rec-number&gt;125287&lt;/rec-number&gt;&lt;foreign-keys&gt;&lt;key app="EN" db-id="xpefzwa5hf9dt2ea9fax95x7xvxz90v09dtf" timestamp="1774364060"&gt;125287&lt;/key&gt;&lt;/foreign-keys&gt;&lt;ref-type name="Journal Article"&gt;17&lt;/ref-type&gt;&lt;contributors&gt;&lt;authors&gt;&lt;author&gt;Greenhalgh, Trisha&lt;/author&gt;&lt;/authors&gt;&lt;/contributors&gt;&lt;titles&gt;&lt;title&gt;Case studies: a guide for researchers, educators, and implementers&lt;/title&gt;&lt;secondary-title&gt;BMJ Medicine&lt;/secondary-title&gt;&lt;/titles&gt;&lt;periodical&gt;&lt;full-title&gt;BMJ Medicine&lt;/full-title&gt;&lt;/periodical&gt;&lt;pages&gt;e001623&lt;/pages&gt;&lt;volume&gt;4&lt;/volume&gt;&lt;number&gt;1&lt;/number&gt;&lt;dates&gt;&lt;year&gt;2025&lt;/year&gt;&lt;/dates&gt;&lt;urls&gt;&lt;/urls&gt;&lt;/record&gt;&lt;/Cite&gt;&lt;/EndNote&gt;</w:instrText>
      </w:r>
      <w:r w:rsidR="00F710C7" w:rsidRPr="002C21B8">
        <w:fldChar w:fldCharType="separate"/>
      </w:r>
      <w:r w:rsidR="00F710C7" w:rsidRPr="002C21B8">
        <w:rPr>
          <w:noProof/>
        </w:rPr>
        <w:t>(Greenhalgh, 2025)</w:t>
      </w:r>
      <w:r w:rsidR="00F710C7" w:rsidRPr="002C21B8">
        <w:fldChar w:fldCharType="end"/>
      </w:r>
      <w:r w:rsidR="00501017" w:rsidRPr="002C21B8">
        <w:t>.</w:t>
      </w:r>
      <w:r w:rsidR="00C82A50" w:rsidRPr="002C21B8">
        <w:t xml:space="preserve"> Credibility was enhanced through several approaches. P</w:t>
      </w:r>
      <w:r w:rsidR="002426D2" w:rsidRPr="002C21B8">
        <w:t>urposive</w:t>
      </w:r>
      <w:r w:rsidR="00C82A50" w:rsidRPr="002C21B8">
        <w:t xml:space="preserve"> case</w:t>
      </w:r>
      <w:r w:rsidR="002426D2" w:rsidRPr="002C21B8">
        <w:t xml:space="preserve"> </w:t>
      </w:r>
      <w:r w:rsidR="00C82A50" w:rsidRPr="002C21B8">
        <w:t>selection</w:t>
      </w:r>
      <w:r w:rsidR="002426D2" w:rsidRPr="002C21B8">
        <w:t xml:space="preserve"> </w:t>
      </w:r>
      <w:r w:rsidR="00EA0DC4" w:rsidRPr="002C21B8">
        <w:t xml:space="preserve">was undertaken </w:t>
      </w:r>
      <w:r w:rsidR="002426D2" w:rsidRPr="002C21B8">
        <w:t xml:space="preserve">based on the quantitative findings from </w:t>
      </w:r>
      <w:r w:rsidR="00EA0DC4" w:rsidRPr="002C21B8">
        <w:t>the registry analysis</w:t>
      </w:r>
      <w:r w:rsidR="00B4309C" w:rsidRPr="002C21B8">
        <w:t xml:space="preserve"> to ensure the </w:t>
      </w:r>
      <w:r w:rsidR="00EA0DC4" w:rsidRPr="002C21B8">
        <w:t xml:space="preserve">cases reflected </w:t>
      </w:r>
      <w:r w:rsidR="00B4309C" w:rsidRPr="002C21B8">
        <w:t>divers</w:t>
      </w:r>
      <w:r w:rsidR="00EA0DC4" w:rsidRPr="002C21B8">
        <w:t>e</w:t>
      </w:r>
      <w:r w:rsidR="00B4309C" w:rsidRPr="002C21B8">
        <w:t xml:space="preserve"> practices and contexts</w:t>
      </w:r>
      <w:r w:rsidR="002426D2" w:rsidRPr="002C21B8">
        <w:t>.</w:t>
      </w:r>
      <w:r w:rsidRPr="002C21B8">
        <w:t xml:space="preserve"> </w:t>
      </w:r>
      <w:r w:rsidR="00501017" w:rsidRPr="002C21B8">
        <w:t xml:space="preserve">Iterative refinement </w:t>
      </w:r>
      <w:r w:rsidR="00B4309C" w:rsidRPr="002C21B8">
        <w:t>o</w:t>
      </w:r>
      <w:r w:rsidR="00501017" w:rsidRPr="002C21B8">
        <w:t xml:space="preserve">f the data collection tools </w:t>
      </w:r>
      <w:r w:rsidR="00883782" w:rsidRPr="002C21B8">
        <w:t xml:space="preserve">was undertaken </w:t>
      </w:r>
      <w:r w:rsidR="00501017" w:rsidRPr="002C21B8">
        <w:t xml:space="preserve">as </w:t>
      </w:r>
      <w:r w:rsidR="00883782" w:rsidRPr="002C21B8">
        <w:t xml:space="preserve">potential explanations were identified </w:t>
      </w:r>
      <w:r w:rsidR="00501017" w:rsidRPr="002C21B8">
        <w:t>during data collection. Within-method</w:t>
      </w:r>
      <w:r w:rsidR="003B729E" w:rsidRPr="002C21B8">
        <w:t xml:space="preserve"> data</w:t>
      </w:r>
      <w:r w:rsidR="00501017" w:rsidRPr="002C21B8">
        <w:t xml:space="preserve"> triangulation also supported the credibility of findings. </w:t>
      </w:r>
      <w:r w:rsidR="00623F01" w:rsidRPr="002C21B8">
        <w:t xml:space="preserve">Thick </w:t>
      </w:r>
      <w:r w:rsidR="0072030A" w:rsidRPr="002C21B8">
        <w:t>descriptions</w:t>
      </w:r>
      <w:r w:rsidR="00623F01" w:rsidRPr="002C21B8">
        <w:t xml:space="preserve"> of cases and context </w:t>
      </w:r>
      <w:r w:rsidR="00501017" w:rsidRPr="002C21B8">
        <w:t>enable</w:t>
      </w:r>
      <w:r w:rsidR="00883782" w:rsidRPr="002C21B8">
        <w:t xml:space="preserve"> the</w:t>
      </w:r>
      <w:r w:rsidR="00501017" w:rsidRPr="002C21B8">
        <w:t xml:space="preserve"> assessment of</w:t>
      </w:r>
      <w:r w:rsidR="00623F01" w:rsidRPr="002C21B8">
        <w:t xml:space="preserve"> transferability</w:t>
      </w:r>
      <w:r w:rsidR="00356EFF" w:rsidRPr="002C21B8">
        <w:t>.</w:t>
      </w:r>
      <w:r w:rsidR="00623F01" w:rsidRPr="002C21B8">
        <w:t xml:space="preserve"> Dependability was </w:t>
      </w:r>
      <w:r w:rsidR="00134A34" w:rsidRPr="002C21B8">
        <w:t>supported</w:t>
      </w:r>
      <w:r w:rsidR="00623F01" w:rsidRPr="002C21B8">
        <w:t xml:space="preserve"> through detailed </w:t>
      </w:r>
      <w:r w:rsidR="00134A34" w:rsidRPr="002C21B8">
        <w:t>fieldnotes</w:t>
      </w:r>
      <w:r w:rsidR="00623F01" w:rsidRPr="002C21B8">
        <w:t xml:space="preserve">, coding frameworks and an audit trail of analytic decisions. </w:t>
      </w:r>
      <w:r w:rsidR="0066434E" w:rsidRPr="002C21B8">
        <w:t>D</w:t>
      </w:r>
      <w:r w:rsidR="00F710C7" w:rsidRPr="002C21B8">
        <w:t xml:space="preserve">ebriefing </w:t>
      </w:r>
      <w:r w:rsidR="0066434E" w:rsidRPr="002C21B8">
        <w:t xml:space="preserve">with my supervisors </w:t>
      </w:r>
      <w:r w:rsidR="00F710C7" w:rsidRPr="002C21B8">
        <w:t xml:space="preserve">strengthened confirmability by </w:t>
      </w:r>
      <w:r w:rsidR="00A6311D" w:rsidRPr="002C21B8">
        <w:t xml:space="preserve">enabling ongoing reflection on how </w:t>
      </w:r>
      <w:r w:rsidR="00EA5933" w:rsidRPr="002C21B8">
        <w:t xml:space="preserve">my assumptions and </w:t>
      </w:r>
      <w:r w:rsidR="00A6311D" w:rsidRPr="002C21B8">
        <w:t>perspectives may have influenced the research</w:t>
      </w:r>
      <w:r w:rsidR="00F710C7" w:rsidRPr="002C21B8">
        <w:t xml:space="preserve">. </w:t>
      </w:r>
      <w:r w:rsidR="00501017" w:rsidRPr="002C21B8">
        <w:t xml:space="preserve">Finally, </w:t>
      </w:r>
      <w:r w:rsidR="00F710C7" w:rsidRPr="002C21B8">
        <w:t>access to detailed prescribing practices of centres from the registry was not used during primary qualitative data collection and analysis to minimise preconceptions</w:t>
      </w:r>
      <w:r w:rsidR="0080346D" w:rsidRPr="002C21B8">
        <w:t xml:space="preserve"> potentially</w:t>
      </w:r>
      <w:r w:rsidR="00F710C7" w:rsidRPr="002C21B8">
        <w:t xml:space="preserve"> influencing interpretations.</w:t>
      </w:r>
    </w:p>
    <w:p w14:paraId="5D2282A3" w14:textId="50C849CB" w:rsidR="00C910D9" w:rsidRPr="002C21B8" w:rsidRDefault="00D0412A" w:rsidP="003374F4">
      <w:r w:rsidRPr="002C21B8">
        <w:t>In</w:t>
      </w:r>
      <w:r w:rsidR="00C910D9" w:rsidRPr="002C21B8">
        <w:t xml:space="preserve"> Phase </w:t>
      </w:r>
      <w:r w:rsidR="00356EFF" w:rsidRPr="002C21B8">
        <w:t>4</w:t>
      </w:r>
      <w:r w:rsidR="00501017" w:rsidRPr="002C21B8">
        <w:t xml:space="preserve"> (</w:t>
      </w:r>
      <w:r w:rsidR="00C86FB1" w:rsidRPr="002C21B8">
        <w:t xml:space="preserve">national </w:t>
      </w:r>
      <w:r w:rsidR="00FC190F" w:rsidRPr="002C21B8">
        <w:t>survey of clinical practice</w:t>
      </w:r>
      <w:r w:rsidR="00501017" w:rsidRPr="002C21B8">
        <w:t>)</w:t>
      </w:r>
      <w:r w:rsidR="00C910D9" w:rsidRPr="002C21B8">
        <w:t xml:space="preserve">, </w:t>
      </w:r>
      <w:r w:rsidR="00C82A50" w:rsidRPr="002C21B8">
        <w:t xml:space="preserve">questionnaire design and survey administration followed principles of the Tailored Design Method described by </w:t>
      </w:r>
      <w:r w:rsidR="00C82A50" w:rsidRPr="002C21B8">
        <w:fldChar w:fldCharType="begin"/>
      </w:r>
      <w:r w:rsidR="00046586" w:rsidRPr="002C21B8">
        <w:instrText xml:space="preserve"> ADDIN EN.CITE &lt;EndNote&gt;&lt;Cite AuthorYear="1"&gt;&lt;Author&gt;Dillman&lt;/Author&gt;&lt;Year&gt;2014&lt;/Year&gt;&lt;RecNum&gt;125402&lt;/RecNum&gt;&lt;DisplayText&gt;Dillman, Smyth and Christian (2014)&lt;/DisplayText&gt;&lt;record&gt;&lt;rec-number&gt;125402&lt;/rec-number&gt;&lt;foreign-keys&gt;&lt;key app="EN" db-id="xpefzwa5hf9dt2ea9fax95x7xvxz90v09dtf" timestamp="1775652161"&gt;125402&lt;/key&gt;&lt;/foreign-keys&gt;&lt;ref-type name="Book"&gt;6&lt;/ref-type&gt;&lt;contributors&gt;&lt;authors&gt;&lt;author&gt;Dillman, Don A&lt;/author&gt;&lt;author&gt;Smyth, Jolene D&lt;/author&gt;&lt;author&gt;Christian, Leah Melani&lt;/author&gt;&lt;/authors&gt;&lt;/contributors&gt;&lt;titles&gt;&lt;title&gt;Internet, phone, mail, and mixed-mode surveys: The tailored design method&lt;/title&gt;&lt;/titles&gt;&lt;section&gt;1-528&lt;/section&gt;&lt;dates&gt;&lt;year&gt;2014&lt;/year&gt;&lt;/dates&gt;&lt;pub-location&gt;Indianapolis, Indiana, USA&lt;/pub-location&gt;&lt;publisher&gt;John Wiley &amp;amp; Sons&lt;/publisher&gt;&lt;urls&gt;&lt;/urls&gt;&lt;/record&gt;&lt;/Cite&gt;&lt;/EndNote&gt;</w:instrText>
      </w:r>
      <w:r w:rsidR="00C82A50" w:rsidRPr="002C21B8">
        <w:fldChar w:fldCharType="separate"/>
      </w:r>
      <w:r w:rsidR="000B5737" w:rsidRPr="002C21B8">
        <w:rPr>
          <w:noProof/>
        </w:rPr>
        <w:t>Dillman, Smyth and Christian (2014)</w:t>
      </w:r>
      <w:r w:rsidR="00C82A50" w:rsidRPr="002C21B8">
        <w:fldChar w:fldCharType="end"/>
      </w:r>
      <w:r w:rsidR="00C82A50" w:rsidRPr="002C21B8">
        <w:t>.</w:t>
      </w:r>
      <w:r w:rsidR="000B5737" w:rsidRPr="002C21B8">
        <w:t xml:space="preserve"> </w:t>
      </w:r>
      <w:r w:rsidR="00C82A50" w:rsidRPr="002C21B8">
        <w:t>I</w:t>
      </w:r>
      <w:r w:rsidR="002426D2" w:rsidRPr="002C21B8">
        <w:t xml:space="preserve">nternal validity was enhanced by developing the questionnaire based on </w:t>
      </w:r>
      <w:r w:rsidR="00501017" w:rsidRPr="002C21B8">
        <w:t>the qualitative findings fr</w:t>
      </w:r>
      <w:r w:rsidR="002426D2" w:rsidRPr="002C21B8">
        <w:t>o</w:t>
      </w:r>
      <w:r w:rsidR="00501017" w:rsidRPr="002C21B8">
        <w:t xml:space="preserve">m Phase </w:t>
      </w:r>
      <w:r w:rsidR="00356EFF" w:rsidRPr="002C21B8">
        <w:t>3</w:t>
      </w:r>
      <w:r w:rsidR="00E321DA" w:rsidRPr="002C21B8">
        <w:t xml:space="preserve"> and pilot</w:t>
      </w:r>
      <w:r w:rsidR="002426D2" w:rsidRPr="002C21B8">
        <w:t>ing it</w:t>
      </w:r>
      <w:r w:rsidR="00E321DA" w:rsidRPr="002C21B8">
        <w:t xml:space="preserve"> to ensure clarity and relevance. </w:t>
      </w:r>
      <w:r w:rsidR="00883782" w:rsidRPr="002C21B8">
        <w:t>R</w:t>
      </w:r>
      <w:r w:rsidR="00E321DA" w:rsidRPr="002C21B8">
        <w:t>eporting of</w:t>
      </w:r>
      <w:r w:rsidR="0081787E" w:rsidRPr="002C21B8">
        <w:t xml:space="preserve"> </w:t>
      </w:r>
      <w:r w:rsidR="00883782" w:rsidRPr="002C21B8">
        <w:t>the research</w:t>
      </w:r>
      <w:r w:rsidR="00E321DA" w:rsidRPr="002C21B8">
        <w:t xml:space="preserve"> context allowed readers to assess the generalisability. Standardised survey administration</w:t>
      </w:r>
      <w:r w:rsidR="000B5737" w:rsidRPr="002C21B8">
        <w:t>, using uniform instructions and delivery procedures</w:t>
      </w:r>
      <w:r w:rsidR="00883782" w:rsidRPr="002C21B8">
        <w:t>,</w:t>
      </w:r>
      <w:r w:rsidR="00E321DA" w:rsidRPr="002C21B8">
        <w:t xml:space="preserve"> a</w:t>
      </w:r>
      <w:r w:rsidR="00883782" w:rsidRPr="002C21B8">
        <w:t>s well as</w:t>
      </w:r>
      <w:r w:rsidR="00E321DA" w:rsidRPr="002C21B8">
        <w:t xml:space="preserve"> </w:t>
      </w:r>
      <w:r w:rsidR="000B5737" w:rsidRPr="002C21B8">
        <w:t>systematic</w:t>
      </w:r>
      <w:r w:rsidR="00E321DA" w:rsidRPr="002C21B8">
        <w:t xml:space="preserve"> data cleaning</w:t>
      </w:r>
      <w:r w:rsidR="00883782" w:rsidRPr="002C21B8">
        <w:t>,</w:t>
      </w:r>
      <w:r w:rsidR="00E321DA" w:rsidRPr="002C21B8">
        <w:t xml:space="preserve"> enhanced</w:t>
      </w:r>
      <w:r w:rsidR="000B5737" w:rsidRPr="002C21B8">
        <w:t xml:space="preserve"> the</w:t>
      </w:r>
      <w:r w:rsidR="00E321DA" w:rsidRPr="002C21B8">
        <w:t xml:space="preserve"> reliability and objectivity</w:t>
      </w:r>
      <w:r w:rsidR="000B5737" w:rsidRPr="002C21B8">
        <w:t xml:space="preserve"> of the data generated</w:t>
      </w:r>
      <w:r w:rsidR="00E321DA" w:rsidRPr="002C21B8">
        <w:t>.</w:t>
      </w:r>
    </w:p>
    <w:p w14:paraId="2057217A" w14:textId="3F10E3A3" w:rsidR="00DA14E2" w:rsidRPr="002C21B8" w:rsidRDefault="0007763F" w:rsidP="00DA14E2">
      <w:r w:rsidRPr="002C21B8">
        <w:t xml:space="preserve">Although </w:t>
      </w:r>
      <w:r w:rsidR="0007674D" w:rsidRPr="002C21B8">
        <w:t>audit trail</w:t>
      </w:r>
      <w:r w:rsidRPr="002C21B8">
        <w:t>s are typically described in the context of qualitative research</w:t>
      </w:r>
      <w:r w:rsidR="00883782" w:rsidRPr="002C21B8">
        <w:t>,</w:t>
      </w:r>
      <w:r w:rsidRPr="002C21B8">
        <w:t xml:space="preserve"> they have been increasingly described in the context of mixed methods</w:t>
      </w:r>
      <w:r w:rsidR="00883782" w:rsidRPr="002C21B8">
        <w:t xml:space="preserve"> research</w:t>
      </w:r>
      <w:r w:rsidRPr="002C21B8">
        <w:t xml:space="preserve"> </w:t>
      </w:r>
      <w:r w:rsidRPr="002C21B8">
        <w:fldChar w:fldCharType="begin">
          <w:fldData xml:space="preserve">PEVuZE5vdGU+PENpdGU+PEF1dGhvcj5OZXdtYW48L0F1dGhvcj48WWVhcj4yMDEzPC9ZZWFyPjxS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=
</w:fldData>
        </w:fldChar>
      </w:r>
      <w:r w:rsidRPr="002C21B8">
        <w:instrText xml:space="preserve"> ADDIN EN.CITE </w:instrText>
      </w:r>
      <w:r w:rsidRPr="002C21B8">
        <w:fldChar w:fldCharType="begin">
          <w:fldData xml:space="preserve">PEVuZE5vdGU+PENpdGU+PEF1dGhvcj5OZXdtYW48L0F1dGhvcj48WWVhcj4yMDEzPC9ZZWFyPjxS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=
</w:fldData>
        </w:fldChar>
      </w:r>
      <w:r w:rsidRPr="002C21B8">
        <w:instrText xml:space="preserve"> ADDIN EN.CITE.DATA </w:instrText>
      </w:r>
      <w:r w:rsidRPr="002C21B8">
        <w:fldChar w:fldCharType="end"/>
      </w:r>
      <w:r w:rsidRPr="002C21B8">
        <w:fldChar w:fldCharType="separate"/>
      </w:r>
      <w:r w:rsidRPr="002C21B8">
        <w:rPr>
          <w:noProof/>
        </w:rPr>
        <w:t>(Gaglio</w:t>
      </w:r>
      <w:r w:rsidRPr="002C21B8">
        <w:rPr>
          <w:i/>
          <w:noProof/>
        </w:rPr>
        <w:t xml:space="preserve"> et al.</w:t>
      </w:r>
      <w:r w:rsidRPr="002C21B8">
        <w:rPr>
          <w:noProof/>
        </w:rPr>
        <w:t>, 2020; Newman, Lim and Pineda, 2013; Scherman and Zimmerman, 2023)</w:t>
      </w:r>
      <w:r w:rsidRPr="002C21B8">
        <w:fldChar w:fldCharType="end"/>
      </w:r>
      <w:r w:rsidRPr="002C21B8">
        <w:t xml:space="preserve">. An audit trail </w:t>
      </w:r>
      <w:r w:rsidR="0007674D" w:rsidRPr="002C21B8">
        <w:t xml:space="preserve">was maintained throughout the programme of research in </w:t>
      </w:r>
      <w:r w:rsidR="00DA14E2" w:rsidRPr="002C21B8">
        <w:t xml:space="preserve">line with the guidance described by </w:t>
      </w:r>
      <w:r w:rsidR="00DA14E2" w:rsidRPr="002C21B8">
        <w:fldChar w:fldCharType="begin"/>
      </w:r>
      <w:r w:rsidR="00DA14E2" w:rsidRPr="002C21B8">
        <w:instrText xml:space="preserve"> ADDIN EN.CITE &lt;EndNote&gt;&lt;Cite AuthorYear="1"&gt;&lt;Author&gt;Lincoln&lt;/Author&gt;&lt;Year&gt;1982&lt;/Year&gt;&lt;RecNum&gt;125570&lt;/RecNum&gt;&lt;DisplayText&gt;Lincoln and Guba (1982)&lt;/DisplayText&gt;&lt;record&gt;&lt;rec-number&gt;125570&lt;/rec-number&gt;&lt;foreign-keys&gt;&lt;key app="EN" db-id="xpefzwa5hf9dt2ea9fax95x7xvxz90v09dtf" timestamp="1778168671"&gt;125570&lt;/key&gt;&lt;/foreign-keys&gt;&lt;ref-type name="Conference Paper"&gt;47&lt;/ref-type&gt;&lt;contributors&gt;&lt;authors&gt;&lt;author&gt;Lincoln, Yvonna S&lt;/author&gt;&lt;author&gt;Guba, Egon G&lt;/author&gt;&lt;/authors&gt;&lt;/contributors&gt;&lt;titles&gt;&lt;title&gt;Establishing dependability and confirmability in naturalistic inquiry through an audit&lt;/title&gt;&lt;secondary-title&gt;Annual Meeting of the American Educational Research Association&lt;/secondary-title&gt;&lt;/titles&gt;&lt;dates&gt;&lt;year&gt;1982&lt;/year&gt;&lt;pub-dates&gt;&lt;date&gt;19/03/1982&lt;/date&gt;&lt;/pub-dates&gt;&lt;/dates&gt;&lt;pub-location&gt;New York, USA&lt;/pub-location&gt;&lt;urls&gt;&lt;/urls&gt;&lt;/record&gt;&lt;/Cite&gt;&lt;/EndNote&gt;</w:instrText>
      </w:r>
      <w:r w:rsidR="00DA14E2" w:rsidRPr="002C21B8">
        <w:fldChar w:fldCharType="separate"/>
      </w:r>
      <w:r w:rsidR="00DA14E2" w:rsidRPr="002C21B8">
        <w:rPr>
          <w:noProof/>
        </w:rPr>
        <w:t>Lincoln and Guba (1982)</w:t>
      </w:r>
      <w:r w:rsidR="00DA14E2" w:rsidRPr="002C21B8">
        <w:fldChar w:fldCharType="end"/>
      </w:r>
      <w:r w:rsidR="0007674D" w:rsidRPr="002C21B8">
        <w:t>. This documented</w:t>
      </w:r>
      <w:r w:rsidR="003E78D5" w:rsidRPr="002C21B8">
        <w:t xml:space="preserve"> my</w:t>
      </w:r>
      <w:r w:rsidR="0007674D" w:rsidRPr="002C21B8">
        <w:t xml:space="preserve"> </w:t>
      </w:r>
      <w:r w:rsidR="00DA14E2" w:rsidRPr="002C21B8">
        <w:t>research activities, methodological decisions, evolving interpretations and reflexive</w:t>
      </w:r>
      <w:r w:rsidR="00487961" w:rsidRPr="002C21B8">
        <w:t xml:space="preserve"> journal entries. </w:t>
      </w:r>
      <w:r w:rsidR="003E78D5" w:rsidRPr="002C21B8">
        <w:t xml:space="preserve">The use of an audit trail is considered important for several reasons. It provides </w:t>
      </w:r>
      <w:r w:rsidR="00916D72" w:rsidRPr="002C21B8">
        <w:t xml:space="preserve">a </w:t>
      </w:r>
      <w:r w:rsidR="003E78D5" w:rsidRPr="002C21B8">
        <w:t>transpar</w:t>
      </w:r>
      <w:r w:rsidR="00916D72" w:rsidRPr="002C21B8">
        <w:t xml:space="preserve">ent record of the research process that can </w:t>
      </w:r>
      <w:r w:rsidR="003E78D5" w:rsidRPr="002C21B8">
        <w:t>support dependability and strengthen</w:t>
      </w:r>
      <w:r w:rsidR="00883782" w:rsidRPr="002C21B8">
        <w:t xml:space="preserve"> </w:t>
      </w:r>
      <w:r w:rsidR="003E78D5" w:rsidRPr="002C21B8">
        <w:t xml:space="preserve">credibility </w:t>
      </w:r>
      <w:r w:rsidR="00916D72" w:rsidRPr="002C21B8">
        <w:t xml:space="preserve">by demonstrating </w:t>
      </w:r>
      <w:r w:rsidR="00D26A56" w:rsidRPr="002C21B8">
        <w:t>a systematic and rigorous approach</w:t>
      </w:r>
      <w:r w:rsidR="00F00ECA" w:rsidRPr="002C21B8">
        <w:t xml:space="preserve"> </w:t>
      </w:r>
      <w:r w:rsidR="00F00ECA" w:rsidRPr="002C21B8">
        <w:fldChar w:fldCharType="begin"/>
      </w:r>
      <w:r w:rsidR="00F00ECA" w:rsidRPr="002C21B8">
        <w:instrText xml:space="preserve"> ADDIN EN.CITE &lt;EndNote&gt;&lt;Cite&gt;&lt;Author&gt;Ahmed&lt;/Author&gt;&lt;Year&gt;2024&lt;/Year&gt;&lt;RecNum&gt;125574&lt;/RecNum&gt;&lt;DisplayText&gt;(Ahmed, 2024; Lincoln and Guba, 1982)&lt;/DisplayText&gt;&lt;record&gt;&lt;rec-number&gt;125574&lt;/rec-number&gt;&lt;foreign-keys&gt;&lt;key app="EN" db-id="xpefzwa5hf9dt2ea9fax95x7xvxz90v09dtf" timestamp="1778172205"&gt;125574&lt;/key&gt;&lt;/foreign-keys&gt;&lt;ref-type name="Journal Article"&gt;17&lt;/ref-type&gt;&lt;contributors&gt;&lt;authors&gt;&lt;author&gt;Ahmed, Sirwan Khalid&lt;/author&gt;&lt;/authors&gt;&lt;/contributors&gt;&lt;titles&gt;&lt;title&gt;The pillars of trustworthiness in qualitative research&lt;/title&gt;&lt;secondary-title&gt;Journal of Medicine, Surgery, and Public Health&lt;/secondary-title&gt;&lt;/titles&gt;&lt;periodical&gt;&lt;full-title&gt;Journal of medicine, surgery, and public health&lt;/full-title&gt;&lt;/periodical&gt;&lt;pages&gt;100051&lt;/pages&gt;&lt;volume&gt;2&lt;/volume&gt;&lt;dates&gt;&lt;year&gt;2024&lt;/year&gt;&lt;/dates&gt;&lt;isbn&gt;2949-916X&lt;/isbn&gt;&lt;urls&gt;&lt;/urls&gt;&lt;/record&gt;&lt;/Cite&gt;&lt;Cite&gt;&lt;Author&gt;Lincoln&lt;/Author&gt;&lt;Year&gt;1982&lt;/Year&gt;&lt;RecNum&gt;125570&lt;/RecNum&gt;&lt;record&gt;&lt;rec-number&gt;125570&lt;/rec-number&gt;&lt;foreign-keys&gt;&lt;key app="EN" db-id="xpefzwa5hf9dt2ea9fax95x7xvxz90v09dtf" timestamp="1778168671"&gt;125570&lt;/key&gt;&lt;/foreign-keys&gt;&lt;ref-type name="Conference Paper"&gt;47&lt;/ref-type&gt;&lt;contributors&gt;&lt;authors&gt;&lt;author&gt;Lincoln, Yvonna S&lt;/author&gt;&lt;author&gt;Guba, Egon G&lt;/author&gt;&lt;/authors&gt;&lt;/contributors&gt;&lt;titles&gt;&lt;title&gt;Establishing dependability and confirmability in naturalistic inquiry through an audit&lt;/title&gt;&lt;secondary-title&gt;Annual Meeting of the American Educational Research Association&lt;/secondary-title&gt;&lt;/titles&gt;&lt;dates&gt;&lt;year&gt;1982&lt;/year&gt;&lt;pub-dates&gt;&lt;date&gt;19/03/1982&lt;/date&gt;&lt;/pub-dates&gt;&lt;/dates&gt;&lt;pub-location&gt;New York, USA&lt;/pub-location&gt;&lt;urls&gt;&lt;/urls&gt;&lt;/record&gt;&lt;/Cite&gt;&lt;/EndNote&gt;</w:instrText>
      </w:r>
      <w:r w:rsidR="00F00ECA" w:rsidRPr="002C21B8">
        <w:fldChar w:fldCharType="separate"/>
      </w:r>
      <w:r w:rsidR="00F00ECA" w:rsidRPr="002C21B8">
        <w:rPr>
          <w:noProof/>
        </w:rPr>
        <w:t>(Ahmed, 2024; Lincoln and Guba, 1982)</w:t>
      </w:r>
      <w:r w:rsidR="00F00ECA" w:rsidRPr="002C21B8">
        <w:fldChar w:fldCharType="end"/>
      </w:r>
      <w:r w:rsidR="00D26A56" w:rsidRPr="002C21B8">
        <w:t xml:space="preserve">. </w:t>
      </w:r>
      <w:r w:rsidR="00916D72" w:rsidRPr="002C21B8">
        <w:t>When a reflexive journal is included</w:t>
      </w:r>
      <w:r w:rsidR="00374499" w:rsidRPr="002C21B8">
        <w:t>,</w:t>
      </w:r>
      <w:r w:rsidR="00916D72" w:rsidRPr="002C21B8">
        <w:t xml:space="preserve"> this can enhance </w:t>
      </w:r>
      <w:r w:rsidR="00F00ECA" w:rsidRPr="002C21B8">
        <w:t>confirmability</w:t>
      </w:r>
      <w:r w:rsidR="00916D72" w:rsidRPr="002C21B8">
        <w:t xml:space="preserve"> by demonstrating how a researcher</w:t>
      </w:r>
      <w:r w:rsidR="00374499" w:rsidRPr="002C21B8">
        <w:t>’</w:t>
      </w:r>
      <w:r w:rsidR="00916D72" w:rsidRPr="002C21B8">
        <w:t>s positioning and interpretative decisions have influenced the research process</w:t>
      </w:r>
      <w:r w:rsidR="00F00ECA" w:rsidRPr="002C21B8">
        <w:t xml:space="preserve"> </w:t>
      </w:r>
      <w:r w:rsidR="0077318A" w:rsidRPr="002C21B8">
        <w:fldChar w:fldCharType="begin"/>
      </w:r>
      <w:r w:rsidR="0077318A" w:rsidRPr="002C21B8">
        <w:instrText xml:space="preserve"> ADDIN EN.CITE &lt;EndNote&gt;&lt;Cite&gt;&lt;Author&gt;Flick&lt;/Author&gt;&lt;Year&gt;2025&lt;/Year&gt;&lt;RecNum&gt;125558&lt;/RecNum&gt;&lt;DisplayText&gt;(Flick, Alejandro and Stoffel, 2025)&lt;/DisplayText&gt;&lt;record&gt;&lt;rec-number&gt;125558&lt;/rec-number&gt;&lt;foreign-keys&gt;&lt;key app="EN" db-id="xpefzwa5hf9dt2ea9fax95x7xvxz90v09dtf" timestamp="1777976299"&gt;125558&lt;/key&gt;&lt;/foreign-keys&gt;&lt;ref-type name="Book Section"&gt;5&lt;/ref-type&gt;&lt;contributors&gt;&lt;authors&gt;&lt;author&gt;Flick, Uwe&lt;/author&gt;&lt;author&gt;Alejandro, Audrey&lt;/author&gt;&lt;author&gt;Stoffel, Alexander&lt;/author&gt;&lt;/authors&gt;&lt;/contributors&gt;&lt;titles&gt;&lt;title&gt;Reflexivity for Qualitative Research Quality and the Quality of Reflexivity&lt;/title&gt;&lt;secondary-title&gt;The Sage Handbook of Qualitative Research Quality&lt;/secondary-title&gt;&lt;/titles&gt;&lt;pages&gt;331-345&lt;/pages&gt;&lt;dates&gt;&lt;year&gt;2025&lt;/year&gt;&lt;/dates&gt;&lt;pub-location&gt;London, UK&lt;/pub-location&gt;&lt;publisher&gt;SAGE Publications Ltd&lt;/publisher&gt;&lt;isbn&gt;1036243400&lt;/isbn&gt;&lt;urls&gt;&lt;/urls&gt;&lt;/record&gt;&lt;/Cite&gt;&lt;/EndNote&gt;</w:instrText>
      </w:r>
      <w:r w:rsidR="0077318A" w:rsidRPr="002C21B8">
        <w:fldChar w:fldCharType="separate"/>
      </w:r>
      <w:r w:rsidR="0077318A" w:rsidRPr="002C21B8">
        <w:rPr>
          <w:noProof/>
        </w:rPr>
        <w:t>(Flick, Alejandro and Stoffel, 2025)</w:t>
      </w:r>
      <w:r w:rsidR="0077318A" w:rsidRPr="002C21B8">
        <w:fldChar w:fldCharType="end"/>
      </w:r>
      <w:r w:rsidR="0077318A" w:rsidRPr="002C21B8">
        <w:t>.</w:t>
      </w:r>
      <w:r w:rsidR="00F00ECA" w:rsidRPr="002C21B8">
        <w:t xml:space="preserve"> Reflexivity is discussed further </w:t>
      </w:r>
      <w:r w:rsidR="00916D72" w:rsidRPr="002C21B8">
        <w:t>i</w:t>
      </w:r>
      <w:r w:rsidR="00F00ECA" w:rsidRPr="002C21B8">
        <w:t>n the next section.</w:t>
      </w:r>
    </w:p>
    <w:p w14:paraId="55AC004E" w14:textId="1EF12A90" w:rsidR="006F38B6" w:rsidRPr="002C21B8" w:rsidRDefault="00A14E50" w:rsidP="00581663">
      <w:pPr>
        <w:pStyle w:val="Heading2"/>
      </w:pPr>
      <w:bookmarkStart w:id="69" w:name="_Reflexivity"/>
      <w:bookmarkStart w:id="70" w:name="_Toc229687214"/>
      <w:bookmarkEnd w:id="69"/>
      <w:r w:rsidRPr="002C21B8">
        <w:t>R</w:t>
      </w:r>
      <w:r w:rsidR="006F38B6" w:rsidRPr="002C21B8">
        <w:t>eflexivity</w:t>
      </w:r>
      <w:bookmarkEnd w:id="70"/>
    </w:p>
    <w:p w14:paraId="161066D2" w14:textId="6EF9F011" w:rsidR="00A9525F" w:rsidRPr="002C21B8" w:rsidRDefault="00E54F57" w:rsidP="00704047">
      <w:r w:rsidRPr="002C21B8">
        <w:t xml:space="preserve">Building on the discussion of positionality and reflexivity in </w:t>
      </w:r>
      <w:hyperlink w:anchor="_Researcher_voice,_positionality" w:history="1">
        <w:r w:rsidR="00C15CC6" w:rsidRPr="002C21B8">
          <w:rPr>
            <w:rStyle w:val="Hyperlink"/>
          </w:rPr>
          <w:t>Section 1.4</w:t>
        </w:r>
      </w:hyperlink>
      <w:r w:rsidR="00C15CC6" w:rsidRPr="002C21B8">
        <w:t xml:space="preserve">, </w:t>
      </w:r>
      <w:r w:rsidRPr="002C21B8">
        <w:t xml:space="preserve">this section outlines </w:t>
      </w:r>
      <w:r w:rsidR="004A29BE" w:rsidRPr="002C21B8">
        <w:t>how the potential influence of my role as a clinician-researcher was a</w:t>
      </w:r>
      <w:r w:rsidR="00BA0C62" w:rsidRPr="002C21B8">
        <w:t>cknowledged</w:t>
      </w:r>
      <w:r w:rsidR="004A29BE" w:rsidRPr="002C21B8">
        <w:t xml:space="preserve"> and</w:t>
      </w:r>
      <w:r w:rsidR="0092023C" w:rsidRPr="002C21B8">
        <w:t xml:space="preserve"> </w:t>
      </w:r>
      <w:r w:rsidR="00F26BD9" w:rsidRPr="002C21B8">
        <w:t>accounted</w:t>
      </w:r>
      <w:r w:rsidR="00FB1510" w:rsidRPr="002C21B8">
        <w:t xml:space="preserve"> </w:t>
      </w:r>
      <w:r w:rsidR="00F26BD9" w:rsidRPr="002C21B8">
        <w:t>for</w:t>
      </w:r>
      <w:r w:rsidR="004A29BE" w:rsidRPr="002C21B8">
        <w:t xml:space="preserve"> </w:t>
      </w:r>
      <w:r w:rsidR="00E47131" w:rsidRPr="002C21B8">
        <w:t xml:space="preserve">through </w:t>
      </w:r>
      <w:r w:rsidR="00417280" w:rsidRPr="002C21B8">
        <w:t xml:space="preserve">the design and conduct of the </w:t>
      </w:r>
      <w:r w:rsidR="004A29BE" w:rsidRPr="002C21B8">
        <w:t>research process</w:t>
      </w:r>
      <w:r w:rsidR="0092023C" w:rsidRPr="002C21B8">
        <w:t>. A reflexive journal provided a structured way to support this process.</w:t>
      </w:r>
    </w:p>
    <w:p w14:paraId="5290F0A4" w14:textId="167A2F7E" w:rsidR="00A9525F" w:rsidRPr="002C21B8" w:rsidRDefault="00A9525F" w:rsidP="00A9525F">
      <w:r w:rsidRPr="002C21B8">
        <w:t xml:space="preserve">For </w:t>
      </w:r>
      <w:r w:rsidR="00D17E66" w:rsidRPr="002C21B8">
        <w:t xml:space="preserve">Phase </w:t>
      </w:r>
      <w:r w:rsidRPr="002C21B8">
        <w:t>2</w:t>
      </w:r>
      <w:r w:rsidR="00D17E66" w:rsidRPr="002C21B8">
        <w:t xml:space="preserve"> (</w:t>
      </w:r>
      <w:r w:rsidR="007473B6" w:rsidRPr="002C21B8">
        <w:t>analysis of registry data</w:t>
      </w:r>
      <w:r w:rsidR="00D17E66" w:rsidRPr="002C21B8">
        <w:t>)</w:t>
      </w:r>
      <w:r w:rsidR="007473B6" w:rsidRPr="002C21B8">
        <w:t xml:space="preserve">, </w:t>
      </w:r>
      <w:r w:rsidR="00597AB2" w:rsidRPr="002C21B8">
        <w:t>I recognised th</w:t>
      </w:r>
      <w:r w:rsidR="0092023C" w:rsidRPr="002C21B8">
        <w:t xml:space="preserve">e potential for </w:t>
      </w:r>
      <w:r w:rsidR="007473B6" w:rsidRPr="002C21B8">
        <w:t>my clinical experience</w:t>
      </w:r>
      <w:r w:rsidR="0092023C" w:rsidRPr="002C21B8">
        <w:t xml:space="preserve"> to </w:t>
      </w:r>
      <w:r w:rsidR="007473B6" w:rsidRPr="002C21B8">
        <w:t xml:space="preserve">influence the selection and </w:t>
      </w:r>
      <w:r w:rsidR="00597AB2" w:rsidRPr="002C21B8">
        <w:t xml:space="preserve">specification of variables included in the analysis. </w:t>
      </w:r>
      <w:r w:rsidR="00D17E66" w:rsidRPr="002C21B8">
        <w:t>To address this</w:t>
      </w:r>
      <w:r w:rsidR="00A25D2F" w:rsidRPr="002C21B8">
        <w:t>,</w:t>
      </w:r>
      <w:r w:rsidR="00D17E66" w:rsidRPr="002C21B8">
        <w:t xml:space="preserve"> I arranged pre-analysis meetings with my supervision team and the RaDaR statistician to discuss variable selection and justification.</w:t>
      </w:r>
      <w:r w:rsidRPr="002C21B8">
        <w:t xml:space="preserve"> There was also the potential for my background to influence interpretations of observed variation; discussions were undertaken with my supervision team as part of the iterative reflexive process to support analytic rigour and transparency in my interpretations.</w:t>
      </w:r>
    </w:p>
    <w:p w14:paraId="3A45FB4D" w14:textId="1F173B86" w:rsidR="00A91DB3" w:rsidRPr="002C21B8" w:rsidRDefault="00603489" w:rsidP="00985D37">
      <w:r w:rsidRPr="002C21B8">
        <w:t>For</w:t>
      </w:r>
      <w:r w:rsidR="00844E77" w:rsidRPr="002C21B8">
        <w:t xml:space="preserve"> </w:t>
      </w:r>
      <w:r w:rsidR="006618A9" w:rsidRPr="002C21B8">
        <w:t xml:space="preserve">Phase </w:t>
      </w:r>
      <w:r w:rsidR="00A9525F" w:rsidRPr="002C21B8">
        <w:t>3</w:t>
      </w:r>
      <w:r w:rsidR="006618A9" w:rsidRPr="002C21B8">
        <w:t xml:space="preserve"> (multiple case study)</w:t>
      </w:r>
      <w:r w:rsidR="00844E77" w:rsidRPr="002C21B8">
        <w:t xml:space="preserve">, </w:t>
      </w:r>
      <w:r w:rsidRPr="002C21B8">
        <w:t xml:space="preserve">before conducting data collection, </w:t>
      </w:r>
      <w:r w:rsidR="00AB1154" w:rsidRPr="002C21B8">
        <w:t>I was</w:t>
      </w:r>
      <w:r w:rsidRPr="002C21B8">
        <w:t xml:space="preserve"> </w:t>
      </w:r>
      <w:r w:rsidR="00AB1154" w:rsidRPr="002C21B8">
        <w:t>aware that my role as a clinician</w:t>
      </w:r>
      <w:r w:rsidR="00C43749" w:rsidRPr="002C21B8">
        <w:t>-</w:t>
      </w:r>
      <w:r w:rsidR="00AB1154" w:rsidRPr="002C21B8">
        <w:t xml:space="preserve">researcher placed me in a position that was neither fully insider nor </w:t>
      </w:r>
      <w:r w:rsidR="00E9488B" w:rsidRPr="002C21B8">
        <w:t xml:space="preserve">fully </w:t>
      </w:r>
      <w:r w:rsidR="00AB1154" w:rsidRPr="002C21B8">
        <w:t>outsider</w:t>
      </w:r>
      <w:r w:rsidR="00E9488B" w:rsidRPr="002C21B8">
        <w:t xml:space="preserve"> in relation to the participating centres</w:t>
      </w:r>
      <w:r w:rsidR="00AB1154" w:rsidRPr="002C21B8">
        <w:t xml:space="preserve"> </w:t>
      </w:r>
      <w:r w:rsidR="002F23F1" w:rsidRPr="002C21B8">
        <w:fldChar w:fldCharType="begin"/>
      </w:r>
      <w:r w:rsidR="002F23F1" w:rsidRPr="002C21B8">
        <w:instrText xml:space="preserve"> ADDIN EN.CITE &lt;EndNote&gt;&lt;Cite&gt;&lt;Author&gt;Green&lt;/Author&gt;&lt;Year&gt;2004&lt;/Year&gt;&lt;RecNum&gt;39&lt;/RecNum&gt;&lt;DisplayText&gt;(Green and Thorogood, 2004)&lt;/DisplayText&gt;&lt;record&gt;&lt;rec-number&gt;39&lt;/rec-number&gt;&lt;foreign-keys&gt;&lt;key app="EN" db-id="xpefzwa5hf9dt2ea9fax95x7xvxz90v09dtf" timestamp="1692721706"&gt;39&lt;/key&gt;&lt;/foreign-keys&gt;&lt;ref-type name="Book"&gt;6&lt;/ref-type&gt;&lt;contributors&gt;&lt;authors&gt;&lt;author&gt;Green, J.&lt;/author&gt;&lt;author&gt;Thorogood, Nicki&lt;/author&gt;&lt;/authors&gt;&lt;/contributors&gt;&lt;titles&gt;&lt;title&gt;Qualitative Methods for Health Research&lt;/title&gt;&lt;/titles&gt;&lt;section&gt;177-180&lt;/section&gt;&lt;dates&gt;&lt;year&gt;2004&lt;/year&gt;&lt;/dates&gt;&lt;pub-location&gt;London, UK&lt;/pub-location&gt;&lt;publisher&gt;SAGE Publications Ltd&lt;/publisher&gt;&lt;urls&gt;&lt;/urls&gt;&lt;/record&gt;&lt;/Cite&gt;&lt;/EndNote&gt;</w:instrText>
      </w:r>
      <w:r w:rsidR="002F23F1" w:rsidRPr="002C21B8">
        <w:fldChar w:fldCharType="separate"/>
      </w:r>
      <w:r w:rsidR="002F23F1" w:rsidRPr="002C21B8">
        <w:rPr>
          <w:noProof/>
        </w:rPr>
        <w:t>(Green and Thorogood, 2004)</w:t>
      </w:r>
      <w:r w:rsidR="002F23F1" w:rsidRPr="002C21B8">
        <w:fldChar w:fldCharType="end"/>
      </w:r>
      <w:r w:rsidR="002F23F1" w:rsidRPr="002C21B8">
        <w:t xml:space="preserve">. </w:t>
      </w:r>
      <w:r w:rsidR="00E9488B" w:rsidRPr="002C21B8">
        <w:t>H</w:t>
      </w:r>
      <w:r w:rsidR="00AB1154" w:rsidRPr="002C21B8">
        <w:t xml:space="preserve">aving a clinical background managing people with ADPKD placed me as an insider to the clinical domain, while </w:t>
      </w:r>
      <w:r w:rsidR="003F297E" w:rsidRPr="002C21B8">
        <w:t xml:space="preserve">my lack of employment or embedded role within the </w:t>
      </w:r>
      <w:r w:rsidR="00E9488B" w:rsidRPr="002C21B8">
        <w:t>participating kidney centre</w:t>
      </w:r>
      <w:r w:rsidR="003F297E" w:rsidRPr="002C21B8">
        <w:t xml:space="preserve"> positioned me as an outsider to their local contexts or practices</w:t>
      </w:r>
      <w:r w:rsidR="00E9488B" w:rsidRPr="002C21B8">
        <w:t xml:space="preserve">. </w:t>
      </w:r>
      <w:r w:rsidR="002F7D81" w:rsidRPr="002C21B8">
        <w:t xml:space="preserve">This </w:t>
      </w:r>
      <w:r w:rsidR="00BB5B54" w:rsidRPr="002C21B8">
        <w:t xml:space="preserve">positioning provided </w:t>
      </w:r>
      <w:r w:rsidR="00C43749" w:rsidRPr="002C21B8">
        <w:t xml:space="preserve">an understanding of the clinical context </w:t>
      </w:r>
      <w:r w:rsidR="00BB5B54" w:rsidRPr="002C21B8">
        <w:t>and facilitated access</w:t>
      </w:r>
      <w:r w:rsidR="00E9488B" w:rsidRPr="002C21B8">
        <w:t xml:space="preserve"> and rapport with participants</w:t>
      </w:r>
      <w:r w:rsidR="00BB5B54" w:rsidRPr="002C21B8">
        <w:t>, while also allowing a degree of analytical d</w:t>
      </w:r>
      <w:r w:rsidR="00554DC2" w:rsidRPr="002C21B8">
        <w:t>istance</w:t>
      </w:r>
      <w:r w:rsidR="00BB5B54" w:rsidRPr="002C21B8">
        <w:t>.</w:t>
      </w:r>
    </w:p>
    <w:p w14:paraId="294E4590" w14:textId="173CE57A" w:rsidR="00A91DB3" w:rsidRPr="002C21B8" w:rsidRDefault="002F23F1" w:rsidP="00A91DB3">
      <w:r w:rsidRPr="002C21B8">
        <w:t>The primary reflexive consideration related to my insider position</w:t>
      </w:r>
      <w:r w:rsidR="00A766ED" w:rsidRPr="002C21B8">
        <w:t>,</w:t>
      </w:r>
      <w:r w:rsidRPr="002C21B8">
        <w:t xml:space="preserve"> as this </w:t>
      </w:r>
      <w:r w:rsidR="00BB5B54" w:rsidRPr="002C21B8">
        <w:t xml:space="preserve">is known to </w:t>
      </w:r>
      <w:r w:rsidRPr="002C21B8">
        <w:t>carr</w:t>
      </w:r>
      <w:r w:rsidR="00BB5B54" w:rsidRPr="002C21B8">
        <w:t>y</w:t>
      </w:r>
      <w:r w:rsidRPr="002C21B8">
        <w:t xml:space="preserve"> a risk of assumptions, blind spots and over-familiarity </w:t>
      </w:r>
      <w:r w:rsidR="00BB5B54" w:rsidRPr="002C21B8">
        <w:t xml:space="preserve">when </w:t>
      </w:r>
      <w:r w:rsidR="00A6685F" w:rsidRPr="002C21B8">
        <w:t>conducting</w:t>
      </w:r>
      <w:r w:rsidR="00BB5B54" w:rsidRPr="002C21B8">
        <w:t xml:space="preserve"> qualitative research </w:t>
      </w:r>
      <w:r w:rsidR="00BB5B54" w:rsidRPr="002C21B8">
        <w:fldChar w:fldCharType="begin"/>
      </w:r>
      <w:r w:rsidR="00BB5B54" w:rsidRPr="002C21B8">
        <w:instrText xml:space="preserve"> ADDIN EN.CITE &lt;EndNote&gt;&lt;Cite&gt;&lt;Author&gt;Chavez&lt;/Author&gt;&lt;Year&gt;2008&lt;/Year&gt;&lt;RecNum&gt;125575&lt;/RecNum&gt;&lt;DisplayText&gt;(Chavez, 2008)&lt;/DisplayText&gt;&lt;record&gt;&lt;rec-number&gt;125575&lt;/rec-number&gt;&lt;foreign-keys&gt;&lt;key app="EN" db-id="xpefzwa5hf9dt2ea9fax95x7xvxz90v09dtf" timestamp="1778182623"&gt;125575&lt;/key&gt;&lt;/foreign-keys&gt;&lt;ref-type name="Journal Article"&gt;17&lt;/ref-type&gt;&lt;contributors&gt;&lt;authors&gt;&lt;author&gt;Chavez, Christina&lt;/author&gt;&lt;/authors&gt;&lt;/contributors&gt;&lt;titles&gt;&lt;title&gt;Conceptualizing from the inside: Advantages, complications, and demands on insider positionality&lt;/title&gt;&lt;secondary-title&gt;The Qualitative Report&lt;/secondary-title&gt;&lt;/titles&gt;&lt;periodical&gt;&lt;full-title&gt;The qualitative report&lt;/full-title&gt;&lt;/periodical&gt;&lt;pages&gt;474-494&lt;/pages&gt;&lt;volume&gt;13&lt;/volume&gt;&lt;number&gt;3&lt;/number&gt;&lt;dates&gt;&lt;year&gt;2008&lt;/year&gt;&lt;/dates&gt;&lt;isbn&gt;1052-0147&lt;/isbn&gt;&lt;urls&gt;&lt;/urls&gt;&lt;/record&gt;&lt;/Cite&gt;&lt;/EndNote&gt;</w:instrText>
      </w:r>
      <w:r w:rsidR="00BB5B54" w:rsidRPr="002C21B8">
        <w:fldChar w:fldCharType="separate"/>
      </w:r>
      <w:r w:rsidR="00BB5B54" w:rsidRPr="002C21B8">
        <w:rPr>
          <w:noProof/>
        </w:rPr>
        <w:t>(Chavez, 2008)</w:t>
      </w:r>
      <w:r w:rsidR="00BB5B54" w:rsidRPr="002C21B8">
        <w:fldChar w:fldCharType="end"/>
      </w:r>
      <w:r w:rsidRPr="002C21B8">
        <w:t xml:space="preserve">. </w:t>
      </w:r>
      <w:r w:rsidR="002F7D81" w:rsidRPr="002C21B8">
        <w:t xml:space="preserve">To </w:t>
      </w:r>
      <w:r w:rsidRPr="002C21B8">
        <w:t>account for this,</w:t>
      </w:r>
      <w:r w:rsidR="002F7D81" w:rsidRPr="002C21B8">
        <w:t xml:space="preserve"> the topic guide used during the interviews was </w:t>
      </w:r>
      <w:r w:rsidRPr="002C21B8">
        <w:t>designed</w:t>
      </w:r>
      <w:r w:rsidR="002F7D81" w:rsidRPr="002C21B8">
        <w:t xml:space="preserve"> to include open-ended questions and neutral prompts to encourage more detailed accounts of participants’ perspectives and practices.</w:t>
      </w:r>
      <w:r w:rsidR="00865902" w:rsidRPr="002C21B8">
        <w:t xml:space="preserve"> This is included in the </w:t>
      </w:r>
      <w:hyperlink w:anchor="_Appendix_7._Additional_1" w:history="1">
        <w:r w:rsidR="00865902" w:rsidRPr="002C21B8">
          <w:rPr>
            <w:rStyle w:val="Hyperlink"/>
          </w:rPr>
          <w:t>additional details on the methods for the multiple case study</w:t>
        </w:r>
      </w:hyperlink>
      <w:r w:rsidR="00865902" w:rsidRPr="002C21B8">
        <w:t>.</w:t>
      </w:r>
      <w:r w:rsidR="002F7D81" w:rsidRPr="002C21B8">
        <w:t xml:space="preserve"> </w:t>
      </w:r>
      <w:r w:rsidR="00985D37" w:rsidRPr="002C21B8">
        <w:t xml:space="preserve">The pilot interview </w:t>
      </w:r>
      <w:r w:rsidRPr="002C21B8">
        <w:t xml:space="preserve">was undertaken </w:t>
      </w:r>
      <w:r w:rsidR="00BB5B54" w:rsidRPr="002C21B8">
        <w:t>to</w:t>
      </w:r>
      <w:r w:rsidRPr="002C21B8">
        <w:t xml:space="preserve"> allow </w:t>
      </w:r>
      <w:r w:rsidR="00D517EE" w:rsidRPr="002C21B8">
        <w:t>consideration</w:t>
      </w:r>
      <w:r w:rsidR="00985D37" w:rsidRPr="002C21B8">
        <w:t xml:space="preserve"> o</w:t>
      </w:r>
      <w:r w:rsidR="00D517EE" w:rsidRPr="002C21B8">
        <w:t>f</w:t>
      </w:r>
      <w:r w:rsidR="00985D37" w:rsidRPr="002C21B8">
        <w:t xml:space="preserve"> the phrasing of questions </w:t>
      </w:r>
      <w:r w:rsidR="00BB5B54" w:rsidRPr="002C21B8">
        <w:t>and</w:t>
      </w:r>
      <w:r w:rsidR="00985D37" w:rsidRPr="002C21B8">
        <w:t xml:space="preserve"> identify any </w:t>
      </w:r>
      <w:r w:rsidRPr="002C21B8">
        <w:t>inadvertent</w:t>
      </w:r>
      <w:r w:rsidR="00985D37" w:rsidRPr="002C21B8">
        <w:t xml:space="preserve"> assumptions embedded within the interview guide</w:t>
      </w:r>
      <w:r w:rsidRPr="002C21B8">
        <w:t xml:space="preserve">. This </w:t>
      </w:r>
      <w:r w:rsidR="00D517EE" w:rsidRPr="002C21B8">
        <w:t xml:space="preserve">was then able to </w:t>
      </w:r>
      <w:r w:rsidRPr="002C21B8">
        <w:t xml:space="preserve">be adapted </w:t>
      </w:r>
      <w:r w:rsidR="00BB5B54" w:rsidRPr="002C21B8">
        <w:t xml:space="preserve">before </w:t>
      </w:r>
      <w:r w:rsidR="00985D37" w:rsidRPr="002C21B8">
        <w:t>conducting the interviews at the case sites.</w:t>
      </w:r>
    </w:p>
    <w:p w14:paraId="1302A941" w14:textId="43FE08BD" w:rsidR="00A91DB3" w:rsidRPr="002C21B8" w:rsidRDefault="00A91DB3" w:rsidP="00A91DB3">
      <w:r w:rsidRPr="002C21B8">
        <w:t xml:space="preserve">For the observations of appointments, I was aware that my clinical background could influence how I interpreted observed practice. In response to this, I incorporated a brief discussion with the clinicians into the observation to provide an opportunity to review and reflect on my interpretations, particularly </w:t>
      </w:r>
      <w:r w:rsidR="00D517EE" w:rsidRPr="002C21B8">
        <w:t xml:space="preserve">as there was the </w:t>
      </w:r>
      <w:r w:rsidRPr="002C21B8">
        <w:t>potential for observed behaviour</w:t>
      </w:r>
      <w:r w:rsidR="00D517EE" w:rsidRPr="002C21B8">
        <w:t>s</w:t>
      </w:r>
      <w:r w:rsidRPr="002C21B8">
        <w:t xml:space="preserve"> to be interpreted in multiple ways. </w:t>
      </w:r>
      <w:r w:rsidR="00C43749" w:rsidRPr="002C21B8">
        <w:t xml:space="preserve">The multiple case study was where I anticipated the </w:t>
      </w:r>
      <w:r w:rsidR="008F5F0C" w:rsidRPr="002C21B8">
        <w:t>greatest</w:t>
      </w:r>
      <w:r w:rsidR="00C43749" w:rsidRPr="002C21B8">
        <w:t xml:space="preserve"> potential influence of my clinical background on data collection</w:t>
      </w:r>
      <w:r w:rsidR="00A766ED" w:rsidRPr="002C21B8">
        <w:t xml:space="preserve">. This </w:t>
      </w:r>
      <w:r w:rsidR="008F5F0C" w:rsidRPr="002C21B8">
        <w:t xml:space="preserve">led to my decision to complete a journal entry after every interview and observation to document my initial interpretations and </w:t>
      </w:r>
      <w:r w:rsidR="00A766ED" w:rsidRPr="002C21B8">
        <w:t xml:space="preserve">how </w:t>
      </w:r>
      <w:r w:rsidR="008F5F0C" w:rsidRPr="002C21B8">
        <w:t xml:space="preserve">my positionality may have influenced data collection. This was then reviewed at the interpretation stage of the </w:t>
      </w:r>
      <w:r w:rsidR="00603489" w:rsidRPr="002C21B8">
        <w:t>multiple</w:t>
      </w:r>
      <w:r w:rsidR="008F5F0C" w:rsidRPr="002C21B8">
        <w:t xml:space="preserve"> case study</w:t>
      </w:r>
      <w:r w:rsidRPr="002C21B8">
        <w:t xml:space="preserve">. </w:t>
      </w:r>
      <w:r w:rsidR="003F297E" w:rsidRPr="002C21B8">
        <w:t xml:space="preserve">Following </w:t>
      </w:r>
      <w:r w:rsidR="00C43749" w:rsidRPr="002C21B8">
        <w:t xml:space="preserve">analysis of the data, I arranged to have meetings with </w:t>
      </w:r>
      <w:r w:rsidRPr="002C21B8">
        <w:t>my supervision team and PPI group</w:t>
      </w:r>
      <w:r w:rsidR="00CF1DCC" w:rsidRPr="002C21B8">
        <w:t>,</w:t>
      </w:r>
      <w:r w:rsidRPr="002C21B8">
        <w:t xml:space="preserve"> so I would have the opportunity to present my initial interpretations and explore alternative explanations. This was intended to support reflexive engagement with the data by challenging any interpretations that may have been influenced by my clinical background.</w:t>
      </w:r>
    </w:p>
    <w:p w14:paraId="2A7C798C" w14:textId="2CF79AAE" w:rsidR="00730FF6" w:rsidRPr="002C21B8" w:rsidRDefault="00D517EE" w:rsidP="008873F1">
      <w:r w:rsidRPr="002C21B8">
        <w:t xml:space="preserve">For the national survey of clinical practice (Phase 4), I was aware that having knowledge of prescribing practices at other centres through discussions with colleagues in the ADPKD clinical study group could potentially influence the selection and framing of questions when designing the survey. To account for this, I planned for the </w:t>
      </w:r>
      <w:r w:rsidR="006D776F" w:rsidRPr="002C21B8">
        <w:t xml:space="preserve">draft </w:t>
      </w:r>
      <w:r w:rsidRPr="002C21B8">
        <w:t>question</w:t>
      </w:r>
      <w:r w:rsidR="006D776F" w:rsidRPr="002C21B8">
        <w:t>naire</w:t>
      </w:r>
      <w:r w:rsidRPr="002C21B8">
        <w:t xml:space="preserve"> to be discussed with my supervision team and the PPI group before dissemination</w:t>
      </w:r>
      <w:r w:rsidR="005467CF" w:rsidRPr="002C21B8">
        <w:t>. This was</w:t>
      </w:r>
      <w:r w:rsidRPr="002C21B8">
        <w:t xml:space="preserve"> to </w:t>
      </w:r>
      <w:r w:rsidR="005467CF" w:rsidRPr="002C21B8">
        <w:t xml:space="preserve">help </w:t>
      </w:r>
      <w:r w:rsidRPr="002C21B8">
        <w:t>ensure that questions were neutrally framed, comprehensive and not unduly shaped by my prior assumptions.</w:t>
      </w:r>
    </w:p>
    <w:p w14:paraId="2D78030D" w14:textId="2FDBBBF6" w:rsidR="00EC5B1A" w:rsidRPr="002C21B8" w:rsidRDefault="00CE7F66" w:rsidP="00581663">
      <w:pPr>
        <w:pStyle w:val="Heading2"/>
      </w:pPr>
      <w:bookmarkStart w:id="71" w:name="_Toc229687215"/>
      <w:r w:rsidRPr="002C21B8">
        <w:t>Ethical considerations</w:t>
      </w:r>
      <w:r w:rsidR="00C83686" w:rsidRPr="002C21B8">
        <w:t xml:space="preserve"> across </w:t>
      </w:r>
      <w:r w:rsidR="00716253" w:rsidRPr="002C21B8">
        <w:t>the programme of research</w:t>
      </w:r>
      <w:bookmarkEnd w:id="71"/>
    </w:p>
    <w:p w14:paraId="31F13B17" w14:textId="7D654F98" w:rsidR="007C7261" w:rsidRPr="002C21B8" w:rsidRDefault="002838D9" w:rsidP="003374F4">
      <w:r w:rsidRPr="002C21B8">
        <w:t xml:space="preserve">All research involving human participants must be scientifically sound and adhere to established ethical principles. Ethical approval for the analysis of the </w:t>
      </w:r>
      <w:r w:rsidR="004164FB" w:rsidRPr="002C21B8">
        <w:t>registry</w:t>
      </w:r>
      <w:r w:rsidRPr="002C21B8">
        <w:t xml:space="preserve"> data in Phase </w:t>
      </w:r>
      <w:r w:rsidR="00DE7BD7" w:rsidRPr="002C21B8">
        <w:t xml:space="preserve">2 </w:t>
      </w:r>
      <w:r w:rsidRPr="002C21B8">
        <w:t xml:space="preserve">was </w:t>
      </w:r>
      <w:r w:rsidR="00F21002" w:rsidRPr="002C21B8">
        <w:t>grante</w:t>
      </w:r>
      <w:r w:rsidRPr="002C21B8">
        <w:t>d by the University of Sheffield Research Ethics Committee</w:t>
      </w:r>
      <w:r w:rsidR="003424EC" w:rsidRPr="002C21B8">
        <w:t xml:space="preserve"> </w:t>
      </w:r>
      <w:r w:rsidRPr="002C21B8">
        <w:t xml:space="preserve">(reference 056645) on 17/08/2023. </w:t>
      </w:r>
      <w:r w:rsidR="00DE7BD7" w:rsidRPr="002C21B8">
        <w:t>A</w:t>
      </w:r>
      <w:r w:rsidRPr="002C21B8">
        <w:t xml:space="preserve">pproval </w:t>
      </w:r>
      <w:r w:rsidR="00DE7BD7" w:rsidRPr="002C21B8">
        <w:t xml:space="preserve">for subsequent phases </w:t>
      </w:r>
      <w:r w:rsidRPr="002C21B8">
        <w:t xml:space="preserve">was </w:t>
      </w:r>
      <w:r w:rsidR="00C403CE" w:rsidRPr="002C21B8">
        <w:t xml:space="preserve">then </w:t>
      </w:r>
      <w:r w:rsidR="00C81E0D" w:rsidRPr="002C21B8">
        <w:t>attained</w:t>
      </w:r>
      <w:r w:rsidRPr="002C21B8">
        <w:t xml:space="preserve"> from the Dulwich R</w:t>
      </w:r>
      <w:r w:rsidR="000B5737" w:rsidRPr="002C21B8">
        <w:t xml:space="preserve">esearch </w:t>
      </w:r>
      <w:r w:rsidRPr="002C21B8">
        <w:t>E</w:t>
      </w:r>
      <w:r w:rsidR="000B5737" w:rsidRPr="002C21B8">
        <w:t xml:space="preserve">thics </w:t>
      </w:r>
      <w:r w:rsidRPr="002C21B8">
        <w:t>C</w:t>
      </w:r>
      <w:r w:rsidR="000B5737" w:rsidRPr="002C21B8">
        <w:t>ommittee</w:t>
      </w:r>
      <w:r w:rsidRPr="002C21B8">
        <w:t xml:space="preserve"> (reference number 24/PR/106) on 21/03/2024.</w:t>
      </w:r>
      <w:r w:rsidR="00411F8F" w:rsidRPr="002C21B8">
        <w:t xml:space="preserve"> </w:t>
      </w:r>
      <w:r w:rsidR="00CE7F66" w:rsidRPr="002C21B8">
        <w:t xml:space="preserve">In addition, permission was obtained from each NHS site involved in </w:t>
      </w:r>
      <w:r w:rsidR="00DE7BD7" w:rsidRPr="002C21B8">
        <w:t>the multiple case study</w:t>
      </w:r>
      <w:r w:rsidR="00CE7F66" w:rsidRPr="002C21B8">
        <w:t xml:space="preserve"> to conduct research on that site. </w:t>
      </w:r>
      <w:r w:rsidR="00344F3B" w:rsidRPr="002C21B8">
        <w:t>C</w:t>
      </w:r>
      <w:r w:rsidR="00CE7F66" w:rsidRPr="002C21B8">
        <w:t xml:space="preserve">opies of approval letters from the </w:t>
      </w:r>
      <w:r w:rsidR="00411F8F" w:rsidRPr="002C21B8">
        <w:t>University of Sheffield R</w:t>
      </w:r>
      <w:r w:rsidR="000B5737" w:rsidRPr="002C21B8">
        <w:t>esearch Ethics Committee</w:t>
      </w:r>
      <w:r w:rsidR="0063422B" w:rsidRPr="002C21B8">
        <w:t xml:space="preserve"> and</w:t>
      </w:r>
      <w:r w:rsidR="00411F8F" w:rsidRPr="002C21B8">
        <w:t xml:space="preserve"> </w:t>
      </w:r>
      <w:r w:rsidR="00CE7F66" w:rsidRPr="002C21B8">
        <w:t>Dulwich R</w:t>
      </w:r>
      <w:r w:rsidR="000B5737" w:rsidRPr="002C21B8">
        <w:t xml:space="preserve">esearch </w:t>
      </w:r>
      <w:r w:rsidR="00CE7F66" w:rsidRPr="002C21B8">
        <w:t>E</w:t>
      </w:r>
      <w:r w:rsidR="000B5737" w:rsidRPr="002C21B8">
        <w:t xml:space="preserve">thics </w:t>
      </w:r>
      <w:r w:rsidR="00CE7F66" w:rsidRPr="002C21B8">
        <w:t>C</w:t>
      </w:r>
      <w:r w:rsidR="000B5737" w:rsidRPr="002C21B8">
        <w:t>ommittee</w:t>
      </w:r>
      <w:r w:rsidR="00344F3B" w:rsidRPr="002C21B8">
        <w:t xml:space="preserve"> are included in </w:t>
      </w:r>
      <w:hyperlink w:anchor="_Appendix_2._Ethical_1" w:history="1">
        <w:r w:rsidR="00344F3B" w:rsidRPr="002C21B8">
          <w:rPr>
            <w:rStyle w:val="Hyperlink"/>
          </w:rPr>
          <w:t>Appendix 2</w:t>
        </w:r>
      </w:hyperlink>
      <w:r w:rsidR="00CE7F66" w:rsidRPr="002C21B8">
        <w:t xml:space="preserve">. </w:t>
      </w:r>
      <w:r w:rsidR="00FE5852" w:rsidRPr="002C21B8">
        <w:t>Throughout</w:t>
      </w:r>
      <w:r w:rsidR="007C7261" w:rsidRPr="002C21B8">
        <w:t xml:space="preserve"> the </w:t>
      </w:r>
      <w:r w:rsidR="00716253" w:rsidRPr="002C21B8">
        <w:t>programme of research</w:t>
      </w:r>
      <w:r w:rsidR="007C7261" w:rsidRPr="002C21B8">
        <w:t xml:space="preserve">, I </w:t>
      </w:r>
      <w:r w:rsidR="00FE5852" w:rsidRPr="002C21B8">
        <w:t xml:space="preserve">ensured that </w:t>
      </w:r>
      <w:r w:rsidR="008F1C43" w:rsidRPr="002C21B8">
        <w:t xml:space="preserve">my </w:t>
      </w:r>
      <w:r w:rsidR="0063422B" w:rsidRPr="002C21B8">
        <w:t>mandatory</w:t>
      </w:r>
      <w:r w:rsidR="00FE5852" w:rsidRPr="002C21B8">
        <w:t xml:space="preserve"> training in </w:t>
      </w:r>
      <w:r w:rsidR="00506AA4" w:rsidRPr="002C21B8">
        <w:t>research</w:t>
      </w:r>
      <w:r w:rsidR="00FE5852" w:rsidRPr="002C21B8">
        <w:t xml:space="preserve"> ethics and data management w</w:t>
      </w:r>
      <w:r w:rsidR="00F15B53" w:rsidRPr="002C21B8">
        <w:t>as</w:t>
      </w:r>
      <w:r w:rsidR="00FE5852" w:rsidRPr="002C21B8">
        <w:t xml:space="preserve"> kept up to date. </w:t>
      </w:r>
      <w:r w:rsidR="00CE7F66" w:rsidRPr="002C21B8">
        <w:t xml:space="preserve">Details of the main ethical considerations for each phase </w:t>
      </w:r>
      <w:r w:rsidR="008F1C43" w:rsidRPr="002C21B8">
        <w:t>in</w:t>
      </w:r>
      <w:r w:rsidR="00DE7BD7" w:rsidRPr="002C21B8">
        <w:t xml:space="preserve"> the </w:t>
      </w:r>
      <w:r w:rsidR="008F1C43" w:rsidRPr="002C21B8">
        <w:t>programme of</w:t>
      </w:r>
      <w:r w:rsidR="00DE7BD7" w:rsidRPr="002C21B8">
        <w:t xml:space="preserve"> research </w:t>
      </w:r>
      <w:r w:rsidR="00CE7F66" w:rsidRPr="002C21B8">
        <w:t>a</w:t>
      </w:r>
      <w:r w:rsidR="00E34BFA" w:rsidRPr="002C21B8">
        <w:t>re included in the following sections.</w:t>
      </w:r>
    </w:p>
    <w:p w14:paraId="513B0FC6" w14:textId="549D1D70" w:rsidR="00A7076F" w:rsidRPr="002C21B8" w:rsidRDefault="00A7076F" w:rsidP="004507C8">
      <w:pPr>
        <w:pStyle w:val="Heading3"/>
      </w:pPr>
      <w:r w:rsidRPr="002C21B8">
        <w:t>Ethical considerations in Phase 1 – Systematic review</w:t>
      </w:r>
    </w:p>
    <w:p w14:paraId="5D16BBE7" w14:textId="4F45CE6B" w:rsidR="001D0AF5" w:rsidRPr="002C21B8" w:rsidRDefault="001D0AF5" w:rsidP="001D0AF5">
      <w:r w:rsidRPr="002C21B8">
        <w:t>Ethical approval was not required for this systematic review (overview of systematic reviews) as it used publicly available data and did not involve any primary data collection or participant information.</w:t>
      </w:r>
    </w:p>
    <w:p w14:paraId="68D010CA" w14:textId="4585EA92" w:rsidR="00CE7F66" w:rsidRPr="002C21B8" w:rsidRDefault="00A7076F" w:rsidP="004507C8">
      <w:pPr>
        <w:pStyle w:val="Heading3"/>
      </w:pPr>
      <w:r w:rsidRPr="002C21B8">
        <w:t xml:space="preserve">Ethical considerations in </w:t>
      </w:r>
      <w:r w:rsidR="00CE7F66" w:rsidRPr="002C21B8">
        <w:t xml:space="preserve">Phase </w:t>
      </w:r>
      <w:r w:rsidR="00DE7BD7" w:rsidRPr="002C21B8">
        <w:t xml:space="preserve">2 </w:t>
      </w:r>
      <w:r w:rsidR="009C7F3F" w:rsidRPr="002C21B8">
        <w:t xml:space="preserve">– </w:t>
      </w:r>
      <w:r w:rsidR="00F00B21" w:rsidRPr="002C21B8">
        <w:t xml:space="preserve">Analysis of </w:t>
      </w:r>
      <w:r w:rsidR="000E7F32" w:rsidRPr="002C21B8">
        <w:t>registry data</w:t>
      </w:r>
    </w:p>
    <w:p w14:paraId="0FA00D12" w14:textId="0149C989" w:rsidR="003A3FA7" w:rsidRPr="002C21B8" w:rsidRDefault="00E34BFA" w:rsidP="003374F4">
      <w:r w:rsidRPr="002C21B8">
        <w:t xml:space="preserve">Phase </w:t>
      </w:r>
      <w:r w:rsidR="00DE7BD7" w:rsidRPr="002C21B8">
        <w:t>2</w:t>
      </w:r>
      <w:r w:rsidRPr="002C21B8">
        <w:t xml:space="preserve"> involved secondary analysis of routinely collected patient-level data from the RaDaR database.</w:t>
      </w:r>
      <w:r w:rsidR="00E5429F" w:rsidRPr="002C21B8">
        <w:t xml:space="preserve"> </w:t>
      </w:r>
      <w:r w:rsidR="004E4FC9" w:rsidRPr="002C21B8">
        <w:t xml:space="preserve">Although secondary analysis </w:t>
      </w:r>
      <w:r w:rsidR="00A1276D" w:rsidRPr="002C21B8">
        <w:t>is often perceived to be relatively low risk, there are some important ethical considerations</w:t>
      </w:r>
      <w:r w:rsidR="00E5429F" w:rsidRPr="002C21B8">
        <w:t xml:space="preserve"> </w:t>
      </w:r>
      <w:r w:rsidR="00E5429F" w:rsidRPr="002C21B8">
        <w:fldChar w:fldCharType="begin"/>
      </w:r>
      <w:r w:rsidR="002726AE" w:rsidRPr="002C21B8">
        <w:instrText xml:space="preserve"> ADDIN EN.CITE &lt;EndNote&gt;&lt;Cite&gt;&lt;Author&gt;Tripathy&lt;/Author&gt;&lt;Year&gt;2013&lt;/Year&gt;&lt;RecNum&gt;125398&lt;/RecNum&gt;&lt;DisplayText&gt;(Tripathy, 2013)&lt;/DisplayText&gt;&lt;record&gt;&lt;rec-number&gt;125398&lt;/rec-number&gt;&lt;foreign-keys&gt;&lt;key app="EN" db-id="xpefzwa5hf9dt2ea9fax95x7xvxz90v09dtf" timestamp="1775649619"&gt;125398&lt;/key&gt;&lt;/foreign-keys&gt;&lt;ref-type name="Journal Article"&gt;17&lt;/ref-type&gt;&lt;contributors&gt;&lt;authors&gt;&lt;author&gt;Tripathy, Jaya Prasad&lt;/author&gt;&lt;/authors&gt;&lt;/contributors&gt;&lt;titles&gt;&lt;title&gt;Secondary data analysis: Ethical issues and challenges&lt;/title&gt;&lt;secondary-title&gt;Iranian Journal of Public Health&lt;/secondary-title&gt;&lt;/titles&gt;&lt;periodical&gt;&lt;full-title&gt;Iranian journal of public health&lt;/full-title&gt;&lt;/periodical&gt;&lt;pages&gt;1478&lt;/pages&gt;&lt;volume&gt;42&lt;/volume&gt;&lt;number&gt;12&lt;/number&gt;&lt;dates&gt;&lt;year&gt;2013&lt;/year&gt;&lt;/dates&gt;&lt;urls&gt;&lt;/urls&gt;&lt;/record&gt;&lt;/Cite&gt;&lt;/EndNote&gt;</w:instrText>
      </w:r>
      <w:r w:rsidR="00E5429F" w:rsidRPr="002C21B8">
        <w:fldChar w:fldCharType="separate"/>
      </w:r>
      <w:r w:rsidR="00E5429F" w:rsidRPr="002C21B8">
        <w:rPr>
          <w:noProof/>
        </w:rPr>
        <w:t>(Tripathy, 2013)</w:t>
      </w:r>
      <w:r w:rsidR="00E5429F" w:rsidRPr="002C21B8">
        <w:fldChar w:fldCharType="end"/>
      </w:r>
      <w:r w:rsidR="00A1276D" w:rsidRPr="002C21B8">
        <w:t>.</w:t>
      </w:r>
    </w:p>
    <w:p w14:paraId="53BE3637" w14:textId="0AEB2374" w:rsidR="00F00B21" w:rsidRPr="002C21B8" w:rsidRDefault="002B5BDB" w:rsidP="006207E0">
      <w:r w:rsidRPr="002C21B8">
        <w:t>One key consideration i</w:t>
      </w:r>
      <w:r w:rsidR="00BD2408" w:rsidRPr="002C21B8">
        <w:t xml:space="preserve">s the need to </w:t>
      </w:r>
      <w:r w:rsidRPr="002C21B8">
        <w:t>ensur</w:t>
      </w:r>
      <w:r w:rsidR="00BD2408" w:rsidRPr="002C21B8">
        <w:t>e</w:t>
      </w:r>
      <w:r w:rsidRPr="002C21B8">
        <w:t xml:space="preserve"> that the secondary use of data aligns with the consent originally provided by participants</w:t>
      </w:r>
      <w:r w:rsidR="006207E0" w:rsidRPr="002C21B8">
        <w:t xml:space="preserve"> </w:t>
      </w:r>
      <w:r w:rsidR="006207E0" w:rsidRPr="002C21B8">
        <w:fldChar w:fldCharType="begin"/>
      </w:r>
      <w:r w:rsidR="000215B0" w:rsidRPr="002C21B8">
        <w:instrText xml:space="preserve"> ADDIN EN.CITE &lt;EndNote&gt;&lt;Cite&gt;&lt;Author&gt;van Gils-Schmidt&lt;/Author&gt;&lt;Year&gt;2025&lt;/Year&gt;&lt;RecNum&gt;125400&lt;/RecNum&gt;&lt;DisplayText&gt;(van Gils-Schmidt&lt;style face="italic"&gt; et al.&lt;/style&gt;, 2025)&lt;/DisplayText&gt;&lt;record&gt;&lt;rec-number&gt;125400&lt;/rec-number&gt;&lt;foreign-keys&gt;&lt;key app="EN" db-id="xpefzwa5hf9dt2ea9fax95x7xvxz90v09dtf" timestamp="1775649879"&gt;125400&lt;/key&gt;&lt;/foreign-keys&gt;&lt;ref-type name="Journal Article"&gt;17&lt;/ref-type&gt;&lt;contributors&gt;&lt;authors&gt;&lt;author&gt;van Gils-Schmidt, Henk Jasper&lt;/author&gt;&lt;author&gt;Hinrichsen, Jan&lt;/author&gt;&lt;author&gt;Schicktanz, Silke&lt;/author&gt;&lt;author&gt;Wöhlke, Sabine&lt;/author&gt;&lt;/authors&gt;&lt;/contributors&gt;&lt;titles&gt;&lt;title&gt;Critical consideration towards broad consent by patient experts: results of a semi-structured interview study on the secondary use of medical data&lt;/title&gt;&lt;secondary-title&gt;BMC Medical Ethics&lt;/secondary-title&gt;&lt;/titles&gt;&lt;periodical&gt;&lt;full-title&gt;BMC medical ethics&lt;/full-title&gt;&lt;/periodical&gt;&lt;pages&gt;163&lt;/pages&gt;&lt;volume&gt;26&lt;/volume&gt;&lt;number&gt;1&lt;/number&gt;&lt;dates&gt;&lt;year&gt;2025&lt;/year&gt;&lt;/dates&gt;&lt;isbn&gt;1472-6939&lt;/isbn&gt;&lt;urls&gt;&lt;/urls&gt;&lt;/record&gt;&lt;/Cite&gt;&lt;/EndNote&gt;</w:instrText>
      </w:r>
      <w:r w:rsidR="006207E0" w:rsidRPr="002C21B8">
        <w:fldChar w:fldCharType="separate"/>
      </w:r>
      <w:r w:rsidR="006207E0" w:rsidRPr="002C21B8">
        <w:rPr>
          <w:noProof/>
        </w:rPr>
        <w:t>(van Gils-Schmidt</w:t>
      </w:r>
      <w:r w:rsidR="006207E0" w:rsidRPr="002C21B8">
        <w:rPr>
          <w:i/>
          <w:noProof/>
        </w:rPr>
        <w:t xml:space="preserve"> et al.</w:t>
      </w:r>
      <w:r w:rsidR="006207E0" w:rsidRPr="002C21B8">
        <w:rPr>
          <w:noProof/>
        </w:rPr>
        <w:t>, 2025)</w:t>
      </w:r>
      <w:r w:rsidR="006207E0" w:rsidRPr="002C21B8">
        <w:fldChar w:fldCharType="end"/>
      </w:r>
      <w:r w:rsidRPr="002C21B8">
        <w:t xml:space="preserve">. </w:t>
      </w:r>
      <w:r w:rsidR="006207E0" w:rsidRPr="002C21B8">
        <w:t>Patients recruited to RaDaR already g</w:t>
      </w:r>
      <w:r w:rsidR="00BD2408" w:rsidRPr="002C21B8">
        <w:t>ave</w:t>
      </w:r>
      <w:r w:rsidR="006207E0" w:rsidRPr="002C21B8">
        <w:t xml:space="preserve"> consent for their data to be used in future research. To ensure the proposed analysis adhered to this consent, an application was submitted to the RaDaR </w:t>
      </w:r>
      <w:r w:rsidR="00AC59FC" w:rsidRPr="002C21B8">
        <w:t>D</w:t>
      </w:r>
      <w:r w:rsidR="006207E0" w:rsidRPr="002C21B8">
        <w:t xml:space="preserve">ata </w:t>
      </w:r>
      <w:r w:rsidR="00AC59FC" w:rsidRPr="002C21B8">
        <w:t>A</w:t>
      </w:r>
      <w:r w:rsidR="006207E0" w:rsidRPr="002C21B8">
        <w:t xml:space="preserve">nalysis </w:t>
      </w:r>
      <w:r w:rsidR="00BD2408" w:rsidRPr="002C21B8">
        <w:t>G</w:t>
      </w:r>
      <w:r w:rsidR="006207E0" w:rsidRPr="002C21B8">
        <w:t xml:space="preserve">roup. </w:t>
      </w:r>
      <w:r w:rsidR="00DE7BD7" w:rsidRPr="002C21B8">
        <w:t>This group</w:t>
      </w:r>
      <w:r w:rsidR="006207E0" w:rsidRPr="002C21B8">
        <w:t xml:space="preserve"> consists of</w:t>
      </w:r>
      <w:r w:rsidR="00F00B21" w:rsidRPr="002C21B8">
        <w:t xml:space="preserve"> substantive employees of the UK Kidney Association, statisticians, clinicians and patient representatives. They approved the analysi</w:t>
      </w:r>
      <w:r w:rsidR="007500E5" w:rsidRPr="002C21B8">
        <w:t xml:space="preserve">s as ethically appropriate, </w:t>
      </w:r>
      <w:r w:rsidR="006207E0" w:rsidRPr="002C21B8">
        <w:t>confirmed that it complied with the governance framework of the registry, aligned with the patients’ original consent and w</w:t>
      </w:r>
      <w:r w:rsidR="00BD2408" w:rsidRPr="002C21B8">
        <w:t xml:space="preserve">ould be in the interest of </w:t>
      </w:r>
      <w:r w:rsidR="006207E0" w:rsidRPr="002C21B8">
        <w:t>patients.</w:t>
      </w:r>
    </w:p>
    <w:p w14:paraId="78CBA6CD" w14:textId="0E7C8DCD" w:rsidR="00A1276D" w:rsidRPr="002C21B8" w:rsidRDefault="001C6AE3" w:rsidP="003374F4">
      <w:r w:rsidRPr="002C21B8">
        <w:t>T</w:t>
      </w:r>
      <w:r w:rsidR="006D5B43" w:rsidRPr="002C21B8">
        <w:t xml:space="preserve">he main risk </w:t>
      </w:r>
      <w:r w:rsidRPr="002C21B8">
        <w:t xml:space="preserve">often considered </w:t>
      </w:r>
      <w:r w:rsidR="006D5B43" w:rsidRPr="002C21B8">
        <w:t xml:space="preserve">in secondary analysis </w:t>
      </w:r>
      <w:r w:rsidRPr="002C21B8">
        <w:t xml:space="preserve">of data </w:t>
      </w:r>
      <w:r w:rsidR="006D5B43" w:rsidRPr="002C21B8">
        <w:t>is the potential harm from breaches in confidentiality and identification of participants</w:t>
      </w:r>
      <w:r w:rsidR="00376F07" w:rsidRPr="002C21B8">
        <w:t>. T</w:t>
      </w:r>
      <w:r w:rsidR="006D5B43" w:rsidRPr="002C21B8">
        <w:t>his is particularly relevant given the rare disease context</w:t>
      </w:r>
      <w:r w:rsidR="00376F07" w:rsidRPr="002C21B8">
        <w:t xml:space="preserve"> where anonymisation may be less protective due to low prevalence and high identifiability </w:t>
      </w:r>
      <w:r w:rsidR="00376F07" w:rsidRPr="002C21B8">
        <w:fldChar w:fldCharType="begin"/>
      </w:r>
      <w:r w:rsidR="00CE4967" w:rsidRPr="002C21B8">
        <w:instrText xml:space="preserve"> ADDIN EN.CITE &lt;EndNote&gt;&lt;Cite&gt;&lt;Author&gt;Courbier&lt;/Author&gt;&lt;Year&gt;2019&lt;/Year&gt;&lt;RecNum&gt;125399&lt;/RecNum&gt;&lt;DisplayText&gt;(Courbier, Dimond and Bros-Facer, 2019)&lt;/DisplayText&gt;&lt;record&gt;&lt;rec-number&gt;125399&lt;/rec-number&gt;&lt;foreign-keys&gt;&lt;key app="EN" db-id="xpefzwa5hf9dt2ea9fax95x7xvxz90v09dtf" timestamp="1775649755"&gt;125399&lt;/key&gt;&lt;/foreign-keys&gt;&lt;ref-type name="Journal Article"&gt;17&lt;/ref-type&gt;&lt;contributors&gt;&lt;authors&gt;&lt;author&gt;Courbier, Sandra&lt;/author&gt;&lt;author&gt;Dimond, Rebecca&lt;/author&gt;&lt;author&gt;Bros-Facer, Virginie&lt;/author&gt;&lt;/authors&gt;&lt;/contributors&gt;&lt;titles&gt;&lt;title&gt;Share and protect our health data: an evidence based approach to rare disease patients’ perspectives on data sharing and data protection-quantitative survey and recommendations&lt;/title&gt;&lt;secondary-title&gt;Orphanet Journal of Rare Diseases&lt;/secondary-title&gt;&lt;/titles&gt;&lt;periodical&gt;&lt;full-title&gt;Orphanet Journal of Rare Diseases&lt;/full-title&gt;&lt;/periodical&gt;&lt;pages&gt;175&lt;/pages&gt;&lt;volume&gt;14&lt;/volume&gt;&lt;number&gt;1&lt;/number&gt;&lt;dates&gt;&lt;year&gt;2019&lt;/year&gt;&lt;/dates&gt;&lt;isbn&gt;1750-1172&lt;/isbn&gt;&lt;urls&gt;&lt;/urls&gt;&lt;/record&gt;&lt;/Cite&gt;&lt;/EndNote&gt;</w:instrText>
      </w:r>
      <w:r w:rsidR="00376F07" w:rsidRPr="002C21B8">
        <w:fldChar w:fldCharType="separate"/>
      </w:r>
      <w:r w:rsidR="00376F07" w:rsidRPr="002C21B8">
        <w:rPr>
          <w:noProof/>
        </w:rPr>
        <w:t>(Courbier, Dimond and Bros-Facer, 2019)</w:t>
      </w:r>
      <w:r w:rsidR="00376F07" w:rsidRPr="002C21B8">
        <w:fldChar w:fldCharType="end"/>
      </w:r>
      <w:r w:rsidR="006D5B43" w:rsidRPr="002C21B8">
        <w:t xml:space="preserve">. For this reason, </w:t>
      </w:r>
      <w:r w:rsidR="008D2F10" w:rsidRPr="002C21B8">
        <w:t>RaDaR does not permit patient</w:t>
      </w:r>
      <w:r w:rsidR="00F21002" w:rsidRPr="002C21B8">
        <w:t>-</w:t>
      </w:r>
      <w:r w:rsidR="008D2F10" w:rsidRPr="002C21B8">
        <w:t>level data to leave their servers</w:t>
      </w:r>
      <w:r w:rsidR="00F21002" w:rsidRPr="002C21B8">
        <w:t>,</w:t>
      </w:r>
      <w:r w:rsidR="008D2F10" w:rsidRPr="002C21B8">
        <w:t xml:space="preserve"> and statistical analyses must be undertaken by the RaDaR statistics team </w:t>
      </w:r>
      <w:r w:rsidR="006D5B43" w:rsidRPr="002C21B8">
        <w:t xml:space="preserve">under the guidance of </w:t>
      </w:r>
      <w:r w:rsidR="00BD2408" w:rsidRPr="002C21B8">
        <w:t>the</w:t>
      </w:r>
      <w:r w:rsidR="00DE7BD7" w:rsidRPr="002C21B8">
        <w:t xml:space="preserve"> researcher</w:t>
      </w:r>
      <w:r w:rsidR="006D5B43" w:rsidRPr="002C21B8">
        <w:t>. Only the minimum data</w:t>
      </w:r>
      <w:r w:rsidR="008D2F10" w:rsidRPr="002C21B8">
        <w:t xml:space="preserve"> necessary</w:t>
      </w:r>
      <w:r w:rsidR="006D5B43" w:rsidRPr="002C21B8">
        <w:t xml:space="preserve"> to answer the research question was analysed</w:t>
      </w:r>
      <w:r w:rsidR="000C7EC9" w:rsidRPr="002C21B8">
        <w:t>,</w:t>
      </w:r>
      <w:r w:rsidR="006D5B43" w:rsidRPr="002C21B8">
        <w:t xml:space="preserve"> with no unnecessary or extraneous information requested. </w:t>
      </w:r>
      <w:r w:rsidR="00376F07" w:rsidRPr="002C21B8">
        <w:t>A</w:t>
      </w:r>
      <w:r w:rsidR="006D5B43" w:rsidRPr="002C21B8">
        <w:t xml:space="preserve">ll findings were presented at </w:t>
      </w:r>
      <w:r w:rsidR="008D2F10" w:rsidRPr="002C21B8">
        <w:t xml:space="preserve">the </w:t>
      </w:r>
      <w:r w:rsidR="006D5B43" w:rsidRPr="002C21B8">
        <w:t>cohort</w:t>
      </w:r>
      <w:r w:rsidR="0002247C" w:rsidRPr="002C21B8">
        <w:t xml:space="preserve"> or</w:t>
      </w:r>
      <w:r w:rsidR="003F3C44" w:rsidRPr="002C21B8">
        <w:t xml:space="preserve"> kidney</w:t>
      </w:r>
      <w:r w:rsidR="008D2F10" w:rsidRPr="002C21B8">
        <w:t xml:space="preserve"> centre</w:t>
      </w:r>
      <w:r w:rsidR="00F21002" w:rsidRPr="002C21B8">
        <w:t xml:space="preserve"> </w:t>
      </w:r>
      <w:r w:rsidR="008D2F10" w:rsidRPr="002C21B8">
        <w:t>level</w:t>
      </w:r>
      <w:r w:rsidR="006D5B43" w:rsidRPr="002C21B8">
        <w:t>; indirectly standardised ratios were used instead of raw counts to further reduce disclosure risk.</w:t>
      </w:r>
      <w:r w:rsidR="00A1276D" w:rsidRPr="002C21B8">
        <w:t xml:space="preserve"> These measures align with principles of data minimisation </w:t>
      </w:r>
      <w:r w:rsidR="00A1276D" w:rsidRPr="002C21B8">
        <w:fldChar w:fldCharType="begin"/>
      </w:r>
      <w:r w:rsidR="00062561" w:rsidRPr="002C21B8">
        <w:instrText xml:space="preserve"> ADDIN EN.CITE &lt;EndNote&gt;&lt;Cite&gt;&lt;Author&gt;Information Commissioner’s Office&lt;/Author&gt;&lt;Year&gt;2025&lt;/Year&gt;&lt;RecNum&gt;125166&lt;/RecNum&gt;&lt;DisplayText&gt;(Information Commissioner’s Office, 2025)&lt;/DisplayText&gt;&lt;record&gt;&lt;rec-number&gt;125166&lt;/rec-number&gt;&lt;foreign-keys&gt;&lt;key app="EN" db-id="xpefzwa5hf9dt2ea9fax95x7xvxz90v09dtf" timestamp="1767689000"&gt;125166&lt;/key&gt;&lt;/foreign-keys&gt;&lt;ref-type name="Web Page"&gt;12&lt;/ref-type&gt;&lt;contributors&gt;&lt;authors&gt;&lt;author&gt;Information Commissioner’s Office,&lt;/author&gt;&lt;/authors&gt;&lt;/contributors&gt;&lt;titles&gt;&lt;title&gt;A guide to the data protection principles&lt;/title&gt;&lt;/titles&gt;&lt;number&gt;28/04/2026)&lt;/number&gt;&lt;dates&gt;&lt;year&gt;2025&lt;/year&gt;&lt;/dates&gt;&lt;urls&gt;&lt;related-urls&gt;&lt;url&gt;https://ico.org.uk/for-organisations/uk-gdpr-guidance-and-resources/data-protection-principles/a-guide-to-the-data-protection-principles/&lt;/url&gt;&lt;/related-urls&gt;&lt;/urls&gt;&lt;access-date&gt;6th January 2026&lt;/access-date&gt;&lt;/record&gt;&lt;/Cite&gt;&lt;/EndNote&gt;</w:instrText>
      </w:r>
      <w:r w:rsidR="00A1276D" w:rsidRPr="002C21B8">
        <w:fldChar w:fldCharType="separate"/>
      </w:r>
      <w:r w:rsidR="00A1276D" w:rsidRPr="002C21B8">
        <w:rPr>
          <w:noProof/>
        </w:rPr>
        <w:t>(Information Commissioner’s Office, 2025)</w:t>
      </w:r>
      <w:r w:rsidR="00A1276D" w:rsidRPr="002C21B8">
        <w:fldChar w:fldCharType="end"/>
      </w:r>
      <w:r w:rsidR="00A1276D" w:rsidRPr="002C21B8">
        <w:t xml:space="preserve"> and statistical disclosure control in health research </w:t>
      </w:r>
      <w:r w:rsidR="00A1276D" w:rsidRPr="002C21B8">
        <w:fldChar w:fldCharType="begin"/>
      </w:r>
      <w:r w:rsidR="00FF0A99" w:rsidRPr="002C21B8">
        <w:instrText xml:space="preserve"> ADDIN EN.CITE &lt;EndNote&gt;&lt;Cite&gt;&lt;Author&gt;Office for National Statistics&lt;/Author&gt;&lt;Year&gt;2021&lt;/Year&gt;&lt;RecNum&gt;125165&lt;/RecNum&gt;&lt;DisplayText&gt;(Office for National Statistics, 2021)&lt;/DisplayText&gt;&lt;record&gt;&lt;rec-number&gt;125165&lt;/rec-number&gt;&lt;foreign-keys&gt;&lt;key app="EN" db-id="xpefzwa5hf9dt2ea9fax95x7xvxz90v09dtf" timestamp="1767688768"&gt;125165&lt;/key&gt;&lt;/foreign-keys&gt;&lt;ref-type name="Web Page"&gt;12&lt;/ref-type&gt;&lt;contributors&gt;&lt;authors&gt;&lt;author&gt;Office for National Statistics,&lt;/author&gt;&lt;/authors&gt;&lt;/contributors&gt;&lt;titles&gt;&lt;title&gt;Statistical disclosure control&lt;/title&gt;&lt;/titles&gt;&lt;number&gt;06/01/2026)&lt;/number&gt;&lt;dates&gt;&lt;year&gt;2021&lt;/year&gt;&lt;/dates&gt;&lt;urls&gt;&lt;related-urls&gt;&lt;url&gt;https://www.ons.gov.uk/aboutus/transparencyandgovernance/datastrategy/datapolicies/statisticaldisclosurecontrol&lt;/url&gt;&lt;/related-urls&gt;&lt;/urls&gt;&lt;/record&gt;&lt;/Cite&gt;&lt;/EndNote&gt;</w:instrText>
      </w:r>
      <w:r w:rsidR="00A1276D" w:rsidRPr="002C21B8">
        <w:fldChar w:fldCharType="separate"/>
      </w:r>
      <w:r w:rsidR="00A1276D" w:rsidRPr="002C21B8">
        <w:rPr>
          <w:noProof/>
        </w:rPr>
        <w:t>(Office for National Statistics, 2021)</w:t>
      </w:r>
      <w:r w:rsidR="00A1276D" w:rsidRPr="002C21B8">
        <w:fldChar w:fldCharType="end"/>
      </w:r>
      <w:r w:rsidR="00A1276D" w:rsidRPr="002C21B8">
        <w:t>.</w:t>
      </w:r>
    </w:p>
    <w:p w14:paraId="6CA1F1BF" w14:textId="7B548CFC" w:rsidR="00D601A5" w:rsidRPr="002C21B8" w:rsidRDefault="00A7076F" w:rsidP="004507C8">
      <w:pPr>
        <w:pStyle w:val="Heading3"/>
      </w:pPr>
      <w:r w:rsidRPr="002C21B8">
        <w:t xml:space="preserve">Ethical considerations in </w:t>
      </w:r>
      <w:r w:rsidR="009C7F3F" w:rsidRPr="002C21B8">
        <w:t xml:space="preserve">Phase </w:t>
      </w:r>
      <w:r w:rsidR="00DE7BD7" w:rsidRPr="002C21B8">
        <w:t>3</w:t>
      </w:r>
      <w:r w:rsidR="009C7F3F" w:rsidRPr="002C21B8">
        <w:t xml:space="preserve"> – Multiple case study</w:t>
      </w:r>
    </w:p>
    <w:p w14:paraId="4EDA88E9" w14:textId="48E39B0F" w:rsidR="00D21896" w:rsidRPr="002C21B8" w:rsidRDefault="00D21896" w:rsidP="003374F4">
      <w:r w:rsidRPr="002C21B8">
        <w:t>K</w:t>
      </w:r>
      <w:r w:rsidR="00C36036" w:rsidRPr="002C21B8">
        <w:t>ey ethical considerations</w:t>
      </w:r>
      <w:r w:rsidR="0063422B" w:rsidRPr="002C21B8">
        <w:t xml:space="preserve"> for the multiple case study</w:t>
      </w:r>
      <w:r w:rsidR="00C36036" w:rsidRPr="002C21B8">
        <w:t xml:space="preserve"> included: participant consent, confidentiality, </w:t>
      </w:r>
      <w:r w:rsidR="009D7EAA" w:rsidRPr="002C21B8">
        <w:t xml:space="preserve">transparency when blinding, </w:t>
      </w:r>
      <w:r w:rsidR="00C36036" w:rsidRPr="002C21B8">
        <w:t xml:space="preserve">and </w:t>
      </w:r>
      <w:r w:rsidR="00E83985" w:rsidRPr="002C21B8">
        <w:t xml:space="preserve">my </w:t>
      </w:r>
      <w:r w:rsidR="00C36036" w:rsidRPr="002C21B8">
        <w:t>personal safet</w:t>
      </w:r>
      <w:r w:rsidR="00E83985" w:rsidRPr="002C21B8">
        <w:t>y</w:t>
      </w:r>
      <w:r w:rsidR="00C36036" w:rsidRPr="002C21B8">
        <w:t>.</w:t>
      </w:r>
    </w:p>
    <w:p w14:paraId="1CF1DCB1" w14:textId="346723E0" w:rsidR="008A424A" w:rsidRPr="002C21B8" w:rsidRDefault="00D21896" w:rsidP="003374F4">
      <w:r w:rsidRPr="002C21B8">
        <w:t xml:space="preserve">Participation was voluntary. It was acknowledged that </w:t>
      </w:r>
      <w:r w:rsidR="008954EE" w:rsidRPr="002C21B8">
        <w:t>participat</w:t>
      </w:r>
      <w:r w:rsidR="003A4A9D" w:rsidRPr="002C21B8">
        <w:t>ion</w:t>
      </w:r>
      <w:r w:rsidRPr="002C21B8">
        <w:t xml:space="preserve"> </w:t>
      </w:r>
      <w:r w:rsidR="00CA2B75" w:rsidRPr="002C21B8">
        <w:t>could</w:t>
      </w:r>
      <w:r w:rsidR="003F3C44" w:rsidRPr="002C21B8">
        <w:t xml:space="preserve"> </w:t>
      </w:r>
      <w:r w:rsidR="00225A43" w:rsidRPr="002C21B8">
        <w:t xml:space="preserve">be </w:t>
      </w:r>
      <w:r w:rsidR="003A4A9D" w:rsidRPr="002C21B8">
        <w:t xml:space="preserve">considered an </w:t>
      </w:r>
      <w:r w:rsidRPr="002C21B8">
        <w:t>inconvenien</w:t>
      </w:r>
      <w:r w:rsidR="003A4A9D" w:rsidRPr="002C21B8">
        <w:t>ce</w:t>
      </w:r>
      <w:r w:rsidR="008954EE" w:rsidRPr="002C21B8">
        <w:t xml:space="preserve">, but the burden to participants would be </w:t>
      </w:r>
      <w:r w:rsidR="003F3C44" w:rsidRPr="002C21B8">
        <w:t>minimal</w:t>
      </w:r>
      <w:r w:rsidR="008A424A" w:rsidRPr="002C21B8">
        <w:t>.</w:t>
      </w:r>
      <w:r w:rsidRPr="002C21B8">
        <w:t xml:space="preserve"> </w:t>
      </w:r>
      <w:r w:rsidR="003F3C44" w:rsidRPr="002C21B8">
        <w:t>To minimise this burden</w:t>
      </w:r>
      <w:r w:rsidR="008954EE" w:rsidRPr="002C21B8">
        <w:t xml:space="preserve"> further</w:t>
      </w:r>
      <w:r w:rsidR="003F3C44" w:rsidRPr="002C21B8">
        <w:t xml:space="preserve">, </w:t>
      </w:r>
      <w:r w:rsidR="00460F86" w:rsidRPr="002C21B8">
        <w:t>the interview was arranged to suit the participant’s preferred time and location wherever possible</w:t>
      </w:r>
      <w:r w:rsidRPr="002C21B8">
        <w:t xml:space="preserve">. For the observations, these were undertaken </w:t>
      </w:r>
      <w:r w:rsidR="008A424A" w:rsidRPr="002C21B8">
        <w:t>in</w:t>
      </w:r>
      <w:r w:rsidRPr="002C21B8">
        <w:t xml:space="preserve"> existing clinics to avoid any unnecessary disruption. </w:t>
      </w:r>
      <w:r w:rsidR="00DE7BD7" w:rsidRPr="002C21B8">
        <w:t xml:space="preserve">Clinicians </w:t>
      </w:r>
      <w:r w:rsidR="008B7AD9" w:rsidRPr="002C21B8">
        <w:t>and patients</w:t>
      </w:r>
      <w:r w:rsidRPr="002C21B8">
        <w:t xml:space="preserve"> </w:t>
      </w:r>
      <w:r w:rsidR="003F2013" w:rsidRPr="002C21B8">
        <w:t xml:space="preserve">received detailed information regarding the multiple case study through a written participant information sheet included with their invitation letter. </w:t>
      </w:r>
      <w:r w:rsidRPr="002C21B8">
        <w:t>As there is no fixed guidance on the appropriate amount of notice</w:t>
      </w:r>
      <w:r w:rsidR="008A424A" w:rsidRPr="002C21B8">
        <w:t xml:space="preserve"> to give potential participants, pragmatically</w:t>
      </w:r>
      <w:r w:rsidR="000C7EC9" w:rsidRPr="002C21B8">
        <w:t>,</w:t>
      </w:r>
      <w:r w:rsidR="008A424A" w:rsidRPr="002C21B8">
        <w:t xml:space="preserve"> two weeks was selected</w:t>
      </w:r>
      <w:r w:rsidRPr="002C21B8">
        <w:t xml:space="preserve">. To </w:t>
      </w:r>
      <w:r w:rsidR="00C36036" w:rsidRPr="002C21B8">
        <w:t>safeguard against coercion or undue influence</w:t>
      </w:r>
      <w:r w:rsidRPr="002C21B8">
        <w:t xml:space="preserve"> </w:t>
      </w:r>
      <w:r w:rsidR="00CA2B75" w:rsidRPr="002C21B8">
        <w:t>of</w:t>
      </w:r>
      <w:r w:rsidRPr="002C21B8">
        <w:t xml:space="preserve"> patient</w:t>
      </w:r>
      <w:r w:rsidR="008B7AD9" w:rsidRPr="002C21B8">
        <w:t>s</w:t>
      </w:r>
      <w:r w:rsidR="00C36036" w:rsidRPr="002C21B8">
        <w:t xml:space="preserve">, invitations </w:t>
      </w:r>
      <w:r w:rsidR="00376F07" w:rsidRPr="002C21B8">
        <w:t xml:space="preserve">were sent by </w:t>
      </w:r>
      <w:r w:rsidR="00C36036" w:rsidRPr="002C21B8">
        <w:t>local administrative staff</w:t>
      </w:r>
      <w:r w:rsidR="00376F07" w:rsidRPr="002C21B8">
        <w:t xml:space="preserve"> w</w:t>
      </w:r>
      <w:r w:rsidR="0021402D" w:rsidRPr="002C21B8">
        <w:t>it</w:t>
      </w:r>
      <w:r w:rsidR="00376F07" w:rsidRPr="002C21B8">
        <w:t xml:space="preserve">h the aim of </w:t>
      </w:r>
      <w:r w:rsidR="00C36036" w:rsidRPr="002C21B8">
        <w:t xml:space="preserve">preserving participants’ freedom to choose </w:t>
      </w:r>
      <w:r w:rsidR="00CA2B75" w:rsidRPr="002C21B8">
        <w:t xml:space="preserve">whether to participate </w:t>
      </w:r>
      <w:r w:rsidR="00C36036" w:rsidRPr="002C21B8">
        <w:t>without researcher influence.</w:t>
      </w:r>
    </w:p>
    <w:p w14:paraId="2C0086B8" w14:textId="7F40C913" w:rsidR="008A424A" w:rsidRPr="002C21B8" w:rsidRDefault="008A424A" w:rsidP="003374F4">
      <w:r w:rsidRPr="002C21B8">
        <w:t>The R</w:t>
      </w:r>
      <w:r w:rsidR="007B7DC8" w:rsidRPr="002C21B8">
        <w:t xml:space="preserve">esearch </w:t>
      </w:r>
      <w:r w:rsidRPr="002C21B8">
        <w:t>E</w:t>
      </w:r>
      <w:r w:rsidR="007B7DC8" w:rsidRPr="002C21B8">
        <w:t xml:space="preserve">thics </w:t>
      </w:r>
      <w:r w:rsidRPr="002C21B8">
        <w:t>C</w:t>
      </w:r>
      <w:r w:rsidR="007B7DC8" w:rsidRPr="002C21B8">
        <w:t>ommittee</w:t>
      </w:r>
      <w:r w:rsidRPr="002C21B8">
        <w:t xml:space="preserve"> queried whether it w</w:t>
      </w:r>
      <w:r w:rsidR="000A0E08" w:rsidRPr="002C21B8">
        <w:t>as</w:t>
      </w:r>
      <w:r w:rsidRPr="002C21B8">
        <w:t xml:space="preserve"> </w:t>
      </w:r>
      <w:r w:rsidR="00135DC9" w:rsidRPr="002C21B8">
        <w:t>necessary</w:t>
      </w:r>
      <w:r w:rsidRPr="002C21B8">
        <w:t xml:space="preserve"> for the </w:t>
      </w:r>
      <w:r w:rsidR="000A0E08" w:rsidRPr="002C21B8">
        <w:t>me</w:t>
      </w:r>
      <w:r w:rsidRPr="002C21B8">
        <w:t xml:space="preserve"> to access patient databases or clinic lists at participating sites to identify eligible patients for the observations. It was agreed that this </w:t>
      </w:r>
      <w:r w:rsidR="00E73B7A" w:rsidRPr="002C21B8">
        <w:t xml:space="preserve">would involve </w:t>
      </w:r>
      <w:r w:rsidRPr="002C21B8">
        <w:t xml:space="preserve">unnecessary exposure </w:t>
      </w:r>
      <w:r w:rsidR="00E73B7A" w:rsidRPr="002C21B8">
        <w:t>of</w:t>
      </w:r>
      <w:r w:rsidRPr="002C21B8">
        <w:t xml:space="preserve"> identifiable patient data. For this reason, local clinical or administrative staff identified and approached eligible patients on </w:t>
      </w:r>
      <w:r w:rsidR="000A0E08" w:rsidRPr="002C21B8">
        <w:t xml:space="preserve">my </w:t>
      </w:r>
      <w:r w:rsidRPr="002C21B8">
        <w:t xml:space="preserve">behalf. While this increased the workload for sites, it was judged to be ethically preferable and </w:t>
      </w:r>
      <w:r w:rsidR="000A0E08" w:rsidRPr="002C21B8">
        <w:t xml:space="preserve">more </w:t>
      </w:r>
      <w:r w:rsidRPr="002C21B8">
        <w:t>consistent with principles of data minimisation</w:t>
      </w:r>
      <w:r w:rsidR="001149F7" w:rsidRPr="002C21B8">
        <w:t xml:space="preserve"> </w:t>
      </w:r>
      <w:r w:rsidR="001149F7" w:rsidRPr="002C21B8">
        <w:fldChar w:fldCharType="begin"/>
      </w:r>
      <w:r w:rsidR="00062561" w:rsidRPr="002C21B8">
        <w:instrText xml:space="preserve"> ADDIN EN.CITE &lt;EndNote&gt;&lt;Cite&gt;&lt;Author&gt;Information Commissioner’s Office&lt;/Author&gt;&lt;Year&gt;2025&lt;/Year&gt;&lt;RecNum&gt;125166&lt;/RecNum&gt;&lt;DisplayText&gt;(Information Commissioner’s Office, 2025)&lt;/DisplayText&gt;&lt;record&gt;&lt;rec-number&gt;125166&lt;/rec-number&gt;&lt;foreign-keys&gt;&lt;key app="EN" db-id="xpefzwa5hf9dt2ea9fax95x7xvxz90v09dtf" timestamp="1767689000"&gt;125166&lt;/key&gt;&lt;/foreign-keys&gt;&lt;ref-type name="Web Page"&gt;12&lt;/ref-type&gt;&lt;contributors&gt;&lt;authors&gt;&lt;author&gt;Information Commissioner’s Office,&lt;/author&gt;&lt;/authors&gt;&lt;/contributors&gt;&lt;titles&gt;&lt;title&gt;A guide to the data protection principles&lt;/title&gt;&lt;/titles&gt;&lt;number&gt;28/04/2026)&lt;/number&gt;&lt;dates&gt;&lt;year&gt;2025&lt;/year&gt;&lt;/dates&gt;&lt;urls&gt;&lt;related-urls&gt;&lt;url&gt;https://ico.org.uk/for-organisations/uk-gdpr-guidance-and-resources/data-protection-principles/a-guide-to-the-data-protection-principles/&lt;/url&gt;&lt;/related-urls&gt;&lt;/urls&gt;&lt;access-date&gt;6th January 2026&lt;/access-date&gt;&lt;/record&gt;&lt;/Cite&gt;&lt;/EndNote&gt;</w:instrText>
      </w:r>
      <w:r w:rsidR="001149F7" w:rsidRPr="002C21B8">
        <w:fldChar w:fldCharType="separate"/>
      </w:r>
      <w:r w:rsidR="001149F7" w:rsidRPr="002C21B8">
        <w:rPr>
          <w:noProof/>
        </w:rPr>
        <w:t>(Information Commissioner’s Office, 2025)</w:t>
      </w:r>
      <w:r w:rsidR="001149F7" w:rsidRPr="002C21B8">
        <w:fldChar w:fldCharType="end"/>
      </w:r>
      <w:r w:rsidRPr="002C21B8">
        <w:t>.</w:t>
      </w:r>
    </w:p>
    <w:p w14:paraId="1E907AA5" w14:textId="3854A8EB" w:rsidR="008A424A" w:rsidRPr="002C21B8" w:rsidRDefault="00DB3BC1" w:rsidP="003374F4">
      <w:r w:rsidRPr="002C21B8">
        <w:t>A</w:t>
      </w:r>
      <w:r w:rsidR="008A424A" w:rsidRPr="002C21B8">
        <w:t>n encrypted audio recording device was used for the interviews</w:t>
      </w:r>
      <w:r w:rsidRPr="002C21B8">
        <w:t xml:space="preserve"> to maintain participant confidentiality</w:t>
      </w:r>
      <w:r w:rsidR="008A424A" w:rsidRPr="002C21B8">
        <w:t xml:space="preserve">. </w:t>
      </w:r>
      <w:r w:rsidRPr="002C21B8">
        <w:t>D</w:t>
      </w:r>
      <w:r w:rsidR="008A424A" w:rsidRPr="002C21B8">
        <w:t>ata handl</w:t>
      </w:r>
      <w:r w:rsidRPr="002C21B8">
        <w:t xml:space="preserve">ing was conducted in line with the requirements of the </w:t>
      </w:r>
      <w:r w:rsidR="008A424A" w:rsidRPr="002C21B8">
        <w:t>Data Protection Act 2018</w:t>
      </w:r>
      <w:r w:rsidR="00F748F6" w:rsidRPr="002C21B8">
        <w:t xml:space="preserve"> </w:t>
      </w:r>
      <w:r w:rsidR="00F748F6" w:rsidRPr="002C21B8">
        <w:fldChar w:fldCharType="begin"/>
      </w:r>
      <w:r w:rsidR="00F748F6" w:rsidRPr="002C21B8">
        <w:instrText xml:space="preserve"> ADDIN EN.CITE &lt;EndNote&gt;&lt;Cite&gt;&lt;Author&gt;UK Government&lt;/Author&gt;&lt;Year&gt;2018&lt;/Year&gt;&lt;RecNum&gt;125590&lt;/RecNum&gt;&lt;DisplayText&gt;(UK Government, 2018)&lt;/DisplayText&gt;&lt;record&gt;&lt;rec-number&gt;125590&lt;/rec-number&gt;&lt;foreign-keys&gt;&lt;key app="EN" db-id="xpefzwa5hf9dt2ea9fax95x7xvxz90v09dtf" timestamp="1778535583"&gt;125590&lt;/key&gt;&lt;/foreign-keys&gt;&lt;ref-type name="Web Page"&gt;12&lt;/ref-type&gt;&lt;contributors&gt;&lt;authors&gt;&lt;author&gt;UK Government,&lt;/author&gt;&lt;/authors&gt;&lt;/contributors&gt;&lt;titles&gt;&lt;title&gt;Data Protection Act 2018&lt;/title&gt;&lt;/titles&gt;&lt;number&gt;11/05/2026)&lt;/number&gt;&lt;dates&gt;&lt;year&gt;2018&lt;/year&gt;&lt;/dates&gt;&lt;urls&gt;&lt;related-urls&gt;&lt;url&gt;https://www.legislation.gov.uk/ukpga/2018/12/contents&lt;/url&gt;&lt;/related-urls&gt;&lt;/urls&gt;&lt;/record&gt;&lt;/Cite&gt;&lt;/EndNote&gt;</w:instrText>
      </w:r>
      <w:r w:rsidR="00F748F6" w:rsidRPr="002C21B8">
        <w:fldChar w:fldCharType="separate"/>
      </w:r>
      <w:r w:rsidR="00F748F6" w:rsidRPr="002C21B8">
        <w:rPr>
          <w:noProof/>
        </w:rPr>
        <w:t>(UK Government, 2018)</w:t>
      </w:r>
      <w:r w:rsidR="00F748F6" w:rsidRPr="002C21B8">
        <w:fldChar w:fldCharType="end"/>
      </w:r>
      <w:r w:rsidR="008A424A" w:rsidRPr="002C21B8">
        <w:t xml:space="preserve">. </w:t>
      </w:r>
      <w:r w:rsidRPr="002C21B8">
        <w:t xml:space="preserve">Paper copies of consent forms </w:t>
      </w:r>
      <w:r w:rsidR="008A424A" w:rsidRPr="002C21B8">
        <w:t xml:space="preserve">and </w:t>
      </w:r>
      <w:r w:rsidRPr="002C21B8">
        <w:t>fieldnotes</w:t>
      </w:r>
      <w:r w:rsidR="008A424A" w:rsidRPr="002C21B8">
        <w:t xml:space="preserve"> were </w:t>
      </w:r>
      <w:r w:rsidRPr="002C21B8">
        <w:t xml:space="preserve">stored securely in a </w:t>
      </w:r>
      <w:r w:rsidR="008A424A" w:rsidRPr="002C21B8">
        <w:t xml:space="preserve">locked cabinet </w:t>
      </w:r>
      <w:r w:rsidR="00716D6D" w:rsidRPr="002C21B8">
        <w:t xml:space="preserve">in the renal research department at </w:t>
      </w:r>
      <w:r w:rsidR="008A424A" w:rsidRPr="002C21B8">
        <w:t xml:space="preserve">Sheffield Teaching Hospitals Trust and were only accessible </w:t>
      </w:r>
      <w:r w:rsidR="002D1F40" w:rsidRPr="002C21B8">
        <w:t>to me</w:t>
      </w:r>
      <w:r w:rsidR="008A424A" w:rsidRPr="002C21B8">
        <w:t xml:space="preserve">. All audio recordings were </w:t>
      </w:r>
      <w:r w:rsidR="00E604DA" w:rsidRPr="002C21B8">
        <w:t>uploaded to</w:t>
      </w:r>
      <w:r w:rsidR="008A424A" w:rsidRPr="002C21B8">
        <w:t xml:space="preserve"> an encrypted University of Sheffield network </w:t>
      </w:r>
      <w:r w:rsidR="00716D6D" w:rsidRPr="002C21B8">
        <w:t xml:space="preserve">folder </w:t>
      </w:r>
      <w:r w:rsidR="00C026E7" w:rsidRPr="002C21B8">
        <w:t>before</w:t>
      </w:r>
      <w:r w:rsidR="008A424A" w:rsidRPr="002C21B8">
        <w:t xml:space="preserve"> </w:t>
      </w:r>
      <w:r w:rsidR="00E604DA" w:rsidRPr="002C21B8">
        <w:t xml:space="preserve">being </w:t>
      </w:r>
      <w:r w:rsidR="008A424A" w:rsidRPr="002C21B8">
        <w:t>delet</w:t>
      </w:r>
      <w:r w:rsidR="00E604DA" w:rsidRPr="002C21B8">
        <w:t>ed</w:t>
      </w:r>
      <w:r w:rsidR="00716D6D" w:rsidRPr="002C21B8">
        <w:t xml:space="preserve"> </w:t>
      </w:r>
      <w:r w:rsidR="008A424A" w:rsidRPr="002C21B8">
        <w:t>from the recording device. To</w:t>
      </w:r>
      <w:r w:rsidR="00A909FF" w:rsidRPr="002C21B8">
        <w:t xml:space="preserve"> maintain confidentiality and prevent identification</w:t>
      </w:r>
      <w:r w:rsidR="00251188" w:rsidRPr="002C21B8">
        <w:t>,</w:t>
      </w:r>
      <w:r w:rsidR="00A909FF" w:rsidRPr="002C21B8">
        <w:t xml:space="preserve"> </w:t>
      </w:r>
      <w:r w:rsidR="005C116B" w:rsidRPr="002C21B8">
        <w:t xml:space="preserve">each </w:t>
      </w:r>
      <w:r w:rsidR="008A424A" w:rsidRPr="002C21B8">
        <w:t>participant</w:t>
      </w:r>
      <w:r w:rsidR="005C116B" w:rsidRPr="002C21B8">
        <w:t xml:space="preserve"> was assigned a unique </w:t>
      </w:r>
      <w:r w:rsidR="0083573C" w:rsidRPr="002C21B8">
        <w:t>ID</w:t>
      </w:r>
      <w:r w:rsidR="008A424A" w:rsidRPr="002C21B8">
        <w:t xml:space="preserve"> numbe</w:t>
      </w:r>
      <w:r w:rsidR="005C116B" w:rsidRPr="002C21B8">
        <w:t>r for use</w:t>
      </w:r>
      <w:r w:rsidR="00251188" w:rsidRPr="002C21B8">
        <w:t xml:space="preserve"> in reports, presentations </w:t>
      </w:r>
      <w:r w:rsidR="00132454" w:rsidRPr="002C21B8">
        <w:t>and</w:t>
      </w:r>
      <w:r w:rsidR="00251188" w:rsidRPr="002C21B8">
        <w:t xml:space="preserve"> publications</w:t>
      </w:r>
      <w:r w:rsidR="008A424A" w:rsidRPr="002C21B8">
        <w:t>. In some cases</w:t>
      </w:r>
      <w:r w:rsidR="003D7112" w:rsidRPr="002C21B8">
        <w:t>,</w:t>
      </w:r>
      <w:r w:rsidR="008A424A" w:rsidRPr="002C21B8">
        <w:t xml:space="preserve"> it was necessary to redact information </w:t>
      </w:r>
      <w:r w:rsidR="00376F07" w:rsidRPr="002C21B8">
        <w:t xml:space="preserve">that </w:t>
      </w:r>
      <w:r w:rsidR="008A424A" w:rsidRPr="002C21B8">
        <w:t xml:space="preserve">may have indicated the identity of the individual or </w:t>
      </w:r>
      <w:r w:rsidR="003C46C0" w:rsidRPr="002C21B8">
        <w:t>centre</w:t>
      </w:r>
      <w:r w:rsidR="00672459" w:rsidRPr="002C21B8">
        <w:t>,</w:t>
      </w:r>
      <w:r w:rsidR="008A424A" w:rsidRPr="002C21B8">
        <w:t xml:space="preserve"> given the relatively </w:t>
      </w:r>
      <w:r w:rsidR="00672459" w:rsidRPr="002C21B8">
        <w:t>small ADPKD</w:t>
      </w:r>
      <w:r w:rsidR="008A424A" w:rsidRPr="002C21B8">
        <w:t xml:space="preserve"> </w:t>
      </w:r>
      <w:r w:rsidR="00672459" w:rsidRPr="002C21B8">
        <w:t xml:space="preserve">nephrology </w:t>
      </w:r>
      <w:r w:rsidR="008A424A" w:rsidRPr="002C21B8">
        <w:t>community.</w:t>
      </w:r>
    </w:p>
    <w:p w14:paraId="2607607F" w14:textId="55D55A96" w:rsidR="008A424A" w:rsidRPr="002C21B8" w:rsidRDefault="00690D43" w:rsidP="003374F4">
      <w:r w:rsidRPr="002C21B8">
        <w:t xml:space="preserve">Participating sites were not informed of their prescribing characteristics at the time of recruitment or during data collection. This information was also unavailable to </w:t>
      </w:r>
      <w:r w:rsidR="00376F07" w:rsidRPr="002C21B8">
        <w:t>m</w:t>
      </w:r>
      <w:r w:rsidR="00E73B7A" w:rsidRPr="002C21B8">
        <w:t>e</w:t>
      </w:r>
      <w:r w:rsidRPr="002C21B8">
        <w:t xml:space="preserve"> until after the </w:t>
      </w:r>
      <w:r w:rsidR="00376F07" w:rsidRPr="002C21B8">
        <w:t xml:space="preserve">initial </w:t>
      </w:r>
      <w:r w:rsidRPr="002C21B8">
        <w:t xml:space="preserve">data analysis </w:t>
      </w:r>
      <w:r w:rsidR="00376F07" w:rsidRPr="002C21B8">
        <w:t>was complete</w:t>
      </w:r>
      <w:r w:rsidRPr="002C21B8">
        <w:t xml:space="preserve">. Informed consent was therefore obtained </w:t>
      </w:r>
      <w:r w:rsidR="000C7EC9" w:rsidRPr="002C21B8">
        <w:t>based on</w:t>
      </w:r>
      <w:r w:rsidRPr="002C21B8">
        <w:t xml:space="preserve"> </w:t>
      </w:r>
      <w:r w:rsidR="000C7EC9" w:rsidRPr="002C21B8">
        <w:t xml:space="preserve">the </w:t>
      </w:r>
      <w:r w:rsidRPr="002C21B8">
        <w:t>full disclosure of the aims, methods and nature of participation</w:t>
      </w:r>
      <w:r w:rsidR="00716253" w:rsidRPr="002C21B8">
        <w:t xml:space="preserve"> in the multiple case study</w:t>
      </w:r>
      <w:r w:rsidRPr="002C21B8">
        <w:t xml:space="preserve">, rather than site-level prescribing characteristics. While this approach could be viewed as </w:t>
      </w:r>
      <w:r w:rsidR="00376F07" w:rsidRPr="002C21B8">
        <w:t>only partially transparent</w:t>
      </w:r>
      <w:r w:rsidRPr="002C21B8">
        <w:t xml:space="preserve">, revealing site-specific prescribing characteristics </w:t>
      </w:r>
      <w:r w:rsidR="008B7AD9" w:rsidRPr="002C21B8">
        <w:t xml:space="preserve">could have </w:t>
      </w:r>
      <w:r w:rsidRPr="002C21B8">
        <w:t>influence</w:t>
      </w:r>
      <w:r w:rsidR="008B7AD9" w:rsidRPr="002C21B8">
        <w:t>d</w:t>
      </w:r>
      <w:r w:rsidRPr="002C21B8">
        <w:t xml:space="preserve"> behaviour and responses</w:t>
      </w:r>
      <w:r w:rsidR="000C7EC9" w:rsidRPr="002C21B8">
        <w:t>,</w:t>
      </w:r>
      <w:r w:rsidRPr="002C21B8">
        <w:t xml:space="preserve"> which would have undermined</w:t>
      </w:r>
      <w:r w:rsidR="00B65937" w:rsidRPr="002C21B8">
        <w:t xml:space="preserve"> the credibility of the</w:t>
      </w:r>
      <w:r w:rsidRPr="002C21B8">
        <w:t xml:space="preserve"> </w:t>
      </w:r>
      <w:r w:rsidR="00716253" w:rsidRPr="002C21B8">
        <w:t>programme of research</w:t>
      </w:r>
      <w:r w:rsidR="001149F7" w:rsidRPr="002C21B8">
        <w:t xml:space="preserve"> </w:t>
      </w:r>
      <w:r w:rsidR="001149F7" w:rsidRPr="002C21B8">
        <w:fldChar w:fldCharType="begin"/>
      </w:r>
      <w:r w:rsidR="0060457F" w:rsidRPr="002C21B8">
        <w:instrText xml:space="preserve"> ADDIN EN.CITE &lt;EndNote&gt;&lt;Cite&gt;&lt;Author&gt;Yin&lt;/Author&gt;&lt;Year&gt;2018&lt;/Year&gt;&lt;RecNum&gt;5200&lt;/RecNum&gt;&lt;DisplayText&gt;(Yin, 2018)&lt;/DisplayText&gt;&lt;record&gt;&lt;rec-number&gt;5200&lt;/rec-number&gt;&lt;foreign-keys&gt;&lt;key app="EN" db-id="xpefzwa5hf9dt2ea9fax95x7xvxz90v09dtf" timestamp="1700667319"&gt;5200&lt;/key&gt;&lt;/foreign-keys&gt;&lt;ref-type name="Book"&gt;6&lt;/ref-type&gt;&lt;contributors&gt;&lt;authors&gt;&lt;author&gt;Yin, Robert K&lt;/author&gt;&lt;/authors&gt;&lt;/contributors&gt;&lt;titles&gt;&lt;title&gt;Case study research and applications&lt;/title&gt;&lt;/titles&gt;&lt;volume&gt;6&lt;/volume&gt;&lt;section&gt;1-352&lt;/section&gt;&lt;dates&gt;&lt;year&gt;2018&lt;/year&gt;&lt;/dates&gt;&lt;pub-location&gt;California, USA&lt;/pub-location&gt;&lt;publisher&gt;SAGE Publications Ltd&lt;/publisher&gt;&lt;urls&gt;&lt;/urls&gt;&lt;/record&gt;&lt;/Cite&gt;&lt;/EndNote&gt;</w:instrText>
      </w:r>
      <w:r w:rsidR="001149F7" w:rsidRPr="002C21B8">
        <w:fldChar w:fldCharType="separate"/>
      </w:r>
      <w:r w:rsidR="003279B3" w:rsidRPr="002C21B8">
        <w:rPr>
          <w:noProof/>
        </w:rPr>
        <w:t>(Yin, 2018)</w:t>
      </w:r>
      <w:r w:rsidR="001149F7" w:rsidRPr="002C21B8">
        <w:fldChar w:fldCharType="end"/>
      </w:r>
      <w:r w:rsidRPr="002C21B8">
        <w:t xml:space="preserve">. This balance between transparency and scientific integrity was addressed through the offer of debriefing at the end of the </w:t>
      </w:r>
      <w:r w:rsidR="00716253" w:rsidRPr="002C21B8">
        <w:t>multiple case study</w:t>
      </w:r>
      <w:r w:rsidRPr="002C21B8">
        <w:t xml:space="preserve">, should participating </w:t>
      </w:r>
      <w:r w:rsidR="003C46C0" w:rsidRPr="002C21B8">
        <w:t>centre</w:t>
      </w:r>
      <w:r w:rsidRPr="002C21B8">
        <w:t>s wish to know their prescribing characteristics.</w:t>
      </w:r>
    </w:p>
    <w:p w14:paraId="2F6CD31E" w14:textId="1B5AFF21" w:rsidR="00C36036" w:rsidRPr="002C21B8" w:rsidRDefault="009D7EAA" w:rsidP="003374F4">
      <w:r w:rsidRPr="002C21B8">
        <w:t xml:space="preserve">Finally, </w:t>
      </w:r>
      <w:r w:rsidR="00E83985" w:rsidRPr="002C21B8">
        <w:t xml:space="preserve">my </w:t>
      </w:r>
      <w:r w:rsidRPr="002C21B8">
        <w:t>p</w:t>
      </w:r>
      <w:r w:rsidR="00C36036" w:rsidRPr="002C21B8">
        <w:t>ersonal safety</w:t>
      </w:r>
      <w:r w:rsidRPr="002C21B8">
        <w:t xml:space="preserve"> was considered during clinic observations and</w:t>
      </w:r>
      <w:r w:rsidR="00376F07" w:rsidRPr="002C21B8">
        <w:t xml:space="preserve"> </w:t>
      </w:r>
      <w:r w:rsidR="00F92079" w:rsidRPr="002C21B8">
        <w:t xml:space="preserve">face -to-face </w:t>
      </w:r>
      <w:r w:rsidR="00376F07" w:rsidRPr="002C21B8">
        <w:t>interviews</w:t>
      </w:r>
      <w:r w:rsidRPr="002C21B8">
        <w:t xml:space="preserve">. All in-person data collection occurred on hospital grounds at case sites. The supervisory team was made aware of the location and expected timing </w:t>
      </w:r>
      <w:r w:rsidR="000C7EC9" w:rsidRPr="002C21B8">
        <w:t>before attending the case site to collect data</w:t>
      </w:r>
      <w:r w:rsidRPr="002C21B8">
        <w:t>. The primary supervisor was contacted by phone following the completion</w:t>
      </w:r>
      <w:r w:rsidR="003D7112" w:rsidRPr="002C21B8">
        <w:t xml:space="preserve"> of</w:t>
      </w:r>
      <w:r w:rsidRPr="002C21B8">
        <w:t xml:space="preserve"> </w:t>
      </w:r>
      <w:r w:rsidR="00376F07" w:rsidRPr="002C21B8">
        <w:t>each clinic observation or face-to-face interview</w:t>
      </w:r>
      <w:r w:rsidRPr="002C21B8">
        <w:t>.</w:t>
      </w:r>
    </w:p>
    <w:p w14:paraId="0C91CE98" w14:textId="4F8F3069" w:rsidR="002F1BAD" w:rsidRPr="002C21B8" w:rsidRDefault="00A7076F" w:rsidP="004507C8">
      <w:pPr>
        <w:pStyle w:val="Heading3"/>
      </w:pPr>
      <w:r w:rsidRPr="002C21B8">
        <w:t xml:space="preserve">Ethical considerations in </w:t>
      </w:r>
      <w:r w:rsidR="002F1BAD" w:rsidRPr="002C21B8">
        <w:t xml:space="preserve">Phase </w:t>
      </w:r>
      <w:r w:rsidR="008B7AD9" w:rsidRPr="002C21B8">
        <w:t>4</w:t>
      </w:r>
      <w:r w:rsidR="002F1BAD" w:rsidRPr="002C21B8">
        <w:t xml:space="preserve"> –</w:t>
      </w:r>
      <w:r w:rsidR="00C86FB1" w:rsidRPr="002C21B8">
        <w:t xml:space="preserve"> National </w:t>
      </w:r>
      <w:r w:rsidR="00FC190F" w:rsidRPr="002C21B8">
        <w:t>survey of clinical practice</w:t>
      </w:r>
    </w:p>
    <w:p w14:paraId="1F9E7477" w14:textId="624BDF86" w:rsidR="00C403CE" w:rsidRPr="002C21B8" w:rsidRDefault="003279B3" w:rsidP="003374F4">
      <w:r w:rsidRPr="002C21B8">
        <w:t>Su</w:t>
      </w:r>
      <w:r w:rsidR="008454AF" w:rsidRPr="002C21B8">
        <w:t>rveys are</w:t>
      </w:r>
      <w:r w:rsidRPr="002C21B8">
        <w:t xml:space="preserve"> often</w:t>
      </w:r>
      <w:r w:rsidR="008454AF" w:rsidRPr="002C21B8">
        <w:t xml:space="preserve"> considered low risk, especially if they only involve healthcare professionals and do not collect patient-level data</w:t>
      </w:r>
      <w:r w:rsidRPr="002C21B8">
        <w:t xml:space="preserve"> </w:t>
      </w:r>
      <w:r w:rsidRPr="002C21B8">
        <w:fldChar w:fldCharType="begin"/>
      </w:r>
      <w:r w:rsidR="00046586" w:rsidRPr="002C21B8">
        <w:instrText xml:space="preserve"> ADDIN EN.CITE &lt;EndNote&gt;&lt;Cite&gt;&lt;Author&gt;Dillman&lt;/Author&gt;&lt;Year&gt;2014&lt;/Year&gt;&lt;RecNum&gt;125402&lt;/RecNum&gt;&lt;DisplayText&gt;(Dillman, Smyth and Christian, 2014)&lt;/DisplayText&gt;&lt;record&gt;&lt;rec-number&gt;125402&lt;/rec-number&gt;&lt;foreign-keys&gt;&lt;key app="EN" db-id="xpefzwa5hf9dt2ea9fax95x7xvxz90v09dtf" timestamp="1775652161"&gt;125402&lt;/key&gt;&lt;/foreign-keys&gt;&lt;ref-type name="Book"&gt;6&lt;/ref-type&gt;&lt;contributors&gt;&lt;authors&gt;&lt;author&gt;Dillman, Don A&lt;/author&gt;&lt;author&gt;Smyth, Jolene D&lt;/author&gt;&lt;author&gt;Christian, Leah Melani&lt;/author&gt;&lt;/authors&gt;&lt;/contributors&gt;&lt;titles&gt;&lt;title&gt;Internet, phone, mail, and mixed-mode surveys: The tailored design method&lt;/title&gt;&lt;/titles&gt;&lt;section&gt;1-528&lt;/section&gt;&lt;dates&gt;&lt;year&gt;2014&lt;/year&gt;&lt;/dates&gt;&lt;pub-location&gt;Indianapolis, Indiana, USA&lt;/pub-location&gt;&lt;publisher&gt;John Wiley &amp;amp; Sons&lt;/publisher&gt;&lt;urls&gt;&lt;/urls&gt;&lt;/record&gt;&lt;/Cite&gt;&lt;/EndNote&gt;</w:instrText>
      </w:r>
      <w:r w:rsidRPr="002C21B8">
        <w:fldChar w:fldCharType="separate"/>
      </w:r>
      <w:r w:rsidRPr="002C21B8">
        <w:rPr>
          <w:noProof/>
        </w:rPr>
        <w:t>(Dillman, Smyth and Christian, 2014)</w:t>
      </w:r>
      <w:r w:rsidRPr="002C21B8">
        <w:fldChar w:fldCharType="end"/>
      </w:r>
      <w:r w:rsidR="008454AF" w:rsidRPr="002C21B8">
        <w:t xml:space="preserve">. </w:t>
      </w:r>
      <w:r w:rsidRPr="002C21B8">
        <w:t>Although there is no risk of physical harm to participants, th</w:t>
      </w:r>
      <w:r w:rsidR="008B7AD9" w:rsidRPr="002C21B8">
        <w:t>e</w:t>
      </w:r>
      <w:r w:rsidRPr="002C21B8">
        <w:t xml:space="preserve">re can be a risk of informational or psychological harm that requires ethical consideration </w:t>
      </w:r>
      <w:r w:rsidRPr="002C21B8">
        <w:fldChar w:fldCharType="begin"/>
      </w:r>
      <w:r w:rsidRPr="002C21B8">
        <w:instrText xml:space="preserve"> ADDIN EN.CITE &lt;EndNote&gt;&lt;Cite&gt;&lt;Author&gt;Whicher&lt;/Author&gt;&lt;Year&gt;2015&lt;/Year&gt;&lt;RecNum&gt;125403&lt;/RecNum&gt;&lt;DisplayText&gt;(Whicher and Wu, 2015)&lt;/DisplayText&gt;&lt;record&gt;&lt;rec-number&gt;125403&lt;/rec-number&gt;&lt;foreign-keys&gt;&lt;key app="EN" db-id="xpefzwa5hf9dt2ea9fax95x7xvxz90v09dtf" timestamp="1775652396"&gt;125403&lt;/key&gt;&lt;/foreign-keys&gt;&lt;ref-type name="Journal Article"&gt;17&lt;/ref-type&gt;&lt;contributors&gt;&lt;authors&gt;&lt;author&gt;Whicher, Danielle&lt;/author&gt;&lt;author&gt;Wu, Albert W&lt;/author&gt;&lt;/authors&gt;&lt;/contributors&gt;&lt;titles&gt;&lt;title&gt;Ethics review of survey research: a mandatory requirement for publication?&lt;/title&gt;&lt;secondary-title&gt;The Patient-Patient-Centered Outcomes Research&lt;/secondary-title&gt;&lt;/titles&gt;&lt;periodical&gt;&lt;full-title&gt;The Patient-Patient-Centered Outcomes Research&lt;/full-title&gt;&lt;/periodical&gt;&lt;pages&gt;477-482&lt;/pages&gt;&lt;volume&gt;8&lt;/volume&gt;&lt;number&gt;6&lt;/number&gt;&lt;dates&gt;&lt;year&gt;2015&lt;/year&gt;&lt;/dates&gt;&lt;isbn&gt;1178-1653&lt;/isbn&gt;&lt;urls&gt;&lt;/urls&gt;&lt;/record&gt;&lt;/Cite&gt;&lt;/EndNote&gt;</w:instrText>
      </w:r>
      <w:r w:rsidRPr="002C21B8">
        <w:fldChar w:fldCharType="separate"/>
      </w:r>
      <w:r w:rsidRPr="002C21B8">
        <w:t>(Whicher and Wu, 2015)</w:t>
      </w:r>
      <w:r w:rsidRPr="002C21B8">
        <w:fldChar w:fldCharType="end"/>
      </w:r>
      <w:r w:rsidRPr="002C21B8">
        <w:t>. Due to the QRA study design</w:t>
      </w:r>
      <w:r w:rsidR="009B0DEF" w:rsidRPr="002C21B8">
        <w:t>,</w:t>
      </w:r>
      <w:r w:rsidRPr="002C21B8">
        <w:t xml:space="preserve"> there was a </w:t>
      </w:r>
      <w:r w:rsidR="008454AF" w:rsidRPr="002C21B8">
        <w:t xml:space="preserve">need to link </w:t>
      </w:r>
      <w:r w:rsidR="008B7AD9" w:rsidRPr="002C21B8">
        <w:t xml:space="preserve">a </w:t>
      </w:r>
      <w:r w:rsidR="008454AF" w:rsidRPr="002C21B8">
        <w:t xml:space="preserve">response </w:t>
      </w:r>
      <w:r w:rsidR="008B7AD9" w:rsidRPr="002C21B8">
        <w:t xml:space="preserve">made by a representative of a kidney centre with </w:t>
      </w:r>
      <w:r w:rsidR="008D0DA3" w:rsidRPr="002C21B8">
        <w:t xml:space="preserve">registry </w:t>
      </w:r>
      <w:r w:rsidR="008B7AD9" w:rsidRPr="002C21B8">
        <w:t>data for that</w:t>
      </w:r>
      <w:r w:rsidR="008454AF" w:rsidRPr="002C21B8">
        <w:t xml:space="preserve"> kidney </w:t>
      </w:r>
      <w:r w:rsidR="003C46C0" w:rsidRPr="002C21B8">
        <w:t>centre</w:t>
      </w:r>
      <w:r w:rsidR="008454AF" w:rsidRPr="002C21B8">
        <w:t xml:space="preserve">. </w:t>
      </w:r>
      <w:r w:rsidR="00E647D0" w:rsidRPr="002C21B8">
        <w:t xml:space="preserve">This </w:t>
      </w:r>
      <w:r w:rsidR="008454AF" w:rsidRPr="002C21B8">
        <w:t>limitation to anonymity was discussed with the R</w:t>
      </w:r>
      <w:r w:rsidR="007B7DC8" w:rsidRPr="002C21B8">
        <w:t xml:space="preserve">esearch </w:t>
      </w:r>
      <w:r w:rsidR="008454AF" w:rsidRPr="002C21B8">
        <w:t>E</w:t>
      </w:r>
      <w:r w:rsidR="007B7DC8" w:rsidRPr="002C21B8">
        <w:t xml:space="preserve">thics </w:t>
      </w:r>
      <w:r w:rsidR="008454AF" w:rsidRPr="002C21B8">
        <w:t>C</w:t>
      </w:r>
      <w:r w:rsidR="007B7DC8" w:rsidRPr="002C21B8">
        <w:t>ommittee</w:t>
      </w:r>
      <w:r w:rsidR="008454AF" w:rsidRPr="002C21B8">
        <w:t xml:space="preserve">, which </w:t>
      </w:r>
      <w:r w:rsidR="00E647D0" w:rsidRPr="002C21B8">
        <w:t xml:space="preserve">agreed </w:t>
      </w:r>
      <w:r w:rsidR="009B0DEF" w:rsidRPr="002C21B8">
        <w:t xml:space="preserve">that </w:t>
      </w:r>
      <w:r w:rsidR="00E647D0" w:rsidRPr="002C21B8">
        <w:t>the most appropriate approach was to be transparent with potential participants. For this reason</w:t>
      </w:r>
      <w:r w:rsidR="009B0DEF" w:rsidRPr="002C21B8">
        <w:t>,</w:t>
      </w:r>
      <w:r w:rsidR="00E647D0" w:rsidRPr="002C21B8">
        <w:t xml:space="preserve"> the lack of anonymity and underlying reasons were included in the email invitation to the survey,</w:t>
      </w:r>
      <w:r w:rsidR="00C305C3" w:rsidRPr="002C21B8">
        <w:t xml:space="preserve"> the</w:t>
      </w:r>
      <w:r w:rsidR="00E647D0" w:rsidRPr="002C21B8">
        <w:t xml:space="preserve"> participant information sheet and </w:t>
      </w:r>
      <w:r w:rsidR="00223B4D" w:rsidRPr="002C21B8">
        <w:t xml:space="preserve">at the </w:t>
      </w:r>
      <w:r w:rsidR="00E647D0" w:rsidRPr="002C21B8">
        <w:t>start of the survey.</w:t>
      </w:r>
      <w:r w:rsidR="008454AF" w:rsidRPr="002C21B8">
        <w:t xml:space="preserve"> </w:t>
      </w:r>
      <w:r w:rsidR="007C7261" w:rsidRPr="002C21B8">
        <w:t>Although this may have deterred some participants</w:t>
      </w:r>
      <w:r w:rsidR="00C458E8" w:rsidRPr="002C21B8">
        <w:t>,</w:t>
      </w:r>
      <w:r w:rsidR="007C7261" w:rsidRPr="002C21B8">
        <w:t xml:space="preserve"> it was important to be </w:t>
      </w:r>
      <w:r w:rsidR="008454AF" w:rsidRPr="002C21B8">
        <w:t>transparen</w:t>
      </w:r>
      <w:r w:rsidR="007C7261" w:rsidRPr="002C21B8">
        <w:t>t as it</w:t>
      </w:r>
      <w:r w:rsidR="008454AF" w:rsidRPr="002C21B8">
        <w:t xml:space="preserve"> allowed participants to make an informed decision prior to taking part in the survey.</w:t>
      </w:r>
      <w:r w:rsidR="00C403CE" w:rsidRPr="002C21B8">
        <w:t xml:space="preserve"> This approach aligns </w:t>
      </w:r>
      <w:r w:rsidR="00C305C3" w:rsidRPr="002C21B8">
        <w:t xml:space="preserve">with </w:t>
      </w:r>
      <w:r w:rsidR="00C403CE" w:rsidRPr="002C21B8">
        <w:t xml:space="preserve">principles outlined by UK Research and Innovation, which indicate that researchers should make any limits to anonymity or confidentiality clear and transparent when obtaining consent </w:t>
      </w:r>
      <w:r w:rsidR="00C403CE" w:rsidRPr="002C21B8">
        <w:fldChar w:fldCharType="begin"/>
      </w:r>
      <w:r w:rsidR="00AA4764" w:rsidRPr="002C21B8">
        <w:instrText xml:space="preserve"> ADDIN EN.CITE &lt;EndNote&gt;&lt;Cite&gt;&lt;Author&gt;UK Research and Innovation&lt;/Author&gt;&lt;Year&gt;2026&lt;/Year&gt;&lt;RecNum&gt;125404&lt;/RecNum&gt;&lt;DisplayText&gt;(UK Research and Innovation, 2026)&lt;/DisplayText&gt;&lt;record&gt;&lt;rec-number&gt;125404&lt;/rec-number&gt;&lt;foreign-keys&gt;&lt;key app="EN" db-id="xpefzwa5hf9dt2ea9fax95x7xvxz90v09dtf" timestamp="1775652907"&gt;125404&lt;/key&gt;&lt;/foreign-keys&gt;&lt;ref-type name="Web Page"&gt;12&lt;/ref-type&gt;&lt;contributors&gt;&lt;authors&gt;&lt;author&gt;UK Research and Innovation,&lt;/author&gt;&lt;/authors&gt;&lt;/contributors&gt;&lt;titles&gt;&lt;title&gt;Consent&lt;/title&gt;&lt;/titles&gt;&lt;dates&gt;&lt;year&gt;2026&lt;/year&gt;&lt;/dates&gt;&lt;urls&gt;&lt;related-urls&gt;&lt;url&gt;https://www.ukri.org/councils/esrc/guidance-for-applicants/research-ethics-guidance/consent/&lt;/url&gt;&lt;/related-urls&gt;&lt;/urls&gt;&lt;access-date&gt;08/04/2026)&lt;/access-date&gt;&lt;/record&gt;&lt;/Cite&gt;&lt;/EndNote&gt;</w:instrText>
      </w:r>
      <w:r w:rsidR="00C403CE" w:rsidRPr="002C21B8">
        <w:fldChar w:fldCharType="separate"/>
      </w:r>
      <w:r w:rsidR="00C403CE" w:rsidRPr="002C21B8">
        <w:t>(UK Research and Innovation, 2026)</w:t>
      </w:r>
      <w:r w:rsidR="00C403CE" w:rsidRPr="002C21B8">
        <w:fldChar w:fldCharType="end"/>
      </w:r>
      <w:r w:rsidR="00C403CE" w:rsidRPr="002C21B8">
        <w:t>.</w:t>
      </w:r>
    </w:p>
    <w:p w14:paraId="7030E7F4" w14:textId="2E1BE1EB" w:rsidR="00E647D0" w:rsidRPr="002C21B8" w:rsidRDefault="00E647D0" w:rsidP="003374F4">
      <w:r w:rsidRPr="002C21B8">
        <w:t>Data security was a key ethical consideration for the survey</w:t>
      </w:r>
      <w:r w:rsidR="00F51396" w:rsidRPr="002C21B8">
        <w:t>,</w:t>
      </w:r>
      <w:r w:rsidRPr="002C21B8">
        <w:t xml:space="preserve"> as the data collected was </w:t>
      </w:r>
      <w:r w:rsidR="008454AF" w:rsidRPr="002C21B8">
        <w:t>potentially</w:t>
      </w:r>
      <w:r w:rsidRPr="002C21B8">
        <w:t xml:space="preserve"> related to identifiable roles within a relatively small clinical community. </w:t>
      </w:r>
      <w:r w:rsidR="007C7261" w:rsidRPr="002C21B8">
        <w:t>To ensure the data remained secure, t</w:t>
      </w:r>
      <w:r w:rsidRPr="002C21B8">
        <w:t xml:space="preserve">he questionnaire was </w:t>
      </w:r>
      <w:r w:rsidR="008454AF" w:rsidRPr="002C21B8">
        <w:t>administered</w:t>
      </w:r>
      <w:r w:rsidRPr="002C21B8">
        <w:t xml:space="preserve"> using the Qualtrics platform</w:t>
      </w:r>
      <w:r w:rsidR="00AE4FC9" w:rsidRPr="002C21B8">
        <w:t>,</w:t>
      </w:r>
      <w:r w:rsidRPr="002C21B8">
        <w:t xml:space="preserve"> which provides </w:t>
      </w:r>
      <w:r w:rsidR="008454AF" w:rsidRPr="002C21B8">
        <w:t>secure</w:t>
      </w:r>
      <w:r w:rsidR="00C458E8" w:rsidRPr="002C21B8">
        <w:t>,</w:t>
      </w:r>
      <w:r w:rsidRPr="002C21B8">
        <w:t xml:space="preserve"> encrypted data transmission and </w:t>
      </w:r>
      <w:r w:rsidR="008454AF" w:rsidRPr="002C21B8">
        <w:t>storage</w:t>
      </w:r>
      <w:r w:rsidR="008B7AD9" w:rsidRPr="002C21B8">
        <w:t xml:space="preserve"> </w:t>
      </w:r>
      <w:r w:rsidR="001A7F7B" w:rsidRPr="002C21B8">
        <w:fldChar w:fldCharType="begin"/>
      </w:r>
      <w:r w:rsidR="001A7F7B" w:rsidRPr="002C21B8">
        <w:instrText xml:space="preserve"> ADDIN EN.CITE &lt;EndNote&gt;&lt;Cite&gt;&lt;Author&gt;Qualtrics&lt;/Author&gt;&lt;Year&gt;2026&lt;/Year&gt;&lt;RecNum&gt;125506&lt;/RecNum&gt;&lt;DisplayText&gt;(Qualtrics, 2026)&lt;/DisplayText&gt;&lt;record&gt;&lt;rec-number&gt;125506&lt;/rec-number&gt;&lt;foreign-keys&gt;&lt;key app="EN" db-id="xpefzwa5hf9dt2ea9fax95x7xvxz90v09dtf" timestamp="1777109871"&gt;125506&lt;/key&gt;&lt;/foreign-keys&gt;&lt;ref-type name="Web Page"&gt;12&lt;/ref-type&gt;&lt;contributors&gt;&lt;authors&gt;&lt;author&gt;Qualtrics,&lt;/author&gt;&lt;/authors&gt;&lt;/contributors&gt;&lt;titles&gt;&lt;title&gt;Security and Privacy Overview&lt;/title&gt;&lt;/titles&gt;&lt;number&gt;25/04/2026)&lt;/number&gt;&lt;dates&gt;&lt;year&gt;2026&lt;/year&gt;&lt;/dates&gt;&lt;urls&gt;&lt;related-urls&gt;&lt;url&gt;https://www.qualtrics.com/platform/security/&lt;/url&gt;&lt;/related-urls&gt;&lt;/urls&gt;&lt;/record&gt;&lt;/Cite&gt;&lt;/EndNote&gt;</w:instrText>
      </w:r>
      <w:r w:rsidR="001A7F7B" w:rsidRPr="002C21B8">
        <w:fldChar w:fldCharType="separate"/>
      </w:r>
      <w:r w:rsidR="001A7F7B" w:rsidRPr="002C21B8">
        <w:rPr>
          <w:noProof/>
        </w:rPr>
        <w:t>(Qualtrics, 2026)</w:t>
      </w:r>
      <w:r w:rsidR="001A7F7B" w:rsidRPr="002C21B8">
        <w:fldChar w:fldCharType="end"/>
      </w:r>
      <w:r w:rsidRPr="002C21B8">
        <w:t xml:space="preserve">. Access to the survey data was </w:t>
      </w:r>
      <w:r w:rsidR="008454AF" w:rsidRPr="002C21B8">
        <w:t>restricted</w:t>
      </w:r>
      <w:r w:rsidRPr="002C21B8">
        <w:t xml:space="preserve"> to</w:t>
      </w:r>
      <w:r w:rsidR="005B77A3" w:rsidRPr="002C21B8">
        <w:t xml:space="preserve"> the research team</w:t>
      </w:r>
      <w:r w:rsidRPr="002C21B8">
        <w:t xml:space="preserve">, with data downloaded and stored on password-protected devices in accordance with the University of Sheffield data governance policies. </w:t>
      </w:r>
      <w:r w:rsidR="007C7261" w:rsidRPr="002C21B8">
        <w:t>Survey</w:t>
      </w:r>
      <w:r w:rsidRPr="002C21B8">
        <w:t xml:space="preserve"> data was exported in</w:t>
      </w:r>
      <w:r w:rsidR="008454AF" w:rsidRPr="002C21B8">
        <w:t xml:space="preserve"> </w:t>
      </w:r>
      <w:r w:rsidRPr="002C21B8">
        <w:t>a secure format</w:t>
      </w:r>
      <w:r w:rsidR="00AE4FC9" w:rsidRPr="002C21B8">
        <w:t>,</w:t>
      </w:r>
      <w:r w:rsidRPr="002C21B8">
        <w:t xml:space="preserve"> </w:t>
      </w:r>
      <w:r w:rsidR="007C7261" w:rsidRPr="002C21B8">
        <w:t xml:space="preserve">then </w:t>
      </w:r>
      <w:r w:rsidRPr="002C21B8">
        <w:t xml:space="preserve">stored in </w:t>
      </w:r>
      <w:r w:rsidR="008454AF" w:rsidRPr="002C21B8">
        <w:t>secure</w:t>
      </w:r>
      <w:r w:rsidRPr="002C21B8">
        <w:t xml:space="preserve"> folders </w:t>
      </w:r>
      <w:r w:rsidR="00E73B7A" w:rsidRPr="002C21B8">
        <w:t xml:space="preserve">on the University of Sheffield X: drive </w:t>
      </w:r>
      <w:r w:rsidRPr="002C21B8">
        <w:t xml:space="preserve">and backed up in line with data </w:t>
      </w:r>
      <w:r w:rsidR="008454AF" w:rsidRPr="002C21B8">
        <w:t>governance</w:t>
      </w:r>
      <w:r w:rsidRPr="002C21B8">
        <w:t xml:space="preserve"> requirements.</w:t>
      </w:r>
    </w:p>
    <w:p w14:paraId="291BC865" w14:textId="1C113464" w:rsidR="00D601A5" w:rsidRPr="002C21B8" w:rsidRDefault="00D601A5" w:rsidP="00581663">
      <w:pPr>
        <w:pStyle w:val="Heading2"/>
      </w:pPr>
      <w:bookmarkStart w:id="72" w:name="_Toc229687216"/>
      <w:r w:rsidRPr="002C21B8">
        <w:t xml:space="preserve">Patient and </w:t>
      </w:r>
      <w:r w:rsidR="005E6680" w:rsidRPr="002C21B8">
        <w:t>p</w:t>
      </w:r>
      <w:r w:rsidRPr="002C21B8">
        <w:t xml:space="preserve">ublic </w:t>
      </w:r>
      <w:r w:rsidR="005E6680" w:rsidRPr="002C21B8">
        <w:t>i</w:t>
      </w:r>
      <w:r w:rsidRPr="002C21B8">
        <w:t>nvolvement</w:t>
      </w:r>
      <w:r w:rsidR="00FF0998" w:rsidRPr="002C21B8">
        <w:t xml:space="preserve"> (PPI)</w:t>
      </w:r>
      <w:bookmarkEnd w:id="72"/>
    </w:p>
    <w:p w14:paraId="78C9CFE7" w14:textId="2548A495" w:rsidR="00F630EC" w:rsidRPr="002C21B8" w:rsidRDefault="00B23597" w:rsidP="00CA28A0">
      <w:r w:rsidRPr="002C21B8">
        <w:t xml:space="preserve">Patient and public involvement in research </w:t>
      </w:r>
      <w:r w:rsidR="00CC7B08" w:rsidRPr="002C21B8">
        <w:t xml:space="preserve">refers to the active collaboration between </w:t>
      </w:r>
      <w:r w:rsidRPr="002C21B8">
        <w:t>patients, carers</w:t>
      </w:r>
      <w:r w:rsidR="00CC7B08" w:rsidRPr="002C21B8">
        <w:t xml:space="preserve">, </w:t>
      </w:r>
      <w:r w:rsidRPr="002C21B8">
        <w:t xml:space="preserve">members of the public </w:t>
      </w:r>
      <w:r w:rsidR="00CC7B08" w:rsidRPr="002C21B8">
        <w:t>and</w:t>
      </w:r>
      <w:r w:rsidRPr="002C21B8">
        <w:t xml:space="preserve"> researchers t</w:t>
      </w:r>
      <w:r w:rsidR="00CC7B08" w:rsidRPr="002C21B8">
        <w:t xml:space="preserve">o shape the </w:t>
      </w:r>
      <w:r w:rsidRPr="002C21B8">
        <w:t>research</w:t>
      </w:r>
      <w:r w:rsidR="00CC7B08" w:rsidRPr="002C21B8">
        <w:t xml:space="preserve"> process</w:t>
      </w:r>
      <w:r w:rsidR="008E7B1D" w:rsidRPr="002C21B8">
        <w:t xml:space="preserve"> </w:t>
      </w:r>
      <w:r w:rsidR="008E7B1D" w:rsidRPr="002C21B8">
        <w:fldChar w:fldCharType="begin"/>
      </w:r>
      <w:r w:rsidR="008E7B1D" w:rsidRPr="002C21B8">
        <w:instrText xml:space="preserve"> ADDIN EN.CITE &lt;EndNote&gt;&lt;Cite&gt;&lt;Author&gt;National Institute for Health and Care Research&lt;/Author&gt;&lt;Year&gt;2024&lt;/Year&gt;&lt;RecNum&gt;125392&lt;/RecNum&gt;&lt;DisplayText&gt;(National Institute for Health and Care Research, 2024)&lt;/DisplayText&gt;&lt;record&gt;&lt;rec-number&gt;125392&lt;/rec-number&gt;&lt;foreign-keys&gt;&lt;key app="EN" db-id="xpefzwa5hf9dt2ea9fax95x7xvxz90v09dtf" timestamp="1775568699"&gt;125392&lt;/key&gt;&lt;/foreign-keys&gt;&lt;ref-type name="Web Page"&gt;12&lt;/ref-type&gt;&lt;contributors&gt;&lt;authors&gt;&lt;author&gt;National Institute for Health and Care Research,&lt;/author&gt;&lt;/authors&gt;&lt;/contributors&gt;&lt;titles&gt;&lt;title&gt;Public involvement in research&lt;/title&gt;&lt;/titles&gt;&lt;number&gt;07/04/2026)&lt;/number&gt;&lt;dates&gt;&lt;year&gt;2024&lt;/year&gt;&lt;/dates&gt;&lt;urls&gt;&lt;related-urls&gt;&lt;url&gt;https://www.nihr.ac.uk/get-involved/public-involvement&lt;/url&gt;&lt;/related-urls&gt;&lt;/urls&gt;&lt;/record&gt;&lt;/Cite&gt;&lt;/EndNote&gt;</w:instrText>
      </w:r>
      <w:r w:rsidR="008E7B1D" w:rsidRPr="002C21B8">
        <w:fldChar w:fldCharType="separate"/>
      </w:r>
      <w:r w:rsidR="008E7B1D" w:rsidRPr="002C21B8">
        <w:t>(National Institute for Health and Care Research, 2024)</w:t>
      </w:r>
      <w:r w:rsidR="008E7B1D" w:rsidRPr="002C21B8">
        <w:fldChar w:fldCharType="end"/>
      </w:r>
      <w:r w:rsidRPr="002C21B8">
        <w:t xml:space="preserve">. </w:t>
      </w:r>
      <w:r w:rsidR="007370B9" w:rsidRPr="002C21B8">
        <w:t xml:space="preserve">A defining characteristic </w:t>
      </w:r>
      <w:r w:rsidRPr="002C21B8">
        <w:t xml:space="preserve">of PPI is that it should be </w:t>
      </w:r>
      <w:r w:rsidR="007370B9" w:rsidRPr="002C21B8">
        <w:t>undertaken</w:t>
      </w:r>
      <w:r w:rsidRPr="002C21B8">
        <w:t xml:space="preserve"> </w:t>
      </w:r>
      <w:r w:rsidR="00036C07" w:rsidRPr="002C21B8">
        <w:t>“</w:t>
      </w:r>
      <w:r w:rsidRPr="002C21B8">
        <w:t>with</w:t>
      </w:r>
      <w:r w:rsidR="00036C07" w:rsidRPr="002C21B8">
        <w:t>”</w:t>
      </w:r>
      <w:r w:rsidRPr="002C21B8">
        <w:t xml:space="preserve"> or </w:t>
      </w:r>
      <w:r w:rsidR="00036C07" w:rsidRPr="002C21B8">
        <w:t>“</w:t>
      </w:r>
      <w:r w:rsidRPr="002C21B8">
        <w:t>by</w:t>
      </w:r>
      <w:r w:rsidR="00036C07" w:rsidRPr="002C21B8">
        <w:t>”</w:t>
      </w:r>
      <w:r w:rsidRPr="002C21B8">
        <w:t xml:space="preserve"> members of the pub</w:t>
      </w:r>
      <w:r w:rsidR="00AA5805" w:rsidRPr="002C21B8">
        <w:t>l</w:t>
      </w:r>
      <w:r w:rsidRPr="002C21B8">
        <w:t xml:space="preserve">ic rather than </w:t>
      </w:r>
      <w:r w:rsidR="00036C07" w:rsidRPr="002C21B8">
        <w:t>“</w:t>
      </w:r>
      <w:r w:rsidRPr="002C21B8">
        <w:t>to</w:t>
      </w:r>
      <w:r w:rsidR="00036C07" w:rsidRPr="002C21B8">
        <w:t>”</w:t>
      </w:r>
      <w:r w:rsidRPr="002C21B8">
        <w:t xml:space="preserve"> or </w:t>
      </w:r>
      <w:r w:rsidR="00036C07" w:rsidRPr="002C21B8">
        <w:t>“</w:t>
      </w:r>
      <w:r w:rsidRPr="002C21B8">
        <w:t>for</w:t>
      </w:r>
      <w:r w:rsidR="00036C07" w:rsidRPr="002C21B8">
        <w:t>”</w:t>
      </w:r>
      <w:r w:rsidRPr="002C21B8">
        <w:t xml:space="preserve"> them</w:t>
      </w:r>
      <w:r w:rsidR="008E7B1D" w:rsidRPr="002C21B8">
        <w:t xml:space="preserve"> </w:t>
      </w:r>
      <w:r w:rsidR="008E7B1D" w:rsidRPr="002C21B8">
        <w:fldChar w:fldCharType="begin"/>
      </w:r>
      <w:r w:rsidR="008E7B1D" w:rsidRPr="002C21B8">
        <w:instrText xml:space="preserve"> ADDIN EN.CITE &lt;EndNote&gt;&lt;Cite&gt;&lt;Author&gt;Brett&lt;/Author&gt;&lt;Year&gt;2014&lt;/Year&gt;&lt;RecNum&gt;125394&lt;/RecNum&gt;&lt;DisplayText&gt;(Brett&lt;style face="italic"&gt; et al.&lt;/style&gt;, 2014)&lt;/DisplayText&gt;&lt;record&gt;&lt;rec-number&gt;125394&lt;/rec-number&gt;&lt;foreign-keys&gt;&lt;key app="EN" db-id="xpefzwa5hf9dt2ea9fax95x7xvxz90v09dtf" timestamp="1775569699"&gt;125394&lt;/key&gt;&lt;/foreign-keys&gt;&lt;ref-type name="Journal Article"&gt;17&lt;/ref-type&gt;&lt;contributors&gt;&lt;authors&gt;&lt;author&gt;Brett, JO&lt;/author&gt;&lt;author&gt;Staniszewska, Sophie&lt;/author&gt;&lt;author&gt;Mockford, Carole&lt;/author&gt;&lt;author&gt;Herron-Marx, Sandra&lt;/author&gt;&lt;author&gt;Hughes, John&lt;/author&gt;&lt;author&gt;Tysall, Colin&lt;/author&gt;&lt;author&gt;Suleman, Rashida&lt;/author&gt;&lt;/authors&gt;&lt;/contributors&gt;&lt;titles&gt;&lt;title&gt;A systematic review of the impact of patient and public involvement on service users, researchers and communities&lt;/title&gt;&lt;secondary-title&gt;The Patient-Patient-Centered Outcomes Research&lt;/secondary-title&gt;&lt;/titles&gt;&lt;periodical&gt;&lt;full-title&gt;The Patient-Patient-Centered Outcomes Research&lt;/full-title&gt;&lt;/periodical&gt;&lt;pages&gt;387-395&lt;/pages&gt;&lt;volume&gt;7&lt;/volume&gt;&lt;number&gt;4&lt;/number&gt;&lt;dates&gt;&lt;year&gt;2014&lt;/year&gt;&lt;/dates&gt;&lt;isbn&gt;1178-1653&lt;/isbn&gt;&lt;urls&gt;&lt;/urls&gt;&lt;/record&gt;&lt;/Cite&gt;&lt;/EndNote&gt;</w:instrText>
      </w:r>
      <w:r w:rsidR="008E7B1D" w:rsidRPr="002C21B8">
        <w:fldChar w:fldCharType="separate"/>
      </w:r>
      <w:r w:rsidR="008E7B1D" w:rsidRPr="002C21B8">
        <w:t>(Brett</w:t>
      </w:r>
      <w:r w:rsidR="008E7B1D" w:rsidRPr="002C21B8">
        <w:rPr>
          <w:i/>
        </w:rPr>
        <w:t xml:space="preserve"> et al.</w:t>
      </w:r>
      <w:r w:rsidR="008E7B1D" w:rsidRPr="002C21B8">
        <w:t>, 2014)</w:t>
      </w:r>
      <w:r w:rsidR="008E7B1D" w:rsidRPr="002C21B8">
        <w:fldChar w:fldCharType="end"/>
      </w:r>
      <w:r w:rsidRPr="002C21B8">
        <w:t xml:space="preserve">. </w:t>
      </w:r>
      <w:r w:rsidR="00C57366" w:rsidRPr="002C21B8">
        <w:t>It is</w:t>
      </w:r>
      <w:r w:rsidR="00F630EC" w:rsidRPr="002C21B8">
        <w:t xml:space="preserve"> recommended at all stages of the research process</w:t>
      </w:r>
      <w:r w:rsidR="00FF0998" w:rsidRPr="002C21B8">
        <w:t>,</w:t>
      </w:r>
      <w:r w:rsidR="00F630EC" w:rsidRPr="002C21B8">
        <w:t xml:space="preserve"> from conceptualisation of </w:t>
      </w:r>
      <w:r w:rsidR="00C57366" w:rsidRPr="002C21B8">
        <w:t>the</w:t>
      </w:r>
      <w:r w:rsidR="00F630EC" w:rsidRPr="002C21B8">
        <w:t xml:space="preserve"> research question to specific aspects of study design</w:t>
      </w:r>
      <w:r w:rsidR="00D85C55" w:rsidRPr="002C21B8">
        <w:t>,</w:t>
      </w:r>
      <w:r w:rsidR="00C57366" w:rsidRPr="002C21B8">
        <w:t xml:space="preserve"> including</w:t>
      </w:r>
      <w:r w:rsidR="00F630EC" w:rsidRPr="002C21B8">
        <w:t xml:space="preserve"> data collection, data analysis, interpretation and dissemination</w:t>
      </w:r>
      <w:r w:rsidR="00C57366" w:rsidRPr="002C21B8">
        <w:t xml:space="preserve"> </w:t>
      </w:r>
      <w:r w:rsidR="00C57366" w:rsidRPr="002C21B8">
        <w:fldChar w:fldCharType="begin"/>
      </w:r>
      <w:r w:rsidR="00502953" w:rsidRPr="002C21B8">
        <w:instrText xml:space="preserve"> ADDIN EN.CITE &lt;EndNote&gt;&lt;Cite&gt;&lt;Author&gt;Turk&lt;/Author&gt;&lt;Year&gt;2017&lt;/Year&gt;&lt;RecNum&gt;125393&lt;/RecNum&gt;&lt;DisplayText&gt;(Turk, Boylan and Locock, 2017)&lt;/DisplayText&gt;&lt;record&gt;&lt;rec-number&gt;125393&lt;/rec-number&gt;&lt;foreign-keys&gt;&lt;key app="EN" db-id="xpefzwa5hf9dt2ea9fax95x7xvxz90v09dtf" timestamp="1775569288"&gt;125393&lt;/key&gt;&lt;/foreign-keys&gt;&lt;ref-type name="Web Page"&gt;12&lt;/ref-type&gt;&lt;contributors&gt;&lt;authors&gt;&lt;author&gt;Turk, Amadea&lt;/author&gt;&lt;author&gt;Boylan, A&lt;/author&gt;&lt;author&gt;Locock, Louise&lt;/author&gt;&lt;/authors&gt;&lt;/contributors&gt;&lt;titles&gt;&lt;title&gt;A researcher’s guide to patient and public involvement&lt;/title&gt;&lt;/titles&gt;&lt;number&gt;04/03/2026)&lt;/number&gt;&lt;dates&gt;&lt;year&gt;2017&lt;/year&gt;&lt;/dates&gt;&lt;urls&gt;&lt;related-urls&gt;&lt;url&gt;https://oxfordbrc.nihr.ac.uk/wp-content/uploads/2017/03/A-Researchers-Guide-to-PPI.pdf&lt;/url&gt;&lt;/related-urls&gt;&lt;/urls&gt;&lt;/record&gt;&lt;/Cite&gt;&lt;/EndNote&gt;</w:instrText>
      </w:r>
      <w:r w:rsidR="00C57366" w:rsidRPr="002C21B8">
        <w:fldChar w:fldCharType="separate"/>
      </w:r>
      <w:r w:rsidR="00C57366" w:rsidRPr="002C21B8">
        <w:rPr>
          <w:noProof/>
        </w:rPr>
        <w:t>(Turk, Boylan and Locock, 2017)</w:t>
      </w:r>
      <w:r w:rsidR="00C57366" w:rsidRPr="002C21B8">
        <w:fldChar w:fldCharType="end"/>
      </w:r>
      <w:r w:rsidR="00F630EC" w:rsidRPr="002C21B8">
        <w:t xml:space="preserve">. </w:t>
      </w:r>
      <w:r w:rsidR="00CA28A0" w:rsidRPr="002C21B8">
        <w:t>Including PPI in research has benefits for research project</w:t>
      </w:r>
      <w:r w:rsidR="00C458E8" w:rsidRPr="002C21B8">
        <w:t>s</w:t>
      </w:r>
      <w:r w:rsidR="00CA28A0" w:rsidRPr="002C21B8">
        <w:t>, researchers and member</w:t>
      </w:r>
      <w:r w:rsidR="00FF0998" w:rsidRPr="002C21B8">
        <w:t>s</w:t>
      </w:r>
      <w:r w:rsidR="00CA28A0" w:rsidRPr="002C21B8">
        <w:t xml:space="preserve"> of the public. For </w:t>
      </w:r>
      <w:r w:rsidR="00C458E8" w:rsidRPr="002C21B8">
        <w:t>a</w:t>
      </w:r>
      <w:r w:rsidR="00CA28A0" w:rsidRPr="002C21B8">
        <w:t xml:space="preserve"> research project</w:t>
      </w:r>
      <w:r w:rsidR="00151E9A" w:rsidRPr="002C21B8">
        <w:t>,</w:t>
      </w:r>
      <w:r w:rsidR="00CA28A0" w:rsidRPr="002C21B8">
        <w:t xml:space="preserve"> it can enhanc</w:t>
      </w:r>
      <w:r w:rsidR="00FF0998" w:rsidRPr="002C21B8">
        <w:t>e</w:t>
      </w:r>
      <w:r w:rsidR="00CA28A0" w:rsidRPr="002C21B8">
        <w:t xml:space="preserve"> the relevance, improve</w:t>
      </w:r>
      <w:r w:rsidR="00C458E8" w:rsidRPr="002C21B8">
        <w:t xml:space="preserve"> the</w:t>
      </w:r>
      <w:r w:rsidR="00CA28A0" w:rsidRPr="002C21B8">
        <w:t xml:space="preserve"> quality and enhance </w:t>
      </w:r>
      <w:r w:rsidR="00C458E8" w:rsidRPr="002C21B8">
        <w:t xml:space="preserve">the </w:t>
      </w:r>
      <w:r w:rsidR="00CA28A0" w:rsidRPr="002C21B8">
        <w:t xml:space="preserve">dissemination of findings. </w:t>
      </w:r>
      <w:r w:rsidR="00C458E8" w:rsidRPr="002C21B8">
        <w:t>R</w:t>
      </w:r>
      <w:r w:rsidR="00CA28A0" w:rsidRPr="002C21B8">
        <w:t>esearchers can develop a gr</w:t>
      </w:r>
      <w:r w:rsidR="00565F62" w:rsidRPr="002C21B8">
        <w:t>e</w:t>
      </w:r>
      <w:r w:rsidR="00CA28A0" w:rsidRPr="002C21B8">
        <w:t xml:space="preserve">ater understanding and insight into their research area. </w:t>
      </w:r>
      <w:r w:rsidR="00FF0998" w:rsidRPr="002C21B8">
        <w:t>M</w:t>
      </w:r>
      <w:r w:rsidR="00CA28A0" w:rsidRPr="002C21B8">
        <w:t xml:space="preserve">embers of the public can feel more empowered and valued as well as become more </w:t>
      </w:r>
      <w:r w:rsidR="00565F62" w:rsidRPr="002C21B8">
        <w:t>knowledge</w:t>
      </w:r>
      <w:r w:rsidR="00FF0998" w:rsidRPr="002C21B8">
        <w:t>able</w:t>
      </w:r>
      <w:r w:rsidR="00CA28A0" w:rsidRPr="002C21B8">
        <w:t xml:space="preserve"> about their condition </w:t>
      </w:r>
      <w:r w:rsidR="00CA28A0" w:rsidRPr="002C21B8">
        <w:fldChar w:fldCharType="begin"/>
      </w:r>
      <w:r w:rsidR="00CA28A0" w:rsidRPr="002C21B8">
        <w:instrText xml:space="preserve"> ADDIN EN.CITE &lt;EndNote&gt;&lt;Cite&gt;&lt;Author&gt;Brett&lt;/Author&gt;&lt;Year&gt;2014&lt;/Year&gt;&lt;RecNum&gt;125394&lt;/RecNum&gt;&lt;DisplayText&gt;(Brett&lt;style face="italic"&gt; et al.&lt;/style&gt;, 2014)&lt;/DisplayText&gt;&lt;record&gt;&lt;rec-number&gt;125394&lt;/rec-number&gt;&lt;foreign-keys&gt;&lt;key app="EN" db-id="xpefzwa5hf9dt2ea9fax95x7xvxz90v09dtf" timestamp="1775569699"&gt;125394&lt;/key&gt;&lt;/foreign-keys&gt;&lt;ref-type name="Journal Article"&gt;17&lt;/ref-type&gt;&lt;contributors&gt;&lt;authors&gt;&lt;author&gt;Brett, JO&lt;/author&gt;&lt;author&gt;Staniszewska, Sophie&lt;/author&gt;&lt;author&gt;Mockford, Carole&lt;/author&gt;&lt;author&gt;Herron-Marx, Sandra&lt;/author&gt;&lt;author&gt;Hughes, John&lt;/author&gt;&lt;author&gt;Tysall, Colin&lt;/author&gt;&lt;author&gt;Suleman, Rashida&lt;/author&gt;&lt;/authors&gt;&lt;/contributors&gt;&lt;titles&gt;&lt;title&gt;A systematic review of the impact of patient and public involvement on service users, researchers and communities&lt;/title&gt;&lt;secondary-title&gt;The Patient-Patient-Centered Outcomes Research&lt;/secondary-title&gt;&lt;/titles&gt;&lt;periodical&gt;&lt;full-title&gt;The Patient-Patient-Centered Outcomes Research&lt;/full-title&gt;&lt;/periodical&gt;&lt;pages&gt;387-395&lt;/pages&gt;&lt;volume&gt;7&lt;/volume&gt;&lt;number&gt;4&lt;/number&gt;&lt;dates&gt;&lt;year&gt;2014&lt;/year&gt;&lt;/dates&gt;&lt;isbn&gt;1178-1653&lt;/isbn&gt;&lt;urls&gt;&lt;/urls&gt;&lt;/record&gt;&lt;/Cite&gt;&lt;/EndNote&gt;</w:instrText>
      </w:r>
      <w:r w:rsidR="00CA28A0" w:rsidRPr="002C21B8">
        <w:fldChar w:fldCharType="separate"/>
      </w:r>
      <w:r w:rsidR="00CA28A0" w:rsidRPr="002C21B8">
        <w:t>(Brett</w:t>
      </w:r>
      <w:r w:rsidR="00CA28A0" w:rsidRPr="002C21B8">
        <w:rPr>
          <w:i/>
        </w:rPr>
        <w:t xml:space="preserve"> et al.</w:t>
      </w:r>
      <w:r w:rsidR="00CA28A0" w:rsidRPr="002C21B8">
        <w:t>, 2014)</w:t>
      </w:r>
      <w:r w:rsidR="00CA28A0" w:rsidRPr="002C21B8">
        <w:fldChar w:fldCharType="end"/>
      </w:r>
      <w:r w:rsidR="00CA28A0" w:rsidRPr="002C21B8">
        <w:t>.</w:t>
      </w:r>
    </w:p>
    <w:p w14:paraId="0BCE3F60" w14:textId="1B89253A" w:rsidR="00F52520" w:rsidRDefault="00C4344D" w:rsidP="003E3D54">
      <w:r w:rsidRPr="002C21B8">
        <w:t xml:space="preserve">Two approaches were </w:t>
      </w:r>
      <w:r w:rsidR="008A4B09" w:rsidRPr="002C21B8">
        <w:t>under</w:t>
      </w:r>
      <w:r w:rsidRPr="002C21B8">
        <w:t xml:space="preserve">taken. First, a </w:t>
      </w:r>
      <w:r w:rsidR="005E217D" w:rsidRPr="002C21B8">
        <w:t xml:space="preserve">PPI group was established specifically for this </w:t>
      </w:r>
      <w:r w:rsidR="00716253" w:rsidRPr="002C21B8">
        <w:t>programme of research</w:t>
      </w:r>
      <w:r w:rsidR="005E217D" w:rsidRPr="002C21B8">
        <w:t xml:space="preserve"> </w:t>
      </w:r>
      <w:r w:rsidR="00F52520">
        <w:t xml:space="preserve">consisting </w:t>
      </w:r>
      <w:r w:rsidR="00151E9A" w:rsidRPr="002C21B8">
        <w:t>of</w:t>
      </w:r>
      <w:r w:rsidR="005E217D" w:rsidRPr="002C21B8">
        <w:t xml:space="preserve"> people with ADPKD and/or CKD who could provide insight and guidance through</w:t>
      </w:r>
      <w:r w:rsidR="00A65A4D" w:rsidRPr="002C21B8">
        <w:t>out</w:t>
      </w:r>
      <w:r w:rsidR="005E217D" w:rsidRPr="002C21B8">
        <w:t xml:space="preserve"> the research.</w:t>
      </w:r>
      <w:r w:rsidR="00432421">
        <w:t xml:space="preserve"> </w:t>
      </w:r>
      <w:r w:rsidR="00432421" w:rsidRPr="00432421">
        <w:t>The PPI group consisted of six members, although not all members attended every meeting. All members were White and aged over 55 years. The group was therefore predominantly composed of older White adults. Information on socioeconomic deprivation, educational attainment and health literacy was not collected systematically. Members were recruited through established patient networks at Sheffield Teaching Hospitals Trust and participated voluntarily in the research.</w:t>
      </w:r>
      <w:r w:rsidR="00432421">
        <w:t xml:space="preserve"> </w:t>
      </w:r>
      <w:r w:rsidR="00432421" w:rsidRPr="002C21B8">
        <w:t>The key impacts included the refinement of patient-facing materials, the development of the case vignette used in the qualitative interviews, and the inclusion of questions about the written materials provided to patients in the multiple case study and survey.</w:t>
      </w:r>
      <w:r w:rsidRPr="002C21B8">
        <w:t xml:space="preserve"> Second, </w:t>
      </w:r>
      <w:r w:rsidR="007B7DC8" w:rsidRPr="002C21B8">
        <w:t>t</w:t>
      </w:r>
      <w:r w:rsidRPr="002C21B8">
        <w:t xml:space="preserve">he PKD Charity and UKKA PKD clinical study group were engaged to ensure they were aware of the research being undertaken and how data from people with ADPKD was being used. The </w:t>
      </w:r>
      <w:r w:rsidR="00D85C55" w:rsidRPr="002C21B8">
        <w:t xml:space="preserve">details of the PPI </w:t>
      </w:r>
      <w:r w:rsidRPr="002C21B8">
        <w:t>meetings</w:t>
      </w:r>
      <w:r w:rsidR="00D85C55" w:rsidRPr="002C21B8">
        <w:t>,</w:t>
      </w:r>
      <w:r w:rsidRPr="002C21B8">
        <w:t xml:space="preserve"> </w:t>
      </w:r>
      <w:r w:rsidR="00B61FEE" w:rsidRPr="002C21B8">
        <w:t>and the</w:t>
      </w:r>
      <w:r w:rsidRPr="002C21B8">
        <w:t xml:space="preserve"> key impacts </w:t>
      </w:r>
      <w:r w:rsidR="00B61FEE" w:rsidRPr="002C21B8">
        <w:t xml:space="preserve">and changes that were implemented </w:t>
      </w:r>
      <w:r w:rsidR="00D85C55" w:rsidRPr="002C21B8">
        <w:t xml:space="preserve">as a result, </w:t>
      </w:r>
      <w:r w:rsidRPr="002C21B8">
        <w:t>are summarised in</w:t>
      </w:r>
      <w:r w:rsidR="005315E2" w:rsidRPr="002C21B8">
        <w:t xml:space="preserve"> </w:t>
      </w:r>
      <w:r w:rsidR="005315E2" w:rsidRPr="002C21B8">
        <w:fldChar w:fldCharType="begin"/>
      </w:r>
      <w:r w:rsidR="005315E2" w:rsidRPr="002C21B8">
        <w:instrText xml:space="preserve"> REF _Ref227911268 \h </w:instrText>
      </w:r>
      <w:r w:rsidR="0063422B" w:rsidRPr="002C21B8">
        <w:instrText xml:space="preserve"> \* MERGEFORMAT </w:instrText>
      </w:r>
      <w:r w:rsidR="005315E2" w:rsidRPr="002C21B8">
        <w:fldChar w:fldCharType="separate"/>
      </w:r>
      <w:r w:rsidR="00DB3709" w:rsidRPr="002C21B8">
        <w:t xml:space="preserve">Table </w:t>
      </w:r>
      <w:r w:rsidR="00DB3709">
        <w:rPr>
          <w:noProof/>
        </w:rPr>
        <w:t>6</w:t>
      </w:r>
      <w:r w:rsidR="005315E2" w:rsidRPr="002C21B8">
        <w:fldChar w:fldCharType="end"/>
      </w:r>
      <w:r w:rsidRPr="002C21B8">
        <w:t>.</w:t>
      </w:r>
    </w:p>
    <w:p w14:paraId="4725F135" w14:textId="46F5DACC" w:rsidR="00F52520" w:rsidRPr="002C21B8" w:rsidRDefault="00F52520" w:rsidP="003E3D54">
      <w:pPr>
        <w:sectPr w:rsidR="00F52520" w:rsidRPr="002C21B8" w:rsidSect="0009672F">
          <w:type w:val="continuous"/>
          <w:pgSz w:w="11906" w:h="16838"/>
          <w:pgMar w:top="1440" w:right="1440" w:bottom="1440" w:left="1440" w:header="708" w:footer="708" w:gutter="0"/>
          <w:cols w:space="708"/>
          <w:docGrid w:linePitch="360"/>
        </w:sectPr>
      </w:pPr>
    </w:p>
    <w:p w14:paraId="45F0A9AD" w14:textId="4BF43FA0" w:rsidR="00366948" w:rsidRPr="002C21B8" w:rsidRDefault="00366948" w:rsidP="000C485B">
      <w:pPr>
        <w:pStyle w:val="Caption"/>
        <w:keepNext w:val="0"/>
        <w:rPr>
          <w:noProof w:val="0"/>
        </w:rPr>
      </w:pPr>
      <w:bookmarkStart w:id="73" w:name="_Ref227911268"/>
      <w:bookmarkStart w:id="74" w:name="_Ref227911257"/>
      <w:bookmarkStart w:id="75" w:name="_Toc236991742"/>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6</w:t>
      </w:r>
      <w:r w:rsidRPr="002C21B8">
        <w:rPr>
          <w:noProof w:val="0"/>
        </w:rPr>
        <w:fldChar w:fldCharType="end"/>
      </w:r>
      <w:bookmarkEnd w:id="73"/>
      <w:r w:rsidRPr="002C21B8">
        <w:rPr>
          <w:noProof w:val="0"/>
        </w:rPr>
        <w:t>. Overview of PPI activities</w:t>
      </w:r>
      <w:r w:rsidR="00C10A30" w:rsidRPr="002C21B8">
        <w:rPr>
          <w:noProof w:val="0"/>
        </w:rPr>
        <w:t xml:space="preserve"> and </w:t>
      </w:r>
      <w:r w:rsidRPr="002C21B8">
        <w:rPr>
          <w:noProof w:val="0"/>
        </w:rPr>
        <w:t xml:space="preserve">key contributions to </w:t>
      </w:r>
      <w:bookmarkEnd w:id="74"/>
      <w:r w:rsidR="00716253" w:rsidRPr="002C21B8">
        <w:rPr>
          <w:noProof w:val="0"/>
        </w:rPr>
        <w:t>programme of research</w:t>
      </w:r>
      <w:bookmarkEnd w:id="75"/>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134"/>
        <w:gridCol w:w="1559"/>
        <w:gridCol w:w="1701"/>
        <w:gridCol w:w="1418"/>
        <w:gridCol w:w="3402"/>
        <w:gridCol w:w="2693"/>
      </w:tblGrid>
      <w:tr w:rsidR="00E273AA" w:rsidRPr="002C21B8" w14:paraId="551541ED" w14:textId="49559F40" w:rsidTr="00E273AA">
        <w:trPr>
          <w:trHeight w:val="306"/>
        </w:trPr>
        <w:tc>
          <w:tcPr>
            <w:tcW w:w="1985" w:type="dxa"/>
            <w:tcBorders>
              <w:top w:val="single" w:sz="12" w:space="0" w:color="000000" w:themeColor="text1"/>
              <w:bottom w:val="single" w:sz="4" w:space="0" w:color="000000" w:themeColor="text1"/>
            </w:tcBorders>
            <w:vAlign w:val="center"/>
          </w:tcPr>
          <w:p w14:paraId="60DC7177" w14:textId="60991D73"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Activity type</w:t>
            </w:r>
          </w:p>
        </w:tc>
        <w:tc>
          <w:tcPr>
            <w:tcW w:w="1134" w:type="dxa"/>
            <w:tcBorders>
              <w:top w:val="single" w:sz="12" w:space="0" w:color="000000" w:themeColor="text1"/>
              <w:bottom w:val="single" w:sz="4" w:space="0" w:color="000000" w:themeColor="text1"/>
            </w:tcBorders>
            <w:vAlign w:val="center"/>
          </w:tcPr>
          <w:p w14:paraId="22DB7110" w14:textId="01B03B38"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Date</w:t>
            </w:r>
          </w:p>
        </w:tc>
        <w:tc>
          <w:tcPr>
            <w:tcW w:w="1559" w:type="dxa"/>
            <w:tcBorders>
              <w:top w:val="single" w:sz="12" w:space="0" w:color="000000" w:themeColor="text1"/>
              <w:bottom w:val="single" w:sz="4" w:space="0" w:color="000000" w:themeColor="text1"/>
            </w:tcBorders>
            <w:shd w:val="clear" w:color="auto" w:fill="auto"/>
            <w:vAlign w:val="center"/>
          </w:tcPr>
          <w:p w14:paraId="70FAE14B" w14:textId="445242DA"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Participants</w:t>
            </w:r>
          </w:p>
        </w:tc>
        <w:tc>
          <w:tcPr>
            <w:tcW w:w="1701" w:type="dxa"/>
            <w:tcBorders>
              <w:top w:val="single" w:sz="12" w:space="0" w:color="000000" w:themeColor="text1"/>
              <w:bottom w:val="single" w:sz="4" w:space="0" w:color="000000" w:themeColor="text1"/>
            </w:tcBorders>
            <w:shd w:val="clear" w:color="auto" w:fill="auto"/>
            <w:vAlign w:val="center"/>
          </w:tcPr>
          <w:p w14:paraId="63A1E684" w14:textId="77777777"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Phase(s) informed</w:t>
            </w:r>
          </w:p>
        </w:tc>
        <w:tc>
          <w:tcPr>
            <w:tcW w:w="1418" w:type="dxa"/>
            <w:tcBorders>
              <w:top w:val="single" w:sz="12" w:space="0" w:color="000000" w:themeColor="text1"/>
              <w:bottom w:val="single" w:sz="4" w:space="0" w:color="000000" w:themeColor="text1"/>
            </w:tcBorders>
            <w:vAlign w:val="center"/>
          </w:tcPr>
          <w:p w14:paraId="73DA298F" w14:textId="2E156FBC"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Format</w:t>
            </w:r>
          </w:p>
        </w:tc>
        <w:tc>
          <w:tcPr>
            <w:tcW w:w="3402" w:type="dxa"/>
            <w:tcBorders>
              <w:top w:val="single" w:sz="12" w:space="0" w:color="000000" w:themeColor="text1"/>
              <w:bottom w:val="single" w:sz="4" w:space="0" w:color="000000" w:themeColor="text1"/>
            </w:tcBorders>
            <w:vAlign w:val="center"/>
          </w:tcPr>
          <w:p w14:paraId="4136A149" w14:textId="59F1AEF4"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Key impact</w:t>
            </w:r>
          </w:p>
        </w:tc>
        <w:tc>
          <w:tcPr>
            <w:tcW w:w="2693" w:type="dxa"/>
            <w:tcBorders>
              <w:top w:val="single" w:sz="12" w:space="0" w:color="000000" w:themeColor="text1"/>
              <w:bottom w:val="single" w:sz="4" w:space="0" w:color="000000" w:themeColor="text1"/>
            </w:tcBorders>
            <w:vAlign w:val="center"/>
          </w:tcPr>
          <w:p w14:paraId="74CB32AA" w14:textId="17BD5C89" w:rsidR="006F0679" w:rsidRPr="002C21B8" w:rsidRDefault="006F0679" w:rsidP="000C485B">
            <w:pPr>
              <w:snapToGrid w:val="0"/>
              <w:spacing w:beforeLines="40" w:before="96" w:afterLines="40" w:after="96" w:line="240" w:lineRule="auto"/>
              <w:jc w:val="left"/>
              <w:rPr>
                <w:b/>
                <w:bCs/>
                <w:sz w:val="18"/>
                <w:szCs w:val="18"/>
              </w:rPr>
            </w:pPr>
            <w:r w:rsidRPr="002C21B8">
              <w:rPr>
                <w:b/>
                <w:bCs/>
                <w:sz w:val="18"/>
                <w:szCs w:val="18"/>
              </w:rPr>
              <w:t>Changes made</w:t>
            </w:r>
          </w:p>
        </w:tc>
      </w:tr>
      <w:tr w:rsidR="006F0679" w:rsidRPr="002C21B8" w14:paraId="47C697BA" w14:textId="32638A7C" w:rsidTr="00E273AA">
        <w:tc>
          <w:tcPr>
            <w:tcW w:w="1985" w:type="dxa"/>
            <w:tcBorders>
              <w:top w:val="single" w:sz="4" w:space="0" w:color="000000" w:themeColor="text1"/>
            </w:tcBorders>
          </w:tcPr>
          <w:p w14:paraId="1ECDA5EC" w14:textId="2B0806A6"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PPI meeting</w:t>
            </w:r>
          </w:p>
        </w:tc>
        <w:tc>
          <w:tcPr>
            <w:tcW w:w="1134" w:type="dxa"/>
            <w:tcBorders>
              <w:top w:val="single" w:sz="4" w:space="0" w:color="000000" w:themeColor="text1"/>
            </w:tcBorders>
          </w:tcPr>
          <w:p w14:paraId="5F613B44" w14:textId="03F9BCD3"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28/01/2022</w:t>
            </w:r>
          </w:p>
        </w:tc>
        <w:tc>
          <w:tcPr>
            <w:tcW w:w="1559" w:type="dxa"/>
            <w:tcBorders>
              <w:top w:val="single" w:sz="4" w:space="0" w:color="000000" w:themeColor="text1"/>
            </w:tcBorders>
            <w:shd w:val="clear" w:color="auto" w:fill="auto"/>
          </w:tcPr>
          <w:p w14:paraId="25C50BCE" w14:textId="33F4A44B"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6 patients</w:t>
            </w:r>
          </w:p>
        </w:tc>
        <w:tc>
          <w:tcPr>
            <w:tcW w:w="1701" w:type="dxa"/>
            <w:tcBorders>
              <w:top w:val="single" w:sz="4" w:space="0" w:color="000000" w:themeColor="text1"/>
            </w:tcBorders>
            <w:shd w:val="clear" w:color="auto" w:fill="auto"/>
          </w:tcPr>
          <w:p w14:paraId="136293A3" w14:textId="3FA7C32A"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Programme wide</w:t>
            </w:r>
          </w:p>
        </w:tc>
        <w:tc>
          <w:tcPr>
            <w:tcW w:w="1418" w:type="dxa"/>
            <w:tcBorders>
              <w:top w:val="single" w:sz="4" w:space="0" w:color="000000" w:themeColor="text1"/>
            </w:tcBorders>
          </w:tcPr>
          <w:p w14:paraId="30D3CCC7" w14:textId="675918C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Virtual meeting</w:t>
            </w:r>
          </w:p>
        </w:tc>
        <w:tc>
          <w:tcPr>
            <w:tcW w:w="3402" w:type="dxa"/>
            <w:tcBorders>
              <w:top w:val="single" w:sz="4" w:space="0" w:color="000000" w:themeColor="text1"/>
            </w:tcBorders>
          </w:tcPr>
          <w:p w14:paraId="241493BB" w14:textId="320007A2"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Provided input on overall study design and confirmed relevance for patients. Emphasised importance of equity and avoiding inappropriate prescribing.</w:t>
            </w:r>
          </w:p>
        </w:tc>
        <w:tc>
          <w:tcPr>
            <w:tcW w:w="2693" w:type="dxa"/>
            <w:tcBorders>
              <w:top w:val="single" w:sz="4" w:space="0" w:color="000000" w:themeColor="text1"/>
            </w:tcBorders>
          </w:tcPr>
          <w:p w14:paraId="2FC49216" w14:textId="0DDD2EEC"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 xml:space="preserve">Influenced the study design by incorporating equity in access to </w:t>
            </w:r>
            <w:r w:rsidR="00697F94" w:rsidRPr="002C21B8">
              <w:rPr>
                <w:sz w:val="18"/>
                <w:szCs w:val="18"/>
              </w:rPr>
              <w:t>medication</w:t>
            </w:r>
            <w:r w:rsidRPr="002C21B8">
              <w:rPr>
                <w:sz w:val="18"/>
                <w:szCs w:val="18"/>
              </w:rPr>
              <w:t>s and appropriate prescribing as central concepts.</w:t>
            </w:r>
          </w:p>
        </w:tc>
      </w:tr>
      <w:tr w:rsidR="006F0679" w:rsidRPr="002C21B8" w14:paraId="06F0DCE6" w14:textId="77777777" w:rsidTr="00E273AA">
        <w:tc>
          <w:tcPr>
            <w:tcW w:w="1985" w:type="dxa"/>
          </w:tcPr>
          <w:p w14:paraId="3F3E166A" w14:textId="6DF3CE3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UKKA PKD Clinical Study Group meeting</w:t>
            </w:r>
          </w:p>
        </w:tc>
        <w:tc>
          <w:tcPr>
            <w:tcW w:w="1134" w:type="dxa"/>
          </w:tcPr>
          <w:p w14:paraId="77314EFF" w14:textId="52631C36"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14/11/2023</w:t>
            </w:r>
          </w:p>
        </w:tc>
        <w:tc>
          <w:tcPr>
            <w:tcW w:w="1559" w:type="dxa"/>
            <w:shd w:val="clear" w:color="auto" w:fill="auto"/>
          </w:tcPr>
          <w:p w14:paraId="39B074F0" w14:textId="7777777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13 nephrologists, 2 patients</w:t>
            </w:r>
          </w:p>
        </w:tc>
        <w:tc>
          <w:tcPr>
            <w:tcW w:w="1701" w:type="dxa"/>
            <w:shd w:val="clear" w:color="auto" w:fill="auto"/>
          </w:tcPr>
          <w:p w14:paraId="4182EF08" w14:textId="70528928"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Programme wide</w:t>
            </w:r>
          </w:p>
        </w:tc>
        <w:tc>
          <w:tcPr>
            <w:tcW w:w="1418" w:type="dxa"/>
          </w:tcPr>
          <w:p w14:paraId="5718E98F" w14:textId="7777777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In-person meeting</w:t>
            </w:r>
          </w:p>
        </w:tc>
        <w:tc>
          <w:tcPr>
            <w:tcW w:w="3402" w:type="dxa"/>
          </w:tcPr>
          <w:p w14:paraId="71C5031D" w14:textId="00BA1123"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Agreed with the need to examine broader prescribing practices and perspectives beyond the case study sample.</w:t>
            </w:r>
          </w:p>
        </w:tc>
        <w:tc>
          <w:tcPr>
            <w:tcW w:w="2693" w:type="dxa"/>
          </w:tcPr>
          <w:p w14:paraId="2E156C84" w14:textId="7777777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Inclusion of the survey to assess wider prescribing practices and perspectives.</w:t>
            </w:r>
          </w:p>
        </w:tc>
      </w:tr>
      <w:tr w:rsidR="006F0679" w:rsidRPr="002C21B8" w14:paraId="0B15562C" w14:textId="23252412" w:rsidTr="00E273AA">
        <w:tc>
          <w:tcPr>
            <w:tcW w:w="1985" w:type="dxa"/>
          </w:tcPr>
          <w:p w14:paraId="1EC92D04" w14:textId="3D3B11DC"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PPI meeting</w:t>
            </w:r>
          </w:p>
        </w:tc>
        <w:tc>
          <w:tcPr>
            <w:tcW w:w="1134" w:type="dxa"/>
          </w:tcPr>
          <w:p w14:paraId="10BCE5D5" w14:textId="4BEEAF55"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26/01/2024</w:t>
            </w:r>
          </w:p>
        </w:tc>
        <w:tc>
          <w:tcPr>
            <w:tcW w:w="1559" w:type="dxa"/>
            <w:shd w:val="clear" w:color="auto" w:fill="auto"/>
          </w:tcPr>
          <w:p w14:paraId="23CE4873" w14:textId="49048C71"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5 patients</w:t>
            </w:r>
          </w:p>
        </w:tc>
        <w:tc>
          <w:tcPr>
            <w:tcW w:w="1701" w:type="dxa"/>
            <w:shd w:val="clear" w:color="auto" w:fill="auto"/>
          </w:tcPr>
          <w:p w14:paraId="3BBE3573" w14:textId="268420A6"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Phase 3</w:t>
            </w:r>
          </w:p>
        </w:tc>
        <w:tc>
          <w:tcPr>
            <w:tcW w:w="1418" w:type="dxa"/>
          </w:tcPr>
          <w:p w14:paraId="3577C3BE" w14:textId="0CE8A825"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Virtual meeting</w:t>
            </w:r>
          </w:p>
        </w:tc>
        <w:tc>
          <w:tcPr>
            <w:tcW w:w="3402" w:type="dxa"/>
          </w:tcPr>
          <w:p w14:paraId="3A44FD31" w14:textId="6142F9D4"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Identified</w:t>
            </w:r>
            <w:r w:rsidR="00B45CEC" w:rsidRPr="002C21B8">
              <w:rPr>
                <w:sz w:val="18"/>
                <w:szCs w:val="18"/>
              </w:rPr>
              <w:t xml:space="preserve"> some minor</w:t>
            </w:r>
            <w:r w:rsidRPr="002C21B8">
              <w:rPr>
                <w:sz w:val="18"/>
                <w:szCs w:val="18"/>
              </w:rPr>
              <w:t xml:space="preserve"> issues with clarity and wording </w:t>
            </w:r>
            <w:r w:rsidR="00F268E1" w:rsidRPr="002C21B8">
              <w:rPr>
                <w:sz w:val="18"/>
                <w:szCs w:val="18"/>
              </w:rPr>
              <w:t xml:space="preserve">in the </w:t>
            </w:r>
            <w:r w:rsidRPr="002C21B8">
              <w:rPr>
                <w:sz w:val="18"/>
                <w:szCs w:val="18"/>
              </w:rPr>
              <w:t>patient-facing materials. Provided additional context for clinical vignette to be used in case study.</w:t>
            </w:r>
          </w:p>
        </w:tc>
        <w:tc>
          <w:tcPr>
            <w:tcW w:w="2693" w:type="dxa"/>
          </w:tcPr>
          <w:p w14:paraId="62E5845A" w14:textId="627555FA"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 xml:space="preserve">Revised patient information leaflet to be more accessible. Adapted the clinical vignette to include family history of ADPKD and incorporate patient request for </w:t>
            </w:r>
            <w:r w:rsidR="008126B4" w:rsidRPr="002C21B8">
              <w:rPr>
                <w:sz w:val="18"/>
                <w:szCs w:val="18"/>
              </w:rPr>
              <w:t>medication</w:t>
            </w:r>
            <w:r w:rsidRPr="002C21B8">
              <w:rPr>
                <w:sz w:val="18"/>
                <w:szCs w:val="18"/>
              </w:rPr>
              <w:t>.</w:t>
            </w:r>
          </w:p>
        </w:tc>
      </w:tr>
      <w:tr w:rsidR="006F0679" w:rsidRPr="002C21B8" w14:paraId="62FF6256" w14:textId="77777777" w:rsidTr="00E273AA">
        <w:tc>
          <w:tcPr>
            <w:tcW w:w="1985" w:type="dxa"/>
          </w:tcPr>
          <w:p w14:paraId="31F55988" w14:textId="1E2904C2"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PKD Charity meeting</w:t>
            </w:r>
          </w:p>
        </w:tc>
        <w:tc>
          <w:tcPr>
            <w:tcW w:w="1134" w:type="dxa"/>
          </w:tcPr>
          <w:p w14:paraId="1435DF98" w14:textId="26D0C3D4"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03/07/2024</w:t>
            </w:r>
          </w:p>
        </w:tc>
        <w:tc>
          <w:tcPr>
            <w:tcW w:w="1559" w:type="dxa"/>
            <w:shd w:val="clear" w:color="auto" w:fill="auto"/>
          </w:tcPr>
          <w:p w14:paraId="71CF760D" w14:textId="71230BAA"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2 patients</w:t>
            </w:r>
          </w:p>
        </w:tc>
        <w:tc>
          <w:tcPr>
            <w:tcW w:w="1701" w:type="dxa"/>
            <w:shd w:val="clear" w:color="auto" w:fill="auto"/>
          </w:tcPr>
          <w:p w14:paraId="3EF0B487" w14:textId="15718631"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Programme wide</w:t>
            </w:r>
          </w:p>
        </w:tc>
        <w:tc>
          <w:tcPr>
            <w:tcW w:w="1418" w:type="dxa"/>
          </w:tcPr>
          <w:p w14:paraId="334A76C9" w14:textId="77777777"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Virtual meeting</w:t>
            </w:r>
          </w:p>
        </w:tc>
        <w:tc>
          <w:tcPr>
            <w:tcW w:w="3402" w:type="dxa"/>
          </w:tcPr>
          <w:p w14:paraId="4ABBCB65" w14:textId="5BA76398"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Confirmed that variation in access to and experience of ADPKD treatment (including tolvaptan) is present for the wider ADPKD community. Explained that there were differences in leaflets given to patients that might influence uptake.</w:t>
            </w:r>
          </w:p>
        </w:tc>
        <w:tc>
          <w:tcPr>
            <w:tcW w:w="2693" w:type="dxa"/>
          </w:tcPr>
          <w:p w14:paraId="2176BB62" w14:textId="3C6F6A9C"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Inclusion of questions about patient information in topic guide and survey.</w:t>
            </w:r>
          </w:p>
        </w:tc>
      </w:tr>
      <w:tr w:rsidR="006F0679" w:rsidRPr="002C21B8" w14:paraId="0D948B7B" w14:textId="1A136B48" w:rsidTr="00E273AA">
        <w:tc>
          <w:tcPr>
            <w:tcW w:w="1985" w:type="dxa"/>
          </w:tcPr>
          <w:p w14:paraId="28FD6A27" w14:textId="26A8462B"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PPI meeting</w:t>
            </w:r>
          </w:p>
        </w:tc>
        <w:tc>
          <w:tcPr>
            <w:tcW w:w="1134" w:type="dxa"/>
          </w:tcPr>
          <w:p w14:paraId="0FBBE4C6" w14:textId="2C78951E"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20/06/2025</w:t>
            </w:r>
          </w:p>
        </w:tc>
        <w:tc>
          <w:tcPr>
            <w:tcW w:w="1559" w:type="dxa"/>
            <w:shd w:val="clear" w:color="auto" w:fill="auto"/>
          </w:tcPr>
          <w:p w14:paraId="6AC3B995" w14:textId="3A52670F"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4 patients</w:t>
            </w:r>
          </w:p>
        </w:tc>
        <w:tc>
          <w:tcPr>
            <w:tcW w:w="1701" w:type="dxa"/>
            <w:shd w:val="clear" w:color="auto" w:fill="auto"/>
          </w:tcPr>
          <w:p w14:paraId="71B37B77" w14:textId="35A14C38"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Phase 3, Phase 4</w:t>
            </w:r>
          </w:p>
        </w:tc>
        <w:tc>
          <w:tcPr>
            <w:tcW w:w="1418" w:type="dxa"/>
          </w:tcPr>
          <w:p w14:paraId="7CA9C87B" w14:textId="5FD894E9"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Virtual meeting</w:t>
            </w:r>
          </w:p>
        </w:tc>
        <w:tc>
          <w:tcPr>
            <w:tcW w:w="3402" w:type="dxa"/>
          </w:tcPr>
          <w:p w14:paraId="6064B1E4" w14:textId="29D3AFE4"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Opportunity to discuss high-level findings from the multiple case studies to see whether this aligned with their experiences. Highlighted areas of ambiguity in questionnaire and overall length potentially being prohibitive.</w:t>
            </w:r>
          </w:p>
        </w:tc>
        <w:tc>
          <w:tcPr>
            <w:tcW w:w="2693" w:type="dxa"/>
          </w:tcPr>
          <w:p w14:paraId="760762EC" w14:textId="3AC5BC7E"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Modified survey questions to improve clarity and removal of “not sure” response category. Reinforced need to shorten questionnaire.</w:t>
            </w:r>
          </w:p>
        </w:tc>
      </w:tr>
      <w:tr w:rsidR="006F0679" w:rsidRPr="002C21B8" w14:paraId="17987B36" w14:textId="146AF9AA" w:rsidTr="00E273AA">
        <w:tc>
          <w:tcPr>
            <w:tcW w:w="1985" w:type="dxa"/>
            <w:tcBorders>
              <w:bottom w:val="single" w:sz="4" w:space="0" w:color="auto"/>
            </w:tcBorders>
          </w:tcPr>
          <w:p w14:paraId="1386A203" w14:textId="2098A23C"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PPI meeting</w:t>
            </w:r>
          </w:p>
        </w:tc>
        <w:tc>
          <w:tcPr>
            <w:tcW w:w="1134" w:type="dxa"/>
            <w:tcBorders>
              <w:bottom w:val="single" w:sz="4" w:space="0" w:color="auto"/>
            </w:tcBorders>
          </w:tcPr>
          <w:p w14:paraId="7440AE40" w14:textId="1CDE343C"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16/02/2026</w:t>
            </w:r>
          </w:p>
        </w:tc>
        <w:tc>
          <w:tcPr>
            <w:tcW w:w="1559" w:type="dxa"/>
            <w:tcBorders>
              <w:bottom w:val="single" w:sz="4" w:space="0" w:color="auto"/>
            </w:tcBorders>
            <w:shd w:val="clear" w:color="auto" w:fill="auto"/>
          </w:tcPr>
          <w:p w14:paraId="1CE53C9F" w14:textId="2963795E"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3 patients</w:t>
            </w:r>
          </w:p>
        </w:tc>
        <w:tc>
          <w:tcPr>
            <w:tcW w:w="1701" w:type="dxa"/>
            <w:tcBorders>
              <w:bottom w:val="single" w:sz="4" w:space="0" w:color="auto"/>
            </w:tcBorders>
            <w:shd w:val="clear" w:color="auto" w:fill="auto"/>
          </w:tcPr>
          <w:p w14:paraId="215366B9" w14:textId="4CB22538"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Programme wide, Phase 4</w:t>
            </w:r>
          </w:p>
        </w:tc>
        <w:tc>
          <w:tcPr>
            <w:tcW w:w="1418" w:type="dxa"/>
            <w:tcBorders>
              <w:bottom w:val="single" w:sz="4" w:space="0" w:color="auto"/>
            </w:tcBorders>
          </w:tcPr>
          <w:p w14:paraId="1317664D" w14:textId="296DFA58"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Virtual meeting</w:t>
            </w:r>
          </w:p>
        </w:tc>
        <w:tc>
          <w:tcPr>
            <w:tcW w:w="3402" w:type="dxa"/>
            <w:tcBorders>
              <w:bottom w:val="single" w:sz="4" w:space="0" w:color="auto"/>
            </w:tcBorders>
          </w:tcPr>
          <w:p w14:paraId="0B3B5709" w14:textId="20CA08A2"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Provided interpretation and confirmed survey findings in relation to variation in practices and potential impact of unequal access.</w:t>
            </w:r>
          </w:p>
        </w:tc>
        <w:tc>
          <w:tcPr>
            <w:tcW w:w="2693" w:type="dxa"/>
            <w:tcBorders>
              <w:bottom w:val="single" w:sz="4" w:space="0" w:color="auto"/>
            </w:tcBorders>
          </w:tcPr>
          <w:p w14:paraId="66F8A0E2" w14:textId="4BF0D760" w:rsidR="006F0679" w:rsidRPr="002C21B8" w:rsidRDefault="006F0679" w:rsidP="000C485B">
            <w:pPr>
              <w:snapToGrid w:val="0"/>
              <w:spacing w:beforeLines="40" w:before="96" w:afterLines="40" w:after="96" w:line="240" w:lineRule="auto"/>
              <w:jc w:val="left"/>
              <w:rPr>
                <w:sz w:val="18"/>
                <w:szCs w:val="18"/>
              </w:rPr>
            </w:pPr>
            <w:r w:rsidRPr="002C21B8">
              <w:rPr>
                <w:sz w:val="18"/>
                <w:szCs w:val="18"/>
              </w:rPr>
              <w:t xml:space="preserve">Increased emphasis on variation in practice and inequities in access to </w:t>
            </w:r>
            <w:r w:rsidR="00E273AA" w:rsidRPr="002C21B8">
              <w:rPr>
                <w:sz w:val="18"/>
                <w:szCs w:val="18"/>
              </w:rPr>
              <w:t>medication</w:t>
            </w:r>
            <w:r w:rsidRPr="002C21B8">
              <w:rPr>
                <w:sz w:val="18"/>
                <w:szCs w:val="18"/>
              </w:rPr>
              <w:t>s in survey discussion.</w:t>
            </w:r>
          </w:p>
        </w:tc>
      </w:tr>
    </w:tbl>
    <w:p w14:paraId="15A35B78" w14:textId="77777777" w:rsidR="00EE09A4" w:rsidRPr="002C21B8" w:rsidRDefault="00EE09A4" w:rsidP="000C485B">
      <w:pPr>
        <w:spacing w:line="240" w:lineRule="auto"/>
        <w:sectPr w:rsidR="00EE09A4" w:rsidRPr="002C21B8" w:rsidSect="0009672F">
          <w:headerReference w:type="default" r:id="rId23"/>
          <w:type w:val="continuous"/>
          <w:pgSz w:w="16838" w:h="11906" w:orient="landscape"/>
          <w:pgMar w:top="1440" w:right="1440" w:bottom="1440" w:left="1440" w:header="708" w:footer="708" w:gutter="0"/>
          <w:cols w:space="708"/>
          <w:docGrid w:linePitch="360"/>
        </w:sectPr>
      </w:pPr>
    </w:p>
    <w:p w14:paraId="0D371147" w14:textId="5B61BB15" w:rsidR="00B43F98" w:rsidRPr="002C21B8" w:rsidRDefault="00B43F98" w:rsidP="00581663">
      <w:pPr>
        <w:pStyle w:val="Heading2"/>
      </w:pPr>
      <w:bookmarkStart w:id="76" w:name="_Toc229687217"/>
      <w:r w:rsidRPr="002C21B8">
        <w:t xml:space="preserve">Chapter </w:t>
      </w:r>
      <w:r w:rsidR="005E6680" w:rsidRPr="002C21B8">
        <w:t>s</w:t>
      </w:r>
      <w:r w:rsidRPr="002C21B8">
        <w:t>ummary</w:t>
      </w:r>
      <w:bookmarkEnd w:id="76"/>
    </w:p>
    <w:p w14:paraId="3FC410E3" w14:textId="7BDB5319" w:rsidR="00876C7C" w:rsidRPr="002C21B8" w:rsidRDefault="00876C7C" w:rsidP="00A97F07">
      <w:pPr>
        <w:pStyle w:val="ListParagraph"/>
        <w:numPr>
          <w:ilvl w:val="0"/>
          <w:numId w:val="7"/>
        </w:numPr>
        <w:ind w:left="851"/>
      </w:pPr>
      <w:r w:rsidRPr="002C21B8">
        <w:t xml:space="preserve">Critical realism was identified as the research paradigm underpinning the </w:t>
      </w:r>
      <w:r w:rsidR="00A15369" w:rsidRPr="002C21B8">
        <w:t>programme of research</w:t>
      </w:r>
      <w:r w:rsidRPr="002C21B8">
        <w:t>, providing the ontological and epistemological foundation for the mixed methods design</w:t>
      </w:r>
      <w:r w:rsidR="00E969E0" w:rsidRPr="002C21B8">
        <w:t>.</w:t>
      </w:r>
    </w:p>
    <w:p w14:paraId="03F4C073" w14:textId="280FCF5C" w:rsidR="00601FBB" w:rsidRPr="002C21B8" w:rsidRDefault="00601FBB" w:rsidP="00A97F07">
      <w:pPr>
        <w:pStyle w:val="ListParagraph"/>
        <w:numPr>
          <w:ilvl w:val="0"/>
          <w:numId w:val="7"/>
        </w:numPr>
        <w:ind w:left="851"/>
      </w:pPr>
      <w:r w:rsidRPr="002C21B8">
        <w:t>A mixed methods design was selected as it allowed the quantification of prescribing variation and examination of the underlying mechanisms that might explain this variation</w:t>
      </w:r>
      <w:r w:rsidR="00E969E0" w:rsidRPr="002C21B8">
        <w:t>.</w:t>
      </w:r>
    </w:p>
    <w:p w14:paraId="12417183" w14:textId="2205DC03" w:rsidR="00BD2927" w:rsidRPr="002C21B8" w:rsidRDefault="00054CA8" w:rsidP="00A97F07">
      <w:pPr>
        <w:pStyle w:val="ListParagraph"/>
        <w:numPr>
          <w:ilvl w:val="0"/>
          <w:numId w:val="7"/>
        </w:numPr>
        <w:ind w:left="851"/>
      </w:pPr>
      <w:r w:rsidRPr="002C21B8">
        <w:t xml:space="preserve">The mixed methods design used in this </w:t>
      </w:r>
      <w:r w:rsidR="00A15369" w:rsidRPr="002C21B8">
        <w:t>programme of research</w:t>
      </w:r>
      <w:r w:rsidRPr="002C21B8">
        <w:t xml:space="preserve"> was a sequential, multiphase mixed methods design</w:t>
      </w:r>
      <w:r w:rsidR="00C4344D" w:rsidRPr="002C21B8">
        <w:t xml:space="preserve"> consisting o</w:t>
      </w:r>
      <w:r w:rsidR="007B7DC8" w:rsidRPr="002C21B8">
        <w:t>f a systematic review, analysis of registry data, multiple case study and</w:t>
      </w:r>
      <w:r w:rsidR="00316E52" w:rsidRPr="002C21B8">
        <w:t xml:space="preserve"> </w:t>
      </w:r>
      <w:r w:rsidR="00194260" w:rsidRPr="002C21B8">
        <w:t xml:space="preserve">a </w:t>
      </w:r>
      <w:r w:rsidR="00316E52" w:rsidRPr="002C21B8">
        <w:t xml:space="preserve">national survey of </w:t>
      </w:r>
      <w:r w:rsidR="007B7DC8" w:rsidRPr="002C21B8">
        <w:t>clinical practice</w:t>
      </w:r>
      <w:r w:rsidR="00E969E0" w:rsidRPr="002C21B8">
        <w:t>.</w:t>
      </w:r>
    </w:p>
    <w:p w14:paraId="708D0C82" w14:textId="75E644DF" w:rsidR="004A1572" w:rsidRPr="002C21B8" w:rsidRDefault="00876C7C" w:rsidP="00A97F07">
      <w:pPr>
        <w:pStyle w:val="ListParagraph"/>
        <w:numPr>
          <w:ilvl w:val="0"/>
          <w:numId w:val="7"/>
        </w:numPr>
        <w:ind w:left="851"/>
      </w:pPr>
      <w:r w:rsidRPr="002C21B8">
        <w:t xml:space="preserve">Integration in this </w:t>
      </w:r>
      <w:r w:rsidR="00A15369" w:rsidRPr="002C21B8">
        <w:t>programme of research</w:t>
      </w:r>
      <w:r w:rsidRPr="002C21B8">
        <w:t xml:space="preserve"> primarily </w:t>
      </w:r>
      <w:r w:rsidR="00291AB1" w:rsidRPr="002C21B8">
        <w:t xml:space="preserve">occurred </w:t>
      </w:r>
      <w:r w:rsidRPr="002C21B8">
        <w:t>through the sequential design whereby each phase informs a subsequent phase or phases</w:t>
      </w:r>
      <w:r w:rsidR="00E969E0" w:rsidRPr="002C21B8">
        <w:t>.</w:t>
      </w:r>
      <w:r w:rsidR="008A4B09" w:rsidRPr="002C21B8">
        <w:t xml:space="preserve"> </w:t>
      </w:r>
      <w:r w:rsidR="004A1572" w:rsidRPr="002C21B8">
        <w:t>Phases 3 and 4 were integrated in the interpretation stage following the</w:t>
      </w:r>
      <w:r w:rsidR="008A4B09" w:rsidRPr="002C21B8">
        <w:t xml:space="preserve"> separate</w:t>
      </w:r>
      <w:r w:rsidR="004A1572" w:rsidRPr="002C21B8">
        <w:t xml:space="preserve"> analysis of the</w:t>
      </w:r>
      <w:r w:rsidR="008A4B09" w:rsidRPr="002C21B8">
        <w:t>se</w:t>
      </w:r>
      <w:r w:rsidR="004A1572" w:rsidRPr="002C21B8">
        <w:t xml:space="preserve"> phases using the triangulation protocol</w:t>
      </w:r>
      <w:r w:rsidR="00E969E0" w:rsidRPr="002C21B8">
        <w:t>.</w:t>
      </w:r>
    </w:p>
    <w:p w14:paraId="0BA80A71" w14:textId="090E293A" w:rsidR="00291AB1" w:rsidRPr="002C21B8" w:rsidRDefault="00291AB1" w:rsidP="00A97F07">
      <w:pPr>
        <w:pStyle w:val="ListParagraph"/>
        <w:numPr>
          <w:ilvl w:val="0"/>
          <w:numId w:val="7"/>
        </w:numPr>
        <w:ind w:left="851"/>
      </w:pPr>
      <w:r w:rsidRPr="002C21B8">
        <w:t>Methodological quality was addressed through established criteria for rigour and trustworthiness</w:t>
      </w:r>
      <w:r w:rsidR="00AA5C2E" w:rsidRPr="002C21B8">
        <w:t>. Q</w:t>
      </w:r>
      <w:r w:rsidRPr="002C21B8">
        <w:t xml:space="preserve">uantitative phases </w:t>
      </w:r>
      <w:r w:rsidR="007E193F" w:rsidRPr="002C21B8">
        <w:t xml:space="preserve">were </w:t>
      </w:r>
      <w:r w:rsidRPr="002C21B8">
        <w:t>guided by principles of validity, reliability and objectivity</w:t>
      </w:r>
      <w:r w:rsidR="00AA5C2E" w:rsidRPr="002C21B8">
        <w:t xml:space="preserve">. </w:t>
      </w:r>
      <w:r w:rsidR="007E193F" w:rsidRPr="002C21B8">
        <w:t>Whereas, q</w:t>
      </w:r>
      <w:r w:rsidRPr="002C21B8">
        <w:t xml:space="preserve">ualitative phases </w:t>
      </w:r>
      <w:r w:rsidR="007E193F" w:rsidRPr="002C21B8">
        <w:t xml:space="preserve">were </w:t>
      </w:r>
      <w:r w:rsidRPr="002C21B8">
        <w:t>informed by credibility, transferability, dependability and confirmability</w:t>
      </w:r>
      <w:r w:rsidR="00E969E0" w:rsidRPr="002C21B8">
        <w:t>.</w:t>
      </w:r>
    </w:p>
    <w:p w14:paraId="27CA694A" w14:textId="2DEC6CCD" w:rsidR="00291AB1" w:rsidRPr="002C21B8" w:rsidRDefault="00291AB1" w:rsidP="00A97F07">
      <w:pPr>
        <w:pStyle w:val="ListParagraph"/>
        <w:numPr>
          <w:ilvl w:val="0"/>
          <w:numId w:val="7"/>
        </w:numPr>
        <w:ind w:left="851"/>
      </w:pPr>
      <w:r w:rsidRPr="002C21B8">
        <w:t xml:space="preserve">Reflexive practice was embedded throughout the </w:t>
      </w:r>
      <w:r w:rsidR="00A15369" w:rsidRPr="002C21B8">
        <w:t>programme of research</w:t>
      </w:r>
      <w:r w:rsidR="00E969E0" w:rsidRPr="002C21B8">
        <w:t>.</w:t>
      </w:r>
    </w:p>
    <w:p w14:paraId="7DB07BF5" w14:textId="01352B8E" w:rsidR="00480A3F" w:rsidRPr="002C21B8" w:rsidRDefault="00480A3F" w:rsidP="00A97F07">
      <w:pPr>
        <w:pStyle w:val="ListParagraph"/>
        <w:numPr>
          <w:ilvl w:val="0"/>
          <w:numId w:val="7"/>
        </w:numPr>
        <w:ind w:left="851"/>
      </w:pPr>
      <w:r w:rsidRPr="002C21B8">
        <w:t xml:space="preserve">Ethical approval was obtained </w:t>
      </w:r>
      <w:r w:rsidR="00D401F3" w:rsidRPr="002C21B8">
        <w:t xml:space="preserve">before </w:t>
      </w:r>
      <w:r w:rsidRPr="002C21B8">
        <w:t>commencement of any phases</w:t>
      </w:r>
      <w:r w:rsidR="00054CA8" w:rsidRPr="002C21B8">
        <w:t xml:space="preserve"> in the </w:t>
      </w:r>
      <w:r w:rsidR="00A15369" w:rsidRPr="002C21B8">
        <w:t>programme of research</w:t>
      </w:r>
      <w:r w:rsidR="00E969E0" w:rsidRPr="002C21B8">
        <w:t>.</w:t>
      </w:r>
      <w:r w:rsidR="00E833A2" w:rsidRPr="002C21B8">
        <w:t xml:space="preserve"> Key ethical considerations during the programme of research were presented.</w:t>
      </w:r>
    </w:p>
    <w:p w14:paraId="75803B5C" w14:textId="42A8528D" w:rsidR="00BD2927" w:rsidRPr="002C21B8" w:rsidRDefault="008E1CFF" w:rsidP="00A97F07">
      <w:pPr>
        <w:pStyle w:val="ListParagraph"/>
        <w:numPr>
          <w:ilvl w:val="0"/>
          <w:numId w:val="7"/>
        </w:numPr>
        <w:ind w:left="851"/>
      </w:pPr>
      <w:r w:rsidRPr="002C21B8">
        <w:t>Patient and public involvement was</w:t>
      </w:r>
      <w:r w:rsidR="00C65FA9" w:rsidRPr="002C21B8">
        <w:t xml:space="preserve"> </w:t>
      </w:r>
      <w:r w:rsidRPr="002C21B8">
        <w:t>undertaken</w:t>
      </w:r>
      <w:r w:rsidR="00C65FA9" w:rsidRPr="002C21B8">
        <w:t xml:space="preserve"> throughout the </w:t>
      </w:r>
      <w:r w:rsidR="00A15369" w:rsidRPr="002C21B8">
        <w:t>programme of research</w:t>
      </w:r>
      <w:r w:rsidR="00C65FA9" w:rsidRPr="002C21B8">
        <w:t xml:space="preserve"> through a dedicated </w:t>
      </w:r>
      <w:r w:rsidR="003E28A4" w:rsidRPr="002C21B8">
        <w:t xml:space="preserve">PPI group </w:t>
      </w:r>
      <w:r w:rsidR="00194260" w:rsidRPr="002C21B8">
        <w:t>at</w:t>
      </w:r>
      <w:r w:rsidR="003E28A4" w:rsidRPr="002C21B8">
        <w:t xml:space="preserve"> the Sheffield Teaching Hospitals</w:t>
      </w:r>
      <w:r w:rsidR="00C65FA9" w:rsidRPr="002C21B8">
        <w:t xml:space="preserve"> alongside engagement with key stakeholder organisations</w:t>
      </w:r>
      <w:r w:rsidR="00E969E0" w:rsidRPr="002C21B8">
        <w:t>.</w:t>
      </w:r>
    </w:p>
    <w:p w14:paraId="51E9547E" w14:textId="7693D50C" w:rsidR="00BD2927" w:rsidRPr="002C21B8" w:rsidRDefault="00BD2927" w:rsidP="00E969E0">
      <w:pPr>
        <w:sectPr w:rsidR="00BD2927" w:rsidRPr="002C21B8" w:rsidSect="0009672F">
          <w:headerReference w:type="default" r:id="rId24"/>
          <w:type w:val="continuous"/>
          <w:pgSz w:w="11906" w:h="16838"/>
          <w:pgMar w:top="1440" w:right="1440" w:bottom="1440" w:left="1440" w:header="708" w:footer="708" w:gutter="0"/>
          <w:cols w:space="708"/>
          <w:docGrid w:linePitch="360"/>
        </w:sectPr>
      </w:pPr>
    </w:p>
    <w:p w14:paraId="54D293FA" w14:textId="373BAB2F" w:rsidR="002F0740" w:rsidRPr="002C21B8" w:rsidRDefault="002F0740" w:rsidP="007F1616">
      <w:pPr>
        <w:pStyle w:val="Heading1"/>
      </w:pPr>
      <w:bookmarkStart w:id="77" w:name="_–_Systematic_review"/>
      <w:bookmarkStart w:id="78" w:name="_Toc229687218"/>
      <w:bookmarkEnd w:id="77"/>
      <w:r w:rsidRPr="002C21B8">
        <w:t xml:space="preserve">– Systematic review </w:t>
      </w:r>
      <w:r w:rsidR="00F603F5" w:rsidRPr="002C21B8">
        <w:t xml:space="preserve">(overview of </w:t>
      </w:r>
      <w:r w:rsidR="0014305C" w:rsidRPr="002C21B8">
        <w:t xml:space="preserve">systematic </w:t>
      </w:r>
      <w:r w:rsidR="00F603F5" w:rsidRPr="002C21B8">
        <w:t xml:space="preserve">reviews) </w:t>
      </w:r>
      <w:r w:rsidRPr="002C21B8">
        <w:t xml:space="preserve">of factors </w:t>
      </w:r>
      <w:r w:rsidR="004226A3" w:rsidRPr="002C21B8">
        <w:t xml:space="preserve">influencing </w:t>
      </w:r>
      <w:r w:rsidRPr="002C21B8">
        <w:t>prescribing</w:t>
      </w:r>
      <w:r w:rsidR="004226A3" w:rsidRPr="002C21B8">
        <w:t xml:space="preserve"> decision-making</w:t>
      </w:r>
      <w:r w:rsidRPr="002C21B8">
        <w:t xml:space="preserve"> in chronic conditions</w:t>
      </w:r>
      <w:bookmarkEnd w:id="78"/>
    </w:p>
    <w:p w14:paraId="2D83B0FE" w14:textId="77777777" w:rsidR="002F0740" w:rsidRPr="002C21B8" w:rsidRDefault="002F0740" w:rsidP="00581663">
      <w:pPr>
        <w:pStyle w:val="Heading2"/>
      </w:pPr>
      <w:bookmarkStart w:id="79" w:name="_Toc229687219"/>
      <w:r w:rsidRPr="002C21B8">
        <w:t>Chapter outline</w:t>
      </w:r>
      <w:bookmarkEnd w:id="79"/>
    </w:p>
    <w:p w14:paraId="4FF8685C" w14:textId="54A20EEC" w:rsidR="002F0740" w:rsidRPr="002C21B8" w:rsidRDefault="002F0740" w:rsidP="00A04CD8">
      <w:pPr>
        <w:spacing w:after="0"/>
      </w:pPr>
      <w:r w:rsidRPr="002C21B8">
        <w:t xml:space="preserve">This chapter presents the </w:t>
      </w:r>
      <w:r w:rsidR="004226A3" w:rsidRPr="002C21B8">
        <w:t>systematic review (</w:t>
      </w:r>
      <w:r w:rsidR="00E06102" w:rsidRPr="002C21B8">
        <w:t xml:space="preserve">overview of </w:t>
      </w:r>
      <w:r w:rsidR="0014305C" w:rsidRPr="002C21B8">
        <w:t xml:space="preserve">systematic </w:t>
      </w:r>
      <w:r w:rsidR="00E06102" w:rsidRPr="002C21B8">
        <w:t>reviews</w:t>
      </w:r>
      <w:r w:rsidR="004226A3" w:rsidRPr="002C21B8">
        <w:t>)</w:t>
      </w:r>
      <w:r w:rsidRPr="002C21B8">
        <w:t xml:space="preserve"> of factors </w:t>
      </w:r>
      <w:r w:rsidR="004226A3" w:rsidRPr="002C21B8">
        <w:t>influencing</w:t>
      </w:r>
      <w:r w:rsidRPr="002C21B8">
        <w:t xml:space="preserve"> prescribing</w:t>
      </w:r>
      <w:r w:rsidR="004226A3" w:rsidRPr="002C21B8">
        <w:t xml:space="preserve"> decision-making</w:t>
      </w:r>
      <w:r w:rsidRPr="002C21B8">
        <w:t xml:space="preserve"> in chronic conditions. The verbatim text of the </w:t>
      </w:r>
      <w:r w:rsidR="00FB2B92" w:rsidRPr="002C21B8">
        <w:t>journal article</w:t>
      </w:r>
      <w:r w:rsidRPr="002C21B8">
        <w:t xml:space="preserve"> is presented as published in </w:t>
      </w:r>
      <w:r w:rsidRPr="002C21B8">
        <w:rPr>
          <w:i/>
          <w:iCs/>
        </w:rPr>
        <w:t>BioMed Central (BMC) Medicine.</w:t>
      </w:r>
      <w:r w:rsidRPr="002C21B8">
        <w:t xml:space="preserve"> </w:t>
      </w:r>
      <w:r w:rsidR="00530F01" w:rsidRPr="002C21B8">
        <w:t xml:space="preserve">The contribution of each co-author is detailed in </w:t>
      </w:r>
      <w:hyperlink w:anchor="_Appendix_1._Author" w:history="1">
        <w:r w:rsidR="00C83686" w:rsidRPr="002C21B8">
          <w:rPr>
            <w:rStyle w:val="Hyperlink"/>
          </w:rPr>
          <w:t>Appendix 1</w:t>
        </w:r>
      </w:hyperlink>
      <w:r w:rsidRPr="002C21B8">
        <w:t xml:space="preserve">. Further details on </w:t>
      </w:r>
      <w:r w:rsidR="002351C0" w:rsidRPr="002C21B8">
        <w:t xml:space="preserve">the </w:t>
      </w:r>
      <w:r w:rsidRPr="002C21B8">
        <w:t xml:space="preserve">methods and </w:t>
      </w:r>
      <w:r w:rsidR="002351C0" w:rsidRPr="002C21B8">
        <w:t xml:space="preserve">the </w:t>
      </w:r>
      <w:r w:rsidRPr="002C21B8">
        <w:t xml:space="preserve">supplementary materials published with the </w:t>
      </w:r>
      <w:r w:rsidR="00FB2B92" w:rsidRPr="002C21B8">
        <w:t>journal article</w:t>
      </w:r>
      <w:r w:rsidRPr="002C21B8">
        <w:t xml:space="preserve"> are presented in </w:t>
      </w:r>
      <w:hyperlink w:anchor="_Appendix_3._Additional" w:history="1">
        <w:r w:rsidRPr="002C21B8">
          <w:rPr>
            <w:rStyle w:val="Hyperlink"/>
          </w:rPr>
          <w:t xml:space="preserve">Appendices </w:t>
        </w:r>
        <w:r w:rsidR="00AE796C" w:rsidRPr="002C21B8">
          <w:rPr>
            <w:rStyle w:val="Hyperlink"/>
          </w:rPr>
          <w:t>3</w:t>
        </w:r>
      </w:hyperlink>
      <w:r w:rsidRPr="002C21B8">
        <w:t xml:space="preserve"> and </w:t>
      </w:r>
      <w:hyperlink w:anchor="_Appendix_4._Publication_1" w:history="1">
        <w:r w:rsidR="00AE796C" w:rsidRPr="002C21B8">
          <w:rPr>
            <w:rStyle w:val="Hyperlink"/>
          </w:rPr>
          <w:t>4</w:t>
        </w:r>
      </w:hyperlink>
      <w:r w:rsidRPr="002C21B8">
        <w:t>.</w:t>
      </w:r>
    </w:p>
    <w:p w14:paraId="7CADF660" w14:textId="77777777" w:rsidR="000E3524" w:rsidRPr="002C21B8" w:rsidRDefault="000E3524">
      <w:pPr>
        <w:spacing w:after="0" w:line="240" w:lineRule="auto"/>
        <w:jc w:val="left"/>
        <w:rPr>
          <w:rFonts w:eastAsiaTheme="majorEastAsia"/>
          <w:b/>
          <w:bCs/>
          <w:color w:val="000000" w:themeColor="text1"/>
          <w:sz w:val="32"/>
          <w:szCs w:val="32"/>
        </w:rPr>
      </w:pPr>
      <w:bookmarkStart w:id="80" w:name="_Toc227831396"/>
      <w:bookmarkStart w:id="81" w:name="_Toc227870138"/>
      <w:bookmarkStart w:id="82" w:name="_Toc227870236"/>
      <w:bookmarkStart w:id="83" w:name="_Toc227870716"/>
      <w:bookmarkStart w:id="84" w:name="_Toc227870810"/>
      <w:bookmarkStart w:id="85" w:name="_Toc227871429"/>
      <w:bookmarkStart w:id="86" w:name="_Toc227831397"/>
      <w:bookmarkStart w:id="87" w:name="_Toc227870139"/>
      <w:bookmarkStart w:id="88" w:name="_Toc227870237"/>
      <w:bookmarkStart w:id="89" w:name="_Toc227870717"/>
      <w:bookmarkStart w:id="90" w:name="_Toc227870811"/>
      <w:bookmarkStart w:id="91" w:name="_Toc227871430"/>
      <w:bookmarkStart w:id="92" w:name="_Toc227831398"/>
      <w:bookmarkStart w:id="93" w:name="_Toc227870140"/>
      <w:bookmarkStart w:id="94" w:name="_Toc227870238"/>
      <w:bookmarkStart w:id="95" w:name="_Toc227870718"/>
      <w:bookmarkStart w:id="96" w:name="_Toc227870812"/>
      <w:bookmarkStart w:id="97" w:name="_Toc22787143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2C21B8">
        <w:br w:type="page"/>
      </w:r>
    </w:p>
    <w:p w14:paraId="3E76E22C" w14:textId="77777777" w:rsidR="00D50E4C" w:rsidRPr="002C21B8" w:rsidRDefault="00D50E4C" w:rsidP="00581663">
      <w:pPr>
        <w:pStyle w:val="Heading2"/>
      </w:pPr>
      <w:bookmarkStart w:id="98" w:name="_Toc229687220"/>
      <w:r w:rsidRPr="002C21B8">
        <w:t>Manuscript</w:t>
      </w:r>
      <w:bookmarkEnd w:id="98"/>
    </w:p>
    <w:p w14:paraId="4F52DAC9" w14:textId="77777777" w:rsidR="00D50E4C" w:rsidRPr="002C21B8" w:rsidRDefault="00D50E4C" w:rsidP="00D50E4C"/>
    <w:p w14:paraId="0110B5BC" w14:textId="6F1999D5" w:rsidR="002F0740" w:rsidRPr="002C21B8" w:rsidRDefault="002F0740" w:rsidP="00E06102">
      <w:pPr>
        <w:rPr>
          <w:b/>
          <w:bCs/>
          <w:sz w:val="32"/>
          <w:szCs w:val="32"/>
        </w:rPr>
      </w:pPr>
      <w:r w:rsidRPr="002C21B8">
        <w:rPr>
          <w:b/>
          <w:bCs/>
          <w:sz w:val="32"/>
          <w:szCs w:val="32"/>
        </w:rPr>
        <w:t xml:space="preserve">A </w:t>
      </w:r>
      <w:r w:rsidR="00840A95" w:rsidRPr="002C21B8">
        <w:rPr>
          <w:b/>
          <w:bCs/>
          <w:sz w:val="32"/>
          <w:szCs w:val="32"/>
        </w:rPr>
        <w:t>c</w:t>
      </w:r>
      <w:r w:rsidRPr="002C21B8">
        <w:rPr>
          <w:b/>
          <w:bCs/>
          <w:sz w:val="32"/>
          <w:szCs w:val="32"/>
        </w:rPr>
        <w:t xml:space="preserve">onceptual </w:t>
      </w:r>
      <w:r w:rsidR="00840A95" w:rsidRPr="002C21B8">
        <w:rPr>
          <w:b/>
          <w:bCs/>
          <w:sz w:val="32"/>
          <w:szCs w:val="32"/>
        </w:rPr>
        <w:t>m</w:t>
      </w:r>
      <w:r w:rsidRPr="002C21B8">
        <w:rPr>
          <w:b/>
          <w:bCs/>
          <w:sz w:val="32"/>
          <w:szCs w:val="32"/>
        </w:rPr>
        <w:t xml:space="preserve">odel of </w:t>
      </w:r>
      <w:r w:rsidR="00840A95" w:rsidRPr="002C21B8">
        <w:rPr>
          <w:b/>
          <w:bCs/>
          <w:sz w:val="32"/>
          <w:szCs w:val="32"/>
        </w:rPr>
        <w:t>f</w:t>
      </w:r>
      <w:r w:rsidRPr="002C21B8">
        <w:rPr>
          <w:b/>
          <w:bCs/>
          <w:sz w:val="32"/>
          <w:szCs w:val="32"/>
        </w:rPr>
        <w:t xml:space="preserve">actors </w:t>
      </w:r>
      <w:r w:rsidR="00840A95" w:rsidRPr="002C21B8">
        <w:rPr>
          <w:b/>
          <w:bCs/>
          <w:sz w:val="32"/>
          <w:szCs w:val="32"/>
        </w:rPr>
        <w:t>p</w:t>
      </w:r>
      <w:r w:rsidRPr="002C21B8">
        <w:rPr>
          <w:b/>
          <w:bCs/>
          <w:sz w:val="32"/>
          <w:szCs w:val="32"/>
        </w:rPr>
        <w:t xml:space="preserve">otentially </w:t>
      </w:r>
      <w:r w:rsidR="00840A95" w:rsidRPr="002C21B8">
        <w:rPr>
          <w:b/>
          <w:bCs/>
          <w:sz w:val="32"/>
          <w:szCs w:val="32"/>
        </w:rPr>
        <w:t>i</w:t>
      </w:r>
      <w:r w:rsidRPr="002C21B8">
        <w:rPr>
          <w:b/>
          <w:bCs/>
          <w:sz w:val="32"/>
          <w:szCs w:val="32"/>
        </w:rPr>
        <w:t xml:space="preserve">nfluencing </w:t>
      </w:r>
      <w:r w:rsidR="00840A95" w:rsidRPr="002C21B8">
        <w:rPr>
          <w:b/>
          <w:bCs/>
          <w:sz w:val="32"/>
          <w:szCs w:val="32"/>
        </w:rPr>
        <w:t>p</w:t>
      </w:r>
      <w:r w:rsidRPr="002C21B8">
        <w:rPr>
          <w:b/>
          <w:bCs/>
          <w:sz w:val="32"/>
          <w:szCs w:val="32"/>
        </w:rPr>
        <w:t xml:space="preserve">rescribing </w:t>
      </w:r>
      <w:r w:rsidR="00840A95" w:rsidRPr="002C21B8">
        <w:rPr>
          <w:b/>
          <w:bCs/>
          <w:sz w:val="32"/>
          <w:szCs w:val="32"/>
        </w:rPr>
        <w:t>d</w:t>
      </w:r>
      <w:r w:rsidRPr="002C21B8">
        <w:rPr>
          <w:b/>
          <w:bCs/>
          <w:sz w:val="32"/>
          <w:szCs w:val="32"/>
        </w:rPr>
        <w:t xml:space="preserve">ecisions for </w:t>
      </w:r>
      <w:r w:rsidR="00840A95" w:rsidRPr="002C21B8">
        <w:rPr>
          <w:b/>
          <w:bCs/>
          <w:sz w:val="32"/>
          <w:szCs w:val="32"/>
        </w:rPr>
        <w:t>c</w:t>
      </w:r>
      <w:r w:rsidRPr="002C21B8">
        <w:rPr>
          <w:b/>
          <w:bCs/>
          <w:sz w:val="32"/>
          <w:szCs w:val="32"/>
        </w:rPr>
        <w:t xml:space="preserve">hronic </w:t>
      </w:r>
      <w:r w:rsidR="00840A95" w:rsidRPr="002C21B8">
        <w:rPr>
          <w:b/>
          <w:bCs/>
          <w:sz w:val="32"/>
          <w:szCs w:val="32"/>
        </w:rPr>
        <w:t>co</w:t>
      </w:r>
      <w:r w:rsidRPr="002C21B8">
        <w:rPr>
          <w:b/>
          <w:bCs/>
          <w:sz w:val="32"/>
          <w:szCs w:val="32"/>
        </w:rPr>
        <w:t xml:space="preserve">nditions: </w:t>
      </w:r>
      <w:r w:rsidR="00840A95" w:rsidRPr="002C21B8">
        <w:rPr>
          <w:b/>
          <w:bCs/>
          <w:sz w:val="32"/>
          <w:szCs w:val="32"/>
        </w:rPr>
        <w:t>a</w:t>
      </w:r>
      <w:r w:rsidRPr="002C21B8">
        <w:rPr>
          <w:b/>
          <w:bCs/>
          <w:sz w:val="32"/>
          <w:szCs w:val="32"/>
        </w:rPr>
        <w:t xml:space="preserve">n </w:t>
      </w:r>
      <w:r w:rsidR="00840A95" w:rsidRPr="002C21B8">
        <w:rPr>
          <w:b/>
          <w:bCs/>
          <w:sz w:val="32"/>
          <w:szCs w:val="32"/>
        </w:rPr>
        <w:t>o</w:t>
      </w:r>
      <w:r w:rsidRPr="002C21B8">
        <w:rPr>
          <w:b/>
          <w:bCs/>
          <w:sz w:val="32"/>
          <w:szCs w:val="32"/>
        </w:rPr>
        <w:t xml:space="preserve">verview of </w:t>
      </w:r>
      <w:r w:rsidR="00840A95" w:rsidRPr="002C21B8">
        <w:rPr>
          <w:b/>
          <w:bCs/>
          <w:sz w:val="32"/>
          <w:szCs w:val="32"/>
        </w:rPr>
        <w:t>s</w:t>
      </w:r>
      <w:r w:rsidRPr="002C21B8">
        <w:rPr>
          <w:b/>
          <w:bCs/>
          <w:sz w:val="32"/>
          <w:szCs w:val="32"/>
        </w:rPr>
        <w:t xml:space="preserve">ystematic </w:t>
      </w:r>
      <w:r w:rsidR="00840A95" w:rsidRPr="002C21B8">
        <w:rPr>
          <w:b/>
          <w:bCs/>
          <w:sz w:val="32"/>
          <w:szCs w:val="32"/>
        </w:rPr>
        <w:t>r</w:t>
      </w:r>
      <w:r w:rsidRPr="002C21B8">
        <w:rPr>
          <w:b/>
          <w:bCs/>
          <w:sz w:val="32"/>
          <w:szCs w:val="32"/>
        </w:rPr>
        <w:t>eviews</w:t>
      </w:r>
    </w:p>
    <w:p w14:paraId="16505C4D" w14:textId="34C3A4DC" w:rsidR="000E3524" w:rsidRPr="002C21B8" w:rsidRDefault="002F0740" w:rsidP="002F0740">
      <w:pPr>
        <w:rPr>
          <w:shd w:val="clear" w:color="auto" w:fill="FFFFFF"/>
        </w:rPr>
      </w:pPr>
      <w:r w:rsidRPr="002C21B8">
        <w:rPr>
          <w:shd w:val="clear" w:color="auto" w:fill="FFFFFF"/>
        </w:rPr>
        <w:t>Gittus, M., O'Cathain, A., Miller, K., Oklopcic, A., Ong, A.C.M., Fotheringham, J. A conceptual model of factors potentially influencing prescribing decisions for chronic conditions: an overview of systematic reviews. BMC Med. 2025 Jul 1;23(1):364. doi: 10.1186/s12916-025-04194-9. PMID: 40598148; PMCID: PMC12217990.</w:t>
      </w:r>
    </w:p>
    <w:p w14:paraId="7169AD53" w14:textId="77777777" w:rsidR="00E06102" w:rsidRPr="002C21B8" w:rsidRDefault="00E06102" w:rsidP="002F0740">
      <w:pPr>
        <w:rPr>
          <w:shd w:val="clear" w:color="auto" w:fill="FFFFFF"/>
        </w:rPr>
      </w:pPr>
    </w:p>
    <w:p w14:paraId="3D24ECE9" w14:textId="77777777" w:rsidR="002F0740" w:rsidRPr="002C21B8" w:rsidRDefault="002F0740" w:rsidP="002F0740">
      <w:pPr>
        <w:spacing w:before="240" w:after="0"/>
        <w:rPr>
          <w:b/>
          <w:bCs/>
          <w:sz w:val="28"/>
          <w:szCs w:val="28"/>
        </w:rPr>
      </w:pPr>
      <w:r w:rsidRPr="002C21B8">
        <w:rPr>
          <w:b/>
          <w:bCs/>
          <w:sz w:val="28"/>
          <w:szCs w:val="28"/>
        </w:rPr>
        <w:t>Abstract</w:t>
      </w:r>
    </w:p>
    <w:p w14:paraId="4CA16C2D" w14:textId="77777777" w:rsidR="002F0740" w:rsidRPr="002C21B8" w:rsidRDefault="002F0740" w:rsidP="002F0740">
      <w:pPr>
        <w:spacing w:before="240" w:after="0"/>
        <w:rPr>
          <w:b/>
          <w:bCs/>
          <w:sz w:val="24"/>
          <w:szCs w:val="24"/>
        </w:rPr>
      </w:pPr>
      <w:r w:rsidRPr="002C21B8">
        <w:rPr>
          <w:b/>
          <w:bCs/>
          <w:sz w:val="24"/>
          <w:szCs w:val="24"/>
        </w:rPr>
        <w:t>Background</w:t>
      </w:r>
    </w:p>
    <w:p w14:paraId="67BFE9C4" w14:textId="34C6C9B2" w:rsidR="002F0740" w:rsidRPr="002C21B8" w:rsidRDefault="002F0740" w:rsidP="002F0740">
      <w:r w:rsidRPr="002C21B8">
        <w:t>Nearly half of all adults are affected by chronic conditions</w:t>
      </w:r>
      <w:r w:rsidR="00B671B7" w:rsidRPr="002C21B8">
        <w:t>,</w:t>
      </w:r>
      <w:r w:rsidRPr="002C21B8">
        <w:t xml:space="preserve"> with long-term medications often being the primary intervention. Although models like that of Murshid and Mohaidin contribute to our understanding of prescribing behaviours, they are not specific to chronic conditions and may not reflect the full range of </w:t>
      </w:r>
      <w:r w:rsidR="00E36D82" w:rsidRPr="002C21B8">
        <w:t>influential</w:t>
      </w:r>
      <w:r w:rsidRPr="002C21B8">
        <w:t xml:space="preserve"> factors relevant to long-term care.</w:t>
      </w:r>
      <w:r w:rsidR="00B671B7" w:rsidRPr="002C21B8">
        <w:t xml:space="preserve"> A</w:t>
      </w:r>
      <w:r w:rsidRPr="002C21B8">
        <w:t xml:space="preserve"> </w:t>
      </w:r>
      <w:r w:rsidR="00B671B7" w:rsidRPr="002C21B8">
        <w:t>b</w:t>
      </w:r>
      <w:r w:rsidRPr="002C21B8">
        <w:t xml:space="preserve">etter understanding </w:t>
      </w:r>
      <w:r w:rsidR="00B671B7" w:rsidRPr="002C21B8">
        <w:t xml:space="preserve">of </w:t>
      </w:r>
      <w:r w:rsidRPr="002C21B8">
        <w:t>the factors that may influence healthcare professionals’ decision-making could help inform policy and guidelines</w:t>
      </w:r>
      <w:r w:rsidR="00B671B7" w:rsidRPr="002C21B8">
        <w:t>,</w:t>
      </w:r>
      <w:r w:rsidRPr="002C21B8">
        <w:t xml:space="preserve"> as well as identify targets for future research and interventions.</w:t>
      </w:r>
    </w:p>
    <w:p w14:paraId="4877E1DD" w14:textId="77777777" w:rsidR="002F0740" w:rsidRPr="002C21B8" w:rsidRDefault="002F0740" w:rsidP="002F0740">
      <w:pPr>
        <w:spacing w:before="240" w:after="0"/>
        <w:rPr>
          <w:b/>
          <w:bCs/>
          <w:sz w:val="24"/>
          <w:szCs w:val="24"/>
        </w:rPr>
      </w:pPr>
      <w:bookmarkStart w:id="99" w:name="_Toc159229839"/>
      <w:bookmarkStart w:id="100" w:name="_Toc170713609"/>
      <w:r w:rsidRPr="002C21B8">
        <w:rPr>
          <w:b/>
          <w:bCs/>
          <w:sz w:val="24"/>
          <w:szCs w:val="24"/>
        </w:rPr>
        <w:t>Methods</w:t>
      </w:r>
      <w:bookmarkEnd w:id="99"/>
      <w:bookmarkEnd w:id="100"/>
    </w:p>
    <w:p w14:paraId="08D4D4B0" w14:textId="43056F15" w:rsidR="001A7488" w:rsidRPr="002C21B8" w:rsidRDefault="002F0740" w:rsidP="00297285">
      <w:r w:rsidRPr="002C21B8">
        <w:t xml:space="preserve">An overview of systematic reviews was undertaken, following the 2020 PRISMA guidelines. PubMed, Embase, Web of Science, Cochrane Library and Google Scholar were searched from 01/01/2013 to </w:t>
      </w:r>
      <w:r w:rsidR="00354336" w:rsidRPr="002C21B8">
        <w:t>0</w:t>
      </w:r>
      <w:r w:rsidRPr="002C21B8">
        <w:t xml:space="preserve">7/11/2023. Quality assessment was undertaken using the AMSTAR 2 tool. Screening, data extraction and synthesis were conducted. Confidence in findings was assessed using the GRADE-CERQual tool. An existing generic conceptual model of prescribing </w:t>
      </w:r>
      <w:r w:rsidR="001C54C0" w:rsidRPr="002C21B8">
        <w:t xml:space="preserve">decision-making </w:t>
      </w:r>
      <w:r w:rsidRPr="002C21B8">
        <w:t>was adjusted to specifically reflect chronic conditions.</w:t>
      </w:r>
      <w:r w:rsidR="001A7488" w:rsidRPr="002C21B8">
        <w:br w:type="page"/>
      </w:r>
    </w:p>
    <w:p w14:paraId="141C1AF0" w14:textId="77777777" w:rsidR="002F0740" w:rsidRPr="002C21B8" w:rsidRDefault="002F0740" w:rsidP="002F0740">
      <w:pPr>
        <w:spacing w:before="240" w:after="0"/>
        <w:rPr>
          <w:b/>
          <w:bCs/>
          <w:sz w:val="24"/>
          <w:szCs w:val="24"/>
        </w:rPr>
      </w:pPr>
      <w:bookmarkStart w:id="101" w:name="_Toc159229840"/>
      <w:bookmarkStart w:id="102" w:name="_Toc170713610"/>
      <w:r w:rsidRPr="002C21B8">
        <w:rPr>
          <w:b/>
          <w:bCs/>
          <w:sz w:val="24"/>
          <w:szCs w:val="24"/>
        </w:rPr>
        <w:t>Results</w:t>
      </w:r>
      <w:bookmarkEnd w:id="101"/>
      <w:bookmarkEnd w:id="102"/>
    </w:p>
    <w:p w14:paraId="2571EA80" w14:textId="54B0066A" w:rsidR="002F0740" w:rsidRPr="002C21B8" w:rsidRDefault="002F0740" w:rsidP="002F0740">
      <w:r w:rsidRPr="002C21B8">
        <w:t>Twenty-six reviews published between 2013 and 2023 were included, synthesising 689 primary studies. Patient factors that may influence prescribers’ decisions included age, ethnicity, education, and</w:t>
      </w:r>
      <w:r w:rsidR="00B0041E" w:rsidRPr="002C21B8">
        <w:t xml:space="preserve"> rurality of residence. </w:t>
      </w:r>
      <w:r w:rsidRPr="002C21B8">
        <w:t>Prescribers describe</w:t>
      </w:r>
      <w:r w:rsidR="00F9167D" w:rsidRPr="002C21B8">
        <w:t>d</w:t>
      </w:r>
      <w:r w:rsidRPr="002C21B8">
        <w:t xml:space="preserve"> assessing individual patient characteristics when weighing the risks and benefits, with a tendency to prioritise risks</w:t>
      </w:r>
      <w:r w:rsidR="00B671B7" w:rsidRPr="002C21B8">
        <w:t xml:space="preserve">, </w:t>
      </w:r>
      <w:r w:rsidRPr="002C21B8">
        <w:t xml:space="preserve">especially for patients with multiple comorbidities or complex needs. Prescribers’ approach to risk may be influenced by their clinical experience, care setting and assessment tools. High workload and competing priorities may lead to clinical inertia </w:t>
      </w:r>
      <w:r w:rsidR="00B671B7" w:rsidRPr="002C21B8">
        <w:t>with potential</w:t>
      </w:r>
      <w:r w:rsidRPr="002C21B8">
        <w:t xml:space="preserve"> delay</w:t>
      </w:r>
      <w:r w:rsidR="00B671B7" w:rsidRPr="002C21B8">
        <w:t>s</w:t>
      </w:r>
      <w:r w:rsidRPr="002C21B8">
        <w:t xml:space="preserve"> or medication</w:t>
      </w:r>
      <w:r w:rsidR="00B671B7" w:rsidRPr="002C21B8">
        <w:t>s not being</w:t>
      </w:r>
      <w:r w:rsidRPr="002C21B8">
        <w:t xml:space="preserve"> initiat</w:t>
      </w:r>
      <w:r w:rsidR="00B671B7" w:rsidRPr="002C21B8">
        <w:t>ed</w:t>
      </w:r>
      <w:r w:rsidRPr="002C21B8">
        <w:t xml:space="preserve">. Shared decision-making may not always be shared equally between patients and prescribers. Beyond direct medication costs, prescribers may also consider broader healthcare costs, such as the need for monitoring and </w:t>
      </w:r>
      <w:r w:rsidR="00A05B97" w:rsidRPr="002C21B8">
        <w:t xml:space="preserve">necessary </w:t>
      </w:r>
      <w:r w:rsidRPr="002C21B8">
        <w:t>support staff. External factors</w:t>
      </w:r>
      <w:r w:rsidR="00A05B97" w:rsidRPr="002C21B8">
        <w:t>,</w:t>
      </w:r>
      <w:r w:rsidRPr="002C21B8">
        <w:t xml:space="preserve"> such as guidelines</w:t>
      </w:r>
      <w:r w:rsidR="00A05B97" w:rsidRPr="002C21B8">
        <w:t>,</w:t>
      </w:r>
      <w:r w:rsidRPr="002C21B8">
        <w:t xml:space="preserve"> may be helpful in navigating risks</w:t>
      </w:r>
      <w:r w:rsidR="00B671B7" w:rsidRPr="002C21B8">
        <w:t xml:space="preserve">. Their </w:t>
      </w:r>
      <w:r w:rsidRPr="002C21B8">
        <w:t xml:space="preserve">effectiveness </w:t>
      </w:r>
      <w:r w:rsidR="00B671B7" w:rsidRPr="002C21B8">
        <w:t>may be greater</w:t>
      </w:r>
      <w:r w:rsidRPr="002C21B8">
        <w:t xml:space="preserve"> when they offer specific recommendations tailored to prescribers’ population characteristics.</w:t>
      </w:r>
      <w:bookmarkStart w:id="103" w:name="_Toc159229841"/>
      <w:bookmarkStart w:id="104" w:name="_Toc170713611"/>
    </w:p>
    <w:p w14:paraId="1E3DED6B" w14:textId="77777777" w:rsidR="002F0740" w:rsidRPr="002C21B8" w:rsidRDefault="002F0740" w:rsidP="002F0740">
      <w:pPr>
        <w:spacing w:before="240" w:after="0"/>
        <w:rPr>
          <w:b/>
          <w:bCs/>
          <w:sz w:val="24"/>
          <w:szCs w:val="24"/>
        </w:rPr>
      </w:pPr>
      <w:r w:rsidRPr="002C21B8">
        <w:rPr>
          <w:b/>
          <w:bCs/>
          <w:sz w:val="24"/>
          <w:szCs w:val="24"/>
        </w:rPr>
        <w:t>Conclusion</w:t>
      </w:r>
      <w:bookmarkEnd w:id="103"/>
      <w:bookmarkEnd w:id="104"/>
      <w:r w:rsidRPr="002C21B8">
        <w:rPr>
          <w:b/>
          <w:bCs/>
          <w:sz w:val="24"/>
          <w:szCs w:val="24"/>
        </w:rPr>
        <w:t>s</w:t>
      </w:r>
    </w:p>
    <w:p w14:paraId="48C9EF32" w14:textId="3CCCB31F" w:rsidR="002F0740" w:rsidRPr="002C21B8" w:rsidRDefault="002F0740" w:rsidP="002F0740">
      <w:r w:rsidRPr="002C21B8">
        <w:t>Prescribers</w:t>
      </w:r>
      <w:r w:rsidR="00A05B97" w:rsidRPr="002C21B8">
        <w:t xml:space="preserve"> </w:t>
      </w:r>
      <w:r w:rsidRPr="002C21B8">
        <w:t>need to navigate multiple challenges when making prescribing decisions for people with chronic conditions. This overview of systematic reviews suggests possible interrelated factor categories influencing prescribing decisions. The conceptual model may be used as a framework for future research and development of interventions.</w:t>
      </w:r>
      <w:bookmarkStart w:id="105" w:name="_Toc159229842"/>
      <w:bookmarkStart w:id="106" w:name="_Toc170713612"/>
    </w:p>
    <w:p w14:paraId="05EA3C64" w14:textId="77777777" w:rsidR="002F0740" w:rsidRPr="002C21B8" w:rsidRDefault="002F0740" w:rsidP="002F0740">
      <w:r w:rsidRPr="002C21B8">
        <w:rPr>
          <w:b/>
          <w:bCs/>
        </w:rPr>
        <w:t xml:space="preserve">Keywords: </w:t>
      </w:r>
      <w:r w:rsidRPr="002C21B8">
        <w:t>Long-term medications, Chronic conditions, Chronic diseases, Prescribing, Decision-making</w:t>
      </w:r>
      <w:r w:rsidRPr="002C21B8">
        <w:br w:type="page"/>
      </w:r>
    </w:p>
    <w:bookmarkEnd w:id="105"/>
    <w:bookmarkEnd w:id="106"/>
    <w:p w14:paraId="061B7909" w14:textId="77777777" w:rsidR="002F0740" w:rsidRPr="002C21B8" w:rsidRDefault="002F0740" w:rsidP="002F0740">
      <w:pPr>
        <w:spacing w:before="240" w:after="0"/>
        <w:rPr>
          <w:b/>
          <w:bCs/>
          <w:sz w:val="28"/>
          <w:szCs w:val="28"/>
        </w:rPr>
      </w:pPr>
      <w:r w:rsidRPr="002C21B8">
        <w:rPr>
          <w:b/>
          <w:bCs/>
          <w:sz w:val="28"/>
          <w:szCs w:val="28"/>
        </w:rPr>
        <w:t>Introduction</w:t>
      </w:r>
    </w:p>
    <w:p w14:paraId="66FF044A" w14:textId="38DDC12F" w:rsidR="002F0740" w:rsidRPr="002C21B8" w:rsidRDefault="002F0740" w:rsidP="002F0740">
      <w:r w:rsidRPr="002C21B8">
        <w:t xml:space="preserve">Chronic conditions represent a significant and growing health issue, affecting nearly half of all adults </w:t>
      </w:r>
      <w:r w:rsidRPr="002C21B8">
        <w:fldChar w:fldCharType="begin">
          <w:fldData xml:space="preserve">PEVuZE5vdGU+PENpdGU+PEF1dGhvcj5Cb2Vyc21hPC9BdXRob3I+PFllYXI+MjAyMDwvWWVhcj48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</w:fldData>
        </w:fldChar>
      </w:r>
      <w:r w:rsidR="00CE4967" w:rsidRPr="002C21B8">
        <w:instrText xml:space="preserve"> ADDIN EN.CITE </w:instrText>
      </w:r>
      <w:r w:rsidR="00CE4967" w:rsidRPr="002C21B8">
        <w:fldChar w:fldCharType="begin">
          <w:fldData xml:space="preserve">PEVuZE5vdGU+PENpdGU+PEF1dGhvcj5Cb2Vyc21hPC9BdXRob3I+PFllYXI+MjAyMDwvWWVhcj48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</w:fldData>
        </w:fldChar>
      </w:r>
      <w:r w:rsidR="00CE4967" w:rsidRPr="002C21B8">
        <w:instrText xml:space="preserve"> ADDIN EN.CITE.DATA </w:instrText>
      </w:r>
      <w:r w:rsidR="00CE4967" w:rsidRPr="002C21B8">
        <w:fldChar w:fldCharType="end"/>
      </w:r>
      <w:r w:rsidRPr="002C21B8">
        <w:fldChar w:fldCharType="separate"/>
      </w:r>
      <w:r w:rsidRPr="002C21B8">
        <w:rPr>
          <w:noProof/>
        </w:rPr>
        <w:t>(Australian Government, 2023; Boersma, Black and Ward, 2020)</w:t>
      </w:r>
      <w:r w:rsidRPr="002C21B8">
        <w:fldChar w:fldCharType="end"/>
      </w:r>
      <w:r w:rsidRPr="002C21B8">
        <w:t>. The World Health Organization defines them as “long duration, non-communicable” diseases caused by “a combination of genetic, physiological, environmental and behavioural factors”</w:t>
      </w:r>
      <w:r w:rsidR="00770CDA" w:rsidRPr="002C21B8">
        <w:t xml:space="preserve"> </w:t>
      </w:r>
      <w:r w:rsidRPr="002C21B8">
        <w:fldChar w:fldCharType="begin"/>
      </w:r>
      <w:r w:rsidRPr="002C21B8">
        <w:instrText xml:space="preserve"> ADDIN EN.CITE &lt;EndNote&gt;&lt;Cite&gt;&lt;Author&gt;World Health Organization&lt;/Author&gt;&lt;Year&gt;2023&lt;/Year&gt;&lt;RecNum&gt;4959&lt;/RecNum&gt;&lt;DisplayText&gt;(World Health Organization, 2023)&lt;/DisplayText&gt;&lt;record&gt;&lt;rec-number&gt;4959&lt;/rec-number&gt;&lt;foreign-keys&gt;&lt;key app="EN" db-id="xpefzwa5hf9dt2ea9fax95x7xvxz90v09dtf" timestamp="1699637533"&gt;4959&lt;/key&gt;&lt;/foreign-keys&gt;&lt;ref-type name="Web Page"&gt;12&lt;/ref-type&gt;&lt;contributors&gt;&lt;authors&gt;&lt;author&gt;World Health Organization,&lt;/author&gt;&lt;/authors&gt;&lt;/contributors&gt;&lt;titles&gt;&lt;title&gt;Non-communicable diseases - Key facts&lt;/title&gt;&lt;/titles&gt;&lt;number&gt;10/11/2023)&lt;/number&gt;&lt;dates&gt;&lt;year&gt;2023&lt;/year&gt;&lt;/dates&gt;&lt;urls&gt;&lt;related-urls&gt;&lt;url&gt;https://www.who.int/news-room/fact-sheets/detail/noncommunicable-diseases&lt;/url&gt;&lt;/related-urls&gt;&lt;/urls&gt;&lt;/record&gt;&lt;/Cite&gt;&lt;/EndNote&gt;</w:instrText>
      </w:r>
      <w:r w:rsidRPr="002C21B8">
        <w:fldChar w:fldCharType="separate"/>
      </w:r>
      <w:r w:rsidRPr="002C21B8">
        <w:t>(World Health Organization, 2023)</w:t>
      </w:r>
      <w:r w:rsidRPr="002C21B8">
        <w:fldChar w:fldCharType="end"/>
      </w:r>
      <w:r w:rsidRPr="002C21B8">
        <w:t xml:space="preserve">. Conditions must persist for at least six months to be labelled chronic </w:t>
      </w:r>
      <w:r w:rsidRPr="002C21B8">
        <w:fldChar w:fldCharType="begin"/>
      </w:r>
      <w:r w:rsidRPr="002C21B8">
        <w:instrText xml:space="preserve"> ADDIN EN.CITE &lt;EndNote&gt;&lt;Cite&gt;&lt;Author&gt;Gordon&lt;/Author&gt;&lt;Year&gt;2018&lt;/Year&gt;&lt;RecNum&gt;5537&lt;/RecNum&gt;&lt;DisplayText&gt;(Gordon, Miller and Britt, 2018)&lt;/DisplayText&gt;&lt;record&gt;&lt;rec-number&gt;5537&lt;/rec-number&gt;&lt;foreign-keys&gt;&lt;key app="EN" db-id="xpefzwa5hf9dt2ea9fax95x7xvxz90v09dtf" timestamp="1707141575"&gt;5537&lt;/key&gt;&lt;/foreign-keys&gt;&lt;ref-type name="Journal Article"&gt;17&lt;/ref-type&gt;&lt;contributors&gt;&lt;authors&gt;&lt;author&gt;Gordon, J.&lt;/author&gt;&lt;author&gt;Miller, G.&lt;/author&gt;&lt;author&gt;Britt, H.&lt;/author&gt;&lt;/authors&gt;&lt;/contributors&gt;&lt;titles&gt;&lt;title&gt;What are chronic conditions that contribute to multimorbidity?&lt;/title&gt;&lt;secondary-title&gt;Australian Journal for General Practitioners&lt;/secondary-title&gt;&lt;/titles&gt;&lt;periodical&gt;&lt;full-title&gt;Australian Journal for General Practitioners&lt;/full-title&gt;&lt;/periodical&gt;&lt;pages&gt;20-23&lt;/pages&gt;&lt;volume&gt;47&lt;/volume&gt;&lt;dates&gt;&lt;year&gt;2018&lt;/year&gt;&lt;pub-dates&gt;&lt;date&gt;01/24&lt;/date&gt;&lt;/pub-dates&gt;&lt;/dates&gt;&lt;publisher&gt;The Royal Australian College of General Practitioners (RACGP)&lt;/publisher&gt;&lt;urls&gt;&lt;related-urls&gt;&lt;url&gt;https://www1.racgp.org.au/ajgp/2018/january-february/what-are-chronic-conditions-that-contribute-to-mul&lt;/url&gt;&lt;/related-urls&gt;&lt;/urls&gt;&lt;/record&gt;&lt;/Cite&gt;&lt;/EndNote&gt;</w:instrText>
      </w:r>
      <w:r w:rsidRPr="002C21B8">
        <w:fldChar w:fldCharType="separate"/>
      </w:r>
      <w:r w:rsidRPr="002C21B8">
        <w:t>(Gordon, Miller and Britt, 2018)</w:t>
      </w:r>
      <w:r w:rsidRPr="002C21B8">
        <w:fldChar w:fldCharType="end"/>
      </w:r>
      <w:r w:rsidRPr="002C21B8">
        <w:t xml:space="preserve">. They are a leading cause of mortality, accounting for 74% of deaths and contribute to 85% of healthcare expenditure worldwide </w:t>
      </w:r>
      <w:r w:rsidRPr="002C21B8">
        <w:fldChar w:fldCharType="begin"/>
      </w:r>
      <w:r w:rsidRPr="002C21B8">
        <w:instrText xml:space="preserve"> ADDIN EN.CITE &lt;EndNote&gt;&lt;Cite&gt;&lt;Author&gt;World Health Organization&lt;/Author&gt;&lt;Year&gt;2023&lt;/Year&gt;&lt;RecNum&gt;4959&lt;/RecNum&gt;&lt;DisplayText&gt;(National Center for Chronic Disease Prevention and Health Promotion, 2023; World Health Organization, 2023)&lt;/DisplayText&gt;&lt;record&gt;&lt;rec-number&gt;4959&lt;/rec-number&gt;&lt;foreign-keys&gt;&lt;key app="EN" db-id="xpefzwa5hf9dt2ea9fax95x7xvxz90v09dtf" timestamp="1699637533"&gt;4959&lt;/key&gt;&lt;/foreign-keys&gt;&lt;ref-type name="Web Page"&gt;12&lt;/ref-type&gt;&lt;contributors&gt;&lt;authors&gt;&lt;author&gt;World Health Organization,&lt;/author&gt;&lt;/authors&gt;&lt;/contributors&gt;&lt;titles&gt;&lt;title&gt;Non-communicable diseases - Key facts&lt;/title&gt;&lt;/titles&gt;&lt;number&gt;10/11/2023)&lt;/number&gt;&lt;dates&gt;&lt;year&gt;2023&lt;/year&gt;&lt;/dates&gt;&lt;urls&gt;&lt;related-urls&gt;&lt;url&gt;https://www.who.int/news-room/fact-sheets/detail/noncommunicable-diseases&lt;/url&gt;&lt;/related-urls&gt;&lt;/urls&gt;&lt;/record&gt;&lt;/Cite&gt;&lt;Cite&gt;&lt;Author&gt;National Center for Chronic Disease Prevention and Health Promotion&lt;/Author&gt;&lt;Year&gt;2023&lt;/Year&gt;&lt;RecNum&gt;4960&lt;/RecNum&gt;&lt;record&gt;&lt;rec-number&gt;4960&lt;/rec-number&gt;&lt;foreign-keys&gt;&lt;key app="EN" db-id="xpefzwa5hf9dt2ea9fax95x7xvxz90v09dtf" timestamp="1699638304"&gt;4960&lt;/key&gt;&lt;/foreign-keys&gt;&lt;ref-type name="Web Page"&gt;12&lt;/ref-type&gt;&lt;contributors&gt;&lt;authors&gt;&lt;author&gt;National Center for Chronic Disease Prevention and Health Promotion,&lt;/author&gt;&lt;/authors&gt;&lt;/contributors&gt;&lt;titles&gt;&lt;title&gt;About Chronic Diseases&lt;/title&gt;&lt;/titles&gt;&lt;number&gt;10/11/2023)&lt;/number&gt;&lt;dates&gt;&lt;year&gt;2023&lt;/year&gt;&lt;/dates&gt;&lt;urls&gt;&lt;related-urls&gt;&lt;url&gt;https://www.cdc.gov/chronicdisease/about/index.htm&lt;/url&gt;&lt;/related-urls&gt;&lt;/urls&gt;&lt;/record&gt;&lt;/Cite&gt;&lt;/EndNote&gt;</w:instrText>
      </w:r>
      <w:r w:rsidRPr="002C21B8">
        <w:fldChar w:fldCharType="separate"/>
      </w:r>
      <w:r w:rsidRPr="002C21B8">
        <w:t>(National Center for Chronic Disease Prevention and Health Promotion, 2023; World Health Organization, 2023)</w:t>
      </w:r>
      <w:r w:rsidRPr="002C21B8">
        <w:fldChar w:fldCharType="end"/>
      </w:r>
      <w:r w:rsidRPr="002C21B8">
        <w:t xml:space="preserve">. The prescription of long-term medications is often the primary intervention to control disease progression, reduce complications and improve patient outcomes </w:t>
      </w:r>
      <w:r w:rsidRPr="002C21B8">
        <w:fldChar w:fldCharType="begin">
          <w:fldData xml:space="preserve">PEVuZE5vdGU+PENpdGU+PEF1dGhvcj5OYXRpb25hbCBJbnN0aXR1dGUgZm9yIEhlYWx0aCBhbmQg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</w:fldData>
        </w:fldChar>
      </w:r>
      <w:r w:rsidR="002B4278" w:rsidRPr="002C21B8">
        <w:instrText xml:space="preserve"> ADDIN EN.CITE </w:instrText>
      </w:r>
      <w:r w:rsidR="002B4278" w:rsidRPr="002C21B8">
        <w:fldChar w:fldCharType="begin">
          <w:fldData xml:space="preserve">PEVuZE5vdGU+PENpdGU+PEF1dGhvcj5OYXRpb25hbCBJbnN0aXR1dGUgZm9yIEhlYWx0aCBhbmQg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</w:fldData>
        </w:fldChar>
      </w:r>
      <w:r w:rsidR="002B4278" w:rsidRPr="002C21B8">
        <w:instrText xml:space="preserve"> ADDIN EN.CITE.DATA </w:instrText>
      </w:r>
      <w:r w:rsidR="002B4278" w:rsidRPr="002C21B8">
        <w:fldChar w:fldCharType="end"/>
      </w:r>
      <w:r w:rsidRPr="002C21B8">
        <w:fldChar w:fldCharType="separate"/>
      </w:r>
      <w:r w:rsidR="00590E88" w:rsidRPr="002C21B8">
        <w:rPr>
          <w:noProof/>
        </w:rPr>
        <w:t>(National Institute for Health and Care Excellence, 2015a; Rodis</w:t>
      </w:r>
      <w:r w:rsidR="00590E88" w:rsidRPr="002C21B8">
        <w:rPr>
          <w:i/>
          <w:noProof/>
        </w:rPr>
        <w:t xml:space="preserve"> et al.</w:t>
      </w:r>
      <w:r w:rsidR="00590E88" w:rsidRPr="002C21B8">
        <w:rPr>
          <w:noProof/>
        </w:rPr>
        <w:t>, 2017; Unni, 2023)</w:t>
      </w:r>
      <w:r w:rsidRPr="002C21B8">
        <w:fldChar w:fldCharType="end"/>
      </w:r>
      <w:r w:rsidRPr="002C21B8">
        <w:t>. However, prescribing decision-making in chronic conditions is complex and</w:t>
      </w:r>
      <w:r w:rsidR="00BC1770" w:rsidRPr="002C21B8">
        <w:t xml:space="preserve"> is likely to</w:t>
      </w:r>
      <w:r w:rsidRPr="002C21B8">
        <w:t xml:space="preserve"> differ from that in acute conditions</w:t>
      </w:r>
      <w:r w:rsidR="008D6EB4">
        <w:t xml:space="preserve"> </w:t>
      </w:r>
      <w:r w:rsidR="008D6EB4" w:rsidRPr="002C21B8">
        <w:fldChar w:fldCharType="begin"/>
      </w:r>
      <w:r w:rsidR="008D6EB4" w:rsidRPr="002C21B8">
        <w:instrText xml:space="preserve"> ADDIN EN.CITE &lt;EndNote&gt;&lt;Cite&gt;&lt;Author&gt;Haslbeck&lt;/Author&gt;&lt;Year&gt;2009&lt;/Year&gt;&lt;RecNum&gt;17471&lt;/RecNum&gt;&lt;DisplayText&gt;(Brunner-La Rocca&lt;style face="italic"&gt; et al.&lt;/style&gt;, 2016; Haslbeck and Schaeffer, 2009)&lt;/DisplayText&gt;&lt;record&gt;&lt;rec-number&gt;17471&lt;/rec-number&gt;&lt;foreign-keys&gt;&lt;key app="EN" db-id="xpefzwa5hf9dt2ea9fax95x7xvxz90v09dtf" timestamp="1723820370"&gt;17471&lt;/key&gt;&lt;/foreign-keys&gt;&lt;ref-type name="Journal Article"&gt;17&lt;/ref-type&gt;&lt;contributors&gt;&lt;authors&gt;&lt;author&gt;Haslbeck, Jörg W&lt;/author&gt;&lt;author&gt;Schaeffer, Doris&lt;/author&gt;&lt;/authors&gt;&lt;/contributors&gt;&lt;titles&gt;&lt;title&gt;Routines in medication management: the perspective of people with chronic conditions&lt;/title&gt;&lt;secondary-title&gt;Chronic Illness&lt;/secondary-title&gt;&lt;/titles&gt;&lt;periodical&gt;&lt;full-title&gt;Chronic Illness&lt;/full-title&gt;&lt;/periodical&gt;&lt;pages&gt;184-196&lt;/pages&gt;&lt;volume&gt;5&lt;/volume&gt;&lt;number&gt;3&lt;/number&gt;&lt;dates&gt;&lt;year&gt;2009&lt;/year&gt;&lt;/dates&gt;&lt;isbn&gt;1742-3953&lt;/isbn&gt;&lt;urls&gt;&lt;/urls&gt;&lt;/record&gt;&lt;/Cite&gt;&lt;Cite&gt;&lt;Author&gt;Brunner-La Rocca&lt;/Author&gt;&lt;Year&gt;2016&lt;/Year&gt;&lt;RecNum&gt;17472&lt;/RecNum&gt;&lt;record&gt;&lt;rec-number&gt;17472&lt;/rec-number&gt;&lt;foreign-keys&gt;&lt;key app="EN" db-id="xpefzwa5hf9dt2ea9fax95x7xvxz90v09dtf" timestamp="1723820436"&gt;17472&lt;/key&gt;&lt;/foreign-keys&gt;&lt;ref-type name="Journal Article"&gt;17&lt;/ref-type&gt;&lt;contributors&gt;&lt;authors&gt;&lt;author&gt;Brunner-La Rocca, Hans-Peter&lt;/author&gt;&lt;author&gt;Fleischhacker, Lutz&lt;/author&gt;&lt;author&gt;Golubnitschaja, Olga&lt;/author&gt;&lt;author&gt;Heemskerk, Frank&lt;/author&gt;&lt;author&gt;Helms, Thomas&lt;/author&gt;&lt;author&gt;Hoedemakers, Thom&lt;/author&gt;&lt;author&gt;Allianses, Sandra Huygen&lt;/author&gt;&lt;author&gt;Jaarsma, Tiny&lt;/author&gt;&lt;author&gt;Kinkorova, Judita&lt;/author&gt;&lt;author&gt;Ramaekers, Jan&lt;/author&gt;&lt;/authors&gt;&lt;/contributors&gt;&lt;titles&gt;&lt;title&gt;Challenges in personalised management of chronic diseases—heart failure as prominent example to advance the care process&lt;/title&gt;&lt;secondary-title&gt;EPMA Journal&lt;/secondary-title&gt;&lt;/titles&gt;&lt;periodical&gt;&lt;full-title&gt;EPMA Journal&lt;/full-title&gt;&lt;/periodical&gt;&lt;pages&gt;1-9&lt;/pages&gt;&lt;volume&gt;7&lt;/volume&gt;&lt;dates&gt;&lt;year&gt;2016&lt;/year&gt;&lt;/dates&gt;&lt;isbn&gt;1878-5077&lt;/isbn&gt;&lt;urls&gt;&lt;/urls&gt;&lt;/record&gt;&lt;/Cite&gt;&lt;/EndNote&gt;</w:instrText>
      </w:r>
      <w:r w:rsidR="008D6EB4" w:rsidRPr="002C21B8">
        <w:fldChar w:fldCharType="separate"/>
      </w:r>
      <w:r w:rsidR="008D6EB4" w:rsidRPr="002C21B8">
        <w:t>(Brunner-La Rocca</w:t>
      </w:r>
      <w:r w:rsidR="008D6EB4" w:rsidRPr="002C21B8">
        <w:rPr>
          <w:i/>
        </w:rPr>
        <w:t xml:space="preserve"> et al.</w:t>
      </w:r>
      <w:r w:rsidR="008D6EB4" w:rsidRPr="002C21B8">
        <w:t>, 2016; Haslbeck and Schaeffer, 2009)</w:t>
      </w:r>
      <w:r w:rsidR="008D6EB4" w:rsidRPr="002C21B8">
        <w:fldChar w:fldCharType="end"/>
      </w:r>
      <w:r w:rsidRPr="002C21B8">
        <w:t>.</w:t>
      </w:r>
    </w:p>
    <w:p w14:paraId="2631FF20" w14:textId="60EE6152" w:rsidR="002F0740" w:rsidRPr="002C21B8" w:rsidRDefault="002F0740" w:rsidP="00B13164">
      <w:r w:rsidRPr="002C21B8">
        <w:t xml:space="preserve">Prescribing decision models, such as the conceptual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w:t>
      </w:r>
      <w:r w:rsidRPr="002C21B8">
        <w:fldChar w:fldCharType="begin"/>
      </w:r>
      <w:r w:rsidRPr="002C21B8">
        <w:instrText xml:space="preserve"> REF _Ref217056362 \h  \* MERGEFORMAT </w:instrText>
      </w:r>
      <w:r w:rsidRPr="002C21B8">
        <w:fldChar w:fldCharType="separate"/>
      </w:r>
      <w:r w:rsidR="00DB3709" w:rsidRPr="002C21B8">
        <w:t xml:space="preserve">Figure </w:t>
      </w:r>
      <w:r w:rsidR="00DB3709">
        <w:rPr>
          <w:noProof/>
        </w:rPr>
        <w:t>6</w:t>
      </w:r>
      <w:r w:rsidRPr="002C21B8">
        <w:fldChar w:fldCharType="end"/>
      </w:r>
      <w:r w:rsidRPr="002C21B8">
        <w:t xml:space="preserve">), amongst others </w:t>
      </w:r>
      <w:r w:rsidRPr="002C21B8">
        <w:fldChar w:fldCharType="begin">
          <w:fldData xml:space="preserve">PEVuZE5vdGU+PENpdGU+PEF1dGhvcj5Hb2RpbjwvQXV0aG9yPjxZZWFyPjIwMDg8L1llYXI+PFJl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==
</w:fldData>
        </w:fldChar>
      </w:r>
      <w:r w:rsidR="00A46115" w:rsidRPr="002C21B8">
        <w:instrText xml:space="preserve"> ADDIN EN.CITE </w:instrText>
      </w:r>
      <w:r w:rsidR="00A46115" w:rsidRPr="002C21B8">
        <w:fldChar w:fldCharType="begin">
          <w:fldData xml:space="preserve">PEVuZE5vdGU+PENpdGU+PEF1dGhvcj5Hb2RpbjwvQXV0aG9yPjxZZWFyPjIwMDg8L1llYXI+PFJl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==
</w:fldData>
        </w:fldChar>
      </w:r>
      <w:r w:rsidR="00A46115" w:rsidRPr="002C21B8">
        <w:instrText xml:space="preserve"> ADDIN EN.CITE.DATA </w:instrText>
      </w:r>
      <w:r w:rsidR="00A46115" w:rsidRPr="002C21B8">
        <w:fldChar w:fldCharType="end"/>
      </w:r>
      <w:r w:rsidRPr="002C21B8">
        <w:fldChar w:fldCharType="separate"/>
      </w:r>
      <w:r w:rsidR="002F558A" w:rsidRPr="002C21B8">
        <w:rPr>
          <w:noProof/>
        </w:rPr>
        <w:t>(Godin</w:t>
      </w:r>
      <w:r w:rsidR="002F558A" w:rsidRPr="002C21B8">
        <w:rPr>
          <w:i/>
          <w:noProof/>
        </w:rPr>
        <w:t xml:space="preserve"> et al.</w:t>
      </w:r>
      <w:r w:rsidR="002F558A" w:rsidRPr="002C21B8">
        <w:rPr>
          <w:noProof/>
        </w:rPr>
        <w:t>, 2008; Higgins and Green, 2024; McIntosh</w:t>
      </w:r>
      <w:r w:rsidR="002F558A" w:rsidRPr="002C21B8">
        <w:rPr>
          <w:i/>
          <w:noProof/>
        </w:rPr>
        <w:t xml:space="preserve"> et al.</w:t>
      </w:r>
      <w:r w:rsidR="002F558A" w:rsidRPr="002C21B8">
        <w:rPr>
          <w:noProof/>
        </w:rPr>
        <w:t>, 2016)</w:t>
      </w:r>
      <w:r w:rsidRPr="002C21B8">
        <w:fldChar w:fldCharType="end"/>
      </w:r>
      <w:r w:rsidRPr="002C21B8">
        <w:t xml:space="preserve">, suggest several factor categories that may influence prescriber behaviour, including patient characteristics, pharmacist factors, marketing efforts, and contextual factors, as well as trust between physicians and pharmacists. However, these models do not distinguish between prescribing in chronic and acute conditions, despite the different objectives of these prescribing contexts </w:t>
      </w:r>
      <w:r w:rsidRPr="002C21B8">
        <w:fldChar w:fldCharType="begin">
          <w:fldData xml:space="preserve">PEVuZE5vdGU+PENpdGU+PEF1dGhvcj5Bc3NhbDwvQXV0aG9yPjxZZWFyPjE5OTk8L1llYXI+PFJl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</w:fldData>
        </w:fldChar>
      </w:r>
      <w:r w:rsidR="001F4D9D" w:rsidRPr="002C21B8">
        <w:instrText xml:space="preserve"> ADDIN EN.CITE </w:instrText>
      </w:r>
      <w:r w:rsidR="001F4D9D" w:rsidRPr="002C21B8">
        <w:fldChar w:fldCharType="begin">
          <w:fldData xml:space="preserve">PEVuZE5vdGU+PENpdGU+PEF1dGhvcj5Bc3NhbDwvQXV0aG9yPjxZZWFyPjE5OTk8L1llYXI+PFJl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</w:fldData>
        </w:fldChar>
      </w:r>
      <w:r w:rsidR="001F4D9D" w:rsidRPr="002C21B8">
        <w:instrText xml:space="preserve"> ADDIN EN.CITE.DATA </w:instrText>
      </w:r>
      <w:r w:rsidR="001F4D9D" w:rsidRPr="002C21B8">
        <w:fldChar w:fldCharType="end"/>
      </w:r>
      <w:r w:rsidRPr="002C21B8">
        <w:fldChar w:fldCharType="separate"/>
      </w:r>
      <w:r w:rsidRPr="002C21B8">
        <w:rPr>
          <w:noProof/>
        </w:rPr>
        <w:t>(Assal, 1999)</w:t>
      </w:r>
      <w:r w:rsidRPr="002C21B8">
        <w:fldChar w:fldCharType="end"/>
      </w:r>
      <w:r w:rsidRPr="002C21B8">
        <w:t xml:space="preserve">. Acute prescribing </w:t>
      </w:r>
      <w:r w:rsidR="0039137A" w:rsidRPr="002C21B8">
        <w:t>is</w:t>
      </w:r>
      <w:r w:rsidRPr="002C21B8">
        <w:t xml:space="preserve"> typically urgent and symptom-driven, focusing on immediate relief or resolution of illness </w:t>
      </w:r>
      <w:r w:rsidRPr="002C21B8">
        <w:fldChar w:fldCharType="begin"/>
      </w:r>
      <w:r w:rsidR="000215B0" w:rsidRPr="002C21B8">
        <w:instrText xml:space="preserve"> ADDIN EN.CITE &lt;EndNote&gt;&lt;Cite&gt;&lt;Author&gt;Waldman&lt;/Author&gt;&lt;Year&gt;2019&lt;/Year&gt;&lt;RecNum&gt;124524&lt;/RecNum&gt;&lt;DisplayText&gt;(Waldman and Terzic, 2019)&lt;/DisplayText&gt;&lt;record&gt;&lt;rec-number&gt;124524&lt;/rec-number&gt;&lt;foreign-keys&gt;&lt;key app="EN" db-id="xpefzwa5hf9dt2ea9fax95x7xvxz90v09dtf" timestamp="1741357886"&gt;124524&lt;/key&gt;&lt;/foreign-keys&gt;&lt;ref-type name="Journal Article"&gt;17&lt;/ref-type&gt;&lt;contributors&gt;&lt;authors&gt;&lt;author&gt;Waldman, S. A.&lt;/author&gt;&lt;author&gt;Terzic, A.&lt;/author&gt;&lt;/authors&gt;&lt;/contributors&gt;&lt;auth-address&gt;Division of Clinical Pharmacology, Department of Pharmacology and Experimental Therapeutics, Department of Medicine, Thomas Jefferson University, Philadelphia, Pennsylvania, USA.&amp;#xD;Center for Regenerative Medicine, Mayo Clinic, Rochester, Minnesota, USA.&lt;/auth-address&gt;&lt;titles&gt;&lt;title&gt;Health Care Evolves From Reactive to Proactive&lt;/title&gt;&lt;secondary-title&gt;Clinical Pharmacology and Therapeutics&lt;/secondary-title&gt;&lt;/titles&gt;&lt;periodical&gt;&lt;full-title&gt;Clinical pharmacology and therapeutics&lt;/full-title&gt;&lt;/periodical&gt;&lt;pages&gt;10-13&lt;/pages&gt;&lt;volume&gt;105&lt;/volume&gt;&lt;number&gt;1&lt;/number&gt;&lt;keywords&gt;&lt;keyword&gt;Delivery of Health Care/methods/*trends&lt;/keyword&gt;&lt;keyword&gt;Humans&lt;/keyword&gt;&lt;keyword&gt;*Organizational Innovation&lt;/keyword&gt;&lt;keyword&gt;Primary Prevention/methods/*trends&lt;/keyword&gt;&lt;/keywords&gt;&lt;dates&gt;&lt;year&gt;2019&lt;/year&gt;&lt;pub-dates&gt;&lt;date&gt;Jan&lt;/date&gt;&lt;/pub-dates&gt;&lt;/dates&gt;&lt;isbn&gt;0009-9236 (Print)&amp;#xD;0009-9236&lt;/isbn&gt;&lt;accession-num&gt;30597564&lt;/accession-num&gt;&lt;urls&gt;&lt;/urls&gt;&lt;custom1&gt;Conflict of Interest: The authors declared no competing interests for this work.&lt;/custom1&gt;&lt;custom2&gt;PMC6314203&lt;/custom2&gt;&lt;custom6&gt;NIHMS997856&lt;/custom6&gt;&lt;electronic-resource-num&gt;10.1002/cpt.1295&lt;/electronic-resource-num&gt;&lt;remote-database-provider&gt;NLM&lt;/remote-database-provider&gt;&lt;language&gt;eng&lt;/language&gt;&lt;/record&gt;&lt;/Cite&gt;&lt;/EndNote&gt;</w:instrText>
      </w:r>
      <w:r w:rsidRPr="002C21B8">
        <w:fldChar w:fldCharType="separate"/>
      </w:r>
      <w:r w:rsidRPr="002C21B8">
        <w:rPr>
          <w:noProof/>
        </w:rPr>
        <w:t>(Waldman and Terzic, 2019)</w:t>
      </w:r>
      <w:r w:rsidRPr="002C21B8">
        <w:fldChar w:fldCharType="end"/>
      </w:r>
      <w:r w:rsidRPr="002C21B8">
        <w:t>. Whereas</w:t>
      </w:r>
      <w:r w:rsidR="00F769FB" w:rsidRPr="002C21B8">
        <w:t xml:space="preserve"> </w:t>
      </w:r>
      <w:r w:rsidRPr="002C21B8">
        <w:t xml:space="preserve">chronic prescribing often aims to slow disease progression, </w:t>
      </w:r>
      <w:r w:rsidR="0039137A" w:rsidRPr="002C21B8">
        <w:t xml:space="preserve">so </w:t>
      </w:r>
      <w:r w:rsidR="00F769FB" w:rsidRPr="002C21B8">
        <w:t xml:space="preserve">it </w:t>
      </w:r>
      <w:r w:rsidRPr="002C21B8">
        <w:t xml:space="preserve">may require a more proactive approach and involves long-term monitoring </w:t>
      </w:r>
      <w:r w:rsidRPr="002C21B8">
        <w:fldChar w:fldCharType="begin"/>
      </w:r>
      <w:r w:rsidR="000215B0" w:rsidRPr="002C21B8">
        <w:instrText xml:space="preserve"> ADDIN EN.CITE &lt;EndNote&gt;&lt;Cite&gt;&lt;Author&gt;Sellappans&lt;/Author&gt;&lt;Year&gt;2015&lt;/Year&gt;&lt;RecNum&gt;124525&lt;/RecNum&gt;&lt;DisplayText&gt;(Sellappans, Lai and Ng, 2015)&lt;/DisplayText&gt;&lt;record&gt;&lt;rec-number&gt;124525&lt;/rec-number&gt;&lt;foreign-keys&gt;&lt;key app="EN" db-id="xpefzwa5hf9dt2ea9fax95x7xvxz90v09dtf" timestamp="1741358426"&gt;124525&lt;/key&gt;&lt;/foreign-keys&gt;&lt;ref-type name="Journal Article"&gt;17&lt;/ref-type&gt;&lt;contributors&gt;&lt;authors&gt;&lt;author&gt;Sellappans, Renukha&lt;/author&gt;&lt;author&gt;Lai, Pauline Siew Mei&lt;/author&gt;&lt;author&gt;Ng, Chirk Jenn&lt;/author&gt;&lt;/authors&gt;&lt;/contributors&gt;&lt;titles&gt;&lt;title&gt;Challenges faced by primary care physicians when prescribing for patients with chronic diseases in a teaching hospital in Malaysia: a qualitative study&lt;/title&gt;&lt;secondary-title&gt;BMJ Open&lt;/secondary-title&gt;&lt;/titles&gt;&lt;periodical&gt;&lt;full-title&gt;BMJ open&lt;/full-title&gt;&lt;/periodical&gt;&lt;pages&gt;e007817&lt;/pages&gt;&lt;volume&gt;5&lt;/volume&gt;&lt;number&gt;8&lt;/number&gt;&lt;dates&gt;&lt;year&gt;2015&lt;/year&gt;&lt;/dates&gt;&lt;isbn&gt;2044-6055&lt;/isbn&gt;&lt;urls&gt;&lt;/urls&gt;&lt;/record&gt;&lt;/Cite&gt;&lt;/EndNote&gt;</w:instrText>
      </w:r>
      <w:r w:rsidRPr="002C21B8">
        <w:fldChar w:fldCharType="separate"/>
      </w:r>
      <w:r w:rsidRPr="002C21B8">
        <w:rPr>
          <w:noProof/>
        </w:rPr>
        <w:t>(Sellappans, Lai and Ng, 2015)</w:t>
      </w:r>
      <w:r w:rsidRPr="002C21B8">
        <w:fldChar w:fldCharType="end"/>
      </w:r>
      <w:r w:rsidRPr="002C21B8">
        <w:t xml:space="preserve">. </w:t>
      </w:r>
      <w:r w:rsidR="00C474BE">
        <w:t>E</w:t>
      </w:r>
      <w:r w:rsidRPr="002C21B8">
        <w:t>xisting models may not fully account for the influence of prescriber characteristics nor incorporate some additional factors identified in the wider literature</w:t>
      </w:r>
      <w:r w:rsidR="00F769FB" w:rsidRPr="002C21B8">
        <w:t>,</w:t>
      </w:r>
      <w:r w:rsidRPr="002C21B8">
        <w:t xml:space="preserve"> such as clinical guidelines </w:t>
      </w:r>
      <w:r w:rsidRPr="002C21B8">
        <w:fldChar w:fldCharType="begin"/>
      </w:r>
      <w:r w:rsidRPr="002C21B8">
        <w:instrText xml:space="preserve"> ADDIN EN.CITE &lt;EndNote&gt;&lt;Cite&gt;&lt;Author&gt;Carter&lt;/Author&gt;&lt;Year&gt;2021&lt;/Year&gt;&lt;RecNum&gt;5041&lt;/RecNum&gt;&lt;DisplayText&gt;(Carter, Chapman and Watson, 2021)&lt;/DisplayText&gt;&lt;record&gt;&lt;rec-number&gt;5041&lt;/rec-number&gt;&lt;foreign-keys&gt;&lt;key app="EN" db-id="xpefzwa5hf9dt2ea9fax95x7xvxz90v09dtf" timestamp="1699899869"&gt;5041&lt;/key&gt;&lt;/foreign-keys&gt;&lt;ref-type name="Journal Article"&gt;17&lt;/ref-type&gt;&lt;contributors&gt;&lt;authors&gt;&lt;author&gt;Carter, M.&lt;/author&gt;&lt;author&gt;Chapman, S.&lt;/author&gt;&lt;author&gt;Watson, M. C.&lt;/author&gt;&lt;/authors&gt;&lt;/contributors&gt;&lt;auth-address&gt;Department of Pharmacy &amp;amp; Pharmacology, University of Bath, Bath, UK mdc50@bath.ac.uk.&amp;#xD;Department of Pharmacy &amp;amp; Pharmacology, University of Bath, Bath, UK.&amp;#xD;Strathclyde Institute of Pharmacy and Biomedical Sciences, University of Strathclyde, Glasgow, UK.&lt;/auth-address&gt;&lt;titles&gt;&lt;title&gt;Multiplicity and complexity: a qualitative exploration of influences on prescribing in UK general practice&lt;/title&gt;&lt;secondary-title&gt;BMJ Open&lt;/secondary-title&gt;&lt;/titles&gt;&lt;periodical&gt;&lt;full-title&gt;BMJ open&lt;/full-title&gt;&lt;/periodical&gt;&lt;pages&gt;e041460&lt;/pages&gt;&lt;volume&gt;11&lt;/volume&gt;&lt;number&gt;1&lt;/number&gt;&lt;edition&gt;20210111&lt;/edition&gt;&lt;keywords&gt;&lt;keyword&gt;Attitude of Health Personnel&lt;/keyword&gt;&lt;keyword&gt;England&lt;/keyword&gt;&lt;keyword&gt;*General Practice&lt;/keyword&gt;&lt;keyword&gt;Humans&lt;/keyword&gt;&lt;keyword&gt;Qualitative Research&lt;/keyword&gt;&lt;keyword&gt;*State Medicine&lt;/keyword&gt;&lt;keyword&gt;United Kingdom&lt;/keyword&gt;&lt;keyword&gt;organisation of health services&lt;/keyword&gt;&lt;keyword&gt;primary care&lt;/keyword&gt;&lt;keyword&gt;protocols &amp;amp; guidelines&lt;/keyword&gt;&lt;/keywords&gt;&lt;dates&gt;&lt;year&gt;2021&lt;/year&gt;&lt;pub-dates&gt;&lt;date&gt;Jan 11&lt;/date&gt;&lt;/pub-dates&gt;&lt;/dates&gt;&lt;isbn&gt;2044-6055&lt;/isbn&gt;&lt;accession-num&gt;33431490&lt;/accession-num&gt;&lt;urls&gt;&lt;/urls&gt;&lt;custom1&gt;Competing interests: None declared.&lt;/custom1&gt;&lt;custom2&gt;PMC7802664&lt;/custom2&gt;&lt;electronic-resource-num&gt;10.1136/bmjopen-2020-041460&lt;/electronic-resource-num&gt;&lt;remote-database-provider&gt;NLM&lt;/remote-database-provider&gt;&lt;language&gt;eng&lt;/language&gt;&lt;/record&gt;&lt;/Cite&gt;&lt;/EndNote&gt;</w:instrText>
      </w:r>
      <w:r w:rsidRPr="002C21B8">
        <w:fldChar w:fldCharType="separate"/>
      </w:r>
      <w:r w:rsidRPr="002C21B8">
        <w:t>(Carter, Chapman and Watson, 2021)</w:t>
      </w:r>
      <w:r w:rsidRPr="002C21B8">
        <w:fldChar w:fldCharType="end"/>
      </w:r>
      <w:r w:rsidRPr="002C21B8">
        <w:t xml:space="preserve">, disease severity or risk assessment scores </w:t>
      </w:r>
      <w:r w:rsidRPr="002C21B8">
        <w:fldChar w:fldCharType="begin"/>
      </w:r>
      <w:r w:rsidRPr="002C21B8">
        <w:instrText xml:space="preserve"> ADDIN EN.CITE &lt;EndNote&gt;&lt;Cite&gt;&lt;Author&gt;Lane&lt;/Author&gt;&lt;Year&gt;2012&lt;/Year&gt;&lt;RecNum&gt;124526&lt;/RecNum&gt;&lt;DisplayText&gt;(Lane and Lip, 2012)&lt;/DisplayText&gt;&lt;record&gt;&lt;rec-number&gt;124526&lt;/rec-number&gt;&lt;foreign-keys&gt;&lt;key app="EN" db-id="xpefzwa5hf9dt2ea9fax95x7xvxz90v09dtf" timestamp="1741359312"&gt;124526&lt;/key&gt;&lt;/foreign-keys&gt;&lt;ref-type name="Journal Article"&gt;17&lt;/ref-type&gt;&lt;contributors&gt;&lt;authors&gt;&lt;author&gt;Lane, Deirdre A&lt;/author&gt;&lt;author&gt;Lip, Gregory YH&lt;/author&gt;&lt;/authors&gt;&lt;/contributors&gt;&lt;titles&gt;&lt;title&gt;Use of the CHA2DS2-VASc and HAS-BLED scores to aid decision making for thromboprophylaxis in nonvalvular atrial fibrillation&lt;/title&gt;&lt;secondary-title&gt;Circulation&lt;/secondary-title&gt;&lt;/titles&gt;&lt;periodical&gt;&lt;full-title&gt;Circulation&lt;/full-title&gt;&lt;/periodical&gt;&lt;pages&gt;860-865&lt;/pages&gt;&lt;volume&gt;126&lt;/volume&gt;&lt;number&gt;7&lt;/number&gt;&lt;dates&gt;&lt;year&gt;2012&lt;/year&gt;&lt;/dates&gt;&lt;isbn&gt;0009-7322&lt;/isbn&gt;&lt;urls&gt;&lt;/urls&gt;&lt;/record&gt;&lt;/Cite&gt;&lt;/EndNote&gt;</w:instrText>
      </w:r>
      <w:r w:rsidRPr="002C21B8">
        <w:fldChar w:fldCharType="separate"/>
      </w:r>
      <w:r w:rsidRPr="002C21B8">
        <w:t>(Lane and Lip, 2012)</w:t>
      </w:r>
      <w:r w:rsidRPr="002C21B8">
        <w:fldChar w:fldCharType="end"/>
      </w:r>
      <w:r w:rsidRPr="002C21B8">
        <w:t xml:space="preserve">, and clinical decision support systems </w:t>
      </w:r>
      <w:r w:rsidRPr="002C21B8">
        <w:fldChar w:fldCharType="begin"/>
      </w:r>
      <w:r w:rsidR="000215B0" w:rsidRPr="002C21B8">
        <w:instrText xml:space="preserve"> ADDIN EN.CITE &lt;EndNote&gt;&lt;Cite&gt;&lt;Author&gt;Shahmoradi&lt;/Author&gt;&lt;Year&gt;2021&lt;/Year&gt;&lt;RecNum&gt;124527&lt;/RecNum&gt;&lt;DisplayText&gt;(Shahmoradi&lt;style face="italic"&gt; et al.&lt;/style&gt;, 2021)&lt;/DisplayText&gt;&lt;record&gt;&lt;rec-number&gt;124527&lt;/rec-number&gt;&lt;foreign-keys&gt;&lt;key app="EN" db-id="xpefzwa5hf9dt2ea9fax95x7xvxz90v09dtf" timestamp="1741359428"&gt;124527&lt;/key&gt;&lt;/foreign-keys&gt;&lt;ref-type name="Journal Article"&gt;17&lt;/ref-type&gt;&lt;contributors&gt;&lt;authors&gt;&lt;author&gt;Shahmoradi, L.&lt;/author&gt;&lt;author&gt;Safdari, R.&lt;/author&gt;&lt;author&gt;Ahmadi, H.&lt;/author&gt;&lt;author&gt;Zahmatkeshan, M.&lt;/author&gt;&lt;/authors&gt;&lt;/contributors&gt;&lt;auth-address&gt;Health Information Management Department, School of Allied Medical Sciences, Tehran University of Medical Sciences, Tehran, Iran.&amp;#xD;OIM Department, Aston Business School, Aston University, Birmingham B4 7ET, United Kingdom.&amp;#xD;Noncommunicable Diseases Research Center, School of Medicine, Fasa University of Medical Sciences, Fasa, Iran.&lt;/auth-address&gt;&lt;titles&gt;&lt;title&gt;Clinical decision support systems-based interventions to improve medication outcomes: A systematic literature review on features and effects&lt;/title&gt;&lt;secondary-title&gt;Medical Journal of the Islamic Republic of Iran&lt;/secondary-title&gt;&lt;/titles&gt;&lt;periodical&gt;&lt;full-title&gt;Medical Journal of the Islamic Republic of Iran&lt;/full-title&gt;&lt;/periodical&gt;&lt;pages&gt;27&lt;/pages&gt;&lt;volume&gt;35&lt;/volume&gt;&lt;edition&gt;20210222&lt;/edition&gt;&lt;keywords&gt;&lt;keyword&gt;Clinical decision support system&lt;/keyword&gt;&lt;keyword&gt;Medication&lt;/keyword&gt;&lt;keyword&gt;Patient outcomes&lt;/keyword&gt;&lt;keyword&gt;Significant factors&lt;/keyword&gt;&lt;keyword&gt;Systematic review&lt;/keyword&gt;&lt;/keywords&gt;&lt;dates&gt;&lt;year&gt;2021&lt;/year&gt;&lt;/dates&gt;&lt;isbn&gt;1016-1430 (Print)&amp;#xD;1016-1430&lt;/isbn&gt;&lt;accession-num&gt;34169039&lt;/accession-num&gt;&lt;urls&gt;&lt;/urls&gt;&lt;custom1&gt;Conflicts of Interest: None declared&lt;/custom1&gt;&lt;custom2&gt;PMC8214039&lt;/custom2&gt;&lt;electronic-resource-num&gt;10.47176/mjiri.35.27&lt;/electronic-resource-num&gt;&lt;remote-database-provider&gt;NLM&lt;/remote-database-provider&gt;&lt;language&gt;eng&lt;/language&gt;&lt;/record&gt;&lt;/Cite&gt;&lt;/EndNote&gt;</w:instrText>
      </w:r>
      <w:r w:rsidRPr="002C21B8">
        <w:fldChar w:fldCharType="separate"/>
      </w:r>
      <w:r w:rsidRPr="002C21B8">
        <w:rPr>
          <w:noProof/>
        </w:rPr>
        <w:t>(Shahmoradi</w:t>
      </w:r>
      <w:r w:rsidRPr="002C21B8">
        <w:rPr>
          <w:i/>
          <w:noProof/>
        </w:rPr>
        <w:t xml:space="preserve"> et al.</w:t>
      </w:r>
      <w:r w:rsidRPr="002C21B8">
        <w:rPr>
          <w:noProof/>
        </w:rPr>
        <w:t>, 2021)</w:t>
      </w:r>
      <w:r w:rsidRPr="002C21B8">
        <w:fldChar w:fldCharType="end"/>
      </w:r>
      <w:r w:rsidRPr="002C21B8">
        <w:t>. Thus, there is a need to reassess existing models, with a specific focus on chronic conditions.</w:t>
      </w:r>
      <w:bookmarkStart w:id="107" w:name="_Ref217056362"/>
    </w:p>
    <w:p w14:paraId="13AC8FBE" w14:textId="77777777" w:rsidR="009114E3" w:rsidRPr="002C21B8" w:rsidRDefault="009114E3">
      <w:pPr>
        <w:spacing w:after="0" w:line="240" w:lineRule="auto"/>
        <w:jc w:val="left"/>
        <w:rPr>
          <w:i/>
          <w:iCs/>
          <w:color w:val="7B7B7B" w:themeColor="accent3" w:themeShade="BF"/>
          <w:sz w:val="18"/>
          <w:szCs w:val="18"/>
        </w:rPr>
      </w:pPr>
      <w:r w:rsidRPr="002C21B8">
        <w:br w:type="page"/>
      </w:r>
    </w:p>
    <w:p w14:paraId="4AC49C2D" w14:textId="2CA2859B" w:rsidR="00986D5A" w:rsidRPr="002C21B8" w:rsidRDefault="002F0740" w:rsidP="00A46FB8">
      <w:pPr>
        <w:pStyle w:val="Caption"/>
        <w:keepNext w:val="0"/>
        <w:rPr>
          <w:noProof w:val="0"/>
          <w:sz w:val="22"/>
          <w:szCs w:val="22"/>
        </w:rPr>
      </w:pPr>
      <w:bookmarkStart w:id="108" w:name="_Toc236991764"/>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6</w:t>
      </w:r>
      <w:r w:rsidR="001B725E" w:rsidRPr="002C21B8">
        <w:rPr>
          <w:noProof w:val="0"/>
        </w:rPr>
        <w:fldChar w:fldCharType="end"/>
      </w:r>
      <w:bookmarkEnd w:id="107"/>
      <w:r w:rsidRPr="002C21B8">
        <w:rPr>
          <w:noProof w:val="0"/>
        </w:rPr>
        <w:t>. Conceptual model of physician decision-making</w:t>
      </w:r>
      <w:r w:rsidR="00986D5A" w:rsidRPr="002C21B8">
        <w:rPr>
          <w:noProof w:val="0"/>
        </w:rPr>
        <w:t xml:space="preserve">  </w:t>
      </w:r>
      <w:r w:rsidR="00986D5A" w:rsidRPr="002C21B8">
        <w:rPr>
          <w:noProof w:val="0"/>
        </w:rPr>
        <w:fldChar w:fldCharType="begin"/>
      </w:r>
      <w:r w:rsidR="00986D5A" w:rsidRPr="002C21B8">
        <w:rPr>
          <w:noProof w:val="0"/>
        </w:rPr>
        <w:instrText xml:space="preserve"> ADDIN EN.CITE &lt;EndNote&gt;&lt;Cite&gt;&lt;Author&gt;Murshid&lt;/Author&gt;&lt;Year&gt;2017&lt;/Year&gt;&lt;RecNum&gt;5043&lt;/RecNum&gt;&lt;DisplayText&gt;(Murshid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986D5A" w:rsidRPr="002C21B8">
        <w:rPr>
          <w:noProof w:val="0"/>
        </w:rPr>
        <w:fldChar w:fldCharType="separate"/>
      </w:r>
      <w:r w:rsidR="00986D5A" w:rsidRPr="002C21B8">
        <w:t>(Murshid and Mohaidin, 2017)</w:t>
      </w:r>
      <w:bookmarkEnd w:id="108"/>
      <w:r w:rsidR="00986D5A" w:rsidRPr="002C21B8">
        <w:rPr>
          <w:noProof w:val="0"/>
        </w:rPr>
        <w:fldChar w:fldCharType="end"/>
      </w:r>
    </w:p>
    <w:p w14:paraId="67152339" w14:textId="4B48B1C7" w:rsidR="002F0740" w:rsidRPr="002C21B8" w:rsidRDefault="00A46FB8" w:rsidP="00A46FB8">
      <w:pPr>
        <w:pStyle w:val="Caption"/>
        <w:keepNext w:val="0"/>
        <w:rPr>
          <w:noProof w:val="0"/>
          <w:sz w:val="22"/>
          <w:szCs w:val="22"/>
        </w:rPr>
      </w:pPr>
      <w:r w:rsidRPr="002C21B8">
        <w:drawing>
          <wp:inline distT="0" distB="0" distL="0" distR="0" wp14:anchorId="3ED8FAC8" wp14:editId="25199C2E">
            <wp:extent cx="4459266" cy="4144066"/>
            <wp:effectExtent l="0" t="0" r="0" b="0"/>
            <wp:docPr id="540792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92607" name=""/>
                    <pic:cNvPicPr/>
                  </pic:nvPicPr>
                  <pic:blipFill>
                    <a:blip r:embed="rId18"/>
                    <a:stretch>
                      <a:fillRect/>
                    </a:stretch>
                  </pic:blipFill>
                  <pic:spPr>
                    <a:xfrm>
                      <a:off x="0" y="0"/>
                      <a:ext cx="4508454" cy="4189777"/>
                    </a:xfrm>
                    <a:prstGeom prst="rect">
                      <a:avLst/>
                    </a:prstGeom>
                  </pic:spPr>
                </pic:pic>
              </a:graphicData>
            </a:graphic>
          </wp:inline>
        </w:drawing>
      </w:r>
    </w:p>
    <w:p w14:paraId="086DD4A3" w14:textId="77777777" w:rsidR="00986D5A" w:rsidRPr="002C21B8" w:rsidRDefault="00986D5A" w:rsidP="00A46FB8">
      <w:pPr>
        <w:spacing w:line="240" w:lineRule="auto"/>
      </w:pPr>
    </w:p>
    <w:p w14:paraId="5BC15227" w14:textId="5ECBBC6B" w:rsidR="002F0740" w:rsidRPr="002C21B8" w:rsidRDefault="002F0740" w:rsidP="002F0740">
      <w:r w:rsidRPr="002C21B8">
        <w:t xml:space="preserve">The existing literature on prescribing in chronic conditions includes systematic reviews describing factors </w:t>
      </w:r>
      <w:r w:rsidR="0039137A" w:rsidRPr="002C21B8">
        <w:t>that are believed to</w:t>
      </w:r>
      <w:r w:rsidRPr="002C21B8">
        <w:t xml:space="preserve"> influence prescribing decisions for specific medication classes or single disease types. Due to the breadth and complexity of these factors, decision-makers may struggle to navigate and synthesise the existing evidence. To address this, an overview of systematic reviews was conducted to provide a comprehensive overview of the factors that may influence prescribing practices. By collating, synthesising and summarising the available evidence, this overview aims to clarify key factors that may shape prescribing decisions for long-term medications in chronic conditions and provide a chronic condition-specific model. This model may help better inform policy development and identify potential targets for future research and interventions.</w:t>
      </w:r>
    </w:p>
    <w:p w14:paraId="22799A6E" w14:textId="77777777" w:rsidR="002F0740" w:rsidRPr="002C21B8" w:rsidRDefault="002F0740" w:rsidP="002F0740">
      <w:r w:rsidRPr="002C21B8">
        <w:t>The objectives of this overview were to address the following research questions:</w:t>
      </w:r>
    </w:p>
    <w:p w14:paraId="2E2635E5" w14:textId="77777777" w:rsidR="002F0740" w:rsidRPr="002C21B8" w:rsidRDefault="002F0740" w:rsidP="00A97F07">
      <w:pPr>
        <w:pStyle w:val="ListParagraph"/>
        <w:numPr>
          <w:ilvl w:val="0"/>
          <w:numId w:val="4"/>
        </w:numPr>
      </w:pPr>
      <w:r w:rsidRPr="002C21B8">
        <w:t>What are the factors that may influence the prescribing of long-term medications for chronic physical health conditions?</w:t>
      </w:r>
    </w:p>
    <w:p w14:paraId="0AEE540F" w14:textId="41D5B007" w:rsidR="002F0740" w:rsidRPr="002C21B8" w:rsidRDefault="002F0740" w:rsidP="00A97F07">
      <w:pPr>
        <w:pStyle w:val="ListParagraph"/>
        <w:numPr>
          <w:ilvl w:val="0"/>
          <w:numId w:val="4"/>
        </w:numPr>
      </w:pPr>
      <w:r w:rsidRPr="002C21B8">
        <w:t xml:space="preserve">What changes, if any, are needed to an existing prescribing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to better reflect the factors that may influence prescribing for chronic conditions?</w:t>
      </w:r>
    </w:p>
    <w:p w14:paraId="741B69F6" w14:textId="77777777" w:rsidR="002F0740" w:rsidRPr="002C21B8" w:rsidRDefault="002F0740" w:rsidP="002F0740">
      <w:pPr>
        <w:spacing w:before="240" w:after="0"/>
        <w:rPr>
          <w:b/>
          <w:bCs/>
          <w:sz w:val="28"/>
          <w:szCs w:val="28"/>
        </w:rPr>
      </w:pPr>
      <w:bookmarkStart w:id="109" w:name="_Toc159229844"/>
      <w:bookmarkStart w:id="110" w:name="_Toc170713614"/>
      <w:r w:rsidRPr="002C21B8">
        <w:rPr>
          <w:b/>
          <w:bCs/>
          <w:sz w:val="28"/>
          <w:szCs w:val="28"/>
        </w:rPr>
        <w:t>Method</w:t>
      </w:r>
      <w:bookmarkEnd w:id="109"/>
      <w:bookmarkEnd w:id="110"/>
      <w:r w:rsidRPr="002C21B8">
        <w:rPr>
          <w:b/>
          <w:bCs/>
          <w:sz w:val="28"/>
          <w:szCs w:val="28"/>
        </w:rPr>
        <w:t>s</w:t>
      </w:r>
    </w:p>
    <w:p w14:paraId="5ABCEA24" w14:textId="77777777" w:rsidR="002F0740" w:rsidRPr="002C21B8" w:rsidRDefault="002F0740" w:rsidP="002F0740">
      <w:pPr>
        <w:spacing w:before="240" w:after="0"/>
        <w:rPr>
          <w:b/>
          <w:bCs/>
          <w:sz w:val="24"/>
          <w:szCs w:val="24"/>
        </w:rPr>
      </w:pPr>
      <w:bookmarkStart w:id="111" w:name="_Toc159229845"/>
      <w:bookmarkStart w:id="112" w:name="_Toc170713615"/>
      <w:r w:rsidRPr="002C21B8">
        <w:rPr>
          <w:b/>
          <w:bCs/>
          <w:sz w:val="24"/>
          <w:szCs w:val="24"/>
        </w:rPr>
        <w:t>Study design and protocol</w:t>
      </w:r>
    </w:p>
    <w:p w14:paraId="1C6F56F3" w14:textId="64EAA9FB" w:rsidR="002F0740" w:rsidRPr="002C21B8" w:rsidRDefault="002F0740" w:rsidP="002F0740">
      <w:r w:rsidRPr="002C21B8">
        <w:t xml:space="preserve">We conducted an overview of systematic reviews following guidance from Cochrane </w:t>
      </w:r>
      <w:r w:rsidRPr="002C21B8">
        <w:fldChar w:fldCharType="begin">
          <w:fldData xml:space="preserve">PEVuZE5vdGU+PENpdGU+PEF1dGhvcj5IdW50PC9BdXRob3I+PFllYXI+MjAxODwvWWVhcj48UmVj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</w:fldData>
        </w:fldChar>
      </w:r>
      <w:r w:rsidR="00763983" w:rsidRPr="002C21B8">
        <w:instrText xml:space="preserve"> ADDIN EN.CITE </w:instrText>
      </w:r>
      <w:r w:rsidR="00763983" w:rsidRPr="002C21B8">
        <w:fldChar w:fldCharType="begin">
          <w:fldData xml:space="preserve">PEVuZE5vdGU+PENpdGU+PEF1dGhvcj5IdW50PC9BdXRob3I+PFllYXI+MjAxODwvWWVhcj48UmVj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</w:fldData>
        </w:fldChar>
      </w:r>
      <w:r w:rsidR="00763983" w:rsidRPr="002C21B8">
        <w:instrText xml:space="preserve"> ADDIN EN.CITE.DATA </w:instrText>
      </w:r>
      <w:r w:rsidR="00763983" w:rsidRPr="002C21B8">
        <w:fldChar w:fldCharType="end"/>
      </w:r>
      <w:r w:rsidRPr="002C21B8">
        <w:fldChar w:fldCharType="separate"/>
      </w:r>
      <w:r w:rsidRPr="002C21B8">
        <w:rPr>
          <w:noProof/>
        </w:rPr>
        <w:t>(Gates</w:t>
      </w:r>
      <w:r w:rsidRPr="002C21B8">
        <w:rPr>
          <w:i/>
          <w:noProof/>
        </w:rPr>
        <w:t xml:space="preserve"> et al.</w:t>
      </w:r>
      <w:r w:rsidRPr="002C21B8">
        <w:rPr>
          <w:noProof/>
        </w:rPr>
        <w:t>, 2020; Glenton</w:t>
      </w:r>
      <w:r w:rsidRPr="002C21B8">
        <w:rPr>
          <w:i/>
          <w:noProof/>
        </w:rPr>
        <w:t xml:space="preserve"> et al.</w:t>
      </w:r>
      <w:r w:rsidRPr="002C21B8">
        <w:rPr>
          <w:noProof/>
        </w:rPr>
        <w:t>, 2021; Hunt</w:t>
      </w:r>
      <w:r w:rsidRPr="002C21B8">
        <w:rPr>
          <w:i/>
          <w:noProof/>
        </w:rPr>
        <w:t xml:space="preserve"> et al.</w:t>
      </w:r>
      <w:r w:rsidRPr="002C21B8">
        <w:rPr>
          <w:noProof/>
        </w:rPr>
        <w:t>, 2018)</w:t>
      </w:r>
      <w:r w:rsidRPr="002C21B8">
        <w:fldChar w:fldCharType="end"/>
      </w:r>
      <w:r w:rsidRPr="002C21B8">
        <w:t xml:space="preserve">, and the </w:t>
      </w:r>
      <w:r w:rsidR="00624B61" w:rsidRPr="002C21B8">
        <w:t>E</w:t>
      </w:r>
      <w:r w:rsidRPr="002C21B8">
        <w:t xml:space="preserve">nhancing </w:t>
      </w:r>
      <w:r w:rsidR="00624B61" w:rsidRPr="002C21B8">
        <w:t>T</w:t>
      </w:r>
      <w:r w:rsidRPr="002C21B8">
        <w:t xml:space="preserve">ransparency in </w:t>
      </w:r>
      <w:r w:rsidR="00624B61" w:rsidRPr="002C21B8">
        <w:t>R</w:t>
      </w:r>
      <w:r w:rsidRPr="002C21B8">
        <w:t xml:space="preserve">eporting the </w:t>
      </w:r>
      <w:r w:rsidR="00624B61" w:rsidRPr="002C21B8">
        <w:t>S</w:t>
      </w:r>
      <w:r w:rsidRPr="002C21B8">
        <w:t xml:space="preserve">ynthesis of </w:t>
      </w:r>
      <w:r w:rsidR="00624B61" w:rsidRPr="002C21B8">
        <w:t>Q</w:t>
      </w:r>
      <w:r w:rsidRPr="002C21B8">
        <w:t xml:space="preserve">ualitative </w:t>
      </w:r>
      <w:r w:rsidR="00624B61" w:rsidRPr="002C21B8">
        <w:t>R</w:t>
      </w:r>
      <w:r w:rsidRPr="002C21B8">
        <w:t xml:space="preserve">esearch (ENTREQ) checklist </w:t>
      </w:r>
      <w:r w:rsidRPr="002C21B8">
        <w:fldChar w:fldCharType="begin"/>
      </w:r>
      <w:r w:rsidR="002726AE" w:rsidRPr="002C21B8">
        <w:instrText xml:space="preserve"> ADDIN EN.CITE &lt;EndNote&gt;&lt;Cite&gt;&lt;Author&gt;Tong&lt;/Author&gt;&lt;Year&gt;2012&lt;/Year&gt;&lt;RecNum&gt;17420&lt;/RecNum&gt;&lt;DisplayText&gt;(Tong&lt;style face="italic"&gt; et al.&lt;/style&gt;, 2012)&lt;/DisplayText&gt;&lt;record&gt;&lt;rec-number&gt;17420&lt;/rec-number&gt;&lt;foreign-keys&gt;&lt;key app="EN" db-id="xpefzwa5hf9dt2ea9fax95x7xvxz90v09dtf" timestamp="1721995300"&gt;17420&lt;/key&gt;&lt;/foreign-keys&gt;&lt;ref-type name="Journal Article"&gt;17&lt;/ref-type&gt;&lt;contributors&gt;&lt;authors&gt;&lt;author&gt;Tong, Allison&lt;/author&gt;&lt;author&gt;Flemming, Kate&lt;/author&gt;&lt;author&gt;McInnes, Elizabeth&lt;/author&gt;&lt;author&gt;Oliver, Sandy&lt;/author&gt;&lt;author&gt;Craig, Jonathan&lt;/author&gt;&lt;/authors&gt;&lt;/contributors&gt;&lt;titles&gt;&lt;title&gt;Enhancing transparency in reporting the synthesis of qualitative research: ENTREQ&lt;/title&gt;&lt;secondary-title&gt;BMC Medical Research Methodology&lt;/secondary-title&gt;&lt;/titles&gt;&lt;periodical&gt;&lt;full-title&gt;BMC medical research methodology&lt;/full-title&gt;&lt;/periodical&gt;&lt;pages&gt;1-8&lt;/pages&gt;&lt;volume&gt;12&lt;/volume&gt;&lt;dates&gt;&lt;year&gt;2012&lt;/year&gt;&lt;/dates&gt;&lt;urls&gt;&lt;/urls&gt;&lt;/record&gt;&lt;/Cite&gt;&lt;/EndNote&gt;</w:instrText>
      </w:r>
      <w:r w:rsidRPr="002C21B8">
        <w:fldChar w:fldCharType="separate"/>
      </w:r>
      <w:r w:rsidRPr="002C21B8">
        <w:rPr>
          <w:noProof/>
        </w:rPr>
        <w:t>(Tong</w:t>
      </w:r>
      <w:r w:rsidRPr="002C21B8">
        <w:rPr>
          <w:i/>
          <w:noProof/>
        </w:rPr>
        <w:t xml:space="preserve"> et al.</w:t>
      </w:r>
      <w:r w:rsidRPr="002C21B8">
        <w:rPr>
          <w:noProof/>
        </w:rPr>
        <w:t>, 2012)</w:t>
      </w:r>
      <w:r w:rsidRPr="002C21B8">
        <w:fldChar w:fldCharType="end"/>
      </w:r>
      <w:r w:rsidRPr="002C21B8">
        <w:t xml:space="preserve">. The overview was reported according to the 2020 </w:t>
      </w:r>
      <w:r w:rsidR="00D00848" w:rsidRPr="002C21B8">
        <w:t>P</w:t>
      </w:r>
      <w:r w:rsidRPr="002C21B8">
        <w:t xml:space="preserve">referred </w:t>
      </w:r>
      <w:r w:rsidR="00D00848" w:rsidRPr="002C21B8">
        <w:t>R</w:t>
      </w:r>
      <w:r w:rsidRPr="002C21B8">
        <w:t xml:space="preserve">eporting </w:t>
      </w:r>
      <w:r w:rsidR="00D00848" w:rsidRPr="002C21B8">
        <w:t>I</w:t>
      </w:r>
      <w:r w:rsidRPr="002C21B8">
        <w:t xml:space="preserve">tems for </w:t>
      </w:r>
      <w:r w:rsidR="00D00848" w:rsidRPr="002C21B8">
        <w:t>S</w:t>
      </w:r>
      <w:r w:rsidRPr="002C21B8">
        <w:t xml:space="preserve">ystematic </w:t>
      </w:r>
      <w:r w:rsidR="00093178" w:rsidRPr="002C21B8">
        <w:t>R</w:t>
      </w:r>
      <w:r w:rsidRPr="002C21B8">
        <w:t>eview</w:t>
      </w:r>
      <w:r w:rsidR="00BC04F6" w:rsidRPr="002C21B8">
        <w:t>s</w:t>
      </w:r>
      <w:r w:rsidRPr="002C21B8">
        <w:t xml:space="preserve"> and </w:t>
      </w:r>
      <w:r w:rsidR="00D00848" w:rsidRPr="002C21B8">
        <w:t>M</w:t>
      </w:r>
      <w:r w:rsidRPr="002C21B8">
        <w:t>eta-</w:t>
      </w:r>
      <w:r w:rsidR="00D00848" w:rsidRPr="002C21B8">
        <w:t>A</w:t>
      </w:r>
      <w:r w:rsidRPr="002C21B8">
        <w:t>nalys</w:t>
      </w:r>
      <w:r w:rsidR="00BC04F6" w:rsidRPr="002C21B8">
        <w:t>e</w:t>
      </w:r>
      <w:r w:rsidRPr="002C21B8">
        <w:t xml:space="preserve">s (PRISMA) statement </w:t>
      </w:r>
      <w:r w:rsidRPr="002C21B8">
        <w:fldChar w:fldCharType="begin">
          <w:fldData xml:space="preserve">PEVuZE5vdGU+PENpdGU+PEF1dGhvcj5QYWdlPC9BdXRob3I+PFllYXI+MjAyMTwvWWVhcj48UmVj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</w:fldData>
        </w:fldChar>
      </w:r>
      <w:r w:rsidR="00FF0A99" w:rsidRPr="002C21B8">
        <w:instrText xml:space="preserve"> ADDIN EN.CITE </w:instrText>
      </w:r>
      <w:r w:rsidR="00FF0A99" w:rsidRPr="002C21B8">
        <w:fldChar w:fldCharType="begin">
          <w:fldData xml:space="preserve">PEVuZE5vdGU+PENpdGU+PEF1dGhvcj5QYWdlPC9BdXRob3I+PFllYXI+MjAyMTwvWWVhcj48UmVj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</w:fldData>
        </w:fldChar>
      </w:r>
      <w:r w:rsidR="00FF0A99" w:rsidRPr="002C21B8">
        <w:instrText xml:space="preserve"> ADDIN EN.CITE.DATA </w:instrText>
      </w:r>
      <w:r w:rsidR="00FF0A99" w:rsidRPr="002C21B8">
        <w:fldChar w:fldCharType="end"/>
      </w:r>
      <w:r w:rsidRPr="002C21B8">
        <w:fldChar w:fldCharType="separate"/>
      </w:r>
      <w:r w:rsidRPr="002C21B8">
        <w:rPr>
          <w:noProof/>
        </w:rPr>
        <w:t>(Page</w:t>
      </w:r>
      <w:r w:rsidRPr="002C21B8">
        <w:rPr>
          <w:i/>
          <w:noProof/>
        </w:rPr>
        <w:t xml:space="preserve"> et al.</w:t>
      </w:r>
      <w:r w:rsidRPr="002C21B8">
        <w:rPr>
          <w:noProof/>
        </w:rPr>
        <w:t>, 2021)</w:t>
      </w:r>
      <w:r w:rsidRPr="002C21B8">
        <w:fldChar w:fldCharType="end"/>
      </w:r>
      <w:r w:rsidRPr="002C21B8">
        <w:t>. The protocol was registered on PROSPERO (CRD42023467276).</w:t>
      </w:r>
    </w:p>
    <w:p w14:paraId="76676305" w14:textId="77777777" w:rsidR="002F0740" w:rsidRPr="002C21B8" w:rsidRDefault="002F0740" w:rsidP="002F0740">
      <w:pPr>
        <w:spacing w:before="240" w:after="0"/>
        <w:rPr>
          <w:b/>
          <w:bCs/>
          <w:sz w:val="24"/>
          <w:szCs w:val="24"/>
        </w:rPr>
      </w:pPr>
      <w:r w:rsidRPr="002C21B8">
        <w:rPr>
          <w:b/>
          <w:bCs/>
          <w:sz w:val="24"/>
          <w:szCs w:val="24"/>
        </w:rPr>
        <w:t>Scope</w:t>
      </w:r>
    </w:p>
    <w:p w14:paraId="774EA03D" w14:textId="77777777" w:rsidR="002F0740" w:rsidRPr="002C21B8" w:rsidRDefault="002F0740" w:rsidP="002F0740">
      <w:r w:rsidRPr="002C21B8">
        <w:t>This overview of systematic reviews synthesised systematic reviews of qualitative, quantitative and mixed methods studies of factors that may influence prescribing in chronic physical health conditions.</w:t>
      </w:r>
    </w:p>
    <w:p w14:paraId="1E6633E1" w14:textId="77777777" w:rsidR="002F0740" w:rsidRPr="002C21B8" w:rsidRDefault="002F0740" w:rsidP="002F0740">
      <w:pPr>
        <w:spacing w:before="240" w:after="0"/>
        <w:rPr>
          <w:b/>
          <w:bCs/>
          <w:sz w:val="24"/>
          <w:szCs w:val="24"/>
        </w:rPr>
      </w:pPr>
      <w:r w:rsidRPr="002C21B8">
        <w:rPr>
          <w:b/>
          <w:bCs/>
          <w:sz w:val="24"/>
          <w:szCs w:val="24"/>
        </w:rPr>
        <w:t>Eligibility criteria</w:t>
      </w:r>
    </w:p>
    <w:p w14:paraId="51E111FC" w14:textId="7F59452B" w:rsidR="002F0740" w:rsidRPr="002C21B8" w:rsidRDefault="002F0740" w:rsidP="002F0740">
      <w:pPr>
        <w:rPr>
          <w:noProof/>
        </w:rPr>
      </w:pPr>
      <w:r w:rsidRPr="002C21B8">
        <w:t>The eligibility criteria are included i</w:t>
      </w:r>
      <w:r w:rsidR="00AD1F60" w:rsidRPr="002C21B8">
        <w:t xml:space="preserve">n </w:t>
      </w:r>
      <w:r w:rsidRPr="002C21B8">
        <w:fldChar w:fldCharType="begin"/>
      </w:r>
      <w:r w:rsidRPr="002C21B8">
        <w:instrText xml:space="preserve"> REF _Ref217056520 \h  \* MERGEFORMAT </w:instrText>
      </w:r>
      <w:r w:rsidRPr="002C21B8">
        <w:fldChar w:fldCharType="separate"/>
      </w:r>
      <w:r w:rsidR="00DB3709" w:rsidRPr="002C21B8">
        <w:rPr>
          <w:noProof/>
        </w:rPr>
        <w:t xml:space="preserve">Table </w:t>
      </w:r>
      <w:r w:rsidR="00DB3709">
        <w:rPr>
          <w:noProof/>
        </w:rPr>
        <w:t>7</w:t>
      </w:r>
      <w:r w:rsidRPr="002C21B8">
        <w:fldChar w:fldCharType="end"/>
      </w:r>
      <w:r w:rsidRPr="002C21B8">
        <w:t xml:space="preserve"> based on the SPIDER (Sample, Phenomenon of Interest, Design, Evaluation, Research type) framework </w:t>
      </w:r>
      <w:r w:rsidRPr="002C21B8">
        <w:fldChar w:fldCharType="begin"/>
      </w:r>
      <w:r w:rsidR="00CE4967" w:rsidRPr="002C21B8">
        <w:instrText xml:space="preserve"> ADDIN EN.CITE &lt;EndNote&gt;&lt;Cite&gt;&lt;Author&gt;Cooke&lt;/Author&gt;&lt;Year&gt;2012&lt;/Year&gt;&lt;RecNum&gt;4955&lt;/RecNum&gt;&lt;DisplayText&gt;(Cooke, Smith and Booth, 2012)&lt;/DisplayText&gt;&lt;record&gt;&lt;rec-number&gt;4955&lt;/rec-number&gt;&lt;foreign-keys&gt;&lt;key app="EN" db-id="xpefzwa5hf9dt2ea9fax95x7xvxz90v09dtf" timestamp="1699634946"&gt;4955&lt;/key&gt;&lt;/foreign-keys&gt;&lt;ref-type name="Journal Article"&gt;17&lt;/ref-type&gt;&lt;contributors&gt;&lt;authors&gt;&lt;author&gt;Cooke, A.&lt;/author&gt;&lt;author&gt;Smith, D.&lt;/author&gt;&lt;author&gt;Booth, A.&lt;/author&gt;&lt;/authors&gt;&lt;/contributors&gt;&lt;auth-address&gt;Central Manchester NHS Foundation Trust, Manchester, United Kingdom. Alison.Cooke@manchester.ac.uk&lt;/auth-address&gt;&lt;titles&gt;&lt;title&gt;Beyond PICO: the SPIDER tool for qualitative evidence synthesis&lt;/title&gt;&lt;secondary-title&gt;Qualitative Health Research&lt;/secondary-title&gt;&lt;/titles&gt;&lt;periodical&gt;&lt;full-title&gt;Qualitative health research&lt;/full-title&gt;&lt;/periodical&gt;&lt;pages&gt;1435-43&lt;/pages&gt;&lt;volume&gt;22&lt;/volume&gt;&lt;number&gt;10&lt;/number&gt;&lt;edition&gt;20120724&lt;/edition&gt;&lt;keywords&gt;&lt;keyword&gt;Information Storage and Retrieval/*methods&lt;/keyword&gt;&lt;keyword&gt;Meta-Analysis as Topic&lt;/keyword&gt;&lt;keyword&gt;*Qualitative Research&lt;/keyword&gt;&lt;keyword&gt;*Review Literature as Topic&lt;/keyword&gt;&lt;keyword&gt;Sensitivity and Specificity&lt;/keyword&gt;&lt;/keywords&gt;&lt;dates&gt;&lt;year&gt;2012&lt;/year&gt;&lt;pub-dates&gt;&lt;date&gt;Oct&lt;/date&gt;&lt;/pub-dates&gt;&lt;/dates&gt;&lt;isbn&gt;1049-7323 (Print)&amp;#xD;1049-7323&lt;/isbn&gt;&lt;accession-num&gt;22829486&lt;/accession-num&gt;&lt;urls&gt;&lt;/urls&gt;&lt;electronic-resource-num&gt;10.1177/1049732312452938&lt;/electronic-resource-num&gt;&lt;remote-database-provider&gt;NLM&lt;/remote-database-provider&gt;&lt;language&gt;eng&lt;/language&gt;&lt;/record&gt;&lt;/Cite&gt;&lt;/EndNote&gt;</w:instrText>
      </w:r>
      <w:r w:rsidRPr="002C21B8">
        <w:fldChar w:fldCharType="separate"/>
      </w:r>
      <w:r w:rsidRPr="002C21B8">
        <w:rPr>
          <w:noProof/>
        </w:rPr>
        <w:t>(Cooke, Smith and Booth, 2012)</w:t>
      </w:r>
      <w:r w:rsidRPr="002C21B8">
        <w:fldChar w:fldCharType="end"/>
      </w:r>
      <w:r w:rsidRPr="002C21B8">
        <w:t>.</w:t>
      </w:r>
      <w:bookmarkStart w:id="113" w:name="_Ref217056520"/>
    </w:p>
    <w:p w14:paraId="427BC2D1" w14:textId="21A9DE1D" w:rsidR="002F0740" w:rsidRPr="002C21B8" w:rsidRDefault="002F0740" w:rsidP="009F1A4C">
      <w:pPr>
        <w:pStyle w:val="Caption"/>
        <w:keepNext w:val="0"/>
        <w:rPr>
          <w:noProof w:val="0"/>
        </w:rPr>
      </w:pPr>
      <w:bookmarkStart w:id="114" w:name="_Toc236991743"/>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7</w:t>
      </w:r>
      <w:r w:rsidRPr="002C21B8">
        <w:rPr>
          <w:noProof w:val="0"/>
        </w:rPr>
        <w:fldChar w:fldCharType="end"/>
      </w:r>
      <w:bookmarkEnd w:id="113"/>
      <w:r w:rsidRPr="002C21B8">
        <w:rPr>
          <w:noProof w:val="0"/>
        </w:rPr>
        <w:t>. Eligibility criteria reported according to the SPIDER framework</w:t>
      </w:r>
      <w:bookmarkEnd w:id="114"/>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7759"/>
      </w:tblGrid>
      <w:tr w:rsidR="002F0740" w:rsidRPr="002C21B8" w14:paraId="7F32E30D" w14:textId="77777777" w:rsidTr="002169D7">
        <w:tc>
          <w:tcPr>
            <w:tcW w:w="1313" w:type="dxa"/>
            <w:tcBorders>
              <w:top w:val="single" w:sz="12" w:space="0" w:color="000000" w:themeColor="text1"/>
              <w:bottom w:val="single" w:sz="6" w:space="0" w:color="auto"/>
            </w:tcBorders>
          </w:tcPr>
          <w:p w14:paraId="20EDB6B3" w14:textId="77777777" w:rsidR="002F0740" w:rsidRPr="002C21B8" w:rsidRDefault="002F0740" w:rsidP="009F1A4C">
            <w:pPr>
              <w:spacing w:before="90" w:after="90" w:line="240" w:lineRule="auto"/>
              <w:rPr>
                <w:b/>
                <w:bCs/>
                <w:sz w:val="20"/>
                <w:szCs w:val="20"/>
              </w:rPr>
            </w:pPr>
            <w:r w:rsidRPr="002C21B8">
              <w:rPr>
                <w:b/>
                <w:bCs/>
                <w:sz w:val="20"/>
                <w:szCs w:val="20"/>
              </w:rPr>
              <w:t>SPIDER</w:t>
            </w:r>
          </w:p>
        </w:tc>
        <w:tc>
          <w:tcPr>
            <w:tcW w:w="7759" w:type="dxa"/>
            <w:tcBorders>
              <w:top w:val="single" w:sz="12" w:space="0" w:color="000000" w:themeColor="text1"/>
              <w:bottom w:val="single" w:sz="6" w:space="0" w:color="auto"/>
            </w:tcBorders>
          </w:tcPr>
          <w:p w14:paraId="5A86C4A5" w14:textId="77777777" w:rsidR="002F0740" w:rsidRPr="002C21B8" w:rsidRDefault="002F0740" w:rsidP="009F1A4C">
            <w:pPr>
              <w:spacing w:before="90" w:after="90" w:line="240" w:lineRule="auto"/>
              <w:rPr>
                <w:b/>
                <w:bCs/>
                <w:sz w:val="20"/>
                <w:szCs w:val="20"/>
              </w:rPr>
            </w:pPr>
            <w:r w:rsidRPr="002C21B8">
              <w:rPr>
                <w:b/>
                <w:bCs/>
                <w:sz w:val="20"/>
                <w:szCs w:val="20"/>
              </w:rPr>
              <w:t>Justification</w:t>
            </w:r>
          </w:p>
        </w:tc>
      </w:tr>
      <w:tr w:rsidR="002F0740" w:rsidRPr="002C21B8" w14:paraId="38996C50" w14:textId="77777777" w:rsidTr="002169D7">
        <w:tc>
          <w:tcPr>
            <w:tcW w:w="1313" w:type="dxa"/>
            <w:tcBorders>
              <w:top w:val="single" w:sz="6" w:space="0" w:color="auto"/>
            </w:tcBorders>
          </w:tcPr>
          <w:p w14:paraId="5E3D6641" w14:textId="77777777" w:rsidR="002F0740" w:rsidRPr="002C21B8" w:rsidRDefault="002F0740" w:rsidP="009F1A4C">
            <w:pPr>
              <w:spacing w:before="90" w:after="90" w:line="240" w:lineRule="auto"/>
              <w:rPr>
                <w:sz w:val="20"/>
                <w:szCs w:val="20"/>
              </w:rPr>
            </w:pPr>
            <w:r w:rsidRPr="002C21B8">
              <w:rPr>
                <w:b/>
                <w:bCs/>
                <w:sz w:val="20"/>
                <w:szCs w:val="20"/>
              </w:rPr>
              <w:t>S</w:t>
            </w:r>
            <w:r w:rsidRPr="002C21B8">
              <w:rPr>
                <w:sz w:val="20"/>
                <w:szCs w:val="20"/>
              </w:rPr>
              <w:t xml:space="preserve">ample </w:t>
            </w:r>
          </w:p>
        </w:tc>
        <w:tc>
          <w:tcPr>
            <w:tcW w:w="7759" w:type="dxa"/>
            <w:tcBorders>
              <w:top w:val="single" w:sz="6" w:space="0" w:color="auto"/>
            </w:tcBorders>
          </w:tcPr>
          <w:p w14:paraId="7488A11B" w14:textId="07B973F0" w:rsidR="002F0740" w:rsidRPr="002C21B8" w:rsidRDefault="002F0740" w:rsidP="009F1A4C">
            <w:pPr>
              <w:spacing w:before="90" w:after="90" w:line="240" w:lineRule="auto"/>
              <w:rPr>
                <w:sz w:val="20"/>
                <w:szCs w:val="20"/>
              </w:rPr>
            </w:pPr>
            <w:r w:rsidRPr="002C21B8">
              <w:rPr>
                <w:sz w:val="20"/>
                <w:szCs w:val="20"/>
              </w:rPr>
              <w:t xml:space="preserve">Adults with non-communicable chronic physical health conditions. Children were excluded due to developmental and pharmacokinetic variations, and a lower evidence base </w:t>
            </w:r>
            <w:r w:rsidRPr="002C21B8">
              <w:rPr>
                <w:sz w:val="20"/>
                <w:szCs w:val="20"/>
              </w:rPr>
              <w:fldChar w:fldCharType="begin">
                <w:fldData xml:space="preserve">PEVuZE5vdGU+PENpdGU+PEF1dGhvcj5MaXU8L0F1dGhvcj48WWVhcj4yMDE0PC9ZZWFyPjxSZWNO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</w:fldData>
              </w:fldChar>
            </w:r>
            <w:r w:rsidR="00763983" w:rsidRPr="002C21B8">
              <w:rPr>
                <w:sz w:val="20"/>
                <w:szCs w:val="20"/>
              </w:rPr>
              <w:instrText xml:space="preserve"> ADDIN EN.CITE </w:instrText>
            </w:r>
            <w:r w:rsidR="00763983" w:rsidRPr="002C21B8">
              <w:rPr>
                <w:sz w:val="20"/>
                <w:szCs w:val="20"/>
              </w:rPr>
              <w:fldChar w:fldCharType="begin">
                <w:fldData xml:space="preserve">PEVuZE5vdGU+PENpdGU+PEF1dGhvcj5MaXU8L0F1dGhvcj48WWVhcj4yMDE0PC9ZZWFyPjxSZWNO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</w:fldData>
              </w:fldChar>
            </w:r>
            <w:r w:rsidR="00763983" w:rsidRPr="002C21B8">
              <w:rPr>
                <w:sz w:val="20"/>
                <w:szCs w:val="20"/>
              </w:rPr>
              <w:instrText xml:space="preserve"> ADDIN EN.CITE.DATA </w:instrText>
            </w:r>
            <w:r w:rsidR="00763983" w:rsidRPr="002C21B8">
              <w:rPr>
                <w:sz w:val="20"/>
                <w:szCs w:val="20"/>
              </w:rPr>
            </w:r>
            <w:r w:rsidR="00763983" w:rsidRPr="002C21B8">
              <w:rPr>
                <w:sz w:val="20"/>
                <w:szCs w:val="20"/>
              </w:rPr>
              <w:fldChar w:fldCharType="end"/>
            </w:r>
            <w:r w:rsidRPr="002C21B8">
              <w:rPr>
                <w:sz w:val="20"/>
                <w:szCs w:val="20"/>
              </w:rPr>
            </w:r>
            <w:r w:rsidRPr="002C21B8">
              <w:rPr>
                <w:sz w:val="20"/>
                <w:szCs w:val="20"/>
              </w:rPr>
              <w:fldChar w:fldCharType="separate"/>
            </w:r>
            <w:r w:rsidRPr="002C21B8">
              <w:rPr>
                <w:noProof/>
                <w:sz w:val="20"/>
                <w:szCs w:val="20"/>
              </w:rPr>
              <w:t>(Bourgeois</w:t>
            </w:r>
            <w:r w:rsidRPr="002C21B8">
              <w:rPr>
                <w:i/>
                <w:noProof/>
                <w:sz w:val="20"/>
                <w:szCs w:val="20"/>
              </w:rPr>
              <w:t xml:space="preserve"> et al.</w:t>
            </w:r>
            <w:r w:rsidRPr="002C21B8">
              <w:rPr>
                <w:noProof/>
                <w:sz w:val="20"/>
                <w:szCs w:val="20"/>
              </w:rPr>
              <w:t>, 2012; Ferro, 2015; Liu</w:t>
            </w:r>
            <w:r w:rsidRPr="002C21B8">
              <w:rPr>
                <w:i/>
                <w:noProof/>
                <w:sz w:val="20"/>
                <w:szCs w:val="20"/>
              </w:rPr>
              <w:t xml:space="preserve"> et al.</w:t>
            </w:r>
            <w:r w:rsidRPr="002C21B8">
              <w:rPr>
                <w:noProof/>
                <w:sz w:val="20"/>
                <w:szCs w:val="20"/>
              </w:rPr>
              <w:t>, 2014)</w:t>
            </w:r>
            <w:r w:rsidRPr="002C21B8">
              <w:rPr>
                <w:sz w:val="20"/>
                <w:szCs w:val="20"/>
              </w:rPr>
              <w:fldChar w:fldCharType="end"/>
            </w:r>
            <w:r w:rsidRPr="002C21B8">
              <w:rPr>
                <w:sz w:val="20"/>
                <w:szCs w:val="20"/>
              </w:rPr>
              <w:t xml:space="preserve">. Chronic mental health conditions were not included as non-medication approaches are typically recommended as first-line treatment in these conditions </w:t>
            </w:r>
            <w:r w:rsidRPr="002C21B8">
              <w:rPr>
                <w:sz w:val="20"/>
                <w:szCs w:val="20"/>
              </w:rPr>
              <w:fldChar w:fldCharType="begin">
                <w:fldData xml:space="preserve">PEVuZE5vdGU+PENpdGU+PEF1dGhvcj5HYXJ0bGVobmVyPC9BdXRob3I+PFllYXI+MjAxNzwvWWVh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</w:fldData>
              </w:fldChar>
            </w:r>
            <w:r w:rsidR="00D27FD1" w:rsidRPr="002C21B8">
              <w:rPr>
                <w:sz w:val="20"/>
                <w:szCs w:val="20"/>
              </w:rPr>
              <w:instrText xml:space="preserve"> ADDIN EN.CITE </w:instrText>
            </w:r>
            <w:r w:rsidR="00D27FD1" w:rsidRPr="002C21B8">
              <w:rPr>
                <w:sz w:val="20"/>
                <w:szCs w:val="20"/>
              </w:rPr>
              <w:fldChar w:fldCharType="begin">
                <w:fldData xml:space="preserve">PEVuZE5vdGU+PENpdGU+PEF1dGhvcj5HYXJ0bGVobmVyPC9BdXRob3I+PFllYXI+MjAxNzwvWWVh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</w:fldData>
              </w:fldChar>
            </w:r>
            <w:r w:rsidR="00D27FD1" w:rsidRPr="002C21B8">
              <w:rPr>
                <w:sz w:val="20"/>
                <w:szCs w:val="20"/>
              </w:rPr>
              <w:instrText xml:space="preserve"> ADDIN EN.CITE.DATA </w:instrText>
            </w:r>
            <w:r w:rsidR="00D27FD1" w:rsidRPr="002C21B8">
              <w:rPr>
                <w:sz w:val="20"/>
                <w:szCs w:val="20"/>
              </w:rPr>
            </w:r>
            <w:r w:rsidR="00D27FD1" w:rsidRPr="002C21B8">
              <w:rPr>
                <w:sz w:val="20"/>
                <w:szCs w:val="20"/>
              </w:rPr>
              <w:fldChar w:fldCharType="end"/>
            </w:r>
            <w:r w:rsidRPr="002C21B8">
              <w:rPr>
                <w:sz w:val="20"/>
                <w:szCs w:val="20"/>
              </w:rPr>
            </w:r>
            <w:r w:rsidRPr="002C21B8">
              <w:rPr>
                <w:sz w:val="20"/>
                <w:szCs w:val="20"/>
              </w:rPr>
              <w:fldChar w:fldCharType="separate"/>
            </w:r>
            <w:r w:rsidRPr="002C21B8">
              <w:rPr>
                <w:noProof/>
                <w:sz w:val="20"/>
                <w:szCs w:val="20"/>
              </w:rPr>
              <w:t>(Elkrog</w:t>
            </w:r>
            <w:r w:rsidRPr="002C21B8">
              <w:rPr>
                <w:i/>
                <w:noProof/>
                <w:sz w:val="20"/>
                <w:szCs w:val="20"/>
              </w:rPr>
              <w:t xml:space="preserve"> et al.</w:t>
            </w:r>
            <w:r w:rsidRPr="002C21B8">
              <w:rPr>
                <w:noProof/>
                <w:sz w:val="20"/>
                <w:szCs w:val="20"/>
              </w:rPr>
              <w:t>, 2022; Gartlehner</w:t>
            </w:r>
            <w:r w:rsidRPr="002C21B8">
              <w:rPr>
                <w:i/>
                <w:noProof/>
                <w:sz w:val="20"/>
                <w:szCs w:val="20"/>
              </w:rPr>
              <w:t xml:space="preserve"> et al.</w:t>
            </w:r>
            <w:r w:rsidRPr="002C21B8">
              <w:rPr>
                <w:noProof/>
                <w:sz w:val="20"/>
                <w:szCs w:val="20"/>
              </w:rPr>
              <w:t>, 2017)</w:t>
            </w:r>
            <w:r w:rsidRPr="002C21B8">
              <w:rPr>
                <w:sz w:val="20"/>
                <w:szCs w:val="20"/>
              </w:rPr>
              <w:fldChar w:fldCharType="end"/>
            </w:r>
            <w:r w:rsidRPr="002C21B8">
              <w:rPr>
                <w:sz w:val="20"/>
                <w:szCs w:val="20"/>
              </w:rPr>
              <w:t xml:space="preserve">. Communicable diseases (e.g. HIV, tuberculosis) were excluded as they are not classified as chronic, and treatment aims to prevent progression or transmission with less room for individualised prescribing </w:t>
            </w:r>
            <w:r w:rsidRPr="002C21B8">
              <w:rPr>
                <w:sz w:val="20"/>
                <w:szCs w:val="20"/>
              </w:rPr>
              <w:fldChar w:fldCharType="begin">
                <w:fldData xml:space="preserve">PEVuZE5vdGU+PENpdGU+PEF1dGhvcj5TdHJpY2g8L0F1dGhvcj48WWVhcj4yMDIwPC9ZZWFyPjxS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</w:fldData>
              </w:fldChar>
            </w:r>
            <w:r w:rsidR="000215B0" w:rsidRPr="002C21B8">
              <w:rPr>
                <w:sz w:val="20"/>
                <w:szCs w:val="20"/>
              </w:rPr>
              <w:instrText xml:space="preserve"> ADDIN EN.CITE </w:instrText>
            </w:r>
            <w:r w:rsidR="000215B0" w:rsidRPr="002C21B8">
              <w:rPr>
                <w:sz w:val="20"/>
                <w:szCs w:val="20"/>
              </w:rPr>
              <w:fldChar w:fldCharType="begin">
                <w:fldData xml:space="preserve">PEVuZE5vdGU+PENpdGU+PEF1dGhvcj5TdHJpY2g8L0F1dGhvcj48WWVhcj4yMDIwPC9ZZWFyPjxS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</w:fldData>
              </w:fldChar>
            </w:r>
            <w:r w:rsidR="000215B0" w:rsidRPr="002C21B8">
              <w:rPr>
                <w:sz w:val="20"/>
                <w:szCs w:val="20"/>
              </w:rPr>
              <w:instrText xml:space="preserve"> ADDIN EN.CITE.DATA </w:instrText>
            </w:r>
            <w:r w:rsidR="000215B0" w:rsidRPr="002C21B8">
              <w:rPr>
                <w:sz w:val="20"/>
                <w:szCs w:val="20"/>
              </w:rPr>
            </w:r>
            <w:r w:rsidR="000215B0" w:rsidRPr="002C21B8">
              <w:rPr>
                <w:sz w:val="20"/>
                <w:szCs w:val="20"/>
              </w:rPr>
              <w:fldChar w:fldCharType="end"/>
            </w:r>
            <w:r w:rsidRPr="002C21B8">
              <w:rPr>
                <w:sz w:val="20"/>
                <w:szCs w:val="20"/>
              </w:rPr>
            </w:r>
            <w:r w:rsidRPr="002C21B8">
              <w:rPr>
                <w:sz w:val="20"/>
                <w:szCs w:val="20"/>
              </w:rPr>
              <w:fldChar w:fldCharType="separate"/>
            </w:r>
            <w:r w:rsidRPr="002C21B8">
              <w:rPr>
                <w:noProof/>
                <w:sz w:val="20"/>
                <w:szCs w:val="20"/>
              </w:rPr>
              <w:t>(Strich, Heil and Masur, 2020)</w:t>
            </w:r>
            <w:r w:rsidRPr="002C21B8">
              <w:rPr>
                <w:sz w:val="20"/>
                <w:szCs w:val="20"/>
              </w:rPr>
              <w:fldChar w:fldCharType="end"/>
            </w:r>
            <w:r w:rsidRPr="002C21B8">
              <w:rPr>
                <w:sz w:val="20"/>
                <w:szCs w:val="20"/>
              </w:rPr>
              <w:t>.</w:t>
            </w:r>
          </w:p>
        </w:tc>
      </w:tr>
      <w:tr w:rsidR="002F0740" w:rsidRPr="002C21B8" w14:paraId="06844301" w14:textId="77777777" w:rsidTr="002169D7">
        <w:tc>
          <w:tcPr>
            <w:tcW w:w="1313" w:type="dxa"/>
          </w:tcPr>
          <w:p w14:paraId="70DD1B4A" w14:textId="77777777" w:rsidR="002F0740" w:rsidRPr="002C21B8" w:rsidRDefault="002F0740" w:rsidP="009F1A4C">
            <w:pPr>
              <w:spacing w:before="90" w:after="90" w:line="240" w:lineRule="auto"/>
              <w:jc w:val="left"/>
              <w:rPr>
                <w:b/>
                <w:bCs/>
                <w:sz w:val="20"/>
                <w:szCs w:val="20"/>
              </w:rPr>
            </w:pPr>
            <w:r w:rsidRPr="002C21B8">
              <w:rPr>
                <w:b/>
                <w:bCs/>
                <w:sz w:val="20"/>
                <w:szCs w:val="20"/>
              </w:rPr>
              <w:t>P</w:t>
            </w:r>
            <w:r w:rsidRPr="002C21B8">
              <w:rPr>
                <w:sz w:val="20"/>
                <w:szCs w:val="20"/>
              </w:rPr>
              <w:t xml:space="preserve">henomenon of </w:t>
            </w:r>
            <w:r w:rsidRPr="002C21B8">
              <w:rPr>
                <w:b/>
                <w:bCs/>
                <w:sz w:val="20"/>
                <w:szCs w:val="20"/>
              </w:rPr>
              <w:t>I</w:t>
            </w:r>
            <w:r w:rsidRPr="002C21B8">
              <w:rPr>
                <w:sz w:val="20"/>
                <w:szCs w:val="20"/>
              </w:rPr>
              <w:t>nterest</w:t>
            </w:r>
          </w:p>
        </w:tc>
        <w:tc>
          <w:tcPr>
            <w:tcW w:w="7759" w:type="dxa"/>
          </w:tcPr>
          <w:p w14:paraId="6D6CEB1A" w14:textId="77777777" w:rsidR="002F0740" w:rsidRPr="002C21B8" w:rsidRDefault="002F0740" w:rsidP="009F1A4C">
            <w:pPr>
              <w:spacing w:before="90" w:after="90" w:line="240" w:lineRule="auto"/>
              <w:rPr>
                <w:sz w:val="20"/>
                <w:szCs w:val="20"/>
              </w:rPr>
            </w:pPr>
            <w:r w:rsidRPr="002C21B8">
              <w:rPr>
                <w:sz w:val="20"/>
                <w:szCs w:val="20"/>
              </w:rPr>
              <w:t>Only factors influencing medication initiation were considered. Other stages of the prescribing process, such as titration and discontinuation, were not included as they are less commonly explored in the literature.</w:t>
            </w:r>
          </w:p>
        </w:tc>
      </w:tr>
      <w:tr w:rsidR="002F0740" w:rsidRPr="002C21B8" w14:paraId="4EEDC846" w14:textId="77777777" w:rsidTr="002169D7">
        <w:tc>
          <w:tcPr>
            <w:tcW w:w="1313" w:type="dxa"/>
          </w:tcPr>
          <w:p w14:paraId="1B0B28E6" w14:textId="77777777" w:rsidR="002F0740" w:rsidRPr="002C21B8" w:rsidRDefault="002F0740" w:rsidP="009F1A4C">
            <w:pPr>
              <w:spacing w:before="90" w:after="90" w:line="240" w:lineRule="auto"/>
              <w:rPr>
                <w:b/>
                <w:bCs/>
                <w:sz w:val="20"/>
                <w:szCs w:val="20"/>
              </w:rPr>
            </w:pPr>
            <w:r w:rsidRPr="002C21B8">
              <w:rPr>
                <w:b/>
                <w:bCs/>
                <w:sz w:val="20"/>
                <w:szCs w:val="20"/>
              </w:rPr>
              <w:t>D</w:t>
            </w:r>
            <w:r w:rsidRPr="002C21B8">
              <w:rPr>
                <w:sz w:val="20"/>
                <w:szCs w:val="20"/>
              </w:rPr>
              <w:t>esign</w:t>
            </w:r>
          </w:p>
        </w:tc>
        <w:tc>
          <w:tcPr>
            <w:tcW w:w="7759" w:type="dxa"/>
          </w:tcPr>
          <w:p w14:paraId="162CC77D" w14:textId="7176D5D9" w:rsidR="002F0740" w:rsidRPr="002C21B8" w:rsidRDefault="002F0740" w:rsidP="009F1A4C">
            <w:pPr>
              <w:spacing w:before="90" w:after="90" w:line="240" w:lineRule="auto"/>
              <w:rPr>
                <w:sz w:val="20"/>
                <w:szCs w:val="20"/>
              </w:rPr>
            </w:pPr>
            <w:r w:rsidRPr="002C21B8">
              <w:rPr>
                <w:sz w:val="20"/>
                <w:szCs w:val="20"/>
              </w:rPr>
              <w:t>Published peer-reviewed systematic reviews. Other types of review</w:t>
            </w:r>
            <w:r w:rsidR="001A5E46" w:rsidRPr="002C21B8">
              <w:rPr>
                <w:sz w:val="20"/>
                <w:szCs w:val="20"/>
              </w:rPr>
              <w:t>,</w:t>
            </w:r>
            <w:r w:rsidRPr="002C21B8">
              <w:rPr>
                <w:sz w:val="20"/>
                <w:szCs w:val="20"/>
              </w:rPr>
              <w:t xml:space="preserve"> including rapid reviews and scoping reviews</w:t>
            </w:r>
            <w:r w:rsidR="001A5E46" w:rsidRPr="002C21B8">
              <w:rPr>
                <w:sz w:val="20"/>
                <w:szCs w:val="20"/>
              </w:rPr>
              <w:t>,</w:t>
            </w:r>
            <w:r w:rsidRPr="002C21B8">
              <w:rPr>
                <w:sz w:val="20"/>
                <w:szCs w:val="20"/>
              </w:rPr>
              <w:t xml:space="preserve"> were not included. Protocols and conference abstracts were not included.</w:t>
            </w:r>
          </w:p>
        </w:tc>
      </w:tr>
      <w:tr w:rsidR="002F0740" w:rsidRPr="002C21B8" w14:paraId="4E949CF0" w14:textId="77777777" w:rsidTr="002169D7">
        <w:tc>
          <w:tcPr>
            <w:tcW w:w="1313" w:type="dxa"/>
          </w:tcPr>
          <w:p w14:paraId="1328F24F" w14:textId="77777777" w:rsidR="002F0740" w:rsidRPr="002C21B8" w:rsidRDefault="002F0740" w:rsidP="009F1A4C">
            <w:pPr>
              <w:spacing w:before="90" w:after="90" w:line="240" w:lineRule="auto"/>
              <w:rPr>
                <w:b/>
                <w:bCs/>
                <w:sz w:val="20"/>
                <w:szCs w:val="20"/>
              </w:rPr>
            </w:pPr>
            <w:r w:rsidRPr="002C21B8">
              <w:rPr>
                <w:b/>
                <w:bCs/>
                <w:sz w:val="20"/>
                <w:szCs w:val="20"/>
              </w:rPr>
              <w:t>E</w:t>
            </w:r>
            <w:r w:rsidRPr="002C21B8">
              <w:rPr>
                <w:sz w:val="20"/>
                <w:szCs w:val="20"/>
              </w:rPr>
              <w:t>valuation</w:t>
            </w:r>
          </w:p>
        </w:tc>
        <w:tc>
          <w:tcPr>
            <w:tcW w:w="7759" w:type="dxa"/>
          </w:tcPr>
          <w:p w14:paraId="24E4821D" w14:textId="77777777" w:rsidR="002F0740" w:rsidRPr="002C21B8" w:rsidRDefault="002F0740" w:rsidP="009F1A4C">
            <w:pPr>
              <w:spacing w:before="90" w:after="90" w:line="240" w:lineRule="auto"/>
              <w:rPr>
                <w:sz w:val="20"/>
                <w:szCs w:val="20"/>
              </w:rPr>
            </w:pPr>
            <w:r w:rsidRPr="002C21B8">
              <w:rPr>
                <w:sz w:val="20"/>
                <w:szCs w:val="20"/>
              </w:rPr>
              <w:t xml:space="preserve">Eligible systematic reviews included those with results on at least one of the following outcomes relevant to prescribing decision-making: </w:t>
            </w:r>
          </w:p>
          <w:p w14:paraId="6D605BF6" w14:textId="77777777" w:rsidR="002F0740" w:rsidRPr="002C21B8" w:rsidRDefault="002F0740" w:rsidP="009F1A4C">
            <w:pPr>
              <w:spacing w:before="90" w:after="90" w:line="240" w:lineRule="auto"/>
              <w:rPr>
                <w:sz w:val="20"/>
                <w:szCs w:val="20"/>
              </w:rPr>
            </w:pPr>
            <w:r w:rsidRPr="002C21B8">
              <w:rPr>
                <w:sz w:val="20"/>
                <w:szCs w:val="20"/>
              </w:rPr>
              <w:t>(i) factors influencing initiation of long-term medications</w:t>
            </w:r>
          </w:p>
          <w:p w14:paraId="24B4ECDF" w14:textId="77777777" w:rsidR="002F0740" w:rsidRPr="002C21B8" w:rsidRDefault="002F0740" w:rsidP="009F1A4C">
            <w:pPr>
              <w:spacing w:before="90" w:after="90" w:line="240" w:lineRule="auto"/>
              <w:rPr>
                <w:sz w:val="20"/>
                <w:szCs w:val="20"/>
              </w:rPr>
            </w:pPr>
            <w:r w:rsidRPr="002C21B8">
              <w:rPr>
                <w:sz w:val="20"/>
                <w:szCs w:val="20"/>
              </w:rPr>
              <w:t>(ii) experiences of healthcare professionals making prescribing decisions</w:t>
            </w:r>
          </w:p>
          <w:p w14:paraId="4BEFEE45" w14:textId="77777777" w:rsidR="002F0740" w:rsidRPr="002C21B8" w:rsidRDefault="002F0740" w:rsidP="009F1A4C">
            <w:pPr>
              <w:spacing w:before="90" w:after="90" w:line="240" w:lineRule="auto"/>
              <w:rPr>
                <w:sz w:val="20"/>
                <w:szCs w:val="20"/>
              </w:rPr>
            </w:pPr>
            <w:r w:rsidRPr="002C21B8">
              <w:rPr>
                <w:sz w:val="20"/>
                <w:szCs w:val="20"/>
              </w:rPr>
              <w:t>(iii) barriers and facilitators to prescribing long-term medications</w:t>
            </w:r>
          </w:p>
        </w:tc>
      </w:tr>
      <w:tr w:rsidR="002F0740" w:rsidRPr="002C21B8" w14:paraId="3C0C132A" w14:textId="77777777" w:rsidTr="002169D7">
        <w:tc>
          <w:tcPr>
            <w:tcW w:w="1313" w:type="dxa"/>
            <w:tcBorders>
              <w:bottom w:val="single" w:sz="12" w:space="0" w:color="000000" w:themeColor="text1"/>
            </w:tcBorders>
          </w:tcPr>
          <w:p w14:paraId="36559528" w14:textId="77777777" w:rsidR="002F0740" w:rsidRPr="002C21B8" w:rsidRDefault="002F0740" w:rsidP="009F1A4C">
            <w:pPr>
              <w:spacing w:before="90" w:after="90" w:line="240" w:lineRule="auto"/>
              <w:rPr>
                <w:b/>
                <w:bCs/>
                <w:sz w:val="20"/>
                <w:szCs w:val="20"/>
              </w:rPr>
            </w:pPr>
            <w:r w:rsidRPr="002C21B8">
              <w:rPr>
                <w:b/>
                <w:bCs/>
                <w:sz w:val="20"/>
                <w:szCs w:val="20"/>
              </w:rPr>
              <w:t>R</w:t>
            </w:r>
            <w:r w:rsidRPr="002C21B8">
              <w:rPr>
                <w:sz w:val="20"/>
                <w:szCs w:val="20"/>
              </w:rPr>
              <w:t>esearch type</w:t>
            </w:r>
          </w:p>
        </w:tc>
        <w:tc>
          <w:tcPr>
            <w:tcW w:w="7759" w:type="dxa"/>
            <w:tcBorders>
              <w:bottom w:val="single" w:sz="12" w:space="0" w:color="000000" w:themeColor="text1"/>
            </w:tcBorders>
          </w:tcPr>
          <w:p w14:paraId="0C47DD93" w14:textId="77777777" w:rsidR="002F0740" w:rsidRPr="002C21B8" w:rsidRDefault="002F0740" w:rsidP="009F1A4C">
            <w:pPr>
              <w:spacing w:before="90" w:after="90" w:line="240" w:lineRule="auto"/>
              <w:rPr>
                <w:sz w:val="20"/>
                <w:szCs w:val="20"/>
              </w:rPr>
            </w:pPr>
            <w:r w:rsidRPr="002C21B8">
              <w:rPr>
                <w:sz w:val="20"/>
                <w:szCs w:val="20"/>
              </w:rPr>
              <w:t xml:space="preserve">As described in the scope, systematic reviews of qualitative, quantitative and mixed methods studies published in any language between 01/01/2013 and 07/11/2023 were included. </w:t>
            </w:r>
          </w:p>
        </w:tc>
      </w:tr>
    </w:tbl>
    <w:p w14:paraId="041C173C" w14:textId="3CC5F520" w:rsidR="002F0740" w:rsidRPr="002C21B8" w:rsidRDefault="002F0740" w:rsidP="002F0740">
      <w:pPr>
        <w:spacing w:before="240" w:after="0"/>
        <w:rPr>
          <w:b/>
          <w:bCs/>
          <w:sz w:val="24"/>
          <w:szCs w:val="24"/>
        </w:rPr>
      </w:pPr>
      <w:bookmarkStart w:id="115" w:name="_Toc159229847"/>
      <w:bookmarkStart w:id="116" w:name="_Toc170713617"/>
      <w:bookmarkEnd w:id="111"/>
      <w:bookmarkEnd w:id="112"/>
      <w:r w:rsidRPr="002C21B8">
        <w:rPr>
          <w:b/>
          <w:bCs/>
          <w:sz w:val="24"/>
          <w:szCs w:val="24"/>
        </w:rPr>
        <w:t xml:space="preserve">Search </w:t>
      </w:r>
      <w:r w:rsidR="00E93D1B" w:rsidRPr="002C21B8">
        <w:rPr>
          <w:b/>
          <w:bCs/>
          <w:sz w:val="24"/>
          <w:szCs w:val="24"/>
        </w:rPr>
        <w:t>s</w:t>
      </w:r>
      <w:r w:rsidRPr="002C21B8">
        <w:rPr>
          <w:b/>
          <w:bCs/>
          <w:sz w:val="24"/>
          <w:szCs w:val="24"/>
        </w:rPr>
        <w:t>trategy</w:t>
      </w:r>
      <w:bookmarkEnd w:id="115"/>
      <w:bookmarkEnd w:id="116"/>
    </w:p>
    <w:p w14:paraId="44B4005C" w14:textId="1C8A4699" w:rsidR="002F0740" w:rsidRPr="002C21B8" w:rsidRDefault="002F0740" w:rsidP="002F0740">
      <w:r w:rsidRPr="002C21B8">
        <w:t xml:space="preserve">A comprehensive search strategy, including automated and manual search techniques, was developed using the SPIDER framework </w:t>
      </w:r>
      <w:r w:rsidRPr="002C21B8">
        <w:fldChar w:fldCharType="begin"/>
      </w:r>
      <w:r w:rsidR="00CE4967" w:rsidRPr="002C21B8">
        <w:instrText xml:space="preserve"> ADDIN EN.CITE &lt;EndNote&gt;&lt;Cite&gt;&lt;Author&gt;Cooke&lt;/Author&gt;&lt;Year&gt;2012&lt;/Year&gt;&lt;RecNum&gt;4955&lt;/RecNum&gt;&lt;DisplayText&gt;(Cooke, Smith and Booth, 2012)&lt;/DisplayText&gt;&lt;record&gt;&lt;rec-number&gt;4955&lt;/rec-number&gt;&lt;foreign-keys&gt;&lt;key app="EN" db-id="xpefzwa5hf9dt2ea9fax95x7xvxz90v09dtf" timestamp="1699634946"&gt;4955&lt;/key&gt;&lt;/foreign-keys&gt;&lt;ref-type name="Journal Article"&gt;17&lt;/ref-type&gt;&lt;contributors&gt;&lt;authors&gt;&lt;author&gt;Cooke, A.&lt;/author&gt;&lt;author&gt;Smith, D.&lt;/author&gt;&lt;author&gt;Booth, A.&lt;/author&gt;&lt;/authors&gt;&lt;/contributors&gt;&lt;auth-address&gt;Central Manchester NHS Foundation Trust, Manchester, United Kingdom. Alison.Cooke@manchester.ac.uk&lt;/auth-address&gt;&lt;titles&gt;&lt;title&gt;Beyond PICO: the SPIDER tool for qualitative evidence synthesis&lt;/title&gt;&lt;secondary-title&gt;Qualitative Health Research&lt;/secondary-title&gt;&lt;/titles&gt;&lt;periodical&gt;&lt;full-title&gt;Qualitative health research&lt;/full-title&gt;&lt;/periodical&gt;&lt;pages&gt;1435-43&lt;/pages&gt;&lt;volume&gt;22&lt;/volume&gt;&lt;number&gt;10&lt;/number&gt;&lt;edition&gt;20120724&lt;/edition&gt;&lt;keywords&gt;&lt;keyword&gt;Information Storage and Retrieval/*methods&lt;/keyword&gt;&lt;keyword&gt;Meta-Analysis as Topic&lt;/keyword&gt;&lt;keyword&gt;*Qualitative Research&lt;/keyword&gt;&lt;keyword&gt;*Review Literature as Topic&lt;/keyword&gt;&lt;keyword&gt;Sensitivity and Specificity&lt;/keyword&gt;&lt;/keywords&gt;&lt;dates&gt;&lt;year&gt;2012&lt;/year&gt;&lt;pub-dates&gt;&lt;date&gt;Oct&lt;/date&gt;&lt;/pub-dates&gt;&lt;/dates&gt;&lt;isbn&gt;1049-7323 (Print)&amp;#xD;1049-7323&lt;/isbn&gt;&lt;accession-num&gt;22829486&lt;/accession-num&gt;&lt;urls&gt;&lt;/urls&gt;&lt;electronic-resource-num&gt;10.1177/1049732312452938&lt;/electronic-resource-num&gt;&lt;remote-database-provider&gt;NLM&lt;/remote-database-provider&gt;&lt;language&gt;eng&lt;/language&gt;&lt;/record&gt;&lt;/Cite&gt;&lt;/EndNote&gt;</w:instrText>
      </w:r>
      <w:r w:rsidRPr="002C21B8">
        <w:fldChar w:fldCharType="separate"/>
      </w:r>
      <w:r w:rsidRPr="002C21B8">
        <w:rPr>
          <w:noProof/>
        </w:rPr>
        <w:t>(Cooke, Smith and Booth, 2012)</w:t>
      </w:r>
      <w:r w:rsidRPr="002C21B8">
        <w:fldChar w:fldCharType="end"/>
      </w:r>
      <w:r w:rsidRPr="002C21B8">
        <w:t xml:space="preserve">. The following databases were searched in line with </w:t>
      </w:r>
      <w:r w:rsidRPr="002C21B8">
        <w:fldChar w:fldCharType="begin"/>
      </w:r>
      <w:r w:rsidRPr="002C21B8">
        <w:instrText xml:space="preserve"> ADDIN EN.CITE &lt;EndNote&gt;&lt;Cite AuthorYear="1"&gt;&lt;Author&gt;Bramer&lt;/Author&gt;&lt;Year&gt;2017&lt;/Year&gt;&lt;RecNum&gt;4953&lt;/RecNum&gt;&lt;DisplayText&gt;Bramer&lt;style face="italic"&gt; et al.&lt;/style&gt; (2017)&lt;/DisplayText&gt;&lt;record&gt;&lt;rec-number&gt;4953&lt;/rec-number&gt;&lt;foreign-keys&gt;&lt;key app="EN" db-id="xpefzwa5hf9dt2ea9fax95x7xvxz90v09dtf" timestamp="1699634290"&gt;4953&lt;/key&gt;&lt;/foreign-keys&gt;&lt;ref-type name="Journal Article"&gt;17&lt;/ref-type&gt;&lt;contributors&gt;&lt;authors&gt;&lt;author&gt;Bramer, Wichor M.&lt;/author&gt;&lt;author&gt;Rethlefsen, Melissa L.&lt;/author&gt;&lt;author&gt;Kleijnen, Jos&lt;/author&gt;&lt;author&gt;Franco, Oscar H.&lt;/author&gt;&lt;/authors&gt;&lt;/contributors&gt;&lt;titles&gt;&lt;title&gt;Optimal database combinations for literature searches in systematic reviews: a prospective exploratory study&lt;/title&gt;&lt;secondary-title&gt;Systematic Reviews&lt;/secondary-title&gt;&lt;/titles&gt;&lt;periodical&gt;&lt;full-title&gt;Systematic Reviews&lt;/full-title&gt;&lt;/periodical&gt;&lt;pages&gt;245&lt;/pages&gt;&lt;volume&gt;6&lt;/volume&gt;&lt;number&gt;1&lt;/number&gt;&lt;dates&gt;&lt;year&gt;2017&lt;/year&gt;&lt;pub-dates&gt;&lt;date&gt;2017/12/06&lt;/date&gt;&lt;/pub-dates&gt;&lt;/dates&gt;&lt;isbn&gt;2046-4053&lt;/isbn&gt;&lt;urls&gt;&lt;related-urls&gt;&lt;url&gt;https://doi.org/10.1186/s13643-017-0644-y&lt;/url&gt;&lt;/related-urls&gt;&lt;/urls&gt;&lt;electronic-resource-num&gt;10.1186/s13643-017-0644-y&lt;/electronic-resource-num&gt;&lt;/record&gt;&lt;/Cite&gt;&lt;/EndNote&gt;</w:instrText>
      </w:r>
      <w:r w:rsidRPr="002C21B8">
        <w:fldChar w:fldCharType="separate"/>
      </w:r>
      <w:r w:rsidRPr="002C21B8">
        <w:t>Bramer</w:t>
      </w:r>
      <w:r w:rsidRPr="002C21B8">
        <w:rPr>
          <w:i/>
        </w:rPr>
        <w:t xml:space="preserve"> et al.</w:t>
      </w:r>
      <w:r w:rsidRPr="002C21B8">
        <w:t xml:space="preserve"> (2017)</w:t>
      </w:r>
      <w:r w:rsidRPr="002C21B8">
        <w:fldChar w:fldCharType="end"/>
      </w:r>
      <w:r w:rsidRPr="002C21B8">
        <w:t>: MEDLINE</w:t>
      </w:r>
      <w:r w:rsidR="00800B40" w:rsidRPr="002C21B8">
        <w:t xml:space="preserve"> (Ovid)</w:t>
      </w:r>
      <w:r w:rsidRPr="002C21B8">
        <w:t xml:space="preserve"> (including electronic publications ahead of print), EMBASE, Web of Science (Core Collection), Cochrane Library and Google Scholar (the first 200 relevant references)</w:t>
      </w:r>
      <w:r w:rsidR="00006762" w:rsidRPr="002C21B8">
        <w:t>.</w:t>
      </w:r>
      <w:r w:rsidRPr="002C21B8">
        <w:t xml:space="preserve"> </w:t>
      </w:r>
      <w:r w:rsidR="00C474BE" w:rsidRPr="00C474BE">
        <w:t xml:space="preserve">The first 200 results were screened in accordance with the guidance given by </w:t>
      </w:r>
      <w:r w:rsidR="00C474BE">
        <w:fldChar w:fldCharType="begin"/>
      </w:r>
      <w:r w:rsidR="00C474BE">
        <w:instrText xml:space="preserve"> ADDIN EN.CITE &lt;EndNote&gt;&lt;Cite AuthorYear="1"&gt;&lt;Author&gt;Haddaway&lt;/Author&gt;&lt;Year&gt;2015&lt;/Year&gt;&lt;RecNum&gt;125636&lt;/RecNum&gt;&lt;DisplayText&gt;Haddaway&lt;style face="italic"&gt; et al.&lt;/style&gt; (2015)&lt;/DisplayText&gt;&lt;record&gt;&lt;rec-number&gt;125636&lt;/rec-number&gt;&lt;foreign-keys&gt;&lt;key app="EN" db-id="xpefzwa5hf9dt2ea9fax95x7xvxz90v09dtf" timestamp="1786095653"&gt;125636&lt;/key&gt;&lt;/foreign-keys&gt;&lt;ref-type name="Journal Article"&gt;17&lt;/ref-type&gt;&lt;contributors&gt;&lt;authors&gt;&lt;author&gt;Haddaway, Neal Robert&lt;/author&gt;&lt;author&gt;Collins, Alexandra Mary&lt;/author&gt;&lt;author&gt;Coughlin, Deborah&lt;/author&gt;&lt;author&gt;Kirk, Stuart&lt;/author&gt;&lt;/authors&gt;&lt;/contributors&gt;&lt;titles&gt;&lt;title&gt;The role of Google Scholar in evidence reviews and its applicability to grey literature searching&lt;/title&gt;&lt;secondary-title&gt;PloS one&lt;/secondary-title&gt;&lt;/titles&gt;&lt;periodical&gt;&lt;full-title&gt;PLoS ONE&lt;/full-title&gt;&lt;/periodical&gt;&lt;pages&gt;e0138237&lt;/pages&gt;&lt;volume&gt;10&lt;/volume&gt;&lt;number&gt;9&lt;/number&gt;&lt;dates&gt;&lt;year&gt;2015&lt;/year&gt;&lt;/dates&gt;&lt;isbn&gt;1932-6203&lt;/isbn&gt;&lt;urls&gt;&lt;/urls&gt;&lt;/record&gt;&lt;/Cite&gt;&lt;/EndNote&gt;</w:instrText>
      </w:r>
      <w:r w:rsidR="00C474BE">
        <w:fldChar w:fldCharType="separate"/>
      </w:r>
      <w:r w:rsidR="00C474BE">
        <w:rPr>
          <w:noProof/>
        </w:rPr>
        <w:t>Haddaway</w:t>
      </w:r>
      <w:r w:rsidR="00C474BE" w:rsidRPr="00C474BE">
        <w:rPr>
          <w:i/>
          <w:noProof/>
        </w:rPr>
        <w:t xml:space="preserve"> et al.</w:t>
      </w:r>
      <w:r w:rsidR="00C474BE">
        <w:rPr>
          <w:noProof/>
        </w:rPr>
        <w:t xml:space="preserve"> (2015)</w:t>
      </w:r>
      <w:r w:rsidR="00C474BE">
        <w:fldChar w:fldCharType="end"/>
      </w:r>
      <w:r w:rsidR="00C474BE" w:rsidRPr="00C474BE">
        <w:t>.</w:t>
      </w:r>
      <w:r w:rsidR="00C474BE">
        <w:t xml:space="preserve"> </w:t>
      </w:r>
      <w:r w:rsidRPr="002C21B8">
        <w:t xml:space="preserve">Reference checking and citation searching were implemented manually to complement the initial search strategy </w:t>
      </w:r>
      <w:r w:rsidRPr="002C21B8">
        <w:fldChar w:fldCharType="begin">
          <w:fldData xml:space="preserve">PEVuZE5vdGU+PENpdGU+PEF1dGhvcj5Hb29zc2VuPC9BdXRob3I+PFllYXI+MjAyMDwvWWVhcj48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</w:fldData>
        </w:fldChar>
      </w:r>
      <w:r w:rsidR="00763983" w:rsidRPr="002C21B8">
        <w:instrText xml:space="preserve"> ADDIN EN.CITE </w:instrText>
      </w:r>
      <w:r w:rsidR="00763983" w:rsidRPr="002C21B8">
        <w:fldChar w:fldCharType="begin">
          <w:fldData xml:space="preserve">PEVuZE5vdGU+PENpdGU+PEF1dGhvcj5Hb29zc2VuPC9BdXRob3I+PFllYXI+MjAyMDwvWWVhcj48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</w:fldData>
        </w:fldChar>
      </w:r>
      <w:r w:rsidR="00763983" w:rsidRPr="002C21B8">
        <w:instrText xml:space="preserve"> ADDIN EN.CITE.DATA </w:instrText>
      </w:r>
      <w:r w:rsidR="00763983" w:rsidRPr="002C21B8">
        <w:fldChar w:fldCharType="end"/>
      </w:r>
      <w:r w:rsidRPr="002C21B8">
        <w:fldChar w:fldCharType="separate"/>
      </w:r>
      <w:r w:rsidRPr="002C21B8">
        <w:rPr>
          <w:noProof/>
        </w:rPr>
        <w:t>(Goossen</w:t>
      </w:r>
      <w:r w:rsidRPr="002C21B8">
        <w:rPr>
          <w:i/>
          <w:noProof/>
        </w:rPr>
        <w:t xml:space="preserve"> et al.</w:t>
      </w:r>
      <w:r w:rsidRPr="002C21B8">
        <w:rPr>
          <w:noProof/>
        </w:rPr>
        <w:t>, 2020)</w:t>
      </w:r>
      <w:r w:rsidRPr="002C21B8">
        <w:fldChar w:fldCharType="end"/>
      </w:r>
      <w:r w:rsidRPr="002C21B8">
        <w:t>. Preliminary searches using the terms “chronic condition*” or “</w:t>
      </w:r>
      <w:r w:rsidR="00C474BE">
        <w:t xml:space="preserve">chronic </w:t>
      </w:r>
      <w:r w:rsidRPr="002C21B8">
        <w:t xml:space="preserve">disease*” produced an overwhelming number of irrelevant results. To refine the search, a list of chronic </w:t>
      </w:r>
      <w:r w:rsidR="00717D3C" w:rsidRPr="002C21B8">
        <w:t>conditions</w:t>
      </w:r>
      <w:r w:rsidRPr="002C21B8">
        <w:t xml:space="preserve"> generated by eighty-three stakeholders from an existing systematic review on self-management support for people with chronic conditions was incorporated into the search strategy, see </w:t>
      </w:r>
      <w:hyperlink w:anchor="_List_of_chronic_1" w:history="1">
        <w:r w:rsidRPr="002C21B8">
          <w:rPr>
            <w:rStyle w:val="Hyperlink"/>
          </w:rPr>
          <w:t xml:space="preserve">Appendix </w:t>
        </w:r>
        <w:r w:rsidR="00AE796C" w:rsidRPr="002C21B8">
          <w:rPr>
            <w:rStyle w:val="Hyperlink"/>
          </w:rPr>
          <w:t>4</w:t>
        </w:r>
      </w:hyperlink>
      <w:r w:rsidRPr="002C21B8">
        <w:t xml:space="preserve"> </w:t>
      </w:r>
      <w:r w:rsidRPr="002C21B8">
        <w:fldChar w:fldCharType="begin"/>
      </w:r>
      <w:r w:rsidR="00502953" w:rsidRPr="002C21B8">
        <w:instrText xml:space="preserve"> ADDIN EN.CITE &lt;EndNote&gt;&lt;Cite&gt;&lt;Author&gt;Taylor&lt;/Author&gt;&lt;Year&gt;2014&lt;/Year&gt;&lt;RecNum&gt;4965&lt;/RecNum&gt;&lt;DisplayText&gt;(Taylor&lt;style face="italic"&gt; et al.&lt;/style&gt;, 2014)&lt;/DisplayText&gt;&lt;record&gt;&lt;rec-number&gt;4965&lt;/rec-number&gt;&lt;foreign-keys&gt;&lt;key app="EN" db-id="xpefzwa5hf9dt2ea9fax95x7xvxz90v09dtf" timestamp="1699640856"&gt;4965&lt;/key&gt;&lt;/foreign-keys&gt;&lt;ref-type name="Book"&gt;6&lt;/ref-type&gt;&lt;contributors&gt;&lt;authors&gt;&lt;author&gt;Taylor, S.&lt;/author&gt;&lt;author&gt;Pinnock, H.&lt;/author&gt;&lt;author&gt;Epiphaniou, E.&lt;/author&gt;&lt;author&gt;Pearce, G.&lt;/author&gt;&lt;author&gt;Parke, H. L.&lt;/author&gt;&lt;author&gt;Schwappach, A.&lt;/author&gt;&lt;author&gt;Purushotham, N.&lt;/author&gt;&lt;author&gt;Jacob, S.&lt;/author&gt;&lt;author&gt;Griffiths, C. J.&lt;/author&gt;&lt;author&gt;Greenhalgh, T.&lt;/author&gt;&lt;author&gt;Sheikh, A.&lt;/author&gt;&lt;/authors&gt;&lt;/contributors&gt;&lt;auth-address&gt;Centre for Primary Care and Public Health, Blizard Institute, Queen Mary University of London, London, UK&amp;#xD;Centre for Population Health Science, University of Edinburgh, Edinburgh, UK&lt;/auth-address&gt;&lt;titles&gt;&lt;title&gt;A rapid synthesis of the evidence on interventions supporting self-management for people with long-term conditions: PRISMS – Practical systematic Review of Self-Management Support for long-term conditions&lt;/title&gt;&lt;/titles&gt;&lt;dates&gt;&lt;year&gt;2014&lt;/year&gt;&lt;/dates&gt;&lt;pub-location&gt;Southampton, UK&lt;/pub-location&gt;&lt;publisher&gt;NIHR Journals Library&lt;/publisher&gt;&lt;accession-num&gt;25642548&lt;/accession-num&gt;&lt;urls&gt;&lt;/urls&gt;&lt;electronic-resource-num&gt;10.3310/hsdr02530&lt;/electronic-resource-num&gt;&lt;language&gt;eng&lt;/language&gt;&lt;/record&gt;&lt;/Cite&gt;&lt;/EndNote&gt;</w:instrText>
      </w:r>
      <w:r w:rsidRPr="002C21B8">
        <w:fldChar w:fldCharType="separate"/>
      </w:r>
      <w:r w:rsidRPr="002C21B8">
        <w:rPr>
          <w:noProof/>
        </w:rPr>
        <w:t>(Taylor</w:t>
      </w:r>
      <w:r w:rsidRPr="002C21B8">
        <w:rPr>
          <w:i/>
          <w:noProof/>
        </w:rPr>
        <w:t xml:space="preserve"> et al.</w:t>
      </w:r>
      <w:r w:rsidRPr="002C21B8">
        <w:rPr>
          <w:noProof/>
        </w:rPr>
        <w:t>, 2014)</w:t>
      </w:r>
      <w:r w:rsidRPr="002C21B8">
        <w:fldChar w:fldCharType="end"/>
      </w:r>
      <w:r w:rsidRPr="002C21B8">
        <w:t>. Protocols and conference abstracts were not included at the full-text stage</w:t>
      </w:r>
      <w:r w:rsidR="001A5E46" w:rsidRPr="002C21B8">
        <w:t>,</w:t>
      </w:r>
      <w:r w:rsidRPr="002C21B8">
        <w:t xml:space="preserve"> but a manual search was undertaken to identify any subsequent published reviews. Forwards and backwards citation searching for other reviews was conducted on the included reviews. Searches were conducted from 01/01/2013 to 07/11/2023 to ensure that the findings were relevant to current clinical practices and policies. There was no time limit for primary studies in the included reviews. There were no language restrictions. The full search strategy is in </w:t>
      </w:r>
      <w:hyperlink w:anchor="_Search_strategies" w:history="1">
        <w:r w:rsidR="00344F3B" w:rsidRPr="002C21B8">
          <w:rPr>
            <w:rStyle w:val="Hyperlink"/>
          </w:rPr>
          <w:t>Appendix 4</w:t>
        </w:r>
      </w:hyperlink>
      <w:r w:rsidRPr="002C21B8">
        <w:t>.</w:t>
      </w:r>
    </w:p>
    <w:p w14:paraId="487E9FAA" w14:textId="77777777" w:rsidR="002F0740" w:rsidRPr="002C21B8" w:rsidRDefault="002F0740" w:rsidP="002F0740">
      <w:pPr>
        <w:spacing w:before="240" w:after="0"/>
        <w:rPr>
          <w:b/>
          <w:bCs/>
          <w:sz w:val="24"/>
          <w:szCs w:val="24"/>
        </w:rPr>
      </w:pPr>
      <w:bookmarkStart w:id="117" w:name="_Toc159229848"/>
      <w:r w:rsidRPr="002C21B8">
        <w:rPr>
          <w:b/>
          <w:bCs/>
          <w:sz w:val="24"/>
          <w:szCs w:val="24"/>
        </w:rPr>
        <w:t>Selection of systematic reviews</w:t>
      </w:r>
    </w:p>
    <w:bookmarkEnd w:id="117"/>
    <w:p w14:paraId="3CC01938" w14:textId="33D97021" w:rsidR="002F0740" w:rsidRPr="002C21B8" w:rsidRDefault="002F0740" w:rsidP="002F0740">
      <w:r w:rsidRPr="002C21B8">
        <w:t>The search results were imported into HubMeta; duplicates were eliminated through the automated deduplication tool and confirmed manually by one reviewer (MG). Titles and abstracts were independently reviewed by any two of three reviewers (MG, AO and KM) to evaluate eligibility against the pre-specified criteria. An initial calibration exercise was undertaken between reviewers using a random sample comprising 1% of the search results. Full</w:t>
      </w:r>
      <w:r w:rsidR="000C2F53" w:rsidRPr="002C21B8">
        <w:t>-</w:t>
      </w:r>
      <w:r w:rsidRPr="002C21B8">
        <w:t>texts of all reviews identified as potentially relevant by both reviewers were retrieved and independently assessed for eligibility by each of the two main reviewers (MG and KM). Any discrepancies were resolved through discussion. If discrepancies persisted, consultation with another member of the research team was sought (JF).</w:t>
      </w:r>
    </w:p>
    <w:p w14:paraId="309458BB" w14:textId="08A7F9B6" w:rsidR="002F0740" w:rsidRPr="002C21B8" w:rsidRDefault="002F0740" w:rsidP="002F0740">
      <w:pPr>
        <w:spacing w:before="240" w:after="0"/>
        <w:rPr>
          <w:b/>
          <w:bCs/>
          <w:sz w:val="24"/>
          <w:szCs w:val="24"/>
        </w:rPr>
      </w:pPr>
      <w:bookmarkStart w:id="118" w:name="_Toc170713622"/>
      <w:bookmarkStart w:id="119" w:name="_Toc159229849"/>
      <w:bookmarkStart w:id="120" w:name="_Toc170713619"/>
      <w:r w:rsidRPr="002C21B8">
        <w:rPr>
          <w:b/>
          <w:bCs/>
          <w:sz w:val="24"/>
          <w:szCs w:val="24"/>
        </w:rPr>
        <w:t xml:space="preserve">Data </w:t>
      </w:r>
      <w:r w:rsidR="00E93D1B" w:rsidRPr="002C21B8">
        <w:rPr>
          <w:b/>
          <w:bCs/>
          <w:sz w:val="24"/>
          <w:szCs w:val="24"/>
        </w:rPr>
        <w:t>e</w:t>
      </w:r>
      <w:r w:rsidRPr="002C21B8">
        <w:rPr>
          <w:b/>
          <w:bCs/>
          <w:sz w:val="24"/>
          <w:szCs w:val="24"/>
        </w:rPr>
        <w:t xml:space="preserve">xtraction and </w:t>
      </w:r>
      <w:bookmarkEnd w:id="118"/>
      <w:r w:rsidR="00E93D1B" w:rsidRPr="002C21B8">
        <w:rPr>
          <w:b/>
          <w:bCs/>
          <w:sz w:val="24"/>
          <w:szCs w:val="24"/>
        </w:rPr>
        <w:t>a</w:t>
      </w:r>
      <w:r w:rsidRPr="002C21B8">
        <w:rPr>
          <w:b/>
          <w:bCs/>
          <w:sz w:val="24"/>
          <w:szCs w:val="24"/>
        </w:rPr>
        <w:t xml:space="preserve">ssessment of </w:t>
      </w:r>
      <w:r w:rsidR="00E93D1B" w:rsidRPr="002C21B8">
        <w:rPr>
          <w:b/>
          <w:bCs/>
          <w:sz w:val="24"/>
          <w:szCs w:val="24"/>
        </w:rPr>
        <w:t>m</w:t>
      </w:r>
      <w:r w:rsidRPr="002C21B8">
        <w:rPr>
          <w:b/>
          <w:bCs/>
          <w:sz w:val="24"/>
          <w:szCs w:val="24"/>
        </w:rPr>
        <w:t xml:space="preserve">ethodological </w:t>
      </w:r>
      <w:r w:rsidR="00E93D1B" w:rsidRPr="002C21B8">
        <w:rPr>
          <w:b/>
          <w:bCs/>
          <w:sz w:val="24"/>
          <w:szCs w:val="24"/>
        </w:rPr>
        <w:t>l</w:t>
      </w:r>
      <w:r w:rsidRPr="002C21B8">
        <w:rPr>
          <w:b/>
          <w:bCs/>
          <w:sz w:val="24"/>
          <w:szCs w:val="24"/>
        </w:rPr>
        <w:t>imitations</w:t>
      </w:r>
    </w:p>
    <w:p w14:paraId="461CBA2D" w14:textId="11E4D74A" w:rsidR="002F0740" w:rsidRPr="002C21B8" w:rsidRDefault="00227DA8" w:rsidP="002F0740">
      <w:r w:rsidRPr="002C21B8">
        <w:t xml:space="preserve">Data </w:t>
      </w:r>
      <w:r w:rsidR="002F0740" w:rsidRPr="002C21B8">
        <w:t>extracted from each systematic review</w:t>
      </w:r>
      <w:r w:rsidR="00006762" w:rsidRPr="002C21B8">
        <w:t xml:space="preserve"> included</w:t>
      </w:r>
      <w:r w:rsidR="002F0740" w:rsidRPr="002C21B8">
        <w:t xml:space="preserve"> study setting, data collection methods, methodology and study design. For the systematic reviews with qualitative findings, factors from the </w:t>
      </w:r>
      <w:r w:rsidR="002F0740"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2F0740" w:rsidRPr="002C21B8">
        <w:fldChar w:fldCharType="separate"/>
      </w:r>
      <w:r w:rsidR="002F0740" w:rsidRPr="002C21B8">
        <w:rPr>
          <w:noProof/>
        </w:rPr>
        <w:t>Murshid and Mohaidin (2017)</w:t>
      </w:r>
      <w:r w:rsidR="002F0740" w:rsidRPr="002C21B8">
        <w:fldChar w:fldCharType="end"/>
      </w:r>
      <w:r w:rsidR="002F0740" w:rsidRPr="002C21B8">
        <w:t xml:space="preserve"> conceptual model were listed on the data extraction form to ensure systematic extraction of qualitative findings. If new factors were identified</w:t>
      </w:r>
      <w:r w:rsidR="001A5E46" w:rsidRPr="002C21B8">
        <w:t>,</w:t>
      </w:r>
      <w:r w:rsidR="002F0740" w:rsidRPr="002C21B8">
        <w:t xml:space="preserve"> they were added to the list of factors. Factors identified in the systematic reviews with quantitative findings were then extracted. One reviewer (M</w:t>
      </w:r>
      <w:r w:rsidR="00F552D5" w:rsidRPr="002C21B8">
        <w:t>G</w:t>
      </w:r>
      <w:r w:rsidR="002F0740" w:rsidRPr="002C21B8">
        <w:t xml:space="preserve">) extracted relevant data, which was subsequently verified by a second reviewer (KM) for accuracy. </w:t>
      </w:r>
    </w:p>
    <w:p w14:paraId="571F2BAF" w14:textId="3C900B67" w:rsidR="002F0740" w:rsidRPr="002C21B8" w:rsidRDefault="002F0740" w:rsidP="002F0740">
      <w:pPr>
        <w:spacing w:before="240" w:after="0"/>
        <w:rPr>
          <w:b/>
          <w:bCs/>
          <w:sz w:val="24"/>
          <w:szCs w:val="24"/>
        </w:rPr>
      </w:pPr>
      <w:r w:rsidRPr="002C21B8">
        <w:rPr>
          <w:b/>
          <w:bCs/>
          <w:sz w:val="24"/>
          <w:szCs w:val="24"/>
        </w:rPr>
        <w:t xml:space="preserve">Quality </w:t>
      </w:r>
      <w:r w:rsidR="00E93D1B" w:rsidRPr="002C21B8">
        <w:rPr>
          <w:b/>
          <w:bCs/>
          <w:sz w:val="24"/>
          <w:szCs w:val="24"/>
        </w:rPr>
        <w:t>a</w:t>
      </w:r>
      <w:r w:rsidRPr="002C21B8">
        <w:rPr>
          <w:b/>
          <w:bCs/>
          <w:sz w:val="24"/>
          <w:szCs w:val="24"/>
        </w:rPr>
        <w:t>ssessment</w:t>
      </w:r>
      <w:bookmarkEnd w:id="119"/>
      <w:bookmarkEnd w:id="120"/>
    </w:p>
    <w:p w14:paraId="16D1FC13" w14:textId="07D9ABA2" w:rsidR="004E6847" w:rsidRPr="002C21B8" w:rsidRDefault="002F0740" w:rsidP="005D731A">
      <w:bookmarkStart w:id="121" w:name="_heading=h.1mrcu09" w:colFirst="0" w:colLast="0"/>
      <w:bookmarkEnd w:id="121"/>
      <w:r w:rsidRPr="002C21B8">
        <w:t xml:space="preserve">To assess the quality of the included systematic reviews, the AMSTAR 2 (A Measurement Tool to Assess Systematic Reviews 2) tool was employed. This tool evaluates the methodological quality of systematic reviews based on 16 domains </w:t>
      </w:r>
      <w:r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Pr="002C21B8">
        <w:instrText xml:space="preserve"> ADDIN EN.CITE </w:instrText>
      </w:r>
      <w:r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Pr="002C21B8">
        <w:instrText xml:space="preserve"> ADDIN EN.CITE.DATA </w:instrText>
      </w:r>
      <w:r w:rsidRPr="002C21B8">
        <w:fldChar w:fldCharType="end"/>
      </w:r>
      <w:r w:rsidRPr="002C21B8">
        <w:fldChar w:fldCharType="separate"/>
      </w:r>
      <w:r w:rsidRPr="002C21B8">
        <w:t>(Shea</w:t>
      </w:r>
      <w:r w:rsidRPr="002C21B8">
        <w:rPr>
          <w:i/>
        </w:rPr>
        <w:t xml:space="preserve"> et al.</w:t>
      </w:r>
      <w:r w:rsidRPr="002C21B8">
        <w:t>, 2017)</w:t>
      </w:r>
      <w:r w:rsidRPr="002C21B8">
        <w:fldChar w:fldCharType="end"/>
      </w:r>
      <w:r w:rsidRPr="002C21B8">
        <w:t>. Systematic reviews were scored independently by two reviewers (M</w:t>
      </w:r>
      <w:r w:rsidR="00F552D5" w:rsidRPr="002C21B8">
        <w:t>G</w:t>
      </w:r>
      <w:r w:rsidRPr="002C21B8">
        <w:t xml:space="preserve"> and </w:t>
      </w:r>
      <w:r w:rsidR="00F552D5" w:rsidRPr="002C21B8">
        <w:t>KM)</w:t>
      </w:r>
      <w:r w:rsidR="001A5E46" w:rsidRPr="002C21B8">
        <w:t>,</w:t>
      </w:r>
      <w:r w:rsidRPr="002C21B8">
        <w:t xml:space="preserve"> with any discrepancies addressed through discussion. If discrepancies persisted</w:t>
      </w:r>
      <w:r w:rsidR="001A5E46" w:rsidRPr="002C21B8">
        <w:t>,</w:t>
      </w:r>
      <w:r w:rsidRPr="002C21B8">
        <w:t xml:space="preserve"> consultation with another member of the research team (JF) was sought. Although AMSTAR 2 is not intended to generate an overall score, systematic reviews with significant weaknesses across critical domains may raise concerns regarding confidence in their findings </w:t>
      </w:r>
      <w:r w:rsidRPr="002C21B8">
        <w:fldChar w:fldCharType="begin"/>
      </w:r>
      <w:r w:rsidRPr="002C21B8">
        <w:instrText xml:space="preserve"> ADDIN EN.CITE &lt;EndNote&gt;&lt;Cite&gt;&lt;Author&gt;Pieper&lt;/Author&gt;&lt;Year&gt;2018&lt;/Year&gt;&lt;RecNum&gt;17399&lt;/RecNum&gt;&lt;DisplayText&gt;(Pieper&lt;style face="italic"&gt; et al.&lt;/style&gt;, 2018)&lt;/DisplayText&gt;&lt;record&gt;&lt;rec-number&gt;17399&lt;/rec-number&gt;&lt;foreign-keys&gt;&lt;key app="EN" db-id="xpefzwa5hf9dt2ea9fax95x7xvxz90v09dtf" timestamp="1719703883"&gt;17399&lt;/key&gt;&lt;/foreign-keys&gt;&lt;ref-type name="Journal Article"&gt;17&lt;/ref-type&gt;&lt;contributors&gt;&lt;authors&gt;&lt;author&gt;Pieper, Dawid&lt;/author&gt;&lt;author&gt;Koensgen, Nadja&lt;/author&gt;&lt;author&gt;Breuing, Jessica&lt;/author&gt;&lt;author&gt;Ge, Long&lt;/author&gt;&lt;author&gt;Wegewitz, Uta&lt;/author&gt;&lt;/authors&gt;&lt;/contributors&gt;&lt;titles&gt;&lt;title&gt;How is AMSTAR applied by authors – a call for better reporting&lt;/title&gt;&lt;secondary-title&gt;BMC Medical Research Methodology&lt;/secondary-title&gt;&lt;/titles&gt;&lt;periodical&gt;&lt;full-title&gt;BMC medical research methodology&lt;/full-title&gt;&lt;/periodical&gt;&lt;pages&gt;56&lt;/pages&gt;&lt;volume&gt;18&lt;/volume&gt;&lt;number&gt;1&lt;/number&gt;&lt;dates&gt;&lt;year&gt;2018&lt;/year&gt;&lt;pub-dates&gt;&lt;date&gt;2018/06/18&lt;/date&gt;&lt;/pub-dates&gt;&lt;/dates&gt;&lt;isbn&gt;1471-2288&lt;/isbn&gt;&lt;urls&gt;&lt;related-urls&gt;&lt;url&gt;https://doi.org/10.1186/s12874-018-0520-z&lt;/url&gt;&lt;/related-urls&gt;&lt;/urls&gt;&lt;electronic-resource-num&gt;10.1186/s12874-018-0520-z&lt;/electronic-resource-num&gt;&lt;/record&gt;&lt;/Cite&gt;&lt;/EndNote&gt;</w:instrText>
      </w:r>
      <w:r w:rsidRPr="002C21B8">
        <w:fldChar w:fldCharType="separate"/>
      </w:r>
      <w:r w:rsidRPr="002C21B8">
        <w:t>(Pieper</w:t>
      </w:r>
      <w:r w:rsidRPr="002C21B8">
        <w:rPr>
          <w:i/>
        </w:rPr>
        <w:t xml:space="preserve"> et al.</w:t>
      </w:r>
      <w:r w:rsidRPr="002C21B8">
        <w:t>, 2018)</w:t>
      </w:r>
      <w:r w:rsidRPr="002C21B8">
        <w:fldChar w:fldCharType="end"/>
      </w:r>
      <w:r w:rsidRPr="002C21B8">
        <w:t xml:space="preserve">. </w:t>
      </w:r>
      <w:r w:rsidR="00B046B3" w:rsidRPr="002C21B8">
        <w:t>Therefore, s</w:t>
      </w:r>
      <w:r w:rsidRPr="002C21B8">
        <w:t>tudies that lacked methodological rigour</w:t>
      </w:r>
      <w:r w:rsidR="00792F7A" w:rsidRPr="002C21B8">
        <w:t>,</w:t>
      </w:r>
      <w:r w:rsidRPr="002C21B8">
        <w:t xml:space="preserve"> </w:t>
      </w:r>
      <w:r w:rsidR="00104FBA" w:rsidRPr="002C21B8">
        <w:t>i</w:t>
      </w:r>
      <w:r w:rsidRPr="002C21B8">
        <w:t>f they scored more than 5 critical domain weaknesses</w:t>
      </w:r>
      <w:r w:rsidR="00792F7A" w:rsidRPr="002C21B8">
        <w:t xml:space="preserve">, </w:t>
      </w:r>
      <w:r w:rsidRPr="002C21B8">
        <w:t xml:space="preserve">were </w:t>
      </w:r>
      <w:r w:rsidR="00B046B3" w:rsidRPr="002C21B8">
        <w:t xml:space="preserve">reviewed and considered for </w:t>
      </w:r>
      <w:r w:rsidRPr="002C21B8">
        <w:t>exclu</w:t>
      </w:r>
      <w:r w:rsidR="00B046B3" w:rsidRPr="002C21B8">
        <w:t>sion by MG and KM through discussion</w:t>
      </w:r>
      <w:r w:rsidRPr="002C21B8">
        <w:t>.</w:t>
      </w:r>
      <w:bookmarkStart w:id="122" w:name="_Toc170713620"/>
    </w:p>
    <w:p w14:paraId="46C26260" w14:textId="27CDA224" w:rsidR="002F0740" w:rsidRPr="002C21B8" w:rsidRDefault="002F0740" w:rsidP="002F0740">
      <w:pPr>
        <w:spacing w:before="240" w:after="0"/>
        <w:rPr>
          <w:b/>
          <w:bCs/>
          <w:sz w:val="24"/>
          <w:szCs w:val="24"/>
        </w:rPr>
      </w:pPr>
      <w:r w:rsidRPr="002C21B8">
        <w:rPr>
          <w:b/>
          <w:bCs/>
          <w:sz w:val="24"/>
          <w:szCs w:val="24"/>
        </w:rPr>
        <w:t xml:space="preserve">Overlap </w:t>
      </w:r>
      <w:r w:rsidR="00E93D1B" w:rsidRPr="002C21B8">
        <w:rPr>
          <w:b/>
          <w:bCs/>
          <w:sz w:val="24"/>
          <w:szCs w:val="24"/>
        </w:rPr>
        <w:t>a</w:t>
      </w:r>
      <w:r w:rsidRPr="002C21B8">
        <w:rPr>
          <w:b/>
          <w:bCs/>
          <w:sz w:val="24"/>
          <w:szCs w:val="24"/>
        </w:rPr>
        <w:t>nalysis</w:t>
      </w:r>
      <w:bookmarkEnd w:id="122"/>
    </w:p>
    <w:p w14:paraId="2A44D298" w14:textId="458CE11F" w:rsidR="002F0740" w:rsidRPr="002C21B8" w:rsidRDefault="002F0740" w:rsidP="002F0740">
      <w:r w:rsidRPr="002C21B8">
        <w:t>Overlap analysis in overviews of reviews examines the extent to which primary studies appear across multiple systematic reviews. The corrected covered area metric</w:t>
      </w:r>
      <w:r w:rsidR="00D04FFF" w:rsidRPr="002C21B8">
        <w:t xml:space="preserve"> was used, which </w:t>
      </w:r>
      <w:r w:rsidRPr="002C21B8">
        <w:t>rang</w:t>
      </w:r>
      <w:r w:rsidR="00D04FFF" w:rsidRPr="002C21B8">
        <w:t>es</w:t>
      </w:r>
      <w:r w:rsidRPr="002C21B8">
        <w:t xml:space="preserve"> from 0 (no overlap) to 1 (complete overlap)</w:t>
      </w:r>
      <w:r w:rsidR="00D04FFF" w:rsidRPr="002C21B8">
        <w:t xml:space="preserve"> </w:t>
      </w:r>
      <w:r w:rsidRPr="002C21B8">
        <w:fldChar w:fldCharType="begin"/>
      </w:r>
      <w:r w:rsidRPr="002C21B8">
        <w:instrText xml:space="preserve"> ADDIN EN.CITE &lt;EndNote&gt;&lt;Cite&gt;&lt;Author&gt;Lunny&lt;/Author&gt;&lt;Year&gt;2021&lt;/Year&gt;&lt;RecNum&gt;17400&lt;/RecNum&gt;&lt;DisplayText&gt;(Lunny&lt;style face="italic"&gt; et al.&lt;/style&gt;, 2021)&lt;/DisplayText&gt;&lt;record&gt;&lt;rec-number&gt;17400&lt;/rec-number&gt;&lt;foreign-keys&gt;&lt;key app="EN" db-id="xpefzwa5hf9dt2ea9fax95x7xvxz90v09dtf" timestamp="1719704321"&gt;17400&lt;/key&gt;&lt;/foreign-keys&gt;&lt;ref-type name="Journal Article"&gt;17&lt;/ref-type&gt;&lt;contributors&gt;&lt;authors&gt;&lt;author&gt;Lunny, Carole&lt;/author&gt;&lt;author&gt;Pieper, Dawid&lt;/author&gt;&lt;author&gt;Thabet, Pierre&lt;/author&gt;&lt;author&gt;Kanji, Salmaan&lt;/author&gt;&lt;/authors&gt;&lt;/contributors&gt;&lt;titles&gt;&lt;title&gt;Managing overlap of primary study results across systematic reviews: practical considerations for authors of overviews of reviews&lt;/title&gt;&lt;secondary-title&gt;BMC Medical Research Methodology&lt;/secondary-title&gt;&lt;/titles&gt;&lt;periodical&gt;&lt;full-title&gt;BMC medical research methodology&lt;/full-title&gt;&lt;/periodical&gt;&lt;pages&gt;140&lt;/pages&gt;&lt;volume&gt;21&lt;/volume&gt;&lt;number&gt;1&lt;/number&gt;&lt;dates&gt;&lt;year&gt;2021&lt;/year&gt;&lt;pub-dates&gt;&lt;date&gt;2021/07/07&lt;/date&gt;&lt;/pub-dates&gt;&lt;/dates&gt;&lt;isbn&gt;1471-2288&lt;/isbn&gt;&lt;urls&gt;&lt;related-urls&gt;&lt;url&gt;https://doi.org/10.1186/s12874-021-01269-y&lt;/url&gt;&lt;/related-urls&gt;&lt;/urls&gt;&lt;electronic-resource-num&gt;10.1186/s12874-021-01269-y&lt;/electronic-resource-num&gt;&lt;/record&gt;&lt;/Cite&gt;&lt;/EndNote&gt;</w:instrText>
      </w:r>
      <w:r w:rsidRPr="002C21B8">
        <w:fldChar w:fldCharType="separate"/>
      </w:r>
      <w:r w:rsidRPr="002C21B8">
        <w:t>(Lunny</w:t>
      </w:r>
      <w:r w:rsidRPr="002C21B8">
        <w:rPr>
          <w:i/>
        </w:rPr>
        <w:t xml:space="preserve"> et al.</w:t>
      </w:r>
      <w:r w:rsidRPr="002C21B8">
        <w:t>, 2021)</w:t>
      </w:r>
      <w:r w:rsidRPr="002C21B8">
        <w:fldChar w:fldCharType="end"/>
      </w:r>
      <w:r w:rsidRPr="002C21B8">
        <w:t>.</w:t>
      </w:r>
    </w:p>
    <w:p w14:paraId="2D4FE344" w14:textId="77777777" w:rsidR="002F0740" w:rsidRPr="002C21B8" w:rsidRDefault="002F0740" w:rsidP="002F0740">
      <w:pPr>
        <w:spacing w:before="240" w:after="0"/>
        <w:rPr>
          <w:b/>
          <w:bCs/>
          <w:sz w:val="24"/>
          <w:szCs w:val="24"/>
        </w:rPr>
      </w:pPr>
      <w:r w:rsidRPr="002C21B8">
        <w:rPr>
          <w:b/>
          <w:bCs/>
          <w:sz w:val="24"/>
          <w:szCs w:val="24"/>
        </w:rPr>
        <w:t>Synthesis</w:t>
      </w:r>
    </w:p>
    <w:p w14:paraId="6CCE7D92" w14:textId="450AE212" w:rsidR="002F0740" w:rsidRPr="002C21B8" w:rsidRDefault="002F0740" w:rsidP="002F0740">
      <w:r w:rsidRPr="002C21B8">
        <w:t>Synthesis was undertaken by one reviewer (M</w:t>
      </w:r>
      <w:r w:rsidR="00D04FFF" w:rsidRPr="002C21B8">
        <w:t>G</w:t>
      </w:r>
      <w:r w:rsidRPr="002C21B8">
        <w:t>) in discussion with co-authors (JF and AOC).</w:t>
      </w:r>
    </w:p>
    <w:p w14:paraId="48B42A06" w14:textId="24862460" w:rsidR="002F0740" w:rsidRPr="002C21B8" w:rsidRDefault="002F0740" w:rsidP="002F0740">
      <w:r w:rsidRPr="002C21B8">
        <w:t>Qualitative research in this context explores perceptions of stakeholders concerning influences on their prescribing</w:t>
      </w:r>
      <w:r w:rsidR="008A6E47" w:rsidRPr="002C21B8">
        <w:t xml:space="preserve"> decisions</w:t>
      </w:r>
      <w:r w:rsidRPr="002C21B8">
        <w:t xml:space="preserve">. Factors perceived </w:t>
      </w:r>
      <w:r w:rsidR="008A6E47" w:rsidRPr="002C21B8">
        <w:t xml:space="preserve">to </w:t>
      </w:r>
      <w:r w:rsidRPr="002C21B8">
        <w:t>influenc</w:t>
      </w:r>
      <w:r w:rsidR="008A6E47" w:rsidRPr="002C21B8">
        <w:t>e</w:t>
      </w:r>
      <w:r w:rsidRPr="002C21B8">
        <w:t xml:space="preserve"> the</w:t>
      </w:r>
      <w:r w:rsidR="008A6E47" w:rsidRPr="002C21B8">
        <w:t>ir</w:t>
      </w:r>
      <w:r w:rsidRPr="002C21B8">
        <w:t xml:space="preserve"> </w:t>
      </w:r>
      <w:r w:rsidR="008A6E47" w:rsidRPr="002C21B8">
        <w:t>decision-making</w:t>
      </w:r>
      <w:r w:rsidRPr="002C21B8">
        <w:t xml:space="preserve"> identified in the qualitative </w:t>
      </w:r>
      <w:r w:rsidR="008A6E47" w:rsidRPr="002C21B8">
        <w:t>findings of</w:t>
      </w:r>
      <w:r w:rsidRPr="002C21B8">
        <w:t xml:space="preserve"> the systematic reviews were synthesised narratively. Themes were identified using the </w:t>
      </w:r>
      <w:r w:rsidR="00E82840" w:rsidRPr="002C21B8">
        <w:t>F</w:t>
      </w:r>
      <w:r w:rsidRPr="002C21B8">
        <w:t xml:space="preserve">ramework </w:t>
      </w:r>
      <w:r w:rsidR="00E82840" w:rsidRPr="002C21B8">
        <w:t>M</w:t>
      </w:r>
      <w:r w:rsidR="00770CDA" w:rsidRPr="002C21B8">
        <w:t>ethod</w:t>
      </w:r>
      <w:r w:rsidRPr="002C21B8">
        <w:t xml:space="preserve"> by reading the systematic reviews, identifying a thematic framework, and coding each review to that framework </w:t>
      </w:r>
      <w:r w:rsidRPr="002C21B8">
        <w:fldChar w:fldCharType="begin"/>
      </w:r>
      <w:r w:rsidR="00763983" w:rsidRPr="002C21B8">
        <w:instrText xml:space="preserve"> ADDIN EN.CITE &lt;EndNote&gt;&lt;Cite&gt;&lt;Author&gt;Gale&lt;/Author&gt;&lt;Year&gt;2013&lt;/Year&gt;&lt;RecNum&gt;17340&lt;/RecNum&gt;&lt;DisplayText&gt;(Dixon-Woods, 2011; 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Cite&gt;&lt;Author&gt;Dixon-Woods&lt;/Author&gt;&lt;Year&gt;2011&lt;/Year&gt;&lt;RecNum&gt;17563&lt;/RecNum&gt;&lt;record&gt;&lt;rec-number&gt;17563&lt;/rec-number&gt;&lt;foreign-keys&gt;&lt;key app="EN" db-id="xpefzwa5hf9dt2ea9fax95x7xvxz90v09dtf" timestamp="1727163109"&gt;17563&lt;/key&gt;&lt;/foreign-keys&gt;&lt;ref-type name="Journal Article"&gt;17&lt;/ref-type&gt;&lt;contributors&gt;&lt;authors&gt;&lt;author&gt;Dixon-Woods, Mary&lt;/author&gt;&lt;/authors&gt;&lt;/contributors&gt;&lt;titles&gt;&lt;title&gt;Using framework-based synthesis for conducting reviews of qualitative studies&lt;/title&gt;&lt;secondary-title&gt;BMC Medicine&lt;/secondary-title&gt;&lt;/titles&gt;&lt;periodical&gt;&lt;full-title&gt;BMC medicine&lt;/full-title&gt;&lt;/periodical&gt;&lt;pages&gt;1-2&lt;/pages&gt;&lt;volume&gt;9&lt;/volume&gt;&lt;dates&gt;&lt;year&gt;2011&lt;/year&gt;&lt;/dates&gt;&lt;urls&gt;&lt;/urls&gt;&lt;/record&gt;&lt;/Cite&gt;&lt;/EndNote&gt;</w:instrText>
      </w:r>
      <w:r w:rsidRPr="002C21B8">
        <w:fldChar w:fldCharType="separate"/>
      </w:r>
      <w:r w:rsidRPr="002C21B8">
        <w:rPr>
          <w:noProof/>
        </w:rPr>
        <w:t>(Dixon-Woods, 2011; Gale</w:t>
      </w:r>
      <w:r w:rsidRPr="002C21B8">
        <w:rPr>
          <w:i/>
          <w:noProof/>
        </w:rPr>
        <w:t xml:space="preserve"> et al.</w:t>
      </w:r>
      <w:r w:rsidRPr="002C21B8">
        <w:rPr>
          <w:noProof/>
        </w:rPr>
        <w:t>, 2013)</w:t>
      </w:r>
      <w:r w:rsidRPr="002C21B8">
        <w:fldChar w:fldCharType="end"/>
      </w:r>
      <w:r w:rsidRPr="002C21B8">
        <w:t xml:space="preserve">. The conceptual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was used as a thematic framework and added to as coding progressed.</w:t>
      </w:r>
    </w:p>
    <w:p w14:paraId="6631A070" w14:textId="40FBBD9A" w:rsidR="002F0740" w:rsidRPr="002C21B8" w:rsidRDefault="002F0740" w:rsidP="00503527">
      <w:r w:rsidRPr="002C21B8">
        <w:t xml:space="preserve">Quantitative research in this context identifies factors that have been tested by researchers for </w:t>
      </w:r>
      <w:r w:rsidR="008A6E47" w:rsidRPr="002C21B8">
        <w:t xml:space="preserve">their </w:t>
      </w:r>
      <w:r w:rsidRPr="002C21B8">
        <w:t>association with prescribing behaviours. The factors tested are usually limited to those that are available to researchers or easily measured. The study designs used can identify association but not causation. Factors identified in the quantitative research in the systematic reviews were synthesised using a vote</w:t>
      </w:r>
      <w:r w:rsidR="001A5E46" w:rsidRPr="002C21B8">
        <w:t>-</w:t>
      </w:r>
      <w:r w:rsidRPr="002C21B8">
        <w:t xml:space="preserve">counting approach based on direction of effect </w:t>
      </w:r>
      <w:r w:rsidRPr="002C21B8">
        <w:fldChar w:fldCharType="begin"/>
      </w:r>
      <w:r w:rsidR="001445B8" w:rsidRPr="002C21B8">
        <w:instrText xml:space="preserve"> ADDIN EN.CITE &lt;EndNote&gt;&lt;Cite&gt;&lt;Author&gt;McKenzie&lt;/Author&gt;&lt;Year&gt;2019&lt;/Year&gt;&lt;RecNum&gt;17561&lt;/RecNum&gt;&lt;DisplayText&gt;(McKenzie and Brennan, 2019)&lt;/DisplayText&gt;&lt;record&gt;&lt;rec-number&gt;17561&lt;/rec-number&gt;&lt;foreign-keys&gt;&lt;key app="EN" db-id="xpefzwa5hf9dt2ea9fax95x7xvxz90v09dtf" timestamp="1727162958"&gt;17561&lt;/key&gt;&lt;/foreign-keys&gt;&lt;ref-type name="Book Section"&gt;5&lt;/ref-type&gt;&lt;contributors&gt;&lt;authors&gt;&lt;author&gt;McKenzie, Joanne E&lt;/author&gt;&lt;author&gt;Brennan, Sue E&lt;/author&gt;&lt;/authors&gt;&lt;/contributors&gt;&lt;titles&gt;&lt;title&gt;Synthesizing and presenting findings using other methods&lt;/title&gt;&lt;secondary-title&gt;Cochrane Handbook for Systematic Reviews of Interventions&lt;/secondary-title&gt;&lt;/titles&gt;&lt;periodical&gt;&lt;full-title&gt;Cochrane handbook for systematic reviews of interventions&lt;/full-title&gt;&lt;/periodical&gt;&lt;pages&gt;321-347&lt;/pages&gt;&lt;edition&gt;2&lt;/edition&gt;&lt;dates&gt;&lt;year&gt;2019&lt;/year&gt;&lt;/dates&gt;&lt;publisher&gt;John Wiley &amp;amp; Sons&lt;/publisher&gt;&lt;urls&gt;&lt;/urls&gt;&lt;/record&gt;&lt;/Cite&gt;&lt;/EndNote&gt;</w:instrText>
      </w:r>
      <w:r w:rsidRPr="002C21B8">
        <w:fldChar w:fldCharType="separate"/>
      </w:r>
      <w:r w:rsidRPr="002C21B8">
        <w:rPr>
          <w:noProof/>
        </w:rPr>
        <w:t>(McKenzie and Brennan, 2019)</w:t>
      </w:r>
      <w:r w:rsidRPr="002C21B8">
        <w:fldChar w:fldCharType="end"/>
      </w:r>
      <w:r w:rsidRPr="002C21B8">
        <w:t>.</w:t>
      </w:r>
    </w:p>
    <w:p w14:paraId="18E4D184" w14:textId="77777777" w:rsidR="002F0740" w:rsidRPr="002C21B8" w:rsidRDefault="002F0740" w:rsidP="002F0740">
      <w:pPr>
        <w:spacing w:before="240" w:after="0"/>
        <w:rPr>
          <w:b/>
          <w:bCs/>
          <w:sz w:val="24"/>
          <w:szCs w:val="24"/>
        </w:rPr>
      </w:pPr>
      <w:r w:rsidRPr="002C21B8">
        <w:rPr>
          <w:b/>
          <w:bCs/>
          <w:sz w:val="24"/>
          <w:szCs w:val="24"/>
        </w:rPr>
        <w:t>Confidence in findings</w:t>
      </w:r>
    </w:p>
    <w:p w14:paraId="1D466CDA" w14:textId="1AB614B0" w:rsidR="002F0740" w:rsidRPr="002C21B8" w:rsidRDefault="002F0740" w:rsidP="002F0740">
      <w:r w:rsidRPr="002C21B8">
        <w:t>The GRADE-CERQual</w:t>
      </w:r>
      <w:r w:rsidRPr="002C21B8" w:rsidDel="006C019D">
        <w:t xml:space="preserve"> </w:t>
      </w:r>
      <w:r w:rsidRPr="002C21B8">
        <w:t>tool was used to assess confidence in findings. One reviewer (MG) conducted GRADE-CERQual assessments based on four components: methodological limitations, coherence, adequacy of data, and relevance. Each component was assessed by the level of concern (n</w:t>
      </w:r>
      <w:r w:rsidR="008A6E47" w:rsidRPr="002C21B8">
        <w:t>o</w:t>
      </w:r>
      <w:r w:rsidRPr="002C21B8">
        <w:t xml:space="preserve"> or very minor, minor, moderate or serious). A judgement was made about the overall confidence in review findings (high, moderate, low or very low). Findings were initially assigned high confidence</w:t>
      </w:r>
      <w:r w:rsidR="001A5E46" w:rsidRPr="002C21B8">
        <w:t>,</w:t>
      </w:r>
      <w:r w:rsidR="008A6E47" w:rsidRPr="002C21B8">
        <w:t xml:space="preserve"> then</w:t>
      </w:r>
      <w:r w:rsidRPr="002C21B8">
        <w:t xml:space="preserve"> downgrade</w:t>
      </w:r>
      <w:r w:rsidR="008A6E47" w:rsidRPr="002C21B8">
        <w:t>d</w:t>
      </w:r>
      <w:r w:rsidRPr="002C21B8">
        <w:t xml:space="preserve"> if</w:t>
      </w:r>
      <w:r w:rsidR="008A6E47" w:rsidRPr="002C21B8">
        <w:t xml:space="preserve"> there were</w:t>
      </w:r>
      <w:r w:rsidRPr="002C21B8">
        <w:t xml:space="preserve"> notable concerns within any of the four GRADE-CERQual components </w:t>
      </w:r>
      <w:r w:rsidRPr="002C21B8">
        <w:fldChar w:fldCharType="begin"/>
      </w:r>
      <w:r w:rsidRPr="002C21B8">
        <w:instrText xml:space="preserve"> ADDIN EN.CITE &lt;EndNote&gt;&lt;Cite&gt;&lt;Author&gt;Lewin&lt;/Author&gt;&lt;Year&gt;2018&lt;/Year&gt;&lt;RecNum&gt;17403&lt;/RecNum&gt;&lt;DisplayText&gt;(Lewin&lt;style face="italic"&gt; et al.&lt;/style&gt;, 2018a)&lt;/DisplayText&gt;&lt;record&gt;&lt;rec-number&gt;17403&lt;/rec-number&gt;&lt;foreign-keys&gt;&lt;key app="EN" db-id="xpefzwa5hf9dt2ea9fax95x7xvxz90v09dtf" timestamp="1720786820"&gt;17403&lt;/key&gt;&lt;/foreign-keys&gt;&lt;ref-type name="Journal Article"&gt;17&lt;/ref-type&gt;&lt;contributors&gt;&lt;authors&gt;&lt;author&gt;Lewin, Simon&lt;/author&gt;&lt;author&gt;Bohren, Meghan&lt;/author&gt;&lt;author&gt;Rashidian, Arash&lt;/author&gt;&lt;author&gt;Munthe-Kaas, Heather&lt;/author&gt;&lt;author&gt;Glenton, Claire&lt;/author&gt;&lt;author&gt;Colvin, Christopher J&lt;/author&gt;&lt;author&gt;Garside, Ruth&lt;/author&gt;&lt;author&gt;Noyes, Jane&lt;/author&gt;&lt;author&gt;Booth, Andrew&lt;/author&gt;&lt;author&gt;Tunçalp, Özge&lt;/author&gt;&lt;/authors&gt;&lt;/contributors&gt;&lt;titles&gt;&lt;title&gt;Applying GRADE-CERQual to qualitative evidence synthesis findings—paper 2: how to make an overall CERQual assessment of confidence and create a Summary of Qualitative Findings table&lt;/title&gt;&lt;secondary-title&gt;Implementation Science&lt;/secondary-title&gt;&lt;/titles&gt;&lt;periodical&gt;&lt;full-title&gt;Implementation Science&lt;/full-title&gt;&lt;/periodical&gt;&lt;pages&gt;11-23&lt;/pages&gt;&lt;volume&gt;13&lt;/volume&gt;&lt;dates&gt;&lt;year&gt;2018&lt;/year&gt;&lt;/dates&gt;&lt;urls&gt;&lt;/urls&gt;&lt;/record&gt;&lt;/Cite&gt;&lt;/EndNote&gt;</w:instrText>
      </w:r>
      <w:r w:rsidRPr="002C21B8">
        <w:fldChar w:fldCharType="separate"/>
      </w:r>
      <w:r w:rsidRPr="002C21B8">
        <w:rPr>
          <w:noProof/>
        </w:rPr>
        <w:t>(Lewin</w:t>
      </w:r>
      <w:r w:rsidRPr="002C21B8">
        <w:rPr>
          <w:i/>
          <w:noProof/>
        </w:rPr>
        <w:t xml:space="preserve"> et al.</w:t>
      </w:r>
      <w:r w:rsidRPr="002C21B8">
        <w:rPr>
          <w:noProof/>
        </w:rPr>
        <w:t>, 2018a)</w:t>
      </w:r>
      <w:r w:rsidRPr="002C21B8">
        <w:fldChar w:fldCharType="end"/>
      </w:r>
      <w:r w:rsidRPr="002C21B8">
        <w:t>.</w:t>
      </w:r>
    </w:p>
    <w:p w14:paraId="31CAAE01" w14:textId="77777777" w:rsidR="002F0740" w:rsidRPr="002C21B8" w:rsidRDefault="002F0740" w:rsidP="002F0740">
      <w:pPr>
        <w:spacing w:before="240" w:after="0"/>
        <w:rPr>
          <w:b/>
          <w:bCs/>
          <w:sz w:val="24"/>
          <w:szCs w:val="24"/>
        </w:rPr>
      </w:pPr>
      <w:r w:rsidRPr="002C21B8">
        <w:rPr>
          <w:b/>
          <w:bCs/>
          <w:sz w:val="24"/>
          <w:szCs w:val="24"/>
        </w:rPr>
        <w:t xml:space="preserve">Constructing the new conceptual model </w:t>
      </w:r>
    </w:p>
    <w:p w14:paraId="339F5C7B" w14:textId="0EE47A2B" w:rsidR="004E6847" w:rsidRPr="002C21B8" w:rsidRDefault="002F0740" w:rsidP="009F1A4C">
      <w:r w:rsidRPr="002C21B8">
        <w:t>Factors related to the themes identified from qualitative research in the systematic reviews were incorporated into the conceptual model</w:t>
      </w:r>
      <w:r w:rsidR="00C474BE">
        <w:t xml:space="preserve"> by</w:t>
      </w:r>
      <w:r w:rsidRPr="002C21B8">
        <w:t xml:space="preserve">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001A5E46" w:rsidRPr="002C21B8">
        <w:t>,</w:t>
      </w:r>
      <w:r w:rsidRPr="002C21B8">
        <w:t xml:space="preserve"> and a diagram </w:t>
      </w:r>
      <w:r w:rsidR="00CE50E2" w:rsidRPr="002C21B8">
        <w:t xml:space="preserve">was </w:t>
      </w:r>
      <w:r w:rsidRPr="002C21B8">
        <w:t>produced.</w:t>
      </w:r>
      <w:bookmarkStart w:id="123" w:name="_Toc159229852"/>
      <w:bookmarkStart w:id="124" w:name="_Toc170713623"/>
    </w:p>
    <w:p w14:paraId="6763B1B6" w14:textId="10C012D6" w:rsidR="002F0740" w:rsidRPr="002C21B8" w:rsidRDefault="002F0740" w:rsidP="002F0740">
      <w:pPr>
        <w:spacing w:before="240" w:after="0"/>
        <w:rPr>
          <w:b/>
          <w:bCs/>
          <w:sz w:val="28"/>
          <w:szCs w:val="28"/>
        </w:rPr>
      </w:pPr>
      <w:r w:rsidRPr="002C21B8">
        <w:rPr>
          <w:b/>
          <w:bCs/>
          <w:sz w:val="28"/>
          <w:szCs w:val="28"/>
        </w:rPr>
        <w:t>Results</w:t>
      </w:r>
      <w:bookmarkEnd w:id="123"/>
      <w:bookmarkEnd w:id="124"/>
    </w:p>
    <w:p w14:paraId="76A57545" w14:textId="252DAD22" w:rsidR="002F0740" w:rsidRPr="002C21B8" w:rsidRDefault="002F0740" w:rsidP="00BC1FF8">
      <w:r w:rsidRPr="002C21B8">
        <w:t>A total of 4498 articles were identified from database searches</w:t>
      </w:r>
      <w:r w:rsidR="00B37E58" w:rsidRPr="002C21B8">
        <w:t>.</w:t>
      </w:r>
      <w:r w:rsidRPr="002C21B8">
        <w:t xml:space="preserve"> 104 full</w:t>
      </w:r>
      <w:r w:rsidR="00B37E58" w:rsidRPr="002C21B8">
        <w:t>-</w:t>
      </w:r>
      <w:r w:rsidRPr="002C21B8">
        <w:t>text articles were assessed for eligibility</w:t>
      </w:r>
      <w:r w:rsidR="005B53AA" w:rsidRPr="002C21B8">
        <w:t>.</w:t>
      </w:r>
      <w:r w:rsidRPr="002C21B8">
        <w:t xml:space="preserve"> </w:t>
      </w:r>
      <w:r w:rsidR="00B37E58" w:rsidRPr="002C21B8">
        <w:t>29 systematic reviews were quality assessed</w:t>
      </w:r>
      <w:r w:rsidR="005B53AA" w:rsidRPr="002C21B8">
        <w:t xml:space="preserve">, with </w:t>
      </w:r>
      <w:r w:rsidRPr="002C21B8">
        <w:t xml:space="preserve">26 systematic reviews included. The PRISMA framework is presented in </w:t>
      </w:r>
      <w:r w:rsidRPr="002C21B8">
        <w:fldChar w:fldCharType="begin"/>
      </w:r>
      <w:r w:rsidRPr="002C21B8">
        <w:instrText xml:space="preserve"> REF _Ref217058675 \h  \* MERGEFORMAT </w:instrText>
      </w:r>
      <w:r w:rsidRPr="002C21B8">
        <w:fldChar w:fldCharType="separate"/>
      </w:r>
      <w:r w:rsidR="00DB3709" w:rsidRPr="002C21B8">
        <w:t xml:space="preserve">Figure </w:t>
      </w:r>
      <w:r w:rsidR="00DB3709">
        <w:t>7</w:t>
      </w:r>
      <w:r w:rsidRPr="002C21B8">
        <w:fldChar w:fldCharType="end"/>
      </w:r>
      <w:r w:rsidRPr="002C21B8">
        <w:t xml:space="preserve"> and </w:t>
      </w:r>
      <w:r w:rsidR="005B53AA" w:rsidRPr="002C21B8">
        <w:t xml:space="preserve">the </w:t>
      </w:r>
      <w:r w:rsidRPr="002C21B8">
        <w:t xml:space="preserve">extended PRISMA flowchart in </w:t>
      </w:r>
      <w:hyperlink w:anchor="_Detailed_preferred_reporting" w:history="1">
        <w:r w:rsidR="00C83686" w:rsidRPr="002C21B8">
          <w:rPr>
            <w:rStyle w:val="Hyperlink"/>
          </w:rPr>
          <w:t>Appendix 4</w:t>
        </w:r>
      </w:hyperlink>
      <w:r w:rsidRPr="002C21B8">
        <w:t>.</w:t>
      </w:r>
    </w:p>
    <w:p w14:paraId="4490D652" w14:textId="1000B44D" w:rsidR="002F0740" w:rsidRPr="002C21B8" w:rsidRDefault="002F0740" w:rsidP="00900FD4">
      <w:pPr>
        <w:pStyle w:val="Caption"/>
        <w:keepNext w:val="0"/>
        <w:rPr>
          <w:noProof w:val="0"/>
        </w:rPr>
      </w:pPr>
      <w:bookmarkStart w:id="125" w:name="_Ref217058675"/>
      <w:bookmarkStart w:id="126" w:name="_Toc236991765"/>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7</w:t>
      </w:r>
      <w:r w:rsidR="001B725E" w:rsidRPr="002C21B8">
        <w:rPr>
          <w:noProof w:val="0"/>
        </w:rPr>
        <w:fldChar w:fldCharType="end"/>
      </w:r>
      <w:bookmarkEnd w:id="125"/>
      <w:r w:rsidRPr="002C21B8">
        <w:rPr>
          <w:noProof w:val="0"/>
        </w:rPr>
        <w:t>. PRISMA flowchart</w:t>
      </w:r>
      <w:bookmarkEnd w:id="126"/>
    </w:p>
    <w:p w14:paraId="37763331" w14:textId="64BE7648" w:rsidR="004E6847" w:rsidRPr="002C21B8" w:rsidRDefault="002F0740" w:rsidP="00BC1FF8">
      <w:pPr>
        <w:spacing w:line="240" w:lineRule="auto"/>
      </w:pPr>
      <w:r w:rsidRPr="002C21B8">
        <w:rPr>
          <w:noProof/>
        </w:rPr>
        <w:drawing>
          <wp:inline distT="0" distB="0" distL="0" distR="0" wp14:anchorId="4EAD2427" wp14:editId="05CD2AB8">
            <wp:extent cx="3600000" cy="3750784"/>
            <wp:effectExtent l="0" t="0" r="0" b="0"/>
            <wp:docPr id="413963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63574"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00000" cy="3750784"/>
                    </a:xfrm>
                    <a:prstGeom prst="rect">
                      <a:avLst/>
                    </a:prstGeom>
                  </pic:spPr>
                </pic:pic>
              </a:graphicData>
            </a:graphic>
          </wp:inline>
        </w:drawing>
      </w:r>
    </w:p>
    <w:p w14:paraId="1C906AC4" w14:textId="04F38F85" w:rsidR="002F0740" w:rsidRPr="002C21B8" w:rsidRDefault="002F0740" w:rsidP="002F0740">
      <w:r w:rsidRPr="002C21B8">
        <w:t xml:space="preserve">The 26 included systematic reviews had lead authors from 10 countries (see </w:t>
      </w:r>
      <w:r w:rsidRPr="002C21B8">
        <w:fldChar w:fldCharType="begin"/>
      </w:r>
      <w:r w:rsidRPr="002C21B8">
        <w:instrText xml:space="preserve"> REF _Ref217058749 \h  \* MERGEFORMAT </w:instrText>
      </w:r>
      <w:r w:rsidRPr="002C21B8">
        <w:fldChar w:fldCharType="separate"/>
      </w:r>
      <w:r w:rsidR="00DB3709" w:rsidRPr="002C21B8">
        <w:t xml:space="preserve">Table </w:t>
      </w:r>
      <w:r w:rsidR="00DB3709">
        <w:t>8</w:t>
      </w:r>
      <w:r w:rsidRPr="002C21B8">
        <w:fldChar w:fldCharType="end"/>
      </w:r>
      <w:r w:rsidRPr="002C21B8">
        <w:t>). Most reviews were conducted by authors in high-income countries and were published towards the latter part of the 2013 to 2023 period. Four reviews included only qualitative primary research studies, nine reviews included only quantitative primary research studies</w:t>
      </w:r>
      <w:r w:rsidR="00503D71" w:rsidRPr="002C21B8">
        <w:t>,</w:t>
      </w:r>
      <w:r w:rsidRPr="002C21B8">
        <w:t xml:space="preserve"> and thirteen included both types and mixed methods studies. Cumulatively</w:t>
      </w:r>
      <w:r w:rsidR="00503D71" w:rsidRPr="002C21B8">
        <w:t>,</w:t>
      </w:r>
      <w:r w:rsidRPr="002C21B8">
        <w:t xml:space="preserve"> they included 689 primary research studies, ranging from 3 to 69 primary studies per review. Although the inclusion criteria and search strategy encompassed any prescribers, all of the included studies focused on physicians</w:t>
      </w:r>
      <w:r w:rsidR="0094529B" w:rsidRPr="002C21B8">
        <w:t xml:space="preserve"> as the primary decision-makers</w:t>
      </w:r>
      <w:r w:rsidRPr="002C21B8">
        <w:t xml:space="preserve">. Further details of the included systematic reviews are available in </w:t>
      </w:r>
      <w:hyperlink w:anchor="_Details_of_included" w:history="1">
        <w:r w:rsidR="00C83686" w:rsidRPr="002C21B8">
          <w:rPr>
            <w:rStyle w:val="Hyperlink"/>
          </w:rPr>
          <w:t>Appendix 4</w:t>
        </w:r>
      </w:hyperlink>
      <w:r w:rsidRPr="002C21B8">
        <w:t>.</w:t>
      </w:r>
    </w:p>
    <w:p w14:paraId="183A176C" w14:textId="77777777" w:rsidR="00B37E58" w:rsidRPr="002C21B8" w:rsidRDefault="002F0740" w:rsidP="002F0740">
      <w:r w:rsidRPr="002C21B8">
        <w:t>The “corrected covered area” was 0.03, indicating little overlap among the primary studies in the included systematic reviews. 65</w:t>
      </w:r>
      <w:r w:rsidR="00B37E58" w:rsidRPr="002C21B8">
        <w:t>.4</w:t>
      </w:r>
      <w:r w:rsidRPr="002C21B8">
        <w:t xml:space="preserve">% (17/26) of the included reviews focused on cardiovascular conditions (cardiovascular disease, atrial fibrillation and hypertension). </w:t>
      </w:r>
    </w:p>
    <w:p w14:paraId="6B5CA190" w14:textId="0713FC5E" w:rsidR="002F0740" w:rsidRPr="002C21B8" w:rsidRDefault="002F0740" w:rsidP="002F0740">
      <w:r w:rsidRPr="002C21B8">
        <w:t>Inter-rater reliability at the title/abstract stage of screening was 0.65 (Cohen’s kappa) and at</w:t>
      </w:r>
      <w:r w:rsidR="00503D71" w:rsidRPr="002C21B8">
        <w:t xml:space="preserve"> the</w:t>
      </w:r>
      <w:r w:rsidRPr="002C21B8">
        <w:t xml:space="preserve"> full-text stage was 0.89 (Cohen’s kappa).</w:t>
      </w:r>
    </w:p>
    <w:p w14:paraId="5BAF12A3" w14:textId="5F7E9D87" w:rsidR="002F0740" w:rsidRPr="002C21B8" w:rsidRDefault="002F0740" w:rsidP="002F0740">
      <w:pPr>
        <w:sectPr w:rsidR="002F0740" w:rsidRPr="002C21B8" w:rsidSect="0009672F">
          <w:headerReference w:type="default" r:id="rId26"/>
          <w:headerReference w:type="first" r:id="rId27"/>
          <w:type w:val="continuous"/>
          <w:pgSz w:w="11906" w:h="16838"/>
          <w:pgMar w:top="1440" w:right="1440" w:bottom="1440" w:left="1440" w:header="708" w:footer="708" w:gutter="0"/>
          <w:cols w:space="708"/>
          <w:docGrid w:linePitch="360"/>
        </w:sectPr>
      </w:pPr>
      <w:r w:rsidRPr="002C21B8">
        <w:t xml:space="preserve">The list of excluded systematic reviews at the full-text stage and the reasoning behind their exclusion is documented in </w:t>
      </w:r>
      <w:hyperlink w:anchor="_Details_of_excluded_1" w:history="1">
        <w:r w:rsidR="00C83686" w:rsidRPr="002C21B8">
          <w:rPr>
            <w:rStyle w:val="Hyperlink"/>
          </w:rPr>
          <w:t>Appendix 4</w:t>
        </w:r>
      </w:hyperlink>
      <w:r w:rsidRPr="002C21B8">
        <w:t xml:space="preserve">. </w:t>
      </w:r>
      <w:bookmarkStart w:id="127" w:name="_Toc159229854"/>
      <w:r w:rsidRPr="002C21B8">
        <w:t>Most of the systematic reviews were of critically low quality</w:t>
      </w:r>
      <w:r w:rsidR="00E11C1F" w:rsidRPr="002C21B8">
        <w:t>,</w:t>
      </w:r>
      <w:r w:rsidRPr="002C21B8">
        <w:t xml:space="preserve"> defined as “more than one critical flaw with or without non-critical weakness”. No systematic reviews included a list of excluded studies with justifications for their exclusion. Three systematic reviews had insufficient methodological rigour to be included in the overview of systematic reviews due to significant methodological limitations in their study design. Detailed quality assessment using AMSTAR2 is documented in </w:t>
      </w:r>
      <w:hyperlink w:anchor="_AMSTAR2_quality_assessment" w:history="1">
        <w:r w:rsidR="00C83686" w:rsidRPr="002C21B8">
          <w:rPr>
            <w:rStyle w:val="Hyperlink"/>
          </w:rPr>
          <w:t>Appendix 4</w:t>
        </w:r>
      </w:hyperlink>
      <w:r w:rsidRPr="002C21B8">
        <w:t>.</w:t>
      </w:r>
      <w:bookmarkEnd w:id="127"/>
    </w:p>
    <w:p w14:paraId="666AE4AF" w14:textId="5C2BEE0D" w:rsidR="002F0740" w:rsidRPr="002C21B8" w:rsidRDefault="002F0740" w:rsidP="00D418D8">
      <w:pPr>
        <w:pStyle w:val="Caption"/>
        <w:keepNext w:val="0"/>
        <w:rPr>
          <w:noProof w:val="0"/>
        </w:rPr>
      </w:pPr>
      <w:bookmarkStart w:id="128" w:name="_Ref217058749"/>
      <w:bookmarkStart w:id="129" w:name="_Toc236991744"/>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8</w:t>
      </w:r>
      <w:r w:rsidRPr="002C21B8">
        <w:rPr>
          <w:noProof w:val="0"/>
        </w:rPr>
        <w:fldChar w:fldCharType="end"/>
      </w:r>
      <w:bookmarkEnd w:id="128"/>
      <w:r w:rsidRPr="002C21B8">
        <w:rPr>
          <w:noProof w:val="0"/>
        </w:rPr>
        <w:t xml:space="preserve">. Characteristics of included systematic </w:t>
      </w:r>
      <w:r w:rsidR="001445FE" w:rsidRPr="002C21B8">
        <w:rPr>
          <w:noProof w:val="0"/>
        </w:rPr>
        <w:t>reviews</w:t>
      </w:r>
      <w:bookmarkEnd w:id="129"/>
    </w:p>
    <w:tbl>
      <w:tblPr>
        <w:tblW w:w="13914" w:type="dxa"/>
        <w:tblLayout w:type="fixed"/>
        <w:tblLook w:val="04A0" w:firstRow="1" w:lastRow="0" w:firstColumn="1" w:lastColumn="0" w:noHBand="0" w:noVBand="1"/>
      </w:tblPr>
      <w:tblGrid>
        <w:gridCol w:w="1531"/>
        <w:gridCol w:w="6493"/>
        <w:gridCol w:w="964"/>
        <w:gridCol w:w="1247"/>
        <w:gridCol w:w="1701"/>
        <w:gridCol w:w="1275"/>
        <w:gridCol w:w="703"/>
      </w:tblGrid>
      <w:tr w:rsidR="002F0740" w:rsidRPr="002C21B8" w14:paraId="468D3D43" w14:textId="77777777" w:rsidTr="00DA7613">
        <w:trPr>
          <w:trHeight w:val="416"/>
        </w:trPr>
        <w:tc>
          <w:tcPr>
            <w:tcW w:w="1531" w:type="dxa"/>
            <w:tcBorders>
              <w:top w:val="single" w:sz="12" w:space="0" w:color="000000" w:themeColor="text1"/>
              <w:left w:val="nil"/>
              <w:bottom w:val="single" w:sz="4" w:space="0" w:color="auto"/>
              <w:right w:val="nil"/>
            </w:tcBorders>
            <w:shd w:val="clear" w:color="auto" w:fill="auto"/>
            <w:noWrap/>
            <w:vAlign w:val="center"/>
            <w:hideMark/>
          </w:tcPr>
          <w:p w14:paraId="2DD3F5E0" w14:textId="77777777" w:rsidR="002F0740" w:rsidRPr="002C21B8" w:rsidRDefault="002F0740" w:rsidP="00D418D8">
            <w:pPr>
              <w:spacing w:beforeLines="20" w:before="48" w:afterLines="20" w:after="48" w:line="240" w:lineRule="auto"/>
              <w:jc w:val="left"/>
              <w:rPr>
                <w:b/>
                <w:bCs/>
                <w:sz w:val="16"/>
                <w:szCs w:val="16"/>
              </w:rPr>
            </w:pPr>
            <w:r w:rsidRPr="002C21B8">
              <w:rPr>
                <w:b/>
                <w:bCs/>
                <w:sz w:val="16"/>
                <w:szCs w:val="16"/>
              </w:rPr>
              <w:t>Authors (year)</w:t>
            </w:r>
          </w:p>
        </w:tc>
        <w:tc>
          <w:tcPr>
            <w:tcW w:w="6493" w:type="dxa"/>
            <w:tcBorders>
              <w:top w:val="single" w:sz="12" w:space="0" w:color="000000" w:themeColor="text1"/>
              <w:left w:val="nil"/>
              <w:bottom w:val="single" w:sz="4" w:space="0" w:color="auto"/>
              <w:right w:val="nil"/>
            </w:tcBorders>
            <w:shd w:val="clear" w:color="auto" w:fill="auto"/>
            <w:noWrap/>
            <w:vAlign w:val="center"/>
            <w:hideMark/>
          </w:tcPr>
          <w:p w14:paraId="378C6638" w14:textId="77777777" w:rsidR="002F0740" w:rsidRPr="002C21B8" w:rsidRDefault="002F0740" w:rsidP="00D418D8">
            <w:pPr>
              <w:spacing w:beforeLines="20" w:before="48" w:afterLines="20" w:after="48" w:line="240" w:lineRule="auto"/>
              <w:rPr>
                <w:b/>
                <w:bCs/>
                <w:sz w:val="16"/>
                <w:szCs w:val="16"/>
              </w:rPr>
            </w:pPr>
            <w:r w:rsidRPr="002C21B8">
              <w:rPr>
                <w:b/>
                <w:bCs/>
                <w:sz w:val="16"/>
                <w:szCs w:val="16"/>
              </w:rPr>
              <w:t>Title</w:t>
            </w:r>
          </w:p>
        </w:tc>
        <w:tc>
          <w:tcPr>
            <w:tcW w:w="964" w:type="dxa"/>
            <w:tcBorders>
              <w:top w:val="single" w:sz="12" w:space="0" w:color="000000" w:themeColor="text1"/>
              <w:left w:val="nil"/>
              <w:bottom w:val="single" w:sz="4" w:space="0" w:color="auto"/>
              <w:right w:val="nil"/>
            </w:tcBorders>
            <w:shd w:val="clear" w:color="auto" w:fill="auto"/>
            <w:noWrap/>
            <w:vAlign w:val="center"/>
            <w:hideMark/>
          </w:tcPr>
          <w:p w14:paraId="203A5600" w14:textId="77777777" w:rsidR="002F0740" w:rsidRPr="002C21B8" w:rsidRDefault="002F0740" w:rsidP="00D418D8">
            <w:pPr>
              <w:spacing w:beforeLines="20" w:before="48" w:afterLines="20" w:after="48" w:line="240" w:lineRule="auto"/>
              <w:rPr>
                <w:b/>
                <w:bCs/>
                <w:sz w:val="16"/>
                <w:szCs w:val="16"/>
              </w:rPr>
            </w:pPr>
            <w:r w:rsidRPr="002C21B8">
              <w:rPr>
                <w:b/>
                <w:bCs/>
                <w:sz w:val="16"/>
                <w:szCs w:val="16"/>
              </w:rPr>
              <w:t>Country of first author</w:t>
            </w:r>
          </w:p>
        </w:tc>
        <w:tc>
          <w:tcPr>
            <w:tcW w:w="1247" w:type="dxa"/>
            <w:tcBorders>
              <w:top w:val="single" w:sz="12" w:space="0" w:color="000000" w:themeColor="text1"/>
              <w:left w:val="nil"/>
              <w:bottom w:val="single" w:sz="4" w:space="0" w:color="auto"/>
              <w:right w:val="nil"/>
            </w:tcBorders>
            <w:shd w:val="clear" w:color="auto" w:fill="auto"/>
            <w:vAlign w:val="center"/>
          </w:tcPr>
          <w:p w14:paraId="790207CD" w14:textId="77777777" w:rsidR="002F0740" w:rsidRPr="002C21B8" w:rsidRDefault="002F0740" w:rsidP="00D418D8">
            <w:pPr>
              <w:spacing w:beforeLines="20" w:before="48" w:afterLines="20" w:after="48" w:line="240" w:lineRule="auto"/>
              <w:rPr>
                <w:b/>
                <w:bCs/>
                <w:sz w:val="16"/>
                <w:szCs w:val="16"/>
              </w:rPr>
            </w:pPr>
            <w:r w:rsidRPr="002C21B8">
              <w:rPr>
                <w:b/>
                <w:bCs/>
                <w:sz w:val="16"/>
                <w:szCs w:val="16"/>
              </w:rPr>
              <w:t>Condition</w:t>
            </w:r>
          </w:p>
        </w:tc>
        <w:tc>
          <w:tcPr>
            <w:tcW w:w="1701" w:type="dxa"/>
            <w:tcBorders>
              <w:top w:val="single" w:sz="12" w:space="0" w:color="000000" w:themeColor="text1"/>
              <w:left w:val="nil"/>
              <w:bottom w:val="single" w:sz="4" w:space="0" w:color="auto"/>
              <w:right w:val="nil"/>
            </w:tcBorders>
            <w:shd w:val="clear" w:color="auto" w:fill="auto"/>
            <w:noWrap/>
            <w:vAlign w:val="center"/>
            <w:hideMark/>
          </w:tcPr>
          <w:p w14:paraId="5DF24074" w14:textId="77777777" w:rsidR="002F0740" w:rsidRPr="002C21B8" w:rsidRDefault="002F0740" w:rsidP="00D418D8">
            <w:pPr>
              <w:spacing w:beforeLines="20" w:before="48" w:afterLines="20" w:after="48" w:line="240" w:lineRule="auto"/>
              <w:jc w:val="left"/>
              <w:rPr>
                <w:b/>
                <w:bCs/>
                <w:sz w:val="16"/>
                <w:szCs w:val="16"/>
              </w:rPr>
            </w:pPr>
            <w:r w:rsidRPr="002C21B8">
              <w:rPr>
                <w:b/>
                <w:bCs/>
                <w:sz w:val="16"/>
                <w:szCs w:val="16"/>
              </w:rPr>
              <w:t>Medication</w:t>
            </w:r>
          </w:p>
        </w:tc>
        <w:tc>
          <w:tcPr>
            <w:tcW w:w="1275" w:type="dxa"/>
            <w:tcBorders>
              <w:top w:val="single" w:sz="12" w:space="0" w:color="000000" w:themeColor="text1"/>
              <w:left w:val="nil"/>
              <w:bottom w:val="single" w:sz="4" w:space="0" w:color="auto"/>
              <w:right w:val="nil"/>
            </w:tcBorders>
            <w:shd w:val="clear" w:color="auto" w:fill="auto"/>
            <w:vAlign w:val="center"/>
          </w:tcPr>
          <w:p w14:paraId="319F7B15" w14:textId="77777777" w:rsidR="002F0740" w:rsidRPr="002C21B8" w:rsidRDefault="002F0740" w:rsidP="00D418D8">
            <w:pPr>
              <w:spacing w:beforeLines="20" w:before="48" w:afterLines="20" w:after="48" w:line="240" w:lineRule="auto"/>
              <w:rPr>
                <w:b/>
                <w:bCs/>
                <w:sz w:val="16"/>
                <w:szCs w:val="16"/>
              </w:rPr>
            </w:pPr>
            <w:r w:rsidRPr="002C21B8">
              <w:rPr>
                <w:b/>
                <w:bCs/>
                <w:sz w:val="16"/>
                <w:szCs w:val="16"/>
              </w:rPr>
              <w:t>Methodology</w:t>
            </w:r>
          </w:p>
        </w:tc>
        <w:tc>
          <w:tcPr>
            <w:tcW w:w="703" w:type="dxa"/>
            <w:tcBorders>
              <w:top w:val="single" w:sz="12" w:space="0" w:color="000000" w:themeColor="text1"/>
              <w:left w:val="nil"/>
              <w:bottom w:val="single" w:sz="4" w:space="0" w:color="auto"/>
              <w:right w:val="nil"/>
            </w:tcBorders>
            <w:shd w:val="clear" w:color="auto" w:fill="auto"/>
            <w:vAlign w:val="center"/>
          </w:tcPr>
          <w:p w14:paraId="4E419F68" w14:textId="77777777" w:rsidR="002F0740" w:rsidRPr="002C21B8" w:rsidRDefault="002F0740" w:rsidP="00D418D8">
            <w:pPr>
              <w:spacing w:beforeLines="20" w:before="48" w:afterLines="20" w:after="48" w:line="240" w:lineRule="auto"/>
              <w:rPr>
                <w:b/>
                <w:bCs/>
                <w:sz w:val="16"/>
                <w:szCs w:val="16"/>
              </w:rPr>
            </w:pPr>
            <w:r w:rsidRPr="002C21B8">
              <w:rPr>
                <w:b/>
                <w:bCs/>
                <w:sz w:val="16"/>
                <w:szCs w:val="16"/>
              </w:rPr>
              <w:t>Studies</w:t>
            </w:r>
          </w:p>
        </w:tc>
      </w:tr>
      <w:tr w:rsidR="002F0740" w:rsidRPr="002C21B8" w14:paraId="4D5C39B6" w14:textId="77777777" w:rsidTr="00DA7613">
        <w:trPr>
          <w:trHeight w:val="340"/>
        </w:trPr>
        <w:tc>
          <w:tcPr>
            <w:tcW w:w="1531" w:type="dxa"/>
            <w:tcBorders>
              <w:top w:val="single" w:sz="4" w:space="0" w:color="auto"/>
              <w:left w:val="nil"/>
              <w:bottom w:val="nil"/>
              <w:right w:val="nil"/>
            </w:tcBorders>
            <w:shd w:val="clear" w:color="auto" w:fill="auto"/>
            <w:noWrap/>
            <w:vAlign w:val="center"/>
            <w:hideMark/>
          </w:tcPr>
          <w:p w14:paraId="3373FD12"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&lt;EndNote&gt;&lt;Cite&gt;&lt;Author&gt;Abdelkader&lt;/Author&gt;&lt;Year&gt;2023&lt;/Year&gt;&lt;RecNum&gt;15226&lt;/RecNum&gt;&lt;DisplayText&gt;(Abdelkader&lt;style face="italic"&gt; et al.&lt;/style&gt;, 2023)&lt;/DisplayText&gt;&lt;record&gt;&lt;rec-number&gt;15226&lt;/rec-number&gt;&lt;foreign-keys&gt;&lt;key app="EN" db-id="xpefzwa5hf9dt2ea9fax95x7xvxz90v09dtf" timestamp="1713539293"&gt;15226&lt;/key&gt;&lt;/foreign-keys&gt;&lt;ref-type name="Journal Article"&gt;17&lt;/ref-type&gt;&lt;contributors&gt;&lt;authors&gt;&lt;author&gt;Abdelkader, Nada&lt;/author&gt;&lt;author&gt;Awaisu, Ahmed&lt;/author&gt;&lt;author&gt;Elewa, Hazem&lt;/author&gt;&lt;author&gt;El Hajj, Maguy Saffouh&lt;/author&gt;&lt;/authors&gt;&lt;/contributors&gt;&lt;titles&gt;&lt;title&gt;Prescribing patterns of antihypertensive medications: a systematic review of literature between 2010 and 2020&lt;/title&gt;&lt;secondary-title&gt;Exploratory Research in Clinical and Social Pharmacy&lt;/secondary-title&gt;&lt;/titles&gt;&lt;periodical&gt;&lt;full-title&gt;Exploratory research in clinical and social pharmacy&lt;/full-title&gt;&lt;/periodical&gt;&lt;pages&gt;100315&lt;/pages&gt;&lt;dates&gt;&lt;year&gt;2023&lt;/year&gt;&lt;/dates&gt;&lt;isbn&gt;2667-2766&lt;/isbn&gt;&lt;urls&gt;&lt;/urls&gt;&lt;/record&gt;&lt;/Cite&gt;&lt;/EndNote&gt;</w:instrText>
            </w:r>
            <w:r w:rsidRPr="002C21B8">
              <w:rPr>
                <w:sz w:val="16"/>
                <w:szCs w:val="16"/>
              </w:rPr>
              <w:fldChar w:fldCharType="separate"/>
            </w:r>
            <w:r w:rsidRPr="002C21B8">
              <w:rPr>
                <w:sz w:val="16"/>
                <w:szCs w:val="16"/>
              </w:rPr>
              <w:t>(Abdelkader</w:t>
            </w:r>
            <w:r w:rsidRPr="002C21B8">
              <w:rPr>
                <w:i/>
                <w:sz w:val="16"/>
                <w:szCs w:val="16"/>
              </w:rPr>
              <w:t xml:space="preserve"> et al.</w:t>
            </w:r>
            <w:r w:rsidRPr="002C21B8">
              <w:rPr>
                <w:sz w:val="16"/>
                <w:szCs w:val="16"/>
              </w:rPr>
              <w:t>, 2023)</w:t>
            </w:r>
            <w:r w:rsidRPr="002C21B8">
              <w:rPr>
                <w:sz w:val="16"/>
                <w:szCs w:val="16"/>
              </w:rPr>
              <w:fldChar w:fldCharType="end"/>
            </w:r>
          </w:p>
        </w:tc>
        <w:tc>
          <w:tcPr>
            <w:tcW w:w="6493" w:type="dxa"/>
            <w:tcBorders>
              <w:top w:val="single" w:sz="4" w:space="0" w:color="auto"/>
              <w:left w:val="nil"/>
              <w:bottom w:val="nil"/>
              <w:right w:val="nil"/>
            </w:tcBorders>
            <w:shd w:val="clear" w:color="auto" w:fill="auto"/>
            <w:hideMark/>
          </w:tcPr>
          <w:p w14:paraId="03C06B31" w14:textId="77777777" w:rsidR="002F0740" w:rsidRPr="002C21B8" w:rsidRDefault="002F0740" w:rsidP="00D418D8">
            <w:pPr>
              <w:spacing w:beforeLines="20" w:before="48" w:afterLines="20" w:after="48" w:line="240" w:lineRule="auto"/>
              <w:rPr>
                <w:sz w:val="16"/>
                <w:szCs w:val="16"/>
              </w:rPr>
            </w:pPr>
            <w:r w:rsidRPr="002C21B8">
              <w:rPr>
                <w:sz w:val="16"/>
                <w:szCs w:val="16"/>
              </w:rPr>
              <w:t>Prescribing patterns of antihypertensive medications: A systematic review of literature between 2010 and 2020</w:t>
            </w:r>
          </w:p>
        </w:tc>
        <w:tc>
          <w:tcPr>
            <w:tcW w:w="964" w:type="dxa"/>
            <w:tcBorders>
              <w:top w:val="single" w:sz="4" w:space="0" w:color="auto"/>
              <w:left w:val="nil"/>
              <w:bottom w:val="nil"/>
              <w:right w:val="nil"/>
            </w:tcBorders>
            <w:shd w:val="clear" w:color="auto" w:fill="auto"/>
            <w:noWrap/>
            <w:hideMark/>
          </w:tcPr>
          <w:p w14:paraId="07DCED81" w14:textId="77777777" w:rsidR="002F0740" w:rsidRPr="002C21B8" w:rsidRDefault="002F0740" w:rsidP="00D418D8">
            <w:pPr>
              <w:spacing w:beforeLines="20" w:before="48" w:afterLines="20" w:after="48" w:line="240" w:lineRule="auto"/>
              <w:rPr>
                <w:sz w:val="16"/>
                <w:szCs w:val="16"/>
              </w:rPr>
            </w:pPr>
            <w:r w:rsidRPr="002C21B8">
              <w:rPr>
                <w:sz w:val="16"/>
                <w:szCs w:val="16"/>
              </w:rPr>
              <w:t>Qatar</w:t>
            </w:r>
          </w:p>
        </w:tc>
        <w:tc>
          <w:tcPr>
            <w:tcW w:w="1247" w:type="dxa"/>
            <w:tcBorders>
              <w:top w:val="single" w:sz="4" w:space="0" w:color="auto"/>
              <w:left w:val="nil"/>
              <w:bottom w:val="nil"/>
              <w:right w:val="nil"/>
            </w:tcBorders>
          </w:tcPr>
          <w:p w14:paraId="419011E7"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single" w:sz="4" w:space="0" w:color="auto"/>
              <w:left w:val="nil"/>
              <w:bottom w:val="nil"/>
              <w:right w:val="nil"/>
            </w:tcBorders>
            <w:shd w:val="clear" w:color="auto" w:fill="auto"/>
            <w:hideMark/>
          </w:tcPr>
          <w:p w14:paraId="4F0BB2EB"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single" w:sz="4" w:space="0" w:color="auto"/>
              <w:left w:val="nil"/>
              <w:bottom w:val="nil"/>
              <w:right w:val="nil"/>
            </w:tcBorders>
          </w:tcPr>
          <w:p w14:paraId="0EDBBFB6"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single" w:sz="4" w:space="0" w:color="auto"/>
              <w:left w:val="nil"/>
              <w:bottom w:val="nil"/>
              <w:right w:val="nil"/>
            </w:tcBorders>
          </w:tcPr>
          <w:p w14:paraId="1F565088" w14:textId="77777777" w:rsidR="002F0740" w:rsidRPr="002C21B8" w:rsidRDefault="002F0740" w:rsidP="00D418D8">
            <w:pPr>
              <w:spacing w:beforeLines="20" w:before="48" w:afterLines="20" w:after="48" w:line="240" w:lineRule="auto"/>
              <w:rPr>
                <w:sz w:val="16"/>
                <w:szCs w:val="16"/>
              </w:rPr>
            </w:pPr>
            <w:r w:rsidRPr="002C21B8">
              <w:rPr>
                <w:sz w:val="16"/>
                <w:szCs w:val="16"/>
              </w:rPr>
              <w:t>40</w:t>
            </w:r>
          </w:p>
        </w:tc>
      </w:tr>
      <w:tr w:rsidR="002F0740" w:rsidRPr="002C21B8" w14:paraId="7990325A" w14:textId="77777777" w:rsidTr="00DA7613">
        <w:trPr>
          <w:trHeight w:val="340"/>
        </w:trPr>
        <w:tc>
          <w:tcPr>
            <w:tcW w:w="1531" w:type="dxa"/>
            <w:tcBorders>
              <w:top w:val="nil"/>
              <w:left w:val="nil"/>
              <w:bottom w:val="nil"/>
              <w:right w:val="nil"/>
            </w:tcBorders>
            <w:shd w:val="clear" w:color="auto" w:fill="auto"/>
            <w:noWrap/>
            <w:vAlign w:val="center"/>
            <w:hideMark/>
          </w:tcPr>
          <w:p w14:paraId="661EDFD2"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&lt;EndNote&gt;&lt;Cite&gt;&lt;Author&gt;Arshad&lt;/Author&gt;&lt;Year&gt;2021&lt;/Year&gt;&lt;RecNum&gt;15230&lt;/RecNum&gt;&lt;DisplayText&gt;(Arshad&lt;style face="italic"&gt; et al.&lt;/style&gt;, 2021)&lt;/DisplayText&gt;&lt;record&gt;&lt;rec-number&gt;15230&lt;/rec-number&gt;&lt;foreign-keys&gt;&lt;key app="EN" db-id="xpefzwa5hf9dt2ea9fax95x7xvxz90v09dtf" timestamp="1713539613"&gt;15230&lt;/key&gt;&lt;/foreign-keys&gt;&lt;ref-type name="Journal Article"&gt;17&lt;/ref-type&gt;&lt;contributors&gt;&lt;authors&gt;&lt;author&gt;Arshad, Verda&lt;/author&gt;&lt;author&gt;Samad, Zainab&lt;/author&gt;&lt;author&gt;Das, Jai&lt;/author&gt;&lt;author&gt;Almas, Aysha&lt;/author&gt;&lt;author&gt;Rashid, Nouman&lt;/author&gt;&lt;author&gt;Virani, Salim S&lt;/author&gt;&lt;author&gt;Bloomfield, Gerald S&lt;/author&gt;&lt;author&gt;Jafar, Tazeen H&lt;/author&gt;&lt;author&gt;Ahmed, Bilal&lt;/author&gt;&lt;/authors&gt;&lt;/contributors&gt;&lt;titles&gt;&lt;title&gt;Prescribing patterns of antihypertensive medications in low-and middle-income countries: a systematic review&lt;/title&gt;&lt;secondary-title&gt;Asia Pacific Journal of Public Health&lt;/secondary-title&gt;&lt;/titles&gt;&lt;periodical&gt;&lt;full-title&gt;Asia Pacific Journal of Public Health&lt;/full-title&gt;&lt;/periodical&gt;&lt;pages&gt;14-22&lt;/pages&gt;&lt;volume&gt;33&lt;/volume&gt;&lt;number&gt;1&lt;/number&gt;&lt;dates&gt;&lt;year&gt;2021&lt;/year&gt;&lt;/dates&gt;&lt;isbn&gt;1010-5395&lt;/isbn&gt;&lt;urls&gt;&lt;/urls&gt;&lt;/record&gt;&lt;/Cite&gt;&lt;/EndNote&gt;</w:instrText>
            </w:r>
            <w:r w:rsidRPr="002C21B8">
              <w:rPr>
                <w:sz w:val="16"/>
                <w:szCs w:val="16"/>
              </w:rPr>
              <w:fldChar w:fldCharType="separate"/>
            </w:r>
            <w:r w:rsidRPr="002C21B8">
              <w:rPr>
                <w:sz w:val="16"/>
                <w:szCs w:val="16"/>
              </w:rPr>
              <w:t>(Arshad</w:t>
            </w:r>
            <w:r w:rsidRPr="002C21B8">
              <w:rPr>
                <w:i/>
                <w:sz w:val="16"/>
                <w:szCs w:val="16"/>
              </w:rPr>
              <w:t xml:space="preserve"> et al.</w:t>
            </w:r>
            <w:r w:rsidRPr="002C21B8">
              <w:rPr>
                <w:sz w:val="16"/>
                <w:szCs w:val="16"/>
              </w:rPr>
              <w:t>, 2021)</w:t>
            </w:r>
            <w:r w:rsidRPr="002C21B8">
              <w:rPr>
                <w:sz w:val="16"/>
                <w:szCs w:val="16"/>
              </w:rPr>
              <w:fldChar w:fldCharType="end"/>
            </w:r>
          </w:p>
        </w:tc>
        <w:tc>
          <w:tcPr>
            <w:tcW w:w="6493" w:type="dxa"/>
            <w:tcBorders>
              <w:top w:val="nil"/>
              <w:left w:val="nil"/>
              <w:bottom w:val="nil"/>
              <w:right w:val="nil"/>
            </w:tcBorders>
            <w:shd w:val="clear" w:color="auto" w:fill="auto"/>
            <w:hideMark/>
          </w:tcPr>
          <w:p w14:paraId="497D59EC" w14:textId="77777777" w:rsidR="002F0740" w:rsidRPr="002C21B8" w:rsidRDefault="002F0740" w:rsidP="00D418D8">
            <w:pPr>
              <w:spacing w:beforeLines="20" w:before="48" w:afterLines="20" w:after="48" w:line="240" w:lineRule="auto"/>
              <w:rPr>
                <w:sz w:val="16"/>
                <w:szCs w:val="16"/>
              </w:rPr>
            </w:pPr>
            <w:r w:rsidRPr="002C21B8">
              <w:rPr>
                <w:sz w:val="16"/>
                <w:szCs w:val="16"/>
              </w:rPr>
              <w:t>Prescribing Patterns of Antihypertensive Medications in Low- and Middle-Income Countries: A Systematic Review</w:t>
            </w:r>
          </w:p>
        </w:tc>
        <w:tc>
          <w:tcPr>
            <w:tcW w:w="964" w:type="dxa"/>
            <w:tcBorders>
              <w:top w:val="nil"/>
              <w:left w:val="nil"/>
              <w:bottom w:val="nil"/>
              <w:right w:val="nil"/>
            </w:tcBorders>
            <w:shd w:val="clear" w:color="auto" w:fill="auto"/>
            <w:noWrap/>
            <w:hideMark/>
          </w:tcPr>
          <w:p w14:paraId="68EF9C62" w14:textId="77777777" w:rsidR="002F0740" w:rsidRPr="002C21B8" w:rsidRDefault="002F0740" w:rsidP="00D418D8">
            <w:pPr>
              <w:spacing w:beforeLines="20" w:before="48" w:afterLines="20" w:after="48" w:line="240" w:lineRule="auto"/>
              <w:rPr>
                <w:sz w:val="16"/>
                <w:szCs w:val="16"/>
              </w:rPr>
            </w:pPr>
            <w:r w:rsidRPr="002C21B8">
              <w:rPr>
                <w:sz w:val="16"/>
                <w:szCs w:val="16"/>
              </w:rPr>
              <w:t>Pakistan</w:t>
            </w:r>
          </w:p>
        </w:tc>
        <w:tc>
          <w:tcPr>
            <w:tcW w:w="1247" w:type="dxa"/>
            <w:tcBorders>
              <w:top w:val="nil"/>
              <w:left w:val="nil"/>
              <w:bottom w:val="nil"/>
              <w:right w:val="nil"/>
            </w:tcBorders>
          </w:tcPr>
          <w:p w14:paraId="4B4F39C9"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nil"/>
              <w:left w:val="nil"/>
              <w:bottom w:val="nil"/>
              <w:right w:val="nil"/>
            </w:tcBorders>
            <w:shd w:val="clear" w:color="auto" w:fill="auto"/>
            <w:hideMark/>
          </w:tcPr>
          <w:p w14:paraId="3968BA39"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nil"/>
              <w:left w:val="nil"/>
              <w:bottom w:val="nil"/>
              <w:right w:val="nil"/>
            </w:tcBorders>
          </w:tcPr>
          <w:p w14:paraId="01BCED42"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47E6BA91" w14:textId="77777777" w:rsidR="002F0740" w:rsidRPr="002C21B8" w:rsidRDefault="002F0740" w:rsidP="00D418D8">
            <w:pPr>
              <w:spacing w:beforeLines="20" w:before="48" w:afterLines="20" w:after="48" w:line="240" w:lineRule="auto"/>
              <w:rPr>
                <w:sz w:val="16"/>
                <w:szCs w:val="16"/>
              </w:rPr>
            </w:pPr>
            <w:r w:rsidRPr="002C21B8">
              <w:rPr>
                <w:sz w:val="16"/>
                <w:szCs w:val="16"/>
              </w:rPr>
              <w:t>26</w:t>
            </w:r>
          </w:p>
        </w:tc>
      </w:tr>
      <w:tr w:rsidR="002F0740" w:rsidRPr="002C21B8" w14:paraId="6A4D510B" w14:textId="77777777" w:rsidTr="00DA7613">
        <w:trPr>
          <w:trHeight w:val="340"/>
        </w:trPr>
        <w:tc>
          <w:tcPr>
            <w:tcW w:w="1531" w:type="dxa"/>
            <w:tcBorders>
              <w:top w:val="nil"/>
              <w:left w:val="nil"/>
              <w:right w:val="nil"/>
            </w:tcBorders>
            <w:shd w:val="clear" w:color="auto" w:fill="auto"/>
            <w:noWrap/>
            <w:vAlign w:val="center"/>
          </w:tcPr>
          <w:p w14:paraId="2BE8AA32" w14:textId="126CCBF1"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CE4967" w:rsidRPr="002C21B8">
              <w:rPr>
                <w:sz w:val="16"/>
                <w:szCs w:val="16"/>
              </w:rPr>
              <w:instrText xml:space="preserve"> ADDIN EN.CITE &lt;EndNote&gt;&lt;Cite&gt;&lt;Author&gt;Bin Rsheed&lt;/Author&gt;&lt;Year&gt;2017&lt;/Year&gt;&lt;RecNum&gt;15208&lt;/RecNum&gt;&lt;DisplayText&gt;(Bin Rsheed and Chenoweth, 2017)&lt;/DisplayText&gt;&lt;record&gt;&lt;rec-number&gt;15208&lt;/rec-number&gt;&lt;foreign-keys&gt;&lt;key app="EN" db-id="xpefzwa5hf9dt2ea9fax95x7xvxz90v09dtf" timestamp="1713272055"&gt;15208&lt;/key&gt;&lt;/foreign-keys&gt;&lt;ref-type name="Journal Article"&gt;17&lt;/ref-type&gt;&lt;contributors&gt;&lt;authors&gt;&lt;author&gt;Bin Rsheed, A&lt;/author&gt;&lt;author&gt;Chenoweth, I&lt;/author&gt;&lt;/authors&gt;&lt;/contributors&gt;&lt;titles&gt;&lt;title&gt;Barriers that practitioners face when initiating insulin therapy in general practice settings and how they can be overcome &lt;/title&gt;&lt;secondary-title&gt;World Journal of Diabetes&lt;/secondary-title&gt;&lt;/titles&gt;&lt;periodical&gt;&lt;full-title&gt;World journal of diabetes&lt;/full-title&gt;&lt;/periodical&gt;&lt;pages&gt;28–39&lt;/pages&gt;&lt;volume&gt;8&lt;/volume&gt;&lt;num-vols&gt;(1)&lt;/num-vols&gt;&lt;dates&gt;&lt;year&gt;2017&lt;/year&gt;&lt;/dates&gt;&lt;urls&gt;&lt;/urls&gt;&lt;/record&gt;&lt;/Cite&gt;&lt;/EndNote&gt;</w:instrText>
            </w:r>
            <w:r w:rsidRPr="002C21B8">
              <w:rPr>
                <w:sz w:val="16"/>
                <w:szCs w:val="16"/>
              </w:rPr>
              <w:fldChar w:fldCharType="separate"/>
            </w:r>
            <w:r w:rsidRPr="002C21B8">
              <w:rPr>
                <w:noProof/>
                <w:sz w:val="16"/>
                <w:szCs w:val="16"/>
              </w:rPr>
              <w:t>(Bin Rsheed and Chenoweth, 2017)</w:t>
            </w:r>
            <w:r w:rsidRPr="002C21B8">
              <w:rPr>
                <w:sz w:val="16"/>
                <w:szCs w:val="16"/>
              </w:rPr>
              <w:fldChar w:fldCharType="end"/>
            </w:r>
          </w:p>
        </w:tc>
        <w:tc>
          <w:tcPr>
            <w:tcW w:w="6493" w:type="dxa"/>
            <w:tcBorders>
              <w:top w:val="nil"/>
              <w:left w:val="nil"/>
              <w:right w:val="nil"/>
            </w:tcBorders>
            <w:shd w:val="clear" w:color="auto" w:fill="auto"/>
          </w:tcPr>
          <w:p w14:paraId="17D6119D" w14:textId="77777777" w:rsidR="002F0740" w:rsidRPr="002C21B8" w:rsidRDefault="002F0740" w:rsidP="00D418D8">
            <w:pPr>
              <w:spacing w:beforeLines="20" w:before="48" w:afterLines="20" w:after="48" w:line="240" w:lineRule="auto"/>
              <w:rPr>
                <w:sz w:val="16"/>
                <w:szCs w:val="16"/>
              </w:rPr>
            </w:pPr>
            <w:r w:rsidRPr="002C21B8">
              <w:rPr>
                <w:sz w:val="16"/>
                <w:szCs w:val="16"/>
              </w:rPr>
              <w:t>Barriers that practitioners face when initiating insulin therapy in general practice settings and how they can be overcome</w:t>
            </w:r>
          </w:p>
        </w:tc>
        <w:tc>
          <w:tcPr>
            <w:tcW w:w="964" w:type="dxa"/>
            <w:tcBorders>
              <w:top w:val="nil"/>
              <w:left w:val="nil"/>
              <w:right w:val="nil"/>
            </w:tcBorders>
            <w:shd w:val="clear" w:color="auto" w:fill="auto"/>
            <w:noWrap/>
          </w:tcPr>
          <w:p w14:paraId="0A6E7886" w14:textId="77777777" w:rsidR="002F0740" w:rsidRPr="002C21B8" w:rsidRDefault="002F0740" w:rsidP="00D418D8">
            <w:pPr>
              <w:spacing w:beforeLines="20" w:before="48" w:afterLines="20" w:after="48" w:line="240" w:lineRule="auto"/>
              <w:rPr>
                <w:sz w:val="16"/>
                <w:szCs w:val="16"/>
              </w:rPr>
            </w:pPr>
            <w:r w:rsidRPr="002C21B8">
              <w:rPr>
                <w:sz w:val="16"/>
                <w:szCs w:val="16"/>
              </w:rPr>
              <w:t>Saudi Arabia</w:t>
            </w:r>
          </w:p>
        </w:tc>
        <w:tc>
          <w:tcPr>
            <w:tcW w:w="1247" w:type="dxa"/>
            <w:tcBorders>
              <w:top w:val="nil"/>
              <w:left w:val="nil"/>
              <w:right w:val="nil"/>
            </w:tcBorders>
          </w:tcPr>
          <w:p w14:paraId="4B1260E8" w14:textId="77777777" w:rsidR="002F0740" w:rsidRPr="002C21B8" w:rsidRDefault="002F0740" w:rsidP="00D418D8">
            <w:pPr>
              <w:spacing w:beforeLines="20" w:before="48" w:afterLines="20" w:after="48" w:line="240" w:lineRule="auto"/>
              <w:rPr>
                <w:sz w:val="16"/>
                <w:szCs w:val="16"/>
              </w:rPr>
            </w:pPr>
            <w:r w:rsidRPr="002C21B8">
              <w:rPr>
                <w:sz w:val="16"/>
                <w:szCs w:val="16"/>
              </w:rPr>
              <w:t>Diabetes mellitus</w:t>
            </w:r>
          </w:p>
        </w:tc>
        <w:tc>
          <w:tcPr>
            <w:tcW w:w="1701" w:type="dxa"/>
            <w:tcBorders>
              <w:top w:val="nil"/>
              <w:left w:val="nil"/>
              <w:right w:val="nil"/>
            </w:tcBorders>
            <w:shd w:val="clear" w:color="auto" w:fill="auto"/>
          </w:tcPr>
          <w:p w14:paraId="1B1C6EEA"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Insulin</w:t>
            </w:r>
          </w:p>
        </w:tc>
        <w:tc>
          <w:tcPr>
            <w:tcW w:w="1275" w:type="dxa"/>
            <w:tcBorders>
              <w:top w:val="nil"/>
              <w:left w:val="nil"/>
              <w:right w:val="nil"/>
            </w:tcBorders>
          </w:tcPr>
          <w:p w14:paraId="2CD7B730"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tcBorders>
          </w:tcPr>
          <w:p w14:paraId="6A9B7E68" w14:textId="77777777" w:rsidR="002F0740" w:rsidRPr="002C21B8" w:rsidRDefault="002F0740" w:rsidP="00D418D8">
            <w:pPr>
              <w:spacing w:beforeLines="20" w:before="48" w:afterLines="20" w:after="48" w:line="240" w:lineRule="auto"/>
              <w:rPr>
                <w:sz w:val="16"/>
                <w:szCs w:val="16"/>
              </w:rPr>
            </w:pPr>
            <w:r w:rsidRPr="002C21B8">
              <w:rPr>
                <w:sz w:val="16"/>
                <w:szCs w:val="16"/>
              </w:rPr>
              <w:t>19</w:t>
            </w:r>
          </w:p>
        </w:tc>
      </w:tr>
      <w:tr w:rsidR="002F0740" w:rsidRPr="002C21B8" w14:paraId="27EF2F6D" w14:textId="77777777" w:rsidTr="00DA7613">
        <w:trPr>
          <w:trHeight w:val="340"/>
        </w:trPr>
        <w:tc>
          <w:tcPr>
            <w:tcW w:w="1531" w:type="dxa"/>
            <w:tcBorders>
              <w:top w:val="nil"/>
              <w:left w:val="nil"/>
              <w:bottom w:val="nil"/>
              <w:right w:val="nil"/>
            </w:tcBorders>
            <w:shd w:val="clear" w:color="auto" w:fill="auto"/>
            <w:noWrap/>
            <w:vAlign w:val="center"/>
          </w:tcPr>
          <w:p w14:paraId="332AF71A"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&lt;EndNote&gt;&lt;Cite&gt;&lt;Author&gt;Byrne&lt;/Author&gt;&lt;Year&gt;2022&lt;/Year&gt;&lt;RecNum&gt;15209&lt;/RecNum&gt;&lt;DisplayText&gt;(Byrne&lt;style face="italic"&gt; et al.&lt;/style&gt;, 2022)&lt;/DisplayText&gt;&lt;record&gt;&lt;rec-number&gt;15209&lt;/rec-number&gt;&lt;foreign-keys&gt;&lt;key app="EN" db-id="xpefzwa5hf9dt2ea9fax95x7xvxz90v09dtf" timestamp="1713278084"&gt;15209&lt;/key&gt;&lt;/foreign-keys&gt;&lt;ref-type name="Journal Article"&gt;17&lt;/ref-type&gt;&lt;contributors&gt;&lt;authors&gt;&lt;author&gt;Byrne, Jo&lt;/author&gt;&lt;author&gt;Willis, Andrew&lt;/author&gt;&lt;author&gt;Dunkley, Alison&lt;/author&gt;&lt;author&gt;Fitzpatrick, Claire&lt;/author&gt;&lt;author&gt;Campbell, Sandra&lt;/author&gt;&lt;author&gt;Sidhu, Manbinder S&lt;/author&gt;&lt;author&gt;Choudhary, Pratik&lt;/author&gt;&lt;author&gt;Davies, Melanie J&lt;/author&gt;&lt;author&gt;Khunti, Kamlesh&lt;/author&gt;&lt;/authors&gt;&lt;/contributors&gt;&lt;titles&gt;&lt;title&gt;Individual, healthcare professional and system‐level barriers and facilitators to initiation and adherence to injectable therapies for type 2 diabetes: A systematic review and meta‐ethnography&lt;/title&gt;&lt;secondary-title&gt;Diabetic Medicine&lt;/secondary-title&gt;&lt;/titles&gt;&lt;periodical&gt;&lt;full-title&gt;Diabetic Medicine&lt;/full-title&gt;&lt;/periodical&gt;&lt;pages&gt;e14678&lt;/pages&gt;&lt;volume&gt;39&lt;/volume&gt;&lt;number&gt;1&lt;/number&gt;&lt;dates&gt;&lt;year&gt;2022&lt;/year&gt;&lt;/dates&gt;&lt;isbn&gt;0742-3071&lt;/isbn&gt;&lt;urls&gt;&lt;/urls&gt;&lt;/record&gt;&lt;/Cite&gt;&lt;/EndNote&gt;</w:instrText>
            </w:r>
            <w:r w:rsidRPr="002C21B8">
              <w:rPr>
                <w:sz w:val="16"/>
                <w:szCs w:val="16"/>
              </w:rPr>
              <w:fldChar w:fldCharType="separate"/>
            </w:r>
            <w:r w:rsidRPr="002C21B8">
              <w:rPr>
                <w:sz w:val="16"/>
                <w:szCs w:val="16"/>
              </w:rPr>
              <w:t>(Byrne</w:t>
            </w:r>
            <w:r w:rsidRPr="002C21B8">
              <w:rPr>
                <w:i/>
                <w:sz w:val="16"/>
                <w:szCs w:val="16"/>
              </w:rPr>
              <w:t xml:space="preserve"> et al.</w:t>
            </w:r>
            <w:r w:rsidRPr="002C21B8">
              <w:rPr>
                <w:sz w:val="16"/>
                <w:szCs w:val="16"/>
              </w:rPr>
              <w:t>, 2022)</w:t>
            </w:r>
            <w:r w:rsidRPr="002C21B8">
              <w:rPr>
                <w:sz w:val="16"/>
                <w:szCs w:val="16"/>
              </w:rPr>
              <w:fldChar w:fldCharType="end"/>
            </w:r>
          </w:p>
        </w:tc>
        <w:tc>
          <w:tcPr>
            <w:tcW w:w="6493" w:type="dxa"/>
            <w:tcBorders>
              <w:top w:val="nil"/>
              <w:left w:val="nil"/>
              <w:bottom w:val="nil"/>
              <w:right w:val="nil"/>
            </w:tcBorders>
            <w:shd w:val="clear" w:color="auto" w:fill="auto"/>
          </w:tcPr>
          <w:p w14:paraId="12566DB3" w14:textId="77777777" w:rsidR="002F0740" w:rsidRPr="002C21B8" w:rsidRDefault="002F0740" w:rsidP="00D418D8">
            <w:pPr>
              <w:spacing w:beforeLines="20" w:before="48" w:afterLines="20" w:after="48" w:line="240" w:lineRule="auto"/>
              <w:rPr>
                <w:sz w:val="16"/>
                <w:szCs w:val="16"/>
              </w:rPr>
            </w:pPr>
            <w:r w:rsidRPr="002C21B8">
              <w:rPr>
                <w:sz w:val="16"/>
                <w:szCs w:val="16"/>
              </w:rPr>
              <w:t>Individual, healthcare professional and system-level barriers and facilitators to initiation and adherence to injectable therapies for type 2 diabetes: A systematic review and meta-ethnography</w:t>
            </w:r>
          </w:p>
        </w:tc>
        <w:tc>
          <w:tcPr>
            <w:tcW w:w="964" w:type="dxa"/>
            <w:tcBorders>
              <w:top w:val="nil"/>
              <w:left w:val="nil"/>
              <w:bottom w:val="nil"/>
              <w:right w:val="nil"/>
            </w:tcBorders>
            <w:shd w:val="clear" w:color="auto" w:fill="auto"/>
            <w:noWrap/>
          </w:tcPr>
          <w:p w14:paraId="18BB29EC"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5F43F78F" w14:textId="77777777" w:rsidR="002F0740" w:rsidRPr="002C21B8" w:rsidRDefault="002F0740" w:rsidP="00D418D8">
            <w:pPr>
              <w:spacing w:beforeLines="20" w:before="48" w:afterLines="20" w:after="48" w:line="240" w:lineRule="auto"/>
              <w:rPr>
                <w:sz w:val="16"/>
                <w:szCs w:val="16"/>
              </w:rPr>
            </w:pPr>
            <w:r w:rsidRPr="002C21B8">
              <w:rPr>
                <w:sz w:val="16"/>
                <w:szCs w:val="16"/>
              </w:rPr>
              <w:t>Diabetes mellitus</w:t>
            </w:r>
          </w:p>
        </w:tc>
        <w:tc>
          <w:tcPr>
            <w:tcW w:w="1701" w:type="dxa"/>
            <w:tcBorders>
              <w:top w:val="nil"/>
              <w:left w:val="nil"/>
              <w:bottom w:val="nil"/>
              <w:right w:val="nil"/>
            </w:tcBorders>
            <w:shd w:val="clear" w:color="auto" w:fill="auto"/>
          </w:tcPr>
          <w:p w14:paraId="4D7D04F6"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Insulin and injectable hypoglycaemic agents</w:t>
            </w:r>
          </w:p>
        </w:tc>
        <w:tc>
          <w:tcPr>
            <w:tcW w:w="1275" w:type="dxa"/>
            <w:tcBorders>
              <w:top w:val="nil"/>
              <w:left w:val="nil"/>
              <w:bottom w:val="nil"/>
              <w:right w:val="nil"/>
            </w:tcBorders>
          </w:tcPr>
          <w:p w14:paraId="50342D4E" w14:textId="77777777" w:rsidR="002F0740" w:rsidRPr="002C21B8" w:rsidRDefault="002F0740" w:rsidP="00D418D8">
            <w:pPr>
              <w:spacing w:beforeLines="20" w:before="48" w:afterLines="20" w:after="48" w:line="240" w:lineRule="auto"/>
              <w:rPr>
                <w:sz w:val="16"/>
                <w:szCs w:val="16"/>
              </w:rPr>
            </w:pPr>
            <w:r w:rsidRPr="002C21B8">
              <w:rPr>
                <w:sz w:val="16"/>
                <w:szCs w:val="16"/>
              </w:rPr>
              <w:t>Qualitative</w:t>
            </w:r>
          </w:p>
        </w:tc>
        <w:tc>
          <w:tcPr>
            <w:tcW w:w="703" w:type="dxa"/>
            <w:tcBorders>
              <w:top w:val="nil"/>
              <w:left w:val="nil"/>
              <w:bottom w:val="nil"/>
            </w:tcBorders>
          </w:tcPr>
          <w:p w14:paraId="7CBADE4D" w14:textId="77777777" w:rsidR="002F0740" w:rsidRPr="002C21B8" w:rsidRDefault="002F0740" w:rsidP="00D418D8">
            <w:pPr>
              <w:spacing w:beforeLines="20" w:before="48" w:afterLines="20" w:after="48" w:line="240" w:lineRule="auto"/>
              <w:rPr>
                <w:sz w:val="16"/>
                <w:szCs w:val="16"/>
              </w:rPr>
            </w:pPr>
            <w:r w:rsidRPr="002C21B8">
              <w:rPr>
                <w:sz w:val="16"/>
                <w:szCs w:val="16"/>
              </w:rPr>
              <w:t>42</w:t>
            </w:r>
          </w:p>
        </w:tc>
      </w:tr>
      <w:tr w:rsidR="002F0740" w:rsidRPr="002C21B8" w14:paraId="6631BBAB" w14:textId="77777777" w:rsidTr="00DA7613">
        <w:trPr>
          <w:trHeight w:val="340"/>
        </w:trPr>
        <w:tc>
          <w:tcPr>
            <w:tcW w:w="1531" w:type="dxa"/>
            <w:tcBorders>
              <w:top w:val="nil"/>
              <w:left w:val="nil"/>
              <w:bottom w:val="nil"/>
              <w:right w:val="nil"/>
            </w:tcBorders>
            <w:shd w:val="clear" w:color="auto" w:fill="auto"/>
            <w:noWrap/>
            <w:vAlign w:val="center"/>
          </w:tcPr>
          <w:p w14:paraId="1DFB4164" w14:textId="447E76AC"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CE4967" w:rsidRPr="002C21B8">
              <w:rPr>
                <w:sz w:val="16"/>
                <w:szCs w:val="16"/>
              </w:rPr>
              <w:instrText xml:space="preserve"> ADDIN EN.CITE &lt;EndNote&gt;&lt;Cite&gt;&lt;Author&gt;Chin&lt;/Author&gt;&lt;Year&gt;2016&lt;/Year&gt;&lt;RecNum&gt;15232&lt;/RecNum&gt;&lt;DisplayText&gt;(Chin&lt;style face="italic"&gt; et al.&lt;/style&gt;, 2016)&lt;/DisplayText&gt;&lt;record&gt;&lt;rec-number&gt;15232&lt;/rec-number&gt;&lt;foreign-keys&gt;&lt;key app="EN" db-id="xpefzwa5hf9dt2ea9fax95x7xvxz90v09dtf" timestamp="1713539696"&gt;15232&lt;/key&gt;&lt;/foreign-keys&gt;&lt;ref-type name="Journal Article"&gt;17&lt;/ref-type&gt;&lt;contributors&gt;&lt;authors&gt;&lt;author&gt;Chin, Ken Lee&lt;/author&gt;&lt;author&gt;Skiba, Marina&lt;/author&gt;&lt;author&gt;Tonkin, Andrew&lt;/author&gt;&lt;author&gt;Reid, Christopher M&lt;/author&gt;&lt;author&gt;Liew, Danny&lt;/author&gt;&lt;author&gt;Krum, Henry&lt;/author&gt;&lt;author&gt;Hopper, Ingrid&lt;/author&gt;&lt;/authors&gt;&lt;/contributors&gt;&lt;titles&gt;&lt;title&gt;The treatment gap in patients with chronic systolic heart failure: a systematic review of evidence-based prescribing in practice&lt;/title&gt;&lt;secondary-title&gt;Heart Failure Reviews&lt;/secondary-title&gt;&lt;/titles&gt;&lt;periodical&gt;&lt;full-title&gt;Heart failure reviews&lt;/full-title&gt;&lt;/periodical&gt;&lt;pages&gt;675-697&lt;/pages&gt;&lt;volume&gt;21&lt;/volume&gt;&lt;dates&gt;&lt;year&gt;2016&lt;/year&gt;&lt;/dates&gt;&lt;isbn&gt;1382-4147&lt;/isbn&gt;&lt;urls&gt;&lt;/urls&gt;&lt;/record&gt;&lt;/Cite&gt;&lt;/EndNote&gt;</w:instrText>
            </w:r>
            <w:r w:rsidRPr="002C21B8">
              <w:rPr>
                <w:sz w:val="16"/>
                <w:szCs w:val="16"/>
              </w:rPr>
              <w:fldChar w:fldCharType="separate"/>
            </w:r>
            <w:r w:rsidRPr="002C21B8">
              <w:rPr>
                <w:noProof/>
                <w:sz w:val="16"/>
                <w:szCs w:val="16"/>
              </w:rPr>
              <w:t>(Chin</w:t>
            </w:r>
            <w:r w:rsidRPr="002C21B8">
              <w:rPr>
                <w:i/>
                <w:noProof/>
                <w:sz w:val="16"/>
                <w:szCs w:val="16"/>
              </w:rPr>
              <w:t xml:space="preserve"> et al.</w:t>
            </w:r>
            <w:r w:rsidRPr="002C21B8">
              <w:rPr>
                <w:noProof/>
                <w:sz w:val="16"/>
                <w:szCs w:val="16"/>
              </w:rPr>
              <w:t>, 2016)</w:t>
            </w:r>
            <w:r w:rsidRPr="002C21B8">
              <w:rPr>
                <w:sz w:val="16"/>
                <w:szCs w:val="16"/>
              </w:rPr>
              <w:fldChar w:fldCharType="end"/>
            </w:r>
          </w:p>
        </w:tc>
        <w:tc>
          <w:tcPr>
            <w:tcW w:w="6493" w:type="dxa"/>
            <w:tcBorders>
              <w:top w:val="nil"/>
              <w:left w:val="nil"/>
              <w:bottom w:val="nil"/>
              <w:right w:val="nil"/>
            </w:tcBorders>
            <w:shd w:val="clear" w:color="auto" w:fill="auto"/>
          </w:tcPr>
          <w:p w14:paraId="4B08562B" w14:textId="77777777" w:rsidR="002F0740" w:rsidRPr="002C21B8" w:rsidRDefault="002F0740" w:rsidP="00D418D8">
            <w:pPr>
              <w:spacing w:beforeLines="20" w:before="48" w:afterLines="20" w:after="48" w:line="240" w:lineRule="auto"/>
              <w:rPr>
                <w:sz w:val="16"/>
                <w:szCs w:val="16"/>
              </w:rPr>
            </w:pPr>
            <w:r w:rsidRPr="002C21B8">
              <w:rPr>
                <w:sz w:val="16"/>
                <w:szCs w:val="16"/>
              </w:rPr>
              <w:t>The treatment gap in patients with chronic systolic heart failure: a systematic review of evidence-based prescribing in practice</w:t>
            </w:r>
          </w:p>
        </w:tc>
        <w:tc>
          <w:tcPr>
            <w:tcW w:w="964" w:type="dxa"/>
            <w:tcBorders>
              <w:top w:val="nil"/>
              <w:left w:val="nil"/>
              <w:bottom w:val="nil"/>
              <w:right w:val="nil"/>
            </w:tcBorders>
            <w:shd w:val="clear" w:color="auto" w:fill="auto"/>
            <w:noWrap/>
          </w:tcPr>
          <w:p w14:paraId="19DE9C58" w14:textId="77777777" w:rsidR="002F0740" w:rsidRPr="002C21B8" w:rsidRDefault="002F0740" w:rsidP="00D418D8">
            <w:pPr>
              <w:spacing w:beforeLines="20" w:before="48" w:afterLines="20" w:after="48" w:line="240" w:lineRule="auto"/>
              <w:rPr>
                <w:sz w:val="16"/>
                <w:szCs w:val="16"/>
              </w:rPr>
            </w:pPr>
            <w:r w:rsidRPr="002C21B8">
              <w:rPr>
                <w:sz w:val="16"/>
                <w:szCs w:val="16"/>
              </w:rPr>
              <w:t>Australia</w:t>
            </w:r>
          </w:p>
        </w:tc>
        <w:tc>
          <w:tcPr>
            <w:tcW w:w="1247" w:type="dxa"/>
            <w:tcBorders>
              <w:top w:val="nil"/>
              <w:left w:val="nil"/>
              <w:bottom w:val="nil"/>
              <w:right w:val="nil"/>
            </w:tcBorders>
          </w:tcPr>
          <w:p w14:paraId="0C20A4F4" w14:textId="77777777" w:rsidR="002F0740" w:rsidRPr="002C21B8" w:rsidRDefault="002F0740" w:rsidP="00D418D8">
            <w:pPr>
              <w:spacing w:beforeLines="20" w:before="48" w:afterLines="20" w:after="48" w:line="240" w:lineRule="auto"/>
              <w:rPr>
                <w:sz w:val="16"/>
                <w:szCs w:val="16"/>
              </w:rPr>
            </w:pPr>
            <w:r w:rsidRPr="002C21B8">
              <w:rPr>
                <w:sz w:val="16"/>
                <w:szCs w:val="16"/>
              </w:rPr>
              <w:t>Cardiovascular disease</w:t>
            </w:r>
          </w:p>
        </w:tc>
        <w:tc>
          <w:tcPr>
            <w:tcW w:w="1701" w:type="dxa"/>
            <w:tcBorders>
              <w:top w:val="nil"/>
              <w:left w:val="nil"/>
              <w:bottom w:val="nil"/>
              <w:right w:val="nil"/>
            </w:tcBorders>
            <w:shd w:val="clear" w:color="auto" w:fill="auto"/>
          </w:tcPr>
          <w:p w14:paraId="5B64D4F8"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Heart failure medications</w:t>
            </w:r>
          </w:p>
        </w:tc>
        <w:tc>
          <w:tcPr>
            <w:tcW w:w="1275" w:type="dxa"/>
            <w:tcBorders>
              <w:top w:val="nil"/>
              <w:left w:val="nil"/>
              <w:bottom w:val="nil"/>
              <w:right w:val="nil"/>
            </w:tcBorders>
          </w:tcPr>
          <w:p w14:paraId="464B0E00"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48650305" w14:textId="77777777" w:rsidR="002F0740" w:rsidRPr="002C21B8" w:rsidRDefault="002F0740" w:rsidP="00D418D8">
            <w:pPr>
              <w:spacing w:beforeLines="20" w:before="48" w:afterLines="20" w:after="48" w:line="240" w:lineRule="auto"/>
              <w:rPr>
                <w:sz w:val="16"/>
                <w:szCs w:val="16"/>
              </w:rPr>
            </w:pPr>
            <w:r w:rsidRPr="002C21B8">
              <w:rPr>
                <w:sz w:val="16"/>
                <w:szCs w:val="16"/>
              </w:rPr>
              <w:t>23</w:t>
            </w:r>
          </w:p>
        </w:tc>
      </w:tr>
      <w:tr w:rsidR="002F0740" w:rsidRPr="002C21B8" w14:paraId="6018925C" w14:textId="77777777" w:rsidTr="00DA7613">
        <w:trPr>
          <w:trHeight w:val="340"/>
        </w:trPr>
        <w:tc>
          <w:tcPr>
            <w:tcW w:w="1531" w:type="dxa"/>
            <w:tcBorders>
              <w:top w:val="nil"/>
              <w:left w:val="nil"/>
              <w:bottom w:val="nil"/>
              <w:right w:val="nil"/>
            </w:tcBorders>
            <w:shd w:val="clear" w:color="auto" w:fill="auto"/>
            <w:noWrap/>
            <w:vAlign w:val="center"/>
          </w:tcPr>
          <w:p w14:paraId="1CF97BB2" w14:textId="460484BB"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fldData xml:space="preserve">PEVuZE5vdGU+PENpdGU+PEF1dGhvcj5EaHVuZ2FuYTwvQXV0aG9yPjxZZWFyPjIwMjE8L1llYXI+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</w:fldData>
              </w:fldChar>
            </w:r>
            <w:r w:rsidR="00CE4967" w:rsidRPr="002C21B8">
              <w:rPr>
                <w:sz w:val="16"/>
                <w:szCs w:val="16"/>
              </w:rPr>
              <w:instrText xml:space="preserve"> ADDIN EN.CITE </w:instrText>
            </w:r>
            <w:r w:rsidR="00CE4967" w:rsidRPr="002C21B8">
              <w:rPr>
                <w:sz w:val="16"/>
                <w:szCs w:val="16"/>
              </w:rPr>
              <w:fldChar w:fldCharType="begin">
                <w:fldData xml:space="preserve">PEVuZE5vdGU+PENpdGU+PEF1dGhvcj5EaHVuZ2FuYTwvQXV0aG9yPjxZZWFyPjIwMjE8L1llYXI+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</w:fldData>
              </w:fldChar>
            </w:r>
            <w:r w:rsidR="00CE4967" w:rsidRPr="002C21B8">
              <w:rPr>
                <w:sz w:val="16"/>
                <w:szCs w:val="16"/>
              </w:rPr>
              <w:instrText xml:space="preserve"> ADDIN EN.CITE.DATA </w:instrText>
            </w:r>
            <w:r w:rsidR="00CE4967" w:rsidRPr="002C21B8">
              <w:rPr>
                <w:sz w:val="16"/>
                <w:szCs w:val="16"/>
              </w:rPr>
            </w:r>
            <w:r w:rsidR="00CE4967" w:rsidRPr="002C21B8">
              <w:rPr>
                <w:sz w:val="16"/>
                <w:szCs w:val="16"/>
              </w:rPr>
              <w:fldChar w:fldCharType="end"/>
            </w:r>
            <w:r w:rsidRPr="002C21B8">
              <w:rPr>
                <w:sz w:val="16"/>
                <w:szCs w:val="16"/>
              </w:rPr>
            </w:r>
            <w:r w:rsidRPr="002C21B8">
              <w:rPr>
                <w:sz w:val="16"/>
                <w:szCs w:val="16"/>
              </w:rPr>
              <w:fldChar w:fldCharType="separate"/>
            </w:r>
            <w:r w:rsidRPr="002C21B8">
              <w:rPr>
                <w:noProof/>
                <w:sz w:val="16"/>
                <w:szCs w:val="16"/>
              </w:rPr>
              <w:t>(Dhungana</w:t>
            </w:r>
            <w:r w:rsidRPr="002C21B8">
              <w:rPr>
                <w:i/>
                <w:noProof/>
                <w:sz w:val="16"/>
                <w:szCs w:val="16"/>
              </w:rPr>
              <w:t xml:space="preserve"> et al.</w:t>
            </w:r>
            <w:r w:rsidRPr="002C21B8">
              <w:rPr>
                <w:noProof/>
                <w:sz w:val="16"/>
                <w:szCs w:val="16"/>
              </w:rPr>
              <w:t>, 2021)</w:t>
            </w:r>
            <w:r w:rsidRPr="002C21B8">
              <w:rPr>
                <w:sz w:val="16"/>
                <w:szCs w:val="16"/>
              </w:rPr>
              <w:fldChar w:fldCharType="end"/>
            </w:r>
          </w:p>
        </w:tc>
        <w:tc>
          <w:tcPr>
            <w:tcW w:w="6493" w:type="dxa"/>
            <w:tcBorders>
              <w:top w:val="nil"/>
              <w:left w:val="nil"/>
              <w:bottom w:val="nil"/>
              <w:right w:val="nil"/>
            </w:tcBorders>
            <w:shd w:val="clear" w:color="auto" w:fill="auto"/>
          </w:tcPr>
          <w:p w14:paraId="2A0B16B6" w14:textId="77777777" w:rsidR="002F0740" w:rsidRPr="002C21B8" w:rsidRDefault="002F0740" w:rsidP="00D418D8">
            <w:pPr>
              <w:spacing w:beforeLines="20" w:before="48" w:afterLines="20" w:after="48" w:line="240" w:lineRule="auto"/>
              <w:rPr>
                <w:sz w:val="16"/>
                <w:szCs w:val="16"/>
              </w:rPr>
            </w:pPr>
            <w:r w:rsidRPr="002C21B8">
              <w:rPr>
                <w:sz w:val="16"/>
                <w:szCs w:val="16"/>
              </w:rPr>
              <w:t>Barriers, Enablers and Strategies for the Treatment and Control of Hypertension in Nepal: A Systematic Review</w:t>
            </w:r>
          </w:p>
        </w:tc>
        <w:tc>
          <w:tcPr>
            <w:tcW w:w="964" w:type="dxa"/>
            <w:tcBorders>
              <w:top w:val="nil"/>
              <w:left w:val="nil"/>
              <w:bottom w:val="nil"/>
              <w:right w:val="nil"/>
            </w:tcBorders>
            <w:shd w:val="clear" w:color="auto" w:fill="auto"/>
            <w:noWrap/>
          </w:tcPr>
          <w:p w14:paraId="0672FCB1" w14:textId="77777777" w:rsidR="002F0740" w:rsidRPr="002C21B8" w:rsidRDefault="002F0740" w:rsidP="00D418D8">
            <w:pPr>
              <w:spacing w:beforeLines="20" w:before="48" w:afterLines="20" w:after="48" w:line="240" w:lineRule="auto"/>
              <w:rPr>
                <w:sz w:val="16"/>
                <w:szCs w:val="16"/>
              </w:rPr>
            </w:pPr>
            <w:r w:rsidRPr="002C21B8">
              <w:rPr>
                <w:sz w:val="16"/>
                <w:szCs w:val="16"/>
              </w:rPr>
              <w:t>Australia</w:t>
            </w:r>
          </w:p>
        </w:tc>
        <w:tc>
          <w:tcPr>
            <w:tcW w:w="1247" w:type="dxa"/>
            <w:tcBorders>
              <w:top w:val="nil"/>
              <w:left w:val="nil"/>
              <w:bottom w:val="nil"/>
              <w:right w:val="nil"/>
            </w:tcBorders>
          </w:tcPr>
          <w:p w14:paraId="0454CB1A"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nil"/>
              <w:left w:val="nil"/>
              <w:bottom w:val="nil"/>
              <w:right w:val="nil"/>
            </w:tcBorders>
            <w:shd w:val="clear" w:color="auto" w:fill="auto"/>
          </w:tcPr>
          <w:p w14:paraId="44004BC8"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nil"/>
              <w:left w:val="nil"/>
              <w:bottom w:val="nil"/>
              <w:right w:val="nil"/>
            </w:tcBorders>
          </w:tcPr>
          <w:p w14:paraId="5A681F5B"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6787CEE2" w14:textId="77777777" w:rsidR="002F0740" w:rsidRPr="002C21B8" w:rsidRDefault="002F0740" w:rsidP="00D418D8">
            <w:pPr>
              <w:spacing w:beforeLines="20" w:before="48" w:afterLines="20" w:after="48" w:line="240" w:lineRule="auto"/>
              <w:rPr>
                <w:sz w:val="16"/>
                <w:szCs w:val="16"/>
              </w:rPr>
            </w:pPr>
            <w:r w:rsidRPr="002C21B8">
              <w:rPr>
                <w:sz w:val="16"/>
                <w:szCs w:val="16"/>
              </w:rPr>
              <w:t>15</w:t>
            </w:r>
          </w:p>
        </w:tc>
      </w:tr>
      <w:tr w:rsidR="002F0740" w:rsidRPr="002C21B8" w14:paraId="445E7EA2" w14:textId="77777777" w:rsidTr="00DA7613">
        <w:trPr>
          <w:trHeight w:val="340"/>
        </w:trPr>
        <w:tc>
          <w:tcPr>
            <w:tcW w:w="1531" w:type="dxa"/>
            <w:tcBorders>
              <w:top w:val="nil"/>
              <w:left w:val="nil"/>
              <w:bottom w:val="nil"/>
              <w:right w:val="nil"/>
            </w:tcBorders>
            <w:shd w:val="clear" w:color="auto" w:fill="auto"/>
            <w:noWrap/>
            <w:vAlign w:val="center"/>
          </w:tcPr>
          <w:p w14:paraId="29B3C098" w14:textId="319734A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763983" w:rsidRPr="002C21B8">
              <w:rPr>
                <w:sz w:val="16"/>
                <w:szCs w:val="16"/>
              </w:rPr>
              <w:instrText xml:space="preserve"> ADDIN EN.CITE &lt;EndNote&gt;&lt;Cite&gt;&lt;Author&gt;Generalova&lt;/Author&gt;&lt;Year&gt;2018&lt;/Year&gt;&lt;RecNum&gt;15240&lt;/RecNum&gt;&lt;DisplayText&gt;(Generalova&lt;style face="italic"&gt; et al.&lt;/style&gt;, 2018)&lt;/DisplayText&gt;&lt;record&gt;&lt;rec-number&gt;15240&lt;/rec-number&gt;&lt;foreign-keys&gt;&lt;key app="EN" db-id="xpefzwa5hf9dt2ea9fax95x7xvxz90v09dtf" timestamp="1714467565"&gt;15240&lt;/key&gt;&lt;/foreign-keys&gt;&lt;ref-type name="Journal Article"&gt;17&lt;/ref-type&gt;&lt;contributors&gt;&lt;authors&gt;&lt;author&gt;Generalova, D.&lt;/author&gt;&lt;author&gt;Cunningham, S.&lt;/author&gt;&lt;author&gt;Leslie, S. J.&lt;/author&gt;&lt;author&gt;Rushworth, G. F.&lt;/author&gt;&lt;author&gt;McIver, L.&lt;/author&gt;&lt;author&gt;Stewart, D.&lt;/author&gt;&lt;/authors&gt;&lt;/contributors&gt;&lt;auth-address&gt;School of Pharmacy and Life Sciences, Robert Gordon University, Aberdeen, UK.&amp;#xD;Department of Medicine, Raigmore Hospital, Inverness, UK.&amp;#xD;Highland Pharmacy Education and Research Centre, Centre for Health Science, Inverness, UK.&amp;#xD;Healthcare Improvement Scotland, Glasgow, UK.&lt;/auth-address&gt;&lt;titles&gt;&lt;title&gt;A systematic review of clinicians&amp;apos; views and experiences of direct-acting oral anticoagulants in the management of nonvalvular atrial fibrillation&lt;/title&gt;&lt;secondary-title&gt;British Journal of Clinical Pharmacology&lt;/secondary-title&gt;&lt;/titles&gt;&lt;periodical&gt;&lt;full-title&gt;British Journal of Clinical Pharmacology&lt;/full-title&gt;&lt;/periodical&gt;&lt;pages&gt;2692-2703&lt;/pages&gt;&lt;volume&gt;84&lt;/volume&gt;&lt;number&gt;12&lt;/number&gt;&lt;edition&gt;20180922&lt;/edition&gt;&lt;keywords&gt;&lt;keyword&gt;Administration, Oral&lt;/keyword&gt;&lt;keyword&gt;Anticoagulants/*therapeutic use&lt;/keyword&gt;&lt;keyword&gt;Atrial Fibrillation/*drug therapy&lt;/keyword&gt;&lt;keyword&gt;Humans&lt;/keyword&gt;&lt;keyword&gt;International Normalized Ratio&lt;/keyword&gt;&lt;keyword&gt;arrhythmia&lt;/keyword&gt;&lt;keyword&gt;prescribing&lt;/keyword&gt;&lt;keyword&gt;systematic review&lt;/keyword&gt;&lt;/keywords&gt;&lt;dates&gt;&lt;year&gt;2018&lt;/year&gt;&lt;pub-dates&gt;&lt;date&gt;Dec&lt;/date&gt;&lt;/pub-dates&gt;&lt;/dates&gt;&lt;isbn&gt;0306-5251 (Print)&amp;#xD;0306-5251&lt;/isbn&gt;&lt;accession-num&gt;30112826&lt;/accession-num&gt;&lt;urls&gt;&lt;/urls&gt;&lt;custom2&gt;PMC6255996&lt;/custom2&gt;&lt;electronic-resource-num&gt;10.1111/bcp.13739&lt;/electronic-resource-num&gt;&lt;remote-database-provider&gt;NLM&lt;/remote-database-provider&gt;&lt;language&gt;eng&lt;/language&gt;&lt;/record&gt;&lt;/Cite&gt;&lt;/EndNote&gt;</w:instrText>
            </w:r>
            <w:r w:rsidRPr="002C21B8">
              <w:rPr>
                <w:sz w:val="16"/>
                <w:szCs w:val="16"/>
              </w:rPr>
              <w:fldChar w:fldCharType="separate"/>
            </w:r>
            <w:r w:rsidRPr="002C21B8">
              <w:rPr>
                <w:noProof/>
                <w:sz w:val="16"/>
                <w:szCs w:val="16"/>
              </w:rPr>
              <w:t>(Generalova</w:t>
            </w:r>
            <w:r w:rsidRPr="002C21B8">
              <w:rPr>
                <w:i/>
                <w:noProof/>
                <w:sz w:val="16"/>
                <w:szCs w:val="16"/>
              </w:rPr>
              <w:t xml:space="preserve"> et al.</w:t>
            </w:r>
            <w:r w:rsidRPr="002C21B8">
              <w:rPr>
                <w:noProof/>
                <w:sz w:val="16"/>
                <w:szCs w:val="16"/>
              </w:rPr>
              <w:t>, 2018)</w:t>
            </w:r>
            <w:r w:rsidRPr="002C21B8">
              <w:rPr>
                <w:sz w:val="16"/>
                <w:szCs w:val="16"/>
              </w:rPr>
              <w:fldChar w:fldCharType="end"/>
            </w:r>
          </w:p>
        </w:tc>
        <w:tc>
          <w:tcPr>
            <w:tcW w:w="6493" w:type="dxa"/>
            <w:tcBorders>
              <w:top w:val="nil"/>
              <w:left w:val="nil"/>
              <w:bottom w:val="nil"/>
              <w:right w:val="nil"/>
            </w:tcBorders>
            <w:shd w:val="clear" w:color="auto" w:fill="auto"/>
          </w:tcPr>
          <w:p w14:paraId="6FF053A5" w14:textId="77777777" w:rsidR="002F0740" w:rsidRPr="002C21B8" w:rsidRDefault="002F0740" w:rsidP="00D418D8">
            <w:pPr>
              <w:spacing w:beforeLines="20" w:before="48" w:afterLines="20" w:after="48" w:line="240" w:lineRule="auto"/>
              <w:rPr>
                <w:sz w:val="16"/>
                <w:szCs w:val="16"/>
              </w:rPr>
            </w:pPr>
            <w:r w:rsidRPr="002C21B8">
              <w:rPr>
                <w:sz w:val="16"/>
                <w:szCs w:val="16"/>
              </w:rPr>
              <w:t>A systematic review of clinicians' views and experiences of direct‐acting oral anticoagulants in the management of nonvalvular atrial fibrillation</w:t>
            </w:r>
          </w:p>
        </w:tc>
        <w:tc>
          <w:tcPr>
            <w:tcW w:w="964" w:type="dxa"/>
            <w:tcBorders>
              <w:top w:val="nil"/>
              <w:left w:val="nil"/>
              <w:bottom w:val="nil"/>
              <w:right w:val="nil"/>
            </w:tcBorders>
            <w:shd w:val="clear" w:color="auto" w:fill="auto"/>
            <w:noWrap/>
          </w:tcPr>
          <w:p w14:paraId="71C5C545"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4B2DCA4C"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36B6A48B"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17D347A8"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1F70C5BC" w14:textId="77777777" w:rsidR="002F0740" w:rsidRPr="002C21B8" w:rsidRDefault="002F0740" w:rsidP="00D418D8">
            <w:pPr>
              <w:spacing w:beforeLines="20" w:before="48" w:afterLines="20" w:after="48" w:line="240" w:lineRule="auto"/>
              <w:rPr>
                <w:sz w:val="16"/>
                <w:szCs w:val="16"/>
              </w:rPr>
            </w:pPr>
            <w:r w:rsidRPr="002C21B8">
              <w:rPr>
                <w:sz w:val="16"/>
                <w:szCs w:val="16"/>
              </w:rPr>
              <w:t>10</w:t>
            </w:r>
          </w:p>
        </w:tc>
      </w:tr>
      <w:tr w:rsidR="002F0740" w:rsidRPr="002C21B8" w14:paraId="6D2FA8EA" w14:textId="77777777" w:rsidTr="00DA7613">
        <w:trPr>
          <w:trHeight w:val="340"/>
        </w:trPr>
        <w:tc>
          <w:tcPr>
            <w:tcW w:w="1531" w:type="dxa"/>
            <w:tcBorders>
              <w:top w:val="nil"/>
              <w:left w:val="nil"/>
              <w:bottom w:val="nil"/>
              <w:right w:val="nil"/>
            </w:tcBorders>
            <w:shd w:val="clear" w:color="auto" w:fill="auto"/>
            <w:noWrap/>
            <w:vAlign w:val="center"/>
          </w:tcPr>
          <w:p w14:paraId="782CF5AC" w14:textId="1C1FC8DB"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763983" w:rsidRPr="002C21B8">
              <w:rPr>
                <w:sz w:val="16"/>
                <w:szCs w:val="16"/>
              </w:rPr>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rPr>
                <w:sz w:val="16"/>
                <w:szCs w:val="16"/>
              </w:rPr>
              <w:fldChar w:fldCharType="separate"/>
            </w:r>
            <w:r w:rsidRPr="002C21B8">
              <w:rPr>
                <w:noProof/>
                <w:sz w:val="16"/>
                <w:szCs w:val="16"/>
              </w:rPr>
              <w:t>(Iudici</w:t>
            </w:r>
            <w:r w:rsidRPr="002C21B8">
              <w:rPr>
                <w:i/>
                <w:noProof/>
                <w:sz w:val="16"/>
                <w:szCs w:val="16"/>
              </w:rPr>
              <w:t xml:space="preserve"> et al.</w:t>
            </w:r>
            <w:r w:rsidRPr="002C21B8">
              <w:rPr>
                <w:noProof/>
                <w:sz w:val="16"/>
                <w:szCs w:val="16"/>
              </w:rPr>
              <w:t>, 2014)</w:t>
            </w:r>
            <w:r w:rsidRPr="002C21B8">
              <w:rPr>
                <w:sz w:val="16"/>
                <w:szCs w:val="16"/>
              </w:rPr>
              <w:fldChar w:fldCharType="end"/>
            </w:r>
          </w:p>
        </w:tc>
        <w:tc>
          <w:tcPr>
            <w:tcW w:w="6493" w:type="dxa"/>
            <w:tcBorders>
              <w:top w:val="nil"/>
              <w:left w:val="nil"/>
              <w:bottom w:val="nil"/>
              <w:right w:val="nil"/>
            </w:tcBorders>
            <w:shd w:val="clear" w:color="auto" w:fill="auto"/>
          </w:tcPr>
          <w:p w14:paraId="6FD9CC1B" w14:textId="77777777" w:rsidR="002F0740" w:rsidRPr="002C21B8" w:rsidRDefault="002F0740" w:rsidP="00D418D8">
            <w:pPr>
              <w:spacing w:beforeLines="20" w:before="48" w:afterLines="20" w:after="48" w:line="240" w:lineRule="auto"/>
              <w:rPr>
                <w:sz w:val="16"/>
                <w:szCs w:val="16"/>
              </w:rPr>
            </w:pPr>
            <w:r w:rsidRPr="002C21B8">
              <w:rPr>
                <w:sz w:val="16"/>
                <w:szCs w:val="16"/>
              </w:rPr>
              <w:t>Prevalence and factors associated with glucocorticoids (GC) use in systemic sclerosis (SSc): a systematic review and meta-analysis of cohort studies and registries</w:t>
            </w:r>
          </w:p>
        </w:tc>
        <w:tc>
          <w:tcPr>
            <w:tcW w:w="964" w:type="dxa"/>
            <w:tcBorders>
              <w:top w:val="nil"/>
              <w:left w:val="nil"/>
              <w:bottom w:val="nil"/>
              <w:right w:val="nil"/>
            </w:tcBorders>
            <w:shd w:val="clear" w:color="auto" w:fill="auto"/>
            <w:noWrap/>
          </w:tcPr>
          <w:p w14:paraId="117814FB" w14:textId="77777777" w:rsidR="002F0740" w:rsidRPr="002C21B8" w:rsidRDefault="002F0740" w:rsidP="00D418D8">
            <w:pPr>
              <w:spacing w:beforeLines="20" w:before="48" w:afterLines="20" w:after="48" w:line="240" w:lineRule="auto"/>
              <w:rPr>
                <w:sz w:val="16"/>
                <w:szCs w:val="16"/>
              </w:rPr>
            </w:pPr>
            <w:r w:rsidRPr="002C21B8">
              <w:rPr>
                <w:sz w:val="16"/>
                <w:szCs w:val="16"/>
              </w:rPr>
              <w:t>Italy</w:t>
            </w:r>
          </w:p>
        </w:tc>
        <w:tc>
          <w:tcPr>
            <w:tcW w:w="1247" w:type="dxa"/>
            <w:tcBorders>
              <w:top w:val="nil"/>
              <w:left w:val="nil"/>
              <w:bottom w:val="nil"/>
              <w:right w:val="nil"/>
            </w:tcBorders>
          </w:tcPr>
          <w:p w14:paraId="46C9ADAF" w14:textId="77777777" w:rsidR="002F0740" w:rsidRPr="002C21B8" w:rsidRDefault="002F0740" w:rsidP="00D418D8">
            <w:pPr>
              <w:spacing w:beforeLines="20" w:before="48" w:afterLines="20" w:after="48" w:line="240" w:lineRule="auto"/>
              <w:rPr>
                <w:sz w:val="16"/>
                <w:szCs w:val="16"/>
              </w:rPr>
            </w:pPr>
            <w:r w:rsidRPr="002C21B8">
              <w:rPr>
                <w:sz w:val="16"/>
                <w:szCs w:val="16"/>
              </w:rPr>
              <w:t>Systemic sclerosis</w:t>
            </w:r>
          </w:p>
        </w:tc>
        <w:tc>
          <w:tcPr>
            <w:tcW w:w="1701" w:type="dxa"/>
            <w:tcBorders>
              <w:top w:val="nil"/>
              <w:left w:val="nil"/>
              <w:bottom w:val="nil"/>
              <w:right w:val="nil"/>
            </w:tcBorders>
            <w:shd w:val="clear" w:color="auto" w:fill="auto"/>
          </w:tcPr>
          <w:p w14:paraId="4218FDDF"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Glucocorticoids</w:t>
            </w:r>
          </w:p>
        </w:tc>
        <w:tc>
          <w:tcPr>
            <w:tcW w:w="1275" w:type="dxa"/>
            <w:tcBorders>
              <w:top w:val="nil"/>
              <w:left w:val="nil"/>
              <w:bottom w:val="nil"/>
              <w:right w:val="nil"/>
            </w:tcBorders>
          </w:tcPr>
          <w:p w14:paraId="53D0320C"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751CCE9F" w14:textId="77777777" w:rsidR="002F0740" w:rsidRPr="002C21B8" w:rsidRDefault="002F0740" w:rsidP="00D418D8">
            <w:pPr>
              <w:spacing w:beforeLines="20" w:before="48" w:afterLines="20" w:after="48" w:line="240" w:lineRule="auto"/>
              <w:rPr>
                <w:sz w:val="16"/>
                <w:szCs w:val="16"/>
              </w:rPr>
            </w:pPr>
            <w:r w:rsidRPr="002C21B8">
              <w:rPr>
                <w:sz w:val="16"/>
                <w:szCs w:val="16"/>
              </w:rPr>
              <w:t>23</w:t>
            </w:r>
          </w:p>
        </w:tc>
      </w:tr>
      <w:tr w:rsidR="002F0740" w:rsidRPr="002C21B8" w14:paraId="415BECAC" w14:textId="77777777" w:rsidTr="00DA7613">
        <w:trPr>
          <w:trHeight w:val="340"/>
        </w:trPr>
        <w:tc>
          <w:tcPr>
            <w:tcW w:w="1531" w:type="dxa"/>
            <w:tcBorders>
              <w:top w:val="nil"/>
              <w:left w:val="nil"/>
              <w:bottom w:val="nil"/>
              <w:right w:val="nil"/>
            </w:tcBorders>
            <w:shd w:val="clear" w:color="auto" w:fill="auto"/>
            <w:noWrap/>
            <w:vAlign w:val="center"/>
          </w:tcPr>
          <w:p w14:paraId="586FFC49" w14:textId="28493A05"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2F6167" w:rsidRPr="002C21B8">
              <w:rPr>
                <w:sz w:val="16"/>
                <w:szCs w:val="16"/>
              </w:rPr>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rPr>
                <w:sz w:val="16"/>
                <w:szCs w:val="16"/>
              </w:rPr>
              <w:fldChar w:fldCharType="separate"/>
            </w:r>
            <w:r w:rsidRPr="002C21B8">
              <w:rPr>
                <w:noProof/>
                <w:sz w:val="16"/>
                <w:szCs w:val="16"/>
              </w:rPr>
              <w:t>(Ju</w:t>
            </w:r>
            <w:r w:rsidRPr="002C21B8">
              <w:rPr>
                <w:i/>
                <w:noProof/>
                <w:sz w:val="16"/>
                <w:szCs w:val="16"/>
              </w:rPr>
              <w:t xml:space="preserve"> et al.</w:t>
            </w:r>
            <w:r w:rsidRPr="002C21B8">
              <w:rPr>
                <w:noProof/>
                <w:sz w:val="16"/>
                <w:szCs w:val="16"/>
              </w:rPr>
              <w:t>, 2018)</w:t>
            </w:r>
            <w:r w:rsidRPr="002C21B8">
              <w:rPr>
                <w:sz w:val="16"/>
                <w:szCs w:val="16"/>
              </w:rPr>
              <w:fldChar w:fldCharType="end"/>
            </w:r>
          </w:p>
        </w:tc>
        <w:tc>
          <w:tcPr>
            <w:tcW w:w="6493" w:type="dxa"/>
            <w:tcBorders>
              <w:top w:val="nil"/>
              <w:left w:val="nil"/>
              <w:bottom w:val="nil"/>
              <w:right w:val="nil"/>
            </w:tcBorders>
            <w:shd w:val="clear" w:color="auto" w:fill="auto"/>
          </w:tcPr>
          <w:p w14:paraId="5B2E7048" w14:textId="77777777" w:rsidR="002F0740" w:rsidRPr="002C21B8" w:rsidRDefault="002F0740" w:rsidP="00D418D8">
            <w:pPr>
              <w:spacing w:beforeLines="20" w:before="48" w:afterLines="20" w:after="48" w:line="240" w:lineRule="auto"/>
              <w:rPr>
                <w:sz w:val="16"/>
                <w:szCs w:val="16"/>
              </w:rPr>
            </w:pPr>
            <w:r w:rsidRPr="002C21B8">
              <w:rPr>
                <w:sz w:val="16"/>
                <w:szCs w:val="16"/>
              </w:rPr>
              <w:t>General practitioners' perspectives on the prevention of cardiovascular disease: systematic review and thematic synthesis of qualitative studies</w:t>
            </w:r>
          </w:p>
        </w:tc>
        <w:tc>
          <w:tcPr>
            <w:tcW w:w="964" w:type="dxa"/>
            <w:tcBorders>
              <w:top w:val="nil"/>
              <w:left w:val="nil"/>
              <w:bottom w:val="nil"/>
              <w:right w:val="nil"/>
            </w:tcBorders>
            <w:shd w:val="clear" w:color="auto" w:fill="auto"/>
            <w:noWrap/>
          </w:tcPr>
          <w:p w14:paraId="1F966C59" w14:textId="77777777" w:rsidR="002F0740" w:rsidRPr="002C21B8" w:rsidRDefault="002F0740" w:rsidP="00D418D8">
            <w:pPr>
              <w:spacing w:beforeLines="20" w:before="48" w:afterLines="20" w:after="48" w:line="240" w:lineRule="auto"/>
              <w:rPr>
                <w:sz w:val="16"/>
                <w:szCs w:val="16"/>
              </w:rPr>
            </w:pPr>
            <w:r w:rsidRPr="002C21B8">
              <w:rPr>
                <w:sz w:val="16"/>
                <w:szCs w:val="16"/>
              </w:rPr>
              <w:t>Australia</w:t>
            </w:r>
          </w:p>
        </w:tc>
        <w:tc>
          <w:tcPr>
            <w:tcW w:w="1247" w:type="dxa"/>
            <w:tcBorders>
              <w:top w:val="nil"/>
              <w:left w:val="nil"/>
              <w:bottom w:val="nil"/>
              <w:right w:val="nil"/>
            </w:tcBorders>
          </w:tcPr>
          <w:p w14:paraId="68C76547" w14:textId="77777777" w:rsidR="002F0740" w:rsidRPr="002C21B8" w:rsidRDefault="002F0740" w:rsidP="00D418D8">
            <w:pPr>
              <w:spacing w:beforeLines="20" w:before="48" w:afterLines="20" w:after="48" w:line="240" w:lineRule="auto"/>
              <w:rPr>
                <w:sz w:val="16"/>
                <w:szCs w:val="16"/>
              </w:rPr>
            </w:pPr>
            <w:r w:rsidRPr="002C21B8">
              <w:rPr>
                <w:sz w:val="16"/>
                <w:szCs w:val="16"/>
              </w:rPr>
              <w:t>Cardiovascular disease</w:t>
            </w:r>
          </w:p>
        </w:tc>
        <w:tc>
          <w:tcPr>
            <w:tcW w:w="1701" w:type="dxa"/>
            <w:tcBorders>
              <w:top w:val="nil"/>
              <w:left w:val="nil"/>
              <w:bottom w:val="nil"/>
              <w:right w:val="nil"/>
            </w:tcBorders>
            <w:shd w:val="clear" w:color="auto" w:fill="auto"/>
          </w:tcPr>
          <w:p w14:paraId="4485318E"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Preventative cardiovascular agents</w:t>
            </w:r>
          </w:p>
        </w:tc>
        <w:tc>
          <w:tcPr>
            <w:tcW w:w="1275" w:type="dxa"/>
            <w:tcBorders>
              <w:top w:val="nil"/>
              <w:left w:val="nil"/>
              <w:bottom w:val="nil"/>
              <w:right w:val="nil"/>
            </w:tcBorders>
          </w:tcPr>
          <w:p w14:paraId="44CAE97B"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376BE5CE" w14:textId="77777777" w:rsidR="002F0740" w:rsidRPr="002C21B8" w:rsidRDefault="002F0740" w:rsidP="00D418D8">
            <w:pPr>
              <w:spacing w:beforeLines="20" w:before="48" w:afterLines="20" w:after="48" w:line="240" w:lineRule="auto"/>
              <w:rPr>
                <w:sz w:val="16"/>
                <w:szCs w:val="16"/>
              </w:rPr>
            </w:pPr>
            <w:r w:rsidRPr="002C21B8">
              <w:rPr>
                <w:sz w:val="16"/>
                <w:szCs w:val="16"/>
              </w:rPr>
              <w:t>34</w:t>
            </w:r>
          </w:p>
        </w:tc>
      </w:tr>
      <w:tr w:rsidR="002F0740" w:rsidRPr="002C21B8" w14:paraId="63B2B469" w14:textId="77777777" w:rsidTr="00DA7613">
        <w:trPr>
          <w:trHeight w:val="340"/>
        </w:trPr>
        <w:tc>
          <w:tcPr>
            <w:tcW w:w="1531" w:type="dxa"/>
            <w:tcBorders>
              <w:top w:val="nil"/>
              <w:left w:val="nil"/>
              <w:bottom w:val="nil"/>
              <w:right w:val="nil"/>
            </w:tcBorders>
            <w:shd w:val="clear" w:color="auto" w:fill="auto"/>
            <w:noWrap/>
            <w:vAlign w:val="center"/>
          </w:tcPr>
          <w:p w14:paraId="7E935E58" w14:textId="4F13511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2F6167" w:rsidRPr="002C21B8">
              <w:rPr>
                <w:sz w:val="16"/>
                <w:szCs w:val="16"/>
              </w:rPr>
              <w:instrText xml:space="preserve"> ADDIN EN.CITE &lt;EndNote&gt;&lt;Cite&gt;&lt;Author&gt;Khatib&lt;/Author&gt;&lt;Year&gt;2014&lt;/Year&gt;&lt;RecNum&gt;15213&lt;/RecNum&gt;&lt;DisplayText&gt;(Khatib&lt;style face="italic"&gt; et al.&lt;/style&gt;, 2014)&lt;/DisplayText&gt;&lt;record&gt;&lt;rec-number&gt;15213&lt;/rec-number&gt;&lt;foreign-keys&gt;&lt;key app="EN" db-id="xpefzwa5hf9dt2ea9fax95x7xvxz90v09dtf" timestamp="1713279547"&gt;15213&lt;/key&gt;&lt;/foreign-keys&gt;&lt;ref-type name="Journal Article"&gt;17&lt;/ref-type&gt;&lt;contributors&gt;&lt;authors&gt;&lt;author&gt;Khatib, Rasha&lt;/author&gt;&lt;author&gt;Schwalm, Jon-David&lt;/author&gt;&lt;author&gt;Yusuf, Salim&lt;/author&gt;&lt;author&gt;Haynes, R Brian&lt;/author&gt;&lt;author&gt;McKee, Martin&lt;/author&gt;&lt;author&gt;Khan, Maheer&lt;/author&gt;&lt;author&gt;Nieuwlaat, Robby&lt;/author&gt;&lt;/authors&gt;&lt;/contributors&gt;&lt;titles&gt;&lt;title&gt;Patient and healthcare provider barriers to hypertension awareness, treatment and follow up: a systematic review and meta-analysis of qualitative and quantitative studies&lt;/title&gt;&lt;secondary-title&gt;PLOS One&lt;/secondary-title&gt;&lt;/titles&gt;&lt;periodical&gt;&lt;full-title&gt;PLoS ONE&lt;/full-title&gt;&lt;/periodical&gt;&lt;pages&gt;e84238&lt;/pages&gt;&lt;volume&gt;9&lt;/volume&gt;&lt;number&gt;1&lt;/number&gt;&lt;dates&gt;&lt;year&gt;2014&lt;/year&gt;&lt;/dates&gt;&lt;isbn&gt;1932-6203&lt;/isbn&gt;&lt;urls&gt;&lt;/urls&gt;&lt;/record&gt;&lt;/Cite&gt;&lt;/EndNote&gt;</w:instrText>
            </w:r>
            <w:r w:rsidRPr="002C21B8">
              <w:rPr>
                <w:sz w:val="16"/>
                <w:szCs w:val="16"/>
              </w:rPr>
              <w:fldChar w:fldCharType="separate"/>
            </w:r>
            <w:r w:rsidRPr="002C21B8">
              <w:rPr>
                <w:noProof/>
                <w:sz w:val="16"/>
                <w:szCs w:val="16"/>
              </w:rPr>
              <w:t>(Khatib</w:t>
            </w:r>
            <w:r w:rsidRPr="002C21B8">
              <w:rPr>
                <w:i/>
                <w:noProof/>
                <w:sz w:val="16"/>
                <w:szCs w:val="16"/>
              </w:rPr>
              <w:t xml:space="preserve"> et al.</w:t>
            </w:r>
            <w:r w:rsidRPr="002C21B8">
              <w:rPr>
                <w:noProof/>
                <w:sz w:val="16"/>
                <w:szCs w:val="16"/>
              </w:rPr>
              <w:t>, 2014)</w:t>
            </w:r>
            <w:r w:rsidRPr="002C21B8">
              <w:rPr>
                <w:sz w:val="16"/>
                <w:szCs w:val="16"/>
              </w:rPr>
              <w:fldChar w:fldCharType="end"/>
            </w:r>
          </w:p>
        </w:tc>
        <w:tc>
          <w:tcPr>
            <w:tcW w:w="6493" w:type="dxa"/>
            <w:tcBorders>
              <w:top w:val="nil"/>
              <w:left w:val="nil"/>
              <w:bottom w:val="nil"/>
              <w:right w:val="nil"/>
            </w:tcBorders>
            <w:shd w:val="clear" w:color="auto" w:fill="auto"/>
          </w:tcPr>
          <w:p w14:paraId="76974A54" w14:textId="77777777" w:rsidR="002F0740" w:rsidRPr="002C21B8" w:rsidRDefault="002F0740" w:rsidP="00D418D8">
            <w:pPr>
              <w:spacing w:beforeLines="20" w:before="48" w:afterLines="20" w:after="48" w:line="240" w:lineRule="auto"/>
              <w:rPr>
                <w:sz w:val="16"/>
                <w:szCs w:val="16"/>
              </w:rPr>
            </w:pPr>
            <w:r w:rsidRPr="002C21B8">
              <w:rPr>
                <w:sz w:val="16"/>
                <w:szCs w:val="16"/>
              </w:rPr>
              <w:t>Patient and healthcare provider barriers to hypertension awareness, treatment and follow up: a systematic review and meta-analysis of qualitative and quantitative studies</w:t>
            </w:r>
          </w:p>
        </w:tc>
        <w:tc>
          <w:tcPr>
            <w:tcW w:w="964" w:type="dxa"/>
            <w:tcBorders>
              <w:top w:val="nil"/>
              <w:left w:val="nil"/>
              <w:bottom w:val="nil"/>
              <w:right w:val="nil"/>
            </w:tcBorders>
            <w:shd w:val="clear" w:color="auto" w:fill="auto"/>
            <w:noWrap/>
          </w:tcPr>
          <w:p w14:paraId="250B7C2B" w14:textId="77777777" w:rsidR="002F0740" w:rsidRPr="002C21B8" w:rsidRDefault="002F0740" w:rsidP="00D418D8">
            <w:pPr>
              <w:spacing w:beforeLines="20" w:before="48" w:afterLines="20" w:after="48" w:line="240" w:lineRule="auto"/>
              <w:rPr>
                <w:sz w:val="16"/>
                <w:szCs w:val="16"/>
              </w:rPr>
            </w:pPr>
            <w:r w:rsidRPr="002C21B8">
              <w:rPr>
                <w:sz w:val="16"/>
                <w:szCs w:val="16"/>
              </w:rPr>
              <w:t>Canada</w:t>
            </w:r>
          </w:p>
        </w:tc>
        <w:tc>
          <w:tcPr>
            <w:tcW w:w="1247" w:type="dxa"/>
            <w:tcBorders>
              <w:top w:val="nil"/>
              <w:left w:val="nil"/>
              <w:bottom w:val="nil"/>
              <w:right w:val="nil"/>
            </w:tcBorders>
          </w:tcPr>
          <w:p w14:paraId="44A736A4"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nil"/>
              <w:left w:val="nil"/>
              <w:bottom w:val="nil"/>
              <w:right w:val="nil"/>
            </w:tcBorders>
            <w:shd w:val="clear" w:color="auto" w:fill="auto"/>
          </w:tcPr>
          <w:p w14:paraId="5DE8142F"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nil"/>
              <w:left w:val="nil"/>
              <w:bottom w:val="nil"/>
              <w:right w:val="nil"/>
            </w:tcBorders>
          </w:tcPr>
          <w:p w14:paraId="2B5B2A6A"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6376E817" w14:textId="77777777" w:rsidR="002F0740" w:rsidRPr="002C21B8" w:rsidRDefault="002F0740" w:rsidP="00D418D8">
            <w:pPr>
              <w:spacing w:beforeLines="20" w:before="48" w:afterLines="20" w:after="48" w:line="240" w:lineRule="auto"/>
              <w:rPr>
                <w:sz w:val="16"/>
                <w:szCs w:val="16"/>
              </w:rPr>
            </w:pPr>
            <w:r w:rsidRPr="002C21B8">
              <w:rPr>
                <w:sz w:val="16"/>
                <w:szCs w:val="16"/>
              </w:rPr>
              <w:t>69</w:t>
            </w:r>
          </w:p>
        </w:tc>
      </w:tr>
      <w:tr w:rsidR="002F0740" w:rsidRPr="002C21B8" w14:paraId="4DD024EF" w14:textId="77777777" w:rsidTr="00DA7613">
        <w:trPr>
          <w:trHeight w:val="340"/>
        </w:trPr>
        <w:tc>
          <w:tcPr>
            <w:tcW w:w="1531" w:type="dxa"/>
            <w:tcBorders>
              <w:top w:val="nil"/>
              <w:left w:val="nil"/>
              <w:bottom w:val="nil"/>
              <w:right w:val="nil"/>
            </w:tcBorders>
            <w:shd w:val="clear" w:color="auto" w:fill="auto"/>
            <w:noWrap/>
            <w:vAlign w:val="center"/>
          </w:tcPr>
          <w:p w14:paraId="59C01C39" w14:textId="20688DB8"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455B2B" w:rsidRPr="002C21B8">
              <w:rPr>
                <w:sz w:val="16"/>
                <w:szCs w:val="16"/>
              </w:rPr>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rPr>
                <w:sz w:val="16"/>
                <w:szCs w:val="16"/>
              </w:rPr>
              <w:fldChar w:fldCharType="separate"/>
            </w:r>
            <w:r w:rsidRPr="002C21B8">
              <w:rPr>
                <w:noProof/>
                <w:sz w:val="16"/>
                <w:szCs w:val="16"/>
              </w:rPr>
              <w:t>(Lalor</w:t>
            </w:r>
            <w:r w:rsidRPr="002C21B8">
              <w:rPr>
                <w:i/>
                <w:noProof/>
                <w:sz w:val="16"/>
                <w:szCs w:val="16"/>
              </w:rPr>
              <w:t xml:space="preserve"> et al.</w:t>
            </w:r>
            <w:r w:rsidRPr="002C21B8">
              <w:rPr>
                <w:noProof/>
                <w:sz w:val="16"/>
                <w:szCs w:val="16"/>
              </w:rPr>
              <w:t>, 2022)</w:t>
            </w:r>
            <w:r w:rsidRPr="002C21B8">
              <w:rPr>
                <w:sz w:val="16"/>
                <w:szCs w:val="16"/>
              </w:rPr>
              <w:fldChar w:fldCharType="end"/>
            </w:r>
          </w:p>
        </w:tc>
        <w:tc>
          <w:tcPr>
            <w:tcW w:w="6493" w:type="dxa"/>
            <w:tcBorders>
              <w:top w:val="nil"/>
              <w:left w:val="nil"/>
              <w:bottom w:val="nil"/>
              <w:right w:val="nil"/>
            </w:tcBorders>
            <w:shd w:val="clear" w:color="auto" w:fill="auto"/>
          </w:tcPr>
          <w:p w14:paraId="3A07AF1E" w14:textId="77777777" w:rsidR="002F0740" w:rsidRPr="002C21B8" w:rsidRDefault="002F0740" w:rsidP="00D418D8">
            <w:pPr>
              <w:spacing w:beforeLines="20" w:before="48" w:afterLines="20" w:after="48" w:line="240" w:lineRule="auto"/>
              <w:rPr>
                <w:sz w:val="16"/>
                <w:szCs w:val="16"/>
              </w:rPr>
            </w:pPr>
            <w:r w:rsidRPr="002C21B8">
              <w:rPr>
                <w:sz w:val="16"/>
                <w:szCs w:val="16"/>
              </w:rPr>
              <w:t>Factors influencing clinician prescribing of disease-modifying anti-rheumatic drugs for inflammatory arthritis: A systematic review and thematic synthesis of qualitative studies</w:t>
            </w:r>
          </w:p>
        </w:tc>
        <w:tc>
          <w:tcPr>
            <w:tcW w:w="964" w:type="dxa"/>
            <w:tcBorders>
              <w:top w:val="nil"/>
              <w:left w:val="nil"/>
              <w:bottom w:val="nil"/>
              <w:right w:val="nil"/>
            </w:tcBorders>
            <w:shd w:val="clear" w:color="auto" w:fill="auto"/>
            <w:noWrap/>
          </w:tcPr>
          <w:p w14:paraId="53D5E7C4" w14:textId="77777777" w:rsidR="002F0740" w:rsidRPr="002C21B8" w:rsidRDefault="002F0740" w:rsidP="00D418D8">
            <w:pPr>
              <w:spacing w:beforeLines="20" w:before="48" w:afterLines="20" w:after="48" w:line="240" w:lineRule="auto"/>
              <w:rPr>
                <w:sz w:val="16"/>
                <w:szCs w:val="16"/>
              </w:rPr>
            </w:pPr>
            <w:r w:rsidRPr="002C21B8">
              <w:rPr>
                <w:sz w:val="16"/>
                <w:szCs w:val="16"/>
              </w:rPr>
              <w:t>Australia</w:t>
            </w:r>
          </w:p>
        </w:tc>
        <w:tc>
          <w:tcPr>
            <w:tcW w:w="1247" w:type="dxa"/>
            <w:tcBorders>
              <w:top w:val="nil"/>
              <w:left w:val="nil"/>
              <w:bottom w:val="nil"/>
              <w:right w:val="nil"/>
            </w:tcBorders>
          </w:tcPr>
          <w:p w14:paraId="50292A30" w14:textId="77777777" w:rsidR="002F0740" w:rsidRPr="002C21B8" w:rsidRDefault="002F0740" w:rsidP="00D418D8">
            <w:pPr>
              <w:spacing w:beforeLines="20" w:before="48" w:afterLines="20" w:after="48" w:line="240" w:lineRule="auto"/>
              <w:rPr>
                <w:sz w:val="16"/>
                <w:szCs w:val="16"/>
              </w:rPr>
            </w:pPr>
            <w:r w:rsidRPr="002C21B8">
              <w:rPr>
                <w:sz w:val="16"/>
                <w:szCs w:val="16"/>
              </w:rPr>
              <w:t>Inflammatory arthritis</w:t>
            </w:r>
          </w:p>
        </w:tc>
        <w:tc>
          <w:tcPr>
            <w:tcW w:w="1701" w:type="dxa"/>
            <w:tcBorders>
              <w:top w:val="nil"/>
              <w:left w:val="nil"/>
              <w:bottom w:val="nil"/>
              <w:right w:val="nil"/>
            </w:tcBorders>
            <w:shd w:val="clear" w:color="auto" w:fill="auto"/>
          </w:tcPr>
          <w:p w14:paraId="56444110" w14:textId="11AB8F2D" w:rsidR="002F0740" w:rsidRPr="002C21B8" w:rsidRDefault="002F0740" w:rsidP="00D418D8">
            <w:pPr>
              <w:spacing w:beforeLines="20" w:before="48" w:afterLines="20" w:after="48" w:line="240" w:lineRule="auto"/>
              <w:jc w:val="left"/>
              <w:rPr>
                <w:sz w:val="16"/>
                <w:szCs w:val="16"/>
              </w:rPr>
            </w:pPr>
            <w:r w:rsidRPr="002C21B8">
              <w:rPr>
                <w:sz w:val="16"/>
                <w:szCs w:val="16"/>
              </w:rPr>
              <w:t>Disease</w:t>
            </w:r>
            <w:r w:rsidR="00C10E32" w:rsidRPr="002C21B8">
              <w:rPr>
                <w:sz w:val="16"/>
                <w:szCs w:val="16"/>
              </w:rPr>
              <w:t>-</w:t>
            </w:r>
            <w:r w:rsidRPr="002C21B8">
              <w:rPr>
                <w:sz w:val="16"/>
                <w:szCs w:val="16"/>
              </w:rPr>
              <w:t>modifying anti-rheumatics</w:t>
            </w:r>
          </w:p>
        </w:tc>
        <w:tc>
          <w:tcPr>
            <w:tcW w:w="1275" w:type="dxa"/>
            <w:tcBorders>
              <w:top w:val="nil"/>
              <w:left w:val="nil"/>
              <w:bottom w:val="nil"/>
              <w:right w:val="nil"/>
            </w:tcBorders>
          </w:tcPr>
          <w:p w14:paraId="1380E38C" w14:textId="77777777" w:rsidR="002F0740" w:rsidRPr="002C21B8" w:rsidRDefault="002F0740" w:rsidP="00D418D8">
            <w:pPr>
              <w:spacing w:beforeLines="20" w:before="48" w:afterLines="20" w:after="48" w:line="240" w:lineRule="auto"/>
              <w:rPr>
                <w:sz w:val="16"/>
                <w:szCs w:val="16"/>
              </w:rPr>
            </w:pPr>
            <w:r w:rsidRPr="002C21B8">
              <w:rPr>
                <w:sz w:val="16"/>
                <w:szCs w:val="16"/>
              </w:rPr>
              <w:t>Qualitative</w:t>
            </w:r>
          </w:p>
        </w:tc>
        <w:tc>
          <w:tcPr>
            <w:tcW w:w="703" w:type="dxa"/>
            <w:tcBorders>
              <w:top w:val="nil"/>
              <w:left w:val="nil"/>
              <w:bottom w:val="nil"/>
            </w:tcBorders>
          </w:tcPr>
          <w:p w14:paraId="52A63871" w14:textId="77777777" w:rsidR="002F0740" w:rsidRPr="002C21B8" w:rsidRDefault="002F0740" w:rsidP="00D418D8">
            <w:pPr>
              <w:spacing w:beforeLines="20" w:before="48" w:afterLines="20" w:after="48" w:line="240" w:lineRule="auto"/>
              <w:rPr>
                <w:sz w:val="16"/>
                <w:szCs w:val="16"/>
              </w:rPr>
            </w:pPr>
            <w:r w:rsidRPr="002C21B8">
              <w:rPr>
                <w:sz w:val="16"/>
                <w:szCs w:val="16"/>
              </w:rPr>
              <w:t>15</w:t>
            </w:r>
          </w:p>
        </w:tc>
      </w:tr>
      <w:tr w:rsidR="002F0740" w:rsidRPr="002C21B8" w14:paraId="2BD89D1A" w14:textId="77777777" w:rsidTr="00DA7613">
        <w:trPr>
          <w:trHeight w:val="340"/>
        </w:trPr>
        <w:tc>
          <w:tcPr>
            <w:tcW w:w="1531" w:type="dxa"/>
            <w:tcBorders>
              <w:top w:val="nil"/>
              <w:left w:val="nil"/>
              <w:bottom w:val="nil"/>
              <w:right w:val="nil"/>
            </w:tcBorders>
            <w:shd w:val="clear" w:color="auto" w:fill="auto"/>
            <w:noWrap/>
            <w:vAlign w:val="center"/>
          </w:tcPr>
          <w:p w14:paraId="4525D584"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&lt;EndNote&gt;&lt;Cite&gt;&lt;Author&gt;Mahmoud&lt;/Author&gt;&lt;Year&gt;2023&lt;/Year&gt;&lt;RecNum&gt;15229&lt;/RecNum&gt;&lt;DisplayText&gt;(Mahmoud&lt;style face="italic"&gt; et al.&lt;/style&gt;, 2023)&lt;/DisplayText&gt;&lt;record&gt;&lt;rec-number&gt;15229&lt;/rec-number&gt;&lt;foreign-keys&gt;&lt;key app="EN" db-id="xpefzwa5hf9dt2ea9fax95x7xvxz90v09dtf" timestamp="1713539567"&gt;15229&lt;/key&gt;&lt;/foreign-keys&gt;&lt;ref-type name="Journal Article"&gt;17&lt;/ref-type&gt;&lt;contributors&gt;&lt;authors&gt;&lt;author&gt;Mahmoud, Fatema&lt;/author&gt;&lt;author&gt;Mullen, Alexander&lt;/author&gt;&lt;author&gt;Sainsbury, Chris&lt;/author&gt;&lt;author&gt;Rushworth, Gordon F&lt;/author&gt;&lt;author&gt;Yasin, Haya&lt;/author&gt;&lt;author&gt;Abutheraa, Nouf&lt;/author&gt;&lt;author&gt;Mueller, Tanja&lt;/author&gt;&lt;author&gt;Kurdi, Amanj&lt;/author&gt;&lt;/authors&gt;&lt;/contributors&gt;&lt;titles&gt;&lt;title&gt;Meta‐analysis of factors associated with antidiabetic drug prescribing for type 2 diabetes mellitus&lt;/title&gt;&lt;secondary-title&gt;European Journal of Clinical Investigation&lt;/secondary-title&gt;&lt;/titles&gt;&lt;periodical&gt;&lt;full-title&gt;European journal of clinical investigation&lt;/full-title&gt;&lt;/periodical&gt;&lt;pages&gt;e13997&lt;/pages&gt;&lt;volume&gt;53&lt;/volume&gt;&lt;number&gt;8&lt;/number&gt;&lt;dates&gt;&lt;year&gt;2023&lt;/year&gt;&lt;/dates&gt;&lt;isbn&gt;0014-2972&lt;/isbn&gt;&lt;urls&gt;&lt;/urls&gt;&lt;/record&gt;&lt;/Cite&gt;&lt;/EndNote&gt;</w:instrText>
            </w:r>
            <w:r w:rsidRPr="002C21B8">
              <w:rPr>
                <w:sz w:val="16"/>
                <w:szCs w:val="16"/>
              </w:rPr>
              <w:fldChar w:fldCharType="separate"/>
            </w:r>
            <w:r w:rsidRPr="002C21B8">
              <w:rPr>
                <w:sz w:val="16"/>
                <w:szCs w:val="16"/>
              </w:rPr>
              <w:t>(Mahmoud</w:t>
            </w:r>
            <w:r w:rsidRPr="002C21B8">
              <w:rPr>
                <w:i/>
                <w:sz w:val="16"/>
                <w:szCs w:val="16"/>
              </w:rPr>
              <w:t xml:space="preserve"> et al.</w:t>
            </w:r>
            <w:r w:rsidRPr="002C21B8">
              <w:rPr>
                <w:sz w:val="16"/>
                <w:szCs w:val="16"/>
              </w:rPr>
              <w:t>, 2023)</w:t>
            </w:r>
            <w:r w:rsidRPr="002C21B8">
              <w:rPr>
                <w:sz w:val="16"/>
                <w:szCs w:val="16"/>
              </w:rPr>
              <w:fldChar w:fldCharType="end"/>
            </w:r>
          </w:p>
        </w:tc>
        <w:tc>
          <w:tcPr>
            <w:tcW w:w="6493" w:type="dxa"/>
            <w:tcBorders>
              <w:top w:val="nil"/>
              <w:left w:val="nil"/>
              <w:bottom w:val="nil"/>
              <w:right w:val="nil"/>
            </w:tcBorders>
            <w:shd w:val="clear" w:color="auto" w:fill="auto"/>
          </w:tcPr>
          <w:p w14:paraId="577D09FC" w14:textId="77777777" w:rsidR="002F0740" w:rsidRPr="002C21B8" w:rsidRDefault="002F0740" w:rsidP="00D418D8">
            <w:pPr>
              <w:spacing w:beforeLines="20" w:before="48" w:afterLines="20" w:after="48" w:line="240" w:lineRule="auto"/>
              <w:rPr>
                <w:sz w:val="16"/>
                <w:szCs w:val="16"/>
              </w:rPr>
            </w:pPr>
            <w:r w:rsidRPr="002C21B8">
              <w:rPr>
                <w:sz w:val="16"/>
                <w:szCs w:val="16"/>
              </w:rPr>
              <w:t>Meta-analysis of factors associated with antidiabetic drug prescribing for type 2 diabetes mellitus</w:t>
            </w:r>
          </w:p>
        </w:tc>
        <w:tc>
          <w:tcPr>
            <w:tcW w:w="964" w:type="dxa"/>
            <w:tcBorders>
              <w:top w:val="nil"/>
              <w:left w:val="nil"/>
              <w:bottom w:val="nil"/>
              <w:right w:val="nil"/>
            </w:tcBorders>
            <w:shd w:val="clear" w:color="auto" w:fill="auto"/>
            <w:noWrap/>
          </w:tcPr>
          <w:p w14:paraId="72F4EB00"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38E852C4" w14:textId="77777777" w:rsidR="002F0740" w:rsidRPr="002C21B8" w:rsidRDefault="002F0740" w:rsidP="00D418D8">
            <w:pPr>
              <w:spacing w:beforeLines="20" w:before="48" w:afterLines="20" w:after="48" w:line="240" w:lineRule="auto"/>
              <w:rPr>
                <w:sz w:val="16"/>
                <w:szCs w:val="16"/>
              </w:rPr>
            </w:pPr>
            <w:r w:rsidRPr="002C21B8">
              <w:rPr>
                <w:sz w:val="16"/>
                <w:szCs w:val="16"/>
              </w:rPr>
              <w:t>Diabetes mellitus</w:t>
            </w:r>
          </w:p>
        </w:tc>
        <w:tc>
          <w:tcPr>
            <w:tcW w:w="1701" w:type="dxa"/>
            <w:tcBorders>
              <w:top w:val="nil"/>
              <w:left w:val="nil"/>
              <w:bottom w:val="nil"/>
              <w:right w:val="nil"/>
            </w:tcBorders>
            <w:shd w:val="clear" w:color="auto" w:fill="auto"/>
          </w:tcPr>
          <w:p w14:paraId="43BBF51B"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Oral hypoglycaemics</w:t>
            </w:r>
          </w:p>
        </w:tc>
        <w:tc>
          <w:tcPr>
            <w:tcW w:w="1275" w:type="dxa"/>
            <w:tcBorders>
              <w:top w:val="nil"/>
              <w:left w:val="nil"/>
              <w:bottom w:val="nil"/>
              <w:right w:val="nil"/>
            </w:tcBorders>
          </w:tcPr>
          <w:p w14:paraId="1CB6E6BA"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2FBE1FD9" w14:textId="77777777" w:rsidR="002F0740" w:rsidRPr="002C21B8" w:rsidRDefault="002F0740" w:rsidP="00D418D8">
            <w:pPr>
              <w:spacing w:beforeLines="20" w:before="48" w:afterLines="20" w:after="48" w:line="240" w:lineRule="auto"/>
              <w:rPr>
                <w:sz w:val="16"/>
                <w:szCs w:val="16"/>
              </w:rPr>
            </w:pPr>
            <w:r w:rsidRPr="002C21B8">
              <w:rPr>
                <w:sz w:val="16"/>
                <w:szCs w:val="16"/>
              </w:rPr>
              <w:t>40</w:t>
            </w:r>
          </w:p>
        </w:tc>
      </w:tr>
      <w:tr w:rsidR="002F0740" w:rsidRPr="002C21B8" w14:paraId="045ACFEF" w14:textId="77777777" w:rsidTr="00DA7613">
        <w:trPr>
          <w:trHeight w:val="340"/>
        </w:trPr>
        <w:tc>
          <w:tcPr>
            <w:tcW w:w="1531" w:type="dxa"/>
            <w:tcBorders>
              <w:top w:val="nil"/>
              <w:left w:val="nil"/>
              <w:bottom w:val="nil"/>
              <w:right w:val="nil"/>
            </w:tcBorders>
            <w:shd w:val="clear" w:color="auto" w:fill="auto"/>
            <w:noWrap/>
            <w:vAlign w:val="center"/>
          </w:tcPr>
          <w:p w14:paraId="300FBD0C" w14:textId="1D97EE4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90E88" w:rsidRPr="002C21B8">
              <w:rPr>
                <w:sz w:val="16"/>
                <w:szCs w:val="16"/>
              </w:rPr>
              <w:instrText xml:space="preserve"> ADDIN EN.CITE &lt;EndNote&gt;&lt;Cite&gt;&lt;Author&gt;Maimaris&lt;/Author&gt;&lt;Year&gt;2013&lt;/Year&gt;&lt;RecNum&gt;15227&lt;/RecNum&gt;&lt;DisplayText&gt;(Maimaris&lt;style face="italic"&gt; et al.&lt;/style&gt;, 2013)&lt;/DisplayText&gt;&lt;record&gt;&lt;rec-number&gt;15227&lt;/rec-number&gt;&lt;foreign-keys&gt;&lt;key app="EN" db-id="xpefzwa5hf9dt2ea9fax95x7xvxz90v09dtf" timestamp="1713539385"&gt;15227&lt;/key&gt;&lt;/foreign-keys&gt;&lt;ref-type name="Journal Article"&gt;17&lt;/ref-type&gt;&lt;contributors&gt;&lt;authors&gt;&lt;author&gt;Maimaris, Will&lt;/author&gt;&lt;author&gt;Paty, Jared&lt;/author&gt;&lt;author&gt;Perel, Pablo&lt;/author&gt;&lt;author&gt;Legido-Quigley, Helena&lt;/author&gt;&lt;author&gt;Balabanova, Dina&lt;/author&gt;&lt;author&gt;Nieuwlaat, Robby&lt;/author&gt;&lt;author&gt;Mckee, Martin&lt;/author&gt;&lt;/authors&gt;&lt;/contributors&gt;&lt;titles&gt;&lt;title&gt;The influence of health systems on hypertension awareness, treatment, and control: a systematic literature review&lt;/title&gt;&lt;secondary-title&gt;PLOS Medicine&lt;/secondary-title&gt;&lt;/titles&gt;&lt;periodical&gt;&lt;full-title&gt;PLoS medicine&lt;/full-title&gt;&lt;/periodical&gt;&lt;pages&gt;e1001490&lt;/pages&gt;&lt;volume&gt;10&lt;/volume&gt;&lt;number&gt;7&lt;/number&gt;&lt;dates&gt;&lt;year&gt;2013&lt;/year&gt;&lt;/dates&gt;&lt;isbn&gt;1549-1676&lt;/isbn&gt;&lt;urls&gt;&lt;/urls&gt;&lt;/record&gt;&lt;/Cite&gt;&lt;/EndNote&gt;</w:instrText>
            </w:r>
            <w:r w:rsidRPr="002C21B8">
              <w:rPr>
                <w:sz w:val="16"/>
                <w:szCs w:val="16"/>
              </w:rPr>
              <w:fldChar w:fldCharType="separate"/>
            </w:r>
            <w:r w:rsidRPr="002C21B8">
              <w:rPr>
                <w:noProof/>
                <w:sz w:val="16"/>
                <w:szCs w:val="16"/>
              </w:rPr>
              <w:t>(Maimaris</w:t>
            </w:r>
            <w:r w:rsidRPr="002C21B8">
              <w:rPr>
                <w:i/>
                <w:noProof/>
                <w:sz w:val="16"/>
                <w:szCs w:val="16"/>
              </w:rPr>
              <w:t xml:space="preserve"> et al.</w:t>
            </w:r>
            <w:r w:rsidRPr="002C21B8">
              <w:rPr>
                <w:noProof/>
                <w:sz w:val="16"/>
                <w:szCs w:val="16"/>
              </w:rPr>
              <w:t>, 2013)</w:t>
            </w:r>
            <w:r w:rsidRPr="002C21B8">
              <w:rPr>
                <w:sz w:val="16"/>
                <w:szCs w:val="16"/>
              </w:rPr>
              <w:fldChar w:fldCharType="end"/>
            </w:r>
          </w:p>
        </w:tc>
        <w:tc>
          <w:tcPr>
            <w:tcW w:w="6493" w:type="dxa"/>
            <w:tcBorders>
              <w:top w:val="nil"/>
              <w:left w:val="nil"/>
              <w:bottom w:val="nil"/>
              <w:right w:val="nil"/>
            </w:tcBorders>
            <w:shd w:val="clear" w:color="auto" w:fill="auto"/>
          </w:tcPr>
          <w:p w14:paraId="66D43D97" w14:textId="77777777" w:rsidR="002F0740" w:rsidRPr="002C21B8" w:rsidRDefault="002F0740" w:rsidP="00D418D8">
            <w:pPr>
              <w:spacing w:beforeLines="20" w:before="48" w:afterLines="20" w:after="48" w:line="240" w:lineRule="auto"/>
              <w:rPr>
                <w:sz w:val="16"/>
                <w:szCs w:val="16"/>
              </w:rPr>
            </w:pPr>
            <w:r w:rsidRPr="002C21B8">
              <w:rPr>
                <w:sz w:val="16"/>
                <w:szCs w:val="16"/>
              </w:rPr>
              <w:t>The influence of health systems on hypertension awareness, treatment, and control: a systematic literature review</w:t>
            </w:r>
          </w:p>
        </w:tc>
        <w:tc>
          <w:tcPr>
            <w:tcW w:w="964" w:type="dxa"/>
            <w:tcBorders>
              <w:top w:val="nil"/>
              <w:left w:val="nil"/>
              <w:bottom w:val="nil"/>
              <w:right w:val="nil"/>
            </w:tcBorders>
            <w:shd w:val="clear" w:color="auto" w:fill="auto"/>
            <w:noWrap/>
          </w:tcPr>
          <w:p w14:paraId="774BA796"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2C692E9D"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nil"/>
              <w:left w:val="nil"/>
              <w:bottom w:val="nil"/>
              <w:right w:val="nil"/>
            </w:tcBorders>
            <w:shd w:val="clear" w:color="auto" w:fill="auto"/>
          </w:tcPr>
          <w:p w14:paraId="5A2DFFF2"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nil"/>
              <w:left w:val="nil"/>
              <w:bottom w:val="nil"/>
              <w:right w:val="nil"/>
            </w:tcBorders>
          </w:tcPr>
          <w:p w14:paraId="31C0C89F"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right w:val="nil"/>
            </w:tcBorders>
          </w:tcPr>
          <w:p w14:paraId="4BDD5035" w14:textId="77777777" w:rsidR="002F0740" w:rsidRPr="002C21B8" w:rsidRDefault="002F0740" w:rsidP="00D418D8">
            <w:pPr>
              <w:spacing w:beforeLines="20" w:before="48" w:afterLines="20" w:after="48" w:line="240" w:lineRule="auto"/>
              <w:rPr>
                <w:sz w:val="16"/>
                <w:szCs w:val="16"/>
              </w:rPr>
            </w:pPr>
            <w:r w:rsidRPr="002C21B8">
              <w:rPr>
                <w:sz w:val="16"/>
                <w:szCs w:val="16"/>
              </w:rPr>
              <w:t>53</w:t>
            </w:r>
          </w:p>
        </w:tc>
      </w:tr>
      <w:tr w:rsidR="002F0740" w:rsidRPr="002C21B8" w14:paraId="39510EA4" w14:textId="77777777" w:rsidTr="00DA7613">
        <w:trPr>
          <w:trHeight w:val="340"/>
        </w:trPr>
        <w:tc>
          <w:tcPr>
            <w:tcW w:w="1531" w:type="dxa"/>
            <w:tcBorders>
              <w:top w:val="nil"/>
              <w:left w:val="nil"/>
              <w:bottom w:val="nil"/>
              <w:right w:val="nil"/>
            </w:tcBorders>
            <w:shd w:val="clear" w:color="auto" w:fill="auto"/>
            <w:noWrap/>
            <w:vAlign w:val="center"/>
          </w:tcPr>
          <w:p w14:paraId="2AE7ACA9" w14:textId="326512C0"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90E88" w:rsidRPr="002C21B8">
              <w:rPr>
                <w:sz w:val="16"/>
                <w:szCs w:val="16"/>
              </w:rPr>
              <w:instrText xml:space="preserve"> ADDIN EN.CITE &lt;EndNote&gt;&lt;Cite&gt;&lt;Author&gt;Mas Dalmau&lt;/Author&gt;&lt;Year&gt;2017&lt;/Year&gt;&lt;RecNum&gt;15215&lt;/RecNum&gt;&lt;DisplayText&gt;(Mas Dalmau&lt;style face="italic"&gt; et al.&lt;/style&gt;, 2017)&lt;/DisplayText&gt;&lt;record&gt;&lt;rec-number&gt;15215&lt;/rec-number&gt;&lt;foreign-keys&gt;&lt;key app="EN" db-id="xpefzwa5hf9dt2ea9fax95x7xvxz90v09dtf" timestamp="1713284875"&gt;15215&lt;/key&gt;&lt;/foreign-keys&gt;&lt;ref-type name="Journal Article"&gt;17&lt;/ref-type&gt;&lt;contributors&gt;&lt;authors&gt;&lt;author&gt;Mas Dalmau, Gemma&lt;/author&gt;&lt;author&gt;Sant Arderiu, Elisenda&lt;/author&gt;&lt;author&gt;Enfedaque Montes, Maria Belen&lt;/author&gt;&lt;author&gt;Solà, Ivan&lt;/author&gt;&lt;author&gt;Pequeno Saco, Sandra&lt;/author&gt;&lt;author&gt;Alonso Coello, Pablo&lt;/author&gt;&lt;/authors&gt;&lt;/contributors&gt;&lt;titles&gt;&lt;title&gt;Patients’ and physicians’ perceptions and attitudes about oral anticoagulation and atrial fibrillation: a qualitative systematic review&lt;/title&gt;&lt;secondary-title&gt;BMC Family Practice&lt;/secondary-title&gt;&lt;/titles&gt;&lt;periodical&gt;&lt;full-title&gt;BMC family practice&lt;/full-title&gt;&lt;/periodical&gt;&lt;pages&gt;1-11&lt;/pages&gt;&lt;volume&gt;18&lt;/volume&gt;&lt;dates&gt;&lt;year&gt;2017&lt;/year&gt;&lt;/dates&gt;&lt;urls&gt;&lt;/urls&gt;&lt;/record&gt;&lt;/Cite&gt;&lt;/EndNote&gt;</w:instrText>
            </w:r>
            <w:r w:rsidRPr="002C21B8">
              <w:rPr>
                <w:sz w:val="16"/>
                <w:szCs w:val="16"/>
              </w:rPr>
              <w:fldChar w:fldCharType="separate"/>
            </w:r>
            <w:r w:rsidRPr="002C21B8">
              <w:rPr>
                <w:noProof/>
                <w:sz w:val="16"/>
                <w:szCs w:val="16"/>
              </w:rPr>
              <w:t>(Mas Dalmau</w:t>
            </w:r>
            <w:r w:rsidRPr="002C21B8">
              <w:rPr>
                <w:i/>
                <w:noProof/>
                <w:sz w:val="16"/>
                <w:szCs w:val="16"/>
              </w:rPr>
              <w:t xml:space="preserve"> et al.</w:t>
            </w:r>
            <w:r w:rsidRPr="002C21B8">
              <w:rPr>
                <w:noProof/>
                <w:sz w:val="16"/>
                <w:szCs w:val="16"/>
              </w:rPr>
              <w:t>, 2017)</w:t>
            </w:r>
            <w:r w:rsidRPr="002C21B8">
              <w:rPr>
                <w:sz w:val="16"/>
                <w:szCs w:val="16"/>
              </w:rPr>
              <w:fldChar w:fldCharType="end"/>
            </w:r>
          </w:p>
        </w:tc>
        <w:tc>
          <w:tcPr>
            <w:tcW w:w="6493" w:type="dxa"/>
            <w:tcBorders>
              <w:top w:val="nil"/>
              <w:left w:val="nil"/>
              <w:bottom w:val="nil"/>
              <w:right w:val="nil"/>
            </w:tcBorders>
            <w:shd w:val="clear" w:color="auto" w:fill="auto"/>
          </w:tcPr>
          <w:p w14:paraId="14D7A903" w14:textId="77777777" w:rsidR="002F0740" w:rsidRPr="002C21B8" w:rsidRDefault="002F0740" w:rsidP="00D418D8">
            <w:pPr>
              <w:spacing w:beforeLines="20" w:before="48" w:afterLines="20" w:after="48" w:line="240" w:lineRule="auto"/>
              <w:rPr>
                <w:sz w:val="16"/>
                <w:szCs w:val="16"/>
              </w:rPr>
            </w:pPr>
            <w:r w:rsidRPr="002C21B8">
              <w:rPr>
                <w:sz w:val="16"/>
                <w:szCs w:val="16"/>
              </w:rPr>
              <w:t>Patients' and physicians' perceptions and attitudes about oral anticoagulation and atrial fibrillation: a qualitative systematic review</w:t>
            </w:r>
          </w:p>
        </w:tc>
        <w:tc>
          <w:tcPr>
            <w:tcW w:w="964" w:type="dxa"/>
            <w:tcBorders>
              <w:top w:val="nil"/>
              <w:left w:val="nil"/>
              <w:bottom w:val="nil"/>
              <w:right w:val="nil"/>
            </w:tcBorders>
            <w:shd w:val="clear" w:color="auto" w:fill="auto"/>
            <w:noWrap/>
          </w:tcPr>
          <w:p w14:paraId="307B94DC" w14:textId="77777777" w:rsidR="002F0740" w:rsidRPr="002C21B8" w:rsidRDefault="002F0740" w:rsidP="00D418D8">
            <w:pPr>
              <w:spacing w:beforeLines="20" w:before="48" w:afterLines="20" w:after="48" w:line="240" w:lineRule="auto"/>
              <w:rPr>
                <w:sz w:val="16"/>
                <w:szCs w:val="16"/>
              </w:rPr>
            </w:pPr>
            <w:r w:rsidRPr="002C21B8">
              <w:rPr>
                <w:sz w:val="16"/>
                <w:szCs w:val="16"/>
              </w:rPr>
              <w:t>Spain</w:t>
            </w:r>
          </w:p>
        </w:tc>
        <w:tc>
          <w:tcPr>
            <w:tcW w:w="1247" w:type="dxa"/>
            <w:tcBorders>
              <w:top w:val="nil"/>
              <w:left w:val="nil"/>
              <w:bottom w:val="nil"/>
              <w:right w:val="nil"/>
            </w:tcBorders>
          </w:tcPr>
          <w:p w14:paraId="100A7B51"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7D297929"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3B1A1693"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right w:val="nil"/>
            </w:tcBorders>
          </w:tcPr>
          <w:p w14:paraId="72E0E8D4" w14:textId="77777777" w:rsidR="002F0740" w:rsidRPr="002C21B8" w:rsidRDefault="002F0740" w:rsidP="00D418D8">
            <w:pPr>
              <w:spacing w:beforeLines="20" w:before="48" w:afterLines="20" w:after="48" w:line="240" w:lineRule="auto"/>
              <w:rPr>
                <w:sz w:val="16"/>
                <w:szCs w:val="16"/>
              </w:rPr>
            </w:pPr>
            <w:r w:rsidRPr="002C21B8">
              <w:rPr>
                <w:sz w:val="16"/>
                <w:szCs w:val="16"/>
              </w:rPr>
              <w:t>9</w:t>
            </w:r>
          </w:p>
        </w:tc>
      </w:tr>
      <w:tr w:rsidR="002F0740" w:rsidRPr="002C21B8" w14:paraId="0C8862CE" w14:textId="77777777" w:rsidTr="00DA7613">
        <w:trPr>
          <w:trHeight w:val="340"/>
        </w:trPr>
        <w:tc>
          <w:tcPr>
            <w:tcW w:w="1531" w:type="dxa"/>
            <w:tcBorders>
              <w:top w:val="nil"/>
              <w:left w:val="nil"/>
              <w:bottom w:val="nil"/>
              <w:right w:val="nil"/>
            </w:tcBorders>
            <w:shd w:val="clear" w:color="auto" w:fill="auto"/>
            <w:noWrap/>
            <w:vAlign w:val="center"/>
          </w:tcPr>
          <w:p w14:paraId="75AB8C8E" w14:textId="785CF52E"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90E88" w:rsidRPr="002C21B8">
              <w:rPr>
                <w:sz w:val="16"/>
                <w:szCs w:val="16"/>
              </w:rPr>
              <w:instrText xml:space="preserve"> ADDIN EN.CITE &lt;EndNote&gt;&lt;Cite&gt;&lt;Author&gt;Milman&lt;/Author&gt;&lt;Year&gt;2018&lt;/Year&gt;&lt;RecNum&gt;17404&lt;/RecNum&gt;&lt;DisplayText&gt;(Milman&lt;style face="italic"&gt; et al.&lt;/style&gt;, 2018)&lt;/DisplayText&gt;&lt;record&gt;&lt;rec-number&gt;17404&lt;/rec-number&gt;&lt;foreign-keys&gt;&lt;key app="EN" db-id="xpefzwa5hf9dt2ea9fax95x7xvxz90v09dtf" timestamp="1720793228"&gt;17404&lt;/key&gt;&lt;/foreign-keys&gt;&lt;ref-type name="Journal Article"&gt;17&lt;/ref-type&gt;&lt;contributors&gt;&lt;authors&gt;&lt;author&gt;Milman, T.&lt;/author&gt;&lt;author&gt;Joundi, R. A.&lt;/author&gt;&lt;author&gt;Alotaibi, N. M.&lt;/author&gt;&lt;author&gt;Saposnik, G.&lt;/author&gt;&lt;/authors&gt;&lt;/contributors&gt;&lt;auth-address&gt;Faculty of Medicine Division of Neurology, Department of Medicine Division of Neurosurgery, Department of Surgery St. Michael&amp;apos;s Hospital Department of Medicine and Institute of Health Policy, Management and Evaluation, University of Toronto Institute for Clinical Evaluative Sciences (ICES), Toronto, ON, Canada.&lt;/auth-address&gt;&lt;titles&gt;&lt;title&gt;Clinical inertia in the pharmacological management of hypertension: A systematic review and meta-analysis&lt;/title&gt;&lt;secondary-title&gt;Medicine&lt;/secondary-title&gt;&lt;/titles&gt;&lt;periodical&gt;&lt;full-title&gt;Medicine&lt;/full-title&gt;&lt;/periodical&gt;&lt;pages&gt;e11121&lt;/pages&gt;&lt;volume&gt;97&lt;/volume&gt;&lt;number&gt;25&lt;/number&gt;&lt;keywords&gt;&lt;keyword&gt;Antihypertensive Agents/*pharmacology&lt;/keyword&gt;&lt;keyword&gt;Bias&lt;/keyword&gt;&lt;keyword&gt;Humans&lt;/keyword&gt;&lt;keyword&gt;Hypertension/*drug therapy&lt;/keyword&gt;&lt;keyword&gt;*Patient Care Management/methods/standards&lt;/keyword&gt;&lt;keyword&gt;Practice Patterns, Physicians&amp;apos;&lt;/keyword&gt;&lt;keyword&gt;Treatment Failure&lt;/keyword&gt;&lt;/keywords&gt;&lt;dates&gt;&lt;year&gt;2018&lt;/year&gt;&lt;pub-dates&gt;&lt;date&gt;Jun&lt;/date&gt;&lt;/pub-dates&gt;&lt;/dates&gt;&lt;isbn&gt;0025-7974 (Print)&amp;#xD;0025-7974&lt;/isbn&gt;&lt;accession-num&gt;29924011&lt;/accession-num&gt;&lt;urls&gt;&lt;/urls&gt;&lt;custom2&gt;PMC6025046&lt;/custom2&gt;&lt;electronic-resource-num&gt;10.1097/md.0000000000011121&lt;/electronic-resource-num&gt;&lt;remote-database-provider&gt;NLM&lt;/remote-database-provider&gt;&lt;language&gt;eng&lt;/language&gt;&lt;/record&gt;&lt;/Cite&gt;&lt;/EndNote&gt;</w:instrText>
            </w:r>
            <w:r w:rsidRPr="002C21B8">
              <w:rPr>
                <w:sz w:val="16"/>
                <w:szCs w:val="16"/>
              </w:rPr>
              <w:fldChar w:fldCharType="separate"/>
            </w:r>
            <w:r w:rsidRPr="002C21B8">
              <w:rPr>
                <w:noProof/>
                <w:sz w:val="16"/>
                <w:szCs w:val="16"/>
              </w:rPr>
              <w:t>(Milman</w:t>
            </w:r>
            <w:r w:rsidRPr="002C21B8">
              <w:rPr>
                <w:i/>
                <w:noProof/>
                <w:sz w:val="16"/>
                <w:szCs w:val="16"/>
              </w:rPr>
              <w:t xml:space="preserve"> et al.</w:t>
            </w:r>
            <w:r w:rsidRPr="002C21B8">
              <w:rPr>
                <w:noProof/>
                <w:sz w:val="16"/>
                <w:szCs w:val="16"/>
              </w:rPr>
              <w:t>, 2018)</w:t>
            </w:r>
            <w:r w:rsidRPr="002C21B8">
              <w:rPr>
                <w:sz w:val="16"/>
                <w:szCs w:val="16"/>
              </w:rPr>
              <w:fldChar w:fldCharType="end"/>
            </w:r>
          </w:p>
        </w:tc>
        <w:tc>
          <w:tcPr>
            <w:tcW w:w="6493" w:type="dxa"/>
            <w:tcBorders>
              <w:top w:val="nil"/>
              <w:left w:val="nil"/>
              <w:bottom w:val="nil"/>
              <w:right w:val="nil"/>
            </w:tcBorders>
            <w:shd w:val="clear" w:color="auto" w:fill="auto"/>
          </w:tcPr>
          <w:p w14:paraId="513C21C4" w14:textId="77777777" w:rsidR="002F0740" w:rsidRPr="002C21B8" w:rsidRDefault="002F0740" w:rsidP="00D418D8">
            <w:pPr>
              <w:spacing w:beforeLines="20" w:before="48" w:afterLines="20" w:after="48" w:line="240" w:lineRule="auto"/>
              <w:rPr>
                <w:color w:val="212121"/>
                <w:sz w:val="16"/>
                <w:szCs w:val="16"/>
              </w:rPr>
            </w:pPr>
            <w:r w:rsidRPr="002C21B8">
              <w:rPr>
                <w:sz w:val="16"/>
                <w:szCs w:val="16"/>
              </w:rPr>
              <w:t>Clinical inertia in the pharmacological management of hypertension: A systematic review and meta-analysis</w:t>
            </w:r>
          </w:p>
        </w:tc>
        <w:tc>
          <w:tcPr>
            <w:tcW w:w="964" w:type="dxa"/>
            <w:tcBorders>
              <w:top w:val="nil"/>
              <w:left w:val="nil"/>
              <w:bottom w:val="nil"/>
              <w:right w:val="nil"/>
            </w:tcBorders>
            <w:shd w:val="clear" w:color="auto" w:fill="auto"/>
            <w:noWrap/>
          </w:tcPr>
          <w:p w14:paraId="0AE8318D" w14:textId="77777777" w:rsidR="002F0740" w:rsidRPr="002C21B8" w:rsidRDefault="002F0740" w:rsidP="00D418D8">
            <w:pPr>
              <w:spacing w:beforeLines="20" w:before="48" w:afterLines="20" w:after="48" w:line="240" w:lineRule="auto"/>
              <w:rPr>
                <w:sz w:val="16"/>
                <w:szCs w:val="16"/>
              </w:rPr>
            </w:pPr>
            <w:r w:rsidRPr="002C21B8">
              <w:rPr>
                <w:sz w:val="16"/>
                <w:szCs w:val="16"/>
              </w:rPr>
              <w:t>Canada</w:t>
            </w:r>
          </w:p>
        </w:tc>
        <w:tc>
          <w:tcPr>
            <w:tcW w:w="1247" w:type="dxa"/>
            <w:tcBorders>
              <w:top w:val="nil"/>
              <w:left w:val="nil"/>
              <w:bottom w:val="nil"/>
              <w:right w:val="nil"/>
            </w:tcBorders>
          </w:tcPr>
          <w:p w14:paraId="08C19D6E" w14:textId="77777777" w:rsidR="002F0740" w:rsidRPr="002C21B8" w:rsidRDefault="002F0740" w:rsidP="00D418D8">
            <w:pPr>
              <w:spacing w:beforeLines="20" w:before="48" w:afterLines="20" w:after="48" w:line="240" w:lineRule="auto"/>
              <w:rPr>
                <w:sz w:val="16"/>
                <w:szCs w:val="16"/>
              </w:rPr>
            </w:pPr>
            <w:r w:rsidRPr="002C21B8">
              <w:rPr>
                <w:sz w:val="16"/>
                <w:szCs w:val="16"/>
              </w:rPr>
              <w:t>Hypertension</w:t>
            </w:r>
          </w:p>
        </w:tc>
        <w:tc>
          <w:tcPr>
            <w:tcW w:w="1701" w:type="dxa"/>
            <w:tcBorders>
              <w:top w:val="nil"/>
              <w:left w:val="nil"/>
              <w:bottom w:val="nil"/>
              <w:right w:val="nil"/>
            </w:tcBorders>
            <w:shd w:val="clear" w:color="auto" w:fill="auto"/>
          </w:tcPr>
          <w:p w14:paraId="06C14913"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Antihypertensives</w:t>
            </w:r>
          </w:p>
        </w:tc>
        <w:tc>
          <w:tcPr>
            <w:tcW w:w="1275" w:type="dxa"/>
            <w:tcBorders>
              <w:top w:val="nil"/>
              <w:left w:val="nil"/>
              <w:bottom w:val="nil"/>
              <w:right w:val="nil"/>
            </w:tcBorders>
          </w:tcPr>
          <w:p w14:paraId="401D15A6"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36D4608A" w14:textId="77777777" w:rsidR="002F0740" w:rsidRPr="002C21B8" w:rsidRDefault="002F0740" w:rsidP="00D418D8">
            <w:pPr>
              <w:spacing w:beforeLines="20" w:before="48" w:afterLines="20" w:after="48" w:line="240" w:lineRule="auto"/>
              <w:rPr>
                <w:sz w:val="16"/>
                <w:szCs w:val="16"/>
              </w:rPr>
            </w:pPr>
            <w:r w:rsidRPr="002C21B8">
              <w:rPr>
                <w:sz w:val="16"/>
                <w:szCs w:val="16"/>
              </w:rPr>
              <w:t>8</w:t>
            </w:r>
          </w:p>
        </w:tc>
      </w:tr>
      <w:tr w:rsidR="002F0740" w:rsidRPr="002C21B8" w14:paraId="2315500C" w14:textId="77777777" w:rsidTr="00DA7613">
        <w:trPr>
          <w:trHeight w:val="340"/>
        </w:trPr>
        <w:tc>
          <w:tcPr>
            <w:tcW w:w="1531" w:type="dxa"/>
            <w:tcBorders>
              <w:top w:val="nil"/>
              <w:left w:val="nil"/>
              <w:bottom w:val="nil"/>
              <w:right w:val="nil"/>
            </w:tcBorders>
            <w:shd w:val="clear" w:color="auto" w:fill="auto"/>
            <w:noWrap/>
            <w:vAlign w:val="center"/>
          </w:tcPr>
          <w:p w14:paraId="6743360D" w14:textId="1903079E"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90E88" w:rsidRPr="002C21B8">
              <w:rPr>
                <w:sz w:val="16"/>
                <w:szCs w:val="16"/>
              </w:rPr>
              <w:instrText xml:space="preserve"> ADDIN EN.CITE &lt;EndNote&gt;&lt;Cite&gt;&lt;Author&gt;Ng&lt;/Author&gt;&lt;Year&gt;2015&lt;/Year&gt;&lt;RecNum&gt;15216&lt;/RecNum&gt;&lt;DisplayText&gt;(Ng&lt;style face="italic"&gt; et al.&lt;/style&gt;, 2015)&lt;/DisplayText&gt;&lt;record&gt;&lt;rec-number&gt;15216&lt;/rec-number&gt;&lt;foreign-keys&gt;&lt;key app="EN" db-id="xpefzwa5hf9dt2ea9fax95x7xvxz90v09dtf" timestamp="1713284994"&gt;15216&lt;/key&gt;&lt;/foreign-keys&gt;&lt;ref-type name="Journal Article"&gt;17&lt;/ref-type&gt;&lt;contributors&gt;&lt;authors&gt;&lt;author&gt;Ng, Chirk J&lt;/author&gt;&lt;author&gt;Lai, Pauline SM&lt;/author&gt;&lt;author&gt;Lee, YK&lt;/author&gt;&lt;author&gt;Azmi, Syahidatul Akmal&lt;/author&gt;&lt;author&gt;Teo, Chin Hai&lt;/author&gt;&lt;/authors&gt;&lt;/contributors&gt;&lt;titles&gt;&lt;title&gt;Barriers and facilitators to starting insulin in patients with type 2 diabetes: a systematic review&lt;/title&gt;&lt;secondary-title&gt;International Journal of Clinical Practice&lt;/secondary-title&gt;&lt;/titles&gt;&lt;periodical&gt;&lt;full-title&gt;International Journal of Clinical Practice&lt;/full-title&gt;&lt;/periodical&gt;&lt;pages&gt;1050-1070&lt;/pages&gt;&lt;volume&gt;69&lt;/volume&gt;&lt;number&gt;10&lt;/number&gt;&lt;dates&gt;&lt;year&gt;2015&lt;/year&gt;&lt;/dates&gt;&lt;isbn&gt;1368-5031&lt;/isbn&gt;&lt;urls&gt;&lt;/urls&gt;&lt;/record&gt;&lt;/Cite&gt;&lt;/EndNote&gt;</w:instrText>
            </w:r>
            <w:r w:rsidRPr="002C21B8">
              <w:rPr>
                <w:sz w:val="16"/>
                <w:szCs w:val="16"/>
              </w:rPr>
              <w:fldChar w:fldCharType="separate"/>
            </w:r>
            <w:r w:rsidRPr="002C21B8">
              <w:rPr>
                <w:noProof/>
                <w:sz w:val="16"/>
                <w:szCs w:val="16"/>
              </w:rPr>
              <w:t>(Ng</w:t>
            </w:r>
            <w:r w:rsidRPr="002C21B8">
              <w:rPr>
                <w:i/>
                <w:noProof/>
                <w:sz w:val="16"/>
                <w:szCs w:val="16"/>
              </w:rPr>
              <w:t xml:space="preserve"> et al.</w:t>
            </w:r>
            <w:r w:rsidRPr="002C21B8">
              <w:rPr>
                <w:noProof/>
                <w:sz w:val="16"/>
                <w:szCs w:val="16"/>
              </w:rPr>
              <w:t>, 2015)</w:t>
            </w:r>
            <w:r w:rsidRPr="002C21B8">
              <w:rPr>
                <w:sz w:val="16"/>
                <w:szCs w:val="16"/>
              </w:rPr>
              <w:fldChar w:fldCharType="end"/>
            </w:r>
          </w:p>
        </w:tc>
        <w:tc>
          <w:tcPr>
            <w:tcW w:w="6493" w:type="dxa"/>
            <w:tcBorders>
              <w:top w:val="nil"/>
              <w:left w:val="nil"/>
              <w:bottom w:val="nil"/>
              <w:right w:val="nil"/>
            </w:tcBorders>
            <w:shd w:val="clear" w:color="auto" w:fill="auto"/>
          </w:tcPr>
          <w:p w14:paraId="187D79ED" w14:textId="77777777" w:rsidR="002F0740" w:rsidRPr="002C21B8" w:rsidRDefault="002F0740" w:rsidP="00D418D8">
            <w:pPr>
              <w:spacing w:beforeLines="20" w:before="48" w:afterLines="20" w:after="48" w:line="240" w:lineRule="auto"/>
              <w:rPr>
                <w:sz w:val="16"/>
                <w:szCs w:val="16"/>
              </w:rPr>
            </w:pPr>
            <w:r w:rsidRPr="002C21B8">
              <w:rPr>
                <w:sz w:val="16"/>
                <w:szCs w:val="16"/>
              </w:rPr>
              <w:t>Barriers and facilitators to starting insulin in patients with type 2 diabetes: a systematic review</w:t>
            </w:r>
          </w:p>
        </w:tc>
        <w:tc>
          <w:tcPr>
            <w:tcW w:w="964" w:type="dxa"/>
            <w:tcBorders>
              <w:top w:val="nil"/>
              <w:left w:val="nil"/>
              <w:bottom w:val="nil"/>
              <w:right w:val="nil"/>
            </w:tcBorders>
            <w:shd w:val="clear" w:color="auto" w:fill="auto"/>
            <w:noWrap/>
          </w:tcPr>
          <w:p w14:paraId="20BB2D7A" w14:textId="77777777" w:rsidR="002F0740" w:rsidRPr="002C21B8" w:rsidRDefault="002F0740" w:rsidP="00D418D8">
            <w:pPr>
              <w:spacing w:beforeLines="20" w:before="48" w:afterLines="20" w:after="48" w:line="240" w:lineRule="auto"/>
              <w:rPr>
                <w:sz w:val="16"/>
                <w:szCs w:val="16"/>
              </w:rPr>
            </w:pPr>
            <w:r w:rsidRPr="002C21B8">
              <w:rPr>
                <w:sz w:val="16"/>
                <w:szCs w:val="16"/>
              </w:rPr>
              <w:t>Malaysia</w:t>
            </w:r>
          </w:p>
        </w:tc>
        <w:tc>
          <w:tcPr>
            <w:tcW w:w="1247" w:type="dxa"/>
            <w:tcBorders>
              <w:top w:val="nil"/>
              <w:left w:val="nil"/>
              <w:bottom w:val="nil"/>
              <w:right w:val="nil"/>
            </w:tcBorders>
          </w:tcPr>
          <w:p w14:paraId="47CC5386" w14:textId="77777777" w:rsidR="002F0740" w:rsidRPr="002C21B8" w:rsidRDefault="002F0740" w:rsidP="00D418D8">
            <w:pPr>
              <w:spacing w:beforeLines="20" w:before="48" w:afterLines="20" w:after="48" w:line="240" w:lineRule="auto"/>
              <w:rPr>
                <w:sz w:val="16"/>
                <w:szCs w:val="16"/>
              </w:rPr>
            </w:pPr>
            <w:r w:rsidRPr="002C21B8">
              <w:rPr>
                <w:sz w:val="16"/>
                <w:szCs w:val="16"/>
              </w:rPr>
              <w:t>Diabetes mellitus</w:t>
            </w:r>
          </w:p>
        </w:tc>
        <w:tc>
          <w:tcPr>
            <w:tcW w:w="1701" w:type="dxa"/>
            <w:tcBorders>
              <w:top w:val="nil"/>
              <w:left w:val="nil"/>
              <w:bottom w:val="nil"/>
              <w:right w:val="nil"/>
            </w:tcBorders>
            <w:shd w:val="clear" w:color="auto" w:fill="auto"/>
          </w:tcPr>
          <w:p w14:paraId="04AD09FC"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Insulin</w:t>
            </w:r>
          </w:p>
        </w:tc>
        <w:tc>
          <w:tcPr>
            <w:tcW w:w="1275" w:type="dxa"/>
            <w:tcBorders>
              <w:top w:val="nil"/>
              <w:left w:val="nil"/>
              <w:bottom w:val="nil"/>
              <w:right w:val="nil"/>
            </w:tcBorders>
          </w:tcPr>
          <w:p w14:paraId="7D64B4E7"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1B7CF024" w14:textId="77777777" w:rsidR="002F0740" w:rsidRPr="002C21B8" w:rsidRDefault="002F0740" w:rsidP="00D418D8">
            <w:pPr>
              <w:spacing w:beforeLines="20" w:before="48" w:afterLines="20" w:after="48" w:line="240" w:lineRule="auto"/>
              <w:rPr>
                <w:sz w:val="16"/>
                <w:szCs w:val="16"/>
              </w:rPr>
            </w:pPr>
            <w:r w:rsidRPr="002C21B8">
              <w:rPr>
                <w:sz w:val="16"/>
                <w:szCs w:val="16"/>
              </w:rPr>
              <w:t>25</w:t>
            </w:r>
          </w:p>
        </w:tc>
      </w:tr>
      <w:tr w:rsidR="002F0740" w:rsidRPr="002C21B8" w14:paraId="634CF983" w14:textId="77777777" w:rsidTr="00DA7613">
        <w:trPr>
          <w:trHeight w:val="340"/>
        </w:trPr>
        <w:tc>
          <w:tcPr>
            <w:tcW w:w="1531" w:type="dxa"/>
            <w:tcBorders>
              <w:top w:val="nil"/>
              <w:left w:val="nil"/>
              <w:bottom w:val="nil"/>
              <w:right w:val="nil"/>
            </w:tcBorders>
            <w:shd w:val="clear" w:color="auto" w:fill="auto"/>
            <w:noWrap/>
            <w:vAlign w:val="center"/>
          </w:tcPr>
          <w:p w14:paraId="03ACB454" w14:textId="4862E1A4"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D7DBC" w:rsidRPr="002C21B8">
              <w:rPr>
                <w:sz w:val="16"/>
                <w:szCs w:val="16"/>
              </w:rPr>
              <w:instrText xml:space="preserve"> ADDIN EN.CITE &lt;EndNote&gt;&lt;Cite&gt;&lt;Author&gt;Oqab&lt;/Author&gt;&lt;Year&gt;2018&lt;/Year&gt;&lt;RecNum&gt;15233&lt;/RecNum&gt;&lt;DisplayText&gt;(Oqab, Pournazari and Sheldon, 2018)&lt;/DisplayText&gt;&lt;record&gt;&lt;rec-number&gt;15233&lt;/rec-number&gt;&lt;foreign-keys&gt;&lt;key app="EN" db-id="xpefzwa5hf9dt2ea9fax95x7xvxz90v09dtf" timestamp="1713539716"&gt;15233&lt;/key&gt;&lt;/foreign-keys&gt;&lt;ref-type name="Journal Article"&gt;17&lt;/ref-type&gt;&lt;contributors&gt;&lt;authors&gt;&lt;author&gt;Oqab, Zardasht&lt;/author&gt;&lt;author&gt;Pournazari, Payam&lt;/author&gt;&lt;author&gt;Sheldon, Robert S&lt;/author&gt;&lt;/authors&gt;&lt;/contributors&gt;&lt;titles&gt;&lt;title&gt;What is the impact of frailty on prescription of anticoagulation in elderly patients with atrial fibrillation? A systematic review and meta-analysis&lt;/title&gt;&lt;secondary-title&gt;Journal of Atrial Fibrillation&lt;/secondary-title&gt;&lt;/titles&gt;&lt;periodical&gt;&lt;full-title&gt;Journal of atrial fibrillation&lt;/full-title&gt;&lt;/periodical&gt;&lt;pages&gt;1870&lt;/pages&gt;&lt;volume&gt;10&lt;/volume&gt;&lt;number&gt;6&lt;/number&gt;&lt;dates&gt;&lt;year&gt;2018&lt;/year&gt;&lt;/dates&gt;&lt;urls&gt;&lt;/urls&gt;&lt;/record&gt;&lt;/Cite&gt;&lt;/EndNote&gt;</w:instrText>
            </w:r>
            <w:r w:rsidRPr="002C21B8">
              <w:rPr>
                <w:sz w:val="16"/>
                <w:szCs w:val="16"/>
              </w:rPr>
              <w:fldChar w:fldCharType="separate"/>
            </w:r>
            <w:r w:rsidRPr="002C21B8">
              <w:rPr>
                <w:noProof/>
                <w:sz w:val="16"/>
                <w:szCs w:val="16"/>
              </w:rPr>
              <w:t>(Oqab, Pournazari and Sheldon, 2018)</w:t>
            </w:r>
            <w:r w:rsidRPr="002C21B8">
              <w:rPr>
                <w:sz w:val="16"/>
                <w:szCs w:val="16"/>
              </w:rPr>
              <w:fldChar w:fldCharType="end"/>
            </w:r>
          </w:p>
        </w:tc>
        <w:tc>
          <w:tcPr>
            <w:tcW w:w="6493" w:type="dxa"/>
            <w:tcBorders>
              <w:top w:val="nil"/>
              <w:left w:val="nil"/>
              <w:bottom w:val="nil"/>
              <w:right w:val="nil"/>
            </w:tcBorders>
            <w:shd w:val="clear" w:color="auto" w:fill="auto"/>
          </w:tcPr>
          <w:p w14:paraId="138EB76F" w14:textId="77777777" w:rsidR="002F0740" w:rsidRPr="002C21B8" w:rsidRDefault="002F0740" w:rsidP="00D418D8">
            <w:pPr>
              <w:spacing w:beforeLines="20" w:before="48" w:afterLines="20" w:after="48" w:line="240" w:lineRule="auto"/>
              <w:rPr>
                <w:sz w:val="16"/>
                <w:szCs w:val="16"/>
              </w:rPr>
            </w:pPr>
            <w:r w:rsidRPr="002C21B8">
              <w:rPr>
                <w:sz w:val="16"/>
                <w:szCs w:val="16"/>
              </w:rPr>
              <w:t>What is the Impact of Frailty on Prescription of Anticoagulation in Elderly Patients with Atrial Fibrillation? A Systematic Review and Meta-Analysis</w:t>
            </w:r>
          </w:p>
        </w:tc>
        <w:tc>
          <w:tcPr>
            <w:tcW w:w="964" w:type="dxa"/>
            <w:tcBorders>
              <w:top w:val="nil"/>
              <w:left w:val="nil"/>
              <w:bottom w:val="nil"/>
              <w:right w:val="nil"/>
            </w:tcBorders>
            <w:shd w:val="clear" w:color="auto" w:fill="auto"/>
            <w:noWrap/>
          </w:tcPr>
          <w:p w14:paraId="651FEAA6" w14:textId="77777777" w:rsidR="002F0740" w:rsidRPr="002C21B8" w:rsidRDefault="002F0740" w:rsidP="00D418D8">
            <w:pPr>
              <w:spacing w:beforeLines="20" w:before="48" w:afterLines="20" w:after="48" w:line="240" w:lineRule="auto"/>
              <w:rPr>
                <w:sz w:val="16"/>
                <w:szCs w:val="16"/>
              </w:rPr>
            </w:pPr>
            <w:r w:rsidRPr="002C21B8">
              <w:rPr>
                <w:sz w:val="16"/>
                <w:szCs w:val="16"/>
              </w:rPr>
              <w:t>Canada</w:t>
            </w:r>
          </w:p>
        </w:tc>
        <w:tc>
          <w:tcPr>
            <w:tcW w:w="1247" w:type="dxa"/>
            <w:tcBorders>
              <w:top w:val="nil"/>
              <w:left w:val="nil"/>
              <w:bottom w:val="nil"/>
              <w:right w:val="nil"/>
            </w:tcBorders>
          </w:tcPr>
          <w:p w14:paraId="1479CD88"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1FCE8B1D"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51BB8D8F"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23327F5E" w14:textId="77777777" w:rsidR="002F0740" w:rsidRPr="002C21B8" w:rsidRDefault="002F0740" w:rsidP="00D418D8">
            <w:pPr>
              <w:spacing w:beforeLines="20" w:before="48" w:afterLines="20" w:after="48" w:line="240" w:lineRule="auto"/>
              <w:rPr>
                <w:sz w:val="16"/>
                <w:szCs w:val="16"/>
              </w:rPr>
            </w:pPr>
            <w:r w:rsidRPr="002C21B8">
              <w:rPr>
                <w:sz w:val="16"/>
                <w:szCs w:val="16"/>
              </w:rPr>
              <w:t>3</w:t>
            </w:r>
          </w:p>
        </w:tc>
      </w:tr>
      <w:tr w:rsidR="002F0740" w:rsidRPr="002C21B8" w14:paraId="4B1CFA47" w14:textId="77777777" w:rsidTr="00DA7613">
        <w:trPr>
          <w:trHeight w:val="340"/>
        </w:trPr>
        <w:tc>
          <w:tcPr>
            <w:tcW w:w="1531" w:type="dxa"/>
            <w:tcBorders>
              <w:top w:val="nil"/>
              <w:left w:val="nil"/>
              <w:bottom w:val="nil"/>
              <w:right w:val="nil"/>
            </w:tcBorders>
            <w:shd w:val="clear" w:color="auto" w:fill="auto"/>
            <w:noWrap/>
            <w:vAlign w:val="center"/>
          </w:tcPr>
          <w:p w14:paraId="1B0CF18E"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&lt;EndNote&gt;&lt;Cite&gt;&lt;Author&gt;Orayj&lt;/Author&gt;&lt;Year&gt;2019&lt;/Year&gt;&lt;RecNum&gt;15217&lt;/RecNum&gt;&lt;DisplayText&gt;(Orayj and Lane, 2019)&lt;/DisplayText&gt;&lt;record&gt;&lt;rec-number&gt;15217&lt;/rec-number&gt;&lt;foreign-keys&gt;&lt;key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disease&lt;/full-title&gt;&lt;/periodical&gt;&lt;pages&gt;1-40&lt;/pages&gt;&lt;volume&gt;2019&lt;/volume&gt;&lt;dates&gt;&lt;year&gt;2019&lt;/year&gt;&lt;/dates&gt;&lt;isbn&gt;2090-8083&lt;/isbn&gt;&lt;urls&gt;&lt;/urls&gt;&lt;/record&gt;&lt;/Cite&gt;&lt;/EndNote&gt;</w:instrText>
            </w:r>
            <w:r w:rsidRPr="002C21B8">
              <w:rPr>
                <w:sz w:val="16"/>
                <w:szCs w:val="16"/>
              </w:rPr>
              <w:fldChar w:fldCharType="separate"/>
            </w:r>
            <w:r w:rsidRPr="002C21B8">
              <w:rPr>
                <w:sz w:val="16"/>
                <w:szCs w:val="16"/>
              </w:rPr>
              <w:t>(Orayj and Lane, 2019)</w:t>
            </w:r>
            <w:r w:rsidRPr="002C21B8">
              <w:rPr>
                <w:sz w:val="16"/>
                <w:szCs w:val="16"/>
              </w:rPr>
              <w:fldChar w:fldCharType="end"/>
            </w:r>
          </w:p>
        </w:tc>
        <w:tc>
          <w:tcPr>
            <w:tcW w:w="6493" w:type="dxa"/>
            <w:tcBorders>
              <w:top w:val="nil"/>
              <w:left w:val="nil"/>
              <w:bottom w:val="nil"/>
              <w:right w:val="nil"/>
            </w:tcBorders>
            <w:shd w:val="clear" w:color="auto" w:fill="auto"/>
          </w:tcPr>
          <w:p w14:paraId="5A9B9BB1" w14:textId="77777777" w:rsidR="002F0740" w:rsidRPr="002C21B8" w:rsidRDefault="002F0740" w:rsidP="00D418D8">
            <w:pPr>
              <w:spacing w:beforeLines="20" w:before="48" w:afterLines="20" w:after="48" w:line="240" w:lineRule="auto"/>
              <w:rPr>
                <w:sz w:val="16"/>
                <w:szCs w:val="16"/>
              </w:rPr>
            </w:pPr>
            <w:r w:rsidRPr="002C21B8">
              <w:rPr>
                <w:sz w:val="16"/>
                <w:szCs w:val="16"/>
              </w:rPr>
              <w:t>Patterns and Determinants of Prescribing for Parkinson's Disease: A Systematic Literature Review</w:t>
            </w:r>
          </w:p>
        </w:tc>
        <w:tc>
          <w:tcPr>
            <w:tcW w:w="964" w:type="dxa"/>
            <w:tcBorders>
              <w:top w:val="nil"/>
              <w:left w:val="nil"/>
              <w:bottom w:val="nil"/>
              <w:right w:val="nil"/>
            </w:tcBorders>
            <w:shd w:val="clear" w:color="auto" w:fill="auto"/>
            <w:noWrap/>
          </w:tcPr>
          <w:p w14:paraId="1EB0BD9A"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7D6690C9" w14:textId="77777777" w:rsidR="002F0740" w:rsidRPr="002C21B8" w:rsidRDefault="002F0740" w:rsidP="00D418D8">
            <w:pPr>
              <w:spacing w:beforeLines="20" w:before="48" w:afterLines="20" w:after="48" w:line="240" w:lineRule="auto"/>
              <w:rPr>
                <w:sz w:val="16"/>
                <w:szCs w:val="16"/>
              </w:rPr>
            </w:pPr>
            <w:r w:rsidRPr="002C21B8">
              <w:rPr>
                <w:sz w:val="16"/>
                <w:szCs w:val="16"/>
              </w:rPr>
              <w:t>Parkinson’s disease</w:t>
            </w:r>
          </w:p>
        </w:tc>
        <w:tc>
          <w:tcPr>
            <w:tcW w:w="1701" w:type="dxa"/>
            <w:tcBorders>
              <w:top w:val="nil"/>
              <w:left w:val="nil"/>
              <w:bottom w:val="nil"/>
              <w:right w:val="nil"/>
            </w:tcBorders>
            <w:shd w:val="clear" w:color="auto" w:fill="auto"/>
          </w:tcPr>
          <w:p w14:paraId="62CD7909"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Dopaminergic agents</w:t>
            </w:r>
          </w:p>
        </w:tc>
        <w:tc>
          <w:tcPr>
            <w:tcW w:w="1275" w:type="dxa"/>
            <w:tcBorders>
              <w:top w:val="nil"/>
              <w:left w:val="nil"/>
              <w:bottom w:val="nil"/>
              <w:right w:val="nil"/>
            </w:tcBorders>
          </w:tcPr>
          <w:p w14:paraId="7FA93E6F"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1ACD254F" w14:textId="77777777" w:rsidR="002F0740" w:rsidRPr="002C21B8" w:rsidRDefault="002F0740" w:rsidP="00D418D8">
            <w:pPr>
              <w:spacing w:beforeLines="20" w:before="48" w:afterLines="20" w:after="48" w:line="240" w:lineRule="auto"/>
              <w:rPr>
                <w:sz w:val="16"/>
                <w:szCs w:val="16"/>
              </w:rPr>
            </w:pPr>
            <w:r w:rsidRPr="002C21B8">
              <w:rPr>
                <w:sz w:val="16"/>
                <w:szCs w:val="16"/>
              </w:rPr>
              <w:t>44</w:t>
            </w:r>
          </w:p>
        </w:tc>
      </w:tr>
      <w:tr w:rsidR="002F0740" w:rsidRPr="002C21B8" w14:paraId="4583EA70" w14:textId="77777777" w:rsidTr="00DA7613">
        <w:trPr>
          <w:trHeight w:val="340"/>
        </w:trPr>
        <w:tc>
          <w:tcPr>
            <w:tcW w:w="1531" w:type="dxa"/>
            <w:tcBorders>
              <w:top w:val="nil"/>
              <w:left w:val="nil"/>
              <w:bottom w:val="nil"/>
              <w:right w:val="nil"/>
            </w:tcBorders>
            <w:shd w:val="clear" w:color="auto" w:fill="auto"/>
            <w:noWrap/>
            <w:vAlign w:val="center"/>
          </w:tcPr>
          <w:p w14:paraId="31BA4093" w14:textId="087CD3D8"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fldData xml:space="preserve">PEVuZE5vdGU+PENpdGU+PEF1dGhvcj5Pc2FzdTwvQXV0aG9yPjxZZWFyPjIwMjE8L1llYXI+PFJl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==
</w:fldData>
              </w:fldChar>
            </w:r>
            <w:r w:rsidR="00FF0A99" w:rsidRPr="002C21B8">
              <w:rPr>
                <w:sz w:val="16"/>
                <w:szCs w:val="16"/>
              </w:rPr>
              <w:instrText xml:space="preserve"> ADDIN EN.CITE </w:instrText>
            </w:r>
            <w:r w:rsidR="00FF0A99" w:rsidRPr="002C21B8">
              <w:rPr>
                <w:sz w:val="16"/>
                <w:szCs w:val="16"/>
              </w:rPr>
              <w:fldChar w:fldCharType="begin">
                <w:fldData xml:space="preserve">PEVuZE5vdGU+PENpdGU+PEF1dGhvcj5Pc2FzdTwvQXV0aG9yPjxZZWFyPjIwMjE8L1llYXI+PFJl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==
</w:fldData>
              </w:fldChar>
            </w:r>
            <w:r w:rsidR="00FF0A99" w:rsidRPr="002C21B8">
              <w:rPr>
                <w:sz w:val="16"/>
                <w:szCs w:val="16"/>
              </w:rPr>
              <w:instrText xml:space="preserve"> ADDIN EN.CITE.DATA </w:instrText>
            </w:r>
            <w:r w:rsidR="00FF0A99" w:rsidRPr="002C21B8">
              <w:rPr>
                <w:sz w:val="16"/>
                <w:szCs w:val="16"/>
              </w:rPr>
            </w:r>
            <w:r w:rsidR="00FF0A99" w:rsidRPr="002C21B8">
              <w:rPr>
                <w:sz w:val="16"/>
                <w:szCs w:val="16"/>
              </w:rPr>
              <w:fldChar w:fldCharType="end"/>
            </w:r>
            <w:r w:rsidRPr="002C21B8">
              <w:rPr>
                <w:sz w:val="16"/>
                <w:szCs w:val="16"/>
              </w:rPr>
            </w:r>
            <w:r w:rsidRPr="002C21B8">
              <w:rPr>
                <w:sz w:val="16"/>
                <w:szCs w:val="16"/>
              </w:rPr>
              <w:fldChar w:fldCharType="separate"/>
            </w:r>
            <w:r w:rsidRPr="002C21B8">
              <w:rPr>
                <w:noProof/>
                <w:sz w:val="16"/>
                <w:szCs w:val="16"/>
              </w:rPr>
              <w:t>(Osasu, Cooper and Mitchell, 2021)</w:t>
            </w:r>
            <w:r w:rsidRPr="002C21B8">
              <w:rPr>
                <w:sz w:val="16"/>
                <w:szCs w:val="16"/>
              </w:rPr>
              <w:fldChar w:fldCharType="end"/>
            </w:r>
          </w:p>
        </w:tc>
        <w:tc>
          <w:tcPr>
            <w:tcW w:w="6493" w:type="dxa"/>
            <w:tcBorders>
              <w:top w:val="nil"/>
              <w:left w:val="nil"/>
              <w:bottom w:val="nil"/>
              <w:right w:val="nil"/>
            </w:tcBorders>
            <w:shd w:val="clear" w:color="auto" w:fill="auto"/>
          </w:tcPr>
          <w:p w14:paraId="514C0584" w14:textId="77777777" w:rsidR="002F0740" w:rsidRPr="002C21B8" w:rsidRDefault="002F0740" w:rsidP="00D418D8">
            <w:pPr>
              <w:spacing w:beforeLines="20" w:before="48" w:afterLines="20" w:after="48" w:line="240" w:lineRule="auto"/>
              <w:rPr>
                <w:sz w:val="16"/>
                <w:szCs w:val="16"/>
              </w:rPr>
            </w:pPr>
            <w:r w:rsidRPr="002C21B8">
              <w:rPr>
                <w:sz w:val="16"/>
                <w:szCs w:val="16"/>
              </w:rPr>
              <w:t>Patients’ and clinicians’ perceptions of oral anticoagulants in atrial fibrillation: a systematic narrative review and meta-analysis</w:t>
            </w:r>
          </w:p>
        </w:tc>
        <w:tc>
          <w:tcPr>
            <w:tcW w:w="964" w:type="dxa"/>
            <w:tcBorders>
              <w:top w:val="nil"/>
              <w:left w:val="nil"/>
              <w:bottom w:val="nil"/>
              <w:right w:val="nil"/>
            </w:tcBorders>
            <w:shd w:val="clear" w:color="auto" w:fill="auto"/>
            <w:noWrap/>
          </w:tcPr>
          <w:p w14:paraId="6C7C890B"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00A26103"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707066DC"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2326FDA9"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29DE0574" w14:textId="77777777" w:rsidR="002F0740" w:rsidRPr="002C21B8" w:rsidRDefault="002F0740" w:rsidP="00D418D8">
            <w:pPr>
              <w:spacing w:beforeLines="20" w:before="48" w:afterLines="20" w:after="48" w:line="240" w:lineRule="auto"/>
              <w:rPr>
                <w:sz w:val="16"/>
                <w:szCs w:val="16"/>
              </w:rPr>
            </w:pPr>
            <w:r w:rsidRPr="002C21B8">
              <w:rPr>
                <w:sz w:val="16"/>
                <w:szCs w:val="16"/>
              </w:rPr>
              <w:t>34</w:t>
            </w:r>
          </w:p>
        </w:tc>
      </w:tr>
      <w:tr w:rsidR="002F0740" w:rsidRPr="002C21B8" w14:paraId="22877C13" w14:textId="77777777" w:rsidTr="00DA7613">
        <w:trPr>
          <w:trHeight w:val="340"/>
        </w:trPr>
        <w:tc>
          <w:tcPr>
            <w:tcW w:w="1531" w:type="dxa"/>
            <w:tcBorders>
              <w:top w:val="nil"/>
              <w:left w:val="nil"/>
              <w:bottom w:val="nil"/>
              <w:right w:val="nil"/>
            </w:tcBorders>
            <w:shd w:val="clear" w:color="auto" w:fill="auto"/>
            <w:noWrap/>
            <w:vAlign w:val="center"/>
          </w:tcPr>
          <w:p w14:paraId="70C5A679"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&lt;EndNote&gt;&lt;Cite&gt;&lt;Author&gt;Pokorny&lt;/Author&gt;&lt;Year&gt;2022&lt;/Year&gt;&lt;RecNum&gt;15236&lt;/RecNum&gt;&lt;DisplayText&gt;(Pokorny&lt;style face="italic"&gt; et al.&lt;/style&gt;, 2022)&lt;/DisplayText&gt;&lt;record&gt;&lt;rec-number&gt;15236&lt;/rec-number&gt;&lt;foreign-keys&gt;&lt;key app="EN" db-id="xpefzwa5hf9dt2ea9fax95x7xvxz90v09dtf" timestamp="1713540942"&gt;15236&lt;/key&gt;&lt;/foreign-keys&gt;&lt;ref-type name="Journal Article"&gt;17&lt;/ref-type&gt;&lt;contributors&gt;&lt;authors&gt;&lt;author&gt;Pokorny, Adrian MJ&lt;/author&gt;&lt;author&gt;Fabbri, Alice&lt;/author&gt;&lt;author&gt;Bero, Lisa A&lt;/author&gt;&lt;author&gt;Moynihan, Ray&lt;/author&gt;&lt;author&gt;Mintzes, Barbara J&lt;/author&gt;&lt;/authors&gt;&lt;/contributors&gt;&lt;titles&gt;&lt;title&gt;Interactions with the pharmaceutical industry and the practice, knowledge and beliefs of medical oncologists and clinical haematologists: a systematic review&lt;/title&gt;&lt;secondary-title&gt;British Journal of Cancer&lt;/secondary-title&gt;&lt;/titles&gt;&lt;periodical&gt;&lt;full-title&gt;British Journal of Cancer&lt;/full-title&gt;&lt;/periodical&gt;&lt;pages&gt;144-161&lt;/pages&gt;&lt;volume&gt;126&lt;/volume&gt;&lt;number&gt;1&lt;/number&gt;&lt;dates&gt;&lt;year&gt;2022&lt;/year&gt;&lt;/dates&gt;&lt;isbn&gt;0007-0920&lt;/isbn&gt;&lt;urls&gt;&lt;/urls&gt;&lt;/record&gt;&lt;/Cite&gt;&lt;/EndNote&gt;</w:instrText>
            </w:r>
            <w:r w:rsidRPr="002C21B8">
              <w:rPr>
                <w:sz w:val="16"/>
                <w:szCs w:val="16"/>
              </w:rPr>
              <w:fldChar w:fldCharType="separate"/>
            </w:r>
            <w:r w:rsidRPr="002C21B8">
              <w:rPr>
                <w:sz w:val="16"/>
                <w:szCs w:val="16"/>
              </w:rPr>
              <w:t>(Pokorny</w:t>
            </w:r>
            <w:r w:rsidRPr="002C21B8">
              <w:rPr>
                <w:i/>
                <w:sz w:val="16"/>
                <w:szCs w:val="16"/>
              </w:rPr>
              <w:t xml:space="preserve"> et al.</w:t>
            </w:r>
            <w:r w:rsidRPr="002C21B8">
              <w:rPr>
                <w:sz w:val="16"/>
                <w:szCs w:val="16"/>
              </w:rPr>
              <w:t>, 2022)</w:t>
            </w:r>
            <w:r w:rsidRPr="002C21B8">
              <w:rPr>
                <w:sz w:val="16"/>
                <w:szCs w:val="16"/>
              </w:rPr>
              <w:fldChar w:fldCharType="end"/>
            </w:r>
          </w:p>
        </w:tc>
        <w:tc>
          <w:tcPr>
            <w:tcW w:w="6493" w:type="dxa"/>
            <w:tcBorders>
              <w:top w:val="nil"/>
              <w:left w:val="nil"/>
              <w:bottom w:val="nil"/>
              <w:right w:val="nil"/>
            </w:tcBorders>
            <w:shd w:val="clear" w:color="auto" w:fill="auto"/>
          </w:tcPr>
          <w:p w14:paraId="69905D5A" w14:textId="77777777" w:rsidR="002F0740" w:rsidRPr="002C21B8" w:rsidRDefault="002F0740" w:rsidP="00D418D8">
            <w:pPr>
              <w:spacing w:beforeLines="20" w:before="48" w:afterLines="20" w:after="48" w:line="240" w:lineRule="auto"/>
              <w:rPr>
                <w:sz w:val="16"/>
                <w:szCs w:val="16"/>
              </w:rPr>
            </w:pPr>
            <w:r w:rsidRPr="002C21B8">
              <w:rPr>
                <w:sz w:val="16"/>
                <w:szCs w:val="16"/>
              </w:rPr>
              <w:t>Interactions with the pharmaceutical industry and the practice, knowledge and beliefs of medical oncologists and clinical haematologists: a systematic review</w:t>
            </w:r>
          </w:p>
        </w:tc>
        <w:tc>
          <w:tcPr>
            <w:tcW w:w="964" w:type="dxa"/>
            <w:tcBorders>
              <w:top w:val="nil"/>
              <w:left w:val="nil"/>
              <w:bottom w:val="nil"/>
              <w:right w:val="nil"/>
            </w:tcBorders>
            <w:shd w:val="clear" w:color="auto" w:fill="auto"/>
            <w:noWrap/>
          </w:tcPr>
          <w:p w14:paraId="625A2707" w14:textId="77777777" w:rsidR="002F0740" w:rsidRPr="002C21B8" w:rsidRDefault="002F0740" w:rsidP="00D418D8">
            <w:pPr>
              <w:spacing w:beforeLines="20" w:before="48" w:afterLines="20" w:after="48" w:line="240" w:lineRule="auto"/>
              <w:rPr>
                <w:sz w:val="16"/>
                <w:szCs w:val="16"/>
              </w:rPr>
            </w:pPr>
            <w:r w:rsidRPr="002C21B8">
              <w:rPr>
                <w:sz w:val="16"/>
                <w:szCs w:val="16"/>
              </w:rPr>
              <w:t>Australia</w:t>
            </w:r>
          </w:p>
        </w:tc>
        <w:tc>
          <w:tcPr>
            <w:tcW w:w="1247" w:type="dxa"/>
            <w:tcBorders>
              <w:top w:val="nil"/>
              <w:left w:val="nil"/>
              <w:bottom w:val="nil"/>
              <w:right w:val="nil"/>
            </w:tcBorders>
          </w:tcPr>
          <w:p w14:paraId="37980F82" w14:textId="77777777" w:rsidR="002F0740" w:rsidRPr="002C21B8" w:rsidRDefault="002F0740" w:rsidP="00D418D8">
            <w:pPr>
              <w:spacing w:beforeLines="20" w:before="48" w:afterLines="20" w:after="48" w:line="240" w:lineRule="auto"/>
              <w:rPr>
                <w:sz w:val="16"/>
                <w:szCs w:val="16"/>
              </w:rPr>
            </w:pPr>
            <w:r w:rsidRPr="002C21B8">
              <w:rPr>
                <w:sz w:val="16"/>
                <w:szCs w:val="16"/>
              </w:rPr>
              <w:t>Cancer</w:t>
            </w:r>
          </w:p>
        </w:tc>
        <w:tc>
          <w:tcPr>
            <w:tcW w:w="1701" w:type="dxa"/>
            <w:tcBorders>
              <w:top w:val="nil"/>
              <w:left w:val="nil"/>
              <w:bottom w:val="nil"/>
              <w:right w:val="nil"/>
            </w:tcBorders>
            <w:shd w:val="clear" w:color="auto" w:fill="auto"/>
          </w:tcPr>
          <w:p w14:paraId="5F97D181"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Chemotherapy/</w:t>
            </w:r>
          </w:p>
          <w:p w14:paraId="5E4D358D"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haematological agents</w:t>
            </w:r>
          </w:p>
        </w:tc>
        <w:tc>
          <w:tcPr>
            <w:tcW w:w="1275" w:type="dxa"/>
            <w:tcBorders>
              <w:top w:val="nil"/>
              <w:left w:val="nil"/>
              <w:bottom w:val="nil"/>
              <w:right w:val="nil"/>
            </w:tcBorders>
          </w:tcPr>
          <w:p w14:paraId="530C4D72"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1A03E57C" w14:textId="77777777" w:rsidR="002F0740" w:rsidRPr="002C21B8" w:rsidRDefault="002F0740" w:rsidP="00D418D8">
            <w:pPr>
              <w:spacing w:beforeLines="20" w:before="48" w:afterLines="20" w:after="48" w:line="240" w:lineRule="auto"/>
              <w:rPr>
                <w:sz w:val="16"/>
                <w:szCs w:val="16"/>
              </w:rPr>
            </w:pPr>
            <w:r w:rsidRPr="002C21B8">
              <w:rPr>
                <w:sz w:val="16"/>
                <w:szCs w:val="16"/>
              </w:rPr>
              <w:t>31</w:t>
            </w:r>
          </w:p>
        </w:tc>
      </w:tr>
      <w:tr w:rsidR="002F0740" w:rsidRPr="002C21B8" w14:paraId="29B3C6D3" w14:textId="77777777" w:rsidTr="00DA7613">
        <w:trPr>
          <w:trHeight w:val="340"/>
        </w:trPr>
        <w:tc>
          <w:tcPr>
            <w:tcW w:w="1531" w:type="dxa"/>
            <w:tcBorders>
              <w:top w:val="nil"/>
              <w:left w:val="nil"/>
              <w:bottom w:val="nil"/>
              <w:right w:val="nil"/>
            </w:tcBorders>
            <w:shd w:val="clear" w:color="auto" w:fill="auto"/>
            <w:noWrap/>
            <w:vAlign w:val="center"/>
          </w:tcPr>
          <w:p w14:paraId="42AF96F4"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&lt;EndNote&gt;&lt;Cite&gt;&lt;Author&gt;Presta&lt;/Author&gt;&lt;Year&gt;2022&lt;/Year&gt;&lt;RecNum&gt;15235&lt;/RecNum&gt;&lt;DisplayText&gt;(Presta&lt;style face="italic"&gt; et al.&lt;/style&gt;, 2022)&lt;/DisplayText&gt;&lt;record&gt;&lt;rec-number&gt;15235&lt;/rec-number&gt;&lt;foreign-keys&gt;&lt;key app="EN" db-id="xpefzwa5hf9dt2ea9fax95x7xvxz90v09dtf" timestamp="1713540881"&gt;15235&lt;/key&gt;&lt;/foreign-keys&gt;&lt;ref-type name="Journal Article"&gt;17&lt;/ref-type&gt;&lt;contributors&gt;&lt;authors&gt;&lt;author&gt;Presta, Roberto&lt;/author&gt;&lt;author&gt;Brunetti, Enrico&lt;/author&gt;&lt;author&gt;Polidori, Maria Cristina&lt;/author&gt;&lt;author&gt;Bo, Mario&lt;/author&gt;&lt;/authors&gt;&lt;/contributors&gt;&lt;titles&gt;&lt;title&gt;Impact of frailty models on the prescription of oral anticoagulants and on the incidence of stroke, bleeding, and mortality in older patients with atrial fibrillation: a systematic review&lt;/title&gt;&lt;secondary-title&gt;Ageing Research Reviews&lt;/secondary-title&gt;&lt;/titles&gt;&lt;periodical&gt;&lt;full-title&gt;Ageing Research Reviews&lt;/full-title&gt;&lt;/periodical&gt;&lt;pages&gt;101761&lt;/pages&gt;&lt;volume&gt;82&lt;/volume&gt;&lt;dates&gt;&lt;year&gt;2022&lt;/year&gt;&lt;/dates&gt;&lt;isbn&gt;1568-1637&lt;/isbn&gt;&lt;urls&gt;&lt;/urls&gt;&lt;/record&gt;&lt;/Cite&gt;&lt;/EndNote&gt;</w:instrText>
            </w:r>
            <w:r w:rsidRPr="002C21B8">
              <w:rPr>
                <w:sz w:val="16"/>
                <w:szCs w:val="16"/>
              </w:rPr>
              <w:fldChar w:fldCharType="separate"/>
            </w:r>
            <w:r w:rsidRPr="002C21B8">
              <w:rPr>
                <w:sz w:val="16"/>
                <w:szCs w:val="16"/>
              </w:rPr>
              <w:t>(Presta</w:t>
            </w:r>
            <w:r w:rsidRPr="002C21B8">
              <w:rPr>
                <w:i/>
                <w:sz w:val="16"/>
                <w:szCs w:val="16"/>
              </w:rPr>
              <w:t xml:space="preserve"> et al.</w:t>
            </w:r>
            <w:r w:rsidRPr="002C21B8">
              <w:rPr>
                <w:sz w:val="16"/>
                <w:szCs w:val="16"/>
              </w:rPr>
              <w:t>, 2022)</w:t>
            </w:r>
            <w:r w:rsidRPr="002C21B8">
              <w:rPr>
                <w:sz w:val="16"/>
                <w:szCs w:val="16"/>
              </w:rPr>
              <w:fldChar w:fldCharType="end"/>
            </w:r>
          </w:p>
        </w:tc>
        <w:tc>
          <w:tcPr>
            <w:tcW w:w="6493" w:type="dxa"/>
            <w:tcBorders>
              <w:top w:val="nil"/>
              <w:left w:val="nil"/>
              <w:bottom w:val="nil"/>
              <w:right w:val="nil"/>
            </w:tcBorders>
            <w:shd w:val="clear" w:color="auto" w:fill="auto"/>
          </w:tcPr>
          <w:p w14:paraId="653EF55E" w14:textId="77777777" w:rsidR="002F0740" w:rsidRPr="002C21B8" w:rsidRDefault="002F0740" w:rsidP="00D418D8">
            <w:pPr>
              <w:spacing w:beforeLines="20" w:before="48" w:afterLines="20" w:after="48" w:line="240" w:lineRule="auto"/>
              <w:rPr>
                <w:sz w:val="16"/>
                <w:szCs w:val="16"/>
              </w:rPr>
            </w:pPr>
            <w:r w:rsidRPr="002C21B8">
              <w:rPr>
                <w:sz w:val="16"/>
                <w:szCs w:val="16"/>
              </w:rPr>
              <w:t>Impact of frailty models on the prescription of oral anticoagulants and on the incidence of stroke, bleeding, and mortality in older patients with atrial fibrillation: a systematic review</w:t>
            </w:r>
          </w:p>
        </w:tc>
        <w:tc>
          <w:tcPr>
            <w:tcW w:w="964" w:type="dxa"/>
            <w:tcBorders>
              <w:top w:val="nil"/>
              <w:left w:val="nil"/>
              <w:bottom w:val="nil"/>
              <w:right w:val="nil"/>
            </w:tcBorders>
            <w:shd w:val="clear" w:color="auto" w:fill="auto"/>
            <w:noWrap/>
          </w:tcPr>
          <w:p w14:paraId="3B57F21D" w14:textId="77777777" w:rsidR="002F0740" w:rsidRPr="002C21B8" w:rsidRDefault="002F0740" w:rsidP="00D418D8">
            <w:pPr>
              <w:spacing w:beforeLines="20" w:before="48" w:afterLines="20" w:after="48" w:line="240" w:lineRule="auto"/>
              <w:rPr>
                <w:sz w:val="16"/>
                <w:szCs w:val="16"/>
              </w:rPr>
            </w:pPr>
            <w:r w:rsidRPr="002C21B8">
              <w:rPr>
                <w:sz w:val="16"/>
                <w:szCs w:val="16"/>
              </w:rPr>
              <w:t>Italy</w:t>
            </w:r>
          </w:p>
        </w:tc>
        <w:tc>
          <w:tcPr>
            <w:tcW w:w="1247" w:type="dxa"/>
            <w:tcBorders>
              <w:top w:val="nil"/>
              <w:left w:val="nil"/>
              <w:bottom w:val="nil"/>
              <w:right w:val="nil"/>
            </w:tcBorders>
          </w:tcPr>
          <w:p w14:paraId="37F009A5"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0EAEC0E2"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612A4B95"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2EA276C9" w14:textId="77777777" w:rsidR="002F0740" w:rsidRPr="002C21B8" w:rsidRDefault="002F0740" w:rsidP="00D418D8">
            <w:pPr>
              <w:spacing w:beforeLines="20" w:before="48" w:afterLines="20" w:after="48" w:line="240" w:lineRule="auto"/>
              <w:rPr>
                <w:sz w:val="16"/>
                <w:szCs w:val="16"/>
              </w:rPr>
            </w:pPr>
            <w:r w:rsidRPr="002C21B8">
              <w:rPr>
                <w:sz w:val="16"/>
                <w:szCs w:val="16"/>
              </w:rPr>
              <w:t>23</w:t>
            </w:r>
          </w:p>
        </w:tc>
      </w:tr>
      <w:tr w:rsidR="002F0740" w:rsidRPr="002C21B8" w14:paraId="26A8AF08" w14:textId="77777777" w:rsidTr="00DA7613">
        <w:trPr>
          <w:trHeight w:val="340"/>
        </w:trPr>
        <w:tc>
          <w:tcPr>
            <w:tcW w:w="1531" w:type="dxa"/>
            <w:tcBorders>
              <w:top w:val="nil"/>
              <w:left w:val="nil"/>
              <w:bottom w:val="nil"/>
              <w:right w:val="nil"/>
            </w:tcBorders>
            <w:shd w:val="clear" w:color="auto" w:fill="auto"/>
            <w:noWrap/>
            <w:vAlign w:val="center"/>
          </w:tcPr>
          <w:p w14:paraId="70DF6344" w14:textId="03716E59"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0215B0" w:rsidRPr="002C21B8">
              <w:rPr>
                <w:sz w:val="16"/>
                <w:szCs w:val="16"/>
              </w:rPr>
              <w:instrText xml:space="preserve"> ADDIN EN.CITE &lt;EndNote&gt;&lt;Cite&gt;&lt;Author&gt;Pritchett&lt;/Author&gt;&lt;Year&gt;2020&lt;/Year&gt;&lt;RecNum&gt;15218&lt;/RecNum&gt;&lt;DisplayText&gt;(Pritchett&lt;style face="italic"&gt; et al.&lt;/style&gt;, 2020)&lt;/DisplayText&gt;&lt;record&gt;&lt;rec-number&gt;15218&lt;/rec-number&gt;&lt;foreign-keys&gt;&lt;key app="EN" db-id="xpefzwa5hf9dt2ea9fax95x7xvxz90v09dtf" timestamp="1713285881"&gt;15218&lt;/key&gt;&lt;/foreign-keys&gt;&lt;ref-type name="Journal Article"&gt;17&lt;/ref-type&gt;&lt;contributors&gt;&lt;authors&gt;&lt;author&gt;Pritchett, Ruth V&lt;/author&gt;&lt;author&gt;Clarke, Joanne L&lt;/author&gt;&lt;author&gt;Jolly, Kate&lt;/author&gt;&lt;author&gt;Clarkesmith, Danielle&lt;/author&gt;&lt;author&gt;Bem, Danai&lt;/author&gt;&lt;author&gt;Turner, Grace M&lt;/author&gt;&lt;author&gt;Thomas, G Neil&lt;/author&gt;&lt;author&gt;Lane, Deirdre A&lt;/author&gt;&lt;/authors&gt;&lt;/contributors&gt;&lt;titles&gt;&lt;title&gt;Clinicians’ views and experiences of prescribing oral anticoagulants for stroke prevention in atrial fibrillation: a qualitative meta-synthesis&lt;/title&gt;&lt;secondary-title&gt;PLOS One&lt;/secondary-title&gt;&lt;/titles&gt;&lt;periodical&gt;&lt;full-title&gt;PLoS ONE&lt;/full-title&gt;&lt;/periodical&gt;&lt;pages&gt;e0232484&lt;/pages&gt;&lt;volume&gt;15&lt;/volume&gt;&lt;number&gt;5&lt;/number&gt;&lt;dates&gt;&lt;year&gt;2020&lt;/year&gt;&lt;/dates&gt;&lt;isbn&gt;1932-6203&lt;/isbn&gt;&lt;urls&gt;&lt;/urls&gt;&lt;/record&gt;&lt;/Cite&gt;&lt;/EndNote&gt;</w:instrText>
            </w:r>
            <w:r w:rsidRPr="002C21B8">
              <w:rPr>
                <w:sz w:val="16"/>
                <w:szCs w:val="16"/>
              </w:rPr>
              <w:fldChar w:fldCharType="separate"/>
            </w:r>
            <w:r w:rsidRPr="002C21B8">
              <w:rPr>
                <w:noProof/>
                <w:sz w:val="16"/>
                <w:szCs w:val="16"/>
              </w:rPr>
              <w:t>(Pritchett</w:t>
            </w:r>
            <w:r w:rsidRPr="002C21B8">
              <w:rPr>
                <w:i/>
                <w:noProof/>
                <w:sz w:val="16"/>
                <w:szCs w:val="16"/>
              </w:rPr>
              <w:t xml:space="preserve"> et al.</w:t>
            </w:r>
            <w:r w:rsidRPr="002C21B8">
              <w:rPr>
                <w:noProof/>
                <w:sz w:val="16"/>
                <w:szCs w:val="16"/>
              </w:rPr>
              <w:t>, 2020)</w:t>
            </w:r>
            <w:r w:rsidRPr="002C21B8">
              <w:rPr>
                <w:sz w:val="16"/>
                <w:szCs w:val="16"/>
              </w:rPr>
              <w:fldChar w:fldCharType="end"/>
            </w:r>
          </w:p>
        </w:tc>
        <w:tc>
          <w:tcPr>
            <w:tcW w:w="6493" w:type="dxa"/>
            <w:tcBorders>
              <w:top w:val="nil"/>
              <w:left w:val="nil"/>
              <w:bottom w:val="nil"/>
              <w:right w:val="nil"/>
            </w:tcBorders>
            <w:shd w:val="clear" w:color="auto" w:fill="auto"/>
          </w:tcPr>
          <w:p w14:paraId="44F02702" w14:textId="77777777" w:rsidR="002F0740" w:rsidRPr="002C21B8" w:rsidRDefault="002F0740" w:rsidP="00D418D8">
            <w:pPr>
              <w:spacing w:beforeLines="20" w:before="48" w:afterLines="20" w:after="48" w:line="240" w:lineRule="auto"/>
              <w:rPr>
                <w:sz w:val="16"/>
                <w:szCs w:val="16"/>
              </w:rPr>
            </w:pPr>
            <w:r w:rsidRPr="002C21B8">
              <w:rPr>
                <w:sz w:val="16"/>
                <w:szCs w:val="16"/>
              </w:rPr>
              <w:t>Clinicians' views and experiences of prescribing oral anticoagulants for stroke prevention in atrial fibrillation: A qualitative meta-synthesis</w:t>
            </w:r>
          </w:p>
        </w:tc>
        <w:tc>
          <w:tcPr>
            <w:tcW w:w="964" w:type="dxa"/>
            <w:tcBorders>
              <w:top w:val="nil"/>
              <w:left w:val="nil"/>
              <w:bottom w:val="nil"/>
              <w:right w:val="nil"/>
            </w:tcBorders>
            <w:shd w:val="clear" w:color="auto" w:fill="auto"/>
            <w:noWrap/>
          </w:tcPr>
          <w:p w14:paraId="4C154294"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bottom w:val="nil"/>
              <w:right w:val="nil"/>
            </w:tcBorders>
          </w:tcPr>
          <w:p w14:paraId="66A81336"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58F5EA96"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6D3572E0" w14:textId="77777777" w:rsidR="002F0740" w:rsidRPr="002C21B8" w:rsidRDefault="002F0740" w:rsidP="00D418D8">
            <w:pPr>
              <w:spacing w:beforeLines="20" w:before="48" w:afterLines="20" w:after="48" w:line="240" w:lineRule="auto"/>
              <w:rPr>
                <w:sz w:val="16"/>
                <w:szCs w:val="16"/>
              </w:rPr>
            </w:pPr>
            <w:r w:rsidRPr="002C21B8">
              <w:rPr>
                <w:sz w:val="16"/>
                <w:szCs w:val="16"/>
              </w:rPr>
              <w:t>Mixed methods</w:t>
            </w:r>
          </w:p>
        </w:tc>
        <w:tc>
          <w:tcPr>
            <w:tcW w:w="703" w:type="dxa"/>
            <w:tcBorders>
              <w:top w:val="nil"/>
              <w:left w:val="nil"/>
              <w:bottom w:val="nil"/>
            </w:tcBorders>
          </w:tcPr>
          <w:p w14:paraId="3684FB47" w14:textId="77777777" w:rsidR="002F0740" w:rsidRPr="002C21B8" w:rsidRDefault="002F0740" w:rsidP="00D418D8">
            <w:pPr>
              <w:spacing w:beforeLines="20" w:before="48" w:afterLines="20" w:after="48" w:line="240" w:lineRule="auto"/>
              <w:rPr>
                <w:sz w:val="16"/>
                <w:szCs w:val="16"/>
              </w:rPr>
            </w:pPr>
            <w:r w:rsidRPr="002C21B8">
              <w:rPr>
                <w:sz w:val="16"/>
                <w:szCs w:val="16"/>
              </w:rPr>
              <w:t>13</w:t>
            </w:r>
          </w:p>
        </w:tc>
      </w:tr>
      <w:tr w:rsidR="002F0740" w:rsidRPr="002C21B8" w14:paraId="3DB6BFD7" w14:textId="77777777" w:rsidTr="00DA7613">
        <w:trPr>
          <w:trHeight w:val="340"/>
        </w:trPr>
        <w:tc>
          <w:tcPr>
            <w:tcW w:w="1531" w:type="dxa"/>
            <w:tcBorders>
              <w:top w:val="nil"/>
              <w:left w:val="nil"/>
              <w:bottom w:val="nil"/>
              <w:right w:val="nil"/>
            </w:tcBorders>
            <w:shd w:val="clear" w:color="auto" w:fill="auto"/>
            <w:noWrap/>
            <w:vAlign w:val="center"/>
          </w:tcPr>
          <w:p w14:paraId="304F9063" w14:textId="1E8A6C42"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0215B0" w:rsidRPr="002C21B8">
              <w:rPr>
                <w:sz w:val="16"/>
                <w:szCs w:val="16"/>
              </w:rPr>
              <w:instrText xml:space="preserve"> ADDIN EN.CITE &lt;EndNote&gt;&lt;Cite&gt;&lt;Author&gt;Proietti&lt;/Author&gt;&lt;Year&gt;2022&lt;/Year&gt;&lt;RecNum&gt;15234&lt;/RecNum&gt;&lt;DisplayText&gt;(Proietti&lt;style face="italic"&gt; et al.&lt;/style&gt;, 2022)&lt;/DisplayText&gt;&lt;record&gt;&lt;rec-number&gt;15234&lt;/rec-number&gt;&lt;foreign-keys&gt;&lt;key app="EN" db-id="xpefzwa5hf9dt2ea9fax95x7xvxz90v09dtf" timestamp="1713540849"&gt;15234&lt;/key&gt;&lt;/foreign-keys&gt;&lt;ref-type name="Journal Article"&gt;17&lt;/ref-type&gt;&lt;contributors&gt;&lt;authors&gt;&lt;author&gt;Proietti, Marco&lt;/author&gt;&lt;author&gt;Romiti, Giulio Francesco&lt;/author&gt;&lt;author&gt;Raparelli, Valeria&lt;/author&gt;&lt;author&gt;Diemberger, Igor&lt;/author&gt;&lt;author&gt;Boriani, Giuseppe&lt;/author&gt;&lt;author&gt;Dalla Vecchia, Laura Adelaide&lt;/author&gt;&lt;author&gt;Bellelli, Giuseppe&lt;/author&gt;&lt;author&gt;Marzetti, Emanuele&lt;/author&gt;&lt;author&gt;Lip, Gregory YH&lt;/author&gt;&lt;author&gt;Cesari, Matteo&lt;/author&gt;&lt;/authors&gt;&lt;/contributors&gt;&lt;titles&gt;&lt;title&gt;Frailty prevalence and impact on outcomes in patients with atrial fibrillation: a systematic review and meta-analysis of 1,187,000 patients&lt;/title&gt;&lt;secondary-title&gt;Ageing Research Reviews&lt;/secondary-title&gt;&lt;/titles&gt;&lt;periodical&gt;&lt;full-title&gt;Ageing Research Reviews&lt;/full-title&gt;&lt;/periodical&gt;&lt;pages&gt;101652&lt;/pages&gt;&lt;volume&gt;79&lt;/volume&gt;&lt;dates&gt;&lt;year&gt;2022&lt;/year&gt;&lt;/dates&gt;&lt;isbn&gt;1568-1637&lt;/isbn&gt;&lt;urls&gt;&lt;/urls&gt;&lt;/record&gt;&lt;/Cite&gt;&lt;/EndNote&gt;</w:instrText>
            </w:r>
            <w:r w:rsidRPr="002C21B8">
              <w:rPr>
                <w:sz w:val="16"/>
                <w:szCs w:val="16"/>
              </w:rPr>
              <w:fldChar w:fldCharType="separate"/>
            </w:r>
            <w:r w:rsidRPr="002C21B8">
              <w:rPr>
                <w:noProof/>
                <w:sz w:val="16"/>
                <w:szCs w:val="16"/>
              </w:rPr>
              <w:t>(Proietti</w:t>
            </w:r>
            <w:r w:rsidRPr="002C21B8">
              <w:rPr>
                <w:i/>
                <w:noProof/>
                <w:sz w:val="16"/>
                <w:szCs w:val="16"/>
              </w:rPr>
              <w:t xml:space="preserve"> et al.</w:t>
            </w:r>
            <w:r w:rsidRPr="002C21B8">
              <w:rPr>
                <w:noProof/>
                <w:sz w:val="16"/>
                <w:szCs w:val="16"/>
              </w:rPr>
              <w:t>, 2022)</w:t>
            </w:r>
            <w:r w:rsidRPr="002C21B8">
              <w:rPr>
                <w:sz w:val="16"/>
                <w:szCs w:val="16"/>
              </w:rPr>
              <w:fldChar w:fldCharType="end"/>
            </w:r>
          </w:p>
        </w:tc>
        <w:tc>
          <w:tcPr>
            <w:tcW w:w="6493" w:type="dxa"/>
            <w:tcBorders>
              <w:top w:val="nil"/>
              <w:left w:val="nil"/>
              <w:bottom w:val="nil"/>
              <w:right w:val="nil"/>
            </w:tcBorders>
            <w:shd w:val="clear" w:color="auto" w:fill="auto"/>
          </w:tcPr>
          <w:p w14:paraId="7762EE91" w14:textId="77777777" w:rsidR="002F0740" w:rsidRPr="002C21B8" w:rsidRDefault="002F0740" w:rsidP="00D418D8">
            <w:pPr>
              <w:spacing w:beforeLines="20" w:before="48" w:afterLines="20" w:after="48" w:line="240" w:lineRule="auto"/>
              <w:rPr>
                <w:sz w:val="16"/>
                <w:szCs w:val="16"/>
              </w:rPr>
            </w:pPr>
            <w:r w:rsidRPr="002C21B8">
              <w:rPr>
                <w:sz w:val="16"/>
                <w:szCs w:val="16"/>
              </w:rPr>
              <w:t>Frailty prevalence and impact on outcomes in patients with atrial fibrillation: a systematic review and meta-analysis of 1,187,000 patients</w:t>
            </w:r>
          </w:p>
        </w:tc>
        <w:tc>
          <w:tcPr>
            <w:tcW w:w="964" w:type="dxa"/>
            <w:tcBorders>
              <w:top w:val="nil"/>
              <w:left w:val="nil"/>
              <w:bottom w:val="nil"/>
              <w:right w:val="nil"/>
            </w:tcBorders>
            <w:shd w:val="clear" w:color="auto" w:fill="auto"/>
            <w:noWrap/>
          </w:tcPr>
          <w:p w14:paraId="29673141" w14:textId="77777777" w:rsidR="002F0740" w:rsidRPr="002C21B8" w:rsidRDefault="002F0740" w:rsidP="00D418D8">
            <w:pPr>
              <w:spacing w:beforeLines="20" w:before="48" w:afterLines="20" w:after="48" w:line="240" w:lineRule="auto"/>
              <w:rPr>
                <w:sz w:val="16"/>
                <w:szCs w:val="16"/>
              </w:rPr>
            </w:pPr>
            <w:r w:rsidRPr="002C21B8">
              <w:rPr>
                <w:sz w:val="16"/>
                <w:szCs w:val="16"/>
              </w:rPr>
              <w:t>Italy</w:t>
            </w:r>
          </w:p>
        </w:tc>
        <w:tc>
          <w:tcPr>
            <w:tcW w:w="1247" w:type="dxa"/>
            <w:tcBorders>
              <w:top w:val="nil"/>
              <w:left w:val="nil"/>
              <w:bottom w:val="nil"/>
              <w:right w:val="nil"/>
            </w:tcBorders>
          </w:tcPr>
          <w:p w14:paraId="76D958C3"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top w:val="nil"/>
              <w:left w:val="nil"/>
              <w:bottom w:val="nil"/>
              <w:right w:val="nil"/>
            </w:tcBorders>
            <w:shd w:val="clear" w:color="auto" w:fill="auto"/>
          </w:tcPr>
          <w:p w14:paraId="0B2F1BFE"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top w:val="nil"/>
              <w:left w:val="nil"/>
              <w:bottom w:val="nil"/>
              <w:right w:val="nil"/>
            </w:tcBorders>
          </w:tcPr>
          <w:p w14:paraId="29518903"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top w:val="nil"/>
              <w:left w:val="nil"/>
              <w:bottom w:val="nil"/>
            </w:tcBorders>
          </w:tcPr>
          <w:p w14:paraId="3801F23C" w14:textId="77777777" w:rsidR="002F0740" w:rsidRPr="002C21B8" w:rsidRDefault="002F0740" w:rsidP="00D418D8">
            <w:pPr>
              <w:spacing w:beforeLines="20" w:before="48" w:afterLines="20" w:after="48" w:line="240" w:lineRule="auto"/>
              <w:rPr>
                <w:sz w:val="16"/>
                <w:szCs w:val="16"/>
              </w:rPr>
            </w:pPr>
            <w:r w:rsidRPr="002C21B8">
              <w:rPr>
                <w:sz w:val="16"/>
                <w:szCs w:val="16"/>
              </w:rPr>
              <w:t>33</w:t>
            </w:r>
          </w:p>
        </w:tc>
      </w:tr>
      <w:tr w:rsidR="002F0740" w:rsidRPr="002C21B8" w14:paraId="375468A9" w14:textId="77777777" w:rsidTr="00DA7613">
        <w:trPr>
          <w:trHeight w:val="340"/>
        </w:trPr>
        <w:tc>
          <w:tcPr>
            <w:tcW w:w="1531" w:type="dxa"/>
            <w:tcBorders>
              <w:top w:val="nil"/>
              <w:left w:val="nil"/>
              <w:right w:val="nil"/>
            </w:tcBorders>
            <w:shd w:val="clear" w:color="auto" w:fill="auto"/>
            <w:noWrap/>
            <w:vAlign w:val="center"/>
          </w:tcPr>
          <w:p w14:paraId="26EA5EFE" w14:textId="6313918D"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5D7DBC" w:rsidRPr="002C21B8">
              <w:rPr>
                <w:sz w:val="16"/>
                <w:szCs w:val="16"/>
              </w:rPr>
              <w:instrText xml:space="preserve"> ADDIN EN.CITE &lt;EndNote&gt;&lt;Cite&gt;&lt;Author&gt;Qadi&lt;/Author&gt;&lt;Year&gt;2020&lt;/Year&gt;&lt;RecNum&gt;15219&lt;/RecNum&gt;&lt;DisplayText&gt;(Qadi&lt;style face="italic"&gt; et al.&lt;/style&gt;, 2020)&lt;/DisplayText&gt;&lt;record&gt;&lt;rec-number&gt;15219&lt;/rec-number&gt;&lt;foreign-keys&gt;&lt;key app="EN" db-id="xpefzwa5hf9dt2ea9fax95x7xvxz90v09dtf" timestamp="1713286578"&gt;15219&lt;/key&gt;&lt;/foreign-keys&gt;&lt;ref-type name="Journal Article"&gt;17&lt;/ref-type&gt;&lt;contributors&gt;&lt;authors&gt;&lt;author&gt;Qadi, Olla&lt;/author&gt;&lt;author&gt;Lufumpa, Nakawala&lt;/author&gt;&lt;author&gt;Adderley, Nicola&lt;/author&gt;&lt;author&gt;Bem, Danai&lt;/author&gt;&lt;author&gt;Marshall, Tom&lt;/author&gt;&lt;author&gt;Kokab, Farina&lt;/author&gt;&lt;/authors&gt;&lt;/contributors&gt;&lt;titles&gt;&lt;title&gt;Patients’ and health professionals’ attitudes and perceptions towards the initiation of preventive drugs for primary prevention of cardiovascular disease: a systematic review of qualitative studies&lt;/title&gt;&lt;secondary-title&gt;British Journal of General Practice Open&lt;/secondary-title&gt;&lt;/titles&gt;&lt;periodical&gt;&lt;full-title&gt;British Journal of General Practice Open&lt;/full-title&gt;&lt;/periodical&gt;&lt;pages&gt;20X101087&lt;/pages&gt;&lt;volume&gt;4&lt;/volume&gt;&lt;number&gt;5&lt;/number&gt;&lt;dates&gt;&lt;year&gt;2020&lt;/year&gt;&lt;/dates&gt;&lt;isbn&gt;2398-3795&lt;/isbn&gt;&lt;urls&gt;&lt;/urls&gt;&lt;/record&gt;&lt;/Cite&gt;&lt;/EndNote&gt;</w:instrText>
            </w:r>
            <w:r w:rsidRPr="002C21B8">
              <w:rPr>
                <w:sz w:val="16"/>
                <w:szCs w:val="16"/>
              </w:rPr>
              <w:fldChar w:fldCharType="separate"/>
            </w:r>
            <w:r w:rsidRPr="002C21B8">
              <w:rPr>
                <w:noProof/>
                <w:sz w:val="16"/>
                <w:szCs w:val="16"/>
              </w:rPr>
              <w:t>(Qadi</w:t>
            </w:r>
            <w:r w:rsidRPr="002C21B8">
              <w:rPr>
                <w:i/>
                <w:noProof/>
                <w:sz w:val="16"/>
                <w:szCs w:val="16"/>
              </w:rPr>
              <w:t xml:space="preserve"> et al.</w:t>
            </w:r>
            <w:r w:rsidRPr="002C21B8">
              <w:rPr>
                <w:noProof/>
                <w:sz w:val="16"/>
                <w:szCs w:val="16"/>
              </w:rPr>
              <w:t>, 2020)</w:t>
            </w:r>
            <w:r w:rsidRPr="002C21B8">
              <w:rPr>
                <w:sz w:val="16"/>
                <w:szCs w:val="16"/>
              </w:rPr>
              <w:fldChar w:fldCharType="end"/>
            </w:r>
          </w:p>
        </w:tc>
        <w:tc>
          <w:tcPr>
            <w:tcW w:w="6493" w:type="dxa"/>
            <w:tcBorders>
              <w:top w:val="nil"/>
              <w:left w:val="nil"/>
              <w:right w:val="nil"/>
            </w:tcBorders>
            <w:shd w:val="clear" w:color="auto" w:fill="auto"/>
          </w:tcPr>
          <w:p w14:paraId="084AFF7B" w14:textId="77777777" w:rsidR="002F0740" w:rsidRPr="002C21B8" w:rsidRDefault="002F0740" w:rsidP="00D418D8">
            <w:pPr>
              <w:spacing w:beforeLines="20" w:before="48" w:afterLines="20" w:after="48" w:line="240" w:lineRule="auto"/>
              <w:rPr>
                <w:sz w:val="16"/>
                <w:szCs w:val="16"/>
              </w:rPr>
            </w:pPr>
            <w:r w:rsidRPr="002C21B8">
              <w:rPr>
                <w:sz w:val="16"/>
                <w:szCs w:val="16"/>
              </w:rPr>
              <w:t>Patients’ and health professionals’ attitudes and perceptions towards the initiation of preventive drugs for primary prevention of cardiovascular disease: a systematic review of qualitative studies</w:t>
            </w:r>
          </w:p>
        </w:tc>
        <w:tc>
          <w:tcPr>
            <w:tcW w:w="964" w:type="dxa"/>
            <w:tcBorders>
              <w:top w:val="nil"/>
              <w:left w:val="nil"/>
              <w:right w:val="nil"/>
            </w:tcBorders>
            <w:shd w:val="clear" w:color="auto" w:fill="auto"/>
            <w:noWrap/>
          </w:tcPr>
          <w:p w14:paraId="4037D6EB"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right w:val="nil"/>
            </w:tcBorders>
          </w:tcPr>
          <w:p w14:paraId="393CC8EB" w14:textId="77777777" w:rsidR="002F0740" w:rsidRPr="002C21B8" w:rsidRDefault="002F0740" w:rsidP="00D418D8">
            <w:pPr>
              <w:spacing w:beforeLines="20" w:before="48" w:afterLines="20" w:after="48" w:line="240" w:lineRule="auto"/>
              <w:rPr>
                <w:sz w:val="16"/>
                <w:szCs w:val="16"/>
              </w:rPr>
            </w:pPr>
            <w:r w:rsidRPr="002C21B8">
              <w:rPr>
                <w:sz w:val="16"/>
                <w:szCs w:val="16"/>
              </w:rPr>
              <w:t>Cardiovascular disease</w:t>
            </w:r>
          </w:p>
        </w:tc>
        <w:tc>
          <w:tcPr>
            <w:tcW w:w="1701" w:type="dxa"/>
            <w:tcBorders>
              <w:top w:val="nil"/>
              <w:left w:val="nil"/>
              <w:right w:val="nil"/>
            </w:tcBorders>
            <w:shd w:val="clear" w:color="auto" w:fill="auto"/>
          </w:tcPr>
          <w:p w14:paraId="6BF4A726"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Preventative cardiovascular agents</w:t>
            </w:r>
          </w:p>
        </w:tc>
        <w:tc>
          <w:tcPr>
            <w:tcW w:w="1275" w:type="dxa"/>
            <w:tcBorders>
              <w:top w:val="nil"/>
              <w:left w:val="nil"/>
              <w:right w:val="nil"/>
            </w:tcBorders>
          </w:tcPr>
          <w:p w14:paraId="23BD5D75" w14:textId="77777777" w:rsidR="002F0740" w:rsidRPr="002C21B8" w:rsidRDefault="002F0740" w:rsidP="00D418D8">
            <w:pPr>
              <w:spacing w:beforeLines="20" w:before="48" w:afterLines="20" w:after="48" w:line="240" w:lineRule="auto"/>
              <w:rPr>
                <w:sz w:val="16"/>
                <w:szCs w:val="16"/>
              </w:rPr>
            </w:pPr>
            <w:r w:rsidRPr="002C21B8">
              <w:rPr>
                <w:sz w:val="16"/>
                <w:szCs w:val="16"/>
              </w:rPr>
              <w:t>Qualitative</w:t>
            </w:r>
          </w:p>
        </w:tc>
        <w:tc>
          <w:tcPr>
            <w:tcW w:w="703" w:type="dxa"/>
            <w:tcBorders>
              <w:top w:val="nil"/>
              <w:left w:val="nil"/>
            </w:tcBorders>
          </w:tcPr>
          <w:p w14:paraId="32B726B3" w14:textId="77777777" w:rsidR="002F0740" w:rsidRPr="002C21B8" w:rsidRDefault="002F0740" w:rsidP="00D418D8">
            <w:pPr>
              <w:spacing w:beforeLines="20" w:before="48" w:afterLines="20" w:after="48" w:line="240" w:lineRule="auto"/>
              <w:rPr>
                <w:sz w:val="16"/>
                <w:szCs w:val="16"/>
              </w:rPr>
            </w:pPr>
            <w:r w:rsidRPr="002C21B8">
              <w:rPr>
                <w:sz w:val="16"/>
                <w:szCs w:val="16"/>
              </w:rPr>
              <w:t>5</w:t>
            </w:r>
          </w:p>
        </w:tc>
      </w:tr>
      <w:tr w:rsidR="002F0740" w:rsidRPr="002C21B8" w14:paraId="04C460BF" w14:textId="77777777" w:rsidTr="00DA7613">
        <w:trPr>
          <w:trHeight w:val="340"/>
        </w:trPr>
        <w:tc>
          <w:tcPr>
            <w:tcW w:w="1531" w:type="dxa"/>
            <w:tcBorders>
              <w:top w:val="nil"/>
              <w:left w:val="nil"/>
              <w:right w:val="nil"/>
            </w:tcBorders>
            <w:shd w:val="clear" w:color="auto" w:fill="auto"/>
            <w:noWrap/>
            <w:vAlign w:val="center"/>
          </w:tcPr>
          <w:p w14:paraId="3C3FE7BF"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Pr="002C21B8">
              <w:rPr>
                <w:sz w:val="16"/>
                <w:szCs w:val="16"/>
              </w:rPr>
              <w:instrText xml:space="preserve"> ADDIN EN.CITE &lt;EndNote&gt;&lt;Cite&gt;&lt;Author&gt;Rushforth&lt;/Author&gt;&lt;Year&gt;2016&lt;/Year&gt;&lt;RecNum&gt;15220&lt;/RecNum&gt;&lt;DisplayText&gt;(Rushforth&lt;style face="italic"&gt; et al.&lt;/style&gt;, 2016)&lt;/DisplayText&gt;&lt;record&gt;&lt;rec-number&gt;15220&lt;/rec-number&gt;&lt;foreign-keys&gt;&lt;key app="EN" db-id="xpefzwa5hf9dt2ea9fax95x7xvxz90v09dtf" timestamp="1713287283"&gt;15220&lt;/key&gt;&lt;/foreign-keys&gt;&lt;ref-type name="Journal Article"&gt;17&lt;/ref-type&gt;&lt;contributors&gt;&lt;authors&gt;&lt;author&gt;Rushforth, Bruno&lt;/author&gt;&lt;author&gt;McCrorie, Carolyn&lt;/author&gt;&lt;author&gt;Glidewell, Liz&lt;/author&gt;&lt;author&gt;Midgley, Eleanor&lt;/author&gt;&lt;author&gt;Foy, Robbie&lt;/author&gt;&lt;/authors&gt;&lt;/contributors&gt;&lt;titles&gt;&lt;title&gt;Barriers to effective management of type 2 diabetes in primary care: qualitative systematic review&lt;/title&gt;&lt;secondary-title&gt;British Journal of General Practice&lt;/secondary-title&gt;&lt;/titles&gt;&lt;periodical&gt;&lt;full-title&gt;British Journal of General Practice&lt;/full-title&gt;&lt;/periodical&gt;&lt;pages&gt;e114-e127&lt;/pages&gt;&lt;volume&gt;66&lt;/volume&gt;&lt;number&gt;643&lt;/number&gt;&lt;dates&gt;&lt;year&gt;2016&lt;/year&gt;&lt;/dates&gt;&lt;isbn&gt;0960-1643&lt;/isbn&gt;&lt;urls&gt;&lt;/urls&gt;&lt;/record&gt;&lt;/Cite&gt;&lt;/EndNote&gt;</w:instrText>
            </w:r>
            <w:r w:rsidRPr="002C21B8">
              <w:rPr>
                <w:sz w:val="16"/>
                <w:szCs w:val="16"/>
              </w:rPr>
              <w:fldChar w:fldCharType="separate"/>
            </w:r>
            <w:r w:rsidRPr="002C21B8">
              <w:rPr>
                <w:sz w:val="16"/>
                <w:szCs w:val="16"/>
              </w:rPr>
              <w:t>(Rushforth</w:t>
            </w:r>
            <w:r w:rsidRPr="002C21B8">
              <w:rPr>
                <w:i/>
                <w:sz w:val="16"/>
                <w:szCs w:val="16"/>
              </w:rPr>
              <w:t xml:space="preserve"> et al.</w:t>
            </w:r>
            <w:r w:rsidRPr="002C21B8">
              <w:rPr>
                <w:sz w:val="16"/>
                <w:szCs w:val="16"/>
              </w:rPr>
              <w:t>, 2016)</w:t>
            </w:r>
            <w:r w:rsidRPr="002C21B8">
              <w:rPr>
                <w:sz w:val="16"/>
                <w:szCs w:val="16"/>
              </w:rPr>
              <w:fldChar w:fldCharType="end"/>
            </w:r>
          </w:p>
        </w:tc>
        <w:tc>
          <w:tcPr>
            <w:tcW w:w="6493" w:type="dxa"/>
            <w:tcBorders>
              <w:top w:val="nil"/>
              <w:left w:val="nil"/>
              <w:right w:val="nil"/>
            </w:tcBorders>
            <w:shd w:val="clear" w:color="auto" w:fill="auto"/>
          </w:tcPr>
          <w:p w14:paraId="7AAA67BE" w14:textId="77777777" w:rsidR="002F0740" w:rsidRPr="002C21B8" w:rsidRDefault="002F0740" w:rsidP="00D418D8">
            <w:pPr>
              <w:spacing w:beforeLines="20" w:before="48" w:afterLines="20" w:after="48" w:line="240" w:lineRule="auto"/>
              <w:rPr>
                <w:sz w:val="16"/>
                <w:szCs w:val="16"/>
              </w:rPr>
            </w:pPr>
            <w:r w:rsidRPr="002C21B8">
              <w:rPr>
                <w:sz w:val="16"/>
                <w:szCs w:val="16"/>
              </w:rPr>
              <w:t>Barriers to effective management of type 2 diabetes in primary care: qualitative systematic review</w:t>
            </w:r>
          </w:p>
        </w:tc>
        <w:tc>
          <w:tcPr>
            <w:tcW w:w="964" w:type="dxa"/>
            <w:tcBorders>
              <w:top w:val="nil"/>
              <w:left w:val="nil"/>
              <w:right w:val="nil"/>
            </w:tcBorders>
            <w:shd w:val="clear" w:color="auto" w:fill="auto"/>
            <w:noWrap/>
          </w:tcPr>
          <w:p w14:paraId="765AF0A9"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top w:val="nil"/>
              <w:left w:val="nil"/>
              <w:right w:val="nil"/>
            </w:tcBorders>
          </w:tcPr>
          <w:p w14:paraId="19CF815A" w14:textId="77777777" w:rsidR="002F0740" w:rsidRPr="002C21B8" w:rsidRDefault="002F0740" w:rsidP="00D418D8">
            <w:pPr>
              <w:spacing w:beforeLines="20" w:before="48" w:afterLines="20" w:after="48" w:line="240" w:lineRule="auto"/>
              <w:rPr>
                <w:sz w:val="16"/>
                <w:szCs w:val="16"/>
              </w:rPr>
            </w:pPr>
            <w:r w:rsidRPr="002C21B8">
              <w:rPr>
                <w:sz w:val="16"/>
                <w:szCs w:val="16"/>
              </w:rPr>
              <w:t>Diabetes mellitus</w:t>
            </w:r>
          </w:p>
        </w:tc>
        <w:tc>
          <w:tcPr>
            <w:tcW w:w="1701" w:type="dxa"/>
            <w:tcBorders>
              <w:top w:val="nil"/>
              <w:left w:val="nil"/>
              <w:right w:val="nil"/>
            </w:tcBorders>
            <w:shd w:val="clear" w:color="auto" w:fill="auto"/>
          </w:tcPr>
          <w:p w14:paraId="48A21A35"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Injectable and oral hypoglycaemic agents</w:t>
            </w:r>
          </w:p>
        </w:tc>
        <w:tc>
          <w:tcPr>
            <w:tcW w:w="1275" w:type="dxa"/>
            <w:tcBorders>
              <w:top w:val="nil"/>
              <w:left w:val="nil"/>
              <w:right w:val="nil"/>
            </w:tcBorders>
          </w:tcPr>
          <w:p w14:paraId="0DD44C28" w14:textId="77777777" w:rsidR="002F0740" w:rsidRPr="002C21B8" w:rsidRDefault="002F0740" w:rsidP="00D418D8">
            <w:pPr>
              <w:spacing w:beforeLines="20" w:before="48" w:afterLines="20" w:after="48" w:line="240" w:lineRule="auto"/>
              <w:rPr>
                <w:sz w:val="16"/>
                <w:szCs w:val="16"/>
              </w:rPr>
            </w:pPr>
            <w:r w:rsidRPr="002C21B8">
              <w:rPr>
                <w:sz w:val="16"/>
                <w:szCs w:val="16"/>
              </w:rPr>
              <w:t>Qualitative</w:t>
            </w:r>
          </w:p>
        </w:tc>
        <w:tc>
          <w:tcPr>
            <w:tcW w:w="703" w:type="dxa"/>
            <w:tcBorders>
              <w:top w:val="nil"/>
              <w:left w:val="nil"/>
            </w:tcBorders>
          </w:tcPr>
          <w:p w14:paraId="247A5966" w14:textId="77777777" w:rsidR="002F0740" w:rsidRPr="002C21B8" w:rsidRDefault="002F0740" w:rsidP="00D418D8">
            <w:pPr>
              <w:spacing w:beforeLines="20" w:before="48" w:afterLines="20" w:after="48" w:line="240" w:lineRule="auto"/>
              <w:rPr>
                <w:sz w:val="16"/>
                <w:szCs w:val="16"/>
              </w:rPr>
            </w:pPr>
            <w:r w:rsidRPr="002C21B8">
              <w:rPr>
                <w:sz w:val="16"/>
                <w:szCs w:val="16"/>
              </w:rPr>
              <w:t>32</w:t>
            </w:r>
          </w:p>
        </w:tc>
      </w:tr>
      <w:tr w:rsidR="002F0740" w:rsidRPr="002C21B8" w14:paraId="2C729561" w14:textId="77777777" w:rsidTr="00DA7613">
        <w:trPr>
          <w:trHeight w:val="340"/>
        </w:trPr>
        <w:tc>
          <w:tcPr>
            <w:tcW w:w="1531" w:type="dxa"/>
            <w:tcBorders>
              <w:left w:val="nil"/>
              <w:bottom w:val="single" w:sz="12" w:space="0" w:color="000000" w:themeColor="text1"/>
              <w:right w:val="nil"/>
            </w:tcBorders>
            <w:shd w:val="clear" w:color="auto" w:fill="auto"/>
            <w:noWrap/>
            <w:vAlign w:val="center"/>
          </w:tcPr>
          <w:p w14:paraId="7CC025D2" w14:textId="3E3801BE" w:rsidR="002F0740" w:rsidRPr="002C21B8" w:rsidRDefault="002F0740" w:rsidP="00D418D8">
            <w:pPr>
              <w:spacing w:beforeLines="20" w:before="48" w:afterLines="20" w:after="48" w:line="240" w:lineRule="auto"/>
              <w:jc w:val="left"/>
              <w:rPr>
                <w:sz w:val="16"/>
                <w:szCs w:val="16"/>
              </w:rPr>
            </w:pPr>
            <w:r w:rsidRPr="002C21B8">
              <w:rPr>
                <w:sz w:val="16"/>
                <w:szCs w:val="16"/>
              </w:rPr>
              <w:fldChar w:fldCharType="begin"/>
            </w:r>
            <w:r w:rsidR="000215B0" w:rsidRPr="002C21B8">
              <w:rPr>
                <w:sz w:val="16"/>
                <w:szCs w:val="16"/>
              </w:rPr>
              <w:instrText xml:space="preserve"> ADDIN EN.CITE &lt;EndNote&gt;&lt;Cite&gt;&lt;Author&gt;Wilkinson&lt;/Author&gt;&lt;Year&gt;2019&lt;/Year&gt;&lt;RecNum&gt;15228&lt;/RecNum&gt;&lt;DisplayText&gt;(Wilkinson&lt;style face="italic"&gt; et al.&lt;/style&gt;, 2019)&lt;/DisplayText&gt;&lt;record&gt;&lt;rec-number&gt;15228&lt;/rec-number&gt;&lt;foreign-keys&gt;&lt;key app="EN" db-id="xpefzwa5hf9dt2ea9fax95x7xvxz90v09dtf" timestamp="1713539433"&gt;15228&lt;/key&gt;&lt;/foreign-keys&gt;&lt;ref-type name="Journal Article"&gt;17&lt;/ref-type&gt;&lt;contributors&gt;&lt;authors&gt;&lt;author&gt;Wilkinson, Chris&lt;/author&gt;&lt;author&gt;Todd, Oliver&lt;/author&gt;&lt;author&gt;Clegg, Andrew&lt;/author&gt;&lt;author&gt;Gale, Chris P&lt;/author&gt;&lt;author&gt;Hall, Marlous&lt;/author&gt;&lt;/authors&gt;&lt;/contributors&gt;&lt;titles&gt;&lt;title&gt;Management of atrial fibrillation for older people with frailty: a systematic review and meta-analysis&lt;/title&gt;&lt;secondary-title&gt;Age and Ageing&lt;/secondary-title&gt;&lt;/titles&gt;&lt;periodical&gt;&lt;full-title&gt;Age and ageing&lt;/full-title&gt;&lt;/periodical&gt;&lt;pages&gt;196-203&lt;/pages&gt;&lt;volume&gt;48&lt;/volume&gt;&lt;number&gt;2&lt;/number&gt;&lt;dates&gt;&lt;year&gt;2019&lt;/year&gt;&lt;/dates&gt;&lt;isbn&gt;0002-0729&lt;/isbn&gt;&lt;urls&gt;&lt;/urls&gt;&lt;/record&gt;&lt;/Cite&gt;&lt;/EndNote&gt;</w:instrText>
            </w:r>
            <w:r w:rsidRPr="002C21B8">
              <w:rPr>
                <w:sz w:val="16"/>
                <w:szCs w:val="16"/>
              </w:rPr>
              <w:fldChar w:fldCharType="separate"/>
            </w:r>
            <w:r w:rsidRPr="002C21B8">
              <w:rPr>
                <w:noProof/>
                <w:sz w:val="16"/>
                <w:szCs w:val="16"/>
              </w:rPr>
              <w:t>(Wilkinson</w:t>
            </w:r>
            <w:r w:rsidRPr="002C21B8">
              <w:rPr>
                <w:i/>
                <w:noProof/>
                <w:sz w:val="16"/>
                <w:szCs w:val="16"/>
              </w:rPr>
              <w:t xml:space="preserve"> et al.</w:t>
            </w:r>
            <w:r w:rsidRPr="002C21B8">
              <w:rPr>
                <w:noProof/>
                <w:sz w:val="16"/>
                <w:szCs w:val="16"/>
              </w:rPr>
              <w:t>, 2019)</w:t>
            </w:r>
            <w:r w:rsidRPr="002C21B8">
              <w:rPr>
                <w:sz w:val="16"/>
                <w:szCs w:val="16"/>
              </w:rPr>
              <w:fldChar w:fldCharType="end"/>
            </w:r>
          </w:p>
        </w:tc>
        <w:tc>
          <w:tcPr>
            <w:tcW w:w="6493" w:type="dxa"/>
            <w:tcBorders>
              <w:left w:val="nil"/>
              <w:bottom w:val="single" w:sz="12" w:space="0" w:color="000000" w:themeColor="text1"/>
              <w:right w:val="nil"/>
            </w:tcBorders>
            <w:shd w:val="clear" w:color="auto" w:fill="auto"/>
          </w:tcPr>
          <w:p w14:paraId="7277F075" w14:textId="77777777" w:rsidR="002F0740" w:rsidRPr="002C21B8" w:rsidRDefault="002F0740" w:rsidP="00D418D8">
            <w:pPr>
              <w:spacing w:beforeLines="20" w:before="48" w:afterLines="20" w:after="48" w:line="240" w:lineRule="auto"/>
              <w:rPr>
                <w:sz w:val="16"/>
                <w:szCs w:val="16"/>
              </w:rPr>
            </w:pPr>
            <w:r w:rsidRPr="002C21B8">
              <w:rPr>
                <w:sz w:val="16"/>
                <w:szCs w:val="16"/>
              </w:rPr>
              <w:t>Management of atrial fibrillation for older people with frailty: a systematic review and meta-analysis</w:t>
            </w:r>
          </w:p>
        </w:tc>
        <w:tc>
          <w:tcPr>
            <w:tcW w:w="964" w:type="dxa"/>
            <w:tcBorders>
              <w:left w:val="nil"/>
              <w:bottom w:val="single" w:sz="12" w:space="0" w:color="000000" w:themeColor="text1"/>
              <w:right w:val="nil"/>
            </w:tcBorders>
            <w:shd w:val="clear" w:color="auto" w:fill="auto"/>
            <w:noWrap/>
          </w:tcPr>
          <w:p w14:paraId="7E50AC6A" w14:textId="77777777" w:rsidR="002F0740" w:rsidRPr="002C21B8" w:rsidRDefault="002F0740" w:rsidP="00D418D8">
            <w:pPr>
              <w:spacing w:beforeLines="20" w:before="48" w:afterLines="20" w:after="48" w:line="240" w:lineRule="auto"/>
              <w:rPr>
                <w:sz w:val="16"/>
                <w:szCs w:val="16"/>
              </w:rPr>
            </w:pPr>
            <w:r w:rsidRPr="002C21B8">
              <w:rPr>
                <w:sz w:val="16"/>
                <w:szCs w:val="16"/>
              </w:rPr>
              <w:t>United Kingdom</w:t>
            </w:r>
          </w:p>
        </w:tc>
        <w:tc>
          <w:tcPr>
            <w:tcW w:w="1247" w:type="dxa"/>
            <w:tcBorders>
              <w:left w:val="nil"/>
              <w:bottom w:val="single" w:sz="12" w:space="0" w:color="000000" w:themeColor="text1"/>
              <w:right w:val="nil"/>
            </w:tcBorders>
          </w:tcPr>
          <w:p w14:paraId="77F35EB5" w14:textId="77777777" w:rsidR="002F0740" w:rsidRPr="002C21B8" w:rsidRDefault="002F0740" w:rsidP="00D418D8">
            <w:pPr>
              <w:spacing w:beforeLines="20" w:before="48" w:afterLines="20" w:after="48" w:line="240" w:lineRule="auto"/>
              <w:rPr>
                <w:sz w:val="16"/>
                <w:szCs w:val="16"/>
              </w:rPr>
            </w:pPr>
            <w:r w:rsidRPr="002C21B8">
              <w:rPr>
                <w:sz w:val="16"/>
                <w:szCs w:val="16"/>
              </w:rPr>
              <w:t>Atrial fibrillation</w:t>
            </w:r>
          </w:p>
        </w:tc>
        <w:tc>
          <w:tcPr>
            <w:tcW w:w="1701" w:type="dxa"/>
            <w:tcBorders>
              <w:left w:val="nil"/>
              <w:bottom w:val="single" w:sz="12" w:space="0" w:color="000000" w:themeColor="text1"/>
              <w:right w:val="nil"/>
            </w:tcBorders>
            <w:shd w:val="clear" w:color="auto" w:fill="auto"/>
          </w:tcPr>
          <w:p w14:paraId="4E853DDD" w14:textId="77777777" w:rsidR="002F0740" w:rsidRPr="002C21B8" w:rsidRDefault="002F0740" w:rsidP="00D418D8">
            <w:pPr>
              <w:spacing w:beforeLines="20" w:before="48" w:afterLines="20" w:after="48" w:line="240" w:lineRule="auto"/>
              <w:jc w:val="left"/>
              <w:rPr>
                <w:sz w:val="16"/>
                <w:szCs w:val="16"/>
              </w:rPr>
            </w:pPr>
            <w:r w:rsidRPr="002C21B8">
              <w:rPr>
                <w:sz w:val="16"/>
                <w:szCs w:val="16"/>
              </w:rPr>
              <w:t>Anticoagulants</w:t>
            </w:r>
          </w:p>
        </w:tc>
        <w:tc>
          <w:tcPr>
            <w:tcW w:w="1275" w:type="dxa"/>
            <w:tcBorders>
              <w:left w:val="nil"/>
              <w:bottom w:val="single" w:sz="12" w:space="0" w:color="000000" w:themeColor="text1"/>
              <w:right w:val="nil"/>
            </w:tcBorders>
          </w:tcPr>
          <w:p w14:paraId="68A327B7" w14:textId="77777777" w:rsidR="002F0740" w:rsidRPr="002C21B8" w:rsidRDefault="002F0740" w:rsidP="00D418D8">
            <w:pPr>
              <w:spacing w:beforeLines="20" w:before="48" w:afterLines="20" w:after="48" w:line="240" w:lineRule="auto"/>
              <w:rPr>
                <w:sz w:val="16"/>
                <w:szCs w:val="16"/>
              </w:rPr>
            </w:pPr>
            <w:r w:rsidRPr="002C21B8">
              <w:rPr>
                <w:sz w:val="16"/>
                <w:szCs w:val="16"/>
              </w:rPr>
              <w:t>Quantitative</w:t>
            </w:r>
          </w:p>
        </w:tc>
        <w:tc>
          <w:tcPr>
            <w:tcW w:w="703" w:type="dxa"/>
            <w:tcBorders>
              <w:left w:val="nil"/>
              <w:bottom w:val="single" w:sz="12" w:space="0" w:color="000000" w:themeColor="text1"/>
            </w:tcBorders>
          </w:tcPr>
          <w:p w14:paraId="56378EEA" w14:textId="77777777" w:rsidR="002F0740" w:rsidRPr="002C21B8" w:rsidRDefault="002F0740" w:rsidP="00D418D8">
            <w:pPr>
              <w:spacing w:beforeLines="20" w:before="48" w:afterLines="20" w:after="48" w:line="240" w:lineRule="auto"/>
              <w:rPr>
                <w:sz w:val="16"/>
                <w:szCs w:val="16"/>
              </w:rPr>
            </w:pPr>
            <w:r w:rsidRPr="002C21B8">
              <w:rPr>
                <w:sz w:val="16"/>
                <w:szCs w:val="16"/>
              </w:rPr>
              <w:t>20</w:t>
            </w:r>
          </w:p>
        </w:tc>
      </w:tr>
    </w:tbl>
    <w:p w14:paraId="42D97312" w14:textId="77777777" w:rsidR="002F0740" w:rsidRPr="002C21B8" w:rsidRDefault="002F0740" w:rsidP="00D418D8">
      <w:pPr>
        <w:spacing w:line="240" w:lineRule="auto"/>
        <w:sectPr w:rsidR="002F0740" w:rsidRPr="002C21B8" w:rsidSect="0009672F">
          <w:headerReference w:type="default" r:id="rId28"/>
          <w:headerReference w:type="first" r:id="rId29"/>
          <w:type w:val="continuous"/>
          <w:pgSz w:w="16838" w:h="11906" w:orient="landscape"/>
          <w:pgMar w:top="1440" w:right="1440" w:bottom="1440" w:left="1440" w:header="708" w:footer="708" w:gutter="0"/>
          <w:cols w:space="708"/>
          <w:titlePg/>
          <w:docGrid w:linePitch="360"/>
        </w:sectPr>
      </w:pPr>
    </w:p>
    <w:p w14:paraId="2B20424C" w14:textId="77777777" w:rsidR="002F0740" w:rsidRPr="002C21B8" w:rsidRDefault="002F0740" w:rsidP="002F0740">
      <w:pPr>
        <w:spacing w:before="240" w:after="0"/>
        <w:rPr>
          <w:b/>
          <w:bCs/>
          <w:sz w:val="24"/>
          <w:szCs w:val="24"/>
        </w:rPr>
      </w:pPr>
      <w:r w:rsidRPr="002C21B8">
        <w:rPr>
          <w:b/>
          <w:bCs/>
          <w:sz w:val="24"/>
          <w:szCs w:val="24"/>
        </w:rPr>
        <w:t>Synthesis of qualitative findings</w:t>
      </w:r>
    </w:p>
    <w:p w14:paraId="0F9C1F66" w14:textId="6E25EB95" w:rsidR="002F0740" w:rsidRPr="002C21B8" w:rsidRDefault="002F0740" w:rsidP="002F0740">
      <w:pPr>
        <w:sectPr w:rsidR="002F0740" w:rsidRPr="002C21B8" w:rsidSect="0009672F">
          <w:headerReference w:type="first" r:id="rId30"/>
          <w:type w:val="continuous"/>
          <w:pgSz w:w="11906" w:h="16838"/>
          <w:pgMar w:top="1440" w:right="1440" w:bottom="1440" w:left="1440" w:header="708" w:footer="708" w:gutter="0"/>
          <w:cols w:space="708"/>
          <w:titlePg/>
          <w:docGrid w:linePitch="360"/>
        </w:sectPr>
      </w:pPr>
      <w:r w:rsidRPr="002C21B8">
        <w:t xml:space="preserve">Twenty-eight factors perceived by healthcare professionals to influence prescribing decisions for chronic conditions were identified (see </w:t>
      </w:r>
      <w:r w:rsidRPr="002C21B8">
        <w:fldChar w:fldCharType="begin"/>
      </w:r>
      <w:r w:rsidRPr="002C21B8">
        <w:instrText xml:space="preserve"> REF _Ref217058844 \h  \* MERGEFORMAT </w:instrText>
      </w:r>
      <w:r w:rsidRPr="002C21B8">
        <w:fldChar w:fldCharType="separate"/>
      </w:r>
      <w:r w:rsidR="00DB3709" w:rsidRPr="002C21B8">
        <w:t xml:space="preserve">Table </w:t>
      </w:r>
      <w:r w:rsidR="00DB3709">
        <w:t>9</w:t>
      </w:r>
      <w:r w:rsidRPr="002C21B8">
        <w:fldChar w:fldCharType="end"/>
      </w:r>
      <w:r w:rsidRPr="002C21B8">
        <w:t>). Using the GRADE-CERQual, eight factors were assessed as high confidence, eight as moderate confidence, seven as low confidence and five as very low confidence. These factors were categorised into six key themes: (1) Patient factors perceived to influence prescribing decisions; (2) Individualised patient risk-benefit assessment predominantly focuse</w:t>
      </w:r>
      <w:r w:rsidR="00671843" w:rsidRPr="002C21B8">
        <w:t>s</w:t>
      </w:r>
      <w:r w:rsidRPr="002C21B8">
        <w:t xml:space="preserve"> on the risks rather than the benefits when making prescribing decisions; (3) Clinical inertia – defined as the failure to initiate a treatment when indicated in this context </w:t>
      </w:r>
      <w:r w:rsidRPr="002C21B8">
        <w:fldChar w:fldCharType="begin"/>
      </w:r>
      <w:r w:rsidR="000215B0" w:rsidRPr="002C21B8">
        <w:instrText xml:space="preserve"> ADDIN EN.CITE &lt;EndNote&gt;&lt;Cite&gt;&lt;Author&gt;Phillips&lt;/Author&gt;&lt;Year&gt;2001&lt;/Year&gt;&lt;RecNum&gt;101027&lt;/RecNum&gt;&lt;DisplayText&gt;(Phillips&lt;style face="italic"&gt; et al.&lt;/style&gt;, 2001)&lt;/DisplayText&gt;&lt;record&gt;&lt;rec-number&gt;101027&lt;/rec-number&gt;&lt;foreign-keys&gt;&lt;key app="EN" db-id="xpefzwa5hf9dt2ea9fax95x7xvxz90v09dtf" timestamp="1728561513"&gt;101027&lt;/key&gt;&lt;/foreign-keys&gt;&lt;ref-type name="Journal Article"&gt;17&lt;/ref-type&gt;&lt;contributors&gt;&lt;authors&gt;&lt;author&gt;Phillips, Lawrence S&lt;/author&gt;&lt;author&gt;Branch Jr, William T&lt;/author&gt;&lt;author&gt;Cook, Curtiss B&lt;/author&gt;&lt;author&gt;Doyle, Joyce P&lt;/author&gt;&lt;author&gt;El-Kebbi, Imad M&lt;/author&gt;&lt;author&gt;Gallina, Daniel L&lt;/author&gt;&lt;author&gt;Miller, Christopher D&lt;/author&gt;&lt;author&gt;Ziemer, David C&lt;/author&gt;&lt;author&gt;Barnes, Catherine S&lt;/author&gt;&lt;/authors&gt;&lt;/contributors&gt;&lt;titles&gt;&lt;title&gt;Clinical inertia&lt;/title&gt;&lt;secondary-title&gt;Annals of Internal Medicine&lt;/secondary-title&gt;&lt;/titles&gt;&lt;periodical&gt;&lt;full-title&gt;Annals of internal medicine&lt;/full-title&gt;&lt;/periodical&gt;&lt;pages&gt;825-834&lt;/pages&gt;&lt;volume&gt;135&lt;/volume&gt;&lt;number&gt;9&lt;/number&gt;&lt;dates&gt;&lt;year&gt;2001&lt;/year&gt;&lt;/dates&gt;&lt;isbn&gt;0003-4819&lt;/isbn&gt;&lt;urls&gt;&lt;/urls&gt;&lt;/record&gt;&lt;/Cite&gt;&lt;/EndNote&gt;</w:instrText>
      </w:r>
      <w:r w:rsidRPr="002C21B8">
        <w:fldChar w:fldCharType="separate"/>
      </w:r>
      <w:r w:rsidRPr="002C21B8">
        <w:rPr>
          <w:noProof/>
        </w:rPr>
        <w:t>(Phillips</w:t>
      </w:r>
      <w:r w:rsidRPr="002C21B8">
        <w:rPr>
          <w:i/>
          <w:noProof/>
        </w:rPr>
        <w:t xml:space="preserve"> et al.</w:t>
      </w:r>
      <w:r w:rsidRPr="002C21B8">
        <w:rPr>
          <w:noProof/>
        </w:rPr>
        <w:t>, 2001)</w:t>
      </w:r>
      <w:r w:rsidRPr="002C21B8">
        <w:fldChar w:fldCharType="end"/>
      </w:r>
      <w:r w:rsidRPr="002C21B8">
        <w:t xml:space="preserve"> – which may result from factors related to prescribers, interactions between healthcare professionals and the healthcare system; (4) Medication costs – which are important in the prescribing decision-making process and go beyond direct medication costs to the prescriber; (5) Shared decision-making – which is not always shared equally between patients and prescribers when making prescribing decisions; and (6) External factors influence prescribing decision</w:t>
      </w:r>
      <w:r w:rsidR="007A6D26" w:rsidRPr="002C21B8">
        <w:t>s</w:t>
      </w:r>
      <w:r w:rsidRPr="002C21B8">
        <w:t>.</w:t>
      </w:r>
    </w:p>
    <w:p w14:paraId="736D51F6" w14:textId="73F42F6D" w:rsidR="002F0740" w:rsidRPr="002C21B8" w:rsidRDefault="002F0740" w:rsidP="00D418D8">
      <w:pPr>
        <w:pStyle w:val="Caption"/>
        <w:keepNext w:val="0"/>
        <w:widowControl w:val="0"/>
        <w:rPr>
          <w:noProof w:val="0"/>
        </w:rPr>
      </w:pPr>
      <w:bookmarkStart w:id="130" w:name="_Ref217058844"/>
      <w:bookmarkStart w:id="131" w:name="_Toc236991745"/>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9</w:t>
      </w:r>
      <w:r w:rsidRPr="002C21B8">
        <w:rPr>
          <w:noProof w:val="0"/>
        </w:rPr>
        <w:fldChar w:fldCharType="end"/>
      </w:r>
      <w:bookmarkEnd w:id="130"/>
      <w:r w:rsidRPr="002C21B8">
        <w:rPr>
          <w:noProof w:val="0"/>
        </w:rPr>
        <w:t>. Summary of qualitative findings</w:t>
      </w:r>
      <w:bookmarkEnd w:id="131"/>
    </w:p>
    <w:tbl>
      <w:tblPr>
        <w:tblW w:w="13892" w:type="dxa"/>
        <w:tblLook w:val="04A0" w:firstRow="1" w:lastRow="0" w:firstColumn="1" w:lastColumn="0" w:noHBand="0" w:noVBand="1"/>
      </w:tblPr>
      <w:tblGrid>
        <w:gridCol w:w="6804"/>
        <w:gridCol w:w="2268"/>
        <w:gridCol w:w="1985"/>
        <w:gridCol w:w="2835"/>
      </w:tblGrid>
      <w:tr w:rsidR="002F0740" w:rsidRPr="002C21B8" w14:paraId="3CDBF0E5" w14:textId="77777777" w:rsidTr="00EB0FFD">
        <w:trPr>
          <w:trHeight w:val="119"/>
        </w:trPr>
        <w:tc>
          <w:tcPr>
            <w:tcW w:w="6804" w:type="dxa"/>
            <w:tcBorders>
              <w:top w:val="single" w:sz="12" w:space="0" w:color="000000" w:themeColor="text1"/>
              <w:left w:val="nil"/>
              <w:bottom w:val="single" w:sz="6" w:space="0" w:color="000000" w:themeColor="text1"/>
              <w:right w:val="nil"/>
            </w:tcBorders>
            <w:shd w:val="clear" w:color="auto" w:fill="auto"/>
            <w:noWrap/>
            <w:vAlign w:val="center"/>
            <w:hideMark/>
          </w:tcPr>
          <w:p w14:paraId="43EE3644" w14:textId="77777777" w:rsidR="002F0740" w:rsidRPr="002C21B8" w:rsidRDefault="002F0740" w:rsidP="00D418D8">
            <w:pPr>
              <w:widowControl w:val="0"/>
              <w:spacing w:beforeLines="20" w:before="48" w:afterLines="20" w:after="48" w:line="240" w:lineRule="auto"/>
              <w:jc w:val="left"/>
              <w:rPr>
                <w:b/>
                <w:bCs/>
                <w:sz w:val="20"/>
                <w:szCs w:val="20"/>
              </w:rPr>
            </w:pPr>
            <w:r w:rsidRPr="002C21B8">
              <w:rPr>
                <w:b/>
                <w:bCs/>
                <w:sz w:val="20"/>
                <w:szCs w:val="20"/>
              </w:rPr>
              <w:t>Summary of qualitative review findings</w:t>
            </w:r>
          </w:p>
        </w:tc>
        <w:tc>
          <w:tcPr>
            <w:tcW w:w="2268" w:type="dxa"/>
            <w:tcBorders>
              <w:top w:val="single" w:sz="12" w:space="0" w:color="000000" w:themeColor="text1"/>
              <w:left w:val="nil"/>
              <w:bottom w:val="single" w:sz="6" w:space="0" w:color="000000" w:themeColor="text1"/>
              <w:right w:val="nil"/>
            </w:tcBorders>
            <w:shd w:val="clear" w:color="auto" w:fill="auto"/>
            <w:noWrap/>
            <w:vAlign w:val="center"/>
            <w:hideMark/>
          </w:tcPr>
          <w:p w14:paraId="24A497C3" w14:textId="77777777" w:rsidR="002F0740" w:rsidRPr="002C21B8" w:rsidRDefault="002F0740" w:rsidP="00D418D8">
            <w:pPr>
              <w:widowControl w:val="0"/>
              <w:spacing w:beforeLines="20" w:before="48" w:afterLines="20" w:after="48" w:line="240" w:lineRule="auto"/>
              <w:jc w:val="left"/>
              <w:rPr>
                <w:b/>
                <w:bCs/>
                <w:sz w:val="20"/>
                <w:szCs w:val="20"/>
              </w:rPr>
            </w:pPr>
            <w:r w:rsidRPr="002C21B8">
              <w:rPr>
                <w:b/>
                <w:bCs/>
                <w:sz w:val="20"/>
                <w:szCs w:val="20"/>
              </w:rPr>
              <w:t>Confidence according to CERQUAL assessment</w:t>
            </w:r>
          </w:p>
        </w:tc>
        <w:tc>
          <w:tcPr>
            <w:tcW w:w="1985" w:type="dxa"/>
            <w:tcBorders>
              <w:top w:val="single" w:sz="12" w:space="0" w:color="000000" w:themeColor="text1"/>
              <w:left w:val="nil"/>
              <w:bottom w:val="single" w:sz="6" w:space="0" w:color="000000" w:themeColor="text1"/>
              <w:right w:val="nil"/>
            </w:tcBorders>
            <w:shd w:val="clear" w:color="auto" w:fill="auto"/>
            <w:noWrap/>
            <w:vAlign w:val="center"/>
            <w:hideMark/>
          </w:tcPr>
          <w:p w14:paraId="595ECB23" w14:textId="77777777" w:rsidR="002F0740" w:rsidRPr="002C21B8" w:rsidRDefault="002F0740" w:rsidP="00D418D8">
            <w:pPr>
              <w:widowControl w:val="0"/>
              <w:spacing w:beforeLines="20" w:before="48" w:afterLines="20" w:after="48" w:line="240" w:lineRule="auto"/>
              <w:jc w:val="left"/>
              <w:rPr>
                <w:b/>
                <w:bCs/>
                <w:sz w:val="20"/>
                <w:szCs w:val="20"/>
              </w:rPr>
            </w:pPr>
            <w:r w:rsidRPr="002C21B8">
              <w:rPr>
                <w:b/>
                <w:bCs/>
                <w:sz w:val="20"/>
                <w:szCs w:val="20"/>
              </w:rPr>
              <w:t>Likelihood review represents decisions</w:t>
            </w:r>
          </w:p>
        </w:tc>
        <w:tc>
          <w:tcPr>
            <w:tcW w:w="2835" w:type="dxa"/>
            <w:tcBorders>
              <w:top w:val="single" w:sz="12" w:space="0" w:color="000000" w:themeColor="text1"/>
              <w:left w:val="nil"/>
              <w:bottom w:val="single" w:sz="6" w:space="0" w:color="000000" w:themeColor="text1"/>
              <w:right w:val="nil"/>
            </w:tcBorders>
            <w:shd w:val="clear" w:color="auto" w:fill="auto"/>
            <w:noWrap/>
            <w:vAlign w:val="center"/>
            <w:hideMark/>
          </w:tcPr>
          <w:p w14:paraId="24A3D981" w14:textId="77777777" w:rsidR="002F0740" w:rsidRPr="002C21B8" w:rsidRDefault="002F0740" w:rsidP="00D418D8">
            <w:pPr>
              <w:widowControl w:val="0"/>
              <w:spacing w:beforeLines="20" w:before="48" w:afterLines="20" w:after="48" w:line="240" w:lineRule="auto"/>
              <w:jc w:val="left"/>
              <w:rPr>
                <w:b/>
                <w:bCs/>
                <w:sz w:val="20"/>
                <w:szCs w:val="20"/>
              </w:rPr>
            </w:pPr>
            <w:r w:rsidRPr="002C21B8">
              <w:rPr>
                <w:b/>
                <w:bCs/>
                <w:sz w:val="20"/>
                <w:szCs w:val="20"/>
              </w:rPr>
              <w:t>Studies contributing to the     review findings</w:t>
            </w:r>
          </w:p>
        </w:tc>
      </w:tr>
      <w:tr w:rsidR="002F0740" w:rsidRPr="002C21B8" w14:paraId="359186A5"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5CB56286" w14:textId="77777777" w:rsidR="002F0740" w:rsidRPr="002C21B8" w:rsidRDefault="002F0740" w:rsidP="00D418D8">
            <w:pPr>
              <w:widowControl w:val="0"/>
              <w:spacing w:beforeLines="20" w:before="48" w:afterLines="20" w:after="48" w:line="240" w:lineRule="auto"/>
              <w:rPr>
                <w:b/>
                <w:bCs/>
                <w:sz w:val="20"/>
                <w:szCs w:val="20"/>
              </w:rPr>
            </w:pPr>
            <w:r w:rsidRPr="002C21B8">
              <w:rPr>
                <w:b/>
                <w:bCs/>
                <w:sz w:val="20"/>
                <w:szCs w:val="20"/>
              </w:rPr>
              <w:t xml:space="preserve">1. Patient factors </w:t>
            </w:r>
          </w:p>
        </w:tc>
      </w:tr>
      <w:tr w:rsidR="002F0740" w:rsidRPr="002C21B8" w14:paraId="52C27B79" w14:textId="77777777" w:rsidTr="00EB0FFD">
        <w:trPr>
          <w:trHeight w:val="162"/>
        </w:trPr>
        <w:tc>
          <w:tcPr>
            <w:tcW w:w="6804" w:type="dxa"/>
            <w:tcBorders>
              <w:left w:val="nil"/>
              <w:bottom w:val="nil"/>
              <w:right w:val="nil"/>
            </w:tcBorders>
            <w:shd w:val="clear" w:color="auto" w:fill="auto"/>
            <w:noWrap/>
          </w:tcPr>
          <w:p w14:paraId="2AE74B39"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1.1 Age: </w:t>
            </w:r>
            <w:r w:rsidRPr="002C21B8">
              <w:rPr>
                <w:sz w:val="18"/>
                <w:szCs w:val="18"/>
              </w:rPr>
              <w:t>Elderly patients are less likely to be prescribed high-risk medications; younger patients may be steered towards non-medical interventions.</w:t>
            </w:r>
          </w:p>
        </w:tc>
        <w:tc>
          <w:tcPr>
            <w:tcW w:w="2268" w:type="dxa"/>
            <w:tcBorders>
              <w:left w:val="nil"/>
              <w:bottom w:val="nil"/>
              <w:right w:val="nil"/>
            </w:tcBorders>
            <w:shd w:val="clear" w:color="auto" w:fill="auto"/>
            <w:noWrap/>
            <w:hideMark/>
          </w:tcPr>
          <w:p w14:paraId="063D9709"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w:t>
            </w:r>
          </w:p>
        </w:tc>
        <w:tc>
          <w:tcPr>
            <w:tcW w:w="1985" w:type="dxa"/>
            <w:tcBorders>
              <w:left w:val="nil"/>
              <w:bottom w:val="nil"/>
              <w:right w:val="nil"/>
            </w:tcBorders>
            <w:shd w:val="clear" w:color="auto" w:fill="auto"/>
            <w:hideMark/>
          </w:tcPr>
          <w:p w14:paraId="03D7F922"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left w:val="nil"/>
              <w:bottom w:val="nil"/>
              <w:right w:val="nil"/>
            </w:tcBorders>
            <w:shd w:val="clear" w:color="auto" w:fill="auto"/>
            <w:noWrap/>
            <w:hideMark/>
          </w:tcPr>
          <w:p w14:paraId="0F7D3E0F" w14:textId="173B4E25"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Y051bT4xNTIwOTwvUmVjTnVtPjxEaXNwbGF5VGV4dD4oQWJkZWxrYWRlcjxzdHlsZSBmYWNlPSJp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PEVuZE5vdGU+PENpdGU+PEF1dGhvcj5CeXJuZTwvQXV0aG9yPjxZZWFyPjIwMjI8L1llYXI+PFJl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(Abdelkader</w:t>
            </w:r>
            <w:r w:rsidRPr="002C21B8">
              <w:rPr>
                <w:i/>
                <w:noProof/>
                <w:sz w:val="18"/>
                <w:szCs w:val="18"/>
                <w:lang w:val="fr-FR"/>
              </w:rPr>
              <w:t xml:space="preserve"> et al.</w:t>
            </w:r>
            <w:r w:rsidRPr="002C21B8">
              <w:rPr>
                <w:noProof/>
                <w:sz w:val="18"/>
                <w:szCs w:val="18"/>
                <w:lang w:val="fr-FR"/>
              </w:rPr>
              <w:t>, 2023; Byrne</w:t>
            </w:r>
            <w:r w:rsidRPr="002C21B8">
              <w:rPr>
                <w:i/>
                <w:noProof/>
                <w:sz w:val="18"/>
                <w:szCs w:val="18"/>
                <w:lang w:val="fr-FR"/>
              </w:rPr>
              <w:t xml:space="preserve"> et al.</w:t>
            </w:r>
            <w:r w:rsidRPr="002C21B8">
              <w:rPr>
                <w:noProof/>
                <w:sz w:val="18"/>
                <w:szCs w:val="18"/>
                <w:lang w:val="fr-FR"/>
              </w:rPr>
              <w:t>, 2022; Lalor</w:t>
            </w:r>
            <w:r w:rsidRPr="002C21B8">
              <w:rPr>
                <w:i/>
                <w:noProof/>
                <w:sz w:val="18"/>
                <w:szCs w:val="18"/>
                <w:lang w:val="fr-FR"/>
              </w:rPr>
              <w:t xml:space="preserve"> et al.</w:t>
            </w:r>
            <w:r w:rsidRPr="002C21B8">
              <w:rPr>
                <w:noProof/>
                <w:sz w:val="18"/>
                <w:szCs w:val="18"/>
                <w:lang w:val="fr-FR"/>
              </w:rPr>
              <w:t>, 2022; Mas Dalmau</w:t>
            </w:r>
            <w:r w:rsidRPr="002C21B8">
              <w:rPr>
                <w:i/>
                <w:noProof/>
                <w:sz w:val="18"/>
                <w:szCs w:val="18"/>
                <w:lang w:val="fr-FR"/>
              </w:rPr>
              <w:t xml:space="preserve"> et al.</w:t>
            </w:r>
            <w:r w:rsidRPr="002C21B8">
              <w:rPr>
                <w:noProof/>
                <w:sz w:val="18"/>
                <w:szCs w:val="18"/>
                <w:lang w:val="fr-FR"/>
              </w:rPr>
              <w:t>, 2017; Orayj and Lane, 2019; Pritchett</w:t>
            </w:r>
            <w:r w:rsidRPr="002C21B8">
              <w:rPr>
                <w:i/>
                <w:noProof/>
                <w:sz w:val="18"/>
                <w:szCs w:val="18"/>
                <w:lang w:val="fr-FR"/>
              </w:rPr>
              <w:t xml:space="preserve"> et al.</w:t>
            </w:r>
            <w:r w:rsidRPr="002C21B8">
              <w:rPr>
                <w:noProof/>
                <w:sz w:val="18"/>
                <w:szCs w:val="18"/>
                <w:lang w:val="fr-FR"/>
              </w:rPr>
              <w:t>, 2020; Qadi</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47DED73C" w14:textId="77777777" w:rsidTr="00EB0FFD">
        <w:trPr>
          <w:trHeight w:val="129"/>
        </w:trPr>
        <w:tc>
          <w:tcPr>
            <w:tcW w:w="6804" w:type="dxa"/>
            <w:tcBorders>
              <w:top w:val="nil"/>
              <w:left w:val="nil"/>
              <w:bottom w:val="nil"/>
              <w:right w:val="nil"/>
            </w:tcBorders>
            <w:shd w:val="clear" w:color="auto" w:fill="auto"/>
            <w:noWrap/>
          </w:tcPr>
          <w:p w14:paraId="0A07A960" w14:textId="77777777" w:rsidR="002F0740" w:rsidRPr="002C21B8" w:rsidRDefault="002F0740" w:rsidP="00D418D8">
            <w:pPr>
              <w:widowControl w:val="0"/>
              <w:spacing w:beforeLines="20" w:before="48" w:afterLines="20" w:after="48" w:line="240" w:lineRule="auto"/>
              <w:ind w:left="327"/>
              <w:rPr>
                <w:b/>
                <w:bCs/>
                <w:sz w:val="18"/>
                <w:szCs w:val="18"/>
              </w:rPr>
            </w:pPr>
            <w:r w:rsidRPr="002C21B8">
              <w:rPr>
                <w:b/>
                <w:bCs/>
                <w:sz w:val="18"/>
                <w:szCs w:val="18"/>
              </w:rPr>
              <w:t>1.2 Ethnicity: P</w:t>
            </w:r>
            <w:r w:rsidRPr="002C21B8">
              <w:rPr>
                <w:sz w:val="18"/>
                <w:szCs w:val="18"/>
              </w:rPr>
              <w:t>atients from ethnic minorities may be perceived to need additional resources for decision-making and overcoming barriers.</w:t>
            </w:r>
          </w:p>
        </w:tc>
        <w:tc>
          <w:tcPr>
            <w:tcW w:w="2268" w:type="dxa"/>
            <w:tcBorders>
              <w:top w:val="nil"/>
              <w:left w:val="nil"/>
              <w:bottom w:val="nil"/>
              <w:right w:val="nil"/>
            </w:tcBorders>
            <w:shd w:val="clear" w:color="auto" w:fill="auto"/>
            <w:noWrap/>
            <w:hideMark/>
          </w:tcPr>
          <w:p w14:paraId="62F9883D"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Moderate</w:t>
            </w:r>
          </w:p>
        </w:tc>
        <w:tc>
          <w:tcPr>
            <w:tcW w:w="1985" w:type="dxa"/>
            <w:tcBorders>
              <w:top w:val="nil"/>
              <w:left w:val="nil"/>
              <w:bottom w:val="nil"/>
              <w:right w:val="nil"/>
            </w:tcBorders>
            <w:shd w:val="clear" w:color="auto" w:fill="auto"/>
            <w:hideMark/>
          </w:tcPr>
          <w:p w14:paraId="19EC6720"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Likely</w:t>
            </w:r>
          </w:p>
        </w:tc>
        <w:tc>
          <w:tcPr>
            <w:tcW w:w="2835" w:type="dxa"/>
            <w:tcBorders>
              <w:top w:val="nil"/>
              <w:left w:val="nil"/>
              <w:bottom w:val="nil"/>
              <w:right w:val="nil"/>
            </w:tcBorders>
            <w:shd w:val="clear" w:color="auto" w:fill="auto"/>
            <w:noWrap/>
            <w:hideMark/>
          </w:tcPr>
          <w:p w14:paraId="1D3CFDBC" w14:textId="60C3D25F"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Y051bT4xNTIwOTwvUmVjTnVtPjxEaXNwbGF5VGV4dD4oQWJkZWxrYWRlcjxzdHlsZSBmYWNlPSJp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==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PEVuZE5vdGU+PENpdGU+PEF1dGhvcj5CeXJuZTwvQXV0aG9yPjxZZWFyPjIwMjI8L1llYXI+PFJl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==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(Abdelkader</w:t>
            </w:r>
            <w:r w:rsidRPr="002C21B8">
              <w:rPr>
                <w:i/>
                <w:noProof/>
                <w:sz w:val="18"/>
                <w:szCs w:val="18"/>
                <w:lang w:val="fr-FR"/>
              </w:rPr>
              <w:t xml:space="preserve"> et al.</w:t>
            </w:r>
            <w:r w:rsidRPr="002C21B8">
              <w:rPr>
                <w:noProof/>
                <w:sz w:val="18"/>
                <w:szCs w:val="18"/>
                <w:lang w:val="fr-FR"/>
              </w:rPr>
              <w:t>, 2023; Byrne</w:t>
            </w:r>
            <w:r w:rsidRPr="002C21B8">
              <w:rPr>
                <w:i/>
                <w:noProof/>
                <w:sz w:val="18"/>
                <w:szCs w:val="18"/>
                <w:lang w:val="fr-FR"/>
              </w:rPr>
              <w:t xml:space="preserve"> et al.</w:t>
            </w:r>
            <w:r w:rsidRPr="002C21B8">
              <w:rPr>
                <w:noProof/>
                <w:sz w:val="18"/>
                <w:szCs w:val="18"/>
                <w:lang w:val="fr-FR"/>
              </w:rPr>
              <w:t>, 2022; Orayj and Lane, 2019; Pritchett</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53B9AD40" w14:textId="77777777" w:rsidTr="00EB0FFD">
        <w:trPr>
          <w:trHeight w:val="335"/>
        </w:trPr>
        <w:tc>
          <w:tcPr>
            <w:tcW w:w="6804" w:type="dxa"/>
            <w:tcBorders>
              <w:top w:val="nil"/>
              <w:left w:val="nil"/>
              <w:bottom w:val="nil"/>
              <w:right w:val="nil"/>
            </w:tcBorders>
            <w:shd w:val="clear" w:color="auto" w:fill="auto"/>
            <w:noWrap/>
          </w:tcPr>
          <w:p w14:paraId="4AF3ECA4"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1.3 Socioeconomic status:</w:t>
            </w:r>
            <w:r w:rsidRPr="002C21B8">
              <w:rPr>
                <w:sz w:val="18"/>
                <w:szCs w:val="18"/>
              </w:rPr>
              <w:t xml:space="preserve"> Lower socioeconomic status can lead to less prescribing due to lower patient awareness, reduced self-advocacy, and financial resources.</w:t>
            </w:r>
          </w:p>
        </w:tc>
        <w:tc>
          <w:tcPr>
            <w:tcW w:w="2268" w:type="dxa"/>
            <w:tcBorders>
              <w:top w:val="nil"/>
              <w:left w:val="nil"/>
              <w:bottom w:val="nil"/>
              <w:right w:val="nil"/>
            </w:tcBorders>
            <w:shd w:val="clear" w:color="auto" w:fill="auto"/>
            <w:noWrap/>
            <w:hideMark/>
          </w:tcPr>
          <w:p w14:paraId="0ACA333C"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Low</w:t>
            </w:r>
          </w:p>
        </w:tc>
        <w:tc>
          <w:tcPr>
            <w:tcW w:w="1985" w:type="dxa"/>
            <w:tcBorders>
              <w:top w:val="nil"/>
              <w:left w:val="nil"/>
              <w:bottom w:val="nil"/>
              <w:right w:val="nil"/>
            </w:tcBorders>
            <w:shd w:val="clear" w:color="auto" w:fill="auto"/>
            <w:hideMark/>
          </w:tcPr>
          <w:p w14:paraId="0A1C4E9B"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nil"/>
              <w:right w:val="nil"/>
            </w:tcBorders>
            <w:shd w:val="clear" w:color="auto" w:fill="auto"/>
            <w:noWrap/>
            <w:hideMark/>
          </w:tcPr>
          <w:p w14:paraId="7B00408F" w14:textId="5A64222B"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PEVuZE5vdGU+PENpdGU+PEF1dGhvcj5MYWxvcjwvQXV0aG9yPjxZZWFyPjIwMjI8L1llYXI+PFJl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PEVuZE5vdGU+PENpdGU+PEF1dGhvcj5MYWxvcjwvQXV0aG9yPjxZZWFyPjIwMjI8L1llYXI+PFJl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(Lalor</w:t>
            </w:r>
            <w:r w:rsidRPr="002C21B8">
              <w:rPr>
                <w:i/>
                <w:noProof/>
                <w:sz w:val="18"/>
                <w:szCs w:val="18"/>
                <w:lang w:val="fr-FR"/>
              </w:rPr>
              <w:t xml:space="preserve"> et al.</w:t>
            </w:r>
            <w:r w:rsidRPr="002C21B8">
              <w:rPr>
                <w:noProof/>
                <w:sz w:val="18"/>
                <w:szCs w:val="18"/>
                <w:lang w:val="fr-FR"/>
              </w:rPr>
              <w:t>, 2022; Pritchett</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237E879B" w14:textId="77777777" w:rsidTr="00EB0FFD">
        <w:trPr>
          <w:trHeight w:val="129"/>
        </w:trPr>
        <w:tc>
          <w:tcPr>
            <w:tcW w:w="6804" w:type="dxa"/>
            <w:tcBorders>
              <w:top w:val="nil"/>
              <w:left w:val="nil"/>
              <w:bottom w:val="nil"/>
              <w:right w:val="nil"/>
            </w:tcBorders>
            <w:shd w:val="clear" w:color="auto" w:fill="auto"/>
            <w:noWrap/>
          </w:tcPr>
          <w:p w14:paraId="15386178"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1.4 Occupational status:</w:t>
            </w:r>
            <w:r w:rsidRPr="002C21B8">
              <w:rPr>
                <w:sz w:val="18"/>
                <w:szCs w:val="18"/>
              </w:rPr>
              <w:t xml:space="preserve"> Fast-acting medications are preferred for patients who will be returning to work.</w:t>
            </w:r>
          </w:p>
        </w:tc>
        <w:tc>
          <w:tcPr>
            <w:tcW w:w="2268" w:type="dxa"/>
            <w:tcBorders>
              <w:top w:val="nil"/>
              <w:left w:val="nil"/>
              <w:bottom w:val="nil"/>
              <w:right w:val="nil"/>
            </w:tcBorders>
            <w:shd w:val="clear" w:color="auto" w:fill="auto"/>
            <w:noWrap/>
            <w:hideMark/>
          </w:tcPr>
          <w:p w14:paraId="2EFFFDAE"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Very low</w:t>
            </w:r>
          </w:p>
        </w:tc>
        <w:tc>
          <w:tcPr>
            <w:tcW w:w="1985" w:type="dxa"/>
            <w:tcBorders>
              <w:top w:val="nil"/>
              <w:left w:val="nil"/>
              <w:bottom w:val="nil"/>
              <w:right w:val="nil"/>
            </w:tcBorders>
            <w:shd w:val="clear" w:color="auto" w:fill="auto"/>
            <w:hideMark/>
          </w:tcPr>
          <w:p w14:paraId="2DB3C1D2"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Unclear</w:t>
            </w:r>
          </w:p>
        </w:tc>
        <w:tc>
          <w:tcPr>
            <w:tcW w:w="2835" w:type="dxa"/>
            <w:tcBorders>
              <w:top w:val="nil"/>
              <w:left w:val="nil"/>
              <w:bottom w:val="nil"/>
              <w:right w:val="nil"/>
            </w:tcBorders>
            <w:shd w:val="clear" w:color="auto" w:fill="auto"/>
            <w:noWrap/>
            <w:hideMark/>
          </w:tcPr>
          <w:p w14:paraId="641F6550" w14:textId="7BA50E26"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r>
            <w:r w:rsidR="00455B2B" w:rsidRPr="002C21B8">
              <w:rPr>
                <w:sz w:val="18"/>
                <w:szCs w:val="18"/>
              </w:rPr>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rPr>
                <w:sz w:val="18"/>
                <w:szCs w:val="18"/>
              </w:rPr>
              <w:fldChar w:fldCharType="separate"/>
            </w:r>
            <w:r w:rsidRPr="002C21B8">
              <w:rPr>
                <w:noProof/>
                <w:sz w:val="18"/>
                <w:szCs w:val="18"/>
              </w:rPr>
              <w:t>(Lalor</w:t>
            </w:r>
            <w:r w:rsidRPr="002C21B8">
              <w:rPr>
                <w:i/>
                <w:noProof/>
                <w:sz w:val="18"/>
                <w:szCs w:val="18"/>
              </w:rPr>
              <w:t xml:space="preserve"> et al.</w:t>
            </w:r>
            <w:r w:rsidRPr="002C21B8">
              <w:rPr>
                <w:noProof/>
                <w:sz w:val="18"/>
                <w:szCs w:val="18"/>
              </w:rPr>
              <w:t>, 2022)</w:t>
            </w:r>
            <w:r w:rsidRPr="002C21B8">
              <w:rPr>
                <w:sz w:val="18"/>
                <w:szCs w:val="18"/>
              </w:rPr>
              <w:fldChar w:fldCharType="end"/>
            </w:r>
          </w:p>
        </w:tc>
      </w:tr>
      <w:tr w:rsidR="002F0740" w:rsidRPr="002C21B8" w14:paraId="09B65E3D" w14:textId="77777777" w:rsidTr="00EB0FFD">
        <w:trPr>
          <w:trHeight w:val="369"/>
        </w:trPr>
        <w:tc>
          <w:tcPr>
            <w:tcW w:w="6804" w:type="dxa"/>
            <w:tcBorders>
              <w:top w:val="nil"/>
              <w:left w:val="nil"/>
              <w:bottom w:val="single" w:sz="6" w:space="0" w:color="000000" w:themeColor="text1"/>
              <w:right w:val="nil"/>
            </w:tcBorders>
            <w:shd w:val="clear" w:color="auto" w:fill="auto"/>
            <w:noWrap/>
          </w:tcPr>
          <w:p w14:paraId="4824FB1B" w14:textId="1FB91470"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1.5 Geographical factors: </w:t>
            </w:r>
            <w:r w:rsidRPr="002C21B8">
              <w:rPr>
                <w:sz w:val="18"/>
                <w:szCs w:val="18"/>
              </w:rPr>
              <w:t xml:space="preserve">Patients in rural areas have </w:t>
            </w:r>
            <w:r w:rsidR="00E151CE" w:rsidRPr="002C21B8">
              <w:rPr>
                <w:sz w:val="18"/>
                <w:szCs w:val="18"/>
              </w:rPr>
              <w:t>fewer</w:t>
            </w:r>
            <w:r w:rsidRPr="002C21B8">
              <w:rPr>
                <w:sz w:val="18"/>
                <w:szCs w:val="18"/>
              </w:rPr>
              <w:t xml:space="preserve"> medications prescribed due to </w:t>
            </w:r>
            <w:r w:rsidR="00E151CE" w:rsidRPr="002C21B8">
              <w:rPr>
                <w:sz w:val="18"/>
                <w:szCs w:val="18"/>
              </w:rPr>
              <w:t xml:space="preserve">the </w:t>
            </w:r>
            <w:r w:rsidRPr="002C21B8">
              <w:rPr>
                <w:sz w:val="18"/>
                <w:szCs w:val="18"/>
              </w:rPr>
              <w:t>distance for monitoring and follow-up appointments.</w:t>
            </w:r>
          </w:p>
        </w:tc>
        <w:tc>
          <w:tcPr>
            <w:tcW w:w="2268" w:type="dxa"/>
            <w:tcBorders>
              <w:top w:val="nil"/>
              <w:left w:val="nil"/>
              <w:bottom w:val="single" w:sz="6" w:space="0" w:color="000000" w:themeColor="text1"/>
              <w:right w:val="nil"/>
            </w:tcBorders>
            <w:shd w:val="clear" w:color="auto" w:fill="auto"/>
            <w:noWrap/>
            <w:hideMark/>
          </w:tcPr>
          <w:p w14:paraId="4DC224AF"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 xml:space="preserve">Low </w:t>
            </w:r>
          </w:p>
        </w:tc>
        <w:tc>
          <w:tcPr>
            <w:tcW w:w="1985" w:type="dxa"/>
            <w:tcBorders>
              <w:top w:val="nil"/>
              <w:left w:val="nil"/>
              <w:bottom w:val="single" w:sz="6" w:space="0" w:color="000000" w:themeColor="text1"/>
              <w:right w:val="nil"/>
            </w:tcBorders>
            <w:shd w:val="clear" w:color="auto" w:fill="auto"/>
            <w:hideMark/>
          </w:tcPr>
          <w:p w14:paraId="2C061A4D"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single" w:sz="6" w:space="0" w:color="000000" w:themeColor="text1"/>
              <w:right w:val="nil"/>
            </w:tcBorders>
            <w:shd w:val="clear" w:color="auto" w:fill="auto"/>
            <w:noWrap/>
            <w:hideMark/>
          </w:tcPr>
          <w:p w14:paraId="012BD5D1" w14:textId="74DAE6A0"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Ij4gZXQgYWwuPC9zdHlsZT4sIDIwMjI7IEtoYXRpYjxzdHlsZSBmYWNlPSJpdGFsaWMiPiBldCBh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Ij4gZXQgYWwuPC9zdHlsZT4sIDIwMjI7IEtoYXRpYjxzdHlsZSBmYWNlPSJpdGFsaWMiPiBldCBh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(Byrne</w:t>
            </w:r>
            <w:r w:rsidRPr="002C21B8">
              <w:rPr>
                <w:i/>
                <w:noProof/>
                <w:sz w:val="18"/>
                <w:szCs w:val="18"/>
                <w:lang w:val="fr-FR"/>
              </w:rPr>
              <w:t xml:space="preserve"> et al.</w:t>
            </w:r>
            <w:r w:rsidRPr="002C21B8">
              <w:rPr>
                <w:noProof/>
                <w:sz w:val="18"/>
                <w:szCs w:val="18"/>
                <w:lang w:val="fr-FR"/>
              </w:rPr>
              <w:t>, 2022; Khatib</w:t>
            </w:r>
            <w:r w:rsidRPr="002C21B8">
              <w:rPr>
                <w:i/>
                <w:noProof/>
                <w:sz w:val="18"/>
                <w:szCs w:val="18"/>
                <w:lang w:val="fr-FR"/>
              </w:rPr>
              <w:t xml:space="preserve"> et al.</w:t>
            </w:r>
            <w:r w:rsidRPr="002C21B8">
              <w:rPr>
                <w:noProof/>
                <w:sz w:val="18"/>
                <w:szCs w:val="18"/>
                <w:lang w:val="fr-FR"/>
              </w:rPr>
              <w:t>, 2014; Pritchett</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1582F42B"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3449FD30" w14:textId="77777777" w:rsidR="002F0740" w:rsidRPr="002C21B8" w:rsidRDefault="002F0740" w:rsidP="00D418D8">
            <w:pPr>
              <w:widowControl w:val="0"/>
              <w:spacing w:beforeLines="20" w:before="48" w:afterLines="20" w:after="48" w:line="240" w:lineRule="auto"/>
              <w:rPr>
                <w:b/>
                <w:bCs/>
                <w:sz w:val="20"/>
                <w:szCs w:val="20"/>
              </w:rPr>
            </w:pPr>
            <w:r w:rsidRPr="002C21B8">
              <w:rPr>
                <w:b/>
                <w:bCs/>
                <w:sz w:val="20"/>
                <w:szCs w:val="20"/>
              </w:rPr>
              <w:t xml:space="preserve">2. Individualised patient risk-benefit assessment </w:t>
            </w:r>
          </w:p>
        </w:tc>
      </w:tr>
      <w:tr w:rsidR="002F0740" w:rsidRPr="002C21B8" w14:paraId="4CC80F52" w14:textId="77777777" w:rsidTr="00EB0FFD">
        <w:trPr>
          <w:trHeight w:val="129"/>
        </w:trPr>
        <w:tc>
          <w:tcPr>
            <w:tcW w:w="6804" w:type="dxa"/>
            <w:tcBorders>
              <w:left w:val="nil"/>
              <w:bottom w:val="nil"/>
              <w:right w:val="nil"/>
            </w:tcBorders>
            <w:shd w:val="clear" w:color="auto" w:fill="auto"/>
            <w:noWrap/>
          </w:tcPr>
          <w:p w14:paraId="5BDDC9A8"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2.1 Barriers to understanding:</w:t>
            </w:r>
            <w:r w:rsidRPr="002C21B8">
              <w:rPr>
                <w:sz w:val="18"/>
                <w:szCs w:val="18"/>
              </w:rPr>
              <w:t xml:space="preserve"> Issues such as language, literacy, visual ability, cognitive state and mental health affect prescribing due to potential communication, self-management and adherence concerns.</w:t>
            </w:r>
          </w:p>
        </w:tc>
        <w:tc>
          <w:tcPr>
            <w:tcW w:w="2268" w:type="dxa"/>
            <w:tcBorders>
              <w:left w:val="nil"/>
              <w:bottom w:val="nil"/>
              <w:right w:val="nil"/>
            </w:tcBorders>
            <w:shd w:val="clear" w:color="auto" w:fill="auto"/>
            <w:noWrap/>
            <w:hideMark/>
          </w:tcPr>
          <w:p w14:paraId="668E24C8"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 xml:space="preserve">High </w:t>
            </w:r>
          </w:p>
        </w:tc>
        <w:tc>
          <w:tcPr>
            <w:tcW w:w="1985" w:type="dxa"/>
            <w:tcBorders>
              <w:left w:val="nil"/>
              <w:bottom w:val="nil"/>
              <w:right w:val="nil"/>
            </w:tcBorders>
            <w:shd w:val="clear" w:color="auto" w:fill="auto"/>
            <w:hideMark/>
          </w:tcPr>
          <w:p w14:paraId="762600B8"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left w:val="nil"/>
              <w:bottom w:val="nil"/>
              <w:right w:val="nil"/>
            </w:tcBorders>
            <w:shd w:val="clear" w:color="auto" w:fill="auto"/>
            <w:noWrap/>
            <w:hideMark/>
          </w:tcPr>
          <w:p w14:paraId="2AF67A8C" w14:textId="174424A1"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IGFsLjwvc3R5bGU+LCAyMDIxOyBPcmF5aiBhbmQgTGFuZSwgMjAxOTsgT3Nhc3UsIENvb3BlciBh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IGFsLjwvc3R5bGU+LCAyMDIxOyBPcmF5aiBhbmQgTGFuZSwgMjAxOTsgT3Nhc3UsIENvb3BlciBh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(Byrne</w:t>
            </w:r>
            <w:r w:rsidRPr="002C21B8">
              <w:rPr>
                <w:i/>
                <w:noProof/>
                <w:sz w:val="18"/>
                <w:szCs w:val="18"/>
              </w:rPr>
              <w:t xml:space="preserve"> et al.</w:t>
            </w:r>
            <w:r w:rsidRPr="002C21B8">
              <w:rPr>
                <w:noProof/>
                <w:sz w:val="18"/>
                <w:szCs w:val="18"/>
              </w:rPr>
              <w:t>, 2022; Dhungana</w:t>
            </w:r>
            <w:r w:rsidRPr="002C21B8">
              <w:rPr>
                <w:i/>
                <w:noProof/>
                <w:sz w:val="18"/>
                <w:szCs w:val="18"/>
              </w:rPr>
              <w:t xml:space="preserve"> et al.</w:t>
            </w:r>
            <w:r w:rsidRPr="002C21B8">
              <w:rPr>
                <w:noProof/>
                <w:sz w:val="18"/>
                <w:szCs w:val="18"/>
              </w:rPr>
              <w:t>, 2021; Orayj and Lane, 2019; Osasu, Cooper and Mitchell, 2021; Pritchett</w:t>
            </w:r>
            <w:r w:rsidRPr="002C21B8">
              <w:rPr>
                <w:i/>
                <w:noProof/>
                <w:sz w:val="18"/>
                <w:szCs w:val="18"/>
              </w:rPr>
              <w:t xml:space="preserve"> et al.</w:t>
            </w:r>
            <w:r w:rsidRPr="002C21B8">
              <w:rPr>
                <w:noProof/>
                <w:sz w:val="18"/>
                <w:szCs w:val="18"/>
              </w:rPr>
              <w:t>, 2020)</w:t>
            </w:r>
            <w:r w:rsidRPr="002C21B8">
              <w:rPr>
                <w:sz w:val="18"/>
                <w:szCs w:val="18"/>
              </w:rPr>
              <w:fldChar w:fldCharType="end"/>
            </w:r>
          </w:p>
        </w:tc>
      </w:tr>
      <w:tr w:rsidR="002F0740" w:rsidRPr="002C21B8" w14:paraId="731BB1FB" w14:textId="77777777" w:rsidTr="00EB0FFD">
        <w:trPr>
          <w:trHeight w:val="98"/>
        </w:trPr>
        <w:tc>
          <w:tcPr>
            <w:tcW w:w="6804" w:type="dxa"/>
            <w:tcBorders>
              <w:top w:val="nil"/>
              <w:left w:val="nil"/>
              <w:bottom w:val="nil"/>
              <w:right w:val="nil"/>
            </w:tcBorders>
            <w:shd w:val="clear" w:color="auto" w:fill="auto"/>
            <w:noWrap/>
          </w:tcPr>
          <w:p w14:paraId="32009B0D"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2.2 Comorbidities: </w:t>
            </w:r>
            <w:r w:rsidRPr="002C21B8">
              <w:rPr>
                <w:sz w:val="18"/>
                <w:szCs w:val="18"/>
              </w:rPr>
              <w:t>Multiple conditions complicate prescribing due to interaction risks and other priorities.</w:t>
            </w:r>
          </w:p>
        </w:tc>
        <w:tc>
          <w:tcPr>
            <w:tcW w:w="2268" w:type="dxa"/>
            <w:tcBorders>
              <w:top w:val="nil"/>
              <w:left w:val="nil"/>
              <w:bottom w:val="nil"/>
              <w:right w:val="nil"/>
            </w:tcBorders>
            <w:shd w:val="clear" w:color="auto" w:fill="auto"/>
            <w:noWrap/>
            <w:hideMark/>
          </w:tcPr>
          <w:p w14:paraId="5C490887"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Moderate</w:t>
            </w:r>
          </w:p>
        </w:tc>
        <w:tc>
          <w:tcPr>
            <w:tcW w:w="1985" w:type="dxa"/>
            <w:tcBorders>
              <w:top w:val="nil"/>
              <w:left w:val="nil"/>
              <w:bottom w:val="nil"/>
              <w:right w:val="nil"/>
            </w:tcBorders>
            <w:shd w:val="clear" w:color="auto" w:fill="auto"/>
            <w:hideMark/>
          </w:tcPr>
          <w:p w14:paraId="78D915D4"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Likely</w:t>
            </w:r>
          </w:p>
        </w:tc>
        <w:tc>
          <w:tcPr>
            <w:tcW w:w="2835" w:type="dxa"/>
            <w:tcBorders>
              <w:top w:val="nil"/>
              <w:left w:val="nil"/>
              <w:bottom w:val="nil"/>
              <w:right w:val="nil"/>
            </w:tcBorders>
            <w:shd w:val="clear" w:color="auto" w:fill="auto"/>
            <w:noWrap/>
            <w:hideMark/>
          </w:tcPr>
          <w:p w14:paraId="3B2770B5" w14:textId="2A7FFC40"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fldData xml:space="preserve">PEVuZE5vdGU+PENpdGU+PEF1dGhvcj5NYXMgRGFsbWF1PC9BdXRob3I+PFllYXI+MjAxNzwvWWVh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PEVuZE5vdGU+PENpdGU+PEF1dGhvcj5NYXMgRGFsbWF1PC9BdXRob3I+PFllYXI+MjAxNzwvWWVh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2017; Byrne</w:t>
            </w:r>
            <w:r w:rsidRPr="002C21B8">
              <w:rPr>
                <w:i/>
                <w:noProof/>
                <w:sz w:val="18"/>
                <w:szCs w:val="18"/>
              </w:rPr>
              <w:t xml:space="preserve"> et al.</w:t>
            </w:r>
            <w:r w:rsidRPr="002C21B8">
              <w:rPr>
                <w:noProof/>
                <w:sz w:val="18"/>
                <w:szCs w:val="18"/>
              </w:rPr>
              <w:t>, 2022; Mas Dalmau</w:t>
            </w:r>
            <w:r w:rsidRPr="002C21B8">
              <w:rPr>
                <w:i/>
                <w:noProof/>
                <w:sz w:val="18"/>
                <w:szCs w:val="18"/>
              </w:rPr>
              <w:t xml:space="preserve"> et al.</w:t>
            </w:r>
            <w:r w:rsidRPr="002C21B8">
              <w:rPr>
                <w:noProof/>
                <w:sz w:val="18"/>
                <w:szCs w:val="18"/>
              </w:rPr>
              <w:t>, 2017; Orayj and Lane, 2019; Osasu, Cooper and Mitchell, 2021; Pritchett</w:t>
            </w:r>
            <w:r w:rsidRPr="002C21B8">
              <w:rPr>
                <w:i/>
                <w:noProof/>
                <w:sz w:val="18"/>
                <w:szCs w:val="18"/>
              </w:rPr>
              <w:t xml:space="preserve"> et al.</w:t>
            </w:r>
            <w:r w:rsidRPr="002C21B8">
              <w:rPr>
                <w:noProof/>
                <w:sz w:val="18"/>
                <w:szCs w:val="18"/>
              </w:rPr>
              <w:t>, 2020)</w:t>
            </w:r>
            <w:r w:rsidRPr="002C21B8">
              <w:rPr>
                <w:sz w:val="18"/>
                <w:szCs w:val="18"/>
              </w:rPr>
              <w:fldChar w:fldCharType="end"/>
            </w:r>
          </w:p>
        </w:tc>
      </w:tr>
      <w:tr w:rsidR="002F0740" w:rsidRPr="002C21B8" w14:paraId="4890DC3F" w14:textId="77777777" w:rsidTr="00EB0FFD">
        <w:trPr>
          <w:trHeight w:val="129"/>
        </w:trPr>
        <w:tc>
          <w:tcPr>
            <w:tcW w:w="6804" w:type="dxa"/>
            <w:tcBorders>
              <w:top w:val="nil"/>
              <w:left w:val="nil"/>
              <w:bottom w:val="nil"/>
              <w:right w:val="nil"/>
            </w:tcBorders>
            <w:shd w:val="clear" w:color="auto" w:fill="auto"/>
            <w:noWrap/>
          </w:tcPr>
          <w:p w14:paraId="0887EF69"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2.3 Disease features: </w:t>
            </w:r>
            <w:r w:rsidRPr="002C21B8">
              <w:rPr>
                <w:sz w:val="18"/>
                <w:szCs w:val="18"/>
              </w:rPr>
              <w:t>Risk-benefit assessments vary with disease duration and symptom severity.</w:t>
            </w:r>
          </w:p>
        </w:tc>
        <w:tc>
          <w:tcPr>
            <w:tcW w:w="2268" w:type="dxa"/>
            <w:tcBorders>
              <w:top w:val="nil"/>
              <w:left w:val="nil"/>
              <w:bottom w:val="nil"/>
              <w:right w:val="nil"/>
            </w:tcBorders>
            <w:shd w:val="clear" w:color="auto" w:fill="auto"/>
            <w:noWrap/>
            <w:hideMark/>
          </w:tcPr>
          <w:p w14:paraId="61F840F8"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Low</w:t>
            </w:r>
          </w:p>
        </w:tc>
        <w:tc>
          <w:tcPr>
            <w:tcW w:w="1985" w:type="dxa"/>
            <w:tcBorders>
              <w:top w:val="nil"/>
              <w:left w:val="nil"/>
              <w:bottom w:val="nil"/>
              <w:right w:val="nil"/>
            </w:tcBorders>
            <w:shd w:val="clear" w:color="auto" w:fill="auto"/>
            <w:hideMark/>
          </w:tcPr>
          <w:p w14:paraId="0BE16248"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nil"/>
              <w:right w:val="nil"/>
            </w:tcBorders>
            <w:shd w:val="clear" w:color="auto" w:fill="auto"/>
            <w:noWrap/>
            <w:hideMark/>
          </w:tcPr>
          <w:p w14:paraId="6084251E" w14:textId="170D7984"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r>
            <w:r w:rsidR="00455B2B" w:rsidRPr="002C21B8">
              <w:rPr>
                <w:sz w:val="18"/>
                <w:szCs w:val="18"/>
              </w:rPr>
              <w:instrText xml:space="preserve"> ADDIN EN.CITE &lt;EndNote&gt;&lt;Cite&gt;&lt;Author&gt;Lalor&lt;/Author&gt;&lt;Year&gt;2022&lt;/Year&gt;&lt;RecNum&gt;15214&lt;/RecNum&gt;&lt;DisplayText&gt;(Lalor&lt;style face="italic"&gt; et al.&lt;/style&gt;, 2022; Orayj and Lane, 2019)&lt;/DisplayText&gt;&lt;record&gt;&lt;rec-number&gt;15214&lt;/rec-number&gt;&lt;foreign-keys&gt;&lt;key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Cite&gt;&lt;Author&gt;Orayj&lt;/Author&gt;&lt;Year&gt;2019&lt;/Year&gt;&lt;RecNum&gt;15217&lt;/RecNum&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disease&lt;/full-title&gt;&lt;/periodical&gt;&lt;pages&gt;1-40&lt;/pages&gt;&lt;volume&gt;2019&lt;/volume&gt;&lt;dates&gt;&lt;year&gt;2019&lt;/year&gt;&lt;/dates&gt;&lt;isbn&gt;2090-8083&lt;/isbn&gt;&lt;urls&gt;&lt;/urls&gt;&lt;/record&gt;&lt;/Cite&gt;&lt;/EndNote&gt;</w:instrText>
            </w:r>
            <w:r w:rsidRPr="002C21B8">
              <w:rPr>
                <w:sz w:val="18"/>
                <w:szCs w:val="18"/>
              </w:rPr>
              <w:fldChar w:fldCharType="separate"/>
            </w:r>
            <w:r w:rsidRPr="002C21B8">
              <w:rPr>
                <w:noProof/>
                <w:sz w:val="18"/>
                <w:szCs w:val="18"/>
              </w:rPr>
              <w:t>(Lalor</w:t>
            </w:r>
            <w:r w:rsidRPr="002C21B8">
              <w:rPr>
                <w:i/>
                <w:noProof/>
                <w:sz w:val="18"/>
                <w:szCs w:val="18"/>
              </w:rPr>
              <w:t xml:space="preserve"> et al.</w:t>
            </w:r>
            <w:r w:rsidRPr="002C21B8">
              <w:rPr>
                <w:noProof/>
                <w:sz w:val="18"/>
                <w:szCs w:val="18"/>
              </w:rPr>
              <w:t>, 2022; Orayj and Lane, 2019)</w:t>
            </w:r>
            <w:r w:rsidRPr="002C21B8">
              <w:rPr>
                <w:sz w:val="18"/>
                <w:szCs w:val="18"/>
              </w:rPr>
              <w:fldChar w:fldCharType="end"/>
            </w:r>
          </w:p>
        </w:tc>
      </w:tr>
      <w:tr w:rsidR="002F0740" w:rsidRPr="002C21B8" w14:paraId="55AE12DE" w14:textId="77777777" w:rsidTr="00EB0FFD">
        <w:trPr>
          <w:trHeight w:val="129"/>
        </w:trPr>
        <w:tc>
          <w:tcPr>
            <w:tcW w:w="6804" w:type="dxa"/>
            <w:tcBorders>
              <w:top w:val="nil"/>
              <w:left w:val="nil"/>
              <w:bottom w:val="nil"/>
              <w:right w:val="nil"/>
            </w:tcBorders>
            <w:shd w:val="clear" w:color="auto" w:fill="auto"/>
            <w:noWrap/>
          </w:tcPr>
          <w:p w14:paraId="785E2963"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2.4 Frailty:</w:t>
            </w:r>
            <w:r w:rsidRPr="002C21B8">
              <w:rPr>
                <w:sz w:val="18"/>
                <w:szCs w:val="18"/>
              </w:rPr>
              <w:t xml:space="preserve"> Frailty influences prescribing decisions as it increases the perceived risk.</w:t>
            </w:r>
          </w:p>
        </w:tc>
        <w:tc>
          <w:tcPr>
            <w:tcW w:w="2268" w:type="dxa"/>
            <w:tcBorders>
              <w:top w:val="nil"/>
              <w:left w:val="nil"/>
              <w:bottom w:val="nil"/>
              <w:right w:val="nil"/>
            </w:tcBorders>
            <w:shd w:val="clear" w:color="auto" w:fill="auto"/>
            <w:noWrap/>
            <w:hideMark/>
          </w:tcPr>
          <w:p w14:paraId="4F66A643"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Low</w:t>
            </w:r>
          </w:p>
        </w:tc>
        <w:tc>
          <w:tcPr>
            <w:tcW w:w="1985" w:type="dxa"/>
            <w:tcBorders>
              <w:top w:val="nil"/>
              <w:left w:val="nil"/>
              <w:bottom w:val="nil"/>
              <w:right w:val="nil"/>
            </w:tcBorders>
            <w:shd w:val="clear" w:color="auto" w:fill="auto"/>
            <w:hideMark/>
          </w:tcPr>
          <w:p w14:paraId="30053660"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nil"/>
              <w:right w:val="nil"/>
            </w:tcBorders>
            <w:shd w:val="clear" w:color="auto" w:fill="auto"/>
            <w:noWrap/>
            <w:hideMark/>
          </w:tcPr>
          <w:p w14:paraId="5303D924" w14:textId="704A5732"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Ij4gZXQgYWwuPC9zdHlsZT4sIDIwMjI7IExhbG9yPHN0eWxlIGZhY2U9Iml0YWxpYyI+IGV0IGFs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ZWNvcmQ+PC9DaXRlPjwvRW5kTm90ZT5=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Ij4gZXQgYWwuPC9zdHlsZT4sIDIwMjI7IExhbG9yPHN0eWxlIGZhY2U9Iml0YWxpYyI+IGV0IGFs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ZWNvcmQ+PC9DaXRlPjwvRW5kTm90ZT5=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(Byrne</w:t>
            </w:r>
            <w:r w:rsidRPr="002C21B8">
              <w:rPr>
                <w:i/>
                <w:noProof/>
                <w:sz w:val="18"/>
                <w:szCs w:val="18"/>
                <w:lang w:val="fr-FR"/>
              </w:rPr>
              <w:t xml:space="preserve"> et al.</w:t>
            </w:r>
            <w:r w:rsidRPr="002C21B8">
              <w:rPr>
                <w:noProof/>
                <w:sz w:val="18"/>
                <w:szCs w:val="18"/>
                <w:lang w:val="fr-FR"/>
              </w:rPr>
              <w:t>, 2022; Lalor</w:t>
            </w:r>
            <w:r w:rsidRPr="002C21B8">
              <w:rPr>
                <w:i/>
                <w:noProof/>
                <w:sz w:val="18"/>
                <w:szCs w:val="18"/>
                <w:lang w:val="fr-FR"/>
              </w:rPr>
              <w:t xml:space="preserve"> et al.</w:t>
            </w:r>
            <w:r w:rsidRPr="002C21B8">
              <w:rPr>
                <w:noProof/>
                <w:sz w:val="18"/>
                <w:szCs w:val="18"/>
                <w:lang w:val="fr-FR"/>
              </w:rPr>
              <w:t>, 2022)</w:t>
            </w:r>
            <w:r w:rsidRPr="002C21B8">
              <w:rPr>
                <w:sz w:val="18"/>
                <w:szCs w:val="18"/>
              </w:rPr>
              <w:fldChar w:fldCharType="end"/>
            </w:r>
          </w:p>
        </w:tc>
      </w:tr>
      <w:tr w:rsidR="002F0740" w:rsidRPr="002C21B8" w14:paraId="454750E0" w14:textId="77777777" w:rsidTr="00EB0FFD">
        <w:trPr>
          <w:cantSplit/>
          <w:trHeight w:val="284"/>
        </w:trPr>
        <w:tc>
          <w:tcPr>
            <w:tcW w:w="6804" w:type="dxa"/>
            <w:tcBorders>
              <w:top w:val="nil"/>
              <w:left w:val="nil"/>
              <w:bottom w:val="nil"/>
              <w:right w:val="nil"/>
            </w:tcBorders>
            <w:shd w:val="clear" w:color="auto" w:fill="auto"/>
            <w:noWrap/>
          </w:tcPr>
          <w:p w14:paraId="1216B1DB"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2.5 Healthcare professional identity:</w:t>
            </w:r>
            <w:r w:rsidRPr="002C21B8">
              <w:rPr>
                <w:sz w:val="18"/>
                <w:szCs w:val="18"/>
              </w:rPr>
              <w:t xml:space="preserve"> Experience, speciality and healthcare setting affect risk acceptance in prescribing.</w:t>
            </w:r>
          </w:p>
        </w:tc>
        <w:tc>
          <w:tcPr>
            <w:tcW w:w="2268" w:type="dxa"/>
            <w:tcBorders>
              <w:top w:val="nil"/>
              <w:left w:val="nil"/>
              <w:bottom w:val="nil"/>
              <w:right w:val="nil"/>
            </w:tcBorders>
            <w:shd w:val="clear" w:color="auto" w:fill="auto"/>
            <w:noWrap/>
            <w:hideMark/>
          </w:tcPr>
          <w:p w14:paraId="0BB1E4EB"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w:t>
            </w:r>
          </w:p>
        </w:tc>
        <w:tc>
          <w:tcPr>
            <w:tcW w:w="1985" w:type="dxa"/>
            <w:tcBorders>
              <w:top w:val="nil"/>
              <w:left w:val="nil"/>
              <w:bottom w:val="nil"/>
              <w:right w:val="nil"/>
            </w:tcBorders>
            <w:shd w:val="clear" w:color="auto" w:fill="auto"/>
            <w:hideMark/>
          </w:tcPr>
          <w:p w14:paraId="42A7D45A"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top w:val="nil"/>
              <w:left w:val="nil"/>
              <w:bottom w:val="nil"/>
              <w:right w:val="nil"/>
            </w:tcBorders>
            <w:shd w:val="clear" w:color="auto" w:fill="auto"/>
            <w:noWrap/>
            <w:hideMark/>
          </w:tcPr>
          <w:p w14:paraId="3B8A5763" w14:textId="0651E006"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fldData xml:space="preserve">PEVuZE5vdGU+PENpdGU+PEF1dGhvcj5HZW5lcmFsb3ZhPC9BdXRob3I+PFllYXI+MjAxODwvWWVh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PEVuZE5vdGU+PENpdGU+PEF1dGhvcj5HZW5lcmFsb3ZhPC9BdXRob3I+PFllYXI+MjAxODwvWWVh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Generalova</w:t>
            </w:r>
            <w:r w:rsidRPr="002C21B8">
              <w:rPr>
                <w:i/>
                <w:noProof/>
                <w:sz w:val="18"/>
                <w:szCs w:val="18"/>
              </w:rPr>
              <w:t xml:space="preserve"> et al.</w:t>
            </w:r>
            <w:r w:rsidRPr="002C21B8">
              <w:rPr>
                <w:noProof/>
                <w:sz w:val="18"/>
                <w:szCs w:val="18"/>
              </w:rPr>
              <w:t>, 2018; Ju</w:t>
            </w:r>
            <w:r w:rsidRPr="002C21B8">
              <w:rPr>
                <w:i/>
                <w:noProof/>
                <w:sz w:val="18"/>
                <w:szCs w:val="18"/>
              </w:rPr>
              <w:t xml:space="preserve"> et al.</w:t>
            </w:r>
            <w:r w:rsidRPr="002C21B8">
              <w:rPr>
                <w:noProof/>
                <w:sz w:val="18"/>
                <w:szCs w:val="18"/>
              </w:rPr>
              <w:t>, 2018; Ng</w:t>
            </w:r>
            <w:r w:rsidRPr="002C21B8">
              <w:rPr>
                <w:i/>
                <w:noProof/>
                <w:sz w:val="18"/>
                <w:szCs w:val="18"/>
              </w:rPr>
              <w:t xml:space="preserve"> et al.</w:t>
            </w:r>
            <w:r w:rsidRPr="002C21B8">
              <w:rPr>
                <w:noProof/>
                <w:sz w:val="18"/>
                <w:szCs w:val="18"/>
              </w:rPr>
              <w:t>, 2015; Osasu, Cooper and Mitchell, 2021; Pritchett</w:t>
            </w:r>
            <w:r w:rsidRPr="002C21B8">
              <w:rPr>
                <w:i/>
                <w:noProof/>
                <w:sz w:val="18"/>
                <w:szCs w:val="18"/>
              </w:rPr>
              <w:t xml:space="preserve"> et al.</w:t>
            </w:r>
            <w:r w:rsidRPr="002C21B8">
              <w:rPr>
                <w:noProof/>
                <w:sz w:val="18"/>
                <w:szCs w:val="18"/>
              </w:rPr>
              <w:t>, 2020)</w:t>
            </w:r>
            <w:r w:rsidRPr="002C21B8">
              <w:rPr>
                <w:sz w:val="18"/>
                <w:szCs w:val="18"/>
              </w:rPr>
              <w:fldChar w:fldCharType="end"/>
            </w:r>
          </w:p>
        </w:tc>
      </w:tr>
      <w:tr w:rsidR="002F0740" w:rsidRPr="002C21B8" w14:paraId="69AAA923" w14:textId="77777777" w:rsidTr="00EB0FFD">
        <w:trPr>
          <w:trHeight w:val="385"/>
        </w:trPr>
        <w:tc>
          <w:tcPr>
            <w:tcW w:w="6804" w:type="dxa"/>
            <w:tcBorders>
              <w:top w:val="nil"/>
              <w:left w:val="nil"/>
              <w:bottom w:val="single" w:sz="6" w:space="0" w:color="000000" w:themeColor="text1"/>
              <w:right w:val="nil"/>
            </w:tcBorders>
            <w:shd w:val="clear" w:color="auto" w:fill="auto"/>
            <w:noWrap/>
          </w:tcPr>
          <w:p w14:paraId="5BF66808"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2.6 Objective measures:</w:t>
            </w:r>
            <w:r w:rsidRPr="002C21B8">
              <w:rPr>
                <w:sz w:val="18"/>
                <w:szCs w:val="18"/>
              </w:rPr>
              <w:t xml:space="preserve"> Disease severity markers and risk assessment tools guide prescribing.</w:t>
            </w:r>
          </w:p>
        </w:tc>
        <w:tc>
          <w:tcPr>
            <w:tcW w:w="2268" w:type="dxa"/>
            <w:tcBorders>
              <w:top w:val="nil"/>
              <w:left w:val="nil"/>
              <w:bottom w:val="single" w:sz="6" w:space="0" w:color="000000" w:themeColor="text1"/>
              <w:right w:val="nil"/>
            </w:tcBorders>
            <w:shd w:val="clear" w:color="auto" w:fill="auto"/>
            <w:noWrap/>
            <w:hideMark/>
          </w:tcPr>
          <w:p w14:paraId="1701DFC3"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Low</w:t>
            </w:r>
          </w:p>
        </w:tc>
        <w:tc>
          <w:tcPr>
            <w:tcW w:w="1985" w:type="dxa"/>
            <w:tcBorders>
              <w:top w:val="nil"/>
              <w:left w:val="nil"/>
              <w:bottom w:val="single" w:sz="6" w:space="0" w:color="000000" w:themeColor="text1"/>
              <w:right w:val="nil"/>
            </w:tcBorders>
            <w:shd w:val="clear" w:color="auto" w:fill="auto"/>
            <w:hideMark/>
          </w:tcPr>
          <w:p w14:paraId="3DF2020C"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single" w:sz="6" w:space="0" w:color="000000" w:themeColor="text1"/>
              <w:right w:val="nil"/>
            </w:tcBorders>
            <w:shd w:val="clear" w:color="auto" w:fill="auto"/>
            <w:noWrap/>
            <w:hideMark/>
          </w:tcPr>
          <w:p w14:paraId="084567C5" w14:textId="1626C285"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PEVuZE5vdGU+PENpdGU+PEF1dGhvcj5MYWxvcjwvQXV0aG9yPjxZZWFyPjIwMjI8L1llYXI+PFJl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L3JlY29yZD48L0NpdGU+PC9FbmROb3RlPgB=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PEVuZE5vdGU+PENpdGU+PEF1dGhvcj5MYWxvcjwvQXV0aG9yPjxZZWFyPjIwMjI8L1llYXI+PFJl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L3JlY29yZD48L0NpdGU+PC9FbmROb3RlPgB=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(Ju</w:t>
            </w:r>
            <w:r w:rsidRPr="002C21B8">
              <w:rPr>
                <w:i/>
                <w:noProof/>
                <w:sz w:val="18"/>
                <w:szCs w:val="18"/>
                <w:lang w:val="fr-FR"/>
              </w:rPr>
              <w:t xml:space="preserve"> et al.</w:t>
            </w:r>
            <w:r w:rsidRPr="002C21B8">
              <w:rPr>
                <w:noProof/>
                <w:sz w:val="18"/>
                <w:szCs w:val="18"/>
                <w:lang w:val="fr-FR"/>
              </w:rPr>
              <w:t>, 2018; Lalor</w:t>
            </w:r>
            <w:r w:rsidRPr="002C21B8">
              <w:rPr>
                <w:i/>
                <w:noProof/>
                <w:sz w:val="18"/>
                <w:szCs w:val="18"/>
                <w:lang w:val="fr-FR"/>
              </w:rPr>
              <w:t xml:space="preserve"> et al.</w:t>
            </w:r>
            <w:r w:rsidRPr="002C21B8">
              <w:rPr>
                <w:noProof/>
                <w:sz w:val="18"/>
                <w:szCs w:val="18"/>
                <w:lang w:val="fr-FR"/>
              </w:rPr>
              <w:t>, 2022)</w:t>
            </w:r>
            <w:r w:rsidRPr="002C21B8">
              <w:rPr>
                <w:sz w:val="18"/>
                <w:szCs w:val="18"/>
              </w:rPr>
              <w:fldChar w:fldCharType="end"/>
            </w:r>
          </w:p>
        </w:tc>
      </w:tr>
      <w:tr w:rsidR="002F0740" w:rsidRPr="002C21B8" w14:paraId="2DD49914"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532782DF" w14:textId="77777777" w:rsidR="002F0740" w:rsidRPr="002C21B8" w:rsidRDefault="002F0740" w:rsidP="00D418D8">
            <w:pPr>
              <w:widowControl w:val="0"/>
              <w:spacing w:beforeLines="20" w:before="48" w:afterLines="20" w:after="48" w:line="240" w:lineRule="auto"/>
              <w:rPr>
                <w:b/>
                <w:bCs/>
                <w:sz w:val="20"/>
                <w:szCs w:val="20"/>
              </w:rPr>
            </w:pPr>
            <w:r w:rsidRPr="002C21B8">
              <w:rPr>
                <w:b/>
                <w:bCs/>
                <w:sz w:val="20"/>
                <w:szCs w:val="20"/>
              </w:rPr>
              <w:t xml:space="preserve">3. Clinical inertia </w:t>
            </w:r>
          </w:p>
        </w:tc>
      </w:tr>
      <w:tr w:rsidR="002F0740" w:rsidRPr="002C21B8" w14:paraId="6638F614" w14:textId="77777777" w:rsidTr="00EB0FFD">
        <w:trPr>
          <w:trHeight w:val="98"/>
        </w:trPr>
        <w:tc>
          <w:tcPr>
            <w:tcW w:w="6804" w:type="dxa"/>
            <w:tcBorders>
              <w:left w:val="nil"/>
              <w:bottom w:val="nil"/>
              <w:right w:val="nil"/>
            </w:tcBorders>
            <w:shd w:val="clear" w:color="auto" w:fill="auto"/>
            <w:noWrap/>
          </w:tcPr>
          <w:p w14:paraId="5001559A"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3.1 Inadequate healthcare professional knowledge: </w:t>
            </w:r>
            <w:r w:rsidRPr="002C21B8">
              <w:rPr>
                <w:sz w:val="18"/>
                <w:szCs w:val="18"/>
              </w:rPr>
              <w:t>Lack of training, experience and participation in research trials contribute to clinical inertia.</w:t>
            </w:r>
          </w:p>
        </w:tc>
        <w:tc>
          <w:tcPr>
            <w:tcW w:w="2268" w:type="dxa"/>
            <w:tcBorders>
              <w:left w:val="nil"/>
              <w:bottom w:val="nil"/>
              <w:right w:val="nil"/>
            </w:tcBorders>
            <w:shd w:val="clear" w:color="auto" w:fill="auto"/>
            <w:noWrap/>
            <w:hideMark/>
          </w:tcPr>
          <w:p w14:paraId="5E3DDDC5"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w:t>
            </w:r>
          </w:p>
        </w:tc>
        <w:tc>
          <w:tcPr>
            <w:tcW w:w="1985" w:type="dxa"/>
            <w:tcBorders>
              <w:left w:val="nil"/>
              <w:bottom w:val="nil"/>
              <w:right w:val="nil"/>
            </w:tcBorders>
            <w:shd w:val="clear" w:color="auto" w:fill="auto"/>
            <w:hideMark/>
          </w:tcPr>
          <w:p w14:paraId="0671ACD4"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left w:val="nil"/>
              <w:bottom w:val="nil"/>
              <w:right w:val="nil"/>
            </w:tcBorders>
            <w:shd w:val="clear" w:color="auto" w:fill="auto"/>
            <w:noWrap/>
            <w:hideMark/>
          </w:tcPr>
          <w:p w14:paraId="520007D2" w14:textId="090B1CDA"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R2VuZXJhbG92YTxzdHlsZSBmYWNlPSJpdGFsaWMiPiBldCBhbC48L3N0eWxlPiwgMjAxODsgS2hh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R2VuZXJhbG92YTxzdHlsZSBmYWNlPSJpdGFsaWMiPiBldCBhbC48L3N0eWxlPiwgMjAxODsgS2hh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2017; Byrne</w:t>
            </w:r>
            <w:r w:rsidRPr="002C21B8">
              <w:rPr>
                <w:i/>
                <w:noProof/>
                <w:sz w:val="18"/>
                <w:szCs w:val="18"/>
              </w:rPr>
              <w:t xml:space="preserve"> et al.</w:t>
            </w:r>
            <w:r w:rsidRPr="002C21B8">
              <w:rPr>
                <w:noProof/>
                <w:sz w:val="18"/>
                <w:szCs w:val="18"/>
              </w:rPr>
              <w:t>, 2022; Generalova</w:t>
            </w:r>
            <w:r w:rsidRPr="002C21B8">
              <w:rPr>
                <w:i/>
                <w:noProof/>
                <w:sz w:val="18"/>
                <w:szCs w:val="18"/>
              </w:rPr>
              <w:t xml:space="preserve"> et al.</w:t>
            </w:r>
            <w:r w:rsidRPr="002C21B8">
              <w:rPr>
                <w:noProof/>
                <w:sz w:val="18"/>
                <w:szCs w:val="18"/>
              </w:rPr>
              <w:t>, 2018; Khatib</w:t>
            </w:r>
            <w:r w:rsidRPr="002C21B8">
              <w:rPr>
                <w:i/>
                <w:noProof/>
                <w:sz w:val="18"/>
                <w:szCs w:val="18"/>
              </w:rPr>
              <w:t xml:space="preserve"> et al.</w:t>
            </w:r>
            <w:r w:rsidRPr="002C21B8">
              <w:rPr>
                <w:noProof/>
                <w:sz w:val="18"/>
                <w:szCs w:val="18"/>
              </w:rPr>
              <w:t>, 2014; Lalor</w:t>
            </w:r>
            <w:r w:rsidRPr="002C21B8">
              <w:rPr>
                <w:i/>
                <w:noProof/>
                <w:sz w:val="18"/>
                <w:szCs w:val="18"/>
              </w:rPr>
              <w:t xml:space="preserve"> et al.</w:t>
            </w:r>
            <w:r w:rsidRPr="002C21B8">
              <w:rPr>
                <w:noProof/>
                <w:sz w:val="18"/>
                <w:szCs w:val="18"/>
              </w:rPr>
              <w:t>, 2022; Mas Dalmau</w:t>
            </w:r>
            <w:r w:rsidRPr="002C21B8">
              <w:rPr>
                <w:i/>
                <w:noProof/>
                <w:sz w:val="18"/>
                <w:szCs w:val="18"/>
              </w:rPr>
              <w:t xml:space="preserve"> et al.</w:t>
            </w:r>
            <w:r w:rsidRPr="002C21B8">
              <w:rPr>
                <w:noProof/>
                <w:sz w:val="18"/>
                <w:szCs w:val="18"/>
              </w:rPr>
              <w:t>, 2017; Ng</w:t>
            </w:r>
            <w:r w:rsidRPr="002C21B8">
              <w:rPr>
                <w:i/>
                <w:noProof/>
                <w:sz w:val="18"/>
                <w:szCs w:val="18"/>
              </w:rPr>
              <w:t xml:space="preserve"> et al.</w:t>
            </w:r>
            <w:r w:rsidRPr="002C21B8">
              <w:rPr>
                <w:noProof/>
                <w:sz w:val="18"/>
                <w:szCs w:val="18"/>
              </w:rPr>
              <w:t>, 2015; Osasu, Cooper and Mitchell, 2021; Pritchett</w:t>
            </w:r>
            <w:r w:rsidRPr="002C21B8">
              <w:rPr>
                <w:i/>
                <w:noProof/>
                <w:sz w:val="18"/>
                <w:szCs w:val="18"/>
              </w:rPr>
              <w:t xml:space="preserve"> et al.</w:t>
            </w:r>
            <w:r w:rsidRPr="002C21B8">
              <w:rPr>
                <w:noProof/>
                <w:sz w:val="18"/>
                <w:szCs w:val="18"/>
              </w:rPr>
              <w:t>, 2020; Rushforth</w:t>
            </w:r>
            <w:r w:rsidRPr="002C21B8">
              <w:rPr>
                <w:i/>
                <w:noProof/>
                <w:sz w:val="18"/>
                <w:szCs w:val="18"/>
              </w:rPr>
              <w:t xml:space="preserve"> et al.</w:t>
            </w:r>
            <w:r w:rsidRPr="002C21B8">
              <w:rPr>
                <w:noProof/>
                <w:sz w:val="18"/>
                <w:szCs w:val="18"/>
              </w:rPr>
              <w:t>, 2016)</w:t>
            </w:r>
            <w:r w:rsidRPr="002C21B8">
              <w:rPr>
                <w:sz w:val="18"/>
                <w:szCs w:val="18"/>
              </w:rPr>
              <w:fldChar w:fldCharType="end"/>
            </w:r>
          </w:p>
        </w:tc>
      </w:tr>
      <w:tr w:rsidR="002F0740" w:rsidRPr="002C21B8" w14:paraId="1CD7F067" w14:textId="77777777" w:rsidTr="00EB0FFD">
        <w:trPr>
          <w:trHeight w:val="142"/>
        </w:trPr>
        <w:tc>
          <w:tcPr>
            <w:tcW w:w="6804" w:type="dxa"/>
            <w:tcBorders>
              <w:top w:val="nil"/>
              <w:left w:val="nil"/>
              <w:bottom w:val="nil"/>
              <w:right w:val="nil"/>
            </w:tcBorders>
            <w:shd w:val="clear" w:color="auto" w:fill="auto"/>
            <w:noWrap/>
          </w:tcPr>
          <w:p w14:paraId="32454199"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 xml:space="preserve">3.2 Prescriber experience: </w:t>
            </w:r>
            <w:r w:rsidRPr="002C21B8">
              <w:rPr>
                <w:sz w:val="18"/>
                <w:szCs w:val="18"/>
              </w:rPr>
              <w:t>Experience impacts decision-making and resistance to new medications.</w:t>
            </w:r>
          </w:p>
        </w:tc>
        <w:tc>
          <w:tcPr>
            <w:tcW w:w="2268" w:type="dxa"/>
            <w:tcBorders>
              <w:top w:val="nil"/>
              <w:left w:val="nil"/>
              <w:bottom w:val="nil"/>
              <w:right w:val="nil"/>
            </w:tcBorders>
            <w:shd w:val="clear" w:color="auto" w:fill="auto"/>
            <w:noWrap/>
            <w:hideMark/>
          </w:tcPr>
          <w:p w14:paraId="25F24660"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Moderate</w:t>
            </w:r>
          </w:p>
        </w:tc>
        <w:tc>
          <w:tcPr>
            <w:tcW w:w="1985" w:type="dxa"/>
            <w:tcBorders>
              <w:top w:val="nil"/>
              <w:left w:val="nil"/>
              <w:bottom w:val="nil"/>
              <w:right w:val="nil"/>
            </w:tcBorders>
            <w:shd w:val="clear" w:color="auto" w:fill="auto"/>
            <w:hideMark/>
          </w:tcPr>
          <w:p w14:paraId="5A82A8C4"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Likely</w:t>
            </w:r>
          </w:p>
        </w:tc>
        <w:tc>
          <w:tcPr>
            <w:tcW w:w="2835" w:type="dxa"/>
            <w:tcBorders>
              <w:top w:val="nil"/>
              <w:left w:val="nil"/>
              <w:bottom w:val="nil"/>
              <w:right w:val="nil"/>
            </w:tcBorders>
            <w:shd w:val="clear" w:color="auto" w:fill="auto"/>
            <w:noWrap/>
            <w:hideMark/>
          </w:tcPr>
          <w:p w14:paraId="61914383" w14:textId="4D210966"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PEVuZE5vdGU+PENpdGU+PEF1dGhvcj5MYWxvcjwvQXV0aG9yPjxZZWFyPjIwMjI8L1llYXI+PFJl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PEVuZE5vdGU+PENpdGU+PEF1dGhvcj5MYWxvcjwvQXV0aG9yPjxZZWFyPjIwMjI8L1llYXI+PFJl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(Lalor</w:t>
            </w:r>
            <w:r w:rsidRPr="002C21B8">
              <w:rPr>
                <w:i/>
                <w:noProof/>
                <w:sz w:val="18"/>
                <w:szCs w:val="18"/>
                <w:lang w:val="fr-FR"/>
              </w:rPr>
              <w:t xml:space="preserve"> et al.</w:t>
            </w:r>
            <w:r w:rsidRPr="002C21B8">
              <w:rPr>
                <w:noProof/>
                <w:sz w:val="18"/>
                <w:szCs w:val="18"/>
                <w:lang w:val="fr-FR"/>
              </w:rPr>
              <w:t>, 2022; Maimaris</w:t>
            </w:r>
            <w:r w:rsidRPr="002C21B8">
              <w:rPr>
                <w:i/>
                <w:noProof/>
                <w:sz w:val="18"/>
                <w:szCs w:val="18"/>
                <w:lang w:val="fr-FR"/>
              </w:rPr>
              <w:t xml:space="preserve"> et al.</w:t>
            </w:r>
            <w:r w:rsidRPr="002C21B8">
              <w:rPr>
                <w:noProof/>
                <w:sz w:val="18"/>
                <w:szCs w:val="18"/>
                <w:lang w:val="fr-FR"/>
              </w:rPr>
              <w:t>, 2013; Mas Dalmau</w:t>
            </w:r>
            <w:r w:rsidRPr="002C21B8">
              <w:rPr>
                <w:i/>
                <w:noProof/>
                <w:sz w:val="18"/>
                <w:szCs w:val="18"/>
                <w:lang w:val="fr-FR"/>
              </w:rPr>
              <w:t xml:space="preserve"> et al.</w:t>
            </w:r>
            <w:r w:rsidRPr="002C21B8">
              <w:rPr>
                <w:noProof/>
                <w:sz w:val="18"/>
                <w:szCs w:val="18"/>
                <w:lang w:val="fr-FR"/>
              </w:rPr>
              <w:t>, 2017)</w:t>
            </w:r>
            <w:r w:rsidRPr="002C21B8">
              <w:rPr>
                <w:sz w:val="18"/>
                <w:szCs w:val="18"/>
              </w:rPr>
              <w:fldChar w:fldCharType="end"/>
            </w:r>
          </w:p>
        </w:tc>
      </w:tr>
      <w:tr w:rsidR="002F0740" w:rsidRPr="002C21B8" w14:paraId="243F176B" w14:textId="77777777" w:rsidTr="00EB0FFD">
        <w:trPr>
          <w:trHeight w:val="356"/>
        </w:trPr>
        <w:tc>
          <w:tcPr>
            <w:tcW w:w="6804" w:type="dxa"/>
            <w:tcBorders>
              <w:top w:val="nil"/>
              <w:left w:val="nil"/>
              <w:bottom w:val="nil"/>
              <w:right w:val="nil"/>
            </w:tcBorders>
            <w:shd w:val="clear" w:color="auto" w:fill="auto"/>
            <w:noWrap/>
          </w:tcPr>
          <w:p w14:paraId="232E63E8"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3.3 Professional responsibility:</w:t>
            </w:r>
            <w:r w:rsidRPr="002C21B8">
              <w:rPr>
                <w:sz w:val="18"/>
                <w:szCs w:val="18"/>
              </w:rPr>
              <w:t xml:space="preserve"> Ambiguity in responsibility can cause hesitation in starting medications.</w:t>
            </w:r>
          </w:p>
        </w:tc>
        <w:tc>
          <w:tcPr>
            <w:tcW w:w="2268" w:type="dxa"/>
            <w:tcBorders>
              <w:top w:val="nil"/>
              <w:left w:val="nil"/>
              <w:bottom w:val="nil"/>
              <w:right w:val="nil"/>
            </w:tcBorders>
            <w:shd w:val="clear" w:color="auto" w:fill="auto"/>
            <w:noWrap/>
            <w:hideMark/>
          </w:tcPr>
          <w:p w14:paraId="45BB6F82"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w:t>
            </w:r>
          </w:p>
        </w:tc>
        <w:tc>
          <w:tcPr>
            <w:tcW w:w="1985" w:type="dxa"/>
            <w:tcBorders>
              <w:top w:val="nil"/>
              <w:left w:val="nil"/>
              <w:bottom w:val="nil"/>
              <w:right w:val="nil"/>
            </w:tcBorders>
            <w:shd w:val="clear" w:color="auto" w:fill="auto"/>
            <w:hideMark/>
          </w:tcPr>
          <w:p w14:paraId="42B198DB"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top w:val="nil"/>
              <w:left w:val="nil"/>
              <w:bottom w:val="nil"/>
              <w:right w:val="nil"/>
            </w:tcBorders>
            <w:shd w:val="clear" w:color="auto" w:fill="auto"/>
            <w:noWrap/>
            <w:hideMark/>
          </w:tcPr>
          <w:p w14:paraId="3241E01A" w14:textId="0CB19CEF"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SnU8c3R5bGUgZmFjZT0iaXRhbGljIj4gZXQgYWwuPC9zdHlsZT4sIDIwMTg7IEtoYXRpYjxzdHls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c2JuPjx1cmxzPjwvdXJscz48L3JlY29yZD48L0NpdGU+PENpdGU+PEF1dGhvcj5CaW4gUnNoZWVk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==
</w:fldData>
              </w:fldChar>
            </w:r>
            <w:r w:rsidR="005D7DBC" w:rsidRPr="002C21B8">
              <w:rPr>
                <w:sz w:val="18"/>
                <w:szCs w:val="18"/>
              </w:rPr>
              <w:instrText xml:space="preserve"> ADDIN EN.CITE </w:instrText>
            </w:r>
            <w:r w:rsidR="005D7DBC"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SnU8c3R5bGUgZmFjZT0iaXRhbGljIj4gZXQgYWwuPC9zdHlsZT4sIDIwMTg7IEtoYXRpYjxzdHls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c2JuPjx1cmxzPjwvdXJscz48L3JlY29yZD48L0NpdGU+PENpdGU+PEF1dGhvcj5CaW4gUnNoZWVk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==
</w:fldData>
              </w:fldChar>
            </w:r>
            <w:r w:rsidR="005D7DBC" w:rsidRPr="002C21B8">
              <w:rPr>
                <w:sz w:val="18"/>
                <w:szCs w:val="18"/>
              </w:rPr>
              <w:instrText xml:space="preserve"> ADDIN EN.CITE.DATA </w:instrText>
            </w:r>
            <w:r w:rsidR="005D7DBC" w:rsidRPr="002C21B8">
              <w:rPr>
                <w:sz w:val="18"/>
                <w:szCs w:val="18"/>
              </w:rPr>
            </w:r>
            <w:r w:rsidR="005D7DBC"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2017; Byrne</w:t>
            </w:r>
            <w:r w:rsidRPr="002C21B8">
              <w:rPr>
                <w:i/>
                <w:noProof/>
                <w:sz w:val="18"/>
                <w:szCs w:val="18"/>
              </w:rPr>
              <w:t xml:space="preserve"> et al.</w:t>
            </w:r>
            <w:r w:rsidRPr="002C21B8">
              <w:rPr>
                <w:noProof/>
                <w:sz w:val="18"/>
                <w:szCs w:val="18"/>
              </w:rPr>
              <w:t>, 2022; Ju</w:t>
            </w:r>
            <w:r w:rsidRPr="002C21B8">
              <w:rPr>
                <w:i/>
                <w:noProof/>
                <w:sz w:val="18"/>
                <w:szCs w:val="18"/>
              </w:rPr>
              <w:t xml:space="preserve"> et al.</w:t>
            </w:r>
            <w:r w:rsidRPr="002C21B8">
              <w:rPr>
                <w:noProof/>
                <w:sz w:val="18"/>
                <w:szCs w:val="18"/>
              </w:rPr>
              <w:t>, 2018; Khatib</w:t>
            </w:r>
            <w:r w:rsidRPr="002C21B8">
              <w:rPr>
                <w:i/>
                <w:noProof/>
                <w:sz w:val="18"/>
                <w:szCs w:val="18"/>
              </w:rPr>
              <w:t xml:space="preserve"> et al.</w:t>
            </w:r>
            <w:r w:rsidRPr="002C21B8">
              <w:rPr>
                <w:noProof/>
                <w:sz w:val="18"/>
                <w:szCs w:val="18"/>
              </w:rPr>
              <w:t>, 2014; Mas Dalmau</w:t>
            </w:r>
            <w:r w:rsidRPr="002C21B8">
              <w:rPr>
                <w:i/>
                <w:noProof/>
                <w:sz w:val="18"/>
                <w:szCs w:val="18"/>
              </w:rPr>
              <w:t xml:space="preserve"> et al.</w:t>
            </w:r>
            <w:r w:rsidRPr="002C21B8">
              <w:rPr>
                <w:noProof/>
                <w:sz w:val="18"/>
                <w:szCs w:val="18"/>
              </w:rPr>
              <w:t>, 2017; Ng</w:t>
            </w:r>
            <w:r w:rsidRPr="002C21B8">
              <w:rPr>
                <w:i/>
                <w:noProof/>
                <w:sz w:val="18"/>
                <w:szCs w:val="18"/>
              </w:rPr>
              <w:t xml:space="preserve"> et al.</w:t>
            </w:r>
            <w:r w:rsidRPr="002C21B8">
              <w:rPr>
                <w:noProof/>
                <w:sz w:val="18"/>
                <w:szCs w:val="18"/>
              </w:rPr>
              <w:t>, 2015; Pritchett</w:t>
            </w:r>
            <w:r w:rsidRPr="002C21B8">
              <w:rPr>
                <w:i/>
                <w:noProof/>
                <w:sz w:val="18"/>
                <w:szCs w:val="18"/>
              </w:rPr>
              <w:t xml:space="preserve"> et al.</w:t>
            </w:r>
            <w:r w:rsidRPr="002C21B8">
              <w:rPr>
                <w:noProof/>
                <w:sz w:val="18"/>
                <w:szCs w:val="18"/>
              </w:rPr>
              <w:t>, 2020; Qadi</w:t>
            </w:r>
            <w:r w:rsidRPr="002C21B8">
              <w:rPr>
                <w:i/>
                <w:noProof/>
                <w:sz w:val="18"/>
                <w:szCs w:val="18"/>
              </w:rPr>
              <w:t xml:space="preserve"> et al.</w:t>
            </w:r>
            <w:r w:rsidRPr="002C21B8">
              <w:rPr>
                <w:noProof/>
                <w:sz w:val="18"/>
                <w:szCs w:val="18"/>
              </w:rPr>
              <w:t>, 2020; Rushforth</w:t>
            </w:r>
            <w:r w:rsidRPr="002C21B8">
              <w:rPr>
                <w:i/>
                <w:noProof/>
                <w:sz w:val="18"/>
                <w:szCs w:val="18"/>
              </w:rPr>
              <w:t xml:space="preserve"> et al.</w:t>
            </w:r>
            <w:r w:rsidRPr="002C21B8">
              <w:rPr>
                <w:noProof/>
                <w:sz w:val="18"/>
                <w:szCs w:val="18"/>
              </w:rPr>
              <w:t>, 2016)</w:t>
            </w:r>
            <w:r w:rsidRPr="002C21B8">
              <w:rPr>
                <w:sz w:val="18"/>
                <w:szCs w:val="18"/>
              </w:rPr>
              <w:fldChar w:fldCharType="end"/>
            </w:r>
          </w:p>
        </w:tc>
      </w:tr>
      <w:tr w:rsidR="002F0740" w:rsidRPr="002C21B8" w14:paraId="6174F648" w14:textId="77777777" w:rsidTr="00EB0FFD">
        <w:trPr>
          <w:trHeight w:val="143"/>
        </w:trPr>
        <w:tc>
          <w:tcPr>
            <w:tcW w:w="6804" w:type="dxa"/>
            <w:tcBorders>
              <w:top w:val="nil"/>
              <w:left w:val="nil"/>
              <w:bottom w:val="nil"/>
              <w:right w:val="nil"/>
            </w:tcBorders>
            <w:shd w:val="clear" w:color="auto" w:fill="auto"/>
            <w:noWrap/>
          </w:tcPr>
          <w:p w14:paraId="237232C6" w14:textId="77777777" w:rsidR="002F0740" w:rsidRPr="002C21B8" w:rsidRDefault="002F0740" w:rsidP="00D418D8">
            <w:pPr>
              <w:widowControl w:val="0"/>
              <w:spacing w:beforeLines="20" w:before="48" w:afterLines="20" w:after="48" w:line="240" w:lineRule="auto"/>
              <w:ind w:left="327"/>
              <w:rPr>
                <w:sz w:val="18"/>
                <w:szCs w:val="18"/>
              </w:rPr>
            </w:pPr>
            <w:r w:rsidRPr="002C21B8">
              <w:rPr>
                <w:b/>
                <w:bCs/>
                <w:sz w:val="18"/>
                <w:szCs w:val="18"/>
              </w:rPr>
              <w:t>3.4 Healthcare system factors:</w:t>
            </w:r>
            <w:r w:rsidRPr="002C21B8">
              <w:rPr>
                <w:sz w:val="18"/>
                <w:szCs w:val="18"/>
              </w:rPr>
              <w:t xml:space="preserve"> Time constraints, patient load and competing priorities contribute to clinical inertia. </w:t>
            </w:r>
          </w:p>
        </w:tc>
        <w:tc>
          <w:tcPr>
            <w:tcW w:w="2268" w:type="dxa"/>
            <w:tcBorders>
              <w:top w:val="nil"/>
              <w:left w:val="nil"/>
              <w:bottom w:val="nil"/>
              <w:right w:val="nil"/>
            </w:tcBorders>
            <w:shd w:val="clear" w:color="auto" w:fill="auto"/>
            <w:noWrap/>
            <w:hideMark/>
          </w:tcPr>
          <w:p w14:paraId="6F1293AB"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Moderate</w:t>
            </w:r>
          </w:p>
        </w:tc>
        <w:tc>
          <w:tcPr>
            <w:tcW w:w="1985" w:type="dxa"/>
            <w:tcBorders>
              <w:top w:val="nil"/>
              <w:left w:val="nil"/>
              <w:bottom w:val="nil"/>
              <w:right w:val="nil"/>
            </w:tcBorders>
            <w:shd w:val="clear" w:color="auto" w:fill="auto"/>
            <w:hideMark/>
          </w:tcPr>
          <w:p w14:paraId="36B7FABD"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Likely</w:t>
            </w:r>
          </w:p>
        </w:tc>
        <w:tc>
          <w:tcPr>
            <w:tcW w:w="2835" w:type="dxa"/>
            <w:tcBorders>
              <w:top w:val="nil"/>
              <w:left w:val="nil"/>
              <w:bottom w:val="nil"/>
              <w:right w:val="nil"/>
            </w:tcBorders>
            <w:shd w:val="clear" w:color="auto" w:fill="auto"/>
            <w:noWrap/>
            <w:hideMark/>
          </w:tcPr>
          <w:p w14:paraId="4B1AE2A0" w14:textId="02FC24B6"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PEVuZE5vdGU+PENpdGU+PEF1dGhvcj5MYWxvcjwvQXV0aG9yPjxZZWFyPjIwMjI8L1llYXI+PFJl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PEVuZE5vdGU+PENpdGU+PEF1dGhvcj5MYWxvcjwvQXV0aG9yPjxZZWFyPjIwMjI8L1llYXI+PFJl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(Khatib</w:t>
            </w:r>
            <w:r w:rsidRPr="002C21B8">
              <w:rPr>
                <w:i/>
                <w:noProof/>
                <w:sz w:val="18"/>
                <w:szCs w:val="18"/>
                <w:lang w:val="fr-FR"/>
              </w:rPr>
              <w:t xml:space="preserve"> et al.</w:t>
            </w:r>
            <w:r w:rsidRPr="002C21B8">
              <w:rPr>
                <w:noProof/>
                <w:sz w:val="18"/>
                <w:szCs w:val="18"/>
                <w:lang w:val="fr-FR"/>
              </w:rPr>
              <w:t>, 2014; Lalor</w:t>
            </w:r>
            <w:r w:rsidRPr="002C21B8">
              <w:rPr>
                <w:i/>
                <w:noProof/>
                <w:sz w:val="18"/>
                <w:szCs w:val="18"/>
                <w:lang w:val="fr-FR"/>
              </w:rPr>
              <w:t xml:space="preserve"> et al.</w:t>
            </w:r>
            <w:r w:rsidRPr="002C21B8">
              <w:rPr>
                <w:noProof/>
                <w:sz w:val="18"/>
                <w:szCs w:val="18"/>
                <w:lang w:val="fr-FR"/>
              </w:rPr>
              <w:t>, 2022; Ng</w:t>
            </w:r>
            <w:r w:rsidRPr="002C21B8">
              <w:rPr>
                <w:i/>
                <w:noProof/>
                <w:sz w:val="18"/>
                <w:szCs w:val="18"/>
                <w:lang w:val="fr-FR"/>
              </w:rPr>
              <w:t xml:space="preserve"> et al.</w:t>
            </w:r>
            <w:r w:rsidRPr="002C21B8">
              <w:rPr>
                <w:noProof/>
                <w:sz w:val="18"/>
                <w:szCs w:val="18"/>
                <w:lang w:val="fr-FR"/>
              </w:rPr>
              <w:t>, 2015)</w:t>
            </w:r>
            <w:r w:rsidRPr="002C21B8">
              <w:rPr>
                <w:sz w:val="18"/>
                <w:szCs w:val="18"/>
              </w:rPr>
              <w:fldChar w:fldCharType="end"/>
            </w:r>
          </w:p>
        </w:tc>
      </w:tr>
      <w:tr w:rsidR="002F0740" w:rsidRPr="002C21B8" w14:paraId="4E96A949" w14:textId="77777777" w:rsidTr="00EB0FFD">
        <w:trPr>
          <w:trHeight w:val="143"/>
        </w:trPr>
        <w:tc>
          <w:tcPr>
            <w:tcW w:w="6804" w:type="dxa"/>
            <w:tcBorders>
              <w:top w:val="nil"/>
              <w:left w:val="nil"/>
              <w:bottom w:val="single" w:sz="6" w:space="0" w:color="000000" w:themeColor="text1"/>
              <w:right w:val="nil"/>
            </w:tcBorders>
            <w:shd w:val="clear" w:color="auto" w:fill="auto"/>
            <w:noWrap/>
          </w:tcPr>
          <w:p w14:paraId="5F19000C" w14:textId="3D50953F" w:rsidR="002F0740" w:rsidRPr="002C21B8" w:rsidRDefault="002F0740" w:rsidP="00D418D8">
            <w:pPr>
              <w:widowControl w:val="0"/>
              <w:spacing w:beforeLines="20" w:before="48" w:afterLines="20" w:after="48" w:line="240" w:lineRule="auto"/>
              <w:ind w:left="327"/>
              <w:rPr>
                <w:b/>
                <w:bCs/>
                <w:sz w:val="18"/>
                <w:szCs w:val="18"/>
              </w:rPr>
            </w:pPr>
            <w:r w:rsidRPr="002C21B8">
              <w:rPr>
                <w:b/>
                <w:bCs/>
                <w:sz w:val="18"/>
                <w:szCs w:val="18"/>
              </w:rPr>
              <w:t xml:space="preserve">3.5 Colleagues of the same profession: </w:t>
            </w:r>
            <w:r w:rsidRPr="002C21B8">
              <w:rPr>
                <w:sz w:val="18"/>
                <w:szCs w:val="18"/>
              </w:rPr>
              <w:t xml:space="preserve">Prescribers value their colleagues’ opinions and support when making prescribing decisions, </w:t>
            </w:r>
            <w:r w:rsidR="006770AF" w:rsidRPr="002C21B8">
              <w:rPr>
                <w:sz w:val="18"/>
                <w:szCs w:val="18"/>
              </w:rPr>
              <w:t xml:space="preserve">which </w:t>
            </w:r>
            <w:r w:rsidRPr="002C21B8">
              <w:rPr>
                <w:sz w:val="18"/>
                <w:szCs w:val="18"/>
              </w:rPr>
              <w:t>may reduce clinical inertia</w:t>
            </w:r>
          </w:p>
        </w:tc>
        <w:tc>
          <w:tcPr>
            <w:tcW w:w="2268" w:type="dxa"/>
            <w:tcBorders>
              <w:top w:val="nil"/>
              <w:left w:val="nil"/>
              <w:bottom w:val="single" w:sz="6" w:space="0" w:color="000000" w:themeColor="text1"/>
              <w:right w:val="nil"/>
            </w:tcBorders>
            <w:shd w:val="clear" w:color="auto" w:fill="auto"/>
            <w:noWrap/>
          </w:tcPr>
          <w:p w14:paraId="5D23A8AB"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 xml:space="preserve">Very low </w:t>
            </w:r>
          </w:p>
        </w:tc>
        <w:tc>
          <w:tcPr>
            <w:tcW w:w="1985" w:type="dxa"/>
            <w:tcBorders>
              <w:top w:val="nil"/>
              <w:left w:val="nil"/>
              <w:bottom w:val="single" w:sz="6" w:space="0" w:color="000000" w:themeColor="text1"/>
              <w:right w:val="nil"/>
            </w:tcBorders>
            <w:shd w:val="clear" w:color="auto" w:fill="auto"/>
          </w:tcPr>
          <w:p w14:paraId="3C0A9FEF"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Unclear</w:t>
            </w:r>
          </w:p>
        </w:tc>
        <w:tc>
          <w:tcPr>
            <w:tcW w:w="2835" w:type="dxa"/>
            <w:tcBorders>
              <w:top w:val="nil"/>
              <w:left w:val="nil"/>
              <w:bottom w:val="single" w:sz="6" w:space="0" w:color="000000" w:themeColor="text1"/>
              <w:right w:val="nil"/>
            </w:tcBorders>
            <w:shd w:val="clear" w:color="auto" w:fill="auto"/>
            <w:noWrap/>
          </w:tcPr>
          <w:p w14:paraId="7EA6584E" w14:textId="1A62E4B8" w:rsidR="002F0740" w:rsidRPr="002C21B8" w:rsidRDefault="002F0740" w:rsidP="00D418D8">
            <w:pPr>
              <w:widowControl w:val="0"/>
              <w:spacing w:beforeLines="20" w:before="48" w:afterLines="20" w:after="48" w:line="240" w:lineRule="auto"/>
              <w:rPr>
                <w:sz w:val="18"/>
                <w:szCs w:val="18"/>
              </w:rPr>
            </w:pPr>
            <w:r w:rsidRPr="002C21B8">
              <w:rPr>
                <w:sz w:val="18"/>
                <w:szCs w:val="18"/>
              </w:rPr>
              <w:fldChar w:fldCharType="begin"/>
            </w:r>
            <w:r w:rsidR="00455B2B" w:rsidRPr="002C21B8">
              <w:rPr>
                <w:sz w:val="18"/>
                <w:szCs w:val="18"/>
              </w:rPr>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rPr>
                <w:sz w:val="18"/>
                <w:szCs w:val="18"/>
              </w:rPr>
              <w:fldChar w:fldCharType="separate"/>
            </w:r>
            <w:r w:rsidRPr="002C21B8">
              <w:rPr>
                <w:noProof/>
                <w:sz w:val="18"/>
                <w:szCs w:val="18"/>
              </w:rPr>
              <w:t>(Lalor</w:t>
            </w:r>
            <w:r w:rsidRPr="002C21B8">
              <w:rPr>
                <w:i/>
                <w:noProof/>
                <w:sz w:val="18"/>
                <w:szCs w:val="18"/>
              </w:rPr>
              <w:t xml:space="preserve"> et al.</w:t>
            </w:r>
            <w:r w:rsidRPr="002C21B8">
              <w:rPr>
                <w:noProof/>
                <w:sz w:val="18"/>
                <w:szCs w:val="18"/>
              </w:rPr>
              <w:t>, 2022)</w:t>
            </w:r>
            <w:r w:rsidRPr="002C21B8">
              <w:rPr>
                <w:sz w:val="18"/>
                <w:szCs w:val="18"/>
              </w:rPr>
              <w:fldChar w:fldCharType="end"/>
            </w:r>
          </w:p>
        </w:tc>
      </w:tr>
      <w:tr w:rsidR="002F0740" w:rsidRPr="002C21B8" w14:paraId="0445C602"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04E94697" w14:textId="77777777" w:rsidR="002F0740" w:rsidRPr="002C21B8" w:rsidRDefault="002F0740" w:rsidP="00D418D8">
            <w:pPr>
              <w:widowControl w:val="0"/>
              <w:spacing w:beforeLines="20" w:before="48" w:afterLines="20" w:after="48" w:line="240" w:lineRule="auto"/>
              <w:rPr>
                <w:b/>
                <w:bCs/>
                <w:sz w:val="20"/>
                <w:szCs w:val="20"/>
              </w:rPr>
            </w:pPr>
            <w:r w:rsidRPr="002C21B8">
              <w:rPr>
                <w:b/>
                <w:bCs/>
                <w:sz w:val="20"/>
                <w:szCs w:val="20"/>
              </w:rPr>
              <w:t xml:space="preserve">4. Medication costs </w:t>
            </w:r>
          </w:p>
        </w:tc>
      </w:tr>
      <w:tr w:rsidR="002F0740" w:rsidRPr="002C21B8" w14:paraId="1302F7FC" w14:textId="77777777" w:rsidTr="00EB0FFD">
        <w:trPr>
          <w:trHeight w:val="129"/>
        </w:trPr>
        <w:tc>
          <w:tcPr>
            <w:tcW w:w="6804" w:type="dxa"/>
            <w:tcBorders>
              <w:left w:val="nil"/>
              <w:bottom w:val="nil"/>
              <w:right w:val="nil"/>
            </w:tcBorders>
            <w:shd w:val="clear" w:color="auto" w:fill="auto"/>
            <w:noWrap/>
            <w:hideMark/>
          </w:tcPr>
          <w:p w14:paraId="03C9E238" w14:textId="77777777" w:rsidR="002F0740" w:rsidRPr="002C21B8" w:rsidRDefault="002F0740" w:rsidP="00D418D8">
            <w:pPr>
              <w:widowControl w:val="0"/>
              <w:spacing w:beforeLines="20" w:before="48" w:afterLines="20" w:after="48" w:line="240" w:lineRule="auto"/>
              <w:ind w:left="327"/>
              <w:rPr>
                <w:b/>
                <w:bCs/>
                <w:sz w:val="18"/>
                <w:szCs w:val="18"/>
              </w:rPr>
            </w:pPr>
            <w:r w:rsidRPr="002C21B8">
              <w:rPr>
                <w:b/>
                <w:bCs/>
                <w:sz w:val="18"/>
                <w:szCs w:val="18"/>
              </w:rPr>
              <w:t>4.1 Medication costs:</w:t>
            </w:r>
            <w:r w:rsidRPr="002C21B8">
              <w:rPr>
                <w:sz w:val="18"/>
                <w:szCs w:val="18"/>
              </w:rPr>
              <w:t xml:space="preserve"> Costs influence prescribing; justification is based on patient benefit and affordability.</w:t>
            </w:r>
          </w:p>
        </w:tc>
        <w:tc>
          <w:tcPr>
            <w:tcW w:w="2268" w:type="dxa"/>
            <w:tcBorders>
              <w:left w:val="nil"/>
              <w:bottom w:val="nil"/>
              <w:right w:val="nil"/>
            </w:tcBorders>
            <w:shd w:val="clear" w:color="auto" w:fill="auto"/>
            <w:noWrap/>
            <w:hideMark/>
          </w:tcPr>
          <w:p w14:paraId="72F82740"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w:t>
            </w:r>
          </w:p>
        </w:tc>
        <w:tc>
          <w:tcPr>
            <w:tcW w:w="1985" w:type="dxa"/>
            <w:tcBorders>
              <w:left w:val="nil"/>
              <w:bottom w:val="nil"/>
              <w:right w:val="nil"/>
            </w:tcBorders>
            <w:shd w:val="clear" w:color="auto" w:fill="auto"/>
            <w:hideMark/>
          </w:tcPr>
          <w:p w14:paraId="3506C932"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Highly likely</w:t>
            </w:r>
          </w:p>
        </w:tc>
        <w:tc>
          <w:tcPr>
            <w:tcW w:w="2835" w:type="dxa"/>
            <w:tcBorders>
              <w:left w:val="nil"/>
              <w:bottom w:val="nil"/>
              <w:right w:val="nil"/>
            </w:tcBorders>
            <w:shd w:val="clear" w:color="auto" w:fill="auto"/>
            <w:noWrap/>
            <w:hideMark/>
          </w:tcPr>
          <w:p w14:paraId="6061623F" w14:textId="39681995"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PEVuZE5vdGU+PENpdGU+PEF1dGhvcj5RYWRpPC9BdXRob3I+PFllYXI+MjAyMDwvWWVhcj48UmVj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PEVuZE5vdGU+PENpdGU+PEF1dGhvcj5RYWRpPC9BdXRob3I+PFllYXI+MjAyMDwvWWVhcj48UmVj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(Dhungana</w:t>
            </w:r>
            <w:r w:rsidRPr="002C21B8">
              <w:rPr>
                <w:i/>
                <w:noProof/>
                <w:sz w:val="18"/>
                <w:szCs w:val="18"/>
                <w:lang w:val="fr-FR"/>
              </w:rPr>
              <w:t xml:space="preserve"> et al.</w:t>
            </w:r>
            <w:r w:rsidRPr="002C21B8">
              <w:rPr>
                <w:noProof/>
                <w:sz w:val="18"/>
                <w:szCs w:val="18"/>
                <w:lang w:val="fr-FR"/>
              </w:rPr>
              <w:t>, 2021; Ju</w:t>
            </w:r>
            <w:r w:rsidRPr="002C21B8">
              <w:rPr>
                <w:i/>
                <w:noProof/>
                <w:sz w:val="18"/>
                <w:szCs w:val="18"/>
                <w:lang w:val="fr-FR"/>
              </w:rPr>
              <w:t xml:space="preserve"> et al.</w:t>
            </w:r>
            <w:r w:rsidRPr="002C21B8">
              <w:rPr>
                <w:noProof/>
                <w:sz w:val="18"/>
                <w:szCs w:val="18"/>
                <w:lang w:val="fr-FR"/>
              </w:rPr>
              <w:t>, 2018; Lalor</w:t>
            </w:r>
            <w:r w:rsidRPr="002C21B8">
              <w:rPr>
                <w:i/>
                <w:noProof/>
                <w:sz w:val="18"/>
                <w:szCs w:val="18"/>
                <w:lang w:val="fr-FR"/>
              </w:rPr>
              <w:t xml:space="preserve"> et al.</w:t>
            </w:r>
            <w:r w:rsidRPr="002C21B8">
              <w:rPr>
                <w:noProof/>
                <w:sz w:val="18"/>
                <w:szCs w:val="18"/>
                <w:lang w:val="fr-FR"/>
              </w:rPr>
              <w:t>, 2022; Pritchett</w:t>
            </w:r>
            <w:r w:rsidRPr="002C21B8">
              <w:rPr>
                <w:i/>
                <w:noProof/>
                <w:sz w:val="18"/>
                <w:szCs w:val="18"/>
                <w:lang w:val="fr-FR"/>
              </w:rPr>
              <w:t xml:space="preserve"> et al.</w:t>
            </w:r>
            <w:r w:rsidRPr="002C21B8">
              <w:rPr>
                <w:noProof/>
                <w:sz w:val="18"/>
                <w:szCs w:val="18"/>
                <w:lang w:val="fr-FR"/>
              </w:rPr>
              <w:t>, 2020; Qadi</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76177827" w14:textId="77777777" w:rsidTr="00EB0FFD">
        <w:trPr>
          <w:trHeight w:val="129"/>
        </w:trPr>
        <w:tc>
          <w:tcPr>
            <w:tcW w:w="6804" w:type="dxa"/>
            <w:tcBorders>
              <w:top w:val="nil"/>
              <w:left w:val="nil"/>
              <w:bottom w:val="nil"/>
              <w:right w:val="nil"/>
            </w:tcBorders>
            <w:shd w:val="clear" w:color="auto" w:fill="auto"/>
            <w:noWrap/>
            <w:hideMark/>
          </w:tcPr>
          <w:p w14:paraId="73F04401" w14:textId="77777777" w:rsidR="002F0740" w:rsidRPr="002C21B8" w:rsidRDefault="002F0740" w:rsidP="00D418D8">
            <w:pPr>
              <w:widowControl w:val="0"/>
              <w:spacing w:beforeLines="20" w:before="48" w:afterLines="20" w:after="48" w:line="240" w:lineRule="auto"/>
              <w:ind w:left="327"/>
              <w:rPr>
                <w:b/>
                <w:bCs/>
                <w:sz w:val="18"/>
                <w:szCs w:val="18"/>
              </w:rPr>
            </w:pPr>
            <w:r w:rsidRPr="002C21B8">
              <w:rPr>
                <w:b/>
                <w:bCs/>
                <w:sz w:val="18"/>
                <w:szCs w:val="18"/>
              </w:rPr>
              <w:t xml:space="preserve">4.2 Financial incentives: </w:t>
            </w:r>
            <w:r w:rsidRPr="002C21B8">
              <w:rPr>
                <w:sz w:val="18"/>
                <w:szCs w:val="18"/>
              </w:rPr>
              <w:t xml:space="preserve">Financial incentives or reimbursement can encourage prescription of certain medications. </w:t>
            </w:r>
          </w:p>
        </w:tc>
        <w:tc>
          <w:tcPr>
            <w:tcW w:w="2268" w:type="dxa"/>
            <w:tcBorders>
              <w:top w:val="nil"/>
              <w:left w:val="nil"/>
              <w:bottom w:val="nil"/>
              <w:right w:val="nil"/>
            </w:tcBorders>
            <w:shd w:val="clear" w:color="auto" w:fill="auto"/>
            <w:noWrap/>
            <w:hideMark/>
          </w:tcPr>
          <w:p w14:paraId="636DC2D0"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Low</w:t>
            </w:r>
          </w:p>
        </w:tc>
        <w:tc>
          <w:tcPr>
            <w:tcW w:w="1985" w:type="dxa"/>
            <w:tcBorders>
              <w:top w:val="nil"/>
              <w:left w:val="nil"/>
              <w:bottom w:val="nil"/>
              <w:right w:val="nil"/>
            </w:tcBorders>
            <w:shd w:val="clear" w:color="auto" w:fill="auto"/>
            <w:hideMark/>
          </w:tcPr>
          <w:p w14:paraId="04D78759" w14:textId="77777777" w:rsidR="002F0740" w:rsidRPr="002C21B8" w:rsidRDefault="002F0740" w:rsidP="00D418D8">
            <w:pPr>
              <w:widowControl w:val="0"/>
              <w:spacing w:beforeLines="20" w:before="48" w:afterLines="20" w:after="48" w:line="240" w:lineRule="auto"/>
              <w:rPr>
                <w:sz w:val="18"/>
                <w:szCs w:val="18"/>
              </w:rPr>
            </w:pPr>
            <w:r w:rsidRPr="002C21B8">
              <w:rPr>
                <w:sz w:val="18"/>
                <w:szCs w:val="18"/>
              </w:rPr>
              <w:t>Possible</w:t>
            </w:r>
          </w:p>
        </w:tc>
        <w:tc>
          <w:tcPr>
            <w:tcW w:w="2835" w:type="dxa"/>
            <w:tcBorders>
              <w:top w:val="nil"/>
              <w:left w:val="nil"/>
              <w:bottom w:val="nil"/>
              <w:right w:val="nil"/>
            </w:tcBorders>
            <w:shd w:val="clear" w:color="auto" w:fill="auto"/>
            <w:noWrap/>
            <w:hideMark/>
          </w:tcPr>
          <w:p w14:paraId="5B701661" w14:textId="03176F6A" w:rsidR="002F0740" w:rsidRPr="002C21B8" w:rsidRDefault="002F0740" w:rsidP="00D418D8">
            <w:pPr>
              <w:widowControl w:val="0"/>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Ij4gZXQgYWwuPC9zdHlsZT4sIDIwMjI7IEtoYXRpYjxzdHlsZSBmYWNlPSJpdGFsaWMiPiBldCBh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</w:fldData>
              </w:fldChar>
            </w:r>
            <w:r w:rsidR="005D7DBC" w:rsidRPr="002C21B8">
              <w:rPr>
                <w:sz w:val="18"/>
                <w:szCs w:val="18"/>
              </w:rPr>
              <w:instrText xml:space="preserve"> ADDIN EN.CITE </w:instrText>
            </w:r>
            <w:r w:rsidR="005D7DBC"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Ij4gZXQgYWwuPC9zdHlsZT4sIDIwMjI7IEtoYXRpYjxzdHlsZSBmYWNlPSJpdGFsaWMiPiBldCBh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</w:fldData>
              </w:fldChar>
            </w:r>
            <w:r w:rsidR="005D7DBC" w:rsidRPr="002C21B8">
              <w:rPr>
                <w:sz w:val="18"/>
                <w:szCs w:val="18"/>
              </w:rPr>
              <w:instrText xml:space="preserve"> ADDIN EN.CITE.DATA </w:instrText>
            </w:r>
            <w:r w:rsidR="005D7DBC" w:rsidRPr="002C21B8">
              <w:rPr>
                <w:sz w:val="18"/>
                <w:szCs w:val="18"/>
              </w:rPr>
            </w:r>
            <w:r w:rsidR="005D7DBC"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(Byrne</w:t>
            </w:r>
            <w:r w:rsidRPr="002C21B8">
              <w:rPr>
                <w:i/>
                <w:noProof/>
                <w:sz w:val="18"/>
                <w:szCs w:val="18"/>
                <w:lang w:val="fr-FR"/>
              </w:rPr>
              <w:t xml:space="preserve"> et al.</w:t>
            </w:r>
            <w:r w:rsidRPr="002C21B8">
              <w:rPr>
                <w:noProof/>
                <w:sz w:val="18"/>
                <w:szCs w:val="18"/>
                <w:lang w:val="fr-FR"/>
              </w:rPr>
              <w:t>, 2022; Khatib</w:t>
            </w:r>
            <w:r w:rsidRPr="002C21B8">
              <w:rPr>
                <w:i/>
                <w:noProof/>
                <w:sz w:val="18"/>
                <w:szCs w:val="18"/>
                <w:lang w:val="fr-FR"/>
              </w:rPr>
              <w:t xml:space="preserve"> et al.</w:t>
            </w:r>
            <w:r w:rsidRPr="002C21B8">
              <w:rPr>
                <w:noProof/>
                <w:sz w:val="18"/>
                <w:szCs w:val="18"/>
                <w:lang w:val="fr-FR"/>
              </w:rPr>
              <w:t>, 2014; Qadi</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75326D97" w14:textId="77777777" w:rsidTr="00EB0FFD">
        <w:trPr>
          <w:trHeight w:val="129"/>
        </w:trPr>
        <w:tc>
          <w:tcPr>
            <w:tcW w:w="6804" w:type="dxa"/>
            <w:tcBorders>
              <w:top w:val="nil"/>
              <w:left w:val="nil"/>
              <w:bottom w:val="nil"/>
              <w:right w:val="nil"/>
            </w:tcBorders>
            <w:shd w:val="clear" w:color="auto" w:fill="auto"/>
            <w:noWrap/>
            <w:hideMark/>
          </w:tcPr>
          <w:p w14:paraId="7D69661A"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 xml:space="preserve">4.3 Healthcare system costs: </w:t>
            </w:r>
            <w:r w:rsidRPr="002C21B8">
              <w:rPr>
                <w:sz w:val="18"/>
                <w:szCs w:val="18"/>
              </w:rPr>
              <w:t>Medications with an increased workload due to monitoring and follow-up appointments are less likely to be prescribed.</w:t>
            </w:r>
          </w:p>
        </w:tc>
        <w:tc>
          <w:tcPr>
            <w:tcW w:w="2268" w:type="dxa"/>
            <w:tcBorders>
              <w:top w:val="nil"/>
              <w:left w:val="nil"/>
              <w:bottom w:val="nil"/>
              <w:right w:val="nil"/>
            </w:tcBorders>
            <w:shd w:val="clear" w:color="auto" w:fill="auto"/>
            <w:noWrap/>
            <w:hideMark/>
          </w:tcPr>
          <w:p w14:paraId="4F7EEFE7" w14:textId="77777777" w:rsidR="002F0740" w:rsidRPr="002C21B8" w:rsidRDefault="002F0740" w:rsidP="00D418D8">
            <w:pPr>
              <w:spacing w:beforeLines="20" w:before="48" w:afterLines="20" w:after="48" w:line="240" w:lineRule="auto"/>
              <w:rPr>
                <w:sz w:val="18"/>
                <w:szCs w:val="18"/>
              </w:rPr>
            </w:pPr>
            <w:r w:rsidRPr="002C21B8">
              <w:rPr>
                <w:sz w:val="18"/>
                <w:szCs w:val="18"/>
              </w:rPr>
              <w:t>Low</w:t>
            </w:r>
          </w:p>
        </w:tc>
        <w:tc>
          <w:tcPr>
            <w:tcW w:w="1985" w:type="dxa"/>
            <w:tcBorders>
              <w:top w:val="nil"/>
              <w:left w:val="nil"/>
              <w:bottom w:val="nil"/>
              <w:right w:val="nil"/>
            </w:tcBorders>
            <w:shd w:val="clear" w:color="auto" w:fill="auto"/>
            <w:hideMark/>
          </w:tcPr>
          <w:p w14:paraId="53C63F84" w14:textId="77777777" w:rsidR="002F0740" w:rsidRPr="002C21B8" w:rsidRDefault="002F0740" w:rsidP="00D418D8">
            <w:pPr>
              <w:spacing w:beforeLines="20" w:before="48" w:afterLines="20" w:after="48" w:line="240" w:lineRule="auto"/>
              <w:rPr>
                <w:sz w:val="18"/>
                <w:szCs w:val="18"/>
              </w:rPr>
            </w:pPr>
            <w:r w:rsidRPr="002C21B8">
              <w:rPr>
                <w:sz w:val="18"/>
                <w:szCs w:val="18"/>
              </w:rPr>
              <w:t>Possible</w:t>
            </w:r>
          </w:p>
        </w:tc>
        <w:tc>
          <w:tcPr>
            <w:tcW w:w="2835" w:type="dxa"/>
            <w:tcBorders>
              <w:top w:val="nil"/>
              <w:left w:val="nil"/>
              <w:bottom w:val="nil"/>
              <w:right w:val="nil"/>
            </w:tcBorders>
            <w:shd w:val="clear" w:color="auto" w:fill="auto"/>
            <w:noWrap/>
            <w:hideMark/>
          </w:tcPr>
          <w:p w14:paraId="777F998B" w14:textId="0B087F84" w:rsidR="002F0740" w:rsidRPr="002C21B8" w:rsidRDefault="002F0740" w:rsidP="00D418D8">
            <w:pPr>
              <w:spacing w:beforeLines="20" w:before="48" w:afterLines="20" w:after="48" w:line="240" w:lineRule="auto"/>
              <w:rPr>
                <w:sz w:val="18"/>
                <w:szCs w:val="18"/>
              </w:rPr>
            </w:pPr>
            <w:r w:rsidRPr="002C21B8">
              <w:rPr>
                <w:sz w:val="18"/>
                <w:szCs w:val="18"/>
              </w:rPr>
              <w:fldChar w:fldCharType="begin">
                <w:fldData xml:space="preserve">PEVuZE5vdGU+PENpdGU+PEF1dGhvcj5Qcml0Y2hldHQ8L0F1dGhvcj48WWVhcj4yMDIwPC9ZZWFy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PEVuZE5vdGU+PENpdGU+PEF1dGhvcj5Qcml0Y2hldHQ8L0F1dGhvcj48WWVhcj4yMDIwPC9ZZWFy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(Generalova</w:t>
            </w:r>
            <w:r w:rsidRPr="002C21B8">
              <w:rPr>
                <w:i/>
                <w:noProof/>
                <w:sz w:val="18"/>
                <w:szCs w:val="18"/>
              </w:rPr>
              <w:t xml:space="preserve"> et al.</w:t>
            </w:r>
            <w:r w:rsidRPr="002C21B8">
              <w:rPr>
                <w:noProof/>
                <w:sz w:val="18"/>
                <w:szCs w:val="18"/>
              </w:rPr>
              <w:t>, 2018; Pritchett</w:t>
            </w:r>
            <w:r w:rsidRPr="002C21B8">
              <w:rPr>
                <w:i/>
                <w:noProof/>
                <w:sz w:val="18"/>
                <w:szCs w:val="18"/>
              </w:rPr>
              <w:t xml:space="preserve"> et al.</w:t>
            </w:r>
            <w:r w:rsidRPr="002C21B8">
              <w:rPr>
                <w:noProof/>
                <w:sz w:val="18"/>
                <w:szCs w:val="18"/>
              </w:rPr>
              <w:t>, 2020)</w:t>
            </w:r>
            <w:r w:rsidRPr="002C21B8">
              <w:rPr>
                <w:sz w:val="18"/>
                <w:szCs w:val="18"/>
              </w:rPr>
              <w:fldChar w:fldCharType="end"/>
            </w:r>
          </w:p>
        </w:tc>
      </w:tr>
      <w:tr w:rsidR="002F0740" w:rsidRPr="002C21B8" w14:paraId="6C04026C" w14:textId="77777777" w:rsidTr="00EB0FFD">
        <w:trPr>
          <w:trHeight w:val="426"/>
        </w:trPr>
        <w:tc>
          <w:tcPr>
            <w:tcW w:w="6804" w:type="dxa"/>
            <w:tcBorders>
              <w:top w:val="nil"/>
              <w:left w:val="nil"/>
              <w:bottom w:val="single" w:sz="6" w:space="0" w:color="000000" w:themeColor="text1"/>
              <w:right w:val="nil"/>
            </w:tcBorders>
            <w:shd w:val="clear" w:color="auto" w:fill="auto"/>
            <w:noWrap/>
            <w:hideMark/>
          </w:tcPr>
          <w:p w14:paraId="2AA3430D"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4.4 Patient affordability:</w:t>
            </w:r>
            <w:r w:rsidRPr="002C21B8">
              <w:rPr>
                <w:sz w:val="18"/>
                <w:szCs w:val="18"/>
              </w:rPr>
              <w:t xml:space="preserve"> Prescribers consider medication costs to prevent financial harm.</w:t>
            </w:r>
          </w:p>
        </w:tc>
        <w:tc>
          <w:tcPr>
            <w:tcW w:w="2268" w:type="dxa"/>
            <w:tcBorders>
              <w:top w:val="nil"/>
              <w:left w:val="nil"/>
              <w:bottom w:val="single" w:sz="6" w:space="0" w:color="000000" w:themeColor="text1"/>
              <w:right w:val="nil"/>
            </w:tcBorders>
            <w:shd w:val="clear" w:color="auto" w:fill="auto"/>
            <w:noWrap/>
            <w:hideMark/>
          </w:tcPr>
          <w:p w14:paraId="545013AD" w14:textId="77777777" w:rsidR="002F0740" w:rsidRPr="002C21B8" w:rsidRDefault="002F0740" w:rsidP="00D418D8">
            <w:pPr>
              <w:spacing w:beforeLines="20" w:before="48" w:afterLines="20" w:after="48" w:line="240" w:lineRule="auto"/>
              <w:rPr>
                <w:sz w:val="18"/>
                <w:szCs w:val="18"/>
              </w:rPr>
            </w:pPr>
            <w:r w:rsidRPr="002C21B8">
              <w:rPr>
                <w:sz w:val="18"/>
                <w:szCs w:val="18"/>
              </w:rPr>
              <w:t>High</w:t>
            </w:r>
          </w:p>
        </w:tc>
        <w:tc>
          <w:tcPr>
            <w:tcW w:w="1985" w:type="dxa"/>
            <w:tcBorders>
              <w:top w:val="nil"/>
              <w:left w:val="nil"/>
              <w:bottom w:val="single" w:sz="6" w:space="0" w:color="000000" w:themeColor="text1"/>
              <w:right w:val="nil"/>
            </w:tcBorders>
            <w:shd w:val="clear" w:color="auto" w:fill="auto"/>
            <w:hideMark/>
          </w:tcPr>
          <w:p w14:paraId="1F0FB867" w14:textId="77777777" w:rsidR="002F0740" w:rsidRPr="002C21B8" w:rsidRDefault="002F0740" w:rsidP="00D418D8">
            <w:pPr>
              <w:spacing w:beforeLines="20" w:before="48" w:afterLines="20" w:after="48" w:line="240" w:lineRule="auto"/>
              <w:rPr>
                <w:sz w:val="18"/>
                <w:szCs w:val="18"/>
              </w:rPr>
            </w:pPr>
            <w:r w:rsidRPr="002C21B8">
              <w:rPr>
                <w:sz w:val="18"/>
                <w:szCs w:val="18"/>
              </w:rPr>
              <w:t>Highly likely</w:t>
            </w:r>
          </w:p>
        </w:tc>
        <w:tc>
          <w:tcPr>
            <w:tcW w:w="2835" w:type="dxa"/>
            <w:tcBorders>
              <w:top w:val="nil"/>
              <w:left w:val="nil"/>
              <w:bottom w:val="single" w:sz="6" w:space="0" w:color="000000" w:themeColor="text1"/>
              <w:right w:val="nil"/>
            </w:tcBorders>
            <w:shd w:val="clear" w:color="auto" w:fill="auto"/>
            <w:noWrap/>
            <w:hideMark/>
          </w:tcPr>
          <w:p w14:paraId="3922181E" w14:textId="3EB69204" w:rsidR="002F0740" w:rsidRPr="002C21B8" w:rsidRDefault="002F0740" w:rsidP="00D418D8">
            <w:pPr>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IGFsLjwvc3R5bGU+LCAyMDIxOyBKdTxzdHlsZSBmYWNlPSJpdGFsaWMiPiBldCBhbC48L3N0eWxl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NDktMDE3MjwvaXNibj48dXJscz48L3VybHM+PC9yZWNvcmQ+PC9DaXRlPjxDaXRlPjxBdXRob3I+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IGFsLjwvc3R5bGU+LCAyMDIxOyBKdTxzdHlsZSBmYWNlPSJpdGFsaWMiPiBldCBhbC48L3N0eWxl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NDktMDE3MjwvaXNibj48dXJscz48L3VybHM+PC9yZWNvcmQ+PC9DaXRlPjxDaXRlPjxBdXRob3I+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(Byrne</w:t>
            </w:r>
            <w:r w:rsidRPr="002C21B8">
              <w:rPr>
                <w:i/>
                <w:noProof/>
                <w:sz w:val="18"/>
                <w:szCs w:val="18"/>
                <w:lang w:val="fr-FR"/>
              </w:rPr>
              <w:t xml:space="preserve"> et al.</w:t>
            </w:r>
            <w:r w:rsidRPr="002C21B8">
              <w:rPr>
                <w:noProof/>
                <w:sz w:val="18"/>
                <w:szCs w:val="18"/>
                <w:lang w:val="fr-FR"/>
              </w:rPr>
              <w:t>, 2022; Dhungana</w:t>
            </w:r>
            <w:r w:rsidRPr="002C21B8">
              <w:rPr>
                <w:i/>
                <w:noProof/>
                <w:sz w:val="18"/>
                <w:szCs w:val="18"/>
                <w:lang w:val="fr-FR"/>
              </w:rPr>
              <w:t xml:space="preserve"> et al.</w:t>
            </w:r>
            <w:r w:rsidRPr="002C21B8">
              <w:rPr>
                <w:noProof/>
                <w:sz w:val="18"/>
                <w:szCs w:val="18"/>
                <w:lang w:val="fr-FR"/>
              </w:rPr>
              <w:t>, 2021; Ju</w:t>
            </w:r>
            <w:r w:rsidRPr="002C21B8">
              <w:rPr>
                <w:i/>
                <w:noProof/>
                <w:sz w:val="18"/>
                <w:szCs w:val="18"/>
                <w:lang w:val="fr-FR"/>
              </w:rPr>
              <w:t xml:space="preserve"> et al.</w:t>
            </w:r>
            <w:r w:rsidRPr="002C21B8">
              <w:rPr>
                <w:noProof/>
                <w:sz w:val="18"/>
                <w:szCs w:val="18"/>
                <w:lang w:val="fr-FR"/>
              </w:rPr>
              <w:t>, 2018; Khatib</w:t>
            </w:r>
            <w:r w:rsidRPr="002C21B8">
              <w:rPr>
                <w:i/>
                <w:noProof/>
                <w:sz w:val="18"/>
                <w:szCs w:val="18"/>
                <w:lang w:val="fr-FR"/>
              </w:rPr>
              <w:t xml:space="preserve"> et al.</w:t>
            </w:r>
            <w:r w:rsidRPr="002C21B8">
              <w:rPr>
                <w:noProof/>
                <w:sz w:val="18"/>
                <w:szCs w:val="18"/>
                <w:lang w:val="fr-FR"/>
              </w:rPr>
              <w:t>, 2014; Lalor</w:t>
            </w:r>
            <w:r w:rsidRPr="002C21B8">
              <w:rPr>
                <w:i/>
                <w:noProof/>
                <w:sz w:val="18"/>
                <w:szCs w:val="18"/>
                <w:lang w:val="fr-FR"/>
              </w:rPr>
              <w:t xml:space="preserve"> et al.</w:t>
            </w:r>
            <w:r w:rsidRPr="002C21B8">
              <w:rPr>
                <w:noProof/>
                <w:sz w:val="18"/>
                <w:szCs w:val="18"/>
                <w:lang w:val="fr-FR"/>
              </w:rPr>
              <w:t>, 2022; Pritchett</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0CDB393B"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70DDED08" w14:textId="77777777" w:rsidR="002F0740" w:rsidRPr="002C21B8" w:rsidRDefault="002F0740" w:rsidP="00D418D8">
            <w:pPr>
              <w:spacing w:beforeLines="20" w:before="48" w:afterLines="20" w:after="48" w:line="240" w:lineRule="auto"/>
              <w:rPr>
                <w:b/>
                <w:bCs/>
                <w:sz w:val="20"/>
                <w:szCs w:val="20"/>
              </w:rPr>
            </w:pPr>
            <w:r w:rsidRPr="002C21B8">
              <w:rPr>
                <w:b/>
                <w:bCs/>
                <w:sz w:val="20"/>
                <w:szCs w:val="20"/>
              </w:rPr>
              <w:t xml:space="preserve">5. Shared decision-making </w:t>
            </w:r>
          </w:p>
        </w:tc>
      </w:tr>
      <w:tr w:rsidR="002F0740" w:rsidRPr="002C21B8" w14:paraId="6944F5DF" w14:textId="77777777" w:rsidTr="00EB0FFD">
        <w:trPr>
          <w:trHeight w:val="129"/>
        </w:trPr>
        <w:tc>
          <w:tcPr>
            <w:tcW w:w="6804" w:type="dxa"/>
            <w:tcBorders>
              <w:left w:val="nil"/>
              <w:bottom w:val="nil"/>
              <w:right w:val="nil"/>
            </w:tcBorders>
            <w:shd w:val="clear" w:color="auto" w:fill="auto"/>
            <w:noWrap/>
            <w:hideMark/>
          </w:tcPr>
          <w:p w14:paraId="512F4082"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5.1 Adherence:</w:t>
            </w:r>
            <w:r w:rsidRPr="002C21B8">
              <w:rPr>
                <w:sz w:val="18"/>
                <w:szCs w:val="18"/>
              </w:rPr>
              <w:t xml:space="preserve"> Healthcare professionals may not offer medications due to beliefs about patient adherence. </w:t>
            </w:r>
          </w:p>
        </w:tc>
        <w:tc>
          <w:tcPr>
            <w:tcW w:w="2268" w:type="dxa"/>
            <w:tcBorders>
              <w:left w:val="nil"/>
              <w:bottom w:val="nil"/>
              <w:right w:val="nil"/>
            </w:tcBorders>
            <w:shd w:val="clear" w:color="auto" w:fill="auto"/>
            <w:noWrap/>
            <w:hideMark/>
          </w:tcPr>
          <w:p w14:paraId="1CCA9E49" w14:textId="77777777" w:rsidR="002F0740" w:rsidRPr="002C21B8" w:rsidRDefault="002F0740" w:rsidP="00D418D8">
            <w:pPr>
              <w:spacing w:beforeLines="20" w:before="48" w:afterLines="20" w:after="48" w:line="240" w:lineRule="auto"/>
              <w:rPr>
                <w:sz w:val="18"/>
                <w:szCs w:val="18"/>
              </w:rPr>
            </w:pPr>
            <w:r w:rsidRPr="002C21B8">
              <w:rPr>
                <w:sz w:val="18"/>
                <w:szCs w:val="18"/>
              </w:rPr>
              <w:t>Moderate</w:t>
            </w:r>
          </w:p>
        </w:tc>
        <w:tc>
          <w:tcPr>
            <w:tcW w:w="1985" w:type="dxa"/>
            <w:tcBorders>
              <w:left w:val="nil"/>
              <w:bottom w:val="nil"/>
              <w:right w:val="nil"/>
            </w:tcBorders>
            <w:shd w:val="clear" w:color="auto" w:fill="auto"/>
            <w:hideMark/>
          </w:tcPr>
          <w:p w14:paraId="24270EF1" w14:textId="77777777" w:rsidR="002F0740" w:rsidRPr="002C21B8" w:rsidRDefault="002F0740" w:rsidP="00D418D8">
            <w:pPr>
              <w:spacing w:beforeLines="20" w:before="48" w:afterLines="20" w:after="48" w:line="240" w:lineRule="auto"/>
              <w:rPr>
                <w:sz w:val="18"/>
                <w:szCs w:val="18"/>
              </w:rPr>
            </w:pPr>
            <w:r w:rsidRPr="002C21B8">
              <w:rPr>
                <w:sz w:val="18"/>
                <w:szCs w:val="18"/>
              </w:rPr>
              <w:t>Likely</w:t>
            </w:r>
          </w:p>
        </w:tc>
        <w:tc>
          <w:tcPr>
            <w:tcW w:w="2835" w:type="dxa"/>
            <w:tcBorders>
              <w:left w:val="nil"/>
              <w:bottom w:val="nil"/>
              <w:right w:val="nil"/>
            </w:tcBorders>
            <w:shd w:val="clear" w:color="auto" w:fill="auto"/>
            <w:noWrap/>
            <w:hideMark/>
          </w:tcPr>
          <w:p w14:paraId="097504C7" w14:textId="0455146A" w:rsidR="002F0740" w:rsidRPr="002C21B8" w:rsidRDefault="002F0740" w:rsidP="00D418D8">
            <w:pPr>
              <w:spacing w:beforeLines="20" w:before="48" w:afterLines="20" w:after="48" w:line="240" w:lineRule="auto"/>
              <w:rPr>
                <w:sz w:val="18"/>
                <w:szCs w:val="18"/>
              </w:rPr>
            </w:pPr>
            <w:r w:rsidRPr="002C21B8">
              <w:rPr>
                <w:sz w:val="18"/>
                <w:szCs w:val="18"/>
              </w:rPr>
              <w:fldChar w:fldCharType="begin">
                <w:fldData xml:space="preserve">PEVuZE5vdGU+PENpdGU+PEF1dGhvcj5Qcml0Y2hldHQ8L0F1dGhvcj48WWVhcj4yMDIwPC9ZZWFy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=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PEVuZE5vdGU+PENpdGU+PEF1dGhvcj5Qcml0Y2hldHQ8L0F1dGhvcj48WWVhcj4yMDIwPC9ZZWFy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=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Ng</w:t>
            </w:r>
            <w:r w:rsidRPr="002C21B8">
              <w:rPr>
                <w:i/>
                <w:noProof/>
                <w:sz w:val="18"/>
                <w:szCs w:val="18"/>
              </w:rPr>
              <w:t xml:space="preserve"> et al.</w:t>
            </w:r>
            <w:r w:rsidRPr="002C21B8">
              <w:rPr>
                <w:noProof/>
                <w:sz w:val="18"/>
                <w:szCs w:val="18"/>
              </w:rPr>
              <w:t>, 2015; Pritchett</w:t>
            </w:r>
            <w:r w:rsidRPr="002C21B8">
              <w:rPr>
                <w:i/>
                <w:noProof/>
                <w:sz w:val="18"/>
                <w:szCs w:val="18"/>
              </w:rPr>
              <w:t xml:space="preserve"> et al.</w:t>
            </w:r>
            <w:r w:rsidRPr="002C21B8">
              <w:rPr>
                <w:noProof/>
                <w:sz w:val="18"/>
                <w:szCs w:val="18"/>
              </w:rPr>
              <w:t>, 2020; Rushforth</w:t>
            </w:r>
            <w:r w:rsidRPr="002C21B8">
              <w:rPr>
                <w:i/>
                <w:noProof/>
                <w:sz w:val="18"/>
                <w:szCs w:val="18"/>
              </w:rPr>
              <w:t xml:space="preserve"> et al.</w:t>
            </w:r>
            <w:r w:rsidRPr="002C21B8">
              <w:rPr>
                <w:noProof/>
                <w:sz w:val="18"/>
                <w:szCs w:val="18"/>
              </w:rPr>
              <w:t>, 2016)</w:t>
            </w:r>
            <w:r w:rsidRPr="002C21B8">
              <w:rPr>
                <w:sz w:val="18"/>
                <w:szCs w:val="18"/>
              </w:rPr>
              <w:fldChar w:fldCharType="end"/>
            </w:r>
          </w:p>
        </w:tc>
      </w:tr>
      <w:tr w:rsidR="002F0740" w:rsidRPr="002C21B8" w14:paraId="0DC44541" w14:textId="77777777" w:rsidTr="00EB0FFD">
        <w:trPr>
          <w:trHeight w:val="740"/>
        </w:trPr>
        <w:tc>
          <w:tcPr>
            <w:tcW w:w="6804" w:type="dxa"/>
            <w:tcBorders>
              <w:top w:val="nil"/>
              <w:left w:val="nil"/>
              <w:bottom w:val="nil"/>
              <w:right w:val="nil"/>
            </w:tcBorders>
            <w:shd w:val="clear" w:color="auto" w:fill="auto"/>
            <w:noWrap/>
            <w:hideMark/>
          </w:tcPr>
          <w:p w14:paraId="159952F7"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5.2 Assumptions about patient preferences:</w:t>
            </w:r>
            <w:r w:rsidRPr="002C21B8">
              <w:rPr>
                <w:sz w:val="18"/>
                <w:szCs w:val="18"/>
              </w:rPr>
              <w:t xml:space="preserve"> Assumptions can lead to unequal patient involvement in decisions.</w:t>
            </w:r>
          </w:p>
        </w:tc>
        <w:tc>
          <w:tcPr>
            <w:tcW w:w="2268" w:type="dxa"/>
            <w:tcBorders>
              <w:top w:val="nil"/>
              <w:left w:val="nil"/>
              <w:bottom w:val="nil"/>
              <w:right w:val="nil"/>
            </w:tcBorders>
            <w:shd w:val="clear" w:color="auto" w:fill="auto"/>
            <w:noWrap/>
            <w:hideMark/>
          </w:tcPr>
          <w:p w14:paraId="3610973C" w14:textId="77777777" w:rsidR="002F0740" w:rsidRPr="002C21B8" w:rsidRDefault="002F0740" w:rsidP="00D418D8">
            <w:pPr>
              <w:spacing w:beforeLines="20" w:before="48" w:afterLines="20" w:after="48" w:line="240" w:lineRule="auto"/>
              <w:rPr>
                <w:sz w:val="18"/>
                <w:szCs w:val="18"/>
              </w:rPr>
            </w:pPr>
            <w:r w:rsidRPr="002C21B8">
              <w:rPr>
                <w:sz w:val="18"/>
                <w:szCs w:val="18"/>
              </w:rPr>
              <w:t>High</w:t>
            </w:r>
          </w:p>
        </w:tc>
        <w:tc>
          <w:tcPr>
            <w:tcW w:w="1985" w:type="dxa"/>
            <w:tcBorders>
              <w:top w:val="nil"/>
              <w:left w:val="nil"/>
              <w:bottom w:val="nil"/>
              <w:right w:val="nil"/>
            </w:tcBorders>
            <w:shd w:val="clear" w:color="auto" w:fill="auto"/>
            <w:hideMark/>
          </w:tcPr>
          <w:p w14:paraId="3586B9E8" w14:textId="77777777" w:rsidR="002F0740" w:rsidRPr="002C21B8" w:rsidRDefault="002F0740" w:rsidP="00D418D8">
            <w:pPr>
              <w:spacing w:beforeLines="20" w:before="48" w:afterLines="20" w:after="48" w:line="240" w:lineRule="auto"/>
              <w:rPr>
                <w:sz w:val="18"/>
                <w:szCs w:val="18"/>
              </w:rPr>
            </w:pPr>
            <w:r w:rsidRPr="002C21B8">
              <w:rPr>
                <w:sz w:val="18"/>
                <w:szCs w:val="18"/>
              </w:rPr>
              <w:t>Highly likely</w:t>
            </w:r>
          </w:p>
        </w:tc>
        <w:tc>
          <w:tcPr>
            <w:tcW w:w="2835" w:type="dxa"/>
            <w:tcBorders>
              <w:top w:val="nil"/>
              <w:left w:val="nil"/>
              <w:bottom w:val="nil"/>
              <w:right w:val="nil"/>
            </w:tcBorders>
            <w:shd w:val="clear" w:color="auto" w:fill="auto"/>
            <w:noWrap/>
            <w:hideMark/>
          </w:tcPr>
          <w:p w14:paraId="0C96BC58" w14:textId="76E244AB" w:rsidR="002F0740" w:rsidRPr="002C21B8" w:rsidRDefault="002F0740" w:rsidP="00D418D8">
            <w:pPr>
              <w:spacing w:beforeLines="20" w:before="48" w:afterLines="20" w:after="48" w:line="240" w:lineRule="auto"/>
              <w:rPr>
                <w:sz w:val="18"/>
                <w:szCs w:val="18"/>
              </w:rPr>
            </w:pPr>
            <w:r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SnU8c3R5bGUgZmFjZT0iaXRhbGljIj4gZXQgYWwuPC9zdHlsZT4sIDIwMTg7IEtoYXRpYjxzdHls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==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PEVuZE5vdGU+PENpdGU+PEF1dGhvcj5CeXJuZTwvQXV0aG9yPjxZZWFyPjIwMjI8L1llYXI+PFJl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==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(Bin Rsheed and Chenoweth, 2017; Byrne</w:t>
            </w:r>
            <w:r w:rsidRPr="002C21B8">
              <w:rPr>
                <w:i/>
                <w:noProof/>
                <w:sz w:val="18"/>
                <w:szCs w:val="18"/>
              </w:rPr>
              <w:t xml:space="preserve"> et al.</w:t>
            </w:r>
            <w:r w:rsidRPr="002C21B8">
              <w:rPr>
                <w:noProof/>
                <w:sz w:val="18"/>
                <w:szCs w:val="18"/>
              </w:rPr>
              <w:t>, 2022; Ju</w:t>
            </w:r>
            <w:r w:rsidRPr="002C21B8">
              <w:rPr>
                <w:i/>
                <w:noProof/>
                <w:sz w:val="18"/>
                <w:szCs w:val="18"/>
              </w:rPr>
              <w:t xml:space="preserve"> et al.</w:t>
            </w:r>
            <w:r w:rsidRPr="002C21B8">
              <w:rPr>
                <w:noProof/>
                <w:sz w:val="18"/>
                <w:szCs w:val="18"/>
              </w:rPr>
              <w:t>, 2018; Khatib</w:t>
            </w:r>
            <w:r w:rsidRPr="002C21B8">
              <w:rPr>
                <w:i/>
                <w:noProof/>
                <w:sz w:val="18"/>
                <w:szCs w:val="18"/>
              </w:rPr>
              <w:t xml:space="preserve"> et al.</w:t>
            </w:r>
            <w:r w:rsidRPr="002C21B8">
              <w:rPr>
                <w:noProof/>
                <w:sz w:val="18"/>
                <w:szCs w:val="18"/>
              </w:rPr>
              <w:t>, 2014; Lalor</w:t>
            </w:r>
            <w:r w:rsidRPr="002C21B8">
              <w:rPr>
                <w:i/>
                <w:noProof/>
                <w:sz w:val="18"/>
                <w:szCs w:val="18"/>
              </w:rPr>
              <w:t xml:space="preserve"> et al.</w:t>
            </w:r>
            <w:r w:rsidRPr="002C21B8">
              <w:rPr>
                <w:noProof/>
                <w:sz w:val="18"/>
                <w:szCs w:val="18"/>
              </w:rPr>
              <w:t>, 2022; Pritchett</w:t>
            </w:r>
            <w:r w:rsidRPr="002C21B8">
              <w:rPr>
                <w:i/>
                <w:noProof/>
                <w:sz w:val="18"/>
                <w:szCs w:val="18"/>
              </w:rPr>
              <w:t xml:space="preserve"> et al.</w:t>
            </w:r>
            <w:r w:rsidRPr="002C21B8">
              <w:rPr>
                <w:noProof/>
                <w:sz w:val="18"/>
                <w:szCs w:val="18"/>
              </w:rPr>
              <w:t>, 2020; Qadi</w:t>
            </w:r>
            <w:r w:rsidRPr="002C21B8">
              <w:rPr>
                <w:i/>
                <w:noProof/>
                <w:sz w:val="18"/>
                <w:szCs w:val="18"/>
              </w:rPr>
              <w:t xml:space="preserve"> et al.</w:t>
            </w:r>
            <w:r w:rsidRPr="002C21B8">
              <w:rPr>
                <w:noProof/>
                <w:sz w:val="18"/>
                <w:szCs w:val="18"/>
              </w:rPr>
              <w:t>, 2020; Rushforth</w:t>
            </w:r>
            <w:r w:rsidRPr="002C21B8">
              <w:rPr>
                <w:i/>
                <w:noProof/>
                <w:sz w:val="18"/>
                <w:szCs w:val="18"/>
              </w:rPr>
              <w:t xml:space="preserve"> et al.</w:t>
            </w:r>
            <w:r w:rsidRPr="002C21B8">
              <w:rPr>
                <w:noProof/>
                <w:sz w:val="18"/>
                <w:szCs w:val="18"/>
              </w:rPr>
              <w:t>, 2016)</w:t>
            </w:r>
            <w:r w:rsidRPr="002C21B8">
              <w:rPr>
                <w:sz w:val="18"/>
                <w:szCs w:val="18"/>
              </w:rPr>
              <w:fldChar w:fldCharType="end"/>
            </w:r>
          </w:p>
        </w:tc>
      </w:tr>
      <w:tr w:rsidR="002F0740" w:rsidRPr="002C21B8" w14:paraId="2C908731" w14:textId="77777777" w:rsidTr="00EB0FFD">
        <w:trPr>
          <w:trHeight w:val="129"/>
        </w:trPr>
        <w:tc>
          <w:tcPr>
            <w:tcW w:w="6804" w:type="dxa"/>
            <w:tcBorders>
              <w:top w:val="nil"/>
              <w:left w:val="nil"/>
              <w:bottom w:val="single" w:sz="6" w:space="0" w:color="000000" w:themeColor="text1"/>
              <w:right w:val="nil"/>
            </w:tcBorders>
            <w:shd w:val="clear" w:color="auto" w:fill="auto"/>
            <w:noWrap/>
            <w:hideMark/>
          </w:tcPr>
          <w:p w14:paraId="3DA17474"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5.3 Active requests:</w:t>
            </w:r>
            <w:r w:rsidRPr="002C21B8">
              <w:rPr>
                <w:sz w:val="18"/>
                <w:szCs w:val="18"/>
              </w:rPr>
              <w:t xml:space="preserve"> Patient requests can influence prescribing, benefiting those with better health literacy.</w:t>
            </w:r>
          </w:p>
        </w:tc>
        <w:tc>
          <w:tcPr>
            <w:tcW w:w="2268" w:type="dxa"/>
            <w:tcBorders>
              <w:top w:val="nil"/>
              <w:left w:val="nil"/>
              <w:bottom w:val="single" w:sz="6" w:space="0" w:color="000000" w:themeColor="text1"/>
              <w:right w:val="nil"/>
            </w:tcBorders>
            <w:shd w:val="clear" w:color="auto" w:fill="auto"/>
            <w:noWrap/>
            <w:hideMark/>
          </w:tcPr>
          <w:p w14:paraId="75FD5590" w14:textId="77777777" w:rsidR="002F0740" w:rsidRPr="002C21B8" w:rsidRDefault="002F0740" w:rsidP="00D418D8">
            <w:pPr>
              <w:spacing w:beforeLines="20" w:before="48" w:afterLines="20" w:after="48" w:line="240" w:lineRule="auto"/>
              <w:rPr>
                <w:sz w:val="18"/>
                <w:szCs w:val="18"/>
              </w:rPr>
            </w:pPr>
            <w:r w:rsidRPr="002C21B8">
              <w:rPr>
                <w:sz w:val="18"/>
                <w:szCs w:val="18"/>
              </w:rPr>
              <w:t>Moderate</w:t>
            </w:r>
          </w:p>
        </w:tc>
        <w:tc>
          <w:tcPr>
            <w:tcW w:w="1985" w:type="dxa"/>
            <w:tcBorders>
              <w:top w:val="nil"/>
              <w:left w:val="nil"/>
              <w:bottom w:val="single" w:sz="6" w:space="0" w:color="000000" w:themeColor="text1"/>
              <w:right w:val="nil"/>
            </w:tcBorders>
            <w:shd w:val="clear" w:color="auto" w:fill="auto"/>
            <w:hideMark/>
          </w:tcPr>
          <w:p w14:paraId="12C863D6" w14:textId="77777777" w:rsidR="002F0740" w:rsidRPr="002C21B8" w:rsidRDefault="002F0740" w:rsidP="00D418D8">
            <w:pPr>
              <w:spacing w:beforeLines="20" w:before="48" w:afterLines="20" w:after="48" w:line="240" w:lineRule="auto"/>
              <w:rPr>
                <w:sz w:val="18"/>
                <w:szCs w:val="18"/>
              </w:rPr>
            </w:pPr>
            <w:r w:rsidRPr="002C21B8">
              <w:rPr>
                <w:sz w:val="18"/>
                <w:szCs w:val="18"/>
              </w:rPr>
              <w:t>Likely</w:t>
            </w:r>
          </w:p>
        </w:tc>
        <w:tc>
          <w:tcPr>
            <w:tcW w:w="2835" w:type="dxa"/>
            <w:tcBorders>
              <w:top w:val="nil"/>
              <w:left w:val="nil"/>
              <w:bottom w:val="single" w:sz="6" w:space="0" w:color="000000" w:themeColor="text1"/>
              <w:right w:val="nil"/>
            </w:tcBorders>
            <w:shd w:val="clear" w:color="auto" w:fill="auto"/>
            <w:noWrap/>
            <w:hideMark/>
          </w:tcPr>
          <w:p w14:paraId="2CAAB939" w14:textId="3D4C5626" w:rsidR="002F0740" w:rsidRPr="002C21B8" w:rsidRDefault="002F0740" w:rsidP="00D418D8">
            <w:pPr>
              <w:spacing w:beforeLines="20" w:before="48" w:afterLines="20" w:after="48" w:line="240" w:lineRule="auto"/>
              <w:rPr>
                <w:sz w:val="18"/>
                <w:szCs w:val="18"/>
                <w:lang w:val="fr-FR"/>
              </w:rPr>
            </w:pPr>
            <w:r w:rsidRPr="002C21B8">
              <w:rPr>
                <w:sz w:val="18"/>
                <w:szCs w:val="18"/>
              </w:rPr>
              <w:fldChar w:fldCharType="begin">
                <w:fldData xml:space="preserve">PEVuZE5vdGU+PENpdGU+PEF1dGhvcj5MYWxvcjwvQXV0aG9yPjxZZWFyPjIwMjI8L1llYXI+PFJl
Y051bT4xNTIxNDwvUmVjTnVtPjxEaXNwbGF5VGV4dD4oSnU8c3R5bGUgZmFjZT0iaXRhbGljIj4g
ZXQgYWwuPC9zdHlsZT4sIDIwMTg7IExhbG9yPHN0eWxlIGZhY2U9Iml0YWxpYyI+IGV0IGFsLjwv
c3R5bGU+LCAyMDIyOyBPcmF5aiBhbmQgTGFuZSwgMjAxOSk8L0Rpc3BsYXlUZXh0PjxyZWNvcmQ+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ZWNvcmQ+PC9DaXRlPjxDaXRlPjxBdXRob3I+T3JheWo8L0F1dGhvcj48WWVhcj4yMDE5PC9ZZWFy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</w:fldData>
              </w:fldChar>
            </w:r>
            <w:r w:rsidR="00455B2B" w:rsidRPr="002C21B8">
              <w:rPr>
                <w:sz w:val="18"/>
                <w:szCs w:val="18"/>
              </w:rPr>
              <w:instrText xml:space="preserve"> ADDIN EN.CITE </w:instrText>
            </w:r>
            <w:r w:rsidR="00455B2B" w:rsidRPr="002C21B8">
              <w:rPr>
                <w:sz w:val="18"/>
                <w:szCs w:val="18"/>
              </w:rPr>
              <w:fldChar w:fldCharType="begin">
                <w:fldData xml:space="preserve">PEVuZE5vdGU+PENpdGU+PEF1dGhvcj5MYWxvcjwvQXV0aG9yPjxZZWFyPjIwMjI8L1llYXI+PFJl
Y051bT4xNTIxNDwvUmVjTnVtPjxEaXNwbGF5VGV4dD4oSnU8c3R5bGUgZmFjZT0iaXRhbGljIj4g
ZXQgYWwuPC9zdHlsZT4sIDIwMTg7IExhbG9yPHN0eWxlIGZhY2U9Iml0YWxpYyI+IGV0IGFsLjwv
c3R5bGU+LCAyMDIyOyBPcmF5aiBhbmQgTGFuZSwgMjAxOSk8L0Rpc3BsYXlUZXh0PjxyZWNvcmQ+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ZWNvcmQ+PC9DaXRlPjxDaXRlPjxBdXRob3I+T3JheWo8L0F1dGhvcj48WWVhcj4yMDE5PC9ZZWFy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</w:fldData>
              </w:fldChar>
            </w:r>
            <w:r w:rsidR="00455B2B" w:rsidRPr="002C21B8">
              <w:rPr>
                <w:sz w:val="18"/>
                <w:szCs w:val="18"/>
              </w:rPr>
              <w:instrText xml:space="preserve"> ADDIN EN.CITE.DATA </w:instrText>
            </w:r>
            <w:r w:rsidR="00455B2B" w:rsidRPr="002C21B8">
              <w:rPr>
                <w:sz w:val="18"/>
                <w:szCs w:val="18"/>
              </w:rPr>
            </w:r>
            <w:r w:rsidR="00455B2B"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(Ju</w:t>
            </w:r>
            <w:r w:rsidRPr="002C21B8">
              <w:rPr>
                <w:i/>
                <w:noProof/>
                <w:sz w:val="18"/>
                <w:szCs w:val="18"/>
                <w:lang w:val="fr-FR"/>
              </w:rPr>
              <w:t xml:space="preserve"> et al.</w:t>
            </w:r>
            <w:r w:rsidRPr="002C21B8">
              <w:rPr>
                <w:noProof/>
                <w:sz w:val="18"/>
                <w:szCs w:val="18"/>
                <w:lang w:val="fr-FR"/>
              </w:rPr>
              <w:t>, 2018; Lalor</w:t>
            </w:r>
            <w:r w:rsidRPr="002C21B8">
              <w:rPr>
                <w:i/>
                <w:noProof/>
                <w:sz w:val="18"/>
                <w:szCs w:val="18"/>
                <w:lang w:val="fr-FR"/>
              </w:rPr>
              <w:t xml:space="preserve"> et al.</w:t>
            </w:r>
            <w:r w:rsidRPr="002C21B8">
              <w:rPr>
                <w:noProof/>
                <w:sz w:val="18"/>
                <w:szCs w:val="18"/>
                <w:lang w:val="fr-FR"/>
              </w:rPr>
              <w:t>, 2022; Orayj and Lane, 2019)</w:t>
            </w:r>
            <w:r w:rsidRPr="002C21B8">
              <w:rPr>
                <w:sz w:val="18"/>
                <w:szCs w:val="18"/>
              </w:rPr>
              <w:fldChar w:fldCharType="end"/>
            </w:r>
          </w:p>
        </w:tc>
      </w:tr>
      <w:tr w:rsidR="002F0740" w:rsidRPr="002C21B8" w14:paraId="56CA2095" w14:textId="77777777" w:rsidTr="006B7636">
        <w:trPr>
          <w:trHeight w:val="340"/>
        </w:trPr>
        <w:tc>
          <w:tcPr>
            <w:tcW w:w="13892" w:type="dxa"/>
            <w:gridSpan w:val="4"/>
            <w:tcBorders>
              <w:top w:val="single" w:sz="6" w:space="0" w:color="000000" w:themeColor="text1"/>
              <w:left w:val="nil"/>
              <w:right w:val="nil"/>
            </w:tcBorders>
            <w:shd w:val="clear" w:color="auto" w:fill="F2F2F2" w:themeFill="background1" w:themeFillShade="F2"/>
            <w:noWrap/>
            <w:hideMark/>
          </w:tcPr>
          <w:p w14:paraId="3F9F2137" w14:textId="77777777" w:rsidR="002F0740" w:rsidRPr="002C21B8" w:rsidRDefault="002F0740" w:rsidP="00D418D8">
            <w:pPr>
              <w:spacing w:beforeLines="20" w:before="48" w:afterLines="20" w:after="48" w:line="240" w:lineRule="auto"/>
              <w:rPr>
                <w:b/>
                <w:bCs/>
                <w:sz w:val="20"/>
                <w:szCs w:val="20"/>
              </w:rPr>
            </w:pPr>
            <w:r w:rsidRPr="002C21B8">
              <w:rPr>
                <w:b/>
                <w:bCs/>
                <w:sz w:val="20"/>
                <w:szCs w:val="20"/>
              </w:rPr>
              <w:t xml:space="preserve">6. External factors </w:t>
            </w:r>
          </w:p>
        </w:tc>
      </w:tr>
      <w:tr w:rsidR="002F0740" w:rsidRPr="002C21B8" w14:paraId="7D315BAC" w14:textId="77777777" w:rsidTr="00EB0FFD">
        <w:trPr>
          <w:trHeight w:val="129"/>
        </w:trPr>
        <w:tc>
          <w:tcPr>
            <w:tcW w:w="6804" w:type="dxa"/>
            <w:tcBorders>
              <w:left w:val="nil"/>
              <w:bottom w:val="nil"/>
              <w:right w:val="nil"/>
            </w:tcBorders>
            <w:shd w:val="clear" w:color="auto" w:fill="auto"/>
            <w:noWrap/>
            <w:hideMark/>
          </w:tcPr>
          <w:p w14:paraId="2350D9A9"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 xml:space="preserve">6.1 Sales and marketing: </w:t>
            </w:r>
            <w:r w:rsidRPr="002C21B8">
              <w:rPr>
                <w:sz w:val="18"/>
                <w:szCs w:val="18"/>
              </w:rPr>
              <w:t>Pharmaceutical payments can influence prescribing decisions.</w:t>
            </w:r>
          </w:p>
        </w:tc>
        <w:tc>
          <w:tcPr>
            <w:tcW w:w="2268" w:type="dxa"/>
            <w:tcBorders>
              <w:left w:val="nil"/>
              <w:bottom w:val="nil"/>
              <w:right w:val="nil"/>
            </w:tcBorders>
            <w:shd w:val="clear" w:color="auto" w:fill="auto"/>
            <w:noWrap/>
            <w:hideMark/>
          </w:tcPr>
          <w:p w14:paraId="6FBAE097" w14:textId="77777777" w:rsidR="002F0740" w:rsidRPr="002C21B8" w:rsidRDefault="002F0740" w:rsidP="00D418D8">
            <w:pPr>
              <w:spacing w:beforeLines="20" w:before="48" w:afterLines="20" w:after="48" w:line="240" w:lineRule="auto"/>
              <w:rPr>
                <w:sz w:val="18"/>
                <w:szCs w:val="18"/>
              </w:rPr>
            </w:pPr>
            <w:r w:rsidRPr="002C21B8">
              <w:rPr>
                <w:sz w:val="18"/>
                <w:szCs w:val="18"/>
              </w:rPr>
              <w:t>Very low</w:t>
            </w:r>
          </w:p>
        </w:tc>
        <w:tc>
          <w:tcPr>
            <w:tcW w:w="1985" w:type="dxa"/>
            <w:tcBorders>
              <w:left w:val="nil"/>
              <w:bottom w:val="nil"/>
              <w:right w:val="nil"/>
            </w:tcBorders>
            <w:shd w:val="clear" w:color="auto" w:fill="auto"/>
            <w:hideMark/>
          </w:tcPr>
          <w:p w14:paraId="6F46E389" w14:textId="77777777" w:rsidR="002F0740" w:rsidRPr="002C21B8" w:rsidRDefault="002F0740" w:rsidP="00D418D8">
            <w:pPr>
              <w:spacing w:beforeLines="20" w:before="48" w:afterLines="20" w:after="48" w:line="240" w:lineRule="auto"/>
              <w:rPr>
                <w:sz w:val="18"/>
                <w:szCs w:val="18"/>
              </w:rPr>
            </w:pPr>
            <w:r w:rsidRPr="002C21B8">
              <w:rPr>
                <w:sz w:val="18"/>
                <w:szCs w:val="18"/>
              </w:rPr>
              <w:t>Unclear</w:t>
            </w:r>
          </w:p>
        </w:tc>
        <w:tc>
          <w:tcPr>
            <w:tcW w:w="2835" w:type="dxa"/>
            <w:tcBorders>
              <w:left w:val="nil"/>
              <w:bottom w:val="nil"/>
              <w:right w:val="nil"/>
            </w:tcBorders>
            <w:shd w:val="clear" w:color="auto" w:fill="auto"/>
            <w:noWrap/>
            <w:hideMark/>
          </w:tcPr>
          <w:p w14:paraId="0D93E127" w14:textId="77777777" w:rsidR="002F0740" w:rsidRPr="002C21B8" w:rsidRDefault="002F0740" w:rsidP="00D418D8">
            <w:pPr>
              <w:spacing w:beforeLines="20" w:before="48" w:afterLines="20" w:after="48" w:line="240" w:lineRule="auto"/>
              <w:rPr>
                <w:sz w:val="18"/>
                <w:szCs w:val="18"/>
              </w:rPr>
            </w:pPr>
            <w:r w:rsidRPr="002C21B8">
              <w:rPr>
                <w:sz w:val="18"/>
                <w:szCs w:val="18"/>
              </w:rPr>
              <w:fldChar w:fldCharType="begin"/>
            </w:r>
            <w:r w:rsidRPr="002C21B8">
              <w:rPr>
                <w:sz w:val="18"/>
                <w:szCs w:val="18"/>
              </w:rPr>
              <w:instrText xml:space="preserve"> ADDIN EN.CITE &lt;EndNote&gt;&lt;Cite&gt;&lt;Author&gt;Pokorny&lt;/Author&gt;&lt;Year&gt;2022&lt;/Year&gt;&lt;RecNum&gt;15236&lt;/RecNum&gt;&lt;DisplayText&gt;(Pokorny&lt;style face="italic"&gt; et al.&lt;/style&gt;, 2022)&lt;/DisplayText&gt;&lt;record&gt;&lt;rec-number&gt;15236&lt;/rec-number&gt;&lt;foreign-keys&gt;&lt;key app="EN" db-id="xpefzwa5hf9dt2ea9fax95x7xvxz90v09dtf" timestamp="1713540942"&gt;15236&lt;/key&gt;&lt;/foreign-keys&gt;&lt;ref-type name="Journal Article"&gt;17&lt;/ref-type&gt;&lt;contributors&gt;&lt;authors&gt;&lt;author&gt;Pokorny, Adrian MJ&lt;/author&gt;&lt;author&gt;Fabbri, Alice&lt;/author&gt;&lt;author&gt;Bero, Lisa A&lt;/author&gt;&lt;author&gt;Moynihan, Ray&lt;/author&gt;&lt;author&gt;Mintzes, Barbara J&lt;/author&gt;&lt;/authors&gt;&lt;/contributors&gt;&lt;titles&gt;&lt;title&gt;Interactions with the pharmaceutical industry and the practice, knowledge and beliefs of medical oncologists and clinical haematologists: a systematic review&lt;/title&gt;&lt;secondary-title&gt;British Journal of Cancer&lt;/secondary-title&gt;&lt;/titles&gt;&lt;periodical&gt;&lt;full-title&gt;British Journal of Cancer&lt;/full-title&gt;&lt;/periodical&gt;&lt;pages&gt;144-161&lt;/pages&gt;&lt;volume&gt;126&lt;/volume&gt;&lt;number&gt;1&lt;/number&gt;&lt;dates&gt;&lt;year&gt;2022&lt;/year&gt;&lt;/dates&gt;&lt;isbn&gt;0007-0920&lt;/isbn&gt;&lt;urls&gt;&lt;/urls&gt;&lt;/record&gt;&lt;/Cite&gt;&lt;/EndNote&gt;</w:instrText>
            </w:r>
            <w:r w:rsidRPr="002C21B8">
              <w:rPr>
                <w:sz w:val="18"/>
                <w:szCs w:val="18"/>
              </w:rPr>
              <w:fldChar w:fldCharType="separate"/>
            </w:r>
            <w:r w:rsidRPr="002C21B8">
              <w:rPr>
                <w:sz w:val="18"/>
                <w:szCs w:val="18"/>
              </w:rPr>
              <w:t>(Pokorny</w:t>
            </w:r>
            <w:r w:rsidRPr="002C21B8">
              <w:rPr>
                <w:i/>
                <w:sz w:val="18"/>
                <w:szCs w:val="18"/>
              </w:rPr>
              <w:t xml:space="preserve"> et al.</w:t>
            </w:r>
            <w:r w:rsidRPr="002C21B8">
              <w:rPr>
                <w:sz w:val="18"/>
                <w:szCs w:val="18"/>
              </w:rPr>
              <w:t>, 2022)</w:t>
            </w:r>
            <w:r w:rsidRPr="002C21B8">
              <w:rPr>
                <w:sz w:val="18"/>
                <w:szCs w:val="18"/>
              </w:rPr>
              <w:fldChar w:fldCharType="end"/>
            </w:r>
          </w:p>
        </w:tc>
      </w:tr>
      <w:tr w:rsidR="002F0740" w:rsidRPr="002C21B8" w14:paraId="0FF1C3FF" w14:textId="77777777" w:rsidTr="00EB0FFD">
        <w:trPr>
          <w:trHeight w:val="129"/>
        </w:trPr>
        <w:tc>
          <w:tcPr>
            <w:tcW w:w="6804" w:type="dxa"/>
            <w:tcBorders>
              <w:top w:val="nil"/>
              <w:left w:val="nil"/>
              <w:right w:val="nil"/>
            </w:tcBorders>
            <w:shd w:val="clear" w:color="auto" w:fill="auto"/>
            <w:noWrap/>
            <w:hideMark/>
          </w:tcPr>
          <w:p w14:paraId="6996D2C3"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6.2 Guidelines availability:</w:t>
            </w:r>
            <w:r w:rsidRPr="002C21B8">
              <w:rPr>
                <w:sz w:val="18"/>
                <w:szCs w:val="18"/>
              </w:rPr>
              <w:t xml:space="preserve"> Availability of guidelines positively affects prescribing.</w:t>
            </w:r>
          </w:p>
        </w:tc>
        <w:tc>
          <w:tcPr>
            <w:tcW w:w="2268" w:type="dxa"/>
            <w:tcBorders>
              <w:top w:val="nil"/>
              <w:left w:val="nil"/>
              <w:right w:val="nil"/>
            </w:tcBorders>
            <w:shd w:val="clear" w:color="auto" w:fill="auto"/>
            <w:noWrap/>
            <w:hideMark/>
          </w:tcPr>
          <w:p w14:paraId="5A2077A7" w14:textId="77777777" w:rsidR="002F0740" w:rsidRPr="002C21B8" w:rsidRDefault="002F0740" w:rsidP="00D418D8">
            <w:pPr>
              <w:spacing w:beforeLines="20" w:before="48" w:afterLines="20" w:after="48" w:line="240" w:lineRule="auto"/>
              <w:rPr>
                <w:sz w:val="18"/>
                <w:szCs w:val="18"/>
              </w:rPr>
            </w:pPr>
            <w:r w:rsidRPr="002C21B8">
              <w:rPr>
                <w:sz w:val="18"/>
                <w:szCs w:val="18"/>
              </w:rPr>
              <w:t>Moderate</w:t>
            </w:r>
          </w:p>
        </w:tc>
        <w:tc>
          <w:tcPr>
            <w:tcW w:w="1985" w:type="dxa"/>
            <w:tcBorders>
              <w:top w:val="nil"/>
              <w:left w:val="nil"/>
              <w:right w:val="nil"/>
            </w:tcBorders>
            <w:shd w:val="clear" w:color="auto" w:fill="auto"/>
            <w:hideMark/>
          </w:tcPr>
          <w:p w14:paraId="2A9B2254" w14:textId="77777777" w:rsidR="002F0740" w:rsidRPr="002C21B8" w:rsidRDefault="002F0740" w:rsidP="00D418D8">
            <w:pPr>
              <w:spacing w:beforeLines="20" w:before="48" w:afterLines="20" w:after="48" w:line="240" w:lineRule="auto"/>
              <w:rPr>
                <w:sz w:val="18"/>
                <w:szCs w:val="18"/>
              </w:rPr>
            </w:pPr>
            <w:r w:rsidRPr="002C21B8">
              <w:rPr>
                <w:sz w:val="18"/>
                <w:szCs w:val="18"/>
              </w:rPr>
              <w:t>Likely</w:t>
            </w:r>
          </w:p>
        </w:tc>
        <w:tc>
          <w:tcPr>
            <w:tcW w:w="2835" w:type="dxa"/>
            <w:tcBorders>
              <w:top w:val="nil"/>
              <w:left w:val="nil"/>
              <w:right w:val="nil"/>
            </w:tcBorders>
            <w:shd w:val="clear" w:color="auto" w:fill="auto"/>
            <w:noWrap/>
            <w:hideMark/>
          </w:tcPr>
          <w:p w14:paraId="1C80B022" w14:textId="3D8289D6" w:rsidR="002F0740" w:rsidRPr="002C21B8" w:rsidRDefault="002F0740" w:rsidP="00D418D8">
            <w:pPr>
              <w:spacing w:beforeLines="20" w:before="48" w:afterLines="20" w:after="48" w:line="240" w:lineRule="auto"/>
              <w:rPr>
                <w:sz w:val="18"/>
                <w:szCs w:val="18"/>
                <w:lang w:val="fr-FR"/>
              </w:rPr>
            </w:pPr>
            <w:r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IGFsLjwvc3R5bGU+LCAyMDIxOyBQcml0Y2hldHQ8c3R5bGUgZmFjZT0iaXRhbGljIj4gZXQgYWwu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=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IGFsLjwvc3R5bGU+LCAyMDIxOyBQcml0Y2hldHQ8c3R5bGUgZmFjZT0iaXRhbGljIj4gZXQgYWwu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=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(Byrne</w:t>
            </w:r>
            <w:r w:rsidRPr="002C21B8">
              <w:rPr>
                <w:i/>
                <w:noProof/>
                <w:sz w:val="18"/>
                <w:szCs w:val="18"/>
                <w:lang w:val="fr-FR"/>
              </w:rPr>
              <w:t xml:space="preserve"> et al.</w:t>
            </w:r>
            <w:r w:rsidRPr="002C21B8">
              <w:rPr>
                <w:noProof/>
                <w:sz w:val="18"/>
                <w:szCs w:val="18"/>
                <w:lang w:val="fr-FR"/>
              </w:rPr>
              <w:t>, 2022; Dhungana</w:t>
            </w:r>
            <w:r w:rsidRPr="002C21B8">
              <w:rPr>
                <w:i/>
                <w:noProof/>
                <w:sz w:val="18"/>
                <w:szCs w:val="18"/>
                <w:lang w:val="fr-FR"/>
              </w:rPr>
              <w:t xml:space="preserve"> et al.</w:t>
            </w:r>
            <w:r w:rsidRPr="002C21B8">
              <w:rPr>
                <w:noProof/>
                <w:sz w:val="18"/>
                <w:szCs w:val="18"/>
                <w:lang w:val="fr-FR"/>
              </w:rPr>
              <w:t>, 2021; Pritchett</w:t>
            </w:r>
            <w:r w:rsidRPr="002C21B8">
              <w:rPr>
                <w:i/>
                <w:noProof/>
                <w:sz w:val="18"/>
                <w:szCs w:val="18"/>
                <w:lang w:val="fr-FR"/>
              </w:rPr>
              <w:t xml:space="preserve"> et al.</w:t>
            </w:r>
            <w:r w:rsidRPr="002C21B8">
              <w:rPr>
                <w:noProof/>
                <w:sz w:val="18"/>
                <w:szCs w:val="18"/>
                <w:lang w:val="fr-FR"/>
              </w:rPr>
              <w:t>, 2020; Rushforth</w:t>
            </w:r>
            <w:r w:rsidRPr="002C21B8">
              <w:rPr>
                <w:i/>
                <w:noProof/>
                <w:sz w:val="18"/>
                <w:szCs w:val="18"/>
                <w:lang w:val="fr-FR"/>
              </w:rPr>
              <w:t xml:space="preserve"> et al.</w:t>
            </w:r>
            <w:r w:rsidRPr="002C21B8">
              <w:rPr>
                <w:noProof/>
                <w:sz w:val="18"/>
                <w:szCs w:val="18"/>
                <w:lang w:val="fr-FR"/>
              </w:rPr>
              <w:t>, 2016)</w:t>
            </w:r>
            <w:r w:rsidRPr="002C21B8">
              <w:rPr>
                <w:sz w:val="18"/>
                <w:szCs w:val="18"/>
              </w:rPr>
              <w:fldChar w:fldCharType="end"/>
            </w:r>
          </w:p>
        </w:tc>
      </w:tr>
      <w:tr w:rsidR="002F0740" w:rsidRPr="002C21B8" w14:paraId="77B90512" w14:textId="77777777" w:rsidTr="00EB0FFD">
        <w:trPr>
          <w:trHeight w:val="129"/>
        </w:trPr>
        <w:tc>
          <w:tcPr>
            <w:tcW w:w="6804" w:type="dxa"/>
            <w:tcBorders>
              <w:top w:val="nil"/>
              <w:left w:val="nil"/>
              <w:bottom w:val="nil"/>
              <w:right w:val="nil"/>
            </w:tcBorders>
            <w:shd w:val="clear" w:color="auto" w:fill="auto"/>
            <w:noWrap/>
            <w:hideMark/>
          </w:tcPr>
          <w:p w14:paraId="48F8D797"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6.3 Guidelines relevance:</w:t>
            </w:r>
            <w:r w:rsidRPr="002C21B8">
              <w:rPr>
                <w:sz w:val="18"/>
                <w:szCs w:val="18"/>
              </w:rPr>
              <w:t xml:space="preserve"> Guidelines must align with local demographics and priorities to be effective.</w:t>
            </w:r>
          </w:p>
        </w:tc>
        <w:tc>
          <w:tcPr>
            <w:tcW w:w="2268" w:type="dxa"/>
            <w:tcBorders>
              <w:top w:val="nil"/>
              <w:left w:val="nil"/>
              <w:bottom w:val="nil"/>
              <w:right w:val="nil"/>
            </w:tcBorders>
            <w:shd w:val="clear" w:color="auto" w:fill="auto"/>
            <w:noWrap/>
            <w:hideMark/>
          </w:tcPr>
          <w:p w14:paraId="0D73A06A" w14:textId="77777777" w:rsidR="002F0740" w:rsidRPr="002C21B8" w:rsidRDefault="002F0740" w:rsidP="00D418D8">
            <w:pPr>
              <w:spacing w:beforeLines="20" w:before="48" w:afterLines="20" w:after="48" w:line="240" w:lineRule="auto"/>
              <w:rPr>
                <w:sz w:val="18"/>
                <w:szCs w:val="18"/>
              </w:rPr>
            </w:pPr>
            <w:r w:rsidRPr="002C21B8">
              <w:rPr>
                <w:sz w:val="18"/>
                <w:szCs w:val="18"/>
              </w:rPr>
              <w:t>Moderate</w:t>
            </w:r>
          </w:p>
        </w:tc>
        <w:tc>
          <w:tcPr>
            <w:tcW w:w="1985" w:type="dxa"/>
            <w:tcBorders>
              <w:top w:val="nil"/>
              <w:left w:val="nil"/>
              <w:bottom w:val="nil"/>
              <w:right w:val="nil"/>
            </w:tcBorders>
            <w:shd w:val="clear" w:color="auto" w:fill="auto"/>
            <w:hideMark/>
          </w:tcPr>
          <w:p w14:paraId="27DDACD8" w14:textId="77777777" w:rsidR="002F0740" w:rsidRPr="002C21B8" w:rsidRDefault="002F0740" w:rsidP="00D418D8">
            <w:pPr>
              <w:spacing w:beforeLines="20" w:before="48" w:afterLines="20" w:after="48" w:line="240" w:lineRule="auto"/>
              <w:rPr>
                <w:sz w:val="18"/>
                <w:szCs w:val="18"/>
              </w:rPr>
            </w:pPr>
            <w:r w:rsidRPr="002C21B8">
              <w:rPr>
                <w:sz w:val="18"/>
                <w:szCs w:val="18"/>
              </w:rPr>
              <w:t>Likely</w:t>
            </w:r>
          </w:p>
        </w:tc>
        <w:tc>
          <w:tcPr>
            <w:tcW w:w="2835" w:type="dxa"/>
            <w:tcBorders>
              <w:top w:val="nil"/>
              <w:left w:val="nil"/>
              <w:bottom w:val="nil"/>
              <w:right w:val="nil"/>
            </w:tcBorders>
            <w:shd w:val="clear" w:color="auto" w:fill="auto"/>
            <w:noWrap/>
            <w:hideMark/>
          </w:tcPr>
          <w:p w14:paraId="7E3CA5FE" w14:textId="0AC14465" w:rsidR="002F0740" w:rsidRPr="002C21B8" w:rsidRDefault="002F0740" w:rsidP="00D418D8">
            <w:pPr>
              <w:spacing w:beforeLines="20" w:before="48" w:afterLines="20" w:after="48" w:line="240" w:lineRule="auto"/>
              <w:rPr>
                <w:sz w:val="18"/>
                <w:szCs w:val="18"/>
                <w:lang w:val="fr-FR"/>
              </w:rPr>
            </w:pPr>
            <w:r w:rsidRPr="002C21B8">
              <w:rPr>
                <w:sz w:val="18"/>
                <w:szCs w:val="18"/>
              </w:rPr>
              <w:fldChar w:fldCharType="begin">
                <w:fldData xml:space="preserve">PEVuZE5vdGU+PENpdGU+PEF1dGhvcj5NYXMgRGFsbWF1PC9BdXRob3I+PFllYXI+MjAxNzwvWWVh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PEVuZE5vdGU+PENpdGU+PEF1dGhvcj5NYXMgRGFsbWF1PC9BdXRob3I+PFllYXI+MjAxNzwvWWVh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(Khatib</w:t>
            </w:r>
            <w:r w:rsidRPr="002C21B8">
              <w:rPr>
                <w:i/>
                <w:noProof/>
                <w:sz w:val="18"/>
                <w:szCs w:val="18"/>
                <w:lang w:val="fr-FR"/>
              </w:rPr>
              <w:t xml:space="preserve"> et al.</w:t>
            </w:r>
            <w:r w:rsidRPr="002C21B8">
              <w:rPr>
                <w:noProof/>
                <w:sz w:val="18"/>
                <w:szCs w:val="18"/>
                <w:lang w:val="fr-FR"/>
              </w:rPr>
              <w:t>, 2014; Mas Dalmau</w:t>
            </w:r>
            <w:r w:rsidRPr="002C21B8">
              <w:rPr>
                <w:i/>
                <w:noProof/>
                <w:sz w:val="18"/>
                <w:szCs w:val="18"/>
                <w:lang w:val="fr-FR"/>
              </w:rPr>
              <w:t xml:space="preserve"> et al.</w:t>
            </w:r>
            <w:r w:rsidRPr="002C21B8">
              <w:rPr>
                <w:noProof/>
                <w:sz w:val="18"/>
                <w:szCs w:val="18"/>
                <w:lang w:val="fr-FR"/>
              </w:rPr>
              <w:t>, 2017; Orayj and Lane, 2019; Pritchett</w:t>
            </w:r>
            <w:r w:rsidRPr="002C21B8">
              <w:rPr>
                <w:i/>
                <w:noProof/>
                <w:sz w:val="18"/>
                <w:szCs w:val="18"/>
                <w:lang w:val="fr-FR"/>
              </w:rPr>
              <w:t xml:space="preserve"> et al.</w:t>
            </w:r>
            <w:r w:rsidRPr="002C21B8">
              <w:rPr>
                <w:noProof/>
                <w:sz w:val="18"/>
                <w:szCs w:val="18"/>
                <w:lang w:val="fr-FR"/>
              </w:rPr>
              <w:t>, 2020)</w:t>
            </w:r>
            <w:r w:rsidRPr="002C21B8">
              <w:rPr>
                <w:sz w:val="18"/>
                <w:szCs w:val="18"/>
              </w:rPr>
              <w:fldChar w:fldCharType="end"/>
            </w:r>
          </w:p>
        </w:tc>
      </w:tr>
      <w:tr w:rsidR="002F0740" w:rsidRPr="002C21B8" w14:paraId="28BD9E08" w14:textId="77777777" w:rsidTr="00EB0FFD">
        <w:trPr>
          <w:trHeight w:val="129"/>
        </w:trPr>
        <w:tc>
          <w:tcPr>
            <w:tcW w:w="6804" w:type="dxa"/>
            <w:tcBorders>
              <w:top w:val="nil"/>
              <w:left w:val="nil"/>
              <w:right w:val="nil"/>
            </w:tcBorders>
            <w:shd w:val="clear" w:color="auto" w:fill="auto"/>
            <w:noWrap/>
          </w:tcPr>
          <w:p w14:paraId="100470DD" w14:textId="195D37AC"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6.4 Academia:</w:t>
            </w:r>
            <w:r w:rsidRPr="002C21B8">
              <w:rPr>
                <w:sz w:val="18"/>
                <w:szCs w:val="18"/>
              </w:rPr>
              <w:t xml:space="preserve"> Clinical research findings can support decision-making</w:t>
            </w:r>
            <w:r w:rsidR="00E151CE" w:rsidRPr="002C21B8">
              <w:rPr>
                <w:sz w:val="18"/>
                <w:szCs w:val="18"/>
              </w:rPr>
              <w:t>,</w:t>
            </w:r>
            <w:r w:rsidRPr="002C21B8">
              <w:rPr>
                <w:sz w:val="18"/>
                <w:szCs w:val="18"/>
              </w:rPr>
              <w:t xml:space="preserve"> but their source must be perceived to be trustworthy</w:t>
            </w:r>
          </w:p>
        </w:tc>
        <w:tc>
          <w:tcPr>
            <w:tcW w:w="2268" w:type="dxa"/>
            <w:tcBorders>
              <w:top w:val="nil"/>
              <w:left w:val="nil"/>
              <w:right w:val="nil"/>
            </w:tcBorders>
            <w:shd w:val="clear" w:color="auto" w:fill="auto"/>
            <w:noWrap/>
          </w:tcPr>
          <w:p w14:paraId="156A825D" w14:textId="77777777" w:rsidR="002F0740" w:rsidRPr="002C21B8" w:rsidRDefault="002F0740" w:rsidP="00D418D8">
            <w:pPr>
              <w:spacing w:beforeLines="20" w:before="48" w:afterLines="20" w:after="48" w:line="240" w:lineRule="auto"/>
              <w:rPr>
                <w:sz w:val="18"/>
                <w:szCs w:val="18"/>
              </w:rPr>
            </w:pPr>
            <w:r w:rsidRPr="002C21B8">
              <w:rPr>
                <w:sz w:val="18"/>
                <w:szCs w:val="18"/>
              </w:rPr>
              <w:t>Very low</w:t>
            </w:r>
          </w:p>
        </w:tc>
        <w:tc>
          <w:tcPr>
            <w:tcW w:w="1985" w:type="dxa"/>
            <w:tcBorders>
              <w:top w:val="nil"/>
              <w:left w:val="nil"/>
              <w:right w:val="nil"/>
            </w:tcBorders>
            <w:shd w:val="clear" w:color="auto" w:fill="auto"/>
          </w:tcPr>
          <w:p w14:paraId="3217E67A" w14:textId="77777777" w:rsidR="002F0740" w:rsidRPr="002C21B8" w:rsidRDefault="002F0740" w:rsidP="00D418D8">
            <w:pPr>
              <w:spacing w:beforeLines="20" w:before="48" w:afterLines="20" w:after="48" w:line="240" w:lineRule="auto"/>
              <w:rPr>
                <w:sz w:val="18"/>
                <w:szCs w:val="18"/>
              </w:rPr>
            </w:pPr>
            <w:r w:rsidRPr="002C21B8">
              <w:rPr>
                <w:sz w:val="18"/>
                <w:szCs w:val="18"/>
              </w:rPr>
              <w:t>Unclear</w:t>
            </w:r>
          </w:p>
        </w:tc>
        <w:tc>
          <w:tcPr>
            <w:tcW w:w="2835" w:type="dxa"/>
            <w:tcBorders>
              <w:top w:val="nil"/>
              <w:left w:val="nil"/>
              <w:right w:val="nil"/>
            </w:tcBorders>
            <w:shd w:val="clear" w:color="auto" w:fill="auto"/>
            <w:noWrap/>
          </w:tcPr>
          <w:p w14:paraId="59F1B51A" w14:textId="31DD8150" w:rsidR="002F0740" w:rsidRPr="002C21B8" w:rsidRDefault="002F0740" w:rsidP="00D418D8">
            <w:pPr>
              <w:spacing w:beforeLines="20" w:before="48" w:afterLines="20" w:after="48" w:line="240" w:lineRule="auto"/>
              <w:rPr>
                <w:sz w:val="18"/>
                <w:szCs w:val="18"/>
              </w:rPr>
            </w:pPr>
            <w:r w:rsidRPr="002C21B8">
              <w:rPr>
                <w:sz w:val="18"/>
                <w:szCs w:val="18"/>
              </w:rPr>
              <w:fldChar w:fldCharType="begin"/>
            </w:r>
            <w:r w:rsidR="005D7DBC" w:rsidRPr="002C21B8">
              <w:rPr>
                <w:sz w:val="18"/>
                <w:szCs w:val="18"/>
              </w:rPr>
              <w:instrText xml:space="preserve"> ADDIN EN.CITE &lt;EndNote&gt;&lt;Cite&gt;&lt;Author&gt;Qadi&lt;/Author&gt;&lt;Year&gt;2020&lt;/Year&gt;&lt;RecNum&gt;15219&lt;/RecNum&gt;&lt;DisplayText&gt;(Qadi&lt;style face="italic"&gt; et al.&lt;/style&gt;, 2020)&lt;/DisplayText&gt;&lt;record&gt;&lt;rec-number&gt;15219&lt;/rec-number&gt;&lt;foreign-keys&gt;&lt;key app="EN" db-id="xpefzwa5hf9dt2ea9fax95x7xvxz90v09dtf" timestamp="1713286578"&gt;15219&lt;/key&gt;&lt;/foreign-keys&gt;&lt;ref-type name="Journal Article"&gt;17&lt;/ref-type&gt;&lt;contributors&gt;&lt;authors&gt;&lt;author&gt;Qadi, Olla&lt;/author&gt;&lt;author&gt;Lufumpa, Nakawala&lt;/author&gt;&lt;author&gt;Adderley, Nicola&lt;/author&gt;&lt;author&gt;Bem, Danai&lt;/author&gt;&lt;author&gt;Marshall, Tom&lt;/author&gt;&lt;author&gt;Kokab, Farina&lt;/author&gt;&lt;/authors&gt;&lt;/contributors&gt;&lt;titles&gt;&lt;title&gt;Patients’ and health professionals’ attitudes and perceptions towards the initiation of preventive drugs for primary prevention of cardiovascular disease: a systematic review of qualitative studies&lt;/title&gt;&lt;secondary-title&gt;British Journal of General Practice Open&lt;/secondary-title&gt;&lt;/titles&gt;&lt;periodical&gt;&lt;full-title&gt;British Journal of General Practice Open&lt;/full-title&gt;&lt;/periodical&gt;&lt;pages&gt;20X101087&lt;/pages&gt;&lt;volume&gt;4&lt;/volume&gt;&lt;number&gt;5&lt;/number&gt;&lt;dates&gt;&lt;year&gt;2020&lt;/year&gt;&lt;/dates&gt;&lt;isbn&gt;2398-3795&lt;/isbn&gt;&lt;urls&gt;&lt;/urls&gt;&lt;/record&gt;&lt;/Cite&gt;&lt;/EndNote&gt;</w:instrText>
            </w:r>
            <w:r w:rsidRPr="002C21B8">
              <w:rPr>
                <w:sz w:val="18"/>
                <w:szCs w:val="18"/>
              </w:rPr>
              <w:fldChar w:fldCharType="separate"/>
            </w:r>
            <w:r w:rsidRPr="002C21B8">
              <w:rPr>
                <w:noProof/>
                <w:sz w:val="18"/>
                <w:szCs w:val="18"/>
              </w:rPr>
              <w:t>(Qadi</w:t>
            </w:r>
            <w:r w:rsidRPr="002C21B8">
              <w:rPr>
                <w:i/>
                <w:noProof/>
                <w:sz w:val="18"/>
                <w:szCs w:val="18"/>
              </w:rPr>
              <w:t xml:space="preserve"> et al.</w:t>
            </w:r>
            <w:r w:rsidRPr="002C21B8">
              <w:rPr>
                <w:noProof/>
                <w:sz w:val="18"/>
                <w:szCs w:val="18"/>
              </w:rPr>
              <w:t>, 2020)</w:t>
            </w:r>
            <w:r w:rsidRPr="002C21B8">
              <w:rPr>
                <w:sz w:val="18"/>
                <w:szCs w:val="18"/>
              </w:rPr>
              <w:fldChar w:fldCharType="end"/>
            </w:r>
          </w:p>
        </w:tc>
      </w:tr>
      <w:tr w:rsidR="002F0740" w:rsidRPr="002C21B8" w14:paraId="40351672" w14:textId="77777777" w:rsidTr="00EB0FFD">
        <w:trPr>
          <w:trHeight w:val="129"/>
        </w:trPr>
        <w:tc>
          <w:tcPr>
            <w:tcW w:w="6804" w:type="dxa"/>
            <w:tcBorders>
              <w:top w:val="nil"/>
              <w:left w:val="nil"/>
              <w:bottom w:val="single" w:sz="12" w:space="0" w:color="000000" w:themeColor="text1"/>
              <w:right w:val="nil"/>
            </w:tcBorders>
            <w:shd w:val="clear" w:color="auto" w:fill="auto"/>
            <w:noWrap/>
          </w:tcPr>
          <w:p w14:paraId="0D646EDA" w14:textId="77777777" w:rsidR="002F0740" w:rsidRPr="002C21B8" w:rsidRDefault="002F0740" w:rsidP="00D418D8">
            <w:pPr>
              <w:spacing w:beforeLines="20" w:before="48" w:afterLines="20" w:after="48" w:line="240" w:lineRule="auto"/>
              <w:ind w:left="327"/>
              <w:rPr>
                <w:b/>
                <w:bCs/>
                <w:sz w:val="18"/>
                <w:szCs w:val="18"/>
              </w:rPr>
            </w:pPr>
            <w:r w:rsidRPr="002C21B8">
              <w:rPr>
                <w:b/>
                <w:bCs/>
                <w:sz w:val="18"/>
                <w:szCs w:val="18"/>
              </w:rPr>
              <w:t xml:space="preserve">6.5 Expert opinion: </w:t>
            </w:r>
            <w:r w:rsidRPr="002C21B8">
              <w:rPr>
                <w:sz w:val="18"/>
                <w:szCs w:val="18"/>
              </w:rPr>
              <w:t>The opinions of experts within a field may influence less experienced healthcare professionals’ decision-making</w:t>
            </w:r>
          </w:p>
        </w:tc>
        <w:tc>
          <w:tcPr>
            <w:tcW w:w="2268" w:type="dxa"/>
            <w:tcBorders>
              <w:top w:val="nil"/>
              <w:left w:val="nil"/>
              <w:bottom w:val="single" w:sz="12" w:space="0" w:color="000000" w:themeColor="text1"/>
              <w:right w:val="nil"/>
            </w:tcBorders>
            <w:shd w:val="clear" w:color="auto" w:fill="auto"/>
            <w:noWrap/>
          </w:tcPr>
          <w:p w14:paraId="60FD61C8" w14:textId="77777777" w:rsidR="002F0740" w:rsidRPr="002C21B8" w:rsidRDefault="002F0740" w:rsidP="00D418D8">
            <w:pPr>
              <w:spacing w:beforeLines="20" w:before="48" w:afterLines="20" w:after="48" w:line="240" w:lineRule="auto"/>
              <w:rPr>
                <w:sz w:val="18"/>
                <w:szCs w:val="18"/>
              </w:rPr>
            </w:pPr>
            <w:r w:rsidRPr="002C21B8">
              <w:rPr>
                <w:sz w:val="18"/>
                <w:szCs w:val="18"/>
              </w:rPr>
              <w:t>Very low</w:t>
            </w:r>
          </w:p>
        </w:tc>
        <w:tc>
          <w:tcPr>
            <w:tcW w:w="1985" w:type="dxa"/>
            <w:tcBorders>
              <w:top w:val="nil"/>
              <w:left w:val="nil"/>
              <w:bottom w:val="single" w:sz="12" w:space="0" w:color="000000" w:themeColor="text1"/>
              <w:right w:val="nil"/>
            </w:tcBorders>
            <w:shd w:val="clear" w:color="auto" w:fill="auto"/>
          </w:tcPr>
          <w:p w14:paraId="739D2585" w14:textId="77777777" w:rsidR="002F0740" w:rsidRPr="002C21B8" w:rsidRDefault="002F0740" w:rsidP="00D418D8">
            <w:pPr>
              <w:spacing w:beforeLines="20" w:before="48" w:afterLines="20" w:after="48" w:line="240" w:lineRule="auto"/>
              <w:rPr>
                <w:sz w:val="18"/>
                <w:szCs w:val="18"/>
              </w:rPr>
            </w:pPr>
            <w:r w:rsidRPr="002C21B8">
              <w:rPr>
                <w:sz w:val="18"/>
                <w:szCs w:val="18"/>
              </w:rPr>
              <w:t xml:space="preserve">Unclear </w:t>
            </w:r>
          </w:p>
        </w:tc>
        <w:tc>
          <w:tcPr>
            <w:tcW w:w="2835" w:type="dxa"/>
            <w:tcBorders>
              <w:top w:val="nil"/>
              <w:left w:val="nil"/>
              <w:bottom w:val="single" w:sz="12" w:space="0" w:color="000000" w:themeColor="text1"/>
              <w:right w:val="nil"/>
            </w:tcBorders>
            <w:shd w:val="clear" w:color="auto" w:fill="auto"/>
            <w:noWrap/>
          </w:tcPr>
          <w:p w14:paraId="6EB566C9" w14:textId="097BB20B" w:rsidR="002F0740" w:rsidRPr="002C21B8" w:rsidRDefault="002F0740" w:rsidP="00D418D8">
            <w:pPr>
              <w:spacing w:beforeLines="20" w:before="48" w:afterLines="20" w:after="48" w:line="240" w:lineRule="auto"/>
              <w:rPr>
                <w:sz w:val="18"/>
                <w:szCs w:val="18"/>
              </w:rPr>
            </w:pPr>
            <w:r w:rsidRPr="002C21B8">
              <w:rPr>
                <w:sz w:val="18"/>
                <w:szCs w:val="18"/>
              </w:rPr>
              <w:fldChar w:fldCharType="begin"/>
            </w:r>
            <w:r w:rsidR="002F6167" w:rsidRPr="002C21B8">
              <w:rPr>
                <w:sz w:val="18"/>
                <w:szCs w:val="18"/>
              </w:rPr>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rPr>
                <w:sz w:val="18"/>
                <w:szCs w:val="18"/>
              </w:rPr>
              <w:fldChar w:fldCharType="separate"/>
            </w:r>
            <w:r w:rsidRPr="002C21B8">
              <w:rPr>
                <w:noProof/>
                <w:sz w:val="18"/>
                <w:szCs w:val="18"/>
              </w:rPr>
              <w:t>(Ju</w:t>
            </w:r>
            <w:r w:rsidRPr="002C21B8">
              <w:rPr>
                <w:i/>
                <w:noProof/>
                <w:sz w:val="18"/>
                <w:szCs w:val="18"/>
              </w:rPr>
              <w:t xml:space="preserve"> et al.</w:t>
            </w:r>
            <w:r w:rsidRPr="002C21B8">
              <w:rPr>
                <w:noProof/>
                <w:sz w:val="18"/>
                <w:szCs w:val="18"/>
              </w:rPr>
              <w:t>, 2018)</w:t>
            </w:r>
            <w:r w:rsidRPr="002C21B8">
              <w:rPr>
                <w:sz w:val="18"/>
                <w:szCs w:val="18"/>
              </w:rPr>
              <w:fldChar w:fldCharType="end"/>
            </w:r>
          </w:p>
        </w:tc>
      </w:tr>
    </w:tbl>
    <w:p w14:paraId="4FAADCC5" w14:textId="77777777" w:rsidR="002F0740" w:rsidRPr="002C21B8" w:rsidRDefault="002F0740" w:rsidP="00D418D8">
      <w:pPr>
        <w:pStyle w:val="Caption"/>
        <w:keepNext w:val="0"/>
        <w:rPr>
          <w:noProof w:val="0"/>
        </w:rPr>
        <w:sectPr w:rsidR="002F0740" w:rsidRPr="002C21B8" w:rsidSect="0009672F">
          <w:headerReference w:type="first" r:id="rId31"/>
          <w:type w:val="continuous"/>
          <w:pgSz w:w="16838" w:h="11906" w:orient="landscape"/>
          <w:pgMar w:top="1440" w:right="1440" w:bottom="1440" w:left="1440" w:header="708" w:footer="708" w:gutter="0"/>
          <w:cols w:space="708"/>
          <w:titlePg/>
          <w:docGrid w:linePitch="360"/>
        </w:sectPr>
      </w:pPr>
    </w:p>
    <w:p w14:paraId="68E444BC" w14:textId="77777777" w:rsidR="002F0740" w:rsidRPr="002C21B8" w:rsidRDefault="002F0740" w:rsidP="002F0740">
      <w:pPr>
        <w:spacing w:before="240" w:after="0"/>
        <w:rPr>
          <w:b/>
          <w:bCs/>
          <w:i/>
          <w:iCs/>
        </w:rPr>
      </w:pPr>
      <w:r w:rsidRPr="002C21B8">
        <w:rPr>
          <w:b/>
          <w:bCs/>
          <w:i/>
          <w:iCs/>
        </w:rPr>
        <w:t>Patient factors perceived to influence prescribing decisions</w:t>
      </w:r>
    </w:p>
    <w:p w14:paraId="182DD1F7" w14:textId="59BDF429" w:rsidR="002F0740" w:rsidRPr="002C21B8" w:rsidRDefault="002F0740" w:rsidP="002F0740">
      <w:r w:rsidRPr="002C21B8">
        <w:t>Patient-level factors were reported to shape prescribing decisions. Healthcare professionals described that an older patient age may influence their prescribing decisions due to health professionals</w:t>
      </w:r>
      <w:r w:rsidR="00F73892" w:rsidRPr="002C21B8">
        <w:t xml:space="preserve"> </w:t>
      </w:r>
      <w:r w:rsidRPr="002C21B8">
        <w:t xml:space="preserve">considering the potential interactions of a long-term medication with other medications </w:t>
      </w:r>
      <w:r w:rsidRPr="002C21B8">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cj5XaWxraW5zb248L0F1dGhvcj48WWVhcj4yMDE5PC9ZZWFyPjxSZWNOdW0+MTUyMjg8L1JlY051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bHM+PC9yZWNvcmQ+PC9DaXRlPjxDaXRlPjxBdXRob3I+TWFobW91ZDwvQXV0aG9yPjxZZWFyPjIw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</w:fldData>
        </w:fldChar>
      </w:r>
      <w:r w:rsidR="000215B0" w:rsidRPr="002C21B8">
        <w:instrText xml:space="preserve"> ADDIN EN.CITE </w:instrText>
      </w:r>
      <w:r w:rsidR="000215B0" w:rsidRPr="002C21B8">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cj5XaWxraW5zb248L0F1dGhvcj48WWVhcj4yMDE5PC9ZZWFyPjxSZWNOdW0+MTUyMjg8L1JlY051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bHM+PC9yZWNvcmQ+PC9DaXRlPjxDaXRlPjxBdXRob3I+TWFobW91ZDwvQXV0aG9yPjxZZWFyPjIw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</w:fldData>
        </w:fldChar>
      </w:r>
      <w:r w:rsidR="000215B0" w:rsidRPr="002C21B8">
        <w:instrText xml:space="preserve"> ADDIN EN.CITE.DATA </w:instrText>
      </w:r>
      <w:r w:rsidR="000215B0" w:rsidRPr="002C21B8">
        <w:fldChar w:fldCharType="end"/>
      </w:r>
      <w:r w:rsidRPr="002C21B8">
        <w:fldChar w:fldCharType="separate"/>
      </w:r>
      <w:r w:rsidRPr="002C21B8">
        <w:rPr>
          <w:noProof/>
        </w:rPr>
        <w:t>(Chin</w:t>
      </w:r>
      <w:r w:rsidRPr="002C21B8">
        <w:rPr>
          <w:i/>
          <w:noProof/>
        </w:rPr>
        <w:t xml:space="preserve"> et al.</w:t>
      </w:r>
      <w:r w:rsidRPr="002C21B8">
        <w:rPr>
          <w:noProof/>
        </w:rPr>
        <w:t>, 2016; Mahmoud</w:t>
      </w:r>
      <w:r w:rsidRPr="002C21B8">
        <w:rPr>
          <w:i/>
          <w:noProof/>
        </w:rPr>
        <w:t xml:space="preserve"> et al.</w:t>
      </w:r>
      <w:r w:rsidRPr="002C21B8">
        <w:rPr>
          <w:noProof/>
        </w:rPr>
        <w:t>, 2023; Proietti</w:t>
      </w:r>
      <w:r w:rsidRPr="002C21B8">
        <w:rPr>
          <w:i/>
          <w:noProof/>
        </w:rPr>
        <w:t xml:space="preserve"> et al.</w:t>
      </w:r>
      <w:r w:rsidRPr="002C21B8">
        <w:rPr>
          <w:noProof/>
        </w:rPr>
        <w:t>, 2022; Wilkinson</w:t>
      </w:r>
      <w:r w:rsidRPr="002C21B8">
        <w:rPr>
          <w:i/>
          <w:noProof/>
        </w:rPr>
        <w:t xml:space="preserve"> et al.</w:t>
      </w:r>
      <w:r w:rsidRPr="002C21B8">
        <w:rPr>
          <w:noProof/>
        </w:rPr>
        <w:t>, 2019)</w:t>
      </w:r>
      <w:r w:rsidRPr="002C21B8">
        <w:fldChar w:fldCharType="end"/>
      </w:r>
      <w:r w:rsidRPr="002C21B8">
        <w:rPr>
          <w:iCs/>
        </w:rPr>
        <w:t>,</w:t>
      </w:r>
      <w:r w:rsidRPr="002C21B8">
        <w:t xml:space="preserve"> weighing the risks of polypharmacy alongside possible effect on comorbidities or frailty </w:t>
      </w:r>
      <w:r w:rsidRPr="002C21B8">
        <w:fldChar w:fldCharType="begin">
          <w:fldData xml:space="preserve">PEVuZE5vdGU+PENpdGU+PEF1dGhvcj5NYXMgRGFsbWF1PC9BdXRob3I+PFllYXI+MjAxNzwvWWVh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</w:fldData>
        </w:fldChar>
      </w:r>
      <w:r w:rsidR="00455B2B" w:rsidRPr="002C21B8">
        <w:instrText xml:space="preserve"> ADDIN EN.CITE </w:instrText>
      </w:r>
      <w:r w:rsidR="00455B2B" w:rsidRPr="002C21B8">
        <w:fldChar w:fldCharType="begin">
          <w:fldData xml:space="preserve">PEVuZE5vdGU+PENpdGU+PEF1dGhvcj5NYXMgRGFsbWF1PC9BdXRob3I+PFllYXI+MjAxNzwvWWVh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</w:fldData>
        </w:fldChar>
      </w:r>
      <w:r w:rsidR="00455B2B" w:rsidRPr="002C21B8">
        <w:instrText xml:space="preserve"> ADDIN EN.CITE.DATA </w:instrText>
      </w:r>
      <w:r w:rsidR="00455B2B" w:rsidRPr="002C21B8">
        <w:fldChar w:fldCharType="end"/>
      </w:r>
      <w:r w:rsidRPr="002C21B8">
        <w:fldChar w:fldCharType="separate"/>
      </w:r>
      <w:r w:rsidRPr="002C21B8">
        <w:rPr>
          <w:noProof/>
        </w:rPr>
        <w:t>(Abdelkader</w:t>
      </w:r>
      <w:r w:rsidRPr="002C21B8">
        <w:rPr>
          <w:i/>
          <w:noProof/>
        </w:rPr>
        <w:t xml:space="preserve"> et al.</w:t>
      </w:r>
      <w:r w:rsidRPr="002C21B8">
        <w:rPr>
          <w:noProof/>
        </w:rPr>
        <w:t>, 2023; Byrne</w:t>
      </w:r>
      <w:r w:rsidRPr="002C21B8">
        <w:rPr>
          <w:i/>
          <w:noProof/>
        </w:rPr>
        <w:t xml:space="preserve"> et al.</w:t>
      </w:r>
      <w:r w:rsidRPr="002C21B8">
        <w:rPr>
          <w:noProof/>
        </w:rPr>
        <w:t>, 2022; Lalor</w:t>
      </w:r>
      <w:r w:rsidRPr="002C21B8">
        <w:rPr>
          <w:i/>
          <w:noProof/>
        </w:rPr>
        <w:t xml:space="preserve"> et al.</w:t>
      </w:r>
      <w:r w:rsidRPr="002C21B8">
        <w:rPr>
          <w:noProof/>
        </w:rPr>
        <w:t>, 2022; Mas Dalmau</w:t>
      </w:r>
      <w:r w:rsidRPr="002C21B8">
        <w:rPr>
          <w:i/>
          <w:noProof/>
        </w:rPr>
        <w:t xml:space="preserve"> et al.</w:t>
      </w:r>
      <w:r w:rsidRPr="002C21B8">
        <w:rPr>
          <w:noProof/>
        </w:rPr>
        <w:t>, 2017; Orayj and Lane, 2019; Pritchett</w:t>
      </w:r>
      <w:r w:rsidRPr="002C21B8">
        <w:rPr>
          <w:i/>
          <w:noProof/>
        </w:rPr>
        <w:t xml:space="preserve"> et al.</w:t>
      </w:r>
      <w:r w:rsidRPr="002C21B8">
        <w:rPr>
          <w:noProof/>
        </w:rPr>
        <w:t>, 2020; Qadi</w:t>
      </w:r>
      <w:r w:rsidRPr="002C21B8">
        <w:rPr>
          <w:i/>
          <w:noProof/>
        </w:rPr>
        <w:t xml:space="preserve"> et al.</w:t>
      </w:r>
      <w:r w:rsidRPr="002C21B8">
        <w:rPr>
          <w:noProof/>
        </w:rPr>
        <w:t>, 2020)</w:t>
      </w:r>
      <w:r w:rsidRPr="002C21B8">
        <w:fldChar w:fldCharType="end"/>
      </w:r>
      <w:r w:rsidRPr="002C21B8">
        <w:t xml:space="preserve">. When considering patients living in rural or remote areas, prescribers were concerned about barriers to follow-up appointments, monitoring, or emergency appointments, which were perceived as an additional risk </w:t>
      </w:r>
      <w:r w:rsidRPr="002C21B8">
        <w:fldChar w:fldCharType="begin">
          <w:fldData xml:space="preserve">PEVuZE5vdGU+PENpdGU+PEF1dGhvcj5PcmF5ajwvQXV0aG9yPjxZZWFyPjIwMTk8L1llYXI+PFJl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</w:fldData>
        </w:fldChar>
      </w:r>
      <w:r w:rsidR="00455B2B" w:rsidRPr="002C21B8">
        <w:instrText xml:space="preserve"> ADDIN EN.CITE </w:instrText>
      </w:r>
      <w:r w:rsidR="00455B2B" w:rsidRPr="002C21B8">
        <w:fldChar w:fldCharType="begin">
          <w:fldData xml:space="preserve">PEVuZE5vdGU+PENpdGU+PEF1dGhvcj5PcmF5ajwvQXV0aG9yPjxZZWFyPjIwMTk8L1llYXI+PFJl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Orayj and Lane, 2019; Pritchett</w:t>
      </w:r>
      <w:r w:rsidRPr="002C21B8">
        <w:rPr>
          <w:i/>
          <w:noProof/>
        </w:rPr>
        <w:t xml:space="preserve"> et al.</w:t>
      </w:r>
      <w:r w:rsidRPr="002C21B8">
        <w:rPr>
          <w:noProof/>
        </w:rPr>
        <w:t>, 2020)</w:t>
      </w:r>
      <w:r w:rsidRPr="002C21B8">
        <w:fldChar w:fldCharType="end"/>
      </w:r>
      <w:r w:rsidRPr="002C21B8">
        <w:t>. Some prescribers reported that a perceived need for additional resources for patients</w:t>
      </w:r>
      <w:r w:rsidR="00F73892" w:rsidRPr="002C21B8">
        <w:t xml:space="preserve"> could lead to not prescribing some medications. This could be related to patients </w:t>
      </w:r>
      <w:r w:rsidRPr="002C21B8">
        <w:t>not speak</w:t>
      </w:r>
      <w:r w:rsidR="00F73892" w:rsidRPr="002C21B8">
        <w:t>ing</w:t>
      </w:r>
      <w:r w:rsidRPr="002C21B8">
        <w:t xml:space="preserve"> the dominant language </w:t>
      </w:r>
      <w:r w:rsidR="00F73892" w:rsidRPr="002C21B8">
        <w:t>of</w:t>
      </w:r>
      <w:r w:rsidRPr="002C21B8">
        <w:t xml:space="preserve"> the country or</w:t>
      </w:r>
      <w:r w:rsidR="00F73892" w:rsidRPr="002C21B8">
        <w:t xml:space="preserve"> having</w:t>
      </w:r>
      <w:r w:rsidRPr="002C21B8">
        <w:t xml:space="preserve"> low </w:t>
      </w:r>
      <w:r w:rsidR="00F73892" w:rsidRPr="002C21B8">
        <w:t xml:space="preserve">literacy </w:t>
      </w:r>
      <w:r w:rsidRPr="002C21B8">
        <w:t xml:space="preserve">levels </w:t>
      </w:r>
      <w:r w:rsidRPr="002C21B8">
        <w:fldChar w:fldCharType="begin">
          <w:fldData xml:space="preserve">PEVuZE5vdGU+PENpdGU+PEF1dGhvcj5PcmF5ajwvQXV0aG9yPjxZZWFyPjIwMTk8L1llYXI+PFJl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==
</w:fldData>
        </w:fldChar>
      </w:r>
      <w:r w:rsidR="000215B0" w:rsidRPr="002C21B8">
        <w:instrText xml:space="preserve"> ADDIN EN.CITE </w:instrText>
      </w:r>
      <w:r w:rsidR="000215B0" w:rsidRPr="002C21B8">
        <w:fldChar w:fldCharType="begin">
          <w:fldData xml:space="preserve">PEVuZE5vdGU+PENpdGU+PEF1dGhvcj5PcmF5ajwvQXV0aG9yPjxZZWFyPjIwMTk8L1llYXI+PFJl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==
</w:fldData>
        </w:fldChar>
      </w:r>
      <w:r w:rsidR="000215B0" w:rsidRPr="002C21B8">
        <w:instrText xml:space="preserve"> ADDIN EN.CITE.DATA </w:instrText>
      </w:r>
      <w:r w:rsidR="000215B0" w:rsidRPr="002C21B8">
        <w:fldChar w:fldCharType="end"/>
      </w:r>
      <w:r w:rsidRPr="002C21B8">
        <w:fldChar w:fldCharType="separate"/>
      </w:r>
      <w:r w:rsidRPr="002C21B8">
        <w:rPr>
          <w:noProof/>
        </w:rPr>
        <w:t>(Abdelkader</w:t>
      </w:r>
      <w:r w:rsidRPr="002C21B8">
        <w:rPr>
          <w:i/>
          <w:noProof/>
        </w:rPr>
        <w:t xml:space="preserve"> et al.</w:t>
      </w:r>
      <w:r w:rsidRPr="002C21B8">
        <w:rPr>
          <w:noProof/>
        </w:rPr>
        <w:t>, 2023; Byrne</w:t>
      </w:r>
      <w:r w:rsidRPr="002C21B8">
        <w:rPr>
          <w:i/>
          <w:noProof/>
        </w:rPr>
        <w:t xml:space="preserve"> et al.</w:t>
      </w:r>
      <w:r w:rsidRPr="002C21B8">
        <w:rPr>
          <w:noProof/>
        </w:rPr>
        <w:t>, 2022; Orayj and Lane, 2019; Pritchett</w:t>
      </w:r>
      <w:r w:rsidRPr="002C21B8">
        <w:rPr>
          <w:i/>
          <w:noProof/>
        </w:rPr>
        <w:t xml:space="preserve"> et al.</w:t>
      </w:r>
      <w:r w:rsidRPr="002C21B8">
        <w:rPr>
          <w:noProof/>
        </w:rPr>
        <w:t>, 2020)</w:t>
      </w:r>
      <w:r w:rsidRPr="002C21B8">
        <w:fldChar w:fldCharType="end"/>
      </w:r>
      <w:r w:rsidRPr="002C21B8">
        <w:rPr>
          <w:color w:val="000000"/>
        </w:rPr>
        <w:t>.</w:t>
      </w:r>
      <w:r w:rsidRPr="002C21B8">
        <w:t xml:space="preserve"> Prescribers indicated that</w:t>
      </w:r>
      <w:r w:rsidR="00D1314D" w:rsidRPr="002C21B8">
        <w:t xml:space="preserve"> the</w:t>
      </w:r>
      <w:r w:rsidRPr="002C21B8">
        <w:t xml:space="preserve"> occupational status of patients might play a role in their decisions, with more aggressive or faster-acting medications favoured for those in employment to facilitate a quicker return to work </w:t>
      </w:r>
      <w:r w:rsidRPr="002C21B8">
        <w:fldChar w:fldCharType="begin"/>
      </w:r>
      <w:r w:rsidR="00455B2B" w:rsidRPr="002C21B8">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(Lalor</w:t>
      </w:r>
      <w:r w:rsidRPr="002C21B8">
        <w:rPr>
          <w:i/>
          <w:noProof/>
        </w:rPr>
        <w:t xml:space="preserve"> et al.</w:t>
      </w:r>
      <w:r w:rsidRPr="002C21B8">
        <w:rPr>
          <w:noProof/>
        </w:rPr>
        <w:t>, 2022)</w:t>
      </w:r>
      <w:r w:rsidRPr="002C21B8">
        <w:fldChar w:fldCharType="end"/>
      </w:r>
      <w:r w:rsidRPr="002C21B8">
        <w:t xml:space="preserve">. Prescribers’ presumptions about patients’ socioeconomic status were also reported as a potential influence on prescribing decisions, with some prescribers opting not to prescribe medications if they believed the patient could not afford </w:t>
      </w:r>
      <w:r w:rsidR="00D1314D" w:rsidRPr="002C21B8">
        <w:t>them</w:t>
      </w:r>
      <w:r w:rsidRPr="002C21B8">
        <w:t xml:space="preserve"> </w:t>
      </w:r>
      <w:r w:rsidRPr="002C21B8">
        <w:fldChar w:fldCharType="begin">
          <w:fldData xml:space="preserve">PEVuZE5vdGU+PENpdGU+PEF1dGhvcj5Qcml0Y2hldHQ8L0F1dGhvcj48WWVhcj4yMDIwPC9ZZWFy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</w:fldData>
        </w:fldChar>
      </w:r>
      <w:r w:rsidR="00455B2B" w:rsidRPr="002C21B8">
        <w:instrText xml:space="preserve"> ADDIN EN.CITE </w:instrText>
      </w:r>
      <w:r w:rsidR="00455B2B" w:rsidRPr="002C21B8">
        <w:fldChar w:fldCharType="begin">
          <w:fldData xml:space="preserve">PEVuZE5vdGU+PENpdGU+PEF1dGhvcj5Qcml0Y2hldHQ8L0F1dGhvcj48WWVhcj4yMDIwPC9ZZWFy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Pritchett</w:t>
      </w:r>
      <w:r w:rsidRPr="002C21B8">
        <w:rPr>
          <w:i/>
          <w:noProof/>
        </w:rPr>
        <w:t xml:space="preserve"> et al.</w:t>
      </w:r>
      <w:r w:rsidRPr="002C21B8">
        <w:rPr>
          <w:noProof/>
        </w:rPr>
        <w:t>, 2020)</w:t>
      </w:r>
      <w:r w:rsidRPr="002C21B8">
        <w:fldChar w:fldCharType="end"/>
      </w:r>
      <w:r w:rsidRPr="002C21B8">
        <w:t>.</w:t>
      </w:r>
    </w:p>
    <w:p w14:paraId="30DCB943" w14:textId="25E6DD52" w:rsidR="002F0740" w:rsidRPr="002C21B8" w:rsidRDefault="002F0740" w:rsidP="002F0740">
      <w:pPr>
        <w:spacing w:before="240" w:after="0"/>
        <w:rPr>
          <w:b/>
          <w:bCs/>
          <w:i/>
          <w:iCs/>
        </w:rPr>
      </w:pPr>
      <w:r w:rsidRPr="002C21B8">
        <w:rPr>
          <w:b/>
          <w:bCs/>
          <w:i/>
          <w:iCs/>
        </w:rPr>
        <w:t>Individualised patient risk-benefit assessment predominantly focuse</w:t>
      </w:r>
      <w:r w:rsidR="00D1314D" w:rsidRPr="002C21B8">
        <w:rPr>
          <w:b/>
          <w:bCs/>
          <w:i/>
          <w:iCs/>
        </w:rPr>
        <w:t>s</w:t>
      </w:r>
      <w:r w:rsidRPr="002C21B8">
        <w:rPr>
          <w:b/>
          <w:bCs/>
          <w:i/>
          <w:iCs/>
        </w:rPr>
        <w:t xml:space="preserve"> on the risks rather than the benefits when making prescribing decisions</w:t>
      </w:r>
    </w:p>
    <w:p w14:paraId="1EBC1296" w14:textId="5F0AC54F" w:rsidR="002F0740" w:rsidRPr="002C21B8" w:rsidRDefault="002F0740" w:rsidP="002F0740">
      <w:r w:rsidRPr="002C21B8">
        <w:t xml:space="preserve">When prescribing for chronic conditions, prescribers may prioritise potential risks over potential benefits </w:t>
      </w:r>
      <w:r w:rsidRPr="002C21B8">
        <w:fldChar w:fldCharType="begin"/>
      </w:r>
      <w:r w:rsidRPr="002C21B8">
        <w:instrText xml:space="preserve"> ADDIN EN.CITE &lt;EndNote&gt;&lt;Cite&gt;&lt;Author&gt;Byrne&lt;/Author&gt;&lt;Year&gt;2022&lt;/Year&gt;&lt;RecNum&gt;15209&lt;/RecNum&gt;&lt;DisplayText&gt;(Byrne&lt;style face="italic"&gt; et al.&lt;/style&gt;, 2022)&lt;/DisplayText&gt;&lt;record&gt;&lt;rec-number&gt;15209&lt;/rec-number&gt;&lt;foreign-keys&gt;&lt;key app="EN" db-id="xpefzwa5hf9dt2ea9fax95x7xvxz90v09dtf" timestamp="1713278084"&gt;15209&lt;/key&gt;&lt;/foreign-keys&gt;&lt;ref-type name="Journal Article"&gt;17&lt;/ref-type&gt;&lt;contributors&gt;&lt;authors&gt;&lt;author&gt;Byrne, Jo&lt;/author&gt;&lt;author&gt;Willis, Andrew&lt;/author&gt;&lt;author&gt;Dunkley, Alison&lt;/author&gt;&lt;author&gt;Fitzpatrick, Claire&lt;/author&gt;&lt;author&gt;Campbell, Sandra&lt;/author&gt;&lt;author&gt;Sidhu, Manbinder S&lt;/author&gt;&lt;author&gt;Choudhary, Pratik&lt;/author&gt;&lt;author&gt;Davies, Melanie J&lt;/author&gt;&lt;author&gt;Khunti, Kamlesh&lt;/author&gt;&lt;/authors&gt;&lt;/contributors&gt;&lt;titles&gt;&lt;title&gt;Individual, healthcare professional and system‐level barriers and facilitators to initiation and adherence to injectable therapies for type 2 diabetes: A systematic review and meta‐ethnography&lt;/title&gt;&lt;secondary-title&gt;Diabetic Medicine&lt;/secondary-title&gt;&lt;/titles&gt;&lt;periodical&gt;&lt;full-title&gt;Diabetic Medicine&lt;/full-title&gt;&lt;/periodical&gt;&lt;pages&gt;e14678&lt;/pages&gt;&lt;volume&gt;39&lt;/volume&gt;&lt;number&gt;1&lt;/number&gt;&lt;dates&gt;&lt;year&gt;2022&lt;/year&gt;&lt;/dates&gt;&lt;isbn&gt;0742-3071&lt;/isbn&gt;&lt;urls&gt;&lt;/urls&gt;&lt;/record&gt;&lt;/Cite&gt;&lt;/EndNote&gt;</w:instrText>
      </w:r>
      <w:r w:rsidRPr="002C21B8">
        <w:fldChar w:fldCharType="separate"/>
      </w:r>
      <w:r w:rsidRPr="002C21B8">
        <w:t>(Byrne</w:t>
      </w:r>
      <w:r w:rsidRPr="002C21B8">
        <w:rPr>
          <w:i/>
        </w:rPr>
        <w:t xml:space="preserve"> et al.</w:t>
      </w:r>
      <w:r w:rsidRPr="002C21B8">
        <w:t>, 2022)</w:t>
      </w:r>
      <w:r w:rsidRPr="002C21B8">
        <w:fldChar w:fldCharType="end"/>
      </w:r>
      <w:r w:rsidRPr="002C21B8">
        <w:t>. They described that any potential for poor patient understanding would lead them to perceive prescribing as higher risk</w:t>
      </w:r>
      <w:r w:rsidR="00F73892" w:rsidRPr="002C21B8">
        <w:t>. T</w:t>
      </w:r>
      <w:r w:rsidRPr="002C21B8">
        <w:t xml:space="preserve">his might be due to language barriers </w:t>
      </w:r>
      <w:r w:rsidRPr="002C21B8">
        <w:fldChar w:fldCharType="begin">
          <w:fldData xml:space="preserve">PEVuZE5vdGU+PENpdGU+PEF1dGhvcj5CaW4gUnNoZWVkPC9BdXRob3I+PFllYXI+MjAxNzwvWWVh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</w:fldData>
        </w:fldChar>
      </w:r>
      <w:r w:rsidR="00CE4967" w:rsidRPr="002C21B8">
        <w:instrText xml:space="preserve"> ADDIN EN.CITE </w:instrText>
      </w:r>
      <w:r w:rsidR="00CE4967" w:rsidRPr="002C21B8">
        <w:fldChar w:fldCharType="begin">
          <w:fldData xml:space="preserve">PEVuZE5vdGU+PENpdGU+PEF1dGhvcj5CaW4gUnNoZWVkPC9BdXRob3I+PFllYXI+MjAxNzwvWWVh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</w:fldData>
        </w:fldChar>
      </w:r>
      <w:r w:rsidR="00CE4967" w:rsidRPr="002C21B8">
        <w:instrText xml:space="preserve"> ADDIN EN.CITE.DATA </w:instrText>
      </w:r>
      <w:r w:rsidR="00CE4967" w:rsidRPr="002C21B8">
        <w:fldChar w:fldCharType="end"/>
      </w:r>
      <w:r w:rsidRPr="002C21B8">
        <w:fldChar w:fldCharType="separate"/>
      </w:r>
      <w:r w:rsidRPr="002C21B8">
        <w:rPr>
          <w:noProof/>
        </w:rPr>
        <w:t>(Bin Rsheed and Chenoweth, 2017; Byrne</w:t>
      </w:r>
      <w:r w:rsidRPr="002C21B8">
        <w:rPr>
          <w:i/>
          <w:noProof/>
        </w:rPr>
        <w:t xml:space="preserve"> et al.</w:t>
      </w:r>
      <w:r w:rsidRPr="002C21B8">
        <w:rPr>
          <w:noProof/>
        </w:rPr>
        <w:t>, 2022; Dhungana</w:t>
      </w:r>
      <w:r w:rsidRPr="002C21B8">
        <w:rPr>
          <w:i/>
          <w:noProof/>
        </w:rPr>
        <w:t xml:space="preserve"> et al.</w:t>
      </w:r>
      <w:r w:rsidRPr="002C21B8">
        <w:rPr>
          <w:noProof/>
        </w:rPr>
        <w:t>, 2021)</w:t>
      </w:r>
      <w:r w:rsidRPr="002C21B8">
        <w:fldChar w:fldCharType="end"/>
      </w:r>
      <w:r w:rsidRPr="002C21B8">
        <w:t xml:space="preserve">, literacy levels </w:t>
      </w:r>
      <w:r w:rsidRPr="002C21B8">
        <w:fldChar w:fldCharType="begin"/>
      </w:r>
      <w:r w:rsidRPr="002C21B8">
        <w:instrText xml:space="preserve"> ADDIN EN.CITE &lt;EndNote&gt;&lt;Cite&gt;&lt;Author&gt;Byrne&lt;/Author&gt;&lt;Year&gt;2022&lt;/Year&gt;&lt;RecNum&gt;15209&lt;/RecNum&gt;&lt;DisplayText&gt;(Byrne&lt;style face="italic"&gt; et al.&lt;/style&gt;, 2022)&lt;/DisplayText&gt;&lt;record&gt;&lt;rec-number&gt;15209&lt;/rec-number&gt;&lt;foreign-keys&gt;&lt;key app="EN" db-id="xpefzwa5hf9dt2ea9fax95x7xvxz90v09dtf" timestamp="1713278084"&gt;15209&lt;/key&gt;&lt;/foreign-keys&gt;&lt;ref-type name="Journal Article"&gt;17&lt;/ref-type&gt;&lt;contributors&gt;&lt;authors&gt;&lt;author&gt;Byrne, Jo&lt;/author&gt;&lt;author&gt;Willis, Andrew&lt;/author&gt;&lt;author&gt;Dunkley, Alison&lt;/author&gt;&lt;author&gt;Fitzpatrick, Claire&lt;/author&gt;&lt;author&gt;Campbell, Sandra&lt;/author&gt;&lt;author&gt;Sidhu, Manbinder S&lt;/author&gt;&lt;author&gt;Choudhary, Pratik&lt;/author&gt;&lt;author&gt;Davies, Melanie J&lt;/author&gt;&lt;author&gt;Khunti, Kamlesh&lt;/author&gt;&lt;/authors&gt;&lt;/contributors&gt;&lt;titles&gt;&lt;title&gt;Individual, healthcare professional and system‐level barriers and facilitators to initiation and adherence to injectable therapies for type 2 diabetes: A systematic review and meta‐ethnography&lt;/title&gt;&lt;secondary-title&gt;Diabetic Medicine&lt;/secondary-title&gt;&lt;/titles&gt;&lt;periodical&gt;&lt;full-title&gt;Diabetic Medicine&lt;/full-title&gt;&lt;/periodical&gt;&lt;pages&gt;e14678&lt;/pages&gt;&lt;volume&gt;39&lt;/volume&gt;&lt;number&gt;1&lt;/number&gt;&lt;dates&gt;&lt;year&gt;2022&lt;/year&gt;&lt;/dates&gt;&lt;isbn&gt;0742-3071&lt;/isbn&gt;&lt;urls&gt;&lt;/urls&gt;&lt;/record&gt;&lt;/Cite&gt;&lt;/EndNote&gt;</w:instrText>
      </w:r>
      <w:r w:rsidRPr="002C21B8">
        <w:fldChar w:fldCharType="separate"/>
      </w:r>
      <w:r w:rsidRPr="002C21B8">
        <w:t>(Byrne</w:t>
      </w:r>
      <w:r w:rsidRPr="002C21B8">
        <w:rPr>
          <w:i/>
        </w:rPr>
        <w:t xml:space="preserve"> et al.</w:t>
      </w:r>
      <w:r w:rsidRPr="002C21B8">
        <w:t>, 2022)</w:t>
      </w:r>
      <w:r w:rsidRPr="002C21B8">
        <w:fldChar w:fldCharType="end"/>
      </w:r>
      <w:r w:rsidRPr="002C21B8">
        <w:t xml:space="preserve">, visual impairment </w:t>
      </w:r>
      <w:r w:rsidRPr="002C21B8">
        <w:fldChar w:fldCharType="begin"/>
      </w:r>
      <w:r w:rsidRPr="002C21B8">
        <w:instrText xml:space="preserve"> ADDIN EN.CITE &lt;EndNote&gt;&lt;Cite&gt;&lt;Author&gt;Byrne&lt;/Author&gt;&lt;Year&gt;2022&lt;/Year&gt;&lt;RecNum&gt;15209&lt;/RecNum&gt;&lt;DisplayText&gt;(Byrne&lt;style face="italic"&gt; et al.&lt;/style&gt;, 2022)&lt;/DisplayText&gt;&lt;record&gt;&lt;rec-number&gt;15209&lt;/rec-number&gt;&lt;foreign-keys&gt;&lt;key app="EN" db-id="xpefzwa5hf9dt2ea9fax95x7xvxz90v09dtf" timestamp="1713278084"&gt;15209&lt;/key&gt;&lt;/foreign-keys&gt;&lt;ref-type name="Journal Article"&gt;17&lt;/ref-type&gt;&lt;contributors&gt;&lt;authors&gt;&lt;author&gt;Byrne, Jo&lt;/author&gt;&lt;author&gt;Willis, Andrew&lt;/author&gt;&lt;author&gt;Dunkley, Alison&lt;/author&gt;&lt;author&gt;Fitzpatrick, Claire&lt;/author&gt;&lt;author&gt;Campbell, Sandra&lt;/author&gt;&lt;author&gt;Sidhu, Manbinder S&lt;/author&gt;&lt;author&gt;Choudhary, Pratik&lt;/author&gt;&lt;author&gt;Davies, Melanie J&lt;/author&gt;&lt;author&gt;Khunti, Kamlesh&lt;/author&gt;&lt;/authors&gt;&lt;/contributors&gt;&lt;titles&gt;&lt;title&gt;Individual, healthcare professional and system‐level barriers and facilitators to initiation and adherence to injectable therapies for type 2 diabetes: A systematic review and meta‐ethnography&lt;/title&gt;&lt;secondary-title&gt;Diabetic Medicine&lt;/secondary-title&gt;&lt;/titles&gt;&lt;periodical&gt;&lt;full-title&gt;Diabetic Medicine&lt;/full-title&gt;&lt;/periodical&gt;&lt;pages&gt;e14678&lt;/pages&gt;&lt;volume&gt;39&lt;/volume&gt;&lt;number&gt;1&lt;/number&gt;&lt;dates&gt;&lt;year&gt;2022&lt;/year&gt;&lt;/dates&gt;&lt;isbn&gt;0742-3071&lt;/isbn&gt;&lt;urls&gt;&lt;/urls&gt;&lt;/record&gt;&lt;/Cite&gt;&lt;/EndNote&gt;</w:instrText>
      </w:r>
      <w:r w:rsidRPr="002C21B8">
        <w:fldChar w:fldCharType="separate"/>
      </w:r>
      <w:r w:rsidRPr="002C21B8">
        <w:t>(Byrne</w:t>
      </w:r>
      <w:r w:rsidRPr="002C21B8">
        <w:rPr>
          <w:i/>
        </w:rPr>
        <w:t xml:space="preserve"> et al.</w:t>
      </w:r>
      <w:r w:rsidRPr="002C21B8">
        <w:t>, 2022)</w:t>
      </w:r>
      <w:r w:rsidRPr="002C21B8">
        <w:fldChar w:fldCharType="end"/>
      </w:r>
      <w:r w:rsidRPr="002C21B8">
        <w:t xml:space="preserve">, cognitive state </w:t>
      </w:r>
      <w:r w:rsidRPr="002C21B8">
        <w:fldChar w:fldCharType="begin">
          <w:fldData xml:space="preserve">PEVuZE5vdGU+PENpdGU+PEF1dGhvcj5PcmF5ajwvQXV0aG9yPjxZZWFyPjIwMTk8L1llYXI+PFJl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</w:fldData>
        </w:fldChar>
      </w:r>
      <w:r w:rsidR="000215B0" w:rsidRPr="002C21B8">
        <w:instrText xml:space="preserve"> ADDIN EN.CITE </w:instrText>
      </w:r>
      <w:r w:rsidR="000215B0" w:rsidRPr="002C21B8">
        <w:fldChar w:fldCharType="begin">
          <w:fldData xml:space="preserve">PEVuZE5vdGU+PENpdGU+PEF1dGhvcj5PcmF5ajwvQXV0aG9yPjxZZWFyPjIwMTk8L1llYXI+PFJl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</w:fldData>
        </w:fldChar>
      </w:r>
      <w:r w:rsidR="000215B0" w:rsidRPr="002C21B8">
        <w:instrText xml:space="preserve"> ADDIN EN.CITE.DATA </w:instrText>
      </w:r>
      <w:r w:rsidR="000215B0" w:rsidRPr="002C21B8">
        <w:fldChar w:fldCharType="end"/>
      </w:r>
      <w:r w:rsidRPr="002C21B8">
        <w:fldChar w:fldCharType="separate"/>
      </w:r>
      <w:r w:rsidRPr="002C21B8">
        <w:rPr>
          <w:noProof/>
        </w:rPr>
        <w:t>(Orayj and Lane, 2019; Osasu, Cooper and Mitchell, 2021; Pritchett</w:t>
      </w:r>
      <w:r w:rsidRPr="002C21B8">
        <w:rPr>
          <w:i/>
          <w:noProof/>
        </w:rPr>
        <w:t xml:space="preserve"> et al.</w:t>
      </w:r>
      <w:r w:rsidRPr="002C21B8">
        <w:rPr>
          <w:noProof/>
        </w:rPr>
        <w:t>, 2020)</w:t>
      </w:r>
      <w:r w:rsidRPr="002C21B8">
        <w:fldChar w:fldCharType="end"/>
      </w:r>
      <w:r w:rsidRPr="002C21B8">
        <w:t xml:space="preserve"> or mental health </w:t>
      </w:r>
      <w:r w:rsidRPr="002C21B8">
        <w:fldChar w:fldCharType="begin"/>
      </w:r>
      <w:r w:rsidRPr="002C21B8">
        <w:instrText xml:space="preserve"> ADDIN EN.CITE &lt;EndNote&gt;&lt;Cite&gt;&lt;Author&gt;Orayj&lt;/Author&gt;&lt;Year&gt;2019&lt;/Year&gt;&lt;RecNum&gt;15217&lt;/RecNum&gt;&lt;DisplayText&gt;(Orayj and Lane, 2019)&lt;/DisplayText&gt;&lt;record&gt;&lt;rec-number&gt;15217&lt;/rec-number&gt;&lt;foreign-keys&gt;&lt;key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disease&lt;/full-title&gt;&lt;/periodical&gt;&lt;pages&gt;1-40&lt;/pages&gt;&lt;volume&gt;2019&lt;/volume&gt;&lt;dates&gt;&lt;year&gt;2019&lt;/year&gt;&lt;/dates&gt;&lt;isbn&gt;2090-8083&lt;/isbn&gt;&lt;urls&gt;&lt;/urls&gt;&lt;/record&gt;&lt;/Cite&gt;&lt;/EndNote&gt;</w:instrText>
      </w:r>
      <w:r w:rsidRPr="002C21B8">
        <w:fldChar w:fldCharType="separate"/>
      </w:r>
      <w:r w:rsidRPr="002C21B8">
        <w:t>(Orayj and Lane, 2019)</w:t>
      </w:r>
      <w:r w:rsidRPr="002C21B8">
        <w:fldChar w:fldCharType="end"/>
      </w:r>
      <w:r w:rsidRPr="002C21B8">
        <w:t xml:space="preserve">. Concerns about potential misunderstandings, adherence and self-management led some prescribers to decide against prescribing </w:t>
      </w:r>
      <w:r w:rsidR="00F73892" w:rsidRPr="002C21B8">
        <w:t xml:space="preserve">in these situations </w:t>
      </w:r>
      <w:r w:rsidRPr="002C21B8">
        <w:t xml:space="preserve">to avoid </w:t>
      </w:r>
      <w:r w:rsidR="00F73892" w:rsidRPr="002C21B8">
        <w:t xml:space="preserve">potential </w:t>
      </w:r>
      <w:r w:rsidRPr="002C21B8">
        <w:t>risks. Support from family, community health or social care was described by prescribers to give some reassurance that a medication would be used correctly</w:t>
      </w:r>
      <w:r w:rsidR="00D805CD" w:rsidRPr="002C21B8">
        <w:t>. In some cases</w:t>
      </w:r>
      <w:r w:rsidR="00CC0260" w:rsidRPr="002C21B8">
        <w:t>,</w:t>
      </w:r>
      <w:r w:rsidR="00D805CD" w:rsidRPr="002C21B8">
        <w:t xml:space="preserve"> this led </w:t>
      </w:r>
      <w:r w:rsidRPr="002C21B8">
        <w:t xml:space="preserve">prescribers to initiate </w:t>
      </w:r>
      <w:r w:rsidR="00424C4F" w:rsidRPr="002C21B8">
        <w:t>the</w:t>
      </w:r>
      <w:r w:rsidRPr="002C21B8">
        <w:t xml:space="preserve"> medication </w:t>
      </w:r>
      <w:r w:rsidRPr="002C21B8">
        <w:fldChar w:fldCharType="begin">
          <w:fldData xml:space="preserve">PEVuZE5vdGU+PENpdGU+PEF1dGhvcj5Qcml0Y2hldHQ8L0F1dGhvcj48WWVhcj4yMDIwPC9ZZWFy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</w:fldData>
        </w:fldChar>
      </w:r>
      <w:r w:rsidR="005D7DBC" w:rsidRPr="002C21B8">
        <w:instrText xml:space="preserve"> ADDIN EN.CITE </w:instrText>
      </w:r>
      <w:r w:rsidR="005D7DBC" w:rsidRPr="002C21B8">
        <w:fldChar w:fldCharType="begin">
          <w:fldData xml:space="preserve">PEVuZE5vdGU+PENpdGU+PEF1dGhvcj5Qcml0Y2hldHQ8L0F1dGhvcj48WWVhcj4yMDIwPC9ZZWFy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</w:fldData>
        </w:fldChar>
      </w:r>
      <w:r w:rsidR="005D7DBC" w:rsidRPr="002C21B8">
        <w:instrText xml:space="preserve"> ADDIN EN.CITE.DATA </w:instrText>
      </w:r>
      <w:r w:rsidR="005D7DBC" w:rsidRPr="002C21B8">
        <w:fldChar w:fldCharType="end"/>
      </w:r>
      <w:r w:rsidRPr="002C21B8">
        <w:fldChar w:fldCharType="separate"/>
      </w:r>
      <w:r w:rsidRPr="002C21B8">
        <w:rPr>
          <w:noProof/>
        </w:rPr>
        <w:t>(Byrne</w:t>
      </w:r>
      <w:r w:rsidRPr="002C21B8">
        <w:rPr>
          <w:i/>
          <w:noProof/>
        </w:rPr>
        <w:t xml:space="preserve"> et al.</w:t>
      </w:r>
      <w:r w:rsidRPr="002C21B8">
        <w:rPr>
          <w:noProof/>
        </w:rPr>
        <w:t>, 2022; Dhungana</w:t>
      </w:r>
      <w:r w:rsidRPr="002C21B8">
        <w:rPr>
          <w:i/>
          <w:noProof/>
        </w:rPr>
        <w:t xml:space="preserve"> et al.</w:t>
      </w:r>
      <w:r w:rsidRPr="002C21B8">
        <w:rPr>
          <w:noProof/>
        </w:rPr>
        <w:t>, 2021; Pritchett</w:t>
      </w:r>
      <w:r w:rsidRPr="002C21B8">
        <w:rPr>
          <w:i/>
          <w:noProof/>
        </w:rPr>
        <w:t xml:space="preserve"> et al.</w:t>
      </w:r>
      <w:r w:rsidRPr="002C21B8">
        <w:rPr>
          <w:noProof/>
        </w:rPr>
        <w:t>, 2020; Qadi</w:t>
      </w:r>
      <w:r w:rsidRPr="002C21B8">
        <w:rPr>
          <w:i/>
          <w:noProof/>
        </w:rPr>
        <w:t xml:space="preserve"> et al.</w:t>
      </w:r>
      <w:r w:rsidRPr="002C21B8">
        <w:rPr>
          <w:noProof/>
        </w:rPr>
        <w:t>, 2020)</w:t>
      </w:r>
      <w:r w:rsidRPr="002C21B8">
        <w:fldChar w:fldCharType="end"/>
      </w:r>
      <w:r w:rsidRPr="002C21B8">
        <w:t>. Similarly</w:t>
      </w:r>
      <w:r w:rsidR="00CC0260" w:rsidRPr="002C21B8">
        <w:t>,</w:t>
      </w:r>
      <w:r w:rsidRPr="002C21B8">
        <w:t xml:space="preserve"> the need for regular monitoring or follow-up appointments was described as reassuring by prescribers</w:t>
      </w:r>
      <w:r w:rsidR="00941235" w:rsidRPr="002C21B8">
        <w:t>,</w:t>
      </w:r>
      <w:r w:rsidRPr="002C21B8">
        <w:t xml:space="preserve"> as any adverse effects or adherence issues could be detected and managed promptly</w:t>
      </w:r>
      <w:r w:rsidR="00941235" w:rsidRPr="002C21B8">
        <w:t>. They described this as</w:t>
      </w:r>
      <w:r w:rsidRPr="002C21B8">
        <w:t xml:space="preserve"> making them more likely to prescribe </w:t>
      </w:r>
      <w:r w:rsidR="00941235" w:rsidRPr="002C21B8">
        <w:t xml:space="preserve">certain </w:t>
      </w:r>
      <w:r w:rsidRPr="002C21B8">
        <w:t xml:space="preserve">medications </w:t>
      </w:r>
      <w:r w:rsidRPr="002C21B8">
        <w:fldChar w:fldCharType="begin">
          <w:fldData xml:space="preserve">PEVuZE5vdGU+PENpdGU+PEF1dGhvcj5HZW5lcmFsb3ZhPC9BdXRob3I+PFllYXI+MjAxODwvWWVh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</w:fldData>
        </w:fldChar>
      </w:r>
      <w:r w:rsidR="000215B0" w:rsidRPr="002C21B8">
        <w:instrText xml:space="preserve"> ADDIN EN.CITE </w:instrText>
      </w:r>
      <w:r w:rsidR="000215B0" w:rsidRPr="002C21B8">
        <w:fldChar w:fldCharType="begin">
          <w:fldData xml:space="preserve">PEVuZE5vdGU+PENpdGU+PEF1dGhvcj5HZW5lcmFsb3ZhPC9BdXRob3I+PFllYXI+MjAxODwvWWVh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</w:fldData>
        </w:fldChar>
      </w:r>
      <w:r w:rsidR="000215B0" w:rsidRPr="002C21B8">
        <w:instrText xml:space="preserve"> ADDIN EN.CITE.DATA </w:instrText>
      </w:r>
      <w:r w:rsidR="000215B0" w:rsidRPr="002C21B8">
        <w:fldChar w:fldCharType="end"/>
      </w:r>
      <w:r w:rsidRPr="002C21B8">
        <w:fldChar w:fldCharType="separate"/>
      </w:r>
      <w:r w:rsidRPr="002C21B8">
        <w:rPr>
          <w:noProof/>
        </w:rPr>
        <w:t>(Generalova</w:t>
      </w:r>
      <w:r w:rsidRPr="002C21B8">
        <w:rPr>
          <w:i/>
          <w:noProof/>
        </w:rPr>
        <w:t xml:space="preserve"> et al.</w:t>
      </w:r>
      <w:r w:rsidRPr="002C21B8">
        <w:rPr>
          <w:noProof/>
        </w:rPr>
        <w:t>, 2018; Pritchett</w:t>
      </w:r>
      <w:r w:rsidRPr="002C21B8">
        <w:rPr>
          <w:i/>
          <w:noProof/>
        </w:rPr>
        <w:t xml:space="preserve"> et al.</w:t>
      </w:r>
      <w:r w:rsidRPr="002C21B8">
        <w:rPr>
          <w:noProof/>
        </w:rPr>
        <w:t>, 2020)</w:t>
      </w:r>
      <w:r w:rsidRPr="002C21B8">
        <w:fldChar w:fldCharType="end"/>
      </w:r>
      <w:r w:rsidRPr="002C21B8">
        <w:t>.</w:t>
      </w:r>
    </w:p>
    <w:p w14:paraId="3021D6C4" w14:textId="07196F78" w:rsidR="002F0740" w:rsidRPr="002C21B8" w:rsidRDefault="002F0740" w:rsidP="002F0740">
      <w:r w:rsidRPr="002C21B8">
        <w:t xml:space="preserve">Prescribers stated that multiple comorbidities complicated their prescribing decision-making as interactions with other medical conditions and competing priorities made risk assessment more challenging </w:t>
      </w:r>
      <w:r w:rsidRPr="002C21B8">
        <w:fldChar w:fldCharType="begin">
          <w:fldData xml:space="preserve">PEVuZE5vdGU+PENpdGU+PEF1dGhvcj5NYXMgRGFsbWF1PC9BdXRob3I+PFllYXI+MjAxNzwvWWVh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 </w:instrText>
      </w:r>
      <w:r w:rsidR="00455B2B" w:rsidRPr="002C21B8">
        <w:fldChar w:fldCharType="begin">
          <w:fldData xml:space="preserve">PEVuZE5vdGU+PENpdGU+PEF1dGhvcj5NYXMgRGFsbWF1PC9BdXRob3I+PFllYXI+MjAxNzwvWWVh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Mas Dalmau</w:t>
      </w:r>
      <w:r w:rsidRPr="002C21B8">
        <w:rPr>
          <w:i/>
          <w:noProof/>
        </w:rPr>
        <w:t xml:space="preserve"> et al.</w:t>
      </w:r>
      <w:r w:rsidRPr="002C21B8">
        <w:rPr>
          <w:noProof/>
        </w:rPr>
        <w:t>, 2017; Orayj and Lane, 2019; Osasu, Cooper and Mitchell, 2021)</w:t>
      </w:r>
      <w:r w:rsidRPr="002C21B8">
        <w:fldChar w:fldCharType="end"/>
      </w:r>
      <w:r w:rsidRPr="002C21B8">
        <w:t xml:space="preserve">. They perceived comorbidities that cause dependency or reduced coping ability as carrying the most risk, influencing the likelihood of initiating a long-term medication </w:t>
      </w:r>
      <w:r w:rsidRPr="002C21B8">
        <w:fldChar w:fldCharType="begin">
          <w:fldData xml:space="preserve">PEVuZE5vdGU+PENpdGU+PEF1dGhvcj5NYXMgRGFsbWF1PC9BdXRob3I+PFllYXI+MjAxNzwvWWVh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NDktMDE3MjwvaXNibj48dXJscz48L3VybHM+PC9yZWNvcmQ+PC9DaXRlPjwvRW5kTm90ZT4A
</w:fldData>
        </w:fldChar>
      </w:r>
      <w:r w:rsidR="00455B2B" w:rsidRPr="002C21B8">
        <w:instrText xml:space="preserve"> ADDIN EN.CITE </w:instrText>
      </w:r>
      <w:r w:rsidR="00455B2B" w:rsidRPr="002C21B8">
        <w:fldChar w:fldCharType="begin">
          <w:fldData xml:space="preserve">PEVuZE5vdGU+PENpdGU+PEF1dGhvcj5NYXMgRGFsbWF1PC9BdXRob3I+PFllYXI+MjAxNzwvWWVh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NDktMDE3MjwvaXNibj48dXJscz48L3VybHM+PC9yZWNvcmQ+PC9DaXRlPjwvRW5kTm90ZT4A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Mas Dalmau</w:t>
      </w:r>
      <w:r w:rsidRPr="002C21B8">
        <w:rPr>
          <w:i/>
          <w:noProof/>
        </w:rPr>
        <w:t xml:space="preserve"> et al.</w:t>
      </w:r>
      <w:r w:rsidRPr="002C21B8">
        <w:rPr>
          <w:noProof/>
        </w:rPr>
        <w:t>, 2017; Orayj and Lane, 2019; Osasu, Cooper and Mitchell, 2021; Pritchett</w:t>
      </w:r>
      <w:r w:rsidRPr="002C21B8">
        <w:rPr>
          <w:i/>
          <w:noProof/>
        </w:rPr>
        <w:t xml:space="preserve"> et al.</w:t>
      </w:r>
      <w:r w:rsidRPr="002C21B8">
        <w:rPr>
          <w:noProof/>
        </w:rPr>
        <w:t>, 2020)</w:t>
      </w:r>
      <w:r w:rsidRPr="002C21B8">
        <w:fldChar w:fldCharType="end"/>
      </w:r>
      <w:r w:rsidRPr="002C21B8">
        <w:t>.</w:t>
      </w:r>
    </w:p>
    <w:p w14:paraId="1D38E19D" w14:textId="0732C9EB" w:rsidR="002F0740" w:rsidRPr="002C21B8" w:rsidRDefault="002F0740" w:rsidP="002F0740">
      <w:r w:rsidRPr="002C21B8">
        <w:t xml:space="preserve">Patient age was reported as a common factor in risk-benefit assessments. Some prescribers preferred to offer lifestyle changes before medications to younger patients, believing that this age group might prefer to avoid taking medications long-term </w:t>
      </w:r>
      <w:r w:rsidRPr="002C21B8">
        <w:fldChar w:fldCharType="begin"/>
      </w:r>
      <w:r w:rsidRPr="002C21B8">
        <w:instrText xml:space="preserve"> ADDIN EN.CITE &lt;EndNote&gt;&lt;Cite&gt;&lt;Author&gt;Pieper&lt;/Author&gt;&lt;Year&gt;2018&lt;/Year&gt;&lt;RecNum&gt;17399&lt;/RecNum&gt;&lt;DisplayText&gt;(Pieper&lt;style face="italic"&gt; et al.&lt;/style&gt;, 2018)&lt;/DisplayText&gt;&lt;record&gt;&lt;rec-number&gt;17399&lt;/rec-number&gt;&lt;foreign-keys&gt;&lt;key app="EN" db-id="xpefzwa5hf9dt2ea9fax95x7xvxz90v09dtf" timestamp="1719703883"&gt;17399&lt;/key&gt;&lt;/foreign-keys&gt;&lt;ref-type name="Journal Article"&gt;17&lt;/ref-type&gt;&lt;contributors&gt;&lt;authors&gt;&lt;author&gt;Pieper, Dawid&lt;/author&gt;&lt;author&gt;Koensgen, Nadja&lt;/author&gt;&lt;author&gt;Breuing, Jessica&lt;/author&gt;&lt;author&gt;Ge, Long&lt;/author&gt;&lt;author&gt;Wegewitz, Uta&lt;/author&gt;&lt;/authors&gt;&lt;/contributors&gt;&lt;titles&gt;&lt;title&gt;How is AMSTAR applied by authors – a call for better reporting&lt;/title&gt;&lt;secondary-title&gt;BMC Medical Research Methodology&lt;/secondary-title&gt;&lt;/titles&gt;&lt;periodical&gt;&lt;full-title&gt;BMC medical research methodology&lt;/full-title&gt;&lt;/periodical&gt;&lt;pages&gt;56&lt;/pages&gt;&lt;volume&gt;18&lt;/volume&gt;&lt;number&gt;1&lt;/number&gt;&lt;dates&gt;&lt;year&gt;2018&lt;/year&gt;&lt;pub-dates&gt;&lt;date&gt;2018/06/18&lt;/date&gt;&lt;/pub-dates&gt;&lt;/dates&gt;&lt;isbn&gt;1471-2288&lt;/isbn&gt;&lt;urls&gt;&lt;related-urls&gt;&lt;url&gt;https://doi.org/10.1186/s12874-018-0520-z&lt;/url&gt;&lt;/related-urls&gt;&lt;/urls&gt;&lt;electronic-resource-num&gt;10.1186/s12874-018-0520-z&lt;/electronic-resource-num&gt;&lt;/record&gt;&lt;/Cite&gt;&lt;/EndNote&gt;</w:instrText>
      </w:r>
      <w:r w:rsidRPr="002C21B8">
        <w:fldChar w:fldCharType="separate"/>
      </w:r>
      <w:r w:rsidRPr="002C21B8">
        <w:t>(Pieper</w:t>
      </w:r>
      <w:r w:rsidRPr="002C21B8">
        <w:rPr>
          <w:i/>
        </w:rPr>
        <w:t xml:space="preserve"> et al.</w:t>
      </w:r>
      <w:r w:rsidRPr="002C21B8">
        <w:t>, 2018)</w:t>
      </w:r>
      <w:r w:rsidRPr="002C21B8">
        <w:fldChar w:fldCharType="end"/>
      </w:r>
      <w:r w:rsidRPr="002C21B8">
        <w:t xml:space="preserve">. They reported viewing patients with longer disease durations or more severe symptoms to have more to gain from long-term medications </w:t>
      </w:r>
      <w:r w:rsidRPr="002C21B8">
        <w:fldChar w:fldCharType="begin">
          <w:fldData xml:space="preserve">PEVuZE5vdGU+PENpdGU+PEF1dGhvcj5PcmF5ajwvQXV0aG9yPjxZZWFyPjIwMTk8L1llYXI+PFJl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ZWNvcmQ+PC9DaXRlPjwvRW5kTm90ZT4A
</w:fldData>
        </w:fldChar>
      </w:r>
      <w:r w:rsidR="00455B2B" w:rsidRPr="002C21B8">
        <w:instrText xml:space="preserve"> ADDIN EN.CITE </w:instrText>
      </w:r>
      <w:r w:rsidR="00455B2B" w:rsidRPr="002C21B8">
        <w:fldChar w:fldCharType="begin">
          <w:fldData xml:space="preserve">PEVuZE5vdGU+PENpdGU+PEF1dGhvcj5PcmF5ajwvQXV0aG9yPjxZZWFyPjIwMTk8L1llYXI+PFJl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ZWNvcmQ+PC9DaXRlPjwvRW5kTm90ZT4A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Orayj and Lane, 2019)</w:t>
      </w:r>
      <w:r w:rsidRPr="002C21B8">
        <w:fldChar w:fldCharType="end"/>
      </w:r>
      <w:r w:rsidR="00A064A8" w:rsidRPr="002C21B8">
        <w:t>. I</w:t>
      </w:r>
      <w:r w:rsidRPr="002C21B8">
        <w:t>f the condition persisted for too long or led to frailty, th</w:t>
      </w:r>
      <w:r w:rsidR="002B7E8C" w:rsidRPr="002C21B8">
        <w:t>e associated</w:t>
      </w:r>
      <w:r w:rsidRPr="002C21B8">
        <w:t xml:space="preserve"> benefits might not outweigh the risks </w:t>
      </w:r>
      <w:r w:rsidRPr="002C21B8">
        <w:fldChar w:fldCharType="begin"/>
      </w:r>
      <w:r w:rsidR="00455B2B" w:rsidRPr="002C21B8">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(Lalor</w:t>
      </w:r>
      <w:r w:rsidRPr="002C21B8">
        <w:rPr>
          <w:i/>
          <w:noProof/>
        </w:rPr>
        <w:t xml:space="preserve"> et al.</w:t>
      </w:r>
      <w:r w:rsidRPr="002C21B8">
        <w:rPr>
          <w:noProof/>
        </w:rPr>
        <w:t>, 2022)</w:t>
      </w:r>
      <w:r w:rsidRPr="002C21B8">
        <w:fldChar w:fldCharType="end"/>
      </w:r>
      <w:r w:rsidRPr="002C21B8">
        <w:t xml:space="preserve">. Prescribers described their assessment of patient frailty </w:t>
      </w:r>
      <w:r w:rsidR="00AB5BCF" w:rsidRPr="002C21B8">
        <w:t>as being</w:t>
      </w:r>
      <w:r w:rsidRPr="002C21B8">
        <w:t xml:space="preserve"> based on clinical judgment and frailty assessment tools </w:t>
      </w:r>
      <w:r w:rsidRPr="002C21B8">
        <w:fldChar w:fldCharType="begin">
          <w:fldData xml:space="preserve">PEVuZE5vdGU+PENpdGU+PEF1dGhvcj5CeXJuZTwvQXV0aG9yPjxZZWFyPjIwMjI8L1llYXI+PFJl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ZWNvcmQ+PC9DaXRlPjwvRW5kTm90ZT5=
</w:fldData>
        </w:fldChar>
      </w:r>
      <w:r w:rsidR="00455B2B" w:rsidRPr="002C21B8">
        <w:instrText xml:space="preserve"> ADDIN EN.CITE </w:instrText>
      </w:r>
      <w:r w:rsidR="00455B2B" w:rsidRPr="002C21B8">
        <w:fldChar w:fldCharType="begin">
          <w:fldData xml:space="preserve">PEVuZE5vdGU+PENpdGU+PEF1dGhvcj5CeXJuZTwvQXV0aG9yPjxZZWFyPjIwMjI8L1llYXI+PFJl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</w:fldData>
        </w:fldChar>
      </w:r>
      <w:r w:rsidR="00455B2B" w:rsidRPr="002C21B8">
        <w:instrText xml:space="preserve"> ADDIN EN.CITE.DATA </w:instrText>
      </w:r>
      <w:r w:rsidR="00455B2B" w:rsidRPr="002C21B8">
        <w:fldChar w:fldCharType="end"/>
      </w:r>
      <w:r w:rsidRPr="002C21B8">
        <w:fldChar w:fldCharType="separate"/>
      </w:r>
      <w:r w:rsidRPr="002C21B8">
        <w:rPr>
          <w:noProof/>
        </w:rPr>
        <w:t>(Byrne</w:t>
      </w:r>
      <w:r w:rsidRPr="002C21B8">
        <w:rPr>
          <w:i/>
          <w:noProof/>
        </w:rPr>
        <w:t xml:space="preserve"> et al.</w:t>
      </w:r>
      <w:r w:rsidRPr="002C21B8">
        <w:rPr>
          <w:noProof/>
        </w:rPr>
        <w:t>, 2022; Lalor</w:t>
      </w:r>
      <w:r w:rsidRPr="002C21B8">
        <w:rPr>
          <w:i/>
          <w:noProof/>
        </w:rPr>
        <w:t xml:space="preserve"> et al.</w:t>
      </w:r>
      <w:r w:rsidRPr="002C21B8">
        <w:rPr>
          <w:noProof/>
        </w:rPr>
        <w:t>, 2022)</w:t>
      </w:r>
      <w:r w:rsidRPr="002C21B8">
        <w:fldChar w:fldCharType="end"/>
      </w:r>
      <w:r w:rsidRPr="002C21B8">
        <w:t>.</w:t>
      </w:r>
    </w:p>
    <w:p w14:paraId="2A3417A8" w14:textId="15D726B3" w:rsidR="002F0740" w:rsidRPr="002C21B8" w:rsidRDefault="002F0740" w:rsidP="002F0740">
      <w:r w:rsidRPr="002C21B8">
        <w:t xml:space="preserve">More experienced healthcare professionals described being more accepting of risk when prescribing long-term medications </w:t>
      </w:r>
      <w:r w:rsidRPr="002C21B8">
        <w:fldChar w:fldCharType="begin">
          <w:fldData xml:space="preserve">PEVuZE5vdGU+PENpdGU+PEF1dGhvcj5CaW4gUnNoZWVkPC9BdXRob3I+PFllYXI+MjAxNzwvWWVh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</w:fldData>
        </w:fldChar>
      </w:r>
      <w:r w:rsidR="000215B0" w:rsidRPr="002C21B8">
        <w:instrText xml:space="preserve"> ADDIN EN.CITE </w:instrText>
      </w:r>
      <w:r w:rsidR="000215B0" w:rsidRPr="002C21B8">
        <w:fldChar w:fldCharType="begin">
          <w:fldData xml:space="preserve">PEVuZE5vdGU+PENpdGU+PEF1dGhvcj5CaW4gUnNoZWVkPC9BdXRob3I+PFllYXI+MjAxNzwvWWVh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Generalova</w:t>
      </w:r>
      <w:r w:rsidRPr="002C21B8">
        <w:rPr>
          <w:i/>
          <w:noProof/>
        </w:rPr>
        <w:t xml:space="preserve"> et al.</w:t>
      </w:r>
      <w:r w:rsidRPr="002C21B8">
        <w:rPr>
          <w:noProof/>
        </w:rPr>
        <w:t>, 2018; Osasu, Cooper and Mitchell, 2021; Pritchett</w:t>
      </w:r>
      <w:r w:rsidRPr="002C21B8">
        <w:rPr>
          <w:i/>
          <w:noProof/>
        </w:rPr>
        <w:t xml:space="preserve"> et al.</w:t>
      </w:r>
      <w:r w:rsidRPr="002C21B8">
        <w:rPr>
          <w:noProof/>
        </w:rPr>
        <w:t>, 2020)</w:t>
      </w:r>
      <w:r w:rsidRPr="002C21B8">
        <w:fldChar w:fldCharType="end"/>
      </w:r>
      <w:r w:rsidRPr="002C21B8">
        <w:t xml:space="preserve">. </w:t>
      </w:r>
      <w:r w:rsidR="00AB5BCF" w:rsidRPr="002C21B8">
        <w:t>E</w:t>
      </w:r>
      <w:r w:rsidRPr="002C21B8">
        <w:t xml:space="preserve">xperience was described </w:t>
      </w:r>
      <w:r w:rsidR="00AB5BCF" w:rsidRPr="002C21B8">
        <w:t xml:space="preserve">based on </w:t>
      </w:r>
      <w:r w:rsidRPr="002C21B8">
        <w:t>the number of years in practice</w:t>
      </w:r>
      <w:r w:rsidR="00CC0260" w:rsidRPr="002C21B8">
        <w:t>,</w:t>
      </w:r>
      <w:r w:rsidRPr="002C21B8">
        <w:t xml:space="preserve"> but also familiarity with the medication or regular use in clinical practice </w:t>
      </w:r>
      <w:r w:rsidRPr="002C21B8">
        <w:fldChar w:fldCharType="begin">
          <w:fldData xml:space="preserve">PEVuZE5vdGU+PENpdGU+PEF1dGhvcj5Pc2FzdTwvQXV0aG9yPjxZZWFyPjIwMjE8L1llYXI+PFJl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==
</w:fldData>
        </w:fldChar>
      </w:r>
      <w:r w:rsidR="00FF0A99" w:rsidRPr="002C21B8">
        <w:instrText xml:space="preserve"> ADDIN EN.CITE </w:instrText>
      </w:r>
      <w:r w:rsidR="00FF0A99" w:rsidRPr="002C21B8">
        <w:fldChar w:fldCharType="begin">
          <w:fldData xml:space="preserve">PEVuZE5vdGU+PENpdGU+PEF1dGhvcj5Pc2FzdTwvQXV0aG9yPjxZZWFyPjIwMjE8L1llYXI+PFJl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==
</w:fldData>
        </w:fldChar>
      </w:r>
      <w:r w:rsidR="00FF0A99" w:rsidRPr="002C21B8">
        <w:instrText xml:space="preserve"> ADDIN EN.CITE.DATA </w:instrText>
      </w:r>
      <w:r w:rsidR="00FF0A99" w:rsidRPr="002C21B8">
        <w:fldChar w:fldCharType="end"/>
      </w:r>
      <w:r w:rsidRPr="002C21B8">
        <w:fldChar w:fldCharType="separate"/>
      </w:r>
      <w:r w:rsidRPr="002C21B8">
        <w:rPr>
          <w:noProof/>
        </w:rPr>
        <w:t>(Osasu, Cooper and Mitchell, 2021)</w:t>
      </w:r>
      <w:r w:rsidRPr="002C21B8">
        <w:fldChar w:fldCharType="end"/>
      </w:r>
      <w:r w:rsidRPr="002C21B8">
        <w:t>. Prescriber type could influence comfort</w:t>
      </w:r>
      <w:r w:rsidR="00CC0260" w:rsidRPr="002C21B8">
        <w:t xml:space="preserve"> level</w:t>
      </w:r>
      <w:r w:rsidRPr="002C21B8">
        <w:t xml:space="preserve"> w</w:t>
      </w:r>
      <w:r w:rsidR="00C474BE">
        <w:t>hen</w:t>
      </w:r>
      <w:r w:rsidRPr="002C21B8">
        <w:t xml:space="preserve"> prescribing</w:t>
      </w:r>
      <w:r w:rsidR="00CC0260" w:rsidRPr="002C21B8">
        <w:t xml:space="preserve"> certain medications</w:t>
      </w:r>
      <w:r w:rsidR="00AB5BCF" w:rsidRPr="002C21B8">
        <w:t>. S</w:t>
      </w:r>
      <w:r w:rsidRPr="002C21B8">
        <w:t xml:space="preserve">ome primary care practitioners described being less comfortable with risk, preferring to defer high-risk prescribing decisions </w:t>
      </w:r>
      <w:r w:rsidRPr="002C21B8">
        <w:fldChar w:fldCharType="begin">
          <w:fldData xml:space="preserve">PEVuZE5vdGU+PENpdGU+PEF1dGhvcj5OZzwvQXV0aG9yPjxZZWFyPjIwMTU8L1llYXI+PFJlY051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L3JlY29yZD48L0NpdGU+PENpdGU+PEF1dGhvcj5Qcml0Y2hldHQ8L0F1dGhvcj48WWVhcj4yMDIw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</w:fldData>
        </w:fldChar>
      </w:r>
      <w:r w:rsidR="000215B0" w:rsidRPr="002C21B8">
        <w:instrText xml:space="preserve"> ADDIN EN.CITE </w:instrText>
      </w:r>
      <w:r w:rsidR="000215B0" w:rsidRPr="002C21B8">
        <w:fldChar w:fldCharType="begin">
          <w:fldData xml:space="preserve">PEVuZE5vdGU+PENpdGU+PEF1dGhvcj5OZzwvQXV0aG9yPjxZZWFyPjIwMTU8L1llYXI+PFJlY051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L3JlY29yZD48L0NpdGU+PENpdGU+PEF1dGhvcj5Qcml0Y2hldHQ8L0F1dGhvcj48WWVhcj4yMDIw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Ju</w:t>
      </w:r>
      <w:r w:rsidRPr="002C21B8">
        <w:rPr>
          <w:i/>
          <w:noProof/>
        </w:rPr>
        <w:t xml:space="preserve"> et al.</w:t>
      </w:r>
      <w:r w:rsidRPr="002C21B8">
        <w:rPr>
          <w:noProof/>
        </w:rPr>
        <w:t>, 2018; Ng</w:t>
      </w:r>
      <w:r w:rsidRPr="002C21B8">
        <w:rPr>
          <w:i/>
          <w:noProof/>
        </w:rPr>
        <w:t xml:space="preserve"> et al.</w:t>
      </w:r>
      <w:r w:rsidRPr="002C21B8">
        <w:rPr>
          <w:noProof/>
        </w:rPr>
        <w:t>, 2015; Pritchett</w:t>
      </w:r>
      <w:r w:rsidRPr="002C21B8">
        <w:rPr>
          <w:i/>
          <w:noProof/>
        </w:rPr>
        <w:t xml:space="preserve"> et al.</w:t>
      </w:r>
      <w:r w:rsidRPr="002C21B8">
        <w:rPr>
          <w:noProof/>
        </w:rPr>
        <w:t>, 2020)</w:t>
      </w:r>
      <w:r w:rsidRPr="002C21B8">
        <w:fldChar w:fldCharType="end"/>
      </w:r>
      <w:r w:rsidRPr="002C21B8">
        <w:t xml:space="preserve"> or co-managing with specialists in secondary care </w:t>
      </w:r>
      <w:r w:rsidRPr="002C21B8">
        <w:fldChar w:fldCharType="begin"/>
      </w:r>
      <w:r w:rsidR="002F6167" w:rsidRPr="002C21B8">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fldChar w:fldCharType="separate"/>
      </w:r>
      <w:r w:rsidRPr="002C21B8">
        <w:rPr>
          <w:noProof/>
        </w:rPr>
        <w:t>(Ju</w:t>
      </w:r>
      <w:r w:rsidRPr="002C21B8">
        <w:rPr>
          <w:i/>
          <w:noProof/>
        </w:rPr>
        <w:t xml:space="preserve"> et al.</w:t>
      </w:r>
      <w:r w:rsidRPr="002C21B8">
        <w:rPr>
          <w:noProof/>
        </w:rPr>
        <w:t>, 2018)</w:t>
      </w:r>
      <w:r w:rsidRPr="002C21B8">
        <w:fldChar w:fldCharType="end"/>
      </w:r>
      <w:r w:rsidRPr="002C21B8">
        <w:t xml:space="preserve">. Prescribers stated that while they primarily relied on their clinical judgement, they were also influenced by objective measures such as disease severity markers </w:t>
      </w:r>
      <w:r w:rsidRPr="002C21B8">
        <w:fldChar w:fldCharType="begin"/>
      </w:r>
      <w:r w:rsidR="00455B2B" w:rsidRPr="002C21B8">
        <w:instrText xml:space="preserve"> ADDIN EN.CITE &lt;EndNote&gt;&lt;Cite&gt;&lt;Author&gt;Bin Rsheed&lt;/Author&gt;&lt;Year&gt;2017&lt;/Year&gt;&lt;RecNum&gt;15208&lt;/RecNum&gt;&lt;DisplayText&gt;(Bin Rsheed and Chenoweth, 2017; Lalor&lt;style face="italic"&gt; et al.&lt;/style&gt;, 2022)&lt;/DisplayText&gt;&lt;record&gt;&lt;rec-number&gt;15208&lt;/rec-number&gt;&lt;foreign-keys&gt;&lt;key app="EN" db-id="xpefzwa5hf9dt2ea9fax95x7xvxz90v09dtf" timestamp="1713272055"&gt;15208&lt;/key&gt;&lt;/foreign-keys&gt;&lt;ref-type name="Journal Article"&gt;17&lt;/ref-type&gt;&lt;contributors&gt;&lt;authors&gt;&lt;author&gt;Bin Rsheed, A&lt;/author&gt;&lt;author&gt;Chenoweth, I&lt;/author&gt;&lt;/authors&gt;&lt;/contributors&gt;&lt;titles&gt;&lt;title&gt;Barriers that practitioners face when initiating insulin therapy in general practice settings and how they can be overcome &lt;/title&gt;&lt;secondary-title&gt;World Journal of Diabetes&lt;/secondary-title&gt;&lt;/titles&gt;&lt;periodical&gt;&lt;full-title&gt;World journal of diabetes&lt;/full-title&gt;&lt;/periodical&gt;&lt;pages&gt;28–39&lt;/pages&gt;&lt;volume&gt;8&lt;/volume&gt;&lt;num-vols&gt;(1)&lt;/num-vols&gt;&lt;dates&gt;&lt;year&gt;2017&lt;/year&gt;&lt;/dates&gt;&lt;urls&gt;&lt;/urls&gt;&lt;/record&gt;&lt;/Cite&gt;&lt;Cite&gt;&lt;Author&gt;Lalor&lt;/Author&gt;&lt;Year&gt;2022&lt;/Year&gt;&lt;RecNum&gt;15214&lt;/RecNum&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(Bin Rsheed and Chenoweth, 2017; Lalor</w:t>
      </w:r>
      <w:r w:rsidRPr="002C21B8">
        <w:rPr>
          <w:i/>
          <w:noProof/>
        </w:rPr>
        <w:t xml:space="preserve"> et al.</w:t>
      </w:r>
      <w:r w:rsidRPr="002C21B8">
        <w:rPr>
          <w:noProof/>
        </w:rPr>
        <w:t>, 2022)</w:t>
      </w:r>
      <w:r w:rsidRPr="002C21B8">
        <w:fldChar w:fldCharType="end"/>
      </w:r>
      <w:r w:rsidRPr="002C21B8">
        <w:t xml:space="preserve"> and risk assessment tools </w:t>
      </w:r>
      <w:r w:rsidRPr="002C21B8">
        <w:fldChar w:fldCharType="begin"/>
      </w:r>
      <w:r w:rsidR="002F6167" w:rsidRPr="002C21B8">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fldChar w:fldCharType="separate"/>
      </w:r>
      <w:r w:rsidRPr="002C21B8">
        <w:rPr>
          <w:noProof/>
        </w:rPr>
        <w:t>(Ju</w:t>
      </w:r>
      <w:r w:rsidRPr="002C21B8">
        <w:rPr>
          <w:i/>
          <w:noProof/>
        </w:rPr>
        <w:t xml:space="preserve"> et al.</w:t>
      </w:r>
      <w:r w:rsidRPr="002C21B8">
        <w:rPr>
          <w:noProof/>
        </w:rPr>
        <w:t>, 2018)</w:t>
      </w:r>
      <w:r w:rsidRPr="002C21B8">
        <w:fldChar w:fldCharType="end"/>
      </w:r>
      <w:r w:rsidRPr="002C21B8">
        <w:t>.</w:t>
      </w:r>
    </w:p>
    <w:p w14:paraId="2B7C56C8" w14:textId="77777777" w:rsidR="002F0740" w:rsidRPr="002C21B8" w:rsidRDefault="002F0740" w:rsidP="002F0740">
      <w:pPr>
        <w:spacing w:before="240" w:after="0"/>
        <w:rPr>
          <w:b/>
          <w:bCs/>
          <w:i/>
          <w:iCs/>
        </w:rPr>
      </w:pPr>
      <w:r w:rsidRPr="002C21B8">
        <w:rPr>
          <w:b/>
          <w:bCs/>
          <w:i/>
          <w:iCs/>
        </w:rPr>
        <w:t>Clinical inertia – which may result from factors related to prescribers, interactions between healthcare professionals and the healthcare system</w:t>
      </w:r>
    </w:p>
    <w:p w14:paraId="5C1A0CD3" w14:textId="019351B4" w:rsidR="002F0740" w:rsidRPr="002C21B8" w:rsidRDefault="002F0740" w:rsidP="002F0740">
      <w:r w:rsidRPr="002C21B8">
        <w:t xml:space="preserve">Prescribers expressed that their lack of knowledge could contribute to delays or reluctance </w:t>
      </w:r>
      <w:r w:rsidR="00AB5BCF" w:rsidRPr="002C21B8">
        <w:t>to</w:t>
      </w:r>
      <w:r w:rsidRPr="002C21B8">
        <w:t xml:space="preserve"> initiat</w:t>
      </w:r>
      <w:r w:rsidR="00AB5BCF" w:rsidRPr="002C21B8">
        <w:t>e</w:t>
      </w:r>
      <w:r w:rsidRPr="002C21B8">
        <w:t xml:space="preserve"> some medications </w:t>
      </w:r>
      <w:r w:rsidRPr="002C21B8">
        <w:fldChar w:fldCharType="begin">
          <w:fldData xml:space="preserve">PEVuZE5vdGU+PENpdGU+PEF1dGhvcj5LaGF0aWI8L0F1dGhvcj48WWVhcj4yMDE0PC9ZZWFyPjxS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</w:fldData>
        </w:fldChar>
      </w:r>
      <w:r w:rsidR="00455B2B" w:rsidRPr="002C21B8">
        <w:instrText xml:space="preserve"> ADDIN EN.CITE </w:instrText>
      </w:r>
      <w:r w:rsidR="00455B2B" w:rsidRPr="002C21B8">
        <w:fldChar w:fldCharType="begin">
          <w:fldData xml:space="preserve">PEVuZE5vdGU+PENpdGU+PEF1dGhvcj5LaGF0aWI8L0F1dGhvcj48WWVhcj4yMDE0PC9ZZWFyPjxS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</w:fldData>
        </w:fldChar>
      </w:r>
      <w:r w:rsidR="00455B2B" w:rsidRPr="002C21B8">
        <w:instrText xml:space="preserve"> ADDIN EN.CITE.DATA </w:instrText>
      </w:r>
      <w:r w:rsidR="00455B2B" w:rsidRPr="002C21B8">
        <w:fldChar w:fldCharType="end"/>
      </w:r>
      <w:r w:rsidRPr="002C21B8">
        <w:fldChar w:fldCharType="separate"/>
      </w:r>
      <w:r w:rsidRPr="002C21B8">
        <w:rPr>
          <w:noProof/>
        </w:rPr>
        <w:t>(Bin Rsheed and Chenoweth, 2017; Byrne</w:t>
      </w:r>
      <w:r w:rsidRPr="002C21B8">
        <w:rPr>
          <w:i/>
          <w:noProof/>
        </w:rPr>
        <w:t xml:space="preserve"> et al.</w:t>
      </w:r>
      <w:r w:rsidRPr="002C21B8">
        <w:rPr>
          <w:noProof/>
        </w:rPr>
        <w:t>, 2022; Khatib</w:t>
      </w:r>
      <w:r w:rsidRPr="002C21B8">
        <w:rPr>
          <w:i/>
          <w:noProof/>
        </w:rPr>
        <w:t xml:space="preserve"> et al.</w:t>
      </w:r>
      <w:r w:rsidRPr="002C21B8">
        <w:rPr>
          <w:noProof/>
        </w:rPr>
        <w:t>, 2014; Lalor</w:t>
      </w:r>
      <w:r w:rsidRPr="002C21B8">
        <w:rPr>
          <w:i/>
          <w:noProof/>
        </w:rPr>
        <w:t xml:space="preserve"> et al.</w:t>
      </w:r>
      <w:r w:rsidRPr="002C21B8">
        <w:rPr>
          <w:noProof/>
        </w:rPr>
        <w:t>, 2022; Ng</w:t>
      </w:r>
      <w:r w:rsidRPr="002C21B8">
        <w:rPr>
          <w:i/>
          <w:noProof/>
        </w:rPr>
        <w:t xml:space="preserve"> et al.</w:t>
      </w:r>
      <w:r w:rsidRPr="002C21B8">
        <w:rPr>
          <w:noProof/>
        </w:rPr>
        <w:t>, 2015; Osasu, Cooper and Mitchell, 2021; Rushforth</w:t>
      </w:r>
      <w:r w:rsidRPr="002C21B8">
        <w:rPr>
          <w:i/>
          <w:noProof/>
        </w:rPr>
        <w:t xml:space="preserve"> et al.</w:t>
      </w:r>
      <w:r w:rsidRPr="002C21B8">
        <w:rPr>
          <w:noProof/>
        </w:rPr>
        <w:t>, 2016)</w:t>
      </w:r>
      <w:r w:rsidRPr="002C21B8">
        <w:fldChar w:fldCharType="end"/>
      </w:r>
      <w:r w:rsidRPr="002C21B8">
        <w:t xml:space="preserve">. Potential reasons cited for this were insufficient training </w:t>
      </w:r>
      <w:r w:rsidRPr="002C21B8">
        <w:fldChar w:fldCharType="begin">
          <w:fldData xml:space="preserve">PEVuZE5vdGU+PENpdGU+PEF1dGhvcj5HZW5lcmFsb3ZhPC9BdXRob3I+PFllYXI+MjAxODwvWWVh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</w:fldData>
        </w:fldChar>
      </w:r>
      <w:r w:rsidR="00455B2B" w:rsidRPr="002C21B8">
        <w:instrText xml:space="preserve"> ADDIN EN.CITE </w:instrText>
      </w:r>
      <w:r w:rsidR="00455B2B" w:rsidRPr="002C21B8">
        <w:fldChar w:fldCharType="begin">
          <w:fldData xml:space="preserve">PEVuZE5vdGU+PENpdGU+PEF1dGhvcj5HZW5lcmFsb3ZhPC9BdXRob3I+PFllYXI+MjAxODwvWWVh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</w:fldData>
        </w:fldChar>
      </w:r>
      <w:r w:rsidR="00455B2B" w:rsidRPr="002C21B8">
        <w:instrText xml:space="preserve"> ADDIN EN.CITE.DATA </w:instrText>
      </w:r>
      <w:r w:rsidR="00455B2B" w:rsidRPr="002C21B8">
        <w:fldChar w:fldCharType="end"/>
      </w:r>
      <w:r w:rsidRPr="002C21B8">
        <w:fldChar w:fldCharType="separate"/>
      </w:r>
      <w:r w:rsidRPr="002C21B8">
        <w:rPr>
          <w:noProof/>
        </w:rPr>
        <w:t>(Generalova</w:t>
      </w:r>
      <w:r w:rsidRPr="002C21B8">
        <w:rPr>
          <w:i/>
          <w:noProof/>
        </w:rPr>
        <w:t xml:space="preserve"> et al.</w:t>
      </w:r>
      <w:r w:rsidRPr="002C21B8">
        <w:rPr>
          <w:noProof/>
        </w:rPr>
        <w:t>, 2018; Lalor</w:t>
      </w:r>
      <w:r w:rsidRPr="002C21B8">
        <w:rPr>
          <w:i/>
          <w:noProof/>
        </w:rPr>
        <w:t xml:space="preserve"> et al.</w:t>
      </w:r>
      <w:r w:rsidRPr="002C21B8">
        <w:rPr>
          <w:noProof/>
        </w:rPr>
        <w:t>, 2022; Osasu, Cooper and Mitchell, 2021)</w:t>
      </w:r>
      <w:r w:rsidRPr="002C21B8">
        <w:fldChar w:fldCharType="end"/>
      </w:r>
      <w:r w:rsidRPr="002C21B8">
        <w:t xml:space="preserve">, limited experience </w:t>
      </w:r>
      <w:r w:rsidRPr="002C21B8">
        <w:fldChar w:fldCharType="begin">
          <w:fldData xml:space="preserve">PEVuZE5vdGU+PENpdGU+PEF1dGhvcj5HZW5lcmFsb3ZhPC9BdXRob3I+PFllYXI+MjAxODwvWWVh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</w:fldData>
        </w:fldChar>
      </w:r>
      <w:r w:rsidR="00455B2B" w:rsidRPr="002C21B8">
        <w:instrText xml:space="preserve"> ADDIN EN.CITE </w:instrText>
      </w:r>
      <w:r w:rsidR="00455B2B" w:rsidRPr="002C21B8">
        <w:fldChar w:fldCharType="begin">
          <w:fldData xml:space="preserve">PEVuZE5vdGU+PENpdGU+PEF1dGhvcj5HZW5lcmFsb3ZhPC9BdXRob3I+PFllYXI+MjAxODwvWWVh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</w:fldData>
        </w:fldChar>
      </w:r>
      <w:r w:rsidR="00455B2B" w:rsidRPr="002C21B8">
        <w:instrText xml:space="preserve"> ADDIN EN.CITE.DATA </w:instrText>
      </w:r>
      <w:r w:rsidR="00455B2B" w:rsidRPr="002C21B8">
        <w:fldChar w:fldCharType="end"/>
      </w:r>
      <w:r w:rsidRPr="002C21B8">
        <w:fldChar w:fldCharType="separate"/>
      </w:r>
      <w:r w:rsidRPr="002C21B8">
        <w:rPr>
          <w:noProof/>
        </w:rPr>
        <w:t>(Generalova</w:t>
      </w:r>
      <w:r w:rsidRPr="002C21B8">
        <w:rPr>
          <w:i/>
          <w:noProof/>
        </w:rPr>
        <w:t xml:space="preserve"> et al.</w:t>
      </w:r>
      <w:r w:rsidRPr="002C21B8">
        <w:rPr>
          <w:noProof/>
        </w:rPr>
        <w:t>, 2018; Lalor</w:t>
      </w:r>
      <w:r w:rsidRPr="002C21B8">
        <w:rPr>
          <w:i/>
          <w:noProof/>
        </w:rPr>
        <w:t xml:space="preserve"> et al.</w:t>
      </w:r>
      <w:r w:rsidRPr="002C21B8">
        <w:rPr>
          <w:noProof/>
        </w:rPr>
        <w:t>, 2022; Osasu, Cooper and Mitchell, 2021)</w:t>
      </w:r>
      <w:r w:rsidRPr="002C21B8">
        <w:fldChar w:fldCharType="end"/>
      </w:r>
      <w:r w:rsidRPr="002C21B8">
        <w:t xml:space="preserve">, limited participation in research trials </w:t>
      </w:r>
      <w:r w:rsidRPr="002C21B8">
        <w:fldChar w:fldCharType="begin"/>
      </w:r>
      <w:r w:rsidR="00455B2B" w:rsidRPr="002C21B8">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(Lalor</w:t>
      </w:r>
      <w:r w:rsidRPr="002C21B8">
        <w:rPr>
          <w:i/>
          <w:noProof/>
        </w:rPr>
        <w:t xml:space="preserve"> et al.</w:t>
      </w:r>
      <w:r w:rsidRPr="002C21B8">
        <w:rPr>
          <w:noProof/>
        </w:rPr>
        <w:t>, 2022)</w:t>
      </w:r>
      <w:r w:rsidRPr="002C21B8">
        <w:fldChar w:fldCharType="end"/>
      </w:r>
      <w:r w:rsidRPr="002C21B8">
        <w:t xml:space="preserve"> or being unaware of recent advancements in the field </w:t>
      </w:r>
      <w:r w:rsidRPr="002C21B8">
        <w:fldChar w:fldCharType="begin">
          <w:fldData xml:space="preserve">PEVuZE5vdGU+PENpdGU+PEF1dGhvcj5LaGF0aWI8L0F1dGhvcj48WWVhcj4yMDE0PC9ZZWFyPjxS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=
</w:fldData>
        </w:fldChar>
      </w:r>
      <w:r w:rsidR="000215B0" w:rsidRPr="002C21B8">
        <w:instrText xml:space="preserve"> ADDIN EN.CITE </w:instrText>
      </w:r>
      <w:r w:rsidR="000215B0" w:rsidRPr="002C21B8">
        <w:fldChar w:fldCharType="begin">
          <w:fldData xml:space="preserve">PEVuZE5vdGU+PENpdGU+PEF1dGhvcj5LaGF0aWI8L0F1dGhvcj48WWVhcj4yMDE0PC9ZZWFyPjxS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=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(Khatib</w:t>
      </w:r>
      <w:r w:rsidRPr="002C21B8">
        <w:rPr>
          <w:i/>
          <w:noProof/>
        </w:rPr>
        <w:t xml:space="preserve"> et al.</w:t>
      </w:r>
      <w:r w:rsidRPr="002C21B8">
        <w:rPr>
          <w:noProof/>
        </w:rPr>
        <w:t>, 2014; Mas Dalmau</w:t>
      </w:r>
      <w:r w:rsidRPr="002C21B8">
        <w:rPr>
          <w:i/>
          <w:noProof/>
        </w:rPr>
        <w:t xml:space="preserve"> et al.</w:t>
      </w:r>
      <w:r w:rsidRPr="002C21B8">
        <w:rPr>
          <w:noProof/>
        </w:rPr>
        <w:t>, 2017; Pritchett</w:t>
      </w:r>
      <w:r w:rsidRPr="002C21B8">
        <w:rPr>
          <w:i/>
          <w:noProof/>
        </w:rPr>
        <w:t xml:space="preserve"> et al.</w:t>
      </w:r>
      <w:r w:rsidRPr="002C21B8">
        <w:rPr>
          <w:noProof/>
        </w:rPr>
        <w:t>, 2020)</w:t>
      </w:r>
      <w:r w:rsidRPr="002C21B8">
        <w:fldChar w:fldCharType="end"/>
      </w:r>
      <w:r w:rsidRPr="002C21B8">
        <w:t>. More experienced or senior prescribers described making decisions in a more efficient manner</w:t>
      </w:r>
      <w:r w:rsidR="00AB5BCF" w:rsidRPr="002C21B8">
        <w:t>,</w:t>
      </w:r>
      <w:r w:rsidRPr="002C21B8">
        <w:t xml:space="preserve"> but acknowledged that they m</w:t>
      </w:r>
      <w:r w:rsidR="00AB5BCF" w:rsidRPr="002C21B8">
        <w:t>ay</w:t>
      </w:r>
      <w:r w:rsidRPr="002C21B8">
        <w:t xml:space="preserve"> also be more resistant to change </w:t>
      </w:r>
      <w:r w:rsidRPr="002C21B8">
        <w:fldChar w:fldCharType="begin">
          <w:fldData xml:space="preserve">PEVuZE5vdGU+PENpdGU+PEF1dGhvcj5NYWltYXJpczwvQXV0aG9yPjxZZWFyPjIwMTM8L1llYXI+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</w:fldData>
        </w:fldChar>
      </w:r>
      <w:r w:rsidR="00455B2B" w:rsidRPr="002C21B8">
        <w:instrText xml:space="preserve"> ADDIN EN.CITE </w:instrText>
      </w:r>
      <w:r w:rsidR="00455B2B" w:rsidRPr="002C21B8">
        <w:fldChar w:fldCharType="begin">
          <w:fldData xml:space="preserve">PEVuZE5vdGU+PENpdGU+PEF1dGhvcj5NYWltYXJpczwvQXV0aG9yPjxZZWFyPjIwMTM8L1llYXI+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Maimaris</w:t>
      </w:r>
      <w:r w:rsidRPr="002C21B8">
        <w:rPr>
          <w:i/>
          <w:noProof/>
        </w:rPr>
        <w:t xml:space="preserve"> et al.</w:t>
      </w:r>
      <w:r w:rsidRPr="002C21B8">
        <w:rPr>
          <w:noProof/>
        </w:rPr>
        <w:t>, 2013)</w:t>
      </w:r>
      <w:r w:rsidRPr="002C21B8">
        <w:fldChar w:fldCharType="end"/>
      </w:r>
      <w:r w:rsidRPr="002C21B8">
        <w:t xml:space="preserve">. Some prescribers reported putting greater trust in their personal clinical experience than in new research findings </w:t>
      </w:r>
      <w:r w:rsidRPr="002C21B8">
        <w:fldChar w:fldCharType="begin"/>
      </w:r>
      <w:r w:rsidR="00590E88" w:rsidRPr="002C21B8">
        <w:instrText xml:space="preserve"> ADDIN EN.CITE &lt;EndNote&gt;&lt;Cite&gt;&lt;Author&gt;Mas Dalmau&lt;/Author&gt;&lt;Year&gt;2017&lt;/Year&gt;&lt;RecNum&gt;15215&lt;/RecNum&gt;&lt;DisplayText&gt;(Mas Dalmau&lt;style face="italic"&gt; et al.&lt;/style&gt;, 2017)&lt;/DisplayText&gt;&lt;record&gt;&lt;rec-number&gt;15215&lt;/rec-number&gt;&lt;foreign-keys&gt;&lt;key app="EN" db-id="xpefzwa5hf9dt2ea9fax95x7xvxz90v09dtf" timestamp="1713284875"&gt;15215&lt;/key&gt;&lt;/foreign-keys&gt;&lt;ref-type name="Journal Article"&gt;17&lt;/ref-type&gt;&lt;contributors&gt;&lt;authors&gt;&lt;author&gt;Mas Dalmau, Gemma&lt;/author&gt;&lt;author&gt;Sant Arderiu, Elisenda&lt;/author&gt;&lt;author&gt;Enfedaque Montes, Maria Belen&lt;/author&gt;&lt;author&gt;Solà, Ivan&lt;/author&gt;&lt;author&gt;Pequeno Saco, Sandra&lt;/author&gt;&lt;author&gt;Alonso Coello, Pablo&lt;/author&gt;&lt;/authors&gt;&lt;/contributors&gt;&lt;titles&gt;&lt;title&gt;Patients’ and physicians’ perceptions and attitudes about oral anticoagulation and atrial fibrillation: a qualitative systematic review&lt;/title&gt;&lt;secondary-title&gt;BMC Family Practice&lt;/secondary-title&gt;&lt;/titles&gt;&lt;periodical&gt;&lt;full-title&gt;BMC family practice&lt;/full-title&gt;&lt;/periodical&gt;&lt;pages&gt;1-11&lt;/pages&gt;&lt;volume&gt;18&lt;/volume&gt;&lt;dates&gt;&lt;year&gt;2017&lt;/year&gt;&lt;/dates&gt;&lt;urls&gt;&lt;/urls&gt;&lt;/record&gt;&lt;/Cite&gt;&lt;/EndNote&gt;</w:instrText>
      </w:r>
      <w:r w:rsidRPr="002C21B8">
        <w:fldChar w:fldCharType="separate"/>
      </w:r>
      <w:r w:rsidRPr="002C21B8">
        <w:rPr>
          <w:noProof/>
        </w:rPr>
        <w:t>(Mas Dalmau</w:t>
      </w:r>
      <w:r w:rsidRPr="002C21B8">
        <w:rPr>
          <w:i/>
          <w:noProof/>
        </w:rPr>
        <w:t xml:space="preserve"> et al.</w:t>
      </w:r>
      <w:r w:rsidRPr="002C21B8">
        <w:rPr>
          <w:noProof/>
        </w:rPr>
        <w:t>, 2017)</w:t>
      </w:r>
      <w:r w:rsidRPr="002C21B8">
        <w:fldChar w:fldCharType="end"/>
      </w:r>
      <w:r w:rsidRPr="002C21B8">
        <w:t xml:space="preserve">. Prescribers also reported that colleagues’ opinions and support </w:t>
      </w:r>
      <w:r w:rsidR="00AB5BCF" w:rsidRPr="002C21B8">
        <w:t>can</w:t>
      </w:r>
      <w:r w:rsidRPr="002C21B8">
        <w:t xml:space="preserve"> inform their prescribing decisions </w:t>
      </w:r>
      <w:r w:rsidRPr="002C21B8">
        <w:fldChar w:fldCharType="begin"/>
      </w:r>
      <w:r w:rsidR="00455B2B" w:rsidRPr="002C21B8">
        <w:instrText xml:space="preserve"> ADDIN EN.CITE &lt;EndNote&gt;&lt;Cite&gt;&lt;Author&gt;Lalor&lt;/Author&gt;&lt;Year&gt;2022&lt;/Year&gt;&lt;RecNum&gt;15214&lt;/RecNum&gt;&lt;DisplayText&gt;(Lalor&lt;style face="italic"&gt; et al.&lt;/style&gt;, 2022)&lt;/DisplayText&gt;&lt;record&gt;&lt;rec-number&gt;15214&lt;/rec-number&gt;&lt;foreign-keys&gt;&lt;key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(Lalor</w:t>
      </w:r>
      <w:r w:rsidRPr="002C21B8">
        <w:rPr>
          <w:i/>
          <w:noProof/>
        </w:rPr>
        <w:t xml:space="preserve"> et al.</w:t>
      </w:r>
      <w:r w:rsidRPr="002C21B8">
        <w:rPr>
          <w:noProof/>
        </w:rPr>
        <w:t>, 2022)</w:t>
      </w:r>
      <w:r w:rsidRPr="002C21B8">
        <w:fldChar w:fldCharType="end"/>
      </w:r>
      <w:r w:rsidRPr="002C21B8">
        <w:t>.</w:t>
      </w:r>
    </w:p>
    <w:p w14:paraId="6E6AD025" w14:textId="3B831192" w:rsidR="002F0740" w:rsidRPr="002C21B8" w:rsidRDefault="002F0740" w:rsidP="002F0740">
      <w:r w:rsidRPr="002C21B8">
        <w:t xml:space="preserve">Primary care practitioners described uncertainty over which medications fell within their prescribing remit </w:t>
      </w:r>
      <w:r w:rsidRPr="002C21B8">
        <w:fldChar w:fldCharType="begin"/>
      </w:r>
      <w:r w:rsidR="00590E88" w:rsidRPr="002C21B8">
        <w:instrText xml:space="preserve"> ADDIN EN.CITE &lt;EndNote&gt;&lt;Cite&gt;&lt;Author&gt;Rushforth&lt;/Author&gt;&lt;Year&gt;2016&lt;/Year&gt;&lt;RecNum&gt;15220&lt;/RecNum&gt;&lt;DisplayText&gt;(Mas Dalmau&lt;style face="italic"&gt; et al.&lt;/style&gt;, 2017; Rushforth&lt;style face="italic"&gt; et al.&lt;/style&gt;, 2016)&lt;/DisplayText&gt;&lt;record&gt;&lt;rec-number&gt;15220&lt;/rec-number&gt;&lt;foreign-keys&gt;&lt;key app="EN" db-id="xpefzwa5hf9dt2ea9fax95x7xvxz90v09dtf" timestamp="1713287283"&gt;15220&lt;/key&gt;&lt;/foreign-keys&gt;&lt;ref-type name="Journal Article"&gt;17&lt;/ref-type&gt;&lt;contributors&gt;&lt;authors&gt;&lt;author&gt;Rushforth, Bruno&lt;/author&gt;&lt;author&gt;McCrorie, Carolyn&lt;/author&gt;&lt;author&gt;Glidewell, Liz&lt;/author&gt;&lt;author&gt;Midgley, Eleanor&lt;/author&gt;&lt;author&gt;Foy, Robbie&lt;/author&gt;&lt;/authors&gt;&lt;/contributors&gt;&lt;titles&gt;&lt;title&gt;Barriers to effective management of type 2 diabetes in primary care: qualitative systematic review&lt;/title&gt;&lt;secondary-title&gt;British Journal of General Practice&lt;/secondary-title&gt;&lt;/titles&gt;&lt;periodical&gt;&lt;full-title&gt;British Journal of General Practice&lt;/full-title&gt;&lt;/periodical&gt;&lt;pages&gt;e114-e127&lt;/pages&gt;&lt;volume&gt;66&lt;/volume&gt;&lt;number&gt;643&lt;/number&gt;&lt;dates&gt;&lt;year&gt;2016&lt;/year&gt;&lt;/dates&gt;&lt;isbn&gt;0960-1643&lt;/isbn&gt;&lt;urls&gt;&lt;/urls&gt;&lt;/record&gt;&lt;/Cite&gt;&lt;Cite&gt;&lt;Author&gt;Mas Dalmau&lt;/Author&gt;&lt;Year&gt;2017&lt;/Year&gt;&lt;RecNum&gt;15215&lt;/RecNum&gt;&lt;record&gt;&lt;rec-number&gt;15215&lt;/rec-number&gt;&lt;foreign-keys&gt;&lt;key app="EN" db-id="xpefzwa5hf9dt2ea9fax95x7xvxz90v09dtf" timestamp="1713284875"&gt;15215&lt;/key&gt;&lt;/foreign-keys&gt;&lt;ref-type name="Journal Article"&gt;17&lt;/ref-type&gt;&lt;contributors&gt;&lt;authors&gt;&lt;author&gt;Mas Dalmau, Gemma&lt;/author&gt;&lt;author&gt;Sant Arderiu, Elisenda&lt;/author&gt;&lt;author&gt;Enfedaque Montes, Maria Belen&lt;/author&gt;&lt;author&gt;Solà, Ivan&lt;/author&gt;&lt;author&gt;Pequeno Saco, Sandra&lt;/author&gt;&lt;author&gt;Alonso Coello, Pablo&lt;/author&gt;&lt;/authors&gt;&lt;/contributors&gt;&lt;titles&gt;&lt;title&gt;Patients’ and physicians’ perceptions and attitudes about oral anticoagulation and atrial fibrillation: a qualitative systematic review&lt;/title&gt;&lt;secondary-title&gt;BMC Family Practice&lt;/secondary-title&gt;&lt;/titles&gt;&lt;periodical&gt;&lt;full-title&gt;BMC family practice&lt;/full-title&gt;&lt;/periodical&gt;&lt;pages&gt;1-11&lt;/pages&gt;&lt;volume&gt;18&lt;/volume&gt;&lt;dates&gt;&lt;year&gt;2017&lt;/year&gt;&lt;/dates&gt;&lt;urls&gt;&lt;/urls&gt;&lt;/record&gt;&lt;/Cite&gt;&lt;/EndNote&gt;</w:instrText>
      </w:r>
      <w:r w:rsidRPr="002C21B8">
        <w:fldChar w:fldCharType="separate"/>
      </w:r>
      <w:r w:rsidRPr="002C21B8">
        <w:rPr>
          <w:noProof/>
        </w:rPr>
        <w:t>(Mas Dalmau</w:t>
      </w:r>
      <w:r w:rsidRPr="002C21B8">
        <w:rPr>
          <w:i/>
          <w:noProof/>
        </w:rPr>
        <w:t xml:space="preserve"> et al.</w:t>
      </w:r>
      <w:r w:rsidRPr="002C21B8">
        <w:rPr>
          <w:noProof/>
        </w:rPr>
        <w:t>, 2017; Rushforth</w:t>
      </w:r>
      <w:r w:rsidRPr="002C21B8">
        <w:rPr>
          <w:i/>
          <w:noProof/>
        </w:rPr>
        <w:t xml:space="preserve"> et al.</w:t>
      </w:r>
      <w:r w:rsidRPr="002C21B8">
        <w:rPr>
          <w:noProof/>
        </w:rPr>
        <w:t>, 2016)</w:t>
      </w:r>
      <w:r w:rsidRPr="002C21B8">
        <w:fldChar w:fldCharType="end"/>
      </w:r>
      <w:r w:rsidRPr="002C21B8">
        <w:t xml:space="preserve">, with some perceiving some medications as not their responsibility </w:t>
      </w:r>
      <w:r w:rsidRPr="002C21B8">
        <w:fldChar w:fldCharType="begin">
          <w:fldData xml:space="preserve">PEVuZE5vdGU+PENpdGU+PEF1dGhvcj5LaGF0aWI8L0F1dGhvcj48WWVhcj4yMDE0PC9ZZWFyPjxS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</w:fldData>
        </w:fldChar>
      </w:r>
      <w:r w:rsidR="005D7DBC" w:rsidRPr="002C21B8">
        <w:instrText xml:space="preserve"> ADDIN EN.CITE </w:instrText>
      </w:r>
      <w:r w:rsidR="005D7DBC" w:rsidRPr="002C21B8">
        <w:fldChar w:fldCharType="begin">
          <w:fldData xml:space="preserve">PEVuZE5vdGU+PENpdGU+PEF1dGhvcj5LaGF0aWI8L0F1dGhvcj48WWVhcj4yMDE0PC9ZZWFyPjxS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</w:fldData>
        </w:fldChar>
      </w:r>
      <w:r w:rsidR="005D7DBC" w:rsidRPr="002C21B8">
        <w:instrText xml:space="preserve"> ADDIN EN.CITE.DATA </w:instrText>
      </w:r>
      <w:r w:rsidR="005D7DBC" w:rsidRPr="002C21B8">
        <w:fldChar w:fldCharType="end"/>
      </w:r>
      <w:r w:rsidRPr="002C21B8">
        <w:fldChar w:fldCharType="separate"/>
      </w:r>
      <w:r w:rsidRPr="002C21B8">
        <w:rPr>
          <w:noProof/>
        </w:rPr>
        <w:t>(Byrne</w:t>
      </w:r>
      <w:r w:rsidRPr="002C21B8">
        <w:rPr>
          <w:i/>
          <w:noProof/>
        </w:rPr>
        <w:t xml:space="preserve"> et al.</w:t>
      </w:r>
      <w:r w:rsidRPr="002C21B8">
        <w:rPr>
          <w:noProof/>
        </w:rPr>
        <w:t>, 2022; Khatib</w:t>
      </w:r>
      <w:r w:rsidRPr="002C21B8">
        <w:rPr>
          <w:i/>
          <w:noProof/>
        </w:rPr>
        <w:t xml:space="preserve"> et al.</w:t>
      </w:r>
      <w:r w:rsidRPr="002C21B8">
        <w:rPr>
          <w:noProof/>
        </w:rPr>
        <w:t>, 2014; Pritchett</w:t>
      </w:r>
      <w:r w:rsidRPr="002C21B8">
        <w:rPr>
          <w:i/>
          <w:noProof/>
        </w:rPr>
        <w:t xml:space="preserve"> et al.</w:t>
      </w:r>
      <w:r w:rsidRPr="002C21B8">
        <w:rPr>
          <w:noProof/>
        </w:rPr>
        <w:t>, 2020; Qadi</w:t>
      </w:r>
      <w:r w:rsidRPr="002C21B8">
        <w:rPr>
          <w:i/>
          <w:noProof/>
        </w:rPr>
        <w:t xml:space="preserve"> et al.</w:t>
      </w:r>
      <w:r w:rsidRPr="002C21B8">
        <w:rPr>
          <w:noProof/>
        </w:rPr>
        <w:t>, 2020)</w:t>
      </w:r>
      <w:r w:rsidRPr="002C21B8">
        <w:fldChar w:fldCharType="end"/>
      </w:r>
      <w:r w:rsidRPr="002C21B8">
        <w:t xml:space="preserve"> or, not concordant with their professional role or identity </w:t>
      </w:r>
      <w:r w:rsidRPr="002C21B8">
        <w:fldChar w:fldCharType="begin">
          <w:fldData xml:space="preserve">PEVuZE5vdGU+PENpdGU+PEF1dGhvcj5OZzwvQXV0aG9yPjxZZWFyPjIwMTU8L1llYXI+PFJlY051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</w:fldData>
        </w:fldChar>
      </w:r>
      <w:r w:rsidR="000215B0" w:rsidRPr="002C21B8">
        <w:instrText xml:space="preserve"> ADDIN EN.CITE </w:instrText>
      </w:r>
      <w:r w:rsidR="000215B0" w:rsidRPr="002C21B8">
        <w:fldChar w:fldCharType="begin">
          <w:fldData xml:space="preserve">PEVuZE5vdGU+PENpdGU+PEF1dGhvcj5OZzwvQXV0aG9yPjxZZWFyPjIwMTU8L1llYXI+PFJlY051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Generalova</w:t>
      </w:r>
      <w:r w:rsidRPr="002C21B8">
        <w:rPr>
          <w:i/>
          <w:noProof/>
        </w:rPr>
        <w:t xml:space="preserve"> et al.</w:t>
      </w:r>
      <w:r w:rsidRPr="002C21B8">
        <w:rPr>
          <w:noProof/>
        </w:rPr>
        <w:t>, 2018; Ju</w:t>
      </w:r>
      <w:r w:rsidRPr="002C21B8">
        <w:rPr>
          <w:i/>
          <w:noProof/>
        </w:rPr>
        <w:t xml:space="preserve"> et al.</w:t>
      </w:r>
      <w:r w:rsidRPr="002C21B8">
        <w:rPr>
          <w:noProof/>
        </w:rPr>
        <w:t>, 2018; Ng</w:t>
      </w:r>
      <w:r w:rsidRPr="002C21B8">
        <w:rPr>
          <w:i/>
          <w:noProof/>
        </w:rPr>
        <w:t xml:space="preserve"> et al.</w:t>
      </w:r>
      <w:r w:rsidRPr="002C21B8">
        <w:rPr>
          <w:noProof/>
        </w:rPr>
        <w:t>, 2015; Osasu, Cooper and Mitchell, 2021; Pritchett</w:t>
      </w:r>
      <w:r w:rsidRPr="002C21B8">
        <w:rPr>
          <w:i/>
          <w:noProof/>
        </w:rPr>
        <w:t xml:space="preserve"> et al.</w:t>
      </w:r>
      <w:r w:rsidRPr="002C21B8">
        <w:rPr>
          <w:noProof/>
        </w:rPr>
        <w:t>, 2020)</w:t>
      </w:r>
      <w:r w:rsidRPr="002C21B8">
        <w:fldChar w:fldCharType="end"/>
      </w:r>
      <w:r w:rsidRPr="002C21B8">
        <w:t>. They also report feeling less confident in high-risk or complex scenarios</w:t>
      </w:r>
      <w:r w:rsidR="00D1314D" w:rsidRPr="002C21B8">
        <w:t>,</w:t>
      </w:r>
      <w:r w:rsidRPr="002C21B8">
        <w:t xml:space="preserve"> so defer to specialists in secondary care </w:t>
      </w:r>
      <w:r w:rsidRPr="002C21B8">
        <w:fldChar w:fldCharType="begin">
          <w:fldData xml:space="preserve">PEVuZE5vdGU+PENpdGU+PEF1dGhvcj5OZzwvQXV0aG9yPjxZZWFyPjIwMTU8L1llYXI+PFJlY051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L3JlY29yZD48L0NpdGU+PENpdGU+PEF1dGhvcj5Qcml0Y2hldHQ8L0F1dGhvcj48WWVhcj4yMDIw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</w:fldData>
        </w:fldChar>
      </w:r>
      <w:r w:rsidR="000215B0" w:rsidRPr="002C21B8">
        <w:instrText xml:space="preserve"> ADDIN EN.CITE </w:instrText>
      </w:r>
      <w:r w:rsidR="000215B0" w:rsidRPr="002C21B8">
        <w:fldChar w:fldCharType="begin">
          <w:fldData xml:space="preserve">PEVuZE5vdGU+PENpdGU+PEF1dGhvcj5OZzwvQXV0aG9yPjxZZWFyPjIwMTU8L1llYXI+PFJlY051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Ju</w:t>
      </w:r>
      <w:r w:rsidRPr="002C21B8">
        <w:rPr>
          <w:i/>
          <w:noProof/>
        </w:rPr>
        <w:t xml:space="preserve"> et al.</w:t>
      </w:r>
      <w:r w:rsidRPr="002C21B8">
        <w:rPr>
          <w:noProof/>
        </w:rPr>
        <w:t>, 2018; Ng</w:t>
      </w:r>
      <w:r w:rsidRPr="002C21B8">
        <w:rPr>
          <w:i/>
          <w:noProof/>
        </w:rPr>
        <w:t xml:space="preserve"> et al.</w:t>
      </w:r>
      <w:r w:rsidRPr="002C21B8">
        <w:rPr>
          <w:noProof/>
        </w:rPr>
        <w:t>, 2015; Pritchett</w:t>
      </w:r>
      <w:r w:rsidRPr="002C21B8">
        <w:rPr>
          <w:i/>
          <w:noProof/>
        </w:rPr>
        <w:t xml:space="preserve"> et al.</w:t>
      </w:r>
      <w:r w:rsidRPr="002C21B8">
        <w:rPr>
          <w:noProof/>
        </w:rPr>
        <w:t>, 2020)</w:t>
      </w:r>
      <w:r w:rsidRPr="002C21B8">
        <w:fldChar w:fldCharType="end"/>
      </w:r>
      <w:r w:rsidRPr="002C21B8">
        <w:t>. Both primary and secondary care prescribers noted that communication channels between them w</w:t>
      </w:r>
      <w:r w:rsidR="007F7269" w:rsidRPr="002C21B8">
        <w:t>ere</w:t>
      </w:r>
      <w:r w:rsidRPr="002C21B8">
        <w:t xml:space="preserve"> not well coordinated or timely</w:t>
      </w:r>
      <w:r w:rsidR="007F7269" w:rsidRPr="002C21B8">
        <w:t>,</w:t>
      </w:r>
      <w:r w:rsidRPr="002C21B8">
        <w:t xml:space="preserve"> which could influence their decision about whether to prescribe a medication or lead to delays </w:t>
      </w:r>
      <w:r w:rsidRPr="002C21B8">
        <w:fldChar w:fldCharType="begin">
          <w:fldData xml:space="preserve">PEVuZE5vdGU+PENpdGU+PEF1dGhvcj5LaGF0aWI8L0F1dGhvcj48WWVhcj4yMDE0PC9ZZWFyPjxS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</w:fldData>
        </w:fldChar>
      </w:r>
      <w:r w:rsidR="000215B0" w:rsidRPr="002C21B8">
        <w:instrText xml:space="preserve"> ADDIN EN.CITE </w:instrText>
      </w:r>
      <w:r w:rsidR="000215B0" w:rsidRPr="002C21B8">
        <w:fldChar w:fldCharType="begin">
          <w:fldData xml:space="preserve">PEVuZE5vdGU+PENpdGU+PEF1dGhvcj5LaGF0aWI8L0F1dGhvcj48WWVhcj4yMDE0PC9ZZWFyPjxS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</w:fldData>
        </w:fldChar>
      </w:r>
      <w:r w:rsidR="000215B0" w:rsidRPr="002C21B8">
        <w:instrText xml:space="preserve"> ADDIN EN.CITE.DATA </w:instrText>
      </w:r>
      <w:r w:rsidR="000215B0" w:rsidRPr="002C21B8">
        <w:fldChar w:fldCharType="end"/>
      </w:r>
      <w:r w:rsidRPr="002C21B8">
        <w:fldChar w:fldCharType="separate"/>
      </w:r>
      <w:r w:rsidRPr="002C21B8">
        <w:rPr>
          <w:noProof/>
        </w:rPr>
        <w:t>(Ju</w:t>
      </w:r>
      <w:r w:rsidRPr="002C21B8">
        <w:rPr>
          <w:i/>
          <w:noProof/>
        </w:rPr>
        <w:t xml:space="preserve"> et al.</w:t>
      </w:r>
      <w:r w:rsidRPr="002C21B8">
        <w:rPr>
          <w:noProof/>
        </w:rPr>
        <w:t>, 2018; Khatib</w:t>
      </w:r>
      <w:r w:rsidRPr="002C21B8">
        <w:rPr>
          <w:i/>
          <w:noProof/>
        </w:rPr>
        <w:t xml:space="preserve"> et al.</w:t>
      </w:r>
      <w:r w:rsidRPr="002C21B8">
        <w:rPr>
          <w:noProof/>
        </w:rPr>
        <w:t>, 2014; Mas Dalmau</w:t>
      </w:r>
      <w:r w:rsidRPr="002C21B8">
        <w:rPr>
          <w:i/>
          <w:noProof/>
        </w:rPr>
        <w:t xml:space="preserve"> et al.</w:t>
      </w:r>
      <w:r w:rsidRPr="002C21B8">
        <w:rPr>
          <w:noProof/>
        </w:rPr>
        <w:t>, 2017; Pritchett</w:t>
      </w:r>
      <w:r w:rsidRPr="002C21B8">
        <w:rPr>
          <w:i/>
          <w:noProof/>
        </w:rPr>
        <w:t xml:space="preserve"> et al.</w:t>
      </w:r>
      <w:r w:rsidRPr="002C21B8">
        <w:rPr>
          <w:noProof/>
        </w:rPr>
        <w:t>, 2020)</w:t>
      </w:r>
      <w:r w:rsidRPr="002C21B8">
        <w:fldChar w:fldCharType="end"/>
      </w:r>
      <w:r w:rsidRPr="002C21B8">
        <w:t>.</w:t>
      </w:r>
    </w:p>
    <w:p w14:paraId="12BFFEF3" w14:textId="339D2DBD" w:rsidR="002F0740" w:rsidRPr="002C21B8" w:rsidRDefault="002F0740" w:rsidP="002F0740">
      <w:r w:rsidRPr="002C21B8">
        <w:t>Prescribers described</w:t>
      </w:r>
      <w:r w:rsidR="00D1314D" w:rsidRPr="002C21B8">
        <w:t xml:space="preserve"> having</w:t>
      </w:r>
      <w:r w:rsidRPr="002C21B8">
        <w:t xml:space="preserve"> limited consultation time and competing priorities as additional barriers. The reasons for this included that the initiation of medications often needs time-intensive patient education, discussion of treatment options and shared decision-making </w:t>
      </w:r>
      <w:r w:rsidRPr="002C21B8">
        <w:fldChar w:fldCharType="begin">
          <w:fldData xml:space="preserve">PEVuZE5vdGU+PENpdGU+PEF1dGhvcj5MYWxvcjwvQXV0aG9yPjxZZWFyPjIwMjI8L1llYXI+PFJl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</w:fldData>
        </w:fldChar>
      </w:r>
      <w:r w:rsidR="00455B2B" w:rsidRPr="002C21B8">
        <w:instrText xml:space="preserve"> ADDIN EN.CITE </w:instrText>
      </w:r>
      <w:r w:rsidR="00455B2B" w:rsidRPr="002C21B8">
        <w:fldChar w:fldCharType="begin">
          <w:fldData xml:space="preserve">PEVuZE5vdGU+PENpdGU+PEF1dGhvcj5MYWxvcjwvQXV0aG9yPjxZZWFyPjIwMjI8L1llYXI+PFJl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</w:fldData>
        </w:fldChar>
      </w:r>
      <w:r w:rsidR="00455B2B" w:rsidRPr="002C21B8">
        <w:instrText xml:space="preserve"> ADDIN EN.CITE.DATA </w:instrText>
      </w:r>
      <w:r w:rsidR="00455B2B" w:rsidRPr="002C21B8">
        <w:fldChar w:fldCharType="end"/>
      </w:r>
      <w:r w:rsidRPr="002C21B8">
        <w:fldChar w:fldCharType="separate"/>
      </w:r>
      <w:r w:rsidRPr="002C21B8">
        <w:rPr>
          <w:noProof/>
        </w:rPr>
        <w:t>(Khatib</w:t>
      </w:r>
      <w:r w:rsidRPr="002C21B8">
        <w:rPr>
          <w:i/>
          <w:noProof/>
        </w:rPr>
        <w:t xml:space="preserve"> et al.</w:t>
      </w:r>
      <w:r w:rsidRPr="002C21B8">
        <w:rPr>
          <w:noProof/>
        </w:rPr>
        <w:t>, 2014; Lalor</w:t>
      </w:r>
      <w:r w:rsidRPr="002C21B8">
        <w:rPr>
          <w:i/>
          <w:noProof/>
        </w:rPr>
        <w:t xml:space="preserve"> et al.</w:t>
      </w:r>
      <w:r w:rsidRPr="002C21B8">
        <w:rPr>
          <w:noProof/>
        </w:rPr>
        <w:t>, 2022; Ng</w:t>
      </w:r>
      <w:r w:rsidRPr="002C21B8">
        <w:rPr>
          <w:i/>
          <w:noProof/>
        </w:rPr>
        <w:t xml:space="preserve"> et al.</w:t>
      </w:r>
      <w:r w:rsidRPr="002C21B8">
        <w:rPr>
          <w:noProof/>
        </w:rPr>
        <w:t>, 2015)</w:t>
      </w:r>
      <w:r w:rsidRPr="002C21B8">
        <w:fldChar w:fldCharType="end"/>
      </w:r>
      <w:r w:rsidRPr="002C21B8">
        <w:t xml:space="preserve">. Large numbers of patients in clinics and prescribers’ feelings of professional burnout could make the initiation of long-term medications less of a priority </w:t>
      </w:r>
      <w:r w:rsidRPr="002C21B8">
        <w:fldChar w:fldCharType="begin"/>
      </w:r>
      <w:r w:rsidR="00590E88" w:rsidRPr="002C21B8">
        <w:instrText xml:space="preserve"> ADDIN EN.CITE &lt;EndNote&gt;&lt;Cite&gt;&lt;Author&gt;Ng&lt;/Author&gt;&lt;Year&gt;2015&lt;/Year&gt;&lt;RecNum&gt;15216&lt;/RecNum&gt;&lt;DisplayText&gt;(Khatib&lt;style face="italic"&gt; et al.&lt;/style&gt;, 2014; Ng&lt;style face="italic"&gt; et al.&lt;/style&gt;, 2015)&lt;/DisplayText&gt;&lt;record&gt;&lt;rec-number&gt;15216&lt;/rec-number&gt;&lt;foreign-keys&gt;&lt;key app="EN" db-id="xpefzwa5hf9dt2ea9fax95x7xvxz90v09dtf" timestamp="1713284994"&gt;15216&lt;/key&gt;&lt;/foreign-keys&gt;&lt;ref-type name="Journal Article"&gt;17&lt;/ref-type&gt;&lt;contributors&gt;&lt;authors&gt;&lt;author&gt;Ng, Chirk J&lt;/author&gt;&lt;author&gt;Lai, Pauline SM&lt;/author&gt;&lt;author&gt;Lee, YK&lt;/author&gt;&lt;author&gt;Azmi, Syahidatul Akmal&lt;/author&gt;&lt;author&gt;Teo, Chin Hai&lt;/author&gt;&lt;/authors&gt;&lt;/contributors&gt;&lt;titles&gt;&lt;title&gt;Barriers and facilitators to starting insulin in patients with type 2 diabetes: a systematic review&lt;/title&gt;&lt;secondary-title&gt;International Journal of Clinical Practice&lt;/secondary-title&gt;&lt;/titles&gt;&lt;periodical&gt;&lt;full-title&gt;International Journal of Clinical Practice&lt;/full-title&gt;&lt;/periodical&gt;&lt;pages&gt;1050-1070&lt;/pages&gt;&lt;volume&gt;69&lt;/volume&gt;&lt;number&gt;10&lt;/number&gt;&lt;dates&gt;&lt;year&gt;2015&lt;/year&gt;&lt;/dates&gt;&lt;isbn&gt;1368-5031&lt;/isbn&gt;&lt;urls&gt;&lt;/urls&gt;&lt;/record&gt;&lt;/Cite&gt;&lt;Cite&gt;&lt;Author&gt;Khatib&lt;/Author&gt;&lt;Year&gt;2014&lt;/Year&gt;&lt;RecNum&gt;15213&lt;/RecNum&gt;&lt;record&gt;&lt;rec-number&gt;15213&lt;/rec-number&gt;&lt;foreign-keys&gt;&lt;key app="EN" db-id="xpefzwa5hf9dt2ea9fax95x7xvxz90v09dtf" timestamp="1713279547"&gt;15213&lt;/key&gt;&lt;/foreign-keys&gt;&lt;ref-type name="Journal Article"&gt;17&lt;/ref-type&gt;&lt;contributors&gt;&lt;authors&gt;&lt;author&gt;Khatib, Rasha&lt;/author&gt;&lt;author&gt;Schwalm, Jon-David&lt;/author&gt;&lt;author&gt;Yusuf, Salim&lt;/author&gt;&lt;author&gt;Haynes, R Brian&lt;/author&gt;&lt;author&gt;McKee, Martin&lt;/author&gt;&lt;author&gt;Khan, Maheer&lt;/author&gt;&lt;author&gt;Nieuwlaat, Robby&lt;/author&gt;&lt;/authors&gt;&lt;/contributors&gt;&lt;titles&gt;&lt;title&gt;Patient and healthcare provider barriers to hypertension awareness, treatment and follow up: a systematic review and meta-analysis of qualitative and quantitative studies&lt;/title&gt;&lt;secondary-title&gt;PLOS One&lt;/secondary-title&gt;&lt;/titles&gt;&lt;periodical&gt;&lt;full-title&gt;PLoS ONE&lt;/full-title&gt;&lt;/periodical&gt;&lt;pages&gt;e84238&lt;/pages&gt;&lt;volume&gt;9&lt;/volume&gt;&lt;number&gt;1&lt;/number&gt;&lt;dates&gt;&lt;year&gt;2014&lt;/year&gt;&lt;/dates&gt;&lt;isbn&gt;1932-6203&lt;/isbn&gt;&lt;urls&gt;&lt;/urls&gt;&lt;/record&gt;&lt;/Cite&gt;&lt;/EndNote&gt;</w:instrText>
      </w:r>
      <w:r w:rsidRPr="002C21B8">
        <w:fldChar w:fldCharType="separate"/>
      </w:r>
      <w:r w:rsidRPr="002C21B8">
        <w:rPr>
          <w:noProof/>
        </w:rPr>
        <w:t>(Khatib</w:t>
      </w:r>
      <w:r w:rsidRPr="002C21B8">
        <w:rPr>
          <w:i/>
          <w:noProof/>
        </w:rPr>
        <w:t xml:space="preserve"> et al.</w:t>
      </w:r>
      <w:r w:rsidRPr="002C21B8">
        <w:rPr>
          <w:noProof/>
        </w:rPr>
        <w:t>, 2014; Ng</w:t>
      </w:r>
      <w:r w:rsidRPr="002C21B8">
        <w:rPr>
          <w:i/>
          <w:noProof/>
        </w:rPr>
        <w:t xml:space="preserve"> et al.</w:t>
      </w:r>
      <w:r w:rsidRPr="002C21B8">
        <w:rPr>
          <w:noProof/>
        </w:rPr>
        <w:t>, 2015)</w:t>
      </w:r>
      <w:r w:rsidRPr="002C21B8">
        <w:fldChar w:fldCharType="end"/>
      </w:r>
      <w:r w:rsidR="00D1314D" w:rsidRPr="002C21B8">
        <w:t xml:space="preserve">. </w:t>
      </w:r>
      <w:r w:rsidR="00D43833" w:rsidRPr="002C21B8">
        <w:t xml:space="preserve">Some prescribers described that this led them to </w:t>
      </w:r>
      <w:r w:rsidRPr="002C21B8">
        <w:t xml:space="preserve">focus on acute symptom management </w:t>
      </w:r>
      <w:r w:rsidR="00D43833" w:rsidRPr="002C21B8">
        <w:t xml:space="preserve">where decision-making is less complex </w:t>
      </w:r>
      <w:r w:rsidRPr="002C21B8">
        <w:fldChar w:fldCharType="begin">
          <w:fldData xml:space="preserve">PEVuZE5vdGU+PENpdGU+PEF1dGhvcj5LaGF0aWI8L0F1dGhvcj48WWVhcj4yMDE0PC9ZZWFyPjxS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</w:fldData>
        </w:fldChar>
      </w:r>
      <w:r w:rsidR="005D7DBC" w:rsidRPr="002C21B8">
        <w:instrText xml:space="preserve"> ADDIN EN.CITE </w:instrText>
      </w:r>
      <w:r w:rsidR="005D7DBC" w:rsidRPr="002C21B8">
        <w:fldChar w:fldCharType="begin">
          <w:fldData xml:space="preserve">PEVuZE5vdGU+PENpdGU+PEF1dGhvcj5LaGF0aWI8L0F1dGhvcj48WWVhcj4yMDE0PC9ZZWFyPjxS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</w:fldData>
        </w:fldChar>
      </w:r>
      <w:r w:rsidR="005D7DBC" w:rsidRPr="002C21B8">
        <w:instrText xml:space="preserve"> ADDIN EN.CITE.DATA </w:instrText>
      </w:r>
      <w:r w:rsidR="005D7DBC" w:rsidRPr="002C21B8">
        <w:fldChar w:fldCharType="end"/>
      </w:r>
      <w:r w:rsidRPr="002C21B8">
        <w:fldChar w:fldCharType="separate"/>
      </w:r>
      <w:r w:rsidRPr="002C21B8">
        <w:rPr>
          <w:noProof/>
        </w:rPr>
        <w:t>(Khatib</w:t>
      </w:r>
      <w:r w:rsidRPr="002C21B8">
        <w:rPr>
          <w:i/>
          <w:noProof/>
        </w:rPr>
        <w:t xml:space="preserve"> et al.</w:t>
      </w:r>
      <w:r w:rsidRPr="002C21B8">
        <w:rPr>
          <w:noProof/>
        </w:rPr>
        <w:t>, 2014; Qadi</w:t>
      </w:r>
      <w:r w:rsidRPr="002C21B8">
        <w:rPr>
          <w:i/>
          <w:noProof/>
        </w:rPr>
        <w:t xml:space="preserve"> et al.</w:t>
      </w:r>
      <w:r w:rsidRPr="002C21B8">
        <w:rPr>
          <w:noProof/>
        </w:rPr>
        <w:t>, 2020)</w:t>
      </w:r>
      <w:r w:rsidRPr="002C21B8">
        <w:fldChar w:fldCharType="end"/>
      </w:r>
      <w:r w:rsidRPr="002C21B8">
        <w:t>.</w:t>
      </w:r>
    </w:p>
    <w:p w14:paraId="6AA46C25" w14:textId="77777777" w:rsidR="002F0740" w:rsidRPr="002C21B8" w:rsidRDefault="002F0740" w:rsidP="002F0740">
      <w:pPr>
        <w:spacing w:before="240" w:after="0"/>
        <w:rPr>
          <w:b/>
          <w:bCs/>
          <w:i/>
          <w:iCs/>
        </w:rPr>
      </w:pPr>
      <w:r w:rsidRPr="002C21B8">
        <w:rPr>
          <w:b/>
          <w:bCs/>
          <w:i/>
          <w:iCs/>
        </w:rPr>
        <w:t>Medication costs – which are important in the prescribing decision-making process and go beyond direct medication costs to the prescriber</w:t>
      </w:r>
    </w:p>
    <w:p w14:paraId="40D5A64D" w14:textId="45FD20FA" w:rsidR="002F0740" w:rsidRPr="002C21B8" w:rsidRDefault="002F0740" w:rsidP="002F0740">
      <w:r w:rsidRPr="002C21B8">
        <w:t xml:space="preserve">Healthcare professionals reported that medication costs were a factor when making prescribing decisions about long-term medications </w:t>
      </w:r>
      <w:r w:rsidRPr="002C21B8">
        <w:fldChar w:fldCharType="begin">
          <w:fldData xml:space="preserve">PEVuZE5vdGU+PENpdGU+PEF1dGhvcj5KdTwvQXV0aG9yPjxZZWFyPjIwMTg8L1llYXI+PFJlY051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</w:fldData>
        </w:fldChar>
      </w:r>
      <w:r w:rsidR="00455B2B" w:rsidRPr="002C21B8">
        <w:instrText xml:space="preserve"> ADDIN EN.CITE </w:instrText>
      </w:r>
      <w:r w:rsidR="00455B2B" w:rsidRPr="002C21B8">
        <w:fldChar w:fldCharType="begin">
          <w:fldData xml:space="preserve">PEVuZE5vdGU+PENpdGU+PEF1dGhvcj5KdTwvQXV0aG9yPjxZZWFyPjIwMTg8L1llYXI+PFJlY051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</w:fldData>
        </w:fldChar>
      </w:r>
      <w:r w:rsidR="00455B2B" w:rsidRPr="002C21B8">
        <w:instrText xml:space="preserve"> ADDIN EN.CITE.DATA </w:instrText>
      </w:r>
      <w:r w:rsidR="00455B2B" w:rsidRPr="002C21B8">
        <w:fldChar w:fldCharType="end"/>
      </w:r>
      <w:r w:rsidRPr="002C21B8">
        <w:fldChar w:fldCharType="separate"/>
      </w:r>
      <w:r w:rsidRPr="002C21B8">
        <w:rPr>
          <w:noProof/>
        </w:rPr>
        <w:t>(Dhungana</w:t>
      </w:r>
      <w:r w:rsidRPr="002C21B8">
        <w:rPr>
          <w:i/>
          <w:noProof/>
        </w:rPr>
        <w:t xml:space="preserve"> et al.</w:t>
      </w:r>
      <w:r w:rsidRPr="002C21B8">
        <w:rPr>
          <w:noProof/>
        </w:rPr>
        <w:t>, 2021; Ju</w:t>
      </w:r>
      <w:r w:rsidRPr="002C21B8">
        <w:rPr>
          <w:i/>
          <w:noProof/>
        </w:rPr>
        <w:t xml:space="preserve"> et al.</w:t>
      </w:r>
      <w:r w:rsidRPr="002C21B8">
        <w:rPr>
          <w:noProof/>
        </w:rPr>
        <w:t>, 2018; Lalor</w:t>
      </w:r>
      <w:r w:rsidRPr="002C21B8">
        <w:rPr>
          <w:i/>
          <w:noProof/>
        </w:rPr>
        <w:t xml:space="preserve"> et al.</w:t>
      </w:r>
      <w:r w:rsidRPr="002C21B8">
        <w:rPr>
          <w:noProof/>
        </w:rPr>
        <w:t>, 2022; Pritchett</w:t>
      </w:r>
      <w:r w:rsidRPr="002C21B8">
        <w:rPr>
          <w:i/>
          <w:noProof/>
        </w:rPr>
        <w:t xml:space="preserve"> et al.</w:t>
      </w:r>
      <w:r w:rsidRPr="002C21B8">
        <w:rPr>
          <w:noProof/>
        </w:rPr>
        <w:t>, 2020; Qadi</w:t>
      </w:r>
      <w:r w:rsidRPr="002C21B8">
        <w:rPr>
          <w:i/>
          <w:noProof/>
        </w:rPr>
        <w:t xml:space="preserve"> et al.</w:t>
      </w:r>
      <w:r w:rsidRPr="002C21B8">
        <w:rPr>
          <w:noProof/>
        </w:rPr>
        <w:t>, 2020)</w:t>
      </w:r>
      <w:r w:rsidRPr="002C21B8">
        <w:fldChar w:fldCharType="end"/>
      </w:r>
      <w:r w:rsidRPr="002C21B8">
        <w:t xml:space="preserve">. They described </w:t>
      </w:r>
      <w:r w:rsidR="007F7269" w:rsidRPr="002C21B8">
        <w:t>including</w:t>
      </w:r>
      <w:r w:rsidRPr="002C21B8">
        <w:t xml:space="preserve"> these costs in their risk-benefit assessments </w:t>
      </w:r>
      <w:r w:rsidR="007F7269" w:rsidRPr="002C21B8">
        <w:t xml:space="preserve">and </w:t>
      </w:r>
      <w:r w:rsidRPr="002C21B8">
        <w:t xml:space="preserve">justifying the costs when a patient was likely to highly benefit from the treatment or faced a high risk of disease progression without it </w:t>
      </w:r>
      <w:r w:rsidRPr="002C21B8">
        <w:fldChar w:fldCharType="begin">
          <w:fldData xml:space="preserve">PEVuZE5vdGU+PENpdGU+PEF1dGhvcj5KdTwvQXV0aG9yPjxZZWFyPjIwMTg8L1llYXI+PFJlY051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 </w:instrText>
      </w:r>
      <w:r w:rsidR="00455B2B" w:rsidRPr="002C21B8">
        <w:fldChar w:fldCharType="begin">
          <w:fldData xml:space="preserve">PEVuZE5vdGU+PENpdGU+PEF1dGhvcj5KdTwvQXV0aG9yPjxZZWFyPjIwMTg8L1llYXI+PFJlY051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(Ju</w:t>
      </w:r>
      <w:r w:rsidRPr="002C21B8">
        <w:rPr>
          <w:i/>
          <w:noProof/>
        </w:rPr>
        <w:t xml:space="preserve"> et al.</w:t>
      </w:r>
      <w:r w:rsidRPr="002C21B8">
        <w:rPr>
          <w:noProof/>
        </w:rPr>
        <w:t>, 2018; Lalor</w:t>
      </w:r>
      <w:r w:rsidRPr="002C21B8">
        <w:rPr>
          <w:i/>
          <w:noProof/>
        </w:rPr>
        <w:t xml:space="preserve"> et al.</w:t>
      </w:r>
      <w:r w:rsidRPr="002C21B8">
        <w:rPr>
          <w:noProof/>
        </w:rPr>
        <w:t>, 2022)</w:t>
      </w:r>
      <w:r w:rsidRPr="002C21B8">
        <w:fldChar w:fldCharType="end"/>
      </w:r>
      <w:r w:rsidRPr="002C21B8">
        <w:t xml:space="preserve">. Although financial incentives or reimbursement might encourage them to prescribe certain medications </w:t>
      </w:r>
      <w:r w:rsidRPr="002C21B8">
        <w:fldChar w:fldCharType="begin">
          <w:fldData xml:space="preserve">PEVuZE5vdGU+PENpdGU+PEF1dGhvcj5LaGF0aWI8L0F1dGhvcj48WWVhcj4yMDE0PC9ZZWFyPjxS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</w:fldData>
        </w:fldChar>
      </w:r>
      <w:r w:rsidR="002F6167" w:rsidRPr="002C21B8">
        <w:instrText xml:space="preserve"> ADDIN EN.CITE </w:instrText>
      </w:r>
      <w:r w:rsidR="002F6167" w:rsidRPr="002C21B8">
        <w:fldChar w:fldCharType="begin">
          <w:fldData xml:space="preserve">PEVuZE5vdGU+PENpdGU+PEF1dGhvcj5LaGF0aWI8L0F1dGhvcj48WWVhcj4yMDE0PC9ZZWFyPjxS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</w:fldData>
        </w:fldChar>
      </w:r>
      <w:r w:rsidR="002F6167" w:rsidRPr="002C21B8">
        <w:instrText xml:space="preserve"> ADDIN EN.CITE.DATA </w:instrText>
      </w:r>
      <w:r w:rsidR="002F6167" w:rsidRPr="002C21B8">
        <w:fldChar w:fldCharType="end"/>
      </w:r>
      <w:r w:rsidRPr="002C21B8">
        <w:fldChar w:fldCharType="separate"/>
      </w:r>
      <w:r w:rsidRPr="002C21B8">
        <w:rPr>
          <w:noProof/>
        </w:rPr>
        <w:t>(Khatib</w:t>
      </w:r>
      <w:r w:rsidRPr="002C21B8">
        <w:rPr>
          <w:i/>
          <w:noProof/>
        </w:rPr>
        <w:t xml:space="preserve"> et al.</w:t>
      </w:r>
      <w:r w:rsidRPr="002C21B8">
        <w:rPr>
          <w:noProof/>
        </w:rPr>
        <w:t>, 2014)</w:t>
      </w:r>
      <w:r w:rsidRPr="002C21B8">
        <w:fldChar w:fldCharType="end"/>
      </w:r>
      <w:r w:rsidRPr="002C21B8">
        <w:t xml:space="preserve">, some prescribers felt uncomfortable and did not think these approaches were ethical if they did not align with best evidence practices or the medications were not relevant for their patient population </w:t>
      </w:r>
      <w:r w:rsidRPr="002C21B8">
        <w:fldChar w:fldCharType="begin">
          <w:fldData xml:space="preserve">PEVuZE5vdGU+PENpdGU+PEF1dGhvcj5RYWRpPC9BdXRob3I+PFllYXI+MjAyMDwvWWVhcj48UmVj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</w:fldData>
        </w:fldChar>
      </w:r>
      <w:r w:rsidR="005D7DBC" w:rsidRPr="002C21B8">
        <w:instrText xml:space="preserve"> ADDIN EN.CITE </w:instrText>
      </w:r>
      <w:r w:rsidR="005D7DBC" w:rsidRPr="002C21B8">
        <w:fldChar w:fldCharType="begin">
          <w:fldData xml:space="preserve">PEVuZE5vdGU+PENpdGU+PEF1dGhvcj5RYWRpPC9BdXRob3I+PFllYXI+MjAyMDwvWWVhcj48UmVj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</w:fldData>
        </w:fldChar>
      </w:r>
      <w:r w:rsidR="005D7DBC" w:rsidRPr="002C21B8">
        <w:instrText xml:space="preserve"> ADDIN EN.CITE.DATA </w:instrText>
      </w:r>
      <w:r w:rsidR="005D7DBC" w:rsidRPr="002C21B8">
        <w:fldChar w:fldCharType="end"/>
      </w:r>
      <w:r w:rsidRPr="002C21B8">
        <w:fldChar w:fldCharType="separate"/>
      </w:r>
      <w:r w:rsidRPr="002C21B8">
        <w:rPr>
          <w:noProof/>
        </w:rPr>
        <w:t>(Byrne</w:t>
      </w:r>
      <w:r w:rsidRPr="002C21B8">
        <w:rPr>
          <w:i/>
          <w:noProof/>
        </w:rPr>
        <w:t xml:space="preserve"> et al.</w:t>
      </w:r>
      <w:r w:rsidRPr="002C21B8">
        <w:rPr>
          <w:noProof/>
        </w:rPr>
        <w:t>, 2022; Qadi</w:t>
      </w:r>
      <w:r w:rsidRPr="002C21B8">
        <w:rPr>
          <w:i/>
          <w:noProof/>
        </w:rPr>
        <w:t xml:space="preserve"> et al.</w:t>
      </w:r>
      <w:r w:rsidRPr="002C21B8">
        <w:rPr>
          <w:noProof/>
        </w:rPr>
        <w:t>, 2020)</w:t>
      </w:r>
      <w:r w:rsidRPr="002C21B8">
        <w:fldChar w:fldCharType="end"/>
      </w:r>
      <w:r w:rsidRPr="002C21B8">
        <w:t xml:space="preserve">. In healthcare settings where care is not free at the point of access, prescribers reported factoring in </w:t>
      </w:r>
      <w:r w:rsidR="007F7269" w:rsidRPr="002C21B8">
        <w:t xml:space="preserve">the </w:t>
      </w:r>
      <w:r w:rsidRPr="002C21B8">
        <w:t>medication costs t</w:t>
      </w:r>
      <w:r w:rsidR="007F7269" w:rsidRPr="002C21B8">
        <w:t>hat would affect the</w:t>
      </w:r>
      <w:r w:rsidRPr="002C21B8">
        <w:t xml:space="preserve"> patient to protect them from financial harm</w:t>
      </w:r>
      <w:r w:rsidR="007F7269" w:rsidRPr="002C21B8">
        <w:t>. However,</w:t>
      </w:r>
      <w:r w:rsidRPr="002C21B8">
        <w:t xml:space="preserve"> these decisions were </w:t>
      </w:r>
      <w:r w:rsidR="007F7269" w:rsidRPr="002C21B8">
        <w:t xml:space="preserve">noted to be </w:t>
      </w:r>
      <w:r w:rsidRPr="002C21B8">
        <w:t xml:space="preserve">based on their perceptions rather than direct empirical knowledge of their patients’ financial circumstances </w:t>
      </w:r>
      <w:r w:rsidRPr="002C21B8">
        <w:fldChar w:fldCharType="begin">
          <w:fldData xml:space="preserve">PEVuZE5vdGU+PENpdGU+PEF1dGhvcj5CeXJuZTwvQXV0aG9yPjxZZWFyPjIwMjI8L1llYXI+PFJl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</w:fldData>
        </w:fldChar>
      </w:r>
      <w:r w:rsidR="00455B2B" w:rsidRPr="002C21B8">
        <w:instrText xml:space="preserve"> ADDIN EN.CITE </w:instrText>
      </w:r>
      <w:r w:rsidR="00455B2B" w:rsidRPr="002C21B8">
        <w:fldChar w:fldCharType="begin">
          <w:fldData xml:space="preserve">PEVuZE5vdGU+PENpdGU+PEF1dGhvcj5CeXJuZTwvQXV0aG9yPjxZZWFyPjIwMjI8L1llYXI+PFJl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</w:fldData>
        </w:fldChar>
      </w:r>
      <w:r w:rsidR="00455B2B" w:rsidRPr="002C21B8">
        <w:instrText xml:space="preserve"> ADDIN EN.CITE.DATA </w:instrText>
      </w:r>
      <w:r w:rsidR="00455B2B" w:rsidRPr="002C21B8">
        <w:fldChar w:fldCharType="end"/>
      </w:r>
      <w:r w:rsidRPr="002C21B8">
        <w:fldChar w:fldCharType="separate"/>
      </w:r>
      <w:r w:rsidRPr="002C21B8">
        <w:rPr>
          <w:noProof/>
        </w:rPr>
        <w:t>(Byrne</w:t>
      </w:r>
      <w:r w:rsidRPr="002C21B8">
        <w:rPr>
          <w:i/>
          <w:noProof/>
        </w:rPr>
        <w:t xml:space="preserve"> et al.</w:t>
      </w:r>
      <w:r w:rsidRPr="002C21B8">
        <w:rPr>
          <w:noProof/>
        </w:rPr>
        <w:t>, 2022; Ju</w:t>
      </w:r>
      <w:r w:rsidRPr="002C21B8">
        <w:rPr>
          <w:i/>
          <w:noProof/>
        </w:rPr>
        <w:t xml:space="preserve"> et al.</w:t>
      </w:r>
      <w:r w:rsidRPr="002C21B8">
        <w:rPr>
          <w:noProof/>
        </w:rPr>
        <w:t>, 2018; Lalor</w:t>
      </w:r>
      <w:r w:rsidRPr="002C21B8">
        <w:rPr>
          <w:i/>
          <w:noProof/>
        </w:rPr>
        <w:t xml:space="preserve"> et al.</w:t>
      </w:r>
      <w:r w:rsidRPr="002C21B8">
        <w:rPr>
          <w:noProof/>
        </w:rPr>
        <w:t>, 2022; Pritchett</w:t>
      </w:r>
      <w:r w:rsidRPr="002C21B8">
        <w:rPr>
          <w:i/>
          <w:noProof/>
        </w:rPr>
        <w:t xml:space="preserve"> et al.</w:t>
      </w:r>
      <w:r w:rsidRPr="002C21B8">
        <w:rPr>
          <w:noProof/>
        </w:rPr>
        <w:t>, 2020)</w:t>
      </w:r>
      <w:r w:rsidRPr="002C21B8">
        <w:fldChar w:fldCharType="end"/>
      </w:r>
      <w:r w:rsidRPr="002C21B8">
        <w:t xml:space="preserve">. Prescribers described that while having monitoring for medications gave them some reassurance, they might not prescribe a medication if this monitoring resulted in an increased workload, resource use or need for support staff </w:t>
      </w:r>
      <w:r w:rsidRPr="002C21B8">
        <w:fldChar w:fldCharType="begin">
          <w:fldData xml:space="preserve">PEVuZE5vdGU+PENpdGU+PEF1dGhvcj5Qcml0Y2hldHQ8L0F1dGhvcj48WWVhcj4yMDIwPC9ZZWFy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</w:fldData>
        </w:fldChar>
      </w:r>
      <w:r w:rsidR="000215B0" w:rsidRPr="002C21B8">
        <w:instrText xml:space="preserve"> ADDIN EN.CITE </w:instrText>
      </w:r>
      <w:r w:rsidR="000215B0" w:rsidRPr="002C21B8">
        <w:fldChar w:fldCharType="begin">
          <w:fldData xml:space="preserve">PEVuZE5vdGU+PENpdGU+PEF1dGhvcj5Qcml0Y2hldHQ8L0F1dGhvcj48WWVhcj4yMDIwPC9ZZWFy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</w:fldData>
        </w:fldChar>
      </w:r>
      <w:r w:rsidR="000215B0" w:rsidRPr="002C21B8">
        <w:instrText xml:space="preserve"> ADDIN EN.CITE.DATA </w:instrText>
      </w:r>
      <w:r w:rsidR="000215B0" w:rsidRPr="002C21B8">
        <w:fldChar w:fldCharType="end"/>
      </w:r>
      <w:r w:rsidRPr="002C21B8">
        <w:fldChar w:fldCharType="separate"/>
      </w:r>
      <w:r w:rsidRPr="002C21B8">
        <w:rPr>
          <w:noProof/>
        </w:rPr>
        <w:t>(Generalova</w:t>
      </w:r>
      <w:r w:rsidRPr="002C21B8">
        <w:rPr>
          <w:i/>
          <w:noProof/>
        </w:rPr>
        <w:t xml:space="preserve"> et al.</w:t>
      </w:r>
      <w:r w:rsidRPr="002C21B8">
        <w:rPr>
          <w:noProof/>
        </w:rPr>
        <w:t>, 2018; Pritchett</w:t>
      </w:r>
      <w:r w:rsidRPr="002C21B8">
        <w:rPr>
          <w:i/>
          <w:noProof/>
        </w:rPr>
        <w:t xml:space="preserve"> et al.</w:t>
      </w:r>
      <w:r w:rsidRPr="002C21B8">
        <w:rPr>
          <w:noProof/>
        </w:rPr>
        <w:t>, 2020)</w:t>
      </w:r>
      <w:r w:rsidRPr="002C21B8">
        <w:fldChar w:fldCharType="end"/>
      </w:r>
      <w:r w:rsidRPr="002C21B8">
        <w:t>.</w:t>
      </w:r>
    </w:p>
    <w:p w14:paraId="5F59B029" w14:textId="77777777" w:rsidR="002F0740" w:rsidRPr="002C21B8" w:rsidRDefault="002F0740" w:rsidP="002F0740">
      <w:pPr>
        <w:spacing w:before="240" w:after="0"/>
        <w:rPr>
          <w:b/>
          <w:bCs/>
          <w:i/>
          <w:iCs/>
        </w:rPr>
      </w:pPr>
      <w:r w:rsidRPr="002C21B8">
        <w:rPr>
          <w:b/>
          <w:bCs/>
          <w:i/>
          <w:iCs/>
        </w:rPr>
        <w:t>Shared decision-making – which is not always shared equally between patients and prescribers when making prescribing decisions</w:t>
      </w:r>
    </w:p>
    <w:p w14:paraId="2BAA9F98" w14:textId="251593C0" w:rsidR="002F0740" w:rsidRPr="002C21B8" w:rsidRDefault="002F0740" w:rsidP="004E2626">
      <w:r w:rsidRPr="002C21B8">
        <w:t>Prescribers described how shared decision-making played a role in whether they initiated long-term medications. They reported sometimes choosing not to discuss long-term medications if they thought that a patient might not want to take the medication</w:t>
      </w:r>
      <w:r w:rsidR="004E2626" w:rsidRPr="002C21B8">
        <w:t>. P</w:t>
      </w:r>
      <w:r w:rsidRPr="002C21B8">
        <w:t>otential reasons</w:t>
      </w:r>
      <w:r w:rsidR="004E2626" w:rsidRPr="002C21B8">
        <w:t xml:space="preserve"> for this </w:t>
      </w:r>
      <w:r w:rsidRPr="002C21B8">
        <w:t>include</w:t>
      </w:r>
      <w:r w:rsidR="007F7269" w:rsidRPr="002C21B8">
        <w:t>d</w:t>
      </w:r>
      <w:r w:rsidRPr="002C21B8">
        <w:t xml:space="preserve"> anticipated refusal </w:t>
      </w:r>
      <w:r w:rsidRPr="002C21B8">
        <w:fldChar w:fldCharType="begin">
          <w:fldData xml:space="preserve">PEVuZE5vdGU+PENpdGU+PEF1dGhvcj5SdXNoZm9ydGg8L0F1dGhvcj48WWVhcj4yMDE2PC9ZZWFy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instrText xml:space="preserve"> ADDIN EN.CITE </w:instrText>
      </w:r>
      <w:r w:rsidR="000215B0" w:rsidRPr="002C21B8">
        <w:fldChar w:fldCharType="begin">
          <w:fldData xml:space="preserve">PEVuZE5vdGU+PENpdGU+PEF1dGhvcj5SdXNoZm9ydGg8L0F1dGhvcj48WWVhcj4yMDE2PC9ZZWFy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Ng</w:t>
      </w:r>
      <w:r w:rsidRPr="002C21B8">
        <w:rPr>
          <w:i/>
          <w:noProof/>
        </w:rPr>
        <w:t xml:space="preserve"> et al.</w:t>
      </w:r>
      <w:r w:rsidRPr="002C21B8">
        <w:rPr>
          <w:noProof/>
        </w:rPr>
        <w:t>, 2015; Pritchett</w:t>
      </w:r>
      <w:r w:rsidRPr="002C21B8">
        <w:rPr>
          <w:i/>
          <w:noProof/>
        </w:rPr>
        <w:t xml:space="preserve"> et al.</w:t>
      </w:r>
      <w:r w:rsidRPr="002C21B8">
        <w:rPr>
          <w:noProof/>
        </w:rPr>
        <w:t>, 2020; Rushforth</w:t>
      </w:r>
      <w:r w:rsidRPr="002C21B8">
        <w:rPr>
          <w:i/>
          <w:noProof/>
        </w:rPr>
        <w:t xml:space="preserve"> et al.</w:t>
      </w:r>
      <w:r w:rsidRPr="002C21B8">
        <w:rPr>
          <w:noProof/>
        </w:rPr>
        <w:t>, 2016)</w:t>
      </w:r>
      <w:r w:rsidRPr="002C21B8">
        <w:fldChar w:fldCharType="end"/>
      </w:r>
      <w:r w:rsidRPr="002C21B8">
        <w:t xml:space="preserve">, potential difficulties with adherence </w:t>
      </w:r>
      <w:r w:rsidRPr="002C21B8">
        <w:fldChar w:fldCharType="begin">
          <w:fldData xml:space="preserve">PEVuZE5vdGU+PENpdGU+PEF1dGhvcj5SdXNoZm9ydGg8L0F1dGhvcj48WWVhcj4yMDE2PC9ZZWFy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instrText xml:space="preserve"> ADDIN EN.CITE </w:instrText>
      </w:r>
      <w:r w:rsidR="000215B0" w:rsidRPr="002C21B8">
        <w:fldChar w:fldCharType="begin">
          <w:fldData xml:space="preserve">PEVuZE5vdGU+PENpdGU+PEF1dGhvcj5SdXNoZm9ydGg8L0F1dGhvcj48WWVhcj4yMDE2PC9ZZWFy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</w:fldData>
        </w:fldChar>
      </w:r>
      <w:r w:rsidR="000215B0" w:rsidRPr="002C21B8">
        <w:instrText xml:space="preserve"> ADDIN EN.CITE.DATA </w:instrText>
      </w:r>
      <w:r w:rsidR="000215B0" w:rsidRPr="002C21B8">
        <w:fldChar w:fldCharType="end"/>
      </w:r>
      <w:r w:rsidRPr="002C21B8">
        <w:fldChar w:fldCharType="separate"/>
      </w:r>
      <w:r w:rsidRPr="002C21B8">
        <w:rPr>
          <w:noProof/>
        </w:rPr>
        <w:t>(Bin Rsheed and Chenoweth, 2017; Ng</w:t>
      </w:r>
      <w:r w:rsidRPr="002C21B8">
        <w:rPr>
          <w:i/>
          <w:noProof/>
        </w:rPr>
        <w:t xml:space="preserve"> et al.</w:t>
      </w:r>
      <w:r w:rsidRPr="002C21B8">
        <w:rPr>
          <w:noProof/>
        </w:rPr>
        <w:t>, 2015; Pritchett</w:t>
      </w:r>
      <w:r w:rsidRPr="002C21B8">
        <w:rPr>
          <w:i/>
          <w:noProof/>
        </w:rPr>
        <w:t xml:space="preserve"> et al.</w:t>
      </w:r>
      <w:r w:rsidRPr="002C21B8">
        <w:rPr>
          <w:noProof/>
        </w:rPr>
        <w:t>, 2020; Rushforth</w:t>
      </w:r>
      <w:r w:rsidRPr="002C21B8">
        <w:rPr>
          <w:i/>
          <w:noProof/>
        </w:rPr>
        <w:t xml:space="preserve"> et al.</w:t>
      </w:r>
      <w:r w:rsidRPr="002C21B8">
        <w:rPr>
          <w:noProof/>
        </w:rPr>
        <w:t>, 2016)</w:t>
      </w:r>
      <w:r w:rsidRPr="002C21B8">
        <w:fldChar w:fldCharType="end"/>
      </w:r>
      <w:r w:rsidRPr="002C21B8">
        <w:t>, reluctance to initiate new medications</w:t>
      </w:r>
      <w:r w:rsidR="007A6D26" w:rsidRPr="002C21B8">
        <w:t xml:space="preserve"> </w:t>
      </w:r>
      <w:r w:rsidRPr="002C21B8">
        <w:fldChar w:fldCharType="begin"/>
      </w:r>
      <w:r w:rsidR="002F6167" w:rsidRPr="002C21B8">
        <w:instrText xml:space="preserve"> ADDIN EN.CITE &lt;EndNote&gt;&lt;Cite&gt;&lt;Author&gt;Khatib&lt;/Author&gt;&lt;Year&gt;2014&lt;/Year&gt;&lt;RecNum&gt;15213&lt;/RecNum&gt;&lt;DisplayText&gt;(Khatib&lt;style face="italic"&gt; et al.&lt;/style&gt;, 2014)&lt;/DisplayText&gt;&lt;record&gt;&lt;rec-number&gt;15213&lt;/rec-number&gt;&lt;foreign-keys&gt;&lt;key app="EN" db-id="xpefzwa5hf9dt2ea9fax95x7xvxz90v09dtf" timestamp="1713279547"&gt;15213&lt;/key&gt;&lt;/foreign-keys&gt;&lt;ref-type name="Journal Article"&gt;17&lt;/ref-type&gt;&lt;contributors&gt;&lt;authors&gt;&lt;author&gt;Khatib, Rasha&lt;/author&gt;&lt;author&gt;Schwalm, Jon-David&lt;/author&gt;&lt;author&gt;Yusuf, Salim&lt;/author&gt;&lt;author&gt;Haynes, R Brian&lt;/author&gt;&lt;author&gt;McKee, Martin&lt;/author&gt;&lt;author&gt;Khan, Maheer&lt;/author&gt;&lt;author&gt;Nieuwlaat, Robby&lt;/author&gt;&lt;/authors&gt;&lt;/contributors&gt;&lt;titles&gt;&lt;title&gt;Patient and healthcare provider barriers to hypertension awareness, treatment and follow up: a systematic review and meta-analysis of qualitative and quantitative studies&lt;/title&gt;&lt;secondary-title&gt;PLOS One&lt;/secondary-title&gt;&lt;/titles&gt;&lt;periodical&gt;&lt;full-title&gt;PLoS ONE&lt;/full-title&gt;&lt;/periodical&gt;&lt;pages&gt;e84238&lt;/pages&gt;&lt;volume&gt;9&lt;/volume&gt;&lt;number&gt;1&lt;/number&gt;&lt;dates&gt;&lt;year&gt;2014&lt;/year&gt;&lt;/dates&gt;&lt;isbn&gt;1932-6203&lt;/isbn&gt;&lt;urls&gt;&lt;/urls&gt;&lt;/record&gt;&lt;/Cite&gt;&lt;/EndNote&gt;</w:instrText>
      </w:r>
      <w:r w:rsidRPr="002C21B8">
        <w:fldChar w:fldCharType="separate"/>
      </w:r>
      <w:r w:rsidRPr="002C21B8">
        <w:rPr>
          <w:noProof/>
        </w:rPr>
        <w:t>(Khatib</w:t>
      </w:r>
      <w:r w:rsidRPr="002C21B8">
        <w:rPr>
          <w:i/>
          <w:noProof/>
        </w:rPr>
        <w:t xml:space="preserve"> et al.</w:t>
      </w:r>
      <w:r w:rsidRPr="002C21B8">
        <w:rPr>
          <w:noProof/>
        </w:rPr>
        <w:t>, 2014)</w:t>
      </w:r>
      <w:r w:rsidRPr="002C21B8">
        <w:fldChar w:fldCharType="end"/>
      </w:r>
      <w:r w:rsidRPr="002C21B8">
        <w:t xml:space="preserve">, desire to avoid polypharmacy </w:t>
      </w:r>
      <w:r w:rsidRPr="002C21B8">
        <w:fldChar w:fldCharType="begin"/>
      </w:r>
      <w:r w:rsidR="002F6167" w:rsidRPr="002C21B8">
        <w:instrText xml:space="preserve"> ADDIN EN.CITE &lt;EndNote&gt;&lt;Cite&gt;&lt;Author&gt;Khatib&lt;/Author&gt;&lt;Year&gt;2014&lt;/Year&gt;&lt;RecNum&gt;15213&lt;/RecNum&gt;&lt;DisplayText&gt;(Khatib&lt;style face="italic"&gt; et al.&lt;/style&gt;, 2014)&lt;/DisplayText&gt;&lt;record&gt;&lt;rec-number&gt;15213&lt;/rec-number&gt;&lt;foreign-keys&gt;&lt;key app="EN" db-id="xpefzwa5hf9dt2ea9fax95x7xvxz90v09dtf" timestamp="1713279547"&gt;15213&lt;/key&gt;&lt;/foreign-keys&gt;&lt;ref-type name="Journal Article"&gt;17&lt;/ref-type&gt;&lt;contributors&gt;&lt;authors&gt;&lt;author&gt;Khatib, Rasha&lt;/author&gt;&lt;author&gt;Schwalm, Jon-David&lt;/author&gt;&lt;author&gt;Yusuf, Salim&lt;/author&gt;&lt;author&gt;Haynes, R Brian&lt;/author&gt;&lt;author&gt;McKee, Martin&lt;/author&gt;&lt;author&gt;Khan, Maheer&lt;/author&gt;&lt;author&gt;Nieuwlaat, Robby&lt;/author&gt;&lt;/authors&gt;&lt;/contributors&gt;&lt;titles&gt;&lt;title&gt;Patient and healthcare provider barriers to hypertension awareness, treatment and follow up: a systematic review and meta-analysis of qualitative and quantitative studies&lt;/title&gt;&lt;secondary-title&gt;PLOS One&lt;/secondary-title&gt;&lt;/titles&gt;&lt;periodical&gt;&lt;full-title&gt;PLoS ONE&lt;/full-title&gt;&lt;/periodical&gt;&lt;pages&gt;e84238&lt;/pages&gt;&lt;volume&gt;9&lt;/volume&gt;&lt;number&gt;1&lt;/number&gt;&lt;dates&gt;&lt;year&gt;2014&lt;/year&gt;&lt;/dates&gt;&lt;isbn&gt;1932-6203&lt;/isbn&gt;&lt;urls&gt;&lt;/urls&gt;&lt;/record&gt;&lt;/Cite&gt;&lt;/EndNote&gt;</w:instrText>
      </w:r>
      <w:r w:rsidRPr="002C21B8">
        <w:fldChar w:fldCharType="separate"/>
      </w:r>
      <w:r w:rsidRPr="002C21B8">
        <w:rPr>
          <w:noProof/>
        </w:rPr>
        <w:t>(Khatib</w:t>
      </w:r>
      <w:r w:rsidRPr="002C21B8">
        <w:rPr>
          <w:i/>
          <w:noProof/>
        </w:rPr>
        <w:t xml:space="preserve"> et al.</w:t>
      </w:r>
      <w:r w:rsidRPr="002C21B8">
        <w:rPr>
          <w:noProof/>
        </w:rPr>
        <w:t>, 2014)</w:t>
      </w:r>
      <w:r w:rsidRPr="002C21B8">
        <w:fldChar w:fldCharType="end"/>
      </w:r>
      <w:r w:rsidR="004E2626" w:rsidRPr="002C21B8">
        <w:t xml:space="preserve">, </w:t>
      </w:r>
      <w:r w:rsidRPr="002C21B8">
        <w:t xml:space="preserve">certain side effects </w:t>
      </w:r>
      <w:r w:rsidRPr="002C21B8">
        <w:fldChar w:fldCharType="begin">
          <w:fldData xml:space="preserve">PEVuZE5vdGU+PENpdGU+PEF1dGhvcj5MYWxvcjwvQXV0aG9yPjxZZWFyPjIwMjI8L1llYXI+PFJl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</w:fldData>
        </w:fldChar>
      </w:r>
      <w:r w:rsidR="00455B2B" w:rsidRPr="002C21B8">
        <w:instrText xml:space="preserve"> ADDIN EN.CITE </w:instrText>
      </w:r>
      <w:r w:rsidR="00455B2B" w:rsidRPr="002C21B8">
        <w:fldChar w:fldCharType="begin">
          <w:fldData xml:space="preserve">PEVuZE5vdGU+PENpdGU+PEF1dGhvcj5MYWxvcjwvQXV0aG9yPjxZZWFyPjIwMjI8L1llYXI+PFJl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(Lalor</w:t>
      </w:r>
      <w:r w:rsidRPr="002C21B8">
        <w:rPr>
          <w:i/>
          <w:noProof/>
        </w:rPr>
        <w:t xml:space="preserve"> et al.</w:t>
      </w:r>
      <w:r w:rsidRPr="002C21B8">
        <w:rPr>
          <w:noProof/>
        </w:rPr>
        <w:t>, 2022; Qadi</w:t>
      </w:r>
      <w:r w:rsidRPr="002C21B8">
        <w:rPr>
          <w:i/>
          <w:noProof/>
        </w:rPr>
        <w:t xml:space="preserve"> et al.</w:t>
      </w:r>
      <w:r w:rsidRPr="002C21B8">
        <w:rPr>
          <w:noProof/>
        </w:rPr>
        <w:t>, 2020)</w:t>
      </w:r>
      <w:r w:rsidRPr="002C21B8">
        <w:fldChar w:fldCharType="end"/>
      </w:r>
      <w:r w:rsidRPr="002C21B8">
        <w:t xml:space="preserve">, avoidance of certain treatment modalities such as injections </w:t>
      </w:r>
      <w:r w:rsidRPr="002C21B8">
        <w:fldChar w:fldCharType="begin">
          <w:fldData xml:space="preserve">PEVuZE5vdGU+PENpdGU+PEF1dGhvcj5CaW4gUnNoZWVkPC9BdXRob3I+PFllYXI+MjAxNzwvWWVh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NDktMDE3MjwvaXNibj48dXJscz48L3VybHM+PC9yZWNvcmQ+PC9DaXRlPjxDaXRlPjxBdXRob3I+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=
</w:fldData>
        </w:fldChar>
      </w:r>
      <w:r w:rsidR="00455B2B" w:rsidRPr="002C21B8">
        <w:instrText xml:space="preserve"> ADDIN EN.CITE </w:instrText>
      </w:r>
      <w:r w:rsidR="00455B2B" w:rsidRPr="002C21B8">
        <w:fldChar w:fldCharType="begin">
          <w:fldData xml:space="preserve">PEVuZE5vdGU+PENpdGU+PEF1dGhvcj5CaW4gUnNoZWVkPC9BdXRob3I+PFllYXI+MjAxNzwvWWVh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=
</w:fldData>
        </w:fldChar>
      </w:r>
      <w:r w:rsidR="00455B2B" w:rsidRPr="002C21B8">
        <w:instrText xml:space="preserve"> ADDIN EN.CITE.DATA </w:instrText>
      </w:r>
      <w:r w:rsidR="00455B2B" w:rsidRPr="002C21B8">
        <w:fldChar w:fldCharType="end"/>
      </w:r>
      <w:r w:rsidRPr="002C21B8">
        <w:fldChar w:fldCharType="separate"/>
      </w:r>
      <w:r w:rsidRPr="002C21B8">
        <w:rPr>
          <w:noProof/>
        </w:rPr>
        <w:t>(Bin Rsheed and Chenoweth, 2017; Byrne</w:t>
      </w:r>
      <w:r w:rsidRPr="002C21B8">
        <w:rPr>
          <w:i/>
          <w:noProof/>
        </w:rPr>
        <w:t xml:space="preserve"> et al.</w:t>
      </w:r>
      <w:r w:rsidRPr="002C21B8">
        <w:rPr>
          <w:noProof/>
        </w:rPr>
        <w:t>, 2022; Lalor</w:t>
      </w:r>
      <w:r w:rsidRPr="002C21B8">
        <w:rPr>
          <w:i/>
          <w:noProof/>
        </w:rPr>
        <w:t xml:space="preserve"> et al.</w:t>
      </w:r>
      <w:r w:rsidRPr="002C21B8">
        <w:rPr>
          <w:noProof/>
        </w:rPr>
        <w:t>, 2022; Rushforth</w:t>
      </w:r>
      <w:r w:rsidRPr="002C21B8">
        <w:rPr>
          <w:i/>
          <w:noProof/>
        </w:rPr>
        <w:t xml:space="preserve"> et al.</w:t>
      </w:r>
      <w:r w:rsidRPr="002C21B8">
        <w:rPr>
          <w:noProof/>
        </w:rPr>
        <w:t>, 2016)</w:t>
      </w:r>
      <w:r w:rsidRPr="002C21B8">
        <w:fldChar w:fldCharType="end"/>
      </w:r>
      <w:r w:rsidRPr="002C21B8">
        <w:t xml:space="preserve"> and interventions needing high levels of monitoring </w:t>
      </w:r>
      <w:r w:rsidRPr="002C21B8">
        <w:fldChar w:fldCharType="begin"/>
      </w:r>
      <w:r w:rsidR="000215B0" w:rsidRPr="002C21B8">
        <w:instrText xml:space="preserve"> ADDIN EN.CITE &lt;EndNote&gt;&lt;Cite&gt;&lt;Author&gt;Pritchett&lt;/Author&gt;&lt;Year&gt;2020&lt;/Year&gt;&lt;RecNum&gt;15218&lt;/RecNum&gt;&lt;DisplayText&gt;(Pritchett&lt;style face="italic"&gt; et al.&lt;/style&gt;, 2020)&lt;/DisplayText&gt;&lt;record&gt;&lt;rec-number&gt;15218&lt;/rec-number&gt;&lt;foreign-keys&gt;&lt;key app="EN" db-id="xpefzwa5hf9dt2ea9fax95x7xvxz90v09dtf" timestamp="1713285881"&gt;15218&lt;/key&gt;&lt;/foreign-keys&gt;&lt;ref-type name="Journal Article"&gt;17&lt;/ref-type&gt;&lt;contributors&gt;&lt;authors&gt;&lt;author&gt;Pritchett, Ruth V&lt;/author&gt;&lt;author&gt;Clarke, Joanne L&lt;/author&gt;&lt;author&gt;Jolly, Kate&lt;/author&gt;&lt;author&gt;Clarkesmith, Danielle&lt;/author&gt;&lt;author&gt;Bem, Danai&lt;/author&gt;&lt;author&gt;Turner, Grace M&lt;/author&gt;&lt;author&gt;Thomas, G Neil&lt;/author&gt;&lt;author&gt;Lane, Deirdre A&lt;/author&gt;&lt;/authors&gt;&lt;/contributors&gt;&lt;titles&gt;&lt;title&gt;Clinicians’ views and experiences of prescribing oral anticoagulants for stroke prevention in atrial fibrillation: a qualitative meta-synthesis&lt;/title&gt;&lt;secondary-title&gt;PLOS One&lt;/secondary-title&gt;&lt;/titles&gt;&lt;periodical&gt;&lt;full-title&gt;PLoS ONE&lt;/full-title&gt;&lt;/periodical&gt;&lt;pages&gt;e0232484&lt;/pages&gt;&lt;volume&gt;15&lt;/volume&gt;&lt;number&gt;5&lt;/number&gt;&lt;dates&gt;&lt;year&gt;2020&lt;/year&gt;&lt;/dates&gt;&lt;isbn&gt;1932-6203&lt;/isbn&gt;&lt;urls&gt;&lt;/urls&gt;&lt;/record&gt;&lt;/Cite&gt;&lt;/EndNote&gt;</w:instrText>
      </w:r>
      <w:r w:rsidRPr="002C21B8">
        <w:fldChar w:fldCharType="separate"/>
      </w:r>
      <w:r w:rsidRPr="002C21B8">
        <w:rPr>
          <w:noProof/>
        </w:rPr>
        <w:t>(Pritchett</w:t>
      </w:r>
      <w:r w:rsidRPr="002C21B8">
        <w:rPr>
          <w:i/>
          <w:noProof/>
        </w:rPr>
        <w:t xml:space="preserve"> et al.</w:t>
      </w:r>
      <w:r w:rsidRPr="002C21B8">
        <w:rPr>
          <w:noProof/>
        </w:rPr>
        <w:t>, 2020)</w:t>
      </w:r>
      <w:r w:rsidRPr="002C21B8">
        <w:fldChar w:fldCharType="end"/>
      </w:r>
      <w:r w:rsidRPr="002C21B8">
        <w:t>. Additionally, some prescribers described not discussing certain treatments with patients, fearing it might heighten patient health anxiety if it is viewed as a “last resort”</w:t>
      </w:r>
      <w:r w:rsidR="00B14FC8" w:rsidRPr="002C21B8">
        <w:t>,</w:t>
      </w:r>
      <w:r w:rsidRPr="002C21B8">
        <w:t xml:space="preserve"> </w:t>
      </w:r>
      <w:r w:rsidR="004E2626" w:rsidRPr="002C21B8">
        <w:t xml:space="preserve">as it could </w:t>
      </w:r>
      <w:r w:rsidRPr="002C21B8">
        <w:t>reinforc</w:t>
      </w:r>
      <w:r w:rsidR="004E2626" w:rsidRPr="002C21B8">
        <w:t>e patient</w:t>
      </w:r>
      <w:r w:rsidRPr="002C21B8">
        <w:t xml:space="preserve"> concerns about disease progression or death </w:t>
      </w:r>
      <w:r w:rsidRPr="002C21B8">
        <w:fldChar w:fldCharType="begin">
          <w:fldData xml:space="preserve">PEVuZE5vdGU+PENpdGU+PEF1dGhvcj5KdTwvQXV0aG9yPjxZZWFyPjIwMTg8L1llYXI+PFJlY051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 </w:instrText>
      </w:r>
      <w:r w:rsidR="00455B2B" w:rsidRPr="002C21B8">
        <w:fldChar w:fldCharType="begin">
          <w:fldData xml:space="preserve">PEVuZE5vdGU+PENpdGU+PEF1dGhvcj5KdTwvQXV0aG9yPjxZZWFyPjIwMTg8L1llYXI+PFJlY051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</w:fldData>
        </w:fldChar>
      </w:r>
      <w:r w:rsidR="00455B2B" w:rsidRPr="002C21B8">
        <w:instrText xml:space="preserve"> ADDIN EN.CITE.DATA </w:instrText>
      </w:r>
      <w:r w:rsidR="00455B2B" w:rsidRPr="002C21B8">
        <w:fldChar w:fldCharType="end"/>
      </w:r>
      <w:r w:rsidRPr="002C21B8">
        <w:fldChar w:fldCharType="separate"/>
      </w:r>
      <w:r w:rsidRPr="002C21B8">
        <w:rPr>
          <w:noProof/>
        </w:rPr>
        <w:t>(Ju</w:t>
      </w:r>
      <w:r w:rsidRPr="002C21B8">
        <w:rPr>
          <w:i/>
          <w:noProof/>
        </w:rPr>
        <w:t xml:space="preserve"> et al.</w:t>
      </w:r>
      <w:r w:rsidRPr="002C21B8">
        <w:rPr>
          <w:noProof/>
        </w:rPr>
        <w:t>, 2018; Lalor</w:t>
      </w:r>
      <w:r w:rsidRPr="002C21B8">
        <w:rPr>
          <w:i/>
          <w:noProof/>
        </w:rPr>
        <w:t xml:space="preserve"> et al.</w:t>
      </w:r>
      <w:r w:rsidRPr="002C21B8">
        <w:rPr>
          <w:noProof/>
        </w:rPr>
        <w:t>, 2022)</w:t>
      </w:r>
      <w:r w:rsidRPr="002C21B8">
        <w:fldChar w:fldCharType="end"/>
      </w:r>
      <w:r w:rsidRPr="002C21B8">
        <w:t xml:space="preserve">. When patients actively request a medication, prescribers reported they were more likely to initiate it </w:t>
      </w:r>
      <w:r w:rsidRPr="002C21B8">
        <w:fldChar w:fldCharType="begin"/>
      </w:r>
      <w:r w:rsidR="002F6167" w:rsidRPr="002C21B8">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fldChar w:fldCharType="separate"/>
      </w:r>
      <w:r w:rsidRPr="002C21B8">
        <w:rPr>
          <w:noProof/>
        </w:rPr>
        <w:t>(Ju</w:t>
      </w:r>
      <w:r w:rsidRPr="002C21B8">
        <w:rPr>
          <w:i/>
          <w:noProof/>
        </w:rPr>
        <w:t xml:space="preserve"> et al.</w:t>
      </w:r>
      <w:r w:rsidRPr="002C21B8">
        <w:rPr>
          <w:noProof/>
        </w:rPr>
        <w:t>, 2018)</w:t>
      </w:r>
      <w:r w:rsidRPr="002C21B8">
        <w:fldChar w:fldCharType="end"/>
      </w:r>
      <w:r w:rsidRPr="002C21B8">
        <w:t xml:space="preserve">. They did recognise that this often favoured people from higher socioeconomic backgrounds who are </w:t>
      </w:r>
      <w:r w:rsidR="004E2626" w:rsidRPr="002C21B8">
        <w:t xml:space="preserve">typically </w:t>
      </w:r>
      <w:r w:rsidRPr="002C21B8">
        <w:t>more literate and able to self-advocate</w:t>
      </w:r>
      <w:r w:rsidR="004E2626" w:rsidRPr="002C21B8">
        <w:t xml:space="preserve">. This was recognised to potentially </w:t>
      </w:r>
      <w:r w:rsidRPr="002C21B8">
        <w:t>exacerbat</w:t>
      </w:r>
      <w:r w:rsidR="004E2626" w:rsidRPr="002C21B8">
        <w:t>e</w:t>
      </w:r>
      <w:r w:rsidRPr="002C21B8">
        <w:t xml:space="preserve"> health inequalities </w:t>
      </w:r>
      <w:r w:rsidRPr="002C21B8">
        <w:fldChar w:fldCharType="begin"/>
      </w:r>
      <w:r w:rsidR="00455B2B" w:rsidRPr="002C21B8">
        <w:instrText xml:space="preserve"> ADDIN EN.CITE &lt;EndNote&gt;&lt;Cite&gt;&lt;Author&gt;Orayj&lt;/Author&gt;&lt;Year&gt;2019&lt;/Year&gt;&lt;RecNum&gt;15217&lt;/RecNum&gt;&lt;DisplayText&gt;(Lalor&lt;style face="italic"&gt; et al.&lt;/style&gt;, 2022; Orayj and Lane, 2019)&lt;/DisplayText&gt;&lt;record&gt;&lt;rec-number&gt;15217&lt;/rec-number&gt;&lt;foreign-keys&gt;&lt;key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Cite&gt;&lt;Author&gt;Lalor&lt;/Author&gt;&lt;Year&gt;2022&lt;/Year&gt;&lt;RecNum&gt;15214&lt;/RecNum&gt;&lt;record&gt;&lt;rec-number&gt;15214&lt;/rec-number&gt;&lt;foreign-keys&gt;&lt;key app="EN" db-id="xpefzwa5hf9dt2ea9fax95x7xvxz90v09dtf" timestamp="1713284361"&gt;15214&lt;/key&gt;&lt;/foreign-keys&gt;&lt;ref-type name="Journal Article"&gt;17&lt;/ref-type&gt;&lt;contributors&gt;&lt;authors&gt;&lt;author&gt;Lalor, Aislinn F&lt;/author&gt;&lt;author&gt;Brooker, Joanne E&lt;/author&gt;&lt;author&gt;Rozbroj, Tomas&lt;/author&gt;&lt;author&gt;Whittle, Samuel L&lt;/author&gt;&lt;author&gt;Hill, Catherine L&lt;/author&gt;&lt;author&gt;Rowett, Debra&lt;/author&gt;&lt;author&gt;Buchbinder, Rachelle&lt;/author&gt;&lt;author&gt;O&amp;apos;Connor, Denise A&lt;/author&gt;&lt;/authors&gt;&lt;/contributors&gt;&lt;titles&gt;&lt;title&gt;Factors influencing clinician prescribing of disease-modifying anti-rheumatic drugs for inflammatory arthritis: A systematic review and thematic synthesis of qualitative studies&lt;/title&gt;&lt;secondary-title&gt;Seminars in Arthritis and Rheumatism&lt;/secondary-title&gt;&lt;/titles&gt;&lt;periodical&gt;&lt;full-title&gt;Seminars in arthritis and rheumatism&lt;/full-title&gt;&lt;/periodical&gt;&lt;pages&gt;151988&lt;/pages&gt;&lt;volume&gt;55&lt;/volume&gt;&lt;dates&gt;&lt;year&gt;2022&lt;/year&gt;&lt;/dates&gt;&lt;publisher&gt;Elsevier&lt;/publisher&gt;&lt;isbn&gt;0049-0172&lt;/isbn&gt;&lt;urls&gt;&lt;/urls&gt;&lt;/record&gt;&lt;/Cite&gt;&lt;/EndNote&gt;</w:instrText>
      </w:r>
      <w:r w:rsidRPr="002C21B8">
        <w:fldChar w:fldCharType="separate"/>
      </w:r>
      <w:r w:rsidRPr="002C21B8">
        <w:rPr>
          <w:noProof/>
        </w:rPr>
        <w:t>(Lalor</w:t>
      </w:r>
      <w:r w:rsidRPr="002C21B8">
        <w:rPr>
          <w:i/>
          <w:noProof/>
        </w:rPr>
        <w:t xml:space="preserve"> et al.</w:t>
      </w:r>
      <w:r w:rsidRPr="002C21B8">
        <w:rPr>
          <w:noProof/>
        </w:rPr>
        <w:t>, 2022; Orayj and Lane, 2019)</w:t>
      </w:r>
      <w:r w:rsidRPr="002C21B8">
        <w:fldChar w:fldCharType="end"/>
      </w:r>
      <w:r w:rsidRPr="002C21B8">
        <w:t>.</w:t>
      </w:r>
    </w:p>
    <w:p w14:paraId="46AF88F8" w14:textId="77777777" w:rsidR="00E96679" w:rsidRPr="002C21B8" w:rsidRDefault="00E96679" w:rsidP="002F0740">
      <w:pPr>
        <w:spacing w:before="240" w:after="0"/>
        <w:rPr>
          <w:b/>
          <w:bCs/>
          <w:i/>
          <w:iCs/>
        </w:rPr>
      </w:pPr>
    </w:p>
    <w:p w14:paraId="1F46A765" w14:textId="66AE4590" w:rsidR="002F0740" w:rsidRPr="002C21B8" w:rsidRDefault="002F0740" w:rsidP="002F0740">
      <w:pPr>
        <w:spacing w:before="240" w:after="0"/>
        <w:rPr>
          <w:b/>
          <w:bCs/>
          <w:i/>
          <w:iCs/>
        </w:rPr>
      </w:pPr>
      <w:r w:rsidRPr="002C21B8">
        <w:rPr>
          <w:b/>
          <w:bCs/>
          <w:i/>
          <w:iCs/>
        </w:rPr>
        <w:t xml:space="preserve">External factors influence prescribing decisions </w:t>
      </w:r>
    </w:p>
    <w:p w14:paraId="7490929F" w14:textId="1F570A05" w:rsidR="002F0740" w:rsidRPr="002C21B8" w:rsidRDefault="002F0740" w:rsidP="002F0740">
      <w:r w:rsidRPr="002C21B8">
        <w:t>The role of sales and marketing in influencing prescribing decisions was only identified in one systematic review</w:t>
      </w:r>
      <w:r w:rsidR="004E2626" w:rsidRPr="002C21B8">
        <w:t>. In this review</w:t>
      </w:r>
      <w:r w:rsidR="001B5AD9" w:rsidRPr="002C21B8">
        <w:t>,</w:t>
      </w:r>
      <w:r w:rsidRPr="002C21B8">
        <w:t xml:space="preserve"> prescribers reported that payments from pharmaceutical companies to prescribers in the oncology and haematology fields made them more likely to initiate certain medications </w:t>
      </w:r>
      <w:r w:rsidRPr="002C21B8">
        <w:fldChar w:fldCharType="begin"/>
      </w:r>
      <w:r w:rsidRPr="002C21B8">
        <w:instrText xml:space="preserve"> ADDIN EN.CITE &lt;EndNote&gt;&lt;Cite&gt;&lt;Author&gt;Pokorny&lt;/Author&gt;&lt;Year&gt;2022&lt;/Year&gt;&lt;RecNum&gt;15236&lt;/RecNum&gt;&lt;DisplayText&gt;(Pokorny&lt;style face="italic"&gt; et al.&lt;/style&gt;, 2022)&lt;/DisplayText&gt;&lt;record&gt;&lt;rec-number&gt;15236&lt;/rec-number&gt;&lt;foreign-keys&gt;&lt;key app="EN" db-id="xpefzwa5hf9dt2ea9fax95x7xvxz90v09dtf" timestamp="1713540942"&gt;15236&lt;/key&gt;&lt;/foreign-keys&gt;&lt;ref-type name="Journal Article"&gt;17&lt;/ref-type&gt;&lt;contributors&gt;&lt;authors&gt;&lt;author&gt;Pokorny, Adrian MJ&lt;/author&gt;&lt;author&gt;Fabbri, Alice&lt;/author&gt;&lt;author&gt;Bero, Lisa A&lt;/author&gt;&lt;author&gt;Moynihan, Ray&lt;/author&gt;&lt;author&gt;Mintzes, Barbara J&lt;/author&gt;&lt;/authors&gt;&lt;/contributors&gt;&lt;titles&gt;&lt;title&gt;Interactions with the pharmaceutical industry and the practice, knowledge and beliefs of medical oncologists and clinical haematologists: a systematic review&lt;/title&gt;&lt;secondary-title&gt;British Journal of Cancer&lt;/secondary-title&gt;&lt;/titles&gt;&lt;periodical&gt;&lt;full-title&gt;British Journal of Cancer&lt;/full-title&gt;&lt;/periodical&gt;&lt;pages&gt;144-161&lt;/pages&gt;&lt;volume&gt;126&lt;/volume&gt;&lt;number&gt;1&lt;/number&gt;&lt;dates&gt;&lt;year&gt;2022&lt;/year&gt;&lt;/dates&gt;&lt;isbn&gt;0007-0920&lt;/isbn&gt;&lt;urls&gt;&lt;/urls&gt;&lt;/record&gt;&lt;/Cite&gt;&lt;/EndNote&gt;</w:instrText>
      </w:r>
      <w:r w:rsidRPr="002C21B8">
        <w:fldChar w:fldCharType="separate"/>
      </w:r>
      <w:r w:rsidRPr="002C21B8">
        <w:t>(Pokorny</w:t>
      </w:r>
      <w:r w:rsidRPr="002C21B8">
        <w:rPr>
          <w:i/>
        </w:rPr>
        <w:t xml:space="preserve"> et al.</w:t>
      </w:r>
      <w:r w:rsidRPr="002C21B8">
        <w:t>, 2022)</w:t>
      </w:r>
      <w:r w:rsidRPr="002C21B8">
        <w:fldChar w:fldCharType="end"/>
      </w:r>
      <w:r w:rsidRPr="002C21B8">
        <w:t xml:space="preserve">. Other external factors were more commonly mentioned. Prescribers described guidelines positively influencing their decision-making to prescribe a long-term medication </w:t>
      </w:r>
      <w:r w:rsidRPr="002C21B8">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IGFsLjwvc3R5bGU+LCAyMDIxOyBLaGF0aWI8c3R5bGUgZmFjZT0iaXRhbGljIj4gZXQgYWwuPC9z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</w:fldData>
        </w:fldChar>
      </w:r>
      <w:r w:rsidR="000215B0" w:rsidRPr="002C21B8">
        <w:instrText xml:space="preserve"> ADDIN EN.CITE </w:instrText>
      </w:r>
      <w:r w:rsidR="000215B0" w:rsidRPr="002C21B8">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IGFsLjwvc3R5bGU+LCAyMDIxOyBLaGF0aWI8c3R5bGUgZmFjZT0iaXRhbGljIj4gZXQgYWwuPC9z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(Byrne</w:t>
      </w:r>
      <w:r w:rsidRPr="002C21B8">
        <w:rPr>
          <w:i/>
          <w:noProof/>
        </w:rPr>
        <w:t xml:space="preserve"> et al.</w:t>
      </w:r>
      <w:r w:rsidRPr="002C21B8">
        <w:rPr>
          <w:noProof/>
        </w:rPr>
        <w:t>, 2022; Dhungana</w:t>
      </w:r>
      <w:r w:rsidRPr="002C21B8">
        <w:rPr>
          <w:i/>
          <w:noProof/>
        </w:rPr>
        <w:t xml:space="preserve"> et al.</w:t>
      </w:r>
      <w:r w:rsidRPr="002C21B8">
        <w:rPr>
          <w:noProof/>
        </w:rPr>
        <w:t>, 2021; Khatib</w:t>
      </w:r>
      <w:r w:rsidRPr="002C21B8">
        <w:rPr>
          <w:i/>
          <w:noProof/>
        </w:rPr>
        <w:t xml:space="preserve"> et al.</w:t>
      </w:r>
      <w:r w:rsidRPr="002C21B8">
        <w:rPr>
          <w:noProof/>
        </w:rPr>
        <w:t>, 2014; Pritchett</w:t>
      </w:r>
      <w:r w:rsidRPr="002C21B8">
        <w:rPr>
          <w:i/>
          <w:noProof/>
        </w:rPr>
        <w:t xml:space="preserve"> et al.</w:t>
      </w:r>
      <w:r w:rsidRPr="002C21B8">
        <w:rPr>
          <w:noProof/>
        </w:rPr>
        <w:t>, 2020)</w:t>
      </w:r>
      <w:r w:rsidRPr="002C21B8">
        <w:fldChar w:fldCharType="end"/>
      </w:r>
      <w:r w:rsidRPr="002C21B8">
        <w:t xml:space="preserve">. However, they emphasised </w:t>
      </w:r>
      <w:r w:rsidR="001B5AD9" w:rsidRPr="002C21B8">
        <w:t xml:space="preserve">that </w:t>
      </w:r>
      <w:r w:rsidRPr="002C21B8">
        <w:t>for guidelines to be influential</w:t>
      </w:r>
      <w:r w:rsidR="001B5AD9" w:rsidRPr="002C21B8">
        <w:t>,</w:t>
      </w:r>
      <w:r w:rsidRPr="002C21B8">
        <w:t xml:space="preserve"> they </w:t>
      </w:r>
      <w:r w:rsidR="004E2626" w:rsidRPr="002C21B8">
        <w:t xml:space="preserve">had </w:t>
      </w:r>
      <w:r w:rsidRPr="002C21B8">
        <w:t xml:space="preserve">to be developed using evidence from studies with participants that were similar to their local patient populations </w:t>
      </w:r>
      <w:r w:rsidRPr="002C21B8">
        <w:fldChar w:fldCharType="begin">
          <w:fldData xml:space="preserve">PEVuZE5vdGU+PENpdGU+PEF1dGhvcj5LaGF0aWI8L0F1dGhvcj48WWVhcj4yMDE0PC9ZZWFyPjxS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</w:fldData>
        </w:fldChar>
      </w:r>
      <w:r w:rsidR="000215B0" w:rsidRPr="002C21B8">
        <w:instrText xml:space="preserve"> ADDIN EN.CITE </w:instrText>
      </w:r>
      <w:r w:rsidR="000215B0" w:rsidRPr="002C21B8">
        <w:fldChar w:fldCharType="begin">
          <w:fldData xml:space="preserve">PEVuZE5vdGU+PENpdGU+PEF1dGhvcj5LaGF0aWI8L0F1dGhvcj48WWVhcj4yMDE0PC9ZZWFyPjxS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(Arshad</w:t>
      </w:r>
      <w:r w:rsidRPr="002C21B8">
        <w:rPr>
          <w:i/>
          <w:noProof/>
        </w:rPr>
        <w:t xml:space="preserve"> et al.</w:t>
      </w:r>
      <w:r w:rsidRPr="002C21B8">
        <w:rPr>
          <w:noProof/>
        </w:rPr>
        <w:t>, 2021; Khatib</w:t>
      </w:r>
      <w:r w:rsidRPr="002C21B8">
        <w:rPr>
          <w:i/>
          <w:noProof/>
        </w:rPr>
        <w:t xml:space="preserve"> et al.</w:t>
      </w:r>
      <w:r w:rsidRPr="002C21B8">
        <w:rPr>
          <w:noProof/>
        </w:rPr>
        <w:t>, 2014; Mas Dalmau</w:t>
      </w:r>
      <w:r w:rsidRPr="002C21B8">
        <w:rPr>
          <w:i/>
          <w:noProof/>
        </w:rPr>
        <w:t xml:space="preserve"> et al.</w:t>
      </w:r>
      <w:r w:rsidRPr="002C21B8">
        <w:rPr>
          <w:noProof/>
        </w:rPr>
        <w:t>, 2017; Orayj and Lane, 2019; Pritchett</w:t>
      </w:r>
      <w:r w:rsidRPr="002C21B8">
        <w:rPr>
          <w:i/>
          <w:noProof/>
        </w:rPr>
        <w:t xml:space="preserve"> et al.</w:t>
      </w:r>
      <w:r w:rsidRPr="002C21B8">
        <w:rPr>
          <w:noProof/>
        </w:rPr>
        <w:t>, 2020)</w:t>
      </w:r>
      <w:r w:rsidRPr="002C21B8">
        <w:fldChar w:fldCharType="end"/>
      </w:r>
      <w:r w:rsidRPr="002C21B8">
        <w:t xml:space="preserve"> and take into account any local psychosocial factors </w:t>
      </w:r>
      <w:r w:rsidRPr="002C21B8">
        <w:fldChar w:fldCharType="begin"/>
      </w:r>
      <w:r w:rsidR="000215B0" w:rsidRPr="002C21B8">
        <w:instrText xml:space="preserve"> ADDIN EN.CITE &lt;EndNote&gt;&lt;Cite&gt;&lt;Author&gt;Pritchett&lt;/Author&gt;&lt;Year&gt;2020&lt;/Year&gt;&lt;RecNum&gt;15218&lt;/RecNum&gt;&lt;DisplayText&gt;(Pritchett&lt;style face="italic"&gt; et al.&lt;/style&gt;, 2020)&lt;/DisplayText&gt;&lt;record&gt;&lt;rec-number&gt;15218&lt;/rec-number&gt;&lt;foreign-keys&gt;&lt;key app="EN" db-id="xpefzwa5hf9dt2ea9fax95x7xvxz90v09dtf" timestamp="1713285881"&gt;15218&lt;/key&gt;&lt;/foreign-keys&gt;&lt;ref-type name="Journal Article"&gt;17&lt;/ref-type&gt;&lt;contributors&gt;&lt;authors&gt;&lt;author&gt;Pritchett, Ruth V&lt;/author&gt;&lt;author&gt;Clarke, Joanne L&lt;/author&gt;&lt;author&gt;Jolly, Kate&lt;/author&gt;&lt;author&gt;Clarkesmith, Danielle&lt;/author&gt;&lt;author&gt;Bem, Danai&lt;/author&gt;&lt;author&gt;Turner, Grace M&lt;/author&gt;&lt;author&gt;Thomas, G Neil&lt;/author&gt;&lt;author&gt;Lane, Deirdre A&lt;/author&gt;&lt;/authors&gt;&lt;/contributors&gt;&lt;titles&gt;&lt;title&gt;Clinicians’ views and experiences of prescribing oral anticoagulants for stroke prevention in atrial fibrillation: a qualitative meta-synthesis&lt;/title&gt;&lt;secondary-title&gt;PLOS One&lt;/secondary-title&gt;&lt;/titles&gt;&lt;periodical&gt;&lt;full-title&gt;PLoS ONE&lt;/full-title&gt;&lt;/periodical&gt;&lt;pages&gt;e0232484&lt;/pages&gt;&lt;volume&gt;15&lt;/volume&gt;&lt;number&gt;5&lt;/number&gt;&lt;dates&gt;&lt;year&gt;2020&lt;/year&gt;&lt;/dates&gt;&lt;isbn&gt;1932-6203&lt;/isbn&gt;&lt;urls&gt;&lt;/urls&gt;&lt;/record&gt;&lt;/Cite&gt;&lt;/EndNote&gt;</w:instrText>
      </w:r>
      <w:r w:rsidRPr="002C21B8">
        <w:fldChar w:fldCharType="separate"/>
      </w:r>
      <w:r w:rsidRPr="002C21B8">
        <w:rPr>
          <w:noProof/>
        </w:rPr>
        <w:t>(Pritchett</w:t>
      </w:r>
      <w:r w:rsidRPr="002C21B8">
        <w:rPr>
          <w:i/>
          <w:noProof/>
        </w:rPr>
        <w:t xml:space="preserve"> et al.</w:t>
      </w:r>
      <w:r w:rsidRPr="002C21B8">
        <w:rPr>
          <w:noProof/>
        </w:rPr>
        <w:t>, 2020)</w:t>
      </w:r>
      <w:r w:rsidRPr="002C21B8">
        <w:fldChar w:fldCharType="end"/>
      </w:r>
      <w:r w:rsidR="004E2626" w:rsidRPr="002C21B8">
        <w:t>,</w:t>
      </w:r>
      <w:r w:rsidRPr="002C21B8">
        <w:t xml:space="preserve"> or public health issues and priorities </w:t>
      </w:r>
      <w:r w:rsidRPr="002C21B8">
        <w:fldChar w:fldCharType="begin"/>
      </w:r>
      <w:r w:rsidRPr="002C21B8">
        <w:instrText xml:space="preserve"> ADDIN EN.CITE &lt;EndNote&gt;&lt;Cite&gt;&lt;Author&gt;Arshad&lt;/Author&gt;&lt;Year&gt;2021&lt;/Year&gt;&lt;RecNum&gt;15230&lt;/RecNum&gt;&lt;DisplayText&gt;(Arshad&lt;style face="italic"&gt; et al.&lt;/style&gt;, 2021)&lt;/DisplayText&gt;&lt;record&gt;&lt;rec-number&gt;15230&lt;/rec-number&gt;&lt;foreign-keys&gt;&lt;key app="EN" db-id="xpefzwa5hf9dt2ea9fax95x7xvxz90v09dtf" timestamp="1713539613"&gt;15230&lt;/key&gt;&lt;/foreign-keys&gt;&lt;ref-type name="Journal Article"&gt;17&lt;/ref-type&gt;&lt;contributors&gt;&lt;authors&gt;&lt;author&gt;Arshad, Verda&lt;/author&gt;&lt;author&gt;Samad, Zainab&lt;/author&gt;&lt;author&gt;Das, Jai&lt;/author&gt;&lt;author&gt;Almas, Aysha&lt;/author&gt;&lt;author&gt;Rashid, Nouman&lt;/author&gt;&lt;author&gt;Virani, Salim S&lt;/author&gt;&lt;author&gt;Bloomfield, Gerald S&lt;/author&gt;&lt;author&gt;Jafar, Tazeen H&lt;/author&gt;&lt;author&gt;Ahmed, Bilal&lt;/author&gt;&lt;/authors&gt;&lt;/contributors&gt;&lt;titles&gt;&lt;title&gt;Prescribing patterns of antihypertensive medications in low-and middle-income countries: a systematic review&lt;/title&gt;&lt;secondary-title&gt;Asia Pacific Journal of Public Health&lt;/secondary-title&gt;&lt;/titles&gt;&lt;periodical&gt;&lt;full-title&gt;Asia Pacific Journal of Public Health&lt;/full-title&gt;&lt;/periodical&gt;&lt;pages&gt;14-22&lt;/pages&gt;&lt;volume&gt;33&lt;/volume&gt;&lt;number&gt;1&lt;/number&gt;&lt;dates&gt;&lt;year&gt;2021&lt;/year&gt;&lt;/dates&gt;&lt;isbn&gt;1010-5395&lt;/isbn&gt;&lt;urls&gt;&lt;/urls&gt;&lt;/record&gt;&lt;/Cite&gt;&lt;/EndNote&gt;</w:instrText>
      </w:r>
      <w:r w:rsidRPr="002C21B8">
        <w:fldChar w:fldCharType="separate"/>
      </w:r>
      <w:r w:rsidRPr="002C21B8">
        <w:t>(Arshad</w:t>
      </w:r>
      <w:r w:rsidRPr="002C21B8">
        <w:rPr>
          <w:i/>
        </w:rPr>
        <w:t xml:space="preserve"> et al.</w:t>
      </w:r>
      <w:r w:rsidRPr="002C21B8">
        <w:t>, 2021)</w:t>
      </w:r>
      <w:r w:rsidRPr="002C21B8">
        <w:fldChar w:fldCharType="end"/>
      </w:r>
      <w:r w:rsidRPr="002C21B8">
        <w:t>. Any ambiguity or uncertainty in the guideline recommendations could make their prescribing decision-making more complicated</w:t>
      </w:r>
      <w:r w:rsidR="004E2626" w:rsidRPr="002C21B8">
        <w:t>, which</w:t>
      </w:r>
      <w:r w:rsidRPr="002C21B8">
        <w:t xml:space="preserve"> could lead t</w:t>
      </w:r>
      <w:r w:rsidR="001B5AD9" w:rsidRPr="002C21B8">
        <w:t>o the guideline not being used in practice.</w:t>
      </w:r>
      <w:r w:rsidRPr="002C21B8">
        <w:t xml:space="preserve"> </w:t>
      </w:r>
      <w:r w:rsidRPr="002C21B8">
        <w:fldChar w:fldCharType="begin"/>
      </w:r>
      <w:r w:rsidR="005D7DBC" w:rsidRPr="002C21B8">
        <w:instrText xml:space="preserve"> ADDIN EN.CITE &lt;EndNote&gt;&lt;Cite&gt;&lt;Author&gt;Qadi&lt;/Author&gt;&lt;Year&gt;2020&lt;/Year&gt;&lt;RecNum&gt;15219&lt;/RecNum&gt;&lt;DisplayText&gt;(Qadi&lt;style face="italic"&gt; et al.&lt;/style&gt;, 2020)&lt;/DisplayText&gt;&lt;record&gt;&lt;rec-number&gt;15219&lt;/rec-number&gt;&lt;foreign-keys&gt;&lt;key app="EN" db-id="xpefzwa5hf9dt2ea9fax95x7xvxz90v09dtf" timestamp="1713286578"&gt;15219&lt;/key&gt;&lt;/foreign-keys&gt;&lt;ref-type name="Journal Article"&gt;17&lt;/ref-type&gt;&lt;contributors&gt;&lt;authors&gt;&lt;author&gt;Qadi, Olla&lt;/author&gt;&lt;author&gt;Lufumpa, Nakawala&lt;/author&gt;&lt;author&gt;Adderley, Nicola&lt;/author&gt;&lt;author&gt;Bem, Danai&lt;/author&gt;&lt;author&gt;Marshall, Tom&lt;/author&gt;&lt;author&gt;Kokab, Farina&lt;/author&gt;&lt;/authors&gt;&lt;/contributors&gt;&lt;titles&gt;&lt;title&gt;Patients’ and health professionals’ attitudes and perceptions towards the initiation of preventive drugs for primary prevention of cardiovascular disease: a systematic review of qualitative studies&lt;/title&gt;&lt;secondary-title&gt;British Journal of General Practice Open&lt;/secondary-title&gt;&lt;/titles&gt;&lt;periodical&gt;&lt;full-title&gt;British Journal of General Practice Open&lt;/full-title&gt;&lt;/periodical&gt;&lt;pages&gt;20X101087&lt;/pages&gt;&lt;volume&gt;4&lt;/volume&gt;&lt;number&gt;5&lt;/number&gt;&lt;dates&gt;&lt;year&gt;2020&lt;/year&gt;&lt;/dates&gt;&lt;isbn&gt;2398-3795&lt;/isbn&gt;&lt;urls&gt;&lt;/urls&gt;&lt;/record&gt;&lt;/Cite&gt;&lt;/EndNote&gt;</w:instrText>
      </w:r>
      <w:r w:rsidRPr="002C21B8">
        <w:fldChar w:fldCharType="separate"/>
      </w:r>
      <w:r w:rsidRPr="002C21B8">
        <w:rPr>
          <w:noProof/>
        </w:rPr>
        <w:t>(Qadi</w:t>
      </w:r>
      <w:r w:rsidRPr="002C21B8">
        <w:rPr>
          <w:i/>
          <w:noProof/>
        </w:rPr>
        <w:t xml:space="preserve"> et al.</w:t>
      </w:r>
      <w:r w:rsidRPr="002C21B8">
        <w:rPr>
          <w:noProof/>
        </w:rPr>
        <w:t>, 2020)</w:t>
      </w:r>
      <w:r w:rsidRPr="002C21B8">
        <w:fldChar w:fldCharType="end"/>
      </w:r>
      <w:r w:rsidRPr="002C21B8">
        <w:t xml:space="preserve">. Another aspect that was mentioned by prescribers was that the use of guidelines in their decision-making depends on </w:t>
      </w:r>
      <w:r w:rsidR="004E2626" w:rsidRPr="002C21B8">
        <w:t>being able to</w:t>
      </w:r>
      <w:r w:rsidRPr="002C21B8">
        <w:t xml:space="preserve"> access</w:t>
      </w:r>
      <w:r w:rsidR="004E2626" w:rsidRPr="002C21B8">
        <w:t xml:space="preserve"> t</w:t>
      </w:r>
      <w:r w:rsidR="008E0082" w:rsidRPr="002C21B8">
        <w:t>hem</w:t>
      </w:r>
      <w:r w:rsidR="004E2626" w:rsidRPr="002C21B8">
        <w:t xml:space="preserve"> easily </w:t>
      </w:r>
      <w:r w:rsidRPr="002C21B8">
        <w:t xml:space="preserve">in the moment </w:t>
      </w:r>
      <w:r w:rsidRPr="002C21B8">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IGFsLjwvc3R5bGU+LCAyMDIxOyBQcml0Y2hldHQ8c3R5bGUgZmFjZT0iaXRhbGljIj4gZXQgYWwu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</w:fldData>
        </w:fldChar>
      </w:r>
      <w:r w:rsidR="000215B0" w:rsidRPr="002C21B8">
        <w:instrText xml:space="preserve"> ADDIN EN.CITE </w:instrText>
      </w:r>
      <w:r w:rsidR="000215B0" w:rsidRPr="002C21B8">
        <w:fldChar w:fldCharType="begin">
          <w:fldData xml:space="preserve">PEVuZE5vdGU+PENpdGU+PEF1dGhvcj5CeXJuZTwvQXV0aG9yPjxZZWFyPjIwMjI8L1llYXI+PFJl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</w:fldData>
        </w:fldChar>
      </w:r>
      <w:r w:rsidR="000215B0" w:rsidRPr="002C21B8">
        <w:instrText xml:space="preserve"> ADDIN EN.CITE.DATA </w:instrText>
      </w:r>
      <w:r w:rsidR="000215B0" w:rsidRPr="002C21B8">
        <w:fldChar w:fldCharType="end"/>
      </w:r>
      <w:r w:rsidRPr="002C21B8">
        <w:fldChar w:fldCharType="separate"/>
      </w:r>
      <w:r w:rsidRPr="002C21B8">
        <w:rPr>
          <w:noProof/>
        </w:rPr>
        <w:t>(Byrne</w:t>
      </w:r>
      <w:r w:rsidRPr="002C21B8">
        <w:rPr>
          <w:i/>
          <w:noProof/>
        </w:rPr>
        <w:t xml:space="preserve"> et al.</w:t>
      </w:r>
      <w:r w:rsidRPr="002C21B8">
        <w:rPr>
          <w:noProof/>
        </w:rPr>
        <w:t>, 2022; Dhungana</w:t>
      </w:r>
      <w:r w:rsidRPr="002C21B8">
        <w:rPr>
          <w:i/>
          <w:noProof/>
        </w:rPr>
        <w:t xml:space="preserve"> et al.</w:t>
      </w:r>
      <w:r w:rsidRPr="002C21B8">
        <w:rPr>
          <w:noProof/>
        </w:rPr>
        <w:t>, 2021; Pritchett</w:t>
      </w:r>
      <w:r w:rsidRPr="002C21B8">
        <w:rPr>
          <w:i/>
          <w:noProof/>
        </w:rPr>
        <w:t xml:space="preserve"> et al.</w:t>
      </w:r>
      <w:r w:rsidRPr="002C21B8">
        <w:rPr>
          <w:noProof/>
        </w:rPr>
        <w:t>, 2020)</w:t>
      </w:r>
      <w:r w:rsidRPr="002C21B8">
        <w:fldChar w:fldCharType="end"/>
      </w:r>
      <w:r w:rsidR="0011577A" w:rsidRPr="002C21B8">
        <w:t>.</w:t>
      </w:r>
      <w:r w:rsidRPr="002C21B8">
        <w:t xml:space="preserve"> </w:t>
      </w:r>
      <w:r w:rsidR="0011577A" w:rsidRPr="002C21B8">
        <w:t xml:space="preserve">They described this as being necessary </w:t>
      </w:r>
      <w:r w:rsidRPr="002C21B8">
        <w:t xml:space="preserve">because </w:t>
      </w:r>
      <w:r w:rsidR="0011577A" w:rsidRPr="002C21B8">
        <w:t xml:space="preserve">it was often </w:t>
      </w:r>
      <w:r w:rsidRPr="002C21B8">
        <w:t xml:space="preserve">difficult to recall recommendations </w:t>
      </w:r>
      <w:r w:rsidR="0011577A" w:rsidRPr="002C21B8">
        <w:t xml:space="preserve">unless </w:t>
      </w:r>
      <w:r w:rsidR="008E0082" w:rsidRPr="002C21B8">
        <w:t xml:space="preserve">they </w:t>
      </w:r>
      <w:r w:rsidR="0011577A" w:rsidRPr="002C21B8">
        <w:t>w</w:t>
      </w:r>
      <w:r w:rsidR="008E0082" w:rsidRPr="002C21B8">
        <w:t>ere</w:t>
      </w:r>
      <w:r w:rsidR="0011577A" w:rsidRPr="002C21B8">
        <w:t xml:space="preserve"> part of their everyday clinical practice </w:t>
      </w:r>
      <w:r w:rsidRPr="002C21B8">
        <w:fldChar w:fldCharType="begin"/>
      </w:r>
      <w:r w:rsidRPr="002C21B8">
        <w:instrText xml:space="preserve"> ADDIN EN.CITE &lt;EndNote&gt;&lt;Cite&gt;&lt;Author&gt;Rushforth&lt;/Author&gt;&lt;Year&gt;2016&lt;/Year&gt;&lt;RecNum&gt;15220&lt;/RecNum&gt;&lt;DisplayText&gt;(Rushforth&lt;style face="italic"&gt; et al.&lt;/style&gt;, 2016)&lt;/DisplayText&gt;&lt;record&gt;&lt;rec-number&gt;15220&lt;/rec-number&gt;&lt;foreign-keys&gt;&lt;key app="EN" db-id="xpefzwa5hf9dt2ea9fax95x7xvxz90v09dtf" timestamp="1713287283"&gt;15220&lt;/key&gt;&lt;/foreign-keys&gt;&lt;ref-type name="Journal Article"&gt;17&lt;/ref-type&gt;&lt;contributors&gt;&lt;authors&gt;&lt;author&gt;Rushforth, Bruno&lt;/author&gt;&lt;author&gt;McCrorie, Carolyn&lt;/author&gt;&lt;author&gt;Glidewell, Liz&lt;/author&gt;&lt;author&gt;Midgley, Eleanor&lt;/author&gt;&lt;author&gt;Foy, Robbie&lt;/author&gt;&lt;/authors&gt;&lt;/contributors&gt;&lt;titles&gt;&lt;title&gt;Barriers to effective management of type 2 diabetes in primary care: qualitative systematic review&lt;/title&gt;&lt;secondary-title&gt;British Journal of General Practice&lt;/secondary-title&gt;&lt;/titles&gt;&lt;periodical&gt;&lt;full-title&gt;British Journal of General Practice&lt;/full-title&gt;&lt;/periodical&gt;&lt;pages&gt;e114-e127&lt;/pages&gt;&lt;volume&gt;66&lt;/volume&gt;&lt;number&gt;643&lt;/number&gt;&lt;dates&gt;&lt;year&gt;2016&lt;/year&gt;&lt;/dates&gt;&lt;isbn&gt;0960-1643&lt;/isbn&gt;&lt;urls&gt;&lt;/urls&gt;&lt;/record&gt;&lt;/Cite&gt;&lt;/EndNote&gt;</w:instrText>
      </w:r>
      <w:r w:rsidRPr="002C21B8">
        <w:fldChar w:fldCharType="separate"/>
      </w:r>
      <w:r w:rsidRPr="002C21B8">
        <w:t>(Rushforth</w:t>
      </w:r>
      <w:r w:rsidRPr="002C21B8">
        <w:rPr>
          <w:i/>
        </w:rPr>
        <w:t xml:space="preserve"> et al.</w:t>
      </w:r>
      <w:r w:rsidRPr="002C21B8">
        <w:t>, 2016)</w:t>
      </w:r>
      <w:r w:rsidRPr="002C21B8">
        <w:fldChar w:fldCharType="end"/>
      </w:r>
      <w:r w:rsidRPr="002C21B8">
        <w:t xml:space="preserve">. Academia in the form of published research was described as influencing prescribing practices </w:t>
      </w:r>
      <w:r w:rsidRPr="002C21B8">
        <w:fldChar w:fldCharType="begin">
          <w:fldData xml:space="preserve">PEVuZE5vdGU+PENpdGU+PEF1dGhvcj5RYWRpPC9BdXRob3I+PFllYXI+MjAyMDwvWWVhcj48UmVj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</w:fldData>
        </w:fldChar>
      </w:r>
      <w:r w:rsidR="005D7DBC" w:rsidRPr="002C21B8">
        <w:instrText xml:space="preserve"> ADDIN EN.CITE </w:instrText>
      </w:r>
      <w:r w:rsidR="005D7DBC" w:rsidRPr="002C21B8">
        <w:fldChar w:fldCharType="begin">
          <w:fldData xml:space="preserve">PEVuZE5vdGU+PENpdGU+PEF1dGhvcj5RYWRpPC9BdXRob3I+PFllYXI+MjAyMDwvWWVhcj48UmVj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</w:fldData>
        </w:fldChar>
      </w:r>
      <w:r w:rsidR="005D7DBC" w:rsidRPr="002C21B8">
        <w:instrText xml:space="preserve"> ADDIN EN.CITE.DATA </w:instrText>
      </w:r>
      <w:r w:rsidR="005D7DBC" w:rsidRPr="002C21B8">
        <w:fldChar w:fldCharType="end"/>
      </w:r>
      <w:r w:rsidRPr="002C21B8">
        <w:fldChar w:fldCharType="separate"/>
      </w:r>
      <w:r w:rsidRPr="002C21B8">
        <w:rPr>
          <w:noProof/>
        </w:rPr>
        <w:t>(Ju</w:t>
      </w:r>
      <w:r w:rsidRPr="002C21B8">
        <w:rPr>
          <w:i/>
          <w:noProof/>
        </w:rPr>
        <w:t xml:space="preserve"> et al.</w:t>
      </w:r>
      <w:r w:rsidRPr="002C21B8">
        <w:rPr>
          <w:noProof/>
        </w:rPr>
        <w:t>, 2018; Qadi</w:t>
      </w:r>
      <w:r w:rsidRPr="002C21B8">
        <w:rPr>
          <w:i/>
          <w:noProof/>
        </w:rPr>
        <w:t xml:space="preserve"> et al.</w:t>
      </w:r>
      <w:r w:rsidRPr="002C21B8">
        <w:rPr>
          <w:noProof/>
        </w:rPr>
        <w:t>, 2020)</w:t>
      </w:r>
      <w:r w:rsidRPr="002C21B8">
        <w:fldChar w:fldCharType="end"/>
      </w:r>
      <w:r w:rsidR="001B5AD9" w:rsidRPr="002C21B8">
        <w:t xml:space="preserve">, </w:t>
      </w:r>
      <w:r w:rsidRPr="002C21B8">
        <w:t xml:space="preserve">but some prescribers described having mistrust in this source of information </w:t>
      </w:r>
      <w:r w:rsidRPr="002C21B8">
        <w:fldChar w:fldCharType="begin"/>
      </w:r>
      <w:r w:rsidR="005D7DBC" w:rsidRPr="002C21B8">
        <w:instrText xml:space="preserve"> ADDIN EN.CITE &lt;EndNote&gt;&lt;Cite&gt;&lt;Author&gt;Qadi&lt;/Author&gt;&lt;Year&gt;2020&lt;/Year&gt;&lt;RecNum&gt;15219&lt;/RecNum&gt;&lt;DisplayText&gt;(Qadi&lt;style face="italic"&gt; et al.&lt;/style&gt;, 2020)&lt;/DisplayText&gt;&lt;record&gt;&lt;rec-number&gt;15219&lt;/rec-number&gt;&lt;foreign-keys&gt;&lt;key app="EN" db-id="xpefzwa5hf9dt2ea9fax95x7xvxz90v09dtf" timestamp="1713286578"&gt;15219&lt;/key&gt;&lt;/foreign-keys&gt;&lt;ref-type name="Journal Article"&gt;17&lt;/ref-type&gt;&lt;contributors&gt;&lt;authors&gt;&lt;author&gt;Qadi, Olla&lt;/author&gt;&lt;author&gt;Lufumpa, Nakawala&lt;/author&gt;&lt;author&gt;Adderley, Nicola&lt;/author&gt;&lt;author&gt;Bem, Danai&lt;/author&gt;&lt;author&gt;Marshall, Tom&lt;/author&gt;&lt;author&gt;Kokab, Farina&lt;/author&gt;&lt;/authors&gt;&lt;/contributors&gt;&lt;titles&gt;&lt;title&gt;Patients’ and health professionals’ attitudes and perceptions towards the initiation of preventive drugs for primary prevention of cardiovascular disease: a systematic review of qualitative studies&lt;/title&gt;&lt;secondary-title&gt;British Journal of General Practice Open&lt;/secondary-title&gt;&lt;/titles&gt;&lt;periodical&gt;&lt;full-title&gt;British Journal of General Practice Open&lt;/full-title&gt;&lt;/periodical&gt;&lt;pages&gt;20X101087&lt;/pages&gt;&lt;volume&gt;4&lt;/volume&gt;&lt;number&gt;5&lt;/number&gt;&lt;dates&gt;&lt;year&gt;2020&lt;/year&gt;&lt;/dates&gt;&lt;isbn&gt;2398-3795&lt;/isbn&gt;&lt;urls&gt;&lt;/urls&gt;&lt;/record&gt;&lt;/Cite&gt;&lt;/EndNote&gt;</w:instrText>
      </w:r>
      <w:r w:rsidRPr="002C21B8">
        <w:fldChar w:fldCharType="separate"/>
      </w:r>
      <w:r w:rsidRPr="002C21B8">
        <w:rPr>
          <w:noProof/>
        </w:rPr>
        <w:t>(Qadi</w:t>
      </w:r>
      <w:r w:rsidRPr="002C21B8">
        <w:rPr>
          <w:i/>
          <w:noProof/>
        </w:rPr>
        <w:t xml:space="preserve"> et al.</w:t>
      </w:r>
      <w:r w:rsidRPr="002C21B8">
        <w:rPr>
          <w:noProof/>
        </w:rPr>
        <w:t>, 2020)</w:t>
      </w:r>
      <w:r w:rsidRPr="002C21B8">
        <w:fldChar w:fldCharType="end"/>
      </w:r>
      <w:r w:rsidRPr="002C21B8">
        <w:t xml:space="preserve">. Expert opinion from colleagues could also guide and support some prescribers in their decision-making </w:t>
      </w:r>
      <w:r w:rsidRPr="002C21B8">
        <w:fldChar w:fldCharType="begin"/>
      </w:r>
      <w:r w:rsidR="002F6167" w:rsidRPr="002C21B8">
        <w:instrText xml:space="preserve"> ADDIN EN.CITE &lt;EndNote&gt;&lt;Cite&gt;&lt;Author&gt;Ju&lt;/Author&gt;&lt;Year&gt;2018&lt;/Year&gt;&lt;RecNum&gt;15210&lt;/RecNum&gt;&lt;DisplayText&gt;(Ju&lt;style face="italic"&gt; et al.&lt;/style&gt;, 2018)&lt;/DisplayText&gt;&lt;record&gt;&lt;rec-number&gt;15210&lt;/rec-number&gt;&lt;foreign-keys&gt;&lt;key app="EN" db-id="xpefzwa5hf9dt2ea9fax95x7xvxz90v09dtf" timestamp="1713278496"&gt;15210&lt;/key&gt;&lt;/foreign-keys&gt;&lt;ref-type name="Journal Article"&gt;17&lt;/ref-type&gt;&lt;contributors&gt;&lt;authors&gt;&lt;author&gt;Ju, Irene&lt;/author&gt;&lt;author&gt;Banks, Emily&lt;/author&gt;&lt;author&gt;Calabria, Bianca&lt;/author&gt;&lt;author&gt;Ju, Angela&lt;/author&gt;&lt;author&gt;Agostino, Jason&lt;/author&gt;&lt;author&gt;Korda, Rosemary J&lt;/author&gt;&lt;author&gt;Usherwood, Tim&lt;/author&gt;&lt;author&gt;Manera, Karine&lt;/author&gt;&lt;author&gt;Hanson, Camilla S&lt;/author&gt;&lt;author&gt;Craig, Jonathan C&lt;/author&gt;&lt;/authors&gt;&lt;/contributors&gt;&lt;titles&gt;&lt;title&gt;General practitioners’ perspectives on the prevention of cardiovascular disease: systematic review and thematic synthesis of qualitative studies&lt;/title&gt;&lt;secondary-title&gt;BMJ Open&lt;/secondary-title&gt;&lt;/titles&gt;&lt;periodical&gt;&lt;full-title&gt;BMJ open&lt;/full-title&gt;&lt;/periodical&gt;&lt;pages&gt;e021137&lt;/pages&gt;&lt;volume&gt;8&lt;/volume&gt;&lt;number&gt;11&lt;/number&gt;&lt;dates&gt;&lt;year&gt;2018&lt;/year&gt;&lt;/dates&gt;&lt;isbn&gt;2044-6055&lt;/isbn&gt;&lt;urls&gt;&lt;/urls&gt;&lt;/record&gt;&lt;/Cite&gt;&lt;/EndNote&gt;</w:instrText>
      </w:r>
      <w:r w:rsidRPr="002C21B8">
        <w:fldChar w:fldCharType="separate"/>
      </w:r>
      <w:r w:rsidRPr="002C21B8">
        <w:rPr>
          <w:noProof/>
        </w:rPr>
        <w:t>(Ju</w:t>
      </w:r>
      <w:r w:rsidRPr="002C21B8">
        <w:rPr>
          <w:i/>
          <w:noProof/>
        </w:rPr>
        <w:t xml:space="preserve"> et al.</w:t>
      </w:r>
      <w:r w:rsidRPr="002C21B8">
        <w:rPr>
          <w:noProof/>
        </w:rPr>
        <w:t>, 2018)</w:t>
      </w:r>
      <w:r w:rsidRPr="002C21B8">
        <w:fldChar w:fldCharType="end"/>
      </w:r>
      <w:r w:rsidR="001B5AD9" w:rsidRPr="002C21B8">
        <w:t>,</w:t>
      </w:r>
      <w:r w:rsidRPr="002C21B8">
        <w:t xml:space="preserve"> but the identity of these experts was not described.</w:t>
      </w:r>
    </w:p>
    <w:p w14:paraId="6955E228" w14:textId="77777777" w:rsidR="002F0740" w:rsidRPr="002C21B8" w:rsidRDefault="002F0740" w:rsidP="002F0740">
      <w:pPr>
        <w:spacing w:before="240" w:after="0"/>
        <w:rPr>
          <w:b/>
          <w:bCs/>
          <w:sz w:val="24"/>
          <w:szCs w:val="24"/>
        </w:rPr>
      </w:pPr>
      <w:r w:rsidRPr="002C21B8">
        <w:rPr>
          <w:b/>
          <w:bCs/>
          <w:sz w:val="24"/>
          <w:szCs w:val="24"/>
        </w:rPr>
        <w:t>To what extent does qualitative data from chronic conditions support the existing prescribing model?</w:t>
      </w:r>
    </w:p>
    <w:p w14:paraId="1ED2173D" w14:textId="3B0DF4FC" w:rsidR="002F0740" w:rsidRPr="002C21B8" w:rsidRDefault="002F0740" w:rsidP="002F0740">
      <w:r w:rsidRPr="002C21B8">
        <w:t xml:space="preserve">The relevance of the prescribing model proposed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to prescribing decision</w:t>
      </w:r>
      <w:r w:rsidR="00FF4658" w:rsidRPr="002C21B8">
        <w:t>-making in</w:t>
      </w:r>
      <w:r w:rsidRPr="002C21B8">
        <w:t xml:space="preserve"> chronic conditions was assessed by comparing its factors with the findings from the qualitative research in the systematic reviews. New factors and connections between these factors </w:t>
      </w:r>
      <w:r w:rsidR="00FF4658" w:rsidRPr="002C21B8">
        <w:t xml:space="preserve">that could </w:t>
      </w:r>
      <w:r w:rsidRPr="002C21B8">
        <w:t>possibly influen</w:t>
      </w:r>
      <w:r w:rsidR="00FF4658" w:rsidRPr="002C21B8">
        <w:t>ce</w:t>
      </w:r>
      <w:r w:rsidRPr="002C21B8">
        <w:t xml:space="preserve"> decision-making </w:t>
      </w:r>
      <w:r w:rsidR="00FF4658" w:rsidRPr="002C21B8">
        <w:t>in</w:t>
      </w:r>
      <w:r w:rsidRPr="002C21B8">
        <w:t xml:space="preserve"> chronic conditions were identified from the overview of systematic reviews. Some terms were changed: “physician” was replaced with “prescriber” for broader applicability, and “drug” with “medication” to avoid negative connotations and align with contemporary clinical language.</w:t>
      </w:r>
    </w:p>
    <w:p w14:paraId="7CD2388D" w14:textId="2AFDC993" w:rsidR="002F0740" w:rsidRPr="002C21B8" w:rsidRDefault="002F0740" w:rsidP="002F0740">
      <w:r w:rsidRPr="002C21B8">
        <w:t xml:space="preserve">Three new factor categories were added from our systematic reviews: prescriber, healthcare system and external organisations. In addition to physician habit persistence suggested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in their conceptual model, we identified other prescriber characteristics that may possibly influence prescribing decisions</w:t>
      </w:r>
      <w:r w:rsidR="0027404C" w:rsidRPr="002C21B8">
        <w:t>,</w:t>
      </w:r>
      <w:r w:rsidRPr="002C21B8">
        <w:t xml:space="preserve"> including the prescribers’ care setting, medical speciality, knowledge and experience, attitudes and beliefs, and approach to risk. The wider healthcare system may also influence prescribing decisions and may possibly lead to clinical inertia due to competing care priorities, time constraints, staff availability, and the volume of patients in clinics. Clinical guidelines, expert opinion and academia were added to the conceptual model as external organisations identified as possibly influencing prescribing decisions for chronic conditions.</w:t>
      </w:r>
    </w:p>
    <w:p w14:paraId="27D07EAC" w14:textId="7802C9E4" w:rsidR="002F0740" w:rsidRPr="002C21B8" w:rsidRDefault="002F0740" w:rsidP="002F0740">
      <w:r w:rsidRPr="002C21B8">
        <w:t xml:space="preserve">The conceptual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included two factors within the patient characteristics category: patient expectations and patient requests for medication. In addition to these, the findings from the included systematic reviews introduced further factors that may influence prescribers in the context of chronic conditions</w:t>
      </w:r>
      <w:r w:rsidR="0027404C" w:rsidRPr="002C21B8">
        <w:t xml:space="preserve">. These included </w:t>
      </w:r>
      <w:r w:rsidRPr="002C21B8">
        <w:t>patient demographics (age, socioeconomic status, occupation, geography, ethnicity, and barriers to understanding), comorbidities (including frailty) and patient behaviours (adherence and attendance).</w:t>
      </w:r>
    </w:p>
    <w:p w14:paraId="0498534C" w14:textId="196BE2C5" w:rsidR="002F0740" w:rsidRPr="002C21B8" w:rsidRDefault="002F0740" w:rsidP="002F0740">
      <w:r w:rsidRPr="002C21B8">
        <w:t>Additional contextual factors were identified to potentially moderate the factor categories influencing prescribing practices. These included condition factors (including disease severity, duration of disease and objective markers), risk-benefit assessment and shared decision-making. Some aspects of the condition were found to influence the likelihood of prescription, in particular</w:t>
      </w:r>
      <w:r w:rsidR="0027404C" w:rsidRPr="002C21B8">
        <w:t>,</w:t>
      </w:r>
      <w:r w:rsidRPr="002C21B8">
        <w:t xml:space="preserve"> disease severity and duration. Costs were also identified in the included systematic reviews</w:t>
      </w:r>
      <w:r w:rsidR="0027404C" w:rsidRPr="002C21B8">
        <w:t xml:space="preserve">. However, other costs beyond medication costs were identified as </w:t>
      </w:r>
      <w:r w:rsidRPr="002C21B8">
        <w:t xml:space="preserve">possible </w:t>
      </w:r>
      <w:r w:rsidR="0027404C" w:rsidRPr="002C21B8">
        <w:t xml:space="preserve">factors, including the </w:t>
      </w:r>
      <w:r w:rsidRPr="002C21B8">
        <w:t>cost</w:t>
      </w:r>
      <w:r w:rsidR="0027404C" w:rsidRPr="002C21B8">
        <w:t>s</w:t>
      </w:r>
      <w:r w:rsidRPr="002C21B8">
        <w:t xml:space="preserve"> </w:t>
      </w:r>
      <w:r w:rsidR="0027404C" w:rsidRPr="002C21B8">
        <w:t xml:space="preserve">for </w:t>
      </w:r>
      <w:r w:rsidRPr="002C21B8">
        <w:t>patient</w:t>
      </w:r>
      <w:r w:rsidR="0027404C" w:rsidRPr="002C21B8">
        <w:t>s</w:t>
      </w:r>
      <w:r w:rsidRPr="002C21B8">
        <w:t xml:space="preserve"> and indirect costs such as monitoring or support staff.</w:t>
      </w:r>
    </w:p>
    <w:p w14:paraId="62C030AC" w14:textId="6C709616" w:rsidR="00900FD4" w:rsidRPr="002C21B8" w:rsidRDefault="002F0740" w:rsidP="002F0740">
      <w:r w:rsidRPr="002C21B8">
        <w:t xml:space="preserve">Some factors in the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conceptual model were less prominent in our overview of systematic review</w:t>
      </w:r>
      <w:r w:rsidR="00286A21" w:rsidRPr="002C21B8">
        <w:t>s</w:t>
      </w:r>
      <w:r w:rsidRPr="002C21B8">
        <w:t>.</w:t>
      </w:r>
      <w:r w:rsidR="007A6D26" w:rsidRPr="002C21B8">
        <w:t xml:space="preserve"> P</w:t>
      </w:r>
      <w:r w:rsidRPr="002C21B8">
        <w:t>harmacist</w:t>
      </w:r>
      <w:r w:rsidR="007A6D26" w:rsidRPr="002C21B8">
        <w:t>s</w:t>
      </w:r>
      <w:r w:rsidRPr="002C21B8">
        <w:t xml:space="preserve"> w</w:t>
      </w:r>
      <w:r w:rsidR="007A6D26" w:rsidRPr="002C21B8">
        <w:t>ere</w:t>
      </w:r>
      <w:r w:rsidRPr="002C21B8">
        <w:t xml:space="preserve"> not reported to be an influencing factor in the included systematic</w:t>
      </w:r>
      <w:r w:rsidR="00286A21" w:rsidRPr="002C21B8">
        <w:t xml:space="preserve"> reviews</w:t>
      </w:r>
      <w:r w:rsidRPr="002C21B8">
        <w:t>. Sales and marketing factors were infrequently mentioned by prescribers in the included systematic reviews, with only one review explicitly discussing the potential impact of pharmaceutical industry payments on prescribing decisions for haematological or on</w:t>
      </w:r>
      <w:r w:rsidR="007D3606" w:rsidRPr="002C21B8">
        <w:t>c</w:t>
      </w:r>
      <w:r w:rsidRPr="002C21B8">
        <w:t xml:space="preserve">ological chronic conditions </w:t>
      </w:r>
      <w:r w:rsidRPr="002C21B8">
        <w:fldChar w:fldCharType="begin"/>
      </w:r>
      <w:r w:rsidRPr="002C21B8">
        <w:instrText xml:space="preserve"> ADDIN EN.CITE &lt;EndNote&gt;&lt;Cite&gt;&lt;Author&gt;Pokorny&lt;/Author&gt;&lt;Year&gt;2022&lt;/Year&gt;&lt;RecNum&gt;15236&lt;/RecNum&gt;&lt;DisplayText&gt;(Pokorny&lt;style face="italic"&gt; et al.&lt;/style&gt;, 2022)&lt;/DisplayText&gt;&lt;record&gt;&lt;rec-number&gt;15236&lt;/rec-number&gt;&lt;foreign-keys&gt;&lt;key app="EN" db-id="xpefzwa5hf9dt2ea9fax95x7xvxz90v09dtf" timestamp="1713540942"&gt;15236&lt;/key&gt;&lt;/foreign-keys&gt;&lt;ref-type name="Journal Article"&gt;17&lt;/ref-type&gt;&lt;contributors&gt;&lt;authors&gt;&lt;author&gt;Pokorny, Adrian MJ&lt;/author&gt;&lt;author&gt;Fabbri, Alice&lt;/author&gt;&lt;author&gt;Bero, Lisa A&lt;/author&gt;&lt;author&gt;Moynihan, Ray&lt;/author&gt;&lt;author&gt;Mintzes, Barbara J&lt;/author&gt;&lt;/authors&gt;&lt;/contributors&gt;&lt;titles&gt;&lt;title&gt;Interactions with the pharmaceutical industry and the practice, knowledge and beliefs of medical oncologists and clinical haematologists: a systematic review&lt;/title&gt;&lt;secondary-title&gt;British Journal of Cancer&lt;/secondary-title&gt;&lt;/titles&gt;&lt;periodical&gt;&lt;full-title&gt;British Journal of Cancer&lt;/full-title&gt;&lt;/periodical&gt;&lt;pages&gt;144-161&lt;/pages&gt;&lt;volume&gt;126&lt;/volume&gt;&lt;number&gt;1&lt;/number&gt;&lt;dates&gt;&lt;year&gt;2022&lt;/year&gt;&lt;/dates&gt;&lt;isbn&gt;0007-0920&lt;/isbn&gt;&lt;urls&gt;&lt;/urls&gt;&lt;/record&gt;&lt;/Cite&gt;&lt;/EndNote&gt;</w:instrText>
      </w:r>
      <w:r w:rsidRPr="002C21B8">
        <w:fldChar w:fldCharType="separate"/>
      </w:r>
      <w:r w:rsidRPr="002C21B8">
        <w:t>(Pokorny</w:t>
      </w:r>
      <w:r w:rsidRPr="002C21B8">
        <w:rPr>
          <w:i/>
        </w:rPr>
        <w:t xml:space="preserve"> et al.</w:t>
      </w:r>
      <w:r w:rsidRPr="002C21B8">
        <w:t>, 2022)</w:t>
      </w:r>
      <w:r w:rsidRPr="002C21B8">
        <w:fldChar w:fldCharType="end"/>
      </w:r>
      <w:r w:rsidRPr="002C21B8">
        <w:t>. These changes are reflected in the adapted infographic (</w:t>
      </w:r>
      <w:r w:rsidRPr="002C21B8">
        <w:fldChar w:fldCharType="begin"/>
      </w:r>
      <w:r w:rsidRPr="002C21B8">
        <w:instrText xml:space="preserve"> REF _Ref217059434 \h  \* MERGEFORMAT </w:instrText>
      </w:r>
      <w:r w:rsidRPr="002C21B8">
        <w:fldChar w:fldCharType="separate"/>
      </w:r>
      <w:r w:rsidR="00DB3709" w:rsidRPr="002C21B8">
        <w:t xml:space="preserve">Figure </w:t>
      </w:r>
      <w:r w:rsidR="00DB3709">
        <w:t>8</w:t>
      </w:r>
      <w:r w:rsidRPr="002C21B8">
        <w:fldChar w:fldCharType="end"/>
      </w:r>
      <w:r w:rsidRPr="002C21B8">
        <w:t>).</w:t>
      </w:r>
    </w:p>
    <w:p w14:paraId="46AB20FB" w14:textId="77777777" w:rsidR="00900FD4" w:rsidRPr="002C21B8" w:rsidRDefault="00900FD4">
      <w:pPr>
        <w:spacing w:after="0" w:line="240" w:lineRule="auto"/>
        <w:jc w:val="left"/>
      </w:pPr>
      <w:r w:rsidRPr="002C21B8">
        <w:br w:type="page"/>
      </w:r>
    </w:p>
    <w:p w14:paraId="02181AD1" w14:textId="4EF75D14" w:rsidR="002F0740" w:rsidRPr="002C21B8" w:rsidRDefault="002F0740" w:rsidP="00D81DDF">
      <w:pPr>
        <w:pStyle w:val="Caption"/>
        <w:keepNext w:val="0"/>
        <w:rPr>
          <w:noProof w:val="0"/>
        </w:rPr>
      </w:pPr>
      <w:bookmarkStart w:id="132" w:name="_Ref217059434"/>
      <w:bookmarkStart w:id="133" w:name="_Toc236991766"/>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8</w:t>
      </w:r>
      <w:r w:rsidR="001B725E" w:rsidRPr="002C21B8">
        <w:rPr>
          <w:noProof w:val="0"/>
        </w:rPr>
        <w:fldChar w:fldCharType="end"/>
      </w:r>
      <w:bookmarkEnd w:id="132"/>
      <w:r w:rsidRPr="002C21B8">
        <w:rPr>
          <w:noProof w:val="0"/>
        </w:rPr>
        <w:t xml:space="preserve">. </w:t>
      </w:r>
      <w:r w:rsidR="000F185E" w:rsidRPr="002C21B8">
        <w:rPr>
          <w:noProof w:val="0"/>
        </w:rPr>
        <w:t xml:space="preserve">The </w:t>
      </w:r>
      <w:r w:rsidRPr="002C21B8">
        <w:rPr>
          <w:noProof w:val="0"/>
        </w:rPr>
        <w:t xml:space="preserve">conceptual model </w:t>
      </w:r>
      <w:r w:rsidR="008068C9" w:rsidRPr="002C21B8">
        <w:rPr>
          <w:noProof w:val="0"/>
        </w:rPr>
        <w:t>of</w:t>
      </w:r>
      <w:r w:rsidRPr="002C21B8">
        <w:rPr>
          <w:noProof w:val="0"/>
        </w:rPr>
        <w:t xml:space="preserve"> </w:t>
      </w:r>
      <w:r w:rsidR="005E3D0F" w:rsidRPr="002C21B8">
        <w:rPr>
          <w:noProof w:val="0"/>
        </w:rPr>
        <w:t xml:space="preserve">prescribing </w:t>
      </w:r>
      <w:r w:rsidRPr="002C21B8">
        <w:rPr>
          <w:noProof w:val="0"/>
        </w:rPr>
        <w:t xml:space="preserve">decision-making </w:t>
      </w:r>
      <w:r w:rsidR="008068C9" w:rsidRPr="002C21B8">
        <w:rPr>
          <w:noProof w:val="0"/>
        </w:rPr>
        <w:t>in</w:t>
      </w:r>
      <w:r w:rsidRPr="002C21B8">
        <w:rPr>
          <w:noProof w:val="0"/>
        </w:rPr>
        <w:t xml:space="preserve"> chronic conditions</w:t>
      </w:r>
      <w:bookmarkEnd w:id="133"/>
    </w:p>
    <w:p w14:paraId="71C97FB7" w14:textId="77777777" w:rsidR="002F0740" w:rsidRPr="002C21B8" w:rsidRDefault="002F0740" w:rsidP="00D81DDF">
      <w:pPr>
        <w:spacing w:line="240" w:lineRule="auto"/>
      </w:pPr>
      <w:r w:rsidRPr="002C21B8">
        <w:rPr>
          <w:noProof/>
        </w:rPr>
        <w:drawing>
          <wp:inline distT="0" distB="0" distL="0" distR="0" wp14:anchorId="2B7B9B67" wp14:editId="40058321">
            <wp:extent cx="5745985" cy="6925291"/>
            <wp:effectExtent l="0" t="0" r="0" b="0"/>
            <wp:docPr id="113831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12373"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5985" cy="6925291"/>
                    </a:xfrm>
                    <a:prstGeom prst="rect">
                      <a:avLst/>
                    </a:prstGeom>
                  </pic:spPr>
                </pic:pic>
              </a:graphicData>
            </a:graphic>
          </wp:inline>
        </w:drawing>
      </w:r>
    </w:p>
    <w:p w14:paraId="5A358DBC" w14:textId="77777777" w:rsidR="002F0740" w:rsidRPr="002C21B8" w:rsidRDefault="002F0740" w:rsidP="00900FD4">
      <w:pPr>
        <w:spacing w:line="240" w:lineRule="auto"/>
      </w:pPr>
    </w:p>
    <w:p w14:paraId="538B589C" w14:textId="77777777" w:rsidR="002F0740" w:rsidRPr="002C21B8" w:rsidRDefault="002F0740" w:rsidP="00900FD4">
      <w:pPr>
        <w:spacing w:line="240" w:lineRule="auto"/>
      </w:pPr>
    </w:p>
    <w:p w14:paraId="23D3476B" w14:textId="77777777" w:rsidR="002F0740" w:rsidRPr="002C21B8" w:rsidRDefault="002F0740" w:rsidP="00900FD4">
      <w:pPr>
        <w:spacing w:line="240" w:lineRule="auto"/>
      </w:pPr>
    </w:p>
    <w:p w14:paraId="7B67992D" w14:textId="77777777" w:rsidR="002F0740" w:rsidRPr="002C21B8" w:rsidRDefault="002F0740" w:rsidP="002F0740">
      <w:pPr>
        <w:spacing w:before="240" w:after="0"/>
        <w:rPr>
          <w:b/>
          <w:bCs/>
          <w:sz w:val="24"/>
          <w:szCs w:val="24"/>
        </w:rPr>
      </w:pPr>
      <w:r w:rsidRPr="002C21B8">
        <w:rPr>
          <w:b/>
          <w:bCs/>
          <w:sz w:val="24"/>
          <w:szCs w:val="24"/>
        </w:rPr>
        <w:t>How do factors identified in systematic reviews with qualitative findings compare to those identified in systematic reviews with quantitative findings?</w:t>
      </w:r>
    </w:p>
    <w:p w14:paraId="506C5439" w14:textId="6FEC5A42" w:rsidR="002F0740" w:rsidRPr="002C21B8" w:rsidRDefault="002F0740" w:rsidP="002F0740">
      <w:r w:rsidRPr="002C21B8">
        <w:t>Factors tested in the quantitative research were categorised into the themes identified in the qualitative research (</w:t>
      </w:r>
      <w:r w:rsidRPr="002C21B8">
        <w:fldChar w:fldCharType="begin"/>
      </w:r>
      <w:r w:rsidRPr="002C21B8">
        <w:instrText xml:space="preserve"> REF _Ref217059486 \h  \* MERGEFORMAT </w:instrText>
      </w:r>
      <w:r w:rsidRPr="002C21B8">
        <w:fldChar w:fldCharType="separate"/>
      </w:r>
      <w:r w:rsidR="00DB3709" w:rsidRPr="002C21B8">
        <w:t xml:space="preserve">Table </w:t>
      </w:r>
      <w:r w:rsidR="00DB3709">
        <w:t>10</w:t>
      </w:r>
      <w:r w:rsidRPr="002C21B8">
        <w:fldChar w:fldCharType="end"/>
      </w:r>
      <w:r w:rsidRPr="002C21B8">
        <w:t>)</w:t>
      </w:r>
      <w:r w:rsidR="00A71580" w:rsidRPr="002C21B8">
        <w:t>.</w:t>
      </w:r>
      <w:r w:rsidRPr="002C21B8">
        <w:t xml:space="preserve"> Many of the factors described in the systematic reviews of qualitative research were not tested in the systematic reviews of quantitative research, particularly within the themes of medication costs, shared decision-making and external factors. The factors tested were primarily related to patient characteristics. Patients who</w:t>
      </w:r>
      <w:r w:rsidR="006528D5" w:rsidRPr="002C21B8">
        <w:t xml:space="preserve"> were </w:t>
      </w:r>
      <w:r w:rsidRPr="002C21B8">
        <w:t xml:space="preserve">older </w:t>
      </w:r>
      <w:r w:rsidRPr="002C21B8">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cj5NYWhtb3VkPC9BdXRob3I+PFllYXI+MjAyMzwvWWVhcj48UmVjTnVtPjE1MjI5PC9SZWNOdW0+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</w:fldData>
        </w:fldChar>
      </w:r>
      <w:r w:rsidR="000215B0" w:rsidRPr="002C21B8">
        <w:instrText xml:space="preserve"> ADDIN EN.CITE </w:instrText>
      </w:r>
      <w:r w:rsidR="000215B0" w:rsidRPr="002C21B8">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cj5NYWhtb3VkPC9BdXRob3I+PFllYXI+MjAyMzwvWWVhcj48UmVjTnVtPjE1MjI5PC9SZWNOdW0+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</w:fldData>
        </w:fldChar>
      </w:r>
      <w:r w:rsidR="000215B0" w:rsidRPr="002C21B8">
        <w:instrText xml:space="preserve"> ADDIN EN.CITE.DATA </w:instrText>
      </w:r>
      <w:r w:rsidR="000215B0" w:rsidRPr="002C21B8">
        <w:fldChar w:fldCharType="end"/>
      </w:r>
      <w:r w:rsidRPr="002C21B8">
        <w:fldChar w:fldCharType="separate"/>
      </w:r>
      <w:r w:rsidRPr="002C21B8">
        <w:rPr>
          <w:noProof/>
        </w:rPr>
        <w:t>(Chin</w:t>
      </w:r>
      <w:r w:rsidRPr="002C21B8">
        <w:rPr>
          <w:i/>
          <w:noProof/>
        </w:rPr>
        <w:t xml:space="preserve"> et al.</w:t>
      </w:r>
      <w:r w:rsidRPr="002C21B8">
        <w:rPr>
          <w:noProof/>
        </w:rPr>
        <w:t>, 2016; Mahmoud</w:t>
      </w:r>
      <w:r w:rsidRPr="002C21B8">
        <w:rPr>
          <w:i/>
          <w:noProof/>
        </w:rPr>
        <w:t xml:space="preserve"> et al.</w:t>
      </w:r>
      <w:r w:rsidRPr="002C21B8">
        <w:rPr>
          <w:noProof/>
        </w:rPr>
        <w:t>, 2023; Proietti</w:t>
      </w:r>
      <w:r w:rsidRPr="002C21B8">
        <w:rPr>
          <w:i/>
          <w:noProof/>
        </w:rPr>
        <w:t xml:space="preserve"> et al.</w:t>
      </w:r>
      <w:r w:rsidRPr="002C21B8">
        <w:rPr>
          <w:noProof/>
        </w:rPr>
        <w:t>, 2022; Wilkinson</w:t>
      </w:r>
      <w:r w:rsidRPr="002C21B8">
        <w:rPr>
          <w:i/>
          <w:noProof/>
        </w:rPr>
        <w:t xml:space="preserve"> et al.</w:t>
      </w:r>
      <w:r w:rsidRPr="002C21B8">
        <w:rPr>
          <w:noProof/>
        </w:rPr>
        <w:t>, 2019)</w:t>
      </w:r>
      <w:r w:rsidRPr="002C21B8">
        <w:fldChar w:fldCharType="end"/>
      </w:r>
      <w:r w:rsidRPr="002C21B8">
        <w:t xml:space="preserve">, from minority ethnic backgrounds </w:t>
      </w:r>
      <w:r w:rsidRPr="002C21B8">
        <w:fldChar w:fldCharType="begin"/>
      </w:r>
      <w:r w:rsidRPr="002C21B8">
        <w:instrText xml:space="preserve"> ADDIN EN.CITE &lt;EndNote&gt;&lt;Cite&gt;&lt;Author&gt;Abdelkader&lt;/Author&gt;&lt;Year&gt;2023&lt;/Year&gt;&lt;RecNum&gt;15226&lt;/RecNum&gt;&lt;DisplayText&gt;(Abdelkader&lt;style face="italic"&gt; et al.&lt;/style&gt;, 2023)&lt;/DisplayText&gt;&lt;record&gt;&lt;rec-number&gt;15226&lt;/rec-number&gt;&lt;foreign-keys&gt;&lt;key app="EN" db-id="xpefzwa5hf9dt2ea9fax95x7xvxz90v09dtf" timestamp="1713539293"&gt;15226&lt;/key&gt;&lt;/foreign-keys&gt;&lt;ref-type name="Journal Article"&gt;17&lt;/ref-type&gt;&lt;contributors&gt;&lt;authors&gt;&lt;author&gt;Abdelkader, Nada&lt;/author&gt;&lt;author&gt;Awaisu, Ahmed&lt;/author&gt;&lt;author&gt;Elewa, Hazem&lt;/author&gt;&lt;author&gt;El Hajj, Maguy Saffouh&lt;/author&gt;&lt;/authors&gt;&lt;/contributors&gt;&lt;titles&gt;&lt;title&gt;Prescribing patterns of antihypertensive medications: a systematic review of literature between 2010 and 2020&lt;/title&gt;&lt;secondary-title&gt;Exploratory Research in Clinical and Social Pharmacy&lt;/secondary-title&gt;&lt;/titles&gt;&lt;periodical&gt;&lt;full-title&gt;Exploratory research in clinical and social pharmacy&lt;/full-title&gt;&lt;/periodical&gt;&lt;pages&gt;100315&lt;/pages&gt;&lt;dates&gt;&lt;year&gt;2023&lt;/year&gt;&lt;/dates&gt;&lt;isbn&gt;2667-2766&lt;/isbn&gt;&lt;urls&gt;&lt;/urls&gt;&lt;/record&gt;&lt;/Cite&gt;&lt;/EndNote&gt;</w:instrText>
      </w:r>
      <w:r w:rsidRPr="002C21B8">
        <w:fldChar w:fldCharType="separate"/>
      </w:r>
      <w:r w:rsidRPr="002C21B8">
        <w:t>(Abdelkader</w:t>
      </w:r>
      <w:r w:rsidRPr="002C21B8">
        <w:rPr>
          <w:i/>
        </w:rPr>
        <w:t xml:space="preserve"> et al.</w:t>
      </w:r>
      <w:r w:rsidRPr="002C21B8">
        <w:t>, 2023)</w:t>
      </w:r>
      <w:r w:rsidRPr="002C21B8">
        <w:fldChar w:fldCharType="end"/>
      </w:r>
      <w:r w:rsidRPr="002C21B8">
        <w:t xml:space="preserve">, living in rural areas </w:t>
      </w:r>
      <w:r w:rsidRPr="002C21B8">
        <w:fldChar w:fldCharType="begin">
          <w:fldData xml:space="preserve">PEVuZE5vdGU+PENpdGU+PEF1dGhvcj5BcnNoYWQ8L0F1dGhvcj48WWVhcj4yMDIxPC9ZZWFyPjxS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</w:fldData>
        </w:fldChar>
      </w:r>
      <w:r w:rsidR="000215B0" w:rsidRPr="002C21B8">
        <w:instrText xml:space="preserve"> ADDIN EN.CITE </w:instrText>
      </w:r>
      <w:r w:rsidR="000215B0" w:rsidRPr="002C21B8">
        <w:fldChar w:fldCharType="begin">
          <w:fldData xml:space="preserve">PEVuZE5vdGU+PENpdGU+PEF1dGhvcj5BcnNoYWQ8L0F1dGhvcj48WWVhcj4yMDIxPC9ZZWFyPjxS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(Arshad</w:t>
      </w:r>
      <w:r w:rsidRPr="002C21B8">
        <w:rPr>
          <w:i/>
          <w:noProof/>
        </w:rPr>
        <w:t xml:space="preserve"> et al.</w:t>
      </w:r>
      <w:r w:rsidRPr="002C21B8">
        <w:rPr>
          <w:noProof/>
        </w:rPr>
        <w:t>, 2021; Proietti</w:t>
      </w:r>
      <w:r w:rsidRPr="002C21B8">
        <w:rPr>
          <w:i/>
          <w:noProof/>
        </w:rPr>
        <w:t xml:space="preserve"> et al.</w:t>
      </w:r>
      <w:r w:rsidRPr="002C21B8">
        <w:rPr>
          <w:noProof/>
        </w:rPr>
        <w:t>, 2022)</w:t>
      </w:r>
      <w:r w:rsidRPr="002C21B8">
        <w:fldChar w:fldCharType="end"/>
      </w:r>
      <w:r w:rsidRPr="002C21B8">
        <w:t xml:space="preserve">, multimorbid </w:t>
      </w:r>
      <w:r w:rsidRPr="002C21B8">
        <w:fldChar w:fldCharType="begin">
          <w:fldData xml:space="preserve">PEVuZE5vdGU+PENpdGU+PEF1dGhvcj5DaGluPC9BdXRob3I+PFllYXI+MjAxNjwvWWVhcj48UmVj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</w:fldData>
        </w:fldChar>
      </w:r>
      <w:r w:rsidR="000215B0" w:rsidRPr="002C21B8">
        <w:instrText xml:space="preserve"> ADDIN EN.CITE </w:instrText>
      </w:r>
      <w:r w:rsidR="000215B0" w:rsidRPr="002C21B8">
        <w:fldChar w:fldCharType="begin">
          <w:fldData xml:space="preserve">PEVuZE5vdGU+PENpdGU+PEF1dGhvcj5DaGluPC9BdXRob3I+PFllYXI+MjAxNjwvWWVhcj48UmVj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</w:fldData>
        </w:fldChar>
      </w:r>
      <w:r w:rsidR="000215B0" w:rsidRPr="002C21B8">
        <w:instrText xml:space="preserve"> ADDIN EN.CITE.DATA </w:instrText>
      </w:r>
      <w:r w:rsidR="000215B0" w:rsidRPr="002C21B8">
        <w:fldChar w:fldCharType="end"/>
      </w:r>
      <w:r w:rsidRPr="002C21B8">
        <w:fldChar w:fldCharType="separate"/>
      </w:r>
      <w:r w:rsidRPr="002C21B8">
        <w:rPr>
          <w:noProof/>
        </w:rPr>
        <w:t>(Arshad</w:t>
      </w:r>
      <w:r w:rsidRPr="002C21B8">
        <w:rPr>
          <w:i/>
          <w:noProof/>
        </w:rPr>
        <w:t xml:space="preserve"> et al.</w:t>
      </w:r>
      <w:r w:rsidRPr="002C21B8">
        <w:rPr>
          <w:noProof/>
        </w:rPr>
        <w:t>, 2021; Chin</w:t>
      </w:r>
      <w:r w:rsidRPr="002C21B8">
        <w:rPr>
          <w:i/>
          <w:noProof/>
        </w:rPr>
        <w:t xml:space="preserve"> et al.</w:t>
      </w:r>
      <w:r w:rsidRPr="002C21B8">
        <w:rPr>
          <w:noProof/>
        </w:rPr>
        <w:t>, 2016; Mahmoud</w:t>
      </w:r>
      <w:r w:rsidRPr="002C21B8">
        <w:rPr>
          <w:i/>
          <w:noProof/>
        </w:rPr>
        <w:t xml:space="preserve"> et al.</w:t>
      </w:r>
      <w:r w:rsidRPr="002C21B8">
        <w:rPr>
          <w:noProof/>
        </w:rPr>
        <w:t>, 2023; Wilkinson</w:t>
      </w:r>
      <w:r w:rsidRPr="002C21B8">
        <w:rPr>
          <w:i/>
          <w:noProof/>
        </w:rPr>
        <w:t xml:space="preserve"> et al.</w:t>
      </w:r>
      <w:r w:rsidRPr="002C21B8">
        <w:rPr>
          <w:noProof/>
        </w:rPr>
        <w:t>, 2019)</w:t>
      </w:r>
      <w:r w:rsidRPr="002C21B8">
        <w:fldChar w:fldCharType="end"/>
      </w:r>
      <w:r w:rsidRPr="002C21B8">
        <w:t xml:space="preserve">, or frail </w:t>
      </w:r>
      <w:r w:rsidRPr="002C21B8">
        <w:fldChar w:fldCharType="begin">
          <w:fldData xml:space="preserve">PEVuZE5vdGU+PENpdGU+PEF1dGhvcj5Qcm9pZXR0aTwvQXV0aG9yPjxZZWFyPjIwMjI8L1llYXI+
PFJlY051bT4xNTIzNDwvUmVjTnVtPjxEaXNwbGF5VGV4dD4oT3FhYiwgUG91cm5hemFyaSBhbmQg
U2hlbGRvbiwgMjAxODsgUHJlc3RhPHN0eWxlIGZhY2U9Iml0YWxpYyI+IGV0IGFsLjwvc3R5bGU+
LCAyMDIyOyBQcm9pZXR0aTxzdHlsZSBmYWNlPSJpdGFsaWMiPiBldCBhbC48L3N0eWxlPiwgMjAy
MjsgV2lsa2luc29uPHN0eWxlIGZhY2U9Iml0YWxpYyI+IGV0IGFsLjwvc3R5bGU+LCAyMDE5KTwv
RGlzcGxheVRleHQ+PHJlY29yZD48cmVjLW51bWJlcj4xNTIzNDwvcmVjLW51bWJlcj48Zm9yZWln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bHM+PC9yZWNvcmQ+PC9DaXRlPjxDaXRlPjxBdXRob3I+V2lsa2luc29uPC9BdXRob3I+PFllYXI+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</w:fldData>
        </w:fldChar>
      </w:r>
      <w:r w:rsidR="005D7DBC" w:rsidRPr="002C21B8">
        <w:instrText xml:space="preserve"> ADDIN EN.CITE </w:instrText>
      </w:r>
      <w:r w:rsidR="005D7DBC" w:rsidRPr="002C21B8">
        <w:fldChar w:fldCharType="begin">
          <w:fldData xml:space="preserve">PEVuZE5vdGU+PENpdGU+PEF1dGhvcj5Qcm9pZXR0aTwvQXV0aG9yPjxZZWFyPjIwMjI8L1llYXI+
PFJlY051bT4xNTIzNDwvUmVjTnVtPjxEaXNwbGF5VGV4dD4oT3FhYiwgUG91cm5hemFyaSBhbmQg
U2hlbGRvbiwgMjAxODsgUHJlc3RhPHN0eWxlIGZhY2U9Iml0YWxpYyI+IGV0IGFsLjwvc3R5bGU+
LCAyMDIyOyBQcm9pZXR0aTxzdHlsZSBmYWNlPSJpdGFsaWMiPiBldCBhbC48L3N0eWxlPiwgMjAy
MjsgV2lsa2luc29uPHN0eWxlIGZhY2U9Iml0YWxpYyI+IGV0IGFsLjwvc3R5bGU+LCAyMDE5KTwv
RGlzcGxheVRleHQ+PHJlY29yZD48cmVjLW51bWJlcj4xNTIzNDwvcmVjLW51bWJlcj48Zm9yZWln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bHM+PC9yZWNvcmQ+PC9DaXRlPjxDaXRlPjxBdXRob3I+V2lsa2luc29uPC9BdXRob3I+PFllYXI+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</w:fldData>
        </w:fldChar>
      </w:r>
      <w:r w:rsidR="005D7DBC" w:rsidRPr="002C21B8">
        <w:instrText xml:space="preserve"> ADDIN EN.CITE.DATA </w:instrText>
      </w:r>
      <w:r w:rsidR="005D7DBC" w:rsidRPr="002C21B8">
        <w:fldChar w:fldCharType="end"/>
      </w:r>
      <w:r w:rsidRPr="002C21B8">
        <w:fldChar w:fldCharType="separate"/>
      </w:r>
      <w:r w:rsidRPr="002C21B8">
        <w:rPr>
          <w:noProof/>
        </w:rPr>
        <w:t>(Oqab, Pournazari and Sheldon, 2018; Presta</w:t>
      </w:r>
      <w:r w:rsidRPr="002C21B8">
        <w:rPr>
          <w:i/>
          <w:noProof/>
        </w:rPr>
        <w:t xml:space="preserve"> et al.</w:t>
      </w:r>
      <w:r w:rsidRPr="002C21B8">
        <w:rPr>
          <w:noProof/>
        </w:rPr>
        <w:t>, 2022; Proietti</w:t>
      </w:r>
      <w:r w:rsidRPr="002C21B8">
        <w:rPr>
          <w:i/>
          <w:noProof/>
        </w:rPr>
        <w:t xml:space="preserve"> et al.</w:t>
      </w:r>
      <w:r w:rsidRPr="002C21B8">
        <w:rPr>
          <w:noProof/>
        </w:rPr>
        <w:t>, 2022; Wilkinson</w:t>
      </w:r>
      <w:r w:rsidRPr="002C21B8">
        <w:rPr>
          <w:i/>
          <w:noProof/>
        </w:rPr>
        <w:t xml:space="preserve"> et al.</w:t>
      </w:r>
      <w:r w:rsidRPr="002C21B8">
        <w:rPr>
          <w:noProof/>
        </w:rPr>
        <w:t>, 2019)</w:t>
      </w:r>
      <w:r w:rsidRPr="002C21B8">
        <w:fldChar w:fldCharType="end"/>
      </w:r>
      <w:r w:rsidRPr="002C21B8">
        <w:t xml:space="preserve"> were less likely to be prescribed certain medications. Evidence of higher disease severity o</w:t>
      </w:r>
      <w:r w:rsidR="006528D5" w:rsidRPr="002C21B8">
        <w:t>r</w:t>
      </w:r>
      <w:r w:rsidRPr="002C21B8">
        <w:t xml:space="preserve"> activity</w:t>
      </w:r>
      <w:r w:rsidR="006528D5" w:rsidRPr="002C21B8">
        <w:t>, as measured by</w:t>
      </w:r>
      <w:r w:rsidRPr="002C21B8">
        <w:t xml:space="preserve"> </w:t>
      </w:r>
      <w:r w:rsidR="006528D5" w:rsidRPr="002C21B8">
        <w:t xml:space="preserve">disease-specific </w:t>
      </w:r>
      <w:r w:rsidRPr="002C21B8">
        <w:t>scores</w:t>
      </w:r>
      <w:r w:rsidR="006528D5" w:rsidRPr="002C21B8">
        <w:t>,</w:t>
      </w:r>
      <w:r w:rsidRPr="002C21B8">
        <w:t xml:space="preserve"> was associated with an increased prescribing rate </w:t>
      </w:r>
      <w:r w:rsidRPr="002C21B8">
        <w:fldChar w:fldCharType="begin">
          <w:fldData xml:space="preserve">PEVuZE5vdGU+PENpdGU+PEF1dGhvcj5NYWhtb3VkPC9BdXRob3I+PFllYXI+MjAyMzwvWWVhcj48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</w:fldData>
        </w:fldChar>
      </w:r>
      <w:r w:rsidR="00590E88" w:rsidRPr="002C21B8">
        <w:instrText xml:space="preserve"> ADDIN EN.CITE </w:instrText>
      </w:r>
      <w:r w:rsidR="00590E88" w:rsidRPr="002C21B8">
        <w:fldChar w:fldCharType="begin">
          <w:fldData xml:space="preserve">PEVuZE5vdGU+PENpdGU+PEF1dGhvcj5NYWhtb3VkPC9BdXRob3I+PFllYXI+MjAyMzwvWWVhcj48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</w:fldData>
        </w:fldChar>
      </w:r>
      <w:r w:rsidR="00590E88" w:rsidRPr="002C21B8">
        <w:instrText xml:space="preserve"> ADDIN EN.CITE.DATA </w:instrText>
      </w:r>
      <w:r w:rsidR="00590E88" w:rsidRPr="002C21B8">
        <w:fldChar w:fldCharType="end"/>
      </w:r>
      <w:r w:rsidRPr="002C21B8">
        <w:fldChar w:fldCharType="separate"/>
      </w:r>
      <w:r w:rsidRPr="002C21B8">
        <w:rPr>
          <w:noProof/>
        </w:rPr>
        <w:t>(Iudici</w:t>
      </w:r>
      <w:r w:rsidRPr="002C21B8">
        <w:rPr>
          <w:i/>
          <w:noProof/>
        </w:rPr>
        <w:t xml:space="preserve"> et al.</w:t>
      </w:r>
      <w:r w:rsidRPr="002C21B8">
        <w:rPr>
          <w:noProof/>
        </w:rPr>
        <w:t>, 2014; Mahmoud</w:t>
      </w:r>
      <w:r w:rsidRPr="002C21B8">
        <w:rPr>
          <w:i/>
          <w:noProof/>
        </w:rPr>
        <w:t xml:space="preserve"> et al.</w:t>
      </w:r>
      <w:r w:rsidRPr="002C21B8">
        <w:rPr>
          <w:noProof/>
        </w:rPr>
        <w:t>, 2023; Milman</w:t>
      </w:r>
      <w:r w:rsidRPr="002C21B8">
        <w:rPr>
          <w:i/>
          <w:noProof/>
        </w:rPr>
        <w:t xml:space="preserve"> et al.</w:t>
      </w:r>
      <w:r w:rsidRPr="002C21B8">
        <w:rPr>
          <w:noProof/>
        </w:rPr>
        <w:t>, 2018)</w:t>
      </w:r>
      <w:r w:rsidRPr="002C21B8">
        <w:fldChar w:fldCharType="end"/>
      </w:r>
      <w:r w:rsidRPr="002C21B8">
        <w:t>. At the prescriber level</w:t>
      </w:r>
      <w:r w:rsidR="00A71580" w:rsidRPr="002C21B8">
        <w:t>,</w:t>
      </w:r>
      <w:r w:rsidRPr="002C21B8">
        <w:t xml:space="preserve"> a higher self-reported level of knowledge </w:t>
      </w:r>
      <w:r w:rsidRPr="002C21B8">
        <w:fldChar w:fldCharType="begin">
          <w:fldData xml:space="preserve">PEVuZE5vdGU+PENpdGU+PEF1dGhvcj5BcnNoYWQ8L0F1dGhvcj48WWVhcj4yMDIxPC9ZZWFyPjxS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==
</w:fldData>
        </w:fldChar>
      </w:r>
      <w:r w:rsidR="00590E88" w:rsidRPr="002C21B8">
        <w:instrText xml:space="preserve"> ADDIN EN.CITE </w:instrText>
      </w:r>
      <w:r w:rsidR="00590E88" w:rsidRPr="002C21B8">
        <w:fldChar w:fldCharType="begin">
          <w:fldData xml:space="preserve">PEVuZE5vdGU+PENpdGU+PEF1dGhvcj5BcnNoYWQ8L0F1dGhvcj48WWVhcj4yMDIxPC9ZZWFyPjxS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==
</w:fldData>
        </w:fldChar>
      </w:r>
      <w:r w:rsidR="00590E88" w:rsidRPr="002C21B8">
        <w:instrText xml:space="preserve"> ADDIN EN.CITE.DATA </w:instrText>
      </w:r>
      <w:r w:rsidR="00590E88" w:rsidRPr="002C21B8">
        <w:fldChar w:fldCharType="end"/>
      </w:r>
      <w:r w:rsidRPr="002C21B8">
        <w:fldChar w:fldCharType="separate"/>
      </w:r>
      <w:r w:rsidRPr="002C21B8">
        <w:rPr>
          <w:noProof/>
        </w:rPr>
        <w:t>(Arshad</w:t>
      </w:r>
      <w:r w:rsidRPr="002C21B8">
        <w:rPr>
          <w:i/>
          <w:noProof/>
        </w:rPr>
        <w:t xml:space="preserve"> et al.</w:t>
      </w:r>
      <w:r w:rsidRPr="002C21B8">
        <w:rPr>
          <w:noProof/>
        </w:rPr>
        <w:t>, 2021; Milman</w:t>
      </w:r>
      <w:r w:rsidRPr="002C21B8">
        <w:rPr>
          <w:i/>
          <w:noProof/>
        </w:rPr>
        <w:t xml:space="preserve"> et al.</w:t>
      </w:r>
      <w:r w:rsidRPr="002C21B8">
        <w:rPr>
          <w:noProof/>
        </w:rPr>
        <w:t>, 2018)</w:t>
      </w:r>
      <w:r w:rsidRPr="002C21B8">
        <w:fldChar w:fldCharType="end"/>
      </w:r>
      <w:r w:rsidRPr="002C21B8">
        <w:t xml:space="preserve">, participation in specialist training </w:t>
      </w:r>
      <w:r w:rsidRPr="002C21B8">
        <w:fldChar w:fldCharType="begin"/>
      </w:r>
      <w:r w:rsidR="00763983" w:rsidRPr="002C21B8">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fldChar w:fldCharType="separate"/>
      </w:r>
      <w:r w:rsidRPr="002C21B8">
        <w:rPr>
          <w:noProof/>
        </w:rPr>
        <w:t>(Iudici</w:t>
      </w:r>
      <w:r w:rsidRPr="002C21B8">
        <w:rPr>
          <w:i/>
          <w:noProof/>
        </w:rPr>
        <w:t xml:space="preserve"> et al.</w:t>
      </w:r>
      <w:r w:rsidRPr="002C21B8">
        <w:rPr>
          <w:noProof/>
        </w:rPr>
        <w:t>, 2014)</w:t>
      </w:r>
      <w:r w:rsidRPr="002C21B8">
        <w:fldChar w:fldCharType="end"/>
      </w:r>
      <w:r w:rsidRPr="002C21B8">
        <w:t xml:space="preserve"> and certain speciali</w:t>
      </w:r>
      <w:r w:rsidR="00A71580" w:rsidRPr="002C21B8">
        <w:t>tie</w:t>
      </w:r>
      <w:r w:rsidRPr="002C21B8">
        <w:t xml:space="preserve">s </w:t>
      </w:r>
      <w:r w:rsidRPr="002C21B8">
        <w:fldChar w:fldCharType="begin"/>
      </w:r>
      <w:r w:rsidR="00763983" w:rsidRPr="002C21B8">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fldChar w:fldCharType="separate"/>
      </w:r>
      <w:r w:rsidRPr="002C21B8">
        <w:rPr>
          <w:noProof/>
        </w:rPr>
        <w:t>(Iudici</w:t>
      </w:r>
      <w:r w:rsidRPr="002C21B8">
        <w:rPr>
          <w:i/>
          <w:noProof/>
        </w:rPr>
        <w:t xml:space="preserve"> et al.</w:t>
      </w:r>
      <w:r w:rsidRPr="002C21B8">
        <w:rPr>
          <w:noProof/>
        </w:rPr>
        <w:t>, 2014)</w:t>
      </w:r>
      <w:r w:rsidRPr="002C21B8">
        <w:fldChar w:fldCharType="end"/>
      </w:r>
      <w:r w:rsidRPr="002C21B8">
        <w:t xml:space="preserve"> were associated with higher rates of prescribing.</w:t>
      </w:r>
    </w:p>
    <w:p w14:paraId="6C3DF898" w14:textId="035CCE3B" w:rsidR="002F0740" w:rsidRPr="002C21B8" w:rsidRDefault="002F0740" w:rsidP="002F0740">
      <w:r w:rsidRPr="002C21B8">
        <w:t xml:space="preserve">Some factors measured in the quantitative research had not been identified in the qualitative research. These </w:t>
      </w:r>
      <w:r w:rsidR="005361A3" w:rsidRPr="002C21B8">
        <w:t xml:space="preserve">were </w:t>
      </w:r>
      <w:r w:rsidRPr="002C21B8">
        <w:t>associations</w:t>
      </w:r>
      <w:r w:rsidR="005361A3" w:rsidRPr="002C21B8">
        <w:t xml:space="preserve"> between</w:t>
      </w:r>
      <w:r w:rsidRPr="002C21B8">
        <w:t xml:space="preserve"> prescribing rates </w:t>
      </w:r>
      <w:r w:rsidR="005361A3" w:rsidRPr="002C21B8">
        <w:t>and</w:t>
      </w:r>
      <w:r w:rsidRPr="002C21B8">
        <w:t xml:space="preserve"> patient</w:t>
      </w:r>
      <w:r w:rsidR="005361A3" w:rsidRPr="002C21B8">
        <w:t>-</w:t>
      </w:r>
      <w:r w:rsidRPr="002C21B8">
        <w:t>level</w:t>
      </w:r>
      <w:r w:rsidR="005361A3" w:rsidRPr="002C21B8">
        <w:t xml:space="preserve"> characteristics</w:t>
      </w:r>
      <w:r w:rsidRPr="002C21B8">
        <w:t xml:space="preserve">. Patients who had a higher educational attainment were associated with an increased likelihood of prescription </w:t>
      </w:r>
      <w:r w:rsidRPr="002C21B8">
        <w:fldChar w:fldCharType="begin"/>
      </w:r>
      <w:r w:rsidRPr="002C21B8">
        <w:instrText xml:space="preserve"> ADDIN EN.CITE &lt;EndNote&gt;&lt;Cite&gt;&lt;Author&gt;Orayj&lt;/Author&gt;&lt;Year&gt;2019&lt;/Year&gt;&lt;RecNum&gt;15217&lt;/RecNum&gt;&lt;DisplayText&gt;(Orayj and Lane, 2019)&lt;/DisplayText&gt;&lt;record&gt;&lt;rec-number&gt;15217&lt;/rec-number&gt;&lt;foreign-keys&gt;&lt;key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disease&lt;/full-title&gt;&lt;/periodical&gt;&lt;pages&gt;1-40&lt;/pages&gt;&lt;volume&gt;2019&lt;/volume&gt;&lt;dates&gt;&lt;year&gt;2019&lt;/year&gt;&lt;/dates&gt;&lt;isbn&gt;2090-8083&lt;/isbn&gt;&lt;urls&gt;&lt;/urls&gt;&lt;/record&gt;&lt;/Cite&gt;&lt;/EndNote&gt;</w:instrText>
      </w:r>
      <w:r w:rsidRPr="002C21B8">
        <w:fldChar w:fldCharType="separate"/>
      </w:r>
      <w:r w:rsidRPr="002C21B8">
        <w:t>(Orayj and Lane, 2019)</w:t>
      </w:r>
      <w:r w:rsidRPr="002C21B8">
        <w:fldChar w:fldCharType="end"/>
      </w:r>
      <w:r w:rsidRPr="002C21B8">
        <w:t xml:space="preserve">. There was no consistent direction of effect across the included systematic reviews for patients who were female </w:t>
      </w:r>
      <w:r w:rsidRPr="002C21B8">
        <w:fldChar w:fldCharType="begin">
          <w:fldData xml:space="preserve">PEVuZE5vdGU+PENpdGU+PEF1dGhvcj5DaGluPC9BdXRob3I+PFllYXI+MjAxNjwvWWVhcj48UmVj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==
</w:fldData>
        </w:fldChar>
      </w:r>
      <w:r w:rsidR="00763983" w:rsidRPr="002C21B8">
        <w:instrText xml:space="preserve"> ADDIN EN.CITE </w:instrText>
      </w:r>
      <w:r w:rsidR="00763983" w:rsidRPr="002C21B8">
        <w:fldChar w:fldCharType="begin">
          <w:fldData xml:space="preserve">PEVuZE5vdGU+PENpdGU+PEF1dGhvcj5DaGluPC9BdXRob3I+PFllYXI+MjAxNjwvWWVhcj48UmVj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==
</w:fldData>
        </w:fldChar>
      </w:r>
      <w:r w:rsidR="00763983" w:rsidRPr="002C21B8">
        <w:instrText xml:space="preserve"> ADDIN EN.CITE.DATA </w:instrText>
      </w:r>
      <w:r w:rsidR="00763983" w:rsidRPr="002C21B8">
        <w:fldChar w:fldCharType="end"/>
      </w:r>
      <w:r w:rsidRPr="002C21B8">
        <w:fldChar w:fldCharType="separate"/>
      </w:r>
      <w:r w:rsidRPr="002C21B8">
        <w:rPr>
          <w:noProof/>
        </w:rPr>
        <w:t>(Chin</w:t>
      </w:r>
      <w:r w:rsidRPr="002C21B8">
        <w:rPr>
          <w:i/>
          <w:noProof/>
        </w:rPr>
        <w:t xml:space="preserve"> et al.</w:t>
      </w:r>
      <w:r w:rsidRPr="002C21B8">
        <w:rPr>
          <w:noProof/>
        </w:rPr>
        <w:t>, 2016; Iudici</w:t>
      </w:r>
      <w:r w:rsidRPr="002C21B8">
        <w:rPr>
          <w:i/>
          <w:noProof/>
        </w:rPr>
        <w:t xml:space="preserve"> et al.</w:t>
      </w:r>
      <w:r w:rsidRPr="002C21B8">
        <w:rPr>
          <w:noProof/>
        </w:rPr>
        <w:t>, 2014; Mahmoud</w:t>
      </w:r>
      <w:r w:rsidRPr="002C21B8">
        <w:rPr>
          <w:i/>
          <w:noProof/>
        </w:rPr>
        <w:t xml:space="preserve"> et al.</w:t>
      </w:r>
      <w:r w:rsidRPr="002C21B8">
        <w:rPr>
          <w:noProof/>
        </w:rPr>
        <w:t>, 2023)</w:t>
      </w:r>
      <w:r w:rsidRPr="002C21B8">
        <w:fldChar w:fldCharType="end"/>
      </w:r>
      <w:r w:rsidRPr="002C21B8">
        <w:t xml:space="preserve"> or overweight/obese </w:t>
      </w:r>
      <w:r w:rsidRPr="002C21B8">
        <w:fldChar w:fldCharType="begin"/>
      </w:r>
      <w:r w:rsidRPr="002C21B8">
        <w:instrText xml:space="preserve"> ADDIN EN.CITE &lt;EndNote&gt;&lt;Cite&gt;&lt;Author&gt;Mahmoud&lt;/Author&gt;&lt;Year&gt;2023&lt;/Year&gt;&lt;RecNum&gt;15229&lt;/RecNum&gt;&lt;DisplayText&gt;(Mahmoud&lt;style face="italic"&gt; et al.&lt;/style&gt;, 2023)&lt;/DisplayText&gt;&lt;record&gt;&lt;rec-number&gt;15229&lt;/rec-number&gt;&lt;foreign-keys&gt;&lt;key app="EN" db-id="xpefzwa5hf9dt2ea9fax95x7xvxz90v09dtf" timestamp="1713539567"&gt;15229&lt;/key&gt;&lt;/foreign-keys&gt;&lt;ref-type name="Journal Article"&gt;17&lt;/ref-type&gt;&lt;contributors&gt;&lt;authors&gt;&lt;author&gt;Mahmoud, Fatema&lt;/author&gt;&lt;author&gt;Mullen, Alexander&lt;/author&gt;&lt;author&gt;Sainsbury, Chris&lt;/author&gt;&lt;author&gt;Rushworth, Gordon F&lt;/author&gt;&lt;author&gt;Yasin, Haya&lt;/author&gt;&lt;author&gt;Abutheraa, Nouf&lt;/author&gt;&lt;author&gt;Mueller, Tanja&lt;/author&gt;&lt;author&gt;Kurdi, Amanj&lt;/author&gt;&lt;/authors&gt;&lt;/contributors&gt;&lt;titles&gt;&lt;title&gt;Meta‐analysis of factors associated with antidiabetic drug prescribing for type 2 diabetes mellitus&lt;/title&gt;&lt;secondary-title&gt;European Journal of Clinical Investigation&lt;/secondary-title&gt;&lt;/titles&gt;&lt;periodical&gt;&lt;full-title&gt;European journal of clinical investigation&lt;/full-title&gt;&lt;/periodical&gt;&lt;pages&gt;e13997&lt;/pages&gt;&lt;volume&gt;53&lt;/volume&gt;&lt;number&gt;8&lt;/number&gt;&lt;dates&gt;&lt;year&gt;2023&lt;/year&gt;&lt;/dates&gt;&lt;isbn&gt;0014-2972&lt;/isbn&gt;&lt;urls&gt;&lt;/urls&gt;&lt;/record&gt;&lt;/Cite&gt;&lt;/EndNote&gt;</w:instrText>
      </w:r>
      <w:r w:rsidRPr="002C21B8">
        <w:fldChar w:fldCharType="separate"/>
      </w:r>
      <w:r w:rsidRPr="002C21B8">
        <w:t>(Mahmoud</w:t>
      </w:r>
      <w:r w:rsidRPr="002C21B8">
        <w:rPr>
          <w:i/>
        </w:rPr>
        <w:t xml:space="preserve"> et al.</w:t>
      </w:r>
      <w:r w:rsidRPr="002C21B8">
        <w:t>, 2023)</w:t>
      </w:r>
      <w:r w:rsidRPr="002C21B8">
        <w:fldChar w:fldCharType="end"/>
      </w:r>
      <w:r w:rsidRPr="002C21B8">
        <w:t xml:space="preserve">. For the external factors, the authors </w:t>
      </w:r>
      <w:r w:rsidR="00A71580" w:rsidRPr="002C21B8">
        <w:t>of</w:t>
      </w:r>
      <w:r w:rsidRPr="002C21B8">
        <w:t xml:space="preserve"> one study linked membership to a specific medical society </w:t>
      </w:r>
      <w:r w:rsidR="005361A3" w:rsidRPr="002C21B8">
        <w:t>with</w:t>
      </w:r>
      <w:r w:rsidRPr="002C21B8">
        <w:t xml:space="preserve"> an increased likelihood of certain medication</w:t>
      </w:r>
      <w:r w:rsidR="005361A3" w:rsidRPr="002C21B8">
        <w:t>s being prescribed</w:t>
      </w:r>
      <w:r w:rsidRPr="002C21B8">
        <w:t xml:space="preserve"> </w:t>
      </w:r>
      <w:r w:rsidRPr="002C21B8">
        <w:fldChar w:fldCharType="begin"/>
      </w:r>
      <w:r w:rsidR="00763983" w:rsidRPr="002C21B8">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fldChar w:fldCharType="separate"/>
      </w:r>
      <w:r w:rsidRPr="002C21B8">
        <w:rPr>
          <w:noProof/>
        </w:rPr>
        <w:t>(Iudici</w:t>
      </w:r>
      <w:r w:rsidRPr="002C21B8">
        <w:rPr>
          <w:i/>
          <w:noProof/>
        </w:rPr>
        <w:t xml:space="preserve"> et al.</w:t>
      </w:r>
      <w:r w:rsidRPr="002C21B8">
        <w:rPr>
          <w:noProof/>
        </w:rPr>
        <w:t>, 2014)</w:t>
      </w:r>
      <w:r w:rsidRPr="002C21B8">
        <w:fldChar w:fldCharType="end"/>
      </w:r>
      <w:r w:rsidRPr="002C21B8">
        <w:t xml:space="preserve">. Variation in prescribing approaches for certain medications was also associated with the prescribers’ country of origin, although no consistent direction of effect was observed </w:t>
      </w:r>
      <w:r w:rsidRPr="002C21B8">
        <w:fldChar w:fldCharType="begin"/>
      </w:r>
      <w:r w:rsidR="00763983" w:rsidRPr="002C21B8">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fldChar w:fldCharType="separate"/>
      </w:r>
      <w:r w:rsidRPr="002C21B8">
        <w:rPr>
          <w:noProof/>
        </w:rPr>
        <w:t>(Iudici</w:t>
      </w:r>
      <w:r w:rsidRPr="002C21B8">
        <w:rPr>
          <w:i/>
          <w:noProof/>
        </w:rPr>
        <w:t xml:space="preserve"> et al.</w:t>
      </w:r>
      <w:r w:rsidRPr="002C21B8">
        <w:rPr>
          <w:noProof/>
        </w:rPr>
        <w:t>, 2014)</w:t>
      </w:r>
      <w:r w:rsidRPr="002C21B8">
        <w:fldChar w:fldCharType="end"/>
      </w:r>
      <w:r w:rsidRPr="002C21B8">
        <w:t>. The influence of pharmacists in the decision-making process was not identified in any systematic reviews of qualitative research</w:t>
      </w:r>
      <w:r w:rsidR="005361A3" w:rsidRPr="002C21B8">
        <w:t>,</w:t>
      </w:r>
      <w:r w:rsidRPr="002C21B8">
        <w:t xml:space="preserve"> but </w:t>
      </w:r>
      <w:r w:rsidR="005361A3" w:rsidRPr="002C21B8">
        <w:t xml:space="preserve">this </w:t>
      </w:r>
      <w:r w:rsidRPr="002C21B8">
        <w:t xml:space="preserve">was found to be positively associated with an increased likelihood of appropriate prescribing in one systematic review of quantitative research </w:t>
      </w:r>
      <w:r w:rsidRPr="002C21B8">
        <w:fldChar w:fldCharType="begin"/>
      </w:r>
      <w:r w:rsidR="00590E88" w:rsidRPr="002C21B8">
        <w:instrText xml:space="preserve"> ADDIN EN.CITE &lt;EndNote&gt;&lt;Cite&gt;&lt;Author&gt;Milman&lt;/Author&gt;&lt;Year&gt;2018&lt;/Year&gt;&lt;RecNum&gt;17404&lt;/RecNum&gt;&lt;DisplayText&gt;(Milman&lt;style face="italic"&gt; et al.&lt;/style&gt;, 2018)&lt;/DisplayText&gt;&lt;record&gt;&lt;rec-number&gt;17404&lt;/rec-number&gt;&lt;foreign-keys&gt;&lt;key app="EN" db-id="xpefzwa5hf9dt2ea9fax95x7xvxz90v09dtf" timestamp="1720793228"&gt;17404&lt;/key&gt;&lt;/foreign-keys&gt;&lt;ref-type name="Journal Article"&gt;17&lt;/ref-type&gt;&lt;contributors&gt;&lt;authors&gt;&lt;author&gt;Milman, T.&lt;/author&gt;&lt;author&gt;Joundi, R. A.&lt;/author&gt;&lt;author&gt;Alotaibi, N. M.&lt;/author&gt;&lt;author&gt;Saposnik, G.&lt;/author&gt;&lt;/authors&gt;&lt;/contributors&gt;&lt;auth-address&gt;Faculty of Medicine Division of Neurology, Department of Medicine Division of Neurosurgery, Department of Surgery St. Michael&amp;apos;s Hospital Department of Medicine and Institute of Health Policy, Management and Evaluation, University of Toronto Institute for Clinical Evaluative Sciences (ICES), Toronto, ON, Canada.&lt;/auth-address&gt;&lt;titles&gt;&lt;title&gt;Clinical inertia in the pharmacological management of hypertension: A systematic review and meta-analysis&lt;/title&gt;&lt;secondary-title&gt;Medicine&lt;/secondary-title&gt;&lt;/titles&gt;&lt;periodical&gt;&lt;full-title&gt;Medicine&lt;/full-title&gt;&lt;/periodical&gt;&lt;pages&gt;e11121&lt;/pages&gt;&lt;volume&gt;97&lt;/volume&gt;&lt;number&gt;25&lt;/number&gt;&lt;keywords&gt;&lt;keyword&gt;Antihypertensive Agents/*pharmacology&lt;/keyword&gt;&lt;keyword&gt;Bias&lt;/keyword&gt;&lt;keyword&gt;Humans&lt;/keyword&gt;&lt;keyword&gt;Hypertension/*drug therapy&lt;/keyword&gt;&lt;keyword&gt;*Patient Care Management/methods/standards&lt;/keyword&gt;&lt;keyword&gt;Practice Patterns, Physicians&amp;apos;&lt;/keyword&gt;&lt;keyword&gt;Treatment Failure&lt;/keyword&gt;&lt;/keywords&gt;&lt;dates&gt;&lt;year&gt;2018&lt;/year&gt;&lt;pub-dates&gt;&lt;date&gt;Jun&lt;/date&gt;&lt;/pub-dates&gt;&lt;/dates&gt;&lt;isbn&gt;0025-7974 (Print)&amp;#xD;0025-7974&lt;/isbn&gt;&lt;accession-num&gt;29924011&lt;/accession-num&gt;&lt;urls&gt;&lt;/urls&gt;&lt;custom2&gt;PMC6025046&lt;/custom2&gt;&lt;electronic-resource-num&gt;10.1097/md.0000000000011121&lt;/electronic-resource-num&gt;&lt;remote-database-provider&gt;NLM&lt;/remote-database-provider&gt;&lt;language&gt;eng&lt;/language&gt;&lt;/record&gt;&lt;/Cite&gt;&lt;/EndNote&gt;</w:instrText>
      </w:r>
      <w:r w:rsidRPr="002C21B8">
        <w:fldChar w:fldCharType="separate"/>
      </w:r>
      <w:r w:rsidRPr="002C21B8">
        <w:rPr>
          <w:noProof/>
        </w:rPr>
        <w:t>(Milman</w:t>
      </w:r>
      <w:r w:rsidRPr="002C21B8">
        <w:rPr>
          <w:i/>
          <w:noProof/>
        </w:rPr>
        <w:t xml:space="preserve"> et al.</w:t>
      </w:r>
      <w:r w:rsidRPr="002C21B8">
        <w:rPr>
          <w:noProof/>
        </w:rPr>
        <w:t>, 2018)</w:t>
      </w:r>
      <w:r w:rsidRPr="002C21B8">
        <w:fldChar w:fldCharType="end"/>
      </w:r>
      <w:r w:rsidRPr="002C21B8">
        <w:t>.</w:t>
      </w:r>
    </w:p>
    <w:p w14:paraId="2076D72E" w14:textId="77777777" w:rsidR="002F0740" w:rsidRPr="002C21B8" w:rsidRDefault="002F0740" w:rsidP="002F0740">
      <w:pPr>
        <w:sectPr w:rsidR="002F0740" w:rsidRPr="002C21B8" w:rsidSect="0009672F">
          <w:headerReference w:type="default" r:id="rId33"/>
          <w:type w:val="continuous"/>
          <w:pgSz w:w="11906" w:h="16838"/>
          <w:pgMar w:top="1440" w:right="1440" w:bottom="1440" w:left="1440" w:header="708" w:footer="708" w:gutter="0"/>
          <w:cols w:space="708"/>
          <w:docGrid w:linePitch="360"/>
        </w:sectPr>
      </w:pPr>
    </w:p>
    <w:p w14:paraId="0A29D236" w14:textId="65D9E71C" w:rsidR="002F0740" w:rsidRPr="002C21B8" w:rsidRDefault="002F0740" w:rsidP="00D418D8">
      <w:pPr>
        <w:pStyle w:val="Caption"/>
        <w:keepNext w:val="0"/>
        <w:rPr>
          <w:noProof w:val="0"/>
        </w:rPr>
      </w:pPr>
      <w:bookmarkStart w:id="134" w:name="_Ref217059486"/>
      <w:bookmarkStart w:id="135" w:name="_Toc236991746"/>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10</w:t>
      </w:r>
      <w:r w:rsidRPr="002C21B8">
        <w:rPr>
          <w:noProof w:val="0"/>
        </w:rPr>
        <w:fldChar w:fldCharType="end"/>
      </w:r>
      <w:bookmarkEnd w:id="134"/>
      <w:r w:rsidRPr="002C21B8">
        <w:rPr>
          <w:noProof w:val="0"/>
        </w:rPr>
        <w:t>. Summary of quantitative factors in relation to qualitative findings</w:t>
      </w:r>
      <w:bookmarkEnd w:id="135"/>
    </w:p>
    <w:tbl>
      <w:tblPr>
        <w:tblStyle w:val="TableGrid"/>
        <w:tblW w:w="14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977"/>
        <w:gridCol w:w="3402"/>
        <w:gridCol w:w="3009"/>
      </w:tblGrid>
      <w:tr w:rsidR="002F0740" w:rsidRPr="002C21B8" w14:paraId="774787E4" w14:textId="77777777" w:rsidTr="0063596A">
        <w:trPr>
          <w:trHeight w:val="284"/>
        </w:trPr>
        <w:tc>
          <w:tcPr>
            <w:tcW w:w="4678" w:type="dxa"/>
            <w:tcBorders>
              <w:top w:val="single" w:sz="12" w:space="0" w:color="000000" w:themeColor="text1"/>
              <w:bottom w:val="single" w:sz="4" w:space="0" w:color="auto"/>
            </w:tcBorders>
            <w:shd w:val="clear" w:color="auto" w:fill="auto"/>
            <w:vAlign w:val="center"/>
          </w:tcPr>
          <w:p w14:paraId="01721493" w14:textId="77777777" w:rsidR="002F0740" w:rsidRPr="002C21B8" w:rsidRDefault="002F0740" w:rsidP="00D418D8">
            <w:pPr>
              <w:spacing w:before="20" w:afterLines="20" w:after="48" w:line="240" w:lineRule="auto"/>
              <w:rPr>
                <w:b/>
                <w:bCs/>
                <w:sz w:val="20"/>
                <w:szCs w:val="20"/>
              </w:rPr>
            </w:pPr>
            <w:r w:rsidRPr="002C21B8">
              <w:rPr>
                <w:b/>
                <w:bCs/>
                <w:sz w:val="20"/>
                <w:szCs w:val="20"/>
              </w:rPr>
              <w:t>Qualitative findings</w:t>
            </w:r>
          </w:p>
        </w:tc>
        <w:tc>
          <w:tcPr>
            <w:tcW w:w="2977" w:type="dxa"/>
            <w:tcBorders>
              <w:top w:val="single" w:sz="12" w:space="0" w:color="000000" w:themeColor="text1"/>
              <w:bottom w:val="single" w:sz="4" w:space="0" w:color="auto"/>
            </w:tcBorders>
            <w:shd w:val="clear" w:color="auto" w:fill="auto"/>
            <w:vAlign w:val="center"/>
          </w:tcPr>
          <w:p w14:paraId="108BEC4D" w14:textId="77777777" w:rsidR="002F0740" w:rsidRPr="002C21B8" w:rsidRDefault="002F0740" w:rsidP="00D418D8">
            <w:pPr>
              <w:spacing w:before="20" w:afterLines="20" w:after="48" w:line="240" w:lineRule="auto"/>
              <w:rPr>
                <w:b/>
                <w:bCs/>
                <w:sz w:val="20"/>
                <w:szCs w:val="20"/>
              </w:rPr>
            </w:pPr>
            <w:r w:rsidRPr="002C21B8">
              <w:rPr>
                <w:b/>
                <w:bCs/>
                <w:sz w:val="20"/>
                <w:szCs w:val="20"/>
              </w:rPr>
              <w:t>Quantitative factor</w:t>
            </w:r>
          </w:p>
        </w:tc>
        <w:tc>
          <w:tcPr>
            <w:tcW w:w="3402" w:type="dxa"/>
            <w:tcBorders>
              <w:top w:val="single" w:sz="12" w:space="0" w:color="000000" w:themeColor="text1"/>
              <w:bottom w:val="single" w:sz="4" w:space="0" w:color="auto"/>
            </w:tcBorders>
            <w:shd w:val="clear" w:color="auto" w:fill="auto"/>
            <w:vAlign w:val="center"/>
          </w:tcPr>
          <w:p w14:paraId="62F4EF7B" w14:textId="77777777" w:rsidR="002F0740" w:rsidRPr="002C21B8" w:rsidRDefault="002F0740" w:rsidP="00D418D8">
            <w:pPr>
              <w:spacing w:before="20" w:afterLines="20" w:after="48" w:line="240" w:lineRule="auto"/>
              <w:rPr>
                <w:b/>
                <w:bCs/>
                <w:sz w:val="20"/>
                <w:szCs w:val="20"/>
              </w:rPr>
            </w:pPr>
            <w:r w:rsidRPr="002C21B8">
              <w:rPr>
                <w:b/>
                <w:bCs/>
                <w:sz w:val="20"/>
                <w:szCs w:val="20"/>
              </w:rPr>
              <w:t>Observed association with prescribing</w:t>
            </w:r>
          </w:p>
        </w:tc>
        <w:tc>
          <w:tcPr>
            <w:tcW w:w="3009" w:type="dxa"/>
            <w:tcBorders>
              <w:top w:val="single" w:sz="12" w:space="0" w:color="000000" w:themeColor="text1"/>
              <w:bottom w:val="single" w:sz="4" w:space="0" w:color="auto"/>
            </w:tcBorders>
            <w:shd w:val="clear" w:color="auto" w:fill="auto"/>
            <w:vAlign w:val="center"/>
          </w:tcPr>
          <w:p w14:paraId="69943F26" w14:textId="77777777" w:rsidR="002F0740" w:rsidRPr="002C21B8" w:rsidRDefault="002F0740" w:rsidP="00D418D8">
            <w:pPr>
              <w:spacing w:before="20" w:afterLines="20" w:after="48" w:line="240" w:lineRule="auto"/>
              <w:rPr>
                <w:b/>
                <w:bCs/>
                <w:sz w:val="20"/>
                <w:szCs w:val="20"/>
              </w:rPr>
            </w:pPr>
            <w:r w:rsidRPr="002C21B8">
              <w:rPr>
                <w:b/>
                <w:bCs/>
                <w:sz w:val="20"/>
                <w:szCs w:val="20"/>
              </w:rPr>
              <w:t>Study</w:t>
            </w:r>
          </w:p>
        </w:tc>
      </w:tr>
      <w:tr w:rsidR="002F0740" w:rsidRPr="002C21B8" w14:paraId="2A66A2A8" w14:textId="77777777" w:rsidTr="006B7636">
        <w:tc>
          <w:tcPr>
            <w:tcW w:w="14066" w:type="dxa"/>
            <w:gridSpan w:val="4"/>
            <w:tcBorders>
              <w:top w:val="single" w:sz="4" w:space="0" w:color="auto"/>
            </w:tcBorders>
            <w:shd w:val="clear" w:color="auto" w:fill="F2F2F2" w:themeFill="background1" w:themeFillShade="F2"/>
          </w:tcPr>
          <w:p w14:paraId="0E353609" w14:textId="77777777" w:rsidR="002F0740" w:rsidRPr="002C21B8" w:rsidRDefault="002F0740" w:rsidP="00D418D8">
            <w:pPr>
              <w:spacing w:before="20" w:afterLines="20" w:after="48" w:line="240" w:lineRule="auto"/>
              <w:rPr>
                <w:b/>
                <w:bCs/>
                <w:sz w:val="20"/>
                <w:szCs w:val="20"/>
              </w:rPr>
            </w:pPr>
            <w:r w:rsidRPr="002C21B8">
              <w:rPr>
                <w:b/>
                <w:bCs/>
                <w:sz w:val="20"/>
                <w:szCs w:val="20"/>
              </w:rPr>
              <w:t>1. Patient factors</w:t>
            </w:r>
          </w:p>
        </w:tc>
      </w:tr>
      <w:tr w:rsidR="002F0740" w:rsidRPr="002C21B8" w14:paraId="057A11F0" w14:textId="77777777" w:rsidTr="0063596A">
        <w:tc>
          <w:tcPr>
            <w:tcW w:w="4678" w:type="dxa"/>
            <w:shd w:val="clear" w:color="auto" w:fill="auto"/>
          </w:tcPr>
          <w:p w14:paraId="3E7AC107"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1.1 Age</w:t>
            </w:r>
          </w:p>
        </w:tc>
        <w:tc>
          <w:tcPr>
            <w:tcW w:w="2977" w:type="dxa"/>
            <w:shd w:val="clear" w:color="auto" w:fill="auto"/>
          </w:tcPr>
          <w:p w14:paraId="064BF3A7" w14:textId="77777777" w:rsidR="002F0740" w:rsidRPr="002C21B8" w:rsidRDefault="002F0740" w:rsidP="00D418D8">
            <w:pPr>
              <w:spacing w:before="20" w:afterLines="20" w:after="48" w:line="240" w:lineRule="auto"/>
              <w:rPr>
                <w:sz w:val="18"/>
                <w:szCs w:val="18"/>
              </w:rPr>
            </w:pPr>
            <w:r w:rsidRPr="002C21B8">
              <w:rPr>
                <w:sz w:val="18"/>
                <w:szCs w:val="18"/>
              </w:rPr>
              <w:t>Older patient age</w:t>
            </w:r>
          </w:p>
        </w:tc>
        <w:tc>
          <w:tcPr>
            <w:tcW w:w="3402" w:type="dxa"/>
            <w:shd w:val="clear" w:color="auto" w:fill="auto"/>
          </w:tcPr>
          <w:p w14:paraId="2ACEF36F" w14:textId="77777777" w:rsidR="002F0740" w:rsidRPr="002C21B8" w:rsidRDefault="002F0740" w:rsidP="00D418D8">
            <w:pPr>
              <w:spacing w:before="20" w:afterLines="20" w:after="48" w:line="240" w:lineRule="auto"/>
              <w:rPr>
                <w:sz w:val="18"/>
                <w:szCs w:val="18"/>
              </w:rPr>
            </w:pPr>
            <w:r w:rsidRPr="002C21B8">
              <w:rPr>
                <w:sz w:val="18"/>
                <w:szCs w:val="18"/>
              </w:rPr>
              <w:t>Lower prescribing rate observed</w:t>
            </w:r>
          </w:p>
        </w:tc>
        <w:tc>
          <w:tcPr>
            <w:tcW w:w="3009" w:type="dxa"/>
            <w:shd w:val="clear" w:color="auto" w:fill="auto"/>
            <w:vAlign w:val="center"/>
          </w:tcPr>
          <w:p w14:paraId="605DB1C7" w14:textId="04C660F7" w:rsidR="002F0740" w:rsidRPr="002C21B8" w:rsidRDefault="002F0740" w:rsidP="00D418D8">
            <w:pPr>
              <w:spacing w:before="20" w:afterLines="20" w:after="48" w:line="240" w:lineRule="auto"/>
              <w:rPr>
                <w:sz w:val="18"/>
                <w:szCs w:val="18"/>
                <w:lang w:val="fr-FR"/>
              </w:rPr>
            </w:pPr>
            <w:r w:rsidRPr="002C21B8">
              <w:rPr>
                <w:sz w:val="18"/>
                <w:szCs w:val="18"/>
              </w:rPr>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cj5NYWhtb3VkPC9BdXRob3I+PFllYXI+MjAyMzwvWWVhcj48UmVjTnVtPjE1MjI5PC9SZWNOdW0+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PEVuZE5vdGU+PENpdGU+PEF1dGhvcj5DaGluPC9BdXRob3I+PFllYXI+MjAxNjwvWWVhcj48UmVj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(Chin</w:t>
            </w:r>
            <w:r w:rsidRPr="002C21B8">
              <w:rPr>
                <w:i/>
                <w:noProof/>
                <w:sz w:val="18"/>
                <w:szCs w:val="18"/>
                <w:lang w:val="fr-FR"/>
              </w:rPr>
              <w:t xml:space="preserve"> et al.</w:t>
            </w:r>
            <w:r w:rsidRPr="002C21B8">
              <w:rPr>
                <w:noProof/>
                <w:sz w:val="18"/>
                <w:szCs w:val="18"/>
                <w:lang w:val="fr-FR"/>
              </w:rPr>
              <w:t>, 2016; Mahmoud</w:t>
            </w:r>
            <w:r w:rsidRPr="002C21B8">
              <w:rPr>
                <w:i/>
                <w:noProof/>
                <w:sz w:val="18"/>
                <w:szCs w:val="18"/>
                <w:lang w:val="fr-FR"/>
              </w:rPr>
              <w:t xml:space="preserve"> et al.</w:t>
            </w:r>
            <w:r w:rsidRPr="002C21B8">
              <w:rPr>
                <w:noProof/>
                <w:sz w:val="18"/>
                <w:szCs w:val="18"/>
                <w:lang w:val="fr-FR"/>
              </w:rPr>
              <w:t>, 2023; Proietti</w:t>
            </w:r>
            <w:r w:rsidRPr="002C21B8">
              <w:rPr>
                <w:i/>
                <w:noProof/>
                <w:sz w:val="18"/>
                <w:szCs w:val="18"/>
                <w:lang w:val="fr-FR"/>
              </w:rPr>
              <w:t xml:space="preserve"> et al.</w:t>
            </w:r>
            <w:r w:rsidRPr="002C21B8">
              <w:rPr>
                <w:noProof/>
                <w:sz w:val="18"/>
                <w:szCs w:val="18"/>
                <w:lang w:val="fr-FR"/>
              </w:rPr>
              <w:t>, 2022; Wilkinson</w:t>
            </w:r>
            <w:r w:rsidRPr="002C21B8">
              <w:rPr>
                <w:i/>
                <w:noProof/>
                <w:sz w:val="18"/>
                <w:szCs w:val="18"/>
                <w:lang w:val="fr-FR"/>
              </w:rPr>
              <w:t xml:space="preserve"> et al.</w:t>
            </w:r>
            <w:r w:rsidRPr="002C21B8">
              <w:rPr>
                <w:noProof/>
                <w:sz w:val="18"/>
                <w:szCs w:val="18"/>
                <w:lang w:val="fr-FR"/>
              </w:rPr>
              <w:t>, 2019)</w:t>
            </w:r>
            <w:r w:rsidRPr="002C21B8">
              <w:rPr>
                <w:sz w:val="18"/>
                <w:szCs w:val="18"/>
              </w:rPr>
              <w:fldChar w:fldCharType="end"/>
            </w:r>
          </w:p>
        </w:tc>
      </w:tr>
      <w:tr w:rsidR="002F0740" w:rsidRPr="002C21B8" w14:paraId="15911384" w14:textId="77777777" w:rsidTr="0063596A">
        <w:tc>
          <w:tcPr>
            <w:tcW w:w="4678" w:type="dxa"/>
            <w:shd w:val="clear" w:color="auto" w:fill="auto"/>
          </w:tcPr>
          <w:p w14:paraId="370ED438"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1.2 Ethnicity</w:t>
            </w:r>
          </w:p>
        </w:tc>
        <w:tc>
          <w:tcPr>
            <w:tcW w:w="2977" w:type="dxa"/>
            <w:shd w:val="clear" w:color="auto" w:fill="auto"/>
          </w:tcPr>
          <w:p w14:paraId="4EF02C61" w14:textId="77777777" w:rsidR="002F0740" w:rsidRPr="002C21B8" w:rsidRDefault="002F0740" w:rsidP="00D418D8">
            <w:pPr>
              <w:spacing w:before="20" w:afterLines="20" w:after="48" w:line="240" w:lineRule="auto"/>
              <w:rPr>
                <w:sz w:val="18"/>
                <w:szCs w:val="18"/>
              </w:rPr>
            </w:pPr>
            <w:r w:rsidRPr="002C21B8">
              <w:rPr>
                <w:sz w:val="18"/>
                <w:szCs w:val="18"/>
              </w:rPr>
              <w:t>Patient ethnicity</w:t>
            </w:r>
          </w:p>
        </w:tc>
        <w:tc>
          <w:tcPr>
            <w:tcW w:w="3402" w:type="dxa"/>
            <w:shd w:val="clear" w:color="auto" w:fill="auto"/>
          </w:tcPr>
          <w:p w14:paraId="6EE35C61" w14:textId="77777777" w:rsidR="002F0740" w:rsidRPr="002C21B8" w:rsidRDefault="002F0740" w:rsidP="00D418D8">
            <w:pPr>
              <w:spacing w:before="20" w:afterLines="20" w:after="48" w:line="240" w:lineRule="auto"/>
              <w:rPr>
                <w:sz w:val="18"/>
                <w:szCs w:val="18"/>
              </w:rPr>
            </w:pPr>
            <w:r w:rsidRPr="002C21B8">
              <w:rPr>
                <w:sz w:val="18"/>
                <w:szCs w:val="18"/>
              </w:rPr>
              <w:t>Inconsistent observations</w:t>
            </w:r>
          </w:p>
        </w:tc>
        <w:tc>
          <w:tcPr>
            <w:tcW w:w="3009" w:type="dxa"/>
            <w:shd w:val="clear" w:color="auto" w:fill="auto"/>
          </w:tcPr>
          <w:p w14:paraId="235BD898" w14:textId="77777777" w:rsidR="002F0740" w:rsidRPr="002C21B8" w:rsidRDefault="002F0740" w:rsidP="00D418D8">
            <w:pPr>
              <w:spacing w:before="20" w:afterLines="20" w:after="48" w:line="240" w:lineRule="auto"/>
              <w:rPr>
                <w:sz w:val="18"/>
                <w:szCs w:val="18"/>
              </w:rPr>
            </w:pPr>
            <w:r w:rsidRPr="002C21B8">
              <w:rPr>
                <w:sz w:val="18"/>
                <w:szCs w:val="18"/>
              </w:rPr>
              <w:fldChar w:fldCharType="begin"/>
            </w:r>
            <w:r w:rsidRPr="002C21B8">
              <w:rPr>
                <w:sz w:val="18"/>
                <w:szCs w:val="18"/>
              </w:rPr>
              <w:instrText xml:space="preserve"> ADDIN EN.CITE &lt;EndNote&gt;&lt;Cite&gt;&lt;Author&gt;Abdelkader&lt;/Author&gt;&lt;Year&gt;2023&lt;/Year&gt;&lt;RecNum&gt;15226&lt;/RecNum&gt;&lt;DisplayText&gt;(Abdelkader&lt;style face="italic"&gt; et al.&lt;/style&gt;, 2023)&lt;/DisplayText&gt;&lt;record&gt;&lt;rec-number&gt;15226&lt;/rec-number&gt;&lt;foreign-keys&gt;&lt;key app="EN" db-id="xpefzwa5hf9dt2ea9fax95x7xvxz90v09dtf" timestamp="1713539293"&gt;15226&lt;/key&gt;&lt;/foreign-keys&gt;&lt;ref-type name="Journal Article"&gt;17&lt;/ref-type&gt;&lt;contributors&gt;&lt;authors&gt;&lt;author&gt;Abdelkader, Nada&lt;/author&gt;&lt;author&gt;Awaisu, Ahmed&lt;/author&gt;&lt;author&gt;Elewa, Hazem&lt;/author&gt;&lt;author&gt;El Hajj, Maguy Saffouh&lt;/author&gt;&lt;/authors&gt;&lt;/contributors&gt;&lt;titles&gt;&lt;title&gt;Prescribing patterns of antihypertensive medications: a systematic review of literature between 2010 and 2020&lt;/title&gt;&lt;secondary-title&gt;Exploratory Research in Clinical and Social Pharmacy&lt;/secondary-title&gt;&lt;/titles&gt;&lt;periodical&gt;&lt;full-title&gt;Exploratory research in clinical and social pharmacy&lt;/full-title&gt;&lt;/periodical&gt;&lt;pages&gt;100315&lt;/pages&gt;&lt;dates&gt;&lt;year&gt;2023&lt;/year&gt;&lt;/dates&gt;&lt;isbn&gt;2667-2766&lt;/isbn&gt;&lt;urls&gt;&lt;/urls&gt;&lt;/record&gt;&lt;/Cite&gt;&lt;/EndNote&gt;</w:instrText>
            </w:r>
            <w:r w:rsidRPr="002C21B8">
              <w:rPr>
                <w:sz w:val="18"/>
                <w:szCs w:val="18"/>
              </w:rPr>
              <w:fldChar w:fldCharType="separate"/>
            </w:r>
            <w:r w:rsidRPr="002C21B8">
              <w:rPr>
                <w:sz w:val="18"/>
                <w:szCs w:val="18"/>
              </w:rPr>
              <w:t>(Abdelkader</w:t>
            </w:r>
            <w:r w:rsidRPr="002C21B8">
              <w:rPr>
                <w:i/>
                <w:sz w:val="18"/>
                <w:szCs w:val="18"/>
              </w:rPr>
              <w:t xml:space="preserve"> et al.</w:t>
            </w:r>
            <w:r w:rsidRPr="002C21B8">
              <w:rPr>
                <w:sz w:val="18"/>
                <w:szCs w:val="18"/>
              </w:rPr>
              <w:t>, 2023)</w:t>
            </w:r>
            <w:r w:rsidRPr="002C21B8">
              <w:rPr>
                <w:sz w:val="18"/>
                <w:szCs w:val="18"/>
              </w:rPr>
              <w:fldChar w:fldCharType="end"/>
            </w:r>
          </w:p>
        </w:tc>
      </w:tr>
      <w:tr w:rsidR="002F0740" w:rsidRPr="002C21B8" w14:paraId="3B004A35" w14:textId="77777777" w:rsidTr="0063596A">
        <w:tc>
          <w:tcPr>
            <w:tcW w:w="4678" w:type="dxa"/>
            <w:shd w:val="clear" w:color="auto" w:fill="auto"/>
          </w:tcPr>
          <w:p w14:paraId="79A66FB0"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1.3 Socioeconomic status</w:t>
            </w:r>
          </w:p>
        </w:tc>
        <w:tc>
          <w:tcPr>
            <w:tcW w:w="2977" w:type="dxa"/>
            <w:shd w:val="clear" w:color="auto" w:fill="auto"/>
          </w:tcPr>
          <w:p w14:paraId="0117B0BF"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04E441F8"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43C36B83"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6CB14B47" w14:textId="77777777" w:rsidTr="0063596A">
        <w:tc>
          <w:tcPr>
            <w:tcW w:w="4678" w:type="dxa"/>
            <w:shd w:val="clear" w:color="auto" w:fill="auto"/>
          </w:tcPr>
          <w:p w14:paraId="152BABAC"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1.4 Occupational status</w:t>
            </w:r>
          </w:p>
        </w:tc>
        <w:tc>
          <w:tcPr>
            <w:tcW w:w="2977" w:type="dxa"/>
            <w:shd w:val="clear" w:color="auto" w:fill="auto"/>
          </w:tcPr>
          <w:p w14:paraId="4765A5D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219850CC"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6B606937"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673C3C90" w14:textId="77777777" w:rsidTr="0063596A">
        <w:tc>
          <w:tcPr>
            <w:tcW w:w="4678" w:type="dxa"/>
            <w:shd w:val="clear" w:color="auto" w:fill="auto"/>
          </w:tcPr>
          <w:p w14:paraId="68A1DD00"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1.5 Geographical factors</w:t>
            </w:r>
          </w:p>
        </w:tc>
        <w:tc>
          <w:tcPr>
            <w:tcW w:w="2977" w:type="dxa"/>
            <w:shd w:val="clear" w:color="auto" w:fill="auto"/>
          </w:tcPr>
          <w:p w14:paraId="24A82CBB" w14:textId="77777777" w:rsidR="002F0740" w:rsidRPr="002C21B8" w:rsidRDefault="002F0740" w:rsidP="00D418D8">
            <w:pPr>
              <w:spacing w:before="20" w:afterLines="20" w:after="48" w:line="240" w:lineRule="auto"/>
              <w:rPr>
                <w:sz w:val="18"/>
                <w:szCs w:val="18"/>
              </w:rPr>
            </w:pPr>
            <w:r w:rsidRPr="002C21B8">
              <w:rPr>
                <w:sz w:val="18"/>
                <w:szCs w:val="18"/>
              </w:rPr>
              <w:t>Patients living in rural area</w:t>
            </w:r>
          </w:p>
        </w:tc>
        <w:tc>
          <w:tcPr>
            <w:tcW w:w="3402" w:type="dxa"/>
            <w:shd w:val="clear" w:color="auto" w:fill="auto"/>
            <w:vAlign w:val="center"/>
          </w:tcPr>
          <w:p w14:paraId="62C8D2B4" w14:textId="77777777" w:rsidR="002F0740" w:rsidRPr="002C21B8" w:rsidRDefault="002F0740" w:rsidP="00D418D8">
            <w:pPr>
              <w:spacing w:before="20" w:afterLines="20" w:after="48" w:line="240" w:lineRule="auto"/>
              <w:rPr>
                <w:sz w:val="18"/>
                <w:szCs w:val="18"/>
              </w:rPr>
            </w:pPr>
            <w:r w:rsidRPr="002C21B8">
              <w:rPr>
                <w:sz w:val="18"/>
                <w:szCs w:val="18"/>
              </w:rPr>
              <w:t>Lower prescribing rate observed</w:t>
            </w:r>
          </w:p>
        </w:tc>
        <w:tc>
          <w:tcPr>
            <w:tcW w:w="3009" w:type="dxa"/>
            <w:shd w:val="clear" w:color="auto" w:fill="auto"/>
          </w:tcPr>
          <w:p w14:paraId="4D483C40" w14:textId="1B185B5A" w:rsidR="002F0740" w:rsidRPr="002C21B8" w:rsidRDefault="002F0740" w:rsidP="00D418D8">
            <w:pPr>
              <w:spacing w:before="20" w:afterLines="20" w:after="48" w:line="240" w:lineRule="auto"/>
              <w:rPr>
                <w:sz w:val="18"/>
                <w:szCs w:val="18"/>
                <w:lang w:val="it-IT"/>
              </w:rPr>
            </w:pPr>
            <w:r w:rsidRPr="002C21B8">
              <w:rPr>
                <w:sz w:val="18"/>
                <w:szCs w:val="18"/>
              </w:rPr>
              <w:fldChar w:fldCharType="begin">
                <w:fldData xml:space="preserve">PEVuZE5vdGU+PENpdGU+PEF1dGhvcj5BcnNoYWQ8L0F1dGhvcj48WWVhcj4yMDIxPC9ZZWFyPjxS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PEVuZE5vdGU+PENpdGU+PEF1dGhvcj5BcnNoYWQ8L0F1dGhvcj48WWVhcj4yMDIxPC9ZZWFyPjxS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it-IT"/>
              </w:rPr>
              <w:t>(Arshad</w:t>
            </w:r>
            <w:r w:rsidRPr="002C21B8">
              <w:rPr>
                <w:i/>
                <w:noProof/>
                <w:sz w:val="18"/>
                <w:szCs w:val="18"/>
                <w:lang w:val="it-IT"/>
              </w:rPr>
              <w:t xml:space="preserve"> et al.</w:t>
            </w:r>
            <w:r w:rsidRPr="002C21B8">
              <w:rPr>
                <w:noProof/>
                <w:sz w:val="18"/>
                <w:szCs w:val="18"/>
                <w:lang w:val="it-IT"/>
              </w:rPr>
              <w:t>, 2021; Proietti</w:t>
            </w:r>
            <w:r w:rsidRPr="002C21B8">
              <w:rPr>
                <w:i/>
                <w:noProof/>
                <w:sz w:val="18"/>
                <w:szCs w:val="18"/>
                <w:lang w:val="it-IT"/>
              </w:rPr>
              <w:t xml:space="preserve"> et al.</w:t>
            </w:r>
            <w:r w:rsidRPr="002C21B8">
              <w:rPr>
                <w:noProof/>
                <w:sz w:val="18"/>
                <w:szCs w:val="18"/>
                <w:lang w:val="it-IT"/>
              </w:rPr>
              <w:t>, 2022)</w:t>
            </w:r>
            <w:r w:rsidRPr="002C21B8">
              <w:rPr>
                <w:sz w:val="18"/>
                <w:szCs w:val="18"/>
              </w:rPr>
              <w:fldChar w:fldCharType="end"/>
            </w:r>
          </w:p>
        </w:tc>
      </w:tr>
      <w:tr w:rsidR="002F0740" w:rsidRPr="002C21B8" w14:paraId="0ED392F5" w14:textId="77777777" w:rsidTr="0063596A">
        <w:tc>
          <w:tcPr>
            <w:tcW w:w="4678" w:type="dxa"/>
            <w:shd w:val="clear" w:color="auto" w:fill="auto"/>
          </w:tcPr>
          <w:p w14:paraId="0CEC4DF0"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shd w:val="clear" w:color="auto" w:fill="auto"/>
          </w:tcPr>
          <w:p w14:paraId="607699B2" w14:textId="77777777" w:rsidR="002F0740" w:rsidRPr="002C21B8" w:rsidRDefault="002F0740" w:rsidP="00D418D8">
            <w:pPr>
              <w:spacing w:before="20" w:afterLines="20" w:after="48" w:line="240" w:lineRule="auto"/>
              <w:rPr>
                <w:sz w:val="18"/>
                <w:szCs w:val="18"/>
              </w:rPr>
            </w:pPr>
            <w:r w:rsidRPr="002C21B8">
              <w:rPr>
                <w:sz w:val="18"/>
                <w:szCs w:val="18"/>
              </w:rPr>
              <w:t>Female</w:t>
            </w:r>
          </w:p>
        </w:tc>
        <w:tc>
          <w:tcPr>
            <w:tcW w:w="3402" w:type="dxa"/>
            <w:shd w:val="clear" w:color="auto" w:fill="auto"/>
          </w:tcPr>
          <w:p w14:paraId="40F333A1" w14:textId="77777777" w:rsidR="002F0740" w:rsidRPr="002C21B8" w:rsidRDefault="002F0740" w:rsidP="00D418D8">
            <w:pPr>
              <w:spacing w:before="20" w:afterLines="20" w:after="48" w:line="240" w:lineRule="auto"/>
              <w:rPr>
                <w:sz w:val="18"/>
                <w:szCs w:val="18"/>
              </w:rPr>
            </w:pPr>
            <w:r w:rsidRPr="002C21B8">
              <w:rPr>
                <w:sz w:val="18"/>
                <w:szCs w:val="18"/>
              </w:rPr>
              <w:t>Mixed</w:t>
            </w:r>
          </w:p>
        </w:tc>
        <w:tc>
          <w:tcPr>
            <w:tcW w:w="3009" w:type="dxa"/>
            <w:shd w:val="clear" w:color="auto" w:fill="auto"/>
          </w:tcPr>
          <w:p w14:paraId="4D108BE4" w14:textId="23F04356" w:rsidR="002F0740" w:rsidRPr="002C21B8" w:rsidRDefault="002F0740" w:rsidP="00D418D8">
            <w:pPr>
              <w:spacing w:before="20" w:afterLines="20" w:after="48" w:line="240" w:lineRule="auto"/>
              <w:rPr>
                <w:sz w:val="18"/>
                <w:szCs w:val="18"/>
                <w:lang w:val="fr-FR"/>
              </w:rPr>
            </w:pPr>
            <w:r w:rsidRPr="002C21B8">
              <w:rPr>
                <w:sz w:val="18"/>
                <w:szCs w:val="18"/>
              </w:rPr>
              <w:fldChar w:fldCharType="begin">
                <w:fldData xml:space="preserve">PEVuZE5vdGU+PENpdGU+PEF1dGhvcj5DaGluPC9BdXRob3I+PFllYXI+MjAxNjwvWWVhcj48UmVj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==
</w:fldData>
              </w:fldChar>
            </w:r>
            <w:r w:rsidR="00763983" w:rsidRPr="002C21B8">
              <w:rPr>
                <w:sz w:val="18"/>
                <w:szCs w:val="18"/>
              </w:rPr>
              <w:instrText xml:space="preserve"> ADDIN EN.CITE </w:instrText>
            </w:r>
            <w:r w:rsidR="00763983" w:rsidRPr="002C21B8">
              <w:rPr>
                <w:sz w:val="18"/>
                <w:szCs w:val="18"/>
              </w:rPr>
              <w:fldChar w:fldCharType="begin">
                <w:fldData xml:space="preserve">PEVuZE5vdGU+PENpdGU+PEF1dGhvcj5DaGluPC9BdXRob3I+PFllYXI+MjAxNjwvWWVhcj48UmVj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==
</w:fldData>
              </w:fldChar>
            </w:r>
            <w:r w:rsidR="00763983" w:rsidRPr="002C21B8">
              <w:rPr>
                <w:sz w:val="18"/>
                <w:szCs w:val="18"/>
              </w:rPr>
              <w:instrText xml:space="preserve"> ADDIN EN.CITE.DATA </w:instrText>
            </w:r>
            <w:r w:rsidR="00763983" w:rsidRPr="002C21B8">
              <w:rPr>
                <w:sz w:val="18"/>
                <w:szCs w:val="18"/>
              </w:rPr>
            </w:r>
            <w:r w:rsidR="00763983"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(Chin</w:t>
            </w:r>
            <w:r w:rsidRPr="002C21B8">
              <w:rPr>
                <w:i/>
                <w:noProof/>
                <w:sz w:val="18"/>
                <w:szCs w:val="18"/>
                <w:lang w:val="fr-FR"/>
              </w:rPr>
              <w:t xml:space="preserve"> et al.</w:t>
            </w:r>
            <w:r w:rsidRPr="002C21B8">
              <w:rPr>
                <w:noProof/>
                <w:sz w:val="18"/>
                <w:szCs w:val="18"/>
                <w:lang w:val="fr-FR"/>
              </w:rPr>
              <w:t>, 2016; Iudici</w:t>
            </w:r>
            <w:r w:rsidRPr="002C21B8">
              <w:rPr>
                <w:i/>
                <w:noProof/>
                <w:sz w:val="18"/>
                <w:szCs w:val="18"/>
                <w:lang w:val="fr-FR"/>
              </w:rPr>
              <w:t xml:space="preserve"> et al.</w:t>
            </w:r>
            <w:r w:rsidRPr="002C21B8">
              <w:rPr>
                <w:noProof/>
                <w:sz w:val="18"/>
                <w:szCs w:val="18"/>
                <w:lang w:val="fr-FR"/>
              </w:rPr>
              <w:t>, 2014; Mahmoud</w:t>
            </w:r>
            <w:r w:rsidRPr="002C21B8">
              <w:rPr>
                <w:i/>
                <w:noProof/>
                <w:sz w:val="18"/>
                <w:szCs w:val="18"/>
                <w:lang w:val="fr-FR"/>
              </w:rPr>
              <w:t xml:space="preserve"> et al.</w:t>
            </w:r>
            <w:r w:rsidRPr="002C21B8">
              <w:rPr>
                <w:noProof/>
                <w:sz w:val="18"/>
                <w:szCs w:val="18"/>
                <w:lang w:val="fr-FR"/>
              </w:rPr>
              <w:t>, 2023)</w:t>
            </w:r>
            <w:r w:rsidRPr="002C21B8">
              <w:rPr>
                <w:sz w:val="18"/>
                <w:szCs w:val="18"/>
              </w:rPr>
              <w:fldChar w:fldCharType="end"/>
            </w:r>
          </w:p>
        </w:tc>
      </w:tr>
      <w:tr w:rsidR="002F0740" w:rsidRPr="002C21B8" w14:paraId="0695BF3B" w14:textId="77777777" w:rsidTr="0063596A">
        <w:tc>
          <w:tcPr>
            <w:tcW w:w="4678" w:type="dxa"/>
            <w:shd w:val="clear" w:color="auto" w:fill="auto"/>
          </w:tcPr>
          <w:p w14:paraId="65B96E69"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shd w:val="clear" w:color="auto" w:fill="auto"/>
          </w:tcPr>
          <w:p w14:paraId="15CD8ED5" w14:textId="77777777" w:rsidR="002F0740" w:rsidRPr="002C21B8" w:rsidRDefault="002F0740" w:rsidP="00D418D8">
            <w:pPr>
              <w:spacing w:before="20" w:afterLines="20" w:after="48" w:line="240" w:lineRule="auto"/>
              <w:rPr>
                <w:sz w:val="18"/>
                <w:szCs w:val="18"/>
              </w:rPr>
            </w:pPr>
            <w:r w:rsidRPr="002C21B8">
              <w:rPr>
                <w:sz w:val="18"/>
                <w:szCs w:val="18"/>
              </w:rPr>
              <w:t>High educational attainment</w:t>
            </w:r>
          </w:p>
        </w:tc>
        <w:tc>
          <w:tcPr>
            <w:tcW w:w="3402" w:type="dxa"/>
            <w:shd w:val="clear" w:color="auto" w:fill="auto"/>
          </w:tcPr>
          <w:p w14:paraId="09ED4F4F" w14:textId="77777777" w:rsidR="002F0740" w:rsidRPr="002C21B8" w:rsidRDefault="002F0740" w:rsidP="00D418D8">
            <w:pPr>
              <w:spacing w:before="20" w:afterLines="20" w:after="48" w:line="240" w:lineRule="auto"/>
              <w:rPr>
                <w:sz w:val="18"/>
                <w:szCs w:val="18"/>
              </w:rPr>
            </w:pPr>
            <w:r w:rsidRPr="002C21B8">
              <w:rPr>
                <w:sz w:val="18"/>
                <w:szCs w:val="18"/>
              </w:rPr>
              <w:t>Higher prescribing rates observed</w:t>
            </w:r>
          </w:p>
        </w:tc>
        <w:tc>
          <w:tcPr>
            <w:tcW w:w="3009" w:type="dxa"/>
            <w:shd w:val="clear" w:color="auto" w:fill="auto"/>
          </w:tcPr>
          <w:p w14:paraId="70083993" w14:textId="77777777" w:rsidR="002F0740" w:rsidRPr="002C21B8" w:rsidRDefault="002F0740" w:rsidP="00D418D8">
            <w:pPr>
              <w:spacing w:before="20" w:afterLines="20" w:after="48" w:line="240" w:lineRule="auto"/>
              <w:rPr>
                <w:sz w:val="18"/>
                <w:szCs w:val="18"/>
              </w:rPr>
            </w:pPr>
            <w:r w:rsidRPr="002C21B8">
              <w:rPr>
                <w:sz w:val="18"/>
                <w:szCs w:val="18"/>
              </w:rPr>
              <w:fldChar w:fldCharType="begin"/>
            </w:r>
            <w:r w:rsidRPr="002C21B8">
              <w:rPr>
                <w:sz w:val="18"/>
                <w:szCs w:val="18"/>
              </w:rPr>
              <w:instrText xml:space="preserve"> ADDIN EN.CITE &lt;EndNote&gt;&lt;Cite&gt;&lt;Author&gt;Orayj&lt;/Author&gt;&lt;Year&gt;2019&lt;/Year&gt;&lt;RecNum&gt;15217&lt;/RecNum&gt;&lt;DisplayText&gt;(Orayj and Lane, 2019)&lt;/DisplayText&gt;&lt;record&gt;&lt;rec-number&gt;15217&lt;/rec-number&gt;&lt;foreign-keys&gt;&lt;key app="EN" db-id="xpefzwa5hf9dt2ea9fax95x7xvxz90v09dtf" timestamp="1713285402"&gt;15217&lt;/key&gt;&lt;/foreign-keys&gt;&lt;ref-type name="Journal Article"&gt;17&lt;/ref-type&gt;&lt;contributors&gt;&lt;authors&gt;&lt;author&gt;Orayj, Khalid&lt;/author&gt;&lt;author&gt;Lane, Emma&lt;/author&gt;&lt;/authors&gt;&lt;/contributors&gt;&lt;titles&gt;&lt;title&gt;Patterns and determinants of prescribing for Parkinson’s disease: a systematic literature review&lt;/title&gt;&lt;secondary-title&gt;Parkinson&amp;apos;s Disease&lt;/secondary-title&gt;&lt;/titles&gt;&lt;periodical&gt;&lt;full-title&gt;Parkinson&amp;apos;s disease&lt;/full-title&gt;&lt;/periodical&gt;&lt;pages&gt;1-40&lt;/pages&gt;&lt;volume&gt;2019&lt;/volume&gt;&lt;dates&gt;&lt;year&gt;2019&lt;/year&gt;&lt;/dates&gt;&lt;isbn&gt;2090-8083&lt;/isbn&gt;&lt;urls&gt;&lt;/urls&gt;&lt;/record&gt;&lt;/Cite&gt;&lt;/EndNote&gt;</w:instrText>
            </w:r>
            <w:r w:rsidRPr="002C21B8">
              <w:rPr>
                <w:sz w:val="18"/>
                <w:szCs w:val="18"/>
              </w:rPr>
              <w:fldChar w:fldCharType="separate"/>
            </w:r>
            <w:r w:rsidRPr="002C21B8">
              <w:rPr>
                <w:sz w:val="18"/>
                <w:szCs w:val="18"/>
              </w:rPr>
              <w:t>(Orayj and Lane, 2019)</w:t>
            </w:r>
            <w:r w:rsidRPr="002C21B8">
              <w:rPr>
                <w:sz w:val="18"/>
                <w:szCs w:val="18"/>
              </w:rPr>
              <w:fldChar w:fldCharType="end"/>
            </w:r>
          </w:p>
        </w:tc>
      </w:tr>
      <w:tr w:rsidR="002F0740" w:rsidRPr="002C21B8" w14:paraId="5ED28A39" w14:textId="77777777" w:rsidTr="0063596A">
        <w:tc>
          <w:tcPr>
            <w:tcW w:w="4678" w:type="dxa"/>
            <w:tcBorders>
              <w:bottom w:val="single" w:sz="6" w:space="0" w:color="000000" w:themeColor="text1"/>
            </w:tcBorders>
            <w:shd w:val="clear" w:color="auto" w:fill="auto"/>
          </w:tcPr>
          <w:p w14:paraId="39D5F374"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tcBorders>
              <w:bottom w:val="single" w:sz="6" w:space="0" w:color="000000" w:themeColor="text1"/>
            </w:tcBorders>
            <w:shd w:val="clear" w:color="auto" w:fill="auto"/>
          </w:tcPr>
          <w:p w14:paraId="5FE98BBF" w14:textId="77777777" w:rsidR="002F0740" w:rsidRPr="002C21B8" w:rsidRDefault="002F0740" w:rsidP="00D418D8">
            <w:pPr>
              <w:spacing w:before="20" w:afterLines="20" w:after="48" w:line="240" w:lineRule="auto"/>
              <w:rPr>
                <w:sz w:val="18"/>
                <w:szCs w:val="18"/>
              </w:rPr>
            </w:pPr>
            <w:r w:rsidRPr="002C21B8">
              <w:rPr>
                <w:sz w:val="18"/>
                <w:szCs w:val="18"/>
              </w:rPr>
              <w:t>Overweight or high BMI</w:t>
            </w:r>
          </w:p>
        </w:tc>
        <w:tc>
          <w:tcPr>
            <w:tcW w:w="3402" w:type="dxa"/>
            <w:tcBorders>
              <w:bottom w:val="single" w:sz="6" w:space="0" w:color="000000" w:themeColor="text1"/>
            </w:tcBorders>
            <w:shd w:val="clear" w:color="auto" w:fill="auto"/>
          </w:tcPr>
          <w:p w14:paraId="1DA2F9BA" w14:textId="77777777" w:rsidR="002F0740" w:rsidRPr="002C21B8" w:rsidRDefault="002F0740" w:rsidP="00D418D8">
            <w:pPr>
              <w:spacing w:before="20" w:afterLines="20" w:after="48" w:line="240" w:lineRule="auto"/>
              <w:rPr>
                <w:sz w:val="18"/>
                <w:szCs w:val="18"/>
              </w:rPr>
            </w:pPr>
            <w:r w:rsidRPr="002C21B8">
              <w:rPr>
                <w:sz w:val="18"/>
                <w:szCs w:val="18"/>
              </w:rPr>
              <w:t>Inconsistent observations</w:t>
            </w:r>
          </w:p>
        </w:tc>
        <w:tc>
          <w:tcPr>
            <w:tcW w:w="3009" w:type="dxa"/>
            <w:tcBorders>
              <w:bottom w:val="single" w:sz="6" w:space="0" w:color="000000" w:themeColor="text1"/>
            </w:tcBorders>
            <w:shd w:val="clear" w:color="auto" w:fill="auto"/>
          </w:tcPr>
          <w:p w14:paraId="10531829" w14:textId="77777777" w:rsidR="002F0740" w:rsidRPr="002C21B8" w:rsidRDefault="002F0740" w:rsidP="00D418D8">
            <w:pPr>
              <w:spacing w:before="20" w:afterLines="20" w:after="48" w:line="240" w:lineRule="auto"/>
              <w:rPr>
                <w:sz w:val="18"/>
                <w:szCs w:val="18"/>
              </w:rPr>
            </w:pPr>
            <w:r w:rsidRPr="002C21B8">
              <w:rPr>
                <w:sz w:val="18"/>
                <w:szCs w:val="18"/>
              </w:rPr>
              <w:fldChar w:fldCharType="begin"/>
            </w:r>
            <w:r w:rsidRPr="002C21B8">
              <w:rPr>
                <w:sz w:val="18"/>
                <w:szCs w:val="18"/>
              </w:rPr>
              <w:instrText xml:space="preserve"> ADDIN EN.CITE &lt;EndNote&gt;&lt;Cite&gt;&lt;Author&gt;Mahmoud&lt;/Author&gt;&lt;Year&gt;2023&lt;/Year&gt;&lt;RecNum&gt;15229&lt;/RecNum&gt;&lt;DisplayText&gt;(Mahmoud&lt;style face="italic"&gt; et al.&lt;/style&gt;, 2023)&lt;/DisplayText&gt;&lt;record&gt;&lt;rec-number&gt;15229&lt;/rec-number&gt;&lt;foreign-keys&gt;&lt;key app="EN" db-id="xpefzwa5hf9dt2ea9fax95x7xvxz90v09dtf" timestamp="1713539567"&gt;15229&lt;/key&gt;&lt;/foreign-keys&gt;&lt;ref-type name="Journal Article"&gt;17&lt;/ref-type&gt;&lt;contributors&gt;&lt;authors&gt;&lt;author&gt;Mahmoud, Fatema&lt;/author&gt;&lt;author&gt;Mullen, Alexander&lt;/author&gt;&lt;author&gt;Sainsbury, Chris&lt;/author&gt;&lt;author&gt;Rushworth, Gordon F&lt;/author&gt;&lt;author&gt;Yasin, Haya&lt;/author&gt;&lt;author&gt;Abutheraa, Nouf&lt;/author&gt;&lt;author&gt;Mueller, Tanja&lt;/author&gt;&lt;author&gt;Kurdi, Amanj&lt;/author&gt;&lt;/authors&gt;&lt;/contributors&gt;&lt;titles&gt;&lt;title&gt;Meta‐analysis of factors associated with antidiabetic drug prescribing for type 2 diabetes mellitus&lt;/title&gt;&lt;secondary-title&gt;European Journal of Clinical Investigation&lt;/secondary-title&gt;&lt;/titles&gt;&lt;periodical&gt;&lt;full-title&gt;European journal of clinical investigation&lt;/full-title&gt;&lt;/periodical&gt;&lt;pages&gt;e13997&lt;/pages&gt;&lt;volume&gt;53&lt;/volume&gt;&lt;number&gt;8&lt;/number&gt;&lt;dates&gt;&lt;year&gt;2023&lt;/year&gt;&lt;/dates&gt;&lt;isbn&gt;0014-2972&lt;/isbn&gt;&lt;urls&gt;&lt;/urls&gt;&lt;/record&gt;&lt;/Cite&gt;&lt;/EndNote&gt;</w:instrText>
            </w:r>
            <w:r w:rsidRPr="002C21B8">
              <w:rPr>
                <w:sz w:val="18"/>
                <w:szCs w:val="18"/>
              </w:rPr>
              <w:fldChar w:fldCharType="separate"/>
            </w:r>
            <w:r w:rsidRPr="002C21B8">
              <w:rPr>
                <w:sz w:val="18"/>
                <w:szCs w:val="18"/>
              </w:rPr>
              <w:t>(Mahmoud</w:t>
            </w:r>
            <w:r w:rsidRPr="002C21B8">
              <w:rPr>
                <w:i/>
                <w:sz w:val="18"/>
                <w:szCs w:val="18"/>
              </w:rPr>
              <w:t xml:space="preserve"> et al.</w:t>
            </w:r>
            <w:r w:rsidRPr="002C21B8">
              <w:rPr>
                <w:sz w:val="18"/>
                <w:szCs w:val="18"/>
              </w:rPr>
              <w:t>, 2023)</w:t>
            </w:r>
            <w:r w:rsidRPr="002C21B8">
              <w:rPr>
                <w:sz w:val="18"/>
                <w:szCs w:val="18"/>
              </w:rPr>
              <w:fldChar w:fldCharType="end"/>
            </w:r>
          </w:p>
        </w:tc>
      </w:tr>
      <w:tr w:rsidR="002F0740" w:rsidRPr="002C21B8" w14:paraId="7D111F6D" w14:textId="77777777" w:rsidTr="006B7636">
        <w:tc>
          <w:tcPr>
            <w:tcW w:w="14066" w:type="dxa"/>
            <w:gridSpan w:val="4"/>
            <w:tcBorders>
              <w:top w:val="single" w:sz="6" w:space="0" w:color="000000" w:themeColor="text1"/>
            </w:tcBorders>
            <w:shd w:val="clear" w:color="auto" w:fill="F2F2F2" w:themeFill="background1" w:themeFillShade="F2"/>
          </w:tcPr>
          <w:p w14:paraId="4E0DA8CA" w14:textId="77777777" w:rsidR="002F0740" w:rsidRPr="002C21B8" w:rsidRDefault="002F0740" w:rsidP="00D418D8">
            <w:pPr>
              <w:spacing w:before="20" w:afterLines="20" w:after="48" w:line="240" w:lineRule="auto"/>
              <w:rPr>
                <w:b/>
                <w:bCs/>
                <w:sz w:val="20"/>
                <w:szCs w:val="20"/>
              </w:rPr>
            </w:pPr>
            <w:r w:rsidRPr="002C21B8">
              <w:rPr>
                <w:b/>
                <w:bCs/>
                <w:sz w:val="20"/>
                <w:szCs w:val="20"/>
              </w:rPr>
              <w:t xml:space="preserve">2. Individualised risk-benefit assessment </w:t>
            </w:r>
          </w:p>
        </w:tc>
      </w:tr>
      <w:tr w:rsidR="002F0740" w:rsidRPr="002C21B8" w14:paraId="773DF280" w14:textId="77777777" w:rsidTr="0063596A">
        <w:tc>
          <w:tcPr>
            <w:tcW w:w="4678" w:type="dxa"/>
            <w:shd w:val="clear" w:color="auto" w:fill="auto"/>
          </w:tcPr>
          <w:p w14:paraId="14EF94D5"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2.1 Barriers to understanding</w:t>
            </w:r>
          </w:p>
        </w:tc>
        <w:tc>
          <w:tcPr>
            <w:tcW w:w="2977" w:type="dxa"/>
            <w:shd w:val="clear" w:color="auto" w:fill="auto"/>
          </w:tcPr>
          <w:p w14:paraId="462D6900"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5721F2A0"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4C65C4DB"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102FA3C8" w14:textId="77777777" w:rsidTr="0063596A">
        <w:tc>
          <w:tcPr>
            <w:tcW w:w="4678" w:type="dxa"/>
            <w:shd w:val="clear" w:color="auto" w:fill="auto"/>
          </w:tcPr>
          <w:p w14:paraId="1E8D1CC0"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2.2 Comorbidities</w:t>
            </w:r>
          </w:p>
        </w:tc>
        <w:tc>
          <w:tcPr>
            <w:tcW w:w="2977" w:type="dxa"/>
            <w:shd w:val="clear" w:color="auto" w:fill="auto"/>
          </w:tcPr>
          <w:p w14:paraId="2694BC28" w14:textId="77777777" w:rsidR="002F0740" w:rsidRPr="002C21B8" w:rsidRDefault="002F0740" w:rsidP="00D418D8">
            <w:pPr>
              <w:spacing w:before="20" w:afterLines="20" w:after="48" w:line="240" w:lineRule="auto"/>
              <w:rPr>
                <w:sz w:val="18"/>
                <w:szCs w:val="18"/>
              </w:rPr>
            </w:pPr>
            <w:r w:rsidRPr="002C21B8">
              <w:rPr>
                <w:sz w:val="18"/>
                <w:szCs w:val="18"/>
              </w:rPr>
              <w:t>Multi-comorbid</w:t>
            </w:r>
          </w:p>
        </w:tc>
        <w:tc>
          <w:tcPr>
            <w:tcW w:w="3402" w:type="dxa"/>
            <w:shd w:val="clear" w:color="auto" w:fill="auto"/>
          </w:tcPr>
          <w:p w14:paraId="33030C2B" w14:textId="77777777" w:rsidR="002F0740" w:rsidRPr="002C21B8" w:rsidRDefault="002F0740" w:rsidP="00D418D8">
            <w:pPr>
              <w:spacing w:before="20" w:afterLines="20" w:after="48" w:line="240" w:lineRule="auto"/>
              <w:rPr>
                <w:sz w:val="18"/>
                <w:szCs w:val="18"/>
              </w:rPr>
            </w:pPr>
            <w:r w:rsidRPr="002C21B8">
              <w:rPr>
                <w:sz w:val="18"/>
                <w:szCs w:val="18"/>
              </w:rPr>
              <w:t>Lower prescribing rate observed</w:t>
            </w:r>
          </w:p>
        </w:tc>
        <w:tc>
          <w:tcPr>
            <w:tcW w:w="3009" w:type="dxa"/>
            <w:shd w:val="clear" w:color="auto" w:fill="auto"/>
            <w:vAlign w:val="center"/>
          </w:tcPr>
          <w:p w14:paraId="16F6ABF5" w14:textId="7FCCE8F6" w:rsidR="002F0740" w:rsidRPr="002C21B8" w:rsidRDefault="002F0740" w:rsidP="00D418D8">
            <w:pPr>
              <w:spacing w:before="20" w:afterLines="20" w:after="48" w:line="240" w:lineRule="auto"/>
              <w:rPr>
                <w:sz w:val="18"/>
                <w:szCs w:val="18"/>
                <w:lang w:val="fr-FR"/>
              </w:rPr>
            </w:pPr>
            <w:r w:rsidRPr="002C21B8">
              <w:rPr>
                <w:sz w:val="18"/>
                <w:szCs w:val="18"/>
              </w:rPr>
              <w:fldChar w:fldCharType="begin">
                <w:fldData xml:space="preserve">PEVuZE5vdGU+PENpdGU+PEF1dGhvcj5DaGluPC9BdXRob3I+PFllYXI+MjAxNjwvWWVhcj48UmVj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</w:fldData>
              </w:fldChar>
            </w:r>
            <w:r w:rsidR="000215B0" w:rsidRPr="002C21B8">
              <w:rPr>
                <w:sz w:val="18"/>
                <w:szCs w:val="18"/>
              </w:rPr>
              <w:instrText xml:space="preserve"> ADDIN EN.CITE </w:instrText>
            </w:r>
            <w:r w:rsidR="000215B0" w:rsidRPr="002C21B8">
              <w:rPr>
                <w:sz w:val="18"/>
                <w:szCs w:val="18"/>
              </w:rPr>
              <w:fldChar w:fldCharType="begin">
                <w:fldData xml:space="preserve">PEVuZE5vdGU+PENpdGU+PEF1dGhvcj5DaGluPC9BdXRob3I+PFllYXI+MjAxNjwvWWVhcj48UmVj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</w:fldData>
              </w:fldChar>
            </w:r>
            <w:r w:rsidR="000215B0" w:rsidRPr="002C21B8">
              <w:rPr>
                <w:sz w:val="18"/>
                <w:szCs w:val="18"/>
              </w:rPr>
              <w:instrText xml:space="preserve"> ADDIN EN.CITE.DATA </w:instrText>
            </w:r>
            <w:r w:rsidR="000215B0" w:rsidRPr="002C21B8">
              <w:rPr>
                <w:sz w:val="18"/>
                <w:szCs w:val="18"/>
              </w:rPr>
            </w:r>
            <w:r w:rsidR="000215B0"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(Arshad</w:t>
            </w:r>
            <w:r w:rsidRPr="002C21B8">
              <w:rPr>
                <w:i/>
                <w:noProof/>
                <w:sz w:val="18"/>
                <w:szCs w:val="18"/>
                <w:lang w:val="fr-FR"/>
              </w:rPr>
              <w:t xml:space="preserve"> et al.</w:t>
            </w:r>
            <w:r w:rsidRPr="002C21B8">
              <w:rPr>
                <w:noProof/>
                <w:sz w:val="18"/>
                <w:szCs w:val="18"/>
                <w:lang w:val="fr-FR"/>
              </w:rPr>
              <w:t>, 2021; Chin</w:t>
            </w:r>
            <w:r w:rsidRPr="002C21B8">
              <w:rPr>
                <w:i/>
                <w:noProof/>
                <w:sz w:val="18"/>
                <w:szCs w:val="18"/>
                <w:lang w:val="fr-FR"/>
              </w:rPr>
              <w:t xml:space="preserve"> et al.</w:t>
            </w:r>
            <w:r w:rsidRPr="002C21B8">
              <w:rPr>
                <w:noProof/>
                <w:sz w:val="18"/>
                <w:szCs w:val="18"/>
                <w:lang w:val="fr-FR"/>
              </w:rPr>
              <w:t>, 2016; Mahmoud</w:t>
            </w:r>
            <w:r w:rsidRPr="002C21B8">
              <w:rPr>
                <w:i/>
                <w:noProof/>
                <w:sz w:val="18"/>
                <w:szCs w:val="18"/>
                <w:lang w:val="fr-FR"/>
              </w:rPr>
              <w:t xml:space="preserve"> et al.</w:t>
            </w:r>
            <w:r w:rsidRPr="002C21B8">
              <w:rPr>
                <w:noProof/>
                <w:sz w:val="18"/>
                <w:szCs w:val="18"/>
                <w:lang w:val="fr-FR"/>
              </w:rPr>
              <w:t>, 2023; Wilkinson</w:t>
            </w:r>
            <w:r w:rsidRPr="002C21B8">
              <w:rPr>
                <w:i/>
                <w:noProof/>
                <w:sz w:val="18"/>
                <w:szCs w:val="18"/>
                <w:lang w:val="fr-FR"/>
              </w:rPr>
              <w:t xml:space="preserve"> et al.</w:t>
            </w:r>
            <w:r w:rsidRPr="002C21B8">
              <w:rPr>
                <w:noProof/>
                <w:sz w:val="18"/>
                <w:szCs w:val="18"/>
                <w:lang w:val="fr-FR"/>
              </w:rPr>
              <w:t>, 2019)</w:t>
            </w:r>
            <w:r w:rsidRPr="002C21B8">
              <w:rPr>
                <w:sz w:val="18"/>
                <w:szCs w:val="18"/>
              </w:rPr>
              <w:fldChar w:fldCharType="end"/>
            </w:r>
          </w:p>
        </w:tc>
      </w:tr>
      <w:tr w:rsidR="002F0740" w:rsidRPr="002C21B8" w14:paraId="33244C0A" w14:textId="77777777" w:rsidTr="0063596A">
        <w:tc>
          <w:tcPr>
            <w:tcW w:w="4678" w:type="dxa"/>
            <w:shd w:val="clear" w:color="auto" w:fill="auto"/>
          </w:tcPr>
          <w:p w14:paraId="0EAAF7F7"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2.3 Disease features</w:t>
            </w:r>
          </w:p>
        </w:tc>
        <w:tc>
          <w:tcPr>
            <w:tcW w:w="2977" w:type="dxa"/>
            <w:shd w:val="clear" w:color="auto" w:fill="auto"/>
          </w:tcPr>
          <w:p w14:paraId="4FF77D12"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6485FA2C"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02DB53A3"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6195A6B0" w14:textId="77777777" w:rsidTr="0063596A">
        <w:tc>
          <w:tcPr>
            <w:tcW w:w="4678" w:type="dxa"/>
            <w:shd w:val="clear" w:color="auto" w:fill="auto"/>
          </w:tcPr>
          <w:p w14:paraId="1285DB7A"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2.4 Frailty</w:t>
            </w:r>
          </w:p>
        </w:tc>
        <w:tc>
          <w:tcPr>
            <w:tcW w:w="2977" w:type="dxa"/>
            <w:shd w:val="clear" w:color="auto" w:fill="auto"/>
          </w:tcPr>
          <w:p w14:paraId="34419882" w14:textId="77777777" w:rsidR="002F0740" w:rsidRPr="002C21B8" w:rsidRDefault="002F0740" w:rsidP="00D418D8">
            <w:pPr>
              <w:spacing w:before="20" w:afterLines="20" w:after="48" w:line="240" w:lineRule="auto"/>
              <w:rPr>
                <w:sz w:val="18"/>
                <w:szCs w:val="18"/>
              </w:rPr>
            </w:pPr>
            <w:r w:rsidRPr="002C21B8">
              <w:rPr>
                <w:sz w:val="18"/>
                <w:szCs w:val="18"/>
              </w:rPr>
              <w:t>Nursing home residency or frailty</w:t>
            </w:r>
          </w:p>
        </w:tc>
        <w:tc>
          <w:tcPr>
            <w:tcW w:w="3402" w:type="dxa"/>
            <w:shd w:val="clear" w:color="auto" w:fill="auto"/>
          </w:tcPr>
          <w:p w14:paraId="53848E1D" w14:textId="77777777" w:rsidR="002F0740" w:rsidRPr="002C21B8" w:rsidRDefault="002F0740" w:rsidP="00D418D8">
            <w:pPr>
              <w:spacing w:before="20" w:afterLines="20" w:after="48" w:line="240" w:lineRule="auto"/>
              <w:rPr>
                <w:sz w:val="18"/>
                <w:szCs w:val="18"/>
              </w:rPr>
            </w:pPr>
            <w:r w:rsidRPr="002C21B8">
              <w:rPr>
                <w:sz w:val="18"/>
                <w:szCs w:val="18"/>
              </w:rPr>
              <w:t>Lower prescribing rate observed</w:t>
            </w:r>
          </w:p>
        </w:tc>
        <w:tc>
          <w:tcPr>
            <w:tcW w:w="3009" w:type="dxa"/>
            <w:shd w:val="clear" w:color="auto" w:fill="auto"/>
          </w:tcPr>
          <w:p w14:paraId="1F4CD50A" w14:textId="5E4A5BCD" w:rsidR="002F0740" w:rsidRPr="002C21B8" w:rsidRDefault="002F0740" w:rsidP="00D418D8">
            <w:pPr>
              <w:spacing w:before="20" w:afterLines="20" w:after="48" w:line="240" w:lineRule="auto"/>
              <w:rPr>
                <w:sz w:val="18"/>
                <w:szCs w:val="18"/>
                <w:lang w:val="fr-FR"/>
              </w:rPr>
            </w:pPr>
            <w:r w:rsidRPr="002C21B8">
              <w:rPr>
                <w:sz w:val="18"/>
                <w:szCs w:val="18"/>
              </w:rPr>
              <w:fldChar w:fldCharType="begin">
                <w:fldData xml:space="preserve">PEVuZE5vdGU+PENpdGU+PEF1dGhvcj5Qcm9pZXR0aTwvQXV0aG9yPjxZZWFyPjIwMjI8L1llYXI+
PFJlY051bT4xNTIzNDwvUmVjTnVtPjxEaXNwbGF5VGV4dD4oT3FhYiwgUG91cm5hemFyaSBhbmQg
U2hlbGRvbiwgMjAxODsgUHJlc3RhPHN0eWxlIGZhY2U9Iml0YWxpYyI+IGV0IGFsLjwvc3R5bGU+
LCAyMDIyOyBQcm9pZXR0aTxzdHlsZSBmYWNlPSJpdGFsaWMiPiBldCBhbC48L3N0eWxlPiwgMjAy
MjsgV2lsa2luc29uPHN0eWxlIGZhY2U9Iml0YWxpYyI+IGV0IGFsLjwvc3R5bGU+LCAyMDE5KTwv
RGlzcGxheVRleHQ+PHJlY29yZD48cmVjLW51bWJlcj4xNTIzNDwvcmVjLW51bWJlcj48Zm9yZWln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bHM+PC9yZWNvcmQ+PC9DaXRlPjxDaXRlPjxBdXRob3I+V2lsa2luc29uPC9BdXRob3I+PFllYXI+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</w:fldData>
              </w:fldChar>
            </w:r>
            <w:r w:rsidR="005D7DBC" w:rsidRPr="002C21B8">
              <w:rPr>
                <w:sz w:val="18"/>
                <w:szCs w:val="18"/>
              </w:rPr>
              <w:instrText xml:space="preserve"> ADDIN EN.CITE </w:instrText>
            </w:r>
            <w:r w:rsidR="005D7DBC" w:rsidRPr="002C21B8">
              <w:rPr>
                <w:sz w:val="18"/>
                <w:szCs w:val="18"/>
              </w:rPr>
              <w:fldChar w:fldCharType="begin">
                <w:fldData xml:space="preserve">PEVuZE5vdGU+PENpdGU+PEF1dGhvcj5Qcm9pZXR0aTwvQXV0aG9yPjxZZWFyPjIwMjI8L1llYXI+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</w:fldData>
              </w:fldChar>
            </w:r>
            <w:r w:rsidR="005D7DBC" w:rsidRPr="002C21B8">
              <w:rPr>
                <w:sz w:val="18"/>
                <w:szCs w:val="18"/>
              </w:rPr>
              <w:instrText xml:space="preserve"> ADDIN EN.CITE.DATA </w:instrText>
            </w:r>
            <w:r w:rsidR="005D7DBC" w:rsidRPr="002C21B8">
              <w:rPr>
                <w:sz w:val="18"/>
                <w:szCs w:val="18"/>
              </w:rPr>
            </w:r>
            <w:r w:rsidR="005D7DBC"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(Oqab, Pournazari and Sheldon, 2018; Presta</w:t>
            </w:r>
            <w:r w:rsidRPr="002C21B8">
              <w:rPr>
                <w:i/>
                <w:noProof/>
                <w:sz w:val="18"/>
                <w:szCs w:val="18"/>
                <w:lang w:val="fr-FR"/>
              </w:rPr>
              <w:t xml:space="preserve"> et al.</w:t>
            </w:r>
            <w:r w:rsidRPr="002C21B8">
              <w:rPr>
                <w:noProof/>
                <w:sz w:val="18"/>
                <w:szCs w:val="18"/>
                <w:lang w:val="fr-FR"/>
              </w:rPr>
              <w:t>, 2022; Proietti</w:t>
            </w:r>
            <w:r w:rsidRPr="002C21B8">
              <w:rPr>
                <w:i/>
                <w:noProof/>
                <w:sz w:val="18"/>
                <w:szCs w:val="18"/>
                <w:lang w:val="fr-FR"/>
              </w:rPr>
              <w:t xml:space="preserve"> et al.</w:t>
            </w:r>
            <w:r w:rsidRPr="002C21B8">
              <w:rPr>
                <w:noProof/>
                <w:sz w:val="18"/>
                <w:szCs w:val="18"/>
                <w:lang w:val="fr-FR"/>
              </w:rPr>
              <w:t>, 2022; Wilkinson</w:t>
            </w:r>
            <w:r w:rsidRPr="002C21B8">
              <w:rPr>
                <w:i/>
                <w:noProof/>
                <w:sz w:val="18"/>
                <w:szCs w:val="18"/>
                <w:lang w:val="fr-FR"/>
              </w:rPr>
              <w:t xml:space="preserve"> et al.</w:t>
            </w:r>
            <w:r w:rsidRPr="002C21B8">
              <w:rPr>
                <w:noProof/>
                <w:sz w:val="18"/>
                <w:szCs w:val="18"/>
                <w:lang w:val="fr-FR"/>
              </w:rPr>
              <w:t>, 2019)</w:t>
            </w:r>
            <w:r w:rsidRPr="002C21B8">
              <w:rPr>
                <w:sz w:val="18"/>
                <w:szCs w:val="18"/>
              </w:rPr>
              <w:fldChar w:fldCharType="end"/>
            </w:r>
          </w:p>
        </w:tc>
      </w:tr>
      <w:tr w:rsidR="002F0740" w:rsidRPr="002C21B8" w14:paraId="77B373B9" w14:textId="77777777" w:rsidTr="0063596A">
        <w:tc>
          <w:tcPr>
            <w:tcW w:w="4678" w:type="dxa"/>
            <w:shd w:val="clear" w:color="auto" w:fill="auto"/>
          </w:tcPr>
          <w:p w14:paraId="4528A7C5"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2.5 Healthcare professional identity</w:t>
            </w:r>
          </w:p>
        </w:tc>
        <w:tc>
          <w:tcPr>
            <w:tcW w:w="2977" w:type="dxa"/>
            <w:shd w:val="clear" w:color="auto" w:fill="auto"/>
          </w:tcPr>
          <w:p w14:paraId="43B917BE"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2ED0B26F"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175A2112"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03E281F" w14:textId="77777777" w:rsidTr="0063596A">
        <w:tc>
          <w:tcPr>
            <w:tcW w:w="4678" w:type="dxa"/>
            <w:tcBorders>
              <w:bottom w:val="single" w:sz="6" w:space="0" w:color="000000" w:themeColor="text1"/>
            </w:tcBorders>
            <w:shd w:val="clear" w:color="auto" w:fill="auto"/>
          </w:tcPr>
          <w:p w14:paraId="3A6B6549"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2.6 Objective measures</w:t>
            </w:r>
          </w:p>
        </w:tc>
        <w:tc>
          <w:tcPr>
            <w:tcW w:w="2977" w:type="dxa"/>
            <w:tcBorders>
              <w:bottom w:val="single" w:sz="6" w:space="0" w:color="000000" w:themeColor="text1"/>
            </w:tcBorders>
            <w:shd w:val="clear" w:color="auto" w:fill="auto"/>
          </w:tcPr>
          <w:p w14:paraId="45197CB5" w14:textId="77777777" w:rsidR="002F0740" w:rsidRPr="002C21B8" w:rsidRDefault="002F0740" w:rsidP="00D418D8">
            <w:pPr>
              <w:spacing w:before="20" w:afterLines="20" w:after="48" w:line="240" w:lineRule="auto"/>
              <w:rPr>
                <w:sz w:val="18"/>
                <w:szCs w:val="18"/>
              </w:rPr>
            </w:pPr>
            <w:r w:rsidRPr="002C21B8">
              <w:rPr>
                <w:sz w:val="18"/>
                <w:szCs w:val="18"/>
              </w:rPr>
              <w:t>High markers of disease activity</w:t>
            </w:r>
          </w:p>
        </w:tc>
        <w:tc>
          <w:tcPr>
            <w:tcW w:w="3402" w:type="dxa"/>
            <w:tcBorders>
              <w:bottom w:val="single" w:sz="6" w:space="0" w:color="000000" w:themeColor="text1"/>
            </w:tcBorders>
            <w:shd w:val="clear" w:color="auto" w:fill="auto"/>
          </w:tcPr>
          <w:p w14:paraId="7DD207C3" w14:textId="77777777" w:rsidR="002F0740" w:rsidRPr="002C21B8" w:rsidRDefault="002F0740" w:rsidP="00D418D8">
            <w:pPr>
              <w:spacing w:before="20" w:afterLines="20" w:after="48" w:line="240" w:lineRule="auto"/>
              <w:rPr>
                <w:sz w:val="18"/>
                <w:szCs w:val="18"/>
              </w:rPr>
            </w:pPr>
            <w:r w:rsidRPr="002C21B8">
              <w:rPr>
                <w:sz w:val="18"/>
                <w:szCs w:val="18"/>
              </w:rPr>
              <w:t>Higher prescribing rate observed</w:t>
            </w:r>
          </w:p>
        </w:tc>
        <w:tc>
          <w:tcPr>
            <w:tcW w:w="3009" w:type="dxa"/>
            <w:tcBorders>
              <w:bottom w:val="single" w:sz="6" w:space="0" w:color="000000" w:themeColor="text1"/>
            </w:tcBorders>
            <w:shd w:val="clear" w:color="auto" w:fill="auto"/>
          </w:tcPr>
          <w:p w14:paraId="7D80C623" w14:textId="59260E53" w:rsidR="002F0740" w:rsidRPr="002C21B8" w:rsidRDefault="002F0740" w:rsidP="00D418D8">
            <w:pPr>
              <w:spacing w:before="20" w:afterLines="20" w:after="48" w:line="240" w:lineRule="auto"/>
              <w:rPr>
                <w:sz w:val="18"/>
                <w:szCs w:val="18"/>
                <w:lang w:val="fr-FR"/>
              </w:rPr>
            </w:pPr>
            <w:r w:rsidRPr="002C21B8">
              <w:rPr>
                <w:sz w:val="18"/>
                <w:szCs w:val="18"/>
              </w:rPr>
              <w:fldChar w:fldCharType="begin">
                <w:fldData xml:space="preserve">PEVuZE5vdGU+PENpdGU+PEF1dGhvcj5NYWhtb3VkPC9BdXRob3I+PFllYXI+MjAyMzwvWWVhcj48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</w:fldData>
              </w:fldChar>
            </w:r>
            <w:r w:rsidR="00590E88" w:rsidRPr="002C21B8">
              <w:rPr>
                <w:sz w:val="18"/>
                <w:szCs w:val="18"/>
              </w:rPr>
              <w:instrText xml:space="preserve"> ADDIN EN.CITE </w:instrText>
            </w:r>
            <w:r w:rsidR="00590E88" w:rsidRPr="002C21B8">
              <w:rPr>
                <w:sz w:val="18"/>
                <w:szCs w:val="18"/>
              </w:rPr>
              <w:fldChar w:fldCharType="begin">
                <w:fldData xml:space="preserve">PEVuZE5vdGU+PENpdGU+PEF1dGhvcj5NYWhtb3VkPC9BdXRob3I+PFllYXI+MjAyMzwvWWVhcj48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</w:fldData>
              </w:fldChar>
            </w:r>
            <w:r w:rsidR="00590E88" w:rsidRPr="002C21B8">
              <w:rPr>
                <w:sz w:val="18"/>
                <w:szCs w:val="18"/>
              </w:rPr>
              <w:instrText xml:space="preserve"> ADDIN EN.CITE.DATA </w:instrText>
            </w:r>
            <w:r w:rsidR="00590E88" w:rsidRPr="002C21B8">
              <w:rPr>
                <w:sz w:val="18"/>
                <w:szCs w:val="18"/>
              </w:rPr>
            </w:r>
            <w:r w:rsidR="00590E88"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lang w:val="fr-FR"/>
              </w:rPr>
              <w:t>(Iudici</w:t>
            </w:r>
            <w:r w:rsidRPr="002C21B8">
              <w:rPr>
                <w:i/>
                <w:noProof/>
                <w:sz w:val="18"/>
                <w:szCs w:val="18"/>
                <w:lang w:val="fr-FR"/>
              </w:rPr>
              <w:t xml:space="preserve"> et al.</w:t>
            </w:r>
            <w:r w:rsidRPr="002C21B8">
              <w:rPr>
                <w:noProof/>
                <w:sz w:val="18"/>
                <w:szCs w:val="18"/>
                <w:lang w:val="fr-FR"/>
              </w:rPr>
              <w:t>, 2014; Mahmoud</w:t>
            </w:r>
            <w:r w:rsidRPr="002C21B8">
              <w:rPr>
                <w:i/>
                <w:noProof/>
                <w:sz w:val="18"/>
                <w:szCs w:val="18"/>
                <w:lang w:val="fr-FR"/>
              </w:rPr>
              <w:t xml:space="preserve"> et al.</w:t>
            </w:r>
            <w:r w:rsidRPr="002C21B8">
              <w:rPr>
                <w:noProof/>
                <w:sz w:val="18"/>
                <w:szCs w:val="18"/>
                <w:lang w:val="fr-FR"/>
              </w:rPr>
              <w:t>, 2023; Milman</w:t>
            </w:r>
            <w:r w:rsidRPr="002C21B8">
              <w:rPr>
                <w:i/>
                <w:noProof/>
                <w:sz w:val="18"/>
                <w:szCs w:val="18"/>
                <w:lang w:val="fr-FR"/>
              </w:rPr>
              <w:t xml:space="preserve"> et al.</w:t>
            </w:r>
            <w:r w:rsidRPr="002C21B8">
              <w:rPr>
                <w:noProof/>
                <w:sz w:val="18"/>
                <w:szCs w:val="18"/>
                <w:lang w:val="fr-FR"/>
              </w:rPr>
              <w:t>, 2018)</w:t>
            </w:r>
            <w:r w:rsidRPr="002C21B8">
              <w:rPr>
                <w:sz w:val="18"/>
                <w:szCs w:val="18"/>
              </w:rPr>
              <w:fldChar w:fldCharType="end"/>
            </w:r>
          </w:p>
        </w:tc>
      </w:tr>
      <w:tr w:rsidR="002F0740" w:rsidRPr="002C21B8" w14:paraId="468CB741" w14:textId="77777777" w:rsidTr="006B7636">
        <w:trPr>
          <w:trHeight w:val="137"/>
        </w:trPr>
        <w:tc>
          <w:tcPr>
            <w:tcW w:w="14066" w:type="dxa"/>
            <w:gridSpan w:val="4"/>
            <w:tcBorders>
              <w:top w:val="single" w:sz="6" w:space="0" w:color="000000" w:themeColor="text1"/>
            </w:tcBorders>
            <w:shd w:val="clear" w:color="auto" w:fill="F2F2F2" w:themeFill="background1" w:themeFillShade="F2"/>
          </w:tcPr>
          <w:p w14:paraId="7B960D64" w14:textId="77777777" w:rsidR="002F0740" w:rsidRPr="002C21B8" w:rsidRDefault="002F0740" w:rsidP="00D418D8">
            <w:pPr>
              <w:spacing w:before="20" w:afterLines="20" w:after="48" w:line="240" w:lineRule="auto"/>
              <w:rPr>
                <w:b/>
                <w:bCs/>
                <w:sz w:val="20"/>
                <w:szCs w:val="20"/>
              </w:rPr>
            </w:pPr>
            <w:r w:rsidRPr="002C21B8">
              <w:rPr>
                <w:b/>
                <w:bCs/>
                <w:sz w:val="20"/>
                <w:szCs w:val="20"/>
              </w:rPr>
              <w:t xml:space="preserve">3. Clinical inertia </w:t>
            </w:r>
          </w:p>
        </w:tc>
      </w:tr>
      <w:tr w:rsidR="002F0740" w:rsidRPr="002C21B8" w14:paraId="6E8FE6C2" w14:textId="77777777" w:rsidTr="0063596A">
        <w:tc>
          <w:tcPr>
            <w:tcW w:w="4678" w:type="dxa"/>
            <w:shd w:val="clear" w:color="auto" w:fill="auto"/>
          </w:tcPr>
          <w:p w14:paraId="1F5F111B"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3.1 Inadequate healthcare professional knowledge</w:t>
            </w:r>
          </w:p>
        </w:tc>
        <w:tc>
          <w:tcPr>
            <w:tcW w:w="2977" w:type="dxa"/>
            <w:shd w:val="clear" w:color="auto" w:fill="auto"/>
          </w:tcPr>
          <w:p w14:paraId="1D200025" w14:textId="77777777" w:rsidR="002F0740" w:rsidRPr="002C21B8" w:rsidRDefault="002F0740" w:rsidP="00D418D8">
            <w:pPr>
              <w:spacing w:before="20" w:afterLines="20" w:after="48" w:line="240" w:lineRule="auto"/>
              <w:rPr>
                <w:sz w:val="18"/>
                <w:szCs w:val="18"/>
              </w:rPr>
            </w:pPr>
            <w:r w:rsidRPr="002C21B8">
              <w:rPr>
                <w:sz w:val="18"/>
                <w:szCs w:val="18"/>
              </w:rPr>
              <w:t>Prescribers lack of knowledge</w:t>
            </w:r>
          </w:p>
        </w:tc>
        <w:tc>
          <w:tcPr>
            <w:tcW w:w="3402" w:type="dxa"/>
            <w:shd w:val="clear" w:color="auto" w:fill="auto"/>
          </w:tcPr>
          <w:p w14:paraId="6FB23BEB" w14:textId="77777777" w:rsidR="002F0740" w:rsidRPr="002C21B8" w:rsidRDefault="002F0740" w:rsidP="00D418D8">
            <w:pPr>
              <w:spacing w:before="20" w:afterLines="20" w:after="48" w:line="240" w:lineRule="auto"/>
              <w:rPr>
                <w:sz w:val="18"/>
                <w:szCs w:val="18"/>
              </w:rPr>
            </w:pPr>
            <w:r w:rsidRPr="002C21B8">
              <w:rPr>
                <w:sz w:val="18"/>
                <w:szCs w:val="18"/>
              </w:rPr>
              <w:t>Lower prescribing rate observed</w:t>
            </w:r>
          </w:p>
        </w:tc>
        <w:tc>
          <w:tcPr>
            <w:tcW w:w="3009" w:type="dxa"/>
            <w:shd w:val="clear" w:color="auto" w:fill="auto"/>
          </w:tcPr>
          <w:p w14:paraId="23B19438" w14:textId="6B2892C6" w:rsidR="002F0740" w:rsidRPr="002C21B8" w:rsidRDefault="002F0740" w:rsidP="00D418D8">
            <w:pPr>
              <w:spacing w:before="20" w:afterLines="20" w:after="48" w:line="240" w:lineRule="auto"/>
              <w:rPr>
                <w:sz w:val="18"/>
                <w:szCs w:val="18"/>
              </w:rPr>
            </w:pPr>
            <w:r w:rsidRPr="002C21B8">
              <w:rPr>
                <w:sz w:val="18"/>
                <w:szCs w:val="18"/>
              </w:rPr>
              <w:fldChar w:fldCharType="begin">
                <w:fldData xml:space="preserve">PEVuZE5vdGU+PENpdGU+PEF1dGhvcj5BcnNoYWQ8L0F1dGhvcj48WWVhcj4yMDIxPC9ZZWFyPjxS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==
</w:fldData>
              </w:fldChar>
            </w:r>
            <w:r w:rsidR="00590E88" w:rsidRPr="002C21B8">
              <w:rPr>
                <w:sz w:val="18"/>
                <w:szCs w:val="18"/>
              </w:rPr>
              <w:instrText xml:space="preserve"> ADDIN EN.CITE </w:instrText>
            </w:r>
            <w:r w:rsidR="00590E88" w:rsidRPr="002C21B8">
              <w:rPr>
                <w:sz w:val="18"/>
                <w:szCs w:val="18"/>
              </w:rPr>
              <w:fldChar w:fldCharType="begin">
                <w:fldData xml:space="preserve">PEVuZE5vdGU+PENpdGU+PEF1dGhvcj5BcnNoYWQ8L0F1dGhvcj48WWVhcj4yMDIxPC9ZZWFyPjxS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==
</w:fldData>
              </w:fldChar>
            </w:r>
            <w:r w:rsidR="00590E88" w:rsidRPr="002C21B8">
              <w:rPr>
                <w:sz w:val="18"/>
                <w:szCs w:val="18"/>
              </w:rPr>
              <w:instrText xml:space="preserve"> ADDIN EN.CITE.DATA </w:instrText>
            </w:r>
            <w:r w:rsidR="00590E88" w:rsidRPr="002C21B8">
              <w:rPr>
                <w:sz w:val="18"/>
                <w:szCs w:val="18"/>
              </w:rPr>
            </w:r>
            <w:r w:rsidR="00590E88" w:rsidRPr="002C21B8">
              <w:rPr>
                <w:sz w:val="18"/>
                <w:szCs w:val="18"/>
              </w:rPr>
              <w:fldChar w:fldCharType="end"/>
            </w:r>
            <w:r w:rsidRPr="002C21B8">
              <w:rPr>
                <w:sz w:val="18"/>
                <w:szCs w:val="18"/>
              </w:rPr>
            </w:r>
            <w:r w:rsidRPr="002C21B8">
              <w:rPr>
                <w:sz w:val="18"/>
                <w:szCs w:val="18"/>
              </w:rPr>
              <w:fldChar w:fldCharType="separate"/>
            </w:r>
            <w:r w:rsidRPr="002C21B8">
              <w:rPr>
                <w:noProof/>
                <w:sz w:val="18"/>
                <w:szCs w:val="18"/>
              </w:rPr>
              <w:t>(Arshad</w:t>
            </w:r>
            <w:r w:rsidRPr="002C21B8">
              <w:rPr>
                <w:i/>
                <w:noProof/>
                <w:sz w:val="18"/>
                <w:szCs w:val="18"/>
              </w:rPr>
              <w:t xml:space="preserve"> et al.</w:t>
            </w:r>
            <w:r w:rsidRPr="002C21B8">
              <w:rPr>
                <w:noProof/>
                <w:sz w:val="18"/>
                <w:szCs w:val="18"/>
              </w:rPr>
              <w:t>, 2021; Milman</w:t>
            </w:r>
            <w:r w:rsidRPr="002C21B8">
              <w:rPr>
                <w:i/>
                <w:noProof/>
                <w:sz w:val="18"/>
                <w:szCs w:val="18"/>
              </w:rPr>
              <w:t xml:space="preserve"> et al.</w:t>
            </w:r>
            <w:r w:rsidRPr="002C21B8">
              <w:rPr>
                <w:noProof/>
                <w:sz w:val="18"/>
                <w:szCs w:val="18"/>
              </w:rPr>
              <w:t>, 2018)</w:t>
            </w:r>
            <w:r w:rsidRPr="002C21B8">
              <w:rPr>
                <w:sz w:val="18"/>
                <w:szCs w:val="18"/>
              </w:rPr>
              <w:fldChar w:fldCharType="end"/>
            </w:r>
          </w:p>
        </w:tc>
      </w:tr>
      <w:tr w:rsidR="002F0740" w:rsidRPr="002C21B8" w14:paraId="6306D6C2" w14:textId="77777777" w:rsidTr="0063596A">
        <w:tc>
          <w:tcPr>
            <w:tcW w:w="4678" w:type="dxa"/>
            <w:shd w:val="clear" w:color="auto" w:fill="auto"/>
          </w:tcPr>
          <w:p w14:paraId="21948615"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3.2 Prescriber experience</w:t>
            </w:r>
          </w:p>
        </w:tc>
        <w:tc>
          <w:tcPr>
            <w:tcW w:w="2977" w:type="dxa"/>
            <w:shd w:val="clear" w:color="auto" w:fill="auto"/>
          </w:tcPr>
          <w:p w14:paraId="59E892CB" w14:textId="77777777" w:rsidR="002F0740" w:rsidRPr="002C21B8" w:rsidRDefault="002F0740" w:rsidP="00D418D8">
            <w:pPr>
              <w:spacing w:before="20" w:afterLines="20" w:after="48" w:line="240" w:lineRule="auto"/>
              <w:rPr>
                <w:sz w:val="18"/>
                <w:szCs w:val="18"/>
              </w:rPr>
            </w:pPr>
            <w:r w:rsidRPr="002C21B8">
              <w:rPr>
                <w:sz w:val="18"/>
                <w:szCs w:val="18"/>
              </w:rPr>
              <w:t>More specialised training</w:t>
            </w:r>
          </w:p>
        </w:tc>
        <w:tc>
          <w:tcPr>
            <w:tcW w:w="3402" w:type="dxa"/>
            <w:shd w:val="clear" w:color="auto" w:fill="auto"/>
          </w:tcPr>
          <w:p w14:paraId="4A54544E" w14:textId="77777777" w:rsidR="002F0740" w:rsidRPr="002C21B8" w:rsidRDefault="002F0740" w:rsidP="00D418D8">
            <w:pPr>
              <w:spacing w:before="20" w:afterLines="20" w:after="48" w:line="240" w:lineRule="auto"/>
              <w:rPr>
                <w:sz w:val="18"/>
                <w:szCs w:val="18"/>
              </w:rPr>
            </w:pPr>
            <w:r w:rsidRPr="002C21B8">
              <w:rPr>
                <w:sz w:val="18"/>
                <w:szCs w:val="18"/>
              </w:rPr>
              <w:t>Higher prescribing rate observed</w:t>
            </w:r>
          </w:p>
        </w:tc>
        <w:tc>
          <w:tcPr>
            <w:tcW w:w="3009" w:type="dxa"/>
            <w:shd w:val="clear" w:color="auto" w:fill="auto"/>
          </w:tcPr>
          <w:p w14:paraId="20331705" w14:textId="23C44DF4" w:rsidR="002F0740" w:rsidRPr="002C21B8" w:rsidRDefault="002F0740" w:rsidP="00D418D8">
            <w:pPr>
              <w:spacing w:before="20" w:afterLines="20" w:after="48" w:line="240" w:lineRule="auto"/>
              <w:rPr>
                <w:sz w:val="18"/>
                <w:szCs w:val="18"/>
              </w:rPr>
            </w:pPr>
            <w:r w:rsidRPr="002C21B8">
              <w:rPr>
                <w:sz w:val="18"/>
                <w:szCs w:val="18"/>
              </w:rPr>
              <w:fldChar w:fldCharType="begin"/>
            </w:r>
            <w:r w:rsidR="00763983" w:rsidRPr="002C21B8">
              <w:rPr>
                <w:sz w:val="18"/>
                <w:szCs w:val="18"/>
              </w:rPr>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rPr>
                <w:sz w:val="18"/>
                <w:szCs w:val="18"/>
              </w:rPr>
              <w:fldChar w:fldCharType="separate"/>
            </w:r>
            <w:r w:rsidRPr="002C21B8">
              <w:rPr>
                <w:noProof/>
                <w:sz w:val="18"/>
                <w:szCs w:val="18"/>
              </w:rPr>
              <w:t>(Iudici</w:t>
            </w:r>
            <w:r w:rsidRPr="002C21B8">
              <w:rPr>
                <w:i/>
                <w:noProof/>
                <w:sz w:val="18"/>
                <w:szCs w:val="18"/>
              </w:rPr>
              <w:t xml:space="preserve"> et al.</w:t>
            </w:r>
            <w:r w:rsidRPr="002C21B8">
              <w:rPr>
                <w:noProof/>
                <w:sz w:val="18"/>
                <w:szCs w:val="18"/>
              </w:rPr>
              <w:t>, 2014)</w:t>
            </w:r>
            <w:r w:rsidRPr="002C21B8">
              <w:rPr>
                <w:sz w:val="18"/>
                <w:szCs w:val="18"/>
              </w:rPr>
              <w:fldChar w:fldCharType="end"/>
            </w:r>
          </w:p>
        </w:tc>
      </w:tr>
      <w:tr w:rsidR="002F0740" w:rsidRPr="002C21B8" w14:paraId="41458CDE" w14:textId="77777777" w:rsidTr="0063596A">
        <w:tc>
          <w:tcPr>
            <w:tcW w:w="4678" w:type="dxa"/>
            <w:shd w:val="clear" w:color="auto" w:fill="auto"/>
          </w:tcPr>
          <w:p w14:paraId="1869B64F" w14:textId="77777777" w:rsidR="002F0740" w:rsidRPr="002C21B8" w:rsidRDefault="002F0740" w:rsidP="00D418D8">
            <w:pPr>
              <w:spacing w:before="20" w:afterLines="20" w:after="48" w:line="240" w:lineRule="auto"/>
              <w:ind w:left="327"/>
              <w:rPr>
                <w:b/>
                <w:bCs/>
                <w:sz w:val="18"/>
                <w:szCs w:val="18"/>
              </w:rPr>
            </w:pPr>
          </w:p>
        </w:tc>
        <w:tc>
          <w:tcPr>
            <w:tcW w:w="2977" w:type="dxa"/>
            <w:shd w:val="clear" w:color="auto" w:fill="auto"/>
          </w:tcPr>
          <w:p w14:paraId="2A83A268" w14:textId="77777777" w:rsidR="002F0740" w:rsidRPr="002C21B8" w:rsidRDefault="002F0740" w:rsidP="00D418D8">
            <w:pPr>
              <w:spacing w:before="20" w:afterLines="20" w:after="48" w:line="240" w:lineRule="auto"/>
              <w:rPr>
                <w:sz w:val="18"/>
                <w:szCs w:val="18"/>
              </w:rPr>
            </w:pPr>
            <w:r w:rsidRPr="002C21B8">
              <w:rPr>
                <w:sz w:val="18"/>
                <w:szCs w:val="18"/>
              </w:rPr>
              <w:t>Certain specialities</w:t>
            </w:r>
          </w:p>
        </w:tc>
        <w:tc>
          <w:tcPr>
            <w:tcW w:w="3402" w:type="dxa"/>
            <w:shd w:val="clear" w:color="auto" w:fill="auto"/>
          </w:tcPr>
          <w:p w14:paraId="16FA41FB" w14:textId="77777777" w:rsidR="002F0740" w:rsidRPr="002C21B8" w:rsidRDefault="002F0740" w:rsidP="00D418D8">
            <w:pPr>
              <w:spacing w:before="20" w:afterLines="20" w:after="48" w:line="240" w:lineRule="auto"/>
              <w:rPr>
                <w:sz w:val="18"/>
                <w:szCs w:val="18"/>
              </w:rPr>
            </w:pPr>
            <w:r w:rsidRPr="002C21B8">
              <w:rPr>
                <w:sz w:val="18"/>
                <w:szCs w:val="18"/>
              </w:rPr>
              <w:t>Inconsistent observations</w:t>
            </w:r>
          </w:p>
        </w:tc>
        <w:tc>
          <w:tcPr>
            <w:tcW w:w="3009" w:type="dxa"/>
            <w:shd w:val="clear" w:color="auto" w:fill="auto"/>
          </w:tcPr>
          <w:p w14:paraId="19C1F7A1" w14:textId="600762CF" w:rsidR="002F0740" w:rsidRPr="002C21B8" w:rsidRDefault="002F0740" w:rsidP="00D418D8">
            <w:pPr>
              <w:spacing w:before="20" w:afterLines="20" w:after="48" w:line="240" w:lineRule="auto"/>
              <w:rPr>
                <w:sz w:val="18"/>
                <w:szCs w:val="18"/>
              </w:rPr>
            </w:pPr>
            <w:r w:rsidRPr="002C21B8">
              <w:rPr>
                <w:sz w:val="18"/>
                <w:szCs w:val="18"/>
              </w:rPr>
              <w:fldChar w:fldCharType="begin"/>
            </w:r>
            <w:r w:rsidR="00763983" w:rsidRPr="002C21B8">
              <w:rPr>
                <w:sz w:val="18"/>
                <w:szCs w:val="18"/>
              </w:rPr>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rPr>
                <w:sz w:val="18"/>
                <w:szCs w:val="18"/>
              </w:rPr>
              <w:fldChar w:fldCharType="separate"/>
            </w:r>
            <w:r w:rsidRPr="002C21B8">
              <w:rPr>
                <w:noProof/>
                <w:sz w:val="18"/>
                <w:szCs w:val="18"/>
              </w:rPr>
              <w:t>(Iudici</w:t>
            </w:r>
            <w:r w:rsidRPr="002C21B8">
              <w:rPr>
                <w:i/>
                <w:noProof/>
                <w:sz w:val="18"/>
                <w:szCs w:val="18"/>
              </w:rPr>
              <w:t xml:space="preserve"> et al.</w:t>
            </w:r>
            <w:r w:rsidRPr="002C21B8">
              <w:rPr>
                <w:noProof/>
                <w:sz w:val="18"/>
                <w:szCs w:val="18"/>
              </w:rPr>
              <w:t>, 2014)</w:t>
            </w:r>
            <w:r w:rsidRPr="002C21B8">
              <w:rPr>
                <w:sz w:val="18"/>
                <w:szCs w:val="18"/>
              </w:rPr>
              <w:fldChar w:fldCharType="end"/>
            </w:r>
          </w:p>
        </w:tc>
      </w:tr>
      <w:tr w:rsidR="002F0740" w:rsidRPr="002C21B8" w14:paraId="5771624B" w14:textId="77777777" w:rsidTr="0063596A">
        <w:tc>
          <w:tcPr>
            <w:tcW w:w="4678" w:type="dxa"/>
            <w:shd w:val="clear" w:color="auto" w:fill="auto"/>
          </w:tcPr>
          <w:p w14:paraId="2439EF07"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3.3 Professional responsibility</w:t>
            </w:r>
          </w:p>
        </w:tc>
        <w:tc>
          <w:tcPr>
            <w:tcW w:w="2977" w:type="dxa"/>
            <w:shd w:val="clear" w:color="auto" w:fill="auto"/>
          </w:tcPr>
          <w:p w14:paraId="5D9392DE"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017638C0"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2F6BD905"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0E010939" w14:textId="77777777" w:rsidTr="0063596A">
        <w:tc>
          <w:tcPr>
            <w:tcW w:w="4678" w:type="dxa"/>
            <w:shd w:val="clear" w:color="auto" w:fill="auto"/>
          </w:tcPr>
          <w:p w14:paraId="33D4B58B"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3.4 Healthcare system factors</w:t>
            </w:r>
          </w:p>
        </w:tc>
        <w:tc>
          <w:tcPr>
            <w:tcW w:w="2977" w:type="dxa"/>
            <w:shd w:val="clear" w:color="auto" w:fill="auto"/>
          </w:tcPr>
          <w:p w14:paraId="02457303"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3D59E194"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3C2FBA0B"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0CF691E2" w14:textId="77777777" w:rsidTr="0063596A">
        <w:tc>
          <w:tcPr>
            <w:tcW w:w="4678" w:type="dxa"/>
            <w:shd w:val="clear" w:color="auto" w:fill="auto"/>
          </w:tcPr>
          <w:p w14:paraId="58CB7F49"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3.5 Colleagues of the same profession</w:t>
            </w:r>
          </w:p>
        </w:tc>
        <w:tc>
          <w:tcPr>
            <w:tcW w:w="2977" w:type="dxa"/>
            <w:shd w:val="clear" w:color="auto" w:fill="auto"/>
          </w:tcPr>
          <w:p w14:paraId="11DEFA7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323BBD76"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38E038FA"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1400C1E8" w14:textId="77777777" w:rsidTr="0063596A">
        <w:tc>
          <w:tcPr>
            <w:tcW w:w="4678" w:type="dxa"/>
            <w:tcBorders>
              <w:bottom w:val="single" w:sz="6" w:space="0" w:color="000000" w:themeColor="text1"/>
            </w:tcBorders>
            <w:shd w:val="clear" w:color="auto" w:fill="auto"/>
          </w:tcPr>
          <w:p w14:paraId="6A475461"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tcBorders>
              <w:bottom w:val="single" w:sz="6" w:space="0" w:color="000000" w:themeColor="text1"/>
            </w:tcBorders>
            <w:shd w:val="clear" w:color="auto" w:fill="auto"/>
          </w:tcPr>
          <w:p w14:paraId="4D7CFFCE" w14:textId="77777777" w:rsidR="002F0740" w:rsidRPr="002C21B8" w:rsidRDefault="002F0740" w:rsidP="00D418D8">
            <w:pPr>
              <w:spacing w:before="20" w:afterLines="20" w:after="48" w:line="240" w:lineRule="auto"/>
              <w:rPr>
                <w:sz w:val="18"/>
                <w:szCs w:val="18"/>
              </w:rPr>
            </w:pPr>
            <w:r w:rsidRPr="002C21B8">
              <w:rPr>
                <w:sz w:val="18"/>
                <w:szCs w:val="18"/>
              </w:rPr>
              <w:t>Pharmacist involvement</w:t>
            </w:r>
          </w:p>
        </w:tc>
        <w:tc>
          <w:tcPr>
            <w:tcW w:w="3402" w:type="dxa"/>
            <w:tcBorders>
              <w:bottom w:val="single" w:sz="6" w:space="0" w:color="000000" w:themeColor="text1"/>
            </w:tcBorders>
            <w:shd w:val="clear" w:color="auto" w:fill="auto"/>
          </w:tcPr>
          <w:p w14:paraId="4F6E5142" w14:textId="77777777" w:rsidR="002F0740" w:rsidRPr="002C21B8" w:rsidRDefault="002F0740" w:rsidP="00D418D8">
            <w:pPr>
              <w:spacing w:before="20" w:afterLines="20" w:after="48" w:line="240" w:lineRule="auto"/>
              <w:rPr>
                <w:sz w:val="18"/>
                <w:szCs w:val="18"/>
              </w:rPr>
            </w:pPr>
            <w:r w:rsidRPr="002C21B8">
              <w:rPr>
                <w:sz w:val="18"/>
                <w:szCs w:val="18"/>
              </w:rPr>
              <w:t>Higher prescribing rate observed</w:t>
            </w:r>
          </w:p>
        </w:tc>
        <w:tc>
          <w:tcPr>
            <w:tcW w:w="3009" w:type="dxa"/>
            <w:tcBorders>
              <w:bottom w:val="single" w:sz="6" w:space="0" w:color="000000" w:themeColor="text1"/>
            </w:tcBorders>
            <w:shd w:val="clear" w:color="auto" w:fill="auto"/>
          </w:tcPr>
          <w:p w14:paraId="56303F7F" w14:textId="138CD037" w:rsidR="002F0740" w:rsidRPr="002C21B8" w:rsidRDefault="002F0740" w:rsidP="00D418D8">
            <w:pPr>
              <w:spacing w:before="20" w:afterLines="20" w:after="48" w:line="240" w:lineRule="auto"/>
              <w:rPr>
                <w:sz w:val="18"/>
                <w:szCs w:val="18"/>
              </w:rPr>
            </w:pPr>
            <w:r w:rsidRPr="002C21B8">
              <w:rPr>
                <w:sz w:val="18"/>
                <w:szCs w:val="18"/>
              </w:rPr>
              <w:fldChar w:fldCharType="begin"/>
            </w:r>
            <w:r w:rsidR="00590E88" w:rsidRPr="002C21B8">
              <w:rPr>
                <w:sz w:val="18"/>
                <w:szCs w:val="18"/>
              </w:rPr>
              <w:instrText xml:space="preserve"> ADDIN EN.CITE &lt;EndNote&gt;&lt;Cite&gt;&lt;Author&gt;Milman&lt;/Author&gt;&lt;Year&gt;2018&lt;/Year&gt;&lt;RecNum&gt;17404&lt;/RecNum&gt;&lt;DisplayText&gt;(Milman&lt;style face="italic"&gt; et al.&lt;/style&gt;, 2018)&lt;/DisplayText&gt;&lt;record&gt;&lt;rec-number&gt;17404&lt;/rec-number&gt;&lt;foreign-keys&gt;&lt;key app="EN" db-id="xpefzwa5hf9dt2ea9fax95x7xvxz90v09dtf" timestamp="1720793228"&gt;17404&lt;/key&gt;&lt;/foreign-keys&gt;&lt;ref-type name="Journal Article"&gt;17&lt;/ref-type&gt;&lt;contributors&gt;&lt;authors&gt;&lt;author&gt;Milman, T.&lt;/author&gt;&lt;author&gt;Joundi, R. A.&lt;/author&gt;&lt;author&gt;Alotaibi, N. M.&lt;/author&gt;&lt;author&gt;Saposnik, G.&lt;/author&gt;&lt;/authors&gt;&lt;/contributors&gt;&lt;auth-address&gt;Faculty of Medicine Division of Neurology, Department of Medicine Division of Neurosurgery, Department of Surgery St. Michael&amp;apos;s Hospital Department of Medicine and Institute of Health Policy, Management and Evaluation, University of Toronto Institute for Clinical Evaluative Sciences (ICES), Toronto, ON, Canada.&lt;/auth-address&gt;&lt;titles&gt;&lt;title&gt;Clinical inertia in the pharmacological management of hypertension: A systematic review and meta-analysis&lt;/title&gt;&lt;secondary-title&gt;Medicine&lt;/secondary-title&gt;&lt;/titles&gt;&lt;periodical&gt;&lt;full-title&gt;Medicine&lt;/full-title&gt;&lt;/periodical&gt;&lt;pages&gt;e11121&lt;/pages&gt;&lt;volume&gt;97&lt;/volume&gt;&lt;number&gt;25&lt;/number&gt;&lt;keywords&gt;&lt;keyword&gt;Antihypertensive Agents/*pharmacology&lt;/keyword&gt;&lt;keyword&gt;Bias&lt;/keyword&gt;&lt;keyword&gt;Humans&lt;/keyword&gt;&lt;keyword&gt;Hypertension/*drug therapy&lt;/keyword&gt;&lt;keyword&gt;*Patient Care Management/methods/standards&lt;/keyword&gt;&lt;keyword&gt;Practice Patterns, Physicians&amp;apos;&lt;/keyword&gt;&lt;keyword&gt;Treatment Failure&lt;/keyword&gt;&lt;/keywords&gt;&lt;dates&gt;&lt;year&gt;2018&lt;/year&gt;&lt;pub-dates&gt;&lt;date&gt;Jun&lt;/date&gt;&lt;/pub-dates&gt;&lt;/dates&gt;&lt;isbn&gt;0025-7974 (Print)&amp;#xD;0025-7974&lt;/isbn&gt;&lt;accession-num&gt;29924011&lt;/accession-num&gt;&lt;urls&gt;&lt;/urls&gt;&lt;custom2&gt;PMC6025046&lt;/custom2&gt;&lt;electronic-resource-num&gt;10.1097/md.0000000000011121&lt;/electronic-resource-num&gt;&lt;remote-database-provider&gt;NLM&lt;/remote-database-provider&gt;&lt;language&gt;eng&lt;/language&gt;&lt;/record&gt;&lt;/Cite&gt;&lt;/EndNote&gt;</w:instrText>
            </w:r>
            <w:r w:rsidRPr="002C21B8">
              <w:rPr>
                <w:sz w:val="18"/>
                <w:szCs w:val="18"/>
              </w:rPr>
              <w:fldChar w:fldCharType="separate"/>
            </w:r>
            <w:r w:rsidRPr="002C21B8">
              <w:rPr>
                <w:noProof/>
                <w:sz w:val="18"/>
                <w:szCs w:val="18"/>
              </w:rPr>
              <w:t>(Milman</w:t>
            </w:r>
            <w:r w:rsidRPr="002C21B8">
              <w:rPr>
                <w:i/>
                <w:noProof/>
                <w:sz w:val="18"/>
                <w:szCs w:val="18"/>
              </w:rPr>
              <w:t xml:space="preserve"> et al.</w:t>
            </w:r>
            <w:r w:rsidRPr="002C21B8">
              <w:rPr>
                <w:noProof/>
                <w:sz w:val="18"/>
                <w:szCs w:val="18"/>
              </w:rPr>
              <w:t>, 2018)</w:t>
            </w:r>
            <w:r w:rsidRPr="002C21B8">
              <w:rPr>
                <w:sz w:val="18"/>
                <w:szCs w:val="18"/>
              </w:rPr>
              <w:fldChar w:fldCharType="end"/>
            </w:r>
          </w:p>
        </w:tc>
      </w:tr>
      <w:tr w:rsidR="002F0740" w:rsidRPr="002C21B8" w14:paraId="4B1AD1A5" w14:textId="77777777" w:rsidTr="006B7636">
        <w:tc>
          <w:tcPr>
            <w:tcW w:w="14066" w:type="dxa"/>
            <w:gridSpan w:val="4"/>
            <w:tcBorders>
              <w:top w:val="single" w:sz="6" w:space="0" w:color="000000" w:themeColor="text1"/>
            </w:tcBorders>
            <w:shd w:val="clear" w:color="auto" w:fill="F2F2F2" w:themeFill="background1" w:themeFillShade="F2"/>
          </w:tcPr>
          <w:p w14:paraId="7C1BA1CB" w14:textId="77777777" w:rsidR="002F0740" w:rsidRPr="002C21B8" w:rsidRDefault="002F0740" w:rsidP="00D418D8">
            <w:pPr>
              <w:spacing w:before="20" w:afterLines="20" w:after="48" w:line="240" w:lineRule="auto"/>
              <w:rPr>
                <w:rFonts w:eastAsiaTheme="minorHAnsi"/>
                <w:b/>
                <w:bCs/>
                <w:sz w:val="20"/>
                <w:szCs w:val="20"/>
                <w:lang w:eastAsia="en-US"/>
              </w:rPr>
            </w:pPr>
            <w:r w:rsidRPr="002C21B8">
              <w:rPr>
                <w:rFonts w:eastAsiaTheme="minorHAnsi"/>
                <w:b/>
                <w:bCs/>
                <w:sz w:val="20"/>
                <w:szCs w:val="20"/>
                <w:lang w:eastAsia="en-US"/>
              </w:rPr>
              <w:t xml:space="preserve">4. Medication costs </w:t>
            </w:r>
          </w:p>
        </w:tc>
      </w:tr>
      <w:tr w:rsidR="002F0740" w:rsidRPr="002C21B8" w14:paraId="3C46CA11" w14:textId="77777777" w:rsidTr="0063596A">
        <w:tc>
          <w:tcPr>
            <w:tcW w:w="4678" w:type="dxa"/>
            <w:shd w:val="clear" w:color="auto" w:fill="auto"/>
          </w:tcPr>
          <w:p w14:paraId="5EE98C2B"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4.1 Medication costs</w:t>
            </w:r>
          </w:p>
        </w:tc>
        <w:tc>
          <w:tcPr>
            <w:tcW w:w="2977" w:type="dxa"/>
            <w:shd w:val="clear" w:color="auto" w:fill="auto"/>
          </w:tcPr>
          <w:p w14:paraId="40B336AC"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3645314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17809E54"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1F24A8E3" w14:textId="77777777" w:rsidTr="0063596A">
        <w:tc>
          <w:tcPr>
            <w:tcW w:w="4678" w:type="dxa"/>
            <w:shd w:val="clear" w:color="auto" w:fill="auto"/>
          </w:tcPr>
          <w:p w14:paraId="02C2C7F2"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4.2 Financial incentives</w:t>
            </w:r>
          </w:p>
        </w:tc>
        <w:tc>
          <w:tcPr>
            <w:tcW w:w="2977" w:type="dxa"/>
            <w:shd w:val="clear" w:color="auto" w:fill="auto"/>
          </w:tcPr>
          <w:p w14:paraId="057D3342"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2F242221"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183E0A7A"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7DEA8904" w14:textId="77777777" w:rsidTr="0063596A">
        <w:tc>
          <w:tcPr>
            <w:tcW w:w="4678" w:type="dxa"/>
            <w:shd w:val="clear" w:color="auto" w:fill="auto"/>
          </w:tcPr>
          <w:p w14:paraId="5C6FD9A4"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4.3 Healthcare system costs</w:t>
            </w:r>
          </w:p>
        </w:tc>
        <w:tc>
          <w:tcPr>
            <w:tcW w:w="2977" w:type="dxa"/>
            <w:shd w:val="clear" w:color="auto" w:fill="auto"/>
          </w:tcPr>
          <w:p w14:paraId="49FD45DD"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146E0E9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5D32B8DB"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168C6C9F" w14:textId="77777777" w:rsidTr="0063596A">
        <w:tc>
          <w:tcPr>
            <w:tcW w:w="4678" w:type="dxa"/>
            <w:tcBorders>
              <w:bottom w:val="single" w:sz="6" w:space="0" w:color="000000" w:themeColor="text1"/>
            </w:tcBorders>
            <w:shd w:val="clear" w:color="auto" w:fill="auto"/>
          </w:tcPr>
          <w:p w14:paraId="29974807"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4.4 Patient affordability</w:t>
            </w:r>
          </w:p>
        </w:tc>
        <w:tc>
          <w:tcPr>
            <w:tcW w:w="2977" w:type="dxa"/>
            <w:tcBorders>
              <w:bottom w:val="single" w:sz="6" w:space="0" w:color="000000" w:themeColor="text1"/>
            </w:tcBorders>
            <w:shd w:val="clear" w:color="auto" w:fill="auto"/>
          </w:tcPr>
          <w:p w14:paraId="2BB30BD6"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tcBorders>
              <w:bottom w:val="single" w:sz="6" w:space="0" w:color="000000" w:themeColor="text1"/>
            </w:tcBorders>
            <w:shd w:val="clear" w:color="auto" w:fill="auto"/>
          </w:tcPr>
          <w:p w14:paraId="0ED9DBAC"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tcBorders>
              <w:bottom w:val="single" w:sz="6" w:space="0" w:color="000000" w:themeColor="text1"/>
            </w:tcBorders>
            <w:shd w:val="clear" w:color="auto" w:fill="auto"/>
          </w:tcPr>
          <w:p w14:paraId="56CD2189"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BB75AE9" w14:textId="77777777" w:rsidTr="006B7636">
        <w:tc>
          <w:tcPr>
            <w:tcW w:w="14066" w:type="dxa"/>
            <w:gridSpan w:val="4"/>
            <w:tcBorders>
              <w:top w:val="single" w:sz="6" w:space="0" w:color="000000" w:themeColor="text1"/>
            </w:tcBorders>
            <w:shd w:val="clear" w:color="auto" w:fill="F2F2F2" w:themeFill="background1" w:themeFillShade="F2"/>
          </w:tcPr>
          <w:p w14:paraId="242FE029" w14:textId="77777777" w:rsidR="002F0740" w:rsidRPr="002C21B8" w:rsidRDefault="002F0740" w:rsidP="00D418D8">
            <w:pPr>
              <w:spacing w:before="20" w:afterLines="20" w:after="48" w:line="240" w:lineRule="auto"/>
              <w:rPr>
                <w:b/>
                <w:bCs/>
                <w:sz w:val="20"/>
                <w:szCs w:val="20"/>
              </w:rPr>
            </w:pPr>
            <w:r w:rsidRPr="002C21B8">
              <w:rPr>
                <w:b/>
                <w:bCs/>
                <w:sz w:val="20"/>
                <w:szCs w:val="20"/>
              </w:rPr>
              <w:t>5. Shared decision-making</w:t>
            </w:r>
          </w:p>
        </w:tc>
      </w:tr>
      <w:tr w:rsidR="002F0740" w:rsidRPr="002C21B8" w14:paraId="231964D3" w14:textId="77777777" w:rsidTr="0063596A">
        <w:tc>
          <w:tcPr>
            <w:tcW w:w="4678" w:type="dxa"/>
            <w:shd w:val="clear" w:color="auto" w:fill="auto"/>
          </w:tcPr>
          <w:p w14:paraId="24278A91"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5.1 Adherence</w:t>
            </w:r>
          </w:p>
        </w:tc>
        <w:tc>
          <w:tcPr>
            <w:tcW w:w="2977" w:type="dxa"/>
            <w:shd w:val="clear" w:color="auto" w:fill="auto"/>
          </w:tcPr>
          <w:p w14:paraId="1BFBA210"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1F84FAEF"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4B9B625D"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E2ADEA2" w14:textId="77777777" w:rsidTr="0063596A">
        <w:tc>
          <w:tcPr>
            <w:tcW w:w="4678" w:type="dxa"/>
            <w:shd w:val="clear" w:color="auto" w:fill="auto"/>
          </w:tcPr>
          <w:p w14:paraId="203DC0BB"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5.2 Assumptions about patient preferences</w:t>
            </w:r>
          </w:p>
        </w:tc>
        <w:tc>
          <w:tcPr>
            <w:tcW w:w="2977" w:type="dxa"/>
            <w:shd w:val="clear" w:color="auto" w:fill="auto"/>
          </w:tcPr>
          <w:p w14:paraId="7C1783BF"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2D2630F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2D317A3A"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5D3978F" w14:textId="77777777" w:rsidTr="0063596A">
        <w:tc>
          <w:tcPr>
            <w:tcW w:w="4678" w:type="dxa"/>
            <w:tcBorders>
              <w:bottom w:val="single" w:sz="6" w:space="0" w:color="000000" w:themeColor="text1"/>
            </w:tcBorders>
            <w:shd w:val="clear" w:color="auto" w:fill="auto"/>
          </w:tcPr>
          <w:p w14:paraId="2DABC558"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5.3 Active requests</w:t>
            </w:r>
          </w:p>
        </w:tc>
        <w:tc>
          <w:tcPr>
            <w:tcW w:w="2977" w:type="dxa"/>
            <w:tcBorders>
              <w:bottom w:val="single" w:sz="6" w:space="0" w:color="000000" w:themeColor="text1"/>
            </w:tcBorders>
            <w:shd w:val="clear" w:color="auto" w:fill="auto"/>
          </w:tcPr>
          <w:p w14:paraId="31BE884D"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tcBorders>
              <w:bottom w:val="single" w:sz="6" w:space="0" w:color="000000" w:themeColor="text1"/>
            </w:tcBorders>
            <w:shd w:val="clear" w:color="auto" w:fill="auto"/>
          </w:tcPr>
          <w:p w14:paraId="757FC8D0"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tcBorders>
              <w:bottom w:val="single" w:sz="6" w:space="0" w:color="000000" w:themeColor="text1"/>
            </w:tcBorders>
            <w:shd w:val="clear" w:color="auto" w:fill="auto"/>
          </w:tcPr>
          <w:p w14:paraId="4247C168"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188BCC0" w14:textId="77777777" w:rsidTr="006B7636">
        <w:tc>
          <w:tcPr>
            <w:tcW w:w="14066" w:type="dxa"/>
            <w:gridSpan w:val="4"/>
            <w:tcBorders>
              <w:top w:val="single" w:sz="6" w:space="0" w:color="000000" w:themeColor="text1"/>
            </w:tcBorders>
            <w:shd w:val="clear" w:color="auto" w:fill="F2F2F2" w:themeFill="background1" w:themeFillShade="F2"/>
          </w:tcPr>
          <w:p w14:paraId="316A2E8E" w14:textId="77777777" w:rsidR="002F0740" w:rsidRPr="002C21B8" w:rsidRDefault="002F0740" w:rsidP="00D418D8">
            <w:pPr>
              <w:spacing w:before="20" w:afterLines="20" w:after="48" w:line="240" w:lineRule="auto"/>
              <w:rPr>
                <w:b/>
                <w:bCs/>
                <w:sz w:val="20"/>
                <w:szCs w:val="20"/>
              </w:rPr>
            </w:pPr>
            <w:r w:rsidRPr="002C21B8">
              <w:rPr>
                <w:b/>
                <w:bCs/>
                <w:sz w:val="20"/>
                <w:szCs w:val="20"/>
              </w:rPr>
              <w:t xml:space="preserve">6. External factors </w:t>
            </w:r>
          </w:p>
        </w:tc>
      </w:tr>
      <w:tr w:rsidR="002F0740" w:rsidRPr="002C21B8" w14:paraId="4220664C" w14:textId="77777777" w:rsidTr="0063596A">
        <w:tc>
          <w:tcPr>
            <w:tcW w:w="4678" w:type="dxa"/>
            <w:shd w:val="clear" w:color="auto" w:fill="auto"/>
          </w:tcPr>
          <w:p w14:paraId="05BDF050"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 xml:space="preserve">6.1 Sales and marketing </w:t>
            </w:r>
          </w:p>
        </w:tc>
        <w:tc>
          <w:tcPr>
            <w:tcW w:w="2977" w:type="dxa"/>
            <w:shd w:val="clear" w:color="auto" w:fill="auto"/>
          </w:tcPr>
          <w:p w14:paraId="62B8E961"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6ADE108B"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642D8A52"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393FE407" w14:textId="77777777" w:rsidTr="0063596A">
        <w:tc>
          <w:tcPr>
            <w:tcW w:w="4678" w:type="dxa"/>
            <w:shd w:val="clear" w:color="auto" w:fill="auto"/>
          </w:tcPr>
          <w:p w14:paraId="70014AC5"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6.2 Guidelines availability</w:t>
            </w:r>
          </w:p>
        </w:tc>
        <w:tc>
          <w:tcPr>
            <w:tcW w:w="2977" w:type="dxa"/>
            <w:shd w:val="clear" w:color="auto" w:fill="auto"/>
          </w:tcPr>
          <w:p w14:paraId="7C9E6D9C"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64DFF83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7F429AF7"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1627B0A1" w14:textId="77777777" w:rsidTr="0063596A">
        <w:tc>
          <w:tcPr>
            <w:tcW w:w="4678" w:type="dxa"/>
            <w:shd w:val="clear" w:color="auto" w:fill="auto"/>
          </w:tcPr>
          <w:p w14:paraId="631BA267"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6.3 Guidelines relevance</w:t>
            </w:r>
          </w:p>
        </w:tc>
        <w:tc>
          <w:tcPr>
            <w:tcW w:w="2977" w:type="dxa"/>
            <w:shd w:val="clear" w:color="auto" w:fill="auto"/>
          </w:tcPr>
          <w:p w14:paraId="36323CA9"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404DE0CF"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06B62EA2"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448EE65" w14:textId="77777777" w:rsidTr="0063596A">
        <w:tc>
          <w:tcPr>
            <w:tcW w:w="4678" w:type="dxa"/>
            <w:shd w:val="clear" w:color="auto" w:fill="auto"/>
          </w:tcPr>
          <w:p w14:paraId="0BAFD7AC"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6.4 Academia</w:t>
            </w:r>
          </w:p>
        </w:tc>
        <w:tc>
          <w:tcPr>
            <w:tcW w:w="2977" w:type="dxa"/>
            <w:shd w:val="clear" w:color="auto" w:fill="auto"/>
          </w:tcPr>
          <w:p w14:paraId="73F1AA63"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19228E0E"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5DB06CC0"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79F7BD50" w14:textId="77777777" w:rsidTr="0063596A">
        <w:tc>
          <w:tcPr>
            <w:tcW w:w="4678" w:type="dxa"/>
            <w:shd w:val="clear" w:color="auto" w:fill="auto"/>
          </w:tcPr>
          <w:p w14:paraId="0CEE8112"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6.5 Expert opinion</w:t>
            </w:r>
          </w:p>
        </w:tc>
        <w:tc>
          <w:tcPr>
            <w:tcW w:w="2977" w:type="dxa"/>
            <w:shd w:val="clear" w:color="auto" w:fill="auto"/>
          </w:tcPr>
          <w:p w14:paraId="34DA43FD"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402" w:type="dxa"/>
            <w:shd w:val="clear" w:color="auto" w:fill="auto"/>
          </w:tcPr>
          <w:p w14:paraId="346F2072" w14:textId="77777777" w:rsidR="002F0740" w:rsidRPr="002C21B8" w:rsidRDefault="002F0740" w:rsidP="00D418D8">
            <w:pPr>
              <w:spacing w:before="20" w:afterLines="20" w:after="48" w:line="240" w:lineRule="auto"/>
              <w:rPr>
                <w:sz w:val="18"/>
                <w:szCs w:val="18"/>
              </w:rPr>
            </w:pPr>
            <w:r w:rsidRPr="002C21B8">
              <w:rPr>
                <w:sz w:val="18"/>
                <w:szCs w:val="18"/>
              </w:rPr>
              <w:t>NA</w:t>
            </w:r>
          </w:p>
        </w:tc>
        <w:tc>
          <w:tcPr>
            <w:tcW w:w="3009" w:type="dxa"/>
            <w:shd w:val="clear" w:color="auto" w:fill="auto"/>
          </w:tcPr>
          <w:p w14:paraId="263C7F98" w14:textId="77777777" w:rsidR="002F0740" w:rsidRPr="002C21B8" w:rsidRDefault="002F0740" w:rsidP="00D418D8">
            <w:pPr>
              <w:spacing w:before="20" w:afterLines="20" w:after="48" w:line="240" w:lineRule="auto"/>
              <w:rPr>
                <w:sz w:val="18"/>
                <w:szCs w:val="18"/>
              </w:rPr>
            </w:pPr>
            <w:r w:rsidRPr="002C21B8">
              <w:rPr>
                <w:sz w:val="18"/>
                <w:szCs w:val="18"/>
              </w:rPr>
              <w:t>NA</w:t>
            </w:r>
          </w:p>
        </w:tc>
      </w:tr>
      <w:tr w:rsidR="002F0740" w:rsidRPr="002C21B8" w14:paraId="58F5F563" w14:textId="77777777" w:rsidTr="0063596A">
        <w:tc>
          <w:tcPr>
            <w:tcW w:w="4678" w:type="dxa"/>
            <w:tcBorders>
              <w:bottom w:val="single" w:sz="6" w:space="0" w:color="000000" w:themeColor="text1"/>
            </w:tcBorders>
            <w:shd w:val="clear" w:color="auto" w:fill="auto"/>
          </w:tcPr>
          <w:p w14:paraId="302690C3"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tcBorders>
              <w:bottom w:val="single" w:sz="6" w:space="0" w:color="000000" w:themeColor="text1"/>
            </w:tcBorders>
            <w:shd w:val="clear" w:color="auto" w:fill="auto"/>
          </w:tcPr>
          <w:p w14:paraId="528C557E" w14:textId="77777777" w:rsidR="002F0740" w:rsidRPr="002C21B8" w:rsidRDefault="002F0740" w:rsidP="00D418D8">
            <w:pPr>
              <w:spacing w:before="20" w:afterLines="20" w:after="48" w:line="240" w:lineRule="auto"/>
              <w:rPr>
                <w:sz w:val="18"/>
                <w:szCs w:val="18"/>
              </w:rPr>
            </w:pPr>
            <w:r w:rsidRPr="002C21B8">
              <w:rPr>
                <w:sz w:val="18"/>
                <w:szCs w:val="18"/>
              </w:rPr>
              <w:t>Membership to medical society</w:t>
            </w:r>
          </w:p>
        </w:tc>
        <w:tc>
          <w:tcPr>
            <w:tcW w:w="3402" w:type="dxa"/>
            <w:tcBorders>
              <w:bottom w:val="single" w:sz="6" w:space="0" w:color="000000" w:themeColor="text1"/>
            </w:tcBorders>
            <w:shd w:val="clear" w:color="auto" w:fill="auto"/>
          </w:tcPr>
          <w:p w14:paraId="6CB895A4" w14:textId="77777777" w:rsidR="002F0740" w:rsidRPr="002C21B8" w:rsidRDefault="002F0740" w:rsidP="00D418D8">
            <w:pPr>
              <w:spacing w:before="20" w:afterLines="20" w:after="48" w:line="240" w:lineRule="auto"/>
              <w:rPr>
                <w:sz w:val="18"/>
                <w:szCs w:val="18"/>
              </w:rPr>
            </w:pPr>
            <w:r w:rsidRPr="002C21B8">
              <w:rPr>
                <w:sz w:val="18"/>
                <w:szCs w:val="18"/>
              </w:rPr>
              <w:t>Inconsistent observations</w:t>
            </w:r>
          </w:p>
        </w:tc>
        <w:tc>
          <w:tcPr>
            <w:tcW w:w="3009" w:type="dxa"/>
            <w:tcBorders>
              <w:bottom w:val="single" w:sz="6" w:space="0" w:color="000000" w:themeColor="text1"/>
            </w:tcBorders>
            <w:shd w:val="clear" w:color="auto" w:fill="auto"/>
          </w:tcPr>
          <w:p w14:paraId="0051B0BD" w14:textId="07633F58" w:rsidR="002F0740" w:rsidRPr="002C21B8" w:rsidRDefault="002F0740" w:rsidP="00D418D8">
            <w:pPr>
              <w:spacing w:before="20" w:afterLines="20" w:after="48" w:line="240" w:lineRule="auto"/>
              <w:rPr>
                <w:sz w:val="18"/>
                <w:szCs w:val="18"/>
              </w:rPr>
            </w:pPr>
            <w:r w:rsidRPr="002C21B8">
              <w:rPr>
                <w:sz w:val="18"/>
                <w:szCs w:val="18"/>
              </w:rPr>
              <w:fldChar w:fldCharType="begin"/>
            </w:r>
            <w:r w:rsidR="00763983" w:rsidRPr="002C21B8">
              <w:rPr>
                <w:sz w:val="18"/>
                <w:szCs w:val="18"/>
              </w:rPr>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rPr>
                <w:sz w:val="18"/>
                <w:szCs w:val="18"/>
              </w:rPr>
              <w:fldChar w:fldCharType="separate"/>
            </w:r>
            <w:r w:rsidRPr="002C21B8">
              <w:rPr>
                <w:noProof/>
                <w:sz w:val="18"/>
                <w:szCs w:val="18"/>
              </w:rPr>
              <w:t>(Iudici</w:t>
            </w:r>
            <w:r w:rsidRPr="002C21B8">
              <w:rPr>
                <w:i/>
                <w:noProof/>
                <w:sz w:val="18"/>
                <w:szCs w:val="18"/>
              </w:rPr>
              <w:t xml:space="preserve"> et al.</w:t>
            </w:r>
            <w:r w:rsidRPr="002C21B8">
              <w:rPr>
                <w:noProof/>
                <w:sz w:val="18"/>
                <w:szCs w:val="18"/>
              </w:rPr>
              <w:t>, 2014)</w:t>
            </w:r>
            <w:r w:rsidRPr="002C21B8">
              <w:rPr>
                <w:sz w:val="18"/>
                <w:szCs w:val="18"/>
              </w:rPr>
              <w:fldChar w:fldCharType="end"/>
            </w:r>
          </w:p>
        </w:tc>
      </w:tr>
      <w:tr w:rsidR="002F0740" w:rsidRPr="002C21B8" w14:paraId="4A0790D5" w14:textId="77777777" w:rsidTr="006B7636">
        <w:tc>
          <w:tcPr>
            <w:tcW w:w="14066" w:type="dxa"/>
            <w:gridSpan w:val="4"/>
            <w:tcBorders>
              <w:top w:val="single" w:sz="6" w:space="0" w:color="000000" w:themeColor="text1"/>
            </w:tcBorders>
            <w:shd w:val="clear" w:color="auto" w:fill="F2F2F2" w:themeFill="background1" w:themeFillShade="F2"/>
          </w:tcPr>
          <w:p w14:paraId="6ED3AFAE" w14:textId="77777777" w:rsidR="002F0740" w:rsidRPr="002C21B8" w:rsidRDefault="002F0740" w:rsidP="00D418D8">
            <w:pPr>
              <w:spacing w:before="20" w:afterLines="20" w:after="48" w:line="240" w:lineRule="auto"/>
              <w:rPr>
                <w:b/>
                <w:bCs/>
                <w:sz w:val="20"/>
                <w:szCs w:val="20"/>
              </w:rPr>
            </w:pPr>
            <w:r w:rsidRPr="002C21B8">
              <w:rPr>
                <w:b/>
                <w:bCs/>
                <w:sz w:val="20"/>
                <w:szCs w:val="20"/>
              </w:rPr>
              <w:t>Other</w:t>
            </w:r>
          </w:p>
        </w:tc>
      </w:tr>
      <w:tr w:rsidR="002F0740" w:rsidRPr="002C21B8" w14:paraId="1E486F74" w14:textId="77777777" w:rsidTr="0063596A">
        <w:tc>
          <w:tcPr>
            <w:tcW w:w="4678" w:type="dxa"/>
            <w:tcBorders>
              <w:bottom w:val="single" w:sz="4" w:space="0" w:color="auto"/>
            </w:tcBorders>
            <w:shd w:val="clear" w:color="auto" w:fill="auto"/>
          </w:tcPr>
          <w:p w14:paraId="1F4C2781" w14:textId="77777777" w:rsidR="002F0740" w:rsidRPr="002C21B8" w:rsidRDefault="002F0740" w:rsidP="00D418D8">
            <w:pPr>
              <w:spacing w:before="20" w:afterLines="20" w:after="48" w:line="240" w:lineRule="auto"/>
              <w:ind w:left="327"/>
              <w:rPr>
                <w:b/>
                <w:bCs/>
                <w:sz w:val="18"/>
                <w:szCs w:val="18"/>
              </w:rPr>
            </w:pPr>
            <w:r w:rsidRPr="002C21B8">
              <w:rPr>
                <w:b/>
                <w:bCs/>
                <w:sz w:val="18"/>
                <w:szCs w:val="18"/>
              </w:rPr>
              <w:t>NA</w:t>
            </w:r>
          </w:p>
        </w:tc>
        <w:tc>
          <w:tcPr>
            <w:tcW w:w="2977" w:type="dxa"/>
            <w:tcBorders>
              <w:bottom w:val="single" w:sz="4" w:space="0" w:color="auto"/>
            </w:tcBorders>
            <w:shd w:val="clear" w:color="auto" w:fill="auto"/>
          </w:tcPr>
          <w:p w14:paraId="47943776" w14:textId="77777777" w:rsidR="002F0740" w:rsidRPr="002C21B8" w:rsidRDefault="002F0740" w:rsidP="00D418D8">
            <w:pPr>
              <w:spacing w:before="20" w:afterLines="20" w:after="48" w:line="240" w:lineRule="auto"/>
              <w:rPr>
                <w:sz w:val="18"/>
                <w:szCs w:val="18"/>
              </w:rPr>
            </w:pPr>
            <w:r w:rsidRPr="002C21B8">
              <w:rPr>
                <w:sz w:val="18"/>
                <w:szCs w:val="18"/>
              </w:rPr>
              <w:t>Different countries</w:t>
            </w:r>
          </w:p>
        </w:tc>
        <w:tc>
          <w:tcPr>
            <w:tcW w:w="3402" w:type="dxa"/>
            <w:tcBorders>
              <w:bottom w:val="single" w:sz="4" w:space="0" w:color="auto"/>
            </w:tcBorders>
            <w:shd w:val="clear" w:color="auto" w:fill="auto"/>
          </w:tcPr>
          <w:p w14:paraId="1C207B2B" w14:textId="77777777" w:rsidR="002F0740" w:rsidRPr="002C21B8" w:rsidRDefault="002F0740" w:rsidP="00D418D8">
            <w:pPr>
              <w:spacing w:before="20" w:afterLines="20" w:after="48" w:line="240" w:lineRule="auto"/>
              <w:rPr>
                <w:sz w:val="18"/>
                <w:szCs w:val="18"/>
              </w:rPr>
            </w:pPr>
            <w:r w:rsidRPr="002C21B8">
              <w:rPr>
                <w:sz w:val="18"/>
                <w:szCs w:val="18"/>
              </w:rPr>
              <w:t>Inconsistent observations</w:t>
            </w:r>
          </w:p>
        </w:tc>
        <w:tc>
          <w:tcPr>
            <w:tcW w:w="3009" w:type="dxa"/>
            <w:tcBorders>
              <w:bottom w:val="single" w:sz="4" w:space="0" w:color="auto"/>
            </w:tcBorders>
            <w:shd w:val="clear" w:color="auto" w:fill="auto"/>
          </w:tcPr>
          <w:p w14:paraId="2521D72C" w14:textId="734B32F5" w:rsidR="002F0740" w:rsidRPr="002C21B8" w:rsidRDefault="002F0740" w:rsidP="00D418D8">
            <w:pPr>
              <w:spacing w:before="20" w:afterLines="20" w:after="48" w:line="240" w:lineRule="auto"/>
              <w:rPr>
                <w:sz w:val="18"/>
                <w:szCs w:val="18"/>
              </w:rPr>
            </w:pPr>
            <w:r w:rsidRPr="002C21B8">
              <w:rPr>
                <w:sz w:val="18"/>
                <w:szCs w:val="18"/>
              </w:rPr>
              <w:fldChar w:fldCharType="begin"/>
            </w:r>
            <w:r w:rsidR="00763983" w:rsidRPr="002C21B8">
              <w:rPr>
                <w:sz w:val="18"/>
                <w:szCs w:val="18"/>
              </w:rPr>
              <w:instrText xml:space="preserve"> ADDIN EN.CITE &lt;EndNote&gt;&lt;Cite&gt;&lt;Author&gt;Iudici&lt;/Author&gt;&lt;Year&gt;2014&lt;/Year&gt;&lt;RecNum&gt;15231&lt;/RecNum&gt;&lt;DisplayText&gt;(Iudici&lt;style face="italic"&gt; et al.&lt;/style&gt;, 2014)&lt;/DisplayText&gt;&lt;record&gt;&lt;rec-number&gt;15231&lt;/rec-number&gt;&lt;foreign-keys&gt;&lt;key app="EN" db-id="xpefzwa5hf9dt2ea9fax95x7xvxz90v09dtf" timestamp="1713539660"&gt;15231&lt;/key&gt;&lt;/foreign-keys&gt;&lt;ref-type name="Journal Article"&gt;17&lt;/ref-type&gt;&lt;contributors&gt;&lt;authors&gt;&lt;author&gt;Iudici, Michele&lt;/author&gt;&lt;author&gt;Fasano, Serena&lt;/author&gt;&lt;author&gt;Iacono, Daniela&lt;/author&gt;&lt;author&gt;Russo, Barbara&lt;/author&gt;&lt;author&gt;Cuomo, Giovanna&lt;/author&gt;&lt;author&gt;Valentini, Gabriele&lt;/author&gt;&lt;/authors&gt;&lt;/contributors&gt;&lt;titles&gt;&lt;title&gt;Prevalence and factors associated with glucocorticoids (GC) use in systemic sclerosis (SSc): a systematic review and meta-analysis of cohort studies and registries&lt;/title&gt;&lt;secondary-title&gt;Clinical Rheumatology&lt;/secondary-title&gt;&lt;/titles&gt;&lt;periodical&gt;&lt;full-title&gt;Clinical Rheumatology&lt;/full-title&gt;&lt;/periodical&gt;&lt;pages&gt;153-164&lt;/pages&gt;&lt;volume&gt;33&lt;/volume&gt;&lt;dates&gt;&lt;year&gt;2014&lt;/year&gt;&lt;/dates&gt;&lt;isbn&gt;0770-3198&lt;/isbn&gt;&lt;urls&gt;&lt;/urls&gt;&lt;/record&gt;&lt;/Cite&gt;&lt;/EndNote&gt;</w:instrText>
            </w:r>
            <w:r w:rsidRPr="002C21B8">
              <w:rPr>
                <w:sz w:val="18"/>
                <w:szCs w:val="18"/>
              </w:rPr>
              <w:fldChar w:fldCharType="separate"/>
            </w:r>
            <w:r w:rsidRPr="002C21B8">
              <w:rPr>
                <w:noProof/>
                <w:sz w:val="18"/>
                <w:szCs w:val="18"/>
              </w:rPr>
              <w:t>(Iudici</w:t>
            </w:r>
            <w:r w:rsidRPr="002C21B8">
              <w:rPr>
                <w:i/>
                <w:noProof/>
                <w:sz w:val="18"/>
                <w:szCs w:val="18"/>
              </w:rPr>
              <w:t xml:space="preserve"> et al.</w:t>
            </w:r>
            <w:r w:rsidRPr="002C21B8">
              <w:rPr>
                <w:noProof/>
                <w:sz w:val="18"/>
                <w:szCs w:val="18"/>
              </w:rPr>
              <w:t>, 2014)</w:t>
            </w:r>
            <w:r w:rsidRPr="002C21B8">
              <w:rPr>
                <w:sz w:val="18"/>
                <w:szCs w:val="18"/>
              </w:rPr>
              <w:fldChar w:fldCharType="end"/>
            </w:r>
          </w:p>
        </w:tc>
      </w:tr>
    </w:tbl>
    <w:p w14:paraId="5BE87F05" w14:textId="77777777" w:rsidR="002F0740" w:rsidRPr="002C21B8" w:rsidRDefault="002F0740" w:rsidP="00D418D8">
      <w:pPr>
        <w:spacing w:line="240" w:lineRule="auto"/>
        <w:sectPr w:rsidR="002F0740" w:rsidRPr="002C21B8" w:rsidSect="0009672F">
          <w:headerReference w:type="default" r:id="rId34"/>
          <w:type w:val="continuous"/>
          <w:pgSz w:w="16838" w:h="11906" w:orient="landscape"/>
          <w:pgMar w:top="1440" w:right="1440" w:bottom="1440" w:left="1440" w:header="708" w:footer="708" w:gutter="0"/>
          <w:cols w:space="708"/>
          <w:docGrid w:linePitch="360"/>
        </w:sectPr>
      </w:pPr>
    </w:p>
    <w:p w14:paraId="015DC068" w14:textId="77777777" w:rsidR="002F0740" w:rsidRPr="002C21B8" w:rsidRDefault="002F0740" w:rsidP="00D418D8">
      <w:pPr>
        <w:spacing w:before="240" w:after="0" w:line="240" w:lineRule="auto"/>
        <w:rPr>
          <w:b/>
          <w:bCs/>
          <w:sz w:val="28"/>
          <w:szCs w:val="28"/>
        </w:rPr>
      </w:pPr>
      <w:r w:rsidRPr="002C21B8">
        <w:rPr>
          <w:b/>
          <w:bCs/>
          <w:sz w:val="28"/>
          <w:szCs w:val="28"/>
        </w:rPr>
        <w:t>Discussion</w:t>
      </w:r>
    </w:p>
    <w:p w14:paraId="04AB043E" w14:textId="77777777" w:rsidR="002F0740" w:rsidRPr="002C21B8" w:rsidRDefault="002F0740" w:rsidP="002F0740">
      <w:pPr>
        <w:spacing w:before="240" w:after="0"/>
        <w:rPr>
          <w:b/>
          <w:bCs/>
          <w:sz w:val="24"/>
          <w:szCs w:val="24"/>
        </w:rPr>
      </w:pPr>
      <w:r w:rsidRPr="002C21B8">
        <w:rPr>
          <w:b/>
          <w:bCs/>
          <w:sz w:val="24"/>
          <w:szCs w:val="24"/>
        </w:rPr>
        <w:t>Key findings</w:t>
      </w:r>
    </w:p>
    <w:p w14:paraId="2FCE6351" w14:textId="18F8FDF5" w:rsidR="002F0740" w:rsidRPr="002C21B8" w:rsidRDefault="002F0740" w:rsidP="002F0740">
      <w:r w:rsidRPr="002C21B8">
        <w:t>Twenty-six reviews published between 2013 and 2023 were included, synthesising 689 primary studies. Patient factors perceived to influence prescribers’ decisions included age, ethnicity, education, and level of rurality of residence. Prescribers describe</w:t>
      </w:r>
      <w:r w:rsidR="000970DF" w:rsidRPr="002C21B8">
        <w:t>d</w:t>
      </w:r>
      <w:r w:rsidRPr="002C21B8">
        <w:t xml:space="preserve"> assessing individual patient characteristics when weighing the risks and benefits, with a tendency to prioritise risks – especially for patients with multiple comorbidities or complex needs. Prescribers’ approach to risk may be influenced by their clinical experience, the care setting and assessment tools. High workload and competing priorities may lead to clinical inertia in terms of delaying or preventing medication initiation. Shared decision-making may not always be shared equally between patients and prescribers. Beyond direct medication costs, prescribers may also consider broader healthcare costs</w:t>
      </w:r>
      <w:r w:rsidR="005361A3" w:rsidRPr="002C21B8">
        <w:t xml:space="preserve">. These can include </w:t>
      </w:r>
      <w:r w:rsidRPr="002C21B8">
        <w:t xml:space="preserve">the need for monitoring </w:t>
      </w:r>
      <w:r w:rsidR="00D24F0B" w:rsidRPr="002C21B8">
        <w:t>and the</w:t>
      </w:r>
      <w:r w:rsidRPr="002C21B8">
        <w:t xml:space="preserve"> use of support staff for monitoring. External factors</w:t>
      </w:r>
      <w:r w:rsidR="00D24F0B" w:rsidRPr="002C21B8">
        <w:t>,</w:t>
      </w:r>
      <w:r w:rsidRPr="002C21B8">
        <w:t xml:space="preserve"> such as guidelines</w:t>
      </w:r>
      <w:r w:rsidR="00D24F0B" w:rsidRPr="002C21B8">
        <w:t>,</w:t>
      </w:r>
      <w:r w:rsidRPr="002C21B8">
        <w:t xml:space="preserve"> may be helpful in navigating risk</w:t>
      </w:r>
      <w:r w:rsidR="005361A3" w:rsidRPr="002C21B8">
        <w:t>s. Their</w:t>
      </w:r>
      <w:r w:rsidRPr="002C21B8">
        <w:t xml:space="preserve"> effectiveness </w:t>
      </w:r>
      <w:r w:rsidR="005361A3" w:rsidRPr="002C21B8">
        <w:t xml:space="preserve">may be </w:t>
      </w:r>
      <w:r w:rsidRPr="002C21B8">
        <w:t xml:space="preserve">enhanced </w:t>
      </w:r>
      <w:r w:rsidR="005361A3" w:rsidRPr="002C21B8">
        <w:t>if they</w:t>
      </w:r>
      <w:r w:rsidRPr="002C21B8">
        <w:t xml:space="preserve"> </w:t>
      </w:r>
      <w:r w:rsidR="005361A3" w:rsidRPr="002C21B8">
        <w:t xml:space="preserve">provide </w:t>
      </w:r>
      <w:r w:rsidRPr="002C21B8">
        <w:t>specific recommendations tailored to prescribers’ population characteristics.</w:t>
      </w:r>
    </w:p>
    <w:p w14:paraId="1BC4E086" w14:textId="77777777" w:rsidR="002F0740" w:rsidRPr="002C21B8" w:rsidRDefault="002F0740" w:rsidP="002F0740">
      <w:pPr>
        <w:spacing w:before="240" w:after="0"/>
        <w:rPr>
          <w:b/>
          <w:bCs/>
          <w:sz w:val="24"/>
          <w:szCs w:val="24"/>
        </w:rPr>
      </w:pPr>
      <w:r w:rsidRPr="002C21B8">
        <w:rPr>
          <w:b/>
          <w:bCs/>
          <w:sz w:val="24"/>
          <w:szCs w:val="24"/>
        </w:rPr>
        <w:t xml:space="preserve">Our findings in the wider context </w:t>
      </w:r>
    </w:p>
    <w:p w14:paraId="6AE63873" w14:textId="65AA8D48" w:rsidR="002F0740" w:rsidRPr="002C21B8" w:rsidRDefault="002F0740" w:rsidP="002F0740">
      <w:r w:rsidRPr="002C21B8">
        <w:t xml:space="preserve">Our findings align with broader research from primary studies and highlight differences in prescribing decision-making from acute conditions, which is more widely studied </w:t>
      </w:r>
      <w:r w:rsidRPr="002C21B8">
        <w:fldChar w:fldCharType="begin">
          <w:fldData xml:space="preserve">PEVuZE5vdGU+PENpdGU+PEF1dGhvcj5MaXU8L0F1dGhvcj48WWVhcj4yMDE5PC9ZZWFyPjxSZWNO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</w:fldData>
        </w:fldChar>
      </w:r>
      <w:r w:rsidR="002F558A" w:rsidRPr="002C21B8">
        <w:instrText xml:space="preserve"> ADDIN EN.CITE </w:instrText>
      </w:r>
      <w:r w:rsidR="002F558A" w:rsidRPr="002C21B8">
        <w:fldChar w:fldCharType="begin">
          <w:fldData xml:space="preserve">PEVuZE5vdGU+PENpdGU+PEF1dGhvcj5MaXU8L0F1dGhvcj48WWVhcj4yMDE5PC9ZZWFyPjxSZWNO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</w:fldData>
        </w:fldChar>
      </w:r>
      <w:r w:rsidR="002F558A" w:rsidRPr="002C21B8">
        <w:instrText xml:space="preserve"> ADDIN EN.CITE.DATA </w:instrText>
      </w:r>
      <w:r w:rsidR="002F558A" w:rsidRPr="002C21B8">
        <w:fldChar w:fldCharType="end"/>
      </w:r>
      <w:r w:rsidRPr="002C21B8">
        <w:fldChar w:fldCharType="separate"/>
      </w:r>
      <w:r w:rsidRPr="002C21B8">
        <w:rPr>
          <w:noProof/>
        </w:rPr>
        <w:t>(Dempsey</w:t>
      </w:r>
      <w:r w:rsidRPr="002C21B8">
        <w:rPr>
          <w:i/>
          <w:noProof/>
        </w:rPr>
        <w:t xml:space="preserve"> et al.</w:t>
      </w:r>
      <w:r w:rsidRPr="002C21B8">
        <w:rPr>
          <w:noProof/>
        </w:rPr>
        <w:t>, 2014; Kasse</w:t>
      </w:r>
      <w:r w:rsidRPr="002C21B8">
        <w:rPr>
          <w:i/>
          <w:noProof/>
        </w:rPr>
        <w:t xml:space="preserve"> et al.</w:t>
      </w:r>
      <w:r w:rsidRPr="002C21B8">
        <w:rPr>
          <w:noProof/>
        </w:rPr>
        <w:t>, 2024; Liu</w:t>
      </w:r>
      <w:r w:rsidRPr="002C21B8">
        <w:rPr>
          <w:i/>
          <w:noProof/>
        </w:rPr>
        <w:t xml:space="preserve"> et al.</w:t>
      </w:r>
      <w:r w:rsidRPr="002C21B8">
        <w:rPr>
          <w:noProof/>
        </w:rPr>
        <w:t>, 2019; Poss-Doering</w:t>
      </w:r>
      <w:r w:rsidRPr="002C21B8">
        <w:rPr>
          <w:i/>
          <w:noProof/>
        </w:rPr>
        <w:t xml:space="preserve"> et al.</w:t>
      </w:r>
      <w:r w:rsidRPr="002C21B8">
        <w:rPr>
          <w:noProof/>
        </w:rPr>
        <w:t>, 2020)</w:t>
      </w:r>
      <w:r w:rsidRPr="002C21B8">
        <w:fldChar w:fldCharType="end"/>
      </w:r>
      <w:r w:rsidRPr="002C21B8">
        <w:t xml:space="preserve">. In acute prescribing, medications may be prescribed driven by clear benefits and </w:t>
      </w:r>
      <w:r w:rsidR="00D24F0B" w:rsidRPr="002C21B8">
        <w:t xml:space="preserve">the </w:t>
      </w:r>
      <w:r w:rsidRPr="002C21B8">
        <w:t xml:space="preserve">immediate clinical risk of no treatment. In contrast, prescribing for chronic conditions </w:t>
      </w:r>
      <w:r w:rsidR="002F7BB0" w:rsidRPr="002C21B8">
        <w:t>appears to</w:t>
      </w:r>
      <w:r w:rsidRPr="002C21B8">
        <w:t xml:space="preserve"> focus more on preventing disease progression and long-term complications </w:t>
      </w:r>
      <w:r w:rsidRPr="002C21B8">
        <w:fldChar w:fldCharType="begin"/>
      </w:r>
      <w:r w:rsidR="00455B2B" w:rsidRPr="002C21B8">
        <w:instrText xml:space="preserve"> ADDIN EN.CITE &lt;EndNote&gt;&lt;Cite&gt;&lt;Author&gt;Dunbar-Jacob&lt;/Author&gt;&lt;Year&gt;2001&lt;/Year&gt;&lt;RecNum&gt;124575&lt;/RecNum&gt;&lt;DisplayText&gt;(Dunbar-Jacob and Mortimer-Stephens, 2001)&lt;/DisplayText&gt;&lt;record&gt;&lt;rec-number&gt;124575&lt;/rec-number&gt;&lt;foreign-keys&gt;&lt;key app="EN" db-id="xpefzwa5hf9dt2ea9fax95x7xvxz90v09dtf" timestamp="1742385976"&gt;124575&lt;/key&gt;&lt;/foreign-keys&gt;&lt;ref-type name="Journal Article"&gt;17&lt;/ref-type&gt;&lt;contributors&gt;&lt;authors&gt;&lt;author&gt;Dunbar-Jacob, J.&lt;/author&gt;&lt;author&gt;Mortimer-Stephens, M. K.&lt;/author&gt;&lt;/authors&gt;&lt;/contributors&gt;&lt;titles&gt;&lt;title&gt;Treatment adherence in chronic disease&lt;/title&gt;&lt;secondary-title&gt;Journal of Clinical Epidemiology&lt;/secondary-title&gt;&lt;/titles&gt;&lt;periodical&gt;&lt;full-title&gt;Journal of clinical epidemiology&lt;/full-title&gt;&lt;/periodical&gt;&lt;pages&gt;S57-S60&lt;/pages&gt;&lt;volume&gt;54&lt;/volume&gt;&lt;number&gt;12&lt;/number&gt;&lt;keywords&gt;&lt;keyword&gt;Treatment adherence&lt;/keyword&gt;&lt;keyword&gt;Chronic disease&lt;/keyword&gt;&lt;/keywords&gt;&lt;dates&gt;&lt;year&gt;2001&lt;/year&gt;&lt;pub-dates&gt;&lt;date&gt;2001/12/01/&lt;/date&gt;&lt;/pub-dates&gt;&lt;/dates&gt;&lt;isbn&gt;0895-4356&lt;/isbn&gt;&lt;urls&gt;&lt;related-urls&gt;&lt;url&gt;https://www.sciencedirect.com/science/article/pii/S0895435601004577&lt;/url&gt;&lt;/related-urls&gt;&lt;/urls&gt;&lt;electronic-resource-num&gt;https://doi.org/10.1016/S0895-4356(01)00457-7&lt;/electronic-resource-num&gt;&lt;/record&gt;&lt;/Cite&gt;&lt;/EndNote&gt;</w:instrText>
      </w:r>
      <w:r w:rsidRPr="002C21B8">
        <w:fldChar w:fldCharType="separate"/>
      </w:r>
      <w:r w:rsidRPr="002C21B8">
        <w:rPr>
          <w:noProof/>
        </w:rPr>
        <w:t>(Dunbar-Jacob and Mortimer-Stephens, 2001)</w:t>
      </w:r>
      <w:r w:rsidRPr="002C21B8">
        <w:fldChar w:fldCharType="end"/>
      </w:r>
      <w:r w:rsidRPr="002C21B8">
        <w:t xml:space="preserve">. The benefits of these medications can be less immediate </w:t>
      </w:r>
      <w:r w:rsidR="00DC20E1" w:rsidRPr="002C21B8">
        <w:t>and more difficult to</w:t>
      </w:r>
      <w:r w:rsidRPr="002C21B8">
        <w:t xml:space="preserve"> assess</w:t>
      </w:r>
      <w:r w:rsidR="00DC20E1" w:rsidRPr="002C21B8">
        <w:t xml:space="preserve"> than in acute conditions</w:t>
      </w:r>
      <w:r w:rsidR="000B2E5E" w:rsidRPr="002C21B8">
        <w:t xml:space="preserve">. Consequently, </w:t>
      </w:r>
      <w:r w:rsidRPr="002C21B8">
        <w:t xml:space="preserve">healthcare professionals </w:t>
      </w:r>
      <w:r w:rsidR="00F32D8B" w:rsidRPr="002C21B8">
        <w:t xml:space="preserve">may </w:t>
      </w:r>
      <w:r w:rsidR="000B2E5E" w:rsidRPr="002C21B8">
        <w:t xml:space="preserve">place greater emphasis on potential risks, which are often more readily apparent. </w:t>
      </w:r>
      <w:r w:rsidRPr="002C21B8">
        <w:t>Risk assessments can also be considered more complex</w:t>
      </w:r>
      <w:r w:rsidR="000B2E5E" w:rsidRPr="002C21B8">
        <w:t xml:space="preserve"> for chronic conditions. They typically include consideration of </w:t>
      </w:r>
      <w:r w:rsidRPr="002C21B8">
        <w:t xml:space="preserve">factors </w:t>
      </w:r>
      <w:r w:rsidR="000B2E5E" w:rsidRPr="002C21B8">
        <w:t xml:space="preserve">such as </w:t>
      </w:r>
      <w:r w:rsidRPr="002C21B8">
        <w:t xml:space="preserve">multiple comorbidities </w:t>
      </w:r>
      <w:r w:rsidRPr="002C21B8">
        <w:fldChar w:fldCharType="begin"/>
      </w:r>
      <w:r w:rsidR="00CE4967" w:rsidRPr="002C21B8">
        <w:instrText xml:space="preserve"> ADDIN EN.CITE &lt;EndNote&gt;&lt;Cite&gt;&lt;Author&gt;Cahill&lt;/Author&gt;&lt;Year&gt;2015&lt;/Year&gt;&lt;RecNum&gt;124572&lt;/RecNum&gt;&lt;DisplayText&gt;(Cahill, 2015)&lt;/DisplayText&gt;&lt;record&gt;&lt;rec-number&gt;124572&lt;/rec-number&gt;&lt;foreign-keys&gt;&lt;key app="EN" db-id="xpefzwa5hf9dt2ea9fax95x7xvxz90v09dtf" timestamp="1742385804"&gt;124572&lt;/key&gt;&lt;/foreign-keys&gt;&lt;ref-type name="Journal Article"&gt;17&lt;/ref-type&gt;&lt;contributors&gt;&lt;authors&gt;&lt;author&gt;Cahill, P.&lt;/author&gt;&lt;/authors&gt;&lt;/contributors&gt;&lt;auth-address&gt;Deben Road Surgery, Ipswich.&lt;/auth-address&gt;&lt;titles&gt;&lt;title&gt;Prescribing for patients with multimorbidity: aiming to tailor to patient-set goals&lt;/title&gt;&lt;secondary-title&gt;British Journal of General Practice&lt;/secondary-title&gt;&lt;/titles&gt;&lt;periodical&gt;&lt;full-title&gt;British Journal of General Practice&lt;/full-title&gt;&lt;/periodical&gt;&lt;pages&gt;114-5&lt;/pages&gt;&lt;volume&gt;65&lt;/volume&gt;&lt;number&gt;632&lt;/number&gt;&lt;keywords&gt;&lt;keyword&gt;Chronic Disease/*drug therapy&lt;/keyword&gt;&lt;keyword&gt;*Comorbidity&lt;/keyword&gt;&lt;keyword&gt;General Practice/*methods&lt;/keyword&gt;&lt;keyword&gt;Health Literacy/*statistics &amp;amp; numerical data&lt;/keyword&gt;&lt;keyword&gt;Humans&lt;/keyword&gt;&lt;keyword&gt;Patient Education as Topic&lt;/keyword&gt;&lt;keyword&gt;Patient-Centered Care&lt;/keyword&gt;&lt;keyword&gt;Physician-Patient Relations&lt;/keyword&gt;&lt;keyword&gt;Practice Patterns, Physicians&amp;apos;/*organization &amp;amp; administration&lt;/keyword&gt;&lt;keyword&gt;Socioeconomic Factors&lt;/keyword&gt;&lt;/keywords&gt;&lt;dates&gt;&lt;year&gt;2015&lt;/year&gt;&lt;pub-dates&gt;&lt;date&gt;Mar&lt;/date&gt;&lt;/pub-dates&gt;&lt;/dates&gt;&lt;isbn&gt;0960-1643 (Print)&amp;#xD;0960-1643&lt;/isbn&gt;&lt;accession-num&gt;25733413&lt;/accession-num&gt;&lt;urls&gt;&lt;/urls&gt;&lt;custom2&gt;PMC4337280&lt;/custom2&gt;&lt;electronic-resource-num&gt;10.3399/bjgp15X683857&lt;/electronic-resource-num&gt;&lt;remote-database-provider&gt;NLM&lt;/remote-database-provider&gt;&lt;language&gt;eng&lt;/language&gt;&lt;/record&gt;&lt;/Cite&gt;&lt;/EndNote&gt;</w:instrText>
      </w:r>
      <w:r w:rsidRPr="002C21B8">
        <w:fldChar w:fldCharType="separate"/>
      </w:r>
      <w:r w:rsidRPr="002C21B8">
        <w:rPr>
          <w:noProof/>
        </w:rPr>
        <w:t>(Cahill, 2015)</w:t>
      </w:r>
      <w:r w:rsidRPr="002C21B8">
        <w:fldChar w:fldCharType="end"/>
      </w:r>
      <w:r w:rsidRPr="002C21B8">
        <w:t xml:space="preserve">, polypharmacy </w:t>
      </w:r>
      <w:r w:rsidRPr="002C21B8">
        <w:fldChar w:fldCharType="begin"/>
      </w:r>
      <w:r w:rsidR="002726AE" w:rsidRPr="002C21B8">
        <w:instrText xml:space="preserve"> ADDIN EN.CITE &lt;EndNote&gt;&lt;Cite&gt;&lt;Author&gt;Payne&lt;/Author&gt;&lt;Year&gt;2011&lt;/Year&gt;&lt;RecNum&gt;124573&lt;/RecNum&gt;&lt;DisplayText&gt;(Payne and Avery, 2011)&lt;/DisplayText&gt;&lt;record&gt;&lt;rec-number&gt;124573&lt;/rec-number&gt;&lt;foreign-keys&gt;&lt;key app="EN" db-id="xpefzwa5hf9dt2ea9fax95x7xvxz90v09dtf" timestamp="1742385852"&gt;124573&lt;/key&gt;&lt;/foreign-keys&gt;&lt;ref-type name="Journal Article"&gt;17&lt;/ref-type&gt;&lt;contributors&gt;&lt;authors&gt;&lt;author&gt;Payne, Rupert A&lt;/author&gt;&lt;author&gt;Avery, Anthony J&lt;/author&gt;&lt;/authors&gt;&lt;/contributors&gt;&lt;titles&gt;&lt;title&gt;Polypharmacy: one of the greatest prescribing challenges in general practice&lt;/title&gt;&lt;secondary-title&gt;British Journal of General Practice&lt;/secondary-title&gt;&lt;/titles&gt;&lt;periodical&gt;&lt;full-title&gt;British Journal of General Practice&lt;/full-title&gt;&lt;/periodical&gt;&lt;pages&gt;83-84&lt;/pages&gt;&lt;volume&gt;61&lt;/volume&gt;&lt;number&gt;583&lt;/number&gt;&lt;dates&gt;&lt;year&gt;2011&lt;/year&gt;&lt;/dates&gt;&lt;isbn&gt;0960-1643&lt;/isbn&gt;&lt;urls&gt;&lt;/urls&gt;&lt;/record&gt;&lt;/Cite&gt;&lt;/EndNote&gt;</w:instrText>
      </w:r>
      <w:r w:rsidRPr="002C21B8">
        <w:fldChar w:fldCharType="separate"/>
      </w:r>
      <w:r w:rsidRPr="002C21B8">
        <w:rPr>
          <w:noProof/>
        </w:rPr>
        <w:t>(Payne and Avery, 2011)</w:t>
      </w:r>
      <w:r w:rsidRPr="002C21B8">
        <w:fldChar w:fldCharType="end"/>
      </w:r>
      <w:r w:rsidRPr="002C21B8">
        <w:t xml:space="preserve">, consequences of non-compliance </w:t>
      </w:r>
      <w:r w:rsidRPr="002C21B8">
        <w:fldChar w:fldCharType="begin">
          <w:fldData xml:space="preserve">PEVuZE5vdGU+PENpdGU+PEF1dGhvcj5CdXJuaWVyPC9BdXRob3I+PFllYXI+MjAyNDwvWWVhcj48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</w:fldData>
        </w:fldChar>
      </w:r>
      <w:r w:rsidR="00455B2B" w:rsidRPr="002C21B8">
        <w:instrText xml:space="preserve"> ADDIN EN.CITE </w:instrText>
      </w:r>
      <w:r w:rsidR="00455B2B" w:rsidRPr="002C21B8">
        <w:fldChar w:fldCharType="begin">
          <w:fldData xml:space="preserve">PEVuZE5vdGU+PENpdGU+PEF1dGhvcj5CdXJuaWVyPC9BdXRob3I+PFllYXI+MjAyNDwvWWVhcj48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</w:fldData>
        </w:fldChar>
      </w:r>
      <w:r w:rsidR="00455B2B" w:rsidRPr="002C21B8">
        <w:instrText xml:space="preserve"> ADDIN EN.CITE.DATA </w:instrText>
      </w:r>
      <w:r w:rsidR="00455B2B" w:rsidRPr="002C21B8">
        <w:fldChar w:fldCharType="end"/>
      </w:r>
      <w:r w:rsidRPr="002C21B8">
        <w:fldChar w:fldCharType="separate"/>
      </w:r>
      <w:r w:rsidRPr="002C21B8">
        <w:rPr>
          <w:noProof/>
        </w:rPr>
        <w:t>(Burnier, 2024; Dunbar-Jacob and Mortimer-Stephens, 2001)</w:t>
      </w:r>
      <w:r w:rsidRPr="002C21B8">
        <w:fldChar w:fldCharType="end"/>
      </w:r>
      <w:r w:rsidRPr="002C21B8">
        <w:t xml:space="preserve">, treatment inadequacy </w:t>
      </w:r>
      <w:r w:rsidRPr="002C21B8">
        <w:fldChar w:fldCharType="begin"/>
      </w:r>
      <w:r w:rsidR="00455B2B" w:rsidRPr="002C21B8">
        <w:instrText xml:space="preserve"> ADDIN EN.CITE &lt;EndNote&gt;&lt;Cite&gt;&lt;Author&gt;Dunbar-Jacob&lt;/Author&gt;&lt;Year&gt;2001&lt;/Year&gt;&lt;RecNum&gt;124575&lt;/RecNum&gt;&lt;DisplayText&gt;(Dunbar-Jacob and Mortimer-Stephens, 2001)&lt;/DisplayText&gt;&lt;record&gt;&lt;rec-number&gt;124575&lt;/rec-number&gt;&lt;foreign-keys&gt;&lt;key app="EN" db-id="xpefzwa5hf9dt2ea9fax95x7xvxz90v09dtf" timestamp="1742385976"&gt;124575&lt;/key&gt;&lt;/foreign-keys&gt;&lt;ref-type name="Journal Article"&gt;17&lt;/ref-type&gt;&lt;contributors&gt;&lt;authors&gt;&lt;author&gt;Dunbar-Jacob, J.&lt;/author&gt;&lt;author&gt;Mortimer-Stephens, M. K.&lt;/author&gt;&lt;/authors&gt;&lt;/contributors&gt;&lt;titles&gt;&lt;title&gt;Treatment adherence in chronic disease&lt;/title&gt;&lt;secondary-title&gt;Journal of Clinical Epidemiology&lt;/secondary-title&gt;&lt;/titles&gt;&lt;periodical&gt;&lt;full-title&gt;Journal of clinical epidemiology&lt;/full-title&gt;&lt;/periodical&gt;&lt;pages&gt;S57-S60&lt;/pages&gt;&lt;volume&gt;54&lt;/volume&gt;&lt;number&gt;12&lt;/number&gt;&lt;keywords&gt;&lt;keyword&gt;Treatment adherence&lt;/keyword&gt;&lt;keyword&gt;Chronic disease&lt;/keyword&gt;&lt;/keywords&gt;&lt;dates&gt;&lt;year&gt;2001&lt;/year&gt;&lt;pub-dates&gt;&lt;date&gt;2001/12/01/&lt;/date&gt;&lt;/pub-dates&gt;&lt;/dates&gt;&lt;isbn&gt;0895-4356&lt;/isbn&gt;&lt;urls&gt;&lt;related-urls&gt;&lt;url&gt;https://www.sciencedirect.com/science/article/pii/S0895435601004577&lt;/url&gt;&lt;/related-urls&gt;&lt;/urls&gt;&lt;electronic-resource-num&gt;https://doi.org/10.1016/S0895-4356(01)00457-7&lt;/electronic-resource-num&gt;&lt;/record&gt;&lt;/Cite&gt;&lt;/EndNote&gt;</w:instrText>
      </w:r>
      <w:r w:rsidRPr="002C21B8">
        <w:fldChar w:fldCharType="separate"/>
      </w:r>
      <w:r w:rsidRPr="002C21B8">
        <w:rPr>
          <w:noProof/>
        </w:rPr>
        <w:t>(Dunbar-Jacob and Mortimer-Stephens, 2001)</w:t>
      </w:r>
      <w:r w:rsidRPr="002C21B8">
        <w:fldChar w:fldCharType="end"/>
      </w:r>
      <w:r w:rsidRPr="002C21B8">
        <w:t xml:space="preserve">, and cumulative end-organ risk </w:t>
      </w:r>
      <w:r w:rsidRPr="002C21B8">
        <w:fldChar w:fldCharType="begin">
          <w:fldData xml:space="preserve">PEVuZE5vdGU+PENpdGU+PEF1dGhvcj5MaXU8L0F1dGhvcj48WWVhcj4yMDIxPC9ZZWFyPjxSZWNO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</w:fldData>
        </w:fldChar>
      </w:r>
      <w:r w:rsidRPr="002C21B8">
        <w:instrText xml:space="preserve"> ADDIN EN.CITE </w:instrText>
      </w:r>
      <w:r w:rsidRPr="002C21B8">
        <w:fldChar w:fldCharType="begin">
          <w:fldData xml:space="preserve">PEVuZE5vdGU+PENpdGU+PEF1dGhvcj5MaXU8L0F1dGhvcj48WWVhcj4yMDIxPC9ZZWFyPjxSZWNO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</w:fldData>
        </w:fldChar>
      </w:r>
      <w:r w:rsidRPr="002C21B8">
        <w:instrText xml:space="preserve"> ADDIN EN.CITE.DATA </w:instrText>
      </w:r>
      <w:r w:rsidRPr="002C21B8">
        <w:fldChar w:fldCharType="end"/>
      </w:r>
      <w:r w:rsidRPr="002C21B8">
        <w:fldChar w:fldCharType="separate"/>
      </w:r>
      <w:r w:rsidRPr="002C21B8">
        <w:t>(Liu</w:t>
      </w:r>
      <w:r w:rsidRPr="002C21B8">
        <w:rPr>
          <w:i/>
        </w:rPr>
        <w:t xml:space="preserve"> et al.</w:t>
      </w:r>
      <w:r w:rsidRPr="002C21B8">
        <w:t>, 2021)</w:t>
      </w:r>
      <w:r w:rsidRPr="002C21B8">
        <w:fldChar w:fldCharType="end"/>
      </w:r>
      <w:r w:rsidRPr="002C21B8">
        <w:t xml:space="preserve">. While caution is needed, this heightened focus on risk may lead to overly cautious decision-making. Given that medication risks in chronic conditions may be long-term and dynamic, repeat assessments may be needed as conditions change or new medications are introduced </w:t>
      </w:r>
      <w:r w:rsidRPr="002C21B8">
        <w:fldChar w:fldCharType="begin"/>
      </w:r>
      <w:r w:rsidR="000215B0" w:rsidRPr="002C21B8">
        <w:instrText xml:space="preserve"> ADDIN EN.CITE &lt;EndNote&gt;&lt;Cite&gt;&lt;Author&gt;Thompson&lt;/Author&gt;&lt;Year&gt;2012&lt;/Year&gt;&lt;RecNum&gt;124561&lt;/RecNum&gt;&lt;DisplayText&gt;(Thompson and Pascal, 2012)&lt;/DisplayText&gt;&lt;record&gt;&lt;rec-number&gt;124561&lt;/rec-number&gt;&lt;foreign-keys&gt;&lt;key app="EN" db-id="xpefzwa5hf9dt2ea9fax95x7xvxz90v09dtf" timestamp="1742232274"&gt;124561&lt;/key&gt;&lt;/foreign-keys&gt;&lt;ref-type name="Journal Article"&gt;17&lt;/ref-type&gt;&lt;contributors&gt;&lt;authors&gt;&lt;author&gt;Thompson, Neil&lt;/author&gt;&lt;author&gt;Pascal, Jan&lt;/author&gt;&lt;/authors&gt;&lt;/contributors&gt;&lt;titles&gt;&lt;title&gt;Developing critically reflective practice&lt;/title&gt;&lt;secondary-title&gt;Reflective Practice&lt;/secondary-title&gt;&lt;/titles&gt;&lt;periodical&gt;&lt;full-title&gt;Reflective practice&lt;/full-title&gt;&lt;/periodical&gt;&lt;pages&gt;311-325&lt;/pages&gt;&lt;volume&gt;13&lt;/volume&gt;&lt;number&gt;2&lt;/number&gt;&lt;dates&gt;&lt;year&gt;2012&lt;/year&gt;&lt;/dates&gt;&lt;isbn&gt;1462-3943&lt;/isbn&gt;&lt;urls&gt;&lt;/urls&gt;&lt;/record&gt;&lt;/Cite&gt;&lt;/EndNote&gt;</w:instrText>
      </w:r>
      <w:r w:rsidRPr="002C21B8">
        <w:fldChar w:fldCharType="separate"/>
      </w:r>
      <w:r w:rsidRPr="002C21B8">
        <w:rPr>
          <w:noProof/>
        </w:rPr>
        <w:t>(Thompson and Pascal, 2012)</w:t>
      </w:r>
      <w:r w:rsidRPr="002C21B8">
        <w:fldChar w:fldCharType="end"/>
      </w:r>
      <w:r w:rsidRPr="002C21B8">
        <w:t>.</w:t>
      </w:r>
    </w:p>
    <w:p w14:paraId="45F5E5EB" w14:textId="22A79CEC" w:rsidR="000B2E5E" w:rsidRPr="002C21B8" w:rsidRDefault="002F0740" w:rsidP="002F0740">
      <w:r w:rsidRPr="002C21B8">
        <w:t xml:space="preserve">Time constraints impact prescribing differently in acute versus chronic prescribing conditions. In acute conditions like infections, time pressures can increase the likelihood of prescribing, as some healthcare professionals prefer to avoid lengthy explanations about why antibiotics are unnecessary and challenging consultations with patients. These shorter consultations then allow them to see more patients </w:t>
      </w:r>
      <w:r w:rsidRPr="002C21B8">
        <w:fldChar w:fldCharType="begin">
          <w:fldData xml:space="preserve">PEVuZE5vdGU+PENpdGU+PEF1dGhvcj5MaXU8L0F1dGhvcj48WWVhcj4yMDE5PC9ZZWFyPjxSZWNO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</w:fldData>
        </w:fldChar>
      </w:r>
      <w:r w:rsidR="002F558A" w:rsidRPr="002C21B8">
        <w:instrText xml:space="preserve"> ADDIN EN.CITE </w:instrText>
      </w:r>
      <w:r w:rsidR="002F558A" w:rsidRPr="002C21B8">
        <w:fldChar w:fldCharType="begin">
          <w:fldData xml:space="preserve">PEVuZE5vdGU+PENpdGU+PEF1dGhvcj5MaXU8L0F1dGhvcj48WWVhcj4yMDE5PC9ZZWFyPjxSZWNO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</w:fldData>
        </w:fldChar>
      </w:r>
      <w:r w:rsidR="002F558A" w:rsidRPr="002C21B8">
        <w:instrText xml:space="preserve"> ADDIN EN.CITE.DATA </w:instrText>
      </w:r>
      <w:r w:rsidR="002F558A" w:rsidRPr="002C21B8">
        <w:fldChar w:fldCharType="end"/>
      </w:r>
      <w:r w:rsidRPr="002C21B8">
        <w:fldChar w:fldCharType="separate"/>
      </w:r>
      <w:r w:rsidRPr="002C21B8">
        <w:rPr>
          <w:noProof/>
        </w:rPr>
        <w:t>(Dempsey</w:t>
      </w:r>
      <w:r w:rsidRPr="002C21B8">
        <w:rPr>
          <w:i/>
          <w:noProof/>
        </w:rPr>
        <w:t xml:space="preserve"> et al.</w:t>
      </w:r>
      <w:r w:rsidRPr="002C21B8">
        <w:rPr>
          <w:noProof/>
        </w:rPr>
        <w:t>, 2014; Liu</w:t>
      </w:r>
      <w:r w:rsidRPr="002C21B8">
        <w:rPr>
          <w:i/>
          <w:noProof/>
        </w:rPr>
        <w:t xml:space="preserve"> et al.</w:t>
      </w:r>
      <w:r w:rsidRPr="002C21B8">
        <w:rPr>
          <w:noProof/>
        </w:rPr>
        <w:t>, 2019; Poss-Doering</w:t>
      </w:r>
      <w:r w:rsidRPr="002C21B8">
        <w:rPr>
          <w:i/>
          <w:noProof/>
        </w:rPr>
        <w:t xml:space="preserve"> et al.</w:t>
      </w:r>
      <w:r w:rsidRPr="002C21B8">
        <w:rPr>
          <w:noProof/>
        </w:rPr>
        <w:t>, 2020; Yates</w:t>
      </w:r>
      <w:r w:rsidRPr="002C21B8">
        <w:rPr>
          <w:i/>
          <w:noProof/>
        </w:rPr>
        <w:t xml:space="preserve"> et al.</w:t>
      </w:r>
      <w:r w:rsidRPr="002C21B8">
        <w:rPr>
          <w:noProof/>
        </w:rPr>
        <w:t>, 2018)</w:t>
      </w:r>
      <w:r w:rsidRPr="002C21B8">
        <w:fldChar w:fldCharType="end"/>
      </w:r>
      <w:r w:rsidRPr="002C21B8">
        <w:t>. However, in chronic conditions, this overview of systematic reviews suggests that long-term medications may not be prescribed even when indicated</w:t>
      </w:r>
      <w:r w:rsidR="00C73A01" w:rsidRPr="002C21B8">
        <w:t>,</w:t>
      </w:r>
      <w:r w:rsidR="000B2E5E" w:rsidRPr="002C21B8">
        <w:t xml:space="preserve"> </w:t>
      </w:r>
      <w:r w:rsidRPr="002C21B8">
        <w:t>when there are time pressures</w:t>
      </w:r>
      <w:r w:rsidR="00C73A01" w:rsidRPr="002C21B8">
        <w:t xml:space="preserve"> described as</w:t>
      </w:r>
      <w:r w:rsidR="000B2E5E" w:rsidRPr="002C21B8">
        <w:t xml:space="preserve"> clinical inertia</w:t>
      </w:r>
      <w:r w:rsidRPr="002C21B8">
        <w:t>.</w:t>
      </w:r>
      <w:r w:rsidR="000B2E5E" w:rsidRPr="002C21B8">
        <w:t xml:space="preserve"> This may be because long-term medications involve prolonged exposure and delayed benefits, </w:t>
      </w:r>
      <w:r w:rsidR="001B509F" w:rsidRPr="002C21B8">
        <w:t>which increase the complexity of risk-benefit decision-making.</w:t>
      </w:r>
    </w:p>
    <w:p w14:paraId="1EDA938A" w14:textId="28E17BC3" w:rsidR="002F0740" w:rsidRPr="002C21B8" w:rsidRDefault="002F0740" w:rsidP="002F0740">
      <w:pPr>
        <w:rPr>
          <w:color w:val="000000"/>
        </w:rPr>
      </w:pPr>
      <w:r w:rsidRPr="002C21B8">
        <w:t>Several prescriber factors may also lead to clinical inertia, including insufficient training, limited involvement in research, lack of familiarity with guidelines and a lack of awareness about recent advanc</w:t>
      </w:r>
      <w:r w:rsidR="00C73A01" w:rsidRPr="002C21B8">
        <w:t>e</w:t>
      </w:r>
      <w:r w:rsidRPr="002C21B8">
        <w:t xml:space="preserve">ments in treatment options </w:t>
      </w:r>
      <w:r w:rsidRPr="002C21B8">
        <w:fldChar w:fldCharType="begin">
          <w:fldData xml:space="preserve">PEVuZE5vdGU+PENpdGU+PEF1dGhvcj5BdWpvdWxhdDwvQXV0aG9yPjxZZWFyPjIwMTQ8L1llYXI+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</w:fldData>
        </w:fldChar>
      </w:r>
      <w:r w:rsidR="00A46115" w:rsidRPr="002C21B8">
        <w:instrText xml:space="preserve"> ADDIN EN.CITE </w:instrText>
      </w:r>
      <w:r w:rsidR="00A46115" w:rsidRPr="002C21B8">
        <w:fldChar w:fldCharType="begin">
          <w:fldData xml:space="preserve">PEVuZE5vdGU+PENpdGU+PEF1dGhvcj5BdWpvdWxhdDwvQXV0aG9yPjxZZWFyPjIwMTQ8L1llYXI+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</w:fldData>
        </w:fldChar>
      </w:r>
      <w:r w:rsidR="00A46115" w:rsidRPr="002C21B8">
        <w:instrText xml:space="preserve"> ADDIN EN.CITE.DATA </w:instrText>
      </w:r>
      <w:r w:rsidR="00A46115" w:rsidRPr="002C21B8">
        <w:fldChar w:fldCharType="end"/>
      </w:r>
      <w:r w:rsidRPr="002C21B8">
        <w:fldChar w:fldCharType="separate"/>
      </w:r>
      <w:r w:rsidRPr="002C21B8">
        <w:rPr>
          <w:noProof/>
        </w:rPr>
        <w:t>(Andreozzi</w:t>
      </w:r>
      <w:r w:rsidRPr="002C21B8">
        <w:rPr>
          <w:i/>
          <w:noProof/>
        </w:rPr>
        <w:t xml:space="preserve"> et al.</w:t>
      </w:r>
      <w:r w:rsidRPr="002C21B8">
        <w:rPr>
          <w:noProof/>
        </w:rPr>
        <w:t>, 2020; Aujoulat</w:t>
      </w:r>
      <w:r w:rsidRPr="002C21B8">
        <w:rPr>
          <w:i/>
          <w:noProof/>
        </w:rPr>
        <w:t xml:space="preserve"> et al.</w:t>
      </w:r>
      <w:r w:rsidRPr="002C21B8">
        <w:rPr>
          <w:noProof/>
        </w:rPr>
        <w:t>, 2014; Khunti, Davies and Khunti, 2015; Reach</w:t>
      </w:r>
      <w:r w:rsidRPr="002C21B8">
        <w:rPr>
          <w:i/>
          <w:noProof/>
        </w:rPr>
        <w:t xml:space="preserve"> et al.</w:t>
      </w:r>
      <w:r w:rsidRPr="002C21B8">
        <w:rPr>
          <w:noProof/>
        </w:rPr>
        <w:t>, 2017)</w:t>
      </w:r>
      <w:r w:rsidRPr="002C21B8">
        <w:fldChar w:fldCharType="end"/>
      </w:r>
      <w:r w:rsidRPr="002C21B8">
        <w:t>.</w:t>
      </w:r>
      <w:r w:rsidRPr="002C21B8">
        <w:rPr>
          <w:color w:val="000000"/>
        </w:rPr>
        <w:t xml:space="preserve"> When prescribing for chronic conditions, there may be a lack of immediate feedback on whether the medication is having the desired effect, unlike acute conditions</w:t>
      </w:r>
      <w:r w:rsidR="00181684" w:rsidRPr="002C21B8">
        <w:rPr>
          <w:color w:val="000000"/>
        </w:rPr>
        <w:t>,</w:t>
      </w:r>
      <w:r w:rsidRPr="002C21B8">
        <w:rPr>
          <w:color w:val="000000"/>
        </w:rPr>
        <w:t xml:space="preserve"> where the outcome is more apparent as the condition resolves quickly or symptoms are better </w:t>
      </w:r>
      <w:r w:rsidRPr="002C21B8">
        <w:t>controlled</w:t>
      </w:r>
      <w:r w:rsidRPr="002C21B8">
        <w:rPr>
          <w:color w:val="000000"/>
        </w:rPr>
        <w:t>. Without clear, short-term evidence of success</w:t>
      </w:r>
      <w:r w:rsidR="00181684" w:rsidRPr="002C21B8">
        <w:rPr>
          <w:color w:val="000000"/>
        </w:rPr>
        <w:t>,</w:t>
      </w:r>
      <w:r w:rsidRPr="002C21B8">
        <w:rPr>
          <w:color w:val="000000"/>
        </w:rPr>
        <w:t xml:space="preserve"> prescribers may see prescribing long-term medications for chronic conditions to be </w:t>
      </w:r>
      <w:r w:rsidR="00181684" w:rsidRPr="002C21B8">
        <w:rPr>
          <w:color w:val="000000"/>
        </w:rPr>
        <w:t xml:space="preserve">a </w:t>
      </w:r>
      <w:r w:rsidRPr="002C21B8">
        <w:rPr>
          <w:color w:val="000000"/>
        </w:rPr>
        <w:t>lower priority</w:t>
      </w:r>
      <w:r w:rsidR="001B509F" w:rsidRPr="002C21B8">
        <w:rPr>
          <w:color w:val="000000"/>
        </w:rPr>
        <w:t>,</w:t>
      </w:r>
      <w:r w:rsidRPr="002C21B8">
        <w:rPr>
          <w:color w:val="000000"/>
        </w:rPr>
        <w:t xml:space="preserve"> especially if they are unaware of the evidence base for the medication or less experienced </w:t>
      </w:r>
      <w:r w:rsidRPr="002C21B8">
        <w:fldChar w:fldCharType="begin"/>
      </w:r>
      <w:r w:rsidR="000215B0" w:rsidRPr="002C21B8">
        <w:instrText xml:space="preserve"> ADDIN EN.CITE &lt;EndNote&gt;&lt;Cite&gt;&lt;Author&gt;Ryan&lt;/Author&gt;&lt;Year&gt;2013&lt;/Year&gt;&lt;RecNum&gt;124581&lt;/RecNum&gt;&lt;DisplayText&gt;(Ryan&lt;style face="italic"&gt; et al.&lt;/style&gt;, 2013)&lt;/DisplayText&gt;&lt;record&gt;&lt;rec-number&gt;124581&lt;/rec-number&gt;&lt;foreign-keys&gt;&lt;key app="EN" db-id="xpefzwa5hf9dt2ea9fax95x7xvxz90v09dtf" timestamp="1742393145"&gt;124581&lt;/key&gt;&lt;/foreign-keys&gt;&lt;ref-type name="Journal Article"&gt;17&lt;/ref-type&gt;&lt;contributors&gt;&lt;authors&gt;&lt;author&gt;Ryan, Cristín&lt;/author&gt;&lt;author&gt;Ross, Sarah&lt;/author&gt;&lt;author&gt;Davey, Peter&lt;/author&gt;&lt;author&gt;Duncan, Eilidh M&lt;/author&gt;&lt;author&gt;Fielding, Shona&lt;/author&gt;&lt;author&gt;Francis, Jill J&lt;/author&gt;&lt;author&gt;Johnston, Marie&lt;/author&gt;&lt;author&gt;Ker, Jean&lt;/author&gt;&lt;author&gt;Lee, Amanda Jane&lt;/author&gt;&lt;author&gt;MacLeod, Mary Joan&lt;/author&gt;&lt;/authors&gt;&lt;/contributors&gt;&lt;titles&gt;&lt;title&gt;Junior doctors&amp;apos; perceptions of their self‐efficacy in prescribing, their prescribing errors and the possible causes of errors&lt;/title&gt;&lt;secondary-title&gt;British Journal of Clinical Pharmacology&lt;/secondary-title&gt;&lt;/titles&gt;&lt;periodical&gt;&lt;full-title&gt;British Journal of Clinical Pharmacology&lt;/full-title&gt;&lt;/periodical&gt;&lt;pages&gt;980-987&lt;/pages&gt;&lt;volume&gt;76&lt;/volume&gt;&lt;number&gt;6&lt;/number&gt;&lt;dates&gt;&lt;year&gt;2013&lt;/year&gt;&lt;/dates&gt;&lt;isbn&gt;0306-5251&lt;/isbn&gt;&lt;urls&gt;&lt;/urls&gt;&lt;/record&gt;&lt;/Cite&gt;&lt;/EndNote&gt;</w:instrText>
      </w:r>
      <w:r w:rsidRPr="002C21B8">
        <w:fldChar w:fldCharType="separate"/>
      </w:r>
      <w:r w:rsidRPr="002C21B8">
        <w:rPr>
          <w:noProof/>
        </w:rPr>
        <w:t>(Ryan</w:t>
      </w:r>
      <w:r w:rsidRPr="002C21B8">
        <w:rPr>
          <w:i/>
          <w:noProof/>
        </w:rPr>
        <w:t xml:space="preserve"> et al.</w:t>
      </w:r>
      <w:r w:rsidRPr="002C21B8">
        <w:rPr>
          <w:noProof/>
        </w:rPr>
        <w:t>, 2013)</w:t>
      </w:r>
      <w:r w:rsidRPr="002C21B8">
        <w:fldChar w:fldCharType="end"/>
      </w:r>
      <w:r w:rsidRPr="002C21B8">
        <w:t>.</w:t>
      </w:r>
      <w:r w:rsidRPr="002C21B8">
        <w:rPr>
          <w:color w:val="000000"/>
        </w:rPr>
        <w:t xml:space="preserve"> M</w:t>
      </w:r>
      <w:r w:rsidRPr="002C21B8">
        <w:t xml:space="preserve">ore experienced healthcare professionals may also experience inertia, finding it difficult to adopt new practices or unlearn outdated ones </w:t>
      </w:r>
      <w:r w:rsidRPr="002C21B8">
        <w:fldChar w:fldCharType="begin">
          <w:fldData xml:space="preserve">PEVuZE5vdGU+PENpdGU+PEF1dGhvcj5TdGVpbm1hbjwvQXV0aG9yPjxZZWFyPjIwMTg8L1llYXI+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</w:fldData>
        </w:fldChar>
      </w:r>
      <w:r w:rsidR="00A46115" w:rsidRPr="002C21B8">
        <w:instrText xml:space="preserve"> ADDIN EN.CITE </w:instrText>
      </w:r>
      <w:r w:rsidR="00A46115" w:rsidRPr="002C21B8">
        <w:fldChar w:fldCharType="begin">
          <w:fldData xml:space="preserve">PEVuZE5vdGU+PENpdGU+PEF1dGhvcj5TdGVpbm1hbjwvQXV0aG9yPjxZZWFyPjIwMTg8L1llYXI+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</w:fldData>
        </w:fldChar>
      </w:r>
      <w:r w:rsidR="00A46115" w:rsidRPr="002C21B8">
        <w:instrText xml:space="preserve"> ADDIN EN.CITE.DATA </w:instrText>
      </w:r>
      <w:r w:rsidR="00A46115" w:rsidRPr="002C21B8">
        <w:fldChar w:fldCharType="end"/>
      </w:r>
      <w:r w:rsidRPr="002C21B8">
        <w:fldChar w:fldCharType="separate"/>
      </w:r>
      <w:r w:rsidRPr="002C21B8">
        <w:rPr>
          <w:noProof/>
        </w:rPr>
        <w:t>(Aujoulat</w:t>
      </w:r>
      <w:r w:rsidRPr="002C21B8">
        <w:rPr>
          <w:i/>
          <w:noProof/>
        </w:rPr>
        <w:t xml:space="preserve"> et al.</w:t>
      </w:r>
      <w:r w:rsidRPr="002C21B8">
        <w:rPr>
          <w:noProof/>
        </w:rPr>
        <w:t>, 2014; Gupta, Boland and Aron, 2017; Roumie</w:t>
      </w:r>
      <w:r w:rsidRPr="002C21B8">
        <w:rPr>
          <w:i/>
          <w:noProof/>
        </w:rPr>
        <w:t xml:space="preserve"> et al.</w:t>
      </w:r>
      <w:r w:rsidRPr="002C21B8">
        <w:rPr>
          <w:noProof/>
        </w:rPr>
        <w:t>, 2007; Steinman and Landefeld, 2018)</w:t>
      </w:r>
      <w:r w:rsidRPr="002C21B8">
        <w:fldChar w:fldCharType="end"/>
      </w:r>
      <w:r w:rsidR="001B509F" w:rsidRPr="002C21B8">
        <w:t xml:space="preserve">. This may be related to their </w:t>
      </w:r>
      <w:r w:rsidRPr="002C21B8">
        <w:t>confidence in their clinical judgement and past experiences</w:t>
      </w:r>
      <w:r w:rsidR="0094022D" w:rsidRPr="002C21B8">
        <w:t xml:space="preserve"> with existing medications</w:t>
      </w:r>
      <w:r w:rsidRPr="002C21B8">
        <w:t xml:space="preserve"> </w:t>
      </w:r>
      <w:r w:rsidRPr="002C21B8">
        <w:fldChar w:fldCharType="begin"/>
      </w:r>
      <w:r w:rsidR="00763983" w:rsidRPr="002C21B8">
        <w:instrText xml:space="preserve"> ADDIN EN.CITE &lt;EndNote&gt;&lt;Cite&gt;&lt;Author&gt;Hajjaj&lt;/Author&gt;&lt;Year&gt;2010&lt;/Year&gt;&lt;RecNum&gt;124586&lt;/RecNum&gt;&lt;DisplayText&gt;(Hajjaj&lt;style face="italic"&gt; et al.&lt;/style&gt;, 2010)&lt;/DisplayText&gt;&lt;record&gt;&lt;rec-number&gt;124586&lt;/rec-number&gt;&lt;foreign-keys&gt;&lt;key app="EN" db-id="xpefzwa5hf9dt2ea9fax95x7xvxz90v09dtf" timestamp="1742396019"&gt;124586&lt;/key&gt;&lt;/foreign-keys&gt;&lt;ref-type name="Journal Article"&gt;17&lt;/ref-type&gt;&lt;contributors&gt;&lt;authors&gt;&lt;author&gt;Hajjaj, F. M.&lt;/author&gt;&lt;author&gt;Salek, M. S.&lt;/author&gt;&lt;author&gt;Basra, M. K.&lt;/author&gt;&lt;author&gt;Finlay, A. Y.&lt;/author&gt;&lt;/authors&gt;&lt;/contributors&gt;&lt;auth-address&gt;Department of Dermatology and Wound Healing, School of Medicine, Cardiff University, UK. fadihajjaj@hotmail.com&lt;/auth-address&gt;&lt;titles&gt;&lt;title&gt;Non-clinical influences on clinical decision-making: a major challenge to evidence-based practice&lt;/title&gt;&lt;secondary-title&gt;Journal of the Royal Society of Medicine&lt;/secondary-title&gt;&lt;/titles&gt;&lt;periodical&gt;&lt;full-title&gt;Journal of the Royal Society of Medicine&lt;/full-title&gt;&lt;/periodical&gt;&lt;pages&gt;178-87&lt;/pages&gt;&lt;volume&gt;103&lt;/volume&gt;&lt;number&gt;5&lt;/number&gt;&lt;keywords&gt;&lt;keyword&gt;Attitude to Health&lt;/keyword&gt;&lt;keyword&gt;*Decision Making&lt;/keyword&gt;&lt;keyword&gt;*Evidence-Based Medicine&lt;/keyword&gt;&lt;keyword&gt;*Health Services Accessibility&lt;/keyword&gt;&lt;keyword&gt;Humans&lt;/keyword&gt;&lt;keyword&gt;Interpersonal Relations&lt;/keyword&gt;&lt;keyword&gt;Organizational Policy&lt;/keyword&gt;&lt;keyword&gt;*Practice Patterns, Physicians&amp;apos;&lt;/keyword&gt;&lt;keyword&gt;Prejudice&lt;/keyword&gt;&lt;keyword&gt;Socioeconomic Factors&lt;/keyword&gt;&lt;/keywords&gt;&lt;dates&gt;&lt;year&gt;2010&lt;/year&gt;&lt;pub-dates&gt;&lt;date&gt;May&lt;/date&gt;&lt;/pub-dates&gt;&lt;/dates&gt;&lt;isbn&gt;0141-0768 (Print)&amp;#xD;0141-0768&lt;/isbn&gt;&lt;accession-num&gt;20436026&lt;/accession-num&gt;&lt;urls&gt;&lt;/urls&gt;&lt;custom2&gt;PMC2862069&lt;/custom2&gt;&lt;electronic-resource-num&gt;10.1258/jrsm.2010.100104&lt;/electronic-resource-num&gt;&lt;remote-database-provider&gt;NLM&lt;/remote-database-provider&gt;&lt;language&gt;eng&lt;/language&gt;&lt;/record&gt;&lt;/Cite&gt;&lt;/EndNote&gt;</w:instrText>
      </w:r>
      <w:r w:rsidRPr="002C21B8">
        <w:fldChar w:fldCharType="separate"/>
      </w:r>
      <w:r w:rsidRPr="002C21B8">
        <w:rPr>
          <w:noProof/>
        </w:rPr>
        <w:t>(Hajjaj</w:t>
      </w:r>
      <w:r w:rsidRPr="002C21B8">
        <w:rPr>
          <w:i/>
          <w:noProof/>
        </w:rPr>
        <w:t xml:space="preserve"> et al.</w:t>
      </w:r>
      <w:r w:rsidRPr="002C21B8">
        <w:rPr>
          <w:noProof/>
        </w:rPr>
        <w:t>, 2010)</w:t>
      </w:r>
      <w:r w:rsidRPr="002C21B8">
        <w:fldChar w:fldCharType="end"/>
      </w:r>
      <w:r w:rsidRPr="002C21B8">
        <w:t>.</w:t>
      </w:r>
    </w:p>
    <w:p w14:paraId="425AD86B" w14:textId="1D274A71" w:rsidR="002F0740" w:rsidRPr="002C21B8" w:rsidRDefault="002F0740" w:rsidP="002F0740">
      <w:r w:rsidRPr="002C21B8">
        <w:t>Prescribing inertia may manifest differently across different care settings. Primary care prescribers, managing a wide range of conditions, tend to prioritise risk reduction and adhere strictly to guidelines</w:t>
      </w:r>
      <w:r w:rsidR="00B359F0" w:rsidRPr="002C21B8">
        <w:t xml:space="preserve">. They have described </w:t>
      </w:r>
      <w:r w:rsidRPr="002C21B8">
        <w:t xml:space="preserve">hesitating to prescribe high-risk medications without specialist input due to concerns about </w:t>
      </w:r>
      <w:r w:rsidR="00B359F0" w:rsidRPr="002C21B8">
        <w:t xml:space="preserve">potential </w:t>
      </w:r>
      <w:r w:rsidRPr="002C21B8">
        <w:t xml:space="preserve">complications </w:t>
      </w:r>
      <w:r w:rsidRPr="002C21B8">
        <w:fldChar w:fldCharType="begin">
          <w:fldData xml:space="preserve">PEVuZE5vdGU+PENpdGU+PEF1dGhvcj5EYW1hcmVsbDwvQXV0aG9yPjxZZWFyPjIwMjA8L1llYXI+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</w:fldData>
        </w:fldChar>
      </w:r>
      <w:r w:rsidR="00CE4967" w:rsidRPr="002C21B8">
        <w:instrText xml:space="preserve"> ADDIN EN.CITE </w:instrText>
      </w:r>
      <w:r w:rsidR="00CE4967" w:rsidRPr="002C21B8">
        <w:fldChar w:fldCharType="begin">
          <w:fldData xml:space="preserve">PEVuZE5vdGU+PENpdGU+PEF1dGhvcj5EYW1hcmVsbDwvQXV0aG9yPjxZZWFyPjIwMjA8L1llYXI+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</w:fldData>
        </w:fldChar>
      </w:r>
      <w:r w:rsidR="00CE4967" w:rsidRPr="002C21B8">
        <w:instrText xml:space="preserve"> ADDIN EN.CITE.DATA </w:instrText>
      </w:r>
      <w:r w:rsidR="00CE4967" w:rsidRPr="002C21B8">
        <w:fldChar w:fldCharType="end"/>
      </w:r>
      <w:r w:rsidRPr="002C21B8">
        <w:fldChar w:fldCharType="separate"/>
      </w:r>
      <w:r w:rsidRPr="002C21B8">
        <w:rPr>
          <w:noProof/>
        </w:rPr>
        <w:t>(Carrier</w:t>
      </w:r>
      <w:r w:rsidRPr="002C21B8">
        <w:rPr>
          <w:i/>
          <w:noProof/>
        </w:rPr>
        <w:t xml:space="preserve"> et al.</w:t>
      </w:r>
      <w:r w:rsidRPr="002C21B8">
        <w:rPr>
          <w:noProof/>
        </w:rPr>
        <w:t>, 2019; Damarell, Morgan and Tieman, 2020)</w:t>
      </w:r>
      <w:r w:rsidRPr="002C21B8">
        <w:fldChar w:fldCharType="end"/>
      </w:r>
      <w:r w:rsidRPr="002C21B8">
        <w:t>. Communication challenges at the primary-secondary care interface further exacerbate this caution</w:t>
      </w:r>
      <w:r w:rsidR="006E4057" w:rsidRPr="002C21B8">
        <w:t>,</w:t>
      </w:r>
      <w:r w:rsidRPr="002C21B8">
        <w:t xml:space="preserve"> with primary care prescribers feeling they cannot easily contact specialists for support </w:t>
      </w:r>
      <w:r w:rsidRPr="002C21B8">
        <w:fldChar w:fldCharType="begin">
          <w:fldData xml:space="preserve">PEVuZE5vdGU+PENpdGU+PEF1dGhvcj5TYW1wc29uPC9BdXRob3I+PFllYXI+MjAxNTwvWWVhcj48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</w:fldData>
        </w:fldChar>
      </w:r>
      <w:r w:rsidR="000215B0" w:rsidRPr="002C21B8">
        <w:instrText xml:space="preserve"> ADDIN EN.CITE </w:instrText>
      </w:r>
      <w:r w:rsidR="000215B0" w:rsidRPr="002C21B8">
        <w:fldChar w:fldCharType="begin">
          <w:fldData xml:space="preserve">PEVuZE5vdGU+PENpdGU+PEF1dGhvcj5TYW1wc29uPC9BdXRob3I+PFllYXI+MjAxNTwvWWVhcj48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(Boddy and Avery, 2023; Johnston and Bennett, 2019; Kozlowska</w:t>
      </w:r>
      <w:r w:rsidRPr="002C21B8">
        <w:rPr>
          <w:i/>
          <w:noProof/>
        </w:rPr>
        <w:t xml:space="preserve"> et al.</w:t>
      </w:r>
      <w:r w:rsidRPr="002C21B8">
        <w:rPr>
          <w:noProof/>
        </w:rPr>
        <w:t>, 2018; Sampson</w:t>
      </w:r>
      <w:r w:rsidRPr="002C21B8">
        <w:rPr>
          <w:i/>
          <w:noProof/>
        </w:rPr>
        <w:t xml:space="preserve"> et al.</w:t>
      </w:r>
      <w:r w:rsidRPr="002C21B8">
        <w:rPr>
          <w:noProof/>
        </w:rPr>
        <w:t>, 2015)</w:t>
      </w:r>
      <w:r w:rsidRPr="002C21B8">
        <w:fldChar w:fldCharType="end"/>
      </w:r>
      <w:r w:rsidRPr="002C21B8">
        <w:t xml:space="preserve">. In contrast, secondary care prescribers are reported to be more accustomed to interpreting guidelines and calculated risks for long-term benefits </w:t>
      </w:r>
      <w:r w:rsidRPr="002C21B8">
        <w:fldChar w:fldCharType="begin">
          <w:fldData xml:space="preserve">PEVuZE5vdGU+PENpdGU+PEF1dGhvcj7DlnpnZTwvQXV0aG9yPjxZZWFyPjIwMjM8L1llYXI+PFJl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</w:fldData>
        </w:fldChar>
      </w:r>
      <w:r w:rsidR="005D7DBC" w:rsidRPr="002C21B8">
        <w:instrText xml:space="preserve"> ADDIN EN.CITE </w:instrText>
      </w:r>
      <w:r w:rsidR="005D7DBC" w:rsidRPr="002C21B8">
        <w:fldChar w:fldCharType="begin">
          <w:fldData xml:space="preserve">PEVuZE5vdGU+PENpdGU+PEF1dGhvcj7DlnpnZTwvQXV0aG9yPjxZZWFyPjIwMjM8L1llYXI+PFJl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</w:fldData>
        </w:fldChar>
      </w:r>
      <w:r w:rsidR="005D7DBC" w:rsidRPr="002C21B8">
        <w:instrText xml:space="preserve"> ADDIN EN.CITE.DATA </w:instrText>
      </w:r>
      <w:r w:rsidR="005D7DBC" w:rsidRPr="002C21B8">
        <w:fldChar w:fldCharType="end"/>
      </w:r>
      <w:r w:rsidRPr="002C21B8">
        <w:fldChar w:fldCharType="separate"/>
      </w:r>
      <w:r w:rsidRPr="002C21B8">
        <w:rPr>
          <w:noProof/>
        </w:rPr>
        <w:t>(Özge</w:t>
      </w:r>
      <w:r w:rsidRPr="002C21B8">
        <w:rPr>
          <w:i/>
          <w:noProof/>
        </w:rPr>
        <w:t xml:space="preserve"> et al.</w:t>
      </w:r>
      <w:r w:rsidRPr="002C21B8">
        <w:rPr>
          <w:noProof/>
        </w:rPr>
        <w:t>, 2023)</w:t>
      </w:r>
      <w:r w:rsidRPr="002C21B8">
        <w:fldChar w:fldCharType="end"/>
      </w:r>
      <w:r w:rsidRPr="002C21B8">
        <w:t xml:space="preserve">. However, they may defer medication initiation to primary care due to logistical issues or lack of detailed patient knowledge </w:t>
      </w:r>
      <w:r w:rsidRPr="002C21B8">
        <w:fldChar w:fldCharType="begin"/>
      </w:r>
      <w:r w:rsidRPr="002C21B8">
        <w:instrText xml:space="preserve"> ADDIN EN.CITE &lt;EndNote&gt;&lt;Cite&gt;&lt;Author&gt;NHS England&lt;/Author&gt;&lt;Year&gt;2024&lt;/Year&gt;&lt;RecNum&gt;17327&lt;/RecNum&gt;&lt;DisplayText&gt;(Cope, 2022; NHS England, 2024)&lt;/DisplayText&gt;&lt;record&gt;&lt;rec-number&gt;17327&lt;/rec-number&gt;&lt;foreign-keys&gt;&lt;key app="EN" db-id="xpefzwa5hf9dt2ea9fax95x7xvxz90v09dtf" timestamp="1718630591"&gt;17327&lt;/key&gt;&lt;/foreign-keys&gt;&lt;ref-type name="Web Page"&gt;12&lt;/ref-type&gt;&lt;contributors&gt;&lt;authors&gt;&lt;author&gt;NHS England,&lt;/author&gt;&lt;/authors&gt;&lt;/contributors&gt;&lt;titles&gt;&lt;title&gt;Responsibility for prescribing between Primary &amp;amp; Secondary/Tertiary Care&lt;/title&gt;&lt;/titles&gt;&lt;number&gt;17/06/2024)&lt;/number&gt;&lt;dates&gt;&lt;year&gt;2024&lt;/year&gt;&lt;/dates&gt;&lt;urls&gt;&lt;related-urls&gt;&lt;url&gt;https://www.england.nhs.uk/wp-content/uploads/2018/03/responsibility-prescribing-between-primary-secondary-care-v2.pdf&lt;/url&gt;&lt;/related-urls&gt;&lt;/urls&gt;&lt;/record&gt;&lt;/Cite&gt;&lt;Cite&gt;&lt;Author&gt;Cope&lt;/Author&gt;&lt;Year&gt;2022&lt;/Year&gt;&lt;RecNum&gt;17602&lt;/RecNum&gt;&lt;record&gt;&lt;rec-number&gt;17602&lt;/rec-number&gt;&lt;foreign-keys&gt;&lt;key app="EN" db-id="xpefzwa5hf9dt2ea9fax95x7xvxz90v09dtf" timestamp="1727871741"&gt;17602&lt;/key&gt;&lt;/foreign-keys&gt;&lt;ref-type name="Book"&gt;6&lt;/ref-type&gt;&lt;contributors&gt;&lt;authors&gt;&lt;author&gt;Cope, Louise C&lt;/author&gt;&lt;/authors&gt;&lt;/contributors&gt;&lt;titles&gt;&lt;title&gt;An investigation into patient safety with non-medical prescribing&lt;/title&gt;&lt;/titles&gt;&lt;dates&gt;&lt;year&gt;2022&lt;/year&gt;&lt;/dates&gt;&lt;publisher&gt;The University of Manchester (United Kingdom)&lt;/publisher&gt;&lt;isbn&gt;9798381847420&lt;/isbn&gt;&lt;urls&gt;&lt;/urls&gt;&lt;/record&gt;&lt;/Cite&gt;&lt;/EndNote&gt;</w:instrText>
      </w:r>
      <w:r w:rsidRPr="002C21B8">
        <w:fldChar w:fldCharType="separate"/>
      </w:r>
      <w:r w:rsidRPr="002C21B8">
        <w:t>(Cope, 2022; NHS England, 2024)</w:t>
      </w:r>
      <w:r w:rsidRPr="002C21B8">
        <w:fldChar w:fldCharType="end"/>
      </w:r>
      <w:r w:rsidRPr="002C21B8">
        <w:t xml:space="preserve">. Unclear responsibility between primary and secondary care </w:t>
      </w:r>
      <w:r w:rsidR="006E4057" w:rsidRPr="002C21B8">
        <w:t>can</w:t>
      </w:r>
      <w:r w:rsidRPr="002C21B8">
        <w:t xml:space="preserve"> lead to clinical inertia, as neither setting feels fully accountable for initiating treatment </w:t>
      </w:r>
      <w:r w:rsidRPr="002C21B8">
        <w:fldChar w:fldCharType="begin"/>
      </w:r>
      <w:r w:rsidRPr="002C21B8">
        <w:instrText xml:space="preserve"> ADDIN EN.CITE &lt;EndNote&gt;&lt;Cite&gt;&lt;Author&gt;Cettolin&lt;/Author&gt;&lt;Year&gt;2015&lt;/Year&gt;&lt;RecNum&gt;101028&lt;/RecNum&gt;&lt;DisplayText&gt;(Cettolin and Tausch, 2015)&lt;/DisplayText&gt;&lt;record&gt;&lt;rec-number&gt;101028&lt;/rec-number&gt;&lt;foreign-keys&gt;&lt;key app="EN" db-id="xpefzwa5hf9dt2ea9fax95x7xvxz90v09dtf" timestamp="1728648877"&gt;101028&lt;/key&gt;&lt;/foreign-keys&gt;&lt;ref-type name="Journal Article"&gt;17&lt;/ref-type&gt;&lt;contributors&gt;&lt;authors&gt;&lt;author&gt;Cettolin, Elena&lt;/author&gt;&lt;author&gt;Tausch, Franziska&lt;/author&gt;&lt;/authors&gt;&lt;/contributors&gt;&lt;titles&gt;&lt;title&gt;Risk taking and risk sharing: Does responsibility matter?&lt;/title&gt;&lt;secondary-title&gt;Journal of Risk and Uncertainty&lt;/secondary-title&gt;&lt;/titles&gt;&lt;periodical&gt;&lt;full-title&gt;Journal of Risk and Uncertainty&lt;/full-title&gt;&lt;/periodical&gt;&lt;pages&gt;229-248&lt;/pages&gt;&lt;volume&gt;50&lt;/volume&gt;&lt;dates&gt;&lt;year&gt;2015&lt;/year&gt;&lt;/dates&gt;&lt;isbn&gt;0895-5646&lt;/isbn&gt;&lt;urls&gt;&lt;/urls&gt;&lt;/record&gt;&lt;/Cite&gt;&lt;/EndNote&gt;</w:instrText>
      </w:r>
      <w:r w:rsidRPr="002C21B8">
        <w:fldChar w:fldCharType="separate"/>
      </w:r>
      <w:r w:rsidRPr="002C21B8">
        <w:t>(Cettolin and Tausch, 2015)</w:t>
      </w:r>
      <w:r w:rsidRPr="002C21B8">
        <w:fldChar w:fldCharType="end"/>
      </w:r>
      <w:r w:rsidRPr="002C21B8">
        <w:t xml:space="preserve">, with efforts like prescribing agreements to address this </w:t>
      </w:r>
      <w:r w:rsidRPr="002C21B8">
        <w:fldChar w:fldCharType="begin"/>
      </w:r>
      <w:r w:rsidRPr="002C21B8">
        <w:instrText xml:space="preserve"> ADDIN EN.CITE &lt;EndNote&gt;&lt;Cite&gt;&lt;Author&gt;NHS England&lt;/Author&gt;&lt;Year&gt;2024&lt;/Year&gt;&lt;RecNum&gt;17327&lt;/RecNum&gt;&lt;DisplayText&gt;(NHS England, 2024)&lt;/DisplayText&gt;&lt;record&gt;&lt;rec-number&gt;17327&lt;/rec-number&gt;&lt;foreign-keys&gt;&lt;key app="EN" db-id="xpefzwa5hf9dt2ea9fax95x7xvxz90v09dtf" timestamp="1718630591"&gt;17327&lt;/key&gt;&lt;/foreign-keys&gt;&lt;ref-type name="Web Page"&gt;12&lt;/ref-type&gt;&lt;contributors&gt;&lt;authors&gt;&lt;author&gt;NHS England,&lt;/author&gt;&lt;/authors&gt;&lt;/contributors&gt;&lt;titles&gt;&lt;title&gt;Responsibility for prescribing between Primary &amp;amp; Secondary/Tertiary Care&lt;/title&gt;&lt;/titles&gt;&lt;number&gt;17/06/2024)&lt;/number&gt;&lt;dates&gt;&lt;year&gt;2024&lt;/year&gt;&lt;/dates&gt;&lt;urls&gt;&lt;related-urls&gt;&lt;url&gt;https://www.england.nhs.uk/wp-content/uploads/2018/03/responsibility-prescribing-between-primary-secondary-care-v2.pdf&lt;/url&gt;&lt;/related-urls&gt;&lt;/urls&gt;&lt;/record&gt;&lt;/Cite&gt;&lt;/EndNote&gt;</w:instrText>
      </w:r>
      <w:r w:rsidRPr="002C21B8">
        <w:fldChar w:fldCharType="separate"/>
      </w:r>
      <w:r w:rsidRPr="002C21B8">
        <w:t>(NHS England, 2024)</w:t>
      </w:r>
      <w:r w:rsidRPr="002C21B8">
        <w:fldChar w:fldCharType="end"/>
      </w:r>
      <w:r w:rsidRPr="002C21B8">
        <w:t xml:space="preserve">. Despite these challenges, some scholars report that primary care adopts approaches from secondary care, though with varying degrees of responsibility and occasional increases in error rates </w:t>
      </w:r>
      <w:r w:rsidRPr="002C21B8">
        <w:fldChar w:fldCharType="begin">
          <w:fldData xml:space="preserve">PEVuZE5vdGU+PENpdGU+PEF1dGhvcj5HYXJqw7NuPC9BdXRob3I+PFllYXI+MjAxMjwvWWVhcj48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</w:fldData>
        </w:fldChar>
      </w:r>
      <w:r w:rsidR="005D7DBC" w:rsidRPr="002C21B8">
        <w:instrText xml:space="preserve"> ADDIN EN.CITE </w:instrText>
      </w:r>
      <w:r w:rsidR="005D7DBC" w:rsidRPr="002C21B8">
        <w:fldChar w:fldCharType="begin">
          <w:fldData xml:space="preserve">PEVuZE5vdGU+PENpdGU+PEF1dGhvcj5HYXJqw7NuPC9BdXRob3I+PFllYXI+MjAxMjwvWWVhcj48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</w:fldData>
        </w:fldChar>
      </w:r>
      <w:r w:rsidR="005D7DBC" w:rsidRPr="002C21B8">
        <w:instrText xml:space="preserve"> ADDIN EN.CITE.DATA </w:instrText>
      </w:r>
      <w:r w:rsidR="005D7DBC" w:rsidRPr="002C21B8">
        <w:fldChar w:fldCharType="end"/>
      </w:r>
      <w:r w:rsidRPr="002C21B8">
        <w:fldChar w:fldCharType="separate"/>
      </w:r>
      <w:r w:rsidR="005D7DBC" w:rsidRPr="002C21B8">
        <w:rPr>
          <w:noProof/>
        </w:rPr>
        <w:t>(Academy of Medical Specialities, 2023; Carter, Chapman and Watson, 2021; Garjón</w:t>
      </w:r>
      <w:r w:rsidR="005D7DBC" w:rsidRPr="002C21B8">
        <w:rPr>
          <w:i/>
          <w:noProof/>
        </w:rPr>
        <w:t xml:space="preserve"> et al.</w:t>
      </w:r>
      <w:r w:rsidR="005D7DBC" w:rsidRPr="002C21B8">
        <w:rPr>
          <w:noProof/>
        </w:rPr>
        <w:t>, 2012; NHS England, 2024)</w:t>
      </w:r>
      <w:r w:rsidRPr="002C21B8">
        <w:fldChar w:fldCharType="end"/>
      </w:r>
      <w:r w:rsidRPr="002C21B8">
        <w:t>.</w:t>
      </w:r>
    </w:p>
    <w:p w14:paraId="322D5F0F" w14:textId="3D75524F" w:rsidR="002F0740" w:rsidRPr="002C21B8" w:rsidRDefault="002F0740" w:rsidP="002F0740">
      <w:r w:rsidRPr="002C21B8">
        <w:t xml:space="preserve">The overview did not include many systematic reviews that described the impact of sales and marketing or the pharmaceutical industry on prescribing in chronic conditions. Other reviews and primary studies have demonstrated mixed findings ranging from no influence </w:t>
      </w:r>
      <w:r w:rsidRPr="002C21B8">
        <w:fldChar w:fldCharType="begin">
          <w:fldData xml:space="preserve">PEVuZE5vdGU+PENpdGU+PEF1dGhvcj5EZW5pZzwvQXV0aG9yPjxZZWFyPjE5ODg8L1llYXI+PFJl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==
</w:fldData>
        </w:fldChar>
      </w:r>
      <w:r w:rsidR="00CE4967" w:rsidRPr="002C21B8">
        <w:instrText xml:space="preserve"> ADDIN EN.CITE </w:instrText>
      </w:r>
      <w:r w:rsidR="00CE4967" w:rsidRPr="002C21B8">
        <w:fldChar w:fldCharType="begin">
          <w:fldData xml:space="preserve">PEVuZE5vdGU+PENpdGU+PEF1dGhvcj5EZW5pZzwvQXV0aG9yPjxZZWFyPjE5ODg8L1llYXI+PFJl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==
</w:fldData>
        </w:fldChar>
      </w:r>
      <w:r w:rsidR="00CE4967" w:rsidRPr="002C21B8">
        <w:instrText xml:space="preserve"> ADDIN EN.CITE.DATA </w:instrText>
      </w:r>
      <w:r w:rsidR="00CE4967" w:rsidRPr="002C21B8">
        <w:fldChar w:fldCharType="end"/>
      </w:r>
      <w:r w:rsidRPr="002C21B8">
        <w:fldChar w:fldCharType="separate"/>
      </w:r>
      <w:r w:rsidRPr="002C21B8">
        <w:rPr>
          <w:noProof/>
        </w:rPr>
        <w:t>(Carter, Chapman and Watson, 2021; Denig</w:t>
      </w:r>
      <w:r w:rsidRPr="002C21B8">
        <w:rPr>
          <w:i/>
          <w:noProof/>
        </w:rPr>
        <w:t xml:space="preserve"> et al.</w:t>
      </w:r>
      <w:r w:rsidRPr="002C21B8">
        <w:rPr>
          <w:noProof/>
        </w:rPr>
        <w:t>, 1993; Denig, Haaijer-Ruskamp and Zijsling, 1988; Ryan</w:t>
      </w:r>
      <w:r w:rsidRPr="002C21B8">
        <w:rPr>
          <w:i/>
          <w:noProof/>
        </w:rPr>
        <w:t xml:space="preserve"> et al.</w:t>
      </w:r>
      <w:r w:rsidRPr="002C21B8">
        <w:rPr>
          <w:noProof/>
        </w:rPr>
        <w:t>, 1996; Schumock</w:t>
      </w:r>
      <w:r w:rsidRPr="002C21B8">
        <w:rPr>
          <w:i/>
          <w:noProof/>
        </w:rPr>
        <w:t xml:space="preserve"> et al.</w:t>
      </w:r>
      <w:r w:rsidRPr="002C21B8">
        <w:rPr>
          <w:noProof/>
        </w:rPr>
        <w:t>, 2004)</w:t>
      </w:r>
      <w:r w:rsidRPr="002C21B8">
        <w:fldChar w:fldCharType="end"/>
      </w:r>
      <w:r w:rsidRPr="002C21B8">
        <w:t xml:space="preserve"> to significant positive influence </w:t>
      </w:r>
      <w:r w:rsidRPr="002C21B8">
        <w:fldChar w:fldCharType="begin">
          <w:fldData xml:space="preserve">PEVuZE5vdGU+PENpdGU+PEF1dGhvcj5DaHJlbjwvQXV0aG9yPjxZZWFyPjE5OTQ8L1llYXI+PFJl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</w:fldData>
        </w:fldChar>
      </w:r>
      <w:r w:rsidR="00590E88" w:rsidRPr="002C21B8">
        <w:instrText xml:space="preserve"> ADDIN EN.CITE </w:instrText>
      </w:r>
      <w:r w:rsidR="00590E88" w:rsidRPr="002C21B8">
        <w:fldChar w:fldCharType="begin">
          <w:fldData xml:space="preserve">PEVuZE5vdGU+PENpdGU+PEF1dGhvcj5DaHJlbjwvQXV0aG9yPjxZZWFyPjE5OTQ8L1llYXI+PFJl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</w:fldData>
        </w:fldChar>
      </w:r>
      <w:r w:rsidR="00590E88" w:rsidRPr="002C21B8">
        <w:instrText xml:space="preserve"> ADDIN EN.CITE.DATA </w:instrText>
      </w:r>
      <w:r w:rsidR="00590E88" w:rsidRPr="002C21B8">
        <w:fldChar w:fldCharType="end"/>
      </w:r>
      <w:r w:rsidRPr="002C21B8">
        <w:fldChar w:fldCharType="separate"/>
      </w:r>
      <w:r w:rsidRPr="002C21B8">
        <w:rPr>
          <w:noProof/>
        </w:rPr>
        <w:t>(Chren and Landefeld, 1994; Davari, Khorasani and Tigabu, 2018; Lexchin, 1993; Lurie</w:t>
      </w:r>
      <w:r w:rsidRPr="002C21B8">
        <w:rPr>
          <w:i/>
          <w:noProof/>
        </w:rPr>
        <w:t xml:space="preserve"> et al.</w:t>
      </w:r>
      <w:r w:rsidRPr="002C21B8">
        <w:rPr>
          <w:noProof/>
        </w:rPr>
        <w:t>, 1990)</w:t>
      </w:r>
      <w:r w:rsidRPr="002C21B8">
        <w:fldChar w:fldCharType="end"/>
      </w:r>
      <w:r w:rsidRPr="002C21B8">
        <w:t>. Thus</w:t>
      </w:r>
      <w:r w:rsidR="00112B04" w:rsidRPr="002C21B8">
        <w:t>,</w:t>
      </w:r>
      <w:r w:rsidRPr="002C21B8">
        <w:t xml:space="preserve"> their absence does not mean that these factors do not affect prescribing decisions for long-term medications in chronic conditions. A potential explanation for the lack of detailed inclusion in our overview </w:t>
      </w:r>
      <w:r w:rsidR="00CF65B5" w:rsidRPr="002C21B8">
        <w:t xml:space="preserve">could </w:t>
      </w:r>
      <w:r w:rsidRPr="002C21B8">
        <w:t xml:space="preserve">be the tendency of studies assessing sales and marketing impact to focus on new therapeutic agents or single medications, which may not generate sufficient evidence to inform systematic reviews </w:t>
      </w:r>
      <w:r w:rsidRPr="002C21B8">
        <w:fldChar w:fldCharType="begin"/>
      </w:r>
      <w:r w:rsidR="00590E88" w:rsidRPr="002C21B8">
        <w:instrText xml:space="preserve"> ADDIN EN.CITE &lt;EndNote&gt;&lt;Cite&gt;&lt;Author&gt;Lublóy&lt;/Author&gt;&lt;Year&gt;2014&lt;/Year&gt;&lt;RecNum&gt;124552&lt;/RecNum&gt;&lt;DisplayText&gt;(Lublóy, 2014)&lt;/DisplayText&gt;&lt;record&gt;&lt;rec-number&gt;124552&lt;/rec-number&gt;&lt;foreign-keys&gt;&lt;key app="EN" db-id="xpefzwa5hf9dt2ea9fax95x7xvxz90v09dtf" timestamp="1741958153"&gt;124552&lt;/key&gt;&lt;/foreign-keys&gt;&lt;ref-type name="Journal Article"&gt;17&lt;/ref-type&gt;&lt;contributors&gt;&lt;authors&gt;&lt;author&gt;Lublóy, Á&lt;/author&gt;&lt;/authors&gt;&lt;/contributors&gt;&lt;auth-address&gt;Department of Finance, Institute of Finance and Accounting, Corvinus University of Budapest, Fővám tér 8, Budapest 1093, Hungary. agnes.lubloy@uni-corvinus.hu.&lt;/auth-address&gt;&lt;titles&gt;&lt;title&gt;Factors affecting the uptake of new medicines: a systematic literature review&lt;/title&gt;&lt;secondary-title&gt;BMC Health Services Research&lt;/secondary-title&gt;&lt;/titles&gt;&lt;periodical&gt;&lt;full-title&gt;BMC health services research&lt;/full-title&gt;&lt;/periodical&gt;&lt;pages&gt;469&lt;/pages&gt;&lt;volume&gt;14&lt;/volume&gt;&lt;edition&gt;20141020&lt;/edition&gt;&lt;keywords&gt;&lt;keyword&gt;Decision Making&lt;/keyword&gt;&lt;keyword&gt;Diffusion of Innovation&lt;/keyword&gt;&lt;keyword&gt;*Drug Utilization/economics/statistics &amp;amp; numerical data&lt;/keyword&gt;&lt;keyword&gt;Humans&lt;/keyword&gt;&lt;keyword&gt;*Practice Patterns, Physicians&amp;apos;/economics/statistics &amp;amp; numerical data&lt;/keyword&gt;&lt;/keywords&gt;&lt;dates&gt;&lt;year&gt;2014&lt;/year&gt;&lt;pub-dates&gt;&lt;date&gt;Oct 20&lt;/date&gt;&lt;/pub-dates&gt;&lt;/dates&gt;&lt;isbn&gt;1472-6963&lt;/isbn&gt;&lt;accession-num&gt;25331607&lt;/accession-num&gt;&lt;urls&gt;&lt;/urls&gt;&lt;custom2&gt;PMC4283087&lt;/custom2&gt;&lt;electronic-resource-num&gt;10.1186/1472-6963-14-469&lt;/electronic-resource-num&gt;&lt;remote-database-provider&gt;NLM&lt;/remote-database-provider&gt;&lt;language&gt;eng&lt;/language&gt;&lt;/record&gt;&lt;/Cite&gt;&lt;/EndNote&gt;</w:instrText>
      </w:r>
      <w:r w:rsidRPr="002C21B8">
        <w:fldChar w:fldCharType="separate"/>
      </w:r>
      <w:r w:rsidRPr="002C21B8">
        <w:rPr>
          <w:noProof/>
        </w:rPr>
        <w:t>(Lublóy, 2014)</w:t>
      </w:r>
      <w:r w:rsidRPr="002C21B8">
        <w:fldChar w:fldCharType="end"/>
      </w:r>
      <w:r w:rsidRPr="002C21B8">
        <w:t xml:space="preserve">. Additionally, these factors can be difficult for prescribers to </w:t>
      </w:r>
      <w:r w:rsidR="00CF65B5" w:rsidRPr="002C21B8">
        <w:t xml:space="preserve">discuss </w:t>
      </w:r>
      <w:r w:rsidRPr="002C21B8">
        <w:t>because they may perceive them to be external to their decision</w:t>
      </w:r>
      <w:r w:rsidR="000970DF" w:rsidRPr="002C21B8">
        <w:t>-</w:t>
      </w:r>
      <w:r w:rsidRPr="002C21B8">
        <w:t>making, be concerned about potential conflicts of interest, or hesitate</w:t>
      </w:r>
      <w:r w:rsidR="00CF65B5" w:rsidRPr="002C21B8">
        <w:t xml:space="preserve"> </w:t>
      </w:r>
      <w:r w:rsidRPr="002C21B8">
        <w:t>to reveal their true views or beliefs about whether their decisions are</w:t>
      </w:r>
      <w:r w:rsidR="00CF65B5" w:rsidRPr="002C21B8">
        <w:t xml:space="preserve"> being</w:t>
      </w:r>
      <w:r w:rsidRPr="002C21B8">
        <w:t xml:space="preserve"> influenced </w:t>
      </w:r>
      <w:r w:rsidRPr="002C21B8">
        <w:fldChar w:fldCharType="begin"/>
      </w:r>
      <w:r w:rsidR="00CE4967" w:rsidRPr="002C21B8">
        <w:instrText xml:space="preserve"> ADDIN EN.CITE &lt;EndNote&gt;&lt;Cite&gt;&lt;Author&gt;Chren&lt;/Author&gt;&lt;Year&gt;1994&lt;/Year&gt;&lt;RecNum&gt;17592&lt;/RecNum&gt;&lt;DisplayText&gt;(Chren and Landefeld, 1994)&lt;/DisplayText&gt;&lt;record&gt;&lt;rec-number&gt;17592&lt;/rec-number&gt;&lt;foreign-keys&gt;&lt;key app="EN" db-id="xpefzwa5hf9dt2ea9fax95x7xvxz90v09dtf" timestamp="1727865286"&gt;17592&lt;/key&gt;&lt;/foreign-keys&gt;&lt;ref-type name="Journal Article"&gt;17&lt;/ref-type&gt;&lt;contributors&gt;&lt;authors&gt;&lt;author&gt;Chren, Mary-Margaret&lt;/author&gt;&lt;author&gt;Landefeld, C Seth&lt;/author&gt;&lt;/authors&gt;&lt;/contributors&gt;&lt;titles&gt;&lt;title&gt;Physicians&amp;apos; behavior and their interactions with drug companies: a controlled study of physicians who requested additions to a hospital drug formulary&lt;/title&gt;&lt;secondary-title&gt;JAMA&lt;/secondary-title&gt;&lt;/titles&gt;&lt;periodical&gt;&lt;full-title&gt;JAMA&lt;/full-title&gt;&lt;/periodical&gt;&lt;pages&gt;684-689&lt;/pages&gt;&lt;volume&gt;271&lt;/volume&gt;&lt;number&gt;9&lt;/number&gt;&lt;dates&gt;&lt;year&gt;1994&lt;/year&gt;&lt;/dates&gt;&lt;isbn&gt;0098-7484&lt;/isbn&gt;&lt;urls&gt;&lt;/urls&gt;&lt;/record&gt;&lt;/Cite&gt;&lt;/EndNote&gt;</w:instrText>
      </w:r>
      <w:r w:rsidRPr="002C21B8">
        <w:fldChar w:fldCharType="separate"/>
      </w:r>
      <w:r w:rsidRPr="002C21B8">
        <w:rPr>
          <w:noProof/>
        </w:rPr>
        <w:t>(Chren and Landefeld, 1994)</w:t>
      </w:r>
      <w:r w:rsidRPr="002C21B8">
        <w:fldChar w:fldCharType="end"/>
      </w:r>
      <w:r w:rsidRPr="002C21B8">
        <w:t>.</w:t>
      </w:r>
    </w:p>
    <w:p w14:paraId="11A4824B" w14:textId="4D6F8DD7" w:rsidR="002F0740" w:rsidRPr="002C21B8" w:rsidRDefault="002F0740" w:rsidP="002F0740">
      <w:r w:rsidRPr="002C21B8">
        <w:t xml:space="preserve">Guidelines featured as a factor perceived to influence prescribing practices, despite not being included in the conceptual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w:t>
      </w:r>
      <w:r w:rsidR="00C7782F" w:rsidRPr="002C21B8">
        <w:t xml:space="preserve"> </w:t>
      </w:r>
      <w:r w:rsidRPr="002C21B8">
        <w:t xml:space="preserve">There are some considerations for guidelines as they may only influence decision-making if prescribers believe they adequately represent their patient population. This may be limited by clinical trial recruitment as they are not always reflective of real-world patients </w:t>
      </w:r>
      <w:r w:rsidRPr="002C21B8">
        <w:fldChar w:fldCharType="begin">
          <w:fldData xml:space="preserve">PEVuZE5vdGU+PENpdGU+PEF1dGhvcj5UYW48L0F1dGhvcj48WWVhcj4yMDIyPC9ZZWFyPjxSZWNO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</w:fldData>
        </w:fldChar>
      </w:r>
      <w:r w:rsidR="00590E88" w:rsidRPr="002C21B8">
        <w:instrText xml:space="preserve"> ADDIN EN.CITE </w:instrText>
      </w:r>
      <w:r w:rsidR="00590E88" w:rsidRPr="002C21B8">
        <w:fldChar w:fldCharType="begin">
          <w:fldData xml:space="preserve">PEVuZE5vdGU+PENpdGU+PEF1dGhvcj5UYW48L0F1dGhvcj48WWVhcj4yMDIyPC9ZZWFyPjxSZWNO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</w:fldData>
        </w:fldChar>
      </w:r>
      <w:r w:rsidR="00590E88" w:rsidRPr="002C21B8">
        <w:instrText xml:space="preserve"> ADDIN EN.CITE.DATA </w:instrText>
      </w:r>
      <w:r w:rsidR="00590E88" w:rsidRPr="002C21B8">
        <w:fldChar w:fldCharType="end"/>
      </w:r>
      <w:r w:rsidRPr="002C21B8">
        <w:fldChar w:fldCharType="separate"/>
      </w:r>
      <w:r w:rsidRPr="002C21B8">
        <w:rPr>
          <w:noProof/>
        </w:rPr>
        <w:t>(Kortteisto</w:t>
      </w:r>
      <w:r w:rsidRPr="002C21B8">
        <w:rPr>
          <w:i/>
          <w:noProof/>
        </w:rPr>
        <w:t xml:space="preserve"> et al.</w:t>
      </w:r>
      <w:r w:rsidRPr="002C21B8">
        <w:rPr>
          <w:noProof/>
        </w:rPr>
        <w:t>, 2010; Tan</w:t>
      </w:r>
      <w:r w:rsidRPr="002C21B8">
        <w:rPr>
          <w:i/>
          <w:noProof/>
        </w:rPr>
        <w:t xml:space="preserve"> et al.</w:t>
      </w:r>
      <w:r w:rsidRPr="002C21B8">
        <w:rPr>
          <w:noProof/>
        </w:rPr>
        <w:t>, 2022)</w:t>
      </w:r>
      <w:r w:rsidRPr="002C21B8">
        <w:fldChar w:fldCharType="end"/>
      </w:r>
      <w:r w:rsidRPr="002C21B8">
        <w:t xml:space="preserve">. Although not found in our overview, other external organisations may influence prescribers, such as patient advocacy groups </w:t>
      </w:r>
      <w:r w:rsidRPr="002C21B8">
        <w:fldChar w:fldCharType="begin">
          <w:fldData xml:space="preserve">PEVuZE5vdGU+PENpdGU+PEF1dGhvcj5MdW08L0F1dGhvcj48WWVhcj4yMDE4PC9ZZWFyPjxSZWNO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</w:fldData>
        </w:fldChar>
      </w:r>
      <w:r w:rsidRPr="002C21B8">
        <w:instrText xml:space="preserve"> ADDIN EN.CITE </w:instrText>
      </w:r>
      <w:r w:rsidRPr="002C21B8">
        <w:fldChar w:fldCharType="begin">
          <w:fldData xml:space="preserve">PEVuZE5vdGU+PENpdGU+PEF1dGhvcj5MdW08L0F1dGhvcj48WWVhcj4yMDE4PC9ZZWFyPjxSZWNO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</w:fldData>
        </w:fldChar>
      </w:r>
      <w:r w:rsidRPr="002C21B8">
        <w:instrText xml:space="preserve"> ADDIN EN.CITE.DATA </w:instrText>
      </w:r>
      <w:r w:rsidRPr="002C21B8">
        <w:fldChar w:fldCharType="end"/>
      </w:r>
      <w:r w:rsidRPr="002C21B8">
        <w:fldChar w:fldCharType="separate"/>
      </w:r>
      <w:r w:rsidRPr="002C21B8">
        <w:t>(Carter, Chapman and Watson, 2021; Lum</w:t>
      </w:r>
      <w:r w:rsidRPr="002C21B8">
        <w:rPr>
          <w:i/>
        </w:rPr>
        <w:t xml:space="preserve"> et al.</w:t>
      </w:r>
      <w:r w:rsidRPr="002C21B8">
        <w:t>, 2018)</w:t>
      </w:r>
      <w:r w:rsidRPr="002C21B8">
        <w:fldChar w:fldCharType="end"/>
      </w:r>
      <w:r w:rsidRPr="002C21B8">
        <w:t xml:space="preserve">, public opinion </w:t>
      </w:r>
      <w:r w:rsidRPr="002C21B8">
        <w:fldChar w:fldCharType="begin"/>
      </w:r>
      <w:r w:rsidRPr="002C21B8">
        <w:instrText xml:space="preserve"> ADDIN EN.CITE &lt;EndNote&gt;&lt;Cite&gt;&lt;Author&gt;Carter&lt;/Author&gt;&lt;Year&gt;2021&lt;/Year&gt;&lt;RecNum&gt;5041&lt;/RecNum&gt;&lt;DisplayText&gt;(Carter, Chapman and Watson, 2021)&lt;/DisplayText&gt;&lt;record&gt;&lt;rec-number&gt;5041&lt;/rec-number&gt;&lt;foreign-keys&gt;&lt;key app="EN" db-id="xpefzwa5hf9dt2ea9fax95x7xvxz90v09dtf" timestamp="1699899869"&gt;5041&lt;/key&gt;&lt;/foreign-keys&gt;&lt;ref-type name="Journal Article"&gt;17&lt;/ref-type&gt;&lt;contributors&gt;&lt;authors&gt;&lt;author&gt;Carter, M.&lt;/author&gt;&lt;author&gt;Chapman, S.&lt;/author&gt;&lt;author&gt;Watson, M. C.&lt;/author&gt;&lt;/authors&gt;&lt;/contributors&gt;&lt;auth-address&gt;Department of Pharmacy &amp;amp; Pharmacology, University of Bath, Bath, UK mdc50@bath.ac.uk.&amp;#xD;Department of Pharmacy &amp;amp; Pharmacology, University of Bath, Bath, UK.&amp;#xD;Strathclyde Institute of Pharmacy and Biomedical Sciences, University of Strathclyde, Glasgow, UK.&lt;/auth-address&gt;&lt;titles&gt;&lt;title&gt;Multiplicity and complexity: a qualitative exploration of influences on prescribing in UK general practice&lt;/title&gt;&lt;secondary-title&gt;BMJ Open&lt;/secondary-title&gt;&lt;/titles&gt;&lt;periodical&gt;&lt;full-title&gt;BMJ open&lt;/full-title&gt;&lt;/periodical&gt;&lt;pages&gt;e041460&lt;/pages&gt;&lt;volume&gt;11&lt;/volume&gt;&lt;number&gt;1&lt;/number&gt;&lt;edition&gt;20210111&lt;/edition&gt;&lt;keywords&gt;&lt;keyword&gt;Attitude of Health Personnel&lt;/keyword&gt;&lt;keyword&gt;England&lt;/keyword&gt;&lt;keyword&gt;*General Practice&lt;/keyword&gt;&lt;keyword&gt;Humans&lt;/keyword&gt;&lt;keyword&gt;Qualitative Research&lt;/keyword&gt;&lt;keyword&gt;*State Medicine&lt;/keyword&gt;&lt;keyword&gt;United Kingdom&lt;/keyword&gt;&lt;keyword&gt;organisation of health services&lt;/keyword&gt;&lt;keyword&gt;primary care&lt;/keyword&gt;&lt;keyword&gt;protocols &amp;amp; guidelines&lt;/keyword&gt;&lt;/keywords&gt;&lt;dates&gt;&lt;year&gt;2021&lt;/year&gt;&lt;pub-dates&gt;&lt;date&gt;Jan 11&lt;/date&gt;&lt;/pub-dates&gt;&lt;/dates&gt;&lt;isbn&gt;2044-6055&lt;/isbn&gt;&lt;accession-num&gt;33431490&lt;/accession-num&gt;&lt;urls&gt;&lt;/urls&gt;&lt;custom1&gt;Competing interests: None declared.&lt;/custom1&gt;&lt;custom2&gt;PMC7802664&lt;/custom2&gt;&lt;electronic-resource-num&gt;10.1136/bmjopen-2020-041460&lt;/electronic-resource-num&gt;&lt;remote-database-provider&gt;NLM&lt;/remote-database-provider&gt;&lt;language&gt;eng&lt;/language&gt;&lt;/record&gt;&lt;/Cite&gt;&lt;/EndNote&gt;</w:instrText>
      </w:r>
      <w:r w:rsidRPr="002C21B8">
        <w:fldChar w:fldCharType="separate"/>
      </w:r>
      <w:r w:rsidRPr="002C21B8">
        <w:t>(Carter, Chapman and Watson, 2021)</w:t>
      </w:r>
      <w:r w:rsidRPr="002C21B8">
        <w:fldChar w:fldCharType="end"/>
      </w:r>
      <w:r w:rsidRPr="002C21B8">
        <w:t xml:space="preserve"> and media sources </w:t>
      </w:r>
      <w:r w:rsidRPr="002C21B8">
        <w:fldChar w:fldCharType="begin"/>
      </w:r>
      <w:r w:rsidRPr="002C21B8">
        <w:instrText xml:space="preserve"> ADDIN EN.CITE &lt;EndNote&gt;&lt;Cite&gt;&lt;Author&gt;Carter&lt;/Author&gt;&lt;Year&gt;2021&lt;/Year&gt;&lt;RecNum&gt;5041&lt;/RecNum&gt;&lt;DisplayText&gt;(Carter, Chapman and Watson, 2021)&lt;/DisplayText&gt;&lt;record&gt;&lt;rec-number&gt;5041&lt;/rec-number&gt;&lt;foreign-keys&gt;&lt;key app="EN" db-id="xpefzwa5hf9dt2ea9fax95x7xvxz90v09dtf" timestamp="1699899869"&gt;5041&lt;/key&gt;&lt;/foreign-keys&gt;&lt;ref-type name="Journal Article"&gt;17&lt;/ref-type&gt;&lt;contributors&gt;&lt;authors&gt;&lt;author&gt;Carter, M.&lt;/author&gt;&lt;author&gt;Chapman, S.&lt;/author&gt;&lt;author&gt;Watson, M. C.&lt;/author&gt;&lt;/authors&gt;&lt;/contributors&gt;&lt;auth-address&gt;Department of Pharmacy &amp;amp; Pharmacology, University of Bath, Bath, UK mdc50@bath.ac.uk.&amp;#xD;Department of Pharmacy &amp;amp; Pharmacology, University of Bath, Bath, UK.&amp;#xD;Strathclyde Institute of Pharmacy and Biomedical Sciences, University of Strathclyde, Glasgow, UK.&lt;/auth-address&gt;&lt;titles&gt;&lt;title&gt;Multiplicity and complexity: a qualitative exploration of influences on prescribing in UK general practice&lt;/title&gt;&lt;secondary-title&gt;BMJ Open&lt;/secondary-title&gt;&lt;/titles&gt;&lt;periodical&gt;&lt;full-title&gt;BMJ open&lt;/full-title&gt;&lt;/periodical&gt;&lt;pages&gt;e041460&lt;/pages&gt;&lt;volume&gt;11&lt;/volume&gt;&lt;number&gt;1&lt;/number&gt;&lt;edition&gt;20210111&lt;/edition&gt;&lt;keywords&gt;&lt;keyword&gt;Attitude of Health Personnel&lt;/keyword&gt;&lt;keyword&gt;England&lt;/keyword&gt;&lt;keyword&gt;*General Practice&lt;/keyword&gt;&lt;keyword&gt;Humans&lt;/keyword&gt;&lt;keyword&gt;Qualitative Research&lt;/keyword&gt;&lt;keyword&gt;*State Medicine&lt;/keyword&gt;&lt;keyword&gt;United Kingdom&lt;/keyword&gt;&lt;keyword&gt;organisation of health services&lt;/keyword&gt;&lt;keyword&gt;primary care&lt;/keyword&gt;&lt;keyword&gt;protocols &amp;amp; guidelines&lt;/keyword&gt;&lt;/keywords&gt;&lt;dates&gt;&lt;year&gt;2021&lt;/year&gt;&lt;pub-dates&gt;&lt;date&gt;Jan 11&lt;/date&gt;&lt;/pub-dates&gt;&lt;/dates&gt;&lt;isbn&gt;2044-6055&lt;/isbn&gt;&lt;accession-num&gt;33431490&lt;/accession-num&gt;&lt;urls&gt;&lt;/urls&gt;&lt;custom1&gt;Competing interests: None declared.&lt;/custom1&gt;&lt;custom2&gt;PMC7802664&lt;/custom2&gt;&lt;electronic-resource-num&gt;10.1136/bmjopen-2020-041460&lt;/electronic-resource-num&gt;&lt;remote-database-provider&gt;NLM&lt;/remote-database-provider&gt;&lt;language&gt;eng&lt;/language&gt;&lt;/record&gt;&lt;/Cite&gt;&lt;/EndNote&gt;</w:instrText>
      </w:r>
      <w:r w:rsidRPr="002C21B8">
        <w:fldChar w:fldCharType="separate"/>
      </w:r>
      <w:r w:rsidRPr="002C21B8">
        <w:t>(Carter, Chapman and Watson, 2021)</w:t>
      </w:r>
      <w:r w:rsidRPr="002C21B8">
        <w:fldChar w:fldCharType="end"/>
      </w:r>
      <w:r w:rsidRPr="002C21B8">
        <w:t xml:space="preserve">. Clinical decision support systems may also influence prescribing decisions with the aim to make prescription decisions faster, more accessible and easier </w:t>
      </w:r>
      <w:r w:rsidRPr="002C21B8">
        <w:fldChar w:fldCharType="begin"/>
      </w:r>
      <w:r w:rsidR="000215B0" w:rsidRPr="002C21B8">
        <w:instrText xml:space="preserve"> ADDIN EN.CITE &lt;EndNote&gt;&lt;Cite&gt;&lt;Author&gt;Taheri Moghadam&lt;/Author&gt;&lt;Year&gt;2021&lt;/Year&gt;&lt;RecNum&gt;124600&lt;/RecNum&gt;&lt;DisplayText&gt;(Taheri Moghadam&lt;style face="italic"&gt; et al.&lt;/style&gt;, 2021)&lt;/DisplayText&gt;&lt;record&gt;&lt;rec-number&gt;124600&lt;/rec-number&gt;&lt;foreign-keys&gt;&lt;key app="EN" db-id="xpefzwa5hf9dt2ea9fax95x7xvxz90v09dtf" timestamp="1743768549"&gt;124600&lt;/key&gt;&lt;/foreign-keys&gt;&lt;ref-type name="Journal Article"&gt;17&lt;/ref-type&gt;&lt;contributors&gt;&lt;authors&gt;&lt;author&gt;Taheri Moghadam, Sharare&lt;/author&gt;&lt;author&gt;Sadoughi, Farahnaz&lt;/author&gt;&lt;author&gt;Velayati, Farnia&lt;/author&gt;&lt;author&gt;Ehsanzadeh, Seyed Jafar&lt;/author&gt;&lt;author&gt;Poursharif, Shayan&lt;/author&gt;&lt;/authors&gt;&lt;/contributors&gt;&lt;titles&gt;&lt;title&gt;The effects of clinical decision support system for prescribing medication on patient outcomes and physician practice performance: a systematic review and meta-analysis&lt;/title&gt;&lt;secondary-title&gt;BMC Medical Informatics and Decision Making&lt;/secondary-title&gt;&lt;/titles&gt;&lt;periodical&gt;&lt;full-title&gt;BMC medical informatics and decision making&lt;/full-title&gt;&lt;/periodical&gt;&lt;pages&gt;1-26&lt;/pages&gt;&lt;volume&gt;21&lt;/volume&gt;&lt;dates&gt;&lt;year&gt;2021&lt;/year&gt;&lt;/dates&gt;&lt;urls&gt;&lt;/urls&gt;&lt;/record&gt;&lt;/Cite&gt;&lt;/EndNote&gt;</w:instrText>
      </w:r>
      <w:r w:rsidRPr="002C21B8">
        <w:fldChar w:fldCharType="separate"/>
      </w:r>
      <w:r w:rsidRPr="002C21B8">
        <w:rPr>
          <w:noProof/>
        </w:rPr>
        <w:t>(Taheri Moghadam</w:t>
      </w:r>
      <w:r w:rsidRPr="002C21B8">
        <w:rPr>
          <w:i/>
          <w:noProof/>
        </w:rPr>
        <w:t xml:space="preserve"> et al.</w:t>
      </w:r>
      <w:r w:rsidRPr="002C21B8">
        <w:rPr>
          <w:noProof/>
        </w:rPr>
        <w:t>, 2021)</w:t>
      </w:r>
      <w:r w:rsidRPr="002C21B8">
        <w:fldChar w:fldCharType="end"/>
      </w:r>
      <w:r w:rsidRPr="002C21B8">
        <w:t>.</w:t>
      </w:r>
    </w:p>
    <w:p w14:paraId="6F27216E" w14:textId="0302254A" w:rsidR="002F0740" w:rsidRPr="002C21B8" w:rsidRDefault="002F0740" w:rsidP="002F0740">
      <w:r w:rsidRPr="002C21B8">
        <w:t>The factors identified in the systematic reviews with quantitative findings were predominantly patient-level factors. This is not unsurprising as these factors are relatively easy to measure and report. Although these factors are largely non-modifiable</w:t>
      </w:r>
      <w:r w:rsidR="00CF65B5" w:rsidRPr="002C21B8">
        <w:t>,</w:t>
      </w:r>
      <w:r w:rsidRPr="002C21B8">
        <w:t xml:space="preserve"> their consideration remains important as assumptions prescribers hold about patients with these characteristics may be incorrect</w:t>
      </w:r>
      <w:r w:rsidR="00181684" w:rsidRPr="002C21B8">
        <w:t>,</w:t>
      </w:r>
      <w:r w:rsidRPr="002C21B8">
        <w:t xml:space="preserve"> and these assumptions may be modifiable. Thus, interventions at the policy or guideline levels could address this potential source of unequal patient access to medications.</w:t>
      </w:r>
    </w:p>
    <w:p w14:paraId="4B3A5CEA" w14:textId="24DF1520" w:rsidR="002F0740" w:rsidRPr="002C21B8" w:rsidRDefault="002F0740" w:rsidP="002F0740">
      <w:r w:rsidRPr="002C21B8">
        <w:t>A reflection on the evidence base for our overview is that, despite aiming to include all prescriber types, the studies primarily focused on physicians</w:t>
      </w:r>
      <w:r w:rsidR="00CF65B5" w:rsidRPr="002C21B8">
        <w:t>. There was</w:t>
      </w:r>
      <w:r w:rsidRPr="002C21B8">
        <w:t xml:space="preserve"> little mention of </w:t>
      </w:r>
      <w:r w:rsidR="00441C6B" w:rsidRPr="002C21B8">
        <w:t xml:space="preserve">allied </w:t>
      </w:r>
      <w:r w:rsidR="00CF65B5" w:rsidRPr="002C21B8">
        <w:t>healthcare professional</w:t>
      </w:r>
      <w:r w:rsidR="00441C6B" w:rsidRPr="002C21B8">
        <w:t>s</w:t>
      </w:r>
      <w:r w:rsidR="00CF65B5" w:rsidRPr="002C21B8">
        <w:t xml:space="preserve"> </w:t>
      </w:r>
      <w:r w:rsidRPr="002C21B8">
        <w:fldChar w:fldCharType="begin"/>
      </w:r>
      <w:r w:rsidR="00763983" w:rsidRPr="002C21B8">
        <w:instrText xml:space="preserve"> ADDIN EN.CITE &lt;EndNote&gt;&lt;Cite&gt;&lt;Author&gt;Graham-Clarke&lt;/Author&gt;&lt;Year&gt;2018&lt;/Year&gt;&lt;RecNum&gt;17491&lt;/RecNum&gt;&lt;DisplayText&gt;(Alghamdi&lt;style face="italic"&gt; et al.&lt;/style&gt;, 2020; Graham-Clarke&lt;style face="italic"&gt; et al.&lt;/style&gt;, 2018)&lt;/DisplayText&gt;&lt;record&gt;&lt;rec-number&gt;17491&lt;/rec-number&gt;&lt;foreign-keys&gt;&lt;key app="EN" db-id="xpefzwa5hf9dt2ea9fax95x7xvxz90v09dtf" timestamp="1725871472"&gt;17491&lt;/key&gt;&lt;/foreign-keys&gt;&lt;ref-type name="Journal Article"&gt;17&lt;/ref-type&gt;&lt;contributors&gt;&lt;authors&gt;&lt;author&gt;Graham-Clarke, Emma&lt;/author&gt;&lt;author&gt;Rushton, Alison&lt;/author&gt;&lt;author&gt;Noblet, Timothy&lt;/author&gt;&lt;author&gt;Marriott, John&lt;/author&gt;&lt;/authors&gt;&lt;/contributors&gt;&lt;titles&gt;&lt;title&gt;Facilitators and barriers to non-medical prescribing–A systematic review and thematic synthesis&lt;/title&gt;&lt;secondary-title&gt;PLOS One&lt;/secondary-title&gt;&lt;/titles&gt;&lt;periodical&gt;&lt;full-title&gt;PLoS ONE&lt;/full-title&gt;&lt;/periodical&gt;&lt;pages&gt;e0196471&lt;/pages&gt;&lt;volume&gt;13&lt;/volume&gt;&lt;number&gt;4&lt;/number&gt;&lt;dates&gt;&lt;year&gt;2018&lt;/year&gt;&lt;/dates&gt;&lt;isbn&gt;1932-6203&lt;/isbn&gt;&lt;urls&gt;&lt;/urls&gt;&lt;/record&gt;&lt;/Cite&gt;&lt;Cite&gt;&lt;Author&gt;Alghamdi&lt;/Author&gt;&lt;Year&gt;2020&lt;/Year&gt;&lt;RecNum&gt;17492&lt;/RecNum&gt;&lt;record&gt;&lt;rec-number&gt;17492&lt;/rec-number&gt;&lt;foreign-keys&gt;&lt;key app="EN" db-id="xpefzwa5hf9dt2ea9fax95x7xvxz90v09dtf" timestamp="1725873092"&gt;17492&lt;/key&gt;&lt;/foreign-keys&gt;&lt;ref-type name="Journal Article"&gt;17&lt;/ref-type&gt;&lt;contributors&gt;&lt;authors&gt;&lt;author&gt;Alghamdi, Saeed Saad A&lt;/author&gt;&lt;author&gt;Hodson, Karen&lt;/author&gt;&lt;author&gt;Deslandes, Paul&lt;/author&gt;&lt;author&gt;Gillespie, David&lt;/author&gt;&lt;author&gt;Haines, Kath&lt;/author&gt;&lt;author&gt;Hulme, Elliott&lt;/author&gt;&lt;author&gt;Courtenay, Molly&lt;/author&gt;&lt;author&gt;Deslandes, Rhian&lt;/author&gt;&lt;/authors&gt;&lt;/contributors&gt;&lt;titles&gt;&lt;title&gt;Prescribing trends over time by non-medical independent prescribers in primary care settings across Wales (2011–2018): a secondary database analysis&lt;/title&gt;&lt;secondary-title&gt;BMJ Open&lt;/secondary-title&gt;&lt;/titles&gt;&lt;periodical&gt;&lt;full-title&gt;BMJ open&lt;/full-title&gt;&lt;/periodical&gt;&lt;pages&gt;e036379&lt;/pages&gt;&lt;volume&gt;10&lt;/volume&gt;&lt;number&gt;10&lt;/number&gt;&lt;dates&gt;&lt;year&gt;2020&lt;/year&gt;&lt;/dates&gt;&lt;isbn&gt;2044-6055&lt;/isbn&gt;&lt;urls&gt;&lt;/urls&gt;&lt;/record&gt;&lt;/Cite&gt;&lt;/EndNote&gt;</w:instrText>
      </w:r>
      <w:r w:rsidRPr="002C21B8">
        <w:fldChar w:fldCharType="separate"/>
      </w:r>
      <w:r w:rsidRPr="002C21B8">
        <w:rPr>
          <w:noProof/>
        </w:rPr>
        <w:t>(Alghamdi</w:t>
      </w:r>
      <w:r w:rsidRPr="002C21B8">
        <w:rPr>
          <w:i/>
          <w:noProof/>
        </w:rPr>
        <w:t xml:space="preserve"> et al.</w:t>
      </w:r>
      <w:r w:rsidRPr="002C21B8">
        <w:rPr>
          <w:noProof/>
        </w:rPr>
        <w:t>, 2020; Graham-Clarke</w:t>
      </w:r>
      <w:r w:rsidRPr="002C21B8">
        <w:rPr>
          <w:i/>
          <w:noProof/>
        </w:rPr>
        <w:t xml:space="preserve"> et al.</w:t>
      </w:r>
      <w:r w:rsidRPr="002C21B8">
        <w:rPr>
          <w:noProof/>
        </w:rPr>
        <w:t>, 2018)</w:t>
      </w:r>
      <w:r w:rsidRPr="002C21B8">
        <w:fldChar w:fldCharType="end"/>
      </w:r>
      <w:r w:rsidRPr="002C21B8">
        <w:t xml:space="preserve">. This gap may reflect the dominance of physicians in both research and clinical prescribing practice </w:t>
      </w:r>
      <w:r w:rsidRPr="002C21B8">
        <w:fldChar w:fldCharType="begin"/>
      </w:r>
      <w:r w:rsidR="00763983" w:rsidRPr="002C21B8">
        <w:instrText xml:space="preserve"> ADDIN EN.CITE &lt;EndNote&gt;&lt;Cite&gt;&lt;Author&gt;Graham-Clarke&lt;/Author&gt;&lt;Year&gt;2018&lt;/Year&gt;&lt;RecNum&gt;17491&lt;/RecNum&gt;&lt;DisplayText&gt;(Graham-Clarke&lt;style face="italic"&gt; et al.&lt;/style&gt;, 2018)&lt;/DisplayText&gt;&lt;record&gt;&lt;rec-number&gt;17491&lt;/rec-number&gt;&lt;foreign-keys&gt;&lt;key app="EN" db-id="xpefzwa5hf9dt2ea9fax95x7xvxz90v09dtf" timestamp="1725871472"&gt;17491&lt;/key&gt;&lt;/foreign-keys&gt;&lt;ref-type name="Journal Article"&gt;17&lt;/ref-type&gt;&lt;contributors&gt;&lt;authors&gt;&lt;author&gt;Graham-Clarke, Emma&lt;/author&gt;&lt;author&gt;Rushton, Alison&lt;/author&gt;&lt;author&gt;Noblet, Timothy&lt;/author&gt;&lt;author&gt;Marriott, John&lt;/author&gt;&lt;/authors&gt;&lt;/contributors&gt;&lt;titles&gt;&lt;title&gt;Facilitators and barriers to non-medical prescribing–A systematic review and thematic synthesis&lt;/title&gt;&lt;secondary-title&gt;PLOS One&lt;/secondary-title&gt;&lt;/titles&gt;&lt;periodical&gt;&lt;full-title&gt;PLoS ONE&lt;/full-title&gt;&lt;/periodical&gt;&lt;pages&gt;e0196471&lt;/pages&gt;&lt;volume&gt;13&lt;/volume&gt;&lt;number&gt;4&lt;/number&gt;&lt;dates&gt;&lt;year&gt;2018&lt;/year&gt;&lt;/dates&gt;&lt;isbn&gt;1932-6203&lt;/isbn&gt;&lt;urls&gt;&lt;/urls&gt;&lt;/record&gt;&lt;/Cite&gt;&lt;/EndNote&gt;</w:instrText>
      </w:r>
      <w:r w:rsidRPr="002C21B8">
        <w:fldChar w:fldCharType="separate"/>
      </w:r>
      <w:r w:rsidRPr="002C21B8">
        <w:rPr>
          <w:noProof/>
        </w:rPr>
        <w:t>(Graham-Clarke</w:t>
      </w:r>
      <w:r w:rsidRPr="002C21B8">
        <w:rPr>
          <w:i/>
          <w:noProof/>
        </w:rPr>
        <w:t xml:space="preserve"> et al.</w:t>
      </w:r>
      <w:r w:rsidRPr="002C21B8">
        <w:rPr>
          <w:noProof/>
        </w:rPr>
        <w:t>, 2018)</w:t>
      </w:r>
      <w:r w:rsidRPr="002C21B8">
        <w:fldChar w:fldCharType="end"/>
      </w:r>
      <w:r w:rsidRPr="002C21B8">
        <w:t xml:space="preserve">. Alternatively, it could be due to nurses and allied health prescribers being more involved in acute care, prescribing antibiotics and analgesics, rather than managing chronic conditions </w:t>
      </w:r>
      <w:r w:rsidRPr="002C21B8">
        <w:fldChar w:fldCharType="begin">
          <w:fldData xml:space="preserve">PEVuZE5vdGU+PENpdGU+PEF1dGhvcj5Sb3VtaWU8L0F1dGhvcj48WWVhcj4yMDA1PC9ZZWFyPjxS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</w:fldData>
        </w:fldChar>
      </w:r>
      <w:r w:rsidR="000215B0" w:rsidRPr="002C21B8">
        <w:instrText xml:space="preserve"> ADDIN EN.CITE </w:instrText>
      </w:r>
      <w:r w:rsidR="000215B0" w:rsidRPr="002C21B8">
        <w:fldChar w:fldCharType="begin">
          <w:fldData xml:space="preserve">PEVuZE5vdGU+PENpdGU+PEF1dGhvcj5Sb3VtaWU8L0F1dGhvcj48WWVhcj4yMDA1PC9ZZWFyPjxS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</w:fldData>
        </w:fldChar>
      </w:r>
      <w:r w:rsidR="000215B0" w:rsidRPr="002C21B8">
        <w:instrText xml:space="preserve"> ADDIN EN.CITE.DATA </w:instrText>
      </w:r>
      <w:r w:rsidR="000215B0" w:rsidRPr="002C21B8">
        <w:fldChar w:fldCharType="end"/>
      </w:r>
      <w:r w:rsidRPr="002C21B8">
        <w:fldChar w:fldCharType="separate"/>
      </w:r>
      <w:r w:rsidRPr="002C21B8">
        <w:rPr>
          <w:noProof/>
        </w:rPr>
        <w:t>(McIntosh</w:t>
      </w:r>
      <w:r w:rsidRPr="002C21B8">
        <w:rPr>
          <w:i/>
          <w:noProof/>
        </w:rPr>
        <w:t xml:space="preserve"> et al.</w:t>
      </w:r>
      <w:r w:rsidRPr="002C21B8">
        <w:rPr>
          <w:noProof/>
        </w:rPr>
        <w:t>, 2016; Roumie</w:t>
      </w:r>
      <w:r w:rsidRPr="002C21B8">
        <w:rPr>
          <w:i/>
          <w:noProof/>
        </w:rPr>
        <w:t xml:space="preserve"> et al.</w:t>
      </w:r>
      <w:r w:rsidRPr="002C21B8">
        <w:rPr>
          <w:noProof/>
        </w:rPr>
        <w:t>, 2005)</w:t>
      </w:r>
      <w:r w:rsidRPr="002C21B8">
        <w:fldChar w:fldCharType="end"/>
      </w:r>
      <w:r w:rsidRPr="002C21B8">
        <w:t xml:space="preserve">. </w:t>
      </w:r>
      <w:r w:rsidR="00BB0C5D" w:rsidRPr="002C21B8">
        <w:t>O</w:t>
      </w:r>
      <w:r w:rsidRPr="002C21B8">
        <w:t xml:space="preserve">ur overview did not identify any systematic reviews </w:t>
      </w:r>
      <w:r w:rsidR="00F54511" w:rsidRPr="002C21B8">
        <w:t xml:space="preserve">in which </w:t>
      </w:r>
      <w:r w:rsidR="00441C6B" w:rsidRPr="002C21B8">
        <w:t xml:space="preserve">allied </w:t>
      </w:r>
      <w:r w:rsidRPr="002C21B8">
        <w:t>health</w:t>
      </w:r>
      <w:r w:rsidR="00441C6B" w:rsidRPr="002C21B8">
        <w:t>care professionals</w:t>
      </w:r>
      <w:r w:rsidRPr="002C21B8">
        <w:t xml:space="preserve"> </w:t>
      </w:r>
      <w:r w:rsidR="00F54511" w:rsidRPr="002C21B8">
        <w:t xml:space="preserve">were </w:t>
      </w:r>
      <w:r w:rsidR="00181684" w:rsidRPr="002C21B8">
        <w:t xml:space="preserve">the main </w:t>
      </w:r>
      <w:r w:rsidRPr="002C21B8">
        <w:t xml:space="preserve">prescribers </w:t>
      </w:r>
      <w:r w:rsidR="001F2814" w:rsidRPr="002C21B8">
        <w:t>for</w:t>
      </w:r>
      <w:r w:rsidRPr="002C21B8">
        <w:t xml:space="preserve"> </w:t>
      </w:r>
      <w:r w:rsidR="00F54511" w:rsidRPr="002C21B8">
        <w:t xml:space="preserve">medications used in </w:t>
      </w:r>
      <w:r w:rsidRPr="002C21B8">
        <w:t>chronic condition</w:t>
      </w:r>
      <w:r w:rsidR="00F54511" w:rsidRPr="002C21B8">
        <w:t>s</w:t>
      </w:r>
      <w:r w:rsidR="00BB0C5D" w:rsidRPr="002C21B8">
        <w:t>.</w:t>
      </w:r>
      <w:r w:rsidRPr="002C21B8">
        <w:t xml:space="preserve"> </w:t>
      </w:r>
      <w:r w:rsidR="00F54511" w:rsidRPr="002C21B8">
        <w:t xml:space="preserve">However, </w:t>
      </w:r>
      <w:r w:rsidRPr="002C21B8">
        <w:t>systematic reviews and primary studies on prescribing</w:t>
      </w:r>
      <w:r w:rsidR="00F54511" w:rsidRPr="002C21B8">
        <w:t xml:space="preserve"> more generally</w:t>
      </w:r>
      <w:r w:rsidRPr="002C21B8">
        <w:t xml:space="preserve"> </w:t>
      </w:r>
      <w:r w:rsidR="00F54511" w:rsidRPr="002C21B8">
        <w:t xml:space="preserve">suggest </w:t>
      </w:r>
      <w:r w:rsidRPr="002C21B8">
        <w:t xml:space="preserve">differences </w:t>
      </w:r>
      <w:r w:rsidR="00F54511" w:rsidRPr="002C21B8">
        <w:t xml:space="preserve">in how </w:t>
      </w:r>
      <w:r w:rsidRPr="002C21B8">
        <w:t>allied health prescribers and physicians</w:t>
      </w:r>
      <w:r w:rsidR="00F54511" w:rsidRPr="002C21B8">
        <w:t xml:space="preserve"> approach prescribing decisions</w:t>
      </w:r>
      <w:r w:rsidRPr="002C21B8">
        <w:t xml:space="preserve">. Pharmacists are described as being potentially more influenced by guidelines, peer recommendations and costs than their physician counterparts </w:t>
      </w:r>
      <w:r w:rsidRPr="002C21B8">
        <w:fldChar w:fldCharType="begin">
          <w:fldData xml:space="preserve">PEVuZE5vdGU+PENpdGU+PEF1dGhvcj5DYXJ0ZXI8L0F1dGhvcj48WWVhcj4yMDIxPC9ZZWFyPjxS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=
</w:fldData>
        </w:fldChar>
      </w:r>
      <w:r w:rsidR="00CE4967" w:rsidRPr="002C21B8">
        <w:instrText xml:space="preserve"> ADDIN EN.CITE </w:instrText>
      </w:r>
      <w:r w:rsidR="00CE4967" w:rsidRPr="002C21B8">
        <w:fldChar w:fldCharType="begin">
          <w:fldData xml:space="preserve">PEVuZE5vdGU+PENpdGU+PEF1dGhvcj5DYXJ0ZXI8L0F1dGhvcj48WWVhcj4yMDIxPC9ZZWFyPjxS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=
</w:fldData>
        </w:fldChar>
      </w:r>
      <w:r w:rsidR="00CE4967" w:rsidRPr="002C21B8">
        <w:instrText xml:space="preserve"> ADDIN EN.CITE.DATA </w:instrText>
      </w:r>
      <w:r w:rsidR="00CE4967" w:rsidRPr="002C21B8">
        <w:fldChar w:fldCharType="end"/>
      </w:r>
      <w:r w:rsidRPr="002C21B8">
        <w:fldChar w:fldCharType="separate"/>
      </w:r>
      <w:r w:rsidRPr="002C21B8">
        <w:rPr>
          <w:noProof/>
        </w:rPr>
        <w:t>(Carter, Chapman and Watson, 2021; Davari, Khorasani and Tigabu, 2018; Mertens</w:t>
      </w:r>
      <w:r w:rsidRPr="002C21B8">
        <w:rPr>
          <w:i/>
          <w:noProof/>
        </w:rPr>
        <w:t xml:space="preserve"> et al.</w:t>
      </w:r>
      <w:r w:rsidRPr="002C21B8">
        <w:rPr>
          <w:noProof/>
        </w:rPr>
        <w:t>, 2023)</w:t>
      </w:r>
      <w:r w:rsidRPr="002C21B8">
        <w:fldChar w:fldCharType="end"/>
      </w:r>
      <w:r w:rsidRPr="002C21B8">
        <w:t xml:space="preserve">. Prescribing decisions among nurses may be influenced by </w:t>
      </w:r>
      <w:r w:rsidR="00CC4AD1" w:rsidRPr="002C21B8">
        <w:t xml:space="preserve">how clear their role is </w:t>
      </w:r>
      <w:r w:rsidRPr="002C21B8">
        <w:fldChar w:fldCharType="begin"/>
      </w:r>
      <w:r w:rsidR="00763983" w:rsidRPr="002C21B8">
        <w:instrText xml:space="preserve"> ADDIN EN.CITE &lt;EndNote&gt;&lt;Cite&gt;&lt;Author&gt;Graham-Clarke&lt;/Author&gt;&lt;Year&gt;2018&lt;/Year&gt;&lt;RecNum&gt;17491&lt;/RecNum&gt;&lt;DisplayText&gt;(Graham-Clarke&lt;style face="italic"&gt; et al.&lt;/style&gt;, 2018)&lt;/DisplayText&gt;&lt;record&gt;&lt;rec-number&gt;17491&lt;/rec-number&gt;&lt;foreign-keys&gt;&lt;key app="EN" db-id="xpefzwa5hf9dt2ea9fax95x7xvxz90v09dtf" timestamp="1725871472"&gt;17491&lt;/key&gt;&lt;/foreign-keys&gt;&lt;ref-type name="Journal Article"&gt;17&lt;/ref-type&gt;&lt;contributors&gt;&lt;authors&gt;&lt;author&gt;Graham-Clarke, Emma&lt;/author&gt;&lt;author&gt;Rushton, Alison&lt;/author&gt;&lt;author&gt;Noblet, Timothy&lt;/author&gt;&lt;author&gt;Marriott, John&lt;/author&gt;&lt;/authors&gt;&lt;/contributors&gt;&lt;titles&gt;&lt;title&gt;Facilitators and barriers to non-medical prescribing–A systematic review and thematic synthesis&lt;/title&gt;&lt;secondary-title&gt;PLOS One&lt;/secondary-title&gt;&lt;/titles&gt;&lt;periodical&gt;&lt;full-title&gt;PLoS ONE&lt;/full-title&gt;&lt;/periodical&gt;&lt;pages&gt;e0196471&lt;/pages&gt;&lt;volume&gt;13&lt;/volume&gt;&lt;number&gt;4&lt;/number&gt;&lt;dates&gt;&lt;year&gt;2018&lt;/year&gt;&lt;/dates&gt;&lt;isbn&gt;1932-6203&lt;/isbn&gt;&lt;urls&gt;&lt;/urls&gt;&lt;/record&gt;&lt;/Cite&gt;&lt;/EndNote&gt;</w:instrText>
      </w:r>
      <w:r w:rsidRPr="002C21B8">
        <w:fldChar w:fldCharType="separate"/>
      </w:r>
      <w:r w:rsidRPr="002C21B8">
        <w:rPr>
          <w:noProof/>
        </w:rPr>
        <w:t>(Graham-Clarke</w:t>
      </w:r>
      <w:r w:rsidRPr="002C21B8">
        <w:rPr>
          <w:i/>
          <w:noProof/>
        </w:rPr>
        <w:t xml:space="preserve"> et al.</w:t>
      </w:r>
      <w:r w:rsidRPr="002C21B8">
        <w:rPr>
          <w:noProof/>
        </w:rPr>
        <w:t>, 2018)</w:t>
      </w:r>
      <w:r w:rsidRPr="002C21B8">
        <w:fldChar w:fldCharType="end"/>
      </w:r>
      <w:r w:rsidRPr="002C21B8">
        <w:t xml:space="preserve"> and the level of support receive</w:t>
      </w:r>
      <w:r w:rsidR="00CC4AD1" w:rsidRPr="002C21B8">
        <w:t>d</w:t>
      </w:r>
      <w:r w:rsidRPr="002C21B8">
        <w:t xml:space="preserve"> from physician colleagues </w:t>
      </w:r>
      <w:r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YWNlPSJpdGFsaWMiPiBldCBhbC48L3N0eWxlPiwgMjAxNik8L0Rpc3BsYXlUZXh0PjxyZWNvcmQ+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</w:fldData>
        </w:fldChar>
      </w:r>
      <w:r w:rsidR="00763983" w:rsidRPr="002C21B8">
        <w:instrText xml:space="preserve"> ADDIN EN.CITE </w:instrText>
      </w:r>
      <w:r w:rsidR="00763983"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YWNlPSJpdGFsaWMiPiBldCBhbC48L3N0eWxlPiwgMjAxNik8L0Rpc3BsYXlUZXh0PjxyZWNvcmQ+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</w:fldData>
        </w:fldChar>
      </w:r>
      <w:r w:rsidR="00763983" w:rsidRPr="002C21B8">
        <w:instrText xml:space="preserve"> ADDIN EN.CITE.DATA </w:instrText>
      </w:r>
      <w:r w:rsidR="00763983" w:rsidRPr="002C21B8">
        <w:fldChar w:fldCharType="end"/>
      </w:r>
      <w:r w:rsidRPr="002C21B8">
        <w:fldChar w:fldCharType="separate"/>
      </w:r>
      <w:r w:rsidRPr="002C21B8">
        <w:rPr>
          <w:noProof/>
        </w:rPr>
        <w:t>(Graham-Clarke</w:t>
      </w:r>
      <w:r w:rsidRPr="002C21B8">
        <w:rPr>
          <w:i/>
          <w:noProof/>
        </w:rPr>
        <w:t xml:space="preserve"> et al.</w:t>
      </w:r>
      <w:r w:rsidRPr="002C21B8">
        <w:rPr>
          <w:noProof/>
        </w:rPr>
        <w:t>, 2018; McIntosh</w:t>
      </w:r>
      <w:r w:rsidRPr="002C21B8">
        <w:rPr>
          <w:i/>
          <w:noProof/>
        </w:rPr>
        <w:t xml:space="preserve"> et al.</w:t>
      </w:r>
      <w:r w:rsidRPr="002C21B8">
        <w:rPr>
          <w:noProof/>
        </w:rPr>
        <w:t>, 2016)</w:t>
      </w:r>
      <w:r w:rsidRPr="002C21B8">
        <w:fldChar w:fldCharType="end"/>
      </w:r>
      <w:r w:rsidRPr="002C21B8">
        <w:t xml:space="preserve">. Additionally, nurses may be more concerned about potential risks </w:t>
      </w:r>
      <w:r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YWNlPSJpdGFsaWMiPiBldCBhbC48L3N0eWxlPiwgMjAxNik8L0Rpc3BsYXlUZXh0PjxyZWNvcmQ+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</w:fldData>
        </w:fldChar>
      </w:r>
      <w:r w:rsidR="00763983" w:rsidRPr="002C21B8">
        <w:instrText xml:space="preserve"> ADDIN EN.CITE </w:instrText>
      </w:r>
      <w:r w:rsidR="00763983"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YWNlPSJpdGFsaWMiPiBldCBhbC48L3N0eWxlPiwgMjAxNik8L0Rpc3BsYXlUZXh0PjxyZWNvcmQ+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</w:fldData>
        </w:fldChar>
      </w:r>
      <w:r w:rsidR="00763983" w:rsidRPr="002C21B8">
        <w:instrText xml:space="preserve"> ADDIN EN.CITE.DATA </w:instrText>
      </w:r>
      <w:r w:rsidR="00763983" w:rsidRPr="002C21B8">
        <w:fldChar w:fldCharType="end"/>
      </w:r>
      <w:r w:rsidRPr="002C21B8">
        <w:fldChar w:fldCharType="separate"/>
      </w:r>
      <w:r w:rsidRPr="002C21B8">
        <w:rPr>
          <w:noProof/>
        </w:rPr>
        <w:t>(Graham-Clarke</w:t>
      </w:r>
      <w:r w:rsidRPr="002C21B8">
        <w:rPr>
          <w:i/>
          <w:noProof/>
        </w:rPr>
        <w:t xml:space="preserve"> et al.</w:t>
      </w:r>
      <w:r w:rsidRPr="002C21B8">
        <w:rPr>
          <w:noProof/>
        </w:rPr>
        <w:t>, 2018; McIntosh</w:t>
      </w:r>
      <w:r w:rsidRPr="002C21B8">
        <w:rPr>
          <w:i/>
          <w:noProof/>
        </w:rPr>
        <w:t xml:space="preserve"> et al.</w:t>
      </w:r>
      <w:r w:rsidRPr="002C21B8">
        <w:rPr>
          <w:noProof/>
        </w:rPr>
        <w:t>, 2016)</w:t>
      </w:r>
      <w:r w:rsidRPr="002C21B8">
        <w:fldChar w:fldCharType="end"/>
      </w:r>
      <w:r w:rsidRPr="002C21B8">
        <w:t xml:space="preserve"> and more susceptible to competing care priorities compared to physicians </w:t>
      </w:r>
      <w:r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YWNlPSJpdGFsaWMiPiBldCBhbC48L3N0eWxlPiwgMjAxNjsgUm91bWllPHN0eWxlIGZhY2U9Iml0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</w:fldData>
        </w:fldChar>
      </w:r>
      <w:r w:rsidR="000215B0" w:rsidRPr="002C21B8">
        <w:instrText xml:space="preserve"> ADDIN EN.CITE </w:instrText>
      </w:r>
      <w:r w:rsidR="000215B0" w:rsidRPr="002C21B8">
        <w:fldChar w:fldCharType="begin">
          <w:fldData xml:space="preserve">PEVuZE5vdGU+PENpdGU+PEF1dGhvcj5HcmFoYW0tQ2xhcmtlPC9BdXRob3I+PFllYXI+MjAxODwv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</w:fldData>
        </w:fldChar>
      </w:r>
      <w:r w:rsidR="000215B0" w:rsidRPr="002C21B8">
        <w:instrText xml:space="preserve"> ADDIN EN.CITE.DATA </w:instrText>
      </w:r>
      <w:r w:rsidR="000215B0" w:rsidRPr="002C21B8">
        <w:fldChar w:fldCharType="end"/>
      </w:r>
      <w:r w:rsidRPr="002C21B8">
        <w:fldChar w:fldCharType="separate"/>
      </w:r>
      <w:r w:rsidRPr="002C21B8">
        <w:rPr>
          <w:noProof/>
        </w:rPr>
        <w:t>(Graham-Clarke</w:t>
      </w:r>
      <w:r w:rsidRPr="002C21B8">
        <w:rPr>
          <w:i/>
          <w:noProof/>
        </w:rPr>
        <w:t xml:space="preserve"> et al.</w:t>
      </w:r>
      <w:r w:rsidRPr="002C21B8">
        <w:rPr>
          <w:noProof/>
        </w:rPr>
        <w:t>, 2018; McIntosh</w:t>
      </w:r>
      <w:r w:rsidRPr="002C21B8">
        <w:rPr>
          <w:i/>
          <w:noProof/>
        </w:rPr>
        <w:t xml:space="preserve"> et al.</w:t>
      </w:r>
      <w:r w:rsidRPr="002C21B8">
        <w:rPr>
          <w:noProof/>
        </w:rPr>
        <w:t>, 2016; Roumie</w:t>
      </w:r>
      <w:r w:rsidRPr="002C21B8">
        <w:rPr>
          <w:i/>
          <w:noProof/>
        </w:rPr>
        <w:t xml:space="preserve"> et al.</w:t>
      </w:r>
      <w:r w:rsidRPr="002C21B8">
        <w:rPr>
          <w:noProof/>
        </w:rPr>
        <w:t>, 2005)</w:t>
      </w:r>
      <w:r w:rsidRPr="002C21B8">
        <w:fldChar w:fldCharType="end"/>
      </w:r>
      <w:r w:rsidRPr="002C21B8">
        <w:t>.</w:t>
      </w:r>
    </w:p>
    <w:p w14:paraId="190B62B0" w14:textId="77777777" w:rsidR="002F0740" w:rsidRPr="002C21B8" w:rsidRDefault="002F0740" w:rsidP="002F0740">
      <w:pPr>
        <w:spacing w:before="240" w:after="0"/>
        <w:rPr>
          <w:b/>
          <w:bCs/>
          <w:sz w:val="24"/>
          <w:szCs w:val="24"/>
        </w:rPr>
      </w:pPr>
      <w:r w:rsidRPr="002C21B8">
        <w:rPr>
          <w:b/>
          <w:bCs/>
          <w:sz w:val="24"/>
          <w:szCs w:val="24"/>
        </w:rPr>
        <w:t>Strengths and weaknesses</w:t>
      </w:r>
    </w:p>
    <w:p w14:paraId="64D5C012" w14:textId="7F4C6727" w:rsidR="002F0740" w:rsidRPr="002C21B8" w:rsidRDefault="002F0740" w:rsidP="002F0740">
      <w:r w:rsidRPr="002C21B8">
        <w:t>A key strength of our review is the inclusion of both qualitative and quantitative evidence, offering a more comprehensive view of factors that may influence prescribing decisions. By incorporating perspectives from both primary and secondary care, our findings are more generalisable across the healthcare system. Additionally, the use of inclusive terminology in the conceptual model for prescribing</w:t>
      </w:r>
      <w:r w:rsidR="001260A0" w:rsidRPr="002C21B8">
        <w:t xml:space="preserve"> decision-making</w:t>
      </w:r>
      <w:r w:rsidRPr="002C21B8">
        <w:t xml:space="preserve"> in chronic conditions facilitates </w:t>
      </w:r>
      <w:r w:rsidR="00DB4075" w:rsidRPr="002C21B8">
        <w:t xml:space="preserve">its </w:t>
      </w:r>
      <w:r w:rsidRPr="002C21B8">
        <w:t>applica</w:t>
      </w:r>
      <w:r w:rsidR="00DB4075" w:rsidRPr="002C21B8">
        <w:t>tion</w:t>
      </w:r>
      <w:r w:rsidRPr="002C21B8">
        <w:t xml:space="preserve"> to a variety of prescribers. Focusing on chronic condition management, where most prescribing occurs</w:t>
      </w:r>
      <w:r w:rsidR="00784286" w:rsidRPr="002C21B8">
        <w:t>,</w:t>
      </w:r>
      <w:r w:rsidRPr="002C21B8">
        <w:t xml:space="preserve"> and decision-making is particularly complex, addresses a gap in the literature.</w:t>
      </w:r>
    </w:p>
    <w:p w14:paraId="77364CF9" w14:textId="311E4578" w:rsidR="002F0740" w:rsidRPr="002C21B8" w:rsidRDefault="002F0740" w:rsidP="002F0740">
      <w:r w:rsidRPr="002C21B8">
        <w:t>Our overview has some limitations. First, the inclusion of studies with diverse designs, populations and disease areas introduced heterogeneity</w:t>
      </w:r>
      <w:r w:rsidR="00784286" w:rsidRPr="002C21B8">
        <w:t>,</w:t>
      </w:r>
      <w:r w:rsidR="00DB4075" w:rsidRPr="002C21B8">
        <w:t xml:space="preserve"> which </w:t>
      </w:r>
      <w:r w:rsidRPr="002C21B8">
        <w:t>complicat</w:t>
      </w:r>
      <w:r w:rsidR="00DB4075" w:rsidRPr="002C21B8">
        <w:t>ed</w:t>
      </w:r>
      <w:r w:rsidRPr="002C21B8">
        <w:t xml:space="preserve"> data synthesis. Nevertheless, this heterogeneity makes the findings more transferable to chronic conditions as a whole. Second, although the aim was to include prescribers from all backgrounds, the perspectives of allied health prescribers were not fully explored in the included systematic reviews, limiting the transferability of our findings to this type of prescriber and highlighting an area for future research. Finally, the studies included in the overview of systematic reviews were predominantly from high-income countries</w:t>
      </w:r>
      <w:r w:rsidR="00784286" w:rsidRPr="002C21B8">
        <w:t>,</w:t>
      </w:r>
      <w:r w:rsidRPr="002C21B8">
        <w:t xml:space="preserve"> so our findings may not represent the factors that influence prescribing in lower-income countries.</w:t>
      </w:r>
    </w:p>
    <w:p w14:paraId="7933F5DF" w14:textId="77777777" w:rsidR="002F0740" w:rsidRPr="002C21B8" w:rsidRDefault="002F0740" w:rsidP="002F0740">
      <w:pPr>
        <w:spacing w:before="240" w:after="0"/>
        <w:rPr>
          <w:b/>
          <w:bCs/>
          <w:sz w:val="24"/>
          <w:szCs w:val="24"/>
        </w:rPr>
      </w:pPr>
      <w:r w:rsidRPr="002C21B8">
        <w:rPr>
          <w:b/>
          <w:bCs/>
          <w:sz w:val="24"/>
          <w:szCs w:val="24"/>
        </w:rPr>
        <w:t>Implications for clinical practice and areas for future research</w:t>
      </w:r>
    </w:p>
    <w:p w14:paraId="596C7128" w14:textId="715BE1A2" w:rsidR="002F0740" w:rsidRPr="002C21B8" w:rsidRDefault="002F0740" w:rsidP="002F0740">
      <w:r w:rsidRPr="002C21B8">
        <w:t>The findings have four implications for clinical practice. First, prescribers must be mindful of potential biases, such as assumptions about patient adherence or ability to pay for medications, to reduce the potential for care inequalities. Second, more balanced risk-benefit assessments may be needed, considering not only the risks but also the potential benefits of medications, particularly for older or frail patients. There could be a greater emphasis on shared</w:t>
      </w:r>
      <w:r w:rsidR="000970DF" w:rsidRPr="002C21B8">
        <w:t xml:space="preserve"> </w:t>
      </w:r>
      <w:r w:rsidRPr="002C21B8">
        <w:t>decision</w:t>
      </w:r>
      <w:r w:rsidR="000970DF" w:rsidRPr="002C21B8">
        <w:t>-</w:t>
      </w:r>
      <w:r w:rsidRPr="002C21B8">
        <w:t>making and improved communication of risk-benefit information with patients. Third, clinicians’ experience and comfort with risk shape their decisions, highlighting</w:t>
      </w:r>
      <w:r w:rsidR="00DB4075" w:rsidRPr="002C21B8">
        <w:t xml:space="preserve"> a potential role </w:t>
      </w:r>
      <w:r w:rsidRPr="002C21B8">
        <w:t>for additional training</w:t>
      </w:r>
      <w:r w:rsidR="00DB4075" w:rsidRPr="002C21B8">
        <w:t xml:space="preserve"> or clinical</w:t>
      </w:r>
      <w:r w:rsidRPr="002C21B8">
        <w:t xml:space="preserve"> decision-support </w:t>
      </w:r>
      <w:r w:rsidR="00DB4075" w:rsidRPr="002C21B8">
        <w:t>systems</w:t>
      </w:r>
      <w:r w:rsidRPr="002C21B8">
        <w:t xml:space="preserve">. Fourth, clinical inertia </w:t>
      </w:r>
      <w:r w:rsidR="00DC7407" w:rsidRPr="002C21B8">
        <w:t xml:space="preserve">is </w:t>
      </w:r>
      <w:r w:rsidRPr="002C21B8">
        <w:t>driven by time constraints, communication gaps at the primary-secondary care interface, and competing priorities</w:t>
      </w:r>
      <w:r w:rsidR="00DC7407" w:rsidRPr="002C21B8">
        <w:t xml:space="preserve">. There is also a </w:t>
      </w:r>
      <w:r w:rsidRPr="002C21B8">
        <w:t>need for better coordination and clearer delineation of prescribing responsibilities.</w:t>
      </w:r>
    </w:p>
    <w:p w14:paraId="303E0331" w14:textId="52BD445B" w:rsidR="002F0740" w:rsidRPr="002C21B8" w:rsidRDefault="002F0740" w:rsidP="002F0740">
      <w:r w:rsidRPr="002C21B8">
        <w:t xml:space="preserve">Future research should distinguish </w:t>
      </w:r>
      <w:r w:rsidR="004C5CD8" w:rsidRPr="002C21B8">
        <w:t xml:space="preserve">between </w:t>
      </w:r>
      <w:r w:rsidRPr="002C21B8">
        <w:t>prescribing in chronic and acute conditions, as different factors may influence decision-making. While guidelines can positively influence prescribing, the clinical trials on which guidelines are based may benefit from including a diverse range of participants to reflect real</w:t>
      </w:r>
      <w:r w:rsidR="00112B04" w:rsidRPr="002C21B8">
        <w:t>-</w:t>
      </w:r>
      <w:r w:rsidRPr="002C21B8">
        <w:t xml:space="preserve">world populations. The limited inclusion of pharmacists and sales and marketing factors in our </w:t>
      </w:r>
      <w:r w:rsidR="00F55634" w:rsidRPr="002C21B8">
        <w:t>overview</w:t>
      </w:r>
      <w:r w:rsidRPr="002C21B8">
        <w:t xml:space="preserve"> suggests these factors may be more difficult to identify</w:t>
      </w:r>
      <w:r w:rsidR="00AF0C61" w:rsidRPr="002C21B8">
        <w:t>,</w:t>
      </w:r>
      <w:r w:rsidRPr="002C21B8">
        <w:t xml:space="preserve"> </w:t>
      </w:r>
      <w:r w:rsidR="00AF0C61" w:rsidRPr="002C21B8">
        <w:t xml:space="preserve">so </w:t>
      </w:r>
      <w:r w:rsidR="00591557" w:rsidRPr="002C21B8">
        <w:t xml:space="preserve">they </w:t>
      </w:r>
      <w:r w:rsidR="00AF0C61" w:rsidRPr="002C21B8">
        <w:t>are</w:t>
      </w:r>
      <w:r w:rsidRPr="002C21B8">
        <w:t xml:space="preserve"> under-reported. </w:t>
      </w:r>
      <w:r w:rsidR="003C1BA8" w:rsidRPr="002C21B8">
        <w:t xml:space="preserve">Future research should explore these more explicitly, using a range of methodologies to understand their role in influencing prescribing decisions. </w:t>
      </w:r>
      <w:r w:rsidRPr="002C21B8">
        <w:t xml:space="preserve">Significant knowledge gaps exist around the prescribing decisions of allied health prescribers in </w:t>
      </w:r>
      <w:r w:rsidR="00E014E4" w:rsidRPr="002C21B8">
        <w:t xml:space="preserve">the management of </w:t>
      </w:r>
      <w:r w:rsidRPr="002C21B8">
        <w:t>chronic c</w:t>
      </w:r>
      <w:r w:rsidR="00E014E4" w:rsidRPr="002C21B8">
        <w:t>onditions</w:t>
      </w:r>
      <w:r w:rsidRPr="002C21B8">
        <w:t xml:space="preserve">, highlighting the need for targeted research to explore prescribing practices </w:t>
      </w:r>
      <w:r w:rsidR="00E014E4" w:rsidRPr="002C21B8">
        <w:t>by this prescribing group</w:t>
      </w:r>
      <w:r w:rsidRPr="002C21B8">
        <w:t>.</w:t>
      </w:r>
    </w:p>
    <w:p w14:paraId="560D4BB6" w14:textId="77777777" w:rsidR="002F0740" w:rsidRPr="002C21B8" w:rsidRDefault="002F0740" w:rsidP="002F0740">
      <w:pPr>
        <w:spacing w:before="240" w:after="0"/>
        <w:rPr>
          <w:b/>
          <w:bCs/>
          <w:sz w:val="28"/>
          <w:szCs w:val="28"/>
        </w:rPr>
      </w:pPr>
      <w:r w:rsidRPr="002C21B8">
        <w:rPr>
          <w:b/>
          <w:bCs/>
          <w:sz w:val="28"/>
          <w:szCs w:val="28"/>
        </w:rPr>
        <w:t>Conclusions</w:t>
      </w:r>
    </w:p>
    <w:p w14:paraId="571E67F2" w14:textId="454E730A" w:rsidR="002F0740" w:rsidRPr="002C21B8" w:rsidRDefault="002F0740" w:rsidP="002F0740">
      <w:r w:rsidRPr="002C21B8">
        <w:t xml:space="preserve">The conceptual model presented, based on an overview of systematic reviews, </w:t>
      </w:r>
      <w:r w:rsidR="00CF3689" w:rsidRPr="002C21B8">
        <w:t>includes many of</w:t>
      </w:r>
      <w:r w:rsidRPr="002C21B8">
        <w:t xml:space="preserve"> the complexities </w:t>
      </w:r>
      <w:r w:rsidR="000B4ED1" w:rsidRPr="002C21B8">
        <w:t>when making</w:t>
      </w:r>
      <w:r w:rsidRPr="002C21B8">
        <w:t xml:space="preserve"> prescribing decisions in chronic conditions. Unlike existing </w:t>
      </w:r>
      <w:r w:rsidR="00EA38DA" w:rsidRPr="002C21B8">
        <w:t xml:space="preserve">generic </w:t>
      </w:r>
      <w:r w:rsidRPr="002C21B8">
        <w:t>models</w:t>
      </w:r>
      <w:r w:rsidR="00EA38DA" w:rsidRPr="002C21B8">
        <w:t xml:space="preserve">, </w:t>
      </w:r>
      <w:r w:rsidRPr="002C21B8">
        <w:t xml:space="preserve">such as that proposed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this model is specifically tailored to the challenges of long-term medications for chronic conditions. It suggests possible interrelated factor categories influencing prescribing. The conceptual model may be used as a framework for future research and the development of interventions related to the factors influencing prescribing decisions in chronic conditions.</w:t>
      </w:r>
      <w:r w:rsidRPr="002C21B8">
        <w:br w:type="page"/>
      </w:r>
    </w:p>
    <w:p w14:paraId="44869F28" w14:textId="77777777" w:rsidR="002F0740" w:rsidRPr="002C21B8" w:rsidRDefault="002F0740" w:rsidP="00581663">
      <w:pPr>
        <w:pStyle w:val="Heading2"/>
      </w:pPr>
      <w:bookmarkStart w:id="136" w:name="_Toc229687221"/>
      <w:r w:rsidRPr="002C21B8">
        <w:t>Chapter summary</w:t>
      </w:r>
      <w:bookmarkEnd w:id="136"/>
    </w:p>
    <w:p w14:paraId="7B949F1D" w14:textId="10F798C7" w:rsidR="002F0740" w:rsidRPr="002C21B8" w:rsidRDefault="002F0740" w:rsidP="00A97F07">
      <w:pPr>
        <w:pStyle w:val="ListParagraph"/>
        <w:numPr>
          <w:ilvl w:val="0"/>
          <w:numId w:val="4"/>
        </w:numPr>
        <w:ind w:left="851"/>
      </w:pPr>
      <w:r w:rsidRPr="002C21B8">
        <w:t xml:space="preserve">This chapter presented </w:t>
      </w:r>
      <w:r w:rsidR="00A0732B" w:rsidRPr="002C21B8">
        <w:t xml:space="preserve">an overview of systematic reviews </w:t>
      </w:r>
      <w:r w:rsidR="00E90871" w:rsidRPr="002C21B8">
        <w:t xml:space="preserve">which </w:t>
      </w:r>
      <w:r w:rsidR="00A0732B" w:rsidRPr="002C21B8">
        <w:t>synthesis</w:t>
      </w:r>
      <w:r w:rsidR="00E90871" w:rsidRPr="002C21B8">
        <w:t>ed</w:t>
      </w:r>
      <w:r w:rsidR="00A0732B" w:rsidRPr="002C21B8">
        <w:t xml:space="preserve"> evidence</w:t>
      </w:r>
      <w:r w:rsidRPr="002C21B8">
        <w:t xml:space="preserve"> </w:t>
      </w:r>
      <w:r w:rsidR="00A0732B" w:rsidRPr="002C21B8">
        <w:t xml:space="preserve">on </w:t>
      </w:r>
      <w:r w:rsidRPr="002C21B8">
        <w:t>factors influenc</w:t>
      </w:r>
      <w:r w:rsidR="0017469D" w:rsidRPr="002C21B8">
        <w:t>ing</w:t>
      </w:r>
      <w:r w:rsidRPr="002C21B8">
        <w:t xml:space="preserve"> prescribing decisions for chronic conditions</w:t>
      </w:r>
      <w:r w:rsidR="00E969E0" w:rsidRPr="002C21B8">
        <w:t>.</w:t>
      </w:r>
    </w:p>
    <w:p w14:paraId="0FA916B8" w14:textId="56C9F94B" w:rsidR="002F0740" w:rsidRPr="002C21B8" w:rsidRDefault="002F0740" w:rsidP="00A97F07">
      <w:pPr>
        <w:pStyle w:val="ListParagraph"/>
        <w:numPr>
          <w:ilvl w:val="0"/>
          <w:numId w:val="4"/>
        </w:numPr>
        <w:ind w:left="851"/>
      </w:pPr>
      <w:r w:rsidRPr="002C21B8">
        <w:t>Multiple interacting factors were found to influence prescribing decisions across a range of stakeholders</w:t>
      </w:r>
      <w:r w:rsidR="0045565E" w:rsidRPr="002C21B8">
        <w:t>,</w:t>
      </w:r>
      <w:r w:rsidR="002D605C" w:rsidRPr="002C21B8">
        <w:t xml:space="preserve"> with some key themes specific to chronic conditions.</w:t>
      </w:r>
    </w:p>
    <w:p w14:paraId="64D95BFF" w14:textId="3AB234FB" w:rsidR="002F0740" w:rsidRPr="002C21B8" w:rsidRDefault="00A16529" w:rsidP="00A97F07">
      <w:pPr>
        <w:pStyle w:val="ListParagraph"/>
        <w:numPr>
          <w:ilvl w:val="0"/>
          <w:numId w:val="4"/>
        </w:numPr>
        <w:ind w:left="851"/>
      </w:pPr>
      <w:r w:rsidRPr="002C21B8">
        <w:t>Prescribers described assessing individual patient characteristics</w:t>
      </w:r>
      <w:r w:rsidR="00A0732B" w:rsidRPr="002C21B8">
        <w:t xml:space="preserve">, </w:t>
      </w:r>
      <w:r w:rsidRPr="002C21B8">
        <w:t xml:space="preserve">especially in risk-benefit assessments. There was a reported tendency to prioritise risks </w:t>
      </w:r>
      <w:r w:rsidR="002F0740" w:rsidRPr="002C21B8">
        <w:t>over longer-term benefits, particularly in patients with comorbidities or complex needs</w:t>
      </w:r>
      <w:r w:rsidR="00E969E0" w:rsidRPr="002C21B8">
        <w:t>.</w:t>
      </w:r>
    </w:p>
    <w:p w14:paraId="01AB2699" w14:textId="046E368F" w:rsidR="002F0740" w:rsidRPr="002C21B8" w:rsidRDefault="002F0740" w:rsidP="00A97F07">
      <w:pPr>
        <w:pStyle w:val="ListParagraph"/>
        <w:numPr>
          <w:ilvl w:val="0"/>
          <w:numId w:val="4"/>
        </w:numPr>
        <w:ind w:left="851"/>
      </w:pPr>
      <w:r w:rsidRPr="002C21B8">
        <w:t xml:space="preserve">Clinical inertia was identified as a key mechanism contributing to delayed or non-initiation of indicated </w:t>
      </w:r>
      <w:r w:rsidR="00673965" w:rsidRPr="002C21B8">
        <w:t>medication</w:t>
      </w:r>
      <w:r w:rsidRPr="002C21B8">
        <w:t>s</w:t>
      </w:r>
      <w:r w:rsidR="00670818" w:rsidRPr="002C21B8">
        <w:t xml:space="preserve"> with factors at the</w:t>
      </w:r>
      <w:r w:rsidRPr="002C21B8">
        <w:t xml:space="preserve"> prescriber, interpersonal and healthcare system-level</w:t>
      </w:r>
      <w:r w:rsidR="00E969E0" w:rsidRPr="002C21B8">
        <w:t>.</w:t>
      </w:r>
    </w:p>
    <w:p w14:paraId="68421306" w14:textId="6B6762CF" w:rsidR="002D605C" w:rsidRPr="002C21B8" w:rsidRDefault="002D605C" w:rsidP="00A97F07">
      <w:pPr>
        <w:pStyle w:val="ListParagraph"/>
        <w:numPr>
          <w:ilvl w:val="0"/>
          <w:numId w:val="4"/>
        </w:numPr>
        <w:ind w:left="851"/>
      </w:pPr>
      <w:r w:rsidRPr="002C21B8">
        <w:t xml:space="preserve">Medication </w:t>
      </w:r>
      <w:r w:rsidR="002A7326" w:rsidRPr="002C21B8">
        <w:t xml:space="preserve">and associated </w:t>
      </w:r>
      <w:r w:rsidR="00A16529" w:rsidRPr="002C21B8">
        <w:t>costs</w:t>
      </w:r>
      <w:r w:rsidR="002A7326" w:rsidRPr="002C21B8">
        <w:t xml:space="preserve"> of monitoring</w:t>
      </w:r>
      <w:r w:rsidR="00A16529" w:rsidRPr="002C21B8">
        <w:t xml:space="preserve"> influenced prescribing decision</w:t>
      </w:r>
      <w:r w:rsidR="002A7326" w:rsidRPr="002C21B8">
        <w:t xml:space="preserve">s mainly </w:t>
      </w:r>
      <w:r w:rsidR="00454FAD" w:rsidRPr="002C21B8">
        <w:t xml:space="preserve">during </w:t>
      </w:r>
      <w:r w:rsidR="00A16529" w:rsidRPr="002C21B8">
        <w:t>the risk-benefit assessment.</w:t>
      </w:r>
    </w:p>
    <w:p w14:paraId="57188792" w14:textId="61A75314" w:rsidR="002D605C" w:rsidRPr="002C21B8" w:rsidRDefault="002D605C" w:rsidP="00A97F07">
      <w:pPr>
        <w:pStyle w:val="ListParagraph"/>
        <w:numPr>
          <w:ilvl w:val="0"/>
          <w:numId w:val="4"/>
        </w:numPr>
        <w:ind w:left="851"/>
      </w:pPr>
      <w:r w:rsidRPr="002C21B8">
        <w:t>Shared decision-making</w:t>
      </w:r>
      <w:r w:rsidR="00A16529" w:rsidRPr="002C21B8">
        <w:t xml:space="preserve"> during the prescribing process was reported by some clinicians</w:t>
      </w:r>
      <w:r w:rsidR="00A0732B" w:rsidRPr="002C21B8">
        <w:t>,</w:t>
      </w:r>
      <w:r w:rsidR="00A16529" w:rsidRPr="002C21B8">
        <w:t xml:space="preserve"> but this practice was uneven and dependent on clinician attitudes.</w:t>
      </w:r>
    </w:p>
    <w:p w14:paraId="210971C3" w14:textId="3826A114" w:rsidR="002D605C" w:rsidRPr="002C21B8" w:rsidRDefault="007D1E50" w:rsidP="00A97F07">
      <w:pPr>
        <w:pStyle w:val="ListParagraph"/>
        <w:numPr>
          <w:ilvl w:val="0"/>
          <w:numId w:val="4"/>
        </w:numPr>
        <w:ind w:left="851"/>
      </w:pPr>
      <w:r w:rsidRPr="002C21B8">
        <w:t>Influences</w:t>
      </w:r>
      <w:r w:rsidR="00A16529" w:rsidRPr="002C21B8">
        <w:t xml:space="preserve"> from external factors outside of </w:t>
      </w:r>
      <w:r w:rsidRPr="002C21B8">
        <w:t>s</w:t>
      </w:r>
      <w:r w:rsidR="00A16529" w:rsidRPr="002C21B8">
        <w:t xml:space="preserve">ales and </w:t>
      </w:r>
      <w:r w:rsidRPr="002C21B8">
        <w:t>m</w:t>
      </w:r>
      <w:r w:rsidR="00A16529" w:rsidRPr="002C21B8">
        <w:t xml:space="preserve">arketing were more commonly </w:t>
      </w:r>
      <w:r w:rsidRPr="002C21B8">
        <w:t>reported by clinicians. These included clinical guidelines, published evidence and expert opinion.</w:t>
      </w:r>
    </w:p>
    <w:p w14:paraId="304A26B8" w14:textId="082739A9" w:rsidR="007D1E50" w:rsidRPr="002C21B8" w:rsidRDefault="002F0740" w:rsidP="00A97F07">
      <w:pPr>
        <w:pStyle w:val="ListParagraph"/>
        <w:numPr>
          <w:ilvl w:val="0"/>
          <w:numId w:val="4"/>
        </w:numPr>
        <w:ind w:left="851"/>
      </w:pPr>
      <w:r w:rsidRPr="002C21B8">
        <w:t>These findings highlighted gaps in the existing model of prescribing</w:t>
      </w:r>
      <w:r w:rsidR="007D1E50" w:rsidRPr="002C21B8">
        <w:t xml:space="preserve"> decision-making proposed</w:t>
      </w:r>
      <w:r w:rsidRPr="002C21B8">
        <w:t xml:space="preserve"> by </w:t>
      </w:r>
      <w:r w:rsidR="008F3997"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8F3997" w:rsidRPr="002C21B8">
        <w:fldChar w:fldCharType="separate"/>
      </w:r>
      <w:r w:rsidR="008F3997" w:rsidRPr="002C21B8">
        <w:rPr>
          <w:noProof/>
        </w:rPr>
        <w:t>Murshid and Mohaidin (2017)</w:t>
      </w:r>
      <w:r w:rsidR="008F3997" w:rsidRPr="002C21B8">
        <w:fldChar w:fldCharType="end"/>
      </w:r>
      <w:r w:rsidR="007D1E50" w:rsidRPr="002C21B8">
        <w:t xml:space="preserve">. There was a notable absence of </w:t>
      </w:r>
      <w:r w:rsidRPr="002C21B8">
        <w:t>prescriber and external factor domains as distinct components</w:t>
      </w:r>
      <w:r w:rsidR="007D1E50" w:rsidRPr="002C21B8">
        <w:t xml:space="preserve"> influencing prescribing decisions in the context of chronic conditions.</w:t>
      </w:r>
    </w:p>
    <w:p w14:paraId="4594A147" w14:textId="7807646C" w:rsidR="002F0740" w:rsidRPr="002C21B8" w:rsidRDefault="002F0740" w:rsidP="00A97F07">
      <w:pPr>
        <w:pStyle w:val="ListParagraph"/>
        <w:numPr>
          <w:ilvl w:val="0"/>
          <w:numId w:val="4"/>
        </w:numPr>
        <w:ind w:left="851"/>
      </w:pPr>
      <w:r w:rsidRPr="002C21B8">
        <w:t>This led to the adaptation of th</w:t>
      </w:r>
      <w:r w:rsidR="007D1E50" w:rsidRPr="002C21B8">
        <w:t xml:space="preserve">is existing </w:t>
      </w:r>
      <w:r w:rsidR="005854B4" w:rsidRPr="002C21B8">
        <w:t xml:space="preserve">conceptual model </w:t>
      </w:r>
      <w:r w:rsidRPr="002C21B8">
        <w:t xml:space="preserve">to better </w:t>
      </w:r>
      <w:r w:rsidR="008F3997" w:rsidRPr="002C21B8">
        <w:t>reflect</w:t>
      </w:r>
      <w:r w:rsidRPr="002C21B8">
        <w:t xml:space="preserve"> decision-making in chronic conditions</w:t>
      </w:r>
      <w:r w:rsidR="00E969E0" w:rsidRPr="002C21B8">
        <w:t>.</w:t>
      </w:r>
    </w:p>
    <w:p w14:paraId="6C157BA6" w14:textId="0A3954F4" w:rsidR="002F0740" w:rsidRPr="002C21B8" w:rsidRDefault="002F0740" w:rsidP="00A97F07">
      <w:pPr>
        <w:pStyle w:val="ListParagraph"/>
        <w:numPr>
          <w:ilvl w:val="0"/>
          <w:numId w:val="4"/>
        </w:numPr>
        <w:ind w:left="851"/>
        <w:sectPr w:rsidR="002F0740" w:rsidRPr="002C21B8" w:rsidSect="0009672F">
          <w:headerReference w:type="default" r:id="rId35"/>
          <w:type w:val="continuous"/>
          <w:pgSz w:w="11906" w:h="16838"/>
          <w:pgMar w:top="1440" w:right="1440" w:bottom="1440" w:left="1440" w:header="708" w:footer="708" w:gutter="0"/>
          <w:cols w:space="708"/>
          <w:docGrid w:linePitch="360"/>
        </w:sectPr>
      </w:pPr>
      <w:r w:rsidRPr="002C21B8">
        <w:t xml:space="preserve">This new conceptual model </w:t>
      </w:r>
      <w:r w:rsidR="00C33CF7" w:rsidRPr="002C21B8">
        <w:t xml:space="preserve">of </w:t>
      </w:r>
      <w:r w:rsidR="001260A0" w:rsidRPr="002C21B8">
        <w:t>prescribing decision-making in</w:t>
      </w:r>
      <w:r w:rsidRPr="002C21B8">
        <w:t xml:space="preserve"> chronic </w:t>
      </w:r>
      <w:r w:rsidR="00717D3C" w:rsidRPr="002C21B8">
        <w:t>condition</w:t>
      </w:r>
      <w:r w:rsidRPr="002C21B8">
        <w:t xml:space="preserve">s </w:t>
      </w:r>
      <w:r w:rsidR="00C0296C" w:rsidRPr="002C21B8">
        <w:t xml:space="preserve">informed </w:t>
      </w:r>
      <w:r w:rsidR="00D41DAC" w:rsidRPr="002C21B8">
        <w:t xml:space="preserve">data collection and analysis in </w:t>
      </w:r>
      <w:r w:rsidR="00C0296C" w:rsidRPr="002C21B8">
        <w:t>the subsequent phases of this programme of research</w:t>
      </w:r>
      <w:r w:rsidR="00E969E0" w:rsidRPr="002C21B8">
        <w:t>.</w:t>
      </w:r>
    </w:p>
    <w:p w14:paraId="04FDC6B6" w14:textId="0FD0D6E2" w:rsidR="00045E2B" w:rsidRPr="002C21B8" w:rsidRDefault="00045E2B" w:rsidP="007F1616">
      <w:pPr>
        <w:pStyle w:val="Heading1"/>
      </w:pPr>
      <w:bookmarkStart w:id="137" w:name="_Toc229687222"/>
      <w:r w:rsidRPr="002C21B8">
        <w:t xml:space="preserve">– </w:t>
      </w:r>
      <w:r w:rsidR="00AF2B1F" w:rsidRPr="002C21B8">
        <w:t xml:space="preserve">Variation in </w:t>
      </w:r>
      <w:r w:rsidR="00CA6F26" w:rsidRPr="002C21B8">
        <w:t>t</w:t>
      </w:r>
      <w:r w:rsidR="00AF2B1F" w:rsidRPr="002C21B8">
        <w:t xml:space="preserve">olvaptan </w:t>
      </w:r>
      <w:r w:rsidR="00CA6F26" w:rsidRPr="002C21B8">
        <w:t>p</w:t>
      </w:r>
      <w:r w:rsidR="00AF2B1F" w:rsidRPr="002C21B8">
        <w:t xml:space="preserve">rescribing for </w:t>
      </w:r>
      <w:r w:rsidR="00CA6F26" w:rsidRPr="002C21B8">
        <w:t>a</w:t>
      </w:r>
      <w:r w:rsidR="00AF2B1F" w:rsidRPr="002C21B8">
        <w:t xml:space="preserve">utosomal </w:t>
      </w:r>
      <w:r w:rsidR="00CA6F26" w:rsidRPr="002C21B8">
        <w:t>d</w:t>
      </w:r>
      <w:r w:rsidR="00AF2B1F" w:rsidRPr="002C21B8">
        <w:t xml:space="preserve">ominant </w:t>
      </w:r>
      <w:r w:rsidR="00CA6F26" w:rsidRPr="002C21B8">
        <w:t>p</w:t>
      </w:r>
      <w:r w:rsidR="00AF2B1F" w:rsidRPr="002C21B8">
        <w:t xml:space="preserve">olycystic </w:t>
      </w:r>
      <w:r w:rsidR="00CA6F26" w:rsidRPr="002C21B8">
        <w:t>k</w:t>
      </w:r>
      <w:r w:rsidR="00AF2B1F" w:rsidRPr="002C21B8">
        <w:t xml:space="preserve">idney </w:t>
      </w:r>
      <w:r w:rsidR="00CA6F26" w:rsidRPr="002C21B8">
        <w:t>d</w:t>
      </w:r>
      <w:r w:rsidR="00AF2B1F" w:rsidRPr="002C21B8">
        <w:t xml:space="preserve">isease in the </w:t>
      </w:r>
      <w:r w:rsidR="00F421C9" w:rsidRPr="002C21B8">
        <w:t>U</w:t>
      </w:r>
      <w:r w:rsidR="00AF2B1F" w:rsidRPr="002C21B8">
        <w:t xml:space="preserve">nited </w:t>
      </w:r>
      <w:r w:rsidR="00F421C9" w:rsidRPr="002C21B8">
        <w:t>K</w:t>
      </w:r>
      <w:r w:rsidR="00AF2B1F" w:rsidRPr="002C21B8">
        <w:t xml:space="preserve">ingdom and </w:t>
      </w:r>
      <w:r w:rsidR="00CA6F26" w:rsidRPr="002C21B8">
        <w:t>i</w:t>
      </w:r>
      <w:r w:rsidR="00AF2B1F" w:rsidRPr="002C21B8">
        <w:t xml:space="preserve">ts </w:t>
      </w:r>
      <w:r w:rsidR="00CA6F26" w:rsidRPr="002C21B8">
        <w:t>i</w:t>
      </w:r>
      <w:r w:rsidR="00AF2B1F" w:rsidRPr="002C21B8">
        <w:t xml:space="preserve">mpact on </w:t>
      </w:r>
      <w:r w:rsidR="00CA6F26" w:rsidRPr="002C21B8">
        <w:t>q</w:t>
      </w:r>
      <w:r w:rsidR="00AF2B1F" w:rsidRPr="002C21B8">
        <w:t xml:space="preserve">uality of </w:t>
      </w:r>
      <w:r w:rsidR="00CA6F26" w:rsidRPr="002C21B8">
        <w:t>l</w:t>
      </w:r>
      <w:r w:rsidR="00AF2B1F" w:rsidRPr="002C21B8">
        <w:t xml:space="preserve">ife and </w:t>
      </w:r>
      <w:r w:rsidR="00CA6F26" w:rsidRPr="002C21B8">
        <w:t>c</w:t>
      </w:r>
      <w:r w:rsidR="00AF2B1F" w:rsidRPr="002C21B8">
        <w:t>osts</w:t>
      </w:r>
      <w:bookmarkEnd w:id="137"/>
    </w:p>
    <w:p w14:paraId="7E8CF951" w14:textId="77777777" w:rsidR="009D6664" w:rsidRPr="002C21B8" w:rsidRDefault="009D6664" w:rsidP="00581663">
      <w:pPr>
        <w:pStyle w:val="Heading2"/>
      </w:pPr>
      <w:bookmarkStart w:id="138" w:name="_Toc229687223"/>
      <w:r w:rsidRPr="002C21B8">
        <w:t>Chapter outline</w:t>
      </w:r>
      <w:bookmarkEnd w:id="138"/>
    </w:p>
    <w:p w14:paraId="3DEB14E2" w14:textId="1561B4E9" w:rsidR="009D6664" w:rsidRPr="002C21B8" w:rsidRDefault="009D6664" w:rsidP="00AE796C">
      <w:pPr>
        <w:spacing w:after="0"/>
      </w:pPr>
      <w:r w:rsidRPr="002C21B8">
        <w:t xml:space="preserve">This chapter presents the analysis of </w:t>
      </w:r>
      <w:r w:rsidR="001C1CC9" w:rsidRPr="002C21B8">
        <w:t>registry</w:t>
      </w:r>
      <w:r w:rsidRPr="002C21B8">
        <w:t xml:space="preserve"> data. The verbatim text of the journal article is presented as submitted to </w:t>
      </w:r>
      <w:r w:rsidRPr="002C21B8">
        <w:rPr>
          <w:i/>
          <w:iCs/>
        </w:rPr>
        <w:t>PLOS One.</w:t>
      </w:r>
      <w:r w:rsidRPr="002C21B8">
        <w:t xml:space="preserve"> </w:t>
      </w:r>
      <w:r w:rsidR="00CA5C3E" w:rsidRPr="002C21B8">
        <w:t xml:space="preserve">The contribution of each co-author is detailed in </w:t>
      </w:r>
      <w:hyperlink w:anchor="_Appendix_1._Author" w:history="1">
        <w:r w:rsidR="00CA5C3E" w:rsidRPr="002C21B8">
          <w:rPr>
            <w:rStyle w:val="Hyperlink"/>
          </w:rPr>
          <w:t>Appendix 1</w:t>
        </w:r>
      </w:hyperlink>
      <w:r w:rsidR="00CA5C3E" w:rsidRPr="002C21B8">
        <w:t xml:space="preserve">. </w:t>
      </w:r>
      <w:r w:rsidRPr="002C21B8">
        <w:t xml:space="preserve">Further details on </w:t>
      </w:r>
      <w:r w:rsidR="002351C0" w:rsidRPr="002C21B8">
        <w:t xml:space="preserve">the </w:t>
      </w:r>
      <w:r w:rsidRPr="002C21B8">
        <w:t>method</w:t>
      </w:r>
      <w:r w:rsidR="006B5468" w:rsidRPr="002C21B8">
        <w:t>s</w:t>
      </w:r>
      <w:r w:rsidRPr="002C21B8">
        <w:t xml:space="preserve"> and </w:t>
      </w:r>
      <w:r w:rsidR="002351C0" w:rsidRPr="002C21B8">
        <w:t xml:space="preserve">the </w:t>
      </w:r>
      <w:r w:rsidRPr="002C21B8">
        <w:t xml:space="preserve">supplementary materials published with the journal article are presented in </w:t>
      </w:r>
      <w:hyperlink w:anchor="_Appendix_5._Additional" w:history="1">
        <w:r w:rsidRPr="002C21B8">
          <w:rPr>
            <w:rStyle w:val="Hyperlink"/>
          </w:rPr>
          <w:t xml:space="preserve">Appendices </w:t>
        </w:r>
        <w:r w:rsidR="001426FD" w:rsidRPr="002C21B8">
          <w:rPr>
            <w:rStyle w:val="Hyperlink"/>
          </w:rPr>
          <w:t>5</w:t>
        </w:r>
      </w:hyperlink>
      <w:r w:rsidRPr="002C21B8">
        <w:t xml:space="preserve"> and </w:t>
      </w:r>
      <w:hyperlink w:anchor="_Appendix_6._Publication" w:history="1">
        <w:r w:rsidR="001426FD" w:rsidRPr="002C21B8">
          <w:rPr>
            <w:rStyle w:val="Hyperlink"/>
          </w:rPr>
          <w:t>6</w:t>
        </w:r>
      </w:hyperlink>
      <w:r w:rsidRPr="002C21B8">
        <w:t>.</w:t>
      </w:r>
    </w:p>
    <w:p w14:paraId="049B623A" w14:textId="77777777" w:rsidR="005400AE" w:rsidRPr="002C21B8" w:rsidRDefault="005400AE" w:rsidP="00AE796C">
      <w:pPr>
        <w:spacing w:after="0" w:line="240" w:lineRule="auto"/>
        <w:rPr>
          <w:rFonts w:eastAsiaTheme="majorEastAsia"/>
          <w:b/>
          <w:bCs/>
          <w:color w:val="000000" w:themeColor="text1"/>
          <w:sz w:val="32"/>
          <w:szCs w:val="32"/>
        </w:rPr>
      </w:pPr>
      <w:r w:rsidRPr="002C21B8">
        <w:br w:type="page"/>
      </w:r>
    </w:p>
    <w:p w14:paraId="267F6B4A" w14:textId="713267F1" w:rsidR="00D50E4C" w:rsidRPr="002C21B8" w:rsidRDefault="00D50E4C" w:rsidP="00581663">
      <w:pPr>
        <w:pStyle w:val="Heading2"/>
      </w:pPr>
      <w:bookmarkStart w:id="139" w:name="_Toc229687224"/>
      <w:r w:rsidRPr="002C21B8">
        <w:t>Manuscript</w:t>
      </w:r>
      <w:bookmarkEnd w:id="139"/>
    </w:p>
    <w:p w14:paraId="3B914056" w14:textId="77777777" w:rsidR="00D50E4C" w:rsidRPr="002C21B8" w:rsidRDefault="00D50E4C" w:rsidP="00D50E4C"/>
    <w:p w14:paraId="12AF59FD" w14:textId="2E36433E" w:rsidR="006F5CDF" w:rsidRPr="002C21B8" w:rsidRDefault="006F5CDF" w:rsidP="005400AE">
      <w:pPr>
        <w:rPr>
          <w:b/>
          <w:bCs/>
          <w:sz w:val="32"/>
          <w:szCs w:val="32"/>
        </w:rPr>
      </w:pPr>
      <w:r w:rsidRPr="002C21B8">
        <w:rPr>
          <w:b/>
          <w:bCs/>
          <w:sz w:val="32"/>
          <w:szCs w:val="32"/>
        </w:rPr>
        <w:t xml:space="preserve">Variation in </w:t>
      </w:r>
      <w:r w:rsidR="00456A7E" w:rsidRPr="002C21B8">
        <w:rPr>
          <w:b/>
          <w:bCs/>
          <w:sz w:val="32"/>
          <w:szCs w:val="32"/>
        </w:rPr>
        <w:t>t</w:t>
      </w:r>
      <w:r w:rsidRPr="002C21B8">
        <w:rPr>
          <w:b/>
          <w:bCs/>
          <w:sz w:val="32"/>
          <w:szCs w:val="32"/>
        </w:rPr>
        <w:t xml:space="preserve">olvaptan </w:t>
      </w:r>
      <w:r w:rsidR="00456A7E" w:rsidRPr="002C21B8">
        <w:rPr>
          <w:b/>
          <w:bCs/>
          <w:sz w:val="32"/>
          <w:szCs w:val="32"/>
        </w:rPr>
        <w:t>p</w:t>
      </w:r>
      <w:r w:rsidRPr="002C21B8">
        <w:rPr>
          <w:b/>
          <w:bCs/>
          <w:sz w:val="32"/>
          <w:szCs w:val="32"/>
        </w:rPr>
        <w:t xml:space="preserve">rescribing for </w:t>
      </w:r>
      <w:r w:rsidR="00456A7E" w:rsidRPr="002C21B8">
        <w:rPr>
          <w:b/>
          <w:bCs/>
          <w:sz w:val="32"/>
          <w:szCs w:val="32"/>
        </w:rPr>
        <w:t>a</w:t>
      </w:r>
      <w:r w:rsidRPr="002C21B8">
        <w:rPr>
          <w:b/>
          <w:bCs/>
          <w:sz w:val="32"/>
          <w:szCs w:val="32"/>
        </w:rPr>
        <w:t xml:space="preserve">utosomal </w:t>
      </w:r>
      <w:r w:rsidR="00456A7E" w:rsidRPr="002C21B8">
        <w:rPr>
          <w:b/>
          <w:bCs/>
          <w:sz w:val="32"/>
          <w:szCs w:val="32"/>
        </w:rPr>
        <w:t>d</w:t>
      </w:r>
      <w:r w:rsidRPr="002C21B8">
        <w:rPr>
          <w:b/>
          <w:bCs/>
          <w:sz w:val="32"/>
          <w:szCs w:val="32"/>
        </w:rPr>
        <w:t xml:space="preserve">ominant </w:t>
      </w:r>
      <w:r w:rsidR="00456A7E" w:rsidRPr="002C21B8">
        <w:rPr>
          <w:b/>
          <w:bCs/>
          <w:sz w:val="32"/>
          <w:szCs w:val="32"/>
        </w:rPr>
        <w:t>p</w:t>
      </w:r>
      <w:r w:rsidRPr="002C21B8">
        <w:rPr>
          <w:b/>
          <w:bCs/>
          <w:sz w:val="32"/>
          <w:szCs w:val="32"/>
        </w:rPr>
        <w:t xml:space="preserve">olycystic </w:t>
      </w:r>
      <w:r w:rsidR="00456A7E" w:rsidRPr="002C21B8">
        <w:rPr>
          <w:b/>
          <w:bCs/>
          <w:sz w:val="32"/>
          <w:szCs w:val="32"/>
        </w:rPr>
        <w:t>k</w:t>
      </w:r>
      <w:r w:rsidRPr="002C21B8">
        <w:rPr>
          <w:b/>
          <w:bCs/>
          <w:sz w:val="32"/>
          <w:szCs w:val="32"/>
        </w:rPr>
        <w:t xml:space="preserve">idney </w:t>
      </w:r>
      <w:r w:rsidR="00456A7E" w:rsidRPr="002C21B8">
        <w:rPr>
          <w:b/>
          <w:bCs/>
          <w:sz w:val="32"/>
          <w:szCs w:val="32"/>
        </w:rPr>
        <w:t>d</w:t>
      </w:r>
      <w:r w:rsidRPr="002C21B8">
        <w:rPr>
          <w:b/>
          <w:bCs/>
          <w:sz w:val="32"/>
          <w:szCs w:val="32"/>
        </w:rPr>
        <w:t xml:space="preserve">isease in the United Kingdom and </w:t>
      </w:r>
      <w:r w:rsidR="00456A7E" w:rsidRPr="002C21B8">
        <w:rPr>
          <w:b/>
          <w:bCs/>
          <w:sz w:val="32"/>
          <w:szCs w:val="32"/>
        </w:rPr>
        <w:t>i</w:t>
      </w:r>
      <w:r w:rsidRPr="002C21B8">
        <w:rPr>
          <w:b/>
          <w:bCs/>
          <w:sz w:val="32"/>
          <w:szCs w:val="32"/>
        </w:rPr>
        <w:t xml:space="preserve">ts </w:t>
      </w:r>
      <w:r w:rsidR="00456A7E" w:rsidRPr="002C21B8">
        <w:rPr>
          <w:b/>
          <w:bCs/>
          <w:sz w:val="32"/>
          <w:szCs w:val="32"/>
        </w:rPr>
        <w:t>i</w:t>
      </w:r>
      <w:r w:rsidRPr="002C21B8">
        <w:rPr>
          <w:b/>
          <w:bCs/>
          <w:sz w:val="32"/>
          <w:szCs w:val="32"/>
        </w:rPr>
        <w:t xml:space="preserve">mpact on </w:t>
      </w:r>
      <w:r w:rsidR="00456A7E" w:rsidRPr="002C21B8">
        <w:rPr>
          <w:b/>
          <w:bCs/>
          <w:sz w:val="32"/>
          <w:szCs w:val="32"/>
        </w:rPr>
        <w:t>q</w:t>
      </w:r>
      <w:r w:rsidRPr="002C21B8">
        <w:rPr>
          <w:b/>
          <w:bCs/>
          <w:sz w:val="32"/>
          <w:szCs w:val="32"/>
        </w:rPr>
        <w:t xml:space="preserve">uality of </w:t>
      </w:r>
      <w:r w:rsidR="00456A7E" w:rsidRPr="002C21B8">
        <w:rPr>
          <w:b/>
          <w:bCs/>
          <w:sz w:val="32"/>
          <w:szCs w:val="32"/>
        </w:rPr>
        <w:t>l</w:t>
      </w:r>
      <w:r w:rsidRPr="002C21B8">
        <w:rPr>
          <w:b/>
          <w:bCs/>
          <w:sz w:val="32"/>
          <w:szCs w:val="32"/>
        </w:rPr>
        <w:t xml:space="preserve">ife and </w:t>
      </w:r>
      <w:r w:rsidR="00456A7E" w:rsidRPr="002C21B8">
        <w:rPr>
          <w:b/>
          <w:bCs/>
          <w:sz w:val="32"/>
          <w:szCs w:val="32"/>
        </w:rPr>
        <w:t>c</w:t>
      </w:r>
      <w:r w:rsidRPr="002C21B8">
        <w:rPr>
          <w:b/>
          <w:bCs/>
          <w:sz w:val="32"/>
          <w:szCs w:val="32"/>
        </w:rPr>
        <w:t>osts</w:t>
      </w:r>
    </w:p>
    <w:p w14:paraId="697E7A5A" w14:textId="106CB23B" w:rsidR="005400AE" w:rsidRPr="002C21B8" w:rsidRDefault="006F5CDF" w:rsidP="003374F4">
      <w:pPr>
        <w:rPr>
          <w:i/>
          <w:iCs/>
        </w:rPr>
      </w:pPr>
      <w:r w:rsidRPr="002C21B8">
        <w:rPr>
          <w:shd w:val="clear" w:color="auto" w:fill="FFFFFF"/>
        </w:rPr>
        <w:t>Gittus</w:t>
      </w:r>
      <w:r w:rsidR="00C341B0" w:rsidRPr="002C21B8">
        <w:rPr>
          <w:shd w:val="clear" w:color="auto" w:fill="FFFFFF"/>
        </w:rPr>
        <w:t>,</w:t>
      </w:r>
      <w:r w:rsidRPr="002C21B8">
        <w:rPr>
          <w:shd w:val="clear" w:color="auto" w:fill="FFFFFF"/>
        </w:rPr>
        <w:t xml:space="preserve"> M</w:t>
      </w:r>
      <w:r w:rsidR="00C341B0" w:rsidRPr="002C21B8">
        <w:rPr>
          <w:shd w:val="clear" w:color="auto" w:fill="FFFFFF"/>
        </w:rPr>
        <w:t>.</w:t>
      </w:r>
      <w:r w:rsidRPr="002C21B8">
        <w:rPr>
          <w:shd w:val="clear" w:color="auto" w:fill="FFFFFF"/>
        </w:rPr>
        <w:t>, Pitcher</w:t>
      </w:r>
      <w:r w:rsidR="00C341B0" w:rsidRPr="002C21B8">
        <w:rPr>
          <w:shd w:val="clear" w:color="auto" w:fill="FFFFFF"/>
        </w:rPr>
        <w:t>,</w:t>
      </w:r>
      <w:r w:rsidRPr="002C21B8">
        <w:rPr>
          <w:shd w:val="clear" w:color="auto" w:fill="FFFFFF"/>
        </w:rPr>
        <w:t xml:space="preserve"> D</w:t>
      </w:r>
      <w:r w:rsidR="00C341B0" w:rsidRPr="002C21B8">
        <w:rPr>
          <w:shd w:val="clear" w:color="auto" w:fill="FFFFFF"/>
        </w:rPr>
        <w:t>.</w:t>
      </w:r>
      <w:r w:rsidRPr="002C21B8">
        <w:rPr>
          <w:shd w:val="clear" w:color="auto" w:fill="FFFFFF"/>
        </w:rPr>
        <w:t>, O'Cathain</w:t>
      </w:r>
      <w:r w:rsidR="00C341B0" w:rsidRPr="002C21B8">
        <w:rPr>
          <w:shd w:val="clear" w:color="auto" w:fill="FFFFFF"/>
        </w:rPr>
        <w:t>,</w:t>
      </w:r>
      <w:r w:rsidRPr="002C21B8">
        <w:rPr>
          <w:shd w:val="clear" w:color="auto" w:fill="FFFFFF"/>
        </w:rPr>
        <w:t xml:space="preserve"> A</w:t>
      </w:r>
      <w:r w:rsidR="00C341B0" w:rsidRPr="002C21B8">
        <w:rPr>
          <w:shd w:val="clear" w:color="auto" w:fill="FFFFFF"/>
        </w:rPr>
        <w:t>.</w:t>
      </w:r>
      <w:r w:rsidRPr="002C21B8">
        <w:rPr>
          <w:shd w:val="clear" w:color="auto" w:fill="FFFFFF"/>
        </w:rPr>
        <w:t>, Ong</w:t>
      </w:r>
      <w:r w:rsidR="00C341B0" w:rsidRPr="002C21B8">
        <w:rPr>
          <w:shd w:val="clear" w:color="auto" w:fill="FFFFFF"/>
        </w:rPr>
        <w:t>,</w:t>
      </w:r>
      <w:r w:rsidRPr="002C21B8">
        <w:rPr>
          <w:shd w:val="clear" w:color="auto" w:fill="FFFFFF"/>
        </w:rPr>
        <w:t xml:space="preserve"> A</w:t>
      </w:r>
      <w:r w:rsidR="00C341B0" w:rsidRPr="002C21B8">
        <w:rPr>
          <w:shd w:val="clear" w:color="auto" w:fill="FFFFFF"/>
        </w:rPr>
        <w:t>.</w:t>
      </w:r>
      <w:r w:rsidRPr="002C21B8">
        <w:rPr>
          <w:shd w:val="clear" w:color="auto" w:fill="FFFFFF"/>
        </w:rPr>
        <w:t>C</w:t>
      </w:r>
      <w:r w:rsidR="00C341B0" w:rsidRPr="002C21B8">
        <w:rPr>
          <w:shd w:val="clear" w:color="auto" w:fill="FFFFFF"/>
        </w:rPr>
        <w:t>.</w:t>
      </w:r>
      <w:r w:rsidRPr="002C21B8">
        <w:rPr>
          <w:shd w:val="clear" w:color="auto" w:fill="FFFFFF"/>
        </w:rPr>
        <w:t>M</w:t>
      </w:r>
      <w:r w:rsidR="00C341B0" w:rsidRPr="002C21B8">
        <w:rPr>
          <w:shd w:val="clear" w:color="auto" w:fill="FFFFFF"/>
        </w:rPr>
        <w:t>.</w:t>
      </w:r>
      <w:r w:rsidRPr="002C21B8">
        <w:rPr>
          <w:shd w:val="clear" w:color="auto" w:fill="FFFFFF"/>
        </w:rPr>
        <w:t>, Simms</w:t>
      </w:r>
      <w:r w:rsidR="00C341B0" w:rsidRPr="002C21B8">
        <w:rPr>
          <w:shd w:val="clear" w:color="auto" w:fill="FFFFFF"/>
        </w:rPr>
        <w:t>,</w:t>
      </w:r>
      <w:r w:rsidRPr="002C21B8">
        <w:rPr>
          <w:shd w:val="clear" w:color="auto" w:fill="FFFFFF"/>
        </w:rPr>
        <w:t xml:space="preserve"> R</w:t>
      </w:r>
      <w:r w:rsidR="00C341B0" w:rsidRPr="002C21B8">
        <w:rPr>
          <w:shd w:val="clear" w:color="auto" w:fill="FFFFFF"/>
        </w:rPr>
        <w:t>.</w:t>
      </w:r>
      <w:r w:rsidRPr="002C21B8">
        <w:rPr>
          <w:shd w:val="clear" w:color="auto" w:fill="FFFFFF"/>
        </w:rPr>
        <w:t xml:space="preserve">, </w:t>
      </w:r>
      <w:r w:rsidR="0045565E" w:rsidRPr="002C21B8">
        <w:rPr>
          <w:shd w:val="clear" w:color="auto" w:fill="FFFFFF"/>
        </w:rPr>
        <w:t xml:space="preserve">and </w:t>
      </w:r>
      <w:r w:rsidRPr="002C21B8">
        <w:rPr>
          <w:shd w:val="clear" w:color="auto" w:fill="FFFFFF"/>
        </w:rPr>
        <w:t>Fotheringham</w:t>
      </w:r>
      <w:r w:rsidR="00C341B0" w:rsidRPr="002C21B8">
        <w:rPr>
          <w:shd w:val="clear" w:color="auto" w:fill="FFFFFF"/>
        </w:rPr>
        <w:t>,</w:t>
      </w:r>
      <w:r w:rsidRPr="002C21B8">
        <w:rPr>
          <w:shd w:val="clear" w:color="auto" w:fill="FFFFFF"/>
        </w:rPr>
        <w:t xml:space="preserve"> J.</w:t>
      </w:r>
    </w:p>
    <w:p w14:paraId="63884A93" w14:textId="1C813428" w:rsidR="006E7F83" w:rsidRPr="002C21B8" w:rsidRDefault="006E7F83" w:rsidP="003374F4">
      <w:pPr>
        <w:rPr>
          <w:i/>
          <w:iCs/>
        </w:rPr>
      </w:pPr>
      <w:r w:rsidRPr="002C21B8">
        <w:t xml:space="preserve">Submitted to </w:t>
      </w:r>
      <w:r w:rsidRPr="002C21B8">
        <w:rPr>
          <w:i/>
          <w:iCs/>
        </w:rPr>
        <w:t>PLOS One</w:t>
      </w:r>
    </w:p>
    <w:p w14:paraId="1799BC4F" w14:textId="77777777" w:rsidR="006E7F83" w:rsidRPr="002C21B8" w:rsidRDefault="006E7F83" w:rsidP="003374F4"/>
    <w:p w14:paraId="495655E7" w14:textId="2D86C432" w:rsidR="002C4460" w:rsidRPr="002C21B8" w:rsidRDefault="002C4460" w:rsidP="00263DE5">
      <w:pPr>
        <w:spacing w:before="240"/>
        <w:rPr>
          <w:b/>
          <w:bCs/>
          <w:sz w:val="28"/>
          <w:szCs w:val="28"/>
        </w:rPr>
      </w:pPr>
      <w:r w:rsidRPr="002C21B8">
        <w:rPr>
          <w:b/>
          <w:bCs/>
          <w:sz w:val="28"/>
          <w:szCs w:val="28"/>
        </w:rPr>
        <w:t>Abstract</w:t>
      </w:r>
    </w:p>
    <w:p w14:paraId="7CB05845" w14:textId="481FDF1D" w:rsidR="0003113B" w:rsidRPr="002C21B8" w:rsidRDefault="0003113B" w:rsidP="007E6078">
      <w:pPr>
        <w:spacing w:after="0"/>
        <w:rPr>
          <w:b/>
          <w:bCs/>
          <w:sz w:val="24"/>
          <w:szCs w:val="24"/>
        </w:rPr>
      </w:pPr>
      <w:r w:rsidRPr="002C21B8">
        <w:rPr>
          <w:b/>
          <w:bCs/>
          <w:sz w:val="24"/>
          <w:szCs w:val="24"/>
        </w:rPr>
        <w:t>Background</w:t>
      </w:r>
    </w:p>
    <w:p w14:paraId="1437483A" w14:textId="25CE8758" w:rsidR="0003113B" w:rsidRPr="002C21B8" w:rsidRDefault="0003113B" w:rsidP="00706B9C">
      <w:r w:rsidRPr="002C21B8">
        <w:t>Autosomal dominant polycystic kidney disease (ADPKD) affects over 12 million people worldwide</w:t>
      </w:r>
      <w:r w:rsidR="00B91BDB" w:rsidRPr="002C21B8">
        <w:t>,</w:t>
      </w:r>
      <w:r w:rsidRPr="002C21B8">
        <w:t xml:space="preserve"> including an estimated 30,000–70,000 in the United Kingdom (UK). Tolvaptan is the only disease-modifying therapy approved for rapidly progressing disease. </w:t>
      </w:r>
      <w:r w:rsidR="00706B9C" w:rsidRPr="002C21B8">
        <w:t>Despite national guidance, prescribing practices were hypothesised to vary by kidney centre. This variation could involve eligible patients not being initiated or non-eligible patients being initiated.</w:t>
      </w:r>
      <w:r w:rsidRPr="002C21B8">
        <w:t xml:space="preserve"> This </w:t>
      </w:r>
      <w:r w:rsidR="00706B9C" w:rsidRPr="002C21B8">
        <w:t xml:space="preserve">could </w:t>
      </w:r>
      <w:r w:rsidRPr="002C21B8">
        <w:t>have important consequences for healthcare costs and health-related quality of life.</w:t>
      </w:r>
    </w:p>
    <w:p w14:paraId="27DAA7F9" w14:textId="77777777" w:rsidR="0003113B" w:rsidRPr="002C21B8" w:rsidRDefault="0003113B" w:rsidP="007E6078">
      <w:pPr>
        <w:spacing w:before="240" w:after="0"/>
        <w:rPr>
          <w:b/>
          <w:bCs/>
          <w:sz w:val="24"/>
          <w:szCs w:val="24"/>
        </w:rPr>
      </w:pPr>
      <w:r w:rsidRPr="002C21B8">
        <w:rPr>
          <w:b/>
          <w:bCs/>
          <w:sz w:val="24"/>
          <w:szCs w:val="24"/>
        </w:rPr>
        <w:t>Methods</w:t>
      </w:r>
    </w:p>
    <w:p w14:paraId="0A6AB934" w14:textId="263B1015" w:rsidR="0003113B" w:rsidRPr="002C21B8" w:rsidRDefault="0003113B" w:rsidP="0003113B">
      <w:r w:rsidRPr="002C21B8">
        <w:t xml:space="preserve">The National Registry of Rare Kidney Diseases (RaDaR) collects </w:t>
      </w:r>
      <w:r w:rsidR="00706B9C" w:rsidRPr="002C21B8">
        <w:t xml:space="preserve">longitudinal </w:t>
      </w:r>
      <w:r w:rsidRPr="002C21B8">
        <w:t>data from UK NHS kidney centres. This retrospective cohort study used routinely collected data (2016</w:t>
      </w:r>
      <w:r w:rsidR="00AC0245" w:rsidRPr="002C21B8">
        <w:t>–</w:t>
      </w:r>
      <w:r w:rsidRPr="002C21B8">
        <w:t>2023) to examine tolvaptan prescribing across kidney centres. Kidney centre-level initiation patterns were described, assessed using mixed-effects logistic regression and visualised with funnel plots. Cost-effectiveness analyses combined observed prescribing practices under likely negotiated commercial discounts to estimate costs and quality-adjusted life year (QALY) consequences of prescribing at the national level.</w:t>
      </w:r>
    </w:p>
    <w:p w14:paraId="3B4FA6C7" w14:textId="77777777" w:rsidR="0003113B" w:rsidRPr="002C21B8" w:rsidRDefault="0003113B" w:rsidP="007E6078">
      <w:pPr>
        <w:spacing w:before="240" w:after="0"/>
        <w:rPr>
          <w:b/>
          <w:bCs/>
          <w:sz w:val="24"/>
          <w:szCs w:val="24"/>
        </w:rPr>
      </w:pPr>
      <w:r w:rsidRPr="002C21B8">
        <w:rPr>
          <w:b/>
          <w:bCs/>
          <w:sz w:val="24"/>
          <w:szCs w:val="24"/>
        </w:rPr>
        <w:t>Results</w:t>
      </w:r>
    </w:p>
    <w:p w14:paraId="4194AC77" w14:textId="49731D3A" w:rsidR="00C3567E" w:rsidRPr="002C21B8" w:rsidRDefault="00C3567E" w:rsidP="00C3567E">
      <w:r w:rsidRPr="002C21B8">
        <w:t xml:space="preserve">Our study included 3,609 people with ADPKD from 72 kidney centres. </w:t>
      </w:r>
      <w:r w:rsidR="001A08B1" w:rsidRPr="002C21B8">
        <w:t>34.8%</w:t>
      </w:r>
      <w:r w:rsidR="006158A9" w:rsidRPr="002C21B8">
        <w:t xml:space="preserve"> (292/839)</w:t>
      </w:r>
      <w:r w:rsidR="001A08B1" w:rsidRPr="002C21B8">
        <w:t xml:space="preserve"> of p</w:t>
      </w:r>
      <w:r w:rsidRPr="002C21B8">
        <w:t xml:space="preserve">atients </w:t>
      </w:r>
      <w:r w:rsidR="0025535D" w:rsidRPr="002C21B8">
        <w:t xml:space="preserve">who were </w:t>
      </w:r>
      <w:r w:rsidRPr="002C21B8">
        <w:t xml:space="preserve">eligible were not initiated </w:t>
      </w:r>
      <w:r w:rsidR="001A08B1" w:rsidRPr="002C21B8">
        <w:t>on tolvaptan</w:t>
      </w:r>
      <w:r w:rsidRPr="002C21B8">
        <w:t xml:space="preserve">. </w:t>
      </w:r>
      <w:r w:rsidR="00B71744" w:rsidRPr="002C21B8">
        <w:t>F</w:t>
      </w:r>
      <w:r w:rsidRPr="002C21B8">
        <w:t xml:space="preserve">ive </w:t>
      </w:r>
      <w:r w:rsidR="00B71744" w:rsidRPr="002C21B8">
        <w:t xml:space="preserve">centres </w:t>
      </w:r>
      <w:r w:rsidRPr="002C21B8">
        <w:t>(9.4%, 5/53) initiated tolvaptan significantly more than expected among eligible participants, while one centre (1.9%</w:t>
      </w:r>
      <w:r w:rsidR="00131A61" w:rsidRPr="002C21B8">
        <w:t>,</w:t>
      </w:r>
      <w:r w:rsidRPr="002C21B8">
        <w:t xml:space="preserve"> 1/53) initiated significantly less. Nationally, </w:t>
      </w:r>
      <w:r w:rsidR="008223DD" w:rsidRPr="002C21B8">
        <w:t>eligible patients not being initiated on tolvaptan</w:t>
      </w:r>
      <w:r w:rsidRPr="002C21B8">
        <w:t xml:space="preserve"> could result in up to £53.7 million in lost savings (assuming a 60% medication price reduction) and result in up to 1,245 lost QALYs. </w:t>
      </w:r>
      <w:r w:rsidR="006158A9" w:rsidRPr="002C21B8">
        <w:t>26.1% (103/395) of p</w:t>
      </w:r>
      <w:r w:rsidRPr="002C21B8">
        <w:t xml:space="preserve">atients initiated on tolvaptan were not eligible. Only one centre (2.4%, 1/41) had significantly fewer eligible patients than expected among initiated patients. Nationally, </w:t>
      </w:r>
      <w:r w:rsidR="003375FD" w:rsidRPr="002C21B8">
        <w:t xml:space="preserve">initiating patients who were not eligible </w:t>
      </w:r>
      <w:r w:rsidRPr="002C21B8">
        <w:t>could cost up to £15.9 million (assuming a 60% medication price reduction).</w:t>
      </w:r>
    </w:p>
    <w:p w14:paraId="09C14A0D" w14:textId="77777777" w:rsidR="0003113B" w:rsidRPr="002C21B8" w:rsidRDefault="0003113B" w:rsidP="007E6078">
      <w:pPr>
        <w:spacing w:before="240" w:after="0"/>
        <w:rPr>
          <w:b/>
          <w:bCs/>
          <w:sz w:val="24"/>
          <w:szCs w:val="24"/>
        </w:rPr>
      </w:pPr>
      <w:r w:rsidRPr="002C21B8">
        <w:rPr>
          <w:b/>
          <w:bCs/>
          <w:sz w:val="24"/>
          <w:szCs w:val="24"/>
        </w:rPr>
        <w:t>Conclusions</w:t>
      </w:r>
    </w:p>
    <w:p w14:paraId="2B62C372" w14:textId="369DEF15" w:rsidR="0003113B" w:rsidRPr="002C21B8" w:rsidRDefault="0003113B" w:rsidP="0003113B">
      <w:r w:rsidRPr="002C21B8">
        <w:t>There is evidence of variation in tolvaptan prescribing in the UK. A substantial proportion of patients eligible for tolvaptan were not initiated at the cohort-level, with evidence of variation between centres</w:t>
      </w:r>
      <w:r w:rsidR="0066594D" w:rsidRPr="002C21B8">
        <w:t>. This</w:t>
      </w:r>
      <w:r w:rsidRPr="002C21B8">
        <w:t xml:space="preserve"> suggest</w:t>
      </w:r>
      <w:r w:rsidR="0066594D" w:rsidRPr="002C21B8">
        <w:t xml:space="preserve">s there may be </w:t>
      </w:r>
      <w:r w:rsidRPr="002C21B8">
        <w:t>differences in decision-making</w:t>
      </w:r>
      <w:r w:rsidR="0066594D" w:rsidRPr="002C21B8">
        <w:t xml:space="preserve"> at a centre-level</w:t>
      </w:r>
      <w:r w:rsidRPr="002C21B8">
        <w:t xml:space="preserve">. A substantial proportion of patients initiated on tolvaptan were not eligible at the cohort-level, but there was limited evidence </w:t>
      </w:r>
      <w:r w:rsidR="00010CA3" w:rsidRPr="002C21B8">
        <w:t xml:space="preserve">to suggest </w:t>
      </w:r>
      <w:r w:rsidRPr="002C21B8">
        <w:t xml:space="preserve">variation between centres. Together, these findings raise questions </w:t>
      </w:r>
      <w:r w:rsidR="00010CA3" w:rsidRPr="002C21B8">
        <w:t>about</w:t>
      </w:r>
      <w:r w:rsidRPr="002C21B8">
        <w:t xml:space="preserve"> the consistency of clinical decision-making, </w:t>
      </w:r>
      <w:r w:rsidR="00010CA3" w:rsidRPr="002C21B8">
        <w:t>alignment with national guid</w:t>
      </w:r>
      <w:r w:rsidR="00995A69" w:rsidRPr="002C21B8">
        <w:t>elines</w:t>
      </w:r>
      <w:r w:rsidR="00010CA3" w:rsidRPr="002C21B8">
        <w:t xml:space="preserve">, </w:t>
      </w:r>
      <w:r w:rsidRPr="002C21B8">
        <w:t>equitable access, and effective use of healthcare resources.</w:t>
      </w:r>
    </w:p>
    <w:p w14:paraId="00A3EE4D" w14:textId="2885ADA1" w:rsidR="00AD563A" w:rsidRPr="002C21B8" w:rsidRDefault="00AD563A" w:rsidP="0003113B">
      <w:r w:rsidRPr="002C21B8">
        <w:rPr>
          <w:b/>
          <w:bCs/>
        </w:rPr>
        <w:t>Keywords:</w:t>
      </w:r>
      <w:r w:rsidRPr="002C21B8">
        <w:t xml:space="preserve"> ADPKD, polycystic kidney disease, CKD</w:t>
      </w:r>
    </w:p>
    <w:p w14:paraId="6DD208E7" w14:textId="77777777" w:rsidR="00DD2657" w:rsidRPr="002C21B8" w:rsidRDefault="00DD2657" w:rsidP="00A97F07">
      <w:pPr>
        <w:pStyle w:val="ListParagraph"/>
        <w:numPr>
          <w:ilvl w:val="0"/>
          <w:numId w:val="45"/>
        </w:numPr>
        <w:sectPr w:rsidR="00DD2657" w:rsidRPr="002C21B8" w:rsidSect="0009672F">
          <w:headerReference w:type="default" r:id="rId36"/>
          <w:type w:val="continuous"/>
          <w:pgSz w:w="11906" w:h="16838"/>
          <w:pgMar w:top="1440" w:right="1440" w:bottom="1440" w:left="1440" w:header="708" w:footer="708" w:gutter="0"/>
          <w:cols w:space="708"/>
          <w:docGrid w:linePitch="360"/>
        </w:sectPr>
      </w:pPr>
    </w:p>
    <w:p w14:paraId="5F3B0C6D" w14:textId="77777777" w:rsidR="00D43833" w:rsidRPr="002C21B8" w:rsidRDefault="00D43833">
      <w:pPr>
        <w:spacing w:after="0" w:line="240" w:lineRule="auto"/>
        <w:jc w:val="left"/>
        <w:rPr>
          <w:b/>
          <w:bCs/>
          <w:sz w:val="28"/>
          <w:szCs w:val="28"/>
        </w:rPr>
      </w:pPr>
      <w:r w:rsidRPr="002C21B8">
        <w:rPr>
          <w:b/>
          <w:bCs/>
          <w:sz w:val="28"/>
          <w:szCs w:val="28"/>
        </w:rPr>
        <w:br w:type="page"/>
      </w:r>
    </w:p>
    <w:p w14:paraId="2DAC8AEB" w14:textId="7BB4B971" w:rsidR="00DD2657" w:rsidRPr="002C21B8" w:rsidRDefault="00DD2657" w:rsidP="00EE2A09">
      <w:pPr>
        <w:spacing w:before="240" w:after="0"/>
        <w:rPr>
          <w:b/>
          <w:bCs/>
          <w:sz w:val="28"/>
          <w:szCs w:val="28"/>
        </w:rPr>
      </w:pPr>
      <w:r w:rsidRPr="002C21B8">
        <w:rPr>
          <w:b/>
          <w:bCs/>
          <w:sz w:val="28"/>
          <w:szCs w:val="28"/>
        </w:rPr>
        <w:t>Introduction</w:t>
      </w:r>
    </w:p>
    <w:p w14:paraId="74B96A9E" w14:textId="1FBB313D" w:rsidR="00080F78" w:rsidRPr="002C21B8" w:rsidRDefault="00080F78" w:rsidP="00706B9C">
      <w:r w:rsidRPr="002C21B8">
        <w:t xml:space="preserve">Autosomal Dominant Polycystic Kidney Disease (ADPKD) is the most common inherited kidney disorder, affecting an estimated 12.5 million worldwide </w:t>
      </w:r>
      <w:r w:rsidRPr="002C21B8">
        <w:fldChar w:fldCharType="begin"/>
      </w:r>
      <w:r w:rsidR="00CE4967" w:rsidRPr="002C21B8">
        <w:instrText xml:space="preserve"> ADDIN EN.CITE &lt;EndNote&gt;&lt;Cite&gt;&lt;Author&gt;Chebib&lt;/Author&gt;&lt;Year&gt;2023&lt;/Year&gt;&lt;RecNum&gt;125002&lt;/RecNum&gt;&lt;DisplayText&gt;(Chebib&lt;style face="italic"&gt; et al.&lt;/style&gt;, 2023)&lt;/DisplayText&gt;&lt;record&gt;&lt;rec-number&gt;125002&lt;/rec-number&gt;&lt;foreign-keys&gt;&lt;key app="EN" db-id="xpefzwa5hf9dt2ea9fax95x7xvxz90v09dtf" timestamp="1757061253"&gt;125002&lt;/key&gt;&lt;/foreign-keys&gt;&lt;ref-type name="Journal Article"&gt;17&lt;/ref-type&gt;&lt;contributors&gt;&lt;authors&gt;&lt;author&gt;Chebib, F. T.&lt;/author&gt;&lt;author&gt;Zhou, X.&lt;/author&gt;&lt;author&gt;Garbinsky, D.&lt;/author&gt;&lt;author&gt;Davenport, E.&lt;/author&gt;&lt;author&gt;Nunna, S.&lt;/author&gt;&lt;author&gt;Oberdhan, D.&lt;/author&gt;&lt;author&gt;Fernandes, A.&lt;/author&gt;&lt;/authors&gt;&lt;/contributors&gt;&lt;auth-address&gt;Division of Nephrology and Hypertension, Mayo Clinic, Jacksonville, FL.&amp;#xD;RTI Health Solutions, Research Triangle Park, NC.&amp;#xD;Otsuka Pharmaceutical Development &amp;amp; Commercialization, Inc, Rockville, MD.&lt;/auth-address&gt;&lt;titles&gt;&lt;title&gt;Tolvaptan and Kidney Function Decline in Older Individuals With Autosomal Dominant Polycystic Kidney Disease: A Pooled Analysis of Randomized Clinical Trials and Observational Studies&lt;/title&gt;&lt;secondary-title&gt;Kidney Medicine&lt;/secondary-title&gt;&lt;/titles&gt;&lt;periodical&gt;&lt;full-title&gt;Kidney medicine&lt;/full-title&gt;&lt;/periodical&gt;&lt;pages&gt;100639&lt;/pages&gt;&lt;volume&gt;5&lt;/volume&gt;&lt;number&gt;6&lt;/number&gt;&lt;edition&gt;20230414&lt;/edition&gt;&lt;keywords&gt;&lt;keyword&gt;Autosomal dominant polycystic kidney disease (ADPKD)&lt;/keyword&gt;&lt;keyword&gt;clinical trial&lt;/keyword&gt;&lt;keyword&gt;glomerular filtration rate (GFR)&lt;/keyword&gt;&lt;keyword&gt;subgroup analysis&lt;/keyword&gt;&lt;keyword&gt;tolvaptan&lt;/keyword&gt;&lt;/keywords&gt;&lt;dates&gt;&lt;year&gt;2023&lt;/year&gt;&lt;pub-dates&gt;&lt;date&gt;Jun&lt;/date&gt;&lt;/pub-dates&gt;&lt;/dates&gt;&lt;isbn&gt;2590-0595&lt;/isbn&gt;&lt;accession-num&gt;37250503&lt;/accession-num&gt;&lt;urls&gt;&lt;/urls&gt;&lt;custom2&gt;PMC10220412&lt;/custom2&gt;&lt;electronic-resource-num&gt;10.1016/j.xkme.2023.100639&lt;/electronic-resource-num&gt;&lt;remote-database-provider&gt;NLM&lt;/remote-database-provider&gt;&lt;language&gt;eng&lt;/language&gt;&lt;/record&gt;&lt;/Cite&gt;&lt;/EndNote&gt;</w:instrText>
      </w:r>
      <w:r w:rsidRPr="002C21B8">
        <w:fldChar w:fldCharType="separate"/>
      </w:r>
      <w:r w:rsidRPr="002C21B8">
        <w:rPr>
          <w:noProof/>
        </w:rPr>
        <w:t>(Chebib</w:t>
      </w:r>
      <w:r w:rsidRPr="002C21B8">
        <w:rPr>
          <w:i/>
          <w:noProof/>
        </w:rPr>
        <w:t xml:space="preserve"> et al.</w:t>
      </w:r>
      <w:r w:rsidRPr="002C21B8">
        <w:rPr>
          <w:noProof/>
        </w:rPr>
        <w:t>, 2023)</w:t>
      </w:r>
      <w:r w:rsidRPr="002C21B8">
        <w:fldChar w:fldCharType="end"/>
      </w:r>
      <w:r w:rsidR="00706B9C" w:rsidRPr="002C21B8">
        <w:t xml:space="preserve"> and up to </w:t>
      </w:r>
      <w:r w:rsidRPr="002C21B8">
        <w:t xml:space="preserve">70,000 people in the United Kingdom (UK) </w:t>
      </w:r>
      <w:r w:rsidRPr="002C21B8">
        <w:fldChar w:fldCharType="begin"/>
      </w:r>
      <w:r w:rsidR="008A2F67" w:rsidRPr="002C21B8">
        <w:instrText xml:space="preserve"> ADDIN EN.CITE &lt;EndNote&gt;&lt;Cite&gt;&lt;Author&gt;NHS&lt;/Author&gt;&lt;Year&gt;2023&lt;/Year&gt;&lt;RecNum&gt;125101&lt;/RecNum&gt;&lt;DisplayText&gt;(NHS, 2023)&lt;/DisplayText&gt;&lt;record&gt;&lt;rec-number&gt;125101&lt;/rec-number&gt;&lt;foreign-keys&gt;&lt;key app="EN" db-id="xpefzwa5hf9dt2ea9fax95x7xvxz90v09dtf" timestamp="1764336889"&gt;125101&lt;/key&gt;&lt;/foreign-keys&gt;&lt;ref-type name="Web Page"&gt;12&lt;/ref-type&gt;&lt;contributors&gt;&lt;authors&gt;&lt;author&gt;NHS,&lt;/author&gt;&lt;/authors&gt;&lt;/contributors&gt;&lt;titles&gt;&lt;title&gt;Overview - Autosomal dominant polycystic kidney disease&lt;/title&gt;&lt;/titles&gt;&lt;number&gt;28/11/2025)&lt;/number&gt;&lt;dates&gt;&lt;year&gt;2023&lt;/year&gt;&lt;/dates&gt;&lt;urls&gt;&lt;related-urls&gt;&lt;url&gt;https://www.nhs.uk/conditions/autosomal-dominant-polycystic-kidney-disease-adpkd.com&lt;/url&gt;&lt;/related-urls&gt;&lt;/urls&gt;&lt;/record&gt;&lt;/Cite&gt;&lt;/EndNote&gt;</w:instrText>
      </w:r>
      <w:r w:rsidRPr="002C21B8">
        <w:fldChar w:fldCharType="separate"/>
      </w:r>
      <w:r w:rsidR="008A2F67" w:rsidRPr="002C21B8">
        <w:rPr>
          <w:noProof/>
        </w:rPr>
        <w:t>(NHS, 2023)</w:t>
      </w:r>
      <w:r w:rsidRPr="002C21B8">
        <w:fldChar w:fldCharType="end"/>
      </w:r>
      <w:r w:rsidRPr="002C21B8">
        <w:t>. It is characterised by progressive kidney cyst growth</w:t>
      </w:r>
      <w:r w:rsidR="00E50184" w:rsidRPr="002C21B8">
        <w:t xml:space="preserve"> and kidney enlargement</w:t>
      </w:r>
      <w:r w:rsidR="00F930A9" w:rsidRPr="002C21B8">
        <w:t xml:space="preserve"> </w:t>
      </w:r>
      <w:r w:rsidR="00F930A9" w:rsidRPr="002C21B8">
        <w:fldChar w:fldCharType="begin"/>
      </w:r>
      <w:r w:rsidR="00D17554" w:rsidRPr="002C21B8">
        <w:instrText xml:space="preserve"> ADDIN EN.CITE &lt;EndNote&gt;&lt;Cite&gt;&lt;Author&gt;Torres&lt;/Author&gt;&lt;Year&gt;2007&lt;/Year&gt;&lt;RecNum&gt;5274&lt;/RecNum&gt;&lt;DisplayText&gt;(Torres, Harris and Pirson, 2007)&lt;/DisplayText&gt;&lt;record&gt;&lt;rec-number&gt;5274&lt;/rec-number&gt;&lt;foreign-keys&gt;&lt;key app="EN" db-id="xpefzwa5hf9dt2ea9fax95x7xvxz90v09dtf" timestamp="1701103763"&gt;5274&lt;/key&gt;&lt;/foreign-keys&gt;&lt;ref-type name="Journal Article"&gt;17&lt;/ref-type&gt;&lt;contributors&gt;&lt;authors&gt;&lt;author&gt;Torres, Vicente E&lt;/author&gt;&lt;author&gt;Harris, Peter C&lt;/author&gt;&lt;author&gt;Pirson, Yves&lt;/author&gt;&lt;/authors&gt;&lt;/contributors&gt;&lt;titles&gt;&lt;title&gt;Autosomal dominant polycystic kidney disease&lt;/title&gt;&lt;secondary-title&gt;The Lancet&lt;/secondary-title&gt;&lt;/titles&gt;&lt;periodical&gt;&lt;full-title&gt;The Lancet&lt;/full-title&gt;&lt;/periodical&gt;&lt;pages&gt;1287-1301&lt;/pages&gt;&lt;volume&gt;369&lt;/volume&gt;&lt;number&gt;9569&lt;/number&gt;&lt;dates&gt;&lt;year&gt;2007&lt;/year&gt;&lt;/dates&gt;&lt;isbn&gt;0140-6736&lt;/isbn&gt;&lt;urls&gt;&lt;/urls&gt;&lt;/record&gt;&lt;/Cite&gt;&lt;/EndNote&gt;</w:instrText>
      </w:r>
      <w:r w:rsidR="00F930A9" w:rsidRPr="002C21B8">
        <w:fldChar w:fldCharType="separate"/>
      </w:r>
      <w:r w:rsidR="00D17554" w:rsidRPr="002C21B8">
        <w:t>(Torres, Harris and Pirson, 2007)</w:t>
      </w:r>
      <w:r w:rsidR="00F930A9" w:rsidRPr="002C21B8">
        <w:fldChar w:fldCharType="end"/>
      </w:r>
      <w:r w:rsidR="00706B9C" w:rsidRPr="002C21B8">
        <w:t xml:space="preserve">. </w:t>
      </w:r>
      <w:r w:rsidR="00E50184" w:rsidRPr="002C21B8">
        <w:t>This contributes to a gradual decline in kidney function over time</w:t>
      </w:r>
      <w:r w:rsidR="0097248E" w:rsidRPr="002C21B8">
        <w:t>,</w:t>
      </w:r>
      <w:r w:rsidR="00E50184" w:rsidRPr="002C21B8">
        <w:t xml:space="preserve"> with a</w:t>
      </w:r>
      <w:r w:rsidRPr="002C21B8">
        <w:t>pproximately half of affected individuals reach</w:t>
      </w:r>
      <w:r w:rsidR="00024324" w:rsidRPr="002C21B8">
        <w:t>ing</w:t>
      </w:r>
      <w:r w:rsidRPr="002C21B8">
        <w:t xml:space="preserve"> kidney failure by age 60 </w:t>
      </w:r>
      <w:r w:rsidRPr="002C21B8">
        <w:fldChar w:fldCharType="begin"/>
      </w:r>
      <w:r w:rsidRPr="002C21B8">
        <w:instrText xml:space="preserve"> ADDIN EN.CITE &lt;EndNote&gt;&lt;Cite&gt;&lt;Author&gt;Higashihara&lt;/Author&gt;&lt;Year&gt;1998&lt;/Year&gt;&lt;RecNum&gt;124901&lt;/RecNum&gt;&lt;DisplayText&gt;(Higashihara&lt;style face="italic"&gt; et al.&lt;/style&gt;, 1998)&lt;/DisplayText&gt;&lt;record&gt;&lt;rec-number&gt;124901&lt;/rec-number&gt;&lt;foreign-keys&gt;&lt;key app="EN" db-id="xpefzwa5hf9dt2ea9fax95x7xvxz90v09dtf" timestamp="1748870128"&gt;124901&lt;/key&gt;&lt;/foreign-keys&gt;&lt;ref-type name="Journal Article"&gt;17&lt;/ref-type&gt;&lt;contributors&gt;&lt;authors&gt;&lt;author&gt;Higashihara, Eiji&lt;/author&gt;&lt;author&gt;Nutahara, Kikuo&lt;/author&gt;&lt;author&gt;Kojima, Masayo&lt;/author&gt;&lt;author&gt;Tamakoshi, Akiko&lt;/author&gt;&lt;author&gt;Yoshiyuki, Ohno&lt;/author&gt;&lt;author&gt;Sakai, Hideto&lt;/author&gt;&lt;author&gt;Kurokawa, Kiyoshi&lt;/author&gt;&lt;/authors&gt;&lt;/contributors&gt;&lt;titles&gt;&lt;title&gt;Prevalence and renal prognosis of diagnosed autosomal dominant polycystic kidney disease in Japan&lt;/title&gt;&lt;secondary-title&gt;Nephron&lt;/secondary-title&gt;&lt;/titles&gt;&lt;periodical&gt;&lt;full-title&gt;Nephron&lt;/full-title&gt;&lt;/periodical&gt;&lt;pages&gt;421-427&lt;/pages&gt;&lt;volume&gt;80&lt;/volume&gt;&lt;number&gt;4&lt;/number&gt;&lt;dates&gt;&lt;year&gt;1998&lt;/year&gt;&lt;/dates&gt;&lt;isbn&gt;1660-8151&lt;/isbn&gt;&lt;urls&gt;&lt;/urls&gt;&lt;/record&gt;&lt;/Cite&gt;&lt;/EndNote&gt;</w:instrText>
      </w:r>
      <w:r w:rsidRPr="002C21B8">
        <w:fldChar w:fldCharType="separate"/>
      </w:r>
      <w:r w:rsidRPr="002C21B8">
        <w:t>(Higashihara</w:t>
      </w:r>
      <w:r w:rsidRPr="002C21B8">
        <w:rPr>
          <w:i/>
        </w:rPr>
        <w:t xml:space="preserve"> et al.</w:t>
      </w:r>
      <w:r w:rsidRPr="002C21B8">
        <w:t>, 1998)</w:t>
      </w:r>
      <w:r w:rsidRPr="002C21B8">
        <w:fldChar w:fldCharType="end"/>
      </w:r>
      <w:r w:rsidRPr="002C21B8">
        <w:t xml:space="preserve">. ADPKD </w:t>
      </w:r>
      <w:r w:rsidR="00706B9C" w:rsidRPr="002C21B8">
        <w:t>is associated with a worse health-related quality of life than the general population</w:t>
      </w:r>
      <w:r w:rsidR="0097248E" w:rsidRPr="002C21B8">
        <w:t>,</w:t>
      </w:r>
      <w:r w:rsidR="00706B9C" w:rsidRPr="002C21B8">
        <w:t xml:space="preserve"> primarily due to abdominal pain and distension </w:t>
      </w:r>
      <w:r w:rsidR="00706B9C" w:rsidRPr="002C21B8">
        <w:fldChar w:fldCharType="begin"/>
      </w:r>
      <w:r w:rsidR="00706B9C" w:rsidRPr="002C21B8">
        <w:instrText xml:space="preserve"> ADDIN EN.CITE &lt;EndNote&gt;&lt;Cite&gt;&lt;Author&gt;Gittus&lt;/Author&gt;&lt;Year&gt;2023&lt;/Year&gt;&lt;RecNum&gt;5100&lt;/RecNum&gt;&lt;DisplayText&gt;(Gittus, Harris and Ong, 2023; Gittus&lt;style face="italic"&gt; et al.&lt;/style&gt;, 2026)&lt;/DisplayText&gt;&lt;record&gt;&lt;rec-number&gt;5100&lt;/rec-number&gt;&lt;foreign-keys&gt;&lt;key app="EN" db-id="xpefzwa5hf9dt2ea9fax95x7xvxz90v09dtf" timestamp="1700144580"&gt;5100&lt;/key&gt;&lt;/foreign-keys&gt;&lt;ref-type name="Journal Article"&gt;17&lt;/ref-type&gt;&lt;contributors&gt;&lt;authors&gt;&lt;author&gt;Gittus, Matthew&lt;/author&gt;&lt;author&gt;Harris, Tess&lt;/author&gt;&lt;author&gt;Ong, Albert CM&lt;/author&gt;&lt;/authors&gt;&lt;/contributors&gt;&lt;titles&gt;&lt;title&gt;Patient Perspectives on ADPKD&lt;/title&gt;&lt;secondary-title&gt;Advances in Kidney Disease and Health&lt;/secondary-title&gt;&lt;/titles&gt;&lt;periodical&gt;&lt;full-title&gt;Advances in Kidney Disease and Health&lt;/full-title&gt;&lt;/periodical&gt;&lt;pages&gt;294-302&lt;/pages&gt;&lt;volume&gt;30&lt;/volume&gt;&lt;number&gt;3&lt;/number&gt;&lt;dates&gt;&lt;year&gt;2023&lt;/year&gt;&lt;/dates&gt;&lt;isbn&gt;2949-8139&lt;/isbn&gt;&lt;urls&gt;&lt;/urls&gt;&lt;/record&gt;&lt;/Cite&gt;&lt;Cite&gt;&lt;Author&gt;Gittus&lt;/Author&gt;&lt;Year&gt;2026&lt;/Year&gt;&lt;RecNum&gt;125549&lt;/RecNum&gt;&lt;record&gt;&lt;rec-number&gt;125549&lt;/rec-number&gt;&lt;foreign-keys&gt;&lt;key app="EN" db-id="xpefzwa5hf9dt2ea9fax95x7xvxz90v09dtf" timestamp="1777631436"&gt;125549&lt;/key&gt;&lt;/foreign-keys&gt;&lt;ref-type name="Journal Article"&gt;17&lt;/ref-type&gt;&lt;contributors&gt;&lt;authors&gt;&lt;author&gt;Gittus, Matt&lt;/author&gt;&lt;author&gt;Zhang, Yanan&lt;/author&gt;&lt;author&gt;Harnan, Sue&lt;/author&gt;&lt;author&gt;Sutton, Anthea&lt;/author&gt;&lt;author&gt;Fotheringham, James&lt;/author&gt;&lt;author&gt;Ong, Albert C&lt;/author&gt;&lt;author&gt;Mandrik, Olena&lt;/author&gt;&lt;/authors&gt;&lt;/contributors&gt;&lt;titles&gt;&lt;title&gt;Health-related quality of life in people with autosomal dominant polycystic kidney disease: a systematic review&lt;/title&gt;&lt;secondary-title&gt;Clinical Kidney Journal&lt;/secondary-title&gt;&lt;/titles&gt;&lt;periodical&gt;&lt;full-title&gt;Clinical kidney journal&lt;/full-title&gt;&lt;/periodical&gt;&lt;pages&gt;sfag116&lt;/pages&gt;&lt;dates&gt;&lt;year&gt;2026&lt;/year&gt;&lt;/dates&gt;&lt;isbn&gt;2048-8505&lt;/isbn&gt;&lt;urls&gt;&lt;/urls&gt;&lt;/record&gt;&lt;/Cite&gt;&lt;/EndNote&gt;</w:instrText>
      </w:r>
      <w:r w:rsidR="00706B9C" w:rsidRPr="002C21B8">
        <w:fldChar w:fldCharType="separate"/>
      </w:r>
      <w:r w:rsidR="00706B9C" w:rsidRPr="002C21B8">
        <w:rPr>
          <w:noProof/>
        </w:rPr>
        <w:t>(Gittus, Harris and Ong, 2023; Gittus</w:t>
      </w:r>
      <w:r w:rsidR="00706B9C" w:rsidRPr="002C21B8">
        <w:rPr>
          <w:i/>
          <w:noProof/>
        </w:rPr>
        <w:t xml:space="preserve"> et al.</w:t>
      </w:r>
      <w:r w:rsidR="00706B9C" w:rsidRPr="002C21B8">
        <w:rPr>
          <w:noProof/>
        </w:rPr>
        <w:t>, 2026)</w:t>
      </w:r>
      <w:r w:rsidR="00706B9C" w:rsidRPr="002C21B8">
        <w:fldChar w:fldCharType="end"/>
      </w:r>
      <w:r w:rsidR="00706B9C" w:rsidRPr="002C21B8">
        <w:t>. It also confers high healthcare costs due to dialysis and transplantation</w:t>
      </w:r>
      <w:r w:rsidR="00E50184" w:rsidRPr="002C21B8">
        <w:t xml:space="preserve"> requirements</w:t>
      </w:r>
      <w:r w:rsidR="00706B9C" w:rsidRPr="002C21B8">
        <w:t xml:space="preserve"> </w:t>
      </w:r>
      <w:r w:rsidR="00706B9C" w:rsidRPr="002C21B8">
        <w:fldChar w:fldCharType="begin"/>
      </w:r>
      <w:r w:rsidR="00134D26" w:rsidRPr="002C21B8">
        <w:instrText xml:space="preserve"> ADDIN EN.CITE &lt;EndNote&gt;&lt;Cite&gt;&lt;Author&gt;European ADPKD Forum&lt;/Author&gt;&lt;Year&gt;2016&lt;/Year&gt;&lt;RecNum&gt;125576&lt;/RecNum&gt;&lt;DisplayText&gt;(European ADPKD Forum, 2016; Gagnon-Sanschagrin&lt;style face="italic"&gt; et al.&lt;/style&gt;, 2021)&lt;/DisplayText&gt;&lt;record&gt;&lt;rec-number&gt;125576&lt;/rec-number&gt;&lt;foreign-keys&gt;&lt;key app="EN" db-id="xpefzwa5hf9dt2ea9fax95x7xvxz90v09dtf" timestamp="1778222911"&gt;125576&lt;/key&gt;&lt;/foreign-keys&gt;&lt;ref-type name="Web Page"&gt;12&lt;/ref-type&gt;&lt;contributors&gt;&lt;authors&gt;&lt;author&gt;European ADPKD Forum,&lt;/author&gt;&lt;/authors&gt;&lt;/contributors&gt;&lt;titles&gt;&lt;title&gt;The Brussels Declaration on ADPKD&lt;/title&gt;&lt;/titles&gt;&lt;number&gt;08/05/2026)&lt;/number&gt;&lt;dates&gt;&lt;year&gt;2016&lt;/year&gt;&lt;/dates&gt;&lt;urls&gt;&lt;related-urls&gt;&lt;url&gt;https://pkdinternational.org/downloads/eaf-brusseles-declaration-2016/EAF_Brussels_Declaration_ENGLISH_March_2016.pdf&lt;/url&gt;&lt;/related-urls&gt;&lt;/urls&gt;&lt;/record&gt;&lt;/Cite&gt;&lt;Cite&gt;&lt;Author&gt;Gagnon-Sanschagrin&lt;/Author&gt;&lt;Year&gt;2021&lt;/Year&gt;&lt;RecNum&gt;125577&lt;/RecNum&gt;&lt;record&gt;&lt;rec-number&gt;125577&lt;/rec-number&gt;&lt;foreign-keys&gt;&lt;key app="EN" db-id="xpefzwa5hf9dt2ea9fax95x7xvxz90v09dtf" timestamp="1778222939"&gt;125577&lt;/key&gt;&lt;/foreign-keys&gt;&lt;ref-type name="Journal Article"&gt;17&lt;/ref-type&gt;&lt;contributors&gt;&lt;authors&gt;&lt;author&gt;Gagnon-Sanschagrin, Patrick&lt;/author&gt;&lt;author&gt;Liang, Yawen&lt;/author&gt;&lt;author&gt;Sanon, Myrlene&lt;/author&gt;&lt;author&gt;Oberdhan, Dorothee&lt;/author&gt;&lt;author&gt;Guérin, Annie&lt;/author&gt;&lt;author&gt;Cloutier, Martin&lt;/author&gt;&lt;/authors&gt;&lt;/contributors&gt;&lt;titles&gt;&lt;title&gt;Excess healthcare costs in patients with autosomal dominant polycystic kidney disease by renal dysfunction stage&lt;/title&gt;&lt;secondary-title&gt;Journal of Medical Economics&lt;/secondary-title&gt;&lt;/titles&gt;&lt;periodical&gt;&lt;full-title&gt;Journal of medical economics&lt;/full-title&gt;&lt;/periodical&gt;&lt;pages&gt;193-201&lt;/pages&gt;&lt;volume&gt;24&lt;/volume&gt;&lt;number&gt;1&lt;/number&gt;&lt;dates&gt;&lt;year&gt;2021&lt;/year&gt;&lt;/dates&gt;&lt;isbn&gt;1369-6998&lt;/isbn&gt;&lt;urls&gt;&lt;/urls&gt;&lt;/record&gt;&lt;/Cite&gt;&lt;/EndNote&gt;</w:instrText>
      </w:r>
      <w:r w:rsidR="00706B9C" w:rsidRPr="002C21B8">
        <w:fldChar w:fldCharType="separate"/>
      </w:r>
      <w:r w:rsidR="00134D26" w:rsidRPr="002C21B8">
        <w:rPr>
          <w:noProof/>
        </w:rPr>
        <w:t>(European ADPKD Forum, 2016; Gagnon-Sanschagrin</w:t>
      </w:r>
      <w:r w:rsidR="00134D26" w:rsidRPr="002C21B8">
        <w:rPr>
          <w:i/>
          <w:noProof/>
        </w:rPr>
        <w:t xml:space="preserve"> et al.</w:t>
      </w:r>
      <w:r w:rsidR="00134D26" w:rsidRPr="002C21B8">
        <w:rPr>
          <w:noProof/>
        </w:rPr>
        <w:t>, 2021)</w:t>
      </w:r>
      <w:r w:rsidR="00706B9C" w:rsidRPr="002C21B8">
        <w:fldChar w:fldCharType="end"/>
      </w:r>
      <w:r w:rsidR="00706B9C" w:rsidRPr="002C21B8">
        <w:t>.</w:t>
      </w:r>
    </w:p>
    <w:p w14:paraId="083C2EC8" w14:textId="4F8B934D" w:rsidR="00080F78" w:rsidRPr="002C21B8" w:rsidRDefault="00080F78" w:rsidP="00080F78">
      <w:r w:rsidRPr="002C21B8">
        <w:t>Tolvaptan is the first disease-modifying therapy available for ADPKD</w:t>
      </w:r>
      <w:r w:rsidR="00134D26" w:rsidRPr="002C21B8">
        <w:t xml:space="preserve">. It </w:t>
      </w:r>
      <w:r w:rsidRPr="002C21B8">
        <w:t>acts by antagonising vasopressin V2 receptors</w:t>
      </w:r>
      <w:r w:rsidR="00134D26" w:rsidRPr="002C21B8">
        <w:t xml:space="preserve"> to </w:t>
      </w:r>
      <w:r w:rsidRPr="002C21B8">
        <w:t>alter cystogenesis pathways</w:t>
      </w:r>
      <w:r w:rsidR="00134D26" w:rsidRPr="002C21B8">
        <w:t xml:space="preserve"> and reduce cyst fluid secretion</w:t>
      </w:r>
      <w:r w:rsidR="00E50184" w:rsidRPr="002C21B8">
        <w:t xml:space="preserve"> </w:t>
      </w:r>
      <w:r w:rsidR="00E50184" w:rsidRPr="002C21B8">
        <w:fldChar w:fldCharType="begin"/>
      </w:r>
      <w:r w:rsidR="00E50184" w:rsidRPr="002C21B8">
        <w:instrText xml:space="preserve"> ADDIN EN.CITE &lt;EndNote&gt;&lt;Cite&gt;&lt;Author&gt;Ong&lt;/Author&gt;&lt;Year&gt;2026&lt;/Year&gt;&lt;RecNum&gt;125325&lt;/RecNum&gt;&lt;DisplayText&gt;(Ong&lt;style face="italic"&gt; et al.&lt;/style&gt;, 2026)&lt;/DisplayText&gt;&lt;record&gt;&lt;rec-number&gt;125325&lt;/rec-number&gt;&lt;foreign-keys&gt;&lt;key app="EN" db-id="xpefzwa5hf9dt2ea9fax95x7xvxz90v09dtf" timestamp="1775121470"&gt;125325&lt;/key&gt;&lt;/foreign-keys&gt;&lt;ref-type name="Journal Article"&gt;17&lt;/ref-type&gt;&lt;contributors&gt;&lt;authors&gt;&lt;author&gt;Ong, Albert CM&lt;/author&gt;&lt;author&gt;Carriazo, Sol&lt;/author&gt;&lt;author&gt;Ma, Becky Mingyao&lt;/author&gt;&lt;author&gt;Torra, Roser&lt;/author&gt;&lt;author&gt;Pei, York&lt;/author&gt;&lt;/authors&gt;&lt;/contributors&gt;&lt;titles&gt;&lt;title&gt;Autosomal dominant polycystic kidney disease&lt;/title&gt;&lt;secondary-title&gt;The Lancet&lt;/secondary-title&gt;&lt;/titles&gt;&lt;periodical&gt;&lt;full-title&gt;The Lancet&lt;/full-title&gt;&lt;/periodical&gt;&lt;pages&gt;1289-1302&lt;/pages&gt;&lt;volume&gt;407&lt;/volume&gt;&lt;num-vols&gt;10535&lt;/num-vols&gt;&lt;dates&gt;&lt;year&gt;2026&lt;/year&gt;&lt;/dates&gt;&lt;isbn&gt;0140-6736&lt;/isbn&gt;&lt;urls&gt;&lt;/urls&gt;&lt;/record&gt;&lt;/Cite&gt;&lt;/EndNote&gt;</w:instrText>
      </w:r>
      <w:r w:rsidR="00E50184" w:rsidRPr="002C21B8">
        <w:fldChar w:fldCharType="separate"/>
      </w:r>
      <w:r w:rsidR="00E50184" w:rsidRPr="002C21B8">
        <w:rPr>
          <w:noProof/>
        </w:rPr>
        <w:t>(Ong</w:t>
      </w:r>
      <w:r w:rsidR="00E50184" w:rsidRPr="002C21B8">
        <w:rPr>
          <w:i/>
          <w:noProof/>
        </w:rPr>
        <w:t xml:space="preserve"> et al.</w:t>
      </w:r>
      <w:r w:rsidR="00E50184" w:rsidRPr="002C21B8">
        <w:rPr>
          <w:noProof/>
        </w:rPr>
        <w:t>, 2026)</w:t>
      </w:r>
      <w:r w:rsidR="00E50184" w:rsidRPr="002C21B8">
        <w:fldChar w:fldCharType="end"/>
      </w:r>
      <w:r w:rsidRPr="002C21B8">
        <w:t xml:space="preserve">. </w:t>
      </w:r>
      <w:r w:rsidR="00086796" w:rsidRPr="002C21B8">
        <w:t>This mechanism explains the commonly observed adverse effects</w:t>
      </w:r>
      <w:r w:rsidR="0097248E" w:rsidRPr="002C21B8">
        <w:t xml:space="preserve">, </w:t>
      </w:r>
      <w:r w:rsidR="00086796" w:rsidRPr="002C21B8">
        <w:t xml:space="preserve">which include increased urine output, thirst and nocturia. Two randomised controlled trials demonstrated that tolvaptan slows kidney enlargement and the decline in eGFR compared to placebo </w:t>
      </w:r>
      <w:r w:rsidRPr="002C21B8">
        <w:fldChar w:fldCharType="begin">
          <w:fldData xml:space="preserve">PEVuZE5vdGU+PENpdGU+PEF1dGhvcj5Ub3JyZXM8L0F1dGhvcj48WWVhcj4yMDE2PC9ZZWFyPjxS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</w:fldData>
        </w:fldChar>
      </w:r>
      <w:r w:rsidR="00086796" w:rsidRPr="002C21B8">
        <w:instrText xml:space="preserve"> ADDIN EN.CITE </w:instrText>
      </w:r>
      <w:r w:rsidR="00086796" w:rsidRPr="002C21B8">
        <w:fldChar w:fldCharType="begin">
          <w:fldData xml:space="preserve">PEVuZE5vdGU+PENpdGU+PEF1dGhvcj5Ub3JyZXM8L0F1dGhvcj48WWVhcj4yMDE2PC9ZZWFyPjxS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</w:fldData>
        </w:fldChar>
      </w:r>
      <w:r w:rsidR="00086796" w:rsidRPr="002C21B8">
        <w:instrText xml:space="preserve"> ADDIN EN.CITE.DATA </w:instrText>
      </w:r>
      <w:r w:rsidR="00086796" w:rsidRPr="002C21B8">
        <w:fldChar w:fldCharType="end"/>
      </w:r>
      <w:r w:rsidRPr="002C21B8">
        <w:fldChar w:fldCharType="separate"/>
      </w:r>
      <w:r w:rsidR="00086796" w:rsidRPr="002C21B8">
        <w:rPr>
          <w:noProof/>
        </w:rPr>
        <w:t>(Torres</w:t>
      </w:r>
      <w:r w:rsidR="00086796" w:rsidRPr="002C21B8">
        <w:rPr>
          <w:i/>
          <w:noProof/>
        </w:rPr>
        <w:t xml:space="preserve"> et al.</w:t>
      </w:r>
      <w:r w:rsidR="00086796" w:rsidRPr="002C21B8">
        <w:rPr>
          <w:noProof/>
        </w:rPr>
        <w:t>, 2017; Torres</w:t>
      </w:r>
      <w:r w:rsidR="00086796" w:rsidRPr="002C21B8">
        <w:rPr>
          <w:i/>
          <w:noProof/>
        </w:rPr>
        <w:t xml:space="preserve"> et al.</w:t>
      </w:r>
      <w:r w:rsidR="00086796" w:rsidRPr="002C21B8">
        <w:rPr>
          <w:noProof/>
        </w:rPr>
        <w:t>, 2016)</w:t>
      </w:r>
      <w:r w:rsidRPr="002C21B8">
        <w:fldChar w:fldCharType="end"/>
      </w:r>
      <w:r w:rsidRPr="002C21B8">
        <w:t xml:space="preserve">. </w:t>
      </w:r>
      <w:r w:rsidR="008752C8" w:rsidRPr="002C21B8">
        <w:t>D</w:t>
      </w:r>
      <w:r w:rsidR="00086796" w:rsidRPr="002C21B8">
        <w:t>rug-induced liver injury w</w:t>
      </w:r>
      <w:r w:rsidR="008752C8" w:rsidRPr="002C21B8">
        <w:t>as reported in these</w:t>
      </w:r>
      <w:r w:rsidR="00086796" w:rsidRPr="002C21B8">
        <w:t xml:space="preserve"> trials</w:t>
      </w:r>
      <w:r w:rsidR="008752C8" w:rsidRPr="002C21B8">
        <w:t>,</w:t>
      </w:r>
      <w:r w:rsidR="00086796" w:rsidRPr="002C21B8">
        <w:t xml:space="preserve"> which </w:t>
      </w:r>
      <w:r w:rsidR="007C32D3" w:rsidRPr="002C21B8">
        <w:t>led to regular</w:t>
      </w:r>
      <w:r w:rsidR="008752C8" w:rsidRPr="002C21B8">
        <w:t xml:space="preserve"> monitoring of liver function</w:t>
      </w:r>
      <w:r w:rsidR="007C32D3" w:rsidRPr="002C21B8">
        <w:t xml:space="preserve"> being required </w:t>
      </w:r>
      <w:r w:rsidR="00EB2245" w:rsidRPr="002C21B8">
        <w:t>in clinical practice</w:t>
      </w:r>
      <w:r w:rsidR="00086796" w:rsidRPr="002C21B8">
        <w:t xml:space="preserve"> </w:t>
      </w:r>
      <w:r w:rsidRPr="002C21B8">
        <w:fldChar w:fldCharType="begin"/>
      </w:r>
      <w:r w:rsidRPr="002C21B8">
        <w:instrText xml:space="preserve"> ADDIN EN.CITE &lt;EndNote&gt;&lt;Cite&gt;&lt;Author&gt;Alpers&lt;/Author&gt;&lt;Year&gt;2023&lt;/Year&gt;&lt;RecNum&gt;5154&lt;/RecNum&gt;&lt;DisplayText&gt;(Alpers&lt;style face="italic"&gt; et al.&lt;/style&gt;, 2023)&lt;/DisplayText&gt;&lt;record&gt;&lt;rec-number&gt;5154&lt;/rec-number&gt;&lt;foreign-keys&gt;&lt;key app="EN" db-id="xpefzwa5hf9dt2ea9fax95x7xvxz90v09dtf" timestamp="1700154093"&gt;5154&lt;/key&gt;&lt;/foreign-keys&gt;&lt;ref-type name="Journal Article"&gt;17&lt;/ref-type&gt;&lt;contributors&gt;&lt;authors&gt;&lt;author&gt;Alpers, David H&lt;/author&gt;&lt;author&gt;Lewis, James H&lt;/author&gt;&lt;author&gt;Hunt, Christine M&lt;/author&gt;&lt;author&gt;Freston, James W&lt;/author&gt;&lt;author&gt;Torres, Vicente E&lt;/author&gt;&lt;author&gt;Li, Hui&lt;/author&gt;&lt;author&gt;Wang, Wenchyi&lt;/author&gt;&lt;author&gt;Hoke, Molly E&lt;/author&gt;&lt;author&gt;Roth, Sharin E&lt;/author&gt;&lt;author&gt;Westcott-Baker, Lucas&lt;/author&gt;&lt;/authors&gt;&lt;/contributors&gt;&lt;titles&gt;&lt;title&gt;Clinical pattern of tolvaptan-associated liver injury in trial participants with autosomal dominant polycystic kidney disease (ADPKD): an analysis of pivotal clinical trials&lt;/title&gt;&lt;secondary-title&gt;American Journal of Kidney Diseases&lt;/secondary-title&gt;&lt;/titles&gt;&lt;periodical&gt;&lt;full-title&gt;American Journal of Kidney Diseases&lt;/full-title&gt;&lt;/periodical&gt;&lt;pages&gt;281-293. e1&lt;/pages&gt;&lt;volume&gt;81&lt;/volume&gt;&lt;number&gt;3&lt;/number&gt;&lt;dates&gt;&lt;year&gt;2023&lt;/year&gt;&lt;/dates&gt;&lt;isbn&gt;0272-6386&lt;/isbn&gt;&lt;urls&gt;&lt;/urls&gt;&lt;/record&gt;&lt;/Cite&gt;&lt;/EndNote&gt;</w:instrText>
      </w:r>
      <w:r w:rsidRPr="002C21B8">
        <w:fldChar w:fldCharType="separate"/>
      </w:r>
      <w:r w:rsidRPr="002C21B8">
        <w:t>(Alpers</w:t>
      </w:r>
      <w:r w:rsidRPr="002C21B8">
        <w:rPr>
          <w:i/>
        </w:rPr>
        <w:t xml:space="preserve"> et al.</w:t>
      </w:r>
      <w:r w:rsidRPr="002C21B8">
        <w:t>, 2023)</w:t>
      </w:r>
      <w:r w:rsidRPr="002C21B8">
        <w:fldChar w:fldCharType="end"/>
      </w:r>
      <w:r w:rsidRPr="002C21B8">
        <w:t>.</w:t>
      </w:r>
    </w:p>
    <w:p w14:paraId="07DB5A0B" w14:textId="4E26F822" w:rsidR="00080F78" w:rsidRPr="002C21B8" w:rsidRDefault="00080F78" w:rsidP="00086796">
      <w:r w:rsidRPr="002C21B8">
        <w:t xml:space="preserve">Tolvaptan has been approved for adults with ADPKD </w:t>
      </w:r>
      <w:r w:rsidR="00086796" w:rsidRPr="002C21B8">
        <w:t>with</w:t>
      </w:r>
      <w:r w:rsidRPr="002C21B8">
        <w:t xml:space="preserve"> evidence of rapidly progressing disease in over 43 countries worldwide </w:t>
      </w:r>
      <w:r w:rsidRPr="002C21B8">
        <w:fldChar w:fldCharType="begin"/>
      </w:r>
      <w:r w:rsidR="00331F66" w:rsidRPr="002C21B8">
        <w:instrText xml:space="preserve"> ADDIN EN.CITE &lt;EndNote&gt;&lt;Cite&gt;&lt;Author&gt;Otsuka Pharmaceutical Co. Ltd&lt;/Author&gt;&lt;Year&gt;2018&lt;/Year&gt;&lt;RecNum&gt;125203&lt;/RecNum&gt;&lt;DisplayText&gt;(Otsuka Pharmaceutical Co. Ltd, 2018)&lt;/DisplayText&gt;&lt;record&gt;&lt;rec-number&gt;125203&lt;/rec-number&gt;&lt;foreign-keys&gt;&lt;key app="EN" db-id="xpefzwa5hf9dt2ea9fax95x7xvxz90v09dtf" timestamp="1771231290"&gt;125203&lt;/key&gt;&lt;/foreign-keys&gt;&lt;ref-type name="Web Page"&gt;12&lt;/ref-type&gt;&lt;contributors&gt;&lt;authors&gt;&lt;author&gt;Otsuka Pharmaceutical Co. Ltd,&lt;/author&gt;&lt;/authors&gt;&lt;/contributors&gt;&lt;titles&gt;&lt;title&gt;Otsuka&amp;apos;s JYNARQUE™ (tolvaptan) Approved by U.S. FDA as the First Treatment to Slow Kidney Function Decline in Adults at Risk of Rapidly Progressing Autosomal Dominant Polycystic Kidney Disease (ADPKD)&lt;/title&gt;&lt;/titles&gt;&lt;number&gt;16/02/2026)&lt;/number&gt;&lt;dates&gt;&lt;year&gt;2018&lt;/year&gt;&lt;/dates&gt;&lt;urls&gt;&lt;related-urls&gt;&lt;url&gt;https://www.otsuka.co.jp/en/company/newsreleases/2018/20180425_1.html&lt;/url&gt;&lt;/related-urls&gt;&lt;/urls&gt;&lt;/record&gt;&lt;/Cite&gt;&lt;/EndNote&gt;</w:instrText>
      </w:r>
      <w:r w:rsidRPr="002C21B8">
        <w:fldChar w:fldCharType="separate"/>
      </w:r>
      <w:r w:rsidRPr="002C21B8">
        <w:rPr>
          <w:noProof/>
        </w:rPr>
        <w:t>(Otsuka Pharmaceutical Co. Ltd, 2018)</w:t>
      </w:r>
      <w:r w:rsidRPr="002C21B8">
        <w:fldChar w:fldCharType="end"/>
      </w:r>
      <w:r w:rsidRPr="002C21B8">
        <w:t xml:space="preserve">. </w:t>
      </w:r>
      <w:r w:rsidR="00E50184" w:rsidRPr="002C21B8">
        <w:t>I</w:t>
      </w:r>
      <w:r w:rsidRPr="002C21B8">
        <w:t>nternational and national guid</w:t>
      </w:r>
      <w:r w:rsidR="008752C8" w:rsidRPr="002C21B8">
        <w:t xml:space="preserve">elines </w:t>
      </w:r>
      <w:r w:rsidRPr="002C21B8">
        <w:t xml:space="preserve">have been published to support clinical decision-making and patient selection. These include the 2016 European Renal Association-European Dialysis Transplant Association </w:t>
      </w:r>
      <w:r w:rsidRPr="002C21B8">
        <w:fldChar w:fldCharType="begin"/>
      </w:r>
      <w:r w:rsidRPr="002C21B8">
        <w:instrText xml:space="preserve"> ADDIN EN.CITE &lt;EndNote&gt;&lt;Cite&gt;&lt;Author&gt;Gansevoort&lt;/Author&gt;&lt;Year&gt;2016&lt;/Year&gt;&lt;RecNum&gt;5013&lt;/RecNum&gt;&lt;DisplayText&gt;(Gansevoort&lt;style face="italic"&gt; et al.&lt;/style&gt;, 2016)&lt;/DisplayText&gt;&lt;record&gt;&lt;rec-number&gt;5013&lt;/rec-number&gt;&lt;foreign-keys&gt;&lt;key app="EN" db-id="xpefzwa5hf9dt2ea9fax95x7xvxz90v09dtf" timestamp="1699889259"&gt;5013&lt;/key&gt;&lt;/foreign-keys&gt;&lt;ref-type name="Journal Article"&gt;17&lt;/ref-type&gt;&lt;contributors&gt;&lt;authors&gt;&lt;author&gt;Gansevoort, Ron T.&lt;/author&gt;&lt;author&gt;Arici, Mustafa&lt;/author&gt;&lt;author&gt;Benzing, Thomas&lt;/author&gt;&lt;author&gt;Birn, Henrik&lt;/author&gt;&lt;author&gt;Capasso, Giovambattista&lt;/author&gt;&lt;author&gt;Covic, Adrian&lt;/author&gt;&lt;author&gt;Devuyst, Olivier&lt;/author&gt;&lt;author&gt;Drechsler, Christiane&lt;/author&gt;&lt;author&gt;Eckardt, Kai-Uwe&lt;/author&gt;&lt;author&gt;Emma, Francesco&lt;/author&gt;&lt;author&gt;Knebelmann, Bertrand&lt;/author&gt;&lt;author&gt;Le Meur, Yannick&lt;/author&gt;&lt;author&gt;Massy, Ziad A.&lt;/author&gt;&lt;author&gt;Ong, Albert C.M.&lt;/author&gt;&lt;author&gt;Ortiz, Alberto&lt;/author&gt;&lt;author&gt;Schaefer, Franz&lt;/author&gt;&lt;author&gt;Torra, Roser&lt;/author&gt;&lt;author&gt;Vanholder, Raymond&lt;/author&gt;&lt;author&gt;Więcek, Andrzej&lt;/author&gt;&lt;author&gt;Zoccali, Carmine&lt;/author&gt;&lt;author&gt;Van Biesen, Wim&lt;/author&gt;&lt;/authors&gt;&lt;/contributors&gt;&lt;titles&gt;&lt;title&gt;Recommendations for the use of tolvaptan in autosomal dominant polycystic kidney disease: a position statement on behalf of the ERA-EDTA Working Groups on Inherited Kidney Disorders and European Renal Best Practice&lt;/title&gt;&lt;secondary-title&gt;Nephrology Dialysis Transplantation&lt;/secondary-title&gt;&lt;/titles&gt;&lt;periodical&gt;&lt;full-title&gt;Nephrology Dialysis Transplantation&lt;/full-title&gt;&lt;/periodical&gt;&lt;pages&gt;337-348&lt;/pages&gt;&lt;volume&gt;31&lt;/volume&gt;&lt;number&gt;3&lt;/number&gt;&lt;dates&gt;&lt;year&gt;2016&lt;/year&gt;&lt;/dates&gt;&lt;isbn&gt;0931-0509&lt;/isbn&gt;&lt;urls&gt;&lt;related-urls&gt;&lt;url&gt;https://doi.org/10.1093/ndt/gfv456&lt;/url&gt;&lt;/related-urls&gt;&lt;/urls&gt;&lt;electronic-resource-num&gt;10.1093/ndt/gfv456&lt;/electronic-resource-num&gt;&lt;access-date&gt;11/13/2023&lt;/access-date&gt;&lt;/record&gt;&lt;/Cite&gt;&lt;/EndNote&gt;</w:instrText>
      </w:r>
      <w:r w:rsidRPr="002C21B8">
        <w:fldChar w:fldCharType="separate"/>
      </w:r>
      <w:r w:rsidRPr="002C21B8">
        <w:t>(Gansevoort</w:t>
      </w:r>
      <w:r w:rsidRPr="002C21B8">
        <w:rPr>
          <w:i/>
        </w:rPr>
        <w:t xml:space="preserve"> et al.</w:t>
      </w:r>
      <w:r w:rsidRPr="002C21B8">
        <w:t>, 2016)</w:t>
      </w:r>
      <w:r w:rsidRPr="002C21B8">
        <w:fldChar w:fldCharType="end"/>
      </w:r>
      <w:r w:rsidRPr="002C21B8">
        <w:t xml:space="preserve">, as well as expert consensus statements from countries </w:t>
      </w:r>
      <w:r w:rsidR="008752C8" w:rsidRPr="002C21B8">
        <w:t>including</w:t>
      </w:r>
      <w:r w:rsidRPr="002C21B8">
        <w:t xml:space="preserve"> Canada </w:t>
      </w:r>
      <w:r w:rsidRPr="002C21B8">
        <w:fldChar w:fldCharType="begin"/>
      </w:r>
      <w:r w:rsidRPr="002C21B8">
        <w:instrText xml:space="preserve"> ADDIN EN.CITE &lt;EndNote&gt;&lt;Cite&gt;&lt;Author&gt;Soroka&lt;/Author&gt;&lt;Year&gt;2017&lt;/Year&gt;&lt;RecNum&gt;125300&lt;/RecNum&gt;&lt;DisplayText&gt;(Soroka&lt;style face="italic"&gt; et al.&lt;/style&gt;, 2017)&lt;/DisplayText&gt;&lt;record&gt;&lt;rec-number&gt;125300&lt;/rec-number&gt;&lt;foreign-keys&gt;&lt;key app="EN" db-id="xpefzwa5hf9dt2ea9fax95x7xvxz90v09dtf" timestamp="1774962570"&gt;125300&lt;/key&gt;&lt;/foreign-keys&gt;&lt;ref-type name="Journal Article"&gt;17&lt;/ref-type&gt;&lt;contributors&gt;&lt;authors&gt;&lt;author&gt;Soroka, Steven&lt;/author&gt;&lt;author&gt;Alam, Ahsan&lt;/author&gt;&lt;author&gt;Bevilacqua, Micheli&lt;/author&gt;&lt;author&gt;Girard, Louis-Philippe&lt;/author&gt;&lt;author&gt;Komenda, Paul&lt;/author&gt;&lt;author&gt;Loertscher, Rolf&lt;/author&gt;&lt;author&gt;McFarlane, Philip&lt;/author&gt;&lt;author&gt;Pandeya, Sanjaya&lt;/author&gt;&lt;author&gt;Tam, Paul&lt;/author&gt;&lt;author&gt;Bichet, Daniel G&lt;/author&gt;&lt;/authors&gt;&lt;/contributors&gt;&lt;titles&gt;&lt;title&gt;Assessing risk of disease progression and pharmacological management of autosomal dominant polycystic kidney disease: a Canadian expert consensus&lt;/title&gt;&lt;secondary-title&gt;Canadian Journal of Kidney Health and Disease&lt;/secondary-title&gt;&lt;/titles&gt;&lt;periodical&gt;&lt;full-title&gt;Canadian journal of kidney health and disease&lt;/full-title&gt;&lt;/periodical&gt;&lt;pages&gt;2054358117695784&lt;/pages&gt;&lt;volume&gt;4&lt;/volume&gt;&lt;dates&gt;&lt;year&gt;2017&lt;/year&gt;&lt;/dates&gt;&lt;isbn&gt;2054-3581&lt;/isbn&gt;&lt;urls&gt;&lt;/urls&gt;&lt;/record&gt;&lt;/Cite&gt;&lt;/EndNote&gt;</w:instrText>
      </w:r>
      <w:r w:rsidRPr="002C21B8">
        <w:fldChar w:fldCharType="separate"/>
      </w:r>
      <w:r w:rsidRPr="002C21B8">
        <w:t>(Soroka</w:t>
      </w:r>
      <w:r w:rsidRPr="002C21B8">
        <w:rPr>
          <w:i/>
        </w:rPr>
        <w:t xml:space="preserve"> et al.</w:t>
      </w:r>
      <w:r w:rsidRPr="002C21B8">
        <w:t>, 2017)</w:t>
      </w:r>
      <w:r w:rsidRPr="002C21B8">
        <w:fldChar w:fldCharType="end"/>
      </w:r>
      <w:r w:rsidRPr="002C21B8">
        <w:t>, Australia</w:t>
      </w:r>
      <w:r w:rsidR="007C37E1" w:rsidRPr="002C21B8">
        <w:t xml:space="preserve"> and </w:t>
      </w:r>
      <w:r w:rsidRPr="002C21B8">
        <w:t>New Zealand</w:t>
      </w:r>
      <w:r w:rsidR="007C37E1" w:rsidRPr="002C21B8">
        <w:t xml:space="preserve"> </w:t>
      </w:r>
      <w:r w:rsidR="007C37E1" w:rsidRPr="002C21B8">
        <w:fldChar w:fldCharType="begin"/>
      </w:r>
      <w:r w:rsidR="00F930A9" w:rsidRPr="002C21B8">
        <w:instrText xml:space="preserve"> ADDIN EN.CITE &lt;EndNote&gt;&lt;Cite&gt;&lt;Author&gt;Tunnicliffe&lt;/Author&gt;&lt;Year&gt;2023&lt;/Year&gt;&lt;RecNum&gt;125301&lt;/RecNum&gt;&lt;DisplayText&gt;(Tunnicliffe, 2023)&lt;/DisplayText&gt;&lt;record&gt;&lt;rec-number&gt;125301&lt;/rec-number&gt;&lt;foreign-keys&gt;&lt;key app="EN" db-id="xpefzwa5hf9dt2ea9fax95x7xvxz90v09dtf" timestamp="1774962681"&gt;125301&lt;/key&gt;&lt;/foreign-keys&gt;&lt;ref-type name="Web Page"&gt;12&lt;/ref-type&gt;&lt;contributors&gt;&lt;authors&gt;&lt;author&gt;Tunnicliffe, David&lt;/author&gt;&lt;/authors&gt;&lt;/contributors&gt;&lt;titles&gt;&lt;title&gt;CARI Guidelines: Australian and New Zealand living guideline for pharmacological management of autosomal dominant polycystic kidney disease&lt;/title&gt;&lt;/titles&gt;&lt;number&gt;31/03/2026)&lt;/number&gt;&lt;dates&gt;&lt;year&gt;2023&lt;/year&gt;&lt;/dates&gt;&lt;urls&gt;&lt;related-urls&gt;&lt;url&gt;https://files.magicapp.org/guideline/fd9f0bf4-a6d4-414f-9d99-d1faee62f90f/published_guideline_7280-1_1.pdf&lt;/url&gt;&lt;/related-urls&gt;&lt;/urls&gt;&lt;/record&gt;&lt;/Cite&gt;&lt;/EndNote&gt;</w:instrText>
      </w:r>
      <w:r w:rsidR="007C37E1" w:rsidRPr="002C21B8">
        <w:fldChar w:fldCharType="separate"/>
      </w:r>
      <w:r w:rsidR="007C37E1" w:rsidRPr="002C21B8">
        <w:t>(Tunnicliffe, 2023)</w:t>
      </w:r>
      <w:r w:rsidR="007C37E1" w:rsidRPr="002C21B8">
        <w:fldChar w:fldCharType="end"/>
      </w:r>
      <w:r w:rsidR="007C37E1" w:rsidRPr="002C21B8">
        <w:t>,</w:t>
      </w:r>
      <w:r w:rsidRPr="002C21B8">
        <w:t xml:space="preserve"> and Japan</w:t>
      </w:r>
      <w:r w:rsidR="003F660E" w:rsidRPr="002C21B8">
        <w:t xml:space="preserve"> </w:t>
      </w:r>
      <w:r w:rsidR="003F660E" w:rsidRPr="002C21B8">
        <w:fldChar w:fldCharType="begin"/>
      </w:r>
      <w:r w:rsidR="00725AE2" w:rsidRPr="002C21B8">
        <w:instrText xml:space="preserve"> ADDIN EN.CITE &lt;EndNote&gt;&lt;Cite&gt;&lt;Author&gt;Advisory Committee for Progressive Kidney Diseases&lt;/Author&gt;&lt;Year&gt;2014&lt;/Year&gt;&lt;RecNum&gt;5017&lt;/RecNum&gt;&lt;DisplayText&gt;(Advisory Committee for Progressive Kidney Diseases, 2014)&lt;/DisplayText&gt;&lt;record&gt;&lt;rec-number&gt;5017&lt;/rec-number&gt;&lt;foreign-keys&gt;&lt;key app="EN" db-id="xpefzwa5hf9dt2ea9fax95x7xvxz90v09dtf" timestamp="1699889889"&gt;5017&lt;/key&gt;&lt;/foreign-keys&gt;&lt;ref-type name="Web Page"&gt;12&lt;/ref-type&gt;&lt;contributors&gt;&lt;authors&gt;&lt;author&gt;Advisory Committee for Progressive Kidney Diseases,&lt;/author&gt;&lt;/authors&gt;&lt;/contributors&gt;&lt;titles&gt;&lt;title&gt;Evidence-Based Clinical Practice Guidelines for Polycystic Kidney Disease&lt;/title&gt;&lt;/titles&gt;&lt;number&gt;28/04/2026)&lt;/number&gt;&lt;dates&gt;&lt;year&gt;2014&lt;/year&gt;&lt;/dates&gt;&lt;urls&gt;&lt;related-urls&gt;&lt;url&gt;https://jsn.or.jp/en/guideline/pdf/PKD_eng.pdf&lt;/url&gt;&lt;/related-urls&gt;&lt;/urls&gt;&lt;/record&gt;&lt;/Cite&gt;&lt;/EndNote&gt;</w:instrText>
      </w:r>
      <w:r w:rsidR="003F660E" w:rsidRPr="002C21B8">
        <w:fldChar w:fldCharType="separate"/>
      </w:r>
      <w:r w:rsidR="003F660E" w:rsidRPr="002C21B8">
        <w:rPr>
          <w:noProof/>
        </w:rPr>
        <w:t>(Advisory Committee for Progressive Kidney Diseases, 2014)</w:t>
      </w:r>
      <w:r w:rsidR="003F660E" w:rsidRPr="002C21B8">
        <w:fldChar w:fldCharType="end"/>
      </w:r>
      <w:r w:rsidRPr="002C21B8">
        <w:t xml:space="preserve">. Although </w:t>
      </w:r>
      <w:r w:rsidR="008752C8" w:rsidRPr="002C21B8">
        <w:t>the specifics of these guidelines</w:t>
      </w:r>
      <w:r w:rsidRPr="002C21B8">
        <w:t xml:space="preserve"> var</w:t>
      </w:r>
      <w:r w:rsidR="0097248E" w:rsidRPr="002C21B8">
        <w:t>y</w:t>
      </w:r>
      <w:r w:rsidRPr="002C21B8">
        <w:t xml:space="preserve">, </w:t>
      </w:r>
      <w:r w:rsidR="002B6B18" w:rsidRPr="002C21B8">
        <w:t xml:space="preserve">they are </w:t>
      </w:r>
      <w:r w:rsidRPr="002C21B8">
        <w:t>consistent</w:t>
      </w:r>
      <w:r w:rsidR="00086796" w:rsidRPr="002C21B8">
        <w:t xml:space="preserve"> in using historical eGFR decline, imaging criteria and risk stratification to define eligibility.</w:t>
      </w:r>
    </w:p>
    <w:p w14:paraId="051A11FF" w14:textId="5C969BAE" w:rsidR="00080F78" w:rsidRPr="002C21B8" w:rsidRDefault="00086796" w:rsidP="00086796">
      <w:r w:rsidRPr="002C21B8">
        <w:t xml:space="preserve">In 2015, the </w:t>
      </w:r>
      <w:r w:rsidR="00080F78" w:rsidRPr="002C21B8">
        <w:t xml:space="preserve">National Institute for Health and Care Excellence (NICE) approved tolvaptan </w:t>
      </w:r>
      <w:r w:rsidRPr="002C21B8">
        <w:t xml:space="preserve">for ADPKD patients in the UK </w:t>
      </w:r>
      <w:r w:rsidR="009D5176" w:rsidRPr="002C21B8">
        <w:t>with</w:t>
      </w:r>
      <w:r w:rsidRPr="002C21B8">
        <w:t xml:space="preserve"> CKD stages 2–3 </w:t>
      </w:r>
      <w:r w:rsidR="009D5176" w:rsidRPr="002C21B8">
        <w:t>and</w:t>
      </w:r>
      <w:r w:rsidRPr="002C21B8">
        <w:t xml:space="preserve"> </w:t>
      </w:r>
      <w:r w:rsidR="00080F78" w:rsidRPr="002C21B8">
        <w:t>“rapidly progressive disease”</w:t>
      </w:r>
      <w:r w:rsidR="008F5C53" w:rsidRPr="002C21B8">
        <w:t xml:space="preserve"> </w:t>
      </w:r>
      <w:r w:rsidR="008F5C53" w:rsidRPr="002C21B8">
        <w:fldChar w:fldCharType="begin"/>
      </w:r>
      <w:r w:rsidR="00590E88" w:rsidRPr="002C21B8">
        <w:instrText xml:space="preserve"> ADDIN EN.CITE &lt;EndNote&gt;&lt;Cite&gt;&lt;Author&gt;National Institute for Health and Care Excellence&lt;/Author&gt;&lt;Year&gt;2015&lt;/Year&gt;&lt;RecNum&gt;4967&lt;/RecNum&gt;&lt;DisplayText&gt;(National Institute for Health and Care Excellence, 2015a)&lt;/DisplayText&gt;&lt;record&gt;&lt;rec-number&gt;4967&lt;/rec-number&gt;&lt;foreign-keys&gt;&lt;key app="EN" db-id="xpefzwa5hf9dt2ea9fax95x7xvxz90v09dtf" timestamp="1699647214"&gt;4967&lt;/key&gt;&lt;/foreign-keys&gt;&lt;ref-type name="Web Page"&gt;12&lt;/ref-type&gt;&lt;contributors&gt;&lt;authors&gt;&lt;author&gt;National Institute for Health and Care Excellence,&lt;/author&gt;&lt;/authors&gt;&lt;/contributors&gt;&lt;titles&gt;&lt;title&gt;Medicines optimisation: the safe and effective use of medicines to enable the best possible outcomes&lt;/title&gt;&lt;/titles&gt;&lt;number&gt;26/04/2026)&lt;/number&gt;&lt;dates&gt;&lt;year&gt;2015&lt;/year&gt;&lt;/dates&gt;&lt;urls&gt;&lt;related-urls&gt;&lt;url&gt;www.nice.org.uk/guidance/ng5&lt;/url&gt;&lt;/related-urls&gt;&lt;/urls&gt;&lt;/record&gt;&lt;/Cite&gt;&lt;/EndNote&gt;</w:instrText>
      </w:r>
      <w:r w:rsidR="008F5C53" w:rsidRPr="002C21B8">
        <w:fldChar w:fldCharType="separate"/>
      </w:r>
      <w:r w:rsidR="00590E88" w:rsidRPr="002C21B8">
        <w:rPr>
          <w:noProof/>
        </w:rPr>
        <w:t>(National Institute for Health and Care Excellence, 2015a)</w:t>
      </w:r>
      <w:r w:rsidR="008F5C53" w:rsidRPr="002C21B8">
        <w:fldChar w:fldCharType="end"/>
      </w:r>
      <w:r w:rsidR="00080F78" w:rsidRPr="002C21B8">
        <w:t xml:space="preserve">. The Renal Association issued recommendations for </w:t>
      </w:r>
      <w:r w:rsidRPr="002C21B8">
        <w:t xml:space="preserve">UK </w:t>
      </w:r>
      <w:r w:rsidR="00080F78" w:rsidRPr="002C21B8">
        <w:t>kidney centres, defining rapid progression as an eGFR slope of &gt;2.5ml/1.73m</w:t>
      </w:r>
      <w:r w:rsidR="00080F78" w:rsidRPr="002C21B8">
        <w:rPr>
          <w:vertAlign w:val="superscript"/>
        </w:rPr>
        <w:t>2</w:t>
      </w:r>
      <w:r w:rsidR="00080F78" w:rsidRPr="002C21B8">
        <w:t>/year over 5 years or &gt;5ml/min/1.73m</w:t>
      </w:r>
      <w:r w:rsidR="00080F78" w:rsidRPr="002C21B8">
        <w:rPr>
          <w:vertAlign w:val="superscript"/>
        </w:rPr>
        <w:t>2</w:t>
      </w:r>
      <w:r w:rsidR="00080F78" w:rsidRPr="002C21B8">
        <w:t xml:space="preserve"> over 1 year, or </w:t>
      </w:r>
      <w:r w:rsidR="009D5176" w:rsidRPr="002C21B8">
        <w:t xml:space="preserve">an increase in </w:t>
      </w:r>
      <w:r w:rsidR="00080F78" w:rsidRPr="002C21B8">
        <w:t xml:space="preserve">total kidney volume </w:t>
      </w:r>
      <w:r w:rsidR="009D5176" w:rsidRPr="002C21B8">
        <w:t>by</w:t>
      </w:r>
      <w:r w:rsidR="00080F78" w:rsidRPr="002C21B8">
        <w:t xml:space="preserve"> &gt;5% per year. Additional measures for risk prediction may also be used based on imaging and genomic information</w:t>
      </w:r>
      <w:r w:rsidR="00163E1C" w:rsidRPr="002C21B8">
        <w:t xml:space="preserve"> </w:t>
      </w:r>
      <w:r w:rsidR="00163E1C" w:rsidRPr="002C21B8">
        <w:fldChar w:fldCharType="begin"/>
      </w:r>
      <w:r w:rsidR="00163E1C"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00163E1C" w:rsidRPr="002C21B8">
        <w:fldChar w:fldCharType="separate"/>
      </w:r>
      <w:r w:rsidR="00163E1C" w:rsidRPr="002C21B8">
        <w:t>(Renal Association, 2016)</w:t>
      </w:r>
      <w:r w:rsidR="00163E1C" w:rsidRPr="002C21B8">
        <w:fldChar w:fldCharType="end"/>
      </w:r>
      <w:r w:rsidR="00080F78" w:rsidRPr="002C21B8">
        <w:t>. Despite these recommendations, National Health Service (NHS) Digital data shows variation in</w:t>
      </w:r>
      <w:r w:rsidR="00375C4B" w:rsidRPr="002C21B8">
        <w:t xml:space="preserve"> regional</w:t>
      </w:r>
      <w:r w:rsidR="00080F78" w:rsidRPr="002C21B8">
        <w:t xml:space="preserve"> tolvaptan</w:t>
      </w:r>
      <w:r w:rsidR="00375C4B" w:rsidRPr="002C21B8">
        <w:t xml:space="preserve"> prescriptions </w:t>
      </w:r>
      <w:r w:rsidR="006E1736" w:rsidRPr="002C21B8">
        <w:fldChar w:fldCharType="begin"/>
      </w:r>
      <w:r w:rsidR="006E1736" w:rsidRPr="002C21B8">
        <w:instrText xml:space="preserve"> ADDIN EN.CITE &lt;EndNote&gt;&lt;Cite&gt;&lt;Author&gt;Chong&lt;/Author&gt;&lt;Year&gt;2022&lt;/Year&gt;&lt;RecNum&gt;125304&lt;/RecNum&gt;&lt;DisplayText&gt;(Chong,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6E1736" w:rsidRPr="002C21B8">
        <w:fldChar w:fldCharType="separate"/>
      </w:r>
      <w:r w:rsidR="006E1736" w:rsidRPr="002C21B8">
        <w:t>(Chong, Harris and Ong, 2022)</w:t>
      </w:r>
      <w:r w:rsidR="006E1736" w:rsidRPr="002C21B8">
        <w:fldChar w:fldCharType="end"/>
      </w:r>
      <w:r w:rsidR="006E1736" w:rsidRPr="002C21B8">
        <w:t>.</w:t>
      </w:r>
    </w:p>
    <w:p w14:paraId="54310760" w14:textId="6A9D44EA" w:rsidR="00080F78" w:rsidRPr="002C21B8" w:rsidRDefault="00080F78" w:rsidP="00080F78">
      <w:r w:rsidRPr="002C21B8">
        <w:t xml:space="preserve">Such variation could reflect two potential departures from guidelines: patients eligible for tolvaptan not </w:t>
      </w:r>
      <w:r w:rsidR="00291DEB" w:rsidRPr="002C21B8">
        <w:t xml:space="preserve">being </w:t>
      </w:r>
      <w:r w:rsidRPr="002C21B8">
        <w:t>initiated</w:t>
      </w:r>
      <w:r w:rsidR="0097248E" w:rsidRPr="002C21B8">
        <w:t>,</w:t>
      </w:r>
      <w:r w:rsidRPr="002C21B8">
        <w:t xml:space="preserve"> and patients initiated on tolvaptan wh</w:t>
      </w:r>
      <w:r w:rsidR="00291DEB" w:rsidRPr="002C21B8">
        <w:t>en</w:t>
      </w:r>
      <w:r w:rsidRPr="002C21B8">
        <w:t xml:space="preserve"> </w:t>
      </w:r>
      <w:r w:rsidR="00291DEB" w:rsidRPr="002C21B8">
        <w:t xml:space="preserve">they </w:t>
      </w:r>
      <w:r w:rsidRPr="002C21B8">
        <w:t xml:space="preserve">did not meet </w:t>
      </w:r>
      <w:r w:rsidR="00291DEB" w:rsidRPr="002C21B8">
        <w:t xml:space="preserve">the </w:t>
      </w:r>
      <w:r w:rsidRPr="002C21B8">
        <w:t>eligibility criteria</w:t>
      </w:r>
      <w:r w:rsidR="00375C4B" w:rsidRPr="002C21B8">
        <w:t>. This may</w:t>
      </w:r>
      <w:r w:rsidRPr="002C21B8">
        <w:t xml:space="preserve"> be influenced by centre-level differences in </w:t>
      </w:r>
      <w:r w:rsidR="00375C4B" w:rsidRPr="002C21B8">
        <w:t xml:space="preserve">tolvaptan </w:t>
      </w:r>
      <w:r w:rsidRPr="002C21B8">
        <w:t>prescribing</w:t>
      </w:r>
      <w:r w:rsidR="00375C4B" w:rsidRPr="002C21B8">
        <w:t xml:space="preserve"> practices</w:t>
      </w:r>
      <w:r w:rsidRPr="002C21B8">
        <w:t>. Variation</w:t>
      </w:r>
      <w:r w:rsidR="00EB2245" w:rsidRPr="002C21B8">
        <w:t xml:space="preserve"> could</w:t>
      </w:r>
      <w:r w:rsidRPr="002C21B8">
        <w:t xml:space="preserve"> also arise from patient-level factors, such as case-mix or patient preferences</w:t>
      </w:r>
      <w:r w:rsidR="00EB2245" w:rsidRPr="002C21B8">
        <w:t xml:space="preserve">. However, </w:t>
      </w:r>
      <w:r w:rsidRPr="002C21B8">
        <w:t xml:space="preserve">for these to account for differences between </w:t>
      </w:r>
      <w:r w:rsidR="000924B7" w:rsidRPr="002C21B8">
        <w:t xml:space="preserve">kidney </w:t>
      </w:r>
      <w:r w:rsidRPr="002C21B8">
        <w:t>centres</w:t>
      </w:r>
      <w:r w:rsidR="0097248E" w:rsidRPr="002C21B8">
        <w:t>,</w:t>
      </w:r>
      <w:r w:rsidRPr="002C21B8">
        <w:t xml:space="preserve"> they would need to vary systematically </w:t>
      </w:r>
      <w:r w:rsidR="00E50184" w:rsidRPr="002C21B8">
        <w:t>by</w:t>
      </w:r>
      <w:r w:rsidRPr="002C21B8">
        <w:t xml:space="preserve"> centre and </w:t>
      </w:r>
      <w:r w:rsidR="00E50184" w:rsidRPr="002C21B8">
        <w:t>have effects independent of other measures</w:t>
      </w:r>
      <w:r w:rsidRPr="002C21B8">
        <w:t xml:space="preserve">. </w:t>
      </w:r>
      <w:r w:rsidR="00E50184" w:rsidRPr="002C21B8">
        <w:t xml:space="preserve">Well-designed </w:t>
      </w:r>
      <w:r w:rsidRPr="002C21B8">
        <w:t>standardised performance measures</w:t>
      </w:r>
      <w:r w:rsidR="00E50184" w:rsidRPr="002C21B8">
        <w:t xml:space="preserve"> can </w:t>
      </w:r>
      <w:r w:rsidRPr="002C21B8">
        <w:t xml:space="preserve">adjust for factors outside </w:t>
      </w:r>
      <w:r w:rsidR="00E50184" w:rsidRPr="002C21B8">
        <w:t xml:space="preserve">the control of a centre. This allows remaining differences to more accurately reflect the potentially modifiable aspects of clinical practice </w:t>
      </w:r>
      <w:r w:rsidRPr="002C21B8">
        <w:fldChar w:fldCharType="begin"/>
      </w:r>
      <w:r w:rsidRPr="002C21B8">
        <w:instrText xml:space="preserve"> ADDIN EN.CITE &lt;EndNote&gt;&lt;Cite&gt;&lt;Author&gt;Panturu&lt;/Author&gt;&lt;Year&gt;2025&lt;/Year&gt;&lt;RecNum&gt;125285&lt;/RecNum&gt;&lt;DisplayText&gt;(Panturu&lt;style face="italic"&gt; et al.&lt;/style&gt;, 2025)&lt;/DisplayText&gt;&lt;record&gt;&lt;rec-number&gt;125285&lt;/rec-number&gt;&lt;foreign-keys&gt;&lt;key app="EN" db-id="xpefzwa5hf9dt2ea9fax95x7xvxz90v09dtf" timestamp="1774352893"&gt;125285&lt;/key&gt;&lt;/foreign-keys&gt;&lt;ref-type name="Journal Article"&gt;17&lt;/ref-type&gt;&lt;contributors&gt;&lt;authors&gt;&lt;author&gt;Panturu, Andreea&lt;/author&gt;&lt;author&gt;van Kleef, Richard&lt;/author&gt;&lt;author&gt;Eijkenaar, Frank&lt;/author&gt;&lt;author&gt;Cattel, Daniëlle&lt;/author&gt;&lt;/authors&gt;&lt;/contributors&gt;&lt;titles&gt;&lt;title&gt;A framework for the design of risk-adjustment models in health care provider payment systems&lt;/title&gt;&lt;secondary-title&gt;Medical Care Research and Review&lt;/secondary-title&gt;&lt;/titles&gt;&lt;periodical&gt;&lt;full-title&gt;Medical Care Research and Review&lt;/full-title&gt;&lt;/periodical&gt;&lt;pages&gt;43-57&lt;/pages&gt;&lt;volume&gt;82&lt;/volume&gt;&lt;number&gt;1&lt;/number&gt;&lt;dates&gt;&lt;year&gt;2025&lt;/year&gt;&lt;/dates&gt;&lt;isbn&gt;1077-5587&lt;/isbn&gt;&lt;urls&gt;&lt;/urls&gt;&lt;/record&gt;&lt;/Cite&gt;&lt;/EndNote&gt;</w:instrText>
      </w:r>
      <w:r w:rsidRPr="002C21B8">
        <w:fldChar w:fldCharType="separate"/>
      </w:r>
      <w:r w:rsidRPr="002C21B8">
        <w:t>(Panturu</w:t>
      </w:r>
      <w:r w:rsidRPr="002C21B8">
        <w:rPr>
          <w:i/>
        </w:rPr>
        <w:t xml:space="preserve"> et al.</w:t>
      </w:r>
      <w:r w:rsidRPr="002C21B8">
        <w:t>, 2025)</w:t>
      </w:r>
      <w:r w:rsidRPr="002C21B8">
        <w:fldChar w:fldCharType="end"/>
      </w:r>
      <w:r w:rsidRPr="002C21B8">
        <w:t>.</w:t>
      </w:r>
    </w:p>
    <w:p w14:paraId="77F4E05D" w14:textId="168256B1" w:rsidR="00080F78" w:rsidRPr="002C21B8" w:rsidRDefault="00080F78" w:rsidP="00080F78">
      <w:r w:rsidRPr="002C21B8">
        <w:t xml:space="preserve">Differences in centre-level prescribing may influence both access for eligible patients and exposure of ineligible patients to tolvaptan. Based on these considerations, we hypothesised a theoretical trade-off whereby kidney centres with high initiation rates may improve access but risk initiating patients </w:t>
      </w:r>
      <w:r w:rsidR="00F93D3D" w:rsidRPr="002C21B8">
        <w:t xml:space="preserve">who do not </w:t>
      </w:r>
      <w:r w:rsidRPr="002C21B8">
        <w:t>meet</w:t>
      </w:r>
      <w:r w:rsidR="00F93D3D" w:rsidRPr="002C21B8">
        <w:t xml:space="preserve"> the</w:t>
      </w:r>
      <w:r w:rsidRPr="002C21B8">
        <w:t xml:space="preserve"> eligibility criteria, while kidney centres with low initiation rates may limit inappropriate use but risk not initiating patients </w:t>
      </w:r>
      <w:r w:rsidR="0097248E" w:rsidRPr="002C21B8">
        <w:t xml:space="preserve">who meet them </w:t>
      </w:r>
      <w:r w:rsidRPr="002C21B8">
        <w:fldChar w:fldCharType="begin"/>
      </w:r>
      <w:r w:rsidRPr="002C21B8">
        <w:instrText xml:space="preserve"> ADDIN EN.CITE &lt;EndNote&gt;&lt;Cite&gt;&lt;Author&gt;Atsma&lt;/Author&gt;&lt;Year&gt;2020&lt;/Year&gt;&lt;RecNum&gt;125045&lt;/RecNum&gt;&lt;DisplayText&gt;(Atsma, Elwyn and Westert, 2020)&lt;/DisplayText&gt;&lt;record&gt;&lt;rec-number&gt;125045&lt;/rec-number&gt;&lt;foreign-keys&gt;&lt;key app="EN" db-id="xpefzwa5hf9dt2ea9fax95x7xvxz90v09dtf" timestamp="1759432565"&gt;125045&lt;/key&gt;&lt;/foreign-keys&gt;&lt;ref-type name="Journal Article"&gt;17&lt;/ref-type&gt;&lt;contributors&gt;&lt;authors&gt;&lt;author&gt;Atsma, Femke&lt;/author&gt;&lt;author&gt;Elwyn, Glyn&lt;/author&gt;&lt;author&gt;Westert, Gert&lt;/author&gt;&lt;/authors&gt;&lt;/contributors&gt;&lt;titles&gt;&lt;title&gt;Understanding unwarranted variation in clinical practice: a focus on network effects, reflective medicine and learning health systems&lt;/title&gt;&lt;secondary-title&gt;International Journal for Quality in Health Care&lt;/secondary-title&gt;&lt;/titles&gt;&lt;periodical&gt;&lt;full-title&gt;International journal for quality in health care&lt;/full-title&gt;&lt;/periodical&gt;&lt;pages&gt;271-274&lt;/pages&gt;&lt;volume&gt;32&lt;/volume&gt;&lt;number&gt;4&lt;/number&gt;&lt;dates&gt;&lt;year&gt;2020&lt;/year&gt;&lt;/dates&gt;&lt;isbn&gt;1353-4505&lt;/isbn&gt;&lt;urls&gt;&lt;/urls&gt;&lt;/record&gt;&lt;/Cite&gt;&lt;/EndNote&gt;</w:instrText>
      </w:r>
      <w:r w:rsidRPr="002C21B8">
        <w:fldChar w:fldCharType="separate"/>
      </w:r>
      <w:r w:rsidRPr="002C21B8">
        <w:t>(Atsma, Elwyn and Westert, 2020)</w:t>
      </w:r>
      <w:r w:rsidRPr="002C21B8">
        <w:fldChar w:fldCharType="end"/>
      </w:r>
      <w:r w:rsidRPr="002C21B8">
        <w:t>.</w:t>
      </w:r>
    </w:p>
    <w:p w14:paraId="08503E9C" w14:textId="77777777" w:rsidR="00080F78" w:rsidRPr="002C21B8" w:rsidRDefault="00080F78" w:rsidP="00080F78">
      <w:r w:rsidRPr="002C21B8">
        <w:t>This study aims to quantify variation in tolvaptan prescribing across UK kidney centres. Observed patterns may suggest potential unequal access to or treatment not aligned with guidelines for the sole disease-modifying therapy in a rare disease, with possible consequences for quality of life and healthcare costs.</w:t>
      </w:r>
    </w:p>
    <w:p w14:paraId="02602B70" w14:textId="77777777" w:rsidR="00DD2657" w:rsidRPr="002C21B8" w:rsidRDefault="00DD2657" w:rsidP="00EE2A09">
      <w:pPr>
        <w:spacing w:before="240" w:after="0"/>
        <w:rPr>
          <w:b/>
          <w:bCs/>
          <w:sz w:val="28"/>
          <w:szCs w:val="28"/>
        </w:rPr>
      </w:pPr>
      <w:r w:rsidRPr="002C21B8">
        <w:rPr>
          <w:b/>
          <w:bCs/>
          <w:sz w:val="28"/>
          <w:szCs w:val="28"/>
        </w:rPr>
        <w:t>Materials and Methods</w:t>
      </w:r>
    </w:p>
    <w:p w14:paraId="3E6F1146" w14:textId="77777777" w:rsidR="00DD2657" w:rsidRPr="002C21B8" w:rsidRDefault="00DD2657" w:rsidP="00EB3A27">
      <w:pPr>
        <w:spacing w:after="0"/>
        <w:rPr>
          <w:b/>
          <w:bCs/>
          <w:sz w:val="24"/>
          <w:szCs w:val="24"/>
        </w:rPr>
      </w:pPr>
      <w:r w:rsidRPr="002C21B8">
        <w:rPr>
          <w:b/>
          <w:bCs/>
          <w:sz w:val="24"/>
          <w:szCs w:val="24"/>
        </w:rPr>
        <w:t>Study Design and Population</w:t>
      </w:r>
    </w:p>
    <w:p w14:paraId="2071B9A2" w14:textId="0C1F0B59" w:rsidR="00F930A9" w:rsidRPr="002C21B8" w:rsidRDefault="00F930A9" w:rsidP="00F930A9">
      <w:r w:rsidRPr="002C21B8">
        <w:t xml:space="preserve">A retrospective cohort study was conducted using </w:t>
      </w:r>
      <w:r w:rsidR="00406262" w:rsidRPr="002C21B8">
        <w:t xml:space="preserve">data from </w:t>
      </w:r>
      <w:r w:rsidR="001856AA" w:rsidRPr="002C21B8">
        <w:t xml:space="preserve">the </w:t>
      </w:r>
      <w:r w:rsidRPr="002C21B8">
        <w:t>National Registry of Rare Kidney Diseases</w:t>
      </w:r>
      <w:r w:rsidR="001856AA" w:rsidRPr="002C21B8">
        <w:t xml:space="preserve"> (RaDaR</w:t>
      </w:r>
      <w:r w:rsidRPr="002C21B8">
        <w:t xml:space="preserve">) to evaluate tolvaptan prescribing in adults with ADPKD across UK kidney centres. The cohort included adults ≥18 years with a recorded ADPKD diagnosis, eGFR results, and medication history via PatientView, which provides live linkage of patient-level clinical and laboratory data </w:t>
      </w:r>
      <w:r w:rsidRPr="002C21B8">
        <w:fldChar w:fldCharType="begin"/>
      </w:r>
      <w:r w:rsidR="00012A3E" w:rsidRPr="002C21B8">
        <w:instrText xml:space="preserve"> ADDIN EN.CITE &lt;EndNote&gt;&lt;Cite&gt;&lt;Author&gt;UK Kidney Association&lt;/Author&gt;&lt;Year&gt;2025&lt;/Year&gt;&lt;RecNum&gt;125054&lt;/RecNum&gt;&lt;DisplayText&gt;(UK Kidney Association, 2025)&lt;/DisplayText&gt;&lt;record&gt;&lt;rec-number&gt;125054&lt;/rec-number&gt;&lt;foreign-keys&gt;&lt;key app="EN" db-id="xpefzwa5hf9dt2ea9fax95x7xvxz90v09dtf" timestamp="1761313192"&gt;125054&lt;/key&gt;&lt;/foreign-keys&gt;&lt;ref-type name="Web Page"&gt;12&lt;/ref-type&gt;&lt;contributors&gt;&lt;authors&gt;&lt;author&gt;UK Kidney Association,&lt;/author&gt;&lt;/authors&gt;&lt;/contributors&gt;&lt;titles&gt;&lt;title&gt;RaDaR database&lt;/title&gt;&lt;/titles&gt;&lt;number&gt;24/10/2025)&lt;/number&gt;&lt;dates&gt;&lt;year&gt;2025&lt;/year&gt;&lt;/dates&gt;&lt;urls&gt;&lt;related-urls&gt;&lt;url&gt;https://www.ukkidney.org/audit-research/data-permissions/data/radar-database&lt;/url&gt;&lt;/related-urls&gt;&lt;/urls&gt;&lt;/record&gt;&lt;/Cite&gt;&lt;/EndNote&gt;</w:instrText>
      </w:r>
      <w:r w:rsidRPr="002C21B8">
        <w:fldChar w:fldCharType="separate"/>
      </w:r>
      <w:r w:rsidR="00012A3E" w:rsidRPr="002C21B8">
        <w:rPr>
          <w:noProof/>
        </w:rPr>
        <w:t>(UK Kidney Association, 2025)</w:t>
      </w:r>
      <w:r w:rsidRPr="002C21B8">
        <w:fldChar w:fldCharType="end"/>
      </w:r>
      <w:r w:rsidR="005A01E9" w:rsidRPr="002C21B8">
        <w:t xml:space="preserve">. </w:t>
      </w:r>
      <w:r w:rsidR="00317B2A" w:rsidRPr="002C21B8">
        <w:t>However, not all</w:t>
      </w:r>
      <w:r w:rsidR="005A01E9" w:rsidRPr="002C21B8">
        <w:t xml:space="preserve"> </w:t>
      </w:r>
      <w:r w:rsidR="00406262" w:rsidRPr="002C21B8">
        <w:t xml:space="preserve">kidney </w:t>
      </w:r>
      <w:r w:rsidR="005A01E9" w:rsidRPr="002C21B8">
        <w:t>centre</w:t>
      </w:r>
      <w:r w:rsidR="00F035A1" w:rsidRPr="002C21B8">
        <w:t xml:space="preserve">s </w:t>
      </w:r>
      <w:r w:rsidR="00317B2A" w:rsidRPr="002C21B8">
        <w:t xml:space="preserve">use PatientView so data completeness may vary across centres. </w:t>
      </w:r>
      <w:r w:rsidR="00E73BF2" w:rsidRPr="002C21B8">
        <w:t xml:space="preserve">Data completeness at a centre-level is included in </w:t>
      </w:r>
      <w:hyperlink w:anchor="_Data_completeness_of" w:history="1">
        <w:r w:rsidR="00E73BF2" w:rsidRPr="002C21B8">
          <w:rPr>
            <w:rStyle w:val="Hyperlink"/>
          </w:rPr>
          <w:t>Appendix 6</w:t>
        </w:r>
      </w:hyperlink>
      <w:r w:rsidR="00E73BF2" w:rsidRPr="002C21B8">
        <w:t xml:space="preserve">. </w:t>
      </w:r>
      <w:r w:rsidRPr="002C21B8">
        <w:t>The study period (January 2016–September 2023) began three months following NICE approval</w:t>
      </w:r>
      <w:r w:rsidR="00317B2A" w:rsidRPr="002C21B8">
        <w:t xml:space="preserve"> of tolvaptan</w:t>
      </w:r>
      <w:r w:rsidRPr="002C21B8">
        <w:t xml:space="preserve">, after which </w:t>
      </w:r>
      <w:r w:rsidR="00317B2A" w:rsidRPr="002C21B8">
        <w:t xml:space="preserve">it </w:t>
      </w:r>
      <w:r w:rsidRPr="002C21B8">
        <w:t xml:space="preserve">should be available at all NHS trusts </w:t>
      </w:r>
      <w:r w:rsidRPr="002C21B8">
        <w:fldChar w:fldCharType="begin"/>
      </w:r>
      <w:r w:rsidR="00590E88" w:rsidRPr="002C21B8">
        <w:instrText xml:space="preserve"> ADDIN EN.CITE &lt;EndNote&gt;&lt;Cite&gt;&lt;Author&gt;National Institute for Health and Care Excellence&lt;/Author&gt;&lt;Year&gt;2012&lt;/Year&gt;&lt;RecNum&gt;43&lt;/RecNum&gt;&lt;DisplayText&gt;(National Institute for Health and Care Excellence, 2012)&lt;/DisplayText&gt;&lt;record&gt;&lt;rec-number&gt;43&lt;/rec-number&gt;&lt;foreign-keys&gt;&lt;key app="EN" db-id="xpefzwa5hf9dt2ea9fax95x7xvxz90v09dtf" timestamp="1692725636"&gt;43&lt;/key&gt;&lt;/foreign-keys&gt;&lt;ref-type name="Web Page"&gt;12&lt;/ref-type&gt;&lt;contributors&gt;&lt;authors&gt;&lt;author&gt;National Institute for Health and Care Excellence,&lt;/author&gt;&lt;/authors&gt;&lt;/contributors&gt;&lt;titles&gt;&lt;title&gt;The guidelines manual - Process and methods&lt;/title&gt;&lt;/titles&gt;&lt;number&gt;26/04/2026)&lt;/number&gt;&lt;dates&gt;&lt;year&gt;2012&lt;/year&gt;&lt;/dates&gt;&lt;urls&gt;&lt;related-urls&gt;&lt;url&gt;www.nice.org.uk/process/pmg6&lt;/url&gt;&lt;/related-urls&gt;&lt;/urls&gt;&lt;/record&gt;&lt;/Cite&gt;&lt;/EndNote&gt;</w:instrText>
      </w:r>
      <w:r w:rsidRPr="002C21B8">
        <w:fldChar w:fldCharType="separate"/>
      </w:r>
      <w:r w:rsidRPr="002C21B8">
        <w:rPr>
          <w:noProof/>
        </w:rPr>
        <w:t>(National Institute for Health and Care Excellence, 2012)</w:t>
      </w:r>
      <w:r w:rsidRPr="002C21B8">
        <w:fldChar w:fldCharType="end"/>
      </w:r>
      <w:r w:rsidRPr="002C21B8">
        <w:t>. Patients enrolled in tolvaptan clinical trials were excluded</w:t>
      </w:r>
      <w:r w:rsidR="00317B2A" w:rsidRPr="002C21B8">
        <w:t xml:space="preserve"> as prescribing occurred outside of clinician decision-making</w:t>
      </w:r>
      <w:r w:rsidRPr="002C21B8">
        <w:t xml:space="preserve">. Assessment of eligibility required sufficient laboratory data to derive eGFR slopes and medication history. Full inclusion and exclusion criteria are detailed in </w:t>
      </w:r>
      <w:hyperlink w:anchor="_Inclusion_and_exclusion" w:history="1">
        <w:r w:rsidRPr="002C21B8">
          <w:rPr>
            <w:rStyle w:val="Hyperlink"/>
          </w:rPr>
          <w:t xml:space="preserve">Appendix </w:t>
        </w:r>
        <w:r w:rsidR="001821E0" w:rsidRPr="002C21B8">
          <w:rPr>
            <w:rStyle w:val="Hyperlink"/>
          </w:rPr>
          <w:t>6</w:t>
        </w:r>
      </w:hyperlink>
      <w:r w:rsidRPr="002C21B8">
        <w:t>. Data cleaning</w:t>
      </w:r>
      <w:r w:rsidR="00E60F71" w:rsidRPr="002C21B8">
        <w:t xml:space="preserve"> occurred before analysis, this</w:t>
      </w:r>
      <w:r w:rsidRPr="002C21B8">
        <w:t xml:space="preserve"> included range, consistency, and plausibility checks.</w:t>
      </w:r>
      <w:r w:rsidR="00464401" w:rsidRPr="002C21B8">
        <w:t xml:space="preserve"> Reporting followed the Reporting of Studies Conducted using Observational Routinely-Collected Health Data</w:t>
      </w:r>
      <w:r w:rsidR="00530337" w:rsidRPr="002C21B8">
        <w:t xml:space="preserve"> (RECORD)</w:t>
      </w:r>
      <w:r w:rsidR="00464401" w:rsidRPr="002C21B8">
        <w:t xml:space="preserve"> statement, an extension of the Strengthening the Reporting of Observational Studies in Epidemiology</w:t>
      </w:r>
      <w:r w:rsidR="00530337" w:rsidRPr="002C21B8">
        <w:t xml:space="preserve"> (STROBE</w:t>
      </w:r>
      <w:r w:rsidR="00464401" w:rsidRPr="002C21B8">
        <w:t xml:space="preserve">) statement for observational studies using routinely collected data </w:t>
      </w:r>
      <w:r w:rsidR="00464401" w:rsidRPr="002C21B8">
        <w:fldChar w:fldCharType="begin"/>
      </w:r>
      <w:r w:rsidR="00CE4967" w:rsidRPr="002C21B8">
        <w:instrText xml:space="preserve"> ADDIN EN.CITE &lt;EndNote&gt;&lt;Cite&gt;&lt;Author&gt;Benchimol&lt;/Author&gt;&lt;Year&gt;2015&lt;/Year&gt;&lt;RecNum&gt;125156&lt;/RecNum&gt;&lt;DisplayText&gt;(Benchimol&lt;style face="italic"&gt; et al.&lt;/style&gt;, 2015)&lt;/DisplayText&gt;&lt;record&gt;&lt;rec-number&gt;125156&lt;/rec-number&gt;&lt;foreign-keys&gt;&lt;key app="EN" db-id="xpefzwa5hf9dt2ea9fax95x7xvxz90v09dtf" timestamp="1766517264"&gt;125156&lt;/key&gt;&lt;/foreign-keys&gt;&lt;ref-type name="Journal Article"&gt;17&lt;/ref-type&gt;&lt;contributors&gt;&lt;authors&gt;&lt;author&gt;Benchimol, Eric I&lt;/author&gt;&lt;author&gt;Smeeth, Liam&lt;/author&gt;&lt;author&gt;Guttmann, Astrid&lt;/author&gt;&lt;author&gt;Harron, Katie&lt;/author&gt;&lt;author&gt;Moher, David&lt;/author&gt;&lt;author&gt;Petersen, Irene&lt;/author&gt;&lt;author&gt;Sørensen, Henrik T&lt;/author&gt;&lt;author&gt;von Elm, Erik&lt;/author&gt;&lt;author&gt;Langan, Sinéad M&lt;/author&gt;&lt;/authors&gt;&lt;/contributors&gt;&lt;titles&gt;&lt;title&gt;The REporting of studies Conducted using Observational Routinely-collected health Data (RECORD) statement&lt;/title&gt;&lt;secondary-title&gt;PLOS Medicine&lt;/secondary-title&gt;&lt;/titles&gt;&lt;periodical&gt;&lt;full-title&gt;PLoS medicine&lt;/full-title&gt;&lt;/periodical&gt;&lt;pages&gt;e1001885&lt;/pages&gt;&lt;volume&gt;12&lt;/volume&gt;&lt;number&gt;10&lt;/number&gt;&lt;dates&gt;&lt;year&gt;2015&lt;/year&gt;&lt;/dates&gt;&lt;isbn&gt;1549-1277&lt;/isbn&gt;&lt;urls&gt;&lt;/urls&gt;&lt;/record&gt;&lt;/Cite&gt;&lt;/EndNote&gt;</w:instrText>
      </w:r>
      <w:r w:rsidR="00464401" w:rsidRPr="002C21B8">
        <w:fldChar w:fldCharType="separate"/>
      </w:r>
      <w:r w:rsidR="00464401" w:rsidRPr="002C21B8">
        <w:rPr>
          <w:noProof/>
        </w:rPr>
        <w:t>(Benchimol</w:t>
      </w:r>
      <w:r w:rsidR="00464401" w:rsidRPr="002C21B8">
        <w:rPr>
          <w:i/>
          <w:noProof/>
        </w:rPr>
        <w:t xml:space="preserve"> et al.</w:t>
      </w:r>
      <w:r w:rsidR="00464401" w:rsidRPr="002C21B8">
        <w:rPr>
          <w:noProof/>
        </w:rPr>
        <w:t>, 2015)</w:t>
      </w:r>
      <w:r w:rsidR="00464401" w:rsidRPr="002C21B8">
        <w:fldChar w:fldCharType="end"/>
      </w:r>
      <w:r w:rsidR="00464401" w:rsidRPr="002C21B8">
        <w:t>.</w:t>
      </w:r>
      <w:r w:rsidR="00530337" w:rsidRPr="002C21B8">
        <w:t xml:space="preserve"> This is included in </w:t>
      </w:r>
      <w:hyperlink w:anchor="_Reporting_checklist_for" w:history="1">
        <w:r w:rsidR="00530337" w:rsidRPr="002C21B8">
          <w:rPr>
            <w:rStyle w:val="Hyperlink"/>
          </w:rPr>
          <w:t>Appendix 6</w:t>
        </w:r>
      </w:hyperlink>
      <w:r w:rsidR="00530337" w:rsidRPr="002C21B8">
        <w:rPr>
          <w:rStyle w:val="Hyperlink"/>
        </w:rPr>
        <w:t>.</w:t>
      </w:r>
    </w:p>
    <w:p w14:paraId="1C26604A" w14:textId="77777777" w:rsidR="00DD2657" w:rsidRPr="002C21B8" w:rsidRDefault="00DD2657" w:rsidP="00EE2A09">
      <w:pPr>
        <w:spacing w:before="240" w:after="0"/>
        <w:rPr>
          <w:b/>
          <w:bCs/>
          <w:sz w:val="24"/>
          <w:szCs w:val="24"/>
        </w:rPr>
      </w:pPr>
      <w:r w:rsidRPr="002C21B8">
        <w:rPr>
          <w:b/>
          <w:bCs/>
          <w:sz w:val="24"/>
          <w:szCs w:val="24"/>
        </w:rPr>
        <w:t>Variables</w:t>
      </w:r>
    </w:p>
    <w:p w14:paraId="7209419E" w14:textId="55C34AB7" w:rsidR="00464401" w:rsidRPr="002C21B8" w:rsidRDefault="00464401" w:rsidP="00464401">
      <w:r w:rsidRPr="002C21B8">
        <w:t>Relevant patient characteristics in RaDaR include</w:t>
      </w:r>
      <w:r w:rsidR="00530337" w:rsidRPr="002C21B8">
        <w:t>d</w:t>
      </w:r>
      <w:r w:rsidRPr="002C21B8">
        <w:t xml:space="preserve"> age, sex, ethnicity, CKD stage and eGFR. Medication characteristics for the year of eligibility and initiation were calculated as part of the study. Eligibility for tolvaptan was determined using Renal Association criteria</w:t>
      </w:r>
      <w:r w:rsidR="00530337" w:rsidRPr="002C21B8">
        <w:t xml:space="preserve"> relevant to the study period</w:t>
      </w:r>
      <w:r w:rsidRPr="002C21B8">
        <w:t>: CKD stage 2</w:t>
      </w:r>
      <w:r w:rsidR="000C2A42" w:rsidRPr="002C21B8">
        <w:t>–</w:t>
      </w:r>
      <w:r w:rsidRPr="002C21B8">
        <w:t>3 with an eGFR decline &gt;2.5 ml/min/1.73m</w:t>
      </w:r>
      <w:r w:rsidRPr="002C21B8">
        <w:rPr>
          <w:vertAlign w:val="superscript"/>
        </w:rPr>
        <w:t>2</w:t>
      </w:r>
      <w:r w:rsidRPr="002C21B8">
        <w:t>/year over 5 years or &gt;5 ml/min/1.73m</w:t>
      </w:r>
      <w:r w:rsidRPr="002C21B8">
        <w:rPr>
          <w:vertAlign w:val="superscript"/>
        </w:rPr>
        <w:t>2</w:t>
      </w:r>
      <w:r w:rsidRPr="002C21B8">
        <w:t xml:space="preserve"> over 1 year </w:t>
      </w:r>
      <w:r w:rsidRPr="002C21B8">
        <w:fldChar w:fldCharType="begin"/>
      </w:r>
      <w:r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Pr="002C21B8">
        <w:fldChar w:fldCharType="separate"/>
      </w:r>
      <w:r w:rsidRPr="002C21B8">
        <w:t>(Renal Association, 2016)</w:t>
      </w:r>
      <w:r w:rsidRPr="002C21B8">
        <w:fldChar w:fldCharType="end"/>
      </w:r>
      <w:r w:rsidRPr="002C21B8">
        <w:t>. Individual eGFR slopes were calculated for each patient with a minimum of three eGFR measurements over at least 1 year required to derive a slope. EGFR measurements that were inconsistent with the patient’s overall longitudinal trajectory</w:t>
      </w:r>
      <w:r w:rsidR="000C2A42" w:rsidRPr="002C21B8">
        <w:t xml:space="preserve"> were excluded</w:t>
      </w:r>
      <w:r w:rsidRPr="002C21B8">
        <w:t xml:space="preserve">, such as abrupt isolated declines </w:t>
      </w:r>
      <w:r w:rsidR="000C2A42" w:rsidRPr="002C21B8">
        <w:t xml:space="preserve">which would likely be </w:t>
      </w:r>
      <w:r w:rsidRPr="002C21B8">
        <w:t xml:space="preserve">related to acute illness or measurement error. Imaging, genotype and risk </w:t>
      </w:r>
      <w:r w:rsidR="00E10A60" w:rsidRPr="002C21B8">
        <w:t>stratification-based</w:t>
      </w:r>
      <w:r w:rsidRPr="002C21B8">
        <w:t xml:space="preserve"> criteria were excluded due to inconsistent </w:t>
      </w:r>
      <w:r w:rsidR="00C11E40" w:rsidRPr="002C21B8">
        <w:t xml:space="preserve">recording </w:t>
      </w:r>
      <w:r w:rsidRPr="002C21B8">
        <w:t>in RaDaR</w:t>
      </w:r>
      <w:r w:rsidR="00C11E40" w:rsidRPr="002C21B8">
        <w:t xml:space="preserve">. Furthermore, expert consensus in the UK Kidney Association clinical study group suggested </w:t>
      </w:r>
      <w:r w:rsidR="0032275A" w:rsidRPr="002C21B8">
        <w:t xml:space="preserve">the </w:t>
      </w:r>
      <w:r w:rsidR="00EB4CC3" w:rsidRPr="002C21B8">
        <w:t>use of these criteria independent of eGFR slope criteria</w:t>
      </w:r>
      <w:r w:rsidRPr="002C21B8">
        <w:t xml:space="preserve"> </w:t>
      </w:r>
      <w:r w:rsidR="00EB4CC3" w:rsidRPr="002C21B8">
        <w:t xml:space="preserve">was rare </w:t>
      </w:r>
      <w:r w:rsidRPr="002C21B8">
        <w:t>in clinical practice. Initiation was defined as the first recorded tolvaptan prescription within the study period. Key covariates included age, sex, CKD stage</w:t>
      </w:r>
      <w:r w:rsidR="00C11E40" w:rsidRPr="002C21B8">
        <w:t>,</w:t>
      </w:r>
      <w:r w:rsidRPr="002C21B8">
        <w:t xml:space="preserve"> and year of eligibility or year tolvaptan was initiated</w:t>
      </w:r>
      <w:r w:rsidR="00C11E40" w:rsidRPr="002C21B8">
        <w:t xml:space="preserve">. These were considered to be </w:t>
      </w:r>
      <w:r w:rsidRPr="002C21B8">
        <w:t xml:space="preserve">potential predictors of </w:t>
      </w:r>
      <w:r w:rsidR="00C11E40" w:rsidRPr="002C21B8">
        <w:t>tolvaptan</w:t>
      </w:r>
      <w:r w:rsidRPr="002C21B8">
        <w:t xml:space="preserve"> initiat</w:t>
      </w:r>
      <w:r w:rsidR="00C11E40" w:rsidRPr="002C21B8">
        <w:t xml:space="preserve">ion </w:t>
      </w:r>
      <w:r w:rsidRPr="002C21B8">
        <w:t>and adherence to eligibility criteria.</w:t>
      </w:r>
    </w:p>
    <w:p w14:paraId="0AB951B7" w14:textId="77777777" w:rsidR="00DD2657" w:rsidRPr="002C21B8" w:rsidRDefault="00DD2657" w:rsidP="00EE2A09">
      <w:pPr>
        <w:spacing w:before="240" w:after="0"/>
        <w:rPr>
          <w:b/>
          <w:bCs/>
          <w:sz w:val="24"/>
          <w:szCs w:val="24"/>
        </w:rPr>
      </w:pPr>
      <w:r w:rsidRPr="002C21B8">
        <w:rPr>
          <w:b/>
          <w:bCs/>
          <w:sz w:val="24"/>
          <w:szCs w:val="24"/>
        </w:rPr>
        <w:t>Statistical Analysis</w:t>
      </w:r>
    </w:p>
    <w:p w14:paraId="0280A17E" w14:textId="77777777" w:rsidR="00DD2657" w:rsidRPr="002C21B8" w:rsidRDefault="00DD2657" w:rsidP="007E6078">
      <w:pPr>
        <w:snapToGrid w:val="0"/>
        <w:spacing w:before="240" w:after="0"/>
        <w:contextualSpacing/>
        <w:rPr>
          <w:b/>
          <w:bCs/>
          <w:i/>
          <w:iCs/>
        </w:rPr>
      </w:pPr>
      <w:r w:rsidRPr="002C21B8">
        <w:rPr>
          <w:b/>
          <w:bCs/>
          <w:i/>
          <w:iCs/>
        </w:rPr>
        <w:t>Descriptive Statistics</w:t>
      </w:r>
    </w:p>
    <w:p w14:paraId="1BC0013E" w14:textId="60EF7290" w:rsidR="00DD2657" w:rsidRPr="002C21B8" w:rsidRDefault="00DD2657" w:rsidP="003374F4">
      <w:r w:rsidRPr="002C21B8">
        <w:t xml:space="preserve">Continuous variables were summarised as mean (SD) or median (IQR), and categorical variables as counts and percentages. </w:t>
      </w:r>
      <w:r w:rsidR="00D22114" w:rsidRPr="002C21B8">
        <w:t>The d</w:t>
      </w:r>
      <w:r w:rsidRPr="002C21B8">
        <w:t>istribution of patient characteristics across kidney centres was descri</w:t>
      </w:r>
      <w:r w:rsidR="00D22114" w:rsidRPr="002C21B8">
        <w:t>ptive</w:t>
      </w:r>
      <w:r w:rsidRPr="002C21B8">
        <w:t>.</w:t>
      </w:r>
    </w:p>
    <w:p w14:paraId="2FFC7048" w14:textId="77777777" w:rsidR="00DD2657" w:rsidRPr="002C21B8" w:rsidRDefault="00DD2657" w:rsidP="00EE2A09">
      <w:pPr>
        <w:spacing w:before="240" w:after="0"/>
        <w:rPr>
          <w:b/>
          <w:bCs/>
          <w:i/>
          <w:iCs/>
        </w:rPr>
      </w:pPr>
      <w:r w:rsidRPr="002C21B8">
        <w:rPr>
          <w:b/>
          <w:bCs/>
          <w:i/>
          <w:iCs/>
        </w:rPr>
        <w:t xml:space="preserve">Patient-level Predictors </w:t>
      </w:r>
    </w:p>
    <w:p w14:paraId="371AFBC6" w14:textId="59FA344F" w:rsidR="00464401" w:rsidRPr="002C21B8" w:rsidRDefault="00464401" w:rsidP="00464401">
      <w:r w:rsidRPr="002C21B8">
        <w:t xml:space="preserve">Univariable logistic regression was performed for each variable to assess its association with </w:t>
      </w:r>
      <w:r w:rsidR="008F54BE" w:rsidRPr="002C21B8">
        <w:t xml:space="preserve">the </w:t>
      </w:r>
      <w:r w:rsidRPr="002C21B8">
        <w:t>outcomes. Variables significant at p</w:t>
      </w:r>
      <w:r w:rsidR="00E10A60" w:rsidRPr="002C21B8">
        <w:t xml:space="preserve"> </w:t>
      </w:r>
      <w:r w:rsidRPr="002C21B8">
        <w:t xml:space="preserve">&lt;0.05 or deemed clinically important were included in </w:t>
      </w:r>
      <w:r w:rsidR="00133425" w:rsidRPr="002C21B8">
        <w:t>multivariable mixed-effects</w:t>
      </w:r>
      <w:r w:rsidRPr="002C21B8">
        <w:t xml:space="preserve"> logistic regression models with </w:t>
      </w:r>
      <w:r w:rsidR="00B12847" w:rsidRPr="002C21B8">
        <w:t xml:space="preserve">the </w:t>
      </w:r>
      <w:r w:rsidRPr="002C21B8">
        <w:t>kidney centre as a random intercept to account for clustering.</w:t>
      </w:r>
      <w:r w:rsidRPr="002C21B8">
        <w:br w:type="page"/>
      </w:r>
    </w:p>
    <w:p w14:paraId="4A9A567F" w14:textId="7E8107F3" w:rsidR="00464401" w:rsidRPr="002C21B8" w:rsidRDefault="00464401" w:rsidP="00464401">
      <w:r w:rsidRPr="002C21B8">
        <w:t>Two logistic regression models were constructed:</w:t>
      </w:r>
    </w:p>
    <w:p w14:paraId="1DF52F57" w14:textId="77777777" w:rsidR="00464401" w:rsidRPr="002C21B8" w:rsidRDefault="00464401" w:rsidP="002C4934">
      <w:pPr>
        <w:pStyle w:val="ListParagraph"/>
        <w:numPr>
          <w:ilvl w:val="0"/>
          <w:numId w:val="11"/>
        </w:numPr>
        <w:spacing w:after="240"/>
      </w:pPr>
      <w:r w:rsidRPr="002C21B8">
        <w:t>Initiation among eligible patients based on recorded eligibility criteria in RaDaR (binary outcome: 1 = initiated, 0 = not initiated)</w:t>
      </w:r>
    </w:p>
    <w:p w14:paraId="6225D0FB" w14:textId="77777777" w:rsidR="00464401" w:rsidRPr="002C21B8" w:rsidRDefault="00464401" w:rsidP="002C4934">
      <w:pPr>
        <w:pStyle w:val="ListParagraph"/>
        <w:numPr>
          <w:ilvl w:val="0"/>
          <w:numId w:val="11"/>
        </w:numPr>
        <w:spacing w:after="240"/>
      </w:pPr>
      <w:r w:rsidRPr="002C21B8">
        <w:t>Eligibility based on recorded eligibility criteria in RaDaR among initiated patients (binary outcome: 1 = eligible, 0 = ineligible)</w:t>
      </w:r>
    </w:p>
    <w:p w14:paraId="04EACBC0" w14:textId="77777777" w:rsidR="00DD2657" w:rsidRPr="002C21B8" w:rsidRDefault="00DD2657" w:rsidP="003374F4">
      <w:r w:rsidRPr="002C21B8">
        <w:t>Odds ratios with 95% confidence intervals were reported for all variables.</w:t>
      </w:r>
    </w:p>
    <w:p w14:paraId="3E972C03" w14:textId="77777777" w:rsidR="00DD2657" w:rsidRPr="002C21B8" w:rsidRDefault="00DD2657" w:rsidP="00EE2A09">
      <w:pPr>
        <w:spacing w:before="240" w:after="0"/>
        <w:rPr>
          <w:b/>
          <w:bCs/>
          <w:i/>
          <w:iCs/>
        </w:rPr>
      </w:pPr>
      <w:r w:rsidRPr="002C21B8">
        <w:rPr>
          <w:b/>
          <w:bCs/>
          <w:i/>
          <w:iCs/>
        </w:rPr>
        <w:t>Kidney centre-level variation</w:t>
      </w:r>
    </w:p>
    <w:p w14:paraId="0585B11B" w14:textId="48803340" w:rsidR="00464401" w:rsidRPr="002C21B8" w:rsidRDefault="00464401" w:rsidP="00464401">
      <w:r w:rsidRPr="002C21B8">
        <w:t xml:space="preserve">Variation between </w:t>
      </w:r>
      <w:r w:rsidR="0026362B" w:rsidRPr="002C21B8">
        <w:t xml:space="preserve">kidney </w:t>
      </w:r>
      <w:r w:rsidRPr="002C21B8">
        <w:t xml:space="preserve">centres was assessed using indirectly standardised ratios (ISRs). For each kidney centre, observed events (initiations or eligible patients) were compared </w:t>
      </w:r>
      <w:r w:rsidR="005E510E" w:rsidRPr="002C21B8">
        <w:t>against</w:t>
      </w:r>
      <w:r w:rsidRPr="002C21B8">
        <w:t xml:space="preserve"> expected events based on patient-level characteristics</w:t>
      </w:r>
      <w:r w:rsidR="005E510E" w:rsidRPr="002C21B8">
        <w:t xml:space="preserve"> to </w:t>
      </w:r>
      <w:r w:rsidRPr="002C21B8">
        <w:t>produc</w:t>
      </w:r>
      <w:r w:rsidR="005E510E" w:rsidRPr="002C21B8">
        <w:t>e</w:t>
      </w:r>
      <w:r w:rsidRPr="002C21B8">
        <w:t xml:space="preserve"> kidney centre-specific ratios. An ISR</w:t>
      </w:r>
      <w:r w:rsidR="00E10A60" w:rsidRPr="002C21B8">
        <w:t xml:space="preserve"> </w:t>
      </w:r>
      <w:r w:rsidRPr="002C21B8">
        <w:t>&gt;100 indicates more events than expected, whereas an ISR</w:t>
      </w:r>
      <w:r w:rsidR="00E10A60" w:rsidRPr="002C21B8">
        <w:t xml:space="preserve"> </w:t>
      </w:r>
      <w:r w:rsidRPr="002C21B8">
        <w:t xml:space="preserve">&lt;100 indicates fewer events than expected. Funnel plots were used to visualise variation, with control limits </w:t>
      </w:r>
      <w:r w:rsidR="00E83B91" w:rsidRPr="002C21B8">
        <w:t xml:space="preserve">set </w:t>
      </w:r>
      <w:r w:rsidRPr="002C21B8">
        <w:t>at ±2 and ±3 standard deviations, corresponding to 95% and 99.8% confidence intervals</w:t>
      </w:r>
      <w:r w:rsidR="003614CB" w:rsidRPr="002C21B8">
        <w:t>,</w:t>
      </w:r>
      <w:r w:rsidRPr="002C21B8">
        <w:t xml:space="preserve"> respectively. Adjustment for overdispersion was applied to account for extra-binomial variation </w:t>
      </w:r>
      <w:r w:rsidRPr="002C21B8">
        <w:fldChar w:fldCharType="begin"/>
      </w:r>
      <w:r w:rsidRPr="002C21B8">
        <w:instrText xml:space="preserve"> ADDIN EN.CITE &lt;EndNote&gt;&lt;Cite&gt;&lt;Author&gt;Spiegelhalter&lt;/Author&gt;&lt;Year&gt;2002&lt;/Year&gt;&lt;RecNum&gt;124900&lt;/RecNum&gt;&lt;DisplayText&gt;(Spiegelhalter, 2002)&lt;/DisplayText&gt;&lt;record&gt;&lt;rec-number&gt;124900&lt;/rec-number&gt;&lt;foreign-keys&gt;&lt;key app="EN" db-id="xpefzwa5hf9dt2ea9fax95x7xvxz90v09dtf" timestamp="1748858942"&gt;124900&lt;/key&gt;&lt;/foreign-keys&gt;&lt;ref-type name="Journal Article"&gt;17&lt;/ref-type&gt;&lt;contributors&gt;&lt;authors&gt;&lt;author&gt;Spiegelhalter, D&lt;/author&gt;&lt;/authors&gt;&lt;/contributors&gt;&lt;titles&gt;&lt;title&gt;Funnel plots for institutional comparison&lt;/title&gt;&lt;secondary-title&gt;Quality and Safety in Health Care&lt;/secondary-title&gt;&lt;/titles&gt;&lt;periodical&gt;&lt;full-title&gt;Quality and Safety in Health Care&lt;/full-title&gt;&lt;/periodical&gt;&lt;pages&gt;390-391&lt;/pages&gt;&lt;volume&gt;11&lt;/volume&gt;&lt;number&gt;4&lt;/number&gt;&lt;dates&gt;&lt;year&gt;2002&lt;/year&gt;&lt;/dates&gt;&lt;isbn&gt;1475-3898&lt;/isbn&gt;&lt;urls&gt;&lt;/urls&gt;&lt;/record&gt;&lt;/Cite&gt;&lt;/EndNote&gt;</w:instrText>
      </w:r>
      <w:r w:rsidRPr="002C21B8">
        <w:fldChar w:fldCharType="separate"/>
      </w:r>
      <w:r w:rsidRPr="002C21B8">
        <w:t>(Spiegelhalter, 2002)</w:t>
      </w:r>
      <w:r w:rsidRPr="002C21B8">
        <w:fldChar w:fldCharType="end"/>
      </w:r>
      <w:r w:rsidRPr="002C21B8">
        <w:t>.</w:t>
      </w:r>
    </w:p>
    <w:p w14:paraId="7D83183B" w14:textId="77777777" w:rsidR="00DD2657" w:rsidRPr="002C21B8" w:rsidRDefault="00DD2657" w:rsidP="00EE2A09">
      <w:pPr>
        <w:spacing w:before="240" w:after="0"/>
        <w:rPr>
          <w:b/>
          <w:bCs/>
          <w:i/>
          <w:iCs/>
        </w:rPr>
      </w:pPr>
      <w:r w:rsidRPr="002C21B8">
        <w:rPr>
          <w:b/>
          <w:bCs/>
          <w:i/>
          <w:iCs/>
        </w:rPr>
        <w:t>Health and cost implications</w:t>
      </w:r>
    </w:p>
    <w:p w14:paraId="318E8941" w14:textId="6F1E2889" w:rsidR="00464401" w:rsidRPr="002C21B8" w:rsidRDefault="00464401" w:rsidP="00464401">
      <w:r w:rsidRPr="002C21B8">
        <w:t xml:space="preserve">A deterministic budget impact and cost-effectiveness model was developed to estimate the consequences of patients eligible for tolvaptan not </w:t>
      </w:r>
      <w:r w:rsidR="003614CB" w:rsidRPr="002C21B8">
        <w:t xml:space="preserve">being </w:t>
      </w:r>
      <w:r w:rsidRPr="002C21B8">
        <w:t>initiated and patients initiated on tolvaptan who were not eligible</w:t>
      </w:r>
      <w:r w:rsidR="005E510E" w:rsidRPr="002C21B8">
        <w:t>.</w:t>
      </w:r>
      <w:r w:rsidR="003614CB" w:rsidRPr="002C21B8">
        <w:t xml:space="preserve"> </w:t>
      </w:r>
      <w:r w:rsidR="005E510E" w:rsidRPr="002C21B8">
        <w:t>B</w:t>
      </w:r>
      <w:r w:rsidR="003614CB" w:rsidRPr="002C21B8">
        <w:t>oth</w:t>
      </w:r>
      <w:r w:rsidR="005E510E" w:rsidRPr="002C21B8">
        <w:t xml:space="preserve"> were assessed</w:t>
      </w:r>
      <w:r w:rsidR="003614CB" w:rsidRPr="002C21B8">
        <w:t xml:space="preserve"> </w:t>
      </w:r>
      <w:r w:rsidRPr="002C21B8">
        <w:t xml:space="preserve">based on </w:t>
      </w:r>
      <w:r w:rsidR="003614CB" w:rsidRPr="002C21B8">
        <w:t xml:space="preserve">the </w:t>
      </w:r>
      <w:r w:rsidRPr="002C21B8">
        <w:t xml:space="preserve">recorded eligibility criteria in RaDaR. This was </w:t>
      </w:r>
      <w:r w:rsidR="005E510E" w:rsidRPr="002C21B8">
        <w:t>undertaken in</w:t>
      </w:r>
      <w:r w:rsidRPr="002C21B8">
        <w:t xml:space="preserve"> accordance with the Principles of Good Practice for Budget Impact Analysis Report by the International Society for Pharmacoeconomics and Outcomes Research (ISPOR) </w:t>
      </w:r>
      <w:r w:rsidRPr="002C21B8">
        <w:fldChar w:fldCharType="begin"/>
      </w:r>
      <w:r w:rsidRPr="002C21B8">
        <w:instrText xml:space="preserve"> ADDIN EN.CITE &lt;EndNote&gt;&lt;Cite&gt;&lt;Author&gt;Sullivan&lt;/Author&gt;&lt;Year&gt;2014&lt;/Year&gt;&lt;RecNum&gt;125055&lt;/RecNum&gt;&lt;DisplayText&gt;(Sullivan&lt;style face="italic"&gt; et al.&lt;/style&gt;, 2014)&lt;/DisplayText&gt;&lt;record&gt;&lt;rec-number&gt;125055&lt;/rec-number&gt;&lt;foreign-keys&gt;&lt;key app="EN" db-id="xpefzwa5hf9dt2ea9fax95x7xvxz90v09dtf" timestamp="1761322983"&gt;125055&lt;/key&gt;&lt;/foreign-keys&gt;&lt;ref-type name="Journal Article"&gt;17&lt;/ref-type&gt;&lt;contributors&gt;&lt;authors&gt;&lt;author&gt;Sullivan, Sean D&lt;/author&gt;&lt;author&gt;Mauskopf, Josephine A&lt;/author&gt;&lt;author&gt;Augustovski, Federico&lt;/author&gt;&lt;author&gt;Caro, J Jaime&lt;/author&gt;&lt;author&gt;Lee, Karen M&lt;/author&gt;&lt;author&gt;Minchin, Mark&lt;/author&gt;&lt;author&gt;Orlewska, Ewa&lt;/author&gt;&lt;author&gt;Penna, Pete&lt;/author&gt;&lt;author&gt;Barrios, Jose-Manuel Rodriguez&lt;/author&gt;&lt;author&gt;Shau, Wen-Yi&lt;/author&gt;&lt;/authors&gt;&lt;/contributors&gt;&lt;titles&gt;&lt;title&gt;Budget impact analysis—principles of good practice: report of the ISPOR 2012 Budget Impact Analysis Good Practice II Task Force&lt;/title&gt;&lt;secondary-title&gt;Value in health&lt;/secondary-title&gt;&lt;/titles&gt;&lt;periodical&gt;&lt;full-title&gt;Value in Health&lt;/full-title&gt;&lt;/periodical&gt;&lt;pages&gt;5-14&lt;/pages&gt;&lt;volume&gt;17&lt;/volume&gt;&lt;number&gt;1&lt;/number&gt;&lt;dates&gt;&lt;year&gt;2014&lt;/year&gt;&lt;/dates&gt;&lt;isbn&gt;1098-3015&lt;/isbn&gt;&lt;urls&gt;&lt;/urls&gt;&lt;/record&gt;&lt;/Cite&gt;&lt;/EndNote&gt;</w:instrText>
      </w:r>
      <w:r w:rsidRPr="002C21B8">
        <w:fldChar w:fldCharType="separate"/>
      </w:r>
      <w:r w:rsidRPr="002C21B8">
        <w:t>(Sullivan</w:t>
      </w:r>
      <w:r w:rsidRPr="002C21B8">
        <w:rPr>
          <w:i/>
        </w:rPr>
        <w:t xml:space="preserve"> et al.</w:t>
      </w:r>
      <w:r w:rsidRPr="002C21B8">
        <w:t>, 2014)</w:t>
      </w:r>
      <w:r w:rsidRPr="002C21B8">
        <w:fldChar w:fldCharType="end"/>
      </w:r>
      <w:r w:rsidRPr="002C21B8">
        <w:t>. Budget impact calculations incorporated estimates from the analysis</w:t>
      </w:r>
      <w:r w:rsidR="00F72EC2" w:rsidRPr="002C21B8">
        <w:t xml:space="preserve"> of RaDaR in the earlier components of the study</w:t>
      </w:r>
      <w:r w:rsidRPr="002C21B8">
        <w:t xml:space="preserve">, published tolvaptan uptake rates and </w:t>
      </w:r>
      <w:r w:rsidR="001E116D" w:rsidRPr="002C21B8">
        <w:t xml:space="preserve">the </w:t>
      </w:r>
      <w:r w:rsidRPr="002C21B8">
        <w:t>median treatment duration derived from two comparable United States cohorts</w:t>
      </w:r>
      <w:r w:rsidR="001E116D" w:rsidRPr="002C21B8">
        <w:t xml:space="preserve"> </w:t>
      </w:r>
      <w:r w:rsidR="001E116D" w:rsidRPr="002C21B8">
        <w:fldChar w:fldCharType="begin">
          <w:fldData xml:space="preserve">PEVuZE5vdGU+PENpdGU+PEF1dGhvcj5SYW88L0F1dGhvcj48WWVhcj4yMDI1PC9ZZWFyPjxSZWNO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</w:fldData>
        </w:fldChar>
      </w:r>
      <w:r w:rsidR="001E116D" w:rsidRPr="002C21B8">
        <w:instrText xml:space="preserve"> ADDIN EN.CITE </w:instrText>
      </w:r>
      <w:r w:rsidR="001E116D" w:rsidRPr="002C21B8">
        <w:fldChar w:fldCharType="begin">
          <w:fldData xml:space="preserve">PEVuZE5vdGU+PENpdGU+PEF1dGhvcj5SYW88L0F1dGhvcj48WWVhcj4yMDI1PC9ZZWFyPjxSZWNO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</w:fldData>
        </w:fldChar>
      </w:r>
      <w:r w:rsidR="001E116D" w:rsidRPr="002C21B8">
        <w:instrText xml:space="preserve"> ADDIN EN.CITE.DATA </w:instrText>
      </w:r>
      <w:r w:rsidR="001E116D" w:rsidRPr="002C21B8">
        <w:fldChar w:fldCharType="end"/>
      </w:r>
      <w:r w:rsidR="001E116D" w:rsidRPr="002C21B8">
        <w:fldChar w:fldCharType="separate"/>
      </w:r>
      <w:r w:rsidR="001E116D" w:rsidRPr="002C21B8">
        <w:t>(Perrone</w:t>
      </w:r>
      <w:r w:rsidR="001E116D" w:rsidRPr="002C21B8">
        <w:rPr>
          <w:i/>
        </w:rPr>
        <w:t xml:space="preserve"> et al.</w:t>
      </w:r>
      <w:r w:rsidR="001E116D" w:rsidRPr="002C21B8">
        <w:t>, 2025; Rao</w:t>
      </w:r>
      <w:r w:rsidR="001E116D" w:rsidRPr="002C21B8">
        <w:rPr>
          <w:i/>
        </w:rPr>
        <w:t xml:space="preserve"> et al.</w:t>
      </w:r>
      <w:r w:rsidR="001E116D" w:rsidRPr="002C21B8">
        <w:t>, 2025)</w:t>
      </w:r>
      <w:r w:rsidR="001E116D" w:rsidRPr="002C21B8">
        <w:fldChar w:fldCharType="end"/>
      </w:r>
      <w:r w:rsidR="001E116D" w:rsidRPr="002C21B8">
        <w:t>. There was no</w:t>
      </w:r>
      <w:r w:rsidRPr="002C21B8">
        <w:t xml:space="preserve"> UK data</w:t>
      </w:r>
      <w:r w:rsidR="001E116D" w:rsidRPr="002C21B8">
        <w:t xml:space="preserve"> available to inform the median treatment duration</w:t>
      </w:r>
      <w:r w:rsidR="00921417" w:rsidRPr="002C21B8">
        <w:t>,</w:t>
      </w:r>
      <w:r w:rsidR="001E116D" w:rsidRPr="002C21B8">
        <w:t xml:space="preserve"> but as shown in </w:t>
      </w:r>
      <w:hyperlink w:anchor="_ADPKD_study_characteristics" w:history="1">
        <w:r w:rsidR="00C83686" w:rsidRPr="002C21B8">
          <w:rPr>
            <w:rStyle w:val="Hyperlink"/>
          </w:rPr>
          <w:t>Appendix 6</w:t>
        </w:r>
      </w:hyperlink>
      <w:r w:rsidR="001E116D" w:rsidRPr="002C21B8">
        <w:t xml:space="preserve">, the </w:t>
      </w:r>
      <w:r w:rsidR="00C46042" w:rsidRPr="002C21B8">
        <w:t>characteristics of these cohorts were similar to the ADPKD cohort in RaDaR</w:t>
      </w:r>
      <w:r w:rsidRPr="002C21B8">
        <w:t xml:space="preserve">. To account for patient preferences, an uptake of 30.5% was assumed based on the findings of </w:t>
      </w:r>
      <w:r w:rsidRPr="002C21B8">
        <w:fldChar w:fldCharType="begin"/>
      </w:r>
      <w:r w:rsidR="004D2330" w:rsidRPr="002C21B8">
        <w:instrText xml:space="preserve"> ADDIN EN.CITE &lt;EndNote&gt;&lt;Cite AuthorYear="1"&gt;&lt;Author&gt;Calvaruso&lt;/Author&gt;&lt;Year&gt;2023&lt;/Year&gt;&lt;RecNum&gt;124902&lt;/RecNum&gt;&lt;DisplayText&gt;Calvaruso&lt;style face="italic"&gt; et al.&lt;/style&gt; (2023)&lt;/DisplayText&gt;&lt;record&gt;&lt;rec-number&gt;124902&lt;/rec-number&gt;&lt;foreign-keys&gt;&lt;key app="EN" db-id="xpefzwa5hf9dt2ea9fax95x7xvxz90v09dtf" timestamp="1748879779"&gt;124902&lt;/key&gt;&lt;/foreign-keys&gt;&lt;ref-type name="Journal Article"&gt;17&lt;/ref-type&gt;&lt;contributors&gt;&lt;authors&gt;&lt;author&gt;Calvaruso, L.&lt;/author&gt;&lt;author&gt;Yau, K.&lt;/author&gt;&lt;author&gt;Akbari, P.&lt;/author&gt;&lt;author&gt;Nasri, F.&lt;/author&gt;&lt;author&gt;Khowaja, S.&lt;/author&gt;&lt;author&gt;Wang, B.&lt;/author&gt;&lt;author&gt;Haghighi, A.&lt;/author&gt;&lt;author&gt;Khalili, K.&lt;/author&gt;&lt;author&gt;Pei, Y.&lt;/author&gt;&lt;/authors&gt;&lt;/contributors&gt;&lt;titles&gt;&lt;title&gt;Real-life use of tolvaptan in ADPKD: a retrospective analysis of a large Canadian cohort&lt;/title&gt;&lt;secondary-title&gt;Scientific Reports&lt;/secondary-title&gt;&lt;/titles&gt;&lt;periodical&gt;&lt;full-title&gt;Scientific reports&lt;/full-title&gt;&lt;/periodical&gt;&lt;pages&gt;22257&lt;/pages&gt;&lt;volume&gt;13&lt;/volume&gt;&lt;number&gt;1&lt;/number&gt;&lt;dates&gt;&lt;year&gt;2023&lt;/year&gt;&lt;pub-dates&gt;&lt;date&gt;2023/12/14&lt;/date&gt;&lt;/pub-dates&gt;&lt;/dates&gt;&lt;isbn&gt;2045-2322&lt;/isbn&gt;&lt;urls&gt;&lt;related-urls&gt;&lt;url&gt;https://doi.org/10.1038/s41598-023-48638-9&lt;/url&gt;&lt;/related-urls&gt;&lt;/urls&gt;&lt;electronic-resource-num&gt;10.1038/s41598-023-48638-9&lt;/electronic-resource-num&gt;&lt;/record&gt;&lt;/Cite&gt;&lt;/EndNote&gt;</w:instrText>
      </w:r>
      <w:r w:rsidRPr="002C21B8">
        <w:fldChar w:fldCharType="separate"/>
      </w:r>
      <w:r w:rsidR="004D2330" w:rsidRPr="002C21B8">
        <w:rPr>
          <w:noProof/>
        </w:rPr>
        <w:t>Calvaruso</w:t>
      </w:r>
      <w:r w:rsidR="004D2330" w:rsidRPr="002C21B8">
        <w:rPr>
          <w:i/>
          <w:noProof/>
        </w:rPr>
        <w:t xml:space="preserve"> et al.</w:t>
      </w:r>
      <w:r w:rsidR="004D2330" w:rsidRPr="002C21B8">
        <w:rPr>
          <w:noProof/>
        </w:rPr>
        <w:t xml:space="preserve"> (2023)</w:t>
      </w:r>
      <w:r w:rsidRPr="002C21B8">
        <w:fldChar w:fldCharType="end"/>
      </w:r>
      <w:r w:rsidRPr="002C21B8">
        <w:t xml:space="preserve">. Five medication pricing scenarios were applied based on tolvaptan’s list price </w:t>
      </w:r>
      <w:r w:rsidR="008F5C53" w:rsidRPr="002C21B8">
        <w:fldChar w:fldCharType="begin"/>
      </w:r>
      <w:r w:rsidR="00590E88" w:rsidRPr="002C21B8">
        <w:instrText xml:space="preserve"> ADDIN EN.CITE &lt;EndNote&gt;&lt;Cite&gt;&lt;Author&gt;National Institute for Health and Care Excellence&lt;/Author&gt;&lt;Year&gt;2015&lt;/Year&gt;&lt;RecNum&gt;4967&lt;/RecNum&gt;&lt;DisplayText&gt;(National Institute for Health and Care Excellence, 2015a)&lt;/DisplayText&gt;&lt;record&gt;&lt;rec-number&gt;4967&lt;/rec-number&gt;&lt;foreign-keys&gt;&lt;key app="EN" db-id="xpefzwa5hf9dt2ea9fax95x7xvxz90v09dtf" timestamp="1699647214"&gt;4967&lt;/key&gt;&lt;/foreign-keys&gt;&lt;ref-type name="Web Page"&gt;12&lt;/ref-type&gt;&lt;contributors&gt;&lt;authors&gt;&lt;author&gt;National Institute for Health and Care Excellence,&lt;/author&gt;&lt;/authors&gt;&lt;/contributors&gt;&lt;titles&gt;&lt;title&gt;Medicines optimisation: the safe and effective use of medicines to enable the best possible outcomes&lt;/title&gt;&lt;/titles&gt;&lt;number&gt;26/04/2026)&lt;/number&gt;&lt;dates&gt;&lt;year&gt;2015&lt;/year&gt;&lt;/dates&gt;&lt;urls&gt;&lt;related-urls&gt;&lt;url&gt;www.nice.org.uk/guidance/ng5&lt;/url&gt;&lt;/related-urls&gt;&lt;/urls&gt;&lt;/record&gt;&lt;/Cite&gt;&lt;/EndNote&gt;</w:instrText>
      </w:r>
      <w:r w:rsidR="008F5C53" w:rsidRPr="002C21B8">
        <w:fldChar w:fldCharType="separate"/>
      </w:r>
      <w:r w:rsidR="00590E88" w:rsidRPr="002C21B8">
        <w:rPr>
          <w:noProof/>
        </w:rPr>
        <w:t>(National Institute for Health and Care Excellence, 2015a)</w:t>
      </w:r>
      <w:r w:rsidR="008F5C53" w:rsidRPr="002C21B8">
        <w:fldChar w:fldCharType="end"/>
      </w:r>
      <w:r w:rsidRPr="002C21B8">
        <w:t xml:space="preserve"> and hypothetical discounts that may be available through the patient access scheme (23% </w:t>
      </w:r>
      <w:r w:rsidRPr="002C21B8">
        <w:fldChar w:fldCharType="begin"/>
      </w:r>
      <w:r w:rsidR="00D27FD1" w:rsidRPr="002C21B8">
        <w:instrText xml:space="preserve"> ADDIN EN.CITE &lt;EndNote&gt;&lt;Cite&gt;&lt;Author&gt;Dolan&lt;/Author&gt;&lt;Year&gt;2019&lt;/Year&gt;&lt;RecNum&gt;125157&lt;/RecNum&gt;&lt;DisplayText&gt;(Dolan, 2019)&lt;/DisplayText&gt;&lt;record&gt;&lt;rec-number&gt;125157&lt;/rec-number&gt;&lt;foreign-keys&gt;&lt;key app="EN" db-id="xpefzwa5hf9dt2ea9fax95x7xvxz90v09dtf" timestamp="1766576210"&gt;125157&lt;/key&gt;&lt;/foreign-keys&gt;&lt;ref-type name="Web Page"&gt;12&lt;/ref-type&gt;&lt;contributors&gt;&lt;authors&gt;&lt;author&gt;Dolan, Rachel&lt;/author&gt;&lt;/authors&gt;&lt;/contributors&gt;&lt;titles&gt;&lt;title&gt;Understanding the Medicaid prescription drug rebate program&lt;/title&gt;&lt;/titles&gt;&lt;number&gt;26/04/2026)&lt;/number&gt;&lt;dates&gt;&lt;year&gt;2019&lt;/year&gt;&lt;/dates&gt;&lt;urls&gt;&lt;related-urls&gt;&lt;url&gt;https://www.kff.org/wp-content/uploads/2019/11/Understanding-the-Medicaid-Prescription-Drug-Rebate-Program-updated-3.2021.pdf&lt;/url&gt;&lt;/related-urls&gt;&lt;/urls&gt;&lt;/record&gt;&lt;/Cite&gt;&lt;/EndNote&gt;</w:instrText>
      </w:r>
      <w:r w:rsidRPr="002C21B8">
        <w:fldChar w:fldCharType="separate"/>
      </w:r>
      <w:r w:rsidRPr="002C21B8">
        <w:rPr>
          <w:noProof/>
        </w:rPr>
        <w:t>(Dolan, 2019)</w:t>
      </w:r>
      <w:r w:rsidRPr="002C21B8">
        <w:fldChar w:fldCharType="end"/>
      </w:r>
      <w:r w:rsidRPr="002C21B8">
        <w:t xml:space="preserve">, 60% </w:t>
      </w:r>
      <w:r w:rsidRPr="002C21B8">
        <w:fldChar w:fldCharType="begin"/>
      </w:r>
      <w:r w:rsidR="00502953" w:rsidRPr="002C21B8">
        <w:instrText xml:space="preserve"> ADDIN EN.CITE &lt;EndNote&gt;&lt;Cite&gt;&lt;Author&gt;UK Parliament&lt;/Author&gt;&lt;Year&gt;2023&lt;/Year&gt;&lt;RecNum&gt;124998&lt;/RecNum&gt;&lt;DisplayText&gt;(UK Parliament, 2023)&lt;/DisplayText&gt;&lt;record&gt;&lt;rec-number&gt;124998&lt;/rec-number&gt;&lt;foreign-keys&gt;&lt;key app="EN" db-id="xpefzwa5hf9dt2ea9fax95x7xvxz90v09dtf" timestamp="1756968735"&gt;124998&lt;/key&gt;&lt;/foreign-keys&gt;&lt;ref-type name="Web Page"&gt;12&lt;/ref-type&gt;&lt;contributors&gt;&lt;authors&gt;&lt;author&gt;UK Parliament,&lt;/author&gt;&lt;/authors&gt;&lt;/contributors&gt;&lt;titles&gt;&lt;title&gt;Branded Medicines Voluntary Scheme and the Life Sciences Vision&lt;/title&gt;&lt;/titles&gt;&lt;number&gt;10/08/2025)&lt;/number&gt;&lt;dates&gt;&lt;year&gt;2023&lt;/year&gt;&lt;/dates&gt;&lt;urls&gt;&lt;related-urls&gt;&lt;url&gt;https://hansard.parliament.uk/commons/2023-05-03/debates/637A370B-DDA4-4946-9550-532B4E1B69A5/BrandedMedicinesVoluntarySchemeAndTheLifeSciencesVision&lt;/url&gt;&lt;/related-urls&gt;&lt;/urls&gt;&lt;access-date&gt;4th September 2025&lt;/access-date&gt;&lt;/record&gt;&lt;/Cite&gt;&lt;/EndNote&gt;</w:instrText>
      </w:r>
      <w:r w:rsidRPr="002C21B8">
        <w:fldChar w:fldCharType="separate"/>
      </w:r>
      <w:r w:rsidRPr="002C21B8">
        <w:rPr>
          <w:noProof/>
        </w:rPr>
        <w:t>(UK Parliament, 2023)</w:t>
      </w:r>
      <w:r w:rsidRPr="002C21B8">
        <w:fldChar w:fldCharType="end"/>
      </w:r>
      <w:r w:rsidRPr="002C21B8">
        <w:t xml:space="preserve">, 70% </w:t>
      </w:r>
      <w:r w:rsidRPr="002C21B8">
        <w:fldChar w:fldCharType="begin"/>
      </w:r>
      <w:r w:rsidRPr="002C21B8">
        <w:instrText xml:space="preserve"> ADDIN EN.CITE &lt;EndNote&gt;&lt;Cite&gt;&lt;Author&gt;British Generic Manufacturers Association&lt;/Author&gt;&lt;Year&gt;2020&lt;/Year&gt;&lt;RecNum&gt;125023&lt;/RecNum&gt;&lt;DisplayText&gt;(British Generic Manufacturers Association, 2020)&lt;/DisplayText&gt;&lt;record&gt;&lt;rec-number&gt;125023&lt;/rec-number&gt;&lt;foreign-keys&gt;&lt;key app="EN" db-id="xpefzwa5hf9dt2ea9fax95x7xvxz90v09dtf" timestamp="1757348685"&gt;125023&lt;/key&gt;&lt;/foreign-keys&gt;&lt;ref-type name="Web Page"&gt;12&lt;/ref-type&gt;&lt;contributors&gt;&lt;authors&gt;&lt;author&gt;British Generic Manufacturers Association,&lt;/author&gt;&lt;/authors&gt;&lt;/contributors&gt;&lt;titles&gt;&lt;title&gt;UK Generic medicines market functioning well and delivering significant savings&lt;/title&gt;&lt;/titles&gt;&lt;number&gt;08/09/2025)&lt;/number&gt;&lt;dates&gt;&lt;year&gt;2020&lt;/year&gt;&lt;/dates&gt;&lt;urls&gt;&lt;related-urls&gt;&lt;url&gt;https://www.medicinesuk.com/view-news/uk-generic-medicines-market-functioning-well-and-delivering-significant-savings-oxera.php&lt;/url&gt;&lt;/related-urls&gt;&lt;/urls&gt;&lt;/record&gt;&lt;/Cite&gt;&lt;/EndNote&gt;</w:instrText>
      </w:r>
      <w:r w:rsidRPr="002C21B8">
        <w:fldChar w:fldCharType="separate"/>
      </w:r>
      <w:r w:rsidRPr="002C21B8">
        <w:t>(British Generic Manufacturers Association, 2020)</w:t>
      </w:r>
      <w:r w:rsidRPr="002C21B8">
        <w:fldChar w:fldCharType="end"/>
      </w:r>
      <w:r w:rsidRPr="002C21B8">
        <w:t xml:space="preserve"> and 90% </w:t>
      </w:r>
      <w:r w:rsidRPr="002C21B8">
        <w:fldChar w:fldCharType="begin"/>
      </w:r>
      <w:r w:rsidRPr="002C21B8">
        <w:instrText xml:space="preserve"> ADDIN EN.CITE &lt;EndNote&gt;&lt;Cite&gt;&lt;Author&gt;British Generic Manufacturers Association&lt;/Author&gt;&lt;Year&gt;2020&lt;/Year&gt;&lt;RecNum&gt;125023&lt;/RecNum&gt;&lt;DisplayText&gt;(British Generic Manufacturers Association, 2020)&lt;/DisplayText&gt;&lt;record&gt;&lt;rec-number&gt;125023&lt;/rec-number&gt;&lt;foreign-keys&gt;&lt;key app="EN" db-id="xpefzwa5hf9dt2ea9fax95x7xvxz90v09dtf" timestamp="1757348685"&gt;125023&lt;/key&gt;&lt;/foreign-keys&gt;&lt;ref-type name="Web Page"&gt;12&lt;/ref-type&gt;&lt;contributors&gt;&lt;authors&gt;&lt;author&gt;British Generic Manufacturers Association,&lt;/author&gt;&lt;/authors&gt;&lt;/contributors&gt;&lt;titles&gt;&lt;title&gt;UK Generic medicines market functioning well and delivering significant savings&lt;/title&gt;&lt;/titles&gt;&lt;number&gt;08/09/2025)&lt;/number&gt;&lt;dates&gt;&lt;year&gt;2020&lt;/year&gt;&lt;/dates&gt;&lt;urls&gt;&lt;related-urls&gt;&lt;url&gt;https://www.medicinesuk.com/view-news/uk-generic-medicines-market-functioning-well-and-delivering-significant-savings-oxera.php&lt;/url&gt;&lt;/related-urls&gt;&lt;/urls&gt;&lt;/record&gt;&lt;/Cite&gt;&lt;/EndNote&gt;</w:instrText>
      </w:r>
      <w:r w:rsidRPr="002C21B8">
        <w:fldChar w:fldCharType="separate"/>
      </w:r>
      <w:r w:rsidRPr="002C21B8">
        <w:t>(British Generic Manufacturers Association, 2020)</w:t>
      </w:r>
      <w:r w:rsidRPr="002C21B8">
        <w:fldChar w:fldCharType="end"/>
      </w:r>
      <w:r w:rsidRPr="002C21B8">
        <w:t>).</w:t>
      </w:r>
    </w:p>
    <w:p w14:paraId="443459D4" w14:textId="3496FE3F" w:rsidR="00464401" w:rsidRPr="002C21B8" w:rsidRDefault="00464401" w:rsidP="00464401">
      <w:r w:rsidRPr="002C21B8">
        <w:t xml:space="preserve">A cohort-based simulation projected annual eGFR decline over 10 years using baseline eGFR from the study with published estimates of </w:t>
      </w:r>
      <w:r w:rsidR="001B3620" w:rsidRPr="002C21B8">
        <w:t xml:space="preserve">the </w:t>
      </w:r>
      <w:r w:rsidRPr="002C21B8">
        <w:t xml:space="preserve">mean and standard deviation of annual eGFR decline in ADPKD patients </w:t>
      </w:r>
      <w:r w:rsidRPr="002C21B8">
        <w:fldChar w:fldCharType="begin"/>
      </w:r>
      <w:r w:rsidR="00046586" w:rsidRPr="002C21B8">
        <w:instrText xml:space="preserve"> ADDIN EN.CITE &lt;EndNote&gt;&lt;Cite&gt;&lt;Author&gt;Fitzmaurice&lt;/Author&gt;&lt;Year&gt;2012&lt;/Year&gt;&lt;RecNum&gt;125078&lt;/RecNum&gt;&lt;DisplayText&gt;(Fitzmaurice, Laird and Ware, 2012)&lt;/DisplayText&gt;&lt;record&gt;&lt;rec-number&gt;125078&lt;/rec-number&gt;&lt;foreign-keys&gt;&lt;key app="EN" db-id="xpefzwa5hf9dt2ea9fax95x7xvxz90v09dtf" timestamp="1763492850"&gt;125078&lt;/key&gt;&lt;/foreign-keys&gt;&lt;ref-type name="Book"&gt;6&lt;/ref-type&gt;&lt;contributors&gt;&lt;authors&gt;&lt;author&gt;Fitzmaurice, Garrett M&lt;/author&gt;&lt;author&gt;Laird, Nan M&lt;/author&gt;&lt;author&gt;Ware, James H&lt;/author&gt;&lt;/authors&gt;&lt;/contributors&gt;&lt;titles&gt;&lt;title&gt;Applied longitudinal analysis&lt;/title&gt;&lt;/titles&gt;&lt;section&gt;1-752&lt;/section&gt;&lt;dates&gt;&lt;year&gt;2012&lt;/year&gt;&lt;/dates&gt;&lt;pub-location&gt;Hoboken, New Jersey, USA&lt;/pub-location&gt;&lt;publisher&gt;John Wiley &amp;amp; Sons&lt;/publisher&gt;&lt;isbn&gt;1118551796&lt;/isbn&gt;&lt;urls&gt;&lt;/urls&gt;&lt;/record&gt;&lt;/Cite&gt;&lt;/EndNote&gt;</w:instrText>
      </w:r>
      <w:r w:rsidRPr="002C21B8">
        <w:fldChar w:fldCharType="separate"/>
      </w:r>
      <w:r w:rsidRPr="002C21B8">
        <w:rPr>
          <w:noProof/>
        </w:rPr>
        <w:t>(Fitzmaurice, Laird and Ware, 2012)</w:t>
      </w:r>
      <w:r w:rsidRPr="002C21B8">
        <w:fldChar w:fldCharType="end"/>
      </w:r>
      <w:r w:rsidRPr="002C21B8">
        <w:t>. Treatment effects were incorporated by adjusting the mean annual decline. For each year, the probability of reaching kidney failure was calculated using a normal approximation of eGFR decline and Z-scores relative to the kidney failure threshold. Expected eGFR trajectories for treated and untreated cohorts were calculated</w:t>
      </w:r>
      <w:r w:rsidR="009B2D18" w:rsidRPr="002C21B8">
        <w:t>,</w:t>
      </w:r>
      <w:r w:rsidRPr="002C21B8">
        <w:t xml:space="preserve"> and cumulative kidney failure-free years were estimated</w:t>
      </w:r>
      <w:r w:rsidR="00921417" w:rsidRPr="002C21B8">
        <w:t xml:space="preserve"> that</w:t>
      </w:r>
      <w:r w:rsidRPr="002C21B8">
        <w:t xml:space="preserve"> account</w:t>
      </w:r>
      <w:r w:rsidR="00921417" w:rsidRPr="002C21B8">
        <w:t>ed</w:t>
      </w:r>
      <w:r w:rsidRPr="002C21B8">
        <w:t xml:space="preserve"> for pre-dialysis death. Gross potential savings from delaying progression to kidney failure were calculated using annual dialysis costs, adjusted for medication, monitoring costs and early discontinuation. Exact 95% confidence intervals for binomial proportions were calculated using the Clopper-Pearson method </w:t>
      </w:r>
      <w:r w:rsidRPr="002C21B8">
        <w:fldChar w:fldCharType="begin"/>
      </w:r>
      <w:r w:rsidR="00331F66" w:rsidRPr="002C21B8">
        <w:instrText xml:space="preserve"> ADDIN EN.CITE &lt;EndNote&gt;&lt;Cite&gt;&lt;Author&gt;Tollefsen&lt;/Author&gt;&lt;Year&gt;2023&lt;/Year&gt;&lt;RecNum&gt;125021&lt;/RecNum&gt;&lt;DisplayText&gt;(Tollefsen, 2023)&lt;/DisplayText&gt;&lt;record&gt;&lt;rec-number&gt;125021&lt;/rec-number&gt;&lt;foreign-keys&gt;&lt;key app="EN" db-id="xpefzwa5hf9dt2ea9fax95x7xvxz90v09dtf" timestamp="1757347532"&gt;125021&lt;/key&gt;&lt;/foreign-keys&gt;&lt;ref-type name="Thesis"&gt;32&lt;/ref-type&gt;&lt;contributors&gt;&lt;authors&gt;&lt;author&gt;Tollefsen, Ylva Sofie&lt;/author&gt;&lt;/authors&gt;&lt;/contributors&gt;&lt;titles&gt;&lt;title&gt;Different Approaches for Calculating the Confidence Intervals for the Binomial Proportion&lt;/title&gt;&lt;/titles&gt;&lt;dates&gt;&lt;year&gt;2023&lt;/year&gt;&lt;/dates&gt;&lt;publisher&gt;Norwegian University of Science and Technology&lt;/publisher&gt;&lt;urls&gt;&lt;/urls&gt;&lt;/record&gt;&lt;/Cite&gt;&lt;/EndNote&gt;</w:instrText>
      </w:r>
      <w:r w:rsidRPr="002C21B8">
        <w:fldChar w:fldCharType="separate"/>
      </w:r>
      <w:r w:rsidRPr="002C21B8">
        <w:rPr>
          <w:noProof/>
        </w:rPr>
        <w:t>(Tollefsen, 2023)</w:t>
      </w:r>
      <w:r w:rsidRPr="002C21B8">
        <w:fldChar w:fldCharType="end"/>
      </w:r>
      <w:r w:rsidRPr="002C21B8">
        <w:t>. Results were expressed as the equivalent number of total hip replacements to aid interpretation.</w:t>
      </w:r>
    </w:p>
    <w:p w14:paraId="2478B6A0" w14:textId="0FA3C57F" w:rsidR="00DD2657" w:rsidRPr="002C21B8" w:rsidRDefault="00DD2657" w:rsidP="00EE2A09">
      <w:pPr>
        <w:spacing w:before="240" w:after="0"/>
        <w:rPr>
          <w:b/>
          <w:bCs/>
          <w:sz w:val="24"/>
          <w:szCs w:val="24"/>
        </w:rPr>
      </w:pPr>
      <w:r w:rsidRPr="002C21B8">
        <w:rPr>
          <w:b/>
          <w:bCs/>
          <w:sz w:val="24"/>
          <w:szCs w:val="24"/>
        </w:rPr>
        <w:t>Statistical Software</w:t>
      </w:r>
    </w:p>
    <w:p w14:paraId="4602E5E7" w14:textId="31F621E4" w:rsidR="00DD2657" w:rsidRPr="002C21B8" w:rsidRDefault="00DD2657" w:rsidP="003374F4">
      <w:r w:rsidRPr="002C21B8">
        <w:t>All statistical analyses</w:t>
      </w:r>
      <w:r w:rsidR="002309B1" w:rsidRPr="002C21B8">
        <w:t xml:space="preserve"> </w:t>
      </w:r>
      <w:r w:rsidRPr="002C21B8">
        <w:t>were conducted in Statistical Analysis System (SAS Institute, 2016, Version 9.4). Funnel and forest plots were generated using Microsoft Excel for Mac (Microsoft Corporation, 2019, Version 16.78.3). Deterministic budget impact</w:t>
      </w:r>
      <w:r w:rsidR="00AF2E68">
        <w:t xml:space="preserve"> analysis incorporating scenario analyses and parameter uncertainty </w:t>
      </w:r>
      <w:r w:rsidRPr="002C21B8">
        <w:t>w</w:t>
      </w:r>
      <w:r w:rsidR="009B2D18" w:rsidRPr="002C21B8">
        <w:t>ere</w:t>
      </w:r>
      <w:r w:rsidR="00272AA0" w:rsidRPr="002C21B8">
        <w:t xml:space="preserve"> also</w:t>
      </w:r>
      <w:r w:rsidRPr="002C21B8">
        <w:t xml:space="preserve"> undertaken </w:t>
      </w:r>
      <w:r w:rsidR="00272AA0" w:rsidRPr="002C21B8">
        <w:t>using Microsoft Excel for Mac (Microsoft Corporation, 2019, Version 16.78.3).</w:t>
      </w:r>
    </w:p>
    <w:p w14:paraId="783A9738" w14:textId="77777777" w:rsidR="00DD2657" w:rsidRPr="002C21B8" w:rsidRDefault="00DD2657" w:rsidP="00EE2A09">
      <w:pPr>
        <w:spacing w:before="240" w:after="0"/>
        <w:rPr>
          <w:b/>
          <w:bCs/>
          <w:sz w:val="24"/>
          <w:szCs w:val="24"/>
        </w:rPr>
      </w:pPr>
      <w:r w:rsidRPr="002C21B8">
        <w:rPr>
          <w:b/>
          <w:bCs/>
          <w:sz w:val="24"/>
          <w:szCs w:val="24"/>
        </w:rPr>
        <w:t>Ethics</w:t>
      </w:r>
    </w:p>
    <w:p w14:paraId="791B6BA4" w14:textId="28B74E9C" w:rsidR="00D1385E" w:rsidRPr="002C21B8" w:rsidRDefault="00DD2657" w:rsidP="00D1385E">
      <w:r w:rsidRPr="002C21B8">
        <w:t>Ethics approval was granted by the Dulwich Research Ethics Committee in March 2024 (REC reference 24/PR/0106).</w:t>
      </w:r>
    </w:p>
    <w:p w14:paraId="6B4CFDB7" w14:textId="77777777" w:rsidR="00DD2657" w:rsidRPr="002C21B8" w:rsidRDefault="00DD2657" w:rsidP="00D068AB">
      <w:pPr>
        <w:spacing w:before="240" w:after="0"/>
        <w:rPr>
          <w:b/>
          <w:bCs/>
          <w:sz w:val="28"/>
          <w:szCs w:val="28"/>
        </w:rPr>
      </w:pPr>
      <w:r w:rsidRPr="002C21B8">
        <w:rPr>
          <w:b/>
          <w:bCs/>
          <w:sz w:val="28"/>
          <w:szCs w:val="28"/>
        </w:rPr>
        <w:t>Results</w:t>
      </w:r>
    </w:p>
    <w:p w14:paraId="03AE4C78" w14:textId="77777777" w:rsidR="00DD2657" w:rsidRPr="002C21B8" w:rsidRDefault="00DD2657" w:rsidP="007E6078">
      <w:pPr>
        <w:spacing w:after="0"/>
        <w:rPr>
          <w:b/>
          <w:bCs/>
          <w:sz w:val="24"/>
          <w:szCs w:val="24"/>
        </w:rPr>
      </w:pPr>
      <w:r w:rsidRPr="002C21B8">
        <w:rPr>
          <w:b/>
          <w:bCs/>
          <w:sz w:val="24"/>
          <w:szCs w:val="24"/>
        </w:rPr>
        <w:t>Cohort characteristics</w:t>
      </w:r>
    </w:p>
    <w:p w14:paraId="33542B00" w14:textId="02648118" w:rsidR="000579F9" w:rsidRPr="002C21B8" w:rsidRDefault="00464401" w:rsidP="00AA2D75">
      <w:bookmarkStart w:id="140" w:name="_Ref225232444"/>
      <w:r w:rsidRPr="002C21B8">
        <w:t>A total of 8,135 patients were in the RaDaR ADPKD cohort from 89 kidney centres. Sequential application of inclusion criteria yielded 3,609 patients with complete laboratory and medication data for analysis from 72 kidney centres (</w:t>
      </w:r>
      <w:r w:rsidRPr="002C21B8">
        <w:fldChar w:fldCharType="begin"/>
      </w:r>
      <w:r w:rsidRPr="002C21B8">
        <w:instrText xml:space="preserve"> REF _Ref225862869 \h </w:instrText>
      </w:r>
      <w:r w:rsidR="00585F6D" w:rsidRPr="002C21B8">
        <w:instrText xml:space="preserve"> \* MERGEFORMAT </w:instrText>
      </w:r>
      <w:r w:rsidRPr="002C21B8">
        <w:fldChar w:fldCharType="separate"/>
      </w:r>
      <w:r w:rsidR="00DB3709" w:rsidRPr="002C21B8">
        <w:t xml:space="preserve">Figure </w:t>
      </w:r>
      <w:r w:rsidR="00DB3709">
        <w:t>9</w:t>
      </w:r>
      <w:r w:rsidRPr="002C21B8">
        <w:fldChar w:fldCharType="end"/>
      </w:r>
      <w:r w:rsidRPr="002C21B8">
        <w:t>). Of the 4,526 excluded patients, the main reasons for exclusion were the absence of live linkage (32%, 1,457/4,526) and the absence of a recorded medication history (49%, 2,225/4,526). Participant exclusions were not evenly distributed but were driven by a small number of high-volume kidney centres accounting for a large proportion of missing data at each stage (</w:t>
      </w:r>
      <w:hyperlink w:anchor="_Data_completeness_of" w:history="1">
        <w:r w:rsidR="00C83686" w:rsidRPr="002C21B8">
          <w:rPr>
            <w:rStyle w:val="Hyperlink"/>
          </w:rPr>
          <w:t>Appendix 6</w:t>
        </w:r>
      </w:hyperlink>
      <w:r w:rsidRPr="002C21B8">
        <w:t>); 17 kidney centres did not have any medication history or live linkage data.</w:t>
      </w:r>
    </w:p>
    <w:p w14:paraId="2F24086B" w14:textId="62E0198E" w:rsidR="00464401" w:rsidRPr="002C21B8" w:rsidRDefault="000579F9" w:rsidP="00BD3D93">
      <w:pPr>
        <w:spacing w:after="0" w:line="240" w:lineRule="auto"/>
        <w:jc w:val="left"/>
      </w:pPr>
      <w:r w:rsidRPr="002C21B8">
        <w:br w:type="page"/>
      </w:r>
    </w:p>
    <w:p w14:paraId="6AD6F4C2" w14:textId="29017BE2" w:rsidR="00DD2657" w:rsidRPr="002C21B8" w:rsidRDefault="00DD2657" w:rsidP="00AA2D75">
      <w:pPr>
        <w:pStyle w:val="Caption"/>
        <w:keepNext w:val="0"/>
        <w:rPr>
          <w:noProof w:val="0"/>
        </w:rPr>
      </w:pPr>
      <w:bookmarkStart w:id="141" w:name="_Ref225862869"/>
      <w:bookmarkStart w:id="142" w:name="_Toc236991767"/>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9</w:t>
      </w:r>
      <w:r w:rsidR="001B725E" w:rsidRPr="002C21B8">
        <w:rPr>
          <w:noProof w:val="0"/>
        </w:rPr>
        <w:fldChar w:fldCharType="end"/>
      </w:r>
      <w:bookmarkEnd w:id="140"/>
      <w:bookmarkEnd w:id="141"/>
      <w:r w:rsidRPr="002C21B8">
        <w:rPr>
          <w:noProof w:val="0"/>
        </w:rPr>
        <w:t>. Participant flow diagram</w:t>
      </w:r>
      <w:bookmarkEnd w:id="142"/>
    </w:p>
    <w:p w14:paraId="1A5A6749" w14:textId="31FFD916" w:rsidR="009579B9" w:rsidRPr="002C21B8" w:rsidRDefault="00AA2D75" w:rsidP="00AA2D75">
      <w:pPr>
        <w:spacing w:line="240" w:lineRule="auto"/>
      </w:pPr>
      <w:r w:rsidRPr="002C21B8">
        <w:rPr>
          <w:noProof/>
        </w:rPr>
        <w:drawing>
          <wp:inline distT="0" distB="0" distL="0" distR="0" wp14:anchorId="3F37DFC8" wp14:editId="5D90DDBC">
            <wp:extent cx="5507665" cy="4007183"/>
            <wp:effectExtent l="0" t="0" r="4445" b="0"/>
            <wp:docPr id="1686836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36968" name=""/>
                    <pic:cNvPicPr/>
                  </pic:nvPicPr>
                  <pic:blipFill>
                    <a:blip r:embed="rId37"/>
                    <a:stretch>
                      <a:fillRect/>
                    </a:stretch>
                  </pic:blipFill>
                  <pic:spPr>
                    <a:xfrm>
                      <a:off x="0" y="0"/>
                      <a:ext cx="5516262" cy="4013438"/>
                    </a:xfrm>
                    <a:prstGeom prst="rect">
                      <a:avLst/>
                    </a:prstGeom>
                  </pic:spPr>
                </pic:pic>
              </a:graphicData>
            </a:graphic>
          </wp:inline>
        </w:drawing>
      </w:r>
    </w:p>
    <w:p w14:paraId="5A34442D" w14:textId="77777777" w:rsidR="00AA2D75" w:rsidRPr="002C21B8" w:rsidRDefault="00AA2D75" w:rsidP="00AA2D75">
      <w:pPr>
        <w:spacing w:line="240" w:lineRule="auto"/>
      </w:pPr>
    </w:p>
    <w:p w14:paraId="163947B2" w14:textId="4F51BAE8" w:rsidR="002043C6" w:rsidRPr="002C21B8" w:rsidRDefault="00DD2657" w:rsidP="002043C6">
      <w:pPr>
        <w:rPr>
          <w:noProof/>
        </w:rPr>
      </w:pPr>
      <w:r w:rsidRPr="002C21B8">
        <w:t xml:space="preserve">The mean number of patients per kidney centre was 50 (range 1 to 322). 51% female and 78% </w:t>
      </w:r>
      <w:r w:rsidR="00A2423C" w:rsidRPr="002C21B8">
        <w:t xml:space="preserve">were of </w:t>
      </w:r>
      <w:r w:rsidRPr="002C21B8">
        <w:t>white ethnicity (</w:t>
      </w:r>
      <w:r w:rsidRPr="002C21B8">
        <w:fldChar w:fldCharType="begin"/>
      </w:r>
      <w:r w:rsidRPr="002C21B8">
        <w:instrText xml:space="preserve"> REF _Ref220071691 \h  \* MERGEFORMAT </w:instrText>
      </w:r>
      <w:r w:rsidRPr="002C21B8">
        <w:fldChar w:fldCharType="separate"/>
      </w:r>
      <w:r w:rsidR="00DB3709" w:rsidRPr="002C21B8">
        <w:t>Table</w:t>
      </w:r>
      <w:r w:rsidR="00DB3709" w:rsidRPr="002C21B8">
        <w:rPr>
          <w:noProof/>
        </w:rPr>
        <w:t xml:space="preserve"> </w:t>
      </w:r>
      <w:r w:rsidR="00DB3709">
        <w:rPr>
          <w:noProof/>
        </w:rPr>
        <w:t>11</w:t>
      </w:r>
      <w:r w:rsidRPr="002C21B8">
        <w:fldChar w:fldCharType="end"/>
      </w:r>
      <w:r w:rsidRPr="002C21B8">
        <w:t>).</w:t>
      </w:r>
      <w:bookmarkStart w:id="143" w:name="_Ref220071691"/>
      <w:bookmarkStart w:id="144" w:name="_Ref220071687"/>
    </w:p>
    <w:p w14:paraId="566A20F6" w14:textId="2FC58F2D" w:rsidR="00DD2657" w:rsidRPr="002C21B8" w:rsidRDefault="00DD2657" w:rsidP="004C4EDD">
      <w:pPr>
        <w:pStyle w:val="Caption"/>
        <w:keepNext w:val="0"/>
        <w:rPr>
          <w:noProof w:val="0"/>
        </w:rPr>
      </w:pPr>
      <w:bookmarkStart w:id="145" w:name="_Toc236991747"/>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11</w:t>
      </w:r>
      <w:r w:rsidRPr="002C21B8">
        <w:rPr>
          <w:noProof w:val="0"/>
        </w:rPr>
        <w:fldChar w:fldCharType="end"/>
      </w:r>
      <w:bookmarkEnd w:id="143"/>
      <w:r w:rsidRPr="002C21B8">
        <w:rPr>
          <w:noProof w:val="0"/>
        </w:rPr>
        <w:t>. Characteristics of kidney centres and participants</w:t>
      </w:r>
      <w:bookmarkEnd w:id="144"/>
      <w:bookmarkEnd w:id="145"/>
    </w:p>
    <w:tbl>
      <w:tblPr>
        <w:tblStyle w:val="PlainTable2"/>
        <w:tblW w:w="9781" w:type="dxa"/>
        <w:tblLook w:val="04A0" w:firstRow="1" w:lastRow="0" w:firstColumn="1" w:lastColumn="0" w:noHBand="0" w:noVBand="1"/>
      </w:tblPr>
      <w:tblGrid>
        <w:gridCol w:w="5044"/>
        <w:gridCol w:w="4737"/>
      </w:tblGrid>
      <w:tr w:rsidR="00DD2657" w:rsidRPr="002C21B8" w14:paraId="55AA9759" w14:textId="77777777" w:rsidTr="00A76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4" w:type="dxa"/>
            <w:tcBorders>
              <w:top w:val="single" w:sz="12" w:space="0" w:color="000000" w:themeColor="text1"/>
              <w:bottom w:val="single" w:sz="4" w:space="0" w:color="000000" w:themeColor="text1"/>
            </w:tcBorders>
          </w:tcPr>
          <w:p w14:paraId="407F5ABA" w14:textId="77777777" w:rsidR="00DD2657" w:rsidRPr="002C21B8" w:rsidRDefault="00DD2657" w:rsidP="004C4EDD">
            <w:pPr>
              <w:spacing w:before="80" w:after="80" w:line="240" w:lineRule="auto"/>
              <w:rPr>
                <w:sz w:val="18"/>
                <w:szCs w:val="18"/>
              </w:rPr>
            </w:pPr>
            <w:r w:rsidRPr="002C21B8">
              <w:rPr>
                <w:sz w:val="18"/>
                <w:szCs w:val="18"/>
              </w:rPr>
              <w:t>Variable</w:t>
            </w:r>
          </w:p>
        </w:tc>
        <w:tc>
          <w:tcPr>
            <w:tcW w:w="4737" w:type="dxa"/>
            <w:tcBorders>
              <w:top w:val="single" w:sz="12" w:space="0" w:color="000000" w:themeColor="text1"/>
              <w:bottom w:val="single" w:sz="4" w:space="0" w:color="000000" w:themeColor="text1"/>
            </w:tcBorders>
          </w:tcPr>
          <w:p w14:paraId="70C877D8" w14:textId="77777777" w:rsidR="00DD2657" w:rsidRPr="002C21B8" w:rsidRDefault="00DD2657" w:rsidP="004C4EDD">
            <w:pPr>
              <w:spacing w:before="80" w:after="8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Value</w:t>
            </w:r>
          </w:p>
        </w:tc>
      </w:tr>
      <w:tr w:rsidR="00DD2657" w:rsidRPr="002C21B8" w14:paraId="1D16E5AD" w14:textId="77777777" w:rsidTr="00742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4" w:type="dxa"/>
            <w:tcBorders>
              <w:top w:val="single" w:sz="4" w:space="0" w:color="000000" w:themeColor="text1"/>
              <w:bottom w:val="nil"/>
            </w:tcBorders>
          </w:tcPr>
          <w:p w14:paraId="0C7D112B" w14:textId="77777777" w:rsidR="00DD2657" w:rsidRPr="002C21B8" w:rsidRDefault="00DD2657" w:rsidP="004C4EDD">
            <w:pPr>
              <w:spacing w:before="80" w:after="80" w:line="240" w:lineRule="auto"/>
              <w:rPr>
                <w:sz w:val="18"/>
                <w:szCs w:val="18"/>
              </w:rPr>
            </w:pPr>
            <w:r w:rsidRPr="002C21B8">
              <w:rPr>
                <w:sz w:val="18"/>
                <w:szCs w:val="18"/>
              </w:rPr>
              <w:t>Included kidney centres</w:t>
            </w:r>
          </w:p>
        </w:tc>
        <w:tc>
          <w:tcPr>
            <w:tcW w:w="4737" w:type="dxa"/>
            <w:tcBorders>
              <w:top w:val="single" w:sz="4" w:space="0" w:color="000000" w:themeColor="text1"/>
              <w:bottom w:val="nil"/>
            </w:tcBorders>
          </w:tcPr>
          <w:p w14:paraId="35085E50" w14:textId="77777777" w:rsidR="00DD2657" w:rsidRPr="002C21B8" w:rsidRDefault="00DD2657" w:rsidP="004C4EDD">
            <w:pPr>
              <w:spacing w:before="80"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72</w:t>
            </w:r>
          </w:p>
        </w:tc>
      </w:tr>
      <w:tr w:rsidR="00DD2657" w:rsidRPr="002C21B8" w14:paraId="25308542" w14:textId="77777777" w:rsidTr="00742B60">
        <w:tc>
          <w:tcPr>
            <w:cnfStyle w:val="001000000000" w:firstRow="0" w:lastRow="0" w:firstColumn="1" w:lastColumn="0" w:oddVBand="0" w:evenVBand="0" w:oddHBand="0" w:evenHBand="0" w:firstRowFirstColumn="0" w:firstRowLastColumn="0" w:lastRowFirstColumn="0" w:lastRowLastColumn="0"/>
            <w:tcW w:w="5044" w:type="dxa"/>
            <w:tcBorders>
              <w:top w:val="nil"/>
              <w:bottom w:val="nil"/>
            </w:tcBorders>
          </w:tcPr>
          <w:p w14:paraId="1275E3AF" w14:textId="77777777" w:rsidR="00DD2657" w:rsidRPr="002C21B8" w:rsidRDefault="00DD2657" w:rsidP="004C4EDD">
            <w:pPr>
              <w:spacing w:before="80" w:after="80" w:line="240" w:lineRule="auto"/>
              <w:rPr>
                <w:sz w:val="18"/>
                <w:szCs w:val="18"/>
              </w:rPr>
            </w:pPr>
            <w:r w:rsidRPr="002C21B8">
              <w:rPr>
                <w:sz w:val="18"/>
                <w:szCs w:val="18"/>
              </w:rPr>
              <w:t>Patients per kidney centre (mean, range)</w:t>
            </w:r>
          </w:p>
        </w:tc>
        <w:tc>
          <w:tcPr>
            <w:tcW w:w="4737" w:type="dxa"/>
            <w:tcBorders>
              <w:top w:val="nil"/>
              <w:bottom w:val="nil"/>
            </w:tcBorders>
          </w:tcPr>
          <w:p w14:paraId="4FAC6F24" w14:textId="777AFC26"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50 (1</w:t>
            </w:r>
            <w:r w:rsidR="004D2330" w:rsidRPr="002C21B8">
              <w:rPr>
                <w:sz w:val="18"/>
                <w:szCs w:val="18"/>
              </w:rPr>
              <w:t>–</w:t>
            </w:r>
            <w:r w:rsidR="000E0D59" w:rsidRPr="002C21B8">
              <w:rPr>
                <w:sz w:val="18"/>
                <w:szCs w:val="18"/>
              </w:rPr>
              <w:t>3</w:t>
            </w:r>
            <w:r w:rsidRPr="002C21B8">
              <w:rPr>
                <w:sz w:val="18"/>
                <w:szCs w:val="18"/>
              </w:rPr>
              <w:t>22)</w:t>
            </w:r>
          </w:p>
        </w:tc>
      </w:tr>
      <w:tr w:rsidR="00DD2657" w:rsidRPr="002C21B8" w14:paraId="1D6FBAED" w14:textId="77777777" w:rsidTr="00742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4" w:type="dxa"/>
            <w:tcBorders>
              <w:top w:val="nil"/>
              <w:bottom w:val="nil"/>
            </w:tcBorders>
          </w:tcPr>
          <w:p w14:paraId="5174EBE6" w14:textId="77777777" w:rsidR="00DD2657" w:rsidRPr="002C21B8" w:rsidRDefault="00DD2657" w:rsidP="004C4EDD">
            <w:pPr>
              <w:spacing w:before="80" w:after="80" w:line="240" w:lineRule="auto"/>
              <w:rPr>
                <w:sz w:val="18"/>
                <w:szCs w:val="18"/>
              </w:rPr>
            </w:pPr>
            <w:r w:rsidRPr="002C21B8">
              <w:rPr>
                <w:sz w:val="18"/>
                <w:szCs w:val="18"/>
              </w:rPr>
              <w:t>Age at recruitment to RaDaR (mean, SD)</w:t>
            </w:r>
          </w:p>
        </w:tc>
        <w:tc>
          <w:tcPr>
            <w:tcW w:w="4737" w:type="dxa"/>
            <w:tcBorders>
              <w:top w:val="nil"/>
              <w:bottom w:val="nil"/>
            </w:tcBorders>
          </w:tcPr>
          <w:p w14:paraId="0D8AB5DE" w14:textId="77777777" w:rsidR="00DD2657" w:rsidRPr="002C21B8" w:rsidRDefault="00DD2657" w:rsidP="004C4EDD">
            <w:pPr>
              <w:spacing w:before="80"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54.2 (13.4)</w:t>
            </w:r>
          </w:p>
        </w:tc>
      </w:tr>
      <w:tr w:rsidR="00DD2657" w:rsidRPr="002C21B8" w14:paraId="16845E18" w14:textId="77777777" w:rsidTr="00742B60">
        <w:tc>
          <w:tcPr>
            <w:cnfStyle w:val="001000000000" w:firstRow="0" w:lastRow="0" w:firstColumn="1" w:lastColumn="0" w:oddVBand="0" w:evenVBand="0" w:oddHBand="0" w:evenHBand="0" w:firstRowFirstColumn="0" w:firstRowLastColumn="0" w:lastRowFirstColumn="0" w:lastRowLastColumn="0"/>
            <w:tcW w:w="5044" w:type="dxa"/>
            <w:tcBorders>
              <w:top w:val="nil"/>
              <w:bottom w:val="nil"/>
            </w:tcBorders>
          </w:tcPr>
          <w:p w14:paraId="6262CF31" w14:textId="77777777" w:rsidR="00DD2657" w:rsidRPr="002C21B8" w:rsidRDefault="00DD2657" w:rsidP="004C4EDD">
            <w:pPr>
              <w:spacing w:before="80" w:after="80" w:line="240" w:lineRule="auto"/>
              <w:rPr>
                <w:sz w:val="18"/>
                <w:szCs w:val="18"/>
              </w:rPr>
            </w:pPr>
            <w:r w:rsidRPr="002C21B8">
              <w:rPr>
                <w:sz w:val="18"/>
                <w:szCs w:val="18"/>
              </w:rPr>
              <w:t>eGFR at RaDaR recruitment (mean, SD)</w:t>
            </w:r>
          </w:p>
        </w:tc>
        <w:tc>
          <w:tcPr>
            <w:tcW w:w="4737" w:type="dxa"/>
            <w:tcBorders>
              <w:top w:val="nil"/>
              <w:bottom w:val="nil"/>
            </w:tcBorders>
          </w:tcPr>
          <w:p w14:paraId="03B37461"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44.2 (25.6)</w:t>
            </w:r>
          </w:p>
        </w:tc>
      </w:tr>
      <w:tr w:rsidR="00DD2657" w:rsidRPr="002C21B8" w14:paraId="09B82015" w14:textId="77777777" w:rsidTr="00A76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4" w:type="dxa"/>
            <w:tcBorders>
              <w:top w:val="nil"/>
              <w:bottom w:val="nil"/>
            </w:tcBorders>
          </w:tcPr>
          <w:p w14:paraId="6F1A82AD" w14:textId="77777777" w:rsidR="00DD2657" w:rsidRPr="002C21B8" w:rsidRDefault="00DD2657" w:rsidP="004C4EDD">
            <w:pPr>
              <w:spacing w:before="80" w:after="80" w:line="240" w:lineRule="auto"/>
              <w:rPr>
                <w:sz w:val="18"/>
                <w:szCs w:val="18"/>
              </w:rPr>
            </w:pPr>
            <w:r w:rsidRPr="002C21B8">
              <w:rPr>
                <w:sz w:val="18"/>
                <w:szCs w:val="18"/>
              </w:rPr>
              <w:t>Sex (n (%))</w:t>
            </w:r>
          </w:p>
        </w:tc>
        <w:tc>
          <w:tcPr>
            <w:tcW w:w="4737" w:type="dxa"/>
            <w:tcBorders>
              <w:top w:val="nil"/>
              <w:bottom w:val="nil"/>
            </w:tcBorders>
          </w:tcPr>
          <w:p w14:paraId="67141D62" w14:textId="77777777" w:rsidR="00DD2657" w:rsidRPr="002C21B8" w:rsidRDefault="00DD2657" w:rsidP="004C4EDD">
            <w:pPr>
              <w:spacing w:before="80" w:after="8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Female: 1,851 (51.3%), Male: 1,758 (48.7%)</w:t>
            </w:r>
          </w:p>
        </w:tc>
      </w:tr>
      <w:tr w:rsidR="00DD2657" w:rsidRPr="002C21B8" w14:paraId="7D31DCBB" w14:textId="77777777" w:rsidTr="00A76C58">
        <w:tc>
          <w:tcPr>
            <w:cnfStyle w:val="001000000000" w:firstRow="0" w:lastRow="0" w:firstColumn="1" w:lastColumn="0" w:oddVBand="0" w:evenVBand="0" w:oddHBand="0" w:evenHBand="0" w:firstRowFirstColumn="0" w:firstRowLastColumn="0" w:lastRowFirstColumn="0" w:lastRowLastColumn="0"/>
            <w:tcW w:w="5044" w:type="dxa"/>
            <w:tcBorders>
              <w:top w:val="nil"/>
              <w:bottom w:val="single" w:sz="12" w:space="0" w:color="000000" w:themeColor="text1"/>
            </w:tcBorders>
          </w:tcPr>
          <w:p w14:paraId="77B3732F" w14:textId="77777777" w:rsidR="00DD2657" w:rsidRPr="002C21B8" w:rsidRDefault="00DD2657" w:rsidP="004C4EDD">
            <w:pPr>
              <w:spacing w:before="80" w:after="80" w:line="240" w:lineRule="auto"/>
              <w:rPr>
                <w:sz w:val="18"/>
                <w:szCs w:val="18"/>
              </w:rPr>
            </w:pPr>
            <w:r w:rsidRPr="002C21B8">
              <w:rPr>
                <w:sz w:val="18"/>
                <w:szCs w:val="18"/>
              </w:rPr>
              <w:t>Ethnicity (n (%))</w:t>
            </w:r>
          </w:p>
        </w:tc>
        <w:tc>
          <w:tcPr>
            <w:tcW w:w="4737" w:type="dxa"/>
            <w:tcBorders>
              <w:top w:val="nil"/>
              <w:bottom w:val="single" w:sz="12" w:space="0" w:color="000000" w:themeColor="text1"/>
            </w:tcBorders>
          </w:tcPr>
          <w:p w14:paraId="3A56BCB3"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White 2,807 (77.8%)</w:t>
            </w:r>
          </w:p>
          <w:p w14:paraId="2C91E4C9"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Not recorded 357 (9.9%)</w:t>
            </w:r>
          </w:p>
          <w:p w14:paraId="7402D0FA"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Refused 152 (4.2%)</w:t>
            </w:r>
          </w:p>
          <w:p w14:paraId="2B17FE7B"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Asian 126 (3.5%)</w:t>
            </w:r>
          </w:p>
          <w:p w14:paraId="528A91AB"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Black 106 (2.9%)</w:t>
            </w:r>
          </w:p>
          <w:p w14:paraId="290336EC"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Other 35 (1.0%)</w:t>
            </w:r>
          </w:p>
          <w:p w14:paraId="7B5EC17D" w14:textId="77777777" w:rsidR="00DD2657" w:rsidRPr="002C21B8" w:rsidRDefault="00DD2657" w:rsidP="004C4EDD">
            <w:pPr>
              <w:spacing w:before="80" w:after="8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Mixed 26 (0.7%)</w:t>
            </w:r>
          </w:p>
        </w:tc>
      </w:tr>
    </w:tbl>
    <w:p w14:paraId="710E9ED2" w14:textId="451BA5A4" w:rsidR="00464401" w:rsidRPr="002C21B8" w:rsidRDefault="00464401" w:rsidP="00464401">
      <w:pPr>
        <w:spacing w:before="240" w:after="0"/>
        <w:rPr>
          <w:b/>
          <w:bCs/>
          <w:sz w:val="24"/>
          <w:szCs w:val="24"/>
        </w:rPr>
      </w:pPr>
      <w:r w:rsidRPr="002C21B8">
        <w:rPr>
          <w:b/>
          <w:bCs/>
          <w:sz w:val="24"/>
          <w:szCs w:val="24"/>
        </w:rPr>
        <w:t>Patients eligible for tolvaptan who were not initiated</w:t>
      </w:r>
    </w:p>
    <w:p w14:paraId="58EFC6AA" w14:textId="77777777" w:rsidR="00464401" w:rsidRPr="002C21B8" w:rsidRDefault="00464401" w:rsidP="007E6078">
      <w:pPr>
        <w:spacing w:after="0"/>
        <w:rPr>
          <w:b/>
          <w:bCs/>
          <w:i/>
          <w:iCs/>
        </w:rPr>
      </w:pPr>
      <w:r w:rsidRPr="002C21B8">
        <w:rPr>
          <w:b/>
          <w:bCs/>
          <w:i/>
          <w:iCs/>
        </w:rPr>
        <w:t>Patients eligible for tolvaptan, by initiation status</w:t>
      </w:r>
    </w:p>
    <w:p w14:paraId="543039C3" w14:textId="576D49D8" w:rsidR="00DD2657" w:rsidRPr="002C21B8" w:rsidRDefault="00464401" w:rsidP="003374F4">
      <w:r w:rsidRPr="002C21B8">
        <w:t>839 patients were eligible for tolvaptan with 65.2% (547/839) not initiated on tolvaptan during the study period. Patients who were not initiated despite meeting eligibility criteria had slightly slower disease progression, with a 1-year eGFR decline that was on average 0.2 ml/min/1.73m</w:t>
      </w:r>
      <w:r w:rsidRPr="002C21B8">
        <w:rPr>
          <w:vertAlign w:val="superscript"/>
        </w:rPr>
        <w:t>2</w:t>
      </w:r>
      <w:r w:rsidRPr="002C21B8">
        <w:t xml:space="preserve"> slower than in initiated patients (-7.07 vs -7.27 ml/min/1.73m</w:t>
      </w:r>
      <w:r w:rsidRPr="002C21B8">
        <w:rPr>
          <w:vertAlign w:val="superscript"/>
        </w:rPr>
        <w:t>2</w:t>
      </w:r>
      <w:r w:rsidRPr="002C21B8">
        <w:t xml:space="preserve"> respectively) and a 5-year decline that was on average 0.22 ml/min/1.73m</w:t>
      </w:r>
      <w:r w:rsidRPr="002C21B8">
        <w:rPr>
          <w:vertAlign w:val="superscript"/>
        </w:rPr>
        <w:t>2</w:t>
      </w:r>
      <w:r w:rsidRPr="002C21B8">
        <w:t xml:space="preserve"> faster (-4.48 vs -4.26 ml/min/1.73m</w:t>
      </w:r>
      <w:r w:rsidRPr="002C21B8">
        <w:rPr>
          <w:vertAlign w:val="superscript"/>
        </w:rPr>
        <w:t>2</w:t>
      </w:r>
      <w:r w:rsidRPr="002C21B8">
        <w:t xml:space="preserve"> respectively). </w:t>
      </w:r>
      <w:r w:rsidR="00DD2657" w:rsidRPr="002C21B8">
        <w:t xml:space="preserve">See </w:t>
      </w:r>
      <w:r w:rsidR="00DD2657" w:rsidRPr="002C21B8">
        <w:fldChar w:fldCharType="begin"/>
      </w:r>
      <w:r w:rsidR="00DD2657" w:rsidRPr="002C21B8">
        <w:instrText xml:space="preserve"> REF _Ref220071836 \h  \* MERGEFORMAT </w:instrText>
      </w:r>
      <w:r w:rsidR="00DD2657" w:rsidRPr="002C21B8">
        <w:fldChar w:fldCharType="separate"/>
      </w:r>
      <w:r w:rsidR="00DB3709" w:rsidRPr="002C21B8">
        <w:t xml:space="preserve">Table </w:t>
      </w:r>
      <w:r w:rsidR="00DB3709">
        <w:t>12</w:t>
      </w:r>
      <w:r w:rsidR="00DD2657" w:rsidRPr="002C21B8">
        <w:fldChar w:fldCharType="end"/>
      </w:r>
      <w:r w:rsidR="00DD2657" w:rsidRPr="002C21B8">
        <w:t xml:space="preserve"> for the overview of initiated vs non-initiated patients eligible for tolvaptan.</w:t>
      </w:r>
    </w:p>
    <w:p w14:paraId="5924E0EE" w14:textId="258E67CA" w:rsidR="00DD2657" w:rsidRPr="002C21B8" w:rsidRDefault="00DD2657" w:rsidP="004C4EDD">
      <w:pPr>
        <w:pStyle w:val="Caption"/>
        <w:keepNext w:val="0"/>
        <w:rPr>
          <w:noProof w:val="0"/>
        </w:rPr>
      </w:pPr>
      <w:bookmarkStart w:id="146" w:name="_Ref220071836"/>
      <w:bookmarkStart w:id="147" w:name="_Toc236991748"/>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12</w:t>
      </w:r>
      <w:r w:rsidRPr="002C21B8">
        <w:rPr>
          <w:noProof w:val="0"/>
        </w:rPr>
        <w:fldChar w:fldCharType="end"/>
      </w:r>
      <w:bookmarkEnd w:id="146"/>
      <w:r w:rsidRPr="002C21B8">
        <w:rPr>
          <w:noProof w:val="0"/>
        </w:rPr>
        <w:t>. Characteristics of patients eligible for tolvaptan, stratified by initiation status</w:t>
      </w:r>
      <w:bookmarkEnd w:id="147"/>
    </w:p>
    <w:tbl>
      <w:tblPr>
        <w:tblStyle w:val="PlainTable2"/>
        <w:tblW w:w="8931" w:type="dxa"/>
        <w:tblLook w:val="04A0" w:firstRow="1" w:lastRow="0" w:firstColumn="1" w:lastColumn="0" w:noHBand="0" w:noVBand="1"/>
      </w:tblPr>
      <w:tblGrid>
        <w:gridCol w:w="4836"/>
        <w:gridCol w:w="2268"/>
        <w:gridCol w:w="1827"/>
      </w:tblGrid>
      <w:tr w:rsidR="00DD2657" w:rsidRPr="002C21B8" w14:paraId="63C4A654" w14:textId="77777777" w:rsidTr="009C3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6" w:type="dxa"/>
            <w:tcBorders>
              <w:top w:val="single" w:sz="12" w:space="0" w:color="auto"/>
              <w:bottom w:val="nil"/>
            </w:tcBorders>
          </w:tcPr>
          <w:p w14:paraId="76D5E44C" w14:textId="77777777" w:rsidR="00DD2657" w:rsidRPr="002C21B8" w:rsidRDefault="00DD2657" w:rsidP="004C4EDD">
            <w:pPr>
              <w:snapToGrid w:val="0"/>
              <w:spacing w:before="80" w:after="80" w:line="240" w:lineRule="auto"/>
              <w:rPr>
                <w:sz w:val="18"/>
                <w:szCs w:val="18"/>
              </w:rPr>
            </w:pPr>
          </w:p>
        </w:tc>
        <w:tc>
          <w:tcPr>
            <w:tcW w:w="4095" w:type="dxa"/>
            <w:gridSpan w:val="2"/>
            <w:tcBorders>
              <w:top w:val="single" w:sz="12" w:space="0" w:color="auto"/>
              <w:bottom w:val="single" w:sz="4" w:space="0" w:color="000000" w:themeColor="text1"/>
            </w:tcBorders>
          </w:tcPr>
          <w:p w14:paraId="06A42FA6" w14:textId="16470A67" w:rsidR="00DD2657" w:rsidRPr="002C21B8" w:rsidRDefault="00DD2657" w:rsidP="004C4EDD">
            <w:pPr>
              <w:snapToGrid w:val="0"/>
              <w:spacing w:before="80" w:after="8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Patients eligible for tolvaptan (n</w:t>
            </w:r>
            <w:r w:rsidR="00D873FD" w:rsidRPr="002C21B8">
              <w:rPr>
                <w:sz w:val="18"/>
                <w:szCs w:val="18"/>
              </w:rPr>
              <w:t xml:space="preserve"> </w:t>
            </w:r>
            <w:r w:rsidRPr="002C21B8">
              <w:rPr>
                <w:sz w:val="18"/>
                <w:szCs w:val="18"/>
              </w:rPr>
              <w:t>=</w:t>
            </w:r>
            <w:r w:rsidR="00D873FD" w:rsidRPr="002C21B8">
              <w:rPr>
                <w:sz w:val="18"/>
                <w:szCs w:val="18"/>
              </w:rPr>
              <w:t xml:space="preserve"> </w:t>
            </w:r>
            <w:r w:rsidRPr="002C21B8">
              <w:rPr>
                <w:sz w:val="18"/>
                <w:szCs w:val="18"/>
              </w:rPr>
              <w:t>839)</w:t>
            </w:r>
          </w:p>
        </w:tc>
      </w:tr>
      <w:tr w:rsidR="00DD2657" w:rsidRPr="002C21B8" w14:paraId="0835E3C5" w14:textId="77777777" w:rsidTr="009C3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6" w:type="dxa"/>
            <w:tcBorders>
              <w:top w:val="nil"/>
              <w:bottom w:val="single" w:sz="4" w:space="0" w:color="000000" w:themeColor="text1"/>
            </w:tcBorders>
          </w:tcPr>
          <w:p w14:paraId="0A2DD91C" w14:textId="77777777" w:rsidR="00DD2657" w:rsidRPr="002C21B8" w:rsidRDefault="00DD2657" w:rsidP="004C4EDD">
            <w:pPr>
              <w:snapToGrid w:val="0"/>
              <w:spacing w:before="80" w:after="80" w:line="240" w:lineRule="auto"/>
              <w:rPr>
                <w:sz w:val="18"/>
                <w:szCs w:val="18"/>
              </w:rPr>
            </w:pPr>
            <w:r w:rsidRPr="002C21B8">
              <w:rPr>
                <w:sz w:val="18"/>
                <w:szCs w:val="18"/>
              </w:rPr>
              <w:t>Variable</w:t>
            </w:r>
          </w:p>
        </w:tc>
        <w:tc>
          <w:tcPr>
            <w:tcW w:w="2268" w:type="dxa"/>
            <w:tcBorders>
              <w:top w:val="single" w:sz="4" w:space="0" w:color="000000" w:themeColor="text1"/>
              <w:bottom w:val="single" w:sz="4" w:space="0" w:color="000000" w:themeColor="text1"/>
            </w:tcBorders>
          </w:tcPr>
          <w:p w14:paraId="1BEEAC90" w14:textId="095CC2B1"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Initiated (n</w:t>
            </w:r>
            <w:r w:rsidR="00D873FD" w:rsidRPr="002C21B8">
              <w:rPr>
                <w:sz w:val="18"/>
                <w:szCs w:val="18"/>
              </w:rPr>
              <w:t xml:space="preserve"> </w:t>
            </w:r>
            <w:r w:rsidRPr="002C21B8">
              <w:rPr>
                <w:sz w:val="18"/>
                <w:szCs w:val="18"/>
              </w:rPr>
              <w:t>=</w:t>
            </w:r>
            <w:r w:rsidR="00D873FD" w:rsidRPr="002C21B8">
              <w:rPr>
                <w:sz w:val="18"/>
                <w:szCs w:val="18"/>
              </w:rPr>
              <w:t xml:space="preserve"> </w:t>
            </w:r>
            <w:r w:rsidRPr="002C21B8">
              <w:rPr>
                <w:sz w:val="18"/>
                <w:szCs w:val="18"/>
              </w:rPr>
              <w:t>292)</w:t>
            </w:r>
          </w:p>
        </w:tc>
        <w:tc>
          <w:tcPr>
            <w:tcW w:w="1827" w:type="dxa"/>
            <w:tcBorders>
              <w:top w:val="single" w:sz="4" w:space="0" w:color="000000" w:themeColor="text1"/>
              <w:bottom w:val="single" w:sz="4" w:space="0" w:color="000000" w:themeColor="text1"/>
            </w:tcBorders>
          </w:tcPr>
          <w:p w14:paraId="2E5EDC4B" w14:textId="5F41DBB4"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Not initiated (n</w:t>
            </w:r>
            <w:r w:rsidR="00D873FD" w:rsidRPr="002C21B8">
              <w:rPr>
                <w:sz w:val="18"/>
                <w:szCs w:val="18"/>
              </w:rPr>
              <w:t xml:space="preserve"> </w:t>
            </w:r>
            <w:r w:rsidRPr="002C21B8">
              <w:rPr>
                <w:sz w:val="18"/>
                <w:szCs w:val="18"/>
              </w:rPr>
              <w:t>=</w:t>
            </w:r>
            <w:r w:rsidR="00D873FD" w:rsidRPr="002C21B8">
              <w:rPr>
                <w:sz w:val="18"/>
                <w:szCs w:val="18"/>
              </w:rPr>
              <w:t xml:space="preserve"> </w:t>
            </w:r>
            <w:r w:rsidRPr="002C21B8">
              <w:rPr>
                <w:sz w:val="18"/>
                <w:szCs w:val="18"/>
              </w:rPr>
              <w:t>547)</w:t>
            </w:r>
          </w:p>
        </w:tc>
      </w:tr>
      <w:tr w:rsidR="00DD2657" w:rsidRPr="002C21B8" w14:paraId="3ACB056B" w14:textId="77777777" w:rsidTr="009C3220">
        <w:tc>
          <w:tcPr>
            <w:cnfStyle w:val="001000000000" w:firstRow="0" w:lastRow="0" w:firstColumn="1" w:lastColumn="0" w:oddVBand="0" w:evenVBand="0" w:oddHBand="0" w:evenHBand="0" w:firstRowFirstColumn="0" w:firstRowLastColumn="0" w:lastRowFirstColumn="0" w:lastRowLastColumn="0"/>
            <w:tcW w:w="4836" w:type="dxa"/>
            <w:tcBorders>
              <w:top w:val="nil"/>
              <w:bottom w:val="nil"/>
            </w:tcBorders>
          </w:tcPr>
          <w:p w14:paraId="166FAABA" w14:textId="77777777" w:rsidR="00DD2657" w:rsidRPr="002C21B8" w:rsidRDefault="00DD2657" w:rsidP="004C4EDD">
            <w:pPr>
              <w:snapToGrid w:val="0"/>
              <w:spacing w:before="80" w:after="80" w:line="240" w:lineRule="auto"/>
              <w:rPr>
                <w:sz w:val="18"/>
                <w:szCs w:val="18"/>
              </w:rPr>
            </w:pPr>
            <w:r w:rsidRPr="002C21B8">
              <w:rPr>
                <w:sz w:val="18"/>
                <w:szCs w:val="18"/>
              </w:rPr>
              <w:t>Age at tolvaptan initiation (mean (SD), n)</w:t>
            </w:r>
          </w:p>
        </w:tc>
        <w:tc>
          <w:tcPr>
            <w:tcW w:w="2268" w:type="dxa"/>
            <w:tcBorders>
              <w:top w:val="nil"/>
              <w:bottom w:val="nil"/>
            </w:tcBorders>
          </w:tcPr>
          <w:p w14:paraId="54F550D9" w14:textId="1735876C"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45.5 (9.9),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292</w:t>
            </w:r>
          </w:p>
        </w:tc>
        <w:tc>
          <w:tcPr>
            <w:tcW w:w="1827" w:type="dxa"/>
            <w:tcBorders>
              <w:top w:val="nil"/>
              <w:bottom w:val="nil"/>
            </w:tcBorders>
          </w:tcPr>
          <w:p w14:paraId="622B8646" w14:textId="77777777"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w:t>
            </w:r>
          </w:p>
        </w:tc>
      </w:tr>
      <w:tr w:rsidR="00DD2657" w:rsidRPr="002C21B8" w14:paraId="1F940DC5" w14:textId="77777777" w:rsidTr="009C3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6" w:type="dxa"/>
            <w:tcBorders>
              <w:top w:val="nil"/>
              <w:bottom w:val="nil"/>
            </w:tcBorders>
          </w:tcPr>
          <w:p w14:paraId="199BB97B" w14:textId="77777777" w:rsidR="00DD2657" w:rsidRPr="002C21B8" w:rsidRDefault="00DD2657" w:rsidP="004C4EDD">
            <w:pPr>
              <w:snapToGrid w:val="0"/>
              <w:spacing w:before="80" w:after="80" w:line="240" w:lineRule="auto"/>
              <w:rPr>
                <w:sz w:val="18"/>
                <w:szCs w:val="18"/>
              </w:rPr>
            </w:pPr>
            <w:r w:rsidRPr="002C21B8">
              <w:rPr>
                <w:sz w:val="18"/>
                <w:szCs w:val="18"/>
              </w:rPr>
              <w:t>eGFR prior to tolvaptan initiation (mean (SD), n)</w:t>
            </w:r>
          </w:p>
        </w:tc>
        <w:tc>
          <w:tcPr>
            <w:tcW w:w="2268" w:type="dxa"/>
            <w:tcBorders>
              <w:top w:val="nil"/>
              <w:bottom w:val="nil"/>
            </w:tcBorders>
          </w:tcPr>
          <w:p w14:paraId="062774D6" w14:textId="369EDCE0"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47.5 (14.6),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292</w:t>
            </w:r>
          </w:p>
        </w:tc>
        <w:tc>
          <w:tcPr>
            <w:tcW w:w="1827" w:type="dxa"/>
            <w:tcBorders>
              <w:top w:val="nil"/>
              <w:bottom w:val="nil"/>
            </w:tcBorders>
          </w:tcPr>
          <w:p w14:paraId="32B9DE5B" w14:textId="77777777"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w:t>
            </w:r>
          </w:p>
        </w:tc>
      </w:tr>
      <w:tr w:rsidR="00DD2657" w:rsidRPr="002C21B8" w14:paraId="14E2186B" w14:textId="77777777" w:rsidTr="009C3220">
        <w:tc>
          <w:tcPr>
            <w:cnfStyle w:val="001000000000" w:firstRow="0" w:lastRow="0" w:firstColumn="1" w:lastColumn="0" w:oddVBand="0" w:evenVBand="0" w:oddHBand="0" w:evenHBand="0" w:firstRowFirstColumn="0" w:firstRowLastColumn="0" w:lastRowFirstColumn="0" w:lastRowLastColumn="0"/>
            <w:tcW w:w="4836" w:type="dxa"/>
            <w:tcBorders>
              <w:top w:val="nil"/>
              <w:bottom w:val="nil"/>
            </w:tcBorders>
          </w:tcPr>
          <w:p w14:paraId="0DE107B3" w14:textId="21490F7C" w:rsidR="00DD2657" w:rsidRPr="002C21B8" w:rsidRDefault="00DD2657" w:rsidP="004C4EDD">
            <w:pPr>
              <w:snapToGrid w:val="0"/>
              <w:spacing w:before="80" w:after="80" w:line="240" w:lineRule="auto"/>
              <w:rPr>
                <w:sz w:val="18"/>
                <w:szCs w:val="18"/>
              </w:rPr>
            </w:pPr>
            <w:r w:rsidRPr="002C21B8">
              <w:rPr>
                <w:sz w:val="18"/>
                <w:szCs w:val="18"/>
              </w:rPr>
              <w:t>eGFR slope in year prior to first eligible</w:t>
            </w:r>
            <w:r w:rsidR="0044094E" w:rsidRPr="002C21B8">
              <w:rPr>
                <w:sz w:val="18"/>
                <w:szCs w:val="18"/>
              </w:rPr>
              <w:t xml:space="preserve"> </w:t>
            </w:r>
            <w:r w:rsidRPr="002C21B8">
              <w:rPr>
                <w:sz w:val="18"/>
                <w:szCs w:val="18"/>
              </w:rPr>
              <w:t>(mean (SD), n)</w:t>
            </w:r>
          </w:p>
        </w:tc>
        <w:tc>
          <w:tcPr>
            <w:tcW w:w="2268" w:type="dxa"/>
            <w:tcBorders>
              <w:top w:val="nil"/>
              <w:bottom w:val="nil"/>
            </w:tcBorders>
          </w:tcPr>
          <w:p w14:paraId="0CF11C4C" w14:textId="2ACA4F62"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-7.27 (9.4),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291</w:t>
            </w:r>
          </w:p>
        </w:tc>
        <w:tc>
          <w:tcPr>
            <w:tcW w:w="1827" w:type="dxa"/>
            <w:tcBorders>
              <w:top w:val="nil"/>
              <w:bottom w:val="nil"/>
            </w:tcBorders>
          </w:tcPr>
          <w:p w14:paraId="18D740EA" w14:textId="5ABFE1A5"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-7.07 (10.8),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509</w:t>
            </w:r>
          </w:p>
        </w:tc>
      </w:tr>
      <w:tr w:rsidR="00DD2657" w:rsidRPr="002C21B8" w14:paraId="6D47A415" w14:textId="77777777" w:rsidTr="005E6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6" w:type="dxa"/>
            <w:tcBorders>
              <w:top w:val="nil"/>
              <w:bottom w:val="nil"/>
            </w:tcBorders>
          </w:tcPr>
          <w:p w14:paraId="40CF7851" w14:textId="77777777" w:rsidR="00DD2657" w:rsidRPr="002C21B8" w:rsidRDefault="00DD2657" w:rsidP="004C4EDD">
            <w:pPr>
              <w:snapToGrid w:val="0"/>
              <w:spacing w:before="80" w:after="80" w:line="240" w:lineRule="auto"/>
              <w:rPr>
                <w:sz w:val="18"/>
                <w:szCs w:val="18"/>
              </w:rPr>
            </w:pPr>
            <w:r w:rsidRPr="002C21B8">
              <w:rPr>
                <w:sz w:val="18"/>
                <w:szCs w:val="18"/>
              </w:rPr>
              <w:t>eGFR slope in 5 years prior to first eligible (mean (SD), n)</w:t>
            </w:r>
          </w:p>
        </w:tc>
        <w:tc>
          <w:tcPr>
            <w:tcW w:w="2268" w:type="dxa"/>
            <w:tcBorders>
              <w:top w:val="nil"/>
              <w:bottom w:val="nil"/>
            </w:tcBorders>
          </w:tcPr>
          <w:p w14:paraId="7247A526" w14:textId="6DB9EE16"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-4.26 (3.0),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157</w:t>
            </w:r>
          </w:p>
        </w:tc>
        <w:tc>
          <w:tcPr>
            <w:tcW w:w="1827" w:type="dxa"/>
            <w:tcBorders>
              <w:top w:val="nil"/>
              <w:bottom w:val="nil"/>
            </w:tcBorders>
          </w:tcPr>
          <w:p w14:paraId="419787F5" w14:textId="57D492E2" w:rsidR="00DD2657" w:rsidRPr="002C21B8" w:rsidRDefault="00DD2657" w:rsidP="004C4EDD">
            <w:pPr>
              <w:snapToGrid w:val="0"/>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-4.48 (3.4),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327</w:t>
            </w:r>
          </w:p>
        </w:tc>
      </w:tr>
      <w:tr w:rsidR="00DD2657" w:rsidRPr="002C21B8" w14:paraId="279DDC81" w14:textId="77777777" w:rsidTr="005E6A75">
        <w:tc>
          <w:tcPr>
            <w:cnfStyle w:val="001000000000" w:firstRow="0" w:lastRow="0" w:firstColumn="1" w:lastColumn="0" w:oddVBand="0" w:evenVBand="0" w:oddHBand="0" w:evenHBand="0" w:firstRowFirstColumn="0" w:firstRowLastColumn="0" w:lastRowFirstColumn="0" w:lastRowLastColumn="0"/>
            <w:tcW w:w="4836" w:type="dxa"/>
            <w:tcBorders>
              <w:top w:val="nil"/>
              <w:bottom w:val="single" w:sz="12" w:space="0" w:color="auto"/>
            </w:tcBorders>
          </w:tcPr>
          <w:p w14:paraId="706EB0EA" w14:textId="77777777" w:rsidR="00DD2657" w:rsidRPr="002C21B8" w:rsidRDefault="00DD2657" w:rsidP="004C4EDD">
            <w:pPr>
              <w:snapToGrid w:val="0"/>
              <w:spacing w:before="80" w:after="80" w:line="240" w:lineRule="auto"/>
              <w:rPr>
                <w:sz w:val="18"/>
                <w:szCs w:val="18"/>
              </w:rPr>
            </w:pPr>
            <w:r w:rsidRPr="002C21B8">
              <w:rPr>
                <w:sz w:val="18"/>
                <w:szCs w:val="18"/>
              </w:rPr>
              <w:t>Years from RaDaR recruitment to eligibility (mean (SD), n)</w:t>
            </w:r>
          </w:p>
        </w:tc>
        <w:tc>
          <w:tcPr>
            <w:tcW w:w="2268" w:type="dxa"/>
            <w:tcBorders>
              <w:top w:val="nil"/>
              <w:bottom w:val="single" w:sz="12" w:space="0" w:color="auto"/>
            </w:tcBorders>
          </w:tcPr>
          <w:p w14:paraId="6185E170" w14:textId="5744DD91"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-0.43 (1.5),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292</w:t>
            </w:r>
          </w:p>
        </w:tc>
        <w:tc>
          <w:tcPr>
            <w:tcW w:w="1827" w:type="dxa"/>
            <w:tcBorders>
              <w:top w:val="nil"/>
              <w:bottom w:val="single" w:sz="12" w:space="0" w:color="auto"/>
            </w:tcBorders>
          </w:tcPr>
          <w:p w14:paraId="68267D32" w14:textId="3F4E9D5A" w:rsidR="00DD2657" w:rsidRPr="002C21B8" w:rsidRDefault="00DD2657" w:rsidP="004C4EDD">
            <w:pPr>
              <w:snapToGrid w:val="0"/>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-0.22 (2.1), n</w:t>
            </w:r>
            <w:r w:rsidR="00F324B2" w:rsidRPr="002C21B8">
              <w:rPr>
                <w:sz w:val="18"/>
                <w:szCs w:val="18"/>
              </w:rPr>
              <w:t xml:space="preserve"> </w:t>
            </w:r>
            <w:r w:rsidRPr="002C21B8">
              <w:rPr>
                <w:sz w:val="18"/>
                <w:szCs w:val="18"/>
              </w:rPr>
              <w:t>=</w:t>
            </w:r>
            <w:r w:rsidR="00F324B2" w:rsidRPr="002C21B8">
              <w:rPr>
                <w:sz w:val="18"/>
                <w:szCs w:val="18"/>
              </w:rPr>
              <w:t xml:space="preserve"> </w:t>
            </w:r>
            <w:r w:rsidRPr="002C21B8">
              <w:rPr>
                <w:sz w:val="18"/>
                <w:szCs w:val="18"/>
              </w:rPr>
              <w:t>547</w:t>
            </w:r>
          </w:p>
        </w:tc>
      </w:tr>
    </w:tbl>
    <w:p w14:paraId="6E210592" w14:textId="77777777" w:rsidR="00DD2657" w:rsidRPr="002C21B8" w:rsidRDefault="00DD2657" w:rsidP="004C4EDD">
      <w:pPr>
        <w:spacing w:line="240" w:lineRule="auto"/>
      </w:pPr>
    </w:p>
    <w:p w14:paraId="6216606B" w14:textId="77777777" w:rsidR="00464401" w:rsidRPr="002C21B8" w:rsidRDefault="00464401" w:rsidP="00464401">
      <w:pPr>
        <w:spacing w:before="240" w:after="0"/>
        <w:rPr>
          <w:b/>
          <w:bCs/>
          <w:i/>
          <w:iCs/>
        </w:rPr>
      </w:pPr>
      <w:r w:rsidRPr="002C21B8">
        <w:rPr>
          <w:b/>
          <w:bCs/>
          <w:i/>
          <w:iCs/>
        </w:rPr>
        <w:t>Patient-level predictors of initiation in eligible patients</w:t>
      </w:r>
    </w:p>
    <w:p w14:paraId="0F7DE089" w14:textId="2068A348" w:rsidR="00022E8D" w:rsidRPr="002C21B8" w:rsidRDefault="00464401" w:rsidP="00464401">
      <w:r w:rsidRPr="002C21B8">
        <w:t xml:space="preserve">In </w:t>
      </w:r>
      <w:r w:rsidR="00133425" w:rsidRPr="002C21B8">
        <w:t>multivariable mixed-effects</w:t>
      </w:r>
      <w:r w:rsidRPr="002C21B8">
        <w:t xml:space="preserve"> analysis, several factors were associated with the likelihood of initiation. Older age was associated with a lower likelihood of initiation (adjusted OR 0.964, 95% CI: 0.950</w:t>
      </w:r>
      <w:r w:rsidR="0044094E" w:rsidRPr="002C21B8">
        <w:t>–</w:t>
      </w:r>
      <w:r w:rsidRPr="002C21B8">
        <w:t>0.979, P&lt;0.0001). Compared with CKD stages 1</w:t>
      </w:r>
      <w:r w:rsidR="00A25BD2" w:rsidRPr="002C21B8">
        <w:t>–</w:t>
      </w:r>
      <w:r w:rsidRPr="002C21B8">
        <w:t>2, individuals with CKD stages 3a and 3b had a higher likelihood of initiation (adjusted OR 3.77; 95% CI: 2.43</w:t>
      </w:r>
      <w:r w:rsidR="005B23D8" w:rsidRPr="002C21B8">
        <w:t>–</w:t>
      </w:r>
      <w:r w:rsidRPr="002C21B8">
        <w:t>5.85 and adjusted OR 4.45; 95% CI: 2.83</w:t>
      </w:r>
      <w:r w:rsidR="005B23D8" w:rsidRPr="002C21B8">
        <w:t>–</w:t>
      </w:r>
      <w:r w:rsidRPr="002C21B8">
        <w:t>7.02, respectively). Finally, the likelihood of being initiated varied with year of eligibility (global p=0.03). The highest likelihood of initiation was observed in 2017, t</w:t>
      </w:r>
      <w:r w:rsidR="007B0269" w:rsidRPr="002C21B8">
        <w:t>his</w:t>
      </w:r>
      <w:r w:rsidRPr="002C21B8">
        <w:t xml:space="preserve"> remained stable between 2018 and 2020, and then declined from 2021 onwards. Univariable and </w:t>
      </w:r>
      <w:r w:rsidR="00133425" w:rsidRPr="002C21B8">
        <w:t>multivariable mixed-effects</w:t>
      </w:r>
      <w:r w:rsidRPr="002C21B8">
        <w:t xml:space="preserve"> logistic regression results are summarised in </w:t>
      </w:r>
      <w:r w:rsidRPr="002C21B8">
        <w:fldChar w:fldCharType="begin"/>
      </w:r>
      <w:r w:rsidRPr="002C21B8">
        <w:instrText xml:space="preserve"> REF _Ref220074515 \h </w:instrText>
      </w:r>
      <w:r w:rsidR="00585F6D" w:rsidRPr="002C21B8">
        <w:instrText xml:space="preserve"> \* MERGEFORMAT </w:instrText>
      </w:r>
      <w:r w:rsidRPr="002C21B8">
        <w:fldChar w:fldCharType="separate"/>
      </w:r>
      <w:r w:rsidR="00DB3709" w:rsidRPr="002C21B8">
        <w:t xml:space="preserve">Figure </w:t>
      </w:r>
      <w:r w:rsidR="00DB3709">
        <w:t>10</w:t>
      </w:r>
      <w:r w:rsidRPr="002C21B8">
        <w:fldChar w:fldCharType="end"/>
      </w:r>
      <w:r w:rsidRPr="002C21B8">
        <w:t>.</w:t>
      </w:r>
    </w:p>
    <w:p w14:paraId="0A3A2527" w14:textId="77777777" w:rsidR="00022E8D" w:rsidRPr="002C21B8" w:rsidRDefault="00022E8D">
      <w:pPr>
        <w:spacing w:after="0" w:line="240" w:lineRule="auto"/>
        <w:jc w:val="left"/>
      </w:pPr>
      <w:r w:rsidRPr="002C21B8">
        <w:br w:type="page"/>
      </w:r>
    </w:p>
    <w:p w14:paraId="29FB07F0" w14:textId="3AA7025A" w:rsidR="00DD2657" w:rsidRPr="002C21B8" w:rsidRDefault="00DD2657" w:rsidP="00AA2D75">
      <w:pPr>
        <w:pStyle w:val="Caption"/>
        <w:keepNext w:val="0"/>
        <w:rPr>
          <w:noProof w:val="0"/>
        </w:rPr>
      </w:pPr>
      <w:bookmarkStart w:id="148" w:name="_Ref220074515"/>
      <w:bookmarkStart w:id="149" w:name="_Toc236991768"/>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10</w:t>
      </w:r>
      <w:r w:rsidR="001B725E" w:rsidRPr="002C21B8">
        <w:rPr>
          <w:noProof w:val="0"/>
        </w:rPr>
        <w:fldChar w:fldCharType="end"/>
      </w:r>
      <w:bookmarkEnd w:id="148"/>
      <w:r w:rsidRPr="002C21B8">
        <w:rPr>
          <w:noProof w:val="0"/>
        </w:rPr>
        <w:t>. Forest plot of predictors for initiation in eligible patients</w:t>
      </w:r>
      <w:bookmarkEnd w:id="149"/>
    </w:p>
    <w:p w14:paraId="65ECAEAC" w14:textId="7FA7B748" w:rsidR="002043C6" w:rsidRPr="002C21B8" w:rsidRDefault="00022E8D" w:rsidP="00AA2D75">
      <w:pPr>
        <w:spacing w:line="240" w:lineRule="auto"/>
      </w:pPr>
      <w:r w:rsidRPr="002C21B8">
        <w:rPr>
          <w:noProof/>
        </w:rPr>
        <w:drawing>
          <wp:inline distT="0" distB="0" distL="0" distR="0" wp14:anchorId="602F4CC6" wp14:editId="39D235C6">
            <wp:extent cx="5731510" cy="6007735"/>
            <wp:effectExtent l="0" t="0" r="0" b="0"/>
            <wp:docPr id="172866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62755" name=""/>
                    <pic:cNvPicPr/>
                  </pic:nvPicPr>
                  <pic:blipFill>
                    <a:blip r:embed="rId38"/>
                    <a:stretch>
                      <a:fillRect/>
                    </a:stretch>
                  </pic:blipFill>
                  <pic:spPr>
                    <a:xfrm>
                      <a:off x="0" y="0"/>
                      <a:ext cx="5731510" cy="6007735"/>
                    </a:xfrm>
                    <a:prstGeom prst="rect">
                      <a:avLst/>
                    </a:prstGeom>
                  </pic:spPr>
                </pic:pic>
              </a:graphicData>
            </a:graphic>
          </wp:inline>
        </w:drawing>
      </w:r>
    </w:p>
    <w:p w14:paraId="25E374E5" w14:textId="14A99FCD" w:rsidR="00464401" w:rsidRPr="002C21B8" w:rsidRDefault="00464401" w:rsidP="00464401">
      <w:pPr>
        <w:spacing w:before="240" w:after="0"/>
        <w:rPr>
          <w:b/>
          <w:bCs/>
          <w:i/>
          <w:iCs/>
        </w:rPr>
      </w:pPr>
      <w:r w:rsidRPr="002C21B8">
        <w:rPr>
          <w:b/>
          <w:bCs/>
          <w:i/>
          <w:iCs/>
        </w:rPr>
        <w:t xml:space="preserve">Initiation in eligible patients by kidney centres </w:t>
      </w:r>
    </w:p>
    <w:p w14:paraId="2208473D" w14:textId="23ED065C" w:rsidR="00BD3D93" w:rsidRPr="002C21B8" w:rsidRDefault="00464401" w:rsidP="00464401">
      <w:r w:rsidRPr="002C21B8">
        <w:t xml:space="preserve">Analysis of indirectly standardised ratios (ISRs) of tolvaptan initiation in eligible patients showed variation across the 53 included kidney centres (adjusted for age, CKD stage and year of eligibility). Only one kidney centre (1.9%) had significantly fewer patients initiated than expected among eligible patients, falling below the 3SD control limit. Five kidney centres (9.4%) were found to have significantly more patients initiated than expected among eligible patients, above the 2SD control limits. Adjusted funnel plots are included in </w:t>
      </w:r>
      <w:r w:rsidRPr="002C21B8">
        <w:fldChar w:fldCharType="begin"/>
      </w:r>
      <w:r w:rsidRPr="002C21B8">
        <w:instrText xml:space="preserve"> REF _Ref220074552 \h  \* MERGEFORMAT </w:instrText>
      </w:r>
      <w:r w:rsidRPr="002C21B8">
        <w:fldChar w:fldCharType="separate"/>
      </w:r>
      <w:r w:rsidR="00DB3709" w:rsidRPr="002C21B8">
        <w:t xml:space="preserve">Figure </w:t>
      </w:r>
      <w:r w:rsidR="00DB3709">
        <w:t>11</w:t>
      </w:r>
      <w:r w:rsidRPr="002C21B8">
        <w:fldChar w:fldCharType="end"/>
      </w:r>
      <w:r w:rsidRPr="002C21B8">
        <w:t xml:space="preserve"> and unadjusted funnel plots in </w:t>
      </w:r>
      <w:hyperlink w:anchor="_Unadjusted_funnel_plots_1" w:history="1">
        <w:r w:rsidR="00C83686" w:rsidRPr="002C21B8">
          <w:rPr>
            <w:rStyle w:val="Hyperlink"/>
          </w:rPr>
          <w:t>Appendix 6</w:t>
        </w:r>
      </w:hyperlink>
      <w:r w:rsidRPr="002C21B8">
        <w:t>.</w:t>
      </w:r>
    </w:p>
    <w:p w14:paraId="6622609A" w14:textId="77777777" w:rsidR="00BD3D93" w:rsidRPr="002C21B8" w:rsidRDefault="00BD3D93">
      <w:pPr>
        <w:spacing w:after="0" w:line="240" w:lineRule="auto"/>
        <w:jc w:val="left"/>
      </w:pPr>
      <w:r w:rsidRPr="002C21B8">
        <w:br w:type="page"/>
      </w:r>
    </w:p>
    <w:p w14:paraId="5DA34CA3" w14:textId="2C38F1FE" w:rsidR="00DD2657" w:rsidRPr="002C21B8" w:rsidRDefault="00DD2657" w:rsidP="00AA2D75">
      <w:pPr>
        <w:pStyle w:val="Caption"/>
        <w:keepNext w:val="0"/>
        <w:rPr>
          <w:noProof w:val="0"/>
        </w:rPr>
      </w:pPr>
      <w:bookmarkStart w:id="150" w:name="_Ref220074552"/>
      <w:bookmarkStart w:id="151" w:name="_Toc236991769"/>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11</w:t>
      </w:r>
      <w:r w:rsidR="001B725E" w:rsidRPr="002C21B8">
        <w:rPr>
          <w:noProof w:val="0"/>
        </w:rPr>
        <w:fldChar w:fldCharType="end"/>
      </w:r>
      <w:bookmarkEnd w:id="150"/>
      <w:r w:rsidRPr="002C21B8">
        <w:rPr>
          <w:noProof w:val="0"/>
        </w:rPr>
        <w:t>. Tolvaptan initiation in</w:t>
      </w:r>
      <w:r w:rsidR="0076465F" w:rsidRPr="002C21B8">
        <w:rPr>
          <w:noProof w:val="0"/>
        </w:rPr>
        <w:t xml:space="preserve"> </w:t>
      </w:r>
      <w:r w:rsidRPr="002C21B8">
        <w:rPr>
          <w:noProof w:val="0"/>
        </w:rPr>
        <w:t>eligible patients by kidney centre; adjusted for age, CKD stage, and year of eligibility</w:t>
      </w:r>
      <w:bookmarkEnd w:id="151"/>
    </w:p>
    <w:p w14:paraId="6090E74B" w14:textId="1C4B769A" w:rsidR="00E71D27" w:rsidRPr="002C21B8" w:rsidRDefault="002178F3" w:rsidP="00AA2D75">
      <w:pPr>
        <w:spacing w:line="240" w:lineRule="auto"/>
        <w:rPr>
          <w:rStyle w:val="Heading3Char"/>
          <w:b w:val="0"/>
          <w:bCs w:val="0"/>
        </w:rPr>
      </w:pPr>
      <w:r w:rsidRPr="002C21B8">
        <w:rPr>
          <w:rFonts w:eastAsiaTheme="majorEastAsia"/>
          <w:noProof/>
          <w:color w:val="000000" w:themeColor="text1"/>
          <w:sz w:val="28"/>
          <w:szCs w:val="28"/>
        </w:rPr>
        <w:drawing>
          <wp:inline distT="0" distB="0" distL="0" distR="0" wp14:anchorId="1611BA8E" wp14:editId="4C8E2DDF">
            <wp:extent cx="5731510" cy="3306445"/>
            <wp:effectExtent l="0" t="0" r="0" b="0"/>
            <wp:docPr id="78710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02150" name=""/>
                    <pic:cNvPicPr/>
                  </pic:nvPicPr>
                  <pic:blipFill>
                    <a:blip r:embed="rId39"/>
                    <a:stretch>
                      <a:fillRect/>
                    </a:stretch>
                  </pic:blipFill>
                  <pic:spPr>
                    <a:xfrm>
                      <a:off x="0" y="0"/>
                      <a:ext cx="5731510" cy="3306445"/>
                    </a:xfrm>
                    <a:prstGeom prst="rect">
                      <a:avLst/>
                    </a:prstGeom>
                  </pic:spPr>
                </pic:pic>
              </a:graphicData>
            </a:graphic>
          </wp:inline>
        </w:drawing>
      </w:r>
    </w:p>
    <w:p w14:paraId="58E0AFDA" w14:textId="16820EAE" w:rsidR="00464401" w:rsidRPr="002C21B8" w:rsidRDefault="00464401" w:rsidP="00464401">
      <w:pPr>
        <w:spacing w:before="240" w:after="0"/>
        <w:rPr>
          <w:b/>
          <w:bCs/>
          <w:sz w:val="24"/>
          <w:szCs w:val="24"/>
        </w:rPr>
      </w:pPr>
      <w:r w:rsidRPr="002C21B8">
        <w:rPr>
          <w:b/>
          <w:bCs/>
          <w:sz w:val="24"/>
          <w:szCs w:val="24"/>
        </w:rPr>
        <w:t>Patients initiated on tolvaptan who were not eligible</w:t>
      </w:r>
    </w:p>
    <w:p w14:paraId="3EC71C61" w14:textId="77777777" w:rsidR="00464401" w:rsidRPr="002C21B8" w:rsidRDefault="00464401" w:rsidP="007E6078">
      <w:pPr>
        <w:spacing w:after="0"/>
        <w:rPr>
          <w:b/>
          <w:bCs/>
          <w:i/>
          <w:iCs/>
        </w:rPr>
      </w:pPr>
      <w:r w:rsidRPr="002C21B8">
        <w:rPr>
          <w:b/>
          <w:bCs/>
          <w:i/>
          <w:iCs/>
        </w:rPr>
        <w:t>Patients initiated on tolvaptan, by eligibility</w:t>
      </w:r>
    </w:p>
    <w:p w14:paraId="41E3FA3C" w14:textId="4924A6F5" w:rsidR="00BE7646" w:rsidRPr="002C21B8" w:rsidRDefault="00464401" w:rsidP="00340C2D">
      <w:pPr>
        <w:spacing w:after="160"/>
        <w:rPr>
          <w:noProof/>
        </w:rPr>
      </w:pPr>
      <w:r w:rsidRPr="002C21B8">
        <w:t>395 patients were initiated on tolvaptan</w:t>
      </w:r>
      <w:r w:rsidR="008D5C4F" w:rsidRPr="002C21B8">
        <w:t>,</w:t>
      </w:r>
      <w:r w:rsidRPr="002C21B8">
        <w:t xml:space="preserve"> with 26.1% (103/395) not eligible according to </w:t>
      </w:r>
      <w:r w:rsidR="008D5C4F" w:rsidRPr="002C21B8">
        <w:t xml:space="preserve">the </w:t>
      </w:r>
      <w:r w:rsidRPr="002C21B8">
        <w:t xml:space="preserve">Renal Association criteria. Ineligible patients who were initiated had a higher mean age at initiation of 48.3 years compared with 45.5 years in eligible patients. Mean eGFR </w:t>
      </w:r>
      <w:r w:rsidR="008D5C4F" w:rsidRPr="002C21B8">
        <w:t>before</w:t>
      </w:r>
      <w:r w:rsidRPr="002C21B8">
        <w:t xml:space="preserve"> initiation was lower in patients who were not eligible than those </w:t>
      </w:r>
      <w:r w:rsidR="00B50E9C" w:rsidRPr="002C21B8">
        <w:t xml:space="preserve">who </w:t>
      </w:r>
      <w:r w:rsidRPr="002C21B8">
        <w:t xml:space="preserve">were </w:t>
      </w:r>
      <w:r w:rsidR="00B50E9C" w:rsidRPr="002C21B8">
        <w:t>eligible</w:t>
      </w:r>
      <w:r w:rsidR="00101896" w:rsidRPr="002C21B8">
        <w:t xml:space="preserve"> </w:t>
      </w:r>
      <w:r w:rsidRPr="002C21B8">
        <w:t>(47.5 vs 50.4 ml/min/1.73m</w:t>
      </w:r>
      <w:r w:rsidRPr="002C21B8">
        <w:rPr>
          <w:vertAlign w:val="superscript"/>
        </w:rPr>
        <w:t>2</w:t>
      </w:r>
      <w:r w:rsidRPr="002C21B8">
        <w:t>). Patients who were not eligible exhibited less rapidly progressive disease: the 1-year eGFR decline was 9.55 ml/min/1.73m</w:t>
      </w:r>
      <w:r w:rsidRPr="002C21B8">
        <w:rPr>
          <w:vertAlign w:val="superscript"/>
        </w:rPr>
        <w:t>2</w:t>
      </w:r>
      <w:r w:rsidRPr="002C21B8">
        <w:t xml:space="preserve"> slower than in patients who were not eligible than those that were</w:t>
      </w:r>
      <w:r w:rsidR="00381279" w:rsidRPr="002C21B8">
        <w:t xml:space="preserve"> eligible</w:t>
      </w:r>
      <w:r w:rsidRPr="002C21B8">
        <w:t xml:space="preserve"> (2.28 vs -7.27 ml/min/1.73m</w:t>
      </w:r>
      <w:r w:rsidRPr="002C21B8">
        <w:rPr>
          <w:vertAlign w:val="superscript"/>
        </w:rPr>
        <w:t>2</w:t>
      </w:r>
      <w:r w:rsidRPr="002C21B8">
        <w:t>)</w:t>
      </w:r>
      <w:r w:rsidR="00B53C57" w:rsidRPr="002C21B8">
        <w:t>,</w:t>
      </w:r>
      <w:r w:rsidRPr="002C21B8">
        <w:t xml:space="preserve"> and the 5-year decline was 3.87 ml/min/1.73m</w:t>
      </w:r>
      <w:r w:rsidRPr="002C21B8">
        <w:rPr>
          <w:vertAlign w:val="superscript"/>
        </w:rPr>
        <w:t>2</w:t>
      </w:r>
      <w:r w:rsidRPr="002C21B8">
        <w:t xml:space="preserve"> slower (-0.39 vs -4.26 ml/min/1.73m</w:t>
      </w:r>
      <w:r w:rsidRPr="002C21B8">
        <w:rPr>
          <w:vertAlign w:val="superscript"/>
        </w:rPr>
        <w:t>2</w:t>
      </w:r>
      <w:r w:rsidRPr="002C21B8">
        <w:t xml:space="preserve"> per year). </w:t>
      </w:r>
      <w:r w:rsidR="00DD2657" w:rsidRPr="002C21B8">
        <w:t>Se</w:t>
      </w:r>
      <w:r w:rsidR="00340C2D" w:rsidRPr="002C21B8">
        <w:t xml:space="preserve">e </w:t>
      </w:r>
      <w:r w:rsidR="00DD2657" w:rsidRPr="002C21B8">
        <w:fldChar w:fldCharType="begin"/>
      </w:r>
      <w:r w:rsidR="00DD2657" w:rsidRPr="002C21B8">
        <w:instrText xml:space="preserve"> REF _Ref220074410 \h  \* MERGEFORMAT </w:instrText>
      </w:r>
      <w:r w:rsidR="00DD2657" w:rsidRPr="002C21B8">
        <w:fldChar w:fldCharType="separate"/>
      </w:r>
      <w:r w:rsidR="00DB3709" w:rsidRPr="002C21B8">
        <w:t>Table</w:t>
      </w:r>
      <w:r w:rsidR="00DB3709" w:rsidRPr="002C21B8">
        <w:rPr>
          <w:noProof/>
        </w:rPr>
        <w:t xml:space="preserve"> </w:t>
      </w:r>
      <w:r w:rsidR="00DB3709">
        <w:rPr>
          <w:noProof/>
        </w:rPr>
        <w:t>13</w:t>
      </w:r>
      <w:r w:rsidR="00DD2657" w:rsidRPr="002C21B8">
        <w:fldChar w:fldCharType="end"/>
      </w:r>
      <w:r w:rsidR="00DD2657" w:rsidRPr="002C21B8">
        <w:t xml:space="preserve"> for the overview of ineligible vs eligible patients initiated on tolvaptan.</w:t>
      </w:r>
      <w:bookmarkStart w:id="152" w:name="_Ref220074410"/>
    </w:p>
    <w:p w14:paraId="342C9164" w14:textId="00A11FE0" w:rsidR="00DD2657" w:rsidRPr="002C21B8" w:rsidRDefault="00DD2657" w:rsidP="00E226D2">
      <w:pPr>
        <w:pStyle w:val="Caption"/>
        <w:keepNext w:val="0"/>
        <w:rPr>
          <w:noProof w:val="0"/>
        </w:rPr>
      </w:pPr>
      <w:bookmarkStart w:id="153" w:name="_Toc236991749"/>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13</w:t>
      </w:r>
      <w:r w:rsidRPr="002C21B8">
        <w:rPr>
          <w:noProof w:val="0"/>
        </w:rPr>
        <w:fldChar w:fldCharType="end"/>
      </w:r>
      <w:bookmarkEnd w:id="152"/>
      <w:r w:rsidRPr="002C21B8">
        <w:rPr>
          <w:noProof w:val="0"/>
        </w:rPr>
        <w:t>. Characteristics of patients initiated on tolvaptan, stratified by eligibility status</w:t>
      </w:r>
      <w:bookmarkEnd w:id="153"/>
    </w:p>
    <w:tbl>
      <w:tblPr>
        <w:tblStyle w:val="PlainTable2"/>
        <w:tblW w:w="8931" w:type="dxa"/>
        <w:jc w:val="center"/>
        <w:tblLook w:val="04A0" w:firstRow="1" w:lastRow="0" w:firstColumn="1" w:lastColumn="0" w:noHBand="0" w:noVBand="1"/>
      </w:tblPr>
      <w:tblGrid>
        <w:gridCol w:w="5103"/>
        <w:gridCol w:w="1914"/>
        <w:gridCol w:w="1914"/>
      </w:tblGrid>
      <w:tr w:rsidR="00DD2657" w:rsidRPr="002C21B8" w14:paraId="2073B98E" w14:textId="77777777" w:rsidTr="009C32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12" w:space="0" w:color="auto"/>
              <w:bottom w:val="nil"/>
            </w:tcBorders>
          </w:tcPr>
          <w:p w14:paraId="2CD27635" w14:textId="77777777" w:rsidR="00DD2657" w:rsidRPr="002C21B8" w:rsidRDefault="00DD2657" w:rsidP="00E226D2">
            <w:pPr>
              <w:spacing w:before="80" w:after="80" w:line="240" w:lineRule="auto"/>
              <w:rPr>
                <w:sz w:val="18"/>
                <w:szCs w:val="18"/>
              </w:rPr>
            </w:pPr>
          </w:p>
        </w:tc>
        <w:tc>
          <w:tcPr>
            <w:tcW w:w="3828" w:type="dxa"/>
            <w:gridSpan w:val="2"/>
            <w:tcBorders>
              <w:top w:val="single" w:sz="12" w:space="0" w:color="auto"/>
              <w:bottom w:val="single" w:sz="4" w:space="0" w:color="000000" w:themeColor="text1"/>
            </w:tcBorders>
          </w:tcPr>
          <w:p w14:paraId="210D90AB" w14:textId="65E39F73" w:rsidR="00DD2657" w:rsidRPr="002C21B8" w:rsidRDefault="00DD2657" w:rsidP="00E226D2">
            <w:pPr>
              <w:spacing w:before="80" w:after="8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2C21B8">
              <w:rPr>
                <w:sz w:val="18"/>
                <w:szCs w:val="18"/>
              </w:rPr>
              <w:t>Patients initiated on tolvaptan (n</w:t>
            </w:r>
            <w:r w:rsidR="00202F0E" w:rsidRPr="002C21B8">
              <w:rPr>
                <w:sz w:val="18"/>
                <w:szCs w:val="18"/>
              </w:rPr>
              <w:t xml:space="preserve"> </w:t>
            </w:r>
            <w:r w:rsidRPr="002C21B8">
              <w:rPr>
                <w:sz w:val="18"/>
                <w:szCs w:val="18"/>
              </w:rPr>
              <w:t>=</w:t>
            </w:r>
            <w:r w:rsidR="00202F0E" w:rsidRPr="002C21B8">
              <w:rPr>
                <w:sz w:val="18"/>
                <w:szCs w:val="18"/>
              </w:rPr>
              <w:t xml:space="preserve"> </w:t>
            </w:r>
            <w:r w:rsidRPr="002C21B8">
              <w:rPr>
                <w:sz w:val="18"/>
                <w:szCs w:val="18"/>
              </w:rPr>
              <w:t>395)</w:t>
            </w:r>
          </w:p>
        </w:tc>
      </w:tr>
      <w:tr w:rsidR="00DD2657" w:rsidRPr="002C21B8" w14:paraId="5345ECCC" w14:textId="77777777" w:rsidTr="009C32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4" w:space="0" w:color="000000" w:themeColor="text1"/>
            </w:tcBorders>
          </w:tcPr>
          <w:p w14:paraId="12A2305D" w14:textId="77777777" w:rsidR="00DD2657" w:rsidRPr="002C21B8" w:rsidRDefault="00DD2657" w:rsidP="00E226D2">
            <w:pPr>
              <w:spacing w:before="80" w:after="80" w:line="240" w:lineRule="auto"/>
              <w:rPr>
                <w:sz w:val="18"/>
                <w:szCs w:val="18"/>
              </w:rPr>
            </w:pPr>
            <w:r w:rsidRPr="002C21B8">
              <w:rPr>
                <w:sz w:val="18"/>
                <w:szCs w:val="18"/>
              </w:rPr>
              <w:t>Variable</w:t>
            </w:r>
          </w:p>
        </w:tc>
        <w:tc>
          <w:tcPr>
            <w:tcW w:w="1914" w:type="dxa"/>
            <w:tcBorders>
              <w:top w:val="single" w:sz="4" w:space="0" w:color="000000" w:themeColor="text1"/>
              <w:bottom w:val="single" w:sz="4" w:space="0" w:color="000000" w:themeColor="text1"/>
            </w:tcBorders>
          </w:tcPr>
          <w:p w14:paraId="732626F7" w14:textId="07D3E1EF"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Eligible (n</w:t>
            </w:r>
            <w:r w:rsidR="00202F0E" w:rsidRPr="002C21B8">
              <w:rPr>
                <w:sz w:val="18"/>
                <w:szCs w:val="18"/>
              </w:rPr>
              <w:t xml:space="preserve"> </w:t>
            </w:r>
            <w:r w:rsidRPr="002C21B8">
              <w:rPr>
                <w:sz w:val="18"/>
                <w:szCs w:val="18"/>
              </w:rPr>
              <w:t>=</w:t>
            </w:r>
            <w:r w:rsidR="00202F0E" w:rsidRPr="002C21B8">
              <w:rPr>
                <w:sz w:val="18"/>
                <w:szCs w:val="18"/>
              </w:rPr>
              <w:t xml:space="preserve"> </w:t>
            </w:r>
            <w:r w:rsidRPr="002C21B8">
              <w:rPr>
                <w:sz w:val="18"/>
                <w:szCs w:val="18"/>
              </w:rPr>
              <w:t>292)</w:t>
            </w:r>
          </w:p>
        </w:tc>
        <w:tc>
          <w:tcPr>
            <w:tcW w:w="1914" w:type="dxa"/>
            <w:tcBorders>
              <w:top w:val="single" w:sz="4" w:space="0" w:color="000000" w:themeColor="text1"/>
              <w:bottom w:val="single" w:sz="4" w:space="0" w:color="000000" w:themeColor="text1"/>
            </w:tcBorders>
          </w:tcPr>
          <w:p w14:paraId="19B1C100" w14:textId="1E587CE0"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Ineligible (n</w:t>
            </w:r>
            <w:r w:rsidR="00202F0E" w:rsidRPr="002C21B8">
              <w:rPr>
                <w:sz w:val="18"/>
                <w:szCs w:val="18"/>
              </w:rPr>
              <w:t xml:space="preserve"> </w:t>
            </w:r>
            <w:r w:rsidRPr="002C21B8">
              <w:rPr>
                <w:sz w:val="18"/>
                <w:szCs w:val="18"/>
              </w:rPr>
              <w:t>=</w:t>
            </w:r>
            <w:r w:rsidR="00202F0E" w:rsidRPr="002C21B8">
              <w:rPr>
                <w:sz w:val="18"/>
                <w:szCs w:val="18"/>
              </w:rPr>
              <w:t xml:space="preserve"> </w:t>
            </w:r>
            <w:r w:rsidRPr="002C21B8">
              <w:rPr>
                <w:sz w:val="18"/>
                <w:szCs w:val="18"/>
              </w:rPr>
              <w:t>103)</w:t>
            </w:r>
          </w:p>
        </w:tc>
      </w:tr>
      <w:tr w:rsidR="00DD2657" w:rsidRPr="002C21B8" w14:paraId="38F299C8" w14:textId="77777777" w:rsidTr="009C3220">
        <w:trPr>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tcPr>
          <w:p w14:paraId="3C9A391C" w14:textId="77777777" w:rsidR="00DD2657" w:rsidRPr="002C21B8" w:rsidRDefault="00DD2657" w:rsidP="00E226D2">
            <w:pPr>
              <w:spacing w:before="80" w:after="80" w:line="240" w:lineRule="auto"/>
              <w:rPr>
                <w:sz w:val="18"/>
                <w:szCs w:val="18"/>
              </w:rPr>
            </w:pPr>
            <w:r w:rsidRPr="002C21B8">
              <w:rPr>
                <w:sz w:val="18"/>
                <w:szCs w:val="18"/>
              </w:rPr>
              <w:t>Age at tolvaptan initiation (mean (SD), n)</w:t>
            </w:r>
          </w:p>
        </w:tc>
        <w:tc>
          <w:tcPr>
            <w:tcW w:w="1914" w:type="dxa"/>
            <w:tcBorders>
              <w:top w:val="nil"/>
              <w:bottom w:val="nil"/>
            </w:tcBorders>
          </w:tcPr>
          <w:p w14:paraId="038DA956" w14:textId="3467FD9B"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45.5 (9.91), n</w:t>
            </w:r>
            <w:r w:rsidR="00213A44" w:rsidRPr="002C21B8">
              <w:rPr>
                <w:sz w:val="18"/>
                <w:szCs w:val="18"/>
              </w:rPr>
              <w:t xml:space="preserve"> </w:t>
            </w:r>
            <w:r w:rsidRPr="002C21B8">
              <w:rPr>
                <w:sz w:val="18"/>
                <w:szCs w:val="18"/>
              </w:rPr>
              <w:t>=</w:t>
            </w:r>
            <w:r w:rsidR="00213A44" w:rsidRPr="002C21B8">
              <w:rPr>
                <w:sz w:val="18"/>
                <w:szCs w:val="18"/>
              </w:rPr>
              <w:t xml:space="preserve"> </w:t>
            </w:r>
            <w:r w:rsidRPr="002C21B8">
              <w:rPr>
                <w:sz w:val="18"/>
                <w:szCs w:val="18"/>
              </w:rPr>
              <w:t>292</w:t>
            </w:r>
          </w:p>
        </w:tc>
        <w:tc>
          <w:tcPr>
            <w:tcW w:w="1914" w:type="dxa"/>
            <w:tcBorders>
              <w:top w:val="nil"/>
              <w:bottom w:val="nil"/>
            </w:tcBorders>
          </w:tcPr>
          <w:p w14:paraId="6CA60AA0" w14:textId="13DADD2D"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48.3 (10.2), n</w:t>
            </w:r>
            <w:r w:rsidR="00213A44" w:rsidRPr="002C21B8">
              <w:rPr>
                <w:sz w:val="18"/>
                <w:szCs w:val="18"/>
              </w:rPr>
              <w:t xml:space="preserve"> </w:t>
            </w:r>
            <w:r w:rsidRPr="002C21B8">
              <w:rPr>
                <w:sz w:val="18"/>
                <w:szCs w:val="18"/>
              </w:rPr>
              <w:t>=103</w:t>
            </w:r>
          </w:p>
        </w:tc>
      </w:tr>
      <w:tr w:rsidR="00DD2657" w:rsidRPr="002C21B8" w14:paraId="71BB70EE" w14:textId="77777777" w:rsidTr="009C32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tcPr>
          <w:p w14:paraId="4E0258A9" w14:textId="77777777" w:rsidR="00DD2657" w:rsidRPr="002C21B8" w:rsidRDefault="00DD2657" w:rsidP="00E226D2">
            <w:pPr>
              <w:spacing w:before="80" w:after="80" w:line="240" w:lineRule="auto"/>
              <w:rPr>
                <w:sz w:val="18"/>
                <w:szCs w:val="18"/>
              </w:rPr>
            </w:pPr>
            <w:r w:rsidRPr="002C21B8">
              <w:rPr>
                <w:sz w:val="18"/>
                <w:szCs w:val="18"/>
              </w:rPr>
              <w:t>eGFR prior to tolvaptan initiation (mean (SD), n)</w:t>
            </w:r>
          </w:p>
        </w:tc>
        <w:tc>
          <w:tcPr>
            <w:tcW w:w="1914" w:type="dxa"/>
            <w:tcBorders>
              <w:top w:val="nil"/>
              <w:bottom w:val="nil"/>
            </w:tcBorders>
          </w:tcPr>
          <w:p w14:paraId="4B101E6A" w14:textId="3786158E"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47.5 (14.6), n</w:t>
            </w:r>
            <w:r w:rsidR="00213A44" w:rsidRPr="002C21B8">
              <w:rPr>
                <w:sz w:val="18"/>
                <w:szCs w:val="18"/>
              </w:rPr>
              <w:t xml:space="preserve"> </w:t>
            </w:r>
            <w:r w:rsidRPr="002C21B8">
              <w:rPr>
                <w:sz w:val="18"/>
                <w:szCs w:val="18"/>
              </w:rPr>
              <w:t>=</w:t>
            </w:r>
            <w:r w:rsidR="00213A44" w:rsidRPr="002C21B8">
              <w:rPr>
                <w:sz w:val="18"/>
                <w:szCs w:val="18"/>
              </w:rPr>
              <w:t xml:space="preserve"> </w:t>
            </w:r>
            <w:r w:rsidRPr="002C21B8">
              <w:rPr>
                <w:sz w:val="18"/>
                <w:szCs w:val="18"/>
              </w:rPr>
              <w:t>292</w:t>
            </w:r>
          </w:p>
        </w:tc>
        <w:tc>
          <w:tcPr>
            <w:tcW w:w="1914" w:type="dxa"/>
            <w:tcBorders>
              <w:top w:val="nil"/>
              <w:bottom w:val="nil"/>
            </w:tcBorders>
          </w:tcPr>
          <w:p w14:paraId="446BAC3D" w14:textId="4E63B6DA"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50.4 (16.7), n</w:t>
            </w:r>
            <w:r w:rsidR="00213A44" w:rsidRPr="002C21B8">
              <w:rPr>
                <w:sz w:val="18"/>
                <w:szCs w:val="18"/>
              </w:rPr>
              <w:t xml:space="preserve"> </w:t>
            </w:r>
            <w:r w:rsidRPr="002C21B8">
              <w:rPr>
                <w:sz w:val="18"/>
                <w:szCs w:val="18"/>
              </w:rPr>
              <w:t>=</w:t>
            </w:r>
            <w:r w:rsidR="00DD0679" w:rsidRPr="002C21B8">
              <w:rPr>
                <w:sz w:val="18"/>
                <w:szCs w:val="18"/>
              </w:rPr>
              <w:t>1</w:t>
            </w:r>
            <w:r w:rsidRPr="002C21B8">
              <w:rPr>
                <w:sz w:val="18"/>
                <w:szCs w:val="18"/>
              </w:rPr>
              <w:t>03</w:t>
            </w:r>
          </w:p>
        </w:tc>
      </w:tr>
      <w:tr w:rsidR="00DD2657" w:rsidRPr="002C21B8" w14:paraId="74B986F0" w14:textId="77777777" w:rsidTr="009C3220">
        <w:trPr>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tcPr>
          <w:p w14:paraId="3EE85352" w14:textId="77777777" w:rsidR="00DD2657" w:rsidRPr="002C21B8" w:rsidRDefault="00DD2657" w:rsidP="00E226D2">
            <w:pPr>
              <w:spacing w:before="80" w:after="80" w:line="240" w:lineRule="auto"/>
              <w:rPr>
                <w:sz w:val="18"/>
                <w:szCs w:val="18"/>
              </w:rPr>
            </w:pPr>
            <w:r w:rsidRPr="002C21B8">
              <w:rPr>
                <w:sz w:val="18"/>
                <w:szCs w:val="18"/>
              </w:rPr>
              <w:t>eGFR slope in year prior to tolvaptan initiation (mean (SD), n)</w:t>
            </w:r>
          </w:p>
        </w:tc>
        <w:tc>
          <w:tcPr>
            <w:tcW w:w="1914" w:type="dxa"/>
            <w:tcBorders>
              <w:top w:val="nil"/>
              <w:bottom w:val="nil"/>
            </w:tcBorders>
          </w:tcPr>
          <w:p w14:paraId="71D14A2D" w14:textId="23EB45A0"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-7.27 (9.4), n</w:t>
            </w:r>
            <w:r w:rsidR="00213A44" w:rsidRPr="002C21B8">
              <w:rPr>
                <w:sz w:val="18"/>
                <w:szCs w:val="18"/>
              </w:rPr>
              <w:t xml:space="preserve"> </w:t>
            </w:r>
            <w:r w:rsidRPr="002C21B8">
              <w:rPr>
                <w:sz w:val="18"/>
                <w:szCs w:val="18"/>
              </w:rPr>
              <w:t>=</w:t>
            </w:r>
            <w:r w:rsidR="00213A44" w:rsidRPr="002C21B8">
              <w:rPr>
                <w:sz w:val="18"/>
                <w:szCs w:val="18"/>
              </w:rPr>
              <w:t xml:space="preserve"> </w:t>
            </w:r>
            <w:r w:rsidRPr="002C21B8">
              <w:rPr>
                <w:sz w:val="18"/>
                <w:szCs w:val="18"/>
              </w:rPr>
              <w:t>291</w:t>
            </w:r>
          </w:p>
        </w:tc>
        <w:tc>
          <w:tcPr>
            <w:tcW w:w="1914" w:type="dxa"/>
            <w:tcBorders>
              <w:top w:val="nil"/>
              <w:bottom w:val="nil"/>
            </w:tcBorders>
          </w:tcPr>
          <w:p w14:paraId="051794F1" w14:textId="626AA92D"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2.28 (5.9), n</w:t>
            </w:r>
            <w:r w:rsidR="00213A44" w:rsidRPr="002C21B8">
              <w:rPr>
                <w:sz w:val="18"/>
                <w:szCs w:val="18"/>
              </w:rPr>
              <w:t xml:space="preserve"> </w:t>
            </w:r>
            <w:r w:rsidRPr="002C21B8">
              <w:rPr>
                <w:sz w:val="18"/>
                <w:szCs w:val="18"/>
              </w:rPr>
              <w:t>=98</w:t>
            </w:r>
          </w:p>
        </w:tc>
      </w:tr>
      <w:tr w:rsidR="00DD2657" w:rsidRPr="002C21B8" w14:paraId="050EA10C" w14:textId="77777777" w:rsidTr="009C32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tcPr>
          <w:p w14:paraId="0C7A9788" w14:textId="77777777" w:rsidR="00DD2657" w:rsidRPr="002C21B8" w:rsidRDefault="00DD2657" w:rsidP="00E226D2">
            <w:pPr>
              <w:spacing w:before="80" w:after="80" w:line="240" w:lineRule="auto"/>
              <w:rPr>
                <w:sz w:val="18"/>
                <w:szCs w:val="18"/>
              </w:rPr>
            </w:pPr>
            <w:r w:rsidRPr="002C21B8">
              <w:rPr>
                <w:sz w:val="18"/>
                <w:szCs w:val="18"/>
              </w:rPr>
              <w:t>eGFR slope in 5 years prior to tolvaptan initiation (mean (SD), n)</w:t>
            </w:r>
          </w:p>
        </w:tc>
        <w:tc>
          <w:tcPr>
            <w:tcW w:w="1914" w:type="dxa"/>
            <w:tcBorders>
              <w:top w:val="nil"/>
              <w:bottom w:val="nil"/>
            </w:tcBorders>
          </w:tcPr>
          <w:p w14:paraId="5613F6ED" w14:textId="733A7018"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-4.26 (3.0), n</w:t>
            </w:r>
            <w:r w:rsidR="00213A44" w:rsidRPr="002C21B8">
              <w:rPr>
                <w:sz w:val="18"/>
                <w:szCs w:val="18"/>
              </w:rPr>
              <w:t xml:space="preserve"> </w:t>
            </w:r>
            <w:r w:rsidRPr="002C21B8">
              <w:rPr>
                <w:sz w:val="18"/>
                <w:szCs w:val="18"/>
              </w:rPr>
              <w:t>=</w:t>
            </w:r>
            <w:r w:rsidR="00213A44" w:rsidRPr="002C21B8">
              <w:rPr>
                <w:sz w:val="18"/>
                <w:szCs w:val="18"/>
              </w:rPr>
              <w:t xml:space="preserve"> </w:t>
            </w:r>
            <w:r w:rsidRPr="002C21B8">
              <w:rPr>
                <w:sz w:val="18"/>
                <w:szCs w:val="18"/>
              </w:rPr>
              <w:t>157</w:t>
            </w:r>
          </w:p>
        </w:tc>
        <w:tc>
          <w:tcPr>
            <w:tcW w:w="1914" w:type="dxa"/>
            <w:tcBorders>
              <w:top w:val="nil"/>
              <w:bottom w:val="nil"/>
            </w:tcBorders>
          </w:tcPr>
          <w:p w14:paraId="56F4B69E" w14:textId="30E91757" w:rsidR="00DD2657" w:rsidRPr="002C21B8" w:rsidRDefault="00DD2657" w:rsidP="00E226D2">
            <w:pPr>
              <w:spacing w:before="80" w:after="8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2C21B8">
              <w:rPr>
                <w:sz w:val="18"/>
                <w:szCs w:val="18"/>
              </w:rPr>
              <w:t>-0.39 (2.0), n</w:t>
            </w:r>
            <w:r w:rsidR="00213A44" w:rsidRPr="002C21B8">
              <w:rPr>
                <w:sz w:val="18"/>
                <w:szCs w:val="18"/>
              </w:rPr>
              <w:t xml:space="preserve"> </w:t>
            </w:r>
            <w:r w:rsidRPr="002C21B8">
              <w:rPr>
                <w:sz w:val="18"/>
                <w:szCs w:val="18"/>
              </w:rPr>
              <w:t>=94</w:t>
            </w:r>
          </w:p>
        </w:tc>
      </w:tr>
      <w:tr w:rsidR="00DD2657" w:rsidRPr="002C21B8" w14:paraId="30B5A3D6" w14:textId="77777777" w:rsidTr="009C3220">
        <w:trPr>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12" w:space="0" w:color="auto"/>
            </w:tcBorders>
          </w:tcPr>
          <w:p w14:paraId="1D44EE14" w14:textId="77777777" w:rsidR="00DD2657" w:rsidRPr="002C21B8" w:rsidRDefault="00DD2657" w:rsidP="00E226D2">
            <w:pPr>
              <w:spacing w:before="80" w:after="80" w:line="240" w:lineRule="auto"/>
              <w:rPr>
                <w:sz w:val="18"/>
                <w:szCs w:val="18"/>
              </w:rPr>
            </w:pPr>
            <w:r w:rsidRPr="002C21B8">
              <w:rPr>
                <w:sz w:val="18"/>
                <w:szCs w:val="18"/>
              </w:rPr>
              <w:t>Years from RaDaR recruitment to eligibility (mean (SD), n)</w:t>
            </w:r>
          </w:p>
        </w:tc>
        <w:tc>
          <w:tcPr>
            <w:tcW w:w="1914" w:type="dxa"/>
            <w:tcBorders>
              <w:top w:val="nil"/>
              <w:bottom w:val="single" w:sz="12" w:space="0" w:color="auto"/>
            </w:tcBorders>
          </w:tcPr>
          <w:p w14:paraId="786E28E3" w14:textId="21FFF3D8"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-0.43 (1.5), n</w:t>
            </w:r>
            <w:r w:rsidR="00213A44" w:rsidRPr="002C21B8">
              <w:rPr>
                <w:sz w:val="18"/>
                <w:szCs w:val="18"/>
              </w:rPr>
              <w:t xml:space="preserve"> </w:t>
            </w:r>
            <w:r w:rsidRPr="002C21B8">
              <w:rPr>
                <w:sz w:val="18"/>
                <w:szCs w:val="18"/>
              </w:rPr>
              <w:t>=</w:t>
            </w:r>
            <w:r w:rsidR="00213A44" w:rsidRPr="002C21B8">
              <w:rPr>
                <w:sz w:val="18"/>
                <w:szCs w:val="18"/>
              </w:rPr>
              <w:t xml:space="preserve"> </w:t>
            </w:r>
            <w:r w:rsidRPr="002C21B8">
              <w:rPr>
                <w:sz w:val="18"/>
                <w:szCs w:val="18"/>
              </w:rPr>
              <w:t>292</w:t>
            </w:r>
          </w:p>
        </w:tc>
        <w:tc>
          <w:tcPr>
            <w:tcW w:w="1914" w:type="dxa"/>
            <w:tcBorders>
              <w:top w:val="nil"/>
              <w:bottom w:val="single" w:sz="12" w:space="0" w:color="auto"/>
            </w:tcBorders>
          </w:tcPr>
          <w:p w14:paraId="35239270" w14:textId="77777777" w:rsidR="00DD2657" w:rsidRPr="002C21B8" w:rsidRDefault="00DD2657" w:rsidP="00E226D2">
            <w:pPr>
              <w:spacing w:before="80" w:after="8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2C21B8">
              <w:rPr>
                <w:sz w:val="18"/>
                <w:szCs w:val="18"/>
              </w:rPr>
              <w:t>-</w:t>
            </w:r>
          </w:p>
        </w:tc>
      </w:tr>
    </w:tbl>
    <w:p w14:paraId="133CB12F" w14:textId="052B7F80" w:rsidR="00464401" w:rsidRPr="002C21B8" w:rsidRDefault="00464401" w:rsidP="00464401">
      <w:pPr>
        <w:spacing w:before="240" w:after="0"/>
        <w:rPr>
          <w:b/>
          <w:bCs/>
          <w:i/>
          <w:iCs/>
        </w:rPr>
      </w:pPr>
      <w:r w:rsidRPr="002C21B8">
        <w:rPr>
          <w:b/>
          <w:bCs/>
          <w:i/>
          <w:iCs/>
        </w:rPr>
        <w:t>Patient</w:t>
      </w:r>
      <w:r w:rsidR="0071338C" w:rsidRPr="002C21B8">
        <w:rPr>
          <w:b/>
          <w:bCs/>
          <w:i/>
          <w:iCs/>
        </w:rPr>
        <w:t>-</w:t>
      </w:r>
      <w:r w:rsidRPr="002C21B8">
        <w:rPr>
          <w:b/>
          <w:bCs/>
          <w:i/>
          <w:iCs/>
        </w:rPr>
        <w:t>level predictors of eligibility in initiated patients</w:t>
      </w:r>
    </w:p>
    <w:p w14:paraId="4133BAB7" w14:textId="3436D4A8" w:rsidR="00DD2657" w:rsidRPr="002C21B8" w:rsidRDefault="00464401" w:rsidP="00AA2D75">
      <w:r w:rsidRPr="002C21B8">
        <w:t xml:space="preserve">In univariable analysis, only CKD stage was a predictor of </w:t>
      </w:r>
      <w:r w:rsidR="00AF2E68">
        <w:t>eligibility</w:t>
      </w:r>
      <w:r w:rsidRPr="002C21B8">
        <w:t xml:space="preserve"> in </w:t>
      </w:r>
      <w:r w:rsidR="00AF2E68">
        <w:t xml:space="preserve">initiated </w:t>
      </w:r>
      <w:r w:rsidRPr="002C21B8">
        <w:t>patients (overall test across CKD stages, p&lt;0.0001). Compared to individuals with CKD stages 1</w:t>
      </w:r>
      <w:r w:rsidR="005B23D8" w:rsidRPr="002C21B8">
        <w:t>–</w:t>
      </w:r>
      <w:r w:rsidRPr="002C21B8">
        <w:t>2, those with CKD3a were more likely to be eligible when initiated (OR 1.85, 95% CI 1.06</w:t>
      </w:r>
      <w:r w:rsidR="005B23D8" w:rsidRPr="002C21B8">
        <w:t>–</w:t>
      </w:r>
      <w:r w:rsidRPr="002C21B8">
        <w:t>3.25, p=0.0006 and OR 3.23, 95% CI 1.84</w:t>
      </w:r>
      <w:r w:rsidR="005B23D8" w:rsidRPr="002C21B8">
        <w:t>–</w:t>
      </w:r>
      <w:r w:rsidRPr="002C21B8">
        <w:t>5.66, p&lt;0.0001, respectively), and CKD4 or CKD5 were less likely to be eligible (OR 0.12, 95% CI 0.04</w:t>
      </w:r>
      <w:r w:rsidR="005B23D8" w:rsidRPr="002C21B8">
        <w:t>–</w:t>
      </w:r>
      <w:r w:rsidRPr="002C21B8">
        <w:t xml:space="preserve">0.37, p&lt;0.0001), indicating greatest initiation in late and then </w:t>
      </w:r>
      <w:r w:rsidR="00B5311E" w:rsidRPr="002C21B8">
        <w:t>early-stage</w:t>
      </w:r>
      <w:r w:rsidRPr="002C21B8">
        <w:t xml:space="preserve"> CKD for people not eligible. Age, sex and year of initiation were not significantly associated. </w:t>
      </w:r>
      <w:r w:rsidR="00133425" w:rsidRPr="002C21B8">
        <w:t>Multivariable mixed-effects</w:t>
      </w:r>
      <w:r w:rsidRPr="002C21B8">
        <w:t xml:space="preserve"> adjustment for age, sex and year of initiation did not change the associations observed in univariable analyses; therefore, only univariable results are shown in</w:t>
      </w:r>
      <w:r w:rsidR="00583861" w:rsidRPr="002C21B8">
        <w:t xml:space="preserve"> </w:t>
      </w:r>
      <w:r w:rsidR="00261200" w:rsidRPr="002C21B8">
        <w:fldChar w:fldCharType="begin"/>
      </w:r>
      <w:r w:rsidR="00261200" w:rsidRPr="002C21B8">
        <w:instrText xml:space="preserve"> REF _Ref220074577 \h  \* MERGEFORMAT </w:instrText>
      </w:r>
      <w:r w:rsidR="00261200" w:rsidRPr="002C21B8">
        <w:fldChar w:fldCharType="separate"/>
      </w:r>
      <w:r w:rsidR="00DB3709" w:rsidRPr="002C21B8">
        <w:t xml:space="preserve">Figure </w:t>
      </w:r>
      <w:r w:rsidR="00DB3709">
        <w:t>12</w:t>
      </w:r>
      <w:r w:rsidR="00261200" w:rsidRPr="002C21B8">
        <w:fldChar w:fldCharType="end"/>
      </w:r>
      <w:r w:rsidR="00261200" w:rsidRPr="002C21B8">
        <w:t>.</w:t>
      </w:r>
    </w:p>
    <w:p w14:paraId="788EE31B" w14:textId="1DFCF115" w:rsidR="00DD2657" w:rsidRPr="002C21B8" w:rsidRDefault="00DD2657" w:rsidP="00AA2D75">
      <w:pPr>
        <w:pStyle w:val="Caption"/>
        <w:keepNext w:val="0"/>
        <w:rPr>
          <w:noProof w:val="0"/>
        </w:rPr>
      </w:pPr>
      <w:bookmarkStart w:id="154" w:name="_Ref220074577"/>
      <w:bookmarkStart w:id="155" w:name="_Toc236991770"/>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12</w:t>
      </w:r>
      <w:r w:rsidR="001B725E" w:rsidRPr="002C21B8">
        <w:rPr>
          <w:noProof w:val="0"/>
        </w:rPr>
        <w:fldChar w:fldCharType="end"/>
      </w:r>
      <w:bookmarkEnd w:id="154"/>
      <w:r w:rsidRPr="002C21B8">
        <w:rPr>
          <w:noProof w:val="0"/>
        </w:rPr>
        <w:t>. Forest plot of predictors of eligibility in initiated patients</w:t>
      </w:r>
      <w:bookmarkEnd w:id="155"/>
    </w:p>
    <w:p w14:paraId="1CAB80D7" w14:textId="7368AB29" w:rsidR="00DD2657" w:rsidRPr="002C21B8" w:rsidRDefault="00AA2D75" w:rsidP="00AA2D75">
      <w:pPr>
        <w:spacing w:line="240" w:lineRule="auto"/>
      </w:pPr>
      <w:r w:rsidRPr="002C21B8">
        <w:rPr>
          <w:noProof/>
        </w:rPr>
        <w:drawing>
          <wp:inline distT="0" distB="0" distL="0" distR="0" wp14:anchorId="117B45D3" wp14:editId="39B5EAB1">
            <wp:extent cx="5731510" cy="3694430"/>
            <wp:effectExtent l="0" t="0" r="0" b="0"/>
            <wp:docPr id="51434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4107" name=""/>
                    <pic:cNvPicPr/>
                  </pic:nvPicPr>
                  <pic:blipFill>
                    <a:blip r:embed="rId40"/>
                    <a:stretch>
                      <a:fillRect/>
                    </a:stretch>
                  </pic:blipFill>
                  <pic:spPr>
                    <a:xfrm>
                      <a:off x="0" y="0"/>
                      <a:ext cx="5731510" cy="3694430"/>
                    </a:xfrm>
                    <a:prstGeom prst="rect">
                      <a:avLst/>
                    </a:prstGeom>
                  </pic:spPr>
                </pic:pic>
              </a:graphicData>
            </a:graphic>
          </wp:inline>
        </w:drawing>
      </w:r>
    </w:p>
    <w:p w14:paraId="7644691B" w14:textId="689022EE" w:rsidR="00A7249F" w:rsidRPr="002C21B8" w:rsidRDefault="00A7249F" w:rsidP="00A7249F">
      <w:pPr>
        <w:spacing w:before="240" w:after="0"/>
        <w:rPr>
          <w:b/>
          <w:bCs/>
          <w:i/>
          <w:iCs/>
        </w:rPr>
      </w:pPr>
      <w:r w:rsidRPr="002C21B8">
        <w:rPr>
          <w:b/>
          <w:bCs/>
          <w:i/>
          <w:iCs/>
        </w:rPr>
        <w:t>Eligibility in initiated patients by kidney centres</w:t>
      </w:r>
    </w:p>
    <w:p w14:paraId="487AA266" w14:textId="26670B29" w:rsidR="00434297" w:rsidRDefault="00A7249F" w:rsidP="00AA2D75">
      <w:r w:rsidRPr="002C21B8">
        <w:t xml:space="preserve">Analysis of indirectly standardised ratios (ISRs) of tolvaptan eligibility in initiated patients across the 41 kidney centres included in the analysis (adjusted for CKD stage) revealed limited variation in practice. Only one kidney centre (2.4%) had significantly </w:t>
      </w:r>
      <w:r w:rsidR="00B5311E" w:rsidRPr="002C21B8">
        <w:t>fewer</w:t>
      </w:r>
      <w:r w:rsidRPr="002C21B8">
        <w:t xml:space="preserve"> eligible patients than expected among initiated patients, falling below the 2SD control limit. </w:t>
      </w:r>
      <w:r w:rsidR="00DD2657" w:rsidRPr="002C21B8">
        <w:t xml:space="preserve">Adjusted funnel plots are shown in </w:t>
      </w:r>
      <w:r w:rsidR="00DD2657" w:rsidRPr="002C21B8">
        <w:fldChar w:fldCharType="begin"/>
      </w:r>
      <w:r w:rsidR="00DD2657" w:rsidRPr="002C21B8">
        <w:instrText xml:space="preserve"> REF _Ref220074598 \h  \* MERGEFORMAT </w:instrText>
      </w:r>
      <w:r w:rsidR="00DD2657" w:rsidRPr="002C21B8">
        <w:fldChar w:fldCharType="separate"/>
      </w:r>
      <w:r w:rsidR="00DB3709" w:rsidRPr="002C21B8">
        <w:t xml:space="preserve">Figure </w:t>
      </w:r>
      <w:r w:rsidR="00DB3709">
        <w:t>13</w:t>
      </w:r>
      <w:r w:rsidR="00DD2657" w:rsidRPr="002C21B8">
        <w:fldChar w:fldCharType="end"/>
      </w:r>
      <w:r w:rsidR="00DD2657" w:rsidRPr="002C21B8">
        <w:t xml:space="preserve"> and unadjusted funnel plots in </w:t>
      </w:r>
      <w:hyperlink w:anchor="_Unadjusted_funnel_plots_1" w:history="1">
        <w:r w:rsidR="00C83686" w:rsidRPr="002C21B8">
          <w:rPr>
            <w:rStyle w:val="Hyperlink"/>
          </w:rPr>
          <w:t>Appendix 6</w:t>
        </w:r>
      </w:hyperlink>
      <w:r w:rsidR="00DD2657" w:rsidRPr="002C21B8">
        <w:t>.</w:t>
      </w:r>
    </w:p>
    <w:p w14:paraId="60416AFF" w14:textId="77777777" w:rsidR="008A4BB9" w:rsidRPr="002C21B8" w:rsidRDefault="008A4BB9" w:rsidP="00AA2D75"/>
    <w:p w14:paraId="23B50CC8" w14:textId="0966F12C" w:rsidR="00DD2657" w:rsidRPr="002C21B8" w:rsidRDefault="00DD2657" w:rsidP="00AA2D75">
      <w:pPr>
        <w:pStyle w:val="Caption"/>
        <w:keepNext w:val="0"/>
        <w:rPr>
          <w:noProof w:val="0"/>
        </w:rPr>
      </w:pPr>
      <w:bookmarkStart w:id="156" w:name="_Ref220074598"/>
      <w:bookmarkStart w:id="157" w:name="_Toc236991771"/>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13</w:t>
      </w:r>
      <w:r w:rsidR="001B725E" w:rsidRPr="002C21B8">
        <w:rPr>
          <w:noProof w:val="0"/>
        </w:rPr>
        <w:fldChar w:fldCharType="end"/>
      </w:r>
      <w:bookmarkEnd w:id="156"/>
      <w:r w:rsidRPr="002C21B8">
        <w:rPr>
          <w:noProof w:val="0"/>
        </w:rPr>
        <w:t>. Tolvaptan eligibility in initiated patients by kidney centre; adjusted for CKD stage</w:t>
      </w:r>
      <w:bookmarkEnd w:id="157"/>
    </w:p>
    <w:p w14:paraId="73B81371" w14:textId="6863CD83" w:rsidR="00DD2657" w:rsidRPr="002C21B8" w:rsidRDefault="00124ECA" w:rsidP="00AA2D75">
      <w:pPr>
        <w:spacing w:line="240" w:lineRule="auto"/>
      </w:pPr>
      <w:r w:rsidRPr="002C21B8">
        <w:rPr>
          <w:noProof/>
        </w:rPr>
        <w:drawing>
          <wp:inline distT="0" distB="0" distL="0" distR="0" wp14:anchorId="7433E234" wp14:editId="78F19A87">
            <wp:extent cx="5731510" cy="3386455"/>
            <wp:effectExtent l="0" t="0" r="0" b="0"/>
            <wp:docPr id="92458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82462" name=""/>
                    <pic:cNvPicPr/>
                  </pic:nvPicPr>
                  <pic:blipFill>
                    <a:blip r:embed="rId41"/>
                    <a:stretch>
                      <a:fillRect/>
                    </a:stretch>
                  </pic:blipFill>
                  <pic:spPr>
                    <a:xfrm>
                      <a:off x="0" y="0"/>
                      <a:ext cx="5731510" cy="3386455"/>
                    </a:xfrm>
                    <a:prstGeom prst="rect">
                      <a:avLst/>
                    </a:prstGeom>
                  </pic:spPr>
                </pic:pic>
              </a:graphicData>
            </a:graphic>
          </wp:inline>
        </w:drawing>
      </w:r>
    </w:p>
    <w:p w14:paraId="77CEDE7E" w14:textId="7ED998D9" w:rsidR="00DD2657" w:rsidRPr="002C21B8" w:rsidRDefault="00DD2657" w:rsidP="009579B9">
      <w:pPr>
        <w:spacing w:before="240" w:after="0"/>
        <w:rPr>
          <w:b/>
          <w:bCs/>
          <w:sz w:val="24"/>
          <w:szCs w:val="24"/>
        </w:rPr>
      </w:pPr>
      <w:r w:rsidRPr="002C21B8">
        <w:rPr>
          <w:b/>
          <w:bCs/>
          <w:sz w:val="24"/>
          <w:szCs w:val="24"/>
        </w:rPr>
        <w:t>Combined patterns of variation in tolvaptan prescribing</w:t>
      </w:r>
    </w:p>
    <w:p w14:paraId="563A7F22" w14:textId="38CE279A" w:rsidR="00DD2657" w:rsidRPr="002C21B8" w:rsidRDefault="00A7249F" w:rsidP="003374F4">
      <w:r w:rsidRPr="002C21B8">
        <w:t>We hypothesised that there may be a theoretical trade-off</w:t>
      </w:r>
      <w:r w:rsidR="00921417" w:rsidRPr="002C21B8">
        <w:t xml:space="preserve">. Centres with </w:t>
      </w:r>
      <w:r w:rsidRPr="002C21B8">
        <w:t xml:space="preserve">high initiation rates </w:t>
      </w:r>
      <w:r w:rsidR="00921417" w:rsidRPr="002C21B8">
        <w:t xml:space="preserve">may improve access for eligible patients but risk initiating a greater proportion of patients who were not eligible. By contrast, centres with </w:t>
      </w:r>
      <w:r w:rsidRPr="002C21B8">
        <w:t xml:space="preserve">low initiation rates </w:t>
      </w:r>
      <w:r w:rsidR="00921417" w:rsidRPr="002C21B8">
        <w:t xml:space="preserve">may </w:t>
      </w:r>
      <w:r w:rsidRPr="002C21B8">
        <w:t xml:space="preserve">restrict initiation among patients who were not eligible but risk initiating a smaller proportion of patients who were eligible. However, the correlation between the proportion of eligible patients initiated and the proportion of initiated patients meeting eligibility criteria was weak and non-significant (r = 0.09, p = 0.63), </w:t>
      </w:r>
      <w:r w:rsidR="00AF2E68">
        <w:t>suggest</w:t>
      </w:r>
      <w:r w:rsidRPr="002C21B8">
        <w:t>ing</w:t>
      </w:r>
      <w:r w:rsidR="00B5311E" w:rsidRPr="002C21B8">
        <w:t xml:space="preserve"> that</w:t>
      </w:r>
      <w:r w:rsidRPr="002C21B8">
        <w:t xml:space="preserve"> these behaviours occur independently </w:t>
      </w:r>
      <w:r w:rsidR="00DD2657" w:rsidRPr="002C21B8">
        <w:t>(</w:t>
      </w:r>
      <w:hyperlink w:anchor="_Unadjusted_funnel_plots_1" w:history="1">
        <w:r w:rsidR="00C83686" w:rsidRPr="002C21B8">
          <w:rPr>
            <w:rStyle w:val="Hyperlink"/>
          </w:rPr>
          <w:t>Appendix 6</w:t>
        </w:r>
      </w:hyperlink>
      <w:r w:rsidR="00DD2657" w:rsidRPr="002C21B8">
        <w:t>).</w:t>
      </w:r>
    </w:p>
    <w:p w14:paraId="1D2C22D4" w14:textId="77777777" w:rsidR="00DD2657" w:rsidRPr="002C21B8" w:rsidRDefault="00DD2657" w:rsidP="00D068AB">
      <w:pPr>
        <w:spacing w:before="240" w:after="0"/>
        <w:rPr>
          <w:b/>
          <w:bCs/>
          <w:sz w:val="24"/>
          <w:szCs w:val="24"/>
        </w:rPr>
      </w:pPr>
      <w:r w:rsidRPr="002C21B8">
        <w:rPr>
          <w:b/>
          <w:bCs/>
          <w:sz w:val="24"/>
          <w:szCs w:val="24"/>
        </w:rPr>
        <w:t>Health and cost implications of variation in practice</w:t>
      </w:r>
    </w:p>
    <w:p w14:paraId="393C2978" w14:textId="2DD4D28D" w:rsidR="00CF67AE" w:rsidRPr="002C21B8" w:rsidRDefault="00CF67AE" w:rsidP="00CF67AE">
      <w:r w:rsidRPr="002C21B8">
        <w:t>At a cohort-level, 65.2% of patients eligible based on recorded eligibility criteria for tolvaptan were not initiated. Initiating t</w:t>
      </w:r>
      <w:r w:rsidR="00A95B8C" w:rsidRPr="002C21B8">
        <w:t>olvaptan</w:t>
      </w:r>
      <w:r w:rsidRPr="002C21B8">
        <w:t xml:space="preserve"> in this group could potentially save £78.2 million by delaying or avoiding dialysis</w:t>
      </w:r>
      <w:r w:rsidR="00B53C57" w:rsidRPr="002C21B8">
        <w:t>,</w:t>
      </w:r>
      <w:r w:rsidRPr="002C21B8">
        <w:t xml:space="preserve"> assuming a patient uptake of 30.5% based on the study by </w:t>
      </w:r>
      <w:r w:rsidR="00F340FF" w:rsidRPr="002C21B8">
        <w:fldChar w:fldCharType="begin"/>
      </w:r>
      <w:r w:rsidR="00AC1ABF" w:rsidRPr="002C21B8">
        <w:instrText xml:space="preserve"> ADDIN EN.CITE &lt;EndNote&gt;&lt;Cite AuthorYear="1"&gt;&lt;Author&gt;Calvaruso&lt;/Author&gt;&lt;Year&gt;2023&lt;/Year&gt;&lt;RecNum&gt;124902&lt;/RecNum&gt;&lt;DisplayText&gt;Calvaruso&lt;style face="italic"&gt; et al.&lt;/style&gt; (2023)&lt;/DisplayText&gt;&lt;record&gt;&lt;rec-number&gt;124902&lt;/rec-number&gt;&lt;foreign-keys&gt;&lt;key app="EN" db-id="xpefzwa5hf9dt2ea9fax95x7xvxz90v09dtf" timestamp="1748879779"&gt;124902&lt;/key&gt;&lt;/foreign-keys&gt;&lt;ref-type name="Journal Article"&gt;17&lt;/ref-type&gt;&lt;contributors&gt;&lt;authors&gt;&lt;author&gt;Calvaruso, L.&lt;/author&gt;&lt;author&gt;Yau, K.&lt;/author&gt;&lt;author&gt;Akbari, P.&lt;/author&gt;&lt;author&gt;Nasri, F.&lt;/author&gt;&lt;author&gt;Khowaja, S.&lt;/author&gt;&lt;author&gt;Wang, B.&lt;/author&gt;&lt;author&gt;Haghighi, A.&lt;/author&gt;&lt;author&gt;Khalili, K.&lt;/author&gt;&lt;author&gt;Pei, Y.&lt;/author&gt;&lt;/authors&gt;&lt;/contributors&gt;&lt;titles&gt;&lt;title&gt;Real-life use of tolvaptan in ADPKD: a retrospective analysis of a large Canadian cohort&lt;/title&gt;&lt;secondary-title&gt;Scientific Reports&lt;/secondary-title&gt;&lt;/titles&gt;&lt;periodical&gt;&lt;full-title&gt;Scientific reports&lt;/full-title&gt;&lt;/periodical&gt;&lt;pages&gt;22257&lt;/pages&gt;&lt;volume&gt;13&lt;/volume&gt;&lt;number&gt;1&lt;/number&gt;&lt;dates&gt;&lt;year&gt;2023&lt;/year&gt;&lt;pub-dates&gt;&lt;date&gt;2023/12/14&lt;/date&gt;&lt;/pub-dates&gt;&lt;/dates&gt;&lt;isbn&gt;2045-2322&lt;/isbn&gt;&lt;urls&gt;&lt;related-urls&gt;&lt;url&gt;https://doi.org/10.1038/s41598-023-48638-9&lt;/url&gt;&lt;/related-urls&gt;&lt;/urls&gt;&lt;electronic-resource-num&gt;10.1038/s41598-023-48638-9&lt;/electronic-resource-num&gt;&lt;/record&gt;&lt;/Cite&gt;&lt;/EndNote&gt;</w:instrText>
      </w:r>
      <w:r w:rsidR="00F340FF" w:rsidRPr="002C21B8">
        <w:fldChar w:fldCharType="separate"/>
      </w:r>
      <w:r w:rsidR="00AC1ABF" w:rsidRPr="002C21B8">
        <w:rPr>
          <w:noProof/>
        </w:rPr>
        <w:t>Calvaruso</w:t>
      </w:r>
      <w:r w:rsidR="00AC1ABF" w:rsidRPr="002C21B8">
        <w:rPr>
          <w:i/>
          <w:noProof/>
        </w:rPr>
        <w:t xml:space="preserve"> et al.</w:t>
      </w:r>
      <w:r w:rsidR="00AC1ABF" w:rsidRPr="002C21B8">
        <w:rPr>
          <w:noProof/>
        </w:rPr>
        <w:t xml:space="preserve"> (2023)</w:t>
      </w:r>
      <w:r w:rsidR="00F340FF" w:rsidRPr="002C21B8">
        <w:fldChar w:fldCharType="end"/>
      </w:r>
      <w:r w:rsidRPr="002C21B8">
        <w:t>, extrapolated to the UK ADPKD population. After accounting for medication and monitoring costs, discontinuation and pre-dialysis death, the associated net savings could range from £19.4 million at list price to £70.8 million with a 90% patient access scheme discount (</w:t>
      </w:r>
      <w:r w:rsidR="00BE7646" w:rsidRPr="002C21B8">
        <w:fldChar w:fldCharType="begin"/>
      </w:r>
      <w:r w:rsidR="00BE7646" w:rsidRPr="002C21B8">
        <w:instrText xml:space="preserve"> REF _Ref225865190 \h </w:instrText>
      </w:r>
      <w:r w:rsidR="00585F6D" w:rsidRPr="002C21B8">
        <w:instrText xml:space="preserve"> \* MERGEFORMAT </w:instrText>
      </w:r>
      <w:r w:rsidR="00BE7646" w:rsidRPr="002C21B8">
        <w:fldChar w:fldCharType="separate"/>
      </w:r>
      <w:r w:rsidR="00DB3709" w:rsidRPr="002C21B8">
        <w:t xml:space="preserve">Table </w:t>
      </w:r>
      <w:r w:rsidR="00DB3709">
        <w:t>14</w:t>
      </w:r>
      <w:r w:rsidR="00BE7646" w:rsidRPr="002C21B8">
        <w:fldChar w:fldCharType="end"/>
      </w:r>
      <w:r w:rsidRPr="002C21B8">
        <w:t>). A 60% medication discount was applied, reflecting the typical level of patient access scheme agreements in the UK</w:t>
      </w:r>
      <w:r w:rsidR="00BE7646" w:rsidRPr="002C21B8">
        <w:t xml:space="preserve"> </w:t>
      </w:r>
      <w:r w:rsidRPr="002C21B8">
        <w:fldChar w:fldCharType="begin"/>
      </w:r>
      <w:r w:rsidR="00502953" w:rsidRPr="002C21B8">
        <w:instrText xml:space="preserve"> ADDIN EN.CITE &lt;EndNote&gt;&lt;Cite&gt;&lt;Author&gt;UK Parliament&lt;/Author&gt;&lt;Year&gt;2023&lt;/Year&gt;&lt;RecNum&gt;124998&lt;/RecNum&gt;&lt;DisplayText&gt;(UK Parliament, 2023)&lt;/DisplayText&gt;&lt;record&gt;&lt;rec-number&gt;124998&lt;/rec-number&gt;&lt;foreign-keys&gt;&lt;key app="EN" db-id="xpefzwa5hf9dt2ea9fax95x7xvxz90v09dtf" timestamp="1756968735"&gt;124998&lt;/key&gt;&lt;/foreign-keys&gt;&lt;ref-type name="Web Page"&gt;12&lt;/ref-type&gt;&lt;contributors&gt;&lt;authors&gt;&lt;author&gt;UK Parliament,&lt;/author&gt;&lt;/authors&gt;&lt;/contributors&gt;&lt;titles&gt;&lt;title&gt;Branded Medicines Voluntary Scheme and the Life Sciences Vision&lt;/title&gt;&lt;/titles&gt;&lt;number&gt;10/08/2025)&lt;/number&gt;&lt;dates&gt;&lt;year&gt;2023&lt;/year&gt;&lt;/dates&gt;&lt;urls&gt;&lt;related-urls&gt;&lt;url&gt;https://hansard.parliament.uk/commons/2023-05-03/debates/637A370B-DDA4-4946-9550-532B4E1B69A5/BrandedMedicinesVoluntarySchemeAndTheLifeSciencesVision&lt;/url&gt;&lt;/related-urls&gt;&lt;/urls&gt;&lt;access-date&gt;4th September 2025&lt;/access-date&gt;&lt;/record&gt;&lt;/Cite&gt;&lt;/EndNote&gt;</w:instrText>
      </w:r>
      <w:r w:rsidRPr="002C21B8">
        <w:fldChar w:fldCharType="separate"/>
      </w:r>
      <w:r w:rsidR="005045A7" w:rsidRPr="002C21B8">
        <w:rPr>
          <w:noProof/>
        </w:rPr>
        <w:t>(UK Parliament, 2023)</w:t>
      </w:r>
      <w:r w:rsidRPr="002C21B8">
        <w:fldChar w:fldCharType="end"/>
      </w:r>
      <w:r w:rsidR="00B53C57" w:rsidRPr="002C21B8">
        <w:t>,</w:t>
      </w:r>
      <w:r w:rsidRPr="002C21B8">
        <w:t xml:space="preserve"> which would result in a real-world cost saving of £53.7 million. Considering the health impact of patients eligible for tolvaptan not starting treatment, the incremental quality-adjusted life years (QALYs) gained per patient treated with tolvaptan is estimated at 0.8977. Across the eligible ADPKD population not initiated on tolvaptan in the UK, this would equate to a total of 1,245 QALYs lost.</w:t>
      </w:r>
    </w:p>
    <w:p w14:paraId="45410E0E" w14:textId="074122CA" w:rsidR="002335A5" w:rsidRPr="002C21B8" w:rsidRDefault="002335A5" w:rsidP="00C20C49">
      <w:bookmarkStart w:id="158" w:name="_Ref221203067"/>
      <w:r w:rsidRPr="002C21B8">
        <w:t>At a cohort-level, 26.1% of patients initiated on tolvaptan were not eligible based on recorded eligibility criteria. Not initiating treatment in this group could potentially save between £4.8 million with a 90% discount and £38.1 million at list price if it w</w:t>
      </w:r>
      <w:r w:rsidR="00B53C57" w:rsidRPr="002C21B8">
        <w:t>ere</w:t>
      </w:r>
      <w:r w:rsidRPr="002C21B8">
        <w:t xml:space="preserve"> assumed prescriptions were not eligible according to all Renal Association eligibility criteria, extrapolated to the UK ADPKD population (</w:t>
      </w:r>
      <w:r w:rsidR="00B803B8" w:rsidRPr="002C21B8">
        <w:fldChar w:fldCharType="begin"/>
      </w:r>
      <w:r w:rsidR="00B803B8" w:rsidRPr="002C21B8">
        <w:instrText xml:space="preserve"> REF _Ref225865190 \h </w:instrText>
      </w:r>
      <w:r w:rsidR="00585F6D" w:rsidRPr="002C21B8">
        <w:instrText xml:space="preserve"> \* MERGEFORMAT </w:instrText>
      </w:r>
      <w:r w:rsidR="00B803B8" w:rsidRPr="002C21B8">
        <w:fldChar w:fldCharType="separate"/>
      </w:r>
      <w:r w:rsidR="00DB3709" w:rsidRPr="002C21B8">
        <w:t xml:space="preserve">Table </w:t>
      </w:r>
      <w:r w:rsidR="00DB3709">
        <w:t>14</w:t>
      </w:r>
      <w:r w:rsidR="00B803B8" w:rsidRPr="002C21B8">
        <w:fldChar w:fldCharType="end"/>
      </w:r>
      <w:r w:rsidRPr="002C21B8">
        <w:t>). This takes into account medication and monitoring costs, assuming 2.74 years duration based on existing studies</w:t>
      </w:r>
      <w:r w:rsidR="00B803B8" w:rsidRPr="002C21B8">
        <w:t xml:space="preserve"> </w:t>
      </w:r>
      <w:r w:rsidRPr="002C21B8">
        <w:fldChar w:fldCharType="begin">
          <w:fldData xml:space="preserve">PEVuZE5vdGU+PENpdGU+PEF1dGhvcj5SYW88L0F1dGhvcj48WWVhcj4yMDI1PC9ZZWFyPjxSZWNO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</w:fldData>
        </w:fldChar>
      </w:r>
      <w:r w:rsidR="00347825" w:rsidRPr="002C21B8">
        <w:instrText xml:space="preserve"> ADDIN EN.CITE </w:instrText>
      </w:r>
      <w:r w:rsidR="00347825" w:rsidRPr="002C21B8">
        <w:fldChar w:fldCharType="begin">
          <w:fldData xml:space="preserve">PEVuZE5vdGU+PENpdGU+PEF1dGhvcj5SYW88L0F1dGhvcj48WWVhcj4yMDI1PC9ZZWFyPjxSZWNO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</w:fldData>
        </w:fldChar>
      </w:r>
      <w:r w:rsidR="00347825" w:rsidRPr="002C21B8">
        <w:instrText xml:space="preserve"> ADDIN EN.CITE.DATA </w:instrText>
      </w:r>
      <w:r w:rsidR="00347825" w:rsidRPr="002C21B8">
        <w:fldChar w:fldCharType="end"/>
      </w:r>
      <w:r w:rsidRPr="002C21B8">
        <w:fldChar w:fldCharType="separate"/>
      </w:r>
      <w:r w:rsidR="00347825" w:rsidRPr="002C21B8">
        <w:t>(Perrone</w:t>
      </w:r>
      <w:r w:rsidR="00347825" w:rsidRPr="002C21B8">
        <w:rPr>
          <w:i/>
        </w:rPr>
        <w:t xml:space="preserve"> et al.</w:t>
      </w:r>
      <w:r w:rsidR="00347825" w:rsidRPr="002C21B8">
        <w:t>, 2025; Rao</w:t>
      </w:r>
      <w:r w:rsidR="00347825" w:rsidRPr="002C21B8">
        <w:rPr>
          <w:i/>
        </w:rPr>
        <w:t xml:space="preserve"> et al.</w:t>
      </w:r>
      <w:r w:rsidR="00347825" w:rsidRPr="002C21B8">
        <w:t>, 2025)</w:t>
      </w:r>
      <w:r w:rsidRPr="002C21B8">
        <w:fldChar w:fldCharType="end"/>
      </w:r>
      <w:r w:rsidRPr="002C21B8">
        <w:t xml:space="preserve">. Based on anecdotal information regarding patient access schemes in the UK, the most likely real-world cost savings would be £15.9 million at a 60% discount. </w:t>
      </w:r>
      <w:hyperlink w:anchor="_Worked_example_calculations" w:history="1">
        <w:r w:rsidR="00C83686" w:rsidRPr="002C21B8">
          <w:rPr>
            <w:rStyle w:val="Hyperlink"/>
          </w:rPr>
          <w:t>Appendix 6</w:t>
        </w:r>
      </w:hyperlink>
      <w:r w:rsidR="00C83686" w:rsidRPr="002C21B8">
        <w:t xml:space="preserve"> </w:t>
      </w:r>
      <w:r w:rsidR="0074060C" w:rsidRPr="002C21B8">
        <w:t>provide</w:t>
      </w:r>
      <w:r w:rsidR="00AE796C" w:rsidRPr="002C21B8">
        <w:t>s</w:t>
      </w:r>
      <w:r w:rsidR="0074060C" w:rsidRPr="002C21B8">
        <w:t xml:space="preserve"> the underlying model and calculations supporting these results.</w:t>
      </w:r>
    </w:p>
    <w:p w14:paraId="55FD5B2D" w14:textId="77777777" w:rsidR="00D40946" w:rsidRPr="002C21B8" w:rsidRDefault="00D40946" w:rsidP="00C96430">
      <w:pPr>
        <w:spacing w:after="0" w:line="240" w:lineRule="auto"/>
      </w:pPr>
    </w:p>
    <w:p w14:paraId="445B227F" w14:textId="3E399EFE" w:rsidR="004B4E1D" w:rsidRPr="002C21B8" w:rsidRDefault="00A82D45" w:rsidP="00C96430">
      <w:pPr>
        <w:pStyle w:val="Caption"/>
        <w:keepNext w:val="0"/>
        <w:rPr>
          <w:noProof w:val="0"/>
        </w:rPr>
      </w:pPr>
      <w:bookmarkStart w:id="159" w:name="_Ref225865190"/>
      <w:bookmarkStart w:id="160" w:name="_Toc236991750"/>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14</w:t>
      </w:r>
      <w:r w:rsidRPr="002C21B8">
        <w:rPr>
          <w:noProof w:val="0"/>
        </w:rPr>
        <w:fldChar w:fldCharType="end"/>
      </w:r>
      <w:bookmarkEnd w:id="158"/>
      <w:bookmarkEnd w:id="159"/>
      <w:r w:rsidRPr="002C21B8">
        <w:rPr>
          <w:noProof w:val="0"/>
        </w:rPr>
        <w:t>. Estimated net potential savings from initiating tolvaptan in eligible patients who were not initiated in the UK and estimated costs of initiating ineligible patients, by PAS discount level</w:t>
      </w:r>
      <w:bookmarkEnd w:id="160"/>
    </w:p>
    <w:tbl>
      <w:tblPr>
        <w:tblStyle w:val="TableGrid"/>
        <w:tblpPr w:leftFromText="180" w:rightFromText="180" w:vertAnchor="text" w:horzAnchor="margin" w:tblpY="31"/>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3"/>
        <w:gridCol w:w="2404"/>
        <w:gridCol w:w="1367"/>
        <w:gridCol w:w="1368"/>
        <w:gridCol w:w="1368"/>
        <w:gridCol w:w="1368"/>
      </w:tblGrid>
      <w:tr w:rsidR="002335A5" w:rsidRPr="002C21B8" w14:paraId="74218306" w14:textId="77777777" w:rsidTr="00A95B8C">
        <w:tc>
          <w:tcPr>
            <w:tcW w:w="1083" w:type="dxa"/>
            <w:tcBorders>
              <w:top w:val="single" w:sz="12" w:space="0" w:color="auto"/>
            </w:tcBorders>
            <w:vAlign w:val="center"/>
          </w:tcPr>
          <w:p w14:paraId="4FEE36B8" w14:textId="77777777" w:rsidR="002335A5" w:rsidRPr="002C21B8" w:rsidRDefault="002335A5" w:rsidP="00C96430">
            <w:pPr>
              <w:spacing w:beforeLines="40" w:before="96" w:afterLines="40" w:after="96" w:line="240" w:lineRule="auto"/>
              <w:jc w:val="left"/>
              <w:rPr>
                <w:b/>
                <w:bCs/>
                <w:sz w:val="16"/>
                <w:szCs w:val="16"/>
              </w:rPr>
            </w:pPr>
          </w:p>
        </w:tc>
        <w:tc>
          <w:tcPr>
            <w:tcW w:w="2404" w:type="dxa"/>
            <w:tcBorders>
              <w:top w:val="single" w:sz="12" w:space="0" w:color="auto"/>
            </w:tcBorders>
            <w:vAlign w:val="center"/>
          </w:tcPr>
          <w:p w14:paraId="00B5FE53" w14:textId="77777777" w:rsidR="002335A5" w:rsidRPr="002C21B8" w:rsidRDefault="002335A5" w:rsidP="00C96430">
            <w:pPr>
              <w:spacing w:beforeLines="40" w:before="96" w:afterLines="40" w:after="96" w:line="240" w:lineRule="auto"/>
              <w:jc w:val="left"/>
              <w:rPr>
                <w:b/>
                <w:bCs/>
                <w:sz w:val="16"/>
                <w:szCs w:val="16"/>
              </w:rPr>
            </w:pPr>
          </w:p>
        </w:tc>
        <w:tc>
          <w:tcPr>
            <w:tcW w:w="2735" w:type="dxa"/>
            <w:gridSpan w:val="2"/>
            <w:tcBorders>
              <w:top w:val="single" w:sz="12" w:space="0" w:color="auto"/>
            </w:tcBorders>
            <w:vAlign w:val="center"/>
          </w:tcPr>
          <w:p w14:paraId="60EA6295"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Starting eligible patients not previously initiated</w:t>
            </w:r>
          </w:p>
        </w:tc>
        <w:tc>
          <w:tcPr>
            <w:tcW w:w="2736" w:type="dxa"/>
            <w:gridSpan w:val="2"/>
            <w:tcBorders>
              <w:top w:val="single" w:sz="12" w:space="0" w:color="auto"/>
            </w:tcBorders>
            <w:vAlign w:val="center"/>
          </w:tcPr>
          <w:p w14:paraId="1AD4E352"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Not starting ineligible patients previously initiated</w:t>
            </w:r>
          </w:p>
        </w:tc>
      </w:tr>
      <w:tr w:rsidR="002335A5" w:rsidRPr="002C21B8" w14:paraId="1366B964" w14:textId="77777777" w:rsidTr="00A95B8C">
        <w:tc>
          <w:tcPr>
            <w:tcW w:w="1083" w:type="dxa"/>
            <w:tcBorders>
              <w:bottom w:val="single" w:sz="6" w:space="0" w:color="auto"/>
            </w:tcBorders>
            <w:vAlign w:val="center"/>
          </w:tcPr>
          <w:p w14:paraId="44AC6CE6"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PAS discount</w:t>
            </w:r>
          </w:p>
        </w:tc>
        <w:tc>
          <w:tcPr>
            <w:tcW w:w="2404" w:type="dxa"/>
            <w:tcBorders>
              <w:bottom w:val="single" w:sz="6" w:space="0" w:color="auto"/>
            </w:tcBorders>
            <w:vAlign w:val="center"/>
          </w:tcPr>
          <w:p w14:paraId="25DA86CD" w14:textId="63132FC2" w:rsidR="002335A5" w:rsidRPr="002C21B8" w:rsidRDefault="008D05FB" w:rsidP="00C96430">
            <w:pPr>
              <w:spacing w:beforeLines="40" w:before="96" w:afterLines="40" w:after="96" w:line="240" w:lineRule="auto"/>
              <w:jc w:val="left"/>
              <w:rPr>
                <w:b/>
                <w:bCs/>
                <w:sz w:val="16"/>
                <w:szCs w:val="16"/>
              </w:rPr>
            </w:pPr>
            <w:r w:rsidRPr="002C21B8">
              <w:rPr>
                <w:b/>
                <w:bCs/>
                <w:sz w:val="16"/>
                <w:szCs w:val="16"/>
              </w:rPr>
              <w:t>Source</w:t>
            </w:r>
          </w:p>
        </w:tc>
        <w:tc>
          <w:tcPr>
            <w:tcW w:w="1367" w:type="dxa"/>
            <w:tcBorders>
              <w:bottom w:val="single" w:sz="6" w:space="0" w:color="auto"/>
            </w:tcBorders>
            <w:vAlign w:val="center"/>
          </w:tcPr>
          <w:p w14:paraId="4B7238BE"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Net potential savings (95% CI) (£ million)</w:t>
            </w:r>
          </w:p>
        </w:tc>
        <w:tc>
          <w:tcPr>
            <w:tcW w:w="1368" w:type="dxa"/>
            <w:tcBorders>
              <w:bottom w:val="single" w:sz="6" w:space="0" w:color="auto"/>
            </w:tcBorders>
            <w:vAlign w:val="center"/>
          </w:tcPr>
          <w:p w14:paraId="77F7BBCB"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Equivalent hip replacements (n)</w:t>
            </w:r>
          </w:p>
        </w:tc>
        <w:tc>
          <w:tcPr>
            <w:tcW w:w="1368" w:type="dxa"/>
            <w:tcBorders>
              <w:bottom w:val="single" w:sz="6" w:space="0" w:color="auto"/>
            </w:tcBorders>
            <w:vAlign w:val="center"/>
          </w:tcPr>
          <w:p w14:paraId="067B58B0" w14:textId="74CEA649" w:rsidR="002335A5" w:rsidRPr="002C21B8" w:rsidRDefault="002335A5" w:rsidP="00C96430">
            <w:pPr>
              <w:spacing w:beforeLines="40" w:before="96" w:afterLines="40" w:after="96" w:line="240" w:lineRule="auto"/>
              <w:jc w:val="left"/>
              <w:rPr>
                <w:b/>
                <w:bCs/>
                <w:sz w:val="16"/>
                <w:szCs w:val="16"/>
              </w:rPr>
            </w:pPr>
            <w:r w:rsidRPr="002C21B8">
              <w:rPr>
                <w:b/>
                <w:bCs/>
                <w:sz w:val="16"/>
                <w:szCs w:val="16"/>
              </w:rPr>
              <w:t>Overall cost</w:t>
            </w:r>
            <w:r w:rsidR="004D403C" w:rsidRPr="002C21B8">
              <w:rPr>
                <w:b/>
                <w:bCs/>
                <w:sz w:val="16"/>
                <w:szCs w:val="16"/>
              </w:rPr>
              <w:t xml:space="preserve"> </w:t>
            </w:r>
            <w:r w:rsidRPr="002C21B8">
              <w:rPr>
                <w:b/>
                <w:bCs/>
                <w:sz w:val="16"/>
                <w:szCs w:val="16"/>
              </w:rPr>
              <w:t xml:space="preserve">(95% CI) </w:t>
            </w:r>
            <w:r w:rsidR="00A95B8C" w:rsidRPr="002C21B8">
              <w:rPr>
                <w:b/>
                <w:bCs/>
                <w:sz w:val="16"/>
                <w:szCs w:val="16"/>
              </w:rPr>
              <w:t xml:space="preserve">             </w:t>
            </w:r>
            <w:r w:rsidRPr="002C21B8">
              <w:rPr>
                <w:b/>
                <w:bCs/>
                <w:sz w:val="16"/>
                <w:szCs w:val="16"/>
              </w:rPr>
              <w:t>(£ million)</w:t>
            </w:r>
          </w:p>
        </w:tc>
        <w:tc>
          <w:tcPr>
            <w:tcW w:w="1368" w:type="dxa"/>
            <w:tcBorders>
              <w:bottom w:val="single" w:sz="6" w:space="0" w:color="auto"/>
            </w:tcBorders>
            <w:vAlign w:val="center"/>
          </w:tcPr>
          <w:p w14:paraId="450607D1" w14:textId="77777777" w:rsidR="002335A5" w:rsidRPr="002C21B8" w:rsidRDefault="002335A5" w:rsidP="00C96430">
            <w:pPr>
              <w:spacing w:beforeLines="40" w:before="96" w:afterLines="40" w:after="96" w:line="240" w:lineRule="auto"/>
              <w:jc w:val="left"/>
              <w:rPr>
                <w:b/>
                <w:bCs/>
                <w:sz w:val="16"/>
                <w:szCs w:val="16"/>
              </w:rPr>
            </w:pPr>
            <w:r w:rsidRPr="002C21B8">
              <w:rPr>
                <w:b/>
                <w:bCs/>
                <w:sz w:val="16"/>
                <w:szCs w:val="16"/>
              </w:rPr>
              <w:t>Equivalent hip replacements (n)</w:t>
            </w:r>
          </w:p>
        </w:tc>
      </w:tr>
      <w:tr w:rsidR="002335A5" w:rsidRPr="002C21B8" w14:paraId="2CE84BCB" w14:textId="77777777" w:rsidTr="00A95B8C">
        <w:tc>
          <w:tcPr>
            <w:tcW w:w="1083" w:type="dxa"/>
            <w:tcBorders>
              <w:top w:val="single" w:sz="6" w:space="0" w:color="auto"/>
            </w:tcBorders>
            <w:vAlign w:val="center"/>
          </w:tcPr>
          <w:p w14:paraId="66E2EA59"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0% discount</w:t>
            </w:r>
          </w:p>
        </w:tc>
        <w:tc>
          <w:tcPr>
            <w:tcW w:w="2404" w:type="dxa"/>
            <w:tcBorders>
              <w:top w:val="single" w:sz="6" w:space="0" w:color="auto"/>
            </w:tcBorders>
            <w:vAlign w:val="center"/>
          </w:tcPr>
          <w:p w14:paraId="2A453AF0" w14:textId="49C718BC"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Company submission to NICE HTA </w:t>
            </w:r>
            <w:r w:rsidRPr="002C21B8">
              <w:rPr>
                <w:sz w:val="16"/>
                <w:szCs w:val="16"/>
              </w:rPr>
              <w:fldChar w:fldCharType="begin"/>
            </w:r>
            <w:r w:rsidR="00590E88" w:rsidRPr="002C21B8">
              <w:rPr>
                <w:sz w:val="16"/>
                <w:szCs w:val="16"/>
              </w:rPr>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Pr="002C21B8">
              <w:rPr>
                <w:sz w:val="16"/>
                <w:szCs w:val="16"/>
              </w:rPr>
              <w:fldChar w:fldCharType="separate"/>
            </w:r>
            <w:r w:rsidR="00590E88" w:rsidRPr="002C21B8">
              <w:rPr>
                <w:noProof/>
                <w:sz w:val="16"/>
                <w:szCs w:val="16"/>
              </w:rPr>
              <w:t>(National Institute for Health and Care Excellence, 2015b)</w:t>
            </w:r>
            <w:r w:rsidRPr="002C21B8">
              <w:rPr>
                <w:sz w:val="16"/>
                <w:szCs w:val="16"/>
              </w:rPr>
              <w:fldChar w:fldCharType="end"/>
            </w:r>
          </w:p>
        </w:tc>
        <w:tc>
          <w:tcPr>
            <w:tcW w:w="1367" w:type="dxa"/>
            <w:tcBorders>
              <w:top w:val="single" w:sz="6" w:space="0" w:color="auto"/>
            </w:tcBorders>
            <w:vAlign w:val="center"/>
          </w:tcPr>
          <w:p w14:paraId="3CF2E487" w14:textId="33E95426" w:rsidR="002335A5" w:rsidRPr="002C21B8" w:rsidRDefault="002335A5" w:rsidP="00C96430">
            <w:pPr>
              <w:spacing w:beforeLines="40" w:before="96" w:afterLines="40" w:after="96" w:line="240" w:lineRule="auto"/>
              <w:jc w:val="left"/>
              <w:rPr>
                <w:sz w:val="16"/>
                <w:szCs w:val="16"/>
              </w:rPr>
            </w:pPr>
            <w:r w:rsidRPr="002C21B8">
              <w:rPr>
                <w:sz w:val="16"/>
                <w:szCs w:val="16"/>
              </w:rPr>
              <w:t>19.4 (15.1–24.2)</w:t>
            </w:r>
          </w:p>
        </w:tc>
        <w:tc>
          <w:tcPr>
            <w:tcW w:w="1368" w:type="dxa"/>
            <w:tcBorders>
              <w:top w:val="single" w:sz="6" w:space="0" w:color="auto"/>
            </w:tcBorders>
            <w:vAlign w:val="center"/>
          </w:tcPr>
          <w:p w14:paraId="4D35D2A1"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2,084</w:t>
            </w:r>
          </w:p>
        </w:tc>
        <w:tc>
          <w:tcPr>
            <w:tcW w:w="1368" w:type="dxa"/>
            <w:tcBorders>
              <w:top w:val="single" w:sz="6" w:space="0" w:color="auto"/>
            </w:tcBorders>
            <w:vAlign w:val="center"/>
          </w:tcPr>
          <w:p w14:paraId="24DE3E2F" w14:textId="33B01CE0" w:rsidR="002335A5" w:rsidRPr="002C21B8" w:rsidRDefault="002335A5" w:rsidP="00C96430">
            <w:pPr>
              <w:spacing w:beforeLines="40" w:before="96" w:afterLines="40" w:after="96" w:line="240" w:lineRule="auto"/>
              <w:jc w:val="left"/>
              <w:rPr>
                <w:sz w:val="16"/>
                <w:szCs w:val="16"/>
              </w:rPr>
            </w:pPr>
            <w:r w:rsidRPr="002C21B8">
              <w:rPr>
                <w:sz w:val="16"/>
                <w:szCs w:val="16"/>
              </w:rPr>
              <w:t>38.1 (31.0–45.4)</w:t>
            </w:r>
          </w:p>
        </w:tc>
        <w:tc>
          <w:tcPr>
            <w:tcW w:w="1368" w:type="dxa"/>
            <w:tcBorders>
              <w:top w:val="single" w:sz="6" w:space="0" w:color="auto"/>
            </w:tcBorders>
            <w:vAlign w:val="center"/>
          </w:tcPr>
          <w:p w14:paraId="7D0466CA"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4,093</w:t>
            </w:r>
          </w:p>
        </w:tc>
      </w:tr>
      <w:tr w:rsidR="002335A5" w:rsidRPr="002C21B8" w14:paraId="0880D2DE" w14:textId="77777777" w:rsidTr="00A95B8C">
        <w:tc>
          <w:tcPr>
            <w:tcW w:w="1083" w:type="dxa"/>
            <w:vAlign w:val="center"/>
          </w:tcPr>
          <w:p w14:paraId="66B080B0"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23% discount </w:t>
            </w:r>
          </w:p>
        </w:tc>
        <w:tc>
          <w:tcPr>
            <w:tcW w:w="2404" w:type="dxa"/>
            <w:vAlign w:val="center"/>
          </w:tcPr>
          <w:p w14:paraId="1C45C6E4" w14:textId="7E0678A3"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Medicaid Drug Rebate program </w:t>
            </w:r>
            <w:r w:rsidRPr="002C21B8">
              <w:rPr>
                <w:sz w:val="16"/>
                <w:szCs w:val="16"/>
              </w:rPr>
              <w:fldChar w:fldCharType="begin"/>
            </w:r>
            <w:r w:rsidR="00D27FD1" w:rsidRPr="002C21B8">
              <w:rPr>
                <w:sz w:val="16"/>
                <w:szCs w:val="16"/>
              </w:rPr>
              <w:instrText xml:space="preserve"> ADDIN EN.CITE &lt;EndNote&gt;&lt;Cite&gt;&lt;Author&gt;Dolan&lt;/Author&gt;&lt;Year&gt;2019&lt;/Year&gt;&lt;RecNum&gt;125157&lt;/RecNum&gt;&lt;DisplayText&gt;(Dolan, 2019)&lt;/DisplayText&gt;&lt;record&gt;&lt;rec-number&gt;125157&lt;/rec-number&gt;&lt;foreign-keys&gt;&lt;key app="EN" db-id="xpefzwa5hf9dt2ea9fax95x7xvxz90v09dtf" timestamp="1766576210"&gt;125157&lt;/key&gt;&lt;/foreign-keys&gt;&lt;ref-type name="Web Page"&gt;12&lt;/ref-type&gt;&lt;contributors&gt;&lt;authors&gt;&lt;author&gt;Dolan, Rachel&lt;/author&gt;&lt;/authors&gt;&lt;/contributors&gt;&lt;titles&gt;&lt;title&gt;Understanding the Medicaid prescription drug rebate program&lt;/title&gt;&lt;/titles&gt;&lt;number&gt;26/04/2026)&lt;/number&gt;&lt;dates&gt;&lt;year&gt;2019&lt;/year&gt;&lt;/dates&gt;&lt;urls&gt;&lt;related-urls&gt;&lt;url&gt;https://www.kff.org/wp-content/uploads/2019/11/Understanding-the-Medicaid-Prescription-Drug-Rebate-Program-updated-3.2021.pdf&lt;/url&gt;&lt;/related-urls&gt;&lt;/urls&gt;&lt;/record&gt;&lt;/Cite&gt;&lt;/EndNote&gt;</w:instrText>
            </w:r>
            <w:r w:rsidRPr="002C21B8">
              <w:rPr>
                <w:sz w:val="16"/>
                <w:szCs w:val="16"/>
              </w:rPr>
              <w:fldChar w:fldCharType="separate"/>
            </w:r>
            <w:r w:rsidRPr="002C21B8">
              <w:rPr>
                <w:noProof/>
                <w:sz w:val="16"/>
                <w:szCs w:val="16"/>
              </w:rPr>
              <w:t>(Dolan, 2019)</w:t>
            </w:r>
            <w:r w:rsidRPr="002C21B8">
              <w:rPr>
                <w:sz w:val="16"/>
                <w:szCs w:val="16"/>
              </w:rPr>
              <w:fldChar w:fldCharType="end"/>
            </w:r>
          </w:p>
        </w:tc>
        <w:tc>
          <w:tcPr>
            <w:tcW w:w="1367" w:type="dxa"/>
            <w:vAlign w:val="center"/>
          </w:tcPr>
          <w:p w14:paraId="3BEBE255" w14:textId="194E0C59" w:rsidR="002335A5" w:rsidRPr="002C21B8" w:rsidRDefault="002335A5" w:rsidP="00C96430">
            <w:pPr>
              <w:spacing w:beforeLines="40" w:before="96" w:afterLines="40" w:after="96" w:line="240" w:lineRule="auto"/>
              <w:jc w:val="left"/>
              <w:rPr>
                <w:sz w:val="16"/>
                <w:szCs w:val="16"/>
              </w:rPr>
            </w:pPr>
            <w:r w:rsidRPr="002C21B8">
              <w:rPr>
                <w:sz w:val="16"/>
                <w:szCs w:val="16"/>
              </w:rPr>
              <w:t>32.5 (29.2–36.2)</w:t>
            </w:r>
          </w:p>
        </w:tc>
        <w:tc>
          <w:tcPr>
            <w:tcW w:w="1368" w:type="dxa"/>
            <w:vAlign w:val="center"/>
          </w:tcPr>
          <w:p w14:paraId="6356B7FC"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3,497</w:t>
            </w:r>
          </w:p>
        </w:tc>
        <w:tc>
          <w:tcPr>
            <w:tcW w:w="1368" w:type="dxa"/>
            <w:vAlign w:val="center"/>
          </w:tcPr>
          <w:p w14:paraId="10DD27F9" w14:textId="5CF9A853" w:rsidR="002335A5" w:rsidRPr="002C21B8" w:rsidRDefault="002335A5" w:rsidP="00C96430">
            <w:pPr>
              <w:spacing w:beforeLines="40" w:before="96" w:afterLines="40" w:after="96" w:line="240" w:lineRule="auto"/>
              <w:jc w:val="left"/>
              <w:rPr>
                <w:sz w:val="16"/>
                <w:szCs w:val="16"/>
              </w:rPr>
            </w:pPr>
            <w:r w:rsidRPr="002C21B8">
              <w:rPr>
                <w:sz w:val="16"/>
                <w:szCs w:val="16"/>
              </w:rPr>
              <w:t>29.6 (24.1–35.3)</w:t>
            </w:r>
          </w:p>
        </w:tc>
        <w:tc>
          <w:tcPr>
            <w:tcW w:w="1368" w:type="dxa"/>
            <w:vAlign w:val="center"/>
          </w:tcPr>
          <w:p w14:paraId="0F5344BD"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3,178</w:t>
            </w:r>
          </w:p>
        </w:tc>
      </w:tr>
      <w:tr w:rsidR="002335A5" w:rsidRPr="002C21B8" w14:paraId="34A527FA" w14:textId="77777777" w:rsidTr="00A95B8C">
        <w:tc>
          <w:tcPr>
            <w:tcW w:w="1083" w:type="dxa"/>
            <w:vAlign w:val="center"/>
          </w:tcPr>
          <w:p w14:paraId="512637B5"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60% discount </w:t>
            </w:r>
          </w:p>
        </w:tc>
        <w:tc>
          <w:tcPr>
            <w:tcW w:w="2404" w:type="dxa"/>
            <w:vAlign w:val="center"/>
          </w:tcPr>
          <w:p w14:paraId="42340946" w14:textId="508C5D44" w:rsidR="002335A5" w:rsidRPr="002C21B8" w:rsidRDefault="002335A5" w:rsidP="00C96430">
            <w:pPr>
              <w:spacing w:beforeLines="40" w:before="96" w:afterLines="40" w:after="96" w:line="240" w:lineRule="auto"/>
              <w:jc w:val="left"/>
              <w:rPr>
                <w:sz w:val="16"/>
                <w:szCs w:val="16"/>
                <w:lang w:val="nl-NL"/>
              </w:rPr>
            </w:pPr>
            <w:r w:rsidRPr="002C21B8">
              <w:rPr>
                <w:sz w:val="16"/>
                <w:szCs w:val="16"/>
                <w:lang w:val="nl-NL"/>
              </w:rPr>
              <w:t xml:space="preserve">UK </w:t>
            </w:r>
            <w:r w:rsidR="008D5C4F" w:rsidRPr="002C21B8">
              <w:rPr>
                <w:sz w:val="16"/>
                <w:szCs w:val="16"/>
                <w:lang w:val="nl-NL"/>
              </w:rPr>
              <w:t>P</w:t>
            </w:r>
            <w:r w:rsidRPr="002C21B8">
              <w:rPr>
                <w:sz w:val="16"/>
                <w:szCs w:val="16"/>
                <w:lang w:val="nl-NL"/>
              </w:rPr>
              <w:t xml:space="preserve">arliament document </w:t>
            </w:r>
            <w:r w:rsidRPr="002C21B8">
              <w:rPr>
                <w:sz w:val="16"/>
                <w:szCs w:val="16"/>
              </w:rPr>
              <w:fldChar w:fldCharType="begin"/>
            </w:r>
            <w:r w:rsidR="00502953" w:rsidRPr="002C21B8">
              <w:rPr>
                <w:sz w:val="16"/>
                <w:szCs w:val="16"/>
              </w:rPr>
              <w:instrText xml:space="preserve"> ADDIN EN.CITE &lt;EndNote&gt;&lt;Cite&gt;&lt;Author&gt;UK Parliament&lt;/Author&gt;&lt;Year&gt;2023&lt;/Year&gt;&lt;RecNum&gt;124998&lt;/RecNum&gt;&lt;DisplayText&gt;(UK Parliament, 2023)&lt;/DisplayText&gt;&lt;record&gt;&lt;rec-number&gt;124998&lt;/rec-number&gt;&lt;foreign-keys&gt;&lt;key app="EN" db-id="xpefzwa5hf9dt2ea9fax95x7xvxz90v09dtf" timestamp="1756968735"&gt;124998&lt;/key&gt;&lt;/foreign-keys&gt;&lt;ref-type name="Web Page"&gt;12&lt;/ref-type&gt;&lt;contributors&gt;&lt;authors&gt;&lt;author&gt;UK Parliament,&lt;/author&gt;&lt;/authors&gt;&lt;/contributors&gt;&lt;titles&gt;&lt;title&gt;Branded Medicines Voluntary Scheme and the Life Sciences Vision&lt;/title&gt;&lt;/titles&gt;&lt;number&gt;10/08/2025)&lt;/number&gt;&lt;dates&gt;&lt;year&gt;2023&lt;/year&gt;&lt;/dates&gt;&lt;urls&gt;&lt;related-urls&gt;&lt;url&gt;https://hansard.parliament.uk/commons/2023-05-03/debates/637A370B-DDA4-4946-9550-532B4E1B69A5/BrandedMedicinesVoluntarySchemeAndTheLifeSciencesVision&lt;/url&gt;&lt;/related-urls&gt;&lt;/urls&gt;&lt;access-date&gt;4th September 2025&lt;/access-date&gt;&lt;/record&gt;&lt;/Cite&gt;&lt;/EndNote&gt;</w:instrText>
            </w:r>
            <w:r w:rsidRPr="002C21B8">
              <w:rPr>
                <w:sz w:val="16"/>
                <w:szCs w:val="16"/>
              </w:rPr>
              <w:fldChar w:fldCharType="separate"/>
            </w:r>
            <w:r w:rsidRPr="002C21B8">
              <w:rPr>
                <w:noProof/>
                <w:sz w:val="16"/>
                <w:szCs w:val="16"/>
                <w:lang w:val="nl-NL"/>
              </w:rPr>
              <w:t>(UK Parliament, 2023)</w:t>
            </w:r>
            <w:r w:rsidRPr="002C21B8">
              <w:rPr>
                <w:sz w:val="16"/>
                <w:szCs w:val="16"/>
              </w:rPr>
              <w:fldChar w:fldCharType="end"/>
            </w:r>
          </w:p>
        </w:tc>
        <w:tc>
          <w:tcPr>
            <w:tcW w:w="1367" w:type="dxa"/>
            <w:vAlign w:val="center"/>
          </w:tcPr>
          <w:p w14:paraId="61549932" w14:textId="623C844D" w:rsidR="002335A5" w:rsidRPr="002C21B8" w:rsidRDefault="002335A5" w:rsidP="00C96430">
            <w:pPr>
              <w:spacing w:beforeLines="40" w:before="96" w:afterLines="40" w:after="96" w:line="240" w:lineRule="auto"/>
              <w:jc w:val="left"/>
              <w:rPr>
                <w:sz w:val="16"/>
                <w:szCs w:val="16"/>
              </w:rPr>
            </w:pPr>
            <w:r w:rsidRPr="002C21B8">
              <w:rPr>
                <w:sz w:val="16"/>
                <w:szCs w:val="16"/>
              </w:rPr>
              <w:t>53.7 (51.9–55.7)</w:t>
            </w:r>
          </w:p>
        </w:tc>
        <w:tc>
          <w:tcPr>
            <w:tcW w:w="1368" w:type="dxa"/>
            <w:vAlign w:val="center"/>
          </w:tcPr>
          <w:p w14:paraId="0585FA0B"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5,772</w:t>
            </w:r>
          </w:p>
        </w:tc>
        <w:tc>
          <w:tcPr>
            <w:tcW w:w="1368" w:type="dxa"/>
            <w:vAlign w:val="center"/>
          </w:tcPr>
          <w:p w14:paraId="7FD63A87" w14:textId="70BB5416" w:rsidR="002335A5" w:rsidRPr="002C21B8" w:rsidRDefault="002335A5" w:rsidP="00C96430">
            <w:pPr>
              <w:spacing w:beforeLines="40" w:before="96" w:afterLines="40" w:after="96" w:line="240" w:lineRule="auto"/>
              <w:jc w:val="left"/>
              <w:rPr>
                <w:sz w:val="16"/>
                <w:szCs w:val="16"/>
              </w:rPr>
            </w:pPr>
            <w:r w:rsidRPr="002C21B8">
              <w:rPr>
                <w:sz w:val="16"/>
                <w:szCs w:val="16"/>
              </w:rPr>
              <w:t>15.9 (12.9–19.0)</w:t>
            </w:r>
          </w:p>
        </w:tc>
        <w:tc>
          <w:tcPr>
            <w:tcW w:w="1368" w:type="dxa"/>
            <w:vAlign w:val="center"/>
          </w:tcPr>
          <w:p w14:paraId="589058A2"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1,707</w:t>
            </w:r>
          </w:p>
        </w:tc>
      </w:tr>
      <w:tr w:rsidR="002335A5" w:rsidRPr="002C21B8" w14:paraId="20179F3E" w14:textId="77777777" w:rsidTr="00A95B8C">
        <w:tc>
          <w:tcPr>
            <w:tcW w:w="1083" w:type="dxa"/>
            <w:vAlign w:val="center"/>
          </w:tcPr>
          <w:p w14:paraId="3EFB7597"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70% discount</w:t>
            </w:r>
          </w:p>
        </w:tc>
        <w:tc>
          <w:tcPr>
            <w:tcW w:w="2404" w:type="dxa"/>
            <w:vAlign w:val="center"/>
          </w:tcPr>
          <w:p w14:paraId="4FDAFE8B"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Lower limit generic reduction </w:t>
            </w:r>
            <w:r w:rsidRPr="002C21B8">
              <w:rPr>
                <w:sz w:val="16"/>
                <w:szCs w:val="16"/>
              </w:rPr>
              <w:fldChar w:fldCharType="begin"/>
            </w:r>
            <w:r w:rsidRPr="002C21B8">
              <w:rPr>
                <w:sz w:val="16"/>
                <w:szCs w:val="16"/>
              </w:rPr>
              <w:instrText xml:space="preserve"> ADDIN EN.CITE &lt;EndNote&gt;&lt;Cite&gt;&lt;Author&gt;British Generic Manufacturers Association&lt;/Author&gt;&lt;Year&gt;2020&lt;/Year&gt;&lt;RecNum&gt;125023&lt;/RecNum&gt;&lt;DisplayText&gt;(British Generic Manufacturers Association, 2020)&lt;/DisplayText&gt;&lt;record&gt;&lt;rec-number&gt;125023&lt;/rec-number&gt;&lt;foreign-keys&gt;&lt;key app="EN" db-id="xpefzwa5hf9dt2ea9fax95x7xvxz90v09dtf" timestamp="1757348685"&gt;125023&lt;/key&gt;&lt;/foreign-keys&gt;&lt;ref-type name="Web Page"&gt;12&lt;/ref-type&gt;&lt;contributors&gt;&lt;authors&gt;&lt;author&gt;British Generic Manufacturers Association,&lt;/author&gt;&lt;/authors&gt;&lt;/contributors&gt;&lt;titles&gt;&lt;title&gt;UK Generic medicines market functioning well and delivering significant savings&lt;/title&gt;&lt;/titles&gt;&lt;number&gt;08/09/2025)&lt;/number&gt;&lt;dates&gt;&lt;year&gt;2020&lt;/year&gt;&lt;/dates&gt;&lt;urls&gt;&lt;related-urls&gt;&lt;url&gt;https://www.medicinesuk.com/view-news/uk-generic-medicines-market-functioning-well-and-delivering-significant-savings-oxera.php&lt;/url&gt;&lt;/related-urls&gt;&lt;/urls&gt;&lt;/record&gt;&lt;/Cite&gt;&lt;/EndNote&gt;</w:instrText>
            </w:r>
            <w:r w:rsidRPr="002C21B8">
              <w:rPr>
                <w:sz w:val="16"/>
                <w:szCs w:val="16"/>
              </w:rPr>
              <w:fldChar w:fldCharType="separate"/>
            </w:r>
            <w:r w:rsidRPr="002C21B8">
              <w:rPr>
                <w:sz w:val="16"/>
                <w:szCs w:val="16"/>
              </w:rPr>
              <w:t>(British Generic Manufacturers Association, 2020)</w:t>
            </w:r>
            <w:r w:rsidRPr="002C21B8">
              <w:rPr>
                <w:sz w:val="16"/>
                <w:szCs w:val="16"/>
              </w:rPr>
              <w:fldChar w:fldCharType="end"/>
            </w:r>
          </w:p>
        </w:tc>
        <w:tc>
          <w:tcPr>
            <w:tcW w:w="1367" w:type="dxa"/>
            <w:vAlign w:val="center"/>
          </w:tcPr>
          <w:p w14:paraId="1F63E86D" w14:textId="60CDA8E6" w:rsidR="002335A5" w:rsidRPr="002C21B8" w:rsidRDefault="002335A5" w:rsidP="00C96430">
            <w:pPr>
              <w:spacing w:beforeLines="40" w:before="96" w:afterLines="40" w:after="96" w:line="240" w:lineRule="auto"/>
              <w:jc w:val="left"/>
              <w:rPr>
                <w:sz w:val="16"/>
                <w:szCs w:val="16"/>
              </w:rPr>
            </w:pPr>
            <w:r w:rsidRPr="002C21B8">
              <w:rPr>
                <w:sz w:val="16"/>
                <w:szCs w:val="16"/>
              </w:rPr>
              <w:t>59.4 (58.0–60.9)</w:t>
            </w:r>
          </w:p>
        </w:tc>
        <w:tc>
          <w:tcPr>
            <w:tcW w:w="1368" w:type="dxa"/>
            <w:vAlign w:val="center"/>
          </w:tcPr>
          <w:p w14:paraId="56D84D7A"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6,387</w:t>
            </w:r>
          </w:p>
        </w:tc>
        <w:tc>
          <w:tcPr>
            <w:tcW w:w="1368" w:type="dxa"/>
            <w:vAlign w:val="center"/>
          </w:tcPr>
          <w:p w14:paraId="43211DC8" w14:textId="5D95CB53" w:rsidR="002335A5" w:rsidRPr="002C21B8" w:rsidRDefault="002335A5" w:rsidP="00C96430">
            <w:pPr>
              <w:spacing w:beforeLines="40" w:before="96" w:afterLines="40" w:after="96" w:line="240" w:lineRule="auto"/>
              <w:jc w:val="left"/>
              <w:rPr>
                <w:sz w:val="16"/>
                <w:szCs w:val="16"/>
              </w:rPr>
            </w:pPr>
            <w:r w:rsidRPr="002C21B8">
              <w:rPr>
                <w:sz w:val="16"/>
                <w:szCs w:val="16"/>
              </w:rPr>
              <w:t>12.2 (9.9–14.5)</w:t>
            </w:r>
          </w:p>
        </w:tc>
        <w:tc>
          <w:tcPr>
            <w:tcW w:w="1368" w:type="dxa"/>
            <w:vAlign w:val="center"/>
          </w:tcPr>
          <w:p w14:paraId="6880610A"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1,310</w:t>
            </w:r>
          </w:p>
        </w:tc>
      </w:tr>
      <w:tr w:rsidR="002335A5" w:rsidRPr="002C21B8" w14:paraId="3245349D" w14:textId="77777777" w:rsidTr="00A95B8C">
        <w:tc>
          <w:tcPr>
            <w:tcW w:w="1083" w:type="dxa"/>
            <w:tcBorders>
              <w:bottom w:val="single" w:sz="12" w:space="0" w:color="auto"/>
            </w:tcBorders>
            <w:vAlign w:val="center"/>
          </w:tcPr>
          <w:p w14:paraId="4544C27F"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90% discount </w:t>
            </w:r>
          </w:p>
        </w:tc>
        <w:tc>
          <w:tcPr>
            <w:tcW w:w="2404" w:type="dxa"/>
            <w:tcBorders>
              <w:bottom w:val="single" w:sz="12" w:space="0" w:color="auto"/>
            </w:tcBorders>
            <w:vAlign w:val="center"/>
          </w:tcPr>
          <w:p w14:paraId="79E66C15"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 xml:space="preserve">Upper limit generic reduction </w:t>
            </w:r>
            <w:r w:rsidRPr="002C21B8">
              <w:rPr>
                <w:sz w:val="16"/>
                <w:szCs w:val="16"/>
              </w:rPr>
              <w:fldChar w:fldCharType="begin"/>
            </w:r>
            <w:r w:rsidRPr="002C21B8">
              <w:rPr>
                <w:sz w:val="16"/>
                <w:szCs w:val="16"/>
              </w:rPr>
              <w:instrText xml:space="preserve"> ADDIN EN.CITE &lt;EndNote&gt;&lt;Cite&gt;&lt;Author&gt;British Generic Manufacturers Association&lt;/Author&gt;&lt;Year&gt;2020&lt;/Year&gt;&lt;RecNum&gt;125023&lt;/RecNum&gt;&lt;DisplayText&gt;(British Generic Manufacturers Association, 2020)&lt;/DisplayText&gt;&lt;record&gt;&lt;rec-number&gt;125023&lt;/rec-number&gt;&lt;foreign-keys&gt;&lt;key app="EN" db-id="xpefzwa5hf9dt2ea9fax95x7xvxz90v09dtf" timestamp="1757348685"&gt;125023&lt;/key&gt;&lt;/foreign-keys&gt;&lt;ref-type name="Web Page"&gt;12&lt;/ref-type&gt;&lt;contributors&gt;&lt;authors&gt;&lt;author&gt;British Generic Manufacturers Association,&lt;/author&gt;&lt;/authors&gt;&lt;/contributors&gt;&lt;titles&gt;&lt;title&gt;UK Generic medicines market functioning well and delivering significant savings&lt;/title&gt;&lt;/titles&gt;&lt;number&gt;08/09/2025)&lt;/number&gt;&lt;dates&gt;&lt;year&gt;2020&lt;/year&gt;&lt;/dates&gt;&lt;urls&gt;&lt;related-urls&gt;&lt;url&gt;https://www.medicinesuk.com/view-news/uk-generic-medicines-market-functioning-well-and-delivering-significant-savings-oxera.php&lt;/url&gt;&lt;/related-urls&gt;&lt;/urls&gt;&lt;/record&gt;&lt;/Cite&gt;&lt;/EndNote&gt;</w:instrText>
            </w:r>
            <w:r w:rsidRPr="002C21B8">
              <w:rPr>
                <w:sz w:val="16"/>
                <w:szCs w:val="16"/>
              </w:rPr>
              <w:fldChar w:fldCharType="separate"/>
            </w:r>
            <w:r w:rsidRPr="002C21B8">
              <w:rPr>
                <w:sz w:val="16"/>
                <w:szCs w:val="16"/>
              </w:rPr>
              <w:t>(British Generic Manufacturers Association, 2020)</w:t>
            </w:r>
            <w:r w:rsidRPr="002C21B8">
              <w:rPr>
                <w:sz w:val="16"/>
                <w:szCs w:val="16"/>
              </w:rPr>
              <w:fldChar w:fldCharType="end"/>
            </w:r>
          </w:p>
        </w:tc>
        <w:tc>
          <w:tcPr>
            <w:tcW w:w="1367" w:type="dxa"/>
            <w:tcBorders>
              <w:bottom w:val="single" w:sz="12" w:space="0" w:color="auto"/>
            </w:tcBorders>
            <w:vAlign w:val="center"/>
          </w:tcPr>
          <w:p w14:paraId="17CD5BB1" w14:textId="1461990A" w:rsidR="002335A5" w:rsidRPr="002C21B8" w:rsidRDefault="002335A5" w:rsidP="00C96430">
            <w:pPr>
              <w:spacing w:beforeLines="40" w:before="96" w:afterLines="40" w:after="96" w:line="240" w:lineRule="auto"/>
              <w:jc w:val="left"/>
              <w:rPr>
                <w:sz w:val="16"/>
                <w:szCs w:val="16"/>
              </w:rPr>
            </w:pPr>
            <w:r w:rsidRPr="002C21B8">
              <w:rPr>
                <w:sz w:val="16"/>
                <w:szCs w:val="16"/>
              </w:rPr>
              <w:t>70.8 (70.3–71.4)</w:t>
            </w:r>
          </w:p>
        </w:tc>
        <w:tc>
          <w:tcPr>
            <w:tcW w:w="1368" w:type="dxa"/>
            <w:tcBorders>
              <w:bottom w:val="single" w:sz="12" w:space="0" w:color="auto"/>
            </w:tcBorders>
            <w:vAlign w:val="center"/>
          </w:tcPr>
          <w:p w14:paraId="3C4344BB"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7,616</w:t>
            </w:r>
          </w:p>
        </w:tc>
        <w:tc>
          <w:tcPr>
            <w:tcW w:w="1368" w:type="dxa"/>
            <w:tcBorders>
              <w:bottom w:val="single" w:sz="12" w:space="0" w:color="auto"/>
            </w:tcBorders>
            <w:vAlign w:val="center"/>
          </w:tcPr>
          <w:p w14:paraId="7BB092F2" w14:textId="3A970B3D" w:rsidR="002335A5" w:rsidRPr="002C21B8" w:rsidRDefault="002335A5" w:rsidP="00C96430">
            <w:pPr>
              <w:spacing w:beforeLines="40" w:before="96" w:afterLines="40" w:after="96" w:line="240" w:lineRule="auto"/>
              <w:jc w:val="left"/>
              <w:rPr>
                <w:sz w:val="16"/>
                <w:szCs w:val="16"/>
              </w:rPr>
            </w:pPr>
            <w:r w:rsidRPr="002C21B8">
              <w:rPr>
                <w:sz w:val="16"/>
                <w:szCs w:val="16"/>
              </w:rPr>
              <w:t>4.8 (3.9–5.7)</w:t>
            </w:r>
          </w:p>
        </w:tc>
        <w:tc>
          <w:tcPr>
            <w:tcW w:w="1368" w:type="dxa"/>
            <w:tcBorders>
              <w:bottom w:val="single" w:sz="12" w:space="0" w:color="auto"/>
            </w:tcBorders>
            <w:vAlign w:val="center"/>
          </w:tcPr>
          <w:p w14:paraId="40024606" w14:textId="77777777" w:rsidR="002335A5" w:rsidRPr="002C21B8" w:rsidRDefault="002335A5" w:rsidP="00C96430">
            <w:pPr>
              <w:spacing w:beforeLines="40" w:before="96" w:afterLines="40" w:after="96" w:line="240" w:lineRule="auto"/>
              <w:jc w:val="left"/>
              <w:rPr>
                <w:sz w:val="16"/>
                <w:szCs w:val="16"/>
              </w:rPr>
            </w:pPr>
            <w:r w:rsidRPr="002C21B8">
              <w:rPr>
                <w:sz w:val="16"/>
                <w:szCs w:val="16"/>
              </w:rPr>
              <w:t>515</w:t>
            </w:r>
          </w:p>
        </w:tc>
      </w:tr>
    </w:tbl>
    <w:p w14:paraId="61B20914" w14:textId="77777777" w:rsidR="002335A5" w:rsidRPr="002C21B8" w:rsidRDefault="002335A5" w:rsidP="00C96430">
      <w:pPr>
        <w:spacing w:after="0" w:line="240" w:lineRule="auto"/>
        <w:jc w:val="left"/>
        <w:rPr>
          <w:b/>
          <w:bCs/>
          <w:sz w:val="28"/>
          <w:szCs w:val="28"/>
        </w:rPr>
      </w:pPr>
      <w:r w:rsidRPr="002C21B8">
        <w:rPr>
          <w:b/>
          <w:bCs/>
          <w:sz w:val="28"/>
          <w:szCs w:val="28"/>
        </w:rPr>
        <w:br w:type="page"/>
      </w:r>
    </w:p>
    <w:p w14:paraId="6573B386" w14:textId="22BDAD67" w:rsidR="004B4E1D" w:rsidRPr="002C21B8" w:rsidRDefault="004B4E1D" w:rsidP="00D068AB">
      <w:pPr>
        <w:spacing w:before="240" w:after="0"/>
        <w:rPr>
          <w:b/>
          <w:bCs/>
          <w:sz w:val="28"/>
          <w:szCs w:val="28"/>
        </w:rPr>
      </w:pPr>
      <w:r w:rsidRPr="002C21B8">
        <w:rPr>
          <w:b/>
          <w:bCs/>
          <w:sz w:val="28"/>
          <w:szCs w:val="28"/>
        </w:rPr>
        <w:t>Discussion</w:t>
      </w:r>
    </w:p>
    <w:p w14:paraId="22BB01F5" w14:textId="77777777" w:rsidR="004B4E1D" w:rsidRPr="002C21B8" w:rsidRDefault="004B4E1D" w:rsidP="007E6078">
      <w:pPr>
        <w:spacing w:after="0"/>
        <w:rPr>
          <w:b/>
          <w:bCs/>
          <w:sz w:val="24"/>
          <w:szCs w:val="24"/>
        </w:rPr>
      </w:pPr>
      <w:r w:rsidRPr="002C21B8">
        <w:rPr>
          <w:b/>
          <w:bCs/>
          <w:sz w:val="24"/>
          <w:szCs w:val="24"/>
        </w:rPr>
        <w:t>Summary of key findings</w:t>
      </w:r>
    </w:p>
    <w:p w14:paraId="4DF240F1" w14:textId="64CEA71E" w:rsidR="005E60F9" w:rsidRPr="002C21B8" w:rsidRDefault="005E60F9" w:rsidP="005E60F9">
      <w:r w:rsidRPr="002C21B8">
        <w:t xml:space="preserve">In this national cohort of 3,609 patients with ADPKD across 72 UK kidney centres, </w:t>
      </w:r>
      <w:r w:rsidR="00BD2EAD" w:rsidRPr="002C21B8">
        <w:t xml:space="preserve">differences were identified in </w:t>
      </w:r>
      <w:r w:rsidRPr="002C21B8">
        <w:t>tolvaptan prescribing in relation to nationally specified eligibility criteria. Among 839 eligible patients, 65.2% (547/839) were not initiated. These patients demonstrated eGFR slopes comparable to those who were initiated. Kidney centre-specific rates of initiation in eligible patients also varied</w:t>
      </w:r>
      <w:r w:rsidR="00616340" w:rsidRPr="002C21B8">
        <w:t>,</w:t>
      </w:r>
      <w:r w:rsidRPr="002C21B8">
        <w:t xml:space="preserve"> with one prescribing significantly less than expected to eligible patients and five prescrib</w:t>
      </w:r>
      <w:r w:rsidR="00457500" w:rsidRPr="002C21B8">
        <w:t>ing</w:t>
      </w:r>
      <w:r w:rsidRPr="002C21B8">
        <w:t xml:space="preserve"> significantly more after adjustment for </w:t>
      </w:r>
      <w:r w:rsidR="009D6C73" w:rsidRPr="002C21B8">
        <w:t xml:space="preserve">patient </w:t>
      </w:r>
      <w:r w:rsidRPr="002C21B8">
        <w:t>case</w:t>
      </w:r>
      <w:r w:rsidR="009D6C73" w:rsidRPr="002C21B8">
        <w:t>-</w:t>
      </w:r>
      <w:r w:rsidRPr="002C21B8">
        <w:t xml:space="preserve">mix. Among 395 patients initiated on tolvaptan, 26.1% (103/395) were not eligible. These patients </w:t>
      </w:r>
      <w:r w:rsidR="00616340" w:rsidRPr="002C21B8">
        <w:t xml:space="preserve">who </w:t>
      </w:r>
      <w:r w:rsidRPr="002C21B8">
        <w:t xml:space="preserve">were not eligible were older and had slower disease progression. Kidney centre-specific rates of eligibility in initiated patients showed minimal deviation, with only one kidney centre prescribing </w:t>
      </w:r>
      <w:r w:rsidR="0063569A" w:rsidRPr="002C21B8">
        <w:t xml:space="preserve">to </w:t>
      </w:r>
      <w:r w:rsidRPr="002C21B8">
        <w:t xml:space="preserve">significantly </w:t>
      </w:r>
      <w:r w:rsidR="00B5311E" w:rsidRPr="002C21B8">
        <w:t>fewer</w:t>
      </w:r>
      <w:r w:rsidRPr="002C21B8">
        <w:t xml:space="preserve"> eligible patients than expected. We hypothesised a theoretical trade-off </w:t>
      </w:r>
      <w:r w:rsidR="0063569A" w:rsidRPr="002C21B8">
        <w:t>between</w:t>
      </w:r>
      <w:r w:rsidRPr="002C21B8">
        <w:t xml:space="preserve"> </w:t>
      </w:r>
      <w:r w:rsidR="0063569A" w:rsidRPr="002C21B8">
        <w:t xml:space="preserve">access and inappropriate use across </w:t>
      </w:r>
      <w:r w:rsidRPr="002C21B8">
        <w:t>kidney centres</w:t>
      </w:r>
      <w:r w:rsidR="0063569A" w:rsidRPr="002C21B8">
        <w:t xml:space="preserve">, but the two </w:t>
      </w:r>
      <w:r w:rsidRPr="002C21B8">
        <w:t>behaviours appeared to occur independently.</w:t>
      </w:r>
    </w:p>
    <w:p w14:paraId="61B2488C" w14:textId="3698031E" w:rsidR="005E60F9" w:rsidRPr="002C21B8" w:rsidRDefault="005E60F9" w:rsidP="005E60F9">
      <w:r w:rsidRPr="002C21B8">
        <w:t>Our findings could have important clinical and economic consequences. Patients eligible for tolvaptan who were not initiated may carry substantial opportunity cost</w:t>
      </w:r>
      <w:r w:rsidR="00065AE4" w:rsidRPr="002C21B8">
        <w:t>. E</w:t>
      </w:r>
      <w:r w:rsidRPr="002C21B8">
        <w:t>xtrapolated UK-wide estimates suggest potential net savings of up to £53.7 million</w:t>
      </w:r>
      <w:r w:rsidR="002C63A1" w:rsidRPr="002C21B8">
        <w:t>,</w:t>
      </w:r>
      <w:r w:rsidRPr="002C21B8">
        <w:t xml:space="preserve"> assuming a patient uptake of 30.5%, equivalent to 5,772 NHS total hip replacements, and could result in a loss of 1,245 QALYs. Conversely, patients initiated on tolvaptan who were not eligible could cost up to £15.9 million</w:t>
      </w:r>
      <w:r w:rsidR="00BC7282" w:rsidRPr="002C21B8">
        <w:t>,</w:t>
      </w:r>
      <w:r w:rsidRPr="002C21B8">
        <w:t xml:space="preserve"> if it </w:t>
      </w:r>
      <w:r w:rsidR="007B0269" w:rsidRPr="002C21B8">
        <w:t>i</w:t>
      </w:r>
      <w:r w:rsidRPr="002C21B8">
        <w:t xml:space="preserve">s assumed </w:t>
      </w:r>
      <w:r w:rsidR="00FF6AD8" w:rsidRPr="002C21B8">
        <w:t xml:space="preserve">that </w:t>
      </w:r>
      <w:r w:rsidR="007B0269" w:rsidRPr="002C21B8">
        <w:t>all patients</w:t>
      </w:r>
      <w:r w:rsidRPr="002C21B8">
        <w:t xml:space="preserve"> were not eligible according to a</w:t>
      </w:r>
      <w:r w:rsidR="007B0269" w:rsidRPr="002C21B8">
        <w:t>ny of the</w:t>
      </w:r>
      <w:r w:rsidRPr="002C21B8">
        <w:t xml:space="preserve"> Renal Association eligibility criteria</w:t>
      </w:r>
      <w:r w:rsidR="007B0269" w:rsidRPr="002C21B8">
        <w:t>. This cost would be</w:t>
      </w:r>
      <w:r w:rsidRPr="002C21B8">
        <w:t xml:space="preserve"> equivalent to 1,707 NHS total hip replacements. Overall, the largest health-system gains could potentially come from increasing initiation among eligible patients, as the potential gains would exceed the cost of treating a small number of patients w</w:t>
      </w:r>
      <w:r w:rsidR="008B5385" w:rsidRPr="002C21B8">
        <w:t>ho</w:t>
      </w:r>
      <w:r w:rsidRPr="002C21B8">
        <w:t xml:space="preserve"> </w:t>
      </w:r>
      <w:r w:rsidR="008B5385" w:rsidRPr="002C21B8">
        <w:t>we</w:t>
      </w:r>
      <w:r w:rsidRPr="002C21B8">
        <w:t>re not eligible.</w:t>
      </w:r>
    </w:p>
    <w:p w14:paraId="4FBEF0EE" w14:textId="0654B86D" w:rsidR="004B4E1D" w:rsidRPr="002C21B8" w:rsidRDefault="004B4E1D" w:rsidP="00D068AB">
      <w:pPr>
        <w:spacing w:before="240" w:after="0"/>
        <w:rPr>
          <w:b/>
          <w:bCs/>
          <w:sz w:val="24"/>
          <w:szCs w:val="24"/>
        </w:rPr>
      </w:pPr>
      <w:r w:rsidRPr="002C21B8">
        <w:rPr>
          <w:b/>
          <w:bCs/>
          <w:sz w:val="24"/>
          <w:szCs w:val="24"/>
        </w:rPr>
        <w:t>Comparison with Previous Studies</w:t>
      </w:r>
    </w:p>
    <w:p w14:paraId="39A7FBE2" w14:textId="3B1224A5" w:rsidR="005E60F9" w:rsidRPr="002C21B8" w:rsidRDefault="005E60F9" w:rsidP="005E60F9">
      <w:r w:rsidRPr="002C21B8">
        <w:t xml:space="preserve">Previous national evaluations of tolvaptan use have relied on reimbursement or insurance claims aggregated by region. While useful for broad trends, these datasets lack </w:t>
      </w:r>
      <w:r w:rsidR="00FE640D" w:rsidRPr="002C21B8">
        <w:t xml:space="preserve">the </w:t>
      </w:r>
      <w:r w:rsidRPr="002C21B8">
        <w:t xml:space="preserve">granularity </w:t>
      </w:r>
      <w:r w:rsidR="00FE640D" w:rsidRPr="002C21B8">
        <w:t xml:space="preserve">needed </w:t>
      </w:r>
      <w:r w:rsidRPr="002C21B8">
        <w:t xml:space="preserve">to assess variation at the kidney centre level. </w:t>
      </w:r>
      <w:r w:rsidRPr="002C21B8">
        <w:fldChar w:fldCharType="begin"/>
      </w:r>
      <w:r w:rsidRPr="002C21B8">
        <w:instrText xml:space="preserve"> ADDIN EN.CITE &lt;EndNote&gt;&lt;Cite AuthorYear="1"&gt;&lt;Author&gt;Chong&lt;/Author&gt;&lt;Year&gt;2022&lt;/Year&gt;&lt;RecNum&gt;125304&lt;/RecNum&gt;&lt;DisplayText&gt;Chong,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Pr="002C21B8">
        <w:fldChar w:fldCharType="separate"/>
      </w:r>
      <w:r w:rsidRPr="002C21B8">
        <w:t>Chong, Harris and Ong (2022)</w:t>
      </w:r>
      <w:r w:rsidRPr="002C21B8">
        <w:fldChar w:fldCharType="end"/>
      </w:r>
      <w:r w:rsidRPr="002C21B8">
        <w:t xml:space="preserve"> reported a four-fold difference in prescribing across UK regions using NHS </w:t>
      </w:r>
      <w:r w:rsidR="00BC7DF9" w:rsidRPr="002C21B8">
        <w:t>D</w:t>
      </w:r>
      <w:r w:rsidRPr="002C21B8">
        <w:t>igital reimbursement data</w:t>
      </w:r>
      <w:r w:rsidR="00020819" w:rsidRPr="002C21B8">
        <w:t xml:space="preserve">. However, they </w:t>
      </w:r>
      <w:r w:rsidRPr="002C21B8">
        <w:t>did not distinguish ADPKD from other indications for tolvaptan</w:t>
      </w:r>
      <w:r w:rsidR="002C63A1" w:rsidRPr="002C21B8">
        <w:t>, such as</w:t>
      </w:r>
      <w:r w:rsidRPr="002C21B8">
        <w:t xml:space="preserve"> heart failure or the syndrome of inappropriate antidiuretic hormone secretion. </w:t>
      </w:r>
      <w:r w:rsidR="00D251A4" w:rsidRPr="002C21B8">
        <w:t>In</w:t>
      </w:r>
      <w:r w:rsidRPr="002C21B8">
        <w:t xml:space="preserve"> Japan, </w:t>
      </w:r>
      <w:r w:rsidRPr="002C21B8">
        <w:fldChar w:fldCharType="begin"/>
      </w:r>
      <w:r w:rsidRPr="002C21B8">
        <w:instrText xml:space="preserve"> ADDIN EN.CITE &lt;EndNote&gt;&lt;Cite AuthorYear="1"&gt;&lt;Author&gt;Inoue&lt;/Author&gt;&lt;Year&gt;2020&lt;/Year&gt;&lt;RecNum&gt;125187&lt;/RecNum&gt;&lt;DisplayText&gt;Inoue&lt;style face="italic"&gt; et al.&lt;/style&gt; (2020)&lt;/DisplayText&gt;&lt;record&gt;&lt;rec-number&gt;125187&lt;/rec-number&gt;&lt;foreign-keys&gt;&lt;key app="EN" db-id="xpefzwa5hf9dt2ea9fax95x7xvxz90v09dtf" timestamp="1769244242"&gt;125187&lt;/key&gt;&lt;/foreign-keys&gt;&lt;ref-type name="Journal Article"&gt;17&lt;/ref-type&gt;&lt;contributors&gt;&lt;authors&gt;&lt;author&gt;Inoue, Reiko&lt;/author&gt;&lt;author&gt;Nishi, Hiroshi&lt;/author&gt;&lt;author&gt;Inoue, Daisuke&lt;/author&gt;&lt;author&gt;Honda, Kenjiro&lt;/author&gt;&lt;author&gt;Nangaku, Masaomi&lt;/author&gt;&lt;/authors&gt;&lt;/contributors&gt;&lt;titles&gt;&lt;title&gt;Regional variance of the early use of tolvaptan for autosomal dominant polycystic kidney disease&lt;/title&gt;&lt;secondary-title&gt;Kidney360&lt;/secondary-title&gt;&lt;/titles&gt;&lt;periodical&gt;&lt;full-title&gt;Kidney360&lt;/full-title&gt;&lt;/periodical&gt;&lt;pages&gt;740-745&lt;/pages&gt;&lt;volume&gt;1&lt;/volume&gt;&lt;number&gt;8&lt;/number&gt;&lt;dates&gt;&lt;year&gt;2020&lt;/year&gt;&lt;/dates&gt;&lt;isbn&gt;2641-7650&lt;/isbn&gt;&lt;urls&gt;&lt;/urls&gt;&lt;/record&gt;&lt;/Cite&gt;&lt;/EndNote&gt;</w:instrText>
      </w:r>
      <w:r w:rsidRPr="002C21B8">
        <w:fldChar w:fldCharType="separate"/>
      </w:r>
      <w:r w:rsidRPr="002C21B8">
        <w:t>Inoue</w:t>
      </w:r>
      <w:r w:rsidRPr="002C21B8">
        <w:rPr>
          <w:i/>
        </w:rPr>
        <w:t xml:space="preserve"> et al.</w:t>
      </w:r>
      <w:r w:rsidRPr="002C21B8">
        <w:t xml:space="preserve"> (2020)</w:t>
      </w:r>
      <w:r w:rsidRPr="002C21B8">
        <w:fldChar w:fldCharType="end"/>
      </w:r>
      <w:r w:rsidRPr="002C21B8">
        <w:t xml:space="preserve"> reported substantial regional variation in tolvaptan prescribing</w:t>
      </w:r>
      <w:r w:rsidR="002C63A1" w:rsidRPr="002C21B8">
        <w:t>,</w:t>
      </w:r>
      <w:r w:rsidRPr="002C21B8">
        <w:t xml:space="preserve"> with some prefectures prescribing up to 21 times more than others. </w:t>
      </w:r>
      <w:r w:rsidR="005F2B98" w:rsidRPr="002C21B8">
        <w:t xml:space="preserve">These studies support our findings that there is variation in tolvaptan prescribing in clinical practice. </w:t>
      </w:r>
      <w:r w:rsidRPr="002C21B8">
        <w:t xml:space="preserve">However, none of these studies reported prescribing </w:t>
      </w:r>
      <w:r w:rsidR="005F2B98" w:rsidRPr="002C21B8">
        <w:t xml:space="preserve">in reference to </w:t>
      </w:r>
      <w:r w:rsidRPr="002C21B8">
        <w:t>nationally specified eligibility criteria</w:t>
      </w:r>
      <w:r w:rsidR="00387A5C" w:rsidRPr="002C21B8">
        <w:t>,</w:t>
      </w:r>
      <w:r w:rsidRPr="002C21B8">
        <w:t xml:space="preserve"> or considered the economic and health consequences of variation observed in practice</w:t>
      </w:r>
      <w:r w:rsidR="002C63A1" w:rsidRPr="002C21B8">
        <w:t>,</w:t>
      </w:r>
      <w:r w:rsidR="005F2B98" w:rsidRPr="002C21B8">
        <w:t xml:space="preserve"> so further comparisons cannot be </w:t>
      </w:r>
      <w:r w:rsidR="003A5287" w:rsidRPr="002C21B8">
        <w:t>undertaken</w:t>
      </w:r>
      <w:r w:rsidRPr="002C21B8">
        <w:t>.</w:t>
      </w:r>
    </w:p>
    <w:p w14:paraId="7C76DA59" w14:textId="2A237563" w:rsidR="005E60F9" w:rsidRPr="002C21B8" w:rsidRDefault="005E60F9" w:rsidP="005E60F9">
      <w:pPr>
        <w:tabs>
          <w:tab w:val="left" w:pos="3406"/>
        </w:tabs>
      </w:pPr>
      <w:r w:rsidRPr="002C21B8">
        <w:t xml:space="preserve">The 65.2% of patients eligible for tolvaptan who were not initiated on tolvaptan could be </w:t>
      </w:r>
      <w:r w:rsidR="00567F52" w:rsidRPr="002C21B8">
        <w:t xml:space="preserve">in part </w:t>
      </w:r>
      <w:r w:rsidRPr="002C21B8">
        <w:t>related to patient refusal</w:t>
      </w:r>
      <w:r w:rsidR="002C63A1" w:rsidRPr="002C21B8">
        <w:t>,</w:t>
      </w:r>
      <w:r w:rsidRPr="002C21B8">
        <w:t xml:space="preserve"> which was not </w:t>
      </w:r>
      <w:r w:rsidR="00460AB1" w:rsidRPr="002C21B8">
        <w:t>re</w:t>
      </w:r>
      <w:r w:rsidR="00B00C86" w:rsidRPr="002C21B8">
        <w:t>cord</w:t>
      </w:r>
      <w:r w:rsidRPr="002C21B8">
        <w:t xml:space="preserve">ed in RaDaR and has not been published for the UK ADPKD population. In Canada, </w:t>
      </w:r>
      <w:r w:rsidRPr="002C21B8">
        <w:fldChar w:fldCharType="begin"/>
      </w:r>
      <w:r w:rsidRPr="002C21B8">
        <w:instrText xml:space="preserve"> ADDIN EN.CITE &lt;EndNote&gt;&lt;Cite AuthorYear="1"&gt;&lt;Author&gt;Calvaruso&lt;/Author&gt;&lt;Year&gt;2023&lt;/Year&gt;&lt;RecNum&gt;124902&lt;/RecNum&gt;&lt;DisplayText&gt;Calvaruso&lt;style face="italic"&gt; et al.&lt;/style&gt; (2023)&lt;/DisplayText&gt;&lt;record&gt;&lt;rec-number&gt;124902&lt;/rec-number&gt;&lt;foreign-keys&gt;&lt;key app="EN" db-id="xpefzwa5hf9dt2ea9fax95x7xvxz90v09dtf" timestamp="1748879779"&gt;124902&lt;/key&gt;&lt;/foreign-keys&gt;&lt;ref-type name="Journal Article"&gt;17&lt;/ref-type&gt;&lt;contributors&gt;&lt;authors&gt;&lt;author&gt;Calvaruso, L.&lt;/author&gt;&lt;author&gt;Yau, K.&lt;/author&gt;&lt;author&gt;Akbari, P.&lt;/author&gt;&lt;author&gt;Nasri, F.&lt;/author&gt;&lt;author&gt;Khowaja, S.&lt;/author&gt;&lt;author&gt;Wang, B.&lt;/author&gt;&lt;author&gt;Haghighi, A.&lt;/author&gt;&lt;author&gt;Khalili, K.&lt;/author&gt;&lt;author&gt;Pei, Y.&lt;/author&gt;&lt;/authors&gt;&lt;/contributors&gt;&lt;titles&gt;&lt;title&gt;Real-life use of tolvaptan in ADPKD: a retrospective analysis of a large Canadian cohort&lt;/title&gt;&lt;secondary-title&gt;Scientific Reports&lt;/secondary-title&gt;&lt;/titles&gt;&lt;periodical&gt;&lt;full-title&gt;Scientific reports&lt;/full-title&gt;&lt;/periodical&gt;&lt;pages&gt;22257&lt;/pages&gt;&lt;volume&gt;13&lt;/volume&gt;&lt;number&gt;1&lt;/number&gt;&lt;dates&gt;&lt;year&gt;2023&lt;/year&gt;&lt;pub-dates&gt;&lt;date&gt;2023/12/14&lt;/date&gt;&lt;/pub-dates&gt;&lt;/dates&gt;&lt;isbn&gt;2045-2322&lt;/isbn&gt;&lt;urls&gt;&lt;related-urls&gt;&lt;url&gt;https://doi.org/10.1038/s41598-023-48638-9&lt;/url&gt;&lt;/related-urls&gt;&lt;/urls&gt;&lt;electronic-resource-num&gt;10.1038/s41598-023-48638-9&lt;/electronic-resource-num&gt;&lt;/record&gt;&lt;/Cite&gt;&lt;/EndNote&gt;</w:instrText>
      </w:r>
      <w:r w:rsidRPr="002C21B8">
        <w:fldChar w:fldCharType="separate"/>
      </w:r>
      <w:r w:rsidRPr="002C21B8">
        <w:t>Calvaruso</w:t>
      </w:r>
      <w:r w:rsidRPr="002C21B8">
        <w:rPr>
          <w:i/>
        </w:rPr>
        <w:t xml:space="preserve"> et al.</w:t>
      </w:r>
      <w:r w:rsidRPr="002C21B8">
        <w:t xml:space="preserve"> (2023)</w:t>
      </w:r>
      <w:r w:rsidRPr="002C21B8">
        <w:fldChar w:fldCharType="end"/>
      </w:r>
      <w:r w:rsidRPr="002C21B8">
        <w:t xml:space="preserve"> reported a 30.5% uptake among high-risk patients at a single kidney centre using Mayo Imaging Classes</w:t>
      </w:r>
      <w:r w:rsidR="002C63A1" w:rsidRPr="002C21B8">
        <w:t xml:space="preserve">; </w:t>
      </w:r>
      <w:r w:rsidR="00567F52" w:rsidRPr="002C21B8">
        <w:t>this</w:t>
      </w:r>
      <w:r w:rsidRPr="002C21B8">
        <w:t xml:space="preserve"> was used in our health and economic analysis. However, for such patient-level factors to fully explain observed centre-level variation</w:t>
      </w:r>
      <w:r w:rsidR="002C63A1" w:rsidRPr="002C21B8">
        <w:t>,</w:t>
      </w:r>
      <w:r w:rsidRPr="002C21B8">
        <w:t xml:space="preserve"> they would have to vary systematically across centres and independently of the covariates included. While observed variation may therefore overestimate missed opportunities, residual differences after adjustment are still likely to reflect centre-level practice </w:t>
      </w:r>
      <w:r w:rsidRPr="002C21B8">
        <w:fldChar w:fldCharType="begin"/>
      </w:r>
      <w:r w:rsidRPr="002C21B8">
        <w:instrText xml:space="preserve"> ADDIN EN.CITE &lt;EndNote&gt;&lt;Cite&gt;&lt;Author&gt;Panturu&lt;/Author&gt;&lt;Year&gt;2025&lt;/Year&gt;&lt;RecNum&gt;125285&lt;/RecNum&gt;&lt;DisplayText&gt;(Panturu&lt;style face="italic"&gt; et al.&lt;/style&gt;, 2025)&lt;/DisplayText&gt;&lt;record&gt;&lt;rec-number&gt;125285&lt;/rec-number&gt;&lt;foreign-keys&gt;&lt;key app="EN" db-id="xpefzwa5hf9dt2ea9fax95x7xvxz90v09dtf" timestamp="1774352893"&gt;125285&lt;/key&gt;&lt;/foreign-keys&gt;&lt;ref-type name="Journal Article"&gt;17&lt;/ref-type&gt;&lt;contributors&gt;&lt;authors&gt;&lt;author&gt;Panturu, Andreea&lt;/author&gt;&lt;author&gt;van Kleef, Richard&lt;/author&gt;&lt;author&gt;Eijkenaar, Frank&lt;/author&gt;&lt;author&gt;Cattel, Daniëlle&lt;/author&gt;&lt;/authors&gt;&lt;/contributors&gt;&lt;titles&gt;&lt;title&gt;A framework for the design of risk-adjustment models in health care provider payment systems&lt;/title&gt;&lt;secondary-title&gt;Medical Care Research and Review&lt;/secondary-title&gt;&lt;/titles&gt;&lt;periodical&gt;&lt;full-title&gt;Medical Care Research and Review&lt;/full-title&gt;&lt;/periodical&gt;&lt;pages&gt;43-57&lt;/pages&gt;&lt;volume&gt;82&lt;/volume&gt;&lt;number&gt;1&lt;/number&gt;&lt;dates&gt;&lt;year&gt;2025&lt;/year&gt;&lt;/dates&gt;&lt;isbn&gt;1077-5587&lt;/isbn&gt;&lt;urls&gt;&lt;/urls&gt;&lt;/record&gt;&lt;/Cite&gt;&lt;/EndNote&gt;</w:instrText>
      </w:r>
      <w:r w:rsidRPr="002C21B8">
        <w:fldChar w:fldCharType="separate"/>
      </w:r>
      <w:r w:rsidRPr="002C21B8">
        <w:t>(Panturu</w:t>
      </w:r>
      <w:r w:rsidRPr="002C21B8">
        <w:rPr>
          <w:i/>
        </w:rPr>
        <w:t xml:space="preserve"> et al.</w:t>
      </w:r>
      <w:r w:rsidRPr="002C21B8">
        <w:t>, 2025)</w:t>
      </w:r>
      <w:r w:rsidRPr="002C21B8">
        <w:fldChar w:fldCharType="end"/>
      </w:r>
      <w:r w:rsidRPr="002C21B8">
        <w:t>. The 26.1% of patients initiated on tolvaptan who were not eligible could be related to true prescribing outside of established guidelines or based on the other eligibility criteria that were previously thought to be used infrequently in clinical practice.</w:t>
      </w:r>
    </w:p>
    <w:p w14:paraId="76A392F2" w14:textId="07114EC6" w:rsidR="005E60F9" w:rsidRPr="002C21B8" w:rsidRDefault="005E60F9" w:rsidP="005E60F9">
      <w:r w:rsidRPr="002C21B8">
        <w:t>An unexpected finding was a positive 1-year eGFR slope in patients initiated on tolvaptan who were not eligible compared with eligible patients (2.28 vs -7.27 ml/min/1.73m</w:t>
      </w:r>
      <w:r w:rsidRPr="002C21B8">
        <w:rPr>
          <w:vertAlign w:val="superscript"/>
        </w:rPr>
        <w:t>2</w:t>
      </w:r>
      <w:r w:rsidRPr="002C21B8">
        <w:t>). This may reflect patients who previously met eGFR slope criteria but no longer fulfilled them at the time of initiation. Alternatively, tolvaptan may have been initiated earlier in the disease course during a phase of hyperfiltration, as demonstrated by the Consortium for Radiologic Imaging Studies of Polycystic Kidney Disease (CRISP) study</w:t>
      </w:r>
      <w:r w:rsidR="002C63A1" w:rsidRPr="002C21B8">
        <w:t>,</w:t>
      </w:r>
      <w:r w:rsidRPr="002C21B8">
        <w:t xml:space="preserve"> which showed that early</w:t>
      </w:r>
      <w:r w:rsidR="002C63A1" w:rsidRPr="002C21B8">
        <w:t xml:space="preserve"> </w:t>
      </w:r>
      <w:r w:rsidRPr="002C21B8">
        <w:t xml:space="preserve">stage ADPKD patients with TKV &lt;750ml can have positive eGFR slopes </w:t>
      </w:r>
      <w:r w:rsidRPr="002C21B8">
        <w:fldChar w:fldCharType="begin"/>
      </w:r>
      <w:r w:rsidRPr="002C21B8">
        <w:instrText xml:space="preserve"> ADDIN EN.CITE &lt;EndNote&gt;&lt;Cite&gt;&lt;Author&gt;Grantham&lt;/Author&gt;&lt;Year&gt;2006&lt;/Year&gt;&lt;RecNum&gt;125188&lt;/RecNum&gt;&lt;DisplayText&gt;(Grantham&lt;style face="italic"&gt; et al.&lt;/style&gt;, 2006)&lt;/DisplayText&gt;&lt;record&gt;&lt;rec-number&gt;125188&lt;/rec-number&gt;&lt;foreign-keys&gt;&lt;key app="EN" db-id="xpefzwa5hf9dt2ea9fax95x7xvxz90v09dtf" timestamp="1769428234"&gt;125188&lt;/key&gt;&lt;/foreign-keys&gt;&lt;ref-type name="Journal Article"&gt;17&lt;/ref-type&gt;&lt;contributors&gt;&lt;authors&gt;&lt;author&gt;Grantham, Jared J&lt;/author&gt;&lt;author&gt;Torres, Vicente E&lt;/author&gt;&lt;author&gt;Chapman, Arlene B&lt;/author&gt;&lt;author&gt;Guay-Woodford, Lisa M&lt;/author&gt;&lt;author&gt;Bae, Kyongtae T&lt;/author&gt;&lt;author&gt;King Jr, Bernard F&lt;/author&gt;&lt;author&gt;Wetzel, Louis H&lt;/author&gt;&lt;author&gt;Baumgarten, Deborah A&lt;/author&gt;&lt;author&gt;Kenney, Phillip J&lt;/author&gt;&lt;author&gt;Harris, Peter C&lt;/author&gt;&lt;/authors&gt;&lt;/contributors&gt;&lt;titles&gt;&lt;title&gt;Volume progression in polycystic kidney disease&lt;/title&gt;&lt;secondary-title&gt;New England Journal of Medicine&lt;/secondary-title&gt;&lt;/titles&gt;&lt;periodical&gt;&lt;full-title&gt;New England Journal of Medicine&lt;/full-title&gt;&lt;/periodical&gt;&lt;pages&gt;2122-2130&lt;/pages&gt;&lt;volume&gt;354&lt;/volume&gt;&lt;number&gt;20&lt;/number&gt;&lt;dates&gt;&lt;year&gt;2006&lt;/year&gt;&lt;/dates&gt;&lt;isbn&gt;0028-4793&lt;/isbn&gt;&lt;urls&gt;&lt;/urls&gt;&lt;/record&gt;&lt;/Cite&gt;&lt;/EndNote&gt;</w:instrText>
      </w:r>
      <w:r w:rsidRPr="002C21B8">
        <w:fldChar w:fldCharType="separate"/>
      </w:r>
      <w:r w:rsidRPr="002C21B8">
        <w:t>(Grantham</w:t>
      </w:r>
      <w:r w:rsidRPr="002C21B8">
        <w:rPr>
          <w:i/>
        </w:rPr>
        <w:t xml:space="preserve"> et al.</w:t>
      </w:r>
      <w:r w:rsidRPr="002C21B8">
        <w:t>, 2006)</w:t>
      </w:r>
      <w:r w:rsidRPr="002C21B8">
        <w:fldChar w:fldCharType="end"/>
      </w:r>
      <w:r w:rsidRPr="002C21B8">
        <w:t>. In such cases, clinicians may be considering additional risk factors outside of the formal eligibility criteria</w:t>
      </w:r>
      <w:r w:rsidR="002C63A1" w:rsidRPr="002C21B8">
        <w:t>,</w:t>
      </w:r>
      <w:r w:rsidRPr="002C21B8">
        <w:t xml:space="preserve"> such as family history, anticipated rate of progression or accommodating patient requests </w:t>
      </w:r>
      <w:r w:rsidRPr="002C21B8">
        <w:fldChar w:fldCharType="begin"/>
      </w:r>
      <w:r w:rsidR="00763983"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Pr="002C21B8">
        <w:fldChar w:fldCharType="separate"/>
      </w:r>
      <w:r w:rsidRPr="002C21B8">
        <w:rPr>
          <w:noProof/>
        </w:rPr>
        <w:t>(Gittus</w:t>
      </w:r>
      <w:r w:rsidRPr="002C21B8">
        <w:rPr>
          <w:i/>
          <w:noProof/>
        </w:rPr>
        <w:t xml:space="preserve"> et al.</w:t>
      </w:r>
      <w:r w:rsidRPr="002C21B8">
        <w:rPr>
          <w:noProof/>
        </w:rPr>
        <w:t>, 2025b)</w:t>
      </w:r>
      <w:r w:rsidRPr="002C21B8">
        <w:fldChar w:fldCharType="end"/>
      </w:r>
      <w:r w:rsidRPr="002C21B8">
        <w:t>.</w:t>
      </w:r>
    </w:p>
    <w:p w14:paraId="24907B5D" w14:textId="5F805FE7" w:rsidR="005E60F9" w:rsidRPr="002C21B8" w:rsidRDefault="005E60F9" w:rsidP="005E60F9">
      <w:r w:rsidRPr="002C21B8">
        <w:t xml:space="preserve">Although RaDaR </w:t>
      </w:r>
      <w:r w:rsidR="00460AB1" w:rsidRPr="002C21B8">
        <w:t>record</w:t>
      </w:r>
      <w:r w:rsidRPr="002C21B8">
        <w:t xml:space="preserve">s patient-level data, </w:t>
      </w:r>
      <w:r w:rsidR="00343701" w:rsidRPr="002C21B8">
        <w:t xml:space="preserve">this </w:t>
      </w:r>
      <w:r w:rsidRPr="002C21B8">
        <w:t xml:space="preserve">cannot fully explain the observed variation in our study. Previous evidence syntheses in both guideline implementation in rare diseases and prescribing decision-making in chronic </w:t>
      </w:r>
      <w:r w:rsidR="00717D3C" w:rsidRPr="002C21B8">
        <w:t>condition</w:t>
      </w:r>
      <w:r w:rsidRPr="002C21B8">
        <w:t xml:space="preserve">s have reported that practices are influenced by factors at the </w:t>
      </w:r>
      <w:r w:rsidR="002C63A1" w:rsidRPr="002C21B8">
        <w:t xml:space="preserve">level of </w:t>
      </w:r>
      <w:r w:rsidRPr="002C21B8">
        <w:t>patient</w:t>
      </w:r>
      <w:r w:rsidR="002C63A1" w:rsidRPr="002C21B8">
        <w:t>s</w:t>
      </w:r>
      <w:r w:rsidRPr="002C21B8">
        <w:t>, prescriber</w:t>
      </w:r>
      <w:r w:rsidR="002C63A1" w:rsidRPr="002C21B8">
        <w:t>s</w:t>
      </w:r>
      <w:r w:rsidRPr="002C21B8">
        <w:t>, healthcare</w:t>
      </w:r>
      <w:r w:rsidR="002C63A1" w:rsidRPr="002C21B8">
        <w:t xml:space="preserve"> </w:t>
      </w:r>
      <w:r w:rsidRPr="002C21B8">
        <w:t>system</w:t>
      </w:r>
      <w:r w:rsidR="002C63A1" w:rsidRPr="002C21B8">
        <w:t>s</w:t>
      </w:r>
      <w:r w:rsidRPr="002C21B8">
        <w:t xml:space="preserve"> and external organisation</w:t>
      </w:r>
      <w:r w:rsidR="002C63A1" w:rsidRPr="002C21B8">
        <w:t>s</w:t>
      </w:r>
      <w:r w:rsidRPr="002C21B8">
        <w:t xml:space="preserve"> </w:t>
      </w:r>
      <w:r w:rsidRPr="002C21B8">
        <w:fldChar w:fldCharType="begin">
          <w:fldData xml:space="preserve">PEVuZE5vdGU+PENpdGU+PEF1dGhvcj5HaXR0dXM8L0F1dGhvcj48WWVhcj4yMDI1PC9ZZWFyPjxS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ZWNOdW0+MTI0OTgwPC9SZWNOdW0+PERpc3BsYXlUZXh0PihHaXR0dXM8c3R5bGUgZmFjZT0iaXRh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</w:fldData>
        </w:fldChar>
      </w:r>
      <w:r w:rsidR="00763983" w:rsidRPr="002C21B8">
        <w:instrText xml:space="preserve"> ADDIN EN.CITE.DATA </w:instrText>
      </w:r>
      <w:r w:rsidR="00763983" w:rsidRPr="002C21B8">
        <w:fldChar w:fldCharType="end"/>
      </w:r>
      <w:r w:rsidRPr="002C21B8">
        <w:fldChar w:fldCharType="separate"/>
      </w:r>
      <w:r w:rsidR="00347825" w:rsidRPr="002C21B8">
        <w:rPr>
          <w:noProof/>
        </w:rPr>
        <w:t>(Gittus</w:t>
      </w:r>
      <w:r w:rsidR="00347825" w:rsidRPr="002C21B8">
        <w:rPr>
          <w:i/>
          <w:noProof/>
        </w:rPr>
        <w:t xml:space="preserve"> et al.</w:t>
      </w:r>
      <w:r w:rsidR="00347825" w:rsidRPr="002C21B8">
        <w:rPr>
          <w:noProof/>
        </w:rPr>
        <w:t>, 2023a; Gittus</w:t>
      </w:r>
      <w:r w:rsidR="00347825" w:rsidRPr="002C21B8">
        <w:rPr>
          <w:i/>
          <w:noProof/>
        </w:rPr>
        <w:t xml:space="preserve"> et al.</w:t>
      </w:r>
      <w:r w:rsidR="00347825" w:rsidRPr="002C21B8">
        <w:rPr>
          <w:noProof/>
        </w:rPr>
        <w:t>, 2025b)</w:t>
      </w:r>
      <w:r w:rsidRPr="002C21B8">
        <w:fldChar w:fldCharType="end"/>
      </w:r>
      <w:r w:rsidRPr="002C21B8">
        <w:t>. However, it is unclear to what extent and in what ways these factors contribute to the variation in prescribing patterns observed in our cohort.</w:t>
      </w:r>
      <w:r w:rsidRPr="002C21B8">
        <w:rPr>
          <w:b/>
          <w:bCs/>
          <w:sz w:val="24"/>
          <w:szCs w:val="24"/>
        </w:rPr>
        <w:br w:type="page"/>
      </w:r>
    </w:p>
    <w:p w14:paraId="2AA1A520" w14:textId="3FDD36EA" w:rsidR="004B4E1D" w:rsidRPr="002C21B8" w:rsidRDefault="004B4E1D" w:rsidP="00D068AB">
      <w:pPr>
        <w:spacing w:before="240" w:after="0"/>
        <w:rPr>
          <w:b/>
          <w:bCs/>
          <w:sz w:val="24"/>
          <w:szCs w:val="24"/>
        </w:rPr>
      </w:pPr>
      <w:r w:rsidRPr="002C21B8">
        <w:rPr>
          <w:b/>
          <w:bCs/>
          <w:sz w:val="24"/>
          <w:szCs w:val="24"/>
        </w:rPr>
        <w:t>Strengths and Limitations</w:t>
      </w:r>
    </w:p>
    <w:p w14:paraId="6FD21FC1" w14:textId="77777777" w:rsidR="005E60F9" w:rsidRPr="002C21B8" w:rsidRDefault="005E60F9" w:rsidP="007E6078">
      <w:pPr>
        <w:spacing w:after="0"/>
      </w:pPr>
      <w:r w:rsidRPr="002C21B8">
        <w:t>This is the first national-level analysis of real-world tolvaptan prescribing using a large ADPKD cohort, reporting patterns at both the patient and kidney centre-level. The inclusion of economic modelling is an additional strength, quantifying the potential health and cost implications associated with prescribing patterns. This provides policy-relevant insights into the resource implications of variation. Identification of kidney centres with differing prescribing patterns may also help guide targeted qualitative research.</w:t>
      </w:r>
    </w:p>
    <w:p w14:paraId="6B191A55" w14:textId="27413B9A" w:rsidR="005E60F9" w:rsidRPr="002C21B8" w:rsidRDefault="005E60F9" w:rsidP="005E60F9">
      <w:pPr>
        <w:spacing w:before="240" w:after="0"/>
      </w:pPr>
      <w:r w:rsidRPr="002C21B8">
        <w:t>Three limitations should be noted. First, there was missing data</w:t>
      </w:r>
      <w:r w:rsidR="00E73BF2" w:rsidRPr="002C21B8">
        <w:t>,</w:t>
      </w:r>
      <w:r w:rsidRPr="002C21B8">
        <w:t xml:space="preserve"> but this was largely at the level of whole kidney centres rather than individual patients. Even among included centres, patient numbers were relatively small</w:t>
      </w:r>
      <w:r w:rsidR="00E73BF2" w:rsidRPr="002C21B8">
        <w:t>,</w:t>
      </w:r>
      <w:r w:rsidRPr="002C21B8">
        <w:t xml:space="preserve"> in some cases</w:t>
      </w:r>
      <w:r w:rsidR="001373AA" w:rsidRPr="002C21B8">
        <w:t>,</w:t>
      </w:r>
      <w:r w:rsidRPr="002C21B8">
        <w:t xml:space="preserve"> which could reduce the precision of centre-level estimates. Other authors have recognised similar limitations in registry analyses </w:t>
      </w:r>
      <w:r w:rsidRPr="002C21B8">
        <w:fldChar w:fldCharType="begin">
          <w:fldData xml:space="preserve">PEVuZE5vdGU+PENpdGU+PEF1dGhvcj5VSyBLaWRuZXkgQXNzb2NpYXRpb248L0F1dGhvcj48WWVh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</w:fldData>
        </w:fldChar>
      </w:r>
      <w:r w:rsidR="00502953" w:rsidRPr="002C21B8">
        <w:instrText xml:space="preserve"> ADDIN EN.CITE </w:instrText>
      </w:r>
      <w:r w:rsidR="00502953" w:rsidRPr="002C21B8">
        <w:fldChar w:fldCharType="begin">
          <w:fldData xml:space="preserve">PEVuZE5vdGU+PENpdGU+PEF1dGhvcj5VSyBLaWRuZXkgQXNzb2NpYXRpb248L0F1dGhvcj48WWVh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</w:fldData>
        </w:fldChar>
      </w:r>
      <w:r w:rsidR="00502953" w:rsidRPr="002C21B8">
        <w:instrText xml:space="preserve"> ADDIN EN.CITE.DATA </w:instrText>
      </w:r>
      <w:r w:rsidR="00502953" w:rsidRPr="002C21B8">
        <w:fldChar w:fldCharType="end"/>
      </w:r>
      <w:r w:rsidRPr="002C21B8">
        <w:fldChar w:fldCharType="separate"/>
      </w:r>
      <w:r w:rsidR="00502953" w:rsidRPr="002C21B8">
        <w:rPr>
          <w:noProof/>
        </w:rPr>
        <w:t>(Cox</w:t>
      </w:r>
      <w:r w:rsidR="00502953" w:rsidRPr="002C21B8">
        <w:rPr>
          <w:i/>
          <w:noProof/>
        </w:rPr>
        <w:t xml:space="preserve"> et al.</w:t>
      </w:r>
      <w:r w:rsidR="00502953" w:rsidRPr="002C21B8">
        <w:rPr>
          <w:noProof/>
        </w:rPr>
        <w:t>, 2020; Liu</w:t>
      </w:r>
      <w:r w:rsidR="00502953" w:rsidRPr="002C21B8">
        <w:rPr>
          <w:i/>
          <w:noProof/>
        </w:rPr>
        <w:t xml:space="preserve"> et al.</w:t>
      </w:r>
      <w:r w:rsidR="00502953" w:rsidRPr="002C21B8">
        <w:rPr>
          <w:noProof/>
        </w:rPr>
        <w:t>, 2015; UK Kidney Association, 2023a)</w:t>
      </w:r>
      <w:r w:rsidRPr="002C21B8">
        <w:fldChar w:fldCharType="end"/>
      </w:r>
      <w:r w:rsidRPr="002C21B8">
        <w:t xml:space="preserve">. The Real-World Evidence Framework published by NICE recognised the value of using routinely collected clinical data to provide insights into treatment patterns, outcomes and resource use that can inform economic analyses, even when data is less complete or detailed than clinical trial data </w:t>
      </w:r>
      <w:r w:rsidRPr="002C21B8">
        <w:fldChar w:fldCharType="begin"/>
      </w:r>
      <w:r w:rsidR="0045613F" w:rsidRPr="002C21B8">
        <w:instrText xml:space="preserve"> ADDIN EN.CITE &lt;EndNote&gt;&lt;Cite&gt;&lt;Author&gt;National Institute for Health and Care Excellence&lt;/Author&gt;&lt;Year&gt;2022&lt;/Year&gt;&lt;RecNum&gt;125186&lt;/RecNum&gt;&lt;DisplayText&gt;(National Institute for Health and Care Excellence, 2022)&lt;/DisplayText&gt;&lt;record&gt;&lt;rec-number&gt;125186&lt;/rec-number&gt;&lt;foreign-keys&gt;&lt;key app="EN" db-id="xpefzwa5hf9dt2ea9fax95x7xvxz90v09dtf" timestamp="1769243632"&gt;125186&lt;/key&gt;&lt;/foreign-keys&gt;&lt;ref-type name="Web Page"&gt;12&lt;/ref-type&gt;&lt;contributors&gt;&lt;authors&gt;&lt;author&gt;National Institute for Health and Care Excellence,&lt;/author&gt;&lt;/authors&gt;&lt;/contributors&gt;&lt;titles&gt;&lt;title&gt;NICE real-world evidence framework&lt;/title&gt;&lt;/titles&gt;&lt;number&gt;26/04/2026)&lt;/number&gt;&lt;dates&gt;&lt;year&gt;2022&lt;/year&gt;&lt;/dates&gt;&lt;urls&gt;&lt;related-urls&gt;&lt;url&gt;https://www.nice.org.uk/corporate/ecd9/chapter/introduction-to-real-world-evidence-in-nice-decision-making&lt;/url&gt;&lt;/related-urls&gt;&lt;/urls&gt;&lt;access-date&gt;24th January 2026&lt;/access-date&gt;&lt;/record&gt;&lt;/Cite&gt;&lt;/EndNote&gt;</w:instrText>
      </w:r>
      <w:r w:rsidRPr="002C21B8">
        <w:fldChar w:fldCharType="separate"/>
      </w:r>
      <w:r w:rsidR="00590E88" w:rsidRPr="002C21B8">
        <w:rPr>
          <w:noProof/>
        </w:rPr>
        <w:t>(National Institute for Health and Care Excellence, 2022)</w:t>
      </w:r>
      <w:r w:rsidRPr="002C21B8">
        <w:fldChar w:fldCharType="end"/>
      </w:r>
      <w:r w:rsidRPr="002C21B8">
        <w:t xml:space="preserve">. Second, patient-level reasons for non-initiation, such as preferences, reproductive considerations, or lifestyle impact from aquaretic adverse effects, were not </w:t>
      </w:r>
      <w:r w:rsidR="00B00C86" w:rsidRPr="002C21B8">
        <w:t>record</w:t>
      </w:r>
      <w:r w:rsidRPr="002C21B8">
        <w:t>ed. Third, although eligibility for tolvaptan was only based on eGFR slopes due to the lack of imaging and genetic data</w:t>
      </w:r>
      <w:r w:rsidR="001373AA" w:rsidRPr="002C21B8">
        <w:t>,</w:t>
      </w:r>
      <w:r w:rsidRPr="002C21B8">
        <w:t xml:space="preserve"> this is in line with </w:t>
      </w:r>
      <w:r w:rsidR="007C0716" w:rsidRPr="002C21B8">
        <w:t>expert consensus on tolvaptan prescribing practices</w:t>
      </w:r>
      <w:r w:rsidRPr="002C21B8">
        <w:t>.</w:t>
      </w:r>
    </w:p>
    <w:p w14:paraId="76A7C898" w14:textId="66FA3613" w:rsidR="004B4E1D" w:rsidRPr="002C21B8" w:rsidRDefault="004B4E1D" w:rsidP="00D068AB">
      <w:pPr>
        <w:spacing w:before="240" w:after="0"/>
        <w:rPr>
          <w:b/>
          <w:bCs/>
          <w:sz w:val="24"/>
          <w:szCs w:val="24"/>
        </w:rPr>
      </w:pPr>
      <w:r w:rsidRPr="002C21B8">
        <w:rPr>
          <w:b/>
          <w:bCs/>
          <w:sz w:val="24"/>
          <w:szCs w:val="24"/>
        </w:rPr>
        <w:t>Implications and Recommendations</w:t>
      </w:r>
    </w:p>
    <w:p w14:paraId="77C4D37D" w14:textId="3AEB8C6A" w:rsidR="005E60F9" w:rsidRPr="002C21B8" w:rsidRDefault="005E60F9" w:rsidP="005E60F9">
      <w:r w:rsidRPr="002C21B8">
        <w:t>While these findings are derived from UK data, the underlying issues of access</w:t>
      </w:r>
      <w:r w:rsidR="00570B71" w:rsidRPr="002C21B8">
        <w:t xml:space="preserve"> to high-cost medications</w:t>
      </w:r>
      <w:r w:rsidRPr="002C21B8">
        <w:t>, guideline adherence</w:t>
      </w:r>
      <w:r w:rsidR="00356B26" w:rsidRPr="002C21B8">
        <w:t>,</w:t>
      </w:r>
      <w:r w:rsidRPr="002C21B8">
        <w:t xml:space="preserve"> and variation in prescribing are relevant to ADPKD care in other healthcare systems. Beyond ADPKD, this approach demonstrates how national registries can be used to characterise treatment variation and resource implications in rare diseases more broadly.</w:t>
      </w:r>
    </w:p>
    <w:p w14:paraId="54F24EFB" w14:textId="364670C1" w:rsidR="005E60F9" w:rsidRPr="002C21B8" w:rsidRDefault="005E60F9" w:rsidP="005E60F9">
      <w:r w:rsidRPr="002C21B8">
        <w:t>Our findings may have important implications for patient outcomes and NHS resource use. Patients eligible for tolvaptan who were not initiated may reflect patient refusal or missed opportunities to access a sole disease-modifying ther</w:t>
      </w:r>
      <w:r w:rsidR="00CD56B1" w:rsidRPr="002C21B8">
        <w:t>ap</w:t>
      </w:r>
      <w:r w:rsidRPr="002C21B8">
        <w:t>y</w:t>
      </w:r>
      <w:r w:rsidR="00CD56B1" w:rsidRPr="002C21B8">
        <w:t>.</w:t>
      </w:r>
      <w:r w:rsidRPr="002C21B8">
        <w:t xml:space="preserve"> </w:t>
      </w:r>
      <w:r w:rsidR="00CD56B1" w:rsidRPr="002C21B8">
        <w:t>P</w:t>
      </w:r>
      <w:r w:rsidRPr="002C21B8">
        <w:t>atients initiated on tolvaptan when not eligible suggest that prescribing may sometimes occur outside published recommendations or that other eligibility criteria thought to be rare</w:t>
      </w:r>
      <w:r w:rsidR="00143DEB" w:rsidRPr="002C21B8">
        <w:t>ly</w:t>
      </w:r>
      <w:r w:rsidRPr="002C21B8">
        <w:t xml:space="preserve"> used are being applied in clinical practice.</w:t>
      </w:r>
    </w:p>
    <w:p w14:paraId="768C19D5" w14:textId="34557575" w:rsidR="00FD04C3" w:rsidRPr="002C21B8" w:rsidRDefault="005E60F9" w:rsidP="0015409B">
      <w:r w:rsidRPr="002C21B8">
        <w:t xml:space="preserve">Further research </w:t>
      </w:r>
      <w:r w:rsidR="00FD04C3" w:rsidRPr="002C21B8">
        <w:t>through</w:t>
      </w:r>
      <w:r w:rsidRPr="002C21B8">
        <w:t xml:space="preserve"> qualitative methods is needed to better understand the clinical, organisational and contextual factors </w:t>
      </w:r>
      <w:r w:rsidR="00FD04C3" w:rsidRPr="002C21B8">
        <w:t xml:space="preserve">that may explain </w:t>
      </w:r>
      <w:r w:rsidRPr="002C21B8">
        <w:t>the observed variation in tolvaptan prescribing</w:t>
      </w:r>
      <w:r w:rsidR="00FD04C3" w:rsidRPr="002C21B8">
        <w:t>.</w:t>
      </w:r>
    </w:p>
    <w:p w14:paraId="04F3AC0A" w14:textId="7FEB0783" w:rsidR="004B4E1D" w:rsidRPr="002C21B8" w:rsidRDefault="004B4E1D" w:rsidP="00D068AB">
      <w:pPr>
        <w:spacing w:before="240" w:after="0"/>
        <w:rPr>
          <w:b/>
          <w:bCs/>
          <w:sz w:val="28"/>
          <w:szCs w:val="28"/>
        </w:rPr>
      </w:pPr>
      <w:r w:rsidRPr="002C21B8">
        <w:rPr>
          <w:b/>
          <w:bCs/>
          <w:sz w:val="28"/>
          <w:szCs w:val="28"/>
        </w:rPr>
        <w:t>Conclusions</w:t>
      </w:r>
    </w:p>
    <w:p w14:paraId="7B4A884E" w14:textId="0541E7FC" w:rsidR="00D068AB" w:rsidRPr="002C21B8" w:rsidRDefault="005A495C" w:rsidP="00780C7D">
      <w:r w:rsidRPr="002C21B8">
        <w:t>There is evidence of variation in tolvaptan prescribing in the UK. A substantial proportion of patients eligible for tolvaptan were not initiated at the cohort-level, with evidence of variation between centres. This suggests there may be differences in decision-making at a centre-level. A substantial proportion of patients initiated on tolvaptan were not eligible at the cohort-level, but there was limited evidence to suggest variation between centres. Together, these findings raise questions about the consistency of clinical decision-making, alignment with national guidelines, equitable access, and effective use of healthcare resources</w:t>
      </w:r>
      <w:r w:rsidR="005E60F9" w:rsidRPr="002C21B8">
        <w:t>.</w:t>
      </w:r>
      <w:r w:rsidR="00D068AB" w:rsidRPr="002C21B8">
        <w:br w:type="page"/>
      </w:r>
    </w:p>
    <w:p w14:paraId="6691873E" w14:textId="31DCDF0B" w:rsidR="004F38C1" w:rsidRPr="002C21B8" w:rsidRDefault="004F38C1" w:rsidP="00581663">
      <w:pPr>
        <w:pStyle w:val="Heading2"/>
      </w:pPr>
      <w:bookmarkStart w:id="161" w:name="_Toc229687225"/>
      <w:r w:rsidRPr="002C21B8">
        <w:t xml:space="preserve">Chapter </w:t>
      </w:r>
      <w:r w:rsidR="009E02CE" w:rsidRPr="002C21B8">
        <w:t>summary</w:t>
      </w:r>
      <w:bookmarkEnd w:id="161"/>
    </w:p>
    <w:p w14:paraId="6C4BFBE1" w14:textId="770D86F0" w:rsidR="00054CA8" w:rsidRPr="002C21B8" w:rsidRDefault="004F38C1" w:rsidP="00A97F07">
      <w:pPr>
        <w:pStyle w:val="ListParagraph"/>
        <w:numPr>
          <w:ilvl w:val="0"/>
          <w:numId w:val="13"/>
        </w:numPr>
        <w:ind w:left="851" w:hanging="349"/>
      </w:pPr>
      <w:r w:rsidRPr="002C21B8">
        <w:t xml:space="preserve">This chapter </w:t>
      </w:r>
      <w:r w:rsidR="00054CA8" w:rsidRPr="002C21B8">
        <w:t>presented findings from a national analysis of tolvaptan prescribing in people with ADP</w:t>
      </w:r>
      <w:r w:rsidR="00D273B2" w:rsidRPr="002C21B8">
        <w:t>K</w:t>
      </w:r>
      <w:r w:rsidR="00054CA8" w:rsidRPr="002C21B8">
        <w:t>D using data from the RaDaR database across UK kidney centres</w:t>
      </w:r>
      <w:r w:rsidR="00596EDE" w:rsidRPr="002C21B8">
        <w:t>.</w:t>
      </w:r>
    </w:p>
    <w:p w14:paraId="04793F28" w14:textId="5CFEA7C9" w:rsidR="0036093A" w:rsidRPr="002C21B8" w:rsidRDefault="00054CA8" w:rsidP="00A97F07">
      <w:pPr>
        <w:pStyle w:val="ListParagraph"/>
        <w:numPr>
          <w:ilvl w:val="0"/>
          <w:numId w:val="13"/>
        </w:numPr>
        <w:ind w:left="851" w:hanging="349"/>
      </w:pPr>
      <w:r w:rsidRPr="002C21B8">
        <w:t xml:space="preserve">Among patients eligible for tolvaptan, a substantial proportion </w:t>
      </w:r>
      <w:r w:rsidR="0036093A" w:rsidRPr="002C21B8">
        <w:t xml:space="preserve">of people with ADPKD </w:t>
      </w:r>
      <w:r w:rsidRPr="002C21B8">
        <w:t>were not initiated</w:t>
      </w:r>
      <w:r w:rsidR="00351896" w:rsidRPr="002C21B8">
        <w:t xml:space="preserve"> </w:t>
      </w:r>
      <w:r w:rsidR="0036093A" w:rsidRPr="002C21B8">
        <w:t>on tolvaptan</w:t>
      </w:r>
      <w:r w:rsidR="00596EDE" w:rsidRPr="002C21B8">
        <w:t>.</w:t>
      </w:r>
    </w:p>
    <w:p w14:paraId="405C9A0E" w14:textId="2D29F934" w:rsidR="00054CA8" w:rsidRPr="002C21B8" w:rsidRDefault="0036093A" w:rsidP="00A97F07">
      <w:pPr>
        <w:pStyle w:val="ListParagraph"/>
        <w:numPr>
          <w:ilvl w:val="0"/>
          <w:numId w:val="13"/>
        </w:numPr>
        <w:ind w:left="851" w:hanging="349"/>
      </w:pPr>
      <w:r w:rsidRPr="002C21B8">
        <w:t xml:space="preserve">The rates of initiation among eligible patients </w:t>
      </w:r>
      <w:r w:rsidR="00054CA8" w:rsidRPr="002C21B8">
        <w:t>varied between kidney centres even after adjustment for key case-mix factors</w:t>
      </w:r>
      <w:r w:rsidR="0015409B" w:rsidRPr="002C21B8">
        <w:t>,</w:t>
      </w:r>
      <w:r w:rsidR="00970C45" w:rsidRPr="002C21B8">
        <w:t xml:space="preserve"> with six centres outside the control limits.</w:t>
      </w:r>
    </w:p>
    <w:p w14:paraId="0F3F81E3" w14:textId="719906EE" w:rsidR="0036093A" w:rsidRPr="002C21B8" w:rsidRDefault="00054CA8" w:rsidP="00A97F07">
      <w:pPr>
        <w:pStyle w:val="ListParagraph"/>
        <w:numPr>
          <w:ilvl w:val="0"/>
          <w:numId w:val="13"/>
        </w:numPr>
        <w:ind w:left="851" w:hanging="349"/>
      </w:pPr>
      <w:r w:rsidRPr="002C21B8">
        <w:t>Among patients initiated on tolvaptan, a notable proportion did not meet eligibility criteria</w:t>
      </w:r>
      <w:r w:rsidR="00596EDE" w:rsidRPr="002C21B8">
        <w:t>.</w:t>
      </w:r>
    </w:p>
    <w:p w14:paraId="5B05AAA7" w14:textId="3E4A0187" w:rsidR="00054CA8" w:rsidRPr="002C21B8" w:rsidRDefault="0036093A" w:rsidP="00A97F07">
      <w:pPr>
        <w:pStyle w:val="ListParagraph"/>
        <w:numPr>
          <w:ilvl w:val="0"/>
          <w:numId w:val="13"/>
        </w:numPr>
        <w:ind w:left="851" w:hanging="349"/>
      </w:pPr>
      <w:r w:rsidRPr="002C21B8">
        <w:t xml:space="preserve">There was minimal evidence of </w:t>
      </w:r>
      <w:r w:rsidR="00054CA8" w:rsidRPr="002C21B8">
        <w:t xml:space="preserve">variation between kidney centres </w:t>
      </w:r>
      <w:r w:rsidRPr="002C21B8">
        <w:t>in the rates of eligibility among patients initiated on tolvaptan</w:t>
      </w:r>
      <w:r w:rsidR="0015409B" w:rsidRPr="002C21B8">
        <w:t>,</w:t>
      </w:r>
      <w:r w:rsidR="004866A9" w:rsidRPr="002C21B8">
        <w:t xml:space="preserve"> with only one centre outside the control limits.</w:t>
      </w:r>
    </w:p>
    <w:p w14:paraId="453CFADB" w14:textId="16ABCD6D" w:rsidR="00054CA8" w:rsidRPr="002C21B8" w:rsidRDefault="00054CA8" w:rsidP="00A97F07">
      <w:pPr>
        <w:pStyle w:val="ListParagraph"/>
        <w:numPr>
          <w:ilvl w:val="0"/>
          <w:numId w:val="13"/>
        </w:numPr>
        <w:ind w:left="851" w:hanging="349"/>
      </w:pPr>
      <w:r w:rsidRPr="002C21B8">
        <w:t>Health e</w:t>
      </w:r>
      <w:r w:rsidR="0005473D" w:rsidRPr="002C21B8">
        <w:t xml:space="preserve">conomic modelling </w:t>
      </w:r>
      <w:r w:rsidRPr="002C21B8">
        <w:t xml:space="preserve">suggested that </w:t>
      </w:r>
      <w:r w:rsidR="00C75E0B" w:rsidRPr="002C21B8">
        <w:t>variation</w:t>
      </w:r>
      <w:r w:rsidRPr="002C21B8">
        <w:t xml:space="preserve"> in </w:t>
      </w:r>
      <w:r w:rsidR="00C75E0B" w:rsidRPr="002C21B8">
        <w:t>prescribing</w:t>
      </w:r>
      <w:r w:rsidRPr="002C21B8">
        <w:t xml:space="preserve"> may be associated with considerable economic cons</w:t>
      </w:r>
      <w:r w:rsidR="00C75E0B" w:rsidRPr="002C21B8">
        <w:t>e</w:t>
      </w:r>
      <w:r w:rsidRPr="002C21B8">
        <w:t>q</w:t>
      </w:r>
      <w:r w:rsidR="00C75E0B" w:rsidRPr="002C21B8">
        <w:t>u</w:t>
      </w:r>
      <w:r w:rsidRPr="002C21B8">
        <w:t>ences</w:t>
      </w:r>
      <w:r w:rsidR="00596EDE" w:rsidRPr="002C21B8">
        <w:t>.</w:t>
      </w:r>
    </w:p>
    <w:p w14:paraId="5641F808" w14:textId="57F496E7" w:rsidR="0005473D" w:rsidRPr="002C21B8" w:rsidRDefault="0036093A" w:rsidP="00A97F07">
      <w:pPr>
        <w:pStyle w:val="ListParagraph"/>
        <w:numPr>
          <w:ilvl w:val="0"/>
          <w:numId w:val="13"/>
        </w:numPr>
        <w:ind w:left="851" w:hanging="349"/>
      </w:pPr>
      <w:r w:rsidRPr="002C21B8">
        <w:t>Targeting an i</w:t>
      </w:r>
      <w:r w:rsidR="0005473D" w:rsidRPr="002C21B8">
        <w:t>ncreas</w:t>
      </w:r>
      <w:r w:rsidRPr="002C21B8">
        <w:t>e in</w:t>
      </w:r>
      <w:r w:rsidR="0005473D" w:rsidRPr="002C21B8">
        <w:t xml:space="preserve"> initiation among eligible patients </w:t>
      </w:r>
      <w:r w:rsidR="006F6B63" w:rsidRPr="002C21B8">
        <w:t>c</w:t>
      </w:r>
      <w:r w:rsidR="0005473D" w:rsidRPr="002C21B8">
        <w:t xml:space="preserve">ould yield greater health and cost benefits than </w:t>
      </w:r>
      <w:r w:rsidRPr="002C21B8">
        <w:t xml:space="preserve">targeting a </w:t>
      </w:r>
      <w:r w:rsidR="0005473D" w:rsidRPr="002C21B8">
        <w:t>reduc</w:t>
      </w:r>
      <w:r w:rsidRPr="002C21B8">
        <w:t>tion in</w:t>
      </w:r>
      <w:r w:rsidR="0005473D" w:rsidRPr="002C21B8">
        <w:t xml:space="preserve"> treatment in patient</w:t>
      </w:r>
      <w:r w:rsidRPr="002C21B8">
        <w:t>s who are not eligible</w:t>
      </w:r>
      <w:r w:rsidR="00596EDE" w:rsidRPr="002C21B8">
        <w:t>.</w:t>
      </w:r>
    </w:p>
    <w:p w14:paraId="051A01F9" w14:textId="77777777" w:rsidR="00D068AB" w:rsidRPr="002C21B8" w:rsidRDefault="0005473D" w:rsidP="00A97F07">
      <w:pPr>
        <w:pStyle w:val="ListParagraph"/>
        <w:numPr>
          <w:ilvl w:val="0"/>
          <w:numId w:val="13"/>
        </w:numPr>
        <w:ind w:left="851" w:hanging="349"/>
      </w:pPr>
      <w:r w:rsidRPr="002C21B8">
        <w:t>Overall, the</w:t>
      </w:r>
      <w:r w:rsidR="006F6B63" w:rsidRPr="002C21B8">
        <w:t>se</w:t>
      </w:r>
      <w:r w:rsidRPr="002C21B8">
        <w:t xml:space="preserve"> findings </w:t>
      </w:r>
      <w:r w:rsidR="006F6B63" w:rsidRPr="002C21B8">
        <w:t>suggest ther</w:t>
      </w:r>
      <w:r w:rsidR="007A168C" w:rsidRPr="002C21B8">
        <w:t>e may be potential missed opportunities and off-guideline prescribing of tolvaptan</w:t>
      </w:r>
      <w:r w:rsidR="00FF279E" w:rsidRPr="002C21B8">
        <w:t>, alongside centre-level variation in prescribing practices in ADPKD</w:t>
      </w:r>
      <w:r w:rsidR="00596EDE" w:rsidRPr="002C21B8">
        <w:t>.</w:t>
      </w:r>
    </w:p>
    <w:p w14:paraId="02B4B3C1" w14:textId="77777777" w:rsidR="00CB141F" w:rsidRPr="002C21B8" w:rsidRDefault="00CB141F" w:rsidP="00CB141F"/>
    <w:p w14:paraId="4A2FAF58" w14:textId="77777777" w:rsidR="00625376" w:rsidRPr="002C21B8" w:rsidRDefault="00625376" w:rsidP="00CB141F">
      <w:pPr>
        <w:sectPr w:rsidR="00625376" w:rsidRPr="002C21B8" w:rsidSect="0009672F">
          <w:headerReference w:type="default" r:id="rId42"/>
          <w:type w:val="continuous"/>
          <w:pgSz w:w="11906" w:h="16838"/>
          <w:pgMar w:top="1440" w:right="1440" w:bottom="1440" w:left="1440" w:header="708" w:footer="708" w:gutter="0"/>
          <w:cols w:space="708"/>
          <w:docGrid w:linePitch="360"/>
        </w:sectPr>
      </w:pPr>
    </w:p>
    <w:p w14:paraId="0BCFD52E" w14:textId="70CB8163" w:rsidR="009D6664" w:rsidRPr="002C21B8" w:rsidRDefault="00D113ED" w:rsidP="007F1616">
      <w:pPr>
        <w:pStyle w:val="Heading1"/>
      </w:pPr>
      <w:bookmarkStart w:id="162" w:name="_Toc229687226"/>
      <w:r w:rsidRPr="002C21B8">
        <w:t>–</w:t>
      </w:r>
      <w:r w:rsidR="009D6664" w:rsidRPr="002C21B8">
        <w:t xml:space="preserve"> Understanding </w:t>
      </w:r>
      <w:r w:rsidR="00CA6F26" w:rsidRPr="002C21B8">
        <w:t>v</w:t>
      </w:r>
      <w:r w:rsidR="009D6664" w:rsidRPr="002C21B8">
        <w:t xml:space="preserve">ariation </w:t>
      </w:r>
      <w:r w:rsidR="00CA6F26" w:rsidRPr="002C21B8">
        <w:t>b</w:t>
      </w:r>
      <w:r w:rsidR="009D6664" w:rsidRPr="002C21B8">
        <w:t xml:space="preserve">etween </w:t>
      </w:r>
      <w:r w:rsidR="00CA6F26" w:rsidRPr="002C21B8">
        <w:t>k</w:t>
      </w:r>
      <w:r w:rsidR="009D6664" w:rsidRPr="002C21B8">
        <w:t xml:space="preserve">idney </w:t>
      </w:r>
      <w:r w:rsidR="00CA6F26" w:rsidRPr="002C21B8">
        <w:t>c</w:t>
      </w:r>
      <w:r w:rsidR="009D6664" w:rsidRPr="002C21B8">
        <w:t xml:space="preserve">entres in the </w:t>
      </w:r>
      <w:r w:rsidR="00CA6F26" w:rsidRPr="002C21B8">
        <w:t>i</w:t>
      </w:r>
      <w:r w:rsidR="009D6664" w:rsidRPr="002C21B8">
        <w:t xml:space="preserve">mplementation of </w:t>
      </w:r>
      <w:r w:rsidR="00CA6F26" w:rsidRPr="002C21B8">
        <w:t>t</w:t>
      </w:r>
      <w:r w:rsidR="009D6664" w:rsidRPr="002C21B8">
        <w:t xml:space="preserve">olvaptan in the </w:t>
      </w:r>
      <w:r w:rsidR="00CA6F26" w:rsidRPr="002C21B8">
        <w:t>m</w:t>
      </w:r>
      <w:r w:rsidR="009D6664" w:rsidRPr="002C21B8">
        <w:t xml:space="preserve">anagement of </w:t>
      </w:r>
      <w:r w:rsidR="00CA6F26" w:rsidRPr="002C21B8">
        <w:t>a</w:t>
      </w:r>
      <w:r w:rsidR="009D6664" w:rsidRPr="002C21B8">
        <w:t xml:space="preserve">utosomal </w:t>
      </w:r>
      <w:r w:rsidR="00CA6F26" w:rsidRPr="002C21B8">
        <w:t>d</w:t>
      </w:r>
      <w:r w:rsidR="009D6664" w:rsidRPr="002C21B8">
        <w:t xml:space="preserve">ominant </w:t>
      </w:r>
      <w:r w:rsidR="00CA6F26" w:rsidRPr="002C21B8">
        <w:t>p</w:t>
      </w:r>
      <w:r w:rsidR="009D6664" w:rsidRPr="002C21B8">
        <w:t xml:space="preserve">olycystic </w:t>
      </w:r>
      <w:r w:rsidR="00CA6F26" w:rsidRPr="002C21B8">
        <w:t>k</w:t>
      </w:r>
      <w:r w:rsidR="009D6664" w:rsidRPr="002C21B8">
        <w:t xml:space="preserve">idney </w:t>
      </w:r>
      <w:r w:rsidR="00CA6F26" w:rsidRPr="002C21B8">
        <w:t>d</w:t>
      </w:r>
      <w:r w:rsidR="009D6664" w:rsidRPr="002C21B8">
        <w:t xml:space="preserve">isease: </w:t>
      </w:r>
      <w:r w:rsidR="00CA6F26" w:rsidRPr="002C21B8">
        <w:t>a</w:t>
      </w:r>
      <w:r w:rsidR="009D6664" w:rsidRPr="002C21B8">
        <w:t xml:space="preserve"> </w:t>
      </w:r>
      <w:r w:rsidR="00CA6F26" w:rsidRPr="002C21B8">
        <w:t>m</w:t>
      </w:r>
      <w:r w:rsidR="009D6664" w:rsidRPr="002C21B8">
        <w:t xml:space="preserve">ultiple </w:t>
      </w:r>
      <w:r w:rsidR="00CA6F26" w:rsidRPr="002C21B8">
        <w:t>c</w:t>
      </w:r>
      <w:r w:rsidR="009D6664" w:rsidRPr="002C21B8">
        <w:t xml:space="preserve">ase </w:t>
      </w:r>
      <w:r w:rsidR="00CA6F26" w:rsidRPr="002C21B8">
        <w:t>s</w:t>
      </w:r>
      <w:r w:rsidR="009D6664" w:rsidRPr="002C21B8">
        <w:t>tudy</w:t>
      </w:r>
      <w:bookmarkEnd w:id="162"/>
    </w:p>
    <w:p w14:paraId="7DED161A" w14:textId="77777777" w:rsidR="00D113ED" w:rsidRPr="002C21B8" w:rsidRDefault="00D113ED" w:rsidP="00581663">
      <w:pPr>
        <w:pStyle w:val="Heading2"/>
      </w:pPr>
      <w:bookmarkStart w:id="163" w:name="_Toc229687227"/>
      <w:r w:rsidRPr="002C21B8">
        <w:t>Chapter outlin</w:t>
      </w:r>
      <w:r w:rsidR="00A142A5" w:rsidRPr="002C21B8">
        <w:t>e</w:t>
      </w:r>
      <w:bookmarkEnd w:id="163"/>
    </w:p>
    <w:p w14:paraId="19B8752D" w14:textId="077B301C" w:rsidR="009D6664" w:rsidRPr="002C21B8" w:rsidRDefault="009D6664" w:rsidP="00AA2FD1">
      <w:pPr>
        <w:spacing w:after="0"/>
      </w:pPr>
      <w:r w:rsidRPr="002C21B8">
        <w:t xml:space="preserve">This chapter presents the </w:t>
      </w:r>
      <w:r w:rsidR="00AA2FD1" w:rsidRPr="002C21B8">
        <w:t>findings from the multiple case study</w:t>
      </w:r>
      <w:r w:rsidRPr="002C21B8">
        <w:t>. The verbatim text of the journal article is presented as submitted</w:t>
      </w:r>
      <w:r w:rsidRPr="002C21B8">
        <w:rPr>
          <w:i/>
          <w:iCs/>
        </w:rPr>
        <w:t>.</w:t>
      </w:r>
      <w:r w:rsidRPr="002C21B8">
        <w:t xml:space="preserve"> </w:t>
      </w:r>
      <w:r w:rsidR="00BB4E71" w:rsidRPr="002C21B8">
        <w:t xml:space="preserve">The contribution of each co-author is detailed in </w:t>
      </w:r>
      <w:hyperlink w:anchor="_Appendix_1._Author" w:history="1">
        <w:r w:rsidR="00BB4E71" w:rsidRPr="002C21B8">
          <w:rPr>
            <w:rStyle w:val="Hyperlink"/>
          </w:rPr>
          <w:t>Appendix 1</w:t>
        </w:r>
      </w:hyperlink>
      <w:r w:rsidR="00BB4E71" w:rsidRPr="002C21B8">
        <w:t xml:space="preserve">. </w:t>
      </w:r>
      <w:r w:rsidRPr="002C21B8">
        <w:t xml:space="preserve">Further details on </w:t>
      </w:r>
      <w:r w:rsidR="002351C0" w:rsidRPr="002C21B8">
        <w:t xml:space="preserve">the </w:t>
      </w:r>
      <w:r w:rsidRPr="002C21B8">
        <w:t xml:space="preserve">methods and </w:t>
      </w:r>
      <w:r w:rsidR="002351C0" w:rsidRPr="002C21B8">
        <w:t xml:space="preserve">the </w:t>
      </w:r>
      <w:r w:rsidRPr="002C21B8">
        <w:t xml:space="preserve">supplementary materials </w:t>
      </w:r>
      <w:r w:rsidR="004F3E5E" w:rsidRPr="002C21B8">
        <w:t xml:space="preserve">that will be </w:t>
      </w:r>
      <w:r w:rsidRPr="002C21B8">
        <w:t>published with the journal article</w:t>
      </w:r>
      <w:r w:rsidR="00632CF1" w:rsidRPr="002C21B8">
        <w:t xml:space="preserve"> </w:t>
      </w:r>
      <w:r w:rsidRPr="002C21B8">
        <w:t xml:space="preserve">are presented in </w:t>
      </w:r>
      <w:hyperlink w:anchor="_Appendix_7._Additional_1" w:history="1">
        <w:r w:rsidRPr="002C21B8">
          <w:rPr>
            <w:rStyle w:val="Hyperlink"/>
          </w:rPr>
          <w:t xml:space="preserve">Appendices </w:t>
        </w:r>
        <w:r w:rsidR="00AE796C" w:rsidRPr="002C21B8">
          <w:rPr>
            <w:rStyle w:val="Hyperlink"/>
          </w:rPr>
          <w:t>7</w:t>
        </w:r>
      </w:hyperlink>
      <w:r w:rsidRPr="002C21B8">
        <w:t xml:space="preserve"> and </w:t>
      </w:r>
      <w:hyperlink w:anchor="_Appendix_8._Publication" w:history="1">
        <w:r w:rsidR="00AE796C" w:rsidRPr="002C21B8">
          <w:rPr>
            <w:rStyle w:val="Hyperlink"/>
          </w:rPr>
          <w:t>8</w:t>
        </w:r>
      </w:hyperlink>
      <w:r w:rsidRPr="002C21B8">
        <w:t>.</w:t>
      </w:r>
    </w:p>
    <w:p w14:paraId="62DD0D7A" w14:textId="77777777" w:rsidR="00AA2FD1" w:rsidRPr="002C21B8" w:rsidRDefault="00AA2FD1">
      <w:pPr>
        <w:spacing w:after="0" w:line="240" w:lineRule="auto"/>
        <w:jc w:val="left"/>
        <w:rPr>
          <w:rFonts w:eastAsiaTheme="majorEastAsia"/>
          <w:b/>
          <w:bCs/>
          <w:color w:val="000000" w:themeColor="text1"/>
          <w:sz w:val="32"/>
          <w:szCs w:val="32"/>
        </w:rPr>
      </w:pPr>
      <w:r w:rsidRPr="002C21B8">
        <w:br w:type="page"/>
      </w:r>
    </w:p>
    <w:p w14:paraId="290F1D7E" w14:textId="77777777" w:rsidR="00F621BD" w:rsidRPr="002C21B8" w:rsidRDefault="00F621BD" w:rsidP="00581663">
      <w:pPr>
        <w:pStyle w:val="Heading2"/>
      </w:pPr>
      <w:bookmarkStart w:id="164" w:name="_Toc229687228"/>
      <w:r w:rsidRPr="002C21B8">
        <w:t>Manuscript</w:t>
      </w:r>
      <w:bookmarkEnd w:id="164"/>
    </w:p>
    <w:p w14:paraId="324F9CBF" w14:textId="77777777" w:rsidR="00F621BD" w:rsidRPr="002C21B8" w:rsidRDefault="00F621BD" w:rsidP="00F621BD"/>
    <w:p w14:paraId="6081AC4F" w14:textId="10B39D43" w:rsidR="00D7771F" w:rsidRPr="002C21B8" w:rsidRDefault="009F388F" w:rsidP="00AA2FD1">
      <w:pPr>
        <w:rPr>
          <w:b/>
          <w:bCs/>
          <w:sz w:val="32"/>
          <w:szCs w:val="32"/>
        </w:rPr>
      </w:pPr>
      <w:r w:rsidRPr="002C21B8">
        <w:rPr>
          <w:b/>
          <w:bCs/>
          <w:sz w:val="32"/>
          <w:szCs w:val="32"/>
        </w:rPr>
        <w:t xml:space="preserve">Understanding </w:t>
      </w:r>
      <w:r w:rsidR="00435AEC" w:rsidRPr="002C21B8">
        <w:rPr>
          <w:b/>
          <w:bCs/>
          <w:sz w:val="32"/>
          <w:szCs w:val="32"/>
        </w:rPr>
        <w:t>v</w:t>
      </w:r>
      <w:r w:rsidRPr="002C21B8">
        <w:rPr>
          <w:b/>
          <w:bCs/>
          <w:sz w:val="32"/>
          <w:szCs w:val="32"/>
        </w:rPr>
        <w:t xml:space="preserve">ariation </w:t>
      </w:r>
      <w:r w:rsidR="00435AEC" w:rsidRPr="002C21B8">
        <w:rPr>
          <w:b/>
          <w:bCs/>
          <w:sz w:val="32"/>
          <w:szCs w:val="32"/>
        </w:rPr>
        <w:t>b</w:t>
      </w:r>
      <w:r w:rsidRPr="002C21B8">
        <w:rPr>
          <w:b/>
          <w:bCs/>
          <w:sz w:val="32"/>
          <w:szCs w:val="32"/>
        </w:rPr>
        <w:t xml:space="preserve">etween </w:t>
      </w:r>
      <w:r w:rsidR="00435AEC" w:rsidRPr="002C21B8">
        <w:rPr>
          <w:b/>
          <w:bCs/>
          <w:sz w:val="32"/>
          <w:szCs w:val="32"/>
        </w:rPr>
        <w:t>k</w:t>
      </w:r>
      <w:r w:rsidRPr="002C21B8">
        <w:rPr>
          <w:b/>
          <w:bCs/>
          <w:sz w:val="32"/>
          <w:szCs w:val="32"/>
        </w:rPr>
        <w:t xml:space="preserve">idney </w:t>
      </w:r>
      <w:r w:rsidR="00435AEC" w:rsidRPr="002C21B8">
        <w:rPr>
          <w:b/>
          <w:bCs/>
          <w:sz w:val="32"/>
          <w:szCs w:val="32"/>
        </w:rPr>
        <w:t>c</w:t>
      </w:r>
      <w:r w:rsidRPr="002C21B8">
        <w:rPr>
          <w:b/>
          <w:bCs/>
          <w:sz w:val="32"/>
          <w:szCs w:val="32"/>
        </w:rPr>
        <w:t xml:space="preserve">entres in </w:t>
      </w:r>
      <w:r w:rsidR="003D2D93" w:rsidRPr="002C21B8">
        <w:rPr>
          <w:b/>
          <w:bCs/>
          <w:sz w:val="32"/>
          <w:szCs w:val="32"/>
        </w:rPr>
        <w:t xml:space="preserve">the </w:t>
      </w:r>
      <w:r w:rsidR="00435AEC" w:rsidRPr="002C21B8">
        <w:rPr>
          <w:b/>
          <w:bCs/>
          <w:sz w:val="32"/>
          <w:szCs w:val="32"/>
        </w:rPr>
        <w:t>i</w:t>
      </w:r>
      <w:r w:rsidRPr="002C21B8">
        <w:rPr>
          <w:b/>
          <w:bCs/>
          <w:sz w:val="32"/>
          <w:szCs w:val="32"/>
        </w:rPr>
        <w:t xml:space="preserve">mplementation of </w:t>
      </w:r>
      <w:r w:rsidR="00435AEC" w:rsidRPr="002C21B8">
        <w:rPr>
          <w:b/>
          <w:bCs/>
          <w:sz w:val="32"/>
          <w:szCs w:val="32"/>
        </w:rPr>
        <w:t>t</w:t>
      </w:r>
      <w:r w:rsidRPr="002C21B8">
        <w:rPr>
          <w:b/>
          <w:bCs/>
          <w:sz w:val="32"/>
          <w:szCs w:val="32"/>
        </w:rPr>
        <w:t xml:space="preserve">olvaptan in the </w:t>
      </w:r>
      <w:r w:rsidR="00435AEC" w:rsidRPr="002C21B8">
        <w:rPr>
          <w:b/>
          <w:bCs/>
          <w:sz w:val="32"/>
          <w:szCs w:val="32"/>
        </w:rPr>
        <w:t>m</w:t>
      </w:r>
      <w:r w:rsidRPr="002C21B8">
        <w:rPr>
          <w:b/>
          <w:bCs/>
          <w:sz w:val="32"/>
          <w:szCs w:val="32"/>
        </w:rPr>
        <w:t xml:space="preserve">anagement of </w:t>
      </w:r>
      <w:r w:rsidR="00435AEC" w:rsidRPr="002C21B8">
        <w:rPr>
          <w:b/>
          <w:bCs/>
          <w:sz w:val="32"/>
          <w:szCs w:val="32"/>
        </w:rPr>
        <w:t>a</w:t>
      </w:r>
      <w:r w:rsidRPr="002C21B8">
        <w:rPr>
          <w:b/>
          <w:bCs/>
          <w:sz w:val="32"/>
          <w:szCs w:val="32"/>
        </w:rPr>
        <w:t xml:space="preserve">utosomal </w:t>
      </w:r>
      <w:r w:rsidR="00435AEC" w:rsidRPr="002C21B8">
        <w:rPr>
          <w:b/>
          <w:bCs/>
          <w:sz w:val="32"/>
          <w:szCs w:val="32"/>
        </w:rPr>
        <w:t>d</w:t>
      </w:r>
      <w:r w:rsidRPr="002C21B8">
        <w:rPr>
          <w:b/>
          <w:bCs/>
          <w:sz w:val="32"/>
          <w:szCs w:val="32"/>
        </w:rPr>
        <w:t xml:space="preserve">ominant </w:t>
      </w:r>
      <w:r w:rsidR="00435AEC" w:rsidRPr="002C21B8">
        <w:rPr>
          <w:b/>
          <w:bCs/>
          <w:sz w:val="32"/>
          <w:szCs w:val="32"/>
        </w:rPr>
        <w:t>p</w:t>
      </w:r>
      <w:r w:rsidRPr="002C21B8">
        <w:rPr>
          <w:b/>
          <w:bCs/>
          <w:sz w:val="32"/>
          <w:szCs w:val="32"/>
        </w:rPr>
        <w:t xml:space="preserve">olycystic </w:t>
      </w:r>
      <w:r w:rsidR="00435AEC" w:rsidRPr="002C21B8">
        <w:rPr>
          <w:b/>
          <w:bCs/>
          <w:sz w:val="32"/>
          <w:szCs w:val="32"/>
        </w:rPr>
        <w:t>k</w:t>
      </w:r>
      <w:r w:rsidR="003D2D93" w:rsidRPr="002C21B8">
        <w:rPr>
          <w:b/>
          <w:bCs/>
          <w:sz w:val="32"/>
          <w:szCs w:val="32"/>
        </w:rPr>
        <w:t>i</w:t>
      </w:r>
      <w:r w:rsidRPr="002C21B8">
        <w:rPr>
          <w:b/>
          <w:bCs/>
          <w:sz w:val="32"/>
          <w:szCs w:val="32"/>
        </w:rPr>
        <w:t xml:space="preserve">dney </w:t>
      </w:r>
      <w:r w:rsidR="00435AEC" w:rsidRPr="002C21B8">
        <w:rPr>
          <w:b/>
          <w:bCs/>
          <w:sz w:val="32"/>
          <w:szCs w:val="32"/>
        </w:rPr>
        <w:t>d</w:t>
      </w:r>
      <w:r w:rsidRPr="002C21B8">
        <w:rPr>
          <w:b/>
          <w:bCs/>
          <w:sz w:val="32"/>
          <w:szCs w:val="32"/>
        </w:rPr>
        <w:t xml:space="preserve">isease: </w:t>
      </w:r>
      <w:r w:rsidR="00435AEC" w:rsidRPr="002C21B8">
        <w:rPr>
          <w:b/>
          <w:bCs/>
          <w:sz w:val="32"/>
          <w:szCs w:val="32"/>
        </w:rPr>
        <w:t>a</w:t>
      </w:r>
      <w:r w:rsidRPr="002C21B8">
        <w:rPr>
          <w:b/>
          <w:bCs/>
          <w:sz w:val="32"/>
          <w:szCs w:val="32"/>
        </w:rPr>
        <w:t xml:space="preserve"> </w:t>
      </w:r>
      <w:r w:rsidR="00435AEC" w:rsidRPr="002C21B8">
        <w:rPr>
          <w:b/>
          <w:bCs/>
          <w:sz w:val="32"/>
          <w:szCs w:val="32"/>
        </w:rPr>
        <w:t>m</w:t>
      </w:r>
      <w:r w:rsidRPr="002C21B8">
        <w:rPr>
          <w:b/>
          <w:bCs/>
          <w:sz w:val="32"/>
          <w:szCs w:val="32"/>
        </w:rPr>
        <w:t xml:space="preserve">ultiple </w:t>
      </w:r>
      <w:r w:rsidR="00435AEC" w:rsidRPr="002C21B8">
        <w:rPr>
          <w:b/>
          <w:bCs/>
          <w:sz w:val="32"/>
          <w:szCs w:val="32"/>
        </w:rPr>
        <w:t>ca</w:t>
      </w:r>
      <w:r w:rsidRPr="002C21B8">
        <w:rPr>
          <w:b/>
          <w:bCs/>
          <w:sz w:val="32"/>
          <w:szCs w:val="32"/>
        </w:rPr>
        <w:t xml:space="preserve">se </w:t>
      </w:r>
      <w:r w:rsidR="00435AEC" w:rsidRPr="002C21B8">
        <w:rPr>
          <w:b/>
          <w:bCs/>
          <w:sz w:val="32"/>
          <w:szCs w:val="32"/>
        </w:rPr>
        <w:t>s</w:t>
      </w:r>
      <w:r w:rsidR="003D2D93" w:rsidRPr="002C21B8">
        <w:rPr>
          <w:b/>
          <w:bCs/>
          <w:sz w:val="32"/>
          <w:szCs w:val="32"/>
        </w:rPr>
        <w:t>t</w:t>
      </w:r>
      <w:r w:rsidRPr="002C21B8">
        <w:rPr>
          <w:b/>
          <w:bCs/>
          <w:sz w:val="32"/>
          <w:szCs w:val="32"/>
        </w:rPr>
        <w:t>udy</w:t>
      </w:r>
    </w:p>
    <w:p w14:paraId="2708AA9E" w14:textId="5BAC2635" w:rsidR="00AA2FD1" w:rsidRPr="002C21B8" w:rsidRDefault="00D7771F" w:rsidP="00AA2FD1">
      <w:pPr>
        <w:rPr>
          <w:shd w:val="clear" w:color="auto" w:fill="FFFFFF"/>
        </w:rPr>
      </w:pPr>
      <w:r w:rsidRPr="002C21B8">
        <w:rPr>
          <w:shd w:val="clear" w:color="auto" w:fill="FFFFFF"/>
        </w:rPr>
        <w:t>Gittus</w:t>
      </w:r>
      <w:r w:rsidR="00D514EF" w:rsidRPr="002C21B8">
        <w:rPr>
          <w:shd w:val="clear" w:color="auto" w:fill="FFFFFF"/>
        </w:rPr>
        <w:t>,</w:t>
      </w:r>
      <w:r w:rsidRPr="002C21B8">
        <w:rPr>
          <w:shd w:val="clear" w:color="auto" w:fill="FFFFFF"/>
        </w:rPr>
        <w:t xml:space="preserve"> M</w:t>
      </w:r>
      <w:r w:rsidR="00D514EF" w:rsidRPr="002C21B8">
        <w:rPr>
          <w:shd w:val="clear" w:color="auto" w:fill="FFFFFF"/>
        </w:rPr>
        <w:t>.</w:t>
      </w:r>
      <w:r w:rsidRPr="002C21B8">
        <w:rPr>
          <w:shd w:val="clear" w:color="auto" w:fill="FFFFFF"/>
        </w:rPr>
        <w:t xml:space="preserve">, </w:t>
      </w:r>
      <w:r w:rsidR="00D514EF" w:rsidRPr="002C21B8">
        <w:rPr>
          <w:shd w:val="clear" w:color="auto" w:fill="FFFFFF"/>
        </w:rPr>
        <w:t xml:space="preserve">Fotheringham, J., </w:t>
      </w:r>
      <w:r w:rsidRPr="002C21B8">
        <w:rPr>
          <w:shd w:val="clear" w:color="auto" w:fill="FFFFFF"/>
        </w:rPr>
        <w:t>Ong</w:t>
      </w:r>
      <w:r w:rsidR="00D514EF" w:rsidRPr="002C21B8">
        <w:rPr>
          <w:shd w:val="clear" w:color="auto" w:fill="FFFFFF"/>
        </w:rPr>
        <w:t>,</w:t>
      </w:r>
      <w:r w:rsidRPr="002C21B8">
        <w:rPr>
          <w:shd w:val="clear" w:color="auto" w:fill="FFFFFF"/>
        </w:rPr>
        <w:t xml:space="preserve"> A</w:t>
      </w:r>
      <w:r w:rsidR="00D514EF" w:rsidRPr="002C21B8">
        <w:rPr>
          <w:shd w:val="clear" w:color="auto" w:fill="FFFFFF"/>
        </w:rPr>
        <w:t>.</w:t>
      </w:r>
      <w:r w:rsidRPr="002C21B8">
        <w:rPr>
          <w:shd w:val="clear" w:color="auto" w:fill="FFFFFF"/>
        </w:rPr>
        <w:t>C</w:t>
      </w:r>
      <w:r w:rsidR="00D514EF" w:rsidRPr="002C21B8">
        <w:rPr>
          <w:shd w:val="clear" w:color="auto" w:fill="FFFFFF"/>
        </w:rPr>
        <w:t>.</w:t>
      </w:r>
      <w:r w:rsidRPr="002C21B8">
        <w:rPr>
          <w:shd w:val="clear" w:color="auto" w:fill="FFFFFF"/>
        </w:rPr>
        <w:t>M</w:t>
      </w:r>
      <w:r w:rsidR="00D514EF" w:rsidRPr="002C21B8">
        <w:rPr>
          <w:shd w:val="clear" w:color="auto" w:fill="FFFFFF"/>
        </w:rPr>
        <w:t>.</w:t>
      </w:r>
      <w:r w:rsidRPr="002C21B8">
        <w:rPr>
          <w:shd w:val="clear" w:color="auto" w:fill="FFFFFF"/>
        </w:rPr>
        <w:t xml:space="preserve">, </w:t>
      </w:r>
      <w:r w:rsidR="00B328F5" w:rsidRPr="002C21B8">
        <w:rPr>
          <w:shd w:val="clear" w:color="auto" w:fill="FFFFFF"/>
        </w:rPr>
        <w:t xml:space="preserve">and </w:t>
      </w:r>
      <w:r w:rsidRPr="002C21B8">
        <w:rPr>
          <w:shd w:val="clear" w:color="auto" w:fill="FFFFFF"/>
        </w:rPr>
        <w:t>O'Cathain</w:t>
      </w:r>
      <w:r w:rsidR="00D514EF" w:rsidRPr="002C21B8">
        <w:rPr>
          <w:shd w:val="clear" w:color="auto" w:fill="FFFFFF"/>
        </w:rPr>
        <w:t>,</w:t>
      </w:r>
      <w:r w:rsidRPr="002C21B8">
        <w:rPr>
          <w:shd w:val="clear" w:color="auto" w:fill="FFFFFF"/>
        </w:rPr>
        <w:t xml:space="preserve"> A</w:t>
      </w:r>
      <w:r w:rsidR="00D514EF" w:rsidRPr="002C21B8">
        <w:rPr>
          <w:shd w:val="clear" w:color="auto" w:fill="FFFFFF"/>
        </w:rPr>
        <w:t>.</w:t>
      </w:r>
      <w:bookmarkStart w:id="165" w:name="_Toc213230691"/>
    </w:p>
    <w:p w14:paraId="1BAF6FEC" w14:textId="6FE135FA" w:rsidR="00AA2FD1" w:rsidRPr="002C21B8" w:rsidRDefault="00B328F5" w:rsidP="00AA2FD1">
      <w:pPr>
        <w:rPr>
          <w:i/>
          <w:iCs/>
          <w:shd w:val="clear" w:color="auto" w:fill="FFFFFF"/>
        </w:rPr>
      </w:pPr>
      <w:r w:rsidRPr="002C21B8">
        <w:rPr>
          <w:shd w:val="clear" w:color="auto" w:fill="FFFFFF"/>
        </w:rPr>
        <w:t xml:space="preserve">Submitted to </w:t>
      </w:r>
      <w:r w:rsidR="00FF0504" w:rsidRPr="002C21B8">
        <w:rPr>
          <w:i/>
          <w:iCs/>
          <w:shd w:val="clear" w:color="auto" w:fill="FFFFFF"/>
        </w:rPr>
        <w:t>BMC Nephrology</w:t>
      </w:r>
    </w:p>
    <w:p w14:paraId="2A65E425" w14:textId="77777777" w:rsidR="00B328F5" w:rsidRPr="002C21B8" w:rsidRDefault="00B328F5" w:rsidP="00B328F5">
      <w:pPr>
        <w:spacing w:after="0"/>
        <w:rPr>
          <w:i/>
          <w:iCs/>
          <w:shd w:val="clear" w:color="auto" w:fill="FFFFFF"/>
        </w:rPr>
      </w:pPr>
    </w:p>
    <w:p w14:paraId="1F5F4CD3" w14:textId="26130C40" w:rsidR="002016F3" w:rsidRPr="002C21B8" w:rsidRDefault="00EC31D3" w:rsidP="00AA2FD1">
      <w:pPr>
        <w:rPr>
          <w:b/>
          <w:bCs/>
          <w:sz w:val="28"/>
          <w:szCs w:val="28"/>
        </w:rPr>
      </w:pPr>
      <w:r w:rsidRPr="002C21B8">
        <w:rPr>
          <w:b/>
          <w:bCs/>
          <w:sz w:val="28"/>
          <w:szCs w:val="28"/>
        </w:rPr>
        <w:t>Abstract</w:t>
      </w:r>
    </w:p>
    <w:p w14:paraId="5A0F43D8" w14:textId="55F13AD5" w:rsidR="007A71E0" w:rsidRPr="002C21B8" w:rsidRDefault="007A71E0" w:rsidP="004D76F5">
      <w:pPr>
        <w:spacing w:after="0"/>
        <w:rPr>
          <w:b/>
          <w:bCs/>
          <w:sz w:val="24"/>
          <w:szCs w:val="24"/>
        </w:rPr>
      </w:pPr>
      <w:r w:rsidRPr="002C21B8">
        <w:rPr>
          <w:b/>
          <w:bCs/>
          <w:sz w:val="24"/>
          <w:szCs w:val="24"/>
        </w:rPr>
        <w:t>Background</w:t>
      </w:r>
      <w:bookmarkEnd w:id="165"/>
    </w:p>
    <w:p w14:paraId="16AA8C9D" w14:textId="0FD890E2" w:rsidR="007A71E0" w:rsidRPr="002C21B8" w:rsidRDefault="007A71E0" w:rsidP="007A71E0">
      <w:r w:rsidRPr="002C21B8">
        <w:t xml:space="preserve">Autosomal Dominant Polycystic Kidney Disease (ADPKD) affects an estimated 12.5 million people worldwide and </w:t>
      </w:r>
      <w:r w:rsidR="00A70A4A" w:rsidRPr="002C21B8">
        <w:t xml:space="preserve">up to </w:t>
      </w:r>
      <w:r w:rsidRPr="002C21B8">
        <w:t xml:space="preserve">70,000 in the United Kingdom (UK). Tolvaptan is the only disease-modifying therapy available. Despite national guidelines, prescribing </w:t>
      </w:r>
      <w:r w:rsidR="0069315A" w:rsidRPr="002C21B8">
        <w:t xml:space="preserve">appears to </w:t>
      </w:r>
      <w:r w:rsidRPr="002C21B8">
        <w:t>var</w:t>
      </w:r>
      <w:r w:rsidR="0069315A" w:rsidRPr="002C21B8">
        <w:t>y</w:t>
      </w:r>
      <w:r w:rsidRPr="002C21B8">
        <w:t xml:space="preserve"> across UK kidney centres. The aim was to explore the organisational, individual, and contextual factors influencing</w:t>
      </w:r>
      <w:r w:rsidR="00363297" w:rsidRPr="002C21B8">
        <w:t xml:space="preserve"> the</w:t>
      </w:r>
      <w:r w:rsidRPr="002C21B8">
        <w:t xml:space="preserve"> implementation of tolvaptan care pathways.</w:t>
      </w:r>
    </w:p>
    <w:p w14:paraId="27E12007" w14:textId="77777777" w:rsidR="007A71E0" w:rsidRPr="002C21B8" w:rsidRDefault="007A71E0" w:rsidP="007A71E0">
      <w:pPr>
        <w:spacing w:before="240" w:after="0"/>
        <w:rPr>
          <w:b/>
          <w:bCs/>
          <w:sz w:val="24"/>
          <w:szCs w:val="24"/>
        </w:rPr>
      </w:pPr>
      <w:bookmarkStart w:id="166" w:name="_Toc213230692"/>
      <w:r w:rsidRPr="002C21B8">
        <w:rPr>
          <w:b/>
          <w:bCs/>
          <w:sz w:val="24"/>
          <w:szCs w:val="24"/>
        </w:rPr>
        <w:t>Methods</w:t>
      </w:r>
      <w:bookmarkEnd w:id="166"/>
    </w:p>
    <w:p w14:paraId="51C209FA" w14:textId="2BB4DC2C" w:rsidR="009B4AFC" w:rsidRPr="002C21B8" w:rsidRDefault="009B4AFC" w:rsidP="009B4AFC">
      <w:bookmarkStart w:id="167" w:name="_Toc213230693"/>
      <w:r w:rsidRPr="002C21B8">
        <w:t xml:space="preserve">We conducted a multiple case study of three UK kidney centres in the National Health Service. Cases were selected based on their prescribing practices. Within each case, semi-structured interviews, clinic observations and document analyses were undertaken (December 2024–September 2025). </w:t>
      </w:r>
      <w:r w:rsidR="00227DA8" w:rsidRPr="002C21B8">
        <w:t>Data was</w:t>
      </w:r>
      <w:r w:rsidRPr="002C21B8">
        <w:t xml:space="preserve"> analysed using </w:t>
      </w:r>
      <w:r w:rsidR="0080682E" w:rsidRPr="002C21B8">
        <w:t>the F</w:t>
      </w:r>
      <w:r w:rsidRPr="002C21B8">
        <w:t xml:space="preserve">ramework </w:t>
      </w:r>
      <w:r w:rsidR="0080682E" w:rsidRPr="002C21B8">
        <w:t>Method</w:t>
      </w:r>
      <w:r w:rsidRPr="002C21B8">
        <w:t xml:space="preserve"> and mapped to the Consolidated Framework for Implementation Research (CFIR).</w:t>
      </w:r>
    </w:p>
    <w:p w14:paraId="62D978D7" w14:textId="77777777" w:rsidR="007A71E0" w:rsidRPr="002C21B8" w:rsidRDefault="007A71E0" w:rsidP="007A71E0">
      <w:pPr>
        <w:spacing w:before="240" w:after="0"/>
        <w:rPr>
          <w:b/>
          <w:bCs/>
          <w:sz w:val="24"/>
          <w:szCs w:val="24"/>
        </w:rPr>
      </w:pPr>
      <w:r w:rsidRPr="002C21B8">
        <w:rPr>
          <w:b/>
          <w:bCs/>
          <w:sz w:val="24"/>
          <w:szCs w:val="24"/>
        </w:rPr>
        <w:t>Results</w:t>
      </w:r>
      <w:bookmarkEnd w:id="167"/>
    </w:p>
    <w:p w14:paraId="4BFDCDE9" w14:textId="29C14006" w:rsidR="007A71E0" w:rsidRPr="002C21B8" w:rsidRDefault="007A71E0" w:rsidP="007A71E0">
      <w:r w:rsidRPr="002C21B8">
        <w:t xml:space="preserve">Twelve </w:t>
      </w:r>
      <w:r w:rsidR="009B4AFC" w:rsidRPr="002C21B8">
        <w:t>clinician</w:t>
      </w:r>
      <w:r w:rsidRPr="002C21B8">
        <w:t xml:space="preserve"> interviews, twenty-three clinic observations, and eight documents were analysed. Implementation was primarily influenced by factors in the ‘Outer Setting’, ‘Inner Setting’, and ‘Individuals’ domains of the CFIR. At the ‘Outer Setting’, Cases 2 and 3 benefited from prior participation in the tolvaptan clinical trials and use of professional networks to facilitate a rapid launch of a new pathway without additional funding. This enabled early adoption compared to Case 1. At the ‘Inner Setting’, Case 2’s </w:t>
      </w:r>
      <w:r w:rsidR="00FF0504" w:rsidRPr="002C21B8">
        <w:t xml:space="preserve">condition-specific clinic model with a single renal genetics clinic </w:t>
      </w:r>
      <w:r w:rsidRPr="002C21B8">
        <w:t xml:space="preserve">allowed systematic application of eligibility criteria and timely initiation of tolvaptan, while Case 1’s </w:t>
      </w:r>
      <w:r w:rsidR="00FF0504" w:rsidRPr="002C21B8">
        <w:t>generalist clinic model with multiple clinics</w:t>
      </w:r>
      <w:r w:rsidRPr="002C21B8">
        <w:t xml:space="preserve"> </w:t>
      </w:r>
      <w:r w:rsidR="00FF0504" w:rsidRPr="002C21B8">
        <w:t>appeared to lead to</w:t>
      </w:r>
      <w:r w:rsidRPr="002C21B8">
        <w:t xml:space="preserve"> variable application of eligibility criteria and delays in initiation. Case 3 had a hybrid </w:t>
      </w:r>
      <w:r w:rsidR="00FF0504" w:rsidRPr="002C21B8">
        <w:t xml:space="preserve">model </w:t>
      </w:r>
      <w:r w:rsidRPr="002C21B8">
        <w:t xml:space="preserve">combining aspects from the other cases and capacity challenges due to high patient volumes. At the ‘Individuals’ level, proactive clinicians led the management of the tolvaptan </w:t>
      </w:r>
      <w:r w:rsidR="00D04C22" w:rsidRPr="002C21B8">
        <w:t xml:space="preserve">care </w:t>
      </w:r>
      <w:r w:rsidRPr="002C21B8">
        <w:t>pathway in Case 2</w:t>
      </w:r>
      <w:r w:rsidR="00363297" w:rsidRPr="002C21B8">
        <w:t>,</w:t>
      </w:r>
      <w:r w:rsidRPr="002C21B8">
        <w:t xml:space="preserve"> which could maximise treatment access, whereas less experienced staff </w:t>
      </w:r>
      <w:r w:rsidR="00A5064B" w:rsidRPr="002C21B8">
        <w:t xml:space="preserve">in Case 1 </w:t>
      </w:r>
      <w:r w:rsidRPr="002C21B8">
        <w:t xml:space="preserve">appeared to </w:t>
      </w:r>
      <w:r w:rsidR="00A5064B" w:rsidRPr="002C21B8">
        <w:t xml:space="preserve">limit </w:t>
      </w:r>
      <w:r w:rsidR="009B4AFC" w:rsidRPr="002C21B8">
        <w:t xml:space="preserve">early </w:t>
      </w:r>
      <w:r w:rsidR="00A5064B" w:rsidRPr="002C21B8">
        <w:t>use</w:t>
      </w:r>
      <w:r w:rsidRPr="002C21B8">
        <w:t>. Case 3 reported occasional off-guideline use</w:t>
      </w:r>
      <w:r w:rsidR="00363297" w:rsidRPr="002C21B8">
        <w:t xml:space="preserve">, </w:t>
      </w:r>
      <w:r w:rsidRPr="002C21B8">
        <w:t>potentially contributing to</w:t>
      </w:r>
      <w:r w:rsidR="00A5064B" w:rsidRPr="002C21B8">
        <w:t xml:space="preserve"> more use relative to other centres nationally</w:t>
      </w:r>
      <w:r w:rsidRPr="002C21B8">
        <w:t>.</w:t>
      </w:r>
    </w:p>
    <w:p w14:paraId="62D15383" w14:textId="77777777" w:rsidR="007A71E0" w:rsidRPr="002C21B8" w:rsidRDefault="007A71E0" w:rsidP="007A71E0">
      <w:pPr>
        <w:spacing w:before="240" w:after="0"/>
        <w:rPr>
          <w:b/>
          <w:bCs/>
          <w:sz w:val="24"/>
          <w:szCs w:val="24"/>
        </w:rPr>
      </w:pPr>
      <w:bookmarkStart w:id="168" w:name="_Toc213230694"/>
      <w:r w:rsidRPr="002C21B8">
        <w:rPr>
          <w:b/>
          <w:bCs/>
          <w:sz w:val="24"/>
          <w:szCs w:val="24"/>
        </w:rPr>
        <w:t>Conclusion</w:t>
      </w:r>
      <w:bookmarkEnd w:id="168"/>
    </w:p>
    <w:p w14:paraId="350C174E" w14:textId="5FD7743A" w:rsidR="007A71E0" w:rsidRPr="002C21B8" w:rsidRDefault="007A71E0" w:rsidP="007A71E0">
      <w:r w:rsidRPr="002C21B8">
        <w:t xml:space="preserve">Without additional dedicated funding, tolvaptan was implemented within existing structures. </w:t>
      </w:r>
      <w:r w:rsidR="00FF0504" w:rsidRPr="002C21B8">
        <w:t xml:space="preserve">The condition-specific clinic model </w:t>
      </w:r>
      <w:r w:rsidRPr="002C21B8">
        <w:t xml:space="preserve">appeared to enable more consistent implementation and prescribing, while </w:t>
      </w:r>
      <w:r w:rsidR="00FF0504" w:rsidRPr="002C21B8">
        <w:t>the generalist clinic model</w:t>
      </w:r>
      <w:r w:rsidRPr="002C21B8">
        <w:t xml:space="preserve"> </w:t>
      </w:r>
      <w:r w:rsidR="00FF0504" w:rsidRPr="002C21B8">
        <w:t>and</w:t>
      </w:r>
      <w:r w:rsidRPr="002C21B8">
        <w:t xml:space="preserve"> hybrid </w:t>
      </w:r>
      <w:r w:rsidR="00FF0504" w:rsidRPr="002C21B8">
        <w:t>model</w:t>
      </w:r>
      <w:r w:rsidRPr="002C21B8">
        <w:t xml:space="preserve"> introduced </w:t>
      </w:r>
      <w:r w:rsidR="00FF0504" w:rsidRPr="002C21B8">
        <w:t xml:space="preserve">greater </w:t>
      </w:r>
      <w:r w:rsidRPr="002C21B8">
        <w:t>variation</w:t>
      </w:r>
      <w:r w:rsidR="002117D7" w:rsidRPr="002C21B8">
        <w:t>,</w:t>
      </w:r>
      <w:r w:rsidRPr="002C21B8">
        <w:t xml:space="preserve"> which could lead to </w:t>
      </w:r>
      <w:r w:rsidR="00A5064B" w:rsidRPr="002C21B8">
        <w:t>fewer initiations in eligible patients and more initiations in non-eligible patients</w:t>
      </w:r>
      <w:r w:rsidRPr="002C21B8">
        <w:t>. These insights may guide</w:t>
      </w:r>
      <w:r w:rsidR="005F783C" w:rsidRPr="002C21B8">
        <w:t xml:space="preserve"> the</w:t>
      </w:r>
      <w:r w:rsidRPr="002C21B8">
        <w:t xml:space="preserve"> implementation of other rare disease </w:t>
      </w:r>
      <w:r w:rsidR="00E20F6F" w:rsidRPr="002C21B8">
        <w:t>medication</w:t>
      </w:r>
      <w:r w:rsidRPr="002C21B8">
        <w:t>s to improve equity and access.</w:t>
      </w:r>
    </w:p>
    <w:p w14:paraId="35BAB8D4" w14:textId="77777777" w:rsidR="00EC31D3" w:rsidRPr="002C21B8" w:rsidRDefault="007A71E0" w:rsidP="007A71E0">
      <w:pPr>
        <w:rPr>
          <w:rFonts w:eastAsiaTheme="majorEastAsia"/>
        </w:rPr>
        <w:sectPr w:rsidR="00EC31D3" w:rsidRPr="002C21B8" w:rsidSect="00625376">
          <w:headerReference w:type="default" r:id="rId43"/>
          <w:pgSz w:w="11906" w:h="16838"/>
          <w:pgMar w:top="1440" w:right="1440" w:bottom="1440" w:left="1440" w:header="708" w:footer="708" w:gutter="0"/>
          <w:cols w:space="708"/>
          <w:docGrid w:linePitch="360"/>
        </w:sectPr>
      </w:pPr>
      <w:r w:rsidRPr="002C21B8">
        <w:rPr>
          <w:rFonts w:eastAsiaTheme="majorEastAsia"/>
          <w:b/>
          <w:bCs/>
        </w:rPr>
        <w:t>Keywords:</w:t>
      </w:r>
      <w:r w:rsidRPr="002C21B8">
        <w:rPr>
          <w:rFonts w:eastAsiaTheme="majorEastAsia"/>
        </w:rPr>
        <w:t xml:space="preserve"> ADPKD, multiple case study, qualitative research, interviews</w:t>
      </w:r>
    </w:p>
    <w:p w14:paraId="1B12578D" w14:textId="77777777" w:rsidR="00D43833" w:rsidRPr="002C21B8" w:rsidRDefault="00D43833">
      <w:pPr>
        <w:spacing w:after="0" w:line="240" w:lineRule="auto"/>
        <w:jc w:val="left"/>
        <w:rPr>
          <w:b/>
          <w:bCs/>
          <w:sz w:val="28"/>
          <w:szCs w:val="28"/>
        </w:rPr>
      </w:pPr>
      <w:bookmarkStart w:id="169" w:name="_Toc213230695"/>
      <w:r w:rsidRPr="002C21B8">
        <w:rPr>
          <w:b/>
          <w:bCs/>
          <w:sz w:val="28"/>
          <w:szCs w:val="28"/>
        </w:rPr>
        <w:br w:type="page"/>
      </w:r>
    </w:p>
    <w:p w14:paraId="15BCB025" w14:textId="77588C7C" w:rsidR="00EC31D3" w:rsidRPr="002C21B8" w:rsidRDefault="00EC31D3" w:rsidP="0089548A">
      <w:pPr>
        <w:spacing w:before="240" w:after="0"/>
        <w:rPr>
          <w:b/>
          <w:bCs/>
          <w:sz w:val="28"/>
          <w:szCs w:val="28"/>
        </w:rPr>
      </w:pPr>
      <w:r w:rsidRPr="002C21B8">
        <w:rPr>
          <w:b/>
          <w:bCs/>
          <w:sz w:val="28"/>
          <w:szCs w:val="28"/>
        </w:rPr>
        <w:t>Introduction</w:t>
      </w:r>
      <w:bookmarkEnd w:id="169"/>
    </w:p>
    <w:p w14:paraId="02BE2AF3" w14:textId="0DAF6E3A" w:rsidR="00EC31D3" w:rsidRPr="002C21B8" w:rsidRDefault="00EC31D3" w:rsidP="00EC31D3">
      <w:r w:rsidRPr="002C21B8">
        <w:t xml:space="preserve">Autosomal Dominant Polycystic Kidney Disease (ADPKD) is the most common genetic kidney disorder. It is characterised by kidney cysts and affects an estimated 12.5 million worldwide </w:t>
      </w:r>
      <w:r w:rsidRPr="002C21B8">
        <w:fldChar w:fldCharType="begin"/>
      </w:r>
      <w:r w:rsidR="0052360F" w:rsidRPr="002C21B8">
        <w:instrText xml:space="preserve"> ADDIN EN.CITE &lt;EndNote&gt;&lt;Cite&gt;&lt;Author&gt;Chebib&lt;/Author&gt;&lt;Year&gt;2023&lt;/Year&gt;&lt;RecNum&gt;125002&lt;/RecNum&gt;&lt;DisplayText&gt;(Chebib&lt;style face="italic"&gt; et al.&lt;/style&gt;, 2023)&lt;/DisplayText&gt;&lt;record&gt;&lt;rec-number&gt;125002&lt;/rec-number&gt;&lt;foreign-keys&gt;&lt;key app="EN" db-id="xpefzwa5hf9dt2ea9fax95x7xvxz90v09dtf" timestamp="1757061253"&gt;125002&lt;/key&gt;&lt;/foreign-keys&gt;&lt;ref-type name="Journal Article"&gt;17&lt;/ref-type&gt;&lt;contributors&gt;&lt;authors&gt;&lt;author&gt;Chebib, F. T.&lt;/author&gt;&lt;author&gt;Zhou, X.&lt;/author&gt;&lt;author&gt;Garbinsky, D.&lt;/author&gt;&lt;author&gt;Davenport, E.&lt;/author&gt;&lt;author&gt;Nunna, S.&lt;/author&gt;&lt;author&gt;Oberdhan, D.&lt;/author&gt;&lt;author&gt;Fernandes, A.&lt;/author&gt;&lt;/authors&gt;&lt;/contributors&gt;&lt;auth-address&gt;Division of Nephrology and Hypertension, Mayo Clinic, Jacksonville, FL.&amp;#xD;RTI Health Solutions, Research Triangle Park, NC.&amp;#xD;Otsuka Pharmaceutical Development &amp;amp; Commercialization, Inc, Rockville, MD.&lt;/auth-address&gt;&lt;titles&gt;&lt;title&gt;Tolvaptan and Kidney Function Decline in Older Individuals With Autosomal Dominant Polycystic Kidney Disease: A Pooled Analysis of Randomized Clinical Trials and Observational Studies&lt;/title&gt;&lt;secondary-title&gt;Kidney Medicine&lt;/secondary-title&gt;&lt;/titles&gt;&lt;periodical&gt;&lt;full-title&gt;Kidney medicine&lt;/full-title&gt;&lt;/periodical&gt;&lt;pages&gt;100639&lt;/pages&gt;&lt;volume&gt;5&lt;/volume&gt;&lt;number&gt;6&lt;/number&gt;&lt;edition&gt;20230414&lt;/edition&gt;&lt;keywords&gt;&lt;keyword&gt;Autosomal dominant polycystic kidney disease (ADPKD)&lt;/keyword&gt;&lt;keyword&gt;clinical trial&lt;/keyword&gt;&lt;keyword&gt;glomerular filtration rate (GFR)&lt;/keyword&gt;&lt;keyword&gt;subgroup analysis&lt;/keyword&gt;&lt;keyword&gt;tolvaptan&lt;/keyword&gt;&lt;/keywords&gt;&lt;dates&gt;&lt;year&gt;2023&lt;/year&gt;&lt;pub-dates&gt;&lt;date&gt;Jun&lt;/date&gt;&lt;/pub-dates&gt;&lt;/dates&gt;&lt;isbn&gt;2590-0595&lt;/isbn&gt;&lt;accession-num&gt;37250503&lt;/accession-num&gt;&lt;urls&gt;&lt;/urls&gt;&lt;custom2&gt;PMC10220412&lt;/custom2&gt;&lt;electronic-resource-num&gt;10.1016/j.xkme.2023.100639&lt;/electronic-resource-num&gt;&lt;remote-database-provider&gt;NLM&lt;/remote-database-provider&gt;&lt;language&gt;eng&lt;/language&gt;&lt;/record&gt;&lt;/Cite&gt;&lt;/EndNote&gt;</w:instrText>
      </w:r>
      <w:r w:rsidRPr="002C21B8">
        <w:fldChar w:fldCharType="separate"/>
      </w:r>
      <w:r w:rsidR="0052360F" w:rsidRPr="002C21B8">
        <w:rPr>
          <w:noProof/>
        </w:rPr>
        <w:t>(Chebib</w:t>
      </w:r>
      <w:r w:rsidR="0052360F" w:rsidRPr="002C21B8">
        <w:rPr>
          <w:i/>
          <w:noProof/>
        </w:rPr>
        <w:t xml:space="preserve"> et al.</w:t>
      </w:r>
      <w:r w:rsidR="0052360F" w:rsidRPr="002C21B8">
        <w:rPr>
          <w:noProof/>
        </w:rPr>
        <w:t>, 2023)</w:t>
      </w:r>
      <w:r w:rsidRPr="002C21B8">
        <w:fldChar w:fldCharType="end"/>
      </w:r>
      <w:r w:rsidRPr="002C21B8">
        <w:t xml:space="preserve">. Tolvaptan is the only </w:t>
      </w:r>
      <w:r w:rsidR="00852298" w:rsidRPr="002C21B8">
        <w:t>medication</w:t>
      </w:r>
      <w:r w:rsidRPr="002C21B8">
        <w:t xml:space="preserve"> proven to slow disease progression and delay the onset of kidney failure. </w:t>
      </w:r>
      <w:r w:rsidR="00FE3EB6" w:rsidRPr="002C21B8">
        <w:t>I</w:t>
      </w:r>
      <w:r w:rsidRPr="002C21B8">
        <w:t xml:space="preserve">t </w:t>
      </w:r>
      <w:r w:rsidR="00FE3EB6" w:rsidRPr="002C21B8">
        <w:t xml:space="preserve">has been licensed </w:t>
      </w:r>
      <w:r w:rsidRPr="002C21B8">
        <w:t xml:space="preserve">in over </w:t>
      </w:r>
      <w:r w:rsidR="00FE3EB6" w:rsidRPr="002C21B8">
        <w:t xml:space="preserve">43 </w:t>
      </w:r>
      <w:r w:rsidRPr="002C21B8">
        <w:t xml:space="preserve">countries </w:t>
      </w:r>
      <w:r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EN.CITE.DATA </w:instrText>
      </w:r>
      <w:r w:rsidR="00763983" w:rsidRPr="002C21B8">
        <w:fldChar w:fldCharType="end"/>
      </w:r>
      <w:r w:rsidRPr="002C21B8">
        <w:fldChar w:fldCharType="separate"/>
      </w:r>
      <w:r w:rsidR="006A7575" w:rsidRPr="002C21B8">
        <w:rPr>
          <w:noProof/>
        </w:rPr>
        <w:t>(Gittus</w:t>
      </w:r>
      <w:r w:rsidR="006A7575" w:rsidRPr="002C21B8">
        <w:rPr>
          <w:i/>
          <w:noProof/>
        </w:rPr>
        <w:t xml:space="preserve"> et al.</w:t>
      </w:r>
      <w:r w:rsidR="006A7575" w:rsidRPr="002C21B8">
        <w:rPr>
          <w:noProof/>
        </w:rPr>
        <w:t>, 2025a)</w:t>
      </w:r>
      <w:r w:rsidRPr="002C21B8">
        <w:fldChar w:fldCharType="end"/>
      </w:r>
      <w:r w:rsidRPr="002C21B8">
        <w:t xml:space="preserve">. Its clinical use requires careful consideration of benefits and risks, including aquaretic adverse effects and </w:t>
      </w:r>
      <w:r w:rsidR="00EB7F0D" w:rsidRPr="002C21B8">
        <w:t>drug-induced livery injury</w:t>
      </w:r>
      <w:r w:rsidR="00F930A9" w:rsidRPr="002C21B8">
        <w:t xml:space="preserve"> </w:t>
      </w:r>
      <w:r w:rsidR="00F930A9" w:rsidRPr="002C21B8">
        <w:fldChar w:fldCharType="begin"/>
      </w:r>
      <w:r w:rsidR="00D17554" w:rsidRPr="002C21B8">
        <w:instrText xml:space="preserve"> ADDIN EN.CITE &lt;EndNote&gt;&lt;Cite&gt;&lt;Author&gt;Torres&lt;/Author&gt;&lt;Year&gt;2007&lt;/Year&gt;&lt;RecNum&gt;5274&lt;/RecNum&gt;&lt;DisplayText&gt;(Torres, Harris and Pirson, 2007)&lt;/DisplayText&gt;&lt;record&gt;&lt;rec-number&gt;5274&lt;/rec-number&gt;&lt;foreign-keys&gt;&lt;key app="EN" db-id="xpefzwa5hf9dt2ea9fax95x7xvxz90v09dtf" timestamp="1701103763"&gt;5274&lt;/key&gt;&lt;/foreign-keys&gt;&lt;ref-type name="Journal Article"&gt;17&lt;/ref-type&gt;&lt;contributors&gt;&lt;authors&gt;&lt;author&gt;Torres, Vicente E&lt;/author&gt;&lt;author&gt;Harris, Peter C&lt;/author&gt;&lt;author&gt;Pirson, Yves&lt;/author&gt;&lt;/authors&gt;&lt;/contributors&gt;&lt;titles&gt;&lt;title&gt;Autosomal dominant polycystic kidney disease&lt;/title&gt;&lt;secondary-title&gt;The Lancet&lt;/secondary-title&gt;&lt;/titles&gt;&lt;periodical&gt;&lt;full-title&gt;The Lancet&lt;/full-title&gt;&lt;/periodical&gt;&lt;pages&gt;1287-1301&lt;/pages&gt;&lt;volume&gt;369&lt;/volume&gt;&lt;number&gt;9569&lt;/number&gt;&lt;dates&gt;&lt;year&gt;2007&lt;/year&gt;&lt;/dates&gt;&lt;isbn&gt;0140-6736&lt;/isbn&gt;&lt;urls&gt;&lt;/urls&gt;&lt;/record&gt;&lt;/Cite&gt;&lt;/EndNote&gt;</w:instrText>
      </w:r>
      <w:r w:rsidR="00F930A9" w:rsidRPr="002C21B8">
        <w:fldChar w:fldCharType="separate"/>
      </w:r>
      <w:r w:rsidR="00D17554" w:rsidRPr="002C21B8">
        <w:t>(Torres, Harris and Pirson, 2007)</w:t>
      </w:r>
      <w:r w:rsidR="00F930A9" w:rsidRPr="002C21B8">
        <w:fldChar w:fldCharType="end"/>
      </w:r>
      <w:r w:rsidRPr="002C21B8">
        <w:t>.</w:t>
      </w:r>
    </w:p>
    <w:p w14:paraId="548265E5" w14:textId="0D10148D" w:rsidR="00EC31D3" w:rsidRPr="002C21B8" w:rsidRDefault="00EC31D3" w:rsidP="00EC31D3">
      <w:r w:rsidRPr="002C21B8">
        <w:t>Up to 70,000 people in the United Kingdom (UK) have ADPKD. In 2015, tolvaptan was approved by the National Institute for Health and Care Excellence (NICE) for people between CKD stages 2</w:t>
      </w:r>
      <w:r w:rsidR="00E80170" w:rsidRPr="002C21B8">
        <w:t>–</w:t>
      </w:r>
      <w:r w:rsidRPr="002C21B8">
        <w:t>3 (eGFR 30</w:t>
      </w:r>
      <w:r w:rsidR="00E80170" w:rsidRPr="002C21B8">
        <w:t>–</w:t>
      </w:r>
      <w:r w:rsidRPr="002C21B8">
        <w:t>89) with rapidly progressive disease. As with all newly approved medications</w:t>
      </w:r>
      <w:r w:rsidR="002A78CA" w:rsidRPr="002C21B8">
        <w:t>,</w:t>
      </w:r>
      <w:r w:rsidRPr="002C21B8">
        <w:t xml:space="preserve"> it was mandated by NICE that it should be available at all National Health Service (NHS) hospitals within three months</w:t>
      </w:r>
      <w:r w:rsidR="00C223FA" w:rsidRPr="002C21B8">
        <w:t xml:space="preserve"> </w:t>
      </w:r>
      <w:r w:rsidR="00A713F3" w:rsidRPr="002C21B8">
        <w:t xml:space="preserve">of approval </w:t>
      </w:r>
      <w:r w:rsidR="00C223FA" w:rsidRPr="002C21B8">
        <w:fldChar w:fldCharType="begin"/>
      </w:r>
      <w:r w:rsidR="00502953" w:rsidRPr="002C21B8">
        <w:instrText xml:space="preserve"> ADDIN EN.CITE &lt;EndNote&gt;&lt;Cite&gt;&lt;Author&gt;UK Government&lt;/Author&gt;&lt;Year&gt;2013&lt;/Year&gt;&lt;RecNum&gt;125303&lt;/RecNum&gt;&lt;DisplayText&gt;(UK Government, 2013)&lt;/DisplayText&gt;&lt;record&gt;&lt;rec-number&gt;125303&lt;/rec-number&gt;&lt;foreign-keys&gt;&lt;key app="EN" db-id="xpefzwa5hf9dt2ea9fax95x7xvxz90v09dtf" timestamp="1774963806"&gt;125303&lt;/key&gt;&lt;/foreign-keys&gt;&lt;ref-type name="Web Page"&gt;12&lt;/ref-type&gt;&lt;contributors&gt;&lt;authors&gt;&lt;author&gt;UK Government,&lt;/author&gt;&lt;/authors&gt;&lt;/contributors&gt;&lt;titles&gt;&lt;title&gt;The National Institute for Health and Care Excellence (Constitution and Functions) and the Health and Social Care Information Centre (Functions) Regulations&lt;/title&gt;&lt;/titles&gt;&lt;number&gt;11/11/2025)&lt;/number&gt;&lt;dates&gt;&lt;year&gt;2013&lt;/year&gt;&lt;/dates&gt;&lt;urls&gt;&lt;related-urls&gt;&lt;url&gt;https://www.legislation.gov.uk/uksi/2013/259/pdfs/uksi_20130259_en.pdf&lt;/url&gt;&lt;/related-urls&gt;&lt;/urls&gt;&lt;/record&gt;&lt;/Cite&gt;&lt;/EndNote&gt;</w:instrText>
      </w:r>
      <w:r w:rsidR="00C223FA" w:rsidRPr="002C21B8">
        <w:fldChar w:fldCharType="separate"/>
      </w:r>
      <w:r w:rsidR="00502953" w:rsidRPr="002C21B8">
        <w:rPr>
          <w:noProof/>
        </w:rPr>
        <w:t>(UK Government, 2013)</w:t>
      </w:r>
      <w:r w:rsidR="00C223FA" w:rsidRPr="002C21B8">
        <w:fldChar w:fldCharType="end"/>
      </w:r>
      <w:r w:rsidRPr="002C21B8">
        <w:t xml:space="preserve">. The UK Renal Association issued guidelines for prescribers defining rapid progression based on decline in estimated glomerular filtration rate (eGFR) and kidney size measured using ultrasound or </w:t>
      </w:r>
      <w:r w:rsidR="007B2480" w:rsidRPr="002C21B8">
        <w:t>m</w:t>
      </w:r>
      <w:r w:rsidRPr="002C21B8">
        <w:t xml:space="preserve">agnetic </w:t>
      </w:r>
      <w:r w:rsidR="007B2480" w:rsidRPr="002C21B8">
        <w:t>r</w:t>
      </w:r>
      <w:r w:rsidRPr="002C21B8">
        <w:t xml:space="preserve">esonance </w:t>
      </w:r>
      <w:r w:rsidR="007B2480" w:rsidRPr="002C21B8">
        <w:t>i</w:t>
      </w:r>
      <w:r w:rsidRPr="002C21B8">
        <w:t>maging (MRI)</w:t>
      </w:r>
      <w:r w:rsidR="00163E1C" w:rsidRPr="002C21B8">
        <w:t xml:space="preserve"> </w:t>
      </w:r>
      <w:r w:rsidR="00163E1C" w:rsidRPr="002C21B8">
        <w:fldChar w:fldCharType="begin"/>
      </w:r>
      <w:r w:rsidR="00163E1C"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00163E1C" w:rsidRPr="002C21B8">
        <w:fldChar w:fldCharType="separate"/>
      </w:r>
      <w:r w:rsidR="00163E1C" w:rsidRPr="002C21B8">
        <w:t>(Renal Association, 2016)</w:t>
      </w:r>
      <w:r w:rsidR="00163E1C" w:rsidRPr="002C21B8">
        <w:fldChar w:fldCharType="end"/>
      </w:r>
      <w:r w:rsidRPr="002C21B8">
        <w:t>. A 2023 update incorporated risk stratification tools</w:t>
      </w:r>
      <w:r w:rsidR="00C03DFE" w:rsidRPr="002C21B8">
        <w:t>,</w:t>
      </w:r>
      <w:r w:rsidRPr="002C21B8">
        <w:t xml:space="preserve"> including the Mayo Imaging Classification</w:t>
      </w:r>
      <w:r w:rsidR="008C479C" w:rsidRPr="002C21B8">
        <w:t xml:space="preserve"> (MIC)</w:t>
      </w:r>
      <w:r w:rsidRPr="002C21B8">
        <w:t xml:space="preserve"> and Predicting Renal Outcome in Polycystic Kidney Disease (PROPKD) score</w:t>
      </w:r>
      <w:r w:rsidR="006A7575" w:rsidRPr="002C21B8">
        <w:t xml:space="preserve"> </w:t>
      </w:r>
      <w:r w:rsidR="006A7575"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EN.CITE.DATA </w:instrText>
      </w:r>
      <w:r w:rsidR="00763983" w:rsidRPr="002C21B8">
        <w:fldChar w:fldCharType="end"/>
      </w:r>
      <w:r w:rsidR="006A7575" w:rsidRPr="002C21B8">
        <w:fldChar w:fldCharType="separate"/>
      </w:r>
      <w:r w:rsidR="006A7575" w:rsidRPr="002C21B8">
        <w:rPr>
          <w:noProof/>
        </w:rPr>
        <w:t>(Gittus</w:t>
      </w:r>
      <w:r w:rsidR="006A7575" w:rsidRPr="002C21B8">
        <w:rPr>
          <w:i/>
          <w:noProof/>
        </w:rPr>
        <w:t xml:space="preserve"> et al.</w:t>
      </w:r>
      <w:r w:rsidR="006A7575" w:rsidRPr="002C21B8">
        <w:rPr>
          <w:noProof/>
        </w:rPr>
        <w:t>, 2025a)</w:t>
      </w:r>
      <w:r w:rsidR="006A7575" w:rsidRPr="002C21B8">
        <w:fldChar w:fldCharType="end"/>
      </w:r>
      <w:r w:rsidRPr="002C21B8">
        <w:t>.</w:t>
      </w:r>
    </w:p>
    <w:p w14:paraId="298BF62F" w14:textId="7AE814F7" w:rsidR="00EC31D3" w:rsidRPr="002C21B8" w:rsidRDefault="00EC31D3" w:rsidP="00EC31D3">
      <w:r w:rsidRPr="002C21B8">
        <w:t xml:space="preserve">Despite proven effects and published national guidelines, prescribing rates </w:t>
      </w:r>
      <w:r w:rsidR="00F22652" w:rsidRPr="002C21B8">
        <w:t xml:space="preserve">appear to </w:t>
      </w:r>
      <w:r w:rsidRPr="002C21B8">
        <w:t>vary across UK kidney centres</w:t>
      </w:r>
      <w:r w:rsidR="00BE0709" w:rsidRPr="002C21B8">
        <w:t>,</w:t>
      </w:r>
      <w:r w:rsidRPr="002C21B8">
        <w:t xml:space="preserve"> which cannot be fully explained by patient case-mix</w:t>
      </w:r>
      <w:r w:rsidR="00330398" w:rsidRPr="002C21B8">
        <w:t xml:space="preserve"> </w:t>
      </w:r>
      <w:r w:rsidR="00330398" w:rsidRPr="002C21B8">
        <w:fldChar w:fldCharType="begin"/>
      </w:r>
      <w:r w:rsidR="00752F2B" w:rsidRPr="002C21B8">
        <w:instrText xml:space="preserve"> ADDIN EN.CITE &lt;EndNote&gt;&lt;Cite&gt;&lt;Author&gt;Gittus&lt;/Author&gt;&lt;Year&gt;2023&lt;/Year&gt;&lt;RecNum&gt;125286&lt;/RecNum&gt;&lt;DisplayText&gt;(Gittus&lt;style face="italic"&gt; et al.&lt;/style&gt;, 2023b)&lt;/DisplayText&gt;&lt;record&gt;&lt;rec-number&gt;125286&lt;/rec-number&gt;&lt;foreign-keys&gt;&lt;key app="EN" db-id="xpefzwa5hf9dt2ea9fax95x7xvxz90v09dtf" timestamp="1774363698"&gt;125286&lt;/key&gt;&lt;/foreign-keys&gt;&lt;ref-type name="Journal Article"&gt;17&lt;/ref-type&gt;&lt;contributors&gt;&lt;authors&gt;&lt;author&gt;Gittus, M.&lt;/author&gt;&lt;author&gt;Downward, L.&lt;/author&gt;&lt;author&gt;Pitcher, D.&lt;/author&gt;&lt;author&gt;Fotheringham, J.&lt;/author&gt;&lt;/authors&gt;&lt;/contributors&gt;&lt;titles&gt;&lt;title&gt;Centre-level variation in tolvaptan prescrbing for ADPKD in the UK&lt;/title&gt;&lt;secondary-title&gt;UK Kidney Week 2023&lt;/secondary-title&gt;&lt;/titles&gt;&lt;dates&gt;&lt;year&gt;2023&lt;/year&gt;&lt;/dates&gt;&lt;urls&gt;&lt;/urls&gt;&lt;/record&gt;&lt;/Cite&gt;&lt;/EndNote&gt;</w:instrText>
      </w:r>
      <w:r w:rsidR="00330398" w:rsidRPr="002C21B8">
        <w:fldChar w:fldCharType="separate"/>
      </w:r>
      <w:r w:rsidR="00330398" w:rsidRPr="002C21B8">
        <w:rPr>
          <w:noProof/>
        </w:rPr>
        <w:t>(Gittus</w:t>
      </w:r>
      <w:r w:rsidR="00330398" w:rsidRPr="002C21B8">
        <w:rPr>
          <w:i/>
          <w:noProof/>
        </w:rPr>
        <w:t xml:space="preserve"> et al.</w:t>
      </w:r>
      <w:r w:rsidR="00330398" w:rsidRPr="002C21B8">
        <w:rPr>
          <w:noProof/>
        </w:rPr>
        <w:t>, 2023b)</w:t>
      </w:r>
      <w:r w:rsidR="00330398" w:rsidRPr="002C21B8">
        <w:fldChar w:fldCharType="end"/>
      </w:r>
      <w:r w:rsidRPr="002C21B8">
        <w:t>. Such variation raises the possibility of inconsistent implementation of tolvaptan care pathways across centres</w:t>
      </w:r>
      <w:r w:rsidR="00BE0709" w:rsidRPr="002C21B8">
        <w:t>,</w:t>
      </w:r>
      <w:r w:rsidRPr="002C21B8">
        <w:t xml:space="preserve"> which may result in some patients </w:t>
      </w:r>
      <w:r w:rsidR="00BE0709" w:rsidRPr="002C21B8">
        <w:t>who</w:t>
      </w:r>
      <w:r w:rsidRPr="002C21B8">
        <w:t xml:space="preserve"> meet eligibility not receiving i</w:t>
      </w:r>
      <w:r w:rsidR="00E32F9E" w:rsidRPr="002C21B8">
        <w:t>t</w:t>
      </w:r>
      <w:r w:rsidRPr="002C21B8">
        <w:t>, risking faster disease progression, while others may be exposed to treatment-related harms without clear benefit</w:t>
      </w:r>
      <w:r w:rsidR="00C84A5C" w:rsidRPr="002C21B8">
        <w:t>s</w:t>
      </w:r>
      <w:r w:rsidRPr="002C21B8">
        <w:t>.</w:t>
      </w:r>
    </w:p>
    <w:p w14:paraId="64FA5E1E" w14:textId="6353A2AA" w:rsidR="005E4945" w:rsidRPr="002C21B8" w:rsidRDefault="00FE3EB6" w:rsidP="005E4945">
      <w:r w:rsidRPr="002C21B8">
        <w:t xml:space="preserve">Implementation </w:t>
      </w:r>
      <w:r w:rsidR="0018580A" w:rsidRPr="002C21B8">
        <w:t xml:space="preserve">research </w:t>
      </w:r>
      <w:r w:rsidRPr="002C21B8">
        <w:t>recognises that variation in how interventions are delivered across settings can affect outcomes</w:t>
      </w:r>
      <w:r w:rsidR="0018580A" w:rsidRPr="002C21B8">
        <w:t xml:space="preserve"> </w:t>
      </w:r>
      <w:r w:rsidR="0018580A" w:rsidRPr="002C21B8">
        <w:fldChar w:fldCharType="begin">
          <w:fldData xml:space="preserve">PEVuZE5vdGU+PENpdGU+PEF1dGhvcj5HcmVlbmhhbGdoPC9BdXRob3I+PFllYXI+MjAwNDwvWWVh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</w:fldData>
        </w:fldChar>
      </w:r>
      <w:r w:rsidR="0018580A" w:rsidRPr="002C21B8">
        <w:instrText xml:space="preserve"> ADDIN EN.CITE </w:instrText>
      </w:r>
      <w:r w:rsidR="0018580A" w:rsidRPr="002C21B8">
        <w:fldChar w:fldCharType="begin">
          <w:fldData xml:space="preserve">PEVuZE5vdGU+PENpdGU+PEF1dGhvcj5HcmVlbmhhbGdoPC9BdXRob3I+PFllYXI+MjAwNDwvWWVh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</w:fldData>
        </w:fldChar>
      </w:r>
      <w:r w:rsidR="0018580A" w:rsidRPr="002C21B8">
        <w:instrText xml:space="preserve"> ADDIN EN.CITE.DATA </w:instrText>
      </w:r>
      <w:r w:rsidR="0018580A" w:rsidRPr="002C21B8">
        <w:fldChar w:fldCharType="end"/>
      </w:r>
      <w:r w:rsidR="0018580A" w:rsidRPr="002C21B8">
        <w:fldChar w:fldCharType="separate"/>
      </w:r>
      <w:r w:rsidR="0018580A" w:rsidRPr="002C21B8">
        <w:rPr>
          <w:noProof/>
        </w:rPr>
        <w:t>(Greenhalgh</w:t>
      </w:r>
      <w:r w:rsidR="0018580A" w:rsidRPr="002C21B8">
        <w:rPr>
          <w:i/>
          <w:noProof/>
        </w:rPr>
        <w:t xml:space="preserve"> et al.</w:t>
      </w:r>
      <w:r w:rsidR="0018580A" w:rsidRPr="002C21B8">
        <w:rPr>
          <w:noProof/>
        </w:rPr>
        <w:t>, 2004; Greenhalgh</w:t>
      </w:r>
      <w:r w:rsidR="0018580A" w:rsidRPr="002C21B8">
        <w:rPr>
          <w:i/>
          <w:noProof/>
        </w:rPr>
        <w:t xml:space="preserve"> et al.</w:t>
      </w:r>
      <w:r w:rsidR="0018580A" w:rsidRPr="002C21B8">
        <w:rPr>
          <w:noProof/>
        </w:rPr>
        <w:t>, 2017)</w:t>
      </w:r>
      <w:r w:rsidR="0018580A" w:rsidRPr="002C21B8">
        <w:fldChar w:fldCharType="end"/>
      </w:r>
      <w:r w:rsidR="00EC31D3" w:rsidRPr="002C21B8">
        <w:t xml:space="preserve">. The Consolidated Framework for Implementation Research (CFIR) provides a structured approach to </w:t>
      </w:r>
      <w:r w:rsidR="00814BA4" w:rsidRPr="002C21B8">
        <w:t>examine</w:t>
      </w:r>
      <w:r w:rsidR="00970C45" w:rsidRPr="002C21B8">
        <w:t xml:space="preserve"> </w:t>
      </w:r>
      <w:r w:rsidR="00EC31D3" w:rsidRPr="002C21B8">
        <w:t xml:space="preserve">factors </w:t>
      </w:r>
      <w:r w:rsidR="00814BA4" w:rsidRPr="002C21B8">
        <w:t>influencing implementation</w:t>
      </w:r>
      <w:r w:rsidR="00EC31D3" w:rsidRPr="002C21B8">
        <w:t xml:space="preserve"> </w:t>
      </w:r>
      <w:r w:rsidR="00970C45" w:rsidRPr="002C21B8">
        <w:t xml:space="preserve">that can lead to variation in practice </w:t>
      </w:r>
      <w:r w:rsidR="00EC31D3" w:rsidRPr="002C21B8">
        <w:fldChar w:fldCharType="begin"/>
      </w:r>
      <w:r w:rsidR="005C4289" w:rsidRPr="002C21B8">
        <w:instrText xml:space="preserve"> ADDIN EN.CITE &lt;EndNote&gt;&lt;Cite&gt;&lt;Author&gt;Damschroder&lt;/Author&gt;&lt;Year&gt;2022&lt;/Year&gt;&lt;RecNum&gt;125189&lt;/RecNum&gt;&lt;DisplayText&gt;(Damschroder&lt;style face="italic"&gt; et al.&lt;/style&gt;, 2022)&lt;/DisplayText&gt;&lt;record&gt;&lt;rec-number&gt;125189&lt;/rec-number&gt;&lt;foreign-keys&gt;&lt;key app="EN" db-id="xpefzwa5hf9dt2ea9fax95x7xvxz90v09dtf" timestamp="1769454180"&gt;125189&lt;/key&gt;&lt;/foreign-keys&gt;&lt;ref-type name="Journal Article"&gt;17&lt;/ref-type&gt;&lt;contributors&gt;&lt;authors&gt;&lt;author&gt;Damschroder, Laura J&lt;/author&gt;&lt;author&gt;Reardon, Caitlin M&lt;/author&gt;&lt;author&gt;Widerquist, Marilla A Opra&lt;/author&gt;&lt;author&gt;Lowery, Julie&lt;/author&gt;&lt;/authors&gt;&lt;/contributors&gt;&lt;titles&gt;&lt;title&gt;The updated Consolidated Framework for Implementation Research based on user feedback&lt;/title&gt;&lt;secondary-title&gt;Implementation Science&lt;/secondary-title&gt;&lt;/titles&gt;&lt;periodical&gt;&lt;full-title&gt;Implementation Science&lt;/full-title&gt;&lt;/periodical&gt;&lt;pages&gt;75&lt;/pages&gt;&lt;volume&gt;17&lt;/volume&gt;&lt;number&gt;1&lt;/number&gt;&lt;dates&gt;&lt;year&gt;2022&lt;/year&gt;&lt;/dates&gt;&lt;isbn&gt;1748-5908&lt;/isbn&gt;&lt;urls&gt;&lt;/urls&gt;&lt;/record&gt;&lt;/Cite&gt;&lt;/EndNote&gt;</w:instrText>
      </w:r>
      <w:r w:rsidR="00EC31D3" w:rsidRPr="002C21B8">
        <w:fldChar w:fldCharType="separate"/>
      </w:r>
      <w:r w:rsidR="005C4289" w:rsidRPr="002C21B8">
        <w:rPr>
          <w:noProof/>
        </w:rPr>
        <w:t>(Damschroder</w:t>
      </w:r>
      <w:r w:rsidR="005C4289" w:rsidRPr="002C21B8">
        <w:rPr>
          <w:i/>
          <w:noProof/>
        </w:rPr>
        <w:t xml:space="preserve"> et al.</w:t>
      </w:r>
      <w:r w:rsidR="005C4289" w:rsidRPr="002C21B8">
        <w:rPr>
          <w:noProof/>
        </w:rPr>
        <w:t>, 2022)</w:t>
      </w:r>
      <w:r w:rsidR="00EC31D3" w:rsidRPr="002C21B8">
        <w:fldChar w:fldCharType="end"/>
      </w:r>
      <w:r w:rsidR="00EC31D3" w:rsidRPr="002C21B8">
        <w:t xml:space="preserve">. This study aims to explore how tolvaptan care pathways were implemented </w:t>
      </w:r>
      <w:r w:rsidR="00814BA4" w:rsidRPr="002C21B8">
        <w:t xml:space="preserve">across </w:t>
      </w:r>
      <w:r w:rsidR="00EC31D3" w:rsidRPr="002C21B8">
        <w:t>UK</w:t>
      </w:r>
      <w:r w:rsidR="00814BA4" w:rsidRPr="002C21B8">
        <w:t xml:space="preserve"> kidney centres</w:t>
      </w:r>
      <w:r w:rsidR="00EC31D3" w:rsidRPr="002C21B8">
        <w:t xml:space="preserve"> and how this</w:t>
      </w:r>
      <w:r w:rsidR="0095478E" w:rsidRPr="002C21B8">
        <w:t xml:space="preserve"> </w:t>
      </w:r>
      <w:r w:rsidR="00814BA4" w:rsidRPr="002C21B8">
        <w:t xml:space="preserve">may relate to </w:t>
      </w:r>
      <w:r w:rsidR="00EC31D3" w:rsidRPr="002C21B8">
        <w:t>variation in prescribing practices.</w:t>
      </w:r>
      <w:bookmarkStart w:id="170" w:name="_Toc213230696"/>
      <w:r w:rsidR="005E4945" w:rsidRPr="002C21B8">
        <w:rPr>
          <w:b/>
          <w:bCs/>
          <w:sz w:val="28"/>
          <w:szCs w:val="28"/>
        </w:rPr>
        <w:br w:type="page"/>
      </w:r>
    </w:p>
    <w:p w14:paraId="1FBB789C" w14:textId="0611691E" w:rsidR="0089548A" w:rsidRPr="002C21B8" w:rsidRDefault="0089548A" w:rsidP="0089548A">
      <w:pPr>
        <w:spacing w:before="240" w:after="0"/>
        <w:rPr>
          <w:b/>
          <w:bCs/>
          <w:sz w:val="28"/>
          <w:szCs w:val="28"/>
        </w:rPr>
      </w:pPr>
      <w:r w:rsidRPr="002C21B8">
        <w:rPr>
          <w:b/>
          <w:bCs/>
          <w:sz w:val="28"/>
          <w:szCs w:val="28"/>
        </w:rPr>
        <w:t>Methods</w:t>
      </w:r>
      <w:bookmarkEnd w:id="170"/>
    </w:p>
    <w:p w14:paraId="760EB13D" w14:textId="77777777" w:rsidR="0089548A" w:rsidRPr="002C21B8" w:rsidRDefault="0089548A" w:rsidP="004D76F5">
      <w:pPr>
        <w:spacing w:after="0"/>
        <w:rPr>
          <w:b/>
          <w:bCs/>
          <w:sz w:val="24"/>
          <w:szCs w:val="24"/>
        </w:rPr>
      </w:pPr>
      <w:r w:rsidRPr="002C21B8">
        <w:rPr>
          <w:b/>
          <w:bCs/>
          <w:sz w:val="24"/>
          <w:szCs w:val="24"/>
        </w:rPr>
        <w:t>Study design</w:t>
      </w:r>
    </w:p>
    <w:p w14:paraId="2CB276AF" w14:textId="2DDADE86" w:rsidR="0089548A" w:rsidRPr="002C21B8" w:rsidRDefault="00625BBC" w:rsidP="0089548A">
      <w:r w:rsidRPr="002C21B8">
        <w:t xml:space="preserve">The </w:t>
      </w:r>
      <w:r w:rsidR="0089548A" w:rsidRPr="002C21B8">
        <w:t xml:space="preserve">multiple case study explored how tolvaptan care pathways were implemented </w:t>
      </w:r>
      <w:r w:rsidRPr="002C21B8">
        <w:t xml:space="preserve">across </w:t>
      </w:r>
      <w:r w:rsidR="0089548A" w:rsidRPr="002C21B8">
        <w:t xml:space="preserve">NHS kidney centres, identifying determinants of successful adoption and differences that might influence prescribing outcomes. Consistent with </w:t>
      </w:r>
      <w:r w:rsidR="0095478E" w:rsidRPr="002C21B8">
        <w:t xml:space="preserve">the </w:t>
      </w:r>
      <w:r w:rsidR="0089548A" w:rsidRPr="002C21B8">
        <w:t>approach to multiple case studies</w:t>
      </w:r>
      <w:r w:rsidR="0095478E" w:rsidRPr="002C21B8">
        <w:t xml:space="preserve"> described by </w:t>
      </w:r>
      <w:r w:rsidR="0095478E" w:rsidRPr="002C21B8">
        <w:fldChar w:fldCharType="begin"/>
      </w:r>
      <w:r w:rsidR="0060457F" w:rsidRPr="002C21B8">
        <w:instrText xml:space="preserve"> ADDIN EN.CITE &lt;EndNote&gt;&lt;Cite AuthorYear="1"&gt;&lt;Author&gt;Yin&lt;/Author&gt;&lt;Year&gt;2018&lt;/Year&gt;&lt;RecNum&gt;5200&lt;/RecNum&gt;&lt;DisplayText&gt;Yin (2018)&lt;/DisplayText&gt;&lt;record&gt;&lt;rec-number&gt;5200&lt;/rec-number&gt;&lt;foreign-keys&gt;&lt;key app="EN" db-id="xpefzwa5hf9dt2ea9fax95x7xvxz90v09dtf" timestamp="1700667319"&gt;5200&lt;/key&gt;&lt;/foreign-keys&gt;&lt;ref-type name="Book"&gt;6&lt;/ref-type&gt;&lt;contributors&gt;&lt;authors&gt;&lt;author&gt;Yin, Robert K&lt;/author&gt;&lt;/authors&gt;&lt;/contributors&gt;&lt;titles&gt;&lt;title&gt;Case study research and applications&lt;/title&gt;&lt;/titles&gt;&lt;volume&gt;6&lt;/volume&gt;&lt;section&gt;1-352&lt;/section&gt;&lt;dates&gt;&lt;year&gt;2018&lt;/year&gt;&lt;/dates&gt;&lt;pub-location&gt;California, USA&lt;/pub-location&gt;&lt;publisher&gt;SAGE Publications Ltd&lt;/publisher&gt;&lt;urls&gt;&lt;/urls&gt;&lt;/record&gt;&lt;/Cite&gt;&lt;/EndNote&gt;</w:instrText>
      </w:r>
      <w:r w:rsidR="0095478E" w:rsidRPr="002C21B8">
        <w:fldChar w:fldCharType="separate"/>
      </w:r>
      <w:r w:rsidR="0095478E" w:rsidRPr="002C21B8">
        <w:rPr>
          <w:noProof/>
        </w:rPr>
        <w:t>Yin (2018)</w:t>
      </w:r>
      <w:r w:rsidR="0095478E" w:rsidRPr="002C21B8">
        <w:fldChar w:fldCharType="end"/>
      </w:r>
      <w:r w:rsidR="0089548A" w:rsidRPr="002C21B8">
        <w:t xml:space="preserve">, each kidney centre was treated as </w:t>
      </w:r>
      <w:r w:rsidR="004D36C3" w:rsidRPr="002C21B8">
        <w:t>a case</w:t>
      </w:r>
      <w:r w:rsidR="0089548A" w:rsidRPr="002C21B8">
        <w:t xml:space="preserve">. The unit of analysis was </w:t>
      </w:r>
      <w:r w:rsidR="00462D42" w:rsidRPr="002C21B8">
        <w:t xml:space="preserve">the kidney centre. Within each case, </w:t>
      </w:r>
      <w:r w:rsidR="00172758" w:rsidRPr="002C21B8">
        <w:t>attention was given to</w:t>
      </w:r>
      <w:r w:rsidR="00462D42" w:rsidRPr="002C21B8">
        <w:t xml:space="preserve"> the implementation of the ‘tolvaptan care pathway’</w:t>
      </w:r>
      <w:r w:rsidR="008E55D2" w:rsidRPr="002C21B8">
        <w:t>,</w:t>
      </w:r>
      <w:r w:rsidR="00462D42" w:rsidRPr="002C21B8">
        <w:t xml:space="preserve"> </w:t>
      </w:r>
      <w:r w:rsidR="00FB0272" w:rsidRPr="002C21B8">
        <w:t>including</w:t>
      </w:r>
      <w:r w:rsidR="00462D42" w:rsidRPr="002C21B8">
        <w:t xml:space="preserve"> how kidney centres identify eligible patients, assess eligibility, initiate prescribing and monitor patients in practice. </w:t>
      </w:r>
      <w:r w:rsidR="0089548A" w:rsidRPr="002C21B8">
        <w:t xml:space="preserve">Our approach aligned with </w:t>
      </w:r>
      <w:r w:rsidR="00B4390D" w:rsidRPr="002C21B8">
        <w:t>recently publish</w:t>
      </w:r>
      <w:r w:rsidR="0089548A" w:rsidRPr="002C21B8">
        <w:t xml:space="preserve">ed </w:t>
      </w:r>
      <w:r w:rsidR="00A811BC" w:rsidRPr="002C21B8">
        <w:t xml:space="preserve">applied health research </w:t>
      </w:r>
      <w:r w:rsidR="0089548A" w:rsidRPr="002C21B8">
        <w:t>guidance o</w:t>
      </w:r>
      <w:r w:rsidR="003546BE" w:rsidRPr="002C21B8">
        <w:t>n conducting an</w:t>
      </w:r>
      <w:r w:rsidR="0089548A" w:rsidRPr="002C21B8">
        <w:t xml:space="preserve"> implementation </w:t>
      </w:r>
      <w:r w:rsidR="003546BE" w:rsidRPr="002C21B8">
        <w:t xml:space="preserve">science </w:t>
      </w:r>
      <w:r w:rsidR="0089548A" w:rsidRPr="002C21B8">
        <w:t>case stud</w:t>
      </w:r>
      <w:r w:rsidR="003546BE" w:rsidRPr="002C21B8">
        <w:t>y</w:t>
      </w:r>
      <w:r w:rsidR="0089548A" w:rsidRPr="002C21B8">
        <w:t xml:space="preserve"> </w:t>
      </w:r>
      <w:r w:rsidR="0089548A" w:rsidRPr="002C21B8">
        <w:fldChar w:fldCharType="begin"/>
      </w:r>
      <w:r w:rsidR="00763983" w:rsidRPr="002C21B8">
        <w:instrText xml:space="preserve"> ADDIN EN.CITE &lt;EndNote&gt;&lt;Cite&gt;&lt;Author&gt;Greenhalgh&lt;/Author&gt;&lt;Year&gt;2025&lt;/Year&gt;&lt;RecNum&gt;125287&lt;/RecNum&gt;&lt;DisplayText&gt;(Greenhalgh, 2025)&lt;/DisplayText&gt;&lt;record&gt;&lt;rec-number&gt;125287&lt;/rec-number&gt;&lt;foreign-keys&gt;&lt;key app="EN" db-id="xpefzwa5hf9dt2ea9fax95x7xvxz90v09dtf" timestamp="1774364060"&gt;125287&lt;/key&gt;&lt;/foreign-keys&gt;&lt;ref-type name="Journal Article"&gt;17&lt;/ref-type&gt;&lt;contributors&gt;&lt;authors&gt;&lt;author&gt;Greenhalgh, Trisha&lt;/author&gt;&lt;/authors&gt;&lt;/contributors&gt;&lt;titles&gt;&lt;title&gt;Case studies: a guide for researchers, educators, and implementers&lt;/title&gt;&lt;secondary-title&gt;BMJ Medicine&lt;/secondary-title&gt;&lt;/titles&gt;&lt;periodical&gt;&lt;full-title&gt;BMJ Medicine&lt;/full-title&gt;&lt;/periodical&gt;&lt;pages&gt;e001623&lt;/pages&gt;&lt;volume&gt;4&lt;/volume&gt;&lt;number&gt;1&lt;/number&gt;&lt;dates&gt;&lt;year&gt;2025&lt;/year&gt;&lt;/dates&gt;&lt;urls&gt;&lt;/urls&gt;&lt;/record&gt;&lt;/Cite&gt;&lt;/EndNote&gt;</w:instrText>
      </w:r>
      <w:r w:rsidR="0089548A" w:rsidRPr="002C21B8">
        <w:fldChar w:fldCharType="separate"/>
      </w:r>
      <w:r w:rsidR="005E4945" w:rsidRPr="002C21B8">
        <w:rPr>
          <w:noProof/>
        </w:rPr>
        <w:t>(Greenhalgh, 2025)</w:t>
      </w:r>
      <w:r w:rsidR="0089548A" w:rsidRPr="002C21B8">
        <w:fldChar w:fldCharType="end"/>
      </w:r>
      <w:r w:rsidR="0089548A" w:rsidRPr="002C21B8">
        <w:t>.</w:t>
      </w:r>
    </w:p>
    <w:p w14:paraId="557FE546" w14:textId="2F4A0FCC" w:rsidR="0089548A" w:rsidRPr="002C21B8" w:rsidRDefault="004D36C3" w:rsidP="0089548A">
      <w:r w:rsidRPr="002C21B8">
        <w:t>The study adopted</w:t>
      </w:r>
      <w:r w:rsidR="0089548A" w:rsidRPr="002C21B8">
        <w:t xml:space="preserve"> a critical realist perspective</w:t>
      </w:r>
      <w:r w:rsidR="00814BA4" w:rsidRPr="002C21B8">
        <w:t xml:space="preserve"> </w:t>
      </w:r>
      <w:r w:rsidR="002E5784" w:rsidRPr="002C21B8">
        <w:fldChar w:fldCharType="begin"/>
      </w:r>
      <w:r w:rsidR="002E5784" w:rsidRPr="002C21B8">
        <w:instrText xml:space="preserve"> ADDIN EN.CITE &lt;EndNote&gt;&lt;Cite&gt;&lt;Author&gt;Archer&lt;/Author&gt;&lt;Year&gt;1999&lt;/Year&gt;&lt;RecNum&gt;125377&lt;/RecNum&gt;&lt;DisplayText&gt;(Archer&lt;style face="italic"&gt; et al.&lt;/style&gt;, 1999; Bhaskar, 2013)&lt;/DisplayText&gt;&lt;record&gt;&lt;rec-number&gt;125377&lt;/rec-number&gt;&lt;foreign-keys&gt;&lt;key app="EN" db-id="xpefzwa5hf9dt2ea9fax95x7xvxz90v09dtf" timestamp="1775461796"&gt;125377&lt;/key&gt;&lt;/foreign-keys&gt;&lt;ref-type name="Journal Article"&gt;17&lt;/ref-type&gt;&lt;contributors&gt;&lt;authors&gt;&lt;author&gt;Archer, Margaret&lt;/author&gt;&lt;author&gt;Sharp, Rachel&lt;/author&gt;&lt;author&gt;Stones, Rob&lt;/author&gt;&lt;author&gt;Woodiwiss, Tony&lt;/author&gt;&lt;/authors&gt;&lt;/contributors&gt;&lt;titles&gt;&lt;title&gt;Critical realism and research methodology&lt;/title&gt;&lt;secondary-title&gt;Alethia&lt;/secondary-title&gt;&lt;/titles&gt;&lt;periodical&gt;&lt;full-title&gt;Alethia&lt;/full-title&gt;&lt;/periodical&gt;&lt;pages&gt;12-16&lt;/pages&gt;&lt;volume&gt;2&lt;/volume&gt;&lt;number&gt;1&lt;/number&gt;&lt;dates&gt;&lt;year&gt;1999&lt;/year&gt;&lt;/dates&gt;&lt;isbn&gt;0711-3625&lt;/isbn&gt;&lt;urls&gt;&lt;/urls&gt;&lt;/record&gt;&lt;/Cite&gt;&lt;Cite&gt;&lt;Author&gt;Bhaskar&lt;/Author&gt;&lt;Year&gt;2013&lt;/Year&gt;&lt;RecNum&gt;124968&lt;/RecNum&gt;&lt;record&gt;&lt;rec-number&gt;124968&lt;/rec-number&gt;&lt;foreign-keys&gt;&lt;key app="EN" db-id="xpefzwa5hf9dt2ea9fax95x7xvxz90v09dtf" timestamp="1754556486"&gt;124968&lt;/key&gt;&lt;/foreign-keys&gt;&lt;ref-type name="Book"&gt;6&lt;/ref-type&gt;&lt;contributors&gt;&lt;authors&gt;&lt;author&gt;Bhaskar, Roy&lt;/author&gt;&lt;/authors&gt;&lt;/contributors&gt;&lt;titles&gt;&lt;title&gt;A realist theory of science&lt;/title&gt;&lt;/titles&gt;&lt;section&gt;1-304&lt;/section&gt;&lt;dates&gt;&lt;year&gt;2013&lt;/year&gt;&lt;/dates&gt;&lt;pub-location&gt;London, UK&lt;/pub-location&gt;&lt;publisher&gt;Routledge&lt;/publisher&gt;&lt;isbn&gt;020309073X&lt;/isbn&gt;&lt;urls&gt;&lt;/urls&gt;&lt;/record&gt;&lt;/Cite&gt;&lt;/EndNote&gt;</w:instrText>
      </w:r>
      <w:r w:rsidR="002E5784" w:rsidRPr="002C21B8">
        <w:fldChar w:fldCharType="separate"/>
      </w:r>
      <w:r w:rsidR="002E5784" w:rsidRPr="002C21B8">
        <w:rPr>
          <w:noProof/>
        </w:rPr>
        <w:t>(Archer</w:t>
      </w:r>
      <w:r w:rsidR="002E5784" w:rsidRPr="002C21B8">
        <w:rPr>
          <w:i/>
          <w:noProof/>
        </w:rPr>
        <w:t xml:space="preserve"> et al.</w:t>
      </w:r>
      <w:r w:rsidR="002E5784" w:rsidRPr="002C21B8">
        <w:rPr>
          <w:noProof/>
        </w:rPr>
        <w:t>, 1999; Bhaskar, 2013)</w:t>
      </w:r>
      <w:r w:rsidR="002E5784" w:rsidRPr="002C21B8">
        <w:fldChar w:fldCharType="end"/>
      </w:r>
      <w:r w:rsidR="002E5784" w:rsidRPr="002C21B8">
        <w:t xml:space="preserve">. </w:t>
      </w:r>
      <w:r w:rsidR="0089548A" w:rsidRPr="002C21B8">
        <w:t>Reporting follows the consolidated criteria for reporting qualitative research (COREQ)</w:t>
      </w:r>
      <w:r w:rsidR="00166572" w:rsidRPr="002C21B8">
        <w:t>,</w:t>
      </w:r>
      <w:r w:rsidR="000C7F3A" w:rsidRPr="002C21B8">
        <w:t xml:space="preserve"> which is included in</w:t>
      </w:r>
      <w:r w:rsidR="0089548A" w:rsidRPr="002C21B8">
        <w:t xml:space="preserve"> </w:t>
      </w:r>
      <w:hyperlink w:anchor="_Reporting_checklist_for_1" w:history="1">
        <w:r w:rsidR="002E5784" w:rsidRPr="002C21B8">
          <w:rPr>
            <w:rStyle w:val="Hyperlink"/>
          </w:rPr>
          <w:t>Appendix 8</w:t>
        </w:r>
      </w:hyperlink>
      <w:r w:rsidR="0089548A" w:rsidRPr="002C21B8">
        <w:t xml:space="preserve"> </w:t>
      </w:r>
      <w:r w:rsidR="0089548A" w:rsidRPr="002C21B8">
        <w:fldChar w:fldCharType="begin"/>
      </w:r>
      <w:r w:rsidR="000215B0" w:rsidRPr="002C21B8">
        <w:instrText xml:space="preserve"> ADDIN EN.CITE &lt;EndNote&gt;&lt;Cite&gt;&lt;Author&gt;Tong&lt;/Author&gt;&lt;Year&gt;2007&lt;/Year&gt;&lt;RecNum&gt;124905&lt;/RecNum&gt;&lt;DisplayText&gt;(Tong, Sainsbury and Craig, 2007)&lt;/DisplayText&gt;&lt;record&gt;&lt;rec-number&gt;124905&lt;/rec-number&gt;&lt;foreign-keys&gt;&lt;key app="EN" db-id="xpefzwa5hf9dt2ea9fax95x7xvxz90v09dtf" timestamp="1749108841"&gt;124905&lt;/key&gt;&lt;/foreign-keys&gt;&lt;ref-type name="Journal Article"&gt;17&lt;/ref-type&gt;&lt;contributors&gt;&lt;authors&gt;&lt;author&gt;Tong, A.&lt;/author&gt;&lt;author&gt;Sainsbury, P.&lt;/author&gt;&lt;author&gt;Craig, J.&lt;/author&gt;&lt;/authors&gt;&lt;/contributors&gt;&lt;auth-address&gt;School of Public Health, University of Sydney, NSW, Australia. allisont@health.usyd.edu.au&lt;/auth-address&gt;&lt;titles&gt;&lt;title&gt;Consolidated criteria for reporting qualitative research (COREQ): a 32-item checklist for interviews and focus groups&lt;/title&gt;&lt;secondary-title&gt;International Journal of Qualitative Health Care&lt;/secondary-title&gt;&lt;/titles&gt;&lt;periodical&gt;&lt;full-title&gt;International Journal of Qualitative Health Care&lt;/full-title&gt;&lt;/periodical&gt;&lt;pages&gt;349-57&lt;/pages&gt;&lt;volume&gt;19&lt;/volume&gt;&lt;number&gt;6&lt;/number&gt;&lt;edition&gt;20070914&lt;/edition&gt;&lt;keywords&gt;&lt;keyword&gt;Data Collection&lt;/keyword&gt;&lt;keyword&gt;Data Interpretation, Statistical&lt;/keyword&gt;&lt;keyword&gt;Focus Groups/*methods&lt;/keyword&gt;&lt;keyword&gt;Guidelines as Topic&lt;/keyword&gt;&lt;keyword&gt;Health Services Research/standards/statistics &amp;amp; numerical data&lt;/keyword&gt;&lt;keyword&gt;Humans&lt;/keyword&gt;&lt;keyword&gt;Interviews as Topic/*methods&lt;/keyword&gt;&lt;keyword&gt;*Qualitative Research&lt;/keyword&gt;&lt;/keywords&gt;&lt;dates&gt;&lt;year&gt;2007&lt;/year&gt;&lt;pub-dates&gt;&lt;date&gt;Dec&lt;/date&gt;&lt;/pub-dates&gt;&lt;/dates&gt;&lt;isbn&gt;1353-4505 (Print)&amp;#xD;1353-4505&lt;/isbn&gt;&lt;accession-num&gt;17872937&lt;/accession-num&gt;&lt;urls&gt;&lt;/urls&gt;&lt;electronic-resource-num&gt;10.1093/intqhc/mzm042&lt;/electronic-resource-num&gt;&lt;remote-database-provider&gt;NLM&lt;/remote-database-provider&gt;&lt;language&gt;eng&lt;/language&gt;&lt;/record&gt;&lt;/Cite&gt;&lt;/EndNote&gt;</w:instrText>
      </w:r>
      <w:r w:rsidR="0089548A" w:rsidRPr="002C21B8">
        <w:fldChar w:fldCharType="separate"/>
      </w:r>
      <w:r w:rsidR="005E4945" w:rsidRPr="002C21B8">
        <w:rPr>
          <w:noProof/>
        </w:rPr>
        <w:t>(Tong, Sainsbury and Craig, 2007)</w:t>
      </w:r>
      <w:r w:rsidR="0089548A" w:rsidRPr="002C21B8">
        <w:fldChar w:fldCharType="end"/>
      </w:r>
      <w:r w:rsidR="0089548A" w:rsidRPr="002C21B8">
        <w:t>.</w:t>
      </w:r>
    </w:p>
    <w:p w14:paraId="268B9622" w14:textId="77777777" w:rsidR="0089548A" w:rsidRPr="002C21B8" w:rsidRDefault="0089548A" w:rsidP="0089548A">
      <w:pPr>
        <w:spacing w:before="240" w:after="0"/>
        <w:rPr>
          <w:b/>
          <w:bCs/>
          <w:sz w:val="24"/>
          <w:szCs w:val="24"/>
        </w:rPr>
      </w:pPr>
      <w:r w:rsidRPr="002C21B8">
        <w:rPr>
          <w:b/>
          <w:bCs/>
          <w:sz w:val="24"/>
          <w:szCs w:val="24"/>
        </w:rPr>
        <w:t>Research team and reflexivity</w:t>
      </w:r>
    </w:p>
    <w:p w14:paraId="540B58D0" w14:textId="00889FE6" w:rsidR="0089548A" w:rsidRPr="002C21B8" w:rsidRDefault="0089548A" w:rsidP="0089548A">
      <w:r w:rsidRPr="002C21B8">
        <w:t>Data collection and analysis were conducted by the lead researcher (MG), a male academic kidney doctor with experience in ADPKD and qualitative research. The wider team of clinical (J</w:t>
      </w:r>
      <w:r w:rsidR="001E5B46" w:rsidRPr="002C21B8">
        <w:t xml:space="preserve">F, </w:t>
      </w:r>
      <w:r w:rsidR="00853455" w:rsidRPr="002C21B8">
        <w:t>ACMO</w:t>
      </w:r>
      <w:r w:rsidRPr="002C21B8">
        <w:t>) and mixed-methods researchers (AOC) contributed to</w:t>
      </w:r>
      <w:r w:rsidR="00166572" w:rsidRPr="002C21B8">
        <w:t xml:space="preserve"> the</w:t>
      </w:r>
      <w:r w:rsidRPr="002C21B8">
        <w:t xml:space="preserve"> design, methods and interpretation of findings. MG did not have any prior relationships with participants. The potential influence of MG’s background was </w:t>
      </w:r>
      <w:r w:rsidR="00083ACC" w:rsidRPr="002C21B8">
        <w:t>accounted for</w:t>
      </w:r>
      <w:r w:rsidRPr="002C21B8">
        <w:t xml:space="preserve"> through regular team discussions and considerations of alternative interpretations.</w:t>
      </w:r>
    </w:p>
    <w:p w14:paraId="525B01D2" w14:textId="77777777" w:rsidR="0089548A" w:rsidRPr="002C21B8" w:rsidRDefault="0089548A" w:rsidP="0089548A">
      <w:pPr>
        <w:spacing w:before="240" w:after="0"/>
        <w:rPr>
          <w:b/>
          <w:bCs/>
          <w:sz w:val="24"/>
          <w:szCs w:val="24"/>
        </w:rPr>
      </w:pPr>
      <w:bookmarkStart w:id="171" w:name="_Toc213230697"/>
      <w:r w:rsidRPr="002C21B8">
        <w:rPr>
          <w:b/>
          <w:bCs/>
          <w:sz w:val="24"/>
          <w:szCs w:val="24"/>
        </w:rPr>
        <w:t>Setting</w:t>
      </w:r>
      <w:bookmarkEnd w:id="171"/>
      <w:r w:rsidRPr="002C21B8">
        <w:rPr>
          <w:b/>
          <w:bCs/>
          <w:sz w:val="24"/>
          <w:szCs w:val="24"/>
        </w:rPr>
        <w:t xml:space="preserve"> and case selection</w:t>
      </w:r>
    </w:p>
    <w:p w14:paraId="0861C277" w14:textId="6FA634AB" w:rsidR="0089548A" w:rsidRPr="002C21B8" w:rsidRDefault="0089548A" w:rsidP="0089548A">
      <w:r w:rsidRPr="002C21B8">
        <w:t xml:space="preserve">The NHS is a publicly funded healthcare system in the UK providing universal access to care, free at the point of delivery. Kidney services are typically organised within acute hospitals (called </w:t>
      </w:r>
      <w:r w:rsidR="008D3A14" w:rsidRPr="002C21B8">
        <w:t>t</w:t>
      </w:r>
      <w:r w:rsidRPr="002C21B8">
        <w:t xml:space="preserve">rusts). ADPKD care is delivered by general nephrology teams and/or specialists in ADPKD or genetic kidney diseases. NICE appraises </w:t>
      </w:r>
      <w:r w:rsidR="00B2232B" w:rsidRPr="002C21B8">
        <w:t>medication</w:t>
      </w:r>
      <w:r w:rsidRPr="002C21B8">
        <w:t>s through its technology appraisal programme and issues guidelines on their use in the NHS.</w:t>
      </w:r>
    </w:p>
    <w:p w14:paraId="14C34874" w14:textId="41A849DE" w:rsidR="00EA147C" w:rsidRPr="002C21B8" w:rsidRDefault="0089548A" w:rsidP="0089548A">
      <w:r w:rsidRPr="002C21B8">
        <w:t>Three adult NHS kidney centres were purposively selected from 2016</w:t>
      </w:r>
      <w:r w:rsidR="002A78CA" w:rsidRPr="002C21B8">
        <w:t>–</w:t>
      </w:r>
      <w:r w:rsidRPr="002C21B8">
        <w:t xml:space="preserve">2023 National Registry of </w:t>
      </w:r>
      <w:r w:rsidR="00FF279E" w:rsidRPr="002C21B8">
        <w:t>R</w:t>
      </w:r>
      <w:r w:rsidRPr="002C21B8">
        <w:t xml:space="preserve">are </w:t>
      </w:r>
      <w:r w:rsidR="00FF279E" w:rsidRPr="002C21B8">
        <w:t>K</w:t>
      </w:r>
      <w:r w:rsidRPr="002C21B8">
        <w:t xml:space="preserve">idney </w:t>
      </w:r>
      <w:r w:rsidR="00FF279E" w:rsidRPr="002C21B8">
        <w:t>D</w:t>
      </w:r>
      <w:r w:rsidRPr="002C21B8">
        <w:t>isease</w:t>
      </w:r>
      <w:r w:rsidR="00FF279E" w:rsidRPr="002C21B8">
        <w:t>s</w:t>
      </w:r>
      <w:r w:rsidRPr="002C21B8">
        <w:t xml:space="preserve"> (RaDaR) data to e</w:t>
      </w:r>
      <w:r w:rsidR="00CA3C59" w:rsidRPr="002C21B8">
        <w:t>xplore</w:t>
      </w:r>
      <w:r w:rsidRPr="002C21B8">
        <w:t xml:space="preserve"> variation </w:t>
      </w:r>
      <w:r w:rsidR="00CA3C59" w:rsidRPr="002C21B8">
        <w:t xml:space="preserve">between eligibility criteria for </w:t>
      </w:r>
      <w:r w:rsidR="00EA147C" w:rsidRPr="002C21B8">
        <w:t>tolvaptan and observed initiation across centres</w:t>
      </w:r>
      <w:r w:rsidR="00596929" w:rsidRPr="002C21B8">
        <w:t xml:space="preserve"> </w:t>
      </w:r>
      <w:r w:rsidR="00596929" w:rsidRPr="002C21B8">
        <w:fldChar w:fldCharType="begin"/>
      </w:r>
      <w:r w:rsidR="00752F2B" w:rsidRPr="002C21B8">
        <w:instrText xml:space="preserve"> ADDIN EN.CITE &lt;EndNote&gt;&lt;Cite&gt;&lt;Author&gt;Gittus&lt;/Author&gt;&lt;Year&gt;2023&lt;/Year&gt;&lt;RecNum&gt;125286&lt;/RecNum&gt;&lt;DisplayText&gt;(Gittus&lt;style face="italic"&gt; et al.&lt;/style&gt;, 2023b)&lt;/DisplayText&gt;&lt;record&gt;&lt;rec-number&gt;125286&lt;/rec-number&gt;&lt;foreign-keys&gt;&lt;key app="EN" db-id="xpefzwa5hf9dt2ea9fax95x7xvxz90v09dtf" timestamp="1774363698"&gt;125286&lt;/key&gt;&lt;/foreign-keys&gt;&lt;ref-type name="Journal Article"&gt;17&lt;/ref-type&gt;&lt;contributors&gt;&lt;authors&gt;&lt;author&gt;Gittus, M.&lt;/author&gt;&lt;author&gt;Downward, L.&lt;/author&gt;&lt;author&gt;Pitcher, D.&lt;/author&gt;&lt;author&gt;Fotheringham, J.&lt;/author&gt;&lt;/authors&gt;&lt;/contributors&gt;&lt;titles&gt;&lt;title&gt;Centre-level variation in tolvaptan prescrbing for ADPKD in the UK&lt;/title&gt;&lt;secondary-title&gt;UK Kidney Week 2023&lt;/secondary-title&gt;&lt;/titles&gt;&lt;dates&gt;&lt;year&gt;2023&lt;/year&gt;&lt;/dates&gt;&lt;urls&gt;&lt;/urls&gt;&lt;/record&gt;&lt;/Cite&gt;&lt;/EndNote&gt;</w:instrText>
      </w:r>
      <w:r w:rsidR="00596929" w:rsidRPr="002C21B8">
        <w:fldChar w:fldCharType="separate"/>
      </w:r>
      <w:r w:rsidR="00596929" w:rsidRPr="002C21B8">
        <w:rPr>
          <w:noProof/>
        </w:rPr>
        <w:t>(Gittus</w:t>
      </w:r>
      <w:r w:rsidR="00596929" w:rsidRPr="002C21B8">
        <w:rPr>
          <w:i/>
          <w:noProof/>
        </w:rPr>
        <w:t xml:space="preserve"> et al.</w:t>
      </w:r>
      <w:r w:rsidR="00596929" w:rsidRPr="002C21B8">
        <w:rPr>
          <w:noProof/>
        </w:rPr>
        <w:t>, 2023b)</w:t>
      </w:r>
      <w:r w:rsidR="00596929" w:rsidRPr="002C21B8">
        <w:fldChar w:fldCharType="end"/>
      </w:r>
      <w:r w:rsidR="00EA147C" w:rsidRPr="002C21B8">
        <w:t>. Case selection was informed by quantitative patterns of variation in initiation relative to eligibility status, rather than assessments of clinical appropriateness.</w:t>
      </w:r>
    </w:p>
    <w:p w14:paraId="02B9A72F" w14:textId="467BE7B1" w:rsidR="00EA147C" w:rsidRPr="002C21B8" w:rsidRDefault="00EA147C" w:rsidP="0089548A">
      <w:r w:rsidRPr="002C21B8">
        <w:t xml:space="preserve">Cases 1 and 2 represented centres of differing size that demonstrated </w:t>
      </w:r>
      <w:r w:rsidR="00414104" w:rsidRPr="002C21B8">
        <w:t>lower</w:t>
      </w:r>
      <w:r w:rsidRPr="002C21B8">
        <w:t xml:space="preserve"> </w:t>
      </w:r>
      <w:r w:rsidR="00414104" w:rsidRPr="002C21B8">
        <w:t>non-</w:t>
      </w:r>
      <w:r w:rsidRPr="002C21B8">
        <w:t xml:space="preserve">initiation among eligible patients and </w:t>
      </w:r>
      <w:r w:rsidR="00414104" w:rsidRPr="002C21B8">
        <w:t>lower</w:t>
      </w:r>
      <w:r w:rsidRPr="002C21B8">
        <w:t xml:space="preserve"> initiat</w:t>
      </w:r>
      <w:r w:rsidR="00414104" w:rsidRPr="002C21B8">
        <w:t>ion among</w:t>
      </w:r>
      <w:r w:rsidRPr="002C21B8">
        <w:t xml:space="preserve"> patients </w:t>
      </w:r>
      <w:r w:rsidR="00414104" w:rsidRPr="002C21B8">
        <w:t xml:space="preserve">not </w:t>
      </w:r>
      <w:r w:rsidRPr="002C21B8">
        <w:t xml:space="preserve">meeting eligibility criteria. Case 3 was selected as a contrasting case, with </w:t>
      </w:r>
      <w:r w:rsidR="005705C6" w:rsidRPr="002C21B8">
        <w:t>higher</w:t>
      </w:r>
      <w:r w:rsidRPr="002C21B8">
        <w:t xml:space="preserve"> </w:t>
      </w:r>
      <w:r w:rsidR="005705C6" w:rsidRPr="002C21B8">
        <w:t>non-</w:t>
      </w:r>
      <w:r w:rsidRPr="002C21B8">
        <w:t xml:space="preserve">initiation among eligible patients and a </w:t>
      </w:r>
      <w:r w:rsidR="005705C6" w:rsidRPr="002C21B8">
        <w:t xml:space="preserve">higher initiation among </w:t>
      </w:r>
      <w:r w:rsidRPr="002C21B8">
        <w:t xml:space="preserve">patients </w:t>
      </w:r>
      <w:r w:rsidR="005705C6" w:rsidRPr="002C21B8">
        <w:t xml:space="preserve">not </w:t>
      </w:r>
      <w:r w:rsidRPr="002C21B8">
        <w:t>meeting eligibility criteria.</w:t>
      </w:r>
    </w:p>
    <w:p w14:paraId="7A682292" w14:textId="77777777" w:rsidR="0089548A" w:rsidRPr="002C21B8" w:rsidRDefault="0089548A" w:rsidP="0089548A">
      <w:pPr>
        <w:spacing w:before="240" w:after="0"/>
        <w:rPr>
          <w:b/>
          <w:bCs/>
          <w:sz w:val="24"/>
          <w:szCs w:val="24"/>
        </w:rPr>
      </w:pPr>
      <w:r w:rsidRPr="002C21B8">
        <w:rPr>
          <w:b/>
          <w:bCs/>
          <w:sz w:val="24"/>
          <w:szCs w:val="24"/>
        </w:rPr>
        <w:t>Population and recruitment</w:t>
      </w:r>
    </w:p>
    <w:p w14:paraId="08034390" w14:textId="598D1DFA" w:rsidR="0089548A" w:rsidRPr="002C21B8" w:rsidRDefault="0089548A" w:rsidP="0089548A">
      <w:r w:rsidRPr="002C21B8">
        <w:t xml:space="preserve">The ADPKD </w:t>
      </w:r>
      <w:r w:rsidR="00BB0A58" w:rsidRPr="002C21B8">
        <w:t xml:space="preserve">clinical </w:t>
      </w:r>
      <w:r w:rsidRPr="002C21B8">
        <w:t xml:space="preserve">lead at each kidney centre was approached by email. At each case, purposive sampling was undertaken </w:t>
      </w:r>
      <w:r w:rsidR="000D6BA0" w:rsidRPr="002C21B8">
        <w:t>for</w:t>
      </w:r>
      <w:r w:rsidRPr="002C21B8">
        <w:t xml:space="preserve"> </w:t>
      </w:r>
      <w:r w:rsidR="00226C78" w:rsidRPr="002C21B8">
        <w:t>clinicians</w:t>
      </w:r>
      <w:r w:rsidRPr="002C21B8">
        <w:t xml:space="preserve"> involved in ADPKD care in qualitative interviews. Clinics </w:t>
      </w:r>
      <w:r w:rsidR="00C045DB" w:rsidRPr="002C21B8">
        <w:t xml:space="preserve">conducted </w:t>
      </w:r>
      <w:r w:rsidRPr="002C21B8">
        <w:t xml:space="preserve">by these </w:t>
      </w:r>
      <w:r w:rsidR="00226C78" w:rsidRPr="002C21B8">
        <w:t>clinicians</w:t>
      </w:r>
      <w:r w:rsidRPr="002C21B8">
        <w:t xml:space="preserve"> were selected for direct observation </w:t>
      </w:r>
      <w:r w:rsidRPr="002C21B8">
        <w:fldChar w:fldCharType="begin"/>
      </w:r>
      <w:r w:rsidR="0060457F" w:rsidRPr="002C21B8">
        <w:instrText xml:space="preserve"> ADDIN EN.CITE &lt;EndNote&gt;&lt;Cite&gt;&lt;Author&gt;Patton&lt;/Author&gt;&lt;Year&gt;1990&lt;/Year&gt;&lt;RecNum&gt;125192&lt;/RecNum&gt;&lt;DisplayText&gt;(Patton, 1990; Yin, 2018)&lt;/DisplayText&gt;&lt;record&gt;&lt;rec-number&gt;125192&lt;/rec-number&gt;&lt;foreign-keys&gt;&lt;key app="EN" db-id="xpefzwa5hf9dt2ea9fax95x7xvxz90v09dtf" timestamp="1770627895"&gt;125192&lt;/key&gt;&lt;/foreign-keys&gt;&lt;ref-type name="Book"&gt;6&lt;/ref-type&gt;&lt;contributors&gt;&lt;authors&gt;&lt;author&gt;Patton, Michael Quinn&lt;/author&gt;&lt;/authors&gt;&lt;/contributors&gt;&lt;titles&gt;&lt;title&gt;Qualitative evaluation and research methods&lt;/title&gt;&lt;/titles&gt;&lt;section&gt;1-532&lt;/section&gt;&lt;dates&gt;&lt;year&gt;1990&lt;/year&gt;&lt;/dates&gt;&lt;pub-location&gt;London, UK&lt;/pub-location&gt;&lt;publisher&gt;SAGE Publications Ltd&lt;/publisher&gt;&lt;isbn&gt;0803937792&lt;/isbn&gt;&lt;urls&gt;&lt;/urls&gt;&lt;/record&gt;&lt;/Cite&gt;&lt;Cite&gt;&lt;Author&gt;Yin&lt;/Author&gt;&lt;Year&gt;2018&lt;/Year&gt;&lt;RecNum&gt;125069&lt;/RecNum&gt;&lt;record&gt;&lt;rec-number&gt;125069&lt;/rec-number&gt;&lt;foreign-keys&gt;&lt;key app="EN" db-id="xpefzwa5hf9dt2ea9fax95x7xvxz90v09dtf" timestamp="1762253576"&gt;125069&lt;/key&gt;&lt;/foreign-keys&gt;&lt;ref-type name="Book"&gt;6&lt;/ref-type&gt;&lt;contributors&gt;&lt;authors&gt;&lt;author&gt;Yin, Robert K&lt;/author&gt;&lt;/authors&gt;&lt;/contributors&gt;&lt;titles&gt;&lt;title&gt;Case study research and applications&lt;/title&gt;&lt;/titles&gt;&lt;volume&gt;6&lt;/volume&gt;&lt;section&gt;1-352&lt;/section&gt;&lt;dates&gt;&lt;year&gt;2018&lt;/year&gt;&lt;/dates&gt;&lt;pub-location&gt;San Francisco, California, USA&lt;/pub-location&gt;&lt;publisher&gt;SAGE Publications Ltd&lt;/publisher&gt;&lt;urls&gt;&lt;/urls&gt;&lt;/record&gt;&lt;/Cite&gt;&lt;/EndNote&gt;</w:instrText>
      </w:r>
      <w:r w:rsidRPr="002C21B8">
        <w:fldChar w:fldCharType="separate"/>
      </w:r>
      <w:r w:rsidR="005E4945" w:rsidRPr="002C21B8">
        <w:rPr>
          <w:noProof/>
        </w:rPr>
        <w:t>(Patton, 1990; Yin, 2018)</w:t>
      </w:r>
      <w:r w:rsidRPr="002C21B8">
        <w:fldChar w:fldCharType="end"/>
      </w:r>
      <w:r w:rsidRPr="002C21B8">
        <w:t>. Clinicians were invited to participate via email. Clinic observations were scheduled based on</w:t>
      </w:r>
      <w:r w:rsidR="00226C78" w:rsidRPr="002C21B8">
        <w:t xml:space="preserve"> clinician</w:t>
      </w:r>
      <w:r w:rsidRPr="002C21B8">
        <w:t xml:space="preserve"> and researcher availability and opportunities to observe patients being considered for or </w:t>
      </w:r>
      <w:r w:rsidR="00B443EE" w:rsidRPr="002C21B8">
        <w:t>initiated on</w:t>
      </w:r>
      <w:r w:rsidR="0078550C" w:rsidRPr="002C21B8">
        <w:t xml:space="preserve"> </w:t>
      </w:r>
      <w:r w:rsidRPr="002C21B8">
        <w:t xml:space="preserve">tolvaptan. </w:t>
      </w:r>
      <w:r w:rsidR="002F37FB" w:rsidRPr="002C21B8">
        <w:t xml:space="preserve">All </w:t>
      </w:r>
      <w:r w:rsidRPr="002C21B8">
        <w:t>participa</w:t>
      </w:r>
      <w:r w:rsidR="002F37FB" w:rsidRPr="002C21B8">
        <w:t>nts</w:t>
      </w:r>
      <w:r w:rsidRPr="002C21B8">
        <w:t xml:space="preserve"> </w:t>
      </w:r>
      <w:r w:rsidR="008122C7" w:rsidRPr="002C21B8">
        <w:t>provided</w:t>
      </w:r>
      <w:r w:rsidRPr="002C21B8">
        <w:t xml:space="preserve"> written informed consent. Although the focus of the observations was </w:t>
      </w:r>
      <w:r w:rsidR="00226C78" w:rsidRPr="002C21B8">
        <w:t>clinicians</w:t>
      </w:r>
      <w:r w:rsidRPr="002C21B8">
        <w:t>, letters were sent to patients at least two weeks prior to their appointment at a clinic</w:t>
      </w:r>
      <w:r w:rsidR="00A05F28" w:rsidRPr="002C21B8">
        <w:t>,</w:t>
      </w:r>
      <w:r w:rsidRPr="002C21B8">
        <w:t xml:space="preserve"> so they were aware of the research. Consent was obtained from patients immediately before their clinic appointment.</w:t>
      </w:r>
    </w:p>
    <w:p w14:paraId="00439CD8" w14:textId="77777777" w:rsidR="0089548A" w:rsidRPr="002C21B8" w:rsidRDefault="0089548A" w:rsidP="0089548A">
      <w:pPr>
        <w:spacing w:before="240" w:after="0"/>
        <w:rPr>
          <w:b/>
          <w:bCs/>
          <w:sz w:val="24"/>
          <w:szCs w:val="24"/>
        </w:rPr>
      </w:pPr>
      <w:bookmarkStart w:id="172" w:name="_Toc213230703"/>
      <w:r w:rsidRPr="002C21B8">
        <w:rPr>
          <w:b/>
          <w:bCs/>
          <w:sz w:val="24"/>
          <w:szCs w:val="24"/>
        </w:rPr>
        <w:t>Data collection</w:t>
      </w:r>
      <w:bookmarkEnd w:id="172"/>
    </w:p>
    <w:p w14:paraId="3CE4C06B" w14:textId="0D8BB16A" w:rsidR="0089548A" w:rsidRPr="002C21B8" w:rsidRDefault="0089548A" w:rsidP="0089548A">
      <w:r w:rsidRPr="002C21B8">
        <w:t xml:space="preserve">Data collection was performed between December 2024 and September 2025 by the lead </w:t>
      </w:r>
      <w:r w:rsidR="006347B6" w:rsidRPr="002C21B8">
        <w:t>researcher</w:t>
      </w:r>
      <w:r w:rsidRPr="002C21B8">
        <w:t xml:space="preserve"> (MG). The lead </w:t>
      </w:r>
      <w:r w:rsidR="006347B6" w:rsidRPr="002C21B8">
        <w:t>researcher</w:t>
      </w:r>
      <w:r w:rsidRPr="002C21B8">
        <w:t xml:space="preserve">, local gatekeepers (i.e. </w:t>
      </w:r>
      <w:r w:rsidR="000C1A8C" w:rsidRPr="002C21B8">
        <w:t>ADPKD</w:t>
      </w:r>
      <w:r w:rsidRPr="002C21B8">
        <w:t xml:space="preserve"> </w:t>
      </w:r>
      <w:r w:rsidR="00CF7FF6" w:rsidRPr="002C21B8">
        <w:t xml:space="preserve">clinical </w:t>
      </w:r>
      <w:r w:rsidRPr="002C21B8">
        <w:t xml:space="preserve">leads facilitating access to participants) and participants were blinded to each centre’s </w:t>
      </w:r>
      <w:r w:rsidR="001C5558" w:rsidRPr="002C21B8">
        <w:t xml:space="preserve">observed </w:t>
      </w:r>
      <w:r w:rsidRPr="002C21B8">
        <w:t xml:space="preserve">prescribing </w:t>
      </w:r>
      <w:r w:rsidR="00943AD0" w:rsidRPr="002C21B8">
        <w:t>practices</w:t>
      </w:r>
      <w:r w:rsidRPr="002C21B8">
        <w:t xml:space="preserve">. The lead </w:t>
      </w:r>
      <w:r w:rsidR="006347B6" w:rsidRPr="002C21B8">
        <w:t>researcher</w:t>
      </w:r>
      <w:r w:rsidRPr="002C21B8">
        <w:t xml:space="preserve"> </w:t>
      </w:r>
      <w:r w:rsidR="00805DC7" w:rsidRPr="002C21B8">
        <w:t xml:space="preserve">(MG) </w:t>
      </w:r>
      <w:r w:rsidRPr="002C21B8">
        <w:t xml:space="preserve">was given this information at the end of the analysis process. National benchmarking data from the Getting It Right First Time (GIRFT) initiative were not reviewed </w:t>
      </w:r>
      <w:r w:rsidR="00087950" w:rsidRPr="002C21B8">
        <w:t>before</w:t>
      </w:r>
      <w:r w:rsidRPr="002C21B8">
        <w:t xml:space="preserve"> or during data collection to avoid</w:t>
      </w:r>
      <w:r w:rsidR="001D7AEE" w:rsidRPr="002C21B8">
        <w:t xml:space="preserve"> this</w:t>
      </w:r>
      <w:r w:rsidRPr="002C21B8">
        <w:t xml:space="preserve"> influencing site selection, data collection or data analysis </w:t>
      </w:r>
      <w:r w:rsidRPr="002C21B8">
        <w:fldChar w:fldCharType="begin"/>
      </w:r>
      <w:r w:rsidR="00C909D0" w:rsidRPr="002C21B8">
        <w:instrText xml:space="preserve"> ADDIN EN.CITE &lt;EndNote&gt;&lt;Cite&gt;&lt;Author&gt;Getting It Right First Time (GIRFT)&lt;/Author&gt;&lt;Year&gt;2021&lt;/Year&gt;&lt;RecNum&gt;125259&lt;/RecNum&gt;&lt;DisplayText&gt;(Getting It Right First Time (GIRFT), 2021)&lt;/DisplayText&gt;&lt;record&gt;&lt;rec-number&gt;125259&lt;/rec-number&gt;&lt;foreign-keys&gt;&lt;key app="EN" db-id="xpefzwa5hf9dt2ea9fax95x7xvxz90v09dtf" timestamp="1773418264"&gt;125259&lt;/key&gt;&lt;/foreign-keys&gt;&lt;ref-type name="Web Page"&gt;12&lt;/ref-type&gt;&lt;contributors&gt;&lt;authors&gt;&lt;author&gt;Getting It Right First Time (GIRFT),&lt;/author&gt;&lt;/authors&gt;&lt;/contributors&gt;&lt;titles&gt;&lt;title&gt;GIRFT - Renal Medicine&lt;/title&gt;&lt;/titles&gt;&lt;number&gt;13/03/2026)&lt;/number&gt;&lt;dates&gt;&lt;year&gt;2021&lt;/year&gt;&lt;/dates&gt;&lt;urls&gt;&lt;related-urls&gt;&lt;url&gt;https://gettingitrightfirsttime.co.uk/wp-content/uploads/2021/09/Renal-Medicine-Sept21k.pdf&lt;/url&gt;&lt;/related-urls&gt;&lt;/urls&gt;&lt;/record&gt;&lt;/Cite&gt;&lt;/EndNote&gt;</w:instrText>
      </w:r>
      <w:r w:rsidRPr="002C21B8">
        <w:fldChar w:fldCharType="separate"/>
      </w:r>
      <w:r w:rsidR="00C909D0" w:rsidRPr="002C21B8">
        <w:t>(Getting It Right First Time (GIRFT), 2021)</w:t>
      </w:r>
      <w:r w:rsidRPr="002C21B8">
        <w:fldChar w:fldCharType="end"/>
      </w:r>
      <w:r w:rsidRPr="002C21B8">
        <w:t>.</w:t>
      </w:r>
    </w:p>
    <w:p w14:paraId="2EB69A52" w14:textId="70150A08" w:rsidR="0089548A" w:rsidRPr="002C21B8" w:rsidRDefault="00227DA8" w:rsidP="0089548A">
      <w:r w:rsidRPr="002C21B8">
        <w:t>Data was</w:t>
      </w:r>
      <w:r w:rsidR="0089548A" w:rsidRPr="002C21B8">
        <w:t xml:space="preserve"> collected by the lead </w:t>
      </w:r>
      <w:r w:rsidR="006347B6" w:rsidRPr="002C21B8">
        <w:t>researcher</w:t>
      </w:r>
      <w:r w:rsidR="0089548A" w:rsidRPr="002C21B8">
        <w:t xml:space="preserve"> through semi-structured interviews with clinicians involved in any aspect of tolvaptan prescribing, clinic observations, and local documents </w:t>
      </w:r>
      <w:r w:rsidR="003A3924" w:rsidRPr="002C21B8">
        <w:t>relevant to</w:t>
      </w:r>
      <w:r w:rsidR="001D7AEE" w:rsidRPr="002C21B8">
        <w:t xml:space="preserve"> </w:t>
      </w:r>
      <w:r w:rsidR="0089548A" w:rsidRPr="002C21B8">
        <w:t xml:space="preserve">tolvaptan prescribing to enable a comprehensive understanding of the implementation processes within each case. Semi-structured interviews were conducted with </w:t>
      </w:r>
      <w:r w:rsidR="00226C78" w:rsidRPr="002C21B8">
        <w:t>clinicians</w:t>
      </w:r>
      <w:r w:rsidR="0089548A" w:rsidRPr="002C21B8">
        <w:t xml:space="preserve"> using a topic guide based on a conceptual model of prescribing </w:t>
      </w:r>
      <w:r w:rsidR="00C33CF7" w:rsidRPr="002C21B8">
        <w:t xml:space="preserve">decision-making </w:t>
      </w:r>
      <w:r w:rsidR="0089548A" w:rsidRPr="002C21B8">
        <w:t xml:space="preserve">in chronic conditions, </w:t>
      </w:r>
      <w:hyperlink w:anchor="_Interview_topic_guide_1" w:history="1">
        <w:r w:rsidR="0089548A" w:rsidRPr="002C21B8">
          <w:rPr>
            <w:rStyle w:val="Hyperlink"/>
          </w:rPr>
          <w:t xml:space="preserve">Appendix </w:t>
        </w:r>
        <w:r w:rsidR="001821E0" w:rsidRPr="002C21B8">
          <w:rPr>
            <w:rStyle w:val="Hyperlink"/>
          </w:rPr>
          <w:t>8</w:t>
        </w:r>
      </w:hyperlink>
      <w:r w:rsidR="0089548A" w:rsidRPr="002C21B8">
        <w:t xml:space="preserve"> </w:t>
      </w:r>
      <w:r w:rsidR="0089548A" w:rsidRPr="002C21B8">
        <w:fldChar w:fldCharType="begin"/>
      </w:r>
      <w:r w:rsidR="00763983"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89548A" w:rsidRPr="002C21B8">
        <w:fldChar w:fldCharType="separate"/>
      </w:r>
      <w:r w:rsidR="006A7575" w:rsidRPr="002C21B8">
        <w:rPr>
          <w:noProof/>
        </w:rPr>
        <w:t>(Gittus</w:t>
      </w:r>
      <w:r w:rsidR="006A7575" w:rsidRPr="002C21B8">
        <w:rPr>
          <w:i/>
          <w:noProof/>
        </w:rPr>
        <w:t xml:space="preserve"> et al.</w:t>
      </w:r>
      <w:r w:rsidR="006A7575" w:rsidRPr="002C21B8">
        <w:rPr>
          <w:noProof/>
        </w:rPr>
        <w:t>, 2025b)</w:t>
      </w:r>
      <w:r w:rsidR="0089548A" w:rsidRPr="002C21B8">
        <w:fldChar w:fldCharType="end"/>
      </w:r>
      <w:r w:rsidR="0089548A" w:rsidRPr="002C21B8">
        <w:t xml:space="preserve">. A clinical vignette was introduced at the end of the interview as a method to elicit discussions about potential patient-level factors, </w:t>
      </w:r>
      <w:hyperlink w:anchor="_Clinical_vignette_for_1" w:history="1">
        <w:r w:rsidR="00C83686" w:rsidRPr="002C21B8">
          <w:rPr>
            <w:rStyle w:val="Hyperlink"/>
          </w:rPr>
          <w:t>Appendix 8</w:t>
        </w:r>
      </w:hyperlink>
      <w:r w:rsidR="0089548A" w:rsidRPr="002C21B8">
        <w:t xml:space="preserve">. Both materials were developed by the research group and piloted in interviews with two nephrology clinicians at the lead </w:t>
      </w:r>
      <w:r w:rsidR="006347B6" w:rsidRPr="002C21B8">
        <w:t>researcher</w:t>
      </w:r>
      <w:r w:rsidR="00C36A90" w:rsidRPr="002C21B8">
        <w:t>’</w:t>
      </w:r>
      <w:r w:rsidR="0089548A" w:rsidRPr="002C21B8">
        <w:t xml:space="preserve">s NHS trust. Interviews were </w:t>
      </w:r>
      <w:r w:rsidR="006347B6" w:rsidRPr="002C21B8">
        <w:t xml:space="preserve">conducted </w:t>
      </w:r>
      <w:r w:rsidR="0089548A" w:rsidRPr="002C21B8">
        <w:t xml:space="preserve">face-to-face at the case site or remotely via Microsoft Teams </w:t>
      </w:r>
      <w:r w:rsidR="006347B6" w:rsidRPr="002C21B8">
        <w:t>by the lead researcher</w:t>
      </w:r>
      <w:r w:rsidR="00580F5D" w:rsidRPr="002C21B8">
        <w:t xml:space="preserve"> (MG)</w:t>
      </w:r>
      <w:r w:rsidR="006347B6" w:rsidRPr="002C21B8">
        <w:t xml:space="preserve">. The </w:t>
      </w:r>
      <w:r w:rsidR="0089548A" w:rsidRPr="002C21B8">
        <w:t>mean duration</w:t>
      </w:r>
      <w:r w:rsidR="006347B6" w:rsidRPr="002C21B8">
        <w:t xml:space="preserve"> of interviews was</w:t>
      </w:r>
      <w:r w:rsidR="0089548A" w:rsidRPr="002C21B8">
        <w:t xml:space="preserve"> 54 minutes </w:t>
      </w:r>
      <w:r w:rsidR="006347B6" w:rsidRPr="002C21B8">
        <w:t>(</w:t>
      </w:r>
      <w:r w:rsidR="0089548A" w:rsidRPr="002C21B8">
        <w:t>range 43</w:t>
      </w:r>
      <w:r w:rsidR="00264B45" w:rsidRPr="002C21B8">
        <w:t>–</w:t>
      </w:r>
      <w:r w:rsidR="0089548A" w:rsidRPr="002C21B8">
        <w:t>120 minutes).</w:t>
      </w:r>
      <w:r w:rsidR="00ED5B6E" w:rsidRPr="002C21B8">
        <w:t xml:space="preserve"> Non-participatory clinic observations were conducted face-to-face or remotely via telephone by the lead</w:t>
      </w:r>
      <w:r w:rsidR="006347B6" w:rsidRPr="002C21B8">
        <w:t xml:space="preserve"> researche</w:t>
      </w:r>
      <w:r w:rsidR="00ED5B6E" w:rsidRPr="002C21B8">
        <w:t xml:space="preserve">r </w:t>
      </w:r>
      <w:r w:rsidR="00E60C21" w:rsidRPr="002C21B8">
        <w:t xml:space="preserve">(MG) </w:t>
      </w:r>
      <w:r w:rsidR="00ED5B6E" w:rsidRPr="002C21B8">
        <w:t xml:space="preserve">attending clinics where tolvaptan was discussed with patients. The lead </w:t>
      </w:r>
      <w:r w:rsidR="006347B6" w:rsidRPr="002C21B8">
        <w:t>researcher</w:t>
      </w:r>
      <w:r w:rsidR="00ED5B6E" w:rsidRPr="002C21B8">
        <w:t xml:space="preserve"> made handwritten notes during observations, using a structured template which included the constructs of the aforementioned conceptual model </w:t>
      </w:r>
      <w:r w:rsidR="00ED5B6E" w:rsidRPr="002C21B8">
        <w:fldChar w:fldCharType="begin"/>
      </w:r>
      <w:r w:rsidR="00ED5B6E"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ED5B6E" w:rsidRPr="002C21B8">
        <w:fldChar w:fldCharType="separate"/>
      </w:r>
      <w:r w:rsidR="00ED5B6E" w:rsidRPr="002C21B8">
        <w:rPr>
          <w:noProof/>
        </w:rPr>
        <w:t>(Gittus</w:t>
      </w:r>
      <w:r w:rsidR="00ED5B6E" w:rsidRPr="002C21B8">
        <w:rPr>
          <w:i/>
          <w:noProof/>
        </w:rPr>
        <w:t xml:space="preserve"> et al.</w:t>
      </w:r>
      <w:r w:rsidR="00ED5B6E" w:rsidRPr="002C21B8">
        <w:rPr>
          <w:noProof/>
        </w:rPr>
        <w:t>, 2025b)</w:t>
      </w:r>
      <w:r w:rsidR="00ED5B6E" w:rsidRPr="002C21B8">
        <w:fldChar w:fldCharType="end"/>
      </w:r>
      <w:r w:rsidR="00ED5B6E" w:rsidRPr="002C21B8">
        <w:t>. Clinics lasted 3–4 hours</w:t>
      </w:r>
      <w:r w:rsidR="009E27D6" w:rsidRPr="002C21B8">
        <w:t>,</w:t>
      </w:r>
      <w:r w:rsidR="00ED5B6E" w:rsidRPr="002C21B8">
        <w:t xml:space="preserve"> and individual patient appointment</w:t>
      </w:r>
      <w:r w:rsidR="00B244F3" w:rsidRPr="002C21B8">
        <w:t>s</w:t>
      </w:r>
      <w:r w:rsidR="00ED5B6E" w:rsidRPr="002C21B8">
        <w:t xml:space="preserve"> </w:t>
      </w:r>
      <w:r w:rsidR="00B244F3" w:rsidRPr="002C21B8">
        <w:t xml:space="preserve">had a </w:t>
      </w:r>
      <w:r w:rsidR="00ED5B6E" w:rsidRPr="002C21B8">
        <w:t xml:space="preserve">mean duration </w:t>
      </w:r>
      <w:r w:rsidR="00B244F3" w:rsidRPr="002C21B8">
        <w:t xml:space="preserve">of </w:t>
      </w:r>
      <w:r w:rsidR="00ED5B6E" w:rsidRPr="002C21B8">
        <w:t>18 minutes</w:t>
      </w:r>
      <w:r w:rsidR="00B244F3" w:rsidRPr="002C21B8">
        <w:t xml:space="preserve"> (</w:t>
      </w:r>
      <w:r w:rsidR="00ED5B6E" w:rsidRPr="002C21B8">
        <w:t>range 13–30 minutes).</w:t>
      </w:r>
      <w:r w:rsidR="0089548A" w:rsidRPr="002C21B8">
        <w:t xml:space="preserve"> All interviews</w:t>
      </w:r>
      <w:r w:rsidR="00ED5B6E" w:rsidRPr="002C21B8">
        <w:t xml:space="preserve"> and observations</w:t>
      </w:r>
      <w:r w:rsidR="0089548A" w:rsidRPr="002C21B8">
        <w:t xml:space="preserve"> were audio-recorded </w:t>
      </w:r>
      <w:r w:rsidR="00ED5B6E" w:rsidRPr="002C21B8">
        <w:t xml:space="preserve">using an encrypted device </w:t>
      </w:r>
      <w:r w:rsidR="0089548A" w:rsidRPr="002C21B8">
        <w:t xml:space="preserve">and transcribed by </w:t>
      </w:r>
      <w:r w:rsidR="00DB12EE" w:rsidRPr="002C21B8">
        <w:t xml:space="preserve">the </w:t>
      </w:r>
      <w:r w:rsidR="0089548A" w:rsidRPr="002C21B8">
        <w:t xml:space="preserve">University </w:t>
      </w:r>
      <w:r w:rsidR="00DB12EE" w:rsidRPr="002C21B8">
        <w:t xml:space="preserve">of Sheffield </w:t>
      </w:r>
      <w:r w:rsidR="0089548A" w:rsidRPr="002C21B8">
        <w:t xml:space="preserve">transcription services. </w:t>
      </w:r>
      <w:r w:rsidR="009404B4" w:rsidRPr="002C21B8">
        <w:t>Fieldn</w:t>
      </w:r>
      <w:r w:rsidR="0089548A" w:rsidRPr="002C21B8">
        <w:t xml:space="preserve">otes from the interviews and observations were supplemented with </w:t>
      </w:r>
      <w:r w:rsidR="009404B4" w:rsidRPr="002C21B8">
        <w:t xml:space="preserve">analytic </w:t>
      </w:r>
      <w:r w:rsidR="00487961" w:rsidRPr="002C21B8">
        <w:t xml:space="preserve">memos </w:t>
      </w:r>
      <w:r w:rsidR="009404B4" w:rsidRPr="002C21B8">
        <w:t xml:space="preserve">and reflexive </w:t>
      </w:r>
      <w:r w:rsidR="00487961" w:rsidRPr="002C21B8">
        <w:t>journal entries</w:t>
      </w:r>
      <w:r w:rsidR="0089548A" w:rsidRPr="002C21B8">
        <w:t xml:space="preserve"> (</w:t>
      </w:r>
      <w:hyperlink w:anchor="_Fieldnotes_template_used_1" w:history="1">
        <w:r w:rsidR="00C83686" w:rsidRPr="002C21B8">
          <w:rPr>
            <w:rStyle w:val="Hyperlink"/>
          </w:rPr>
          <w:t>Appendix 8</w:t>
        </w:r>
      </w:hyperlink>
      <w:r w:rsidR="0089548A" w:rsidRPr="002C21B8">
        <w:t xml:space="preserve">). Gatekeepers at each kidney centre were asked for documents about local policies </w:t>
      </w:r>
      <w:r w:rsidR="00A53709" w:rsidRPr="002C21B8">
        <w:t>for tolvaptan</w:t>
      </w:r>
      <w:r w:rsidR="0089548A" w:rsidRPr="002C21B8">
        <w:t xml:space="preserve"> prescribing. In accordance with the critical realist perspective </w:t>
      </w:r>
      <w:r w:rsidR="00F65300" w:rsidRPr="002C21B8">
        <w:fldChar w:fldCharType="begin"/>
      </w:r>
      <w:r w:rsidR="00F65300" w:rsidRPr="002C21B8">
        <w:instrText xml:space="preserve"> ADDIN EN.CITE &lt;EndNote&gt;&lt;Cite&gt;&lt;Author&gt;Archer&lt;/Author&gt;&lt;Year&gt;1999&lt;/Year&gt;&lt;RecNum&gt;125377&lt;/RecNum&gt;&lt;DisplayText&gt;(Archer&lt;style face="italic"&gt; et al.&lt;/style&gt;, 1999; Bhaskar, 2013)&lt;/DisplayText&gt;&lt;record&gt;&lt;rec-number&gt;125377&lt;/rec-number&gt;&lt;foreign-keys&gt;&lt;key app="EN" db-id="xpefzwa5hf9dt2ea9fax95x7xvxz90v09dtf" timestamp="1775461796"&gt;125377&lt;/key&gt;&lt;/foreign-keys&gt;&lt;ref-type name="Journal Article"&gt;17&lt;/ref-type&gt;&lt;contributors&gt;&lt;authors&gt;&lt;author&gt;Archer, Margaret&lt;/author&gt;&lt;author&gt;Sharp, Rachel&lt;/author&gt;&lt;author&gt;Stones, Rob&lt;/author&gt;&lt;author&gt;Woodiwiss, Tony&lt;/author&gt;&lt;/authors&gt;&lt;/contributors&gt;&lt;titles&gt;&lt;title&gt;Critical realism and research methodology&lt;/title&gt;&lt;secondary-title&gt;Alethia&lt;/secondary-title&gt;&lt;/titles&gt;&lt;periodical&gt;&lt;full-title&gt;Alethia&lt;/full-title&gt;&lt;/periodical&gt;&lt;pages&gt;12-16&lt;/pages&gt;&lt;volume&gt;2&lt;/volume&gt;&lt;number&gt;1&lt;/number&gt;&lt;dates&gt;&lt;year&gt;1999&lt;/year&gt;&lt;/dates&gt;&lt;isbn&gt;0711-3625&lt;/isbn&gt;&lt;urls&gt;&lt;/urls&gt;&lt;/record&gt;&lt;/Cite&gt;&lt;Cite&gt;&lt;Author&gt;Bhaskar&lt;/Author&gt;&lt;Year&gt;2013&lt;/Year&gt;&lt;RecNum&gt;124968&lt;/RecNum&gt;&lt;record&gt;&lt;rec-number&gt;124968&lt;/rec-number&gt;&lt;foreign-keys&gt;&lt;key app="EN" db-id="xpefzwa5hf9dt2ea9fax95x7xvxz90v09dtf" timestamp="1754556486"&gt;124968&lt;/key&gt;&lt;/foreign-keys&gt;&lt;ref-type name="Book"&gt;6&lt;/ref-type&gt;&lt;contributors&gt;&lt;authors&gt;&lt;author&gt;Bhaskar, Roy&lt;/author&gt;&lt;/authors&gt;&lt;/contributors&gt;&lt;titles&gt;&lt;title&gt;A realist theory of science&lt;/title&gt;&lt;/titles&gt;&lt;section&gt;1-304&lt;/section&gt;&lt;dates&gt;&lt;year&gt;2013&lt;/year&gt;&lt;/dates&gt;&lt;pub-location&gt;London, UK&lt;/pub-location&gt;&lt;publisher&gt;Routledge&lt;/publisher&gt;&lt;isbn&gt;020309073X&lt;/isbn&gt;&lt;urls&gt;&lt;/urls&gt;&lt;/record&gt;&lt;/Cite&gt;&lt;/EndNote&gt;</w:instrText>
      </w:r>
      <w:r w:rsidR="00F65300" w:rsidRPr="002C21B8">
        <w:fldChar w:fldCharType="separate"/>
      </w:r>
      <w:r w:rsidR="00F65300" w:rsidRPr="002C21B8">
        <w:rPr>
          <w:noProof/>
        </w:rPr>
        <w:t>(Archer</w:t>
      </w:r>
      <w:r w:rsidR="00F65300" w:rsidRPr="002C21B8">
        <w:rPr>
          <w:i/>
          <w:noProof/>
        </w:rPr>
        <w:t xml:space="preserve"> et al.</w:t>
      </w:r>
      <w:r w:rsidR="00F65300" w:rsidRPr="002C21B8">
        <w:rPr>
          <w:noProof/>
        </w:rPr>
        <w:t>, 1999; Bhaskar, 2013)</w:t>
      </w:r>
      <w:r w:rsidR="00F65300" w:rsidRPr="002C21B8">
        <w:fldChar w:fldCharType="end"/>
      </w:r>
      <w:r w:rsidR="0089548A" w:rsidRPr="002C21B8">
        <w:t xml:space="preserve"> and </w:t>
      </w:r>
      <w:r w:rsidR="0089548A"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89548A" w:rsidRPr="002C21B8">
        <w:fldChar w:fldCharType="separate"/>
      </w:r>
      <w:r w:rsidR="005E4945" w:rsidRPr="002C21B8">
        <w:rPr>
          <w:noProof/>
        </w:rPr>
        <w:t>Yin (2009)</w:t>
      </w:r>
      <w:r w:rsidR="0089548A" w:rsidRPr="002C21B8">
        <w:fldChar w:fldCharType="end"/>
      </w:r>
      <w:r w:rsidR="0089548A" w:rsidRPr="002C21B8">
        <w:t>, the focus was on generating sufficient depth and diversity across different sources to enable cross-case comparison and theoretical explanation.</w:t>
      </w:r>
    </w:p>
    <w:p w14:paraId="2E4B0EA9" w14:textId="77777777" w:rsidR="0089548A" w:rsidRPr="002C21B8" w:rsidRDefault="0089548A" w:rsidP="0089548A">
      <w:pPr>
        <w:spacing w:before="240" w:after="0"/>
        <w:rPr>
          <w:b/>
          <w:bCs/>
          <w:sz w:val="24"/>
          <w:szCs w:val="24"/>
        </w:rPr>
      </w:pPr>
      <w:bookmarkStart w:id="173" w:name="_Toc213230704"/>
      <w:r w:rsidRPr="002C21B8">
        <w:rPr>
          <w:b/>
          <w:bCs/>
          <w:sz w:val="24"/>
          <w:szCs w:val="24"/>
        </w:rPr>
        <w:t>Data analysis</w:t>
      </w:r>
      <w:bookmarkEnd w:id="173"/>
    </w:p>
    <w:p w14:paraId="488E9D67" w14:textId="3B382A77" w:rsidR="00E5413C" w:rsidRPr="002C21B8" w:rsidRDefault="0089548A" w:rsidP="007A71E0">
      <w:r w:rsidRPr="002C21B8">
        <w:t xml:space="preserve">Interview transcripts, observation fieldnotes and documents were managed in NVivo software (Lumivero, Version 15) and analysed using </w:t>
      </w:r>
      <w:r w:rsidR="00965EFB" w:rsidRPr="002C21B8">
        <w:t xml:space="preserve">the </w:t>
      </w:r>
      <w:r w:rsidR="00E82840" w:rsidRPr="002C21B8">
        <w:t>F</w:t>
      </w:r>
      <w:r w:rsidR="00965EFB" w:rsidRPr="002C21B8">
        <w:t xml:space="preserve">ramework </w:t>
      </w:r>
      <w:r w:rsidR="00E82840" w:rsidRPr="002C21B8">
        <w:t>M</w:t>
      </w:r>
      <w:r w:rsidR="00965EFB" w:rsidRPr="002C21B8">
        <w:t xml:space="preserve">ethod for the analysis of qualitative data described by </w:t>
      </w:r>
      <w:r w:rsidR="00965EFB" w:rsidRPr="002C21B8">
        <w:fldChar w:fldCharType="begin"/>
      </w:r>
      <w:r w:rsidR="00965EFB" w:rsidRPr="002C21B8">
        <w:instrText xml:space="preserve"> ADDIN EN.CITE &lt;EndNote&gt;&lt;Cite AuthorYear="1"&gt;&lt;Author&gt;Gale&lt;/Author&gt;&lt;Year&gt;2013&lt;/Year&gt;&lt;RecNum&gt;17340&lt;/RecNum&gt;&lt;DisplayText&gt;Gale&lt;style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methodology&lt;/full-title&gt;&lt;/periodical&gt;&lt;pages&gt;1-8&lt;/pages&gt;&lt;volume&gt;13&lt;/volume&gt;&lt;dates&gt;&lt;year&gt;2013&lt;/year&gt;&lt;/dates&gt;&lt;urls&gt;&lt;/urls&gt;&lt;/record&gt;&lt;/Cite&gt;&lt;/EndNote&gt;</w:instrText>
      </w:r>
      <w:r w:rsidR="00965EFB" w:rsidRPr="002C21B8">
        <w:fldChar w:fldCharType="separate"/>
      </w:r>
      <w:r w:rsidR="00965EFB" w:rsidRPr="002C21B8">
        <w:rPr>
          <w:noProof/>
        </w:rPr>
        <w:t>Gale</w:t>
      </w:r>
      <w:r w:rsidR="00965EFB" w:rsidRPr="002C21B8">
        <w:rPr>
          <w:i/>
          <w:noProof/>
        </w:rPr>
        <w:t xml:space="preserve"> et al.</w:t>
      </w:r>
      <w:r w:rsidR="00965EFB" w:rsidRPr="002C21B8">
        <w:rPr>
          <w:noProof/>
        </w:rPr>
        <w:t xml:space="preserve"> (2013)</w:t>
      </w:r>
      <w:r w:rsidR="00965EFB" w:rsidRPr="002C21B8">
        <w:fldChar w:fldCharType="end"/>
      </w:r>
      <w:r w:rsidRPr="002C21B8">
        <w:t xml:space="preserve">. The lead </w:t>
      </w:r>
      <w:r w:rsidR="006347B6" w:rsidRPr="002C21B8">
        <w:t>researcher</w:t>
      </w:r>
      <w:r w:rsidRPr="002C21B8">
        <w:t xml:space="preserve"> (MG) developed an analytical framework based on the CFIR 2.0 </w:t>
      </w:r>
      <w:r w:rsidRPr="002C21B8">
        <w:fldChar w:fldCharType="begin"/>
      </w:r>
      <w:r w:rsidR="005C4289" w:rsidRPr="002C21B8">
        <w:instrText xml:space="preserve"> ADDIN EN.CITE &lt;EndNote&gt;&lt;Cite&gt;&lt;Author&gt;Damschroder&lt;/Author&gt;&lt;Year&gt;2022&lt;/Year&gt;&lt;RecNum&gt;125189&lt;/RecNum&gt;&lt;DisplayText&gt;(Damschroder&lt;style face="italic"&gt; et al.&lt;/style&gt;, 2022)&lt;/DisplayText&gt;&lt;record&gt;&lt;rec-number&gt;125189&lt;/rec-number&gt;&lt;foreign-keys&gt;&lt;key app="EN" db-id="xpefzwa5hf9dt2ea9fax95x7xvxz90v09dtf" timestamp="1769454180"&gt;125189&lt;/key&gt;&lt;/foreign-keys&gt;&lt;ref-type name="Journal Article"&gt;17&lt;/ref-type&gt;&lt;contributors&gt;&lt;authors&gt;&lt;author&gt;Damschroder, Laura J&lt;/author&gt;&lt;author&gt;Reardon, Caitlin M&lt;/author&gt;&lt;author&gt;Widerquist, Marilla A Opra&lt;/author&gt;&lt;author&gt;Lowery, Julie&lt;/author&gt;&lt;/authors&gt;&lt;/contributors&gt;&lt;titles&gt;&lt;title&gt;The updated Consolidated Framework for Implementation Research based on user feedback&lt;/title&gt;&lt;secondary-title&gt;Implementation Science&lt;/secondary-title&gt;&lt;/titles&gt;&lt;periodical&gt;&lt;full-title&gt;Implementation Science&lt;/full-title&gt;&lt;/periodical&gt;&lt;pages&gt;75&lt;/pages&gt;&lt;volume&gt;17&lt;/volume&gt;&lt;number&gt;1&lt;/number&gt;&lt;dates&gt;&lt;year&gt;2022&lt;/year&gt;&lt;/dates&gt;&lt;isbn&gt;1748-5908&lt;/isbn&gt;&lt;urls&gt;&lt;/urls&gt;&lt;/record&gt;&lt;/Cite&gt;&lt;/EndNote&gt;</w:instrText>
      </w:r>
      <w:r w:rsidRPr="002C21B8">
        <w:fldChar w:fldCharType="separate"/>
      </w:r>
      <w:r w:rsidR="005C4289" w:rsidRPr="002C21B8">
        <w:rPr>
          <w:noProof/>
        </w:rPr>
        <w:t>(Damschroder</w:t>
      </w:r>
      <w:r w:rsidR="005C4289" w:rsidRPr="002C21B8">
        <w:rPr>
          <w:i/>
          <w:noProof/>
        </w:rPr>
        <w:t xml:space="preserve"> et al.</w:t>
      </w:r>
      <w:r w:rsidR="005C4289" w:rsidRPr="002C21B8">
        <w:rPr>
          <w:noProof/>
        </w:rPr>
        <w:t>, 2022)</w:t>
      </w:r>
      <w:r w:rsidRPr="002C21B8">
        <w:fldChar w:fldCharType="end"/>
      </w:r>
      <w:r w:rsidR="00D379FF" w:rsidRPr="002C21B8">
        <w:t>,</w:t>
      </w:r>
      <w:r w:rsidRPr="002C21B8">
        <w:t xml:space="preserve"> which consists </w:t>
      </w:r>
      <w:r w:rsidR="007D6278" w:rsidRPr="002C21B8">
        <w:t xml:space="preserve">of </w:t>
      </w:r>
      <w:r w:rsidRPr="002C21B8">
        <w:t xml:space="preserve">67 constructs across five domains: ‘Innovation’, ‘Outer Setting’, ‘Inner Setting’, ‘Individuals’, and ‘Implementation Process’. An adapted version of the updated CFIR diagram was developed to illustrate how the domains and constructs were applied to the tolvaptan care pathway. The lead </w:t>
      </w:r>
      <w:r w:rsidR="006347B6" w:rsidRPr="002C21B8">
        <w:t>researcher</w:t>
      </w:r>
      <w:r w:rsidRPr="002C21B8">
        <w:t xml:space="preserve"> (MG) familiarised </w:t>
      </w:r>
      <w:r w:rsidR="009427F9" w:rsidRPr="002C21B8">
        <w:t>him</w:t>
      </w:r>
      <w:r w:rsidRPr="002C21B8">
        <w:t>sel</w:t>
      </w:r>
      <w:r w:rsidR="009427F9" w:rsidRPr="002C21B8">
        <w:t>f</w:t>
      </w:r>
      <w:r w:rsidRPr="002C21B8">
        <w:t xml:space="preserve"> with the data then coded it deductively to relevant CFIR constructs, with additional codes generated where data did not align with the framework</w:t>
      </w:r>
      <w:r w:rsidR="009660EB" w:rsidRPr="002C21B8">
        <w:t xml:space="preserve">. The coding tree is included in </w:t>
      </w:r>
      <w:hyperlink w:anchor="_Coding_trees_–_1" w:history="1">
        <w:r w:rsidR="009660EB" w:rsidRPr="002C21B8">
          <w:rPr>
            <w:rStyle w:val="Hyperlink"/>
          </w:rPr>
          <w:t>Appendix 8</w:t>
        </w:r>
      </w:hyperlink>
      <w:r w:rsidRPr="002C21B8">
        <w:t xml:space="preserve">. Coded </w:t>
      </w:r>
      <w:r w:rsidR="00227DA8" w:rsidRPr="002C21B8">
        <w:t>data was</w:t>
      </w:r>
      <w:r w:rsidRPr="002C21B8">
        <w:t xml:space="preserve"> charted in Microsoft Excel 2019 for Mac (Microsoft Corporation, 2019, Version 16.78.3) to enable comparison within and between cases. Each case was analysed separately then a cross-case pattern matching analysis was undertaken </w:t>
      </w:r>
      <w:r w:rsidRPr="002C21B8">
        <w:fldChar w:fldCharType="begin"/>
      </w:r>
      <w:r w:rsidR="0060457F" w:rsidRPr="002C21B8">
        <w:instrText xml:space="preserve"> ADDIN EN.CITE &lt;EndNote&gt;&lt;Cite&gt;&lt;Author&gt;Yin&lt;/Author&gt;&lt;Year&gt;2018&lt;/Year&gt;&lt;RecNum&gt;125069&lt;/RecNum&gt;&lt;DisplayText&gt;(Yin, 2018)&lt;/DisplayText&gt;&lt;record&gt;&lt;rec-number&gt;125069&lt;/rec-number&gt;&lt;foreign-keys&gt;&lt;key app="EN" db-id="xpefzwa5hf9dt2ea9fax95x7xvxz90v09dtf" timestamp="1762253576"&gt;125069&lt;/key&gt;&lt;/foreign-keys&gt;&lt;ref-type name="Book"&gt;6&lt;/ref-type&gt;&lt;contributors&gt;&lt;authors&gt;&lt;author&gt;Yin, Robert K&lt;/author&gt;&lt;/authors&gt;&lt;/contributors&gt;&lt;titles&gt;&lt;title&gt;Case study research and applications&lt;/title&gt;&lt;/titles&gt;&lt;volume&gt;6&lt;/volume&gt;&lt;section&gt;1-352&lt;/section&gt;&lt;dates&gt;&lt;year&gt;2018&lt;/year&gt;&lt;/dates&gt;&lt;pub-location&gt;San Francisco, California, USA&lt;/pub-location&gt;&lt;publisher&gt;SAGE Publications Ltd&lt;/publisher&gt;&lt;urls&gt;&lt;/urls&gt;&lt;/record&gt;&lt;/Cite&gt;&lt;/EndNote&gt;</w:instrText>
      </w:r>
      <w:r w:rsidRPr="002C21B8">
        <w:fldChar w:fldCharType="separate"/>
      </w:r>
      <w:r w:rsidR="005E4945" w:rsidRPr="002C21B8">
        <w:rPr>
          <w:noProof/>
        </w:rPr>
        <w:t>(Yin, 2018)</w:t>
      </w:r>
      <w:r w:rsidRPr="002C21B8">
        <w:fldChar w:fldCharType="end"/>
      </w:r>
      <w:r w:rsidRPr="002C21B8">
        <w:t>. Following guidance fro</w:t>
      </w:r>
      <w:r w:rsidR="005C4289" w:rsidRPr="002C21B8">
        <w:t xml:space="preserve">m </w:t>
      </w:r>
      <w:r w:rsidR="005C4289" w:rsidRPr="002C21B8">
        <w:fldChar w:fldCharType="begin"/>
      </w:r>
      <w:r w:rsidR="005C4289" w:rsidRPr="002C21B8">
        <w:instrText xml:space="preserve"> ADDIN EN.CITE &lt;EndNote&gt;&lt;Cite AuthorYear="1"&gt;&lt;Author&gt;Damschroder&lt;/Author&gt;&lt;Year&gt;2022&lt;/Year&gt;&lt;RecNum&gt;125189&lt;/RecNum&gt;&lt;DisplayText&gt;Damschroder&lt;style face="italic"&gt; et al.&lt;/style&gt; (2022)&lt;/DisplayText&gt;&lt;record&gt;&lt;rec-number&gt;125189&lt;/rec-number&gt;&lt;foreign-keys&gt;&lt;key app="EN" db-id="xpefzwa5hf9dt2ea9fax95x7xvxz90v09dtf" timestamp="1769454180"&gt;125189&lt;/key&gt;&lt;/foreign-keys&gt;&lt;ref-type name="Journal Article"&gt;17&lt;/ref-type&gt;&lt;contributors&gt;&lt;authors&gt;&lt;author&gt;Damschroder, Laura J&lt;/author&gt;&lt;author&gt;Reardon, Caitlin M&lt;/author&gt;&lt;author&gt;Widerquist, Marilla A Opra&lt;/author&gt;&lt;author&gt;Lowery, Julie&lt;/author&gt;&lt;/authors&gt;&lt;/contributors&gt;&lt;titles&gt;&lt;title&gt;The updated Consolidated Framework for Implementation Research based on user feedback&lt;/title&gt;&lt;secondary-title&gt;Implementation Science&lt;/secondary-title&gt;&lt;/titles&gt;&lt;periodical&gt;&lt;full-title&gt;Implementation Science&lt;/full-title&gt;&lt;/periodical&gt;&lt;pages&gt;75&lt;/pages&gt;&lt;volume&gt;17&lt;/volume&gt;&lt;number&gt;1&lt;/number&gt;&lt;dates&gt;&lt;year&gt;2022&lt;/year&gt;&lt;/dates&gt;&lt;isbn&gt;1748-5908&lt;/isbn&gt;&lt;urls&gt;&lt;/urls&gt;&lt;/record&gt;&lt;/Cite&gt;&lt;/EndNote&gt;</w:instrText>
      </w:r>
      <w:r w:rsidR="005C4289" w:rsidRPr="002C21B8">
        <w:fldChar w:fldCharType="separate"/>
      </w:r>
      <w:r w:rsidR="005C4289" w:rsidRPr="002C21B8">
        <w:rPr>
          <w:noProof/>
        </w:rPr>
        <w:t>Damschroder</w:t>
      </w:r>
      <w:r w:rsidR="005C4289" w:rsidRPr="002C21B8">
        <w:rPr>
          <w:i/>
          <w:noProof/>
        </w:rPr>
        <w:t xml:space="preserve"> et al.</w:t>
      </w:r>
      <w:r w:rsidR="005C4289" w:rsidRPr="002C21B8">
        <w:rPr>
          <w:noProof/>
        </w:rPr>
        <w:t xml:space="preserve"> (2022)</w:t>
      </w:r>
      <w:r w:rsidR="005C4289" w:rsidRPr="002C21B8">
        <w:fldChar w:fldCharType="end"/>
      </w:r>
      <w:r w:rsidRPr="002C21B8">
        <w:t>, the final stage involved translating CFIR-coded findings into high-level themes to facilitate interpretation and presentation. Quotes were labelled by case and participant type. Where including these details risked identifying individuals or centres, quotes were presented without attribution to maintain anonymity.</w:t>
      </w:r>
    </w:p>
    <w:p w14:paraId="0DA8704F" w14:textId="77777777" w:rsidR="00E5413C" w:rsidRPr="002C21B8" w:rsidRDefault="00E5413C">
      <w:pPr>
        <w:spacing w:after="0" w:line="240" w:lineRule="auto"/>
        <w:jc w:val="left"/>
      </w:pPr>
      <w:r w:rsidRPr="002C21B8">
        <w:br w:type="page"/>
      </w:r>
    </w:p>
    <w:p w14:paraId="223944FF" w14:textId="77777777" w:rsidR="005E4945" w:rsidRPr="002C21B8" w:rsidRDefault="005E4945" w:rsidP="00EC4437">
      <w:pPr>
        <w:spacing w:before="240" w:after="0"/>
        <w:rPr>
          <w:b/>
          <w:bCs/>
          <w:sz w:val="28"/>
          <w:szCs w:val="28"/>
        </w:rPr>
      </w:pPr>
      <w:bookmarkStart w:id="174" w:name="_Toc213230705"/>
      <w:r w:rsidRPr="002C21B8">
        <w:rPr>
          <w:b/>
          <w:bCs/>
          <w:sz w:val="28"/>
          <w:szCs w:val="28"/>
        </w:rPr>
        <w:t>Results</w:t>
      </w:r>
      <w:bookmarkEnd w:id="174"/>
    </w:p>
    <w:p w14:paraId="0A18B68B" w14:textId="77777777" w:rsidR="005E4945" w:rsidRPr="002C21B8" w:rsidRDefault="005E4945" w:rsidP="004D76F5">
      <w:pPr>
        <w:spacing w:after="0"/>
        <w:rPr>
          <w:b/>
          <w:bCs/>
          <w:sz w:val="24"/>
          <w:szCs w:val="24"/>
        </w:rPr>
      </w:pPr>
      <w:r w:rsidRPr="002C21B8">
        <w:rPr>
          <w:b/>
          <w:bCs/>
          <w:sz w:val="24"/>
          <w:szCs w:val="24"/>
        </w:rPr>
        <w:t>Description of participants and data sources</w:t>
      </w:r>
    </w:p>
    <w:p w14:paraId="711FA60B" w14:textId="78CB9E77" w:rsidR="005E4945" w:rsidRPr="002C21B8" w:rsidRDefault="005E4945" w:rsidP="005E4945">
      <w:pPr>
        <w:rPr>
          <w:i/>
          <w:iCs/>
          <w:color w:val="A5A5A5" w:themeColor="accent3"/>
          <w:sz w:val="20"/>
          <w:szCs w:val="20"/>
        </w:rPr>
      </w:pPr>
      <w:r w:rsidRPr="002C21B8">
        <w:t>The case study dataset comprised 12 semi-structured interviews, fieldnotes from 23 observations of consultations across 5 clinic visits, and 8 documents across the three kidney centres (see</w:t>
      </w:r>
      <w:r w:rsidR="00BE7646" w:rsidRPr="002C21B8">
        <w:t xml:space="preserve"> </w:t>
      </w:r>
      <w:r w:rsidR="00BE7646" w:rsidRPr="002C21B8">
        <w:fldChar w:fldCharType="begin"/>
      </w:r>
      <w:r w:rsidR="00BE7646" w:rsidRPr="002C21B8">
        <w:instrText xml:space="preserve"> REF _Ref225865698 \h </w:instrText>
      </w:r>
      <w:r w:rsidR="00585F6D" w:rsidRPr="002C21B8">
        <w:instrText xml:space="preserve"> \* MERGEFORMAT </w:instrText>
      </w:r>
      <w:r w:rsidR="00BE7646" w:rsidRPr="002C21B8">
        <w:fldChar w:fldCharType="separate"/>
      </w:r>
      <w:r w:rsidR="00DB3709" w:rsidRPr="002C21B8">
        <w:t xml:space="preserve">Table </w:t>
      </w:r>
      <w:r w:rsidR="00DB3709">
        <w:t>15</w:t>
      </w:r>
      <w:r w:rsidR="00BE7646" w:rsidRPr="002C21B8">
        <w:fldChar w:fldCharType="end"/>
      </w:r>
      <w:r w:rsidR="00BE7646" w:rsidRPr="002C21B8">
        <w:t>)</w:t>
      </w:r>
      <w:r w:rsidRPr="002C21B8">
        <w:t>. Two general nephrologists at Case 1 declined to participate in interviews</w:t>
      </w:r>
      <w:r w:rsidR="00FD362C" w:rsidRPr="002C21B8">
        <w:t>,</w:t>
      </w:r>
      <w:r w:rsidRPr="002C21B8">
        <w:t xml:space="preserve"> citing workload and staff absences. Another consultant was approached</w:t>
      </w:r>
      <w:r w:rsidR="00FD362C" w:rsidRPr="002C21B8">
        <w:t>,</w:t>
      </w:r>
      <w:r w:rsidRPr="002C21B8">
        <w:t xml:space="preserve"> and they agreed to participate. No </w:t>
      </w:r>
      <w:r w:rsidR="00226C78" w:rsidRPr="002C21B8">
        <w:t xml:space="preserve">clinicians </w:t>
      </w:r>
      <w:r w:rsidRPr="002C21B8">
        <w:t>or patients declined participation in the observed clinics.</w:t>
      </w:r>
      <w:bookmarkStart w:id="175" w:name="_Ref219361471"/>
      <w:bookmarkStart w:id="176" w:name="_Ref222391839"/>
      <w:r w:rsidRPr="002C21B8">
        <w:t xml:space="preserve"> Case 1 included fewer clinic observations than the other cases. This reflected the low number of patients referred to the tolvaptan clinic during the study period. Although general nephrology clinics were part of the tolvaptan pathway at this case, the very low frequency of ADPKD-specific decisions in these clinics meant that observations there were unlikely to yield additional insights.</w:t>
      </w:r>
    </w:p>
    <w:p w14:paraId="6631F2FF" w14:textId="6299ABE0" w:rsidR="005E4945" w:rsidRPr="002C21B8" w:rsidRDefault="005E4945" w:rsidP="001C0300">
      <w:pPr>
        <w:pStyle w:val="Caption"/>
        <w:keepNext w:val="0"/>
        <w:rPr>
          <w:noProof w:val="0"/>
        </w:rPr>
      </w:pPr>
      <w:bookmarkStart w:id="177" w:name="_Ref225865698"/>
      <w:bookmarkStart w:id="178" w:name="_Toc236991751"/>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15</w:t>
      </w:r>
      <w:r w:rsidRPr="002C21B8">
        <w:rPr>
          <w:noProof w:val="0"/>
        </w:rPr>
        <w:fldChar w:fldCharType="end"/>
      </w:r>
      <w:bookmarkEnd w:id="175"/>
      <w:bookmarkEnd w:id="176"/>
      <w:bookmarkEnd w:id="177"/>
      <w:r w:rsidRPr="002C21B8">
        <w:rPr>
          <w:noProof w:val="0"/>
        </w:rPr>
        <w:t>. Data collection methods undertaken at each case site</w:t>
      </w:r>
      <w:bookmarkEnd w:id="178"/>
    </w:p>
    <w:tbl>
      <w:tblPr>
        <w:tblStyle w:val="TableGrid"/>
        <w:tblW w:w="9072"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531"/>
        <w:gridCol w:w="2513"/>
        <w:gridCol w:w="2514"/>
        <w:gridCol w:w="2514"/>
      </w:tblGrid>
      <w:tr w:rsidR="00D8447C" w:rsidRPr="002C21B8" w14:paraId="16D72517" w14:textId="77777777" w:rsidTr="003B0C1B">
        <w:trPr>
          <w:trHeight w:val="49"/>
        </w:trPr>
        <w:tc>
          <w:tcPr>
            <w:tcW w:w="1531" w:type="dxa"/>
            <w:tcBorders>
              <w:top w:val="single" w:sz="12" w:space="0" w:color="000000" w:themeColor="text1"/>
              <w:bottom w:val="single" w:sz="6" w:space="0" w:color="000000" w:themeColor="text1"/>
            </w:tcBorders>
            <w:shd w:val="clear" w:color="auto" w:fill="auto"/>
            <w:vAlign w:val="center"/>
          </w:tcPr>
          <w:p w14:paraId="25441C58" w14:textId="77777777" w:rsidR="00D8447C" w:rsidRPr="002C21B8" w:rsidRDefault="00D8447C" w:rsidP="001C0300">
            <w:pPr>
              <w:spacing w:beforeLines="80" w:before="192" w:after="80" w:line="240" w:lineRule="auto"/>
              <w:contextualSpacing/>
              <w:jc w:val="left"/>
              <w:rPr>
                <w:b/>
                <w:bCs/>
                <w:sz w:val="16"/>
                <w:szCs w:val="16"/>
              </w:rPr>
            </w:pPr>
          </w:p>
        </w:tc>
        <w:tc>
          <w:tcPr>
            <w:tcW w:w="2513" w:type="dxa"/>
            <w:tcBorders>
              <w:top w:val="single" w:sz="12" w:space="0" w:color="000000" w:themeColor="text1"/>
              <w:bottom w:val="single" w:sz="6" w:space="0" w:color="000000" w:themeColor="text1"/>
            </w:tcBorders>
            <w:vAlign w:val="center"/>
          </w:tcPr>
          <w:p w14:paraId="3D09BF56" w14:textId="0BE598FC" w:rsidR="00D8447C" w:rsidRPr="002C21B8" w:rsidRDefault="00D8447C" w:rsidP="001C0300">
            <w:pPr>
              <w:spacing w:beforeLines="80" w:before="192" w:after="80" w:line="240" w:lineRule="auto"/>
              <w:contextualSpacing/>
              <w:jc w:val="center"/>
              <w:rPr>
                <w:b/>
                <w:bCs/>
                <w:sz w:val="16"/>
                <w:szCs w:val="16"/>
              </w:rPr>
            </w:pPr>
            <w:r w:rsidRPr="002C21B8">
              <w:rPr>
                <w:b/>
                <w:bCs/>
                <w:sz w:val="16"/>
                <w:szCs w:val="16"/>
              </w:rPr>
              <w:t>Case 1</w:t>
            </w:r>
          </w:p>
        </w:tc>
        <w:tc>
          <w:tcPr>
            <w:tcW w:w="2514" w:type="dxa"/>
            <w:tcBorders>
              <w:top w:val="single" w:sz="12" w:space="0" w:color="000000" w:themeColor="text1"/>
              <w:bottom w:val="single" w:sz="6" w:space="0" w:color="000000" w:themeColor="text1"/>
            </w:tcBorders>
            <w:shd w:val="clear" w:color="auto" w:fill="auto"/>
            <w:vAlign w:val="center"/>
          </w:tcPr>
          <w:p w14:paraId="3F793F3E" w14:textId="5CAB91EB" w:rsidR="00D8447C" w:rsidRPr="002C21B8" w:rsidRDefault="00D8447C" w:rsidP="001C0300">
            <w:pPr>
              <w:spacing w:beforeLines="80" w:before="192" w:after="80" w:line="240" w:lineRule="auto"/>
              <w:contextualSpacing/>
              <w:jc w:val="center"/>
              <w:rPr>
                <w:b/>
                <w:bCs/>
                <w:sz w:val="16"/>
                <w:szCs w:val="16"/>
              </w:rPr>
            </w:pPr>
            <w:r w:rsidRPr="002C21B8">
              <w:rPr>
                <w:b/>
                <w:bCs/>
                <w:sz w:val="16"/>
                <w:szCs w:val="16"/>
              </w:rPr>
              <w:t>Case 2</w:t>
            </w:r>
          </w:p>
        </w:tc>
        <w:tc>
          <w:tcPr>
            <w:tcW w:w="2514" w:type="dxa"/>
            <w:tcBorders>
              <w:top w:val="single" w:sz="12" w:space="0" w:color="000000" w:themeColor="text1"/>
              <w:bottom w:val="single" w:sz="6" w:space="0" w:color="000000" w:themeColor="text1"/>
            </w:tcBorders>
            <w:shd w:val="clear" w:color="auto" w:fill="auto"/>
            <w:vAlign w:val="center"/>
          </w:tcPr>
          <w:p w14:paraId="297C0BA3" w14:textId="77777777" w:rsidR="00D8447C" w:rsidRPr="002C21B8" w:rsidRDefault="00D8447C" w:rsidP="001C0300">
            <w:pPr>
              <w:spacing w:beforeLines="80" w:before="192" w:after="80" w:line="240" w:lineRule="auto"/>
              <w:contextualSpacing/>
              <w:jc w:val="center"/>
              <w:rPr>
                <w:b/>
                <w:bCs/>
                <w:sz w:val="16"/>
                <w:szCs w:val="16"/>
              </w:rPr>
            </w:pPr>
            <w:r w:rsidRPr="002C21B8">
              <w:rPr>
                <w:b/>
                <w:bCs/>
                <w:sz w:val="16"/>
                <w:szCs w:val="16"/>
              </w:rPr>
              <w:t>Case 3</w:t>
            </w:r>
          </w:p>
        </w:tc>
      </w:tr>
      <w:tr w:rsidR="00D8447C" w:rsidRPr="002C21B8" w14:paraId="6204F43E" w14:textId="77777777" w:rsidTr="003B0C1B">
        <w:trPr>
          <w:trHeight w:val="1358"/>
        </w:trPr>
        <w:tc>
          <w:tcPr>
            <w:tcW w:w="1531" w:type="dxa"/>
            <w:tcBorders>
              <w:top w:val="single" w:sz="6" w:space="0" w:color="000000" w:themeColor="text1"/>
            </w:tcBorders>
            <w:shd w:val="clear" w:color="auto" w:fill="auto"/>
          </w:tcPr>
          <w:p w14:paraId="56B691A9" w14:textId="77777777" w:rsidR="00D8447C" w:rsidRPr="002C21B8" w:rsidRDefault="00D8447C" w:rsidP="001C0300">
            <w:pPr>
              <w:spacing w:before="80" w:after="80" w:line="240" w:lineRule="auto"/>
              <w:contextualSpacing/>
              <w:jc w:val="left"/>
              <w:rPr>
                <w:sz w:val="16"/>
                <w:szCs w:val="16"/>
              </w:rPr>
            </w:pPr>
            <w:r w:rsidRPr="002C21B8">
              <w:rPr>
                <w:sz w:val="16"/>
                <w:szCs w:val="16"/>
              </w:rPr>
              <w:t>Interviews</w:t>
            </w:r>
          </w:p>
        </w:tc>
        <w:tc>
          <w:tcPr>
            <w:tcW w:w="2513" w:type="dxa"/>
            <w:tcBorders>
              <w:top w:val="single" w:sz="6" w:space="0" w:color="000000" w:themeColor="text1"/>
            </w:tcBorders>
          </w:tcPr>
          <w:p w14:paraId="462EC90D" w14:textId="77777777"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1 Lead tolvaptan clinic nephrology consultant</w:t>
            </w:r>
          </w:p>
          <w:p w14:paraId="7A452452" w14:textId="77777777"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2 General nephrology consultants</w:t>
            </w:r>
          </w:p>
          <w:p w14:paraId="6252F7A1" w14:textId="26C3C70F"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1 Renal pharmacist</w:t>
            </w:r>
          </w:p>
        </w:tc>
        <w:tc>
          <w:tcPr>
            <w:tcW w:w="2514" w:type="dxa"/>
            <w:tcBorders>
              <w:top w:val="single" w:sz="6" w:space="0" w:color="000000" w:themeColor="text1"/>
            </w:tcBorders>
            <w:shd w:val="clear" w:color="auto" w:fill="auto"/>
          </w:tcPr>
          <w:p w14:paraId="55DB1921" w14:textId="39FE0D5A" w:rsidR="00D8447C" w:rsidRPr="002C21B8" w:rsidRDefault="00D8447C" w:rsidP="001C0300">
            <w:pPr>
              <w:pStyle w:val="ListParagraph"/>
              <w:numPr>
                <w:ilvl w:val="0"/>
                <w:numId w:val="48"/>
              </w:numPr>
              <w:spacing w:before="80" w:after="80" w:line="240" w:lineRule="auto"/>
              <w:ind w:left="272" w:hanging="272"/>
              <w:jc w:val="left"/>
              <w:rPr>
                <w:sz w:val="16"/>
                <w:szCs w:val="16"/>
              </w:rPr>
            </w:pPr>
            <w:r w:rsidRPr="002C21B8">
              <w:rPr>
                <w:sz w:val="16"/>
                <w:szCs w:val="16"/>
              </w:rPr>
              <w:t xml:space="preserve">1 Lead renal genetics nephrology consultant </w:t>
            </w:r>
          </w:p>
          <w:p w14:paraId="515FFBA7" w14:textId="77777777" w:rsidR="00D8447C" w:rsidRPr="002C21B8" w:rsidRDefault="00D8447C" w:rsidP="001C0300">
            <w:pPr>
              <w:pStyle w:val="ListParagraph"/>
              <w:numPr>
                <w:ilvl w:val="0"/>
                <w:numId w:val="48"/>
              </w:numPr>
              <w:spacing w:before="80" w:after="80" w:line="240" w:lineRule="auto"/>
              <w:ind w:left="272" w:hanging="272"/>
              <w:jc w:val="left"/>
              <w:rPr>
                <w:sz w:val="16"/>
                <w:szCs w:val="16"/>
              </w:rPr>
            </w:pPr>
            <w:r w:rsidRPr="002C21B8">
              <w:rPr>
                <w:sz w:val="16"/>
                <w:szCs w:val="16"/>
              </w:rPr>
              <w:t>1 Nephrology trainee</w:t>
            </w:r>
          </w:p>
          <w:p w14:paraId="6A460863" w14:textId="77777777" w:rsidR="00D8447C" w:rsidRPr="002C21B8" w:rsidRDefault="00D8447C" w:rsidP="001C0300">
            <w:pPr>
              <w:pStyle w:val="ListParagraph"/>
              <w:numPr>
                <w:ilvl w:val="0"/>
                <w:numId w:val="48"/>
              </w:numPr>
              <w:spacing w:before="80" w:after="80" w:line="240" w:lineRule="auto"/>
              <w:ind w:left="272" w:hanging="272"/>
              <w:jc w:val="left"/>
              <w:rPr>
                <w:sz w:val="16"/>
                <w:szCs w:val="16"/>
              </w:rPr>
            </w:pPr>
            <w:r w:rsidRPr="002C21B8">
              <w:rPr>
                <w:sz w:val="16"/>
                <w:szCs w:val="16"/>
              </w:rPr>
              <w:t>2 Renal pharmacists</w:t>
            </w:r>
          </w:p>
        </w:tc>
        <w:tc>
          <w:tcPr>
            <w:tcW w:w="2514" w:type="dxa"/>
            <w:tcBorders>
              <w:top w:val="single" w:sz="6" w:space="0" w:color="000000" w:themeColor="text1"/>
            </w:tcBorders>
            <w:shd w:val="clear" w:color="auto" w:fill="auto"/>
          </w:tcPr>
          <w:p w14:paraId="1BBCAC30"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1 Lead renal genetics nephrology consultant</w:t>
            </w:r>
          </w:p>
          <w:p w14:paraId="30266855"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1 Renal genetics nephrology consultant</w:t>
            </w:r>
          </w:p>
          <w:p w14:paraId="4C7D55E0"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1 Renal nurse</w:t>
            </w:r>
          </w:p>
          <w:p w14:paraId="7F5459C6"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1 Renal pharmacist</w:t>
            </w:r>
          </w:p>
        </w:tc>
      </w:tr>
      <w:tr w:rsidR="00D8447C" w:rsidRPr="002C21B8" w14:paraId="145AECE9" w14:textId="77777777" w:rsidTr="003B0C1B">
        <w:trPr>
          <w:trHeight w:val="952"/>
        </w:trPr>
        <w:tc>
          <w:tcPr>
            <w:tcW w:w="1531" w:type="dxa"/>
            <w:shd w:val="clear" w:color="auto" w:fill="auto"/>
          </w:tcPr>
          <w:p w14:paraId="731ADD57" w14:textId="77777777" w:rsidR="00D8447C" w:rsidRPr="002C21B8" w:rsidRDefault="00D8447C" w:rsidP="001C0300">
            <w:pPr>
              <w:spacing w:before="80" w:after="80" w:line="240" w:lineRule="auto"/>
              <w:contextualSpacing/>
              <w:jc w:val="left"/>
              <w:rPr>
                <w:sz w:val="16"/>
                <w:szCs w:val="16"/>
              </w:rPr>
            </w:pPr>
            <w:r w:rsidRPr="002C21B8">
              <w:rPr>
                <w:sz w:val="16"/>
                <w:szCs w:val="16"/>
              </w:rPr>
              <w:t>Clinic Observations</w:t>
            </w:r>
          </w:p>
        </w:tc>
        <w:tc>
          <w:tcPr>
            <w:tcW w:w="2513" w:type="dxa"/>
          </w:tcPr>
          <w:p w14:paraId="35FCF152" w14:textId="137553A5"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1 tolvaptan clinic consultation with 1 patient</w:t>
            </w:r>
          </w:p>
        </w:tc>
        <w:tc>
          <w:tcPr>
            <w:tcW w:w="2514" w:type="dxa"/>
            <w:shd w:val="clear" w:color="auto" w:fill="auto"/>
          </w:tcPr>
          <w:p w14:paraId="672F5847" w14:textId="23F2D5B3"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10 renal genetics clinic consultations with 10 patients</w:t>
            </w:r>
          </w:p>
          <w:p w14:paraId="1E5A8632"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3 tolvaptan clinic appointments with 3 patients</w:t>
            </w:r>
          </w:p>
        </w:tc>
        <w:tc>
          <w:tcPr>
            <w:tcW w:w="2514" w:type="dxa"/>
            <w:shd w:val="clear" w:color="auto" w:fill="auto"/>
          </w:tcPr>
          <w:p w14:paraId="11DADCF2"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9 renal genetics clinic consultations with 9 patients</w:t>
            </w:r>
          </w:p>
        </w:tc>
      </w:tr>
      <w:tr w:rsidR="00D8447C" w:rsidRPr="002C21B8" w14:paraId="6D9BA2A1" w14:textId="77777777" w:rsidTr="003B0C1B">
        <w:trPr>
          <w:trHeight w:val="881"/>
        </w:trPr>
        <w:tc>
          <w:tcPr>
            <w:tcW w:w="1531" w:type="dxa"/>
            <w:shd w:val="clear" w:color="auto" w:fill="auto"/>
          </w:tcPr>
          <w:p w14:paraId="7F3F5492" w14:textId="77777777" w:rsidR="00D8447C" w:rsidRPr="002C21B8" w:rsidRDefault="00D8447C" w:rsidP="001C0300">
            <w:pPr>
              <w:spacing w:before="80" w:after="80" w:line="240" w:lineRule="auto"/>
              <w:contextualSpacing/>
              <w:jc w:val="left"/>
              <w:rPr>
                <w:sz w:val="16"/>
                <w:szCs w:val="16"/>
              </w:rPr>
            </w:pPr>
            <w:r w:rsidRPr="002C21B8">
              <w:rPr>
                <w:sz w:val="16"/>
                <w:szCs w:val="16"/>
              </w:rPr>
              <w:t>Documents</w:t>
            </w:r>
          </w:p>
        </w:tc>
        <w:tc>
          <w:tcPr>
            <w:tcW w:w="2513" w:type="dxa"/>
          </w:tcPr>
          <w:p w14:paraId="70C7042D" w14:textId="1BCF9AEB"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Summary documents of potential eligibility criteria (used by the tolvaptan clinic only)</w:t>
            </w:r>
          </w:p>
          <w:p w14:paraId="1C97BDD7" w14:textId="7FCB469D" w:rsidR="00D8447C" w:rsidRPr="002C21B8" w:rsidRDefault="00D8447C" w:rsidP="001C0300">
            <w:pPr>
              <w:pStyle w:val="ListParagraph"/>
              <w:numPr>
                <w:ilvl w:val="0"/>
                <w:numId w:val="48"/>
              </w:numPr>
              <w:spacing w:after="80" w:line="240" w:lineRule="auto"/>
              <w:ind w:left="272" w:hanging="272"/>
              <w:jc w:val="left"/>
              <w:rPr>
                <w:sz w:val="16"/>
                <w:szCs w:val="16"/>
              </w:rPr>
            </w:pPr>
            <w:r w:rsidRPr="002C21B8">
              <w:rPr>
                <w:sz w:val="16"/>
                <w:szCs w:val="16"/>
              </w:rPr>
              <w:t>Drug company patient information leaflet about tolvaptan</w:t>
            </w:r>
          </w:p>
        </w:tc>
        <w:tc>
          <w:tcPr>
            <w:tcW w:w="2514" w:type="dxa"/>
            <w:shd w:val="clear" w:color="auto" w:fill="auto"/>
          </w:tcPr>
          <w:p w14:paraId="18500734" w14:textId="43C2A098"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Standard operating procedure to guide prescribing, initiation and monitoring of tolvaptan</w:t>
            </w:r>
          </w:p>
          <w:p w14:paraId="513119B3"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Local guideline for eligibility assessment (available to all clinicians)</w:t>
            </w:r>
          </w:p>
          <w:p w14:paraId="63B3D0A0"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Patient information leaflet designed by the kidney centre about tolvaptan</w:t>
            </w:r>
          </w:p>
        </w:tc>
        <w:tc>
          <w:tcPr>
            <w:tcW w:w="2514" w:type="dxa"/>
            <w:shd w:val="clear" w:color="auto" w:fill="auto"/>
          </w:tcPr>
          <w:p w14:paraId="045779D9"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Standard operating procedure to guide prescribing, initiation and monitoring of tolvaptan</w:t>
            </w:r>
          </w:p>
          <w:p w14:paraId="2AEA26A4"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Local guideline for eligibility assessment (available to all clinicians)</w:t>
            </w:r>
          </w:p>
          <w:p w14:paraId="73D92CE1" w14:textId="77777777" w:rsidR="00D8447C" w:rsidRPr="002C21B8" w:rsidRDefault="00D8447C" w:rsidP="001C0300">
            <w:pPr>
              <w:pStyle w:val="ListParagraph"/>
              <w:numPr>
                <w:ilvl w:val="0"/>
                <w:numId w:val="48"/>
              </w:numPr>
              <w:spacing w:before="80" w:after="80" w:line="240" w:lineRule="auto"/>
              <w:ind w:left="271" w:hanging="271"/>
              <w:jc w:val="left"/>
              <w:rPr>
                <w:sz w:val="16"/>
                <w:szCs w:val="16"/>
              </w:rPr>
            </w:pPr>
            <w:r w:rsidRPr="002C21B8">
              <w:rPr>
                <w:sz w:val="16"/>
                <w:szCs w:val="16"/>
              </w:rPr>
              <w:t>Patient information leaflet designed by the kidney centre about tolvaptan</w:t>
            </w:r>
          </w:p>
        </w:tc>
      </w:tr>
    </w:tbl>
    <w:p w14:paraId="39ACF6C7" w14:textId="77777777" w:rsidR="0069682D" w:rsidRPr="002C21B8" w:rsidRDefault="0069682D" w:rsidP="005E4945">
      <w:pPr>
        <w:spacing w:before="120" w:after="120" w:line="240" w:lineRule="auto"/>
        <w:jc w:val="left"/>
        <w:rPr>
          <w:sz w:val="16"/>
          <w:szCs w:val="16"/>
        </w:rPr>
      </w:pPr>
    </w:p>
    <w:p w14:paraId="4D33356E" w14:textId="77777777" w:rsidR="005E4945" w:rsidRPr="002C21B8" w:rsidRDefault="005E4945" w:rsidP="00EC4437">
      <w:pPr>
        <w:spacing w:before="240" w:after="0"/>
        <w:rPr>
          <w:b/>
          <w:bCs/>
          <w:sz w:val="24"/>
          <w:szCs w:val="24"/>
        </w:rPr>
      </w:pPr>
      <w:r w:rsidRPr="002C21B8">
        <w:rPr>
          <w:b/>
          <w:bCs/>
          <w:sz w:val="24"/>
          <w:szCs w:val="24"/>
        </w:rPr>
        <w:t>Description of the three cases</w:t>
      </w:r>
    </w:p>
    <w:p w14:paraId="40958857" w14:textId="1B6123E3" w:rsidR="005E4945" w:rsidRPr="002C21B8" w:rsidRDefault="005E4945" w:rsidP="005E4945">
      <w:pPr>
        <w:sectPr w:rsidR="005E4945" w:rsidRPr="002C21B8" w:rsidSect="0009672F">
          <w:headerReference w:type="default" r:id="rId44"/>
          <w:headerReference w:type="first" r:id="rId45"/>
          <w:footerReference w:type="first" r:id="rId46"/>
          <w:type w:val="continuous"/>
          <w:pgSz w:w="11906" w:h="16838"/>
          <w:pgMar w:top="1440" w:right="1440" w:bottom="1440" w:left="1440" w:header="708" w:footer="708" w:gutter="0"/>
          <w:cols w:space="708"/>
          <w:titlePg/>
          <w:docGrid w:linePitch="360"/>
        </w:sectPr>
      </w:pPr>
      <w:r w:rsidRPr="002C21B8">
        <w:fldChar w:fldCharType="begin"/>
      </w:r>
      <w:r w:rsidRPr="002C21B8">
        <w:instrText xml:space="preserve"> REF _Ref219361723 \h </w:instrText>
      </w:r>
      <w:r w:rsidR="00585F6D" w:rsidRPr="002C21B8">
        <w:instrText xml:space="preserve"> \* MERGEFORMAT </w:instrText>
      </w:r>
      <w:r w:rsidRPr="002C21B8">
        <w:fldChar w:fldCharType="separate"/>
      </w:r>
      <w:r w:rsidR="00DB3709" w:rsidRPr="002C21B8">
        <w:t xml:space="preserve">Table </w:t>
      </w:r>
      <w:r w:rsidR="00DB3709">
        <w:t>16</w:t>
      </w:r>
      <w:r w:rsidRPr="002C21B8">
        <w:fldChar w:fldCharType="end"/>
      </w:r>
      <w:r w:rsidRPr="002C21B8">
        <w:t xml:space="preserve"> summarises the characteristics of the three kidney centres forming the cases in this study.</w:t>
      </w:r>
      <w:r w:rsidR="00FF3412" w:rsidRPr="002C21B8">
        <w:t xml:space="preserve"> Case 1 was a small kidney centre with an estimated fewer than 150 ADPKD patients and ADPKD care organised in a generalist</w:t>
      </w:r>
      <w:r w:rsidR="00C66535" w:rsidRPr="002C21B8">
        <w:t xml:space="preserve"> clinic model with multiple general nephrology clinics. Case 2 was a </w:t>
      </w:r>
      <w:r w:rsidR="00FF3412" w:rsidRPr="002C21B8">
        <w:t>large kidney centre with an estimated 301</w:t>
      </w:r>
      <w:r w:rsidR="0025002D" w:rsidRPr="002C21B8">
        <w:t>–</w:t>
      </w:r>
      <w:r w:rsidR="00FF3412" w:rsidRPr="002C21B8">
        <w:t>600 ADPKD patients</w:t>
      </w:r>
      <w:r w:rsidR="00C66535" w:rsidRPr="002C21B8">
        <w:t xml:space="preserve"> with </w:t>
      </w:r>
      <w:r w:rsidR="0018580A" w:rsidRPr="002C21B8">
        <w:t xml:space="preserve">ADPKD </w:t>
      </w:r>
      <w:r w:rsidR="00C66535" w:rsidRPr="002C21B8">
        <w:t>care organised in a condition-specific clinic model with a single renal genetics clinic. Case 3 was also a large kidney centre with an estimated 301</w:t>
      </w:r>
      <w:r w:rsidR="00255AB4" w:rsidRPr="002C21B8">
        <w:t>–</w:t>
      </w:r>
      <w:r w:rsidR="00C66535" w:rsidRPr="002C21B8">
        <w:t>600 ADPKD patients, but ADPKD care</w:t>
      </w:r>
      <w:r w:rsidR="00A93698" w:rsidRPr="002C21B8">
        <w:t xml:space="preserve"> was</w:t>
      </w:r>
      <w:r w:rsidR="00C66535" w:rsidRPr="002C21B8">
        <w:t xml:space="preserve"> organised in a hybrid model with a renal genetics clinic and multiple general nephrology clinics.</w:t>
      </w:r>
    </w:p>
    <w:p w14:paraId="439C411B" w14:textId="66D1689D" w:rsidR="005E4945" w:rsidRPr="002C21B8" w:rsidRDefault="005E4945" w:rsidP="00DF4C05">
      <w:pPr>
        <w:pStyle w:val="Caption"/>
        <w:keepNext w:val="0"/>
        <w:rPr>
          <w:noProof w:val="0"/>
        </w:rPr>
      </w:pPr>
      <w:bookmarkStart w:id="179" w:name="_Ref219361723"/>
      <w:bookmarkStart w:id="180" w:name="_Toc236991752"/>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16</w:t>
      </w:r>
      <w:r w:rsidRPr="002C21B8">
        <w:rPr>
          <w:noProof w:val="0"/>
        </w:rPr>
        <w:fldChar w:fldCharType="end"/>
      </w:r>
      <w:bookmarkEnd w:id="179"/>
      <w:r w:rsidRPr="002C21B8">
        <w:rPr>
          <w:noProof w:val="0"/>
        </w:rPr>
        <w:t>. Characteristics of cases participating in the multiple case study</w:t>
      </w:r>
      <w:bookmarkEnd w:id="180"/>
    </w:p>
    <w:tbl>
      <w:tblPr>
        <w:tblStyle w:val="TableGrid"/>
        <w:tblW w:w="1431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846"/>
        <w:gridCol w:w="4028"/>
        <w:gridCol w:w="4028"/>
      </w:tblGrid>
      <w:tr w:rsidR="005E4945" w:rsidRPr="002C21B8" w14:paraId="6ED17474" w14:textId="77777777" w:rsidTr="00B425C5">
        <w:tc>
          <w:tcPr>
            <w:tcW w:w="2410" w:type="dxa"/>
            <w:tcBorders>
              <w:top w:val="single" w:sz="12" w:space="0" w:color="auto"/>
              <w:bottom w:val="single" w:sz="6" w:space="0" w:color="auto"/>
            </w:tcBorders>
            <w:shd w:val="clear" w:color="auto" w:fill="auto"/>
            <w:vAlign w:val="center"/>
          </w:tcPr>
          <w:p w14:paraId="5C7A77EE" w14:textId="77777777" w:rsidR="005E4945" w:rsidRPr="002C21B8" w:rsidRDefault="005E4945" w:rsidP="00DF4C05">
            <w:pPr>
              <w:spacing w:after="0" w:line="240" w:lineRule="auto"/>
              <w:ind w:left="30"/>
              <w:jc w:val="left"/>
              <w:rPr>
                <w:b/>
                <w:bCs/>
                <w:sz w:val="16"/>
                <w:szCs w:val="16"/>
              </w:rPr>
            </w:pPr>
            <w:r w:rsidRPr="002C21B8">
              <w:rPr>
                <w:b/>
                <w:bCs/>
                <w:sz w:val="16"/>
                <w:szCs w:val="16"/>
              </w:rPr>
              <w:t>Characteristic</w:t>
            </w:r>
          </w:p>
        </w:tc>
        <w:tc>
          <w:tcPr>
            <w:tcW w:w="3846" w:type="dxa"/>
            <w:tcBorders>
              <w:top w:val="single" w:sz="12" w:space="0" w:color="auto"/>
              <w:bottom w:val="single" w:sz="6" w:space="0" w:color="auto"/>
            </w:tcBorders>
            <w:shd w:val="clear" w:color="auto" w:fill="auto"/>
            <w:vAlign w:val="center"/>
          </w:tcPr>
          <w:p w14:paraId="6157DE78" w14:textId="77777777" w:rsidR="005E4945" w:rsidRPr="002C21B8" w:rsidRDefault="005E4945" w:rsidP="00DF4C05">
            <w:pPr>
              <w:spacing w:after="0" w:line="240" w:lineRule="auto"/>
              <w:ind w:left="30"/>
              <w:jc w:val="center"/>
              <w:rPr>
                <w:b/>
                <w:bCs/>
                <w:sz w:val="16"/>
                <w:szCs w:val="16"/>
              </w:rPr>
            </w:pPr>
            <w:r w:rsidRPr="002C21B8">
              <w:rPr>
                <w:b/>
                <w:bCs/>
                <w:sz w:val="16"/>
                <w:szCs w:val="16"/>
              </w:rPr>
              <w:t>Case 1</w:t>
            </w:r>
          </w:p>
        </w:tc>
        <w:tc>
          <w:tcPr>
            <w:tcW w:w="4028" w:type="dxa"/>
            <w:tcBorders>
              <w:top w:val="single" w:sz="12" w:space="0" w:color="auto"/>
              <w:bottom w:val="single" w:sz="6" w:space="0" w:color="auto"/>
            </w:tcBorders>
            <w:shd w:val="clear" w:color="auto" w:fill="auto"/>
            <w:vAlign w:val="center"/>
          </w:tcPr>
          <w:p w14:paraId="02FE88D9" w14:textId="77777777" w:rsidR="005E4945" w:rsidRPr="002C21B8" w:rsidRDefault="005E4945" w:rsidP="00DF4C05">
            <w:pPr>
              <w:spacing w:after="0" w:line="240" w:lineRule="auto"/>
              <w:ind w:left="30"/>
              <w:jc w:val="center"/>
              <w:rPr>
                <w:b/>
                <w:bCs/>
                <w:sz w:val="16"/>
                <w:szCs w:val="16"/>
              </w:rPr>
            </w:pPr>
            <w:r w:rsidRPr="002C21B8">
              <w:rPr>
                <w:b/>
                <w:bCs/>
                <w:sz w:val="16"/>
                <w:szCs w:val="16"/>
              </w:rPr>
              <w:t>Case 2</w:t>
            </w:r>
          </w:p>
        </w:tc>
        <w:tc>
          <w:tcPr>
            <w:tcW w:w="4028" w:type="dxa"/>
            <w:tcBorders>
              <w:top w:val="single" w:sz="12" w:space="0" w:color="auto"/>
              <w:bottom w:val="single" w:sz="6" w:space="0" w:color="auto"/>
            </w:tcBorders>
            <w:shd w:val="clear" w:color="auto" w:fill="auto"/>
            <w:vAlign w:val="center"/>
          </w:tcPr>
          <w:p w14:paraId="79D4ABD8" w14:textId="77777777" w:rsidR="005E4945" w:rsidRPr="002C21B8" w:rsidRDefault="005E4945" w:rsidP="00DF4C05">
            <w:pPr>
              <w:spacing w:after="0" w:line="240" w:lineRule="auto"/>
              <w:ind w:left="30"/>
              <w:jc w:val="center"/>
              <w:rPr>
                <w:b/>
                <w:bCs/>
                <w:sz w:val="16"/>
                <w:szCs w:val="16"/>
              </w:rPr>
            </w:pPr>
            <w:r w:rsidRPr="002C21B8">
              <w:rPr>
                <w:b/>
                <w:bCs/>
                <w:sz w:val="16"/>
                <w:szCs w:val="16"/>
              </w:rPr>
              <w:t>Case 3</w:t>
            </w:r>
          </w:p>
        </w:tc>
      </w:tr>
      <w:tr w:rsidR="005E4945" w:rsidRPr="002C21B8" w14:paraId="7931A0C0" w14:textId="77777777" w:rsidTr="00B425C5">
        <w:tc>
          <w:tcPr>
            <w:tcW w:w="2410" w:type="dxa"/>
            <w:tcBorders>
              <w:top w:val="single" w:sz="6" w:space="0" w:color="auto"/>
            </w:tcBorders>
            <w:shd w:val="clear" w:color="auto" w:fill="auto"/>
            <w:vAlign w:val="center"/>
          </w:tcPr>
          <w:p w14:paraId="746D87FD" w14:textId="77777777" w:rsidR="005E4945" w:rsidRPr="002C21B8" w:rsidRDefault="005E4945" w:rsidP="00DF4C05">
            <w:pPr>
              <w:spacing w:after="0" w:line="240" w:lineRule="auto"/>
              <w:ind w:left="30"/>
              <w:jc w:val="left"/>
              <w:rPr>
                <w:sz w:val="16"/>
                <w:szCs w:val="16"/>
              </w:rPr>
            </w:pPr>
            <w:r w:rsidRPr="002C21B8">
              <w:rPr>
                <w:sz w:val="16"/>
                <w:szCs w:val="16"/>
              </w:rPr>
              <w:t>Variation in practice</w:t>
            </w:r>
          </w:p>
        </w:tc>
        <w:tc>
          <w:tcPr>
            <w:tcW w:w="3846" w:type="dxa"/>
            <w:tcBorders>
              <w:top w:val="single" w:sz="6" w:space="0" w:color="auto"/>
            </w:tcBorders>
            <w:shd w:val="clear" w:color="auto" w:fill="auto"/>
            <w:vAlign w:val="center"/>
          </w:tcPr>
          <w:p w14:paraId="2906ECDF" w14:textId="204BD5AF" w:rsidR="005E4945" w:rsidRPr="002C21B8" w:rsidRDefault="005E4945" w:rsidP="00DF4C05">
            <w:pPr>
              <w:spacing w:after="0" w:line="240" w:lineRule="auto"/>
              <w:ind w:left="30"/>
              <w:jc w:val="center"/>
              <w:rPr>
                <w:sz w:val="16"/>
                <w:szCs w:val="16"/>
              </w:rPr>
            </w:pPr>
            <w:r w:rsidRPr="002C21B8">
              <w:rPr>
                <w:sz w:val="16"/>
                <w:szCs w:val="16"/>
              </w:rPr>
              <w:t xml:space="preserve">Prescribing in appropriate patients </w:t>
            </w:r>
            <w:r w:rsidR="00114F6F" w:rsidRPr="002C21B8">
              <w:rPr>
                <w:sz w:val="16"/>
                <w:szCs w:val="16"/>
              </w:rPr>
              <w:t>higher</w:t>
            </w:r>
            <w:r w:rsidRPr="002C21B8">
              <w:rPr>
                <w:sz w:val="16"/>
                <w:szCs w:val="16"/>
              </w:rPr>
              <w:t xml:space="preserve"> than average</w:t>
            </w:r>
          </w:p>
        </w:tc>
        <w:tc>
          <w:tcPr>
            <w:tcW w:w="4028" w:type="dxa"/>
            <w:tcBorders>
              <w:top w:val="single" w:sz="6" w:space="0" w:color="auto"/>
            </w:tcBorders>
            <w:shd w:val="clear" w:color="auto" w:fill="auto"/>
            <w:vAlign w:val="center"/>
          </w:tcPr>
          <w:p w14:paraId="09B9F983" w14:textId="6F97A2E4" w:rsidR="005E4945" w:rsidRPr="002C21B8" w:rsidRDefault="005E4945" w:rsidP="00DF4C05">
            <w:pPr>
              <w:spacing w:after="0" w:line="240" w:lineRule="auto"/>
              <w:ind w:left="30"/>
              <w:jc w:val="center"/>
              <w:rPr>
                <w:sz w:val="16"/>
                <w:szCs w:val="16"/>
              </w:rPr>
            </w:pPr>
            <w:r w:rsidRPr="002C21B8">
              <w:rPr>
                <w:sz w:val="16"/>
                <w:szCs w:val="16"/>
              </w:rPr>
              <w:t xml:space="preserve">Prescribing in appropriate patients </w:t>
            </w:r>
            <w:r w:rsidR="00114F6F" w:rsidRPr="002C21B8">
              <w:rPr>
                <w:sz w:val="16"/>
                <w:szCs w:val="16"/>
              </w:rPr>
              <w:t xml:space="preserve">higher </w:t>
            </w:r>
            <w:r w:rsidRPr="002C21B8">
              <w:rPr>
                <w:sz w:val="16"/>
                <w:szCs w:val="16"/>
              </w:rPr>
              <w:t>than average</w:t>
            </w:r>
          </w:p>
        </w:tc>
        <w:tc>
          <w:tcPr>
            <w:tcW w:w="4028" w:type="dxa"/>
            <w:tcBorders>
              <w:top w:val="single" w:sz="6" w:space="0" w:color="auto"/>
            </w:tcBorders>
            <w:shd w:val="clear" w:color="auto" w:fill="auto"/>
            <w:vAlign w:val="center"/>
          </w:tcPr>
          <w:p w14:paraId="3EA5C98B" w14:textId="77777777" w:rsidR="005E4945" w:rsidRPr="002C21B8" w:rsidRDefault="005E4945" w:rsidP="00DF4C05">
            <w:pPr>
              <w:spacing w:after="0" w:line="240" w:lineRule="auto"/>
              <w:ind w:left="30"/>
              <w:jc w:val="center"/>
              <w:rPr>
                <w:sz w:val="16"/>
                <w:szCs w:val="16"/>
              </w:rPr>
            </w:pPr>
            <w:r w:rsidRPr="002C21B8">
              <w:rPr>
                <w:sz w:val="16"/>
                <w:szCs w:val="16"/>
              </w:rPr>
              <w:t>Higher than expected rates of potential missed opportunities and inappropriate initiations</w:t>
            </w:r>
          </w:p>
        </w:tc>
      </w:tr>
      <w:tr w:rsidR="005E4945" w:rsidRPr="002C21B8" w14:paraId="15BBBCB8" w14:textId="77777777" w:rsidTr="00B425C5">
        <w:tc>
          <w:tcPr>
            <w:tcW w:w="2410" w:type="dxa"/>
            <w:shd w:val="clear" w:color="auto" w:fill="auto"/>
            <w:vAlign w:val="center"/>
          </w:tcPr>
          <w:p w14:paraId="7FF0DBFC" w14:textId="77777777" w:rsidR="005E4945" w:rsidRPr="002C21B8" w:rsidRDefault="005E4945" w:rsidP="00DF4C05">
            <w:pPr>
              <w:spacing w:after="0" w:line="240" w:lineRule="auto"/>
              <w:ind w:left="30"/>
              <w:jc w:val="left"/>
              <w:rPr>
                <w:sz w:val="16"/>
                <w:szCs w:val="16"/>
              </w:rPr>
            </w:pPr>
            <w:r w:rsidRPr="002C21B8">
              <w:rPr>
                <w:sz w:val="16"/>
                <w:szCs w:val="16"/>
              </w:rPr>
              <w:t>Setting</w:t>
            </w:r>
          </w:p>
        </w:tc>
        <w:tc>
          <w:tcPr>
            <w:tcW w:w="3846" w:type="dxa"/>
            <w:shd w:val="clear" w:color="auto" w:fill="auto"/>
            <w:vAlign w:val="center"/>
          </w:tcPr>
          <w:p w14:paraId="56344483" w14:textId="77777777" w:rsidR="005E4945" w:rsidRPr="002C21B8" w:rsidRDefault="005E4945" w:rsidP="00DF4C05">
            <w:pPr>
              <w:spacing w:after="0" w:line="240" w:lineRule="auto"/>
              <w:ind w:left="30"/>
              <w:jc w:val="center"/>
              <w:rPr>
                <w:sz w:val="16"/>
                <w:szCs w:val="16"/>
              </w:rPr>
            </w:pPr>
            <w:r w:rsidRPr="002C21B8">
              <w:rPr>
                <w:sz w:val="16"/>
                <w:szCs w:val="16"/>
              </w:rPr>
              <w:t>Teaching hospital</w:t>
            </w:r>
          </w:p>
        </w:tc>
        <w:tc>
          <w:tcPr>
            <w:tcW w:w="4028" w:type="dxa"/>
            <w:shd w:val="clear" w:color="auto" w:fill="auto"/>
            <w:vAlign w:val="center"/>
          </w:tcPr>
          <w:p w14:paraId="2E353A12" w14:textId="77777777" w:rsidR="005E4945" w:rsidRPr="002C21B8" w:rsidRDefault="005E4945" w:rsidP="00DF4C05">
            <w:pPr>
              <w:spacing w:after="0" w:line="240" w:lineRule="auto"/>
              <w:ind w:left="30"/>
              <w:jc w:val="center"/>
              <w:rPr>
                <w:sz w:val="16"/>
                <w:szCs w:val="16"/>
              </w:rPr>
            </w:pPr>
            <w:r w:rsidRPr="002C21B8">
              <w:rPr>
                <w:sz w:val="16"/>
                <w:szCs w:val="16"/>
              </w:rPr>
              <w:t>Teaching hospital</w:t>
            </w:r>
          </w:p>
        </w:tc>
        <w:tc>
          <w:tcPr>
            <w:tcW w:w="4028" w:type="dxa"/>
            <w:shd w:val="clear" w:color="auto" w:fill="auto"/>
            <w:vAlign w:val="center"/>
          </w:tcPr>
          <w:p w14:paraId="4B018E45" w14:textId="77777777" w:rsidR="005E4945" w:rsidRPr="002C21B8" w:rsidRDefault="005E4945" w:rsidP="00DF4C05">
            <w:pPr>
              <w:spacing w:after="0" w:line="240" w:lineRule="auto"/>
              <w:ind w:left="30"/>
              <w:jc w:val="center"/>
              <w:rPr>
                <w:sz w:val="16"/>
                <w:szCs w:val="16"/>
              </w:rPr>
            </w:pPr>
            <w:r w:rsidRPr="002C21B8">
              <w:rPr>
                <w:sz w:val="16"/>
                <w:szCs w:val="16"/>
              </w:rPr>
              <w:t>Teaching hospital</w:t>
            </w:r>
          </w:p>
        </w:tc>
      </w:tr>
      <w:tr w:rsidR="005E4945" w:rsidRPr="002C21B8" w14:paraId="05A1EE84" w14:textId="77777777" w:rsidTr="00B425C5">
        <w:tc>
          <w:tcPr>
            <w:tcW w:w="2410" w:type="dxa"/>
            <w:shd w:val="clear" w:color="auto" w:fill="auto"/>
            <w:vAlign w:val="center"/>
          </w:tcPr>
          <w:p w14:paraId="5E43958A" w14:textId="77777777" w:rsidR="005E4945" w:rsidRPr="002C21B8" w:rsidRDefault="005E4945" w:rsidP="00DF4C05">
            <w:pPr>
              <w:spacing w:after="0" w:line="240" w:lineRule="auto"/>
              <w:ind w:left="30"/>
              <w:jc w:val="left"/>
              <w:rPr>
                <w:sz w:val="16"/>
                <w:szCs w:val="16"/>
              </w:rPr>
            </w:pPr>
            <w:r w:rsidRPr="002C21B8">
              <w:rPr>
                <w:sz w:val="16"/>
                <w:szCs w:val="16"/>
              </w:rPr>
              <w:t>Catchment area</w:t>
            </w:r>
          </w:p>
        </w:tc>
        <w:tc>
          <w:tcPr>
            <w:tcW w:w="3846" w:type="dxa"/>
            <w:shd w:val="clear" w:color="auto" w:fill="auto"/>
            <w:vAlign w:val="center"/>
          </w:tcPr>
          <w:p w14:paraId="61CCBFE6" w14:textId="77777777" w:rsidR="005E4945" w:rsidRPr="002C21B8" w:rsidRDefault="005E4945" w:rsidP="00DF4C05">
            <w:pPr>
              <w:spacing w:after="0" w:line="240" w:lineRule="auto"/>
              <w:ind w:left="30"/>
              <w:jc w:val="center"/>
              <w:rPr>
                <w:sz w:val="16"/>
                <w:szCs w:val="16"/>
              </w:rPr>
            </w:pPr>
            <w:r w:rsidRPr="002C21B8">
              <w:rPr>
                <w:sz w:val="16"/>
                <w:szCs w:val="16"/>
              </w:rPr>
              <w:t>3,400 km</w:t>
            </w:r>
            <w:r w:rsidRPr="002C21B8">
              <w:rPr>
                <w:sz w:val="16"/>
                <w:szCs w:val="16"/>
                <w:vertAlign w:val="superscript"/>
              </w:rPr>
              <w:t>2</w:t>
            </w:r>
          </w:p>
        </w:tc>
        <w:tc>
          <w:tcPr>
            <w:tcW w:w="4028" w:type="dxa"/>
            <w:shd w:val="clear" w:color="auto" w:fill="auto"/>
            <w:vAlign w:val="center"/>
          </w:tcPr>
          <w:p w14:paraId="06EAC28F" w14:textId="77777777" w:rsidR="005E4945" w:rsidRPr="002C21B8" w:rsidRDefault="005E4945" w:rsidP="00DF4C05">
            <w:pPr>
              <w:spacing w:after="0" w:line="240" w:lineRule="auto"/>
              <w:ind w:left="30"/>
              <w:jc w:val="center"/>
              <w:rPr>
                <w:sz w:val="16"/>
                <w:szCs w:val="16"/>
              </w:rPr>
            </w:pPr>
            <w:r w:rsidRPr="002C21B8">
              <w:rPr>
                <w:sz w:val="16"/>
                <w:szCs w:val="16"/>
              </w:rPr>
              <w:t>5,300 km</w:t>
            </w:r>
            <w:r w:rsidRPr="002C21B8">
              <w:rPr>
                <w:sz w:val="16"/>
                <w:szCs w:val="16"/>
                <w:vertAlign w:val="superscript"/>
              </w:rPr>
              <w:t>2</w:t>
            </w:r>
          </w:p>
        </w:tc>
        <w:tc>
          <w:tcPr>
            <w:tcW w:w="4028" w:type="dxa"/>
            <w:shd w:val="clear" w:color="auto" w:fill="auto"/>
            <w:vAlign w:val="center"/>
          </w:tcPr>
          <w:p w14:paraId="77369FEB" w14:textId="77777777" w:rsidR="005E4945" w:rsidRPr="002C21B8" w:rsidRDefault="005E4945" w:rsidP="00DF4C05">
            <w:pPr>
              <w:spacing w:after="0" w:line="240" w:lineRule="auto"/>
              <w:ind w:left="30"/>
              <w:jc w:val="center"/>
              <w:rPr>
                <w:sz w:val="16"/>
                <w:szCs w:val="16"/>
              </w:rPr>
            </w:pPr>
            <w:r w:rsidRPr="002C21B8">
              <w:rPr>
                <w:sz w:val="16"/>
                <w:szCs w:val="16"/>
              </w:rPr>
              <w:t>1,200 km</w:t>
            </w:r>
            <w:r w:rsidRPr="002C21B8">
              <w:rPr>
                <w:sz w:val="16"/>
                <w:szCs w:val="16"/>
                <w:vertAlign w:val="superscript"/>
              </w:rPr>
              <w:t>2</w:t>
            </w:r>
          </w:p>
        </w:tc>
      </w:tr>
      <w:tr w:rsidR="005E4945" w:rsidRPr="002C21B8" w14:paraId="22EECF29" w14:textId="77777777" w:rsidTr="00B425C5">
        <w:tc>
          <w:tcPr>
            <w:tcW w:w="2410" w:type="dxa"/>
            <w:shd w:val="clear" w:color="auto" w:fill="auto"/>
            <w:vAlign w:val="center"/>
          </w:tcPr>
          <w:p w14:paraId="3047DFE6" w14:textId="77777777" w:rsidR="005E4945" w:rsidRPr="002C21B8" w:rsidRDefault="005E4945" w:rsidP="00DF4C05">
            <w:pPr>
              <w:spacing w:after="0" w:line="240" w:lineRule="auto"/>
              <w:ind w:left="30"/>
              <w:jc w:val="left"/>
              <w:rPr>
                <w:sz w:val="16"/>
                <w:szCs w:val="16"/>
              </w:rPr>
            </w:pPr>
            <w:r w:rsidRPr="002C21B8">
              <w:rPr>
                <w:sz w:val="16"/>
                <w:szCs w:val="16"/>
              </w:rPr>
              <w:t>Approximate population catchment size</w:t>
            </w:r>
          </w:p>
        </w:tc>
        <w:tc>
          <w:tcPr>
            <w:tcW w:w="3846" w:type="dxa"/>
            <w:shd w:val="clear" w:color="auto" w:fill="auto"/>
            <w:vAlign w:val="center"/>
          </w:tcPr>
          <w:p w14:paraId="506538E5" w14:textId="77777777" w:rsidR="005E4945" w:rsidRPr="002C21B8" w:rsidRDefault="005E4945" w:rsidP="00DF4C05">
            <w:pPr>
              <w:spacing w:after="0" w:line="240" w:lineRule="auto"/>
              <w:ind w:left="30"/>
              <w:jc w:val="center"/>
              <w:rPr>
                <w:sz w:val="16"/>
                <w:szCs w:val="16"/>
              </w:rPr>
            </w:pPr>
            <w:r w:rsidRPr="002C21B8">
              <w:rPr>
                <w:sz w:val="16"/>
                <w:szCs w:val="16"/>
              </w:rPr>
              <w:t>0.8 million</w:t>
            </w:r>
          </w:p>
        </w:tc>
        <w:tc>
          <w:tcPr>
            <w:tcW w:w="4028" w:type="dxa"/>
            <w:shd w:val="clear" w:color="auto" w:fill="auto"/>
            <w:vAlign w:val="center"/>
          </w:tcPr>
          <w:p w14:paraId="564487D3" w14:textId="77777777" w:rsidR="005E4945" w:rsidRPr="002C21B8" w:rsidRDefault="005E4945" w:rsidP="00DF4C05">
            <w:pPr>
              <w:spacing w:after="0" w:line="240" w:lineRule="auto"/>
              <w:ind w:left="30"/>
              <w:jc w:val="center"/>
              <w:rPr>
                <w:sz w:val="16"/>
                <w:szCs w:val="16"/>
              </w:rPr>
            </w:pPr>
            <w:r w:rsidRPr="002C21B8">
              <w:rPr>
                <w:sz w:val="16"/>
                <w:szCs w:val="16"/>
              </w:rPr>
              <w:t>1.0 million</w:t>
            </w:r>
          </w:p>
        </w:tc>
        <w:tc>
          <w:tcPr>
            <w:tcW w:w="4028" w:type="dxa"/>
            <w:shd w:val="clear" w:color="auto" w:fill="auto"/>
            <w:vAlign w:val="center"/>
          </w:tcPr>
          <w:p w14:paraId="1E1B934E" w14:textId="77777777" w:rsidR="005E4945" w:rsidRPr="002C21B8" w:rsidRDefault="005E4945" w:rsidP="00DF4C05">
            <w:pPr>
              <w:spacing w:after="0" w:line="240" w:lineRule="auto"/>
              <w:ind w:left="30"/>
              <w:jc w:val="center"/>
              <w:rPr>
                <w:sz w:val="16"/>
                <w:szCs w:val="16"/>
              </w:rPr>
            </w:pPr>
            <w:r w:rsidRPr="002C21B8">
              <w:rPr>
                <w:sz w:val="16"/>
                <w:szCs w:val="16"/>
              </w:rPr>
              <w:t>1.4 million</w:t>
            </w:r>
          </w:p>
        </w:tc>
      </w:tr>
      <w:tr w:rsidR="005E4945" w:rsidRPr="002C21B8" w14:paraId="21E9A025" w14:textId="77777777" w:rsidTr="00B425C5">
        <w:tc>
          <w:tcPr>
            <w:tcW w:w="2410" w:type="dxa"/>
            <w:shd w:val="clear" w:color="auto" w:fill="auto"/>
            <w:vAlign w:val="center"/>
          </w:tcPr>
          <w:p w14:paraId="3E8E17BC" w14:textId="77777777" w:rsidR="005E4945" w:rsidRPr="002C21B8" w:rsidRDefault="005E4945" w:rsidP="00DF4C05">
            <w:pPr>
              <w:spacing w:after="0" w:line="240" w:lineRule="auto"/>
              <w:ind w:left="30"/>
              <w:jc w:val="left"/>
              <w:rPr>
                <w:sz w:val="16"/>
                <w:szCs w:val="16"/>
              </w:rPr>
            </w:pPr>
            <w:r w:rsidRPr="002C21B8">
              <w:rPr>
                <w:sz w:val="16"/>
                <w:szCs w:val="16"/>
              </w:rPr>
              <w:t>Approximate ADPKD patient numbers</w:t>
            </w:r>
          </w:p>
        </w:tc>
        <w:tc>
          <w:tcPr>
            <w:tcW w:w="3846" w:type="dxa"/>
            <w:shd w:val="clear" w:color="auto" w:fill="auto"/>
            <w:vAlign w:val="center"/>
          </w:tcPr>
          <w:p w14:paraId="6C3157D8" w14:textId="793B013A" w:rsidR="005E4945" w:rsidRPr="002C21B8" w:rsidRDefault="00114C5F" w:rsidP="00DF4C05">
            <w:pPr>
              <w:spacing w:after="0" w:line="240" w:lineRule="auto"/>
              <w:ind w:left="30"/>
              <w:jc w:val="center"/>
              <w:rPr>
                <w:sz w:val="16"/>
                <w:szCs w:val="16"/>
              </w:rPr>
            </w:pPr>
            <w:r w:rsidRPr="002C21B8">
              <w:rPr>
                <w:sz w:val="16"/>
                <w:szCs w:val="16"/>
              </w:rPr>
              <w:t>&lt;</w:t>
            </w:r>
            <w:r w:rsidR="005E4945" w:rsidRPr="002C21B8">
              <w:rPr>
                <w:sz w:val="16"/>
                <w:szCs w:val="16"/>
              </w:rPr>
              <w:t>150</w:t>
            </w:r>
          </w:p>
        </w:tc>
        <w:tc>
          <w:tcPr>
            <w:tcW w:w="4028" w:type="dxa"/>
            <w:shd w:val="clear" w:color="auto" w:fill="auto"/>
            <w:vAlign w:val="center"/>
          </w:tcPr>
          <w:p w14:paraId="3C03DD6C" w14:textId="77777777" w:rsidR="005E4945" w:rsidRPr="002C21B8" w:rsidRDefault="005E4945" w:rsidP="00DF4C05">
            <w:pPr>
              <w:spacing w:after="0" w:line="240" w:lineRule="auto"/>
              <w:ind w:left="30"/>
              <w:jc w:val="center"/>
              <w:rPr>
                <w:sz w:val="16"/>
                <w:szCs w:val="16"/>
              </w:rPr>
            </w:pPr>
            <w:r w:rsidRPr="002C21B8">
              <w:rPr>
                <w:sz w:val="16"/>
                <w:szCs w:val="16"/>
              </w:rPr>
              <w:t>301 to 600</w:t>
            </w:r>
          </w:p>
        </w:tc>
        <w:tc>
          <w:tcPr>
            <w:tcW w:w="4028" w:type="dxa"/>
            <w:shd w:val="clear" w:color="auto" w:fill="auto"/>
            <w:vAlign w:val="center"/>
          </w:tcPr>
          <w:p w14:paraId="7B525DE9" w14:textId="77777777" w:rsidR="005E4945" w:rsidRPr="002C21B8" w:rsidRDefault="005E4945" w:rsidP="00DF4C05">
            <w:pPr>
              <w:spacing w:after="0" w:line="240" w:lineRule="auto"/>
              <w:ind w:left="30"/>
              <w:jc w:val="center"/>
              <w:rPr>
                <w:sz w:val="16"/>
                <w:szCs w:val="16"/>
              </w:rPr>
            </w:pPr>
            <w:r w:rsidRPr="002C21B8">
              <w:rPr>
                <w:sz w:val="16"/>
                <w:szCs w:val="16"/>
              </w:rPr>
              <w:t>301 to 600</w:t>
            </w:r>
          </w:p>
        </w:tc>
      </w:tr>
      <w:tr w:rsidR="005E4945" w:rsidRPr="002C21B8" w14:paraId="583A1481" w14:textId="77777777" w:rsidTr="00B425C5">
        <w:tc>
          <w:tcPr>
            <w:tcW w:w="2410" w:type="dxa"/>
            <w:shd w:val="clear" w:color="auto" w:fill="auto"/>
            <w:vAlign w:val="center"/>
          </w:tcPr>
          <w:p w14:paraId="1AB15F85" w14:textId="77777777" w:rsidR="005E4945" w:rsidRPr="002C21B8" w:rsidRDefault="005E4945" w:rsidP="00DF4C05">
            <w:pPr>
              <w:spacing w:after="0" w:line="240" w:lineRule="auto"/>
              <w:ind w:left="30"/>
              <w:jc w:val="left"/>
              <w:rPr>
                <w:sz w:val="16"/>
                <w:szCs w:val="16"/>
              </w:rPr>
            </w:pPr>
            <w:r w:rsidRPr="002C21B8">
              <w:rPr>
                <w:sz w:val="16"/>
                <w:szCs w:val="16"/>
              </w:rPr>
              <w:t xml:space="preserve">Number of nephrology consultants </w:t>
            </w:r>
          </w:p>
        </w:tc>
        <w:tc>
          <w:tcPr>
            <w:tcW w:w="3846" w:type="dxa"/>
            <w:shd w:val="clear" w:color="auto" w:fill="auto"/>
            <w:vAlign w:val="center"/>
          </w:tcPr>
          <w:p w14:paraId="21AA2E03" w14:textId="77777777" w:rsidR="005E4945" w:rsidRPr="002C21B8" w:rsidRDefault="005E4945" w:rsidP="00DF4C05">
            <w:pPr>
              <w:spacing w:after="0" w:line="240" w:lineRule="auto"/>
              <w:ind w:left="30"/>
              <w:jc w:val="center"/>
              <w:rPr>
                <w:sz w:val="16"/>
                <w:szCs w:val="16"/>
              </w:rPr>
            </w:pPr>
            <w:r w:rsidRPr="002C21B8">
              <w:rPr>
                <w:sz w:val="16"/>
                <w:szCs w:val="16"/>
              </w:rPr>
              <w:t>8</w:t>
            </w:r>
          </w:p>
        </w:tc>
        <w:tc>
          <w:tcPr>
            <w:tcW w:w="4028" w:type="dxa"/>
            <w:shd w:val="clear" w:color="auto" w:fill="auto"/>
            <w:vAlign w:val="center"/>
          </w:tcPr>
          <w:p w14:paraId="18B3E183" w14:textId="77777777" w:rsidR="005E4945" w:rsidRPr="002C21B8" w:rsidRDefault="005E4945" w:rsidP="00DF4C05">
            <w:pPr>
              <w:spacing w:after="0" w:line="240" w:lineRule="auto"/>
              <w:ind w:left="30"/>
              <w:jc w:val="center"/>
              <w:rPr>
                <w:sz w:val="16"/>
                <w:szCs w:val="16"/>
              </w:rPr>
            </w:pPr>
            <w:r w:rsidRPr="002C21B8">
              <w:rPr>
                <w:sz w:val="16"/>
                <w:szCs w:val="16"/>
              </w:rPr>
              <w:t>18</w:t>
            </w:r>
          </w:p>
        </w:tc>
        <w:tc>
          <w:tcPr>
            <w:tcW w:w="4028" w:type="dxa"/>
            <w:shd w:val="clear" w:color="auto" w:fill="auto"/>
            <w:vAlign w:val="center"/>
          </w:tcPr>
          <w:p w14:paraId="47DF2FD0" w14:textId="77777777" w:rsidR="005E4945" w:rsidRPr="002C21B8" w:rsidRDefault="005E4945" w:rsidP="00DF4C05">
            <w:pPr>
              <w:spacing w:after="0" w:line="240" w:lineRule="auto"/>
              <w:ind w:left="30"/>
              <w:jc w:val="center"/>
              <w:rPr>
                <w:sz w:val="16"/>
                <w:szCs w:val="16"/>
              </w:rPr>
            </w:pPr>
            <w:r w:rsidRPr="002C21B8">
              <w:rPr>
                <w:sz w:val="16"/>
                <w:szCs w:val="16"/>
              </w:rPr>
              <w:t>18</w:t>
            </w:r>
          </w:p>
        </w:tc>
      </w:tr>
      <w:tr w:rsidR="005E4945" w:rsidRPr="002C21B8" w14:paraId="3D4C993A" w14:textId="77777777" w:rsidTr="00B425C5">
        <w:tc>
          <w:tcPr>
            <w:tcW w:w="2410" w:type="dxa"/>
            <w:shd w:val="clear" w:color="auto" w:fill="auto"/>
            <w:vAlign w:val="center"/>
          </w:tcPr>
          <w:p w14:paraId="47317FD1" w14:textId="4469FE3E" w:rsidR="005E4945" w:rsidRPr="002C21B8" w:rsidRDefault="00FF3412" w:rsidP="00DF4C05">
            <w:pPr>
              <w:spacing w:after="0" w:line="240" w:lineRule="auto"/>
              <w:ind w:left="30"/>
              <w:jc w:val="left"/>
              <w:rPr>
                <w:sz w:val="16"/>
                <w:szCs w:val="16"/>
              </w:rPr>
            </w:pPr>
            <w:r w:rsidRPr="002C21B8">
              <w:rPr>
                <w:sz w:val="16"/>
                <w:szCs w:val="16"/>
              </w:rPr>
              <w:t>O</w:t>
            </w:r>
            <w:r w:rsidR="005E4945" w:rsidRPr="002C21B8">
              <w:rPr>
                <w:sz w:val="16"/>
                <w:szCs w:val="16"/>
              </w:rPr>
              <w:t>rganisation of ADPKD care</w:t>
            </w:r>
          </w:p>
        </w:tc>
        <w:tc>
          <w:tcPr>
            <w:tcW w:w="3846" w:type="dxa"/>
            <w:shd w:val="clear" w:color="auto" w:fill="auto"/>
            <w:vAlign w:val="center"/>
          </w:tcPr>
          <w:p w14:paraId="51013E6E" w14:textId="66DB235E" w:rsidR="005E4945" w:rsidRPr="002C21B8" w:rsidRDefault="00DC5BA0" w:rsidP="00DF4C05">
            <w:pPr>
              <w:spacing w:after="0" w:line="240" w:lineRule="auto"/>
              <w:ind w:left="30"/>
              <w:jc w:val="center"/>
              <w:rPr>
                <w:sz w:val="16"/>
                <w:szCs w:val="16"/>
              </w:rPr>
            </w:pPr>
            <w:r w:rsidRPr="002C21B8">
              <w:rPr>
                <w:sz w:val="16"/>
                <w:szCs w:val="16"/>
              </w:rPr>
              <w:t>Generalist clinic model</w:t>
            </w:r>
          </w:p>
        </w:tc>
        <w:tc>
          <w:tcPr>
            <w:tcW w:w="4028" w:type="dxa"/>
            <w:shd w:val="clear" w:color="auto" w:fill="auto"/>
            <w:vAlign w:val="center"/>
          </w:tcPr>
          <w:p w14:paraId="37C4E312" w14:textId="32B77185" w:rsidR="005E4945" w:rsidRPr="002C21B8" w:rsidRDefault="00DC5BA0" w:rsidP="00DF4C05">
            <w:pPr>
              <w:spacing w:after="0" w:line="240" w:lineRule="auto"/>
              <w:ind w:left="30"/>
              <w:jc w:val="center"/>
              <w:rPr>
                <w:sz w:val="16"/>
                <w:szCs w:val="16"/>
              </w:rPr>
            </w:pPr>
            <w:r w:rsidRPr="002C21B8">
              <w:rPr>
                <w:sz w:val="16"/>
                <w:szCs w:val="16"/>
              </w:rPr>
              <w:t>Condition-specific clinic model</w:t>
            </w:r>
          </w:p>
        </w:tc>
        <w:tc>
          <w:tcPr>
            <w:tcW w:w="4028" w:type="dxa"/>
            <w:shd w:val="clear" w:color="auto" w:fill="auto"/>
            <w:vAlign w:val="center"/>
          </w:tcPr>
          <w:p w14:paraId="1747EC9A" w14:textId="2860B03B" w:rsidR="005E4945" w:rsidRPr="002C21B8" w:rsidRDefault="00DC5BA0" w:rsidP="00DF4C05">
            <w:pPr>
              <w:spacing w:after="0" w:line="240" w:lineRule="auto"/>
              <w:ind w:left="30"/>
              <w:jc w:val="center"/>
              <w:rPr>
                <w:sz w:val="16"/>
                <w:szCs w:val="16"/>
              </w:rPr>
            </w:pPr>
            <w:r w:rsidRPr="002C21B8">
              <w:rPr>
                <w:sz w:val="16"/>
                <w:szCs w:val="16"/>
              </w:rPr>
              <w:t>Hybrid model</w:t>
            </w:r>
          </w:p>
        </w:tc>
      </w:tr>
      <w:tr w:rsidR="005E4945" w:rsidRPr="002C21B8" w14:paraId="595DDDB5" w14:textId="77777777" w:rsidTr="00B425C5">
        <w:tc>
          <w:tcPr>
            <w:tcW w:w="2410" w:type="dxa"/>
            <w:shd w:val="clear" w:color="auto" w:fill="auto"/>
            <w:vAlign w:val="center"/>
          </w:tcPr>
          <w:p w14:paraId="3E9F1246" w14:textId="77777777" w:rsidR="005E4945" w:rsidRPr="002C21B8" w:rsidRDefault="005E4945" w:rsidP="00DF4C05">
            <w:pPr>
              <w:spacing w:after="0" w:line="240" w:lineRule="auto"/>
              <w:ind w:left="30"/>
              <w:jc w:val="left"/>
              <w:rPr>
                <w:sz w:val="16"/>
                <w:szCs w:val="16"/>
              </w:rPr>
            </w:pPr>
            <w:r w:rsidRPr="002C21B8">
              <w:rPr>
                <w:sz w:val="16"/>
                <w:szCs w:val="16"/>
              </w:rPr>
              <w:t>Location of ADPKD follow-up</w:t>
            </w:r>
          </w:p>
        </w:tc>
        <w:tc>
          <w:tcPr>
            <w:tcW w:w="3846" w:type="dxa"/>
            <w:shd w:val="clear" w:color="auto" w:fill="auto"/>
            <w:vAlign w:val="center"/>
          </w:tcPr>
          <w:p w14:paraId="778CD6DA" w14:textId="77E54ED1" w:rsidR="005E4945" w:rsidRPr="002C21B8" w:rsidRDefault="00C66535" w:rsidP="00DF4C05">
            <w:pPr>
              <w:spacing w:after="0" w:line="240" w:lineRule="auto"/>
              <w:ind w:left="30"/>
              <w:jc w:val="center"/>
              <w:rPr>
                <w:sz w:val="16"/>
                <w:szCs w:val="16"/>
              </w:rPr>
            </w:pPr>
            <w:r w:rsidRPr="002C21B8">
              <w:rPr>
                <w:sz w:val="16"/>
                <w:szCs w:val="16"/>
              </w:rPr>
              <w:t>Multiple g</w:t>
            </w:r>
            <w:r w:rsidR="005E4945" w:rsidRPr="002C21B8">
              <w:rPr>
                <w:sz w:val="16"/>
                <w:szCs w:val="16"/>
              </w:rPr>
              <w:t>eneral nephrology clinics</w:t>
            </w:r>
          </w:p>
        </w:tc>
        <w:tc>
          <w:tcPr>
            <w:tcW w:w="4028" w:type="dxa"/>
            <w:shd w:val="clear" w:color="auto" w:fill="auto"/>
            <w:vAlign w:val="center"/>
          </w:tcPr>
          <w:p w14:paraId="711B57B6" w14:textId="0EE4A101" w:rsidR="005E4945" w:rsidRPr="002C21B8" w:rsidRDefault="00C66535" w:rsidP="00DF4C05">
            <w:pPr>
              <w:spacing w:after="0" w:line="240" w:lineRule="auto"/>
              <w:ind w:left="30"/>
              <w:jc w:val="center"/>
              <w:rPr>
                <w:sz w:val="16"/>
                <w:szCs w:val="16"/>
              </w:rPr>
            </w:pPr>
            <w:r w:rsidRPr="002C21B8">
              <w:rPr>
                <w:sz w:val="16"/>
                <w:szCs w:val="16"/>
              </w:rPr>
              <w:t>A single r</w:t>
            </w:r>
            <w:r w:rsidR="005E4945" w:rsidRPr="002C21B8">
              <w:rPr>
                <w:sz w:val="16"/>
                <w:szCs w:val="16"/>
              </w:rPr>
              <w:t>enal genetics clinic</w:t>
            </w:r>
          </w:p>
        </w:tc>
        <w:tc>
          <w:tcPr>
            <w:tcW w:w="4028" w:type="dxa"/>
            <w:shd w:val="clear" w:color="auto" w:fill="auto"/>
            <w:vAlign w:val="center"/>
          </w:tcPr>
          <w:p w14:paraId="4100DE53" w14:textId="4D239A10" w:rsidR="005E4945" w:rsidRPr="002C21B8" w:rsidRDefault="00C66535" w:rsidP="00DF4C05">
            <w:pPr>
              <w:spacing w:after="0" w:line="240" w:lineRule="auto"/>
              <w:ind w:left="30"/>
              <w:jc w:val="center"/>
              <w:rPr>
                <w:sz w:val="16"/>
                <w:szCs w:val="16"/>
              </w:rPr>
            </w:pPr>
            <w:r w:rsidRPr="002C21B8">
              <w:rPr>
                <w:sz w:val="16"/>
                <w:szCs w:val="16"/>
              </w:rPr>
              <w:t>A single renal genetics clinic and multiple g</w:t>
            </w:r>
            <w:r w:rsidR="005E4945" w:rsidRPr="002C21B8">
              <w:rPr>
                <w:sz w:val="16"/>
                <w:szCs w:val="16"/>
              </w:rPr>
              <w:t>eneral nephrology clinics</w:t>
            </w:r>
          </w:p>
        </w:tc>
      </w:tr>
      <w:tr w:rsidR="005E4945" w:rsidRPr="002C21B8" w14:paraId="3275B232" w14:textId="77777777" w:rsidTr="00B425C5">
        <w:tc>
          <w:tcPr>
            <w:tcW w:w="2410" w:type="dxa"/>
            <w:shd w:val="clear" w:color="auto" w:fill="auto"/>
            <w:vAlign w:val="center"/>
          </w:tcPr>
          <w:p w14:paraId="010F5481" w14:textId="77777777" w:rsidR="005E4945" w:rsidRPr="002C21B8" w:rsidRDefault="005E4945" w:rsidP="00DF4C05">
            <w:pPr>
              <w:spacing w:after="0" w:line="240" w:lineRule="auto"/>
              <w:ind w:left="30"/>
              <w:jc w:val="left"/>
              <w:rPr>
                <w:sz w:val="16"/>
                <w:szCs w:val="16"/>
              </w:rPr>
            </w:pPr>
            <w:r w:rsidRPr="002C21B8">
              <w:rPr>
                <w:sz w:val="16"/>
                <w:szCs w:val="16"/>
              </w:rPr>
              <w:t>Professional roles directly involved</w:t>
            </w:r>
          </w:p>
        </w:tc>
        <w:tc>
          <w:tcPr>
            <w:tcW w:w="3846" w:type="dxa"/>
            <w:shd w:val="clear" w:color="auto" w:fill="auto"/>
            <w:vAlign w:val="center"/>
          </w:tcPr>
          <w:p w14:paraId="442993FB" w14:textId="77777777" w:rsidR="005E4945" w:rsidRPr="002C21B8" w:rsidRDefault="005E4945" w:rsidP="00DF4C05">
            <w:pPr>
              <w:spacing w:after="0" w:line="240" w:lineRule="auto"/>
              <w:ind w:left="30"/>
              <w:jc w:val="center"/>
              <w:rPr>
                <w:sz w:val="16"/>
                <w:szCs w:val="16"/>
              </w:rPr>
            </w:pPr>
            <w:r w:rsidRPr="002C21B8">
              <w:rPr>
                <w:sz w:val="16"/>
                <w:szCs w:val="16"/>
              </w:rPr>
              <w:t>1 consultant, 1 pharmacist</w:t>
            </w:r>
          </w:p>
        </w:tc>
        <w:tc>
          <w:tcPr>
            <w:tcW w:w="4028" w:type="dxa"/>
            <w:shd w:val="clear" w:color="auto" w:fill="auto"/>
            <w:vAlign w:val="center"/>
          </w:tcPr>
          <w:p w14:paraId="0A1EEA17" w14:textId="77777777" w:rsidR="005E4945" w:rsidRPr="002C21B8" w:rsidRDefault="005E4945" w:rsidP="00DF4C05">
            <w:pPr>
              <w:spacing w:after="0" w:line="240" w:lineRule="auto"/>
              <w:ind w:left="30"/>
              <w:jc w:val="center"/>
              <w:rPr>
                <w:sz w:val="16"/>
                <w:szCs w:val="16"/>
              </w:rPr>
            </w:pPr>
            <w:r w:rsidRPr="002C21B8">
              <w:rPr>
                <w:sz w:val="16"/>
                <w:szCs w:val="16"/>
              </w:rPr>
              <w:t>1 consultant, 1 trainee, 2 pharmacists</w:t>
            </w:r>
          </w:p>
        </w:tc>
        <w:tc>
          <w:tcPr>
            <w:tcW w:w="4028" w:type="dxa"/>
            <w:shd w:val="clear" w:color="auto" w:fill="auto"/>
            <w:vAlign w:val="center"/>
          </w:tcPr>
          <w:p w14:paraId="5F07347E" w14:textId="77777777" w:rsidR="005E4945" w:rsidRPr="002C21B8" w:rsidRDefault="005E4945" w:rsidP="00DF4C05">
            <w:pPr>
              <w:spacing w:after="0" w:line="240" w:lineRule="auto"/>
              <w:ind w:left="30"/>
              <w:jc w:val="center"/>
              <w:rPr>
                <w:sz w:val="16"/>
                <w:szCs w:val="16"/>
              </w:rPr>
            </w:pPr>
            <w:r w:rsidRPr="002C21B8">
              <w:rPr>
                <w:sz w:val="16"/>
                <w:szCs w:val="16"/>
              </w:rPr>
              <w:t>2 consultants, 1 nurse</w:t>
            </w:r>
          </w:p>
        </w:tc>
      </w:tr>
      <w:tr w:rsidR="005E4945" w:rsidRPr="002C21B8" w14:paraId="723ED626" w14:textId="77777777" w:rsidTr="00B425C5">
        <w:tc>
          <w:tcPr>
            <w:tcW w:w="2410" w:type="dxa"/>
            <w:shd w:val="clear" w:color="auto" w:fill="auto"/>
            <w:vAlign w:val="center"/>
          </w:tcPr>
          <w:p w14:paraId="6841FBA2" w14:textId="77777777" w:rsidR="005E4945" w:rsidRPr="002C21B8" w:rsidRDefault="005E4945" w:rsidP="00DF4C05">
            <w:pPr>
              <w:spacing w:after="0" w:line="240" w:lineRule="auto"/>
              <w:ind w:left="30"/>
              <w:jc w:val="left"/>
              <w:rPr>
                <w:sz w:val="16"/>
                <w:szCs w:val="16"/>
              </w:rPr>
            </w:pPr>
            <w:r w:rsidRPr="002C21B8">
              <w:rPr>
                <w:sz w:val="16"/>
                <w:szCs w:val="16"/>
              </w:rPr>
              <w:t>Tolvaptan clinic model</w:t>
            </w:r>
          </w:p>
        </w:tc>
        <w:tc>
          <w:tcPr>
            <w:tcW w:w="3846" w:type="dxa"/>
            <w:shd w:val="clear" w:color="auto" w:fill="auto"/>
            <w:vAlign w:val="center"/>
          </w:tcPr>
          <w:p w14:paraId="465F5D07" w14:textId="77777777" w:rsidR="005E4945" w:rsidRPr="002C21B8" w:rsidRDefault="005E4945" w:rsidP="00DF4C05">
            <w:pPr>
              <w:spacing w:after="0" w:line="240" w:lineRule="auto"/>
              <w:ind w:left="30"/>
              <w:jc w:val="center"/>
              <w:rPr>
                <w:sz w:val="16"/>
                <w:szCs w:val="16"/>
              </w:rPr>
            </w:pPr>
            <w:r w:rsidRPr="002C21B8">
              <w:rPr>
                <w:sz w:val="16"/>
                <w:szCs w:val="16"/>
              </w:rPr>
              <w:t>Initially no tolvaptan clinic. Later consultant and pharmacist-led clinic</w:t>
            </w:r>
          </w:p>
        </w:tc>
        <w:tc>
          <w:tcPr>
            <w:tcW w:w="4028" w:type="dxa"/>
            <w:shd w:val="clear" w:color="auto" w:fill="auto"/>
            <w:vAlign w:val="center"/>
          </w:tcPr>
          <w:p w14:paraId="5380B3F4" w14:textId="77777777" w:rsidR="005E4945" w:rsidRPr="002C21B8" w:rsidRDefault="005E4945" w:rsidP="00DF4C05">
            <w:pPr>
              <w:spacing w:after="0" w:line="240" w:lineRule="auto"/>
              <w:ind w:left="30"/>
              <w:jc w:val="center"/>
              <w:rPr>
                <w:sz w:val="16"/>
                <w:szCs w:val="16"/>
              </w:rPr>
            </w:pPr>
            <w:r w:rsidRPr="002C21B8">
              <w:rPr>
                <w:sz w:val="16"/>
                <w:szCs w:val="16"/>
              </w:rPr>
              <w:t>Pharmacist-led clinic</w:t>
            </w:r>
          </w:p>
        </w:tc>
        <w:tc>
          <w:tcPr>
            <w:tcW w:w="4028" w:type="dxa"/>
            <w:shd w:val="clear" w:color="auto" w:fill="auto"/>
            <w:vAlign w:val="center"/>
          </w:tcPr>
          <w:p w14:paraId="0B846C63" w14:textId="77777777" w:rsidR="005E4945" w:rsidRPr="002C21B8" w:rsidRDefault="005E4945" w:rsidP="00DF4C05">
            <w:pPr>
              <w:spacing w:after="0" w:line="240" w:lineRule="auto"/>
              <w:ind w:left="30"/>
              <w:jc w:val="center"/>
              <w:rPr>
                <w:sz w:val="16"/>
                <w:szCs w:val="16"/>
              </w:rPr>
            </w:pPr>
            <w:r w:rsidRPr="002C21B8">
              <w:rPr>
                <w:sz w:val="16"/>
                <w:szCs w:val="16"/>
              </w:rPr>
              <w:t>Rotating junior clinical fellow then later nurse-led clinic</w:t>
            </w:r>
          </w:p>
        </w:tc>
      </w:tr>
      <w:tr w:rsidR="005E4945" w:rsidRPr="002C21B8" w14:paraId="20EF9CB9" w14:textId="77777777" w:rsidTr="00B425C5">
        <w:tc>
          <w:tcPr>
            <w:tcW w:w="2410" w:type="dxa"/>
            <w:shd w:val="clear" w:color="auto" w:fill="auto"/>
            <w:vAlign w:val="center"/>
          </w:tcPr>
          <w:p w14:paraId="6FAA54E1" w14:textId="77777777" w:rsidR="005E4945" w:rsidRPr="002C21B8" w:rsidRDefault="005E4945" w:rsidP="00DF4C05">
            <w:pPr>
              <w:spacing w:after="0" w:line="240" w:lineRule="auto"/>
              <w:ind w:left="30"/>
              <w:jc w:val="left"/>
              <w:rPr>
                <w:sz w:val="16"/>
                <w:szCs w:val="16"/>
              </w:rPr>
            </w:pPr>
            <w:r w:rsidRPr="002C21B8">
              <w:rPr>
                <w:sz w:val="16"/>
                <w:szCs w:val="16"/>
              </w:rPr>
              <w:t>Year of tolvaptan clinic adoption</w:t>
            </w:r>
          </w:p>
        </w:tc>
        <w:tc>
          <w:tcPr>
            <w:tcW w:w="3846" w:type="dxa"/>
            <w:shd w:val="clear" w:color="auto" w:fill="auto"/>
            <w:vAlign w:val="center"/>
          </w:tcPr>
          <w:p w14:paraId="74873D49" w14:textId="77777777" w:rsidR="005E4945" w:rsidRPr="002C21B8" w:rsidRDefault="005E4945" w:rsidP="00DF4C05">
            <w:pPr>
              <w:spacing w:after="0" w:line="240" w:lineRule="auto"/>
              <w:ind w:left="30"/>
              <w:jc w:val="center"/>
              <w:rPr>
                <w:sz w:val="16"/>
                <w:szCs w:val="16"/>
              </w:rPr>
            </w:pPr>
            <w:r w:rsidRPr="002C21B8">
              <w:rPr>
                <w:sz w:val="16"/>
                <w:szCs w:val="16"/>
              </w:rPr>
              <w:t>2020</w:t>
            </w:r>
          </w:p>
        </w:tc>
        <w:tc>
          <w:tcPr>
            <w:tcW w:w="4028" w:type="dxa"/>
            <w:shd w:val="clear" w:color="auto" w:fill="auto"/>
            <w:vAlign w:val="center"/>
          </w:tcPr>
          <w:p w14:paraId="03471BF9" w14:textId="77777777" w:rsidR="005E4945" w:rsidRPr="002C21B8" w:rsidRDefault="005E4945" w:rsidP="00DF4C05">
            <w:pPr>
              <w:spacing w:after="0" w:line="240" w:lineRule="auto"/>
              <w:ind w:left="30"/>
              <w:jc w:val="center"/>
              <w:rPr>
                <w:sz w:val="16"/>
                <w:szCs w:val="16"/>
              </w:rPr>
            </w:pPr>
            <w:r w:rsidRPr="002C21B8">
              <w:rPr>
                <w:sz w:val="16"/>
                <w:szCs w:val="16"/>
              </w:rPr>
              <w:t>2016</w:t>
            </w:r>
          </w:p>
        </w:tc>
        <w:tc>
          <w:tcPr>
            <w:tcW w:w="4028" w:type="dxa"/>
            <w:shd w:val="clear" w:color="auto" w:fill="auto"/>
            <w:vAlign w:val="center"/>
          </w:tcPr>
          <w:p w14:paraId="5A08DC13" w14:textId="77777777" w:rsidR="005E4945" w:rsidRPr="002C21B8" w:rsidRDefault="005E4945" w:rsidP="00DF4C05">
            <w:pPr>
              <w:spacing w:after="0" w:line="240" w:lineRule="auto"/>
              <w:ind w:left="30"/>
              <w:jc w:val="center"/>
              <w:rPr>
                <w:sz w:val="16"/>
                <w:szCs w:val="16"/>
              </w:rPr>
            </w:pPr>
            <w:r w:rsidRPr="002C21B8">
              <w:rPr>
                <w:sz w:val="16"/>
                <w:szCs w:val="16"/>
              </w:rPr>
              <w:t>2016</w:t>
            </w:r>
          </w:p>
        </w:tc>
      </w:tr>
      <w:tr w:rsidR="005E4945" w:rsidRPr="002C21B8" w14:paraId="4702AAB6" w14:textId="77777777" w:rsidTr="00B425C5">
        <w:tc>
          <w:tcPr>
            <w:tcW w:w="2410" w:type="dxa"/>
            <w:tcBorders>
              <w:bottom w:val="nil"/>
            </w:tcBorders>
            <w:shd w:val="clear" w:color="auto" w:fill="auto"/>
            <w:vAlign w:val="center"/>
          </w:tcPr>
          <w:p w14:paraId="235C2B31" w14:textId="5C2C7D6D" w:rsidR="005E4945" w:rsidRPr="002C21B8" w:rsidRDefault="005E4945" w:rsidP="00DF4C05">
            <w:pPr>
              <w:spacing w:after="0" w:line="240" w:lineRule="auto"/>
              <w:ind w:left="30"/>
              <w:jc w:val="left"/>
              <w:rPr>
                <w:sz w:val="16"/>
                <w:szCs w:val="16"/>
              </w:rPr>
            </w:pPr>
            <w:r w:rsidRPr="002C21B8">
              <w:rPr>
                <w:sz w:val="16"/>
                <w:szCs w:val="16"/>
              </w:rPr>
              <w:t xml:space="preserve">Involvement in original clinical trial/s for </w:t>
            </w:r>
            <w:r w:rsidR="008A467A" w:rsidRPr="002C21B8">
              <w:rPr>
                <w:sz w:val="16"/>
                <w:szCs w:val="16"/>
              </w:rPr>
              <w:t>t</w:t>
            </w:r>
            <w:r w:rsidRPr="002C21B8">
              <w:rPr>
                <w:sz w:val="16"/>
                <w:szCs w:val="16"/>
              </w:rPr>
              <w:t xml:space="preserve">olvaptan </w:t>
            </w:r>
          </w:p>
        </w:tc>
        <w:tc>
          <w:tcPr>
            <w:tcW w:w="3846" w:type="dxa"/>
            <w:tcBorders>
              <w:bottom w:val="nil"/>
            </w:tcBorders>
            <w:shd w:val="clear" w:color="auto" w:fill="auto"/>
            <w:vAlign w:val="center"/>
          </w:tcPr>
          <w:p w14:paraId="21F1C34E" w14:textId="77777777" w:rsidR="005E4945" w:rsidRPr="002C21B8" w:rsidRDefault="005E4945" w:rsidP="00DF4C05">
            <w:pPr>
              <w:spacing w:after="0" w:line="240" w:lineRule="auto"/>
              <w:ind w:left="30"/>
              <w:jc w:val="center"/>
              <w:rPr>
                <w:sz w:val="16"/>
                <w:szCs w:val="16"/>
              </w:rPr>
            </w:pPr>
            <w:r w:rsidRPr="002C21B8">
              <w:rPr>
                <w:sz w:val="16"/>
                <w:szCs w:val="16"/>
              </w:rPr>
              <w:t>No</w:t>
            </w:r>
          </w:p>
        </w:tc>
        <w:tc>
          <w:tcPr>
            <w:tcW w:w="4028" w:type="dxa"/>
            <w:tcBorders>
              <w:bottom w:val="nil"/>
            </w:tcBorders>
            <w:shd w:val="clear" w:color="auto" w:fill="auto"/>
            <w:vAlign w:val="center"/>
          </w:tcPr>
          <w:p w14:paraId="52DE4C45" w14:textId="77777777" w:rsidR="005E4945" w:rsidRPr="002C21B8" w:rsidRDefault="005E4945" w:rsidP="00DF4C05">
            <w:pPr>
              <w:spacing w:after="0" w:line="240" w:lineRule="auto"/>
              <w:ind w:left="30"/>
              <w:jc w:val="center"/>
              <w:rPr>
                <w:sz w:val="16"/>
                <w:szCs w:val="16"/>
              </w:rPr>
            </w:pPr>
            <w:r w:rsidRPr="002C21B8">
              <w:rPr>
                <w:sz w:val="16"/>
                <w:szCs w:val="16"/>
              </w:rPr>
              <w:t>Yes</w:t>
            </w:r>
          </w:p>
        </w:tc>
        <w:tc>
          <w:tcPr>
            <w:tcW w:w="4028" w:type="dxa"/>
            <w:tcBorders>
              <w:bottom w:val="nil"/>
            </w:tcBorders>
            <w:shd w:val="clear" w:color="auto" w:fill="auto"/>
            <w:vAlign w:val="center"/>
          </w:tcPr>
          <w:p w14:paraId="3520D11A" w14:textId="77777777" w:rsidR="005E4945" w:rsidRPr="002C21B8" w:rsidRDefault="005E4945" w:rsidP="00DF4C05">
            <w:pPr>
              <w:spacing w:after="0" w:line="240" w:lineRule="auto"/>
              <w:ind w:left="30"/>
              <w:jc w:val="center"/>
              <w:rPr>
                <w:sz w:val="16"/>
                <w:szCs w:val="16"/>
              </w:rPr>
            </w:pPr>
            <w:r w:rsidRPr="002C21B8">
              <w:rPr>
                <w:sz w:val="16"/>
                <w:szCs w:val="16"/>
              </w:rPr>
              <w:t>Yes</w:t>
            </w:r>
          </w:p>
        </w:tc>
      </w:tr>
      <w:tr w:rsidR="005E4945" w:rsidRPr="002C21B8" w14:paraId="004778E0" w14:textId="77777777" w:rsidTr="00B425C5">
        <w:tc>
          <w:tcPr>
            <w:tcW w:w="2410" w:type="dxa"/>
            <w:tcBorders>
              <w:top w:val="nil"/>
              <w:bottom w:val="single" w:sz="12" w:space="0" w:color="auto"/>
            </w:tcBorders>
            <w:shd w:val="clear" w:color="auto" w:fill="auto"/>
            <w:vAlign w:val="center"/>
          </w:tcPr>
          <w:p w14:paraId="4C5BE0E8" w14:textId="77777777" w:rsidR="005E4945" w:rsidRPr="002C21B8" w:rsidRDefault="005E4945" w:rsidP="00DF4C05">
            <w:pPr>
              <w:spacing w:after="0" w:line="240" w:lineRule="auto"/>
              <w:ind w:left="30"/>
              <w:jc w:val="left"/>
              <w:rPr>
                <w:sz w:val="16"/>
                <w:szCs w:val="16"/>
              </w:rPr>
            </w:pPr>
            <w:r w:rsidRPr="002C21B8">
              <w:rPr>
                <w:sz w:val="16"/>
                <w:szCs w:val="16"/>
              </w:rPr>
              <w:t>Clinic structure*</w:t>
            </w:r>
          </w:p>
        </w:tc>
        <w:tc>
          <w:tcPr>
            <w:tcW w:w="3846" w:type="dxa"/>
            <w:tcBorders>
              <w:top w:val="nil"/>
              <w:bottom w:val="single" w:sz="12" w:space="0" w:color="auto"/>
            </w:tcBorders>
            <w:shd w:val="clear" w:color="auto" w:fill="auto"/>
            <w:vAlign w:val="center"/>
          </w:tcPr>
          <w:p w14:paraId="7BD0077C" w14:textId="66E70FB4" w:rsidR="005E4945" w:rsidRPr="002C21B8" w:rsidRDefault="00575F8B" w:rsidP="00DF4C05">
            <w:pPr>
              <w:spacing w:after="0" w:line="240" w:lineRule="auto"/>
              <w:rPr>
                <w:sz w:val="16"/>
                <w:szCs w:val="16"/>
              </w:rPr>
            </w:pPr>
            <w:r w:rsidRPr="002C21B8">
              <w:rPr>
                <w:noProof/>
                <w:sz w:val="16"/>
                <w:szCs w:val="16"/>
              </w:rPr>
              <w:drawing>
                <wp:anchor distT="0" distB="0" distL="114300" distR="114300" simplePos="0" relativeHeight="251910144" behindDoc="0" locked="0" layoutInCell="1" allowOverlap="1" wp14:anchorId="32E336D2" wp14:editId="24A3C3F7">
                  <wp:simplePos x="0" y="0"/>
                  <wp:positionH relativeFrom="column">
                    <wp:posOffset>6350</wp:posOffset>
                  </wp:positionH>
                  <wp:positionV relativeFrom="paragraph">
                    <wp:posOffset>3175</wp:posOffset>
                  </wp:positionV>
                  <wp:extent cx="2398395" cy="784860"/>
                  <wp:effectExtent l="0" t="0" r="1905" b="2540"/>
                  <wp:wrapNone/>
                  <wp:docPr id="203158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87989" name=""/>
                          <pic:cNvPicPr/>
                        </pic:nvPicPr>
                        <pic:blipFill>
                          <a:blip r:embed="rId47"/>
                          <a:stretch>
                            <a:fillRect/>
                          </a:stretch>
                        </pic:blipFill>
                        <pic:spPr>
                          <a:xfrm>
                            <a:off x="0" y="0"/>
                            <a:ext cx="2398395" cy="784860"/>
                          </a:xfrm>
                          <a:prstGeom prst="rect">
                            <a:avLst/>
                          </a:prstGeom>
                        </pic:spPr>
                      </pic:pic>
                    </a:graphicData>
                  </a:graphic>
                  <wp14:sizeRelH relativeFrom="margin">
                    <wp14:pctWidth>0</wp14:pctWidth>
                  </wp14:sizeRelH>
                  <wp14:sizeRelV relativeFrom="margin">
                    <wp14:pctHeight>0</wp14:pctHeight>
                  </wp14:sizeRelV>
                </wp:anchor>
              </w:drawing>
            </w:r>
          </w:p>
        </w:tc>
        <w:tc>
          <w:tcPr>
            <w:tcW w:w="4028" w:type="dxa"/>
            <w:tcBorders>
              <w:top w:val="nil"/>
              <w:bottom w:val="single" w:sz="12" w:space="0" w:color="auto"/>
            </w:tcBorders>
            <w:shd w:val="clear" w:color="auto" w:fill="auto"/>
            <w:vAlign w:val="center"/>
          </w:tcPr>
          <w:p w14:paraId="76BC0CC4" w14:textId="73B3B8A7" w:rsidR="005E4945" w:rsidRPr="002C21B8" w:rsidRDefault="00575F8B" w:rsidP="00DF4C05">
            <w:pPr>
              <w:spacing w:after="0" w:line="240" w:lineRule="auto"/>
              <w:ind w:left="30"/>
              <w:rPr>
                <w:sz w:val="16"/>
                <w:szCs w:val="16"/>
              </w:rPr>
            </w:pPr>
            <w:r w:rsidRPr="002C21B8">
              <w:rPr>
                <w:noProof/>
                <w:sz w:val="16"/>
                <w:szCs w:val="16"/>
              </w:rPr>
              <w:drawing>
                <wp:anchor distT="0" distB="0" distL="114300" distR="114300" simplePos="0" relativeHeight="251912192" behindDoc="0" locked="0" layoutInCell="1" allowOverlap="1" wp14:anchorId="52729AB3" wp14:editId="39A19D91">
                  <wp:simplePos x="0" y="0"/>
                  <wp:positionH relativeFrom="column">
                    <wp:posOffset>26035</wp:posOffset>
                  </wp:positionH>
                  <wp:positionV relativeFrom="paragraph">
                    <wp:posOffset>-635</wp:posOffset>
                  </wp:positionV>
                  <wp:extent cx="2398395" cy="781050"/>
                  <wp:effectExtent l="0" t="0" r="1905" b="6350"/>
                  <wp:wrapNone/>
                  <wp:docPr id="41626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60039" name=""/>
                          <pic:cNvPicPr/>
                        </pic:nvPicPr>
                        <pic:blipFill>
                          <a:blip r:embed="rId48"/>
                          <a:stretch>
                            <a:fillRect/>
                          </a:stretch>
                        </pic:blipFill>
                        <pic:spPr>
                          <a:xfrm>
                            <a:off x="0" y="0"/>
                            <a:ext cx="2398395" cy="781050"/>
                          </a:xfrm>
                          <a:prstGeom prst="rect">
                            <a:avLst/>
                          </a:prstGeom>
                        </pic:spPr>
                      </pic:pic>
                    </a:graphicData>
                  </a:graphic>
                  <wp14:sizeRelH relativeFrom="margin">
                    <wp14:pctWidth>0</wp14:pctWidth>
                  </wp14:sizeRelH>
                  <wp14:sizeRelV relativeFrom="margin">
                    <wp14:pctHeight>0</wp14:pctHeight>
                  </wp14:sizeRelV>
                </wp:anchor>
              </w:drawing>
            </w:r>
          </w:p>
        </w:tc>
        <w:tc>
          <w:tcPr>
            <w:tcW w:w="4028" w:type="dxa"/>
            <w:tcBorders>
              <w:top w:val="nil"/>
              <w:bottom w:val="single" w:sz="12" w:space="0" w:color="auto"/>
            </w:tcBorders>
            <w:shd w:val="clear" w:color="auto" w:fill="auto"/>
            <w:vAlign w:val="center"/>
          </w:tcPr>
          <w:p w14:paraId="2742AAA0" w14:textId="32F7CB47" w:rsidR="005E4945" w:rsidRPr="002C21B8" w:rsidRDefault="00575F8B" w:rsidP="00DF4C05">
            <w:pPr>
              <w:spacing w:after="0" w:line="240" w:lineRule="auto"/>
              <w:ind w:left="30"/>
              <w:rPr>
                <w:sz w:val="16"/>
                <w:szCs w:val="16"/>
              </w:rPr>
            </w:pPr>
            <w:r w:rsidRPr="002C21B8">
              <w:rPr>
                <w:noProof/>
              </w:rPr>
              <w:drawing>
                <wp:anchor distT="0" distB="0" distL="114300" distR="114300" simplePos="0" relativeHeight="251914240" behindDoc="0" locked="0" layoutInCell="1" allowOverlap="1" wp14:anchorId="36EFA5C7" wp14:editId="08269E6B">
                  <wp:simplePos x="0" y="0"/>
                  <wp:positionH relativeFrom="column">
                    <wp:posOffset>45720</wp:posOffset>
                  </wp:positionH>
                  <wp:positionV relativeFrom="paragraph">
                    <wp:posOffset>9525</wp:posOffset>
                  </wp:positionV>
                  <wp:extent cx="2408555" cy="2402840"/>
                  <wp:effectExtent l="0" t="0" r="4445" b="0"/>
                  <wp:wrapNone/>
                  <wp:docPr id="96168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89402" name=""/>
                          <pic:cNvPicPr/>
                        </pic:nvPicPr>
                        <pic:blipFill>
                          <a:blip r:embed="rId49"/>
                          <a:stretch>
                            <a:fillRect/>
                          </a:stretch>
                        </pic:blipFill>
                        <pic:spPr>
                          <a:xfrm>
                            <a:off x="0" y="0"/>
                            <a:ext cx="2408555" cy="2402840"/>
                          </a:xfrm>
                          <a:prstGeom prst="rect">
                            <a:avLst/>
                          </a:prstGeom>
                        </pic:spPr>
                      </pic:pic>
                    </a:graphicData>
                  </a:graphic>
                  <wp14:sizeRelH relativeFrom="margin">
                    <wp14:pctWidth>0</wp14:pctWidth>
                  </wp14:sizeRelH>
                  <wp14:sizeRelV relativeFrom="margin">
                    <wp14:pctHeight>0</wp14:pctHeight>
                  </wp14:sizeRelV>
                </wp:anchor>
              </w:drawing>
            </w:r>
          </w:p>
          <w:p w14:paraId="4398737F" w14:textId="72958909" w:rsidR="005E4945" w:rsidRPr="002C21B8" w:rsidRDefault="005E4945" w:rsidP="00DF4C05">
            <w:pPr>
              <w:spacing w:after="0" w:line="240" w:lineRule="auto"/>
              <w:ind w:left="30"/>
              <w:rPr>
                <w:sz w:val="16"/>
                <w:szCs w:val="16"/>
              </w:rPr>
            </w:pPr>
          </w:p>
          <w:p w14:paraId="4A93B1E4" w14:textId="42AABDEC" w:rsidR="005E4945" w:rsidRPr="002C21B8" w:rsidRDefault="005E4945" w:rsidP="00DF4C05">
            <w:pPr>
              <w:spacing w:after="0" w:line="240" w:lineRule="auto"/>
              <w:ind w:left="30"/>
              <w:rPr>
                <w:sz w:val="16"/>
                <w:szCs w:val="16"/>
              </w:rPr>
            </w:pPr>
          </w:p>
          <w:p w14:paraId="1F1C611B" w14:textId="0372A386" w:rsidR="005E4945" w:rsidRPr="002C21B8" w:rsidRDefault="005E4945" w:rsidP="00DF4C05">
            <w:pPr>
              <w:spacing w:after="0" w:line="240" w:lineRule="auto"/>
              <w:ind w:left="30"/>
              <w:rPr>
                <w:sz w:val="16"/>
                <w:szCs w:val="16"/>
              </w:rPr>
            </w:pPr>
          </w:p>
          <w:p w14:paraId="1EC60427" w14:textId="482F19D9" w:rsidR="005E4945" w:rsidRPr="002C21B8" w:rsidRDefault="005E4945" w:rsidP="00DF4C05">
            <w:pPr>
              <w:spacing w:after="0" w:line="240" w:lineRule="auto"/>
              <w:ind w:left="30"/>
              <w:rPr>
                <w:sz w:val="16"/>
                <w:szCs w:val="16"/>
              </w:rPr>
            </w:pPr>
          </w:p>
          <w:p w14:paraId="2D9A209D" w14:textId="120500C4" w:rsidR="005E4945" w:rsidRPr="002C21B8" w:rsidRDefault="005E4945" w:rsidP="00DF4C05">
            <w:pPr>
              <w:spacing w:after="0" w:line="240" w:lineRule="auto"/>
              <w:ind w:left="30"/>
            </w:pPr>
          </w:p>
          <w:p w14:paraId="0CE1F5B7" w14:textId="560ADD37" w:rsidR="005E4945" w:rsidRPr="002C21B8" w:rsidRDefault="005E4945" w:rsidP="00DF4C05">
            <w:pPr>
              <w:spacing w:after="0" w:line="240" w:lineRule="auto"/>
              <w:ind w:left="30"/>
            </w:pPr>
          </w:p>
          <w:p w14:paraId="539C1651" w14:textId="3407C769" w:rsidR="005E4945" w:rsidRPr="002C21B8" w:rsidRDefault="005E4945" w:rsidP="00DF4C05">
            <w:pPr>
              <w:spacing w:after="0" w:line="240" w:lineRule="auto"/>
              <w:ind w:left="30"/>
            </w:pPr>
          </w:p>
          <w:p w14:paraId="2610FB0B" w14:textId="37E31978" w:rsidR="005E4945" w:rsidRPr="002C21B8" w:rsidRDefault="005E4945" w:rsidP="00DF4C05">
            <w:pPr>
              <w:spacing w:after="0" w:line="240" w:lineRule="auto"/>
              <w:ind w:left="30"/>
            </w:pPr>
          </w:p>
          <w:p w14:paraId="747B91C3" w14:textId="1259CCD4" w:rsidR="005E4945" w:rsidRPr="002C21B8" w:rsidRDefault="005E4945" w:rsidP="00DF4C05">
            <w:pPr>
              <w:spacing w:after="0" w:line="240" w:lineRule="auto"/>
              <w:ind w:left="30"/>
            </w:pPr>
          </w:p>
          <w:p w14:paraId="4393CB98" w14:textId="302267E0" w:rsidR="005E4945" w:rsidRPr="002C21B8" w:rsidRDefault="005E4945" w:rsidP="00DF4C05">
            <w:pPr>
              <w:spacing w:after="0" w:line="240" w:lineRule="auto"/>
              <w:ind w:left="30"/>
            </w:pPr>
          </w:p>
          <w:p w14:paraId="17F65353" w14:textId="77777777" w:rsidR="005E4945" w:rsidRPr="002C21B8" w:rsidRDefault="005E4945" w:rsidP="00DF4C05">
            <w:pPr>
              <w:spacing w:after="0" w:line="240" w:lineRule="auto"/>
              <w:ind w:left="30"/>
            </w:pPr>
          </w:p>
          <w:p w14:paraId="5FE7471B" w14:textId="77777777" w:rsidR="005E4945" w:rsidRPr="002C21B8" w:rsidRDefault="005E4945" w:rsidP="00DF4C05">
            <w:pPr>
              <w:spacing w:after="0" w:line="240" w:lineRule="auto"/>
              <w:ind w:left="30"/>
            </w:pPr>
          </w:p>
          <w:p w14:paraId="469FBA3D" w14:textId="77777777" w:rsidR="005E4945" w:rsidRPr="002C21B8" w:rsidRDefault="005E4945" w:rsidP="00DF4C05">
            <w:pPr>
              <w:spacing w:after="0" w:line="240" w:lineRule="auto"/>
              <w:ind w:left="30"/>
            </w:pPr>
          </w:p>
          <w:p w14:paraId="78B8916B" w14:textId="77777777" w:rsidR="005E4945" w:rsidRPr="002C21B8" w:rsidRDefault="005E4945" w:rsidP="00DF4C05">
            <w:pPr>
              <w:spacing w:after="0" w:line="240" w:lineRule="auto"/>
              <w:ind w:left="30"/>
            </w:pPr>
          </w:p>
          <w:p w14:paraId="5BAFBF37" w14:textId="77777777" w:rsidR="005E4945" w:rsidRPr="002C21B8" w:rsidRDefault="005E4945" w:rsidP="00DF4C05">
            <w:pPr>
              <w:spacing w:after="0" w:line="240" w:lineRule="auto"/>
              <w:rPr>
                <w:sz w:val="16"/>
                <w:szCs w:val="16"/>
              </w:rPr>
            </w:pPr>
          </w:p>
        </w:tc>
      </w:tr>
    </w:tbl>
    <w:p w14:paraId="50F4DF53" w14:textId="4ACFE4BF" w:rsidR="005E4945" w:rsidRPr="002C21B8" w:rsidRDefault="005E4945" w:rsidP="00DF4C05">
      <w:pPr>
        <w:spacing w:after="0" w:line="240" w:lineRule="auto"/>
        <w:rPr>
          <w:color w:val="7B7B7B" w:themeColor="accent3" w:themeShade="BF"/>
          <w:sz w:val="15"/>
          <w:szCs w:val="15"/>
        </w:rPr>
      </w:pPr>
      <w:r w:rsidRPr="002C21B8">
        <w:rPr>
          <w:color w:val="7B7B7B" w:themeColor="accent3" w:themeShade="BF"/>
          <w:sz w:val="15"/>
          <w:szCs w:val="15"/>
        </w:rPr>
        <w:t xml:space="preserve">*see </w:t>
      </w:r>
      <w:hyperlink w:anchor="_Prescribing_pathways" w:history="1">
        <w:r w:rsidR="00C83686" w:rsidRPr="002C21B8">
          <w:rPr>
            <w:rStyle w:val="Hyperlink"/>
            <w:color w:val="7B7B7B" w:themeColor="accent3" w:themeShade="BF"/>
            <w:sz w:val="15"/>
            <w:szCs w:val="15"/>
          </w:rPr>
          <w:t>Appendix 8</w:t>
        </w:r>
      </w:hyperlink>
      <w:r w:rsidRPr="002C21B8">
        <w:rPr>
          <w:color w:val="7B7B7B" w:themeColor="accent3" w:themeShade="BF"/>
          <w:sz w:val="15"/>
          <w:szCs w:val="15"/>
        </w:rPr>
        <w:t xml:space="preserve"> for more detailed versions of clinic structures</w:t>
      </w:r>
    </w:p>
    <w:p w14:paraId="5D284499" w14:textId="77777777" w:rsidR="005E4945" w:rsidRPr="002C21B8" w:rsidRDefault="005E4945" w:rsidP="00DF4C05">
      <w:pPr>
        <w:spacing w:after="0" w:line="240" w:lineRule="auto"/>
        <w:rPr>
          <w:color w:val="7B7B7B" w:themeColor="accent3" w:themeShade="BF"/>
          <w:sz w:val="15"/>
          <w:szCs w:val="15"/>
        </w:rPr>
        <w:sectPr w:rsidR="005E4945" w:rsidRPr="002C21B8" w:rsidSect="0009672F">
          <w:headerReference w:type="default" r:id="rId50"/>
          <w:type w:val="continuous"/>
          <w:pgSz w:w="16838" w:h="11906" w:orient="landscape"/>
          <w:pgMar w:top="1440" w:right="1440" w:bottom="1440" w:left="1440" w:header="708" w:footer="708" w:gutter="0"/>
          <w:cols w:space="708"/>
          <w:docGrid w:linePitch="360"/>
        </w:sectPr>
      </w:pPr>
    </w:p>
    <w:p w14:paraId="6CDC9AD0" w14:textId="77777777" w:rsidR="005E4945" w:rsidRPr="002C21B8" w:rsidRDefault="005E4945" w:rsidP="00A81A6F">
      <w:pPr>
        <w:spacing w:after="0"/>
        <w:rPr>
          <w:b/>
          <w:bCs/>
          <w:sz w:val="24"/>
          <w:szCs w:val="24"/>
        </w:rPr>
      </w:pPr>
      <w:r w:rsidRPr="002C21B8">
        <w:rPr>
          <w:b/>
          <w:bCs/>
          <w:sz w:val="24"/>
          <w:szCs w:val="24"/>
        </w:rPr>
        <w:t>Overview of findings</w:t>
      </w:r>
    </w:p>
    <w:p w14:paraId="662C19B7" w14:textId="6EBD47DA" w:rsidR="005E4945" w:rsidRPr="002C21B8" w:rsidRDefault="005E4945" w:rsidP="000C1C8F">
      <w:r w:rsidRPr="002C21B8">
        <w:t>Differences in implementation approaches and prescribing practices across the three cases are summarised and mapped to the CFIR domains and constructs i</w:t>
      </w:r>
      <w:r w:rsidR="006F6B63" w:rsidRPr="002C21B8">
        <w:t>n</w:t>
      </w:r>
      <w:r w:rsidR="00DF4C05" w:rsidRPr="002C21B8">
        <w:t xml:space="preserve"> </w:t>
      </w:r>
      <w:r w:rsidRPr="002C21B8">
        <w:fldChar w:fldCharType="begin"/>
      </w:r>
      <w:r w:rsidRPr="002C21B8">
        <w:instrText xml:space="preserve"> REF _Ref219361792 \h </w:instrText>
      </w:r>
      <w:r w:rsidR="00C95D08" w:rsidRPr="002C21B8">
        <w:instrText xml:space="preserve"> \* MERGEFORMAT </w:instrText>
      </w:r>
      <w:r w:rsidRPr="002C21B8">
        <w:fldChar w:fldCharType="separate"/>
      </w:r>
      <w:r w:rsidR="00DB3709" w:rsidRPr="002C21B8">
        <w:t xml:space="preserve">Figure </w:t>
      </w:r>
      <w:r w:rsidR="00DB3709">
        <w:rPr>
          <w:noProof/>
        </w:rPr>
        <w:t>14</w:t>
      </w:r>
      <w:r w:rsidRPr="002C21B8">
        <w:fldChar w:fldCharType="end"/>
      </w:r>
      <w:r w:rsidR="00AF548C" w:rsidRPr="002C21B8">
        <w:t xml:space="preserve"> </w:t>
      </w:r>
      <w:r w:rsidRPr="002C21B8">
        <w:t>and</w:t>
      </w:r>
      <w:r w:rsidR="00DF4C05" w:rsidRPr="002C21B8">
        <w:t xml:space="preserve"> </w:t>
      </w:r>
      <w:r w:rsidRPr="002C21B8">
        <w:fldChar w:fldCharType="begin"/>
      </w:r>
      <w:r w:rsidRPr="002C21B8">
        <w:instrText xml:space="preserve"> REF _Ref221525629 \h </w:instrText>
      </w:r>
      <w:r w:rsidR="00585F6D" w:rsidRPr="002C21B8">
        <w:instrText xml:space="preserve"> \* MERGEFORMAT </w:instrText>
      </w:r>
      <w:r w:rsidRPr="002C21B8">
        <w:fldChar w:fldCharType="separate"/>
      </w:r>
      <w:r w:rsidR="00DB3709" w:rsidRPr="002C21B8">
        <w:rPr>
          <w:noProof/>
        </w:rPr>
        <w:t>Table</w:t>
      </w:r>
      <w:r w:rsidR="00DB3709" w:rsidRPr="002C21B8">
        <w:t xml:space="preserve"> </w:t>
      </w:r>
      <w:r w:rsidR="00DB3709">
        <w:rPr>
          <w:noProof/>
        </w:rPr>
        <w:t>17</w:t>
      </w:r>
      <w:r w:rsidRPr="002C21B8">
        <w:fldChar w:fldCharType="end"/>
      </w:r>
      <w:r w:rsidRPr="002C21B8">
        <w:t>. Three of the domains featured prominently in the data: ‘Outer Setting’, ‘Inner Setting’ and ‘Individuals’. Of the 67 CFIR 2.0 constructs, 55 were evidenced across the three cases. Several constructs were not identified, including formal leadership roles outside of the implementation team (high and mid-level leaders), incentive systems, and processes in planning or assessing needs.</w:t>
      </w:r>
    </w:p>
    <w:p w14:paraId="181ACDED" w14:textId="2F51C251" w:rsidR="000C1C8F" w:rsidRPr="002C21B8" w:rsidRDefault="005E4945" w:rsidP="00A81A6F">
      <w:r w:rsidRPr="002C21B8">
        <w:t>Implementation of tolvaptan across three NHS kidney centres varied by: the speed of introducing</w:t>
      </w:r>
      <w:r w:rsidR="00970F8B" w:rsidRPr="002C21B8">
        <w:t xml:space="preserve"> </w:t>
      </w:r>
      <w:r w:rsidRPr="002C21B8">
        <w:t xml:space="preserve">tolvaptan into the NHS; </w:t>
      </w:r>
      <w:r w:rsidR="00FF0504" w:rsidRPr="002C21B8">
        <w:t xml:space="preserve">condition-specific clinic models versus generalist </w:t>
      </w:r>
      <w:r w:rsidRPr="002C21B8">
        <w:t xml:space="preserve">clinic </w:t>
      </w:r>
      <w:r w:rsidR="00FF0504" w:rsidRPr="002C21B8">
        <w:t>models</w:t>
      </w:r>
      <w:r w:rsidRPr="002C21B8">
        <w:t>; leadership; specialist versus generalist expertise; how patients were assessed and investigated for eligibility; grade and discipline of implementation team members; operational context and implementation outcomes; and communication with patients.</w:t>
      </w:r>
      <w:bookmarkStart w:id="181" w:name="_Ref219361792"/>
      <w:bookmarkStart w:id="182" w:name="_Toc213230707"/>
    </w:p>
    <w:p w14:paraId="66D6298A" w14:textId="3059169B" w:rsidR="004F6912" w:rsidRPr="002C21B8" w:rsidRDefault="004F6912" w:rsidP="00C95D08">
      <w:pPr>
        <w:sectPr w:rsidR="004F6912" w:rsidRPr="002C21B8" w:rsidSect="0009672F">
          <w:headerReference w:type="default" r:id="rId51"/>
          <w:type w:val="continuous"/>
          <w:pgSz w:w="11906" w:h="16838"/>
          <w:pgMar w:top="1440" w:right="1440" w:bottom="1440" w:left="1440" w:header="708" w:footer="708" w:gutter="0"/>
          <w:cols w:space="708"/>
          <w:docGrid w:linePitch="360"/>
        </w:sectPr>
      </w:pPr>
    </w:p>
    <w:p w14:paraId="414E9274" w14:textId="77777777" w:rsidR="0028065A" w:rsidRDefault="0028065A" w:rsidP="00156C62">
      <w:pPr>
        <w:pStyle w:val="Caption"/>
        <w:keepNext w:val="0"/>
        <w:rPr>
          <w:noProof w:val="0"/>
        </w:rPr>
      </w:pPr>
    </w:p>
    <w:p w14:paraId="41046F5F" w14:textId="5D8E909C" w:rsidR="005E4945" w:rsidRPr="002C21B8" w:rsidRDefault="005E4945" w:rsidP="00156C62">
      <w:pPr>
        <w:pStyle w:val="Caption"/>
        <w:keepNext w:val="0"/>
        <w:rPr>
          <w:noProof w:val="0"/>
        </w:rPr>
      </w:pPr>
      <w:bookmarkStart w:id="183" w:name="_Toc236991772"/>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14</w:t>
      </w:r>
      <w:r w:rsidR="001B725E" w:rsidRPr="002C21B8">
        <w:rPr>
          <w:noProof w:val="0"/>
        </w:rPr>
        <w:fldChar w:fldCharType="end"/>
      </w:r>
      <w:bookmarkEnd w:id="181"/>
      <w:r w:rsidRPr="002C21B8">
        <w:rPr>
          <w:noProof w:val="0"/>
        </w:rPr>
        <w:t>.</w:t>
      </w:r>
      <w:r w:rsidR="007A168C" w:rsidRPr="002C21B8">
        <w:rPr>
          <w:noProof w:val="0"/>
        </w:rPr>
        <w:t xml:space="preserve"> </w:t>
      </w:r>
      <w:r w:rsidRPr="002C21B8">
        <w:rPr>
          <w:noProof w:val="0"/>
        </w:rPr>
        <w:t>Diagram of the Consolidated Framework for Implementation Research adapted to the tolvaptan care pathway (faded constructs were not identified in cases), adapted from Damschroder et al. (2022)</w:t>
      </w:r>
      <w:bookmarkEnd w:id="183"/>
    </w:p>
    <w:p w14:paraId="623159FD" w14:textId="7D99A38B" w:rsidR="005E4945" w:rsidRPr="002C21B8" w:rsidRDefault="005E4945" w:rsidP="00156C62">
      <w:pPr>
        <w:spacing w:line="240" w:lineRule="auto"/>
      </w:pPr>
    </w:p>
    <w:p w14:paraId="25996FEA" w14:textId="18200991" w:rsidR="008C4F2B" w:rsidRPr="002C21B8" w:rsidRDefault="008C4F2B" w:rsidP="00156C62">
      <w:pPr>
        <w:spacing w:line="240" w:lineRule="auto"/>
      </w:pPr>
      <w:r w:rsidRPr="002C21B8">
        <w:rPr>
          <w:noProof/>
        </w:rPr>
        <w:drawing>
          <wp:inline distT="0" distB="0" distL="0" distR="0" wp14:anchorId="201BB9AC" wp14:editId="27BF1E43">
            <wp:extent cx="8863330" cy="4253230"/>
            <wp:effectExtent l="0" t="0" r="1270" b="1270"/>
            <wp:docPr id="149849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97253" name=""/>
                    <pic:cNvPicPr/>
                  </pic:nvPicPr>
                  <pic:blipFill>
                    <a:blip r:embed="rId52"/>
                    <a:stretch>
                      <a:fillRect/>
                    </a:stretch>
                  </pic:blipFill>
                  <pic:spPr>
                    <a:xfrm>
                      <a:off x="0" y="0"/>
                      <a:ext cx="8863330" cy="4253230"/>
                    </a:xfrm>
                    <a:prstGeom prst="rect">
                      <a:avLst/>
                    </a:prstGeom>
                  </pic:spPr>
                </pic:pic>
              </a:graphicData>
            </a:graphic>
          </wp:inline>
        </w:drawing>
      </w:r>
    </w:p>
    <w:p w14:paraId="725D826A" w14:textId="77777777" w:rsidR="00AF5F73" w:rsidRPr="002C21B8" w:rsidRDefault="00AF5F73" w:rsidP="00156C62">
      <w:pPr>
        <w:spacing w:after="0" w:line="240" w:lineRule="auto"/>
        <w:jc w:val="left"/>
        <w:rPr>
          <w:i/>
          <w:iCs/>
          <w:color w:val="7B7B7B" w:themeColor="accent3" w:themeShade="BF"/>
          <w:sz w:val="18"/>
          <w:szCs w:val="18"/>
        </w:rPr>
      </w:pPr>
      <w:bookmarkStart w:id="184" w:name="_Ref221525629"/>
      <w:r w:rsidRPr="002C21B8">
        <w:br w:type="page"/>
      </w:r>
    </w:p>
    <w:p w14:paraId="772AEAF3" w14:textId="6C368E83" w:rsidR="005E4945" w:rsidRPr="002C21B8" w:rsidRDefault="005E4945" w:rsidP="00C1697D">
      <w:pPr>
        <w:pStyle w:val="Caption"/>
        <w:keepNext w:val="0"/>
        <w:rPr>
          <w:noProof w:val="0"/>
        </w:rPr>
      </w:pPr>
      <w:bookmarkStart w:id="185" w:name="_Toc236991753"/>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17</w:t>
      </w:r>
      <w:r w:rsidRPr="002C21B8">
        <w:rPr>
          <w:noProof w:val="0"/>
        </w:rPr>
        <w:fldChar w:fldCharType="end"/>
      </w:r>
      <w:bookmarkEnd w:id="184"/>
      <w:r w:rsidRPr="002C21B8">
        <w:rPr>
          <w:noProof w:val="0"/>
        </w:rPr>
        <w:t>. Summary of cross-case comparison in tolvaptan implementation and prescribing practices across the three study cases</w:t>
      </w:r>
      <w:bookmarkEnd w:id="185"/>
    </w:p>
    <w:tbl>
      <w:tblPr>
        <w:tblStyle w:val="TableGrid"/>
        <w:tblW w:w="1474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3260"/>
        <w:gridCol w:w="2977"/>
        <w:gridCol w:w="2885"/>
        <w:gridCol w:w="2931"/>
      </w:tblGrid>
      <w:tr w:rsidR="005E4945" w:rsidRPr="002C21B8" w14:paraId="6A88C8D6" w14:textId="77777777" w:rsidTr="00180A0E">
        <w:trPr>
          <w:cantSplit/>
          <w:trHeight w:val="20"/>
        </w:trPr>
        <w:tc>
          <w:tcPr>
            <w:tcW w:w="2689" w:type="dxa"/>
            <w:tcBorders>
              <w:top w:val="single" w:sz="12" w:space="0" w:color="000000" w:themeColor="text1"/>
              <w:bottom w:val="single" w:sz="6" w:space="0" w:color="000000" w:themeColor="text1"/>
            </w:tcBorders>
            <w:shd w:val="clear" w:color="auto" w:fill="auto"/>
          </w:tcPr>
          <w:p w14:paraId="448460CA" w14:textId="77777777" w:rsidR="005E4945" w:rsidRPr="002C21B8" w:rsidRDefault="005E4945" w:rsidP="00C1697D">
            <w:pPr>
              <w:spacing w:beforeLines="20" w:before="48" w:afterLines="20" w:after="48" w:line="240" w:lineRule="auto"/>
              <w:jc w:val="left"/>
              <w:rPr>
                <w:b/>
                <w:bCs/>
                <w:sz w:val="16"/>
                <w:szCs w:val="16"/>
              </w:rPr>
            </w:pPr>
            <w:r w:rsidRPr="002C21B8">
              <w:rPr>
                <w:b/>
                <w:bCs/>
                <w:sz w:val="16"/>
                <w:szCs w:val="16"/>
              </w:rPr>
              <w:t>Domain/Construct</w:t>
            </w:r>
          </w:p>
        </w:tc>
        <w:tc>
          <w:tcPr>
            <w:tcW w:w="3260" w:type="dxa"/>
            <w:tcBorders>
              <w:top w:val="single" w:sz="12" w:space="0" w:color="000000" w:themeColor="text1"/>
              <w:bottom w:val="single" w:sz="6" w:space="0" w:color="000000" w:themeColor="text1"/>
            </w:tcBorders>
            <w:shd w:val="clear" w:color="auto" w:fill="auto"/>
          </w:tcPr>
          <w:p w14:paraId="2582109B" w14:textId="77777777" w:rsidR="005E4945" w:rsidRPr="002C21B8" w:rsidRDefault="005E4945" w:rsidP="00C1697D">
            <w:pPr>
              <w:spacing w:beforeLines="20" w:before="48" w:afterLines="20" w:after="48" w:line="240" w:lineRule="auto"/>
              <w:jc w:val="left"/>
              <w:rPr>
                <w:b/>
                <w:bCs/>
                <w:sz w:val="16"/>
                <w:szCs w:val="16"/>
              </w:rPr>
            </w:pPr>
            <w:r w:rsidRPr="002C21B8">
              <w:rPr>
                <w:b/>
                <w:bCs/>
                <w:sz w:val="16"/>
                <w:szCs w:val="16"/>
              </w:rPr>
              <w:t>Cross-case summary</w:t>
            </w:r>
          </w:p>
        </w:tc>
        <w:tc>
          <w:tcPr>
            <w:tcW w:w="2977" w:type="dxa"/>
            <w:tcBorders>
              <w:top w:val="single" w:sz="12" w:space="0" w:color="000000" w:themeColor="text1"/>
              <w:bottom w:val="single" w:sz="6" w:space="0" w:color="000000" w:themeColor="text1"/>
            </w:tcBorders>
            <w:shd w:val="clear" w:color="auto" w:fill="auto"/>
          </w:tcPr>
          <w:p w14:paraId="09C3E161" w14:textId="77777777" w:rsidR="005E4945" w:rsidRPr="002C21B8" w:rsidRDefault="005E4945" w:rsidP="00C1697D">
            <w:pPr>
              <w:spacing w:beforeLines="20" w:before="48" w:afterLines="20" w:after="48" w:line="240" w:lineRule="auto"/>
              <w:jc w:val="center"/>
              <w:rPr>
                <w:b/>
                <w:bCs/>
                <w:sz w:val="16"/>
                <w:szCs w:val="16"/>
              </w:rPr>
            </w:pPr>
            <w:r w:rsidRPr="002C21B8">
              <w:rPr>
                <w:b/>
                <w:bCs/>
                <w:sz w:val="16"/>
                <w:szCs w:val="16"/>
              </w:rPr>
              <w:t>Case 1</w:t>
            </w:r>
          </w:p>
        </w:tc>
        <w:tc>
          <w:tcPr>
            <w:tcW w:w="2885" w:type="dxa"/>
            <w:tcBorders>
              <w:top w:val="single" w:sz="12" w:space="0" w:color="000000" w:themeColor="text1"/>
              <w:bottom w:val="single" w:sz="6" w:space="0" w:color="000000" w:themeColor="text1"/>
            </w:tcBorders>
            <w:shd w:val="clear" w:color="auto" w:fill="auto"/>
          </w:tcPr>
          <w:p w14:paraId="3AA9FC43" w14:textId="77777777" w:rsidR="005E4945" w:rsidRPr="002C21B8" w:rsidRDefault="005E4945" w:rsidP="00C1697D">
            <w:pPr>
              <w:spacing w:beforeLines="20" w:before="48" w:afterLines="20" w:after="48" w:line="240" w:lineRule="auto"/>
              <w:jc w:val="center"/>
              <w:rPr>
                <w:b/>
                <w:bCs/>
                <w:sz w:val="16"/>
                <w:szCs w:val="16"/>
              </w:rPr>
            </w:pPr>
            <w:r w:rsidRPr="002C21B8">
              <w:rPr>
                <w:b/>
                <w:bCs/>
                <w:sz w:val="16"/>
                <w:szCs w:val="16"/>
              </w:rPr>
              <w:t>Case 2</w:t>
            </w:r>
          </w:p>
        </w:tc>
        <w:tc>
          <w:tcPr>
            <w:tcW w:w="2931" w:type="dxa"/>
            <w:tcBorders>
              <w:top w:val="single" w:sz="12" w:space="0" w:color="000000" w:themeColor="text1"/>
              <w:bottom w:val="single" w:sz="6" w:space="0" w:color="000000" w:themeColor="text1"/>
            </w:tcBorders>
            <w:shd w:val="clear" w:color="auto" w:fill="auto"/>
          </w:tcPr>
          <w:p w14:paraId="263F6EC2" w14:textId="77777777" w:rsidR="005E4945" w:rsidRPr="002C21B8" w:rsidRDefault="005E4945" w:rsidP="00C1697D">
            <w:pPr>
              <w:spacing w:beforeLines="20" w:before="48" w:afterLines="20" w:after="48" w:line="240" w:lineRule="auto"/>
              <w:jc w:val="center"/>
              <w:rPr>
                <w:b/>
                <w:bCs/>
                <w:sz w:val="16"/>
                <w:szCs w:val="16"/>
              </w:rPr>
            </w:pPr>
            <w:r w:rsidRPr="002C21B8">
              <w:rPr>
                <w:b/>
                <w:bCs/>
                <w:sz w:val="16"/>
                <w:szCs w:val="16"/>
              </w:rPr>
              <w:t>Case 3</w:t>
            </w:r>
          </w:p>
        </w:tc>
      </w:tr>
      <w:tr w:rsidR="005E4945" w:rsidRPr="002C21B8" w14:paraId="044E68A6" w14:textId="77777777" w:rsidTr="00180A0E">
        <w:trPr>
          <w:cantSplit/>
          <w:trHeight w:val="20"/>
        </w:trPr>
        <w:tc>
          <w:tcPr>
            <w:tcW w:w="14742" w:type="dxa"/>
            <w:gridSpan w:val="5"/>
            <w:tcBorders>
              <w:top w:val="single" w:sz="6" w:space="0" w:color="000000" w:themeColor="text1"/>
              <w:bottom w:val="nil"/>
            </w:tcBorders>
            <w:shd w:val="clear" w:color="auto" w:fill="F2F2F2" w:themeFill="background1" w:themeFillShade="F2"/>
          </w:tcPr>
          <w:p w14:paraId="1C8DBB12" w14:textId="77777777" w:rsidR="005E4945" w:rsidRPr="002C21B8" w:rsidRDefault="005E4945" w:rsidP="00C1697D">
            <w:pPr>
              <w:spacing w:beforeLines="20" w:before="48" w:afterLines="20" w:after="48" w:line="240" w:lineRule="auto"/>
              <w:jc w:val="left"/>
              <w:rPr>
                <w:sz w:val="16"/>
                <w:szCs w:val="16"/>
              </w:rPr>
            </w:pPr>
            <w:r w:rsidRPr="002C21B8">
              <w:rPr>
                <w:b/>
                <w:bCs/>
                <w:sz w:val="16"/>
                <w:szCs w:val="16"/>
              </w:rPr>
              <w:t>I. Innovation</w:t>
            </w:r>
          </w:p>
        </w:tc>
      </w:tr>
      <w:tr w:rsidR="005E4945" w:rsidRPr="002C21B8" w14:paraId="7398BDA3" w14:textId="77777777" w:rsidTr="00180A0E">
        <w:trPr>
          <w:cantSplit/>
          <w:trHeight w:val="20"/>
        </w:trPr>
        <w:tc>
          <w:tcPr>
            <w:tcW w:w="2689" w:type="dxa"/>
            <w:tcBorders>
              <w:bottom w:val="nil"/>
            </w:tcBorders>
            <w:shd w:val="clear" w:color="auto" w:fill="auto"/>
          </w:tcPr>
          <w:p w14:paraId="4F116A3E"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A. Innovation Source</w:t>
            </w:r>
          </w:p>
        </w:tc>
        <w:tc>
          <w:tcPr>
            <w:tcW w:w="3260" w:type="dxa"/>
            <w:tcBorders>
              <w:bottom w:val="nil"/>
            </w:tcBorders>
            <w:shd w:val="clear" w:color="auto" w:fill="auto"/>
          </w:tcPr>
          <w:p w14:paraId="6A25A05E" w14:textId="77777777" w:rsidR="005E4945" w:rsidRPr="002C21B8" w:rsidRDefault="005E4945" w:rsidP="00C1697D">
            <w:pPr>
              <w:tabs>
                <w:tab w:val="left" w:pos="1230"/>
              </w:tabs>
              <w:spacing w:beforeLines="20" w:before="48" w:afterLines="20" w:after="48" w:line="240" w:lineRule="auto"/>
              <w:jc w:val="left"/>
              <w:rPr>
                <w:sz w:val="16"/>
                <w:szCs w:val="16"/>
              </w:rPr>
            </w:pPr>
            <w:r w:rsidRPr="002C21B8">
              <w:rPr>
                <w:sz w:val="16"/>
                <w:szCs w:val="16"/>
              </w:rPr>
              <w:t>NICE and UKKA approved tolvaptan and provided credible guidelines across all cases.</w:t>
            </w:r>
          </w:p>
        </w:tc>
        <w:tc>
          <w:tcPr>
            <w:tcW w:w="8793" w:type="dxa"/>
            <w:gridSpan w:val="3"/>
            <w:tcBorders>
              <w:bottom w:val="nil"/>
            </w:tcBorders>
            <w:shd w:val="clear" w:color="auto" w:fill="auto"/>
          </w:tcPr>
          <w:p w14:paraId="408619C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3480CAF9" w14:textId="77777777" w:rsidTr="00180A0E">
        <w:trPr>
          <w:cantSplit/>
          <w:trHeight w:val="20"/>
        </w:trPr>
        <w:tc>
          <w:tcPr>
            <w:tcW w:w="2689" w:type="dxa"/>
            <w:tcBorders>
              <w:bottom w:val="nil"/>
            </w:tcBorders>
            <w:shd w:val="clear" w:color="auto" w:fill="auto"/>
          </w:tcPr>
          <w:p w14:paraId="45B01332"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B. Innovation Evidence Base</w:t>
            </w:r>
          </w:p>
        </w:tc>
        <w:tc>
          <w:tcPr>
            <w:tcW w:w="3260" w:type="dxa"/>
            <w:tcBorders>
              <w:bottom w:val="nil"/>
            </w:tcBorders>
            <w:shd w:val="clear" w:color="auto" w:fill="auto"/>
          </w:tcPr>
          <w:p w14:paraId="0EDD3E1B"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Robust clinical trials supported effectiveness. Confidence in evidence base consistent across cases.</w:t>
            </w:r>
          </w:p>
        </w:tc>
        <w:tc>
          <w:tcPr>
            <w:tcW w:w="8793" w:type="dxa"/>
            <w:gridSpan w:val="3"/>
            <w:tcBorders>
              <w:bottom w:val="nil"/>
            </w:tcBorders>
            <w:shd w:val="clear" w:color="auto" w:fill="auto"/>
          </w:tcPr>
          <w:p w14:paraId="58A45C9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252AFD7E" w14:textId="77777777" w:rsidTr="00180A0E">
        <w:trPr>
          <w:cantSplit/>
          <w:trHeight w:val="20"/>
        </w:trPr>
        <w:tc>
          <w:tcPr>
            <w:tcW w:w="2689" w:type="dxa"/>
            <w:tcBorders>
              <w:bottom w:val="nil"/>
            </w:tcBorders>
            <w:shd w:val="clear" w:color="auto" w:fill="auto"/>
          </w:tcPr>
          <w:p w14:paraId="4BF77C30"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C. Innovation Relative Advantage</w:t>
            </w:r>
          </w:p>
        </w:tc>
        <w:tc>
          <w:tcPr>
            <w:tcW w:w="3260" w:type="dxa"/>
            <w:tcBorders>
              <w:bottom w:val="nil"/>
            </w:tcBorders>
            <w:shd w:val="clear" w:color="auto" w:fill="auto"/>
          </w:tcPr>
          <w:p w14:paraId="70640D15" w14:textId="492E84E1" w:rsidR="005E4945" w:rsidRPr="002C21B8" w:rsidRDefault="005E4945" w:rsidP="00C1697D">
            <w:pPr>
              <w:spacing w:beforeLines="20" w:before="48" w:afterLines="20" w:after="48" w:line="240" w:lineRule="auto"/>
              <w:jc w:val="left"/>
              <w:rPr>
                <w:sz w:val="16"/>
                <w:szCs w:val="16"/>
              </w:rPr>
            </w:pPr>
            <w:r w:rsidRPr="002C21B8">
              <w:rPr>
                <w:sz w:val="16"/>
                <w:szCs w:val="16"/>
              </w:rPr>
              <w:t>Tolvaptan offered measurable benefits over standard care. Sole disease</w:t>
            </w:r>
            <w:r w:rsidR="00C10E32" w:rsidRPr="002C21B8">
              <w:rPr>
                <w:sz w:val="16"/>
                <w:szCs w:val="16"/>
              </w:rPr>
              <w:t>-</w:t>
            </w:r>
            <w:r w:rsidRPr="002C21B8">
              <w:rPr>
                <w:sz w:val="16"/>
                <w:szCs w:val="16"/>
              </w:rPr>
              <w:t>modifying therapy available.</w:t>
            </w:r>
          </w:p>
        </w:tc>
        <w:tc>
          <w:tcPr>
            <w:tcW w:w="8793" w:type="dxa"/>
            <w:gridSpan w:val="3"/>
            <w:tcBorders>
              <w:bottom w:val="nil"/>
            </w:tcBorders>
            <w:shd w:val="clear" w:color="auto" w:fill="auto"/>
          </w:tcPr>
          <w:p w14:paraId="4956E20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4162C90B" w14:textId="77777777" w:rsidTr="00180A0E">
        <w:trPr>
          <w:cantSplit/>
          <w:trHeight w:val="20"/>
        </w:trPr>
        <w:tc>
          <w:tcPr>
            <w:tcW w:w="2689" w:type="dxa"/>
            <w:tcBorders>
              <w:bottom w:val="nil"/>
            </w:tcBorders>
            <w:shd w:val="clear" w:color="auto" w:fill="auto"/>
          </w:tcPr>
          <w:p w14:paraId="7D4B8C68"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D. Innovation Adaptability</w:t>
            </w:r>
          </w:p>
        </w:tc>
        <w:tc>
          <w:tcPr>
            <w:tcW w:w="3260" w:type="dxa"/>
            <w:tcBorders>
              <w:bottom w:val="nil"/>
            </w:tcBorders>
            <w:shd w:val="clear" w:color="auto" w:fill="auto"/>
          </w:tcPr>
          <w:p w14:paraId="5656767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Clinics and workflows adapted to accommodate tolvaptan pathway within existing resources.</w:t>
            </w:r>
          </w:p>
        </w:tc>
        <w:tc>
          <w:tcPr>
            <w:tcW w:w="8793" w:type="dxa"/>
            <w:gridSpan w:val="3"/>
            <w:tcBorders>
              <w:bottom w:val="nil"/>
            </w:tcBorders>
            <w:shd w:val="clear" w:color="auto" w:fill="auto"/>
          </w:tcPr>
          <w:p w14:paraId="4E0C1A89"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08F5929F" w14:textId="77777777" w:rsidTr="00180A0E">
        <w:trPr>
          <w:cantSplit/>
          <w:trHeight w:val="20"/>
        </w:trPr>
        <w:tc>
          <w:tcPr>
            <w:tcW w:w="2689" w:type="dxa"/>
            <w:tcBorders>
              <w:bottom w:val="nil"/>
            </w:tcBorders>
            <w:shd w:val="clear" w:color="auto" w:fill="auto"/>
          </w:tcPr>
          <w:p w14:paraId="05C78B95"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E. Innovation Trialability</w:t>
            </w:r>
          </w:p>
        </w:tc>
        <w:tc>
          <w:tcPr>
            <w:tcW w:w="3260" w:type="dxa"/>
            <w:tcBorders>
              <w:bottom w:val="nil"/>
            </w:tcBorders>
            <w:shd w:val="clear" w:color="auto" w:fill="auto"/>
          </w:tcPr>
          <w:p w14:paraId="53428BC6"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Limited direct piloting of pathway but pseudo-piloting at Case 2 and 3 through clinical trials.</w:t>
            </w:r>
          </w:p>
        </w:tc>
        <w:tc>
          <w:tcPr>
            <w:tcW w:w="2977" w:type="dxa"/>
            <w:tcBorders>
              <w:bottom w:val="nil"/>
            </w:tcBorders>
            <w:shd w:val="clear" w:color="auto" w:fill="auto"/>
          </w:tcPr>
          <w:p w14:paraId="3AF9110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possible to formally test or pilot pathway on a small scale. No participation in clinical trials.</w:t>
            </w:r>
          </w:p>
        </w:tc>
        <w:tc>
          <w:tcPr>
            <w:tcW w:w="5816" w:type="dxa"/>
            <w:gridSpan w:val="2"/>
            <w:tcBorders>
              <w:bottom w:val="nil"/>
            </w:tcBorders>
            <w:shd w:val="clear" w:color="auto" w:fill="auto"/>
          </w:tcPr>
          <w:p w14:paraId="00103608"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possible to formally test or pilot pathway on a small scale. Clinical trial as pseudo testing/piloting.</w:t>
            </w:r>
          </w:p>
        </w:tc>
      </w:tr>
      <w:tr w:rsidR="005E4945" w:rsidRPr="002C21B8" w14:paraId="1348D36C" w14:textId="77777777" w:rsidTr="00180A0E">
        <w:trPr>
          <w:cantSplit/>
          <w:trHeight w:val="20"/>
        </w:trPr>
        <w:tc>
          <w:tcPr>
            <w:tcW w:w="2689" w:type="dxa"/>
            <w:tcBorders>
              <w:bottom w:val="nil"/>
            </w:tcBorders>
            <w:shd w:val="clear" w:color="auto" w:fill="auto"/>
          </w:tcPr>
          <w:p w14:paraId="50069CB4"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F. Innovation Complexity</w:t>
            </w:r>
          </w:p>
        </w:tc>
        <w:tc>
          <w:tcPr>
            <w:tcW w:w="3260" w:type="dxa"/>
            <w:tcBorders>
              <w:bottom w:val="nil"/>
            </w:tcBorders>
            <w:shd w:val="clear" w:color="auto" w:fill="auto"/>
          </w:tcPr>
          <w:p w14:paraId="28B67CB4"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Prescribing relatively straightforward as clear eligibility criteria. Monitoring introduces more complexity within existing resources.</w:t>
            </w:r>
          </w:p>
        </w:tc>
        <w:tc>
          <w:tcPr>
            <w:tcW w:w="8793" w:type="dxa"/>
            <w:gridSpan w:val="3"/>
            <w:tcBorders>
              <w:bottom w:val="nil"/>
            </w:tcBorders>
            <w:shd w:val="clear" w:color="auto" w:fill="auto"/>
          </w:tcPr>
          <w:p w14:paraId="7BDAC873"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7E967F10" w14:textId="77777777" w:rsidTr="00180A0E">
        <w:trPr>
          <w:cantSplit/>
          <w:trHeight w:val="20"/>
        </w:trPr>
        <w:tc>
          <w:tcPr>
            <w:tcW w:w="2689" w:type="dxa"/>
            <w:tcBorders>
              <w:bottom w:val="nil"/>
            </w:tcBorders>
            <w:shd w:val="clear" w:color="auto" w:fill="auto"/>
          </w:tcPr>
          <w:p w14:paraId="6BE3A26F"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G. Innovation Design</w:t>
            </w:r>
          </w:p>
        </w:tc>
        <w:tc>
          <w:tcPr>
            <w:tcW w:w="3260" w:type="dxa"/>
            <w:tcBorders>
              <w:bottom w:val="nil"/>
            </w:tcBorders>
            <w:shd w:val="clear" w:color="auto" w:fill="auto"/>
          </w:tcPr>
          <w:p w14:paraId="16DB721D"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formal design for implementation. Specifically noted that there was no design included in NICE guidelines.</w:t>
            </w:r>
          </w:p>
        </w:tc>
        <w:tc>
          <w:tcPr>
            <w:tcW w:w="8793" w:type="dxa"/>
            <w:gridSpan w:val="3"/>
            <w:tcBorders>
              <w:bottom w:val="nil"/>
            </w:tcBorders>
            <w:shd w:val="clear" w:color="auto" w:fill="auto"/>
          </w:tcPr>
          <w:p w14:paraId="7BB58AB0"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1C97D5CC" w14:textId="77777777" w:rsidTr="00120EC1">
        <w:trPr>
          <w:cantSplit/>
          <w:trHeight w:val="20"/>
        </w:trPr>
        <w:tc>
          <w:tcPr>
            <w:tcW w:w="2689" w:type="dxa"/>
            <w:tcBorders>
              <w:bottom w:val="single" w:sz="6" w:space="0" w:color="000000" w:themeColor="text1"/>
            </w:tcBorders>
            <w:shd w:val="clear" w:color="auto" w:fill="auto"/>
          </w:tcPr>
          <w:p w14:paraId="6E95960D" w14:textId="77777777" w:rsidR="005E4945" w:rsidRPr="002C21B8" w:rsidRDefault="005E4945" w:rsidP="00C1697D">
            <w:pPr>
              <w:spacing w:beforeLines="20" w:before="48" w:afterLines="20" w:after="48" w:line="240" w:lineRule="auto"/>
              <w:ind w:left="179"/>
              <w:jc w:val="left"/>
              <w:rPr>
                <w:sz w:val="16"/>
                <w:szCs w:val="16"/>
              </w:rPr>
            </w:pPr>
            <w:r w:rsidRPr="002C21B8">
              <w:rPr>
                <w:sz w:val="16"/>
                <w:szCs w:val="16"/>
              </w:rPr>
              <w:t>H. Innovation Cost</w:t>
            </w:r>
          </w:p>
        </w:tc>
        <w:tc>
          <w:tcPr>
            <w:tcW w:w="3260" w:type="dxa"/>
            <w:tcBorders>
              <w:bottom w:val="single" w:sz="6" w:space="0" w:color="000000" w:themeColor="text1"/>
            </w:tcBorders>
            <w:shd w:val="clear" w:color="auto" w:fill="auto"/>
          </w:tcPr>
          <w:p w14:paraId="7BAA59B2" w14:textId="2EE6F787" w:rsidR="005E4945" w:rsidRPr="002C21B8" w:rsidRDefault="005E4945" w:rsidP="00C1697D">
            <w:pPr>
              <w:spacing w:beforeLines="20" w:before="48" w:afterLines="20" w:after="48" w:line="240" w:lineRule="auto"/>
              <w:jc w:val="left"/>
              <w:rPr>
                <w:sz w:val="16"/>
                <w:szCs w:val="16"/>
              </w:rPr>
            </w:pPr>
            <w:r w:rsidRPr="002C21B8">
              <w:rPr>
                <w:sz w:val="16"/>
                <w:szCs w:val="16"/>
              </w:rPr>
              <w:t>High cost of tolvaptan when first approved; not centrally funded b</w:t>
            </w:r>
            <w:r w:rsidR="00762F21" w:rsidRPr="002C21B8">
              <w:rPr>
                <w:sz w:val="16"/>
                <w:szCs w:val="16"/>
              </w:rPr>
              <w:t xml:space="preserve">ut </w:t>
            </w:r>
            <w:r w:rsidRPr="002C21B8">
              <w:rPr>
                <w:sz w:val="16"/>
                <w:szCs w:val="16"/>
              </w:rPr>
              <w:t>reimbursed through commissioning</w:t>
            </w:r>
          </w:p>
        </w:tc>
        <w:tc>
          <w:tcPr>
            <w:tcW w:w="8793" w:type="dxa"/>
            <w:gridSpan w:val="3"/>
            <w:tcBorders>
              <w:bottom w:val="single" w:sz="6" w:space="0" w:color="000000" w:themeColor="text1"/>
            </w:tcBorders>
            <w:shd w:val="clear" w:color="auto" w:fill="auto"/>
          </w:tcPr>
          <w:p w14:paraId="513FEDE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60D7C8E4" w14:textId="77777777" w:rsidTr="00120EC1">
        <w:trPr>
          <w:cantSplit/>
          <w:trHeight w:val="20"/>
        </w:trPr>
        <w:tc>
          <w:tcPr>
            <w:tcW w:w="14742" w:type="dxa"/>
            <w:gridSpan w:val="5"/>
            <w:tcBorders>
              <w:top w:val="single" w:sz="6" w:space="0" w:color="000000" w:themeColor="text1"/>
              <w:bottom w:val="nil"/>
            </w:tcBorders>
            <w:shd w:val="clear" w:color="auto" w:fill="F2F2F2" w:themeFill="background1" w:themeFillShade="F2"/>
          </w:tcPr>
          <w:p w14:paraId="07F1C323" w14:textId="77777777" w:rsidR="005E4945" w:rsidRPr="002C21B8" w:rsidRDefault="005E4945" w:rsidP="00C1697D">
            <w:pPr>
              <w:spacing w:beforeLines="20" w:before="48" w:afterLines="20" w:after="48" w:line="240" w:lineRule="auto"/>
              <w:jc w:val="left"/>
              <w:rPr>
                <w:sz w:val="16"/>
                <w:szCs w:val="16"/>
              </w:rPr>
            </w:pPr>
            <w:r w:rsidRPr="002C21B8">
              <w:rPr>
                <w:b/>
                <w:bCs/>
                <w:sz w:val="16"/>
                <w:szCs w:val="16"/>
              </w:rPr>
              <w:t>II. Outer Setting</w:t>
            </w:r>
          </w:p>
        </w:tc>
      </w:tr>
      <w:tr w:rsidR="005E4945" w:rsidRPr="002C21B8" w14:paraId="3E8EE93A" w14:textId="77777777" w:rsidTr="00180A0E">
        <w:trPr>
          <w:cantSplit/>
          <w:trHeight w:val="20"/>
        </w:trPr>
        <w:tc>
          <w:tcPr>
            <w:tcW w:w="2689" w:type="dxa"/>
            <w:tcBorders>
              <w:bottom w:val="nil"/>
            </w:tcBorders>
            <w:shd w:val="clear" w:color="auto" w:fill="auto"/>
          </w:tcPr>
          <w:p w14:paraId="5142AEFD"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A. Critical Incidents</w:t>
            </w:r>
          </w:p>
        </w:tc>
        <w:tc>
          <w:tcPr>
            <w:tcW w:w="3260" w:type="dxa"/>
            <w:tcBorders>
              <w:bottom w:val="nil"/>
            </w:tcBorders>
            <w:shd w:val="clear" w:color="auto" w:fill="auto"/>
          </w:tcPr>
          <w:p w14:paraId="064009C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large-scale and/or unanticipated events disrupted implementation or delivery of the innovation identified in cases.</w:t>
            </w:r>
          </w:p>
        </w:tc>
        <w:tc>
          <w:tcPr>
            <w:tcW w:w="8793" w:type="dxa"/>
            <w:gridSpan w:val="3"/>
            <w:tcBorders>
              <w:bottom w:val="nil"/>
            </w:tcBorders>
            <w:shd w:val="clear" w:color="auto" w:fill="auto"/>
          </w:tcPr>
          <w:p w14:paraId="61C430B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in cases.</w:t>
            </w:r>
          </w:p>
        </w:tc>
      </w:tr>
      <w:tr w:rsidR="005E4945" w:rsidRPr="002C21B8" w14:paraId="67170D0C" w14:textId="77777777" w:rsidTr="00180A0E">
        <w:trPr>
          <w:cantSplit/>
          <w:trHeight w:val="20"/>
        </w:trPr>
        <w:tc>
          <w:tcPr>
            <w:tcW w:w="2689" w:type="dxa"/>
            <w:tcBorders>
              <w:bottom w:val="nil"/>
            </w:tcBorders>
            <w:shd w:val="clear" w:color="auto" w:fill="auto"/>
          </w:tcPr>
          <w:p w14:paraId="0B9627BF"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B. Local Attitudes</w:t>
            </w:r>
          </w:p>
        </w:tc>
        <w:tc>
          <w:tcPr>
            <w:tcW w:w="3260" w:type="dxa"/>
            <w:tcBorders>
              <w:bottom w:val="nil"/>
            </w:tcBorders>
            <w:shd w:val="clear" w:color="auto" w:fill="auto"/>
          </w:tcPr>
          <w:p w14:paraId="1A7F7D6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sociocultural values or beliefs at wider outer level observed in cases.</w:t>
            </w:r>
          </w:p>
        </w:tc>
        <w:tc>
          <w:tcPr>
            <w:tcW w:w="8793" w:type="dxa"/>
            <w:gridSpan w:val="3"/>
            <w:tcBorders>
              <w:bottom w:val="nil"/>
            </w:tcBorders>
            <w:shd w:val="clear" w:color="auto" w:fill="auto"/>
          </w:tcPr>
          <w:p w14:paraId="27FB19B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in cases.</w:t>
            </w:r>
          </w:p>
        </w:tc>
      </w:tr>
      <w:tr w:rsidR="005E4945" w:rsidRPr="002C21B8" w14:paraId="75E141C5" w14:textId="77777777" w:rsidTr="00180A0E">
        <w:trPr>
          <w:cantSplit/>
          <w:trHeight w:val="20"/>
        </w:trPr>
        <w:tc>
          <w:tcPr>
            <w:tcW w:w="2689" w:type="dxa"/>
            <w:tcBorders>
              <w:bottom w:val="nil"/>
            </w:tcBorders>
            <w:shd w:val="clear" w:color="auto" w:fill="auto"/>
          </w:tcPr>
          <w:p w14:paraId="7A5C77B2"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C. Local Conditions</w:t>
            </w:r>
          </w:p>
        </w:tc>
        <w:tc>
          <w:tcPr>
            <w:tcW w:w="3260" w:type="dxa"/>
            <w:tcBorders>
              <w:bottom w:val="nil"/>
            </w:tcBorders>
            <w:shd w:val="clear" w:color="auto" w:fill="auto"/>
          </w:tcPr>
          <w:p w14:paraId="4868EEE9"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obvious economic, environmental, political or technological conditions facilitating delivery of the tolvaptan care pathway in cases.</w:t>
            </w:r>
          </w:p>
        </w:tc>
        <w:tc>
          <w:tcPr>
            <w:tcW w:w="8793" w:type="dxa"/>
            <w:gridSpan w:val="3"/>
            <w:tcBorders>
              <w:bottom w:val="nil"/>
            </w:tcBorders>
            <w:shd w:val="clear" w:color="auto" w:fill="auto"/>
          </w:tcPr>
          <w:p w14:paraId="7CA2353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in cases.</w:t>
            </w:r>
          </w:p>
        </w:tc>
      </w:tr>
      <w:tr w:rsidR="005E4945" w:rsidRPr="002C21B8" w14:paraId="3DA2CC54" w14:textId="77777777" w:rsidTr="00180A0E">
        <w:trPr>
          <w:cantSplit/>
          <w:trHeight w:val="20"/>
        </w:trPr>
        <w:tc>
          <w:tcPr>
            <w:tcW w:w="2689" w:type="dxa"/>
            <w:tcBorders>
              <w:bottom w:val="nil"/>
            </w:tcBorders>
            <w:shd w:val="clear" w:color="auto" w:fill="auto"/>
          </w:tcPr>
          <w:p w14:paraId="5DA50FE3"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D. Partnerships &amp; Connections</w:t>
            </w:r>
          </w:p>
        </w:tc>
        <w:tc>
          <w:tcPr>
            <w:tcW w:w="3260" w:type="dxa"/>
            <w:tcBorders>
              <w:bottom w:val="nil"/>
            </w:tcBorders>
            <w:shd w:val="clear" w:color="auto" w:fill="auto"/>
          </w:tcPr>
          <w:p w14:paraId="205F51E8"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Trial involvement and access to professional networks supported early familiarity with eligibility, rapid clinic development, and timely prescribing. Minimal trial participation and network access slowed implementation. Industry engagement was minimal across all cases.</w:t>
            </w:r>
          </w:p>
        </w:tc>
        <w:tc>
          <w:tcPr>
            <w:tcW w:w="2977" w:type="dxa"/>
            <w:tcBorders>
              <w:bottom w:val="nil"/>
            </w:tcBorders>
            <w:shd w:val="clear" w:color="auto" w:fill="auto"/>
          </w:tcPr>
          <w:p w14:paraId="03D5EDF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Limited involvement in clinical trials and approval processes, restricted access to informal professional networks, and minor engagement with industry meant slower familiarity with eligibility criteria, fewer opportunities to sense-check clinic design, and reliance on formal materials.</w:t>
            </w:r>
          </w:p>
        </w:tc>
        <w:tc>
          <w:tcPr>
            <w:tcW w:w="2885" w:type="dxa"/>
            <w:tcBorders>
              <w:bottom w:val="nil"/>
            </w:tcBorders>
            <w:shd w:val="clear" w:color="auto" w:fill="auto"/>
          </w:tcPr>
          <w:p w14:paraId="4117483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Engagement in trials and the NICE approval process, combined with access to formal and informal professional networks and minimal industry interaction, supported early familiarity with eligibility criteria, rapid clinic development, and timely, informed decision-making.</w:t>
            </w:r>
          </w:p>
        </w:tc>
        <w:tc>
          <w:tcPr>
            <w:tcW w:w="2931" w:type="dxa"/>
            <w:tcBorders>
              <w:bottom w:val="nil"/>
            </w:tcBorders>
            <w:shd w:val="clear" w:color="auto" w:fill="auto"/>
          </w:tcPr>
          <w:p w14:paraId="353B43B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Participation in trials, access to formal and informal professional networks, and minimal industry engagement enabled early familiarity with eligibility criteria, rapid development of the clinic, and supported effective sense-checking of clinic processes and prescribing decisions.</w:t>
            </w:r>
          </w:p>
        </w:tc>
      </w:tr>
      <w:tr w:rsidR="005E4945" w:rsidRPr="002C21B8" w14:paraId="2F9BE4DD" w14:textId="77777777" w:rsidTr="00180A0E">
        <w:trPr>
          <w:cantSplit/>
          <w:trHeight w:val="20"/>
        </w:trPr>
        <w:tc>
          <w:tcPr>
            <w:tcW w:w="2689" w:type="dxa"/>
            <w:tcBorders>
              <w:bottom w:val="nil"/>
            </w:tcBorders>
            <w:shd w:val="clear" w:color="auto" w:fill="auto"/>
          </w:tcPr>
          <w:p w14:paraId="29859978"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E. Policies &amp; Laws</w:t>
            </w:r>
          </w:p>
        </w:tc>
        <w:tc>
          <w:tcPr>
            <w:tcW w:w="3260" w:type="dxa"/>
            <w:tcBorders>
              <w:bottom w:val="nil"/>
            </w:tcBorders>
            <w:shd w:val="clear" w:color="auto" w:fill="auto"/>
          </w:tcPr>
          <w:p w14:paraId="055D5A1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Policy-driven urgency and regulatory pressure to make tolvaptan available in three months.</w:t>
            </w:r>
          </w:p>
        </w:tc>
        <w:tc>
          <w:tcPr>
            <w:tcW w:w="8793" w:type="dxa"/>
            <w:gridSpan w:val="3"/>
            <w:tcBorders>
              <w:bottom w:val="nil"/>
            </w:tcBorders>
            <w:shd w:val="clear" w:color="auto" w:fill="auto"/>
          </w:tcPr>
          <w:p w14:paraId="69565230"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086BFB6B" w14:textId="77777777" w:rsidTr="00180A0E">
        <w:trPr>
          <w:cantSplit/>
          <w:trHeight w:val="20"/>
        </w:trPr>
        <w:tc>
          <w:tcPr>
            <w:tcW w:w="2689" w:type="dxa"/>
            <w:tcBorders>
              <w:bottom w:val="nil"/>
            </w:tcBorders>
            <w:shd w:val="clear" w:color="auto" w:fill="auto"/>
          </w:tcPr>
          <w:p w14:paraId="0AA7BB92"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F. Financing</w:t>
            </w:r>
          </w:p>
        </w:tc>
        <w:tc>
          <w:tcPr>
            <w:tcW w:w="3260" w:type="dxa"/>
            <w:tcBorders>
              <w:bottom w:val="nil"/>
            </w:tcBorders>
            <w:shd w:val="clear" w:color="auto" w:fill="auto"/>
          </w:tcPr>
          <w:p w14:paraId="5FD375E0"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external funding available beyond coverage of medication costs.</w:t>
            </w:r>
          </w:p>
        </w:tc>
        <w:tc>
          <w:tcPr>
            <w:tcW w:w="8793" w:type="dxa"/>
            <w:gridSpan w:val="3"/>
            <w:tcBorders>
              <w:bottom w:val="nil"/>
            </w:tcBorders>
            <w:shd w:val="clear" w:color="auto" w:fill="auto"/>
          </w:tcPr>
          <w:p w14:paraId="4E5E0829"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0BE07B3D" w14:textId="77777777" w:rsidTr="00120EC1">
        <w:trPr>
          <w:cantSplit/>
          <w:trHeight w:val="20"/>
        </w:trPr>
        <w:tc>
          <w:tcPr>
            <w:tcW w:w="2689" w:type="dxa"/>
            <w:tcBorders>
              <w:bottom w:val="single" w:sz="6" w:space="0" w:color="000000" w:themeColor="text1"/>
            </w:tcBorders>
            <w:shd w:val="clear" w:color="auto" w:fill="auto"/>
          </w:tcPr>
          <w:p w14:paraId="3198E847"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G. External Pressure</w:t>
            </w:r>
          </w:p>
        </w:tc>
        <w:tc>
          <w:tcPr>
            <w:tcW w:w="3260" w:type="dxa"/>
            <w:tcBorders>
              <w:bottom w:val="single" w:sz="6" w:space="0" w:color="000000" w:themeColor="text1"/>
            </w:tcBorders>
            <w:shd w:val="clear" w:color="auto" w:fill="auto"/>
          </w:tcPr>
          <w:p w14:paraId="5213AC4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External audit monitoring and scrutiny influencing cases differently.</w:t>
            </w:r>
          </w:p>
        </w:tc>
        <w:tc>
          <w:tcPr>
            <w:tcW w:w="2977" w:type="dxa"/>
            <w:tcBorders>
              <w:bottom w:val="single" w:sz="6" w:space="0" w:color="000000" w:themeColor="text1"/>
            </w:tcBorders>
            <w:shd w:val="clear" w:color="auto" w:fill="auto"/>
          </w:tcPr>
          <w:p w14:paraId="57C6153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Negative audit feedback prompted internal review, audits and subsequent restructuring of pathway and prescribing culture.</w:t>
            </w:r>
          </w:p>
        </w:tc>
        <w:tc>
          <w:tcPr>
            <w:tcW w:w="2885" w:type="dxa"/>
            <w:tcBorders>
              <w:bottom w:val="single" w:sz="6" w:space="0" w:color="000000" w:themeColor="text1"/>
            </w:tcBorders>
            <w:shd w:val="clear" w:color="auto" w:fill="auto"/>
          </w:tcPr>
          <w:p w14:paraId="6529840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Positive audit feedback reinforced existing clinic structures and implementation approach</w:t>
            </w:r>
          </w:p>
        </w:tc>
        <w:tc>
          <w:tcPr>
            <w:tcW w:w="2931" w:type="dxa"/>
            <w:tcBorders>
              <w:bottom w:val="single" w:sz="6" w:space="0" w:color="000000" w:themeColor="text1"/>
            </w:tcBorders>
            <w:shd w:val="clear" w:color="auto" w:fill="auto"/>
          </w:tcPr>
          <w:p w14:paraId="04BAC33C" w14:textId="41EF01FD" w:rsidR="005E4945" w:rsidRPr="002C21B8" w:rsidRDefault="005E4945" w:rsidP="00C1697D">
            <w:pPr>
              <w:spacing w:beforeLines="20" w:before="48" w:afterLines="20" w:after="48" w:line="240" w:lineRule="auto"/>
              <w:jc w:val="center"/>
              <w:rPr>
                <w:sz w:val="16"/>
                <w:szCs w:val="16"/>
              </w:rPr>
            </w:pPr>
            <w:r w:rsidRPr="002C21B8">
              <w:rPr>
                <w:sz w:val="16"/>
                <w:szCs w:val="16"/>
              </w:rPr>
              <w:t xml:space="preserve">Negative audit feedback </w:t>
            </w:r>
            <w:r w:rsidR="00AF5F73" w:rsidRPr="002C21B8">
              <w:rPr>
                <w:sz w:val="16"/>
                <w:szCs w:val="16"/>
              </w:rPr>
              <w:t>received. Discussed with colleague in informal network but no changes to clinic structure or processes were made.</w:t>
            </w:r>
          </w:p>
        </w:tc>
      </w:tr>
      <w:tr w:rsidR="005E4945" w:rsidRPr="002C21B8" w14:paraId="041940DD" w14:textId="77777777" w:rsidTr="00120EC1">
        <w:trPr>
          <w:cantSplit/>
          <w:trHeight w:val="20"/>
        </w:trPr>
        <w:tc>
          <w:tcPr>
            <w:tcW w:w="14742" w:type="dxa"/>
            <w:gridSpan w:val="5"/>
            <w:tcBorders>
              <w:top w:val="single" w:sz="6" w:space="0" w:color="000000" w:themeColor="text1"/>
              <w:bottom w:val="nil"/>
            </w:tcBorders>
            <w:shd w:val="clear" w:color="auto" w:fill="F2F2F2" w:themeFill="background1" w:themeFillShade="F2"/>
          </w:tcPr>
          <w:p w14:paraId="3DE48D9B" w14:textId="77777777" w:rsidR="005E4945" w:rsidRPr="002C21B8" w:rsidRDefault="005E4945" w:rsidP="00C1697D">
            <w:pPr>
              <w:spacing w:beforeLines="20" w:before="48" w:afterLines="20" w:after="48" w:line="240" w:lineRule="auto"/>
              <w:jc w:val="left"/>
              <w:rPr>
                <w:sz w:val="16"/>
                <w:szCs w:val="16"/>
              </w:rPr>
            </w:pPr>
            <w:r w:rsidRPr="002C21B8">
              <w:rPr>
                <w:b/>
                <w:bCs/>
                <w:sz w:val="16"/>
                <w:szCs w:val="16"/>
              </w:rPr>
              <w:t>III. Inner Setting</w:t>
            </w:r>
          </w:p>
        </w:tc>
      </w:tr>
      <w:tr w:rsidR="005E4945" w:rsidRPr="002C21B8" w14:paraId="24703780" w14:textId="77777777" w:rsidTr="00180A0E">
        <w:trPr>
          <w:cantSplit/>
          <w:trHeight w:val="20"/>
        </w:trPr>
        <w:tc>
          <w:tcPr>
            <w:tcW w:w="2689" w:type="dxa"/>
            <w:tcBorders>
              <w:bottom w:val="nil"/>
            </w:tcBorders>
            <w:shd w:val="clear" w:color="auto" w:fill="auto"/>
          </w:tcPr>
          <w:p w14:paraId="57DA11AF"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A. Structural Characteristics</w:t>
            </w:r>
          </w:p>
        </w:tc>
        <w:tc>
          <w:tcPr>
            <w:tcW w:w="3260" w:type="dxa"/>
            <w:tcBorders>
              <w:bottom w:val="nil"/>
            </w:tcBorders>
            <w:shd w:val="clear" w:color="auto" w:fill="auto"/>
          </w:tcPr>
          <w:p w14:paraId="63E557A4" w14:textId="4AFFCBC3" w:rsidR="005E4945" w:rsidRPr="002C21B8" w:rsidRDefault="005E4945" w:rsidP="00C1697D">
            <w:pPr>
              <w:spacing w:beforeLines="20" w:before="48" w:afterLines="20" w:after="48" w:line="240" w:lineRule="auto"/>
              <w:jc w:val="left"/>
              <w:rPr>
                <w:sz w:val="16"/>
                <w:szCs w:val="16"/>
              </w:rPr>
            </w:pPr>
            <w:r w:rsidRPr="002C21B8">
              <w:rPr>
                <w:sz w:val="16"/>
                <w:szCs w:val="16"/>
              </w:rPr>
              <w:t xml:space="preserve">Clinic structure shaped timing of initiation and workflow; </w:t>
            </w:r>
            <w:r w:rsidR="0060729F" w:rsidRPr="002C21B8">
              <w:rPr>
                <w:sz w:val="16"/>
                <w:szCs w:val="16"/>
              </w:rPr>
              <w:t xml:space="preserve">condition-specific clinic model </w:t>
            </w:r>
            <w:r w:rsidRPr="002C21B8">
              <w:rPr>
                <w:sz w:val="16"/>
                <w:szCs w:val="16"/>
              </w:rPr>
              <w:t>improved consistency, hybrid model introduced variability.</w:t>
            </w:r>
          </w:p>
        </w:tc>
        <w:tc>
          <w:tcPr>
            <w:tcW w:w="2977" w:type="dxa"/>
            <w:tcBorders>
              <w:bottom w:val="nil"/>
            </w:tcBorders>
            <w:shd w:val="clear" w:color="auto" w:fill="auto"/>
          </w:tcPr>
          <w:p w14:paraId="70600C16" w14:textId="5238D8F2" w:rsidR="005E4945" w:rsidRPr="002C21B8" w:rsidRDefault="005E4945" w:rsidP="00C1697D">
            <w:pPr>
              <w:spacing w:beforeLines="20" w:before="48" w:afterLines="20" w:after="48" w:line="240" w:lineRule="auto"/>
              <w:jc w:val="center"/>
              <w:rPr>
                <w:sz w:val="16"/>
                <w:szCs w:val="16"/>
              </w:rPr>
            </w:pPr>
            <w:r w:rsidRPr="002C21B8">
              <w:rPr>
                <w:sz w:val="16"/>
                <w:szCs w:val="16"/>
              </w:rPr>
              <w:t>Initially distributed prescribing in individual general nephrology clinics then newly formed tolvaptan clinic; assessment remained in general nephrology clinics. Wide range of conditions reducing focus.</w:t>
            </w:r>
          </w:p>
        </w:tc>
        <w:tc>
          <w:tcPr>
            <w:tcW w:w="2885" w:type="dxa"/>
            <w:tcBorders>
              <w:bottom w:val="nil"/>
            </w:tcBorders>
            <w:shd w:val="clear" w:color="auto" w:fill="auto"/>
          </w:tcPr>
          <w:p w14:paraId="2FBC9C35" w14:textId="15CCAA13" w:rsidR="005E4945" w:rsidRPr="002C21B8" w:rsidRDefault="005E4945" w:rsidP="00C1697D">
            <w:pPr>
              <w:spacing w:beforeLines="20" w:before="48" w:afterLines="20" w:after="48" w:line="240" w:lineRule="auto"/>
              <w:jc w:val="center"/>
              <w:rPr>
                <w:sz w:val="16"/>
                <w:szCs w:val="16"/>
              </w:rPr>
            </w:pPr>
            <w:r w:rsidRPr="002C21B8">
              <w:rPr>
                <w:sz w:val="16"/>
                <w:szCs w:val="16"/>
              </w:rPr>
              <w:t xml:space="preserve">Pathway implemented within existing renal genetics </w:t>
            </w:r>
            <w:r w:rsidR="004F68A4" w:rsidRPr="002C21B8">
              <w:rPr>
                <w:sz w:val="16"/>
                <w:szCs w:val="16"/>
              </w:rPr>
              <w:t>clinic</w:t>
            </w:r>
            <w:r w:rsidRPr="002C21B8">
              <w:rPr>
                <w:sz w:val="16"/>
                <w:szCs w:val="16"/>
              </w:rPr>
              <w:t>, new tolvaptan clinic developed, small numbers in implementation team supported consistent and timely implementation. Focused on disease area and tolvaptan prescribing feeling “primed”.</w:t>
            </w:r>
          </w:p>
        </w:tc>
        <w:tc>
          <w:tcPr>
            <w:tcW w:w="2931" w:type="dxa"/>
            <w:tcBorders>
              <w:bottom w:val="nil"/>
            </w:tcBorders>
            <w:shd w:val="clear" w:color="auto" w:fill="auto"/>
          </w:tcPr>
          <w:p w14:paraId="71C16C9A" w14:textId="467BD6CF" w:rsidR="005E4945" w:rsidRPr="002C21B8" w:rsidRDefault="005E4945" w:rsidP="00C1697D">
            <w:pPr>
              <w:spacing w:beforeLines="20" w:before="48" w:afterLines="20" w:after="48" w:line="240" w:lineRule="auto"/>
              <w:jc w:val="center"/>
              <w:rPr>
                <w:sz w:val="16"/>
                <w:szCs w:val="16"/>
              </w:rPr>
            </w:pPr>
            <w:r w:rsidRPr="002C21B8">
              <w:rPr>
                <w:sz w:val="16"/>
                <w:szCs w:val="16"/>
              </w:rPr>
              <w:t>Hybrid model with some sharing of responsibility between general nephrology and renal genetics clinics; introduction of renal nurse to lead tolvaptan clinic but eligibility assessments remain responsibility of renal genetics specialist.</w:t>
            </w:r>
          </w:p>
        </w:tc>
      </w:tr>
      <w:tr w:rsidR="005E4945" w:rsidRPr="002C21B8" w14:paraId="200C113E" w14:textId="77777777" w:rsidTr="00180A0E">
        <w:trPr>
          <w:cantSplit/>
          <w:trHeight w:val="20"/>
        </w:trPr>
        <w:tc>
          <w:tcPr>
            <w:tcW w:w="2689" w:type="dxa"/>
            <w:tcBorders>
              <w:bottom w:val="nil"/>
            </w:tcBorders>
            <w:shd w:val="clear" w:color="auto" w:fill="auto"/>
          </w:tcPr>
          <w:p w14:paraId="000DDE07"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B. Relational Connections</w:t>
            </w:r>
          </w:p>
        </w:tc>
        <w:tc>
          <w:tcPr>
            <w:tcW w:w="3260" w:type="dxa"/>
            <w:tcBorders>
              <w:bottom w:val="nil"/>
            </w:tcBorders>
            <w:shd w:val="clear" w:color="auto" w:fill="auto"/>
          </w:tcPr>
          <w:p w14:paraId="2F0B72AF"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Communication and relationships impacted implementation; better coordination improved adoption.</w:t>
            </w:r>
          </w:p>
        </w:tc>
        <w:tc>
          <w:tcPr>
            <w:tcW w:w="2977" w:type="dxa"/>
            <w:tcBorders>
              <w:bottom w:val="nil"/>
            </w:tcBorders>
            <w:shd w:val="clear" w:color="auto" w:fill="auto"/>
          </w:tcPr>
          <w:p w14:paraId="653B69A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Tolvaptan clinic telephone on a different day to general nephrology clinics, once monthly.</w:t>
            </w:r>
          </w:p>
        </w:tc>
        <w:tc>
          <w:tcPr>
            <w:tcW w:w="2885" w:type="dxa"/>
            <w:tcBorders>
              <w:bottom w:val="nil"/>
            </w:tcBorders>
            <w:shd w:val="clear" w:color="auto" w:fill="auto"/>
          </w:tcPr>
          <w:p w14:paraId="33504CF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Tolvaptan clinic on the same day at the same location weekly. Easier communication between professionals in clinics.</w:t>
            </w:r>
          </w:p>
        </w:tc>
        <w:tc>
          <w:tcPr>
            <w:tcW w:w="2931" w:type="dxa"/>
            <w:tcBorders>
              <w:bottom w:val="nil"/>
            </w:tcBorders>
            <w:shd w:val="clear" w:color="auto" w:fill="auto"/>
          </w:tcPr>
          <w:p w14:paraId="2AA53C6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Tolvaptan clinic on a separate day, once fortnightly. Limited communication between tolvaptan clinic and renal genetics clinic.</w:t>
            </w:r>
          </w:p>
        </w:tc>
      </w:tr>
      <w:tr w:rsidR="005E4945" w:rsidRPr="002C21B8" w14:paraId="41566D05" w14:textId="77777777" w:rsidTr="00180A0E">
        <w:trPr>
          <w:cantSplit/>
          <w:trHeight w:val="20"/>
        </w:trPr>
        <w:tc>
          <w:tcPr>
            <w:tcW w:w="2689" w:type="dxa"/>
            <w:tcBorders>
              <w:bottom w:val="nil"/>
            </w:tcBorders>
            <w:shd w:val="clear" w:color="auto" w:fill="auto"/>
          </w:tcPr>
          <w:p w14:paraId="09FE43BB"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C. Communications</w:t>
            </w:r>
          </w:p>
        </w:tc>
        <w:tc>
          <w:tcPr>
            <w:tcW w:w="3260" w:type="dxa"/>
            <w:tcBorders>
              <w:bottom w:val="nil"/>
            </w:tcBorders>
            <w:shd w:val="clear" w:color="auto" w:fill="auto"/>
          </w:tcPr>
          <w:p w14:paraId="7A7905F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Strong communication structures supported implementation and sharing of learning. Weaker links impeding implementation and slowing implementation as well as introducing variation in practice.</w:t>
            </w:r>
          </w:p>
        </w:tc>
        <w:tc>
          <w:tcPr>
            <w:tcW w:w="2977" w:type="dxa"/>
            <w:tcBorders>
              <w:bottom w:val="nil"/>
            </w:tcBorders>
            <w:shd w:val="clear" w:color="auto" w:fill="auto"/>
          </w:tcPr>
          <w:p w14:paraId="0FE7CFC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Smaller centre so easier for information distribution.</w:t>
            </w:r>
          </w:p>
        </w:tc>
        <w:tc>
          <w:tcPr>
            <w:tcW w:w="2885" w:type="dxa"/>
            <w:tcBorders>
              <w:bottom w:val="nil"/>
            </w:tcBorders>
            <w:shd w:val="clear" w:color="auto" w:fill="auto"/>
          </w:tcPr>
          <w:p w14:paraId="4B1B759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Large centre but small number of clinicians involved in tolvaptan pathway. Easy distribution of information and learning.</w:t>
            </w:r>
          </w:p>
        </w:tc>
        <w:tc>
          <w:tcPr>
            <w:tcW w:w="2931" w:type="dxa"/>
            <w:tcBorders>
              <w:bottom w:val="nil"/>
            </w:tcBorders>
            <w:shd w:val="clear" w:color="auto" w:fill="auto"/>
          </w:tcPr>
          <w:p w14:paraId="777AE95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Large centre with small number of clinicians involved in tolvaptan pathway. Involvement of general nephrologists who are not involved in communications to the same degree. Interactions between generalists and specialists varies by individuals.</w:t>
            </w:r>
          </w:p>
        </w:tc>
      </w:tr>
      <w:tr w:rsidR="005E4945" w:rsidRPr="002C21B8" w14:paraId="4977F8EB" w14:textId="77777777" w:rsidTr="00180A0E">
        <w:trPr>
          <w:cantSplit/>
          <w:trHeight w:val="20"/>
        </w:trPr>
        <w:tc>
          <w:tcPr>
            <w:tcW w:w="2689" w:type="dxa"/>
            <w:tcBorders>
              <w:bottom w:val="nil"/>
            </w:tcBorders>
            <w:shd w:val="clear" w:color="auto" w:fill="auto"/>
          </w:tcPr>
          <w:p w14:paraId="2BA13E7F"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D. Culture</w:t>
            </w:r>
          </w:p>
        </w:tc>
        <w:tc>
          <w:tcPr>
            <w:tcW w:w="3260" w:type="dxa"/>
            <w:tcBorders>
              <w:bottom w:val="nil"/>
            </w:tcBorders>
            <w:shd w:val="clear" w:color="auto" w:fill="auto"/>
          </w:tcPr>
          <w:p w14:paraId="63E75445"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Shared perceived value of prescribing tolvaptan for patients given limited treatment options and disease impact.</w:t>
            </w:r>
          </w:p>
        </w:tc>
        <w:tc>
          <w:tcPr>
            <w:tcW w:w="8793" w:type="dxa"/>
            <w:gridSpan w:val="3"/>
            <w:tcBorders>
              <w:bottom w:val="nil"/>
            </w:tcBorders>
            <w:shd w:val="clear" w:color="auto" w:fill="auto"/>
          </w:tcPr>
          <w:p w14:paraId="3C98B581"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66C803D2" w14:textId="77777777" w:rsidTr="00180A0E">
        <w:trPr>
          <w:cantSplit/>
          <w:trHeight w:val="20"/>
        </w:trPr>
        <w:tc>
          <w:tcPr>
            <w:tcW w:w="2689" w:type="dxa"/>
            <w:tcBorders>
              <w:bottom w:val="nil"/>
            </w:tcBorders>
            <w:shd w:val="clear" w:color="auto" w:fill="auto"/>
          </w:tcPr>
          <w:p w14:paraId="1A952E28"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E. Tension for Change</w:t>
            </w:r>
          </w:p>
        </w:tc>
        <w:tc>
          <w:tcPr>
            <w:tcW w:w="3260" w:type="dxa"/>
            <w:tcBorders>
              <w:bottom w:val="nil"/>
            </w:tcBorders>
            <w:shd w:val="clear" w:color="auto" w:fill="auto"/>
          </w:tcPr>
          <w:p w14:paraId="681885C0"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Motivation driven by external mandate in Case 1. Patient demand in Cases 2 &amp; 3 and greater desire to help patient group.</w:t>
            </w:r>
          </w:p>
        </w:tc>
        <w:tc>
          <w:tcPr>
            <w:tcW w:w="2977" w:type="dxa"/>
            <w:tcBorders>
              <w:bottom w:val="nil"/>
            </w:tcBorders>
            <w:shd w:val="clear" w:color="auto" w:fill="auto"/>
          </w:tcPr>
          <w:p w14:paraId="0FD0130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Implementation driven primarily by external requirements, with limited locally perceived urgency for change.</w:t>
            </w:r>
          </w:p>
        </w:tc>
        <w:tc>
          <w:tcPr>
            <w:tcW w:w="2885" w:type="dxa"/>
            <w:tcBorders>
              <w:bottom w:val="nil"/>
            </w:tcBorders>
            <w:shd w:val="clear" w:color="auto" w:fill="auto"/>
          </w:tcPr>
          <w:p w14:paraId="3C77E70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Strong perceived need for change driven by unmet patient demand and desire to provide timely access to treatment.</w:t>
            </w:r>
          </w:p>
        </w:tc>
        <w:tc>
          <w:tcPr>
            <w:tcW w:w="2931" w:type="dxa"/>
            <w:tcBorders>
              <w:bottom w:val="nil"/>
            </w:tcBorders>
            <w:shd w:val="clear" w:color="auto" w:fill="auto"/>
          </w:tcPr>
          <w:p w14:paraId="5EE73423"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Perceived need for change largely driven by patient demand, with moderate urgency relative to available service capacity.</w:t>
            </w:r>
          </w:p>
        </w:tc>
      </w:tr>
      <w:tr w:rsidR="005E4945" w:rsidRPr="002C21B8" w14:paraId="3330E119" w14:textId="77777777" w:rsidTr="00180A0E">
        <w:trPr>
          <w:cantSplit/>
          <w:trHeight w:val="20"/>
        </w:trPr>
        <w:tc>
          <w:tcPr>
            <w:tcW w:w="2689" w:type="dxa"/>
            <w:tcBorders>
              <w:bottom w:val="nil"/>
            </w:tcBorders>
            <w:shd w:val="clear" w:color="auto" w:fill="auto"/>
          </w:tcPr>
          <w:p w14:paraId="224778B7"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F. Compatibility</w:t>
            </w:r>
          </w:p>
        </w:tc>
        <w:tc>
          <w:tcPr>
            <w:tcW w:w="3260" w:type="dxa"/>
            <w:tcBorders>
              <w:bottom w:val="nil"/>
            </w:tcBorders>
            <w:shd w:val="clear" w:color="auto" w:fill="auto"/>
          </w:tcPr>
          <w:p w14:paraId="2AEECDC3"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Alignment of workflow and eligibility criteria influenced ability to integrate tolvaptan pathway.</w:t>
            </w:r>
          </w:p>
        </w:tc>
        <w:tc>
          <w:tcPr>
            <w:tcW w:w="2977" w:type="dxa"/>
            <w:tcBorders>
              <w:bottom w:val="nil"/>
            </w:tcBorders>
            <w:shd w:val="clear" w:color="auto" w:fill="auto"/>
          </w:tcPr>
          <w:p w14:paraId="26587E0B"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Eligibility assessment relied primarily on eGFR slopes, limited use of additional investigation due to less confidence and access.</w:t>
            </w:r>
          </w:p>
        </w:tc>
        <w:tc>
          <w:tcPr>
            <w:tcW w:w="2885" w:type="dxa"/>
            <w:tcBorders>
              <w:bottom w:val="nil"/>
            </w:tcBorders>
            <w:shd w:val="clear" w:color="auto" w:fill="auto"/>
          </w:tcPr>
          <w:p w14:paraId="2BE83B6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Comprehensive use of all eligibility criteria incorporating systematic assessment with near-universal imaging and genetic testing, supporting confident and greater opportunities for being determined to be eligible.</w:t>
            </w:r>
          </w:p>
        </w:tc>
        <w:tc>
          <w:tcPr>
            <w:tcW w:w="2931" w:type="dxa"/>
            <w:tcBorders>
              <w:bottom w:val="nil"/>
            </w:tcBorders>
            <w:shd w:val="clear" w:color="auto" w:fill="auto"/>
          </w:tcPr>
          <w:p w14:paraId="073C6665"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Selective use of imaging &amp; genetic testing, balancing risk and benefits of performing additional investigations.</w:t>
            </w:r>
          </w:p>
        </w:tc>
      </w:tr>
      <w:tr w:rsidR="005E4945" w:rsidRPr="002C21B8" w14:paraId="11080DA7" w14:textId="77777777" w:rsidTr="00180A0E">
        <w:trPr>
          <w:cantSplit/>
          <w:trHeight w:val="20"/>
        </w:trPr>
        <w:tc>
          <w:tcPr>
            <w:tcW w:w="2689" w:type="dxa"/>
            <w:tcBorders>
              <w:bottom w:val="nil"/>
            </w:tcBorders>
            <w:shd w:val="clear" w:color="auto" w:fill="auto"/>
          </w:tcPr>
          <w:p w14:paraId="75383C98"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G. Relative Priority</w:t>
            </w:r>
          </w:p>
        </w:tc>
        <w:tc>
          <w:tcPr>
            <w:tcW w:w="3260" w:type="dxa"/>
            <w:tcBorders>
              <w:bottom w:val="nil"/>
            </w:tcBorders>
            <w:shd w:val="clear" w:color="auto" w:fill="auto"/>
          </w:tcPr>
          <w:p w14:paraId="09797C1F"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Prioritisation of tolvaptan adoption linked to specialist attitudes and perceived patient need.</w:t>
            </w:r>
          </w:p>
        </w:tc>
        <w:tc>
          <w:tcPr>
            <w:tcW w:w="2977" w:type="dxa"/>
            <w:tcBorders>
              <w:bottom w:val="nil"/>
            </w:tcBorders>
            <w:shd w:val="clear" w:color="auto" w:fill="auto"/>
          </w:tcPr>
          <w:p w14:paraId="149B7021"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Low priority initially. No additional funding or staffing available. Not prioritised compared to other areas with easier access to renal nurses.</w:t>
            </w:r>
          </w:p>
        </w:tc>
        <w:tc>
          <w:tcPr>
            <w:tcW w:w="5816" w:type="dxa"/>
            <w:gridSpan w:val="2"/>
            <w:tcBorders>
              <w:bottom w:val="nil"/>
            </w:tcBorders>
            <w:shd w:val="clear" w:color="auto" w:fill="auto"/>
          </w:tcPr>
          <w:p w14:paraId="2A2964AD"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High priority given attitudes and perspectives of specialists. High desire to start people on treatment.</w:t>
            </w:r>
          </w:p>
        </w:tc>
      </w:tr>
      <w:tr w:rsidR="005E4945" w:rsidRPr="002C21B8" w14:paraId="775F660C" w14:textId="77777777" w:rsidTr="00180A0E">
        <w:trPr>
          <w:cantSplit/>
          <w:trHeight w:val="20"/>
        </w:trPr>
        <w:tc>
          <w:tcPr>
            <w:tcW w:w="2689" w:type="dxa"/>
            <w:tcBorders>
              <w:bottom w:val="nil"/>
            </w:tcBorders>
            <w:shd w:val="clear" w:color="auto" w:fill="auto"/>
          </w:tcPr>
          <w:p w14:paraId="7D007A1C"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H. Incentive Systems</w:t>
            </w:r>
          </w:p>
        </w:tc>
        <w:tc>
          <w:tcPr>
            <w:tcW w:w="3260" w:type="dxa"/>
            <w:tcBorders>
              <w:bottom w:val="nil"/>
            </w:tcBorders>
            <w:shd w:val="clear" w:color="auto" w:fill="auto"/>
          </w:tcPr>
          <w:p w14:paraId="16597817"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incentives and rewards or disincentives and punishments related to tolvaptan pathway.</w:t>
            </w:r>
          </w:p>
        </w:tc>
        <w:tc>
          <w:tcPr>
            <w:tcW w:w="8793" w:type="dxa"/>
            <w:gridSpan w:val="3"/>
            <w:tcBorders>
              <w:bottom w:val="nil"/>
            </w:tcBorders>
            <w:shd w:val="clear" w:color="auto" w:fill="auto"/>
          </w:tcPr>
          <w:p w14:paraId="0160BDD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332F6878" w14:textId="77777777" w:rsidTr="00180A0E">
        <w:trPr>
          <w:cantSplit/>
          <w:trHeight w:val="20"/>
        </w:trPr>
        <w:tc>
          <w:tcPr>
            <w:tcW w:w="2689" w:type="dxa"/>
            <w:tcBorders>
              <w:bottom w:val="nil"/>
            </w:tcBorders>
            <w:shd w:val="clear" w:color="auto" w:fill="auto"/>
          </w:tcPr>
          <w:p w14:paraId="21DADA1E"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I. Mission Alignment</w:t>
            </w:r>
          </w:p>
        </w:tc>
        <w:tc>
          <w:tcPr>
            <w:tcW w:w="3260" w:type="dxa"/>
            <w:tcBorders>
              <w:bottom w:val="nil"/>
            </w:tcBorders>
            <w:shd w:val="clear" w:color="auto" w:fill="auto"/>
          </w:tcPr>
          <w:p w14:paraId="63EE6439"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clearly articulated mission relevant to implementation identified.</w:t>
            </w:r>
          </w:p>
        </w:tc>
        <w:tc>
          <w:tcPr>
            <w:tcW w:w="8793" w:type="dxa"/>
            <w:gridSpan w:val="3"/>
            <w:tcBorders>
              <w:bottom w:val="nil"/>
            </w:tcBorders>
            <w:shd w:val="clear" w:color="auto" w:fill="auto"/>
          </w:tcPr>
          <w:p w14:paraId="4B87C8C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1758AF83" w14:textId="77777777" w:rsidTr="00180A0E">
        <w:trPr>
          <w:cantSplit/>
          <w:trHeight w:val="20"/>
        </w:trPr>
        <w:tc>
          <w:tcPr>
            <w:tcW w:w="2689" w:type="dxa"/>
            <w:tcBorders>
              <w:bottom w:val="nil"/>
            </w:tcBorders>
            <w:shd w:val="clear" w:color="auto" w:fill="auto"/>
          </w:tcPr>
          <w:p w14:paraId="3CC79112" w14:textId="77777777" w:rsidR="005E4945" w:rsidRPr="002C21B8" w:rsidRDefault="005E4945" w:rsidP="00C1697D">
            <w:pPr>
              <w:spacing w:beforeLines="20" w:before="48" w:afterLines="20" w:after="48" w:line="240" w:lineRule="auto"/>
              <w:ind w:left="29" w:firstLine="179"/>
              <w:jc w:val="left"/>
              <w:rPr>
                <w:sz w:val="16"/>
                <w:szCs w:val="16"/>
              </w:rPr>
            </w:pPr>
            <w:r w:rsidRPr="002C21B8">
              <w:rPr>
                <w:sz w:val="16"/>
                <w:szCs w:val="16"/>
              </w:rPr>
              <w:t>J. Available Resources</w:t>
            </w:r>
          </w:p>
        </w:tc>
        <w:tc>
          <w:tcPr>
            <w:tcW w:w="3260" w:type="dxa"/>
            <w:tcBorders>
              <w:bottom w:val="nil"/>
            </w:tcBorders>
            <w:shd w:val="clear" w:color="auto" w:fill="auto"/>
          </w:tcPr>
          <w:p w14:paraId="4F153256"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Staff, expertise, and equipment influenced ability to implement pathway efficiently.</w:t>
            </w:r>
          </w:p>
        </w:tc>
        <w:tc>
          <w:tcPr>
            <w:tcW w:w="2977" w:type="dxa"/>
            <w:tcBorders>
              <w:bottom w:val="nil"/>
            </w:tcBorders>
            <w:shd w:val="clear" w:color="auto" w:fill="auto"/>
          </w:tcPr>
          <w:p w14:paraId="7B38DC10"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Magnetic resonance imaging not readily available.</w:t>
            </w:r>
          </w:p>
        </w:tc>
        <w:tc>
          <w:tcPr>
            <w:tcW w:w="5816" w:type="dxa"/>
            <w:gridSpan w:val="2"/>
            <w:tcBorders>
              <w:bottom w:val="nil"/>
            </w:tcBorders>
            <w:shd w:val="clear" w:color="auto" w:fill="auto"/>
          </w:tcPr>
          <w:p w14:paraId="4F5F5550"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 access issues.</w:t>
            </w:r>
          </w:p>
        </w:tc>
      </w:tr>
      <w:tr w:rsidR="005E4945" w:rsidRPr="002C21B8" w14:paraId="4ED79C81" w14:textId="77777777" w:rsidTr="00120EC1">
        <w:trPr>
          <w:cantSplit/>
          <w:trHeight w:val="20"/>
        </w:trPr>
        <w:tc>
          <w:tcPr>
            <w:tcW w:w="2689" w:type="dxa"/>
            <w:tcBorders>
              <w:bottom w:val="single" w:sz="6" w:space="0" w:color="000000" w:themeColor="text1"/>
            </w:tcBorders>
            <w:shd w:val="clear" w:color="auto" w:fill="auto"/>
          </w:tcPr>
          <w:p w14:paraId="4051F913" w14:textId="77777777" w:rsidR="005E4945" w:rsidRPr="002C21B8" w:rsidRDefault="005E4945" w:rsidP="00C1697D">
            <w:pPr>
              <w:spacing w:beforeLines="20" w:before="48" w:afterLines="20" w:after="48" w:line="240" w:lineRule="auto"/>
              <w:ind w:left="177"/>
              <w:jc w:val="left"/>
              <w:rPr>
                <w:sz w:val="16"/>
                <w:szCs w:val="16"/>
              </w:rPr>
            </w:pPr>
            <w:r w:rsidRPr="002C21B8">
              <w:rPr>
                <w:sz w:val="16"/>
                <w:szCs w:val="16"/>
              </w:rPr>
              <w:t>K. Access to Knowledge &amp; Information</w:t>
            </w:r>
          </w:p>
        </w:tc>
        <w:tc>
          <w:tcPr>
            <w:tcW w:w="3260" w:type="dxa"/>
            <w:tcBorders>
              <w:bottom w:val="single" w:sz="6" w:space="0" w:color="000000" w:themeColor="text1"/>
            </w:tcBorders>
            <w:shd w:val="clear" w:color="auto" w:fill="auto"/>
          </w:tcPr>
          <w:p w14:paraId="23CD287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Use of eligibility criteria and guidelines aligned with staff experience and access to information.</w:t>
            </w:r>
          </w:p>
        </w:tc>
        <w:tc>
          <w:tcPr>
            <w:tcW w:w="2977" w:type="dxa"/>
            <w:tcBorders>
              <w:bottom w:val="single" w:sz="6" w:space="0" w:color="000000" w:themeColor="text1"/>
            </w:tcBorders>
            <w:shd w:val="clear" w:color="auto" w:fill="auto"/>
          </w:tcPr>
          <w:p w14:paraId="10973468"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 access to specialist ADPKD expertise or genetic testing knowledge.</w:t>
            </w:r>
          </w:p>
        </w:tc>
        <w:tc>
          <w:tcPr>
            <w:tcW w:w="2885" w:type="dxa"/>
            <w:tcBorders>
              <w:bottom w:val="single" w:sz="6" w:space="0" w:color="000000" w:themeColor="text1"/>
            </w:tcBorders>
            <w:shd w:val="clear" w:color="auto" w:fill="auto"/>
          </w:tcPr>
          <w:p w14:paraId="13C229F7"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Specialist ADPKD expertise readily available at the centre.</w:t>
            </w:r>
          </w:p>
        </w:tc>
        <w:tc>
          <w:tcPr>
            <w:tcW w:w="2931" w:type="dxa"/>
            <w:tcBorders>
              <w:bottom w:val="single" w:sz="6" w:space="0" w:color="000000" w:themeColor="text1"/>
            </w:tcBorders>
            <w:shd w:val="clear" w:color="auto" w:fill="auto"/>
          </w:tcPr>
          <w:p w14:paraId="1AD09457"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Specialist ADPKD expertise readily available at the centre.</w:t>
            </w:r>
          </w:p>
        </w:tc>
      </w:tr>
      <w:tr w:rsidR="005E4945" w:rsidRPr="002C21B8" w14:paraId="37ABCB58" w14:textId="77777777" w:rsidTr="00120EC1">
        <w:trPr>
          <w:cantSplit/>
          <w:trHeight w:val="20"/>
        </w:trPr>
        <w:tc>
          <w:tcPr>
            <w:tcW w:w="14742" w:type="dxa"/>
            <w:gridSpan w:val="5"/>
            <w:tcBorders>
              <w:top w:val="single" w:sz="6" w:space="0" w:color="000000" w:themeColor="text1"/>
              <w:bottom w:val="nil"/>
            </w:tcBorders>
            <w:shd w:val="clear" w:color="auto" w:fill="F2F2F2" w:themeFill="background1" w:themeFillShade="F2"/>
          </w:tcPr>
          <w:p w14:paraId="409BE4F8" w14:textId="77777777" w:rsidR="005E4945" w:rsidRPr="002C21B8" w:rsidRDefault="005E4945" w:rsidP="00C1697D">
            <w:pPr>
              <w:spacing w:beforeLines="20" w:before="48" w:afterLines="20" w:after="48" w:line="240" w:lineRule="auto"/>
              <w:jc w:val="left"/>
              <w:rPr>
                <w:sz w:val="16"/>
                <w:szCs w:val="16"/>
              </w:rPr>
            </w:pPr>
            <w:r w:rsidRPr="002C21B8">
              <w:rPr>
                <w:b/>
                <w:bCs/>
                <w:sz w:val="16"/>
                <w:szCs w:val="16"/>
              </w:rPr>
              <w:t>IV. Individuals</w:t>
            </w:r>
          </w:p>
        </w:tc>
      </w:tr>
      <w:tr w:rsidR="005E4945" w:rsidRPr="002C21B8" w14:paraId="52480CE5" w14:textId="77777777" w:rsidTr="00F838FD">
        <w:trPr>
          <w:cantSplit/>
          <w:trHeight w:val="20"/>
        </w:trPr>
        <w:tc>
          <w:tcPr>
            <w:tcW w:w="14742" w:type="dxa"/>
            <w:gridSpan w:val="5"/>
            <w:tcBorders>
              <w:bottom w:val="nil"/>
            </w:tcBorders>
            <w:shd w:val="clear" w:color="auto" w:fill="FFFFFF" w:themeFill="background1"/>
          </w:tcPr>
          <w:p w14:paraId="54A4D339" w14:textId="77777777" w:rsidR="005E4945" w:rsidRPr="002C21B8" w:rsidRDefault="005E4945" w:rsidP="00C1697D">
            <w:pPr>
              <w:spacing w:beforeLines="20" w:before="48" w:afterLines="20" w:after="48" w:line="240" w:lineRule="auto"/>
              <w:jc w:val="left"/>
              <w:rPr>
                <w:b/>
                <w:bCs/>
                <w:sz w:val="16"/>
                <w:szCs w:val="16"/>
              </w:rPr>
            </w:pPr>
            <w:r w:rsidRPr="002C21B8">
              <w:rPr>
                <w:b/>
                <w:bCs/>
                <w:sz w:val="16"/>
                <w:szCs w:val="16"/>
              </w:rPr>
              <w:t>Roles subdomain</w:t>
            </w:r>
          </w:p>
        </w:tc>
      </w:tr>
      <w:tr w:rsidR="005E4945" w:rsidRPr="002C21B8" w14:paraId="189A34A4" w14:textId="77777777" w:rsidTr="00180A0E">
        <w:trPr>
          <w:cantSplit/>
          <w:trHeight w:val="20"/>
        </w:trPr>
        <w:tc>
          <w:tcPr>
            <w:tcW w:w="2689" w:type="dxa"/>
            <w:tcBorders>
              <w:bottom w:val="nil"/>
            </w:tcBorders>
            <w:shd w:val="clear" w:color="auto" w:fill="auto"/>
          </w:tcPr>
          <w:p w14:paraId="31238934"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A. High-level Leaders</w:t>
            </w:r>
          </w:p>
        </w:tc>
        <w:tc>
          <w:tcPr>
            <w:tcW w:w="3260" w:type="dxa"/>
            <w:tcBorders>
              <w:bottom w:val="nil"/>
            </w:tcBorders>
            <w:shd w:val="clear" w:color="auto" w:fill="auto"/>
          </w:tcPr>
          <w:p w14:paraId="3B536BD4"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high-level leaders directly involved in tolvaptan implementation.</w:t>
            </w:r>
          </w:p>
        </w:tc>
        <w:tc>
          <w:tcPr>
            <w:tcW w:w="8793" w:type="dxa"/>
            <w:gridSpan w:val="3"/>
            <w:tcBorders>
              <w:bottom w:val="nil"/>
            </w:tcBorders>
            <w:shd w:val="clear" w:color="auto" w:fill="auto"/>
          </w:tcPr>
          <w:p w14:paraId="0A5C78FD"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254F2FC8" w14:textId="77777777" w:rsidTr="00180A0E">
        <w:trPr>
          <w:cantSplit/>
          <w:trHeight w:val="20"/>
        </w:trPr>
        <w:tc>
          <w:tcPr>
            <w:tcW w:w="2689" w:type="dxa"/>
            <w:tcBorders>
              <w:bottom w:val="nil"/>
            </w:tcBorders>
            <w:shd w:val="clear" w:color="auto" w:fill="auto"/>
          </w:tcPr>
          <w:p w14:paraId="6EE229ED"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B. Mid-level Leaders</w:t>
            </w:r>
          </w:p>
        </w:tc>
        <w:tc>
          <w:tcPr>
            <w:tcW w:w="3260" w:type="dxa"/>
            <w:tcBorders>
              <w:bottom w:val="nil"/>
            </w:tcBorders>
            <w:shd w:val="clear" w:color="auto" w:fill="auto"/>
          </w:tcPr>
          <w:p w14:paraId="756F6BB2"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mid-level leaders directly involved.</w:t>
            </w:r>
          </w:p>
        </w:tc>
        <w:tc>
          <w:tcPr>
            <w:tcW w:w="8793" w:type="dxa"/>
            <w:gridSpan w:val="3"/>
            <w:tcBorders>
              <w:bottom w:val="nil"/>
            </w:tcBorders>
            <w:shd w:val="clear" w:color="auto" w:fill="auto"/>
          </w:tcPr>
          <w:p w14:paraId="4E837C95"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0A7B1C76" w14:textId="77777777" w:rsidTr="00180A0E">
        <w:trPr>
          <w:cantSplit/>
          <w:trHeight w:val="20"/>
        </w:trPr>
        <w:tc>
          <w:tcPr>
            <w:tcW w:w="2689" w:type="dxa"/>
            <w:tcBorders>
              <w:bottom w:val="nil"/>
            </w:tcBorders>
            <w:shd w:val="clear" w:color="auto" w:fill="auto"/>
          </w:tcPr>
          <w:p w14:paraId="69E8C25A"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C. Opinion Leaders</w:t>
            </w:r>
          </w:p>
        </w:tc>
        <w:tc>
          <w:tcPr>
            <w:tcW w:w="3260" w:type="dxa"/>
            <w:tcBorders>
              <w:bottom w:val="nil"/>
            </w:tcBorders>
            <w:shd w:val="clear" w:color="auto" w:fill="auto"/>
          </w:tcPr>
          <w:p w14:paraId="2174E777"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Early identified opinion leaders driving early implementation.</w:t>
            </w:r>
          </w:p>
        </w:tc>
        <w:tc>
          <w:tcPr>
            <w:tcW w:w="2977" w:type="dxa"/>
            <w:tcBorders>
              <w:bottom w:val="nil"/>
            </w:tcBorders>
            <w:shd w:val="clear" w:color="auto" w:fill="auto"/>
          </w:tcPr>
          <w:p w14:paraId="1CE081DF" w14:textId="50B87242" w:rsidR="005E4945" w:rsidRPr="002C21B8" w:rsidRDefault="005E4945" w:rsidP="00C1697D">
            <w:pPr>
              <w:spacing w:beforeLines="20" w:before="48" w:afterLines="20" w:after="48" w:line="240" w:lineRule="auto"/>
              <w:jc w:val="center"/>
              <w:rPr>
                <w:sz w:val="16"/>
                <w:szCs w:val="16"/>
              </w:rPr>
            </w:pPr>
            <w:r w:rsidRPr="002C21B8">
              <w:rPr>
                <w:sz w:val="16"/>
                <w:szCs w:val="16"/>
              </w:rPr>
              <w:t xml:space="preserve">No local opinion leaders initially but potentially implementation lead could be considered opinion leader later. Other participants </w:t>
            </w:r>
            <w:r w:rsidR="00560347" w:rsidRPr="002C21B8">
              <w:rPr>
                <w:sz w:val="16"/>
                <w:szCs w:val="16"/>
              </w:rPr>
              <w:t>described asking questions and f</w:t>
            </w:r>
            <w:r w:rsidRPr="002C21B8">
              <w:rPr>
                <w:sz w:val="16"/>
                <w:szCs w:val="16"/>
              </w:rPr>
              <w:t>ollow</w:t>
            </w:r>
            <w:r w:rsidR="00560347" w:rsidRPr="002C21B8">
              <w:rPr>
                <w:sz w:val="16"/>
                <w:szCs w:val="16"/>
              </w:rPr>
              <w:t>ing</w:t>
            </w:r>
            <w:r w:rsidRPr="002C21B8">
              <w:rPr>
                <w:sz w:val="16"/>
                <w:szCs w:val="16"/>
              </w:rPr>
              <w:t xml:space="preserve"> their approach.</w:t>
            </w:r>
          </w:p>
        </w:tc>
        <w:tc>
          <w:tcPr>
            <w:tcW w:w="2885" w:type="dxa"/>
            <w:tcBorders>
              <w:bottom w:val="nil"/>
            </w:tcBorders>
            <w:shd w:val="clear" w:color="auto" w:fill="auto"/>
          </w:tcPr>
          <w:p w14:paraId="6BE2FFFB"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local opinion leader who participated in clinical trials, NICE approval process and manages renal genetics clinic.</w:t>
            </w:r>
          </w:p>
        </w:tc>
        <w:tc>
          <w:tcPr>
            <w:tcW w:w="2931" w:type="dxa"/>
            <w:tcBorders>
              <w:bottom w:val="nil"/>
            </w:tcBorders>
            <w:shd w:val="clear" w:color="auto" w:fill="auto"/>
          </w:tcPr>
          <w:p w14:paraId="7E83345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local opinion leader who participated in clinical trials and manages renal genetics clinic.</w:t>
            </w:r>
          </w:p>
        </w:tc>
      </w:tr>
      <w:tr w:rsidR="005E4945" w:rsidRPr="002C21B8" w14:paraId="416D80FF" w14:textId="77777777" w:rsidTr="00180A0E">
        <w:trPr>
          <w:cantSplit/>
          <w:trHeight w:val="20"/>
        </w:trPr>
        <w:tc>
          <w:tcPr>
            <w:tcW w:w="2689" w:type="dxa"/>
            <w:tcBorders>
              <w:bottom w:val="nil"/>
            </w:tcBorders>
            <w:shd w:val="clear" w:color="auto" w:fill="auto"/>
          </w:tcPr>
          <w:p w14:paraId="2FFF9949"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D. Implementation Facilitators</w:t>
            </w:r>
          </w:p>
        </w:tc>
        <w:tc>
          <w:tcPr>
            <w:tcW w:w="3260" w:type="dxa"/>
            <w:tcBorders>
              <w:bottom w:val="nil"/>
            </w:tcBorders>
            <w:shd w:val="clear" w:color="auto" w:fill="auto"/>
          </w:tcPr>
          <w:p w14:paraId="7BA844C1"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individuals identified with expertise to assist, coach or support implementation.</w:t>
            </w:r>
          </w:p>
        </w:tc>
        <w:tc>
          <w:tcPr>
            <w:tcW w:w="8793" w:type="dxa"/>
            <w:gridSpan w:val="3"/>
            <w:tcBorders>
              <w:bottom w:val="nil"/>
            </w:tcBorders>
            <w:shd w:val="clear" w:color="auto" w:fill="auto"/>
          </w:tcPr>
          <w:p w14:paraId="0162AC0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36C32AAB" w14:textId="77777777" w:rsidTr="00180A0E">
        <w:trPr>
          <w:cantSplit/>
          <w:trHeight w:val="20"/>
        </w:trPr>
        <w:tc>
          <w:tcPr>
            <w:tcW w:w="2689" w:type="dxa"/>
            <w:tcBorders>
              <w:bottom w:val="nil"/>
            </w:tcBorders>
            <w:shd w:val="clear" w:color="auto" w:fill="auto"/>
          </w:tcPr>
          <w:p w14:paraId="20FAA04A"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E. Implementation Leads</w:t>
            </w:r>
          </w:p>
        </w:tc>
        <w:tc>
          <w:tcPr>
            <w:tcW w:w="3260" w:type="dxa"/>
            <w:tcBorders>
              <w:bottom w:val="nil"/>
            </w:tcBorders>
            <w:shd w:val="clear" w:color="auto" w:fill="auto"/>
          </w:tcPr>
          <w:p w14:paraId="49E3FA2B"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Opinion leaders driving early implementation. Lack of opinion leader associated with slower implementation and variation in practice.</w:t>
            </w:r>
          </w:p>
        </w:tc>
        <w:tc>
          <w:tcPr>
            <w:tcW w:w="2977" w:type="dxa"/>
            <w:tcBorders>
              <w:bottom w:val="nil"/>
            </w:tcBorders>
            <w:shd w:val="clear" w:color="auto" w:fill="auto"/>
          </w:tcPr>
          <w:p w14:paraId="4A0121C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 clearly identifiable implementation lead initially, formal leadership later but had less influence than other cases due to distributed service structure.</w:t>
            </w:r>
          </w:p>
        </w:tc>
        <w:tc>
          <w:tcPr>
            <w:tcW w:w="2885" w:type="dxa"/>
            <w:tcBorders>
              <w:bottom w:val="nil"/>
            </w:tcBorders>
            <w:shd w:val="clear" w:color="auto" w:fill="auto"/>
          </w:tcPr>
          <w:p w14:paraId="287AC20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leadership from the outset, coordinating service design, clinician engagement and early adoption.</w:t>
            </w:r>
          </w:p>
        </w:tc>
        <w:tc>
          <w:tcPr>
            <w:tcW w:w="2931" w:type="dxa"/>
            <w:tcBorders>
              <w:bottom w:val="nil"/>
            </w:tcBorders>
            <w:shd w:val="clear" w:color="auto" w:fill="auto"/>
          </w:tcPr>
          <w:p w14:paraId="0872CA2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implementation lead from the outset, providing clinical direction and maintaining momentum during implementation.</w:t>
            </w:r>
          </w:p>
        </w:tc>
      </w:tr>
      <w:tr w:rsidR="005E4945" w:rsidRPr="002C21B8" w14:paraId="3C861ADE" w14:textId="77777777" w:rsidTr="00180A0E">
        <w:trPr>
          <w:cantSplit/>
          <w:trHeight w:val="20"/>
        </w:trPr>
        <w:tc>
          <w:tcPr>
            <w:tcW w:w="2689" w:type="dxa"/>
            <w:tcBorders>
              <w:bottom w:val="nil"/>
            </w:tcBorders>
            <w:shd w:val="clear" w:color="auto" w:fill="auto"/>
          </w:tcPr>
          <w:p w14:paraId="7848A16F"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F. Implementation Team Members</w:t>
            </w:r>
          </w:p>
        </w:tc>
        <w:tc>
          <w:tcPr>
            <w:tcW w:w="3260" w:type="dxa"/>
            <w:tcBorders>
              <w:bottom w:val="nil"/>
            </w:tcBorders>
            <w:shd w:val="clear" w:color="auto" w:fill="auto"/>
          </w:tcPr>
          <w:p w14:paraId="15660BD3"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Team composition influenced workflow, eligibility assessment and variability in practice.</w:t>
            </w:r>
          </w:p>
        </w:tc>
        <w:tc>
          <w:tcPr>
            <w:tcW w:w="2977" w:type="dxa"/>
            <w:tcBorders>
              <w:bottom w:val="nil"/>
            </w:tcBorders>
            <w:shd w:val="clear" w:color="auto" w:fill="auto"/>
          </w:tcPr>
          <w:p w14:paraId="06E051BB" w14:textId="11037C3D" w:rsidR="005E4945" w:rsidRPr="002C21B8" w:rsidRDefault="005E4945" w:rsidP="00C1697D">
            <w:pPr>
              <w:spacing w:beforeLines="20" w:before="48" w:afterLines="20" w:after="48" w:line="240" w:lineRule="auto"/>
              <w:jc w:val="center"/>
              <w:rPr>
                <w:sz w:val="16"/>
                <w:szCs w:val="16"/>
              </w:rPr>
            </w:pPr>
            <w:r w:rsidRPr="002C21B8">
              <w:rPr>
                <w:sz w:val="16"/>
                <w:szCs w:val="16"/>
              </w:rPr>
              <w:t>Implementation initially led by separate clinicians in their own clinics then by a single clinician and pharmacist, good relationships.</w:t>
            </w:r>
          </w:p>
        </w:tc>
        <w:tc>
          <w:tcPr>
            <w:tcW w:w="2885" w:type="dxa"/>
            <w:tcBorders>
              <w:bottom w:val="nil"/>
            </w:tcBorders>
            <w:shd w:val="clear" w:color="auto" w:fill="auto"/>
          </w:tcPr>
          <w:p w14:paraId="66AC2FA0"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Clinicians and two pharmacists, experienced trainee involvement, shared responsibility for eligibility assessment but mainly doctors.</w:t>
            </w:r>
          </w:p>
        </w:tc>
        <w:tc>
          <w:tcPr>
            <w:tcW w:w="2931" w:type="dxa"/>
            <w:tcBorders>
              <w:bottom w:val="nil"/>
            </w:tcBorders>
            <w:shd w:val="clear" w:color="auto" w:fill="auto"/>
          </w:tcPr>
          <w:p w14:paraId="76ABEBE8"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Clinicians and specialist nurse, inexperienced trainee involvement, communication barriers due to separate clinics.</w:t>
            </w:r>
          </w:p>
        </w:tc>
      </w:tr>
      <w:tr w:rsidR="005E4945" w:rsidRPr="002C21B8" w14:paraId="555D6B7F" w14:textId="77777777" w:rsidTr="00180A0E">
        <w:trPr>
          <w:cantSplit/>
          <w:trHeight w:val="20"/>
        </w:trPr>
        <w:tc>
          <w:tcPr>
            <w:tcW w:w="2689" w:type="dxa"/>
            <w:tcBorders>
              <w:bottom w:val="nil"/>
            </w:tcBorders>
            <w:shd w:val="clear" w:color="auto" w:fill="auto"/>
          </w:tcPr>
          <w:p w14:paraId="7FC18C96"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G. Other Implementation Support</w:t>
            </w:r>
          </w:p>
        </w:tc>
        <w:tc>
          <w:tcPr>
            <w:tcW w:w="3260" w:type="dxa"/>
            <w:tcBorders>
              <w:bottom w:val="nil"/>
            </w:tcBorders>
            <w:shd w:val="clear" w:color="auto" w:fill="auto"/>
          </w:tcPr>
          <w:p w14:paraId="3F3B63CF"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Other implementation support not identified in case.</w:t>
            </w:r>
          </w:p>
        </w:tc>
        <w:tc>
          <w:tcPr>
            <w:tcW w:w="8793" w:type="dxa"/>
            <w:gridSpan w:val="3"/>
            <w:tcBorders>
              <w:bottom w:val="nil"/>
            </w:tcBorders>
            <w:shd w:val="clear" w:color="auto" w:fill="auto"/>
          </w:tcPr>
          <w:p w14:paraId="6470C5B4"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14B87AA9" w14:textId="77777777" w:rsidTr="00180A0E">
        <w:trPr>
          <w:cantSplit/>
          <w:trHeight w:val="20"/>
        </w:trPr>
        <w:tc>
          <w:tcPr>
            <w:tcW w:w="2689" w:type="dxa"/>
            <w:tcBorders>
              <w:bottom w:val="nil"/>
            </w:tcBorders>
            <w:shd w:val="clear" w:color="auto" w:fill="auto"/>
          </w:tcPr>
          <w:p w14:paraId="7BF1D08F"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H. Innovation Deliverers</w:t>
            </w:r>
          </w:p>
        </w:tc>
        <w:tc>
          <w:tcPr>
            <w:tcW w:w="3260" w:type="dxa"/>
            <w:tcBorders>
              <w:bottom w:val="nil"/>
            </w:tcBorders>
            <w:shd w:val="clear" w:color="auto" w:fill="auto"/>
          </w:tcPr>
          <w:p w14:paraId="06DAED99"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Deliverers actively implemented pathway. Roles largely consistent across cases.</w:t>
            </w:r>
          </w:p>
        </w:tc>
        <w:tc>
          <w:tcPr>
            <w:tcW w:w="8793" w:type="dxa"/>
            <w:gridSpan w:val="3"/>
            <w:tcBorders>
              <w:bottom w:val="nil"/>
            </w:tcBorders>
            <w:shd w:val="clear" w:color="auto" w:fill="auto"/>
          </w:tcPr>
          <w:p w14:paraId="17D9AC6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Same across all cases.</w:t>
            </w:r>
          </w:p>
        </w:tc>
      </w:tr>
      <w:tr w:rsidR="005E4945" w:rsidRPr="002C21B8" w14:paraId="109221A2" w14:textId="77777777" w:rsidTr="00180A0E">
        <w:trPr>
          <w:cantSplit/>
          <w:trHeight w:val="20"/>
        </w:trPr>
        <w:tc>
          <w:tcPr>
            <w:tcW w:w="2689" w:type="dxa"/>
            <w:tcBorders>
              <w:bottom w:val="nil"/>
            </w:tcBorders>
            <w:shd w:val="clear" w:color="auto" w:fill="auto"/>
          </w:tcPr>
          <w:p w14:paraId="04466D8E"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I. Innovation Recipients</w:t>
            </w:r>
          </w:p>
        </w:tc>
        <w:tc>
          <w:tcPr>
            <w:tcW w:w="3260" w:type="dxa"/>
            <w:tcBorders>
              <w:bottom w:val="nil"/>
            </w:tcBorders>
            <w:shd w:val="clear" w:color="auto" w:fill="auto"/>
          </w:tcPr>
          <w:p w14:paraId="1CE590F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Engagement varied by case. Centres with earlier uptake leads to more proactive approaches.</w:t>
            </w:r>
          </w:p>
        </w:tc>
        <w:tc>
          <w:tcPr>
            <w:tcW w:w="2977" w:type="dxa"/>
            <w:tcBorders>
              <w:bottom w:val="nil"/>
            </w:tcBorders>
            <w:shd w:val="clear" w:color="auto" w:fill="auto"/>
          </w:tcPr>
          <w:p w14:paraId="2DF820C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Patients engaged when eligible for treatment.</w:t>
            </w:r>
          </w:p>
        </w:tc>
        <w:tc>
          <w:tcPr>
            <w:tcW w:w="2885" w:type="dxa"/>
            <w:tcBorders>
              <w:bottom w:val="nil"/>
            </w:tcBorders>
            <w:shd w:val="clear" w:color="auto" w:fill="auto"/>
          </w:tcPr>
          <w:p w14:paraId="230EA7EC" w14:textId="20FD7272" w:rsidR="005E4945" w:rsidRPr="002C21B8" w:rsidRDefault="005E4945" w:rsidP="00C1697D">
            <w:pPr>
              <w:spacing w:beforeLines="20" w:before="48" w:afterLines="20" w:after="48" w:line="240" w:lineRule="auto"/>
              <w:jc w:val="center"/>
              <w:rPr>
                <w:sz w:val="16"/>
                <w:szCs w:val="16"/>
              </w:rPr>
            </w:pPr>
            <w:r w:rsidRPr="002C21B8">
              <w:rPr>
                <w:sz w:val="16"/>
                <w:szCs w:val="16"/>
              </w:rPr>
              <w:t xml:space="preserve">Patients engaged early in process. </w:t>
            </w:r>
            <w:r w:rsidR="001E51E0" w:rsidRPr="002C21B8">
              <w:rPr>
                <w:sz w:val="16"/>
                <w:szCs w:val="16"/>
              </w:rPr>
              <w:t>Tolvaptan</w:t>
            </w:r>
            <w:r w:rsidRPr="002C21B8">
              <w:rPr>
                <w:sz w:val="16"/>
                <w:szCs w:val="16"/>
              </w:rPr>
              <w:t xml:space="preserve"> re</w:t>
            </w:r>
            <w:r w:rsidR="0063374C" w:rsidRPr="002C21B8">
              <w:rPr>
                <w:sz w:val="16"/>
                <w:szCs w:val="16"/>
              </w:rPr>
              <w:t>-</w:t>
            </w:r>
            <w:r w:rsidRPr="002C21B8">
              <w:rPr>
                <w:sz w:val="16"/>
                <w:szCs w:val="16"/>
              </w:rPr>
              <w:t>discussed routinely if declined or stopped treatment.</w:t>
            </w:r>
          </w:p>
        </w:tc>
        <w:tc>
          <w:tcPr>
            <w:tcW w:w="2931" w:type="dxa"/>
            <w:tcBorders>
              <w:bottom w:val="nil"/>
            </w:tcBorders>
            <w:shd w:val="clear" w:color="auto" w:fill="auto"/>
          </w:tcPr>
          <w:p w14:paraId="044CC79A" w14:textId="3151884A" w:rsidR="005E4945" w:rsidRPr="002C21B8" w:rsidRDefault="005E4945" w:rsidP="00C1697D">
            <w:pPr>
              <w:spacing w:beforeLines="20" w:before="48" w:afterLines="20" w:after="48" w:line="240" w:lineRule="auto"/>
              <w:jc w:val="center"/>
              <w:rPr>
                <w:sz w:val="16"/>
                <w:szCs w:val="16"/>
              </w:rPr>
            </w:pPr>
            <w:r w:rsidRPr="002C21B8">
              <w:rPr>
                <w:sz w:val="16"/>
                <w:szCs w:val="16"/>
              </w:rPr>
              <w:t>Patients engaged when eligible for treatment. T</w:t>
            </w:r>
            <w:r w:rsidR="001E51E0" w:rsidRPr="002C21B8">
              <w:rPr>
                <w:sz w:val="16"/>
                <w:szCs w:val="16"/>
              </w:rPr>
              <w:t>olvaptan</w:t>
            </w:r>
            <w:r w:rsidRPr="002C21B8">
              <w:rPr>
                <w:sz w:val="16"/>
                <w:szCs w:val="16"/>
              </w:rPr>
              <w:t xml:space="preserve"> re</w:t>
            </w:r>
            <w:r w:rsidR="009F6035" w:rsidRPr="002C21B8">
              <w:rPr>
                <w:sz w:val="16"/>
                <w:szCs w:val="16"/>
              </w:rPr>
              <w:t>-</w:t>
            </w:r>
            <w:r w:rsidRPr="002C21B8">
              <w:rPr>
                <w:sz w:val="16"/>
                <w:szCs w:val="16"/>
              </w:rPr>
              <w:t>discussed but not routinely, more likely if high risk for progression.</w:t>
            </w:r>
          </w:p>
        </w:tc>
      </w:tr>
      <w:tr w:rsidR="005E4945" w:rsidRPr="002C21B8" w14:paraId="7C88B779" w14:textId="77777777" w:rsidTr="00180A0E">
        <w:trPr>
          <w:cantSplit/>
          <w:trHeight w:val="20"/>
        </w:trPr>
        <w:tc>
          <w:tcPr>
            <w:tcW w:w="14742" w:type="dxa"/>
            <w:gridSpan w:val="5"/>
            <w:tcBorders>
              <w:bottom w:val="nil"/>
            </w:tcBorders>
            <w:shd w:val="clear" w:color="auto" w:fill="auto"/>
          </w:tcPr>
          <w:p w14:paraId="512110A7" w14:textId="77777777" w:rsidR="005E4945" w:rsidRPr="002C21B8" w:rsidRDefault="005E4945" w:rsidP="00C1697D">
            <w:pPr>
              <w:spacing w:beforeLines="20" w:before="48" w:afterLines="20" w:after="48" w:line="240" w:lineRule="auto"/>
              <w:jc w:val="left"/>
              <w:rPr>
                <w:b/>
                <w:bCs/>
                <w:sz w:val="16"/>
                <w:szCs w:val="16"/>
              </w:rPr>
            </w:pPr>
            <w:r w:rsidRPr="002C21B8">
              <w:rPr>
                <w:b/>
                <w:bCs/>
                <w:sz w:val="16"/>
                <w:szCs w:val="16"/>
              </w:rPr>
              <w:t>Characteristics subdomain</w:t>
            </w:r>
          </w:p>
        </w:tc>
      </w:tr>
      <w:tr w:rsidR="005E4945" w:rsidRPr="002C21B8" w14:paraId="22E55E0A" w14:textId="77777777" w:rsidTr="00180A0E">
        <w:trPr>
          <w:cantSplit/>
          <w:trHeight w:val="20"/>
        </w:trPr>
        <w:tc>
          <w:tcPr>
            <w:tcW w:w="2689" w:type="dxa"/>
            <w:tcBorders>
              <w:bottom w:val="nil"/>
            </w:tcBorders>
            <w:shd w:val="clear" w:color="auto" w:fill="auto"/>
          </w:tcPr>
          <w:p w14:paraId="23F390E0"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A. Need</w:t>
            </w:r>
          </w:p>
        </w:tc>
        <w:tc>
          <w:tcPr>
            <w:tcW w:w="3260" w:type="dxa"/>
            <w:tcBorders>
              <w:bottom w:val="nil"/>
            </w:tcBorders>
            <w:shd w:val="clear" w:color="auto" w:fill="auto"/>
          </w:tcPr>
          <w:p w14:paraId="520994D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clear need for individual professionals identified.</w:t>
            </w:r>
          </w:p>
        </w:tc>
        <w:tc>
          <w:tcPr>
            <w:tcW w:w="8793" w:type="dxa"/>
            <w:gridSpan w:val="3"/>
            <w:tcBorders>
              <w:bottom w:val="nil"/>
            </w:tcBorders>
            <w:shd w:val="clear" w:color="auto" w:fill="auto"/>
          </w:tcPr>
          <w:p w14:paraId="54A040D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 clear deficits for individuals that would be addressed by implementation of tolvaptan pathway.</w:t>
            </w:r>
          </w:p>
        </w:tc>
      </w:tr>
      <w:tr w:rsidR="005E4945" w:rsidRPr="002C21B8" w14:paraId="41735187" w14:textId="77777777" w:rsidTr="00180A0E">
        <w:trPr>
          <w:cantSplit/>
          <w:trHeight w:val="20"/>
        </w:trPr>
        <w:tc>
          <w:tcPr>
            <w:tcW w:w="2689" w:type="dxa"/>
            <w:tcBorders>
              <w:bottom w:val="nil"/>
            </w:tcBorders>
            <w:shd w:val="clear" w:color="auto" w:fill="auto"/>
          </w:tcPr>
          <w:p w14:paraId="545573DB"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B. Capability</w:t>
            </w:r>
          </w:p>
        </w:tc>
        <w:tc>
          <w:tcPr>
            <w:tcW w:w="3260" w:type="dxa"/>
            <w:tcBorders>
              <w:bottom w:val="nil"/>
            </w:tcBorders>
            <w:shd w:val="clear" w:color="auto" w:fill="auto"/>
          </w:tcPr>
          <w:p w14:paraId="6D4A8AAC"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Clinical experience shaped capability and confidence.</w:t>
            </w:r>
          </w:p>
        </w:tc>
        <w:tc>
          <w:tcPr>
            <w:tcW w:w="2977" w:type="dxa"/>
            <w:tcBorders>
              <w:bottom w:val="nil"/>
            </w:tcBorders>
            <w:shd w:val="clear" w:color="auto" w:fill="auto"/>
          </w:tcPr>
          <w:p w14:paraId="5FB6DAD3"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Lower familiarity with tolvaptan. Less experience with eligibility assessment. Less routine integration into assessment workflow. Limited systems to identify patients proactively. Workflow not structured for routine assessments.</w:t>
            </w:r>
          </w:p>
        </w:tc>
        <w:tc>
          <w:tcPr>
            <w:tcW w:w="2885" w:type="dxa"/>
            <w:tcBorders>
              <w:bottom w:val="nil"/>
            </w:tcBorders>
            <w:shd w:val="clear" w:color="auto" w:fill="auto"/>
          </w:tcPr>
          <w:p w14:paraId="04F5B18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High expertise in renal genetics with confident eligibility assessment. Routinely integrated tolvaptan into standard care. Systems and workflow support proactive identification. Able to easily embed routine assessments.</w:t>
            </w:r>
          </w:p>
        </w:tc>
        <w:tc>
          <w:tcPr>
            <w:tcW w:w="2931" w:type="dxa"/>
            <w:tcBorders>
              <w:bottom w:val="nil"/>
            </w:tcBorders>
            <w:shd w:val="clear" w:color="auto" w:fill="auto"/>
          </w:tcPr>
          <w:p w14:paraId="60A8A949" w14:textId="5823DEFD" w:rsidR="005E4945" w:rsidRPr="002C21B8" w:rsidRDefault="005E4945" w:rsidP="00C1697D">
            <w:pPr>
              <w:spacing w:beforeLines="20" w:before="48" w:afterLines="20" w:after="48" w:line="240" w:lineRule="auto"/>
              <w:jc w:val="center"/>
              <w:rPr>
                <w:sz w:val="16"/>
                <w:szCs w:val="16"/>
              </w:rPr>
            </w:pPr>
            <w:r w:rsidRPr="002C21B8">
              <w:rPr>
                <w:sz w:val="16"/>
                <w:szCs w:val="16"/>
              </w:rPr>
              <w:t>Specialist knowledge supports confident assessments. Inclusion of less specialised and less experienced staff (trainees) introduce</w:t>
            </w:r>
            <w:r w:rsidR="008A445A" w:rsidRPr="002C21B8">
              <w:rPr>
                <w:sz w:val="16"/>
                <w:szCs w:val="16"/>
              </w:rPr>
              <w:t>d</w:t>
            </w:r>
            <w:r w:rsidRPr="002C21B8">
              <w:rPr>
                <w:sz w:val="16"/>
                <w:szCs w:val="16"/>
              </w:rPr>
              <w:t xml:space="preserve"> variability. Workflow allows proactive and reactive strategies.</w:t>
            </w:r>
          </w:p>
        </w:tc>
      </w:tr>
      <w:tr w:rsidR="005E4945" w:rsidRPr="002C21B8" w14:paraId="345EF6C4" w14:textId="77777777" w:rsidTr="004F0247">
        <w:trPr>
          <w:cantSplit/>
          <w:trHeight w:val="20"/>
        </w:trPr>
        <w:tc>
          <w:tcPr>
            <w:tcW w:w="2689" w:type="dxa"/>
            <w:tcBorders>
              <w:bottom w:val="nil"/>
            </w:tcBorders>
            <w:shd w:val="clear" w:color="auto" w:fill="auto"/>
          </w:tcPr>
          <w:p w14:paraId="000B7320"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C. Opportunity</w:t>
            </w:r>
          </w:p>
        </w:tc>
        <w:tc>
          <w:tcPr>
            <w:tcW w:w="3260" w:type="dxa"/>
            <w:tcBorders>
              <w:bottom w:val="nil"/>
            </w:tcBorders>
            <w:shd w:val="clear" w:color="auto" w:fill="auto"/>
          </w:tcPr>
          <w:p w14:paraId="524C4640"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Workflow and staffing influenced ability to implement pathway.</w:t>
            </w:r>
          </w:p>
        </w:tc>
        <w:tc>
          <w:tcPr>
            <w:tcW w:w="2977" w:type="dxa"/>
            <w:tcBorders>
              <w:bottom w:val="nil"/>
            </w:tcBorders>
            <w:shd w:val="clear" w:color="auto" w:fill="auto"/>
          </w:tcPr>
          <w:p w14:paraId="532FE4D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Initially not sufficient scope for tolvaptan pathway to be implemented. No scope for leadership as not an established role and no time allocated.</w:t>
            </w:r>
          </w:p>
        </w:tc>
        <w:tc>
          <w:tcPr>
            <w:tcW w:w="2885" w:type="dxa"/>
            <w:tcBorders>
              <w:bottom w:val="nil"/>
            </w:tcBorders>
            <w:shd w:val="clear" w:color="auto" w:fill="auto"/>
          </w:tcPr>
          <w:p w14:paraId="6F6BAAB4"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opportunity to implement tolvaptan pathway within renal genetics clinic. Power as an experienced specialist with expertise in renal genetics.</w:t>
            </w:r>
          </w:p>
        </w:tc>
        <w:tc>
          <w:tcPr>
            <w:tcW w:w="2931" w:type="dxa"/>
            <w:tcBorders>
              <w:bottom w:val="nil"/>
            </w:tcBorders>
            <w:shd w:val="clear" w:color="auto" w:fill="auto"/>
          </w:tcPr>
          <w:p w14:paraId="1080B2FB"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Clear opportunity to implement tolvaptan pathway within renal genetics clinic. Power as an experienced specialist with expertise in renal genetics.</w:t>
            </w:r>
          </w:p>
        </w:tc>
      </w:tr>
      <w:tr w:rsidR="005E4945" w:rsidRPr="002C21B8" w14:paraId="5A58CAB7" w14:textId="77777777" w:rsidTr="004F0247">
        <w:trPr>
          <w:cantSplit/>
          <w:trHeight w:val="20"/>
        </w:trPr>
        <w:tc>
          <w:tcPr>
            <w:tcW w:w="2689" w:type="dxa"/>
            <w:tcBorders>
              <w:bottom w:val="nil"/>
            </w:tcBorders>
            <w:shd w:val="clear" w:color="auto" w:fill="auto"/>
          </w:tcPr>
          <w:p w14:paraId="3A2D7DCB"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D. Motivation</w:t>
            </w:r>
          </w:p>
        </w:tc>
        <w:tc>
          <w:tcPr>
            <w:tcW w:w="3260" w:type="dxa"/>
            <w:tcBorders>
              <w:bottom w:val="nil"/>
            </w:tcBorders>
            <w:shd w:val="clear" w:color="auto" w:fill="auto"/>
          </w:tcPr>
          <w:p w14:paraId="7E3F9E3F"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Motivation to implement linked to experience, patient demand, and workflow structure.</w:t>
            </w:r>
          </w:p>
        </w:tc>
        <w:tc>
          <w:tcPr>
            <w:tcW w:w="2977" w:type="dxa"/>
            <w:tcBorders>
              <w:bottom w:val="nil"/>
            </w:tcBorders>
            <w:shd w:val="clear" w:color="auto" w:fill="auto"/>
          </w:tcPr>
          <w:p w14:paraId="69A6DE5B"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Greater caution with conservative eligibility interpretation. Less normalisation of assessment process. Reactive, eligibility-triggered discussions. Delayed patient engagement.</w:t>
            </w:r>
          </w:p>
        </w:tc>
        <w:tc>
          <w:tcPr>
            <w:tcW w:w="2885" w:type="dxa"/>
            <w:tcBorders>
              <w:bottom w:val="nil"/>
            </w:tcBorders>
            <w:shd w:val="clear" w:color="auto" w:fill="auto"/>
          </w:tcPr>
          <w:p w14:paraId="41AD327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Confident and persuasive in treatment discussions. Positioned tolvaptan as standard/default option. Persuasive encouragement. Early patient engagement.</w:t>
            </w:r>
          </w:p>
        </w:tc>
        <w:tc>
          <w:tcPr>
            <w:tcW w:w="2931" w:type="dxa"/>
            <w:tcBorders>
              <w:bottom w:val="nil"/>
            </w:tcBorders>
            <w:shd w:val="clear" w:color="auto" w:fill="auto"/>
          </w:tcPr>
          <w:p w14:paraId="2C768854"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Confident overall. Balanced approach with context-sensitive decisions.</w:t>
            </w:r>
          </w:p>
        </w:tc>
      </w:tr>
    </w:tbl>
    <w:p w14:paraId="1CF8D4AC" w14:textId="77777777" w:rsidR="007514B9" w:rsidRPr="002C21B8" w:rsidRDefault="007514B9" w:rsidP="00C1697D">
      <w:pPr>
        <w:spacing w:line="240" w:lineRule="auto"/>
      </w:pPr>
      <w:r w:rsidRPr="002C21B8">
        <w:br w:type="page"/>
      </w:r>
    </w:p>
    <w:tbl>
      <w:tblPr>
        <w:tblStyle w:val="TableGrid"/>
        <w:tblW w:w="1474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3260"/>
        <w:gridCol w:w="2977"/>
        <w:gridCol w:w="2885"/>
        <w:gridCol w:w="2931"/>
      </w:tblGrid>
      <w:tr w:rsidR="005E4945" w:rsidRPr="002C21B8" w14:paraId="2A275339" w14:textId="77777777" w:rsidTr="00120EC1">
        <w:trPr>
          <w:cantSplit/>
          <w:trHeight w:val="20"/>
        </w:trPr>
        <w:tc>
          <w:tcPr>
            <w:tcW w:w="14742" w:type="dxa"/>
            <w:gridSpan w:val="5"/>
            <w:tcBorders>
              <w:top w:val="single" w:sz="6" w:space="0" w:color="000000" w:themeColor="text1"/>
              <w:bottom w:val="nil"/>
            </w:tcBorders>
            <w:shd w:val="clear" w:color="auto" w:fill="F2F2F2" w:themeFill="background1" w:themeFillShade="F2"/>
          </w:tcPr>
          <w:p w14:paraId="1B65C445" w14:textId="0ECB012D" w:rsidR="005E4945" w:rsidRPr="002C21B8" w:rsidRDefault="005E4945" w:rsidP="00C1697D">
            <w:pPr>
              <w:spacing w:beforeLines="20" w:before="48" w:afterLines="20" w:after="48" w:line="240" w:lineRule="auto"/>
              <w:jc w:val="left"/>
              <w:rPr>
                <w:sz w:val="16"/>
                <w:szCs w:val="16"/>
              </w:rPr>
            </w:pPr>
            <w:r w:rsidRPr="002C21B8">
              <w:rPr>
                <w:b/>
                <w:bCs/>
                <w:sz w:val="16"/>
                <w:szCs w:val="16"/>
              </w:rPr>
              <w:t>V. Implementation Process</w:t>
            </w:r>
          </w:p>
        </w:tc>
      </w:tr>
      <w:tr w:rsidR="005E4945" w:rsidRPr="002C21B8" w14:paraId="21121E53" w14:textId="77777777" w:rsidTr="00180A0E">
        <w:trPr>
          <w:cantSplit/>
          <w:trHeight w:val="20"/>
        </w:trPr>
        <w:tc>
          <w:tcPr>
            <w:tcW w:w="2689" w:type="dxa"/>
            <w:tcBorders>
              <w:bottom w:val="nil"/>
            </w:tcBorders>
            <w:shd w:val="clear" w:color="auto" w:fill="auto"/>
          </w:tcPr>
          <w:p w14:paraId="41B08879"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A. Teaming</w:t>
            </w:r>
          </w:p>
        </w:tc>
        <w:tc>
          <w:tcPr>
            <w:tcW w:w="3260" w:type="dxa"/>
            <w:tcBorders>
              <w:bottom w:val="nil"/>
            </w:tcBorders>
            <w:shd w:val="clear" w:color="auto" w:fill="auto"/>
          </w:tcPr>
          <w:p w14:paraId="2C7070D6"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Coordination influenced consistency and timeliness of adoption.</w:t>
            </w:r>
          </w:p>
        </w:tc>
        <w:tc>
          <w:tcPr>
            <w:tcW w:w="2977" w:type="dxa"/>
            <w:tcBorders>
              <w:bottom w:val="nil"/>
            </w:tcBorders>
            <w:shd w:val="clear" w:color="auto" w:fill="auto"/>
          </w:tcPr>
          <w:p w14:paraId="70A58447"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Limited coordination initially with implementation distributed across clinics and clinicians. More coordinated after introduction of tolvaptan clinic.</w:t>
            </w:r>
          </w:p>
        </w:tc>
        <w:tc>
          <w:tcPr>
            <w:tcW w:w="2885" w:type="dxa"/>
            <w:tcBorders>
              <w:bottom w:val="nil"/>
            </w:tcBorders>
            <w:shd w:val="clear" w:color="auto" w:fill="auto"/>
          </w:tcPr>
          <w:p w14:paraId="18D07D0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Coordinated team led by consultant with specialist expertise.</w:t>
            </w:r>
          </w:p>
        </w:tc>
        <w:tc>
          <w:tcPr>
            <w:tcW w:w="2931" w:type="dxa"/>
            <w:tcBorders>
              <w:bottom w:val="nil"/>
            </w:tcBorders>
            <w:shd w:val="clear" w:color="auto" w:fill="auto"/>
          </w:tcPr>
          <w:p w14:paraId="115911F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Hybrid with coordinated small inner team led by consultant with specialist expertise. Wider team involving generalist and large number of decision-makers making it harder to coordinate.</w:t>
            </w:r>
          </w:p>
        </w:tc>
      </w:tr>
      <w:tr w:rsidR="005E4945" w:rsidRPr="002C21B8" w14:paraId="72641B72" w14:textId="77777777" w:rsidTr="00180A0E">
        <w:trPr>
          <w:cantSplit/>
          <w:trHeight w:val="20"/>
        </w:trPr>
        <w:tc>
          <w:tcPr>
            <w:tcW w:w="2689" w:type="dxa"/>
            <w:tcBorders>
              <w:bottom w:val="nil"/>
            </w:tcBorders>
            <w:shd w:val="clear" w:color="auto" w:fill="auto"/>
          </w:tcPr>
          <w:p w14:paraId="4F220C7A"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B. Assessing Needs</w:t>
            </w:r>
          </w:p>
        </w:tc>
        <w:tc>
          <w:tcPr>
            <w:tcW w:w="3260" w:type="dxa"/>
            <w:tcBorders>
              <w:bottom w:val="nil"/>
            </w:tcBorders>
            <w:shd w:val="clear" w:color="auto" w:fill="auto"/>
          </w:tcPr>
          <w:p w14:paraId="6845723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systematic assessment of deliverer or recipient needs observed in cases.</w:t>
            </w:r>
          </w:p>
        </w:tc>
        <w:tc>
          <w:tcPr>
            <w:tcW w:w="8793" w:type="dxa"/>
            <w:gridSpan w:val="3"/>
            <w:tcBorders>
              <w:bottom w:val="nil"/>
            </w:tcBorders>
            <w:shd w:val="clear" w:color="auto" w:fill="auto"/>
          </w:tcPr>
          <w:p w14:paraId="4B3CB121"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04CDBB96" w14:textId="77777777" w:rsidTr="00180A0E">
        <w:trPr>
          <w:cantSplit/>
          <w:trHeight w:val="20"/>
        </w:trPr>
        <w:tc>
          <w:tcPr>
            <w:tcW w:w="2689" w:type="dxa"/>
            <w:tcBorders>
              <w:bottom w:val="nil"/>
            </w:tcBorders>
            <w:shd w:val="clear" w:color="auto" w:fill="auto"/>
          </w:tcPr>
          <w:p w14:paraId="057DEA2A"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C. Assessing Context</w:t>
            </w:r>
          </w:p>
        </w:tc>
        <w:tc>
          <w:tcPr>
            <w:tcW w:w="3260" w:type="dxa"/>
            <w:tcBorders>
              <w:bottom w:val="nil"/>
            </w:tcBorders>
            <w:shd w:val="clear" w:color="auto" w:fill="auto"/>
          </w:tcPr>
          <w:p w14:paraId="4A8D0993"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barriers/facilitators not explicitly assessed prior to implementation in cases.</w:t>
            </w:r>
          </w:p>
        </w:tc>
        <w:tc>
          <w:tcPr>
            <w:tcW w:w="8793" w:type="dxa"/>
            <w:gridSpan w:val="3"/>
            <w:tcBorders>
              <w:bottom w:val="nil"/>
            </w:tcBorders>
            <w:shd w:val="clear" w:color="auto" w:fill="auto"/>
          </w:tcPr>
          <w:p w14:paraId="1FB52EB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716D6CD4" w14:textId="77777777" w:rsidTr="00180A0E">
        <w:trPr>
          <w:cantSplit/>
          <w:trHeight w:val="20"/>
        </w:trPr>
        <w:tc>
          <w:tcPr>
            <w:tcW w:w="2689" w:type="dxa"/>
            <w:tcBorders>
              <w:bottom w:val="nil"/>
            </w:tcBorders>
            <w:shd w:val="clear" w:color="auto" w:fill="auto"/>
          </w:tcPr>
          <w:p w14:paraId="63A21732"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D. Planning</w:t>
            </w:r>
          </w:p>
        </w:tc>
        <w:tc>
          <w:tcPr>
            <w:tcW w:w="3260" w:type="dxa"/>
            <w:tcBorders>
              <w:bottom w:val="nil"/>
            </w:tcBorders>
            <w:shd w:val="clear" w:color="auto" w:fill="auto"/>
          </w:tcPr>
          <w:p w14:paraId="5C60D1B9"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No clear planning of roles, responsibilities, steps, milestones, goals or measures other than the implementation of the tolvaptan pathway.</w:t>
            </w:r>
          </w:p>
        </w:tc>
        <w:tc>
          <w:tcPr>
            <w:tcW w:w="8793" w:type="dxa"/>
            <w:gridSpan w:val="3"/>
            <w:tcBorders>
              <w:bottom w:val="nil"/>
            </w:tcBorders>
            <w:shd w:val="clear" w:color="auto" w:fill="auto"/>
          </w:tcPr>
          <w:p w14:paraId="095A8A04"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Not identified at cases.</w:t>
            </w:r>
          </w:p>
        </w:tc>
      </w:tr>
      <w:tr w:rsidR="005E4945" w:rsidRPr="002C21B8" w14:paraId="7D053929" w14:textId="77777777" w:rsidTr="00180A0E">
        <w:trPr>
          <w:cantSplit/>
          <w:trHeight w:val="20"/>
        </w:trPr>
        <w:tc>
          <w:tcPr>
            <w:tcW w:w="2689" w:type="dxa"/>
            <w:tcBorders>
              <w:bottom w:val="nil"/>
            </w:tcBorders>
            <w:shd w:val="clear" w:color="auto" w:fill="auto"/>
          </w:tcPr>
          <w:p w14:paraId="0DF4F5C2"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E. Tailoring Strategies</w:t>
            </w:r>
          </w:p>
        </w:tc>
        <w:tc>
          <w:tcPr>
            <w:tcW w:w="3260" w:type="dxa"/>
            <w:tcBorders>
              <w:bottom w:val="nil"/>
            </w:tcBorders>
            <w:shd w:val="clear" w:color="auto" w:fill="auto"/>
          </w:tcPr>
          <w:p w14:paraId="0984C6CE"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Pathway adapted to local clinic structure, workflow, and patient population.</w:t>
            </w:r>
          </w:p>
        </w:tc>
        <w:tc>
          <w:tcPr>
            <w:tcW w:w="2977" w:type="dxa"/>
            <w:tcBorders>
              <w:bottom w:val="nil"/>
            </w:tcBorders>
            <w:shd w:val="clear" w:color="auto" w:fill="auto"/>
          </w:tcPr>
          <w:p w14:paraId="45CB909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Tailored approach to general ethos of continuity of care under same consultant and reduce travel for patients.</w:t>
            </w:r>
          </w:p>
        </w:tc>
        <w:tc>
          <w:tcPr>
            <w:tcW w:w="2885" w:type="dxa"/>
            <w:tcBorders>
              <w:bottom w:val="nil"/>
            </w:tcBorders>
            <w:shd w:val="clear" w:color="auto" w:fill="auto"/>
          </w:tcPr>
          <w:p w14:paraId="2D7612A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Tailored implementation to ensure delivered within single clinic setting.</w:t>
            </w:r>
          </w:p>
        </w:tc>
        <w:tc>
          <w:tcPr>
            <w:tcW w:w="2931" w:type="dxa"/>
            <w:tcBorders>
              <w:bottom w:val="nil"/>
            </w:tcBorders>
            <w:shd w:val="clear" w:color="auto" w:fill="auto"/>
          </w:tcPr>
          <w:p w14:paraId="25B71DF6"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Tailored approach to manage high volume of patients at centre.</w:t>
            </w:r>
          </w:p>
        </w:tc>
      </w:tr>
      <w:tr w:rsidR="005E4945" w:rsidRPr="002C21B8" w14:paraId="0B6BCEE8" w14:textId="77777777" w:rsidTr="00180A0E">
        <w:trPr>
          <w:cantSplit/>
          <w:trHeight w:val="20"/>
        </w:trPr>
        <w:tc>
          <w:tcPr>
            <w:tcW w:w="2689" w:type="dxa"/>
            <w:tcBorders>
              <w:bottom w:val="nil"/>
            </w:tcBorders>
            <w:shd w:val="clear" w:color="auto" w:fill="auto"/>
          </w:tcPr>
          <w:p w14:paraId="4C6ECF15"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F. Engaging</w:t>
            </w:r>
          </w:p>
        </w:tc>
        <w:tc>
          <w:tcPr>
            <w:tcW w:w="3260" w:type="dxa"/>
            <w:tcBorders>
              <w:bottom w:val="nil"/>
            </w:tcBorders>
            <w:shd w:val="clear" w:color="auto" w:fill="auto"/>
          </w:tcPr>
          <w:p w14:paraId="520B35C4"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Engagement approaches influenced uptake. Proactive engagement improved early initiation.</w:t>
            </w:r>
          </w:p>
        </w:tc>
        <w:tc>
          <w:tcPr>
            <w:tcW w:w="2977" w:type="dxa"/>
            <w:tcBorders>
              <w:bottom w:val="nil"/>
            </w:tcBorders>
            <w:shd w:val="clear" w:color="auto" w:fill="auto"/>
          </w:tcPr>
          <w:p w14:paraId="131A7194"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Minimal engagement of generalists; pharmacist not initially engaged; leadership absent early. Patients engaged reactively when eligibility criteria triggered; discussions cautious.</w:t>
            </w:r>
          </w:p>
        </w:tc>
        <w:tc>
          <w:tcPr>
            <w:tcW w:w="2885" w:type="dxa"/>
            <w:tcBorders>
              <w:bottom w:val="nil"/>
            </w:tcBorders>
            <w:shd w:val="clear" w:color="auto" w:fill="auto"/>
          </w:tcPr>
          <w:p w14:paraId="7883F847"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Specialist consultant and pharmacists actively engaged; trainee involvement; leadership drove adoption; coordinated team. Patients engaged proactively; tolvaptan framed as default; repeated early discussions.</w:t>
            </w:r>
          </w:p>
        </w:tc>
        <w:tc>
          <w:tcPr>
            <w:tcW w:w="2931" w:type="dxa"/>
            <w:tcBorders>
              <w:bottom w:val="nil"/>
            </w:tcBorders>
            <w:shd w:val="clear" w:color="auto" w:fill="auto"/>
          </w:tcPr>
          <w:p w14:paraId="79D8C0DD"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Specialists and nurse involved; no pharmacist involvement; trainee involvement variable; engagement inconsistent across team. Patients engaged context-sensitively; discussions timed to minimise anxiety; proactive.</w:t>
            </w:r>
          </w:p>
        </w:tc>
      </w:tr>
      <w:tr w:rsidR="005E4945" w:rsidRPr="002C21B8" w14:paraId="689C753B" w14:textId="77777777" w:rsidTr="00180A0E">
        <w:trPr>
          <w:cantSplit/>
          <w:trHeight w:val="20"/>
        </w:trPr>
        <w:tc>
          <w:tcPr>
            <w:tcW w:w="2689" w:type="dxa"/>
            <w:tcBorders>
              <w:bottom w:val="nil"/>
            </w:tcBorders>
            <w:shd w:val="clear" w:color="auto" w:fill="auto"/>
          </w:tcPr>
          <w:p w14:paraId="41ED4E0F"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G. Doing</w:t>
            </w:r>
          </w:p>
        </w:tc>
        <w:tc>
          <w:tcPr>
            <w:tcW w:w="3260" w:type="dxa"/>
            <w:tcBorders>
              <w:bottom w:val="nil"/>
            </w:tcBorders>
            <w:shd w:val="clear" w:color="auto" w:fill="auto"/>
          </w:tcPr>
          <w:p w14:paraId="47D85CA2"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Clinic execution influenced timeliness of initiation and patient uptake.</w:t>
            </w:r>
          </w:p>
        </w:tc>
        <w:tc>
          <w:tcPr>
            <w:tcW w:w="2977" w:type="dxa"/>
            <w:tcBorders>
              <w:bottom w:val="nil"/>
            </w:tcBorders>
            <w:shd w:val="clear" w:color="auto" w:fill="auto"/>
          </w:tcPr>
          <w:p w14:paraId="52667BC2"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Initiation in 1-2 months; eligibility-triggered discussions; delays in initiation; some patient loss.</w:t>
            </w:r>
          </w:p>
        </w:tc>
        <w:tc>
          <w:tcPr>
            <w:tcW w:w="2885" w:type="dxa"/>
            <w:tcBorders>
              <w:bottom w:val="nil"/>
            </w:tcBorders>
            <w:shd w:val="clear" w:color="auto" w:fill="auto"/>
          </w:tcPr>
          <w:p w14:paraId="40A69133"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Initiation same-day or within 1–2 weeks; proactive routine discussions; minimal patient loss.</w:t>
            </w:r>
          </w:p>
        </w:tc>
        <w:tc>
          <w:tcPr>
            <w:tcW w:w="2931" w:type="dxa"/>
            <w:tcBorders>
              <w:bottom w:val="nil"/>
            </w:tcBorders>
            <w:shd w:val="clear" w:color="auto" w:fill="auto"/>
          </w:tcPr>
          <w:p w14:paraId="511D358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Initiation variable, months in some cases; intermediate proactive/reactive approach; capacity issues caused delays and some patient loss.</w:t>
            </w:r>
          </w:p>
        </w:tc>
      </w:tr>
      <w:tr w:rsidR="005E4945" w:rsidRPr="002C21B8" w14:paraId="1F0A9BA9" w14:textId="77777777" w:rsidTr="00AD4F43">
        <w:trPr>
          <w:cantSplit/>
          <w:trHeight w:val="20"/>
        </w:trPr>
        <w:tc>
          <w:tcPr>
            <w:tcW w:w="2689" w:type="dxa"/>
            <w:tcBorders>
              <w:bottom w:val="nil"/>
            </w:tcBorders>
            <w:shd w:val="clear" w:color="auto" w:fill="auto"/>
          </w:tcPr>
          <w:p w14:paraId="554A40CF"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H. Reflecting &amp; Evaluating</w:t>
            </w:r>
          </w:p>
        </w:tc>
        <w:tc>
          <w:tcPr>
            <w:tcW w:w="3260" w:type="dxa"/>
            <w:tcBorders>
              <w:bottom w:val="nil"/>
            </w:tcBorders>
            <w:shd w:val="clear" w:color="auto" w:fill="auto"/>
          </w:tcPr>
          <w:p w14:paraId="1CA52004"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Audits helped identify gaps and maintain consistency; absent audits limited feedback.</w:t>
            </w:r>
          </w:p>
        </w:tc>
        <w:tc>
          <w:tcPr>
            <w:tcW w:w="2977" w:type="dxa"/>
            <w:tcBorders>
              <w:bottom w:val="nil"/>
            </w:tcBorders>
            <w:shd w:val="clear" w:color="auto" w:fill="auto"/>
          </w:tcPr>
          <w:p w14:paraId="05C9F2A1"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Internal audit prompted by external audit. Identified tolvaptan pathway not sufficiently implemented leading to missed patients.</w:t>
            </w:r>
          </w:p>
        </w:tc>
        <w:tc>
          <w:tcPr>
            <w:tcW w:w="2885" w:type="dxa"/>
            <w:tcBorders>
              <w:bottom w:val="nil"/>
            </w:tcBorders>
            <w:shd w:val="clear" w:color="auto" w:fill="auto"/>
          </w:tcPr>
          <w:p w14:paraId="2F6DAE4E"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Internal audits to confirm successful implementation and consistent approach to assessing eligibility and initiating.</w:t>
            </w:r>
          </w:p>
        </w:tc>
        <w:tc>
          <w:tcPr>
            <w:tcW w:w="2931" w:type="dxa"/>
            <w:tcBorders>
              <w:bottom w:val="nil"/>
            </w:tcBorders>
            <w:shd w:val="clear" w:color="auto" w:fill="auto"/>
          </w:tcPr>
          <w:p w14:paraId="1DC4B96F"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No internal audits due to barriers of very distributed care, large numbers and insufficient informational technology support.</w:t>
            </w:r>
          </w:p>
        </w:tc>
      </w:tr>
      <w:tr w:rsidR="005E4945" w:rsidRPr="002C21B8" w14:paraId="58A572E9" w14:textId="77777777" w:rsidTr="00AD4F43">
        <w:trPr>
          <w:cantSplit/>
          <w:trHeight w:val="20"/>
        </w:trPr>
        <w:tc>
          <w:tcPr>
            <w:tcW w:w="2689" w:type="dxa"/>
            <w:tcBorders>
              <w:bottom w:val="single" w:sz="12" w:space="0" w:color="auto"/>
            </w:tcBorders>
            <w:shd w:val="clear" w:color="auto" w:fill="auto"/>
          </w:tcPr>
          <w:p w14:paraId="75026F0B" w14:textId="77777777" w:rsidR="005E4945" w:rsidRPr="002C21B8" w:rsidRDefault="005E4945" w:rsidP="00C1697D">
            <w:pPr>
              <w:spacing w:beforeLines="20" w:before="48" w:afterLines="20" w:after="48" w:line="240" w:lineRule="auto"/>
              <w:ind w:firstLine="179"/>
              <w:jc w:val="left"/>
              <w:rPr>
                <w:sz w:val="16"/>
                <w:szCs w:val="16"/>
              </w:rPr>
            </w:pPr>
            <w:r w:rsidRPr="002C21B8">
              <w:rPr>
                <w:sz w:val="16"/>
                <w:szCs w:val="16"/>
              </w:rPr>
              <w:t>I. Adapting</w:t>
            </w:r>
          </w:p>
        </w:tc>
        <w:tc>
          <w:tcPr>
            <w:tcW w:w="3260" w:type="dxa"/>
            <w:tcBorders>
              <w:bottom w:val="single" w:sz="12" w:space="0" w:color="auto"/>
            </w:tcBorders>
            <w:shd w:val="clear" w:color="auto" w:fill="auto"/>
          </w:tcPr>
          <w:p w14:paraId="796AF23A" w14:textId="77777777" w:rsidR="005E4945" w:rsidRPr="002C21B8" w:rsidRDefault="005E4945" w:rsidP="00C1697D">
            <w:pPr>
              <w:spacing w:beforeLines="20" w:before="48" w:afterLines="20" w:after="48" w:line="240" w:lineRule="auto"/>
              <w:jc w:val="left"/>
              <w:rPr>
                <w:sz w:val="16"/>
                <w:szCs w:val="16"/>
              </w:rPr>
            </w:pPr>
            <w:r w:rsidRPr="002C21B8">
              <w:rPr>
                <w:sz w:val="16"/>
                <w:szCs w:val="16"/>
              </w:rPr>
              <w:t>Patient materials and workflow adapted to local context to support uptake and feasibility.</w:t>
            </w:r>
          </w:p>
        </w:tc>
        <w:tc>
          <w:tcPr>
            <w:tcW w:w="2977" w:type="dxa"/>
            <w:tcBorders>
              <w:bottom w:val="single" w:sz="12" w:space="0" w:color="auto"/>
            </w:tcBorders>
            <w:shd w:val="clear" w:color="auto" w:fill="auto"/>
          </w:tcPr>
          <w:p w14:paraId="16DB973B"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Minimal adaptation. Maintained manufacturer leaflet. Workflow slow to integrate</w:t>
            </w:r>
          </w:p>
        </w:tc>
        <w:tc>
          <w:tcPr>
            <w:tcW w:w="2885" w:type="dxa"/>
            <w:tcBorders>
              <w:bottom w:val="single" w:sz="12" w:space="0" w:color="auto"/>
            </w:tcBorders>
            <w:shd w:val="clear" w:color="auto" w:fill="auto"/>
          </w:tcPr>
          <w:p w14:paraId="0145652A"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Adapted patient materials and service delivery to local workflow. Integrated clinic efficiently</w:t>
            </w:r>
          </w:p>
        </w:tc>
        <w:tc>
          <w:tcPr>
            <w:tcW w:w="2931" w:type="dxa"/>
            <w:tcBorders>
              <w:bottom w:val="single" w:sz="12" w:space="0" w:color="auto"/>
            </w:tcBorders>
            <w:shd w:val="clear" w:color="auto" w:fill="auto"/>
          </w:tcPr>
          <w:p w14:paraId="5E46AE9C" w14:textId="77777777" w:rsidR="005E4945" w:rsidRPr="002C21B8" w:rsidRDefault="005E4945" w:rsidP="00C1697D">
            <w:pPr>
              <w:spacing w:beforeLines="20" w:before="48" w:afterLines="20" w:after="48" w:line="240" w:lineRule="auto"/>
              <w:jc w:val="center"/>
              <w:rPr>
                <w:sz w:val="16"/>
                <w:szCs w:val="16"/>
              </w:rPr>
            </w:pPr>
            <w:r w:rsidRPr="002C21B8">
              <w:rPr>
                <w:sz w:val="16"/>
                <w:szCs w:val="16"/>
              </w:rPr>
              <w:t>Adapted materials. Workflow adapted to hybrid structure. Selective application of eligibility criteria.</w:t>
            </w:r>
          </w:p>
        </w:tc>
      </w:tr>
    </w:tbl>
    <w:p w14:paraId="5E362A96" w14:textId="77777777" w:rsidR="005E4945" w:rsidRPr="002C21B8" w:rsidRDefault="005E4945" w:rsidP="00C1697D">
      <w:pPr>
        <w:spacing w:line="240" w:lineRule="auto"/>
        <w:sectPr w:rsidR="005E4945" w:rsidRPr="002C21B8" w:rsidSect="0009672F">
          <w:headerReference w:type="default" r:id="rId53"/>
          <w:type w:val="continuous"/>
          <w:pgSz w:w="16838" w:h="11906" w:orient="landscape"/>
          <w:pgMar w:top="1440" w:right="1440" w:bottom="1440" w:left="1440" w:header="708" w:footer="708" w:gutter="0"/>
          <w:cols w:space="708"/>
          <w:docGrid w:linePitch="360"/>
        </w:sectPr>
      </w:pPr>
    </w:p>
    <w:bookmarkEnd w:id="182"/>
    <w:p w14:paraId="5F0CA371" w14:textId="77777777" w:rsidR="005E4945" w:rsidRPr="002C21B8" w:rsidRDefault="005E4945" w:rsidP="00EC4437">
      <w:pPr>
        <w:spacing w:before="240" w:after="0"/>
        <w:rPr>
          <w:b/>
          <w:bCs/>
          <w:i/>
          <w:iCs/>
        </w:rPr>
      </w:pPr>
      <w:r w:rsidRPr="002C21B8">
        <w:rPr>
          <w:b/>
          <w:bCs/>
          <w:i/>
          <w:iCs/>
        </w:rPr>
        <w:t>The speed of introducing tolvaptan into the NHS (Outer setting, Inner setting)</w:t>
      </w:r>
    </w:p>
    <w:p w14:paraId="02E715EC" w14:textId="39E3B166" w:rsidR="005E4945" w:rsidRPr="002C21B8" w:rsidRDefault="005E4945" w:rsidP="005E4945">
      <w:r w:rsidRPr="002C21B8">
        <w:t>NICE mandates that approved medic</w:t>
      </w:r>
      <w:r w:rsidR="00A44B49" w:rsidRPr="002C21B8">
        <w:t>ation</w:t>
      </w:r>
      <w:r w:rsidRPr="002C21B8">
        <w:t>s be available to patients within three months, including tolvaptan</w:t>
      </w:r>
      <w:r w:rsidR="00C223FA" w:rsidRPr="002C21B8">
        <w:t xml:space="preserve"> </w:t>
      </w:r>
      <w:r w:rsidR="00C223FA" w:rsidRPr="002C21B8">
        <w:fldChar w:fldCharType="begin"/>
      </w:r>
      <w:r w:rsidR="00502953" w:rsidRPr="002C21B8">
        <w:instrText xml:space="preserve"> ADDIN EN.CITE &lt;EndNote&gt;&lt;Cite&gt;&lt;Author&gt;UK Government&lt;/Author&gt;&lt;Year&gt;2013&lt;/Year&gt;&lt;RecNum&gt;125303&lt;/RecNum&gt;&lt;DisplayText&gt;(UK Government, 2013)&lt;/DisplayText&gt;&lt;record&gt;&lt;rec-number&gt;125303&lt;/rec-number&gt;&lt;foreign-keys&gt;&lt;key app="EN" db-id="xpefzwa5hf9dt2ea9fax95x7xvxz90v09dtf" timestamp="1774963806"&gt;125303&lt;/key&gt;&lt;/foreign-keys&gt;&lt;ref-type name="Web Page"&gt;12&lt;/ref-type&gt;&lt;contributors&gt;&lt;authors&gt;&lt;author&gt;UK Government,&lt;/author&gt;&lt;/authors&gt;&lt;/contributors&gt;&lt;titles&gt;&lt;title&gt;The National Institute for Health and Care Excellence (Constitution and Functions) and the Health and Social Care Information Centre (Functions) Regulations&lt;/title&gt;&lt;/titles&gt;&lt;number&gt;11/11/2025)&lt;/number&gt;&lt;dates&gt;&lt;year&gt;2013&lt;/year&gt;&lt;/dates&gt;&lt;urls&gt;&lt;related-urls&gt;&lt;url&gt;https://www.legislation.gov.uk/uksi/2013/259/pdfs/uksi_20130259_en.pdf&lt;/url&gt;&lt;/related-urls&gt;&lt;/urls&gt;&lt;/record&gt;&lt;/Cite&gt;&lt;/EndNote&gt;</w:instrText>
      </w:r>
      <w:r w:rsidR="00C223FA" w:rsidRPr="002C21B8">
        <w:fldChar w:fldCharType="separate"/>
      </w:r>
      <w:r w:rsidR="00502953" w:rsidRPr="002C21B8">
        <w:rPr>
          <w:noProof/>
        </w:rPr>
        <w:t>(UK Government, 2013)</w:t>
      </w:r>
      <w:r w:rsidR="00C223FA" w:rsidRPr="002C21B8">
        <w:fldChar w:fldCharType="end"/>
      </w:r>
      <w:r w:rsidRPr="002C21B8">
        <w:t xml:space="preserve">. This applied to all cases. Clinicians reported that the medication has a strong evidence base underpinning the guidelines from NICE and the Renal Association (now </w:t>
      </w:r>
      <w:r w:rsidR="007A783C" w:rsidRPr="002C21B8">
        <w:t xml:space="preserve">UK </w:t>
      </w:r>
      <w:r w:rsidRPr="002C21B8">
        <w:t>Kidney Association)</w:t>
      </w:r>
      <w:r w:rsidR="00185EDE" w:rsidRPr="002C21B8">
        <w:t>,</w:t>
      </w:r>
      <w:r w:rsidRPr="002C21B8">
        <w:t xml:space="preserve"> which they used to inform their practice. Eligibility criteria were defined by NICE and the R</w:t>
      </w:r>
      <w:r w:rsidR="0093481B" w:rsidRPr="002C21B8">
        <w:t>enal</w:t>
      </w:r>
      <w:r w:rsidRPr="002C21B8">
        <w:t xml:space="preserve"> Association</w:t>
      </w:r>
      <w:r w:rsidR="00615500" w:rsidRPr="002C21B8">
        <w:t>,</w:t>
      </w:r>
      <w:r w:rsidRPr="002C21B8">
        <w:t xml:space="preserve"> but they did not offer any operational guidelines. Although medication costs were reimbursed through commissioning arrangements, centres were required to deliver the mandated monitoring and associated services without additional dedicated funding. The financial implications of implementation appeared to be less of a barrier at larger centres (Cases 2 and 3) compared with the smaller centre (Case 1), potentially reflecting greater resource availability or flexibility.</w:t>
      </w:r>
    </w:p>
    <w:p w14:paraId="7640B97A" w14:textId="77777777" w:rsidR="005E4945" w:rsidRPr="002C21B8" w:rsidRDefault="005E4945" w:rsidP="00EC4437">
      <w:pPr>
        <w:spacing w:before="240" w:after="0"/>
        <w:rPr>
          <w:b/>
          <w:bCs/>
          <w:i/>
          <w:iCs/>
        </w:rPr>
      </w:pPr>
      <w:r w:rsidRPr="002C21B8">
        <w:rPr>
          <w:b/>
          <w:bCs/>
          <w:i/>
          <w:iCs/>
        </w:rPr>
        <w:t>Some cases had a head start (Outer setting)</w:t>
      </w:r>
    </w:p>
    <w:p w14:paraId="2C1866C0" w14:textId="6F4C962B" w:rsidR="005E4945" w:rsidRPr="002C21B8" w:rsidRDefault="005E4945" w:rsidP="005E4945">
      <w:r w:rsidRPr="002C21B8">
        <w:t>There were differences between cases in terms of their partnerships and connections</w:t>
      </w:r>
      <w:r w:rsidR="00185EDE" w:rsidRPr="002C21B8">
        <w:t>,</w:t>
      </w:r>
      <w:r w:rsidRPr="002C21B8">
        <w:t xml:space="preserve"> which influenced how prepared they were for change. Case 1 had not been involved in the tolvaptan effectiveness trials, and </w:t>
      </w:r>
      <w:r w:rsidR="00226C78" w:rsidRPr="002C21B8">
        <w:t>clinicians</w:t>
      </w:r>
      <w:r w:rsidRPr="002C21B8">
        <w:t xml:space="preserve"> reported initial uncertainty about how to implement tolvaptan</w:t>
      </w:r>
      <w:r w:rsidR="00185EDE" w:rsidRPr="002C21B8">
        <w:t>,</w:t>
      </w:r>
      <w:r w:rsidRPr="002C21B8">
        <w:t xml:space="preserve"> leading to a slower, more cautious approach. By contrast, Cases 2 and 3 had both participated in tolvaptan effectiveness trials</w:t>
      </w:r>
      <w:r w:rsidR="00185EDE" w:rsidRPr="002C21B8">
        <w:t>,</w:t>
      </w:r>
      <w:r w:rsidRPr="002C21B8">
        <w:t xml:space="preserve"> so the healthcare teams were aware of the potential logistical challenges of delivering tolvaptan</w:t>
      </w:r>
      <w:r w:rsidR="00185EDE" w:rsidRPr="002C21B8">
        <w:t xml:space="preserve">. This </w:t>
      </w:r>
      <w:r w:rsidRPr="002C21B8">
        <w:t>supported early implementation.</w:t>
      </w:r>
    </w:p>
    <w:p w14:paraId="3F2A8DAC" w14:textId="77777777" w:rsidR="005E4945" w:rsidRPr="002C21B8" w:rsidRDefault="005E4945" w:rsidP="004D76F5">
      <w:pPr>
        <w:ind w:left="720"/>
        <w:rPr>
          <w:i/>
          <w:iCs/>
        </w:rPr>
      </w:pPr>
      <w:r w:rsidRPr="002C21B8">
        <w:rPr>
          <w:i/>
          <w:iCs/>
        </w:rPr>
        <w:t>“I think it definitely helped being in the trials. We knew more what to expect when it was approved. We already had patients that had been taking it.” (Specialist nephrology consultant, Case 2)</w:t>
      </w:r>
    </w:p>
    <w:p w14:paraId="5E89C29E" w14:textId="3B627E9B" w:rsidR="005E4945" w:rsidRPr="002C21B8" w:rsidRDefault="005E4945" w:rsidP="005E4945">
      <w:pPr>
        <w:rPr>
          <w:i/>
          <w:iCs/>
        </w:rPr>
      </w:pPr>
      <w:r w:rsidRPr="002C21B8">
        <w:t>There were also differences between cases in terms of access to informal professional networks</w:t>
      </w:r>
      <w:r w:rsidR="00DA650F" w:rsidRPr="002C21B8">
        <w:t>,</w:t>
      </w:r>
      <w:r w:rsidRPr="002C21B8">
        <w:t xml:space="preserve"> which could offer advice about implementation. Consultants in Case 1 reported limited use of these, relying on published materials. In contrast, lead consultants in Cases 2 and 3 actively leveraged professional contacts to share service designs and approaches.</w:t>
      </w:r>
    </w:p>
    <w:p w14:paraId="5C309DA1" w14:textId="24EE5303" w:rsidR="00EA11DA" w:rsidRPr="002C21B8" w:rsidRDefault="005E4945" w:rsidP="00EA11DA">
      <w:r w:rsidRPr="002C21B8">
        <w:t xml:space="preserve">This advantage was mitigated by an NHS initiative called GIRFT </w:t>
      </w:r>
      <w:r w:rsidRPr="002C21B8">
        <w:fldChar w:fldCharType="begin"/>
      </w:r>
      <w:r w:rsidR="00C909D0" w:rsidRPr="002C21B8">
        <w:instrText xml:space="preserve"> ADDIN EN.CITE &lt;EndNote&gt;&lt;Cite&gt;&lt;Author&gt;Getting It Right First Time (GIRFT)&lt;/Author&gt;&lt;Year&gt;2021&lt;/Year&gt;&lt;RecNum&gt;125259&lt;/RecNum&gt;&lt;DisplayText&gt;(Getting It Right First Time (GIRFT), 2021)&lt;/DisplayText&gt;&lt;record&gt;&lt;rec-number&gt;125259&lt;/rec-number&gt;&lt;foreign-keys&gt;&lt;key app="EN" db-id="xpefzwa5hf9dt2ea9fax95x7xvxz90v09dtf" timestamp="1773418264"&gt;125259&lt;/key&gt;&lt;/foreign-keys&gt;&lt;ref-type name="Web Page"&gt;12&lt;/ref-type&gt;&lt;contributors&gt;&lt;authors&gt;&lt;author&gt;Getting It Right First Time (GIRFT),&lt;/author&gt;&lt;/authors&gt;&lt;/contributors&gt;&lt;titles&gt;&lt;title&gt;GIRFT - Renal Medicine&lt;/title&gt;&lt;/titles&gt;&lt;number&gt;13/03/2026)&lt;/number&gt;&lt;dates&gt;&lt;year&gt;2021&lt;/year&gt;&lt;/dates&gt;&lt;urls&gt;&lt;related-urls&gt;&lt;url&gt;https://gettingitrightfirsttime.co.uk/wp-content/uploads/2021/09/Renal-Medicine-Sept21k.pdf&lt;/url&gt;&lt;/related-urls&gt;&lt;/urls&gt;&lt;/record&gt;&lt;/Cite&gt;&lt;/EndNote&gt;</w:instrText>
      </w:r>
      <w:r w:rsidRPr="002C21B8">
        <w:fldChar w:fldCharType="separate"/>
      </w:r>
      <w:r w:rsidR="00C909D0" w:rsidRPr="002C21B8">
        <w:t>(Getting It Right First Time (GIRFT), 2021)</w:t>
      </w:r>
      <w:r w:rsidRPr="002C21B8">
        <w:fldChar w:fldCharType="end"/>
      </w:r>
      <w:r w:rsidRPr="002C21B8">
        <w:t>, published in 2021. This initiative provided external audit feedback on tolvaptan prescribing to kidney centres after the clinics were established. At Case 1, the report identified less successful implementation and underuse of tolvaptan, prompting internal audits and the introduction of a dedicated tolvaptan clinic in 2022. Similar feedback at Case 3 did not lead to changes in practice</w:t>
      </w:r>
      <w:r w:rsidR="00DA650F" w:rsidRPr="002C21B8">
        <w:t xml:space="preserve">, </w:t>
      </w:r>
      <w:r w:rsidRPr="002C21B8">
        <w:t xml:space="preserve">with questions about the reliability of the approach taken by the initiative and support from peer discussions </w:t>
      </w:r>
      <w:r w:rsidR="00461930" w:rsidRPr="002C21B8">
        <w:t>confirming a</w:t>
      </w:r>
      <w:r w:rsidRPr="002C21B8">
        <w:t xml:space="preserve"> similar approach</w:t>
      </w:r>
      <w:r w:rsidR="00C008FC" w:rsidRPr="002C21B8">
        <w:t xml:space="preserve"> providing reassurance</w:t>
      </w:r>
      <w:r w:rsidRPr="002C21B8">
        <w:t>.</w:t>
      </w:r>
      <w:r w:rsidR="00EA11DA" w:rsidRPr="002C21B8">
        <w:br w:type="page"/>
      </w:r>
    </w:p>
    <w:p w14:paraId="1418212D" w14:textId="56979809" w:rsidR="005E4945" w:rsidRPr="002C21B8" w:rsidRDefault="005E4945" w:rsidP="00EC4437">
      <w:pPr>
        <w:spacing w:before="240" w:after="0"/>
        <w:rPr>
          <w:b/>
          <w:bCs/>
          <w:i/>
          <w:iCs/>
        </w:rPr>
      </w:pPr>
      <w:r w:rsidRPr="002C21B8">
        <w:rPr>
          <w:b/>
          <w:bCs/>
          <w:i/>
          <w:iCs/>
        </w:rPr>
        <w:t xml:space="preserve">A </w:t>
      </w:r>
      <w:r w:rsidR="003E658D" w:rsidRPr="002C21B8">
        <w:rPr>
          <w:b/>
          <w:bCs/>
          <w:i/>
          <w:iCs/>
        </w:rPr>
        <w:t xml:space="preserve">single condition-specific clinic model </w:t>
      </w:r>
      <w:r w:rsidRPr="002C21B8">
        <w:rPr>
          <w:b/>
          <w:bCs/>
          <w:i/>
          <w:iCs/>
        </w:rPr>
        <w:t xml:space="preserve">vs multiple </w:t>
      </w:r>
      <w:r w:rsidR="003E658D" w:rsidRPr="002C21B8">
        <w:rPr>
          <w:b/>
          <w:bCs/>
          <w:i/>
          <w:iCs/>
        </w:rPr>
        <w:t xml:space="preserve">clinics in a generalist clinic model </w:t>
      </w:r>
      <w:r w:rsidRPr="002C21B8">
        <w:rPr>
          <w:b/>
          <w:bCs/>
          <w:i/>
          <w:iCs/>
        </w:rPr>
        <w:t>(Inner structure)</w:t>
      </w:r>
    </w:p>
    <w:p w14:paraId="7CBD64C8" w14:textId="49E92F41" w:rsidR="005E4945" w:rsidRPr="002C21B8" w:rsidRDefault="005E4945" w:rsidP="005E4945">
      <w:r w:rsidRPr="002C21B8">
        <w:t>With no guidelines on implementation or resources for restructuring clinics, the pre-existing structure of centres shaped</w:t>
      </w:r>
      <w:r w:rsidR="00DA650F" w:rsidRPr="002C21B8">
        <w:t xml:space="preserve"> the</w:t>
      </w:r>
      <w:r w:rsidRPr="002C21B8">
        <w:t xml:space="preserve"> implementation of tolvaptan. In Case 1, the pathway was initially incorporated into multiple general nephrology clinics across multiple hospital sites to maintain their ethos of care continuity and provide coverage across a large geographical area. This </w:t>
      </w:r>
      <w:r w:rsidR="003E658D" w:rsidRPr="002C21B8">
        <w:t xml:space="preserve">generalist clinic </w:t>
      </w:r>
      <w:r w:rsidRPr="002C21B8">
        <w:t xml:space="preserve">model involved multiple prescribers acting independently without a clear implementation lead, which slowed early implementation and contributed to variability in practice. As one consultant explained: </w:t>
      </w:r>
    </w:p>
    <w:p w14:paraId="08D037A8" w14:textId="77777777" w:rsidR="005E4945" w:rsidRPr="002C21B8" w:rsidRDefault="005E4945" w:rsidP="004D76F5">
      <w:pPr>
        <w:ind w:left="720"/>
        <w:rPr>
          <w:i/>
          <w:iCs/>
        </w:rPr>
      </w:pPr>
      <w:r w:rsidRPr="002C21B8">
        <w:rPr>
          <w:i/>
          <w:iCs/>
        </w:rPr>
        <w:t>“It was a bit haphazard. People’s practices were different and their criteria for starting [tolvaptan] wasn’t entirely clear… It was difficult to be certain whether everybody that would be eligible for it, was being offered it and whether everybody that was starting on it actually met the inclusion criteria.” (General nephrology consultant, Case 1)</w:t>
      </w:r>
    </w:p>
    <w:p w14:paraId="36F3EA32" w14:textId="5EF97248" w:rsidR="005E4945" w:rsidRPr="002C21B8" w:rsidRDefault="005E4945" w:rsidP="005E4945">
      <w:r w:rsidRPr="002C21B8">
        <w:t>The later introduction of a central tolvaptan clinic and identification of a lead consultant helped to standardise processes. However, the responsibility for eligibility assessments and referral decisions remained distributed across general nephrology clinics.</w:t>
      </w:r>
      <w:r w:rsidR="00E77AC5" w:rsidRPr="002C21B8">
        <w:t xml:space="preserve"> Recognising the potential for variation to persist under this model, one consultant described </w:t>
      </w:r>
      <w:r w:rsidR="00457F8B" w:rsidRPr="002C21B8">
        <w:t xml:space="preserve">conducting internal audits and </w:t>
      </w:r>
      <w:r w:rsidR="00E77AC5" w:rsidRPr="002C21B8">
        <w:t>being in the process of developing an automated method to identify eligible patients based on routinely collected eGFR readings</w:t>
      </w:r>
      <w:r w:rsidR="00C058F3" w:rsidRPr="002C21B8">
        <w:t>. However, th</w:t>
      </w:r>
      <w:r w:rsidR="004E0A89" w:rsidRPr="002C21B8">
        <w:t>e automated process</w:t>
      </w:r>
      <w:r w:rsidR="00C058F3" w:rsidRPr="002C21B8">
        <w:t xml:space="preserve"> had not yet been introduced at the time of the multiple case study.</w:t>
      </w:r>
    </w:p>
    <w:p w14:paraId="466C428D" w14:textId="3E7F3EE4" w:rsidR="005E4945" w:rsidRPr="002C21B8" w:rsidRDefault="005E4945" w:rsidP="005E4945">
      <w:r w:rsidRPr="002C21B8">
        <w:t>In contrast, Case 2 managed all ADPKD patients centrally within an existing renal genetics clinic</w:t>
      </w:r>
      <w:r w:rsidR="00092973" w:rsidRPr="002C21B8">
        <w:t>,</w:t>
      </w:r>
      <w:r w:rsidRPr="002C21B8">
        <w:t xml:space="preserve"> which </w:t>
      </w:r>
      <w:r w:rsidR="003E658D" w:rsidRPr="002C21B8">
        <w:t xml:space="preserve">can be described as </w:t>
      </w:r>
      <w:r w:rsidR="00633968" w:rsidRPr="002C21B8">
        <w:t xml:space="preserve">a </w:t>
      </w:r>
      <w:r w:rsidR="003E658D" w:rsidRPr="002C21B8">
        <w:t xml:space="preserve">condition-specific clinic model. This </w:t>
      </w:r>
      <w:r w:rsidRPr="002C21B8">
        <w:t>facilitated the implementation of the tolvaptan care pathway and newly developed tolvaptan clinic into this service. The small</w:t>
      </w:r>
      <w:r w:rsidR="004D59A8" w:rsidRPr="002C21B8">
        <w:t>,</w:t>
      </w:r>
      <w:r w:rsidRPr="002C21B8">
        <w:t xml:space="preserve"> well-aligned team eased implementation, ensured consistent practice, provided clear oversight, and supported communication </w:t>
      </w:r>
      <w:r w:rsidR="00B429FD" w:rsidRPr="002C21B8">
        <w:t xml:space="preserve">and </w:t>
      </w:r>
      <w:r w:rsidRPr="002C21B8">
        <w:t>shar</w:t>
      </w:r>
      <w:r w:rsidR="00B429FD" w:rsidRPr="002C21B8">
        <w:t>ing of</w:t>
      </w:r>
      <w:r w:rsidRPr="002C21B8">
        <w:t xml:space="preserve"> knowledge.</w:t>
      </w:r>
    </w:p>
    <w:p w14:paraId="4241F284" w14:textId="6EC68BE8" w:rsidR="005E4945" w:rsidRPr="002C21B8" w:rsidRDefault="005E4945" w:rsidP="005E4945">
      <w:r w:rsidRPr="002C21B8">
        <w:t xml:space="preserve">Case 3 adopted a hybrid </w:t>
      </w:r>
      <w:r w:rsidR="00BB2B32" w:rsidRPr="002C21B8">
        <w:t>clinic model</w:t>
      </w:r>
      <w:r w:rsidRPr="002C21B8">
        <w:t>, with ADPKD patients managed in the renal genetics clinic and multiple general nephrology clinics. Implementation was mainly the responsibility of the renal genetics team</w:t>
      </w:r>
      <w:r w:rsidR="002E2302" w:rsidRPr="002C21B8">
        <w:t>,</w:t>
      </w:r>
      <w:r w:rsidRPr="002C21B8">
        <w:t xml:space="preserve"> but included general nephrology consultants referring patients to the renal genetics clinic. Communication and dissemination of knowledge was more challenging due to the larger number of staff involved. Although there was a small central implementation team responsible for eligibility assessment, the overall service was large and the pathway complex</w:t>
      </w:r>
      <w:r w:rsidR="002E2302" w:rsidRPr="002C21B8">
        <w:t>,</w:t>
      </w:r>
      <w:r w:rsidRPr="002C21B8">
        <w:t xml:space="preserve"> involving a large number of </w:t>
      </w:r>
      <w:r w:rsidR="00226C78" w:rsidRPr="002C21B8">
        <w:t>clinicians</w:t>
      </w:r>
      <w:r w:rsidR="00D53B08" w:rsidRPr="002C21B8">
        <w:t xml:space="preserve">, </w:t>
      </w:r>
      <w:r w:rsidR="002E2302" w:rsidRPr="002C21B8">
        <w:t>which</w:t>
      </w:r>
      <w:r w:rsidR="00D53B08" w:rsidRPr="002C21B8">
        <w:t xml:space="preserve"> </w:t>
      </w:r>
      <w:r w:rsidRPr="002C21B8">
        <w:t>was observed to make coordination difficult and reduce oversight. One consultant described some colleagues not being aware of tolvaptan and observed high variability in the number of referrals received. One consultant explained during the clinic observations that ideally all ADPKD patients would be managed in the one renal genetics clinic</w:t>
      </w:r>
      <w:r w:rsidR="00A50904" w:rsidRPr="002C21B8">
        <w:t>,</w:t>
      </w:r>
      <w:r w:rsidRPr="002C21B8">
        <w:t xml:space="preserve"> but that this was not possible due to large patient numbers at the centre.</w:t>
      </w:r>
    </w:p>
    <w:p w14:paraId="77017CE1" w14:textId="51F22A4F" w:rsidR="005E4945" w:rsidRPr="002C21B8" w:rsidRDefault="005E4945" w:rsidP="005E4945">
      <w:r w:rsidRPr="002C21B8">
        <w:t xml:space="preserve">These structural characteristics shaped how patients were identified and assessed for treatment. In Case 1, </w:t>
      </w:r>
      <w:r w:rsidR="00D53B08" w:rsidRPr="002C21B8">
        <w:t xml:space="preserve">consultations with </w:t>
      </w:r>
      <w:r w:rsidRPr="002C21B8">
        <w:t xml:space="preserve">people with ADPKD were infrequent </w:t>
      </w:r>
      <w:r w:rsidR="00D53B08" w:rsidRPr="002C21B8">
        <w:t>for</w:t>
      </w:r>
      <w:r w:rsidRPr="002C21B8">
        <w:t xml:space="preserve"> individual consultants and alongside those with other conditions in general nephrology clinics. One consultant reported this made it difficult to keep tolvaptan at the forefront of their mind amidst competing demands.</w:t>
      </w:r>
      <w:r w:rsidR="00EA11DA" w:rsidRPr="002C21B8">
        <w:t xml:space="preserve"> </w:t>
      </w:r>
      <w:r w:rsidRPr="002C21B8">
        <w:t>In contrast</w:t>
      </w:r>
      <w:r w:rsidR="00A50904" w:rsidRPr="002C21B8">
        <w:t>,</w:t>
      </w:r>
      <w:r w:rsidRPr="002C21B8">
        <w:t xml:space="preserve"> at Case 2, clinicians in the renal genetics clinics described feeling </w:t>
      </w:r>
      <w:r w:rsidR="00F50D99" w:rsidRPr="002C21B8">
        <w:rPr>
          <w:i/>
          <w:iCs/>
        </w:rPr>
        <w:t>“</w:t>
      </w:r>
      <w:r w:rsidRPr="002C21B8">
        <w:rPr>
          <w:i/>
          <w:iCs/>
        </w:rPr>
        <w:t>primed</w:t>
      </w:r>
      <w:r w:rsidR="00F50D99" w:rsidRPr="002C21B8">
        <w:rPr>
          <w:i/>
          <w:iCs/>
        </w:rPr>
        <w:t>”</w:t>
      </w:r>
      <w:r w:rsidRPr="002C21B8">
        <w:t xml:space="preserve"> to identify eligible patients as it was something they were doing regularly. The service structure in Case 3 meant aspects from Cases 1 and 2 were combined.</w:t>
      </w:r>
    </w:p>
    <w:p w14:paraId="0F20B628" w14:textId="77777777" w:rsidR="005E4945" w:rsidRPr="002C21B8" w:rsidRDefault="005E4945" w:rsidP="00EC4437">
      <w:pPr>
        <w:spacing w:before="240" w:after="0"/>
        <w:rPr>
          <w:b/>
          <w:bCs/>
          <w:i/>
          <w:iCs/>
        </w:rPr>
      </w:pPr>
      <w:r w:rsidRPr="002C21B8">
        <w:rPr>
          <w:b/>
          <w:bCs/>
          <w:i/>
          <w:iCs/>
        </w:rPr>
        <w:t>Leadership facilitated implementation (Individuals)</w:t>
      </w:r>
    </w:p>
    <w:p w14:paraId="74F8DE17" w14:textId="4EDE164A" w:rsidR="005E4945" w:rsidRPr="002C21B8" w:rsidRDefault="005E4945" w:rsidP="005E4945">
      <w:r w:rsidRPr="002C21B8">
        <w:t>The characteristics of clinical leadership shaped how the tolvaptan service was implemented and normalised across cases. At Case 1, there was no obvious opinion leader to undertake the role of implementation lead because all the consultants were generalists. This changed following the national audit</w:t>
      </w:r>
      <w:r w:rsidR="00801127" w:rsidRPr="002C21B8">
        <w:t>,</w:t>
      </w:r>
      <w:r w:rsidRPr="002C21B8">
        <w:t xml:space="preserve"> and one consultant undertook a lead role in the tolvaptan clinic to standardise the approach, but expressed scepticism about its effectiveness</w:t>
      </w:r>
      <w:r w:rsidR="00801127" w:rsidRPr="002C21B8">
        <w:t>,</w:t>
      </w:r>
      <w:r w:rsidRPr="002C21B8">
        <w:t xml:space="preserve"> which may have contributed to underuse at their centre.</w:t>
      </w:r>
    </w:p>
    <w:p w14:paraId="0A6D1617" w14:textId="4D79BC7B" w:rsidR="005E4945" w:rsidRPr="002C21B8" w:rsidRDefault="005E4945" w:rsidP="004D76F5">
      <w:pPr>
        <w:ind w:left="720"/>
        <w:rPr>
          <w:i/>
          <w:iCs/>
        </w:rPr>
      </w:pPr>
      <w:r w:rsidRPr="002C21B8">
        <w:rPr>
          <w:i/>
          <w:iCs/>
        </w:rPr>
        <w:t>“I was very sceptical about it… we all were. It seemed to have quite a lot of side effects and the benefit is there</w:t>
      </w:r>
      <w:r w:rsidR="00801127" w:rsidRPr="002C21B8">
        <w:rPr>
          <w:i/>
          <w:iCs/>
        </w:rPr>
        <w:t>,</w:t>
      </w:r>
      <w:r w:rsidRPr="002C21B8">
        <w:rPr>
          <w:i/>
          <w:iCs/>
        </w:rPr>
        <w:t xml:space="preserve"> but it’s not huge. So we offered it to patients</w:t>
      </w:r>
      <w:r w:rsidR="00801127" w:rsidRPr="002C21B8">
        <w:rPr>
          <w:i/>
          <w:iCs/>
        </w:rPr>
        <w:t>,</w:t>
      </w:r>
      <w:r w:rsidRPr="002C21B8">
        <w:rPr>
          <w:i/>
          <w:iCs/>
        </w:rPr>
        <w:t xml:space="preserve"> but we didn’t push it particularly.” (General nephrology consultant, Case 1)</w:t>
      </w:r>
    </w:p>
    <w:p w14:paraId="15F51BE4" w14:textId="6DF81EBD" w:rsidR="005E4945" w:rsidRPr="002C21B8" w:rsidRDefault="005E4945" w:rsidP="005E4945">
      <w:r w:rsidRPr="002C21B8">
        <w:t xml:space="preserve">In contrast, Cases 2 and 3 had opinion leaders from the start. As renal genetics clinic leads </w:t>
      </w:r>
      <w:r w:rsidR="008D5151" w:rsidRPr="002C21B8">
        <w:t xml:space="preserve">who had </w:t>
      </w:r>
      <w:r w:rsidRPr="002C21B8">
        <w:t>participat</w:t>
      </w:r>
      <w:r w:rsidR="008D5151" w:rsidRPr="002C21B8">
        <w:t>ed</w:t>
      </w:r>
      <w:r w:rsidRPr="002C21B8">
        <w:t xml:space="preserve"> in the tolvaptan clinical trials, they </w:t>
      </w:r>
      <w:r w:rsidR="008D5151" w:rsidRPr="002C21B8">
        <w:t>became</w:t>
      </w:r>
      <w:r w:rsidRPr="002C21B8">
        <w:t xml:space="preserve"> implementation leads. Other clinicians interviewed described them as the </w:t>
      </w:r>
      <w:r w:rsidRPr="002C21B8">
        <w:rPr>
          <w:i/>
          <w:iCs/>
        </w:rPr>
        <w:t>“driving force”</w:t>
      </w:r>
      <w:r w:rsidRPr="002C21B8">
        <w:t xml:space="preserve"> behind service implementation, guiding how the service approached eligibility assessments and prescribing decisions.</w:t>
      </w:r>
    </w:p>
    <w:p w14:paraId="773BC1C2" w14:textId="77777777" w:rsidR="005E4945" w:rsidRPr="002C21B8" w:rsidRDefault="005E4945" w:rsidP="00EC4437">
      <w:pPr>
        <w:spacing w:before="240" w:after="0"/>
        <w:rPr>
          <w:b/>
          <w:bCs/>
          <w:i/>
          <w:iCs/>
        </w:rPr>
      </w:pPr>
      <w:r w:rsidRPr="002C21B8">
        <w:rPr>
          <w:b/>
          <w:bCs/>
          <w:i/>
          <w:iCs/>
        </w:rPr>
        <w:t>Specialist vs generalist expertise within centres (Individuals, Implementation process)</w:t>
      </w:r>
    </w:p>
    <w:p w14:paraId="4A8517B4" w14:textId="1AA02D91" w:rsidR="005E4945" w:rsidRPr="002C21B8" w:rsidRDefault="005E4945" w:rsidP="005E4945">
      <w:r w:rsidRPr="002C21B8">
        <w:t>Centres with specialist expertise demonstrated higher system-level motivation and capability to implement the tolvaptan care pathway. At Case 1, consultants described less frequent contact with ADPKD patients, which limited their experience of prescribing tolvaptan and meant they rarely observed the impact of treatment. They appeared to have lower motivation to proactively identify and initiate eligible patients, with clinicians relying primarily on routine blood tests. When tolvaptan was offered, clinicians described residual scepticism and reported they did not particularly encourage patients to consider tolvaptan. They offered tolvaptan only when patients clearly met the routinely collected eGFR criteria. Similarly</w:t>
      </w:r>
      <w:r w:rsidR="00801127" w:rsidRPr="002C21B8">
        <w:t>,</w:t>
      </w:r>
      <w:r w:rsidRPr="002C21B8">
        <w:t xml:space="preserve"> in Case 3, specialist consultants described the general nephrologists acting as gatekeepers to the renal genetics clinic </w:t>
      </w:r>
      <w:r w:rsidR="00325106" w:rsidRPr="002C21B8">
        <w:t xml:space="preserve">but recognised that they </w:t>
      </w:r>
      <w:r w:rsidRPr="002C21B8">
        <w:t>ha</w:t>
      </w:r>
      <w:r w:rsidR="00325106" w:rsidRPr="002C21B8">
        <w:t>d</w:t>
      </w:r>
      <w:r w:rsidRPr="002C21B8">
        <w:t xml:space="preserve"> less awareness of tolvaptan and eligibility criteria</w:t>
      </w:r>
      <w:r w:rsidR="00801127" w:rsidRPr="002C21B8">
        <w:t>,</w:t>
      </w:r>
      <w:r w:rsidRPr="002C21B8">
        <w:t xml:space="preserve"> so not all were motivated to refer patients.</w:t>
      </w:r>
    </w:p>
    <w:p w14:paraId="6EEB2157" w14:textId="0E00D0F8" w:rsidR="005E4945" w:rsidRPr="002C21B8" w:rsidRDefault="007A62F0" w:rsidP="005E4945">
      <w:r w:rsidRPr="002C21B8">
        <w:t>T</w:t>
      </w:r>
      <w:r w:rsidR="005E4945" w:rsidRPr="002C21B8">
        <w:t>he specialist-led teams in Case</w:t>
      </w:r>
      <w:r w:rsidR="00801127" w:rsidRPr="002C21B8">
        <w:t>s</w:t>
      </w:r>
      <w:r w:rsidR="005E4945" w:rsidRPr="002C21B8">
        <w:t xml:space="preserve"> 2 and 3 actively promoted identification of eligible patients, supported timely initiation and reinforced the value of treatment. This created a culture where clinicians across the centre were more engaged and willing to integrate tolvaptan into routine care, rather than relying solely on routine lab thresholds or ad-hoc investigations. This included confidence in assessing patients for eligibility and presenting information to patients in what they called a </w:t>
      </w:r>
      <w:r w:rsidR="005E4945" w:rsidRPr="002C21B8">
        <w:rPr>
          <w:i/>
          <w:iCs/>
        </w:rPr>
        <w:t xml:space="preserve">“balanced” </w:t>
      </w:r>
      <w:r w:rsidR="005E4945" w:rsidRPr="002C21B8">
        <w:t xml:space="preserve">and </w:t>
      </w:r>
      <w:r w:rsidR="005E4945" w:rsidRPr="002C21B8">
        <w:rPr>
          <w:i/>
          <w:iCs/>
        </w:rPr>
        <w:t>“realistic”</w:t>
      </w:r>
      <w:r w:rsidR="005E4945" w:rsidRPr="002C21B8">
        <w:t xml:space="preserve"> way. One consultant perceived that a patient’s likelihood of receiving tolvaptan was significantly higher if they saw a specialist. </w:t>
      </w:r>
    </w:p>
    <w:p w14:paraId="4D6AF559" w14:textId="505D83E6" w:rsidR="005E4945" w:rsidRPr="002C21B8" w:rsidRDefault="005E4945" w:rsidP="005E4945">
      <w:r w:rsidRPr="002C21B8">
        <w:t>There was reported variation in the culture between specialists in Cases 2 and 3, with Case 2</w:t>
      </w:r>
      <w:r w:rsidR="00801127" w:rsidRPr="002C21B8">
        <w:t>,</w:t>
      </w:r>
      <w:r w:rsidRPr="002C21B8">
        <w:t xml:space="preserve"> the policy was to </w:t>
      </w:r>
      <w:r w:rsidRPr="002C21B8">
        <w:rPr>
          <w:i/>
          <w:iCs/>
        </w:rPr>
        <w:t>“follow the rules</w:t>
      </w:r>
      <w:r w:rsidRPr="002C21B8">
        <w:t>” and adhere to guidelines</w:t>
      </w:r>
      <w:r w:rsidRPr="002C21B8">
        <w:rPr>
          <w:i/>
          <w:iCs/>
        </w:rPr>
        <w:t>,</w:t>
      </w:r>
      <w:r w:rsidRPr="002C21B8">
        <w:t xml:space="preserve"> whereas specialists in Case 3 reported increasingly prescribing outside the CKD stage and eGFR slope criteria for high-risk patients, drawing on their experience and awareness of similar practice at other centres. This highlights that while specialist expertise strengthens centre-level motivation and capability, local-practice norms and individual clinician judgement also influence how the pathway is implemented.</w:t>
      </w:r>
    </w:p>
    <w:p w14:paraId="1B534302" w14:textId="2E99E52C" w:rsidR="005E4945" w:rsidRPr="002C21B8" w:rsidRDefault="005E4945" w:rsidP="005E4945">
      <w:r w:rsidRPr="002C21B8">
        <w:t>Leadership and specialist expertise within the team guided the way tolvaptan was communicated to patients. One consultant reported that, in Case 1, tolvaptan discussions were largely reactive</w:t>
      </w:r>
      <w:r w:rsidR="00801127" w:rsidRPr="002C21B8">
        <w:t>,</w:t>
      </w:r>
      <w:r w:rsidRPr="002C21B8">
        <w:t xml:space="preserve"> being initiated only after patients met routine eligibility thresholds. Individuals at Case 2 reported a more proactive approach, framing tolvaptan as the default pathway and raising it anticipatorily and repeatedly. In clinic observations, it was noted that these latter clinicians emphasised benefits, minimised risks and actively encouraged patients to try tolvaptan given the lack of alternative disease-modifying options.</w:t>
      </w:r>
    </w:p>
    <w:p w14:paraId="643E57E0" w14:textId="77777777" w:rsidR="005E4945" w:rsidRPr="002C21B8" w:rsidRDefault="005E4945" w:rsidP="004D76F5">
      <w:pPr>
        <w:ind w:left="720"/>
        <w:rPr>
          <w:i/>
          <w:iCs/>
        </w:rPr>
      </w:pPr>
      <w:r w:rsidRPr="002C21B8">
        <w:rPr>
          <w:i/>
          <w:iCs/>
        </w:rPr>
        <w:t>“I just say ‘every time I see you, I’ll be looking for a reason to start it, not a reason not to start it. This is their first chance to try a disease-modifying drug. I guess I give it the hard sell.” (Specialist nephrology consultant, Case 2)</w:t>
      </w:r>
    </w:p>
    <w:p w14:paraId="46BE1666" w14:textId="77777777" w:rsidR="005E4945" w:rsidRPr="002C21B8" w:rsidRDefault="005E4945" w:rsidP="00EC4437">
      <w:pPr>
        <w:spacing w:before="240" w:after="0"/>
        <w:rPr>
          <w:b/>
          <w:bCs/>
          <w:i/>
          <w:iCs/>
        </w:rPr>
      </w:pPr>
      <w:r w:rsidRPr="002C21B8">
        <w:rPr>
          <w:b/>
          <w:bCs/>
          <w:i/>
          <w:iCs/>
        </w:rPr>
        <w:t>Variation in application of eligibility criteria (Inner setting, Individuals)</w:t>
      </w:r>
    </w:p>
    <w:p w14:paraId="056E21B9" w14:textId="4D6F1A8D" w:rsidR="005E4945" w:rsidRPr="002C21B8" w:rsidRDefault="005E4945" w:rsidP="005E4945">
      <w:r w:rsidRPr="002C21B8">
        <w:t>Clinicians at different centres reported differing interpretations of eligibility criteria in national guidelines. Although UK NICE and UKKA guidelines do</w:t>
      </w:r>
      <w:r w:rsidR="00442170" w:rsidRPr="002C21B8">
        <w:t xml:space="preserve"> </w:t>
      </w:r>
      <w:r w:rsidRPr="002C21B8">
        <w:t>not specify an age cut-off, some cases applied informal restrictions based on patient age, and prescribing culture differed for patients at the lower end of the CKD treatment window.</w:t>
      </w:r>
    </w:p>
    <w:p w14:paraId="6D106170" w14:textId="6F255CFF" w:rsidR="005E4945" w:rsidRPr="002C21B8" w:rsidRDefault="005E4945" w:rsidP="005E4945">
      <w:r w:rsidRPr="002C21B8">
        <w:t>For clinicians at Cases 1 and 3, no formal or informal age cut-offs were applied</w:t>
      </w:r>
      <w:r w:rsidR="00801127" w:rsidRPr="002C21B8">
        <w:t xml:space="preserve">, </w:t>
      </w:r>
      <w:r w:rsidRPr="002C21B8">
        <w:t xml:space="preserve">with one consultant stating that applying an age cut-off </w:t>
      </w:r>
      <w:r w:rsidR="00F87157" w:rsidRPr="002C21B8">
        <w:t xml:space="preserve">could </w:t>
      </w:r>
      <w:r w:rsidRPr="002C21B8">
        <w:t xml:space="preserve">be considered </w:t>
      </w:r>
      <w:r w:rsidRPr="002C21B8">
        <w:rPr>
          <w:i/>
          <w:iCs/>
        </w:rPr>
        <w:t>“ageist”</w:t>
      </w:r>
      <w:r w:rsidRPr="002C21B8">
        <w:t xml:space="preserve"> and that even modest delays in progression could be beneficial for older patients to avoid kidney replacement therapy (KRT). However, at Case 2</w:t>
      </w:r>
      <w:r w:rsidR="00801127" w:rsidRPr="002C21B8">
        <w:t>,</w:t>
      </w:r>
      <w:r w:rsidRPr="002C21B8">
        <w:t xml:space="preserve"> the culture was not to prescribe tolvaptan to patients beyond age 60 years</w:t>
      </w:r>
      <w:r w:rsidR="00801127" w:rsidRPr="002C21B8">
        <w:t>,</w:t>
      </w:r>
      <w:r w:rsidRPr="002C21B8">
        <w:t xml:space="preserve"> as </w:t>
      </w:r>
      <w:r w:rsidR="006E745F" w:rsidRPr="002C21B8">
        <w:t xml:space="preserve">they believed </w:t>
      </w:r>
      <w:r w:rsidRPr="002C21B8">
        <w:t>reaching this age without needing KRT suggest</w:t>
      </w:r>
      <w:r w:rsidR="006E745F" w:rsidRPr="002C21B8">
        <w:t>s</w:t>
      </w:r>
      <w:r w:rsidRPr="002C21B8">
        <w:t xml:space="preserve"> less aggressive disease and no indication for tolvaptan. Clinicians at </w:t>
      </w:r>
      <w:r w:rsidR="003902B0" w:rsidRPr="002C21B8">
        <w:t>C</w:t>
      </w:r>
      <w:r w:rsidRPr="002C21B8">
        <w:t>ase 1 also reported that initiating tolvaptan in patients in their 50s could delay transplantation to a point where outcomes might be less favourable.</w:t>
      </w:r>
    </w:p>
    <w:p w14:paraId="2876FE79" w14:textId="305400D3" w:rsidR="005E4945" w:rsidRPr="002C21B8" w:rsidRDefault="005E4945" w:rsidP="005E4945">
      <w:r w:rsidRPr="002C21B8">
        <w:t xml:space="preserve">At Cases 1 and 3, the culture at the site was that patients nearing the lower end of the treatment window had </w:t>
      </w:r>
      <w:r w:rsidRPr="002C21B8">
        <w:rPr>
          <w:i/>
          <w:iCs/>
        </w:rPr>
        <w:t>“missed the boat”</w:t>
      </w:r>
      <w:r w:rsidRPr="002C21B8">
        <w:t xml:space="preserve"> with tolvaptan prescribing no longer being beneficial or appropriate. However, at Case 2 these same patients were viewed to have a </w:t>
      </w:r>
      <w:r w:rsidRPr="002C21B8">
        <w:rPr>
          <w:i/>
          <w:iCs/>
        </w:rPr>
        <w:t>“final chance”</w:t>
      </w:r>
      <w:r w:rsidRPr="002C21B8">
        <w:t xml:space="preserve"> to get the benefit fr</w:t>
      </w:r>
      <w:r w:rsidR="00801127" w:rsidRPr="002C21B8">
        <w:t>o</w:t>
      </w:r>
      <w:r w:rsidRPr="002C21B8">
        <w:t xml:space="preserve">m the </w:t>
      </w:r>
      <w:r w:rsidR="001C5EF6" w:rsidRPr="002C21B8">
        <w:t>medication</w:t>
      </w:r>
      <w:r w:rsidRPr="002C21B8">
        <w:t xml:space="preserve"> before becoming ineligible.</w:t>
      </w:r>
    </w:p>
    <w:p w14:paraId="780D3A4D" w14:textId="77777777" w:rsidR="005E4945" w:rsidRPr="002C21B8" w:rsidRDefault="005E4945" w:rsidP="004D76F5">
      <w:pPr>
        <w:ind w:left="720"/>
        <w:rPr>
          <w:i/>
          <w:iCs/>
        </w:rPr>
      </w:pPr>
      <w:r w:rsidRPr="002C21B8">
        <w:rPr>
          <w:i/>
          <w:iCs/>
        </w:rPr>
        <w:t>“So me and [lead consultant] had a discussion about a patient whose eGFR was dropping off… And we agreed that it probably won't make much of a difference. It's such a massive undertaking… I just think is it worth it?" (Specialist nephrology consultant, Case 2)</w:t>
      </w:r>
    </w:p>
    <w:p w14:paraId="2E828DB7" w14:textId="4273972A" w:rsidR="005E4945" w:rsidRPr="002C21B8" w:rsidRDefault="005E4945" w:rsidP="005E4945">
      <w:r w:rsidRPr="002C21B8">
        <w:t xml:space="preserve">There were also differences between cases in the criteria used to determine rapid progression and patient eligibility. At </w:t>
      </w:r>
      <w:r w:rsidR="00467470" w:rsidRPr="002C21B8">
        <w:t>C</w:t>
      </w:r>
      <w:r w:rsidRPr="002C21B8">
        <w:t>ase 1, eligibility assessment relied almost entirely on routinely collected eGFR data</w:t>
      </w:r>
      <w:r w:rsidR="00C73E44" w:rsidRPr="002C21B8">
        <w:t>,</w:t>
      </w:r>
      <w:r w:rsidRPr="002C21B8">
        <w:t xml:space="preserve"> with genomic testing not performed due to limited staff expertise and restricted availability. As a result, </w:t>
      </w:r>
      <w:r w:rsidR="00C73E44" w:rsidRPr="002C21B8">
        <w:t xml:space="preserve">the </w:t>
      </w:r>
      <w:r w:rsidRPr="002C21B8">
        <w:t>criteria that used these investigations were rarely used</w:t>
      </w:r>
      <w:r w:rsidR="004727CB" w:rsidRPr="002C21B8">
        <w:t>,</w:t>
      </w:r>
      <w:r w:rsidRPr="002C21B8">
        <w:t xml:space="preserve"> and patients who would have qual</w:t>
      </w:r>
      <w:r w:rsidR="00A70403" w:rsidRPr="002C21B8">
        <w:t>ifi</w:t>
      </w:r>
      <w:r w:rsidRPr="002C21B8">
        <w:t>ed under these criteria were missed.</w:t>
      </w:r>
    </w:p>
    <w:p w14:paraId="618374FA" w14:textId="732222AE" w:rsidR="005E4945" w:rsidRPr="002C21B8" w:rsidRDefault="005E4945" w:rsidP="005E4945">
      <w:r w:rsidRPr="002C21B8">
        <w:t>Clinicians at Case 2 described systematically applying all eligibility criteria which was supported by observed practice in clinics. Routine care included almost universal genomic testing</w:t>
      </w:r>
      <w:r w:rsidR="00111D1F" w:rsidRPr="002C21B8">
        <w:t xml:space="preserve"> </w:t>
      </w:r>
      <w:r w:rsidRPr="002C21B8">
        <w:t xml:space="preserve">and MRIs allowing </w:t>
      </w:r>
      <w:r w:rsidR="004727CB" w:rsidRPr="002C21B8">
        <w:t xml:space="preserve">the </w:t>
      </w:r>
      <w:r w:rsidRPr="002C21B8">
        <w:t>use of risk stratification tools. MRIs were commonly repeated to assess for changes in Mayo Imaging Classification.</w:t>
      </w:r>
    </w:p>
    <w:p w14:paraId="0B2B9050" w14:textId="42F23090" w:rsidR="005E4945" w:rsidRPr="002C21B8" w:rsidRDefault="005E4945" w:rsidP="005E4945">
      <w:r w:rsidRPr="002C21B8">
        <w:t>Case 3 adopted an intermediate approach by selectively applying eligibility criteria when patients expressed interest in taking tolvaptan. Most patients were reported to have had a single MRI</w:t>
      </w:r>
      <w:r w:rsidR="00111D1F" w:rsidRPr="002C21B8">
        <w:t>,</w:t>
      </w:r>
      <w:r w:rsidRPr="002C21B8">
        <w:t xml:space="preserve"> and around half ha</w:t>
      </w:r>
      <w:r w:rsidR="00111D1F" w:rsidRPr="002C21B8">
        <w:t>d</w:t>
      </w:r>
      <w:r w:rsidRPr="002C21B8">
        <w:t xml:space="preserve"> genomic testing</w:t>
      </w:r>
      <w:r w:rsidR="00111D1F" w:rsidRPr="002C21B8">
        <w:t xml:space="preserve">, </w:t>
      </w:r>
      <w:r w:rsidRPr="002C21B8">
        <w:t>with avoidance of unnecessary patient harm cited</w:t>
      </w:r>
      <w:r w:rsidR="00342CD5" w:rsidRPr="002C21B8">
        <w:t xml:space="preserve"> as the rationale</w:t>
      </w:r>
      <w:r w:rsidRPr="002C21B8">
        <w:t>.</w:t>
      </w:r>
    </w:p>
    <w:p w14:paraId="214BF959" w14:textId="77777777" w:rsidR="005E4945" w:rsidRPr="002C21B8" w:rsidRDefault="005E4945" w:rsidP="00EC4437">
      <w:pPr>
        <w:spacing w:before="240" w:after="0"/>
        <w:rPr>
          <w:b/>
          <w:bCs/>
          <w:i/>
          <w:iCs/>
        </w:rPr>
      </w:pPr>
      <w:r w:rsidRPr="002C21B8">
        <w:rPr>
          <w:b/>
          <w:bCs/>
          <w:i/>
          <w:iCs/>
        </w:rPr>
        <w:t>Grade and discipline of implementation team members (Individuals)</w:t>
      </w:r>
    </w:p>
    <w:p w14:paraId="7AA98C37" w14:textId="7D05427D" w:rsidR="005E4945" w:rsidRPr="002C21B8" w:rsidRDefault="005E4945" w:rsidP="005E4945">
      <w:r w:rsidRPr="002C21B8">
        <w:t>Roles and composition of the implementation team also influenced implementation through influencing how eligibility criteria were applied, prescribing culture and how discussion styles influenced patient uptake. Pharmacists viewed themselves as more risk-averse</w:t>
      </w:r>
      <w:r w:rsidR="00B312A5" w:rsidRPr="002C21B8">
        <w:t>,</w:t>
      </w:r>
      <w:r w:rsidRPr="002C21B8">
        <w:t xml:space="preserve"> so acted as a “</w:t>
      </w:r>
      <w:r w:rsidRPr="002C21B8">
        <w:rPr>
          <w:i/>
          <w:iCs/>
        </w:rPr>
        <w:t xml:space="preserve">safety check” </w:t>
      </w:r>
      <w:r w:rsidRPr="002C21B8">
        <w:t>for the more proactive prescribing of physicians by adhering closely to guidelines and focusing on potential risks. Nursing staff described themselves as more practical and patient-focused</w:t>
      </w:r>
      <w:r w:rsidR="00B312A5" w:rsidRPr="002C21B8">
        <w:t>,</w:t>
      </w:r>
      <w:r w:rsidRPr="002C21B8">
        <w:t xml:space="preserve"> taking into </w:t>
      </w:r>
      <w:r w:rsidR="00E76971" w:rsidRPr="002C21B8">
        <w:t xml:space="preserve">account the </w:t>
      </w:r>
      <w:r w:rsidRPr="002C21B8">
        <w:t>psychosocial aspects of treatment.</w:t>
      </w:r>
    </w:p>
    <w:p w14:paraId="557525B9" w14:textId="77777777" w:rsidR="005E4945" w:rsidRPr="002C21B8" w:rsidRDefault="005E4945" w:rsidP="004D76F5">
      <w:pPr>
        <w:ind w:left="720"/>
      </w:pPr>
      <w:r w:rsidRPr="002C21B8">
        <w:t>“W</w:t>
      </w:r>
      <w:r w:rsidRPr="002C21B8">
        <w:rPr>
          <w:i/>
          <w:iCs/>
        </w:rPr>
        <w:t>e should all be having conversations with patients about it, but the truth of the matter is we all have a set amount of time and you have different focuses.” (Renal pharmacist, Case 2)</w:t>
      </w:r>
    </w:p>
    <w:p w14:paraId="0A34FAE9" w14:textId="1C57434B" w:rsidR="005E4945" w:rsidRPr="002C21B8" w:rsidRDefault="00615500" w:rsidP="005E4945">
      <w:pPr>
        <w:rPr>
          <w:color w:val="000000" w:themeColor="text1"/>
        </w:rPr>
      </w:pPr>
      <w:r w:rsidRPr="002C21B8">
        <w:rPr>
          <w:color w:val="000000" w:themeColor="text1"/>
        </w:rPr>
        <w:t>The involvement of n</w:t>
      </w:r>
      <w:r w:rsidR="005E4945" w:rsidRPr="002C21B8">
        <w:rPr>
          <w:color w:val="000000" w:themeColor="text1"/>
        </w:rPr>
        <w:t>ephrolog</w:t>
      </w:r>
      <w:r w:rsidR="00D90D04" w:rsidRPr="002C21B8">
        <w:rPr>
          <w:color w:val="000000" w:themeColor="text1"/>
        </w:rPr>
        <w:t>y trainee</w:t>
      </w:r>
      <w:r w:rsidRPr="002C21B8">
        <w:rPr>
          <w:color w:val="000000" w:themeColor="text1"/>
        </w:rPr>
        <w:t>s</w:t>
      </w:r>
      <w:r w:rsidR="00EC4437" w:rsidRPr="002C21B8">
        <w:rPr>
          <w:color w:val="000000" w:themeColor="text1"/>
        </w:rPr>
        <w:t>, a qualified doctor undertaking specialist training in nephrology,</w:t>
      </w:r>
      <w:r w:rsidR="005E4945" w:rsidRPr="002C21B8">
        <w:rPr>
          <w:color w:val="000000" w:themeColor="text1"/>
        </w:rPr>
        <w:t xml:space="preserve"> contributed to implementation differently between cases. Case 1 had no trainees. At Case 2, an experienced trainee regularly reviewed people with ADPKD as one of the key implementation team members. In contrast, at Case 3 there was more ad-hoc trainee involvement</w:t>
      </w:r>
      <w:r w:rsidR="006F5707" w:rsidRPr="002C21B8">
        <w:rPr>
          <w:color w:val="000000" w:themeColor="text1"/>
        </w:rPr>
        <w:t>;</w:t>
      </w:r>
      <w:r w:rsidR="005E4945" w:rsidRPr="002C21B8">
        <w:rPr>
          <w:color w:val="000000" w:themeColor="text1"/>
        </w:rPr>
        <w:t xml:space="preserve"> they were described by one consultant </w:t>
      </w:r>
      <w:r w:rsidR="006F5707" w:rsidRPr="002C21B8">
        <w:rPr>
          <w:color w:val="000000" w:themeColor="text1"/>
        </w:rPr>
        <w:t>as</w:t>
      </w:r>
      <w:r w:rsidR="005E4945" w:rsidRPr="002C21B8">
        <w:rPr>
          <w:color w:val="000000" w:themeColor="text1"/>
        </w:rPr>
        <w:t xml:space="preserve"> unfamiliar with tolvaptan and less confident discussing treatment options, which was thought to lead to missed opportunities and lower patient uptake.</w:t>
      </w:r>
    </w:p>
    <w:p w14:paraId="2D8A61CF" w14:textId="77777777" w:rsidR="005E4945" w:rsidRPr="002C21B8" w:rsidRDefault="005E4945" w:rsidP="00EC4437">
      <w:pPr>
        <w:spacing w:before="240" w:after="0"/>
        <w:rPr>
          <w:b/>
          <w:bCs/>
          <w:i/>
          <w:iCs/>
        </w:rPr>
      </w:pPr>
      <w:r w:rsidRPr="002C21B8">
        <w:rPr>
          <w:b/>
          <w:bCs/>
          <w:i/>
          <w:iCs/>
        </w:rPr>
        <w:t>Operational context and implementation outcomes (Inner setting, Implementation process)</w:t>
      </w:r>
    </w:p>
    <w:p w14:paraId="30D71FA3" w14:textId="1AA64F20" w:rsidR="005E4945" w:rsidRPr="002C21B8" w:rsidRDefault="005E4945" w:rsidP="005E4945">
      <w:r w:rsidRPr="002C21B8">
        <w:t>How the tolvaptan care pathway was implemented also introduced the potential for delays and missed prescribing opportunities. At Case 1, the tolvaptan clinic was conducted monthly via telephone, which relied on patients to get back in contact if they wanted to start treatment. This created the potential for delays, and as one pharmacist reported, some patients were lost to follow-up</w:t>
      </w:r>
      <w:r w:rsidR="000D0DDE" w:rsidRPr="002C21B8">
        <w:t>,</w:t>
      </w:r>
      <w:r w:rsidRPr="002C21B8">
        <w:t xml:space="preserve"> so </w:t>
      </w:r>
      <w:r w:rsidR="000D0DDE" w:rsidRPr="002C21B8">
        <w:t xml:space="preserve">they </w:t>
      </w:r>
      <w:r w:rsidRPr="002C21B8">
        <w:t xml:space="preserve">did not start treatment. </w:t>
      </w:r>
    </w:p>
    <w:p w14:paraId="47E57719" w14:textId="77777777" w:rsidR="005E4945" w:rsidRPr="002C21B8" w:rsidRDefault="005E4945" w:rsidP="005E4945">
      <w:r w:rsidRPr="002C21B8">
        <w:t xml:space="preserve">At Case 2, the renal genetics and tolvaptan clinic occurred concurrently at the same location. Observations indicated that this facilitated close communication and coordination between team members, meaning patients often accessed treatment on the same day. </w:t>
      </w:r>
    </w:p>
    <w:p w14:paraId="4916CD7A" w14:textId="5F2D22B2" w:rsidR="005E4945" w:rsidRPr="002C21B8" w:rsidRDefault="005E4945" w:rsidP="005E4945">
      <w:r w:rsidRPr="002C21B8">
        <w:t>Operational challenges were most noticeable at Case 3. The tolvaptan clinic being held on a separate day to the renal genetics clinic was described by one consultant as reducing their oversight of implementation. Patients could be started on tolvaptan through alternative pathways</w:t>
      </w:r>
      <w:r w:rsidR="000142C4" w:rsidRPr="002C21B8">
        <w:t>,</w:t>
      </w:r>
      <w:r w:rsidRPr="002C21B8">
        <w:t xml:space="preserve"> bypassing the renal genetics clinic</w:t>
      </w:r>
      <w:r w:rsidR="000142C4" w:rsidRPr="002C21B8">
        <w:t>,</w:t>
      </w:r>
      <w:r w:rsidRPr="002C21B8">
        <w:t xml:space="preserve"> leading to inconsistent decision-making. Document analysis of the standard operating procedure showed that the tolvaptan clinic was introduced to deliver the medication and monitoring, but clinic observations indicated that eligibility was being reassessed, discussions revisited, and patients remained in the clinic if unsure. These additional activities appeared to emerge naturally over time rather than being a deliberate change. As a result, clinic capacity was reduced</w:t>
      </w:r>
      <w:r w:rsidR="000142C4" w:rsidRPr="002C21B8">
        <w:t xml:space="preserve">, </w:t>
      </w:r>
      <w:r w:rsidRPr="002C21B8">
        <w:t xml:space="preserve">and initiation of new patients could take longer, with some patients waiting months. One consultant described in an interview that this could influence patient uptake of tolvaptan by undermining their confidence in and perceived importance of the </w:t>
      </w:r>
      <w:r w:rsidR="0093571E" w:rsidRPr="002C21B8">
        <w:t>medication</w:t>
      </w:r>
      <w:r w:rsidRPr="002C21B8">
        <w:t>.</w:t>
      </w:r>
    </w:p>
    <w:p w14:paraId="0AD5A188" w14:textId="77777777" w:rsidR="005E4945" w:rsidRPr="002C21B8" w:rsidRDefault="005E4945" w:rsidP="004D76F5">
      <w:pPr>
        <w:ind w:left="720"/>
        <w:rPr>
          <w:i/>
          <w:iCs/>
          <w:color w:val="000000" w:themeColor="text1"/>
        </w:rPr>
      </w:pPr>
      <w:r w:rsidRPr="002C21B8">
        <w:rPr>
          <w:i/>
          <w:iCs/>
          <w:color w:val="000000" w:themeColor="text1"/>
        </w:rPr>
        <w:t>“We’ve met people waiting months to start tolvaptan… patients probably think ‘well god they don’t want us to start if they’re just flinging leaflets at us once a month, but not starting it’.” (Specialist nephrology consultant, Case 3)</w:t>
      </w:r>
    </w:p>
    <w:p w14:paraId="40A29A93" w14:textId="77777777" w:rsidR="005E4945" w:rsidRPr="002C21B8" w:rsidRDefault="005E4945" w:rsidP="00EC4437">
      <w:pPr>
        <w:spacing w:before="240" w:after="0"/>
        <w:rPr>
          <w:b/>
          <w:bCs/>
          <w:i/>
          <w:iCs/>
        </w:rPr>
      </w:pPr>
      <w:r w:rsidRPr="002C21B8">
        <w:rPr>
          <w:b/>
          <w:bCs/>
          <w:i/>
          <w:iCs/>
        </w:rPr>
        <w:t>Communicating with patients (Innovation, Implementation process)</w:t>
      </w:r>
    </w:p>
    <w:p w14:paraId="3910CDC6" w14:textId="5EACA9E5" w:rsidR="005E4945" w:rsidRPr="002C21B8" w:rsidRDefault="005E4945" w:rsidP="005E4945">
      <w:r w:rsidRPr="002C21B8">
        <w:t xml:space="preserve">While Case 1 continued to use the </w:t>
      </w:r>
      <w:r w:rsidR="001B0744" w:rsidRPr="002C21B8">
        <w:t>pharmaceutical company</w:t>
      </w:r>
      <w:r w:rsidRPr="002C21B8">
        <w:t xml:space="preserve"> leaflet for tolvaptan to inform patients about the benefits and side effects of tolvaptan, Cases 2 and 3 adapted communication materials to form a local leaflet. Clinicians in these latter cases described the </w:t>
      </w:r>
      <w:r w:rsidR="001B0744" w:rsidRPr="002C21B8">
        <w:t>pharmaceutical company</w:t>
      </w:r>
      <w:r w:rsidRPr="002C21B8">
        <w:t xml:space="preserve">’s leaflet as not reflective of real-world tolvaptan use and focused heavily on the safety concern for hepatotoxicity highlighted in the tolvaptan clinical trials. They thought that this made the leaflets </w:t>
      </w:r>
      <w:r w:rsidRPr="002C21B8">
        <w:rPr>
          <w:i/>
          <w:iCs/>
        </w:rPr>
        <w:t>“overly negative”</w:t>
      </w:r>
      <w:r w:rsidRPr="002C21B8">
        <w:t xml:space="preserve"> which they thought discouraged patient uptake. This was supported by document analysis of the </w:t>
      </w:r>
      <w:r w:rsidR="001B0744" w:rsidRPr="002C21B8">
        <w:t xml:space="preserve">pharmaceutical company </w:t>
      </w:r>
      <w:r w:rsidRPr="002C21B8">
        <w:t>leaflet.</w:t>
      </w:r>
    </w:p>
    <w:p w14:paraId="54B2ECA3" w14:textId="11F95617" w:rsidR="005E4945" w:rsidRPr="002C21B8" w:rsidRDefault="005E4945" w:rsidP="004D76F5">
      <w:pPr>
        <w:ind w:left="720"/>
      </w:pPr>
      <w:r w:rsidRPr="002C21B8">
        <w:rPr>
          <w:i/>
          <w:iCs/>
        </w:rPr>
        <w:t xml:space="preserve">“We didn’t want people to be scared off [by the </w:t>
      </w:r>
      <w:r w:rsidR="005F7FFB" w:rsidRPr="002C21B8">
        <w:rPr>
          <w:i/>
          <w:iCs/>
        </w:rPr>
        <w:t xml:space="preserve">pharmaceutical </w:t>
      </w:r>
      <w:r w:rsidR="00E8194C" w:rsidRPr="002C21B8">
        <w:rPr>
          <w:i/>
          <w:iCs/>
        </w:rPr>
        <w:t>company l</w:t>
      </w:r>
      <w:r w:rsidRPr="002C21B8">
        <w:rPr>
          <w:i/>
          <w:iCs/>
        </w:rPr>
        <w:t>eaflet], so much that they wouldn’t start taking it… so we just mocked up our own.” (Renal Pharmacist, Case 2)</w:t>
      </w:r>
    </w:p>
    <w:p w14:paraId="6F2CFC88" w14:textId="1E9161DE" w:rsidR="005E4945" w:rsidRPr="002C21B8" w:rsidRDefault="005E4945" w:rsidP="005E4945">
      <w:r w:rsidRPr="002C21B8">
        <w:t xml:space="preserve">Engaging patients when re-offering tolvaptan following discontinuation or refusal formed part of how the care pathway was operationalised and sustained over time, with differing cultures between cases. At Case 1, re-offering was rare and only occurred if there was a perceived change in patient circumstances. In contrast, Case 2 </w:t>
      </w:r>
      <w:r w:rsidR="00153C98" w:rsidRPr="002C21B8">
        <w:t xml:space="preserve">regularly </w:t>
      </w:r>
      <w:r w:rsidRPr="002C21B8">
        <w:t>revisited tolvaptan with eligible patients but with a softer approach</w:t>
      </w:r>
      <w:r w:rsidR="000142C4" w:rsidRPr="002C21B8">
        <w:t>, which</w:t>
      </w:r>
      <w:r w:rsidRPr="002C21B8">
        <w:t xml:space="preserve"> </w:t>
      </w:r>
      <w:r w:rsidR="000142C4" w:rsidRPr="002C21B8">
        <w:t>w</w:t>
      </w:r>
      <w:r w:rsidRPr="002C21B8">
        <w:t>as seen in the clinic observations. Case 3 adopted a selective strategy, re-offering mostly to patients perceived to be at the highest risk.</w:t>
      </w:r>
    </w:p>
    <w:p w14:paraId="2BE0ED03" w14:textId="42DCB229" w:rsidR="005E4945" w:rsidRPr="002C21B8" w:rsidRDefault="005E4945" w:rsidP="004D76F5">
      <w:pPr>
        <w:ind w:left="720"/>
        <w:rPr>
          <w:i/>
          <w:iCs/>
        </w:rPr>
      </w:pPr>
      <w:r w:rsidRPr="002C21B8">
        <w:rPr>
          <w:i/>
          <w:iCs/>
        </w:rPr>
        <w:t>“Lots of people have tried it and then if they stop it</w:t>
      </w:r>
      <w:r w:rsidR="005A1BD4" w:rsidRPr="002C21B8">
        <w:rPr>
          <w:i/>
          <w:iCs/>
        </w:rPr>
        <w:t>,</w:t>
      </w:r>
      <w:r w:rsidRPr="002C21B8">
        <w:rPr>
          <w:i/>
          <w:iCs/>
        </w:rPr>
        <w:t xml:space="preserve"> they come back to see me and I’m still talking about it. And some of them do go back to have another go at it.” (Specialist nephrology consultant, Case 2)</w:t>
      </w:r>
    </w:p>
    <w:p w14:paraId="6EF14C73" w14:textId="77777777" w:rsidR="005E4945" w:rsidRPr="002C21B8" w:rsidRDefault="005E4945" w:rsidP="00EC4437">
      <w:pPr>
        <w:spacing w:before="240" w:after="0"/>
        <w:rPr>
          <w:b/>
          <w:bCs/>
          <w:sz w:val="24"/>
          <w:szCs w:val="24"/>
        </w:rPr>
      </w:pPr>
      <w:r w:rsidRPr="002C21B8">
        <w:rPr>
          <w:b/>
          <w:bCs/>
          <w:sz w:val="24"/>
          <w:szCs w:val="24"/>
        </w:rPr>
        <w:t>Mapping key themes to prescribing outcomes</w:t>
      </w:r>
    </w:p>
    <w:p w14:paraId="3A0ED91B" w14:textId="2B4A619F" w:rsidR="005E4945" w:rsidRPr="002C21B8" w:rsidRDefault="005E4945" w:rsidP="005E4945">
      <w:pPr>
        <w:rPr>
          <w:i/>
          <w:iCs/>
        </w:rPr>
        <w:sectPr w:rsidR="005E4945" w:rsidRPr="002C21B8" w:rsidSect="0009672F">
          <w:headerReference w:type="default" r:id="rId54"/>
          <w:type w:val="continuous"/>
          <w:pgSz w:w="11906" w:h="16838"/>
          <w:pgMar w:top="1440" w:right="1440" w:bottom="1440" w:left="1440" w:header="708" w:footer="708" w:gutter="0"/>
          <w:cols w:space="708"/>
          <w:docGrid w:linePitch="360"/>
        </w:sectPr>
      </w:pPr>
      <w:r w:rsidRPr="002C21B8">
        <w:t xml:space="preserve">To summarise how implementation factors shaped prescribing </w:t>
      </w:r>
      <w:r w:rsidR="00943AD0" w:rsidRPr="002C21B8">
        <w:t>practices</w:t>
      </w:r>
      <w:r w:rsidRPr="002C21B8">
        <w:t xml:space="preserve">, the potential for each factor </w:t>
      </w:r>
      <w:r w:rsidR="00943AD0" w:rsidRPr="002C21B8">
        <w:t>to lead to the prescribing outcome</w:t>
      </w:r>
      <w:r w:rsidRPr="002C21B8">
        <w:t xml:space="preserve"> is </w:t>
      </w:r>
      <w:r w:rsidR="00E1079C" w:rsidRPr="002C21B8">
        <w:t>outlined</w:t>
      </w:r>
      <w:r w:rsidRPr="002C21B8">
        <w:t xml:space="preserve"> in </w:t>
      </w:r>
      <w:r w:rsidRPr="002C21B8">
        <w:fldChar w:fldCharType="begin"/>
      </w:r>
      <w:r w:rsidRPr="002C21B8">
        <w:instrText xml:space="preserve"> REF _Ref222391900 \h </w:instrText>
      </w:r>
      <w:r w:rsidR="00585F6D" w:rsidRPr="002C21B8">
        <w:instrText xml:space="preserve"> \* MERGEFORMAT </w:instrText>
      </w:r>
      <w:r w:rsidRPr="002C21B8">
        <w:fldChar w:fldCharType="separate"/>
      </w:r>
      <w:r w:rsidR="00DB3709" w:rsidRPr="002C21B8">
        <w:t xml:space="preserve">Table </w:t>
      </w:r>
      <w:r w:rsidR="00DB3709">
        <w:t>18</w:t>
      </w:r>
      <w:r w:rsidRPr="002C21B8">
        <w:fldChar w:fldCharType="end"/>
      </w:r>
      <w:r w:rsidR="00E71EF1" w:rsidRPr="002C21B8">
        <w:t>.</w:t>
      </w:r>
      <w:r w:rsidRPr="002C21B8">
        <w:t xml:space="preserve"> The position of each </w:t>
      </w:r>
      <w:r w:rsidR="000A7815" w:rsidRPr="002C21B8">
        <w:t>c</w:t>
      </w:r>
      <w:r w:rsidRPr="002C21B8">
        <w:t>ase in the analysis</w:t>
      </w:r>
      <w:r w:rsidR="00E1079C" w:rsidRPr="002C21B8">
        <w:t xml:space="preserve"> of registry data </w:t>
      </w:r>
      <w:r w:rsidRPr="002C21B8">
        <w:t>is also documented for comparison with the findings for each case.</w:t>
      </w:r>
    </w:p>
    <w:p w14:paraId="66ABA7EA" w14:textId="520EF8FE" w:rsidR="005E4945" w:rsidRPr="002C21B8" w:rsidRDefault="005E4945" w:rsidP="00346011">
      <w:pPr>
        <w:pStyle w:val="Caption"/>
        <w:keepNext w:val="0"/>
        <w:rPr>
          <w:noProof w:val="0"/>
        </w:rPr>
      </w:pPr>
      <w:bookmarkStart w:id="186" w:name="_Ref222391900"/>
      <w:bookmarkStart w:id="187" w:name="_Ref224390112"/>
      <w:bookmarkStart w:id="188" w:name="_Toc236991754"/>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18</w:t>
      </w:r>
      <w:r w:rsidRPr="002C21B8">
        <w:rPr>
          <w:noProof w:val="0"/>
        </w:rPr>
        <w:fldChar w:fldCharType="end"/>
      </w:r>
      <w:bookmarkEnd w:id="186"/>
      <w:r w:rsidRPr="002C21B8">
        <w:rPr>
          <w:noProof w:val="0"/>
        </w:rPr>
        <w:t>. Key themes linking implementation to</w:t>
      </w:r>
      <w:r w:rsidR="00943AD0" w:rsidRPr="002C21B8">
        <w:rPr>
          <w:noProof w:val="0"/>
        </w:rPr>
        <w:t xml:space="preserve"> </w:t>
      </w:r>
      <w:r w:rsidRPr="002C21B8">
        <w:rPr>
          <w:noProof w:val="0"/>
        </w:rPr>
        <w:t xml:space="preserve">prescribing </w:t>
      </w:r>
      <w:r w:rsidR="00943AD0" w:rsidRPr="002C21B8">
        <w:rPr>
          <w:noProof w:val="0"/>
        </w:rPr>
        <w:t>practic</w:t>
      </w:r>
      <w:r w:rsidRPr="002C21B8">
        <w:rPr>
          <w:noProof w:val="0"/>
        </w:rPr>
        <w:t xml:space="preserve">es </w:t>
      </w:r>
      <w:r w:rsidR="00970F8B" w:rsidRPr="002C21B8">
        <w:rPr>
          <w:noProof w:val="0"/>
        </w:rPr>
        <w:t>in</w:t>
      </w:r>
      <w:r w:rsidRPr="002C21B8">
        <w:rPr>
          <w:noProof w:val="0"/>
        </w:rPr>
        <w:t xml:space="preserve"> cases</w:t>
      </w:r>
      <w:bookmarkEnd w:id="187"/>
      <w:bookmarkEnd w:id="188"/>
    </w:p>
    <w:tbl>
      <w:tblPr>
        <w:tblStyle w:val="TableGrid"/>
        <w:tblW w:w="1563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2275"/>
        <w:gridCol w:w="2275"/>
        <w:gridCol w:w="2275"/>
        <w:gridCol w:w="2201"/>
        <w:gridCol w:w="2203"/>
        <w:gridCol w:w="2204"/>
      </w:tblGrid>
      <w:tr w:rsidR="005E4945" w:rsidRPr="002C21B8" w14:paraId="494E27F9" w14:textId="77777777" w:rsidTr="00120EC1">
        <w:tc>
          <w:tcPr>
            <w:tcW w:w="2201" w:type="dxa"/>
            <w:tcBorders>
              <w:top w:val="single" w:sz="12" w:space="0" w:color="000000" w:themeColor="text1"/>
              <w:bottom w:val="single" w:sz="6" w:space="0" w:color="000000" w:themeColor="text1"/>
            </w:tcBorders>
            <w:shd w:val="clear" w:color="auto" w:fill="auto"/>
            <w:vAlign w:val="center"/>
          </w:tcPr>
          <w:p w14:paraId="6255A44E" w14:textId="77777777" w:rsidR="005E4945" w:rsidRPr="002C21B8" w:rsidRDefault="005E4945" w:rsidP="00346011">
            <w:pPr>
              <w:spacing w:before="120" w:after="120" w:line="240" w:lineRule="auto"/>
              <w:jc w:val="left"/>
              <w:rPr>
                <w:b/>
                <w:bCs/>
                <w:sz w:val="16"/>
                <w:szCs w:val="16"/>
              </w:rPr>
            </w:pPr>
          </w:p>
        </w:tc>
        <w:tc>
          <w:tcPr>
            <w:tcW w:w="6825" w:type="dxa"/>
            <w:gridSpan w:val="3"/>
            <w:tcBorders>
              <w:top w:val="single" w:sz="12" w:space="0" w:color="000000" w:themeColor="text1"/>
              <w:bottom w:val="single" w:sz="6" w:space="0" w:color="000000" w:themeColor="text1"/>
            </w:tcBorders>
            <w:shd w:val="clear" w:color="auto" w:fill="auto"/>
            <w:vAlign w:val="center"/>
          </w:tcPr>
          <w:p w14:paraId="0A8D3E8C" w14:textId="3CBD6741" w:rsidR="005E4945" w:rsidRPr="002C21B8" w:rsidRDefault="00764623" w:rsidP="00346011">
            <w:pPr>
              <w:spacing w:before="120" w:after="120" w:line="240" w:lineRule="auto"/>
              <w:jc w:val="left"/>
              <w:rPr>
                <w:b/>
                <w:bCs/>
                <w:sz w:val="16"/>
                <w:szCs w:val="16"/>
              </w:rPr>
            </w:pPr>
            <w:r w:rsidRPr="002C21B8">
              <w:rPr>
                <w:b/>
                <w:bCs/>
                <w:sz w:val="16"/>
                <w:szCs w:val="16"/>
              </w:rPr>
              <w:t>Non-initiation among patients</w:t>
            </w:r>
            <w:r w:rsidR="00F22BBE" w:rsidRPr="002C21B8">
              <w:rPr>
                <w:b/>
                <w:bCs/>
                <w:sz w:val="16"/>
                <w:szCs w:val="16"/>
              </w:rPr>
              <w:t xml:space="preserve"> meeting guideline eligibility criteria</w:t>
            </w:r>
          </w:p>
        </w:tc>
        <w:tc>
          <w:tcPr>
            <w:tcW w:w="6608" w:type="dxa"/>
            <w:gridSpan w:val="3"/>
            <w:tcBorders>
              <w:top w:val="single" w:sz="12" w:space="0" w:color="000000" w:themeColor="text1"/>
              <w:bottom w:val="single" w:sz="6" w:space="0" w:color="000000" w:themeColor="text1"/>
            </w:tcBorders>
            <w:shd w:val="clear" w:color="auto" w:fill="auto"/>
            <w:vAlign w:val="center"/>
          </w:tcPr>
          <w:p w14:paraId="67A53E26" w14:textId="1F1990D9" w:rsidR="005E4945" w:rsidRPr="002C21B8" w:rsidRDefault="00764623" w:rsidP="00346011">
            <w:pPr>
              <w:spacing w:before="120" w:after="120" w:line="240" w:lineRule="auto"/>
              <w:jc w:val="left"/>
              <w:rPr>
                <w:b/>
                <w:bCs/>
                <w:sz w:val="16"/>
                <w:szCs w:val="16"/>
              </w:rPr>
            </w:pPr>
            <w:r w:rsidRPr="002C21B8">
              <w:rPr>
                <w:b/>
                <w:bCs/>
                <w:sz w:val="16"/>
                <w:szCs w:val="16"/>
              </w:rPr>
              <w:t>Initiation among patients not meeting guideline eligibility criteria</w:t>
            </w:r>
          </w:p>
        </w:tc>
      </w:tr>
      <w:tr w:rsidR="005E4945" w:rsidRPr="002C21B8" w14:paraId="608794F2" w14:textId="77777777" w:rsidTr="00A4533A">
        <w:tc>
          <w:tcPr>
            <w:tcW w:w="2201" w:type="dxa"/>
            <w:tcBorders>
              <w:top w:val="single" w:sz="6" w:space="0" w:color="000000" w:themeColor="text1"/>
              <w:bottom w:val="single" w:sz="6" w:space="0" w:color="000000" w:themeColor="text1"/>
            </w:tcBorders>
            <w:shd w:val="clear" w:color="auto" w:fill="auto"/>
            <w:vAlign w:val="center"/>
          </w:tcPr>
          <w:p w14:paraId="56605213" w14:textId="77777777" w:rsidR="005E4945" w:rsidRPr="002C21B8" w:rsidRDefault="005E4945" w:rsidP="00346011">
            <w:pPr>
              <w:spacing w:before="120" w:after="120" w:line="240" w:lineRule="auto"/>
              <w:jc w:val="left"/>
              <w:rPr>
                <w:b/>
                <w:bCs/>
                <w:sz w:val="16"/>
                <w:szCs w:val="16"/>
              </w:rPr>
            </w:pPr>
          </w:p>
        </w:tc>
        <w:tc>
          <w:tcPr>
            <w:tcW w:w="2275" w:type="dxa"/>
            <w:tcBorders>
              <w:top w:val="single" w:sz="6" w:space="0" w:color="000000" w:themeColor="text1"/>
              <w:bottom w:val="single" w:sz="6" w:space="0" w:color="000000" w:themeColor="text1"/>
            </w:tcBorders>
            <w:shd w:val="clear" w:color="auto" w:fill="auto"/>
            <w:vAlign w:val="center"/>
          </w:tcPr>
          <w:p w14:paraId="48397BD8" w14:textId="77777777" w:rsidR="005E4945" w:rsidRPr="002C21B8" w:rsidRDefault="005E4945" w:rsidP="00346011">
            <w:pPr>
              <w:spacing w:before="120" w:after="120" w:line="240" w:lineRule="auto"/>
              <w:jc w:val="left"/>
              <w:rPr>
                <w:b/>
                <w:bCs/>
                <w:sz w:val="16"/>
                <w:szCs w:val="16"/>
              </w:rPr>
            </w:pPr>
            <w:r w:rsidRPr="002C21B8">
              <w:rPr>
                <w:b/>
                <w:bCs/>
                <w:sz w:val="16"/>
                <w:szCs w:val="16"/>
              </w:rPr>
              <w:t>Case 1</w:t>
            </w:r>
          </w:p>
        </w:tc>
        <w:tc>
          <w:tcPr>
            <w:tcW w:w="2275" w:type="dxa"/>
            <w:tcBorders>
              <w:top w:val="single" w:sz="6" w:space="0" w:color="000000" w:themeColor="text1"/>
              <w:bottom w:val="single" w:sz="6" w:space="0" w:color="000000" w:themeColor="text1"/>
            </w:tcBorders>
            <w:shd w:val="clear" w:color="auto" w:fill="auto"/>
            <w:vAlign w:val="center"/>
          </w:tcPr>
          <w:p w14:paraId="6050D83F" w14:textId="77777777" w:rsidR="005E4945" w:rsidRPr="002C21B8" w:rsidRDefault="005E4945" w:rsidP="00346011">
            <w:pPr>
              <w:spacing w:before="120" w:after="120" w:line="240" w:lineRule="auto"/>
              <w:jc w:val="left"/>
              <w:rPr>
                <w:b/>
                <w:bCs/>
                <w:sz w:val="16"/>
                <w:szCs w:val="16"/>
              </w:rPr>
            </w:pPr>
            <w:r w:rsidRPr="002C21B8">
              <w:rPr>
                <w:b/>
                <w:bCs/>
                <w:sz w:val="16"/>
                <w:szCs w:val="16"/>
              </w:rPr>
              <w:t>Case 2</w:t>
            </w:r>
          </w:p>
        </w:tc>
        <w:tc>
          <w:tcPr>
            <w:tcW w:w="2275" w:type="dxa"/>
            <w:tcBorders>
              <w:top w:val="single" w:sz="6" w:space="0" w:color="000000" w:themeColor="text1"/>
              <w:bottom w:val="single" w:sz="6" w:space="0" w:color="000000" w:themeColor="text1"/>
            </w:tcBorders>
            <w:shd w:val="clear" w:color="auto" w:fill="auto"/>
            <w:vAlign w:val="center"/>
          </w:tcPr>
          <w:p w14:paraId="1884CD5E" w14:textId="77777777" w:rsidR="005E4945" w:rsidRPr="002C21B8" w:rsidRDefault="005E4945" w:rsidP="00346011">
            <w:pPr>
              <w:spacing w:before="120" w:after="120" w:line="240" w:lineRule="auto"/>
              <w:jc w:val="left"/>
              <w:rPr>
                <w:b/>
                <w:bCs/>
                <w:sz w:val="16"/>
                <w:szCs w:val="16"/>
              </w:rPr>
            </w:pPr>
            <w:r w:rsidRPr="002C21B8">
              <w:rPr>
                <w:b/>
                <w:bCs/>
                <w:sz w:val="16"/>
                <w:szCs w:val="16"/>
              </w:rPr>
              <w:t>Case 3</w:t>
            </w:r>
          </w:p>
        </w:tc>
        <w:tc>
          <w:tcPr>
            <w:tcW w:w="2201" w:type="dxa"/>
            <w:tcBorders>
              <w:top w:val="single" w:sz="6" w:space="0" w:color="000000" w:themeColor="text1"/>
              <w:bottom w:val="single" w:sz="6" w:space="0" w:color="000000" w:themeColor="text1"/>
            </w:tcBorders>
            <w:shd w:val="clear" w:color="auto" w:fill="auto"/>
            <w:vAlign w:val="center"/>
          </w:tcPr>
          <w:p w14:paraId="39C758E1" w14:textId="77777777" w:rsidR="005E4945" w:rsidRPr="002C21B8" w:rsidRDefault="005E4945" w:rsidP="00346011">
            <w:pPr>
              <w:spacing w:before="120" w:after="120" w:line="240" w:lineRule="auto"/>
              <w:jc w:val="left"/>
              <w:rPr>
                <w:b/>
                <w:bCs/>
                <w:sz w:val="16"/>
                <w:szCs w:val="16"/>
              </w:rPr>
            </w:pPr>
            <w:r w:rsidRPr="002C21B8">
              <w:rPr>
                <w:b/>
                <w:bCs/>
                <w:sz w:val="16"/>
                <w:szCs w:val="16"/>
              </w:rPr>
              <w:t>Case 1</w:t>
            </w:r>
          </w:p>
        </w:tc>
        <w:tc>
          <w:tcPr>
            <w:tcW w:w="2203" w:type="dxa"/>
            <w:tcBorders>
              <w:top w:val="single" w:sz="6" w:space="0" w:color="000000" w:themeColor="text1"/>
              <w:bottom w:val="single" w:sz="6" w:space="0" w:color="000000" w:themeColor="text1"/>
            </w:tcBorders>
            <w:shd w:val="clear" w:color="auto" w:fill="auto"/>
            <w:vAlign w:val="center"/>
          </w:tcPr>
          <w:p w14:paraId="2FA97F63" w14:textId="77777777" w:rsidR="005E4945" w:rsidRPr="002C21B8" w:rsidRDefault="005E4945" w:rsidP="00346011">
            <w:pPr>
              <w:spacing w:before="120" w:after="120" w:line="240" w:lineRule="auto"/>
              <w:jc w:val="left"/>
              <w:rPr>
                <w:b/>
                <w:bCs/>
                <w:sz w:val="16"/>
                <w:szCs w:val="16"/>
              </w:rPr>
            </w:pPr>
            <w:r w:rsidRPr="002C21B8">
              <w:rPr>
                <w:b/>
                <w:bCs/>
                <w:sz w:val="16"/>
                <w:szCs w:val="16"/>
              </w:rPr>
              <w:t>Case 2</w:t>
            </w:r>
          </w:p>
        </w:tc>
        <w:tc>
          <w:tcPr>
            <w:tcW w:w="2204" w:type="dxa"/>
            <w:tcBorders>
              <w:top w:val="single" w:sz="6" w:space="0" w:color="000000" w:themeColor="text1"/>
              <w:bottom w:val="single" w:sz="6" w:space="0" w:color="000000" w:themeColor="text1"/>
            </w:tcBorders>
            <w:shd w:val="clear" w:color="auto" w:fill="auto"/>
            <w:vAlign w:val="center"/>
          </w:tcPr>
          <w:p w14:paraId="1488D607" w14:textId="77777777" w:rsidR="005E4945" w:rsidRPr="002C21B8" w:rsidRDefault="005E4945" w:rsidP="00346011">
            <w:pPr>
              <w:spacing w:before="120" w:after="120" w:line="240" w:lineRule="auto"/>
              <w:jc w:val="left"/>
              <w:rPr>
                <w:b/>
                <w:bCs/>
                <w:sz w:val="16"/>
                <w:szCs w:val="16"/>
              </w:rPr>
            </w:pPr>
            <w:r w:rsidRPr="002C21B8">
              <w:rPr>
                <w:b/>
                <w:bCs/>
                <w:sz w:val="16"/>
                <w:szCs w:val="16"/>
              </w:rPr>
              <w:t>Case 3</w:t>
            </w:r>
          </w:p>
        </w:tc>
      </w:tr>
      <w:tr w:rsidR="005E4945" w:rsidRPr="002C21B8" w14:paraId="7F5CEBB3" w14:textId="77777777" w:rsidTr="00CF0296">
        <w:tc>
          <w:tcPr>
            <w:tcW w:w="2201" w:type="dxa"/>
            <w:tcBorders>
              <w:top w:val="single" w:sz="6" w:space="0" w:color="000000" w:themeColor="text1"/>
            </w:tcBorders>
            <w:shd w:val="clear" w:color="auto" w:fill="auto"/>
            <w:vAlign w:val="center"/>
          </w:tcPr>
          <w:p w14:paraId="4C69EFEA" w14:textId="77777777" w:rsidR="005E4945" w:rsidRPr="002C21B8" w:rsidRDefault="005E4945" w:rsidP="00346011">
            <w:pPr>
              <w:spacing w:before="120" w:after="120" w:line="240" w:lineRule="auto"/>
              <w:jc w:val="left"/>
              <w:rPr>
                <w:b/>
                <w:bCs/>
                <w:sz w:val="16"/>
                <w:szCs w:val="16"/>
              </w:rPr>
            </w:pPr>
            <w:r w:rsidRPr="002C21B8">
              <w:rPr>
                <w:b/>
                <w:bCs/>
                <w:sz w:val="16"/>
                <w:szCs w:val="16"/>
              </w:rPr>
              <w:t>Clinic structure</w:t>
            </w:r>
          </w:p>
        </w:tc>
        <w:tc>
          <w:tcPr>
            <w:tcW w:w="2275" w:type="dxa"/>
            <w:tcBorders>
              <w:top w:val="single" w:sz="6" w:space="0" w:color="000000" w:themeColor="text1"/>
            </w:tcBorders>
            <w:shd w:val="clear" w:color="auto" w:fill="auto"/>
            <w:vAlign w:val="center"/>
          </w:tcPr>
          <w:p w14:paraId="1725C258" w14:textId="7585D55B" w:rsidR="005E4945" w:rsidRPr="002C21B8" w:rsidRDefault="00275938" w:rsidP="00346011">
            <w:pPr>
              <w:spacing w:before="120" w:after="120" w:line="240" w:lineRule="auto"/>
              <w:jc w:val="left"/>
              <w:rPr>
                <w:sz w:val="16"/>
                <w:szCs w:val="16"/>
              </w:rPr>
            </w:pPr>
            <w:r w:rsidRPr="002C21B8">
              <w:rPr>
                <w:sz w:val="16"/>
                <w:szCs w:val="16"/>
              </w:rPr>
              <w:t>Di</w:t>
            </w:r>
            <w:r w:rsidR="005E4945" w:rsidRPr="002C21B8">
              <w:rPr>
                <w:sz w:val="16"/>
                <w:szCs w:val="16"/>
              </w:rPr>
              <w:t>stributed at initial assessment (</w:t>
            </w:r>
            <w:r w:rsidR="005E4945" w:rsidRPr="002C21B8">
              <w:rPr>
                <w:rFonts w:ascii="Arial" w:hAnsi="Arial" w:cs="Arial"/>
                <w:sz w:val="16"/>
                <w:szCs w:val="16"/>
              </w:rPr>
              <w:t>▲</w:t>
            </w:r>
            <w:r w:rsidR="005E4945" w:rsidRPr="002C21B8">
              <w:rPr>
                <w:sz w:val="16"/>
                <w:szCs w:val="16"/>
              </w:rPr>
              <w:t>), multiple decision-makers (</w:t>
            </w:r>
            <w:r w:rsidR="005E4945" w:rsidRPr="002C21B8">
              <w:rPr>
                <w:rFonts w:ascii="Arial" w:hAnsi="Arial" w:cs="Arial"/>
                <w:color w:val="0A0A0A"/>
                <w:sz w:val="16"/>
                <w:szCs w:val="16"/>
              </w:rPr>
              <w:t>▲</w:t>
            </w:r>
            <w:r w:rsidR="005E4945" w:rsidRPr="002C21B8">
              <w:rPr>
                <w:sz w:val="16"/>
                <w:szCs w:val="16"/>
              </w:rPr>
              <w:t xml:space="preserve">), </w:t>
            </w:r>
            <w:r w:rsidR="0060729F" w:rsidRPr="002C21B8">
              <w:rPr>
                <w:sz w:val="16"/>
                <w:szCs w:val="16"/>
              </w:rPr>
              <w:t>introduction of</w:t>
            </w:r>
            <w:r w:rsidR="00A4533A" w:rsidRPr="002C21B8">
              <w:rPr>
                <w:sz w:val="16"/>
                <w:szCs w:val="16"/>
              </w:rPr>
              <w:t xml:space="preserve"> tolvaptan clinic </w:t>
            </w:r>
            <w:r w:rsidR="005E4945" w:rsidRPr="002C21B8">
              <w:rPr>
                <w:sz w:val="16"/>
                <w:szCs w:val="16"/>
              </w:rPr>
              <w:t>over time (</w:t>
            </w:r>
            <w:r w:rsidR="005E4945" w:rsidRPr="002C21B8">
              <w:rPr>
                <w:rFonts w:ascii="Arial" w:hAnsi="Arial" w:cs="Arial"/>
                <w:sz w:val="16"/>
                <w:szCs w:val="16"/>
              </w:rPr>
              <w:t>▼</w:t>
            </w:r>
            <w:r w:rsidR="005E4945" w:rsidRPr="002C21B8">
              <w:rPr>
                <w:sz w:val="16"/>
                <w:szCs w:val="16"/>
              </w:rPr>
              <w:t>), single lead consultant (</w:t>
            </w:r>
            <w:r w:rsidR="005E4945" w:rsidRPr="002C21B8">
              <w:rPr>
                <w:rFonts w:ascii="Arial" w:hAnsi="Arial" w:cs="Arial"/>
                <w:sz w:val="16"/>
                <w:szCs w:val="16"/>
              </w:rPr>
              <w:t>▼),</w:t>
            </w:r>
            <w:r w:rsidR="005E4945" w:rsidRPr="002C21B8">
              <w:rPr>
                <w:sz w:val="16"/>
                <w:szCs w:val="16"/>
              </w:rPr>
              <w:t xml:space="preserve"> audit (</w:t>
            </w:r>
            <w:r w:rsidR="005E4945" w:rsidRPr="002C21B8">
              <w:rPr>
                <w:rFonts w:ascii="Arial" w:hAnsi="Arial" w:cs="Arial"/>
                <w:sz w:val="16"/>
                <w:szCs w:val="16"/>
              </w:rPr>
              <w:t>▼)</w:t>
            </w:r>
          </w:p>
        </w:tc>
        <w:tc>
          <w:tcPr>
            <w:tcW w:w="2275" w:type="dxa"/>
            <w:tcBorders>
              <w:top w:val="single" w:sz="6" w:space="0" w:color="000000" w:themeColor="text1"/>
            </w:tcBorders>
            <w:shd w:val="clear" w:color="auto" w:fill="auto"/>
            <w:vAlign w:val="center"/>
          </w:tcPr>
          <w:p w14:paraId="1E9D77BF" w14:textId="18C8E1C8" w:rsidR="005E4945" w:rsidRPr="002C21B8" w:rsidRDefault="00275938" w:rsidP="00346011">
            <w:pPr>
              <w:spacing w:before="120" w:after="120" w:line="240" w:lineRule="auto"/>
              <w:jc w:val="left"/>
              <w:rPr>
                <w:sz w:val="16"/>
                <w:szCs w:val="16"/>
              </w:rPr>
            </w:pPr>
            <w:r w:rsidRPr="002C21B8">
              <w:rPr>
                <w:sz w:val="16"/>
                <w:szCs w:val="16"/>
              </w:rPr>
              <w:t>G</w:t>
            </w:r>
            <w:r w:rsidR="005E4945" w:rsidRPr="002C21B8">
              <w:rPr>
                <w:sz w:val="16"/>
                <w:szCs w:val="16"/>
              </w:rPr>
              <w:t>ood oversight of ADPKD patients (</w:t>
            </w:r>
            <w:r w:rsidR="005E4945" w:rsidRPr="002C21B8">
              <w:rPr>
                <w:rFonts w:ascii="Arial" w:hAnsi="Arial" w:cs="Arial"/>
                <w:color w:val="0A0A0A"/>
                <w:sz w:val="16"/>
                <w:szCs w:val="16"/>
              </w:rPr>
              <w:t>▼</w:t>
            </w:r>
            <w:r w:rsidR="005E4945" w:rsidRPr="002C21B8">
              <w:rPr>
                <w:sz w:val="16"/>
                <w:szCs w:val="16"/>
              </w:rPr>
              <w:t>), limited number of assessors (</w:t>
            </w:r>
            <w:r w:rsidR="005E4945" w:rsidRPr="002C21B8">
              <w:rPr>
                <w:rFonts w:ascii="Arial" w:hAnsi="Arial" w:cs="Arial"/>
                <w:sz w:val="16"/>
                <w:szCs w:val="16"/>
              </w:rPr>
              <w:t>▼</w:t>
            </w:r>
            <w:r w:rsidR="005E4945" w:rsidRPr="002C21B8">
              <w:rPr>
                <w:sz w:val="16"/>
                <w:szCs w:val="16"/>
              </w:rPr>
              <w:t>)</w:t>
            </w:r>
          </w:p>
        </w:tc>
        <w:tc>
          <w:tcPr>
            <w:tcW w:w="2275" w:type="dxa"/>
            <w:tcBorders>
              <w:top w:val="single" w:sz="6" w:space="0" w:color="000000" w:themeColor="text1"/>
            </w:tcBorders>
            <w:shd w:val="clear" w:color="auto" w:fill="auto"/>
            <w:vAlign w:val="center"/>
          </w:tcPr>
          <w:p w14:paraId="1A07A2B2" w14:textId="7CB5EF74" w:rsidR="005E4945" w:rsidRPr="002C21B8" w:rsidRDefault="00275938" w:rsidP="00346011">
            <w:pPr>
              <w:spacing w:before="120" w:after="120" w:line="240" w:lineRule="auto"/>
              <w:jc w:val="left"/>
              <w:rPr>
                <w:sz w:val="16"/>
                <w:szCs w:val="16"/>
              </w:rPr>
            </w:pPr>
            <w:r w:rsidRPr="002C21B8">
              <w:rPr>
                <w:sz w:val="16"/>
                <w:szCs w:val="16"/>
              </w:rPr>
              <w:t>S</w:t>
            </w:r>
            <w:r w:rsidR="005E4945" w:rsidRPr="002C21B8">
              <w:rPr>
                <w:sz w:val="16"/>
                <w:szCs w:val="16"/>
              </w:rPr>
              <w:t>ome patients remain in general clinics (</w:t>
            </w:r>
            <w:r w:rsidR="005E4945" w:rsidRPr="002C21B8">
              <w:rPr>
                <w:rFonts w:ascii="Arial" w:hAnsi="Arial" w:cs="Arial"/>
                <w:sz w:val="16"/>
                <w:szCs w:val="16"/>
              </w:rPr>
              <w:t>▲</w:t>
            </w:r>
            <w:r w:rsidR="005E4945" w:rsidRPr="002C21B8">
              <w:rPr>
                <w:sz w:val="16"/>
                <w:szCs w:val="16"/>
              </w:rPr>
              <w:t>), tolvaptan clinic at capacity (</w:t>
            </w:r>
            <w:r w:rsidR="005E4945" w:rsidRPr="002C21B8">
              <w:rPr>
                <w:rFonts w:ascii="Arial" w:hAnsi="Arial" w:cs="Arial"/>
                <w:sz w:val="16"/>
                <w:szCs w:val="16"/>
              </w:rPr>
              <w:t>▲</w:t>
            </w:r>
            <w:r w:rsidR="005E4945" w:rsidRPr="002C21B8">
              <w:rPr>
                <w:sz w:val="16"/>
                <w:szCs w:val="16"/>
              </w:rPr>
              <w:t>)</w:t>
            </w:r>
          </w:p>
        </w:tc>
        <w:tc>
          <w:tcPr>
            <w:tcW w:w="2201" w:type="dxa"/>
            <w:tcBorders>
              <w:top w:val="single" w:sz="6" w:space="0" w:color="000000" w:themeColor="text1"/>
            </w:tcBorders>
            <w:shd w:val="clear" w:color="auto" w:fill="auto"/>
            <w:vAlign w:val="center"/>
          </w:tcPr>
          <w:p w14:paraId="31F94501" w14:textId="775F45F9" w:rsidR="005E4945" w:rsidRPr="002C21B8" w:rsidRDefault="00275938" w:rsidP="00346011">
            <w:pPr>
              <w:spacing w:before="120" w:after="120" w:line="240" w:lineRule="auto"/>
              <w:jc w:val="left"/>
              <w:rPr>
                <w:sz w:val="16"/>
                <w:szCs w:val="16"/>
              </w:rPr>
            </w:pPr>
            <w:r w:rsidRPr="002C21B8">
              <w:rPr>
                <w:sz w:val="16"/>
                <w:szCs w:val="16"/>
              </w:rPr>
              <w:t>P</w:t>
            </w:r>
            <w:r w:rsidR="005E4945" w:rsidRPr="002C21B8">
              <w:rPr>
                <w:sz w:val="16"/>
                <w:szCs w:val="16"/>
              </w:rPr>
              <w:t>harmacist-involvement (</w:t>
            </w:r>
            <w:r w:rsidR="005E4945" w:rsidRPr="002C21B8">
              <w:rPr>
                <w:rFonts w:ascii="Arial" w:hAnsi="Arial" w:cs="Arial"/>
                <w:sz w:val="16"/>
                <w:szCs w:val="16"/>
              </w:rPr>
              <w:t>▼</w:t>
            </w:r>
            <w:r w:rsidR="005E4945" w:rsidRPr="002C21B8">
              <w:rPr>
                <w:sz w:val="16"/>
                <w:szCs w:val="16"/>
              </w:rPr>
              <w:t>)</w:t>
            </w:r>
          </w:p>
        </w:tc>
        <w:tc>
          <w:tcPr>
            <w:tcW w:w="2203" w:type="dxa"/>
            <w:tcBorders>
              <w:top w:val="single" w:sz="6" w:space="0" w:color="000000" w:themeColor="text1"/>
            </w:tcBorders>
            <w:shd w:val="clear" w:color="auto" w:fill="auto"/>
            <w:vAlign w:val="center"/>
          </w:tcPr>
          <w:p w14:paraId="42D915FF" w14:textId="73CED564" w:rsidR="005E4945" w:rsidRPr="002C21B8" w:rsidRDefault="00275938" w:rsidP="00346011">
            <w:pPr>
              <w:spacing w:before="120" w:after="120" w:line="240" w:lineRule="auto"/>
              <w:jc w:val="left"/>
              <w:rPr>
                <w:sz w:val="16"/>
                <w:szCs w:val="16"/>
              </w:rPr>
            </w:pPr>
            <w:r w:rsidRPr="002C21B8">
              <w:rPr>
                <w:sz w:val="16"/>
                <w:szCs w:val="16"/>
              </w:rPr>
              <w:t>P</w:t>
            </w:r>
            <w:r w:rsidR="005E4945" w:rsidRPr="002C21B8">
              <w:rPr>
                <w:sz w:val="16"/>
                <w:szCs w:val="16"/>
              </w:rPr>
              <w:t>harmacist-involvement (</w:t>
            </w:r>
            <w:r w:rsidR="005E4945" w:rsidRPr="002C21B8">
              <w:rPr>
                <w:rFonts w:ascii="Arial" w:hAnsi="Arial" w:cs="Arial"/>
                <w:color w:val="0A0A0A"/>
                <w:sz w:val="16"/>
                <w:szCs w:val="16"/>
              </w:rPr>
              <w:t>▼</w:t>
            </w:r>
            <w:r w:rsidR="005E4945" w:rsidRPr="002C21B8">
              <w:rPr>
                <w:sz w:val="16"/>
                <w:szCs w:val="16"/>
              </w:rPr>
              <w:t>)</w:t>
            </w:r>
          </w:p>
        </w:tc>
        <w:tc>
          <w:tcPr>
            <w:tcW w:w="2204" w:type="dxa"/>
            <w:tcBorders>
              <w:top w:val="single" w:sz="6" w:space="0" w:color="000000" w:themeColor="text1"/>
            </w:tcBorders>
            <w:shd w:val="clear" w:color="auto" w:fill="auto"/>
            <w:vAlign w:val="center"/>
          </w:tcPr>
          <w:p w14:paraId="1D2DC14A" w14:textId="6D6A42F8" w:rsidR="005E4945" w:rsidRPr="002C21B8" w:rsidRDefault="00275938" w:rsidP="00346011">
            <w:pPr>
              <w:spacing w:before="120" w:after="120" w:line="240" w:lineRule="auto"/>
              <w:jc w:val="left"/>
              <w:rPr>
                <w:sz w:val="16"/>
                <w:szCs w:val="16"/>
              </w:rPr>
            </w:pPr>
            <w:r w:rsidRPr="002C21B8">
              <w:rPr>
                <w:sz w:val="16"/>
                <w:szCs w:val="16"/>
              </w:rPr>
              <w:t>No</w:t>
            </w:r>
            <w:r w:rsidR="005E4945" w:rsidRPr="002C21B8">
              <w:rPr>
                <w:sz w:val="16"/>
                <w:szCs w:val="16"/>
              </w:rPr>
              <w:t xml:space="preserve"> pharmacist involvement (</w:t>
            </w:r>
            <w:r w:rsidR="005E4945" w:rsidRPr="002C21B8">
              <w:rPr>
                <w:rFonts w:ascii="Arial" w:hAnsi="Arial" w:cs="Arial"/>
                <w:color w:val="0A0A0A"/>
                <w:sz w:val="16"/>
                <w:szCs w:val="16"/>
              </w:rPr>
              <w:t>▲</w:t>
            </w:r>
            <w:r w:rsidR="005E4945" w:rsidRPr="002C21B8">
              <w:rPr>
                <w:sz w:val="16"/>
                <w:szCs w:val="16"/>
              </w:rPr>
              <w:t>)</w:t>
            </w:r>
          </w:p>
        </w:tc>
      </w:tr>
      <w:tr w:rsidR="005E4945" w:rsidRPr="002C21B8" w14:paraId="02B5F590" w14:textId="77777777" w:rsidTr="00CF0296">
        <w:tc>
          <w:tcPr>
            <w:tcW w:w="2201" w:type="dxa"/>
            <w:shd w:val="clear" w:color="auto" w:fill="auto"/>
            <w:vAlign w:val="center"/>
          </w:tcPr>
          <w:p w14:paraId="2ACB3E98" w14:textId="77777777" w:rsidR="005E4945" w:rsidRPr="002C21B8" w:rsidRDefault="005E4945" w:rsidP="00346011">
            <w:pPr>
              <w:spacing w:before="120" w:after="120" w:line="240" w:lineRule="auto"/>
              <w:jc w:val="left"/>
              <w:rPr>
                <w:b/>
                <w:bCs/>
                <w:sz w:val="16"/>
                <w:szCs w:val="16"/>
              </w:rPr>
            </w:pPr>
            <w:r w:rsidRPr="002C21B8">
              <w:rPr>
                <w:b/>
                <w:bCs/>
                <w:sz w:val="16"/>
                <w:szCs w:val="16"/>
              </w:rPr>
              <w:t>Eligibility criteria</w:t>
            </w:r>
          </w:p>
        </w:tc>
        <w:tc>
          <w:tcPr>
            <w:tcW w:w="2275" w:type="dxa"/>
            <w:shd w:val="clear" w:color="auto" w:fill="auto"/>
            <w:vAlign w:val="center"/>
          </w:tcPr>
          <w:p w14:paraId="522D1DC4" w14:textId="63C4B8B1" w:rsidR="005E4945" w:rsidRPr="002C21B8" w:rsidRDefault="00275938" w:rsidP="00346011">
            <w:pPr>
              <w:spacing w:before="120" w:after="120" w:line="240" w:lineRule="auto"/>
              <w:jc w:val="left"/>
              <w:rPr>
                <w:sz w:val="16"/>
                <w:szCs w:val="16"/>
              </w:rPr>
            </w:pPr>
            <w:r w:rsidRPr="002C21B8">
              <w:rPr>
                <w:sz w:val="16"/>
                <w:szCs w:val="16"/>
              </w:rPr>
              <w:t>L</w:t>
            </w:r>
            <w:r w:rsidR="005E4945" w:rsidRPr="002C21B8">
              <w:rPr>
                <w:sz w:val="16"/>
                <w:szCs w:val="16"/>
              </w:rPr>
              <w:t>imited use of other criteria (</w:t>
            </w:r>
            <w:r w:rsidR="005E4945" w:rsidRPr="002C21B8">
              <w:rPr>
                <w:rFonts w:ascii="Arial" w:hAnsi="Arial" w:cs="Arial"/>
                <w:sz w:val="16"/>
                <w:szCs w:val="16"/>
              </w:rPr>
              <w:t>▲</w:t>
            </w:r>
            <w:r w:rsidR="005E4945" w:rsidRPr="002C21B8">
              <w:rPr>
                <w:sz w:val="16"/>
                <w:szCs w:val="16"/>
              </w:rPr>
              <w:t>)</w:t>
            </w:r>
          </w:p>
        </w:tc>
        <w:tc>
          <w:tcPr>
            <w:tcW w:w="2275" w:type="dxa"/>
            <w:shd w:val="clear" w:color="auto" w:fill="auto"/>
            <w:vAlign w:val="center"/>
          </w:tcPr>
          <w:p w14:paraId="27DBCC29" w14:textId="7472D50E" w:rsidR="005E4945" w:rsidRPr="002C21B8" w:rsidRDefault="00CF0296" w:rsidP="00346011">
            <w:pPr>
              <w:spacing w:before="120" w:after="120" w:line="240" w:lineRule="auto"/>
              <w:jc w:val="left"/>
              <w:rPr>
                <w:sz w:val="16"/>
                <w:szCs w:val="16"/>
              </w:rPr>
            </w:pPr>
            <w:r w:rsidRPr="002C21B8">
              <w:rPr>
                <w:sz w:val="16"/>
                <w:szCs w:val="16"/>
              </w:rPr>
              <w:t>N/A</w:t>
            </w:r>
          </w:p>
        </w:tc>
        <w:tc>
          <w:tcPr>
            <w:tcW w:w="2275" w:type="dxa"/>
            <w:shd w:val="clear" w:color="auto" w:fill="auto"/>
            <w:vAlign w:val="center"/>
          </w:tcPr>
          <w:p w14:paraId="36340036" w14:textId="0531E030" w:rsidR="005E4945" w:rsidRPr="002C21B8" w:rsidRDefault="00275938" w:rsidP="00346011">
            <w:pPr>
              <w:spacing w:before="120" w:after="120" w:line="240" w:lineRule="auto"/>
              <w:jc w:val="left"/>
              <w:rPr>
                <w:sz w:val="16"/>
                <w:szCs w:val="16"/>
              </w:rPr>
            </w:pPr>
            <w:r w:rsidRPr="002C21B8">
              <w:rPr>
                <w:sz w:val="16"/>
                <w:szCs w:val="16"/>
              </w:rPr>
              <w:t>N</w:t>
            </w:r>
            <w:r w:rsidR="005E4945" w:rsidRPr="002C21B8">
              <w:rPr>
                <w:sz w:val="16"/>
                <w:szCs w:val="16"/>
              </w:rPr>
              <w:t>ot all eligibility criteria used for all patients (</w:t>
            </w:r>
            <w:r w:rsidR="005E4945" w:rsidRPr="002C21B8">
              <w:rPr>
                <w:rFonts w:ascii="Arial" w:hAnsi="Arial" w:cs="Arial"/>
                <w:color w:val="0A0A0A"/>
                <w:sz w:val="16"/>
                <w:szCs w:val="16"/>
              </w:rPr>
              <w:t>▲</w:t>
            </w:r>
            <w:r w:rsidR="005E4945" w:rsidRPr="002C21B8">
              <w:rPr>
                <w:sz w:val="16"/>
                <w:szCs w:val="16"/>
              </w:rPr>
              <w:t>)</w:t>
            </w:r>
          </w:p>
        </w:tc>
        <w:tc>
          <w:tcPr>
            <w:tcW w:w="2201" w:type="dxa"/>
            <w:shd w:val="clear" w:color="auto" w:fill="auto"/>
            <w:vAlign w:val="center"/>
          </w:tcPr>
          <w:p w14:paraId="03F8DDC1" w14:textId="7BB8886B" w:rsidR="005E4945" w:rsidRPr="002C21B8" w:rsidRDefault="00275938" w:rsidP="00346011">
            <w:pPr>
              <w:spacing w:before="120" w:after="120" w:line="240" w:lineRule="auto"/>
              <w:jc w:val="left"/>
              <w:rPr>
                <w:sz w:val="16"/>
                <w:szCs w:val="16"/>
              </w:rPr>
            </w:pPr>
            <w:r w:rsidRPr="002C21B8">
              <w:rPr>
                <w:sz w:val="16"/>
                <w:szCs w:val="16"/>
              </w:rPr>
              <w:t>S</w:t>
            </w:r>
            <w:r w:rsidR="005E4945" w:rsidRPr="002C21B8">
              <w:rPr>
                <w:sz w:val="16"/>
                <w:szCs w:val="16"/>
              </w:rPr>
              <w:t>trict guideline adherence (</w:t>
            </w:r>
            <w:r w:rsidR="005E4945" w:rsidRPr="002C21B8">
              <w:rPr>
                <w:rFonts w:ascii="Arial" w:hAnsi="Arial" w:cs="Arial"/>
                <w:sz w:val="16"/>
                <w:szCs w:val="16"/>
              </w:rPr>
              <w:t>▼</w:t>
            </w:r>
            <w:r w:rsidR="005E4945" w:rsidRPr="002C21B8">
              <w:rPr>
                <w:sz w:val="16"/>
                <w:szCs w:val="16"/>
              </w:rPr>
              <w:t>)</w:t>
            </w:r>
          </w:p>
        </w:tc>
        <w:tc>
          <w:tcPr>
            <w:tcW w:w="2203" w:type="dxa"/>
            <w:shd w:val="clear" w:color="auto" w:fill="auto"/>
            <w:vAlign w:val="center"/>
          </w:tcPr>
          <w:p w14:paraId="7D5FE92F" w14:textId="27D87677" w:rsidR="005E4945" w:rsidRPr="002C21B8" w:rsidRDefault="00275938" w:rsidP="00346011">
            <w:pPr>
              <w:spacing w:before="120" w:after="120" w:line="240" w:lineRule="auto"/>
              <w:jc w:val="left"/>
              <w:rPr>
                <w:sz w:val="16"/>
                <w:szCs w:val="16"/>
              </w:rPr>
            </w:pPr>
            <w:r w:rsidRPr="002C21B8">
              <w:rPr>
                <w:sz w:val="16"/>
                <w:szCs w:val="16"/>
              </w:rPr>
              <w:t>P</w:t>
            </w:r>
            <w:r w:rsidR="005E4945" w:rsidRPr="002C21B8">
              <w:rPr>
                <w:sz w:val="16"/>
                <w:szCs w:val="16"/>
              </w:rPr>
              <w:t>atients being assessed by multiple methods (</w:t>
            </w:r>
            <w:r w:rsidR="005E4945" w:rsidRPr="002C21B8">
              <w:rPr>
                <w:rFonts w:ascii="Arial" w:hAnsi="Arial" w:cs="Arial"/>
                <w:color w:val="0A0A0A"/>
                <w:sz w:val="16"/>
                <w:szCs w:val="16"/>
              </w:rPr>
              <w:t>▲</w:t>
            </w:r>
            <w:r w:rsidR="005E4945" w:rsidRPr="002C21B8">
              <w:rPr>
                <w:sz w:val="16"/>
                <w:szCs w:val="16"/>
              </w:rPr>
              <w:t>)</w:t>
            </w:r>
          </w:p>
        </w:tc>
        <w:tc>
          <w:tcPr>
            <w:tcW w:w="2204" w:type="dxa"/>
            <w:shd w:val="clear" w:color="auto" w:fill="auto"/>
            <w:vAlign w:val="center"/>
          </w:tcPr>
          <w:p w14:paraId="6381B97E" w14:textId="0808A589" w:rsidR="005E4945" w:rsidRPr="002C21B8" w:rsidRDefault="00275938" w:rsidP="00346011">
            <w:pPr>
              <w:spacing w:before="120" w:after="120" w:line="240" w:lineRule="auto"/>
              <w:jc w:val="left"/>
              <w:rPr>
                <w:sz w:val="16"/>
                <w:szCs w:val="16"/>
              </w:rPr>
            </w:pPr>
            <w:r w:rsidRPr="002C21B8">
              <w:rPr>
                <w:sz w:val="16"/>
                <w:szCs w:val="16"/>
              </w:rPr>
              <w:t>P</w:t>
            </w:r>
            <w:r w:rsidR="005E4945" w:rsidRPr="002C21B8">
              <w:rPr>
                <w:sz w:val="16"/>
                <w:szCs w:val="16"/>
              </w:rPr>
              <w:t>rescribing outside guidelines (</w:t>
            </w:r>
            <w:r w:rsidR="005E4945" w:rsidRPr="002C21B8">
              <w:rPr>
                <w:rFonts w:ascii="Arial" w:hAnsi="Arial" w:cs="Arial"/>
                <w:sz w:val="16"/>
                <w:szCs w:val="16"/>
              </w:rPr>
              <w:t>▲</w:t>
            </w:r>
            <w:r w:rsidR="005E4945" w:rsidRPr="002C21B8">
              <w:rPr>
                <w:sz w:val="16"/>
                <w:szCs w:val="16"/>
              </w:rPr>
              <w:t>), patients being assessed by multiple methods</w:t>
            </w:r>
            <w:r w:rsidR="009E7942" w:rsidRPr="002C21B8">
              <w:rPr>
                <w:sz w:val="16"/>
                <w:szCs w:val="16"/>
              </w:rPr>
              <w:t xml:space="preserve"> </w:t>
            </w:r>
            <w:r w:rsidR="005E4945" w:rsidRPr="002C21B8">
              <w:rPr>
                <w:sz w:val="16"/>
                <w:szCs w:val="16"/>
              </w:rPr>
              <w:t>(</w:t>
            </w:r>
            <w:r w:rsidR="005E4945" w:rsidRPr="002C21B8">
              <w:rPr>
                <w:rFonts w:ascii="Arial" w:hAnsi="Arial" w:cs="Arial"/>
                <w:color w:val="0A0A0A"/>
                <w:sz w:val="16"/>
                <w:szCs w:val="16"/>
              </w:rPr>
              <w:t>▲</w:t>
            </w:r>
            <w:r w:rsidR="005E4945" w:rsidRPr="002C21B8">
              <w:rPr>
                <w:sz w:val="16"/>
                <w:szCs w:val="16"/>
              </w:rPr>
              <w:t>)</w:t>
            </w:r>
          </w:p>
        </w:tc>
      </w:tr>
      <w:tr w:rsidR="005E4945" w:rsidRPr="002C21B8" w14:paraId="69A60A18" w14:textId="77777777" w:rsidTr="00CF0296">
        <w:tc>
          <w:tcPr>
            <w:tcW w:w="2201" w:type="dxa"/>
            <w:shd w:val="clear" w:color="auto" w:fill="auto"/>
            <w:vAlign w:val="center"/>
          </w:tcPr>
          <w:p w14:paraId="199A402D" w14:textId="77777777" w:rsidR="005E4945" w:rsidRPr="002C21B8" w:rsidRDefault="005E4945" w:rsidP="00346011">
            <w:pPr>
              <w:spacing w:before="120" w:after="120" w:line="240" w:lineRule="auto"/>
              <w:jc w:val="left"/>
              <w:rPr>
                <w:b/>
                <w:bCs/>
                <w:sz w:val="16"/>
                <w:szCs w:val="16"/>
              </w:rPr>
            </w:pPr>
            <w:r w:rsidRPr="002C21B8">
              <w:rPr>
                <w:b/>
                <w:bCs/>
                <w:sz w:val="16"/>
                <w:szCs w:val="16"/>
              </w:rPr>
              <w:t>Local prescribing practices</w:t>
            </w:r>
          </w:p>
        </w:tc>
        <w:tc>
          <w:tcPr>
            <w:tcW w:w="2275" w:type="dxa"/>
            <w:shd w:val="clear" w:color="auto" w:fill="auto"/>
            <w:vAlign w:val="center"/>
          </w:tcPr>
          <w:p w14:paraId="4D9CADEE" w14:textId="2F19B322" w:rsidR="005E4945" w:rsidRPr="002C21B8" w:rsidRDefault="00275938" w:rsidP="00346011">
            <w:pPr>
              <w:spacing w:before="120" w:after="120" w:line="240" w:lineRule="auto"/>
              <w:jc w:val="left"/>
              <w:rPr>
                <w:sz w:val="16"/>
                <w:szCs w:val="16"/>
              </w:rPr>
            </w:pPr>
            <w:r w:rsidRPr="002C21B8">
              <w:rPr>
                <w:sz w:val="16"/>
                <w:szCs w:val="16"/>
              </w:rPr>
              <w:t>I</w:t>
            </w:r>
            <w:r w:rsidR="005E4945" w:rsidRPr="002C21B8">
              <w:rPr>
                <w:sz w:val="16"/>
                <w:szCs w:val="16"/>
              </w:rPr>
              <w:t>nitial caution (</w:t>
            </w:r>
            <w:r w:rsidR="005E4945" w:rsidRPr="002C21B8">
              <w:rPr>
                <w:rFonts w:ascii="Arial" w:hAnsi="Arial" w:cs="Arial"/>
                <w:sz w:val="16"/>
                <w:szCs w:val="16"/>
              </w:rPr>
              <w:t>▲</w:t>
            </w:r>
            <w:r w:rsidR="005E4945" w:rsidRPr="002C21B8">
              <w:rPr>
                <w:sz w:val="16"/>
                <w:szCs w:val="16"/>
              </w:rPr>
              <w:t>), initial scepticism (</w:t>
            </w:r>
            <w:r w:rsidR="005E4945" w:rsidRPr="002C21B8">
              <w:rPr>
                <w:rFonts w:ascii="Arial" w:hAnsi="Arial" w:cs="Arial"/>
                <w:sz w:val="16"/>
                <w:szCs w:val="16"/>
              </w:rPr>
              <w:t>▲</w:t>
            </w:r>
            <w:r w:rsidR="005E4945" w:rsidRPr="002C21B8">
              <w:rPr>
                <w:sz w:val="16"/>
                <w:szCs w:val="16"/>
              </w:rPr>
              <w:t>), reactive (</w:t>
            </w:r>
            <w:r w:rsidR="005E4945" w:rsidRPr="002C21B8">
              <w:rPr>
                <w:rFonts w:ascii="Arial" w:hAnsi="Arial" w:cs="Arial"/>
                <w:sz w:val="16"/>
                <w:szCs w:val="16"/>
              </w:rPr>
              <w:t>▲</w:t>
            </w:r>
            <w:r w:rsidR="005E4945" w:rsidRPr="002C21B8">
              <w:rPr>
                <w:sz w:val="16"/>
                <w:szCs w:val="16"/>
              </w:rPr>
              <w:t>), less structured revisiting (</w:t>
            </w:r>
            <w:r w:rsidR="005E4945" w:rsidRPr="002C21B8">
              <w:rPr>
                <w:rFonts w:ascii="Arial" w:hAnsi="Arial" w:cs="Arial"/>
                <w:sz w:val="16"/>
                <w:szCs w:val="16"/>
              </w:rPr>
              <w:t>▲</w:t>
            </w:r>
            <w:r w:rsidR="005E4945" w:rsidRPr="002C21B8">
              <w:rPr>
                <w:sz w:val="16"/>
                <w:szCs w:val="16"/>
              </w:rPr>
              <w:t>), GIRFT pressure (</w:t>
            </w:r>
            <w:r w:rsidR="005E4945" w:rsidRPr="002C21B8">
              <w:rPr>
                <w:rFonts w:ascii="Arial" w:hAnsi="Arial" w:cs="Arial"/>
                <w:sz w:val="16"/>
                <w:szCs w:val="16"/>
              </w:rPr>
              <w:t>▼</w:t>
            </w:r>
            <w:r w:rsidR="005E4945" w:rsidRPr="002C21B8">
              <w:rPr>
                <w:sz w:val="16"/>
                <w:szCs w:val="16"/>
              </w:rPr>
              <w:t>), later more proactive (</w:t>
            </w:r>
            <w:r w:rsidR="005E4945" w:rsidRPr="002C21B8">
              <w:rPr>
                <w:rFonts w:ascii="Arial" w:hAnsi="Arial" w:cs="Arial"/>
                <w:sz w:val="16"/>
                <w:szCs w:val="16"/>
              </w:rPr>
              <w:t>▲</w:t>
            </w:r>
            <w:r w:rsidR="005E4945" w:rsidRPr="002C21B8">
              <w:rPr>
                <w:sz w:val="16"/>
                <w:szCs w:val="16"/>
              </w:rPr>
              <w:t>)</w:t>
            </w:r>
          </w:p>
        </w:tc>
        <w:tc>
          <w:tcPr>
            <w:tcW w:w="2275" w:type="dxa"/>
            <w:shd w:val="clear" w:color="auto" w:fill="auto"/>
            <w:vAlign w:val="center"/>
          </w:tcPr>
          <w:p w14:paraId="0EC95B0E" w14:textId="73BEDA33" w:rsidR="005E4945" w:rsidRPr="002C21B8" w:rsidRDefault="00275938" w:rsidP="00346011">
            <w:pPr>
              <w:spacing w:before="120" w:after="120" w:line="240" w:lineRule="auto"/>
              <w:jc w:val="left"/>
              <w:rPr>
                <w:sz w:val="16"/>
                <w:szCs w:val="16"/>
              </w:rPr>
            </w:pPr>
            <w:r w:rsidRPr="002C21B8">
              <w:rPr>
                <w:sz w:val="16"/>
                <w:szCs w:val="16"/>
              </w:rPr>
              <w:t>E</w:t>
            </w:r>
            <w:r w:rsidR="005E4945" w:rsidRPr="002C21B8">
              <w:rPr>
                <w:sz w:val="16"/>
                <w:szCs w:val="16"/>
              </w:rPr>
              <w:t>ncouraging/persuasive culture (</w:t>
            </w:r>
            <w:r w:rsidR="005E4945" w:rsidRPr="002C21B8">
              <w:rPr>
                <w:rFonts w:ascii="Arial" w:hAnsi="Arial" w:cs="Arial"/>
                <w:sz w:val="16"/>
                <w:szCs w:val="16"/>
              </w:rPr>
              <w:t>▼</w:t>
            </w:r>
            <w:r w:rsidR="005E4945" w:rsidRPr="002C21B8">
              <w:rPr>
                <w:sz w:val="16"/>
                <w:szCs w:val="16"/>
              </w:rPr>
              <w:t>), revisiting after decline or failure (</w:t>
            </w:r>
            <w:r w:rsidR="005E4945" w:rsidRPr="002C21B8">
              <w:rPr>
                <w:rFonts w:ascii="Arial" w:hAnsi="Arial" w:cs="Arial"/>
                <w:sz w:val="16"/>
                <w:szCs w:val="16"/>
              </w:rPr>
              <w:t>▼</w:t>
            </w:r>
            <w:r w:rsidR="005E4945" w:rsidRPr="002C21B8">
              <w:rPr>
                <w:sz w:val="16"/>
                <w:szCs w:val="16"/>
              </w:rPr>
              <w:t>)</w:t>
            </w:r>
          </w:p>
        </w:tc>
        <w:tc>
          <w:tcPr>
            <w:tcW w:w="2275" w:type="dxa"/>
            <w:shd w:val="clear" w:color="auto" w:fill="auto"/>
            <w:vAlign w:val="center"/>
          </w:tcPr>
          <w:p w14:paraId="5DB6E886" w14:textId="0310EEB3" w:rsidR="005E4945" w:rsidRPr="002C21B8" w:rsidRDefault="00275938" w:rsidP="00346011">
            <w:pPr>
              <w:spacing w:before="120" w:after="120" w:line="240" w:lineRule="auto"/>
              <w:jc w:val="left"/>
              <w:rPr>
                <w:sz w:val="16"/>
                <w:szCs w:val="16"/>
              </w:rPr>
            </w:pPr>
            <w:r w:rsidRPr="002C21B8">
              <w:rPr>
                <w:sz w:val="16"/>
                <w:szCs w:val="16"/>
              </w:rPr>
              <w:t>Mi</w:t>
            </w:r>
            <w:r w:rsidR="005E4945" w:rsidRPr="002C21B8">
              <w:rPr>
                <w:sz w:val="16"/>
                <w:szCs w:val="16"/>
              </w:rPr>
              <w:t>ddle ground prescribing culture (</w:t>
            </w:r>
            <w:r w:rsidR="005E4945" w:rsidRPr="002C21B8">
              <w:rPr>
                <w:rFonts w:ascii="Arial" w:hAnsi="Arial" w:cs="Arial"/>
                <w:sz w:val="16"/>
                <w:szCs w:val="16"/>
              </w:rPr>
              <w:t>▲▼</w:t>
            </w:r>
            <w:r w:rsidR="005E4945" w:rsidRPr="002C21B8">
              <w:rPr>
                <w:sz w:val="16"/>
                <w:szCs w:val="16"/>
              </w:rPr>
              <w:t>)</w:t>
            </w:r>
          </w:p>
        </w:tc>
        <w:tc>
          <w:tcPr>
            <w:tcW w:w="2201" w:type="dxa"/>
            <w:shd w:val="clear" w:color="auto" w:fill="auto"/>
            <w:vAlign w:val="center"/>
          </w:tcPr>
          <w:p w14:paraId="4D033E9C" w14:textId="1C0BD9C6" w:rsidR="005E4945" w:rsidRPr="002C21B8" w:rsidRDefault="00275938" w:rsidP="00346011">
            <w:pPr>
              <w:spacing w:before="120" w:after="120" w:line="240" w:lineRule="auto"/>
              <w:jc w:val="left"/>
              <w:rPr>
                <w:sz w:val="16"/>
                <w:szCs w:val="16"/>
              </w:rPr>
            </w:pPr>
            <w:r w:rsidRPr="002C21B8">
              <w:rPr>
                <w:sz w:val="16"/>
                <w:szCs w:val="16"/>
              </w:rPr>
              <w:t>L</w:t>
            </w:r>
            <w:r w:rsidR="005E4945" w:rsidRPr="002C21B8">
              <w:rPr>
                <w:sz w:val="16"/>
                <w:szCs w:val="16"/>
              </w:rPr>
              <w:t>ess confident prescribing (</w:t>
            </w:r>
            <w:r w:rsidR="005E4945" w:rsidRPr="002C21B8">
              <w:rPr>
                <w:rFonts w:ascii="Arial" w:hAnsi="Arial" w:cs="Arial"/>
                <w:sz w:val="16"/>
                <w:szCs w:val="16"/>
              </w:rPr>
              <w:t>▼</w:t>
            </w:r>
            <w:r w:rsidR="005E4945" w:rsidRPr="002C21B8">
              <w:rPr>
                <w:sz w:val="16"/>
                <w:szCs w:val="16"/>
              </w:rPr>
              <w:t>), scepticism (</w:t>
            </w:r>
            <w:r w:rsidR="005E4945" w:rsidRPr="002C21B8">
              <w:rPr>
                <w:rFonts w:ascii="Arial" w:hAnsi="Arial" w:cs="Arial"/>
                <w:sz w:val="16"/>
                <w:szCs w:val="16"/>
              </w:rPr>
              <w:t>▼</w:t>
            </w:r>
            <w:r w:rsidR="005E4945" w:rsidRPr="002C21B8">
              <w:rPr>
                <w:sz w:val="16"/>
                <w:szCs w:val="16"/>
              </w:rPr>
              <w:t>)</w:t>
            </w:r>
          </w:p>
        </w:tc>
        <w:tc>
          <w:tcPr>
            <w:tcW w:w="2203" w:type="dxa"/>
            <w:shd w:val="clear" w:color="auto" w:fill="auto"/>
            <w:vAlign w:val="center"/>
          </w:tcPr>
          <w:p w14:paraId="1085D006" w14:textId="09BC4A56" w:rsidR="005E4945" w:rsidRPr="002C21B8" w:rsidRDefault="00275938" w:rsidP="00346011">
            <w:pPr>
              <w:spacing w:before="120" w:after="120" w:line="240" w:lineRule="auto"/>
              <w:jc w:val="left"/>
              <w:rPr>
                <w:sz w:val="16"/>
                <w:szCs w:val="16"/>
              </w:rPr>
            </w:pPr>
            <w:r w:rsidRPr="002C21B8">
              <w:rPr>
                <w:sz w:val="16"/>
                <w:szCs w:val="16"/>
              </w:rPr>
              <w:t>Ve</w:t>
            </w:r>
            <w:r w:rsidR="005E4945" w:rsidRPr="002C21B8">
              <w:rPr>
                <w:sz w:val="16"/>
                <w:szCs w:val="16"/>
              </w:rPr>
              <w:t>ry proactive culture (</w:t>
            </w:r>
            <w:r w:rsidR="005E4945" w:rsidRPr="002C21B8">
              <w:rPr>
                <w:rFonts w:ascii="Arial" w:hAnsi="Arial" w:cs="Arial"/>
                <w:color w:val="0A0A0A"/>
                <w:sz w:val="16"/>
                <w:szCs w:val="16"/>
              </w:rPr>
              <w:t>▲</w:t>
            </w:r>
            <w:r w:rsidR="005E4945" w:rsidRPr="002C21B8">
              <w:rPr>
                <w:sz w:val="16"/>
                <w:szCs w:val="16"/>
              </w:rPr>
              <w:t>), overall following guidelines (</w:t>
            </w:r>
            <w:r w:rsidR="005E4945" w:rsidRPr="002C21B8">
              <w:rPr>
                <w:rFonts w:ascii="Arial" w:hAnsi="Arial" w:cs="Arial"/>
                <w:sz w:val="16"/>
                <w:szCs w:val="16"/>
              </w:rPr>
              <w:t>▼</w:t>
            </w:r>
            <w:r w:rsidR="005E4945" w:rsidRPr="002C21B8">
              <w:rPr>
                <w:sz w:val="16"/>
                <w:szCs w:val="16"/>
              </w:rPr>
              <w:t>)</w:t>
            </w:r>
          </w:p>
        </w:tc>
        <w:tc>
          <w:tcPr>
            <w:tcW w:w="2204" w:type="dxa"/>
            <w:shd w:val="clear" w:color="auto" w:fill="auto"/>
            <w:vAlign w:val="center"/>
          </w:tcPr>
          <w:p w14:paraId="788A387D" w14:textId="2FCA66F7" w:rsidR="005E4945" w:rsidRPr="002C21B8" w:rsidRDefault="00275938" w:rsidP="00346011">
            <w:pPr>
              <w:spacing w:before="120" w:after="120" w:line="240" w:lineRule="auto"/>
              <w:jc w:val="left"/>
              <w:rPr>
                <w:sz w:val="16"/>
                <w:szCs w:val="16"/>
              </w:rPr>
            </w:pPr>
            <w:r w:rsidRPr="002C21B8">
              <w:rPr>
                <w:sz w:val="16"/>
                <w:szCs w:val="16"/>
              </w:rPr>
              <w:t>B</w:t>
            </w:r>
            <w:r w:rsidR="005E4945" w:rsidRPr="002C21B8">
              <w:rPr>
                <w:sz w:val="16"/>
                <w:szCs w:val="16"/>
              </w:rPr>
              <w:t>alanced prescribing culture (</w:t>
            </w:r>
            <w:r w:rsidR="005E4945" w:rsidRPr="002C21B8">
              <w:rPr>
                <w:rFonts w:ascii="Arial" w:hAnsi="Arial" w:cs="Arial"/>
                <w:sz w:val="16"/>
                <w:szCs w:val="16"/>
              </w:rPr>
              <w:t>▲▼</w:t>
            </w:r>
            <w:r w:rsidR="005E4945" w:rsidRPr="002C21B8">
              <w:rPr>
                <w:sz w:val="16"/>
                <w:szCs w:val="16"/>
              </w:rPr>
              <w:t>)</w:t>
            </w:r>
          </w:p>
        </w:tc>
      </w:tr>
      <w:tr w:rsidR="005E4945" w:rsidRPr="002C21B8" w14:paraId="3E8891D7" w14:textId="77777777" w:rsidTr="00CF0296">
        <w:tc>
          <w:tcPr>
            <w:tcW w:w="2201" w:type="dxa"/>
            <w:shd w:val="clear" w:color="auto" w:fill="auto"/>
            <w:vAlign w:val="center"/>
          </w:tcPr>
          <w:p w14:paraId="21DE3022" w14:textId="77777777" w:rsidR="005E4945" w:rsidRPr="002C21B8" w:rsidRDefault="005E4945" w:rsidP="00346011">
            <w:pPr>
              <w:spacing w:before="120" w:after="120" w:line="240" w:lineRule="auto"/>
              <w:jc w:val="left"/>
              <w:rPr>
                <w:b/>
                <w:bCs/>
                <w:sz w:val="16"/>
                <w:szCs w:val="16"/>
              </w:rPr>
            </w:pPr>
            <w:r w:rsidRPr="002C21B8">
              <w:rPr>
                <w:b/>
                <w:bCs/>
                <w:sz w:val="16"/>
                <w:szCs w:val="16"/>
              </w:rPr>
              <w:t>Communicating with patients</w:t>
            </w:r>
          </w:p>
        </w:tc>
        <w:tc>
          <w:tcPr>
            <w:tcW w:w="2275" w:type="dxa"/>
            <w:shd w:val="clear" w:color="auto" w:fill="auto"/>
            <w:vAlign w:val="center"/>
          </w:tcPr>
          <w:p w14:paraId="63E95407" w14:textId="2722BA76" w:rsidR="005E4945" w:rsidRPr="002C21B8" w:rsidRDefault="003A5360" w:rsidP="00346011">
            <w:pPr>
              <w:spacing w:before="120" w:after="120" w:line="240" w:lineRule="auto"/>
              <w:jc w:val="left"/>
              <w:rPr>
                <w:sz w:val="16"/>
                <w:szCs w:val="16"/>
              </w:rPr>
            </w:pPr>
            <w:r w:rsidRPr="002C21B8">
              <w:rPr>
                <w:sz w:val="16"/>
                <w:szCs w:val="16"/>
              </w:rPr>
              <w:t>Pharmaceutical company</w:t>
            </w:r>
            <w:r w:rsidR="005E4945" w:rsidRPr="002C21B8">
              <w:rPr>
                <w:sz w:val="16"/>
                <w:szCs w:val="16"/>
              </w:rPr>
              <w:t xml:space="preserve"> leaflet (</w:t>
            </w:r>
            <w:r w:rsidR="005E4945" w:rsidRPr="002C21B8">
              <w:rPr>
                <w:rFonts w:ascii="Arial" w:hAnsi="Arial" w:cs="Arial"/>
                <w:sz w:val="16"/>
                <w:szCs w:val="16"/>
              </w:rPr>
              <w:t>▲</w:t>
            </w:r>
            <w:r w:rsidR="005E4945" w:rsidRPr="002C21B8">
              <w:rPr>
                <w:sz w:val="16"/>
                <w:szCs w:val="16"/>
              </w:rPr>
              <w:t>), selective promotion (</w:t>
            </w:r>
            <w:r w:rsidR="005E4945" w:rsidRPr="002C21B8">
              <w:rPr>
                <w:rFonts w:ascii="Arial" w:hAnsi="Arial" w:cs="Arial"/>
                <w:sz w:val="16"/>
                <w:szCs w:val="16"/>
              </w:rPr>
              <w:t>▲</w:t>
            </w:r>
            <w:r w:rsidR="005E4945" w:rsidRPr="002C21B8">
              <w:rPr>
                <w:sz w:val="16"/>
                <w:szCs w:val="16"/>
              </w:rPr>
              <w:t>)</w:t>
            </w:r>
          </w:p>
        </w:tc>
        <w:tc>
          <w:tcPr>
            <w:tcW w:w="2275" w:type="dxa"/>
            <w:shd w:val="clear" w:color="auto" w:fill="auto"/>
            <w:vAlign w:val="center"/>
          </w:tcPr>
          <w:p w14:paraId="09497BEB" w14:textId="6E0B29DA" w:rsidR="005E4945" w:rsidRPr="002C21B8" w:rsidRDefault="00275938" w:rsidP="00346011">
            <w:pPr>
              <w:spacing w:before="120" w:after="120" w:line="240" w:lineRule="auto"/>
              <w:jc w:val="left"/>
              <w:rPr>
                <w:sz w:val="16"/>
                <w:szCs w:val="16"/>
              </w:rPr>
            </w:pPr>
            <w:r w:rsidRPr="002C21B8">
              <w:rPr>
                <w:sz w:val="16"/>
                <w:szCs w:val="16"/>
              </w:rPr>
              <w:t>L</w:t>
            </w:r>
            <w:r w:rsidR="005E4945" w:rsidRPr="002C21B8">
              <w:rPr>
                <w:sz w:val="16"/>
                <w:szCs w:val="16"/>
              </w:rPr>
              <w:t>ocal more balanced leaflet (</w:t>
            </w:r>
            <w:r w:rsidR="005E4945" w:rsidRPr="002C21B8">
              <w:rPr>
                <w:rFonts w:ascii="Arial" w:hAnsi="Arial" w:cs="Arial"/>
                <w:sz w:val="16"/>
                <w:szCs w:val="16"/>
              </w:rPr>
              <w:t>▼</w:t>
            </w:r>
            <w:r w:rsidR="005E4945" w:rsidRPr="002C21B8">
              <w:rPr>
                <w:sz w:val="16"/>
                <w:szCs w:val="16"/>
              </w:rPr>
              <w:t>)</w:t>
            </w:r>
          </w:p>
        </w:tc>
        <w:tc>
          <w:tcPr>
            <w:tcW w:w="2275" w:type="dxa"/>
            <w:shd w:val="clear" w:color="auto" w:fill="auto"/>
            <w:vAlign w:val="center"/>
          </w:tcPr>
          <w:p w14:paraId="6323A502" w14:textId="51048B2A" w:rsidR="005E4945" w:rsidRPr="002C21B8" w:rsidRDefault="00275938" w:rsidP="00346011">
            <w:pPr>
              <w:spacing w:before="120" w:after="120" w:line="240" w:lineRule="auto"/>
              <w:jc w:val="left"/>
              <w:rPr>
                <w:sz w:val="16"/>
                <w:szCs w:val="16"/>
              </w:rPr>
            </w:pPr>
            <w:r w:rsidRPr="002C21B8">
              <w:rPr>
                <w:sz w:val="16"/>
                <w:szCs w:val="16"/>
              </w:rPr>
              <w:t>L</w:t>
            </w:r>
            <w:r w:rsidR="005E4945" w:rsidRPr="002C21B8">
              <w:rPr>
                <w:sz w:val="16"/>
                <w:szCs w:val="16"/>
              </w:rPr>
              <w:t>ocal more balanced leaflet (</w:t>
            </w:r>
            <w:r w:rsidR="005E4945" w:rsidRPr="002C21B8">
              <w:rPr>
                <w:rFonts w:ascii="Arial" w:hAnsi="Arial" w:cs="Arial"/>
                <w:sz w:val="16"/>
                <w:szCs w:val="16"/>
              </w:rPr>
              <w:t>▼</w:t>
            </w:r>
            <w:r w:rsidR="005E4945" w:rsidRPr="002C21B8">
              <w:rPr>
                <w:sz w:val="16"/>
                <w:szCs w:val="16"/>
              </w:rPr>
              <w:t>)</w:t>
            </w:r>
          </w:p>
        </w:tc>
        <w:tc>
          <w:tcPr>
            <w:tcW w:w="2201" w:type="dxa"/>
            <w:shd w:val="clear" w:color="auto" w:fill="auto"/>
            <w:vAlign w:val="center"/>
          </w:tcPr>
          <w:p w14:paraId="697E383B" w14:textId="77777777" w:rsidR="005E4945" w:rsidRPr="002C21B8" w:rsidRDefault="005E4945" w:rsidP="00346011">
            <w:pPr>
              <w:spacing w:before="120" w:after="120" w:line="240" w:lineRule="auto"/>
              <w:jc w:val="left"/>
              <w:rPr>
                <w:sz w:val="16"/>
                <w:szCs w:val="16"/>
              </w:rPr>
            </w:pPr>
            <w:r w:rsidRPr="002C21B8">
              <w:rPr>
                <w:sz w:val="16"/>
                <w:szCs w:val="16"/>
              </w:rPr>
              <w:t>N/A</w:t>
            </w:r>
          </w:p>
        </w:tc>
        <w:tc>
          <w:tcPr>
            <w:tcW w:w="2203" w:type="dxa"/>
            <w:shd w:val="clear" w:color="auto" w:fill="auto"/>
            <w:vAlign w:val="center"/>
          </w:tcPr>
          <w:p w14:paraId="2A402EF7" w14:textId="77777777" w:rsidR="005E4945" w:rsidRPr="002C21B8" w:rsidRDefault="005E4945" w:rsidP="00346011">
            <w:pPr>
              <w:spacing w:before="120" w:after="120" w:line="240" w:lineRule="auto"/>
              <w:jc w:val="left"/>
              <w:rPr>
                <w:sz w:val="16"/>
                <w:szCs w:val="16"/>
              </w:rPr>
            </w:pPr>
            <w:r w:rsidRPr="002C21B8">
              <w:rPr>
                <w:sz w:val="16"/>
                <w:szCs w:val="16"/>
              </w:rPr>
              <w:t>N/A</w:t>
            </w:r>
          </w:p>
        </w:tc>
        <w:tc>
          <w:tcPr>
            <w:tcW w:w="2204" w:type="dxa"/>
            <w:shd w:val="clear" w:color="auto" w:fill="auto"/>
            <w:vAlign w:val="center"/>
          </w:tcPr>
          <w:p w14:paraId="7B56730C" w14:textId="77777777" w:rsidR="005E4945" w:rsidRPr="002C21B8" w:rsidRDefault="005E4945" w:rsidP="00346011">
            <w:pPr>
              <w:spacing w:before="120" w:after="120" w:line="240" w:lineRule="auto"/>
              <w:jc w:val="left"/>
              <w:rPr>
                <w:sz w:val="16"/>
                <w:szCs w:val="16"/>
              </w:rPr>
            </w:pPr>
            <w:r w:rsidRPr="002C21B8">
              <w:rPr>
                <w:sz w:val="16"/>
                <w:szCs w:val="16"/>
              </w:rPr>
              <w:t>N/A</w:t>
            </w:r>
          </w:p>
        </w:tc>
      </w:tr>
      <w:tr w:rsidR="005E4945" w:rsidRPr="002C21B8" w14:paraId="0B286CA4" w14:textId="77777777" w:rsidTr="00CF0296">
        <w:tc>
          <w:tcPr>
            <w:tcW w:w="2201" w:type="dxa"/>
            <w:shd w:val="clear" w:color="auto" w:fill="auto"/>
            <w:vAlign w:val="center"/>
          </w:tcPr>
          <w:p w14:paraId="184FAFF6" w14:textId="77777777" w:rsidR="005E4945" w:rsidRPr="002C21B8" w:rsidRDefault="005E4945" w:rsidP="00346011">
            <w:pPr>
              <w:spacing w:before="120" w:after="120" w:line="240" w:lineRule="auto"/>
              <w:jc w:val="left"/>
              <w:rPr>
                <w:b/>
                <w:bCs/>
                <w:sz w:val="16"/>
                <w:szCs w:val="16"/>
              </w:rPr>
            </w:pPr>
            <w:r w:rsidRPr="002C21B8">
              <w:rPr>
                <w:b/>
                <w:bCs/>
                <w:sz w:val="16"/>
                <w:szCs w:val="16"/>
              </w:rPr>
              <w:t>Summary of findings for case study</w:t>
            </w:r>
          </w:p>
        </w:tc>
        <w:tc>
          <w:tcPr>
            <w:tcW w:w="2275" w:type="dxa"/>
            <w:shd w:val="clear" w:color="auto" w:fill="auto"/>
            <w:vAlign w:val="center"/>
          </w:tcPr>
          <w:p w14:paraId="441E3573" w14:textId="20F92B88" w:rsidR="005E4945" w:rsidRPr="002C21B8" w:rsidRDefault="00CF0296" w:rsidP="00346011">
            <w:pPr>
              <w:spacing w:before="120" w:after="120" w:line="240" w:lineRule="auto"/>
              <w:jc w:val="left"/>
              <w:rPr>
                <w:sz w:val="16"/>
                <w:szCs w:val="16"/>
              </w:rPr>
            </w:pPr>
            <w:r w:rsidRPr="002C21B8">
              <w:rPr>
                <w:sz w:val="16"/>
                <w:szCs w:val="16"/>
              </w:rPr>
              <w:t xml:space="preserve">High non-initiation </w:t>
            </w:r>
            <w:r w:rsidR="00F22BBE" w:rsidRPr="002C21B8">
              <w:rPr>
                <w:sz w:val="16"/>
                <w:szCs w:val="16"/>
              </w:rPr>
              <w:t>a</w:t>
            </w:r>
            <w:r w:rsidR="009F2FAF" w:rsidRPr="002C21B8">
              <w:rPr>
                <w:sz w:val="16"/>
                <w:szCs w:val="16"/>
              </w:rPr>
              <w:t xml:space="preserve">mong </w:t>
            </w:r>
            <w:r w:rsidRPr="002C21B8">
              <w:rPr>
                <w:sz w:val="16"/>
                <w:szCs w:val="16"/>
              </w:rPr>
              <w:t>eligible patients initially but later low levels</w:t>
            </w:r>
          </w:p>
        </w:tc>
        <w:tc>
          <w:tcPr>
            <w:tcW w:w="2275" w:type="dxa"/>
            <w:shd w:val="clear" w:color="auto" w:fill="auto"/>
            <w:vAlign w:val="center"/>
          </w:tcPr>
          <w:p w14:paraId="55F568BF" w14:textId="7BC1EF97" w:rsidR="005E4945" w:rsidRPr="002C21B8" w:rsidRDefault="005E4945" w:rsidP="00346011">
            <w:pPr>
              <w:spacing w:before="120" w:after="120" w:line="240" w:lineRule="auto"/>
              <w:jc w:val="left"/>
              <w:rPr>
                <w:sz w:val="16"/>
                <w:szCs w:val="16"/>
              </w:rPr>
            </w:pPr>
            <w:r w:rsidRPr="002C21B8">
              <w:rPr>
                <w:sz w:val="16"/>
                <w:szCs w:val="16"/>
              </w:rPr>
              <w:t xml:space="preserve">No suggested non-initiation </w:t>
            </w:r>
            <w:r w:rsidR="009F2FAF" w:rsidRPr="002C21B8">
              <w:rPr>
                <w:sz w:val="16"/>
                <w:szCs w:val="16"/>
              </w:rPr>
              <w:t xml:space="preserve">among </w:t>
            </w:r>
            <w:r w:rsidRPr="002C21B8">
              <w:rPr>
                <w:sz w:val="16"/>
                <w:szCs w:val="16"/>
              </w:rPr>
              <w:t>eligible patients</w:t>
            </w:r>
          </w:p>
        </w:tc>
        <w:tc>
          <w:tcPr>
            <w:tcW w:w="2275" w:type="dxa"/>
            <w:shd w:val="clear" w:color="auto" w:fill="auto"/>
            <w:vAlign w:val="center"/>
          </w:tcPr>
          <w:p w14:paraId="42C05DC6" w14:textId="3E9EDE01" w:rsidR="005E4945" w:rsidRPr="002C21B8" w:rsidRDefault="00F22BBE" w:rsidP="00346011">
            <w:pPr>
              <w:spacing w:before="120" w:after="120" w:line="240" w:lineRule="auto"/>
              <w:jc w:val="left"/>
              <w:rPr>
                <w:sz w:val="16"/>
                <w:szCs w:val="16"/>
              </w:rPr>
            </w:pPr>
            <w:r w:rsidRPr="002C21B8">
              <w:rPr>
                <w:sz w:val="16"/>
                <w:szCs w:val="16"/>
              </w:rPr>
              <w:t xml:space="preserve">Mixed but </w:t>
            </w:r>
            <w:r w:rsidR="00E203E9" w:rsidRPr="002C21B8">
              <w:rPr>
                <w:sz w:val="16"/>
                <w:szCs w:val="16"/>
              </w:rPr>
              <w:t>high risk of</w:t>
            </w:r>
            <w:r w:rsidRPr="002C21B8">
              <w:rPr>
                <w:sz w:val="16"/>
                <w:szCs w:val="16"/>
              </w:rPr>
              <w:t xml:space="preserve"> non-initiation </w:t>
            </w:r>
            <w:r w:rsidR="00E203E9" w:rsidRPr="002C21B8">
              <w:rPr>
                <w:sz w:val="16"/>
                <w:szCs w:val="16"/>
              </w:rPr>
              <w:t>among eligible patients</w:t>
            </w:r>
          </w:p>
        </w:tc>
        <w:tc>
          <w:tcPr>
            <w:tcW w:w="2201" w:type="dxa"/>
            <w:shd w:val="clear" w:color="auto" w:fill="auto"/>
            <w:vAlign w:val="center"/>
          </w:tcPr>
          <w:p w14:paraId="68DA4E78" w14:textId="4B683E03" w:rsidR="005E4945" w:rsidRPr="002C21B8" w:rsidRDefault="00173F5D" w:rsidP="00346011">
            <w:pPr>
              <w:spacing w:before="120" w:after="120" w:line="240" w:lineRule="auto"/>
              <w:jc w:val="left"/>
              <w:rPr>
                <w:sz w:val="16"/>
                <w:szCs w:val="16"/>
              </w:rPr>
            </w:pPr>
            <w:r w:rsidRPr="002C21B8">
              <w:rPr>
                <w:sz w:val="16"/>
                <w:szCs w:val="16"/>
              </w:rPr>
              <w:t>No suggested initiation in patients not meeting eligibility</w:t>
            </w:r>
          </w:p>
        </w:tc>
        <w:tc>
          <w:tcPr>
            <w:tcW w:w="2203" w:type="dxa"/>
            <w:shd w:val="clear" w:color="auto" w:fill="auto"/>
            <w:vAlign w:val="center"/>
          </w:tcPr>
          <w:p w14:paraId="1A012DC2" w14:textId="7C1F1812" w:rsidR="005E4945" w:rsidRPr="002C21B8" w:rsidRDefault="00173F5D" w:rsidP="00346011">
            <w:pPr>
              <w:spacing w:before="120" w:after="120" w:line="240" w:lineRule="auto"/>
              <w:jc w:val="left"/>
              <w:rPr>
                <w:sz w:val="16"/>
                <w:szCs w:val="16"/>
              </w:rPr>
            </w:pPr>
            <w:r w:rsidRPr="002C21B8">
              <w:rPr>
                <w:sz w:val="16"/>
                <w:szCs w:val="16"/>
              </w:rPr>
              <w:t>No suggested initiation in patients not meeting eligibility</w:t>
            </w:r>
          </w:p>
        </w:tc>
        <w:tc>
          <w:tcPr>
            <w:tcW w:w="2204" w:type="dxa"/>
            <w:shd w:val="clear" w:color="auto" w:fill="auto"/>
            <w:vAlign w:val="center"/>
          </w:tcPr>
          <w:p w14:paraId="3A452EFD" w14:textId="449750FB" w:rsidR="005E4945" w:rsidRPr="002C21B8" w:rsidRDefault="009F2FAF" w:rsidP="00346011">
            <w:pPr>
              <w:spacing w:before="120" w:after="120" w:line="240" w:lineRule="auto"/>
              <w:jc w:val="left"/>
              <w:rPr>
                <w:sz w:val="16"/>
                <w:szCs w:val="16"/>
              </w:rPr>
            </w:pPr>
            <w:r w:rsidRPr="002C21B8">
              <w:rPr>
                <w:sz w:val="16"/>
                <w:szCs w:val="16"/>
              </w:rPr>
              <w:t>Some i</w:t>
            </w:r>
            <w:r w:rsidR="005E4945" w:rsidRPr="002C21B8">
              <w:rPr>
                <w:sz w:val="16"/>
                <w:szCs w:val="16"/>
              </w:rPr>
              <w:t>nitiation in patients</w:t>
            </w:r>
            <w:r w:rsidRPr="002C21B8">
              <w:rPr>
                <w:sz w:val="16"/>
                <w:szCs w:val="16"/>
              </w:rPr>
              <w:t xml:space="preserve"> not meeting eligibility</w:t>
            </w:r>
            <w:r w:rsidR="00CF0296" w:rsidRPr="002C21B8">
              <w:rPr>
                <w:sz w:val="16"/>
                <w:szCs w:val="16"/>
              </w:rPr>
              <w:t>, increas</w:t>
            </w:r>
            <w:r w:rsidR="00173F5D" w:rsidRPr="002C21B8">
              <w:rPr>
                <w:sz w:val="16"/>
                <w:szCs w:val="16"/>
              </w:rPr>
              <w:t>ing frequency</w:t>
            </w:r>
            <w:r w:rsidR="00CF0296" w:rsidRPr="002C21B8">
              <w:rPr>
                <w:sz w:val="16"/>
                <w:szCs w:val="16"/>
              </w:rPr>
              <w:t xml:space="preserve"> over time</w:t>
            </w:r>
          </w:p>
        </w:tc>
      </w:tr>
      <w:tr w:rsidR="005E4945" w:rsidRPr="002C21B8" w14:paraId="05783F8F" w14:textId="77777777" w:rsidTr="00CF0296">
        <w:tc>
          <w:tcPr>
            <w:tcW w:w="2201" w:type="dxa"/>
            <w:tcBorders>
              <w:bottom w:val="single" w:sz="12" w:space="0" w:color="000000" w:themeColor="text1"/>
            </w:tcBorders>
            <w:shd w:val="clear" w:color="auto" w:fill="auto"/>
            <w:vAlign w:val="center"/>
          </w:tcPr>
          <w:p w14:paraId="28DC830E" w14:textId="77777777" w:rsidR="005E4945" w:rsidRPr="002C21B8" w:rsidRDefault="005E4945" w:rsidP="00346011">
            <w:pPr>
              <w:spacing w:before="120" w:after="120" w:line="240" w:lineRule="auto"/>
              <w:jc w:val="left"/>
              <w:rPr>
                <w:b/>
                <w:bCs/>
                <w:sz w:val="16"/>
                <w:szCs w:val="16"/>
              </w:rPr>
            </w:pPr>
            <w:r w:rsidRPr="002C21B8">
              <w:rPr>
                <w:b/>
                <w:bCs/>
                <w:sz w:val="16"/>
                <w:szCs w:val="16"/>
              </w:rPr>
              <w:t>RaDaR analysis based on   2016-2023 data</w:t>
            </w:r>
          </w:p>
        </w:tc>
        <w:tc>
          <w:tcPr>
            <w:tcW w:w="2275" w:type="dxa"/>
            <w:tcBorders>
              <w:bottom w:val="single" w:sz="12" w:space="0" w:color="000000" w:themeColor="text1"/>
            </w:tcBorders>
            <w:shd w:val="clear" w:color="auto" w:fill="auto"/>
            <w:vAlign w:val="center"/>
          </w:tcPr>
          <w:p w14:paraId="2E9C81C2" w14:textId="34E0B1EE" w:rsidR="005E4945" w:rsidRPr="002C21B8" w:rsidRDefault="00CF0296" w:rsidP="00346011">
            <w:pPr>
              <w:spacing w:before="120" w:after="120" w:line="240" w:lineRule="auto"/>
              <w:jc w:val="left"/>
              <w:rPr>
                <w:sz w:val="16"/>
                <w:szCs w:val="16"/>
              </w:rPr>
            </w:pPr>
            <w:r w:rsidRPr="002C21B8">
              <w:rPr>
                <w:sz w:val="16"/>
                <w:szCs w:val="16"/>
              </w:rPr>
              <w:t>Low</w:t>
            </w:r>
            <w:r w:rsidR="009F2FAF" w:rsidRPr="002C21B8">
              <w:rPr>
                <w:sz w:val="16"/>
                <w:szCs w:val="16"/>
              </w:rPr>
              <w:t>er</w:t>
            </w:r>
            <w:r w:rsidRPr="002C21B8">
              <w:rPr>
                <w:sz w:val="16"/>
                <w:szCs w:val="16"/>
              </w:rPr>
              <w:t xml:space="preserve"> non-initiation </w:t>
            </w:r>
            <w:r w:rsidR="009F2FAF" w:rsidRPr="002C21B8">
              <w:rPr>
                <w:sz w:val="16"/>
                <w:szCs w:val="16"/>
              </w:rPr>
              <w:t>among</w:t>
            </w:r>
            <w:r w:rsidRPr="002C21B8">
              <w:rPr>
                <w:sz w:val="16"/>
                <w:szCs w:val="16"/>
              </w:rPr>
              <w:t xml:space="preserve"> eligible patients</w:t>
            </w:r>
          </w:p>
        </w:tc>
        <w:tc>
          <w:tcPr>
            <w:tcW w:w="2275" w:type="dxa"/>
            <w:tcBorders>
              <w:bottom w:val="single" w:sz="12" w:space="0" w:color="000000" w:themeColor="text1"/>
            </w:tcBorders>
            <w:shd w:val="clear" w:color="auto" w:fill="auto"/>
            <w:vAlign w:val="center"/>
          </w:tcPr>
          <w:p w14:paraId="452AC8DE" w14:textId="54A1144E" w:rsidR="005E4945" w:rsidRPr="002C21B8" w:rsidRDefault="00CF0296" w:rsidP="00346011">
            <w:pPr>
              <w:spacing w:before="120" w:after="120" w:line="240" w:lineRule="auto"/>
              <w:jc w:val="left"/>
              <w:rPr>
                <w:sz w:val="16"/>
                <w:szCs w:val="16"/>
              </w:rPr>
            </w:pPr>
            <w:r w:rsidRPr="002C21B8">
              <w:rPr>
                <w:sz w:val="16"/>
                <w:szCs w:val="16"/>
              </w:rPr>
              <w:t>Low</w:t>
            </w:r>
            <w:r w:rsidR="009F2FAF" w:rsidRPr="002C21B8">
              <w:rPr>
                <w:sz w:val="16"/>
                <w:szCs w:val="16"/>
              </w:rPr>
              <w:t>er</w:t>
            </w:r>
            <w:r w:rsidRPr="002C21B8">
              <w:rPr>
                <w:sz w:val="16"/>
                <w:szCs w:val="16"/>
              </w:rPr>
              <w:t xml:space="preserve"> non-initiation </w:t>
            </w:r>
            <w:r w:rsidR="009F2FAF" w:rsidRPr="002C21B8">
              <w:rPr>
                <w:sz w:val="16"/>
                <w:szCs w:val="16"/>
              </w:rPr>
              <w:t xml:space="preserve">among </w:t>
            </w:r>
            <w:r w:rsidRPr="002C21B8">
              <w:rPr>
                <w:sz w:val="16"/>
                <w:szCs w:val="16"/>
              </w:rPr>
              <w:t>eligible patients</w:t>
            </w:r>
          </w:p>
        </w:tc>
        <w:tc>
          <w:tcPr>
            <w:tcW w:w="2275" w:type="dxa"/>
            <w:tcBorders>
              <w:bottom w:val="single" w:sz="12" w:space="0" w:color="000000" w:themeColor="text1"/>
            </w:tcBorders>
            <w:shd w:val="clear" w:color="auto" w:fill="auto"/>
            <w:vAlign w:val="center"/>
          </w:tcPr>
          <w:p w14:paraId="1568BAE0" w14:textId="565C082B" w:rsidR="005E4945" w:rsidRPr="002C21B8" w:rsidRDefault="00CF0296" w:rsidP="00346011">
            <w:pPr>
              <w:spacing w:before="120" w:after="120" w:line="240" w:lineRule="auto"/>
              <w:jc w:val="left"/>
              <w:rPr>
                <w:sz w:val="16"/>
                <w:szCs w:val="16"/>
              </w:rPr>
            </w:pPr>
            <w:r w:rsidRPr="002C21B8">
              <w:rPr>
                <w:sz w:val="16"/>
                <w:szCs w:val="16"/>
              </w:rPr>
              <w:t>High</w:t>
            </w:r>
            <w:r w:rsidR="009F2FAF" w:rsidRPr="002C21B8">
              <w:rPr>
                <w:sz w:val="16"/>
                <w:szCs w:val="16"/>
              </w:rPr>
              <w:t>er</w:t>
            </w:r>
            <w:r w:rsidRPr="002C21B8">
              <w:rPr>
                <w:sz w:val="16"/>
                <w:szCs w:val="16"/>
              </w:rPr>
              <w:t xml:space="preserve"> non-initiation</w:t>
            </w:r>
            <w:r w:rsidR="009F2FAF" w:rsidRPr="002C21B8">
              <w:rPr>
                <w:sz w:val="16"/>
                <w:szCs w:val="16"/>
              </w:rPr>
              <w:t xml:space="preserve"> among</w:t>
            </w:r>
            <w:r w:rsidRPr="002C21B8">
              <w:rPr>
                <w:sz w:val="16"/>
                <w:szCs w:val="16"/>
              </w:rPr>
              <w:t xml:space="preserve"> eligible patients</w:t>
            </w:r>
          </w:p>
        </w:tc>
        <w:tc>
          <w:tcPr>
            <w:tcW w:w="2201" w:type="dxa"/>
            <w:tcBorders>
              <w:bottom w:val="single" w:sz="12" w:space="0" w:color="000000" w:themeColor="text1"/>
            </w:tcBorders>
            <w:shd w:val="clear" w:color="auto" w:fill="auto"/>
            <w:vAlign w:val="center"/>
          </w:tcPr>
          <w:p w14:paraId="6DD5EF20" w14:textId="4B0F0AA8" w:rsidR="005E4945" w:rsidRPr="002C21B8" w:rsidRDefault="009F2FAF" w:rsidP="00346011">
            <w:pPr>
              <w:spacing w:before="120" w:after="120" w:line="240" w:lineRule="auto"/>
              <w:jc w:val="left"/>
              <w:rPr>
                <w:sz w:val="16"/>
                <w:szCs w:val="16"/>
              </w:rPr>
            </w:pPr>
            <w:r w:rsidRPr="002C21B8">
              <w:rPr>
                <w:sz w:val="16"/>
                <w:szCs w:val="16"/>
              </w:rPr>
              <w:t>Lower initiation among patients not meeting eligibility criteria</w:t>
            </w:r>
          </w:p>
        </w:tc>
        <w:tc>
          <w:tcPr>
            <w:tcW w:w="2203" w:type="dxa"/>
            <w:tcBorders>
              <w:bottom w:val="single" w:sz="12" w:space="0" w:color="000000" w:themeColor="text1"/>
            </w:tcBorders>
            <w:shd w:val="clear" w:color="auto" w:fill="auto"/>
            <w:vAlign w:val="center"/>
          </w:tcPr>
          <w:p w14:paraId="434390F7" w14:textId="206C7D97" w:rsidR="005E4945" w:rsidRPr="002C21B8" w:rsidRDefault="009F2FAF" w:rsidP="00346011">
            <w:pPr>
              <w:spacing w:before="120" w:after="120" w:line="240" w:lineRule="auto"/>
              <w:jc w:val="left"/>
              <w:rPr>
                <w:sz w:val="16"/>
                <w:szCs w:val="16"/>
              </w:rPr>
            </w:pPr>
            <w:r w:rsidRPr="002C21B8">
              <w:rPr>
                <w:sz w:val="16"/>
                <w:szCs w:val="16"/>
              </w:rPr>
              <w:t>Lower initiation among patients not meeting eligibility criteria</w:t>
            </w:r>
          </w:p>
        </w:tc>
        <w:tc>
          <w:tcPr>
            <w:tcW w:w="2204" w:type="dxa"/>
            <w:tcBorders>
              <w:bottom w:val="single" w:sz="12" w:space="0" w:color="000000" w:themeColor="text1"/>
            </w:tcBorders>
            <w:shd w:val="clear" w:color="auto" w:fill="auto"/>
            <w:vAlign w:val="center"/>
          </w:tcPr>
          <w:p w14:paraId="121D349E" w14:textId="24DF1407" w:rsidR="005E4945" w:rsidRPr="002C21B8" w:rsidRDefault="009F2FAF" w:rsidP="00346011">
            <w:pPr>
              <w:spacing w:before="120" w:after="120" w:line="240" w:lineRule="auto"/>
              <w:jc w:val="left"/>
              <w:rPr>
                <w:sz w:val="16"/>
                <w:szCs w:val="16"/>
              </w:rPr>
            </w:pPr>
            <w:r w:rsidRPr="002C21B8">
              <w:rPr>
                <w:sz w:val="16"/>
                <w:szCs w:val="16"/>
              </w:rPr>
              <w:t>Higher initiation among patients not meeting eligibility criteria</w:t>
            </w:r>
          </w:p>
        </w:tc>
      </w:tr>
    </w:tbl>
    <w:p w14:paraId="0C89226F" w14:textId="2ACC6465" w:rsidR="00764623" w:rsidRPr="002C21B8" w:rsidRDefault="00764623" w:rsidP="00346011">
      <w:pPr>
        <w:pStyle w:val="Caption"/>
        <w:keepNext w:val="0"/>
        <w:spacing w:before="120"/>
        <w:jc w:val="center"/>
        <w:rPr>
          <w:noProof w:val="0"/>
          <w:sz w:val="15"/>
          <w:szCs w:val="15"/>
        </w:rPr>
      </w:pPr>
      <w:r w:rsidRPr="002C21B8">
        <w:rPr>
          <w:rFonts w:ascii="Arial" w:hAnsi="Arial" w:cs="Arial"/>
          <w:noProof w:val="0"/>
          <w:sz w:val="15"/>
          <w:szCs w:val="15"/>
        </w:rPr>
        <w:t>▲</w:t>
      </w:r>
      <w:r w:rsidRPr="002C21B8">
        <w:rPr>
          <w:noProof w:val="0"/>
          <w:sz w:val="15"/>
          <w:szCs w:val="15"/>
        </w:rPr>
        <w:t xml:space="preserve"> = factor associated with increased likelihood of</w:t>
      </w:r>
      <w:r w:rsidR="00CD598D" w:rsidRPr="002C21B8">
        <w:rPr>
          <w:noProof w:val="0"/>
          <w:sz w:val="15"/>
          <w:szCs w:val="15"/>
        </w:rPr>
        <w:t xml:space="preserve"> outcome</w:t>
      </w:r>
      <w:r w:rsidR="00CF0296" w:rsidRPr="002C21B8">
        <w:rPr>
          <w:noProof w:val="0"/>
          <w:sz w:val="15"/>
          <w:szCs w:val="15"/>
        </w:rPr>
        <w:t xml:space="preserve"> </w:t>
      </w:r>
      <w:r w:rsidRPr="002C21B8">
        <w:rPr>
          <w:rFonts w:ascii="Arial" w:hAnsi="Arial" w:cs="Arial"/>
          <w:noProof w:val="0"/>
          <w:sz w:val="15"/>
          <w:szCs w:val="15"/>
        </w:rPr>
        <w:t>▼</w:t>
      </w:r>
      <w:r w:rsidRPr="002C21B8">
        <w:rPr>
          <w:noProof w:val="0"/>
          <w:sz w:val="15"/>
          <w:szCs w:val="15"/>
        </w:rPr>
        <w:t xml:space="preserve"> = factor associated with decreased likelihood of</w:t>
      </w:r>
      <w:r w:rsidR="00CD598D" w:rsidRPr="002C21B8">
        <w:rPr>
          <w:noProof w:val="0"/>
          <w:sz w:val="15"/>
          <w:szCs w:val="15"/>
        </w:rPr>
        <w:t xml:space="preserve"> outcome</w:t>
      </w:r>
      <w:r w:rsidR="00CF0296" w:rsidRPr="002C21B8">
        <w:rPr>
          <w:noProof w:val="0"/>
          <w:sz w:val="15"/>
          <w:szCs w:val="15"/>
        </w:rPr>
        <w:t xml:space="preserve"> </w:t>
      </w:r>
      <w:r w:rsidRPr="002C21B8">
        <w:rPr>
          <w:rFonts w:ascii="Arial" w:hAnsi="Arial" w:cs="Arial"/>
          <w:noProof w:val="0"/>
          <w:sz w:val="15"/>
          <w:szCs w:val="15"/>
        </w:rPr>
        <w:t>▲▼</w:t>
      </w:r>
      <w:r w:rsidRPr="002C21B8">
        <w:rPr>
          <w:noProof w:val="0"/>
          <w:sz w:val="15"/>
          <w:szCs w:val="15"/>
        </w:rPr>
        <w:t xml:space="preserve"> = mixed or context-dependent influence</w:t>
      </w:r>
    </w:p>
    <w:p w14:paraId="19B4A284" w14:textId="77777777" w:rsidR="005E4945" w:rsidRPr="002C21B8" w:rsidRDefault="005E4945" w:rsidP="00346011">
      <w:pPr>
        <w:pStyle w:val="Caption"/>
        <w:keepNext w:val="0"/>
        <w:spacing w:before="120"/>
        <w:jc w:val="center"/>
        <w:rPr>
          <w:noProof w:val="0"/>
          <w:sz w:val="15"/>
          <w:szCs w:val="15"/>
        </w:rPr>
        <w:sectPr w:rsidR="005E4945" w:rsidRPr="002C21B8" w:rsidSect="0009672F">
          <w:headerReference w:type="default" r:id="rId55"/>
          <w:type w:val="continuous"/>
          <w:pgSz w:w="16838" w:h="11906" w:orient="landscape"/>
          <w:pgMar w:top="1440" w:right="1440" w:bottom="1440" w:left="1440" w:header="708" w:footer="708" w:gutter="0"/>
          <w:cols w:space="708"/>
          <w:docGrid w:linePitch="360"/>
        </w:sectPr>
      </w:pPr>
    </w:p>
    <w:p w14:paraId="41CB5594" w14:textId="77777777" w:rsidR="005E4945" w:rsidRPr="002C21B8" w:rsidRDefault="005E4945" w:rsidP="00EC4437">
      <w:pPr>
        <w:spacing w:before="240" w:after="0"/>
        <w:rPr>
          <w:b/>
          <w:bCs/>
          <w:sz w:val="28"/>
          <w:szCs w:val="28"/>
        </w:rPr>
      </w:pPr>
      <w:bookmarkStart w:id="189" w:name="_Toc213230712"/>
      <w:r w:rsidRPr="002C21B8">
        <w:rPr>
          <w:b/>
          <w:bCs/>
          <w:sz w:val="28"/>
          <w:szCs w:val="28"/>
        </w:rPr>
        <w:t>Discussion</w:t>
      </w:r>
      <w:bookmarkEnd w:id="189"/>
    </w:p>
    <w:p w14:paraId="309EEE60" w14:textId="77777777" w:rsidR="005E4945" w:rsidRPr="002C21B8" w:rsidRDefault="005E4945" w:rsidP="004D76F5">
      <w:pPr>
        <w:spacing w:after="0"/>
        <w:rPr>
          <w:b/>
          <w:bCs/>
          <w:sz w:val="24"/>
          <w:szCs w:val="24"/>
        </w:rPr>
      </w:pPr>
      <w:bookmarkStart w:id="190" w:name="_Toc213230713"/>
      <w:r w:rsidRPr="002C21B8">
        <w:rPr>
          <w:b/>
          <w:bCs/>
          <w:sz w:val="24"/>
          <w:szCs w:val="24"/>
        </w:rPr>
        <w:t>Main findings</w:t>
      </w:r>
    </w:p>
    <w:p w14:paraId="5C2BAA05" w14:textId="5D8D9B0F" w:rsidR="005E4945" w:rsidRPr="002C21B8" w:rsidRDefault="005E4945" w:rsidP="005E4945">
      <w:r w:rsidRPr="002C21B8">
        <w:t xml:space="preserve">This study explored the factors influencing </w:t>
      </w:r>
      <w:r w:rsidR="00DE468C" w:rsidRPr="002C21B8">
        <w:t xml:space="preserve">the </w:t>
      </w:r>
      <w:r w:rsidRPr="002C21B8">
        <w:t xml:space="preserve">implementation of tolvaptan care pathways and prescribing practices in UK adult kidney centres. Implementation was primarily influenced by factors </w:t>
      </w:r>
      <w:r w:rsidR="0088285F" w:rsidRPr="002C21B8">
        <w:t>with</w:t>
      </w:r>
      <w:r w:rsidRPr="002C21B8">
        <w:t xml:space="preserve">in the ‘Outer Setting’, ‘Inner Setting’, and ‘Individuals’ domains of the CFIR. At the ‘Outer Setting’, Cases 2 and 3 benefited from prior participation in the clinical effectiveness trial for </w:t>
      </w:r>
      <w:r w:rsidR="008A467A" w:rsidRPr="002C21B8">
        <w:t>t</w:t>
      </w:r>
      <w:r w:rsidRPr="002C21B8">
        <w:t>olvaptan</w:t>
      </w:r>
      <w:r w:rsidR="00E56033" w:rsidRPr="002C21B8">
        <w:t xml:space="preserve"> </w:t>
      </w:r>
      <w:r w:rsidRPr="002C21B8">
        <w:t xml:space="preserve">and use of professional networks to facilitate learning for a rapid launch of a new pathway without additional funding. This enabled early adoption compared to Case 1. At the ‘Inner Setting’, Case 2’s </w:t>
      </w:r>
      <w:r w:rsidR="00B720F0" w:rsidRPr="002C21B8">
        <w:t xml:space="preserve">specialist-led condition-specific clinic model </w:t>
      </w:r>
      <w:r w:rsidR="009C13D7" w:rsidRPr="002C21B8">
        <w:t xml:space="preserve">enabled </w:t>
      </w:r>
      <w:r w:rsidRPr="002C21B8">
        <w:t xml:space="preserve">systematic application of eligibility criteria and timely initiation of tolvaptan, while Case 1’s </w:t>
      </w:r>
      <w:r w:rsidR="00162D57" w:rsidRPr="002C21B8">
        <w:t>generalist clinic model</w:t>
      </w:r>
      <w:r w:rsidRPr="002C21B8">
        <w:t xml:space="preserve"> could cause variable application of eligibility criteria and delays in initiation. Case 3 had a hybrid </w:t>
      </w:r>
      <w:r w:rsidR="007C27C2" w:rsidRPr="002C21B8">
        <w:t>model</w:t>
      </w:r>
      <w:r w:rsidRPr="002C21B8">
        <w:t xml:space="preserve"> combining aspects from Case</w:t>
      </w:r>
      <w:r w:rsidR="00E56033" w:rsidRPr="002C21B8">
        <w:t>s</w:t>
      </w:r>
      <w:r w:rsidRPr="002C21B8">
        <w:t xml:space="preserve"> 1 and 2, with capacity challenges due to treating ADPKD patients in high patient volume generic clinics. At the ‘Individuals’ level, proactive clinicians led the management of the tolvaptan pathway in Case 2</w:t>
      </w:r>
      <w:r w:rsidR="00DE468C" w:rsidRPr="002C21B8">
        <w:t>,</w:t>
      </w:r>
      <w:r w:rsidRPr="002C21B8">
        <w:t xml:space="preserve"> which could maximise treatment access, </w:t>
      </w:r>
      <w:r w:rsidR="00E32F9E" w:rsidRPr="002C21B8">
        <w:t xml:space="preserve">whereas less experienced staff appeared to </w:t>
      </w:r>
      <w:r w:rsidR="00C85D1B" w:rsidRPr="002C21B8">
        <w:t xml:space="preserve">contribute </w:t>
      </w:r>
      <w:r w:rsidR="00E32F9E" w:rsidRPr="002C21B8">
        <w:t xml:space="preserve">to eligible patients not being initiated on </w:t>
      </w:r>
      <w:r w:rsidR="006F57F2" w:rsidRPr="002C21B8">
        <w:t>the medication</w:t>
      </w:r>
      <w:r w:rsidR="00E32F9E" w:rsidRPr="002C21B8">
        <w:t xml:space="preserve"> in Case 1. Case 3 reported occasional off-guideline use</w:t>
      </w:r>
      <w:r w:rsidR="00DE468C" w:rsidRPr="002C21B8">
        <w:t>,</w:t>
      </w:r>
      <w:r w:rsidR="00E32F9E" w:rsidRPr="002C21B8">
        <w:t xml:space="preserve"> potentially contributing to initiation in patients </w:t>
      </w:r>
      <w:r w:rsidR="0096470B" w:rsidRPr="002C21B8">
        <w:t xml:space="preserve">who were </w:t>
      </w:r>
      <w:r w:rsidR="00E32F9E" w:rsidRPr="002C21B8">
        <w:t>not eligible for</w:t>
      </w:r>
      <w:r w:rsidR="00D875C0" w:rsidRPr="002C21B8">
        <w:t xml:space="preserve"> the</w:t>
      </w:r>
      <w:r w:rsidR="00E32F9E" w:rsidRPr="002C21B8">
        <w:t xml:space="preserve"> </w:t>
      </w:r>
      <w:r w:rsidR="00D875C0" w:rsidRPr="002C21B8">
        <w:t>medication</w:t>
      </w:r>
      <w:r w:rsidR="00E32F9E" w:rsidRPr="002C21B8">
        <w:t>.</w:t>
      </w:r>
    </w:p>
    <w:bookmarkEnd w:id="190"/>
    <w:p w14:paraId="12267728" w14:textId="77777777" w:rsidR="005E4945" w:rsidRPr="002C21B8" w:rsidRDefault="005E4945" w:rsidP="00EC4437">
      <w:pPr>
        <w:spacing w:before="240" w:after="0"/>
        <w:rPr>
          <w:b/>
          <w:bCs/>
          <w:sz w:val="24"/>
          <w:szCs w:val="24"/>
        </w:rPr>
      </w:pPr>
      <w:r w:rsidRPr="002C21B8">
        <w:rPr>
          <w:b/>
          <w:bCs/>
          <w:sz w:val="24"/>
          <w:szCs w:val="24"/>
        </w:rPr>
        <w:t>Interpretation of findings in relation to prior research</w:t>
      </w:r>
    </w:p>
    <w:p w14:paraId="68B5FE3D" w14:textId="3F769371" w:rsidR="005E4945" w:rsidRPr="002C21B8" w:rsidRDefault="00040BFF" w:rsidP="005E4945">
      <w:r w:rsidRPr="002C21B8">
        <w:t>R</w:t>
      </w:r>
      <w:r w:rsidR="005E4945" w:rsidRPr="002C21B8">
        <w:t xml:space="preserve">egistry </w:t>
      </w:r>
      <w:r w:rsidR="005E4945" w:rsidRPr="002C21B8">
        <w:fldChar w:fldCharType="begin"/>
      </w:r>
      <w:r w:rsidR="00752F2B" w:rsidRPr="002C21B8">
        <w:instrText xml:space="preserve"> ADDIN EN.CITE &lt;EndNote&gt;&lt;Cite&gt;&lt;Author&gt;Gittus&lt;/Author&gt;&lt;Year&gt;2023&lt;/Year&gt;&lt;RecNum&gt;125286&lt;/RecNum&gt;&lt;DisplayText&gt;(Gittus&lt;style face="italic"&gt; et al.&lt;/style&gt;, 2023b)&lt;/DisplayText&gt;&lt;record&gt;&lt;rec-number&gt;125286&lt;/rec-number&gt;&lt;foreign-keys&gt;&lt;key app="EN" db-id="xpefzwa5hf9dt2ea9fax95x7xvxz90v09dtf" timestamp="1774363698"&gt;125286&lt;/key&gt;&lt;/foreign-keys&gt;&lt;ref-type name="Journal Article"&gt;17&lt;/ref-type&gt;&lt;contributors&gt;&lt;authors&gt;&lt;author&gt;Gittus, M.&lt;/author&gt;&lt;author&gt;Downward, L.&lt;/author&gt;&lt;author&gt;Pitcher, D.&lt;/author&gt;&lt;author&gt;Fotheringham, J.&lt;/author&gt;&lt;/authors&gt;&lt;/contributors&gt;&lt;titles&gt;&lt;title&gt;Centre-level variation in tolvaptan prescrbing for ADPKD in the UK&lt;/title&gt;&lt;secondary-title&gt;UK Kidney Week 2023&lt;/secondary-title&gt;&lt;/titles&gt;&lt;dates&gt;&lt;year&gt;2023&lt;/year&gt;&lt;/dates&gt;&lt;urls&gt;&lt;/urls&gt;&lt;/record&gt;&lt;/Cite&gt;&lt;/EndNote&gt;</w:instrText>
      </w:r>
      <w:r w:rsidR="005E4945" w:rsidRPr="002C21B8">
        <w:fldChar w:fldCharType="separate"/>
      </w:r>
      <w:r w:rsidR="006708C1" w:rsidRPr="002C21B8">
        <w:rPr>
          <w:noProof/>
        </w:rPr>
        <w:t>(Gittus</w:t>
      </w:r>
      <w:r w:rsidR="006708C1" w:rsidRPr="002C21B8">
        <w:rPr>
          <w:i/>
          <w:noProof/>
        </w:rPr>
        <w:t xml:space="preserve"> et al.</w:t>
      </w:r>
      <w:r w:rsidR="006708C1" w:rsidRPr="002C21B8">
        <w:rPr>
          <w:noProof/>
        </w:rPr>
        <w:t>, 2023b)</w:t>
      </w:r>
      <w:r w:rsidR="005E4945" w:rsidRPr="002C21B8">
        <w:fldChar w:fldCharType="end"/>
      </w:r>
      <w:r w:rsidR="005E4945" w:rsidRPr="002C21B8">
        <w:t xml:space="preserve"> and reimbursement studies </w:t>
      </w:r>
      <w:r w:rsidR="006E1736" w:rsidRPr="002C21B8">
        <w:fldChar w:fldCharType="begin"/>
      </w:r>
      <w:r w:rsidR="006E1736" w:rsidRPr="002C21B8">
        <w:instrText xml:space="preserve"> ADDIN EN.CITE &lt;EndNote&gt;&lt;Cite&gt;&lt;Author&gt;Chong&lt;/Author&gt;&lt;Year&gt;2022&lt;/Year&gt;&lt;RecNum&gt;125304&lt;/RecNum&gt;&lt;DisplayText&gt;(Chong,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6E1736" w:rsidRPr="002C21B8">
        <w:fldChar w:fldCharType="separate"/>
      </w:r>
      <w:r w:rsidR="006E1736" w:rsidRPr="002C21B8">
        <w:t>(Chong, Harris and Ong, 2022)</w:t>
      </w:r>
      <w:r w:rsidR="006E1736" w:rsidRPr="002C21B8">
        <w:fldChar w:fldCharType="end"/>
      </w:r>
      <w:r w:rsidR="005E4945" w:rsidRPr="002C21B8">
        <w:t xml:space="preserve"> have documented </w:t>
      </w:r>
      <w:r w:rsidR="00EF3E5E" w:rsidRPr="002C21B8">
        <w:t xml:space="preserve">potential </w:t>
      </w:r>
      <w:r w:rsidR="005E4945" w:rsidRPr="002C21B8">
        <w:t xml:space="preserve">variation in tolvaptan prescribing between kidney centres but provided limited insights into </w:t>
      </w:r>
      <w:r w:rsidR="005E4945" w:rsidRPr="002C21B8">
        <w:rPr>
          <w:i/>
          <w:iCs/>
        </w:rPr>
        <w:t>why</w:t>
      </w:r>
      <w:r w:rsidR="005E4945" w:rsidRPr="002C21B8">
        <w:t xml:space="preserve"> such variation occurs. Although medication costs are reimbursed through commissioning mechanisms, the absence of dedicated funding to support implementation and monitoring placed implementation responsibilities on local centres. This aligns with prior literature suggesting that operational costs and workforce capacity are key determinants </w:t>
      </w:r>
      <w:r w:rsidR="006515AF">
        <w:t xml:space="preserve">in the </w:t>
      </w:r>
      <w:r w:rsidR="005E4945" w:rsidRPr="002C21B8">
        <w:t xml:space="preserve">adoption for resource-intensive </w:t>
      </w:r>
      <w:r w:rsidR="00EA434A" w:rsidRPr="002C21B8">
        <w:t>medications</w:t>
      </w:r>
      <w:r w:rsidR="005E4945" w:rsidRPr="002C21B8">
        <w:t xml:space="preserve"> </w:t>
      </w:r>
      <w:r w:rsidR="005E4945" w:rsidRPr="002C21B8">
        <w:fldChar w:fldCharType="begin"/>
      </w:r>
      <w:r w:rsidR="00590E88" w:rsidRPr="002C21B8">
        <w:instrText xml:space="preserve"> ADDIN EN.CITE &lt;EndNote&gt;&lt;Cite&gt;&lt;Author&gt;Medlinskiene&lt;/Author&gt;&lt;Year&gt;2021&lt;/Year&gt;&lt;RecNum&gt;125086&lt;/RecNum&gt;&lt;DisplayText&gt;(Medlinskiene&lt;style face="italic"&gt; et al.&lt;/style&gt;, 2021)&lt;/DisplayText&gt;&lt;record&gt;&lt;rec-number&gt;125086&lt;/rec-number&gt;&lt;foreign-keys&gt;&lt;key app="EN" db-id="xpefzwa5hf9dt2ea9fax95x7xvxz90v09dtf" timestamp="1764083724"&gt;125086&lt;/key&gt;&lt;/foreign-keys&gt;&lt;ref-type name="Journal Article"&gt;17&lt;/ref-type&gt;&lt;contributors&gt;&lt;authors&gt;&lt;author&gt;Medlinskiene, Kristina&lt;/author&gt;&lt;author&gt;Tomlinson, Justine&lt;/author&gt;&lt;author&gt;Marques, Iuri&lt;/author&gt;&lt;author&gt;Richardson, Sue&lt;/author&gt;&lt;author&gt;Stirling, Katherine&lt;/author&gt;&lt;author&gt;Petty, Duncan&lt;/author&gt;&lt;/authors&gt;&lt;/contributors&gt;&lt;titles&gt;&lt;title&gt;Barriers and facilitators to the uptake of new medicines into clinical practice: a systematic review&lt;/title&gt;&lt;secondary-title&gt;BMC Health Services Research&lt;/secondary-title&gt;&lt;/titles&gt;&lt;periodical&gt;&lt;full-title&gt;BMC health services research&lt;/full-title&gt;&lt;/periodical&gt;&lt;pages&gt;1198&lt;/pages&gt;&lt;volume&gt;21&lt;/volume&gt;&lt;number&gt;1&lt;/number&gt;&lt;dates&gt;&lt;year&gt;2021&lt;/year&gt;&lt;/dates&gt;&lt;isbn&gt;1472-6963&lt;/isbn&gt;&lt;urls&gt;&lt;/urls&gt;&lt;/record&gt;&lt;/Cite&gt;&lt;/EndNote&gt;</w:instrText>
      </w:r>
      <w:r w:rsidR="005E4945" w:rsidRPr="002C21B8">
        <w:fldChar w:fldCharType="separate"/>
      </w:r>
      <w:r w:rsidR="005E4945" w:rsidRPr="002C21B8">
        <w:rPr>
          <w:noProof/>
        </w:rPr>
        <w:t>(Medlinskiene</w:t>
      </w:r>
      <w:r w:rsidR="005E4945" w:rsidRPr="002C21B8">
        <w:rPr>
          <w:i/>
          <w:noProof/>
        </w:rPr>
        <w:t xml:space="preserve"> et al.</w:t>
      </w:r>
      <w:r w:rsidR="005E4945" w:rsidRPr="002C21B8">
        <w:rPr>
          <w:noProof/>
        </w:rPr>
        <w:t>, 2021)</w:t>
      </w:r>
      <w:r w:rsidR="005E4945" w:rsidRPr="002C21B8">
        <w:fldChar w:fldCharType="end"/>
      </w:r>
      <w:r w:rsidR="005E4945" w:rsidRPr="002C21B8">
        <w:t>.</w:t>
      </w:r>
    </w:p>
    <w:p w14:paraId="28E759A8" w14:textId="6838B80C" w:rsidR="005E4945" w:rsidRPr="002C21B8" w:rsidRDefault="00EE24A2" w:rsidP="005E4945">
      <w:r w:rsidRPr="002C21B8">
        <w:t>O</w:t>
      </w:r>
      <w:r w:rsidR="005E4945" w:rsidRPr="002C21B8">
        <w:t xml:space="preserve">ur findings </w:t>
      </w:r>
      <w:r w:rsidRPr="002C21B8">
        <w:t>are consistent with other studies assessing the implementation of new medic</w:t>
      </w:r>
      <w:r w:rsidR="004A465C" w:rsidRPr="002C21B8">
        <w:t>ation</w:t>
      </w:r>
      <w:r w:rsidRPr="002C21B8">
        <w:t xml:space="preserve">s, such as the introduction of direct-acting antivirals for </w:t>
      </w:r>
      <w:r w:rsidR="008217E9" w:rsidRPr="002C21B8">
        <w:t>H</w:t>
      </w:r>
      <w:r w:rsidRPr="002C21B8">
        <w:t xml:space="preserve">epatitis C </w:t>
      </w:r>
      <w:r w:rsidRPr="002C21B8">
        <w:fldChar w:fldCharType="begin"/>
      </w:r>
      <w:r w:rsidRPr="002C21B8">
        <w:instrText xml:space="preserve"> ADDIN EN.CITE &lt;EndNote&gt;&lt;Cite&gt;&lt;Author&gt;Rogal&lt;/Author&gt;&lt;Year&gt;2017&lt;/Year&gt;&lt;RecNum&gt;125193&lt;/RecNum&gt;&lt;DisplayText&gt;(Rogal&lt;style face="italic"&gt; et al.&lt;/style&gt;, 2017)&lt;/DisplayText&gt;&lt;record&gt;&lt;rec-number&gt;125193&lt;/rec-number&gt;&lt;foreign-keys&gt;&lt;key app="EN" db-id="xpefzwa5hf9dt2ea9fax95x7xvxz90v09dtf" timestamp="1770991696"&gt;125193&lt;/key&gt;&lt;/foreign-keys&gt;&lt;ref-type name="Journal Article"&gt;17&lt;/ref-type&gt;&lt;contributors&gt;&lt;authors&gt;&lt;author&gt;Rogal, Shari S&lt;/author&gt;&lt;author&gt;Yakovchenko, Vera&lt;/author&gt;&lt;author&gt;Waltz, Thomas J&lt;/author&gt;&lt;author&gt;Powell, Byron J&lt;/author&gt;&lt;author&gt;Kirchner, JoAnn E&lt;/author&gt;&lt;author&gt;Proctor, Enola K&lt;/author&gt;&lt;author&gt;Gonzalez, Rachel&lt;/author&gt;&lt;author&gt;Park, Angela&lt;/author&gt;&lt;author&gt;Ross, David&lt;/author&gt;&lt;author&gt;Morgan, Timothy R&lt;/author&gt;&lt;/authors&gt;&lt;/contributors&gt;&lt;titles&gt;&lt;title&gt;The association between implementation strategy use and the uptake of hepatitis C treatment in a national sample&lt;/title&gt;&lt;secondary-title&gt;Implementation Science&lt;/secondary-title&gt;&lt;/titles&gt;&lt;periodical&gt;&lt;full-title&gt;Implementation Science&lt;/full-title&gt;&lt;/periodical&gt;&lt;pages&gt;60&lt;/pages&gt;&lt;volume&gt;12&lt;/volume&gt;&lt;number&gt;1&lt;/number&gt;&lt;dates&gt;&lt;year&gt;2017&lt;/year&gt;&lt;/dates&gt;&lt;isbn&gt;1748-5908&lt;/isbn&gt;&lt;urls&gt;&lt;/urls&gt;&lt;/record&gt;&lt;/Cite&gt;&lt;/EndNote&gt;</w:instrText>
      </w:r>
      <w:r w:rsidRPr="002C21B8">
        <w:fldChar w:fldCharType="separate"/>
      </w:r>
      <w:r w:rsidRPr="002C21B8">
        <w:t>(Rogal</w:t>
      </w:r>
      <w:r w:rsidRPr="002C21B8">
        <w:rPr>
          <w:i/>
        </w:rPr>
        <w:t xml:space="preserve"> et al.</w:t>
      </w:r>
      <w:r w:rsidRPr="002C21B8">
        <w:t>, 2017)</w:t>
      </w:r>
      <w:r w:rsidRPr="002C21B8">
        <w:fldChar w:fldCharType="end"/>
      </w:r>
      <w:r w:rsidR="00AA7F2E" w:rsidRPr="002C21B8">
        <w:t xml:space="preserve">. This </w:t>
      </w:r>
      <w:r w:rsidR="005E4945" w:rsidRPr="002C21B8">
        <w:t>demonstrate</w:t>
      </w:r>
      <w:r w:rsidR="00AA7F2E" w:rsidRPr="002C21B8">
        <w:t>d</w:t>
      </w:r>
      <w:r w:rsidR="005E4945" w:rsidRPr="002C21B8">
        <w:t xml:space="preserve"> that strong clinical evidence and published guidelines alone do not ensure consisten</w:t>
      </w:r>
      <w:r w:rsidRPr="002C21B8">
        <w:t>t and widespread</w:t>
      </w:r>
      <w:r w:rsidR="005E4945" w:rsidRPr="002C21B8">
        <w:t xml:space="preserve"> adoption of new </w:t>
      </w:r>
      <w:r w:rsidR="00892EE2" w:rsidRPr="002C21B8">
        <w:t>medication</w:t>
      </w:r>
      <w:r w:rsidR="005E4945" w:rsidRPr="002C21B8">
        <w:t xml:space="preserve">s. Implementation research has highlighted the importance of organisational processes and service-level operationalisation in shaping uptake, particularly where guidelines focus on eligibility rather than how care pathways should be organised locally </w:t>
      </w:r>
      <w:r w:rsidR="005E4945" w:rsidRPr="002C21B8">
        <w:fldChar w:fldCharType="begin">
          <w:fldData xml:space="preserve">PEVuZE5vdGU+PENpdGU+PEF1dGhvcj5QZXRlcnM8L0F1dGhvcj48WWVhcj4yMDIyPC9ZZWFyPjxS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</w:fldData>
        </w:fldChar>
      </w:r>
      <w:r w:rsidR="000215B0" w:rsidRPr="002C21B8">
        <w:instrText xml:space="preserve"> ADDIN EN.CITE </w:instrText>
      </w:r>
      <w:r w:rsidR="000215B0" w:rsidRPr="002C21B8">
        <w:fldChar w:fldCharType="begin">
          <w:fldData xml:space="preserve">PEVuZE5vdGU+PENpdGU+PEF1dGhvcj5QZXRlcnM8L0F1dGhvcj48WWVhcj4yMDIyPC9ZZWFyPjxS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</w:fldData>
        </w:fldChar>
      </w:r>
      <w:r w:rsidR="000215B0" w:rsidRPr="002C21B8">
        <w:instrText xml:space="preserve"> ADDIN EN.CITE.DATA </w:instrText>
      </w:r>
      <w:r w:rsidR="000215B0" w:rsidRPr="002C21B8">
        <w:fldChar w:fldCharType="end"/>
      </w:r>
      <w:r w:rsidR="005E4945" w:rsidRPr="002C21B8">
        <w:fldChar w:fldCharType="separate"/>
      </w:r>
      <w:r w:rsidR="00347825" w:rsidRPr="002C21B8">
        <w:rPr>
          <w:noProof/>
        </w:rPr>
        <w:t>(Pereira</w:t>
      </w:r>
      <w:r w:rsidR="00347825" w:rsidRPr="002C21B8">
        <w:rPr>
          <w:i/>
          <w:noProof/>
        </w:rPr>
        <w:t xml:space="preserve"> et al.</w:t>
      </w:r>
      <w:r w:rsidR="00347825" w:rsidRPr="002C21B8">
        <w:rPr>
          <w:noProof/>
        </w:rPr>
        <w:t>, 2022; Peters</w:t>
      </w:r>
      <w:r w:rsidR="00347825" w:rsidRPr="002C21B8">
        <w:rPr>
          <w:i/>
          <w:noProof/>
        </w:rPr>
        <w:t xml:space="preserve"> et al.</w:t>
      </w:r>
      <w:r w:rsidR="00347825" w:rsidRPr="002C21B8">
        <w:rPr>
          <w:noProof/>
        </w:rPr>
        <w:t>, 2022)</w:t>
      </w:r>
      <w:r w:rsidR="005E4945" w:rsidRPr="002C21B8">
        <w:fldChar w:fldCharType="end"/>
      </w:r>
      <w:r w:rsidR="005E4945" w:rsidRPr="002C21B8">
        <w:t xml:space="preserve">. </w:t>
      </w:r>
      <w:r w:rsidR="00056401" w:rsidRPr="002C21B8">
        <w:t>However, t</w:t>
      </w:r>
      <w:r w:rsidR="005E4945" w:rsidRPr="002C21B8">
        <w:t>he absence of detailed operational recommendations may reflect appropriate flexibility given variation in service structures and resource constraints. However, this flexibility also permits the develop</w:t>
      </w:r>
      <w:r w:rsidR="00CF4750" w:rsidRPr="002C21B8">
        <w:t>ment</w:t>
      </w:r>
      <w:r w:rsidR="005E4945" w:rsidRPr="002C21B8">
        <w:t xml:space="preserve"> of locally adapted pathways, which can contribute to variation in patient identification and prescribing patterns</w:t>
      </w:r>
      <w:r w:rsidR="00C07D4B">
        <w:t xml:space="preserve"> </w:t>
      </w:r>
      <w:r w:rsidR="00C07D4B">
        <w:fldChar w:fldCharType="begin"/>
      </w:r>
      <w:r w:rsidR="00C07D4B">
        <w:instrText xml:space="preserve"> ADDIN EN.CITE &lt;EndNote&gt;&lt;Cite&gt;&lt;Author&gt;Damschroder&lt;/Author&gt;&lt;Year&gt;2009&lt;/Year&gt;&lt;RecNum&gt;125637&lt;/RecNum&gt;&lt;DisplayText&gt;(Damschroder&lt;style face="italic"&gt; et al.&lt;/style&gt;, 2009)&lt;/DisplayText&gt;&lt;record&gt;&lt;rec-number&gt;125637&lt;/rec-number&gt;&lt;foreign-keys&gt;&lt;key app="EN" db-id="xpefzwa5hf9dt2ea9fax95x7xvxz90v09dtf" timestamp="1786096946"&gt;125637&lt;/key&gt;&lt;/foreign-keys&gt;&lt;ref-type name="Journal Article"&gt;17&lt;/ref-type&gt;&lt;contributors&gt;&lt;authors&gt;&lt;author&gt;Damschroder, Laura J&lt;/author&gt;&lt;author&gt;Aron, David C&lt;/author&gt;&lt;author&gt;Keith, Rosalind E&lt;/author&gt;&lt;author&gt;Kirsh, Susan R&lt;/author&gt;&lt;author&gt;Alexander, Jeffery A&lt;/author&gt;&lt;author&gt;Lowery, Julie C&lt;/author&gt;&lt;/authors&gt;&lt;/contributors&gt;&lt;titles&gt;&lt;title&gt;Fostering implementation of health services research findings into practice: a consolidated framework for advancing implementation science&lt;/title&gt;&lt;secondary-title&gt;Implementation science&lt;/secondary-title&gt;&lt;/titles&gt;&lt;periodical&gt;&lt;full-title&gt;Implementation Science&lt;/full-title&gt;&lt;/periodical&gt;&lt;pages&gt;50&lt;/pages&gt;&lt;volume&gt;4&lt;/volume&gt;&lt;number&gt;1&lt;/number&gt;&lt;dates&gt;&lt;year&gt;2009&lt;/year&gt;&lt;/dates&gt;&lt;isbn&gt;1748-5908&lt;/isbn&gt;&lt;urls&gt;&lt;/urls&gt;&lt;/record&gt;&lt;/Cite&gt;&lt;/EndNote&gt;</w:instrText>
      </w:r>
      <w:r w:rsidR="00C07D4B">
        <w:fldChar w:fldCharType="separate"/>
      </w:r>
      <w:r w:rsidR="00C07D4B">
        <w:rPr>
          <w:noProof/>
        </w:rPr>
        <w:t>(Damschroder</w:t>
      </w:r>
      <w:r w:rsidR="00C07D4B" w:rsidRPr="00C07D4B">
        <w:rPr>
          <w:i/>
          <w:noProof/>
        </w:rPr>
        <w:t xml:space="preserve"> et al.</w:t>
      </w:r>
      <w:r w:rsidR="00C07D4B">
        <w:rPr>
          <w:noProof/>
        </w:rPr>
        <w:t>, 2009)</w:t>
      </w:r>
      <w:r w:rsidR="00C07D4B">
        <w:fldChar w:fldCharType="end"/>
      </w:r>
      <w:r w:rsidR="005E4945" w:rsidRPr="002C21B8">
        <w:t>.</w:t>
      </w:r>
    </w:p>
    <w:p w14:paraId="4E67404C" w14:textId="4191FB71" w:rsidR="005E4945" w:rsidRPr="002C21B8" w:rsidRDefault="005E4945" w:rsidP="005E4945">
      <w:r w:rsidRPr="002C21B8">
        <w:t xml:space="preserve">A systematic review similarly highlighted the role of peer influence on the implementation success of new medications </w:t>
      </w:r>
      <w:r w:rsidRPr="002C21B8">
        <w:fldChar w:fldCharType="begin"/>
      </w:r>
      <w:r w:rsidR="00590E88" w:rsidRPr="002C21B8">
        <w:instrText xml:space="preserve"> ADDIN EN.CITE &lt;EndNote&gt;&lt;Cite&gt;&lt;Author&gt;Medlinskiene&lt;/Author&gt;&lt;Year&gt;2021&lt;/Year&gt;&lt;RecNum&gt;125086&lt;/RecNum&gt;&lt;DisplayText&gt;(Medlinskiene&lt;style face="italic"&gt; et al.&lt;/style&gt;, 2021)&lt;/DisplayText&gt;&lt;record&gt;&lt;rec-number&gt;125086&lt;/rec-number&gt;&lt;foreign-keys&gt;&lt;key app="EN" db-id="xpefzwa5hf9dt2ea9fax95x7xvxz90v09dtf" timestamp="1764083724"&gt;125086&lt;/key&gt;&lt;/foreign-keys&gt;&lt;ref-type name="Journal Article"&gt;17&lt;/ref-type&gt;&lt;contributors&gt;&lt;authors&gt;&lt;author&gt;Medlinskiene, Kristina&lt;/author&gt;&lt;author&gt;Tomlinson, Justine&lt;/author&gt;&lt;author&gt;Marques, Iuri&lt;/author&gt;&lt;author&gt;Richardson, Sue&lt;/author&gt;&lt;author&gt;Stirling, Katherine&lt;/author&gt;&lt;author&gt;Petty, Duncan&lt;/author&gt;&lt;/authors&gt;&lt;/contributors&gt;&lt;titles&gt;&lt;title&gt;Barriers and facilitators to the uptake of new medicines into clinical practice: a systematic review&lt;/title&gt;&lt;secondary-title&gt;BMC Health Services Research&lt;/secondary-title&gt;&lt;/titles&gt;&lt;periodical&gt;&lt;full-title&gt;BMC health services research&lt;/full-title&gt;&lt;/periodical&gt;&lt;pages&gt;1198&lt;/pages&gt;&lt;volume&gt;21&lt;/volume&gt;&lt;number&gt;1&lt;/number&gt;&lt;dates&gt;&lt;year&gt;2021&lt;/year&gt;&lt;/dates&gt;&lt;isbn&gt;1472-6963&lt;/isbn&gt;&lt;urls&gt;&lt;/urls&gt;&lt;/record&gt;&lt;/Cite&gt;&lt;/EndNote&gt;</w:instrText>
      </w:r>
      <w:r w:rsidRPr="002C21B8">
        <w:fldChar w:fldCharType="separate"/>
      </w:r>
      <w:r w:rsidRPr="002C21B8">
        <w:rPr>
          <w:noProof/>
        </w:rPr>
        <w:t>(Medlinskiene</w:t>
      </w:r>
      <w:r w:rsidRPr="002C21B8">
        <w:rPr>
          <w:i/>
          <w:noProof/>
        </w:rPr>
        <w:t xml:space="preserve"> et al.</w:t>
      </w:r>
      <w:r w:rsidRPr="002C21B8">
        <w:rPr>
          <w:noProof/>
        </w:rPr>
        <w:t>, 2021)</w:t>
      </w:r>
      <w:r w:rsidRPr="002C21B8">
        <w:fldChar w:fldCharType="end"/>
      </w:r>
      <w:r w:rsidRPr="002C21B8">
        <w:t xml:space="preserve">. Others have described this as the “prescribing contagion effect” where peer support can accelerate the implementation of services and uptake of new </w:t>
      </w:r>
      <w:r w:rsidR="00BD6C3A" w:rsidRPr="002C21B8">
        <w:t>medication</w:t>
      </w:r>
      <w:r w:rsidRPr="002C21B8">
        <w:t xml:space="preserve">s </w:t>
      </w:r>
      <w:r w:rsidRPr="002C21B8">
        <w:fldChar w:fldCharType="begin"/>
      </w:r>
      <w:r w:rsidR="002F6167" w:rsidRPr="002C21B8">
        <w:instrText xml:space="preserve"> ADDIN EN.CITE &lt;EndNote&gt;&lt;Cite&gt;&lt;Author&gt;Iyengar&lt;/Author&gt;&lt;Year&gt;2011&lt;/Year&gt;&lt;RecNum&gt;125096&lt;/RecNum&gt;&lt;DisplayText&gt;(Iyengar, Van den Bulte and Valente, 2011)&lt;/DisplayText&gt;&lt;record&gt;&lt;rec-number&gt;125096&lt;/rec-number&gt;&lt;foreign-keys&gt;&lt;key app="EN" db-id="xpefzwa5hf9dt2ea9fax95x7xvxz90v09dtf" timestamp="1764170397"&gt;125096&lt;/key&gt;&lt;/foreign-keys&gt;&lt;ref-type name="Journal Article"&gt;17&lt;/ref-type&gt;&lt;contributors&gt;&lt;authors&gt;&lt;author&gt;Iyengar, Raghuram&lt;/author&gt;&lt;author&gt;Van den Bulte, Christophe&lt;/author&gt;&lt;author&gt;Valente, Thomas W&lt;/author&gt;&lt;/authors&gt;&lt;/contributors&gt;&lt;titles&gt;&lt;title&gt;Opinion leadership and social contagion in new product diffusion&lt;/title&gt;&lt;secondary-title&gt;Marketing Science&lt;/secondary-title&gt;&lt;/titles&gt;&lt;periodical&gt;&lt;full-title&gt;Marketing science&lt;/full-title&gt;&lt;/periodical&gt;&lt;pages&gt;195-212&lt;/pages&gt;&lt;volume&gt;30&lt;/volume&gt;&lt;number&gt;2&lt;/number&gt;&lt;dates&gt;&lt;year&gt;2011&lt;/year&gt;&lt;/dates&gt;&lt;isbn&gt;0732-2399&lt;/isbn&gt;&lt;urls&gt;&lt;/urls&gt;&lt;/record&gt;&lt;/Cite&gt;&lt;/EndNote&gt;</w:instrText>
      </w:r>
      <w:r w:rsidRPr="002C21B8">
        <w:fldChar w:fldCharType="separate"/>
      </w:r>
      <w:r w:rsidRPr="002C21B8">
        <w:rPr>
          <w:noProof/>
        </w:rPr>
        <w:t>(Iyengar, Van den Bulte and Valente, 2011)</w:t>
      </w:r>
      <w:r w:rsidRPr="002C21B8">
        <w:fldChar w:fldCharType="end"/>
      </w:r>
      <w:r w:rsidRPr="002C21B8">
        <w:t>. Similarly</w:t>
      </w:r>
      <w:r w:rsidR="00DE468C" w:rsidRPr="002C21B8">
        <w:t>,</w:t>
      </w:r>
      <w:r w:rsidRPr="002C21B8">
        <w:t xml:space="preserve"> participation in clinical trials has been associated with early adoption of </w:t>
      </w:r>
      <w:r w:rsidR="00BD6C3A" w:rsidRPr="002C21B8">
        <w:t>medications</w:t>
      </w:r>
      <w:r w:rsidRPr="002C21B8">
        <w:t xml:space="preserve"> through increased familiarity with the evidence and confidence in operational delivery</w:t>
      </w:r>
      <w:r w:rsidR="006A7575" w:rsidRPr="002C21B8">
        <w:t xml:space="preserve"> </w:t>
      </w:r>
      <w:r w:rsidR="006A7575" w:rsidRPr="002C21B8">
        <w:fldChar w:fldCharType="begin"/>
      </w:r>
      <w:r w:rsidR="00590E88" w:rsidRPr="002C21B8">
        <w:instrText xml:space="preserve"> ADDIN EN.CITE &lt;EndNote&gt;&lt;Cite&gt;&lt;Author&gt;Lublóy&lt;/Author&gt;&lt;Year&gt;2014&lt;/Year&gt;&lt;RecNum&gt;124552&lt;/RecNum&gt;&lt;DisplayText&gt;(Lublóy, 2014)&lt;/DisplayText&gt;&lt;record&gt;&lt;rec-number&gt;124552&lt;/rec-number&gt;&lt;foreign-keys&gt;&lt;key app="EN" db-id="xpefzwa5hf9dt2ea9fax95x7xvxz90v09dtf" timestamp="1741958153"&gt;124552&lt;/key&gt;&lt;/foreign-keys&gt;&lt;ref-type name="Journal Article"&gt;17&lt;/ref-type&gt;&lt;contributors&gt;&lt;authors&gt;&lt;author&gt;Lublóy, Á&lt;/author&gt;&lt;/authors&gt;&lt;/contributors&gt;&lt;auth-address&gt;Department of Finance, Institute of Finance and Accounting, Corvinus University of Budapest, Fővám tér 8, Budapest 1093, Hungary. agnes.lubloy@uni-corvinus.hu.&lt;/auth-address&gt;&lt;titles&gt;&lt;title&gt;Factors affecting the uptake of new medicines: a systematic literature review&lt;/title&gt;&lt;secondary-title&gt;BMC Health Services Research&lt;/secondary-title&gt;&lt;/titles&gt;&lt;periodical&gt;&lt;full-title&gt;BMC health services research&lt;/full-title&gt;&lt;/periodical&gt;&lt;pages&gt;469&lt;/pages&gt;&lt;volume&gt;14&lt;/volume&gt;&lt;edition&gt;20141020&lt;/edition&gt;&lt;keywords&gt;&lt;keyword&gt;Decision Making&lt;/keyword&gt;&lt;keyword&gt;Diffusion of Innovation&lt;/keyword&gt;&lt;keyword&gt;*Drug Utilization/economics/statistics &amp;amp; numerical data&lt;/keyword&gt;&lt;keyword&gt;Humans&lt;/keyword&gt;&lt;keyword&gt;*Practice Patterns, Physicians&amp;apos;/economics/statistics &amp;amp; numerical data&lt;/keyword&gt;&lt;/keywords&gt;&lt;dates&gt;&lt;year&gt;2014&lt;/year&gt;&lt;pub-dates&gt;&lt;date&gt;Oct 20&lt;/date&gt;&lt;/pub-dates&gt;&lt;/dates&gt;&lt;isbn&gt;1472-6963&lt;/isbn&gt;&lt;accession-num&gt;25331607&lt;/accession-num&gt;&lt;urls&gt;&lt;/urls&gt;&lt;custom2&gt;PMC4283087&lt;/custom2&gt;&lt;electronic-resource-num&gt;10.1186/1472-6963-14-469&lt;/electronic-resource-num&gt;&lt;remote-database-provider&gt;NLM&lt;/remote-database-provider&gt;&lt;language&gt;eng&lt;/language&gt;&lt;/record&gt;&lt;/Cite&gt;&lt;/EndNote&gt;</w:instrText>
      </w:r>
      <w:r w:rsidR="006A7575" w:rsidRPr="002C21B8">
        <w:fldChar w:fldCharType="separate"/>
      </w:r>
      <w:r w:rsidR="006A7575" w:rsidRPr="002C21B8">
        <w:rPr>
          <w:noProof/>
        </w:rPr>
        <w:t>(Lublóy, 2014)</w:t>
      </w:r>
      <w:r w:rsidR="006A7575" w:rsidRPr="002C21B8">
        <w:fldChar w:fldCharType="end"/>
      </w:r>
      <w:r w:rsidRPr="002C21B8">
        <w:t xml:space="preserve">. Without access to clinical networks or early trial experience, centres rely on external feedback and local experience to build expertise. This is more challenging in settings with lower patient volumes, where limited case exposure constrains opportunities for learning and refinement of practice. Improvement can also take time, meaning some patients may miss opportunities or have delayed access to </w:t>
      </w:r>
      <w:r w:rsidR="0044048E" w:rsidRPr="002C21B8">
        <w:t>medication</w:t>
      </w:r>
      <w:r w:rsidRPr="002C21B8">
        <w:t>s</w:t>
      </w:r>
      <w:r w:rsidR="006A7575" w:rsidRPr="002C21B8">
        <w:t xml:space="preserve"> </w:t>
      </w:r>
      <w:r w:rsidR="006A7575" w:rsidRPr="002C21B8">
        <w:fldChar w:fldCharType="begin"/>
      </w:r>
      <w:r w:rsidR="00590E88" w:rsidRPr="002C21B8">
        <w:instrText xml:space="preserve"> ADDIN EN.CITE &lt;EndNote&gt;&lt;Cite&gt;&lt;Author&gt;Lublóy&lt;/Author&gt;&lt;Year&gt;2014&lt;/Year&gt;&lt;RecNum&gt;124552&lt;/RecNum&gt;&lt;DisplayText&gt;(Lublóy, 2014)&lt;/DisplayText&gt;&lt;record&gt;&lt;rec-number&gt;124552&lt;/rec-number&gt;&lt;foreign-keys&gt;&lt;key app="EN" db-id="xpefzwa5hf9dt2ea9fax95x7xvxz90v09dtf" timestamp="1741958153"&gt;124552&lt;/key&gt;&lt;/foreign-keys&gt;&lt;ref-type name="Journal Article"&gt;17&lt;/ref-type&gt;&lt;contributors&gt;&lt;authors&gt;&lt;author&gt;Lublóy, Á&lt;/author&gt;&lt;/authors&gt;&lt;/contributors&gt;&lt;auth-address&gt;Department of Finance, Institute of Finance and Accounting, Corvinus University of Budapest, Fővám tér 8, Budapest 1093, Hungary. agnes.lubloy@uni-corvinus.hu.&lt;/auth-address&gt;&lt;titles&gt;&lt;title&gt;Factors affecting the uptake of new medicines: a systematic literature review&lt;/title&gt;&lt;secondary-title&gt;BMC Health Services Research&lt;/secondary-title&gt;&lt;/titles&gt;&lt;periodical&gt;&lt;full-title&gt;BMC health services research&lt;/full-title&gt;&lt;/periodical&gt;&lt;pages&gt;469&lt;/pages&gt;&lt;volume&gt;14&lt;/volume&gt;&lt;edition&gt;20141020&lt;/edition&gt;&lt;keywords&gt;&lt;keyword&gt;Decision Making&lt;/keyword&gt;&lt;keyword&gt;Diffusion of Innovation&lt;/keyword&gt;&lt;keyword&gt;*Drug Utilization/economics/statistics &amp;amp; numerical data&lt;/keyword&gt;&lt;keyword&gt;Humans&lt;/keyword&gt;&lt;keyword&gt;*Practice Patterns, Physicians&amp;apos;/economics/statistics &amp;amp; numerical data&lt;/keyword&gt;&lt;/keywords&gt;&lt;dates&gt;&lt;year&gt;2014&lt;/year&gt;&lt;pub-dates&gt;&lt;date&gt;Oct 20&lt;/date&gt;&lt;/pub-dates&gt;&lt;/dates&gt;&lt;isbn&gt;1472-6963&lt;/isbn&gt;&lt;accession-num&gt;25331607&lt;/accession-num&gt;&lt;urls&gt;&lt;/urls&gt;&lt;custom2&gt;PMC4283087&lt;/custom2&gt;&lt;electronic-resource-num&gt;10.1186/1472-6963-14-469&lt;/electronic-resource-num&gt;&lt;remote-database-provider&gt;NLM&lt;/remote-database-provider&gt;&lt;language&gt;eng&lt;/language&gt;&lt;/record&gt;&lt;/Cite&gt;&lt;/EndNote&gt;</w:instrText>
      </w:r>
      <w:r w:rsidR="006A7575" w:rsidRPr="002C21B8">
        <w:fldChar w:fldCharType="separate"/>
      </w:r>
      <w:r w:rsidR="006A7575" w:rsidRPr="002C21B8">
        <w:rPr>
          <w:noProof/>
        </w:rPr>
        <w:t>(Lublóy, 2014)</w:t>
      </w:r>
      <w:r w:rsidR="006A7575" w:rsidRPr="002C21B8">
        <w:fldChar w:fldCharType="end"/>
      </w:r>
      <w:r w:rsidRPr="002C21B8">
        <w:t xml:space="preserve">. </w:t>
      </w:r>
      <w:r w:rsidR="00CC5378" w:rsidRPr="002C21B8">
        <w:t>E</w:t>
      </w:r>
      <w:r w:rsidRPr="002C21B8">
        <w:t xml:space="preserve">xternal pressure from outside organisations has been shown to potentially improve implementation, as observed </w:t>
      </w:r>
      <w:r w:rsidR="009C0421" w:rsidRPr="002C21B8">
        <w:t xml:space="preserve">in </w:t>
      </w:r>
      <w:r w:rsidRPr="002C21B8">
        <w:t xml:space="preserve">Case 1 in response to GIRFT feedback </w:t>
      </w:r>
      <w:r w:rsidRPr="002C21B8">
        <w:fldChar w:fldCharType="begin"/>
      </w:r>
      <w:r w:rsidRPr="002C21B8">
        <w:instrText xml:space="preserve"> ADDIN EN.CITE &lt;EndNote&gt;&lt;Cite&gt;&lt;Author&gt;Sarkies&lt;/Author&gt;&lt;Year&gt;2023&lt;/Year&gt;&lt;RecNum&gt;125099&lt;/RecNum&gt;&lt;DisplayText&gt;(Sarkies&lt;style face="italic"&gt; et al.&lt;/style&gt;, 2023)&lt;/DisplayText&gt;&lt;record&gt;&lt;rec-number&gt;125099&lt;/rec-number&gt;&lt;foreign-keys&gt;&lt;key app="EN" db-id="xpefzwa5hf9dt2ea9fax95x7xvxz90v09dtf" timestamp="1764172570"&gt;125099&lt;/key&gt;&lt;/foreign-keys&gt;&lt;ref-type name="Journal Article"&gt;17&lt;/ref-type&gt;&lt;contributors&gt;&lt;authors&gt;&lt;author&gt;Sarkies, Mitchell&lt;/author&gt;&lt;author&gt;Francis-Auton, Emilie&lt;/author&gt;&lt;author&gt;Long, Janet&lt;/author&gt;&lt;author&gt;Roberts, Natalie&lt;/author&gt;&lt;author&gt;Westbrook, Johanna&lt;/author&gt;&lt;author&gt;Levesque, Jean-Frederic&lt;/author&gt;&lt;author&gt;Watson, Diane E&lt;/author&gt;&lt;author&gt;Hardwick, Rebecca&lt;/author&gt;&lt;author&gt;Sutherland, Kim&lt;/author&gt;&lt;author&gt;Disher, Gary&lt;/author&gt;&lt;/authors&gt;&lt;/contributors&gt;&lt;titles&gt;&lt;title&gt;Audit and feedback to reduce unwarranted clinical variation at scale: a realist study of implementation strategy mechanisms&lt;/title&gt;&lt;secondary-title&gt;Implementation Science&lt;/secondary-title&gt;&lt;/titles&gt;&lt;periodical&gt;&lt;full-title&gt;Implementation Science&lt;/full-title&gt;&lt;/periodical&gt;&lt;pages&gt;71&lt;/pages&gt;&lt;volume&gt;18&lt;/volume&gt;&lt;number&gt;1&lt;/number&gt;&lt;dates&gt;&lt;year&gt;2023&lt;/year&gt;&lt;/dates&gt;&lt;isbn&gt;1748-5908&lt;/isbn&gt;&lt;urls&gt;&lt;/urls&gt;&lt;/record&gt;&lt;/Cite&gt;&lt;/EndNote&gt;</w:instrText>
      </w:r>
      <w:r w:rsidRPr="002C21B8">
        <w:fldChar w:fldCharType="separate"/>
      </w:r>
      <w:r w:rsidRPr="002C21B8">
        <w:t>(Sarkies</w:t>
      </w:r>
      <w:r w:rsidRPr="002C21B8">
        <w:rPr>
          <w:i/>
        </w:rPr>
        <w:t xml:space="preserve"> et al.</w:t>
      </w:r>
      <w:r w:rsidRPr="002C21B8">
        <w:t>, 2023)</w:t>
      </w:r>
      <w:r w:rsidRPr="002C21B8">
        <w:fldChar w:fldCharType="end"/>
      </w:r>
      <w:r w:rsidRPr="002C21B8">
        <w:t xml:space="preserve">. Although not seen in our study, other studies have noted this can lead to overcorrection with inappropriate prescribing due to fear of further scrutiny </w:t>
      </w:r>
      <w:r w:rsidRPr="002C21B8">
        <w:fldChar w:fldCharType="begin"/>
      </w:r>
      <w:r w:rsidRPr="002C21B8">
        <w:instrText xml:space="preserve"> ADDIN EN.CITE &lt;EndNote&gt;&lt;Cite&gt;&lt;Author&gt;Sarkies&lt;/Author&gt;&lt;Year&gt;2023&lt;/Year&gt;&lt;RecNum&gt;125099&lt;/RecNum&gt;&lt;DisplayText&gt;(Sarkies&lt;style face="italic"&gt; et al.&lt;/style&gt;, 2023)&lt;/DisplayText&gt;&lt;record&gt;&lt;rec-number&gt;125099&lt;/rec-number&gt;&lt;foreign-keys&gt;&lt;key app="EN" db-id="xpefzwa5hf9dt2ea9fax95x7xvxz90v09dtf" timestamp="1764172570"&gt;125099&lt;/key&gt;&lt;/foreign-keys&gt;&lt;ref-type name="Journal Article"&gt;17&lt;/ref-type&gt;&lt;contributors&gt;&lt;authors&gt;&lt;author&gt;Sarkies, Mitchell&lt;/author&gt;&lt;author&gt;Francis-Auton, Emilie&lt;/author&gt;&lt;author&gt;Long, Janet&lt;/author&gt;&lt;author&gt;Roberts, Natalie&lt;/author&gt;&lt;author&gt;Westbrook, Johanna&lt;/author&gt;&lt;author&gt;Levesque, Jean-Frederic&lt;/author&gt;&lt;author&gt;Watson, Diane E&lt;/author&gt;&lt;author&gt;Hardwick, Rebecca&lt;/author&gt;&lt;author&gt;Sutherland, Kim&lt;/author&gt;&lt;author&gt;Disher, Gary&lt;/author&gt;&lt;/authors&gt;&lt;/contributors&gt;&lt;titles&gt;&lt;title&gt;Audit and feedback to reduce unwarranted clinical variation at scale: a realist study of implementation strategy mechanisms&lt;/title&gt;&lt;secondary-title&gt;Implementation Science&lt;/secondary-title&gt;&lt;/titles&gt;&lt;periodical&gt;&lt;full-title&gt;Implementation Science&lt;/full-title&gt;&lt;/periodical&gt;&lt;pages&gt;71&lt;/pages&gt;&lt;volume&gt;18&lt;/volume&gt;&lt;number&gt;1&lt;/number&gt;&lt;dates&gt;&lt;year&gt;2023&lt;/year&gt;&lt;/dates&gt;&lt;isbn&gt;1748-5908&lt;/isbn&gt;&lt;urls&gt;&lt;/urls&gt;&lt;/record&gt;&lt;/Cite&gt;&lt;/EndNote&gt;</w:instrText>
      </w:r>
      <w:r w:rsidRPr="002C21B8">
        <w:fldChar w:fldCharType="separate"/>
      </w:r>
      <w:r w:rsidRPr="002C21B8">
        <w:t>(Sarkies</w:t>
      </w:r>
      <w:r w:rsidRPr="002C21B8">
        <w:rPr>
          <w:i/>
        </w:rPr>
        <w:t xml:space="preserve"> et al.</w:t>
      </w:r>
      <w:r w:rsidRPr="002C21B8">
        <w:t>, 2023)</w:t>
      </w:r>
      <w:r w:rsidRPr="002C21B8">
        <w:fldChar w:fldCharType="end"/>
      </w:r>
      <w:r w:rsidRPr="002C21B8">
        <w:t>.</w:t>
      </w:r>
    </w:p>
    <w:p w14:paraId="6A1A7B46" w14:textId="5D6A6D17" w:rsidR="005E4945" w:rsidRPr="002C21B8" w:rsidRDefault="005E4945" w:rsidP="005E4945">
      <w:r w:rsidRPr="002C21B8">
        <w:t xml:space="preserve">Within centres, the </w:t>
      </w:r>
      <w:r w:rsidR="00CE02FE" w:rsidRPr="002C21B8">
        <w:t xml:space="preserve">condition-specific clinic models led to greater </w:t>
      </w:r>
      <w:r w:rsidRPr="002C21B8">
        <w:t>implementation</w:t>
      </w:r>
      <w:r w:rsidR="00CE02FE" w:rsidRPr="002C21B8">
        <w:t xml:space="preserve"> of the tolvaptan care pathway</w:t>
      </w:r>
      <w:r w:rsidRPr="002C21B8">
        <w:t xml:space="preserve"> as well as the identification of patients, eligibility assessments and timely initiation. This is consistent with the wider literature</w:t>
      </w:r>
      <w:r w:rsidR="00DE468C" w:rsidRPr="002C21B8">
        <w:t>,</w:t>
      </w:r>
      <w:r w:rsidRPr="002C21B8">
        <w:t xml:space="preserve"> which shows that </w:t>
      </w:r>
      <w:r w:rsidR="00A4533A" w:rsidRPr="002C21B8">
        <w:t xml:space="preserve">specialist condition-specific clinics </w:t>
      </w:r>
      <w:r w:rsidRPr="002C21B8">
        <w:t xml:space="preserve">improve access to guideline-based </w:t>
      </w:r>
      <w:r w:rsidR="007C199D" w:rsidRPr="002C21B8">
        <w:t>medication</w:t>
      </w:r>
      <w:r w:rsidRPr="002C21B8">
        <w:t xml:space="preserve">s. Proposed mechanisms </w:t>
      </w:r>
      <w:r w:rsidR="002048E2" w:rsidRPr="002C21B8">
        <w:t xml:space="preserve">from the management of heart failure </w:t>
      </w:r>
      <w:r w:rsidRPr="002C21B8">
        <w:t>include the concentration of specialist expertise, coordinated care pathways and dedicated resources</w:t>
      </w:r>
      <w:r w:rsidR="00DE468C" w:rsidRPr="002C21B8">
        <w:t>,</w:t>
      </w:r>
      <w:r w:rsidRPr="002C21B8">
        <w:t xml:space="preserve"> which are recommended to reduce barriers to identifying eligible patients and delivering guideline-based </w:t>
      </w:r>
      <w:r w:rsidR="00BF345F" w:rsidRPr="002C21B8">
        <w:t>medication</w:t>
      </w:r>
      <w:r w:rsidRPr="002C21B8">
        <w:t xml:space="preserve">s efficiently </w:t>
      </w:r>
      <w:r w:rsidRPr="002C21B8">
        <w:fldChar w:fldCharType="begin">
          <w:fldData xml:space="preserve">PEVuZE5vdGU+PENpdGU+PEF1dGhvcj5DaGFtYmVyczwvQXV0aG9yPjxZZWFyPjIwMjA8L1llYXI+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</w:fldData>
        </w:fldChar>
      </w:r>
      <w:r w:rsidR="00C423CE" w:rsidRPr="002C21B8">
        <w:instrText xml:space="preserve"> ADDIN EN.CITE </w:instrText>
      </w:r>
      <w:r w:rsidR="00C423CE" w:rsidRPr="002C21B8">
        <w:fldChar w:fldCharType="begin">
          <w:fldData xml:space="preserve">PEVuZE5vdGU+PENpdGU+PEF1dGhvcj5DaGFtYmVyczwvQXV0aG9yPjxZZWFyPjIwMjA8L1llYXI+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</w:fldData>
        </w:fldChar>
      </w:r>
      <w:r w:rsidR="00C423CE" w:rsidRPr="002C21B8">
        <w:instrText xml:space="preserve"> ADDIN EN.CITE.DATA </w:instrText>
      </w:r>
      <w:r w:rsidR="00C423CE" w:rsidRPr="002C21B8">
        <w:fldChar w:fldCharType="end"/>
      </w:r>
      <w:r w:rsidRPr="002C21B8">
        <w:fldChar w:fldCharType="separate"/>
      </w:r>
      <w:r w:rsidR="00C84DD7" w:rsidRPr="002C21B8">
        <w:rPr>
          <w:noProof/>
        </w:rPr>
        <w:t>(Chambers and Lancellotti, 2020; Chambers</w:t>
      </w:r>
      <w:r w:rsidR="00C84DD7" w:rsidRPr="002C21B8">
        <w:rPr>
          <w:i/>
          <w:noProof/>
        </w:rPr>
        <w:t xml:space="preserve"> et al.</w:t>
      </w:r>
      <w:r w:rsidR="00C84DD7" w:rsidRPr="002C21B8">
        <w:rPr>
          <w:noProof/>
        </w:rPr>
        <w:t>, 2020; Ramsay</w:t>
      </w:r>
      <w:r w:rsidR="00C84DD7" w:rsidRPr="002C21B8">
        <w:rPr>
          <w:i/>
          <w:noProof/>
        </w:rPr>
        <w:t xml:space="preserve"> et al.</w:t>
      </w:r>
      <w:r w:rsidR="00C84DD7" w:rsidRPr="002C21B8">
        <w:rPr>
          <w:noProof/>
        </w:rPr>
        <w:t>, 2025)</w:t>
      </w:r>
      <w:r w:rsidRPr="002C21B8">
        <w:fldChar w:fldCharType="end"/>
      </w:r>
      <w:r w:rsidRPr="002C21B8">
        <w:t>.</w:t>
      </w:r>
    </w:p>
    <w:p w14:paraId="3AD8E5B3" w14:textId="085CAD8B" w:rsidR="00821016" w:rsidRPr="002C21B8" w:rsidRDefault="005E4945" w:rsidP="00821016">
      <w:r w:rsidRPr="002C21B8">
        <w:t>Our findings fit well with an existing implementation framework</w:t>
      </w:r>
      <w:r w:rsidR="00660A44" w:rsidRPr="002C21B8">
        <w:t>,</w:t>
      </w:r>
      <w:r w:rsidRPr="002C21B8">
        <w:t xml:space="preserve"> the CFIR, indicating the important role that implement</w:t>
      </w:r>
      <w:r w:rsidR="00103E38" w:rsidRPr="002C21B8">
        <w:t>ation of</w:t>
      </w:r>
      <w:r w:rsidRPr="002C21B8">
        <w:t xml:space="preserve"> pathways in health services for new medications play</w:t>
      </w:r>
      <w:r w:rsidR="002B2570" w:rsidRPr="002C21B8">
        <w:t>s</w:t>
      </w:r>
      <w:r w:rsidR="00DE468C" w:rsidRPr="002C21B8">
        <w:t xml:space="preserve">, </w:t>
      </w:r>
      <w:r w:rsidRPr="002C21B8">
        <w:t>rather than guidelines alone. Implementation factors acted at the ‘Outer Setting’, ‘Inner Setting’ and ‘Individuals’ domains. This aligns with prior CFIR-informed implementation studies</w:t>
      </w:r>
      <w:r w:rsidR="00DE468C" w:rsidRPr="002C21B8">
        <w:t>,</w:t>
      </w:r>
      <w:r w:rsidRPr="002C21B8">
        <w:t xml:space="preserve"> which demonstrate the importance of contextual and organisational factors in shaping implementation outcomes </w:t>
      </w:r>
      <w:r w:rsidRPr="002C21B8">
        <w:fldChar w:fldCharType="begin"/>
      </w:r>
      <w:r w:rsidR="00590E88" w:rsidRPr="002C21B8">
        <w:instrText xml:space="preserve"> ADDIN EN.CITE &lt;EndNote&gt;&lt;Cite&gt;&lt;Author&gt;Kirk&lt;/Author&gt;&lt;Year&gt;2015&lt;/Year&gt;&lt;RecNum&gt;125211&lt;/RecNum&gt;&lt;DisplayText&gt;(Kirk&lt;style face="italic"&gt; et al.&lt;/style&gt;, 2015)&lt;/DisplayText&gt;&lt;record&gt;&lt;rec-number&gt;125211&lt;/rec-number&gt;&lt;foreign-keys&gt;&lt;key app="EN" db-id="xpefzwa5hf9dt2ea9fax95x7xvxz90v09dtf" timestamp="1771667562"&gt;125211&lt;/key&gt;&lt;/foreign-keys&gt;&lt;ref-type name="Journal Article"&gt;17&lt;/ref-type&gt;&lt;contributors&gt;&lt;authors&gt;&lt;author&gt;Kirk, M Alexis&lt;/author&gt;&lt;author&gt;Kelley, Caitlin&lt;/author&gt;&lt;author&gt;Yankey, Nicholas&lt;/author&gt;&lt;author&gt;Birken, Sarah A&lt;/author&gt;&lt;author&gt;Abadie, Brenton&lt;/author&gt;&lt;author&gt;Damschroder, Laura&lt;/author&gt;&lt;/authors&gt;&lt;/contributors&gt;&lt;titles&gt;&lt;title&gt;A systematic review of the use of the Consolidated Framework for Implementation Research&lt;/title&gt;&lt;secondary-title&gt;Implementation Science&lt;/secondary-title&gt;&lt;/titles&gt;&lt;periodical&gt;&lt;full-title&gt;Implementation Science&lt;/full-title&gt;&lt;/periodical&gt;&lt;pages&gt;72&lt;/pages&gt;&lt;volume&gt;11&lt;/volume&gt;&lt;number&gt;1&lt;/number&gt;&lt;dates&gt;&lt;year&gt;2015&lt;/year&gt;&lt;/dates&gt;&lt;isbn&gt;1748-5908&lt;/isbn&gt;&lt;urls&gt;&lt;/urls&gt;&lt;/record&gt;&lt;/Cite&gt;&lt;/EndNote&gt;</w:instrText>
      </w:r>
      <w:r w:rsidRPr="002C21B8">
        <w:fldChar w:fldCharType="separate"/>
      </w:r>
      <w:r w:rsidRPr="002C21B8">
        <w:rPr>
          <w:noProof/>
        </w:rPr>
        <w:t>(Kirk</w:t>
      </w:r>
      <w:r w:rsidRPr="002C21B8">
        <w:rPr>
          <w:i/>
          <w:noProof/>
        </w:rPr>
        <w:t xml:space="preserve"> et al.</w:t>
      </w:r>
      <w:r w:rsidRPr="002C21B8">
        <w:rPr>
          <w:noProof/>
        </w:rPr>
        <w:t>, 2015)</w:t>
      </w:r>
      <w:r w:rsidRPr="002C21B8">
        <w:fldChar w:fldCharType="end"/>
      </w:r>
      <w:r w:rsidRPr="002C21B8">
        <w:t xml:space="preserve">, while also adding to the limited evidence on </w:t>
      </w:r>
      <w:r w:rsidR="00DE468C" w:rsidRPr="002C21B8">
        <w:t xml:space="preserve">the </w:t>
      </w:r>
      <w:r w:rsidRPr="002C21B8">
        <w:t xml:space="preserve">implementation of newly approved </w:t>
      </w:r>
      <w:r w:rsidR="002E4264" w:rsidRPr="002C21B8">
        <w:t>medication</w:t>
      </w:r>
      <w:r w:rsidRPr="002C21B8">
        <w:t>s in rare diseases.</w:t>
      </w:r>
      <w:r w:rsidR="00821016" w:rsidRPr="002C21B8">
        <w:rPr>
          <w:b/>
          <w:bCs/>
          <w:sz w:val="24"/>
          <w:szCs w:val="24"/>
        </w:rPr>
        <w:br w:type="page"/>
      </w:r>
    </w:p>
    <w:p w14:paraId="0D11F457" w14:textId="62CBADD6" w:rsidR="005E4945" w:rsidRPr="002C21B8" w:rsidRDefault="005E4945" w:rsidP="00EC4437">
      <w:pPr>
        <w:spacing w:before="240" w:after="0"/>
        <w:rPr>
          <w:b/>
          <w:bCs/>
          <w:sz w:val="24"/>
          <w:szCs w:val="24"/>
        </w:rPr>
      </w:pPr>
      <w:r w:rsidRPr="002C21B8">
        <w:rPr>
          <w:b/>
          <w:bCs/>
          <w:sz w:val="24"/>
          <w:szCs w:val="24"/>
        </w:rPr>
        <w:t>Strengths and limitations</w:t>
      </w:r>
    </w:p>
    <w:p w14:paraId="04D770F8" w14:textId="52A9AABC" w:rsidR="005E4945" w:rsidRPr="002C21B8" w:rsidRDefault="005E4945" w:rsidP="005E4945">
      <w:r w:rsidRPr="002C21B8">
        <w:t xml:space="preserve">A key strength of this study is the in-depth study of prescribing practices across contrasting organisational contexts. By including the perspectives of </w:t>
      </w:r>
      <w:r w:rsidR="00226C78" w:rsidRPr="002C21B8">
        <w:t>clinicians</w:t>
      </w:r>
      <w:r w:rsidRPr="002C21B8">
        <w:t xml:space="preserve"> involved in different components of the care pathway and by using multiple methods of data collection, findings were triangulated. Limitations include the</w:t>
      </w:r>
      <w:r w:rsidR="004F41E2" w:rsidRPr="002C21B8">
        <w:t xml:space="preserve"> potential for the</w:t>
      </w:r>
      <w:r w:rsidRPr="002C21B8">
        <w:t xml:space="preserve"> researcher to collect data and analyse through a lens </w:t>
      </w:r>
      <w:r w:rsidR="004F41E2" w:rsidRPr="002C21B8">
        <w:t xml:space="preserve">influenced </w:t>
      </w:r>
      <w:r w:rsidRPr="002C21B8">
        <w:t xml:space="preserve">by their own clinical expertise in ADPKD and </w:t>
      </w:r>
      <w:r w:rsidR="00C7527E" w:rsidRPr="002C21B8">
        <w:t xml:space="preserve">their </w:t>
      </w:r>
      <w:r w:rsidRPr="002C21B8">
        <w:t xml:space="preserve">contribution to writing guidelines on the use of tolvaptan. </w:t>
      </w:r>
      <w:r w:rsidR="004F41E2" w:rsidRPr="002C21B8">
        <w:t>This was mitigated through regular research</w:t>
      </w:r>
      <w:r w:rsidRPr="002C21B8">
        <w:t xml:space="preserve"> team discussions. Also, RaDaR statistics </w:t>
      </w:r>
      <w:r w:rsidR="004F41E2" w:rsidRPr="002C21B8">
        <w:t xml:space="preserve">were intentionally withheld </w:t>
      </w:r>
      <w:r w:rsidRPr="002C21B8">
        <w:t>from the lead researcher until they had completed their analysis in case knowledge of prescribing rates in a centre narrowed their data collection and analysis. Finally, findings reflect a specific period of service implementation and prescribing (2024</w:t>
      </w:r>
      <w:r w:rsidR="00660A44" w:rsidRPr="002C21B8">
        <w:t>–</w:t>
      </w:r>
      <w:r w:rsidRPr="002C21B8">
        <w:t>2025)</w:t>
      </w:r>
      <w:r w:rsidR="00D574B5" w:rsidRPr="002C21B8">
        <w:t>,</w:t>
      </w:r>
      <w:r w:rsidRPr="002C21B8">
        <w:t xml:space="preserve"> so</w:t>
      </w:r>
      <w:r w:rsidR="00D574B5" w:rsidRPr="002C21B8">
        <w:t xml:space="preserve"> practices</w:t>
      </w:r>
      <w:r w:rsidRPr="002C21B8">
        <w:t xml:space="preserve"> may have evolved since then in these three cases. Nonetheless, the factors identified as influential in the implementation of tolvaptan care pathways for ADPKD are likely to be transferable to other settings implementing complex or specialist </w:t>
      </w:r>
      <w:r w:rsidR="008A5235" w:rsidRPr="002C21B8">
        <w:t>medication</w:t>
      </w:r>
      <w:r w:rsidRPr="002C21B8">
        <w:t>s, including those in rare diseases.</w:t>
      </w:r>
    </w:p>
    <w:p w14:paraId="581598E2" w14:textId="77777777" w:rsidR="005E4945" w:rsidRPr="002C21B8" w:rsidRDefault="005E4945" w:rsidP="00EC4437">
      <w:pPr>
        <w:spacing w:before="240" w:after="0"/>
        <w:rPr>
          <w:b/>
          <w:bCs/>
          <w:sz w:val="24"/>
          <w:szCs w:val="24"/>
        </w:rPr>
      </w:pPr>
      <w:r w:rsidRPr="002C21B8">
        <w:rPr>
          <w:b/>
          <w:bCs/>
          <w:sz w:val="24"/>
          <w:szCs w:val="24"/>
        </w:rPr>
        <w:t>Implications</w:t>
      </w:r>
    </w:p>
    <w:p w14:paraId="4F96F82F" w14:textId="651B1627" w:rsidR="005E4945" w:rsidRPr="002C21B8" w:rsidRDefault="005E4945" w:rsidP="00322AA9">
      <w:r w:rsidRPr="002C21B8">
        <w:t xml:space="preserve">For services, this study </w:t>
      </w:r>
      <w:r w:rsidR="006E1020" w:rsidRPr="002C21B8">
        <w:t>h</w:t>
      </w:r>
      <w:r w:rsidRPr="002C21B8">
        <w:t xml:space="preserve">ighlights how implementation strategies shape medication prescribing. Kidney centres internationally could review the organisation of </w:t>
      </w:r>
      <w:r w:rsidR="006816D3" w:rsidRPr="002C21B8">
        <w:t>their</w:t>
      </w:r>
      <w:r w:rsidRPr="002C21B8">
        <w:t xml:space="preserve"> pathways, with </w:t>
      </w:r>
      <w:r w:rsidR="00CC3497" w:rsidRPr="002C21B8">
        <w:t>centres prescribing less tolvaptan to eligible patients</w:t>
      </w:r>
      <w:r w:rsidR="0067373D" w:rsidRPr="002C21B8">
        <w:t xml:space="preserve"> </w:t>
      </w:r>
      <w:r w:rsidRPr="002C21B8">
        <w:t>considering c</w:t>
      </w:r>
      <w:r w:rsidR="004B5C60" w:rsidRPr="002C21B8">
        <w:t xml:space="preserve">ohorting ADPKD care into a single condition-specific clinic </w:t>
      </w:r>
      <w:r w:rsidRPr="002C21B8">
        <w:t>or</w:t>
      </w:r>
      <w:r w:rsidR="00297358" w:rsidRPr="002C21B8">
        <w:t xml:space="preserve"> conducting</w:t>
      </w:r>
      <w:r w:rsidRPr="002C21B8">
        <w:t xml:space="preserve"> internal audits. For policymakers, fostering clinical networks and shared learning may accelerate early implementation and reduce variation. For researchers, the study demonstrates CFIR’s applicability to rare disease</w:t>
      </w:r>
      <w:r w:rsidR="00CC3497" w:rsidRPr="002C21B8">
        <w:t>s</w:t>
      </w:r>
      <w:r w:rsidRPr="002C21B8">
        <w:t>, providing insights to guide</w:t>
      </w:r>
      <w:r w:rsidR="0067373D" w:rsidRPr="002C21B8">
        <w:t xml:space="preserve"> the</w:t>
      </w:r>
      <w:r w:rsidRPr="002C21B8">
        <w:t xml:space="preserve"> implementation of other complex treatments and improve patient access. Future research could quantify the potential impact of implementation factors on tolvaptan prescribing to identify appropriate interventions.</w:t>
      </w:r>
    </w:p>
    <w:p w14:paraId="6DBBF3FF" w14:textId="77777777" w:rsidR="005E4945" w:rsidRPr="002C21B8" w:rsidRDefault="005E4945" w:rsidP="00EC4437">
      <w:pPr>
        <w:spacing w:before="240" w:after="0"/>
        <w:rPr>
          <w:b/>
          <w:bCs/>
          <w:sz w:val="28"/>
          <w:szCs w:val="28"/>
        </w:rPr>
      </w:pPr>
      <w:bookmarkStart w:id="191" w:name="_Toc213230714"/>
      <w:r w:rsidRPr="002C21B8">
        <w:rPr>
          <w:b/>
          <w:bCs/>
          <w:sz w:val="28"/>
          <w:szCs w:val="28"/>
        </w:rPr>
        <w:t>Conclusions</w:t>
      </w:r>
      <w:bookmarkEnd w:id="191"/>
    </w:p>
    <w:p w14:paraId="6E32BFAC" w14:textId="6305EA1C" w:rsidR="003576D7" w:rsidRPr="002C21B8" w:rsidRDefault="005E4945" w:rsidP="00310F01">
      <w:r w:rsidRPr="002C21B8">
        <w:t xml:space="preserve">In the absence of additional dedicated funding to implement new pathways, approaches to </w:t>
      </w:r>
      <w:r w:rsidR="009257A5" w:rsidRPr="002C21B8">
        <w:t xml:space="preserve">the </w:t>
      </w:r>
      <w:r w:rsidRPr="002C21B8">
        <w:t xml:space="preserve">implementation of tolvaptan in the UK were primarily based on existing service structures. </w:t>
      </w:r>
      <w:r w:rsidR="004B5C60" w:rsidRPr="002C21B8">
        <w:t>Condition-specific,</w:t>
      </w:r>
      <w:r w:rsidRPr="002C21B8">
        <w:t xml:space="preserve"> specialist-led pathways may support</w:t>
      </w:r>
      <w:r w:rsidR="006E1020" w:rsidRPr="002C21B8">
        <w:t xml:space="preserve"> more</w:t>
      </w:r>
      <w:r w:rsidRPr="002C21B8">
        <w:t xml:space="preserve"> timely and consistent prescribing, whereas </w:t>
      </w:r>
      <w:r w:rsidR="00C21788" w:rsidRPr="002C21B8">
        <w:t xml:space="preserve">generalist </w:t>
      </w:r>
      <w:r w:rsidRPr="002C21B8">
        <w:t xml:space="preserve">or hybrid models may lead to more complex implementation with delays and missed opportunities for prescribing. </w:t>
      </w:r>
      <w:r w:rsidR="00CC3497" w:rsidRPr="002C21B8">
        <w:t>The way in which</w:t>
      </w:r>
      <w:r w:rsidRPr="002C21B8">
        <w:t xml:space="preserve"> tolvaptan care pathways were implemented influenced who was assessed, when assessment occurred, and by whom</w:t>
      </w:r>
      <w:r w:rsidR="00FA6037" w:rsidRPr="002C21B8">
        <w:t>,</w:t>
      </w:r>
      <w:r w:rsidRPr="002C21B8">
        <w:t xml:space="preserve"> which potentially led to </w:t>
      </w:r>
      <w:r w:rsidR="00E203E9" w:rsidRPr="002C21B8">
        <w:t>variation in adherence to guidelines and different prescribing practices</w:t>
      </w:r>
      <w:r w:rsidRPr="002C21B8">
        <w:t xml:space="preserve">. These findings may inform the implementation of other complex </w:t>
      </w:r>
      <w:r w:rsidR="00550A66" w:rsidRPr="002C21B8">
        <w:t>medication</w:t>
      </w:r>
      <w:r w:rsidRPr="002C21B8">
        <w:t>s in rare diseases, helping to reduce unwarranted variation and improve patient access.</w:t>
      </w:r>
    </w:p>
    <w:p w14:paraId="5328350A" w14:textId="2911BFB9" w:rsidR="008B716F" w:rsidRPr="002C21B8" w:rsidRDefault="00617D4C" w:rsidP="00581663">
      <w:pPr>
        <w:pStyle w:val="Heading2"/>
      </w:pPr>
      <w:bookmarkStart w:id="192" w:name="_Toc229687229"/>
      <w:r w:rsidRPr="002C21B8">
        <w:t xml:space="preserve">Chapter </w:t>
      </w:r>
      <w:r w:rsidR="007B432C" w:rsidRPr="002C21B8">
        <w:t>s</w:t>
      </w:r>
      <w:r w:rsidRPr="002C21B8">
        <w:t>ummar</w:t>
      </w:r>
      <w:r w:rsidR="007B432C" w:rsidRPr="002C21B8">
        <w:t>y</w:t>
      </w:r>
      <w:bookmarkEnd w:id="192"/>
    </w:p>
    <w:p w14:paraId="3BA633D1" w14:textId="13AA816F" w:rsidR="007A168C" w:rsidRPr="002C21B8" w:rsidRDefault="008F5828" w:rsidP="00A97F07">
      <w:pPr>
        <w:pStyle w:val="ListParagraph"/>
        <w:numPr>
          <w:ilvl w:val="0"/>
          <w:numId w:val="46"/>
        </w:numPr>
        <w:ind w:left="851"/>
      </w:pPr>
      <w:r w:rsidRPr="002C21B8">
        <w:t>This chapter</w:t>
      </w:r>
      <w:r w:rsidR="007A168C" w:rsidRPr="002C21B8">
        <w:t xml:space="preserve"> present</w:t>
      </w:r>
      <w:r w:rsidR="006D3451" w:rsidRPr="002C21B8">
        <w:t>ed</w:t>
      </w:r>
      <w:r w:rsidR="007A168C" w:rsidRPr="002C21B8">
        <w:t xml:space="preserve"> the </w:t>
      </w:r>
      <w:r w:rsidR="0002225F" w:rsidRPr="002C21B8">
        <w:t>findings</w:t>
      </w:r>
      <w:r w:rsidR="007A168C" w:rsidRPr="002C21B8">
        <w:t xml:space="preserve"> of the multiple case study that focused on how </w:t>
      </w:r>
      <w:r w:rsidR="00303F6D" w:rsidRPr="002C21B8">
        <w:t>tolvaptan care pathway</w:t>
      </w:r>
      <w:r w:rsidR="007A168C" w:rsidRPr="002C21B8">
        <w:t>s were implemented in UK kidney centres and how this may have led to variation in tolvaptan prescribing practices</w:t>
      </w:r>
      <w:r w:rsidR="00E00FFB" w:rsidRPr="002C21B8">
        <w:t>.</w:t>
      </w:r>
    </w:p>
    <w:p w14:paraId="0474CEFE" w14:textId="4ECC277F" w:rsidR="007A168C" w:rsidRPr="002C21B8" w:rsidRDefault="007A168C" w:rsidP="00A97F07">
      <w:pPr>
        <w:pStyle w:val="ListParagraph"/>
        <w:numPr>
          <w:ilvl w:val="0"/>
          <w:numId w:val="46"/>
        </w:numPr>
        <w:ind w:left="851"/>
      </w:pPr>
      <w:r w:rsidRPr="002C21B8">
        <w:t>Analysis was informed by the Consolidated Framework for Implementation Research (CFIR)</w:t>
      </w:r>
      <w:r w:rsidR="00CD3488" w:rsidRPr="002C21B8">
        <w:t xml:space="preserve">, </w:t>
      </w:r>
      <w:r w:rsidRPr="002C21B8">
        <w:t>which provided a structured lens for identifying how factors at the ‘Outer Setting’, ‘Inner Setting’, ‘Individual</w:t>
      </w:r>
      <w:r w:rsidR="00C11F09" w:rsidRPr="002C21B8">
        <w:t>s</w:t>
      </w:r>
      <w:r w:rsidRPr="002C21B8">
        <w:t xml:space="preserve">’ and ‘Implementation Process’ shaped the implementation of </w:t>
      </w:r>
      <w:r w:rsidR="00303F6D" w:rsidRPr="002C21B8">
        <w:t>tolvaptan care pathway</w:t>
      </w:r>
      <w:r w:rsidRPr="002C21B8">
        <w:t>s</w:t>
      </w:r>
      <w:r w:rsidR="00E00FFB" w:rsidRPr="002C21B8">
        <w:t>.</w:t>
      </w:r>
    </w:p>
    <w:p w14:paraId="2512B966" w14:textId="04ED65F9" w:rsidR="007A168C" w:rsidRPr="002C21B8" w:rsidRDefault="007A168C" w:rsidP="00A97F07">
      <w:pPr>
        <w:pStyle w:val="ListParagraph"/>
        <w:numPr>
          <w:ilvl w:val="0"/>
          <w:numId w:val="46"/>
        </w:numPr>
        <w:ind w:left="851"/>
      </w:pPr>
      <w:r w:rsidRPr="002C21B8">
        <w:t xml:space="preserve">Findings demonstrated that implementation of the same </w:t>
      </w:r>
      <w:r w:rsidR="00CE54A9" w:rsidRPr="002C21B8">
        <w:t>medication</w:t>
      </w:r>
      <w:r w:rsidR="00476CE6" w:rsidRPr="002C21B8">
        <w:t xml:space="preserve"> (referred to as an </w:t>
      </w:r>
      <w:r w:rsidRPr="002C21B8">
        <w:t>innovation</w:t>
      </w:r>
      <w:r w:rsidR="00476CE6" w:rsidRPr="002C21B8">
        <w:t xml:space="preserve"> in the CFIR)</w:t>
      </w:r>
      <w:r w:rsidRPr="002C21B8">
        <w:t xml:space="preserve"> differed between cases due to variation in service configuration, clinical leadership, specialist expertise and the organisation of care pathways</w:t>
      </w:r>
      <w:r w:rsidR="00E00FFB" w:rsidRPr="002C21B8">
        <w:t>.</w:t>
      </w:r>
    </w:p>
    <w:p w14:paraId="28C3359D" w14:textId="5822E759" w:rsidR="006C5276" w:rsidRPr="002C21B8" w:rsidRDefault="007A168C" w:rsidP="006C5276">
      <w:pPr>
        <w:pStyle w:val="ListParagraph"/>
        <w:numPr>
          <w:ilvl w:val="0"/>
          <w:numId w:val="46"/>
        </w:numPr>
        <w:ind w:left="851"/>
        <w:sectPr w:rsidR="006C5276" w:rsidRPr="002C21B8" w:rsidSect="0009672F">
          <w:headerReference w:type="default" r:id="rId56"/>
          <w:type w:val="continuous"/>
          <w:pgSz w:w="11906" w:h="16838"/>
          <w:pgMar w:top="1440" w:right="1440" w:bottom="1440" w:left="1440" w:header="708" w:footer="708" w:gutter="0"/>
          <w:cols w:space="708"/>
          <w:docGrid w:linePitch="360"/>
        </w:sectPr>
      </w:pPr>
      <w:r w:rsidRPr="002C21B8">
        <w:t>These differences influenced how patients were identified, how eligibility for tolvaptan was assessed and how treatment decisions were communicated with patients and enacted in practice</w:t>
      </w:r>
      <w:r w:rsidR="00E00FFB" w:rsidRPr="002C21B8">
        <w:t>.</w:t>
      </w:r>
      <w:r w:rsidR="006C5276" w:rsidRPr="002C21B8">
        <w:t xml:space="preserve"> </w:t>
      </w:r>
    </w:p>
    <w:p w14:paraId="044A983F" w14:textId="569951F7" w:rsidR="00D113ED" w:rsidRPr="002C21B8" w:rsidRDefault="00D113ED" w:rsidP="007F1616">
      <w:pPr>
        <w:pStyle w:val="Heading1"/>
      </w:pPr>
      <w:bookmarkStart w:id="193" w:name="_–_Developing_a"/>
      <w:bookmarkStart w:id="194" w:name="_Toc229687230"/>
      <w:bookmarkEnd w:id="193"/>
      <w:r w:rsidRPr="002C21B8">
        <w:t xml:space="preserve">– </w:t>
      </w:r>
      <w:r w:rsidR="00F23913" w:rsidRPr="002C21B8">
        <w:t>Developing a conceptual model of prescribing</w:t>
      </w:r>
      <w:r w:rsidR="00FA1764" w:rsidRPr="002C21B8">
        <w:t xml:space="preserve"> decision-making</w:t>
      </w:r>
      <w:r w:rsidR="00F23913" w:rsidRPr="002C21B8">
        <w:t xml:space="preserve"> </w:t>
      </w:r>
      <w:r w:rsidR="00FA1764" w:rsidRPr="002C21B8">
        <w:t>in</w:t>
      </w:r>
      <w:r w:rsidR="00F23913" w:rsidRPr="002C21B8">
        <w:t xml:space="preserve"> rare diseases: insights from tolvaptan prescribing for autosomal dominant polycystic kidney disease</w:t>
      </w:r>
      <w:bookmarkEnd w:id="194"/>
    </w:p>
    <w:p w14:paraId="2F012961" w14:textId="6353D0A7" w:rsidR="00E6381E" w:rsidRPr="002C21B8" w:rsidRDefault="00D113ED" w:rsidP="00581663">
      <w:pPr>
        <w:pStyle w:val="Heading2"/>
      </w:pPr>
      <w:bookmarkStart w:id="195" w:name="_Toc229687231"/>
      <w:r w:rsidRPr="002C21B8">
        <w:t>Chapter outline</w:t>
      </w:r>
      <w:bookmarkEnd w:id="195"/>
    </w:p>
    <w:p w14:paraId="4BC897EC" w14:textId="2787998D" w:rsidR="00581822" w:rsidRPr="002C21B8" w:rsidRDefault="000073EE" w:rsidP="00C83686">
      <w:pPr>
        <w:spacing w:after="0"/>
      </w:pPr>
      <w:r w:rsidRPr="002C21B8">
        <w:t xml:space="preserve">This chapter presents the findings from the multiple case study. It has been presented in the format of a </w:t>
      </w:r>
      <w:r w:rsidR="00100573" w:rsidRPr="002C21B8">
        <w:t xml:space="preserve">journal article </w:t>
      </w:r>
      <w:r w:rsidRPr="002C21B8">
        <w:t xml:space="preserve">ready for submission to the </w:t>
      </w:r>
      <w:r w:rsidR="00546ED0" w:rsidRPr="002C21B8">
        <w:rPr>
          <w:i/>
          <w:iCs/>
        </w:rPr>
        <w:t xml:space="preserve">Orphanet </w:t>
      </w:r>
      <w:r w:rsidR="00871EE8" w:rsidRPr="002C21B8">
        <w:rPr>
          <w:i/>
          <w:iCs/>
        </w:rPr>
        <w:t>J</w:t>
      </w:r>
      <w:r w:rsidR="00546ED0" w:rsidRPr="002C21B8">
        <w:rPr>
          <w:i/>
          <w:iCs/>
        </w:rPr>
        <w:t>ournal</w:t>
      </w:r>
      <w:r w:rsidR="00871EE8" w:rsidRPr="002C21B8">
        <w:rPr>
          <w:i/>
          <w:iCs/>
        </w:rPr>
        <w:t xml:space="preserve"> of Rare Diseases</w:t>
      </w:r>
      <w:r w:rsidR="00546ED0" w:rsidRPr="002C21B8">
        <w:t xml:space="preserve">. </w:t>
      </w:r>
      <w:r w:rsidR="003834BA" w:rsidRPr="002C21B8">
        <w:t xml:space="preserve">The contribution of each co-author is detailed in </w:t>
      </w:r>
      <w:hyperlink w:anchor="_Appendix_1._Author" w:history="1">
        <w:r w:rsidR="003834BA" w:rsidRPr="002C21B8">
          <w:rPr>
            <w:rStyle w:val="Hyperlink"/>
          </w:rPr>
          <w:t>Appendix 1</w:t>
        </w:r>
      </w:hyperlink>
      <w:r w:rsidR="003834BA" w:rsidRPr="002C21B8">
        <w:t>.</w:t>
      </w:r>
      <w:r w:rsidR="008805DA" w:rsidRPr="002C21B8">
        <w:t xml:space="preserve"> </w:t>
      </w:r>
      <w:r w:rsidR="005B3F80" w:rsidRPr="002C21B8">
        <w:t xml:space="preserve">Further details on </w:t>
      </w:r>
      <w:r w:rsidR="002351C0" w:rsidRPr="002C21B8">
        <w:t xml:space="preserve">the </w:t>
      </w:r>
      <w:r w:rsidR="005B3F80" w:rsidRPr="002C21B8">
        <w:t>methods and</w:t>
      </w:r>
      <w:r w:rsidR="002351C0" w:rsidRPr="002C21B8">
        <w:t xml:space="preserve"> the</w:t>
      </w:r>
      <w:r w:rsidR="005B3F80" w:rsidRPr="002C21B8">
        <w:t xml:space="preserve"> supplementary materials </w:t>
      </w:r>
      <w:r w:rsidR="00A162A2" w:rsidRPr="002C21B8">
        <w:t>t</w:t>
      </w:r>
      <w:r w:rsidR="00283B21" w:rsidRPr="002C21B8">
        <w:t>hat will be</w:t>
      </w:r>
      <w:r w:rsidR="00A162A2" w:rsidRPr="002C21B8">
        <w:t xml:space="preserve"> </w:t>
      </w:r>
      <w:r w:rsidR="005B3F80" w:rsidRPr="002C21B8">
        <w:t xml:space="preserve">published with the journal article are presented in </w:t>
      </w:r>
      <w:hyperlink w:anchor="_Appendix_7._Additional_1" w:history="1">
        <w:r w:rsidR="00C83686" w:rsidRPr="002C21B8">
          <w:rPr>
            <w:rStyle w:val="Hyperlink"/>
          </w:rPr>
          <w:t>Appendices 7</w:t>
        </w:r>
      </w:hyperlink>
      <w:r w:rsidR="00C83686" w:rsidRPr="002C21B8">
        <w:t xml:space="preserve"> and </w:t>
      </w:r>
      <w:hyperlink w:anchor="_Appendix_8._Publication" w:history="1">
        <w:r w:rsidR="00C83686" w:rsidRPr="002C21B8">
          <w:rPr>
            <w:rStyle w:val="Hyperlink"/>
          </w:rPr>
          <w:t>8</w:t>
        </w:r>
      </w:hyperlink>
      <w:r w:rsidR="00C83686" w:rsidRPr="002C21B8">
        <w:t>.</w:t>
      </w:r>
      <w:bookmarkStart w:id="196" w:name="_Toc227831411"/>
      <w:bookmarkStart w:id="197" w:name="_Toc227870153"/>
      <w:bookmarkStart w:id="198" w:name="_Toc227870251"/>
      <w:bookmarkStart w:id="199" w:name="_Toc227870731"/>
      <w:bookmarkStart w:id="200" w:name="_Toc227870825"/>
      <w:bookmarkStart w:id="201" w:name="_Toc227871444"/>
      <w:bookmarkStart w:id="202" w:name="_Toc227831412"/>
      <w:bookmarkStart w:id="203" w:name="_Toc227870154"/>
      <w:bookmarkStart w:id="204" w:name="_Toc227870252"/>
      <w:bookmarkStart w:id="205" w:name="_Toc227870732"/>
      <w:bookmarkStart w:id="206" w:name="_Toc227870826"/>
      <w:bookmarkStart w:id="207" w:name="_Toc227871445"/>
      <w:bookmarkStart w:id="208" w:name="_Toc227831413"/>
      <w:bookmarkStart w:id="209" w:name="_Toc227870155"/>
      <w:bookmarkStart w:id="210" w:name="_Toc227870253"/>
      <w:bookmarkStart w:id="211" w:name="_Toc227870733"/>
      <w:bookmarkStart w:id="212" w:name="_Toc227870827"/>
      <w:bookmarkStart w:id="213" w:name="_Toc227871446"/>
      <w:bookmarkStart w:id="214" w:name="_Toc227831414"/>
      <w:bookmarkStart w:id="215" w:name="_Toc227870156"/>
      <w:bookmarkStart w:id="216" w:name="_Toc227870254"/>
      <w:bookmarkStart w:id="217" w:name="_Toc227870734"/>
      <w:bookmarkStart w:id="218" w:name="_Toc227870828"/>
      <w:bookmarkStart w:id="219" w:name="_Toc227871447"/>
      <w:bookmarkStart w:id="220" w:name="_Toc227831415"/>
      <w:bookmarkStart w:id="221" w:name="_Toc227870157"/>
      <w:bookmarkStart w:id="222" w:name="_Toc227870255"/>
      <w:bookmarkStart w:id="223" w:name="_Toc227870735"/>
      <w:bookmarkStart w:id="224" w:name="_Toc227870829"/>
      <w:bookmarkStart w:id="225" w:name="_Toc227871448"/>
      <w:bookmarkStart w:id="226" w:name="_Toc227831416"/>
      <w:bookmarkStart w:id="227" w:name="_Toc227870158"/>
      <w:bookmarkStart w:id="228" w:name="_Toc227870256"/>
      <w:bookmarkStart w:id="229" w:name="_Toc227870736"/>
      <w:bookmarkStart w:id="230" w:name="_Toc227870830"/>
      <w:bookmarkStart w:id="231" w:name="_Toc227871449"/>
      <w:bookmarkStart w:id="232" w:name="_Toc227831417"/>
      <w:bookmarkStart w:id="233" w:name="_Toc227870159"/>
      <w:bookmarkStart w:id="234" w:name="_Toc227870257"/>
      <w:bookmarkStart w:id="235" w:name="_Toc227870737"/>
      <w:bookmarkStart w:id="236" w:name="_Toc227870831"/>
      <w:bookmarkStart w:id="237" w:name="_Toc227871450"/>
      <w:bookmarkStart w:id="238" w:name="_Toc227831418"/>
      <w:bookmarkStart w:id="239" w:name="_Toc227870160"/>
      <w:bookmarkStart w:id="240" w:name="_Toc227870258"/>
      <w:bookmarkStart w:id="241" w:name="_Toc227870738"/>
      <w:bookmarkStart w:id="242" w:name="_Toc227870832"/>
      <w:bookmarkStart w:id="243" w:name="_Toc22787145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00581822" w:rsidRPr="002C21B8">
        <w:br w:type="page"/>
      </w:r>
    </w:p>
    <w:p w14:paraId="23D00260" w14:textId="77777777" w:rsidR="00F621BD" w:rsidRPr="002C21B8" w:rsidRDefault="00F621BD" w:rsidP="00581663">
      <w:pPr>
        <w:pStyle w:val="Heading2"/>
      </w:pPr>
      <w:bookmarkStart w:id="244" w:name="_Toc229687232"/>
      <w:r w:rsidRPr="002C21B8">
        <w:t>Manuscript</w:t>
      </w:r>
      <w:bookmarkEnd w:id="244"/>
    </w:p>
    <w:p w14:paraId="1C206315" w14:textId="77777777" w:rsidR="00F621BD" w:rsidRPr="002C21B8" w:rsidRDefault="00F621BD" w:rsidP="00F621BD"/>
    <w:p w14:paraId="7DF32DF3" w14:textId="7F391F10" w:rsidR="0097003E" w:rsidRPr="002C21B8" w:rsidRDefault="00F23913" w:rsidP="003374F4">
      <w:pPr>
        <w:rPr>
          <w:b/>
          <w:bCs/>
          <w:sz w:val="32"/>
          <w:szCs w:val="32"/>
        </w:rPr>
      </w:pPr>
      <w:r w:rsidRPr="002C21B8">
        <w:rPr>
          <w:b/>
          <w:bCs/>
          <w:sz w:val="32"/>
          <w:szCs w:val="32"/>
        </w:rPr>
        <w:t xml:space="preserve">Developing a conceptual model of prescribing </w:t>
      </w:r>
      <w:r w:rsidR="00C33CF7" w:rsidRPr="002C21B8">
        <w:rPr>
          <w:b/>
          <w:bCs/>
          <w:sz w:val="32"/>
          <w:szCs w:val="32"/>
        </w:rPr>
        <w:t xml:space="preserve">decision-making in </w:t>
      </w:r>
      <w:r w:rsidRPr="002C21B8">
        <w:rPr>
          <w:b/>
          <w:bCs/>
          <w:sz w:val="32"/>
          <w:szCs w:val="32"/>
        </w:rPr>
        <w:t>rare diseases: insights from tolvaptan prescribing for autosomal dominant polycystic kidney disease</w:t>
      </w:r>
    </w:p>
    <w:p w14:paraId="0C9C194D" w14:textId="666D7F78" w:rsidR="001319E8" w:rsidRPr="002C21B8" w:rsidRDefault="0097003E" w:rsidP="003374F4">
      <w:pPr>
        <w:rPr>
          <w:shd w:val="clear" w:color="auto" w:fill="FFFFFF"/>
        </w:rPr>
      </w:pPr>
      <w:r w:rsidRPr="002C21B8">
        <w:rPr>
          <w:shd w:val="clear" w:color="auto" w:fill="FFFFFF"/>
        </w:rPr>
        <w:t xml:space="preserve">Gittus, M., Fotheringham, J., Ong, A.C.M., </w:t>
      </w:r>
      <w:r w:rsidR="00B328F5" w:rsidRPr="002C21B8">
        <w:rPr>
          <w:shd w:val="clear" w:color="auto" w:fill="FFFFFF"/>
        </w:rPr>
        <w:t xml:space="preserve">and </w:t>
      </w:r>
      <w:r w:rsidRPr="002C21B8">
        <w:rPr>
          <w:shd w:val="clear" w:color="auto" w:fill="FFFFFF"/>
        </w:rPr>
        <w:t>O'Cathain, A.</w:t>
      </w:r>
    </w:p>
    <w:p w14:paraId="075F3F5E" w14:textId="15A2EB88" w:rsidR="006E7F83" w:rsidRPr="002C21B8" w:rsidRDefault="006E7F83" w:rsidP="003374F4">
      <w:pPr>
        <w:rPr>
          <w:i/>
          <w:iCs/>
          <w:shd w:val="clear" w:color="auto" w:fill="FFFFFF"/>
        </w:rPr>
      </w:pPr>
      <w:r w:rsidRPr="002C21B8">
        <w:rPr>
          <w:shd w:val="clear" w:color="auto" w:fill="FFFFFF"/>
        </w:rPr>
        <w:t xml:space="preserve">In preparation for </w:t>
      </w:r>
      <w:r w:rsidR="006125EB" w:rsidRPr="002C21B8">
        <w:rPr>
          <w:shd w:val="clear" w:color="auto" w:fill="FFFFFF"/>
        </w:rPr>
        <w:t xml:space="preserve">the </w:t>
      </w:r>
      <w:r w:rsidRPr="002C21B8">
        <w:rPr>
          <w:i/>
          <w:iCs/>
          <w:shd w:val="clear" w:color="auto" w:fill="FFFFFF"/>
        </w:rPr>
        <w:t>Orphanet Journal of Rare Diseases</w:t>
      </w:r>
    </w:p>
    <w:p w14:paraId="10DC7788" w14:textId="44E5BEA8" w:rsidR="001319E8" w:rsidRPr="002C21B8" w:rsidRDefault="001319E8" w:rsidP="00B328F5">
      <w:pPr>
        <w:spacing w:line="240" w:lineRule="auto"/>
        <w:jc w:val="left"/>
        <w:rPr>
          <w:shd w:val="clear" w:color="auto" w:fill="FFFFFF"/>
        </w:rPr>
      </w:pPr>
    </w:p>
    <w:p w14:paraId="29D47AA1" w14:textId="368349D5" w:rsidR="0097003E" w:rsidRPr="002C21B8" w:rsidRDefault="001319E8" w:rsidP="00282FD1">
      <w:pPr>
        <w:spacing w:before="240"/>
        <w:rPr>
          <w:b/>
          <w:bCs/>
          <w:sz w:val="28"/>
          <w:szCs w:val="28"/>
        </w:rPr>
      </w:pPr>
      <w:r w:rsidRPr="002C21B8">
        <w:rPr>
          <w:b/>
          <w:bCs/>
          <w:sz w:val="28"/>
          <w:szCs w:val="28"/>
        </w:rPr>
        <w:t>Abstract</w:t>
      </w:r>
    </w:p>
    <w:p w14:paraId="51ACAB36" w14:textId="348D6B66" w:rsidR="001319E8" w:rsidRPr="002C21B8" w:rsidRDefault="001319E8" w:rsidP="001319E8">
      <w:pPr>
        <w:spacing w:before="240" w:after="0"/>
        <w:contextualSpacing/>
        <w:rPr>
          <w:b/>
          <w:bCs/>
          <w:sz w:val="24"/>
          <w:szCs w:val="24"/>
        </w:rPr>
      </w:pPr>
      <w:r w:rsidRPr="002C21B8">
        <w:rPr>
          <w:b/>
          <w:bCs/>
          <w:sz w:val="24"/>
          <w:szCs w:val="24"/>
        </w:rPr>
        <w:t>Background</w:t>
      </w:r>
    </w:p>
    <w:p w14:paraId="55A22898" w14:textId="4541256C" w:rsidR="001319E8" w:rsidRPr="002C21B8" w:rsidRDefault="001319E8" w:rsidP="001319E8">
      <w:r w:rsidRPr="002C21B8">
        <w:t xml:space="preserve">Prescribing rates </w:t>
      </w:r>
      <w:r w:rsidR="00F34309" w:rsidRPr="002C21B8">
        <w:t xml:space="preserve">can </w:t>
      </w:r>
      <w:r w:rsidRPr="002C21B8">
        <w:t xml:space="preserve">vary </w:t>
      </w:r>
      <w:r w:rsidR="00F34309" w:rsidRPr="002C21B8">
        <w:t xml:space="preserve">widely </w:t>
      </w:r>
      <w:r w:rsidRPr="002C21B8">
        <w:t>even when evidence-based guid</w:t>
      </w:r>
      <w:r w:rsidR="00F34309" w:rsidRPr="002C21B8">
        <w:t>elines are</w:t>
      </w:r>
      <w:r w:rsidRPr="002C21B8">
        <w:t xml:space="preserve"> available. Models of prescribing suggest that variation is influenced by patient characteristics, pharmacist involvement, marketing efforts</w:t>
      </w:r>
      <w:r w:rsidR="00114202" w:rsidRPr="002C21B8">
        <w:t>,</w:t>
      </w:r>
      <w:r w:rsidRPr="002C21B8">
        <w:t xml:space="preserve"> and contextual factors. Rare diseases pose additional challenges compared with more common chronic conditions</w:t>
      </w:r>
      <w:r w:rsidR="00EF388B" w:rsidRPr="002C21B8">
        <w:t xml:space="preserve">. This may </w:t>
      </w:r>
      <w:r w:rsidRPr="002C21B8">
        <w:t>potentially limit the applicability of generic prescribing models</w:t>
      </w:r>
      <w:r w:rsidR="00EF388B" w:rsidRPr="002C21B8">
        <w:t xml:space="preserve"> to rare disease contexts</w:t>
      </w:r>
      <w:r w:rsidRPr="002C21B8">
        <w:t>. Autosomal Dominant Polycystic Kidney Disease (ADPKD) is a rare, progressive kidney disease that affects up to 70,000</w:t>
      </w:r>
      <w:r w:rsidR="009F541E" w:rsidRPr="002C21B8">
        <w:t xml:space="preserve"> people</w:t>
      </w:r>
      <w:r w:rsidRPr="002C21B8">
        <w:t xml:space="preserve"> in the United Kingdom. Tolvaptan is the only approved disease-modifying therapy for rapidly progressive disease</w:t>
      </w:r>
      <w:r w:rsidR="00896DF6" w:rsidRPr="002C21B8">
        <w:t>,</w:t>
      </w:r>
      <w:r w:rsidRPr="002C21B8">
        <w:t xml:space="preserve"> but its use</w:t>
      </w:r>
      <w:r w:rsidR="00FC4EBD" w:rsidRPr="002C21B8">
        <w:t xml:space="preserve"> appears to</w:t>
      </w:r>
      <w:r w:rsidRPr="002C21B8">
        <w:t xml:space="preserve"> var</w:t>
      </w:r>
      <w:r w:rsidR="00FC4EBD" w:rsidRPr="002C21B8">
        <w:t>y</w:t>
      </w:r>
      <w:r w:rsidRPr="002C21B8">
        <w:t xml:space="preserve"> in clinical practice. Using tolvaptan in ADPKD as a case allows </w:t>
      </w:r>
      <w:r w:rsidR="00FC4EBD" w:rsidRPr="002C21B8">
        <w:t xml:space="preserve">the </w:t>
      </w:r>
      <w:r w:rsidRPr="002C21B8">
        <w:t xml:space="preserve">exploration of factors influencing prescribing in </w:t>
      </w:r>
      <w:r w:rsidR="009500DC" w:rsidRPr="002C21B8">
        <w:t xml:space="preserve">a </w:t>
      </w:r>
      <w:r w:rsidRPr="002C21B8">
        <w:t xml:space="preserve">rare disease and </w:t>
      </w:r>
      <w:r w:rsidR="00A23AB1" w:rsidRPr="002C21B8">
        <w:t xml:space="preserve">the </w:t>
      </w:r>
      <w:r w:rsidRPr="002C21B8">
        <w:t xml:space="preserve">development of a </w:t>
      </w:r>
      <w:r w:rsidR="00D707EF" w:rsidRPr="002C21B8">
        <w:t>conceptual</w:t>
      </w:r>
      <w:r w:rsidRPr="002C21B8">
        <w:t xml:space="preserve"> model </w:t>
      </w:r>
      <w:r w:rsidR="00C33CF7" w:rsidRPr="002C21B8">
        <w:t>of</w:t>
      </w:r>
      <w:r w:rsidRPr="002C21B8">
        <w:t xml:space="preserve"> </w:t>
      </w:r>
      <w:r w:rsidR="00D707EF" w:rsidRPr="002C21B8">
        <w:t>prescribing</w:t>
      </w:r>
      <w:r w:rsidR="00C33CF7" w:rsidRPr="002C21B8">
        <w:t xml:space="preserve"> decision-making in</w:t>
      </w:r>
      <w:r w:rsidR="00D707EF" w:rsidRPr="002C21B8">
        <w:t xml:space="preserve"> </w:t>
      </w:r>
      <w:r w:rsidRPr="002C21B8">
        <w:t>rare diseases.</w:t>
      </w:r>
    </w:p>
    <w:p w14:paraId="2061CC8A" w14:textId="3AD03542" w:rsidR="001319E8" w:rsidRPr="002C21B8" w:rsidRDefault="001319E8" w:rsidP="001319E8">
      <w:pPr>
        <w:spacing w:before="240" w:after="0"/>
        <w:contextualSpacing/>
        <w:rPr>
          <w:b/>
          <w:bCs/>
          <w:sz w:val="24"/>
          <w:szCs w:val="24"/>
        </w:rPr>
      </w:pPr>
      <w:r w:rsidRPr="002C21B8">
        <w:rPr>
          <w:b/>
          <w:bCs/>
          <w:sz w:val="24"/>
          <w:szCs w:val="24"/>
        </w:rPr>
        <w:t>Methods</w:t>
      </w:r>
    </w:p>
    <w:p w14:paraId="5FB4B358" w14:textId="7041F123" w:rsidR="009F541E" w:rsidRPr="002C21B8" w:rsidRDefault="001319E8" w:rsidP="001319E8">
      <w:r w:rsidRPr="002C21B8">
        <w:t xml:space="preserve">Semi-structured interviews, clinic observations and document analysis were undertaken with </w:t>
      </w:r>
      <w:r w:rsidR="00226C78" w:rsidRPr="002C21B8">
        <w:t>clinicians</w:t>
      </w:r>
      <w:r w:rsidRPr="002C21B8">
        <w:t xml:space="preserve"> at three NHS kidney centres </w:t>
      </w:r>
      <w:r w:rsidR="00D707EF" w:rsidRPr="002C21B8">
        <w:t xml:space="preserve">in the United Kingdom (UK) </w:t>
      </w:r>
      <w:r w:rsidRPr="002C21B8">
        <w:t xml:space="preserve">between December 2024 and September 2025. An existing </w:t>
      </w:r>
      <w:r w:rsidR="00C24245" w:rsidRPr="002C21B8">
        <w:t xml:space="preserve">conceptual </w:t>
      </w:r>
      <w:r w:rsidRPr="002C21B8">
        <w:t>model of prescribing decision</w:t>
      </w:r>
      <w:r w:rsidR="00C24245" w:rsidRPr="002C21B8">
        <w:t>-making</w:t>
      </w:r>
      <w:r w:rsidRPr="002C21B8">
        <w:t xml:space="preserve"> </w:t>
      </w:r>
      <w:r w:rsidR="00C24245" w:rsidRPr="002C21B8">
        <w:t xml:space="preserve">in chronic conditions </w:t>
      </w:r>
      <w:r w:rsidRPr="002C21B8">
        <w:t xml:space="preserve">was used </w:t>
      </w:r>
      <w:r w:rsidR="00D707EF" w:rsidRPr="002C21B8">
        <w:t>within</w:t>
      </w:r>
      <w:r w:rsidRPr="002C21B8">
        <w:t xml:space="preserve"> </w:t>
      </w:r>
      <w:r w:rsidR="00716999" w:rsidRPr="002C21B8">
        <w:t xml:space="preserve">the </w:t>
      </w:r>
      <w:r w:rsidRPr="002C21B8">
        <w:t xml:space="preserve">data collection and analysis. Relevant factors were mapped to </w:t>
      </w:r>
      <w:r w:rsidR="00D707EF" w:rsidRPr="002C21B8">
        <w:t xml:space="preserve">this </w:t>
      </w:r>
      <w:r w:rsidRPr="002C21B8">
        <w:t xml:space="preserve">existing model </w:t>
      </w:r>
      <w:r w:rsidR="00D707EF" w:rsidRPr="002C21B8">
        <w:t>to develop a model for rare diseases</w:t>
      </w:r>
      <w:r w:rsidRPr="002C21B8">
        <w:t>.</w:t>
      </w:r>
    </w:p>
    <w:p w14:paraId="20388567" w14:textId="77777777" w:rsidR="00F34309" w:rsidRPr="002C21B8" w:rsidRDefault="00F34309" w:rsidP="001319E8"/>
    <w:p w14:paraId="404E5E29" w14:textId="3098A403" w:rsidR="001319E8" w:rsidRPr="002C21B8" w:rsidRDefault="001319E8" w:rsidP="001319E8">
      <w:pPr>
        <w:spacing w:before="240" w:after="0"/>
        <w:contextualSpacing/>
        <w:rPr>
          <w:b/>
          <w:bCs/>
          <w:sz w:val="24"/>
          <w:szCs w:val="24"/>
        </w:rPr>
      </w:pPr>
      <w:r w:rsidRPr="002C21B8">
        <w:rPr>
          <w:b/>
          <w:bCs/>
          <w:sz w:val="24"/>
          <w:szCs w:val="24"/>
        </w:rPr>
        <w:t>Results</w:t>
      </w:r>
    </w:p>
    <w:p w14:paraId="7DEE41DF" w14:textId="3FFDF630" w:rsidR="00581822" w:rsidRPr="002C21B8" w:rsidRDefault="001319E8" w:rsidP="001319E8">
      <w:r w:rsidRPr="002C21B8">
        <w:t xml:space="preserve">Twelve semi-structured interviews with </w:t>
      </w:r>
      <w:r w:rsidR="00226C78" w:rsidRPr="002C21B8">
        <w:t>clinicians</w:t>
      </w:r>
      <w:r w:rsidRPr="002C21B8">
        <w:t xml:space="preserve">, </w:t>
      </w:r>
      <w:r w:rsidR="00D707EF" w:rsidRPr="002C21B8">
        <w:t>23</w:t>
      </w:r>
      <w:r w:rsidRPr="002C21B8">
        <w:t xml:space="preserve"> clinic observations and </w:t>
      </w:r>
      <w:r w:rsidR="00D707EF" w:rsidRPr="002C21B8">
        <w:t>8</w:t>
      </w:r>
      <w:r w:rsidRPr="002C21B8">
        <w:t xml:space="preserve"> documents were analysed to explore tolvaptan prescribing in ADPKD. Tolvaptan prescribing for ADPKD fitted well with the </w:t>
      </w:r>
      <w:r w:rsidR="00D707EF" w:rsidRPr="002C21B8">
        <w:t xml:space="preserve">conceptual </w:t>
      </w:r>
      <w:r w:rsidRPr="002C21B8">
        <w:t>mode</w:t>
      </w:r>
      <w:r w:rsidR="00C24245" w:rsidRPr="002C21B8">
        <w:t>l</w:t>
      </w:r>
      <w:r w:rsidR="00BF3891" w:rsidRPr="002C21B8">
        <w:t xml:space="preserve"> </w:t>
      </w:r>
      <w:r w:rsidR="00C24245" w:rsidRPr="002C21B8">
        <w:t xml:space="preserve">of </w:t>
      </w:r>
      <w:r w:rsidR="00BF3891" w:rsidRPr="002C21B8">
        <w:t xml:space="preserve">prescribing </w:t>
      </w:r>
      <w:r w:rsidR="00C24245" w:rsidRPr="002C21B8">
        <w:t xml:space="preserve">decision-making in chronic conditions. </w:t>
      </w:r>
      <w:r w:rsidR="00D707EF" w:rsidRPr="002C21B8">
        <w:t>However</w:t>
      </w:r>
      <w:r w:rsidRPr="002C21B8">
        <w:t>, six factors appeared particularly influential in rare disease prescribing</w:t>
      </w:r>
      <w:r w:rsidR="00896DF6" w:rsidRPr="002C21B8">
        <w:t>:</w:t>
      </w:r>
      <w:r w:rsidRPr="002C21B8">
        <w:t xml:space="preserve"> therapeutic scarcity, small patient numbers, disease heterogeneity, highly influential experts and informal networks, well-informed patients, and high medication costs. These findings informed a</w:t>
      </w:r>
      <w:r w:rsidR="00D707EF" w:rsidRPr="002C21B8">
        <w:t xml:space="preserve"> conceptual model </w:t>
      </w:r>
      <w:r w:rsidR="00C24245" w:rsidRPr="002C21B8">
        <w:t xml:space="preserve">of </w:t>
      </w:r>
      <w:r w:rsidRPr="002C21B8">
        <w:t>prescribing</w:t>
      </w:r>
      <w:r w:rsidR="00C24245" w:rsidRPr="002C21B8">
        <w:t xml:space="preserve"> decision-making</w:t>
      </w:r>
      <w:r w:rsidRPr="002C21B8">
        <w:t xml:space="preserve"> in rare diseases</w:t>
      </w:r>
      <w:r w:rsidR="00EF788E" w:rsidRPr="002C21B8">
        <w:t>,</w:t>
      </w:r>
      <w:r w:rsidRPr="002C21B8">
        <w:t xml:space="preserve"> which consists of a multi-stage process from patient identification to shared decision-making</w:t>
      </w:r>
      <w:r w:rsidR="00D707EF" w:rsidRPr="002C21B8">
        <w:t xml:space="preserve"> between clinicians and patients</w:t>
      </w:r>
      <w:r w:rsidRPr="002C21B8">
        <w:t>.</w:t>
      </w:r>
    </w:p>
    <w:p w14:paraId="1C0EE996" w14:textId="5512E9EF" w:rsidR="001319E8" w:rsidRPr="002C21B8" w:rsidRDefault="001319E8" w:rsidP="001319E8">
      <w:pPr>
        <w:spacing w:before="240" w:after="0"/>
        <w:contextualSpacing/>
        <w:rPr>
          <w:b/>
          <w:bCs/>
        </w:rPr>
      </w:pPr>
      <w:r w:rsidRPr="002C21B8">
        <w:rPr>
          <w:b/>
          <w:bCs/>
          <w:sz w:val="24"/>
          <w:szCs w:val="24"/>
        </w:rPr>
        <w:t>Conclusions</w:t>
      </w:r>
    </w:p>
    <w:p w14:paraId="33C78CDF" w14:textId="4A31791A" w:rsidR="001319E8" w:rsidRPr="002C21B8" w:rsidRDefault="001319E8" w:rsidP="00BF3891">
      <w:r w:rsidRPr="002C21B8">
        <w:t xml:space="preserve">In rare diseases such as ADPKD, prescribing decisions are influenced by some factors </w:t>
      </w:r>
      <w:r w:rsidR="009F541E" w:rsidRPr="002C21B8">
        <w:t xml:space="preserve">that </w:t>
      </w:r>
      <w:r w:rsidR="00EF788E" w:rsidRPr="002C21B8">
        <w:t xml:space="preserve">are </w:t>
      </w:r>
      <w:r w:rsidRPr="002C21B8">
        <w:t xml:space="preserve">shared with more common chronic </w:t>
      </w:r>
      <w:r w:rsidR="00C24245" w:rsidRPr="002C21B8">
        <w:t>condition</w:t>
      </w:r>
      <w:r w:rsidRPr="002C21B8">
        <w:t xml:space="preserve">s, </w:t>
      </w:r>
      <w:r w:rsidR="00BF3891" w:rsidRPr="002C21B8">
        <w:t xml:space="preserve">but have </w:t>
      </w:r>
      <w:r w:rsidRPr="002C21B8">
        <w:t xml:space="preserve">influences that are </w:t>
      </w:r>
      <w:r w:rsidR="00BF3891" w:rsidRPr="002C21B8">
        <w:t>specific to, or</w:t>
      </w:r>
      <w:r w:rsidRPr="002C21B8">
        <w:t xml:space="preserve"> amplified </w:t>
      </w:r>
      <w:r w:rsidR="00BF3891" w:rsidRPr="002C21B8">
        <w:t>within rare diseases.</w:t>
      </w:r>
    </w:p>
    <w:p w14:paraId="5551D07B" w14:textId="77777777" w:rsidR="001319E8" w:rsidRPr="002C21B8" w:rsidRDefault="001319E8" w:rsidP="00180A0E">
      <w:pPr>
        <w:spacing w:before="240" w:after="0"/>
        <w:jc w:val="left"/>
        <w:rPr>
          <w:b/>
          <w:bCs/>
          <w:sz w:val="28"/>
          <w:szCs w:val="28"/>
        </w:rPr>
      </w:pPr>
      <w:r w:rsidRPr="002C21B8">
        <w:br w:type="page"/>
      </w:r>
      <w:r w:rsidRPr="002C21B8">
        <w:rPr>
          <w:b/>
          <w:bCs/>
          <w:sz w:val="28"/>
          <w:szCs w:val="28"/>
        </w:rPr>
        <w:t>Introduction</w:t>
      </w:r>
    </w:p>
    <w:p w14:paraId="06EB80D0" w14:textId="760E65E0" w:rsidR="00180A0E" w:rsidRPr="002C21B8" w:rsidRDefault="00180A0E" w:rsidP="00180A0E">
      <w:r w:rsidRPr="002C21B8">
        <w:t>While rare diseases are typically chronic, they present additional challenges compared with more common chronic conditions. Their low prevalence means some clinicians may only have seen a few cases</w:t>
      </w:r>
      <w:r w:rsidR="00B25E61" w:rsidRPr="002C21B8">
        <w:t>,</w:t>
      </w:r>
      <w:r w:rsidRPr="002C21B8">
        <w:t xml:space="preserve"> which </w:t>
      </w:r>
      <w:r w:rsidR="00B25E61" w:rsidRPr="002C21B8">
        <w:t xml:space="preserve">can </w:t>
      </w:r>
      <w:r w:rsidRPr="002C21B8">
        <w:t>limit their experience with the condition and</w:t>
      </w:r>
      <w:r w:rsidR="00310C22" w:rsidRPr="002C21B8">
        <w:t xml:space="preserve"> make</w:t>
      </w:r>
      <w:r w:rsidRPr="002C21B8">
        <w:t xml:space="preserve"> decision-making </w:t>
      </w:r>
      <w:r w:rsidR="00310C22" w:rsidRPr="002C21B8">
        <w:t xml:space="preserve">more difficult </w:t>
      </w:r>
      <w:r w:rsidR="004A147B" w:rsidRPr="002C21B8">
        <w:fldChar w:fldCharType="begin"/>
      </w:r>
      <w:r w:rsidR="007C3C0A" w:rsidRPr="002C21B8">
        <w:instrText xml:space="preserve"> ADDIN EN.CITE &lt;EndNote&gt;&lt;Cite&gt;&lt;Author&gt;European Parliament&lt;/Author&gt;&lt;Year&gt;2026&lt;/Year&gt;&lt;RecNum&gt;125347&lt;/RecNum&gt;&lt;DisplayText&gt;(European Commission, 2020; European Parliament, 2026)&lt;/DisplayText&gt;&lt;record&gt;&lt;rec-number&gt;125347&lt;/rec-number&gt;&lt;foreign-keys&gt;&lt;key app="EN" db-id="xpefzwa5hf9dt2ea9fax95x7xvxz90v09dtf" timestamp="1775229542"&gt;125347&lt;/key&gt;&lt;/foreign-keys&gt;&lt;ref-type name="Web Page"&gt;12&lt;/ref-type&gt;&lt;contributors&gt;&lt;authors&gt;&lt;author&gt;European Parliament,&lt;/author&gt;&lt;/authors&gt;&lt;/contributors&gt;&lt;titles&gt;&lt;title&gt;EU rare disease action plan - European Added Value Assessment&lt;/title&gt;&lt;/titles&gt;&lt;number&gt;03/04/2026)&lt;/number&gt;&lt;dates&gt;&lt;year&gt;2026&lt;/year&gt;&lt;/dates&gt;&lt;urls&gt;&lt;related-urls&gt;&lt;url&gt;https://www.europarl.europa.eu/RegData/etudes/STUD/2026/774708/EPRS_STU(2026)774708_EN.pdf&lt;/url&gt;&lt;/related-urls&gt;&lt;/urls&gt;&lt;/record&gt;&lt;/Cite&gt;&lt;Cite&gt;&lt;Author&gt;European Commission&lt;/Author&gt;&lt;Year&gt;2020&lt;/Year&gt;&lt;RecNum&gt;5018&lt;/RecNum&gt;&lt;record&gt;&lt;rec-number&gt;5018&lt;/rec-number&gt;&lt;foreign-keys&gt;&lt;key app="EN" db-id="xpefzwa5hf9dt2ea9fax95x7xvxz90v09dtf" timestamp="1699890121"&gt;5018&lt;/key&gt;&lt;/foreign-keys&gt;&lt;ref-type name="Web Page"&gt;12&lt;/ref-type&gt;&lt;contributors&gt;&lt;authors&gt;&lt;author&gt;European Commission,&lt;/author&gt;&lt;/authors&gt;&lt;/contributors&gt;&lt;titles&gt;&lt;title&gt;Rare diseases&lt;/title&gt;&lt;/titles&gt;&lt;number&gt;13/11/2023)&lt;/number&gt;&lt;dates&gt;&lt;year&gt;2020&lt;/year&gt;&lt;/dates&gt;&lt;urls&gt;&lt;related-urls&gt;&lt;url&gt;https://ec.europa.eu/info/research-and-innovation/research-area/health/rare-diseases_en&lt;/url&gt;&lt;/related-urls&gt;&lt;/urls&gt;&lt;/record&gt;&lt;/Cite&gt;&lt;/EndNote&gt;</w:instrText>
      </w:r>
      <w:r w:rsidR="004A147B" w:rsidRPr="002C21B8">
        <w:fldChar w:fldCharType="separate"/>
      </w:r>
      <w:r w:rsidR="007C3C0A" w:rsidRPr="002C21B8">
        <w:rPr>
          <w:noProof/>
        </w:rPr>
        <w:t>(European Commission, 2020; European Parliament, 2026)</w:t>
      </w:r>
      <w:r w:rsidR="004A147B" w:rsidRPr="002C21B8">
        <w:fldChar w:fldCharType="end"/>
      </w:r>
      <w:r w:rsidRPr="002C21B8">
        <w:t xml:space="preserve">. Some of these rare diseases do not have approved </w:t>
      </w:r>
      <w:r w:rsidR="004F543B" w:rsidRPr="002C21B8">
        <w:t>medications</w:t>
      </w:r>
      <w:r w:rsidRPr="002C21B8">
        <w:t xml:space="preserve">, while others have expensive </w:t>
      </w:r>
      <w:r w:rsidR="00505B55" w:rsidRPr="002C21B8">
        <w:t>o</w:t>
      </w:r>
      <w:r w:rsidR="00BD0C52" w:rsidRPr="002C21B8">
        <w:t>nes</w:t>
      </w:r>
      <w:r w:rsidRPr="002C21B8">
        <w:t xml:space="preserve"> that have been approved based on small or less robust clinical trials </w:t>
      </w:r>
      <w:r w:rsidRPr="002C21B8">
        <w:fldChar w:fldCharType="begin"/>
      </w:r>
      <w:r w:rsidRPr="002C21B8">
        <w:instrText xml:space="preserve"> ADDIN EN.CITE &lt;EndNote&gt;&lt;Cite&gt;&lt;Author&gt;Hale&lt;/Author&gt;&lt;Year&gt;2023&lt;/Year&gt;&lt;RecNum&gt;124956&lt;/RecNum&gt;&lt;DisplayText&gt;(Eichler&lt;style face="italic"&gt; et al.&lt;/style&gt;, 2023; Hale, Morris and Barker-Yip, 2023)&lt;/DisplayText&gt;&lt;record&gt;&lt;rec-number&gt;124956&lt;/rec-number&gt;&lt;foreign-keys&gt;&lt;key app="EN" db-id="xpefzwa5hf9dt2ea9fax95x7xvxz90v09dtf" timestamp="1754479643"&gt;124956&lt;/key&gt;&lt;/foreign-keys&gt;&lt;ref-type name="Journal Article"&gt;17&lt;/ref-type&gt;&lt;contributors&gt;&lt;authors&gt;&lt;author&gt;Hale, George&lt;/author&gt;&lt;author&gt;Morris, James&lt;/author&gt;&lt;author&gt;Barker-Yip, Jules&lt;/author&gt;&lt;/authors&gt;&lt;/contributors&gt;&lt;titles&gt;&lt;title&gt;Flexibility in assessment of rare disease technologies via NICE&amp;apos;s single technology appraisal route: a thematic analysis&lt;/title&gt;&lt;secondary-title&gt;Journal of Comparative Effectiveness Research&lt;/secondary-title&gt;&lt;/titles&gt;&lt;periodical&gt;&lt;full-title&gt;Journal of Comparative Effectiveness Research&lt;/full-title&gt;&lt;/periodical&gt;&lt;pages&gt;e230093&lt;/pages&gt;&lt;volume&gt;12&lt;/volume&gt;&lt;number&gt;11&lt;/number&gt;&lt;dates&gt;&lt;year&gt;2023&lt;/year&gt;&lt;/dates&gt;&lt;isbn&gt;2042-6305&lt;/isbn&gt;&lt;urls&gt;&lt;/urls&gt;&lt;/record&gt;&lt;/Cite&gt;&lt;Cite&gt;&lt;Author&gt;Eichler&lt;/Author&gt;&lt;Year&gt;2023&lt;/Year&gt;&lt;RecNum&gt;125269&lt;/RecNum&gt;&lt;record&gt;&lt;rec-number&gt;125269&lt;/rec-number&gt;&lt;foreign-keys&gt;&lt;key app="EN" db-id="xpefzwa5hf9dt2ea9fax95x7xvxz90v09dtf" timestamp="1773872607"&gt;125269&lt;/key&gt;&lt;/foreign-keys&gt;&lt;ref-type name="Journal Article"&gt;17&lt;/ref-type&gt;&lt;contributors&gt;&lt;authors&gt;&lt;author&gt;Eichler, Hans-Georg&lt;/author&gt;&lt;author&gt;Kossmeier, Michael&lt;/author&gt;&lt;author&gt;Zeitlinger, Markus&lt;/author&gt;&lt;author&gt;Schwarzer-Daum, Brigitte&lt;/author&gt;&lt;/authors&gt;&lt;/contributors&gt;&lt;titles&gt;&lt;title&gt;Orphan drugs’ clinical uncertainty and prices: Addressing allocative and technical inefficiencies in orphan drug reimbursement&lt;/title&gt;&lt;secondary-title&gt;Frontiers in Pharmacology&lt;/secondary-title&gt;&lt;/titles&gt;&lt;periodical&gt;&lt;full-title&gt;Frontiers in pharmacology&lt;/full-title&gt;&lt;/periodical&gt;&lt;pages&gt;1074512&lt;/pages&gt;&lt;volume&gt;14&lt;/volume&gt;&lt;dates&gt;&lt;year&gt;2023&lt;/year&gt;&lt;/dates&gt;&lt;isbn&gt;1663-9812&lt;/isbn&gt;&lt;urls&gt;&lt;/urls&gt;&lt;/record&gt;&lt;/Cite&gt;&lt;/EndNote&gt;</w:instrText>
      </w:r>
      <w:r w:rsidRPr="002C21B8">
        <w:fldChar w:fldCharType="separate"/>
      </w:r>
      <w:r w:rsidRPr="002C21B8">
        <w:rPr>
          <w:noProof/>
        </w:rPr>
        <w:t>(Eichler</w:t>
      </w:r>
      <w:r w:rsidRPr="002C21B8">
        <w:rPr>
          <w:i/>
          <w:noProof/>
        </w:rPr>
        <w:t xml:space="preserve"> et al.</w:t>
      </w:r>
      <w:r w:rsidRPr="002C21B8">
        <w:rPr>
          <w:noProof/>
        </w:rPr>
        <w:t>, 2023; Hale, Morris and Barker-Yip, 2023)</w:t>
      </w:r>
      <w:r w:rsidRPr="002C21B8">
        <w:fldChar w:fldCharType="end"/>
      </w:r>
      <w:r w:rsidRPr="002C21B8">
        <w:t>. These challenges may explain why prescribing in the real</w:t>
      </w:r>
      <w:r w:rsidR="00BE7077" w:rsidRPr="002C21B8">
        <w:t>-</w:t>
      </w:r>
      <w:r w:rsidRPr="002C21B8">
        <w:t xml:space="preserve">world </w:t>
      </w:r>
      <w:r w:rsidR="00BE7077" w:rsidRPr="002C21B8">
        <w:t>can</w:t>
      </w:r>
      <w:r w:rsidRPr="002C21B8">
        <w:t xml:space="preserve"> differ from </w:t>
      </w:r>
      <w:r w:rsidR="00BE7077" w:rsidRPr="002C21B8">
        <w:t xml:space="preserve">guideline </w:t>
      </w:r>
      <w:r w:rsidRPr="002C21B8">
        <w:t xml:space="preserve">recommendations </w:t>
      </w:r>
      <w:r w:rsidRPr="002C21B8">
        <w:fldChar w:fldCharType="begin"/>
      </w:r>
      <w:r w:rsidR="000215B0" w:rsidRPr="002C21B8">
        <w:instrText xml:space="preserve"> ADDIN EN.CITE &lt;EndNote&gt;&lt;Cite&gt;&lt;Author&gt;Wang&lt;/Author&gt;&lt;Year&gt;2023&lt;/Year&gt;&lt;RecNum&gt;125270&lt;/RecNum&gt;&lt;DisplayText&gt;(Thoonsen&lt;style face="italic"&gt; et al.&lt;/style&gt;, 2024; Wang&lt;style face="italic"&gt; et al.&lt;/style&gt;, 2023)&lt;/DisplayText&gt;&lt;record&gt;&lt;rec-number&gt;125270&lt;/rec-number&gt;&lt;foreign-keys&gt;&lt;key app="EN" db-id="xpefzwa5hf9dt2ea9fax95x7xvxz90v09dtf" timestamp="1773925105"&gt;125270&lt;/key&gt;&lt;/foreign-keys&gt;&lt;ref-type name="Journal Article"&gt;17&lt;/ref-type&gt;&lt;contributors&gt;&lt;authors&gt;&lt;author&gt;Wang, Tao&lt;/author&gt;&lt;author&gt;Tan, Jing-Yu&lt;/author&gt;&lt;author&gt;Liu, Xian-Liang&lt;/author&gt;&lt;author&gt;Zhao, Isabella&lt;/author&gt;&lt;/authors&gt;&lt;/contributors&gt;&lt;titles&gt;&lt;title&gt;Barriers and enablers to implementing clinical practice guidelines in primary care: an overview of systematic reviews&lt;/title&gt;&lt;secondary-title&gt;BMJ Open&lt;/secondary-title&gt;&lt;/titles&gt;&lt;periodical&gt;&lt;full-title&gt;BMJ open&lt;/full-title&gt;&lt;/periodical&gt;&lt;pages&gt;e062158&lt;/pages&gt;&lt;volume&gt;13&lt;/volume&gt;&lt;number&gt;1&lt;/number&gt;&lt;dates&gt;&lt;year&gt;2023&lt;/year&gt;&lt;/dates&gt;&lt;isbn&gt;2044-6055&lt;/isbn&gt;&lt;urls&gt;&lt;/urls&gt;&lt;/record&gt;&lt;/Cite&gt;&lt;Cite&gt;&lt;Author&gt;Thoonsen&lt;/Author&gt;&lt;Year&gt;2024&lt;/Year&gt;&lt;RecNum&gt;125271&lt;/RecNum&gt;&lt;record&gt;&lt;rec-number&gt;125271&lt;/rec-number&gt;&lt;foreign-keys&gt;&lt;key app="EN" db-id="xpefzwa5hf9dt2ea9fax95x7xvxz90v09dtf" timestamp="1773925200"&gt;125271&lt;/key&gt;&lt;/foreign-keys&gt;&lt;ref-type name="Journal Article"&gt;17&lt;/ref-type&gt;&lt;contributors&gt;&lt;authors&gt;&lt;author&gt;Thoonsen, Andrea C&lt;/author&gt;&lt;author&gt;van Schoten, Steffie M&lt;/author&gt;&lt;author&gt;Merten, Hanneke&lt;/author&gt;&lt;author&gt;van Beusekom, Ilse&lt;/author&gt;&lt;author&gt;Schoonmade, Linda J&lt;/author&gt;&lt;author&gt;Delnoij, Diana MJ&lt;/author&gt;&lt;author&gt;de Bruijne, Martine C&lt;/author&gt;&lt;/authors&gt;&lt;/contributors&gt;&lt;titles&gt;&lt;title&gt;Stimulating implementation of clinical practice guidelines in hospital care from a central guideline organization perspective: A systematic review&lt;/title&gt;&lt;secondary-title&gt;Health Policy&lt;/secondary-title&gt;&lt;/titles&gt;&lt;periodical&gt;&lt;full-title&gt;Health Policy&lt;/full-title&gt;&lt;/periodical&gt;&lt;pages&gt;105135&lt;/pages&gt;&lt;volume&gt;148&lt;/volume&gt;&lt;dates&gt;&lt;year&gt;2024&lt;/year&gt;&lt;/dates&gt;&lt;isbn&gt;0168-8510&lt;/isbn&gt;&lt;urls&gt;&lt;/urls&gt;&lt;/record&gt;&lt;/Cite&gt;&lt;/EndNote&gt;</w:instrText>
      </w:r>
      <w:r w:rsidRPr="002C21B8">
        <w:fldChar w:fldCharType="separate"/>
      </w:r>
      <w:r w:rsidRPr="002C21B8">
        <w:rPr>
          <w:noProof/>
        </w:rPr>
        <w:t>(Thoonsen</w:t>
      </w:r>
      <w:r w:rsidRPr="002C21B8">
        <w:rPr>
          <w:i/>
          <w:noProof/>
        </w:rPr>
        <w:t xml:space="preserve"> et al.</w:t>
      </w:r>
      <w:r w:rsidRPr="002C21B8">
        <w:rPr>
          <w:noProof/>
        </w:rPr>
        <w:t>, 2024; Wang</w:t>
      </w:r>
      <w:r w:rsidRPr="002C21B8">
        <w:rPr>
          <w:i/>
          <w:noProof/>
        </w:rPr>
        <w:t xml:space="preserve"> et al.</w:t>
      </w:r>
      <w:r w:rsidRPr="002C21B8">
        <w:rPr>
          <w:noProof/>
        </w:rPr>
        <w:t>, 2023)</w:t>
      </w:r>
      <w:r w:rsidRPr="002C21B8">
        <w:fldChar w:fldCharType="end"/>
      </w:r>
      <w:r w:rsidRPr="002C21B8">
        <w:t xml:space="preserve">. Understanding why this variation occurs requires a structured approach to examine the multiple factors that influence clinicians’ prescribing decisions and how these factors interact in the context of rare diseases </w:t>
      </w:r>
      <w:r w:rsidRPr="002C21B8">
        <w:fldChar w:fldCharType="begin"/>
      </w:r>
      <w:r w:rsidR="00590E88" w:rsidRPr="002C21B8">
        <w:instrText xml:space="preserve"> ADDIN EN.CITE &lt;EndNote&gt;&lt;Cite&gt;&lt;Author&gt;Grol&lt;/Author&gt;&lt;Year&gt;2003&lt;/Year&gt;&lt;RecNum&gt;125265&lt;/RecNum&gt;&lt;DisplayText&gt;(Grol and Grimshaw, 2003; Nguyen&lt;style face="italic"&gt; et al.&lt;/style&gt;, 2020)&lt;/DisplayText&gt;&lt;record&gt;&lt;rec-number&gt;125265&lt;/rec-number&gt;&lt;foreign-keys&gt;&lt;key app="EN" db-id="xpefzwa5hf9dt2ea9fax95x7xvxz90v09dtf" timestamp="1773868901"&gt;125265&lt;/key&gt;&lt;/foreign-keys&gt;&lt;ref-type name="Journal Article"&gt;17&lt;/ref-type&gt;&lt;contributors&gt;&lt;authors&gt;&lt;author&gt;Grol, Richard&lt;/author&gt;&lt;author&gt;Grimshaw, Jeremy&lt;/author&gt;&lt;/authors&gt;&lt;/contributors&gt;&lt;titles&gt;&lt;title&gt;From best evidence to best practice: effective implementation of change in patients&amp;apos; care&lt;/title&gt;&lt;secondary-title&gt;The Lancet&lt;/secondary-title&gt;&lt;/titles&gt;&lt;periodical&gt;&lt;full-title&gt;The Lancet&lt;/full-title&gt;&lt;/periodical&gt;&lt;pages&gt;1225-1230&lt;/pages&gt;&lt;volume&gt;362&lt;/volume&gt;&lt;number&gt;9391&lt;/number&gt;&lt;dates&gt;&lt;year&gt;2003&lt;/year&gt;&lt;/dates&gt;&lt;isbn&gt;0140-6736&lt;/isbn&gt;&lt;urls&gt;&lt;/urls&gt;&lt;/record&gt;&lt;/Cite&gt;&lt;Cite&gt;&lt;Author&gt;Nguyen&lt;/Author&gt;&lt;Year&gt;2020&lt;/Year&gt;&lt;RecNum&gt;125266&lt;/RecNum&gt;&lt;record&gt;&lt;rec-number&gt;125266&lt;/rec-number&gt;&lt;foreign-keys&gt;&lt;key app="EN" db-id="xpefzwa5hf9dt2ea9fax95x7xvxz90v09dtf" timestamp="1773868999"&gt;125266&lt;/key&gt;&lt;/foreign-keys&gt;&lt;ref-type name="Journal Article"&gt;17&lt;/ref-type&gt;&lt;contributors&gt;&lt;authors&gt;&lt;author&gt;Nguyen, Tony&lt;/author&gt;&lt;author&gt;Seiler, Natalie&lt;/author&gt;&lt;author&gt;Brown, Ellie&lt;/author&gt;&lt;author&gt;O&amp;apos;Donoghue, Brian&lt;/author&gt;&lt;/authors&gt;&lt;/contributors&gt;&lt;titles&gt;&lt;title&gt;The effect of Clinical Practice Guidelines on prescribing practice in mental health: a systematic review&lt;/title&gt;&lt;secondary-title&gt;Psychiatry Research&lt;/secondary-title&gt;&lt;/titles&gt;&lt;periodical&gt;&lt;full-title&gt;Psychiatry research&lt;/full-title&gt;&lt;/periodical&gt;&lt;pages&gt;112671&lt;/pages&gt;&lt;volume&gt;284&lt;/volume&gt;&lt;dates&gt;&lt;year&gt;2020&lt;/year&gt;&lt;/dates&gt;&lt;isbn&gt;0165-1781&lt;/isbn&gt;&lt;urls&gt;&lt;/urls&gt;&lt;/record&gt;&lt;/Cite&gt;&lt;/EndNote&gt;</w:instrText>
      </w:r>
      <w:r w:rsidRPr="002C21B8">
        <w:fldChar w:fldCharType="separate"/>
      </w:r>
      <w:r w:rsidRPr="002C21B8">
        <w:rPr>
          <w:noProof/>
        </w:rPr>
        <w:t>(Grol and Grimshaw, 2003; Nguyen</w:t>
      </w:r>
      <w:r w:rsidRPr="002C21B8">
        <w:rPr>
          <w:i/>
          <w:noProof/>
        </w:rPr>
        <w:t xml:space="preserve"> et al.</w:t>
      </w:r>
      <w:r w:rsidRPr="002C21B8">
        <w:rPr>
          <w:noProof/>
        </w:rPr>
        <w:t>, 2020)</w:t>
      </w:r>
      <w:r w:rsidRPr="002C21B8">
        <w:fldChar w:fldCharType="end"/>
      </w:r>
      <w:r w:rsidRPr="002C21B8">
        <w:t>.</w:t>
      </w:r>
    </w:p>
    <w:p w14:paraId="13B9676F" w14:textId="5C89ADA0" w:rsidR="00180A0E" w:rsidRPr="002C21B8" w:rsidRDefault="00180A0E" w:rsidP="00180A0E">
      <w:r w:rsidRPr="002C21B8">
        <w:t>Conceptual models</w:t>
      </w:r>
      <w:r w:rsidR="00BF3891" w:rsidRPr="002C21B8">
        <w:t xml:space="preserve"> of prescribing decision-making</w:t>
      </w:r>
      <w:r w:rsidRPr="002C21B8">
        <w:t xml:space="preserve">, such as that by </w:t>
      </w:r>
      <w:r w:rsidR="00176C84" w:rsidRPr="002C21B8">
        <w:fldChar w:fldCharType="begin"/>
      </w:r>
      <w:r w:rsidR="00176C84" w:rsidRPr="002C21B8">
        <w:instrText xml:space="preserve"> ADDIN EN.CITE &lt;EndNote&gt;&lt;Cite AuthorYear="1"&gt;&lt;Author&gt;Murshid&lt;/Author&gt;&lt;Year&gt;2017&lt;/Year&gt;&lt;RecNum&gt;2091&lt;/RecNum&gt;&lt;DisplayText&gt;Murshid and Mohaidin (2017)&lt;/DisplayText&gt;&lt;record&gt;&lt;rec-number&gt;2091&lt;/rec-number&gt;&lt;foreign-keys&gt;&lt;key app="EN" db-id="xpefzwa5hf9dt2ea9fax95x7xvxz90v09dtf" timestamp="1696264677"&gt;2091&lt;/key&gt;&lt;/foreign-keys&gt;&lt;ref-type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00176C84" w:rsidRPr="002C21B8">
        <w:fldChar w:fldCharType="separate"/>
      </w:r>
      <w:r w:rsidR="00176C84" w:rsidRPr="002C21B8">
        <w:rPr>
          <w:noProof/>
        </w:rPr>
        <w:t>Murshid and Mohaidin (2017)</w:t>
      </w:r>
      <w:r w:rsidR="00176C84" w:rsidRPr="002C21B8">
        <w:fldChar w:fldCharType="end"/>
      </w:r>
      <w:r w:rsidRPr="002C21B8">
        <w:t xml:space="preserve">, provide a framework to understand prescribing decisions by organising these factors </w:t>
      </w:r>
      <w:r w:rsidR="00BF3891" w:rsidRPr="002C21B8">
        <w:t>i</w:t>
      </w:r>
      <w:r w:rsidRPr="002C21B8">
        <w:t>nto patient characteristics, pharmacist factors, marketing efforts</w:t>
      </w:r>
      <w:r w:rsidR="00176C84" w:rsidRPr="002C21B8">
        <w:t>,</w:t>
      </w:r>
      <w:r w:rsidRPr="002C21B8">
        <w:t xml:space="preserve"> and contextual factors. However, these models are largely derived from </w:t>
      </w:r>
      <w:r w:rsidR="00176C84" w:rsidRPr="002C21B8">
        <w:t xml:space="preserve">theoretical models or </w:t>
      </w:r>
      <w:r w:rsidRPr="002C21B8">
        <w:t>research on factors influencing prescribing for acute conditions, where medic</w:t>
      </w:r>
      <w:r w:rsidR="00977543" w:rsidRPr="002C21B8">
        <w:t>ation</w:t>
      </w:r>
      <w:r w:rsidRPr="002C21B8">
        <w:t>s are usually prescribed short-term to relieve symptoms or resolve illness</w:t>
      </w:r>
      <w:r w:rsidR="007C3C0A" w:rsidRPr="002C21B8">
        <w:t xml:space="preserve"> </w:t>
      </w:r>
      <w:r w:rsidR="007C3C0A" w:rsidRPr="002C21B8">
        <w:fldChar w:fldCharType="begin">
          <w:fldData xml:space="preserve">PEVuZE5vdGU+PENpdGU+PEF1dGhvcj5LYXNzZTwvQXV0aG9yPjxZZWFyPjIwMjQ8L1llYXI+PFJl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</w:fldData>
        </w:fldChar>
      </w:r>
      <w:r w:rsidR="002F6167" w:rsidRPr="002C21B8">
        <w:instrText xml:space="preserve"> ADDIN EN.CITE </w:instrText>
      </w:r>
      <w:r w:rsidR="002F6167" w:rsidRPr="002C21B8">
        <w:fldChar w:fldCharType="begin">
          <w:fldData xml:space="preserve">PEVuZE5vdGU+PENpdGU+PEF1dGhvcj5LYXNzZTwvQXV0aG9yPjxZZWFyPjIwMjQ8L1llYXI+PFJl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</w:fldData>
        </w:fldChar>
      </w:r>
      <w:r w:rsidR="002F6167" w:rsidRPr="002C21B8">
        <w:instrText xml:space="preserve"> ADDIN EN.CITE.DATA </w:instrText>
      </w:r>
      <w:r w:rsidR="002F6167" w:rsidRPr="002C21B8">
        <w:fldChar w:fldCharType="end"/>
      </w:r>
      <w:r w:rsidR="007C3C0A" w:rsidRPr="002C21B8">
        <w:fldChar w:fldCharType="separate"/>
      </w:r>
      <w:r w:rsidR="007C3C0A" w:rsidRPr="002C21B8">
        <w:rPr>
          <w:noProof/>
        </w:rPr>
        <w:t>(Kasse</w:t>
      </w:r>
      <w:r w:rsidR="007C3C0A" w:rsidRPr="002C21B8">
        <w:rPr>
          <w:i/>
          <w:noProof/>
        </w:rPr>
        <w:t xml:space="preserve"> et al.</w:t>
      </w:r>
      <w:r w:rsidR="007C3C0A" w:rsidRPr="002C21B8">
        <w:rPr>
          <w:noProof/>
        </w:rPr>
        <w:t>, 2024; Thompson</w:t>
      </w:r>
      <w:r w:rsidR="007C3C0A" w:rsidRPr="002C21B8">
        <w:rPr>
          <w:i/>
          <w:noProof/>
        </w:rPr>
        <w:t xml:space="preserve"> et al.</w:t>
      </w:r>
      <w:r w:rsidR="007C3C0A" w:rsidRPr="002C21B8">
        <w:rPr>
          <w:noProof/>
        </w:rPr>
        <w:t>, 2019)</w:t>
      </w:r>
      <w:r w:rsidR="007C3C0A" w:rsidRPr="002C21B8">
        <w:fldChar w:fldCharType="end"/>
      </w:r>
      <w:r w:rsidRPr="002C21B8">
        <w:t xml:space="preserve">. Prescribing in chronic conditions instead often focuses on slowing disease progression, preventing long-term complications, and balancing risks and benefits which may only become apparent later </w:t>
      </w:r>
      <w:r w:rsidRPr="002C21B8">
        <w:fldChar w:fldCharType="begin"/>
      </w:r>
      <w:r w:rsidRPr="002C21B8">
        <w:instrText xml:space="preserve"> ADDIN EN.CITE &lt;EndNote&gt;&lt;Cite&gt;&lt;Author&gt;Watt&lt;/Author&gt;&lt;Year&gt;2000&lt;/Year&gt;&lt;RecNum&gt;125258&lt;/RecNum&gt;&lt;DisplayText&gt;(Watt, 2000)&lt;/DisplayText&gt;&lt;record&gt;&lt;rec-number&gt;125258&lt;/rec-number&gt;&lt;foreign-keys&gt;&lt;key app="EN" db-id="xpefzwa5hf9dt2ea9fax95x7xvxz90v09dtf" timestamp="1773310090"&gt;125258&lt;/key&gt;&lt;/foreign-keys&gt;&lt;ref-type name="Journal Article"&gt;17&lt;/ref-type&gt;&lt;contributors&gt;&lt;authors&gt;&lt;author&gt;Watt, Susan&lt;/author&gt;&lt;/authors&gt;&lt;/contributors&gt;&lt;titles&gt;&lt;title&gt;Clinical decision‐making in the context of chronic illness&lt;/title&gt;&lt;secondary-title&gt;Health Expectations&lt;/secondary-title&gt;&lt;/titles&gt;&lt;periodical&gt;&lt;full-title&gt;Health expectations&lt;/full-title&gt;&lt;/periodical&gt;&lt;pages&gt;6-16&lt;/pages&gt;&lt;volume&gt;3&lt;/volume&gt;&lt;number&gt;1&lt;/number&gt;&lt;dates&gt;&lt;year&gt;2000&lt;/year&gt;&lt;/dates&gt;&lt;isbn&gt;1369-6513&lt;/isbn&gt;&lt;urls&gt;&lt;/urls&gt;&lt;/record&gt;&lt;/Cite&gt;&lt;/EndNote&gt;</w:instrText>
      </w:r>
      <w:r w:rsidRPr="002C21B8">
        <w:fldChar w:fldCharType="separate"/>
      </w:r>
      <w:r w:rsidRPr="002C21B8">
        <w:rPr>
          <w:noProof/>
        </w:rPr>
        <w:t>(Watt, 2000)</w:t>
      </w:r>
      <w:r w:rsidRPr="002C21B8">
        <w:fldChar w:fldCharType="end"/>
      </w:r>
      <w:r w:rsidRPr="002C21B8">
        <w:t xml:space="preserve">. A one-size-fits-all conceptual model is unlikely to </w:t>
      </w:r>
      <w:r w:rsidR="00CA3C59" w:rsidRPr="002C21B8">
        <w:t xml:space="preserve">account for </w:t>
      </w:r>
      <w:r w:rsidRPr="002C21B8">
        <w:t>the complexity of prescribing for both acute and chronic conditions.</w:t>
      </w:r>
    </w:p>
    <w:p w14:paraId="4AC1C5D2" w14:textId="6F310564" w:rsidR="00180A0E" w:rsidRPr="002C21B8" w:rsidRDefault="00180A0E" w:rsidP="00180A0E">
      <w:r w:rsidRPr="002C21B8">
        <w:t xml:space="preserve">In a previously published </w:t>
      </w:r>
      <w:r w:rsidR="00E06102" w:rsidRPr="002C21B8">
        <w:t>overview of systematic reviews</w:t>
      </w:r>
      <w:r w:rsidRPr="002C21B8">
        <w:t xml:space="preserve">, we identified factors influencing prescribing decisions that were common across chronic conditions. </w:t>
      </w:r>
      <w:r w:rsidR="00BF3891" w:rsidRPr="002C21B8">
        <w:t xml:space="preserve">We </w:t>
      </w:r>
      <w:r w:rsidR="005E4E1B" w:rsidRPr="002C21B8">
        <w:t>develope</w:t>
      </w:r>
      <w:r w:rsidR="00BF3891" w:rsidRPr="002C21B8">
        <w:t>d a conceptual model of prescribing</w:t>
      </w:r>
      <w:r w:rsidR="005E4E1B" w:rsidRPr="002C21B8">
        <w:t xml:space="preserve"> decision-making</w:t>
      </w:r>
      <w:r w:rsidR="00BF3891" w:rsidRPr="002C21B8">
        <w:t xml:space="preserve"> specific to chronic </w:t>
      </w:r>
      <w:r w:rsidR="00C24245" w:rsidRPr="002C21B8">
        <w:t>condition</w:t>
      </w:r>
      <w:r w:rsidR="00BF3891" w:rsidRPr="002C21B8">
        <w:t>s</w:t>
      </w:r>
      <w:r w:rsidR="00871B4B" w:rsidRPr="002C21B8">
        <w:t>,</w:t>
      </w:r>
      <w:r w:rsidR="00BF3891" w:rsidRPr="002C21B8">
        <w:t xml:space="preserve"> which</w:t>
      </w:r>
      <w:r w:rsidRPr="002C21B8">
        <w:t xml:space="preserve"> included patient characteristics, individualised risk–benefit assessment, clinical inertia, medication costs and resource implications, shared decision</w:t>
      </w:r>
      <w:r w:rsidRPr="002C21B8">
        <w:noBreakHyphen/>
        <w:t>making processes, and</w:t>
      </w:r>
      <w:r w:rsidR="00176C84" w:rsidRPr="002C21B8">
        <w:t xml:space="preserve"> </w:t>
      </w:r>
      <w:r w:rsidRPr="002C21B8">
        <w:t>external factors</w:t>
      </w:r>
      <w:r w:rsidR="00176C84" w:rsidRPr="002C21B8">
        <w:t>,</w:t>
      </w:r>
      <w:r w:rsidRPr="002C21B8">
        <w:t xml:space="preserve"> such as clinical guidelines. However, the challenges presented by rare diseases may limit how these </w:t>
      </w:r>
      <w:r w:rsidR="00176C84" w:rsidRPr="002C21B8">
        <w:t xml:space="preserve">more </w:t>
      </w:r>
      <w:r w:rsidRPr="002C21B8">
        <w:t xml:space="preserve">generic conceptual models can help </w:t>
      </w:r>
      <w:r w:rsidR="00BF3891" w:rsidRPr="002C21B8">
        <w:t>to</w:t>
      </w:r>
      <w:r w:rsidRPr="002C21B8">
        <w:t xml:space="preserve"> understand decision-making when prescribing in the context of rare diseases.</w:t>
      </w:r>
    </w:p>
    <w:p w14:paraId="06CEE17C" w14:textId="02073496" w:rsidR="00180A0E" w:rsidRPr="002C21B8" w:rsidRDefault="00180A0E" w:rsidP="00180A0E">
      <w:r w:rsidRPr="002C21B8">
        <w:t xml:space="preserve">Autosomal dominant polycystic kidney disease (ADPKD) is the most common inherited rare kidney disease affecting an estimated 12 million people worldwide and up to 70,000 </w:t>
      </w:r>
      <w:r w:rsidR="008D3AE4" w:rsidRPr="002C21B8">
        <w:t xml:space="preserve">people </w:t>
      </w:r>
      <w:r w:rsidRPr="002C21B8">
        <w:t>in the United Kingdom</w:t>
      </w:r>
      <w:r w:rsidR="00176C84" w:rsidRPr="002C21B8">
        <w:t xml:space="preserve"> (UK)</w:t>
      </w:r>
      <w:r w:rsidRPr="002C21B8">
        <w:t xml:space="preserve"> </w:t>
      </w:r>
      <w:r w:rsidRPr="002C21B8">
        <w:fldChar w:fldCharType="begin"/>
      </w:r>
      <w:r w:rsidR="00763983" w:rsidRPr="002C21B8">
        <w:instrText xml:space="preserve"> ADDIN EN.CITE &lt;EndNote&gt;&lt;Cite&gt;&lt;Author&gt;Grantham&lt;/Author&gt;&lt;Year&gt;2008&lt;/Year&gt;&lt;RecNum&gt;125202&lt;/RecNum&gt;&lt;DisplayText&gt;(Grantham&lt;style face="italic"&gt; et al.&lt;/style&gt;, 2008)&lt;/DisplayText&gt;&lt;record&gt;&lt;rec-number&gt;125202&lt;/rec-number&gt;&lt;foreign-keys&gt;&lt;key app="EN" db-id="xpefzwa5hf9dt2ea9fax95x7xvxz90v09dtf" timestamp="1771231143"&gt;125202&lt;/key&gt;&lt;/foreign-keys&gt;&lt;ref-type name="Journal Article"&gt;17&lt;/ref-type&gt;&lt;contributors&gt;&lt;authors&gt;&lt;author&gt;Grantham, JJ&lt;/author&gt;&lt;author&gt;Cook, LT&lt;/author&gt;&lt;author&gt;Torres, VE&lt;/author&gt;&lt;author&gt;Bost, JE&lt;/author&gt;&lt;author&gt;Chapman, AB&lt;/author&gt;&lt;author&gt;Harris, PC&lt;/author&gt;&lt;author&gt;Guay-Woodford, LM&lt;/author&gt;&lt;author&gt;Bae, KT&lt;/author&gt;&lt;/authors&gt;&lt;/contributors&gt;&lt;titles&gt;&lt;title&gt;Determinants of renal volume in autosomal-dominant polycystic kidney disease&lt;/title&gt;&lt;secondary-title&gt;Kidney International&lt;/secondary-title&gt;&lt;/titles&gt;&lt;periodical&gt;&lt;full-title&gt;Kidney international&lt;/full-title&gt;&lt;/periodical&gt;&lt;pages&gt;108-116&lt;/pages&gt;&lt;volume&gt;73&lt;/volume&gt;&lt;number&gt;1&lt;/number&gt;&lt;dates&gt;&lt;year&gt;2008&lt;/year&gt;&lt;/dates&gt;&lt;isbn&gt;0085-2538&lt;/isbn&gt;&lt;urls&gt;&lt;/urls&gt;&lt;/record&gt;&lt;/Cite&gt;&lt;/EndNote&gt;</w:instrText>
      </w:r>
      <w:r w:rsidRPr="002C21B8">
        <w:fldChar w:fldCharType="separate"/>
      </w:r>
      <w:r w:rsidRPr="002C21B8">
        <w:rPr>
          <w:noProof/>
        </w:rPr>
        <w:t>(Grantham</w:t>
      </w:r>
      <w:r w:rsidRPr="002C21B8">
        <w:rPr>
          <w:i/>
          <w:noProof/>
        </w:rPr>
        <w:t xml:space="preserve"> et al.</w:t>
      </w:r>
      <w:r w:rsidRPr="002C21B8">
        <w:rPr>
          <w:noProof/>
        </w:rPr>
        <w:t>, 2008)</w:t>
      </w:r>
      <w:r w:rsidRPr="002C21B8">
        <w:fldChar w:fldCharType="end"/>
      </w:r>
      <w:r w:rsidRPr="002C21B8">
        <w:t>. ADPKD is inherited in an autosomal dominant pattern</w:t>
      </w:r>
      <w:r w:rsidR="00871B4B" w:rsidRPr="002C21B8">
        <w:t>,</w:t>
      </w:r>
      <w:r w:rsidRPr="002C21B8">
        <w:t xml:space="preserve"> which means each child of an affected parent has a 50% chance of inheriting the condition. It is characterised by the progressive development of kidney cysts leading to kidney enlargement, decline in kidney function and kidney failure </w:t>
      </w:r>
      <w:r w:rsidRPr="002C21B8">
        <w:fldChar w:fldCharType="begin"/>
      </w:r>
      <w:r w:rsidR="004A147B" w:rsidRPr="002C21B8">
        <w:instrText xml:space="preserve"> ADDIN EN.CITE &lt;EndNote&gt;&lt;Cite&gt;&lt;Author&gt;Ong&lt;/Author&gt;&lt;Year&gt;2015&lt;/Year&gt;&lt;RecNum&gt;5108&lt;/RecNum&gt;&lt;DisplayText&gt;(Ong&lt;style face="italic"&gt; et al.&lt;/style&gt;, 2015)&lt;/DisplayText&gt;&lt;record&gt;&lt;rec-number&gt;5108&lt;/rec-number&gt;&lt;foreign-keys&gt;&lt;key app="EN" db-id="xpefzwa5hf9dt2ea9fax95x7xvxz90v09dtf" timestamp="1700146758"&gt;5108&lt;/key&gt;&lt;/foreign-keys&gt;&lt;ref-type name="Journal Article"&gt;17&lt;/ref-type&gt;&lt;contributors&gt;&lt;authors&gt;&lt;author&gt;Ong, Albert CM&lt;/author&gt;&lt;author&gt;Devuyst, Olivier&lt;/author&gt;&lt;author&gt;Knebelmann, Bertrand&lt;/author&gt;&lt;author&gt;Walz, Gerd&lt;/author&gt;&lt;/authors&gt;&lt;/contributors&gt;&lt;titles&gt;&lt;title&gt;Autosomal dominant polycystic kidney disease: the changing face of clinical management&lt;/title&gt;&lt;secondary-title&gt;The Lancet&lt;/secondary-title&gt;&lt;/titles&gt;&lt;periodical&gt;&lt;full-title&gt;The Lancet&lt;/full-title&gt;&lt;/periodical&gt;&lt;pages&gt;1993-2002&lt;/pages&gt;&lt;volume&gt;385&lt;/volume&gt;&lt;number&gt;9981&lt;/number&gt;&lt;dates&gt;&lt;year&gt;2015&lt;/year&gt;&lt;/dates&gt;&lt;isbn&gt;0140-6736&lt;/isbn&gt;&lt;urls&gt;&lt;/urls&gt;&lt;/record&gt;&lt;/Cite&gt;&lt;/EndNote&gt;</w:instrText>
      </w:r>
      <w:r w:rsidRPr="002C21B8">
        <w:fldChar w:fldCharType="separate"/>
      </w:r>
      <w:r w:rsidR="004A147B" w:rsidRPr="002C21B8">
        <w:rPr>
          <w:noProof/>
        </w:rPr>
        <w:t>(Ong</w:t>
      </w:r>
      <w:r w:rsidR="004A147B" w:rsidRPr="002C21B8">
        <w:rPr>
          <w:i/>
          <w:noProof/>
        </w:rPr>
        <w:t xml:space="preserve"> et al.</w:t>
      </w:r>
      <w:r w:rsidR="004A147B" w:rsidRPr="002C21B8">
        <w:rPr>
          <w:noProof/>
        </w:rPr>
        <w:t>, 2015)</w:t>
      </w:r>
      <w:r w:rsidRPr="002C21B8">
        <w:fldChar w:fldCharType="end"/>
      </w:r>
      <w:r w:rsidRPr="002C21B8">
        <w:t xml:space="preserve">. Many people with ADPKD report worse health-related quality of life compared to the general population due to increased pain, abdominal distension and psychosocial distress </w:t>
      </w:r>
      <w:r w:rsidRPr="002C21B8">
        <w:fldChar w:fldCharType="begin"/>
      </w:r>
      <w:r w:rsidR="00330398" w:rsidRPr="002C21B8">
        <w:instrText xml:space="preserve"> ADDIN EN.CITE &lt;EndNote&gt;&lt;Cite&gt;&lt;Author&gt;Gittus&lt;/Author&gt;&lt;Year&gt;2023&lt;/Year&gt;&lt;RecNum&gt;5100&lt;/RecNum&gt;&lt;DisplayText&gt;(Gittus, Harris and Ong, 2023)&lt;/DisplayText&gt;&lt;record&gt;&lt;rec-number&gt;5100&lt;/rec-number&gt;&lt;foreign-keys&gt;&lt;key app="EN" db-id="xpefzwa5hf9dt2ea9fax95x7xvxz90v09dtf" timestamp="1700144580"&gt;5100&lt;/key&gt;&lt;/foreign-keys&gt;&lt;ref-type name="Journal Article"&gt;17&lt;/ref-type&gt;&lt;contributors&gt;&lt;authors&gt;&lt;author&gt;Gittus, Matthew&lt;/author&gt;&lt;author&gt;Harris, Tess&lt;/author&gt;&lt;author&gt;Ong, Albert CM&lt;/author&gt;&lt;/authors&gt;&lt;/contributors&gt;&lt;titles&gt;&lt;title&gt;Patient Perspectives on ADPKD&lt;/title&gt;&lt;secondary-title&gt;Advances in Kidney Disease and Health&lt;/secondary-title&gt;&lt;/titles&gt;&lt;periodical&gt;&lt;full-title&gt;Advances in Kidney Disease and Health&lt;/full-title&gt;&lt;/periodical&gt;&lt;pages&gt;294-302&lt;/pages&gt;&lt;volume&gt;30&lt;/volume&gt;&lt;number&gt;3&lt;/number&gt;&lt;dates&gt;&lt;year&gt;2023&lt;/year&gt;&lt;/dates&gt;&lt;isbn&gt;2949-8139&lt;/isbn&gt;&lt;urls&gt;&lt;/urls&gt;&lt;/record&gt;&lt;/Cite&gt;&lt;/EndNote&gt;</w:instrText>
      </w:r>
      <w:r w:rsidRPr="002C21B8">
        <w:fldChar w:fldCharType="separate"/>
      </w:r>
      <w:r w:rsidR="00330398" w:rsidRPr="002C21B8">
        <w:rPr>
          <w:noProof/>
        </w:rPr>
        <w:t>(Gittus, Harris and Ong, 2023)</w:t>
      </w:r>
      <w:r w:rsidRPr="002C21B8">
        <w:fldChar w:fldCharType="end"/>
      </w:r>
      <w:r w:rsidRPr="002C21B8">
        <w:t>. In 2015, tolvaptan was approved by the National Institute for Health and Care Excellence (NICE) as the first disease-modifying therapy for people with ADPKD in CKD stages 2</w:t>
      </w:r>
      <w:r w:rsidR="00A25BD2" w:rsidRPr="002C21B8">
        <w:t>–</w:t>
      </w:r>
      <w:r w:rsidRPr="002C21B8">
        <w:t>3 with rapidly progressive disease</w:t>
      </w:r>
      <w:r w:rsidR="00330398" w:rsidRPr="002C21B8">
        <w:t xml:space="preserve"> </w:t>
      </w:r>
      <w:r w:rsidR="00330398" w:rsidRPr="002C21B8">
        <w:fldChar w:fldCharType="begin"/>
      </w:r>
      <w:r w:rsidR="00590E88" w:rsidRPr="002C21B8">
        <w:instrText xml:space="preserve"> ADDIN EN.CITE &lt;EndNote&gt;&lt;Cite&gt;&lt;Author&gt;National Institute for Health and Care Excellence&lt;/Author&gt;&lt;Year&gt;2015&lt;/Year&gt;&lt;RecNum&gt;4967&lt;/RecNum&gt;&lt;DisplayText&gt;(National Institute for Health and Care Excellence, 2015a)&lt;/DisplayText&gt;&lt;record&gt;&lt;rec-number&gt;4967&lt;/rec-number&gt;&lt;foreign-keys&gt;&lt;key app="EN" db-id="xpefzwa5hf9dt2ea9fax95x7xvxz90v09dtf" timestamp="1699647214"&gt;4967&lt;/key&gt;&lt;/foreign-keys&gt;&lt;ref-type name="Web Page"&gt;12&lt;/ref-type&gt;&lt;contributors&gt;&lt;authors&gt;&lt;author&gt;National Institute for Health and Care Excellence,&lt;/author&gt;&lt;/authors&gt;&lt;/contributors&gt;&lt;titles&gt;&lt;title&gt;Medicines optimisation: the safe and effective use of medicines to enable the best possible outcomes&lt;/title&gt;&lt;/titles&gt;&lt;number&gt;26/04/2026)&lt;/number&gt;&lt;dates&gt;&lt;year&gt;2015&lt;/year&gt;&lt;/dates&gt;&lt;urls&gt;&lt;related-urls&gt;&lt;url&gt;www.nice.org.uk/guidance/ng5&lt;/url&gt;&lt;/related-urls&gt;&lt;/urls&gt;&lt;/record&gt;&lt;/Cite&gt;&lt;/EndNote&gt;</w:instrText>
      </w:r>
      <w:r w:rsidR="00330398" w:rsidRPr="002C21B8">
        <w:fldChar w:fldCharType="separate"/>
      </w:r>
      <w:r w:rsidR="00590E88" w:rsidRPr="002C21B8">
        <w:rPr>
          <w:noProof/>
        </w:rPr>
        <w:t>(National Institute for Health and Care Excellence, 2015a)</w:t>
      </w:r>
      <w:r w:rsidR="00330398" w:rsidRPr="002C21B8">
        <w:fldChar w:fldCharType="end"/>
      </w:r>
      <w:r w:rsidRPr="002C21B8">
        <w:t>. Following approval, the Renal Association</w:t>
      </w:r>
      <w:r w:rsidR="00F63E6D" w:rsidRPr="002C21B8">
        <w:t xml:space="preserve"> (RA)</w:t>
      </w:r>
      <w:r w:rsidR="00732625" w:rsidRPr="002C21B8">
        <w:t>,</w:t>
      </w:r>
      <w:r w:rsidR="00F63E6D" w:rsidRPr="002C21B8">
        <w:t xml:space="preserve"> and later the UK Kidney Association</w:t>
      </w:r>
      <w:r w:rsidRPr="002C21B8">
        <w:t xml:space="preserve"> </w:t>
      </w:r>
      <w:r w:rsidR="00F63E6D" w:rsidRPr="002C21B8">
        <w:t>(UKKA)</w:t>
      </w:r>
      <w:r w:rsidR="00732625" w:rsidRPr="002C21B8">
        <w:t>,</w:t>
      </w:r>
      <w:r w:rsidR="00F63E6D" w:rsidRPr="002C21B8">
        <w:t xml:space="preserve"> </w:t>
      </w:r>
      <w:r w:rsidRPr="002C21B8">
        <w:t>provided guidance for prescribers</w:t>
      </w:r>
      <w:r w:rsidR="00CD4E66" w:rsidRPr="002C21B8">
        <w:t xml:space="preserve"> in the UK</w:t>
      </w:r>
      <w:r w:rsidRPr="002C21B8">
        <w:t>. They defined rapid progression using eligibility criteria based on estimated glomerular filtration rate (eGFR) decline, imaging-based kidney sizes and risk stratification tools</w:t>
      </w:r>
      <w:r w:rsidR="00330398" w:rsidRPr="002C21B8">
        <w:t xml:space="preserve"> </w:t>
      </w:r>
      <w:r w:rsidR="00330398" w:rsidRPr="002C21B8">
        <w:fldChar w:fldCharType="begin">
          <w:fldData xml:space="preserve">PEVuZE5vdGU+PENpdGU+PEF1dGhvcj5OYXRpb25hbCBJbnN0aXR1dGUgZm9yIEhlYWx0aCBhbmQg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</w:fldData>
        </w:fldChar>
      </w:r>
      <w:r w:rsidR="00590E88" w:rsidRPr="002C21B8">
        <w:instrText xml:space="preserve"> ADDIN EN.CITE </w:instrText>
      </w:r>
      <w:r w:rsidR="00590E88" w:rsidRPr="002C21B8">
        <w:fldChar w:fldCharType="begin">
          <w:fldData xml:space="preserve">PEVuZE5vdGU+PENpdGU+PEF1dGhvcj5OYXRpb25hbCBJbnN0aXR1dGUgZm9yIEhlYWx0aCBhbmQg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</w:fldData>
        </w:fldChar>
      </w:r>
      <w:r w:rsidR="00590E88" w:rsidRPr="002C21B8">
        <w:instrText xml:space="preserve"> ADDIN EN.CITE.DATA </w:instrText>
      </w:r>
      <w:r w:rsidR="00590E88" w:rsidRPr="002C21B8">
        <w:fldChar w:fldCharType="end"/>
      </w:r>
      <w:r w:rsidR="00330398" w:rsidRPr="002C21B8">
        <w:fldChar w:fldCharType="separate"/>
      </w:r>
      <w:r w:rsidR="00590E88" w:rsidRPr="002C21B8">
        <w:rPr>
          <w:noProof/>
        </w:rPr>
        <w:t>(Gittus</w:t>
      </w:r>
      <w:r w:rsidR="00590E88" w:rsidRPr="002C21B8">
        <w:rPr>
          <w:i/>
          <w:noProof/>
        </w:rPr>
        <w:t xml:space="preserve"> et al.</w:t>
      </w:r>
      <w:r w:rsidR="00590E88" w:rsidRPr="002C21B8">
        <w:rPr>
          <w:noProof/>
        </w:rPr>
        <w:t>, 2025a; National Institute for Health and Care Excellence, 2015a)</w:t>
      </w:r>
      <w:r w:rsidR="00330398" w:rsidRPr="002C21B8">
        <w:fldChar w:fldCharType="end"/>
      </w:r>
      <w:r w:rsidRPr="002C21B8">
        <w:t xml:space="preserve">. Using </w:t>
      </w:r>
      <w:r w:rsidR="004226A3" w:rsidRPr="002C21B8">
        <w:t>tolvaptan</w:t>
      </w:r>
      <w:r w:rsidR="00BF3891" w:rsidRPr="002C21B8">
        <w:t xml:space="preserve"> for </w:t>
      </w:r>
      <w:r w:rsidRPr="002C21B8">
        <w:t>ADPKD as a case</w:t>
      </w:r>
      <w:r w:rsidR="00BF3891" w:rsidRPr="002C21B8">
        <w:t xml:space="preserve"> for prescribing</w:t>
      </w:r>
      <w:r w:rsidR="001B2BDF" w:rsidRPr="002C21B8">
        <w:t xml:space="preserve"> in</w:t>
      </w:r>
      <w:r w:rsidR="00BF3891" w:rsidRPr="002C21B8">
        <w:t xml:space="preserve"> a rare disease</w:t>
      </w:r>
      <w:r w:rsidRPr="002C21B8">
        <w:t xml:space="preserve">, we examined the factors </w:t>
      </w:r>
      <w:r w:rsidR="00871B4B" w:rsidRPr="002C21B8">
        <w:t>that influence tolvaptan</w:t>
      </w:r>
      <w:r w:rsidRPr="002C21B8">
        <w:t xml:space="preserve"> prescribing and their implications for a </w:t>
      </w:r>
      <w:r w:rsidR="00BF3891" w:rsidRPr="002C21B8">
        <w:t xml:space="preserve">conceptual model </w:t>
      </w:r>
      <w:r w:rsidR="005E4E1B" w:rsidRPr="002C21B8">
        <w:t>of</w:t>
      </w:r>
      <w:r w:rsidR="00BF3891" w:rsidRPr="002C21B8">
        <w:t xml:space="preserve"> </w:t>
      </w:r>
      <w:r w:rsidR="001B2BDF" w:rsidRPr="002C21B8">
        <w:t xml:space="preserve">prescribing decision-making in </w:t>
      </w:r>
      <w:r w:rsidRPr="002C21B8">
        <w:t>rare diseases.</w:t>
      </w:r>
    </w:p>
    <w:p w14:paraId="317B3601" w14:textId="3E9351F9" w:rsidR="002C5964" w:rsidRPr="002C21B8" w:rsidRDefault="00180A0E" w:rsidP="00180A0E">
      <w:pPr>
        <w:spacing w:before="240" w:after="0"/>
        <w:contextualSpacing/>
        <w:jc w:val="left"/>
        <w:rPr>
          <w:b/>
          <w:sz w:val="28"/>
          <w:szCs w:val="28"/>
        </w:rPr>
      </w:pPr>
      <w:r w:rsidRPr="002C21B8">
        <w:rPr>
          <w:b/>
          <w:sz w:val="28"/>
          <w:szCs w:val="28"/>
        </w:rPr>
        <w:t>Methods</w:t>
      </w:r>
    </w:p>
    <w:p w14:paraId="405023F0" w14:textId="3FC491AD" w:rsidR="00180A0E" w:rsidRPr="002C21B8" w:rsidRDefault="00180A0E" w:rsidP="00180A0E">
      <w:pPr>
        <w:spacing w:before="240" w:after="0"/>
        <w:contextualSpacing/>
        <w:jc w:val="left"/>
        <w:rPr>
          <w:b/>
          <w:sz w:val="24"/>
          <w:szCs w:val="24"/>
        </w:rPr>
      </w:pPr>
      <w:r w:rsidRPr="002C21B8">
        <w:rPr>
          <w:b/>
          <w:sz w:val="24"/>
          <w:szCs w:val="24"/>
        </w:rPr>
        <w:t>Study design</w:t>
      </w:r>
    </w:p>
    <w:p w14:paraId="20A44FA3" w14:textId="02F2AEF8" w:rsidR="00180A0E" w:rsidRPr="002C21B8" w:rsidRDefault="00180A0E" w:rsidP="00180A0E">
      <w:r w:rsidRPr="002C21B8">
        <w:t xml:space="preserve">A multiple case study design across three NHS kidney centres was undertaken to explore variation between kidney centres in the implementation of tolvaptan care pathways and prescribing practices for ADPKD </w:t>
      </w:r>
      <w:r w:rsidR="00FB41B1" w:rsidRPr="002C21B8">
        <w:t xml:space="preserve">(Gittus </w:t>
      </w:r>
      <w:r w:rsidR="00FB41B1" w:rsidRPr="002C21B8">
        <w:rPr>
          <w:i/>
          <w:iCs/>
        </w:rPr>
        <w:t xml:space="preserve">et al., </w:t>
      </w:r>
      <w:r w:rsidR="00FB41B1" w:rsidRPr="002C21B8">
        <w:t>manuscript submitted)</w:t>
      </w:r>
      <w:r w:rsidRPr="002C21B8">
        <w:t xml:space="preserve">. This multiple method dataset from qualitative interviews with clinicians, observation of clinics, and of local prescribing practice documents provided an opportunity to identify factors affecting prescribing practices for ADPKD as a rare disease and consider its implications for a conceptual model </w:t>
      </w:r>
      <w:r w:rsidR="005E4E1B" w:rsidRPr="002C21B8">
        <w:t>of</w:t>
      </w:r>
      <w:r w:rsidRPr="002C21B8">
        <w:t xml:space="preserve"> prescribing</w:t>
      </w:r>
      <w:r w:rsidR="005E4E1B" w:rsidRPr="002C21B8">
        <w:t xml:space="preserve"> decision-making</w:t>
      </w:r>
      <w:r w:rsidRPr="002C21B8">
        <w:t xml:space="preserve"> in rare diseases. Full methodological details are described in the related manuscript </w:t>
      </w:r>
      <w:r w:rsidR="00FB41B1" w:rsidRPr="002C21B8">
        <w:t xml:space="preserve">(Gittus </w:t>
      </w:r>
      <w:r w:rsidR="00FB41B1" w:rsidRPr="002C21B8">
        <w:rPr>
          <w:i/>
          <w:iCs/>
        </w:rPr>
        <w:t xml:space="preserve">et al., </w:t>
      </w:r>
      <w:r w:rsidR="00FB41B1" w:rsidRPr="002C21B8">
        <w:t>manuscript submitted)</w:t>
      </w:r>
      <w:r w:rsidRPr="002C21B8">
        <w:t xml:space="preserve">; a summary is provided here. Reporting follows the consolidated criteria for reporting qualitative research (COREQ) </w:t>
      </w:r>
      <w:r w:rsidR="00330398" w:rsidRPr="002C21B8">
        <w:fldChar w:fldCharType="begin"/>
      </w:r>
      <w:r w:rsidR="000215B0" w:rsidRPr="002C21B8">
        <w:instrText xml:space="preserve"> ADDIN EN.CITE &lt;EndNote&gt;&lt;Cite&gt;&lt;Author&gt;Tong&lt;/Author&gt;&lt;Year&gt;2007&lt;/Year&gt;&lt;RecNum&gt;124905&lt;/RecNum&gt;&lt;DisplayText&gt;(Tong, Sainsbury and Craig, 2007)&lt;/DisplayText&gt;&lt;record&gt;&lt;rec-number&gt;124905&lt;/rec-number&gt;&lt;foreign-keys&gt;&lt;key app="EN" db-id="xpefzwa5hf9dt2ea9fax95x7xvxz90v09dtf" timestamp="1749108841"&gt;124905&lt;/key&gt;&lt;/foreign-keys&gt;&lt;ref-type name="Journal Article"&gt;17&lt;/ref-type&gt;&lt;contributors&gt;&lt;authors&gt;&lt;author&gt;Tong, A.&lt;/author&gt;&lt;author&gt;Sainsbury, P.&lt;/author&gt;&lt;author&gt;Craig, J.&lt;/author&gt;&lt;/authors&gt;&lt;/contributors&gt;&lt;auth-address&gt;School of Public Health, University of Sydney, NSW, Australia. allisont@health.usyd.edu.au&lt;/auth-address&gt;&lt;titles&gt;&lt;title&gt;Consolidated criteria for reporting qualitative research (COREQ): a 32-item checklist for interviews and focus groups&lt;/title&gt;&lt;secondary-title&gt;International Journal of Qualitative Health Care&lt;/secondary-title&gt;&lt;/titles&gt;&lt;periodical&gt;&lt;full-title&gt;International Journal of Qualitative Health Care&lt;/full-title&gt;&lt;/periodical&gt;&lt;pages&gt;349-57&lt;/pages&gt;&lt;volume&gt;19&lt;/volume&gt;&lt;number&gt;6&lt;/number&gt;&lt;edition&gt;20070914&lt;/edition&gt;&lt;keywords&gt;&lt;keyword&gt;Data Collection&lt;/keyword&gt;&lt;keyword&gt;Data Interpretation, Statistical&lt;/keyword&gt;&lt;keyword&gt;Focus Groups/*methods&lt;/keyword&gt;&lt;keyword&gt;Guidelines as Topic&lt;/keyword&gt;&lt;keyword&gt;Health Services Research/standards/statistics &amp;amp; numerical data&lt;/keyword&gt;&lt;keyword&gt;Humans&lt;/keyword&gt;&lt;keyword&gt;Interviews as Topic/*methods&lt;/keyword&gt;&lt;keyword&gt;*Qualitative Research&lt;/keyword&gt;&lt;/keywords&gt;&lt;dates&gt;&lt;year&gt;2007&lt;/year&gt;&lt;pub-dates&gt;&lt;date&gt;Dec&lt;/date&gt;&lt;/pub-dates&gt;&lt;/dates&gt;&lt;isbn&gt;1353-4505 (Print)&amp;#xD;1353-4505&lt;/isbn&gt;&lt;accession-num&gt;17872937&lt;/accession-num&gt;&lt;urls&gt;&lt;/urls&gt;&lt;electronic-resource-num&gt;10.1093/intqhc/mzm042&lt;/electronic-resource-num&gt;&lt;remote-database-provider&gt;NLM&lt;/remote-database-provider&gt;&lt;language&gt;eng&lt;/language&gt;&lt;/record&gt;&lt;/Cite&gt;&lt;/EndNote&gt;</w:instrText>
      </w:r>
      <w:r w:rsidR="00330398" w:rsidRPr="002C21B8">
        <w:fldChar w:fldCharType="separate"/>
      </w:r>
      <w:r w:rsidR="00330398" w:rsidRPr="002C21B8">
        <w:rPr>
          <w:noProof/>
        </w:rPr>
        <w:t>(Tong, Sainsbury and Craig, 2007)</w:t>
      </w:r>
      <w:r w:rsidR="00330398" w:rsidRPr="002C21B8">
        <w:fldChar w:fldCharType="end"/>
      </w:r>
      <w:r w:rsidR="00EB61B1" w:rsidRPr="002C21B8">
        <w:t xml:space="preserve"> (</w:t>
      </w:r>
      <w:hyperlink w:anchor="_Reporting_checklist_for_1" w:history="1">
        <w:r w:rsidR="00EB61B1" w:rsidRPr="002C21B8">
          <w:rPr>
            <w:rStyle w:val="Hyperlink"/>
          </w:rPr>
          <w:t xml:space="preserve">Appendix </w:t>
        </w:r>
        <w:r w:rsidR="009660EB" w:rsidRPr="002C21B8">
          <w:rPr>
            <w:rStyle w:val="Hyperlink"/>
          </w:rPr>
          <w:t>8</w:t>
        </w:r>
      </w:hyperlink>
      <w:r w:rsidR="00EB61B1" w:rsidRPr="002C21B8">
        <w:t>)</w:t>
      </w:r>
      <w:r w:rsidRPr="002C21B8">
        <w:t>.</w:t>
      </w:r>
    </w:p>
    <w:p w14:paraId="7460E57A" w14:textId="2D9E6BDA" w:rsidR="002C5964" w:rsidRPr="002C21B8" w:rsidRDefault="00180A0E" w:rsidP="00180A0E">
      <w:pPr>
        <w:spacing w:before="240" w:after="0"/>
        <w:contextualSpacing/>
        <w:jc w:val="left"/>
        <w:rPr>
          <w:b/>
          <w:sz w:val="24"/>
          <w:szCs w:val="24"/>
        </w:rPr>
      </w:pPr>
      <w:r w:rsidRPr="002C21B8">
        <w:rPr>
          <w:b/>
          <w:sz w:val="24"/>
          <w:szCs w:val="24"/>
        </w:rPr>
        <w:t>Setting</w:t>
      </w:r>
    </w:p>
    <w:p w14:paraId="067AA12A" w14:textId="4050B208" w:rsidR="00D14F33" w:rsidRPr="002C21B8" w:rsidRDefault="00180A0E" w:rsidP="00D06A4E">
      <w:r w:rsidRPr="002C21B8">
        <w:t>The N</w:t>
      </w:r>
      <w:r w:rsidR="0075189D" w:rsidRPr="002C21B8">
        <w:t xml:space="preserve">ational </w:t>
      </w:r>
      <w:r w:rsidRPr="002C21B8">
        <w:t>H</w:t>
      </w:r>
      <w:r w:rsidR="0075189D" w:rsidRPr="002C21B8">
        <w:t xml:space="preserve">ealth </w:t>
      </w:r>
      <w:r w:rsidRPr="002C21B8">
        <w:t>S</w:t>
      </w:r>
      <w:r w:rsidR="0075189D" w:rsidRPr="002C21B8">
        <w:t>ervice (NHS)</w:t>
      </w:r>
      <w:r w:rsidRPr="002C21B8">
        <w:t xml:space="preserve"> is a publicly funded healthcare system in the UK that provides universal access to care </w:t>
      </w:r>
      <w:r w:rsidR="008609CF" w:rsidRPr="002C21B8">
        <w:t>that</w:t>
      </w:r>
      <w:r w:rsidRPr="002C21B8">
        <w:t xml:space="preserve"> is free at the point of delivery. Kidney services in the NHS are typically delivered through acute hospital trusts</w:t>
      </w:r>
      <w:r w:rsidR="0075189D" w:rsidRPr="002C21B8">
        <w:t xml:space="preserve">. </w:t>
      </w:r>
      <w:r w:rsidRPr="002C21B8">
        <w:t xml:space="preserve">ADPKD care </w:t>
      </w:r>
      <w:r w:rsidR="0075189D" w:rsidRPr="002C21B8">
        <w:t xml:space="preserve">is </w:t>
      </w:r>
      <w:r w:rsidRPr="002C21B8">
        <w:t xml:space="preserve">provided within these services by general nephrologists and/or nephrologists with specialist expertise in genetic kidney diseases. Prescribing of </w:t>
      </w:r>
      <w:r w:rsidR="0075189D" w:rsidRPr="002C21B8">
        <w:t>medic</w:t>
      </w:r>
      <w:r w:rsidR="009B4B7B" w:rsidRPr="002C21B8">
        <w:t>ation</w:t>
      </w:r>
      <w:r w:rsidR="0075189D" w:rsidRPr="002C21B8">
        <w:t>s</w:t>
      </w:r>
      <w:r w:rsidRPr="002C21B8">
        <w:t xml:space="preserve"> within the</w:t>
      </w:r>
      <w:r w:rsidR="0075189D" w:rsidRPr="002C21B8">
        <w:t xml:space="preserve"> NHS is </w:t>
      </w:r>
      <w:r w:rsidRPr="002C21B8">
        <w:t xml:space="preserve">guided by national policy. In England and Wales, NICE evaluates </w:t>
      </w:r>
      <w:r w:rsidR="00D459FE" w:rsidRPr="002C21B8">
        <w:t>medication</w:t>
      </w:r>
      <w:r w:rsidRPr="002C21B8">
        <w:t>s through its technology appraisal programme and issues guidelines to inform their use within the NHS.</w:t>
      </w:r>
      <w:r w:rsidR="00095A50" w:rsidRPr="002C21B8">
        <w:t xml:space="preserve"> In Scotland, the Scottish Medicines Consortium fulfils a similar role.</w:t>
      </w:r>
    </w:p>
    <w:p w14:paraId="64AC5C3F" w14:textId="77777777" w:rsidR="00D459FE" w:rsidRPr="002C21B8" w:rsidRDefault="00D459FE" w:rsidP="00180A0E">
      <w:pPr>
        <w:spacing w:before="240" w:after="0"/>
        <w:contextualSpacing/>
        <w:jc w:val="left"/>
        <w:rPr>
          <w:b/>
          <w:sz w:val="24"/>
          <w:szCs w:val="24"/>
        </w:rPr>
      </w:pPr>
    </w:p>
    <w:p w14:paraId="33CE5B49" w14:textId="72CAAF1A" w:rsidR="00180A0E" w:rsidRPr="002C21B8" w:rsidRDefault="00180A0E" w:rsidP="00180A0E">
      <w:pPr>
        <w:spacing w:before="240" w:after="0"/>
        <w:contextualSpacing/>
        <w:jc w:val="left"/>
        <w:rPr>
          <w:b/>
          <w:sz w:val="24"/>
          <w:szCs w:val="24"/>
        </w:rPr>
      </w:pPr>
      <w:r w:rsidRPr="002C21B8">
        <w:rPr>
          <w:b/>
          <w:sz w:val="24"/>
          <w:szCs w:val="24"/>
        </w:rPr>
        <w:t>Data collection</w:t>
      </w:r>
    </w:p>
    <w:p w14:paraId="16654958" w14:textId="62D03E7E" w:rsidR="004C19C1" w:rsidRPr="002C21B8" w:rsidRDefault="004C19C1" w:rsidP="004C19C1">
      <w:r w:rsidRPr="002C21B8">
        <w:t>Three adult NHS kidney centres were purposively selected from 2016</w:t>
      </w:r>
      <w:r w:rsidR="00471702" w:rsidRPr="002C21B8">
        <w:t>–</w:t>
      </w:r>
      <w:r w:rsidRPr="002C21B8">
        <w:t xml:space="preserve">2023 National Registry of </w:t>
      </w:r>
      <w:r w:rsidR="00FF279E" w:rsidRPr="002C21B8">
        <w:t>R</w:t>
      </w:r>
      <w:r w:rsidRPr="002C21B8">
        <w:t xml:space="preserve">are </w:t>
      </w:r>
      <w:r w:rsidR="009470D3" w:rsidRPr="002C21B8">
        <w:t>K</w:t>
      </w:r>
      <w:r w:rsidRPr="002C21B8">
        <w:t xml:space="preserve">idney </w:t>
      </w:r>
      <w:r w:rsidR="009470D3" w:rsidRPr="002C21B8">
        <w:t>D</w:t>
      </w:r>
      <w:r w:rsidRPr="002C21B8">
        <w:t xml:space="preserve">isease (RaDaR) data to </w:t>
      </w:r>
      <w:r w:rsidR="00CA3C59" w:rsidRPr="002C21B8">
        <w:t>explor</w:t>
      </w:r>
      <w:r w:rsidRPr="002C21B8">
        <w:t>e</w:t>
      </w:r>
      <w:r w:rsidR="00CA3C59" w:rsidRPr="002C21B8">
        <w:t xml:space="preserve"> the</w:t>
      </w:r>
      <w:r w:rsidRPr="002C21B8">
        <w:t xml:space="preserve"> variation between </w:t>
      </w:r>
      <w:r w:rsidR="00CA3C59" w:rsidRPr="002C21B8">
        <w:t>tolvaptan eli</w:t>
      </w:r>
      <w:r w:rsidR="002F46AE" w:rsidRPr="002C21B8">
        <w:t>gi</w:t>
      </w:r>
      <w:r w:rsidR="00CA3C59" w:rsidRPr="002C21B8">
        <w:t>bility</w:t>
      </w:r>
      <w:r w:rsidRPr="002C21B8">
        <w:t xml:space="preserve"> and observed initiation across centres. Cases 1 and 2 represented centres of differing size that demonstrated lower non-initiation among eligible patients and lower initiation among patients not meeting eligibility criteria. Case 3 was selected as a contrasting case, with higher non-initiation among eligible patients and a higher initiation among patients not meeting eligibility criteria.</w:t>
      </w:r>
    </w:p>
    <w:p w14:paraId="0E90C116" w14:textId="00078DCA" w:rsidR="00180A0E" w:rsidRPr="002C21B8" w:rsidRDefault="00227DA8" w:rsidP="00180A0E">
      <w:r w:rsidRPr="002C21B8">
        <w:t>Data was</w:t>
      </w:r>
      <w:r w:rsidR="00180A0E" w:rsidRPr="002C21B8">
        <w:t xml:space="preserve"> collected between December 2024 and September 2025 through semi-structured interviews with clinicians contributing to prescribing decisions, non-participant observation of clinics managing ADPKD patients and document analysis (e.g. local prescribing guidelines, standard operating procedures and patient information leaflets). Semi-structured interviews were conducted with </w:t>
      </w:r>
      <w:r w:rsidR="00226C78" w:rsidRPr="002C21B8">
        <w:t>clinician</w:t>
      </w:r>
      <w:r w:rsidR="00180A0E" w:rsidRPr="002C21B8">
        <w:t xml:space="preserve">s using a topic guide based on an existing conceptual model </w:t>
      </w:r>
      <w:r w:rsidR="005E4E1B" w:rsidRPr="002C21B8">
        <w:t>of</w:t>
      </w:r>
      <w:r w:rsidR="00180A0E" w:rsidRPr="002C21B8">
        <w:t xml:space="preserve"> prescribing </w:t>
      </w:r>
      <w:r w:rsidR="005E4E1B" w:rsidRPr="002C21B8">
        <w:t xml:space="preserve">decision-making </w:t>
      </w:r>
      <w:r w:rsidR="00180A0E" w:rsidRPr="002C21B8">
        <w:t xml:space="preserve">in chronic conditions </w:t>
      </w:r>
      <w:r w:rsidR="00180A0E" w:rsidRPr="002C21B8">
        <w:fldChar w:fldCharType="begin"/>
      </w:r>
      <w:r w:rsidR="00763983"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180A0E" w:rsidRPr="002C21B8">
        <w:fldChar w:fldCharType="separate"/>
      </w:r>
      <w:r w:rsidR="00180A0E" w:rsidRPr="002C21B8">
        <w:rPr>
          <w:noProof/>
        </w:rPr>
        <w:t>(Gittus</w:t>
      </w:r>
      <w:r w:rsidR="00180A0E" w:rsidRPr="002C21B8">
        <w:rPr>
          <w:i/>
          <w:noProof/>
        </w:rPr>
        <w:t xml:space="preserve"> et al.</w:t>
      </w:r>
      <w:r w:rsidR="00180A0E" w:rsidRPr="002C21B8">
        <w:rPr>
          <w:noProof/>
        </w:rPr>
        <w:t>, 2025b)</w:t>
      </w:r>
      <w:r w:rsidR="00180A0E" w:rsidRPr="002C21B8">
        <w:fldChar w:fldCharType="end"/>
      </w:r>
      <w:r w:rsidR="00180A0E" w:rsidRPr="002C21B8">
        <w:t xml:space="preserve">, </w:t>
      </w:r>
      <w:hyperlink w:anchor="_Interview_topic_guide_1" w:history="1">
        <w:r w:rsidR="00C83686" w:rsidRPr="002C21B8">
          <w:rPr>
            <w:rStyle w:val="Hyperlink"/>
          </w:rPr>
          <w:t>Appendix 8</w:t>
        </w:r>
      </w:hyperlink>
      <w:r w:rsidR="00180A0E" w:rsidRPr="002C21B8">
        <w:t xml:space="preserve">. Interviews included a clinical vignette to elicit discussion of patient-level factors influencing prescribing, </w:t>
      </w:r>
      <w:hyperlink w:anchor="_Clinical_vignette_for_1" w:history="1">
        <w:r w:rsidR="00C83686" w:rsidRPr="002C21B8">
          <w:rPr>
            <w:rStyle w:val="Hyperlink"/>
          </w:rPr>
          <w:t>Appendix 8</w:t>
        </w:r>
      </w:hyperlink>
      <w:r w:rsidR="00180A0E" w:rsidRPr="002C21B8">
        <w:t xml:space="preserve">. Both materials were developed by the research </w:t>
      </w:r>
      <w:r w:rsidR="001B2BDF" w:rsidRPr="002C21B8">
        <w:t>team</w:t>
      </w:r>
      <w:r w:rsidR="00180A0E" w:rsidRPr="002C21B8">
        <w:t xml:space="preserve"> and piloted with two nephrology clinicians at Sheffield Teaching Hospitals Trust; this data was not included in the analysis. Interviews were conducted face-to-face at the </w:t>
      </w:r>
      <w:r w:rsidR="00BB4BA3" w:rsidRPr="002C21B8">
        <w:t xml:space="preserve">case site </w:t>
      </w:r>
      <w:r w:rsidR="00180A0E" w:rsidRPr="002C21B8">
        <w:t>or remotely via Microsoft Teams</w:t>
      </w:r>
      <w:r w:rsidR="0005570A" w:rsidRPr="002C21B8">
        <w:t xml:space="preserve"> by the lead researcher</w:t>
      </w:r>
      <w:r w:rsidR="007422FC" w:rsidRPr="002C21B8">
        <w:t xml:space="preserve"> (MG)</w:t>
      </w:r>
      <w:r w:rsidR="0005570A" w:rsidRPr="002C21B8">
        <w:t xml:space="preserve">. The </w:t>
      </w:r>
      <w:r w:rsidR="00180A0E" w:rsidRPr="002C21B8">
        <w:t xml:space="preserve">mean duration </w:t>
      </w:r>
      <w:r w:rsidR="0005570A" w:rsidRPr="002C21B8">
        <w:t xml:space="preserve">of interviews was </w:t>
      </w:r>
      <w:r w:rsidR="00180A0E" w:rsidRPr="002C21B8">
        <w:t>54 minutes</w:t>
      </w:r>
      <w:r w:rsidR="0005570A" w:rsidRPr="002C21B8">
        <w:t xml:space="preserve"> (</w:t>
      </w:r>
      <w:r w:rsidR="00180A0E" w:rsidRPr="002C21B8">
        <w:t>range 43</w:t>
      </w:r>
      <w:r w:rsidR="00C26B65" w:rsidRPr="002C21B8">
        <w:t>–</w:t>
      </w:r>
      <w:r w:rsidR="00180A0E" w:rsidRPr="002C21B8">
        <w:t xml:space="preserve">120 minutes). Non-participatory clinic observations were conducted </w:t>
      </w:r>
      <w:r w:rsidR="005774CD" w:rsidRPr="002C21B8">
        <w:t xml:space="preserve">face-to-face or remotely via telephone </w:t>
      </w:r>
      <w:r w:rsidR="00180A0E" w:rsidRPr="002C21B8">
        <w:t xml:space="preserve">by the lead researcher at clinics where </w:t>
      </w:r>
      <w:r w:rsidR="0005570A" w:rsidRPr="002C21B8">
        <w:t xml:space="preserve">discussions regarding </w:t>
      </w:r>
      <w:r w:rsidR="00180A0E" w:rsidRPr="002C21B8">
        <w:t xml:space="preserve">tolvaptan </w:t>
      </w:r>
      <w:r w:rsidR="0005570A" w:rsidRPr="002C21B8">
        <w:t xml:space="preserve">were anticipated. The </w:t>
      </w:r>
      <w:r w:rsidR="00180A0E" w:rsidRPr="002C21B8">
        <w:t xml:space="preserve">mean duration </w:t>
      </w:r>
      <w:r w:rsidR="00315235" w:rsidRPr="002C21B8">
        <w:t xml:space="preserve">of observations </w:t>
      </w:r>
      <w:r w:rsidR="0005570A" w:rsidRPr="002C21B8">
        <w:t xml:space="preserve">was </w:t>
      </w:r>
      <w:r w:rsidR="00180A0E" w:rsidRPr="002C21B8">
        <w:t>18 minutes</w:t>
      </w:r>
      <w:r w:rsidR="0005570A" w:rsidRPr="002C21B8">
        <w:t xml:space="preserve"> (</w:t>
      </w:r>
      <w:r w:rsidR="00180A0E" w:rsidRPr="002C21B8">
        <w:t>range 13</w:t>
      </w:r>
      <w:r w:rsidR="00C26B65" w:rsidRPr="002C21B8">
        <w:t>–</w:t>
      </w:r>
      <w:r w:rsidR="00180A0E" w:rsidRPr="002C21B8">
        <w:t>30 minutes).</w:t>
      </w:r>
      <w:r w:rsidR="00F21A40" w:rsidRPr="002C21B8">
        <w:t xml:space="preserve"> Both </w:t>
      </w:r>
      <w:r w:rsidR="005774CD" w:rsidRPr="002C21B8">
        <w:t xml:space="preserve">interviews and observations </w:t>
      </w:r>
      <w:r w:rsidR="00F21A40" w:rsidRPr="002C21B8">
        <w:t>were audio-recorded and transcribed verbatim by the University of Sheffield transcription service.</w:t>
      </w:r>
      <w:r w:rsidR="00180A0E" w:rsidRPr="002C21B8">
        <w:t xml:space="preserve"> Fieldnotes </w:t>
      </w:r>
      <w:r w:rsidR="00781D5E" w:rsidRPr="002C21B8">
        <w:t xml:space="preserve">were taken during </w:t>
      </w:r>
      <w:r w:rsidR="005774CD" w:rsidRPr="002C21B8">
        <w:t>data collection</w:t>
      </w:r>
      <w:r w:rsidR="00781D5E" w:rsidRPr="002C21B8">
        <w:t>, alongside</w:t>
      </w:r>
      <w:r w:rsidR="00180A0E" w:rsidRPr="002C21B8">
        <w:t xml:space="preserve"> </w:t>
      </w:r>
      <w:r w:rsidR="00D044D5" w:rsidRPr="002C21B8">
        <w:t xml:space="preserve">analytic and reflexive </w:t>
      </w:r>
      <w:r w:rsidR="00537FB3" w:rsidRPr="002C21B8">
        <w:t xml:space="preserve">journal </w:t>
      </w:r>
      <w:r w:rsidR="00D044D5" w:rsidRPr="002C21B8">
        <w:t>notes to support interpretation and critical reflection</w:t>
      </w:r>
      <w:r w:rsidR="00180A0E" w:rsidRPr="002C21B8">
        <w:t xml:space="preserve"> </w:t>
      </w:r>
      <w:r w:rsidR="00FD194C" w:rsidRPr="002C21B8">
        <w:t>(</w:t>
      </w:r>
      <w:hyperlink w:anchor="_Fieldnotes_template_used_1" w:history="1">
        <w:r w:rsidR="00C83686" w:rsidRPr="002C21B8">
          <w:rPr>
            <w:rStyle w:val="Hyperlink"/>
          </w:rPr>
          <w:t>Appendix 8</w:t>
        </w:r>
      </w:hyperlink>
      <w:r w:rsidR="00FD194C" w:rsidRPr="002C21B8">
        <w:t>)</w:t>
      </w:r>
      <w:r w:rsidR="00180A0E" w:rsidRPr="002C21B8">
        <w:t xml:space="preserve">. Local gatekeepers (i.e. </w:t>
      </w:r>
      <w:r w:rsidR="005A457B" w:rsidRPr="002C21B8">
        <w:t xml:space="preserve">ADPKD </w:t>
      </w:r>
      <w:r w:rsidR="00180A0E" w:rsidRPr="002C21B8">
        <w:t>clinical leads facilitating access to participants) provided local documents related to the prescribing of tolvaptan.</w:t>
      </w:r>
    </w:p>
    <w:p w14:paraId="09C869EF" w14:textId="22978905" w:rsidR="00180A0E" w:rsidRPr="002C21B8" w:rsidRDefault="00180A0E" w:rsidP="00180A0E">
      <w:pPr>
        <w:spacing w:before="240" w:after="0"/>
        <w:contextualSpacing/>
        <w:jc w:val="left"/>
        <w:rPr>
          <w:b/>
          <w:sz w:val="24"/>
          <w:szCs w:val="24"/>
        </w:rPr>
      </w:pPr>
      <w:r w:rsidRPr="002C21B8">
        <w:rPr>
          <w:b/>
          <w:sz w:val="24"/>
          <w:szCs w:val="24"/>
        </w:rPr>
        <w:t>Data analysis</w:t>
      </w:r>
    </w:p>
    <w:p w14:paraId="76F0AE23" w14:textId="2801E494" w:rsidR="00180A0E" w:rsidRPr="002C21B8" w:rsidRDefault="00180A0E" w:rsidP="00AE796C">
      <w:r w:rsidRPr="002C21B8">
        <w:t xml:space="preserve">Interviews were transcribed verbatim. Transcripts, reflections and documents were imported into NVivo software (Lumivero, Version 15). We analysed data using the </w:t>
      </w:r>
      <w:r w:rsidR="00E82840" w:rsidRPr="002C21B8">
        <w:t>F</w:t>
      </w:r>
      <w:r w:rsidRPr="002C21B8">
        <w:t xml:space="preserve">ramework </w:t>
      </w:r>
      <w:r w:rsidR="00E82840" w:rsidRPr="002C21B8">
        <w:t>M</w:t>
      </w:r>
      <w:r w:rsidR="00965EFB" w:rsidRPr="002C21B8">
        <w:t xml:space="preserve">ethod for the analysis of qualitative data </w:t>
      </w:r>
      <w:r w:rsidRPr="002C21B8">
        <w:t xml:space="preserve">described by </w:t>
      </w:r>
      <w:r w:rsidR="008F7C22" w:rsidRPr="002C21B8">
        <w:fldChar w:fldCharType="begin"/>
      </w:r>
      <w:r w:rsidR="00965EFB" w:rsidRPr="002C21B8">
        <w:instrText xml:space="preserve"> ADDIN EN.CITE &lt;EndNote&gt;&lt;Cite AuthorYear="1"&gt;&lt;Author&gt;Gale&lt;/Author&gt;&lt;Year&gt;2013&lt;/Year&gt;&lt;RecNum&gt;17340&lt;/RecNum&gt;&lt;DisplayText&gt;Gale&lt;style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methodology&lt;/full-title&gt;&lt;/periodical&gt;&lt;pages&gt;1-8&lt;/pages&gt;&lt;volume&gt;13&lt;/volume&gt;&lt;dates&gt;&lt;year&gt;2013&lt;/year&gt;&lt;/dates&gt;&lt;urls&gt;&lt;/urls&gt;&lt;/record&gt;&lt;/Cite&gt;&lt;/EndNote&gt;</w:instrText>
      </w:r>
      <w:r w:rsidR="008F7C22" w:rsidRPr="002C21B8">
        <w:fldChar w:fldCharType="separate"/>
      </w:r>
      <w:r w:rsidR="00965EFB" w:rsidRPr="002C21B8">
        <w:rPr>
          <w:noProof/>
        </w:rPr>
        <w:t>Gale</w:t>
      </w:r>
      <w:r w:rsidR="00965EFB" w:rsidRPr="002C21B8">
        <w:rPr>
          <w:i/>
          <w:noProof/>
        </w:rPr>
        <w:t xml:space="preserve"> et al.</w:t>
      </w:r>
      <w:r w:rsidR="00965EFB" w:rsidRPr="002C21B8">
        <w:rPr>
          <w:noProof/>
        </w:rPr>
        <w:t xml:space="preserve"> (2013)</w:t>
      </w:r>
      <w:r w:rsidR="008F7C22" w:rsidRPr="002C21B8">
        <w:fldChar w:fldCharType="end"/>
      </w:r>
      <w:r w:rsidRPr="002C21B8">
        <w:t xml:space="preserve">. Analysis began with familiarisation of the data followed by coding using an analytical framework based on the existing conceptual model </w:t>
      </w:r>
      <w:r w:rsidR="005E4E1B" w:rsidRPr="002C21B8">
        <w:t xml:space="preserve">of </w:t>
      </w:r>
      <w:r w:rsidRPr="002C21B8">
        <w:t xml:space="preserve">prescribing </w:t>
      </w:r>
      <w:r w:rsidR="005E4E1B" w:rsidRPr="002C21B8">
        <w:t xml:space="preserve">decision-making </w:t>
      </w:r>
      <w:r w:rsidRPr="002C21B8">
        <w:t>in chronic conditions (</w:t>
      </w:r>
      <w:hyperlink w:anchor="_Coding_trees_–_1" w:history="1">
        <w:r w:rsidR="00C83686" w:rsidRPr="002C21B8">
          <w:rPr>
            <w:rStyle w:val="Hyperlink"/>
          </w:rPr>
          <w:t>Appendix 8</w:t>
        </w:r>
      </w:hyperlink>
      <w:r w:rsidRPr="002C21B8">
        <w:t>). The framework was applied systematically to all transcripts and documents and iteratively refined through team discussions.</w:t>
      </w:r>
    </w:p>
    <w:p w14:paraId="7C63BF3E" w14:textId="314B2353" w:rsidR="00180A0E" w:rsidRPr="002C21B8" w:rsidRDefault="00180A0E" w:rsidP="00180A0E">
      <w:pPr>
        <w:spacing w:before="240" w:after="0"/>
        <w:contextualSpacing/>
        <w:jc w:val="left"/>
        <w:rPr>
          <w:b/>
          <w:sz w:val="28"/>
          <w:szCs w:val="28"/>
        </w:rPr>
      </w:pPr>
      <w:r w:rsidRPr="002C21B8">
        <w:rPr>
          <w:b/>
          <w:sz w:val="28"/>
          <w:szCs w:val="28"/>
        </w:rPr>
        <w:t>Results</w:t>
      </w:r>
    </w:p>
    <w:p w14:paraId="142C1664" w14:textId="1064BF09" w:rsidR="00180A0E" w:rsidRPr="002C21B8" w:rsidRDefault="00180A0E" w:rsidP="00180A0E">
      <w:pPr>
        <w:spacing w:before="240" w:after="0"/>
        <w:contextualSpacing/>
        <w:jc w:val="left"/>
        <w:rPr>
          <w:b/>
          <w:sz w:val="24"/>
          <w:szCs w:val="24"/>
        </w:rPr>
      </w:pPr>
      <w:r w:rsidRPr="002C21B8">
        <w:rPr>
          <w:b/>
          <w:sz w:val="24"/>
          <w:szCs w:val="24"/>
        </w:rPr>
        <w:t>Description of participants and data sources</w:t>
      </w:r>
    </w:p>
    <w:p w14:paraId="2E9F49A3" w14:textId="37EE7B5B" w:rsidR="00180A0E" w:rsidRPr="002C21B8" w:rsidRDefault="00180A0E" w:rsidP="00180A0E">
      <w:pPr>
        <w:spacing w:after="240"/>
        <w:rPr>
          <w:i/>
          <w:iCs/>
          <w:color w:val="A5A5A5" w:themeColor="accent3"/>
          <w:sz w:val="20"/>
          <w:szCs w:val="20"/>
        </w:rPr>
      </w:pPr>
      <w:r w:rsidRPr="002C21B8">
        <w:t xml:space="preserve">Twelve interviews were conducted with </w:t>
      </w:r>
      <w:r w:rsidR="00226C78" w:rsidRPr="002C21B8">
        <w:t>clinicians</w:t>
      </w:r>
      <w:r w:rsidRPr="002C21B8">
        <w:t xml:space="preserve"> involved in the delivery of tolvaptan at the three kidney centres.</w:t>
      </w:r>
      <w:r w:rsidR="003B5889" w:rsidRPr="002C21B8">
        <w:t xml:space="preserve"> This included all the clinicians directly involved in ADPKD care.</w:t>
      </w:r>
      <w:r w:rsidR="0094637E" w:rsidRPr="002C21B8">
        <w:t xml:space="preserve"> </w:t>
      </w:r>
      <w:r w:rsidR="00AD241B" w:rsidRPr="002C21B8">
        <w:t>T</w:t>
      </w:r>
      <w:r w:rsidR="0094637E" w:rsidRPr="002C21B8">
        <w:t xml:space="preserve">heir professional roles and clinical context are included in </w:t>
      </w:r>
      <w:r w:rsidR="0094637E" w:rsidRPr="002C21B8">
        <w:fldChar w:fldCharType="begin"/>
      </w:r>
      <w:r w:rsidR="0094637E" w:rsidRPr="002C21B8">
        <w:instrText xml:space="preserve"> REF _Ref229465160 \h </w:instrText>
      </w:r>
      <w:r w:rsidR="00B850AB" w:rsidRPr="002C21B8">
        <w:instrText xml:space="preserve"> \* MERGEFORMAT </w:instrText>
      </w:r>
      <w:r w:rsidR="0094637E" w:rsidRPr="002C21B8">
        <w:fldChar w:fldCharType="separate"/>
      </w:r>
      <w:r w:rsidR="00DB3709" w:rsidRPr="002C21B8">
        <w:t xml:space="preserve">Table </w:t>
      </w:r>
      <w:r w:rsidR="00DB3709">
        <w:t>19</w:t>
      </w:r>
      <w:r w:rsidR="0094637E" w:rsidRPr="002C21B8">
        <w:fldChar w:fldCharType="end"/>
      </w:r>
      <w:r w:rsidRPr="002C21B8">
        <w:t>. Given the small size of the centres and the potential for identification, further demographic details of participants are not reported to preserve anonymity. Twenty-three appointments were observed across five clinic visits within the three kidney centres. Observations included consultations in renal genetics (n</w:t>
      </w:r>
      <w:r w:rsidR="00202F0E" w:rsidRPr="002C21B8">
        <w:t xml:space="preserve"> </w:t>
      </w:r>
      <w:r w:rsidRPr="002C21B8">
        <w:t>=</w:t>
      </w:r>
      <w:r w:rsidR="00202F0E" w:rsidRPr="002C21B8">
        <w:t xml:space="preserve"> </w:t>
      </w:r>
      <w:r w:rsidRPr="002C21B8">
        <w:t>19) and tolvaptan clinics (n</w:t>
      </w:r>
      <w:r w:rsidR="00202F0E" w:rsidRPr="002C21B8">
        <w:t xml:space="preserve"> </w:t>
      </w:r>
      <w:r w:rsidRPr="002C21B8">
        <w:t>=</w:t>
      </w:r>
      <w:r w:rsidR="00202F0E" w:rsidRPr="002C21B8">
        <w:t xml:space="preserve"> </w:t>
      </w:r>
      <w:r w:rsidRPr="002C21B8">
        <w:t>4). Eight documents were analysed</w:t>
      </w:r>
      <w:r w:rsidR="00BC3616" w:rsidRPr="002C21B8">
        <w:t xml:space="preserve">: </w:t>
      </w:r>
      <w:r w:rsidRPr="002C21B8">
        <w:t>local guidelines (n</w:t>
      </w:r>
      <w:r w:rsidR="00202F0E" w:rsidRPr="002C21B8">
        <w:t xml:space="preserve"> </w:t>
      </w:r>
      <w:r w:rsidRPr="002C21B8">
        <w:rPr>
          <w:b/>
          <w:bCs/>
        </w:rPr>
        <w:t>=</w:t>
      </w:r>
      <w:r w:rsidR="00202F0E" w:rsidRPr="002C21B8">
        <w:rPr>
          <w:b/>
          <w:bCs/>
        </w:rPr>
        <w:t xml:space="preserve"> </w:t>
      </w:r>
      <w:r w:rsidRPr="002C21B8">
        <w:t>2), information leaflets (n</w:t>
      </w:r>
      <w:r w:rsidR="00202F0E" w:rsidRPr="002C21B8">
        <w:t xml:space="preserve"> </w:t>
      </w:r>
      <w:r w:rsidRPr="002C21B8">
        <w:t>=</w:t>
      </w:r>
      <w:r w:rsidR="00202F0E" w:rsidRPr="002C21B8">
        <w:t xml:space="preserve"> </w:t>
      </w:r>
      <w:r w:rsidRPr="002C21B8">
        <w:t>3), standard operating procedures (n</w:t>
      </w:r>
      <w:r w:rsidR="00202F0E" w:rsidRPr="002C21B8">
        <w:t xml:space="preserve"> </w:t>
      </w:r>
      <w:r w:rsidRPr="002C21B8">
        <w:t>=</w:t>
      </w:r>
      <w:r w:rsidR="00202F0E" w:rsidRPr="002C21B8">
        <w:t xml:space="preserve"> </w:t>
      </w:r>
      <w:r w:rsidRPr="002C21B8">
        <w:t>2), and a summary of clinical trial outcomes (n</w:t>
      </w:r>
      <w:r w:rsidR="00202F0E" w:rsidRPr="002C21B8">
        <w:t xml:space="preserve"> </w:t>
      </w:r>
      <w:r w:rsidRPr="002C21B8">
        <w:t>=</w:t>
      </w:r>
      <w:r w:rsidR="00202F0E" w:rsidRPr="002C21B8">
        <w:t xml:space="preserve"> </w:t>
      </w:r>
      <w:r w:rsidRPr="002C21B8">
        <w:t>1).</w:t>
      </w:r>
    </w:p>
    <w:p w14:paraId="09FBD491" w14:textId="7E36BCE6" w:rsidR="00180A0E" w:rsidRPr="002C21B8" w:rsidRDefault="00180A0E" w:rsidP="002433EB">
      <w:pPr>
        <w:pStyle w:val="Caption"/>
        <w:keepNext w:val="0"/>
      </w:pPr>
      <w:bookmarkStart w:id="245" w:name="_Ref229465160"/>
      <w:bookmarkStart w:id="246" w:name="_Ref229465117"/>
      <w:bookmarkStart w:id="247" w:name="_Toc236991755"/>
      <w:r w:rsidRPr="002C21B8">
        <w:t xml:space="preserve">Table </w:t>
      </w:r>
      <w:r w:rsidRPr="002C21B8">
        <w:fldChar w:fldCharType="begin"/>
      </w:r>
      <w:r w:rsidRPr="002C21B8">
        <w:instrText xml:space="preserve"> SEQ Table \* ARABIC </w:instrText>
      </w:r>
      <w:r w:rsidRPr="002C21B8">
        <w:fldChar w:fldCharType="separate"/>
      </w:r>
      <w:r w:rsidR="00DB3709">
        <w:t>19</w:t>
      </w:r>
      <w:r w:rsidRPr="002C21B8">
        <w:fldChar w:fldCharType="end"/>
      </w:r>
      <w:bookmarkEnd w:id="245"/>
      <w:r w:rsidRPr="002C21B8">
        <w:t>. Professional roles and clinical contexts of interview participants</w:t>
      </w:r>
      <w:bookmarkEnd w:id="246"/>
      <w:bookmarkEnd w:id="247"/>
    </w:p>
    <w:tbl>
      <w:tblPr>
        <w:tblStyle w:val="TableGrid"/>
        <w:tblW w:w="7513"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96"/>
        <w:gridCol w:w="2665"/>
        <w:gridCol w:w="3118"/>
        <w:gridCol w:w="1134"/>
      </w:tblGrid>
      <w:tr w:rsidR="00180A0E" w:rsidRPr="002C21B8" w14:paraId="7956F3C1" w14:textId="77777777" w:rsidTr="008578C2">
        <w:trPr>
          <w:trHeight w:val="391"/>
        </w:trPr>
        <w:tc>
          <w:tcPr>
            <w:tcW w:w="596" w:type="dxa"/>
            <w:tcBorders>
              <w:top w:val="single" w:sz="12" w:space="0" w:color="000000" w:themeColor="text1"/>
              <w:bottom w:val="single" w:sz="6" w:space="0" w:color="000000" w:themeColor="text1"/>
            </w:tcBorders>
            <w:vAlign w:val="center"/>
          </w:tcPr>
          <w:p w14:paraId="1D166F75" w14:textId="77777777" w:rsidR="00180A0E" w:rsidRPr="002C21B8" w:rsidRDefault="00180A0E" w:rsidP="002433EB">
            <w:pPr>
              <w:spacing w:beforeLines="20" w:before="48" w:after="20" w:line="240" w:lineRule="auto"/>
              <w:jc w:val="left"/>
              <w:rPr>
                <w:b/>
                <w:bCs/>
                <w:sz w:val="18"/>
                <w:szCs w:val="18"/>
              </w:rPr>
            </w:pPr>
            <w:r w:rsidRPr="002C21B8">
              <w:rPr>
                <w:b/>
                <w:bCs/>
                <w:sz w:val="18"/>
                <w:szCs w:val="18"/>
              </w:rPr>
              <w:t>Code</w:t>
            </w:r>
          </w:p>
        </w:tc>
        <w:tc>
          <w:tcPr>
            <w:tcW w:w="2665" w:type="dxa"/>
            <w:tcBorders>
              <w:top w:val="single" w:sz="12" w:space="0" w:color="000000" w:themeColor="text1"/>
              <w:bottom w:val="single" w:sz="6" w:space="0" w:color="000000" w:themeColor="text1"/>
            </w:tcBorders>
            <w:vAlign w:val="center"/>
          </w:tcPr>
          <w:p w14:paraId="00BE9880" w14:textId="77777777" w:rsidR="00180A0E" w:rsidRPr="002C21B8" w:rsidRDefault="00180A0E" w:rsidP="002433EB">
            <w:pPr>
              <w:spacing w:beforeLines="20" w:before="48" w:after="20" w:line="240" w:lineRule="auto"/>
              <w:jc w:val="left"/>
              <w:rPr>
                <w:b/>
                <w:bCs/>
                <w:sz w:val="18"/>
                <w:szCs w:val="18"/>
              </w:rPr>
            </w:pPr>
            <w:r w:rsidRPr="002C21B8">
              <w:rPr>
                <w:b/>
                <w:bCs/>
                <w:sz w:val="18"/>
                <w:szCs w:val="18"/>
              </w:rPr>
              <w:t>Professional role</w:t>
            </w:r>
          </w:p>
        </w:tc>
        <w:tc>
          <w:tcPr>
            <w:tcW w:w="3118" w:type="dxa"/>
            <w:tcBorders>
              <w:top w:val="single" w:sz="12" w:space="0" w:color="000000" w:themeColor="text1"/>
              <w:bottom w:val="single" w:sz="6" w:space="0" w:color="000000" w:themeColor="text1"/>
            </w:tcBorders>
            <w:vAlign w:val="center"/>
          </w:tcPr>
          <w:p w14:paraId="2AED146F" w14:textId="77777777" w:rsidR="00180A0E" w:rsidRPr="002C21B8" w:rsidRDefault="00180A0E" w:rsidP="002433EB">
            <w:pPr>
              <w:spacing w:beforeLines="20" w:before="48" w:after="20" w:line="240" w:lineRule="auto"/>
              <w:jc w:val="left"/>
              <w:rPr>
                <w:b/>
                <w:bCs/>
                <w:sz w:val="18"/>
                <w:szCs w:val="18"/>
              </w:rPr>
            </w:pPr>
            <w:r w:rsidRPr="002C21B8">
              <w:rPr>
                <w:b/>
                <w:bCs/>
                <w:sz w:val="18"/>
                <w:szCs w:val="18"/>
              </w:rPr>
              <w:t>Primary clinic context</w:t>
            </w:r>
          </w:p>
        </w:tc>
        <w:tc>
          <w:tcPr>
            <w:tcW w:w="1134" w:type="dxa"/>
            <w:tcBorders>
              <w:top w:val="single" w:sz="12" w:space="0" w:color="000000" w:themeColor="text1"/>
              <w:bottom w:val="single" w:sz="6" w:space="0" w:color="000000" w:themeColor="text1"/>
            </w:tcBorders>
            <w:vAlign w:val="center"/>
          </w:tcPr>
          <w:p w14:paraId="6435A710" w14:textId="77777777" w:rsidR="00180A0E" w:rsidRPr="002C21B8" w:rsidRDefault="00180A0E" w:rsidP="002433EB">
            <w:pPr>
              <w:spacing w:beforeLines="20" w:before="48" w:after="20" w:line="240" w:lineRule="auto"/>
              <w:jc w:val="left"/>
              <w:rPr>
                <w:b/>
                <w:bCs/>
                <w:sz w:val="18"/>
                <w:szCs w:val="18"/>
              </w:rPr>
            </w:pPr>
            <w:r w:rsidRPr="002C21B8">
              <w:rPr>
                <w:b/>
                <w:bCs/>
                <w:sz w:val="18"/>
                <w:szCs w:val="18"/>
              </w:rPr>
              <w:t>Centre size</w:t>
            </w:r>
          </w:p>
        </w:tc>
      </w:tr>
      <w:tr w:rsidR="00180A0E" w:rsidRPr="002C21B8" w14:paraId="03381CDA" w14:textId="77777777" w:rsidTr="008578C2">
        <w:trPr>
          <w:trHeight w:val="142"/>
        </w:trPr>
        <w:tc>
          <w:tcPr>
            <w:tcW w:w="596" w:type="dxa"/>
            <w:tcBorders>
              <w:top w:val="single" w:sz="6" w:space="0" w:color="000000" w:themeColor="text1"/>
            </w:tcBorders>
          </w:tcPr>
          <w:p w14:paraId="17D21AAB" w14:textId="77777777" w:rsidR="00180A0E" w:rsidRPr="002C21B8" w:rsidRDefault="00180A0E" w:rsidP="002433EB">
            <w:pPr>
              <w:spacing w:before="120" w:after="120" w:line="240" w:lineRule="auto"/>
              <w:jc w:val="left"/>
              <w:rPr>
                <w:sz w:val="18"/>
                <w:szCs w:val="18"/>
              </w:rPr>
            </w:pPr>
            <w:r w:rsidRPr="002C21B8">
              <w:rPr>
                <w:sz w:val="18"/>
                <w:szCs w:val="18"/>
              </w:rPr>
              <w:t>C1</w:t>
            </w:r>
          </w:p>
          <w:p w14:paraId="7255C6A5" w14:textId="77777777" w:rsidR="00180A0E" w:rsidRPr="002C21B8" w:rsidRDefault="00180A0E" w:rsidP="002433EB">
            <w:pPr>
              <w:spacing w:before="120" w:after="120" w:line="240" w:lineRule="auto"/>
              <w:jc w:val="left"/>
              <w:rPr>
                <w:sz w:val="18"/>
                <w:szCs w:val="18"/>
              </w:rPr>
            </w:pPr>
            <w:r w:rsidRPr="002C21B8">
              <w:rPr>
                <w:sz w:val="18"/>
                <w:szCs w:val="18"/>
              </w:rPr>
              <w:t>C2</w:t>
            </w:r>
          </w:p>
          <w:p w14:paraId="5FB28E71" w14:textId="77777777" w:rsidR="00180A0E" w:rsidRPr="002C21B8" w:rsidRDefault="00180A0E" w:rsidP="002433EB">
            <w:pPr>
              <w:spacing w:before="120" w:after="120" w:line="240" w:lineRule="auto"/>
              <w:jc w:val="left"/>
              <w:rPr>
                <w:sz w:val="18"/>
                <w:szCs w:val="18"/>
              </w:rPr>
            </w:pPr>
            <w:r w:rsidRPr="002C21B8">
              <w:rPr>
                <w:sz w:val="18"/>
                <w:szCs w:val="18"/>
              </w:rPr>
              <w:t>C3</w:t>
            </w:r>
          </w:p>
          <w:p w14:paraId="600F7178" w14:textId="77777777" w:rsidR="00180A0E" w:rsidRPr="002C21B8" w:rsidRDefault="00180A0E" w:rsidP="002433EB">
            <w:pPr>
              <w:spacing w:before="120" w:after="120" w:line="240" w:lineRule="auto"/>
              <w:jc w:val="left"/>
              <w:rPr>
                <w:sz w:val="18"/>
                <w:szCs w:val="18"/>
              </w:rPr>
            </w:pPr>
            <w:r w:rsidRPr="002C21B8">
              <w:rPr>
                <w:sz w:val="18"/>
                <w:szCs w:val="18"/>
              </w:rPr>
              <w:t>C4</w:t>
            </w:r>
          </w:p>
          <w:p w14:paraId="4B81026D" w14:textId="77777777" w:rsidR="00180A0E" w:rsidRPr="002C21B8" w:rsidRDefault="00180A0E" w:rsidP="002433EB">
            <w:pPr>
              <w:spacing w:before="120" w:after="120" w:line="240" w:lineRule="auto"/>
              <w:jc w:val="left"/>
              <w:rPr>
                <w:sz w:val="18"/>
                <w:szCs w:val="18"/>
              </w:rPr>
            </w:pPr>
            <w:r w:rsidRPr="002C21B8">
              <w:rPr>
                <w:sz w:val="18"/>
                <w:szCs w:val="18"/>
              </w:rPr>
              <w:t>C5</w:t>
            </w:r>
          </w:p>
          <w:p w14:paraId="2F46F6C6" w14:textId="77777777" w:rsidR="00180A0E" w:rsidRPr="002C21B8" w:rsidRDefault="00180A0E" w:rsidP="002433EB">
            <w:pPr>
              <w:spacing w:before="120" w:after="120" w:line="240" w:lineRule="auto"/>
              <w:jc w:val="left"/>
              <w:rPr>
                <w:sz w:val="18"/>
                <w:szCs w:val="18"/>
              </w:rPr>
            </w:pPr>
            <w:r w:rsidRPr="002C21B8">
              <w:rPr>
                <w:sz w:val="18"/>
                <w:szCs w:val="18"/>
              </w:rPr>
              <w:t>C6</w:t>
            </w:r>
          </w:p>
          <w:p w14:paraId="5075E857" w14:textId="77777777" w:rsidR="00180A0E" w:rsidRPr="002C21B8" w:rsidRDefault="00180A0E" w:rsidP="002433EB">
            <w:pPr>
              <w:spacing w:before="120" w:after="120" w:line="240" w:lineRule="auto"/>
              <w:jc w:val="left"/>
              <w:rPr>
                <w:sz w:val="18"/>
                <w:szCs w:val="18"/>
              </w:rPr>
            </w:pPr>
            <w:r w:rsidRPr="002C21B8">
              <w:rPr>
                <w:sz w:val="18"/>
                <w:szCs w:val="18"/>
              </w:rPr>
              <w:t>R1</w:t>
            </w:r>
          </w:p>
          <w:p w14:paraId="565F2659" w14:textId="77777777" w:rsidR="00180A0E" w:rsidRPr="002C21B8" w:rsidRDefault="00180A0E" w:rsidP="002433EB">
            <w:pPr>
              <w:spacing w:before="120" w:after="120" w:line="240" w:lineRule="auto"/>
              <w:jc w:val="left"/>
              <w:rPr>
                <w:sz w:val="18"/>
                <w:szCs w:val="18"/>
              </w:rPr>
            </w:pPr>
            <w:r w:rsidRPr="002C21B8">
              <w:rPr>
                <w:sz w:val="18"/>
                <w:szCs w:val="18"/>
              </w:rPr>
              <w:t>P1</w:t>
            </w:r>
          </w:p>
          <w:p w14:paraId="1B4F0EE2" w14:textId="77777777" w:rsidR="00180A0E" w:rsidRPr="002C21B8" w:rsidRDefault="00180A0E" w:rsidP="002433EB">
            <w:pPr>
              <w:spacing w:before="120" w:after="120" w:line="240" w:lineRule="auto"/>
              <w:jc w:val="left"/>
              <w:rPr>
                <w:sz w:val="18"/>
                <w:szCs w:val="18"/>
              </w:rPr>
            </w:pPr>
            <w:r w:rsidRPr="002C21B8">
              <w:rPr>
                <w:sz w:val="18"/>
                <w:szCs w:val="18"/>
              </w:rPr>
              <w:t>P2</w:t>
            </w:r>
          </w:p>
          <w:p w14:paraId="42FAB2D1" w14:textId="77777777" w:rsidR="00180A0E" w:rsidRPr="002C21B8" w:rsidRDefault="00180A0E" w:rsidP="002433EB">
            <w:pPr>
              <w:spacing w:before="120" w:after="120" w:line="240" w:lineRule="auto"/>
              <w:jc w:val="left"/>
              <w:rPr>
                <w:sz w:val="18"/>
                <w:szCs w:val="18"/>
              </w:rPr>
            </w:pPr>
            <w:r w:rsidRPr="002C21B8">
              <w:rPr>
                <w:sz w:val="18"/>
                <w:szCs w:val="18"/>
              </w:rPr>
              <w:t>P3</w:t>
            </w:r>
          </w:p>
          <w:p w14:paraId="26AAD70A" w14:textId="77777777" w:rsidR="00180A0E" w:rsidRPr="002C21B8" w:rsidRDefault="00180A0E" w:rsidP="002433EB">
            <w:pPr>
              <w:spacing w:before="120" w:after="120" w:line="240" w:lineRule="auto"/>
              <w:jc w:val="left"/>
              <w:rPr>
                <w:sz w:val="18"/>
                <w:szCs w:val="18"/>
              </w:rPr>
            </w:pPr>
            <w:r w:rsidRPr="002C21B8">
              <w:rPr>
                <w:sz w:val="18"/>
                <w:szCs w:val="18"/>
              </w:rPr>
              <w:t>P4</w:t>
            </w:r>
          </w:p>
          <w:p w14:paraId="03086FAE" w14:textId="77777777" w:rsidR="00180A0E" w:rsidRPr="002C21B8" w:rsidRDefault="00180A0E" w:rsidP="002433EB">
            <w:pPr>
              <w:spacing w:before="120" w:after="120" w:line="240" w:lineRule="auto"/>
              <w:jc w:val="left"/>
              <w:rPr>
                <w:sz w:val="18"/>
                <w:szCs w:val="18"/>
              </w:rPr>
            </w:pPr>
            <w:r w:rsidRPr="002C21B8">
              <w:rPr>
                <w:sz w:val="18"/>
                <w:szCs w:val="18"/>
              </w:rPr>
              <w:t>N1</w:t>
            </w:r>
          </w:p>
        </w:tc>
        <w:tc>
          <w:tcPr>
            <w:tcW w:w="2665" w:type="dxa"/>
            <w:tcBorders>
              <w:top w:val="single" w:sz="6" w:space="0" w:color="000000" w:themeColor="text1"/>
            </w:tcBorders>
          </w:tcPr>
          <w:p w14:paraId="75B11FE7" w14:textId="77777777" w:rsidR="00180A0E" w:rsidRPr="002C21B8" w:rsidRDefault="00180A0E" w:rsidP="002433EB">
            <w:pPr>
              <w:spacing w:before="120" w:after="120" w:line="240" w:lineRule="auto"/>
              <w:jc w:val="left"/>
              <w:rPr>
                <w:sz w:val="18"/>
                <w:szCs w:val="18"/>
              </w:rPr>
            </w:pPr>
            <w:r w:rsidRPr="002C21B8">
              <w:rPr>
                <w:sz w:val="18"/>
                <w:szCs w:val="18"/>
              </w:rPr>
              <w:t>Consultant nephrologist (lead)</w:t>
            </w:r>
          </w:p>
          <w:p w14:paraId="2721DBE1" w14:textId="77777777" w:rsidR="00180A0E" w:rsidRPr="002C21B8" w:rsidRDefault="00180A0E" w:rsidP="002433EB">
            <w:pPr>
              <w:spacing w:before="120" w:after="120" w:line="240" w:lineRule="auto"/>
              <w:jc w:val="left"/>
              <w:rPr>
                <w:sz w:val="18"/>
                <w:szCs w:val="18"/>
              </w:rPr>
            </w:pPr>
            <w:r w:rsidRPr="002C21B8">
              <w:rPr>
                <w:sz w:val="18"/>
                <w:szCs w:val="18"/>
              </w:rPr>
              <w:t>Consultant nephrologist</w:t>
            </w:r>
          </w:p>
          <w:p w14:paraId="58FD13FD" w14:textId="77777777" w:rsidR="00180A0E" w:rsidRPr="002C21B8" w:rsidRDefault="00180A0E" w:rsidP="002433EB">
            <w:pPr>
              <w:spacing w:before="120" w:after="120" w:line="240" w:lineRule="auto"/>
              <w:jc w:val="left"/>
              <w:rPr>
                <w:sz w:val="18"/>
                <w:szCs w:val="18"/>
              </w:rPr>
            </w:pPr>
            <w:r w:rsidRPr="002C21B8">
              <w:rPr>
                <w:sz w:val="18"/>
                <w:szCs w:val="18"/>
              </w:rPr>
              <w:t>Consultant nephrologist</w:t>
            </w:r>
          </w:p>
          <w:p w14:paraId="7FF4B529" w14:textId="77777777" w:rsidR="00180A0E" w:rsidRPr="002C21B8" w:rsidRDefault="00180A0E" w:rsidP="002433EB">
            <w:pPr>
              <w:spacing w:before="120" w:after="120" w:line="240" w:lineRule="auto"/>
              <w:jc w:val="left"/>
              <w:rPr>
                <w:sz w:val="18"/>
                <w:szCs w:val="18"/>
              </w:rPr>
            </w:pPr>
            <w:r w:rsidRPr="002C21B8">
              <w:rPr>
                <w:sz w:val="18"/>
                <w:szCs w:val="18"/>
              </w:rPr>
              <w:t>Consultant nephrologist (lead)</w:t>
            </w:r>
          </w:p>
          <w:p w14:paraId="69D6E771" w14:textId="77777777" w:rsidR="00180A0E" w:rsidRPr="002C21B8" w:rsidRDefault="00180A0E" w:rsidP="002433EB">
            <w:pPr>
              <w:spacing w:before="120" w:after="120" w:line="240" w:lineRule="auto"/>
              <w:jc w:val="left"/>
              <w:rPr>
                <w:sz w:val="18"/>
                <w:szCs w:val="18"/>
              </w:rPr>
            </w:pPr>
            <w:r w:rsidRPr="002C21B8">
              <w:rPr>
                <w:sz w:val="18"/>
                <w:szCs w:val="18"/>
              </w:rPr>
              <w:t>Consultant nephrologist (lead)</w:t>
            </w:r>
          </w:p>
          <w:p w14:paraId="7479DC80" w14:textId="77777777" w:rsidR="00180A0E" w:rsidRPr="002C21B8" w:rsidRDefault="00180A0E" w:rsidP="002433EB">
            <w:pPr>
              <w:spacing w:before="120" w:after="120" w:line="240" w:lineRule="auto"/>
              <w:jc w:val="left"/>
              <w:rPr>
                <w:sz w:val="18"/>
                <w:szCs w:val="18"/>
              </w:rPr>
            </w:pPr>
            <w:r w:rsidRPr="002C21B8">
              <w:rPr>
                <w:sz w:val="18"/>
                <w:szCs w:val="18"/>
              </w:rPr>
              <w:t>Consultant nephrologist</w:t>
            </w:r>
          </w:p>
          <w:p w14:paraId="020CFD69" w14:textId="7062E058" w:rsidR="00180A0E" w:rsidRPr="002C21B8" w:rsidRDefault="00180A0E" w:rsidP="002433EB">
            <w:pPr>
              <w:spacing w:before="120" w:after="120" w:line="240" w:lineRule="auto"/>
              <w:jc w:val="left"/>
              <w:rPr>
                <w:sz w:val="18"/>
                <w:szCs w:val="18"/>
              </w:rPr>
            </w:pPr>
            <w:r w:rsidRPr="002C21B8">
              <w:rPr>
                <w:sz w:val="18"/>
                <w:szCs w:val="18"/>
              </w:rPr>
              <w:t xml:space="preserve">Nephrology </w:t>
            </w:r>
            <w:r w:rsidR="00E96932" w:rsidRPr="002C21B8">
              <w:rPr>
                <w:sz w:val="18"/>
                <w:szCs w:val="18"/>
              </w:rPr>
              <w:t>trainee</w:t>
            </w:r>
          </w:p>
          <w:p w14:paraId="47624FA1" w14:textId="77777777" w:rsidR="00180A0E" w:rsidRPr="002C21B8" w:rsidRDefault="00180A0E" w:rsidP="002433EB">
            <w:pPr>
              <w:spacing w:before="120" w:after="120" w:line="240" w:lineRule="auto"/>
              <w:jc w:val="left"/>
              <w:rPr>
                <w:sz w:val="18"/>
                <w:szCs w:val="18"/>
                <w:lang w:val="fr-FR"/>
              </w:rPr>
            </w:pPr>
            <w:r w:rsidRPr="002C21B8">
              <w:rPr>
                <w:sz w:val="18"/>
                <w:szCs w:val="18"/>
                <w:lang w:val="fr-FR"/>
              </w:rPr>
              <w:t>Renal pharmacist</w:t>
            </w:r>
          </w:p>
          <w:p w14:paraId="2195ACF5" w14:textId="77777777" w:rsidR="00180A0E" w:rsidRPr="002C21B8" w:rsidRDefault="00180A0E" w:rsidP="002433EB">
            <w:pPr>
              <w:spacing w:before="120" w:after="120" w:line="240" w:lineRule="auto"/>
              <w:jc w:val="left"/>
              <w:rPr>
                <w:sz w:val="18"/>
                <w:szCs w:val="18"/>
                <w:lang w:val="fr-FR"/>
              </w:rPr>
            </w:pPr>
            <w:r w:rsidRPr="002C21B8">
              <w:rPr>
                <w:sz w:val="18"/>
                <w:szCs w:val="18"/>
                <w:lang w:val="fr-FR"/>
              </w:rPr>
              <w:t>Renal pharmacist</w:t>
            </w:r>
          </w:p>
          <w:p w14:paraId="0618F8D7" w14:textId="77777777" w:rsidR="00180A0E" w:rsidRPr="002C21B8" w:rsidRDefault="00180A0E" w:rsidP="002433EB">
            <w:pPr>
              <w:spacing w:before="120" w:after="120" w:line="240" w:lineRule="auto"/>
              <w:jc w:val="left"/>
              <w:rPr>
                <w:sz w:val="18"/>
                <w:szCs w:val="18"/>
                <w:lang w:val="fr-FR"/>
              </w:rPr>
            </w:pPr>
            <w:r w:rsidRPr="002C21B8">
              <w:rPr>
                <w:sz w:val="18"/>
                <w:szCs w:val="18"/>
                <w:lang w:val="fr-FR"/>
              </w:rPr>
              <w:t>Renal pharmacist</w:t>
            </w:r>
          </w:p>
          <w:p w14:paraId="070F0EAD" w14:textId="77777777" w:rsidR="00180A0E" w:rsidRPr="002C21B8" w:rsidRDefault="00180A0E" w:rsidP="002433EB">
            <w:pPr>
              <w:spacing w:before="120" w:after="120" w:line="240" w:lineRule="auto"/>
              <w:jc w:val="left"/>
              <w:rPr>
                <w:sz w:val="18"/>
                <w:szCs w:val="18"/>
              </w:rPr>
            </w:pPr>
            <w:r w:rsidRPr="002C21B8">
              <w:rPr>
                <w:sz w:val="18"/>
                <w:szCs w:val="18"/>
              </w:rPr>
              <w:t>Renal pharmacist</w:t>
            </w:r>
          </w:p>
          <w:p w14:paraId="67B2A9A9" w14:textId="77777777" w:rsidR="00180A0E" w:rsidRPr="002C21B8" w:rsidRDefault="00180A0E" w:rsidP="002433EB">
            <w:pPr>
              <w:spacing w:before="120" w:after="120" w:line="240" w:lineRule="auto"/>
              <w:jc w:val="left"/>
              <w:rPr>
                <w:sz w:val="18"/>
                <w:szCs w:val="18"/>
              </w:rPr>
            </w:pPr>
            <w:r w:rsidRPr="002C21B8">
              <w:rPr>
                <w:sz w:val="18"/>
                <w:szCs w:val="18"/>
              </w:rPr>
              <w:t>Specialist nurse</w:t>
            </w:r>
          </w:p>
        </w:tc>
        <w:tc>
          <w:tcPr>
            <w:tcW w:w="3118" w:type="dxa"/>
            <w:tcBorders>
              <w:top w:val="single" w:sz="6" w:space="0" w:color="000000" w:themeColor="text1"/>
            </w:tcBorders>
          </w:tcPr>
          <w:p w14:paraId="4C2395AE" w14:textId="77777777" w:rsidR="00180A0E" w:rsidRPr="002C21B8" w:rsidRDefault="00180A0E" w:rsidP="002433EB">
            <w:pPr>
              <w:spacing w:before="120" w:after="120" w:line="240" w:lineRule="auto"/>
              <w:jc w:val="left"/>
              <w:rPr>
                <w:sz w:val="18"/>
                <w:szCs w:val="18"/>
              </w:rPr>
            </w:pPr>
            <w:r w:rsidRPr="002C21B8">
              <w:rPr>
                <w:sz w:val="18"/>
                <w:szCs w:val="18"/>
              </w:rPr>
              <w:t>General nephrology/Tolvaptan clinic</w:t>
            </w:r>
          </w:p>
          <w:p w14:paraId="0C321386" w14:textId="77777777" w:rsidR="00180A0E" w:rsidRPr="002C21B8" w:rsidRDefault="00180A0E" w:rsidP="002433EB">
            <w:pPr>
              <w:spacing w:before="120" w:after="120" w:line="240" w:lineRule="auto"/>
              <w:jc w:val="left"/>
              <w:rPr>
                <w:sz w:val="18"/>
                <w:szCs w:val="18"/>
              </w:rPr>
            </w:pPr>
            <w:r w:rsidRPr="002C21B8">
              <w:rPr>
                <w:sz w:val="18"/>
                <w:szCs w:val="18"/>
              </w:rPr>
              <w:t>General nephrology</w:t>
            </w:r>
          </w:p>
          <w:p w14:paraId="7823B0F3" w14:textId="77777777" w:rsidR="00180A0E" w:rsidRPr="002C21B8" w:rsidRDefault="00180A0E" w:rsidP="002433EB">
            <w:pPr>
              <w:spacing w:before="120" w:after="120" w:line="240" w:lineRule="auto"/>
              <w:jc w:val="left"/>
              <w:rPr>
                <w:sz w:val="18"/>
                <w:szCs w:val="18"/>
              </w:rPr>
            </w:pPr>
            <w:r w:rsidRPr="002C21B8">
              <w:rPr>
                <w:sz w:val="18"/>
                <w:szCs w:val="18"/>
              </w:rPr>
              <w:t>General nephrology</w:t>
            </w:r>
          </w:p>
          <w:p w14:paraId="0C48601A" w14:textId="77777777" w:rsidR="00180A0E" w:rsidRPr="002C21B8" w:rsidRDefault="00180A0E" w:rsidP="002433EB">
            <w:pPr>
              <w:spacing w:before="120" w:after="120" w:line="240" w:lineRule="auto"/>
              <w:jc w:val="left"/>
              <w:rPr>
                <w:sz w:val="18"/>
                <w:szCs w:val="18"/>
              </w:rPr>
            </w:pPr>
            <w:r w:rsidRPr="002C21B8">
              <w:rPr>
                <w:sz w:val="18"/>
                <w:szCs w:val="18"/>
              </w:rPr>
              <w:t>Renal genetics</w:t>
            </w:r>
          </w:p>
          <w:p w14:paraId="4F9B88A8" w14:textId="77777777" w:rsidR="00180A0E" w:rsidRPr="002C21B8" w:rsidRDefault="00180A0E" w:rsidP="002433EB">
            <w:pPr>
              <w:spacing w:before="120" w:after="120" w:line="240" w:lineRule="auto"/>
              <w:jc w:val="left"/>
              <w:rPr>
                <w:sz w:val="18"/>
                <w:szCs w:val="18"/>
              </w:rPr>
            </w:pPr>
            <w:r w:rsidRPr="002C21B8">
              <w:rPr>
                <w:sz w:val="18"/>
                <w:szCs w:val="18"/>
              </w:rPr>
              <w:t>Renal genetics</w:t>
            </w:r>
          </w:p>
          <w:p w14:paraId="1CD66C40" w14:textId="77777777" w:rsidR="00180A0E" w:rsidRPr="002C21B8" w:rsidRDefault="00180A0E" w:rsidP="002433EB">
            <w:pPr>
              <w:spacing w:before="120" w:after="120" w:line="240" w:lineRule="auto"/>
              <w:jc w:val="left"/>
              <w:rPr>
                <w:sz w:val="18"/>
                <w:szCs w:val="18"/>
              </w:rPr>
            </w:pPr>
            <w:r w:rsidRPr="002C21B8">
              <w:rPr>
                <w:sz w:val="18"/>
                <w:szCs w:val="18"/>
              </w:rPr>
              <w:t>Renal genetics</w:t>
            </w:r>
          </w:p>
          <w:p w14:paraId="69039735" w14:textId="77777777" w:rsidR="00180A0E" w:rsidRPr="002C21B8" w:rsidRDefault="00180A0E" w:rsidP="002433EB">
            <w:pPr>
              <w:spacing w:before="120" w:after="120" w:line="240" w:lineRule="auto"/>
              <w:jc w:val="left"/>
              <w:rPr>
                <w:sz w:val="18"/>
                <w:szCs w:val="18"/>
              </w:rPr>
            </w:pPr>
            <w:r w:rsidRPr="002C21B8">
              <w:rPr>
                <w:sz w:val="18"/>
                <w:szCs w:val="18"/>
              </w:rPr>
              <w:t>Renal genetics</w:t>
            </w:r>
          </w:p>
          <w:p w14:paraId="49CCC2CA" w14:textId="77777777" w:rsidR="00180A0E" w:rsidRPr="002C21B8" w:rsidRDefault="00180A0E" w:rsidP="002433EB">
            <w:pPr>
              <w:spacing w:before="120" w:after="120" w:line="240" w:lineRule="auto"/>
              <w:jc w:val="left"/>
              <w:rPr>
                <w:sz w:val="18"/>
                <w:szCs w:val="18"/>
              </w:rPr>
            </w:pPr>
            <w:r w:rsidRPr="002C21B8">
              <w:rPr>
                <w:sz w:val="18"/>
                <w:szCs w:val="18"/>
              </w:rPr>
              <w:t>Tolvaptan clinic</w:t>
            </w:r>
          </w:p>
          <w:p w14:paraId="4F59A6DC" w14:textId="77777777" w:rsidR="00180A0E" w:rsidRPr="002C21B8" w:rsidRDefault="00180A0E" w:rsidP="002433EB">
            <w:pPr>
              <w:spacing w:before="120" w:after="120" w:line="240" w:lineRule="auto"/>
              <w:jc w:val="left"/>
              <w:rPr>
                <w:sz w:val="18"/>
                <w:szCs w:val="18"/>
              </w:rPr>
            </w:pPr>
            <w:r w:rsidRPr="002C21B8">
              <w:rPr>
                <w:sz w:val="18"/>
                <w:szCs w:val="18"/>
              </w:rPr>
              <w:t>Tolvaptan clinic</w:t>
            </w:r>
          </w:p>
          <w:p w14:paraId="3D6319D8" w14:textId="77777777" w:rsidR="00180A0E" w:rsidRPr="002C21B8" w:rsidRDefault="00180A0E" w:rsidP="002433EB">
            <w:pPr>
              <w:spacing w:before="120" w:after="120" w:line="240" w:lineRule="auto"/>
              <w:jc w:val="left"/>
              <w:rPr>
                <w:sz w:val="18"/>
                <w:szCs w:val="18"/>
              </w:rPr>
            </w:pPr>
            <w:r w:rsidRPr="002C21B8">
              <w:rPr>
                <w:sz w:val="18"/>
                <w:szCs w:val="18"/>
              </w:rPr>
              <w:t>Tolvaptan clinic</w:t>
            </w:r>
          </w:p>
          <w:p w14:paraId="1DE337BB" w14:textId="77777777" w:rsidR="00180A0E" w:rsidRPr="002C21B8" w:rsidRDefault="00180A0E" w:rsidP="002433EB">
            <w:pPr>
              <w:spacing w:before="120" w:after="120" w:line="240" w:lineRule="auto"/>
              <w:jc w:val="left"/>
              <w:rPr>
                <w:sz w:val="18"/>
                <w:szCs w:val="18"/>
              </w:rPr>
            </w:pPr>
            <w:r w:rsidRPr="002C21B8">
              <w:rPr>
                <w:sz w:val="18"/>
                <w:szCs w:val="18"/>
              </w:rPr>
              <w:t>Tolvaptan clinic</w:t>
            </w:r>
          </w:p>
          <w:p w14:paraId="30DDC69E" w14:textId="77777777" w:rsidR="00180A0E" w:rsidRPr="002C21B8" w:rsidRDefault="00180A0E" w:rsidP="002433EB">
            <w:pPr>
              <w:spacing w:before="120" w:after="120" w:line="240" w:lineRule="auto"/>
              <w:jc w:val="left"/>
              <w:rPr>
                <w:sz w:val="18"/>
                <w:szCs w:val="18"/>
              </w:rPr>
            </w:pPr>
            <w:r w:rsidRPr="002C21B8">
              <w:rPr>
                <w:sz w:val="18"/>
                <w:szCs w:val="18"/>
              </w:rPr>
              <w:t>Tolvaptan clinic</w:t>
            </w:r>
          </w:p>
        </w:tc>
        <w:tc>
          <w:tcPr>
            <w:tcW w:w="1134" w:type="dxa"/>
            <w:tcBorders>
              <w:top w:val="single" w:sz="6" w:space="0" w:color="000000" w:themeColor="text1"/>
            </w:tcBorders>
          </w:tcPr>
          <w:p w14:paraId="47197264" w14:textId="77777777" w:rsidR="00180A0E" w:rsidRPr="002C21B8" w:rsidRDefault="00180A0E" w:rsidP="002433EB">
            <w:pPr>
              <w:spacing w:before="120" w:after="120" w:line="240" w:lineRule="auto"/>
              <w:jc w:val="left"/>
              <w:rPr>
                <w:sz w:val="18"/>
                <w:szCs w:val="18"/>
              </w:rPr>
            </w:pPr>
            <w:r w:rsidRPr="002C21B8">
              <w:rPr>
                <w:sz w:val="18"/>
                <w:szCs w:val="18"/>
              </w:rPr>
              <w:t>Small</w:t>
            </w:r>
          </w:p>
          <w:p w14:paraId="36463BBF" w14:textId="77777777" w:rsidR="00180A0E" w:rsidRPr="002C21B8" w:rsidRDefault="00180A0E" w:rsidP="002433EB">
            <w:pPr>
              <w:spacing w:before="120" w:after="120" w:line="240" w:lineRule="auto"/>
              <w:jc w:val="left"/>
              <w:rPr>
                <w:sz w:val="18"/>
                <w:szCs w:val="18"/>
              </w:rPr>
            </w:pPr>
            <w:r w:rsidRPr="002C21B8">
              <w:rPr>
                <w:sz w:val="18"/>
                <w:szCs w:val="18"/>
              </w:rPr>
              <w:t>Small</w:t>
            </w:r>
          </w:p>
          <w:p w14:paraId="3F6EEAEC" w14:textId="77777777" w:rsidR="00180A0E" w:rsidRPr="002C21B8" w:rsidRDefault="00180A0E" w:rsidP="002433EB">
            <w:pPr>
              <w:spacing w:before="120" w:after="120" w:line="240" w:lineRule="auto"/>
              <w:jc w:val="left"/>
              <w:rPr>
                <w:sz w:val="18"/>
                <w:szCs w:val="18"/>
              </w:rPr>
            </w:pPr>
            <w:r w:rsidRPr="002C21B8">
              <w:rPr>
                <w:sz w:val="18"/>
                <w:szCs w:val="18"/>
              </w:rPr>
              <w:t>Small</w:t>
            </w:r>
          </w:p>
          <w:p w14:paraId="1D374617"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6C889879"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4F4E5C08"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0C2D8556"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4960F355" w14:textId="77777777" w:rsidR="00180A0E" w:rsidRPr="002C21B8" w:rsidRDefault="00180A0E" w:rsidP="002433EB">
            <w:pPr>
              <w:spacing w:before="120" w:after="120" w:line="240" w:lineRule="auto"/>
              <w:jc w:val="left"/>
              <w:rPr>
                <w:sz w:val="18"/>
                <w:szCs w:val="18"/>
              </w:rPr>
            </w:pPr>
            <w:r w:rsidRPr="002C21B8">
              <w:rPr>
                <w:sz w:val="18"/>
                <w:szCs w:val="18"/>
              </w:rPr>
              <w:t>Small</w:t>
            </w:r>
          </w:p>
          <w:p w14:paraId="2763DB79"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3CE77165"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15F611A0" w14:textId="77777777" w:rsidR="00180A0E" w:rsidRPr="002C21B8" w:rsidRDefault="00180A0E" w:rsidP="002433EB">
            <w:pPr>
              <w:spacing w:before="120" w:after="120" w:line="240" w:lineRule="auto"/>
              <w:jc w:val="left"/>
              <w:rPr>
                <w:sz w:val="18"/>
                <w:szCs w:val="18"/>
              </w:rPr>
            </w:pPr>
            <w:r w:rsidRPr="002C21B8">
              <w:rPr>
                <w:sz w:val="18"/>
                <w:szCs w:val="18"/>
              </w:rPr>
              <w:t>Large</w:t>
            </w:r>
          </w:p>
          <w:p w14:paraId="1C0EEA1D" w14:textId="77777777" w:rsidR="00180A0E" w:rsidRPr="002C21B8" w:rsidRDefault="00180A0E" w:rsidP="002433EB">
            <w:pPr>
              <w:spacing w:before="120" w:after="120" w:line="240" w:lineRule="auto"/>
              <w:jc w:val="left"/>
              <w:rPr>
                <w:sz w:val="18"/>
                <w:szCs w:val="18"/>
              </w:rPr>
            </w:pPr>
            <w:r w:rsidRPr="002C21B8">
              <w:rPr>
                <w:sz w:val="18"/>
                <w:szCs w:val="18"/>
              </w:rPr>
              <w:t>Large</w:t>
            </w:r>
          </w:p>
        </w:tc>
      </w:tr>
    </w:tbl>
    <w:p w14:paraId="48D4E547" w14:textId="77777777" w:rsidR="00180A0E" w:rsidRPr="002C21B8" w:rsidRDefault="00180A0E" w:rsidP="002433EB">
      <w:pPr>
        <w:spacing w:line="240" w:lineRule="auto"/>
      </w:pPr>
    </w:p>
    <w:p w14:paraId="141FC929" w14:textId="2F2035F6" w:rsidR="00BF3891" w:rsidRPr="002C21B8" w:rsidRDefault="00BF3891" w:rsidP="00C24245">
      <w:pPr>
        <w:spacing w:before="240" w:after="0"/>
        <w:contextualSpacing/>
        <w:jc w:val="left"/>
        <w:rPr>
          <w:b/>
          <w:sz w:val="24"/>
          <w:szCs w:val="24"/>
        </w:rPr>
      </w:pPr>
      <w:r w:rsidRPr="002C21B8">
        <w:rPr>
          <w:b/>
          <w:sz w:val="24"/>
          <w:szCs w:val="24"/>
        </w:rPr>
        <w:t>Overview of factors</w:t>
      </w:r>
    </w:p>
    <w:p w14:paraId="40DD7ADF" w14:textId="1AF17BB7" w:rsidR="000D08E9" w:rsidRPr="002C21B8" w:rsidRDefault="000D08E9" w:rsidP="000D08E9">
      <w:r w:rsidRPr="002C21B8">
        <w:t>Findings were mapped to the factors of the conceptual model of prescribing decision-making in chronic conditions (</w:t>
      </w:r>
      <w:r w:rsidRPr="002C21B8">
        <w:fldChar w:fldCharType="begin"/>
      </w:r>
      <w:r w:rsidRPr="002C21B8">
        <w:instrText xml:space="preserve"> REF _Ref226821815 \h  \* MERGEFORMAT </w:instrText>
      </w:r>
      <w:r w:rsidRPr="002C21B8">
        <w:fldChar w:fldCharType="separate"/>
      </w:r>
      <w:r w:rsidR="00DB3709" w:rsidRPr="002C21B8">
        <w:t xml:space="preserve">Table </w:t>
      </w:r>
      <w:r w:rsidR="00DB3709">
        <w:rPr>
          <w:noProof/>
        </w:rPr>
        <w:t>20</w:t>
      </w:r>
      <w:r w:rsidRPr="002C21B8">
        <w:fldChar w:fldCharType="end"/>
      </w:r>
      <w:r w:rsidRPr="002C21B8">
        <w:t>). 26 of the 30 factors in the original model were identified, plus an additional 13 factors which had not previously been described</w:t>
      </w:r>
      <w:r w:rsidR="00262990" w:rsidRPr="002C21B8">
        <w:t>,</w:t>
      </w:r>
      <w:r w:rsidRPr="002C21B8">
        <w:t xml:space="preserve"> which fell under the patient, other healthcare professionals, healthcare system, sales and marketing and external factors domains.</w:t>
      </w:r>
    </w:p>
    <w:p w14:paraId="33CB9B07" w14:textId="54D9267C" w:rsidR="00903A22" w:rsidRPr="002C21B8" w:rsidRDefault="000D08E9" w:rsidP="008578C2">
      <w:r w:rsidRPr="002C21B8">
        <w:t>The four factors in the original model that were not evident were in the sales and marketing domain and included payments, brands of the drug, sales and medical representative effectiveness.</w:t>
      </w:r>
    </w:p>
    <w:p w14:paraId="5C895F69" w14:textId="0B960AC7" w:rsidR="003E65A9" w:rsidRPr="002C21B8" w:rsidRDefault="003E65A9" w:rsidP="00180A0E">
      <w:pPr>
        <w:sectPr w:rsidR="003E65A9" w:rsidRPr="002C21B8" w:rsidSect="006C5276">
          <w:headerReference w:type="default" r:id="rId57"/>
          <w:pgSz w:w="11906" w:h="16838"/>
          <w:pgMar w:top="1440" w:right="1440" w:bottom="1440" w:left="1440" w:header="708" w:footer="708" w:gutter="0"/>
          <w:cols w:space="708"/>
          <w:docGrid w:linePitch="360"/>
        </w:sectPr>
      </w:pPr>
    </w:p>
    <w:p w14:paraId="273C6FBA" w14:textId="01FC00A1" w:rsidR="00B13123" w:rsidRPr="002C21B8" w:rsidRDefault="00B13123" w:rsidP="00FE4CF7">
      <w:pPr>
        <w:pStyle w:val="Caption"/>
        <w:keepNext w:val="0"/>
      </w:pPr>
      <w:bookmarkStart w:id="248" w:name="_Ref226821815"/>
      <w:bookmarkStart w:id="249" w:name="_Ref226821814"/>
      <w:bookmarkStart w:id="250" w:name="_Toc236991756"/>
      <w:r w:rsidRPr="002C21B8">
        <w:t xml:space="preserve">Table </w:t>
      </w:r>
      <w:r w:rsidRPr="002C21B8">
        <w:fldChar w:fldCharType="begin"/>
      </w:r>
      <w:r w:rsidRPr="002C21B8">
        <w:instrText xml:space="preserve"> SEQ Table \* ARABIC </w:instrText>
      </w:r>
      <w:r w:rsidRPr="002C21B8">
        <w:fldChar w:fldCharType="separate"/>
      </w:r>
      <w:r w:rsidR="00DB3709">
        <w:t>20</w:t>
      </w:r>
      <w:r w:rsidRPr="002C21B8">
        <w:fldChar w:fldCharType="end"/>
      </w:r>
      <w:bookmarkEnd w:id="248"/>
      <w:r w:rsidRPr="002C21B8">
        <w:t>. Factors affecting prescribing decision-making for tolvaptan for A</w:t>
      </w:r>
      <w:r w:rsidR="00396DE3" w:rsidRPr="002C21B8">
        <w:t>D</w:t>
      </w:r>
      <w:r w:rsidRPr="002C21B8">
        <w:t>P</w:t>
      </w:r>
      <w:r w:rsidR="00396DE3" w:rsidRPr="002C21B8">
        <w:t>K</w:t>
      </w:r>
      <w:r w:rsidRPr="002C21B8">
        <w:t>D mapped to the existing conceptual model of prescribing decision</w:t>
      </w:r>
      <w:r w:rsidR="003A4E04" w:rsidRPr="002C21B8">
        <w:t>-making in</w:t>
      </w:r>
      <w:r w:rsidRPr="002C21B8">
        <w:t xml:space="preserve"> chronic </w:t>
      </w:r>
      <w:r w:rsidR="00C24245" w:rsidRPr="002C21B8">
        <w:t>condition</w:t>
      </w:r>
      <w:r w:rsidRPr="002C21B8">
        <w:t>s</w:t>
      </w:r>
      <w:bookmarkEnd w:id="249"/>
      <w:bookmarkEnd w:id="250"/>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3571"/>
        <w:gridCol w:w="7796"/>
      </w:tblGrid>
      <w:tr w:rsidR="00180A0E" w:rsidRPr="002C21B8" w14:paraId="3984DC13" w14:textId="77777777" w:rsidTr="0082332F">
        <w:trPr>
          <w:cantSplit/>
        </w:trPr>
        <w:tc>
          <w:tcPr>
            <w:tcW w:w="2525" w:type="dxa"/>
            <w:tcBorders>
              <w:top w:val="single" w:sz="12" w:space="0" w:color="auto"/>
              <w:bottom w:val="single" w:sz="4" w:space="0" w:color="auto"/>
            </w:tcBorders>
            <w:shd w:val="clear" w:color="auto" w:fill="auto"/>
          </w:tcPr>
          <w:p w14:paraId="51ADD7DD" w14:textId="3C8557F5" w:rsidR="00180A0E" w:rsidRPr="002C21B8" w:rsidRDefault="00932027" w:rsidP="00FE4CF7">
            <w:pPr>
              <w:spacing w:beforeLines="40" w:before="96" w:afterLines="40" w:after="96" w:line="240" w:lineRule="auto"/>
              <w:jc w:val="left"/>
              <w:rPr>
                <w:b/>
                <w:bCs/>
                <w:sz w:val="20"/>
                <w:szCs w:val="20"/>
              </w:rPr>
            </w:pPr>
            <w:r w:rsidRPr="002C21B8">
              <w:rPr>
                <w:b/>
                <w:bCs/>
                <w:sz w:val="20"/>
                <w:szCs w:val="20"/>
              </w:rPr>
              <w:t>Factor</w:t>
            </w:r>
          </w:p>
        </w:tc>
        <w:tc>
          <w:tcPr>
            <w:tcW w:w="3571" w:type="dxa"/>
            <w:tcBorders>
              <w:top w:val="single" w:sz="12" w:space="0" w:color="auto"/>
              <w:bottom w:val="single" w:sz="4" w:space="0" w:color="auto"/>
            </w:tcBorders>
            <w:shd w:val="clear" w:color="auto" w:fill="auto"/>
          </w:tcPr>
          <w:p w14:paraId="153F0CE8" w14:textId="13F6EFFA" w:rsidR="00180A0E" w:rsidRPr="002C21B8" w:rsidRDefault="00932027" w:rsidP="00FE4CF7">
            <w:pPr>
              <w:spacing w:beforeLines="40" w:before="96" w:afterLines="40" w:after="96" w:line="240" w:lineRule="auto"/>
              <w:jc w:val="left"/>
              <w:rPr>
                <w:b/>
                <w:bCs/>
                <w:sz w:val="20"/>
                <w:szCs w:val="20"/>
              </w:rPr>
            </w:pPr>
            <w:r w:rsidRPr="002C21B8">
              <w:rPr>
                <w:b/>
                <w:bCs/>
                <w:sz w:val="20"/>
                <w:szCs w:val="20"/>
              </w:rPr>
              <w:t>Consideration</w:t>
            </w:r>
          </w:p>
        </w:tc>
        <w:tc>
          <w:tcPr>
            <w:tcW w:w="7796" w:type="dxa"/>
            <w:tcBorders>
              <w:top w:val="single" w:sz="12" w:space="0" w:color="auto"/>
              <w:bottom w:val="single" w:sz="4" w:space="0" w:color="auto"/>
            </w:tcBorders>
            <w:shd w:val="clear" w:color="auto" w:fill="auto"/>
          </w:tcPr>
          <w:p w14:paraId="2EDEEF08" w14:textId="270D1058" w:rsidR="00180A0E" w:rsidRPr="002C21B8" w:rsidRDefault="00180A0E" w:rsidP="00FE4CF7">
            <w:pPr>
              <w:spacing w:beforeLines="40" w:before="96" w:afterLines="40" w:after="96" w:line="240" w:lineRule="auto"/>
              <w:jc w:val="left"/>
              <w:rPr>
                <w:b/>
                <w:bCs/>
                <w:sz w:val="20"/>
                <w:szCs w:val="20"/>
              </w:rPr>
            </w:pPr>
            <w:r w:rsidRPr="002C21B8">
              <w:rPr>
                <w:b/>
                <w:bCs/>
                <w:sz w:val="20"/>
                <w:szCs w:val="20"/>
              </w:rPr>
              <w:t>Illustrative quote</w:t>
            </w:r>
            <w:r w:rsidR="00704FC4" w:rsidRPr="002C21B8">
              <w:rPr>
                <w:b/>
                <w:bCs/>
                <w:sz w:val="20"/>
                <w:szCs w:val="20"/>
              </w:rPr>
              <w:t>(</w:t>
            </w:r>
            <w:r w:rsidRPr="002C21B8">
              <w:rPr>
                <w:b/>
                <w:bCs/>
                <w:sz w:val="20"/>
                <w:szCs w:val="20"/>
              </w:rPr>
              <w:t>s</w:t>
            </w:r>
            <w:r w:rsidR="00704FC4" w:rsidRPr="002C21B8">
              <w:rPr>
                <w:b/>
                <w:bCs/>
                <w:sz w:val="20"/>
                <w:szCs w:val="20"/>
              </w:rPr>
              <w:t>)</w:t>
            </w:r>
          </w:p>
        </w:tc>
      </w:tr>
      <w:tr w:rsidR="00180A0E" w:rsidRPr="002C21B8" w14:paraId="066B998E" w14:textId="77777777" w:rsidTr="0082332F">
        <w:trPr>
          <w:cantSplit/>
        </w:trPr>
        <w:tc>
          <w:tcPr>
            <w:tcW w:w="2525" w:type="dxa"/>
            <w:tcBorders>
              <w:top w:val="single" w:sz="4" w:space="0" w:color="auto"/>
            </w:tcBorders>
            <w:shd w:val="clear" w:color="auto" w:fill="F2F2F2" w:themeFill="background1" w:themeFillShade="F2"/>
          </w:tcPr>
          <w:p w14:paraId="38FB9A65" w14:textId="77777777" w:rsidR="00180A0E" w:rsidRPr="002C21B8" w:rsidRDefault="00180A0E" w:rsidP="00FE4CF7">
            <w:pPr>
              <w:spacing w:beforeLines="40" w:before="96" w:afterLines="40" w:after="96" w:line="240" w:lineRule="auto"/>
              <w:jc w:val="left"/>
              <w:rPr>
                <w:b/>
                <w:bCs/>
                <w:sz w:val="20"/>
                <w:szCs w:val="20"/>
              </w:rPr>
            </w:pPr>
            <w:r w:rsidRPr="002C21B8">
              <w:rPr>
                <w:b/>
                <w:bCs/>
                <w:sz w:val="20"/>
                <w:szCs w:val="20"/>
              </w:rPr>
              <w:t>Patient</w:t>
            </w:r>
          </w:p>
        </w:tc>
        <w:tc>
          <w:tcPr>
            <w:tcW w:w="3571" w:type="dxa"/>
            <w:tcBorders>
              <w:top w:val="single" w:sz="4" w:space="0" w:color="auto"/>
            </w:tcBorders>
            <w:shd w:val="clear" w:color="auto" w:fill="F2F2F2" w:themeFill="background1" w:themeFillShade="F2"/>
          </w:tcPr>
          <w:p w14:paraId="275EF833" w14:textId="77777777" w:rsidR="00180A0E" w:rsidRPr="002C21B8" w:rsidRDefault="00180A0E" w:rsidP="00FE4CF7">
            <w:pPr>
              <w:spacing w:beforeLines="40" w:before="96" w:afterLines="40" w:after="96" w:line="240" w:lineRule="auto"/>
              <w:jc w:val="left"/>
              <w:rPr>
                <w:sz w:val="20"/>
                <w:szCs w:val="20"/>
              </w:rPr>
            </w:pPr>
          </w:p>
        </w:tc>
        <w:tc>
          <w:tcPr>
            <w:tcW w:w="7796" w:type="dxa"/>
            <w:tcBorders>
              <w:top w:val="single" w:sz="4" w:space="0" w:color="auto"/>
            </w:tcBorders>
            <w:shd w:val="clear" w:color="auto" w:fill="F2F2F2" w:themeFill="background1" w:themeFillShade="F2"/>
          </w:tcPr>
          <w:p w14:paraId="01647866"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173D959B" w14:textId="77777777" w:rsidTr="0082332F">
        <w:trPr>
          <w:cantSplit/>
        </w:trPr>
        <w:tc>
          <w:tcPr>
            <w:tcW w:w="2525" w:type="dxa"/>
          </w:tcPr>
          <w:p w14:paraId="68EE8E6A" w14:textId="77777777" w:rsidR="00180A0E" w:rsidRPr="002C21B8" w:rsidRDefault="00180A0E" w:rsidP="00FE4CF7">
            <w:pPr>
              <w:spacing w:beforeLines="40" w:before="96" w:afterLines="40" w:after="96" w:line="240" w:lineRule="auto"/>
              <w:ind w:left="315" w:hanging="142"/>
              <w:jc w:val="left"/>
              <w:rPr>
                <w:sz w:val="20"/>
                <w:szCs w:val="20"/>
              </w:rPr>
            </w:pPr>
            <w:r w:rsidRPr="002C21B8">
              <w:rPr>
                <w:sz w:val="20"/>
                <w:szCs w:val="20"/>
              </w:rPr>
              <w:t>Demographics</w:t>
            </w:r>
          </w:p>
        </w:tc>
        <w:tc>
          <w:tcPr>
            <w:tcW w:w="3571" w:type="dxa"/>
          </w:tcPr>
          <w:p w14:paraId="22DA55D5"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Age</w:t>
            </w:r>
          </w:p>
        </w:tc>
        <w:tc>
          <w:tcPr>
            <w:tcW w:w="7796" w:type="dxa"/>
          </w:tcPr>
          <w:p w14:paraId="2D1B9C07"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“You know if someone was 80, I wouldn’t offer it…. They just wouldn’t cope with the side effects. And you really have to think, would it decrease the likelihood of them getting end-stage renal failure in their lifetime.” (C5)</w:t>
            </w:r>
          </w:p>
        </w:tc>
      </w:tr>
      <w:tr w:rsidR="00180A0E" w:rsidRPr="002C21B8" w14:paraId="22A5AEB6" w14:textId="77777777" w:rsidTr="0082332F">
        <w:trPr>
          <w:cantSplit/>
        </w:trPr>
        <w:tc>
          <w:tcPr>
            <w:tcW w:w="2525" w:type="dxa"/>
          </w:tcPr>
          <w:p w14:paraId="30A125B7" w14:textId="77777777" w:rsidR="00180A0E" w:rsidRPr="002C21B8" w:rsidRDefault="00180A0E" w:rsidP="00FE4CF7">
            <w:pPr>
              <w:spacing w:beforeLines="40" w:before="96" w:afterLines="40" w:after="96" w:line="240" w:lineRule="auto"/>
              <w:ind w:left="315" w:hanging="142"/>
              <w:jc w:val="left"/>
              <w:rPr>
                <w:sz w:val="20"/>
                <w:szCs w:val="20"/>
              </w:rPr>
            </w:pPr>
          </w:p>
        </w:tc>
        <w:tc>
          <w:tcPr>
            <w:tcW w:w="3571" w:type="dxa"/>
          </w:tcPr>
          <w:p w14:paraId="31309F1E"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CKD stage</w:t>
            </w:r>
          </w:p>
        </w:tc>
        <w:tc>
          <w:tcPr>
            <w:tcW w:w="7796" w:type="dxa"/>
          </w:tcPr>
          <w:p w14:paraId="3155203C"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"Ok I've never recommended it to someone whose eGFR is less than 30.” (C5)</w:t>
            </w:r>
          </w:p>
          <w:p w14:paraId="29C26B93"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"We have started people over 90 [ml/min/1.73m</w:t>
            </w:r>
            <w:r w:rsidRPr="002C21B8">
              <w:rPr>
                <w:i/>
                <w:iCs/>
                <w:sz w:val="20"/>
                <w:szCs w:val="20"/>
                <w:vertAlign w:val="superscript"/>
              </w:rPr>
              <w:t>2</w:t>
            </w:r>
            <w:r w:rsidRPr="002C21B8">
              <w:rPr>
                <w:i/>
                <w:iCs/>
                <w:sz w:val="20"/>
                <w:szCs w:val="20"/>
              </w:rPr>
              <w:t xml:space="preserve"> eGFR], which we didn't used to.” (C6)</w:t>
            </w:r>
          </w:p>
        </w:tc>
      </w:tr>
      <w:tr w:rsidR="00180A0E" w:rsidRPr="002C21B8" w14:paraId="01BA56F9" w14:textId="77777777" w:rsidTr="0082332F">
        <w:trPr>
          <w:cantSplit/>
        </w:trPr>
        <w:tc>
          <w:tcPr>
            <w:tcW w:w="2525" w:type="dxa"/>
          </w:tcPr>
          <w:p w14:paraId="492C3A75" w14:textId="77777777" w:rsidR="00180A0E" w:rsidRPr="002C21B8" w:rsidRDefault="00180A0E" w:rsidP="00FE4CF7">
            <w:pPr>
              <w:spacing w:beforeLines="40" w:before="96" w:afterLines="40" w:after="96" w:line="240" w:lineRule="auto"/>
              <w:ind w:left="315" w:hanging="142"/>
              <w:jc w:val="left"/>
              <w:rPr>
                <w:sz w:val="20"/>
                <w:szCs w:val="20"/>
              </w:rPr>
            </w:pPr>
            <w:r w:rsidRPr="002C21B8">
              <w:rPr>
                <w:sz w:val="20"/>
                <w:szCs w:val="20"/>
              </w:rPr>
              <w:t>Comorbidities</w:t>
            </w:r>
          </w:p>
        </w:tc>
        <w:tc>
          <w:tcPr>
            <w:tcW w:w="3571" w:type="dxa"/>
          </w:tcPr>
          <w:p w14:paraId="40CB7923"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Urological conditions, cognitive impairment, learning difficulties</w:t>
            </w:r>
          </w:p>
        </w:tc>
        <w:tc>
          <w:tcPr>
            <w:tcW w:w="7796" w:type="dxa"/>
          </w:tcPr>
          <w:p w14:paraId="58F31D5D"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"I think we have around five patients with learning difficulties on tolvaptan. So when you're trying to set them up, you need to find out they've got a process of getting the prescription, blood tests and finding out what their support network is." (P1)</w:t>
            </w:r>
          </w:p>
        </w:tc>
      </w:tr>
      <w:tr w:rsidR="00180A0E" w:rsidRPr="002C21B8" w14:paraId="28936706" w14:textId="77777777" w:rsidTr="0082332F">
        <w:trPr>
          <w:cantSplit/>
        </w:trPr>
        <w:tc>
          <w:tcPr>
            <w:tcW w:w="2525" w:type="dxa"/>
          </w:tcPr>
          <w:p w14:paraId="64A74E4B" w14:textId="77777777" w:rsidR="00180A0E" w:rsidRPr="002C21B8" w:rsidRDefault="00180A0E" w:rsidP="00FE4CF7">
            <w:pPr>
              <w:spacing w:beforeLines="40" w:before="96" w:afterLines="40" w:after="96" w:line="240" w:lineRule="auto"/>
              <w:ind w:left="315" w:hanging="142"/>
              <w:jc w:val="left"/>
              <w:rPr>
                <w:sz w:val="20"/>
                <w:szCs w:val="20"/>
              </w:rPr>
            </w:pPr>
            <w:r w:rsidRPr="002C21B8">
              <w:rPr>
                <w:sz w:val="20"/>
                <w:szCs w:val="20"/>
              </w:rPr>
              <w:t>Behaviours</w:t>
            </w:r>
          </w:p>
        </w:tc>
        <w:tc>
          <w:tcPr>
            <w:tcW w:w="3571" w:type="dxa"/>
          </w:tcPr>
          <w:p w14:paraId="01738A2A"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How treatment fits into patient’s daily life</w:t>
            </w:r>
          </w:p>
        </w:tc>
        <w:tc>
          <w:tcPr>
            <w:tcW w:w="7796" w:type="dxa"/>
          </w:tcPr>
          <w:p w14:paraId="48881B7D"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"At the end of the day I think it is the patient that's got to decide they want to do it. It's a big undertaking really. It can have a big impact on people’s lives with the side effects, the monitoring and stuff.” (P1)</w:t>
            </w:r>
          </w:p>
        </w:tc>
      </w:tr>
      <w:tr w:rsidR="00180A0E" w:rsidRPr="002C21B8" w14:paraId="23D9F6A1" w14:textId="77777777" w:rsidTr="0082332F">
        <w:trPr>
          <w:cantSplit/>
        </w:trPr>
        <w:tc>
          <w:tcPr>
            <w:tcW w:w="2525" w:type="dxa"/>
          </w:tcPr>
          <w:p w14:paraId="39E4239A" w14:textId="77777777"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Expectations &amp; preferences</w:t>
            </w:r>
          </w:p>
        </w:tc>
        <w:tc>
          <w:tcPr>
            <w:tcW w:w="3571" w:type="dxa"/>
          </w:tcPr>
          <w:p w14:paraId="00369D4C" w14:textId="7D5DF49B" w:rsidR="00180A0E" w:rsidRPr="002C21B8" w:rsidRDefault="00180A0E" w:rsidP="00FE4CF7">
            <w:pPr>
              <w:spacing w:beforeLines="40" w:before="96" w:afterLines="40" w:after="96" w:line="240" w:lineRule="auto"/>
              <w:jc w:val="left"/>
              <w:rPr>
                <w:sz w:val="20"/>
                <w:szCs w:val="20"/>
              </w:rPr>
            </w:pPr>
            <w:r w:rsidRPr="002C21B8">
              <w:rPr>
                <w:sz w:val="20"/>
                <w:szCs w:val="20"/>
              </w:rPr>
              <w:t xml:space="preserve">Family/peer experiences of the disease and </w:t>
            </w:r>
            <w:r w:rsidR="00066944" w:rsidRPr="002C21B8">
              <w:rPr>
                <w:sz w:val="20"/>
                <w:szCs w:val="20"/>
              </w:rPr>
              <w:t>medication</w:t>
            </w:r>
          </w:p>
        </w:tc>
        <w:tc>
          <w:tcPr>
            <w:tcW w:w="7796" w:type="dxa"/>
          </w:tcPr>
          <w:p w14:paraId="4A3D11A0" w14:textId="26AEC632" w:rsidR="00180A0E" w:rsidRPr="002C21B8" w:rsidRDefault="00180A0E" w:rsidP="00FE4CF7">
            <w:pPr>
              <w:spacing w:beforeLines="40" w:before="96" w:afterLines="40" w:after="96" w:line="240" w:lineRule="auto"/>
              <w:jc w:val="left"/>
              <w:rPr>
                <w:i/>
                <w:iCs/>
                <w:sz w:val="20"/>
                <w:szCs w:val="20"/>
              </w:rPr>
            </w:pPr>
            <w:r w:rsidRPr="002C21B8">
              <w:rPr>
                <w:i/>
                <w:iCs/>
                <w:sz w:val="20"/>
                <w:szCs w:val="20"/>
              </w:rPr>
              <w:t>“They’ve all got family, they’ve all either talked about it with other people, they’ve got family members on it. We talked to a young woman who had a brother that had been on it, he didn’t tolerate it at all. So she said she didn’t want it, so I didn’t continue to offer it.” (C2)</w:t>
            </w:r>
          </w:p>
        </w:tc>
      </w:tr>
      <w:tr w:rsidR="00180A0E" w:rsidRPr="002C21B8" w14:paraId="449D673B" w14:textId="77777777" w:rsidTr="0082332F">
        <w:trPr>
          <w:cantSplit/>
        </w:trPr>
        <w:tc>
          <w:tcPr>
            <w:tcW w:w="2525" w:type="dxa"/>
          </w:tcPr>
          <w:p w14:paraId="7BD735A2" w14:textId="77777777" w:rsidR="00180A0E" w:rsidRPr="002C21B8" w:rsidRDefault="00180A0E" w:rsidP="00FE4CF7">
            <w:pPr>
              <w:spacing w:beforeLines="40" w:before="96" w:afterLines="40" w:after="96" w:line="240" w:lineRule="auto"/>
              <w:ind w:left="315" w:hanging="142"/>
              <w:jc w:val="left"/>
              <w:rPr>
                <w:sz w:val="20"/>
                <w:szCs w:val="20"/>
              </w:rPr>
            </w:pPr>
            <w:r w:rsidRPr="002C21B8">
              <w:rPr>
                <w:sz w:val="20"/>
                <w:szCs w:val="20"/>
              </w:rPr>
              <w:t>Requests for medication</w:t>
            </w:r>
          </w:p>
        </w:tc>
        <w:tc>
          <w:tcPr>
            <w:tcW w:w="3571" w:type="dxa"/>
          </w:tcPr>
          <w:p w14:paraId="0A317C12" w14:textId="3C8AF717" w:rsidR="00180A0E" w:rsidRPr="002C21B8" w:rsidRDefault="00180A0E" w:rsidP="00FE4CF7">
            <w:pPr>
              <w:spacing w:beforeLines="40" w:before="96" w:afterLines="40" w:after="96" w:line="240" w:lineRule="auto"/>
              <w:jc w:val="left"/>
              <w:rPr>
                <w:sz w:val="20"/>
                <w:szCs w:val="20"/>
              </w:rPr>
            </w:pPr>
            <w:r w:rsidRPr="002C21B8">
              <w:rPr>
                <w:sz w:val="20"/>
                <w:szCs w:val="20"/>
              </w:rPr>
              <w:t>More requests than for other medic</w:t>
            </w:r>
            <w:r w:rsidR="001F71D9" w:rsidRPr="002C21B8">
              <w:rPr>
                <w:sz w:val="20"/>
                <w:szCs w:val="20"/>
              </w:rPr>
              <w:t>ation</w:t>
            </w:r>
            <w:r w:rsidRPr="002C21B8">
              <w:rPr>
                <w:sz w:val="20"/>
                <w:szCs w:val="20"/>
              </w:rPr>
              <w:t>s</w:t>
            </w:r>
          </w:p>
        </w:tc>
        <w:tc>
          <w:tcPr>
            <w:tcW w:w="7796" w:type="dxa"/>
          </w:tcPr>
          <w:p w14:paraId="27716787"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“Patients do request it. It’s less surprising that people haven’t heard of it and it’s more common for people to say tell me more about this new drug for PKD.” (C1)</w:t>
            </w:r>
          </w:p>
        </w:tc>
      </w:tr>
      <w:tr w:rsidR="00180A0E" w:rsidRPr="002C21B8" w14:paraId="1BE8DBCF" w14:textId="77777777" w:rsidTr="0082332F">
        <w:trPr>
          <w:cantSplit/>
        </w:trPr>
        <w:tc>
          <w:tcPr>
            <w:tcW w:w="2525" w:type="dxa"/>
          </w:tcPr>
          <w:p w14:paraId="658E1D52" w14:textId="768DAF9F" w:rsidR="00180A0E" w:rsidRPr="002C21B8" w:rsidRDefault="00895B2B" w:rsidP="00FE4CF7">
            <w:pPr>
              <w:spacing w:beforeLines="40" w:before="96" w:afterLines="40" w:after="96" w:line="240" w:lineRule="auto"/>
              <w:ind w:left="315" w:hanging="142"/>
              <w:jc w:val="left"/>
              <w:rPr>
                <w:sz w:val="20"/>
                <w:szCs w:val="20"/>
              </w:rPr>
            </w:pPr>
            <w:r>
              <w:rPr>
                <w:sz w:val="20"/>
                <w:szCs w:val="20"/>
              </w:rPr>
              <w:t>K</w:t>
            </w:r>
            <w:r w:rsidR="00180A0E" w:rsidRPr="002C21B8">
              <w:rPr>
                <w:sz w:val="20"/>
                <w:szCs w:val="20"/>
              </w:rPr>
              <w:t>nowledge</w:t>
            </w:r>
            <w:r w:rsidR="00D508D9" w:rsidRPr="002C21B8">
              <w:rPr>
                <w:sz w:val="20"/>
                <w:szCs w:val="20"/>
              </w:rPr>
              <w:t xml:space="preserve"> </w:t>
            </w:r>
            <w:r w:rsidR="00180A0E" w:rsidRPr="002C21B8">
              <w:rPr>
                <w:b/>
                <w:bCs/>
                <w:sz w:val="20"/>
                <w:szCs w:val="20"/>
              </w:rPr>
              <w:t>*</w:t>
            </w:r>
          </w:p>
        </w:tc>
        <w:tc>
          <w:tcPr>
            <w:tcW w:w="3571" w:type="dxa"/>
          </w:tcPr>
          <w:p w14:paraId="1807B94B"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High patient knowledge</w:t>
            </w:r>
          </w:p>
        </w:tc>
        <w:tc>
          <w:tcPr>
            <w:tcW w:w="7796" w:type="dxa"/>
          </w:tcPr>
          <w:p w14:paraId="7B5C384D"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think the PKD charity do a good job of promoting tolvaptan as a new treatment, and they’ve got a PKD app now that gives good information about tolvaptan. I think patient knowledge around this drug has increased over the last five years or so.” (C1)</w:t>
            </w:r>
          </w:p>
        </w:tc>
      </w:tr>
      <w:tr w:rsidR="00180A0E" w:rsidRPr="002C21B8" w14:paraId="7D2D8E11" w14:textId="77777777" w:rsidTr="002B7D36">
        <w:trPr>
          <w:cantSplit/>
        </w:trPr>
        <w:tc>
          <w:tcPr>
            <w:tcW w:w="2525" w:type="dxa"/>
          </w:tcPr>
          <w:p w14:paraId="4F455503" w14:textId="27CF437E" w:rsidR="00180A0E" w:rsidRPr="002C21B8" w:rsidRDefault="00180A0E" w:rsidP="00FE4CF7">
            <w:pPr>
              <w:spacing w:beforeLines="40" w:before="96" w:afterLines="40" w:after="96" w:line="240" w:lineRule="auto"/>
              <w:ind w:left="315" w:hanging="142"/>
              <w:jc w:val="left"/>
              <w:rPr>
                <w:sz w:val="20"/>
                <w:szCs w:val="20"/>
              </w:rPr>
            </w:pPr>
            <w:r w:rsidRPr="002C21B8">
              <w:rPr>
                <w:sz w:val="20"/>
                <w:szCs w:val="20"/>
              </w:rPr>
              <w:t>Life stage</w:t>
            </w:r>
            <w:r w:rsidR="00D508D9" w:rsidRPr="002C21B8">
              <w:rPr>
                <w:sz w:val="20"/>
                <w:szCs w:val="20"/>
              </w:rPr>
              <w:t xml:space="preserve"> </w:t>
            </w:r>
            <w:r w:rsidRPr="002C21B8">
              <w:rPr>
                <w:b/>
                <w:bCs/>
                <w:sz w:val="20"/>
                <w:szCs w:val="20"/>
              </w:rPr>
              <w:t>*</w:t>
            </w:r>
          </w:p>
        </w:tc>
        <w:tc>
          <w:tcPr>
            <w:tcW w:w="3571" w:type="dxa"/>
          </w:tcPr>
          <w:p w14:paraId="31DB3280" w14:textId="78E35703" w:rsidR="00180A0E" w:rsidRPr="002C21B8" w:rsidRDefault="00180A0E" w:rsidP="00FE4CF7">
            <w:pPr>
              <w:spacing w:beforeLines="40" w:before="96" w:afterLines="40" w:after="96" w:line="240" w:lineRule="auto"/>
              <w:jc w:val="left"/>
              <w:rPr>
                <w:sz w:val="20"/>
                <w:szCs w:val="20"/>
              </w:rPr>
            </w:pPr>
            <w:r w:rsidRPr="002C21B8">
              <w:rPr>
                <w:sz w:val="20"/>
                <w:szCs w:val="20"/>
              </w:rPr>
              <w:t>Older</w:t>
            </w:r>
            <w:r w:rsidR="00E3327B" w:rsidRPr="002C21B8">
              <w:rPr>
                <w:sz w:val="20"/>
                <w:szCs w:val="20"/>
              </w:rPr>
              <w:t xml:space="preserve"> patients</w:t>
            </w:r>
          </w:p>
        </w:tc>
        <w:tc>
          <w:tcPr>
            <w:tcW w:w="7796" w:type="dxa"/>
          </w:tcPr>
          <w:p w14:paraId="412D2D3F"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“You make a judgement as to how much length of life they might have left or how much of their kidney life they have left. Yeah, it is just a judgement when it comes down to it.” (R1)</w:t>
            </w:r>
          </w:p>
        </w:tc>
      </w:tr>
      <w:tr w:rsidR="00180A0E" w:rsidRPr="002C21B8" w14:paraId="666A17CC" w14:textId="77777777" w:rsidTr="002B7D36">
        <w:trPr>
          <w:cantSplit/>
        </w:trPr>
        <w:tc>
          <w:tcPr>
            <w:tcW w:w="2525" w:type="dxa"/>
          </w:tcPr>
          <w:p w14:paraId="57B02D9E" w14:textId="77777777" w:rsidR="00180A0E" w:rsidRPr="002C21B8" w:rsidRDefault="00180A0E" w:rsidP="00FE4CF7">
            <w:pPr>
              <w:spacing w:beforeLines="40" w:before="96" w:afterLines="40" w:after="96" w:line="240" w:lineRule="auto"/>
              <w:ind w:left="315" w:hanging="142"/>
              <w:jc w:val="left"/>
              <w:rPr>
                <w:sz w:val="20"/>
                <w:szCs w:val="20"/>
              </w:rPr>
            </w:pPr>
          </w:p>
        </w:tc>
        <w:tc>
          <w:tcPr>
            <w:tcW w:w="3571" w:type="dxa"/>
          </w:tcPr>
          <w:p w14:paraId="1CD2E197"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Other considerations (employment, carer responsibilities, childbearing age)</w:t>
            </w:r>
          </w:p>
        </w:tc>
        <w:tc>
          <w:tcPr>
            <w:tcW w:w="7796" w:type="dxa"/>
          </w:tcPr>
          <w:p w14:paraId="61251381"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“You have to think about everything. Like what they do for work as that might make things more difficult if they cannot get to the bathroom or get enough water to drink.” (P4)</w:t>
            </w:r>
          </w:p>
        </w:tc>
      </w:tr>
      <w:tr w:rsidR="00180A0E" w:rsidRPr="002C21B8" w14:paraId="15C300FC" w14:textId="77777777" w:rsidTr="0082332F">
        <w:trPr>
          <w:cantSplit/>
        </w:trPr>
        <w:tc>
          <w:tcPr>
            <w:tcW w:w="2525" w:type="dxa"/>
            <w:tcBorders>
              <w:top w:val="single" w:sz="6" w:space="0" w:color="000000" w:themeColor="text1"/>
            </w:tcBorders>
            <w:shd w:val="clear" w:color="auto" w:fill="F2F2F2" w:themeFill="background1" w:themeFillShade="F2"/>
          </w:tcPr>
          <w:p w14:paraId="0F1FE872" w14:textId="465E978E" w:rsidR="00180A0E" w:rsidRPr="002C21B8" w:rsidRDefault="00180A0E" w:rsidP="00FE4CF7">
            <w:pPr>
              <w:spacing w:beforeLines="40" w:before="96" w:afterLines="40" w:after="96" w:line="240" w:lineRule="auto"/>
              <w:jc w:val="left"/>
              <w:rPr>
                <w:b/>
                <w:bCs/>
                <w:sz w:val="20"/>
                <w:szCs w:val="20"/>
              </w:rPr>
            </w:pPr>
            <w:r w:rsidRPr="002C21B8">
              <w:rPr>
                <w:b/>
                <w:bCs/>
                <w:sz w:val="20"/>
                <w:szCs w:val="20"/>
              </w:rPr>
              <w:t>Prescriber</w:t>
            </w:r>
          </w:p>
        </w:tc>
        <w:tc>
          <w:tcPr>
            <w:tcW w:w="3571" w:type="dxa"/>
            <w:tcBorders>
              <w:top w:val="single" w:sz="6" w:space="0" w:color="000000" w:themeColor="text1"/>
            </w:tcBorders>
            <w:shd w:val="clear" w:color="auto" w:fill="F2F2F2" w:themeFill="background1" w:themeFillShade="F2"/>
          </w:tcPr>
          <w:p w14:paraId="56251024" w14:textId="77777777" w:rsidR="00180A0E" w:rsidRPr="002C21B8" w:rsidRDefault="00180A0E" w:rsidP="00FE4CF7">
            <w:pPr>
              <w:spacing w:beforeLines="40" w:before="96" w:afterLines="40" w:after="96" w:line="240" w:lineRule="auto"/>
              <w:jc w:val="left"/>
              <w:rPr>
                <w:b/>
                <w:bCs/>
                <w:sz w:val="20"/>
                <w:szCs w:val="20"/>
              </w:rPr>
            </w:pPr>
          </w:p>
        </w:tc>
        <w:tc>
          <w:tcPr>
            <w:tcW w:w="7796" w:type="dxa"/>
            <w:tcBorders>
              <w:top w:val="single" w:sz="6" w:space="0" w:color="000000" w:themeColor="text1"/>
            </w:tcBorders>
            <w:shd w:val="clear" w:color="auto" w:fill="F2F2F2" w:themeFill="background1" w:themeFillShade="F2"/>
          </w:tcPr>
          <w:p w14:paraId="66E90DCB" w14:textId="77777777" w:rsidR="00180A0E" w:rsidRPr="002C21B8" w:rsidRDefault="00180A0E" w:rsidP="00FE4CF7">
            <w:pPr>
              <w:spacing w:beforeLines="40" w:before="96" w:afterLines="40" w:after="96" w:line="240" w:lineRule="auto"/>
              <w:jc w:val="left"/>
              <w:rPr>
                <w:b/>
                <w:bCs/>
                <w:i/>
                <w:iCs/>
                <w:sz w:val="20"/>
                <w:szCs w:val="20"/>
              </w:rPr>
            </w:pPr>
          </w:p>
        </w:tc>
      </w:tr>
      <w:tr w:rsidR="00180A0E" w:rsidRPr="002C21B8" w14:paraId="5AD24CD6" w14:textId="77777777" w:rsidTr="0082332F">
        <w:trPr>
          <w:cantSplit/>
        </w:trPr>
        <w:tc>
          <w:tcPr>
            <w:tcW w:w="2525" w:type="dxa"/>
          </w:tcPr>
          <w:p w14:paraId="75098E06" w14:textId="77777777" w:rsidR="00180A0E" w:rsidRPr="002C21B8" w:rsidRDefault="00180A0E" w:rsidP="00FE4CF7">
            <w:pPr>
              <w:spacing w:beforeLines="40" w:before="96" w:afterLines="40" w:after="96" w:line="240" w:lineRule="auto"/>
              <w:ind w:left="180"/>
              <w:jc w:val="left"/>
              <w:rPr>
                <w:sz w:val="20"/>
                <w:szCs w:val="20"/>
              </w:rPr>
            </w:pPr>
            <w:r w:rsidRPr="002C21B8">
              <w:rPr>
                <w:sz w:val="20"/>
                <w:szCs w:val="20"/>
              </w:rPr>
              <w:t>Knowledge &amp; experience</w:t>
            </w:r>
          </w:p>
        </w:tc>
        <w:tc>
          <w:tcPr>
            <w:tcW w:w="3571" w:type="dxa"/>
          </w:tcPr>
          <w:p w14:paraId="0A9A6B27"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Disease-specific experience</w:t>
            </w:r>
          </w:p>
        </w:tc>
        <w:tc>
          <w:tcPr>
            <w:tcW w:w="7796" w:type="dxa"/>
          </w:tcPr>
          <w:p w14:paraId="610D6B17" w14:textId="6A27A6D4"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suspect that late adopters because they've not been involved in studies, they're less familiar and it's just like their real world experience of it is reduced and therefore they think about it a lot less often and</w:t>
            </w:r>
            <w:r w:rsidR="00895B2B">
              <w:rPr>
                <w:i/>
                <w:iCs/>
                <w:sz w:val="20"/>
                <w:szCs w:val="20"/>
              </w:rPr>
              <w:t xml:space="preserve"> can</w:t>
            </w:r>
            <w:r w:rsidRPr="002C21B8">
              <w:rPr>
                <w:i/>
                <w:iCs/>
                <w:sz w:val="20"/>
                <w:szCs w:val="20"/>
              </w:rPr>
              <w:t xml:space="preserve"> be less confident making decisions." (C4)</w:t>
            </w:r>
          </w:p>
        </w:tc>
      </w:tr>
      <w:tr w:rsidR="00180A0E" w:rsidRPr="002C21B8" w14:paraId="24A46D46" w14:textId="77777777" w:rsidTr="0082332F">
        <w:trPr>
          <w:cantSplit/>
        </w:trPr>
        <w:tc>
          <w:tcPr>
            <w:tcW w:w="2525" w:type="dxa"/>
          </w:tcPr>
          <w:p w14:paraId="50DA94C5" w14:textId="77777777" w:rsidR="00180A0E" w:rsidRPr="002C21B8" w:rsidRDefault="00180A0E" w:rsidP="00FE4CF7">
            <w:pPr>
              <w:spacing w:beforeLines="40" w:before="96" w:afterLines="40" w:after="96" w:line="240" w:lineRule="auto"/>
              <w:jc w:val="left"/>
              <w:rPr>
                <w:sz w:val="20"/>
                <w:szCs w:val="20"/>
              </w:rPr>
            </w:pPr>
          </w:p>
        </w:tc>
        <w:tc>
          <w:tcPr>
            <w:tcW w:w="3571" w:type="dxa"/>
          </w:tcPr>
          <w:p w14:paraId="6C8A1A09"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Other experiences</w:t>
            </w:r>
          </w:p>
        </w:tc>
        <w:tc>
          <w:tcPr>
            <w:tcW w:w="7796" w:type="dxa"/>
          </w:tcPr>
          <w:p w14:paraId="0915CE9F"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guess the side effect that worries me most is, you know, is someone who gets severe liver injury. But again, that’s partly because of my background. So I am slightly paranoid about prescribing a drug that can cause liver failure.” (C1)</w:t>
            </w:r>
          </w:p>
        </w:tc>
      </w:tr>
      <w:tr w:rsidR="00180A0E" w:rsidRPr="002C21B8" w14:paraId="5FF10087" w14:textId="77777777" w:rsidTr="0082332F">
        <w:trPr>
          <w:cantSplit/>
        </w:trPr>
        <w:tc>
          <w:tcPr>
            <w:tcW w:w="2525" w:type="dxa"/>
          </w:tcPr>
          <w:p w14:paraId="5300E328"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Attitudes &amp; beliefs</w:t>
            </w:r>
          </w:p>
        </w:tc>
        <w:tc>
          <w:tcPr>
            <w:tcW w:w="3571" w:type="dxa"/>
          </w:tcPr>
          <w:p w14:paraId="64174F5E"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Different attitudes and beliefs around medications</w:t>
            </w:r>
          </w:p>
        </w:tc>
        <w:tc>
          <w:tcPr>
            <w:tcW w:w="7796" w:type="dxa"/>
          </w:tcPr>
          <w:p w14:paraId="6D4CC12E"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have to say that when tolvaptan first came along I was very sceptical about it… we all were [consultants at centre]. It seemed to have quite a lot of side effects and the benefit is there but it's not huge. And we offered it to patients but we didn't push it particularly." (C1)</w:t>
            </w:r>
          </w:p>
          <w:p w14:paraId="349C0177"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tell them this is the first chance to try a disease-modifying drug, we've got a chance to slow this down. I give it the hard sell." (C4)</w:t>
            </w:r>
          </w:p>
        </w:tc>
      </w:tr>
      <w:tr w:rsidR="00180A0E" w:rsidRPr="002C21B8" w14:paraId="2E78D892" w14:textId="77777777" w:rsidTr="0082332F">
        <w:trPr>
          <w:cantSplit/>
        </w:trPr>
        <w:tc>
          <w:tcPr>
            <w:tcW w:w="2525" w:type="dxa"/>
          </w:tcPr>
          <w:p w14:paraId="3BAE3421"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Approach to risk</w:t>
            </w:r>
          </w:p>
        </w:tc>
        <w:tc>
          <w:tcPr>
            <w:tcW w:w="3571" w:type="dxa"/>
          </w:tcPr>
          <w:p w14:paraId="25129DD9"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Some more risk adverse in general</w:t>
            </w:r>
          </w:p>
        </w:tc>
        <w:tc>
          <w:tcPr>
            <w:tcW w:w="7796" w:type="dxa"/>
          </w:tcPr>
          <w:p w14:paraId="563E48BA"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"There probably are differences yes, I'm just trying to think… So I cannot really think of a good phrase, but one is a bit more gung-ho than the other.“ (P2)</w:t>
            </w:r>
          </w:p>
        </w:tc>
      </w:tr>
      <w:tr w:rsidR="00180A0E" w:rsidRPr="002C21B8" w14:paraId="5F352ED3" w14:textId="77777777" w:rsidTr="0082332F">
        <w:trPr>
          <w:cantSplit/>
        </w:trPr>
        <w:tc>
          <w:tcPr>
            <w:tcW w:w="2525" w:type="dxa"/>
          </w:tcPr>
          <w:p w14:paraId="6D191A13"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Healthcare setting</w:t>
            </w:r>
          </w:p>
        </w:tc>
        <w:tc>
          <w:tcPr>
            <w:tcW w:w="3571" w:type="dxa"/>
          </w:tcPr>
          <w:p w14:paraId="770A3E37"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Not identified, all secondary care</w:t>
            </w:r>
          </w:p>
        </w:tc>
        <w:tc>
          <w:tcPr>
            <w:tcW w:w="7796" w:type="dxa"/>
          </w:tcPr>
          <w:p w14:paraId="5F01B2CC"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4EF74D97" w14:textId="77777777" w:rsidTr="0082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25" w:type="dxa"/>
            <w:tcBorders>
              <w:top w:val="nil"/>
              <w:left w:val="nil"/>
              <w:bottom w:val="single" w:sz="6" w:space="0" w:color="000000" w:themeColor="text1"/>
              <w:right w:val="nil"/>
            </w:tcBorders>
          </w:tcPr>
          <w:p w14:paraId="16523204" w14:textId="77777777" w:rsidR="00180A0E" w:rsidRPr="002C21B8" w:rsidRDefault="00180A0E" w:rsidP="00FE4CF7">
            <w:pPr>
              <w:tabs>
                <w:tab w:val="left" w:pos="180"/>
              </w:tabs>
              <w:spacing w:beforeLines="40" w:before="96" w:afterLines="40" w:after="96" w:line="240" w:lineRule="auto"/>
              <w:ind w:left="180" w:hanging="7"/>
              <w:jc w:val="left"/>
              <w:rPr>
                <w:sz w:val="20"/>
                <w:szCs w:val="20"/>
              </w:rPr>
            </w:pPr>
            <w:r w:rsidRPr="002C21B8">
              <w:rPr>
                <w:sz w:val="20"/>
                <w:szCs w:val="20"/>
              </w:rPr>
              <w:t>Speciality/level of specialism</w:t>
            </w:r>
          </w:p>
        </w:tc>
        <w:tc>
          <w:tcPr>
            <w:tcW w:w="3571" w:type="dxa"/>
            <w:tcBorders>
              <w:top w:val="nil"/>
              <w:left w:val="nil"/>
              <w:bottom w:val="single" w:sz="6" w:space="0" w:color="000000" w:themeColor="text1"/>
              <w:right w:val="nil"/>
            </w:tcBorders>
          </w:tcPr>
          <w:p w14:paraId="6A55835D"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Specialist in ADPKD or renal genetics vs generalist</w:t>
            </w:r>
          </w:p>
        </w:tc>
        <w:tc>
          <w:tcPr>
            <w:tcW w:w="7796" w:type="dxa"/>
            <w:tcBorders>
              <w:top w:val="nil"/>
              <w:left w:val="nil"/>
              <w:bottom w:val="single" w:sz="6" w:space="0" w:color="000000" w:themeColor="text1"/>
              <w:right w:val="nil"/>
            </w:tcBorders>
          </w:tcPr>
          <w:p w14:paraId="6D9D84AA"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“It makes a difference if you’re someone who is a specialist who is seeing patients [with ADPKD] day in day out compared to someone that might only see someone with ADPKD once in a while. Tolvaptan isn’t going to be at the forefront of their mind and they’ll have less experience doing it so they’re probably less confident.” (R1)</w:t>
            </w:r>
          </w:p>
        </w:tc>
      </w:tr>
      <w:tr w:rsidR="00180A0E" w:rsidRPr="002C21B8" w14:paraId="362BA3B4" w14:textId="77777777" w:rsidTr="0082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096" w:type="dxa"/>
            <w:gridSpan w:val="2"/>
            <w:tcBorders>
              <w:top w:val="single" w:sz="6" w:space="0" w:color="000000" w:themeColor="text1"/>
              <w:left w:val="nil"/>
              <w:bottom w:val="nil"/>
              <w:right w:val="nil"/>
            </w:tcBorders>
            <w:shd w:val="clear" w:color="auto" w:fill="F2F2F2" w:themeFill="background1" w:themeFillShade="F2"/>
          </w:tcPr>
          <w:p w14:paraId="00687FFD" w14:textId="1DA8E9CE" w:rsidR="00180A0E" w:rsidRPr="002C21B8" w:rsidRDefault="00180A0E" w:rsidP="00FE4CF7">
            <w:pPr>
              <w:spacing w:beforeLines="40" w:before="96" w:afterLines="40" w:after="96" w:line="240" w:lineRule="auto"/>
              <w:jc w:val="left"/>
              <w:rPr>
                <w:b/>
                <w:bCs/>
                <w:sz w:val="20"/>
                <w:szCs w:val="20"/>
              </w:rPr>
            </w:pPr>
            <w:r w:rsidRPr="002C21B8">
              <w:rPr>
                <w:b/>
                <w:bCs/>
                <w:sz w:val="20"/>
                <w:szCs w:val="20"/>
              </w:rPr>
              <w:t>Other healthcare professionals</w:t>
            </w:r>
            <w:r w:rsidR="00226C78" w:rsidRPr="002C21B8">
              <w:rPr>
                <w:b/>
                <w:bCs/>
                <w:sz w:val="20"/>
                <w:szCs w:val="20"/>
              </w:rPr>
              <w:t xml:space="preserve"> (clinicians)</w:t>
            </w:r>
          </w:p>
        </w:tc>
        <w:tc>
          <w:tcPr>
            <w:tcW w:w="7796" w:type="dxa"/>
            <w:tcBorders>
              <w:top w:val="single" w:sz="6" w:space="0" w:color="000000" w:themeColor="text1"/>
              <w:left w:val="nil"/>
              <w:bottom w:val="nil"/>
              <w:right w:val="nil"/>
            </w:tcBorders>
            <w:shd w:val="clear" w:color="auto" w:fill="F2F2F2" w:themeFill="background1" w:themeFillShade="F2"/>
          </w:tcPr>
          <w:p w14:paraId="4402B020" w14:textId="77777777" w:rsidR="00180A0E" w:rsidRPr="002C21B8" w:rsidRDefault="00180A0E" w:rsidP="00FE4CF7">
            <w:pPr>
              <w:spacing w:beforeLines="40" w:before="96" w:afterLines="40" w:after="96" w:line="240" w:lineRule="auto"/>
              <w:jc w:val="left"/>
              <w:rPr>
                <w:b/>
                <w:bCs/>
                <w:i/>
                <w:iCs/>
                <w:sz w:val="20"/>
                <w:szCs w:val="20"/>
              </w:rPr>
            </w:pPr>
          </w:p>
        </w:tc>
      </w:tr>
      <w:tr w:rsidR="00180A0E" w:rsidRPr="002C21B8" w14:paraId="5A0834E4" w14:textId="77777777" w:rsidTr="008233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25" w:type="dxa"/>
            <w:tcBorders>
              <w:top w:val="nil"/>
              <w:left w:val="nil"/>
              <w:bottom w:val="nil"/>
              <w:right w:val="nil"/>
            </w:tcBorders>
          </w:tcPr>
          <w:p w14:paraId="4333FDB7"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Expert power</w:t>
            </w:r>
          </w:p>
        </w:tc>
        <w:tc>
          <w:tcPr>
            <w:tcW w:w="3571" w:type="dxa"/>
            <w:tcBorders>
              <w:top w:val="nil"/>
              <w:left w:val="nil"/>
              <w:bottom w:val="nil"/>
              <w:right w:val="nil"/>
            </w:tcBorders>
          </w:tcPr>
          <w:p w14:paraId="3C9940B4"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Skillsets of different healthcare professionals</w:t>
            </w:r>
          </w:p>
        </w:tc>
        <w:tc>
          <w:tcPr>
            <w:tcW w:w="7796" w:type="dxa"/>
            <w:tcBorders>
              <w:top w:val="nil"/>
              <w:left w:val="nil"/>
              <w:bottom w:val="nil"/>
              <w:right w:val="nil"/>
            </w:tcBorders>
          </w:tcPr>
          <w:p w14:paraId="5E541075"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think you can’t be a good pharmacist unless you’re safety conscious and have attention to detail and things like that. We’re all very risk averse.” (P3)</w:t>
            </w:r>
          </w:p>
        </w:tc>
      </w:tr>
      <w:tr w:rsidR="00180A0E" w:rsidRPr="002C21B8" w14:paraId="05A36B18" w14:textId="77777777" w:rsidTr="0082332F">
        <w:trPr>
          <w:cantSplit/>
        </w:trPr>
        <w:tc>
          <w:tcPr>
            <w:tcW w:w="2525" w:type="dxa"/>
          </w:tcPr>
          <w:p w14:paraId="07E1E73F" w14:textId="77777777"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Pharmacist-physician collaboration</w:t>
            </w:r>
          </w:p>
        </w:tc>
        <w:tc>
          <w:tcPr>
            <w:tcW w:w="3571" w:type="dxa"/>
          </w:tcPr>
          <w:p w14:paraId="00711C41"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Managing more risk accepting medics</w:t>
            </w:r>
          </w:p>
        </w:tc>
        <w:tc>
          <w:tcPr>
            <w:tcW w:w="7796" w:type="dxa"/>
          </w:tcPr>
          <w:p w14:paraId="0E559E37"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“It [tolvaptan prescribing] fits quite well into the pharmacist remit, and it was a good opportunity for us to get, get involved with that. I’m not making any assessment myself as to whether they’re eligible for tolvaptan, although obviously I check when I’ve got a new patient referred that they meet the criteria." (P2)</w:t>
            </w:r>
          </w:p>
        </w:tc>
      </w:tr>
      <w:tr w:rsidR="00180A0E" w:rsidRPr="002C21B8" w14:paraId="16DEB9F5" w14:textId="77777777" w:rsidTr="0082332F">
        <w:trPr>
          <w:cantSplit/>
        </w:trPr>
        <w:tc>
          <w:tcPr>
            <w:tcW w:w="2525" w:type="dxa"/>
            <w:tcBorders>
              <w:bottom w:val="single" w:sz="6" w:space="0" w:color="000000" w:themeColor="text1"/>
            </w:tcBorders>
          </w:tcPr>
          <w:p w14:paraId="69501ECB" w14:textId="74465449"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Shared responsibility/ accountability</w:t>
            </w:r>
            <w:r w:rsidR="00D508D9" w:rsidRPr="002C21B8">
              <w:rPr>
                <w:sz w:val="20"/>
                <w:szCs w:val="20"/>
              </w:rPr>
              <w:t xml:space="preserve"> </w:t>
            </w:r>
            <w:r w:rsidRPr="002C21B8">
              <w:rPr>
                <w:b/>
                <w:bCs/>
                <w:sz w:val="20"/>
                <w:szCs w:val="20"/>
              </w:rPr>
              <w:t>*</w:t>
            </w:r>
          </w:p>
        </w:tc>
        <w:tc>
          <w:tcPr>
            <w:tcW w:w="3571" w:type="dxa"/>
            <w:tcBorders>
              <w:bottom w:val="single" w:sz="6" w:space="0" w:color="000000" w:themeColor="text1"/>
            </w:tcBorders>
          </w:tcPr>
          <w:p w14:paraId="41BA343D"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Removing barriers and reducing workload</w:t>
            </w:r>
          </w:p>
        </w:tc>
        <w:tc>
          <w:tcPr>
            <w:tcW w:w="7796" w:type="dxa"/>
            <w:tcBorders>
              <w:bottom w:val="single" w:sz="6" w:space="0" w:color="000000" w:themeColor="text1"/>
            </w:tcBorders>
          </w:tcPr>
          <w:p w14:paraId="1F72EC44"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“Before we had the tolvaptan clinic we had to do it all. Consent people, tell them about the risks and benefits, prescribe it and then monitor it. I think all that put people off [prescribing tolvaptan].” (C1)</w:t>
            </w:r>
          </w:p>
        </w:tc>
      </w:tr>
      <w:tr w:rsidR="00180A0E" w:rsidRPr="002C21B8" w14:paraId="336BDD0F" w14:textId="77777777" w:rsidTr="0082332F">
        <w:trPr>
          <w:cantSplit/>
        </w:trPr>
        <w:tc>
          <w:tcPr>
            <w:tcW w:w="2525" w:type="dxa"/>
            <w:tcBorders>
              <w:top w:val="single" w:sz="6" w:space="0" w:color="000000" w:themeColor="text1"/>
            </w:tcBorders>
            <w:shd w:val="clear" w:color="auto" w:fill="F2F2F2" w:themeFill="background1" w:themeFillShade="F2"/>
          </w:tcPr>
          <w:p w14:paraId="7990A9E4" w14:textId="77777777" w:rsidR="00180A0E" w:rsidRPr="002C21B8" w:rsidRDefault="00180A0E" w:rsidP="00FE4CF7">
            <w:pPr>
              <w:spacing w:beforeLines="40" w:before="96" w:afterLines="40" w:after="96" w:line="240" w:lineRule="auto"/>
              <w:jc w:val="left"/>
              <w:rPr>
                <w:b/>
                <w:bCs/>
                <w:sz w:val="20"/>
                <w:szCs w:val="20"/>
              </w:rPr>
            </w:pPr>
            <w:r w:rsidRPr="002C21B8">
              <w:rPr>
                <w:b/>
                <w:bCs/>
                <w:sz w:val="20"/>
                <w:szCs w:val="20"/>
              </w:rPr>
              <w:t>Healthcare system</w:t>
            </w:r>
          </w:p>
        </w:tc>
        <w:tc>
          <w:tcPr>
            <w:tcW w:w="3571" w:type="dxa"/>
            <w:tcBorders>
              <w:top w:val="single" w:sz="6" w:space="0" w:color="000000" w:themeColor="text1"/>
            </w:tcBorders>
            <w:shd w:val="clear" w:color="auto" w:fill="F2F2F2" w:themeFill="background1" w:themeFillShade="F2"/>
          </w:tcPr>
          <w:p w14:paraId="3DD29161" w14:textId="77777777" w:rsidR="00180A0E" w:rsidRPr="002C21B8" w:rsidRDefault="00180A0E" w:rsidP="00FE4CF7">
            <w:pPr>
              <w:spacing w:beforeLines="40" w:before="96" w:afterLines="40" w:after="96" w:line="240" w:lineRule="auto"/>
              <w:jc w:val="left"/>
              <w:rPr>
                <w:b/>
                <w:bCs/>
                <w:sz w:val="20"/>
                <w:szCs w:val="20"/>
              </w:rPr>
            </w:pPr>
          </w:p>
        </w:tc>
        <w:tc>
          <w:tcPr>
            <w:tcW w:w="7796" w:type="dxa"/>
            <w:tcBorders>
              <w:top w:val="single" w:sz="6" w:space="0" w:color="000000" w:themeColor="text1"/>
            </w:tcBorders>
            <w:shd w:val="clear" w:color="auto" w:fill="F2F2F2" w:themeFill="background1" w:themeFillShade="F2"/>
          </w:tcPr>
          <w:p w14:paraId="52201253" w14:textId="77777777" w:rsidR="00180A0E" w:rsidRPr="002C21B8" w:rsidRDefault="00180A0E" w:rsidP="00FE4CF7">
            <w:pPr>
              <w:spacing w:beforeLines="40" w:before="96" w:afterLines="40" w:after="96" w:line="240" w:lineRule="auto"/>
              <w:jc w:val="left"/>
              <w:rPr>
                <w:b/>
                <w:bCs/>
                <w:i/>
                <w:iCs/>
                <w:sz w:val="20"/>
                <w:szCs w:val="20"/>
              </w:rPr>
            </w:pPr>
          </w:p>
        </w:tc>
      </w:tr>
      <w:tr w:rsidR="00180A0E" w:rsidRPr="002C21B8" w14:paraId="6E6D5EB6" w14:textId="77777777" w:rsidTr="0082332F">
        <w:trPr>
          <w:cantSplit/>
        </w:trPr>
        <w:tc>
          <w:tcPr>
            <w:tcW w:w="2525" w:type="dxa"/>
          </w:tcPr>
          <w:p w14:paraId="4C0C594C"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Time</w:t>
            </w:r>
          </w:p>
        </w:tc>
        <w:tc>
          <w:tcPr>
            <w:tcW w:w="3571" w:type="dxa"/>
          </w:tcPr>
          <w:p w14:paraId="10CA9214"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Considerable time to consent, discuss benefits-risks and support treatment if no supporting staff</w:t>
            </w:r>
          </w:p>
        </w:tc>
        <w:tc>
          <w:tcPr>
            <w:tcW w:w="7796" w:type="dxa"/>
          </w:tcPr>
          <w:p w14:paraId="4652B819"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“Before we had the tolvaptan clinic we had to do it all. Consent people, tell them about the risks and benefits, prescribe it and then monitor it. I think all that put people off [prescribing tolvaptan].” (C1)</w:t>
            </w:r>
          </w:p>
        </w:tc>
      </w:tr>
      <w:tr w:rsidR="00180A0E" w:rsidRPr="002C21B8" w14:paraId="27394E78" w14:textId="77777777" w:rsidTr="0082332F">
        <w:trPr>
          <w:cantSplit/>
        </w:trPr>
        <w:tc>
          <w:tcPr>
            <w:tcW w:w="2525" w:type="dxa"/>
          </w:tcPr>
          <w:p w14:paraId="74D75ED4"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Other care priorities</w:t>
            </w:r>
          </w:p>
        </w:tc>
        <w:tc>
          <w:tcPr>
            <w:tcW w:w="3571" w:type="dxa"/>
          </w:tcPr>
          <w:p w14:paraId="055DEED2"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Competing priorities if in general clinic</w:t>
            </w:r>
          </w:p>
        </w:tc>
        <w:tc>
          <w:tcPr>
            <w:tcW w:w="7796" w:type="dxa"/>
          </w:tcPr>
          <w:p w14:paraId="7F9F8EE1"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“When you’re in a busy mixed clinic with five others waiting and I’m an hour late. I will forget about [tolvaptan], as I’m doing other things, we would all forget.” (C2)</w:t>
            </w:r>
          </w:p>
        </w:tc>
      </w:tr>
      <w:tr w:rsidR="00180A0E" w:rsidRPr="002C21B8" w14:paraId="317ECB09" w14:textId="77777777" w:rsidTr="0082332F">
        <w:trPr>
          <w:cantSplit/>
        </w:trPr>
        <w:tc>
          <w:tcPr>
            <w:tcW w:w="2525" w:type="dxa"/>
          </w:tcPr>
          <w:p w14:paraId="5C840751"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Availability of staff</w:t>
            </w:r>
          </w:p>
        </w:tc>
        <w:tc>
          <w:tcPr>
            <w:tcW w:w="3571" w:type="dxa"/>
          </w:tcPr>
          <w:p w14:paraId="50199155"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 additional funding for staff</w:t>
            </w:r>
          </w:p>
        </w:tc>
        <w:tc>
          <w:tcPr>
            <w:tcW w:w="7796" w:type="dxa"/>
          </w:tcPr>
          <w:p w14:paraId="7FE93AB9"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"As with all kind of NHS things, the kind of funding wasn't there really, we couldn't really free up any pharmacist time to get involved in the clinic, which is a shame because it would have been ideal for a pharmacist to be involved.” (P3)</w:t>
            </w:r>
          </w:p>
        </w:tc>
      </w:tr>
      <w:tr w:rsidR="00180A0E" w:rsidRPr="002C21B8" w14:paraId="652B69A6" w14:textId="77777777" w:rsidTr="0082332F">
        <w:trPr>
          <w:cantSplit/>
        </w:trPr>
        <w:tc>
          <w:tcPr>
            <w:tcW w:w="2525" w:type="dxa"/>
          </w:tcPr>
          <w:p w14:paraId="683FED76"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Patient volume</w:t>
            </w:r>
          </w:p>
        </w:tc>
        <w:tc>
          <w:tcPr>
            <w:tcW w:w="3571" w:type="dxa"/>
          </w:tcPr>
          <w:p w14:paraId="7785B5DC"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Capacity issues</w:t>
            </w:r>
          </w:p>
        </w:tc>
        <w:tc>
          <w:tcPr>
            <w:tcW w:w="7796" w:type="dxa"/>
          </w:tcPr>
          <w:p w14:paraId="5F9EABA3"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don’t think we’ve got capacity in the tolvaptan clinic at the minute. There’s no room in the clinic to bring these patients in to start them on tolvaptan. I think some people are waiting perhaps a couple of months and they’re quite keen to get started.” (P4)</w:t>
            </w:r>
          </w:p>
        </w:tc>
      </w:tr>
      <w:tr w:rsidR="00180A0E" w:rsidRPr="002C21B8" w14:paraId="05BAA3D8" w14:textId="77777777" w:rsidTr="0082332F">
        <w:trPr>
          <w:cantSplit/>
        </w:trPr>
        <w:tc>
          <w:tcPr>
            <w:tcW w:w="2525" w:type="dxa"/>
          </w:tcPr>
          <w:p w14:paraId="4D80F28D" w14:textId="20645B36"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Local leadership/Peer influences</w:t>
            </w:r>
            <w:r w:rsidR="00D508D9" w:rsidRPr="002C21B8">
              <w:rPr>
                <w:sz w:val="20"/>
                <w:szCs w:val="20"/>
              </w:rPr>
              <w:t xml:space="preserve"> </w:t>
            </w:r>
            <w:r w:rsidRPr="002C21B8">
              <w:rPr>
                <w:b/>
                <w:bCs/>
                <w:sz w:val="20"/>
                <w:szCs w:val="20"/>
              </w:rPr>
              <w:t>*</w:t>
            </w:r>
          </w:p>
        </w:tc>
        <w:tc>
          <w:tcPr>
            <w:tcW w:w="3571" w:type="dxa"/>
          </w:tcPr>
          <w:p w14:paraId="66E5DE9E"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Highly influential</w:t>
            </w:r>
          </w:p>
        </w:tc>
        <w:tc>
          <w:tcPr>
            <w:tcW w:w="7796" w:type="dxa"/>
          </w:tcPr>
          <w:p w14:paraId="1B9A339C"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“He [Lead consultant] is the go-to for everything, basically. What he doesn't know isn't worth knowing. And if he says something, don't argue with him because you'll be wrong.” (C2)</w:t>
            </w:r>
          </w:p>
        </w:tc>
      </w:tr>
      <w:tr w:rsidR="00180A0E" w:rsidRPr="002C21B8" w14:paraId="6ABAD986" w14:textId="77777777" w:rsidTr="0082332F">
        <w:trPr>
          <w:cantSplit/>
        </w:trPr>
        <w:tc>
          <w:tcPr>
            <w:tcW w:w="2525" w:type="dxa"/>
          </w:tcPr>
          <w:p w14:paraId="642C4379" w14:textId="385683D9"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Decision location</w:t>
            </w:r>
            <w:r w:rsidR="00D508D9" w:rsidRPr="002C21B8">
              <w:rPr>
                <w:sz w:val="20"/>
                <w:szCs w:val="20"/>
              </w:rPr>
              <w:t xml:space="preserve"> </w:t>
            </w:r>
            <w:r w:rsidRPr="002C21B8">
              <w:rPr>
                <w:b/>
                <w:bCs/>
                <w:sz w:val="20"/>
                <w:szCs w:val="20"/>
              </w:rPr>
              <w:t>*</w:t>
            </w:r>
          </w:p>
        </w:tc>
        <w:tc>
          <w:tcPr>
            <w:tcW w:w="3571" w:type="dxa"/>
          </w:tcPr>
          <w:p w14:paraId="11256708"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Primed in specialist clinics vs less familiar at general clinics</w:t>
            </w:r>
          </w:p>
        </w:tc>
        <w:tc>
          <w:tcPr>
            <w:tcW w:w="7796" w:type="dxa"/>
          </w:tcPr>
          <w:p w14:paraId="62EE4ADD"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“When you’re in a busy mixed clinic with five others waiting and I’m an hour late. I will forget about [tolvaptan], as I’m doing other things, we would all forget.” (C2)</w:t>
            </w:r>
          </w:p>
        </w:tc>
      </w:tr>
      <w:tr w:rsidR="00180A0E" w:rsidRPr="002C21B8" w14:paraId="0F9C87E0" w14:textId="77777777" w:rsidTr="0082332F">
        <w:trPr>
          <w:cantSplit/>
        </w:trPr>
        <w:tc>
          <w:tcPr>
            <w:tcW w:w="2525" w:type="dxa"/>
          </w:tcPr>
          <w:p w14:paraId="1D37D055" w14:textId="78CB3E9C" w:rsidR="00180A0E" w:rsidRPr="002C21B8" w:rsidRDefault="008021EB" w:rsidP="00FE4CF7">
            <w:pPr>
              <w:spacing w:beforeLines="40" w:before="96" w:afterLines="40" w:after="96" w:line="240" w:lineRule="auto"/>
              <w:ind w:firstLine="173"/>
              <w:jc w:val="left"/>
              <w:rPr>
                <w:sz w:val="20"/>
                <w:szCs w:val="20"/>
              </w:rPr>
            </w:pPr>
            <w:r w:rsidRPr="002C21B8">
              <w:rPr>
                <w:sz w:val="20"/>
                <w:szCs w:val="20"/>
              </w:rPr>
              <w:t>Cohorting care</w:t>
            </w:r>
            <w:r w:rsidR="00D508D9" w:rsidRPr="002C21B8">
              <w:rPr>
                <w:sz w:val="20"/>
                <w:szCs w:val="20"/>
              </w:rPr>
              <w:t xml:space="preserve"> </w:t>
            </w:r>
            <w:r w:rsidR="00180A0E" w:rsidRPr="002C21B8">
              <w:rPr>
                <w:b/>
                <w:bCs/>
                <w:sz w:val="20"/>
                <w:szCs w:val="20"/>
              </w:rPr>
              <w:t>*</w:t>
            </w:r>
          </w:p>
        </w:tc>
        <w:tc>
          <w:tcPr>
            <w:tcW w:w="3571" w:type="dxa"/>
          </w:tcPr>
          <w:p w14:paraId="014020E1" w14:textId="49D2B88A" w:rsidR="00180A0E" w:rsidRPr="002C21B8" w:rsidRDefault="008021EB" w:rsidP="00FE4CF7">
            <w:pPr>
              <w:spacing w:beforeLines="40" w:before="96" w:afterLines="40" w:after="96" w:line="240" w:lineRule="auto"/>
              <w:jc w:val="left"/>
              <w:rPr>
                <w:sz w:val="20"/>
                <w:szCs w:val="20"/>
              </w:rPr>
            </w:pPr>
            <w:r w:rsidRPr="002C21B8">
              <w:rPr>
                <w:sz w:val="20"/>
                <w:szCs w:val="20"/>
              </w:rPr>
              <w:t>C</w:t>
            </w:r>
            <w:r w:rsidR="00180A0E" w:rsidRPr="002C21B8">
              <w:rPr>
                <w:sz w:val="20"/>
                <w:szCs w:val="20"/>
              </w:rPr>
              <w:t>ohorting patients</w:t>
            </w:r>
            <w:r w:rsidRPr="002C21B8">
              <w:rPr>
                <w:sz w:val="20"/>
                <w:szCs w:val="20"/>
              </w:rPr>
              <w:t xml:space="preserve"> within condition-specific clinics</w:t>
            </w:r>
            <w:r w:rsidR="00180A0E" w:rsidRPr="002C21B8">
              <w:rPr>
                <w:sz w:val="20"/>
                <w:szCs w:val="20"/>
              </w:rPr>
              <w:t xml:space="preserve"> increase</w:t>
            </w:r>
            <w:r w:rsidRPr="002C21B8">
              <w:rPr>
                <w:sz w:val="20"/>
                <w:szCs w:val="20"/>
              </w:rPr>
              <w:t>s</w:t>
            </w:r>
            <w:r w:rsidR="00180A0E" w:rsidRPr="002C21B8">
              <w:rPr>
                <w:sz w:val="20"/>
                <w:szCs w:val="20"/>
              </w:rPr>
              <w:t xml:space="preserve"> clinicians’ experience and knowledge</w:t>
            </w:r>
          </w:p>
        </w:tc>
        <w:tc>
          <w:tcPr>
            <w:tcW w:w="7796" w:type="dxa"/>
          </w:tcPr>
          <w:p w14:paraId="1439FC9B"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"It helps having patients all in one clinic because then you're in that mindset whereas other renal units don't have their patients all together, they have more mixtures of patients, so they'll be seeing transplant patients amongst general nephrology amongst everything else. So it's quite hard to switch mindset when the patient mix is so diverse I think." (C4)</w:t>
            </w:r>
          </w:p>
        </w:tc>
      </w:tr>
      <w:tr w:rsidR="00180A0E" w:rsidRPr="002C21B8" w14:paraId="1A573F8B" w14:textId="77777777" w:rsidTr="0082332F">
        <w:trPr>
          <w:cantSplit/>
        </w:trPr>
        <w:tc>
          <w:tcPr>
            <w:tcW w:w="2525" w:type="dxa"/>
          </w:tcPr>
          <w:p w14:paraId="031558E2" w14:textId="3DF8584E"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Available resources</w:t>
            </w:r>
            <w:r w:rsidR="00D508D9" w:rsidRPr="002C21B8">
              <w:rPr>
                <w:sz w:val="20"/>
                <w:szCs w:val="20"/>
              </w:rPr>
              <w:t xml:space="preserve"> </w:t>
            </w:r>
            <w:r w:rsidRPr="002C21B8">
              <w:rPr>
                <w:b/>
                <w:bCs/>
                <w:sz w:val="20"/>
                <w:szCs w:val="20"/>
              </w:rPr>
              <w:t>*</w:t>
            </w:r>
          </w:p>
        </w:tc>
        <w:tc>
          <w:tcPr>
            <w:tcW w:w="3571" w:type="dxa"/>
          </w:tcPr>
          <w:p w14:paraId="64FF9048"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Access and use of different investigations to assess eligibility</w:t>
            </w:r>
          </w:p>
        </w:tc>
        <w:tc>
          <w:tcPr>
            <w:tcW w:w="7796" w:type="dxa"/>
          </w:tcPr>
          <w:p w14:paraId="3B4F08DE"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"We don't do a massive amount of genetics, and we certainly wouldn't do someone's genetics to work out whether they need a tolvaptan prescription." (C1)</w:t>
            </w:r>
          </w:p>
          <w:p w14:paraId="6213F241"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"Every single patient in this clinic gets genetic testing and sometimes it may require multiple rounds of genetic testing." (R1)</w:t>
            </w:r>
          </w:p>
          <w:p w14:paraId="32419E00"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“It’s hard sometimes to get an MRI. So we don’t routinely check kidney size.” (C2)</w:t>
            </w:r>
          </w:p>
        </w:tc>
      </w:tr>
      <w:tr w:rsidR="00180A0E" w:rsidRPr="002C21B8" w14:paraId="301B90C0" w14:textId="77777777" w:rsidTr="0082332F">
        <w:trPr>
          <w:cantSplit/>
        </w:trPr>
        <w:tc>
          <w:tcPr>
            <w:tcW w:w="2525" w:type="dxa"/>
          </w:tcPr>
          <w:p w14:paraId="202D6D4C" w14:textId="193E3CC3"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Local guidelines</w:t>
            </w:r>
            <w:r w:rsidR="00104C34" w:rsidRPr="002C21B8">
              <w:rPr>
                <w:sz w:val="20"/>
                <w:szCs w:val="20"/>
              </w:rPr>
              <w:t xml:space="preserve"> </w:t>
            </w:r>
            <w:r w:rsidR="00104C34" w:rsidRPr="002C21B8">
              <w:rPr>
                <w:b/>
                <w:bCs/>
                <w:sz w:val="20"/>
                <w:szCs w:val="20"/>
              </w:rPr>
              <w:t>*</w:t>
            </w:r>
          </w:p>
        </w:tc>
        <w:tc>
          <w:tcPr>
            <w:tcW w:w="3571" w:type="dxa"/>
          </w:tcPr>
          <w:p w14:paraId="09C6C020" w14:textId="4B541EDF" w:rsidR="00180A0E" w:rsidRPr="002C21B8" w:rsidRDefault="00180A0E" w:rsidP="00FE4CF7">
            <w:pPr>
              <w:spacing w:beforeLines="40" w:before="96" w:afterLines="40" w:after="96" w:line="240" w:lineRule="auto"/>
              <w:jc w:val="left"/>
              <w:rPr>
                <w:sz w:val="20"/>
                <w:szCs w:val="20"/>
              </w:rPr>
            </w:pPr>
            <w:r w:rsidRPr="002C21B8">
              <w:rPr>
                <w:sz w:val="20"/>
                <w:szCs w:val="20"/>
              </w:rPr>
              <w:t>Local guidelines</w:t>
            </w:r>
            <w:r w:rsidR="00262990" w:rsidRPr="002C21B8">
              <w:rPr>
                <w:sz w:val="20"/>
                <w:szCs w:val="20"/>
              </w:rPr>
              <w:t>,</w:t>
            </w:r>
            <w:r w:rsidRPr="002C21B8">
              <w:rPr>
                <w:sz w:val="20"/>
                <w:szCs w:val="20"/>
              </w:rPr>
              <w:t xml:space="preserve"> where</w:t>
            </w:r>
            <w:r w:rsidR="00262990" w:rsidRPr="002C21B8">
              <w:rPr>
                <w:sz w:val="20"/>
                <w:szCs w:val="20"/>
              </w:rPr>
              <w:t xml:space="preserve"> they</w:t>
            </w:r>
            <w:r w:rsidRPr="002C21B8">
              <w:rPr>
                <w:sz w:val="20"/>
                <w:szCs w:val="20"/>
              </w:rPr>
              <w:t xml:space="preserve"> exist</w:t>
            </w:r>
            <w:r w:rsidR="00262990" w:rsidRPr="002C21B8">
              <w:rPr>
                <w:sz w:val="20"/>
                <w:szCs w:val="20"/>
              </w:rPr>
              <w:t>,</w:t>
            </w:r>
            <w:r w:rsidRPr="002C21B8">
              <w:rPr>
                <w:sz w:val="20"/>
                <w:szCs w:val="20"/>
              </w:rPr>
              <w:t xml:space="preserve"> can be influential but depend on easy access</w:t>
            </w:r>
          </w:p>
        </w:tc>
        <w:tc>
          <w:tcPr>
            <w:tcW w:w="7796" w:type="dxa"/>
          </w:tcPr>
          <w:p w14:paraId="28C531FD" w14:textId="766684B4" w:rsidR="00180A0E" w:rsidRPr="002C21B8" w:rsidRDefault="00180A0E" w:rsidP="00FE4CF7">
            <w:pPr>
              <w:spacing w:beforeLines="40" w:before="96" w:afterLines="40" w:after="96" w:line="240" w:lineRule="auto"/>
              <w:jc w:val="left"/>
              <w:rPr>
                <w:i/>
                <w:iCs/>
                <w:sz w:val="20"/>
                <w:szCs w:val="20"/>
              </w:rPr>
            </w:pPr>
            <w:r w:rsidRPr="002C21B8">
              <w:rPr>
                <w:i/>
                <w:iCs/>
                <w:sz w:val="20"/>
                <w:szCs w:val="20"/>
              </w:rPr>
              <w:t xml:space="preserve">“I think [other kidney </w:t>
            </w:r>
            <w:r w:rsidR="00CA032E" w:rsidRPr="002C21B8">
              <w:rPr>
                <w:i/>
                <w:iCs/>
                <w:sz w:val="20"/>
                <w:szCs w:val="20"/>
              </w:rPr>
              <w:t>centre</w:t>
            </w:r>
            <w:r w:rsidRPr="002C21B8">
              <w:rPr>
                <w:i/>
                <w:iCs/>
                <w:sz w:val="20"/>
                <w:szCs w:val="20"/>
              </w:rPr>
              <w:t>], they had a nice little flowchart thing that we used to use as well because somebody printed it out, so that was helpful.” (C2)</w:t>
            </w:r>
          </w:p>
        </w:tc>
      </w:tr>
      <w:tr w:rsidR="00180A0E" w:rsidRPr="002C21B8" w14:paraId="7612BB72" w14:textId="77777777" w:rsidTr="0082332F">
        <w:trPr>
          <w:cantSplit/>
        </w:trPr>
        <w:tc>
          <w:tcPr>
            <w:tcW w:w="2525" w:type="dxa"/>
            <w:tcBorders>
              <w:bottom w:val="single" w:sz="6" w:space="0" w:color="000000" w:themeColor="text1"/>
            </w:tcBorders>
          </w:tcPr>
          <w:p w14:paraId="2C8CE76C" w14:textId="48B7C89B"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Internal audit</w:t>
            </w:r>
            <w:r w:rsidR="00D508D9" w:rsidRPr="002C21B8">
              <w:rPr>
                <w:sz w:val="20"/>
                <w:szCs w:val="20"/>
              </w:rPr>
              <w:t xml:space="preserve"> </w:t>
            </w:r>
            <w:r w:rsidRPr="002C21B8">
              <w:rPr>
                <w:b/>
                <w:bCs/>
                <w:sz w:val="20"/>
                <w:szCs w:val="20"/>
              </w:rPr>
              <w:t>*</w:t>
            </w:r>
          </w:p>
        </w:tc>
        <w:tc>
          <w:tcPr>
            <w:tcW w:w="3571" w:type="dxa"/>
            <w:tcBorders>
              <w:bottom w:val="single" w:sz="6" w:space="0" w:color="000000" w:themeColor="text1"/>
            </w:tcBorders>
          </w:tcPr>
          <w:p w14:paraId="3496F3A0"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Internal audit ensures standardised approach and identified potential areas for improvement</w:t>
            </w:r>
          </w:p>
        </w:tc>
        <w:tc>
          <w:tcPr>
            <w:tcW w:w="7796" w:type="dxa"/>
            <w:tcBorders>
              <w:bottom w:val="single" w:sz="6" w:space="0" w:color="000000" w:themeColor="text1"/>
            </w:tcBorders>
          </w:tcPr>
          <w:p w14:paraId="1E0D0F5A"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“When we last did an audit. There weren’t any patients with progressive CKD in that group that hadn’t been offered tolvaptan. So we don’t think there’s a big pool of people who aren’t being referred on [to the tolvaptan clinic].” (C1)</w:t>
            </w:r>
          </w:p>
        </w:tc>
      </w:tr>
      <w:tr w:rsidR="00180A0E" w:rsidRPr="002C21B8" w14:paraId="0442CD2E" w14:textId="77777777" w:rsidTr="0082332F">
        <w:trPr>
          <w:cantSplit/>
        </w:trPr>
        <w:tc>
          <w:tcPr>
            <w:tcW w:w="2525" w:type="dxa"/>
            <w:tcBorders>
              <w:top w:val="single" w:sz="6" w:space="0" w:color="000000" w:themeColor="text1"/>
            </w:tcBorders>
            <w:shd w:val="clear" w:color="auto" w:fill="F2F2F2" w:themeFill="background1" w:themeFillShade="F2"/>
          </w:tcPr>
          <w:p w14:paraId="47ADF6C1" w14:textId="77777777" w:rsidR="00180A0E" w:rsidRPr="002C21B8" w:rsidRDefault="00180A0E" w:rsidP="00FE4CF7">
            <w:pPr>
              <w:spacing w:beforeLines="40" w:before="96" w:afterLines="40" w:after="96" w:line="240" w:lineRule="auto"/>
              <w:ind w:firstLine="31"/>
              <w:jc w:val="left"/>
              <w:rPr>
                <w:b/>
                <w:bCs/>
                <w:sz w:val="20"/>
                <w:szCs w:val="20"/>
              </w:rPr>
            </w:pPr>
            <w:r w:rsidRPr="002C21B8">
              <w:rPr>
                <w:b/>
                <w:bCs/>
                <w:sz w:val="20"/>
                <w:szCs w:val="20"/>
              </w:rPr>
              <w:t>Sales and marketing</w:t>
            </w:r>
          </w:p>
        </w:tc>
        <w:tc>
          <w:tcPr>
            <w:tcW w:w="3571" w:type="dxa"/>
            <w:tcBorders>
              <w:top w:val="single" w:sz="6" w:space="0" w:color="000000" w:themeColor="text1"/>
            </w:tcBorders>
            <w:shd w:val="clear" w:color="auto" w:fill="F2F2F2" w:themeFill="background1" w:themeFillShade="F2"/>
          </w:tcPr>
          <w:p w14:paraId="77E02AFE" w14:textId="77777777" w:rsidR="00180A0E" w:rsidRPr="002C21B8" w:rsidRDefault="00180A0E" w:rsidP="00FE4CF7">
            <w:pPr>
              <w:spacing w:beforeLines="40" w:before="96" w:afterLines="40" w:after="96" w:line="240" w:lineRule="auto"/>
              <w:jc w:val="left"/>
              <w:rPr>
                <w:sz w:val="20"/>
                <w:szCs w:val="20"/>
              </w:rPr>
            </w:pPr>
          </w:p>
        </w:tc>
        <w:tc>
          <w:tcPr>
            <w:tcW w:w="7796" w:type="dxa"/>
            <w:tcBorders>
              <w:top w:val="single" w:sz="6" w:space="0" w:color="000000" w:themeColor="text1"/>
            </w:tcBorders>
            <w:shd w:val="clear" w:color="auto" w:fill="F2F2F2" w:themeFill="background1" w:themeFillShade="F2"/>
          </w:tcPr>
          <w:p w14:paraId="6DDE4D27"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509BA9DF" w14:textId="77777777" w:rsidTr="0082332F">
        <w:trPr>
          <w:cantSplit/>
        </w:trPr>
        <w:tc>
          <w:tcPr>
            <w:tcW w:w="2525" w:type="dxa"/>
          </w:tcPr>
          <w:p w14:paraId="11C60281" w14:textId="77777777" w:rsidR="00180A0E" w:rsidRPr="002C21B8" w:rsidRDefault="00180A0E" w:rsidP="00FE4CF7">
            <w:pPr>
              <w:spacing w:beforeLines="40" w:before="96" w:afterLines="40" w:after="96" w:line="240" w:lineRule="auto"/>
              <w:ind w:left="170" w:firstLine="31"/>
              <w:jc w:val="left"/>
              <w:rPr>
                <w:b/>
                <w:bCs/>
                <w:sz w:val="20"/>
                <w:szCs w:val="20"/>
              </w:rPr>
            </w:pPr>
            <w:r w:rsidRPr="002C21B8">
              <w:rPr>
                <w:sz w:val="20"/>
                <w:szCs w:val="20"/>
              </w:rPr>
              <w:t>Payments</w:t>
            </w:r>
          </w:p>
        </w:tc>
        <w:tc>
          <w:tcPr>
            <w:tcW w:w="3571" w:type="dxa"/>
          </w:tcPr>
          <w:p w14:paraId="745AC974"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Not identified</w:t>
            </w:r>
          </w:p>
        </w:tc>
        <w:tc>
          <w:tcPr>
            <w:tcW w:w="7796" w:type="dxa"/>
          </w:tcPr>
          <w:p w14:paraId="59EF68FD"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4520B8A8" w14:textId="77777777" w:rsidTr="0082332F">
        <w:trPr>
          <w:cantSplit/>
        </w:trPr>
        <w:tc>
          <w:tcPr>
            <w:tcW w:w="2525" w:type="dxa"/>
          </w:tcPr>
          <w:p w14:paraId="7ED0A26E" w14:textId="77777777" w:rsidR="00180A0E" w:rsidRPr="002C21B8" w:rsidRDefault="00180A0E" w:rsidP="00FE4CF7">
            <w:pPr>
              <w:spacing w:beforeLines="40" w:before="96" w:afterLines="40" w:after="96" w:line="240" w:lineRule="auto"/>
              <w:ind w:left="170" w:firstLine="5"/>
              <w:jc w:val="left"/>
              <w:rPr>
                <w:b/>
                <w:bCs/>
                <w:sz w:val="20"/>
                <w:szCs w:val="20"/>
              </w:rPr>
            </w:pPr>
            <w:r w:rsidRPr="002C21B8">
              <w:rPr>
                <w:sz w:val="20"/>
                <w:szCs w:val="20"/>
              </w:rPr>
              <w:t>Drug information availability</w:t>
            </w:r>
          </w:p>
        </w:tc>
        <w:tc>
          <w:tcPr>
            <w:tcW w:w="3571" w:type="dxa"/>
          </w:tcPr>
          <w:p w14:paraId="24F44EAC"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Information packs provided to clinicians for use in practice alongside mandatory learning</w:t>
            </w:r>
          </w:p>
        </w:tc>
        <w:tc>
          <w:tcPr>
            <w:tcW w:w="7796" w:type="dxa"/>
          </w:tcPr>
          <w:p w14:paraId="4B7AE7F0"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“[Pharmaceutical company] came out and told us about it. They gave us a nice shiny packet and then told us about the training programme. But that was just at the very start, the training hasn’t continued. I think having that made it easier." (C3)</w:t>
            </w:r>
          </w:p>
        </w:tc>
      </w:tr>
      <w:tr w:rsidR="00180A0E" w:rsidRPr="002C21B8" w14:paraId="3DCEC5CF" w14:textId="77777777" w:rsidTr="0082332F">
        <w:trPr>
          <w:cantSplit/>
        </w:trPr>
        <w:tc>
          <w:tcPr>
            <w:tcW w:w="2525" w:type="dxa"/>
          </w:tcPr>
          <w:p w14:paraId="1358D00A" w14:textId="77777777" w:rsidR="00180A0E" w:rsidRPr="002C21B8" w:rsidRDefault="00180A0E" w:rsidP="00FE4CF7">
            <w:pPr>
              <w:spacing w:beforeLines="40" w:before="96" w:afterLines="40" w:after="96" w:line="240" w:lineRule="auto"/>
              <w:ind w:firstLine="175"/>
              <w:jc w:val="left"/>
              <w:rPr>
                <w:sz w:val="20"/>
                <w:szCs w:val="20"/>
              </w:rPr>
            </w:pPr>
            <w:r w:rsidRPr="002C21B8">
              <w:rPr>
                <w:sz w:val="20"/>
                <w:szCs w:val="20"/>
              </w:rPr>
              <w:t>Brands of the drug</w:t>
            </w:r>
          </w:p>
        </w:tc>
        <w:tc>
          <w:tcPr>
            <w:tcW w:w="3571" w:type="dxa"/>
          </w:tcPr>
          <w:p w14:paraId="5131BC4A"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Not identified</w:t>
            </w:r>
          </w:p>
        </w:tc>
        <w:tc>
          <w:tcPr>
            <w:tcW w:w="7796" w:type="dxa"/>
          </w:tcPr>
          <w:p w14:paraId="7C11469C"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756187EC" w14:textId="77777777" w:rsidTr="0082332F">
        <w:trPr>
          <w:cantSplit/>
        </w:trPr>
        <w:tc>
          <w:tcPr>
            <w:tcW w:w="2525" w:type="dxa"/>
          </w:tcPr>
          <w:p w14:paraId="408768B2"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Sales</w:t>
            </w:r>
          </w:p>
        </w:tc>
        <w:tc>
          <w:tcPr>
            <w:tcW w:w="3571" w:type="dxa"/>
          </w:tcPr>
          <w:p w14:paraId="25C84DFB"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Not identified</w:t>
            </w:r>
          </w:p>
        </w:tc>
        <w:tc>
          <w:tcPr>
            <w:tcW w:w="7796" w:type="dxa"/>
          </w:tcPr>
          <w:p w14:paraId="10645D72"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41E5ABA7" w14:textId="77777777" w:rsidTr="0082332F">
        <w:trPr>
          <w:cantSplit/>
        </w:trPr>
        <w:tc>
          <w:tcPr>
            <w:tcW w:w="2525" w:type="dxa"/>
          </w:tcPr>
          <w:p w14:paraId="39A85AB3" w14:textId="77777777"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Medical representative effectiveness</w:t>
            </w:r>
          </w:p>
        </w:tc>
        <w:tc>
          <w:tcPr>
            <w:tcW w:w="3571" w:type="dxa"/>
          </w:tcPr>
          <w:p w14:paraId="0AAC6982"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Not identified</w:t>
            </w:r>
          </w:p>
        </w:tc>
        <w:tc>
          <w:tcPr>
            <w:tcW w:w="7796" w:type="dxa"/>
          </w:tcPr>
          <w:p w14:paraId="135869F6"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3A9541DC" w14:textId="77777777" w:rsidTr="0082332F">
        <w:trPr>
          <w:cantSplit/>
        </w:trPr>
        <w:tc>
          <w:tcPr>
            <w:tcW w:w="2525" w:type="dxa"/>
          </w:tcPr>
          <w:p w14:paraId="22F702BB" w14:textId="5C7D7BFC"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Promotional events</w:t>
            </w:r>
            <w:r w:rsidR="00D508D9" w:rsidRPr="002C21B8">
              <w:rPr>
                <w:sz w:val="20"/>
                <w:szCs w:val="20"/>
              </w:rPr>
              <w:t xml:space="preserve"> </w:t>
            </w:r>
            <w:r w:rsidRPr="002C21B8">
              <w:rPr>
                <w:b/>
                <w:bCs/>
                <w:sz w:val="20"/>
                <w:szCs w:val="20"/>
              </w:rPr>
              <w:t>*</w:t>
            </w:r>
          </w:p>
        </w:tc>
        <w:tc>
          <w:tcPr>
            <w:tcW w:w="3571" w:type="dxa"/>
          </w:tcPr>
          <w:p w14:paraId="79308A56"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Educational events</w:t>
            </w:r>
          </w:p>
        </w:tc>
        <w:tc>
          <w:tcPr>
            <w:tcW w:w="7796" w:type="dxa"/>
          </w:tcPr>
          <w:p w14:paraId="5637ED3E" w14:textId="77777777" w:rsidR="00180A0E" w:rsidRPr="002C21B8" w:rsidRDefault="00180A0E" w:rsidP="00FE4CF7">
            <w:pPr>
              <w:spacing w:beforeLines="40" w:before="96" w:afterLines="40" w:after="96" w:line="240" w:lineRule="auto"/>
              <w:jc w:val="left"/>
              <w:rPr>
                <w:i/>
                <w:iCs/>
                <w:sz w:val="20"/>
                <w:szCs w:val="20"/>
              </w:rPr>
            </w:pPr>
            <w:r w:rsidRPr="002C21B8">
              <w:rPr>
                <w:i/>
                <w:iCs/>
                <w:color w:val="000000" w:themeColor="text1"/>
                <w:sz w:val="20"/>
                <w:szCs w:val="20"/>
              </w:rPr>
              <w:t>“They [pharmaceutical company] had a whole series of roundtable discussions that people could attend. It was mainly about identifying people that would be eligible and how best to, you know, initiate [tolvaptan], holding people’s hands essentially.” (C4)</w:t>
            </w:r>
          </w:p>
        </w:tc>
      </w:tr>
    </w:tbl>
    <w:p w14:paraId="41D00004" w14:textId="77777777" w:rsidR="0082332F" w:rsidRPr="002C21B8" w:rsidRDefault="0082332F" w:rsidP="00FE4CF7">
      <w:pPr>
        <w:spacing w:line="240" w:lineRule="auto"/>
      </w:pPr>
      <w:r w:rsidRPr="002C21B8">
        <w:br w:type="page"/>
      </w: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3571"/>
        <w:gridCol w:w="7796"/>
      </w:tblGrid>
      <w:tr w:rsidR="00180A0E" w:rsidRPr="002C21B8" w14:paraId="1FAE4CC4" w14:textId="77777777" w:rsidTr="0082332F">
        <w:trPr>
          <w:cantSplit/>
        </w:trPr>
        <w:tc>
          <w:tcPr>
            <w:tcW w:w="2525" w:type="dxa"/>
            <w:tcBorders>
              <w:top w:val="single" w:sz="6" w:space="0" w:color="000000" w:themeColor="text1"/>
            </w:tcBorders>
            <w:shd w:val="clear" w:color="auto" w:fill="F2F2F2" w:themeFill="background1" w:themeFillShade="F2"/>
          </w:tcPr>
          <w:p w14:paraId="0B0C62B3" w14:textId="15002674" w:rsidR="00180A0E" w:rsidRPr="002C21B8" w:rsidRDefault="00180A0E" w:rsidP="00FE4CF7">
            <w:pPr>
              <w:spacing w:beforeLines="40" w:before="96" w:afterLines="40" w:after="96" w:line="240" w:lineRule="auto"/>
              <w:jc w:val="left"/>
              <w:rPr>
                <w:b/>
                <w:bCs/>
                <w:sz w:val="20"/>
                <w:szCs w:val="20"/>
              </w:rPr>
            </w:pPr>
            <w:r w:rsidRPr="002C21B8">
              <w:rPr>
                <w:b/>
                <w:bCs/>
                <w:sz w:val="20"/>
                <w:szCs w:val="20"/>
              </w:rPr>
              <w:t>External factors</w:t>
            </w:r>
          </w:p>
        </w:tc>
        <w:tc>
          <w:tcPr>
            <w:tcW w:w="3571" w:type="dxa"/>
            <w:tcBorders>
              <w:top w:val="single" w:sz="6" w:space="0" w:color="000000" w:themeColor="text1"/>
            </w:tcBorders>
            <w:shd w:val="clear" w:color="auto" w:fill="F2F2F2" w:themeFill="background1" w:themeFillShade="F2"/>
          </w:tcPr>
          <w:p w14:paraId="75333555" w14:textId="77777777" w:rsidR="00180A0E" w:rsidRPr="002C21B8" w:rsidRDefault="00180A0E" w:rsidP="00FE4CF7">
            <w:pPr>
              <w:spacing w:beforeLines="40" w:before="96" w:afterLines="40" w:after="96" w:line="240" w:lineRule="auto"/>
              <w:jc w:val="left"/>
              <w:rPr>
                <w:sz w:val="20"/>
                <w:szCs w:val="20"/>
              </w:rPr>
            </w:pPr>
          </w:p>
        </w:tc>
        <w:tc>
          <w:tcPr>
            <w:tcW w:w="7796" w:type="dxa"/>
            <w:tcBorders>
              <w:top w:val="single" w:sz="6" w:space="0" w:color="000000" w:themeColor="text1"/>
            </w:tcBorders>
            <w:shd w:val="clear" w:color="auto" w:fill="F2F2F2" w:themeFill="background1" w:themeFillShade="F2"/>
          </w:tcPr>
          <w:p w14:paraId="4891E295" w14:textId="77777777" w:rsidR="00180A0E" w:rsidRPr="002C21B8" w:rsidRDefault="00180A0E" w:rsidP="00FE4CF7">
            <w:pPr>
              <w:spacing w:beforeLines="40" w:before="96" w:afterLines="40" w:after="96" w:line="240" w:lineRule="auto"/>
              <w:jc w:val="left"/>
              <w:rPr>
                <w:i/>
                <w:iCs/>
                <w:sz w:val="20"/>
                <w:szCs w:val="20"/>
              </w:rPr>
            </w:pPr>
          </w:p>
        </w:tc>
      </w:tr>
      <w:tr w:rsidR="00180A0E" w:rsidRPr="002C21B8" w14:paraId="7FCA8FB9" w14:textId="77777777" w:rsidTr="0082332F">
        <w:trPr>
          <w:cantSplit/>
        </w:trPr>
        <w:tc>
          <w:tcPr>
            <w:tcW w:w="2525" w:type="dxa"/>
          </w:tcPr>
          <w:p w14:paraId="7CC3BE7C"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Guidelines</w:t>
            </w:r>
          </w:p>
        </w:tc>
        <w:tc>
          <w:tcPr>
            <w:tcW w:w="3571" w:type="dxa"/>
          </w:tcPr>
          <w:p w14:paraId="7C6F9F97"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Published guidelines</w:t>
            </w:r>
          </w:p>
        </w:tc>
        <w:tc>
          <w:tcPr>
            <w:tcW w:w="7796" w:type="dxa"/>
          </w:tcPr>
          <w:p w14:paraId="614A707F"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“We just use the UKKA one.</w:t>
            </w:r>
            <w:r w:rsidRPr="002C21B8">
              <w:rPr>
                <w:i/>
                <w:iCs/>
              </w:rPr>
              <w:t xml:space="preserve"> </w:t>
            </w:r>
            <w:r w:rsidRPr="002C21B8">
              <w:rPr>
                <w:i/>
                <w:iCs/>
                <w:sz w:val="20"/>
                <w:szCs w:val="20"/>
              </w:rPr>
              <w:t>I must admit I don't eyeball the guidelines every week now because I helped write it and so that's just what's in my head now.” (C4)</w:t>
            </w:r>
          </w:p>
        </w:tc>
      </w:tr>
      <w:tr w:rsidR="00180A0E" w:rsidRPr="002C21B8" w14:paraId="5AD7D4BA" w14:textId="77777777" w:rsidTr="0082332F">
        <w:trPr>
          <w:cantSplit/>
        </w:trPr>
        <w:tc>
          <w:tcPr>
            <w:tcW w:w="2525" w:type="dxa"/>
          </w:tcPr>
          <w:p w14:paraId="18F8B960" w14:textId="77777777" w:rsidR="00180A0E" w:rsidRPr="002C21B8" w:rsidRDefault="00180A0E" w:rsidP="00FE4CF7">
            <w:pPr>
              <w:spacing w:beforeLines="40" w:before="96" w:afterLines="40" w:after="96" w:line="240" w:lineRule="auto"/>
              <w:ind w:firstLine="173"/>
              <w:jc w:val="left"/>
              <w:rPr>
                <w:sz w:val="20"/>
                <w:szCs w:val="20"/>
              </w:rPr>
            </w:pPr>
          </w:p>
        </w:tc>
        <w:tc>
          <w:tcPr>
            <w:tcW w:w="3571" w:type="dxa"/>
          </w:tcPr>
          <w:p w14:paraId="18EC5372"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Local guidelines from other centres</w:t>
            </w:r>
          </w:p>
        </w:tc>
        <w:tc>
          <w:tcPr>
            <w:tcW w:w="7796" w:type="dxa"/>
          </w:tcPr>
          <w:p w14:paraId="3D49FF67" w14:textId="58A80215" w:rsidR="00180A0E" w:rsidRPr="002C21B8" w:rsidRDefault="00180A0E" w:rsidP="00FE4CF7">
            <w:pPr>
              <w:spacing w:beforeLines="40" w:before="96" w:afterLines="40" w:after="96" w:line="240" w:lineRule="auto"/>
              <w:jc w:val="left"/>
              <w:rPr>
                <w:i/>
                <w:iCs/>
                <w:sz w:val="20"/>
                <w:szCs w:val="20"/>
              </w:rPr>
            </w:pPr>
            <w:r w:rsidRPr="002C21B8">
              <w:rPr>
                <w:i/>
                <w:iCs/>
                <w:sz w:val="20"/>
                <w:szCs w:val="20"/>
              </w:rPr>
              <w:t>“To be honest , its quicker to go and look at the [other</w:t>
            </w:r>
            <w:r w:rsidR="00CA032E" w:rsidRPr="002C21B8">
              <w:rPr>
                <w:i/>
                <w:iCs/>
                <w:sz w:val="20"/>
                <w:szCs w:val="20"/>
              </w:rPr>
              <w:t xml:space="preserve"> </w:t>
            </w:r>
            <w:r w:rsidR="001B4380" w:rsidRPr="002C21B8">
              <w:rPr>
                <w:i/>
                <w:iCs/>
                <w:sz w:val="20"/>
                <w:szCs w:val="20"/>
              </w:rPr>
              <w:t xml:space="preserve">kidney </w:t>
            </w:r>
            <w:r w:rsidR="00CA032E" w:rsidRPr="002C21B8">
              <w:rPr>
                <w:i/>
                <w:iCs/>
                <w:sz w:val="20"/>
                <w:szCs w:val="20"/>
              </w:rPr>
              <w:t>centre</w:t>
            </w:r>
            <w:r w:rsidRPr="002C21B8">
              <w:rPr>
                <w:i/>
                <w:iCs/>
                <w:sz w:val="20"/>
                <w:szCs w:val="20"/>
              </w:rPr>
              <w:t>] guideline rather than trying to get the link. You just type into Google and it comes up. When you’re in a busy clinic, trying to find it just delays it more than you need. They had a nice little flowchart thing that we used to use as well because somebody printed it out, so that was helpful.” (C3)</w:t>
            </w:r>
          </w:p>
        </w:tc>
      </w:tr>
      <w:tr w:rsidR="00180A0E" w:rsidRPr="002C21B8" w14:paraId="62A294B7" w14:textId="77777777" w:rsidTr="0082332F">
        <w:trPr>
          <w:cantSplit/>
        </w:trPr>
        <w:tc>
          <w:tcPr>
            <w:tcW w:w="2525" w:type="dxa"/>
          </w:tcPr>
          <w:p w14:paraId="2508DA42"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Expert opinion</w:t>
            </w:r>
          </w:p>
        </w:tc>
        <w:tc>
          <w:tcPr>
            <w:tcW w:w="3571" w:type="dxa"/>
          </w:tcPr>
          <w:p w14:paraId="5FA9E506"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Small number of highly influential experts</w:t>
            </w:r>
          </w:p>
        </w:tc>
        <w:tc>
          <w:tcPr>
            <w:tcW w:w="7796" w:type="dxa"/>
          </w:tcPr>
          <w:p w14:paraId="13C40939"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"When all these studies started the most engaged centres were [name of four centres]. So I've been in meeting with representatives from all those places so I think we all probably have a similar approach.” (C4)</w:t>
            </w:r>
          </w:p>
        </w:tc>
      </w:tr>
      <w:tr w:rsidR="00180A0E" w:rsidRPr="002C21B8" w14:paraId="7E2E2D69" w14:textId="77777777" w:rsidTr="0082332F">
        <w:trPr>
          <w:cantSplit/>
        </w:trPr>
        <w:tc>
          <w:tcPr>
            <w:tcW w:w="2525" w:type="dxa"/>
          </w:tcPr>
          <w:p w14:paraId="1230157D"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Academia</w:t>
            </w:r>
          </w:p>
        </w:tc>
        <w:tc>
          <w:tcPr>
            <w:tcW w:w="3571" w:type="dxa"/>
          </w:tcPr>
          <w:p w14:paraId="59B50A31"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Specialist experts publishing</w:t>
            </w:r>
          </w:p>
        </w:tc>
        <w:tc>
          <w:tcPr>
            <w:tcW w:w="7796" w:type="dxa"/>
          </w:tcPr>
          <w:p w14:paraId="1154D2F8" w14:textId="72B17285"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"We're all good at attending CPD and listening to other people, going to things like the Renal Association, ERA, ASN that kind of thing</w:t>
            </w:r>
            <w:r w:rsidR="003B0B70" w:rsidRPr="002C21B8">
              <w:rPr>
                <w:i/>
                <w:iCs/>
                <w:sz w:val="20"/>
                <w:szCs w:val="20"/>
              </w:rPr>
              <w:t>.</w:t>
            </w:r>
            <w:r w:rsidRPr="002C21B8">
              <w:rPr>
                <w:i/>
                <w:iCs/>
                <w:sz w:val="20"/>
                <w:szCs w:val="20"/>
              </w:rPr>
              <w:t xml:space="preserve"> If there's anything... [other hospital lead consultant] writes everything, anything, we read it." (C1)</w:t>
            </w:r>
          </w:p>
        </w:tc>
      </w:tr>
      <w:tr w:rsidR="00180A0E" w:rsidRPr="002C21B8" w14:paraId="262FF9AD" w14:textId="77777777" w:rsidTr="0082332F">
        <w:trPr>
          <w:cantSplit/>
        </w:trPr>
        <w:tc>
          <w:tcPr>
            <w:tcW w:w="2525" w:type="dxa"/>
          </w:tcPr>
          <w:p w14:paraId="4C91139F" w14:textId="4CFF30A9"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Clinical trials</w:t>
            </w:r>
            <w:r w:rsidR="00D508D9" w:rsidRPr="002C21B8">
              <w:rPr>
                <w:sz w:val="20"/>
                <w:szCs w:val="20"/>
              </w:rPr>
              <w:t xml:space="preserve"> </w:t>
            </w:r>
            <w:r w:rsidRPr="002C21B8">
              <w:rPr>
                <w:b/>
                <w:bCs/>
                <w:sz w:val="20"/>
                <w:szCs w:val="20"/>
              </w:rPr>
              <w:t>*</w:t>
            </w:r>
          </w:p>
        </w:tc>
        <w:tc>
          <w:tcPr>
            <w:tcW w:w="3571" w:type="dxa"/>
          </w:tcPr>
          <w:p w14:paraId="74AAABFA" w14:textId="5D603FCD" w:rsidR="00180A0E" w:rsidRPr="002C21B8" w:rsidRDefault="00180A0E" w:rsidP="00FE4CF7">
            <w:pPr>
              <w:spacing w:beforeLines="40" w:before="96" w:afterLines="40" w:after="96" w:line="240" w:lineRule="auto"/>
              <w:jc w:val="left"/>
              <w:rPr>
                <w:sz w:val="20"/>
                <w:szCs w:val="20"/>
              </w:rPr>
            </w:pPr>
            <w:r w:rsidRPr="002C21B8">
              <w:rPr>
                <w:sz w:val="20"/>
                <w:szCs w:val="20"/>
              </w:rPr>
              <w:t>Clinical trials provid</w:t>
            </w:r>
            <w:r w:rsidR="00AE70E8" w:rsidRPr="002C21B8">
              <w:rPr>
                <w:sz w:val="20"/>
                <w:szCs w:val="20"/>
              </w:rPr>
              <w:t>ed</w:t>
            </w:r>
            <w:r w:rsidRPr="002C21B8">
              <w:rPr>
                <w:sz w:val="20"/>
                <w:szCs w:val="20"/>
              </w:rPr>
              <w:t xml:space="preserve"> early experience and confidence</w:t>
            </w:r>
          </w:p>
        </w:tc>
        <w:tc>
          <w:tcPr>
            <w:tcW w:w="7796" w:type="dxa"/>
          </w:tcPr>
          <w:p w14:paraId="52948144"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"Yeah I think it definitely helped being in the trials. We knew more what to expect when it was approved. We already had patients that had been taking it." (C6)</w:t>
            </w:r>
          </w:p>
        </w:tc>
      </w:tr>
      <w:tr w:rsidR="00180A0E" w:rsidRPr="002C21B8" w14:paraId="1684DB7A" w14:textId="77777777" w:rsidTr="0082332F">
        <w:trPr>
          <w:cantSplit/>
        </w:trPr>
        <w:tc>
          <w:tcPr>
            <w:tcW w:w="2525" w:type="dxa"/>
          </w:tcPr>
          <w:p w14:paraId="198A31E0" w14:textId="2369FEB0" w:rsidR="00180A0E" w:rsidRPr="002C21B8" w:rsidRDefault="00180A0E" w:rsidP="00FE4CF7">
            <w:pPr>
              <w:spacing w:beforeLines="40" w:before="96" w:afterLines="40" w:after="96" w:line="240" w:lineRule="auto"/>
              <w:ind w:left="173"/>
              <w:jc w:val="left"/>
              <w:rPr>
                <w:sz w:val="20"/>
                <w:szCs w:val="20"/>
              </w:rPr>
            </w:pPr>
            <w:r w:rsidRPr="002C21B8">
              <w:rPr>
                <w:sz w:val="20"/>
                <w:szCs w:val="20"/>
              </w:rPr>
              <w:t>External audit</w:t>
            </w:r>
            <w:r w:rsidR="00D508D9" w:rsidRPr="002C21B8">
              <w:rPr>
                <w:sz w:val="20"/>
                <w:szCs w:val="20"/>
              </w:rPr>
              <w:t xml:space="preserve"> </w:t>
            </w:r>
            <w:r w:rsidRPr="002C21B8">
              <w:rPr>
                <w:b/>
                <w:bCs/>
                <w:sz w:val="20"/>
                <w:szCs w:val="20"/>
              </w:rPr>
              <w:t>*</w:t>
            </w:r>
          </w:p>
        </w:tc>
        <w:tc>
          <w:tcPr>
            <w:tcW w:w="3571" w:type="dxa"/>
          </w:tcPr>
          <w:p w14:paraId="65A8118D"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Comparisons to other centres</w:t>
            </w:r>
          </w:p>
        </w:tc>
        <w:tc>
          <w:tcPr>
            <w:tcW w:w="7796" w:type="dxa"/>
          </w:tcPr>
          <w:p w14:paraId="7BB62A62"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"One of the things that was picked out in GIRFT was how many people were being prescribed tolvaptan... So we had one of the lowest tolvaptan prescription rates and we got somewhat pilloried for it actually. The person doing the review was pretty concerned about it. That led us to start thinking about your practice and should we be a bit more proactive?” (C1)</w:t>
            </w:r>
          </w:p>
        </w:tc>
      </w:tr>
      <w:tr w:rsidR="00180A0E" w:rsidRPr="002C21B8" w14:paraId="3CF94D20" w14:textId="77777777" w:rsidTr="0082332F">
        <w:trPr>
          <w:cantSplit/>
        </w:trPr>
        <w:tc>
          <w:tcPr>
            <w:tcW w:w="2525" w:type="dxa"/>
            <w:tcBorders>
              <w:bottom w:val="single" w:sz="6" w:space="0" w:color="000000" w:themeColor="text1"/>
            </w:tcBorders>
          </w:tcPr>
          <w:p w14:paraId="01E4A420" w14:textId="3690C123"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Informal professional networks</w:t>
            </w:r>
            <w:r w:rsidR="00D508D9" w:rsidRPr="002C21B8">
              <w:rPr>
                <w:sz w:val="20"/>
                <w:szCs w:val="20"/>
              </w:rPr>
              <w:t xml:space="preserve"> </w:t>
            </w:r>
            <w:r w:rsidRPr="002C21B8">
              <w:rPr>
                <w:b/>
                <w:bCs/>
                <w:sz w:val="20"/>
                <w:szCs w:val="20"/>
              </w:rPr>
              <w:t>*</w:t>
            </w:r>
          </w:p>
        </w:tc>
        <w:tc>
          <w:tcPr>
            <w:tcW w:w="3571" w:type="dxa"/>
            <w:tcBorders>
              <w:bottom w:val="single" w:sz="6" w:space="0" w:color="000000" w:themeColor="text1"/>
            </w:tcBorders>
          </w:tcPr>
          <w:p w14:paraId="3B791A12" w14:textId="3C7E19F5" w:rsidR="00180A0E" w:rsidRPr="002C21B8" w:rsidRDefault="00180A0E" w:rsidP="00FE4CF7">
            <w:pPr>
              <w:spacing w:beforeLines="40" w:before="96" w:afterLines="40" w:after="96" w:line="240" w:lineRule="auto"/>
              <w:jc w:val="left"/>
              <w:rPr>
                <w:sz w:val="20"/>
                <w:szCs w:val="20"/>
              </w:rPr>
            </w:pPr>
            <w:r w:rsidRPr="002C21B8">
              <w:rPr>
                <w:sz w:val="20"/>
                <w:szCs w:val="20"/>
              </w:rPr>
              <w:t>Highly influential on</w:t>
            </w:r>
            <w:r w:rsidR="00005E7B" w:rsidRPr="002C21B8">
              <w:rPr>
                <w:sz w:val="20"/>
                <w:szCs w:val="20"/>
              </w:rPr>
              <w:t xml:space="preserve"> the</w:t>
            </w:r>
            <w:r w:rsidRPr="002C21B8">
              <w:rPr>
                <w:sz w:val="20"/>
                <w:szCs w:val="20"/>
              </w:rPr>
              <w:t xml:space="preserve"> approach to prescribing</w:t>
            </w:r>
          </w:p>
        </w:tc>
        <w:tc>
          <w:tcPr>
            <w:tcW w:w="7796" w:type="dxa"/>
            <w:tcBorders>
              <w:bottom w:val="single" w:sz="6" w:space="0" w:color="000000" w:themeColor="text1"/>
            </w:tcBorders>
          </w:tcPr>
          <w:p w14:paraId="2FE9F218"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"When all these studies started the most engaged centres were [name of four centres]. So I've been in meeting with representatives from all those places so I think we all probably have a similar approach. But late adopters of tolvaptan, who knows what they're doing and what they think of it?" (C4)</w:t>
            </w:r>
          </w:p>
        </w:tc>
      </w:tr>
      <w:tr w:rsidR="00180A0E" w:rsidRPr="002C21B8" w14:paraId="28191A6F" w14:textId="77777777" w:rsidTr="0082332F">
        <w:trPr>
          <w:cantSplit/>
        </w:trPr>
        <w:tc>
          <w:tcPr>
            <w:tcW w:w="2525" w:type="dxa"/>
            <w:tcBorders>
              <w:top w:val="single" w:sz="6" w:space="0" w:color="000000" w:themeColor="text1"/>
            </w:tcBorders>
            <w:shd w:val="clear" w:color="auto" w:fill="F2F2F2" w:themeFill="background1" w:themeFillShade="F2"/>
          </w:tcPr>
          <w:p w14:paraId="43108643" w14:textId="77777777" w:rsidR="00180A0E" w:rsidRPr="002C21B8" w:rsidRDefault="00180A0E" w:rsidP="00FE4CF7">
            <w:pPr>
              <w:spacing w:beforeLines="40" w:before="96" w:afterLines="40" w:after="96" w:line="240" w:lineRule="auto"/>
              <w:jc w:val="left"/>
              <w:rPr>
                <w:b/>
                <w:bCs/>
                <w:sz w:val="20"/>
                <w:szCs w:val="20"/>
              </w:rPr>
            </w:pPr>
            <w:r w:rsidRPr="002C21B8">
              <w:rPr>
                <w:b/>
                <w:bCs/>
                <w:sz w:val="20"/>
                <w:szCs w:val="20"/>
              </w:rPr>
              <w:t>Contextual factors</w:t>
            </w:r>
          </w:p>
        </w:tc>
        <w:tc>
          <w:tcPr>
            <w:tcW w:w="3571" w:type="dxa"/>
            <w:tcBorders>
              <w:top w:val="single" w:sz="6" w:space="0" w:color="000000" w:themeColor="text1"/>
            </w:tcBorders>
            <w:shd w:val="clear" w:color="auto" w:fill="F2F2F2" w:themeFill="background1" w:themeFillShade="F2"/>
          </w:tcPr>
          <w:p w14:paraId="6BFB96AC" w14:textId="77777777" w:rsidR="00180A0E" w:rsidRPr="002C21B8" w:rsidRDefault="00180A0E" w:rsidP="00FE4CF7">
            <w:pPr>
              <w:spacing w:beforeLines="40" w:before="96" w:afterLines="40" w:after="96" w:line="240" w:lineRule="auto"/>
              <w:jc w:val="left"/>
              <w:rPr>
                <w:b/>
                <w:bCs/>
                <w:sz w:val="20"/>
                <w:szCs w:val="20"/>
              </w:rPr>
            </w:pPr>
          </w:p>
        </w:tc>
        <w:tc>
          <w:tcPr>
            <w:tcW w:w="7796" w:type="dxa"/>
            <w:tcBorders>
              <w:top w:val="single" w:sz="6" w:space="0" w:color="000000" w:themeColor="text1"/>
            </w:tcBorders>
            <w:shd w:val="clear" w:color="auto" w:fill="F2F2F2" w:themeFill="background1" w:themeFillShade="F2"/>
          </w:tcPr>
          <w:p w14:paraId="2DD038A0" w14:textId="77777777" w:rsidR="00180A0E" w:rsidRPr="002C21B8" w:rsidRDefault="00180A0E" w:rsidP="00FE4CF7">
            <w:pPr>
              <w:spacing w:beforeLines="40" w:before="96" w:afterLines="40" w:after="96" w:line="240" w:lineRule="auto"/>
              <w:jc w:val="left"/>
              <w:rPr>
                <w:b/>
                <w:bCs/>
                <w:i/>
                <w:iCs/>
                <w:sz w:val="20"/>
                <w:szCs w:val="20"/>
              </w:rPr>
            </w:pPr>
          </w:p>
        </w:tc>
      </w:tr>
      <w:tr w:rsidR="00180A0E" w:rsidRPr="002C21B8" w14:paraId="10ECB802" w14:textId="77777777" w:rsidTr="0082332F">
        <w:trPr>
          <w:cantSplit/>
        </w:trPr>
        <w:tc>
          <w:tcPr>
            <w:tcW w:w="2525" w:type="dxa"/>
          </w:tcPr>
          <w:p w14:paraId="6617D2AA"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Condition factors</w:t>
            </w:r>
          </w:p>
        </w:tc>
        <w:tc>
          <w:tcPr>
            <w:tcW w:w="3571" w:type="dxa"/>
          </w:tcPr>
          <w:p w14:paraId="3AF9A265"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Small patient numbers</w:t>
            </w:r>
          </w:p>
        </w:tc>
        <w:tc>
          <w:tcPr>
            <w:tcW w:w="7796" w:type="dxa"/>
          </w:tcPr>
          <w:p w14:paraId="15D7BFFB"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suspect that late adopters because they've not been involved in studies, they're less familiar and it's just like their real world experience of it is reduced and therefore they think about it a lot less often." (C1)</w:t>
            </w:r>
          </w:p>
        </w:tc>
      </w:tr>
      <w:tr w:rsidR="00180A0E" w:rsidRPr="002C21B8" w14:paraId="4FECC612" w14:textId="77777777" w:rsidTr="0082332F">
        <w:trPr>
          <w:cantSplit/>
        </w:trPr>
        <w:tc>
          <w:tcPr>
            <w:tcW w:w="2525" w:type="dxa"/>
          </w:tcPr>
          <w:p w14:paraId="645BE490" w14:textId="77777777" w:rsidR="00180A0E" w:rsidRPr="002C21B8" w:rsidRDefault="00180A0E" w:rsidP="00FE4CF7">
            <w:pPr>
              <w:spacing w:beforeLines="40" w:before="96" w:afterLines="40" w:after="96" w:line="240" w:lineRule="auto"/>
              <w:ind w:firstLine="173"/>
              <w:jc w:val="left"/>
              <w:rPr>
                <w:sz w:val="20"/>
                <w:szCs w:val="20"/>
              </w:rPr>
            </w:pPr>
          </w:p>
        </w:tc>
        <w:tc>
          <w:tcPr>
            <w:tcW w:w="3571" w:type="dxa"/>
          </w:tcPr>
          <w:p w14:paraId="345C5F3A"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High clinical burden</w:t>
            </w:r>
          </w:p>
        </w:tc>
        <w:tc>
          <w:tcPr>
            <w:tcW w:w="7796" w:type="dxa"/>
          </w:tcPr>
          <w:p w14:paraId="56BDF1A9"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“Well, we have a couple of patients who take it primarily for pain, but, but normally, they meet all the other criteria anyway” (R1)</w:t>
            </w:r>
          </w:p>
        </w:tc>
      </w:tr>
      <w:tr w:rsidR="00180A0E" w:rsidRPr="002C21B8" w14:paraId="3C4B69FC" w14:textId="77777777" w:rsidTr="0082332F">
        <w:trPr>
          <w:cantSplit/>
        </w:trPr>
        <w:tc>
          <w:tcPr>
            <w:tcW w:w="2525" w:type="dxa"/>
          </w:tcPr>
          <w:p w14:paraId="49778D09" w14:textId="77777777" w:rsidR="00180A0E" w:rsidRPr="002C21B8" w:rsidRDefault="00180A0E" w:rsidP="00FE4CF7">
            <w:pPr>
              <w:spacing w:beforeLines="40" w:before="96" w:afterLines="40" w:after="96" w:line="240" w:lineRule="auto"/>
              <w:ind w:firstLine="173"/>
              <w:jc w:val="left"/>
              <w:rPr>
                <w:sz w:val="20"/>
                <w:szCs w:val="20"/>
              </w:rPr>
            </w:pPr>
          </w:p>
        </w:tc>
        <w:tc>
          <w:tcPr>
            <w:tcW w:w="3571" w:type="dxa"/>
          </w:tcPr>
          <w:p w14:paraId="0A6A6CB6"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Heterogeneity</w:t>
            </w:r>
          </w:p>
        </w:tc>
        <w:tc>
          <w:tcPr>
            <w:tcW w:w="7796" w:type="dxa"/>
          </w:tcPr>
          <w:p w14:paraId="2FD93ECF"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think part of it is that everyone with it [ADPKD] is so different. It makes it a bit harder to know who would benefit or who should have it [tolvaptan]” (C4)</w:t>
            </w:r>
          </w:p>
        </w:tc>
      </w:tr>
      <w:tr w:rsidR="00180A0E" w:rsidRPr="002C21B8" w14:paraId="7B405836" w14:textId="77777777" w:rsidTr="0082332F">
        <w:trPr>
          <w:cantSplit/>
        </w:trPr>
        <w:tc>
          <w:tcPr>
            <w:tcW w:w="2525" w:type="dxa"/>
          </w:tcPr>
          <w:p w14:paraId="342DB9C5" w14:textId="77777777" w:rsidR="00180A0E" w:rsidRPr="002C21B8" w:rsidRDefault="00180A0E" w:rsidP="00FE4CF7">
            <w:pPr>
              <w:spacing w:beforeLines="40" w:before="96" w:afterLines="40" w:after="96" w:line="240" w:lineRule="auto"/>
              <w:ind w:left="180" w:hanging="7"/>
              <w:jc w:val="left"/>
              <w:rPr>
                <w:sz w:val="20"/>
                <w:szCs w:val="20"/>
              </w:rPr>
            </w:pPr>
            <w:r w:rsidRPr="002C21B8">
              <w:rPr>
                <w:sz w:val="20"/>
                <w:szCs w:val="20"/>
              </w:rPr>
              <w:t>Medication characteristics</w:t>
            </w:r>
          </w:p>
        </w:tc>
        <w:tc>
          <w:tcPr>
            <w:tcW w:w="3571" w:type="dxa"/>
          </w:tcPr>
          <w:p w14:paraId="593C9082"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Sole treatment option</w:t>
            </w:r>
          </w:p>
        </w:tc>
        <w:tc>
          <w:tcPr>
            <w:tcW w:w="7796" w:type="dxa"/>
          </w:tcPr>
          <w:p w14:paraId="0380B22F"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"I know that some centres just give tolvaptan to everyone with ADPKD, but I wouldn't necessarily do that, I think there has to be an indication for it. I suppose they are just wanting to help and there aren’t any other options." (C5)</w:t>
            </w:r>
          </w:p>
        </w:tc>
      </w:tr>
      <w:tr w:rsidR="00180A0E" w:rsidRPr="002C21B8" w14:paraId="1525DE3F" w14:textId="77777777" w:rsidTr="0082332F">
        <w:trPr>
          <w:cantSplit/>
        </w:trPr>
        <w:tc>
          <w:tcPr>
            <w:tcW w:w="2525" w:type="dxa"/>
          </w:tcPr>
          <w:p w14:paraId="6E851716" w14:textId="77777777" w:rsidR="00180A0E" w:rsidRPr="002C21B8" w:rsidRDefault="00180A0E" w:rsidP="00FE4CF7">
            <w:pPr>
              <w:spacing w:beforeLines="40" w:before="96" w:afterLines="40" w:after="96" w:line="240" w:lineRule="auto"/>
              <w:ind w:firstLine="173"/>
              <w:jc w:val="left"/>
              <w:rPr>
                <w:sz w:val="20"/>
                <w:szCs w:val="20"/>
              </w:rPr>
            </w:pPr>
          </w:p>
        </w:tc>
        <w:tc>
          <w:tcPr>
            <w:tcW w:w="3571" w:type="dxa"/>
          </w:tcPr>
          <w:p w14:paraId="02D3906C"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Risks</w:t>
            </w:r>
          </w:p>
        </w:tc>
        <w:tc>
          <w:tcPr>
            <w:tcW w:w="7796" w:type="dxa"/>
          </w:tcPr>
          <w:p w14:paraId="0958223B"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"You should make a clinical judgement of whether the patient is going to be in the right group to receive it, they're expensive, they've got risks." (C6)</w:t>
            </w:r>
          </w:p>
        </w:tc>
      </w:tr>
      <w:tr w:rsidR="00180A0E" w:rsidRPr="002C21B8" w14:paraId="70F7F18C" w14:textId="77777777" w:rsidTr="0082332F">
        <w:trPr>
          <w:cantSplit/>
        </w:trPr>
        <w:tc>
          <w:tcPr>
            <w:tcW w:w="2525" w:type="dxa"/>
          </w:tcPr>
          <w:p w14:paraId="68CBD2D1"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Risk-benefit assessment</w:t>
            </w:r>
          </w:p>
        </w:tc>
        <w:tc>
          <w:tcPr>
            <w:tcW w:w="3571" w:type="dxa"/>
          </w:tcPr>
          <w:p w14:paraId="6E6398DE"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Individualised risk-benefit</w:t>
            </w:r>
          </w:p>
        </w:tc>
        <w:tc>
          <w:tcPr>
            <w:tcW w:w="7796" w:type="dxa"/>
          </w:tcPr>
          <w:p w14:paraId="7DEC6552"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“So me and [lead consultant] had a discussion about a patient recently whose eGFR was dropping off… And we kind of agreed that it probably won’t make much of a difference. Because I think it’s such a massive undertaking… I just think is it worth it?” (C5)</w:t>
            </w:r>
          </w:p>
        </w:tc>
      </w:tr>
      <w:tr w:rsidR="00180A0E" w:rsidRPr="002C21B8" w14:paraId="7DF00388" w14:textId="77777777" w:rsidTr="0082332F">
        <w:trPr>
          <w:cantSplit/>
        </w:trPr>
        <w:tc>
          <w:tcPr>
            <w:tcW w:w="2525" w:type="dxa"/>
          </w:tcPr>
          <w:p w14:paraId="72FA8450"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Clinical inertia</w:t>
            </w:r>
          </w:p>
        </w:tc>
        <w:tc>
          <w:tcPr>
            <w:tcW w:w="3571" w:type="dxa"/>
          </w:tcPr>
          <w:p w14:paraId="0FB2E607" w14:textId="37990094" w:rsidR="00180A0E" w:rsidRPr="002C21B8" w:rsidRDefault="00180A0E" w:rsidP="00FE4CF7">
            <w:pPr>
              <w:spacing w:beforeLines="40" w:before="96" w:afterLines="40" w:after="96" w:line="240" w:lineRule="auto"/>
              <w:jc w:val="left"/>
              <w:rPr>
                <w:sz w:val="20"/>
                <w:szCs w:val="20"/>
              </w:rPr>
            </w:pPr>
            <w:r w:rsidRPr="002C21B8">
              <w:rPr>
                <w:sz w:val="20"/>
                <w:szCs w:val="20"/>
              </w:rPr>
              <w:t>Initial scepticism</w:t>
            </w:r>
          </w:p>
        </w:tc>
        <w:tc>
          <w:tcPr>
            <w:tcW w:w="7796" w:type="dxa"/>
          </w:tcPr>
          <w:p w14:paraId="5D2F62D9" w14:textId="77777777" w:rsidR="00180A0E" w:rsidRPr="002C21B8" w:rsidRDefault="00180A0E" w:rsidP="00FE4CF7">
            <w:pPr>
              <w:spacing w:beforeLines="40" w:before="96" w:afterLines="40" w:after="96" w:line="240" w:lineRule="auto"/>
              <w:jc w:val="left"/>
              <w:rPr>
                <w:i/>
                <w:iCs/>
                <w:sz w:val="20"/>
                <w:szCs w:val="20"/>
              </w:rPr>
            </w:pPr>
            <w:r w:rsidRPr="002C21B8">
              <w:rPr>
                <w:i/>
                <w:iCs/>
                <w:sz w:val="20"/>
                <w:szCs w:val="20"/>
              </w:rPr>
              <w:t>“I have to say that when tolvaptan first came along I was very sceptical about it. We all were [consultants at centre]. But it seemed to have quite a lot of side effects and the benefit is there but it’s not huge. And we offered it to patients but we didn’t push it.” (C1)</w:t>
            </w:r>
          </w:p>
        </w:tc>
      </w:tr>
      <w:tr w:rsidR="00180A0E" w:rsidRPr="002C21B8" w14:paraId="74580F02" w14:textId="77777777" w:rsidTr="0082332F">
        <w:trPr>
          <w:cantSplit/>
        </w:trPr>
        <w:tc>
          <w:tcPr>
            <w:tcW w:w="2525" w:type="dxa"/>
          </w:tcPr>
          <w:p w14:paraId="7BC47D67"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Costs</w:t>
            </w:r>
          </w:p>
        </w:tc>
        <w:tc>
          <w:tcPr>
            <w:tcW w:w="3571" w:type="dxa"/>
          </w:tcPr>
          <w:p w14:paraId="3C0BC224"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High medication costs</w:t>
            </w:r>
          </w:p>
          <w:p w14:paraId="2A23C44F" w14:textId="77777777" w:rsidR="00180A0E" w:rsidRPr="002C21B8" w:rsidRDefault="00180A0E" w:rsidP="00FE4CF7">
            <w:pPr>
              <w:spacing w:beforeLines="40" w:before="96" w:afterLines="40" w:after="96" w:line="240" w:lineRule="auto"/>
              <w:jc w:val="left"/>
              <w:rPr>
                <w:sz w:val="20"/>
                <w:szCs w:val="20"/>
              </w:rPr>
            </w:pPr>
          </w:p>
        </w:tc>
        <w:tc>
          <w:tcPr>
            <w:tcW w:w="7796" w:type="dxa"/>
          </w:tcPr>
          <w:p w14:paraId="392ECD63"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“For some people cost is always an issue, particularly if you’re in management circles. People always talk about the cost of stuff. It wasn’t nationally commissioned or whatever, people were worried about the cost initially.” (C4)</w:t>
            </w:r>
          </w:p>
          <w:p w14:paraId="538A1BC4"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"You should make a clinical judgement of whether the patient is going to be in the right group to receive it, they're expensive, they've got risks." (C6)</w:t>
            </w:r>
          </w:p>
        </w:tc>
      </w:tr>
      <w:tr w:rsidR="00180A0E" w:rsidRPr="002C21B8" w14:paraId="6D06D3D4" w14:textId="77777777" w:rsidTr="001824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525" w:type="dxa"/>
            <w:tcBorders>
              <w:top w:val="nil"/>
              <w:left w:val="nil"/>
              <w:bottom w:val="nil"/>
              <w:right w:val="nil"/>
            </w:tcBorders>
          </w:tcPr>
          <w:p w14:paraId="7144B3A3" w14:textId="77777777" w:rsidR="00180A0E" w:rsidRPr="002C21B8" w:rsidRDefault="00180A0E" w:rsidP="00FE4CF7">
            <w:pPr>
              <w:spacing w:beforeLines="40" w:before="96" w:afterLines="40" w:after="96" w:line="240" w:lineRule="auto"/>
              <w:ind w:firstLine="173"/>
              <w:jc w:val="left"/>
              <w:rPr>
                <w:sz w:val="20"/>
                <w:szCs w:val="20"/>
              </w:rPr>
            </w:pPr>
          </w:p>
        </w:tc>
        <w:tc>
          <w:tcPr>
            <w:tcW w:w="3571" w:type="dxa"/>
            <w:tcBorders>
              <w:top w:val="nil"/>
              <w:left w:val="nil"/>
              <w:bottom w:val="nil"/>
              <w:right w:val="nil"/>
            </w:tcBorders>
          </w:tcPr>
          <w:p w14:paraId="73AC746A"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Other costs</w:t>
            </w:r>
          </w:p>
        </w:tc>
        <w:tc>
          <w:tcPr>
            <w:tcW w:w="7796" w:type="dxa"/>
            <w:tcBorders>
              <w:top w:val="nil"/>
              <w:left w:val="nil"/>
              <w:bottom w:val="nil"/>
              <w:right w:val="nil"/>
            </w:tcBorders>
          </w:tcPr>
          <w:p w14:paraId="39FAFE9E"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“It’s not just the medication. It is everything that goes along with it… the monitoring, staff to support it, delivering the medication… there’s lots of things you wouldn’t think about.” (P2)</w:t>
            </w:r>
          </w:p>
        </w:tc>
      </w:tr>
      <w:tr w:rsidR="00180A0E" w:rsidRPr="002C21B8" w14:paraId="24DF70F9" w14:textId="77777777" w:rsidTr="001824CC">
        <w:trPr>
          <w:cantSplit/>
        </w:trPr>
        <w:tc>
          <w:tcPr>
            <w:tcW w:w="2525" w:type="dxa"/>
            <w:tcBorders>
              <w:bottom w:val="single" w:sz="12" w:space="0" w:color="auto"/>
            </w:tcBorders>
          </w:tcPr>
          <w:p w14:paraId="39F96374" w14:textId="77777777" w:rsidR="00180A0E" w:rsidRPr="002C21B8" w:rsidRDefault="00180A0E" w:rsidP="00FE4CF7">
            <w:pPr>
              <w:spacing w:beforeLines="40" w:before="96" w:afterLines="40" w:after="96" w:line="240" w:lineRule="auto"/>
              <w:ind w:firstLine="173"/>
              <w:jc w:val="left"/>
              <w:rPr>
                <w:sz w:val="20"/>
                <w:szCs w:val="20"/>
              </w:rPr>
            </w:pPr>
            <w:r w:rsidRPr="002C21B8">
              <w:rPr>
                <w:sz w:val="20"/>
                <w:szCs w:val="20"/>
              </w:rPr>
              <w:t>Shared decision-making</w:t>
            </w:r>
          </w:p>
        </w:tc>
        <w:tc>
          <w:tcPr>
            <w:tcW w:w="3571" w:type="dxa"/>
            <w:tcBorders>
              <w:bottom w:val="single" w:sz="12" w:space="0" w:color="auto"/>
            </w:tcBorders>
          </w:tcPr>
          <w:p w14:paraId="2F692126" w14:textId="77777777" w:rsidR="00180A0E" w:rsidRPr="002C21B8" w:rsidRDefault="00180A0E" w:rsidP="00FE4CF7">
            <w:pPr>
              <w:spacing w:beforeLines="40" w:before="96" w:afterLines="40" w:after="96" w:line="240" w:lineRule="auto"/>
              <w:jc w:val="left"/>
              <w:rPr>
                <w:sz w:val="20"/>
                <w:szCs w:val="20"/>
              </w:rPr>
            </w:pPr>
            <w:r w:rsidRPr="002C21B8">
              <w:rPr>
                <w:sz w:val="20"/>
                <w:szCs w:val="20"/>
              </w:rPr>
              <w:t>High patient involvement in decisions</w:t>
            </w:r>
          </w:p>
        </w:tc>
        <w:tc>
          <w:tcPr>
            <w:tcW w:w="7796" w:type="dxa"/>
            <w:tcBorders>
              <w:bottom w:val="single" w:sz="12" w:space="0" w:color="auto"/>
            </w:tcBorders>
          </w:tcPr>
          <w:p w14:paraId="6F2977A2" w14:textId="77777777" w:rsidR="00180A0E" w:rsidRPr="002C21B8" w:rsidRDefault="00180A0E" w:rsidP="00FE4CF7">
            <w:pPr>
              <w:spacing w:beforeLines="40" w:before="96" w:afterLines="40" w:after="96" w:line="240" w:lineRule="auto"/>
              <w:rPr>
                <w:i/>
                <w:iCs/>
                <w:sz w:val="20"/>
                <w:szCs w:val="20"/>
              </w:rPr>
            </w:pPr>
            <w:r w:rsidRPr="002C21B8">
              <w:rPr>
                <w:i/>
                <w:iCs/>
                <w:sz w:val="20"/>
                <w:szCs w:val="20"/>
              </w:rPr>
              <w:t>"I think it is about being open and honest with your patients, it's about giving them... I mean some may say you should only talk about the options that are suitable for them, but I think it's good to say look, these are the options for all the patients but actually you're not suitable for these ones yet." (C5)</w:t>
            </w:r>
          </w:p>
        </w:tc>
      </w:tr>
    </w:tbl>
    <w:p w14:paraId="2AFDC252" w14:textId="587733EF" w:rsidR="00180A0E" w:rsidRPr="002C21B8" w:rsidRDefault="00180A0E" w:rsidP="00FE4CF7">
      <w:pPr>
        <w:spacing w:before="120" w:line="240" w:lineRule="auto"/>
        <w:rPr>
          <w:color w:val="7B7B7B" w:themeColor="accent3" w:themeShade="BF"/>
          <w:sz w:val="21"/>
          <w:szCs w:val="21"/>
        </w:rPr>
        <w:sectPr w:rsidR="00180A0E" w:rsidRPr="002C21B8" w:rsidSect="0009672F">
          <w:headerReference w:type="default" r:id="rId58"/>
          <w:type w:val="continuous"/>
          <w:pgSz w:w="16838" w:h="11906" w:orient="landscape"/>
          <w:pgMar w:top="1440" w:right="1440" w:bottom="1440" w:left="1440" w:header="708" w:footer="708" w:gutter="0"/>
          <w:cols w:space="708"/>
          <w:docGrid w:linePitch="360"/>
        </w:sectPr>
      </w:pPr>
      <w:r w:rsidRPr="002C21B8">
        <w:rPr>
          <w:b/>
          <w:bCs/>
          <w:color w:val="7B7B7B" w:themeColor="accent3" w:themeShade="BF"/>
          <w:sz w:val="21"/>
          <w:szCs w:val="21"/>
        </w:rPr>
        <w:t>*</w:t>
      </w:r>
      <w:r w:rsidRPr="002C21B8">
        <w:rPr>
          <w:color w:val="7B7B7B" w:themeColor="accent3" w:themeShade="BF"/>
          <w:sz w:val="21"/>
          <w:szCs w:val="21"/>
        </w:rPr>
        <w:t xml:space="preserve"> Additional factor</w:t>
      </w:r>
      <w:r w:rsidR="00895B2B">
        <w:rPr>
          <w:color w:val="7B7B7B" w:themeColor="accent3" w:themeShade="BF"/>
          <w:sz w:val="21"/>
          <w:szCs w:val="21"/>
        </w:rPr>
        <w:t>s</w:t>
      </w:r>
      <w:r w:rsidRPr="002C21B8">
        <w:rPr>
          <w:color w:val="7B7B7B" w:themeColor="accent3" w:themeShade="BF"/>
          <w:sz w:val="21"/>
          <w:szCs w:val="21"/>
        </w:rPr>
        <w:t xml:space="preserve"> not found in</w:t>
      </w:r>
      <w:r w:rsidR="00FA5F90" w:rsidRPr="002C21B8">
        <w:rPr>
          <w:color w:val="7B7B7B" w:themeColor="accent3" w:themeShade="BF"/>
          <w:sz w:val="21"/>
          <w:szCs w:val="21"/>
        </w:rPr>
        <w:t xml:space="preserve"> the</w:t>
      </w:r>
      <w:r w:rsidRPr="002C21B8">
        <w:rPr>
          <w:color w:val="7B7B7B" w:themeColor="accent3" w:themeShade="BF"/>
          <w:sz w:val="21"/>
          <w:szCs w:val="21"/>
        </w:rPr>
        <w:t xml:space="preserve"> conceptual model </w:t>
      </w:r>
      <w:r w:rsidR="003A4E04" w:rsidRPr="002C21B8">
        <w:rPr>
          <w:color w:val="7B7B7B" w:themeColor="accent3" w:themeShade="BF"/>
          <w:sz w:val="21"/>
          <w:szCs w:val="21"/>
        </w:rPr>
        <w:t xml:space="preserve">of </w:t>
      </w:r>
      <w:r w:rsidRPr="002C21B8">
        <w:rPr>
          <w:color w:val="7B7B7B" w:themeColor="accent3" w:themeShade="BF"/>
          <w:sz w:val="21"/>
          <w:szCs w:val="21"/>
        </w:rPr>
        <w:t>prescribing decision</w:t>
      </w:r>
      <w:r w:rsidR="003A4E04" w:rsidRPr="002C21B8">
        <w:rPr>
          <w:color w:val="7B7B7B" w:themeColor="accent3" w:themeShade="BF"/>
          <w:sz w:val="21"/>
          <w:szCs w:val="21"/>
        </w:rPr>
        <w:t xml:space="preserve">-making </w:t>
      </w:r>
      <w:r w:rsidRPr="002C21B8">
        <w:rPr>
          <w:color w:val="7B7B7B" w:themeColor="accent3" w:themeShade="BF"/>
          <w:sz w:val="21"/>
          <w:szCs w:val="21"/>
        </w:rPr>
        <w:t>in chronic conditions</w:t>
      </w:r>
      <w:r w:rsidR="00C14BCF" w:rsidRPr="002C21B8">
        <w:rPr>
          <w:color w:val="7B7B7B" w:themeColor="accent3" w:themeShade="BF"/>
          <w:sz w:val="21"/>
          <w:szCs w:val="21"/>
        </w:rPr>
        <w:t xml:space="preserve"> </w:t>
      </w:r>
      <w:r w:rsidR="00C14BCF" w:rsidRPr="002C21B8">
        <w:rPr>
          <w:color w:val="7B7B7B" w:themeColor="accent3" w:themeShade="BF"/>
          <w:sz w:val="21"/>
          <w:szCs w:val="21"/>
        </w:rPr>
        <w:fldChar w:fldCharType="begin"/>
      </w:r>
      <w:r w:rsidR="00C14BCF" w:rsidRPr="002C21B8">
        <w:rPr>
          <w:color w:val="7B7B7B" w:themeColor="accent3" w:themeShade="BF"/>
          <w:sz w:val="21"/>
          <w:szCs w:val="21"/>
        </w:rPr>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C14BCF" w:rsidRPr="002C21B8">
        <w:rPr>
          <w:color w:val="7B7B7B" w:themeColor="accent3" w:themeShade="BF"/>
          <w:sz w:val="21"/>
          <w:szCs w:val="21"/>
        </w:rPr>
        <w:fldChar w:fldCharType="separate"/>
      </w:r>
      <w:r w:rsidR="00C14BCF" w:rsidRPr="002C21B8">
        <w:rPr>
          <w:noProof/>
          <w:color w:val="7B7B7B" w:themeColor="accent3" w:themeShade="BF"/>
          <w:sz w:val="21"/>
          <w:szCs w:val="21"/>
        </w:rPr>
        <w:t>(Gittus</w:t>
      </w:r>
      <w:r w:rsidR="00C14BCF" w:rsidRPr="002C21B8">
        <w:rPr>
          <w:i/>
          <w:noProof/>
          <w:color w:val="7B7B7B" w:themeColor="accent3" w:themeShade="BF"/>
          <w:sz w:val="21"/>
          <w:szCs w:val="21"/>
        </w:rPr>
        <w:t xml:space="preserve"> et al.</w:t>
      </w:r>
      <w:r w:rsidR="00C14BCF" w:rsidRPr="002C21B8">
        <w:rPr>
          <w:noProof/>
          <w:color w:val="7B7B7B" w:themeColor="accent3" w:themeShade="BF"/>
          <w:sz w:val="21"/>
          <w:szCs w:val="21"/>
        </w:rPr>
        <w:t>, 2025b)</w:t>
      </w:r>
      <w:r w:rsidR="00C14BCF" w:rsidRPr="002C21B8">
        <w:rPr>
          <w:color w:val="7B7B7B" w:themeColor="accent3" w:themeShade="BF"/>
          <w:sz w:val="21"/>
          <w:szCs w:val="21"/>
        </w:rPr>
        <w:fldChar w:fldCharType="end"/>
      </w:r>
    </w:p>
    <w:p w14:paraId="416BEA07" w14:textId="11C89598" w:rsidR="00D04E66" w:rsidRPr="002C21B8" w:rsidRDefault="005A73C1" w:rsidP="00D04E66">
      <w:r w:rsidRPr="002C21B8">
        <w:t xml:space="preserve">Beyond the individual factors presented in </w:t>
      </w:r>
      <w:r w:rsidRPr="002C21B8">
        <w:fldChar w:fldCharType="begin"/>
      </w:r>
      <w:r w:rsidRPr="002C21B8">
        <w:instrText xml:space="preserve"> REF _Ref226821815 \h  \* MERGEFORMAT </w:instrText>
      </w:r>
      <w:r w:rsidRPr="002C21B8">
        <w:fldChar w:fldCharType="separate"/>
      </w:r>
      <w:r w:rsidR="00DB3709" w:rsidRPr="002C21B8">
        <w:t xml:space="preserve">Table </w:t>
      </w:r>
      <w:r w:rsidR="00DB3709">
        <w:rPr>
          <w:noProof/>
        </w:rPr>
        <w:t>20</w:t>
      </w:r>
      <w:r w:rsidRPr="002C21B8">
        <w:fldChar w:fldCharType="end"/>
      </w:r>
      <w:r w:rsidRPr="002C21B8">
        <w:t>, several broader themes that were specific to or amplified in rare diseases were identified.</w:t>
      </w:r>
      <w:r w:rsidR="00D04E66" w:rsidRPr="002C21B8">
        <w:t xml:space="preserve"> These included therapeutic scarcity, small patient numbers, disease heterogeneity, highly influential experts, highly informed patients and patient requests, and high costs.</w:t>
      </w:r>
      <w:r w:rsidR="00E57FA3" w:rsidRPr="002C21B8">
        <w:t xml:space="preserve"> The following sections explore these themes in greater depth.</w:t>
      </w:r>
    </w:p>
    <w:p w14:paraId="02C67C7C" w14:textId="76816D92" w:rsidR="00D04E66" w:rsidRPr="002C21B8" w:rsidRDefault="00D04E66" w:rsidP="00D04E66">
      <w:pPr>
        <w:spacing w:after="0"/>
        <w:jc w:val="left"/>
        <w:rPr>
          <w:b/>
          <w:bCs/>
          <w:i/>
          <w:iCs/>
        </w:rPr>
      </w:pPr>
      <w:r w:rsidRPr="002C21B8">
        <w:rPr>
          <w:b/>
          <w:bCs/>
          <w:i/>
          <w:iCs/>
        </w:rPr>
        <w:t>Decision-making under therapeutic scarcity</w:t>
      </w:r>
    </w:p>
    <w:p w14:paraId="7E41CFBC" w14:textId="77777777" w:rsidR="00D04E66" w:rsidRPr="002C21B8" w:rsidRDefault="00D04E66" w:rsidP="00D04E66">
      <w:r w:rsidRPr="002C21B8">
        <w:t>Clinicians described the limited availability of disease-modifying therapies for ADPKD as influencing their prescribing decisions for tolvaptan. Tolvaptan represented the first opportunity for patients to receive a disease-modifying treatment. One clinician described being highly motivated and personally invested in offering tolvaptan to maximise potential benefits because it was the only option available after a long period without treatment options.</w:t>
      </w:r>
    </w:p>
    <w:p w14:paraId="3DCB5F0D" w14:textId="77777777" w:rsidR="00D04E66" w:rsidRPr="002C21B8" w:rsidRDefault="00D04E66" w:rsidP="00D04E66">
      <w:pPr>
        <w:ind w:left="720"/>
        <w:rPr>
          <w:i/>
          <w:iCs/>
        </w:rPr>
      </w:pPr>
      <w:r w:rsidRPr="002C21B8">
        <w:rPr>
          <w:i/>
          <w:iCs/>
        </w:rPr>
        <w:t>“From an early stage I was like an early adopter of tolvaptan and realised it was the first ever disease-modifying drug we had, and I was very keen to try it in as many people as possible.” (C4)</w:t>
      </w:r>
    </w:p>
    <w:p w14:paraId="3E0A4F6A" w14:textId="1F8C25EB" w:rsidR="00D04E66" w:rsidRPr="002C21B8" w:rsidRDefault="00D04E66" w:rsidP="00D04E66">
      <w:r w:rsidRPr="002C21B8">
        <w:t xml:space="preserve">During the clinic observations, this </w:t>
      </w:r>
      <w:r w:rsidR="00240E2C" w:rsidRPr="002C21B8">
        <w:t xml:space="preserve">was observed to </w:t>
      </w:r>
      <w:r w:rsidRPr="002C21B8">
        <w:t>encourage more flexible prescribing decision-making. Some clinicians appeared to prioritise their clinical judgement over strict eligibility criteria, driven by a desire to benefit</w:t>
      </w:r>
      <w:r w:rsidR="00240E2C" w:rsidRPr="002C21B8">
        <w:t xml:space="preserve"> the patient</w:t>
      </w:r>
      <w:r w:rsidRPr="002C21B8">
        <w:t>. In practice, clinicians applied this flexibility in several ways: initiating treatment outside the approved CKD treatment window, adjusting thresholds for borderline ineligible patients, and initiating th</w:t>
      </w:r>
      <w:r w:rsidR="003A0CCA" w:rsidRPr="002C21B8">
        <w:t>e medication</w:t>
      </w:r>
      <w:r w:rsidRPr="002C21B8">
        <w:t xml:space="preserve"> based on having a diagnosis of ADPKD alone.</w:t>
      </w:r>
    </w:p>
    <w:p w14:paraId="2C95593F" w14:textId="77777777" w:rsidR="00D04E66" w:rsidRPr="002C21B8" w:rsidRDefault="00D04E66" w:rsidP="00D04E66">
      <w:r w:rsidRPr="002C21B8">
        <w:t>For patients with normal kidney function above the formal CKD stage treatment criteria, some clinicians used their clinical judgement to identify those potentially at risk of future rapid disease progression, based on family history or genetic cause, and used this to justify prescribing outside the national guidance. As one clinician explained:</w:t>
      </w:r>
    </w:p>
    <w:p w14:paraId="788D8127" w14:textId="6D44817C" w:rsidR="00D04E66" w:rsidRPr="002C21B8" w:rsidRDefault="00D04E66" w:rsidP="00D04E66">
      <w:pPr>
        <w:ind w:left="720"/>
        <w:rPr>
          <w:i/>
          <w:iCs/>
        </w:rPr>
      </w:pPr>
      <w:r w:rsidRPr="002C21B8">
        <w:rPr>
          <w:i/>
          <w:iCs/>
        </w:rPr>
        <w:t>“We have started people over 90 [ml/min/1.73m</w:t>
      </w:r>
      <w:r w:rsidRPr="002C21B8">
        <w:rPr>
          <w:i/>
          <w:iCs/>
          <w:vertAlign w:val="superscript"/>
        </w:rPr>
        <w:t>2</w:t>
      </w:r>
      <w:r w:rsidRPr="002C21B8">
        <w:rPr>
          <w:i/>
          <w:iCs/>
        </w:rPr>
        <w:t xml:space="preserve"> eGFR], which we didn’t use to. </w:t>
      </w:r>
      <w:r w:rsidR="00447571" w:rsidRPr="002C21B8">
        <w:rPr>
          <w:i/>
          <w:iCs/>
        </w:rPr>
        <w:t>Y</w:t>
      </w:r>
      <w:r w:rsidRPr="002C21B8">
        <w:rPr>
          <w:i/>
          <w:iCs/>
        </w:rPr>
        <w:t>ou know from family history sometimes, there’s been family history where they’re all on dialysis at forty so you know they are at high risk. Why start when GFR starts dropping, it seems wrong to me.” (C5)</w:t>
      </w:r>
    </w:p>
    <w:p w14:paraId="67A0A901" w14:textId="095E445D" w:rsidR="00D04E66" w:rsidRPr="002C21B8" w:rsidRDefault="00D04E66" w:rsidP="00D04E66">
      <w:r w:rsidRPr="002C21B8">
        <w:t>A similar approach was applied by other clinicians to patients at the margins of eligibility, particularly when symptom burden was high</w:t>
      </w:r>
      <w:r w:rsidR="00555A0A" w:rsidRPr="002C21B8">
        <w:t>,</w:t>
      </w:r>
      <w:r w:rsidRPr="002C21B8">
        <w:t xml:space="preserve"> and it was believed tolvaptan might </w:t>
      </w:r>
      <w:r w:rsidR="008933A3" w:rsidRPr="002C21B8">
        <w:t>help</w:t>
      </w:r>
      <w:r w:rsidRPr="002C21B8">
        <w:t xml:space="preserve"> reliev</w:t>
      </w:r>
      <w:r w:rsidR="008933A3" w:rsidRPr="002C21B8">
        <w:t>e</w:t>
      </w:r>
      <w:r w:rsidRPr="002C21B8">
        <w:t xml:space="preserve"> symptoms.</w:t>
      </w:r>
    </w:p>
    <w:p w14:paraId="3C1D65D4" w14:textId="00715099" w:rsidR="008541F3" w:rsidRPr="002C21B8" w:rsidRDefault="00D04E66" w:rsidP="00D04E66">
      <w:r w:rsidRPr="002C21B8">
        <w:t xml:space="preserve">While some clinicians reported small movements in application of the eligibility criteria for tolvaptan, therapeutic scarcity was also described by one clinician as leading to a disregard for eligibility criteria. </w:t>
      </w:r>
      <w:r w:rsidR="008541F3" w:rsidRPr="002C21B8">
        <w:t>One consultant was aware of colleagues at a different kidney centre (not included in the multiple case study) who initiated tolvaptan if a patient had a diagnosis of ADPKD</w:t>
      </w:r>
      <w:r w:rsidR="00555A0A" w:rsidRPr="002C21B8">
        <w:t>,</w:t>
      </w:r>
      <w:r w:rsidR="008541F3" w:rsidRPr="002C21B8">
        <w:t xml:space="preserve"> irrespective of the eligibility criteria. They described encountering multiple patients transferred from that centre already receiving tolvaptan despite never meeting eligibility criteria, which they cited as evidence supporting this observation.</w:t>
      </w:r>
    </w:p>
    <w:p w14:paraId="7268D780" w14:textId="77777777" w:rsidR="00D04E66" w:rsidRPr="002C21B8" w:rsidRDefault="00D04E66" w:rsidP="00D04E66">
      <w:pPr>
        <w:ind w:left="720"/>
        <w:rPr>
          <w:i/>
          <w:iCs/>
        </w:rPr>
      </w:pPr>
      <w:r w:rsidRPr="002C21B8">
        <w:rPr>
          <w:i/>
          <w:iCs/>
        </w:rPr>
        <w:t>"I know that some centres just give tolvaptan to everyone with ADPKD, but I wouldn't necessarily do that, I think there has to be an indication for it. I suppose they are just wanting to help and there aren’t any other options" (C6)</w:t>
      </w:r>
    </w:p>
    <w:p w14:paraId="17F6EA26" w14:textId="4A88A9EF" w:rsidR="00D04E66" w:rsidRPr="002C21B8" w:rsidRDefault="00D04E66" w:rsidP="00D04E66">
      <w:pPr>
        <w:spacing w:after="0"/>
        <w:jc w:val="left"/>
        <w:rPr>
          <w:b/>
          <w:bCs/>
          <w:i/>
          <w:iCs/>
        </w:rPr>
      </w:pPr>
      <w:r w:rsidRPr="002C21B8">
        <w:rPr>
          <w:b/>
          <w:bCs/>
          <w:i/>
          <w:iCs/>
        </w:rPr>
        <w:t>Impact of small patient numbers on clinician experience and care organisation</w:t>
      </w:r>
    </w:p>
    <w:p w14:paraId="2BF3034F" w14:textId="32C529D4" w:rsidR="00D04E66" w:rsidRPr="002C21B8" w:rsidRDefault="00D04E66" w:rsidP="00D04E66">
      <w:r w:rsidRPr="002C21B8">
        <w:t xml:space="preserve">Some clinicians reported seeing relatively few patients with ADPKD compared with other kidney conditions, particularly in the small kidney centre. As a result, they described being less familiar with guidelines, less experienced with tolvaptan, and less confident making prescribing decisions for tolvaptan. Clinicians in </w:t>
      </w:r>
      <w:r w:rsidR="00B54CAE" w:rsidRPr="002C21B8">
        <w:t xml:space="preserve">some </w:t>
      </w:r>
      <w:r w:rsidRPr="002C21B8">
        <w:t>centres managed this by c</w:t>
      </w:r>
      <w:r w:rsidR="008A056D" w:rsidRPr="002C21B8">
        <w:t xml:space="preserve">ohorting </w:t>
      </w:r>
      <w:r w:rsidRPr="002C21B8">
        <w:t xml:space="preserve">ADPKD patients into </w:t>
      </w:r>
      <w:r w:rsidR="008A056D" w:rsidRPr="002C21B8">
        <w:t>condition-specific clinics</w:t>
      </w:r>
      <w:r w:rsidRPr="002C21B8">
        <w:t xml:space="preserve">. The small number of clinicians in these clinics saw most or all patients with ADPKD at that centre which they felt provided opportunities for them to develop greater experience and increased confidence when making prescribing decisions. They also described how having patients together in one clinic made them feel </w:t>
      </w:r>
      <w:r w:rsidRPr="002C21B8">
        <w:rPr>
          <w:i/>
          <w:iCs/>
        </w:rPr>
        <w:t>“primed”</w:t>
      </w:r>
      <w:r w:rsidRPr="002C21B8">
        <w:t xml:space="preserve"> to look for eligible patients.</w:t>
      </w:r>
    </w:p>
    <w:p w14:paraId="24D2A7D8" w14:textId="77777777" w:rsidR="00D04E66" w:rsidRPr="002C21B8" w:rsidRDefault="00D04E66" w:rsidP="00D04E66">
      <w:r w:rsidRPr="002C21B8">
        <w:t>One clinician reported that there was not a dedicated ADPKD or renal genetics clinic at their centre because there were too few patients and no additional funding to support one. As a consequence, a large number of consultants at their centre were involved in managing people with ADPKD, including assessing eligibility for tolvaptan and making prescribing decisions. This potentially made it difficult for an individual clinician to gain sufficient experience to feel confident in their prescribing decisions.</w:t>
      </w:r>
    </w:p>
    <w:p w14:paraId="407DE183" w14:textId="77777777" w:rsidR="00D04E66" w:rsidRPr="002C21B8" w:rsidRDefault="00D04E66" w:rsidP="00D04E66">
      <w:pPr>
        <w:ind w:left="720"/>
        <w:rPr>
          <w:i/>
          <w:iCs/>
        </w:rPr>
      </w:pPr>
      <w:r w:rsidRPr="002C21B8">
        <w:rPr>
          <w:i/>
          <w:iCs/>
        </w:rPr>
        <w:t>"It is the size [of the kidney centre], because we are much smaller, we don't get enough [patient] numbers to run different specialist clinics. Now, of course, there is a disadvantage with that, which is becoming even more with there being more and more new medications. You can’t actually have expertise in everything. It’s impossible.” (C2)</w:t>
      </w:r>
    </w:p>
    <w:p w14:paraId="371EB30D" w14:textId="7BDD5B36" w:rsidR="00D04E66" w:rsidRPr="002C21B8" w:rsidRDefault="00D04E66" w:rsidP="00D04E66">
      <w:pPr>
        <w:spacing w:after="0"/>
        <w:jc w:val="left"/>
        <w:rPr>
          <w:b/>
          <w:bCs/>
          <w:i/>
          <w:iCs/>
        </w:rPr>
      </w:pPr>
      <w:r w:rsidRPr="002C21B8">
        <w:rPr>
          <w:b/>
          <w:bCs/>
          <w:i/>
          <w:iCs/>
        </w:rPr>
        <w:t xml:space="preserve">Disease </w:t>
      </w:r>
      <w:r w:rsidR="00647F05" w:rsidRPr="002C21B8">
        <w:rPr>
          <w:b/>
          <w:bCs/>
          <w:i/>
          <w:iCs/>
        </w:rPr>
        <w:t>heterogeneity</w:t>
      </w:r>
      <w:r w:rsidRPr="002C21B8">
        <w:rPr>
          <w:b/>
          <w:bCs/>
          <w:i/>
          <w:iCs/>
        </w:rPr>
        <w:t xml:space="preserve"> leading to </w:t>
      </w:r>
      <w:r w:rsidR="00647F05" w:rsidRPr="002C21B8">
        <w:rPr>
          <w:b/>
          <w:bCs/>
          <w:i/>
          <w:iCs/>
        </w:rPr>
        <w:t>individualised</w:t>
      </w:r>
      <w:r w:rsidRPr="002C21B8">
        <w:rPr>
          <w:b/>
          <w:bCs/>
          <w:i/>
          <w:iCs/>
        </w:rPr>
        <w:t xml:space="preserve"> prescribing</w:t>
      </w:r>
    </w:p>
    <w:p w14:paraId="4AD333E8" w14:textId="2033B804" w:rsidR="00D04E66" w:rsidRPr="002C21B8" w:rsidRDefault="00D04E66" w:rsidP="00D04E66">
      <w:r w:rsidRPr="002C21B8">
        <w:t xml:space="preserve">Clinicians described </w:t>
      </w:r>
      <w:r w:rsidR="00B54CAE" w:rsidRPr="002C21B8">
        <w:t xml:space="preserve">that </w:t>
      </w:r>
      <w:r w:rsidRPr="002C21B8">
        <w:t>disease heterogeneity ma</w:t>
      </w:r>
      <w:r w:rsidR="00B54CAE" w:rsidRPr="002C21B8">
        <w:t>de</w:t>
      </w:r>
      <w:r w:rsidRPr="002C21B8">
        <w:t xml:space="preserve"> it challenging to assess risks and potential benefits</w:t>
      </w:r>
      <w:r w:rsidR="00B54CAE" w:rsidRPr="002C21B8">
        <w:t xml:space="preserve">, this </w:t>
      </w:r>
      <w:r w:rsidRPr="002C21B8">
        <w:t xml:space="preserve">had implications when identifying patients who would benefit from tolvaptan. This was particularly true for less experienced clinicians, who had fewer previous cases to draw on when making clinical judgements in the face of variable disease presentations and trajectories. Risk stratification tools, such as the Predicting Renal Outcome in Polycystic Kidney Disease score </w:t>
      </w:r>
      <w:r w:rsidR="00647F05" w:rsidRPr="002C21B8">
        <w:fldChar w:fldCharType="begin"/>
      </w:r>
      <w:r w:rsidR="00731A52" w:rsidRPr="002C21B8">
        <w:instrText xml:space="preserve"> ADDIN EN.CITE &lt;EndNote&gt;&lt;Cite&gt;&lt;Author&gt;Cornec-Le Gall&lt;/Author&gt;&lt;Year&gt;2016&lt;/Year&gt;&lt;RecNum&gt;5121&lt;/RecNum&gt;&lt;DisplayText&gt;(Cornec-Le Gall&lt;style face="italic"&gt; et al.&lt;/style&gt;, 2016)&lt;/DisplayText&gt;&lt;record&gt;&lt;rec-number&gt;5121&lt;/rec-number&gt;&lt;foreign-keys&gt;&lt;key app="EN" db-id="xpefzwa5hf9dt2ea9fax95x7xvxz90v09dtf" timestamp="1700148410"&gt;5121&lt;/key&gt;&lt;/foreign-keys&gt;&lt;ref-type name="Journal Article"&gt;17&lt;/ref-type&gt;&lt;contributors&gt;&lt;authors&gt;&lt;author&gt;Cornec-Le Gall, Emilie&lt;/author&gt;&lt;author&gt;Audrézet, Marie-Pierre&lt;/author&gt;&lt;author&gt;Rousseau, Annick&lt;/author&gt;&lt;author&gt;Hourmant, Maryvonne&lt;/author&gt;&lt;author&gt;Renaudineau, Eric&lt;/author&gt;&lt;author&gt;Charasse, Christophe&lt;/author&gt;&lt;author&gt;Morin, Marie-Pascale&lt;/author&gt;&lt;author&gt;Moal, Marie-Christine&lt;/author&gt;&lt;author&gt;Dantal, Jacques&lt;/author&gt;&lt;author&gt;Wehbe, Bassem&lt;/author&gt;&lt;/authors&gt;&lt;/contributors&gt;&lt;titles&gt;&lt;title&gt;The PROPKD score: a new algorithm to predict renal survival in autosomal dominant polycystic kidney disease&lt;/title&gt;&lt;secondary-title&gt;Journal of the American Society of Nephrology&lt;/secondary-title&gt;&lt;/titles&gt;&lt;periodical&gt;&lt;full-title&gt;JOURNAL OF THE AMERICAN SOCIETY OF NEPHROLOGY&lt;/full-title&gt;&lt;/periodical&gt;&lt;pages&gt;942&lt;/pages&gt;&lt;volume&gt;27&lt;/volume&gt;&lt;number&gt;3&lt;/number&gt;&lt;dates&gt;&lt;year&gt;2016&lt;/year&gt;&lt;/dates&gt;&lt;urls&gt;&lt;/urls&gt;&lt;/record&gt;&lt;/Cite&gt;&lt;/EndNote&gt;</w:instrText>
      </w:r>
      <w:r w:rsidR="00647F05" w:rsidRPr="002C21B8">
        <w:fldChar w:fldCharType="separate"/>
      </w:r>
      <w:r w:rsidR="00647F05" w:rsidRPr="002C21B8">
        <w:rPr>
          <w:noProof/>
        </w:rPr>
        <w:t>(Cornec-Le Gall</w:t>
      </w:r>
      <w:r w:rsidR="00647F05" w:rsidRPr="002C21B8">
        <w:rPr>
          <w:i/>
          <w:noProof/>
        </w:rPr>
        <w:t xml:space="preserve"> et al.</w:t>
      </w:r>
      <w:r w:rsidR="00647F05" w:rsidRPr="002C21B8">
        <w:rPr>
          <w:noProof/>
        </w:rPr>
        <w:t>, 2016)</w:t>
      </w:r>
      <w:r w:rsidR="00647F05" w:rsidRPr="002C21B8">
        <w:fldChar w:fldCharType="end"/>
      </w:r>
      <w:r w:rsidRPr="002C21B8">
        <w:t xml:space="preserve"> or Mayo Imaging Classification </w:t>
      </w:r>
      <w:r w:rsidR="00647F05" w:rsidRPr="002C21B8">
        <w:fldChar w:fldCharType="begin"/>
      </w:r>
      <w:r w:rsidR="00B93F06" w:rsidRPr="002C21B8">
        <w:instrText xml:space="preserve"> ADDIN EN.CITE &lt;EndNote&gt;&lt;Cite&gt;&lt;Author&gt;Irazabal&lt;/Author&gt;&lt;Year&gt;2015&lt;/Year&gt;&lt;RecNum&gt;125020&lt;/RecNum&gt;&lt;DisplayText&gt;(Irazabal&lt;style face="italic"&gt; et al.&lt;/style&gt;, 2015)&lt;/DisplayText&gt;&lt;record&gt;&lt;rec-number&gt;125020&lt;/rec-number&gt;&lt;foreign-keys&gt;&lt;key app="EN" db-id="xpefzwa5hf9dt2ea9fax95x7xvxz90v09dtf" timestamp="1757323678"&gt;125020&lt;/key&gt;&lt;/foreign-keys&gt;&lt;ref-type name="Journal Article"&gt;17&lt;/ref-type&gt;&lt;contributors&gt;&lt;authors&gt;&lt;author&gt;Irazabal, María V&lt;/author&gt;&lt;author&gt;Rangel, Laureano J&lt;/author&gt;&lt;author&gt;Bergstralh, Eric J&lt;/author&gt;&lt;author&gt;Osborn, Sara L&lt;/author&gt;&lt;author&gt;Harmon, Amber J&lt;/author&gt;&lt;author&gt;Sundsbak, Jamie L&lt;/author&gt;&lt;author&gt;Bae, Kyongtae T&lt;/author&gt;&lt;author&gt;Chapman, Arlene B&lt;/author&gt;&lt;author&gt;Grantham, Jared J&lt;/author&gt;&lt;author&gt;Mrug, Michal&lt;/author&gt;&lt;/authors&gt;&lt;/contributors&gt;&lt;titles&gt;&lt;title&gt;Imaging classification of autosomal dominant polycystic kidney disease: a simple model for selecting patients for clinical trials&lt;/title&gt;&lt;secondary-title&gt;Journal of the American Society of Nephrology&lt;/secondary-title&gt;&lt;/titles&gt;&lt;periodical&gt;&lt;full-title&gt;JOURNAL OF THE AMERICAN SOCIETY OF NEPHROLOGY&lt;/full-title&gt;&lt;/periodical&gt;&lt;pages&gt;160-172&lt;/pages&gt;&lt;volume&gt;26&lt;/volume&gt;&lt;number&gt;1&lt;/number&gt;&lt;dates&gt;&lt;year&gt;2015&lt;/year&gt;&lt;/dates&gt;&lt;isbn&gt;1046-6673&lt;/isbn&gt;&lt;urls&gt;&lt;/urls&gt;&lt;/record&gt;&lt;/Cite&gt;&lt;/EndNote&gt;</w:instrText>
      </w:r>
      <w:r w:rsidR="00647F05" w:rsidRPr="002C21B8">
        <w:fldChar w:fldCharType="separate"/>
      </w:r>
      <w:r w:rsidR="00B93F06" w:rsidRPr="002C21B8">
        <w:rPr>
          <w:noProof/>
        </w:rPr>
        <w:t>(Irazabal</w:t>
      </w:r>
      <w:r w:rsidR="00B93F06" w:rsidRPr="002C21B8">
        <w:rPr>
          <w:i/>
          <w:noProof/>
        </w:rPr>
        <w:t xml:space="preserve"> et al.</w:t>
      </w:r>
      <w:r w:rsidR="00B93F06" w:rsidRPr="002C21B8">
        <w:rPr>
          <w:noProof/>
        </w:rPr>
        <w:t>, 2015)</w:t>
      </w:r>
      <w:r w:rsidR="00647F05" w:rsidRPr="002C21B8">
        <w:fldChar w:fldCharType="end"/>
      </w:r>
      <w:r w:rsidRPr="002C21B8">
        <w:t xml:space="preserve">, were identified as ways to address this heterogeneity by quantifying risk and guiding decision-making. However, multiple clinicians recognised the limitations of these tools as the information required was not always readily available and </w:t>
      </w:r>
      <w:r w:rsidR="00895B2B">
        <w:t xml:space="preserve">these </w:t>
      </w:r>
      <w:r w:rsidRPr="002C21B8">
        <w:t xml:space="preserve">investigations </w:t>
      </w:r>
      <w:r w:rsidR="00895B2B">
        <w:t xml:space="preserve">were not easily accessible in </w:t>
      </w:r>
      <w:r w:rsidRPr="002C21B8">
        <w:t>their centres. As a result, they felt that tools were used inconsistently and clinical judgement remained a central component of risk assessment.</w:t>
      </w:r>
    </w:p>
    <w:p w14:paraId="237B1550" w14:textId="6817EF8B" w:rsidR="00D04E66" w:rsidRPr="002C21B8" w:rsidRDefault="00C14BCF" w:rsidP="00D04E66">
      <w:r w:rsidRPr="002C21B8">
        <w:t>There is no upper age cut-off according to the M</w:t>
      </w:r>
      <w:r w:rsidR="00B54CAE" w:rsidRPr="002C21B8">
        <w:t xml:space="preserve">edicines and Healthcare products Regulatory Agency </w:t>
      </w:r>
      <w:r w:rsidRPr="002C21B8">
        <w:t>marketing authorisation (license), NICE approval or RA/UKKA guidelines</w:t>
      </w:r>
      <w:r w:rsidR="0014579F" w:rsidRPr="002C21B8">
        <w:t xml:space="preserve"> in the UK</w:t>
      </w:r>
      <w:r w:rsidRPr="002C21B8">
        <w:t>. However, clinicians reported that patient age was an important factor in decision-making</w:t>
      </w:r>
      <w:r w:rsidR="00555A0A" w:rsidRPr="002C21B8">
        <w:t>,</w:t>
      </w:r>
      <w:r w:rsidRPr="002C21B8">
        <w:t xml:space="preserve"> but they held different views. This variation was closely related to the heterogeneity in ADPKD disease trajectories with clinicians describing patients becoming eligible for tolvaptan at different ages. </w:t>
      </w:r>
      <w:r w:rsidR="00D04E66" w:rsidRPr="002C21B8">
        <w:t>Some clinicians focused on the immediate benefit of treatment</w:t>
      </w:r>
      <w:r w:rsidR="00555A0A" w:rsidRPr="002C21B8">
        <w:t>,</w:t>
      </w:r>
      <w:r w:rsidR="00D04E66" w:rsidRPr="002C21B8">
        <w:t xml:space="preserve"> considering whether starting tolvaptan now would meaningfully slow disease progression for that individual </w:t>
      </w:r>
      <w:r w:rsidR="00394DEB">
        <w:t>in reference to</w:t>
      </w:r>
      <w:r w:rsidR="00D04E66" w:rsidRPr="002C21B8">
        <w:t xml:space="preserve"> their remaining length of life.</w:t>
      </w:r>
    </w:p>
    <w:p w14:paraId="43ED6339" w14:textId="4B1994DE" w:rsidR="00D04E66" w:rsidRPr="002C21B8" w:rsidRDefault="00D04E66" w:rsidP="00D04E66">
      <w:pPr>
        <w:ind w:left="720"/>
      </w:pPr>
      <w:r w:rsidRPr="002C21B8">
        <w:rPr>
          <w:i/>
          <w:iCs/>
        </w:rPr>
        <w:t>"You make a judgement as to how much length of life they might have left or how much of their kidney life they have left. Yeah, it is just a judgement when it comes down to it." (R1).</w:t>
      </w:r>
    </w:p>
    <w:p w14:paraId="05044E4A" w14:textId="2741C4AF" w:rsidR="00D04E66" w:rsidRPr="002C21B8" w:rsidRDefault="00D04E66" w:rsidP="00D04E66">
      <w:r w:rsidRPr="002C21B8">
        <w:t>Other clinicians also focused on immediate benefit but had an informal age</w:t>
      </w:r>
      <w:r w:rsidR="00922391">
        <w:t xml:space="preserve"> cut-off</w:t>
      </w:r>
      <w:r w:rsidRPr="002C21B8">
        <w:t xml:space="preserve"> for starting tolvaptan </w:t>
      </w:r>
      <w:r w:rsidR="00C42604" w:rsidRPr="002C21B8">
        <w:t xml:space="preserve">of </w:t>
      </w:r>
      <w:r w:rsidRPr="002C21B8">
        <w:t>around 60 years. They reasoned that if a patient had not required kidney replacement therapy by this age</w:t>
      </w:r>
      <w:r w:rsidR="00FE789F" w:rsidRPr="002C21B8">
        <w:t>, this</w:t>
      </w:r>
      <w:r w:rsidRPr="002C21B8">
        <w:t xml:space="preserve"> would mean they have less aggressive disease</w:t>
      </w:r>
      <w:r w:rsidR="00555A0A" w:rsidRPr="002C21B8">
        <w:t>,</w:t>
      </w:r>
      <w:r w:rsidRPr="002C21B8">
        <w:t xml:space="preserve"> so would benefit less from tolvaptan. They described </w:t>
      </w:r>
      <w:r w:rsidR="00AC6B75" w:rsidRPr="002C21B8">
        <w:t xml:space="preserve">that </w:t>
      </w:r>
      <w:r w:rsidRPr="002C21B8">
        <w:t xml:space="preserve">their informal threshold </w:t>
      </w:r>
      <w:r w:rsidR="00AC6B75" w:rsidRPr="002C21B8">
        <w:t xml:space="preserve">also </w:t>
      </w:r>
      <w:r w:rsidRPr="002C21B8">
        <w:t>reflect</w:t>
      </w:r>
      <w:r w:rsidR="00AC6B75" w:rsidRPr="002C21B8">
        <w:t>ed</w:t>
      </w:r>
      <w:r w:rsidRPr="002C21B8">
        <w:t xml:space="preserve"> available evidence from European guidelines </w:t>
      </w:r>
      <w:r w:rsidRPr="002C21B8">
        <w:fldChar w:fldCharType="begin"/>
      </w:r>
      <w:r w:rsidR="00647F05" w:rsidRPr="002C21B8">
        <w:instrText xml:space="preserve"> ADDIN EN.CITE &lt;EndNote&gt;&lt;Cite&gt;&lt;Author&gt;Gansevoort&lt;/Author&gt;&lt;Year&gt;2016&lt;/Year&gt;&lt;RecNum&gt;5013&lt;/RecNum&gt;&lt;DisplayText&gt;(Gansevoort&lt;style face="italic"&gt; et al.&lt;/style&gt;, 2016)&lt;/DisplayText&gt;&lt;record&gt;&lt;rec-number&gt;5013&lt;/rec-number&gt;&lt;foreign-keys&gt;&lt;key app="EN" db-id="xpefzwa5hf9dt2ea9fax95x7xvxz90v09dtf" timestamp="1699889259"&gt;5013&lt;/key&gt;&lt;/foreign-keys&gt;&lt;ref-type name="Journal Article"&gt;17&lt;/ref-type&gt;&lt;contributors&gt;&lt;authors&gt;&lt;author&gt;Gansevoort, Ron T.&lt;/author&gt;&lt;author&gt;Arici, Mustafa&lt;/author&gt;&lt;author&gt;Benzing, Thomas&lt;/author&gt;&lt;author&gt;Birn, Henrik&lt;/author&gt;&lt;author&gt;Capasso, Giovambattista&lt;/author&gt;&lt;author&gt;Covic, Adrian&lt;/author&gt;&lt;author&gt;Devuyst, Olivier&lt;/author&gt;&lt;author&gt;Drechsler, Christiane&lt;/author&gt;&lt;author&gt;Eckardt, Kai-Uwe&lt;/author&gt;&lt;author&gt;Emma, Francesco&lt;/author&gt;&lt;author&gt;Knebelmann, Bertrand&lt;/author&gt;&lt;author&gt;Le Meur, Yannick&lt;/author&gt;&lt;author&gt;Massy, Ziad A.&lt;/author&gt;&lt;author&gt;Ong, Albert C.M.&lt;/author&gt;&lt;author&gt;Ortiz, Alberto&lt;/author&gt;&lt;author&gt;Schaefer, Franz&lt;/author&gt;&lt;author&gt;Torra, Roser&lt;/author&gt;&lt;author&gt;Vanholder, Raymond&lt;/author&gt;&lt;author&gt;Więcek, Andrzej&lt;/author&gt;&lt;author&gt;Zoccali, Carmine&lt;/author&gt;&lt;author&gt;Van Biesen, Wim&lt;/author&gt;&lt;/authors&gt;&lt;/contributors&gt;&lt;titles&gt;&lt;title&gt;Recommendations for the use of tolvaptan in autosomal dominant polycystic kidney disease: a position statement on behalf of the ERA-EDTA Working Groups on Inherited Kidney Disorders and European Renal Best Practice&lt;/title&gt;&lt;secondary-title&gt;Nephrology Dialysis Transplantation&lt;/secondary-title&gt;&lt;/titles&gt;&lt;periodical&gt;&lt;full-title&gt;Nephrology Dialysis Transplantation&lt;/full-title&gt;&lt;/periodical&gt;&lt;pages&gt;337-348&lt;/pages&gt;&lt;volume&gt;31&lt;/volume&gt;&lt;number&gt;3&lt;/number&gt;&lt;dates&gt;&lt;year&gt;2016&lt;/year&gt;&lt;/dates&gt;&lt;isbn&gt;0931-0509&lt;/isbn&gt;&lt;urls&gt;&lt;related-urls&gt;&lt;url&gt;https://doi.org/10.1093/ndt/gfv456&lt;/url&gt;&lt;/related-urls&gt;&lt;/urls&gt;&lt;electronic-resource-num&gt;10.1093/ndt/gfv456&lt;/electronic-resource-num&gt;&lt;access-date&gt;11/13/2023&lt;/access-date&gt;&lt;/record&gt;&lt;/Cite&gt;&lt;/EndNote&gt;</w:instrText>
      </w:r>
      <w:r w:rsidRPr="002C21B8">
        <w:fldChar w:fldCharType="separate"/>
      </w:r>
      <w:r w:rsidR="00647F05" w:rsidRPr="002C21B8">
        <w:rPr>
          <w:noProof/>
        </w:rPr>
        <w:t>(Gansevoort</w:t>
      </w:r>
      <w:r w:rsidR="00647F05" w:rsidRPr="002C21B8">
        <w:rPr>
          <w:i/>
          <w:noProof/>
        </w:rPr>
        <w:t xml:space="preserve"> et al.</w:t>
      </w:r>
      <w:r w:rsidR="00647F05" w:rsidRPr="002C21B8">
        <w:rPr>
          <w:noProof/>
        </w:rPr>
        <w:t>, 2016)</w:t>
      </w:r>
      <w:r w:rsidRPr="002C21B8">
        <w:fldChar w:fldCharType="end"/>
      </w:r>
      <w:r w:rsidRPr="002C21B8">
        <w:t xml:space="preserve"> and clinical trials</w:t>
      </w:r>
      <w:r w:rsidR="00555A0A" w:rsidRPr="002C21B8">
        <w:t xml:space="preserve">, </w:t>
      </w:r>
      <w:r w:rsidRPr="002C21B8">
        <w:t xml:space="preserve">which included patients up to 65 years but suggested less benefit for those older than 55 years </w:t>
      </w:r>
      <w:r w:rsidRPr="002C21B8">
        <w:fldChar w:fldCharType="begin"/>
      </w:r>
      <w:r w:rsidR="00B93F06" w:rsidRPr="002C21B8">
        <w:instrText xml:space="preserve"> ADDIN EN.CITE &lt;EndNote&gt;&lt;Cite&gt;&lt;Author&gt;Torres&lt;/Author&gt;&lt;Year&gt;2017&lt;/Year&gt;&lt;RecNum&gt;5085&lt;/RecNum&gt;&lt;DisplayText&gt;(Torres&lt;style face="italic"&gt; et al.&lt;/style&gt;, 2017)&lt;/DisplayText&gt;&lt;record&gt;&lt;rec-number&gt;5085&lt;/rec-number&gt;&lt;foreign-keys&gt;&lt;key app="EN" db-id="xpefzwa5hf9dt2ea9fax95x7xvxz90v09dtf" timestamp="1700141521"&gt;5085&lt;/key&gt;&lt;/foreign-keys&gt;&lt;ref-type name="Journal Article"&gt;17&lt;/ref-type&gt;&lt;contributors&gt;&lt;authors&gt;&lt;author&gt;Torres, Vicente E&lt;/author&gt;&lt;author&gt;Chapman, Arlene B&lt;/author&gt;&lt;author&gt;Devuyst, Olivier&lt;/author&gt;&lt;author&gt;Gansevoort, Ron T&lt;/author&gt;&lt;author&gt;Perrone, Ronald D&lt;/author&gt;&lt;author&gt;Koch, Gary&lt;/author&gt;&lt;author&gt;Ouyang, John&lt;/author&gt;&lt;author&gt;McQuade, Robert D&lt;/author&gt;&lt;author&gt;Blais, Jaime D&lt;/author&gt;&lt;author&gt;Czerwiec, Frank S&lt;/author&gt;&lt;/authors&gt;&lt;/contributors&gt;&lt;titles&gt;&lt;title&gt;Tolvaptan in later-stage autosomal dominant polycystic kidney disease&lt;/title&gt;&lt;secondary-title&gt;New England Journal of Medicine&lt;/secondary-title&gt;&lt;/titles&gt;&lt;periodical&gt;&lt;full-title&gt;New England Journal of Medicine&lt;/full-title&gt;&lt;/periodical&gt;&lt;pages&gt;1930-1942&lt;/pages&gt;&lt;volume&gt;377&lt;/volume&gt;&lt;number&gt;20&lt;/number&gt;&lt;dates&gt;&lt;year&gt;2017&lt;/year&gt;&lt;/dates&gt;&lt;isbn&gt;0028-4793&lt;/isbn&gt;&lt;urls&gt;&lt;/urls&gt;&lt;/record&gt;&lt;/Cite&gt;&lt;/EndNote&gt;</w:instrText>
      </w:r>
      <w:r w:rsidRPr="002C21B8">
        <w:fldChar w:fldCharType="separate"/>
      </w:r>
      <w:r w:rsidR="00B93F06" w:rsidRPr="002C21B8">
        <w:rPr>
          <w:noProof/>
        </w:rPr>
        <w:t>(Torres</w:t>
      </w:r>
      <w:r w:rsidR="00B93F06" w:rsidRPr="002C21B8">
        <w:rPr>
          <w:i/>
          <w:noProof/>
        </w:rPr>
        <w:t xml:space="preserve"> et al.</w:t>
      </w:r>
      <w:r w:rsidR="00B93F06" w:rsidRPr="002C21B8">
        <w:rPr>
          <w:noProof/>
        </w:rPr>
        <w:t>, 2017)</w:t>
      </w:r>
      <w:r w:rsidRPr="002C21B8">
        <w:fldChar w:fldCharType="end"/>
      </w:r>
      <w:r w:rsidRPr="002C21B8">
        <w:t>.</w:t>
      </w:r>
    </w:p>
    <w:p w14:paraId="30FAFD0C" w14:textId="18E9765E" w:rsidR="00466CF8" w:rsidRPr="002C21B8" w:rsidRDefault="00D04E66" w:rsidP="009C110E">
      <w:r w:rsidRPr="002C21B8">
        <w:t xml:space="preserve">Others weighed the consequences of starting </w:t>
      </w:r>
      <w:r w:rsidR="00EE68F8" w:rsidRPr="002C21B8">
        <w:t xml:space="preserve">tolvaptan </w:t>
      </w:r>
      <w:r w:rsidRPr="002C21B8">
        <w:t xml:space="preserve">for future treatment. Within this group, some expressed concern that initiating tolvaptan in middle age might defer transplantation to older age when transplant eligibility is lower and surgical risk is higher. Others emphasised that initiating tolvaptan in older patients could delay progression </w:t>
      </w:r>
      <w:r w:rsidR="00466CF8" w:rsidRPr="002C21B8">
        <w:t xml:space="preserve">so </w:t>
      </w:r>
      <w:r w:rsidRPr="002C21B8">
        <w:t xml:space="preserve">that kidney replacement therapy might never be required. Finally, some clinicians were guided by ethical principles, arguing that withholding treatment based on age alone would be </w:t>
      </w:r>
      <w:r w:rsidRPr="002C21B8">
        <w:rPr>
          <w:i/>
          <w:iCs/>
        </w:rPr>
        <w:t>“ageist”</w:t>
      </w:r>
      <w:r w:rsidRPr="002C21B8">
        <w:t>.</w:t>
      </w:r>
    </w:p>
    <w:p w14:paraId="54257616" w14:textId="12A03A74" w:rsidR="00D04E66" w:rsidRPr="002C21B8" w:rsidRDefault="009C110E" w:rsidP="00D04E66">
      <w:pPr>
        <w:spacing w:after="0"/>
        <w:jc w:val="left"/>
        <w:rPr>
          <w:b/>
          <w:bCs/>
          <w:i/>
          <w:iCs/>
        </w:rPr>
      </w:pPr>
      <w:r w:rsidRPr="002C21B8">
        <w:rPr>
          <w:b/>
          <w:bCs/>
          <w:i/>
          <w:iCs/>
        </w:rPr>
        <w:t>H</w:t>
      </w:r>
      <w:r w:rsidR="00647F05" w:rsidRPr="002C21B8">
        <w:rPr>
          <w:b/>
          <w:bCs/>
          <w:i/>
          <w:iCs/>
        </w:rPr>
        <w:t>ighly influential expert</w:t>
      </w:r>
      <w:r w:rsidRPr="002C21B8">
        <w:rPr>
          <w:b/>
          <w:bCs/>
          <w:i/>
          <w:iCs/>
        </w:rPr>
        <w:t>s and concentration of expertise</w:t>
      </w:r>
    </w:p>
    <w:p w14:paraId="4CAFAD4A" w14:textId="3357EBAB" w:rsidR="00647F05" w:rsidRPr="002C21B8" w:rsidRDefault="00647F05" w:rsidP="00647F05">
      <w:pPr>
        <w:rPr>
          <w:color w:val="000000" w:themeColor="text1"/>
        </w:rPr>
      </w:pPr>
      <w:r w:rsidRPr="002C21B8">
        <w:rPr>
          <w:color w:val="000000" w:themeColor="text1"/>
        </w:rPr>
        <w:t>Clinicians described seeking advice from colleagues whom they considered to be experts in ADPKD when making prescribing decisions. This was particularly common when tolvaptan was first approved</w:t>
      </w:r>
      <w:r w:rsidR="00555A0A" w:rsidRPr="002C21B8">
        <w:rPr>
          <w:color w:val="000000" w:themeColor="text1"/>
        </w:rPr>
        <w:t>,</w:t>
      </w:r>
      <w:r w:rsidRPr="002C21B8">
        <w:rPr>
          <w:color w:val="000000" w:themeColor="text1"/>
        </w:rPr>
        <w:t xml:space="preserve"> when uncertainty was greatest. Many clinicians in the sample reported contacting colleagues at other kidney centres through informal channels</w:t>
      </w:r>
      <w:r w:rsidR="00930CB8" w:rsidRPr="002C21B8">
        <w:rPr>
          <w:color w:val="000000" w:themeColor="text1"/>
        </w:rPr>
        <w:t>,</w:t>
      </w:r>
      <w:r w:rsidRPr="002C21B8">
        <w:rPr>
          <w:color w:val="000000" w:themeColor="text1"/>
        </w:rPr>
        <w:t xml:space="preserve"> such as email or instant messaging</w:t>
      </w:r>
      <w:r w:rsidR="00930CB8" w:rsidRPr="002C21B8">
        <w:rPr>
          <w:color w:val="000000" w:themeColor="text1"/>
        </w:rPr>
        <w:t>,</w:t>
      </w:r>
      <w:r w:rsidRPr="002C21B8">
        <w:rPr>
          <w:color w:val="000000" w:themeColor="text1"/>
        </w:rPr>
        <w:t xml:space="preserve"> to discuss overall approaches, individual cases, and </w:t>
      </w:r>
      <w:r w:rsidRPr="002C21B8">
        <w:rPr>
          <w:i/>
          <w:iCs/>
          <w:color w:val="000000" w:themeColor="text1"/>
        </w:rPr>
        <w:t>“sense-check”</w:t>
      </w:r>
      <w:r w:rsidRPr="002C21B8">
        <w:rPr>
          <w:color w:val="000000" w:themeColor="text1"/>
        </w:rPr>
        <w:t xml:space="preserve"> their decisions. These interactions were typically conversational rather than formal requests for second opinions. Access to these informal networks appeared to vary between clinicians meaning that opportunities to seek reassurance or advice from experienced colleagues were not equally available. Although this seeking of expert opinion appears in the existing model for chronic </w:t>
      </w:r>
      <w:r w:rsidR="0030411C" w:rsidRPr="002C21B8">
        <w:rPr>
          <w:color w:val="000000" w:themeColor="text1"/>
        </w:rPr>
        <w:t>condition</w:t>
      </w:r>
      <w:r w:rsidRPr="002C21B8">
        <w:rPr>
          <w:color w:val="000000" w:themeColor="text1"/>
        </w:rPr>
        <w:t>s, it was noticeable that a very small number of highly experienced clinicians were frequently referenced as sources of information</w:t>
      </w:r>
      <w:r w:rsidR="00555A0A" w:rsidRPr="002C21B8">
        <w:rPr>
          <w:color w:val="000000" w:themeColor="text1"/>
        </w:rPr>
        <w:t>,</w:t>
      </w:r>
      <w:r w:rsidRPr="002C21B8">
        <w:rPr>
          <w:color w:val="000000" w:themeColor="text1"/>
        </w:rPr>
        <w:t xml:space="preserve"> and their views appeared to carry considerable influence on the prescribing decisions of other clinicians.</w:t>
      </w:r>
    </w:p>
    <w:p w14:paraId="0A97CFA5" w14:textId="612D0C9C" w:rsidR="00647F05" w:rsidRPr="002C21B8" w:rsidRDefault="00647F05" w:rsidP="00647F05">
      <w:pPr>
        <w:ind w:left="720"/>
        <w:rPr>
          <w:i/>
          <w:iCs/>
        </w:rPr>
      </w:pPr>
      <w:r w:rsidRPr="002C21B8">
        <w:rPr>
          <w:i/>
          <w:iCs/>
        </w:rPr>
        <w:t>“If there's anything that [expert] write</w:t>
      </w:r>
      <w:r w:rsidR="00930CB8" w:rsidRPr="002C21B8">
        <w:rPr>
          <w:i/>
          <w:iCs/>
        </w:rPr>
        <w:t xml:space="preserve">s, </w:t>
      </w:r>
      <w:r w:rsidRPr="002C21B8">
        <w:rPr>
          <w:i/>
          <w:iCs/>
        </w:rPr>
        <w:t>everything, anything, we read it." (C1)</w:t>
      </w:r>
    </w:p>
    <w:p w14:paraId="05C83B5F" w14:textId="05044D5A" w:rsidR="00647F05" w:rsidRPr="002C21B8" w:rsidRDefault="00647F05" w:rsidP="00D04E66">
      <w:pPr>
        <w:spacing w:after="0"/>
        <w:jc w:val="left"/>
        <w:rPr>
          <w:b/>
          <w:bCs/>
          <w:i/>
          <w:iCs/>
        </w:rPr>
      </w:pPr>
      <w:r w:rsidRPr="002C21B8">
        <w:rPr>
          <w:b/>
          <w:bCs/>
          <w:i/>
          <w:iCs/>
        </w:rPr>
        <w:t>Highly informed patients and collaborative decision-making</w:t>
      </w:r>
    </w:p>
    <w:p w14:paraId="112C3437" w14:textId="0E5372D6" w:rsidR="00647F05" w:rsidRPr="002C21B8" w:rsidRDefault="00647F05" w:rsidP="00647F05">
      <w:r w:rsidRPr="002C21B8">
        <w:t>Patient’s prior knowledge was described by clinicians as influencing how they approached prescribing decisions. They described that much of this knowledge came from the experiences of family members, reflecting the inherited nature of ADPKD, and from peers through support groups or online communities. This information was descri</w:t>
      </w:r>
      <w:r w:rsidR="00C42604" w:rsidRPr="002C21B8">
        <w:t>b</w:t>
      </w:r>
      <w:r w:rsidRPr="002C21B8">
        <w:t>ed as influencing patients’ attitudes toward tolvaptan. Negative experiences of advanced ADPKD, such as severe symptoms or the need for dialysis, w</w:t>
      </w:r>
      <w:r w:rsidR="00555A0A" w:rsidRPr="002C21B8">
        <w:t>ere</w:t>
      </w:r>
      <w:r w:rsidRPr="002C21B8">
        <w:t xml:space="preserve"> described </w:t>
      </w:r>
      <w:r w:rsidR="004F768F" w:rsidRPr="002C21B8">
        <w:t xml:space="preserve">as </w:t>
      </w:r>
      <w:r w:rsidRPr="002C21B8">
        <w:t>increas</w:t>
      </w:r>
      <w:r w:rsidR="004F768F" w:rsidRPr="002C21B8">
        <w:t>ing</w:t>
      </w:r>
      <w:r w:rsidRPr="002C21B8">
        <w:t xml:space="preserve"> patient willingness to consider tolvaptan and sometimes prompted requests for </w:t>
      </w:r>
      <w:r w:rsidR="00AB5DC2" w:rsidRPr="002C21B8">
        <w:t>the medication</w:t>
      </w:r>
      <w:r w:rsidRPr="002C21B8">
        <w:t>. Whereas negative experiences when taking tolvaptan sometimes led clinicians to approach discussions about tolvaptan more gently, to not discuss tolvaptan at all, or to avoid re-offering it if already declined.</w:t>
      </w:r>
    </w:p>
    <w:p w14:paraId="67DBCA24" w14:textId="53052AC4" w:rsidR="00647F05" w:rsidRPr="002C21B8" w:rsidRDefault="00647F05" w:rsidP="00647F05">
      <w:pPr>
        <w:pStyle w:val="ListParagraph"/>
        <w:rPr>
          <w:i/>
          <w:iCs/>
        </w:rPr>
      </w:pPr>
      <w:r w:rsidRPr="002C21B8">
        <w:rPr>
          <w:i/>
          <w:iCs/>
        </w:rPr>
        <w:t>"They've all got family, you know, they've all either talked about it with other people, they've got family members on it. We talked to a young woman who had a brother that had been on it. He didn't tolerate it at all. So she said she didn't want it, based on her brother's</w:t>
      </w:r>
      <w:r w:rsidR="00D85863" w:rsidRPr="002C21B8">
        <w:rPr>
          <w:i/>
          <w:iCs/>
        </w:rPr>
        <w:t xml:space="preserve"> experience</w:t>
      </w:r>
      <w:r w:rsidRPr="002C21B8">
        <w:rPr>
          <w:i/>
          <w:iCs/>
        </w:rPr>
        <w:t>. It was clear she did not want it ever, so I didn’t continue to offer it." (C2)</w:t>
      </w:r>
    </w:p>
    <w:p w14:paraId="2B183DF4" w14:textId="745A93E6" w:rsidR="000C0726" w:rsidRPr="002C21B8" w:rsidRDefault="00647F05" w:rsidP="0058462C">
      <w:r w:rsidRPr="002C21B8">
        <w:t>When patients requested tolvaptan, clinicians described balancing these requests against formal eligibility criteria and their clinical judgement. Most reported not feeling pressured to prescribe, which was attributed to having a long-standing</w:t>
      </w:r>
      <w:r w:rsidR="00414A6D" w:rsidRPr="002C21B8">
        <w:t>,</w:t>
      </w:r>
      <w:r w:rsidRPr="002C21B8">
        <w:t xml:space="preserve"> close patient-clinician relationship that allowed for open and honest discussions. Less experienced clinicians, however, described sometimes feeling that patient requests created a sense of pressure or acted as a strong reminder to review eligibility and carefully weigh up the decision.</w:t>
      </w:r>
    </w:p>
    <w:p w14:paraId="40E50ECA" w14:textId="77777777" w:rsidR="00447571" w:rsidRPr="002C21B8" w:rsidRDefault="00447571" w:rsidP="0058462C"/>
    <w:p w14:paraId="5E432303" w14:textId="77777777" w:rsidR="00447571" w:rsidRPr="002C21B8" w:rsidRDefault="00447571" w:rsidP="0058462C"/>
    <w:p w14:paraId="2DC91140" w14:textId="02D471A3" w:rsidR="00647F05" w:rsidRPr="002C21B8" w:rsidRDefault="00647F05" w:rsidP="00466CF8">
      <w:pPr>
        <w:spacing w:after="0"/>
        <w:rPr>
          <w:b/>
          <w:bCs/>
          <w:i/>
          <w:iCs/>
        </w:rPr>
      </w:pPr>
      <w:r w:rsidRPr="002C21B8">
        <w:rPr>
          <w:b/>
          <w:bCs/>
          <w:i/>
          <w:iCs/>
        </w:rPr>
        <w:t>High-costs being mainly a system-level consideration</w:t>
      </w:r>
    </w:p>
    <w:p w14:paraId="15A78045" w14:textId="18DC0378" w:rsidR="00647F05" w:rsidRPr="002C21B8" w:rsidRDefault="00647F05" w:rsidP="00647F05">
      <w:r w:rsidRPr="002C21B8">
        <w:t xml:space="preserve">Costs were not a key consideration for most clinicians when deciding whether to prescribe tolvaptan. Among the few clinicians </w:t>
      </w:r>
      <w:r w:rsidR="00414A6D" w:rsidRPr="002C21B8">
        <w:t>who</w:t>
      </w:r>
      <w:r w:rsidRPr="002C21B8">
        <w:t xml:space="preserve"> mentioned costs, their concerns were about not wasting public money by ensuring that patient eligibility criteria were met for this high-cost medication and that clinicians had some confidence that patients were likely to benefit before starting them on treatment. In these cases, cost considerations appeared to heighten scrutiny of prescribing decisions</w:t>
      </w:r>
      <w:r w:rsidR="00D83BC4" w:rsidRPr="002C21B8">
        <w:t>,</w:t>
      </w:r>
      <w:r w:rsidRPr="002C21B8">
        <w:t xml:space="preserve"> with one clinician who w</w:t>
      </w:r>
      <w:r w:rsidR="0058462C" w:rsidRPr="002C21B8">
        <w:t>as</w:t>
      </w:r>
      <w:r w:rsidRPr="002C21B8">
        <w:t xml:space="preserve"> slightly sceptical of </w:t>
      </w:r>
      <w:r w:rsidR="008933A3" w:rsidRPr="002C21B8">
        <w:t xml:space="preserve">how </w:t>
      </w:r>
      <w:r w:rsidRPr="002C21B8">
        <w:t>benefi</w:t>
      </w:r>
      <w:r w:rsidR="008933A3" w:rsidRPr="002C21B8">
        <w:t>cial tolvaptan was</w:t>
      </w:r>
      <w:r w:rsidR="009F241A" w:rsidRPr="002C21B8">
        <w:t>,</w:t>
      </w:r>
      <w:r w:rsidRPr="002C21B8">
        <w:t xml:space="preserve"> questioning whether other lower-cost interventions had been optimised. Clinicians in senior or managerial roles were more likely to mention cost considerations, reflecting responsibility for departmental budgets and reimbursement processes.</w:t>
      </w:r>
    </w:p>
    <w:p w14:paraId="55F09D7F" w14:textId="77777777" w:rsidR="00647F05" w:rsidRPr="002C21B8" w:rsidRDefault="00647F05" w:rsidP="00647F05">
      <w:pPr>
        <w:ind w:left="720"/>
        <w:rPr>
          <w:i/>
          <w:iCs/>
        </w:rPr>
      </w:pPr>
      <w:r w:rsidRPr="002C21B8">
        <w:rPr>
          <w:i/>
          <w:iCs/>
        </w:rPr>
        <w:t>“For some people cost is always an issue, particularly if you’re in management circles. People always talk about the cost of stuff. It [tolvaptan] wasn’t nationally commissioned or whatever, so people were worried about the cost initially.” (C4)</w:t>
      </w:r>
    </w:p>
    <w:p w14:paraId="0AD70774" w14:textId="61347389" w:rsidR="00647F05" w:rsidRPr="002C21B8" w:rsidRDefault="00647F05" w:rsidP="00647F05">
      <w:r w:rsidRPr="002C21B8">
        <w:t>As well as the medication</w:t>
      </w:r>
      <w:r w:rsidR="00C60FDE" w:rsidRPr="002C21B8">
        <w:t xml:space="preserve"> costs</w:t>
      </w:r>
      <w:r w:rsidRPr="002C21B8">
        <w:t xml:space="preserve">, there were </w:t>
      </w:r>
      <w:r w:rsidR="00C60FDE" w:rsidRPr="002C21B8">
        <w:t>other</w:t>
      </w:r>
      <w:r w:rsidRPr="002C21B8">
        <w:t xml:space="preserve"> costs, such as monitoring patients on tolvaptan over time, specialist nurse time spent contacting patients, and offering interventions to support the use of tolvaptan such as patient education sessions. Clinicians described these as a challenge specifically for smaller centres as clinicians reported that funding was not available to</w:t>
      </w:r>
      <w:r w:rsidR="00924C68" w:rsidRPr="002C21B8">
        <w:t xml:space="preserve"> cover</w:t>
      </w:r>
      <w:r w:rsidRPr="002C21B8">
        <w:t xml:space="preserve"> </w:t>
      </w:r>
      <w:r w:rsidR="00924C68" w:rsidRPr="002C21B8">
        <w:t xml:space="preserve">non-medication </w:t>
      </w:r>
      <w:r w:rsidRPr="002C21B8">
        <w:t>costs.</w:t>
      </w:r>
    </w:p>
    <w:p w14:paraId="76459958" w14:textId="77777777" w:rsidR="00647F05" w:rsidRPr="002C21B8" w:rsidRDefault="00647F05" w:rsidP="00647F05">
      <w:pPr>
        <w:ind w:left="720"/>
        <w:rPr>
          <w:i/>
          <w:iCs/>
        </w:rPr>
      </w:pPr>
      <w:r w:rsidRPr="002C21B8">
        <w:rPr>
          <w:i/>
          <w:iCs/>
        </w:rPr>
        <w:t>“We simply haven't got enough nurses to do it. There’s not that many patients really so we'd be taking a nurse from somewhere else where they're doing something far more useful.” (C1)</w:t>
      </w:r>
    </w:p>
    <w:p w14:paraId="71487194" w14:textId="77777777" w:rsidR="00647F05" w:rsidRPr="002C21B8" w:rsidRDefault="00647F05" w:rsidP="00647F05">
      <w:pPr>
        <w:spacing w:before="240" w:after="0"/>
        <w:rPr>
          <w:b/>
          <w:bCs/>
          <w:sz w:val="28"/>
          <w:szCs w:val="28"/>
        </w:rPr>
      </w:pPr>
      <w:r w:rsidRPr="002C21B8">
        <w:rPr>
          <w:b/>
          <w:bCs/>
          <w:sz w:val="28"/>
          <w:szCs w:val="28"/>
        </w:rPr>
        <w:t>Updated model prescribing model for rare diseases</w:t>
      </w:r>
    </w:p>
    <w:p w14:paraId="033A4131" w14:textId="1A56BA07" w:rsidR="00647F05" w:rsidRPr="002C21B8" w:rsidRDefault="00647F05" w:rsidP="00156C62">
      <w:pPr>
        <w:sectPr w:rsidR="00647F05" w:rsidRPr="002C21B8" w:rsidSect="0009672F">
          <w:headerReference w:type="default" r:id="rId59"/>
          <w:type w:val="continuous"/>
          <w:pgSz w:w="11906" w:h="16838"/>
          <w:pgMar w:top="1440" w:right="1440" w:bottom="1440" w:left="1440" w:header="708" w:footer="708" w:gutter="0"/>
          <w:cols w:space="708"/>
          <w:docGrid w:linePitch="360"/>
        </w:sectPr>
      </w:pPr>
      <w:r w:rsidRPr="002C21B8">
        <w:t xml:space="preserve">The revised model for prescribing decision-making in rare diseases based on the factors influencing prescribing for tolvaptan in the management of ADPKD conceptualises prescribing as a multi-stage decision-making process. This contrasts </w:t>
      </w:r>
      <w:r w:rsidR="00D83BC4" w:rsidRPr="002C21B8">
        <w:t xml:space="preserve">with </w:t>
      </w:r>
      <w:r w:rsidRPr="002C21B8">
        <w:t xml:space="preserve">the single unified step indicated in the conceptual model </w:t>
      </w:r>
      <w:r w:rsidR="007748AF" w:rsidRPr="002C21B8">
        <w:t xml:space="preserve">of </w:t>
      </w:r>
      <w:r w:rsidRPr="002C21B8">
        <w:t xml:space="preserve">prescribing </w:t>
      </w:r>
      <w:r w:rsidR="003A4E04" w:rsidRPr="002C21B8">
        <w:t xml:space="preserve">decision-making </w:t>
      </w:r>
      <w:r w:rsidRPr="002C21B8">
        <w:t>in chronic conditions. It outlines a sequence of clinically meaningful steps: patient identification, eligibility assessment, risk-benefit assessment, feasibility assessment and shared decision-making through which prescribing decisions are progressively refined. Contextual factors from the previous model were incorporated as some of these steps or within other domains. The model also incorporates rare disease specific influences that were identified in the qualitative findings: therapeutic scarcity, small patient numbers, disease heterogeneity, very influential experts, well-informed patients and high costs.</w:t>
      </w:r>
      <w:r w:rsidR="00887A2D" w:rsidRPr="002C21B8">
        <w:t xml:space="preserve"> This is illustrated in </w:t>
      </w:r>
      <w:r w:rsidR="00887A2D" w:rsidRPr="002C21B8">
        <w:fldChar w:fldCharType="begin"/>
      </w:r>
      <w:r w:rsidR="00887A2D" w:rsidRPr="002C21B8">
        <w:instrText xml:space="preserve"> REF _Ref227052642 \h </w:instrText>
      </w:r>
      <w:r w:rsidR="00B56060" w:rsidRPr="002C21B8">
        <w:instrText xml:space="preserve"> \* MERGEFORMAT </w:instrText>
      </w:r>
      <w:r w:rsidR="00887A2D" w:rsidRPr="002C21B8">
        <w:fldChar w:fldCharType="separate"/>
      </w:r>
      <w:r w:rsidR="00DB3709" w:rsidRPr="002C21B8">
        <w:t xml:space="preserve">Figure </w:t>
      </w:r>
      <w:r w:rsidR="00DB3709">
        <w:rPr>
          <w:noProof/>
        </w:rPr>
        <w:t>15</w:t>
      </w:r>
      <w:r w:rsidR="00887A2D" w:rsidRPr="002C21B8">
        <w:fldChar w:fldCharType="end"/>
      </w:r>
      <w:r w:rsidR="00887A2D" w:rsidRPr="002C21B8">
        <w:t>.</w:t>
      </w:r>
    </w:p>
    <w:p w14:paraId="21333A18" w14:textId="5B084C7E" w:rsidR="00647F05" w:rsidRPr="002C21B8" w:rsidRDefault="00647F05" w:rsidP="00156C62">
      <w:pPr>
        <w:pStyle w:val="Caption"/>
        <w:keepNext w:val="0"/>
      </w:pPr>
      <w:bookmarkStart w:id="251" w:name="_Ref227052642"/>
      <w:bookmarkStart w:id="252" w:name="_Ref227052630"/>
      <w:bookmarkStart w:id="253" w:name="_Toc236991773"/>
      <w:r w:rsidRPr="002C21B8">
        <w:t xml:space="preserve">Figure </w:t>
      </w:r>
      <w:r w:rsidR="001B725E" w:rsidRPr="002C21B8">
        <w:fldChar w:fldCharType="begin"/>
      </w:r>
      <w:r w:rsidR="001B725E" w:rsidRPr="002C21B8">
        <w:instrText xml:space="preserve"> SEQ Figure \* ARABIC </w:instrText>
      </w:r>
      <w:r w:rsidR="001B725E" w:rsidRPr="002C21B8">
        <w:fldChar w:fldCharType="separate"/>
      </w:r>
      <w:r w:rsidR="00DB3709">
        <w:t>15</w:t>
      </w:r>
      <w:r w:rsidR="001B725E" w:rsidRPr="002C21B8">
        <w:fldChar w:fldCharType="end"/>
      </w:r>
      <w:bookmarkEnd w:id="251"/>
      <w:r w:rsidRPr="002C21B8">
        <w:t>. Conceptual model</w:t>
      </w:r>
      <w:r w:rsidR="007748AF" w:rsidRPr="002C21B8">
        <w:t xml:space="preserve"> of</w:t>
      </w:r>
      <w:r w:rsidRPr="002C21B8">
        <w:t xml:space="preserve"> prescribing </w:t>
      </w:r>
      <w:r w:rsidR="0060161B" w:rsidRPr="002C21B8">
        <w:t xml:space="preserve">decision-making </w:t>
      </w:r>
      <w:r w:rsidRPr="002C21B8">
        <w:t>in rare diseases based on ADPKD and tolvaptan findings</w:t>
      </w:r>
      <w:bookmarkEnd w:id="252"/>
      <w:bookmarkEnd w:id="253"/>
    </w:p>
    <w:p w14:paraId="22717BCB" w14:textId="5F748871" w:rsidR="00647F05" w:rsidRPr="002C21B8" w:rsidRDefault="000B7181" w:rsidP="00DB3A50">
      <w:pPr>
        <w:spacing w:after="0" w:line="240" w:lineRule="auto"/>
        <w:jc w:val="left"/>
      </w:pPr>
      <w:r w:rsidRPr="002C21B8">
        <w:rPr>
          <w:noProof/>
        </w:rPr>
        <w:drawing>
          <wp:inline distT="0" distB="0" distL="0" distR="0" wp14:anchorId="14A33EAE" wp14:editId="0B78C5BD">
            <wp:extent cx="8461420" cy="5104859"/>
            <wp:effectExtent l="0" t="0" r="0" b="635"/>
            <wp:docPr id="3355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91965" name=""/>
                    <pic:cNvPicPr/>
                  </pic:nvPicPr>
                  <pic:blipFill>
                    <a:blip r:embed="rId60"/>
                    <a:stretch>
                      <a:fillRect/>
                    </a:stretch>
                  </pic:blipFill>
                  <pic:spPr>
                    <a:xfrm>
                      <a:off x="0" y="0"/>
                      <a:ext cx="8463252" cy="5105964"/>
                    </a:xfrm>
                    <a:prstGeom prst="rect">
                      <a:avLst/>
                    </a:prstGeom>
                  </pic:spPr>
                </pic:pic>
              </a:graphicData>
            </a:graphic>
          </wp:inline>
        </w:drawing>
      </w:r>
    </w:p>
    <w:p w14:paraId="54245AC7" w14:textId="77777777" w:rsidR="00D04E66" w:rsidRPr="002C21B8" w:rsidRDefault="00D04E66" w:rsidP="00DB3A50">
      <w:pPr>
        <w:spacing w:after="0" w:line="240" w:lineRule="auto"/>
        <w:jc w:val="left"/>
      </w:pPr>
    </w:p>
    <w:p w14:paraId="6B3686EC" w14:textId="5ECC6B7A" w:rsidR="00D04E66" w:rsidRPr="002C21B8" w:rsidRDefault="00D04E66" w:rsidP="00156C62">
      <w:pPr>
        <w:spacing w:after="0" w:line="240" w:lineRule="auto"/>
        <w:jc w:val="left"/>
        <w:sectPr w:rsidR="00D04E66" w:rsidRPr="002C21B8" w:rsidSect="0009672F">
          <w:headerReference w:type="default" r:id="rId61"/>
          <w:type w:val="continuous"/>
          <w:pgSz w:w="16838" w:h="11906" w:orient="landscape"/>
          <w:pgMar w:top="1440" w:right="1440" w:bottom="1440" w:left="1440" w:header="708" w:footer="708" w:gutter="0"/>
          <w:cols w:space="708"/>
          <w:docGrid w:linePitch="360"/>
        </w:sectPr>
      </w:pPr>
    </w:p>
    <w:p w14:paraId="15FEBD6F" w14:textId="24D307FB" w:rsidR="00647F05" w:rsidRPr="002C21B8" w:rsidRDefault="00647F05" w:rsidP="00647F05">
      <w:pPr>
        <w:spacing w:before="240" w:after="0"/>
        <w:contextualSpacing/>
        <w:rPr>
          <w:b/>
          <w:bCs/>
          <w:sz w:val="28"/>
          <w:szCs w:val="28"/>
        </w:rPr>
      </w:pPr>
      <w:r w:rsidRPr="002C21B8">
        <w:rPr>
          <w:b/>
          <w:bCs/>
          <w:sz w:val="28"/>
          <w:szCs w:val="28"/>
        </w:rPr>
        <w:t>Discussion</w:t>
      </w:r>
    </w:p>
    <w:p w14:paraId="68B60BAF" w14:textId="77777777" w:rsidR="00647F05" w:rsidRPr="002C21B8" w:rsidRDefault="00647F05" w:rsidP="00647F05">
      <w:pPr>
        <w:spacing w:before="240" w:after="0"/>
        <w:contextualSpacing/>
        <w:rPr>
          <w:b/>
          <w:bCs/>
          <w:sz w:val="24"/>
          <w:szCs w:val="24"/>
        </w:rPr>
      </w:pPr>
      <w:r w:rsidRPr="002C21B8">
        <w:rPr>
          <w:b/>
          <w:bCs/>
          <w:sz w:val="24"/>
          <w:szCs w:val="24"/>
        </w:rPr>
        <w:t>Summary of key findings</w:t>
      </w:r>
    </w:p>
    <w:p w14:paraId="2AEB39E7" w14:textId="763F77D9" w:rsidR="00647F05" w:rsidRPr="002C21B8" w:rsidRDefault="00647F05" w:rsidP="00647F05">
      <w:r w:rsidRPr="002C21B8">
        <w:t>Overall, the findings from this study suggest that many influences</w:t>
      </w:r>
      <w:r w:rsidR="0010246F" w:rsidRPr="002C21B8">
        <w:t xml:space="preserve"> </w:t>
      </w:r>
      <w:r w:rsidR="00D46EBE" w:rsidRPr="002C21B8">
        <w:t xml:space="preserve">for </w:t>
      </w:r>
      <w:r w:rsidR="0010246F" w:rsidRPr="002C21B8">
        <w:t>decision-making in</w:t>
      </w:r>
      <w:r w:rsidRPr="002C21B8">
        <w:t xml:space="preserve"> </w:t>
      </w:r>
      <w:r w:rsidR="0010246F" w:rsidRPr="002C21B8">
        <w:t>chronic conditions were also relevant to tolvaptan. However, there were also factors specific to the context of this rare disease</w:t>
      </w:r>
      <w:r w:rsidR="00D46EBE" w:rsidRPr="002C21B8">
        <w:t>,</w:t>
      </w:r>
      <w:r w:rsidR="0010246F" w:rsidRPr="002C21B8">
        <w:t xml:space="preserve"> and others appeared amplified. </w:t>
      </w:r>
      <w:r w:rsidRPr="002C21B8">
        <w:t>Decisions extended beyond formal eligibility criteria and are often individualised. Clinician experience, attitudes to risk and degree of specialisation, along with system factors such as clinic structure, staffing and timing, all influence patient identification, eligibility assessment and feasibility of prescribing. Rare disease-specific factors further determine prescribing decisions through therapeutic scarcity, small patient numbers, heterogeneity, concentrated expertise, highly informed patients, and high costs. Consequently, prescribing decisions for tolvaptan in the management of ADPKD can be considered a staged and highly context-dependent process rather than a single discrete decision.</w:t>
      </w:r>
    </w:p>
    <w:p w14:paraId="1D191A07" w14:textId="77777777" w:rsidR="00647F05" w:rsidRPr="002C21B8" w:rsidRDefault="00647F05" w:rsidP="00647F05">
      <w:pPr>
        <w:spacing w:before="240" w:after="0"/>
        <w:contextualSpacing/>
        <w:rPr>
          <w:b/>
          <w:bCs/>
          <w:sz w:val="24"/>
          <w:szCs w:val="24"/>
        </w:rPr>
      </w:pPr>
      <w:r w:rsidRPr="002C21B8">
        <w:rPr>
          <w:b/>
          <w:bCs/>
          <w:sz w:val="24"/>
          <w:szCs w:val="24"/>
        </w:rPr>
        <w:t>Interpretation of the findings in the context of existing literature</w:t>
      </w:r>
    </w:p>
    <w:p w14:paraId="6708407A" w14:textId="49A9D529" w:rsidR="00647F05" w:rsidRPr="002C21B8" w:rsidRDefault="00647F05" w:rsidP="00647F05">
      <w:r w:rsidRPr="002C21B8">
        <w:t>Our study findings should be interpreted in the context of broader literature on prescribing decision-making and behaviours in rare diseases. While substantial research has examined the development, regulation and access to medic</w:t>
      </w:r>
      <w:r w:rsidR="002B50AB" w:rsidRPr="002C21B8">
        <w:t>ation</w:t>
      </w:r>
      <w:r w:rsidRPr="002C21B8">
        <w:t xml:space="preserve">s for rare diseases, less attention has been directed toward how clinicians make prescribing decisions in real-world practice. Our study contributes to this gap by identifying factors that influence prescribing for </w:t>
      </w:r>
      <w:r w:rsidR="002D0D2E" w:rsidRPr="002C21B8">
        <w:t>medications</w:t>
      </w:r>
      <w:r w:rsidRPr="002C21B8">
        <w:t xml:space="preserve"> in the management of a rare disease.</w:t>
      </w:r>
    </w:p>
    <w:p w14:paraId="429E8287" w14:textId="28EA493B" w:rsidR="00647F05" w:rsidRPr="002C21B8" w:rsidRDefault="00647F05" w:rsidP="00647F05">
      <w:r w:rsidRPr="002C21B8">
        <w:t xml:space="preserve">Around 5% of rare diseases worldwide have an approved </w:t>
      </w:r>
      <w:r w:rsidR="00794C3B" w:rsidRPr="002C21B8">
        <w:t>medication</w:t>
      </w:r>
      <w:r w:rsidRPr="002C21B8">
        <w:t xml:space="preserve">, and most of those only have one treatment option, reflecting the substantial therapeutic scarcity </w:t>
      </w:r>
      <w:r w:rsidR="0094727B" w:rsidRPr="002C21B8">
        <w:t xml:space="preserve">that </w:t>
      </w:r>
      <w:r w:rsidRPr="002C21B8">
        <w:t>clinicians caring for people with rare diseases face</w:t>
      </w:r>
      <w:r w:rsidR="001D5DA1">
        <w:t xml:space="preserve"> </w:t>
      </w:r>
      <w:r w:rsidR="001D5DA1">
        <w:fldChar w:fldCharType="begin"/>
      </w:r>
      <w:r w:rsidR="001D5DA1">
        <w:instrText xml:space="preserve"> ADDIN EN.CITE &lt;EndNote&gt;&lt;Cite&gt;&lt;Author&gt;Tambuyzer&lt;/Author&gt;&lt;Year&gt;2010&lt;/Year&gt;&lt;RecNum&gt;125638&lt;/RecNum&gt;&lt;DisplayText&gt;(Tambuyzer, 2010)&lt;/DisplayText&gt;&lt;record&gt;&lt;rec-number&gt;125638&lt;/rec-number&gt;&lt;foreign-keys&gt;&lt;key app="EN" db-id="xpefzwa5hf9dt2ea9fax95x7xvxz90v09dtf" timestamp="1786097179"&gt;125638&lt;/key&gt;&lt;/foreign-keys&gt;&lt;ref-type name="Journal Article"&gt;17&lt;/ref-type&gt;&lt;contributors&gt;&lt;authors&gt;&lt;author&gt;Tambuyzer, Erik&lt;/author&gt;&lt;/authors&gt;&lt;/contributors&gt;&lt;titles&gt;&lt;title&gt;Rare diseases, orphan drugs and their regulation: questions and misconceptions&lt;/title&gt;&lt;secondary-title&gt;Nature Reviews Drug Discovery&lt;/secondary-title&gt;&lt;/titles&gt;&lt;periodical&gt;&lt;full-title&gt;Nature Reviews Drug Discovery&lt;/full-title&gt;&lt;/periodical&gt;&lt;pages&gt;921-929&lt;/pages&gt;&lt;volume&gt;9&lt;/volume&gt;&lt;number&gt;12&lt;/number&gt;&lt;dates&gt;&lt;year&gt;2010&lt;/year&gt;&lt;/dates&gt;&lt;isbn&gt;1474-1776&lt;/isbn&gt;&lt;urls&gt;&lt;/urls&gt;&lt;/record&gt;&lt;/Cite&gt;&lt;/EndNote&gt;</w:instrText>
      </w:r>
      <w:r w:rsidR="001D5DA1">
        <w:fldChar w:fldCharType="separate"/>
      </w:r>
      <w:r w:rsidR="001D5DA1">
        <w:rPr>
          <w:noProof/>
        </w:rPr>
        <w:t>(Tambuyzer, 2010)</w:t>
      </w:r>
      <w:r w:rsidR="001D5DA1">
        <w:fldChar w:fldCharType="end"/>
      </w:r>
      <w:r w:rsidRPr="002C21B8">
        <w:t>. Our study identified that this has important consequences for prescribing decisions</w:t>
      </w:r>
      <w:r w:rsidR="003D5B6F" w:rsidRPr="002C21B8">
        <w:t>,</w:t>
      </w:r>
      <w:r w:rsidRPr="002C21B8">
        <w:t xml:space="preserve"> as it might lead to </w:t>
      </w:r>
      <w:r w:rsidR="002A2F71" w:rsidRPr="002C21B8">
        <w:t xml:space="preserve">a </w:t>
      </w:r>
      <w:r w:rsidRPr="002C21B8">
        <w:t xml:space="preserve">more flexible interpretation of eligibility criteria. </w:t>
      </w:r>
      <w:r w:rsidR="00BD3D70" w:rsidRPr="002C21B8">
        <w:t>Other a</w:t>
      </w:r>
      <w:r w:rsidRPr="002C21B8">
        <w:t xml:space="preserve">uthors have found a similar phenomenon in </w:t>
      </w:r>
      <w:r w:rsidR="00BD3D70" w:rsidRPr="002C21B8">
        <w:t xml:space="preserve">the context of prescribing for people with spinal muscular atrophy </w:t>
      </w:r>
      <w:r w:rsidR="00BD3D70" w:rsidRPr="002C21B8">
        <w:fldChar w:fldCharType="begin"/>
      </w:r>
      <w:r w:rsidR="00590E88" w:rsidRPr="002C21B8">
        <w:instrText xml:space="preserve"> ADDIN EN.CITE &lt;EndNote&gt;&lt;Cite&gt;&lt;Author&gt;McGraw&lt;/Author&gt;&lt;Year&gt;2017&lt;/Year&gt;&lt;RecNum&gt;125434&lt;/RecNum&gt;&lt;DisplayText&gt;(McGraw&lt;style face="italic"&gt; et al.&lt;/style&gt;, 2017; Rosenberg&lt;style face="italic"&gt; et al.&lt;/style&gt;, 2023)&lt;/DisplayText&gt;&lt;record&gt;&lt;rec-number&gt;125434&lt;/rec-number&gt;&lt;foreign-keys&gt;&lt;key app="EN" db-id="xpefzwa5hf9dt2ea9fax95x7xvxz90v09dtf" timestamp="1775898405"&gt;125434&lt;/key&gt;&lt;/foreign-keys&gt;&lt;ref-type name="Journal Article"&gt;17&lt;/ref-type&gt;&lt;contributors&gt;&lt;authors&gt;&lt;author&gt;McGraw, Sarah&lt;/author&gt;&lt;author&gt;Qian, Ying&lt;/author&gt;&lt;author&gt;Henne, Jeff&lt;/author&gt;&lt;author&gt;Jarecki, Jill&lt;/author&gt;&lt;author&gt;Hobby, Kenneth&lt;/author&gt;&lt;author&gt;Yeh, Wei-Shi&lt;/author&gt;&lt;/authors&gt;&lt;/contributors&gt;&lt;titles&gt;&lt;title&gt;A qualitative study of perceptions of meaningful change in spinal muscular atrophy&lt;/title&gt;&lt;secondary-title&gt;BMC Neurology&lt;/secondary-title&gt;&lt;/titles&gt;&lt;periodical&gt;&lt;full-title&gt;BMC neurology&lt;/full-title&gt;&lt;/periodical&gt;&lt;pages&gt;68&lt;/pages&gt;&lt;volume&gt;17&lt;/volume&gt;&lt;number&gt;1&lt;/number&gt;&lt;dates&gt;&lt;year&gt;2017&lt;/year&gt;&lt;/dates&gt;&lt;isbn&gt;1471-2377&lt;/isbn&gt;&lt;urls&gt;&lt;/urls&gt;&lt;/record&gt;&lt;/Cite&gt;&lt;Cite&gt;&lt;Author&gt;Rosenberg&lt;/Author&gt;&lt;Year&gt;2023&lt;/Year&gt;&lt;RecNum&gt;125435&lt;/RecNum&gt;&lt;record&gt;&lt;rec-number&gt;125435&lt;/rec-number&gt;&lt;foreign-keys&gt;&lt;key app="EN" db-id="xpefzwa5hf9dt2ea9fax95x7xvxz90v09dtf" timestamp="1775898429"&gt;125435&lt;/key&gt;&lt;/foreign-keys&gt;&lt;ref-type name="Journal Article"&gt;17&lt;/ref-type&gt;&lt;contributors&gt;&lt;authors&gt;&lt;author&gt;Rosenberg, Sara&lt;/author&gt;&lt;author&gt;Södergård, Björn&lt;/author&gt;&lt;author&gt;Rosenholm, Jessica M&lt;/author&gt;&lt;author&gt;Rauha, Jussi-Pekka&lt;/author&gt;&lt;/authors&gt;&lt;/contributors&gt;&lt;titles&gt;&lt;title&gt;A qualitative study on the views of experts on the social impact of the high-priced orphan drug nusinersen&lt;/title&gt;&lt;secondary-title&gt;Exploratory Research in Clinical and Social Pharmacy&lt;/secondary-title&gt;&lt;/titles&gt;&lt;periodical&gt;&lt;full-title&gt;Exploratory research in clinical and social pharmacy&lt;/full-title&gt;&lt;/periodical&gt;&lt;pages&gt;100227&lt;/pages&gt;&lt;volume&gt;9&lt;/volume&gt;&lt;dates&gt;&lt;year&gt;2023&lt;/year&gt;&lt;/dates&gt;&lt;isbn&gt;2667-2766&lt;/isbn&gt;&lt;urls&gt;&lt;/urls&gt;&lt;/record&gt;&lt;/Cite&gt;&lt;/EndNote&gt;</w:instrText>
      </w:r>
      <w:r w:rsidR="00BD3D70" w:rsidRPr="002C21B8">
        <w:fldChar w:fldCharType="separate"/>
      </w:r>
      <w:r w:rsidR="00BD3D70" w:rsidRPr="002C21B8">
        <w:rPr>
          <w:noProof/>
        </w:rPr>
        <w:t>(McGraw</w:t>
      </w:r>
      <w:r w:rsidR="00BD3D70" w:rsidRPr="002C21B8">
        <w:rPr>
          <w:i/>
          <w:noProof/>
        </w:rPr>
        <w:t xml:space="preserve"> et al.</w:t>
      </w:r>
      <w:r w:rsidR="00BD3D70" w:rsidRPr="002C21B8">
        <w:rPr>
          <w:noProof/>
        </w:rPr>
        <w:t>, 2017; Rosenberg</w:t>
      </w:r>
      <w:r w:rsidR="00BD3D70" w:rsidRPr="002C21B8">
        <w:rPr>
          <w:i/>
          <w:noProof/>
        </w:rPr>
        <w:t xml:space="preserve"> et al.</w:t>
      </w:r>
      <w:r w:rsidR="00BD3D70" w:rsidRPr="002C21B8">
        <w:rPr>
          <w:noProof/>
        </w:rPr>
        <w:t>, 2023)</w:t>
      </w:r>
      <w:r w:rsidR="00BD3D70" w:rsidRPr="002C21B8">
        <w:fldChar w:fldCharType="end"/>
      </w:r>
      <w:r w:rsidRPr="002C21B8">
        <w:t>. There are suggestions t</w:t>
      </w:r>
      <w:r w:rsidR="00DD08FC" w:rsidRPr="002C21B8">
        <w:t>hat t</w:t>
      </w:r>
      <w:r w:rsidRPr="002C21B8">
        <w:t xml:space="preserve">his may be driven by professional responsibility, ethical obligation or therapeutic imperative to intervene. This </w:t>
      </w:r>
      <w:r w:rsidR="0006557E" w:rsidRPr="002C21B8">
        <w:t xml:space="preserve">may </w:t>
      </w:r>
      <w:r w:rsidRPr="002C21B8">
        <w:t xml:space="preserve">even </w:t>
      </w:r>
      <w:r w:rsidR="0006557E" w:rsidRPr="002C21B8">
        <w:t xml:space="preserve">be </w:t>
      </w:r>
      <w:r w:rsidRPr="002C21B8">
        <w:t xml:space="preserve">true when </w:t>
      </w:r>
      <w:r w:rsidR="001B0F1D" w:rsidRPr="002C21B8">
        <w:t>medication</w:t>
      </w:r>
      <w:r w:rsidRPr="002C21B8">
        <w:t xml:space="preserve">s have uncertain efficacy, modest benefits or potential for harm </w:t>
      </w:r>
      <w:r w:rsidRPr="002C21B8">
        <w:fldChar w:fldCharType="begin">
          <w:fldData xml:space="preserve">PEVuZE5vdGU+PENpdGU+PEF1dGhvcj5BYXJ0c21hLVJ1czwvQXV0aG9yPjxZZWFyPjIwMTE8L1ll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</w:fldData>
        </w:fldChar>
      </w:r>
      <w:r w:rsidR="00062561" w:rsidRPr="002C21B8">
        <w:instrText xml:space="preserve"> ADDIN EN.CITE </w:instrText>
      </w:r>
      <w:r w:rsidR="00062561" w:rsidRPr="002C21B8">
        <w:fldChar w:fldCharType="begin">
          <w:fldData xml:space="preserve">PEVuZE5vdGU+PENpdGU+PEF1dGhvcj5BYXJ0c21hLVJ1czwvQXV0aG9yPjxZZWFyPjIwMTE8L1ll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</w:fldData>
        </w:fldChar>
      </w:r>
      <w:r w:rsidR="00062561" w:rsidRPr="002C21B8">
        <w:instrText xml:space="preserve"> ADDIN EN.CITE.DATA </w:instrText>
      </w:r>
      <w:r w:rsidR="00062561" w:rsidRPr="002C21B8">
        <w:fldChar w:fldCharType="end"/>
      </w:r>
      <w:r w:rsidRPr="002C21B8">
        <w:fldChar w:fldCharType="separate"/>
      </w:r>
      <w:r w:rsidRPr="002C21B8">
        <w:rPr>
          <w:noProof/>
        </w:rPr>
        <w:t>(Aartsma-Rus</w:t>
      </w:r>
      <w:r w:rsidRPr="002C21B8">
        <w:rPr>
          <w:i/>
          <w:noProof/>
        </w:rPr>
        <w:t xml:space="preserve"> et al.</w:t>
      </w:r>
      <w:r w:rsidRPr="002C21B8">
        <w:rPr>
          <w:noProof/>
        </w:rPr>
        <w:t>, 2011; Alum</w:t>
      </w:r>
      <w:r w:rsidRPr="002C21B8">
        <w:rPr>
          <w:i/>
          <w:noProof/>
        </w:rPr>
        <w:t xml:space="preserve"> et al.</w:t>
      </w:r>
      <w:r w:rsidRPr="002C21B8">
        <w:rPr>
          <w:noProof/>
        </w:rPr>
        <w:t>, 2025; Groft and Paz, 2010)</w:t>
      </w:r>
      <w:r w:rsidRPr="002C21B8">
        <w:fldChar w:fldCharType="end"/>
      </w:r>
      <w:r w:rsidRPr="002C21B8">
        <w:t xml:space="preserve">. In </w:t>
      </w:r>
      <w:r w:rsidR="002B6D9F">
        <w:t xml:space="preserve">other </w:t>
      </w:r>
      <w:r w:rsidRPr="002C21B8">
        <w:t xml:space="preserve">rare diseases, </w:t>
      </w:r>
      <w:r w:rsidR="001D5DA1">
        <w:t xml:space="preserve">such as </w:t>
      </w:r>
      <w:r w:rsidRPr="002C21B8">
        <w:t xml:space="preserve">Duchenne </w:t>
      </w:r>
      <w:r w:rsidR="0006557E" w:rsidRPr="002C21B8">
        <w:t>m</w:t>
      </w:r>
      <w:r w:rsidRPr="002C21B8">
        <w:t>uscular</w:t>
      </w:r>
      <w:r w:rsidR="0006557E" w:rsidRPr="002C21B8">
        <w:t xml:space="preserve"> d</w:t>
      </w:r>
      <w:r w:rsidRPr="002C21B8">
        <w:t xml:space="preserve">ystrophy, the combination of scarce </w:t>
      </w:r>
      <w:r w:rsidR="002D1B7B" w:rsidRPr="002C21B8">
        <w:t>medication</w:t>
      </w:r>
      <w:r w:rsidRPr="002C21B8">
        <w:t xml:space="preserve">s and high disease burden may amplify the pressures for clinicians to prescribe </w:t>
      </w:r>
      <w:r w:rsidR="00E80691" w:rsidRPr="002C21B8">
        <w:t>medication</w:t>
      </w:r>
      <w:r w:rsidRPr="002C21B8">
        <w:t xml:space="preserve">s </w:t>
      </w:r>
      <w:r w:rsidRPr="002C21B8">
        <w:fldChar w:fldCharType="begin"/>
      </w:r>
      <w:r w:rsidR="00752F2B" w:rsidRPr="002C21B8">
        <w:instrText xml:space="preserve"> ADDIN EN.CITE &lt;EndNote&gt;&lt;Cite&gt;&lt;Author&gt;Aartsma-Rus&lt;/Author&gt;&lt;Year&gt;2011&lt;/Year&gt;&lt;RecNum&gt;125241&lt;/RecNum&gt;&lt;DisplayText&gt;(Aartsma-Rus&lt;style face="italic"&gt; et al.&lt;/style&gt;, 2011)&lt;/DisplayText&gt;&lt;record&gt;&lt;rec-number&gt;125241&lt;/rec-number&gt;&lt;foreign-keys&gt;&lt;key app="EN" db-id="xpefzwa5hf9dt2ea9fax95x7xvxz90v09dtf" timestamp="1773043462"&gt;125241&lt;/key&gt;&lt;/foreign-keys&gt;&lt;ref-type name="Journal Article"&gt;17&lt;/ref-type&gt;&lt;contributors&gt;&lt;authors&gt;&lt;author&gt;Aartsma-Rus, Annemieke&lt;/author&gt;&lt;author&gt;Furlong, Pat&lt;/author&gt;&lt;author&gt;Vroom, Elizabeth&lt;/author&gt;&lt;author&gt;van Ommen, Gert-Jan&lt;/author&gt;&lt;author&gt;Niks, Erik&lt;/author&gt;&lt;author&gt;Straathof, Chiara&lt;/author&gt;&lt;author&gt;Verschuuren, Jan&lt;/author&gt;&lt;author&gt;Ferlini, Alessandra&lt;/author&gt;&lt;author&gt;Hagger, Lynn&lt;/author&gt;&lt;/authors&gt;&lt;/contributors&gt;&lt;titles&gt;&lt;title&gt;The risks of therapeutic misconception and individual patient (n= 1)“trials” in rare diseases such as Duchenne dystrophy&lt;/title&gt;&lt;/titles&gt;&lt;pages&gt;13-15&lt;/pages&gt;&lt;volume&gt;21&lt;/volume&gt;&lt;number&gt;1&lt;/number&gt;&lt;dates&gt;&lt;year&gt;2011&lt;/year&gt;&lt;/dates&gt;&lt;publisher&gt;Elsevier&lt;/publisher&gt;&lt;isbn&gt;0960-8966&lt;/isbn&gt;&lt;urls&gt;&lt;/urls&gt;&lt;/record&gt;&lt;/Cite&gt;&lt;/EndNote&gt;</w:instrText>
      </w:r>
      <w:r w:rsidRPr="002C21B8">
        <w:fldChar w:fldCharType="separate"/>
      </w:r>
      <w:r w:rsidRPr="002C21B8">
        <w:rPr>
          <w:noProof/>
        </w:rPr>
        <w:t>(Aartsma-Rus</w:t>
      </w:r>
      <w:r w:rsidRPr="002C21B8">
        <w:rPr>
          <w:i/>
          <w:noProof/>
        </w:rPr>
        <w:t xml:space="preserve"> et al.</w:t>
      </w:r>
      <w:r w:rsidRPr="002C21B8">
        <w:rPr>
          <w:noProof/>
        </w:rPr>
        <w:t>, 2011)</w:t>
      </w:r>
      <w:r w:rsidRPr="002C21B8">
        <w:fldChar w:fldCharType="end"/>
      </w:r>
      <w:r w:rsidRPr="002C21B8">
        <w:t>.</w:t>
      </w:r>
    </w:p>
    <w:p w14:paraId="560258B2" w14:textId="1467E79A" w:rsidR="00647F05" w:rsidRPr="002C21B8" w:rsidRDefault="00647F05" w:rsidP="00647F05">
      <w:r w:rsidRPr="002C21B8">
        <w:t>Our findings show how</w:t>
      </w:r>
      <w:r w:rsidR="00243E92" w:rsidRPr="002C21B8">
        <w:t>,</w:t>
      </w:r>
      <w:r w:rsidRPr="002C21B8">
        <w:t xml:space="preserve"> in rare diseases such as ADPKD, low patient numbers can limit clinician experience and confidence</w:t>
      </w:r>
      <w:r w:rsidR="002A2F71" w:rsidRPr="002C21B8">
        <w:t>,</w:t>
      </w:r>
      <w:r w:rsidRPr="002C21B8">
        <w:t xml:space="preserve"> which shapes how care is organised and prescribing decisions made. Without </w:t>
      </w:r>
      <w:r w:rsidR="00867B0F" w:rsidRPr="002C21B8">
        <w:t>cohorting</w:t>
      </w:r>
      <w:r w:rsidR="0010246F" w:rsidRPr="002C21B8">
        <w:t xml:space="preserve"> patients with the same rare disease within a dedicated single clinic, </w:t>
      </w:r>
      <w:r w:rsidRPr="002C21B8">
        <w:t xml:space="preserve">it may </w:t>
      </w:r>
      <w:r w:rsidR="0010246F" w:rsidRPr="002C21B8">
        <w:t xml:space="preserve">be </w:t>
      </w:r>
      <w:r w:rsidRPr="002C21B8">
        <w:t xml:space="preserve">difficult for clinicians to encounter enough patients to gain sufficient experience and knowledge for confident decision-making. This has been recognised as a barrier to implementation of guidelines for rare diseases in general </w:t>
      </w:r>
      <w:r w:rsidRPr="002C21B8">
        <w:fldChar w:fldCharType="begin">
          <w:fldData xml:space="preserve">PEVuZE5vdGU+PENpdGU+PEF1dGhvcj5HaXR0dXM8L0F1dGhvcj48WWVhcj4yMDIzPC9ZZWFyPjxS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==
</w:fldData>
        </w:fldChar>
      </w:r>
      <w:r w:rsidR="00763983" w:rsidRPr="002C21B8">
        <w:instrText xml:space="preserve"> ADDIN EN.CITE </w:instrText>
      </w:r>
      <w:r w:rsidR="00763983" w:rsidRPr="002C21B8">
        <w:fldChar w:fldCharType="begin">
          <w:fldData xml:space="preserve">PEVuZE5vdGU+PENpdGU+PEF1dGhvcj5HaXR0dXM8L0F1dGhvcj48WWVhcj4yMDIzPC9ZZWFyPjxS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==
</w:fldData>
        </w:fldChar>
      </w:r>
      <w:r w:rsidR="00763983" w:rsidRPr="002C21B8">
        <w:instrText xml:space="preserve"> ADDIN EN.CITE.DATA </w:instrText>
      </w:r>
      <w:r w:rsidR="00763983" w:rsidRPr="002C21B8">
        <w:fldChar w:fldCharType="end"/>
      </w:r>
      <w:r w:rsidRPr="002C21B8">
        <w:fldChar w:fldCharType="separate"/>
      </w:r>
      <w:r w:rsidRPr="002C21B8">
        <w:rPr>
          <w:noProof/>
        </w:rPr>
        <w:t>(Gittus</w:t>
      </w:r>
      <w:r w:rsidRPr="002C21B8">
        <w:rPr>
          <w:i/>
          <w:noProof/>
        </w:rPr>
        <w:t xml:space="preserve"> et al.</w:t>
      </w:r>
      <w:r w:rsidRPr="002C21B8">
        <w:rPr>
          <w:noProof/>
        </w:rPr>
        <w:t>, 2023a)</w:t>
      </w:r>
      <w:r w:rsidRPr="002C21B8">
        <w:fldChar w:fldCharType="end"/>
      </w:r>
      <w:r w:rsidRPr="002C21B8">
        <w:t>. Furthermore, many international organisations have advocated for centralisation of expertise and coordinat</w:t>
      </w:r>
      <w:r w:rsidR="00867B0F" w:rsidRPr="002C21B8">
        <w:t>ion of</w:t>
      </w:r>
      <w:r w:rsidRPr="002C21B8">
        <w:t xml:space="preserve"> services to meet the challenges of low patient numbers and variable clinical experience</w:t>
      </w:r>
      <w:r w:rsidR="007C3C0A" w:rsidRPr="002C21B8">
        <w:t xml:space="preserve"> </w:t>
      </w:r>
      <w:r w:rsidR="007C3C0A" w:rsidRPr="002C21B8">
        <w:fldChar w:fldCharType="begin">
          <w:fldData xml:space="preserve">PEVuZE5vdGU+PENpdGU+PEF1dGhvcj5FdXJvcGVhbiBDb21taXNzaW9uPC9BdXRob3I+PFllYXI+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</w:fldData>
        </w:fldChar>
      </w:r>
      <w:r w:rsidR="008A2F67" w:rsidRPr="002C21B8">
        <w:instrText xml:space="preserve"> ADDIN EN.CITE </w:instrText>
      </w:r>
      <w:r w:rsidR="008A2F67" w:rsidRPr="002C21B8">
        <w:fldChar w:fldCharType="begin">
          <w:fldData xml:space="preserve">PEVuZE5vdGU+PENpdGU+PEF1dGhvcj5FdXJvcGVhbiBDb21taXNzaW9uPC9BdXRob3I+PFllYXI+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</w:fldData>
        </w:fldChar>
      </w:r>
      <w:r w:rsidR="008A2F67" w:rsidRPr="002C21B8">
        <w:instrText xml:space="preserve"> ADDIN EN.CITE.DATA </w:instrText>
      </w:r>
      <w:r w:rsidR="008A2F67" w:rsidRPr="002C21B8">
        <w:fldChar w:fldCharType="end"/>
      </w:r>
      <w:r w:rsidR="007C3C0A" w:rsidRPr="002C21B8">
        <w:fldChar w:fldCharType="separate"/>
      </w:r>
      <w:r w:rsidR="008A2F67" w:rsidRPr="002C21B8">
        <w:rPr>
          <w:noProof/>
        </w:rPr>
        <w:t>(European Commission, 2017; European Parliament, 2026; World Health Organization, 2025)</w:t>
      </w:r>
      <w:r w:rsidR="007C3C0A" w:rsidRPr="002C21B8">
        <w:fldChar w:fldCharType="end"/>
      </w:r>
      <w:r w:rsidRPr="002C21B8">
        <w:t>.</w:t>
      </w:r>
    </w:p>
    <w:p w14:paraId="331194D5" w14:textId="70AE6369" w:rsidR="00647F05" w:rsidRPr="002C21B8" w:rsidRDefault="00647F05" w:rsidP="00647F05">
      <w:r w:rsidRPr="002C21B8">
        <w:t xml:space="preserve">The influence of disease heterogeneity on prescribing decisions in ADPKD mirrors observations in other rare diseases, where phenotypic variability and small patient cohorts complicate </w:t>
      </w:r>
      <w:r w:rsidR="002A2F71" w:rsidRPr="002C21B8">
        <w:t xml:space="preserve">the </w:t>
      </w:r>
      <w:r w:rsidRPr="002C21B8">
        <w:t>interpretation of evidence and management decisions such as prescribing medic</w:t>
      </w:r>
      <w:r w:rsidR="00EF6C6D" w:rsidRPr="002C21B8">
        <w:t>ation</w:t>
      </w:r>
      <w:r w:rsidRPr="002C21B8">
        <w:t xml:space="preserve">s </w:t>
      </w:r>
      <w:r w:rsidRPr="002C21B8">
        <w:fldChar w:fldCharType="begin"/>
      </w:r>
      <w:r w:rsidRPr="002C21B8">
        <w:instrText xml:space="preserve"> ADDIN EN.CITE &lt;EndNote&gt;&lt;Cite&gt;&lt;Author&gt;Chaudhary&lt;/Author&gt;&lt;Year&gt;2025&lt;/Year&gt;&lt;RecNum&gt;125251&lt;/RecNum&gt;&lt;DisplayText&gt;(Chaudhary and Kumar, 2025)&lt;/DisplayText&gt;&lt;record&gt;&lt;rec-number&gt;125251&lt;/rec-number&gt;&lt;foreign-keys&gt;&lt;key app="EN" db-id="xpefzwa5hf9dt2ea9fax95x7xvxz90v09dtf" timestamp="1773068228"&gt;125251&lt;/key&gt;&lt;/foreign-keys&gt;&lt;ref-type name="Journal Article"&gt;17&lt;/ref-type&gt;&lt;contributors&gt;&lt;authors&gt;&lt;author&gt;Chaudhary, Aryan&lt;/author&gt;&lt;author&gt;Kumar, Vidyapati&lt;/author&gt;&lt;/authors&gt;&lt;/contributors&gt;&lt;titles&gt;&lt;title&gt;Rare diseases: a comprehensive literature review and future directions&lt;/title&gt;&lt;secondary-title&gt;Journal of Rare Diseases&lt;/secondary-title&gt;&lt;/titles&gt;&lt;periodical&gt;&lt;full-title&gt;Journal of Rare Diseases&lt;/full-title&gt;&lt;/periodical&gt;&lt;pages&gt;33&lt;/pages&gt;&lt;volume&gt;4&lt;/volume&gt;&lt;number&gt;1&lt;/number&gt;&lt;dates&gt;&lt;year&gt;2025&lt;/year&gt;&lt;/dates&gt;&lt;isbn&gt;2731-085X&lt;/isbn&gt;&lt;urls&gt;&lt;/urls&gt;&lt;/record&gt;&lt;/Cite&gt;&lt;/EndNote&gt;</w:instrText>
      </w:r>
      <w:r w:rsidRPr="002C21B8">
        <w:fldChar w:fldCharType="separate"/>
      </w:r>
      <w:r w:rsidRPr="002C21B8">
        <w:rPr>
          <w:noProof/>
        </w:rPr>
        <w:t>(Chaudhary and Kumar, 2025)</w:t>
      </w:r>
      <w:r w:rsidRPr="002C21B8">
        <w:fldChar w:fldCharType="end"/>
      </w:r>
      <w:r w:rsidRPr="002C21B8">
        <w:t xml:space="preserve">. As a result, there is a need for individualised assessments based on clinical judgement when prescribing for people with rare diseases </w:t>
      </w:r>
      <w:r w:rsidRPr="002C21B8">
        <w:fldChar w:fldCharType="begin"/>
      </w:r>
      <w:r w:rsidRPr="002C21B8">
        <w:instrText xml:space="preserve"> ADDIN EN.CITE &lt;EndNote&gt;&lt;Cite&gt;&lt;Author&gt;Chaudhary&lt;/Author&gt;&lt;Year&gt;2025&lt;/Year&gt;&lt;RecNum&gt;125251&lt;/RecNum&gt;&lt;DisplayText&gt;(Chaudhary and Kumar, 2025; Lazareva&lt;style face="italic"&gt; et al.&lt;/style&gt;, 2023)&lt;/DisplayText&gt;&lt;record&gt;&lt;rec-number&gt;125251&lt;/rec-number&gt;&lt;foreign-keys&gt;&lt;key app="EN" db-id="xpefzwa5hf9dt2ea9fax95x7xvxz90v09dtf" timestamp="1773068228"&gt;125251&lt;/key&gt;&lt;/foreign-keys&gt;&lt;ref-type name="Journal Article"&gt;17&lt;/ref-type&gt;&lt;contributors&gt;&lt;authors&gt;&lt;author&gt;Chaudhary, Aryan&lt;/author&gt;&lt;author&gt;Kumar, Vidyapati&lt;/author&gt;&lt;/authors&gt;&lt;/contributors&gt;&lt;titles&gt;&lt;title&gt;Rare diseases: a comprehensive literature review and future directions&lt;/title&gt;&lt;secondary-title&gt;Journal of Rare Diseases&lt;/secondary-title&gt;&lt;/titles&gt;&lt;periodical&gt;&lt;full-title&gt;Journal of Rare Diseases&lt;/full-title&gt;&lt;/periodical&gt;&lt;pages&gt;33&lt;/pages&gt;&lt;volume&gt;4&lt;/volume&gt;&lt;number&gt;1&lt;/number&gt;&lt;dates&gt;&lt;year&gt;2025&lt;/year&gt;&lt;/dates&gt;&lt;isbn&gt;2731-085X&lt;/isbn&gt;&lt;urls&gt;&lt;/urls&gt;&lt;/record&gt;&lt;/Cite&gt;&lt;Cite&gt;&lt;Author&gt;Lazareva&lt;/Author&gt;&lt;Year&gt;2023&lt;/Year&gt;&lt;RecNum&gt;125262&lt;/RecNum&gt;&lt;record&gt;&lt;rec-number&gt;125262&lt;/rec-number&gt;&lt;foreign-keys&gt;&lt;key app="EN" db-id="xpefzwa5hf9dt2ea9fax95x7xvxz90v09dtf" timestamp="1773846287"&gt;125262&lt;/key&gt;&lt;/foreign-keys&gt;&lt;ref-type name="Journal Article"&gt;17&lt;/ref-type&gt;&lt;contributors&gt;&lt;authors&gt;&lt;author&gt;Lazareva, Tatyana E&lt;/author&gt;&lt;author&gt;Barbitoff, Yury A&lt;/author&gt;&lt;author&gt;Nasykhova, Yulia A&lt;/author&gt;&lt;author&gt;Pavlova, Nadezhda S&lt;/author&gt;&lt;author&gt;Bogaychuk, Polina M&lt;/author&gt;&lt;author&gt;Glotov, Andrey S&lt;/author&gt;&lt;/authors&gt;&lt;/contributors&gt;&lt;titles&gt;&lt;title&gt;Statistical dissection of the genetic determinants of phenotypic heterogeneity in genes with multiple associated rare diseases&lt;/title&gt;&lt;secondary-title&gt;Genes&lt;/secondary-title&gt;&lt;/titles&gt;&lt;periodical&gt;&lt;full-title&gt;Genes&lt;/full-title&gt;&lt;/periodical&gt;&lt;pages&gt;2100&lt;/pages&gt;&lt;volume&gt;14&lt;/volume&gt;&lt;number&gt;11&lt;/number&gt;&lt;dates&gt;&lt;year&gt;2023&lt;/year&gt;&lt;/dates&gt;&lt;isbn&gt;2073-4425&lt;/isbn&gt;&lt;urls&gt;&lt;/urls&gt;&lt;/record&gt;&lt;/Cite&gt;&lt;/EndNote&gt;</w:instrText>
      </w:r>
      <w:r w:rsidRPr="002C21B8">
        <w:fldChar w:fldCharType="separate"/>
      </w:r>
      <w:r w:rsidRPr="002C21B8">
        <w:rPr>
          <w:noProof/>
        </w:rPr>
        <w:t>(Chaudhary and Kumar, 2025; Lazareva</w:t>
      </w:r>
      <w:r w:rsidRPr="002C21B8">
        <w:rPr>
          <w:i/>
          <w:noProof/>
        </w:rPr>
        <w:t xml:space="preserve"> et al.</w:t>
      </w:r>
      <w:r w:rsidRPr="002C21B8">
        <w:rPr>
          <w:noProof/>
        </w:rPr>
        <w:t>, 2023)</w:t>
      </w:r>
      <w:r w:rsidRPr="002C21B8">
        <w:fldChar w:fldCharType="end"/>
      </w:r>
      <w:r w:rsidRPr="002C21B8">
        <w:t>. Risk stratification tools have been developed to mitigate some of this heterogeneity and quantify potential risks</w:t>
      </w:r>
      <w:r w:rsidR="002A2F71" w:rsidRPr="002C21B8">
        <w:t>,</w:t>
      </w:r>
      <w:r w:rsidRPr="002C21B8">
        <w:t xml:space="preserve"> but their usability in clinical practice can be limited. Similar findings have been found for other rare diseases such as transthyretin amyloidosis (ATTR) where prescribing outcomes are thought to be influenced by clinical judgements of overall health status based on age, disease severity and comorbidities </w:t>
      </w:r>
      <w:r w:rsidRPr="002C21B8">
        <w:fldChar w:fldCharType="begin"/>
      </w:r>
      <w:r w:rsidR="00455B2B" w:rsidRPr="002C21B8">
        <w:instrText xml:space="preserve"> ADDIN EN.CITE &lt;EndNote&gt;&lt;Cite&gt;&lt;Author&gt;Lavall&lt;/Author&gt;&lt;Year&gt;2026&lt;/Year&gt;&lt;RecNum&gt;125264&lt;/RecNum&gt;&lt;DisplayText&gt;(Lavall&lt;style face="italic"&gt; et al.&lt;/style&gt;, 2026)&lt;/DisplayText&gt;&lt;record&gt;&lt;rec-number&gt;125264&lt;/rec-number&gt;&lt;foreign-keys&gt;&lt;key app="EN" db-id="xpefzwa5hf9dt2ea9fax95x7xvxz90v09dtf" timestamp="1773854123"&gt;125264&lt;/key&gt;&lt;/foreign-keys&gt;&lt;ref-type name="Journal Article"&gt;17&lt;/ref-type&gt;&lt;contributors&gt;&lt;authors&gt;&lt;author&gt;Lavall, Daniel&lt;/author&gt;&lt;author&gt;Knoll, Katharina&lt;/author&gt;&lt;author&gt;Spethmann, Sebastian&lt;/author&gt;&lt;author&gt;Hahn, Katrin&lt;/author&gt;&lt;author&gt;Barzen, Gina&lt;/author&gt;&lt;author&gt;Winzer, Ephraim B&lt;/author&gt;&lt;author&gt;Jellinghaus, Stefanie&lt;/author&gt;&lt;author&gt;Schöner, Lisa K&lt;/author&gt;&lt;author&gt;Tröbs, Monique&lt;/author&gt;&lt;author&gt;Kauffmann, Dominik&lt;/author&gt;&lt;/authors&gt;&lt;/contributors&gt;&lt;titles&gt;&lt;title&gt;Current treatment decisions in cardiac transthyretin amyloidosis: a multicentre analysis&lt;/title&gt;&lt;secondary-title&gt;Clinical Research in Cardiology&lt;/secondary-title&gt;&lt;/titles&gt;&lt;periodical&gt;&lt;full-title&gt;Clinical Research in Cardiology&lt;/full-title&gt;&lt;/periodical&gt;&lt;pages&gt;1-13&lt;/pages&gt;&lt;volume&gt;115&lt;/volume&gt;&lt;number&gt;5&lt;/number&gt;&lt;dates&gt;&lt;year&gt;2026&lt;/year&gt;&lt;/dates&gt;&lt;isbn&gt;1861-0684&lt;/isbn&gt;&lt;urls&gt;&lt;/urls&gt;&lt;/record&gt;&lt;/Cite&gt;&lt;/EndNote&gt;</w:instrText>
      </w:r>
      <w:r w:rsidRPr="002C21B8">
        <w:fldChar w:fldCharType="separate"/>
      </w:r>
      <w:r w:rsidRPr="002C21B8">
        <w:rPr>
          <w:noProof/>
        </w:rPr>
        <w:t>(Lavall</w:t>
      </w:r>
      <w:r w:rsidRPr="002C21B8">
        <w:rPr>
          <w:i/>
          <w:noProof/>
        </w:rPr>
        <w:t xml:space="preserve"> et al.</w:t>
      </w:r>
      <w:r w:rsidRPr="002C21B8">
        <w:rPr>
          <w:noProof/>
        </w:rPr>
        <w:t>, 2026)</w:t>
      </w:r>
      <w:r w:rsidRPr="002C21B8">
        <w:fldChar w:fldCharType="end"/>
      </w:r>
      <w:r w:rsidRPr="002C21B8">
        <w:t xml:space="preserve">. Risk stratification tools also exist in ATTR </w:t>
      </w:r>
      <w:r w:rsidRPr="002C21B8">
        <w:fldChar w:fldCharType="begin"/>
      </w:r>
      <w:r w:rsidR="00763983" w:rsidRPr="002C21B8">
        <w:instrText xml:space="preserve"> ADDIN EN.CITE &lt;EndNote&gt;&lt;Cite&gt;&lt;Author&gt;Gillmore&lt;/Author&gt;&lt;Year&gt;2018&lt;/Year&gt;&lt;RecNum&gt;125263&lt;/RecNum&gt;&lt;DisplayText&gt;(Gillmore&lt;style face="italic"&gt; et al.&lt;/style&gt;, 2018)&lt;/DisplayText&gt;&lt;record&gt;&lt;rec-number&gt;125263&lt;/rec-number&gt;&lt;foreign-keys&gt;&lt;key app="EN" db-id="xpefzwa5hf9dt2ea9fax95x7xvxz90v09dtf" timestamp="1773853998"&gt;125263&lt;/key&gt;&lt;/foreign-keys&gt;&lt;ref-type name="Journal Article"&gt;17&lt;/ref-type&gt;&lt;contributors&gt;&lt;authors&gt;&lt;author&gt;Gillmore, Julian D&lt;/author&gt;&lt;author&gt;Damy, Thibaud&lt;/author&gt;&lt;author&gt;Fontana, Marianna&lt;/author&gt;&lt;author&gt;Hutchinson, Matthew&lt;/author&gt;&lt;author&gt;Lachmann, Helen J&lt;/author&gt;&lt;author&gt;Martinez-Naharro, Ana&lt;/author&gt;&lt;author&gt;Quarta, Candida C&lt;/author&gt;&lt;author&gt;Rezk, Tamer&lt;/author&gt;&lt;author&gt;Whelan, Carol J&lt;/author&gt;&lt;author&gt;Gonzalez-Lopez, Esther&lt;/author&gt;&lt;/authors&gt;&lt;/contributors&gt;&lt;titles&gt;&lt;title&gt;A new staging system for cardiac transthyretin amyloidosis&lt;/title&gt;&lt;secondary-title&gt;European Heart Journal&lt;/secondary-title&gt;&lt;/titles&gt;&lt;periodical&gt;&lt;full-title&gt;European heart journal&lt;/full-title&gt;&lt;/periodical&gt;&lt;pages&gt;2799-2806&lt;/pages&gt;&lt;volume&gt;39&lt;/volume&gt;&lt;number&gt;30&lt;/number&gt;&lt;dates&gt;&lt;year&gt;2018&lt;/year&gt;&lt;/dates&gt;&lt;isbn&gt;0195-668X&lt;/isbn&gt;&lt;urls&gt;&lt;/urls&gt;&lt;/record&gt;&lt;/Cite&gt;&lt;/EndNote&gt;</w:instrText>
      </w:r>
      <w:r w:rsidRPr="002C21B8">
        <w:fldChar w:fldCharType="separate"/>
      </w:r>
      <w:r w:rsidRPr="002C21B8">
        <w:rPr>
          <w:noProof/>
        </w:rPr>
        <w:t>(Gillmore</w:t>
      </w:r>
      <w:r w:rsidRPr="002C21B8">
        <w:rPr>
          <w:i/>
          <w:noProof/>
        </w:rPr>
        <w:t xml:space="preserve"> et al.</w:t>
      </w:r>
      <w:r w:rsidRPr="002C21B8">
        <w:rPr>
          <w:noProof/>
        </w:rPr>
        <w:t>, 2018)</w:t>
      </w:r>
      <w:r w:rsidRPr="002C21B8">
        <w:fldChar w:fldCharType="end"/>
      </w:r>
      <w:r w:rsidR="00ED3B75" w:rsidRPr="002C21B8">
        <w:t xml:space="preserve">, </w:t>
      </w:r>
      <w:r w:rsidRPr="002C21B8">
        <w:t xml:space="preserve">but these have been found not to be routinely used to inform treatment decisions in clinical practice </w:t>
      </w:r>
      <w:r w:rsidRPr="002C21B8">
        <w:fldChar w:fldCharType="begin"/>
      </w:r>
      <w:r w:rsidR="00455B2B" w:rsidRPr="002C21B8">
        <w:instrText xml:space="preserve"> ADDIN EN.CITE &lt;EndNote&gt;&lt;Cite&gt;&lt;Author&gt;Lavall&lt;/Author&gt;&lt;Year&gt;2026&lt;/Year&gt;&lt;RecNum&gt;125264&lt;/RecNum&gt;&lt;DisplayText&gt;(Lavall&lt;style face="italic"&gt; et al.&lt;/style&gt;, 2026)&lt;/DisplayText&gt;&lt;record&gt;&lt;rec-number&gt;125264&lt;/rec-number&gt;&lt;foreign-keys&gt;&lt;key app="EN" db-id="xpefzwa5hf9dt2ea9fax95x7xvxz90v09dtf" timestamp="1773854123"&gt;125264&lt;/key&gt;&lt;/foreign-keys&gt;&lt;ref-type name="Journal Article"&gt;17&lt;/ref-type&gt;&lt;contributors&gt;&lt;authors&gt;&lt;author&gt;Lavall, Daniel&lt;/author&gt;&lt;author&gt;Knoll, Katharina&lt;/author&gt;&lt;author&gt;Spethmann, Sebastian&lt;/author&gt;&lt;author&gt;Hahn, Katrin&lt;/author&gt;&lt;author&gt;Barzen, Gina&lt;/author&gt;&lt;author&gt;Winzer, Ephraim B&lt;/author&gt;&lt;author&gt;Jellinghaus, Stefanie&lt;/author&gt;&lt;author&gt;Schöner, Lisa K&lt;/author&gt;&lt;author&gt;Tröbs, Monique&lt;/author&gt;&lt;author&gt;Kauffmann, Dominik&lt;/author&gt;&lt;/authors&gt;&lt;/contributors&gt;&lt;titles&gt;&lt;title&gt;Current treatment decisions in cardiac transthyretin amyloidosis: a multicentre analysis&lt;/title&gt;&lt;secondary-title&gt;Clinical Research in Cardiology&lt;/secondary-title&gt;&lt;/titles&gt;&lt;periodical&gt;&lt;full-title&gt;Clinical Research in Cardiology&lt;/full-title&gt;&lt;/periodical&gt;&lt;pages&gt;1-13&lt;/pages&gt;&lt;volume&gt;115&lt;/volume&gt;&lt;number&gt;5&lt;/number&gt;&lt;dates&gt;&lt;year&gt;2026&lt;/year&gt;&lt;/dates&gt;&lt;isbn&gt;1861-0684&lt;/isbn&gt;&lt;urls&gt;&lt;/urls&gt;&lt;/record&gt;&lt;/Cite&gt;&lt;/EndNote&gt;</w:instrText>
      </w:r>
      <w:r w:rsidRPr="002C21B8">
        <w:fldChar w:fldCharType="separate"/>
      </w:r>
      <w:r w:rsidRPr="002C21B8">
        <w:rPr>
          <w:noProof/>
        </w:rPr>
        <w:t>(Lavall</w:t>
      </w:r>
      <w:r w:rsidRPr="002C21B8">
        <w:rPr>
          <w:i/>
          <w:noProof/>
        </w:rPr>
        <w:t xml:space="preserve"> et al.</w:t>
      </w:r>
      <w:r w:rsidRPr="002C21B8">
        <w:rPr>
          <w:noProof/>
        </w:rPr>
        <w:t>, 2026)</w:t>
      </w:r>
      <w:r w:rsidRPr="002C21B8">
        <w:fldChar w:fldCharType="end"/>
      </w:r>
      <w:r w:rsidRPr="002C21B8">
        <w:t>.</w:t>
      </w:r>
    </w:p>
    <w:p w14:paraId="448785FF" w14:textId="1AFBDFD3" w:rsidR="00647F05" w:rsidRPr="002C21B8" w:rsidRDefault="00647F05" w:rsidP="00721D31">
      <w:r w:rsidRPr="002C21B8">
        <w:t xml:space="preserve">Clinical expertise in rare diseases is often concentrated among relatively few specialists, in contrast to common conditions where knowledge is more widely distributed across professional communities </w:t>
      </w:r>
      <w:r w:rsidRPr="002C21B8">
        <w:fldChar w:fldCharType="begin"/>
      </w:r>
      <w:r w:rsidR="00763983" w:rsidRPr="002C21B8">
        <w:instrText xml:space="preserve"> ADDIN EN.CITE &lt;EndNote&gt;&lt;Cite&gt;&lt;Author&gt;Schieppati&lt;/Author&gt;&lt;Year&gt;2008&lt;/Year&gt;&lt;RecNum&gt;125233&lt;/RecNum&gt;&lt;DisplayText&gt;(Greenhalgh&lt;style face="italic"&gt; et al.&lt;/style&gt;, 2004; Schieppati&lt;style face="italic"&gt; et al.&lt;/style&gt;, 2008)&lt;/DisplayText&gt;&lt;record&gt;&lt;rec-number&gt;125233&lt;/rec-number&gt;&lt;foreign-keys&gt;&lt;key app="EN" db-id="xpefzwa5hf9dt2ea9fax95x7xvxz90v09dtf" timestamp="1772643959"&gt;125233&lt;/key&gt;&lt;/foreign-keys&gt;&lt;ref-type name="Journal Article"&gt;17&lt;/ref-type&gt;&lt;contributors&gt;&lt;authors&gt;&lt;author&gt;Schieppati, Arrigo&lt;/author&gt;&lt;author&gt;Henter, Jan-Inge&lt;/author&gt;&lt;author&gt;Daina, Erica&lt;/author&gt;&lt;author&gt;Aperia, Anita&lt;/author&gt;&lt;/authors&gt;&lt;/contributors&gt;&lt;titles&gt;&lt;title&gt;Why rare diseases are an important medical and social issue&lt;/title&gt;&lt;secondary-title&gt;The Lancet&lt;/secondary-title&gt;&lt;/titles&gt;&lt;periodical&gt;&lt;full-title&gt;The Lancet&lt;/full-title&gt;&lt;/periodical&gt;&lt;pages&gt;2039-2041&lt;/pages&gt;&lt;volume&gt;371&lt;/volume&gt;&lt;number&gt;9629&lt;/number&gt;&lt;dates&gt;&lt;year&gt;2008&lt;/year&gt;&lt;/dates&gt;&lt;isbn&gt;0140-6736&lt;/isbn&gt;&lt;urls&gt;&lt;/urls&gt;&lt;/record&gt;&lt;/Cite&gt;&lt;Cite&gt;&lt;Author&gt;Greenhalgh&lt;/Author&gt;&lt;Year&gt;2004&lt;/Year&gt;&lt;RecNum&gt;125234&lt;/RecNum&gt;&lt;record&gt;&lt;rec-number&gt;125234&lt;/rec-number&gt;&lt;foreign-keys&gt;&lt;key app="EN" db-id="xpefzwa5hf9dt2ea9fax95x7xvxz90v09dtf" timestamp="1772644016"&gt;125234&lt;/key&gt;&lt;/foreign-keys&gt;&lt;ref-type name="Journal Article"&gt;17&lt;/ref-type&gt;&lt;contributors&gt;&lt;authors&gt;&lt;author&gt;Greenhalgh, Trisha&lt;/author&gt;&lt;author&gt;Robert, Glenn&lt;/author&gt;&lt;author&gt;Macfarlane, Fraser&lt;/author&gt;&lt;author&gt;Bate, Paul&lt;/author&gt;&lt;author&gt;Kyriakidou, Olivia&lt;/author&gt;&lt;/authors&gt;&lt;/contributors&gt;&lt;titles&gt;&lt;title&gt;Diffusion of innovations in service organizations: systematic review and recommendations&lt;/title&gt;&lt;secondary-title&gt;The Milbank Quarterly&lt;/secondary-title&gt;&lt;/titles&gt;&lt;periodical&gt;&lt;full-title&gt;The milbank quarterly&lt;/full-title&gt;&lt;/periodical&gt;&lt;pages&gt;581-629&lt;/pages&gt;&lt;volume&gt;82&lt;/volume&gt;&lt;number&gt;4&lt;/number&gt;&lt;dates&gt;&lt;year&gt;2004&lt;/year&gt;&lt;/dates&gt;&lt;isbn&gt;0887-378X&lt;/isbn&gt;&lt;urls&gt;&lt;/urls&gt;&lt;/record&gt;&lt;/Cite&gt;&lt;/EndNote&gt;</w:instrText>
      </w:r>
      <w:r w:rsidRPr="002C21B8">
        <w:fldChar w:fldCharType="separate"/>
      </w:r>
      <w:r w:rsidRPr="002C21B8">
        <w:rPr>
          <w:noProof/>
        </w:rPr>
        <w:t>(Greenhalgh</w:t>
      </w:r>
      <w:r w:rsidRPr="002C21B8">
        <w:rPr>
          <w:i/>
          <w:noProof/>
        </w:rPr>
        <w:t xml:space="preserve"> et al.</w:t>
      </w:r>
      <w:r w:rsidRPr="002C21B8">
        <w:rPr>
          <w:noProof/>
        </w:rPr>
        <w:t>, 2004; Schieppati</w:t>
      </w:r>
      <w:r w:rsidRPr="002C21B8">
        <w:rPr>
          <w:i/>
          <w:noProof/>
        </w:rPr>
        <w:t xml:space="preserve"> et al.</w:t>
      </w:r>
      <w:r w:rsidRPr="002C21B8">
        <w:rPr>
          <w:noProof/>
        </w:rPr>
        <w:t>, 2008)</w:t>
      </w:r>
      <w:r w:rsidRPr="002C21B8">
        <w:fldChar w:fldCharType="end"/>
      </w:r>
      <w:r w:rsidRPr="002C21B8">
        <w:t>. Evidence from studies of physician behaviour outside of rare diseases suggest</w:t>
      </w:r>
      <w:r w:rsidR="00ED3B75" w:rsidRPr="002C21B8">
        <w:t>s</w:t>
      </w:r>
      <w:r w:rsidRPr="002C21B8">
        <w:t xml:space="preserve"> </w:t>
      </w:r>
      <w:r w:rsidR="0010246F" w:rsidRPr="002C21B8">
        <w:t xml:space="preserve">that </w:t>
      </w:r>
      <w:r w:rsidRPr="002C21B8">
        <w:t xml:space="preserve">clinicians </w:t>
      </w:r>
      <w:r w:rsidR="0010246F" w:rsidRPr="002C21B8">
        <w:t>often</w:t>
      </w:r>
      <w:r w:rsidRPr="002C21B8">
        <w:t xml:space="preserve"> rely on professional networks, peer influence and collective</w:t>
      </w:r>
      <w:r w:rsidR="00ED3B75" w:rsidRPr="002C21B8">
        <w:t>ly</w:t>
      </w:r>
      <w:r w:rsidRPr="002C21B8">
        <w:t xml:space="preserve"> constructed </w:t>
      </w:r>
      <w:r w:rsidR="0010246F" w:rsidRPr="002C21B8">
        <w:t>knowledge,</w:t>
      </w:r>
      <w:r w:rsidRPr="002C21B8">
        <w:t xml:space="preserve"> rather than formal guidance </w:t>
      </w:r>
      <w:r w:rsidRPr="002C21B8">
        <w:fldChar w:fldCharType="begin">
          <w:fldData xml:space="preserve">PEVuZE5vdGU+PENpdGU+PEF1dGhvcj5XYW5nPC9BdXRob3I+PFllYXI+MjAyMzwvWWVhcj48UmVj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</w:fldData>
        </w:fldChar>
      </w:r>
      <w:r w:rsidR="00731A52" w:rsidRPr="002C21B8">
        <w:instrText xml:space="preserve"> ADDIN EN.CITE </w:instrText>
      </w:r>
      <w:r w:rsidR="00731A52" w:rsidRPr="002C21B8">
        <w:fldChar w:fldCharType="begin">
          <w:fldData xml:space="preserve">PEVuZE5vdGU+PENpdGU+PEF1dGhvcj5XYW5nPC9BdXRob3I+PFllYXI+MjAyMzwvWWVhcj48UmVj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</w:fldData>
        </w:fldChar>
      </w:r>
      <w:r w:rsidR="00731A52" w:rsidRPr="002C21B8">
        <w:instrText xml:space="preserve"> ADDIN EN.CITE.DATA </w:instrText>
      </w:r>
      <w:r w:rsidR="00731A52" w:rsidRPr="002C21B8">
        <w:fldChar w:fldCharType="end"/>
      </w:r>
      <w:r w:rsidRPr="002C21B8">
        <w:fldChar w:fldCharType="separate"/>
      </w:r>
      <w:r w:rsidRPr="002C21B8">
        <w:rPr>
          <w:noProof/>
        </w:rPr>
        <w:t>(Gabbay and Le May, 2004; Iyengar, Van den Bulte and Lee, 2015; Wang, Larrain and Groene, 2023)</w:t>
      </w:r>
      <w:r w:rsidRPr="002C21B8">
        <w:fldChar w:fldCharType="end"/>
      </w:r>
      <w:r w:rsidRPr="002C21B8">
        <w:t xml:space="preserve">. In our study, a similar phenomenon was observed with lead consultants, informal networks and external experts playing a prominent role in shaping the prescribing decisions of individual clinicians. In rare disease contexts, as demonstrated for </w:t>
      </w:r>
      <w:r w:rsidR="00D30ED1" w:rsidRPr="002C21B8">
        <w:t>p</w:t>
      </w:r>
      <w:r w:rsidRPr="002C21B8">
        <w:t xml:space="preserve">henylketonuria, the </w:t>
      </w:r>
      <w:r w:rsidR="00721D31" w:rsidRPr="002C21B8">
        <w:t>limited number of highly experienced experts may concentrate expertise within a small group, giving greater visibility and influence to their perspectives. This may then influence prescribing decisions more broadly</w:t>
      </w:r>
      <w:r w:rsidRPr="002C21B8">
        <w:t xml:space="preserve"> </w:t>
      </w:r>
      <w:r w:rsidRPr="002C21B8">
        <w:fldChar w:fldCharType="begin">
          <w:fldData xml:space="preserve">PEVuZE5vdGU+PENpdGU+PEF1dGhvcj52YW4gV2VnYmVyZzwvQXV0aG9yPjxZZWFyPjIwMjU8L1ll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</w:fldData>
        </w:fldChar>
      </w:r>
      <w:r w:rsidRPr="002C21B8">
        <w:instrText xml:space="preserve"> ADDIN EN.CITE </w:instrText>
      </w:r>
      <w:r w:rsidRPr="002C21B8">
        <w:fldChar w:fldCharType="begin">
          <w:fldData xml:space="preserve">PEVuZE5vdGU+PENpdGU+PEF1dGhvcj52YW4gV2VnYmVyZzwvQXV0aG9yPjxZZWFyPjIwMjU8L1ll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</w:fldData>
        </w:fldChar>
      </w:r>
      <w:r w:rsidRPr="002C21B8">
        <w:instrText xml:space="preserve"> ADDIN EN.CITE.DATA </w:instrText>
      </w:r>
      <w:r w:rsidRPr="002C21B8">
        <w:fldChar w:fldCharType="end"/>
      </w:r>
      <w:r w:rsidRPr="002C21B8">
        <w:fldChar w:fldCharType="separate"/>
      </w:r>
      <w:r w:rsidRPr="002C21B8">
        <w:rPr>
          <w:noProof/>
        </w:rPr>
        <w:t>(Griffiths</w:t>
      </w:r>
      <w:r w:rsidRPr="002C21B8">
        <w:rPr>
          <w:i/>
          <w:noProof/>
        </w:rPr>
        <w:t xml:space="preserve"> et al.</w:t>
      </w:r>
      <w:r w:rsidRPr="002C21B8">
        <w:rPr>
          <w:noProof/>
        </w:rPr>
        <w:t>, 2025; van Wegberg, Romani and Van Spronsen, 2025)</w:t>
      </w:r>
      <w:r w:rsidRPr="002C21B8">
        <w:fldChar w:fldCharType="end"/>
      </w:r>
      <w:r w:rsidRPr="002C21B8">
        <w:t>.</w:t>
      </w:r>
    </w:p>
    <w:p w14:paraId="1E2C6094" w14:textId="7DEADEA3" w:rsidR="00647F05" w:rsidRPr="002C21B8" w:rsidRDefault="00647F05" w:rsidP="00647F05">
      <w:r w:rsidRPr="002C21B8">
        <w:t xml:space="preserve">Patients and families affected by rare diseases often develop substantial disease-specific knowledge through long-term engagement with clinical care, patient registries and peer networks. This can lead to informed and collaborative treatment discussions, particularly when evidence is sparse or uncertain </w:t>
      </w:r>
      <w:r w:rsidRPr="002C21B8">
        <w:fldChar w:fldCharType="begin"/>
      </w:r>
      <w:r w:rsidRPr="002C21B8">
        <w:instrText xml:space="preserve"> ADDIN EN.CITE &lt;EndNote&gt;&lt;Cite&gt;&lt;Author&gt;Babac&lt;/Author&gt;&lt;Year&gt;2019&lt;/Year&gt;&lt;RecNum&gt;125250&lt;/RecNum&gt;&lt;DisplayText&gt;(Babac&lt;style face="italic"&gt; et al.&lt;/style&gt;, 2019)&lt;/DisplayText&gt;&lt;record&gt;&lt;rec-number&gt;125250&lt;/rec-number&gt;&lt;foreign-keys&gt;&lt;key app="EN" db-id="xpefzwa5hf9dt2ea9fax95x7xvxz90v09dtf" timestamp="1773068153"&gt;125250&lt;/key&gt;&lt;/foreign-keys&gt;&lt;ref-type name="Journal Article"&gt;17&lt;/ref-type&gt;&lt;contributors&gt;&lt;authors&gt;&lt;author&gt;Babac, Ana&lt;/author&gt;&lt;author&gt;von Friedrichs, Verena&lt;/author&gt;&lt;author&gt;Litzkendorf, Svenja&lt;/author&gt;&lt;author&gt;Zeidler, Jan&lt;/author&gt;&lt;author&gt;Damm, Kathrin&lt;/author&gt;&lt;author&gt;Graf von der Schulenburg, J-Matthias&lt;/author&gt;&lt;/authors&gt;&lt;/contributors&gt;&lt;titles&gt;&lt;title&gt;Integrating patient perspectives in medical decision-making: a qualitative interview study examining potentials within the rare disease information exchange process in practice&lt;/title&gt;&lt;secondary-title&gt;BMC Medical Informatics and Decision Making&lt;/secondary-title&gt;&lt;/titles&gt;&lt;periodical&gt;&lt;full-title&gt;BMC medical informatics and decision making&lt;/full-title&gt;&lt;/periodical&gt;&lt;pages&gt;188&lt;/pages&gt;&lt;volume&gt;19&lt;/volume&gt;&lt;number&gt;1&lt;/number&gt;&lt;dates&gt;&lt;year&gt;2019&lt;/year&gt;&lt;/dates&gt;&lt;isbn&gt;1472-6947&lt;/isbn&gt;&lt;urls&gt;&lt;/urls&gt;&lt;/record&gt;&lt;/Cite&gt;&lt;/EndNote&gt;</w:instrText>
      </w:r>
      <w:r w:rsidRPr="002C21B8">
        <w:fldChar w:fldCharType="separate"/>
      </w:r>
      <w:r w:rsidRPr="002C21B8">
        <w:rPr>
          <w:noProof/>
        </w:rPr>
        <w:t>(Babac</w:t>
      </w:r>
      <w:r w:rsidRPr="002C21B8">
        <w:rPr>
          <w:i/>
          <w:noProof/>
        </w:rPr>
        <w:t xml:space="preserve"> et al.</w:t>
      </w:r>
      <w:r w:rsidRPr="002C21B8">
        <w:rPr>
          <w:noProof/>
        </w:rPr>
        <w:t>, 2019)</w:t>
      </w:r>
      <w:r w:rsidRPr="002C21B8">
        <w:fldChar w:fldCharType="end"/>
      </w:r>
      <w:r w:rsidRPr="002C21B8">
        <w:t>. In our study</w:t>
      </w:r>
      <w:r w:rsidR="002A2F71" w:rsidRPr="002C21B8">
        <w:t>,</w:t>
      </w:r>
      <w:r w:rsidRPr="002C21B8">
        <w:t xml:space="preserve"> clinicians described feeling able to resist patient requests without fear of harming the therapeutic relationship</w:t>
      </w:r>
      <w:r w:rsidR="00B80DFA" w:rsidRPr="002C21B8">
        <w:t>,</w:t>
      </w:r>
      <w:r w:rsidRPr="002C21B8">
        <w:t xml:space="preserve"> which was fostered through long-standing follow-up, recognised specialist expertise of clinicians and open communication. Evidence from other studies suggest</w:t>
      </w:r>
      <w:r w:rsidR="00ED3B75" w:rsidRPr="002C21B8">
        <w:t>s</w:t>
      </w:r>
      <w:r w:rsidRPr="002C21B8">
        <w:t xml:space="preserve"> that when a collaborative, trust-based relationship develops</w:t>
      </w:r>
      <w:r w:rsidR="00ED3B75" w:rsidRPr="002C21B8">
        <w:t>,</w:t>
      </w:r>
      <w:r w:rsidRPr="002C21B8">
        <w:t xml:space="preserve"> patients are more likely to participate constructively in shared decision-making rather than exert pressure on clinicians’ decision-making </w:t>
      </w:r>
      <w:r w:rsidRPr="002C21B8">
        <w:fldChar w:fldCharType="begin">
          <w:fldData xml:space="preserve">PEVuZE5vdGU+PENpdGU+PEF1dGhvcj5FbHd5bjwvQXV0aG9yPjxZZWFyPjIwMTI8L1llYXI+PFJl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=
</w:fldData>
        </w:fldChar>
      </w:r>
      <w:r w:rsidR="00590E88" w:rsidRPr="002C21B8">
        <w:instrText xml:space="preserve"> ADDIN EN.CITE </w:instrText>
      </w:r>
      <w:r w:rsidR="00590E88" w:rsidRPr="002C21B8">
        <w:fldChar w:fldCharType="begin">
          <w:fldData xml:space="preserve">PEVuZE5vdGU+PENpdGU+PEF1dGhvcj5FbHd5bjwvQXV0aG9yPjxZZWFyPjIwMTI8L1llYXI+PFJl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=
</w:fldData>
        </w:fldChar>
      </w:r>
      <w:r w:rsidR="00590E88" w:rsidRPr="002C21B8">
        <w:instrText xml:space="preserve"> ADDIN EN.CITE.DATA </w:instrText>
      </w:r>
      <w:r w:rsidR="00590E88" w:rsidRPr="002C21B8">
        <w:fldChar w:fldCharType="end"/>
      </w:r>
      <w:r w:rsidRPr="002C21B8">
        <w:fldChar w:fldCharType="separate"/>
      </w:r>
      <w:r w:rsidRPr="002C21B8">
        <w:rPr>
          <w:noProof/>
        </w:rPr>
        <w:t>(Babac</w:t>
      </w:r>
      <w:r w:rsidRPr="002C21B8">
        <w:rPr>
          <w:i/>
          <w:noProof/>
        </w:rPr>
        <w:t xml:space="preserve"> et al.</w:t>
      </w:r>
      <w:r w:rsidRPr="002C21B8">
        <w:rPr>
          <w:noProof/>
        </w:rPr>
        <w:t>, 2019; Elwyn</w:t>
      </w:r>
      <w:r w:rsidRPr="002C21B8">
        <w:rPr>
          <w:i/>
          <w:noProof/>
        </w:rPr>
        <w:t xml:space="preserve"> et al.</w:t>
      </w:r>
      <w:r w:rsidRPr="002C21B8">
        <w:rPr>
          <w:noProof/>
        </w:rPr>
        <w:t>, 2012; Merker</w:t>
      </w:r>
      <w:r w:rsidRPr="002C21B8">
        <w:rPr>
          <w:i/>
          <w:noProof/>
        </w:rPr>
        <w:t xml:space="preserve"> et al.</w:t>
      </w:r>
      <w:r w:rsidRPr="002C21B8">
        <w:rPr>
          <w:noProof/>
        </w:rPr>
        <w:t>, 2021)</w:t>
      </w:r>
      <w:r w:rsidRPr="002C21B8">
        <w:fldChar w:fldCharType="end"/>
      </w:r>
      <w:r w:rsidRPr="002C21B8">
        <w:t xml:space="preserve">. This contrasts with prescribing in </w:t>
      </w:r>
      <w:r w:rsidR="0010246F" w:rsidRPr="002C21B8">
        <w:t>acute</w:t>
      </w:r>
      <w:r w:rsidRPr="002C21B8">
        <w:t xml:space="preserve"> conditions, such </w:t>
      </w:r>
      <w:r w:rsidR="00DD08FC" w:rsidRPr="002C21B8">
        <w:t>as acute</w:t>
      </w:r>
      <w:r w:rsidRPr="002C21B8">
        <w:t xml:space="preserve"> infections, where many clinicians have described prescribing antibiotics against their clinical judgement due to pressure from patient requests </w:t>
      </w:r>
      <w:r w:rsidRPr="002C21B8">
        <w:fldChar w:fldCharType="begin"/>
      </w:r>
      <w:r w:rsidR="00590E88" w:rsidRPr="002C21B8">
        <w:instrText xml:space="preserve"> ADDIN EN.CITE &lt;EndNote&gt;&lt;Cite&gt;&lt;Author&gt;Rinaldi&lt;/Author&gt;&lt;Year&gt;2025&lt;/Year&gt;&lt;RecNum&gt;125253&lt;/RecNum&gt;&lt;DisplayText&gt;(Macfarlane&lt;style face="italic"&gt; et al.&lt;/style&gt;, 1997; Rinaldi, Bullo and Schulz, 2025)&lt;/DisplayText&gt;&lt;record&gt;&lt;rec-number&gt;125253&lt;/rec-number&gt;&lt;foreign-keys&gt;&lt;key app="EN" db-id="xpefzwa5hf9dt2ea9fax95x7xvxz90v09dtf" timestamp="1773069072"&gt;125253&lt;/key&gt;&lt;/foreign-keys&gt;&lt;ref-type name="Journal Article"&gt;17&lt;/ref-type&gt;&lt;contributors&gt;&lt;authors&gt;&lt;author&gt;Rinaldi, Aline&lt;/author&gt;&lt;author&gt;Bullo, Anna&lt;/author&gt;&lt;author&gt;Schulz, Peter Johannes&lt;/author&gt;&lt;/authors&gt;&lt;/contributors&gt;&lt;titles&gt;&lt;title&gt;Patients’ requests and physicians’ prescribing behavior. A systematic review&lt;/title&gt;&lt;secondary-title&gt;Patient Education and Counseling&lt;/secondary-title&gt;&lt;/titles&gt;&lt;periodical&gt;&lt;full-title&gt;Patient education and counseling&lt;/full-title&gt;&lt;/periodical&gt;&lt;pages&gt;108747&lt;/pages&gt;&lt;volume&gt;136&lt;/volume&gt;&lt;dates&gt;&lt;year&gt;2025&lt;/year&gt;&lt;/dates&gt;&lt;isbn&gt;0738-3991&lt;/isbn&gt;&lt;urls&gt;&lt;/urls&gt;&lt;/record&gt;&lt;/Cite&gt;&lt;Cite&gt;&lt;Author&gt;Macfarlane&lt;/Author&gt;&lt;Year&gt;1997&lt;/Year&gt;&lt;RecNum&gt;125254&lt;/RecNum&gt;&lt;record&gt;&lt;rec-number&gt;125254&lt;/rec-number&gt;&lt;foreign-keys&gt;&lt;key app="EN" db-id="xpefzwa5hf9dt2ea9fax95x7xvxz90v09dtf" timestamp="1773069105"&gt;125254&lt;/key&gt;&lt;/foreign-keys&gt;&lt;ref-type name="Journal Article"&gt;17&lt;/ref-type&gt;&lt;contributors&gt;&lt;authors&gt;&lt;author&gt;Macfarlane, John&lt;/author&gt;&lt;author&gt;Holmes, William&lt;/author&gt;&lt;author&gt;Macfarlane, Rosamund&lt;/author&gt;&lt;author&gt;Britten, Nicky&lt;/author&gt;&lt;/authors&gt;&lt;/contributors&gt;&lt;titles&gt;&lt;title&gt;Influence of patients&amp;apos; expectations on antibiotic management of acute lower respiratory tract illness in general practice: questionnaire study&lt;/title&gt;&lt;secondary-title&gt;BMJ&lt;/secondary-title&gt;&lt;/titles&gt;&lt;periodical&gt;&lt;full-title&gt;BMJ&lt;/full-title&gt;&lt;/periodical&gt;&lt;pages&gt;1211-1214&lt;/pages&gt;&lt;volume&gt;315&lt;/volume&gt;&lt;number&gt;7117&lt;/number&gt;&lt;dates&gt;&lt;year&gt;1997&lt;/year&gt;&lt;/dates&gt;&lt;isbn&gt;0959-8138&lt;/isbn&gt;&lt;urls&gt;&lt;/urls&gt;&lt;/record&gt;&lt;/Cite&gt;&lt;/EndNote&gt;</w:instrText>
      </w:r>
      <w:r w:rsidRPr="002C21B8">
        <w:fldChar w:fldCharType="separate"/>
      </w:r>
      <w:r w:rsidRPr="002C21B8">
        <w:rPr>
          <w:noProof/>
        </w:rPr>
        <w:t>(Macfarlane</w:t>
      </w:r>
      <w:r w:rsidRPr="002C21B8">
        <w:rPr>
          <w:i/>
          <w:noProof/>
        </w:rPr>
        <w:t xml:space="preserve"> et al.</w:t>
      </w:r>
      <w:r w:rsidRPr="002C21B8">
        <w:rPr>
          <w:noProof/>
        </w:rPr>
        <w:t>, 1997; Rinaldi, Bullo and Schulz, 2025)</w:t>
      </w:r>
      <w:r w:rsidRPr="002C21B8">
        <w:fldChar w:fldCharType="end"/>
      </w:r>
      <w:r w:rsidRPr="002C21B8">
        <w:t>.</w:t>
      </w:r>
    </w:p>
    <w:p w14:paraId="2781D88C" w14:textId="6AC76653" w:rsidR="00647F05" w:rsidRPr="002C21B8" w:rsidRDefault="00647F05" w:rsidP="00647F05">
      <w:r w:rsidRPr="002C21B8">
        <w:t>There are some aspects of prescribing for ADPKD which may differ from other rare diseases. Unlike many rare diseases</w:t>
      </w:r>
      <w:r w:rsidR="00ED3B75" w:rsidRPr="002C21B8">
        <w:t>,</w:t>
      </w:r>
      <w:r w:rsidRPr="002C21B8">
        <w:t xml:space="preserve"> where evidence is limited or based on small or underpowered trials </w:t>
      </w:r>
      <w:r w:rsidRPr="002C21B8">
        <w:fldChar w:fldCharType="begin">
          <w:fldData xml:space="preserve">PEVuZE5vdGU+PENpdGU+PEF1dGhvcj5QYXZhbjwvQXV0aG9yPjxZZWFyPjIwMTc8L1llYXI+PFJl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</w:fldData>
        </w:fldChar>
      </w:r>
      <w:r w:rsidR="000215B0" w:rsidRPr="002C21B8">
        <w:instrText xml:space="preserve"> ADDIN EN.CITE </w:instrText>
      </w:r>
      <w:r w:rsidR="000215B0" w:rsidRPr="002C21B8">
        <w:fldChar w:fldCharType="begin">
          <w:fldData xml:space="preserve">PEVuZE5vdGU+PENpdGU+PEF1dGhvcj5QYXZhbjwvQXV0aG9yPjxZZWFyPjIwMTc8L1llYXI+PFJl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</w:fldData>
        </w:fldChar>
      </w:r>
      <w:r w:rsidR="000215B0" w:rsidRPr="002C21B8">
        <w:instrText xml:space="preserve"> ADDIN EN.CITE.DATA </w:instrText>
      </w:r>
      <w:r w:rsidR="000215B0" w:rsidRPr="002C21B8">
        <w:fldChar w:fldCharType="end"/>
      </w:r>
      <w:r w:rsidRPr="002C21B8">
        <w:fldChar w:fldCharType="separate"/>
      </w:r>
      <w:r w:rsidRPr="002C21B8">
        <w:rPr>
          <w:noProof/>
        </w:rPr>
        <w:t>(Chen</w:t>
      </w:r>
      <w:r w:rsidRPr="002C21B8">
        <w:rPr>
          <w:i/>
          <w:noProof/>
        </w:rPr>
        <w:t xml:space="preserve"> et al.</w:t>
      </w:r>
      <w:r w:rsidRPr="002C21B8">
        <w:rPr>
          <w:noProof/>
        </w:rPr>
        <w:t>, 2024; Pavan</w:t>
      </w:r>
      <w:r w:rsidRPr="002C21B8">
        <w:rPr>
          <w:i/>
          <w:noProof/>
        </w:rPr>
        <w:t xml:space="preserve"> et al.</w:t>
      </w:r>
      <w:r w:rsidRPr="002C21B8">
        <w:rPr>
          <w:noProof/>
        </w:rPr>
        <w:t>, 2017; Pontes</w:t>
      </w:r>
      <w:r w:rsidRPr="002C21B8">
        <w:rPr>
          <w:i/>
          <w:noProof/>
        </w:rPr>
        <w:t xml:space="preserve"> et al.</w:t>
      </w:r>
      <w:r w:rsidRPr="002C21B8">
        <w:rPr>
          <w:noProof/>
        </w:rPr>
        <w:t>, 2018)</w:t>
      </w:r>
      <w:r w:rsidRPr="002C21B8">
        <w:fldChar w:fldCharType="end"/>
      </w:r>
      <w:r w:rsidRPr="002C21B8">
        <w:t>, tolvaptan was evaluated in multiple studies before approval for use in the management of ADPKD. This means clinicians managing patients with ADPKD have a stronger evidence base to inform their prescribing decisions than many other rare diseases. Guidelines for ADPKD are readily accessible</w:t>
      </w:r>
      <w:r w:rsidR="00ED3B75" w:rsidRPr="002C21B8">
        <w:t>,</w:t>
      </w:r>
      <w:r w:rsidRPr="002C21B8">
        <w:t xml:space="preserve"> and clinicians in our study reported being aware of national guidance and eligibility criteria. This contrasts with some other rare diseases, especially ultra-rare diseases, where guidance may be absent, poorly disseminated or inconsistent. In such contexts, clinicians may rely even more on informal expert networks and anecdotal experiences to inform their prescribing decisions </w:t>
      </w:r>
      <w:r w:rsidRPr="002C21B8">
        <w:fldChar w:fldCharType="begin">
          <w:fldData xml:space="preserve">PEVuZE5vdGU+PENpdGU+PEF1dGhvcj5HaXR0dXM8L0F1dGhvcj48WWVhcj4yMDIzPC9ZZWFyPjxS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</w:fldData>
        </w:fldChar>
      </w:r>
      <w:r w:rsidR="00FF0A99" w:rsidRPr="002C21B8">
        <w:instrText xml:space="preserve"> ADDIN EN.CITE </w:instrText>
      </w:r>
      <w:r w:rsidR="00FF0A99" w:rsidRPr="002C21B8">
        <w:fldChar w:fldCharType="begin">
          <w:fldData xml:space="preserve">PEVuZE5vdGU+PENpdGU+PEF1dGhvcj5HaXR0dXM8L0F1dGhvcj48WWVhcj4yMDIzPC9ZZWFyPjxS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</w:fldData>
        </w:fldChar>
      </w:r>
      <w:r w:rsidR="00FF0A99" w:rsidRPr="002C21B8">
        <w:instrText xml:space="preserve"> ADDIN EN.CITE.DATA </w:instrText>
      </w:r>
      <w:r w:rsidR="00FF0A99" w:rsidRPr="002C21B8">
        <w:fldChar w:fldCharType="end"/>
      </w:r>
      <w:r w:rsidRPr="002C21B8">
        <w:fldChar w:fldCharType="separate"/>
      </w:r>
      <w:r w:rsidRPr="002C21B8">
        <w:rPr>
          <w:noProof/>
        </w:rPr>
        <w:t>(Gittus</w:t>
      </w:r>
      <w:r w:rsidRPr="002C21B8">
        <w:rPr>
          <w:i/>
          <w:noProof/>
        </w:rPr>
        <w:t xml:space="preserve"> et al.</w:t>
      </w:r>
      <w:r w:rsidRPr="002C21B8">
        <w:rPr>
          <w:noProof/>
        </w:rPr>
        <w:t>, 2023a; Pai</w:t>
      </w:r>
      <w:r w:rsidRPr="002C21B8">
        <w:rPr>
          <w:i/>
          <w:noProof/>
        </w:rPr>
        <w:t xml:space="preserve"> et al.</w:t>
      </w:r>
      <w:r w:rsidRPr="002C21B8">
        <w:rPr>
          <w:noProof/>
        </w:rPr>
        <w:t>, 2019)</w:t>
      </w:r>
      <w:r w:rsidRPr="002C21B8">
        <w:fldChar w:fldCharType="end"/>
      </w:r>
      <w:r w:rsidRPr="002C21B8">
        <w:t>.</w:t>
      </w:r>
    </w:p>
    <w:p w14:paraId="3B5D30FA" w14:textId="77777777" w:rsidR="00647F05" w:rsidRPr="002C21B8" w:rsidRDefault="00647F05" w:rsidP="00647F05">
      <w:pPr>
        <w:spacing w:before="240" w:after="0"/>
        <w:contextualSpacing/>
        <w:rPr>
          <w:b/>
          <w:bCs/>
          <w:sz w:val="24"/>
          <w:szCs w:val="24"/>
        </w:rPr>
      </w:pPr>
      <w:r w:rsidRPr="002C21B8">
        <w:rPr>
          <w:b/>
          <w:bCs/>
          <w:sz w:val="24"/>
          <w:szCs w:val="24"/>
        </w:rPr>
        <w:t>Strengths and limitations</w:t>
      </w:r>
    </w:p>
    <w:p w14:paraId="012CB08E" w14:textId="0AC6FDD7" w:rsidR="00647F05" w:rsidRPr="002C21B8" w:rsidRDefault="00647F05" w:rsidP="00647F05">
      <w:r w:rsidRPr="002C21B8">
        <w:t>A key strength of this study is the inclusion of different types of clinicians from kidney centres of varying size, organisational structures and levels of specialist expertise. This enabled exploration of how prescribing decisions were shaped not only by individual interpretation</w:t>
      </w:r>
      <w:r w:rsidR="0026361D" w:rsidRPr="002C21B8">
        <w:t>,</w:t>
      </w:r>
      <w:r w:rsidRPr="002C21B8">
        <w:t xml:space="preserve"> but also by institutional context and experience managing ADPKD. The use of an existing conceptual framework with </w:t>
      </w:r>
      <w:r w:rsidR="00886DDD" w:rsidRPr="002C21B8">
        <w:t xml:space="preserve">a </w:t>
      </w:r>
      <w:r w:rsidRPr="002C21B8">
        <w:t xml:space="preserve">strong theoretical foundation strengthened the analysis by enabling systematic interpretation of the factors influencing prescribing decisions. In terms of limitations, this study focused on a single </w:t>
      </w:r>
      <w:r w:rsidR="0026018C" w:rsidRPr="002C21B8">
        <w:t>medication</w:t>
      </w:r>
      <w:r w:rsidRPr="002C21B8">
        <w:t xml:space="preserve"> with notable adverse effects and monitoring requirements for a single rare disease. ADPKD is one of the more prevalent rare diseases</w:t>
      </w:r>
      <w:r w:rsidR="00886DDD" w:rsidRPr="002C21B8">
        <w:t>,</w:t>
      </w:r>
      <w:r w:rsidRPr="002C21B8">
        <w:t xml:space="preserve"> so prescribing decisions may be different in ultra-rare conditions where the patient population is even smaller and clinical exposure</w:t>
      </w:r>
      <w:r w:rsidR="0026361D" w:rsidRPr="002C21B8">
        <w:t xml:space="preserve"> even</w:t>
      </w:r>
      <w:r w:rsidRPr="002C21B8">
        <w:t xml:space="preserve"> lower. As in many qualitative studies, there is a potential risk of social desirability bias whereby participants may</w:t>
      </w:r>
      <w:r w:rsidR="003F0BB4" w:rsidRPr="002C21B8">
        <w:t>,</w:t>
      </w:r>
      <w:r w:rsidRPr="002C21B8">
        <w:t xml:space="preserve"> consciously or unconsciously</w:t>
      </w:r>
      <w:r w:rsidR="003F0BB4" w:rsidRPr="002C21B8">
        <w:t>,</w:t>
      </w:r>
      <w:r w:rsidRPr="002C21B8">
        <w:t xml:space="preserve"> present themselves favourably. The transferability of this study to settings outside of the UK may have limitations due to the </w:t>
      </w:r>
      <w:r w:rsidR="003F0BB4" w:rsidRPr="002C21B8">
        <w:t xml:space="preserve">differences in </w:t>
      </w:r>
      <w:r w:rsidRPr="002C21B8">
        <w:t>commissioning structures around drugs for rare diseases and national guidance on drug use between countries.</w:t>
      </w:r>
    </w:p>
    <w:p w14:paraId="2A7DE0E0" w14:textId="77777777" w:rsidR="00647F05" w:rsidRPr="002C21B8" w:rsidRDefault="00647F05" w:rsidP="00647F05">
      <w:pPr>
        <w:spacing w:before="240" w:after="0"/>
        <w:contextualSpacing/>
        <w:rPr>
          <w:b/>
          <w:bCs/>
          <w:sz w:val="24"/>
          <w:szCs w:val="24"/>
        </w:rPr>
      </w:pPr>
      <w:r w:rsidRPr="002C21B8">
        <w:rPr>
          <w:b/>
          <w:bCs/>
          <w:sz w:val="24"/>
          <w:szCs w:val="24"/>
        </w:rPr>
        <w:t>Implications</w:t>
      </w:r>
    </w:p>
    <w:p w14:paraId="3A28A813" w14:textId="0506DED0" w:rsidR="00647F05" w:rsidRPr="002C21B8" w:rsidRDefault="00647F05" w:rsidP="00647F05">
      <w:r w:rsidRPr="002C21B8">
        <w:t>Our findings have important implications for clinical practice, healthcare systems and policymakers. Prescribing tolvaptan in ADPKD is highly context-dependent and shaped not only b</w:t>
      </w:r>
      <w:r w:rsidR="003F0BB4" w:rsidRPr="002C21B8">
        <w:t>y</w:t>
      </w:r>
      <w:r w:rsidRPr="002C21B8">
        <w:t xml:space="preserve"> formal eligibility criteria but also clinical experience, risk perception and local organisational factors. Recognising </w:t>
      </w:r>
      <w:r w:rsidR="00E46AA7" w:rsidRPr="002C21B8">
        <w:t xml:space="preserve">that </w:t>
      </w:r>
      <w:r w:rsidRPr="002C21B8">
        <w:t xml:space="preserve">these influences </w:t>
      </w:r>
      <w:r w:rsidR="00767383" w:rsidRPr="002C21B8">
        <w:t xml:space="preserve">exist </w:t>
      </w:r>
      <w:r w:rsidRPr="002C21B8">
        <w:t xml:space="preserve">may help clinicians balance individualised patient care </w:t>
      </w:r>
      <w:r w:rsidR="00767383" w:rsidRPr="002C21B8">
        <w:t>against</w:t>
      </w:r>
      <w:r w:rsidRPr="002C21B8">
        <w:t xml:space="preserve"> adherence to evidence-based guidelines. Low patient numbers and disease heterogeneity underscore the value of </w:t>
      </w:r>
      <w:r w:rsidR="00867B0F" w:rsidRPr="002C21B8">
        <w:t>condition-specific clinics</w:t>
      </w:r>
      <w:r w:rsidRPr="002C21B8">
        <w:t xml:space="preserve"> and co</w:t>
      </w:r>
      <w:r w:rsidR="00767383" w:rsidRPr="002C21B8">
        <w:t xml:space="preserve">horting patients. This can support </w:t>
      </w:r>
      <w:r w:rsidRPr="002C21B8">
        <w:t>clinician</w:t>
      </w:r>
      <w:r w:rsidR="00767383" w:rsidRPr="002C21B8">
        <w:t>s to gain more</w:t>
      </w:r>
      <w:r w:rsidRPr="002C21B8">
        <w:t xml:space="preserve"> experience</w:t>
      </w:r>
      <w:r w:rsidR="00767383" w:rsidRPr="002C21B8">
        <w:t xml:space="preserve"> and </w:t>
      </w:r>
      <w:r w:rsidRPr="002C21B8">
        <w:t xml:space="preserve">confidence </w:t>
      </w:r>
      <w:r w:rsidR="00767383" w:rsidRPr="002C21B8">
        <w:t>making prescribing decisions</w:t>
      </w:r>
      <w:r w:rsidR="00886DDD" w:rsidRPr="002C21B8">
        <w:t>,</w:t>
      </w:r>
      <w:r w:rsidR="00767383" w:rsidRPr="002C21B8">
        <w:t xml:space="preserve"> which may lead to greater</w:t>
      </w:r>
      <w:r w:rsidRPr="002C21B8">
        <w:t xml:space="preserve"> consistency. For policymakers, these findings highlight the need to consider practical implementation challenges</w:t>
      </w:r>
      <w:r w:rsidR="00260787" w:rsidRPr="002C21B8">
        <w:t>,</w:t>
      </w:r>
      <w:r w:rsidRPr="002C21B8">
        <w:t xml:space="preserve"> such as clinic structure, staffing, and access to specialists when developing guide</w:t>
      </w:r>
      <w:r w:rsidR="00260787" w:rsidRPr="002C21B8">
        <w:t>lines</w:t>
      </w:r>
      <w:r w:rsidRPr="002C21B8">
        <w:t xml:space="preserve">. Future research should examine factors </w:t>
      </w:r>
      <w:r w:rsidR="00767383" w:rsidRPr="002C21B8">
        <w:t>influenc</w:t>
      </w:r>
      <w:r w:rsidRPr="002C21B8">
        <w:t>ing prescribing in other rare diseases to</w:t>
      </w:r>
      <w:r w:rsidR="008609CF" w:rsidRPr="002C21B8">
        <w:t xml:space="preserve"> allow further</w:t>
      </w:r>
      <w:r w:rsidRPr="002C21B8">
        <w:t xml:space="preserve"> iterat</w:t>
      </w:r>
      <w:r w:rsidR="008609CF" w:rsidRPr="002C21B8">
        <w:t>ion of</w:t>
      </w:r>
      <w:r w:rsidRPr="002C21B8">
        <w:t xml:space="preserve"> the model presented here. This may help to better guide interventions that strengthen evidence-informed practice in the rare disease setting.</w:t>
      </w:r>
    </w:p>
    <w:p w14:paraId="44C4B6CF" w14:textId="77777777" w:rsidR="00647F05" w:rsidRPr="002C21B8" w:rsidRDefault="00647F05" w:rsidP="00647F05">
      <w:pPr>
        <w:spacing w:before="240" w:after="0"/>
        <w:contextualSpacing/>
        <w:rPr>
          <w:b/>
          <w:bCs/>
          <w:sz w:val="28"/>
          <w:szCs w:val="28"/>
        </w:rPr>
      </w:pPr>
      <w:r w:rsidRPr="002C21B8">
        <w:rPr>
          <w:b/>
          <w:bCs/>
          <w:sz w:val="28"/>
          <w:szCs w:val="28"/>
        </w:rPr>
        <w:t>Conclusions</w:t>
      </w:r>
    </w:p>
    <w:p w14:paraId="49A5F386" w14:textId="101684E0" w:rsidR="00647F05" w:rsidRPr="002C21B8" w:rsidRDefault="00647F05" w:rsidP="00647F05">
      <w:r w:rsidRPr="002C21B8">
        <w:t xml:space="preserve">In rare diseases such as ADPKD, prescribing decisions are complex and context-dependent. They are influenced by some factors shared with more common chronic </w:t>
      </w:r>
      <w:r w:rsidR="00E34A67" w:rsidRPr="002C21B8">
        <w:t>condition</w:t>
      </w:r>
      <w:r w:rsidRPr="002C21B8">
        <w:t>s, alongside influences that are new or amplified due to small patient numbers, disease heterogeneity and therapeutic scarcity. Expertise tends to be concentrated with highly influential experts guiding practice and greater shared decision-making.</w:t>
      </w:r>
    </w:p>
    <w:p w14:paraId="5E3D9716" w14:textId="77777777" w:rsidR="00647F05" w:rsidRPr="002C21B8" w:rsidRDefault="00647F05">
      <w:pPr>
        <w:spacing w:after="0" w:line="240" w:lineRule="auto"/>
        <w:jc w:val="left"/>
      </w:pPr>
      <w:r w:rsidRPr="002C21B8">
        <w:br w:type="page"/>
      </w:r>
    </w:p>
    <w:p w14:paraId="55593483" w14:textId="1CAE0CC4" w:rsidR="00D113ED" w:rsidRPr="002C21B8" w:rsidRDefault="00D113ED" w:rsidP="00581663">
      <w:pPr>
        <w:pStyle w:val="Heading2"/>
      </w:pPr>
      <w:bookmarkStart w:id="254" w:name="_Toc229687233"/>
      <w:r w:rsidRPr="002C21B8">
        <w:t>Chapter summary</w:t>
      </w:r>
      <w:bookmarkEnd w:id="254"/>
    </w:p>
    <w:p w14:paraId="1B41B2D1" w14:textId="5E2B139A" w:rsidR="00D113ED" w:rsidRPr="002C21B8" w:rsidRDefault="009770E0" w:rsidP="00A97F07">
      <w:pPr>
        <w:pStyle w:val="ListParagraph"/>
        <w:numPr>
          <w:ilvl w:val="0"/>
          <w:numId w:val="46"/>
        </w:numPr>
        <w:ind w:left="851"/>
      </w:pPr>
      <w:r w:rsidRPr="002C21B8">
        <w:t>This chapter present</w:t>
      </w:r>
      <w:r w:rsidR="006D3451" w:rsidRPr="002C21B8">
        <w:t>ed</w:t>
      </w:r>
      <w:r w:rsidRPr="002C21B8">
        <w:t xml:space="preserve"> the second analysis of the multiple case study that focused on the factors influencing prescribing decision-making for tolvaptan in the management of ADPKD</w:t>
      </w:r>
      <w:r w:rsidR="00E00FFB" w:rsidRPr="002C21B8">
        <w:t>.</w:t>
      </w:r>
    </w:p>
    <w:p w14:paraId="222E83EE" w14:textId="0E21DBF1" w:rsidR="008A5824" w:rsidRPr="002C21B8" w:rsidRDefault="008A5824" w:rsidP="00A97F07">
      <w:pPr>
        <w:pStyle w:val="ListParagraph"/>
        <w:numPr>
          <w:ilvl w:val="0"/>
          <w:numId w:val="46"/>
        </w:numPr>
        <w:ind w:left="851"/>
      </w:pPr>
      <w:r w:rsidRPr="002C21B8">
        <w:t xml:space="preserve">There was strong overall alignment between rare and chronic </w:t>
      </w:r>
      <w:r w:rsidR="00717D3C" w:rsidRPr="002C21B8">
        <w:t>condition</w:t>
      </w:r>
      <w:r w:rsidRPr="002C21B8">
        <w:t xml:space="preserve"> prescribing domains, particularly across patient, prescriber, healthcare system and contextual factors</w:t>
      </w:r>
      <w:r w:rsidR="00E00FFB" w:rsidRPr="002C21B8">
        <w:t>.</w:t>
      </w:r>
    </w:p>
    <w:p w14:paraId="7939A583" w14:textId="4626AEE2" w:rsidR="008A5824" w:rsidRPr="002C21B8" w:rsidRDefault="007B05C1" w:rsidP="00A97F07">
      <w:pPr>
        <w:pStyle w:val="ListParagraph"/>
        <w:numPr>
          <w:ilvl w:val="0"/>
          <w:numId w:val="46"/>
        </w:numPr>
        <w:ind w:left="851"/>
      </w:pPr>
      <w:r w:rsidRPr="002C21B8">
        <w:t>A few</w:t>
      </w:r>
      <w:r w:rsidR="00E34A67" w:rsidRPr="002C21B8">
        <w:t xml:space="preserve"> </w:t>
      </w:r>
      <w:r w:rsidRPr="002C21B8">
        <w:t>factors</w:t>
      </w:r>
      <w:r w:rsidR="00267AEE" w:rsidRPr="002C21B8">
        <w:t xml:space="preserve"> from the conceptual model of </w:t>
      </w:r>
      <w:r w:rsidR="008A5824" w:rsidRPr="002C21B8">
        <w:t>prescribing</w:t>
      </w:r>
      <w:r w:rsidR="00267AEE" w:rsidRPr="002C21B8">
        <w:t xml:space="preserve"> decision-making in chronic </w:t>
      </w:r>
      <w:r w:rsidR="00E34A67" w:rsidRPr="002C21B8">
        <w:t>condition</w:t>
      </w:r>
      <w:r w:rsidR="00267AEE" w:rsidRPr="002C21B8">
        <w:t>s w</w:t>
      </w:r>
      <w:r w:rsidR="008A5824" w:rsidRPr="002C21B8">
        <w:t xml:space="preserve">ere not evident or were less relevant in this rare disease setting, especially those relating to </w:t>
      </w:r>
      <w:r w:rsidR="001A1537" w:rsidRPr="002C21B8">
        <w:t>sales and marketing</w:t>
      </w:r>
      <w:r w:rsidR="00E00FFB" w:rsidRPr="002C21B8">
        <w:t>.</w:t>
      </w:r>
    </w:p>
    <w:p w14:paraId="30462AF4" w14:textId="30E470C5" w:rsidR="008A5824" w:rsidRPr="002C21B8" w:rsidRDefault="008A5824" w:rsidP="00A97F07">
      <w:pPr>
        <w:pStyle w:val="ListParagraph"/>
        <w:numPr>
          <w:ilvl w:val="0"/>
          <w:numId w:val="46"/>
        </w:numPr>
        <w:ind w:left="851"/>
      </w:pPr>
      <w:r w:rsidRPr="002C21B8">
        <w:t>A number of factors were found to be either unique to prescribing</w:t>
      </w:r>
      <w:r w:rsidR="00767383" w:rsidRPr="002C21B8">
        <w:t xml:space="preserve"> for rare diseases</w:t>
      </w:r>
      <w:r w:rsidRPr="002C21B8">
        <w:t xml:space="preserve"> or amplified compared with </w:t>
      </w:r>
      <w:r w:rsidR="001A1537" w:rsidRPr="002C21B8">
        <w:t xml:space="preserve">more common </w:t>
      </w:r>
      <w:r w:rsidRPr="002C21B8">
        <w:t xml:space="preserve">chronic </w:t>
      </w:r>
      <w:r w:rsidR="001A1537" w:rsidRPr="002C21B8">
        <w:t>conditions</w:t>
      </w:r>
      <w:r w:rsidR="00767383" w:rsidRPr="002C21B8">
        <w:t xml:space="preserve">. These included: </w:t>
      </w:r>
      <w:r w:rsidR="00924C68" w:rsidRPr="002C21B8">
        <w:t>therapeutic scarcity and beneficence, small patient numbers, disease heterogeneity, highly influential experts, highly informed patients and patient requests, and high direct and indirect costs</w:t>
      </w:r>
      <w:r w:rsidR="00E00FFB" w:rsidRPr="002C21B8">
        <w:t>.</w:t>
      </w:r>
    </w:p>
    <w:p w14:paraId="635C28CF" w14:textId="720A3523" w:rsidR="009770E0" w:rsidRPr="002C21B8" w:rsidRDefault="008A5824" w:rsidP="00A97F07">
      <w:pPr>
        <w:pStyle w:val="ListParagraph"/>
        <w:numPr>
          <w:ilvl w:val="0"/>
          <w:numId w:val="46"/>
        </w:numPr>
        <w:ind w:left="851"/>
      </w:pPr>
      <w:r w:rsidRPr="002C21B8">
        <w:t xml:space="preserve">Overall, the findings suggest that while existing prescribing </w:t>
      </w:r>
      <w:r w:rsidR="00832446" w:rsidRPr="002C21B8">
        <w:t>model</w:t>
      </w:r>
      <w:r w:rsidRPr="002C21B8">
        <w:t xml:space="preserve">s </w:t>
      </w:r>
      <w:r w:rsidR="007D2156" w:rsidRPr="002C21B8">
        <w:t>we</w:t>
      </w:r>
      <w:r w:rsidRPr="002C21B8">
        <w:t>re broadly applicable, they require</w:t>
      </w:r>
      <w:r w:rsidR="00767383" w:rsidRPr="002C21B8">
        <w:t>d</w:t>
      </w:r>
      <w:r w:rsidRPr="002C21B8">
        <w:t xml:space="preserve"> adaptation to reflect </w:t>
      </w:r>
      <w:r w:rsidR="00767383" w:rsidRPr="002C21B8">
        <w:t>some of the challenges</w:t>
      </w:r>
      <w:r w:rsidRPr="002C21B8">
        <w:t xml:space="preserve"> </w:t>
      </w:r>
      <w:r w:rsidR="00767383" w:rsidRPr="002C21B8">
        <w:t>associated with</w:t>
      </w:r>
      <w:r w:rsidRPr="002C21B8">
        <w:t xml:space="preserve"> rare disease</w:t>
      </w:r>
      <w:r w:rsidR="00767383" w:rsidRPr="002C21B8">
        <w:t>s</w:t>
      </w:r>
      <w:r w:rsidR="00E00FFB" w:rsidRPr="002C21B8">
        <w:t>.</w:t>
      </w:r>
    </w:p>
    <w:p w14:paraId="67EFECAA" w14:textId="77777777" w:rsidR="00162FC8" w:rsidRPr="002C21B8" w:rsidRDefault="00162FC8" w:rsidP="00162FC8">
      <w:pPr>
        <w:pStyle w:val="Heading1"/>
        <w:numPr>
          <w:ilvl w:val="0"/>
          <w:numId w:val="0"/>
        </w:numPr>
        <w:ind w:left="1"/>
        <w:sectPr w:rsidR="00162FC8" w:rsidRPr="002C21B8" w:rsidSect="0009672F">
          <w:headerReference w:type="default" r:id="rId62"/>
          <w:type w:val="continuous"/>
          <w:pgSz w:w="11906" w:h="16838"/>
          <w:pgMar w:top="1440" w:right="1440" w:bottom="1440" w:left="1440" w:header="708" w:footer="708" w:gutter="0"/>
          <w:cols w:space="708"/>
          <w:docGrid w:linePitch="360"/>
        </w:sectPr>
      </w:pPr>
    </w:p>
    <w:p w14:paraId="29701DCD" w14:textId="6C0AF0B7" w:rsidR="00D113ED" w:rsidRPr="002C21B8" w:rsidRDefault="00D113ED" w:rsidP="007F1616">
      <w:pPr>
        <w:pStyle w:val="Heading1"/>
      </w:pPr>
      <w:bookmarkStart w:id="255" w:name="_Toc229687234"/>
      <w:r w:rsidRPr="002C21B8">
        <w:t xml:space="preserve">– </w:t>
      </w:r>
      <w:r w:rsidR="00016130" w:rsidRPr="002C21B8">
        <w:t xml:space="preserve">Variation in tolvaptan prescribing pathways for autosomal dominant polycystic kidney disease: </w:t>
      </w:r>
      <w:r w:rsidR="00BA1B14" w:rsidRPr="002C21B8">
        <w:t>a</w:t>
      </w:r>
      <w:r w:rsidR="00016130" w:rsidRPr="002C21B8">
        <w:t xml:space="preserve"> n</w:t>
      </w:r>
      <w:r w:rsidR="00C66FE3" w:rsidRPr="002C21B8">
        <w:t xml:space="preserve">ational </w:t>
      </w:r>
      <w:r w:rsidR="00FC190F" w:rsidRPr="002C21B8">
        <w:t>survey of clinical practice</w:t>
      </w:r>
      <w:bookmarkEnd w:id="255"/>
    </w:p>
    <w:p w14:paraId="2D8DC093" w14:textId="1527054D" w:rsidR="00D113ED" w:rsidRPr="002C21B8" w:rsidRDefault="00D113ED" w:rsidP="00581663">
      <w:pPr>
        <w:pStyle w:val="Heading2"/>
      </w:pPr>
      <w:bookmarkStart w:id="256" w:name="_Toc229687235"/>
      <w:r w:rsidRPr="002C21B8">
        <w:t>Chapter outline</w:t>
      </w:r>
      <w:bookmarkEnd w:id="256"/>
    </w:p>
    <w:p w14:paraId="7A6F758C" w14:textId="4FFB9792" w:rsidR="00581813" w:rsidRPr="002C21B8" w:rsidRDefault="00C05FE7" w:rsidP="00116134">
      <w:r w:rsidRPr="002C21B8">
        <w:t xml:space="preserve">This chapter presents the findings from the </w:t>
      </w:r>
      <w:r w:rsidR="00C66FE3" w:rsidRPr="002C21B8">
        <w:t xml:space="preserve">national </w:t>
      </w:r>
      <w:r w:rsidR="00FC190F" w:rsidRPr="002C21B8">
        <w:t>survey of clinical practice</w:t>
      </w:r>
      <w:r w:rsidR="002351C0" w:rsidRPr="002C21B8">
        <w:t>,</w:t>
      </w:r>
      <w:r w:rsidR="007B05C1" w:rsidRPr="002C21B8">
        <w:t xml:space="preserve"> </w:t>
      </w:r>
      <w:r w:rsidRPr="002C21B8">
        <w:t xml:space="preserve">which formed Phase </w:t>
      </w:r>
      <w:r w:rsidR="007B05C1" w:rsidRPr="002C21B8">
        <w:t>4</w:t>
      </w:r>
      <w:r w:rsidRPr="002C21B8">
        <w:t xml:space="preserve">. It has been presented in the format of a </w:t>
      </w:r>
      <w:r w:rsidR="00FC656C" w:rsidRPr="002C21B8">
        <w:t>journal</w:t>
      </w:r>
      <w:r w:rsidR="00FB2B92" w:rsidRPr="002C21B8">
        <w:t xml:space="preserve"> article</w:t>
      </w:r>
      <w:r w:rsidRPr="002C21B8">
        <w:t xml:space="preserve"> </w:t>
      </w:r>
      <w:r w:rsidR="007B05C1" w:rsidRPr="002C21B8">
        <w:t>for the purposes of this thesis</w:t>
      </w:r>
      <w:r w:rsidR="002351C0" w:rsidRPr="002C21B8">
        <w:t>,</w:t>
      </w:r>
      <w:r w:rsidR="007B05C1" w:rsidRPr="002C21B8">
        <w:t xml:space="preserve"> but will be combined with </w:t>
      </w:r>
      <w:r w:rsidRPr="002C21B8">
        <w:t xml:space="preserve">the </w:t>
      </w:r>
      <w:r w:rsidR="007B05C1" w:rsidRPr="002C21B8">
        <w:t xml:space="preserve">planned </w:t>
      </w:r>
      <w:r w:rsidRPr="002C21B8">
        <w:t>reanalysis of the</w:t>
      </w:r>
      <w:r w:rsidR="00A66854" w:rsidRPr="002C21B8">
        <w:t xml:space="preserve"> registry data</w:t>
      </w:r>
      <w:r w:rsidR="007B05C1" w:rsidRPr="002C21B8">
        <w:t xml:space="preserve"> for submission to a journal</w:t>
      </w:r>
      <w:r w:rsidR="00A66854" w:rsidRPr="002C21B8">
        <w:t xml:space="preserve">. </w:t>
      </w:r>
      <w:r w:rsidR="004B3D85" w:rsidRPr="002C21B8">
        <w:t xml:space="preserve">The contribution of each co-author is detailed in </w:t>
      </w:r>
      <w:hyperlink w:anchor="_Appendix_1._Author" w:history="1">
        <w:r w:rsidR="004B3D85" w:rsidRPr="002C21B8">
          <w:rPr>
            <w:rStyle w:val="Hyperlink"/>
          </w:rPr>
          <w:t>Appendix 1</w:t>
        </w:r>
      </w:hyperlink>
      <w:r w:rsidR="004B3D85" w:rsidRPr="002C21B8">
        <w:t>.</w:t>
      </w:r>
      <w:r w:rsidR="002368BA" w:rsidRPr="002C21B8">
        <w:t xml:space="preserve"> Further details on methods</w:t>
      </w:r>
      <w:r w:rsidR="006B5468" w:rsidRPr="002C21B8">
        <w:t xml:space="preserve"> </w:t>
      </w:r>
      <w:r w:rsidR="002368BA" w:rsidRPr="002C21B8">
        <w:t xml:space="preserve">and supplementary materials </w:t>
      </w:r>
      <w:r w:rsidR="00DC3B5C" w:rsidRPr="002C21B8">
        <w:t xml:space="preserve">that will be </w:t>
      </w:r>
      <w:r w:rsidR="002368BA" w:rsidRPr="002C21B8">
        <w:t xml:space="preserve">published with the journal article are presented in </w:t>
      </w:r>
      <w:hyperlink w:anchor="_Appendix_9._Additional" w:history="1">
        <w:r w:rsidR="002368BA" w:rsidRPr="002C21B8">
          <w:rPr>
            <w:rStyle w:val="Hyperlink"/>
          </w:rPr>
          <w:t>Appendices 9</w:t>
        </w:r>
      </w:hyperlink>
      <w:r w:rsidR="002368BA" w:rsidRPr="002C21B8">
        <w:t xml:space="preserve"> and </w:t>
      </w:r>
      <w:hyperlink w:anchor="_Appendix_10._Publication" w:history="1">
        <w:r w:rsidR="002368BA" w:rsidRPr="002C21B8">
          <w:rPr>
            <w:rStyle w:val="Hyperlink"/>
          </w:rPr>
          <w:t>10</w:t>
        </w:r>
      </w:hyperlink>
      <w:r w:rsidR="002368BA" w:rsidRPr="002C21B8">
        <w:t>.</w:t>
      </w:r>
      <w:r w:rsidR="00581813" w:rsidRPr="002C21B8">
        <w:br w:type="page"/>
      </w:r>
    </w:p>
    <w:p w14:paraId="7B6F1829" w14:textId="0894B915" w:rsidR="00CC3C75" w:rsidRPr="002C21B8" w:rsidRDefault="00CC3C75" w:rsidP="00581663">
      <w:pPr>
        <w:pStyle w:val="Heading2"/>
      </w:pPr>
      <w:bookmarkStart w:id="257" w:name="_Toc229687236"/>
      <w:r w:rsidRPr="002C21B8">
        <w:t>Manuscript</w:t>
      </w:r>
      <w:r w:rsidR="00201AD4" w:rsidRPr="002C21B8">
        <w:t>-style report</w:t>
      </w:r>
      <w:bookmarkEnd w:id="257"/>
    </w:p>
    <w:p w14:paraId="046CE158" w14:textId="77777777" w:rsidR="00244D0F" w:rsidRPr="002C21B8" w:rsidRDefault="00244D0F" w:rsidP="00081DAE">
      <w:pPr>
        <w:spacing w:before="240"/>
        <w:rPr>
          <w:b/>
          <w:bCs/>
          <w:sz w:val="28"/>
          <w:szCs w:val="28"/>
        </w:rPr>
      </w:pPr>
    </w:p>
    <w:p w14:paraId="54FC606F" w14:textId="75CAE981" w:rsidR="00C1431B" w:rsidRPr="002C21B8" w:rsidRDefault="00C1431B" w:rsidP="00081DAE">
      <w:pPr>
        <w:spacing w:before="240"/>
        <w:rPr>
          <w:b/>
          <w:bCs/>
          <w:sz w:val="28"/>
          <w:szCs w:val="28"/>
        </w:rPr>
      </w:pPr>
      <w:r w:rsidRPr="002C21B8">
        <w:rPr>
          <w:b/>
          <w:bCs/>
          <w:sz w:val="28"/>
          <w:szCs w:val="28"/>
        </w:rPr>
        <w:t>Abstract</w:t>
      </w:r>
    </w:p>
    <w:p w14:paraId="710C6514" w14:textId="3BCC9790" w:rsidR="00C1431B" w:rsidRPr="002C21B8" w:rsidRDefault="00FE4DF2" w:rsidP="00C64B2C">
      <w:pPr>
        <w:spacing w:after="0"/>
        <w:rPr>
          <w:b/>
          <w:bCs/>
          <w:sz w:val="24"/>
          <w:szCs w:val="24"/>
        </w:rPr>
      </w:pPr>
      <w:r w:rsidRPr="002C21B8">
        <w:rPr>
          <w:b/>
          <w:bCs/>
          <w:sz w:val="24"/>
          <w:szCs w:val="24"/>
        </w:rPr>
        <w:t>Background</w:t>
      </w:r>
    </w:p>
    <w:p w14:paraId="0B60EC62" w14:textId="3577DA78" w:rsidR="000C426A" w:rsidRPr="002C21B8" w:rsidRDefault="00876E08" w:rsidP="00876E08">
      <w:r w:rsidRPr="002C21B8">
        <w:t xml:space="preserve">Autosomal Dominant Polycystic Kidney Disease (ADPKD) is the most common inherited cause of kidney failure. Tolvaptan </w:t>
      </w:r>
      <w:r w:rsidR="00503D3C" w:rsidRPr="002C21B8">
        <w:t>i</w:t>
      </w:r>
      <w:r w:rsidRPr="002C21B8">
        <w:t xml:space="preserve">s the first disease-modifying therapy </w:t>
      </w:r>
      <w:r w:rsidR="00AB1D16" w:rsidRPr="002C21B8">
        <w:t xml:space="preserve">available to </w:t>
      </w:r>
      <w:r w:rsidRPr="002C21B8">
        <w:t>slow disease progression</w:t>
      </w:r>
      <w:r w:rsidR="00AB1D16" w:rsidRPr="002C21B8">
        <w:t>. Despite guidelines</w:t>
      </w:r>
      <w:r w:rsidR="00204B8E" w:rsidRPr="002C21B8">
        <w:t>,</w:t>
      </w:r>
      <w:r w:rsidR="00AB1D16" w:rsidRPr="002C21B8">
        <w:t xml:space="preserve"> there </w:t>
      </w:r>
      <w:r w:rsidR="00000DFB" w:rsidRPr="002C21B8">
        <w:t xml:space="preserve">is evidence of potential </w:t>
      </w:r>
      <w:r w:rsidRPr="002C21B8">
        <w:t xml:space="preserve">variation in prescribing practices </w:t>
      </w:r>
      <w:r w:rsidR="00B74F0D" w:rsidRPr="002C21B8">
        <w:t>across UK kidney centres</w:t>
      </w:r>
      <w:r w:rsidRPr="002C21B8">
        <w:t>.</w:t>
      </w:r>
      <w:r w:rsidR="00FC1E5D" w:rsidRPr="002C21B8">
        <w:t xml:space="preserve"> Some of this variation appears to relate to differences in </w:t>
      </w:r>
      <w:r w:rsidR="00B945C7" w:rsidRPr="002C21B8">
        <w:t xml:space="preserve">the </w:t>
      </w:r>
      <w:r w:rsidR="00FC1E5D" w:rsidRPr="002C21B8">
        <w:t xml:space="preserve">implementation of tolvaptan care pathways between centres. </w:t>
      </w:r>
      <w:r w:rsidR="00924C68" w:rsidRPr="002C21B8">
        <w:t>Understanding national variation in the assessment, initiati</w:t>
      </w:r>
      <w:r w:rsidR="00745496" w:rsidRPr="002C21B8">
        <w:t>o</w:t>
      </w:r>
      <w:r w:rsidR="00924C68" w:rsidRPr="002C21B8">
        <w:t xml:space="preserve">n and monitoring of tolvaptan could improve access to this important </w:t>
      </w:r>
      <w:r w:rsidR="00307D3C" w:rsidRPr="002C21B8">
        <w:t xml:space="preserve">medication </w:t>
      </w:r>
      <w:r w:rsidR="00924C68" w:rsidRPr="002C21B8">
        <w:t xml:space="preserve">for </w:t>
      </w:r>
      <w:r w:rsidR="00307D3C" w:rsidRPr="002C21B8">
        <w:t xml:space="preserve">people with </w:t>
      </w:r>
      <w:r w:rsidR="00924C68" w:rsidRPr="002C21B8">
        <w:t>ADPKD.</w:t>
      </w:r>
    </w:p>
    <w:p w14:paraId="3A98F3C1" w14:textId="2B311A9A" w:rsidR="00FE4DF2" w:rsidRPr="002C21B8" w:rsidRDefault="00FE4DF2" w:rsidP="00374561">
      <w:pPr>
        <w:spacing w:before="240" w:after="0"/>
        <w:rPr>
          <w:b/>
          <w:bCs/>
          <w:sz w:val="24"/>
          <w:szCs w:val="24"/>
        </w:rPr>
      </w:pPr>
      <w:r w:rsidRPr="002C21B8">
        <w:rPr>
          <w:b/>
          <w:bCs/>
          <w:sz w:val="24"/>
          <w:szCs w:val="24"/>
        </w:rPr>
        <w:t>Methods</w:t>
      </w:r>
    </w:p>
    <w:p w14:paraId="5F72D983" w14:textId="7A20DE78" w:rsidR="00876E08" w:rsidRPr="002C21B8" w:rsidRDefault="00876E08" w:rsidP="00876E08">
      <w:r w:rsidRPr="002C21B8">
        <w:t>We conducted a</w:t>
      </w:r>
      <w:r w:rsidR="00A47D17" w:rsidRPr="002C21B8">
        <w:t xml:space="preserve"> </w:t>
      </w:r>
      <w:r w:rsidRPr="002C21B8">
        <w:t>cross-sectional survey of</w:t>
      </w:r>
      <w:r w:rsidR="00EE7C05" w:rsidRPr="002C21B8">
        <w:t xml:space="preserve"> ADPKD lead clinicians at</w:t>
      </w:r>
      <w:r w:rsidRPr="002C21B8">
        <w:t xml:space="preserve"> UK adult kidney centres </w:t>
      </w:r>
      <w:r w:rsidR="00C25AEF" w:rsidRPr="002C21B8">
        <w:t xml:space="preserve">using </w:t>
      </w:r>
      <w:r w:rsidR="00A47D17" w:rsidRPr="002C21B8">
        <w:t xml:space="preserve">Qualtrics </w:t>
      </w:r>
      <w:r w:rsidRPr="002C21B8">
        <w:t xml:space="preserve">between September and December 2025. </w:t>
      </w:r>
      <w:r w:rsidR="004A61AF" w:rsidRPr="002C21B8">
        <w:t xml:space="preserve">The questionnaire was developed </w:t>
      </w:r>
      <w:r w:rsidR="00C25AEF" w:rsidRPr="002C21B8">
        <w:t xml:space="preserve">from </w:t>
      </w:r>
      <w:r w:rsidR="00A40DAA" w:rsidRPr="002C21B8">
        <w:t xml:space="preserve">a conceptual model of prescribing decision-making and </w:t>
      </w:r>
      <w:r w:rsidR="004A61AF" w:rsidRPr="002C21B8">
        <w:t xml:space="preserve">findings </w:t>
      </w:r>
      <w:r w:rsidR="00C25AEF" w:rsidRPr="002C21B8">
        <w:t>of</w:t>
      </w:r>
      <w:r w:rsidR="004A61AF" w:rsidRPr="002C21B8">
        <w:t xml:space="preserve"> a multiple case study on variation in tolvaptan prescribing practices. </w:t>
      </w:r>
      <w:r w:rsidR="00A40DAA" w:rsidRPr="002C21B8">
        <w:t>Q</w:t>
      </w:r>
      <w:r w:rsidR="004A61AF" w:rsidRPr="002C21B8">
        <w:t xml:space="preserve">uestions </w:t>
      </w:r>
      <w:r w:rsidR="00A40DAA" w:rsidRPr="002C21B8">
        <w:t>focused on</w:t>
      </w:r>
      <w:r w:rsidR="004A61AF" w:rsidRPr="002C21B8">
        <w:t xml:space="preserve"> </w:t>
      </w:r>
      <w:r w:rsidRPr="002C21B8">
        <w:t>service configuration, eligibility assessment, initiation processes and monitoring practices. Descriptive statistics were used to summarise responses.</w:t>
      </w:r>
    </w:p>
    <w:p w14:paraId="58BB9B01" w14:textId="403EB74B" w:rsidR="00FE4DF2" w:rsidRPr="002C21B8" w:rsidRDefault="00FE4DF2" w:rsidP="00374561">
      <w:pPr>
        <w:spacing w:before="240" w:after="0"/>
        <w:rPr>
          <w:b/>
          <w:bCs/>
          <w:sz w:val="24"/>
          <w:szCs w:val="24"/>
        </w:rPr>
      </w:pPr>
      <w:r w:rsidRPr="002C21B8">
        <w:rPr>
          <w:b/>
          <w:bCs/>
          <w:sz w:val="24"/>
          <w:szCs w:val="24"/>
        </w:rPr>
        <w:t>Results</w:t>
      </w:r>
    </w:p>
    <w:p w14:paraId="0817FB8F" w14:textId="3D2AD248" w:rsidR="00016130" w:rsidRPr="002C21B8" w:rsidRDefault="00913336" w:rsidP="003A2AB3">
      <w:r w:rsidRPr="002C21B8">
        <w:t>61%</w:t>
      </w:r>
      <w:r w:rsidR="005D5E97" w:rsidRPr="002C21B8">
        <w:t xml:space="preserve"> of kidney centres</w:t>
      </w:r>
      <w:r w:rsidRPr="002C21B8">
        <w:t xml:space="preserve"> </w:t>
      </w:r>
      <w:r w:rsidR="005D5E97" w:rsidRPr="002C21B8">
        <w:t xml:space="preserve">(44/72) </w:t>
      </w:r>
      <w:r w:rsidR="00876E08" w:rsidRPr="002C21B8">
        <w:t>responded</w:t>
      </w:r>
      <w:r w:rsidR="005D5E97" w:rsidRPr="002C21B8">
        <w:t xml:space="preserve"> to the survey</w:t>
      </w:r>
      <w:r w:rsidR="00FE641C" w:rsidRPr="002C21B8">
        <w:t>,</w:t>
      </w:r>
      <w:r w:rsidR="00876E08" w:rsidRPr="002C21B8">
        <w:t xml:space="preserve"> with </w:t>
      </w:r>
      <w:r w:rsidR="00F85901" w:rsidRPr="002C21B8">
        <w:t>representation</w:t>
      </w:r>
      <w:r w:rsidR="00876E08" w:rsidRPr="002C21B8">
        <w:t xml:space="preserve"> across all four nations. </w:t>
      </w:r>
      <w:r w:rsidR="0067645D" w:rsidRPr="002C21B8">
        <w:t xml:space="preserve">Reported </w:t>
      </w:r>
      <w:r w:rsidR="00876E08" w:rsidRPr="002C21B8">
        <w:t>ADPKD caseloads and</w:t>
      </w:r>
      <w:r w:rsidR="0067645D" w:rsidRPr="002C21B8">
        <w:t xml:space="preserve"> cohorts of people taking</w:t>
      </w:r>
      <w:r w:rsidR="00876E08" w:rsidRPr="002C21B8">
        <w:t xml:space="preserve"> </w:t>
      </w:r>
      <w:r w:rsidR="0067645D" w:rsidRPr="002C21B8">
        <w:t>t</w:t>
      </w:r>
      <w:r w:rsidR="00876E08" w:rsidRPr="002C21B8">
        <w:t xml:space="preserve">olvaptan varied </w:t>
      </w:r>
      <w:r w:rsidR="0067645D" w:rsidRPr="002C21B8">
        <w:t>across kidney centres. M</w:t>
      </w:r>
      <w:r w:rsidR="00876E08" w:rsidRPr="002C21B8">
        <w:t>ost centres</w:t>
      </w:r>
      <w:r w:rsidR="00461691" w:rsidRPr="002C21B8">
        <w:t xml:space="preserve"> (61%, 25/41)</w:t>
      </w:r>
      <w:r w:rsidR="00876E08" w:rsidRPr="002C21B8">
        <w:t xml:space="preserve"> </w:t>
      </w:r>
      <w:r w:rsidR="00F85901" w:rsidRPr="002C21B8">
        <w:t>initiat</w:t>
      </w:r>
      <w:r w:rsidR="00461691" w:rsidRPr="002C21B8">
        <w:t>ed</w:t>
      </w:r>
      <w:r w:rsidR="00F85901" w:rsidRPr="002C21B8">
        <w:t xml:space="preserve"> 0</w:t>
      </w:r>
      <w:r w:rsidR="00A47D17" w:rsidRPr="002C21B8">
        <w:t>–</w:t>
      </w:r>
      <w:r w:rsidR="00F85901" w:rsidRPr="002C21B8">
        <w:t>1 patients</w:t>
      </w:r>
      <w:r w:rsidR="00C25AEF" w:rsidRPr="002C21B8">
        <w:t xml:space="preserve"> monthly</w:t>
      </w:r>
      <w:r w:rsidR="0067645D" w:rsidRPr="002C21B8">
        <w:t xml:space="preserve"> o</w:t>
      </w:r>
      <w:r w:rsidR="00461691" w:rsidRPr="002C21B8">
        <w:t>n</w:t>
      </w:r>
      <w:r w:rsidR="0067645D" w:rsidRPr="002C21B8">
        <w:t xml:space="preserve"> tolvaptan</w:t>
      </w:r>
      <w:r w:rsidR="00F85901" w:rsidRPr="002C21B8">
        <w:t xml:space="preserve">. </w:t>
      </w:r>
      <w:r w:rsidR="00FC1E5D" w:rsidRPr="002C21B8">
        <w:t>Staff involved in the tolvaptan care pathway varied</w:t>
      </w:r>
      <w:r w:rsidR="00C25AEF" w:rsidRPr="002C21B8">
        <w:t>;</w:t>
      </w:r>
      <w:r w:rsidR="00461691" w:rsidRPr="002C21B8">
        <w:t xml:space="preserve"> </w:t>
      </w:r>
      <w:r w:rsidR="00FC1E5D" w:rsidRPr="002C21B8">
        <w:t>the</w:t>
      </w:r>
      <w:r w:rsidR="00461691" w:rsidRPr="002C21B8">
        <w:t xml:space="preserve"> most common</w:t>
      </w:r>
      <w:r w:rsidR="00FC1E5D" w:rsidRPr="002C21B8">
        <w:t xml:space="preserve"> combination </w:t>
      </w:r>
      <w:r w:rsidR="00461691" w:rsidRPr="002C21B8">
        <w:t xml:space="preserve">was </w:t>
      </w:r>
      <w:r w:rsidR="00FC1E5D" w:rsidRPr="002C21B8">
        <w:t>a consultant nephrologist and</w:t>
      </w:r>
      <w:r w:rsidR="003330B7" w:rsidRPr="002C21B8">
        <w:t xml:space="preserve"> a</w:t>
      </w:r>
      <w:r w:rsidR="00FC1E5D" w:rsidRPr="002C21B8">
        <w:t xml:space="preserve"> specialist pharmacist (33%</w:t>
      </w:r>
      <w:r w:rsidR="00FE641C" w:rsidRPr="002C21B8">
        <w:t>, 13/40</w:t>
      </w:r>
      <w:r w:rsidR="00FC1E5D" w:rsidRPr="002C21B8">
        <w:t>).</w:t>
      </w:r>
      <w:r w:rsidR="00281249" w:rsidRPr="002C21B8">
        <w:t xml:space="preserve"> Consultant nephrologists with specialist expertise in ADPKD/renal genetics were most commonly the primary decision-maker at centres (7</w:t>
      </w:r>
      <w:r w:rsidR="00FE641C" w:rsidRPr="002C21B8">
        <w:t>2</w:t>
      </w:r>
      <w:r w:rsidR="00281249" w:rsidRPr="002C21B8">
        <w:t>%</w:t>
      </w:r>
      <w:r w:rsidR="00FE641C" w:rsidRPr="002C21B8">
        <w:t>, 29/40</w:t>
      </w:r>
      <w:r w:rsidR="00281249" w:rsidRPr="002C21B8">
        <w:t xml:space="preserve">). </w:t>
      </w:r>
      <w:r w:rsidR="00F85901" w:rsidRPr="002C21B8">
        <w:t>Eligibility decisions were most commonly made by single prescribers</w:t>
      </w:r>
      <w:r w:rsidR="00FC1E5D" w:rsidRPr="002C21B8">
        <w:t xml:space="preserve"> (4</w:t>
      </w:r>
      <w:r w:rsidR="00FE641C" w:rsidRPr="002C21B8">
        <w:t>3</w:t>
      </w:r>
      <w:r w:rsidR="00FC1E5D" w:rsidRPr="002C21B8">
        <w:t>%</w:t>
      </w:r>
      <w:r w:rsidR="00FE641C" w:rsidRPr="002C21B8">
        <w:t>, 17/40</w:t>
      </w:r>
      <w:r w:rsidR="00FC1E5D" w:rsidRPr="002C21B8">
        <w:t>)</w:t>
      </w:r>
      <w:r w:rsidR="00204B8E" w:rsidRPr="002C21B8">
        <w:t>,</w:t>
      </w:r>
      <w:r w:rsidR="00F85901" w:rsidRPr="002C21B8">
        <w:t xml:space="preserve"> and assessments occurred in both general and specialist clinics. Half of centres </w:t>
      </w:r>
      <w:r w:rsidR="00643DA6" w:rsidRPr="002C21B8">
        <w:t xml:space="preserve">(20/40) </w:t>
      </w:r>
      <w:r w:rsidR="00C25AEF" w:rsidRPr="002C21B8">
        <w:t>had</w:t>
      </w:r>
      <w:r w:rsidR="00F85901" w:rsidRPr="002C21B8">
        <w:t xml:space="preserve"> dedicated tolvaptan clinics. Although all centres reported using eGFR slopes to determine eligibility, there was variation in</w:t>
      </w:r>
      <w:r w:rsidR="00745496" w:rsidRPr="002C21B8">
        <w:t xml:space="preserve"> </w:t>
      </w:r>
      <w:r w:rsidR="001C557E" w:rsidRPr="002C21B8">
        <w:t xml:space="preserve">the </w:t>
      </w:r>
      <w:r w:rsidR="00F85901" w:rsidRPr="002C21B8">
        <w:t>us</w:t>
      </w:r>
      <w:r w:rsidR="00AA2BB1" w:rsidRPr="002C21B8">
        <w:t>e</w:t>
      </w:r>
      <w:r w:rsidR="00F85901" w:rsidRPr="002C21B8">
        <w:t xml:space="preserve"> of</w:t>
      </w:r>
      <w:r w:rsidR="003330B7" w:rsidRPr="002C21B8">
        <w:t xml:space="preserve"> non-eGFR</w:t>
      </w:r>
      <w:r w:rsidR="00F85901" w:rsidRPr="002C21B8">
        <w:t xml:space="preserve"> criteria.</w:t>
      </w:r>
      <w:r w:rsidR="00FC1E5D" w:rsidRPr="002C21B8">
        <w:t xml:space="preserve"> </w:t>
      </w:r>
      <w:r w:rsidR="000D7C46" w:rsidRPr="002C21B8">
        <w:t xml:space="preserve">59% (23/29) reported scanning ≤25% of </w:t>
      </w:r>
      <w:r w:rsidR="00FC1E5D" w:rsidRPr="002C21B8">
        <w:t>patients</w:t>
      </w:r>
      <w:r w:rsidR="003A2AB3" w:rsidRPr="002C21B8">
        <w:t xml:space="preserve">. The median proportion of patients undergoing genomic testing across centres was </w:t>
      </w:r>
      <w:r w:rsidR="000D7C46" w:rsidRPr="002C21B8">
        <w:t>40%</w:t>
      </w:r>
      <w:r w:rsidR="00FC1E5D" w:rsidRPr="002C21B8">
        <w:t xml:space="preserve">. 66% </w:t>
      </w:r>
      <w:r w:rsidR="00FE641C" w:rsidRPr="002C21B8">
        <w:t xml:space="preserve">(27/41) </w:t>
      </w:r>
      <w:r w:rsidR="00FC1E5D" w:rsidRPr="002C21B8">
        <w:t>reported using internal audit or service evaluation to evaluate prescribing practices.</w:t>
      </w:r>
    </w:p>
    <w:p w14:paraId="05C31E08" w14:textId="7F754795" w:rsidR="007B432C" w:rsidRPr="002C21B8" w:rsidRDefault="00FE4DF2" w:rsidP="00374561">
      <w:pPr>
        <w:spacing w:before="240" w:after="0"/>
        <w:rPr>
          <w:b/>
          <w:bCs/>
          <w:sz w:val="24"/>
          <w:szCs w:val="24"/>
        </w:rPr>
      </w:pPr>
      <w:r w:rsidRPr="002C21B8">
        <w:rPr>
          <w:b/>
          <w:bCs/>
          <w:sz w:val="24"/>
          <w:szCs w:val="24"/>
        </w:rPr>
        <w:t>Conclusions</w:t>
      </w:r>
    </w:p>
    <w:p w14:paraId="5BE0FFA1" w14:textId="6EF4A6DD" w:rsidR="00515453" w:rsidRPr="002C21B8" w:rsidRDefault="00FC1E5D" w:rsidP="003374F4">
      <w:r w:rsidRPr="002C21B8">
        <w:t xml:space="preserve">There is considerable variation in </w:t>
      </w:r>
      <w:r w:rsidR="003A2AB3" w:rsidRPr="002C21B8">
        <w:t>how tolvaptan is delivered to patients in the UK</w:t>
      </w:r>
      <w:r w:rsidR="00860509" w:rsidRPr="002C21B8">
        <w:t xml:space="preserve">. Variation was </w:t>
      </w:r>
      <w:r w:rsidR="00461691" w:rsidRPr="002C21B8">
        <w:t>observed</w:t>
      </w:r>
      <w:r w:rsidR="00860509" w:rsidRPr="002C21B8">
        <w:t xml:space="preserve"> in service configuration, eligibility assessment approaches and </w:t>
      </w:r>
      <w:r w:rsidR="00914817" w:rsidRPr="002C21B8">
        <w:t>how treatment is initiated</w:t>
      </w:r>
      <w:r w:rsidR="00860509" w:rsidRPr="002C21B8">
        <w:t>. These findings highlight opportunities to standardise practice</w:t>
      </w:r>
      <w:r w:rsidR="00B74F0D" w:rsidRPr="002C21B8">
        <w:t xml:space="preserve"> and</w:t>
      </w:r>
      <w:r w:rsidR="00860509" w:rsidRPr="002C21B8">
        <w:t xml:space="preserve"> support </w:t>
      </w:r>
      <w:r w:rsidR="00B74F0D" w:rsidRPr="002C21B8">
        <w:t xml:space="preserve">more </w:t>
      </w:r>
      <w:r w:rsidR="00860509" w:rsidRPr="002C21B8">
        <w:t xml:space="preserve">equitable access </w:t>
      </w:r>
      <w:r w:rsidR="00B74F0D" w:rsidRPr="002C21B8">
        <w:t>to tolvaptan in UK kidney centres.</w:t>
      </w:r>
    </w:p>
    <w:p w14:paraId="74821ED3" w14:textId="0133D8DF" w:rsidR="007B432C" w:rsidRPr="002C21B8" w:rsidRDefault="00515453" w:rsidP="003374F4">
      <w:pPr>
        <w:rPr>
          <w:lang w:val="fr-FR"/>
        </w:rPr>
      </w:pPr>
      <w:r w:rsidRPr="002C21B8">
        <w:rPr>
          <w:b/>
          <w:bCs/>
          <w:lang w:val="fr-FR"/>
        </w:rPr>
        <w:t xml:space="preserve">Keywords: </w:t>
      </w:r>
      <w:r w:rsidRPr="002C21B8">
        <w:rPr>
          <w:lang w:val="fr-FR"/>
        </w:rPr>
        <w:t>ADPKD, clinical practice, variation, questionnaire</w:t>
      </w:r>
      <w:r w:rsidR="007B432C" w:rsidRPr="002C21B8">
        <w:rPr>
          <w:lang w:val="fr-FR"/>
        </w:rPr>
        <w:br w:type="page"/>
      </w:r>
    </w:p>
    <w:p w14:paraId="6D841F30" w14:textId="77777777" w:rsidR="00C41DE2" w:rsidRPr="002C21B8" w:rsidRDefault="00C41DE2" w:rsidP="00374561">
      <w:pPr>
        <w:spacing w:before="240" w:after="0"/>
        <w:rPr>
          <w:b/>
          <w:bCs/>
          <w:sz w:val="28"/>
          <w:szCs w:val="28"/>
        </w:rPr>
      </w:pPr>
      <w:r w:rsidRPr="002C21B8">
        <w:rPr>
          <w:b/>
          <w:bCs/>
          <w:sz w:val="28"/>
          <w:szCs w:val="28"/>
        </w:rPr>
        <w:t>Introduction</w:t>
      </w:r>
    </w:p>
    <w:p w14:paraId="00AD5BFE" w14:textId="554CD907" w:rsidR="00C41DE2" w:rsidRPr="002C21B8" w:rsidRDefault="00C41DE2" w:rsidP="003374F4">
      <w:r w:rsidRPr="002C21B8">
        <w:t>Autosomal dominant polycystic kidney disease (ADPKD) is the most common inherited cause of kidney disease and the fourth leading cause of kidney failure</w:t>
      </w:r>
      <w:r w:rsidR="00B63AD0" w:rsidRPr="002C21B8">
        <w:t xml:space="preserve"> worldwide </w:t>
      </w:r>
      <w:r w:rsidR="00B63AD0"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DD54C2" w:rsidRPr="002C21B8">
        <w:instrText xml:space="preserve"> ADDIN EN.CITE </w:instrText>
      </w:r>
      <w:r w:rsidR="00DD54C2" w:rsidRPr="002C21B8">
        <w:fldChar w:fldCharType="begin">
          <w:fldData xml:space="preserve">PEVuZE5vdGU+PENpdGU+PEF1dGhvcj5DaGFwbWFuPC9BdXRob3I+PFllYXI+MjAxNTwvWWVhcj48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</w:fldData>
        </w:fldChar>
      </w:r>
      <w:r w:rsidR="00DD54C2" w:rsidRPr="002C21B8">
        <w:instrText xml:space="preserve"> ADDIN EN.CITE.DATA </w:instrText>
      </w:r>
      <w:r w:rsidR="00DD54C2" w:rsidRPr="002C21B8">
        <w:fldChar w:fldCharType="end"/>
      </w:r>
      <w:r w:rsidR="00B63AD0" w:rsidRPr="002C21B8">
        <w:fldChar w:fldCharType="separate"/>
      </w:r>
      <w:r w:rsidR="00DD54C2" w:rsidRPr="002C21B8">
        <w:rPr>
          <w:noProof/>
        </w:rPr>
        <w:t>(Chapman</w:t>
      </w:r>
      <w:r w:rsidR="00DD54C2" w:rsidRPr="002C21B8">
        <w:rPr>
          <w:i/>
          <w:noProof/>
        </w:rPr>
        <w:t xml:space="preserve"> et al.</w:t>
      </w:r>
      <w:r w:rsidR="00DD54C2" w:rsidRPr="002C21B8">
        <w:rPr>
          <w:noProof/>
        </w:rPr>
        <w:t>, 2015; Cornec-Le Gall, Alam and Perrone, 2019)</w:t>
      </w:r>
      <w:r w:rsidR="00B63AD0" w:rsidRPr="002C21B8">
        <w:fldChar w:fldCharType="end"/>
      </w:r>
      <w:r w:rsidRPr="002C21B8">
        <w:t>. It is characterised by progressive cyst growth leading to an increase in total kidney volume, loss of kidney function and significant morbidity</w:t>
      </w:r>
      <w:r w:rsidR="004A147B" w:rsidRPr="002C21B8">
        <w:t xml:space="preserve"> </w:t>
      </w:r>
      <w:r w:rsidR="004A147B" w:rsidRPr="002C21B8">
        <w:fldChar w:fldCharType="begin"/>
      </w:r>
      <w:r w:rsidR="004A147B" w:rsidRPr="002C21B8">
        <w:instrText xml:space="preserve"> ADDIN EN.CITE &lt;EndNote&gt;&lt;Cite&gt;&lt;Author&gt;Ong&lt;/Author&gt;&lt;Year&gt;2015&lt;/Year&gt;&lt;RecNum&gt;5108&lt;/RecNum&gt;&lt;DisplayText&gt;(Ong&lt;style face="italic"&gt; et al.&lt;/style&gt;, 2015)&lt;/DisplayText&gt;&lt;record&gt;&lt;rec-number&gt;5108&lt;/rec-number&gt;&lt;foreign-keys&gt;&lt;key app="EN" db-id="xpefzwa5hf9dt2ea9fax95x7xvxz90v09dtf" timestamp="1700146758"&gt;5108&lt;/key&gt;&lt;/foreign-keys&gt;&lt;ref-type name="Journal Article"&gt;17&lt;/ref-type&gt;&lt;contributors&gt;&lt;authors&gt;&lt;author&gt;Ong, Albert CM&lt;/author&gt;&lt;author&gt;Devuyst, Olivier&lt;/author&gt;&lt;author&gt;Knebelmann, Bertrand&lt;/author&gt;&lt;author&gt;Walz, Gerd&lt;/author&gt;&lt;/authors&gt;&lt;/contributors&gt;&lt;titles&gt;&lt;title&gt;Autosomal dominant polycystic kidney disease: the changing face of clinical management&lt;/title&gt;&lt;secondary-title&gt;The Lancet&lt;/secondary-title&gt;&lt;/titles&gt;&lt;periodical&gt;&lt;full-title&gt;The Lancet&lt;/full-title&gt;&lt;/periodical&gt;&lt;pages&gt;1993-2002&lt;/pages&gt;&lt;volume&gt;385&lt;/volume&gt;&lt;number&gt;9981&lt;/number&gt;&lt;dates&gt;&lt;year&gt;2015&lt;/year&gt;&lt;/dates&gt;&lt;isbn&gt;0140-6736&lt;/isbn&gt;&lt;urls&gt;&lt;/urls&gt;&lt;/record&gt;&lt;/Cite&gt;&lt;/EndNote&gt;</w:instrText>
      </w:r>
      <w:r w:rsidR="004A147B" w:rsidRPr="002C21B8">
        <w:fldChar w:fldCharType="separate"/>
      </w:r>
      <w:r w:rsidR="004A147B" w:rsidRPr="002C21B8">
        <w:rPr>
          <w:noProof/>
        </w:rPr>
        <w:t>(Ong</w:t>
      </w:r>
      <w:r w:rsidR="004A147B" w:rsidRPr="002C21B8">
        <w:rPr>
          <w:i/>
          <w:noProof/>
        </w:rPr>
        <w:t xml:space="preserve"> et al.</w:t>
      </w:r>
      <w:r w:rsidR="004A147B" w:rsidRPr="002C21B8">
        <w:rPr>
          <w:noProof/>
        </w:rPr>
        <w:t>, 2015)</w:t>
      </w:r>
      <w:r w:rsidR="004A147B" w:rsidRPr="002C21B8">
        <w:fldChar w:fldCharType="end"/>
      </w:r>
      <w:r w:rsidRPr="002C21B8">
        <w:t>.</w:t>
      </w:r>
    </w:p>
    <w:p w14:paraId="768B4C52" w14:textId="7CB39C12" w:rsidR="00926F1A" w:rsidRPr="002C21B8" w:rsidRDefault="00C41DE2" w:rsidP="003374F4">
      <w:r w:rsidRPr="002C21B8">
        <w:t>Tolvaptan is the first disease-modifying therapy shown to slow the progression of ADPKD</w:t>
      </w:r>
      <w:r w:rsidR="00B63AD0" w:rsidRPr="002C21B8">
        <w:t xml:space="preserve"> and has been approved for use in over forty-three countries worldwide </w:t>
      </w:r>
      <w:r w:rsidR="00B63AD0" w:rsidRPr="002C21B8">
        <w:fldChar w:fldCharType="begin"/>
      </w:r>
      <w:r w:rsidR="00331F66" w:rsidRPr="002C21B8">
        <w:instrText xml:space="preserve"> ADDIN EN.CITE &lt;EndNote&gt;&lt;Cite&gt;&lt;Author&gt;Otsuka Pharmaceutical Co. Ltd&lt;/Author&gt;&lt;Year&gt;2018&lt;/Year&gt;&lt;RecNum&gt;125203&lt;/RecNum&gt;&lt;DisplayText&gt;(Otsuka Pharmaceutical Co. Ltd, 2018)&lt;/DisplayText&gt;&lt;record&gt;&lt;rec-number&gt;125203&lt;/rec-number&gt;&lt;foreign-keys&gt;&lt;key app="EN" db-id="xpefzwa5hf9dt2ea9fax95x7xvxz90v09dtf" timestamp="1771231290"&gt;125203&lt;/key&gt;&lt;/foreign-keys&gt;&lt;ref-type name="Web Page"&gt;12&lt;/ref-type&gt;&lt;contributors&gt;&lt;authors&gt;&lt;author&gt;Otsuka Pharmaceutical Co. Ltd,&lt;/author&gt;&lt;/authors&gt;&lt;/contributors&gt;&lt;titles&gt;&lt;title&gt;Otsuka&amp;apos;s JYNARQUE™ (tolvaptan) Approved by U.S. FDA as the First Treatment to Slow Kidney Function Decline in Adults at Risk of Rapidly Progressing Autosomal Dominant Polycystic Kidney Disease (ADPKD)&lt;/title&gt;&lt;/titles&gt;&lt;number&gt;16/02/2026)&lt;/number&gt;&lt;dates&gt;&lt;year&gt;2018&lt;/year&gt;&lt;/dates&gt;&lt;urls&gt;&lt;related-urls&gt;&lt;url&gt;https://www.otsuka.co.jp/en/company/newsreleases/2018/20180425_1.html&lt;/url&gt;&lt;/related-urls&gt;&lt;/urls&gt;&lt;/record&gt;&lt;/Cite&gt;&lt;/EndNote&gt;</w:instrText>
      </w:r>
      <w:r w:rsidR="00B63AD0" w:rsidRPr="002C21B8">
        <w:fldChar w:fldCharType="separate"/>
      </w:r>
      <w:r w:rsidR="00B63AD0" w:rsidRPr="002C21B8">
        <w:rPr>
          <w:noProof/>
        </w:rPr>
        <w:t>(Otsuka Pharmaceutical Co. Ltd, 2018)</w:t>
      </w:r>
      <w:r w:rsidR="00B63AD0" w:rsidRPr="002C21B8">
        <w:fldChar w:fldCharType="end"/>
      </w:r>
      <w:r w:rsidRPr="002C21B8">
        <w:t xml:space="preserve">. It was approved for use </w:t>
      </w:r>
      <w:r w:rsidR="00156120" w:rsidRPr="002C21B8">
        <w:t xml:space="preserve">in adults with ADPKD meeting specific criteria in England and Wales in 2015 and in Scotland in 2016 </w:t>
      </w:r>
      <w:r w:rsidR="00156120" w:rsidRPr="002C21B8">
        <w:fldChar w:fldCharType="begin"/>
      </w:r>
      <w:r w:rsidR="00156120" w:rsidRPr="002C21B8">
        <w:instrText xml:space="preserve"> ADDIN EN.CITE &lt;EndNote&gt;&lt;Cite&gt;&lt;Author&gt;National Institute for Health and Care Excellence&lt;/Author&gt;&lt;Year&gt;2015&lt;/Year&gt;&lt;RecNum&gt;4967&lt;/RecNum&gt;&lt;DisplayText&gt;(National Institute for Health and Care Excellence, 2015a; Scottish Medicines Consortium, 2016)&lt;/DisplayText&gt;&lt;record&gt;&lt;rec-number&gt;4967&lt;/rec-number&gt;&lt;foreign-keys&gt;&lt;key app="EN" db-id="xpefzwa5hf9dt2ea9fax95x7xvxz90v09dtf" timestamp="1699647214"&gt;4967&lt;/key&gt;&lt;/foreign-keys&gt;&lt;ref-type name="Web Page"&gt;12&lt;/ref-type&gt;&lt;contributors&gt;&lt;authors&gt;&lt;author&gt;National Institute for Health and Care Excellence,&lt;/author&gt;&lt;/authors&gt;&lt;/contributors&gt;&lt;titles&gt;&lt;title&gt;Medicines optimisation: the safe and effective use of medicines to enable the best possible outcomes&lt;/title&gt;&lt;/titles&gt;&lt;number&gt;26/04/2026)&lt;/number&gt;&lt;dates&gt;&lt;year&gt;2015&lt;/year&gt;&lt;/dates&gt;&lt;urls&gt;&lt;related-urls&gt;&lt;url&gt;www.nice.org.uk/guidance/ng5&lt;/url&gt;&lt;/related-urls&gt;&lt;/urls&gt;&lt;/record&gt;&lt;/Cite&gt;&lt;Cite&gt;&lt;Author&gt;Scottish Medicines Consortium&lt;/Author&gt;&lt;Year&gt;2016&lt;/Year&gt;&lt;RecNum&gt;4999&lt;/RecNum&gt;&lt;record&gt;&lt;rec-number&gt;4999&lt;/rec-number&gt;&lt;foreign-keys&gt;&lt;key app="EN" db-id="xpefzwa5hf9dt2ea9fax95x7xvxz90v09dtf" timestamp="1699885135"&gt;4999&lt;/key&gt;&lt;/foreign-keys&gt;&lt;ref-type name="Web Page"&gt;12&lt;/ref-type&gt;&lt;contributors&gt;&lt;authors&gt;&lt;author&gt;Scottish Medicines Consortium,&lt;/author&gt;&lt;/authors&gt;&lt;/contributors&gt;&lt;titles&gt;&lt;title&gt;Tolvaptan (SMC No. 1114/1115)&lt;/title&gt;&lt;/titles&gt;&lt;number&gt;26/04/2026)&lt;/number&gt;&lt;dates&gt;&lt;year&gt;2016&lt;/year&gt;&lt;/dates&gt;&lt;urls&gt;&lt;related-urls&gt;&lt;url&gt;https://scottishmedicines.org.uk/medicines-advice/tolvaptan-jinarc-fullsubmission-111415/&lt;/url&gt;&lt;/related-urls&gt;&lt;/urls&gt;&lt;/record&gt;&lt;/Cite&gt;&lt;/EndNote&gt;</w:instrText>
      </w:r>
      <w:r w:rsidR="00156120" w:rsidRPr="002C21B8">
        <w:fldChar w:fldCharType="separate"/>
      </w:r>
      <w:r w:rsidR="00156120" w:rsidRPr="002C21B8">
        <w:rPr>
          <w:noProof/>
        </w:rPr>
        <w:t>(National Institute for Health and Care Excellence, 2015a; Scottish Medicines Consortium, 2016)</w:t>
      </w:r>
      <w:r w:rsidR="00156120" w:rsidRPr="002C21B8">
        <w:fldChar w:fldCharType="end"/>
      </w:r>
      <w:r w:rsidRPr="002C21B8">
        <w:t xml:space="preserve">. </w:t>
      </w:r>
      <w:r w:rsidR="005B18C0" w:rsidRPr="002C21B8">
        <w:t xml:space="preserve">Guidelines to inform its use have been published by multiple organisations </w:t>
      </w:r>
      <w:r w:rsidR="00D847D3" w:rsidRPr="002C21B8">
        <w:t xml:space="preserve">worldwide. </w:t>
      </w:r>
      <w:r w:rsidR="00156120" w:rsidRPr="002C21B8">
        <w:t>In 2016, t</w:t>
      </w:r>
      <w:r w:rsidR="00926F1A" w:rsidRPr="002C21B8">
        <w:t>he Renal Association issued recommendations</w:t>
      </w:r>
      <w:r w:rsidR="00D847D3" w:rsidRPr="002C21B8">
        <w:t xml:space="preserve"> </w:t>
      </w:r>
      <w:r w:rsidR="00156120" w:rsidRPr="002C21B8">
        <w:t>for</w:t>
      </w:r>
      <w:r w:rsidR="00D847D3" w:rsidRPr="002C21B8">
        <w:t xml:space="preserve"> prescribers</w:t>
      </w:r>
      <w:r w:rsidR="00926F1A" w:rsidRPr="002C21B8">
        <w:t xml:space="preserve"> </w:t>
      </w:r>
      <w:r w:rsidR="00156120" w:rsidRPr="002C21B8">
        <w:t>in</w:t>
      </w:r>
      <w:r w:rsidR="00D847D3" w:rsidRPr="002C21B8">
        <w:t xml:space="preserve"> U</w:t>
      </w:r>
      <w:r w:rsidR="00F57AFA" w:rsidRPr="002C21B8">
        <w:t xml:space="preserve">nited </w:t>
      </w:r>
      <w:r w:rsidR="00D847D3" w:rsidRPr="002C21B8">
        <w:t>K</w:t>
      </w:r>
      <w:r w:rsidR="00F57AFA" w:rsidRPr="002C21B8">
        <w:t>ingdom (UK)</w:t>
      </w:r>
      <w:r w:rsidR="00926F1A" w:rsidRPr="002C21B8">
        <w:t xml:space="preserve"> kidney centres</w:t>
      </w:r>
      <w:r w:rsidR="00D847D3" w:rsidRPr="002C21B8">
        <w:t xml:space="preserve"> </w:t>
      </w:r>
      <w:r w:rsidR="00D847D3" w:rsidRPr="002C21B8">
        <w:fldChar w:fldCharType="begin"/>
      </w:r>
      <w:r w:rsidR="00163E1C"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00D847D3" w:rsidRPr="002C21B8">
        <w:fldChar w:fldCharType="separate"/>
      </w:r>
      <w:r w:rsidR="00163E1C" w:rsidRPr="002C21B8">
        <w:t>(Renal Association, 2016)</w:t>
      </w:r>
      <w:r w:rsidR="00D847D3" w:rsidRPr="002C21B8">
        <w:fldChar w:fldCharType="end"/>
      </w:r>
      <w:r w:rsidR="00AC2887" w:rsidRPr="002C21B8">
        <w:t>,</w:t>
      </w:r>
      <w:r w:rsidR="00D847D3" w:rsidRPr="002C21B8">
        <w:t xml:space="preserve"> </w:t>
      </w:r>
      <w:r w:rsidR="00A8741E" w:rsidRPr="002C21B8">
        <w:t>which were</w:t>
      </w:r>
      <w:r w:rsidR="00D847D3" w:rsidRPr="002C21B8">
        <w:t xml:space="preserve"> subsequently updated by the UK Kidney Association</w:t>
      </w:r>
      <w:r w:rsidR="00F57AFA" w:rsidRPr="002C21B8">
        <w:t xml:space="preserve"> (UKKA)</w:t>
      </w:r>
      <w:r w:rsidR="00D847D3" w:rsidRPr="002C21B8">
        <w:t xml:space="preserve"> in 2025 </w:t>
      </w:r>
      <w:r w:rsidR="00D847D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 </w:instrText>
      </w:r>
      <w:r w:rsidR="00763983" w:rsidRPr="002C21B8">
        <w:fldChar w:fldCharType="begin">
          <w:fldData xml:space="preserve">PEVuZE5vdGU+PENpdGU+PEF1dGhvcj5HaXR0dXM8L0F1dGhvcj48WWVhcj4yMDI1PC9ZZWFyPjxS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</w:fldData>
        </w:fldChar>
      </w:r>
      <w:r w:rsidR="00763983" w:rsidRPr="002C21B8">
        <w:instrText xml:space="preserve"> ADDIN EN.CITE.DATA </w:instrText>
      </w:r>
      <w:r w:rsidR="00763983" w:rsidRPr="002C21B8">
        <w:fldChar w:fldCharType="end"/>
      </w:r>
      <w:r w:rsidR="00D847D3" w:rsidRPr="002C21B8">
        <w:fldChar w:fldCharType="separate"/>
      </w:r>
      <w:r w:rsidR="006A7575" w:rsidRPr="002C21B8">
        <w:rPr>
          <w:noProof/>
        </w:rPr>
        <w:t>(Gittus</w:t>
      </w:r>
      <w:r w:rsidR="006A7575" w:rsidRPr="002C21B8">
        <w:rPr>
          <w:i/>
          <w:noProof/>
        </w:rPr>
        <w:t xml:space="preserve"> et al.</w:t>
      </w:r>
      <w:r w:rsidR="006A7575" w:rsidRPr="002C21B8">
        <w:rPr>
          <w:noProof/>
        </w:rPr>
        <w:t>, 2025a)</w:t>
      </w:r>
      <w:r w:rsidR="00D847D3" w:rsidRPr="002C21B8">
        <w:fldChar w:fldCharType="end"/>
      </w:r>
      <w:r w:rsidR="00D847D3" w:rsidRPr="002C21B8">
        <w:t>.</w:t>
      </w:r>
    </w:p>
    <w:p w14:paraId="5F0B9311" w14:textId="4E37C79D" w:rsidR="00C41DE2" w:rsidRPr="002C21B8" w:rsidRDefault="00C41DE2" w:rsidP="003374F4">
      <w:r w:rsidRPr="002C21B8">
        <w:t xml:space="preserve">A recent national cross-sectional registry analysis </w:t>
      </w:r>
      <w:r w:rsidR="00890792" w:rsidRPr="002C21B8">
        <w:t xml:space="preserve">conducted by the authors </w:t>
      </w:r>
      <w:r w:rsidRPr="002C21B8">
        <w:t xml:space="preserve">demonstrated variation in prescribing practices between kidney centres </w:t>
      </w:r>
      <w:r w:rsidR="00FB41B1" w:rsidRPr="002C21B8">
        <w:t xml:space="preserve">(Gittus </w:t>
      </w:r>
      <w:r w:rsidR="00FB41B1" w:rsidRPr="002C21B8">
        <w:rPr>
          <w:i/>
          <w:iCs/>
        </w:rPr>
        <w:t xml:space="preserve">et al., </w:t>
      </w:r>
      <w:r w:rsidR="00FB41B1" w:rsidRPr="002C21B8">
        <w:t>manuscript submitted)</w:t>
      </w:r>
      <w:r w:rsidRPr="002C21B8">
        <w:t xml:space="preserve">. </w:t>
      </w:r>
      <w:r w:rsidR="00890792" w:rsidRPr="002C21B8">
        <w:t xml:space="preserve">Further investigation through a </w:t>
      </w:r>
      <w:r w:rsidR="00D847D3" w:rsidRPr="002C21B8">
        <w:t>m</w:t>
      </w:r>
      <w:r w:rsidRPr="002C21B8">
        <w:t xml:space="preserve">ultiple case study </w:t>
      </w:r>
      <w:r w:rsidR="00D847D3" w:rsidRPr="002C21B8">
        <w:t>suggest</w:t>
      </w:r>
      <w:r w:rsidRPr="002C21B8">
        <w:t xml:space="preserve">ed that </w:t>
      </w:r>
      <w:r w:rsidR="00D847D3" w:rsidRPr="002C21B8">
        <w:t xml:space="preserve">some of this </w:t>
      </w:r>
      <w:r w:rsidRPr="002C21B8">
        <w:t xml:space="preserve">variation </w:t>
      </w:r>
      <w:r w:rsidR="00D847D3" w:rsidRPr="002C21B8">
        <w:t xml:space="preserve">may </w:t>
      </w:r>
      <w:r w:rsidR="00890792" w:rsidRPr="002C21B8">
        <w:t>result</w:t>
      </w:r>
      <w:r w:rsidR="00D847D3" w:rsidRPr="002C21B8">
        <w:t xml:space="preserve"> from different approaches </w:t>
      </w:r>
      <w:r w:rsidR="00A614E4" w:rsidRPr="002C21B8">
        <w:t>when</w:t>
      </w:r>
      <w:r w:rsidR="00D847D3" w:rsidRPr="002C21B8">
        <w:t xml:space="preserve"> </w:t>
      </w:r>
      <w:r w:rsidR="00890792" w:rsidRPr="002C21B8">
        <w:t>implementing tolvaptan care pathways</w:t>
      </w:r>
      <w:r w:rsidR="00FB41B1" w:rsidRPr="002C21B8">
        <w:t xml:space="preserve"> (Gittus </w:t>
      </w:r>
      <w:r w:rsidR="00FB41B1" w:rsidRPr="002C21B8">
        <w:rPr>
          <w:i/>
          <w:iCs/>
        </w:rPr>
        <w:t xml:space="preserve">et al., </w:t>
      </w:r>
      <w:r w:rsidR="00FB41B1" w:rsidRPr="002C21B8">
        <w:t>manuscript submitted)</w:t>
      </w:r>
      <w:r w:rsidR="00D847D3" w:rsidRPr="002C21B8">
        <w:t>.</w:t>
      </w:r>
      <w:r w:rsidR="00D943A8" w:rsidRPr="002C21B8">
        <w:t xml:space="preserve"> </w:t>
      </w:r>
      <w:r w:rsidR="00890792" w:rsidRPr="002C21B8">
        <w:t xml:space="preserve">However, there is a lack of contemporary national data describing how tolvaptan </w:t>
      </w:r>
      <w:r w:rsidR="00D22B77" w:rsidRPr="002C21B8">
        <w:t xml:space="preserve">care </w:t>
      </w:r>
      <w:r w:rsidR="00890792" w:rsidRPr="002C21B8">
        <w:t>pathways are structured,</w:t>
      </w:r>
      <w:r w:rsidR="00AC2887" w:rsidRPr="002C21B8">
        <w:t xml:space="preserve"> how</w:t>
      </w:r>
      <w:r w:rsidR="00890792" w:rsidRPr="002C21B8">
        <w:t xml:space="preserve"> eligibility is assessed</w:t>
      </w:r>
      <w:r w:rsidR="00AC2887" w:rsidRPr="002C21B8">
        <w:t>,</w:t>
      </w:r>
      <w:r w:rsidR="00D22B77" w:rsidRPr="002C21B8">
        <w:t xml:space="preserve"> </w:t>
      </w:r>
      <w:r w:rsidR="00AC2887" w:rsidRPr="002C21B8">
        <w:t>and</w:t>
      </w:r>
      <w:r w:rsidR="00D22B77" w:rsidRPr="002C21B8">
        <w:t xml:space="preserve"> </w:t>
      </w:r>
      <w:r w:rsidR="00AC2887" w:rsidRPr="002C21B8">
        <w:t xml:space="preserve">how </w:t>
      </w:r>
      <w:r w:rsidR="00890792" w:rsidRPr="002C21B8">
        <w:t xml:space="preserve">treatment is initiated. </w:t>
      </w:r>
      <w:r w:rsidRPr="002C21B8">
        <w:t xml:space="preserve">Understanding these aspects of </w:t>
      </w:r>
      <w:r w:rsidR="00C97424" w:rsidRPr="002C21B8">
        <w:t xml:space="preserve">ADPKD </w:t>
      </w:r>
      <w:r w:rsidRPr="002C21B8">
        <w:t xml:space="preserve">care is </w:t>
      </w:r>
      <w:r w:rsidR="00556C36" w:rsidRPr="002C21B8">
        <w:t xml:space="preserve">important to help </w:t>
      </w:r>
      <w:r w:rsidRPr="002C21B8">
        <w:t>identify unwarranted variation, inform service planning and support equitable access. The aim of this study was to describe current UK practice in the assessment, initiation and monitoring of tolvaptan for people with ADPKD.</w:t>
      </w:r>
    </w:p>
    <w:p w14:paraId="5A15EE95" w14:textId="77777777" w:rsidR="00C41DE2" w:rsidRPr="002C21B8" w:rsidRDefault="00C41DE2" w:rsidP="00374561">
      <w:pPr>
        <w:spacing w:before="240" w:after="0"/>
        <w:rPr>
          <w:b/>
          <w:bCs/>
          <w:sz w:val="28"/>
          <w:szCs w:val="28"/>
        </w:rPr>
      </w:pPr>
      <w:r w:rsidRPr="002C21B8">
        <w:rPr>
          <w:b/>
          <w:bCs/>
          <w:sz w:val="28"/>
          <w:szCs w:val="28"/>
        </w:rPr>
        <w:t>Methods</w:t>
      </w:r>
    </w:p>
    <w:p w14:paraId="678340D8" w14:textId="71BB21DF" w:rsidR="00556C36" w:rsidRPr="002C21B8" w:rsidRDefault="00C41DE2" w:rsidP="00D75527">
      <w:r w:rsidRPr="002C21B8">
        <w:t xml:space="preserve">We conducted an online cross-sectional survey to assess practices and factors influencing tolvaptan prescribing in UK kidney centres. The survey was developed and distributed using the Qualtrics platform, with data collection from September to December 2025. This study was reported in accordance with the Consensus-based </w:t>
      </w:r>
      <w:r w:rsidR="00C72665" w:rsidRPr="002C21B8">
        <w:t>c</w:t>
      </w:r>
      <w:r w:rsidRPr="002C21B8">
        <w:t xml:space="preserve">hecklist for Reporting of Survey Studies (CROSS) </w:t>
      </w:r>
      <w:r w:rsidRPr="002C21B8">
        <w:fldChar w:fldCharType="begin"/>
      </w:r>
      <w:r w:rsidR="002726AE" w:rsidRPr="002C21B8">
        <w:instrText xml:space="preserve"> ADDIN EN.CITE &lt;EndNote&gt;&lt;Cite&gt;&lt;Author&gt;Sharma&lt;/Author&gt;&lt;Year&gt;2021&lt;/Year&gt;&lt;RecNum&gt;125177&lt;/RecNum&gt;&lt;DisplayText&gt;(Sharma&lt;style face="italic"&gt; et al.&lt;/style&gt;, 2021)&lt;/DisplayText&gt;&lt;record&gt;&lt;rec-number&gt;125177&lt;/rec-number&gt;&lt;foreign-keys&gt;&lt;key app="EN" db-id="xpefzwa5hf9dt2ea9fax95x7xvxz90v09dtf" timestamp="1768231382"&gt;125177&lt;/key&gt;&lt;/foreign-keys&gt;&lt;ref-type name="Journal Article"&gt;17&lt;/ref-type&gt;&lt;contributors&gt;&lt;authors&gt;&lt;author&gt;Sharma, Akash&lt;/author&gt;&lt;author&gt;Minh Duc, Nguyen Tran&lt;/author&gt;&lt;author&gt;Luu Lam Thang, Tai&lt;/author&gt;&lt;author&gt;Nam, Nguyen Hai&lt;/author&gt;&lt;author&gt;Ng, Sze Jia&lt;/author&gt;&lt;author&gt;Abbas, Kirellos Said&lt;/author&gt;&lt;author&gt;Huy, Nguyen Tien&lt;/author&gt;&lt;author&gt;Marušić, Ana&lt;/author&gt;&lt;author&gt;Paul, Christine L&lt;/author&gt;&lt;author&gt;Kwok, Janette&lt;/author&gt;&lt;/authors&gt;&lt;/contributors&gt;&lt;titles&gt;&lt;title&gt;A consensus-based checklist for reporting of survey studies (CROSS)&lt;/title&gt;&lt;secondary-title&gt;Journal of General Internal Medicine&lt;/secondary-title&gt;&lt;/titles&gt;&lt;periodical&gt;&lt;full-title&gt;Journal of general internal medicine&lt;/full-title&gt;&lt;/periodical&gt;&lt;pages&gt;3179-3187&lt;/pages&gt;&lt;volume&gt;36&lt;/volume&gt;&lt;number&gt;10&lt;/number&gt;&lt;dates&gt;&lt;year&gt;2021&lt;/year&gt;&lt;/dates&gt;&lt;isbn&gt;0884-8734&lt;/isbn&gt;&lt;urls&gt;&lt;/urls&gt;&lt;/record&gt;&lt;/Cite&gt;&lt;/EndNote&gt;</w:instrText>
      </w:r>
      <w:r w:rsidRPr="002C21B8">
        <w:fldChar w:fldCharType="separate"/>
      </w:r>
      <w:r w:rsidRPr="002C21B8">
        <w:rPr>
          <w:noProof/>
        </w:rPr>
        <w:t>(Sharma</w:t>
      </w:r>
      <w:r w:rsidRPr="002C21B8">
        <w:rPr>
          <w:i/>
          <w:noProof/>
        </w:rPr>
        <w:t xml:space="preserve"> et al.</w:t>
      </w:r>
      <w:r w:rsidRPr="002C21B8">
        <w:rPr>
          <w:noProof/>
        </w:rPr>
        <w:t>, 2021)</w:t>
      </w:r>
      <w:r w:rsidRPr="002C21B8">
        <w:fldChar w:fldCharType="end"/>
      </w:r>
      <w:r w:rsidR="00BC38D2" w:rsidRPr="002C21B8">
        <w:t>. This is included in</w:t>
      </w:r>
      <w:r w:rsidRPr="002C21B8">
        <w:t xml:space="preserve"> </w:t>
      </w:r>
      <w:hyperlink w:anchor="_Reporting_checklist_for_2" w:history="1">
        <w:r w:rsidRPr="002C21B8">
          <w:rPr>
            <w:rStyle w:val="Hyperlink"/>
          </w:rPr>
          <w:t xml:space="preserve">Appendix </w:t>
        </w:r>
        <w:r w:rsidR="00AE796C" w:rsidRPr="002C21B8">
          <w:rPr>
            <w:rStyle w:val="Hyperlink"/>
          </w:rPr>
          <w:t>10</w:t>
        </w:r>
      </w:hyperlink>
      <w:r w:rsidRPr="002C21B8">
        <w:t>.</w:t>
      </w:r>
    </w:p>
    <w:p w14:paraId="6B3326BB" w14:textId="77777777" w:rsidR="00D75527" w:rsidRPr="002C21B8" w:rsidRDefault="00D75527" w:rsidP="00D75527"/>
    <w:p w14:paraId="574ADD83" w14:textId="77777777" w:rsidR="00D75527" w:rsidRPr="002C21B8" w:rsidRDefault="00D75527" w:rsidP="00D75527"/>
    <w:p w14:paraId="2E83C808" w14:textId="742C6DF5" w:rsidR="00C41DE2" w:rsidRPr="002C21B8" w:rsidRDefault="00C41DE2" w:rsidP="00374561">
      <w:pPr>
        <w:spacing w:before="240" w:after="0"/>
        <w:rPr>
          <w:b/>
          <w:bCs/>
          <w:sz w:val="24"/>
          <w:szCs w:val="24"/>
        </w:rPr>
      </w:pPr>
      <w:r w:rsidRPr="002C21B8">
        <w:rPr>
          <w:b/>
          <w:bCs/>
          <w:sz w:val="24"/>
          <w:szCs w:val="24"/>
        </w:rPr>
        <w:t>Participants and sampling</w:t>
      </w:r>
    </w:p>
    <w:p w14:paraId="298BA478" w14:textId="0A01D4B8" w:rsidR="00A86360" w:rsidRPr="002C21B8" w:rsidRDefault="00BD6189" w:rsidP="003374F4">
      <w:r w:rsidRPr="002C21B8">
        <w:t>AD</w:t>
      </w:r>
      <w:r w:rsidR="005A0FC3" w:rsidRPr="002C21B8">
        <w:t>P</w:t>
      </w:r>
      <w:r w:rsidRPr="002C21B8">
        <w:t xml:space="preserve">KD lead clinicians at </w:t>
      </w:r>
      <w:r w:rsidR="00C41DE2" w:rsidRPr="002C21B8">
        <w:t>7</w:t>
      </w:r>
      <w:r w:rsidR="00913336" w:rsidRPr="002C21B8">
        <w:t>2</w:t>
      </w:r>
      <w:r w:rsidR="00C41DE2" w:rsidRPr="002C21B8">
        <w:t xml:space="preserve"> adult kidney centres listed by the </w:t>
      </w:r>
      <w:r w:rsidR="00DF44CE" w:rsidRPr="002C21B8">
        <w:t>UKKA</w:t>
      </w:r>
      <w:r w:rsidR="00C41DE2" w:rsidRPr="002C21B8">
        <w:t xml:space="preserve"> were invited to participate.</w:t>
      </w:r>
      <w:r w:rsidR="00A614E4" w:rsidRPr="002C21B8">
        <w:t xml:space="preserve"> These lead clinicians were identified </w:t>
      </w:r>
      <w:r w:rsidR="00A86360" w:rsidRPr="002C21B8">
        <w:t>using</w:t>
      </w:r>
      <w:r w:rsidR="00A614E4" w:rsidRPr="002C21B8">
        <w:t xml:space="preserve"> </w:t>
      </w:r>
      <w:r w:rsidR="001856AA" w:rsidRPr="002C21B8">
        <w:t xml:space="preserve">ADPKD patient recruitment </w:t>
      </w:r>
      <w:r w:rsidR="00A614E4" w:rsidRPr="002C21B8">
        <w:t xml:space="preserve">data </w:t>
      </w:r>
      <w:r w:rsidR="00A86360" w:rsidRPr="002C21B8">
        <w:t>from</w:t>
      </w:r>
      <w:r w:rsidR="001856AA" w:rsidRPr="002C21B8">
        <w:t xml:space="preserve"> </w:t>
      </w:r>
      <w:r w:rsidR="00A614E4" w:rsidRPr="002C21B8">
        <w:t>the National Registry of Rare Kidney Disease</w:t>
      </w:r>
      <w:r w:rsidR="001856AA" w:rsidRPr="002C21B8">
        <w:t xml:space="preserve"> (RaDaR)</w:t>
      </w:r>
      <w:r w:rsidR="00A86360" w:rsidRPr="002C21B8">
        <w:t xml:space="preserve">, with the clinician recruiting the most patients at each centre contacted. </w:t>
      </w:r>
      <w:r w:rsidR="00C41DE2" w:rsidRPr="002C21B8">
        <w:t xml:space="preserve">It is acknowledged that not all centres listed </w:t>
      </w:r>
      <w:r w:rsidR="001856AA" w:rsidRPr="002C21B8">
        <w:t xml:space="preserve">by </w:t>
      </w:r>
      <w:r w:rsidR="00A86360" w:rsidRPr="002C21B8">
        <w:t xml:space="preserve">the </w:t>
      </w:r>
      <w:r w:rsidR="001856AA" w:rsidRPr="002C21B8">
        <w:t xml:space="preserve">UKKA </w:t>
      </w:r>
      <w:r w:rsidR="00DF44CE" w:rsidRPr="002C21B8">
        <w:t xml:space="preserve">will </w:t>
      </w:r>
      <w:r w:rsidR="00C41DE2" w:rsidRPr="002C21B8">
        <w:t>manage ADPKD patients</w:t>
      </w:r>
      <w:r w:rsidR="00E63957" w:rsidRPr="002C21B8">
        <w:t>,</w:t>
      </w:r>
      <w:r w:rsidR="00A86360" w:rsidRPr="002C21B8">
        <w:t xml:space="preserve"> as some</w:t>
      </w:r>
      <w:r w:rsidR="00B644F7" w:rsidRPr="002C21B8">
        <w:t xml:space="preserve"> kidney</w:t>
      </w:r>
      <w:r w:rsidR="00A86360" w:rsidRPr="002C21B8">
        <w:t xml:space="preserve"> </w:t>
      </w:r>
      <w:r w:rsidR="00FE7301" w:rsidRPr="002C21B8">
        <w:t xml:space="preserve">centres </w:t>
      </w:r>
      <w:r w:rsidR="00A86360" w:rsidRPr="002C21B8">
        <w:t>may refer this patient population to specialist</w:t>
      </w:r>
      <w:r w:rsidR="00BC38D2" w:rsidRPr="002C21B8">
        <w:t xml:space="preserve"> kidney</w:t>
      </w:r>
      <w:r w:rsidR="00A86360" w:rsidRPr="002C21B8">
        <w:t xml:space="preserve"> centres.</w:t>
      </w:r>
    </w:p>
    <w:p w14:paraId="0D963047" w14:textId="07F945B6" w:rsidR="00C41DE2" w:rsidRPr="002C21B8" w:rsidRDefault="00C92974" w:rsidP="00374561">
      <w:pPr>
        <w:spacing w:before="240" w:after="0"/>
        <w:rPr>
          <w:b/>
          <w:bCs/>
          <w:sz w:val="24"/>
          <w:szCs w:val="24"/>
        </w:rPr>
      </w:pPr>
      <w:r w:rsidRPr="002C21B8">
        <w:rPr>
          <w:b/>
          <w:bCs/>
          <w:sz w:val="24"/>
          <w:szCs w:val="24"/>
        </w:rPr>
        <w:t>Questionnaire</w:t>
      </w:r>
      <w:r w:rsidR="00C41DE2" w:rsidRPr="002C21B8">
        <w:rPr>
          <w:b/>
          <w:bCs/>
          <w:sz w:val="24"/>
          <w:szCs w:val="24"/>
        </w:rPr>
        <w:t xml:space="preserve"> development</w:t>
      </w:r>
    </w:p>
    <w:p w14:paraId="55C6C7CB" w14:textId="7A3D9513" w:rsidR="00C41DE2" w:rsidRPr="002C21B8" w:rsidRDefault="00C41DE2" w:rsidP="003374F4">
      <w:r w:rsidRPr="002C21B8">
        <w:t xml:space="preserve">The survey was conducted as a component of a mixed-methods </w:t>
      </w:r>
      <w:r w:rsidR="000F5365" w:rsidRPr="002C21B8">
        <w:t xml:space="preserve">research </w:t>
      </w:r>
      <w:r w:rsidR="003D35E6" w:rsidRPr="002C21B8">
        <w:t>study</w:t>
      </w:r>
      <w:r w:rsidRPr="002C21B8">
        <w:t xml:space="preserve"> exploring variation in tolvaptan prescribing for ADPKD. The primary purpose was to provide additional data to support</w:t>
      </w:r>
      <w:r w:rsidR="00086669" w:rsidRPr="002C21B8">
        <w:t xml:space="preserve"> the</w:t>
      </w:r>
      <w:r w:rsidRPr="002C21B8">
        <w:t xml:space="preserve"> </w:t>
      </w:r>
      <w:r w:rsidR="00890792" w:rsidRPr="002C21B8">
        <w:t>reanalysis</w:t>
      </w:r>
      <w:r w:rsidRPr="002C21B8">
        <w:t xml:space="preserve"> of </w:t>
      </w:r>
      <w:r w:rsidR="00E63957" w:rsidRPr="002C21B8">
        <w:t>registry data</w:t>
      </w:r>
      <w:r w:rsidR="00F922B2" w:rsidRPr="002C21B8">
        <w:t>,</w:t>
      </w:r>
      <w:r w:rsidRPr="002C21B8">
        <w:t xml:space="preserve"> which required non-anonymised responses. </w:t>
      </w:r>
      <w:r w:rsidR="00C92974" w:rsidRPr="002C21B8">
        <w:t>The questionnaire</w:t>
      </w:r>
      <w:r w:rsidRPr="002C21B8">
        <w:t xml:space="preserve"> was developed using the findings from </w:t>
      </w:r>
      <w:r w:rsidR="00E63957" w:rsidRPr="002C21B8">
        <w:t xml:space="preserve">a </w:t>
      </w:r>
      <w:r w:rsidR="00066D77" w:rsidRPr="002C21B8">
        <w:t xml:space="preserve">conceptual model </w:t>
      </w:r>
      <w:r w:rsidR="009B05DC" w:rsidRPr="002C21B8">
        <w:t xml:space="preserve">of </w:t>
      </w:r>
      <w:r w:rsidR="00066D77" w:rsidRPr="002C21B8">
        <w:t>prescribing</w:t>
      </w:r>
      <w:r w:rsidR="009B05DC" w:rsidRPr="002C21B8">
        <w:t xml:space="preserve"> decision-making developed for the context of</w:t>
      </w:r>
      <w:r w:rsidR="00066D77" w:rsidRPr="002C21B8">
        <w:t xml:space="preserve"> rare diseases (Gittus </w:t>
      </w:r>
      <w:r w:rsidR="00066D77" w:rsidRPr="002C21B8">
        <w:rPr>
          <w:i/>
          <w:iCs/>
        </w:rPr>
        <w:t xml:space="preserve">et al., </w:t>
      </w:r>
      <w:r w:rsidR="00066D77" w:rsidRPr="002C21B8">
        <w:t>manuscript pre-submission)</w:t>
      </w:r>
      <w:r w:rsidR="00A44334" w:rsidRPr="002C21B8">
        <w:t xml:space="preserve"> and a multiple case study on variation in tolvaptan prescribing practices in the management of ADPKD (Gittus </w:t>
      </w:r>
      <w:r w:rsidR="00A44334" w:rsidRPr="002C21B8">
        <w:rPr>
          <w:i/>
          <w:iCs/>
        </w:rPr>
        <w:t xml:space="preserve">et al., </w:t>
      </w:r>
      <w:r w:rsidR="00A44334" w:rsidRPr="002C21B8">
        <w:t>manuscript submitted)</w:t>
      </w:r>
      <w:r w:rsidRPr="002C21B8">
        <w:t>. The instrument comprised</w:t>
      </w:r>
      <w:r w:rsidR="00A44334" w:rsidRPr="002C21B8">
        <w:t xml:space="preserve"> of</w:t>
      </w:r>
      <w:r w:rsidRPr="002C21B8">
        <w:t xml:space="preserve"> five sections with 3</w:t>
      </w:r>
      <w:r w:rsidR="001441CD" w:rsidRPr="002C21B8">
        <w:t>2</w:t>
      </w:r>
      <w:r w:rsidRPr="002C21B8">
        <w:t xml:space="preserve"> items. These were primarily closed questions to facilitate rapid completion and free-text fields for additional context where appropriate. </w:t>
      </w:r>
      <w:r w:rsidR="00C92974" w:rsidRPr="002C21B8">
        <w:t xml:space="preserve">This follows common practice in health services surveys where closed responses have been found to improve response rates and analytical efficiency </w:t>
      </w:r>
      <w:r w:rsidR="00C92974" w:rsidRPr="002C21B8">
        <w:fldChar w:fldCharType="begin"/>
      </w:r>
      <w:r w:rsidR="000215B0" w:rsidRPr="002C21B8">
        <w:instrText xml:space="preserve"> ADDIN EN.CITE &lt;EndNote&gt;&lt;Cite&gt;&lt;Author&gt;Turk&lt;/Author&gt;&lt;Year&gt;2018&lt;/Year&gt;&lt;RecNum&gt;125179&lt;/RecNum&gt;&lt;DisplayText&gt;(Turk&lt;style face="italic"&gt; et al.&lt;/style&gt;, 2018)&lt;/DisplayText&gt;&lt;record&gt;&lt;rec-number&gt;125179&lt;/rec-number&gt;&lt;foreign-keys&gt;&lt;key app="EN" db-id="xpefzwa5hf9dt2ea9fax95x7xvxz90v09dtf" timestamp="1768307118"&gt;125179&lt;/key&gt;&lt;/foreign-keys&gt;&lt;ref-type name="Journal Article"&gt;17&lt;/ref-type&gt;&lt;contributors&gt;&lt;authors&gt;&lt;author&gt;Turk, Tarek&lt;/author&gt;&lt;author&gt;Elhady, Mohamed Tamer&lt;/author&gt;&lt;author&gt;Rashed, Sherwet&lt;/author&gt;&lt;author&gt;Abdelkhalek, Mariam&lt;/author&gt;&lt;author&gt;Nasef, Somia Ahmed&lt;/author&gt;&lt;author&gt;Khallaf, Ashraf Mohamed&lt;/author&gt;&lt;author&gt;Mohammed, Abdelrahman Tarek&lt;/author&gt;&lt;author&gt;Attia, Andrew Wassef&lt;/author&gt;&lt;author&gt;Adhikari, Purushottam&lt;/author&gt;&lt;author&gt;Amin, Mohamed Alsabbahi&lt;/author&gt;&lt;/authors&gt;&lt;/contributors&gt;&lt;titles&gt;&lt;title&gt;Quality of reporting web-based and non-web-based survey studies: What authors, reviewers and consumers should consider&lt;/title&gt;&lt;secondary-title&gt;PLOS One&lt;/secondary-title&gt;&lt;/titles&gt;&lt;periodical&gt;&lt;full-title&gt;PLoS ONE&lt;/full-title&gt;&lt;/periodical&gt;&lt;pages&gt;e0194239&lt;/pages&gt;&lt;volume&gt;13&lt;/volume&gt;&lt;number&gt;6&lt;/number&gt;&lt;dates&gt;&lt;year&gt;2018&lt;/year&gt;&lt;/dates&gt;&lt;isbn&gt;1932-6203&lt;/isbn&gt;&lt;urls&gt;&lt;/urls&gt;&lt;/record&gt;&lt;/Cite&gt;&lt;/EndNote&gt;</w:instrText>
      </w:r>
      <w:r w:rsidR="00C92974" w:rsidRPr="002C21B8">
        <w:fldChar w:fldCharType="separate"/>
      </w:r>
      <w:r w:rsidR="00C92974" w:rsidRPr="002C21B8">
        <w:rPr>
          <w:noProof/>
        </w:rPr>
        <w:t>(Turk</w:t>
      </w:r>
      <w:r w:rsidR="00C92974" w:rsidRPr="002C21B8">
        <w:rPr>
          <w:i/>
          <w:noProof/>
        </w:rPr>
        <w:t xml:space="preserve"> et al.</w:t>
      </w:r>
      <w:r w:rsidR="00C92974" w:rsidRPr="002C21B8">
        <w:rPr>
          <w:noProof/>
        </w:rPr>
        <w:t>, 2018)</w:t>
      </w:r>
      <w:r w:rsidR="00C92974" w:rsidRPr="002C21B8">
        <w:fldChar w:fldCharType="end"/>
      </w:r>
      <w:r w:rsidR="00C92974" w:rsidRPr="002C21B8">
        <w:t xml:space="preserve">. </w:t>
      </w:r>
      <w:r w:rsidR="00A86360" w:rsidRPr="002C21B8">
        <w:t>Justification for the questions in the questionnaire</w:t>
      </w:r>
      <w:r w:rsidR="00E63957" w:rsidRPr="002C21B8">
        <w:t xml:space="preserve"> </w:t>
      </w:r>
      <w:r w:rsidR="00A86360" w:rsidRPr="002C21B8">
        <w:t xml:space="preserve">and </w:t>
      </w:r>
      <w:r w:rsidR="003A1747" w:rsidRPr="002C21B8">
        <w:t xml:space="preserve">mapping of the </w:t>
      </w:r>
      <w:r w:rsidR="002355BF" w:rsidRPr="002C21B8">
        <w:t xml:space="preserve">questions </w:t>
      </w:r>
      <w:r w:rsidR="00A86360" w:rsidRPr="002C21B8">
        <w:t xml:space="preserve">to the </w:t>
      </w:r>
      <w:r w:rsidR="00AB21CB" w:rsidRPr="002C21B8">
        <w:t>conceptual model developed in the multiple case study</w:t>
      </w:r>
      <w:r w:rsidR="006C72E2" w:rsidRPr="002C21B8">
        <w:t xml:space="preserve"> is included</w:t>
      </w:r>
      <w:r w:rsidR="00A86360" w:rsidRPr="002C21B8">
        <w:t xml:space="preserve"> in </w:t>
      </w:r>
      <w:hyperlink w:anchor="_Rationale_for_survey" w:history="1">
        <w:r w:rsidR="00A86360" w:rsidRPr="002C21B8">
          <w:rPr>
            <w:rStyle w:val="Hyperlink"/>
          </w:rPr>
          <w:t>Appendix 10</w:t>
        </w:r>
      </w:hyperlink>
      <w:r w:rsidR="00A86360" w:rsidRPr="002C21B8">
        <w:t xml:space="preserve">. </w:t>
      </w:r>
      <w:r w:rsidRPr="002C21B8">
        <w:t>A draft version was piloted with t</w:t>
      </w:r>
      <w:r w:rsidR="00F74344" w:rsidRPr="002C21B8">
        <w:t>wo</w:t>
      </w:r>
      <w:r w:rsidRPr="002C21B8">
        <w:t xml:space="preserve"> ADPKD clinical specialists at Sheffield Teaching Hospitals NHS Trust and with a public and patient involvement group consist</w:t>
      </w:r>
      <w:r w:rsidR="00C92974" w:rsidRPr="002C21B8">
        <w:t>ing</w:t>
      </w:r>
      <w:r w:rsidRPr="002C21B8">
        <w:t xml:space="preserve"> of </w:t>
      </w:r>
      <w:r w:rsidR="00F74344" w:rsidRPr="002C21B8">
        <w:t>three</w:t>
      </w:r>
      <w:r w:rsidRPr="002C21B8">
        <w:t xml:space="preserve"> individuals with ADPKD and/or CKD. Feedback informed</w:t>
      </w:r>
      <w:r w:rsidR="008A40C0" w:rsidRPr="002C21B8">
        <w:t xml:space="preserve"> the</w:t>
      </w:r>
      <w:r w:rsidRPr="002C21B8">
        <w:t xml:space="preserve"> revision</w:t>
      </w:r>
      <w:r w:rsidR="008A40C0" w:rsidRPr="002C21B8">
        <w:t xml:space="preserve"> of the questionnaire</w:t>
      </w:r>
      <w:r w:rsidRPr="002C21B8">
        <w:t xml:space="preserve"> to reduce length and improve</w:t>
      </w:r>
      <w:r w:rsidR="008A40C0" w:rsidRPr="002C21B8">
        <w:t xml:space="preserve"> question</w:t>
      </w:r>
      <w:r w:rsidRPr="002C21B8">
        <w:t xml:space="preserve"> clarity. The finalised survey instrument and accompanying </w:t>
      </w:r>
      <w:r w:rsidR="003C4E74" w:rsidRPr="002C21B8">
        <w:t xml:space="preserve">email </w:t>
      </w:r>
      <w:r w:rsidR="00C92974" w:rsidRPr="002C21B8">
        <w:t>invitation</w:t>
      </w:r>
      <w:r w:rsidRPr="002C21B8">
        <w:t xml:space="preserve"> are provided in </w:t>
      </w:r>
      <w:hyperlink w:anchor="_Questionnaire" w:history="1">
        <w:r w:rsidR="00C83686" w:rsidRPr="002C21B8">
          <w:rPr>
            <w:rStyle w:val="Hyperlink"/>
          </w:rPr>
          <w:t>Appendix 10</w:t>
        </w:r>
      </w:hyperlink>
      <w:r w:rsidRPr="002C21B8">
        <w:t>.</w:t>
      </w:r>
    </w:p>
    <w:p w14:paraId="45EB92D5" w14:textId="77777777" w:rsidR="00C41DE2" w:rsidRPr="002C21B8" w:rsidRDefault="00C41DE2" w:rsidP="00374561">
      <w:pPr>
        <w:spacing w:before="240" w:after="0"/>
        <w:rPr>
          <w:b/>
          <w:bCs/>
          <w:sz w:val="24"/>
          <w:szCs w:val="24"/>
        </w:rPr>
      </w:pPr>
      <w:r w:rsidRPr="002C21B8">
        <w:rPr>
          <w:b/>
          <w:bCs/>
          <w:sz w:val="24"/>
          <w:szCs w:val="24"/>
        </w:rPr>
        <w:t>Data collection</w:t>
      </w:r>
    </w:p>
    <w:p w14:paraId="1E1CA7AB" w14:textId="7277533B" w:rsidR="007F2199" w:rsidRPr="002C21B8" w:rsidRDefault="00C41DE2" w:rsidP="00E63957">
      <w:r w:rsidRPr="002C21B8">
        <w:t xml:space="preserve">Invitations containing personalised survey links were emailed by MG to </w:t>
      </w:r>
      <w:r w:rsidR="005467C2" w:rsidRPr="002C21B8">
        <w:t>the ADPKD clinical leads at UK kidneys</w:t>
      </w:r>
      <w:r w:rsidRPr="002C21B8">
        <w:t>.</w:t>
      </w:r>
      <w:r w:rsidR="005467C2" w:rsidRPr="002C21B8">
        <w:t xml:space="preserve"> Participants were asked to forward the survey invitation to a colleague if they considered them more appropriate.</w:t>
      </w:r>
      <w:r w:rsidRPr="002C21B8">
        <w:t xml:space="preserve"> Two reminders were issued at two-week intervals</w:t>
      </w:r>
      <w:r w:rsidR="00F922B2" w:rsidRPr="002C21B8">
        <w:t>,</w:t>
      </w:r>
      <w:r w:rsidRPr="002C21B8">
        <w:t xml:space="preserve"> and a final invitation was sent to non-responders by ACMO to maximise participation. To minimise duplicate responses, manual checks were performed on returned data consistent with best practices for online surveys to prevent multiple site entry bias</w:t>
      </w:r>
      <w:r w:rsidR="000124D5" w:rsidRPr="002C21B8">
        <w:t xml:space="preserve"> </w:t>
      </w:r>
      <w:r w:rsidR="000124D5" w:rsidRPr="002C21B8">
        <w:fldChar w:fldCharType="begin"/>
      </w:r>
      <w:r w:rsidR="000124D5" w:rsidRPr="002C21B8">
        <w:instrText xml:space="preserve"> ADDIN EN.CITE &lt;EndNote&gt;&lt;Cite&gt;&lt;Author&gt;Eysenbach&lt;/Author&gt;&lt;Year&gt;2004&lt;/Year&gt;&lt;RecNum&gt;125554&lt;/RecNum&gt;&lt;DisplayText&gt;(Eysenbach, 2004)&lt;/DisplayText&gt;&lt;record&gt;&lt;rec-number&gt;125554&lt;/rec-number&gt;&lt;foreign-keys&gt;&lt;key app="EN" db-id="xpefzwa5hf9dt2ea9fax95x7xvxz90v09dtf" timestamp="1777820456"&gt;125554&lt;/key&gt;&lt;/foreign-keys&gt;&lt;ref-type name="Journal Article"&gt;17&lt;/ref-type&gt;&lt;contributors&gt;&lt;authors&gt;&lt;author&gt;Eysenbach, Gunther&lt;/author&gt;&lt;/authors&gt;&lt;/contributors&gt;&lt;titles&gt;&lt;title&gt;Improving the quality of Web surveys: the Checklist for Reporting Results of Internet E-Surveys (CHERRIES)&lt;/title&gt;&lt;secondary-title&gt;Journal of Medical Internet Research&lt;/secondary-title&gt;&lt;/titles&gt;&lt;periodical&gt;&lt;full-title&gt;Journal of medical Internet research&lt;/full-title&gt;&lt;/periodical&gt;&lt;pages&gt;e34&lt;/pages&gt;&lt;volume&gt;6&lt;/volume&gt;&lt;number&gt;3&lt;/number&gt;&lt;dates&gt;&lt;year&gt;2004&lt;/year&gt;&lt;/dates&gt;&lt;isbn&gt;1438-8871&lt;/isbn&gt;&lt;urls&gt;&lt;/urls&gt;&lt;/record&gt;&lt;/Cite&gt;&lt;/EndNote&gt;</w:instrText>
      </w:r>
      <w:r w:rsidR="000124D5" w:rsidRPr="002C21B8">
        <w:fldChar w:fldCharType="separate"/>
      </w:r>
      <w:r w:rsidR="000124D5" w:rsidRPr="002C21B8">
        <w:rPr>
          <w:noProof/>
        </w:rPr>
        <w:t>(Eysenbach, 2004)</w:t>
      </w:r>
      <w:r w:rsidR="000124D5" w:rsidRPr="002C21B8">
        <w:fldChar w:fldCharType="end"/>
      </w:r>
      <w:r w:rsidRPr="002C21B8">
        <w:t>.</w:t>
      </w:r>
      <w:r w:rsidR="00A341A8" w:rsidRPr="002C21B8">
        <w:t xml:space="preserve"> </w:t>
      </w:r>
      <w:r w:rsidR="004611BD" w:rsidRPr="002C21B8">
        <w:t>Detailed</w:t>
      </w:r>
      <w:r w:rsidR="00A341A8" w:rsidRPr="002C21B8">
        <w:t xml:space="preserve"> respondent characteristics were not collected</w:t>
      </w:r>
      <w:r w:rsidR="004611BD" w:rsidRPr="002C21B8">
        <w:t xml:space="preserve"> to minimise the risk of participant identification in the context of a rare disease and to maintain a focus on centre-level practice.</w:t>
      </w:r>
    </w:p>
    <w:p w14:paraId="5FB2395E" w14:textId="419F7A1E" w:rsidR="00C41DE2" w:rsidRPr="002C21B8" w:rsidRDefault="00C41DE2" w:rsidP="00374561">
      <w:pPr>
        <w:spacing w:before="240" w:after="0"/>
        <w:rPr>
          <w:b/>
          <w:bCs/>
          <w:sz w:val="24"/>
          <w:szCs w:val="24"/>
        </w:rPr>
      </w:pPr>
      <w:r w:rsidRPr="002C21B8">
        <w:rPr>
          <w:b/>
          <w:bCs/>
          <w:sz w:val="24"/>
          <w:szCs w:val="24"/>
        </w:rPr>
        <w:t>Data analysis</w:t>
      </w:r>
    </w:p>
    <w:p w14:paraId="6ACE9723" w14:textId="2F58BE0E" w:rsidR="00E14853" w:rsidRPr="002C21B8" w:rsidRDefault="00C41DE2" w:rsidP="00066D77">
      <w:r w:rsidRPr="002C21B8">
        <w:t xml:space="preserve">Descriptive statistics (frequencies and percentages) were used to characterise centre responses. All analyses were conducted in Python (Python Software Foundation, 2023, Version 3.14.2). Graphical representations of the </w:t>
      </w:r>
      <w:r w:rsidR="00227DA8" w:rsidRPr="002C21B8">
        <w:t>data w</w:t>
      </w:r>
      <w:r w:rsidR="00F922B2" w:rsidRPr="002C21B8">
        <w:t>ere</w:t>
      </w:r>
      <w:r w:rsidRPr="002C21B8">
        <w:t xml:space="preserve"> produced using </w:t>
      </w:r>
      <w:r w:rsidR="00AE4B8F" w:rsidRPr="002C21B8">
        <w:t>Microsoft Excel for Mac (Microsoft Corporation, 2019, Version 16.78.3)</w:t>
      </w:r>
      <w:r w:rsidRPr="002C21B8">
        <w:t xml:space="preserve"> and Python (Python Software Foundation, 2023, Version 3.14.2).</w:t>
      </w:r>
      <w:r w:rsidR="00BD76E0" w:rsidRPr="002C21B8">
        <w:t xml:space="preserve"> Free-text responses were analysed using </w:t>
      </w:r>
      <w:r w:rsidR="00652322" w:rsidRPr="002C21B8">
        <w:t>conventional (inductive)</w:t>
      </w:r>
      <w:r w:rsidR="00BD76E0" w:rsidRPr="002C21B8">
        <w:t xml:space="preserve"> content analysis</w:t>
      </w:r>
      <w:r w:rsidR="00C92974" w:rsidRPr="002C21B8">
        <w:t xml:space="preserve"> </w:t>
      </w:r>
      <w:r w:rsidR="00026A81" w:rsidRPr="002C21B8">
        <w:fldChar w:fldCharType="begin"/>
      </w:r>
      <w:r w:rsidR="00763983" w:rsidRPr="002C21B8">
        <w:instrText xml:space="preserve"> ADDIN EN.CITE &lt;EndNote&gt;&lt;Cite&gt;&lt;Author&gt;Hsieh&lt;/Author&gt;&lt;Year&gt;2005&lt;/Year&gt;&lt;RecNum&gt;125502&lt;/RecNum&gt;&lt;DisplayText&gt;(Hsieh and Shannon, 2005)&lt;/DisplayText&gt;&lt;record&gt;&lt;rec-number&gt;125502&lt;/rec-number&gt;&lt;foreign-keys&gt;&lt;key app="EN" db-id="xpefzwa5hf9dt2ea9fax95x7xvxz90v09dtf" timestamp="1777041640"&gt;125502&lt;/key&gt;&lt;/foreign-keys&gt;&lt;ref-type name="Journal Article"&gt;17&lt;/ref-type&gt;&lt;contributors&gt;&lt;authors&gt;&lt;author&gt;Hsieh, Hsiu-Fang&lt;/author&gt;&lt;author&gt;Shannon, Sarah E&lt;/author&gt;&lt;/authors&gt;&lt;/contributors&gt;&lt;titles&gt;&lt;title&gt;Three approaches to qualitative content analysis&lt;/title&gt;&lt;secondary-title&gt;Qualitative Health Research&lt;/secondary-title&gt;&lt;/titles&gt;&lt;periodical&gt;&lt;full-title&gt;Qualitative health research&lt;/full-title&gt;&lt;/periodical&gt;&lt;pages&gt;1277-1288&lt;/pages&gt;&lt;volume&gt;15&lt;/volume&gt;&lt;number&gt;9&lt;/number&gt;&lt;dates&gt;&lt;year&gt;2005&lt;/year&gt;&lt;/dates&gt;&lt;isbn&gt;1049-7323&lt;/isbn&gt;&lt;urls&gt;&lt;/urls&gt;&lt;/record&gt;&lt;/Cite&gt;&lt;/EndNote&gt;</w:instrText>
      </w:r>
      <w:r w:rsidR="00026A81" w:rsidRPr="002C21B8">
        <w:fldChar w:fldCharType="separate"/>
      </w:r>
      <w:r w:rsidR="00026A81" w:rsidRPr="002C21B8">
        <w:rPr>
          <w:noProof/>
        </w:rPr>
        <w:t>(Hsieh and Shannon, 2005)</w:t>
      </w:r>
      <w:r w:rsidR="00026A81" w:rsidRPr="002C21B8">
        <w:fldChar w:fldCharType="end"/>
      </w:r>
      <w:r w:rsidR="00BD76E0" w:rsidRPr="002C21B8">
        <w:t>.</w:t>
      </w:r>
    </w:p>
    <w:p w14:paraId="316DD01A" w14:textId="0572982D" w:rsidR="00C41DE2" w:rsidRPr="002C21B8" w:rsidRDefault="00C41DE2" w:rsidP="00374561">
      <w:pPr>
        <w:spacing w:before="240" w:after="0"/>
        <w:rPr>
          <w:b/>
          <w:bCs/>
          <w:sz w:val="24"/>
          <w:szCs w:val="24"/>
        </w:rPr>
      </w:pPr>
      <w:r w:rsidRPr="002C21B8">
        <w:rPr>
          <w:b/>
          <w:bCs/>
          <w:sz w:val="24"/>
          <w:szCs w:val="24"/>
        </w:rPr>
        <w:t>Ethic</w:t>
      </w:r>
      <w:r w:rsidR="00774194" w:rsidRPr="002C21B8">
        <w:rPr>
          <w:b/>
          <w:bCs/>
          <w:sz w:val="24"/>
          <w:szCs w:val="24"/>
        </w:rPr>
        <w:t>s</w:t>
      </w:r>
      <w:r w:rsidRPr="002C21B8">
        <w:rPr>
          <w:b/>
          <w:bCs/>
          <w:sz w:val="24"/>
          <w:szCs w:val="24"/>
        </w:rPr>
        <w:t xml:space="preserve"> and confidentiality</w:t>
      </w:r>
    </w:p>
    <w:p w14:paraId="5CD538F4" w14:textId="7A7FEF08" w:rsidR="00C41DE2" w:rsidRPr="002C21B8" w:rsidRDefault="00C41DE2" w:rsidP="003374F4">
      <w:r w:rsidRPr="002C21B8">
        <w:t>The study received ethical approval from the Dulwich Research Ethics Committee in March 2024 (REC reference 24/PR/0106). Given the necessity for linked centre-level data, fully anonymous responses were not feasible</w:t>
      </w:r>
      <w:r w:rsidR="00F922B2" w:rsidRPr="002C21B8">
        <w:t>,</w:t>
      </w:r>
      <w:r w:rsidRPr="002C21B8">
        <w:t xml:space="preserve"> and this was explained to potential participants in the </w:t>
      </w:r>
      <w:r w:rsidR="00C05A8B" w:rsidRPr="002C21B8">
        <w:t xml:space="preserve">participant </w:t>
      </w:r>
      <w:r w:rsidRPr="002C21B8">
        <w:t>information sheet, email invitation and survey opening page. It was recognised that this m</w:t>
      </w:r>
      <w:r w:rsidR="00C05A8B" w:rsidRPr="002C21B8">
        <w:t>ight</w:t>
      </w:r>
      <w:r w:rsidR="0007689E" w:rsidRPr="002C21B8">
        <w:t xml:space="preserve"> </w:t>
      </w:r>
      <w:r w:rsidRPr="002C21B8">
        <w:t xml:space="preserve">reduce the response rate for the survey. To safeguard confidentiality and limit potential identification, demographic </w:t>
      </w:r>
      <w:r w:rsidR="00227DA8" w:rsidRPr="002C21B8">
        <w:t>data was</w:t>
      </w:r>
      <w:r w:rsidRPr="002C21B8">
        <w:t xml:space="preserve"> restricted to the minimum (centre affiliation, professional role and centre lead status). Completion of the </w:t>
      </w:r>
      <w:r w:rsidR="00C05A8B" w:rsidRPr="002C21B8">
        <w:t>questionnaire</w:t>
      </w:r>
      <w:r w:rsidRPr="002C21B8">
        <w:t xml:space="preserve"> was </w:t>
      </w:r>
      <w:r w:rsidR="00A54994" w:rsidRPr="002C21B8">
        <w:t>taken as implied consent to participate</w:t>
      </w:r>
      <w:r w:rsidR="00342359" w:rsidRPr="002C21B8">
        <w:t>.</w:t>
      </w:r>
    </w:p>
    <w:p w14:paraId="7AF6DBBA" w14:textId="77777777" w:rsidR="00C41DE2" w:rsidRPr="002C21B8" w:rsidRDefault="00C41DE2" w:rsidP="00374561">
      <w:pPr>
        <w:spacing w:before="240" w:after="0"/>
        <w:rPr>
          <w:b/>
          <w:bCs/>
          <w:sz w:val="28"/>
          <w:szCs w:val="28"/>
        </w:rPr>
      </w:pPr>
      <w:r w:rsidRPr="002C21B8">
        <w:rPr>
          <w:b/>
          <w:bCs/>
          <w:sz w:val="28"/>
          <w:szCs w:val="28"/>
        </w:rPr>
        <w:t>Results</w:t>
      </w:r>
    </w:p>
    <w:p w14:paraId="6B586EC5" w14:textId="77777777" w:rsidR="00C41DE2" w:rsidRPr="002C21B8" w:rsidRDefault="00C41DE2" w:rsidP="00C64B2C">
      <w:pPr>
        <w:spacing w:after="0"/>
        <w:rPr>
          <w:b/>
          <w:bCs/>
          <w:sz w:val="24"/>
          <w:szCs w:val="24"/>
        </w:rPr>
      </w:pPr>
      <w:r w:rsidRPr="002C21B8">
        <w:rPr>
          <w:b/>
          <w:bCs/>
          <w:sz w:val="24"/>
          <w:szCs w:val="24"/>
        </w:rPr>
        <w:t>Survey response and completion</w:t>
      </w:r>
    </w:p>
    <w:p w14:paraId="4B961017" w14:textId="50322F7C" w:rsidR="001B725E" w:rsidRPr="002C21B8" w:rsidRDefault="00C41DE2" w:rsidP="003374F4">
      <w:r w:rsidRPr="002C21B8">
        <w:t>A total of 7</w:t>
      </w:r>
      <w:r w:rsidR="004B5DFE" w:rsidRPr="002C21B8">
        <w:t>2</w:t>
      </w:r>
      <w:r w:rsidRPr="002C21B8">
        <w:t xml:space="preserve"> UK kidney centres were invited to participate</w:t>
      </w:r>
      <w:r w:rsidR="00F766E3" w:rsidRPr="002C21B8">
        <w:t>,</w:t>
      </w:r>
      <w:r w:rsidRPr="002C21B8">
        <w:t xml:space="preserve"> with </w:t>
      </w:r>
      <w:r w:rsidR="004B5DFE" w:rsidRPr="002C21B8">
        <w:t>70.8</w:t>
      </w:r>
      <w:r w:rsidRPr="002C21B8">
        <w:t>% (51/7</w:t>
      </w:r>
      <w:r w:rsidR="004B5DFE" w:rsidRPr="002C21B8">
        <w:t>2</w:t>
      </w:r>
      <w:r w:rsidRPr="002C21B8">
        <w:t xml:space="preserve">) accessing the survey and </w:t>
      </w:r>
      <w:r w:rsidR="004B5DFE" w:rsidRPr="002C21B8">
        <w:t>61</w:t>
      </w:r>
      <w:r w:rsidR="00002CAD" w:rsidRPr="002C21B8">
        <w:t>.1</w:t>
      </w:r>
      <w:r w:rsidRPr="002C21B8">
        <w:t>% (44/7</w:t>
      </w:r>
      <w:r w:rsidR="004B5DFE" w:rsidRPr="002C21B8">
        <w:t>2</w:t>
      </w:r>
      <w:r w:rsidRPr="002C21B8">
        <w:t xml:space="preserve">) consenting </w:t>
      </w:r>
      <w:r w:rsidR="007F2199" w:rsidRPr="002C21B8">
        <w:t xml:space="preserve">to </w:t>
      </w:r>
      <w:r w:rsidRPr="002C21B8">
        <w:t xml:space="preserve">and </w:t>
      </w:r>
      <w:r w:rsidR="007F2199" w:rsidRPr="002C21B8">
        <w:t>starting</w:t>
      </w:r>
      <w:r w:rsidRPr="002C21B8">
        <w:t xml:space="preserve"> the survey. Of the</w:t>
      </w:r>
      <w:r w:rsidR="007F2199" w:rsidRPr="002C21B8">
        <w:t>se,</w:t>
      </w:r>
      <w:r w:rsidRPr="002C21B8">
        <w:t xml:space="preserve"> 8</w:t>
      </w:r>
      <w:r w:rsidR="00002CAD" w:rsidRPr="002C21B8">
        <w:t>8.6</w:t>
      </w:r>
      <w:r w:rsidRPr="002C21B8">
        <w:t>% (39/44) completed all items while 11</w:t>
      </w:r>
      <w:r w:rsidR="00002CAD" w:rsidRPr="002C21B8">
        <w:t>.4</w:t>
      </w:r>
      <w:r w:rsidRPr="002C21B8">
        <w:t xml:space="preserve">% (5/44) stopped before finishing. </w:t>
      </w:r>
      <w:r w:rsidR="001B725E" w:rsidRPr="002C21B8">
        <w:fldChar w:fldCharType="begin"/>
      </w:r>
      <w:r w:rsidR="001B725E" w:rsidRPr="002C21B8">
        <w:instrText xml:space="preserve"> REF _Ref228372331 \h </w:instrText>
      </w:r>
      <w:r w:rsidR="00B850AB" w:rsidRPr="002C21B8">
        <w:instrText xml:space="preserve"> \* MERGEFORMAT </w:instrText>
      </w:r>
      <w:r w:rsidR="001B725E" w:rsidRPr="002C21B8">
        <w:fldChar w:fldCharType="separate"/>
      </w:r>
      <w:r w:rsidR="00DB3709" w:rsidRPr="002C21B8">
        <w:t xml:space="preserve">Figure </w:t>
      </w:r>
      <w:r w:rsidR="00DB3709">
        <w:rPr>
          <w:noProof/>
        </w:rPr>
        <w:t>16</w:t>
      </w:r>
      <w:r w:rsidR="001B725E" w:rsidRPr="002C21B8">
        <w:fldChar w:fldCharType="end"/>
      </w:r>
      <w:r w:rsidR="00D47561" w:rsidRPr="002C21B8">
        <w:t xml:space="preserve"> is a flow diagram of survey </w:t>
      </w:r>
      <w:r w:rsidR="00DE0961" w:rsidRPr="002C21B8">
        <w:t>participants</w:t>
      </w:r>
      <w:r w:rsidR="001B725E" w:rsidRPr="002C21B8">
        <w:t>.</w:t>
      </w:r>
    </w:p>
    <w:p w14:paraId="3A9E73AD" w14:textId="389A9436" w:rsidR="00C41DE2" w:rsidRPr="002C21B8" w:rsidRDefault="001B725E" w:rsidP="00DB3A50">
      <w:pPr>
        <w:pStyle w:val="Caption"/>
        <w:keepNext w:val="0"/>
        <w:rPr>
          <w:noProof w:val="0"/>
          <w:sz w:val="22"/>
          <w:szCs w:val="22"/>
        </w:rPr>
      </w:pPr>
      <w:bookmarkStart w:id="258" w:name="_Ref228372331"/>
      <w:bookmarkStart w:id="259" w:name="_Toc236991774"/>
      <w:r w:rsidRPr="002C21B8">
        <w:t xml:space="preserve">Figure </w:t>
      </w:r>
      <w:r w:rsidRPr="002C21B8">
        <w:fldChar w:fldCharType="begin"/>
      </w:r>
      <w:r w:rsidRPr="002C21B8">
        <w:instrText xml:space="preserve"> SEQ Figure \* ARABIC </w:instrText>
      </w:r>
      <w:r w:rsidRPr="002C21B8">
        <w:fldChar w:fldCharType="separate"/>
      </w:r>
      <w:r w:rsidR="00DB3709">
        <w:t>16</w:t>
      </w:r>
      <w:r w:rsidRPr="002C21B8">
        <w:fldChar w:fldCharType="end"/>
      </w:r>
      <w:bookmarkEnd w:id="258"/>
      <w:r w:rsidRPr="002C21B8">
        <w:t xml:space="preserve">. </w:t>
      </w:r>
      <w:r w:rsidRPr="002C21B8">
        <w:rPr>
          <w:noProof w:val="0"/>
        </w:rPr>
        <w:t>Flow diagram of survey participants and drop-out rates at each stage/section</w:t>
      </w:r>
      <w:bookmarkEnd w:id="259"/>
    </w:p>
    <w:p w14:paraId="615CF735" w14:textId="1471CE11" w:rsidR="001B725E" w:rsidRPr="002C21B8" w:rsidRDefault="00DB3A50" w:rsidP="00DB3A50">
      <w:pPr>
        <w:spacing w:after="0" w:line="240" w:lineRule="auto"/>
        <w:jc w:val="left"/>
        <w:rPr>
          <w:b/>
          <w:bCs/>
          <w:sz w:val="24"/>
          <w:szCs w:val="24"/>
        </w:rPr>
      </w:pPr>
      <w:r w:rsidRPr="002C21B8">
        <w:rPr>
          <w:b/>
          <w:bCs/>
          <w:noProof/>
          <w:sz w:val="24"/>
          <w:szCs w:val="24"/>
        </w:rPr>
        <w:drawing>
          <wp:inline distT="0" distB="0" distL="0" distR="0" wp14:anchorId="1BF48B55" wp14:editId="1E58F656">
            <wp:extent cx="3048833" cy="2897505"/>
            <wp:effectExtent l="0" t="0" r="0" b="0"/>
            <wp:docPr id="213477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78170" name=""/>
                    <pic:cNvPicPr/>
                  </pic:nvPicPr>
                  <pic:blipFill>
                    <a:blip r:embed="rId63"/>
                    <a:stretch>
                      <a:fillRect/>
                    </a:stretch>
                  </pic:blipFill>
                  <pic:spPr>
                    <a:xfrm>
                      <a:off x="0" y="0"/>
                      <a:ext cx="3067190" cy="2914951"/>
                    </a:xfrm>
                    <a:prstGeom prst="rect">
                      <a:avLst/>
                    </a:prstGeom>
                  </pic:spPr>
                </pic:pic>
              </a:graphicData>
            </a:graphic>
          </wp:inline>
        </w:drawing>
      </w:r>
    </w:p>
    <w:p w14:paraId="6BC89447" w14:textId="6D4BC811" w:rsidR="00C41DE2" w:rsidRPr="002C21B8" w:rsidRDefault="00A341A8" w:rsidP="00374561">
      <w:pPr>
        <w:spacing w:before="240" w:after="0"/>
        <w:rPr>
          <w:b/>
          <w:bCs/>
          <w:sz w:val="24"/>
          <w:szCs w:val="24"/>
        </w:rPr>
      </w:pPr>
      <w:r w:rsidRPr="002C21B8">
        <w:rPr>
          <w:b/>
          <w:bCs/>
          <w:sz w:val="24"/>
          <w:szCs w:val="24"/>
        </w:rPr>
        <w:t>Characteristic</w:t>
      </w:r>
      <w:r w:rsidR="00C41DE2" w:rsidRPr="002C21B8">
        <w:rPr>
          <w:b/>
          <w:bCs/>
          <w:sz w:val="24"/>
          <w:szCs w:val="24"/>
        </w:rPr>
        <w:t>s of respondents</w:t>
      </w:r>
    </w:p>
    <w:p w14:paraId="08ED5F3B" w14:textId="1BE3822D" w:rsidR="00C41DE2" w:rsidRPr="002C21B8" w:rsidRDefault="00C41DE2" w:rsidP="003374F4">
      <w:r w:rsidRPr="002C21B8">
        <w:t xml:space="preserve">The 44 respondents included centres </w:t>
      </w:r>
      <w:r w:rsidR="00A341A8" w:rsidRPr="002C21B8">
        <w:t>across all four UK nations (England n</w:t>
      </w:r>
      <w:r w:rsidR="00357B27" w:rsidRPr="002C21B8">
        <w:t xml:space="preserve"> </w:t>
      </w:r>
      <w:r w:rsidR="00A341A8" w:rsidRPr="002C21B8">
        <w:t>=</w:t>
      </w:r>
      <w:r w:rsidR="00357B27" w:rsidRPr="002C21B8">
        <w:t xml:space="preserve"> </w:t>
      </w:r>
      <w:r w:rsidR="00A341A8" w:rsidRPr="002C21B8">
        <w:t>36, Northern Ireland n</w:t>
      </w:r>
      <w:r w:rsidR="00357B27" w:rsidRPr="002C21B8">
        <w:t xml:space="preserve"> </w:t>
      </w:r>
      <w:r w:rsidR="00A341A8" w:rsidRPr="002C21B8">
        <w:t>=</w:t>
      </w:r>
      <w:r w:rsidR="00357B27" w:rsidRPr="002C21B8">
        <w:t xml:space="preserve"> </w:t>
      </w:r>
      <w:r w:rsidR="00A341A8" w:rsidRPr="002C21B8">
        <w:t>3, Scotland n =</w:t>
      </w:r>
      <w:r w:rsidR="00357B27" w:rsidRPr="002C21B8">
        <w:t xml:space="preserve"> </w:t>
      </w:r>
      <w:r w:rsidR="00A341A8" w:rsidRPr="002C21B8">
        <w:t>4, Wales n</w:t>
      </w:r>
      <w:r w:rsidR="00357B27" w:rsidRPr="002C21B8">
        <w:t xml:space="preserve"> </w:t>
      </w:r>
      <w:r w:rsidR="00A341A8" w:rsidRPr="002C21B8">
        <w:t>=</w:t>
      </w:r>
      <w:r w:rsidR="00357B27" w:rsidRPr="002C21B8">
        <w:t xml:space="preserve"> </w:t>
      </w:r>
      <w:r w:rsidRPr="002C21B8">
        <w:t>1</w:t>
      </w:r>
      <w:r w:rsidR="00A341A8" w:rsidRPr="002C21B8">
        <w:t>)</w:t>
      </w:r>
      <w:r w:rsidRPr="002C21B8">
        <w:t>. Most respondents were consultant nephrologists (43/44, 9</w:t>
      </w:r>
      <w:r w:rsidR="00002CAD" w:rsidRPr="002C21B8">
        <w:t>7.7</w:t>
      </w:r>
      <w:r w:rsidRPr="002C21B8">
        <w:t xml:space="preserve">%), with </w:t>
      </w:r>
      <w:r w:rsidR="00F766E3" w:rsidRPr="002C21B8">
        <w:t xml:space="preserve">the remaining </w:t>
      </w:r>
      <w:r w:rsidRPr="002C21B8">
        <w:t xml:space="preserve">respondent </w:t>
      </w:r>
      <w:r w:rsidR="00F766E3" w:rsidRPr="002C21B8">
        <w:t>b</w:t>
      </w:r>
      <w:r w:rsidRPr="002C21B8">
        <w:t>eing a specialist nurse.</w:t>
      </w:r>
    </w:p>
    <w:p w14:paraId="156B2271" w14:textId="77777777" w:rsidR="00C41DE2" w:rsidRPr="002C21B8" w:rsidRDefault="00C41DE2" w:rsidP="00374561">
      <w:pPr>
        <w:spacing w:before="240" w:after="0"/>
        <w:rPr>
          <w:b/>
          <w:bCs/>
          <w:sz w:val="24"/>
          <w:szCs w:val="24"/>
        </w:rPr>
      </w:pPr>
      <w:r w:rsidRPr="002C21B8">
        <w:rPr>
          <w:b/>
          <w:bCs/>
          <w:sz w:val="24"/>
          <w:szCs w:val="24"/>
        </w:rPr>
        <w:t>ADPKD population and tolvaptan prescribing</w:t>
      </w:r>
    </w:p>
    <w:p w14:paraId="452A06DE" w14:textId="46A325E6" w:rsidR="007D5462" w:rsidRPr="002C21B8" w:rsidRDefault="00F6218D" w:rsidP="003374F4">
      <w:r w:rsidRPr="002C21B8">
        <w:t xml:space="preserve">Reported </w:t>
      </w:r>
      <w:r w:rsidR="00C41DE2" w:rsidRPr="002C21B8">
        <w:t>ADPKD caseloads varied widely across kidney centres</w:t>
      </w:r>
      <w:r w:rsidR="00AB2BA7" w:rsidRPr="002C21B8">
        <w:t>,</w:t>
      </w:r>
      <w:r w:rsidR="00C41DE2" w:rsidRPr="002C21B8">
        <w:t xml:space="preserve"> with a relatively even distribution across small, medium and large services </w:t>
      </w:r>
      <w:r w:rsidR="00AB2BA7" w:rsidRPr="002C21B8">
        <w:t>(</w:t>
      </w:r>
      <w:r w:rsidR="00C41DE2" w:rsidRPr="002C21B8">
        <w:fldChar w:fldCharType="begin"/>
      </w:r>
      <w:r w:rsidR="00C41DE2" w:rsidRPr="002C21B8">
        <w:instrText xml:space="preserve"> REF _Ref219210539 \h  \* MERGEFORMAT </w:instrText>
      </w:r>
      <w:r w:rsidR="00C41DE2" w:rsidRPr="002C21B8">
        <w:fldChar w:fldCharType="separate"/>
      </w:r>
      <w:r w:rsidR="00DB3709" w:rsidRPr="002C21B8">
        <w:t xml:space="preserve">Table </w:t>
      </w:r>
      <w:r w:rsidR="00DB3709">
        <w:t>21</w:t>
      </w:r>
      <w:r w:rsidR="00C41DE2" w:rsidRPr="002C21B8">
        <w:fldChar w:fldCharType="end"/>
      </w:r>
      <w:r w:rsidR="00AB2BA7" w:rsidRPr="002C21B8">
        <w:t>)</w:t>
      </w:r>
      <w:r w:rsidR="00C41DE2" w:rsidRPr="002C21B8">
        <w:t xml:space="preserve">. Three centres reported managing a very large ADPKD caseload. The size of </w:t>
      </w:r>
      <w:r w:rsidR="00650F7D" w:rsidRPr="002C21B8">
        <w:t>the current</w:t>
      </w:r>
      <w:r w:rsidR="00C41DE2" w:rsidRPr="002C21B8">
        <w:t xml:space="preserve"> tolvaptan cohort varied across kidney centres. Small cohorts were uncommon with 3/41 (7</w:t>
      </w:r>
      <w:r w:rsidR="00002CAD" w:rsidRPr="002C21B8">
        <w:t>.3</w:t>
      </w:r>
      <w:r w:rsidR="00C41DE2" w:rsidRPr="002C21B8">
        <w:t>%) of centres managing fewer than 10 patients. Most centres reported moderate size cohorts with 10/41 (24</w:t>
      </w:r>
      <w:r w:rsidR="00002CAD" w:rsidRPr="002C21B8">
        <w:t>.4</w:t>
      </w:r>
      <w:r w:rsidR="00C41DE2" w:rsidRPr="002C21B8">
        <w:t>%) managing 10</w:t>
      </w:r>
      <w:r w:rsidR="00A51D18" w:rsidRPr="002C21B8">
        <w:t>–2</w:t>
      </w:r>
      <w:r w:rsidR="00C41DE2" w:rsidRPr="002C21B8">
        <w:t>0 patients, 12/41 (29</w:t>
      </w:r>
      <w:r w:rsidR="00002CAD" w:rsidRPr="002C21B8">
        <w:t>.3</w:t>
      </w:r>
      <w:r w:rsidR="00C41DE2" w:rsidRPr="002C21B8">
        <w:t>%) managing 21</w:t>
      </w:r>
      <w:r w:rsidR="00A51D18" w:rsidRPr="002C21B8">
        <w:t>–</w:t>
      </w:r>
      <w:r w:rsidR="00C41DE2" w:rsidRPr="002C21B8">
        <w:t>40 patients, and 7/41 (17</w:t>
      </w:r>
      <w:r w:rsidR="00002CAD" w:rsidRPr="002C21B8">
        <w:t>.1</w:t>
      </w:r>
      <w:r w:rsidR="00C41DE2" w:rsidRPr="002C21B8">
        <w:t>%) managing 41</w:t>
      </w:r>
      <w:r w:rsidR="002B6D9F">
        <w:t>–</w:t>
      </w:r>
      <w:r w:rsidR="00C41DE2" w:rsidRPr="002C21B8">
        <w:t>60</w:t>
      </w:r>
      <w:r w:rsidR="002B6D9F">
        <w:t xml:space="preserve"> </w:t>
      </w:r>
      <w:r w:rsidR="00C41DE2" w:rsidRPr="002C21B8">
        <w:t xml:space="preserve"> patients. Larger cohorts (&gt;60 patients) were reported by 9/41 (2</w:t>
      </w:r>
      <w:r w:rsidR="00002CAD" w:rsidRPr="002C21B8">
        <w:t>2.0</w:t>
      </w:r>
      <w:r w:rsidR="00C41DE2" w:rsidRPr="002C21B8">
        <w:t>%) of centres. 25/41 (61</w:t>
      </w:r>
      <w:r w:rsidR="00AB2037" w:rsidRPr="002C21B8">
        <w:t>.0</w:t>
      </w:r>
      <w:r w:rsidR="00C41DE2" w:rsidRPr="002C21B8">
        <w:t>%) of centres reported a small number of patients (0</w:t>
      </w:r>
      <w:r w:rsidR="002B6D9F">
        <w:t>–</w:t>
      </w:r>
      <w:r w:rsidR="00C41DE2" w:rsidRPr="002C21B8">
        <w:t xml:space="preserve">1) being initiated on tolvaptan per month. Reported patient uptake </w:t>
      </w:r>
      <w:r w:rsidR="005541BA" w:rsidRPr="002C21B8">
        <w:t xml:space="preserve">varied across centres but </w:t>
      </w:r>
      <w:r w:rsidR="00C41DE2" w:rsidRPr="002C21B8">
        <w:t xml:space="preserve">was </w:t>
      </w:r>
      <w:r w:rsidRPr="002C21B8">
        <w:t>mostly</w:t>
      </w:r>
      <w:r w:rsidR="00C41DE2" w:rsidRPr="002C21B8">
        <w:t xml:space="preserve"> high</w:t>
      </w:r>
      <w:r w:rsidR="00AB2BA7" w:rsidRPr="002C21B8">
        <w:t>,</w:t>
      </w:r>
      <w:r w:rsidR="00C41DE2" w:rsidRPr="002C21B8">
        <w:t xml:space="preserve"> with 33/41 (80</w:t>
      </w:r>
      <w:r w:rsidR="00AB2037" w:rsidRPr="002C21B8">
        <w:t>.5</w:t>
      </w:r>
      <w:r w:rsidR="00C41DE2" w:rsidRPr="002C21B8">
        <w:t xml:space="preserve">%) </w:t>
      </w:r>
      <w:r w:rsidR="009A6FFE" w:rsidRPr="002C21B8">
        <w:t xml:space="preserve">of centres </w:t>
      </w:r>
      <w:r w:rsidR="00C41DE2" w:rsidRPr="002C21B8">
        <w:t xml:space="preserve">reporting uptake above 60%. </w:t>
      </w:r>
      <w:r w:rsidR="007D5462" w:rsidRPr="002C21B8">
        <w:t xml:space="preserve">These statistics </w:t>
      </w:r>
      <w:r w:rsidR="001B6629" w:rsidRPr="002C21B8">
        <w:t xml:space="preserve">in relation to the approximate catchment area of the kidney centre </w:t>
      </w:r>
      <w:r w:rsidR="007D5462" w:rsidRPr="002C21B8">
        <w:t xml:space="preserve">are presented </w:t>
      </w:r>
      <w:r w:rsidR="00E1718A" w:rsidRPr="002C21B8">
        <w:t xml:space="preserve">as a </w:t>
      </w:r>
      <w:r w:rsidRPr="002C21B8">
        <w:t>heatmap</w:t>
      </w:r>
      <w:r w:rsidR="00E1718A" w:rsidRPr="002C21B8">
        <w:t xml:space="preserve"> </w:t>
      </w:r>
      <w:r w:rsidR="007D5462" w:rsidRPr="002C21B8">
        <w:t xml:space="preserve">in </w:t>
      </w:r>
      <w:hyperlink w:anchor="_Survey_responses_by_1" w:history="1">
        <w:r w:rsidR="00C83686" w:rsidRPr="002C21B8">
          <w:rPr>
            <w:rStyle w:val="Hyperlink"/>
          </w:rPr>
          <w:t>Appendix 10</w:t>
        </w:r>
      </w:hyperlink>
      <w:r w:rsidR="007D5462" w:rsidRPr="002C21B8">
        <w:t xml:space="preserve"> </w:t>
      </w:r>
      <w:r w:rsidR="005B18C0" w:rsidRPr="002C21B8">
        <w:fldChar w:fldCharType="begin"/>
      </w:r>
      <w:r w:rsidR="00331F66" w:rsidRPr="002C21B8">
        <w:instrText xml:space="preserve"> ADDIN EN.CITE &lt;EndNote&gt;&lt;Cite&gt;&lt;Author&gt;Office for Health Improvement and Disparities&lt;/Author&gt;&lt;Year&gt;2022&lt;/Year&gt;&lt;RecNum&gt;125288&lt;/RecNum&gt;&lt;DisplayText&gt;(Office for Health Improvement and Disparities, 2022)&lt;/DisplayText&gt;&lt;record&gt;&lt;rec-number&gt;125288&lt;/rec-number&gt;&lt;foreign-keys&gt;&lt;key app="EN" db-id="xpefzwa5hf9dt2ea9fax95x7xvxz90v09dtf" timestamp="1774788352"&gt;125288&lt;/key&gt;&lt;/foreign-keys&gt;&lt;ref-type name="Web Page"&gt;12&lt;/ref-type&gt;&lt;contributors&gt;&lt;authors&gt;&lt;author&gt;Office for Health Improvement and Disparities,&lt;/author&gt;&lt;/authors&gt;&lt;/contributors&gt;&lt;titles&gt;&lt;title&gt;NHS Acute (Hospital) Trust Catchment Populations&lt;/title&gt;&lt;/titles&gt;&lt;number&gt;29/03/2026)&lt;/number&gt;&lt;dates&gt;&lt;year&gt;2022&lt;/year&gt;&lt;/dates&gt;&lt;urls&gt;&lt;related-urls&gt;&lt;url&gt;https://app.powerbi.com/view?r=eyJrIjoiODZmNGQ0YzItZDAwZi00MzFiLWE4NzAtMzVmNTUwMThmMTVlIiwidCI6ImVlNGUxNDk5LTRhMzUtNGIyZS1hZDQ3LTVmM2NmOWRlODY2NiIsImMiOjh9&lt;/url&gt;&lt;/related-urls&gt;&lt;/urls&gt;&lt;/record&gt;&lt;/Cite&gt;&lt;/EndNote&gt;</w:instrText>
      </w:r>
      <w:r w:rsidR="005B18C0" w:rsidRPr="002C21B8">
        <w:fldChar w:fldCharType="separate"/>
      </w:r>
      <w:r w:rsidR="005B18C0" w:rsidRPr="002C21B8">
        <w:rPr>
          <w:noProof/>
        </w:rPr>
        <w:t>(Office for Health Improvement and Disparities, 2022)</w:t>
      </w:r>
      <w:r w:rsidR="005B18C0" w:rsidRPr="002C21B8">
        <w:fldChar w:fldCharType="end"/>
      </w:r>
      <w:r w:rsidR="007D5462" w:rsidRPr="002C21B8">
        <w:t>.</w:t>
      </w:r>
    </w:p>
    <w:p w14:paraId="4A1511E1" w14:textId="32FC7ADB" w:rsidR="001B725E" w:rsidRPr="002C21B8" w:rsidRDefault="00C41DE2" w:rsidP="003374F4">
      <w:r w:rsidRPr="002C21B8">
        <w:t>Only one centre reported that there was a limit to the number of patients that could be initiated on tolvaptan at their centre. Just over half of centres, 19/37 (51</w:t>
      </w:r>
      <w:r w:rsidR="00AB2037" w:rsidRPr="002C21B8">
        <w:t>.4</w:t>
      </w:r>
      <w:r w:rsidRPr="002C21B8">
        <w:t xml:space="preserve">%), were involved in the clinical trials that led to the approval </w:t>
      </w:r>
      <w:r w:rsidR="00C52840" w:rsidRPr="002C21B8">
        <w:t>of tolvaptan</w:t>
      </w:r>
      <w:r w:rsidRPr="002C21B8">
        <w:t>. 27/41 (6</w:t>
      </w:r>
      <w:r w:rsidR="00AB2037" w:rsidRPr="002C21B8">
        <w:t>5.9</w:t>
      </w:r>
      <w:r w:rsidRPr="002C21B8">
        <w:t>%) of centres reported conducting local audits or service evaluations for tolvaptan prescribing in ADPKD. Respondents’ views on the benefits of tolvaptan for people with ADPK</w:t>
      </w:r>
      <w:r w:rsidR="007D5462" w:rsidRPr="002C21B8">
        <w:t>D</w:t>
      </w:r>
      <w:r w:rsidRPr="002C21B8">
        <w:t xml:space="preserve"> were </w:t>
      </w:r>
      <w:r w:rsidR="001449EF" w:rsidRPr="002C21B8">
        <w:t xml:space="preserve">mostly </w:t>
      </w:r>
      <w:r w:rsidRPr="002C21B8">
        <w:t>positive. Of 32 responses, 12/32 (3</w:t>
      </w:r>
      <w:r w:rsidR="00AB2037" w:rsidRPr="002C21B8">
        <w:t>7.5</w:t>
      </w:r>
      <w:r w:rsidRPr="002C21B8">
        <w:t>%) indicated a substantial benefit, 16/32 (50</w:t>
      </w:r>
      <w:r w:rsidR="00AB2037" w:rsidRPr="002C21B8">
        <w:t>.0</w:t>
      </w:r>
      <w:r w:rsidRPr="002C21B8">
        <w:t>%) moderate benefit, 3/32 (9</w:t>
      </w:r>
      <w:r w:rsidR="00AB2037" w:rsidRPr="002C21B8">
        <w:t>.4</w:t>
      </w:r>
      <w:r w:rsidRPr="002C21B8">
        <w:t>%) limited benefit and 1/32 (3</w:t>
      </w:r>
      <w:r w:rsidR="00AB2037" w:rsidRPr="002C21B8">
        <w:t>.1</w:t>
      </w:r>
      <w:r w:rsidRPr="002C21B8">
        <w:t>%) no benefit at all.</w:t>
      </w:r>
    </w:p>
    <w:p w14:paraId="1B6A3201" w14:textId="77777777" w:rsidR="001B725E" w:rsidRPr="002C21B8" w:rsidRDefault="001B725E">
      <w:pPr>
        <w:spacing w:after="0" w:line="240" w:lineRule="auto"/>
        <w:jc w:val="left"/>
      </w:pPr>
      <w:r w:rsidRPr="002C21B8">
        <w:br w:type="page"/>
      </w:r>
    </w:p>
    <w:p w14:paraId="255BD3DC" w14:textId="1C15E129" w:rsidR="00C41DE2" w:rsidRPr="002C21B8" w:rsidRDefault="00C41DE2" w:rsidP="005E5719">
      <w:pPr>
        <w:pStyle w:val="Caption"/>
        <w:keepNext w:val="0"/>
        <w:rPr>
          <w:noProof w:val="0"/>
        </w:rPr>
      </w:pPr>
      <w:bookmarkStart w:id="260" w:name="_Ref219210539"/>
      <w:bookmarkStart w:id="261" w:name="_Toc236991757"/>
      <w:r w:rsidRPr="002C21B8">
        <w:rPr>
          <w:noProof w:val="0"/>
        </w:rPr>
        <w:t xml:space="preserve">Table </w:t>
      </w:r>
      <w:r w:rsidRPr="002C21B8">
        <w:rPr>
          <w:noProof w:val="0"/>
        </w:rPr>
        <w:fldChar w:fldCharType="begin"/>
      </w:r>
      <w:r w:rsidRPr="002C21B8">
        <w:rPr>
          <w:noProof w:val="0"/>
        </w:rPr>
        <w:instrText xml:space="preserve"> SEQ Table \* ARABIC </w:instrText>
      </w:r>
      <w:r w:rsidRPr="002C21B8">
        <w:rPr>
          <w:noProof w:val="0"/>
        </w:rPr>
        <w:fldChar w:fldCharType="separate"/>
      </w:r>
      <w:r w:rsidR="00DB3709">
        <w:t>21</w:t>
      </w:r>
      <w:r w:rsidRPr="002C21B8">
        <w:rPr>
          <w:noProof w:val="0"/>
        </w:rPr>
        <w:fldChar w:fldCharType="end"/>
      </w:r>
      <w:bookmarkEnd w:id="260"/>
      <w:r w:rsidRPr="002C21B8">
        <w:rPr>
          <w:noProof w:val="0"/>
        </w:rPr>
        <w:t xml:space="preserve">. </w:t>
      </w:r>
      <w:r w:rsidR="001F4C74" w:rsidRPr="002C21B8">
        <w:rPr>
          <w:noProof w:val="0"/>
        </w:rPr>
        <w:t>Respondent-reported estimates of service characteristics across kidney centres</w:t>
      </w:r>
      <w:bookmarkEnd w:id="261"/>
    </w:p>
    <w:tbl>
      <w:tblPr>
        <w:tblStyle w:val="TableGrid"/>
        <w:tblW w:w="6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3"/>
        <w:gridCol w:w="2926"/>
      </w:tblGrid>
      <w:tr w:rsidR="00C41DE2" w:rsidRPr="002C21B8" w14:paraId="6A808E13" w14:textId="77777777" w:rsidTr="00FB6E8D">
        <w:trPr>
          <w:trHeight w:val="57"/>
        </w:trPr>
        <w:tc>
          <w:tcPr>
            <w:tcW w:w="3453" w:type="dxa"/>
            <w:tcBorders>
              <w:top w:val="single" w:sz="12" w:space="0" w:color="auto"/>
              <w:bottom w:val="single" w:sz="4" w:space="0" w:color="auto"/>
            </w:tcBorders>
          </w:tcPr>
          <w:p w14:paraId="4EDB60B5" w14:textId="77777777" w:rsidR="00C41DE2" w:rsidRPr="002C21B8" w:rsidRDefault="00C41DE2" w:rsidP="005E5719">
            <w:pPr>
              <w:spacing w:after="120" w:line="240" w:lineRule="auto"/>
              <w:rPr>
                <w:b/>
                <w:bCs/>
                <w:sz w:val="20"/>
                <w:szCs w:val="20"/>
              </w:rPr>
            </w:pPr>
            <w:r w:rsidRPr="002C21B8">
              <w:rPr>
                <w:b/>
                <w:bCs/>
                <w:sz w:val="20"/>
                <w:szCs w:val="20"/>
              </w:rPr>
              <w:t>Characteristic</w:t>
            </w:r>
          </w:p>
        </w:tc>
        <w:tc>
          <w:tcPr>
            <w:tcW w:w="2926" w:type="dxa"/>
            <w:tcBorders>
              <w:top w:val="single" w:sz="12" w:space="0" w:color="auto"/>
              <w:bottom w:val="single" w:sz="4" w:space="0" w:color="auto"/>
            </w:tcBorders>
          </w:tcPr>
          <w:p w14:paraId="5119EC06" w14:textId="77777777" w:rsidR="00C41DE2" w:rsidRPr="002C21B8" w:rsidRDefault="00C41DE2" w:rsidP="005E5719">
            <w:pPr>
              <w:spacing w:after="120" w:line="240" w:lineRule="auto"/>
              <w:rPr>
                <w:b/>
                <w:bCs/>
                <w:sz w:val="20"/>
                <w:szCs w:val="20"/>
              </w:rPr>
            </w:pPr>
            <w:r w:rsidRPr="002C21B8">
              <w:rPr>
                <w:b/>
                <w:bCs/>
                <w:sz w:val="20"/>
                <w:szCs w:val="20"/>
              </w:rPr>
              <w:t>Kidney centres (%)</w:t>
            </w:r>
          </w:p>
        </w:tc>
      </w:tr>
      <w:tr w:rsidR="00C41DE2" w:rsidRPr="002C21B8" w14:paraId="414A4D73" w14:textId="77777777" w:rsidTr="00FB6E8D">
        <w:trPr>
          <w:trHeight w:val="57"/>
        </w:trPr>
        <w:tc>
          <w:tcPr>
            <w:tcW w:w="6379" w:type="dxa"/>
            <w:gridSpan w:val="2"/>
            <w:tcBorders>
              <w:top w:val="single" w:sz="4" w:space="0" w:color="auto"/>
            </w:tcBorders>
          </w:tcPr>
          <w:p w14:paraId="60D75E52" w14:textId="4C5FECB0" w:rsidR="00C41DE2" w:rsidRPr="002C21B8" w:rsidRDefault="00FB6E8D" w:rsidP="005E5719">
            <w:pPr>
              <w:spacing w:after="120" w:line="240" w:lineRule="auto"/>
              <w:rPr>
                <w:b/>
                <w:bCs/>
                <w:sz w:val="20"/>
                <w:szCs w:val="20"/>
              </w:rPr>
            </w:pPr>
            <w:r w:rsidRPr="002C21B8">
              <w:rPr>
                <w:b/>
                <w:bCs/>
                <w:sz w:val="20"/>
                <w:szCs w:val="20"/>
              </w:rPr>
              <w:t xml:space="preserve">Number of patients in </w:t>
            </w:r>
            <w:r w:rsidR="00C41DE2" w:rsidRPr="002C21B8">
              <w:rPr>
                <w:b/>
                <w:bCs/>
                <w:sz w:val="20"/>
                <w:szCs w:val="20"/>
              </w:rPr>
              <w:t>ADPKD caseload, excluding dialysis and transplant</w:t>
            </w:r>
          </w:p>
        </w:tc>
      </w:tr>
      <w:tr w:rsidR="00C41DE2" w:rsidRPr="002C21B8" w14:paraId="0A0D6E17" w14:textId="77777777" w:rsidTr="00FB6E8D">
        <w:trPr>
          <w:trHeight w:val="57"/>
        </w:trPr>
        <w:tc>
          <w:tcPr>
            <w:tcW w:w="3453" w:type="dxa"/>
          </w:tcPr>
          <w:p w14:paraId="5A8A1090" w14:textId="42850D4F" w:rsidR="00C41DE2" w:rsidRPr="002C21B8" w:rsidRDefault="00C41DE2" w:rsidP="005E5719">
            <w:pPr>
              <w:spacing w:after="120" w:line="240" w:lineRule="auto"/>
              <w:rPr>
                <w:sz w:val="18"/>
                <w:szCs w:val="18"/>
              </w:rPr>
            </w:pPr>
            <w:r w:rsidRPr="002C21B8">
              <w:rPr>
                <w:sz w:val="18"/>
                <w:szCs w:val="18"/>
              </w:rPr>
              <w:t xml:space="preserve">     &lt;150 (“small”)</w:t>
            </w:r>
          </w:p>
        </w:tc>
        <w:tc>
          <w:tcPr>
            <w:tcW w:w="2926" w:type="dxa"/>
          </w:tcPr>
          <w:p w14:paraId="7DAA51B4" w14:textId="26C7E8ED" w:rsidR="00C41DE2" w:rsidRPr="002C21B8" w:rsidRDefault="00C41DE2" w:rsidP="005E5719">
            <w:pPr>
              <w:spacing w:after="120" w:line="240" w:lineRule="auto"/>
              <w:rPr>
                <w:sz w:val="18"/>
                <w:szCs w:val="18"/>
              </w:rPr>
            </w:pPr>
            <w:r w:rsidRPr="002C21B8">
              <w:rPr>
                <w:sz w:val="18"/>
                <w:szCs w:val="18"/>
              </w:rPr>
              <w:t>16 (38</w:t>
            </w:r>
            <w:r w:rsidR="00AB2037" w:rsidRPr="002C21B8">
              <w:rPr>
                <w:sz w:val="18"/>
                <w:szCs w:val="18"/>
              </w:rPr>
              <w:t>.1</w:t>
            </w:r>
            <w:r w:rsidRPr="002C21B8">
              <w:rPr>
                <w:sz w:val="18"/>
                <w:szCs w:val="18"/>
              </w:rPr>
              <w:t>%)</w:t>
            </w:r>
          </w:p>
        </w:tc>
      </w:tr>
      <w:tr w:rsidR="00C41DE2" w:rsidRPr="002C21B8" w14:paraId="67F4BABC" w14:textId="77777777" w:rsidTr="00FB6E8D">
        <w:trPr>
          <w:trHeight w:val="57"/>
        </w:trPr>
        <w:tc>
          <w:tcPr>
            <w:tcW w:w="3453" w:type="dxa"/>
          </w:tcPr>
          <w:p w14:paraId="40451A09" w14:textId="632D6B1F" w:rsidR="00C41DE2" w:rsidRPr="002C21B8" w:rsidRDefault="00C41DE2" w:rsidP="005E5719">
            <w:pPr>
              <w:spacing w:after="120" w:line="240" w:lineRule="auto"/>
              <w:rPr>
                <w:sz w:val="18"/>
                <w:szCs w:val="18"/>
              </w:rPr>
            </w:pPr>
            <w:r w:rsidRPr="002C21B8">
              <w:rPr>
                <w:sz w:val="18"/>
                <w:szCs w:val="18"/>
              </w:rPr>
              <w:t xml:space="preserve">     150–300 (“medium”)</w:t>
            </w:r>
          </w:p>
        </w:tc>
        <w:tc>
          <w:tcPr>
            <w:tcW w:w="2926" w:type="dxa"/>
          </w:tcPr>
          <w:p w14:paraId="36048F28" w14:textId="45307A86" w:rsidR="00C41DE2" w:rsidRPr="002C21B8" w:rsidRDefault="00C41DE2" w:rsidP="005E5719">
            <w:pPr>
              <w:spacing w:after="120" w:line="240" w:lineRule="auto"/>
              <w:rPr>
                <w:sz w:val="18"/>
                <w:szCs w:val="18"/>
              </w:rPr>
            </w:pPr>
            <w:r w:rsidRPr="002C21B8">
              <w:rPr>
                <w:sz w:val="18"/>
                <w:szCs w:val="18"/>
              </w:rPr>
              <w:t>11 (26</w:t>
            </w:r>
            <w:r w:rsidR="00AB2037" w:rsidRPr="002C21B8">
              <w:rPr>
                <w:sz w:val="18"/>
                <w:szCs w:val="18"/>
              </w:rPr>
              <w:t>.2</w:t>
            </w:r>
            <w:r w:rsidRPr="002C21B8">
              <w:rPr>
                <w:sz w:val="18"/>
                <w:szCs w:val="18"/>
              </w:rPr>
              <w:t>%)</w:t>
            </w:r>
          </w:p>
        </w:tc>
      </w:tr>
      <w:tr w:rsidR="00C41DE2" w:rsidRPr="002C21B8" w14:paraId="53F6DF71" w14:textId="77777777" w:rsidTr="00FB6E8D">
        <w:trPr>
          <w:trHeight w:val="57"/>
        </w:trPr>
        <w:tc>
          <w:tcPr>
            <w:tcW w:w="3453" w:type="dxa"/>
          </w:tcPr>
          <w:p w14:paraId="32ACA9E5" w14:textId="1E5E84EF" w:rsidR="00C41DE2" w:rsidRPr="002C21B8" w:rsidRDefault="00C41DE2" w:rsidP="005E5719">
            <w:pPr>
              <w:spacing w:after="120" w:line="240" w:lineRule="auto"/>
              <w:rPr>
                <w:sz w:val="18"/>
                <w:szCs w:val="18"/>
              </w:rPr>
            </w:pPr>
            <w:r w:rsidRPr="002C21B8">
              <w:rPr>
                <w:sz w:val="18"/>
                <w:szCs w:val="18"/>
              </w:rPr>
              <w:t xml:space="preserve">     301–600 (“large”)</w:t>
            </w:r>
          </w:p>
        </w:tc>
        <w:tc>
          <w:tcPr>
            <w:tcW w:w="2926" w:type="dxa"/>
          </w:tcPr>
          <w:p w14:paraId="24FE89BD" w14:textId="2D8A270C" w:rsidR="00C41DE2" w:rsidRPr="002C21B8" w:rsidRDefault="00C41DE2" w:rsidP="005E5719">
            <w:pPr>
              <w:spacing w:after="120" w:line="240" w:lineRule="auto"/>
              <w:rPr>
                <w:sz w:val="18"/>
                <w:szCs w:val="18"/>
              </w:rPr>
            </w:pPr>
            <w:r w:rsidRPr="002C21B8">
              <w:rPr>
                <w:sz w:val="18"/>
                <w:szCs w:val="18"/>
              </w:rPr>
              <w:t>12 (2</w:t>
            </w:r>
            <w:r w:rsidR="00AB2037" w:rsidRPr="002C21B8">
              <w:rPr>
                <w:sz w:val="18"/>
                <w:szCs w:val="18"/>
              </w:rPr>
              <w:t>8.6</w:t>
            </w:r>
            <w:r w:rsidRPr="002C21B8">
              <w:rPr>
                <w:sz w:val="18"/>
                <w:szCs w:val="18"/>
              </w:rPr>
              <w:t>%)</w:t>
            </w:r>
          </w:p>
        </w:tc>
      </w:tr>
      <w:tr w:rsidR="00C41DE2" w:rsidRPr="002C21B8" w14:paraId="5854723B" w14:textId="77777777" w:rsidTr="00FB6E8D">
        <w:trPr>
          <w:trHeight w:val="57"/>
        </w:trPr>
        <w:tc>
          <w:tcPr>
            <w:tcW w:w="3453" w:type="dxa"/>
            <w:tcBorders>
              <w:bottom w:val="single" w:sz="6" w:space="0" w:color="000000" w:themeColor="text1"/>
            </w:tcBorders>
          </w:tcPr>
          <w:p w14:paraId="40E6CC57" w14:textId="604B4438" w:rsidR="00C41DE2" w:rsidRPr="002C21B8" w:rsidRDefault="00C41DE2" w:rsidP="005E5719">
            <w:pPr>
              <w:spacing w:after="120" w:line="240" w:lineRule="auto"/>
              <w:rPr>
                <w:sz w:val="18"/>
                <w:szCs w:val="18"/>
              </w:rPr>
            </w:pPr>
            <w:r w:rsidRPr="002C21B8">
              <w:rPr>
                <w:sz w:val="18"/>
                <w:szCs w:val="18"/>
              </w:rPr>
              <w:t xml:space="preserve">     &gt;600 (“very large”)</w:t>
            </w:r>
          </w:p>
        </w:tc>
        <w:tc>
          <w:tcPr>
            <w:tcW w:w="2926" w:type="dxa"/>
            <w:tcBorders>
              <w:bottom w:val="single" w:sz="6" w:space="0" w:color="000000" w:themeColor="text1"/>
            </w:tcBorders>
          </w:tcPr>
          <w:p w14:paraId="7139FAB9" w14:textId="7509664D" w:rsidR="00C41DE2" w:rsidRPr="002C21B8" w:rsidRDefault="00C41DE2" w:rsidP="005E5719">
            <w:pPr>
              <w:spacing w:after="120" w:line="240" w:lineRule="auto"/>
              <w:rPr>
                <w:sz w:val="18"/>
                <w:szCs w:val="18"/>
              </w:rPr>
            </w:pPr>
            <w:r w:rsidRPr="002C21B8">
              <w:rPr>
                <w:sz w:val="18"/>
                <w:szCs w:val="18"/>
              </w:rPr>
              <w:t>3 (7</w:t>
            </w:r>
            <w:r w:rsidR="00AB2037" w:rsidRPr="002C21B8">
              <w:rPr>
                <w:sz w:val="18"/>
                <w:szCs w:val="18"/>
              </w:rPr>
              <w:t>.1</w:t>
            </w:r>
            <w:r w:rsidRPr="002C21B8">
              <w:rPr>
                <w:sz w:val="18"/>
                <w:szCs w:val="18"/>
              </w:rPr>
              <w:t>%)</w:t>
            </w:r>
          </w:p>
        </w:tc>
      </w:tr>
      <w:tr w:rsidR="00C41DE2" w:rsidRPr="002C21B8" w14:paraId="0A66226A" w14:textId="77777777" w:rsidTr="00FB6E8D">
        <w:trPr>
          <w:trHeight w:val="57"/>
        </w:trPr>
        <w:tc>
          <w:tcPr>
            <w:tcW w:w="3453" w:type="dxa"/>
            <w:tcBorders>
              <w:top w:val="single" w:sz="6" w:space="0" w:color="000000" w:themeColor="text1"/>
            </w:tcBorders>
          </w:tcPr>
          <w:p w14:paraId="3AAF3858" w14:textId="038FF580" w:rsidR="00C41DE2" w:rsidRPr="002C21B8" w:rsidRDefault="00FB6E8D" w:rsidP="005E5719">
            <w:pPr>
              <w:spacing w:after="120" w:line="240" w:lineRule="auto"/>
              <w:rPr>
                <w:b/>
                <w:bCs/>
                <w:sz w:val="20"/>
                <w:szCs w:val="20"/>
              </w:rPr>
            </w:pPr>
            <w:r w:rsidRPr="002C21B8">
              <w:rPr>
                <w:b/>
                <w:bCs/>
                <w:sz w:val="20"/>
                <w:szCs w:val="20"/>
              </w:rPr>
              <w:t>Number of patients in t</w:t>
            </w:r>
            <w:r w:rsidR="00C41DE2" w:rsidRPr="002C21B8">
              <w:rPr>
                <w:b/>
                <w:bCs/>
                <w:sz w:val="20"/>
                <w:szCs w:val="20"/>
              </w:rPr>
              <w:t>olvaptan cohort</w:t>
            </w:r>
          </w:p>
        </w:tc>
        <w:tc>
          <w:tcPr>
            <w:tcW w:w="2926" w:type="dxa"/>
            <w:tcBorders>
              <w:top w:val="single" w:sz="6" w:space="0" w:color="000000" w:themeColor="text1"/>
            </w:tcBorders>
          </w:tcPr>
          <w:p w14:paraId="6F116BEC" w14:textId="77777777" w:rsidR="00C41DE2" w:rsidRPr="002C21B8" w:rsidRDefault="00C41DE2" w:rsidP="005E5719">
            <w:pPr>
              <w:spacing w:after="120" w:line="240" w:lineRule="auto"/>
              <w:rPr>
                <w:b/>
                <w:bCs/>
                <w:sz w:val="20"/>
                <w:szCs w:val="20"/>
              </w:rPr>
            </w:pPr>
          </w:p>
        </w:tc>
      </w:tr>
      <w:tr w:rsidR="00C41DE2" w:rsidRPr="002C21B8" w14:paraId="42576E66" w14:textId="77777777" w:rsidTr="00FB6E8D">
        <w:trPr>
          <w:trHeight w:val="57"/>
        </w:trPr>
        <w:tc>
          <w:tcPr>
            <w:tcW w:w="3453" w:type="dxa"/>
          </w:tcPr>
          <w:p w14:paraId="0B4302B8" w14:textId="055C57EF" w:rsidR="00C41DE2" w:rsidRPr="002C21B8" w:rsidRDefault="00C41DE2" w:rsidP="005E5719">
            <w:pPr>
              <w:spacing w:after="120" w:line="240" w:lineRule="auto"/>
              <w:rPr>
                <w:sz w:val="18"/>
                <w:szCs w:val="18"/>
              </w:rPr>
            </w:pPr>
            <w:r w:rsidRPr="002C21B8">
              <w:rPr>
                <w:sz w:val="18"/>
                <w:szCs w:val="18"/>
              </w:rPr>
              <w:t xml:space="preserve">     &lt;10</w:t>
            </w:r>
          </w:p>
        </w:tc>
        <w:tc>
          <w:tcPr>
            <w:tcW w:w="2926" w:type="dxa"/>
          </w:tcPr>
          <w:p w14:paraId="24CC07E4" w14:textId="03AAA4CF" w:rsidR="00C41DE2" w:rsidRPr="002C21B8" w:rsidRDefault="00C41DE2" w:rsidP="005E5719">
            <w:pPr>
              <w:spacing w:after="120" w:line="240" w:lineRule="auto"/>
              <w:rPr>
                <w:sz w:val="18"/>
                <w:szCs w:val="18"/>
              </w:rPr>
            </w:pPr>
            <w:r w:rsidRPr="002C21B8">
              <w:rPr>
                <w:sz w:val="18"/>
                <w:szCs w:val="18"/>
              </w:rPr>
              <w:t>3 (7</w:t>
            </w:r>
            <w:r w:rsidR="00AB2037" w:rsidRPr="002C21B8">
              <w:rPr>
                <w:sz w:val="18"/>
                <w:szCs w:val="18"/>
              </w:rPr>
              <w:t>.1</w:t>
            </w:r>
            <w:r w:rsidRPr="002C21B8">
              <w:rPr>
                <w:sz w:val="18"/>
                <w:szCs w:val="18"/>
              </w:rPr>
              <w:t>%)</w:t>
            </w:r>
          </w:p>
        </w:tc>
      </w:tr>
      <w:tr w:rsidR="00C41DE2" w:rsidRPr="002C21B8" w14:paraId="3FB687E9" w14:textId="77777777" w:rsidTr="00FB6E8D">
        <w:trPr>
          <w:trHeight w:val="57"/>
        </w:trPr>
        <w:tc>
          <w:tcPr>
            <w:tcW w:w="3453" w:type="dxa"/>
          </w:tcPr>
          <w:p w14:paraId="2F331E37" w14:textId="7AA117EB" w:rsidR="00C41DE2" w:rsidRPr="002C21B8" w:rsidRDefault="00C41DE2" w:rsidP="005E5719">
            <w:pPr>
              <w:spacing w:after="120" w:line="240" w:lineRule="auto"/>
              <w:rPr>
                <w:sz w:val="18"/>
                <w:szCs w:val="18"/>
              </w:rPr>
            </w:pPr>
            <w:r w:rsidRPr="002C21B8">
              <w:rPr>
                <w:sz w:val="18"/>
                <w:szCs w:val="18"/>
              </w:rPr>
              <w:t xml:space="preserve">     10–20</w:t>
            </w:r>
          </w:p>
        </w:tc>
        <w:tc>
          <w:tcPr>
            <w:tcW w:w="2926" w:type="dxa"/>
          </w:tcPr>
          <w:p w14:paraId="571AF1AE" w14:textId="1CE0B4CE" w:rsidR="00C41DE2" w:rsidRPr="002C21B8" w:rsidRDefault="00C41DE2" w:rsidP="005E5719">
            <w:pPr>
              <w:spacing w:after="120" w:line="240" w:lineRule="auto"/>
              <w:rPr>
                <w:sz w:val="18"/>
                <w:szCs w:val="18"/>
              </w:rPr>
            </w:pPr>
            <w:r w:rsidRPr="002C21B8">
              <w:rPr>
                <w:sz w:val="18"/>
                <w:szCs w:val="18"/>
              </w:rPr>
              <w:t>10 (2</w:t>
            </w:r>
            <w:r w:rsidR="00AB2037" w:rsidRPr="002C21B8">
              <w:rPr>
                <w:sz w:val="18"/>
                <w:szCs w:val="18"/>
              </w:rPr>
              <w:t>3.8</w:t>
            </w:r>
            <w:r w:rsidRPr="002C21B8">
              <w:rPr>
                <w:sz w:val="18"/>
                <w:szCs w:val="18"/>
              </w:rPr>
              <w:t>%)</w:t>
            </w:r>
          </w:p>
        </w:tc>
      </w:tr>
      <w:tr w:rsidR="00C41DE2" w:rsidRPr="002C21B8" w14:paraId="3AF4BB5E" w14:textId="77777777" w:rsidTr="00FB6E8D">
        <w:trPr>
          <w:trHeight w:val="57"/>
        </w:trPr>
        <w:tc>
          <w:tcPr>
            <w:tcW w:w="3453" w:type="dxa"/>
          </w:tcPr>
          <w:p w14:paraId="5888DE78" w14:textId="7FD74AB8" w:rsidR="00C41DE2" w:rsidRPr="002C21B8" w:rsidRDefault="00C41DE2" w:rsidP="005E5719">
            <w:pPr>
              <w:spacing w:after="120" w:line="240" w:lineRule="auto"/>
              <w:rPr>
                <w:sz w:val="18"/>
                <w:szCs w:val="18"/>
              </w:rPr>
            </w:pPr>
            <w:r w:rsidRPr="002C21B8">
              <w:rPr>
                <w:sz w:val="18"/>
                <w:szCs w:val="18"/>
              </w:rPr>
              <w:t xml:space="preserve">     21–40 </w:t>
            </w:r>
          </w:p>
        </w:tc>
        <w:tc>
          <w:tcPr>
            <w:tcW w:w="2926" w:type="dxa"/>
          </w:tcPr>
          <w:p w14:paraId="15CB7FDB" w14:textId="2E0BB597" w:rsidR="00C41DE2" w:rsidRPr="002C21B8" w:rsidRDefault="00C41DE2" w:rsidP="005E5719">
            <w:pPr>
              <w:spacing w:after="120" w:line="240" w:lineRule="auto"/>
              <w:rPr>
                <w:sz w:val="18"/>
                <w:szCs w:val="18"/>
              </w:rPr>
            </w:pPr>
            <w:r w:rsidRPr="002C21B8">
              <w:rPr>
                <w:sz w:val="18"/>
                <w:szCs w:val="18"/>
              </w:rPr>
              <w:t>12 (2</w:t>
            </w:r>
            <w:r w:rsidR="00AB2037" w:rsidRPr="002C21B8">
              <w:rPr>
                <w:sz w:val="18"/>
                <w:szCs w:val="18"/>
              </w:rPr>
              <w:t>8.6</w:t>
            </w:r>
            <w:r w:rsidRPr="002C21B8">
              <w:rPr>
                <w:sz w:val="18"/>
                <w:szCs w:val="18"/>
              </w:rPr>
              <w:t>%)</w:t>
            </w:r>
          </w:p>
        </w:tc>
      </w:tr>
      <w:tr w:rsidR="00C41DE2" w:rsidRPr="002C21B8" w14:paraId="5E8F6017" w14:textId="77777777" w:rsidTr="00FB6E8D">
        <w:trPr>
          <w:trHeight w:val="57"/>
        </w:trPr>
        <w:tc>
          <w:tcPr>
            <w:tcW w:w="3453" w:type="dxa"/>
          </w:tcPr>
          <w:p w14:paraId="59C4D193" w14:textId="06857C52" w:rsidR="00C41DE2" w:rsidRPr="002C21B8" w:rsidRDefault="00C41DE2" w:rsidP="005E5719">
            <w:pPr>
              <w:spacing w:after="120" w:line="240" w:lineRule="auto"/>
              <w:rPr>
                <w:sz w:val="18"/>
                <w:szCs w:val="18"/>
              </w:rPr>
            </w:pPr>
            <w:r w:rsidRPr="002C21B8">
              <w:rPr>
                <w:sz w:val="18"/>
                <w:szCs w:val="18"/>
              </w:rPr>
              <w:t xml:space="preserve">     41–60</w:t>
            </w:r>
          </w:p>
        </w:tc>
        <w:tc>
          <w:tcPr>
            <w:tcW w:w="2926" w:type="dxa"/>
          </w:tcPr>
          <w:p w14:paraId="6EA8D8BB" w14:textId="700BDDBE" w:rsidR="00C41DE2" w:rsidRPr="002C21B8" w:rsidRDefault="00C41DE2" w:rsidP="005E5719">
            <w:pPr>
              <w:spacing w:after="120" w:line="240" w:lineRule="auto"/>
              <w:rPr>
                <w:sz w:val="18"/>
                <w:szCs w:val="18"/>
              </w:rPr>
            </w:pPr>
            <w:r w:rsidRPr="002C21B8">
              <w:rPr>
                <w:sz w:val="18"/>
                <w:szCs w:val="18"/>
              </w:rPr>
              <w:t>7 (1</w:t>
            </w:r>
            <w:r w:rsidR="00AB2037" w:rsidRPr="002C21B8">
              <w:rPr>
                <w:sz w:val="18"/>
                <w:szCs w:val="18"/>
              </w:rPr>
              <w:t>6.7</w:t>
            </w:r>
            <w:r w:rsidRPr="002C21B8">
              <w:rPr>
                <w:sz w:val="18"/>
                <w:szCs w:val="18"/>
              </w:rPr>
              <w:t>%)</w:t>
            </w:r>
          </w:p>
        </w:tc>
      </w:tr>
      <w:tr w:rsidR="00C41DE2" w:rsidRPr="002C21B8" w14:paraId="39D568FA" w14:textId="77777777" w:rsidTr="00FB6E8D">
        <w:trPr>
          <w:trHeight w:val="57"/>
        </w:trPr>
        <w:tc>
          <w:tcPr>
            <w:tcW w:w="3453" w:type="dxa"/>
            <w:tcBorders>
              <w:bottom w:val="single" w:sz="6" w:space="0" w:color="000000" w:themeColor="text1"/>
            </w:tcBorders>
          </w:tcPr>
          <w:p w14:paraId="3D662A3F" w14:textId="49FEFF00" w:rsidR="00C41DE2" w:rsidRPr="002C21B8" w:rsidRDefault="00C41DE2" w:rsidP="005E5719">
            <w:pPr>
              <w:spacing w:after="120" w:line="240" w:lineRule="auto"/>
              <w:rPr>
                <w:sz w:val="18"/>
                <w:szCs w:val="18"/>
              </w:rPr>
            </w:pPr>
            <w:r w:rsidRPr="002C21B8">
              <w:rPr>
                <w:sz w:val="18"/>
                <w:szCs w:val="18"/>
              </w:rPr>
              <w:t xml:space="preserve">     &gt;60 </w:t>
            </w:r>
          </w:p>
        </w:tc>
        <w:tc>
          <w:tcPr>
            <w:tcW w:w="2926" w:type="dxa"/>
            <w:tcBorders>
              <w:bottom w:val="single" w:sz="6" w:space="0" w:color="000000" w:themeColor="text1"/>
            </w:tcBorders>
          </w:tcPr>
          <w:p w14:paraId="136F8F34" w14:textId="4E097C5D" w:rsidR="00C41DE2" w:rsidRPr="002C21B8" w:rsidRDefault="00C41DE2" w:rsidP="005E5719">
            <w:pPr>
              <w:spacing w:after="120" w:line="240" w:lineRule="auto"/>
              <w:rPr>
                <w:sz w:val="18"/>
                <w:szCs w:val="18"/>
              </w:rPr>
            </w:pPr>
            <w:r w:rsidRPr="002C21B8">
              <w:rPr>
                <w:sz w:val="18"/>
                <w:szCs w:val="18"/>
              </w:rPr>
              <w:t>9 (2</w:t>
            </w:r>
            <w:r w:rsidR="00AB2037" w:rsidRPr="002C21B8">
              <w:rPr>
                <w:sz w:val="18"/>
                <w:szCs w:val="18"/>
              </w:rPr>
              <w:t>1.4</w:t>
            </w:r>
            <w:r w:rsidRPr="002C21B8">
              <w:rPr>
                <w:sz w:val="18"/>
                <w:szCs w:val="18"/>
              </w:rPr>
              <w:t>%)</w:t>
            </w:r>
          </w:p>
        </w:tc>
      </w:tr>
      <w:tr w:rsidR="0082424E" w:rsidRPr="002C21B8" w14:paraId="1F00CBBB" w14:textId="77777777" w:rsidTr="00FB6E8D">
        <w:trPr>
          <w:trHeight w:val="57"/>
        </w:trPr>
        <w:tc>
          <w:tcPr>
            <w:tcW w:w="6379" w:type="dxa"/>
            <w:gridSpan w:val="2"/>
            <w:tcBorders>
              <w:top w:val="single" w:sz="6" w:space="0" w:color="000000" w:themeColor="text1"/>
            </w:tcBorders>
          </w:tcPr>
          <w:p w14:paraId="7F70A1EC" w14:textId="22B2FBC1" w:rsidR="0082424E" w:rsidRPr="002C21B8" w:rsidRDefault="0082424E" w:rsidP="005E5719">
            <w:pPr>
              <w:spacing w:after="120" w:line="240" w:lineRule="auto"/>
              <w:rPr>
                <w:b/>
                <w:bCs/>
                <w:sz w:val="20"/>
                <w:szCs w:val="20"/>
              </w:rPr>
            </w:pPr>
            <w:r w:rsidRPr="002C21B8">
              <w:rPr>
                <w:b/>
                <w:bCs/>
                <w:sz w:val="20"/>
                <w:szCs w:val="20"/>
              </w:rPr>
              <w:t xml:space="preserve">Number </w:t>
            </w:r>
            <w:r w:rsidR="00FB6E8D" w:rsidRPr="002C21B8">
              <w:rPr>
                <w:b/>
                <w:bCs/>
                <w:sz w:val="20"/>
                <w:szCs w:val="20"/>
              </w:rPr>
              <w:t xml:space="preserve">of patients </w:t>
            </w:r>
            <w:r w:rsidRPr="002C21B8">
              <w:rPr>
                <w:b/>
                <w:bCs/>
                <w:sz w:val="20"/>
                <w:szCs w:val="20"/>
              </w:rPr>
              <w:t>started on tolvaptan per month</w:t>
            </w:r>
          </w:p>
        </w:tc>
      </w:tr>
      <w:tr w:rsidR="00C41DE2" w:rsidRPr="002C21B8" w14:paraId="32896921" w14:textId="77777777" w:rsidTr="00FB6E8D">
        <w:trPr>
          <w:trHeight w:val="57"/>
        </w:trPr>
        <w:tc>
          <w:tcPr>
            <w:tcW w:w="3453" w:type="dxa"/>
          </w:tcPr>
          <w:p w14:paraId="7C94751C" w14:textId="35DDD5E4" w:rsidR="00C41DE2" w:rsidRPr="002C21B8" w:rsidRDefault="00C41DE2" w:rsidP="005E5719">
            <w:pPr>
              <w:spacing w:after="120" w:line="240" w:lineRule="auto"/>
              <w:rPr>
                <w:sz w:val="18"/>
                <w:szCs w:val="18"/>
              </w:rPr>
            </w:pPr>
            <w:r w:rsidRPr="002C21B8">
              <w:rPr>
                <w:sz w:val="18"/>
                <w:szCs w:val="18"/>
              </w:rPr>
              <w:t xml:space="preserve">     0–1</w:t>
            </w:r>
          </w:p>
        </w:tc>
        <w:tc>
          <w:tcPr>
            <w:tcW w:w="2926" w:type="dxa"/>
          </w:tcPr>
          <w:p w14:paraId="665DAB81" w14:textId="3632FE21" w:rsidR="00C41DE2" w:rsidRPr="002C21B8" w:rsidRDefault="00C41DE2" w:rsidP="005E5719">
            <w:pPr>
              <w:spacing w:after="120" w:line="240" w:lineRule="auto"/>
              <w:rPr>
                <w:sz w:val="18"/>
                <w:szCs w:val="18"/>
              </w:rPr>
            </w:pPr>
            <w:r w:rsidRPr="002C21B8">
              <w:rPr>
                <w:sz w:val="18"/>
                <w:szCs w:val="18"/>
              </w:rPr>
              <w:t>25 (61</w:t>
            </w:r>
            <w:r w:rsidR="00AB2037" w:rsidRPr="002C21B8">
              <w:rPr>
                <w:sz w:val="18"/>
                <w:szCs w:val="18"/>
              </w:rPr>
              <w:t>.0</w:t>
            </w:r>
            <w:r w:rsidRPr="002C21B8">
              <w:rPr>
                <w:sz w:val="18"/>
                <w:szCs w:val="18"/>
              </w:rPr>
              <w:t>%)</w:t>
            </w:r>
          </w:p>
        </w:tc>
      </w:tr>
      <w:tr w:rsidR="00C41DE2" w:rsidRPr="002C21B8" w14:paraId="4A070A54" w14:textId="77777777" w:rsidTr="00FB6E8D">
        <w:trPr>
          <w:trHeight w:val="57"/>
        </w:trPr>
        <w:tc>
          <w:tcPr>
            <w:tcW w:w="3453" w:type="dxa"/>
          </w:tcPr>
          <w:p w14:paraId="5C92D4BA" w14:textId="1A634E71" w:rsidR="00C41DE2" w:rsidRPr="002C21B8" w:rsidRDefault="00C41DE2" w:rsidP="005E5719">
            <w:pPr>
              <w:spacing w:after="120" w:line="240" w:lineRule="auto"/>
              <w:rPr>
                <w:sz w:val="18"/>
                <w:szCs w:val="18"/>
              </w:rPr>
            </w:pPr>
            <w:r w:rsidRPr="002C21B8">
              <w:rPr>
                <w:sz w:val="18"/>
                <w:szCs w:val="18"/>
              </w:rPr>
              <w:t xml:space="preserve">     2–3</w:t>
            </w:r>
          </w:p>
        </w:tc>
        <w:tc>
          <w:tcPr>
            <w:tcW w:w="2926" w:type="dxa"/>
          </w:tcPr>
          <w:p w14:paraId="07F7D730" w14:textId="262034AB" w:rsidR="00C41DE2" w:rsidRPr="002C21B8" w:rsidRDefault="00C41DE2" w:rsidP="005E5719">
            <w:pPr>
              <w:spacing w:after="120" w:line="240" w:lineRule="auto"/>
              <w:rPr>
                <w:sz w:val="18"/>
                <w:szCs w:val="18"/>
              </w:rPr>
            </w:pPr>
            <w:r w:rsidRPr="002C21B8">
              <w:rPr>
                <w:sz w:val="18"/>
                <w:szCs w:val="18"/>
              </w:rPr>
              <w:t>11 (2</w:t>
            </w:r>
            <w:r w:rsidR="00AB2037" w:rsidRPr="002C21B8">
              <w:rPr>
                <w:sz w:val="18"/>
                <w:szCs w:val="18"/>
              </w:rPr>
              <w:t>6.8</w:t>
            </w:r>
            <w:r w:rsidRPr="002C21B8">
              <w:rPr>
                <w:sz w:val="18"/>
                <w:szCs w:val="18"/>
              </w:rPr>
              <w:t>%)</w:t>
            </w:r>
          </w:p>
        </w:tc>
      </w:tr>
      <w:tr w:rsidR="00C41DE2" w:rsidRPr="002C21B8" w14:paraId="708C975A" w14:textId="77777777" w:rsidTr="00FB6E8D">
        <w:trPr>
          <w:trHeight w:val="57"/>
        </w:trPr>
        <w:tc>
          <w:tcPr>
            <w:tcW w:w="3453" w:type="dxa"/>
          </w:tcPr>
          <w:p w14:paraId="0B2413B5" w14:textId="6EC50AE2" w:rsidR="00C41DE2" w:rsidRPr="002C21B8" w:rsidRDefault="00C41DE2" w:rsidP="005E5719">
            <w:pPr>
              <w:spacing w:after="120" w:line="240" w:lineRule="auto"/>
              <w:rPr>
                <w:sz w:val="18"/>
                <w:szCs w:val="18"/>
              </w:rPr>
            </w:pPr>
            <w:r w:rsidRPr="002C21B8">
              <w:rPr>
                <w:sz w:val="18"/>
                <w:szCs w:val="18"/>
              </w:rPr>
              <w:t xml:space="preserve">     4–5</w:t>
            </w:r>
          </w:p>
        </w:tc>
        <w:tc>
          <w:tcPr>
            <w:tcW w:w="2926" w:type="dxa"/>
          </w:tcPr>
          <w:p w14:paraId="0214BC68" w14:textId="1E822135" w:rsidR="00C41DE2" w:rsidRPr="002C21B8" w:rsidRDefault="00C41DE2" w:rsidP="005E5719">
            <w:pPr>
              <w:spacing w:after="120" w:line="240" w:lineRule="auto"/>
              <w:rPr>
                <w:sz w:val="18"/>
                <w:szCs w:val="18"/>
              </w:rPr>
            </w:pPr>
            <w:r w:rsidRPr="002C21B8">
              <w:rPr>
                <w:sz w:val="18"/>
                <w:szCs w:val="18"/>
              </w:rPr>
              <w:t>4 (</w:t>
            </w:r>
            <w:r w:rsidR="00AB2037" w:rsidRPr="002C21B8">
              <w:rPr>
                <w:sz w:val="18"/>
                <w:szCs w:val="18"/>
              </w:rPr>
              <w:t>9.8</w:t>
            </w:r>
            <w:r w:rsidRPr="002C21B8">
              <w:rPr>
                <w:sz w:val="18"/>
                <w:szCs w:val="18"/>
              </w:rPr>
              <w:t>%)</w:t>
            </w:r>
          </w:p>
        </w:tc>
      </w:tr>
      <w:tr w:rsidR="00C41DE2" w:rsidRPr="002C21B8" w14:paraId="5AB613FE" w14:textId="77777777" w:rsidTr="00FB6E8D">
        <w:trPr>
          <w:trHeight w:val="57"/>
        </w:trPr>
        <w:tc>
          <w:tcPr>
            <w:tcW w:w="3453" w:type="dxa"/>
            <w:tcBorders>
              <w:bottom w:val="single" w:sz="6" w:space="0" w:color="000000" w:themeColor="text1"/>
            </w:tcBorders>
          </w:tcPr>
          <w:p w14:paraId="5C975307" w14:textId="361745CF" w:rsidR="00C41DE2" w:rsidRPr="002C21B8" w:rsidRDefault="00C41DE2" w:rsidP="005E5719">
            <w:pPr>
              <w:spacing w:after="120" w:line="240" w:lineRule="auto"/>
              <w:rPr>
                <w:sz w:val="18"/>
                <w:szCs w:val="18"/>
              </w:rPr>
            </w:pPr>
            <w:r w:rsidRPr="002C21B8">
              <w:rPr>
                <w:sz w:val="18"/>
                <w:szCs w:val="18"/>
              </w:rPr>
              <w:t xml:space="preserve">     &gt;7</w:t>
            </w:r>
          </w:p>
        </w:tc>
        <w:tc>
          <w:tcPr>
            <w:tcW w:w="2926" w:type="dxa"/>
            <w:tcBorders>
              <w:bottom w:val="single" w:sz="6" w:space="0" w:color="000000" w:themeColor="text1"/>
            </w:tcBorders>
          </w:tcPr>
          <w:p w14:paraId="34592390" w14:textId="5C1FE950" w:rsidR="00C41DE2" w:rsidRPr="002C21B8" w:rsidRDefault="00C41DE2" w:rsidP="005E5719">
            <w:pPr>
              <w:spacing w:after="120" w:line="240" w:lineRule="auto"/>
              <w:rPr>
                <w:sz w:val="18"/>
                <w:szCs w:val="18"/>
              </w:rPr>
            </w:pPr>
            <w:r w:rsidRPr="002C21B8">
              <w:rPr>
                <w:sz w:val="18"/>
                <w:szCs w:val="18"/>
              </w:rPr>
              <w:t>1 (</w:t>
            </w:r>
            <w:r w:rsidR="00AB2037" w:rsidRPr="002C21B8">
              <w:rPr>
                <w:sz w:val="18"/>
                <w:szCs w:val="18"/>
              </w:rPr>
              <w:t>2.4</w:t>
            </w:r>
            <w:r w:rsidRPr="002C21B8">
              <w:rPr>
                <w:sz w:val="18"/>
                <w:szCs w:val="18"/>
              </w:rPr>
              <w:t>%)</w:t>
            </w:r>
          </w:p>
        </w:tc>
      </w:tr>
      <w:tr w:rsidR="00C41DE2" w:rsidRPr="002C21B8" w14:paraId="68A3AEED" w14:textId="77777777" w:rsidTr="00FB6E8D">
        <w:trPr>
          <w:trHeight w:val="57"/>
        </w:trPr>
        <w:tc>
          <w:tcPr>
            <w:tcW w:w="3453" w:type="dxa"/>
            <w:tcBorders>
              <w:top w:val="single" w:sz="6" w:space="0" w:color="000000" w:themeColor="text1"/>
            </w:tcBorders>
          </w:tcPr>
          <w:p w14:paraId="1629D875" w14:textId="77777777" w:rsidR="00C41DE2" w:rsidRPr="002C21B8" w:rsidRDefault="00C41DE2" w:rsidP="005E5719">
            <w:pPr>
              <w:spacing w:after="120" w:line="240" w:lineRule="auto"/>
              <w:rPr>
                <w:b/>
                <w:bCs/>
                <w:sz w:val="20"/>
                <w:szCs w:val="20"/>
              </w:rPr>
            </w:pPr>
            <w:r w:rsidRPr="002C21B8">
              <w:rPr>
                <w:b/>
                <w:bCs/>
                <w:sz w:val="20"/>
                <w:szCs w:val="20"/>
              </w:rPr>
              <w:t>Reported patient uptake</w:t>
            </w:r>
          </w:p>
        </w:tc>
        <w:tc>
          <w:tcPr>
            <w:tcW w:w="2926" w:type="dxa"/>
            <w:tcBorders>
              <w:top w:val="single" w:sz="6" w:space="0" w:color="000000" w:themeColor="text1"/>
            </w:tcBorders>
          </w:tcPr>
          <w:p w14:paraId="5E61CA88" w14:textId="77777777" w:rsidR="00C41DE2" w:rsidRPr="002C21B8" w:rsidRDefault="00C41DE2" w:rsidP="005E5719">
            <w:pPr>
              <w:spacing w:after="120" w:line="240" w:lineRule="auto"/>
              <w:rPr>
                <w:b/>
                <w:bCs/>
                <w:sz w:val="20"/>
                <w:szCs w:val="20"/>
              </w:rPr>
            </w:pPr>
          </w:p>
        </w:tc>
      </w:tr>
      <w:tr w:rsidR="00C41DE2" w:rsidRPr="002C21B8" w14:paraId="4D7F75AF" w14:textId="77777777" w:rsidTr="00FB6E8D">
        <w:trPr>
          <w:trHeight w:val="57"/>
        </w:trPr>
        <w:tc>
          <w:tcPr>
            <w:tcW w:w="3453" w:type="dxa"/>
          </w:tcPr>
          <w:p w14:paraId="6A7AAD09" w14:textId="6F61D825" w:rsidR="00C41DE2" w:rsidRPr="002C21B8" w:rsidRDefault="00C41DE2" w:rsidP="005E5719">
            <w:pPr>
              <w:spacing w:after="120" w:line="240" w:lineRule="auto"/>
              <w:rPr>
                <w:sz w:val="18"/>
                <w:szCs w:val="18"/>
              </w:rPr>
            </w:pPr>
            <w:r w:rsidRPr="002C21B8">
              <w:rPr>
                <w:sz w:val="18"/>
                <w:szCs w:val="18"/>
              </w:rPr>
              <w:t xml:space="preserve">     0–20%</w:t>
            </w:r>
          </w:p>
        </w:tc>
        <w:tc>
          <w:tcPr>
            <w:tcW w:w="2926" w:type="dxa"/>
          </w:tcPr>
          <w:p w14:paraId="7F4D2488" w14:textId="5D9923C3" w:rsidR="00C41DE2" w:rsidRPr="002C21B8" w:rsidRDefault="00C41DE2" w:rsidP="005E5719">
            <w:pPr>
              <w:spacing w:after="120" w:line="240" w:lineRule="auto"/>
              <w:rPr>
                <w:sz w:val="18"/>
                <w:szCs w:val="18"/>
              </w:rPr>
            </w:pPr>
            <w:r w:rsidRPr="002C21B8">
              <w:rPr>
                <w:sz w:val="18"/>
                <w:szCs w:val="18"/>
              </w:rPr>
              <w:t>3 (7</w:t>
            </w:r>
            <w:r w:rsidR="00AB2037" w:rsidRPr="002C21B8">
              <w:rPr>
                <w:sz w:val="18"/>
                <w:szCs w:val="18"/>
              </w:rPr>
              <w:t>.3</w:t>
            </w:r>
            <w:r w:rsidRPr="002C21B8">
              <w:rPr>
                <w:sz w:val="18"/>
                <w:szCs w:val="18"/>
              </w:rPr>
              <w:t>%)</w:t>
            </w:r>
          </w:p>
        </w:tc>
      </w:tr>
      <w:tr w:rsidR="00C41DE2" w:rsidRPr="002C21B8" w14:paraId="306CB7DA" w14:textId="77777777" w:rsidTr="00FB6E8D">
        <w:trPr>
          <w:trHeight w:val="57"/>
        </w:trPr>
        <w:tc>
          <w:tcPr>
            <w:tcW w:w="3453" w:type="dxa"/>
          </w:tcPr>
          <w:p w14:paraId="2DD29337" w14:textId="423E697E" w:rsidR="00C41DE2" w:rsidRPr="002C21B8" w:rsidRDefault="00C41DE2" w:rsidP="005E5719">
            <w:pPr>
              <w:spacing w:after="120" w:line="240" w:lineRule="auto"/>
              <w:rPr>
                <w:sz w:val="18"/>
                <w:szCs w:val="18"/>
              </w:rPr>
            </w:pPr>
            <w:r w:rsidRPr="002C21B8">
              <w:rPr>
                <w:sz w:val="18"/>
                <w:szCs w:val="18"/>
              </w:rPr>
              <w:t xml:space="preserve">     21–40%</w:t>
            </w:r>
          </w:p>
        </w:tc>
        <w:tc>
          <w:tcPr>
            <w:tcW w:w="2926" w:type="dxa"/>
          </w:tcPr>
          <w:p w14:paraId="02667A41" w14:textId="12A1D99B" w:rsidR="00C41DE2" w:rsidRPr="002C21B8" w:rsidRDefault="00C41DE2" w:rsidP="005E5719">
            <w:pPr>
              <w:spacing w:after="120" w:line="240" w:lineRule="auto"/>
              <w:rPr>
                <w:sz w:val="18"/>
                <w:szCs w:val="18"/>
              </w:rPr>
            </w:pPr>
            <w:r w:rsidRPr="002C21B8">
              <w:rPr>
                <w:sz w:val="18"/>
                <w:szCs w:val="18"/>
              </w:rPr>
              <w:t>2 (</w:t>
            </w:r>
            <w:r w:rsidR="00AB2037" w:rsidRPr="002C21B8">
              <w:rPr>
                <w:sz w:val="18"/>
                <w:szCs w:val="18"/>
              </w:rPr>
              <w:t>4.8</w:t>
            </w:r>
            <w:r w:rsidRPr="002C21B8">
              <w:rPr>
                <w:sz w:val="18"/>
                <w:szCs w:val="18"/>
              </w:rPr>
              <w:t>%)</w:t>
            </w:r>
          </w:p>
        </w:tc>
      </w:tr>
      <w:tr w:rsidR="00C41DE2" w:rsidRPr="002C21B8" w14:paraId="35677CEF" w14:textId="77777777" w:rsidTr="00FB6E8D">
        <w:trPr>
          <w:trHeight w:val="57"/>
        </w:trPr>
        <w:tc>
          <w:tcPr>
            <w:tcW w:w="3453" w:type="dxa"/>
          </w:tcPr>
          <w:p w14:paraId="55D5EE6D" w14:textId="2590E218" w:rsidR="00C41DE2" w:rsidRPr="002C21B8" w:rsidRDefault="00C41DE2" w:rsidP="005E5719">
            <w:pPr>
              <w:spacing w:after="120" w:line="240" w:lineRule="auto"/>
              <w:rPr>
                <w:sz w:val="18"/>
                <w:szCs w:val="18"/>
              </w:rPr>
            </w:pPr>
            <w:r w:rsidRPr="002C21B8">
              <w:rPr>
                <w:sz w:val="18"/>
                <w:szCs w:val="18"/>
              </w:rPr>
              <w:t xml:space="preserve">     41–60%</w:t>
            </w:r>
          </w:p>
        </w:tc>
        <w:tc>
          <w:tcPr>
            <w:tcW w:w="2926" w:type="dxa"/>
          </w:tcPr>
          <w:p w14:paraId="0B28C057" w14:textId="51EF0974" w:rsidR="00C41DE2" w:rsidRPr="002C21B8" w:rsidRDefault="00C41DE2" w:rsidP="005E5719">
            <w:pPr>
              <w:spacing w:after="120" w:line="240" w:lineRule="auto"/>
              <w:rPr>
                <w:sz w:val="18"/>
                <w:szCs w:val="18"/>
              </w:rPr>
            </w:pPr>
            <w:r w:rsidRPr="002C21B8">
              <w:rPr>
                <w:sz w:val="18"/>
                <w:szCs w:val="18"/>
              </w:rPr>
              <w:t>3 (</w:t>
            </w:r>
            <w:r w:rsidR="00AB2037" w:rsidRPr="002C21B8">
              <w:rPr>
                <w:sz w:val="18"/>
                <w:szCs w:val="18"/>
              </w:rPr>
              <w:t>7.3</w:t>
            </w:r>
            <w:r w:rsidRPr="002C21B8">
              <w:rPr>
                <w:sz w:val="18"/>
                <w:szCs w:val="18"/>
              </w:rPr>
              <w:t>%)</w:t>
            </w:r>
          </w:p>
        </w:tc>
      </w:tr>
      <w:tr w:rsidR="00C41DE2" w:rsidRPr="002C21B8" w14:paraId="48A1749B" w14:textId="77777777" w:rsidTr="00FB6E8D">
        <w:trPr>
          <w:trHeight w:val="57"/>
        </w:trPr>
        <w:tc>
          <w:tcPr>
            <w:tcW w:w="3453" w:type="dxa"/>
          </w:tcPr>
          <w:p w14:paraId="5E30A08F" w14:textId="6CA23324" w:rsidR="00C41DE2" w:rsidRPr="002C21B8" w:rsidRDefault="00C41DE2" w:rsidP="005E5719">
            <w:pPr>
              <w:spacing w:after="120" w:line="240" w:lineRule="auto"/>
              <w:rPr>
                <w:sz w:val="18"/>
                <w:szCs w:val="18"/>
              </w:rPr>
            </w:pPr>
            <w:r w:rsidRPr="002C21B8">
              <w:rPr>
                <w:sz w:val="18"/>
                <w:szCs w:val="18"/>
              </w:rPr>
              <w:t xml:space="preserve">     61–80% </w:t>
            </w:r>
          </w:p>
        </w:tc>
        <w:tc>
          <w:tcPr>
            <w:tcW w:w="2926" w:type="dxa"/>
          </w:tcPr>
          <w:p w14:paraId="0A8C6F96" w14:textId="761DBC0B" w:rsidR="00C41DE2" w:rsidRPr="002C21B8" w:rsidRDefault="00C41DE2" w:rsidP="005E5719">
            <w:pPr>
              <w:spacing w:after="120" w:line="240" w:lineRule="auto"/>
              <w:rPr>
                <w:sz w:val="18"/>
                <w:szCs w:val="18"/>
              </w:rPr>
            </w:pPr>
            <w:r w:rsidRPr="002C21B8">
              <w:rPr>
                <w:sz w:val="18"/>
                <w:szCs w:val="18"/>
              </w:rPr>
              <w:t>14 (34</w:t>
            </w:r>
            <w:r w:rsidR="00AB2037" w:rsidRPr="002C21B8">
              <w:rPr>
                <w:sz w:val="18"/>
                <w:szCs w:val="18"/>
              </w:rPr>
              <w:t>.1</w:t>
            </w:r>
            <w:r w:rsidRPr="002C21B8">
              <w:rPr>
                <w:sz w:val="18"/>
                <w:szCs w:val="18"/>
              </w:rPr>
              <w:t>%)</w:t>
            </w:r>
          </w:p>
        </w:tc>
      </w:tr>
      <w:tr w:rsidR="00C41DE2" w:rsidRPr="002C21B8" w14:paraId="3A4ECEFD" w14:textId="77777777" w:rsidTr="00FB6E8D">
        <w:trPr>
          <w:trHeight w:val="57"/>
        </w:trPr>
        <w:tc>
          <w:tcPr>
            <w:tcW w:w="3453" w:type="dxa"/>
            <w:tcBorders>
              <w:bottom w:val="single" w:sz="12" w:space="0" w:color="auto"/>
            </w:tcBorders>
          </w:tcPr>
          <w:p w14:paraId="7503311A" w14:textId="70FE7382" w:rsidR="00C41DE2" w:rsidRPr="002C21B8" w:rsidRDefault="00C41DE2" w:rsidP="005E5719">
            <w:pPr>
              <w:spacing w:after="120" w:line="240" w:lineRule="auto"/>
              <w:rPr>
                <w:sz w:val="18"/>
                <w:szCs w:val="18"/>
              </w:rPr>
            </w:pPr>
            <w:r w:rsidRPr="002C21B8">
              <w:rPr>
                <w:sz w:val="18"/>
                <w:szCs w:val="18"/>
              </w:rPr>
              <w:t xml:space="preserve">     81–100%</w:t>
            </w:r>
          </w:p>
        </w:tc>
        <w:tc>
          <w:tcPr>
            <w:tcW w:w="2926" w:type="dxa"/>
            <w:tcBorders>
              <w:bottom w:val="single" w:sz="12" w:space="0" w:color="auto"/>
            </w:tcBorders>
          </w:tcPr>
          <w:p w14:paraId="167FA7A3" w14:textId="10DEE3E6" w:rsidR="00C41DE2" w:rsidRPr="002C21B8" w:rsidRDefault="00C41DE2" w:rsidP="005E5719">
            <w:pPr>
              <w:spacing w:after="120" w:line="240" w:lineRule="auto"/>
              <w:rPr>
                <w:sz w:val="18"/>
                <w:szCs w:val="18"/>
              </w:rPr>
            </w:pPr>
            <w:r w:rsidRPr="002C21B8">
              <w:rPr>
                <w:sz w:val="18"/>
                <w:szCs w:val="18"/>
              </w:rPr>
              <w:t>19 (46</w:t>
            </w:r>
            <w:r w:rsidR="00AB2037" w:rsidRPr="002C21B8">
              <w:rPr>
                <w:sz w:val="18"/>
                <w:szCs w:val="18"/>
              </w:rPr>
              <w:t>.3</w:t>
            </w:r>
            <w:r w:rsidRPr="002C21B8">
              <w:rPr>
                <w:sz w:val="18"/>
                <w:szCs w:val="18"/>
              </w:rPr>
              <w:t>%)</w:t>
            </w:r>
          </w:p>
        </w:tc>
      </w:tr>
    </w:tbl>
    <w:p w14:paraId="10519610" w14:textId="77777777" w:rsidR="00E236C7" w:rsidRPr="002C21B8" w:rsidRDefault="00E236C7" w:rsidP="005E5719">
      <w:pPr>
        <w:spacing w:line="240" w:lineRule="auto"/>
      </w:pPr>
    </w:p>
    <w:p w14:paraId="2C3D5B0A" w14:textId="77777777" w:rsidR="00C41DE2" w:rsidRPr="002C21B8" w:rsidRDefault="00C41DE2" w:rsidP="0082424E">
      <w:pPr>
        <w:spacing w:before="240" w:after="0"/>
        <w:rPr>
          <w:b/>
          <w:bCs/>
          <w:sz w:val="24"/>
          <w:szCs w:val="24"/>
        </w:rPr>
      </w:pPr>
      <w:r w:rsidRPr="002C21B8">
        <w:rPr>
          <w:b/>
          <w:bCs/>
          <w:sz w:val="24"/>
          <w:szCs w:val="24"/>
        </w:rPr>
        <w:t>Tolvaptan treatment pathways and decision-making</w:t>
      </w:r>
    </w:p>
    <w:p w14:paraId="0318FA48" w14:textId="5415C45F" w:rsidR="00730D60" w:rsidRPr="002C21B8" w:rsidRDefault="00C41DE2" w:rsidP="006A2FF3">
      <w:r w:rsidRPr="002C21B8">
        <w:t xml:space="preserve">The most common configuration of </w:t>
      </w:r>
      <w:r w:rsidR="00D7270D" w:rsidRPr="002C21B8">
        <w:t xml:space="preserve">the </w:t>
      </w:r>
      <w:r w:rsidRPr="002C21B8">
        <w:t xml:space="preserve">healthcare team involved in the tolvaptan </w:t>
      </w:r>
      <w:r w:rsidR="005903E3" w:rsidRPr="002C21B8">
        <w:t xml:space="preserve">care </w:t>
      </w:r>
      <w:r w:rsidRPr="002C21B8">
        <w:t>pathway</w:t>
      </w:r>
      <w:r w:rsidR="00D7270D" w:rsidRPr="002C21B8">
        <w:t xml:space="preserve"> at centres</w:t>
      </w:r>
      <w:r w:rsidRPr="002C21B8">
        <w:t xml:space="preserve"> was a consultant nephrologist </w:t>
      </w:r>
      <w:r w:rsidR="009830CE" w:rsidRPr="002C21B8">
        <w:t>with a renal pharmacist</w:t>
      </w:r>
      <w:r w:rsidR="00D7270D" w:rsidRPr="002C21B8">
        <w:t>,</w:t>
      </w:r>
      <w:r w:rsidR="009830CE" w:rsidRPr="002C21B8">
        <w:t xml:space="preserve"> with</w:t>
      </w:r>
      <w:r w:rsidRPr="002C21B8">
        <w:t xml:space="preserve"> 13/40 (3</w:t>
      </w:r>
      <w:r w:rsidR="00AB2037" w:rsidRPr="002C21B8">
        <w:t>2.5</w:t>
      </w:r>
      <w:r w:rsidRPr="002C21B8">
        <w:t>%)</w:t>
      </w:r>
      <w:r w:rsidR="009830CE" w:rsidRPr="002C21B8">
        <w:t xml:space="preserve"> </w:t>
      </w:r>
      <w:r w:rsidR="005903E3" w:rsidRPr="002C21B8">
        <w:t xml:space="preserve">centres </w:t>
      </w:r>
      <w:r w:rsidR="009830CE" w:rsidRPr="002C21B8">
        <w:t>describing this configuration</w:t>
      </w:r>
      <w:r w:rsidRPr="002C21B8">
        <w:t xml:space="preserve">. All centres reported that a consultant nephrologist was involved in the </w:t>
      </w:r>
      <w:r w:rsidR="005903E3" w:rsidRPr="002C21B8">
        <w:t>pathway,</w:t>
      </w:r>
      <w:r w:rsidRPr="002C21B8">
        <w:t xml:space="preserve"> 21/40 (5</w:t>
      </w:r>
      <w:r w:rsidR="00AB2037" w:rsidRPr="002C21B8">
        <w:t>2.5</w:t>
      </w:r>
      <w:r w:rsidRPr="002C21B8">
        <w:t>%) of centres reported having a specialist renal pharmacist</w:t>
      </w:r>
      <w:r w:rsidR="005903E3" w:rsidRPr="002C21B8">
        <w:t>(s)</w:t>
      </w:r>
      <w:r w:rsidRPr="002C21B8">
        <w:t>, 9/40 (2</w:t>
      </w:r>
      <w:r w:rsidR="00AB2037" w:rsidRPr="002C21B8">
        <w:t>2.5</w:t>
      </w:r>
      <w:r w:rsidRPr="002C21B8">
        <w:t>%) a specialist renal nurse</w:t>
      </w:r>
      <w:r w:rsidR="005903E3" w:rsidRPr="002C21B8">
        <w:t>(s</w:t>
      </w:r>
      <w:r w:rsidR="00831DC0" w:rsidRPr="002C21B8">
        <w:t>)</w:t>
      </w:r>
      <w:r w:rsidRPr="002C21B8">
        <w:t xml:space="preserve"> and 11/40 (2</w:t>
      </w:r>
      <w:r w:rsidR="00D06B9B" w:rsidRPr="002C21B8">
        <w:t>7.5</w:t>
      </w:r>
      <w:r w:rsidRPr="002C21B8">
        <w:t xml:space="preserve">%) </w:t>
      </w:r>
      <w:r w:rsidR="005903E3" w:rsidRPr="002C21B8">
        <w:t xml:space="preserve">a </w:t>
      </w:r>
      <w:r w:rsidRPr="002C21B8">
        <w:t xml:space="preserve">nephrology </w:t>
      </w:r>
      <w:r w:rsidR="00B14FBB" w:rsidRPr="002C21B8">
        <w:t>trainee</w:t>
      </w:r>
      <w:r w:rsidR="005903E3" w:rsidRPr="002C21B8">
        <w:t>(s)</w:t>
      </w:r>
      <w:r w:rsidR="003F15FD" w:rsidRPr="002C21B8">
        <w:t xml:space="preserve"> (</w:t>
      </w:r>
      <w:r w:rsidR="003F15FD" w:rsidRPr="002C21B8">
        <w:fldChar w:fldCharType="begin"/>
      </w:r>
      <w:r w:rsidR="003F15FD" w:rsidRPr="002C21B8">
        <w:instrText xml:space="preserve"> REF _Ref225521019 \h </w:instrText>
      </w:r>
      <w:r w:rsidR="00585F6D" w:rsidRPr="002C21B8">
        <w:instrText xml:space="preserve"> \* MERGEFORMAT </w:instrText>
      </w:r>
      <w:r w:rsidR="003F15FD" w:rsidRPr="002C21B8">
        <w:fldChar w:fldCharType="separate"/>
      </w:r>
      <w:r w:rsidR="00DB3709" w:rsidRPr="002C21B8">
        <w:rPr>
          <w:noProof/>
        </w:rPr>
        <w:t>Figure</w:t>
      </w:r>
      <w:r w:rsidR="00DB3709" w:rsidRPr="002C21B8">
        <w:t xml:space="preserve"> </w:t>
      </w:r>
      <w:r w:rsidR="00DB3709">
        <w:rPr>
          <w:noProof/>
        </w:rPr>
        <w:t>17</w:t>
      </w:r>
      <w:r w:rsidR="003F15FD" w:rsidRPr="002C21B8">
        <w:fldChar w:fldCharType="end"/>
      </w:r>
      <w:r w:rsidR="003F15FD" w:rsidRPr="002C21B8">
        <w:t>)</w:t>
      </w:r>
      <w:r w:rsidRPr="002C21B8">
        <w:t>.</w:t>
      </w:r>
    </w:p>
    <w:p w14:paraId="19D8E7D9" w14:textId="77777777" w:rsidR="00EE460F" w:rsidRPr="002C21B8" w:rsidRDefault="00EE460F">
      <w:pPr>
        <w:spacing w:after="0" w:line="240" w:lineRule="auto"/>
        <w:jc w:val="left"/>
        <w:rPr>
          <w:i/>
          <w:iCs/>
          <w:color w:val="7B7B7B" w:themeColor="accent3" w:themeShade="BF"/>
          <w:sz w:val="18"/>
          <w:szCs w:val="18"/>
        </w:rPr>
      </w:pPr>
      <w:bookmarkStart w:id="262" w:name="_Ref219210509"/>
      <w:bookmarkStart w:id="263" w:name="_Ref225521019"/>
      <w:r w:rsidRPr="002C21B8">
        <w:br w:type="page"/>
      </w:r>
    </w:p>
    <w:p w14:paraId="78E4B54E" w14:textId="49F8FD75" w:rsidR="00C41DE2" w:rsidRPr="002C21B8" w:rsidRDefault="00C41DE2" w:rsidP="006A2FF3">
      <w:pPr>
        <w:pStyle w:val="Caption"/>
        <w:keepNext w:val="0"/>
        <w:rPr>
          <w:noProof w:val="0"/>
        </w:rPr>
      </w:pPr>
      <w:bookmarkStart w:id="264" w:name="_Toc236991775"/>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17</w:t>
      </w:r>
      <w:r w:rsidR="001B725E" w:rsidRPr="002C21B8">
        <w:rPr>
          <w:noProof w:val="0"/>
        </w:rPr>
        <w:fldChar w:fldCharType="end"/>
      </w:r>
      <w:bookmarkEnd w:id="262"/>
      <w:bookmarkEnd w:id="263"/>
      <w:r w:rsidRPr="002C21B8">
        <w:rPr>
          <w:noProof w:val="0"/>
        </w:rPr>
        <w:t xml:space="preserve">. Configuration of </w:t>
      </w:r>
      <w:r w:rsidR="00226C78" w:rsidRPr="002C21B8">
        <w:rPr>
          <w:noProof w:val="0"/>
        </w:rPr>
        <w:t>clinicians</w:t>
      </w:r>
      <w:r w:rsidRPr="002C21B8">
        <w:rPr>
          <w:noProof w:val="0"/>
        </w:rPr>
        <w:t xml:space="preserve"> involved in tolvaptan services at each kidney centre</w:t>
      </w:r>
      <w:bookmarkEnd w:id="264"/>
    </w:p>
    <w:p w14:paraId="790C6DA4" w14:textId="2AD3307A" w:rsidR="00C41DE2" w:rsidRPr="002C21B8" w:rsidRDefault="006A2FF3" w:rsidP="006A2FF3">
      <w:pPr>
        <w:spacing w:line="240" w:lineRule="auto"/>
      </w:pPr>
      <w:bookmarkStart w:id="265" w:name="_Ref219210511"/>
      <w:r w:rsidRPr="002C21B8">
        <w:rPr>
          <w:noProof/>
        </w:rPr>
        <w:drawing>
          <wp:inline distT="0" distB="0" distL="0" distR="0" wp14:anchorId="02F779E3" wp14:editId="6B0BAA77">
            <wp:extent cx="4702629" cy="3441265"/>
            <wp:effectExtent l="0" t="0" r="0" b="0"/>
            <wp:docPr id="555287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87908" name=""/>
                    <pic:cNvPicPr/>
                  </pic:nvPicPr>
                  <pic:blipFill>
                    <a:blip r:embed="rId64"/>
                    <a:stretch>
                      <a:fillRect/>
                    </a:stretch>
                  </pic:blipFill>
                  <pic:spPr>
                    <a:xfrm>
                      <a:off x="0" y="0"/>
                      <a:ext cx="4712013" cy="3448132"/>
                    </a:xfrm>
                    <a:prstGeom prst="rect">
                      <a:avLst/>
                    </a:prstGeom>
                  </pic:spPr>
                </pic:pic>
              </a:graphicData>
            </a:graphic>
          </wp:inline>
        </w:drawing>
      </w:r>
    </w:p>
    <w:p w14:paraId="117D539D" w14:textId="3D197C0F" w:rsidR="000B7181" w:rsidRPr="002C21B8" w:rsidRDefault="000943FF" w:rsidP="004A347B">
      <w:bookmarkStart w:id="266" w:name="_Ref225521031"/>
      <w:r w:rsidRPr="002C21B8">
        <w:t>Specialist ADPKD/renal genetics consultant</w:t>
      </w:r>
      <w:r w:rsidR="00EE460F" w:rsidRPr="002C21B8">
        <w:t>-led</w:t>
      </w:r>
      <w:r w:rsidR="000828CA" w:rsidRPr="002C21B8">
        <w:t xml:space="preserve"> </w:t>
      </w:r>
      <w:r w:rsidRPr="002C21B8">
        <w:t xml:space="preserve">services were more common than general consultant-led services (72.5%, 29/40 </w:t>
      </w:r>
      <w:r w:rsidR="005E4E0B" w:rsidRPr="002C21B8">
        <w:t>versus</w:t>
      </w:r>
      <w:r w:rsidRPr="002C21B8">
        <w:t xml:space="preserve"> 27.5%</w:t>
      </w:r>
      <w:r w:rsidR="005E4E0B" w:rsidRPr="002C21B8">
        <w:t>,</w:t>
      </w:r>
      <w:r w:rsidRPr="002C21B8">
        <w:t xml:space="preserve"> 11/40).</w:t>
      </w:r>
      <w:r w:rsidR="00EE460F" w:rsidRPr="002C21B8">
        <w:t xml:space="preserve"> </w:t>
      </w:r>
      <w:r w:rsidR="00730D60" w:rsidRPr="002C21B8">
        <w:t>Prescribing decision-making models varied across kidney centres</w:t>
      </w:r>
      <w:r w:rsidR="00D7270D" w:rsidRPr="002C21B8">
        <w:t>,</w:t>
      </w:r>
      <w:r w:rsidR="00730D60" w:rsidRPr="002C21B8">
        <w:t xml:space="preserve"> with decisions most commonly made by </w:t>
      </w:r>
      <w:r w:rsidR="00557501" w:rsidRPr="002C21B8">
        <w:t xml:space="preserve">a </w:t>
      </w:r>
      <w:r w:rsidR="00730D60" w:rsidRPr="002C21B8">
        <w:t xml:space="preserve">single </w:t>
      </w:r>
      <w:r w:rsidR="00557501" w:rsidRPr="002C21B8">
        <w:t>clinician</w:t>
      </w:r>
      <w:r w:rsidR="00730D60" w:rsidRPr="002C21B8">
        <w:t xml:space="preserve"> (</w:t>
      </w:r>
      <w:r w:rsidR="00557501" w:rsidRPr="002C21B8">
        <w:t>57.8%, 23/40</w:t>
      </w:r>
      <w:r w:rsidR="00730D60" w:rsidRPr="002C21B8">
        <w:t xml:space="preserve">), followed by multiple individual </w:t>
      </w:r>
      <w:r w:rsidR="00557501" w:rsidRPr="002C21B8">
        <w:t>clinicians independently</w:t>
      </w:r>
      <w:r w:rsidR="00730D60" w:rsidRPr="002C21B8">
        <w:t xml:space="preserve"> (</w:t>
      </w:r>
      <w:r w:rsidR="00557501" w:rsidRPr="002C21B8">
        <w:t>30.0%, 12/40</w:t>
      </w:r>
      <w:r w:rsidR="00730D60" w:rsidRPr="002C21B8">
        <w:t>) and multi-disciplinary team discussion (</w:t>
      </w:r>
      <w:r w:rsidR="00557501" w:rsidRPr="002C21B8">
        <w:t>27.5%, 11/40</w:t>
      </w:r>
      <w:r w:rsidR="00730D60" w:rsidRPr="002C21B8">
        <w:t xml:space="preserve">). The </w:t>
      </w:r>
      <w:r w:rsidRPr="002C21B8">
        <w:t xml:space="preserve">relationship between </w:t>
      </w:r>
      <w:r w:rsidR="00730D60" w:rsidRPr="002C21B8">
        <w:t>service</w:t>
      </w:r>
      <w:r w:rsidRPr="002C21B8">
        <w:t xml:space="preserve"> leadership</w:t>
      </w:r>
      <w:r w:rsidR="00730D60" w:rsidRPr="002C21B8">
        <w:t xml:space="preserve">, </w:t>
      </w:r>
      <w:r w:rsidR="00410915" w:rsidRPr="002C21B8">
        <w:t>prescribing</w:t>
      </w:r>
      <w:r w:rsidR="00730D60" w:rsidRPr="002C21B8">
        <w:t xml:space="preserve"> model </w:t>
      </w:r>
      <w:r w:rsidRPr="002C21B8">
        <w:t xml:space="preserve">and staffing </w:t>
      </w:r>
      <w:r w:rsidR="009A0EB0" w:rsidRPr="002C21B8">
        <w:t>is</w:t>
      </w:r>
      <w:r w:rsidRPr="002C21B8">
        <w:t xml:space="preserve"> presented in </w:t>
      </w:r>
      <w:r w:rsidR="00730D60" w:rsidRPr="002C21B8">
        <w:fldChar w:fldCharType="begin"/>
      </w:r>
      <w:r w:rsidR="00730D60" w:rsidRPr="002C21B8">
        <w:instrText xml:space="preserve"> REF _Ref228375979 \h </w:instrText>
      </w:r>
      <w:r w:rsidR="004A347B" w:rsidRPr="002C21B8">
        <w:instrText xml:space="preserve"> \* MERGEFORMAT </w:instrText>
      </w:r>
      <w:r w:rsidR="00730D60" w:rsidRPr="002C21B8">
        <w:fldChar w:fldCharType="separate"/>
      </w:r>
      <w:r w:rsidR="00DB3709" w:rsidRPr="002C21B8">
        <w:t xml:space="preserve">Figure </w:t>
      </w:r>
      <w:r w:rsidR="00DB3709">
        <w:rPr>
          <w:noProof/>
        </w:rPr>
        <w:t>18</w:t>
      </w:r>
      <w:r w:rsidR="00730D60" w:rsidRPr="002C21B8">
        <w:fldChar w:fldCharType="end"/>
      </w:r>
      <w:r w:rsidR="00730D60" w:rsidRPr="002C21B8">
        <w:t xml:space="preserve"> and </w:t>
      </w:r>
      <w:r w:rsidRPr="002C21B8">
        <w:t xml:space="preserve">as a table in </w:t>
      </w:r>
      <w:hyperlink w:anchor="_Service_configurations_and" w:history="1">
        <w:r w:rsidR="00730D60" w:rsidRPr="002C21B8">
          <w:rPr>
            <w:rStyle w:val="Hyperlink"/>
          </w:rPr>
          <w:t>Appendix 10</w:t>
        </w:r>
      </w:hyperlink>
      <w:r w:rsidR="00730D60" w:rsidRPr="002C21B8">
        <w:t>.</w:t>
      </w:r>
    </w:p>
    <w:p w14:paraId="6CD7139A" w14:textId="1EA01BAC" w:rsidR="00C41DE2" w:rsidRPr="002C21B8" w:rsidRDefault="00C41DE2" w:rsidP="000C7BC0">
      <w:pPr>
        <w:pStyle w:val="Caption"/>
        <w:keepNext w:val="0"/>
        <w:rPr>
          <w:noProof w:val="0"/>
        </w:rPr>
      </w:pPr>
      <w:bookmarkStart w:id="267" w:name="_Ref228375979"/>
      <w:bookmarkStart w:id="268" w:name="_Toc236991776"/>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18</w:t>
      </w:r>
      <w:r w:rsidR="001B725E" w:rsidRPr="002C21B8">
        <w:rPr>
          <w:noProof w:val="0"/>
        </w:rPr>
        <w:fldChar w:fldCharType="end"/>
      </w:r>
      <w:bookmarkEnd w:id="265"/>
      <w:bookmarkEnd w:id="266"/>
      <w:bookmarkEnd w:id="267"/>
      <w:r w:rsidRPr="002C21B8">
        <w:rPr>
          <w:noProof w:val="0"/>
        </w:rPr>
        <w:t xml:space="preserve">. </w:t>
      </w:r>
      <w:r w:rsidR="006B606E" w:rsidRPr="002C21B8">
        <w:rPr>
          <w:noProof w:val="0"/>
        </w:rPr>
        <w:t xml:space="preserve">Professional involvement in the tolvaptan prescribing pathway </w:t>
      </w:r>
      <w:r w:rsidR="004A347B" w:rsidRPr="002C21B8">
        <w:rPr>
          <w:noProof w:val="0"/>
        </w:rPr>
        <w:t>stratified</w:t>
      </w:r>
      <w:r w:rsidR="006B606E" w:rsidRPr="002C21B8">
        <w:rPr>
          <w:noProof w:val="0"/>
        </w:rPr>
        <w:t xml:space="preserve"> by consultant-type leading service and decision-making model</w:t>
      </w:r>
      <w:bookmarkEnd w:id="268"/>
    </w:p>
    <w:p w14:paraId="6C4E9D3D" w14:textId="3DDB9E04" w:rsidR="00E236C7" w:rsidRPr="002C21B8" w:rsidRDefault="009F3F64" w:rsidP="000C7BC0">
      <w:pPr>
        <w:spacing w:line="240" w:lineRule="auto"/>
      </w:pPr>
      <w:bookmarkStart w:id="269" w:name="_Ref225518947"/>
      <w:bookmarkStart w:id="270" w:name="_Ref225518946"/>
      <w:r w:rsidRPr="002C21B8">
        <w:rPr>
          <w:noProof/>
        </w:rPr>
        <w:drawing>
          <wp:inline distT="0" distB="0" distL="0" distR="0" wp14:anchorId="2D49C523" wp14:editId="1114F1EB">
            <wp:extent cx="5731510" cy="2524259"/>
            <wp:effectExtent l="0" t="0" r="0" b="0"/>
            <wp:docPr id="136508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86527" name=""/>
                    <pic:cNvPicPr/>
                  </pic:nvPicPr>
                  <pic:blipFill rotWithShape="1">
                    <a:blip r:embed="rId65"/>
                    <a:srcRect b="13639"/>
                    <a:stretch/>
                  </pic:blipFill>
                  <pic:spPr bwMode="auto">
                    <a:xfrm>
                      <a:off x="0" y="0"/>
                      <a:ext cx="5731510" cy="2524259"/>
                    </a:xfrm>
                    <a:prstGeom prst="rect">
                      <a:avLst/>
                    </a:prstGeom>
                    <a:ln>
                      <a:noFill/>
                    </a:ln>
                    <a:extLst>
                      <a:ext uri="{53640926-AAD7-44D8-BBD7-CCE9431645EC}">
                        <a14:shadowObscured xmlns:a14="http://schemas.microsoft.com/office/drawing/2010/main"/>
                      </a:ext>
                    </a:extLst>
                  </pic:spPr>
                </pic:pic>
              </a:graphicData>
            </a:graphic>
          </wp:inline>
        </w:drawing>
      </w:r>
    </w:p>
    <w:bookmarkEnd w:id="269"/>
    <w:bookmarkEnd w:id="270"/>
    <w:p w14:paraId="35F5B17E" w14:textId="07376FE4" w:rsidR="0082424E" w:rsidRPr="002C21B8" w:rsidRDefault="001D3DD8" w:rsidP="001D3DD8">
      <w:r w:rsidRPr="002C21B8">
        <w:t>There was substantial variation in where eligibility for tolvaptan was initially assessed. 18/40 (45.0%) of centres initially assessed eligibility in general nephrology clinics, 17/40 (42.5%) in specialist clinics (</w:t>
      </w:r>
      <w:r w:rsidR="00D7270D" w:rsidRPr="002C21B8">
        <w:t>ADPKD</w:t>
      </w:r>
      <w:r w:rsidRPr="002C21B8">
        <w:t xml:space="preserve"> clinic or renal genetics clinic) and the remaining 5/40 (12.5%) patients were assessed in both general and specialist clinics. 20/40 (50.0%) centres reported having a dedicated tolvaptan clinic where patients could be monitored on tolvaptan</w:t>
      </w:r>
      <w:r w:rsidR="009A0EB0" w:rsidRPr="002C21B8">
        <w:t>,</w:t>
      </w:r>
      <w:r w:rsidRPr="002C21B8">
        <w:t xml:space="preserve"> with the remaining centres monitoring tolvaptan through the clinic where they were initially assessed for eligibility. </w:t>
      </w:r>
      <w:r w:rsidR="00C41DE2" w:rsidRPr="002C21B8">
        <w:t>14/</w:t>
      </w:r>
      <w:r w:rsidR="0012177F" w:rsidRPr="002C21B8">
        <w:t>20</w:t>
      </w:r>
      <w:r w:rsidR="00C41DE2" w:rsidRPr="002C21B8">
        <w:t xml:space="preserve"> (7</w:t>
      </w:r>
      <w:r w:rsidR="0012177F" w:rsidRPr="002C21B8">
        <w:t>0</w:t>
      </w:r>
      <w:r w:rsidR="005460BD" w:rsidRPr="002C21B8">
        <w:t>.0</w:t>
      </w:r>
      <w:r w:rsidR="00C41DE2" w:rsidRPr="002C21B8">
        <w:t>%) of centres with tolvaptan clinics were introduced in the three years following approval of tolvaptan. The time from eligibility assessment to initiation of tolvaptan varied across centres. In most centres</w:t>
      </w:r>
      <w:r w:rsidR="005E4E0B" w:rsidRPr="002C21B8">
        <w:t>,</w:t>
      </w:r>
      <w:r w:rsidR="00C41DE2" w:rsidRPr="002C21B8">
        <w:t xml:space="preserve"> tolvaptan was started quickly: on the same day or during the same clinic visit (</w:t>
      </w:r>
      <w:r w:rsidR="009A0EB0" w:rsidRPr="002C21B8">
        <w:t xml:space="preserve">12.5%, </w:t>
      </w:r>
      <w:r w:rsidR="00C41DE2" w:rsidRPr="002C21B8">
        <w:t>5</w:t>
      </w:r>
      <w:r w:rsidR="009A0EB0" w:rsidRPr="002C21B8">
        <w:t>/40</w:t>
      </w:r>
      <w:r w:rsidR="00C41DE2" w:rsidRPr="002C21B8">
        <w:t>), within 1 week (</w:t>
      </w:r>
      <w:r w:rsidR="009A0EB0" w:rsidRPr="002C21B8">
        <w:t xml:space="preserve">22.5%, </w:t>
      </w:r>
      <w:r w:rsidR="00C41DE2" w:rsidRPr="002C21B8">
        <w:t>9</w:t>
      </w:r>
      <w:r w:rsidR="009A0EB0" w:rsidRPr="002C21B8">
        <w:t>/40</w:t>
      </w:r>
      <w:r w:rsidR="00C41DE2" w:rsidRPr="002C21B8">
        <w:t>), or within 1</w:t>
      </w:r>
      <w:r w:rsidR="0011668F" w:rsidRPr="002C21B8">
        <w:t>–</w:t>
      </w:r>
      <w:r w:rsidR="00C41DE2" w:rsidRPr="002C21B8">
        <w:t>4 weeks (</w:t>
      </w:r>
      <w:r w:rsidR="009A0EB0" w:rsidRPr="002C21B8">
        <w:t xml:space="preserve">42.5%, </w:t>
      </w:r>
      <w:r w:rsidR="00C41DE2" w:rsidRPr="002C21B8">
        <w:t>17</w:t>
      </w:r>
      <w:r w:rsidR="009A0EB0" w:rsidRPr="002C21B8">
        <w:t>/40</w:t>
      </w:r>
      <w:r w:rsidR="00C41DE2" w:rsidRPr="002C21B8">
        <w:t>). Fewer centres reported a longer interval of 1</w:t>
      </w:r>
      <w:r w:rsidR="00786FD8" w:rsidRPr="002C21B8">
        <w:t>–</w:t>
      </w:r>
      <w:r w:rsidR="00C41DE2" w:rsidRPr="002C21B8">
        <w:t>3 months (</w:t>
      </w:r>
      <w:r w:rsidR="009A0EB0" w:rsidRPr="002C21B8">
        <w:t xml:space="preserve">17.5, </w:t>
      </w:r>
      <w:r w:rsidR="00C41DE2" w:rsidRPr="002C21B8">
        <w:t>7</w:t>
      </w:r>
      <w:r w:rsidR="009A0EB0" w:rsidRPr="002C21B8">
        <w:t>/40</w:t>
      </w:r>
      <w:r w:rsidR="00C41DE2" w:rsidRPr="002C21B8">
        <w:t>) or more than 3 months (</w:t>
      </w:r>
      <w:r w:rsidR="009A0EB0" w:rsidRPr="002C21B8">
        <w:t xml:space="preserve">2.5%, </w:t>
      </w:r>
      <w:r w:rsidR="00C41DE2" w:rsidRPr="002C21B8">
        <w:t>1</w:t>
      </w:r>
      <w:r w:rsidR="009A0EB0" w:rsidRPr="002C21B8">
        <w:t>/40</w:t>
      </w:r>
      <w:r w:rsidR="00C41DE2" w:rsidRPr="002C21B8">
        <w:t>).</w:t>
      </w:r>
    </w:p>
    <w:p w14:paraId="74556123" w14:textId="1C16E902" w:rsidR="00C41DE2" w:rsidRPr="002C21B8" w:rsidRDefault="00C41DE2" w:rsidP="0082424E">
      <w:pPr>
        <w:spacing w:before="240" w:after="0"/>
        <w:rPr>
          <w:b/>
          <w:bCs/>
          <w:sz w:val="24"/>
          <w:szCs w:val="24"/>
        </w:rPr>
      </w:pPr>
      <w:r w:rsidRPr="002C21B8">
        <w:rPr>
          <w:b/>
          <w:bCs/>
          <w:sz w:val="24"/>
          <w:szCs w:val="24"/>
        </w:rPr>
        <w:t>Guidance, local documentation and patient information</w:t>
      </w:r>
    </w:p>
    <w:p w14:paraId="513DAD88" w14:textId="79918E8C" w:rsidR="00E236C7" w:rsidRPr="002C21B8" w:rsidRDefault="00C41DE2" w:rsidP="003374F4">
      <w:r w:rsidRPr="002C21B8">
        <w:t xml:space="preserve">One-third of centres </w:t>
      </w:r>
      <w:r w:rsidR="00F93408" w:rsidRPr="002C21B8">
        <w:t xml:space="preserve">(13/39) </w:t>
      </w:r>
      <w:r w:rsidRPr="002C21B8">
        <w:t>reported having local guid</w:t>
      </w:r>
      <w:r w:rsidR="00F93408" w:rsidRPr="002C21B8">
        <w:t>elines</w:t>
      </w:r>
      <w:r w:rsidRPr="002C21B8">
        <w:t xml:space="preserve"> </w:t>
      </w:r>
      <w:r w:rsidR="00F93408" w:rsidRPr="002C21B8">
        <w:t xml:space="preserve">to </w:t>
      </w:r>
      <w:r w:rsidRPr="002C21B8">
        <w:t>support prescribing decision-making for tolvaptan. UKKA guidance was the guidance most reported being used by kidney centres</w:t>
      </w:r>
      <w:r w:rsidR="00151380" w:rsidRPr="002C21B8">
        <w:t>,</w:t>
      </w:r>
      <w:r w:rsidRPr="002C21B8">
        <w:t xml:space="preserve"> with 30/39 (77%). 25/39 (64%) reported having local guidance that was available to clinicians at their centre. Other resources were cited by respondents</w:t>
      </w:r>
      <w:r w:rsidR="00151380" w:rsidRPr="002C21B8">
        <w:t>,</w:t>
      </w:r>
      <w:r w:rsidRPr="002C21B8">
        <w:t xml:space="preserve"> but at lower rates</w:t>
      </w:r>
      <w:r w:rsidR="00AC43F2" w:rsidRPr="002C21B8">
        <w:t xml:space="preserve">, </w:t>
      </w:r>
      <w:r w:rsidR="005E0FDD" w:rsidRPr="002C21B8">
        <w:t xml:space="preserve">see </w:t>
      </w:r>
      <w:hyperlink w:anchor="_Upset_diagram_of" w:history="1">
        <w:r w:rsidR="00C83686" w:rsidRPr="002C21B8">
          <w:rPr>
            <w:rStyle w:val="Hyperlink"/>
          </w:rPr>
          <w:t>Appendix 10</w:t>
        </w:r>
      </w:hyperlink>
      <w:r w:rsidR="005E0FDD" w:rsidRPr="002C21B8">
        <w:rPr>
          <w:rStyle w:val="Hyperlink"/>
        </w:rPr>
        <w:t xml:space="preserve"> for more details</w:t>
      </w:r>
      <w:r w:rsidRPr="002C21B8">
        <w:t>.</w:t>
      </w:r>
      <w:r w:rsidR="00557501" w:rsidRPr="002C21B8">
        <w:t xml:space="preserve"> </w:t>
      </w:r>
      <w:r w:rsidRPr="002C21B8">
        <w:t xml:space="preserve">All centres reported providing verbal information in </w:t>
      </w:r>
      <w:r w:rsidR="005E4E0B" w:rsidRPr="002C21B8">
        <w:t xml:space="preserve">the </w:t>
      </w:r>
      <w:r w:rsidRPr="002C21B8">
        <w:t>clinic as part of discussions about tolvaptan. This was frequently supplemented by written information</w:t>
      </w:r>
      <w:r w:rsidR="00F93408" w:rsidRPr="002C21B8">
        <w:t>,</w:t>
      </w:r>
      <w:r w:rsidRPr="002C21B8">
        <w:t xml:space="preserve"> with 19/39 (49%) of centres providing the pharmaceutical company leaflet and 8/39 (21%) of centres providing a local leaflet. Many centres </w:t>
      </w:r>
      <w:r w:rsidR="00A17AD8" w:rsidRPr="002C21B8">
        <w:t>provided information through multiple methods</w:t>
      </w:r>
      <w:r w:rsidR="005E4E0B" w:rsidRPr="002C21B8">
        <w:t>,</w:t>
      </w:r>
      <w:r w:rsidR="00F93408" w:rsidRPr="002C21B8">
        <w:t xml:space="preserve"> as shown in </w:t>
      </w:r>
      <w:r w:rsidRPr="002C21B8">
        <w:fldChar w:fldCharType="begin"/>
      </w:r>
      <w:r w:rsidRPr="002C21B8">
        <w:instrText xml:space="preserve"> REF _Ref225160352 \h  \* MERGEFORMAT </w:instrText>
      </w:r>
      <w:r w:rsidRPr="002C21B8">
        <w:fldChar w:fldCharType="separate"/>
      </w:r>
      <w:r w:rsidR="00DB3709" w:rsidRPr="002C21B8">
        <w:t xml:space="preserve">Figure </w:t>
      </w:r>
      <w:r w:rsidR="00DB3709">
        <w:t>19</w:t>
      </w:r>
      <w:r w:rsidRPr="002C21B8">
        <w:fldChar w:fldCharType="end"/>
      </w:r>
      <w:r w:rsidRPr="002C21B8">
        <w:t>.</w:t>
      </w:r>
    </w:p>
    <w:p w14:paraId="08EEAE07" w14:textId="0C4D0BAB" w:rsidR="00C41DE2" w:rsidRPr="002C21B8" w:rsidRDefault="00C41DE2" w:rsidP="00411641">
      <w:pPr>
        <w:pStyle w:val="Caption"/>
        <w:keepNext w:val="0"/>
        <w:rPr>
          <w:noProof w:val="0"/>
        </w:rPr>
      </w:pPr>
      <w:bookmarkStart w:id="271" w:name="_Ref225160352"/>
      <w:bookmarkStart w:id="272" w:name="_Toc236991777"/>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19</w:t>
      </w:r>
      <w:r w:rsidR="001B725E" w:rsidRPr="002C21B8">
        <w:rPr>
          <w:noProof w:val="0"/>
        </w:rPr>
        <w:fldChar w:fldCharType="end"/>
      </w:r>
      <w:bookmarkEnd w:id="271"/>
      <w:r w:rsidRPr="002C21B8">
        <w:rPr>
          <w:noProof w:val="0"/>
        </w:rPr>
        <w:t xml:space="preserve">. </w:t>
      </w:r>
      <w:r w:rsidR="00665CCC">
        <w:rPr>
          <w:noProof w:val="0"/>
        </w:rPr>
        <w:t>Upset plot showing the m</w:t>
      </w:r>
      <w:r w:rsidRPr="002C21B8">
        <w:rPr>
          <w:noProof w:val="0"/>
        </w:rPr>
        <w:t xml:space="preserve">ethods </w:t>
      </w:r>
      <w:r w:rsidR="007A1740" w:rsidRPr="002C21B8">
        <w:rPr>
          <w:noProof w:val="0"/>
        </w:rPr>
        <w:t xml:space="preserve">for providing </w:t>
      </w:r>
      <w:r w:rsidRPr="002C21B8">
        <w:rPr>
          <w:noProof w:val="0"/>
        </w:rPr>
        <w:t>patient</w:t>
      </w:r>
      <w:r w:rsidR="007A1740" w:rsidRPr="002C21B8">
        <w:rPr>
          <w:noProof w:val="0"/>
        </w:rPr>
        <w:t xml:space="preserve"> </w:t>
      </w:r>
      <w:r w:rsidRPr="002C21B8">
        <w:rPr>
          <w:noProof w:val="0"/>
        </w:rPr>
        <w:t>information</w:t>
      </w:r>
      <w:r w:rsidR="007A1740" w:rsidRPr="002C21B8">
        <w:rPr>
          <w:noProof w:val="0"/>
        </w:rPr>
        <w:t xml:space="preserve"> on tolvaptan</w:t>
      </w:r>
      <w:bookmarkEnd w:id="272"/>
    </w:p>
    <w:p w14:paraId="578B6005" w14:textId="3B8C0310" w:rsidR="00A47B61" w:rsidRPr="002C21B8" w:rsidRDefault="00411641" w:rsidP="00411641">
      <w:pPr>
        <w:spacing w:line="240" w:lineRule="auto"/>
      </w:pPr>
      <w:r w:rsidRPr="002C21B8">
        <w:rPr>
          <w:noProof/>
        </w:rPr>
        <w:drawing>
          <wp:inline distT="0" distB="0" distL="0" distR="0" wp14:anchorId="055E4127" wp14:editId="6C0906F9">
            <wp:extent cx="4765183" cy="2910499"/>
            <wp:effectExtent l="0" t="0" r="0" b="0"/>
            <wp:docPr id="35707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77094" name=""/>
                    <pic:cNvPicPr/>
                  </pic:nvPicPr>
                  <pic:blipFill>
                    <a:blip r:embed="rId66"/>
                    <a:stretch>
                      <a:fillRect/>
                    </a:stretch>
                  </pic:blipFill>
                  <pic:spPr>
                    <a:xfrm>
                      <a:off x="0" y="0"/>
                      <a:ext cx="4788138" cy="2924519"/>
                    </a:xfrm>
                    <a:prstGeom prst="rect">
                      <a:avLst/>
                    </a:prstGeom>
                  </pic:spPr>
                </pic:pic>
              </a:graphicData>
            </a:graphic>
          </wp:inline>
        </w:drawing>
      </w:r>
    </w:p>
    <w:p w14:paraId="0831CF6B" w14:textId="503246A6" w:rsidR="00C41DE2" w:rsidRPr="002C21B8" w:rsidRDefault="00C41DE2" w:rsidP="00CC7702">
      <w:pPr>
        <w:spacing w:before="240" w:after="0"/>
        <w:rPr>
          <w:b/>
          <w:bCs/>
          <w:sz w:val="24"/>
          <w:szCs w:val="24"/>
        </w:rPr>
      </w:pPr>
      <w:r w:rsidRPr="002C21B8">
        <w:rPr>
          <w:b/>
          <w:bCs/>
          <w:sz w:val="24"/>
          <w:szCs w:val="24"/>
        </w:rPr>
        <w:t>Eligibility of people with ADPKD for tolvaptan</w:t>
      </w:r>
    </w:p>
    <w:p w14:paraId="43ABCDD4" w14:textId="56BA0A0A" w:rsidR="00AC43F2" w:rsidRPr="002C21B8" w:rsidRDefault="001719F2" w:rsidP="0082424E">
      <w:r w:rsidRPr="002C21B8">
        <w:t>Variation in CKD stage</w:t>
      </w:r>
      <w:r w:rsidR="009E7CCD" w:rsidRPr="002C21B8">
        <w:t>-</w:t>
      </w:r>
      <w:r w:rsidRPr="002C21B8">
        <w:t xml:space="preserve">based eGFR thresholds for tolvaptan prescribing was observed across centres. </w:t>
      </w:r>
      <w:r w:rsidR="00EF5A27" w:rsidRPr="002C21B8">
        <w:t xml:space="preserve">Upper </w:t>
      </w:r>
      <w:r w:rsidR="00774E60" w:rsidRPr="002C21B8">
        <w:t>eGFR thresholds were reported by 35</w:t>
      </w:r>
      <w:r w:rsidR="00483C88" w:rsidRPr="002C21B8">
        <w:t>/39 (89.7%)</w:t>
      </w:r>
      <w:r w:rsidR="00774E60" w:rsidRPr="002C21B8">
        <w:t xml:space="preserve"> </w:t>
      </w:r>
      <w:r w:rsidR="00483C88" w:rsidRPr="002C21B8">
        <w:t xml:space="preserve">of </w:t>
      </w:r>
      <w:r w:rsidR="00774E60" w:rsidRPr="002C21B8">
        <w:t>centres</w:t>
      </w:r>
      <w:r w:rsidR="00483C88" w:rsidRPr="002C21B8">
        <w:t xml:space="preserve">. </w:t>
      </w:r>
      <w:r w:rsidR="00D24395" w:rsidRPr="002C21B8">
        <w:t xml:space="preserve">These </w:t>
      </w:r>
      <w:r w:rsidR="007745D9" w:rsidRPr="002C21B8">
        <w:t xml:space="preserve">aligned with the national health technology assessment criteria in 34/35 (97.1%) of centres. In England, Wales and Northern Ireland centres the upper threshold was </w:t>
      </w:r>
      <w:r w:rsidR="00774E60" w:rsidRPr="002C21B8">
        <w:t>89 ml/min/1.73m</w:t>
      </w:r>
      <w:r w:rsidR="00774E60" w:rsidRPr="002C21B8">
        <w:rPr>
          <w:vertAlign w:val="superscript"/>
        </w:rPr>
        <w:t>2</w:t>
      </w:r>
      <w:r w:rsidR="00774E60" w:rsidRPr="002C21B8">
        <w:t xml:space="preserve"> </w:t>
      </w:r>
      <w:r w:rsidR="007745D9" w:rsidRPr="002C21B8">
        <w:t>according to NICE guidance, whereas in Scotland</w:t>
      </w:r>
      <w:r w:rsidR="009E7CCD" w:rsidRPr="002C21B8">
        <w:t>,</w:t>
      </w:r>
      <w:r w:rsidR="007745D9" w:rsidRPr="002C21B8">
        <w:t xml:space="preserve"> the upper threshold was </w:t>
      </w:r>
      <w:r w:rsidR="00774E60" w:rsidRPr="002C21B8">
        <w:t>≥90</w:t>
      </w:r>
      <w:r w:rsidR="00D24395" w:rsidRPr="002C21B8">
        <w:t xml:space="preserve"> ml/min/1.73m</w:t>
      </w:r>
      <w:r w:rsidR="00D24395" w:rsidRPr="002C21B8">
        <w:rPr>
          <w:vertAlign w:val="superscript"/>
        </w:rPr>
        <w:t>2</w:t>
      </w:r>
      <w:r w:rsidR="007745D9" w:rsidRPr="002C21B8">
        <w:t xml:space="preserve"> according to SMC guidance.</w:t>
      </w:r>
      <w:r w:rsidR="00774E60" w:rsidRPr="002C21B8">
        <w:t xml:space="preserve"> One centre in England (1/35, 2.9%) reported prescribing to patients with an eGFR ≥90</w:t>
      </w:r>
      <w:r w:rsidR="007745D9" w:rsidRPr="002C21B8">
        <w:t xml:space="preserve"> ml/min/1.73m</w:t>
      </w:r>
      <w:r w:rsidR="007745D9" w:rsidRPr="002C21B8">
        <w:rPr>
          <w:vertAlign w:val="superscript"/>
        </w:rPr>
        <w:t>2</w:t>
      </w:r>
      <w:r w:rsidR="00774E60" w:rsidRPr="002C21B8">
        <w:t xml:space="preserve"> </w:t>
      </w:r>
      <w:r w:rsidR="007745D9" w:rsidRPr="002C21B8">
        <w:t xml:space="preserve">outside the NICE eligibility criteria. </w:t>
      </w:r>
      <w:r w:rsidR="00774E60" w:rsidRPr="002C21B8">
        <w:t>Lower eGFR thresholds were reported by 33</w:t>
      </w:r>
      <w:r w:rsidR="00483C88" w:rsidRPr="002C21B8">
        <w:t>/39 (84.6%)</w:t>
      </w:r>
      <w:r w:rsidR="00774E60" w:rsidRPr="002C21B8">
        <w:t xml:space="preserve"> </w:t>
      </w:r>
      <w:r w:rsidR="00483C88" w:rsidRPr="002C21B8">
        <w:t xml:space="preserve">of </w:t>
      </w:r>
      <w:r w:rsidR="00774E60" w:rsidRPr="002C21B8">
        <w:t>centres</w:t>
      </w:r>
      <w:r w:rsidR="00483C88" w:rsidRPr="002C21B8">
        <w:t>. The majority used the lower threshold of 30 ml/min/1.73m</w:t>
      </w:r>
      <w:r w:rsidR="00483C88" w:rsidRPr="002C21B8">
        <w:rPr>
          <w:vertAlign w:val="superscript"/>
        </w:rPr>
        <w:t>2</w:t>
      </w:r>
      <w:r w:rsidR="00483C88" w:rsidRPr="002C21B8">
        <w:t xml:space="preserve"> (60.6%, 20/33)</w:t>
      </w:r>
      <w:r w:rsidR="007745D9" w:rsidRPr="002C21B8">
        <w:t>, consistent with both NICE and SMC guidance.</w:t>
      </w:r>
      <w:r w:rsidR="00483C88" w:rsidRPr="002C21B8">
        <w:t xml:space="preserve"> 7/33 </w:t>
      </w:r>
      <w:r w:rsidR="007745D9" w:rsidRPr="002C21B8">
        <w:t xml:space="preserve">(21.2%) of </w:t>
      </w:r>
      <w:r w:rsidR="00483C88" w:rsidRPr="002C21B8">
        <w:t xml:space="preserve">centres reported lower </w:t>
      </w:r>
      <w:r w:rsidR="007745D9" w:rsidRPr="002C21B8">
        <w:t>thresholds</w:t>
      </w:r>
      <w:r w:rsidR="00483C88" w:rsidRPr="002C21B8">
        <w:t xml:space="preserve"> below t</w:t>
      </w:r>
      <w:r w:rsidR="007745D9" w:rsidRPr="002C21B8">
        <w:t>his level</w:t>
      </w:r>
      <w:r w:rsidR="00483C88" w:rsidRPr="002C21B8">
        <w:t xml:space="preserve"> (</w:t>
      </w:r>
      <w:r w:rsidR="000F04AD" w:rsidRPr="002C21B8">
        <w:t>eGFR 15 ml/min/1.73m</w:t>
      </w:r>
      <w:r w:rsidR="000F04AD" w:rsidRPr="002C21B8">
        <w:rPr>
          <w:vertAlign w:val="superscript"/>
        </w:rPr>
        <w:t>2</w:t>
      </w:r>
      <w:r w:rsidR="000F04AD" w:rsidRPr="002C21B8">
        <w:t xml:space="preserve"> (n</w:t>
      </w:r>
      <w:r w:rsidR="00A01641" w:rsidRPr="002C21B8">
        <w:t xml:space="preserve"> </w:t>
      </w:r>
      <w:r w:rsidR="000F04AD" w:rsidRPr="002C21B8">
        <w:t>=</w:t>
      </w:r>
      <w:r w:rsidR="00A01641" w:rsidRPr="002C21B8">
        <w:t xml:space="preserve"> </w:t>
      </w:r>
      <w:r w:rsidR="00483C88" w:rsidRPr="002C21B8">
        <w:t>2</w:t>
      </w:r>
      <w:r w:rsidR="000F04AD" w:rsidRPr="002C21B8">
        <w:t>), 20 ml/min/1.73m</w:t>
      </w:r>
      <w:r w:rsidR="000F04AD" w:rsidRPr="002C21B8">
        <w:rPr>
          <w:vertAlign w:val="superscript"/>
        </w:rPr>
        <w:t>2</w:t>
      </w:r>
      <w:r w:rsidR="000F04AD" w:rsidRPr="002C21B8">
        <w:t xml:space="preserve"> (n</w:t>
      </w:r>
      <w:r w:rsidR="00A01641" w:rsidRPr="002C21B8">
        <w:t xml:space="preserve"> </w:t>
      </w:r>
      <w:r w:rsidR="000F04AD" w:rsidRPr="002C21B8">
        <w:t>=</w:t>
      </w:r>
      <w:r w:rsidR="00A01641" w:rsidRPr="002C21B8">
        <w:t xml:space="preserve"> </w:t>
      </w:r>
      <w:r w:rsidR="000F04AD" w:rsidRPr="002C21B8">
        <w:t>2)</w:t>
      </w:r>
      <w:r w:rsidR="00D612E3" w:rsidRPr="002C21B8">
        <w:t>,</w:t>
      </w:r>
      <w:r w:rsidR="000F04AD" w:rsidRPr="002C21B8">
        <w:t xml:space="preserve"> and </w:t>
      </w:r>
      <w:r w:rsidR="00483C88" w:rsidRPr="002C21B8">
        <w:t>25</w:t>
      </w:r>
      <w:r w:rsidR="007745D9" w:rsidRPr="002C21B8">
        <w:t xml:space="preserve"> ml/min/1.73m</w:t>
      </w:r>
      <w:r w:rsidR="007745D9" w:rsidRPr="002C21B8">
        <w:rPr>
          <w:vertAlign w:val="superscript"/>
        </w:rPr>
        <w:t>2</w:t>
      </w:r>
      <w:r w:rsidR="000F04AD" w:rsidRPr="002C21B8">
        <w:t xml:space="preserve"> (n</w:t>
      </w:r>
      <w:r w:rsidR="00A01641" w:rsidRPr="002C21B8">
        <w:t xml:space="preserve"> </w:t>
      </w:r>
      <w:r w:rsidR="000F04AD" w:rsidRPr="002C21B8">
        <w:t>=</w:t>
      </w:r>
      <w:r w:rsidR="00A01641" w:rsidRPr="002C21B8">
        <w:t xml:space="preserve"> </w:t>
      </w:r>
      <w:r w:rsidR="000F04AD" w:rsidRPr="002C21B8">
        <w:t>3))</w:t>
      </w:r>
      <w:r w:rsidR="00483C88" w:rsidRPr="002C21B8">
        <w:t>. 6/33</w:t>
      </w:r>
      <w:r w:rsidR="007745D9" w:rsidRPr="002C21B8">
        <w:t xml:space="preserve"> (18.2%)</w:t>
      </w:r>
      <w:r w:rsidR="006608BF" w:rsidRPr="002C21B8">
        <w:t xml:space="preserve"> of</w:t>
      </w:r>
      <w:r w:rsidR="00483C88" w:rsidRPr="002C21B8">
        <w:t xml:space="preserve"> centres reported higher thresholds than </w:t>
      </w:r>
      <w:r w:rsidR="009E7CCD" w:rsidRPr="002C21B8">
        <w:t xml:space="preserve">recommended in the </w:t>
      </w:r>
      <w:r w:rsidR="00483C88" w:rsidRPr="002C21B8">
        <w:t>guideline</w:t>
      </w:r>
      <w:r w:rsidR="009E7CCD" w:rsidRPr="002C21B8">
        <w:t>s</w:t>
      </w:r>
      <w:r w:rsidR="00483C88" w:rsidRPr="002C21B8">
        <w:t xml:space="preserve"> (35</w:t>
      </w:r>
      <w:r w:rsidR="000F04AD" w:rsidRPr="002C21B8">
        <w:t xml:space="preserve"> ml/min/1.73m</w:t>
      </w:r>
      <w:r w:rsidR="000F04AD" w:rsidRPr="002C21B8">
        <w:rPr>
          <w:vertAlign w:val="superscript"/>
        </w:rPr>
        <w:t>2</w:t>
      </w:r>
      <w:r w:rsidR="000F04AD" w:rsidRPr="002C21B8">
        <w:t xml:space="preserve"> (n</w:t>
      </w:r>
      <w:r w:rsidR="00A01641" w:rsidRPr="002C21B8">
        <w:t xml:space="preserve"> </w:t>
      </w:r>
      <w:r w:rsidR="000F04AD" w:rsidRPr="002C21B8">
        <w:t>=</w:t>
      </w:r>
      <w:r w:rsidR="00A01641" w:rsidRPr="002C21B8">
        <w:t xml:space="preserve"> </w:t>
      </w:r>
      <w:r w:rsidR="000F04AD" w:rsidRPr="002C21B8">
        <w:t>2),</w:t>
      </w:r>
      <w:r w:rsidR="00483C88" w:rsidRPr="002C21B8">
        <w:t xml:space="preserve"> 60</w:t>
      </w:r>
      <w:r w:rsidR="007745D9" w:rsidRPr="002C21B8">
        <w:t xml:space="preserve"> ml/min/1.73m</w:t>
      </w:r>
      <w:r w:rsidR="007745D9" w:rsidRPr="002C21B8">
        <w:rPr>
          <w:vertAlign w:val="superscript"/>
        </w:rPr>
        <w:t>2</w:t>
      </w:r>
      <w:r w:rsidR="000F04AD" w:rsidRPr="002C21B8">
        <w:t xml:space="preserve"> (n</w:t>
      </w:r>
      <w:r w:rsidR="00A01641" w:rsidRPr="002C21B8">
        <w:t xml:space="preserve"> </w:t>
      </w:r>
      <w:r w:rsidR="000F04AD" w:rsidRPr="002C21B8">
        <w:t>=</w:t>
      </w:r>
      <w:r w:rsidR="00A01641" w:rsidRPr="002C21B8">
        <w:t xml:space="preserve"> </w:t>
      </w:r>
      <w:r w:rsidR="000F04AD" w:rsidRPr="002C21B8">
        <w:t>4))</w:t>
      </w:r>
      <w:r w:rsidR="00483C88" w:rsidRPr="002C21B8">
        <w:t>.</w:t>
      </w:r>
      <w:r w:rsidR="00DB2587" w:rsidRPr="002C21B8">
        <w:t xml:space="preserve"> </w:t>
      </w:r>
      <w:r w:rsidR="00E15CE2" w:rsidRPr="002C21B8">
        <w:t>Approaches to identifying and assessing eligibility</w:t>
      </w:r>
      <w:r w:rsidR="00E02A04" w:rsidRPr="002C21B8">
        <w:t xml:space="preserve"> </w:t>
      </w:r>
      <w:r w:rsidR="00E15CE2" w:rsidRPr="002C21B8">
        <w:t>for tolvaptan</w:t>
      </w:r>
      <w:r w:rsidR="00E02A04" w:rsidRPr="002C21B8">
        <w:t xml:space="preserve"> based on rapid disease progression</w:t>
      </w:r>
      <w:r w:rsidR="00E15CE2" w:rsidRPr="002C21B8">
        <w:t xml:space="preserve"> varied across centres. </w:t>
      </w:r>
      <w:r w:rsidR="00C41DE2" w:rsidRPr="002C21B8">
        <w:t>Responses indicated that eGFR slope was used in 39/39 (100</w:t>
      </w:r>
      <w:r w:rsidR="00104944" w:rsidRPr="002C21B8">
        <w:t>.0</w:t>
      </w:r>
      <w:r w:rsidR="00C41DE2" w:rsidRPr="002C21B8">
        <w:t>%) of centres, kidney length measured by ultrasound in 30/39 (7</w:t>
      </w:r>
      <w:r w:rsidR="005460BD" w:rsidRPr="002C21B8">
        <w:t>6.9</w:t>
      </w:r>
      <w:r w:rsidR="00C41DE2" w:rsidRPr="002C21B8">
        <w:t>%), total kidney volume measured by ultrasound in 8/39 (2</w:t>
      </w:r>
      <w:r w:rsidR="005460BD" w:rsidRPr="002C21B8">
        <w:t>0.5</w:t>
      </w:r>
      <w:r w:rsidR="00C41DE2" w:rsidRPr="002C21B8">
        <w:t>%), and total kidney volume measured by MRI in 20/39 (51</w:t>
      </w:r>
      <w:r w:rsidR="009A5425" w:rsidRPr="002C21B8">
        <w:t>.3</w:t>
      </w:r>
      <w:r w:rsidR="00C41DE2" w:rsidRPr="002C21B8">
        <w:t>%). When considering the risk stratification tools, Mayo Imaging Classification (MIC) was used in 23/39 (59</w:t>
      </w:r>
      <w:r w:rsidR="005460BD" w:rsidRPr="002C21B8">
        <w:t>.0</w:t>
      </w:r>
      <w:r w:rsidR="00C41DE2" w:rsidRPr="002C21B8">
        <w:t>%) and</w:t>
      </w:r>
      <w:r w:rsidR="00103687" w:rsidRPr="002C21B8">
        <w:t xml:space="preserve"> the</w:t>
      </w:r>
      <w:r w:rsidR="00C41DE2" w:rsidRPr="002C21B8">
        <w:t xml:space="preserve"> Predicting Renal Outcome in Polycystic Kidney Disease (PROPKD) score in 14/39 (3</w:t>
      </w:r>
      <w:r w:rsidR="009A5425" w:rsidRPr="002C21B8">
        <w:t>5.9</w:t>
      </w:r>
      <w:r w:rsidR="00C41DE2" w:rsidRPr="002C21B8">
        <w:t>%)</w:t>
      </w:r>
      <w:r w:rsidR="0026228D" w:rsidRPr="002C21B8">
        <w:t>.</w:t>
      </w:r>
      <w:r w:rsidR="00D1245B" w:rsidRPr="002C21B8">
        <w:t xml:space="preserve"> </w:t>
      </w:r>
      <w:r w:rsidR="005E60F9" w:rsidRPr="002C21B8">
        <w:fldChar w:fldCharType="begin"/>
      </w:r>
      <w:r w:rsidR="005E60F9" w:rsidRPr="002C21B8">
        <w:instrText xml:space="preserve"> REF _Ref225866025 \h </w:instrText>
      </w:r>
      <w:r w:rsidR="00585F6D" w:rsidRPr="002C21B8">
        <w:instrText xml:space="preserve"> \* MERGEFORMAT </w:instrText>
      </w:r>
      <w:r w:rsidR="005E60F9" w:rsidRPr="002C21B8">
        <w:fldChar w:fldCharType="separate"/>
      </w:r>
      <w:r w:rsidR="00DB3709" w:rsidRPr="002C21B8">
        <w:rPr>
          <w:noProof/>
        </w:rPr>
        <w:t>Figure</w:t>
      </w:r>
      <w:r w:rsidR="00DB3709" w:rsidRPr="002C21B8">
        <w:t xml:space="preserve"> </w:t>
      </w:r>
      <w:r w:rsidR="00DB3709">
        <w:rPr>
          <w:noProof/>
        </w:rPr>
        <w:t>20</w:t>
      </w:r>
      <w:r w:rsidR="005E60F9" w:rsidRPr="002C21B8">
        <w:fldChar w:fldCharType="end"/>
      </w:r>
      <w:r w:rsidR="00C41DE2" w:rsidRPr="002C21B8">
        <w:t xml:space="preserve"> shows the range of eligibility criteria combinations used by kidney centres, with eGFR slope</w:t>
      </w:r>
      <w:r w:rsidR="004F6912" w:rsidRPr="002C21B8">
        <w:t xml:space="preserve"> </w:t>
      </w:r>
      <w:r w:rsidR="00C41DE2" w:rsidRPr="002C21B8">
        <w:t>and kidney length measured by ultrasound being the most common.</w:t>
      </w:r>
      <w:bookmarkStart w:id="273" w:name="_Ref219231821"/>
      <w:r w:rsidR="00E2370C" w:rsidRPr="002C21B8">
        <w:t xml:space="preserve"> Where eligibility measures were not routinely used, centres cited limitations in local availability of MRI, radiological support for TKV calculations, difficulties using the PROPKD risk stratification tool and </w:t>
      </w:r>
      <w:r w:rsidR="005E4E0B" w:rsidRPr="002C21B8">
        <w:t xml:space="preserve">less </w:t>
      </w:r>
      <w:r w:rsidR="00E2370C" w:rsidRPr="002C21B8">
        <w:t xml:space="preserve">experience </w:t>
      </w:r>
      <w:r w:rsidR="005E4E0B" w:rsidRPr="002C21B8">
        <w:t>in requesting</w:t>
      </w:r>
      <w:r w:rsidR="00E2370C" w:rsidRPr="002C21B8">
        <w:t xml:space="preserve"> genomic testing.</w:t>
      </w:r>
      <w:r w:rsidR="000E7B9E" w:rsidRPr="002C21B8">
        <w:t xml:space="preserve"> </w:t>
      </w:r>
      <w:r w:rsidR="0021674B" w:rsidRPr="002C21B8">
        <w:t>6</w:t>
      </w:r>
      <w:r w:rsidR="00B42690" w:rsidRPr="002C21B8">
        <w:t>/39</w:t>
      </w:r>
      <w:r w:rsidR="000E7B9E" w:rsidRPr="002C21B8">
        <w:t xml:space="preserve"> </w:t>
      </w:r>
      <w:r w:rsidR="009B0ED6" w:rsidRPr="002C21B8">
        <w:t>(</w:t>
      </w:r>
      <w:r w:rsidR="0021674B" w:rsidRPr="002C21B8">
        <w:t>15.4</w:t>
      </w:r>
      <w:r w:rsidR="009B0ED6" w:rsidRPr="002C21B8">
        <w:t xml:space="preserve">%) </w:t>
      </w:r>
      <w:r w:rsidR="000E7B9E" w:rsidRPr="002C21B8">
        <w:t xml:space="preserve">of centres </w:t>
      </w:r>
      <w:r w:rsidR="00AC2488" w:rsidRPr="002C21B8">
        <w:t>report</w:t>
      </w:r>
      <w:r w:rsidR="00F215D6" w:rsidRPr="002C21B8">
        <w:t>ed</w:t>
      </w:r>
      <w:r w:rsidR="009F3860" w:rsidRPr="002C21B8">
        <w:t xml:space="preserve"> us</w:t>
      </w:r>
      <w:r w:rsidR="00AC2488" w:rsidRPr="002C21B8">
        <w:t>ing</w:t>
      </w:r>
      <w:r w:rsidR="009F3860" w:rsidRPr="002C21B8">
        <w:t xml:space="preserve"> </w:t>
      </w:r>
      <w:r w:rsidR="009B0ED6" w:rsidRPr="002C21B8">
        <w:t>o</w:t>
      </w:r>
      <w:r w:rsidR="005856E6" w:rsidRPr="002C21B8">
        <w:t xml:space="preserve">ne of </w:t>
      </w:r>
      <w:r w:rsidR="009B0ED6" w:rsidRPr="002C21B8">
        <w:t>the</w:t>
      </w:r>
      <w:r w:rsidR="005856E6" w:rsidRPr="002C21B8">
        <w:t xml:space="preserve"> othe</w:t>
      </w:r>
      <w:r w:rsidR="009B0ED6" w:rsidRPr="002C21B8">
        <w:t>r</w:t>
      </w:r>
      <w:r w:rsidR="00D612E3" w:rsidRPr="002C21B8">
        <w:t xml:space="preserve"> non-eGFR</w:t>
      </w:r>
      <w:r w:rsidR="009B0ED6" w:rsidRPr="002C21B8">
        <w:t xml:space="preserve"> eligibility criteria </w:t>
      </w:r>
      <w:r w:rsidR="00AC2488" w:rsidRPr="002C21B8">
        <w:t xml:space="preserve">to initiate tolvaptan when the eGFR slope threshold was not met. The remaining centres did not use these </w:t>
      </w:r>
      <w:r w:rsidR="00D612E3" w:rsidRPr="002C21B8">
        <w:t xml:space="preserve">non-eGFR </w:t>
      </w:r>
      <w:r w:rsidR="00AC2488" w:rsidRPr="002C21B8">
        <w:t>criteria as standalone indications for initiation, but to increase confidence in decisions made based on the eGFR slope criterion.</w:t>
      </w:r>
      <w:r w:rsidR="005460BD" w:rsidRPr="002C21B8">
        <w:t xml:space="preserve"> </w:t>
      </w:r>
      <w:r w:rsidR="004F063D" w:rsidRPr="002C21B8">
        <w:t xml:space="preserve">30/39 (76.9%) of centres reported formally assessing patients at each appointment for tolvaptan. </w:t>
      </w:r>
      <w:r w:rsidR="004D4459" w:rsidRPr="002C21B8">
        <w:t>3/39</w:t>
      </w:r>
      <w:r w:rsidR="00A86E13" w:rsidRPr="002C21B8">
        <w:t xml:space="preserve"> (7.7%</w:t>
      </w:r>
      <w:r w:rsidR="004D4459" w:rsidRPr="002C21B8">
        <w:t>) of centres reported using an automated tool to fla</w:t>
      </w:r>
      <w:r w:rsidR="004F063D" w:rsidRPr="002C21B8">
        <w:t>g</w:t>
      </w:r>
      <w:r w:rsidR="004D4459" w:rsidRPr="002C21B8">
        <w:t xml:space="preserve"> people with ADPKD who would be eligible for tolvaptan. </w:t>
      </w:r>
      <w:r w:rsidR="005460BD" w:rsidRPr="002C21B8">
        <w:t xml:space="preserve">Of those </w:t>
      </w:r>
      <w:r w:rsidR="00C0113C" w:rsidRPr="002C21B8">
        <w:t xml:space="preserve">centres </w:t>
      </w:r>
      <w:r w:rsidR="005460BD" w:rsidRPr="002C21B8">
        <w:t>without access to an automated tool</w:t>
      </w:r>
      <w:r w:rsidR="00AC2488" w:rsidRPr="002C21B8">
        <w:t xml:space="preserve"> to identify eligible patients</w:t>
      </w:r>
      <w:r w:rsidR="005460BD" w:rsidRPr="002C21B8">
        <w:t>, 2</w:t>
      </w:r>
      <w:r w:rsidR="00DD0C2E" w:rsidRPr="002C21B8">
        <w:t>5</w:t>
      </w:r>
      <w:r w:rsidR="005460BD" w:rsidRPr="002C21B8">
        <w:t>/</w:t>
      </w:r>
      <w:r w:rsidR="00DD0C2E" w:rsidRPr="002C21B8">
        <w:t>36</w:t>
      </w:r>
      <w:r w:rsidR="005460BD" w:rsidRPr="002C21B8">
        <w:t xml:space="preserve"> (69.</w:t>
      </w:r>
      <w:r w:rsidR="00DD0C2E" w:rsidRPr="002C21B8">
        <w:t>4</w:t>
      </w:r>
      <w:r w:rsidR="005460BD" w:rsidRPr="002C21B8">
        <w:t>%) believed having one would be beneficial.</w:t>
      </w:r>
    </w:p>
    <w:p w14:paraId="67C8A303" w14:textId="77777777" w:rsidR="00D24395" w:rsidRPr="002C21B8" w:rsidRDefault="00D24395">
      <w:pPr>
        <w:spacing w:after="0" w:line="240" w:lineRule="auto"/>
        <w:jc w:val="left"/>
        <w:rPr>
          <w:i/>
          <w:iCs/>
          <w:color w:val="7B7B7B" w:themeColor="accent3" w:themeShade="BF"/>
          <w:sz w:val="18"/>
          <w:szCs w:val="18"/>
        </w:rPr>
      </w:pPr>
      <w:bookmarkStart w:id="274" w:name="_Ref225866025"/>
      <w:r w:rsidRPr="002C21B8">
        <w:br w:type="page"/>
      </w:r>
    </w:p>
    <w:p w14:paraId="6060A3FB" w14:textId="4D5AA560" w:rsidR="00C41DE2" w:rsidRPr="002C21B8" w:rsidRDefault="00C41DE2" w:rsidP="00923B93">
      <w:pPr>
        <w:pStyle w:val="Caption"/>
        <w:keepNext w:val="0"/>
        <w:rPr>
          <w:noProof w:val="0"/>
        </w:rPr>
      </w:pPr>
      <w:bookmarkStart w:id="275" w:name="_Toc236991778"/>
      <w:r w:rsidRPr="002C21B8">
        <w:rPr>
          <w:noProof w:val="0"/>
        </w:rPr>
        <w:t xml:space="preserve">Figure </w:t>
      </w:r>
      <w:r w:rsidR="001B725E" w:rsidRPr="002C21B8">
        <w:rPr>
          <w:noProof w:val="0"/>
        </w:rPr>
        <w:fldChar w:fldCharType="begin"/>
      </w:r>
      <w:r w:rsidR="001B725E" w:rsidRPr="002C21B8">
        <w:rPr>
          <w:noProof w:val="0"/>
        </w:rPr>
        <w:instrText xml:space="preserve"> SEQ Figure \* ARABIC </w:instrText>
      </w:r>
      <w:r w:rsidR="001B725E" w:rsidRPr="002C21B8">
        <w:rPr>
          <w:noProof w:val="0"/>
        </w:rPr>
        <w:fldChar w:fldCharType="separate"/>
      </w:r>
      <w:r w:rsidR="00DB3709">
        <w:t>20</w:t>
      </w:r>
      <w:r w:rsidR="001B725E" w:rsidRPr="002C21B8">
        <w:rPr>
          <w:noProof w:val="0"/>
        </w:rPr>
        <w:fldChar w:fldCharType="end"/>
      </w:r>
      <w:bookmarkEnd w:id="273"/>
      <w:bookmarkEnd w:id="274"/>
      <w:r w:rsidRPr="002C21B8">
        <w:rPr>
          <w:noProof w:val="0"/>
        </w:rPr>
        <w:t>. Combinations of eligibility criteria used by kidney centres</w:t>
      </w:r>
      <w:bookmarkEnd w:id="275"/>
    </w:p>
    <w:p w14:paraId="767FCF4A" w14:textId="144F2CCC" w:rsidR="00C41DE2" w:rsidRPr="002C21B8" w:rsidRDefault="00923B93" w:rsidP="00923B93">
      <w:pPr>
        <w:spacing w:line="240" w:lineRule="auto"/>
      </w:pPr>
      <w:r w:rsidRPr="002C21B8">
        <w:rPr>
          <w:noProof/>
        </w:rPr>
        <w:drawing>
          <wp:inline distT="0" distB="0" distL="0" distR="0" wp14:anchorId="3C7652AB" wp14:editId="224E4BAE">
            <wp:extent cx="4855029" cy="3075676"/>
            <wp:effectExtent l="0" t="0" r="0" b="0"/>
            <wp:docPr id="1707198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98800" name=""/>
                    <pic:cNvPicPr/>
                  </pic:nvPicPr>
                  <pic:blipFill>
                    <a:blip r:embed="rId67"/>
                    <a:stretch>
                      <a:fillRect/>
                    </a:stretch>
                  </pic:blipFill>
                  <pic:spPr>
                    <a:xfrm>
                      <a:off x="0" y="0"/>
                      <a:ext cx="4868762" cy="3084376"/>
                    </a:xfrm>
                    <a:prstGeom prst="rect">
                      <a:avLst/>
                    </a:prstGeom>
                  </pic:spPr>
                </pic:pic>
              </a:graphicData>
            </a:graphic>
          </wp:inline>
        </w:drawing>
      </w:r>
    </w:p>
    <w:p w14:paraId="21872884" w14:textId="7EF04179" w:rsidR="009C708F" w:rsidRPr="002C21B8" w:rsidRDefault="00C41DE2" w:rsidP="001E5186">
      <w:r w:rsidRPr="002C21B8">
        <w:t>Patterns of imaging and genomic testing varied across centres. Magnetic Resonance Imaging (MRI) to determine kidney volume was used infrequently in centres</w:t>
      </w:r>
      <w:r w:rsidR="003D6A41" w:rsidRPr="002C21B8">
        <w:t xml:space="preserve">, with </w:t>
      </w:r>
      <w:r w:rsidRPr="002C21B8">
        <w:t>23/39 (5</w:t>
      </w:r>
      <w:r w:rsidR="009A5425" w:rsidRPr="002C21B8">
        <w:t>9.0</w:t>
      </w:r>
      <w:r w:rsidRPr="002C21B8">
        <w:t>%) scanning ≤25% of patients and only 7/39 (</w:t>
      </w:r>
      <w:r w:rsidR="009A5425" w:rsidRPr="002C21B8">
        <w:t>17.9</w:t>
      </w:r>
      <w:r w:rsidRPr="002C21B8">
        <w:t xml:space="preserve">%) scanning </w:t>
      </w:r>
      <w:r w:rsidR="004B4E4F" w:rsidRPr="002C21B8">
        <w:t>&gt;50%</w:t>
      </w:r>
      <w:r w:rsidRPr="002C21B8">
        <w:t xml:space="preserve"> of their patients. Routine repeat MRI was uncommon, with 31/39 (79</w:t>
      </w:r>
      <w:r w:rsidR="009A5425" w:rsidRPr="002C21B8">
        <w:t>.5</w:t>
      </w:r>
      <w:r w:rsidRPr="002C21B8">
        <w:t xml:space="preserve">%) </w:t>
      </w:r>
      <w:r w:rsidR="007C5A4C" w:rsidRPr="002C21B8">
        <w:t xml:space="preserve">of </w:t>
      </w:r>
      <w:r w:rsidRPr="002C21B8">
        <w:t>centres not performing regular follow-up scans and no consensus across centres regarding the frequency of repeat imaging. Access to genomic testing was reported by 25/39 (64</w:t>
      </w:r>
      <w:r w:rsidR="009A5425" w:rsidRPr="002C21B8">
        <w:t>.1</w:t>
      </w:r>
      <w:r w:rsidRPr="002C21B8">
        <w:t>%)</w:t>
      </w:r>
      <w:r w:rsidR="00B03F0E" w:rsidRPr="002C21B8">
        <w:t xml:space="preserve"> of centres</w:t>
      </w:r>
      <w:r w:rsidRPr="002C21B8">
        <w:t>. However, the proportion of patients offered testing varied widely, with a median of 40% (IQR 12.5</w:t>
      </w:r>
      <w:r w:rsidR="00ED4F37" w:rsidRPr="002C21B8">
        <w:t>–</w:t>
      </w:r>
      <w:r w:rsidRPr="002C21B8">
        <w:t>77.5%) and an overall range of 5</w:t>
      </w:r>
      <w:r w:rsidR="000E11A9" w:rsidRPr="002C21B8">
        <w:t>–</w:t>
      </w:r>
      <w:r w:rsidRPr="002C21B8">
        <w:t>100%.</w:t>
      </w:r>
    </w:p>
    <w:p w14:paraId="55ED6BBF" w14:textId="5BEBFF40" w:rsidR="00C41DE2" w:rsidRPr="002C21B8" w:rsidRDefault="00C41DE2" w:rsidP="0082424E">
      <w:pPr>
        <w:spacing w:before="240" w:after="0"/>
        <w:rPr>
          <w:b/>
          <w:bCs/>
          <w:sz w:val="28"/>
          <w:szCs w:val="28"/>
        </w:rPr>
      </w:pPr>
      <w:r w:rsidRPr="002C21B8">
        <w:rPr>
          <w:b/>
          <w:bCs/>
          <w:sz w:val="28"/>
          <w:szCs w:val="28"/>
        </w:rPr>
        <w:t>Discussion</w:t>
      </w:r>
    </w:p>
    <w:p w14:paraId="104B536F" w14:textId="77777777" w:rsidR="00C41DE2" w:rsidRPr="002C21B8" w:rsidRDefault="00C41DE2" w:rsidP="00C64B2C">
      <w:pPr>
        <w:spacing w:after="0"/>
        <w:rPr>
          <w:b/>
          <w:bCs/>
          <w:sz w:val="24"/>
          <w:szCs w:val="24"/>
        </w:rPr>
      </w:pPr>
      <w:r w:rsidRPr="002C21B8">
        <w:rPr>
          <w:b/>
          <w:bCs/>
          <w:sz w:val="24"/>
          <w:szCs w:val="24"/>
        </w:rPr>
        <w:t>Main findings</w:t>
      </w:r>
    </w:p>
    <w:p w14:paraId="2E0E8FBC" w14:textId="074E4575" w:rsidR="006D4101" w:rsidRPr="002C21B8" w:rsidRDefault="00C41DE2" w:rsidP="003374F4">
      <w:r w:rsidRPr="002C21B8">
        <w:t xml:space="preserve">In this national survey of UK kidney centres, substantial variation in the organisation and delivery of tolvaptan services </w:t>
      </w:r>
      <w:r w:rsidR="004B6B94" w:rsidRPr="002C21B8">
        <w:t>was found</w:t>
      </w:r>
      <w:r w:rsidRPr="002C21B8">
        <w:t xml:space="preserve">. While </w:t>
      </w:r>
      <w:r w:rsidR="003D6A41" w:rsidRPr="002C21B8">
        <w:t>nephrologists were consistently central to prescribing decisions, decision-making models varied. Service configuration was heterogenous</w:t>
      </w:r>
      <w:r w:rsidR="00DB07BF" w:rsidRPr="002C21B8">
        <w:t>,</w:t>
      </w:r>
      <w:r w:rsidR="003D6A41" w:rsidRPr="002C21B8">
        <w:t xml:space="preserve"> with eligibility assessments </w:t>
      </w:r>
      <w:r w:rsidR="006D4101" w:rsidRPr="002C21B8">
        <w:t>being undertaken in</w:t>
      </w:r>
      <w:r w:rsidR="003D6A41" w:rsidRPr="002C21B8">
        <w:t xml:space="preserve"> specialist ADPKD/renal genetics and general nephrology clinics. Approximately half of </w:t>
      </w:r>
      <w:r w:rsidR="00DB07BF" w:rsidRPr="002C21B8">
        <w:t xml:space="preserve">the </w:t>
      </w:r>
      <w:r w:rsidR="00620FE5" w:rsidRPr="002C21B8">
        <w:t xml:space="preserve">kidney </w:t>
      </w:r>
      <w:r w:rsidR="003D6A41" w:rsidRPr="002C21B8">
        <w:t xml:space="preserve">centres reported having dedicated tolvaptan clinics. </w:t>
      </w:r>
      <w:r w:rsidRPr="002C21B8">
        <w:t xml:space="preserve">There was variable involvement of </w:t>
      </w:r>
      <w:r w:rsidR="003D6A41" w:rsidRPr="002C21B8">
        <w:t xml:space="preserve">the wider </w:t>
      </w:r>
      <w:r w:rsidRPr="002C21B8">
        <w:t xml:space="preserve">multi-disciplinary team members </w:t>
      </w:r>
      <w:r w:rsidR="003D6A41" w:rsidRPr="002C21B8">
        <w:t>a</w:t>
      </w:r>
      <w:r w:rsidR="006D4101" w:rsidRPr="002C21B8">
        <w:t xml:space="preserve">cross </w:t>
      </w:r>
      <w:r w:rsidR="003D6A41" w:rsidRPr="002C21B8">
        <w:t>centres</w:t>
      </w:r>
      <w:r w:rsidR="006E60CB" w:rsidRPr="002C21B8">
        <w:t>.</w:t>
      </w:r>
      <w:r w:rsidRPr="002C21B8">
        <w:t xml:space="preserve"> </w:t>
      </w:r>
      <w:r w:rsidR="003D6A41" w:rsidRPr="002C21B8">
        <w:t xml:space="preserve">CKD stage </w:t>
      </w:r>
      <w:r w:rsidR="006D4101" w:rsidRPr="002C21B8">
        <w:t>eligibility</w:t>
      </w:r>
      <w:r w:rsidR="003D6A41" w:rsidRPr="002C21B8">
        <w:t xml:space="preserve"> criteria were largely consistent with national guidance, although a small </w:t>
      </w:r>
      <w:r w:rsidR="006D4101" w:rsidRPr="002C21B8">
        <w:t xml:space="preserve">proportion of centres reported </w:t>
      </w:r>
      <w:r w:rsidR="00E20831" w:rsidRPr="002C21B8">
        <w:t xml:space="preserve">using </w:t>
      </w:r>
      <w:r w:rsidR="006D4101" w:rsidRPr="002C21B8">
        <w:t>thresholds outside recommended ranges. Assessment of eligibility based on rapid disease progression showed the greatest heterogeneity, with universal use of eGFR slopes but variable uptake of imaging and risk stratification tools.</w:t>
      </w:r>
    </w:p>
    <w:p w14:paraId="24CB2B6A" w14:textId="77777777" w:rsidR="00C41DE2" w:rsidRPr="002C21B8" w:rsidRDefault="00C41DE2" w:rsidP="0082424E">
      <w:pPr>
        <w:spacing w:before="240" w:after="0"/>
        <w:rPr>
          <w:b/>
          <w:bCs/>
          <w:sz w:val="24"/>
          <w:szCs w:val="24"/>
        </w:rPr>
      </w:pPr>
      <w:r w:rsidRPr="002C21B8">
        <w:rPr>
          <w:b/>
          <w:bCs/>
          <w:sz w:val="24"/>
          <w:szCs w:val="24"/>
        </w:rPr>
        <w:t>Comparison with existing literature</w:t>
      </w:r>
    </w:p>
    <w:p w14:paraId="214D37C2" w14:textId="7026E07C" w:rsidR="00C41DE2" w:rsidRPr="002C21B8" w:rsidRDefault="00C41DE2" w:rsidP="003374F4">
      <w:pPr>
        <w:rPr>
          <w:i/>
          <w:iCs/>
        </w:rPr>
      </w:pPr>
      <w:r w:rsidRPr="002C21B8">
        <w:t xml:space="preserve">Our findings are broadly consistent with earlier surveys examining tolvaptan prescribing and ADPKD management, while also demonstrating changes in practice over time. A previous UK study in 2022 </w:t>
      </w:r>
      <w:r w:rsidR="00E43929" w:rsidRPr="002C21B8">
        <w:t xml:space="preserve">by </w:t>
      </w:r>
      <w:r w:rsidR="00E43929" w:rsidRPr="002C21B8">
        <w:fldChar w:fldCharType="begin"/>
      </w:r>
      <w:r w:rsidR="00E43929" w:rsidRPr="002C21B8">
        <w:instrText xml:space="preserve"> ADDIN EN.CITE &lt;EndNote&gt;&lt;Cite AuthorYear="1"&gt;&lt;Author&gt;Chong&lt;/Author&gt;&lt;Year&gt;2022&lt;/Year&gt;&lt;RecNum&gt;125304&lt;/RecNum&gt;&lt;DisplayText&gt;Chong,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E43929" w:rsidRPr="002C21B8">
        <w:fldChar w:fldCharType="separate"/>
      </w:r>
      <w:r w:rsidR="00E43929" w:rsidRPr="002C21B8">
        <w:rPr>
          <w:noProof/>
        </w:rPr>
        <w:t>Chong, Harris and Ong (2022)</w:t>
      </w:r>
      <w:r w:rsidR="00E43929" w:rsidRPr="002C21B8">
        <w:fldChar w:fldCharType="end"/>
      </w:r>
      <w:r w:rsidR="00EF58BB" w:rsidRPr="002C21B8">
        <w:t>,</w:t>
      </w:r>
      <w:r w:rsidR="00E43929" w:rsidRPr="002C21B8">
        <w:t xml:space="preserve"> </w:t>
      </w:r>
      <w:r w:rsidRPr="002C21B8">
        <w:t>conducted in the context of the earlier Renal Association guidance</w:t>
      </w:r>
      <w:r w:rsidR="007B5AAD" w:rsidRPr="002C21B8">
        <w:t>,</w:t>
      </w:r>
      <w:r w:rsidRPr="002C21B8">
        <w:t xml:space="preserve"> </w:t>
      </w:r>
      <w:r w:rsidR="007B5AAD" w:rsidRPr="002C21B8">
        <w:t xml:space="preserve">focused on a narrower </w:t>
      </w:r>
      <w:r w:rsidR="00884F71" w:rsidRPr="002C21B8">
        <w:t>set</w:t>
      </w:r>
      <w:r w:rsidR="007B5AAD" w:rsidRPr="002C21B8">
        <w:t xml:space="preserve"> of </w:t>
      </w:r>
      <w:r w:rsidR="00884F71" w:rsidRPr="002C21B8">
        <w:t>issues</w:t>
      </w:r>
      <w:r w:rsidR="007B5AAD" w:rsidRPr="002C21B8">
        <w:t xml:space="preserve"> tha</w:t>
      </w:r>
      <w:r w:rsidR="00E43929" w:rsidRPr="002C21B8">
        <w:t>n</w:t>
      </w:r>
      <w:r w:rsidR="007B5AAD" w:rsidRPr="002C21B8">
        <w:t xml:space="preserve"> our survey</w:t>
      </w:r>
      <w:r w:rsidR="00EF58BB" w:rsidRPr="002C21B8">
        <w:t>,</w:t>
      </w:r>
      <w:r w:rsidR="00884F71" w:rsidRPr="002C21B8">
        <w:t xml:space="preserve"> namely</w:t>
      </w:r>
      <w:r w:rsidR="00EF58BB" w:rsidRPr="002C21B8">
        <w:t>,</w:t>
      </w:r>
      <w:r w:rsidR="00884F71" w:rsidRPr="002C21B8">
        <w:t xml:space="preserve"> assessment criteria</w:t>
      </w:r>
      <w:r w:rsidR="007B5AAD" w:rsidRPr="002C21B8">
        <w:t xml:space="preserve">. </w:t>
      </w:r>
      <w:r w:rsidR="00884F71" w:rsidRPr="002C21B8">
        <w:t>It</w:t>
      </w:r>
      <w:r w:rsidR="007B5AAD" w:rsidRPr="002C21B8">
        <w:t xml:space="preserve"> </w:t>
      </w:r>
      <w:r w:rsidRPr="002C21B8">
        <w:t>reported that eGFR was the primary method used to assess eligibility for tolvaptan, followed by kidney length measured by ultrasound. Approximately half of respondents us</w:t>
      </w:r>
      <w:r w:rsidR="007B5AAD" w:rsidRPr="002C21B8">
        <w:t>ed</w:t>
      </w:r>
      <w:r w:rsidRPr="002C21B8">
        <w:t xml:space="preserve"> MRI-derived total kidney volume</w:t>
      </w:r>
      <w:r w:rsidR="008B79DE" w:rsidRPr="002C21B8">
        <w:t>s</w:t>
      </w:r>
      <w:r w:rsidRPr="002C21B8">
        <w:t xml:space="preserve">. Similar patterns were observed in the present study with the exception of an increase in the use of genotype-based stratification with </w:t>
      </w:r>
      <w:r w:rsidR="0007689E" w:rsidRPr="002C21B8">
        <w:t xml:space="preserve">the </w:t>
      </w:r>
      <w:r w:rsidRPr="002C21B8">
        <w:t>P</w:t>
      </w:r>
      <w:r w:rsidR="0007689E" w:rsidRPr="002C21B8">
        <w:t xml:space="preserve">redicting </w:t>
      </w:r>
      <w:r w:rsidRPr="002C21B8">
        <w:t>R</w:t>
      </w:r>
      <w:r w:rsidR="0007689E" w:rsidRPr="002C21B8">
        <w:t xml:space="preserve">enal </w:t>
      </w:r>
      <w:r w:rsidRPr="002C21B8">
        <w:t>O</w:t>
      </w:r>
      <w:r w:rsidR="0007689E" w:rsidRPr="002C21B8">
        <w:t xml:space="preserve">utcomes in </w:t>
      </w:r>
      <w:r w:rsidRPr="002C21B8">
        <w:t>P</w:t>
      </w:r>
      <w:r w:rsidR="0007689E" w:rsidRPr="002C21B8">
        <w:t xml:space="preserve">olycystic </w:t>
      </w:r>
      <w:r w:rsidRPr="002C21B8">
        <w:t>K</w:t>
      </w:r>
      <w:r w:rsidR="0007689E" w:rsidRPr="002C21B8">
        <w:t xml:space="preserve">idney </w:t>
      </w:r>
      <w:r w:rsidRPr="002C21B8">
        <w:t>D</w:t>
      </w:r>
      <w:r w:rsidR="0007689E" w:rsidRPr="002C21B8">
        <w:t>isease (PROPKD)</w:t>
      </w:r>
      <w:r w:rsidRPr="002C21B8">
        <w:t xml:space="preserve"> </w:t>
      </w:r>
      <w:r w:rsidR="0007689E" w:rsidRPr="002C21B8">
        <w:t xml:space="preserve">prognostic </w:t>
      </w:r>
      <w:r w:rsidRPr="002C21B8">
        <w:t>scor</w:t>
      </w:r>
      <w:r w:rsidR="008A1EE2" w:rsidRPr="002C21B8">
        <w:t>ing system</w:t>
      </w:r>
      <w:r w:rsidRPr="002C21B8">
        <w:t xml:space="preserve"> used by 36% (14/39) of centres compared with 21% (3/14) in the earlier study</w:t>
      </w:r>
      <w:r w:rsidR="006708C1" w:rsidRPr="002C21B8">
        <w:t xml:space="preserve"> </w:t>
      </w:r>
      <w:r w:rsidR="006708C1" w:rsidRPr="002C21B8">
        <w:fldChar w:fldCharType="begin"/>
      </w:r>
      <w:r w:rsidR="006708C1" w:rsidRPr="002C21B8">
        <w:instrText xml:space="preserve"> ADDIN EN.CITE &lt;EndNote&gt;&lt;Cite&gt;&lt;Author&gt;Chong&lt;/Author&gt;&lt;Year&gt;2022&lt;/Year&gt;&lt;RecNum&gt;125304&lt;/RecNum&gt;&lt;DisplayText&gt;(Chong, Harris and Ong, 2022)&lt;/DisplayText&gt;&lt;record&gt;&lt;rec-number&gt;125304&lt;/rec-number&gt;&lt;foreign-keys&gt;&lt;key app="EN" db-id="xpefzwa5hf9dt2ea9fax95x7xvxz90v09dtf" timestamp="1774964584"&gt;125304&lt;/key&gt;&lt;/foreign-keys&gt;&lt;ref-type name="Journal Article"&gt;17&lt;/ref-type&gt;&lt;contributors&gt;&lt;authors&gt;&lt;author&gt;Chong, Jiehan&lt;/author&gt;&lt;author&gt;Harris, Tess&lt;/author&gt;&lt;author&gt;Ong, Albert CM&lt;/author&gt;&lt;/authors&gt;&lt;/contributors&gt;&lt;titles&gt;&lt;title&gt;Regional variation in tolvaptan prescribing across England: national data and retrospective evaluation from an expert centre&lt;/title&gt;&lt;secondary-title&gt;Clinical Kidney Journal&lt;/secondary-title&gt;&lt;/titles&gt;&lt;periodical&gt;&lt;full-title&gt;Clinical kidney journal&lt;/full-title&gt;&lt;/periodical&gt;&lt;pages&gt;61-68&lt;/pages&gt;&lt;volume&gt;16&lt;/volume&gt;&lt;number&gt;1&lt;/number&gt;&lt;dates&gt;&lt;year&gt;2022&lt;/year&gt;&lt;/dates&gt;&lt;isbn&gt;2048-8505&lt;/isbn&gt;&lt;urls&gt;&lt;/urls&gt;&lt;/record&gt;&lt;/Cite&gt;&lt;/EndNote&gt;</w:instrText>
      </w:r>
      <w:r w:rsidR="006708C1" w:rsidRPr="002C21B8">
        <w:fldChar w:fldCharType="separate"/>
      </w:r>
      <w:r w:rsidR="006708C1" w:rsidRPr="002C21B8">
        <w:t>(Chong, Harris and Ong, 2022)</w:t>
      </w:r>
      <w:r w:rsidR="006708C1" w:rsidRPr="002C21B8">
        <w:fldChar w:fldCharType="end"/>
      </w:r>
      <w:r w:rsidRPr="002C21B8">
        <w:t>.</w:t>
      </w:r>
    </w:p>
    <w:p w14:paraId="2A60D46F" w14:textId="661021B7" w:rsidR="00C41DE2" w:rsidRPr="002C21B8" w:rsidRDefault="00C41DE2" w:rsidP="003374F4">
      <w:r w:rsidRPr="002C21B8">
        <w:t>International data also demonstrates heterogeneity in the use of imaging and prognostic tools. A survey of Canadian nephrologists reported wide variation in the use of kidney imaging for ADPKD management</w:t>
      </w:r>
      <w:r w:rsidR="00EF58BB" w:rsidRPr="002C21B8">
        <w:t>,</w:t>
      </w:r>
      <w:r w:rsidRPr="002C21B8">
        <w:t xml:space="preserve"> and no respondents report</w:t>
      </w:r>
      <w:r w:rsidR="006D4101" w:rsidRPr="002C21B8">
        <w:t>ed</w:t>
      </w:r>
      <w:r w:rsidRPr="002C21B8">
        <w:t xml:space="preserve"> the use of the PROPKD score when assessing eligibility for tolvaptan</w:t>
      </w:r>
      <w:r w:rsidR="008B79DE" w:rsidRPr="002C21B8">
        <w:t xml:space="preserve"> </w:t>
      </w:r>
      <w:r w:rsidR="008B79DE" w:rsidRPr="002C21B8">
        <w:fldChar w:fldCharType="begin"/>
      </w:r>
      <w:r w:rsidR="008B79DE" w:rsidRPr="002C21B8">
        <w:instrText xml:space="preserve"> ADDIN EN.CITE &lt;EndNote&gt;&lt;Cite&gt;&lt;Author&gt;Yi&lt;/Author&gt;&lt;Year&gt;2020&lt;/Year&gt;&lt;RecNum&gt;125591&lt;/RecNum&gt;&lt;DisplayText&gt;(Yi&lt;style face="italic"&gt; et al.&lt;/style&gt;, 2020)&lt;/DisplayText&gt;&lt;record&gt;&lt;rec-number&gt;125591&lt;/rec-number&gt;&lt;foreign-keys&gt;&lt;key app="EN" db-id="xpefzwa5hf9dt2ea9fax95x7xvxz90v09dtf" timestamp="1778668499"&gt;125591&lt;/key&gt;&lt;/foreign-keys&gt;&lt;ref-type name="Journal Article"&gt;17&lt;/ref-type&gt;&lt;contributors&gt;&lt;authors&gt;&lt;author&gt;Yi, Tae Won&lt;/author&gt;&lt;author&gt;Levin, Adeera&lt;/author&gt;&lt;author&gt;Bevilacqua, Micheli&lt;/author&gt;&lt;author&gt;Canney, Mark&lt;/author&gt;&lt;/authors&gt;&lt;/contributors&gt;&lt;titles&gt;&lt;title&gt;A provincial survey of the contemporary management of autosomal dominant polycystic kidney disease&lt;/title&gt;&lt;secondary-title&gt;Canadian Journal of Kidney Health and Disease&lt;/secondary-title&gt;&lt;/titles&gt;&lt;periodical&gt;&lt;full-title&gt;Canadian journal of kidney health and disease&lt;/full-title&gt;&lt;/periodical&gt;&lt;pages&gt;1-8&lt;/pages&gt;&lt;volume&gt;7&lt;/volume&gt;&lt;dates&gt;&lt;year&gt;2020&lt;/year&gt;&lt;/dates&gt;&lt;isbn&gt;2054-3581&lt;/isbn&gt;&lt;urls&gt;&lt;/urls&gt;&lt;/record&gt;&lt;/Cite&gt;&lt;/EndNote&gt;</w:instrText>
      </w:r>
      <w:r w:rsidR="008B79DE" w:rsidRPr="002C21B8">
        <w:fldChar w:fldCharType="separate"/>
      </w:r>
      <w:r w:rsidR="008B79DE" w:rsidRPr="002C21B8">
        <w:rPr>
          <w:noProof/>
        </w:rPr>
        <w:t>(Yi</w:t>
      </w:r>
      <w:r w:rsidR="008B79DE" w:rsidRPr="002C21B8">
        <w:rPr>
          <w:i/>
          <w:noProof/>
        </w:rPr>
        <w:t xml:space="preserve"> et al.</w:t>
      </w:r>
      <w:r w:rsidR="008B79DE" w:rsidRPr="002C21B8">
        <w:rPr>
          <w:noProof/>
        </w:rPr>
        <w:t>, 2020)</w:t>
      </w:r>
      <w:r w:rsidR="008B79DE" w:rsidRPr="002C21B8">
        <w:fldChar w:fldCharType="end"/>
      </w:r>
      <w:r w:rsidRPr="002C21B8">
        <w:t>. This likely reflects temporal and system-level differences, with increased availability and integration of genetic testing into routine ADP</w:t>
      </w:r>
      <w:r w:rsidR="00396DE3" w:rsidRPr="002C21B8">
        <w:t>K</w:t>
      </w:r>
      <w:r w:rsidRPr="002C21B8">
        <w:t>D care in the UK. Our study supports th</w:t>
      </w:r>
      <w:r w:rsidR="008B79DE" w:rsidRPr="002C21B8">
        <w:t>is hypothesis</w:t>
      </w:r>
      <w:r w:rsidR="00EF58BB" w:rsidRPr="002C21B8">
        <w:t>,</w:t>
      </w:r>
      <w:r w:rsidR="008B79DE" w:rsidRPr="002C21B8">
        <w:t xml:space="preserve"> </w:t>
      </w:r>
      <w:r w:rsidRPr="002C21B8">
        <w:t>given that 64% of centres reported routinely performing genetic testing. Another reason for th</w:t>
      </w:r>
      <w:r w:rsidR="0021342D" w:rsidRPr="002C21B8">
        <w:t>e</w:t>
      </w:r>
      <w:r w:rsidRPr="002C21B8">
        <w:t xml:space="preserve"> underuse of the PROPKD score </w:t>
      </w:r>
      <w:r w:rsidR="007B5AAD" w:rsidRPr="002C21B8">
        <w:t xml:space="preserve">compared </w:t>
      </w:r>
      <w:r w:rsidR="00832446" w:rsidRPr="002C21B8">
        <w:t xml:space="preserve">to the Mayo Imaging </w:t>
      </w:r>
      <w:r w:rsidR="005C29E0" w:rsidRPr="002C21B8">
        <w:t>Classification</w:t>
      </w:r>
      <w:r w:rsidR="00832446" w:rsidRPr="002C21B8">
        <w:t xml:space="preserve"> </w:t>
      </w:r>
      <w:r w:rsidRPr="002C21B8">
        <w:t>may be that the data required is often not routinely collected</w:t>
      </w:r>
      <w:r w:rsidR="00FC2D12" w:rsidRPr="002C21B8">
        <w:t>,</w:t>
      </w:r>
      <w:r w:rsidRPr="002C21B8">
        <w:t xml:space="preserve"> and </w:t>
      </w:r>
      <w:r w:rsidR="006D4101" w:rsidRPr="002C21B8">
        <w:t xml:space="preserve">the </w:t>
      </w:r>
      <w:r w:rsidRPr="002C21B8">
        <w:t>age of symptom onset is often not recalled by patients.</w:t>
      </w:r>
    </w:p>
    <w:p w14:paraId="43CFBC06" w14:textId="71CE7F1B" w:rsidR="00C41DE2" w:rsidRPr="002C21B8" w:rsidRDefault="00C41DE2" w:rsidP="0082424E">
      <w:pPr>
        <w:spacing w:before="240" w:after="0"/>
        <w:rPr>
          <w:b/>
          <w:bCs/>
          <w:sz w:val="24"/>
          <w:szCs w:val="24"/>
        </w:rPr>
      </w:pPr>
      <w:r w:rsidRPr="002C21B8">
        <w:rPr>
          <w:b/>
          <w:bCs/>
          <w:sz w:val="24"/>
          <w:szCs w:val="24"/>
        </w:rPr>
        <w:t>Strengths and limitations</w:t>
      </w:r>
    </w:p>
    <w:p w14:paraId="136D1517" w14:textId="264EA493" w:rsidR="00C41DE2" w:rsidRPr="002C21B8" w:rsidRDefault="00C41DE2" w:rsidP="003374F4">
      <w:r w:rsidRPr="002C21B8">
        <w:t xml:space="preserve">This </w:t>
      </w:r>
      <w:r w:rsidR="00742176" w:rsidRPr="002C21B8">
        <w:t>research</w:t>
      </w:r>
      <w:r w:rsidRPr="002C21B8">
        <w:t xml:space="preserve"> ha</w:t>
      </w:r>
      <w:r w:rsidR="00F83D1F" w:rsidRPr="002C21B8">
        <w:t>s</w:t>
      </w:r>
      <w:r w:rsidR="00884F71" w:rsidRPr="002C21B8">
        <w:t xml:space="preserve"> two</w:t>
      </w:r>
      <w:r w:rsidR="00BE5F6C" w:rsidRPr="002C21B8">
        <w:t xml:space="preserve"> main</w:t>
      </w:r>
      <w:r w:rsidRPr="002C21B8">
        <w:t xml:space="preserve"> strengths. </w:t>
      </w:r>
      <w:r w:rsidR="00884F71" w:rsidRPr="002C21B8">
        <w:t>First, t</w:t>
      </w:r>
      <w:r w:rsidRPr="002C21B8">
        <w:t xml:space="preserve">his </w:t>
      </w:r>
      <w:r w:rsidR="00884F71" w:rsidRPr="002C21B8">
        <w:t>wa</w:t>
      </w:r>
      <w:r w:rsidRPr="002C21B8">
        <w:t xml:space="preserve">s the first national study to </w:t>
      </w:r>
      <w:r w:rsidR="004371DB" w:rsidRPr="002C21B8">
        <w:t xml:space="preserve">comprehensively </w:t>
      </w:r>
      <w:r w:rsidRPr="002C21B8">
        <w:t>describe the structure and delivery of tolvaptan services across UK kidney centres</w:t>
      </w:r>
      <w:r w:rsidR="00B947CB" w:rsidRPr="002C21B8">
        <w:t>,</w:t>
      </w:r>
      <w:r w:rsidRPr="002C21B8">
        <w:t xml:space="preserve"> including treatment pathways, decision-making processes</w:t>
      </w:r>
      <w:r w:rsidR="00884F71" w:rsidRPr="002C21B8">
        <w:t>,</w:t>
      </w:r>
      <w:r w:rsidRPr="002C21B8">
        <w:t xml:space="preserve"> and the eligibility criteria used in routine practice. </w:t>
      </w:r>
      <w:r w:rsidR="00884F71" w:rsidRPr="002C21B8">
        <w:t>Second, t</w:t>
      </w:r>
      <w:r w:rsidRPr="002C21B8">
        <w:t xml:space="preserve">he </w:t>
      </w:r>
      <w:r w:rsidR="00D63A35" w:rsidRPr="002C21B8">
        <w:t>response rate was 61%</w:t>
      </w:r>
      <w:r w:rsidR="00B947CB" w:rsidRPr="002C21B8">
        <w:t xml:space="preserve">, </w:t>
      </w:r>
      <w:r w:rsidR="00D63A35" w:rsidRPr="002C21B8">
        <w:t>which is high</w:t>
      </w:r>
      <w:r w:rsidR="00A56E52" w:rsidRPr="002C21B8">
        <w:t>er than typically reported for web-based physician surveys</w:t>
      </w:r>
      <w:r w:rsidR="00B0383E" w:rsidRPr="002C21B8">
        <w:t>,</w:t>
      </w:r>
      <w:r w:rsidR="00A56E52" w:rsidRPr="002C21B8">
        <w:t xml:space="preserve"> which are usually in the range </w:t>
      </w:r>
      <w:r w:rsidR="00077B55" w:rsidRPr="002C21B8">
        <w:rPr>
          <w:color w:val="000000" w:themeColor="text1"/>
        </w:rPr>
        <w:t>of</w:t>
      </w:r>
      <w:r w:rsidR="00B63D7D" w:rsidRPr="002C21B8">
        <w:rPr>
          <w:color w:val="000000" w:themeColor="text1"/>
        </w:rPr>
        <w:t xml:space="preserve"> </w:t>
      </w:r>
      <w:r w:rsidR="00B63D7D" w:rsidRPr="002C21B8">
        <w:t xml:space="preserve">35% to 50% </w:t>
      </w:r>
      <w:r w:rsidR="00B63D7D" w:rsidRPr="002C21B8">
        <w:fldChar w:fldCharType="begin">
          <w:fldData xml:space="preserve">PEVuZE5vdGU+PENpdGU+PEF1dGhvcj5DaG88L0F1dGhvcj48WWVhcj4yMDEzPC9ZZWFyPjxSZWNO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</w:fldData>
        </w:fldChar>
      </w:r>
      <w:r w:rsidR="00B63D7D" w:rsidRPr="002C21B8">
        <w:instrText xml:space="preserve"> ADDIN EN.CITE </w:instrText>
      </w:r>
      <w:r w:rsidR="00B63D7D" w:rsidRPr="002C21B8">
        <w:fldChar w:fldCharType="begin">
          <w:fldData xml:space="preserve">PEVuZE5vdGU+PENpdGU+PEF1dGhvcj5DaG88L0F1dGhvcj48WWVhcj4yMDEzPC9ZZWFyPjxSZWNO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</w:fldData>
        </w:fldChar>
      </w:r>
      <w:r w:rsidR="00B63D7D" w:rsidRPr="002C21B8">
        <w:instrText xml:space="preserve"> ADDIN EN.CITE.DATA </w:instrText>
      </w:r>
      <w:r w:rsidR="00B63D7D" w:rsidRPr="002C21B8">
        <w:fldChar w:fldCharType="end"/>
      </w:r>
      <w:r w:rsidR="00B63D7D" w:rsidRPr="002C21B8">
        <w:fldChar w:fldCharType="separate"/>
      </w:r>
      <w:r w:rsidR="00B63D7D" w:rsidRPr="002C21B8">
        <w:rPr>
          <w:noProof/>
        </w:rPr>
        <w:t>(Cho, Johnson and VanGeest, 2013; Cunningham</w:t>
      </w:r>
      <w:r w:rsidR="00B63D7D" w:rsidRPr="002C21B8">
        <w:rPr>
          <w:i/>
          <w:noProof/>
        </w:rPr>
        <w:t xml:space="preserve"> et al.</w:t>
      </w:r>
      <w:r w:rsidR="00B63D7D" w:rsidRPr="002C21B8">
        <w:rPr>
          <w:noProof/>
        </w:rPr>
        <w:t>, 2015; Meyer</w:t>
      </w:r>
      <w:r w:rsidR="00B63D7D" w:rsidRPr="002C21B8">
        <w:rPr>
          <w:i/>
          <w:noProof/>
        </w:rPr>
        <w:t xml:space="preserve"> et al.</w:t>
      </w:r>
      <w:r w:rsidR="00B63D7D" w:rsidRPr="002C21B8">
        <w:rPr>
          <w:noProof/>
        </w:rPr>
        <w:t>, 2022)</w:t>
      </w:r>
      <w:r w:rsidR="00B63D7D" w:rsidRPr="002C21B8">
        <w:fldChar w:fldCharType="end"/>
      </w:r>
      <w:r w:rsidR="00B63D7D" w:rsidRPr="002C21B8">
        <w:t xml:space="preserve">. Furthermore, respondents were recruited from kidney centres across all four nations </w:t>
      </w:r>
      <w:r w:rsidR="00B947CB" w:rsidRPr="002C21B8">
        <w:t>in</w:t>
      </w:r>
      <w:r w:rsidR="00B63D7D" w:rsidRPr="002C21B8">
        <w:t xml:space="preserve"> the UK. </w:t>
      </w:r>
      <w:r w:rsidR="00884F71" w:rsidRPr="002C21B8">
        <w:t>If</w:t>
      </w:r>
      <w:r w:rsidRPr="002C21B8">
        <w:t xml:space="preserve"> responses were anonymised</w:t>
      </w:r>
      <w:r w:rsidR="006D4101" w:rsidRPr="002C21B8">
        <w:t>,</w:t>
      </w:r>
      <w:r w:rsidRPr="002C21B8">
        <w:t xml:space="preserve"> the response rate may have been higher</w:t>
      </w:r>
      <w:r w:rsidR="00B947CB" w:rsidRPr="002C21B8">
        <w:t>,</w:t>
      </w:r>
      <w:r w:rsidRPr="002C21B8">
        <w:t xml:space="preserve"> but this was not possible due to the purpose of the survey.</w:t>
      </w:r>
      <w:r w:rsidR="00742176" w:rsidRPr="002C21B8">
        <w:t xml:space="preserve"> This research</w:t>
      </w:r>
      <w:r w:rsidRPr="002C21B8">
        <w:t xml:space="preserve"> has some limitations. </w:t>
      </w:r>
      <w:r w:rsidR="00884F71" w:rsidRPr="002C21B8">
        <w:t>First</w:t>
      </w:r>
      <w:r w:rsidR="00947223" w:rsidRPr="002C21B8">
        <w:t>ly</w:t>
      </w:r>
      <w:r w:rsidR="00884F71" w:rsidRPr="002C21B8">
        <w:t>, a</w:t>
      </w:r>
      <w:r w:rsidRPr="002C21B8">
        <w:t>s with most surveys, the study is subject to responder bias</w:t>
      </w:r>
      <w:r w:rsidR="00B947CB" w:rsidRPr="002C21B8">
        <w:t>,</w:t>
      </w:r>
      <w:r w:rsidR="00372778" w:rsidRPr="002C21B8">
        <w:t xml:space="preserve"> which is particularly relevant when asking about adherence to guidelines.</w:t>
      </w:r>
      <w:r w:rsidRPr="002C21B8">
        <w:t xml:space="preserve"> </w:t>
      </w:r>
      <w:r w:rsidR="00B427D3" w:rsidRPr="002C21B8">
        <w:t>Secondly</w:t>
      </w:r>
      <w:r w:rsidR="00572F7D" w:rsidRPr="002C21B8">
        <w:t>, d</w:t>
      </w:r>
      <w:r w:rsidRPr="002C21B8">
        <w:t>ata was self-reported and provided by a single respondent per centre, so responses may not fully reflect practice across all clinicians within a service.</w:t>
      </w:r>
    </w:p>
    <w:p w14:paraId="5ACEBDD7" w14:textId="77777777" w:rsidR="00C41DE2" w:rsidRPr="002C21B8" w:rsidRDefault="00C41DE2" w:rsidP="0082424E">
      <w:pPr>
        <w:spacing w:before="240" w:after="0"/>
        <w:rPr>
          <w:b/>
          <w:bCs/>
          <w:sz w:val="24"/>
          <w:szCs w:val="24"/>
        </w:rPr>
      </w:pPr>
      <w:r w:rsidRPr="002C21B8">
        <w:rPr>
          <w:b/>
          <w:bCs/>
          <w:sz w:val="24"/>
          <w:szCs w:val="24"/>
        </w:rPr>
        <w:t>Implications for clinical practice and research</w:t>
      </w:r>
    </w:p>
    <w:p w14:paraId="0B7F7EBB" w14:textId="6A726F2A" w:rsidR="00C358BF" w:rsidRPr="002C21B8" w:rsidRDefault="00C41DE2" w:rsidP="00832446">
      <w:r w:rsidRPr="002C21B8">
        <w:t>Our findings have important implications for both clinical practice and future research.</w:t>
      </w:r>
      <w:r w:rsidR="00EF4CB7" w:rsidRPr="002C21B8">
        <w:t xml:space="preserve"> Variation in the service configurations and eligibility assessment practices was demonstrated between kidney centres, indicating potential inconsistency in tolvaptan prescribing across the UK. </w:t>
      </w:r>
      <w:r w:rsidR="00EE048A" w:rsidRPr="002C21B8">
        <w:t xml:space="preserve">Improved access to imaging and radiology services, alongside training and support for the interpretation of genomic test results, may support wider use of eligibility criteria not routinely used across all centres for tolvaptan. </w:t>
      </w:r>
      <w:r w:rsidR="000E0A3B" w:rsidRPr="002C21B8">
        <w:t>Internal audits were not undertaken at all centres</w:t>
      </w:r>
      <w:r w:rsidR="00EF4CB7" w:rsidRPr="002C21B8">
        <w:t>,</w:t>
      </w:r>
      <w:r w:rsidR="000E0A3B" w:rsidRPr="002C21B8">
        <w:t xml:space="preserve"> which m</w:t>
      </w:r>
      <w:r w:rsidR="00EE048A" w:rsidRPr="002C21B8">
        <w:t>ay limit the identification of potentially eligible patients, feedback on practice and opportunities to reduce within-centre variation</w:t>
      </w:r>
      <w:r w:rsidR="00E236C7" w:rsidRPr="002C21B8">
        <w:t xml:space="preserve">. </w:t>
      </w:r>
      <w:r w:rsidR="000E0A3B" w:rsidRPr="002C21B8">
        <w:t>A</w:t>
      </w:r>
      <w:r w:rsidRPr="002C21B8">
        <w:t>utomated tools</w:t>
      </w:r>
      <w:r w:rsidR="00EE048A" w:rsidRPr="002C21B8">
        <w:t xml:space="preserve"> were used by a small number of centres, although other centres expressed a desire to adopt them to support </w:t>
      </w:r>
      <w:r w:rsidR="006D4101" w:rsidRPr="002C21B8">
        <w:t xml:space="preserve">the </w:t>
      </w:r>
      <w:r w:rsidR="00EE048A" w:rsidRPr="002C21B8">
        <w:t xml:space="preserve">identification of eligible patients. </w:t>
      </w:r>
      <w:r w:rsidR="00E236C7" w:rsidRPr="002C21B8">
        <w:t>There is an opportunity for standardisation o</w:t>
      </w:r>
      <w:r w:rsidR="00EF4CB7" w:rsidRPr="002C21B8">
        <w:t>f the information provided to patients about tolvaptan, which could be through a nationally developed leaflet</w:t>
      </w:r>
      <w:r w:rsidR="00E236C7" w:rsidRPr="002C21B8">
        <w:t xml:space="preserve"> co-developed with ADPKD patients or organisations such as the PKD Charity. </w:t>
      </w:r>
      <w:r w:rsidRPr="002C21B8">
        <w:t>From a research perspective, studies linking eligibility criteria to patient outcomes and evaluations of the real-world added value of advanced risk stratification tools may inform future service optimisation and guideline development.</w:t>
      </w:r>
    </w:p>
    <w:p w14:paraId="1BE3483C" w14:textId="73291E62" w:rsidR="00C41DE2" w:rsidRPr="002C21B8" w:rsidRDefault="00C41DE2" w:rsidP="0082424E">
      <w:pPr>
        <w:spacing w:before="240" w:after="0"/>
        <w:rPr>
          <w:b/>
          <w:bCs/>
          <w:sz w:val="28"/>
          <w:szCs w:val="28"/>
        </w:rPr>
      </w:pPr>
      <w:r w:rsidRPr="002C21B8">
        <w:rPr>
          <w:b/>
          <w:bCs/>
          <w:sz w:val="28"/>
          <w:szCs w:val="28"/>
        </w:rPr>
        <w:t>Conclusions</w:t>
      </w:r>
    </w:p>
    <w:p w14:paraId="2E569A4C" w14:textId="32C46D6A" w:rsidR="00C1431B" w:rsidRPr="002C21B8" w:rsidRDefault="00C41DE2" w:rsidP="003374F4">
      <w:r w:rsidRPr="002C21B8">
        <w:t xml:space="preserve">There is substantial variation in the organisation and delivery of tolvaptan services </w:t>
      </w:r>
      <w:r w:rsidR="00884F71" w:rsidRPr="002C21B8">
        <w:t>between</w:t>
      </w:r>
      <w:r w:rsidRPr="002C21B8">
        <w:t xml:space="preserve"> UK kidney centres, particularly in the combination of eligibility criteria used. Eligibility decisions are consistently consultant-led</w:t>
      </w:r>
      <w:r w:rsidR="002D4209" w:rsidRPr="002C21B8">
        <w:t>,</w:t>
      </w:r>
      <w:r w:rsidRPr="002C21B8">
        <w:t xml:space="preserve"> but local infrastructure and resource availability</w:t>
      </w:r>
      <w:r w:rsidR="008A156D">
        <w:t xml:space="preserve"> may </w:t>
      </w:r>
      <w:r w:rsidRPr="002C21B8">
        <w:t>influence the adoption of imaging and genetic tools.</w:t>
      </w:r>
      <w:r w:rsidR="00C1431B" w:rsidRPr="002C21B8">
        <w:br w:type="page"/>
      </w:r>
    </w:p>
    <w:p w14:paraId="51ACA7A4" w14:textId="5B334001" w:rsidR="0073155D" w:rsidRPr="002C21B8" w:rsidRDefault="00D113ED" w:rsidP="00581663">
      <w:pPr>
        <w:pStyle w:val="Heading2"/>
      </w:pPr>
      <w:bookmarkStart w:id="276" w:name="_Toc229687237"/>
      <w:r w:rsidRPr="002C21B8">
        <w:t>Chapter summary</w:t>
      </w:r>
      <w:bookmarkEnd w:id="276"/>
    </w:p>
    <w:p w14:paraId="158DD357" w14:textId="2052AE6F" w:rsidR="006D3451" w:rsidRPr="002C21B8" w:rsidRDefault="0073155D" w:rsidP="00A97F07">
      <w:pPr>
        <w:pStyle w:val="ListParagraph"/>
        <w:numPr>
          <w:ilvl w:val="0"/>
          <w:numId w:val="47"/>
        </w:numPr>
        <w:ind w:left="851"/>
      </w:pPr>
      <w:r w:rsidRPr="002C21B8">
        <w:t xml:space="preserve">This chapter presented findings from a national survey </w:t>
      </w:r>
      <w:r w:rsidR="006D3451" w:rsidRPr="002C21B8">
        <w:t xml:space="preserve">of UK kidney centres </w:t>
      </w:r>
      <w:r w:rsidRPr="002C21B8">
        <w:t xml:space="preserve">describing </w:t>
      </w:r>
      <w:r w:rsidR="006D3451" w:rsidRPr="002C21B8">
        <w:t>variation in the organisation and delivery of tolvaptan services for people with ADPKD</w:t>
      </w:r>
      <w:r w:rsidR="00856C5E" w:rsidRPr="002C21B8">
        <w:t>.</w:t>
      </w:r>
    </w:p>
    <w:p w14:paraId="4FBBA897" w14:textId="1A2F1156" w:rsidR="006D3451" w:rsidRPr="002C21B8" w:rsidRDefault="006D3451" w:rsidP="00A97F07">
      <w:pPr>
        <w:pStyle w:val="ListParagraph"/>
        <w:numPr>
          <w:ilvl w:val="0"/>
          <w:numId w:val="47"/>
        </w:numPr>
        <w:ind w:left="851"/>
      </w:pPr>
      <w:r w:rsidRPr="002C21B8">
        <w:t xml:space="preserve">There was substantial heterogeneity in service configuration, including differences in clinic structure, multidisciplinary team involvement and the presence or absence of </w:t>
      </w:r>
      <w:r w:rsidR="004371DB" w:rsidRPr="002C21B8">
        <w:t xml:space="preserve">a </w:t>
      </w:r>
      <w:r w:rsidRPr="002C21B8">
        <w:t>dedicate</w:t>
      </w:r>
      <w:r w:rsidR="004371DB" w:rsidRPr="002C21B8">
        <w:t>d</w:t>
      </w:r>
      <w:r w:rsidRPr="002C21B8">
        <w:t xml:space="preserve"> tolvaptan clinic</w:t>
      </w:r>
      <w:r w:rsidR="00856C5E" w:rsidRPr="002C21B8">
        <w:t>.</w:t>
      </w:r>
    </w:p>
    <w:p w14:paraId="49311EEA" w14:textId="0E5EB74D" w:rsidR="00E43929" w:rsidRPr="002C21B8" w:rsidRDefault="00E43929" w:rsidP="00A97F07">
      <w:pPr>
        <w:pStyle w:val="ListParagraph"/>
        <w:numPr>
          <w:ilvl w:val="0"/>
          <w:numId w:val="47"/>
        </w:numPr>
        <w:ind w:left="851"/>
      </w:pPr>
      <w:r w:rsidRPr="002C21B8">
        <w:t>Around half of centres reported having a tolvaptan clinic</w:t>
      </w:r>
      <w:r w:rsidR="00856C5E" w:rsidRPr="002C21B8">
        <w:t>.</w:t>
      </w:r>
    </w:p>
    <w:p w14:paraId="6E0D7E0C" w14:textId="0DE9E39A" w:rsidR="00E43929" w:rsidRPr="002C21B8" w:rsidRDefault="00E43929" w:rsidP="00A97F07">
      <w:pPr>
        <w:pStyle w:val="ListParagraph"/>
        <w:numPr>
          <w:ilvl w:val="0"/>
          <w:numId w:val="47"/>
        </w:numPr>
        <w:ind w:left="851"/>
      </w:pPr>
      <w:r w:rsidRPr="002C21B8">
        <w:t>Eligibility assessment relied most commonly on eGFR slope and kidney length measured by ultrasound</w:t>
      </w:r>
      <w:r w:rsidR="008B6B2E" w:rsidRPr="002C21B8">
        <w:t>,</w:t>
      </w:r>
      <w:r w:rsidRPr="002C21B8">
        <w:t xml:space="preserve"> but a wide variety of combinations of criteria were reported</w:t>
      </w:r>
      <w:r w:rsidR="00856C5E" w:rsidRPr="002C21B8">
        <w:t>.</w:t>
      </w:r>
    </w:p>
    <w:p w14:paraId="741185C7" w14:textId="4B645A96" w:rsidR="00E43929" w:rsidRPr="002C21B8" w:rsidRDefault="00E43929" w:rsidP="00A97F07">
      <w:pPr>
        <w:pStyle w:val="ListParagraph"/>
        <w:numPr>
          <w:ilvl w:val="0"/>
          <w:numId w:val="47"/>
        </w:numPr>
        <w:ind w:left="851"/>
      </w:pPr>
      <w:r w:rsidRPr="002C21B8">
        <w:t>A small number of centres reported setting eGFR limits outside the approved eGFR range for tolvaptan</w:t>
      </w:r>
      <w:r w:rsidR="00856C5E" w:rsidRPr="002C21B8">
        <w:t>.</w:t>
      </w:r>
    </w:p>
    <w:p w14:paraId="377FACF3" w14:textId="33F649D4" w:rsidR="00B05C32" w:rsidRPr="002C21B8" w:rsidRDefault="0073155D" w:rsidP="00A97F07">
      <w:pPr>
        <w:pStyle w:val="ListParagraph"/>
        <w:numPr>
          <w:ilvl w:val="0"/>
          <w:numId w:val="47"/>
        </w:numPr>
        <w:ind w:left="851"/>
      </w:pPr>
      <w:r w:rsidRPr="002C21B8">
        <w:t>These findings co</w:t>
      </w:r>
      <w:r w:rsidR="006D3451" w:rsidRPr="002C21B8">
        <w:t xml:space="preserve">rroborate </w:t>
      </w:r>
      <w:r w:rsidRPr="002C21B8">
        <w:t>and ex</w:t>
      </w:r>
      <w:r w:rsidR="006D3451" w:rsidRPr="002C21B8">
        <w:t>ten</w:t>
      </w:r>
      <w:r w:rsidRPr="002C21B8">
        <w:t xml:space="preserve">d the findings of the preceding multiple case study and provide </w:t>
      </w:r>
      <w:r w:rsidR="004371DB" w:rsidRPr="002C21B8">
        <w:t xml:space="preserve">a </w:t>
      </w:r>
      <w:r w:rsidRPr="002C21B8">
        <w:t>national context for understanding variation in tolvaptan prescribing and opportunities to improve equitable access</w:t>
      </w:r>
      <w:r w:rsidR="00856C5E" w:rsidRPr="002C21B8">
        <w:t>.</w:t>
      </w:r>
    </w:p>
    <w:p w14:paraId="37FD06AF" w14:textId="77777777" w:rsidR="00B05C32" w:rsidRPr="002C21B8" w:rsidRDefault="00B05C32" w:rsidP="00B05C32">
      <w:pPr>
        <w:pStyle w:val="Heading1"/>
        <w:numPr>
          <w:ilvl w:val="0"/>
          <w:numId w:val="0"/>
        </w:numPr>
        <w:ind w:left="1"/>
        <w:sectPr w:rsidR="00B05C32" w:rsidRPr="002C21B8" w:rsidSect="00162FC8">
          <w:headerReference w:type="default" r:id="rId68"/>
          <w:pgSz w:w="11906" w:h="16838"/>
          <w:pgMar w:top="1440" w:right="1440" w:bottom="1440" w:left="1440" w:header="708" w:footer="708" w:gutter="0"/>
          <w:cols w:space="708"/>
          <w:docGrid w:linePitch="360"/>
        </w:sectPr>
      </w:pPr>
      <w:bookmarkStart w:id="277" w:name="_–_Discussion"/>
      <w:bookmarkEnd w:id="277"/>
    </w:p>
    <w:p w14:paraId="3997E4E3" w14:textId="7B0EB5D8" w:rsidR="00CC4685" w:rsidRPr="002C21B8" w:rsidRDefault="00D70922" w:rsidP="007F1616">
      <w:pPr>
        <w:pStyle w:val="Heading1"/>
      </w:pPr>
      <w:bookmarkStart w:id="278" w:name="_Toc229687238"/>
      <w:r w:rsidRPr="002C21B8">
        <w:t>– Discussion</w:t>
      </w:r>
      <w:bookmarkEnd w:id="278"/>
      <w:r w:rsidRPr="002C21B8">
        <w:t xml:space="preserve"> </w:t>
      </w:r>
    </w:p>
    <w:p w14:paraId="7C390B4D" w14:textId="753A307D" w:rsidR="00B66237" w:rsidRPr="002C21B8" w:rsidRDefault="00D70922" w:rsidP="00581663">
      <w:pPr>
        <w:pStyle w:val="Heading2"/>
      </w:pPr>
      <w:bookmarkStart w:id="279" w:name="_Toc229687239"/>
      <w:r w:rsidRPr="002C21B8">
        <w:t>Introduction</w:t>
      </w:r>
      <w:bookmarkEnd w:id="279"/>
    </w:p>
    <w:p w14:paraId="3A1E4AF9" w14:textId="76F5F71C" w:rsidR="006E4413" w:rsidRPr="002C21B8" w:rsidRDefault="00CC5E6C" w:rsidP="00884F71">
      <w:r w:rsidRPr="002C21B8">
        <w:t xml:space="preserve">This </w:t>
      </w:r>
      <w:r w:rsidR="00A15369" w:rsidRPr="002C21B8">
        <w:t>programme of research</w:t>
      </w:r>
      <w:r w:rsidRPr="002C21B8">
        <w:t xml:space="preserve"> </w:t>
      </w:r>
      <w:r w:rsidR="00224AB8" w:rsidRPr="002C21B8">
        <w:t>examined variation in the prescribing of tolvaptan for adults with autosomal dominant polycystic kidney disease across UK kidney centres</w:t>
      </w:r>
      <w:r w:rsidR="00074665" w:rsidRPr="002C21B8">
        <w:t xml:space="preserve">, to </w:t>
      </w:r>
      <w:r w:rsidR="006E4413" w:rsidRPr="002C21B8">
        <w:t>identify</w:t>
      </w:r>
      <w:r w:rsidR="00074665" w:rsidRPr="002C21B8">
        <w:t xml:space="preserve"> </w:t>
      </w:r>
      <w:r w:rsidR="00224AB8" w:rsidRPr="002C21B8">
        <w:t>underlying mechanisms and contextual factors that shap</w:t>
      </w:r>
      <w:r w:rsidR="006E4413" w:rsidRPr="002C21B8">
        <w:t>ed</w:t>
      </w:r>
      <w:r w:rsidR="00224AB8" w:rsidRPr="002C21B8">
        <w:t xml:space="preserve"> this variation.</w:t>
      </w:r>
      <w:r w:rsidR="00306AF1" w:rsidRPr="002C21B8">
        <w:t xml:space="preserve"> </w:t>
      </w:r>
      <w:r w:rsidR="006E4413" w:rsidRPr="002C21B8">
        <w:t>This chapter</w:t>
      </w:r>
      <w:r w:rsidR="00C84FBF" w:rsidRPr="002C21B8">
        <w:t xml:space="preserve"> </w:t>
      </w:r>
      <w:r w:rsidR="00884F71" w:rsidRPr="002C21B8">
        <w:t xml:space="preserve">describes the </w:t>
      </w:r>
      <w:r w:rsidR="0068166C" w:rsidRPr="002C21B8">
        <w:t>main</w:t>
      </w:r>
      <w:r w:rsidR="00884F71" w:rsidRPr="002C21B8">
        <w:t xml:space="preserve"> </w:t>
      </w:r>
      <w:r w:rsidR="006E4413" w:rsidRPr="002C21B8">
        <w:t>findings and positions them within the wider evidence base</w:t>
      </w:r>
      <w:r w:rsidR="0057417D" w:rsidRPr="002C21B8">
        <w:t>.</w:t>
      </w:r>
      <w:r w:rsidR="006E4413" w:rsidRPr="002C21B8">
        <w:t xml:space="preserve"> </w:t>
      </w:r>
      <w:r w:rsidR="0057417D" w:rsidRPr="002C21B8">
        <w:t>T</w:t>
      </w:r>
      <w:r w:rsidR="006E4413" w:rsidRPr="002C21B8">
        <w:t xml:space="preserve">he methodological strengths and limitations </w:t>
      </w:r>
      <w:r w:rsidR="0057417D" w:rsidRPr="002C21B8">
        <w:t xml:space="preserve">of the </w:t>
      </w:r>
      <w:r w:rsidR="00A15369" w:rsidRPr="002C21B8">
        <w:t>programme of research</w:t>
      </w:r>
      <w:r w:rsidR="0057417D" w:rsidRPr="002C21B8">
        <w:t xml:space="preserve"> are </w:t>
      </w:r>
      <w:r w:rsidR="00074665" w:rsidRPr="002C21B8">
        <w:t>critically appraised, alongside the transferability</w:t>
      </w:r>
      <w:r w:rsidR="0068166C" w:rsidRPr="002C21B8">
        <w:t xml:space="preserve"> of the </w:t>
      </w:r>
      <w:r w:rsidR="00074665" w:rsidRPr="002C21B8">
        <w:t>findings to other rare disease contexts. The role of patient and public involvement during the research process is also considered, together with reflexivity in relation to the conduct and interpretation of the research findings. The unique contribution of the thesis to existing knowledge is then outlined. Recommendations</w:t>
      </w:r>
      <w:r w:rsidR="0068166C" w:rsidRPr="002C21B8">
        <w:t xml:space="preserve"> for clinical practice</w:t>
      </w:r>
      <w:r w:rsidR="00074665" w:rsidRPr="002C21B8">
        <w:t xml:space="preserve"> and policy are presented, followed by </w:t>
      </w:r>
      <w:r w:rsidR="0068166C" w:rsidRPr="002C21B8">
        <w:t xml:space="preserve">future research </w:t>
      </w:r>
      <w:r w:rsidR="00074665" w:rsidRPr="002C21B8">
        <w:t xml:space="preserve">priorities. The chapter concludes with the </w:t>
      </w:r>
      <w:r w:rsidR="006E4413" w:rsidRPr="002C21B8">
        <w:t>overall conclusions</w:t>
      </w:r>
      <w:r w:rsidR="00A15369" w:rsidRPr="002C21B8">
        <w:t xml:space="preserve"> from the programme of research</w:t>
      </w:r>
      <w:r w:rsidR="006E4413" w:rsidRPr="002C21B8">
        <w:t>.</w:t>
      </w:r>
    </w:p>
    <w:p w14:paraId="1CDE02CF" w14:textId="07825A5C" w:rsidR="001F7C50" w:rsidRPr="002C21B8" w:rsidRDefault="00F8046A" w:rsidP="00581663">
      <w:pPr>
        <w:pStyle w:val="Heading2"/>
      </w:pPr>
      <w:bookmarkStart w:id="280" w:name="_Toc229687240"/>
      <w:r w:rsidRPr="002C21B8">
        <w:t>Summary of m</w:t>
      </w:r>
      <w:r w:rsidR="00E938B4" w:rsidRPr="002C21B8">
        <w:t>ain findings</w:t>
      </w:r>
      <w:bookmarkEnd w:id="280"/>
    </w:p>
    <w:p w14:paraId="2C7650B5" w14:textId="0B37FD3B" w:rsidR="00473AC6" w:rsidRPr="002C21B8" w:rsidRDefault="00473AC6" w:rsidP="00074665">
      <w:r w:rsidRPr="002C21B8">
        <w:t>Th</w:t>
      </w:r>
      <w:r w:rsidR="0016773D" w:rsidRPr="002C21B8">
        <w:t xml:space="preserve">is sequential mixed methods study consisted </w:t>
      </w:r>
      <w:r w:rsidRPr="002C21B8">
        <w:t>of four phases</w:t>
      </w:r>
      <w:r w:rsidR="004240D6" w:rsidRPr="002C21B8">
        <w:t>: a systematic review, analysis of registry data, multiple case study</w:t>
      </w:r>
      <w:r w:rsidR="00F64A43" w:rsidRPr="002C21B8">
        <w:t>,</w:t>
      </w:r>
      <w:r w:rsidR="004240D6" w:rsidRPr="002C21B8">
        <w:t xml:space="preserve"> and </w:t>
      </w:r>
      <w:r w:rsidR="005F5AC6" w:rsidRPr="002C21B8">
        <w:t xml:space="preserve">a </w:t>
      </w:r>
      <w:r w:rsidR="004240D6" w:rsidRPr="002C21B8">
        <w:t>national survey of clinical practice.</w:t>
      </w:r>
    </w:p>
    <w:p w14:paraId="08B3753D" w14:textId="090D0F1C" w:rsidR="00473AC6" w:rsidRPr="002C21B8" w:rsidRDefault="00F8046A" w:rsidP="00074665">
      <w:r w:rsidRPr="002C21B8">
        <w:t>The s</w:t>
      </w:r>
      <w:r w:rsidR="00473AC6" w:rsidRPr="002C21B8">
        <w:t>ystematic review</w:t>
      </w:r>
      <w:r w:rsidR="004240D6" w:rsidRPr="002C21B8">
        <w:t xml:space="preserve"> identified that prescribing decisions in </w:t>
      </w:r>
      <w:r w:rsidR="0016773D" w:rsidRPr="002C21B8">
        <w:t>chronic</w:t>
      </w:r>
      <w:r w:rsidR="004240D6" w:rsidRPr="002C21B8">
        <w:t xml:space="preserve"> conditions are influenced by multiple interacting factors across a range of stakeholders</w:t>
      </w:r>
      <w:r w:rsidR="00F64A43" w:rsidRPr="002C21B8">
        <w:t>,</w:t>
      </w:r>
      <w:r w:rsidR="00616E26" w:rsidRPr="002C21B8">
        <w:t xml:space="preserve"> with s</w:t>
      </w:r>
      <w:r w:rsidR="00051370" w:rsidRPr="002C21B8">
        <w:t xml:space="preserve">everal recurring </w:t>
      </w:r>
      <w:r w:rsidR="00616E26" w:rsidRPr="002C21B8">
        <w:t>themes identified</w:t>
      </w:r>
      <w:r w:rsidR="004240D6" w:rsidRPr="002C21B8">
        <w:t xml:space="preserve">. </w:t>
      </w:r>
      <w:r w:rsidR="0049434F" w:rsidRPr="002C21B8">
        <w:t>Prescribing decisions were influenced by patient characteristics</w:t>
      </w:r>
      <w:r w:rsidR="0016773D" w:rsidRPr="002C21B8">
        <w:t>. D</w:t>
      </w:r>
      <w:r w:rsidR="0049434F" w:rsidRPr="002C21B8">
        <w:t>uring risk-benefit assessments, clinicians approached risk differently</w:t>
      </w:r>
      <w:r w:rsidR="00F64A43" w:rsidRPr="002C21B8">
        <w:t>,</w:t>
      </w:r>
      <w:r w:rsidR="0049434F" w:rsidRPr="002C21B8">
        <w:t xml:space="preserve"> but there was an overall tendency to prioritise risks over benefits.</w:t>
      </w:r>
      <w:r w:rsidR="00616E26" w:rsidRPr="002C21B8">
        <w:t xml:space="preserve"> Decisions were also shaped by clinician experience, workload and care setting. Shared decision-making </w:t>
      </w:r>
      <w:r w:rsidR="00A7440D" w:rsidRPr="002C21B8">
        <w:t>wa</w:t>
      </w:r>
      <w:r w:rsidR="00616E26" w:rsidRPr="002C21B8">
        <w:t>s a feature in prescribing for chronic conditions</w:t>
      </w:r>
      <w:r w:rsidR="00F64A43" w:rsidRPr="002C21B8">
        <w:t>,</w:t>
      </w:r>
      <w:r w:rsidR="00616E26" w:rsidRPr="002C21B8">
        <w:t xml:space="preserve"> but </w:t>
      </w:r>
      <w:r w:rsidR="0016773D" w:rsidRPr="002C21B8">
        <w:t>did not necessarily occur</w:t>
      </w:r>
      <w:r w:rsidR="00616E26" w:rsidRPr="002C21B8">
        <w:t xml:space="preserve">. Costs </w:t>
      </w:r>
      <w:r w:rsidR="0016773D" w:rsidRPr="002C21B8">
        <w:t>we</w:t>
      </w:r>
      <w:r w:rsidR="00616E26" w:rsidRPr="002C21B8">
        <w:t xml:space="preserve">re often considered </w:t>
      </w:r>
      <w:r w:rsidR="0016773D" w:rsidRPr="002C21B8">
        <w:t>and</w:t>
      </w:r>
      <w:r w:rsidR="00616E26" w:rsidRPr="002C21B8">
        <w:t xml:space="preserve"> </w:t>
      </w:r>
      <w:r w:rsidR="0016773D" w:rsidRPr="002C21B8">
        <w:t>were</w:t>
      </w:r>
      <w:r w:rsidR="00616E26" w:rsidRPr="002C21B8">
        <w:t xml:space="preserve"> not restricted to medication costs. Finally, external factors such as guidelines and expert opinion also influence</w:t>
      </w:r>
      <w:r w:rsidR="005D3D2E" w:rsidRPr="002C21B8">
        <w:t>d</w:t>
      </w:r>
      <w:r w:rsidR="00616E26" w:rsidRPr="002C21B8">
        <w:t xml:space="preserve"> decision-making.</w:t>
      </w:r>
      <w:r w:rsidR="00CD3ACF" w:rsidRPr="002C21B8">
        <w:t xml:space="preserve"> This conceptual model shaped the next phases of the research.</w:t>
      </w:r>
    </w:p>
    <w:p w14:paraId="230C3536" w14:textId="550954FA" w:rsidR="00074665" w:rsidRPr="002C21B8" w:rsidRDefault="00074665" w:rsidP="00074665">
      <w:r w:rsidRPr="002C21B8">
        <w:t>Registry data showed variation in tolvaptan prescribing between kidney centres, mainly in initiation among eligible patients, with 8.3% (6/53) of centres outside control limits</w:t>
      </w:r>
      <w:r w:rsidR="0016773D" w:rsidRPr="002C21B8">
        <w:t xml:space="preserve"> on the funnel plot</w:t>
      </w:r>
      <w:r w:rsidRPr="002C21B8">
        <w:t>. Less variation was observed in the eligibility of initiated patients</w:t>
      </w:r>
      <w:r w:rsidR="00F64A43" w:rsidRPr="002C21B8">
        <w:t>,</w:t>
      </w:r>
      <w:r w:rsidRPr="002C21B8">
        <w:t xml:space="preserve"> with 2.4% (1/41) of centres outside the control limits</w:t>
      </w:r>
      <w:r w:rsidR="0016773D" w:rsidRPr="002C21B8">
        <w:t xml:space="preserve"> on the funnel plot</w:t>
      </w:r>
      <w:r w:rsidRPr="002C21B8">
        <w:t>.</w:t>
      </w:r>
      <w:r w:rsidR="004240D6" w:rsidRPr="002C21B8">
        <w:t xml:space="preserve"> This variation was </w:t>
      </w:r>
      <w:r w:rsidR="00F71867" w:rsidRPr="002C21B8">
        <w:t xml:space="preserve">associated with </w:t>
      </w:r>
      <w:r w:rsidR="004240D6" w:rsidRPr="002C21B8">
        <w:t>potentially significant health and economic consequences.</w:t>
      </w:r>
      <w:r w:rsidR="00CD3ACF" w:rsidRPr="002C21B8">
        <w:t xml:space="preserve"> The next phase explored the potential causes of this variation.</w:t>
      </w:r>
    </w:p>
    <w:p w14:paraId="3F764D7D" w14:textId="107121B4" w:rsidR="00473AC6" w:rsidRPr="002C21B8" w:rsidRDefault="00473AC6" w:rsidP="00473AC6">
      <w:r w:rsidRPr="002C21B8">
        <w:t xml:space="preserve">Findings from the multiple case study identified mechanisms that appeared to be leading to this variation at the organisational, clinician and patient-level. Service configuration shaped patient identification, eligibility assessment and initiation. Tolvaptan care pathways based in general nephrology clinics were less likely to identify eligible patients, involved more decision-makers and were associated with less consistent prescribing. Dedicated tolvaptan clinics appeared to improve care coordination, reduce perceived burden of prescribing, and enhance the feasibility of tolvaptan initiation. Clinical leadership was primarily responsible for shaping prescribing norms </w:t>
      </w:r>
      <w:r w:rsidR="00C85B58" w:rsidRPr="002C21B8">
        <w:t>within</w:t>
      </w:r>
      <w:r w:rsidRPr="002C21B8">
        <w:t xml:space="preserve"> c</w:t>
      </w:r>
      <w:r w:rsidR="00A7440D" w:rsidRPr="002C21B8">
        <w:t>ases</w:t>
      </w:r>
      <w:r w:rsidRPr="002C21B8">
        <w:t xml:space="preserve">. Pharmacist involvement </w:t>
      </w:r>
      <w:r w:rsidR="002A2E44" w:rsidRPr="002C21B8">
        <w:t>supported s</w:t>
      </w:r>
      <w:r w:rsidRPr="002C21B8">
        <w:t>hared responsibility for prescribing and adherence to guideline recommendations. Although national guidelines define eligibility, c</w:t>
      </w:r>
      <w:r w:rsidR="00A7440D" w:rsidRPr="002C21B8">
        <w:t>ases</w:t>
      </w:r>
      <w:r w:rsidRPr="002C21B8">
        <w:t xml:space="preserve"> varied in which criteria were used and how they were applied. </w:t>
      </w:r>
      <w:r w:rsidR="00BA4F36" w:rsidRPr="002C21B8">
        <w:t>M</w:t>
      </w:r>
      <w:r w:rsidRPr="002C21B8">
        <w:t>ore specialist-led c</w:t>
      </w:r>
      <w:r w:rsidR="00F64A43" w:rsidRPr="002C21B8">
        <w:t>ase</w:t>
      </w:r>
      <w:r w:rsidRPr="002C21B8">
        <w:t>s appeared to exercise greater flexibility</w:t>
      </w:r>
      <w:r w:rsidR="005D3D2E" w:rsidRPr="002C21B8">
        <w:t xml:space="preserve"> in prescribing</w:t>
      </w:r>
      <w:r w:rsidRPr="002C21B8">
        <w:t>. Differences between c</w:t>
      </w:r>
      <w:r w:rsidR="00A7440D" w:rsidRPr="002C21B8">
        <w:t>ase</w:t>
      </w:r>
      <w:r w:rsidRPr="002C21B8">
        <w:t>s in the framing of risk information and the supporting materials used to communicate risks to patients appeare</w:t>
      </w:r>
      <w:r w:rsidR="00DB4CA7" w:rsidRPr="002C21B8">
        <w:t>d</w:t>
      </w:r>
      <w:r w:rsidRPr="002C21B8">
        <w:t xml:space="preserve"> to shape </w:t>
      </w:r>
      <w:r w:rsidR="009B35E4" w:rsidRPr="002C21B8">
        <w:t xml:space="preserve">patient </w:t>
      </w:r>
      <w:r w:rsidRPr="002C21B8">
        <w:t xml:space="preserve">uptake of tolvaptan. </w:t>
      </w:r>
      <w:r w:rsidR="00DB4CA7" w:rsidRPr="002C21B8">
        <w:t>I</w:t>
      </w:r>
      <w:r w:rsidRPr="002C21B8">
        <w:t>dentified factors were synthesised to inform the development of a new conceptual model of prescribing decision-making in rare diseases.</w:t>
      </w:r>
      <w:r w:rsidR="00950E4D" w:rsidRPr="002C21B8">
        <w:t xml:space="preserve"> This introduced</w:t>
      </w:r>
      <w:r w:rsidRPr="002C21B8">
        <w:t xml:space="preserve"> </w:t>
      </w:r>
      <w:r w:rsidR="00950E4D" w:rsidRPr="002C21B8">
        <w:t xml:space="preserve">key </w:t>
      </w:r>
      <w:r w:rsidRPr="002C21B8">
        <w:t>factors</w:t>
      </w:r>
      <w:r w:rsidR="00950E4D" w:rsidRPr="002C21B8">
        <w:t xml:space="preserve"> specific to rare diseases</w:t>
      </w:r>
      <w:r w:rsidRPr="002C21B8">
        <w:t>: small patient numbers, disease heterogeneity, therapeutic scarcity, high medication costs, a limited number of very influential experts and well-informed patients.</w:t>
      </w:r>
    </w:p>
    <w:p w14:paraId="4673DFB5" w14:textId="594C8744" w:rsidR="00074665" w:rsidRPr="002C21B8" w:rsidRDefault="00DB4CA7" w:rsidP="00074665">
      <w:r w:rsidRPr="002C21B8">
        <w:t>The final phase explored the extent of variation between kidney</w:t>
      </w:r>
      <w:r w:rsidR="00074665" w:rsidRPr="002C21B8">
        <w:t xml:space="preserve"> centres in these </w:t>
      </w:r>
      <w:r w:rsidRPr="002C21B8">
        <w:t>f</w:t>
      </w:r>
      <w:r w:rsidR="00074665" w:rsidRPr="002C21B8">
        <w:t>actors.</w:t>
      </w:r>
      <w:r w:rsidR="007748AF" w:rsidRPr="002C21B8">
        <w:t xml:space="preserve"> </w:t>
      </w:r>
      <w:r w:rsidRPr="002C21B8">
        <w:t>In a UK</w:t>
      </w:r>
      <w:r w:rsidR="00F64A43" w:rsidRPr="002C21B8">
        <w:t>-</w:t>
      </w:r>
      <w:r w:rsidRPr="002C21B8">
        <w:t xml:space="preserve">wide survey of clinical practice, variation in practice was considerable. </w:t>
      </w:r>
      <w:r w:rsidR="007748AF" w:rsidRPr="002C21B8">
        <w:t>45% (18/40) of centres reported that decision-making about eligibility for tolvaptan takes place in general nephrology clinics</w:t>
      </w:r>
      <w:r w:rsidR="0063056F" w:rsidRPr="002C21B8">
        <w:t>, while 5</w:t>
      </w:r>
      <w:r w:rsidR="007748AF" w:rsidRPr="002C21B8">
        <w:t xml:space="preserve">0% (20/40) of centres reported having a dedicated tolvaptan clinic. 53% (21/40) of centres </w:t>
      </w:r>
      <w:r w:rsidR="00A7440D" w:rsidRPr="002C21B8">
        <w:t xml:space="preserve">reported having a </w:t>
      </w:r>
      <w:r w:rsidR="007748AF" w:rsidRPr="002C21B8">
        <w:t xml:space="preserve">renal pharmacist. Although all centres reported using eGFR slopes as the main indication, there was substantial variation in the usage of other </w:t>
      </w:r>
      <w:r w:rsidR="00B079E2" w:rsidRPr="002C21B8">
        <w:t xml:space="preserve">non-eGFR based eligibility </w:t>
      </w:r>
      <w:r w:rsidR="007748AF" w:rsidRPr="002C21B8">
        <w:t xml:space="preserve">criteria. </w:t>
      </w:r>
      <w:r w:rsidR="00D5039D">
        <w:t>15</w:t>
      </w:r>
      <w:r w:rsidR="007748AF" w:rsidRPr="002C21B8">
        <w:t>% (</w:t>
      </w:r>
      <w:r w:rsidR="00D5039D">
        <w:t>6</w:t>
      </w:r>
      <w:r w:rsidR="007748AF" w:rsidRPr="002C21B8">
        <w:t xml:space="preserve">/39) </w:t>
      </w:r>
      <w:r w:rsidR="00D52976" w:rsidRPr="002C21B8">
        <w:t xml:space="preserve">of cases </w:t>
      </w:r>
      <w:r w:rsidR="007748AF" w:rsidRPr="002C21B8">
        <w:t>reported using these criteria independent of eGFR slopes.</w:t>
      </w:r>
    </w:p>
    <w:p w14:paraId="022B971F" w14:textId="683724AB" w:rsidR="008D1D22" w:rsidRPr="002C21B8" w:rsidRDefault="008D1D22" w:rsidP="00581663">
      <w:pPr>
        <w:pStyle w:val="Heading2"/>
      </w:pPr>
      <w:bookmarkStart w:id="281" w:name="_Toc229687241"/>
      <w:r w:rsidRPr="002C21B8">
        <w:t>Integration of findings</w:t>
      </w:r>
      <w:bookmarkEnd w:id="281"/>
    </w:p>
    <w:p w14:paraId="40D8C218" w14:textId="10A045DB" w:rsidR="005D7C16" w:rsidRPr="002C21B8" w:rsidRDefault="00506802" w:rsidP="005D7C16">
      <w:r w:rsidRPr="002C21B8">
        <w:t>The</w:t>
      </w:r>
      <w:r w:rsidR="00891218" w:rsidRPr="002C21B8">
        <w:t xml:space="preserve"> main</w:t>
      </w:r>
      <w:r w:rsidRPr="002C21B8">
        <w:t xml:space="preserve"> findings from the multiple case study (Phase 3) and the national </w:t>
      </w:r>
      <w:r w:rsidR="00F82AC2" w:rsidRPr="002C21B8">
        <w:t xml:space="preserve">survey of clinical practice (Phase </w:t>
      </w:r>
      <w:r w:rsidR="008D1D22" w:rsidRPr="002C21B8">
        <w:t>4</w:t>
      </w:r>
      <w:r w:rsidR="00F82AC2" w:rsidRPr="002C21B8">
        <w:t>)</w:t>
      </w:r>
      <w:r w:rsidRPr="002C21B8">
        <w:t xml:space="preserve"> were compared to explore how the two phases relate to one another. This </w:t>
      </w:r>
      <w:r w:rsidR="005D7C16" w:rsidRPr="002C21B8">
        <w:t xml:space="preserve">integration was </w:t>
      </w:r>
      <w:r w:rsidR="00866713" w:rsidRPr="002C21B8">
        <w:t>considered</w:t>
      </w:r>
      <w:r w:rsidR="005D7C16" w:rsidRPr="002C21B8">
        <w:t xml:space="preserve"> in terms of whether findings appeared to agree (convergence), offer complementary information on the same issue (complementarity), appear to contradict each other (dissonance)</w:t>
      </w:r>
      <w:r w:rsidR="00DD4E9D" w:rsidRPr="002C21B8">
        <w:t>,</w:t>
      </w:r>
      <w:r w:rsidR="005D7C16" w:rsidRPr="002C21B8">
        <w:t xml:space="preserve"> or a finding </w:t>
      </w:r>
      <w:r w:rsidR="005F5AC6" w:rsidRPr="002C21B8">
        <w:t>wa</w:t>
      </w:r>
      <w:r w:rsidR="005D7C16" w:rsidRPr="002C21B8">
        <w:t xml:space="preserve">s present in one phase but not the other (silence) </w:t>
      </w:r>
      <w:r w:rsidR="005D7C16" w:rsidRPr="002C21B8">
        <w:fldChar w:fldCharType="begin"/>
      </w:r>
      <w:r w:rsidR="005D7C16" w:rsidRPr="002C21B8">
        <w:instrText xml:space="preserve"> ADDIN EN.CITE &lt;EndNote&gt;&lt;Cite&gt;&lt;Author&gt;O&amp;apos;Cathain&lt;/Author&gt;&lt;Year&gt;2010&lt;/Year&gt;&lt;RecNum&gt;37&lt;/RecNum&gt;&lt;DisplayText&gt;(O&amp;apos;Cathain, Murphy and Nicholl, 2010)&lt;/DisplayText&gt;&lt;record&gt;&lt;rec-number&gt;37&lt;/rec-number&gt;&lt;foreign-keys&gt;&lt;key app="EN" db-id="xpefzwa5hf9dt2ea9fax95x7xvxz90v09dtf" timestamp="1692719762"&gt;37&lt;/key&gt;&lt;/foreign-keys&gt;&lt;ref-type name="Journal Article"&gt;17&lt;/ref-type&gt;&lt;contributors&gt;&lt;authors&gt;&lt;author&gt;O&amp;apos;Cathain, A&lt;/author&gt;&lt;author&gt;Murphy, E&lt;/author&gt;&lt;author&gt;Nicholl, J&lt;/author&gt;&lt;/authors&gt;&lt;/contributors&gt;&lt;auth-address&gt;Medical Care Research Unit, School of Health and Related Research, University of Sheffield, Sheffield S1 4DA, UK. a.ocathain@sheffield.ac.uk&lt;/auth-address&gt;&lt;titles&gt;&lt;title&gt;Three techniques for integrating data in mixed methods studies&lt;/title&gt;&lt;secondary-title&gt;BMJ&lt;/secondary-title&gt;&lt;/titles&gt;&lt;periodical&gt;&lt;full-title&gt;BMJ&lt;/full-title&gt;&lt;/periodical&gt;&lt;pages&gt;c4587&lt;/pages&gt;&lt;volume&gt;341&lt;/volume&gt;&lt;edition&gt;20100917&lt;/edition&gt;&lt;keywords&gt;&lt;keyword&gt;*Data Interpretation, Statistical&lt;/keyword&gt;&lt;keyword&gt;*Evaluation Studies as Topic&lt;/keyword&gt;&lt;keyword&gt;*Qualitative Research&lt;/keyword&gt;&lt;/keywords&gt;&lt;dates&gt;&lt;year&gt;2010&lt;/year&gt;&lt;pub-dates&gt;&lt;date&gt;Sep 17&lt;/date&gt;&lt;/pub-dates&gt;&lt;/dates&gt;&lt;isbn&gt;1756-1833 (Electronic)&amp;#xD;0959-8138 (Linking)&lt;/isbn&gt;&lt;accession-num&gt;20851841&lt;/accession-num&gt;&lt;urls&gt;&lt;related-urls&gt;&lt;url&gt;https://www.ncbi.nlm.nih.gov/pubmed/20851841&lt;/url&gt;&lt;/related-urls&gt;&lt;/urls&gt;&lt;electronic-resource-num&gt;10.1136/bmj.c4587&lt;/electronic-resource-num&gt;&lt;remote-database-name&gt;Medline&lt;/remote-database-name&gt;&lt;remote-database-provider&gt;NLM&lt;/remote-database-provider&gt;&lt;/record&gt;&lt;/Cite&gt;&lt;/EndNote&gt;</w:instrText>
      </w:r>
      <w:r w:rsidR="005D7C16" w:rsidRPr="002C21B8">
        <w:fldChar w:fldCharType="separate"/>
      </w:r>
      <w:r w:rsidR="005D7C16" w:rsidRPr="002C21B8">
        <w:rPr>
          <w:noProof/>
        </w:rPr>
        <w:t>(O'Cathain, Murphy and Nicholl, 2010)</w:t>
      </w:r>
      <w:r w:rsidR="005D7C16" w:rsidRPr="002C21B8">
        <w:fldChar w:fldCharType="end"/>
      </w:r>
      <w:r w:rsidR="005D7C16" w:rsidRPr="002C21B8">
        <w:t>.</w:t>
      </w:r>
    </w:p>
    <w:p w14:paraId="6A6CD715" w14:textId="161F892C" w:rsidR="005D7C16" w:rsidRPr="002C21B8" w:rsidRDefault="005D7C16" w:rsidP="00F82AC2">
      <w:r w:rsidRPr="002C21B8">
        <w:t xml:space="preserve">These constructs were used as an analytical framework to examine how the explanatory mechanisms identified in the multiple case study </w:t>
      </w:r>
      <w:r w:rsidR="00303918" w:rsidRPr="002C21B8">
        <w:t xml:space="preserve">components </w:t>
      </w:r>
      <w:r w:rsidRPr="002C21B8">
        <w:t xml:space="preserve">(Phase 3) were reflected in their presence, distribution and variation across UK kidney centres in the national survey of clinical practice (Phase 4), rather than to assess equivalence or causal agreements between datasets. </w:t>
      </w:r>
      <w:r w:rsidR="00A64149" w:rsidRPr="002C21B8">
        <w:t>In this context, convergence between datasets was not anticipated</w:t>
      </w:r>
      <w:r w:rsidR="000177A1" w:rsidRPr="002C21B8">
        <w:t>,</w:t>
      </w:r>
      <w:r w:rsidR="00A64149" w:rsidRPr="002C21B8">
        <w:t xml:space="preserve"> given the different analytical purposes of the two phases. </w:t>
      </w:r>
      <w:r w:rsidRPr="002C21B8">
        <w:t>A joint display was used to map survey findings against the main themes derived from the multiple case study (</w:t>
      </w:r>
      <w:r w:rsidRPr="002C21B8">
        <w:fldChar w:fldCharType="begin"/>
      </w:r>
      <w:r w:rsidRPr="002C21B8">
        <w:instrText xml:space="preserve"> REF _Ref228888894 \h </w:instrText>
      </w:r>
      <w:r w:rsidR="000D7ED8" w:rsidRPr="002C21B8">
        <w:instrText xml:space="preserve"> \* MERGEFORMAT </w:instrText>
      </w:r>
      <w:r w:rsidRPr="002C21B8">
        <w:fldChar w:fldCharType="separate"/>
      </w:r>
      <w:r w:rsidR="00DB3709" w:rsidRPr="002C21B8">
        <w:t xml:space="preserve">Table </w:t>
      </w:r>
      <w:r w:rsidR="00DB3709">
        <w:rPr>
          <w:noProof/>
        </w:rPr>
        <w:t>22</w:t>
      </w:r>
      <w:r w:rsidRPr="002C21B8">
        <w:fldChar w:fldCharType="end"/>
      </w:r>
      <w:r w:rsidRPr="002C21B8">
        <w:t>).</w:t>
      </w:r>
    </w:p>
    <w:p w14:paraId="6C4CC64A" w14:textId="607BBB35" w:rsidR="005D7C16" w:rsidRPr="002C21B8" w:rsidRDefault="00506802" w:rsidP="008D1D22">
      <w:pPr>
        <w:sectPr w:rsidR="005D7C16" w:rsidRPr="002C21B8" w:rsidSect="00B05C32">
          <w:headerReference w:type="default" r:id="rId69"/>
          <w:pgSz w:w="11906" w:h="16838"/>
          <w:pgMar w:top="1440" w:right="1440" w:bottom="1440" w:left="1440" w:header="708" w:footer="708" w:gutter="0"/>
          <w:cols w:space="708"/>
          <w:docGrid w:linePitch="360"/>
        </w:sectPr>
      </w:pPr>
      <w:r w:rsidRPr="002C21B8">
        <w:t>Overall</w:t>
      </w:r>
      <w:r w:rsidR="005F5AC6" w:rsidRPr="002C21B8">
        <w:t xml:space="preserve">, </w:t>
      </w:r>
      <w:r w:rsidRPr="002C21B8">
        <w:t xml:space="preserve">the </w:t>
      </w:r>
      <w:r w:rsidR="005D7C16" w:rsidRPr="002C21B8">
        <w:t>findings</w:t>
      </w:r>
      <w:r w:rsidRPr="002C21B8">
        <w:t xml:space="preserve"> demonstrated </w:t>
      </w:r>
      <w:r w:rsidR="00CD76B0" w:rsidRPr="002C21B8">
        <w:t xml:space="preserve">high </w:t>
      </w:r>
      <w:r w:rsidRPr="002C21B8">
        <w:t xml:space="preserve">complementarity, </w:t>
      </w:r>
      <w:r w:rsidR="005D7C16" w:rsidRPr="002C21B8">
        <w:t>whereby the survey data situated and extended the explanatory mechanisms identified in the multiple case study</w:t>
      </w:r>
      <w:r w:rsidR="000177A1" w:rsidRPr="002C21B8">
        <w:t>,</w:t>
      </w:r>
      <w:r w:rsidR="005D7C16" w:rsidRPr="002C21B8">
        <w:t xml:space="preserve"> demonstrating their presence and varia</w:t>
      </w:r>
      <w:r w:rsidR="00E51893" w:rsidRPr="002C21B8">
        <w:t>tion</w:t>
      </w:r>
      <w:r w:rsidR="005D7C16" w:rsidRPr="002C21B8">
        <w:t xml:space="preserve"> across UK kidney centres.</w:t>
      </w:r>
    </w:p>
    <w:p w14:paraId="18D024C4" w14:textId="4B55D5B7" w:rsidR="00BB4FE8" w:rsidRPr="002C21B8" w:rsidRDefault="00BB4FE8" w:rsidP="00971348">
      <w:pPr>
        <w:pStyle w:val="Caption"/>
        <w:keepNext w:val="0"/>
        <w:spacing w:after="120"/>
      </w:pPr>
      <w:bookmarkStart w:id="282" w:name="_Ref228888894"/>
      <w:bookmarkStart w:id="283" w:name="_Toc236991758"/>
      <w:r w:rsidRPr="002C21B8">
        <w:t xml:space="preserve">Table </w:t>
      </w:r>
      <w:r w:rsidRPr="002C21B8">
        <w:fldChar w:fldCharType="begin"/>
      </w:r>
      <w:r w:rsidRPr="002C21B8">
        <w:instrText xml:space="preserve"> SEQ Table \* ARABIC </w:instrText>
      </w:r>
      <w:r w:rsidRPr="002C21B8">
        <w:fldChar w:fldCharType="separate"/>
      </w:r>
      <w:r w:rsidR="00DB3709">
        <w:t>22</w:t>
      </w:r>
      <w:r w:rsidRPr="002C21B8">
        <w:fldChar w:fldCharType="end"/>
      </w:r>
      <w:bookmarkEnd w:id="282"/>
      <w:r w:rsidRPr="002C21B8">
        <w:t xml:space="preserve">. </w:t>
      </w:r>
      <w:r w:rsidR="001B5E25" w:rsidRPr="002C21B8">
        <w:t>Joint display</w:t>
      </w:r>
      <w:r w:rsidR="00D87764" w:rsidRPr="002C21B8">
        <w:t xml:space="preserve"> of</w:t>
      </w:r>
      <w:r w:rsidRPr="002C21B8">
        <w:t xml:space="preserve"> findings from Phases 3 and 4</w:t>
      </w:r>
      <w:bookmarkEnd w:id="283"/>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402"/>
        <w:gridCol w:w="3402"/>
      </w:tblGrid>
      <w:tr w:rsidR="00AA4730" w:rsidRPr="002C21B8" w14:paraId="1FC3A2E1" w14:textId="583BF14F" w:rsidTr="007B5D87">
        <w:tc>
          <w:tcPr>
            <w:tcW w:w="3686" w:type="dxa"/>
            <w:tcBorders>
              <w:top w:val="single" w:sz="12" w:space="0" w:color="auto"/>
              <w:bottom w:val="single" w:sz="6" w:space="0" w:color="auto"/>
            </w:tcBorders>
          </w:tcPr>
          <w:p w14:paraId="797BDC69" w14:textId="39A8856C" w:rsidR="005D7C16" w:rsidRPr="002C21B8" w:rsidRDefault="00845C25" w:rsidP="00971348">
            <w:pPr>
              <w:spacing w:beforeLines="20" w:before="48" w:afterLines="20" w:after="48" w:line="240" w:lineRule="auto"/>
              <w:rPr>
                <w:b/>
                <w:bCs/>
                <w:sz w:val="16"/>
                <w:szCs w:val="16"/>
              </w:rPr>
            </w:pPr>
            <w:r w:rsidRPr="002C21B8">
              <w:rPr>
                <w:b/>
                <w:bCs/>
                <w:sz w:val="16"/>
                <w:szCs w:val="16"/>
              </w:rPr>
              <w:t>Key theme</w:t>
            </w:r>
          </w:p>
        </w:tc>
        <w:tc>
          <w:tcPr>
            <w:tcW w:w="3402" w:type="dxa"/>
            <w:tcBorders>
              <w:top w:val="single" w:sz="12" w:space="0" w:color="auto"/>
              <w:bottom w:val="single" w:sz="6" w:space="0" w:color="auto"/>
            </w:tcBorders>
          </w:tcPr>
          <w:p w14:paraId="7521C628" w14:textId="22DD3E44" w:rsidR="005D7C16" w:rsidRPr="002C21B8" w:rsidRDefault="001B5E25" w:rsidP="00971348">
            <w:pPr>
              <w:spacing w:beforeLines="20" w:before="48" w:afterLines="20" w:after="48" w:line="240" w:lineRule="auto"/>
              <w:rPr>
                <w:b/>
                <w:bCs/>
                <w:sz w:val="16"/>
                <w:szCs w:val="16"/>
              </w:rPr>
            </w:pPr>
            <w:r w:rsidRPr="002C21B8">
              <w:rPr>
                <w:b/>
                <w:bCs/>
                <w:sz w:val="16"/>
                <w:szCs w:val="16"/>
              </w:rPr>
              <w:t>Multiple case study (Phase 3)</w:t>
            </w:r>
          </w:p>
        </w:tc>
        <w:tc>
          <w:tcPr>
            <w:tcW w:w="3402" w:type="dxa"/>
            <w:tcBorders>
              <w:top w:val="single" w:sz="12" w:space="0" w:color="auto"/>
              <w:bottom w:val="single" w:sz="6" w:space="0" w:color="auto"/>
            </w:tcBorders>
          </w:tcPr>
          <w:p w14:paraId="5A0AD690" w14:textId="33258A20" w:rsidR="005D7C16" w:rsidRPr="002C21B8" w:rsidRDefault="001B5E25" w:rsidP="00971348">
            <w:pPr>
              <w:spacing w:beforeLines="20" w:before="48" w:afterLines="20" w:after="48" w:line="240" w:lineRule="auto"/>
              <w:rPr>
                <w:b/>
                <w:bCs/>
                <w:sz w:val="16"/>
                <w:szCs w:val="16"/>
              </w:rPr>
            </w:pPr>
            <w:r w:rsidRPr="002C21B8">
              <w:rPr>
                <w:b/>
                <w:bCs/>
                <w:sz w:val="16"/>
                <w:szCs w:val="16"/>
              </w:rPr>
              <w:t>National survey of clinical practice (Phase 4)</w:t>
            </w:r>
          </w:p>
        </w:tc>
        <w:tc>
          <w:tcPr>
            <w:tcW w:w="3402" w:type="dxa"/>
            <w:tcBorders>
              <w:top w:val="single" w:sz="12" w:space="0" w:color="auto"/>
              <w:bottom w:val="single" w:sz="6" w:space="0" w:color="auto"/>
            </w:tcBorders>
          </w:tcPr>
          <w:p w14:paraId="0EA55A50" w14:textId="7FF750AE" w:rsidR="005D7C16" w:rsidRPr="002C21B8" w:rsidRDefault="001B5E25" w:rsidP="00971348">
            <w:pPr>
              <w:spacing w:beforeLines="20" w:before="48" w:afterLines="20" w:after="48" w:line="240" w:lineRule="auto"/>
              <w:rPr>
                <w:b/>
                <w:bCs/>
                <w:sz w:val="16"/>
                <w:szCs w:val="16"/>
              </w:rPr>
            </w:pPr>
            <w:r w:rsidRPr="002C21B8">
              <w:rPr>
                <w:b/>
                <w:bCs/>
                <w:sz w:val="16"/>
                <w:szCs w:val="16"/>
              </w:rPr>
              <w:t>Integration (Phase 3 – Phase 4 relationship)</w:t>
            </w:r>
          </w:p>
        </w:tc>
      </w:tr>
      <w:tr w:rsidR="001B5E25" w:rsidRPr="002C21B8" w14:paraId="1F103DBD" w14:textId="78867724" w:rsidTr="007B5D87">
        <w:tc>
          <w:tcPr>
            <w:tcW w:w="13892" w:type="dxa"/>
            <w:gridSpan w:val="4"/>
            <w:tcBorders>
              <w:top w:val="single" w:sz="6" w:space="0" w:color="auto"/>
            </w:tcBorders>
            <w:shd w:val="clear" w:color="auto" w:fill="F2F2F2"/>
          </w:tcPr>
          <w:p w14:paraId="5995963D" w14:textId="6CBD44EC" w:rsidR="001B5E25" w:rsidRPr="002C21B8" w:rsidRDefault="001B5E25" w:rsidP="00971348">
            <w:pPr>
              <w:spacing w:beforeLines="20" w:before="48" w:afterLines="20" w:after="48" w:line="240" w:lineRule="auto"/>
              <w:rPr>
                <w:b/>
                <w:bCs/>
                <w:sz w:val="16"/>
                <w:szCs w:val="16"/>
              </w:rPr>
            </w:pPr>
            <w:r w:rsidRPr="002C21B8">
              <w:rPr>
                <w:b/>
                <w:bCs/>
                <w:sz w:val="16"/>
                <w:szCs w:val="16"/>
              </w:rPr>
              <w:t>Service configuration</w:t>
            </w:r>
          </w:p>
        </w:tc>
      </w:tr>
      <w:tr w:rsidR="00AA4730" w:rsidRPr="002C21B8" w14:paraId="738F246B" w14:textId="5AB18D3B" w:rsidTr="007B5D87">
        <w:tc>
          <w:tcPr>
            <w:tcW w:w="3686" w:type="dxa"/>
          </w:tcPr>
          <w:p w14:paraId="4D1D2E89" w14:textId="63EA8A8B" w:rsidR="005D7C16" w:rsidRPr="002C21B8" w:rsidRDefault="00676AB9" w:rsidP="00971348">
            <w:pPr>
              <w:spacing w:beforeLines="20" w:before="48" w:afterLines="20" w:after="48" w:line="240" w:lineRule="auto"/>
              <w:jc w:val="left"/>
              <w:rPr>
                <w:sz w:val="16"/>
                <w:szCs w:val="16"/>
              </w:rPr>
            </w:pPr>
            <w:r w:rsidRPr="002C21B8">
              <w:rPr>
                <w:sz w:val="16"/>
                <w:szCs w:val="16"/>
              </w:rPr>
              <w:t>Condition-specific vs generalist clinic models</w:t>
            </w:r>
          </w:p>
        </w:tc>
        <w:tc>
          <w:tcPr>
            <w:tcW w:w="3402" w:type="dxa"/>
          </w:tcPr>
          <w:p w14:paraId="5AE9F9AB" w14:textId="3443D885" w:rsidR="005D7C16" w:rsidRPr="002C21B8" w:rsidRDefault="00676AB9" w:rsidP="00971348">
            <w:pPr>
              <w:spacing w:beforeLines="20" w:before="48" w:afterLines="20" w:after="48" w:line="240" w:lineRule="auto"/>
              <w:jc w:val="left"/>
              <w:rPr>
                <w:sz w:val="16"/>
                <w:szCs w:val="16"/>
              </w:rPr>
            </w:pPr>
            <w:r w:rsidRPr="002C21B8">
              <w:rPr>
                <w:sz w:val="16"/>
                <w:szCs w:val="16"/>
              </w:rPr>
              <w:t xml:space="preserve">Condition-specific </w:t>
            </w:r>
            <w:r w:rsidR="00BC1577" w:rsidRPr="002C21B8">
              <w:rPr>
                <w:sz w:val="16"/>
                <w:szCs w:val="16"/>
              </w:rPr>
              <w:t>clinic</w:t>
            </w:r>
            <w:r w:rsidRPr="002C21B8">
              <w:rPr>
                <w:sz w:val="16"/>
                <w:szCs w:val="16"/>
              </w:rPr>
              <w:t xml:space="preserve"> models</w:t>
            </w:r>
            <w:r w:rsidR="00BC1577" w:rsidRPr="002C21B8">
              <w:rPr>
                <w:sz w:val="16"/>
                <w:szCs w:val="16"/>
              </w:rPr>
              <w:t xml:space="preserve"> improve oversight, patient identification and prescribing consistency.</w:t>
            </w:r>
          </w:p>
        </w:tc>
        <w:tc>
          <w:tcPr>
            <w:tcW w:w="3402" w:type="dxa"/>
          </w:tcPr>
          <w:p w14:paraId="77A42591" w14:textId="4592EA78" w:rsidR="005519A0" w:rsidRPr="002C21B8" w:rsidRDefault="005519A0"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 xml:space="preserve">43% of centres </w:t>
            </w:r>
            <w:r w:rsidR="00CC4C61" w:rsidRPr="002C21B8">
              <w:rPr>
                <w:sz w:val="16"/>
                <w:szCs w:val="16"/>
              </w:rPr>
              <w:t xml:space="preserve">managed people with ADPKD in </w:t>
            </w:r>
            <w:r w:rsidRPr="002C21B8">
              <w:rPr>
                <w:sz w:val="16"/>
                <w:szCs w:val="16"/>
              </w:rPr>
              <w:t>condition-specific clinics</w:t>
            </w:r>
          </w:p>
          <w:p w14:paraId="4DB9843D" w14:textId="44B94ED0" w:rsidR="00952FAA" w:rsidRPr="002C21B8" w:rsidRDefault="00952FAA"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 xml:space="preserve">45% of centres </w:t>
            </w:r>
            <w:r w:rsidR="00CC4C61" w:rsidRPr="002C21B8">
              <w:rPr>
                <w:sz w:val="16"/>
                <w:szCs w:val="16"/>
              </w:rPr>
              <w:t xml:space="preserve">managed people with ADPKD in </w:t>
            </w:r>
            <w:r w:rsidRPr="002C21B8">
              <w:rPr>
                <w:sz w:val="16"/>
                <w:szCs w:val="16"/>
              </w:rPr>
              <w:t>general clinics</w:t>
            </w:r>
            <w:r w:rsidR="00DA49D3" w:rsidRPr="002C21B8">
              <w:rPr>
                <w:sz w:val="16"/>
                <w:szCs w:val="16"/>
              </w:rPr>
              <w:t xml:space="preserve"> </w:t>
            </w:r>
          </w:p>
          <w:p w14:paraId="35995B05" w14:textId="610EB187" w:rsidR="005D7C16" w:rsidRPr="002C21B8" w:rsidRDefault="00952FAA"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1</w:t>
            </w:r>
            <w:r w:rsidR="003121D5" w:rsidRPr="002C21B8">
              <w:rPr>
                <w:sz w:val="16"/>
                <w:szCs w:val="16"/>
              </w:rPr>
              <w:t>3</w:t>
            </w:r>
            <w:r w:rsidRPr="002C21B8">
              <w:rPr>
                <w:sz w:val="16"/>
                <w:szCs w:val="16"/>
              </w:rPr>
              <w:t xml:space="preserve">% of centres </w:t>
            </w:r>
            <w:r w:rsidR="00CC4C61" w:rsidRPr="002C21B8">
              <w:rPr>
                <w:sz w:val="16"/>
                <w:szCs w:val="16"/>
              </w:rPr>
              <w:t>managed people with ADPKD in</w:t>
            </w:r>
            <w:r w:rsidRPr="002C21B8">
              <w:rPr>
                <w:sz w:val="16"/>
                <w:szCs w:val="16"/>
              </w:rPr>
              <w:t xml:space="preserve"> both</w:t>
            </w:r>
            <w:r w:rsidR="00CC4C61" w:rsidRPr="002C21B8">
              <w:rPr>
                <w:sz w:val="16"/>
                <w:szCs w:val="16"/>
              </w:rPr>
              <w:t xml:space="preserve"> clinics</w:t>
            </w:r>
          </w:p>
        </w:tc>
        <w:tc>
          <w:tcPr>
            <w:tcW w:w="3402" w:type="dxa"/>
          </w:tcPr>
          <w:p w14:paraId="6883FFED" w14:textId="17EC1136" w:rsidR="005D7C16" w:rsidRPr="002C21B8" w:rsidRDefault="00DA49D3" w:rsidP="00971348">
            <w:pPr>
              <w:spacing w:beforeLines="20" w:before="48" w:afterLines="20" w:after="48" w:line="240" w:lineRule="auto"/>
              <w:jc w:val="left"/>
              <w:rPr>
                <w:sz w:val="16"/>
                <w:szCs w:val="16"/>
                <w:u w:val="single"/>
              </w:rPr>
            </w:pPr>
            <w:r w:rsidRPr="002C21B8">
              <w:rPr>
                <w:sz w:val="16"/>
                <w:szCs w:val="16"/>
                <w:u w:val="single"/>
              </w:rPr>
              <w:t>Complementary:</w:t>
            </w:r>
            <w:r w:rsidRPr="002C21B8">
              <w:rPr>
                <w:sz w:val="16"/>
                <w:szCs w:val="16"/>
              </w:rPr>
              <w:t xml:space="preserve"> </w:t>
            </w:r>
            <w:r w:rsidR="001D6EF8" w:rsidRPr="002C21B8">
              <w:rPr>
                <w:sz w:val="16"/>
                <w:szCs w:val="16"/>
              </w:rPr>
              <w:t xml:space="preserve">Variation in clinic models identified in </w:t>
            </w:r>
            <w:r w:rsidR="00AA4730" w:rsidRPr="002C21B8">
              <w:rPr>
                <w:sz w:val="16"/>
                <w:szCs w:val="16"/>
              </w:rPr>
              <w:t xml:space="preserve">Phase 3 </w:t>
            </w:r>
            <w:r w:rsidR="001D6EF8" w:rsidRPr="002C21B8">
              <w:rPr>
                <w:sz w:val="16"/>
                <w:szCs w:val="16"/>
              </w:rPr>
              <w:t>was reflected across the wider national sample i</w:t>
            </w:r>
            <w:r w:rsidR="00AA4730" w:rsidRPr="002C21B8">
              <w:rPr>
                <w:sz w:val="16"/>
                <w:szCs w:val="16"/>
              </w:rPr>
              <w:t>n Phase 4.</w:t>
            </w:r>
          </w:p>
        </w:tc>
      </w:tr>
      <w:tr w:rsidR="00AA4730" w:rsidRPr="002C21B8" w14:paraId="4BC19E79" w14:textId="77777777" w:rsidTr="007B5D87">
        <w:tc>
          <w:tcPr>
            <w:tcW w:w="3686" w:type="dxa"/>
          </w:tcPr>
          <w:p w14:paraId="1976FDEF" w14:textId="1E1209F4" w:rsidR="001B5E25" w:rsidRPr="002C21B8" w:rsidRDefault="00952FAA" w:rsidP="00971348">
            <w:pPr>
              <w:spacing w:beforeLines="20" w:before="48" w:afterLines="20" w:after="48" w:line="240" w:lineRule="auto"/>
              <w:jc w:val="left"/>
              <w:rPr>
                <w:sz w:val="16"/>
                <w:szCs w:val="16"/>
              </w:rPr>
            </w:pPr>
            <w:r w:rsidRPr="002C21B8">
              <w:rPr>
                <w:sz w:val="16"/>
                <w:szCs w:val="16"/>
              </w:rPr>
              <w:t>Dedicated tolvaptan clinics</w:t>
            </w:r>
          </w:p>
        </w:tc>
        <w:tc>
          <w:tcPr>
            <w:tcW w:w="3402" w:type="dxa"/>
          </w:tcPr>
          <w:p w14:paraId="04F88222" w14:textId="54525FC6" w:rsidR="001B5E25" w:rsidRPr="002C21B8" w:rsidRDefault="00BC1577" w:rsidP="00971348">
            <w:pPr>
              <w:spacing w:beforeLines="20" w:before="48" w:afterLines="20" w:after="48" w:line="240" w:lineRule="auto"/>
              <w:jc w:val="left"/>
              <w:rPr>
                <w:sz w:val="16"/>
                <w:szCs w:val="16"/>
              </w:rPr>
            </w:pPr>
            <w:r w:rsidRPr="002C21B8">
              <w:rPr>
                <w:sz w:val="16"/>
                <w:szCs w:val="16"/>
              </w:rPr>
              <w:t>Dedicated tolvaptan clinics share prescribing responsibility to reduce perceived burden and thresholds for initiation</w:t>
            </w:r>
            <w:r w:rsidR="00DB1499" w:rsidRPr="002C21B8">
              <w:rPr>
                <w:sz w:val="16"/>
                <w:szCs w:val="16"/>
              </w:rPr>
              <w:t>.</w:t>
            </w:r>
          </w:p>
        </w:tc>
        <w:tc>
          <w:tcPr>
            <w:tcW w:w="3402" w:type="dxa"/>
          </w:tcPr>
          <w:p w14:paraId="4CA510B1" w14:textId="6F55E23E" w:rsidR="001B5E25" w:rsidRPr="002C21B8" w:rsidRDefault="00952FAA"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 xml:space="preserve">50% of centres </w:t>
            </w:r>
            <w:r w:rsidR="005F5AC6" w:rsidRPr="002C21B8">
              <w:rPr>
                <w:sz w:val="16"/>
                <w:szCs w:val="16"/>
              </w:rPr>
              <w:t>have</w:t>
            </w:r>
            <w:r w:rsidRPr="002C21B8">
              <w:rPr>
                <w:sz w:val="16"/>
                <w:szCs w:val="16"/>
              </w:rPr>
              <w:t xml:space="preserve"> a dedicated tolvaptan clinic</w:t>
            </w:r>
          </w:p>
        </w:tc>
        <w:tc>
          <w:tcPr>
            <w:tcW w:w="3402" w:type="dxa"/>
          </w:tcPr>
          <w:p w14:paraId="737E34EF" w14:textId="329CB5C1" w:rsidR="001B5E25" w:rsidRPr="002C21B8" w:rsidRDefault="00DA49D3" w:rsidP="00971348">
            <w:pPr>
              <w:spacing w:beforeLines="20" w:before="48" w:afterLines="20" w:after="48" w:line="240" w:lineRule="auto"/>
              <w:jc w:val="left"/>
              <w:rPr>
                <w:sz w:val="16"/>
                <w:szCs w:val="16"/>
              </w:rPr>
            </w:pPr>
            <w:r w:rsidRPr="002C21B8">
              <w:rPr>
                <w:sz w:val="16"/>
                <w:szCs w:val="16"/>
                <w:u w:val="single"/>
              </w:rPr>
              <w:t>Complementary:</w:t>
            </w:r>
            <w:r w:rsidRPr="002C21B8">
              <w:rPr>
                <w:sz w:val="16"/>
                <w:szCs w:val="16"/>
              </w:rPr>
              <w:t xml:space="preserve"> </w:t>
            </w:r>
            <w:r w:rsidR="00AA4730" w:rsidRPr="002C21B8">
              <w:rPr>
                <w:sz w:val="16"/>
                <w:szCs w:val="16"/>
              </w:rPr>
              <w:t>Tolvaptan clinics present in Phase 3 are not universal across kidney centres in Phase 4.</w:t>
            </w:r>
          </w:p>
        </w:tc>
      </w:tr>
      <w:tr w:rsidR="001B5E25" w:rsidRPr="002C21B8" w14:paraId="0808FDBE" w14:textId="2AFE0BBA" w:rsidTr="007B5D87">
        <w:tc>
          <w:tcPr>
            <w:tcW w:w="13892" w:type="dxa"/>
            <w:gridSpan w:val="4"/>
            <w:tcBorders>
              <w:top w:val="single" w:sz="6" w:space="0" w:color="auto"/>
            </w:tcBorders>
            <w:shd w:val="clear" w:color="auto" w:fill="F2F2F2"/>
          </w:tcPr>
          <w:p w14:paraId="6F14B63C" w14:textId="63BE67E1" w:rsidR="001B5E25" w:rsidRPr="002C21B8" w:rsidRDefault="001B5E25" w:rsidP="00971348">
            <w:pPr>
              <w:spacing w:beforeLines="20" w:before="48" w:afterLines="20" w:after="48" w:line="240" w:lineRule="auto"/>
              <w:jc w:val="left"/>
              <w:rPr>
                <w:b/>
                <w:bCs/>
                <w:sz w:val="16"/>
                <w:szCs w:val="16"/>
              </w:rPr>
            </w:pPr>
            <w:r w:rsidRPr="002C21B8">
              <w:rPr>
                <w:b/>
                <w:bCs/>
                <w:sz w:val="16"/>
                <w:szCs w:val="16"/>
              </w:rPr>
              <w:t>Eligibility assessment criteria</w:t>
            </w:r>
          </w:p>
        </w:tc>
      </w:tr>
      <w:tr w:rsidR="00AA4730" w:rsidRPr="002C21B8" w14:paraId="47DC9F0C" w14:textId="08A00992" w:rsidTr="007B5D87">
        <w:tc>
          <w:tcPr>
            <w:tcW w:w="3686" w:type="dxa"/>
          </w:tcPr>
          <w:p w14:paraId="5BFB0430" w14:textId="3B94F955" w:rsidR="005D7C16" w:rsidRPr="002C21B8" w:rsidRDefault="00952FAA" w:rsidP="00971348">
            <w:pPr>
              <w:spacing w:beforeLines="20" w:before="48" w:afterLines="20" w:after="48" w:line="240" w:lineRule="auto"/>
              <w:jc w:val="left"/>
              <w:rPr>
                <w:sz w:val="16"/>
                <w:szCs w:val="16"/>
              </w:rPr>
            </w:pPr>
            <w:r w:rsidRPr="002C21B8">
              <w:rPr>
                <w:sz w:val="16"/>
                <w:szCs w:val="16"/>
              </w:rPr>
              <w:t>Different eligibility criteria used</w:t>
            </w:r>
          </w:p>
        </w:tc>
        <w:tc>
          <w:tcPr>
            <w:tcW w:w="3402" w:type="dxa"/>
          </w:tcPr>
          <w:p w14:paraId="39C1925E" w14:textId="2FBFDDE6" w:rsidR="005D7C16" w:rsidRPr="002C21B8" w:rsidRDefault="002D5E59" w:rsidP="00971348">
            <w:pPr>
              <w:spacing w:beforeLines="20" w:before="48" w:afterLines="20" w:after="48" w:line="240" w:lineRule="auto"/>
              <w:jc w:val="left"/>
              <w:rPr>
                <w:sz w:val="16"/>
                <w:szCs w:val="16"/>
              </w:rPr>
            </w:pPr>
            <w:r w:rsidRPr="002C21B8">
              <w:rPr>
                <w:sz w:val="16"/>
                <w:szCs w:val="16"/>
              </w:rPr>
              <w:t>Centres use eligibility differently which can lead to centre-level variation. Some centres proactively use multiple criteria.</w:t>
            </w:r>
          </w:p>
        </w:tc>
        <w:tc>
          <w:tcPr>
            <w:tcW w:w="3402" w:type="dxa"/>
          </w:tcPr>
          <w:p w14:paraId="121AF2FB" w14:textId="77777777" w:rsidR="005D7C16" w:rsidRPr="002C21B8" w:rsidRDefault="00952FAA"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100% of centres use eGFR slopes</w:t>
            </w:r>
          </w:p>
          <w:p w14:paraId="5621AE6B" w14:textId="77777777"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77% of centres use US kidney length</w:t>
            </w:r>
          </w:p>
          <w:p w14:paraId="40B28C35" w14:textId="736FD4A7"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21% of centres use US total kidney volume</w:t>
            </w:r>
          </w:p>
          <w:p w14:paraId="1225385D" w14:textId="0B82DCA8" w:rsidR="00952FAA"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51% of centres use MRI total kidney volume</w:t>
            </w:r>
          </w:p>
          <w:p w14:paraId="056F121D" w14:textId="77777777" w:rsidR="00952FAA" w:rsidRPr="002C21B8" w:rsidRDefault="00952FAA"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51% use MIC</w:t>
            </w:r>
          </w:p>
          <w:p w14:paraId="4B1E86D3" w14:textId="18E8A6D9" w:rsidR="00952FAA" w:rsidRPr="002C21B8" w:rsidRDefault="00952FAA"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36% use PROPKD</w:t>
            </w:r>
          </w:p>
        </w:tc>
        <w:tc>
          <w:tcPr>
            <w:tcW w:w="3402" w:type="dxa"/>
          </w:tcPr>
          <w:p w14:paraId="7E9BDD8F" w14:textId="106CF4F0" w:rsidR="005D7C16" w:rsidRPr="002C21B8" w:rsidRDefault="001F7C50" w:rsidP="00971348">
            <w:pPr>
              <w:spacing w:beforeLines="20" w:before="48" w:afterLines="20" w:after="48" w:line="240" w:lineRule="auto"/>
              <w:jc w:val="left"/>
              <w:rPr>
                <w:sz w:val="16"/>
                <w:szCs w:val="16"/>
              </w:rPr>
            </w:pPr>
            <w:r w:rsidRPr="002C21B8">
              <w:rPr>
                <w:sz w:val="16"/>
                <w:szCs w:val="16"/>
                <w:u w:val="single"/>
              </w:rPr>
              <w:t>Complementary:</w:t>
            </w:r>
            <w:r w:rsidR="00AA4730" w:rsidRPr="002C21B8">
              <w:rPr>
                <w:sz w:val="16"/>
                <w:szCs w:val="16"/>
              </w:rPr>
              <w:t xml:space="preserve"> </w:t>
            </w:r>
            <w:r w:rsidR="00082FF3" w:rsidRPr="002C21B8">
              <w:rPr>
                <w:sz w:val="16"/>
                <w:szCs w:val="16"/>
              </w:rPr>
              <w:t xml:space="preserve">Wide variation in the eligibility criteria used across cases in Phase 3 </w:t>
            </w:r>
            <w:r w:rsidR="0002470C" w:rsidRPr="002C21B8">
              <w:rPr>
                <w:sz w:val="16"/>
                <w:szCs w:val="16"/>
              </w:rPr>
              <w:t xml:space="preserve">is </w:t>
            </w:r>
            <w:r w:rsidR="00082FF3" w:rsidRPr="002C21B8">
              <w:rPr>
                <w:sz w:val="16"/>
                <w:szCs w:val="16"/>
              </w:rPr>
              <w:t>reflected across the wider sample of kidney centres in Phase 4.</w:t>
            </w:r>
          </w:p>
        </w:tc>
      </w:tr>
      <w:tr w:rsidR="00AA4730" w:rsidRPr="002C21B8" w14:paraId="48A2C008" w14:textId="77777777" w:rsidTr="007B5D87">
        <w:tc>
          <w:tcPr>
            <w:tcW w:w="3686" w:type="dxa"/>
          </w:tcPr>
          <w:p w14:paraId="275D34EA" w14:textId="18326679" w:rsidR="00952FAA" w:rsidRPr="002C21B8" w:rsidRDefault="00B7283D" w:rsidP="00971348">
            <w:pPr>
              <w:spacing w:beforeLines="20" w:before="48" w:afterLines="20" w:after="48" w:line="240" w:lineRule="auto"/>
              <w:jc w:val="left"/>
              <w:rPr>
                <w:sz w:val="16"/>
                <w:szCs w:val="16"/>
              </w:rPr>
            </w:pPr>
            <w:r w:rsidRPr="002C21B8">
              <w:rPr>
                <w:sz w:val="16"/>
                <w:szCs w:val="16"/>
              </w:rPr>
              <w:t xml:space="preserve">Independent </w:t>
            </w:r>
            <w:r w:rsidR="001D1349" w:rsidRPr="002C21B8">
              <w:rPr>
                <w:sz w:val="16"/>
                <w:szCs w:val="16"/>
              </w:rPr>
              <w:t xml:space="preserve">vs dependent </w:t>
            </w:r>
            <w:r w:rsidRPr="002C21B8">
              <w:rPr>
                <w:sz w:val="16"/>
                <w:szCs w:val="16"/>
              </w:rPr>
              <w:t>use of criteria</w:t>
            </w:r>
          </w:p>
        </w:tc>
        <w:tc>
          <w:tcPr>
            <w:tcW w:w="3402" w:type="dxa"/>
          </w:tcPr>
          <w:p w14:paraId="3DC3C3D5" w14:textId="70F3B8DD" w:rsidR="00952FAA" w:rsidRPr="002C21B8" w:rsidRDefault="002D5E59" w:rsidP="00971348">
            <w:pPr>
              <w:spacing w:beforeLines="20" w:before="48" w:afterLines="20" w:after="48" w:line="240" w:lineRule="auto"/>
              <w:jc w:val="left"/>
              <w:rPr>
                <w:sz w:val="16"/>
                <w:szCs w:val="16"/>
              </w:rPr>
            </w:pPr>
            <w:r w:rsidRPr="002C21B8">
              <w:rPr>
                <w:sz w:val="16"/>
                <w:szCs w:val="16"/>
              </w:rPr>
              <w:t>The most proactive centres use non-eGFR criteria as an independent criterion whereas others use these criteria to support decisions based on eGFR slopes.</w:t>
            </w:r>
          </w:p>
        </w:tc>
        <w:tc>
          <w:tcPr>
            <w:tcW w:w="3402" w:type="dxa"/>
          </w:tcPr>
          <w:p w14:paraId="1A3C9F84" w14:textId="6E17DA4A" w:rsidR="00B81607" w:rsidRPr="002C21B8" w:rsidRDefault="00952FAA"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 xml:space="preserve">15% </w:t>
            </w:r>
            <w:r w:rsidR="002D5E59" w:rsidRPr="002C21B8">
              <w:rPr>
                <w:sz w:val="16"/>
                <w:szCs w:val="16"/>
              </w:rPr>
              <w:t xml:space="preserve">of centres </w:t>
            </w:r>
            <w:r w:rsidRPr="002C21B8">
              <w:rPr>
                <w:sz w:val="16"/>
                <w:szCs w:val="16"/>
              </w:rPr>
              <w:t>use non-eGFR criteria independently</w:t>
            </w:r>
          </w:p>
        </w:tc>
        <w:tc>
          <w:tcPr>
            <w:tcW w:w="3402" w:type="dxa"/>
          </w:tcPr>
          <w:p w14:paraId="22C05C54" w14:textId="094C5B85" w:rsidR="00952FAA" w:rsidRPr="002C21B8" w:rsidRDefault="001F7C50" w:rsidP="00971348">
            <w:pPr>
              <w:spacing w:beforeLines="20" w:before="48" w:afterLines="20" w:after="48" w:line="240" w:lineRule="auto"/>
              <w:jc w:val="left"/>
              <w:rPr>
                <w:sz w:val="16"/>
                <w:szCs w:val="16"/>
              </w:rPr>
            </w:pPr>
            <w:r w:rsidRPr="002C21B8">
              <w:rPr>
                <w:sz w:val="16"/>
                <w:szCs w:val="16"/>
                <w:u w:val="single"/>
              </w:rPr>
              <w:t>Complementary:</w:t>
            </w:r>
            <w:r w:rsidR="00082FF3" w:rsidRPr="002C21B8">
              <w:rPr>
                <w:sz w:val="16"/>
                <w:szCs w:val="16"/>
              </w:rPr>
              <w:t xml:space="preserve"> </w:t>
            </w:r>
            <w:r w:rsidR="00955B2F" w:rsidRPr="002C21B8">
              <w:rPr>
                <w:sz w:val="16"/>
                <w:szCs w:val="16"/>
              </w:rPr>
              <w:t>S</w:t>
            </w:r>
            <w:r w:rsidR="00082FF3" w:rsidRPr="002C21B8">
              <w:rPr>
                <w:sz w:val="16"/>
                <w:szCs w:val="16"/>
              </w:rPr>
              <w:t>ome centres, mainly specialist centres, using non-eGFR criteria independently present in both Phases 3 and 4.</w:t>
            </w:r>
          </w:p>
        </w:tc>
      </w:tr>
      <w:tr w:rsidR="00136525" w:rsidRPr="002C21B8" w14:paraId="0549901D" w14:textId="77777777" w:rsidTr="007B5D87">
        <w:tc>
          <w:tcPr>
            <w:tcW w:w="3686" w:type="dxa"/>
          </w:tcPr>
          <w:p w14:paraId="6CE9E295" w14:textId="300D5936" w:rsidR="00B81607" w:rsidRPr="002C21B8" w:rsidRDefault="00F93DB4" w:rsidP="00971348">
            <w:pPr>
              <w:spacing w:beforeLines="20" w:before="48" w:afterLines="20" w:after="48" w:line="240" w:lineRule="auto"/>
              <w:jc w:val="left"/>
              <w:rPr>
                <w:sz w:val="16"/>
                <w:szCs w:val="16"/>
              </w:rPr>
            </w:pPr>
            <w:r w:rsidRPr="002C21B8">
              <w:rPr>
                <w:sz w:val="16"/>
                <w:szCs w:val="16"/>
              </w:rPr>
              <w:t xml:space="preserve">Resources needed </w:t>
            </w:r>
            <w:r w:rsidR="00B7283D" w:rsidRPr="002C21B8">
              <w:rPr>
                <w:sz w:val="16"/>
                <w:szCs w:val="16"/>
              </w:rPr>
              <w:t xml:space="preserve">to support </w:t>
            </w:r>
            <w:r w:rsidR="00AA4730" w:rsidRPr="002C21B8">
              <w:rPr>
                <w:sz w:val="16"/>
                <w:szCs w:val="16"/>
              </w:rPr>
              <w:t xml:space="preserve">eligibility </w:t>
            </w:r>
            <w:r w:rsidR="00B7283D" w:rsidRPr="002C21B8">
              <w:rPr>
                <w:sz w:val="16"/>
                <w:szCs w:val="16"/>
              </w:rPr>
              <w:t>assessment</w:t>
            </w:r>
          </w:p>
        </w:tc>
        <w:tc>
          <w:tcPr>
            <w:tcW w:w="3402" w:type="dxa"/>
          </w:tcPr>
          <w:p w14:paraId="63A66A35" w14:textId="173E46F7" w:rsidR="00B81607" w:rsidRPr="002C21B8" w:rsidRDefault="002D5E59" w:rsidP="00971348">
            <w:pPr>
              <w:spacing w:beforeLines="20" w:before="48" w:afterLines="20" w:after="48" w:line="240" w:lineRule="auto"/>
              <w:jc w:val="left"/>
              <w:rPr>
                <w:sz w:val="16"/>
                <w:szCs w:val="16"/>
              </w:rPr>
            </w:pPr>
            <w:r w:rsidRPr="002C21B8">
              <w:rPr>
                <w:sz w:val="16"/>
                <w:szCs w:val="16"/>
              </w:rPr>
              <w:t xml:space="preserve">Not all centres have equal access to </w:t>
            </w:r>
            <w:r w:rsidR="00F93DB4" w:rsidRPr="002C21B8">
              <w:rPr>
                <w:sz w:val="16"/>
                <w:szCs w:val="16"/>
              </w:rPr>
              <w:t>resources</w:t>
            </w:r>
            <w:r w:rsidR="00AA4730" w:rsidRPr="002C21B8">
              <w:rPr>
                <w:sz w:val="16"/>
                <w:szCs w:val="16"/>
              </w:rPr>
              <w:t xml:space="preserve"> </w:t>
            </w:r>
            <w:r w:rsidR="00F93DB4" w:rsidRPr="002C21B8">
              <w:rPr>
                <w:sz w:val="16"/>
                <w:szCs w:val="16"/>
              </w:rPr>
              <w:t>or</w:t>
            </w:r>
            <w:r w:rsidRPr="002C21B8">
              <w:rPr>
                <w:sz w:val="16"/>
                <w:szCs w:val="16"/>
              </w:rPr>
              <w:t xml:space="preserve"> specialist expertise to interpret </w:t>
            </w:r>
            <w:r w:rsidR="00F93DB4" w:rsidRPr="002C21B8">
              <w:rPr>
                <w:sz w:val="16"/>
                <w:szCs w:val="16"/>
              </w:rPr>
              <w:t xml:space="preserve">the </w:t>
            </w:r>
            <w:r w:rsidRPr="002C21B8">
              <w:rPr>
                <w:sz w:val="16"/>
                <w:szCs w:val="16"/>
              </w:rPr>
              <w:t>results</w:t>
            </w:r>
            <w:r w:rsidR="00F93DB4" w:rsidRPr="002C21B8">
              <w:rPr>
                <w:sz w:val="16"/>
                <w:szCs w:val="16"/>
              </w:rPr>
              <w:t xml:space="preserve"> of investigations for the eligibility criteria</w:t>
            </w:r>
            <w:r w:rsidR="00A33C4A" w:rsidRPr="002C21B8">
              <w:rPr>
                <w:sz w:val="16"/>
                <w:szCs w:val="16"/>
              </w:rPr>
              <w:t>,</w:t>
            </w:r>
            <w:r w:rsidR="00F93DB4" w:rsidRPr="002C21B8">
              <w:rPr>
                <w:sz w:val="16"/>
                <w:szCs w:val="16"/>
              </w:rPr>
              <w:t xml:space="preserve"> potentially leading </w:t>
            </w:r>
            <w:r w:rsidRPr="002C21B8">
              <w:rPr>
                <w:sz w:val="16"/>
                <w:szCs w:val="16"/>
              </w:rPr>
              <w:t>variation</w:t>
            </w:r>
            <w:r w:rsidR="00AA4730" w:rsidRPr="002C21B8">
              <w:rPr>
                <w:sz w:val="16"/>
                <w:szCs w:val="16"/>
              </w:rPr>
              <w:t xml:space="preserve"> in </w:t>
            </w:r>
            <w:r w:rsidR="00F93DB4" w:rsidRPr="002C21B8">
              <w:rPr>
                <w:sz w:val="16"/>
                <w:szCs w:val="16"/>
              </w:rPr>
              <w:t xml:space="preserve">their </w:t>
            </w:r>
            <w:r w:rsidR="00AA4730" w:rsidRPr="002C21B8">
              <w:rPr>
                <w:sz w:val="16"/>
                <w:szCs w:val="16"/>
              </w:rPr>
              <w:t>use</w:t>
            </w:r>
            <w:r w:rsidRPr="002C21B8">
              <w:rPr>
                <w:sz w:val="16"/>
                <w:szCs w:val="16"/>
              </w:rPr>
              <w:t>.</w:t>
            </w:r>
          </w:p>
        </w:tc>
        <w:tc>
          <w:tcPr>
            <w:tcW w:w="3402" w:type="dxa"/>
          </w:tcPr>
          <w:p w14:paraId="485610DD" w14:textId="6FD5C809"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61% of centres perform genomic testing (median proportion of patients offered 40% (range 5-100%))</w:t>
            </w:r>
          </w:p>
          <w:p w14:paraId="02456BAB" w14:textId="639CF3BB"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21% of centres perform repeat MRI</w:t>
            </w:r>
          </w:p>
        </w:tc>
        <w:tc>
          <w:tcPr>
            <w:tcW w:w="3402" w:type="dxa"/>
          </w:tcPr>
          <w:p w14:paraId="3C402EA0" w14:textId="38880A1C" w:rsidR="00B81607" w:rsidRPr="002C21B8" w:rsidRDefault="001F7C50" w:rsidP="00971348">
            <w:pPr>
              <w:spacing w:beforeLines="20" w:before="48" w:afterLines="20" w:after="48" w:line="240" w:lineRule="auto"/>
              <w:jc w:val="left"/>
              <w:rPr>
                <w:sz w:val="16"/>
                <w:szCs w:val="16"/>
              </w:rPr>
            </w:pPr>
            <w:r w:rsidRPr="002C21B8">
              <w:rPr>
                <w:sz w:val="16"/>
                <w:szCs w:val="16"/>
                <w:u w:val="single"/>
              </w:rPr>
              <w:t>Complementary:</w:t>
            </w:r>
            <w:r w:rsidR="00082FF3" w:rsidRPr="002C21B8">
              <w:rPr>
                <w:sz w:val="16"/>
                <w:szCs w:val="16"/>
              </w:rPr>
              <w:t xml:space="preserve"> Different levels of access to resources and specialist expertise in Phase 3 </w:t>
            </w:r>
            <w:r w:rsidR="00F960D4" w:rsidRPr="002C21B8">
              <w:rPr>
                <w:sz w:val="16"/>
                <w:szCs w:val="16"/>
              </w:rPr>
              <w:t xml:space="preserve">are </w:t>
            </w:r>
            <w:r w:rsidR="00082FF3" w:rsidRPr="002C21B8">
              <w:rPr>
                <w:sz w:val="16"/>
                <w:szCs w:val="16"/>
              </w:rPr>
              <w:t xml:space="preserve">present in </w:t>
            </w:r>
            <w:r w:rsidR="00F960D4" w:rsidRPr="002C21B8">
              <w:rPr>
                <w:sz w:val="16"/>
                <w:szCs w:val="16"/>
              </w:rPr>
              <w:t xml:space="preserve">the </w:t>
            </w:r>
            <w:r w:rsidR="00082FF3" w:rsidRPr="002C21B8">
              <w:rPr>
                <w:sz w:val="16"/>
                <w:szCs w:val="16"/>
              </w:rPr>
              <w:t>wider sample of kidney centres in Phase 4.</w:t>
            </w:r>
          </w:p>
        </w:tc>
      </w:tr>
      <w:tr w:rsidR="00AA4730" w:rsidRPr="002C21B8" w14:paraId="214D75FF" w14:textId="77777777" w:rsidTr="007B5D87">
        <w:tc>
          <w:tcPr>
            <w:tcW w:w="3686" w:type="dxa"/>
          </w:tcPr>
          <w:p w14:paraId="722705A5" w14:textId="12D91FC4" w:rsidR="001B5E25" w:rsidRPr="002C21B8" w:rsidRDefault="00B7283D" w:rsidP="00971348">
            <w:pPr>
              <w:spacing w:beforeLines="20" w:before="48" w:afterLines="20" w:after="48" w:line="240" w:lineRule="auto"/>
              <w:jc w:val="left"/>
              <w:rPr>
                <w:sz w:val="16"/>
                <w:szCs w:val="16"/>
              </w:rPr>
            </w:pPr>
            <w:r w:rsidRPr="002C21B8">
              <w:rPr>
                <w:sz w:val="16"/>
                <w:szCs w:val="16"/>
              </w:rPr>
              <w:t xml:space="preserve">Different application of </w:t>
            </w:r>
            <w:r w:rsidR="00A7694D" w:rsidRPr="002C21B8">
              <w:rPr>
                <w:sz w:val="16"/>
                <w:szCs w:val="16"/>
              </w:rPr>
              <w:t>thresholds and eligibility criteria</w:t>
            </w:r>
          </w:p>
        </w:tc>
        <w:tc>
          <w:tcPr>
            <w:tcW w:w="3402" w:type="dxa"/>
          </w:tcPr>
          <w:p w14:paraId="5E107770" w14:textId="133C47F3" w:rsidR="001B5E25" w:rsidRPr="002C21B8" w:rsidRDefault="002D5E59" w:rsidP="00971348">
            <w:pPr>
              <w:spacing w:beforeLines="20" w:before="48" w:afterLines="20" w:after="48" w:line="240" w:lineRule="auto"/>
              <w:jc w:val="left"/>
              <w:rPr>
                <w:sz w:val="16"/>
                <w:szCs w:val="16"/>
              </w:rPr>
            </w:pPr>
            <w:r w:rsidRPr="002C21B8">
              <w:rPr>
                <w:sz w:val="16"/>
                <w:szCs w:val="16"/>
              </w:rPr>
              <w:t>Centres apply NICE thresholds for CKD stage based on eGFR differently with some centres prescribing outside of these thresholds.</w:t>
            </w:r>
            <w:r w:rsidR="00A7694D" w:rsidRPr="002C21B8">
              <w:rPr>
                <w:sz w:val="16"/>
                <w:szCs w:val="16"/>
              </w:rPr>
              <w:t xml:space="preserve"> Centres may also apply </w:t>
            </w:r>
            <w:r w:rsidR="0012505E" w:rsidRPr="002C21B8">
              <w:rPr>
                <w:sz w:val="16"/>
                <w:szCs w:val="16"/>
              </w:rPr>
              <w:t>eligibility</w:t>
            </w:r>
            <w:r w:rsidR="00A7694D" w:rsidRPr="002C21B8">
              <w:rPr>
                <w:sz w:val="16"/>
                <w:szCs w:val="16"/>
              </w:rPr>
              <w:t xml:space="preserve"> criteria such as eGFR slopes differently for patients, especially those at the borderline of </w:t>
            </w:r>
            <w:r w:rsidR="0012505E" w:rsidRPr="002C21B8">
              <w:rPr>
                <w:sz w:val="16"/>
                <w:szCs w:val="16"/>
              </w:rPr>
              <w:t>eligibility</w:t>
            </w:r>
            <w:r w:rsidR="00A7694D" w:rsidRPr="002C21B8">
              <w:rPr>
                <w:sz w:val="16"/>
                <w:szCs w:val="16"/>
              </w:rPr>
              <w:t xml:space="preserve"> if there are perceived benefits.</w:t>
            </w:r>
          </w:p>
        </w:tc>
        <w:tc>
          <w:tcPr>
            <w:tcW w:w="3402" w:type="dxa"/>
          </w:tcPr>
          <w:p w14:paraId="6DDDB5FF" w14:textId="3EEB61A0" w:rsidR="001B5E25"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3% of centres used an upper eGFR threshold above NICE criteria</w:t>
            </w:r>
          </w:p>
          <w:p w14:paraId="0AD73EFF" w14:textId="77777777"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21% of centres used a lower threshold below NICE criteria</w:t>
            </w:r>
          </w:p>
          <w:p w14:paraId="38C2DE20" w14:textId="5B0E21BD" w:rsidR="00B81607" w:rsidRPr="002C21B8" w:rsidRDefault="00B81607" w:rsidP="00971348">
            <w:pPr>
              <w:pStyle w:val="ListParagraph"/>
              <w:numPr>
                <w:ilvl w:val="0"/>
                <w:numId w:val="63"/>
              </w:numPr>
              <w:spacing w:beforeLines="20" w:before="48" w:afterLines="20" w:after="48" w:line="240" w:lineRule="auto"/>
              <w:ind w:left="321" w:hanging="284"/>
              <w:jc w:val="left"/>
              <w:rPr>
                <w:sz w:val="16"/>
                <w:szCs w:val="16"/>
              </w:rPr>
            </w:pPr>
            <w:r w:rsidRPr="002C21B8">
              <w:rPr>
                <w:sz w:val="16"/>
                <w:szCs w:val="16"/>
              </w:rPr>
              <w:t>18% of centres used a lower threshold above NICE criteria</w:t>
            </w:r>
          </w:p>
        </w:tc>
        <w:tc>
          <w:tcPr>
            <w:tcW w:w="3402" w:type="dxa"/>
          </w:tcPr>
          <w:p w14:paraId="26D054AF" w14:textId="7C54EFFE" w:rsidR="001B5E25" w:rsidRPr="002C21B8" w:rsidRDefault="00A7694D" w:rsidP="00971348">
            <w:pPr>
              <w:spacing w:beforeLines="20" w:before="48" w:afterLines="20" w:after="48" w:line="240" w:lineRule="auto"/>
              <w:jc w:val="left"/>
              <w:rPr>
                <w:sz w:val="16"/>
                <w:szCs w:val="16"/>
              </w:rPr>
            </w:pPr>
            <w:r w:rsidRPr="002C21B8">
              <w:rPr>
                <w:sz w:val="16"/>
                <w:szCs w:val="16"/>
                <w:u w:val="single"/>
              </w:rPr>
              <w:t>Partial</w:t>
            </w:r>
            <w:r w:rsidR="00AF68B8" w:rsidRPr="002C21B8">
              <w:rPr>
                <w:sz w:val="16"/>
                <w:szCs w:val="16"/>
                <w:u w:val="single"/>
              </w:rPr>
              <w:t>ly</w:t>
            </w:r>
            <w:r w:rsidRPr="002C21B8">
              <w:rPr>
                <w:sz w:val="16"/>
                <w:szCs w:val="16"/>
                <w:u w:val="single"/>
              </w:rPr>
              <w:t xml:space="preserve"> c</w:t>
            </w:r>
            <w:r w:rsidR="001F7C50" w:rsidRPr="002C21B8">
              <w:rPr>
                <w:sz w:val="16"/>
                <w:szCs w:val="16"/>
                <w:u w:val="single"/>
              </w:rPr>
              <w:t>omplementary:</w:t>
            </w:r>
            <w:r w:rsidR="00082FF3" w:rsidRPr="002C21B8">
              <w:rPr>
                <w:sz w:val="16"/>
                <w:szCs w:val="16"/>
              </w:rPr>
              <w:t xml:space="preserve"> </w:t>
            </w:r>
            <w:r w:rsidR="00C51957" w:rsidRPr="002C21B8">
              <w:rPr>
                <w:sz w:val="16"/>
                <w:szCs w:val="16"/>
              </w:rPr>
              <w:t>A</w:t>
            </w:r>
            <w:r w:rsidR="00082FF3" w:rsidRPr="002C21B8">
              <w:rPr>
                <w:sz w:val="16"/>
                <w:szCs w:val="16"/>
              </w:rPr>
              <w:t>necdotes about other</w:t>
            </w:r>
            <w:r w:rsidR="00C51957" w:rsidRPr="002C21B8">
              <w:rPr>
                <w:sz w:val="16"/>
                <w:szCs w:val="16"/>
              </w:rPr>
              <w:t xml:space="preserve"> kidney</w:t>
            </w:r>
            <w:r w:rsidR="00082FF3" w:rsidRPr="002C21B8">
              <w:rPr>
                <w:sz w:val="16"/>
                <w:szCs w:val="16"/>
              </w:rPr>
              <w:t xml:space="preserve"> centres prescribing outside of CKD stage thresholds </w:t>
            </w:r>
            <w:r w:rsidR="00C51957" w:rsidRPr="002C21B8">
              <w:rPr>
                <w:sz w:val="16"/>
                <w:szCs w:val="16"/>
              </w:rPr>
              <w:t>in Phase 3.</w:t>
            </w:r>
            <w:r w:rsidRPr="002C21B8">
              <w:rPr>
                <w:sz w:val="16"/>
                <w:szCs w:val="16"/>
              </w:rPr>
              <w:t xml:space="preserve"> </w:t>
            </w:r>
            <w:r w:rsidR="00C51957" w:rsidRPr="002C21B8">
              <w:rPr>
                <w:sz w:val="16"/>
                <w:szCs w:val="16"/>
              </w:rPr>
              <w:t xml:space="preserve">Centres in Phase 4 identified to use different </w:t>
            </w:r>
            <w:r w:rsidR="00E06522" w:rsidRPr="002C21B8">
              <w:rPr>
                <w:sz w:val="16"/>
                <w:szCs w:val="16"/>
              </w:rPr>
              <w:t xml:space="preserve">CKD stage </w:t>
            </w:r>
            <w:r w:rsidR="00C51957" w:rsidRPr="002C21B8">
              <w:rPr>
                <w:sz w:val="16"/>
                <w:szCs w:val="16"/>
              </w:rPr>
              <w:t xml:space="preserve">thresholds. Application of </w:t>
            </w:r>
            <w:r w:rsidRPr="002C21B8">
              <w:rPr>
                <w:sz w:val="16"/>
                <w:szCs w:val="16"/>
              </w:rPr>
              <w:t>eligibility criteria</w:t>
            </w:r>
            <w:r w:rsidR="00F62BFF" w:rsidRPr="002C21B8">
              <w:rPr>
                <w:sz w:val="16"/>
                <w:szCs w:val="16"/>
              </w:rPr>
              <w:t>,</w:t>
            </w:r>
            <w:r w:rsidRPr="002C21B8">
              <w:rPr>
                <w:sz w:val="16"/>
                <w:szCs w:val="16"/>
              </w:rPr>
              <w:t xml:space="preserve"> such as eGFR slopes not assessed in Phase 4.</w:t>
            </w:r>
          </w:p>
        </w:tc>
      </w:tr>
      <w:tr w:rsidR="0012505E" w:rsidRPr="002C21B8" w14:paraId="4BC7B0C4" w14:textId="77777777" w:rsidTr="007B5D87">
        <w:tc>
          <w:tcPr>
            <w:tcW w:w="3686" w:type="dxa"/>
            <w:tcBorders>
              <w:bottom w:val="single" w:sz="6" w:space="0" w:color="auto"/>
            </w:tcBorders>
          </w:tcPr>
          <w:p w14:paraId="12A12FB9" w14:textId="05C493F8" w:rsidR="0012505E" w:rsidRPr="002C21B8" w:rsidRDefault="0012505E" w:rsidP="00971348">
            <w:pPr>
              <w:spacing w:beforeLines="20" w:before="48" w:afterLines="20" w:after="48" w:line="240" w:lineRule="auto"/>
              <w:jc w:val="left"/>
              <w:rPr>
                <w:sz w:val="16"/>
                <w:szCs w:val="16"/>
              </w:rPr>
            </w:pPr>
            <w:r w:rsidRPr="002C21B8">
              <w:rPr>
                <w:sz w:val="16"/>
                <w:szCs w:val="16"/>
              </w:rPr>
              <w:t>Automated tools</w:t>
            </w:r>
          </w:p>
        </w:tc>
        <w:tc>
          <w:tcPr>
            <w:tcW w:w="3402" w:type="dxa"/>
            <w:tcBorders>
              <w:bottom w:val="single" w:sz="6" w:space="0" w:color="auto"/>
            </w:tcBorders>
          </w:tcPr>
          <w:p w14:paraId="4CB08501" w14:textId="77777777" w:rsidR="0012505E" w:rsidRPr="002C21B8" w:rsidRDefault="0012505E" w:rsidP="00971348">
            <w:pPr>
              <w:spacing w:beforeLines="20" w:before="48" w:afterLines="20" w:after="48" w:line="240" w:lineRule="auto"/>
              <w:jc w:val="left"/>
              <w:rPr>
                <w:sz w:val="16"/>
                <w:szCs w:val="16"/>
              </w:rPr>
            </w:pPr>
            <w:r w:rsidRPr="002C21B8">
              <w:rPr>
                <w:sz w:val="16"/>
                <w:szCs w:val="16"/>
              </w:rPr>
              <w:t>Automated tools are not routinely used but could support centres to identify eligible patients more consistently.</w:t>
            </w:r>
          </w:p>
        </w:tc>
        <w:tc>
          <w:tcPr>
            <w:tcW w:w="3402" w:type="dxa"/>
            <w:tcBorders>
              <w:bottom w:val="single" w:sz="6" w:space="0" w:color="auto"/>
            </w:tcBorders>
          </w:tcPr>
          <w:p w14:paraId="2AEB4511" w14:textId="77777777" w:rsidR="0012505E" w:rsidRPr="002C21B8" w:rsidRDefault="0012505E"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8% of centres used automated tools to identify eligible patients</w:t>
            </w:r>
          </w:p>
          <w:p w14:paraId="1EC55E84" w14:textId="77777777" w:rsidR="0012505E" w:rsidRPr="002C21B8" w:rsidRDefault="0012505E" w:rsidP="00971348">
            <w:pPr>
              <w:pStyle w:val="ListParagraph"/>
              <w:numPr>
                <w:ilvl w:val="0"/>
                <w:numId w:val="63"/>
              </w:numPr>
              <w:spacing w:beforeLines="20" w:before="48" w:afterLines="30" w:after="72" w:line="240" w:lineRule="auto"/>
              <w:ind w:left="289" w:hanging="289"/>
              <w:jc w:val="left"/>
              <w:rPr>
                <w:sz w:val="16"/>
                <w:szCs w:val="16"/>
              </w:rPr>
            </w:pPr>
            <w:r w:rsidRPr="002C21B8">
              <w:rPr>
                <w:sz w:val="16"/>
                <w:szCs w:val="16"/>
              </w:rPr>
              <w:t>69% of centres without an automated tool believed it would be helpful</w:t>
            </w:r>
          </w:p>
        </w:tc>
        <w:tc>
          <w:tcPr>
            <w:tcW w:w="3402" w:type="dxa"/>
            <w:tcBorders>
              <w:bottom w:val="single" w:sz="6" w:space="0" w:color="auto"/>
            </w:tcBorders>
          </w:tcPr>
          <w:p w14:paraId="14C7B06B" w14:textId="3AE7F6FF" w:rsidR="0012505E" w:rsidRPr="002C21B8" w:rsidRDefault="0012505E" w:rsidP="00971348">
            <w:pPr>
              <w:spacing w:beforeLines="20" w:before="48" w:afterLines="20" w:after="48" w:line="240" w:lineRule="auto"/>
              <w:jc w:val="left"/>
              <w:rPr>
                <w:sz w:val="16"/>
                <w:szCs w:val="16"/>
              </w:rPr>
            </w:pPr>
            <w:r w:rsidRPr="002C21B8">
              <w:rPr>
                <w:sz w:val="16"/>
                <w:szCs w:val="16"/>
                <w:u w:val="single"/>
              </w:rPr>
              <w:t>Complementary:</w:t>
            </w:r>
            <w:r w:rsidRPr="002C21B8">
              <w:rPr>
                <w:sz w:val="16"/>
                <w:szCs w:val="16"/>
              </w:rPr>
              <w:t xml:space="preserve"> </w:t>
            </w:r>
            <w:r w:rsidR="00EE6446" w:rsidRPr="002C21B8">
              <w:rPr>
                <w:sz w:val="16"/>
                <w:szCs w:val="16"/>
              </w:rPr>
              <w:t>Limited use of automated tools in Phase 4 supports Phase 3 findings that this may represent an area for service improvement.</w:t>
            </w:r>
          </w:p>
        </w:tc>
      </w:tr>
      <w:tr w:rsidR="001B5E25" w:rsidRPr="002C21B8" w14:paraId="09844844" w14:textId="3C8FA7A4" w:rsidTr="007B5D87">
        <w:tc>
          <w:tcPr>
            <w:tcW w:w="13892" w:type="dxa"/>
            <w:gridSpan w:val="4"/>
            <w:tcBorders>
              <w:top w:val="single" w:sz="6" w:space="0" w:color="auto"/>
            </w:tcBorders>
            <w:shd w:val="clear" w:color="auto" w:fill="F2F2F2"/>
          </w:tcPr>
          <w:p w14:paraId="6E1F1F9C" w14:textId="29A62234" w:rsidR="001B5E25" w:rsidRPr="002C21B8" w:rsidRDefault="00B46C0C" w:rsidP="00971348">
            <w:pPr>
              <w:spacing w:beforeLines="20" w:before="48" w:afterLines="20" w:after="48" w:line="240" w:lineRule="auto"/>
              <w:jc w:val="left"/>
              <w:rPr>
                <w:b/>
                <w:bCs/>
                <w:sz w:val="16"/>
                <w:szCs w:val="16"/>
              </w:rPr>
            </w:pPr>
            <w:r w:rsidRPr="002C21B8">
              <w:rPr>
                <w:b/>
                <w:bCs/>
                <w:sz w:val="16"/>
                <w:szCs w:val="16"/>
              </w:rPr>
              <w:t>Leadership at centres</w:t>
            </w:r>
          </w:p>
        </w:tc>
      </w:tr>
      <w:tr w:rsidR="00233ECA" w:rsidRPr="002C21B8" w14:paraId="79F0C6FB" w14:textId="77777777" w:rsidTr="007018A4">
        <w:tc>
          <w:tcPr>
            <w:tcW w:w="3686" w:type="dxa"/>
          </w:tcPr>
          <w:p w14:paraId="28A792C9" w14:textId="611E8FA0" w:rsidR="00233ECA" w:rsidRPr="002C21B8" w:rsidRDefault="000061CF" w:rsidP="00971348">
            <w:pPr>
              <w:spacing w:beforeLines="20" w:before="48" w:afterLines="20" w:after="48" w:line="240" w:lineRule="auto"/>
              <w:jc w:val="left"/>
              <w:rPr>
                <w:sz w:val="16"/>
                <w:szCs w:val="16"/>
              </w:rPr>
            </w:pPr>
            <w:r w:rsidRPr="002C21B8">
              <w:rPr>
                <w:sz w:val="16"/>
                <w:szCs w:val="16"/>
              </w:rPr>
              <w:t>Leadership structure</w:t>
            </w:r>
          </w:p>
        </w:tc>
        <w:tc>
          <w:tcPr>
            <w:tcW w:w="3402" w:type="dxa"/>
          </w:tcPr>
          <w:p w14:paraId="3FB6EA22" w14:textId="08C39150" w:rsidR="00233ECA" w:rsidRPr="002C21B8" w:rsidRDefault="008760B1" w:rsidP="00971348">
            <w:pPr>
              <w:spacing w:beforeLines="20" w:before="48" w:afterLines="20" w:after="48" w:line="240" w:lineRule="auto"/>
              <w:jc w:val="left"/>
              <w:rPr>
                <w:sz w:val="16"/>
                <w:szCs w:val="16"/>
              </w:rPr>
            </w:pPr>
            <w:r w:rsidRPr="002C21B8">
              <w:rPr>
                <w:sz w:val="16"/>
                <w:szCs w:val="16"/>
              </w:rPr>
              <w:t>Centres differed in leadership structure, which was associated with differe</w:t>
            </w:r>
            <w:r w:rsidR="00A16D29" w:rsidRPr="002C21B8">
              <w:rPr>
                <w:sz w:val="16"/>
                <w:szCs w:val="16"/>
              </w:rPr>
              <w:t xml:space="preserve">nt </w:t>
            </w:r>
            <w:r w:rsidRPr="002C21B8">
              <w:rPr>
                <w:sz w:val="16"/>
                <w:szCs w:val="16"/>
              </w:rPr>
              <w:t>prescribing approaches.</w:t>
            </w:r>
          </w:p>
        </w:tc>
        <w:tc>
          <w:tcPr>
            <w:tcW w:w="3402" w:type="dxa"/>
          </w:tcPr>
          <w:p w14:paraId="6740EE45" w14:textId="00D25E88" w:rsidR="00233ECA" w:rsidRPr="002C21B8" w:rsidRDefault="00BF014E" w:rsidP="00971348">
            <w:pPr>
              <w:spacing w:beforeLines="20" w:before="48" w:afterLines="20" w:after="48" w:line="240" w:lineRule="auto"/>
              <w:jc w:val="left"/>
              <w:rPr>
                <w:sz w:val="16"/>
                <w:szCs w:val="16"/>
              </w:rPr>
            </w:pPr>
            <w:r w:rsidRPr="002C21B8">
              <w:rPr>
                <w:sz w:val="16"/>
                <w:szCs w:val="16"/>
              </w:rPr>
              <w:t>Not included in the survey</w:t>
            </w:r>
          </w:p>
        </w:tc>
        <w:tc>
          <w:tcPr>
            <w:tcW w:w="3402" w:type="dxa"/>
          </w:tcPr>
          <w:p w14:paraId="4101B7B1" w14:textId="26C24CA2" w:rsidR="00233ECA" w:rsidRPr="002C21B8" w:rsidRDefault="00BF014E" w:rsidP="00971348">
            <w:pPr>
              <w:spacing w:beforeLines="20" w:before="48" w:afterLines="20" w:after="48" w:line="240" w:lineRule="auto"/>
              <w:jc w:val="left"/>
              <w:rPr>
                <w:sz w:val="16"/>
                <w:szCs w:val="16"/>
                <w:u w:val="single"/>
              </w:rPr>
            </w:pPr>
            <w:r w:rsidRPr="002C21B8">
              <w:rPr>
                <w:sz w:val="16"/>
                <w:szCs w:val="16"/>
                <w:u w:val="single"/>
              </w:rPr>
              <w:t>Silence:</w:t>
            </w:r>
            <w:r w:rsidRPr="002C21B8">
              <w:rPr>
                <w:sz w:val="16"/>
                <w:szCs w:val="16"/>
              </w:rPr>
              <w:t xml:space="preserve"> Leadership structure only illustrated in Phase 3.</w:t>
            </w:r>
          </w:p>
        </w:tc>
      </w:tr>
      <w:tr w:rsidR="0012505E" w:rsidRPr="002C21B8" w14:paraId="44F18210" w14:textId="77777777" w:rsidTr="007018A4">
        <w:tc>
          <w:tcPr>
            <w:tcW w:w="3686" w:type="dxa"/>
          </w:tcPr>
          <w:p w14:paraId="306C3FB2" w14:textId="01163701" w:rsidR="00A1218E" w:rsidRPr="002C21B8" w:rsidRDefault="005F6C89" w:rsidP="00971348">
            <w:pPr>
              <w:spacing w:beforeLines="20" w:before="48" w:afterLines="20" w:after="48" w:line="240" w:lineRule="auto"/>
              <w:jc w:val="left"/>
              <w:rPr>
                <w:sz w:val="16"/>
                <w:szCs w:val="16"/>
              </w:rPr>
            </w:pPr>
            <w:r w:rsidRPr="002C21B8">
              <w:rPr>
                <w:sz w:val="16"/>
                <w:szCs w:val="16"/>
              </w:rPr>
              <w:t>Experience of lead clinician</w:t>
            </w:r>
            <w:r w:rsidR="00D23E35" w:rsidRPr="002C21B8">
              <w:rPr>
                <w:sz w:val="16"/>
                <w:szCs w:val="16"/>
              </w:rPr>
              <w:t>s</w:t>
            </w:r>
          </w:p>
        </w:tc>
        <w:tc>
          <w:tcPr>
            <w:tcW w:w="3402" w:type="dxa"/>
          </w:tcPr>
          <w:p w14:paraId="43D463E2" w14:textId="583684B3" w:rsidR="00A1218E" w:rsidRPr="002C21B8" w:rsidRDefault="005F6C89" w:rsidP="00971348">
            <w:pPr>
              <w:spacing w:beforeLines="20" w:before="48" w:afterLines="20" w:after="48" w:line="240" w:lineRule="auto"/>
              <w:jc w:val="left"/>
              <w:rPr>
                <w:sz w:val="16"/>
                <w:szCs w:val="16"/>
              </w:rPr>
            </w:pPr>
            <w:r w:rsidRPr="002C21B8">
              <w:rPr>
                <w:sz w:val="16"/>
                <w:szCs w:val="16"/>
              </w:rPr>
              <w:t xml:space="preserve">Lead clinicians with specialist experience are more likely to be involved in trials and have access to informal networks which improves confidence with prescribing tolvaptan. </w:t>
            </w:r>
          </w:p>
        </w:tc>
        <w:tc>
          <w:tcPr>
            <w:tcW w:w="3402" w:type="dxa"/>
          </w:tcPr>
          <w:p w14:paraId="4608C0BC" w14:textId="32BD83C3" w:rsidR="00A1218E" w:rsidRPr="002C21B8" w:rsidRDefault="005F6C89"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73% of centres with a lead clinician who is a specialist in ADPKD/renal genetics</w:t>
            </w:r>
          </w:p>
        </w:tc>
        <w:tc>
          <w:tcPr>
            <w:tcW w:w="3402" w:type="dxa"/>
          </w:tcPr>
          <w:p w14:paraId="58D6D68B" w14:textId="69D8757F" w:rsidR="00A1218E" w:rsidRPr="002C21B8" w:rsidRDefault="00AF03C9" w:rsidP="00971348">
            <w:pPr>
              <w:spacing w:beforeLines="20" w:before="48" w:afterLines="20" w:after="48" w:line="240" w:lineRule="auto"/>
              <w:jc w:val="left"/>
              <w:rPr>
                <w:sz w:val="16"/>
                <w:szCs w:val="16"/>
              </w:rPr>
            </w:pPr>
            <w:r w:rsidRPr="002C21B8">
              <w:rPr>
                <w:sz w:val="16"/>
                <w:szCs w:val="16"/>
                <w:u w:val="single"/>
              </w:rPr>
              <w:t>Partially c</w:t>
            </w:r>
            <w:r w:rsidR="006B786C" w:rsidRPr="002C21B8">
              <w:rPr>
                <w:sz w:val="16"/>
                <w:szCs w:val="16"/>
                <w:u w:val="single"/>
              </w:rPr>
              <w:t>omplementary</w:t>
            </w:r>
            <w:r w:rsidR="001F7C50" w:rsidRPr="002C21B8">
              <w:rPr>
                <w:sz w:val="16"/>
                <w:szCs w:val="16"/>
                <w:u w:val="single"/>
              </w:rPr>
              <w:t>:</w:t>
            </w:r>
            <w:r w:rsidR="005F6C89" w:rsidRPr="002C21B8">
              <w:rPr>
                <w:sz w:val="16"/>
                <w:szCs w:val="16"/>
              </w:rPr>
              <w:t xml:space="preserve"> Phase 4 demonstrated not all centres have lead clinicians with specialist expertise</w:t>
            </w:r>
            <w:r w:rsidR="00F62BFF" w:rsidRPr="002C21B8">
              <w:rPr>
                <w:sz w:val="16"/>
                <w:szCs w:val="16"/>
              </w:rPr>
              <w:t>,</w:t>
            </w:r>
            <w:r w:rsidR="005F6C89" w:rsidRPr="002C21B8">
              <w:rPr>
                <w:sz w:val="16"/>
                <w:szCs w:val="16"/>
              </w:rPr>
              <w:t xml:space="preserve"> meaning potentially unequal access to experience from trials and networks.</w:t>
            </w:r>
          </w:p>
        </w:tc>
      </w:tr>
      <w:tr w:rsidR="007018A4" w:rsidRPr="002C21B8" w14:paraId="7ABB6130" w14:textId="77777777" w:rsidTr="007018A4">
        <w:tc>
          <w:tcPr>
            <w:tcW w:w="3686" w:type="dxa"/>
            <w:tcBorders>
              <w:bottom w:val="single" w:sz="6" w:space="0" w:color="auto"/>
            </w:tcBorders>
          </w:tcPr>
          <w:p w14:paraId="557FB804" w14:textId="458B226E" w:rsidR="007018A4" w:rsidRPr="002C21B8" w:rsidRDefault="001B088F" w:rsidP="00971348">
            <w:pPr>
              <w:spacing w:beforeLines="20" w:before="48" w:afterLines="20" w:after="48" w:line="240" w:lineRule="auto"/>
              <w:jc w:val="left"/>
              <w:rPr>
                <w:sz w:val="16"/>
                <w:szCs w:val="16"/>
              </w:rPr>
            </w:pPr>
            <w:r w:rsidRPr="002C21B8">
              <w:rPr>
                <w:sz w:val="16"/>
                <w:szCs w:val="16"/>
              </w:rPr>
              <w:t>Perspective</w:t>
            </w:r>
            <w:r w:rsidR="007018A4" w:rsidRPr="002C21B8">
              <w:rPr>
                <w:sz w:val="16"/>
                <w:szCs w:val="16"/>
              </w:rPr>
              <w:t>s of lead clinicians</w:t>
            </w:r>
          </w:p>
        </w:tc>
        <w:tc>
          <w:tcPr>
            <w:tcW w:w="3402" w:type="dxa"/>
            <w:tcBorders>
              <w:bottom w:val="single" w:sz="6" w:space="0" w:color="auto"/>
            </w:tcBorders>
          </w:tcPr>
          <w:p w14:paraId="1FC35EED" w14:textId="3E8D9E8B" w:rsidR="007018A4" w:rsidRPr="002C21B8" w:rsidRDefault="00AF03C9" w:rsidP="00971348">
            <w:pPr>
              <w:spacing w:beforeLines="20" w:before="48" w:afterLines="20" w:after="48" w:line="240" w:lineRule="auto"/>
              <w:jc w:val="left"/>
              <w:rPr>
                <w:sz w:val="16"/>
                <w:szCs w:val="16"/>
              </w:rPr>
            </w:pPr>
            <w:r w:rsidRPr="002C21B8">
              <w:rPr>
                <w:sz w:val="16"/>
                <w:szCs w:val="16"/>
              </w:rPr>
              <w:t>Level of caution and scepticism regarding tolvaptan influences how proactive prescribing practices are at centres.</w:t>
            </w:r>
          </w:p>
        </w:tc>
        <w:tc>
          <w:tcPr>
            <w:tcW w:w="3402" w:type="dxa"/>
            <w:tcBorders>
              <w:bottom w:val="single" w:sz="6" w:space="0" w:color="auto"/>
            </w:tcBorders>
          </w:tcPr>
          <w:p w14:paraId="251D6C09" w14:textId="20C66C63" w:rsidR="007018A4" w:rsidRPr="002C21B8" w:rsidRDefault="00AF03C9"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Lead clinician at centres perceived benefit of tolvaptan: 38% substantial, 50% moderate, 9% limited, 3% none</w:t>
            </w:r>
          </w:p>
        </w:tc>
        <w:tc>
          <w:tcPr>
            <w:tcW w:w="3402" w:type="dxa"/>
            <w:tcBorders>
              <w:bottom w:val="single" w:sz="6" w:space="0" w:color="auto"/>
            </w:tcBorders>
          </w:tcPr>
          <w:p w14:paraId="74C6691D" w14:textId="3D7E836A" w:rsidR="007018A4" w:rsidRPr="002C21B8" w:rsidRDefault="00AF03C9" w:rsidP="00971348">
            <w:pPr>
              <w:spacing w:beforeLines="20" w:before="48" w:afterLines="20" w:after="48" w:line="240" w:lineRule="auto"/>
              <w:jc w:val="left"/>
              <w:rPr>
                <w:sz w:val="16"/>
                <w:szCs w:val="16"/>
                <w:u w:val="single"/>
              </w:rPr>
            </w:pPr>
            <w:r w:rsidRPr="002C21B8">
              <w:rPr>
                <w:sz w:val="16"/>
                <w:szCs w:val="16"/>
                <w:u w:val="single"/>
              </w:rPr>
              <w:t>Complementary:</w:t>
            </w:r>
            <w:r w:rsidRPr="002C21B8">
              <w:rPr>
                <w:sz w:val="16"/>
                <w:szCs w:val="16"/>
              </w:rPr>
              <w:t xml:space="preserve"> Scepticism in some clinicians potentially influencing prescribing practices in Phase 3 potentially supported by Phase 4 demonstrating some lower perceived benefit, but not directly tied to practices.</w:t>
            </w:r>
          </w:p>
        </w:tc>
      </w:tr>
      <w:tr w:rsidR="001B5E25" w:rsidRPr="002C21B8" w14:paraId="196169EE" w14:textId="77777777" w:rsidTr="007B5D87">
        <w:tc>
          <w:tcPr>
            <w:tcW w:w="13892" w:type="dxa"/>
            <w:gridSpan w:val="4"/>
            <w:tcBorders>
              <w:top w:val="single" w:sz="6" w:space="0" w:color="auto"/>
            </w:tcBorders>
            <w:shd w:val="clear" w:color="auto" w:fill="F2F2F2"/>
          </w:tcPr>
          <w:p w14:paraId="11B64AD4" w14:textId="56208531" w:rsidR="001B5E25" w:rsidRPr="002C21B8" w:rsidRDefault="001B5E25" w:rsidP="00971348">
            <w:pPr>
              <w:spacing w:beforeLines="20" w:before="48" w:afterLines="20" w:after="48" w:line="240" w:lineRule="auto"/>
              <w:jc w:val="left"/>
              <w:rPr>
                <w:b/>
                <w:bCs/>
                <w:sz w:val="16"/>
                <w:szCs w:val="16"/>
              </w:rPr>
            </w:pPr>
            <w:r w:rsidRPr="002C21B8">
              <w:rPr>
                <w:b/>
                <w:bCs/>
                <w:sz w:val="16"/>
                <w:szCs w:val="16"/>
              </w:rPr>
              <w:t xml:space="preserve">Wider healthcare team </w:t>
            </w:r>
            <w:r w:rsidR="00876677" w:rsidRPr="002C21B8">
              <w:rPr>
                <w:b/>
                <w:bCs/>
                <w:sz w:val="16"/>
                <w:szCs w:val="16"/>
              </w:rPr>
              <w:t>members</w:t>
            </w:r>
          </w:p>
        </w:tc>
      </w:tr>
      <w:tr w:rsidR="0012505E" w:rsidRPr="002C21B8" w14:paraId="0B2ADE23" w14:textId="77777777" w:rsidTr="007B5D87">
        <w:tc>
          <w:tcPr>
            <w:tcW w:w="3686" w:type="dxa"/>
            <w:tcBorders>
              <w:bottom w:val="single" w:sz="6" w:space="0" w:color="auto"/>
            </w:tcBorders>
          </w:tcPr>
          <w:p w14:paraId="1CDF1A62" w14:textId="4A9B98D8" w:rsidR="001B5E25" w:rsidRPr="002C21B8" w:rsidRDefault="00952FAA" w:rsidP="00971348">
            <w:pPr>
              <w:spacing w:beforeLines="20" w:before="48" w:afterLines="20" w:after="48" w:line="240" w:lineRule="auto"/>
              <w:jc w:val="left"/>
              <w:rPr>
                <w:sz w:val="16"/>
                <w:szCs w:val="16"/>
              </w:rPr>
            </w:pPr>
            <w:r w:rsidRPr="002C21B8">
              <w:rPr>
                <w:sz w:val="16"/>
                <w:szCs w:val="16"/>
              </w:rPr>
              <w:t>Multidisciplinary input</w:t>
            </w:r>
          </w:p>
        </w:tc>
        <w:tc>
          <w:tcPr>
            <w:tcW w:w="3402" w:type="dxa"/>
            <w:tcBorders>
              <w:bottom w:val="single" w:sz="6" w:space="0" w:color="auto"/>
            </w:tcBorders>
          </w:tcPr>
          <w:p w14:paraId="3603DE5F" w14:textId="70FEA5AC" w:rsidR="001B5E25" w:rsidRPr="002C21B8" w:rsidRDefault="00B14549" w:rsidP="00971348">
            <w:pPr>
              <w:spacing w:beforeLines="20" w:before="48" w:afterLines="20" w:after="48" w:line="240" w:lineRule="auto"/>
              <w:jc w:val="left"/>
              <w:rPr>
                <w:sz w:val="16"/>
                <w:szCs w:val="16"/>
              </w:rPr>
            </w:pPr>
            <w:r w:rsidRPr="002C21B8">
              <w:rPr>
                <w:sz w:val="16"/>
                <w:szCs w:val="16"/>
              </w:rPr>
              <w:t xml:space="preserve">Having other members of the healthcare team involved in the tolvaptan prescribing process brings </w:t>
            </w:r>
            <w:r w:rsidR="007E737A" w:rsidRPr="002C21B8">
              <w:rPr>
                <w:sz w:val="16"/>
                <w:szCs w:val="16"/>
              </w:rPr>
              <w:t>complementary</w:t>
            </w:r>
            <w:r w:rsidRPr="002C21B8">
              <w:rPr>
                <w:sz w:val="16"/>
                <w:szCs w:val="16"/>
              </w:rPr>
              <w:t xml:space="preserve"> skill</w:t>
            </w:r>
            <w:r w:rsidR="00A16D29" w:rsidRPr="002C21B8">
              <w:rPr>
                <w:sz w:val="16"/>
                <w:szCs w:val="16"/>
              </w:rPr>
              <w:t>s</w:t>
            </w:r>
            <w:r w:rsidRPr="002C21B8">
              <w:rPr>
                <w:sz w:val="16"/>
                <w:szCs w:val="16"/>
              </w:rPr>
              <w:t>ets and shares responsibility which reduces perceived burden and thresholds for initiation. Pharmacists</w:t>
            </w:r>
            <w:r w:rsidR="00534924" w:rsidRPr="002C21B8">
              <w:rPr>
                <w:sz w:val="16"/>
                <w:szCs w:val="16"/>
              </w:rPr>
              <w:t xml:space="preserve"> </w:t>
            </w:r>
            <w:r w:rsidRPr="002C21B8">
              <w:rPr>
                <w:sz w:val="16"/>
                <w:szCs w:val="16"/>
              </w:rPr>
              <w:t>improve adherence to guideline</w:t>
            </w:r>
            <w:r w:rsidR="00534924" w:rsidRPr="002C21B8">
              <w:rPr>
                <w:sz w:val="16"/>
                <w:szCs w:val="16"/>
              </w:rPr>
              <w:t>s</w:t>
            </w:r>
            <w:r w:rsidR="00CB1F1A" w:rsidRPr="002C21B8">
              <w:rPr>
                <w:sz w:val="16"/>
                <w:szCs w:val="16"/>
              </w:rPr>
              <w:t>.</w:t>
            </w:r>
          </w:p>
        </w:tc>
        <w:tc>
          <w:tcPr>
            <w:tcW w:w="3402" w:type="dxa"/>
            <w:tcBorders>
              <w:bottom w:val="single" w:sz="6" w:space="0" w:color="auto"/>
            </w:tcBorders>
          </w:tcPr>
          <w:p w14:paraId="4D76A1E7" w14:textId="45EBAF36" w:rsidR="001B5E25" w:rsidRPr="002C21B8" w:rsidRDefault="00F42A88"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Centres with availability of staff: 100% consultant nephrologist, 53% pharmacist</w:t>
            </w:r>
            <w:r w:rsidR="008B53A5" w:rsidRPr="002C21B8">
              <w:rPr>
                <w:sz w:val="16"/>
                <w:szCs w:val="16"/>
              </w:rPr>
              <w:t>(s)</w:t>
            </w:r>
            <w:r w:rsidRPr="002C21B8">
              <w:rPr>
                <w:sz w:val="16"/>
                <w:szCs w:val="16"/>
              </w:rPr>
              <w:t>, 23% nurse</w:t>
            </w:r>
            <w:r w:rsidR="00FE4037" w:rsidRPr="002C21B8">
              <w:rPr>
                <w:sz w:val="16"/>
                <w:szCs w:val="16"/>
              </w:rPr>
              <w:t>(s</w:t>
            </w:r>
            <w:r w:rsidR="008B53A5" w:rsidRPr="002C21B8">
              <w:rPr>
                <w:sz w:val="16"/>
                <w:szCs w:val="16"/>
              </w:rPr>
              <w:t>)</w:t>
            </w:r>
            <w:r w:rsidRPr="002C21B8">
              <w:rPr>
                <w:sz w:val="16"/>
                <w:szCs w:val="16"/>
              </w:rPr>
              <w:t>, 2</w:t>
            </w:r>
            <w:r w:rsidR="008B53A5" w:rsidRPr="002C21B8">
              <w:rPr>
                <w:sz w:val="16"/>
                <w:szCs w:val="16"/>
              </w:rPr>
              <w:t>8</w:t>
            </w:r>
            <w:r w:rsidRPr="002C21B8">
              <w:rPr>
                <w:sz w:val="16"/>
                <w:szCs w:val="16"/>
              </w:rPr>
              <w:t>%</w:t>
            </w:r>
            <w:r w:rsidR="008B53A5" w:rsidRPr="002C21B8">
              <w:rPr>
                <w:sz w:val="16"/>
                <w:szCs w:val="16"/>
              </w:rPr>
              <w:t xml:space="preserve"> nephrology trainee(s)</w:t>
            </w:r>
          </w:p>
        </w:tc>
        <w:tc>
          <w:tcPr>
            <w:tcW w:w="3402" w:type="dxa"/>
            <w:tcBorders>
              <w:bottom w:val="single" w:sz="6" w:space="0" w:color="auto"/>
            </w:tcBorders>
          </w:tcPr>
          <w:p w14:paraId="5B2DE805" w14:textId="0A5C6450" w:rsidR="001B5E25" w:rsidRPr="002C21B8" w:rsidRDefault="001F7C50" w:rsidP="00971348">
            <w:pPr>
              <w:spacing w:beforeLines="20" w:before="48" w:afterLines="20" w:after="48" w:line="240" w:lineRule="auto"/>
              <w:jc w:val="left"/>
              <w:rPr>
                <w:b/>
                <w:bCs/>
                <w:sz w:val="16"/>
                <w:szCs w:val="16"/>
              </w:rPr>
            </w:pPr>
            <w:r w:rsidRPr="002C21B8">
              <w:rPr>
                <w:sz w:val="16"/>
                <w:szCs w:val="16"/>
                <w:u w:val="single"/>
              </w:rPr>
              <w:t>Complementary:</w:t>
            </w:r>
            <w:r w:rsidR="00CF45DD" w:rsidRPr="002C21B8">
              <w:rPr>
                <w:b/>
                <w:bCs/>
                <w:sz w:val="16"/>
                <w:szCs w:val="16"/>
              </w:rPr>
              <w:t xml:space="preserve"> </w:t>
            </w:r>
            <w:r w:rsidR="00CF45DD" w:rsidRPr="002C21B8">
              <w:rPr>
                <w:sz w:val="16"/>
                <w:szCs w:val="16"/>
              </w:rPr>
              <w:t>Wide range of staffing combinations providing tolvaptan at centres in Phase 4</w:t>
            </w:r>
            <w:r w:rsidR="00F62BFF" w:rsidRPr="002C21B8">
              <w:rPr>
                <w:sz w:val="16"/>
                <w:szCs w:val="16"/>
              </w:rPr>
              <w:t>,</w:t>
            </w:r>
            <w:r w:rsidR="00CF45DD" w:rsidRPr="002C21B8">
              <w:rPr>
                <w:sz w:val="16"/>
                <w:szCs w:val="16"/>
              </w:rPr>
              <w:t xml:space="preserve"> suggesting relevance of findings from Phase 3.</w:t>
            </w:r>
          </w:p>
        </w:tc>
      </w:tr>
      <w:tr w:rsidR="001B5E25" w:rsidRPr="002C21B8" w14:paraId="5AE7B95D" w14:textId="77777777" w:rsidTr="007B5D87">
        <w:tc>
          <w:tcPr>
            <w:tcW w:w="13892" w:type="dxa"/>
            <w:gridSpan w:val="4"/>
            <w:tcBorders>
              <w:top w:val="single" w:sz="6" w:space="0" w:color="auto"/>
            </w:tcBorders>
            <w:shd w:val="clear" w:color="auto" w:fill="F2F2F2"/>
          </w:tcPr>
          <w:p w14:paraId="74C23E94" w14:textId="71215E18" w:rsidR="001B5E25" w:rsidRPr="002C21B8" w:rsidRDefault="00A1218E" w:rsidP="00971348">
            <w:pPr>
              <w:spacing w:beforeLines="20" w:before="48" w:afterLines="20" w:after="48" w:line="240" w:lineRule="auto"/>
              <w:jc w:val="left"/>
              <w:rPr>
                <w:b/>
                <w:bCs/>
                <w:sz w:val="16"/>
                <w:szCs w:val="16"/>
              </w:rPr>
            </w:pPr>
            <w:r w:rsidRPr="002C21B8">
              <w:rPr>
                <w:b/>
                <w:bCs/>
                <w:sz w:val="16"/>
                <w:szCs w:val="16"/>
              </w:rPr>
              <w:t>C</w:t>
            </w:r>
            <w:r w:rsidR="001B5E25" w:rsidRPr="002C21B8">
              <w:rPr>
                <w:b/>
                <w:bCs/>
                <w:sz w:val="16"/>
                <w:szCs w:val="16"/>
              </w:rPr>
              <w:t>ommunicati</w:t>
            </w:r>
            <w:r w:rsidR="00B46C0C" w:rsidRPr="002C21B8">
              <w:rPr>
                <w:b/>
                <w:bCs/>
                <w:sz w:val="16"/>
                <w:szCs w:val="16"/>
              </w:rPr>
              <w:t>ng</w:t>
            </w:r>
            <w:r w:rsidR="00952FAA" w:rsidRPr="002C21B8">
              <w:rPr>
                <w:b/>
                <w:bCs/>
                <w:sz w:val="16"/>
                <w:szCs w:val="16"/>
              </w:rPr>
              <w:t xml:space="preserve"> with patients</w:t>
            </w:r>
          </w:p>
        </w:tc>
      </w:tr>
      <w:tr w:rsidR="00B34584" w:rsidRPr="002C21B8" w14:paraId="5DC1C360" w14:textId="77777777" w:rsidTr="007B5D87">
        <w:tc>
          <w:tcPr>
            <w:tcW w:w="3686" w:type="dxa"/>
          </w:tcPr>
          <w:p w14:paraId="1BAE266E" w14:textId="3E3B8B5D" w:rsidR="00B34584" w:rsidRPr="002C21B8" w:rsidRDefault="00D14419" w:rsidP="00971348">
            <w:pPr>
              <w:spacing w:beforeLines="20" w:before="48" w:afterLines="20" w:after="48" w:line="240" w:lineRule="auto"/>
              <w:jc w:val="left"/>
              <w:rPr>
                <w:sz w:val="16"/>
                <w:szCs w:val="16"/>
              </w:rPr>
            </w:pPr>
            <w:r w:rsidRPr="002C21B8">
              <w:rPr>
                <w:sz w:val="16"/>
                <w:szCs w:val="16"/>
              </w:rPr>
              <w:t>Verbal information</w:t>
            </w:r>
          </w:p>
        </w:tc>
        <w:tc>
          <w:tcPr>
            <w:tcW w:w="3402" w:type="dxa"/>
          </w:tcPr>
          <w:p w14:paraId="03051A23" w14:textId="67B43549" w:rsidR="00B34584" w:rsidRPr="002C21B8" w:rsidRDefault="00D14419" w:rsidP="00971348">
            <w:pPr>
              <w:spacing w:beforeLines="20" w:before="48" w:afterLines="20" w:after="48" w:line="240" w:lineRule="auto"/>
              <w:jc w:val="left"/>
              <w:rPr>
                <w:sz w:val="16"/>
                <w:szCs w:val="16"/>
              </w:rPr>
            </w:pPr>
            <w:r w:rsidRPr="002C21B8">
              <w:rPr>
                <w:sz w:val="16"/>
                <w:szCs w:val="16"/>
              </w:rPr>
              <w:t>Risk and benefit information is presented differently across different kidney centres which may influence patient uptake.</w:t>
            </w:r>
          </w:p>
        </w:tc>
        <w:tc>
          <w:tcPr>
            <w:tcW w:w="3402" w:type="dxa"/>
          </w:tcPr>
          <w:p w14:paraId="75C871D3" w14:textId="10A61ADF" w:rsidR="00B34584" w:rsidRPr="002C21B8" w:rsidRDefault="00B34584" w:rsidP="00971348">
            <w:pPr>
              <w:spacing w:beforeLines="20" w:before="48" w:afterLines="20" w:after="48" w:line="240" w:lineRule="auto"/>
              <w:jc w:val="left"/>
              <w:rPr>
                <w:sz w:val="16"/>
                <w:szCs w:val="16"/>
              </w:rPr>
            </w:pPr>
            <w:r w:rsidRPr="002C21B8">
              <w:rPr>
                <w:sz w:val="16"/>
                <w:szCs w:val="16"/>
              </w:rPr>
              <w:t>Not included in the survey</w:t>
            </w:r>
          </w:p>
        </w:tc>
        <w:tc>
          <w:tcPr>
            <w:tcW w:w="3402" w:type="dxa"/>
          </w:tcPr>
          <w:p w14:paraId="25C3A5F1" w14:textId="549AE29A" w:rsidR="00B34584" w:rsidRPr="002C21B8" w:rsidRDefault="00B34584" w:rsidP="00971348">
            <w:pPr>
              <w:spacing w:beforeLines="20" w:before="48" w:afterLines="20" w:after="48" w:line="240" w:lineRule="auto"/>
              <w:jc w:val="left"/>
              <w:rPr>
                <w:sz w:val="16"/>
                <w:szCs w:val="16"/>
              </w:rPr>
            </w:pPr>
            <w:r w:rsidRPr="002C21B8">
              <w:rPr>
                <w:sz w:val="16"/>
                <w:szCs w:val="16"/>
                <w:u w:val="single"/>
              </w:rPr>
              <w:t>Silence</w:t>
            </w:r>
            <w:r w:rsidR="001F7C50" w:rsidRPr="002C21B8">
              <w:rPr>
                <w:sz w:val="16"/>
                <w:szCs w:val="16"/>
                <w:u w:val="single"/>
              </w:rPr>
              <w:t>:</w:t>
            </w:r>
            <w:r w:rsidR="00CF45DD" w:rsidRPr="002C21B8">
              <w:rPr>
                <w:sz w:val="16"/>
                <w:szCs w:val="16"/>
              </w:rPr>
              <w:t xml:space="preserve"> Differences in approaches to risk and benefit discussions in verbal information </w:t>
            </w:r>
            <w:r w:rsidR="00F62BFF" w:rsidRPr="002C21B8">
              <w:rPr>
                <w:sz w:val="16"/>
                <w:szCs w:val="16"/>
              </w:rPr>
              <w:t xml:space="preserve">were </w:t>
            </w:r>
            <w:r w:rsidR="00CF45DD" w:rsidRPr="002C21B8">
              <w:rPr>
                <w:sz w:val="16"/>
                <w:szCs w:val="16"/>
              </w:rPr>
              <w:t>only assessed in Phase 3.</w:t>
            </w:r>
          </w:p>
        </w:tc>
      </w:tr>
      <w:tr w:rsidR="0012505E" w:rsidRPr="002C21B8" w14:paraId="75257417" w14:textId="77777777" w:rsidTr="007B5D87">
        <w:tc>
          <w:tcPr>
            <w:tcW w:w="3686" w:type="dxa"/>
          </w:tcPr>
          <w:p w14:paraId="372D8ACC" w14:textId="5FDBAEF4" w:rsidR="00952FAA" w:rsidRPr="002C21B8" w:rsidRDefault="00B34584" w:rsidP="00971348">
            <w:pPr>
              <w:spacing w:beforeLines="20" w:before="48" w:afterLines="20" w:after="48" w:line="240" w:lineRule="auto"/>
              <w:jc w:val="left"/>
              <w:rPr>
                <w:sz w:val="16"/>
                <w:szCs w:val="16"/>
              </w:rPr>
            </w:pPr>
            <w:r w:rsidRPr="002C21B8">
              <w:rPr>
                <w:sz w:val="16"/>
                <w:szCs w:val="16"/>
              </w:rPr>
              <w:t xml:space="preserve">Written </w:t>
            </w:r>
            <w:r w:rsidR="00952FAA" w:rsidRPr="002C21B8">
              <w:rPr>
                <w:sz w:val="16"/>
                <w:szCs w:val="16"/>
              </w:rPr>
              <w:t>Information materials</w:t>
            </w:r>
          </w:p>
        </w:tc>
        <w:tc>
          <w:tcPr>
            <w:tcW w:w="3402" w:type="dxa"/>
          </w:tcPr>
          <w:p w14:paraId="693291EB" w14:textId="565A1038" w:rsidR="00952FAA" w:rsidRPr="002C21B8" w:rsidRDefault="006B786C" w:rsidP="00971348">
            <w:pPr>
              <w:spacing w:beforeLines="20" w:before="48" w:afterLines="20" w:after="48" w:line="240" w:lineRule="auto"/>
              <w:jc w:val="left"/>
              <w:rPr>
                <w:sz w:val="16"/>
                <w:szCs w:val="16"/>
              </w:rPr>
            </w:pPr>
            <w:r w:rsidRPr="002C21B8">
              <w:rPr>
                <w:sz w:val="16"/>
                <w:szCs w:val="16"/>
              </w:rPr>
              <w:t>Local patient information leaflets present information in more balanced manner than pharmaceutical information leaflets so have less tendency to deter patients.</w:t>
            </w:r>
          </w:p>
        </w:tc>
        <w:tc>
          <w:tcPr>
            <w:tcW w:w="3402" w:type="dxa"/>
          </w:tcPr>
          <w:p w14:paraId="40FE672F" w14:textId="1650B08B" w:rsidR="00952FAA" w:rsidRPr="002C21B8" w:rsidRDefault="00A1218E"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49% of centres provide pharmaceutical patient information leaflet</w:t>
            </w:r>
          </w:p>
          <w:p w14:paraId="5414CE18" w14:textId="4D65DAD0" w:rsidR="00A1218E" w:rsidRPr="002C21B8" w:rsidRDefault="00A1218E"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21% of centres provide local information patient information leaflet</w:t>
            </w:r>
          </w:p>
        </w:tc>
        <w:tc>
          <w:tcPr>
            <w:tcW w:w="3402" w:type="dxa"/>
          </w:tcPr>
          <w:p w14:paraId="3D3353DF" w14:textId="5FD87071" w:rsidR="00952FAA" w:rsidRPr="002C21B8" w:rsidRDefault="001F7C50" w:rsidP="00971348">
            <w:pPr>
              <w:spacing w:beforeLines="20" w:before="48" w:afterLines="20" w:after="48" w:line="240" w:lineRule="auto"/>
              <w:jc w:val="left"/>
              <w:rPr>
                <w:sz w:val="16"/>
                <w:szCs w:val="16"/>
              </w:rPr>
            </w:pPr>
            <w:r w:rsidRPr="002C21B8">
              <w:rPr>
                <w:sz w:val="16"/>
                <w:szCs w:val="16"/>
                <w:u w:val="single"/>
              </w:rPr>
              <w:t>Complementary:</w:t>
            </w:r>
            <w:r w:rsidR="00CF45DD" w:rsidRPr="002C21B8">
              <w:rPr>
                <w:sz w:val="16"/>
                <w:szCs w:val="16"/>
              </w:rPr>
              <w:t xml:space="preserve"> Different approaches to providing written information from Phase 3 demonstrated in Phase 4.</w:t>
            </w:r>
          </w:p>
        </w:tc>
      </w:tr>
      <w:tr w:rsidR="0012505E" w:rsidRPr="002C21B8" w14:paraId="55D87246" w14:textId="77777777" w:rsidTr="007B5D87">
        <w:tc>
          <w:tcPr>
            <w:tcW w:w="3686" w:type="dxa"/>
          </w:tcPr>
          <w:p w14:paraId="6782192A" w14:textId="4ABD7CB7" w:rsidR="006B786C" w:rsidRPr="002C21B8" w:rsidRDefault="006B786C" w:rsidP="00971348">
            <w:pPr>
              <w:spacing w:beforeLines="20" w:before="48" w:afterLines="20" w:after="48" w:line="240" w:lineRule="auto"/>
              <w:jc w:val="left"/>
              <w:rPr>
                <w:sz w:val="16"/>
                <w:szCs w:val="16"/>
              </w:rPr>
            </w:pPr>
            <w:r w:rsidRPr="002C21B8">
              <w:rPr>
                <w:sz w:val="16"/>
                <w:szCs w:val="16"/>
              </w:rPr>
              <w:t>Proactive vs reactive approaches</w:t>
            </w:r>
            <w:r w:rsidR="004B0567" w:rsidRPr="002C21B8">
              <w:rPr>
                <w:sz w:val="16"/>
                <w:szCs w:val="16"/>
              </w:rPr>
              <w:t xml:space="preserve"> to discussions</w:t>
            </w:r>
          </w:p>
        </w:tc>
        <w:tc>
          <w:tcPr>
            <w:tcW w:w="3402" w:type="dxa"/>
          </w:tcPr>
          <w:p w14:paraId="050C4484" w14:textId="628917D4" w:rsidR="006B786C" w:rsidRPr="002C21B8" w:rsidRDefault="006B786C" w:rsidP="00971348">
            <w:pPr>
              <w:spacing w:beforeLines="20" w:before="48" w:afterLines="20" w:after="48" w:line="240" w:lineRule="auto"/>
              <w:jc w:val="left"/>
              <w:rPr>
                <w:sz w:val="16"/>
                <w:szCs w:val="16"/>
              </w:rPr>
            </w:pPr>
            <w:r w:rsidRPr="002C21B8">
              <w:rPr>
                <w:sz w:val="16"/>
                <w:szCs w:val="16"/>
              </w:rPr>
              <w:t>Early and consistent discussion of tolvaptan with patients promotes greater uptake.</w:t>
            </w:r>
          </w:p>
        </w:tc>
        <w:tc>
          <w:tcPr>
            <w:tcW w:w="3402" w:type="dxa"/>
          </w:tcPr>
          <w:p w14:paraId="42AD30C7" w14:textId="2976DBA9" w:rsidR="006B786C" w:rsidRPr="002C21B8" w:rsidRDefault="006619B2" w:rsidP="00971348">
            <w:pPr>
              <w:spacing w:beforeLines="20" w:before="48" w:afterLines="20" w:after="48" w:line="240" w:lineRule="auto"/>
              <w:jc w:val="left"/>
              <w:rPr>
                <w:sz w:val="16"/>
                <w:szCs w:val="16"/>
              </w:rPr>
            </w:pPr>
            <w:r w:rsidRPr="002C21B8">
              <w:rPr>
                <w:sz w:val="16"/>
                <w:szCs w:val="16"/>
              </w:rPr>
              <w:t>Not included in the survey</w:t>
            </w:r>
          </w:p>
        </w:tc>
        <w:tc>
          <w:tcPr>
            <w:tcW w:w="3402" w:type="dxa"/>
          </w:tcPr>
          <w:p w14:paraId="09351E4F" w14:textId="68FF1F61" w:rsidR="006B786C" w:rsidRPr="002C21B8" w:rsidRDefault="006619B2" w:rsidP="00971348">
            <w:pPr>
              <w:spacing w:beforeLines="20" w:before="48" w:afterLines="20" w:after="48" w:line="240" w:lineRule="auto"/>
              <w:jc w:val="left"/>
              <w:rPr>
                <w:sz w:val="16"/>
                <w:szCs w:val="16"/>
              </w:rPr>
            </w:pPr>
            <w:r w:rsidRPr="002C21B8">
              <w:rPr>
                <w:sz w:val="16"/>
                <w:szCs w:val="16"/>
                <w:u w:val="single"/>
              </w:rPr>
              <w:t>Silence</w:t>
            </w:r>
            <w:r w:rsidR="001F7C50" w:rsidRPr="002C21B8">
              <w:rPr>
                <w:sz w:val="16"/>
                <w:szCs w:val="16"/>
                <w:u w:val="single"/>
              </w:rPr>
              <w:t>:</w:t>
            </w:r>
            <w:r w:rsidR="00CF45DD" w:rsidRPr="002C21B8">
              <w:rPr>
                <w:sz w:val="16"/>
                <w:szCs w:val="16"/>
              </w:rPr>
              <w:t xml:space="preserve"> Degree of proactively when discussing tolvaptan only assessed in Phase 3.</w:t>
            </w:r>
          </w:p>
        </w:tc>
      </w:tr>
      <w:tr w:rsidR="001B5E25" w:rsidRPr="002C21B8" w14:paraId="31555CFD" w14:textId="3B0C8621" w:rsidTr="007B5D87">
        <w:tc>
          <w:tcPr>
            <w:tcW w:w="13892" w:type="dxa"/>
            <w:gridSpan w:val="4"/>
            <w:tcBorders>
              <w:top w:val="single" w:sz="6" w:space="0" w:color="auto"/>
            </w:tcBorders>
            <w:shd w:val="clear" w:color="auto" w:fill="F2F2F2"/>
          </w:tcPr>
          <w:p w14:paraId="6A826D63" w14:textId="11ADFBCB" w:rsidR="001B5E25" w:rsidRPr="002C21B8" w:rsidRDefault="00DB1499" w:rsidP="00971348">
            <w:pPr>
              <w:spacing w:beforeLines="20" w:before="48" w:afterLines="20" w:after="48" w:line="240" w:lineRule="auto"/>
              <w:jc w:val="left"/>
              <w:rPr>
                <w:b/>
                <w:bCs/>
                <w:sz w:val="16"/>
                <w:szCs w:val="16"/>
              </w:rPr>
            </w:pPr>
            <w:r w:rsidRPr="002C21B8">
              <w:rPr>
                <w:b/>
                <w:bCs/>
                <w:sz w:val="16"/>
                <w:szCs w:val="16"/>
              </w:rPr>
              <w:t>E</w:t>
            </w:r>
            <w:r w:rsidR="001B5E25" w:rsidRPr="002C21B8">
              <w:rPr>
                <w:b/>
                <w:bCs/>
                <w:sz w:val="16"/>
                <w:szCs w:val="16"/>
              </w:rPr>
              <w:t xml:space="preserve">xternal </w:t>
            </w:r>
            <w:r w:rsidRPr="002C21B8">
              <w:rPr>
                <w:b/>
                <w:bCs/>
                <w:sz w:val="16"/>
                <w:szCs w:val="16"/>
              </w:rPr>
              <w:t xml:space="preserve">and internal </w:t>
            </w:r>
            <w:r w:rsidR="001B5E25" w:rsidRPr="002C21B8">
              <w:rPr>
                <w:b/>
                <w:bCs/>
                <w:sz w:val="16"/>
                <w:szCs w:val="16"/>
              </w:rPr>
              <w:t>audit</w:t>
            </w:r>
          </w:p>
        </w:tc>
      </w:tr>
      <w:tr w:rsidR="0012505E" w:rsidRPr="002C21B8" w14:paraId="5D7C34CE" w14:textId="77777777" w:rsidTr="007B5D87">
        <w:tc>
          <w:tcPr>
            <w:tcW w:w="3686" w:type="dxa"/>
          </w:tcPr>
          <w:p w14:paraId="70044905" w14:textId="77777777" w:rsidR="00DB1499" w:rsidRPr="002C21B8" w:rsidRDefault="00DB1499" w:rsidP="00971348">
            <w:pPr>
              <w:spacing w:beforeLines="20" w:before="48" w:afterLines="20" w:after="48" w:line="240" w:lineRule="auto"/>
              <w:jc w:val="left"/>
              <w:rPr>
                <w:sz w:val="16"/>
                <w:szCs w:val="16"/>
              </w:rPr>
            </w:pPr>
            <w:r w:rsidRPr="002C21B8">
              <w:rPr>
                <w:sz w:val="16"/>
                <w:szCs w:val="16"/>
              </w:rPr>
              <w:t>External audit</w:t>
            </w:r>
          </w:p>
        </w:tc>
        <w:tc>
          <w:tcPr>
            <w:tcW w:w="3402" w:type="dxa"/>
          </w:tcPr>
          <w:p w14:paraId="6F723069" w14:textId="3EA72196" w:rsidR="00DB1499" w:rsidRPr="002C21B8" w:rsidRDefault="00605331" w:rsidP="00971348">
            <w:pPr>
              <w:spacing w:beforeLines="20" w:before="48" w:afterLines="20" w:after="48" w:line="240" w:lineRule="auto"/>
              <w:jc w:val="left"/>
              <w:rPr>
                <w:sz w:val="16"/>
                <w:szCs w:val="16"/>
              </w:rPr>
            </w:pPr>
            <w:r w:rsidRPr="002C21B8">
              <w:rPr>
                <w:sz w:val="16"/>
                <w:szCs w:val="16"/>
              </w:rPr>
              <w:t>External audits</w:t>
            </w:r>
            <w:r w:rsidR="00FA6EA6" w:rsidRPr="002C21B8">
              <w:rPr>
                <w:sz w:val="16"/>
                <w:szCs w:val="16"/>
              </w:rPr>
              <w:t>,</w:t>
            </w:r>
            <w:r w:rsidRPr="002C21B8">
              <w:rPr>
                <w:sz w:val="16"/>
                <w:szCs w:val="16"/>
              </w:rPr>
              <w:t xml:space="preserve"> such as </w:t>
            </w:r>
            <w:r w:rsidR="00FA6EA6" w:rsidRPr="002C21B8">
              <w:rPr>
                <w:sz w:val="16"/>
                <w:szCs w:val="16"/>
              </w:rPr>
              <w:t>Getting It Right First Time (</w:t>
            </w:r>
            <w:r w:rsidRPr="002C21B8">
              <w:rPr>
                <w:sz w:val="16"/>
                <w:szCs w:val="16"/>
              </w:rPr>
              <w:t>GIRFT</w:t>
            </w:r>
            <w:r w:rsidR="00FA6EA6" w:rsidRPr="002C21B8">
              <w:rPr>
                <w:sz w:val="16"/>
                <w:szCs w:val="16"/>
              </w:rPr>
              <w:t>),</w:t>
            </w:r>
            <w:r w:rsidRPr="002C21B8">
              <w:rPr>
                <w:sz w:val="16"/>
                <w:szCs w:val="16"/>
              </w:rPr>
              <w:t xml:space="preserve"> can provide feedback on prescribing but the degree to which this influences practice varies.</w:t>
            </w:r>
          </w:p>
        </w:tc>
        <w:tc>
          <w:tcPr>
            <w:tcW w:w="3402" w:type="dxa"/>
          </w:tcPr>
          <w:p w14:paraId="0AB8260E" w14:textId="25F24533" w:rsidR="00DB1499" w:rsidRPr="002C21B8" w:rsidRDefault="006F21FB" w:rsidP="00971348">
            <w:pPr>
              <w:spacing w:beforeLines="20" w:before="48" w:afterLines="20" w:after="48" w:line="240" w:lineRule="auto"/>
              <w:jc w:val="left"/>
              <w:rPr>
                <w:sz w:val="16"/>
                <w:szCs w:val="16"/>
              </w:rPr>
            </w:pPr>
            <w:r w:rsidRPr="002C21B8">
              <w:rPr>
                <w:sz w:val="16"/>
                <w:szCs w:val="16"/>
              </w:rPr>
              <w:t>Not included in the survey</w:t>
            </w:r>
          </w:p>
        </w:tc>
        <w:tc>
          <w:tcPr>
            <w:tcW w:w="3402" w:type="dxa"/>
          </w:tcPr>
          <w:p w14:paraId="5598AEF1" w14:textId="2F3F6AE0" w:rsidR="00DB1499" w:rsidRPr="002C21B8" w:rsidRDefault="00DB1499" w:rsidP="00971348">
            <w:pPr>
              <w:spacing w:beforeLines="20" w:before="48" w:afterLines="20" w:after="48" w:line="240" w:lineRule="auto"/>
              <w:jc w:val="left"/>
              <w:rPr>
                <w:sz w:val="16"/>
                <w:szCs w:val="16"/>
              </w:rPr>
            </w:pPr>
            <w:r w:rsidRPr="002C21B8">
              <w:rPr>
                <w:sz w:val="16"/>
                <w:szCs w:val="16"/>
                <w:u w:val="single"/>
              </w:rPr>
              <w:t>Silence</w:t>
            </w:r>
            <w:r w:rsidR="001F7C50" w:rsidRPr="002C21B8">
              <w:rPr>
                <w:sz w:val="16"/>
                <w:szCs w:val="16"/>
                <w:u w:val="single"/>
              </w:rPr>
              <w:t>:</w:t>
            </w:r>
            <w:r w:rsidR="00CF45DD" w:rsidRPr="002C21B8">
              <w:rPr>
                <w:sz w:val="16"/>
                <w:szCs w:val="16"/>
              </w:rPr>
              <w:t xml:space="preserve"> Impact of external audits only included in Phase 3.</w:t>
            </w:r>
          </w:p>
        </w:tc>
      </w:tr>
      <w:tr w:rsidR="003121D5" w:rsidRPr="002C21B8" w14:paraId="6656EA4B" w14:textId="77777777" w:rsidTr="007B5D87">
        <w:tc>
          <w:tcPr>
            <w:tcW w:w="3686" w:type="dxa"/>
            <w:tcBorders>
              <w:bottom w:val="single" w:sz="12" w:space="0" w:color="auto"/>
            </w:tcBorders>
          </w:tcPr>
          <w:p w14:paraId="2AC6E1F7" w14:textId="61D3ECC9" w:rsidR="001B5E25" w:rsidRPr="002C21B8" w:rsidRDefault="00D87764" w:rsidP="00971348">
            <w:pPr>
              <w:spacing w:beforeLines="20" w:before="48" w:afterLines="20" w:after="48" w:line="240" w:lineRule="auto"/>
              <w:jc w:val="left"/>
              <w:rPr>
                <w:sz w:val="16"/>
                <w:szCs w:val="16"/>
              </w:rPr>
            </w:pPr>
            <w:r w:rsidRPr="002C21B8">
              <w:rPr>
                <w:sz w:val="16"/>
                <w:szCs w:val="16"/>
              </w:rPr>
              <w:t>Internal audit</w:t>
            </w:r>
          </w:p>
        </w:tc>
        <w:tc>
          <w:tcPr>
            <w:tcW w:w="3402" w:type="dxa"/>
            <w:tcBorders>
              <w:bottom w:val="single" w:sz="12" w:space="0" w:color="auto"/>
            </w:tcBorders>
          </w:tcPr>
          <w:p w14:paraId="2AD780A5" w14:textId="67FA29B8" w:rsidR="001B5E25" w:rsidRPr="002C21B8" w:rsidRDefault="00DB1499" w:rsidP="00971348">
            <w:pPr>
              <w:spacing w:beforeLines="20" w:before="48" w:afterLines="20" w:after="48" w:line="240" w:lineRule="auto"/>
              <w:jc w:val="left"/>
              <w:rPr>
                <w:sz w:val="16"/>
                <w:szCs w:val="16"/>
              </w:rPr>
            </w:pPr>
            <w:r w:rsidRPr="002C21B8">
              <w:rPr>
                <w:sz w:val="16"/>
                <w:szCs w:val="16"/>
              </w:rPr>
              <w:t xml:space="preserve">Internal audits support reflection and awareness of practices to improve </w:t>
            </w:r>
            <w:r w:rsidR="008E7AAA" w:rsidRPr="002C21B8">
              <w:rPr>
                <w:sz w:val="16"/>
                <w:szCs w:val="16"/>
              </w:rPr>
              <w:t>consistency within centres</w:t>
            </w:r>
            <w:r w:rsidR="00605331" w:rsidRPr="002C21B8">
              <w:rPr>
                <w:sz w:val="16"/>
                <w:szCs w:val="16"/>
              </w:rPr>
              <w:t>.</w:t>
            </w:r>
          </w:p>
        </w:tc>
        <w:tc>
          <w:tcPr>
            <w:tcW w:w="3402" w:type="dxa"/>
            <w:tcBorders>
              <w:bottom w:val="single" w:sz="12" w:space="0" w:color="auto"/>
            </w:tcBorders>
          </w:tcPr>
          <w:p w14:paraId="286F1176" w14:textId="2C93EEAC" w:rsidR="001B5E25" w:rsidRPr="002C21B8" w:rsidRDefault="005411A8" w:rsidP="00971348">
            <w:pPr>
              <w:pStyle w:val="ListParagraph"/>
              <w:numPr>
                <w:ilvl w:val="0"/>
                <w:numId w:val="63"/>
              </w:numPr>
              <w:spacing w:beforeLines="20" w:before="48" w:afterLines="20" w:after="48" w:line="240" w:lineRule="auto"/>
              <w:ind w:left="287" w:hanging="287"/>
              <w:jc w:val="left"/>
              <w:rPr>
                <w:sz w:val="16"/>
                <w:szCs w:val="16"/>
              </w:rPr>
            </w:pPr>
            <w:r w:rsidRPr="002C21B8">
              <w:rPr>
                <w:sz w:val="16"/>
                <w:szCs w:val="16"/>
              </w:rPr>
              <w:t>66% of centres conduct internal audits/service evaluations</w:t>
            </w:r>
          </w:p>
        </w:tc>
        <w:tc>
          <w:tcPr>
            <w:tcW w:w="3402" w:type="dxa"/>
            <w:tcBorders>
              <w:bottom w:val="single" w:sz="12" w:space="0" w:color="auto"/>
            </w:tcBorders>
          </w:tcPr>
          <w:p w14:paraId="47FD9556" w14:textId="08E7E633" w:rsidR="001B5E25" w:rsidRPr="002C21B8" w:rsidRDefault="001F7C50" w:rsidP="00971348">
            <w:pPr>
              <w:spacing w:beforeLines="20" w:before="48" w:afterLines="20" w:after="48" w:line="240" w:lineRule="auto"/>
              <w:jc w:val="left"/>
              <w:rPr>
                <w:sz w:val="16"/>
                <w:szCs w:val="16"/>
              </w:rPr>
            </w:pPr>
            <w:r w:rsidRPr="002C21B8">
              <w:rPr>
                <w:sz w:val="16"/>
                <w:szCs w:val="16"/>
                <w:u w:val="single"/>
              </w:rPr>
              <w:t>Complementary:</w:t>
            </w:r>
            <w:r w:rsidR="00CF45DD" w:rsidRPr="002C21B8">
              <w:rPr>
                <w:sz w:val="16"/>
                <w:szCs w:val="16"/>
              </w:rPr>
              <w:t xml:space="preserve"> Over half of kidney centres </w:t>
            </w:r>
            <w:r w:rsidR="00FA6EA6" w:rsidRPr="002C21B8">
              <w:rPr>
                <w:sz w:val="16"/>
                <w:szCs w:val="16"/>
              </w:rPr>
              <w:t xml:space="preserve">described </w:t>
            </w:r>
            <w:r w:rsidR="00CF45DD" w:rsidRPr="002C21B8">
              <w:rPr>
                <w:sz w:val="16"/>
                <w:szCs w:val="16"/>
              </w:rPr>
              <w:t>undertak</w:t>
            </w:r>
            <w:r w:rsidR="00FA6EA6" w:rsidRPr="002C21B8">
              <w:rPr>
                <w:sz w:val="16"/>
                <w:szCs w:val="16"/>
              </w:rPr>
              <w:t xml:space="preserve">ing </w:t>
            </w:r>
            <w:r w:rsidR="00CF45DD" w:rsidRPr="002C21B8">
              <w:rPr>
                <w:sz w:val="16"/>
                <w:szCs w:val="16"/>
              </w:rPr>
              <w:t xml:space="preserve">internal audits in Phase 4 so </w:t>
            </w:r>
            <w:r w:rsidR="001761FC" w:rsidRPr="002C21B8">
              <w:rPr>
                <w:sz w:val="16"/>
                <w:szCs w:val="16"/>
              </w:rPr>
              <w:t xml:space="preserve">they </w:t>
            </w:r>
            <w:r w:rsidR="00FA6EA6" w:rsidRPr="002C21B8">
              <w:rPr>
                <w:sz w:val="16"/>
                <w:szCs w:val="16"/>
              </w:rPr>
              <w:t xml:space="preserve">can </w:t>
            </w:r>
            <w:r w:rsidR="00CF45DD" w:rsidRPr="002C21B8">
              <w:rPr>
                <w:sz w:val="16"/>
                <w:szCs w:val="16"/>
              </w:rPr>
              <w:t xml:space="preserve">benefit from improved consistency </w:t>
            </w:r>
            <w:r w:rsidR="00FA6EA6" w:rsidRPr="002C21B8">
              <w:rPr>
                <w:sz w:val="16"/>
                <w:szCs w:val="16"/>
              </w:rPr>
              <w:t xml:space="preserve">through </w:t>
            </w:r>
            <w:r w:rsidR="00522625" w:rsidRPr="002C21B8">
              <w:rPr>
                <w:sz w:val="16"/>
                <w:szCs w:val="16"/>
              </w:rPr>
              <w:t>reflection</w:t>
            </w:r>
            <w:r w:rsidR="00FA6EA6" w:rsidRPr="002C21B8">
              <w:rPr>
                <w:sz w:val="16"/>
                <w:szCs w:val="16"/>
              </w:rPr>
              <w:t xml:space="preserve"> as </w:t>
            </w:r>
            <w:r w:rsidR="00CF45DD" w:rsidRPr="002C21B8">
              <w:rPr>
                <w:sz w:val="16"/>
                <w:szCs w:val="16"/>
              </w:rPr>
              <w:t>suggested in Phase 3.</w:t>
            </w:r>
          </w:p>
        </w:tc>
      </w:tr>
    </w:tbl>
    <w:p w14:paraId="0282BB01" w14:textId="77777777" w:rsidR="00BB4FE8" w:rsidRPr="002C21B8" w:rsidRDefault="00BB4FE8" w:rsidP="00971348">
      <w:pPr>
        <w:spacing w:line="240" w:lineRule="auto"/>
        <w:sectPr w:rsidR="00BB4FE8" w:rsidRPr="002C21B8" w:rsidSect="0009672F">
          <w:headerReference w:type="default" r:id="rId70"/>
          <w:type w:val="continuous"/>
          <w:pgSz w:w="16838" w:h="11906" w:orient="landscape"/>
          <w:pgMar w:top="1440" w:right="1440" w:bottom="1440" w:left="1440" w:header="708" w:footer="708" w:gutter="0"/>
          <w:cols w:space="708"/>
          <w:docGrid w:linePitch="360"/>
        </w:sectPr>
      </w:pPr>
    </w:p>
    <w:p w14:paraId="7E5671E9" w14:textId="1AED17DE" w:rsidR="00136328" w:rsidRPr="002C21B8" w:rsidRDefault="00136328" w:rsidP="00581663">
      <w:pPr>
        <w:pStyle w:val="Heading2"/>
      </w:pPr>
      <w:bookmarkStart w:id="284" w:name="_Toc227523262"/>
      <w:bookmarkStart w:id="285" w:name="_Toc229687242"/>
      <w:r w:rsidRPr="002C21B8">
        <w:t xml:space="preserve">Interpretation of findings in relation to </w:t>
      </w:r>
      <w:r w:rsidR="0051319C" w:rsidRPr="002C21B8">
        <w:t>the wider literature</w:t>
      </w:r>
      <w:bookmarkEnd w:id="284"/>
      <w:bookmarkEnd w:id="285"/>
    </w:p>
    <w:p w14:paraId="70911747" w14:textId="35726127" w:rsidR="00A87B44" w:rsidRPr="002C21B8" w:rsidRDefault="0051319C" w:rsidP="00A87B44">
      <w:r w:rsidRPr="002C21B8">
        <w:t xml:space="preserve">This section </w:t>
      </w:r>
      <w:r w:rsidR="00B575EC" w:rsidRPr="002C21B8">
        <w:t>discusses the main findings of the programme of research in relation to the wider literature. Findings from all phases are presented within a shared thematic structure to ex</w:t>
      </w:r>
      <w:r w:rsidR="00E236EE" w:rsidRPr="002C21B8">
        <w:t>amine</w:t>
      </w:r>
      <w:r w:rsidR="00B575EC" w:rsidRPr="002C21B8">
        <w:t xml:space="preserve"> the factors influencing variation in tolvaptan prescribing practices across kidney centres.</w:t>
      </w:r>
    </w:p>
    <w:p w14:paraId="70EE62C7" w14:textId="7C6C02BF" w:rsidR="008D1D22" w:rsidRPr="002C21B8" w:rsidRDefault="008D1D22" w:rsidP="004507C8">
      <w:pPr>
        <w:pStyle w:val="Heading3"/>
      </w:pPr>
      <w:r w:rsidRPr="002C21B8">
        <w:t xml:space="preserve">Service configuration influences </w:t>
      </w:r>
      <w:r w:rsidR="0022720B" w:rsidRPr="002C21B8">
        <w:t xml:space="preserve">patient identification, </w:t>
      </w:r>
      <w:r w:rsidRPr="002C21B8">
        <w:t>eligibility assessment and prescribing</w:t>
      </w:r>
      <w:r w:rsidR="0022720B" w:rsidRPr="002C21B8">
        <w:t xml:space="preserve"> practices</w:t>
      </w:r>
    </w:p>
    <w:p w14:paraId="0AEA9411" w14:textId="77777777" w:rsidR="00A87B44" w:rsidRPr="002C21B8" w:rsidRDefault="00A87B44" w:rsidP="00ED2D36">
      <w:pPr>
        <w:pStyle w:val="Heading4"/>
      </w:pPr>
      <w:bookmarkStart w:id="286" w:name="_Condition-specific_vs_generalist"/>
      <w:bookmarkStart w:id="287" w:name="OLE_LINK3"/>
      <w:bookmarkStart w:id="288" w:name="OLE_LINK4"/>
      <w:bookmarkEnd w:id="286"/>
      <w:r w:rsidRPr="002C21B8">
        <w:t xml:space="preserve">Condition-specific vs generalist clinic models </w:t>
      </w:r>
    </w:p>
    <w:p w14:paraId="58DDFD18" w14:textId="77777777" w:rsidR="00C17F90" w:rsidRPr="002C21B8" w:rsidRDefault="00D00B9F" w:rsidP="008D1D22">
      <w:r w:rsidRPr="002C21B8">
        <w:t>The multiple case study and survey</w:t>
      </w:r>
      <w:r w:rsidR="009079BF" w:rsidRPr="002C21B8">
        <w:t xml:space="preserve"> identified three main service configurations for the delivery of </w:t>
      </w:r>
      <w:r w:rsidR="00DF239F" w:rsidRPr="002C21B8">
        <w:t xml:space="preserve">ADPKD care </w:t>
      </w:r>
      <w:r w:rsidR="009079BF" w:rsidRPr="002C21B8">
        <w:t xml:space="preserve">in the UK: </w:t>
      </w:r>
      <w:r w:rsidR="00AD6909" w:rsidRPr="002C21B8">
        <w:t>condition-specific (</w:t>
      </w:r>
      <w:r w:rsidR="00CB1619" w:rsidRPr="002C21B8">
        <w:t xml:space="preserve">a single dedicated </w:t>
      </w:r>
      <w:r w:rsidR="00AD6909" w:rsidRPr="002C21B8">
        <w:t>ADPKD or renal genetics clinic)</w:t>
      </w:r>
      <w:r w:rsidR="00CB1619" w:rsidRPr="002C21B8">
        <w:t xml:space="preserve">, generalist (multiple general nephrology clinics) </w:t>
      </w:r>
      <w:r w:rsidR="00D14434" w:rsidRPr="002C21B8">
        <w:t>and</w:t>
      </w:r>
      <w:r w:rsidR="00CB1619" w:rsidRPr="002C21B8">
        <w:t xml:space="preserve"> hybrid</w:t>
      </w:r>
      <w:r w:rsidR="00A77BDD" w:rsidRPr="002C21B8">
        <w:t xml:space="preserve"> clinic</w:t>
      </w:r>
      <w:r w:rsidR="00CB1619" w:rsidRPr="002C21B8">
        <w:t xml:space="preserve"> model</w:t>
      </w:r>
      <w:r w:rsidR="00527A97" w:rsidRPr="002C21B8">
        <w:t>s</w:t>
      </w:r>
      <w:r w:rsidR="00CB1619" w:rsidRPr="002C21B8">
        <w:t>.</w:t>
      </w:r>
      <w:r w:rsidR="002043C5" w:rsidRPr="002C21B8">
        <w:t xml:space="preserve"> Tolvaptan care pathways were embedded within these existing clinic </w:t>
      </w:r>
      <w:r w:rsidR="00D14434" w:rsidRPr="002C21B8">
        <w:t>models</w:t>
      </w:r>
      <w:r w:rsidR="002043C5" w:rsidRPr="002C21B8">
        <w:t xml:space="preserve">, with eligibility assessment </w:t>
      </w:r>
      <w:r w:rsidR="009079BF" w:rsidRPr="002C21B8">
        <w:t>and prescribing decisions occurring within the clinics in which people with ADPKD were managed</w:t>
      </w:r>
      <w:r w:rsidR="0096719D" w:rsidRPr="002C21B8">
        <w:t>.</w:t>
      </w:r>
      <w:r w:rsidR="00DF239F" w:rsidRPr="002C21B8">
        <w:t xml:space="preserve"> </w:t>
      </w:r>
    </w:p>
    <w:p w14:paraId="070E9949" w14:textId="0332CEC0" w:rsidR="00CB5EF7" w:rsidRPr="002C21B8" w:rsidRDefault="00D00B9F" w:rsidP="008D1D22">
      <w:r w:rsidRPr="002C21B8">
        <w:t xml:space="preserve">The findings of the multiple case study suggest </w:t>
      </w:r>
      <w:r w:rsidR="002A78C1" w:rsidRPr="002C21B8">
        <w:t>th</w:t>
      </w:r>
      <w:r w:rsidR="00791430" w:rsidRPr="002C21B8">
        <w:t>at th</w:t>
      </w:r>
      <w:r w:rsidR="002A78C1" w:rsidRPr="002C21B8">
        <w:t>e</w:t>
      </w:r>
      <w:r w:rsidR="00881BCB" w:rsidRPr="002C21B8">
        <w:t>se</w:t>
      </w:r>
      <w:r w:rsidR="002A78C1" w:rsidRPr="002C21B8">
        <w:t xml:space="preserve"> </w:t>
      </w:r>
      <w:r w:rsidRPr="002C21B8">
        <w:t>service configuration</w:t>
      </w:r>
      <w:r w:rsidR="00881BCB" w:rsidRPr="002C21B8">
        <w:t>s</w:t>
      </w:r>
      <w:r w:rsidRPr="002C21B8">
        <w:t xml:space="preserve"> may </w:t>
      </w:r>
      <w:r w:rsidR="0096719D" w:rsidRPr="002C21B8">
        <w:t>contribut</w:t>
      </w:r>
      <w:r w:rsidR="00D14434" w:rsidRPr="002C21B8">
        <w:t>e</w:t>
      </w:r>
      <w:r w:rsidR="0096719D" w:rsidRPr="002C21B8">
        <w:t xml:space="preserve"> to variation in patient identification, eligibility assessment and prescribing decisions</w:t>
      </w:r>
      <w:r w:rsidR="00D14434" w:rsidRPr="002C21B8">
        <w:t xml:space="preserve"> between </w:t>
      </w:r>
      <w:r w:rsidR="00DF239F" w:rsidRPr="002C21B8">
        <w:t xml:space="preserve">kidney </w:t>
      </w:r>
      <w:r w:rsidR="00D14434" w:rsidRPr="002C21B8">
        <w:t>centre</w:t>
      </w:r>
      <w:r w:rsidR="00C43075" w:rsidRPr="002C21B8">
        <w:t>s</w:t>
      </w:r>
      <w:r w:rsidR="0096719D" w:rsidRPr="002C21B8">
        <w:t>.</w:t>
      </w:r>
      <w:r w:rsidR="00CD4BC1" w:rsidRPr="002C21B8">
        <w:t xml:space="preserve"> </w:t>
      </w:r>
      <w:r w:rsidR="00431A04" w:rsidRPr="002C21B8">
        <w:t xml:space="preserve">Having a condition-specific clinic model </w:t>
      </w:r>
      <w:r w:rsidR="0096719D" w:rsidRPr="002C21B8">
        <w:t xml:space="preserve">appeared to </w:t>
      </w:r>
      <w:r w:rsidR="00431A04" w:rsidRPr="002C21B8">
        <w:t xml:space="preserve">improve consistency in prescribing and an oversight of the ADPKD population, whereas the </w:t>
      </w:r>
      <w:r w:rsidR="00291F10" w:rsidRPr="002C21B8">
        <w:t xml:space="preserve">generalist clinic model </w:t>
      </w:r>
      <w:r w:rsidR="00F04A37" w:rsidRPr="002C21B8">
        <w:t xml:space="preserve">appeared to have </w:t>
      </w:r>
      <w:r w:rsidR="004471FB" w:rsidRPr="002C21B8">
        <w:t xml:space="preserve">less consistency and greater </w:t>
      </w:r>
      <w:r w:rsidR="00CD4BC1" w:rsidRPr="002C21B8">
        <w:t>levels of</w:t>
      </w:r>
      <w:r w:rsidR="00291F10" w:rsidRPr="002C21B8">
        <w:t xml:space="preserve"> </w:t>
      </w:r>
      <w:r w:rsidR="00CD4BC1" w:rsidRPr="002C21B8">
        <w:t>within</w:t>
      </w:r>
      <w:r w:rsidR="00F04A37" w:rsidRPr="002C21B8">
        <w:t>-</w:t>
      </w:r>
      <w:r w:rsidR="00CD4BC1" w:rsidRPr="002C21B8">
        <w:t>centre variation</w:t>
      </w:r>
      <w:r w:rsidR="0031363B" w:rsidRPr="002C21B8">
        <w:t xml:space="preserve"> in practice</w:t>
      </w:r>
      <w:r w:rsidR="00291F10" w:rsidRPr="002C21B8">
        <w:t>.</w:t>
      </w:r>
    </w:p>
    <w:p w14:paraId="70D1C5B0" w14:textId="4390C309" w:rsidR="009079BF" w:rsidRPr="002C21B8" w:rsidRDefault="008D1D22" w:rsidP="008D1D22">
      <w:r w:rsidRPr="002C21B8">
        <w:t xml:space="preserve">Similar </w:t>
      </w:r>
      <w:r w:rsidR="00291F10" w:rsidRPr="002C21B8">
        <w:t>associations</w:t>
      </w:r>
      <w:r w:rsidR="0043453B" w:rsidRPr="002C21B8">
        <w:t xml:space="preserve"> between service configuration and implementation</w:t>
      </w:r>
      <w:r w:rsidR="0051679D" w:rsidRPr="002C21B8">
        <w:t xml:space="preserve"> </w:t>
      </w:r>
      <w:r w:rsidR="0043453B" w:rsidRPr="002C21B8">
        <w:t>have been reported in other clinical settings. In heart failure care, c</w:t>
      </w:r>
      <w:r w:rsidR="00AC672A" w:rsidRPr="002C21B8">
        <w:t>o</w:t>
      </w:r>
      <w:r w:rsidR="00134EDD" w:rsidRPr="002C21B8">
        <w:t xml:space="preserve">ndition-specific </w:t>
      </w:r>
      <w:r w:rsidRPr="002C21B8">
        <w:t>clinic</w:t>
      </w:r>
      <w:r w:rsidR="00134EDD" w:rsidRPr="002C21B8">
        <w:t xml:space="preserve"> models</w:t>
      </w:r>
      <w:r w:rsidRPr="002C21B8">
        <w:t xml:space="preserve"> </w:t>
      </w:r>
      <w:r w:rsidR="0043453B" w:rsidRPr="002C21B8">
        <w:t>have been</w:t>
      </w:r>
      <w:r w:rsidRPr="002C21B8">
        <w:t xml:space="preserve"> associated with</w:t>
      </w:r>
      <w:r w:rsidR="00AC672A" w:rsidRPr="002C21B8">
        <w:t xml:space="preserve"> more consistent</w:t>
      </w:r>
      <w:r w:rsidRPr="002C21B8">
        <w:t xml:space="preserve"> implementation of guideline-</w:t>
      </w:r>
      <w:r w:rsidR="0043453B" w:rsidRPr="002C21B8">
        <w:t>approved</w:t>
      </w:r>
      <w:r w:rsidRPr="002C21B8">
        <w:t xml:space="preserve"> </w:t>
      </w:r>
      <w:r w:rsidR="008F78A7" w:rsidRPr="002C21B8">
        <w:t>medication</w:t>
      </w:r>
      <w:r w:rsidR="00774349" w:rsidRPr="002C21B8">
        <w:t>s</w:t>
      </w:r>
      <w:r w:rsidRPr="002C21B8">
        <w:t xml:space="preserve"> compared </w:t>
      </w:r>
      <w:r w:rsidR="0043453B" w:rsidRPr="002C21B8">
        <w:t>with</w:t>
      </w:r>
      <w:r w:rsidR="00AC672A" w:rsidRPr="002C21B8">
        <w:t xml:space="preserve"> care provided through multiple generalist-led clinics </w:t>
      </w:r>
      <w:r w:rsidRPr="002C21B8">
        <w:fldChar w:fldCharType="begin">
          <w:fldData xml:space="preserve">PEVuZE5vdGU+PENpdGU+PEF1dGhvcj5DaGFtYmVyczwvQXV0aG9yPjxZZWFyPjIwMjA8L1llYXI+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</w:fldData>
        </w:fldChar>
      </w:r>
      <w:r w:rsidRPr="002C21B8">
        <w:instrText xml:space="preserve"> ADDIN EN.CITE </w:instrText>
      </w:r>
      <w:r w:rsidRPr="002C21B8">
        <w:fldChar w:fldCharType="begin">
          <w:fldData xml:space="preserve">PEVuZE5vdGU+PENpdGU+PEF1dGhvcj5DaGFtYmVyczwvQXV0aG9yPjxZZWFyPjIwMjA8L1llYXI+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</w:fldData>
        </w:fldChar>
      </w:r>
      <w:r w:rsidRPr="002C21B8">
        <w:instrText xml:space="preserve"> ADDIN EN.CITE.DATA </w:instrText>
      </w:r>
      <w:r w:rsidRPr="002C21B8">
        <w:fldChar w:fldCharType="end"/>
      </w:r>
      <w:r w:rsidRPr="002C21B8">
        <w:fldChar w:fldCharType="separate"/>
      </w:r>
      <w:r w:rsidRPr="002C21B8">
        <w:rPr>
          <w:noProof/>
        </w:rPr>
        <w:t>(Chambers and Lancellotti, 2020; Chambers</w:t>
      </w:r>
      <w:r w:rsidRPr="002C21B8">
        <w:rPr>
          <w:i/>
          <w:noProof/>
        </w:rPr>
        <w:t xml:space="preserve"> et al.</w:t>
      </w:r>
      <w:r w:rsidRPr="002C21B8">
        <w:rPr>
          <w:noProof/>
        </w:rPr>
        <w:t>, 2020; Ramsay</w:t>
      </w:r>
      <w:r w:rsidRPr="002C21B8">
        <w:rPr>
          <w:i/>
          <w:noProof/>
        </w:rPr>
        <w:t xml:space="preserve"> et al.</w:t>
      </w:r>
      <w:r w:rsidRPr="002C21B8">
        <w:rPr>
          <w:noProof/>
        </w:rPr>
        <w:t>, 2025)</w:t>
      </w:r>
      <w:r w:rsidRPr="002C21B8">
        <w:fldChar w:fldCharType="end"/>
      </w:r>
      <w:r w:rsidRPr="002C21B8">
        <w:t>.</w:t>
      </w:r>
    </w:p>
    <w:p w14:paraId="3B552B66" w14:textId="084E820B" w:rsidR="009079BF" w:rsidRPr="002C21B8" w:rsidRDefault="00D14434" w:rsidP="00C72F25">
      <w:r w:rsidRPr="002C21B8">
        <w:t>The</w:t>
      </w:r>
      <w:r w:rsidR="00FC094C" w:rsidRPr="002C21B8">
        <w:t>se</w:t>
      </w:r>
      <w:r w:rsidRPr="002C21B8">
        <w:t xml:space="preserve"> d</w:t>
      </w:r>
      <w:r w:rsidR="00C72F25" w:rsidRPr="002C21B8">
        <w:t xml:space="preserve">ifferences </w:t>
      </w:r>
      <w:r w:rsidR="00291F10" w:rsidRPr="002C21B8">
        <w:t>may arise</w:t>
      </w:r>
      <w:r w:rsidR="005E4806" w:rsidRPr="002C21B8">
        <w:t xml:space="preserve"> because service configurations shape the functioning of clinical microsystem</w:t>
      </w:r>
      <w:r w:rsidR="00E76F2D" w:rsidRPr="002C21B8">
        <w:t>s</w:t>
      </w:r>
      <w:r w:rsidR="005E4806" w:rsidRPr="002C21B8">
        <w:t>.</w:t>
      </w:r>
      <w:r w:rsidR="00FC094C" w:rsidRPr="002C21B8">
        <w:t xml:space="preserve"> According to the framework described by </w:t>
      </w:r>
      <w:r w:rsidR="00FC094C" w:rsidRPr="002C21B8">
        <w:fldChar w:fldCharType="begin"/>
      </w:r>
      <w:r w:rsidR="00FC094C" w:rsidRPr="002C21B8">
        <w:instrText xml:space="preserve"> ADDIN EN.CITE &lt;EndNote&gt;&lt;Cite AuthorYear="1"&gt;&lt;Author&gt;Nelson&lt;/Author&gt;&lt;Year&gt;2011&lt;/Year&gt;&lt;RecNum&gt;125452&lt;/RecNum&gt;&lt;DisplayText&gt;Nelson, Batalden and Godfrey (2011)&lt;/DisplayText&gt;&lt;record&gt;&lt;rec-number&gt;125452&lt;/rec-number&gt;&lt;foreign-keys&gt;&lt;key app="EN" db-id="xpefzwa5hf9dt2ea9fax95x7xvxz90v09dtf" timestamp="1776515782"&gt;125452&lt;/key&gt;&lt;/foreign-keys&gt;&lt;ref-type name="Book"&gt;6&lt;/ref-type&gt;&lt;contributors&gt;&lt;authors&gt;&lt;author&gt;Nelson, Eugene C&lt;/author&gt;&lt;author&gt;Batalden, Paul B&lt;/author&gt;&lt;author&gt;Godfrey, Marjorie M&lt;/author&gt;&lt;/authors&gt;&lt;/contributors&gt;&lt;titles&gt;&lt;title&gt;Quality by design: a clinical microsystems approach&lt;/title&gt;&lt;/titles&gt;&lt;section&gt;1-506&lt;/section&gt;&lt;dates&gt;&lt;year&gt;2011&lt;/year&gt;&lt;/dates&gt;&lt;pub-location&gt;Hoboken, New Jersey, USA&lt;/pub-location&gt;&lt;publisher&gt;John Wiley &amp;amp; Sons&lt;/publisher&gt;&lt;isbn&gt;1118046838&lt;/isbn&gt;&lt;urls&gt;&lt;/urls&gt;&lt;/record&gt;&lt;/Cite&gt;&lt;/EndNote&gt;</w:instrText>
      </w:r>
      <w:r w:rsidR="00FC094C" w:rsidRPr="002C21B8">
        <w:fldChar w:fldCharType="separate"/>
      </w:r>
      <w:r w:rsidR="00FC094C" w:rsidRPr="002C21B8">
        <w:rPr>
          <w:noProof/>
        </w:rPr>
        <w:t>Nelson, Batalden and Godfrey (2011)</w:t>
      </w:r>
      <w:r w:rsidR="00FC094C" w:rsidRPr="002C21B8">
        <w:fldChar w:fldCharType="end"/>
      </w:r>
      <w:r w:rsidR="00FC094C" w:rsidRPr="002C21B8">
        <w:t xml:space="preserve">, a clinical microsystem </w:t>
      </w:r>
      <w:r w:rsidR="007B232B" w:rsidRPr="002C21B8">
        <w:t>is</w:t>
      </w:r>
      <w:r w:rsidR="00E76F2D" w:rsidRPr="002C21B8">
        <w:t xml:space="preserve"> the “small, functional, front-line units that provide health care”, which in the context of this research is represented by </w:t>
      </w:r>
      <w:r w:rsidR="003B3558" w:rsidRPr="002C21B8">
        <w:t>a</w:t>
      </w:r>
      <w:r w:rsidR="00E76F2D" w:rsidRPr="002C21B8">
        <w:t xml:space="preserve"> clinic. </w:t>
      </w:r>
      <w:r w:rsidR="00515832" w:rsidRPr="002C21B8">
        <w:t>C</w:t>
      </w:r>
      <w:r w:rsidR="005E4806" w:rsidRPr="002C21B8">
        <w:t>entres with a condition-specific clinic model may</w:t>
      </w:r>
      <w:r w:rsidR="00B94297" w:rsidRPr="002C21B8">
        <w:t xml:space="preserve"> function as a </w:t>
      </w:r>
      <w:r w:rsidR="00D441F1" w:rsidRPr="002C21B8">
        <w:t>single</w:t>
      </w:r>
      <w:r w:rsidR="00515832" w:rsidRPr="002C21B8">
        <w:t>, tightly bound,</w:t>
      </w:r>
      <w:r w:rsidR="00D441F1" w:rsidRPr="002C21B8">
        <w:t xml:space="preserve"> clinical</w:t>
      </w:r>
      <w:r w:rsidR="007C2B87" w:rsidRPr="002C21B8">
        <w:t xml:space="preserve"> microsystem</w:t>
      </w:r>
      <w:r w:rsidR="007B232B" w:rsidRPr="002C21B8">
        <w:t xml:space="preserve">. This </w:t>
      </w:r>
      <w:r w:rsidR="005E4806" w:rsidRPr="002C21B8">
        <w:t>facilitate</w:t>
      </w:r>
      <w:r w:rsidR="007B232B" w:rsidRPr="002C21B8">
        <w:t>s</w:t>
      </w:r>
      <w:r w:rsidR="005E4806" w:rsidRPr="002C21B8">
        <w:t xml:space="preserve"> more integrated working with tighter feedback loops and the development of consistent routines within the microsystem</w:t>
      </w:r>
      <w:r w:rsidR="002C274D" w:rsidRPr="002C21B8">
        <w:t>, in part, related to having a small number of decision-makers</w:t>
      </w:r>
      <w:r w:rsidR="005E4806" w:rsidRPr="002C21B8">
        <w:t xml:space="preserve">. </w:t>
      </w:r>
      <w:r w:rsidR="00B94297" w:rsidRPr="002C21B8">
        <w:t>In contrast</w:t>
      </w:r>
      <w:r w:rsidR="005E4806" w:rsidRPr="002C21B8">
        <w:t xml:space="preserve">, generalist clinic models may be considered to consist of multiple semi-autonomous </w:t>
      </w:r>
      <w:r w:rsidR="00AD3D38" w:rsidRPr="002C21B8">
        <w:t xml:space="preserve">clinical </w:t>
      </w:r>
      <w:r w:rsidR="005E4806" w:rsidRPr="002C21B8">
        <w:t>microsystems</w:t>
      </w:r>
      <w:r w:rsidR="00A4589D" w:rsidRPr="002C21B8">
        <w:t>, with each clinic representing its own microsystem</w:t>
      </w:r>
      <w:r w:rsidR="00AD3D38" w:rsidRPr="002C21B8">
        <w:t xml:space="preserve">. This </w:t>
      </w:r>
      <w:r w:rsidR="000C4B27" w:rsidRPr="002C21B8">
        <w:t>often involves more decision-makers</w:t>
      </w:r>
      <w:r w:rsidR="002B39AB" w:rsidRPr="002C21B8">
        <w:t>,</w:t>
      </w:r>
      <w:r w:rsidR="000C4B27" w:rsidRPr="002C21B8">
        <w:t xml:space="preserve"> which makes </w:t>
      </w:r>
      <w:r w:rsidR="00AD3D38" w:rsidRPr="002C21B8">
        <w:t>it more difficult to ensure</w:t>
      </w:r>
      <w:r w:rsidR="00D2311C" w:rsidRPr="002C21B8">
        <w:t xml:space="preserve"> that</w:t>
      </w:r>
      <w:r w:rsidR="00AD3D38" w:rsidRPr="002C21B8">
        <w:t xml:space="preserve"> care is coordinated and consistent</w:t>
      </w:r>
      <w:r w:rsidR="000C4B27" w:rsidRPr="002C21B8">
        <w:t>,</w:t>
      </w:r>
      <w:r w:rsidR="00AD3D38" w:rsidRPr="002C21B8">
        <w:t xml:space="preserve"> as e</w:t>
      </w:r>
      <w:r w:rsidR="005E4806" w:rsidRPr="002C21B8">
        <w:t xml:space="preserve">ach </w:t>
      </w:r>
      <w:r w:rsidR="00AD3D38" w:rsidRPr="002C21B8">
        <w:t>microsystem</w:t>
      </w:r>
      <w:r w:rsidR="00D1089B" w:rsidRPr="002C21B8">
        <w:t xml:space="preserve"> can</w:t>
      </w:r>
      <w:r w:rsidR="00AD3D38" w:rsidRPr="002C21B8">
        <w:t xml:space="preserve"> </w:t>
      </w:r>
      <w:r w:rsidR="005E4806" w:rsidRPr="002C21B8">
        <w:t xml:space="preserve">develop </w:t>
      </w:r>
      <w:r w:rsidR="00E731FA" w:rsidRPr="002C21B8">
        <w:t>its</w:t>
      </w:r>
      <w:r w:rsidR="005E4806" w:rsidRPr="002C21B8">
        <w:t xml:space="preserve"> own routines, norms and approaches</w:t>
      </w:r>
      <w:r w:rsidR="00E731FA" w:rsidRPr="002C21B8">
        <w:t xml:space="preserve">. Consequently, there is greater potential for variation to occur </w:t>
      </w:r>
      <w:r w:rsidR="00964025" w:rsidRPr="002C21B8">
        <w:t>at a system</w:t>
      </w:r>
      <w:r w:rsidR="002B39AB" w:rsidRPr="002C21B8">
        <w:t xml:space="preserve"> </w:t>
      </w:r>
      <w:r w:rsidR="00964025" w:rsidRPr="002C21B8">
        <w:t>level</w:t>
      </w:r>
      <w:r w:rsidR="007711DC" w:rsidRPr="002C21B8">
        <w:t>.</w:t>
      </w:r>
      <w:r w:rsidR="00B94297" w:rsidRPr="002C21B8">
        <w:t xml:space="preserve"> Th</w:t>
      </w:r>
      <w:r w:rsidR="000933FD" w:rsidRPr="002C21B8">
        <w:t>e relationship between these semi-autonomous microsystems may be further understood th</w:t>
      </w:r>
      <w:r w:rsidR="00CC229B" w:rsidRPr="002C21B8">
        <w:t>r</w:t>
      </w:r>
      <w:r w:rsidR="000933FD" w:rsidRPr="002C21B8">
        <w:t xml:space="preserve">ough </w:t>
      </w:r>
      <w:r w:rsidR="00B94297" w:rsidRPr="002C21B8">
        <w:t>the loosely coupled systems theory</w:t>
      </w:r>
      <w:r w:rsidR="000933FD" w:rsidRPr="002C21B8">
        <w:t>. O</w:t>
      </w:r>
      <w:r w:rsidR="00B94297" w:rsidRPr="002C21B8">
        <w:t xml:space="preserve">rganisational units (equivalent to microsystems) </w:t>
      </w:r>
      <w:r w:rsidR="00E731FA" w:rsidRPr="002C21B8">
        <w:t xml:space="preserve">operating in the same system </w:t>
      </w:r>
      <w:r w:rsidR="000933FD" w:rsidRPr="002C21B8">
        <w:t>remain</w:t>
      </w:r>
      <w:r w:rsidR="00B94297" w:rsidRPr="002C21B8">
        <w:t xml:space="preserve"> only weakly coordinated in the absence of integrative mechanisms, such as internal audit, feedback or case discussions</w:t>
      </w:r>
      <w:r w:rsidR="00D2311C" w:rsidRPr="002C21B8">
        <w:t xml:space="preserve"> </w:t>
      </w:r>
      <w:r w:rsidR="00D2311C" w:rsidRPr="002C21B8">
        <w:fldChar w:fldCharType="begin"/>
      </w:r>
      <w:r w:rsidR="00D2311C" w:rsidRPr="002C21B8">
        <w:instrText xml:space="preserve"> ADDIN EN.CITE &lt;EndNote&gt;&lt;Cite&gt;&lt;Author&gt;Orton&lt;/Author&gt;&lt;Year&gt;1990&lt;/Year&gt;&lt;RecNum&gt;125453&lt;/RecNum&gt;&lt;DisplayText&gt;(Orton and Weick, 1990)&lt;/DisplayText&gt;&lt;record&gt;&lt;rec-number&gt;125453&lt;/rec-number&gt;&lt;foreign-keys&gt;&lt;key app="EN" db-id="xpefzwa5hf9dt2ea9fax95x7xvxz90v09dtf" timestamp="1776515809"&gt;125453&lt;/key&gt;&lt;/foreign-keys&gt;&lt;ref-type name="Journal Article"&gt;17&lt;/ref-type&gt;&lt;contributors&gt;&lt;authors&gt;&lt;author&gt;Orton, J Douglas&lt;/author&gt;&lt;author&gt;Weick, Karl E&lt;/author&gt;&lt;/authors&gt;&lt;/contributors&gt;&lt;titles&gt;&lt;title&gt;Loosely coupled systems: A reconceptualization&lt;/title&gt;&lt;secondary-title&gt;Academy of Management Review&lt;/secondary-title&gt;&lt;/titles&gt;&lt;periodical&gt;&lt;full-title&gt;Academy of management review&lt;/full-title&gt;&lt;/periodical&gt;&lt;pages&gt;203-223&lt;/pages&gt;&lt;volume&gt;15&lt;/volume&gt;&lt;number&gt;2&lt;/number&gt;&lt;dates&gt;&lt;year&gt;1990&lt;/year&gt;&lt;/dates&gt;&lt;isbn&gt;0363-7425&lt;/isbn&gt;&lt;urls&gt;&lt;/urls&gt;&lt;/record&gt;&lt;/Cite&gt;&lt;/EndNote&gt;</w:instrText>
      </w:r>
      <w:r w:rsidR="00D2311C" w:rsidRPr="002C21B8">
        <w:fldChar w:fldCharType="separate"/>
      </w:r>
      <w:r w:rsidR="00D2311C" w:rsidRPr="002C21B8">
        <w:rPr>
          <w:noProof/>
        </w:rPr>
        <w:t>(Orton and Weick, 1990)</w:t>
      </w:r>
      <w:r w:rsidR="00D2311C" w:rsidRPr="002C21B8">
        <w:fldChar w:fldCharType="end"/>
      </w:r>
      <w:r w:rsidR="00B94297" w:rsidRPr="002C21B8">
        <w:t>.</w:t>
      </w:r>
      <w:r w:rsidR="00CC229B" w:rsidRPr="002C21B8">
        <w:t xml:space="preserve"> This may help explain why greater variation in prescribing practices was observed in the kidney centres with a generalist, or hybrid, clinic model.</w:t>
      </w:r>
    </w:p>
    <w:bookmarkEnd w:id="287"/>
    <w:bookmarkEnd w:id="288"/>
    <w:p w14:paraId="49816DCF" w14:textId="1A057563" w:rsidR="00066868" w:rsidRPr="002C21B8" w:rsidRDefault="009079BF" w:rsidP="0081330D">
      <w:r w:rsidRPr="002C21B8">
        <w:t xml:space="preserve">Beyond influencing coordination, service configuration also appeared to influence clinician experience and learning. </w:t>
      </w:r>
      <w:r w:rsidR="00CC229B" w:rsidRPr="002C21B8">
        <w:t xml:space="preserve">A condition-specific model enabled exposure to people with ADPKD to be concentrated amongst a smaller number of clinicians, which created repeated opportunities to apply eligibility criteria and observe treatment trajectories. </w:t>
      </w:r>
      <w:r w:rsidR="00501879" w:rsidRPr="002C21B8">
        <w:t xml:space="preserve">This repeated exposure </w:t>
      </w:r>
      <w:r w:rsidR="00042412" w:rsidRPr="002C21B8">
        <w:t xml:space="preserve">appeared to </w:t>
      </w:r>
      <w:r w:rsidR="00501879" w:rsidRPr="002C21B8">
        <w:t>build familiarity</w:t>
      </w:r>
      <w:r w:rsidR="0081330D" w:rsidRPr="002C21B8">
        <w:t xml:space="preserve">, </w:t>
      </w:r>
      <w:r w:rsidR="00501879" w:rsidRPr="002C21B8">
        <w:t xml:space="preserve">reduce uncertainty </w:t>
      </w:r>
      <w:r w:rsidR="0081330D" w:rsidRPr="002C21B8">
        <w:t>and increase clinicians’ confidence, contribut</w:t>
      </w:r>
      <w:r w:rsidR="00042412" w:rsidRPr="002C21B8">
        <w:t>ing</w:t>
      </w:r>
      <w:r w:rsidR="0081330D" w:rsidRPr="002C21B8">
        <w:t xml:space="preserve"> to more proactive prescribing.</w:t>
      </w:r>
      <w:r w:rsidR="00501879" w:rsidRPr="002C21B8">
        <w:t xml:space="preserve"> In contrast, </w:t>
      </w:r>
      <w:r w:rsidR="00F34E22" w:rsidRPr="002C21B8">
        <w:t xml:space="preserve">in </w:t>
      </w:r>
      <w:r w:rsidR="00501879" w:rsidRPr="002C21B8">
        <w:t>generalist clinic models</w:t>
      </w:r>
      <w:r w:rsidR="00884DDF" w:rsidRPr="002C21B8">
        <w:t>,</w:t>
      </w:r>
      <w:r w:rsidR="0081330D" w:rsidRPr="002C21B8">
        <w:t xml:space="preserve"> these opportunities are shared across a larger number of clinicians, so initiation may </w:t>
      </w:r>
      <w:r w:rsidR="00F34E22" w:rsidRPr="002C21B8">
        <w:t xml:space="preserve">remain cautious and </w:t>
      </w:r>
      <w:r w:rsidR="00501879" w:rsidRPr="002C21B8">
        <w:t>therapeutic inertia</w:t>
      </w:r>
      <w:r w:rsidR="00884DDF" w:rsidRPr="002C21B8">
        <w:t xml:space="preserve"> is</w:t>
      </w:r>
      <w:r w:rsidR="00DB20DC" w:rsidRPr="002C21B8">
        <w:t xml:space="preserve"> </w:t>
      </w:r>
      <w:r w:rsidR="00F34E22" w:rsidRPr="002C21B8">
        <w:t>more likely</w:t>
      </w:r>
      <w:r w:rsidR="00501879" w:rsidRPr="002C21B8">
        <w:t>.</w:t>
      </w:r>
      <w:r w:rsidR="002854BB" w:rsidRPr="002C21B8">
        <w:t xml:space="preserve"> This aligns with </w:t>
      </w:r>
      <w:r w:rsidR="00066868" w:rsidRPr="002C21B8">
        <w:t xml:space="preserve">evidence on </w:t>
      </w:r>
      <w:r w:rsidR="002854BB" w:rsidRPr="002C21B8">
        <w:t>volume-outcome and experience-performance relationships in healthcare</w:t>
      </w:r>
      <w:r w:rsidR="00D2311C" w:rsidRPr="002C21B8">
        <w:t>,</w:t>
      </w:r>
      <w:r w:rsidR="006457FC" w:rsidRPr="002C21B8">
        <w:t xml:space="preserve"> where repeated exposure improves consistency and quality in healthcare</w:t>
      </w:r>
      <w:r w:rsidR="002854BB" w:rsidRPr="002C21B8">
        <w:t xml:space="preserve"> </w:t>
      </w:r>
      <w:r w:rsidR="002854BB" w:rsidRPr="002C21B8">
        <w:fldChar w:fldCharType="begin"/>
      </w:r>
      <w:r w:rsidR="002854BB" w:rsidRPr="002C21B8">
        <w:instrText xml:space="preserve"> ADDIN EN.CITE &lt;EndNote&gt;&lt;Cite&gt;&lt;Author&gt;Birkmeyer&lt;/Author&gt;&lt;Year&gt;2003&lt;/Year&gt;&lt;RecNum&gt;125445&lt;/RecNum&gt;&lt;DisplayText&gt;(Birkmeyer&lt;style face="italic"&gt; et al.&lt;/style&gt;, 2003)&lt;/DisplayText&gt;&lt;record&gt;&lt;rec-number&gt;125445&lt;/rec-number&gt;&lt;foreign-keys&gt;&lt;key app="EN" db-id="xpefzwa5hf9dt2ea9fax95x7xvxz90v09dtf" timestamp="1776264364"&gt;125445&lt;/key&gt;&lt;/foreign-keys&gt;&lt;ref-type name="Journal Article"&gt;17&lt;/ref-type&gt;&lt;contributors&gt;&lt;authors&gt;&lt;author&gt;Birkmeyer, John D&lt;/author&gt;&lt;author&gt;Stukel, Therese A&lt;/author&gt;&lt;author&gt;Siewers, Andrea E&lt;/author&gt;&lt;author&gt;Goodney, Philip P&lt;/author&gt;&lt;author&gt;Wennberg, David E&lt;/author&gt;&lt;author&gt;Lucas, F Lee&lt;/author&gt;&lt;/authors&gt;&lt;/contributors&gt;&lt;titles&gt;&lt;title&gt;Surgeon volume and operative mortality in the United States&lt;/title&gt;&lt;secondary-title&gt;New England Journal of Medicine&lt;/secondary-title&gt;&lt;/titles&gt;&lt;periodical&gt;&lt;full-title&gt;New England Journal of Medicine&lt;/full-title&gt;&lt;/periodical&gt;&lt;pages&gt;2117-2127&lt;/pages&gt;&lt;volume&gt;349&lt;/volume&gt;&lt;number&gt;22&lt;/number&gt;&lt;dates&gt;&lt;year&gt;2003&lt;/year&gt;&lt;/dates&gt;&lt;isbn&gt;0028-4793&lt;/isbn&gt;&lt;urls&gt;&lt;/urls&gt;&lt;/record&gt;&lt;/Cite&gt;&lt;/EndNote&gt;</w:instrText>
      </w:r>
      <w:r w:rsidR="002854BB" w:rsidRPr="002C21B8">
        <w:fldChar w:fldCharType="separate"/>
      </w:r>
      <w:r w:rsidR="002854BB" w:rsidRPr="002C21B8">
        <w:rPr>
          <w:noProof/>
        </w:rPr>
        <w:t>(Birkmeyer</w:t>
      </w:r>
      <w:r w:rsidR="002854BB" w:rsidRPr="002C21B8">
        <w:rPr>
          <w:i/>
          <w:noProof/>
        </w:rPr>
        <w:t xml:space="preserve"> et al.</w:t>
      </w:r>
      <w:r w:rsidR="002854BB" w:rsidRPr="002C21B8">
        <w:rPr>
          <w:noProof/>
        </w:rPr>
        <w:t>, 2003)</w:t>
      </w:r>
      <w:r w:rsidR="002854BB" w:rsidRPr="002C21B8">
        <w:fldChar w:fldCharType="end"/>
      </w:r>
      <w:r w:rsidR="002854BB" w:rsidRPr="002C21B8">
        <w:t>.</w:t>
      </w:r>
    </w:p>
    <w:p w14:paraId="576BD18C" w14:textId="6E773794" w:rsidR="00E463BF" w:rsidRPr="002C21B8" w:rsidRDefault="00147AE7" w:rsidP="00C82289">
      <w:r w:rsidRPr="002C21B8">
        <w:t>Similar</w:t>
      </w:r>
      <w:r w:rsidR="00696D34" w:rsidRPr="002C21B8">
        <w:t xml:space="preserve"> </w:t>
      </w:r>
      <w:r w:rsidR="00291F10" w:rsidRPr="002C21B8">
        <w:t xml:space="preserve">experience related variation has been described in other therapeutic areas. </w:t>
      </w:r>
      <w:r w:rsidR="0081330D" w:rsidRPr="002C21B8">
        <w:t xml:space="preserve">In type 2 diabetes, </w:t>
      </w:r>
      <w:r w:rsidR="00D07AB9" w:rsidRPr="002C21B8">
        <w:t>differences</w:t>
      </w:r>
      <w:r w:rsidR="0081330D" w:rsidRPr="002C21B8">
        <w:t xml:space="preserve"> ha</w:t>
      </w:r>
      <w:r w:rsidR="00D07AB9" w:rsidRPr="002C21B8">
        <w:t>ve</w:t>
      </w:r>
      <w:r w:rsidR="0081330D" w:rsidRPr="002C21B8">
        <w:t xml:space="preserve"> been observed in insulin initiation between clinicians and settings related to their </w:t>
      </w:r>
      <w:r w:rsidR="00DA2C2C" w:rsidRPr="002C21B8">
        <w:t xml:space="preserve">level of </w:t>
      </w:r>
      <w:r w:rsidR="0081330D" w:rsidRPr="002C21B8">
        <w:t xml:space="preserve">experience. </w:t>
      </w:r>
      <w:r w:rsidR="00696D34" w:rsidRPr="002C21B8">
        <w:t>Clinicians with greater e</w:t>
      </w:r>
      <w:r w:rsidR="00DE0ABF" w:rsidRPr="002C21B8">
        <w:t xml:space="preserve">xposure to the </w:t>
      </w:r>
      <w:r w:rsidR="00696D34" w:rsidRPr="002C21B8">
        <w:t>initiati</w:t>
      </w:r>
      <w:r w:rsidR="00DE0ABF" w:rsidRPr="002C21B8">
        <w:t>on</w:t>
      </w:r>
      <w:r w:rsidR="00696D34" w:rsidRPr="002C21B8">
        <w:t xml:space="preserve"> and manag</w:t>
      </w:r>
      <w:r w:rsidR="00DE0ABF" w:rsidRPr="002C21B8">
        <w:t>ement of</w:t>
      </w:r>
      <w:r w:rsidR="00696D34" w:rsidRPr="002C21B8">
        <w:t xml:space="preserve"> insulin are more likely to </w:t>
      </w:r>
      <w:r w:rsidR="00C82289" w:rsidRPr="002C21B8">
        <w:t>initiat</w:t>
      </w:r>
      <w:r w:rsidR="006C5D83" w:rsidRPr="002C21B8">
        <w:t>e</w:t>
      </w:r>
      <w:r w:rsidR="00696D34" w:rsidRPr="002C21B8">
        <w:t xml:space="preserve"> </w:t>
      </w:r>
      <w:r w:rsidR="00C82289" w:rsidRPr="002C21B8">
        <w:t>treatment</w:t>
      </w:r>
      <w:r w:rsidR="00696D34" w:rsidRPr="002C21B8">
        <w:t xml:space="preserve"> in eligible patients, whereas those with less exposure</w:t>
      </w:r>
      <w:r w:rsidR="001A6E12" w:rsidRPr="002C21B8">
        <w:t xml:space="preserve"> have a greater</w:t>
      </w:r>
      <w:r w:rsidR="00696D34" w:rsidRPr="002C21B8">
        <w:t xml:space="preserve"> </w:t>
      </w:r>
      <w:r w:rsidR="00884DDF" w:rsidRPr="002C21B8">
        <w:t>tendency</w:t>
      </w:r>
      <w:r w:rsidR="00696D34" w:rsidRPr="002C21B8">
        <w:t xml:space="preserve"> to </w:t>
      </w:r>
      <w:r w:rsidR="00C82289" w:rsidRPr="002C21B8">
        <w:t>delay</w:t>
      </w:r>
      <w:r w:rsidR="00696D34" w:rsidRPr="002C21B8">
        <w:t xml:space="preserve"> or avoid </w:t>
      </w:r>
      <w:r w:rsidR="00C82289" w:rsidRPr="002C21B8">
        <w:t>initiation</w:t>
      </w:r>
      <w:r w:rsidR="00696D34" w:rsidRPr="002C21B8">
        <w:t xml:space="preserve">. The risk of </w:t>
      </w:r>
      <w:r w:rsidR="00C82289" w:rsidRPr="002C21B8">
        <w:t>hypoglycaemia</w:t>
      </w:r>
      <w:r w:rsidR="00696D34" w:rsidRPr="002C21B8">
        <w:t xml:space="preserve"> is </w:t>
      </w:r>
      <w:r w:rsidR="00C82289" w:rsidRPr="002C21B8">
        <w:t>frequently</w:t>
      </w:r>
      <w:r w:rsidR="00696D34" w:rsidRPr="002C21B8">
        <w:t xml:space="preserve"> cited as a barrier to </w:t>
      </w:r>
      <w:r w:rsidR="00C82289" w:rsidRPr="002C21B8">
        <w:t>clinicians</w:t>
      </w:r>
      <w:r w:rsidR="00696D34" w:rsidRPr="002C21B8">
        <w:t xml:space="preserve"> initiating </w:t>
      </w:r>
      <w:r w:rsidR="00C82289" w:rsidRPr="002C21B8">
        <w:t>treatment</w:t>
      </w:r>
      <w:r w:rsidR="00696D34" w:rsidRPr="002C21B8">
        <w:t xml:space="preserve">. These </w:t>
      </w:r>
      <w:r w:rsidR="00C82289" w:rsidRPr="002C21B8">
        <w:t>concerns</w:t>
      </w:r>
      <w:r w:rsidR="00696D34" w:rsidRPr="002C21B8">
        <w:t xml:space="preserve"> appear to be more influential in settings where clinicians have less experience of insulin use, and therefore less </w:t>
      </w:r>
      <w:r w:rsidR="00A31DA2" w:rsidRPr="002C21B8">
        <w:t xml:space="preserve">confidence derived from </w:t>
      </w:r>
      <w:r w:rsidR="00696D34" w:rsidRPr="002C21B8">
        <w:t>prior</w:t>
      </w:r>
      <w:r w:rsidR="00385E67" w:rsidRPr="002C21B8">
        <w:t xml:space="preserve"> experiences of</w:t>
      </w:r>
      <w:r w:rsidR="00696D34" w:rsidRPr="002C21B8">
        <w:t xml:space="preserve"> safe initiation and follow-up </w:t>
      </w:r>
      <w:r w:rsidR="00C82289" w:rsidRPr="002C21B8">
        <w:fldChar w:fldCharType="begin">
          <w:fldData xml:space="preserve">PEVuZE5vdGU+PENpdGU+PEF1dGhvcj5OZzwvQXV0aG9yPjxZZWFyPjIwMTU8L1llYXI+PFJlY051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</w:fldData>
        </w:fldChar>
      </w:r>
      <w:r w:rsidR="00C82289" w:rsidRPr="002C21B8">
        <w:instrText xml:space="preserve"> ADDIN EN.CITE </w:instrText>
      </w:r>
      <w:r w:rsidR="00C82289" w:rsidRPr="002C21B8">
        <w:fldChar w:fldCharType="begin">
          <w:fldData xml:space="preserve">PEVuZE5vdGU+PENpdGU+PEF1dGhvcj5OZzwvQXV0aG9yPjxZZWFyPjIwMTU8L1llYXI+PFJlY051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</w:fldData>
        </w:fldChar>
      </w:r>
      <w:r w:rsidR="00C82289" w:rsidRPr="002C21B8">
        <w:instrText xml:space="preserve"> ADDIN EN.CITE.DATA </w:instrText>
      </w:r>
      <w:r w:rsidR="00C82289" w:rsidRPr="002C21B8">
        <w:fldChar w:fldCharType="end"/>
      </w:r>
      <w:r w:rsidR="00C82289" w:rsidRPr="002C21B8">
        <w:fldChar w:fldCharType="separate"/>
      </w:r>
      <w:r w:rsidR="00C82289" w:rsidRPr="002C21B8">
        <w:rPr>
          <w:noProof/>
        </w:rPr>
        <w:t>(Campbell</w:t>
      </w:r>
      <w:r w:rsidR="00C82289" w:rsidRPr="002C21B8">
        <w:rPr>
          <w:i/>
          <w:noProof/>
        </w:rPr>
        <w:t xml:space="preserve"> et al.</w:t>
      </w:r>
      <w:r w:rsidR="00C82289" w:rsidRPr="002C21B8">
        <w:rPr>
          <w:noProof/>
        </w:rPr>
        <w:t>, 2019; Chenoweth, 2017; Ng</w:t>
      </w:r>
      <w:r w:rsidR="00C82289" w:rsidRPr="002C21B8">
        <w:rPr>
          <w:i/>
          <w:noProof/>
        </w:rPr>
        <w:t xml:space="preserve"> et al.</w:t>
      </w:r>
      <w:r w:rsidR="00C82289" w:rsidRPr="002C21B8">
        <w:rPr>
          <w:noProof/>
        </w:rPr>
        <w:t>, 2015)</w:t>
      </w:r>
      <w:r w:rsidR="00C82289" w:rsidRPr="002C21B8">
        <w:fldChar w:fldCharType="end"/>
      </w:r>
      <w:r w:rsidR="00696D34" w:rsidRPr="002C21B8">
        <w:t>.</w:t>
      </w:r>
    </w:p>
    <w:p w14:paraId="65889FD8" w14:textId="5EEC31A5" w:rsidR="002854BB" w:rsidRPr="002C21B8" w:rsidRDefault="002854BB" w:rsidP="00C82289">
      <w:r w:rsidRPr="002C21B8">
        <w:t xml:space="preserve">A </w:t>
      </w:r>
      <w:r w:rsidR="00E463BF" w:rsidRPr="002C21B8">
        <w:t>similar experience-risk relationship may help interpret the findings of the multiple case study. C</w:t>
      </w:r>
      <w:r w:rsidR="00C82289" w:rsidRPr="002C21B8">
        <w:t xml:space="preserve">linicians at the centre with the generalist clinic model described being concerned about the risk of liver injury, whereas clinicians in centres with </w:t>
      </w:r>
      <w:r w:rsidR="002E11B1" w:rsidRPr="002C21B8">
        <w:t xml:space="preserve">a </w:t>
      </w:r>
      <w:r w:rsidR="00C82289" w:rsidRPr="002C21B8">
        <w:t>condition-specific clinic model described prescribing tolvaptan to many people without encountering significant liver injury</w:t>
      </w:r>
      <w:r w:rsidR="00AC5A79" w:rsidRPr="002C21B8">
        <w:t xml:space="preserve">. This appeared to </w:t>
      </w:r>
      <w:r w:rsidR="00C82289" w:rsidRPr="002C21B8">
        <w:t xml:space="preserve">reduce the salience of this </w:t>
      </w:r>
      <w:r w:rsidR="00E463BF" w:rsidRPr="002C21B8">
        <w:t>risk</w:t>
      </w:r>
      <w:r w:rsidR="00C82289" w:rsidRPr="002C21B8">
        <w:t xml:space="preserve"> in their decision-making.</w:t>
      </w:r>
      <w:r w:rsidR="00C626B2" w:rsidRPr="002C21B8">
        <w:t xml:space="preserve"> The influence of </w:t>
      </w:r>
      <w:r w:rsidR="00A722FF" w:rsidRPr="002C21B8">
        <w:t xml:space="preserve">clinicians’ approach to risk </w:t>
      </w:r>
      <w:r w:rsidR="00AC5A79" w:rsidRPr="002C21B8">
        <w:t xml:space="preserve">on prescribing decision-making </w:t>
      </w:r>
      <w:r w:rsidR="00A722FF" w:rsidRPr="002C21B8">
        <w:t xml:space="preserve">was also identified in the overview of systematic reviews conducted in this thesis </w:t>
      </w:r>
      <w:r w:rsidR="00A722FF" w:rsidRPr="002C21B8">
        <w:fldChar w:fldCharType="begin"/>
      </w:r>
      <w:r w:rsidR="00A722FF"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A722FF" w:rsidRPr="002C21B8">
        <w:fldChar w:fldCharType="separate"/>
      </w:r>
      <w:r w:rsidR="00A722FF" w:rsidRPr="002C21B8">
        <w:rPr>
          <w:noProof/>
        </w:rPr>
        <w:t>(Gittus</w:t>
      </w:r>
      <w:r w:rsidR="00A722FF" w:rsidRPr="002C21B8">
        <w:rPr>
          <w:i/>
          <w:noProof/>
        </w:rPr>
        <w:t xml:space="preserve"> et al.</w:t>
      </w:r>
      <w:r w:rsidR="00A722FF" w:rsidRPr="002C21B8">
        <w:rPr>
          <w:noProof/>
        </w:rPr>
        <w:t>, 2025b)</w:t>
      </w:r>
      <w:r w:rsidR="00A722FF" w:rsidRPr="002C21B8">
        <w:fldChar w:fldCharType="end"/>
      </w:r>
      <w:r w:rsidR="00A722FF" w:rsidRPr="002C21B8">
        <w:t>.</w:t>
      </w:r>
    </w:p>
    <w:p w14:paraId="6E821E75" w14:textId="4416BB75" w:rsidR="002043C5" w:rsidRPr="002C21B8" w:rsidRDefault="00A87B44" w:rsidP="00ED2D36">
      <w:pPr>
        <w:pStyle w:val="Heading4"/>
      </w:pPr>
      <w:r w:rsidRPr="002C21B8">
        <w:t>Dedicated tolvaptan clinics</w:t>
      </w:r>
    </w:p>
    <w:p w14:paraId="3A66B3F5" w14:textId="11129C0B" w:rsidR="003D2A4B" w:rsidRPr="002C21B8" w:rsidRDefault="008D1D22" w:rsidP="008D1D22">
      <w:r w:rsidRPr="002C21B8">
        <w:t xml:space="preserve">Another difference in service configuration </w:t>
      </w:r>
      <w:r w:rsidR="009F211D" w:rsidRPr="002C21B8">
        <w:t xml:space="preserve">across kidney centres identified in the survey was the presence of a pharmacist or nurse-led tolvaptan clinic, with around half of centres reporting that they had such a clinic. The multiple case study demonstrated that the presence of a tolvaptan clinic effectively redistributed some components of the prescribing process that </w:t>
      </w:r>
      <w:r w:rsidRPr="002C21B8">
        <w:t>would otherwise fall to the prescribing doctor</w:t>
      </w:r>
      <w:r w:rsidR="009F211D" w:rsidRPr="002C21B8">
        <w:t>s</w:t>
      </w:r>
      <w:r w:rsidRPr="002C21B8">
        <w:t>, including issuing prescription scripts, organising repeat prescriptions and ongoing monitoring.</w:t>
      </w:r>
    </w:p>
    <w:p w14:paraId="7262F755" w14:textId="7E592D8A" w:rsidR="008D1D22" w:rsidRPr="002C21B8" w:rsidRDefault="00201E8B" w:rsidP="008D1D22">
      <w:r w:rsidRPr="002C21B8">
        <w:t>Although there is extensive literature on the benefits of monitoring clinics in contexts such as anticoagulation</w:t>
      </w:r>
      <w:r w:rsidR="007701F8" w:rsidRPr="002C21B8">
        <w:t xml:space="preserve"> </w:t>
      </w:r>
      <w:r w:rsidR="007701F8" w:rsidRPr="002C21B8">
        <w:fldChar w:fldCharType="begin"/>
      </w:r>
      <w:r w:rsidR="007701F8" w:rsidRPr="002C21B8">
        <w:instrText xml:space="preserve"> ADDIN EN.CITE &lt;EndNote&gt;&lt;Cite&gt;&lt;Author&gt;van Walraven&lt;/Author&gt;&lt;Year&gt;2006&lt;/Year&gt;&lt;RecNum&gt;125597&lt;/RecNum&gt;&lt;DisplayText&gt;(van Walraven&lt;style face="italic"&gt; et al.&lt;/style&gt;, 2006)&lt;/DisplayText&gt;&lt;record&gt;&lt;rec-number&gt;125597&lt;/rec-number&gt;&lt;foreign-keys&gt;&lt;key app="EN" db-id="xpefzwa5hf9dt2ea9fax95x7xvxz90v09dtf" timestamp="1778766110"&gt;125597&lt;/key&gt;&lt;/foreign-keys&gt;&lt;ref-type name="Journal Article"&gt;17&lt;/ref-type&gt;&lt;contributors&gt;&lt;authors&gt;&lt;author&gt;van Walraven, Carl&lt;/author&gt;&lt;author&gt;Jennings, Alison&lt;/author&gt;&lt;author&gt;Oake, Natalie&lt;/author&gt;&lt;author&gt;Fergusson, Dean&lt;/author&gt;&lt;author&gt;Forster, Alan J&lt;/author&gt;&lt;/authors&gt;&lt;/contributors&gt;&lt;titles&gt;&lt;title&gt;Effect of study setting on anticoagulation control: a systematic review and metaregression&lt;/title&gt;&lt;secondary-title&gt;Chest&lt;/secondary-title&gt;&lt;/titles&gt;&lt;periodical&gt;&lt;full-title&gt;Chest&lt;/full-title&gt;&lt;/periodical&gt;&lt;pages&gt;1155-1166&lt;/pages&gt;&lt;volume&gt;129&lt;/volume&gt;&lt;number&gt;5&lt;/number&gt;&lt;dates&gt;&lt;year&gt;2006&lt;/year&gt;&lt;/dates&gt;&lt;isbn&gt;0012-3692&lt;/isbn&gt;&lt;urls&gt;&lt;/urls&gt;&lt;/record&gt;&lt;/Cite&gt;&lt;/EndNote&gt;</w:instrText>
      </w:r>
      <w:r w:rsidR="007701F8" w:rsidRPr="002C21B8">
        <w:fldChar w:fldCharType="separate"/>
      </w:r>
      <w:r w:rsidR="007701F8" w:rsidRPr="002C21B8">
        <w:rPr>
          <w:noProof/>
        </w:rPr>
        <w:t>(van Walraven</w:t>
      </w:r>
      <w:r w:rsidR="007701F8" w:rsidRPr="002C21B8">
        <w:rPr>
          <w:i/>
          <w:noProof/>
        </w:rPr>
        <w:t xml:space="preserve"> et al.</w:t>
      </w:r>
      <w:r w:rsidR="007701F8" w:rsidRPr="002C21B8">
        <w:rPr>
          <w:noProof/>
        </w:rPr>
        <w:t>, 2006)</w:t>
      </w:r>
      <w:r w:rsidR="007701F8" w:rsidRPr="002C21B8">
        <w:fldChar w:fldCharType="end"/>
      </w:r>
      <w:r w:rsidRPr="002C21B8">
        <w:t xml:space="preserve">, their potential role in influencing prescribing decision-making has not been </w:t>
      </w:r>
      <w:r w:rsidR="009A62F5" w:rsidRPr="002C21B8">
        <w:t xml:space="preserve">fully </w:t>
      </w:r>
      <w:r w:rsidR="005938E1" w:rsidRPr="002C21B8">
        <w:t>explored</w:t>
      </w:r>
      <w:r w:rsidRPr="002C21B8">
        <w:t xml:space="preserve">. </w:t>
      </w:r>
      <w:r w:rsidR="008D1D22" w:rsidRPr="002C21B8">
        <w:t xml:space="preserve">From an implementation science perspective, this reduces </w:t>
      </w:r>
      <w:r w:rsidR="00555E8D" w:rsidRPr="002C21B8">
        <w:t xml:space="preserve">both </w:t>
      </w:r>
      <w:r w:rsidR="008D1D22" w:rsidRPr="002C21B8">
        <w:t xml:space="preserve">practical and cognitive barriers to </w:t>
      </w:r>
      <w:r w:rsidR="00555E8D" w:rsidRPr="002C21B8">
        <w:t>prescribing</w:t>
      </w:r>
      <w:r w:rsidR="008D1D22" w:rsidRPr="002C21B8">
        <w:t xml:space="preserve"> by redistributing workload and embedding structured support for prescribing decisions within the tolvaptan pathway</w:t>
      </w:r>
      <w:r w:rsidR="00D233DD" w:rsidRPr="002C21B8">
        <w:t>. This may be especially relevant when patients are borderline or perceived to need additional support</w:t>
      </w:r>
      <w:r w:rsidR="008D1D22" w:rsidRPr="002C21B8">
        <w:t xml:space="preserve"> </w:t>
      </w:r>
      <w:r w:rsidR="008D1D22" w:rsidRPr="002C21B8">
        <w:fldChar w:fldCharType="begin"/>
      </w:r>
      <w:r w:rsidR="008D1D22" w:rsidRPr="002C21B8">
        <w:instrText xml:space="preserve"> ADDIN EN.CITE &lt;EndNote&gt;&lt;Cite&gt;&lt;Author&gt;Thaler&lt;/Author&gt;&lt;Year&gt;2008&lt;/Year&gt;&lt;RecNum&gt;125457&lt;/RecNum&gt;&lt;DisplayText&gt;(Grol and Wensing, 2004; Thaler and Sunstein, 2008)&lt;/DisplayText&gt;&lt;record&gt;&lt;rec-number&gt;125457&lt;/rec-number&gt;&lt;foreign-keys&gt;&lt;key app="EN" db-id="xpefzwa5hf9dt2ea9fax95x7xvxz90v09dtf" timestamp="1776519921"&gt;125457&lt;/key&gt;&lt;/foreign-keys&gt;&lt;ref-type name="Book"&gt;6&lt;/ref-type&gt;&lt;contributors&gt;&lt;authors&gt;&lt;author&gt;Thaler, Richard H.&lt;/author&gt;&lt;author&gt;Sunstein, Cass R.&lt;/author&gt;&lt;/authors&gt;&lt;/contributors&gt;&lt;titles&gt;&lt;title&gt;Nudge: Improving Decisions about Health, Wealth, and Happiness&lt;/title&gt;&lt;/titles&gt;&lt;pages&gt;312&lt;/pages&gt;&lt;section&gt;1-312&lt;/section&gt;&lt;dates&gt;&lt;year&gt;2008&lt;/year&gt;&lt;/dates&gt;&lt;pub-location&gt;New Haven, CT, USA&lt;/pub-location&gt;&lt;publisher&gt;Yale University Press&lt;/publisher&gt;&lt;isbn&gt;1043-4062&lt;/isbn&gt;&lt;urls&gt;&lt;/urls&gt;&lt;/record&gt;&lt;/Cite&gt;&lt;Cite&gt;&lt;Author&gt;Grol&lt;/Author&gt;&lt;Year&gt;2004&lt;/Year&gt;&lt;RecNum&gt;125458&lt;/RecNum&gt;&lt;record&gt;&lt;rec-number&gt;125458&lt;/rec-number&gt;&lt;foreign-keys&gt;&lt;key app="EN" db-id="xpefzwa5hf9dt2ea9fax95x7xvxz90v09dtf" timestamp="1776520185"&gt;125458&lt;/key&gt;&lt;/foreign-keys&gt;&lt;ref-type name="Journal Article"&gt;17&lt;/ref-type&gt;&lt;contributors&gt;&lt;authors&gt;&lt;author&gt;Grol, Richard&lt;/author&gt;&lt;author&gt;Wensing, Michel&lt;/author&gt;&lt;/authors&gt;&lt;/contributors&gt;&lt;titles&gt;&lt;title&gt;What drives change? Barriers to and incentives for achieving evidence-based practice&lt;/title&gt;&lt;secondary-title&gt;The Medical Journal of Australia&lt;/secondary-title&gt;&lt;/titles&gt;&lt;periodical&gt;&lt;full-title&gt;The medical journal of Australia&lt;/full-title&gt;&lt;/periodical&gt;&lt;pages&gt;S57&lt;/pages&gt;&lt;volume&gt;180&lt;/volume&gt;&lt;number&gt;6&lt;/number&gt;&lt;dates&gt;&lt;year&gt;2004&lt;/year&gt;&lt;/dates&gt;&lt;urls&gt;&lt;/urls&gt;&lt;/record&gt;&lt;/Cite&gt;&lt;/EndNote&gt;</w:instrText>
      </w:r>
      <w:r w:rsidR="008D1D22" w:rsidRPr="002C21B8">
        <w:fldChar w:fldCharType="separate"/>
      </w:r>
      <w:r w:rsidR="008D1D22" w:rsidRPr="002C21B8">
        <w:rPr>
          <w:noProof/>
        </w:rPr>
        <w:t>(Grol and Wensing, 2004; Thaler and Sunstein, 2008)</w:t>
      </w:r>
      <w:r w:rsidR="008D1D22" w:rsidRPr="002C21B8">
        <w:fldChar w:fldCharType="end"/>
      </w:r>
      <w:r w:rsidR="008D1D22" w:rsidRPr="002C21B8">
        <w:t>.</w:t>
      </w:r>
    </w:p>
    <w:p w14:paraId="69019A2A" w14:textId="3764418A" w:rsidR="00BC73ED" w:rsidRPr="002C21B8" w:rsidRDefault="008D1D22" w:rsidP="004507C8">
      <w:pPr>
        <w:pStyle w:val="Heading3"/>
      </w:pPr>
      <w:r w:rsidRPr="002C21B8">
        <w:t>Differences in operationalisation of eligibility criteria</w:t>
      </w:r>
    </w:p>
    <w:p w14:paraId="5E88FA1D" w14:textId="77777777" w:rsidR="00A87B44" w:rsidRPr="002C21B8" w:rsidRDefault="00A87B44" w:rsidP="00ED2D36">
      <w:pPr>
        <w:pStyle w:val="Heading4"/>
      </w:pPr>
      <w:r w:rsidRPr="002C21B8">
        <w:t xml:space="preserve">Different eligibility criteria used </w:t>
      </w:r>
    </w:p>
    <w:p w14:paraId="77D4C388" w14:textId="2F803404" w:rsidR="009A54F5" w:rsidRPr="002C21B8" w:rsidRDefault="003D108D" w:rsidP="003D108D">
      <w:r w:rsidRPr="002C21B8">
        <w:t>The overview of systematic reviews in this thesis demonstrated that guidelines which outline recommendations and eligibility criteria</w:t>
      </w:r>
      <w:r w:rsidR="00553D2F" w:rsidRPr="002C21B8">
        <w:t xml:space="preserve"> </w:t>
      </w:r>
      <w:r w:rsidR="00E863FE" w:rsidRPr="002C21B8">
        <w:t xml:space="preserve">can </w:t>
      </w:r>
      <w:r w:rsidRPr="002C21B8">
        <w:t>influenc</w:t>
      </w:r>
      <w:r w:rsidR="00553D2F" w:rsidRPr="002C21B8">
        <w:t>e</w:t>
      </w:r>
      <w:r w:rsidRPr="002C21B8">
        <w:t xml:space="preserve"> prescribing decision-making for chronic conditions. An earlier systematic review by </w:t>
      </w:r>
      <w:r w:rsidRPr="002C21B8">
        <w:fldChar w:fldCharType="begin">
          <w:fldData xml:space="preserve">PEVuZE5vdGU+PENpdGUgQXV0aG9yWWVhcj0iMSI+PEF1dGhvcj5HaXR0dXM8L0F1dGhvcj48WWVh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</w:fldData>
        </w:fldChar>
      </w:r>
      <w:r w:rsidRPr="002C21B8">
        <w:instrText xml:space="preserve"> ADDIN EN.CITE </w:instrText>
      </w:r>
      <w:r w:rsidRPr="002C21B8">
        <w:fldChar w:fldCharType="begin">
          <w:fldData xml:space="preserve">PEVuZE5vdGU+PENpdGUgQXV0aG9yWWVhcj0iMSI+PEF1dGhvcj5HaXR0dXM8L0F1dGhvcj48WWVh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</w:fldData>
        </w:fldChar>
      </w:r>
      <w:r w:rsidRPr="002C21B8">
        <w:instrText xml:space="preserve"> ADDIN EN.CITE.DATA </w:instrText>
      </w:r>
      <w:r w:rsidRPr="002C21B8">
        <w:fldChar w:fldCharType="end"/>
      </w:r>
      <w:r w:rsidRPr="002C21B8">
        <w:fldChar w:fldCharType="separate"/>
      </w:r>
      <w:r w:rsidRPr="002C21B8">
        <w:rPr>
          <w:noProof/>
        </w:rPr>
        <w:t>Gittus</w:t>
      </w:r>
      <w:r w:rsidRPr="002C21B8">
        <w:rPr>
          <w:i/>
          <w:noProof/>
        </w:rPr>
        <w:t xml:space="preserve"> et al.</w:t>
      </w:r>
      <w:r w:rsidRPr="002C21B8">
        <w:rPr>
          <w:noProof/>
        </w:rPr>
        <w:t xml:space="preserve"> (2023a)</w:t>
      </w:r>
      <w:r w:rsidRPr="002C21B8">
        <w:fldChar w:fldCharType="end"/>
      </w:r>
      <w:r w:rsidRPr="002C21B8">
        <w:t xml:space="preserve"> identified that one of the barriers to the implementation of guidelines in the context of rare disease was a lack of awareness of the recommendations. However, the </w:t>
      </w:r>
      <w:r w:rsidR="00553D2F" w:rsidRPr="002C21B8">
        <w:t xml:space="preserve">practice </w:t>
      </w:r>
      <w:r w:rsidRPr="002C21B8">
        <w:t xml:space="preserve">survey </w:t>
      </w:r>
      <w:r w:rsidR="00D00270" w:rsidRPr="002C21B8">
        <w:t xml:space="preserve">demonstrated that </w:t>
      </w:r>
      <w:r w:rsidR="00BC73ED" w:rsidRPr="002C21B8">
        <w:t>the</w:t>
      </w:r>
      <w:r w:rsidR="00E863FE" w:rsidRPr="002C21B8">
        <w:t xml:space="preserve"> lead clinicians at the</w:t>
      </w:r>
      <w:r w:rsidR="00BC73ED" w:rsidRPr="002C21B8">
        <w:t xml:space="preserve"> </w:t>
      </w:r>
      <w:r w:rsidR="00D00270" w:rsidRPr="002C21B8">
        <w:t xml:space="preserve">majority of kidney centres (77%) were aware of and used the UKKA guidelines to support </w:t>
      </w:r>
      <w:r w:rsidR="00BC73ED" w:rsidRPr="002C21B8">
        <w:t>eligibility assessments</w:t>
      </w:r>
      <w:r w:rsidR="00D00270" w:rsidRPr="002C21B8">
        <w:t xml:space="preserve">. </w:t>
      </w:r>
      <w:r w:rsidR="00E863FE" w:rsidRPr="002C21B8">
        <w:t xml:space="preserve">This suggests </w:t>
      </w:r>
      <w:r w:rsidR="009A54F5" w:rsidRPr="002C21B8">
        <w:t>that</w:t>
      </w:r>
      <w:r w:rsidR="002A124D" w:rsidRPr="002C21B8">
        <w:t xml:space="preserve"> awareness</w:t>
      </w:r>
      <w:r w:rsidR="009A54F5" w:rsidRPr="002C21B8">
        <w:t xml:space="preserve"> may not be the main reason for variation between centres.</w:t>
      </w:r>
    </w:p>
    <w:p w14:paraId="165F9DF4" w14:textId="76B7F99C" w:rsidR="006A7892" w:rsidRPr="002C21B8" w:rsidRDefault="006F3B21" w:rsidP="0029314A">
      <w:r w:rsidRPr="002C21B8">
        <w:t xml:space="preserve">The </w:t>
      </w:r>
      <w:r w:rsidR="00844AC3" w:rsidRPr="002C21B8">
        <w:t xml:space="preserve">recommendations in the RA and UKKA </w:t>
      </w:r>
      <w:r w:rsidRPr="002C21B8">
        <w:t xml:space="preserve">guidelines </w:t>
      </w:r>
      <w:r w:rsidR="00603460" w:rsidRPr="002C21B8">
        <w:t>i</w:t>
      </w:r>
      <w:r w:rsidR="00C74E8D" w:rsidRPr="002C21B8">
        <w:t>denti</w:t>
      </w:r>
      <w:r w:rsidR="00603460" w:rsidRPr="002C21B8">
        <w:t>fy</w:t>
      </w:r>
      <w:r w:rsidRPr="002C21B8">
        <w:t xml:space="preserve"> eGFR slopes, imaging-based measures and risk-stratification tools as potential criteria that can be used to assess </w:t>
      </w:r>
      <w:r w:rsidR="0059508D" w:rsidRPr="002C21B8">
        <w:t xml:space="preserve">patient </w:t>
      </w:r>
      <w:r w:rsidRPr="002C21B8">
        <w:t xml:space="preserve">eligibility for tolvaptan. </w:t>
      </w:r>
      <w:r w:rsidR="00493C11" w:rsidRPr="002C21B8">
        <w:t xml:space="preserve">Both the multiple case study and survey </w:t>
      </w:r>
      <w:r w:rsidRPr="002C21B8">
        <w:t xml:space="preserve">suggest that eligibility decisions </w:t>
      </w:r>
      <w:r w:rsidR="00950DA6" w:rsidRPr="002C21B8">
        <w:t>were</w:t>
      </w:r>
      <w:r w:rsidRPr="002C21B8">
        <w:t xml:space="preserve"> largely based on eGFR slope criteria, </w:t>
      </w:r>
      <w:r w:rsidR="00C74D3A" w:rsidRPr="002C21B8">
        <w:t xml:space="preserve">but there </w:t>
      </w:r>
      <w:r w:rsidR="00950DA6" w:rsidRPr="002C21B8">
        <w:t>was</w:t>
      </w:r>
      <w:r w:rsidR="00C74D3A" w:rsidRPr="002C21B8">
        <w:t xml:space="preserve"> </w:t>
      </w:r>
      <w:r w:rsidR="00C6152E" w:rsidRPr="002C21B8">
        <w:t>varied</w:t>
      </w:r>
      <w:r w:rsidR="00D157F0" w:rsidRPr="002C21B8">
        <w:t xml:space="preserve"> use </w:t>
      </w:r>
      <w:r w:rsidR="0029314A" w:rsidRPr="002C21B8">
        <w:t xml:space="preserve">of the non-eGFR criteria. Use of </w:t>
      </w:r>
      <w:r w:rsidR="00C74D3A" w:rsidRPr="002C21B8">
        <w:t>these</w:t>
      </w:r>
      <w:r w:rsidR="0029314A" w:rsidRPr="002C21B8">
        <w:t xml:space="preserve"> criteria ranged from none to </w:t>
      </w:r>
      <w:r w:rsidR="007C5647" w:rsidRPr="002C21B8">
        <w:t xml:space="preserve">the </w:t>
      </w:r>
      <w:r w:rsidR="00D157F0" w:rsidRPr="002C21B8">
        <w:t>use of all criteria</w:t>
      </w:r>
      <w:r w:rsidR="0029314A" w:rsidRPr="002C21B8">
        <w:t xml:space="preserve"> across centres. This variation may contribute to differences in tolvaptan prescribing between centres.</w:t>
      </w:r>
    </w:p>
    <w:p w14:paraId="4C5E9D03" w14:textId="0EF8E8C9" w:rsidR="001E554A" w:rsidRPr="002C21B8" w:rsidRDefault="00E76E5E" w:rsidP="00A87B44">
      <w:r w:rsidRPr="002C21B8">
        <w:t xml:space="preserve">Different approaches to the use of the eligibility </w:t>
      </w:r>
      <w:r w:rsidR="001E554A" w:rsidRPr="002C21B8">
        <w:t xml:space="preserve">criteria may be explained using </w:t>
      </w:r>
      <w:r w:rsidRPr="002C21B8">
        <w:t>N</w:t>
      </w:r>
      <w:r w:rsidR="001E554A" w:rsidRPr="002C21B8">
        <w:t xml:space="preserve">ormalisation </w:t>
      </w:r>
      <w:r w:rsidRPr="002C21B8">
        <w:t>P</w:t>
      </w:r>
      <w:r w:rsidR="001E554A" w:rsidRPr="002C21B8">
        <w:t xml:space="preserve">rocess </w:t>
      </w:r>
      <w:r w:rsidRPr="002C21B8">
        <w:t>T</w:t>
      </w:r>
      <w:r w:rsidR="001E554A" w:rsidRPr="002C21B8">
        <w:t xml:space="preserve">heory </w:t>
      </w:r>
      <w:r w:rsidR="001E554A" w:rsidRPr="002C21B8">
        <w:fldChar w:fldCharType="begin"/>
      </w:r>
      <w:r w:rsidR="001E554A" w:rsidRPr="002C21B8">
        <w:instrText xml:space="preserve"> ADDIN EN.CITE &lt;EndNote&gt;&lt;Cite&gt;&lt;Author&gt;May&lt;/Author&gt;&lt;Year&gt;2007&lt;/Year&gt;&lt;RecNum&gt;125569&lt;/RecNum&gt;&lt;DisplayText&gt;(May&lt;style face="italic"&gt; et al.&lt;/style&gt;, 2007)&lt;/DisplayText&gt;&lt;record&gt;&lt;rec-number&gt;125569&lt;/rec-number&gt;&lt;foreign-keys&gt;&lt;key app="EN" db-id="xpefzwa5hf9dt2ea9fax95x7xvxz90v09dtf" timestamp="1778137647"&gt;125569&lt;/key&gt;&lt;/foreign-keys&gt;&lt;ref-type name="Journal Article"&gt;17&lt;/ref-type&gt;&lt;contributors&gt;&lt;authors&gt;&lt;author&gt;May, Carl&lt;/author&gt;&lt;author&gt;Finch, Tracy&lt;/author&gt;&lt;author&gt;Mair, Frances&lt;/author&gt;&lt;author&gt;Ballini, Luciana&lt;/author&gt;&lt;author&gt;Dowrick, Christopher&lt;/author&gt;&lt;author&gt;Eccles, Martin&lt;/author&gt;&lt;author&gt;Gask, Linda&lt;/author&gt;&lt;author&gt;MacFarlane, Anne&lt;/author&gt;&lt;author&gt;Murray, Elizabeth&lt;/author&gt;&lt;author&gt;Rapley, Tim&lt;/author&gt;&lt;/authors&gt;&lt;/contributors&gt;&lt;titles&gt;&lt;title&gt;Understanding the implementation of complex interventions in health care: the normalization process model&lt;/title&gt;&lt;secondary-title&gt;BMC Health Services Research&lt;/secondary-title&gt;&lt;/titles&gt;&lt;periodical&gt;&lt;full-title&gt;BMC health services research&lt;/full-title&gt;&lt;/periodical&gt;&lt;pages&gt;148&lt;/pages&gt;&lt;volume&gt;7&lt;/volume&gt;&lt;number&gt;1&lt;/number&gt;&lt;dates&gt;&lt;year&gt;2007&lt;/year&gt;&lt;/dates&gt;&lt;isbn&gt;1472-6963&lt;/isbn&gt;&lt;urls&gt;&lt;/urls&gt;&lt;/record&gt;&lt;/Cite&gt;&lt;/EndNote&gt;</w:instrText>
      </w:r>
      <w:r w:rsidR="001E554A" w:rsidRPr="002C21B8">
        <w:fldChar w:fldCharType="separate"/>
      </w:r>
      <w:r w:rsidR="001E554A" w:rsidRPr="002C21B8">
        <w:rPr>
          <w:noProof/>
        </w:rPr>
        <w:t>(May</w:t>
      </w:r>
      <w:r w:rsidR="001E554A" w:rsidRPr="002C21B8">
        <w:rPr>
          <w:i/>
          <w:noProof/>
        </w:rPr>
        <w:t xml:space="preserve"> et al.</w:t>
      </w:r>
      <w:r w:rsidR="001E554A" w:rsidRPr="002C21B8">
        <w:rPr>
          <w:noProof/>
        </w:rPr>
        <w:t>, 2007)</w:t>
      </w:r>
      <w:r w:rsidR="001E554A" w:rsidRPr="002C21B8">
        <w:fldChar w:fldCharType="end"/>
      </w:r>
      <w:r w:rsidR="002A58C3" w:rsidRPr="002C21B8">
        <w:t xml:space="preserve">. This </w:t>
      </w:r>
      <w:r w:rsidRPr="002C21B8">
        <w:t xml:space="preserve">explains how practices become embedded in routine </w:t>
      </w:r>
      <w:r w:rsidR="00A325BA" w:rsidRPr="002C21B8">
        <w:t>clinical</w:t>
      </w:r>
      <w:r w:rsidRPr="002C21B8">
        <w:t xml:space="preserve"> practice.</w:t>
      </w:r>
      <w:r w:rsidR="00CC0156" w:rsidRPr="002C21B8">
        <w:t xml:space="preserve"> In kidney centres, </w:t>
      </w:r>
      <w:r w:rsidR="001E554A" w:rsidRPr="002C21B8">
        <w:t xml:space="preserve">eGFR </w:t>
      </w:r>
      <w:r w:rsidR="00CC0156" w:rsidRPr="002C21B8">
        <w:t>measurements form</w:t>
      </w:r>
      <w:r w:rsidR="001E554A" w:rsidRPr="002C21B8">
        <w:t xml:space="preserve"> part of standard monitoring</w:t>
      </w:r>
      <w:r w:rsidR="00EE5022" w:rsidRPr="002C21B8">
        <w:t>, are routinely collected</w:t>
      </w:r>
      <w:r w:rsidR="001E554A" w:rsidRPr="002C21B8">
        <w:t xml:space="preserve"> and </w:t>
      </w:r>
      <w:r w:rsidR="00CC0156" w:rsidRPr="002C21B8">
        <w:t>are</w:t>
      </w:r>
      <w:r w:rsidR="00C621A7" w:rsidRPr="002C21B8">
        <w:t xml:space="preserve"> readily</w:t>
      </w:r>
      <w:r w:rsidR="001E554A" w:rsidRPr="002C21B8">
        <w:t xml:space="preserve"> available</w:t>
      </w:r>
      <w:r w:rsidR="00881091" w:rsidRPr="002C21B8">
        <w:t xml:space="preserve"> within </w:t>
      </w:r>
      <w:r w:rsidR="00EE5022" w:rsidRPr="002C21B8">
        <w:t>hospitals</w:t>
      </w:r>
      <w:r w:rsidR="001E554A" w:rsidRPr="002C21B8">
        <w:t xml:space="preserve">. This repeated exposure within </w:t>
      </w:r>
      <w:r w:rsidR="00CC0156" w:rsidRPr="002C21B8">
        <w:t>everyday</w:t>
      </w:r>
      <w:r w:rsidR="001E554A" w:rsidRPr="002C21B8">
        <w:t xml:space="preserve"> practice </w:t>
      </w:r>
      <w:r w:rsidR="00CC0156" w:rsidRPr="002C21B8">
        <w:t xml:space="preserve">may contribute to clinicians’ familiarity with eGFR </w:t>
      </w:r>
      <w:r w:rsidR="00E0661C" w:rsidRPr="002C21B8">
        <w:t>slope</w:t>
      </w:r>
      <w:r w:rsidR="00CC0156" w:rsidRPr="002C21B8">
        <w:t xml:space="preserve"> assessment, which may explain its </w:t>
      </w:r>
      <w:r w:rsidR="00E0661C" w:rsidRPr="002C21B8">
        <w:t>widespread</w:t>
      </w:r>
      <w:r w:rsidR="00CC0156" w:rsidRPr="002C21B8">
        <w:t xml:space="preserve"> use </w:t>
      </w:r>
      <w:r w:rsidR="00E0661C" w:rsidRPr="002C21B8">
        <w:t>in</w:t>
      </w:r>
      <w:r w:rsidR="00CC0156" w:rsidRPr="002C21B8">
        <w:t xml:space="preserve"> </w:t>
      </w:r>
      <w:r w:rsidR="00E0661C" w:rsidRPr="002C21B8">
        <w:t>eligibility</w:t>
      </w:r>
      <w:r w:rsidR="00CC0156" w:rsidRPr="002C21B8">
        <w:t xml:space="preserve"> a</w:t>
      </w:r>
      <w:r w:rsidR="00E0661C" w:rsidRPr="002C21B8">
        <w:t>ssessments</w:t>
      </w:r>
      <w:r w:rsidR="00CC0156" w:rsidRPr="002C21B8">
        <w:t xml:space="preserve">. </w:t>
      </w:r>
      <w:r w:rsidR="00E0661C" w:rsidRPr="002C21B8">
        <w:t xml:space="preserve">In contrast, </w:t>
      </w:r>
      <w:r w:rsidR="00881091" w:rsidRPr="002C21B8">
        <w:t xml:space="preserve">the non-eGFR criteria </w:t>
      </w:r>
      <w:r w:rsidR="002A58C3" w:rsidRPr="002C21B8">
        <w:t>require</w:t>
      </w:r>
      <w:r w:rsidR="00881091" w:rsidRPr="002C21B8">
        <w:t xml:space="preserve"> </w:t>
      </w:r>
      <w:r w:rsidR="007E6DEE" w:rsidRPr="002C21B8">
        <w:t xml:space="preserve">clinicians to actively decide to undertake an </w:t>
      </w:r>
      <w:r w:rsidR="00881091" w:rsidRPr="002C21B8">
        <w:t>additional</w:t>
      </w:r>
      <w:r w:rsidR="002A58C3" w:rsidRPr="002C21B8">
        <w:t xml:space="preserve"> investigation</w:t>
      </w:r>
      <w:r w:rsidR="007E6DEE" w:rsidRPr="002C21B8">
        <w:t>, follow-up and interpret the results</w:t>
      </w:r>
      <w:r w:rsidR="001E554A" w:rsidRPr="002C21B8">
        <w:t>.</w:t>
      </w:r>
    </w:p>
    <w:p w14:paraId="7A400AD9" w14:textId="2EF1D72A" w:rsidR="001E554A" w:rsidRPr="002C21B8" w:rsidRDefault="001E554A" w:rsidP="00A87B44">
      <w:r w:rsidRPr="002C21B8">
        <w:t>Although relatively few medic</w:t>
      </w:r>
      <w:r w:rsidR="0021474F" w:rsidRPr="002C21B8">
        <w:t>ation</w:t>
      </w:r>
      <w:r w:rsidRPr="002C21B8">
        <w:t>s appear to provide multiple alternative criteria for determining eligibility</w:t>
      </w:r>
      <w:r w:rsidR="007C5647" w:rsidRPr="002C21B8">
        <w:t>.</w:t>
      </w:r>
      <w:r w:rsidRPr="002C21B8">
        <w:t xml:space="preserve"> </w:t>
      </w:r>
      <w:r w:rsidR="007C5647" w:rsidRPr="002C21B8">
        <w:t>Studies in</w:t>
      </w:r>
      <w:r w:rsidRPr="002C21B8">
        <w:t xml:space="preserve"> oncology </w:t>
      </w:r>
      <w:r w:rsidR="007C5647" w:rsidRPr="002C21B8">
        <w:t>indicate that when guidelines define eligibility based on multiple biomarkers and clinical information, their usage is often different in real-world practice. Prescribing becomes anchored to a dominant route</w:t>
      </w:r>
      <w:r w:rsidR="00F1012D" w:rsidRPr="002C21B8">
        <w:t xml:space="preserve">, </w:t>
      </w:r>
      <w:r w:rsidR="007C5647" w:rsidRPr="002C21B8">
        <w:t xml:space="preserve">which is usually the most routinely tested </w:t>
      </w:r>
      <w:r w:rsidRPr="002C21B8">
        <w:t xml:space="preserve">or readily available </w:t>
      </w:r>
      <w:r w:rsidR="00495F75" w:rsidRPr="002C21B8">
        <w:t xml:space="preserve">criterion </w:t>
      </w:r>
      <w:r w:rsidRPr="002C21B8">
        <w:fldChar w:fldCharType="begin"/>
      </w:r>
      <w:r w:rsidRPr="002C21B8">
        <w:instrText xml:space="preserve"> ADDIN EN.CITE &lt;EndNote&gt;&lt;Cite&gt;&lt;Author&gt;Nadler&lt;/Author&gt;&lt;Year&gt;2022&lt;/Year&gt;&lt;RecNum&gt;125563&lt;/RecNum&gt;&lt;DisplayText&gt;(Baron&lt;style face="italic"&gt; et al.&lt;/style&gt;, 2024; Nadler&lt;style face="italic"&gt; et al.&lt;/style&gt;, 2022)&lt;/DisplayText&gt;&lt;record&gt;&lt;rec-number&gt;125563&lt;/rec-number&gt;&lt;foreign-keys&gt;&lt;key app="EN" db-id="xpefzwa5hf9dt2ea9fax95x7xvxz90v09dtf" timestamp="1778082376"&gt;125563&lt;/key&gt;&lt;/foreign-keys&gt;&lt;ref-type name="Journal Article"&gt;17&lt;/ref-type&gt;&lt;contributors&gt;&lt;authors&gt;&lt;author&gt;Nadler, Eric&lt;/author&gt;&lt;author&gt;Vasudevan, Anupama&lt;/author&gt;&lt;author&gt;Wang, Yunfei&lt;/author&gt;&lt;author&gt;Ogale, Sarika&lt;/author&gt;&lt;/authors&gt;&lt;/contributors&gt;&lt;titles&gt;&lt;title&gt;Real-world patterns of biomarker testing and targeted therapy in de novo metastatic non-small cell lung cancer patients in the US oncology network&lt;/title&gt;&lt;secondary-title&gt;Cancer Treatment and Research Communications&lt;/secondary-title&gt;&lt;/titles&gt;&lt;periodical&gt;&lt;full-title&gt;Cancer treatment and research communications&lt;/full-title&gt;&lt;/periodical&gt;&lt;pages&gt;100522&lt;/pages&gt;&lt;volume&gt;31&lt;/volume&gt;&lt;dates&gt;&lt;year&gt;2022&lt;/year&gt;&lt;/dates&gt;&lt;isbn&gt;2468-2942&lt;/isbn&gt;&lt;urls&gt;&lt;/urls&gt;&lt;/record&gt;&lt;/Cite&gt;&lt;Cite&gt;&lt;Author&gt;Baron&lt;/Author&gt;&lt;Year&gt;2024&lt;/Year&gt;&lt;RecNum&gt;125564&lt;/RecNum&gt;&lt;record&gt;&lt;rec-number&gt;125564&lt;/rec-number&gt;&lt;foreign-keys&gt;&lt;key app="EN" db-id="xpefzwa5hf9dt2ea9fax95x7xvxz90v09dtf" timestamp="1778082423"&gt;125564&lt;/key&gt;&lt;/foreign-keys&gt;&lt;ref-type name="Journal Article"&gt;17&lt;/ref-type&gt;&lt;contributors&gt;&lt;authors&gt;&lt;author&gt;Baron, Jason M&lt;/author&gt;&lt;author&gt;Widatalla, Sarrah&lt;/author&gt;&lt;author&gt;Gubens, Matthew A&lt;/author&gt;&lt;author&gt;Khalil, Farah&lt;/author&gt;&lt;/authors&gt;&lt;/contributors&gt;&lt;titles&gt;&lt;title&gt;Real-world biomarker test ordering practices in non–small cell lung cancer: interphysician variation and association with clinical outcomes&lt;/title&gt;&lt;secondary-title&gt;JCO Precision Oncology&lt;/secondary-title&gt;&lt;/titles&gt;&lt;periodical&gt;&lt;full-title&gt;JCO Precision Oncology&lt;/full-title&gt;&lt;/periodical&gt;&lt;pages&gt;e2400039&lt;/pages&gt;&lt;volume&gt;8&lt;/volume&gt;&lt;dates&gt;&lt;year&gt;2024&lt;/year&gt;&lt;/dates&gt;&lt;isbn&gt;2473-4284&lt;/isbn&gt;&lt;urls&gt;&lt;/urls&gt;&lt;/record&gt;&lt;/Cite&gt;&lt;/EndNote&gt;</w:instrText>
      </w:r>
      <w:r w:rsidRPr="002C21B8">
        <w:fldChar w:fldCharType="separate"/>
      </w:r>
      <w:r w:rsidRPr="002C21B8">
        <w:rPr>
          <w:noProof/>
        </w:rPr>
        <w:t>(Baron</w:t>
      </w:r>
      <w:r w:rsidRPr="002C21B8">
        <w:rPr>
          <w:i/>
          <w:noProof/>
        </w:rPr>
        <w:t xml:space="preserve"> et al.</w:t>
      </w:r>
      <w:r w:rsidRPr="002C21B8">
        <w:rPr>
          <w:noProof/>
        </w:rPr>
        <w:t>, 2024; Nadler</w:t>
      </w:r>
      <w:r w:rsidRPr="002C21B8">
        <w:rPr>
          <w:i/>
          <w:noProof/>
        </w:rPr>
        <w:t xml:space="preserve"> et al.</w:t>
      </w:r>
      <w:r w:rsidRPr="002C21B8">
        <w:rPr>
          <w:noProof/>
        </w:rPr>
        <w:t>, 2022)</w:t>
      </w:r>
      <w:r w:rsidRPr="002C21B8">
        <w:fldChar w:fldCharType="end"/>
      </w:r>
      <w:r w:rsidRPr="002C21B8">
        <w:t>.</w:t>
      </w:r>
    </w:p>
    <w:p w14:paraId="4A78752C" w14:textId="581F4772" w:rsidR="00A87B44" w:rsidRPr="002C21B8" w:rsidRDefault="00A87B44" w:rsidP="00ED2D36">
      <w:pPr>
        <w:pStyle w:val="Heading4"/>
      </w:pPr>
      <w:r w:rsidRPr="002C21B8">
        <w:t xml:space="preserve">Independent </w:t>
      </w:r>
      <w:r w:rsidR="001D1349" w:rsidRPr="002C21B8">
        <w:t xml:space="preserve">versus dependent </w:t>
      </w:r>
      <w:r w:rsidRPr="002C21B8">
        <w:t>use of eligibility criteria</w:t>
      </w:r>
    </w:p>
    <w:p w14:paraId="657284C1" w14:textId="098805D4" w:rsidR="0043135A" w:rsidRPr="002C21B8" w:rsidRDefault="001F489F" w:rsidP="00AD244C">
      <w:r w:rsidRPr="002C21B8">
        <w:t xml:space="preserve">As discussed in the previous section, </w:t>
      </w:r>
      <w:r w:rsidR="00E64C81" w:rsidRPr="002C21B8">
        <w:t xml:space="preserve">the </w:t>
      </w:r>
      <w:r w:rsidR="002E4C83" w:rsidRPr="002C21B8">
        <w:t>recommendations</w:t>
      </w:r>
      <w:r w:rsidR="007E395B" w:rsidRPr="002C21B8">
        <w:t xml:space="preserve"> from </w:t>
      </w:r>
      <w:r w:rsidRPr="002C21B8">
        <w:t xml:space="preserve">the </w:t>
      </w:r>
      <w:r w:rsidR="00DA7199" w:rsidRPr="002C21B8">
        <w:t>RA</w:t>
      </w:r>
      <w:r w:rsidRPr="002C21B8">
        <w:t xml:space="preserve"> </w:t>
      </w:r>
      <w:r w:rsidR="007E395B" w:rsidRPr="002C21B8">
        <w:t xml:space="preserve">and </w:t>
      </w:r>
      <w:r w:rsidR="00DA7199" w:rsidRPr="002C21B8">
        <w:t>UKKA</w:t>
      </w:r>
      <w:r w:rsidR="007E395B" w:rsidRPr="002C21B8">
        <w:t xml:space="preserve"> </w:t>
      </w:r>
      <w:r w:rsidRPr="002C21B8">
        <w:t xml:space="preserve">guidelines present eGFR and non-eGFR criteria as </w:t>
      </w:r>
      <w:r w:rsidR="002E4C83" w:rsidRPr="002C21B8">
        <w:t xml:space="preserve">eligibility </w:t>
      </w:r>
      <w:r w:rsidR="00742176" w:rsidRPr="002C21B8">
        <w:t>criteria</w:t>
      </w:r>
      <w:r w:rsidR="0043135A" w:rsidRPr="002C21B8">
        <w:t xml:space="preserve"> that can be used independently</w:t>
      </w:r>
      <w:r w:rsidRPr="002C21B8">
        <w:t xml:space="preserve">. </w:t>
      </w:r>
      <w:r w:rsidR="00742176" w:rsidRPr="002C21B8">
        <w:t xml:space="preserve">The findings </w:t>
      </w:r>
      <w:r w:rsidR="00D22FB6" w:rsidRPr="002C21B8">
        <w:t xml:space="preserve">of this research suggest </w:t>
      </w:r>
      <w:r w:rsidR="0043135A" w:rsidRPr="002C21B8">
        <w:t xml:space="preserve">variation between centres in whether they are used independently. </w:t>
      </w:r>
      <w:r w:rsidR="00E372AF" w:rsidRPr="002C21B8">
        <w:t xml:space="preserve">The survey demonstrated that the majority of centres use the non-eGFR only as supporting evidence </w:t>
      </w:r>
      <w:r w:rsidR="007C2D06" w:rsidRPr="002C21B8">
        <w:t>in patients who already meet</w:t>
      </w:r>
      <w:r w:rsidR="00E372AF" w:rsidRPr="002C21B8">
        <w:t xml:space="preserve"> the eGFR slope criteria, whereas a small proportion of centres </w:t>
      </w:r>
      <w:r w:rsidR="007C2D06" w:rsidRPr="002C21B8">
        <w:t>apply them as independent</w:t>
      </w:r>
      <w:r w:rsidR="00E372AF" w:rsidRPr="002C21B8">
        <w:t xml:space="preserve"> criteria </w:t>
      </w:r>
      <w:r w:rsidR="007C2D06" w:rsidRPr="002C21B8">
        <w:t xml:space="preserve">to initiate </w:t>
      </w:r>
      <w:r w:rsidR="00CD7AFE" w:rsidRPr="002C21B8">
        <w:t xml:space="preserve">tolvaptan </w:t>
      </w:r>
      <w:r w:rsidR="00E372AF" w:rsidRPr="002C21B8">
        <w:t>when patients do not meet the eGFR slope criteria.</w:t>
      </w:r>
    </w:p>
    <w:p w14:paraId="691BEE0A" w14:textId="57474F1D" w:rsidR="00213EFF" w:rsidRPr="002C21B8" w:rsidRDefault="00046A73" w:rsidP="00046A73">
      <w:r w:rsidRPr="002C21B8">
        <w:t>The v</w:t>
      </w:r>
      <w:r w:rsidR="00112D35" w:rsidRPr="002C21B8">
        <w:t xml:space="preserve">ariation in whether non-eGFR criteria were used independently or dependently may reflect </w:t>
      </w:r>
      <w:r w:rsidRPr="002C21B8">
        <w:t>broader processes described in implementation research. In this context, clinicians do not apply guideline criteria as fixed algorithms but instead translate them into locally constructed decision strategies</w:t>
      </w:r>
      <w:r w:rsidR="00495946" w:rsidRPr="002C21B8">
        <w:t>,</w:t>
      </w:r>
      <w:r w:rsidRPr="002C21B8">
        <w:t xml:space="preserve"> especially if there are multiple criteria without a clear hierarchy. This can be shaped by their experience, peer interaction, perception of the medic</w:t>
      </w:r>
      <w:r w:rsidR="00F35710" w:rsidRPr="002C21B8">
        <w:t>ation</w:t>
      </w:r>
      <w:r w:rsidR="00495946" w:rsidRPr="002C21B8">
        <w:t>,</w:t>
      </w:r>
      <w:r w:rsidRPr="002C21B8">
        <w:t xml:space="preserve"> and </w:t>
      </w:r>
      <w:r w:rsidR="004A140F" w:rsidRPr="002C21B8">
        <w:t>organisational</w:t>
      </w:r>
      <w:r w:rsidRPr="002C21B8">
        <w:t xml:space="preserve"> factors </w:t>
      </w:r>
      <w:r w:rsidRPr="002C21B8">
        <w:fldChar w:fldCharType="begin"/>
      </w:r>
      <w:r w:rsidRPr="002C21B8">
        <w:instrText xml:space="preserve"> ADDIN EN.CITE &lt;EndNote&gt;&lt;Cite&gt;&lt;Author&gt;Gabbay&lt;/Author&gt;&lt;Year&gt;2004&lt;/Year&gt;&lt;RecNum&gt;125236&lt;/RecNum&gt;&lt;DisplayText&gt;(Gabbay and Le May, 2004)&lt;/DisplayText&gt;&lt;record&gt;&lt;rec-number&gt;125236&lt;/rec-number&gt;&lt;foreign-keys&gt;&lt;key app="EN" db-id="xpefzwa5hf9dt2ea9fax95x7xvxz90v09dtf" timestamp="1772644096"&gt;125236&lt;/key&gt;&lt;/foreign-keys&gt;&lt;ref-type name="Journal Article"&gt;17&lt;/ref-type&gt;&lt;contributors&gt;&lt;authors&gt;&lt;author&gt;Gabbay, John&lt;/author&gt;&lt;author&gt;Le May, Andree&lt;/author&gt;&lt;/authors&gt;&lt;/contributors&gt;&lt;titles&gt;&lt;title&gt;Evidence based guidelines or collectively constructed “mindlines?” Ethnographic study of knowledge management in primary care&lt;/title&gt;&lt;secondary-title&gt;BMJ&lt;/secondary-title&gt;&lt;/titles&gt;&lt;periodical&gt;&lt;full-title&gt;BMJ&lt;/full-title&gt;&lt;/periodical&gt;&lt;pages&gt;1013&lt;/pages&gt;&lt;volume&gt;329&lt;/volume&gt;&lt;number&gt;7473&lt;/number&gt;&lt;dates&gt;&lt;year&gt;2004&lt;/year&gt;&lt;/dates&gt;&lt;isbn&gt;0959-8138&lt;/isbn&gt;&lt;urls&gt;&lt;/urls&gt;&lt;/record&gt;&lt;/Cite&gt;&lt;/EndNote&gt;</w:instrText>
      </w:r>
      <w:r w:rsidRPr="002C21B8">
        <w:fldChar w:fldCharType="separate"/>
      </w:r>
      <w:r w:rsidRPr="002C21B8">
        <w:rPr>
          <w:noProof/>
        </w:rPr>
        <w:t>(Gabbay and Le May, 2004)</w:t>
      </w:r>
      <w:r w:rsidRPr="002C21B8">
        <w:fldChar w:fldCharType="end"/>
      </w:r>
      <w:r w:rsidRPr="002C21B8">
        <w:t>.</w:t>
      </w:r>
      <w:r w:rsidR="004A140F" w:rsidRPr="002C21B8">
        <w:t xml:space="preserve"> </w:t>
      </w:r>
      <w:r w:rsidR="00EE043E" w:rsidRPr="002C21B8">
        <w:t xml:space="preserve">Other studies have suggested that ambiguity or vagueness in clinical guidelines can </w:t>
      </w:r>
      <w:r w:rsidR="0036065B" w:rsidRPr="002C21B8">
        <w:t>m</w:t>
      </w:r>
      <w:r w:rsidR="00ED6F12" w:rsidRPr="002C21B8">
        <w:t>ake</w:t>
      </w:r>
      <w:r w:rsidR="0036065B" w:rsidRPr="002C21B8">
        <w:t xml:space="preserve"> recommendations open to individual judgement</w:t>
      </w:r>
      <w:r w:rsidR="00ED6F12" w:rsidRPr="002C21B8">
        <w:t>,</w:t>
      </w:r>
      <w:r w:rsidR="0036065B" w:rsidRPr="002C21B8">
        <w:t xml:space="preserve"> which</w:t>
      </w:r>
      <w:r w:rsidR="00ED6F12" w:rsidRPr="002C21B8">
        <w:t xml:space="preserve"> can</w:t>
      </w:r>
      <w:r w:rsidR="0036065B" w:rsidRPr="002C21B8">
        <w:t xml:space="preserve"> </w:t>
      </w:r>
      <w:r w:rsidR="00EE043E" w:rsidRPr="002C21B8">
        <w:t>reduce adherence</w:t>
      </w:r>
      <w:r w:rsidR="00ED6F12" w:rsidRPr="002C21B8">
        <w:t xml:space="preserve"> and lead to variation in practice</w:t>
      </w:r>
      <w:r w:rsidR="00EE043E" w:rsidRPr="002C21B8">
        <w:t xml:space="preserve"> </w:t>
      </w:r>
      <w:r w:rsidR="004F55AD" w:rsidRPr="002C21B8">
        <w:fldChar w:fldCharType="begin">
          <w:fldData xml:space="preserve">PEVuZE5vdGU+PENpdGU+PEF1dGhvcj5Db2Rpc2g8L0F1dGhvcj48WWVhcj4yMDA1PC9ZZWFyPjxS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</w:fldData>
        </w:fldChar>
      </w:r>
      <w:r w:rsidR="00F93DB4" w:rsidRPr="002C21B8">
        <w:instrText xml:space="preserve"> ADDIN EN.CITE </w:instrText>
      </w:r>
      <w:r w:rsidR="00F93DB4" w:rsidRPr="002C21B8">
        <w:fldChar w:fldCharType="begin">
          <w:fldData xml:space="preserve">PEVuZE5vdGU+PENpdGU+PEF1dGhvcj5Db2Rpc2g8L0F1dGhvcj48WWVhcj4yMDA1PC9ZZWFyPjxS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</w:fldData>
        </w:fldChar>
      </w:r>
      <w:r w:rsidR="00F93DB4" w:rsidRPr="002C21B8">
        <w:instrText xml:space="preserve"> ADDIN EN.CITE.DATA </w:instrText>
      </w:r>
      <w:r w:rsidR="00F93DB4" w:rsidRPr="002C21B8">
        <w:fldChar w:fldCharType="end"/>
      </w:r>
      <w:r w:rsidR="004F55AD" w:rsidRPr="002C21B8">
        <w:fldChar w:fldCharType="separate"/>
      </w:r>
      <w:r w:rsidR="00F93DB4" w:rsidRPr="002C21B8">
        <w:rPr>
          <w:noProof/>
        </w:rPr>
        <w:t>(Codish and Shiffman, 2005; Francke</w:t>
      </w:r>
      <w:r w:rsidR="00F93DB4" w:rsidRPr="002C21B8">
        <w:rPr>
          <w:i/>
          <w:noProof/>
        </w:rPr>
        <w:t xml:space="preserve"> et al.</w:t>
      </w:r>
      <w:r w:rsidR="00F93DB4" w:rsidRPr="002C21B8">
        <w:rPr>
          <w:noProof/>
        </w:rPr>
        <w:t>, 2008; Gittus</w:t>
      </w:r>
      <w:r w:rsidR="00F93DB4" w:rsidRPr="002C21B8">
        <w:rPr>
          <w:i/>
          <w:noProof/>
        </w:rPr>
        <w:t xml:space="preserve"> et al.</w:t>
      </w:r>
      <w:r w:rsidR="00F93DB4" w:rsidRPr="002C21B8">
        <w:rPr>
          <w:noProof/>
        </w:rPr>
        <w:t>, 2023a)</w:t>
      </w:r>
      <w:r w:rsidR="004F55AD" w:rsidRPr="002C21B8">
        <w:fldChar w:fldCharType="end"/>
      </w:r>
      <w:r w:rsidR="00EE043E" w:rsidRPr="002C21B8">
        <w:t xml:space="preserve">. However, both the </w:t>
      </w:r>
      <w:r w:rsidR="00B634A4" w:rsidRPr="002C21B8">
        <w:t>RA guideline</w:t>
      </w:r>
      <w:r w:rsidR="00EE043E" w:rsidRPr="002C21B8">
        <w:t xml:space="preserve"> and the </w:t>
      </w:r>
      <w:r w:rsidR="00B634A4" w:rsidRPr="002C21B8">
        <w:t>UKKA</w:t>
      </w:r>
      <w:r w:rsidR="00EE043E" w:rsidRPr="002C21B8">
        <w:t xml:space="preserve"> update </w:t>
      </w:r>
      <w:r w:rsidR="00DB306B" w:rsidRPr="002C21B8">
        <w:t xml:space="preserve">clearly indicate that these eligibility criteria can be used independently, so </w:t>
      </w:r>
      <w:r w:rsidR="00213EFF" w:rsidRPr="002C21B8">
        <w:t>does not account for their differential use as independent versus dependent criteria in kidney centres. This is important as in ADPKD the increase in kidney size measured by some of these non-eGFR slope criteria pr</w:t>
      </w:r>
      <w:r w:rsidR="00C44347" w:rsidRPr="002C21B8">
        <w:t>e</w:t>
      </w:r>
      <w:r w:rsidR="00213EFF" w:rsidRPr="002C21B8">
        <w:t>ced</w:t>
      </w:r>
      <w:r w:rsidR="00C44347" w:rsidRPr="002C21B8">
        <w:t>e</w:t>
      </w:r>
      <w:r w:rsidR="00213EFF" w:rsidRPr="002C21B8">
        <w:t xml:space="preserve">s kidney function decline </w:t>
      </w:r>
      <w:r w:rsidR="00213EFF" w:rsidRPr="002C21B8">
        <w:fldChar w:fldCharType="begin"/>
      </w:r>
      <w:r w:rsidR="00213EFF" w:rsidRPr="002C21B8">
        <w:instrText xml:space="preserve"> ADDIN EN.CITE &lt;EndNote&gt;&lt;Cite&gt;&lt;Author&gt;Alan&lt;/Author&gt;&lt;Year&gt;2019&lt;/Year&gt;&lt;RecNum&gt;125598&lt;/RecNum&gt;&lt;DisplayText&gt;(Alan&lt;style face="italic"&gt; et al.&lt;/style&gt;, 2019)&lt;/DisplayText&gt;&lt;record&gt;&lt;rec-number&gt;125598&lt;/rec-number&gt;&lt;foreign-keys&gt;&lt;key app="EN" db-id="xpefzwa5hf9dt2ea9fax95x7xvxz90v09dtf" timestamp="1778768033"&gt;125598&lt;/key&gt;&lt;/foreign-keys&gt;&lt;ref-type name="Journal Article"&gt;17&lt;/ref-type&gt;&lt;contributors&gt;&lt;authors&gt;&lt;author&gt;Alan, SL&lt;/author&gt;&lt;author&gt;Shen, Chengli&lt;/author&gt;&lt;author&gt;Landsittel, Douglas P&lt;/author&gt;&lt;author&gt;Grantham, Jared J&lt;/author&gt;&lt;author&gt;Cook, Larry T&lt;/author&gt;&lt;author&gt;Torres, Vicente E&lt;/author&gt;&lt;author&gt;Chapman, Arlene B&lt;/author&gt;&lt;author&gt;Bae, Kyongtae Ty&lt;/author&gt;&lt;author&gt;Mrug, Michal&lt;/author&gt;&lt;author&gt;Harris, Peter C&lt;/author&gt;&lt;/authors&gt;&lt;/contributors&gt;&lt;titles&gt;&lt;title&gt;Long-term trajectory of kidney function in autosomal-dominant polycystic kidney disease&lt;/title&gt;&lt;secondary-title&gt;Kidney International&lt;/secondary-title&gt;&lt;/titles&gt;&lt;periodical&gt;&lt;full-title&gt;Kidney international&lt;/full-title&gt;&lt;/periodical&gt;&lt;pages&gt;1253-1261&lt;/pages&gt;&lt;volume&gt;95&lt;/volume&gt;&lt;number&gt;5&lt;/number&gt;&lt;dates&gt;&lt;year&gt;2019&lt;/year&gt;&lt;/dates&gt;&lt;isbn&gt;0085-2538&lt;/isbn&gt;&lt;urls&gt;&lt;/urls&gt;&lt;/record&gt;&lt;/Cite&gt;&lt;/EndNote&gt;</w:instrText>
      </w:r>
      <w:r w:rsidR="00213EFF" w:rsidRPr="002C21B8">
        <w:fldChar w:fldCharType="separate"/>
      </w:r>
      <w:r w:rsidR="00213EFF" w:rsidRPr="002C21B8">
        <w:rPr>
          <w:noProof/>
        </w:rPr>
        <w:t>(Alan</w:t>
      </w:r>
      <w:r w:rsidR="00213EFF" w:rsidRPr="002C21B8">
        <w:rPr>
          <w:i/>
          <w:noProof/>
        </w:rPr>
        <w:t xml:space="preserve"> et al.</w:t>
      </w:r>
      <w:r w:rsidR="00213EFF" w:rsidRPr="002C21B8">
        <w:rPr>
          <w:noProof/>
        </w:rPr>
        <w:t>, 2019)</w:t>
      </w:r>
      <w:r w:rsidR="00213EFF" w:rsidRPr="002C21B8">
        <w:fldChar w:fldCharType="end"/>
      </w:r>
      <w:r w:rsidR="00213EFF" w:rsidRPr="002C21B8">
        <w:t xml:space="preserve">, so the independent use of non-eGFR may contribute to variation in </w:t>
      </w:r>
      <w:r w:rsidR="00FA1301" w:rsidRPr="002C21B8">
        <w:t xml:space="preserve">patient access to tolvaptan </w:t>
      </w:r>
      <w:r w:rsidR="00213EFF" w:rsidRPr="002C21B8">
        <w:t>across</w:t>
      </w:r>
      <w:r w:rsidR="00750B5B" w:rsidRPr="002C21B8">
        <w:t xml:space="preserve"> kidney</w:t>
      </w:r>
      <w:r w:rsidR="00213EFF" w:rsidRPr="002C21B8">
        <w:t xml:space="preserve"> centres.</w:t>
      </w:r>
    </w:p>
    <w:p w14:paraId="55D0FFAE" w14:textId="37E6140F" w:rsidR="00CC0156" w:rsidRPr="002C21B8" w:rsidRDefault="0012647C" w:rsidP="00CC0156">
      <w:pPr>
        <w:pStyle w:val="Heading4"/>
      </w:pPr>
      <w:r w:rsidRPr="002C21B8">
        <w:t>Resources needed</w:t>
      </w:r>
      <w:r w:rsidR="00553D2F" w:rsidRPr="002C21B8">
        <w:t xml:space="preserve"> to support eligibility assessment</w:t>
      </w:r>
    </w:p>
    <w:p w14:paraId="146CB9FD" w14:textId="387729B5" w:rsidR="00A05412" w:rsidRPr="002C21B8" w:rsidRDefault="00092CFF" w:rsidP="00553D2F">
      <w:r w:rsidRPr="002C21B8">
        <w:t xml:space="preserve">Resources and specialist expertise appeared to </w:t>
      </w:r>
      <w:r w:rsidR="008B1782" w:rsidRPr="002C21B8">
        <w:t>influence</w:t>
      </w:r>
      <w:r w:rsidRPr="002C21B8">
        <w:t xml:space="preserve"> which </w:t>
      </w:r>
      <w:r w:rsidR="007E50A8" w:rsidRPr="002C21B8">
        <w:t>eligibility</w:t>
      </w:r>
      <w:r w:rsidR="001E554A" w:rsidRPr="002C21B8">
        <w:t xml:space="preserve"> criteria </w:t>
      </w:r>
      <w:r w:rsidR="00C44347" w:rsidRPr="002C21B8">
        <w:t xml:space="preserve">are used </w:t>
      </w:r>
      <w:r w:rsidRPr="002C21B8">
        <w:t xml:space="preserve">in kidney centres. </w:t>
      </w:r>
      <w:r w:rsidR="00553D2F" w:rsidRPr="002C21B8">
        <w:t xml:space="preserve">The survey and multiple case study </w:t>
      </w:r>
      <w:r w:rsidRPr="002C21B8">
        <w:t>showed</w:t>
      </w:r>
      <w:r w:rsidR="00553D2F" w:rsidRPr="002C21B8">
        <w:t xml:space="preserve"> </w:t>
      </w:r>
      <w:r w:rsidRPr="002C21B8">
        <w:t>that there may</w:t>
      </w:r>
      <w:r w:rsidR="007E50A8" w:rsidRPr="002C21B8">
        <w:t xml:space="preserve"> </w:t>
      </w:r>
      <w:r w:rsidR="008B1782" w:rsidRPr="002C21B8">
        <w:t xml:space="preserve">be </w:t>
      </w:r>
      <w:r w:rsidR="007E50A8" w:rsidRPr="002C21B8">
        <w:t xml:space="preserve">differences </w:t>
      </w:r>
      <w:r w:rsidRPr="002C21B8">
        <w:t>in access to</w:t>
      </w:r>
      <w:r w:rsidR="007E50A8" w:rsidRPr="002C21B8">
        <w:t xml:space="preserve"> </w:t>
      </w:r>
      <w:r w:rsidR="00553D2F" w:rsidRPr="002C21B8">
        <w:t xml:space="preserve">MRI and genomic testing between kidney centres. These observations are supported by </w:t>
      </w:r>
      <w:r w:rsidR="00A05412" w:rsidRPr="002C21B8">
        <w:t>the wider literature as there is</w:t>
      </w:r>
      <w:r w:rsidR="00553D2F" w:rsidRPr="002C21B8">
        <w:t xml:space="preserve"> significant variation in access to genomic testing</w:t>
      </w:r>
      <w:r w:rsidR="007F7E93" w:rsidRPr="002C21B8">
        <w:t xml:space="preserve"> in kidney services</w:t>
      </w:r>
      <w:r w:rsidR="00553D2F" w:rsidRPr="002C21B8">
        <w:t xml:space="preserve"> </w:t>
      </w:r>
      <w:r w:rsidR="00553D2F" w:rsidRPr="002C21B8">
        <w:fldChar w:fldCharType="begin"/>
      </w:r>
      <w:r w:rsidR="00553D2F" w:rsidRPr="002C21B8">
        <w:instrText xml:space="preserve"> ADDIN EN.CITE &lt;EndNote&gt;&lt;Cite&gt;&lt;Author&gt;Doctor&lt;/Author&gt;&lt;Year&gt;2023&lt;/Year&gt;&lt;RecNum&gt;125405&lt;/RecNum&gt;&lt;DisplayText&gt;(Doctor, Gale and Chan, 2023)&lt;/DisplayText&gt;&lt;record&gt;&lt;rec-number&gt;125405&lt;/rec-number&gt;&lt;foreign-keys&gt;&lt;key app="EN" db-id="xpefzwa5hf9dt2ea9fax95x7xvxz90v09dtf" timestamp="1775717392"&gt;125405&lt;/key&gt;&lt;/foreign-keys&gt;&lt;ref-type name="Journal Article"&gt;17&lt;/ref-type&gt;&lt;contributors&gt;&lt;authors&gt;&lt;author&gt;Doctor, Gabriel T&lt;/author&gt;&lt;author&gt;Gale, Daniel P&lt;/author&gt;&lt;author&gt;Chan, Melanie MY&lt;/author&gt;&lt;/authors&gt;&lt;/contributors&gt;&lt;titles&gt;&lt;title&gt;Genomics in the kidney clinic&lt;/title&gt;&lt;secondary-title&gt;Clinical Medicine&lt;/secondary-title&gt;&lt;/titles&gt;&lt;periodical&gt;&lt;full-title&gt;Clinical Medicine&lt;/full-title&gt;&lt;/periodical&gt;&lt;pages&gt;246-249&lt;/pages&gt;&lt;volume&gt;23&lt;/volume&gt;&lt;number&gt;3&lt;/number&gt;&lt;dates&gt;&lt;year&gt;2023&lt;/year&gt;&lt;/dates&gt;&lt;isbn&gt;1470-2118&lt;/isbn&gt;&lt;urls&gt;&lt;/urls&gt;&lt;/record&gt;&lt;/Cite&gt;&lt;/EndNote&gt;</w:instrText>
      </w:r>
      <w:r w:rsidR="00553D2F" w:rsidRPr="002C21B8">
        <w:fldChar w:fldCharType="separate"/>
      </w:r>
      <w:r w:rsidR="00553D2F" w:rsidRPr="002C21B8">
        <w:t>(Doctor, Gale and Chan, 2023)</w:t>
      </w:r>
      <w:r w:rsidR="00553D2F" w:rsidRPr="002C21B8">
        <w:fldChar w:fldCharType="end"/>
      </w:r>
      <w:r w:rsidR="007F7E93" w:rsidRPr="002C21B8">
        <w:t xml:space="preserve"> and </w:t>
      </w:r>
      <w:r w:rsidR="00553D2F" w:rsidRPr="002C21B8">
        <w:t>imaging</w:t>
      </w:r>
      <w:r w:rsidR="007F7E93" w:rsidRPr="002C21B8">
        <w:t xml:space="preserve"> more broadly</w:t>
      </w:r>
      <w:r w:rsidR="00553D2F" w:rsidRPr="002C21B8">
        <w:t xml:space="preserve"> </w:t>
      </w:r>
      <w:r w:rsidR="00553D2F" w:rsidRPr="002C21B8">
        <w:fldChar w:fldCharType="begin"/>
      </w:r>
      <w:r w:rsidR="00553D2F" w:rsidRPr="002C21B8">
        <w:instrText xml:space="preserve"> ADDIN EN.CITE &lt;EndNote&gt;&lt;Cite&gt;&lt;Author&gt;Department of Health and Social Care&lt;/Author&gt;&lt;Year&gt;2017&lt;/Year&gt;&lt;RecNum&gt;125460&lt;/RecNum&gt;&lt;DisplayText&gt;(Department of Health and Social Care, 2017)&lt;/DisplayText&gt;&lt;record&gt;&lt;rec-number&gt;125460&lt;/rec-number&gt;&lt;foreign-keys&gt;&lt;key app="EN" db-id="xpefzwa5hf9dt2ea9fax95x7xvxz90v09dtf" timestamp="1776525617"&gt;125460&lt;/key&gt;&lt;/foreign-keys&gt;&lt;ref-type name="Web Page"&gt;12&lt;/ref-type&gt;&lt;contributors&gt;&lt;authors&gt;&lt;author&gt;Department of Health and Social Care, &lt;/author&gt;&lt;/authors&gt;&lt;/contributors&gt;&lt;titles&gt;&lt;title&gt;The NHS Atlas for Variation in Diagnostic Services&lt;/title&gt;&lt;/titles&gt;&lt;number&gt;18/04/2026)&lt;/number&gt;&lt;dates&gt;&lt;year&gt;2017&lt;/year&gt;&lt;/dates&gt;&lt;urls&gt;&lt;related-urls&gt;&lt;url&gt;https://www.google.com/url?sa=t&amp;amp;source=web&amp;amp;rct=j&amp;amp;opi=89978449&amp;amp;url=https://fingertips.phe.org.uk/documents/DiagnosticAtlas_FINAL.pdf&amp;amp;ved=2ahUKEwjn_cbF2feTAxXmSkEAHTdlJp0QFnoECBwQAQ&amp;amp;usg=AOvVaw1HnQoExgfgq504KGqRssLY&lt;/url&gt;&lt;/related-urls&gt;&lt;/urls&gt;&lt;/record&gt;&lt;/Cite&gt;&lt;/EndNote&gt;</w:instrText>
      </w:r>
      <w:r w:rsidR="00553D2F" w:rsidRPr="002C21B8">
        <w:fldChar w:fldCharType="separate"/>
      </w:r>
      <w:r w:rsidR="00553D2F" w:rsidRPr="002C21B8">
        <w:t>(Department of Health and Social Care, 2017)</w:t>
      </w:r>
      <w:r w:rsidR="00553D2F" w:rsidRPr="002C21B8">
        <w:fldChar w:fldCharType="end"/>
      </w:r>
      <w:r w:rsidR="007F7E93" w:rsidRPr="002C21B8">
        <w:t>.</w:t>
      </w:r>
    </w:p>
    <w:p w14:paraId="4D96B344" w14:textId="25C71808" w:rsidR="00553D2F" w:rsidRPr="002C21B8" w:rsidRDefault="002D3E53" w:rsidP="00553D2F">
      <w:r w:rsidRPr="002C21B8">
        <w:t xml:space="preserve">The </w:t>
      </w:r>
      <w:r w:rsidR="008B1782" w:rsidRPr="002C21B8">
        <w:t>Non-adoption, Abandonment, Scale-up, Spread and Sustainability (NASSS) framework</w:t>
      </w:r>
      <w:r w:rsidRPr="002C21B8">
        <w:t xml:space="preserve"> </w:t>
      </w:r>
      <w:r w:rsidR="00CE238A" w:rsidRPr="002C21B8">
        <w:t xml:space="preserve">highlights how adoption and embedding of complex interventions (including </w:t>
      </w:r>
      <w:r w:rsidR="00455310" w:rsidRPr="002C21B8">
        <w:t xml:space="preserve">new medications or guidelines) </w:t>
      </w:r>
      <w:r w:rsidR="00B342D7" w:rsidRPr="002C21B8">
        <w:t xml:space="preserve">are </w:t>
      </w:r>
      <w:r w:rsidR="008B1782" w:rsidRPr="002C21B8">
        <w:t xml:space="preserve">shaped </w:t>
      </w:r>
      <w:r w:rsidR="00455310" w:rsidRPr="002C21B8">
        <w:t xml:space="preserve">by </w:t>
      </w:r>
      <w:r w:rsidR="00424F33" w:rsidRPr="002C21B8">
        <w:t xml:space="preserve">interactions between technological, organisational and systemic factors </w:t>
      </w:r>
      <w:r w:rsidR="00455310" w:rsidRPr="002C21B8">
        <w:fldChar w:fldCharType="begin"/>
      </w:r>
      <w:r w:rsidR="00455310" w:rsidRPr="002C21B8">
        <w:instrText xml:space="preserve"> ADDIN EN.CITE &lt;EndNote&gt;&lt;Cite&gt;&lt;Author&gt;Greenhalgh&lt;/Author&gt;&lt;Year&gt;2017&lt;/Year&gt;&lt;RecNum&gt;125461&lt;/RecNum&gt;&lt;DisplayText&gt;(Greenhalgh&lt;style face="italic"&gt; et al.&lt;/style&gt;, 2017)&lt;/DisplayText&gt;&lt;record&gt;&lt;rec-number&gt;125461&lt;/rec-number&gt;&lt;foreign-keys&gt;&lt;key app="EN" db-id="xpefzwa5hf9dt2ea9fax95x7xvxz90v09dtf" timestamp="1776525851"&gt;125461&lt;/key&gt;&lt;/foreign-keys&gt;&lt;ref-type name="Journal Article"&gt;17&lt;/ref-type&gt;&lt;contributors&gt;&lt;authors&gt;&lt;author&gt;Greenhalgh, Trisha&lt;/author&gt;&lt;author&gt;Wherton, Joseph&lt;/author&gt;&lt;author&gt;Papoutsi, Chrysanthi&lt;/author&gt;&lt;author&gt;Lynch, Jennifer&lt;/author&gt;&lt;author&gt;Hughes, Gemma&lt;/author&gt;&lt;author&gt;Hinder, Susan&lt;/author&gt;&lt;author&gt;Fahy, Nick&lt;/author&gt;&lt;author&gt;Procter, Rob&lt;/author&gt;&lt;author&gt;Shaw, Sara&lt;/author&gt;&lt;/authors&gt;&lt;/contributors&gt;&lt;titles&gt;&lt;title&gt;Beyond adoption: a new framework for theorizing and evaluating nonadoption, abandonment, and challenges to the scale-up, spread, and sustainability of health and care technologies&lt;/title&gt;&lt;secondary-title&gt;Journal of Medical Internet Research&lt;/secondary-title&gt;&lt;/titles&gt;&lt;periodical&gt;&lt;full-title&gt;Journal of medical Internet research&lt;/full-title&gt;&lt;/periodical&gt;&lt;pages&gt;e8775&lt;/pages&gt;&lt;volume&gt;19&lt;/volume&gt;&lt;number&gt;11&lt;/number&gt;&lt;dates&gt;&lt;year&gt;2017&lt;/year&gt;&lt;/dates&gt;&lt;urls&gt;&lt;/urls&gt;&lt;/record&gt;&lt;/Cite&gt;&lt;/EndNote&gt;</w:instrText>
      </w:r>
      <w:r w:rsidR="00455310" w:rsidRPr="002C21B8">
        <w:fldChar w:fldCharType="separate"/>
      </w:r>
      <w:r w:rsidR="00455310" w:rsidRPr="002C21B8">
        <w:rPr>
          <w:noProof/>
        </w:rPr>
        <w:t>(Greenhalgh</w:t>
      </w:r>
      <w:r w:rsidR="00455310" w:rsidRPr="002C21B8">
        <w:rPr>
          <w:i/>
          <w:noProof/>
        </w:rPr>
        <w:t xml:space="preserve"> et al.</w:t>
      </w:r>
      <w:r w:rsidR="00455310" w:rsidRPr="002C21B8">
        <w:rPr>
          <w:noProof/>
        </w:rPr>
        <w:t>, 2017)</w:t>
      </w:r>
      <w:r w:rsidR="00455310" w:rsidRPr="002C21B8">
        <w:fldChar w:fldCharType="end"/>
      </w:r>
      <w:r w:rsidR="00455310" w:rsidRPr="002C21B8">
        <w:t>.</w:t>
      </w:r>
      <w:r w:rsidR="00424F33" w:rsidRPr="002C21B8">
        <w:t xml:space="preserve"> In the context of tolvaptan prescribing, where </w:t>
      </w:r>
      <w:r w:rsidR="00553D2F" w:rsidRPr="002C21B8">
        <w:t xml:space="preserve">these resources and structures are present, non-eGFR criteria may be </w:t>
      </w:r>
      <w:r w:rsidR="00237AEB" w:rsidRPr="002C21B8">
        <w:t xml:space="preserve">more readily embedded in routine practice. </w:t>
      </w:r>
      <w:r w:rsidR="00424F33" w:rsidRPr="002C21B8">
        <w:t xml:space="preserve">However, where they are less </w:t>
      </w:r>
      <w:r w:rsidR="00237AEB" w:rsidRPr="002C21B8">
        <w:t>available</w:t>
      </w:r>
      <w:r w:rsidR="00553D2F" w:rsidRPr="002C21B8">
        <w:t xml:space="preserve">, their use may remain </w:t>
      </w:r>
      <w:r w:rsidR="00424F33" w:rsidRPr="002C21B8">
        <w:t xml:space="preserve">more </w:t>
      </w:r>
      <w:r w:rsidR="00553D2F" w:rsidRPr="002C21B8">
        <w:t>intermittent and discretionary</w:t>
      </w:r>
      <w:r w:rsidR="00D8541E" w:rsidRPr="002C21B8">
        <w:t>. Th</w:t>
      </w:r>
      <w:r w:rsidR="00882226" w:rsidRPr="002C21B8">
        <w:t>e different availability of resources</w:t>
      </w:r>
      <w:r w:rsidR="00D8541E" w:rsidRPr="002C21B8">
        <w:t xml:space="preserve"> may </w:t>
      </w:r>
      <w:r w:rsidR="00424F33" w:rsidRPr="002C21B8">
        <w:t>contribut</w:t>
      </w:r>
      <w:r w:rsidR="00D8541E" w:rsidRPr="002C21B8">
        <w:t>e</w:t>
      </w:r>
      <w:r w:rsidR="00424F33" w:rsidRPr="002C21B8">
        <w:t xml:space="preserve"> to </w:t>
      </w:r>
      <w:r w:rsidR="00DF7E3A" w:rsidRPr="002C21B8">
        <w:t>the</w:t>
      </w:r>
      <w:r w:rsidR="00424F33" w:rsidRPr="002C21B8">
        <w:t xml:space="preserve"> variation in eligibility assessment</w:t>
      </w:r>
      <w:r w:rsidR="00DF7E3A" w:rsidRPr="002C21B8">
        <w:t xml:space="preserve"> between centres</w:t>
      </w:r>
      <w:r w:rsidR="00D8109C" w:rsidRPr="002C21B8">
        <w:t xml:space="preserve"> and resulting prescribing practices</w:t>
      </w:r>
      <w:r w:rsidR="00424F33" w:rsidRPr="002C21B8">
        <w:t>.</w:t>
      </w:r>
    </w:p>
    <w:p w14:paraId="3497E693" w14:textId="23F1C539" w:rsidR="00A87B44" w:rsidRPr="002C21B8" w:rsidRDefault="00F75A9A" w:rsidP="00ED2D36">
      <w:pPr>
        <w:pStyle w:val="Heading4"/>
      </w:pPr>
      <w:r w:rsidRPr="002C21B8">
        <w:t>Different application of thresholds and eligibility criteria</w:t>
      </w:r>
    </w:p>
    <w:p w14:paraId="7B9D215B" w14:textId="79CF9411" w:rsidR="00F36909" w:rsidRPr="002C21B8" w:rsidRDefault="008D1D22" w:rsidP="008D1D22">
      <w:r w:rsidRPr="002C21B8">
        <w:t>Variation in prescribing behaviour between centres also</w:t>
      </w:r>
      <w:r w:rsidR="009B46CF" w:rsidRPr="002C21B8">
        <w:t xml:space="preserve"> appeared to be</w:t>
      </w:r>
      <w:r w:rsidRPr="002C21B8">
        <w:t xml:space="preserve"> influenced by the extent to which eligibility criteria were considered strict boundaries or flexible thresholds open to interpretation within a broader assessment of anticipated clinical benefit. </w:t>
      </w:r>
      <w:r w:rsidR="00E40636" w:rsidRPr="002C21B8">
        <w:t xml:space="preserve">The survey </w:t>
      </w:r>
      <w:r w:rsidR="00F36909" w:rsidRPr="002C21B8">
        <w:t xml:space="preserve">showed </w:t>
      </w:r>
      <w:r w:rsidR="00E40636" w:rsidRPr="002C21B8">
        <w:t>that some centres prescribed tolvaptan outside the CKD eligibility thresholds de</w:t>
      </w:r>
      <w:r w:rsidR="00F36909" w:rsidRPr="002C21B8">
        <w:t>fined</w:t>
      </w:r>
      <w:r w:rsidR="001C1591" w:rsidRPr="002C21B8">
        <w:t xml:space="preserve"> in the</w:t>
      </w:r>
      <w:r w:rsidR="00E40636" w:rsidRPr="002C21B8">
        <w:t xml:space="preserve"> NICE and RA</w:t>
      </w:r>
      <w:r w:rsidR="001C1591" w:rsidRPr="002C21B8">
        <w:t>/UKKA guidelines</w:t>
      </w:r>
      <w:r w:rsidR="00E40636" w:rsidRPr="002C21B8">
        <w:t>. T</w:t>
      </w:r>
      <w:r w:rsidR="00F36909" w:rsidRPr="002C21B8">
        <w:t>he multiple case study provided a</w:t>
      </w:r>
      <w:r w:rsidR="001B4831" w:rsidRPr="002C21B8">
        <w:t xml:space="preserve"> potential</w:t>
      </w:r>
      <w:r w:rsidR="00F36909" w:rsidRPr="002C21B8">
        <w:t xml:space="preserve"> explanation for this variation, suggesting that prescribing above the upper CKD threshold was driven by anticipated</w:t>
      </w:r>
      <w:r w:rsidR="0024223E" w:rsidRPr="002C21B8">
        <w:t xml:space="preserve"> future</w:t>
      </w:r>
      <w:r w:rsidR="00F36909" w:rsidRPr="002C21B8">
        <w:t xml:space="preserve"> rapid disease progression. This was not observed across all centres, potentially reflecting differences in the experience and clinical judgement of </w:t>
      </w:r>
      <w:r w:rsidR="00811F8E" w:rsidRPr="002C21B8">
        <w:t xml:space="preserve">the </w:t>
      </w:r>
      <w:r w:rsidR="00F36909" w:rsidRPr="002C21B8">
        <w:t>lead clinicians. This is explored further in the next section.</w:t>
      </w:r>
    </w:p>
    <w:p w14:paraId="38F9F123" w14:textId="7BF538B4" w:rsidR="00E40636" w:rsidRPr="002C21B8" w:rsidRDefault="00E40636" w:rsidP="008D1D22">
      <w:r w:rsidRPr="002C21B8">
        <w:t xml:space="preserve">Similar patterns have been described in other clinical </w:t>
      </w:r>
      <w:r w:rsidR="00F36909" w:rsidRPr="002C21B8">
        <w:t>contexts</w:t>
      </w:r>
      <w:r w:rsidR="00B60509" w:rsidRPr="002C21B8">
        <w:t xml:space="preserve">. In </w:t>
      </w:r>
      <w:r w:rsidRPr="002C21B8">
        <w:t xml:space="preserve">oncology, </w:t>
      </w:r>
      <w:r w:rsidR="00B60509" w:rsidRPr="002C21B8">
        <w:t>prescribing has been described to occur outside the criteria outlined in guideline</w:t>
      </w:r>
      <w:r w:rsidR="000533BB" w:rsidRPr="002C21B8">
        <w:t>s</w:t>
      </w:r>
      <w:r w:rsidR="00B60509" w:rsidRPr="002C21B8">
        <w:t xml:space="preserve"> if there is a potential benefit to that individual patient </w:t>
      </w:r>
      <w:r w:rsidRPr="002C21B8">
        <w:fldChar w:fldCharType="begin"/>
      </w:r>
      <w:r w:rsidRPr="002C21B8">
        <w:instrText xml:space="preserve"> ADDIN EN.CITE &lt;EndNote&gt;&lt;Cite&gt;&lt;Author&gt;Otte&lt;/Author&gt;&lt;Year&gt;2017&lt;/Year&gt;&lt;RecNum&gt;125465&lt;/RecNum&gt;&lt;DisplayText&gt;(Otte&lt;style face="italic"&gt; et al.&lt;/style&gt;, 2017; Shelton&lt;style face="italic"&gt; et al.&lt;/style&gt;, 2019)&lt;/DisplayText&gt;&lt;record&gt;&lt;rec-number&gt;125465&lt;/rec-number&gt;&lt;foreign-keys&gt;&lt;key app="EN" db-id="xpefzwa5hf9dt2ea9fax95x7xvxz90v09dtf" timestamp="1776529316"&gt;125465&lt;/key&gt;&lt;/foreign-keys&gt;&lt;ref-type name="Journal Article"&gt;17&lt;/ref-type&gt;&lt;contributors&gt;&lt;authors&gt;&lt;author&gt;Otte, I&lt;/author&gt;&lt;author&gt;Salloch, S&lt;/author&gt;&lt;author&gt;Reinacher-Schick, A&lt;/author&gt;&lt;author&gt;Vollmann, J&lt;/author&gt;&lt;/authors&gt;&lt;/contributors&gt;&lt;titles&gt;&lt;title&gt;Treatment recommendations within the leeway of clinical guidelines: A qualitative interview study on oncologists’ clinical deliberation&lt;/title&gt;&lt;secondary-title&gt;BMC Cancer&lt;/secondary-title&gt;&lt;/titles&gt;&lt;periodical&gt;&lt;full-title&gt;BMC cancer&lt;/full-title&gt;&lt;/periodical&gt;&lt;pages&gt;780&lt;/pages&gt;&lt;volume&gt;17&lt;/volume&gt;&lt;number&gt;1&lt;/number&gt;&lt;dates&gt;&lt;year&gt;2017&lt;/year&gt;&lt;/dates&gt;&lt;isbn&gt;1471-2407&lt;/isbn&gt;&lt;urls&gt;&lt;/urls&gt;&lt;/record&gt;&lt;/Cite&gt;&lt;Cite&gt;&lt;Author&gt;Shelton&lt;/Author&gt;&lt;Year&gt;2019&lt;/Year&gt;&lt;RecNum&gt;125467&lt;/RecNum&gt;&lt;record&gt;&lt;rec-number&gt;125467&lt;/rec-number&gt;&lt;foreign-keys&gt;&lt;key app="EN" db-id="xpefzwa5hf9dt2ea9fax95x7xvxz90v09dtf" timestamp="1776529427"&gt;125467&lt;/key&gt;&lt;/foreign-keys&gt;&lt;ref-type name="Journal Article"&gt;17&lt;/ref-type&gt;&lt;contributors&gt;&lt;authors&gt;&lt;author&gt;Shelton, Rachel C&lt;/author&gt;&lt;author&gt;Brotzman, Laura E&lt;/author&gt;&lt;author&gt;Crookes, Danielle M&lt;/author&gt;&lt;author&gt;Robles, Patrick&lt;/author&gt;&lt;author&gt;Neugut, AIfred I&lt;/author&gt;&lt;/authors&gt;&lt;/contributors&gt;&lt;titles&gt;&lt;title&gt;Decision-making under clinical uncertainty: An in-depth examination of provider perspectives on adjuvant chemotherapy for stage II colon cancer&lt;/title&gt;&lt;secondary-title&gt;Patient Education and Counseling&lt;/secondary-title&gt;&lt;/titles&gt;&lt;periodical&gt;&lt;full-title&gt;Patient education and counseling&lt;/full-title&gt;&lt;/periodical&gt;&lt;pages&gt;284-290&lt;/pages&gt;&lt;volume&gt;102&lt;/volume&gt;&lt;number&gt;2&lt;/number&gt;&lt;dates&gt;&lt;year&gt;2019&lt;/year&gt;&lt;/dates&gt;&lt;isbn&gt;0738-3991&lt;/isbn&gt;&lt;urls&gt;&lt;/urls&gt;&lt;/record&gt;&lt;/Cite&gt;&lt;/EndNote&gt;</w:instrText>
      </w:r>
      <w:r w:rsidRPr="002C21B8">
        <w:fldChar w:fldCharType="separate"/>
      </w:r>
      <w:r w:rsidRPr="002C21B8">
        <w:rPr>
          <w:noProof/>
        </w:rPr>
        <w:t>(Otte</w:t>
      </w:r>
      <w:r w:rsidRPr="002C21B8">
        <w:rPr>
          <w:i/>
          <w:noProof/>
        </w:rPr>
        <w:t xml:space="preserve"> et al.</w:t>
      </w:r>
      <w:r w:rsidRPr="002C21B8">
        <w:rPr>
          <w:noProof/>
        </w:rPr>
        <w:t>, 2017; Shelton</w:t>
      </w:r>
      <w:r w:rsidRPr="002C21B8">
        <w:rPr>
          <w:i/>
          <w:noProof/>
        </w:rPr>
        <w:t xml:space="preserve"> et al.</w:t>
      </w:r>
      <w:r w:rsidRPr="002C21B8">
        <w:rPr>
          <w:noProof/>
        </w:rPr>
        <w:t>, 2019)</w:t>
      </w:r>
      <w:r w:rsidRPr="002C21B8">
        <w:fldChar w:fldCharType="end"/>
      </w:r>
      <w:r w:rsidRPr="002C21B8">
        <w:t>.</w:t>
      </w:r>
      <w:r w:rsidR="008E7AD3" w:rsidRPr="002C21B8">
        <w:t xml:space="preserve"> </w:t>
      </w:r>
      <w:r w:rsidRPr="002C21B8">
        <w:t>It also reflects a broader pattern in clinical practice where</w:t>
      </w:r>
      <w:r w:rsidR="00B60509" w:rsidRPr="002C21B8">
        <w:t xml:space="preserve"> some clinicians may interpret</w:t>
      </w:r>
      <w:r w:rsidRPr="002C21B8">
        <w:t xml:space="preserve"> eligibility criteria more flexibly in the context of conditions that are progressive and have potentially irreversible disease trajectories</w:t>
      </w:r>
      <w:r w:rsidR="0092394D" w:rsidRPr="002C21B8">
        <w:t>.</w:t>
      </w:r>
      <w:r w:rsidRPr="002C21B8">
        <w:t xml:space="preserve"> This </w:t>
      </w:r>
      <w:r w:rsidR="00F36909" w:rsidRPr="002C21B8">
        <w:t xml:space="preserve">may be </w:t>
      </w:r>
      <w:r w:rsidRPr="002C21B8">
        <w:t>particularly true when there are limited treatment options</w:t>
      </w:r>
      <w:r w:rsidR="005C49A6" w:rsidRPr="002C21B8">
        <w:t>,</w:t>
      </w:r>
      <w:r w:rsidR="008E7AD3" w:rsidRPr="002C21B8">
        <w:t xml:space="preserve"> like in ADPKD and many other rare diseases</w:t>
      </w:r>
      <w:r w:rsidRPr="002C21B8">
        <w:t xml:space="preserve"> </w:t>
      </w:r>
      <w:r w:rsidRPr="002C21B8">
        <w:fldChar w:fldCharType="begin">
          <w:fldData xml:space="preserve">PEVuZE5vdGU+PENpdGU+PEF1dGhvcj5DYWJhbmE8L0F1dGhvcj48WWVhcj4xOTk5PC9ZZWFyPjxS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</w:fldData>
        </w:fldChar>
      </w:r>
      <w:r w:rsidRPr="002C21B8">
        <w:instrText xml:space="preserve"> ADDIN EN.CITE </w:instrText>
      </w:r>
      <w:r w:rsidRPr="002C21B8">
        <w:fldChar w:fldCharType="begin">
          <w:fldData xml:space="preserve">PEVuZE5vdGU+PENpdGU+PEF1dGhvcj5DYWJhbmE8L0F1dGhvcj48WWVhcj4xOTk5PC9ZZWFyPjxS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</w:fldData>
        </w:fldChar>
      </w:r>
      <w:r w:rsidRPr="002C21B8">
        <w:instrText xml:space="preserve"> ADDIN EN.CITE.DATA </w:instrText>
      </w:r>
      <w:r w:rsidRPr="002C21B8">
        <w:fldChar w:fldCharType="end"/>
      </w:r>
      <w:r w:rsidRPr="002C21B8">
        <w:fldChar w:fldCharType="separate"/>
      </w:r>
      <w:r w:rsidRPr="002C21B8">
        <w:rPr>
          <w:noProof/>
        </w:rPr>
        <w:t>(Cabana</w:t>
      </w:r>
      <w:r w:rsidRPr="002C21B8">
        <w:rPr>
          <w:i/>
          <w:noProof/>
        </w:rPr>
        <w:t xml:space="preserve"> et al.</w:t>
      </w:r>
      <w:r w:rsidRPr="002C21B8">
        <w:rPr>
          <w:noProof/>
        </w:rPr>
        <w:t>, 1999; Gabbay and Le May, 2004)</w:t>
      </w:r>
      <w:r w:rsidRPr="002C21B8">
        <w:fldChar w:fldCharType="end"/>
      </w:r>
      <w:r w:rsidRPr="002C21B8">
        <w:t>.</w:t>
      </w:r>
      <w:r w:rsidR="00B60509" w:rsidRPr="002C21B8">
        <w:t xml:space="preserve"> This has the potential to lead to variation in prescribing practices between centres</w:t>
      </w:r>
      <w:r w:rsidR="000533BB" w:rsidRPr="002C21B8">
        <w:t>,</w:t>
      </w:r>
      <w:r w:rsidR="00B60509" w:rsidRPr="002C21B8">
        <w:t xml:space="preserve"> as these practices are </w:t>
      </w:r>
      <w:r w:rsidR="000533BB" w:rsidRPr="002C21B8">
        <w:t xml:space="preserve">not </w:t>
      </w:r>
      <w:r w:rsidR="00B60509" w:rsidRPr="002C21B8">
        <w:t>universal.</w:t>
      </w:r>
    </w:p>
    <w:p w14:paraId="4E54DE97" w14:textId="77777777" w:rsidR="00173264" w:rsidRPr="002C21B8" w:rsidRDefault="00173264" w:rsidP="00ED2D36">
      <w:pPr>
        <w:pStyle w:val="Heading4"/>
      </w:pPr>
      <w:r w:rsidRPr="002C21B8">
        <w:t>Automated tools</w:t>
      </w:r>
    </w:p>
    <w:p w14:paraId="28EC378D" w14:textId="49510617" w:rsidR="00173264" w:rsidRPr="002C21B8" w:rsidRDefault="00173264" w:rsidP="00173264">
      <w:r w:rsidRPr="002C21B8">
        <w:t>One of the consultants in the multiple case study described being in the process of developing an automated method of identifying eligible patients using routinely collected eGFR criteria</w:t>
      </w:r>
      <w:r w:rsidR="00A33C4A" w:rsidRPr="002C21B8">
        <w:t>, which would function as a clinical decision support system</w:t>
      </w:r>
      <w:r w:rsidRPr="002C21B8">
        <w:t xml:space="preserve">. This approach was intended to address </w:t>
      </w:r>
      <w:r w:rsidR="00A33C4A" w:rsidRPr="002C21B8">
        <w:t xml:space="preserve">within-centre </w:t>
      </w:r>
      <w:r w:rsidRPr="002C21B8">
        <w:t>variation between clinicians</w:t>
      </w:r>
      <w:r w:rsidR="00C776A4" w:rsidRPr="002C21B8">
        <w:t>,</w:t>
      </w:r>
      <w:r w:rsidRPr="002C21B8">
        <w:t xml:space="preserve"> a</w:t>
      </w:r>
      <w:r w:rsidR="00A33C4A" w:rsidRPr="002C21B8">
        <w:t xml:space="preserve">s </w:t>
      </w:r>
      <w:r w:rsidRPr="002C21B8">
        <w:t>the</w:t>
      </w:r>
      <w:r w:rsidR="00A33C4A" w:rsidRPr="002C21B8">
        <w:t xml:space="preserve">y had </w:t>
      </w:r>
      <w:r w:rsidRPr="002C21B8">
        <w:t>recogni</w:t>
      </w:r>
      <w:r w:rsidR="00A33C4A" w:rsidRPr="002C21B8">
        <w:t xml:space="preserve">sed </w:t>
      </w:r>
      <w:r w:rsidRPr="002C21B8">
        <w:t>that their generalist clinic model did</w:t>
      </w:r>
      <w:r w:rsidR="00256247" w:rsidRPr="002C21B8">
        <w:t xml:space="preserve"> support clinicians to </w:t>
      </w:r>
      <w:r w:rsidRPr="002C21B8">
        <w:t>consistently identify eligible patients</w:t>
      </w:r>
      <w:r w:rsidR="00A33C4A" w:rsidRPr="002C21B8">
        <w:t>.</w:t>
      </w:r>
      <w:r w:rsidRPr="002C21B8">
        <w:t xml:space="preserve"> In the survey, automated methods of identifying eligible patients w</w:t>
      </w:r>
      <w:r w:rsidR="009A4C67" w:rsidRPr="002C21B8">
        <w:t>ere</w:t>
      </w:r>
      <w:r w:rsidRPr="002C21B8">
        <w:t xml:space="preserve"> </w:t>
      </w:r>
      <w:r w:rsidR="00C776A4" w:rsidRPr="002C21B8">
        <w:t xml:space="preserve">only performed </w:t>
      </w:r>
      <w:r w:rsidRPr="002C21B8">
        <w:t>at a small number of</w:t>
      </w:r>
      <w:r w:rsidR="001F16BB" w:rsidRPr="002C21B8">
        <w:t xml:space="preserve"> UK</w:t>
      </w:r>
      <w:r w:rsidRPr="002C21B8">
        <w:t xml:space="preserve"> kidney centres.</w:t>
      </w:r>
    </w:p>
    <w:p w14:paraId="7AA32C6A" w14:textId="5A3F032C" w:rsidR="00256247" w:rsidRPr="002C21B8" w:rsidRDefault="00173264" w:rsidP="008D1D22">
      <w:r w:rsidRPr="002C21B8">
        <w:t>Similar clinical decision support systems</w:t>
      </w:r>
      <w:r w:rsidR="00A33C4A" w:rsidRPr="002C21B8">
        <w:t xml:space="preserve"> </w:t>
      </w:r>
      <w:r w:rsidRPr="002C21B8">
        <w:t xml:space="preserve">have been implemented in other disease areas. </w:t>
      </w:r>
      <w:r w:rsidRPr="002C21B8">
        <w:fldChar w:fldCharType="begin"/>
      </w:r>
      <w:r w:rsidRPr="002C21B8">
        <w:instrText xml:space="preserve"> ADDIN EN.CITE &lt;EndNote&gt;&lt;Cite AuthorYear="1"&gt;&lt;Author&gt;Karlsson&lt;/Author&gt;&lt;Year&gt;2018&lt;/Year&gt;&lt;RecNum&gt;125581&lt;/RecNum&gt;&lt;DisplayText&gt;Karlsson&lt;style face="italic"&gt; et al.&lt;/style&gt; (2018)&lt;/DisplayText&gt;&lt;record&gt;&lt;rec-number&gt;125581&lt;/rec-number&gt;&lt;foreign-keys&gt;&lt;key app="EN" db-id="xpefzwa5hf9dt2ea9fax95x7xvxz90v09dtf" timestamp="1778343173"&gt;125581&lt;/key&gt;&lt;/foreign-keys&gt;&lt;ref-type name="Journal Article"&gt;17&lt;/ref-type&gt;&lt;contributors&gt;&lt;authors&gt;&lt;author&gt;Karlsson, Lars O&lt;/author&gt;&lt;author&gt;Nilsson, Staffan&lt;/author&gt;&lt;author&gt;Bång, Magnus&lt;/author&gt;&lt;author&gt;Nilsson, Lennart&lt;/author&gt;&lt;author&gt;Charitakis, Emmanouil&lt;/author&gt;&lt;author&gt;Janzon, Magnus&lt;/author&gt;&lt;/authors&gt;&lt;/contributors&gt;&lt;titles&gt;&lt;title&gt;A clinical decision support tool for improving adherence to guidelines on anticoagulant therapy in patients with atrial fibrillation at risk of stroke: a cluster-randomized trial in a Swedish primary care setting (the CDS-AF study)&lt;/title&gt;&lt;secondary-title&gt;PLOS Medicine&lt;/secondary-title&gt;&lt;/titles&gt;&lt;periodical&gt;&lt;full-title&gt;PLoS medicine&lt;/full-title&gt;&lt;/periodical&gt;&lt;pages&gt;e1002528&lt;/pages&gt;&lt;volume&gt;15&lt;/volume&gt;&lt;number&gt;3&lt;/number&gt;&lt;dates&gt;&lt;year&gt;2018&lt;/year&gt;&lt;/dates&gt;&lt;isbn&gt;1549-1277&lt;/isbn&gt;&lt;urls&gt;&lt;/urls&gt;&lt;/record&gt;&lt;/Cite&gt;&lt;/EndNote&gt;</w:instrText>
      </w:r>
      <w:r w:rsidRPr="002C21B8">
        <w:fldChar w:fldCharType="separate"/>
      </w:r>
      <w:r w:rsidRPr="002C21B8">
        <w:rPr>
          <w:noProof/>
        </w:rPr>
        <w:t>Karlsson</w:t>
      </w:r>
      <w:r w:rsidRPr="002C21B8">
        <w:rPr>
          <w:i/>
          <w:noProof/>
        </w:rPr>
        <w:t xml:space="preserve"> et al.</w:t>
      </w:r>
      <w:r w:rsidRPr="002C21B8">
        <w:rPr>
          <w:noProof/>
        </w:rPr>
        <w:t xml:space="preserve"> (2018)</w:t>
      </w:r>
      <w:r w:rsidRPr="002C21B8">
        <w:fldChar w:fldCharType="end"/>
      </w:r>
      <w:r w:rsidRPr="002C21B8">
        <w:t xml:space="preserve"> evaluated </w:t>
      </w:r>
      <w:r w:rsidR="00A33C4A" w:rsidRPr="002C21B8">
        <w:t>an automated system</w:t>
      </w:r>
      <w:r w:rsidRPr="002C21B8">
        <w:t xml:space="preserve"> to identify atrial fibrillation patients at an increased risk of thromboembolism to be reviewed for anticoagulation. They found</w:t>
      </w:r>
      <w:r w:rsidR="004B6A49" w:rsidRPr="002C21B8">
        <w:t xml:space="preserve"> that the intervention was associated with a</w:t>
      </w:r>
      <w:r w:rsidRPr="002C21B8">
        <w:t xml:space="preserve"> small improvement in guideline-concordant prescribing. </w:t>
      </w:r>
      <w:r w:rsidR="004B6A49" w:rsidRPr="002C21B8">
        <w:t xml:space="preserve">However, </w:t>
      </w:r>
      <w:r w:rsidR="002A08FB" w:rsidRPr="002C21B8">
        <w:t xml:space="preserve">a systematic review by </w:t>
      </w:r>
      <w:r w:rsidR="002A08FB" w:rsidRPr="002C21B8">
        <w:fldChar w:fldCharType="begin"/>
      </w:r>
      <w:r w:rsidR="004B6A49" w:rsidRPr="002C21B8">
        <w:instrText xml:space="preserve"> ADDIN EN.CITE &lt;EndNote&gt;&lt;Cite AuthorYear="1"&gt;&lt;Author&gt;Roshanov&lt;/Author&gt;&lt;Year&gt;2013&lt;/Year&gt;&lt;RecNum&gt;125582&lt;/RecNum&gt;&lt;DisplayText&gt;Roshanov&lt;style face="italic"&gt; et al.&lt;/style&gt; (2013)&lt;/DisplayText&gt;&lt;record&gt;&lt;rec-number&gt;125582&lt;/rec-number&gt;&lt;foreign-keys&gt;&lt;key app="EN" db-id="xpefzwa5hf9dt2ea9fax95x7xvxz90v09dtf" timestamp="1778343510"&gt;125582&lt;/key&gt;&lt;/foreign-keys&gt;&lt;ref-type name="Journal Article"&gt;17&lt;/ref-type&gt;&lt;contributors&gt;&lt;authors&gt;&lt;author&gt;Roshanov, Pavel S&lt;/author&gt;&lt;author&gt;Fernandes, Natasha&lt;/author&gt;&lt;author&gt;Wilczynski, Jeff M&lt;/author&gt;&lt;author&gt;Hemens, Brian J&lt;/author&gt;&lt;author&gt;You, John J&lt;/author&gt;&lt;author&gt;Handler, Steven M&lt;/author&gt;&lt;author&gt;Nieuwlaat, Robby&lt;/author&gt;&lt;author&gt;Souza, Nathan M&lt;/author&gt;&lt;author&gt;Beyene, Joseph&lt;/author&gt;&lt;author&gt;Van Spall, Harriette GC&lt;/author&gt;&lt;/authors&gt;&lt;/contributors&gt;&lt;titles&gt;&lt;title&gt;Features of effective computerised clinical decision support systems: meta-regression of 162 randomised trials&lt;/title&gt;&lt;secondary-title&gt;BMJ&lt;/secondary-title&gt;&lt;/titles&gt;&lt;periodical&gt;&lt;full-title&gt;BMJ&lt;/full-title&gt;&lt;/periodical&gt;&lt;pages&gt;f657&lt;/pages&gt;&lt;volume&gt;346&lt;/volume&gt;&lt;dates&gt;&lt;year&gt;2013&lt;/year&gt;&lt;/dates&gt;&lt;isbn&gt;1756-1833&lt;/isbn&gt;&lt;urls&gt;&lt;/urls&gt;&lt;/record&gt;&lt;/Cite&gt;&lt;/EndNote&gt;</w:instrText>
      </w:r>
      <w:r w:rsidR="002A08FB" w:rsidRPr="002C21B8">
        <w:fldChar w:fldCharType="separate"/>
      </w:r>
      <w:r w:rsidR="004B6A49" w:rsidRPr="002C21B8">
        <w:rPr>
          <w:noProof/>
        </w:rPr>
        <w:t>Roshanov</w:t>
      </w:r>
      <w:r w:rsidR="004B6A49" w:rsidRPr="002C21B8">
        <w:rPr>
          <w:i/>
          <w:noProof/>
        </w:rPr>
        <w:t xml:space="preserve"> et al.</w:t>
      </w:r>
      <w:r w:rsidR="004B6A49" w:rsidRPr="002C21B8">
        <w:rPr>
          <w:noProof/>
        </w:rPr>
        <w:t xml:space="preserve"> (2013)</w:t>
      </w:r>
      <w:r w:rsidR="002A08FB" w:rsidRPr="002C21B8">
        <w:fldChar w:fldCharType="end"/>
      </w:r>
      <w:r w:rsidR="002A08FB" w:rsidRPr="002C21B8">
        <w:t xml:space="preserve"> demonstrated that the effectiveness of clinical </w:t>
      </w:r>
      <w:r w:rsidR="00CF018D" w:rsidRPr="002C21B8">
        <w:t>decision</w:t>
      </w:r>
      <w:r w:rsidR="002A08FB" w:rsidRPr="002C21B8">
        <w:t xml:space="preserve"> support systems is variable</w:t>
      </w:r>
      <w:r w:rsidR="00A1124F" w:rsidRPr="002C21B8">
        <w:t>,</w:t>
      </w:r>
      <w:r w:rsidR="002A08FB" w:rsidRPr="002C21B8">
        <w:t xml:space="preserve"> being d</w:t>
      </w:r>
      <w:r w:rsidRPr="002C21B8">
        <w:t>epend</w:t>
      </w:r>
      <w:r w:rsidR="002A08FB" w:rsidRPr="002C21B8">
        <w:t xml:space="preserve">ent </w:t>
      </w:r>
      <w:r w:rsidRPr="002C21B8">
        <w:t xml:space="preserve">on the </w:t>
      </w:r>
      <w:r w:rsidR="004B6A49" w:rsidRPr="002C21B8">
        <w:t>level</w:t>
      </w:r>
      <w:r w:rsidRPr="002C21B8">
        <w:t xml:space="preserve"> of integration into routine practice and </w:t>
      </w:r>
      <w:r w:rsidR="00E77CB0" w:rsidRPr="002C21B8">
        <w:t xml:space="preserve">the </w:t>
      </w:r>
      <w:r w:rsidRPr="002C21B8">
        <w:t>clinical workflow design</w:t>
      </w:r>
      <w:r w:rsidR="00E77CB0" w:rsidRPr="002C21B8">
        <w:t>.</w:t>
      </w:r>
    </w:p>
    <w:p w14:paraId="49F5FF22" w14:textId="04FD8D08" w:rsidR="00173264" w:rsidRPr="002C21B8" w:rsidRDefault="004B6A49" w:rsidP="008D1D22">
      <w:r w:rsidRPr="002C21B8">
        <w:t>Kidney centres that already have automated tools may be better at identifying eligible patients. However, the association between automated tools and improved prescribing practice requires testing before widespread implementation.</w:t>
      </w:r>
    </w:p>
    <w:p w14:paraId="6D02617D" w14:textId="725BB15C" w:rsidR="008D1D22" w:rsidRPr="002C21B8" w:rsidRDefault="008D1D22" w:rsidP="004507C8">
      <w:pPr>
        <w:pStyle w:val="Heading3"/>
      </w:pPr>
      <w:r w:rsidRPr="002C21B8">
        <w:t xml:space="preserve">Clinical leadership as a driver of </w:t>
      </w:r>
      <w:r w:rsidR="0012505E" w:rsidRPr="002C21B8">
        <w:t xml:space="preserve">centre-level </w:t>
      </w:r>
      <w:r w:rsidRPr="002C21B8">
        <w:t xml:space="preserve">variation in </w:t>
      </w:r>
      <w:r w:rsidR="00DB0105" w:rsidRPr="002C21B8">
        <w:t>prescribing approaches</w:t>
      </w:r>
    </w:p>
    <w:p w14:paraId="089E1024" w14:textId="46BD4FCA" w:rsidR="00084D68" w:rsidRPr="002C21B8" w:rsidRDefault="00224B93" w:rsidP="00ED2D36">
      <w:pPr>
        <w:pStyle w:val="Heading4"/>
      </w:pPr>
      <w:r w:rsidRPr="002C21B8">
        <w:t>L</w:t>
      </w:r>
      <w:r w:rsidR="00084D68" w:rsidRPr="002C21B8">
        <w:t>eadership</w:t>
      </w:r>
      <w:r w:rsidRPr="002C21B8">
        <w:t xml:space="preserve"> structure</w:t>
      </w:r>
    </w:p>
    <w:p w14:paraId="542B8417" w14:textId="7D80D4EA" w:rsidR="006540F6" w:rsidRPr="002C21B8" w:rsidRDefault="008A034A" w:rsidP="008D1D22">
      <w:pPr>
        <w:rPr>
          <w:color w:val="000000"/>
        </w:rPr>
      </w:pPr>
      <w:r w:rsidRPr="002C21B8">
        <w:rPr>
          <w:color w:val="000000"/>
        </w:rPr>
        <w:t>In the multiple case study, v</w:t>
      </w:r>
      <w:r w:rsidR="008D1D22" w:rsidRPr="002C21B8">
        <w:rPr>
          <w:color w:val="000000"/>
        </w:rPr>
        <w:t xml:space="preserve">ariation in tolvaptan prescribing also appeared to be </w:t>
      </w:r>
      <w:r w:rsidR="00233ECA" w:rsidRPr="002C21B8">
        <w:rPr>
          <w:color w:val="000000"/>
        </w:rPr>
        <w:t>influenced by</w:t>
      </w:r>
      <w:r w:rsidR="008D1D22" w:rsidRPr="002C21B8">
        <w:rPr>
          <w:color w:val="000000"/>
        </w:rPr>
        <w:t xml:space="preserve"> the presence, nature, and distribution of clinical leadership within kidney centres. </w:t>
      </w:r>
      <w:r w:rsidRPr="002C21B8">
        <w:rPr>
          <w:color w:val="000000"/>
        </w:rPr>
        <w:t>Whe</w:t>
      </w:r>
      <w:r w:rsidR="00E32D1A" w:rsidRPr="002C21B8">
        <w:rPr>
          <w:color w:val="000000"/>
        </w:rPr>
        <w:t>n</w:t>
      </w:r>
      <w:r w:rsidRPr="002C21B8">
        <w:rPr>
          <w:color w:val="000000"/>
        </w:rPr>
        <w:t xml:space="preserve"> present within a centre, lead clinicians played an active role in determining how the </w:t>
      </w:r>
      <w:r w:rsidR="006841C8" w:rsidRPr="002C21B8">
        <w:rPr>
          <w:color w:val="000000"/>
        </w:rPr>
        <w:t>service was configured, patients</w:t>
      </w:r>
      <w:r w:rsidR="00A24467" w:rsidRPr="002C21B8">
        <w:rPr>
          <w:color w:val="000000"/>
        </w:rPr>
        <w:t xml:space="preserve"> were</w:t>
      </w:r>
      <w:r w:rsidR="006841C8" w:rsidRPr="002C21B8">
        <w:rPr>
          <w:color w:val="000000"/>
        </w:rPr>
        <w:t xml:space="preserve"> assessed for eligibility</w:t>
      </w:r>
      <w:r w:rsidR="00F25D62" w:rsidRPr="002C21B8">
        <w:rPr>
          <w:color w:val="000000"/>
        </w:rPr>
        <w:t>,</w:t>
      </w:r>
      <w:r w:rsidR="006841C8" w:rsidRPr="002C21B8">
        <w:rPr>
          <w:color w:val="000000"/>
        </w:rPr>
        <w:t xml:space="preserve"> and</w:t>
      </w:r>
      <w:r w:rsidR="00A24467" w:rsidRPr="002C21B8">
        <w:rPr>
          <w:color w:val="000000"/>
        </w:rPr>
        <w:t xml:space="preserve"> </w:t>
      </w:r>
      <w:r w:rsidR="006841C8" w:rsidRPr="002C21B8">
        <w:rPr>
          <w:color w:val="000000"/>
        </w:rPr>
        <w:t>tolvaptan</w:t>
      </w:r>
      <w:r w:rsidR="00A24467" w:rsidRPr="002C21B8">
        <w:rPr>
          <w:color w:val="000000"/>
        </w:rPr>
        <w:t xml:space="preserve"> was</w:t>
      </w:r>
      <w:r w:rsidR="006841C8" w:rsidRPr="002C21B8">
        <w:rPr>
          <w:color w:val="000000"/>
        </w:rPr>
        <w:t xml:space="preserve"> prescribed.</w:t>
      </w:r>
      <w:r w:rsidR="00EF660A" w:rsidRPr="002C21B8">
        <w:rPr>
          <w:color w:val="000000"/>
        </w:rPr>
        <w:t xml:space="preserve"> </w:t>
      </w:r>
      <w:r w:rsidRPr="002C21B8">
        <w:rPr>
          <w:color w:val="000000"/>
        </w:rPr>
        <w:t xml:space="preserve">However, leadership </w:t>
      </w:r>
      <w:r w:rsidR="00233ECA" w:rsidRPr="002C21B8">
        <w:rPr>
          <w:color w:val="000000"/>
        </w:rPr>
        <w:t xml:space="preserve">structures were </w:t>
      </w:r>
      <w:r w:rsidR="008D1D22" w:rsidRPr="002C21B8">
        <w:rPr>
          <w:color w:val="000000"/>
        </w:rPr>
        <w:t>not uniform</w:t>
      </w:r>
      <w:r w:rsidR="006540F6" w:rsidRPr="002C21B8">
        <w:rPr>
          <w:color w:val="000000"/>
        </w:rPr>
        <w:t xml:space="preserve"> and largely reflected the service configuration.</w:t>
      </w:r>
    </w:p>
    <w:p w14:paraId="2E64699D" w14:textId="42024644" w:rsidR="00595CC2" w:rsidRPr="002C21B8" w:rsidRDefault="00595CC2" w:rsidP="008D1D22">
      <w:pPr>
        <w:rPr>
          <w:color w:val="000000"/>
        </w:rPr>
      </w:pPr>
      <w:r w:rsidRPr="002C21B8">
        <w:t xml:space="preserve">The influence of lead clinicians can be understood through the </w:t>
      </w:r>
      <w:r w:rsidRPr="002C21B8">
        <w:rPr>
          <w:color w:val="000000"/>
        </w:rPr>
        <w:t>Diffusion of Innovations theory</w:t>
      </w:r>
      <w:r w:rsidR="00D74ED9" w:rsidRPr="002C21B8">
        <w:rPr>
          <w:color w:val="000000"/>
        </w:rPr>
        <w:t>,</w:t>
      </w:r>
      <w:r w:rsidRPr="002C21B8">
        <w:rPr>
          <w:color w:val="000000"/>
        </w:rPr>
        <w:t xml:space="preserve"> with ADPKD </w:t>
      </w:r>
      <w:r w:rsidR="001E511B" w:rsidRPr="002C21B8">
        <w:rPr>
          <w:color w:val="000000"/>
        </w:rPr>
        <w:t xml:space="preserve">lead </w:t>
      </w:r>
      <w:r w:rsidRPr="002C21B8">
        <w:rPr>
          <w:color w:val="000000"/>
        </w:rPr>
        <w:t xml:space="preserve">clinicians at kidney centres acting as local opinion leaders. These are people within a system that are considered </w:t>
      </w:r>
      <w:r w:rsidR="0075295B" w:rsidRPr="002C21B8">
        <w:rPr>
          <w:color w:val="000000"/>
        </w:rPr>
        <w:t>“</w:t>
      </w:r>
      <w:r w:rsidRPr="002C21B8">
        <w:rPr>
          <w:color w:val="000000"/>
        </w:rPr>
        <w:t>persuasive agents of behavioural change</w:t>
      </w:r>
      <w:r w:rsidR="0075295B" w:rsidRPr="002C21B8">
        <w:rPr>
          <w:color w:val="000000"/>
        </w:rPr>
        <w:t>”</w:t>
      </w:r>
      <w:r w:rsidRPr="002C21B8">
        <w:rPr>
          <w:color w:val="000000"/>
        </w:rPr>
        <w:t xml:space="preserve"> who </w:t>
      </w:r>
      <w:r w:rsidR="00A40FF5" w:rsidRPr="002C21B8">
        <w:rPr>
          <w:color w:val="000000"/>
        </w:rPr>
        <w:t>can</w:t>
      </w:r>
      <w:r w:rsidRPr="002C21B8">
        <w:rPr>
          <w:color w:val="000000"/>
        </w:rPr>
        <w:t xml:space="preserve"> influence </w:t>
      </w:r>
      <w:r w:rsidR="000B0EAB" w:rsidRPr="002C21B8">
        <w:rPr>
          <w:color w:val="000000"/>
        </w:rPr>
        <w:t xml:space="preserve">the </w:t>
      </w:r>
      <w:r w:rsidRPr="002C21B8">
        <w:rPr>
          <w:color w:val="000000"/>
        </w:rPr>
        <w:t>attitudes or behaviour</w:t>
      </w:r>
      <w:r w:rsidR="000B0EAB" w:rsidRPr="002C21B8">
        <w:rPr>
          <w:color w:val="000000"/>
        </w:rPr>
        <w:t>s of others</w:t>
      </w:r>
      <w:r w:rsidRPr="002C21B8">
        <w:rPr>
          <w:color w:val="000000"/>
        </w:rPr>
        <w:t xml:space="preserve"> informally</w:t>
      </w:r>
      <w:r w:rsidR="00E102F0" w:rsidRPr="002C21B8">
        <w:rPr>
          <w:color w:val="000000"/>
        </w:rPr>
        <w:t xml:space="preserve"> </w:t>
      </w:r>
      <w:r w:rsidR="00E102F0" w:rsidRPr="002C21B8">
        <w:rPr>
          <w:color w:val="000000"/>
        </w:rPr>
        <w:fldChar w:fldCharType="begin"/>
      </w:r>
      <w:r w:rsidR="00E102F0" w:rsidRPr="002C21B8">
        <w:rPr>
          <w:color w:val="000000"/>
        </w:rPr>
        <w:instrText xml:space="preserve"> ADDIN EN.CITE &lt;EndNote&gt;&lt;Cite&gt;&lt;Author&gt;Greenhalgh&lt;/Author&gt;&lt;Year&gt;2004&lt;/Year&gt;&lt;RecNum&gt;125234&lt;/RecNum&gt;&lt;DisplayText&gt;(Flodgren&lt;style face="italic"&gt; et al.&lt;/style&gt;, 2011; Greenhalgh&lt;style face="italic"&gt; et al.&lt;/style&gt;, 2004)&lt;/DisplayText&gt;&lt;record&gt;&lt;rec-number&gt;125234&lt;/rec-number&gt;&lt;foreign-keys&gt;&lt;key app="EN" db-id="xpefzwa5hf9dt2ea9fax95x7xvxz90v09dtf" timestamp="1772644016"&gt;125234&lt;/key&gt;&lt;/foreign-keys&gt;&lt;ref-type name="Journal Article"&gt;17&lt;/ref-type&gt;&lt;contributors&gt;&lt;authors&gt;&lt;author&gt;Greenhalgh, Trisha&lt;/author&gt;&lt;author&gt;Robert, Glenn&lt;/author&gt;&lt;author&gt;Macfarlane, Fraser&lt;/author&gt;&lt;author&gt;Bate, Paul&lt;/author&gt;&lt;author&gt;Kyriakidou, Olivia&lt;/author&gt;&lt;/authors&gt;&lt;/contributors&gt;&lt;titles&gt;&lt;title&gt;Diffusion of innovations in service organizations: systematic review and recommendations&lt;/title&gt;&lt;secondary-title&gt;The Milbank Quarterly&lt;/secondary-title&gt;&lt;/titles&gt;&lt;periodical&gt;&lt;full-title&gt;The milbank quarterly&lt;/full-title&gt;&lt;/periodical&gt;&lt;pages&gt;581-629&lt;/pages&gt;&lt;volume&gt;82&lt;/volume&gt;&lt;number&gt;4&lt;/number&gt;&lt;dates&gt;&lt;year&gt;2004&lt;/year&gt;&lt;/dates&gt;&lt;isbn&gt;0887-378X&lt;/isbn&gt;&lt;urls&gt;&lt;/urls&gt;&lt;/record&gt;&lt;/Cite&gt;&lt;Cite&gt;&lt;Author&gt;Flodgren&lt;/Author&gt;&lt;Year&gt;2011&lt;/Year&gt;&lt;RecNum&gt;125468&lt;/RecNum&gt;&lt;record&gt;&lt;rec-number&gt;125468&lt;/rec-number&gt;&lt;foreign-keys&gt;&lt;key app="EN" db-id="xpefzwa5hf9dt2ea9fax95x7xvxz90v09dtf" timestamp="1776535431"&gt;125468&lt;/key&gt;&lt;/foreign-keys&gt;&lt;ref-type name="Journal Article"&gt;17&lt;/ref-type&gt;&lt;contributors&gt;&lt;authors&gt;&lt;author&gt;Flodgren, Gerd&lt;/author&gt;&lt;author&gt;Parmelli, Elena&lt;/author&gt;&lt;author&gt;Doumit, Gaby&lt;/author&gt;&lt;author&gt;Gattellari, Melina&lt;/author&gt;&lt;author&gt;O&amp;apos;Brien, Mary Ann&lt;/author&gt;&lt;author&gt;Grimshaw, Jeremy&lt;/author&gt;&lt;author&gt;Eccles, Martin P&lt;/author&gt;&lt;/authors&gt;&lt;/contributors&gt;&lt;titles&gt;&lt;title&gt;Local opinion leaders: effects on professional practice and health care outcomes&lt;/title&gt;&lt;secondary-title&gt;Cochrane Database of Systematic Reviews&lt;/secondary-title&gt;&lt;/titles&gt;&lt;periodical&gt;&lt;full-title&gt;COCHRANE DATABASE OF SYSTEMATIC REVIEWS&lt;/full-title&gt;&lt;/periodical&gt;&lt;pages&gt;CD000125&lt;/pages&gt;&lt;volume&gt;6&lt;/volume&gt;&lt;number&gt;6&lt;/number&gt;&lt;dates&gt;&lt;year&gt;2011&lt;/year&gt;&lt;/dates&gt;&lt;isbn&gt;1465-1858&lt;/isbn&gt;&lt;urls&gt;&lt;/urls&gt;&lt;/record&gt;&lt;/Cite&gt;&lt;/EndNote&gt;</w:instrText>
      </w:r>
      <w:r w:rsidR="00E102F0" w:rsidRPr="002C21B8">
        <w:rPr>
          <w:color w:val="000000"/>
        </w:rPr>
        <w:fldChar w:fldCharType="separate"/>
      </w:r>
      <w:r w:rsidR="00E102F0" w:rsidRPr="002C21B8">
        <w:rPr>
          <w:noProof/>
          <w:color w:val="000000"/>
        </w:rPr>
        <w:t>(Flodgren</w:t>
      </w:r>
      <w:r w:rsidR="00E102F0" w:rsidRPr="002C21B8">
        <w:rPr>
          <w:i/>
          <w:noProof/>
          <w:color w:val="000000"/>
        </w:rPr>
        <w:t xml:space="preserve"> et al.</w:t>
      </w:r>
      <w:r w:rsidR="00E102F0" w:rsidRPr="002C21B8">
        <w:rPr>
          <w:noProof/>
          <w:color w:val="000000"/>
        </w:rPr>
        <w:t>, 2011; Greenhalgh</w:t>
      </w:r>
      <w:r w:rsidR="00E102F0" w:rsidRPr="002C21B8">
        <w:rPr>
          <w:i/>
          <w:noProof/>
          <w:color w:val="000000"/>
        </w:rPr>
        <w:t xml:space="preserve"> et al.</w:t>
      </w:r>
      <w:r w:rsidR="00E102F0" w:rsidRPr="002C21B8">
        <w:rPr>
          <w:noProof/>
          <w:color w:val="000000"/>
        </w:rPr>
        <w:t>, 2004)</w:t>
      </w:r>
      <w:r w:rsidR="00E102F0" w:rsidRPr="002C21B8">
        <w:rPr>
          <w:color w:val="000000"/>
        </w:rPr>
        <w:fldChar w:fldCharType="end"/>
      </w:r>
      <w:r w:rsidRPr="002C21B8">
        <w:rPr>
          <w:color w:val="000000"/>
        </w:rPr>
        <w:t>. As in the multiple case study, whe</w:t>
      </w:r>
      <w:r w:rsidR="00B25C41" w:rsidRPr="002C21B8">
        <w:rPr>
          <w:color w:val="000000"/>
        </w:rPr>
        <w:t>n</w:t>
      </w:r>
      <w:r w:rsidRPr="002C21B8">
        <w:rPr>
          <w:color w:val="000000"/>
        </w:rPr>
        <w:t xml:space="preserve"> present</w:t>
      </w:r>
      <w:r w:rsidR="009B7DDF" w:rsidRPr="002C21B8">
        <w:rPr>
          <w:color w:val="000000"/>
        </w:rPr>
        <w:t>,</w:t>
      </w:r>
      <w:r w:rsidRPr="002C21B8">
        <w:rPr>
          <w:color w:val="000000"/>
        </w:rPr>
        <w:t xml:space="preserve"> they are at the centre of interpersonal communication networks and are responsible for the flow of information. </w:t>
      </w:r>
      <w:r w:rsidRPr="002C21B8">
        <w:rPr>
          <w:color w:val="000000"/>
        </w:rPr>
        <w:fldChar w:fldCharType="begin"/>
      </w:r>
      <w:r w:rsidRPr="002C21B8">
        <w:rPr>
          <w:color w:val="000000"/>
        </w:rPr>
        <w:instrText xml:space="preserve"> ADDIN EN.CITE &lt;EndNote&gt;&lt;Cite AuthorYear="1"&gt;&lt;Author&gt;Flodgren&lt;/Author&gt;&lt;Year&gt;2011&lt;/Year&gt;&lt;RecNum&gt;125468&lt;/RecNum&gt;&lt;DisplayText&gt;Flodgren&lt;style face="italic"&gt; et al.&lt;/style&gt; (2011)&lt;/DisplayText&gt;&lt;record&gt;&lt;rec-number&gt;125468&lt;/rec-number&gt;&lt;foreign-keys&gt;&lt;key app="EN" db-id="xpefzwa5hf9dt2ea9fax95x7xvxz90v09dtf" timestamp="1776535431"&gt;125468&lt;/key&gt;&lt;/foreign-keys&gt;&lt;ref-type name="Journal Article"&gt;17&lt;/ref-type&gt;&lt;contributors&gt;&lt;authors&gt;&lt;author&gt;Flodgren, Gerd&lt;/author&gt;&lt;author&gt;Parmelli, Elena&lt;/author&gt;&lt;author&gt;Doumit, Gaby&lt;/author&gt;&lt;author&gt;Gattellari, Melina&lt;/author&gt;&lt;author&gt;O&amp;apos;Brien, Mary Ann&lt;/author&gt;&lt;author&gt;Grimshaw, Jeremy&lt;/author&gt;&lt;author&gt;Eccles, Martin P&lt;/author&gt;&lt;/authors&gt;&lt;/contributors&gt;&lt;titles&gt;&lt;title&gt;Local opinion leaders: effects on professional practice and health care outcomes&lt;/title&gt;&lt;secondary-title&gt;Cochrane Database of Systematic Reviews&lt;/secondary-title&gt;&lt;/titles&gt;&lt;periodical&gt;&lt;full-title&gt;COCHRANE DATABASE OF SYSTEMATIC REVIEWS&lt;/full-title&gt;&lt;/periodical&gt;&lt;pages&gt;CD000125&lt;/pages&gt;&lt;volume&gt;6&lt;/volume&gt;&lt;number&gt;6&lt;/number&gt;&lt;dates&gt;&lt;year&gt;2011&lt;/year&gt;&lt;/dates&gt;&lt;isbn&gt;1465-1858&lt;/isbn&gt;&lt;urls&gt;&lt;/urls&gt;&lt;/record&gt;&lt;/Cite&gt;&lt;/EndNote&gt;</w:instrText>
      </w:r>
      <w:r w:rsidRPr="002C21B8">
        <w:rPr>
          <w:color w:val="000000"/>
        </w:rPr>
        <w:fldChar w:fldCharType="separate"/>
      </w:r>
      <w:r w:rsidRPr="002C21B8">
        <w:rPr>
          <w:noProof/>
          <w:color w:val="000000"/>
        </w:rPr>
        <w:t>Flodgren</w:t>
      </w:r>
      <w:r w:rsidRPr="002C21B8">
        <w:rPr>
          <w:i/>
          <w:noProof/>
          <w:color w:val="000000"/>
        </w:rPr>
        <w:t xml:space="preserve"> et al.</w:t>
      </w:r>
      <w:r w:rsidRPr="002C21B8">
        <w:rPr>
          <w:noProof/>
          <w:color w:val="000000"/>
        </w:rPr>
        <w:t xml:space="preserve"> (2011)</w:t>
      </w:r>
      <w:r w:rsidRPr="002C21B8">
        <w:rPr>
          <w:color w:val="000000"/>
        </w:rPr>
        <w:fldChar w:fldCharType="end"/>
      </w:r>
      <w:r w:rsidRPr="002C21B8">
        <w:rPr>
          <w:color w:val="000000"/>
        </w:rPr>
        <w:t xml:space="preserve"> demonstrated in their systematic review that opinion leaders can be effective in promoting evidence-based practice, but the</w:t>
      </w:r>
      <w:r w:rsidR="00BE2102" w:rsidRPr="002C21B8">
        <w:rPr>
          <w:color w:val="000000"/>
        </w:rPr>
        <w:t>ir</w:t>
      </w:r>
      <w:r w:rsidRPr="002C21B8">
        <w:rPr>
          <w:color w:val="000000"/>
        </w:rPr>
        <w:t xml:space="preserve"> effectiveness varies depending on </w:t>
      </w:r>
      <w:r w:rsidR="00F973AC" w:rsidRPr="002C21B8">
        <w:rPr>
          <w:color w:val="000000"/>
        </w:rPr>
        <w:t xml:space="preserve">the </w:t>
      </w:r>
      <w:r w:rsidRPr="002C21B8">
        <w:rPr>
          <w:color w:val="000000"/>
        </w:rPr>
        <w:t>characteristics</w:t>
      </w:r>
      <w:r w:rsidR="00F973AC" w:rsidRPr="002C21B8">
        <w:rPr>
          <w:color w:val="000000"/>
        </w:rPr>
        <w:t xml:space="preserve"> of the opinion leaders</w:t>
      </w:r>
      <w:r w:rsidRPr="002C21B8">
        <w:rPr>
          <w:color w:val="000000"/>
        </w:rPr>
        <w:t xml:space="preserve"> and the context. The absence of opinion leaders has been associated with </w:t>
      </w:r>
      <w:r w:rsidR="00C1798A" w:rsidRPr="002C21B8">
        <w:rPr>
          <w:color w:val="000000"/>
        </w:rPr>
        <w:t xml:space="preserve">increased </w:t>
      </w:r>
      <w:r w:rsidRPr="002C21B8">
        <w:rPr>
          <w:color w:val="000000"/>
        </w:rPr>
        <w:t xml:space="preserve">variability </w:t>
      </w:r>
      <w:r w:rsidR="00C1798A" w:rsidRPr="002C21B8">
        <w:rPr>
          <w:color w:val="000000"/>
        </w:rPr>
        <w:t xml:space="preserve">and lower rates of </w:t>
      </w:r>
      <w:r w:rsidRPr="002C21B8">
        <w:rPr>
          <w:color w:val="000000"/>
        </w:rPr>
        <w:t xml:space="preserve">adoption </w:t>
      </w:r>
      <w:r w:rsidR="00C1798A" w:rsidRPr="002C21B8">
        <w:rPr>
          <w:color w:val="000000"/>
        </w:rPr>
        <w:t>or</w:t>
      </w:r>
      <w:r w:rsidRPr="002C21B8">
        <w:rPr>
          <w:color w:val="000000"/>
        </w:rPr>
        <w:t xml:space="preserve"> implementation </w:t>
      </w:r>
      <w:r w:rsidRPr="002C21B8">
        <w:rPr>
          <w:color w:val="000000"/>
        </w:rPr>
        <w:fldChar w:fldCharType="begin"/>
      </w:r>
      <w:r w:rsidRPr="002C21B8">
        <w:rPr>
          <w:color w:val="000000"/>
        </w:rPr>
        <w:instrText xml:space="preserve"> ADDIN EN.CITE &lt;EndNote&gt;&lt;Cite&gt;&lt;Author&gt;Salwen&lt;/Author&gt;&lt;Year&gt;2014&lt;/Year&gt;&lt;RecNum&gt;125469&lt;/RecNum&gt;&lt;DisplayText&gt;(Salwen and Stacks, 2014)&lt;/DisplayText&gt;&lt;record&gt;&lt;rec-number&gt;125469&lt;/rec-number&gt;&lt;foreign-keys&gt;&lt;key app="EN" db-id="xpefzwa5hf9dt2ea9fax95x7xvxz90v09dtf" timestamp="1776535763"&gt;125469&lt;/key&gt;&lt;/foreign-keys&gt;&lt;ref-type name="Book"&gt;6&lt;/ref-type&gt;&lt;contributors&gt;&lt;authors&gt;&lt;author&gt;Salwen, Michael B&lt;/author&gt;&lt;author&gt;Stacks, Don W&lt;/author&gt;&lt;/authors&gt;&lt;/contributors&gt;&lt;titles&gt;&lt;title&gt;An integrated approach to communication theory and research&lt;/title&gt;&lt;/titles&gt;&lt;section&gt;432-448&lt;/section&gt;&lt;dates&gt;&lt;year&gt;2014&lt;/year&gt;&lt;/dates&gt;&lt;pub-location&gt;New York, USA&lt;/pub-location&gt;&lt;publisher&gt;Routledge&lt;/publisher&gt;&lt;urls&gt;&lt;/urls&gt;&lt;/record&gt;&lt;/Cite&gt;&lt;/EndNote&gt;</w:instrText>
      </w:r>
      <w:r w:rsidRPr="002C21B8">
        <w:rPr>
          <w:color w:val="000000"/>
        </w:rPr>
        <w:fldChar w:fldCharType="separate"/>
      </w:r>
      <w:r w:rsidRPr="002C21B8">
        <w:rPr>
          <w:noProof/>
          <w:color w:val="000000"/>
        </w:rPr>
        <w:t>(Salwen and Stacks, 2014)</w:t>
      </w:r>
      <w:r w:rsidRPr="002C21B8">
        <w:rPr>
          <w:color w:val="000000"/>
        </w:rPr>
        <w:fldChar w:fldCharType="end"/>
      </w:r>
      <w:r w:rsidRPr="002C21B8">
        <w:rPr>
          <w:color w:val="000000"/>
        </w:rPr>
        <w:t>.</w:t>
      </w:r>
      <w:r w:rsidR="00C1798A" w:rsidRPr="002C21B8">
        <w:rPr>
          <w:color w:val="000000"/>
        </w:rPr>
        <w:t xml:space="preserve"> Thus, kidney centres with absent or less developed leadership structures may have greater within-centre variation and </w:t>
      </w:r>
      <w:r w:rsidR="008C4BBE" w:rsidRPr="002C21B8">
        <w:rPr>
          <w:color w:val="000000"/>
        </w:rPr>
        <w:t>lower tolvaptan prescribing rates.</w:t>
      </w:r>
    </w:p>
    <w:p w14:paraId="65CECB7A" w14:textId="6246A34E" w:rsidR="002E60A1" w:rsidRPr="002C21B8" w:rsidRDefault="002E60A1" w:rsidP="00ED2D36">
      <w:pPr>
        <w:pStyle w:val="Heading4"/>
      </w:pPr>
      <w:r w:rsidRPr="002C21B8">
        <w:t>Experience of lead clinician</w:t>
      </w:r>
      <w:r w:rsidR="00992A4C" w:rsidRPr="002C21B8">
        <w:t>s</w:t>
      </w:r>
    </w:p>
    <w:p w14:paraId="38CB4B72" w14:textId="4CBC34F4" w:rsidR="000A42E8" w:rsidRPr="002C21B8" w:rsidRDefault="000A42E8" w:rsidP="008725AC">
      <w:r w:rsidRPr="002C21B8">
        <w:rPr>
          <w:color w:val="000000"/>
        </w:rPr>
        <w:t>The d</w:t>
      </w:r>
      <w:r w:rsidR="008725AC" w:rsidRPr="002C21B8">
        <w:rPr>
          <w:color w:val="000000"/>
        </w:rPr>
        <w:t>egree of specialism and experience</w:t>
      </w:r>
      <w:r w:rsidR="00BE77BF" w:rsidRPr="002C21B8">
        <w:rPr>
          <w:color w:val="000000"/>
        </w:rPr>
        <w:t xml:space="preserve"> of clinicians</w:t>
      </w:r>
      <w:r w:rsidR="008725AC" w:rsidRPr="002C21B8">
        <w:rPr>
          <w:color w:val="000000"/>
        </w:rPr>
        <w:t xml:space="preserve"> was found to influence </w:t>
      </w:r>
      <w:r w:rsidR="00FC338B" w:rsidRPr="002C21B8">
        <w:rPr>
          <w:color w:val="000000"/>
        </w:rPr>
        <w:t xml:space="preserve">both </w:t>
      </w:r>
      <w:r w:rsidR="008725AC" w:rsidRPr="002C21B8">
        <w:rPr>
          <w:color w:val="000000"/>
        </w:rPr>
        <w:t xml:space="preserve">prescribing </w:t>
      </w:r>
      <w:r w:rsidR="00FC338B" w:rsidRPr="002C21B8">
        <w:rPr>
          <w:color w:val="000000"/>
        </w:rPr>
        <w:t>decision-making in chronic conditions</w:t>
      </w:r>
      <w:r w:rsidR="008725AC" w:rsidRPr="002C21B8">
        <w:rPr>
          <w:color w:val="000000"/>
        </w:rPr>
        <w:t xml:space="preserve"> </w:t>
      </w:r>
      <w:r w:rsidR="008725AC" w:rsidRPr="002C21B8">
        <w:rPr>
          <w:color w:val="000000"/>
        </w:rPr>
        <w:fldChar w:fldCharType="begin"/>
      </w:r>
      <w:r w:rsidR="008725AC" w:rsidRPr="002C21B8">
        <w:rPr>
          <w:color w:val="000000"/>
        </w:rPr>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008725AC" w:rsidRPr="002C21B8">
        <w:rPr>
          <w:color w:val="000000"/>
        </w:rPr>
        <w:fldChar w:fldCharType="separate"/>
      </w:r>
      <w:r w:rsidR="008725AC" w:rsidRPr="002C21B8">
        <w:rPr>
          <w:noProof/>
          <w:color w:val="000000"/>
        </w:rPr>
        <w:t>(Gittus</w:t>
      </w:r>
      <w:r w:rsidR="008725AC" w:rsidRPr="002C21B8">
        <w:rPr>
          <w:i/>
          <w:noProof/>
          <w:color w:val="000000"/>
        </w:rPr>
        <w:t xml:space="preserve"> et al.</w:t>
      </w:r>
      <w:r w:rsidR="008725AC" w:rsidRPr="002C21B8">
        <w:rPr>
          <w:noProof/>
          <w:color w:val="000000"/>
        </w:rPr>
        <w:t>, 2025b)</w:t>
      </w:r>
      <w:r w:rsidR="008725AC" w:rsidRPr="002C21B8">
        <w:rPr>
          <w:color w:val="000000"/>
        </w:rPr>
        <w:fldChar w:fldCharType="end"/>
      </w:r>
      <w:r w:rsidR="008725AC" w:rsidRPr="002C21B8">
        <w:rPr>
          <w:color w:val="000000"/>
        </w:rPr>
        <w:t xml:space="preserve"> and </w:t>
      </w:r>
      <w:r w:rsidR="007A45E0" w:rsidRPr="002C21B8">
        <w:rPr>
          <w:color w:val="000000"/>
        </w:rPr>
        <w:t xml:space="preserve">the </w:t>
      </w:r>
      <w:r w:rsidR="008725AC" w:rsidRPr="002C21B8">
        <w:rPr>
          <w:color w:val="000000"/>
        </w:rPr>
        <w:t xml:space="preserve">implementation of guidelines in rare diseases </w:t>
      </w:r>
      <w:r w:rsidR="008725AC" w:rsidRPr="002C21B8">
        <w:rPr>
          <w:color w:val="000000"/>
        </w:rPr>
        <w:fldChar w:fldCharType="begin">
          <w:fldData xml:space="preserve">PEVuZE5vdGU+PENpdGU+PEF1dGhvcj5HaXR0dXM8L0F1dGhvcj48WWVhcj4yMDIzPC9ZZWFyPjxS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==
</w:fldData>
        </w:fldChar>
      </w:r>
      <w:r w:rsidR="008725AC" w:rsidRPr="002C21B8">
        <w:rPr>
          <w:color w:val="000000"/>
        </w:rPr>
        <w:instrText xml:space="preserve"> ADDIN EN.CITE </w:instrText>
      </w:r>
      <w:r w:rsidR="008725AC" w:rsidRPr="002C21B8">
        <w:rPr>
          <w:color w:val="000000"/>
        </w:rPr>
        <w:fldChar w:fldCharType="begin">
          <w:fldData xml:space="preserve">PEVuZE5vdGU+PENpdGU+PEF1dGhvcj5HaXR0dXM8L0F1dGhvcj48WWVhcj4yMDIzPC9ZZWFyPjxS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==
</w:fldData>
        </w:fldChar>
      </w:r>
      <w:r w:rsidR="008725AC" w:rsidRPr="002C21B8">
        <w:rPr>
          <w:color w:val="000000"/>
        </w:rPr>
        <w:instrText xml:space="preserve"> ADDIN EN.CITE.DATA </w:instrText>
      </w:r>
      <w:r w:rsidR="008725AC" w:rsidRPr="002C21B8">
        <w:rPr>
          <w:color w:val="000000"/>
        </w:rPr>
      </w:r>
      <w:r w:rsidR="008725AC" w:rsidRPr="002C21B8">
        <w:rPr>
          <w:color w:val="000000"/>
        </w:rPr>
        <w:fldChar w:fldCharType="end"/>
      </w:r>
      <w:r w:rsidR="008725AC" w:rsidRPr="002C21B8">
        <w:rPr>
          <w:color w:val="000000"/>
        </w:rPr>
      </w:r>
      <w:r w:rsidR="008725AC" w:rsidRPr="002C21B8">
        <w:rPr>
          <w:color w:val="000000"/>
        </w:rPr>
        <w:fldChar w:fldCharType="separate"/>
      </w:r>
      <w:r w:rsidR="008725AC" w:rsidRPr="002C21B8">
        <w:rPr>
          <w:noProof/>
          <w:color w:val="000000"/>
        </w:rPr>
        <w:t>(Gittus</w:t>
      </w:r>
      <w:r w:rsidR="008725AC" w:rsidRPr="002C21B8">
        <w:rPr>
          <w:i/>
          <w:noProof/>
          <w:color w:val="000000"/>
        </w:rPr>
        <w:t xml:space="preserve"> et al.</w:t>
      </w:r>
      <w:r w:rsidR="008725AC" w:rsidRPr="002C21B8">
        <w:rPr>
          <w:noProof/>
          <w:color w:val="000000"/>
        </w:rPr>
        <w:t>, 2023a)</w:t>
      </w:r>
      <w:r w:rsidR="008725AC" w:rsidRPr="002C21B8">
        <w:rPr>
          <w:color w:val="000000"/>
        </w:rPr>
        <w:fldChar w:fldCharType="end"/>
      </w:r>
      <w:r w:rsidR="008725AC" w:rsidRPr="002C21B8">
        <w:rPr>
          <w:color w:val="000000"/>
        </w:rPr>
        <w:t>.</w:t>
      </w:r>
      <w:r w:rsidR="008E2981" w:rsidRPr="002C21B8">
        <w:rPr>
          <w:color w:val="000000"/>
        </w:rPr>
        <w:t xml:space="preserve"> </w:t>
      </w:r>
      <w:r w:rsidR="008725AC" w:rsidRPr="002C21B8">
        <w:rPr>
          <w:color w:val="000000"/>
        </w:rPr>
        <w:t xml:space="preserve">In the multiple case study, </w:t>
      </w:r>
      <w:r w:rsidR="008E2981" w:rsidRPr="002C21B8">
        <w:rPr>
          <w:color w:val="000000"/>
        </w:rPr>
        <w:t>lead clinicians with a specialist interest in ADPKD or renal genetics appeared to have greater experience with tolvaptan.</w:t>
      </w:r>
      <w:r w:rsidRPr="002C21B8">
        <w:rPr>
          <w:color w:val="000000"/>
        </w:rPr>
        <w:t xml:space="preserve"> </w:t>
      </w:r>
      <w:r w:rsidR="008E2981" w:rsidRPr="002C21B8">
        <w:rPr>
          <w:color w:val="000000"/>
        </w:rPr>
        <w:t xml:space="preserve">As discussed in </w:t>
      </w:r>
      <w:hyperlink w:anchor="_Condition-specific_vs_generalist" w:history="1">
        <w:r w:rsidR="008E2981" w:rsidRPr="002C21B8">
          <w:rPr>
            <w:rStyle w:val="Hyperlink"/>
          </w:rPr>
          <w:t>Section 9.4.1.1</w:t>
        </w:r>
      </w:hyperlink>
      <w:r w:rsidR="008E2981" w:rsidRPr="002C21B8">
        <w:rPr>
          <w:color w:val="000000"/>
        </w:rPr>
        <w:t>, this may be a result of the service configuration</w:t>
      </w:r>
      <w:r w:rsidR="0087788B" w:rsidRPr="002C21B8">
        <w:rPr>
          <w:color w:val="000000"/>
        </w:rPr>
        <w:t xml:space="preserve"> at the centre</w:t>
      </w:r>
      <w:r w:rsidR="00D74058" w:rsidRPr="002C21B8">
        <w:rPr>
          <w:color w:val="000000"/>
        </w:rPr>
        <w:t>. However,</w:t>
      </w:r>
      <w:r w:rsidR="008E2981" w:rsidRPr="002C21B8">
        <w:rPr>
          <w:color w:val="000000"/>
        </w:rPr>
        <w:t xml:space="preserve"> additional experience </w:t>
      </w:r>
      <w:r w:rsidR="00D74058" w:rsidRPr="002C21B8">
        <w:rPr>
          <w:color w:val="000000"/>
        </w:rPr>
        <w:t xml:space="preserve">appeared to </w:t>
      </w:r>
      <w:r w:rsidR="007555E8" w:rsidRPr="002C21B8">
        <w:rPr>
          <w:color w:val="000000"/>
        </w:rPr>
        <w:t>be acquired</w:t>
      </w:r>
      <w:r w:rsidR="008E2981" w:rsidRPr="002C21B8">
        <w:rPr>
          <w:color w:val="000000"/>
        </w:rPr>
        <w:t xml:space="preserve"> through participation in the original clinical trials for tolvaptan</w:t>
      </w:r>
      <w:r w:rsidR="00D74058" w:rsidRPr="002C21B8">
        <w:rPr>
          <w:color w:val="000000"/>
        </w:rPr>
        <w:t xml:space="preserve">, as well as through engagement in </w:t>
      </w:r>
      <w:r w:rsidR="008E2981" w:rsidRPr="002C21B8">
        <w:rPr>
          <w:color w:val="000000"/>
        </w:rPr>
        <w:t>informal networks with</w:t>
      </w:r>
      <w:r w:rsidR="00D74058" w:rsidRPr="002C21B8">
        <w:rPr>
          <w:color w:val="000000"/>
        </w:rPr>
        <w:t xml:space="preserve"> </w:t>
      </w:r>
      <w:r w:rsidR="008E2981" w:rsidRPr="002C21B8">
        <w:rPr>
          <w:color w:val="000000"/>
        </w:rPr>
        <w:t xml:space="preserve">specialist </w:t>
      </w:r>
      <w:r w:rsidR="0005337D" w:rsidRPr="002C21B8">
        <w:rPr>
          <w:color w:val="000000"/>
        </w:rPr>
        <w:t>clinicians</w:t>
      </w:r>
      <w:r w:rsidR="008E2981" w:rsidRPr="002C21B8">
        <w:rPr>
          <w:color w:val="000000"/>
        </w:rPr>
        <w:t xml:space="preserve"> at other centres. </w:t>
      </w:r>
      <w:r w:rsidR="00D74058" w:rsidRPr="002C21B8">
        <w:rPr>
          <w:color w:val="000000"/>
        </w:rPr>
        <w:t xml:space="preserve">Collectively, these experiences appeared to </w:t>
      </w:r>
      <w:r w:rsidR="0005337D" w:rsidRPr="002C21B8">
        <w:rPr>
          <w:color w:val="000000"/>
        </w:rPr>
        <w:t xml:space="preserve">be associated with a more proactive approach to tolvaptan prescribing. Centres </w:t>
      </w:r>
      <w:r w:rsidR="0087788B" w:rsidRPr="002C21B8">
        <w:rPr>
          <w:color w:val="000000"/>
        </w:rPr>
        <w:t>without</w:t>
      </w:r>
      <w:r w:rsidR="00D74058" w:rsidRPr="002C21B8">
        <w:rPr>
          <w:color w:val="000000"/>
        </w:rPr>
        <w:t xml:space="preserve"> lead clinicians </w:t>
      </w:r>
      <w:r w:rsidR="00E537B9" w:rsidRPr="002C21B8">
        <w:rPr>
          <w:color w:val="000000"/>
        </w:rPr>
        <w:t xml:space="preserve">that have </w:t>
      </w:r>
      <w:r w:rsidR="00810BC3" w:rsidRPr="002C21B8">
        <w:rPr>
          <w:color w:val="000000"/>
        </w:rPr>
        <w:t>a</w:t>
      </w:r>
      <w:r w:rsidR="00D74058" w:rsidRPr="002C21B8">
        <w:rPr>
          <w:color w:val="000000"/>
        </w:rPr>
        <w:t xml:space="preserve"> specialist interest in ADPKD or renal genetics may have less access to experiential learning through clinical trials and informal networks. </w:t>
      </w:r>
      <w:r w:rsidRPr="002C21B8">
        <w:t>Importantly, th</w:t>
      </w:r>
      <w:r w:rsidR="0087788B" w:rsidRPr="002C21B8">
        <w:t>is may have an influence</w:t>
      </w:r>
      <w:r w:rsidR="00810BC3" w:rsidRPr="002C21B8">
        <w:t xml:space="preserve"> on</w:t>
      </w:r>
      <w:r w:rsidR="0087788B" w:rsidRPr="002C21B8">
        <w:t xml:space="preserve"> prescribing at the centre, as approaches appear to align with the practices of the lead clinician. </w:t>
      </w:r>
      <w:r w:rsidRPr="002C21B8">
        <w:rPr>
          <w:color w:val="000000"/>
        </w:rPr>
        <w:t>The survey demonstrate</w:t>
      </w:r>
      <w:r w:rsidR="008E2981" w:rsidRPr="002C21B8">
        <w:rPr>
          <w:color w:val="000000"/>
        </w:rPr>
        <w:t>d</w:t>
      </w:r>
      <w:r w:rsidRPr="002C21B8">
        <w:rPr>
          <w:color w:val="000000"/>
        </w:rPr>
        <w:t xml:space="preserve"> that around three quarters of kidney centres described themselves as being led by a clinician with a specialist interest in ADPKD or renal genetics, and around half of the kidney centres were involved in the clinical trials</w:t>
      </w:r>
      <w:r w:rsidR="00D74058" w:rsidRPr="002C21B8">
        <w:rPr>
          <w:color w:val="000000"/>
        </w:rPr>
        <w:t>.</w:t>
      </w:r>
    </w:p>
    <w:p w14:paraId="006FDF55" w14:textId="5F697856" w:rsidR="008725AC" w:rsidRPr="002C21B8" w:rsidRDefault="00FF085E" w:rsidP="00A761AB">
      <w:pPr>
        <w:rPr>
          <w:color w:val="000000"/>
        </w:rPr>
      </w:pPr>
      <w:r w:rsidRPr="002C21B8">
        <w:rPr>
          <w:color w:val="000000"/>
        </w:rPr>
        <w:t>T</w:t>
      </w:r>
      <w:r w:rsidR="00744775" w:rsidRPr="002C21B8">
        <w:rPr>
          <w:color w:val="000000"/>
        </w:rPr>
        <w:t xml:space="preserve">here is limited </w:t>
      </w:r>
      <w:r w:rsidR="006D7249" w:rsidRPr="002C21B8">
        <w:rPr>
          <w:color w:val="000000"/>
        </w:rPr>
        <w:t>wider literature</w:t>
      </w:r>
      <w:r w:rsidR="00744775" w:rsidRPr="002C21B8">
        <w:rPr>
          <w:color w:val="000000"/>
        </w:rPr>
        <w:t xml:space="preserve"> regarding the impact of participation in clinical trials on clinician </w:t>
      </w:r>
      <w:r w:rsidR="006D7249" w:rsidRPr="002C21B8">
        <w:rPr>
          <w:color w:val="000000"/>
        </w:rPr>
        <w:t>prescribing</w:t>
      </w:r>
      <w:r w:rsidR="00744775" w:rsidRPr="002C21B8">
        <w:rPr>
          <w:color w:val="000000"/>
        </w:rPr>
        <w:t xml:space="preserve"> behaviour. </w:t>
      </w:r>
      <w:r w:rsidR="006D7249" w:rsidRPr="002C21B8">
        <w:rPr>
          <w:color w:val="000000"/>
        </w:rPr>
        <w:fldChar w:fldCharType="begin"/>
      </w:r>
      <w:r w:rsidR="006D7249" w:rsidRPr="002C21B8">
        <w:rPr>
          <w:color w:val="000000"/>
        </w:rPr>
        <w:instrText xml:space="preserve"> ADDIN EN.CITE &lt;EndNote&gt;&lt;Cite AuthorYear="1"&gt;&lt;Author&gt;Andersen&lt;/Author&gt;&lt;Year&gt;2006&lt;/Year&gt;&lt;RecNum&gt;125600&lt;/RecNum&gt;&lt;DisplayText&gt;Andersen, Kragstrup and Søndergaard (2006)&lt;/DisplayText&gt;&lt;record&gt;&lt;rec-number&gt;125600&lt;/rec-number&gt;&lt;foreign-keys&gt;&lt;key app="EN" db-id="xpefzwa5hf9dt2ea9fax95x7xvxz90v09dtf" timestamp="1778784533"&gt;125600&lt;/key&gt;&lt;/foreign-keys&gt;&lt;ref-type name="Journal Article"&gt;17&lt;/ref-type&gt;&lt;contributors&gt;&lt;authors&gt;&lt;author&gt;Andersen, Morten&lt;/author&gt;&lt;author&gt;Kragstrup, Jakob&lt;/author&gt;&lt;author&gt;Søndergaard, Jens&lt;/author&gt;&lt;/authors&gt;&lt;/contributors&gt;&lt;titles&gt;&lt;title&gt;How conducting a clinical trial affects physicians&amp;apos; guideline adherence and drug preferences&lt;/title&gt;&lt;secondary-title&gt;JAMA&lt;/secondary-title&gt;&lt;/titles&gt;&lt;periodical&gt;&lt;full-title&gt;JAMA&lt;/full-title&gt;&lt;/periodical&gt;&lt;pages&gt;2759-2764&lt;/pages&gt;&lt;volume&gt;295&lt;/volume&gt;&lt;number&gt;23&lt;/number&gt;&lt;dates&gt;&lt;year&gt;2006&lt;/year&gt;&lt;/dates&gt;&lt;isbn&gt;0098-7484&lt;/isbn&gt;&lt;urls&gt;&lt;/urls&gt;&lt;/record&gt;&lt;/Cite&gt;&lt;/EndNote&gt;</w:instrText>
      </w:r>
      <w:r w:rsidR="006D7249" w:rsidRPr="002C21B8">
        <w:rPr>
          <w:color w:val="000000"/>
        </w:rPr>
        <w:fldChar w:fldCharType="separate"/>
      </w:r>
      <w:r w:rsidR="006D7249" w:rsidRPr="002C21B8">
        <w:rPr>
          <w:noProof/>
          <w:color w:val="000000"/>
        </w:rPr>
        <w:t>Andersen, Kragstrup and Søndergaard (2006)</w:t>
      </w:r>
      <w:r w:rsidR="006D7249" w:rsidRPr="002C21B8">
        <w:rPr>
          <w:color w:val="000000"/>
        </w:rPr>
        <w:fldChar w:fldCharType="end"/>
      </w:r>
      <w:r w:rsidR="006D7249" w:rsidRPr="002C21B8">
        <w:rPr>
          <w:color w:val="000000"/>
        </w:rPr>
        <w:t xml:space="preserve"> assessed </w:t>
      </w:r>
      <w:r w:rsidR="00744775" w:rsidRPr="002C21B8">
        <w:rPr>
          <w:color w:val="000000"/>
        </w:rPr>
        <w:t xml:space="preserve">the effect of </w:t>
      </w:r>
      <w:r w:rsidR="006D7249" w:rsidRPr="002C21B8">
        <w:rPr>
          <w:color w:val="000000"/>
        </w:rPr>
        <w:t xml:space="preserve">participating in an asthma </w:t>
      </w:r>
      <w:r w:rsidR="0092222C" w:rsidRPr="002C21B8">
        <w:rPr>
          <w:color w:val="000000"/>
        </w:rPr>
        <w:t xml:space="preserve">clinical </w:t>
      </w:r>
      <w:r w:rsidR="006D7249" w:rsidRPr="002C21B8">
        <w:rPr>
          <w:color w:val="000000"/>
        </w:rPr>
        <w:t xml:space="preserve">trial on </w:t>
      </w:r>
      <w:r w:rsidR="00744775" w:rsidRPr="002C21B8">
        <w:rPr>
          <w:color w:val="000000"/>
        </w:rPr>
        <w:t>general practitioners</w:t>
      </w:r>
      <w:r w:rsidR="0092222C" w:rsidRPr="002C21B8">
        <w:rPr>
          <w:color w:val="000000"/>
        </w:rPr>
        <w:t>’</w:t>
      </w:r>
      <w:r w:rsidR="00744775" w:rsidRPr="002C21B8">
        <w:rPr>
          <w:color w:val="000000"/>
        </w:rPr>
        <w:t xml:space="preserve"> </w:t>
      </w:r>
      <w:r w:rsidR="006D7249" w:rsidRPr="002C21B8">
        <w:rPr>
          <w:color w:val="000000"/>
        </w:rPr>
        <w:t xml:space="preserve">subsequent </w:t>
      </w:r>
      <w:r w:rsidR="00744775" w:rsidRPr="002C21B8">
        <w:rPr>
          <w:color w:val="000000"/>
        </w:rPr>
        <w:t>p</w:t>
      </w:r>
      <w:r w:rsidR="006D7249" w:rsidRPr="002C21B8">
        <w:rPr>
          <w:color w:val="000000"/>
        </w:rPr>
        <w:t xml:space="preserve">rescribing practices. </w:t>
      </w:r>
      <w:r w:rsidR="0092222C" w:rsidRPr="002C21B8">
        <w:rPr>
          <w:color w:val="000000"/>
        </w:rPr>
        <w:t>In this study, p</w:t>
      </w:r>
      <w:r w:rsidR="006D7249" w:rsidRPr="002C21B8">
        <w:rPr>
          <w:color w:val="000000"/>
        </w:rPr>
        <w:t xml:space="preserve">articipation </w:t>
      </w:r>
      <w:r w:rsidR="0092222C" w:rsidRPr="002C21B8">
        <w:rPr>
          <w:color w:val="000000"/>
        </w:rPr>
        <w:t xml:space="preserve">in the clinical trial </w:t>
      </w:r>
      <w:r w:rsidR="006D7249" w:rsidRPr="002C21B8">
        <w:rPr>
          <w:color w:val="000000"/>
        </w:rPr>
        <w:t>did not lead to improved guideline adherence, but did increase the use of the trial sponsor’s medication.</w:t>
      </w:r>
      <w:r w:rsidR="00613F74" w:rsidRPr="002C21B8">
        <w:rPr>
          <w:color w:val="000000"/>
        </w:rPr>
        <w:t xml:space="preserve"> However, this was in the context of a very common condition in primary care</w:t>
      </w:r>
      <w:r w:rsidR="00B44813" w:rsidRPr="002C21B8">
        <w:rPr>
          <w:color w:val="000000"/>
        </w:rPr>
        <w:t>,</w:t>
      </w:r>
      <w:r w:rsidR="00613F74" w:rsidRPr="002C21B8">
        <w:rPr>
          <w:color w:val="000000"/>
        </w:rPr>
        <w:t xml:space="preserve"> so </w:t>
      </w:r>
      <w:r w:rsidR="00B44813" w:rsidRPr="002C21B8">
        <w:rPr>
          <w:color w:val="000000"/>
        </w:rPr>
        <w:t xml:space="preserve">it </w:t>
      </w:r>
      <w:r w:rsidR="0092222C" w:rsidRPr="002C21B8">
        <w:rPr>
          <w:color w:val="000000"/>
        </w:rPr>
        <w:t>may be</w:t>
      </w:r>
      <w:r w:rsidR="00613F74" w:rsidRPr="002C21B8">
        <w:rPr>
          <w:color w:val="000000"/>
        </w:rPr>
        <w:t xml:space="preserve"> difficult to compare to the findings in this research. </w:t>
      </w:r>
      <w:r w:rsidR="00784115" w:rsidRPr="002C21B8">
        <w:rPr>
          <w:color w:val="000000"/>
        </w:rPr>
        <w:t>In contrast, there is a substantial body of literature demonstrating that professional networks can shape prescribing behaviour through “social contagion”</w:t>
      </w:r>
      <w:r w:rsidR="00EE6186" w:rsidRPr="002C21B8">
        <w:rPr>
          <w:color w:val="000000"/>
        </w:rPr>
        <w:t xml:space="preserve"> effects</w:t>
      </w:r>
      <w:r w:rsidR="00784115" w:rsidRPr="002C21B8">
        <w:rPr>
          <w:color w:val="000000"/>
        </w:rPr>
        <w:t>, where</w:t>
      </w:r>
      <w:r w:rsidR="00D169B9" w:rsidRPr="002C21B8">
        <w:rPr>
          <w:color w:val="000000"/>
        </w:rPr>
        <w:t xml:space="preserve"> prescribing habits and clinical opinions can spread rapidly through professional and social ties. C</w:t>
      </w:r>
      <w:r w:rsidR="00784115" w:rsidRPr="002C21B8">
        <w:rPr>
          <w:color w:val="000000"/>
        </w:rPr>
        <w:t xml:space="preserve">linicians embedded within these </w:t>
      </w:r>
      <w:r w:rsidR="009A3CB4" w:rsidRPr="002C21B8">
        <w:rPr>
          <w:color w:val="000000"/>
        </w:rPr>
        <w:t xml:space="preserve">professional </w:t>
      </w:r>
      <w:r w:rsidR="00784115" w:rsidRPr="002C21B8">
        <w:rPr>
          <w:color w:val="000000"/>
        </w:rPr>
        <w:t xml:space="preserve">networks show greater willingness to adopt </w:t>
      </w:r>
      <w:r w:rsidR="0092222C" w:rsidRPr="002C21B8">
        <w:rPr>
          <w:color w:val="000000"/>
        </w:rPr>
        <w:t xml:space="preserve">new medications </w:t>
      </w:r>
      <w:r w:rsidR="00784115" w:rsidRPr="002C21B8">
        <w:rPr>
          <w:color w:val="000000"/>
        </w:rPr>
        <w:t xml:space="preserve">and have higher </w:t>
      </w:r>
      <w:r w:rsidR="0092222C" w:rsidRPr="002C21B8">
        <w:rPr>
          <w:color w:val="000000"/>
        </w:rPr>
        <w:t xml:space="preserve">rates of </w:t>
      </w:r>
      <w:r w:rsidR="00784115" w:rsidRPr="002C21B8">
        <w:rPr>
          <w:color w:val="000000"/>
        </w:rPr>
        <w:t xml:space="preserve">uptake </w:t>
      </w:r>
      <w:r w:rsidR="006D7249" w:rsidRPr="002C21B8">
        <w:rPr>
          <w:color w:val="000000"/>
        </w:rPr>
        <w:fldChar w:fldCharType="begin">
          <w:fldData xml:space="preserve">PEVuZE5vdGU+PENpdGU+PEF1dGhvcj5DZW50b2xhPC9BdXRob3I+PFllYXI+MjAyMDwvWWVhcj48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</w:fldData>
        </w:fldChar>
      </w:r>
      <w:r w:rsidR="001246ED" w:rsidRPr="002C21B8">
        <w:rPr>
          <w:color w:val="000000"/>
        </w:rPr>
        <w:instrText xml:space="preserve"> ADDIN EN.CITE </w:instrText>
      </w:r>
      <w:r w:rsidR="001246ED" w:rsidRPr="002C21B8">
        <w:rPr>
          <w:color w:val="000000"/>
        </w:rPr>
        <w:fldChar w:fldCharType="begin">
          <w:fldData xml:space="preserve">PEVuZE5vdGU+PENpdGU+PEF1dGhvcj5DZW50b2xhPC9BdXRob3I+PFllYXI+MjAyMDwvWWVhcj48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</w:fldData>
        </w:fldChar>
      </w:r>
      <w:r w:rsidR="001246ED" w:rsidRPr="002C21B8">
        <w:rPr>
          <w:color w:val="000000"/>
        </w:rPr>
        <w:instrText xml:space="preserve"> ADDIN EN.CITE.DATA </w:instrText>
      </w:r>
      <w:r w:rsidR="001246ED" w:rsidRPr="002C21B8">
        <w:rPr>
          <w:color w:val="000000"/>
        </w:rPr>
      </w:r>
      <w:r w:rsidR="001246ED" w:rsidRPr="002C21B8">
        <w:rPr>
          <w:color w:val="000000"/>
        </w:rPr>
        <w:fldChar w:fldCharType="end"/>
      </w:r>
      <w:r w:rsidR="006D7249" w:rsidRPr="002C21B8">
        <w:rPr>
          <w:color w:val="000000"/>
        </w:rPr>
      </w:r>
      <w:r w:rsidR="006D7249" w:rsidRPr="002C21B8">
        <w:rPr>
          <w:color w:val="000000"/>
        </w:rPr>
        <w:fldChar w:fldCharType="separate"/>
      </w:r>
      <w:r w:rsidR="001246ED" w:rsidRPr="002C21B8">
        <w:rPr>
          <w:noProof/>
          <w:color w:val="000000"/>
        </w:rPr>
        <w:t>(Centola, 2020; Christakis and Fowler, 2011; Donohue</w:t>
      </w:r>
      <w:r w:rsidR="001246ED" w:rsidRPr="002C21B8">
        <w:rPr>
          <w:i/>
          <w:noProof/>
          <w:color w:val="000000"/>
        </w:rPr>
        <w:t xml:space="preserve"> et al.</w:t>
      </w:r>
      <w:r w:rsidR="001246ED" w:rsidRPr="002C21B8">
        <w:rPr>
          <w:noProof/>
          <w:color w:val="000000"/>
        </w:rPr>
        <w:t>, 2018)</w:t>
      </w:r>
      <w:r w:rsidR="006D7249" w:rsidRPr="002C21B8">
        <w:rPr>
          <w:color w:val="000000"/>
        </w:rPr>
        <w:fldChar w:fldCharType="end"/>
      </w:r>
      <w:r w:rsidR="00784115" w:rsidRPr="002C21B8">
        <w:rPr>
          <w:color w:val="000000"/>
        </w:rPr>
        <w:t>.</w:t>
      </w:r>
    </w:p>
    <w:p w14:paraId="0618BC8F" w14:textId="71088F8E" w:rsidR="003A42CB" w:rsidRPr="002C21B8" w:rsidRDefault="008906D8" w:rsidP="002E60A1">
      <w:pPr>
        <w:pStyle w:val="Heading4"/>
      </w:pPr>
      <w:r w:rsidRPr="002C21B8">
        <w:t>Perspective</w:t>
      </w:r>
      <w:r w:rsidR="003A42CB" w:rsidRPr="002C21B8">
        <w:t>s of lead clinician</w:t>
      </w:r>
      <w:r w:rsidR="00992A4C" w:rsidRPr="002C21B8">
        <w:t>s</w:t>
      </w:r>
    </w:p>
    <w:p w14:paraId="657A9DA0" w14:textId="2FB48EBF" w:rsidR="00F97143" w:rsidRDefault="00617B20" w:rsidP="00F97143">
      <w:r w:rsidRPr="002C21B8">
        <w:t>The overview of reviews in this thesis identified that the perspective of prescribers</w:t>
      </w:r>
      <w:r w:rsidR="00405536" w:rsidRPr="002C21B8">
        <w:t xml:space="preserve"> </w:t>
      </w:r>
      <w:r w:rsidRPr="002C21B8">
        <w:t>w</w:t>
      </w:r>
      <w:r w:rsidR="00C0413C" w:rsidRPr="002C21B8">
        <w:t>as</w:t>
      </w:r>
      <w:r w:rsidRPr="002C21B8">
        <w:t xml:space="preserve"> one of the factors influencing prescribing decision-making for chronic conditions. </w:t>
      </w:r>
      <w:r w:rsidR="006C387E" w:rsidRPr="002C21B8">
        <w:t xml:space="preserve">In the survey and multiple case study, clinicians held differing perspectives on the benefits of tolvaptan. </w:t>
      </w:r>
      <w:r w:rsidR="00405536" w:rsidRPr="002C21B8">
        <w:t>M</w:t>
      </w:r>
      <w:r w:rsidR="002E60A1" w:rsidRPr="002C21B8">
        <w:t xml:space="preserve">ost </w:t>
      </w:r>
      <w:r w:rsidR="00A761AB" w:rsidRPr="002C21B8">
        <w:t xml:space="preserve">lead clinicians </w:t>
      </w:r>
      <w:r w:rsidR="00405536" w:rsidRPr="002C21B8">
        <w:t xml:space="preserve">in the survey </w:t>
      </w:r>
      <w:r w:rsidR="002E60A1" w:rsidRPr="002C21B8">
        <w:t xml:space="preserve">reported </w:t>
      </w:r>
      <w:r w:rsidR="00FF4B97" w:rsidRPr="002C21B8">
        <w:t xml:space="preserve">that they believed tolvaptan had </w:t>
      </w:r>
      <w:r w:rsidR="002E60A1" w:rsidRPr="002C21B8">
        <w:t>a moderate or substantial benefit</w:t>
      </w:r>
      <w:r w:rsidR="00C0413C" w:rsidRPr="002C21B8">
        <w:t xml:space="preserve">, </w:t>
      </w:r>
      <w:r w:rsidR="002E60A1" w:rsidRPr="002C21B8">
        <w:t xml:space="preserve">but a small proportion </w:t>
      </w:r>
      <w:r w:rsidR="00A761AB" w:rsidRPr="002C21B8">
        <w:t xml:space="preserve">believed </w:t>
      </w:r>
      <w:r w:rsidR="00FF4B97" w:rsidRPr="002C21B8">
        <w:t>there was</w:t>
      </w:r>
      <w:r w:rsidR="00A761AB" w:rsidRPr="002C21B8">
        <w:t xml:space="preserve"> </w:t>
      </w:r>
      <w:r w:rsidR="002E60A1" w:rsidRPr="002C21B8">
        <w:t xml:space="preserve">limited or no benefit. </w:t>
      </w:r>
      <w:r w:rsidR="00ED1CFA" w:rsidRPr="002C21B8">
        <w:t>Different perspectives were also evident in the multiple case study. One lead clinician described being sceptical about the potential benefits. However, the lead clinician at another centre had seen many patients benefit from taking tolva</w:t>
      </w:r>
      <w:r w:rsidR="008D4C22" w:rsidRPr="002C21B8">
        <w:t>p</w:t>
      </w:r>
      <w:r w:rsidR="00ED1CFA" w:rsidRPr="002C21B8">
        <w:t>tan</w:t>
      </w:r>
      <w:r w:rsidR="006F51F3" w:rsidRPr="002C21B8">
        <w:t>,</w:t>
      </w:r>
      <w:r w:rsidR="00ED1CFA" w:rsidRPr="002C21B8">
        <w:t xml:space="preserve"> so was much more convinced of its benefits. </w:t>
      </w:r>
      <w:r w:rsidR="00DC6AA1" w:rsidRPr="002C21B8">
        <w:t>As discussed in the previous section, prescribing approaches at centres appeared to align</w:t>
      </w:r>
      <w:r w:rsidR="00AA6284" w:rsidRPr="002C21B8">
        <w:t xml:space="preserve"> with</w:t>
      </w:r>
      <w:r w:rsidR="00DC6AA1" w:rsidRPr="002C21B8">
        <w:t xml:space="preserve"> those of their lead clinician.</w:t>
      </w:r>
    </w:p>
    <w:p w14:paraId="6B3B5F88" w14:textId="601884CD" w:rsidR="00F97143" w:rsidRPr="00F97143" w:rsidRDefault="00F97143" w:rsidP="00F97143">
      <w:r w:rsidRPr="00F97143">
        <w:t>The perspectives of the lead clinicians appeared to be highly influential on the other clinicians within the healthcare team</w:t>
      </w:r>
      <w:r>
        <w:t xml:space="preserve"> in the multiple case study</w:t>
      </w:r>
      <w:r w:rsidR="00EB4511">
        <w:t xml:space="preserve">, including when making value judgements about whether the anticipated benefits of </w:t>
      </w:r>
      <w:r w:rsidRPr="00F97143">
        <w:t>tolvaptan justified its</w:t>
      </w:r>
      <w:r>
        <w:t xml:space="preserve"> perceived</w:t>
      </w:r>
      <w:r w:rsidRPr="00F97143">
        <w:t xml:space="preserve"> burdens</w:t>
      </w:r>
      <w:r>
        <w:t xml:space="preserve">. </w:t>
      </w:r>
      <w:r w:rsidR="00EB4511">
        <w:t xml:space="preserve">These judgements related to clinicians’ perceptions of the magnitude of tolvaptan’s treatment effect and whether this was sufficient to outweigh the adverse effects, risk of hepatotoxicity, monitoring requirements and </w:t>
      </w:r>
      <w:r w:rsidR="000E01E8">
        <w:t xml:space="preserve">the </w:t>
      </w:r>
      <w:r w:rsidR="00EB4511">
        <w:t>impact on quality of life associate</w:t>
      </w:r>
      <w:r w:rsidR="000E01E8">
        <w:t>d</w:t>
      </w:r>
      <w:r w:rsidR="00EB4511">
        <w:t xml:space="preserve"> with treatment. </w:t>
      </w:r>
      <w:r w:rsidRPr="00F97143">
        <w:t>Although these judgements were made within the context of the available evidence, they reflected individual clinicians' interpretations of the balance between benefit and harm rather than differences in the evidence itself. Consequently, patients with similar clinical characteristics could receive different treatment recommendations depending on how clinicians weighed these competing considerations. Reducing unwarranted variation may therefore require greater support for evidence-based decision-making including clearer guidance on interpreting treatment benefit, multidisciplinary discussion of borderline cases, regular audit and benchmarking of prescribing decisions, and shared decision-making tools</w:t>
      </w:r>
      <w:r>
        <w:t>.</w:t>
      </w:r>
    </w:p>
    <w:p w14:paraId="6F638034" w14:textId="2AE7B2FD" w:rsidR="0089087D" w:rsidRPr="002C21B8" w:rsidRDefault="002E60A1" w:rsidP="0089087D">
      <w:r w:rsidRPr="002C21B8">
        <w:t xml:space="preserve">Similar effects have been shown in other disease settings. </w:t>
      </w:r>
      <w:r w:rsidR="00A761AB" w:rsidRPr="002C21B8">
        <w:t xml:space="preserve">In the context of rheumatoid arthritis, </w:t>
      </w:r>
      <w:r w:rsidRPr="002C21B8">
        <w:t xml:space="preserve">rheumatologists reported that the </w:t>
      </w:r>
      <w:r w:rsidR="00EC6333" w:rsidRPr="002C21B8">
        <w:t>perspective</w:t>
      </w:r>
      <w:r w:rsidRPr="002C21B8">
        <w:t>s</w:t>
      </w:r>
      <w:r w:rsidR="00002005" w:rsidRPr="002C21B8">
        <w:t xml:space="preserve"> </w:t>
      </w:r>
      <w:r w:rsidRPr="002C21B8">
        <w:t>of the</w:t>
      </w:r>
      <w:r w:rsidR="00002005" w:rsidRPr="002C21B8">
        <w:t xml:space="preserve"> clinical</w:t>
      </w:r>
      <w:r w:rsidRPr="002C21B8">
        <w:t xml:space="preserve"> lead </w:t>
      </w:r>
      <w:r w:rsidR="00002005" w:rsidRPr="002C21B8">
        <w:t xml:space="preserve">in </w:t>
      </w:r>
      <w:r w:rsidRPr="002C21B8">
        <w:t>the department had a significant influence</w:t>
      </w:r>
      <w:r w:rsidR="008B2B5B" w:rsidRPr="002C21B8">
        <w:t>,</w:t>
      </w:r>
      <w:r w:rsidRPr="002C21B8">
        <w:t xml:space="preserve"> </w:t>
      </w:r>
      <w:r w:rsidR="00A761AB" w:rsidRPr="002C21B8">
        <w:t>which</w:t>
      </w:r>
      <w:r w:rsidRPr="002C21B8">
        <w:t xml:space="preserve"> could either facilitate or inhibit</w:t>
      </w:r>
      <w:r w:rsidR="00C0413C" w:rsidRPr="002C21B8">
        <w:t xml:space="preserve"> the</w:t>
      </w:r>
      <w:r w:rsidRPr="002C21B8">
        <w:t xml:space="preserve"> prescription of biologics. </w:t>
      </w:r>
      <w:r w:rsidR="0089087D" w:rsidRPr="002C21B8">
        <w:t>Similar to the findings in the multiple case study, t</w:t>
      </w:r>
      <w:r w:rsidRPr="002C21B8">
        <w:t>his was related to their attitudes towards new medic</w:t>
      </w:r>
      <w:r w:rsidR="009966FD" w:rsidRPr="002C21B8">
        <w:t>ations</w:t>
      </w:r>
      <w:r w:rsidRPr="002C21B8">
        <w:t>, perceived risks and benefits of the medic</w:t>
      </w:r>
      <w:r w:rsidR="009966FD" w:rsidRPr="002C21B8">
        <w:t>ation</w:t>
      </w:r>
      <w:r w:rsidR="006C387E" w:rsidRPr="002C21B8">
        <w:t>,</w:t>
      </w:r>
      <w:r w:rsidRPr="002C21B8">
        <w:t xml:space="preserve"> and </w:t>
      </w:r>
      <w:r w:rsidR="006C387E" w:rsidRPr="002C21B8">
        <w:t>to some degree</w:t>
      </w:r>
      <w:r w:rsidR="000179D0" w:rsidRPr="002C21B8">
        <w:t>,</w:t>
      </w:r>
      <w:r w:rsidR="006C387E" w:rsidRPr="002C21B8">
        <w:t xml:space="preserve"> </w:t>
      </w:r>
      <w:r w:rsidRPr="002C21B8">
        <w:t xml:space="preserve">financial considerations </w:t>
      </w:r>
      <w:r w:rsidRPr="002C21B8">
        <w:fldChar w:fldCharType="begin"/>
      </w:r>
      <w:r w:rsidRPr="002C21B8">
        <w:instrText xml:space="preserve"> ADDIN EN.CITE &lt;EndNote&gt;&lt;Cite&gt;&lt;Author&gt;Kalkan&lt;/Author&gt;&lt;Year&gt;2014&lt;/Year&gt;&lt;RecNum&gt;125087&lt;/RecNum&gt;&lt;DisplayText&gt;(Kalkan&lt;style face="italic"&gt; et al.&lt;/style&gt;, 2014)&lt;/DisplayText&gt;&lt;record&gt;&lt;rec-number&gt;125087&lt;/rec-number&gt;&lt;foreign-keys&gt;&lt;key app="EN" db-id="xpefzwa5hf9dt2ea9fax95x7xvxz90v09dtf" timestamp="1764083936"&gt;125087&lt;/key&gt;&lt;/foreign-keys&gt;&lt;ref-type name="Journal Article"&gt;17&lt;/ref-type&gt;&lt;contributors&gt;&lt;authors&gt;&lt;author&gt;Kalkan, Almina&lt;/author&gt;&lt;author&gt;Roback, Kerstin&lt;/author&gt;&lt;author&gt;Hallert, Eva&lt;/author&gt;&lt;author&gt;Carlsson, Per&lt;/author&gt;&lt;/authors&gt;&lt;/contributors&gt;&lt;titles&gt;&lt;title&gt;Factors influencing rheumatologists’ prescription of biological treatment in rheumatoid arthritis: an interview study&lt;/title&gt;&lt;secondary-title&gt;Implementation Science&lt;/secondary-title&gt;&lt;/titles&gt;&lt;periodical&gt;&lt;full-title&gt;Implementation Science&lt;/full-title&gt;&lt;/periodical&gt;&lt;pages&gt;153&lt;/pages&gt;&lt;volume&gt;9&lt;/volume&gt;&lt;number&gt;1&lt;/number&gt;&lt;dates&gt;&lt;year&gt;2014&lt;/year&gt;&lt;/dates&gt;&lt;isbn&gt;1748-5908&lt;/isbn&gt;&lt;urls&gt;&lt;/urls&gt;&lt;/record&gt;&lt;/Cite&gt;&lt;/EndNote&gt;</w:instrText>
      </w:r>
      <w:r w:rsidRPr="002C21B8">
        <w:fldChar w:fldCharType="separate"/>
      </w:r>
      <w:r w:rsidRPr="002C21B8">
        <w:rPr>
          <w:noProof/>
        </w:rPr>
        <w:t>(Kalkan</w:t>
      </w:r>
      <w:r w:rsidRPr="002C21B8">
        <w:rPr>
          <w:i/>
          <w:noProof/>
        </w:rPr>
        <w:t xml:space="preserve"> et al.</w:t>
      </w:r>
      <w:r w:rsidRPr="002C21B8">
        <w:rPr>
          <w:noProof/>
        </w:rPr>
        <w:t>, 2014)</w:t>
      </w:r>
      <w:r w:rsidRPr="002C21B8">
        <w:fldChar w:fldCharType="end"/>
      </w:r>
      <w:r w:rsidRPr="002C21B8">
        <w:t>.</w:t>
      </w:r>
    </w:p>
    <w:p w14:paraId="3F956AB8" w14:textId="5F7D53FB" w:rsidR="008D1D22" w:rsidRPr="002C21B8" w:rsidRDefault="00DB0105" w:rsidP="004507C8">
      <w:pPr>
        <w:pStyle w:val="Heading3"/>
      </w:pPr>
      <w:r w:rsidRPr="002C21B8">
        <w:t>Wider healthcare team members supporting consistency in practice</w:t>
      </w:r>
    </w:p>
    <w:p w14:paraId="002E15AA" w14:textId="01FEA774" w:rsidR="001A70B6" w:rsidRPr="002C21B8" w:rsidRDefault="008D1D22" w:rsidP="00A11796">
      <w:pPr>
        <w:rPr>
          <w:color w:val="000000"/>
        </w:rPr>
      </w:pPr>
      <w:r w:rsidRPr="002C21B8">
        <w:rPr>
          <w:color w:val="000000"/>
        </w:rPr>
        <w:t xml:space="preserve">Involvement of other healthcare professionals, in addition to doctors, appeared to influence </w:t>
      </w:r>
      <w:r w:rsidR="006164D7" w:rsidRPr="002C21B8">
        <w:rPr>
          <w:color w:val="000000"/>
        </w:rPr>
        <w:t xml:space="preserve">the </w:t>
      </w:r>
      <w:r w:rsidRPr="002C21B8">
        <w:rPr>
          <w:color w:val="000000"/>
        </w:rPr>
        <w:t>consistency of tolvaptan prescribing at centres</w:t>
      </w:r>
      <w:r w:rsidR="00AF21B1" w:rsidRPr="002C21B8">
        <w:rPr>
          <w:color w:val="000000"/>
        </w:rPr>
        <w:t>,</w:t>
      </w:r>
      <w:r w:rsidR="002448E1" w:rsidRPr="002C21B8">
        <w:rPr>
          <w:color w:val="000000"/>
        </w:rPr>
        <w:t xml:space="preserve"> </w:t>
      </w:r>
      <w:r w:rsidR="0073031D" w:rsidRPr="002C21B8">
        <w:rPr>
          <w:color w:val="000000"/>
        </w:rPr>
        <w:t>even though they are not</w:t>
      </w:r>
      <w:r w:rsidR="002448E1" w:rsidRPr="002C21B8">
        <w:rPr>
          <w:color w:val="000000"/>
        </w:rPr>
        <w:t xml:space="preserve"> prescribing tolvaptan</w:t>
      </w:r>
      <w:r w:rsidRPr="002C21B8">
        <w:rPr>
          <w:color w:val="000000"/>
        </w:rPr>
        <w:t xml:space="preserve">. </w:t>
      </w:r>
      <w:r w:rsidR="002448E1" w:rsidRPr="002C21B8">
        <w:rPr>
          <w:color w:val="000000"/>
        </w:rPr>
        <w:t xml:space="preserve">This was </w:t>
      </w:r>
      <w:r w:rsidR="009C7BD6" w:rsidRPr="002C21B8">
        <w:rPr>
          <w:color w:val="000000"/>
        </w:rPr>
        <w:t xml:space="preserve">demonstrated in the </w:t>
      </w:r>
      <w:r w:rsidR="006164D7" w:rsidRPr="002C21B8">
        <w:rPr>
          <w:color w:val="000000"/>
        </w:rPr>
        <w:t xml:space="preserve">multiple case study </w:t>
      </w:r>
      <w:r w:rsidR="009C7BD6" w:rsidRPr="002C21B8">
        <w:rPr>
          <w:color w:val="000000"/>
        </w:rPr>
        <w:t xml:space="preserve">where </w:t>
      </w:r>
      <w:r w:rsidR="006164D7" w:rsidRPr="002C21B8">
        <w:rPr>
          <w:color w:val="000000"/>
        </w:rPr>
        <w:t>p</w:t>
      </w:r>
      <w:r w:rsidRPr="002C21B8">
        <w:rPr>
          <w:color w:val="000000"/>
        </w:rPr>
        <w:t xml:space="preserve">harmacists appeared to support </w:t>
      </w:r>
      <w:r w:rsidR="002448E1" w:rsidRPr="002C21B8">
        <w:rPr>
          <w:color w:val="000000"/>
        </w:rPr>
        <w:t xml:space="preserve">consistent eligibility assessment </w:t>
      </w:r>
      <w:r w:rsidRPr="002C21B8">
        <w:rPr>
          <w:color w:val="000000"/>
        </w:rPr>
        <w:t>and reduc</w:t>
      </w:r>
      <w:r w:rsidR="002448E1" w:rsidRPr="002C21B8">
        <w:rPr>
          <w:color w:val="000000"/>
        </w:rPr>
        <w:t xml:space="preserve">e </w:t>
      </w:r>
      <w:r w:rsidRPr="002C21B8">
        <w:rPr>
          <w:color w:val="000000"/>
        </w:rPr>
        <w:t xml:space="preserve">the likelihood of </w:t>
      </w:r>
      <w:r w:rsidR="00B81CB1" w:rsidRPr="002C21B8">
        <w:rPr>
          <w:color w:val="000000"/>
        </w:rPr>
        <w:t xml:space="preserve">tolvaptan being </w:t>
      </w:r>
      <w:r w:rsidRPr="002C21B8">
        <w:rPr>
          <w:color w:val="000000"/>
        </w:rPr>
        <w:t>prescrib</w:t>
      </w:r>
      <w:r w:rsidR="00B81CB1" w:rsidRPr="002C21B8">
        <w:rPr>
          <w:color w:val="000000"/>
        </w:rPr>
        <w:t>ed</w:t>
      </w:r>
      <w:r w:rsidR="002448E1" w:rsidRPr="002C21B8">
        <w:rPr>
          <w:color w:val="000000"/>
        </w:rPr>
        <w:t xml:space="preserve"> outside of guideline recommendations</w:t>
      </w:r>
      <w:r w:rsidRPr="002C21B8">
        <w:rPr>
          <w:color w:val="000000"/>
        </w:rPr>
        <w:t xml:space="preserve">. </w:t>
      </w:r>
      <w:r w:rsidR="00B81CB1" w:rsidRPr="002C21B8">
        <w:rPr>
          <w:color w:val="000000"/>
        </w:rPr>
        <w:t>However, s</w:t>
      </w:r>
      <w:r w:rsidRPr="002C21B8">
        <w:rPr>
          <w:color w:val="000000"/>
        </w:rPr>
        <w:t>urvey data indicated that pharmacist involvement in the tolvaptan care pathway was not universal</w:t>
      </w:r>
      <w:r w:rsidR="00B81CB1" w:rsidRPr="002C21B8">
        <w:rPr>
          <w:color w:val="000000"/>
        </w:rPr>
        <w:t>.</w:t>
      </w:r>
      <w:r w:rsidR="00725751" w:rsidRPr="002C21B8">
        <w:rPr>
          <w:color w:val="000000"/>
        </w:rPr>
        <w:t xml:space="preserve"> </w:t>
      </w:r>
      <w:r w:rsidR="00B81CB1" w:rsidRPr="002C21B8">
        <w:rPr>
          <w:color w:val="000000"/>
        </w:rPr>
        <w:t>A</w:t>
      </w:r>
      <w:r w:rsidR="00725751" w:rsidRPr="002C21B8">
        <w:rPr>
          <w:color w:val="000000"/>
        </w:rPr>
        <w:t xml:space="preserve">round half of </w:t>
      </w:r>
      <w:r w:rsidR="00AF21B1" w:rsidRPr="002C21B8">
        <w:rPr>
          <w:color w:val="000000"/>
        </w:rPr>
        <w:t xml:space="preserve">the </w:t>
      </w:r>
      <w:r w:rsidR="00725751" w:rsidRPr="002C21B8">
        <w:rPr>
          <w:color w:val="000000"/>
        </w:rPr>
        <w:t xml:space="preserve">kidney centres </w:t>
      </w:r>
      <w:r w:rsidR="00444763" w:rsidRPr="002C21B8">
        <w:rPr>
          <w:color w:val="000000"/>
        </w:rPr>
        <w:t xml:space="preserve">reported </w:t>
      </w:r>
      <w:r w:rsidR="00725751" w:rsidRPr="002C21B8">
        <w:rPr>
          <w:color w:val="000000"/>
        </w:rPr>
        <w:t>having a pharmacist.</w:t>
      </w:r>
    </w:p>
    <w:p w14:paraId="4A2004DE" w14:textId="3AF93D37" w:rsidR="008D1D22" w:rsidRPr="002C21B8" w:rsidRDefault="00BD0888" w:rsidP="008D1D22">
      <w:pPr>
        <w:rPr>
          <w:color w:val="000000"/>
        </w:rPr>
      </w:pPr>
      <w:r w:rsidRPr="002C21B8">
        <w:rPr>
          <w:color w:val="000000"/>
        </w:rPr>
        <w:t xml:space="preserve">In </w:t>
      </w:r>
      <w:r w:rsidR="00603A91" w:rsidRPr="002C21B8">
        <w:rPr>
          <w:color w:val="000000"/>
        </w:rPr>
        <w:t>rare diseases, the wider literature has highlighted the key role of pharmacists due to the complexity of decision-making, high costs, monitoring requirements, and governance structures</w:t>
      </w:r>
      <w:r w:rsidR="002C6BED" w:rsidRPr="002C21B8">
        <w:rPr>
          <w:color w:val="000000"/>
        </w:rPr>
        <w:t xml:space="preserve"> </w:t>
      </w:r>
      <w:r w:rsidR="008D1D22" w:rsidRPr="002C21B8">
        <w:rPr>
          <w:color w:val="000000"/>
        </w:rPr>
        <w:fldChar w:fldCharType="begin"/>
      </w:r>
      <w:r w:rsidR="00455B4F" w:rsidRPr="002C21B8">
        <w:rPr>
          <w:color w:val="000000"/>
        </w:rPr>
        <w:instrText xml:space="preserve"> ADDIN EN.CITE &lt;EndNote&gt;&lt;Cite&gt;&lt;Author&gt;Cunico&lt;/Author&gt;&lt;Year&gt;2023&lt;/Year&gt;&lt;RecNum&gt;125480&lt;/RecNum&gt;&lt;DisplayText&gt;(Alaba, 2025; Cunico and Leite, 2023)&lt;/DisplayText&gt;&lt;record&gt;&lt;rec-number&gt;125480&lt;/rec-number&gt;&lt;foreign-keys&gt;&lt;key app="EN" db-id="xpefzwa5hf9dt2ea9fax95x7xvxz90v09dtf" timestamp="1776585358"&gt;125480&lt;/key&gt;&lt;/foreign-keys&gt;&lt;ref-type name="Journal Article"&gt;17&lt;/ref-type&gt;&lt;contributors&gt;&lt;authors&gt;&lt;author&gt;Cunico, Cássia&lt;/author&gt;&lt;author&gt;Leite, Silvana Nair&lt;/author&gt;&lt;/authors&gt;&lt;/contributors&gt;&lt;titles&gt;&lt;title&gt;Role of pharmacists in the context of rare diseases: a scoping review protocol&lt;/title&gt;&lt;secondary-title&gt;BMJ Open&lt;/secondary-title&gt;&lt;/titles&gt;&lt;periodical&gt;&lt;full-title&gt;BMJ open&lt;/full-title&gt;&lt;/periodical&gt;&lt;pages&gt;e072001&lt;/pages&gt;&lt;volume&gt;13&lt;/volume&gt;&lt;number&gt;11&lt;/number&gt;&lt;dates&gt;&lt;year&gt;2023&lt;/year&gt;&lt;/dates&gt;&lt;isbn&gt;2044-6055&lt;/isbn&gt;&lt;urls&gt;&lt;/urls&gt;&lt;/record&gt;&lt;/Cite&gt;&lt;Cite&gt;&lt;Author&gt;Alaba&lt;/Author&gt;&lt;Year&gt;2025&lt;/Year&gt;&lt;RecNum&gt;125565&lt;/RecNum&gt;&lt;record&gt;&lt;rec-number&gt;125565&lt;/rec-number&gt;&lt;foreign-keys&gt;&lt;key app="EN" db-id="xpefzwa5hf9dt2ea9fax95x7xvxz90v09dtf" timestamp="1778090158"&gt;125565&lt;/key&gt;&lt;/foreign-keys&gt;&lt;ref-type name="Thesis"&gt;32&lt;/ref-type&gt;&lt;contributors&gt;&lt;authors&gt;&lt;author&gt;Alaba, Margaux Jeatrice&lt;/author&gt;&lt;/authors&gt;&lt;/contributors&gt;&lt;titles&gt;&lt;title&gt;Pharmacist contribution in rare diseases&lt;/title&gt;&lt;/titles&gt;&lt;volume&gt;PhD&lt;/volume&gt;&lt;dates&gt;&lt;year&gt;2025&lt;/year&gt;&lt;/dates&gt;&lt;publisher&gt;University of Malta&lt;/publisher&gt;&lt;urls&gt;&lt;/urls&gt;&lt;/record&gt;&lt;/Cite&gt;&lt;/EndNote&gt;</w:instrText>
      </w:r>
      <w:r w:rsidR="008D1D22" w:rsidRPr="002C21B8">
        <w:rPr>
          <w:color w:val="000000"/>
        </w:rPr>
        <w:fldChar w:fldCharType="separate"/>
      </w:r>
      <w:r w:rsidR="00A11796" w:rsidRPr="002C21B8">
        <w:rPr>
          <w:noProof/>
          <w:color w:val="000000"/>
        </w:rPr>
        <w:t>(Alaba, 2025; Cunico and Leite, 2023)</w:t>
      </w:r>
      <w:r w:rsidR="008D1D22" w:rsidRPr="002C21B8">
        <w:rPr>
          <w:color w:val="000000"/>
        </w:rPr>
        <w:fldChar w:fldCharType="end"/>
      </w:r>
      <w:r w:rsidR="008D1D22" w:rsidRPr="002C21B8">
        <w:rPr>
          <w:color w:val="000000"/>
        </w:rPr>
        <w:t>.</w:t>
      </w:r>
      <w:r w:rsidR="00FF62FA" w:rsidRPr="002C21B8">
        <w:rPr>
          <w:color w:val="000000"/>
        </w:rPr>
        <w:t xml:space="preserve"> </w:t>
      </w:r>
      <w:r w:rsidR="008D1D22" w:rsidRPr="002C21B8">
        <w:rPr>
          <w:color w:val="000000"/>
        </w:rPr>
        <w:t xml:space="preserve">Evidence from </w:t>
      </w:r>
      <w:r w:rsidR="00690022" w:rsidRPr="002C21B8">
        <w:rPr>
          <w:color w:val="000000"/>
        </w:rPr>
        <w:t>other</w:t>
      </w:r>
      <w:r w:rsidR="008D1D22" w:rsidRPr="002C21B8">
        <w:rPr>
          <w:color w:val="000000"/>
        </w:rPr>
        <w:t xml:space="preserve"> </w:t>
      </w:r>
      <w:r w:rsidR="00DA0A70" w:rsidRPr="002C21B8">
        <w:rPr>
          <w:color w:val="000000"/>
        </w:rPr>
        <w:t>disease</w:t>
      </w:r>
      <w:r w:rsidR="002C6BED" w:rsidRPr="002C21B8">
        <w:rPr>
          <w:color w:val="000000"/>
        </w:rPr>
        <w:t xml:space="preserve"> </w:t>
      </w:r>
      <w:r w:rsidRPr="002C21B8">
        <w:rPr>
          <w:color w:val="000000"/>
        </w:rPr>
        <w:t xml:space="preserve">areas </w:t>
      </w:r>
      <w:r w:rsidR="002C6BED" w:rsidRPr="002C21B8">
        <w:rPr>
          <w:color w:val="000000"/>
        </w:rPr>
        <w:t xml:space="preserve">demonstrates that </w:t>
      </w:r>
      <w:r w:rsidR="00DA29A9" w:rsidRPr="002C21B8">
        <w:rPr>
          <w:color w:val="000000"/>
        </w:rPr>
        <w:t xml:space="preserve">active involvement of </w:t>
      </w:r>
      <w:r w:rsidR="002C6BED" w:rsidRPr="002C21B8">
        <w:rPr>
          <w:color w:val="000000"/>
        </w:rPr>
        <w:t>pharmacist</w:t>
      </w:r>
      <w:r w:rsidR="00DA29A9" w:rsidRPr="002C21B8">
        <w:rPr>
          <w:color w:val="000000"/>
        </w:rPr>
        <w:t>s</w:t>
      </w:r>
      <w:r w:rsidR="00AF21B1" w:rsidRPr="002C21B8">
        <w:rPr>
          <w:color w:val="000000"/>
        </w:rPr>
        <w:t xml:space="preserve"> </w:t>
      </w:r>
      <w:r w:rsidR="0038728A" w:rsidRPr="002C21B8">
        <w:rPr>
          <w:color w:val="000000"/>
        </w:rPr>
        <w:t xml:space="preserve">in the </w:t>
      </w:r>
      <w:r w:rsidR="00DA29A9" w:rsidRPr="002C21B8">
        <w:rPr>
          <w:color w:val="000000"/>
        </w:rPr>
        <w:t>prescribing</w:t>
      </w:r>
      <w:r w:rsidR="0038728A" w:rsidRPr="002C21B8">
        <w:rPr>
          <w:color w:val="000000"/>
        </w:rPr>
        <w:t xml:space="preserve"> process</w:t>
      </w:r>
      <w:r w:rsidR="002C6BED" w:rsidRPr="002C21B8">
        <w:rPr>
          <w:color w:val="000000"/>
        </w:rPr>
        <w:t xml:space="preserve"> is associated with </w:t>
      </w:r>
      <w:r w:rsidR="008D1D22" w:rsidRPr="002C21B8">
        <w:rPr>
          <w:color w:val="000000"/>
        </w:rPr>
        <w:t xml:space="preserve">improvements in prescribing appropriateness and adherence to guideline-based care, especially </w:t>
      </w:r>
      <w:r w:rsidR="008F28DA" w:rsidRPr="002C21B8">
        <w:rPr>
          <w:color w:val="000000"/>
        </w:rPr>
        <w:t>whe</w:t>
      </w:r>
      <w:r w:rsidR="002C6BED" w:rsidRPr="002C21B8">
        <w:rPr>
          <w:color w:val="000000"/>
        </w:rPr>
        <w:t>n</w:t>
      </w:r>
      <w:r w:rsidR="008F28DA" w:rsidRPr="002C21B8">
        <w:rPr>
          <w:color w:val="000000"/>
        </w:rPr>
        <w:t xml:space="preserve"> </w:t>
      </w:r>
      <w:r w:rsidR="002C6BED" w:rsidRPr="002C21B8">
        <w:rPr>
          <w:color w:val="000000"/>
        </w:rPr>
        <w:t xml:space="preserve">the responsibility for prescribing </w:t>
      </w:r>
      <w:r w:rsidR="00DA0A70" w:rsidRPr="002C21B8">
        <w:rPr>
          <w:color w:val="000000"/>
        </w:rPr>
        <w:t>decision</w:t>
      </w:r>
      <w:r w:rsidR="002C6BED" w:rsidRPr="002C21B8">
        <w:rPr>
          <w:color w:val="000000"/>
        </w:rPr>
        <w:t xml:space="preserve">s is divided across multiple clinicians </w:t>
      </w:r>
      <w:r w:rsidR="008D1D22" w:rsidRPr="002C21B8">
        <w:rPr>
          <w:color w:val="000000"/>
        </w:rPr>
        <w:fldChar w:fldCharType="begin">
          <w:fldData xml:space="preserve">PEVuZE5vdGU+PENpdGU+PEF1dGhvcj5SaW9yZGFuPC9BdXRob3I+PFllYXI+MjAxNjwvWWVhcj48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</w:fldData>
        </w:fldChar>
      </w:r>
      <w:r w:rsidR="008D1D22" w:rsidRPr="002C21B8">
        <w:rPr>
          <w:color w:val="000000"/>
        </w:rPr>
        <w:instrText xml:space="preserve"> ADDIN EN.CITE </w:instrText>
      </w:r>
      <w:r w:rsidR="008D1D22" w:rsidRPr="002C21B8">
        <w:rPr>
          <w:color w:val="000000"/>
        </w:rPr>
        <w:fldChar w:fldCharType="begin">
          <w:fldData xml:space="preserve">PEVuZE5vdGU+PENpdGU+PEF1dGhvcj5SaW9yZGFuPC9BdXRob3I+PFllYXI+MjAxNjwvWWVhcj48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</w:fldData>
        </w:fldChar>
      </w:r>
      <w:r w:rsidR="008D1D22" w:rsidRPr="002C21B8">
        <w:rPr>
          <w:color w:val="000000"/>
        </w:rPr>
        <w:instrText xml:space="preserve"> ADDIN EN.CITE.DATA </w:instrText>
      </w:r>
      <w:r w:rsidR="008D1D22" w:rsidRPr="002C21B8">
        <w:rPr>
          <w:color w:val="000000"/>
        </w:rPr>
      </w:r>
      <w:r w:rsidR="008D1D22" w:rsidRPr="002C21B8">
        <w:rPr>
          <w:color w:val="000000"/>
        </w:rPr>
        <w:fldChar w:fldCharType="end"/>
      </w:r>
      <w:r w:rsidR="008D1D22" w:rsidRPr="002C21B8">
        <w:rPr>
          <w:color w:val="000000"/>
        </w:rPr>
      </w:r>
      <w:r w:rsidR="008D1D22" w:rsidRPr="002C21B8">
        <w:rPr>
          <w:color w:val="000000"/>
        </w:rPr>
        <w:fldChar w:fldCharType="separate"/>
      </w:r>
      <w:r w:rsidR="008D1D22" w:rsidRPr="002C21B8">
        <w:rPr>
          <w:noProof/>
          <w:color w:val="000000"/>
        </w:rPr>
        <w:t>(Chambers</w:t>
      </w:r>
      <w:r w:rsidR="008D1D22" w:rsidRPr="002C21B8">
        <w:rPr>
          <w:i/>
          <w:noProof/>
          <w:color w:val="000000"/>
        </w:rPr>
        <w:t xml:space="preserve"> et al.</w:t>
      </w:r>
      <w:r w:rsidR="008D1D22" w:rsidRPr="002C21B8">
        <w:rPr>
          <w:noProof/>
          <w:color w:val="000000"/>
        </w:rPr>
        <w:t>, 2024; Riordan</w:t>
      </w:r>
      <w:r w:rsidR="008D1D22" w:rsidRPr="002C21B8">
        <w:rPr>
          <w:i/>
          <w:noProof/>
          <w:color w:val="000000"/>
        </w:rPr>
        <w:t xml:space="preserve"> et al.</w:t>
      </w:r>
      <w:r w:rsidR="008D1D22" w:rsidRPr="002C21B8">
        <w:rPr>
          <w:noProof/>
          <w:color w:val="000000"/>
        </w:rPr>
        <w:t>, 2016; Spinewine</w:t>
      </w:r>
      <w:r w:rsidR="008D1D22" w:rsidRPr="002C21B8">
        <w:rPr>
          <w:i/>
          <w:noProof/>
          <w:color w:val="000000"/>
        </w:rPr>
        <w:t xml:space="preserve"> et al.</w:t>
      </w:r>
      <w:r w:rsidR="008D1D22" w:rsidRPr="002C21B8">
        <w:rPr>
          <w:noProof/>
          <w:color w:val="000000"/>
        </w:rPr>
        <w:t>, 2013)</w:t>
      </w:r>
      <w:r w:rsidR="008D1D22" w:rsidRPr="002C21B8">
        <w:rPr>
          <w:color w:val="000000"/>
        </w:rPr>
        <w:fldChar w:fldCharType="end"/>
      </w:r>
      <w:r w:rsidR="008D1D22" w:rsidRPr="002C21B8">
        <w:rPr>
          <w:color w:val="000000"/>
        </w:rPr>
        <w:t>.</w:t>
      </w:r>
    </w:p>
    <w:p w14:paraId="6CC29672" w14:textId="3457D350" w:rsidR="00690022" w:rsidRPr="002C21B8" w:rsidRDefault="00690022" w:rsidP="008D1D22">
      <w:pPr>
        <w:rPr>
          <w:color w:val="000000"/>
        </w:rPr>
      </w:pPr>
      <w:r w:rsidRPr="002C21B8">
        <w:rPr>
          <w:color w:val="000000"/>
        </w:rPr>
        <w:t xml:space="preserve">Thus, kidney centres </w:t>
      </w:r>
      <w:r w:rsidR="00B81CB1" w:rsidRPr="002C21B8">
        <w:rPr>
          <w:color w:val="000000"/>
        </w:rPr>
        <w:t>without</w:t>
      </w:r>
      <w:r w:rsidRPr="002C21B8">
        <w:rPr>
          <w:color w:val="000000"/>
        </w:rPr>
        <w:t xml:space="preserve"> pharmacists to support the delivery of tolvaptan may therefore have higher rates of prescribing</w:t>
      </w:r>
      <w:r w:rsidR="00592AB5" w:rsidRPr="002C21B8">
        <w:rPr>
          <w:color w:val="000000"/>
        </w:rPr>
        <w:t xml:space="preserve"> outside of g</w:t>
      </w:r>
      <w:r w:rsidR="00173753" w:rsidRPr="002C21B8">
        <w:rPr>
          <w:color w:val="000000"/>
        </w:rPr>
        <w:t>uideline recommendations</w:t>
      </w:r>
      <w:r w:rsidRPr="002C21B8">
        <w:rPr>
          <w:color w:val="000000"/>
        </w:rPr>
        <w:t xml:space="preserve"> and less consistent approaches.</w:t>
      </w:r>
    </w:p>
    <w:p w14:paraId="1E1ABC40" w14:textId="4BC1E36C" w:rsidR="003C6318" w:rsidRPr="002C21B8" w:rsidRDefault="003C6318" w:rsidP="008D1D22">
      <w:pPr>
        <w:pStyle w:val="Heading3"/>
      </w:pPr>
      <w:r w:rsidRPr="002C21B8">
        <w:t xml:space="preserve">Communicating with patients </w:t>
      </w:r>
      <w:r w:rsidR="00190A43" w:rsidRPr="002C21B8">
        <w:t>varying</w:t>
      </w:r>
      <w:r w:rsidRPr="002C21B8">
        <w:t xml:space="preserve"> between </w:t>
      </w:r>
      <w:r w:rsidR="008D2028" w:rsidRPr="002C21B8">
        <w:t xml:space="preserve">kidney </w:t>
      </w:r>
      <w:r w:rsidRPr="002C21B8">
        <w:t>centres</w:t>
      </w:r>
    </w:p>
    <w:p w14:paraId="6FCC4199" w14:textId="77777777" w:rsidR="0012505E" w:rsidRPr="002C21B8" w:rsidRDefault="0012505E" w:rsidP="00ED2D36">
      <w:pPr>
        <w:pStyle w:val="Heading4"/>
      </w:pPr>
      <w:bookmarkStart w:id="289" w:name="OLE_LINK5"/>
      <w:bookmarkStart w:id="290" w:name="OLE_LINK6"/>
      <w:r w:rsidRPr="002C21B8">
        <w:t>Verbal information</w:t>
      </w:r>
    </w:p>
    <w:p w14:paraId="27191022" w14:textId="1878F52B" w:rsidR="006A3276" w:rsidRPr="002C21B8" w:rsidRDefault="00FA187F" w:rsidP="008D1D22">
      <w:r w:rsidRPr="002C21B8">
        <w:t xml:space="preserve">The multiple case study demonstrated differences in </w:t>
      </w:r>
      <w:r w:rsidR="00F51C75" w:rsidRPr="002C21B8">
        <w:t>the emphasis</w:t>
      </w:r>
      <w:r w:rsidR="003B675D" w:rsidRPr="002C21B8">
        <w:t xml:space="preserve"> clinicians placed on the risks and benefits of tolvaptan </w:t>
      </w:r>
      <w:r w:rsidRPr="002C21B8">
        <w:t>during consultations</w:t>
      </w:r>
      <w:r w:rsidR="00235B41" w:rsidRPr="002C21B8">
        <w:t xml:space="preserve">. </w:t>
      </w:r>
      <w:r w:rsidR="003B675D" w:rsidRPr="002C21B8">
        <w:t>In the wider literature, there is evidence that discussions about risk</w:t>
      </w:r>
      <w:r w:rsidR="003F60E5" w:rsidRPr="002C21B8">
        <w:t>s</w:t>
      </w:r>
      <w:r w:rsidR="003B675D" w:rsidRPr="002C21B8">
        <w:t xml:space="preserve"> and benefits are not uniform even when the same evidence is available. This is believed to be related to the experiences, attitudes and perspectives of the clinicians </w:t>
      </w:r>
      <w:r w:rsidR="005A6D40" w:rsidRPr="002C21B8">
        <w:fldChar w:fldCharType="begin"/>
      </w:r>
      <w:r w:rsidR="005A6D40" w:rsidRPr="002C21B8">
        <w:instrText xml:space="preserve"> ADDIN EN.CITE &lt;EndNote&gt;&lt;Cite&gt;&lt;Author&gt;Edwards&lt;/Author&gt;&lt;Year&gt;2005&lt;/Year&gt;&lt;RecNum&gt;125585&lt;/RecNum&gt;&lt;DisplayText&gt;(Edwards&lt;style face="italic"&gt; et al.&lt;/style&gt;, 2005; Schwartz, 1994)&lt;/DisplayText&gt;&lt;record&gt;&lt;rec-number&gt;125585&lt;/rec-number&gt;&lt;foreign-keys&gt;&lt;key app="EN" db-id="xpefzwa5hf9dt2ea9fax95x7xvxz90v09dtf" timestamp="1778354254"&gt;125585&lt;/key&gt;&lt;/foreign-keys&gt;&lt;ref-type name="Journal Article"&gt;17&lt;/ref-type&gt;&lt;contributors&gt;&lt;authors&gt;&lt;author&gt;Edwards, Adrian&lt;/author&gt;&lt;author&gt;Elwyn, Glyn&lt;/author&gt;&lt;author&gt;Wood, Fiona&lt;/author&gt;&lt;author&gt;Atwell, Christine&lt;/author&gt;&lt;author&gt;Prior, Lindsay&lt;/author&gt;&lt;author&gt;Houston, Helen&lt;/author&gt;&lt;/authors&gt;&lt;/contributors&gt;&lt;titles&gt;&lt;title&gt;Shared decision making and risk communication in practice: a qualitative study of GPs&amp;apos; experiences&lt;/title&gt;&lt;secondary-title&gt;The British Journal of General Practice&lt;/secondary-title&gt;&lt;/titles&gt;&lt;periodical&gt;&lt;full-title&gt;The British Journal of General Practice&lt;/full-title&gt;&lt;/periodical&gt;&lt;pages&gt;6&lt;/pages&gt;&lt;volume&gt;55&lt;/volume&gt;&lt;number&gt;510&lt;/number&gt;&lt;dates&gt;&lt;year&gt;2005&lt;/year&gt;&lt;/dates&gt;&lt;urls&gt;&lt;/urls&gt;&lt;/record&gt;&lt;/Cite&gt;&lt;Cite&gt;&lt;Author&gt;Schwartz&lt;/Author&gt;&lt;Year&gt;1994&lt;/Year&gt;&lt;RecNum&gt;125586&lt;/RecNum&gt;&lt;record&gt;&lt;rec-number&gt;125586&lt;/rec-number&gt;&lt;foreign-keys&gt;&lt;key app="EN" db-id="xpefzwa5hf9dt2ea9fax95x7xvxz90v09dtf" timestamp="1778354449"&gt;125586&lt;/key&gt;&lt;/foreign-keys&gt;&lt;ref-type name="Book Section"&gt;5&lt;/ref-type&gt;&lt;contributors&gt;&lt;authors&gt;&lt;author&gt;Schwartz, Steven&lt;/author&gt;&lt;/authors&gt;&lt;/contributors&gt;&lt;titles&gt;&lt;title&gt;Heuristics and biases in medical judgment and decision making&lt;/title&gt;&lt;secondary-title&gt;Applications of heuristics and biases to social issues&lt;/secondary-title&gt;&lt;/titles&gt;&lt;pages&gt;45-72&lt;/pages&gt;&lt;dates&gt;&lt;year&gt;1994&lt;/year&gt;&lt;/dates&gt;&lt;pub-location&gt;New York, USA&lt;/pub-location&gt;&lt;publisher&gt;Springer Publishing&lt;/publisher&gt;&lt;urls&gt;&lt;/urls&gt;&lt;/record&gt;&lt;/Cite&gt;&lt;/EndNote&gt;</w:instrText>
      </w:r>
      <w:r w:rsidR="005A6D40" w:rsidRPr="002C21B8">
        <w:fldChar w:fldCharType="separate"/>
      </w:r>
      <w:r w:rsidR="005A6D40" w:rsidRPr="002C21B8">
        <w:rPr>
          <w:noProof/>
        </w:rPr>
        <w:t>(Edwards</w:t>
      </w:r>
      <w:r w:rsidR="005A6D40" w:rsidRPr="002C21B8">
        <w:rPr>
          <w:i/>
          <w:noProof/>
        </w:rPr>
        <w:t xml:space="preserve"> et al.</w:t>
      </w:r>
      <w:r w:rsidR="005A6D40" w:rsidRPr="002C21B8">
        <w:rPr>
          <w:noProof/>
        </w:rPr>
        <w:t>, 2005; Schwartz, 1994)</w:t>
      </w:r>
      <w:r w:rsidR="005A6D40" w:rsidRPr="002C21B8">
        <w:fldChar w:fldCharType="end"/>
      </w:r>
      <w:r w:rsidR="00EF4D41" w:rsidRPr="002C21B8">
        <w:t xml:space="preserve">. </w:t>
      </w:r>
      <w:r w:rsidR="00033DBF" w:rsidRPr="002C21B8">
        <w:t>How</w:t>
      </w:r>
      <w:r w:rsidR="00137DD0" w:rsidRPr="002C21B8">
        <w:t xml:space="preserve"> </w:t>
      </w:r>
      <w:r w:rsidR="0065563D" w:rsidRPr="002C21B8">
        <w:t xml:space="preserve">risks are presented may influence their </w:t>
      </w:r>
      <w:r w:rsidR="00EF4D41" w:rsidRPr="002C21B8">
        <w:t>salience</w:t>
      </w:r>
      <w:r w:rsidR="0065563D" w:rsidRPr="002C21B8">
        <w:t>, this may in turn influence</w:t>
      </w:r>
      <w:r w:rsidR="00EF4D41" w:rsidRPr="002C21B8">
        <w:t xml:space="preserve"> patient</w:t>
      </w:r>
      <w:r w:rsidR="0065563D" w:rsidRPr="002C21B8">
        <w:t>s’</w:t>
      </w:r>
      <w:r w:rsidR="00EF4D41" w:rsidRPr="002C21B8">
        <w:t xml:space="preserve"> perception and decision-making </w:t>
      </w:r>
      <w:r w:rsidR="00EF4D41" w:rsidRPr="002C21B8">
        <w:fldChar w:fldCharType="begin">
          <w:fldData xml:space="preserve">PEVuZE5vdGU+PENpdGU+PEF1dGhvcj5Nb3hleTwvQXV0aG9yPjxZZWFyPjIwMDM8L1llYXI+PFJl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</w:fldData>
        </w:fldChar>
      </w:r>
      <w:r w:rsidR="00B96A34" w:rsidRPr="002C21B8">
        <w:instrText xml:space="preserve"> ADDIN EN.CITE </w:instrText>
      </w:r>
      <w:r w:rsidR="00B96A34" w:rsidRPr="002C21B8">
        <w:fldChar w:fldCharType="begin">
          <w:fldData xml:space="preserve">PEVuZE5vdGU+PENpdGU+PEF1dGhvcj5Nb3hleTwvQXV0aG9yPjxZZWFyPjIwMDM8L1llYXI+PFJl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</w:fldData>
        </w:fldChar>
      </w:r>
      <w:r w:rsidR="00B96A34" w:rsidRPr="002C21B8">
        <w:instrText xml:space="preserve"> ADDIN EN.CITE.DATA </w:instrText>
      </w:r>
      <w:r w:rsidR="00B96A34" w:rsidRPr="002C21B8">
        <w:fldChar w:fldCharType="end"/>
      </w:r>
      <w:r w:rsidR="00EF4D41" w:rsidRPr="002C21B8">
        <w:fldChar w:fldCharType="separate"/>
      </w:r>
      <w:r w:rsidR="00B96A34" w:rsidRPr="002C21B8">
        <w:rPr>
          <w:noProof/>
        </w:rPr>
        <w:t>(Edwards</w:t>
      </w:r>
      <w:r w:rsidR="00B96A34" w:rsidRPr="002C21B8">
        <w:rPr>
          <w:i/>
          <w:noProof/>
        </w:rPr>
        <w:t xml:space="preserve"> et al.</w:t>
      </w:r>
      <w:r w:rsidR="00B96A34" w:rsidRPr="002C21B8">
        <w:rPr>
          <w:noProof/>
        </w:rPr>
        <w:t>, 2000; Garrud, Wood and Stainsby, 2001; Moxey</w:t>
      </w:r>
      <w:r w:rsidR="00B96A34" w:rsidRPr="002C21B8">
        <w:rPr>
          <w:i/>
          <w:noProof/>
        </w:rPr>
        <w:t xml:space="preserve"> et al.</w:t>
      </w:r>
      <w:r w:rsidR="00B96A34" w:rsidRPr="002C21B8">
        <w:rPr>
          <w:noProof/>
        </w:rPr>
        <w:t>, 2003; Richter</w:t>
      </w:r>
      <w:r w:rsidR="00B96A34" w:rsidRPr="002C21B8">
        <w:rPr>
          <w:i/>
          <w:noProof/>
        </w:rPr>
        <w:t xml:space="preserve"> et al.</w:t>
      </w:r>
      <w:r w:rsidR="00B96A34" w:rsidRPr="002C21B8">
        <w:rPr>
          <w:noProof/>
        </w:rPr>
        <w:t>, 2020)</w:t>
      </w:r>
      <w:r w:rsidR="00EF4D41" w:rsidRPr="002C21B8">
        <w:fldChar w:fldCharType="end"/>
      </w:r>
      <w:r w:rsidR="00EF4D41" w:rsidRPr="002C21B8">
        <w:t xml:space="preserve">. This </w:t>
      </w:r>
      <w:r w:rsidR="00137DD0" w:rsidRPr="002C21B8">
        <w:t xml:space="preserve">can then </w:t>
      </w:r>
      <w:r w:rsidR="00F32A86" w:rsidRPr="002C21B8">
        <w:t xml:space="preserve">lead to differences in </w:t>
      </w:r>
      <w:r w:rsidR="00C1549C" w:rsidRPr="002C21B8">
        <w:t xml:space="preserve">the </w:t>
      </w:r>
      <w:r w:rsidR="00F32A86" w:rsidRPr="002C21B8">
        <w:t xml:space="preserve">uptake </w:t>
      </w:r>
      <w:r w:rsidR="00EF4D41" w:rsidRPr="002C21B8">
        <w:t xml:space="preserve">of </w:t>
      </w:r>
      <w:r w:rsidR="00D44C6D" w:rsidRPr="002C21B8">
        <w:t>medication</w:t>
      </w:r>
      <w:r w:rsidR="00C1549C" w:rsidRPr="002C21B8">
        <w:t>s</w:t>
      </w:r>
      <w:r w:rsidR="00EF4D41" w:rsidRPr="002C21B8">
        <w:t xml:space="preserve"> </w:t>
      </w:r>
      <w:r w:rsidR="00EF4D41" w:rsidRPr="002C21B8">
        <w:fldChar w:fldCharType="begin">
          <w:fldData xml:space="preserve">PEVuZE5vdGU+PENpdGU+PEF1dGhvcj5Nb3hleTwvQXV0aG9yPjxZZWFyPjIwMDM8L1llYXI+PFJl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</w:fldData>
        </w:fldChar>
      </w:r>
      <w:r w:rsidR="00BC5AA4" w:rsidRPr="002C21B8">
        <w:instrText xml:space="preserve"> ADDIN EN.CITE </w:instrText>
      </w:r>
      <w:r w:rsidR="00BC5AA4" w:rsidRPr="002C21B8">
        <w:fldChar w:fldCharType="begin">
          <w:fldData xml:space="preserve">PEVuZE5vdGU+PENpdGU+PEF1dGhvcj5Nb3hleTwvQXV0aG9yPjxZZWFyPjIwMDM8L1llYXI+PFJl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</w:fldData>
        </w:fldChar>
      </w:r>
      <w:r w:rsidR="00BC5AA4" w:rsidRPr="002C21B8">
        <w:instrText xml:space="preserve"> ADDIN EN.CITE.DATA </w:instrText>
      </w:r>
      <w:r w:rsidR="00BC5AA4" w:rsidRPr="002C21B8">
        <w:fldChar w:fldCharType="end"/>
      </w:r>
      <w:r w:rsidR="00EF4D41" w:rsidRPr="002C21B8">
        <w:fldChar w:fldCharType="separate"/>
      </w:r>
      <w:r w:rsidR="00BC5AA4" w:rsidRPr="002C21B8">
        <w:rPr>
          <w:noProof/>
        </w:rPr>
        <w:t>(Carling</w:t>
      </w:r>
      <w:r w:rsidR="00BC5AA4" w:rsidRPr="002C21B8">
        <w:rPr>
          <w:i/>
          <w:noProof/>
        </w:rPr>
        <w:t xml:space="preserve"> et al.</w:t>
      </w:r>
      <w:r w:rsidR="00BC5AA4" w:rsidRPr="002C21B8">
        <w:rPr>
          <w:noProof/>
        </w:rPr>
        <w:t>, 2010; Edwards</w:t>
      </w:r>
      <w:r w:rsidR="00BC5AA4" w:rsidRPr="002C21B8">
        <w:rPr>
          <w:i/>
          <w:noProof/>
        </w:rPr>
        <w:t xml:space="preserve"> et al.</w:t>
      </w:r>
      <w:r w:rsidR="00BC5AA4" w:rsidRPr="002C21B8">
        <w:rPr>
          <w:noProof/>
        </w:rPr>
        <w:t>, 2000; Moxey</w:t>
      </w:r>
      <w:r w:rsidR="00BC5AA4" w:rsidRPr="002C21B8">
        <w:rPr>
          <w:i/>
          <w:noProof/>
        </w:rPr>
        <w:t xml:space="preserve"> et al.</w:t>
      </w:r>
      <w:r w:rsidR="00BC5AA4" w:rsidRPr="002C21B8">
        <w:rPr>
          <w:noProof/>
        </w:rPr>
        <w:t>, 2003)</w:t>
      </w:r>
      <w:r w:rsidR="00EF4D41" w:rsidRPr="002C21B8">
        <w:fldChar w:fldCharType="end"/>
      </w:r>
      <w:r w:rsidR="00EF4D41" w:rsidRPr="002C21B8">
        <w:t>.</w:t>
      </w:r>
    </w:p>
    <w:p w14:paraId="7A9F8864" w14:textId="597CE2E3" w:rsidR="00FA187F" w:rsidRPr="002C21B8" w:rsidRDefault="003B675D" w:rsidP="008D1D22">
      <w:r w:rsidRPr="002C21B8">
        <w:t xml:space="preserve">Rare diseases may be </w:t>
      </w:r>
      <w:r w:rsidR="00ED08DA" w:rsidRPr="002C21B8">
        <w:t xml:space="preserve">particularly sensitive to </w:t>
      </w:r>
      <w:r w:rsidRPr="002C21B8">
        <w:t xml:space="preserve">the </w:t>
      </w:r>
      <w:r w:rsidR="00ED08DA" w:rsidRPr="002C21B8">
        <w:t xml:space="preserve">framing </w:t>
      </w:r>
      <w:r w:rsidRPr="002C21B8">
        <w:t xml:space="preserve">of risks and benefits, as there is often uncertainty, limited evidence bases and high reliance on clinician interpretation </w:t>
      </w:r>
      <w:r w:rsidR="00ED08DA" w:rsidRPr="002C21B8">
        <w:fldChar w:fldCharType="begin">
          <w:fldData xml:space="preserve">PEVuZE5vdGU+PENpdGU+PEF1dGhvcj5CYWJhYzwvQXV0aG9yPjxZZWFyPjIwMTk8L1llYXI+PFJl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</w:fldData>
        </w:fldChar>
      </w:r>
      <w:r w:rsidR="00ED08DA" w:rsidRPr="002C21B8">
        <w:instrText xml:space="preserve"> ADDIN EN.CITE </w:instrText>
      </w:r>
      <w:r w:rsidR="00ED08DA" w:rsidRPr="002C21B8">
        <w:fldChar w:fldCharType="begin">
          <w:fldData xml:space="preserve">PEVuZE5vdGU+PENpdGU+PEF1dGhvcj5CYWJhYzwvQXV0aG9yPjxZZWFyPjIwMTk8L1llYXI+PFJl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</w:fldData>
        </w:fldChar>
      </w:r>
      <w:r w:rsidR="00ED08DA" w:rsidRPr="002C21B8">
        <w:instrText xml:space="preserve"> ADDIN EN.CITE.DATA </w:instrText>
      </w:r>
      <w:r w:rsidR="00ED08DA" w:rsidRPr="002C21B8">
        <w:fldChar w:fldCharType="end"/>
      </w:r>
      <w:r w:rsidR="00ED08DA" w:rsidRPr="002C21B8">
        <w:fldChar w:fldCharType="separate"/>
      </w:r>
      <w:r w:rsidR="00ED08DA" w:rsidRPr="002C21B8">
        <w:rPr>
          <w:noProof/>
        </w:rPr>
        <w:t>(Babac</w:t>
      </w:r>
      <w:r w:rsidR="00ED08DA" w:rsidRPr="002C21B8">
        <w:rPr>
          <w:i/>
          <w:noProof/>
        </w:rPr>
        <w:t xml:space="preserve"> et al.</w:t>
      </w:r>
      <w:r w:rsidR="00ED08DA" w:rsidRPr="002C21B8">
        <w:rPr>
          <w:noProof/>
        </w:rPr>
        <w:t>, 2019; Budych, Helms and Schultz, 2012)</w:t>
      </w:r>
      <w:r w:rsidR="00ED08DA" w:rsidRPr="002C21B8">
        <w:fldChar w:fldCharType="end"/>
      </w:r>
      <w:r w:rsidR="00ED08DA" w:rsidRPr="002C21B8">
        <w:t>.</w:t>
      </w:r>
      <w:r w:rsidR="00C560C5" w:rsidRPr="002C21B8">
        <w:t xml:space="preserve"> </w:t>
      </w:r>
      <w:r w:rsidR="00514243" w:rsidRPr="002C21B8">
        <w:t>Systemic d</w:t>
      </w:r>
      <w:r w:rsidR="00C560C5" w:rsidRPr="002C21B8">
        <w:t xml:space="preserve">ifferences in how </w:t>
      </w:r>
      <w:r w:rsidR="00514243" w:rsidRPr="002C21B8">
        <w:t xml:space="preserve">the risks and benefits are discussed at </w:t>
      </w:r>
      <w:r w:rsidRPr="002C21B8">
        <w:t xml:space="preserve">kidney </w:t>
      </w:r>
      <w:r w:rsidR="00514243" w:rsidRPr="002C21B8">
        <w:t xml:space="preserve">centres may contribute to </w:t>
      </w:r>
      <w:r w:rsidR="00401726" w:rsidRPr="002C21B8">
        <w:t xml:space="preserve">the </w:t>
      </w:r>
      <w:r w:rsidR="00514243" w:rsidRPr="002C21B8">
        <w:t xml:space="preserve">variation in patient uptake of </w:t>
      </w:r>
      <w:r w:rsidR="00745C47" w:rsidRPr="002C21B8">
        <w:t>tolvaptan.</w:t>
      </w:r>
    </w:p>
    <w:p w14:paraId="524CA16D" w14:textId="4CE7C2F4" w:rsidR="0012505E" w:rsidRPr="002C21B8" w:rsidRDefault="0012505E" w:rsidP="00ED2D36">
      <w:pPr>
        <w:pStyle w:val="Heading4"/>
      </w:pPr>
      <w:r w:rsidRPr="002C21B8">
        <w:t>Written information materials</w:t>
      </w:r>
    </w:p>
    <w:p w14:paraId="72294F1E" w14:textId="3B6AA159" w:rsidR="00A66133" w:rsidRPr="002C21B8" w:rsidRDefault="008D1D22" w:rsidP="008D1D22">
      <w:r w:rsidRPr="002C21B8">
        <w:t>In the survey</w:t>
      </w:r>
      <w:r w:rsidR="004507C8" w:rsidRPr="002C21B8">
        <w:t>,</w:t>
      </w:r>
      <w:r w:rsidR="00A66133" w:rsidRPr="002C21B8">
        <w:t xml:space="preserve"> written materials w</w:t>
      </w:r>
      <w:r w:rsidR="004505F4" w:rsidRPr="002C21B8">
        <w:t>ere</w:t>
      </w:r>
      <w:r w:rsidR="00A66133" w:rsidRPr="002C21B8">
        <w:t xml:space="preserve"> one of the main methods of providing patients with information</w:t>
      </w:r>
      <w:r w:rsidR="00B616EE" w:rsidRPr="002C21B8">
        <w:t>. Most kidney centres gave patients a pharmaceutical company leaflet, whereas a smaller number supplemented or replaced this with a locally developed leaflet. Clinicians in the multiple case study provided an explanation for the development of local leaflets, pharmaceutical company leaflets were believed to be too risk-focused and “scaremongering”. This was thought to deter some patients from starting tolvaptan.</w:t>
      </w:r>
    </w:p>
    <w:p w14:paraId="5CFCDDDD" w14:textId="078CB0E3" w:rsidR="00B616EE" w:rsidRPr="002C21B8" w:rsidRDefault="00B616EE" w:rsidP="008D1D22">
      <w:r w:rsidRPr="002C21B8">
        <w:t xml:space="preserve">Patient-facing materials that focus heavily on side effects and drug interactions were found in a focus group study by </w:t>
      </w:r>
      <w:r w:rsidR="008D1D22" w:rsidRPr="002C21B8">
        <w:fldChar w:fldCharType="begin"/>
      </w:r>
      <w:r w:rsidR="008D1D22" w:rsidRPr="002C21B8">
        <w:instrText xml:space="preserve"> ADDIN EN.CITE &lt;EndNote&gt;&lt;Cite AuthorYear="1"&gt;&lt;Author&gt;Herber&lt;/Author&gt;&lt;Year&gt;2014&lt;/Year&gt;&lt;RecNum&gt;125474&lt;/RecNum&gt;&lt;DisplayText&gt;Herber&lt;style face="italic"&gt; et al.&lt;/style&gt; (2014)&lt;/DisplayText&gt;&lt;record&gt;&lt;rec-number&gt;125474&lt;/rec-number&gt;&lt;foreign-keys&gt;&lt;key app="EN" db-id="xpefzwa5hf9dt2ea9fax95x7xvxz90v09dtf" timestamp="1776545133"&gt;125474&lt;/key&gt;&lt;/foreign-keys&gt;&lt;ref-type name="Journal Article"&gt;17&lt;/ref-type&gt;&lt;contributors&gt;&lt;authors&gt;&lt;author&gt;Herber, Oliver Rudolf&lt;/author&gt;&lt;author&gt;Gies, Verena&lt;/author&gt;&lt;author&gt;Schwappach, David&lt;/author&gt;&lt;author&gt;Thürmann, Petra&lt;/author&gt;&lt;author&gt;Wilm, Stefan&lt;/author&gt;&lt;/authors&gt;&lt;/contributors&gt;&lt;titles&gt;&lt;title&gt;Patient information leaflets: informing or frightening? A focus group study exploring patients’ emotional reactions and subsequent behavior towards package leaflets of commonly prescribed medications in family practices&lt;/title&gt;&lt;secondary-title&gt;BMC Family Practice&lt;/secondary-title&gt;&lt;/titles&gt;&lt;periodical&gt;&lt;full-title&gt;BMC family practice&lt;/full-title&gt;&lt;/periodical&gt;&lt;pages&gt;163&lt;/pages&gt;&lt;volume&gt;15&lt;/volume&gt;&lt;number&gt;1&lt;/number&gt;&lt;dates&gt;&lt;year&gt;2014&lt;/year&gt;&lt;/dates&gt;&lt;isbn&gt;1471-2296&lt;/isbn&gt;&lt;urls&gt;&lt;/urls&gt;&lt;/record&gt;&lt;/Cite&gt;&lt;/EndNote&gt;</w:instrText>
      </w:r>
      <w:r w:rsidR="008D1D22" w:rsidRPr="002C21B8">
        <w:fldChar w:fldCharType="separate"/>
      </w:r>
      <w:r w:rsidR="008D1D22" w:rsidRPr="002C21B8">
        <w:rPr>
          <w:noProof/>
        </w:rPr>
        <w:t>Herber</w:t>
      </w:r>
      <w:r w:rsidR="008D1D22" w:rsidRPr="002C21B8">
        <w:rPr>
          <w:i/>
          <w:noProof/>
        </w:rPr>
        <w:t xml:space="preserve"> et al.</w:t>
      </w:r>
      <w:r w:rsidR="008D1D22" w:rsidRPr="002C21B8">
        <w:rPr>
          <w:noProof/>
        </w:rPr>
        <w:t xml:space="preserve"> (2014)</w:t>
      </w:r>
      <w:r w:rsidR="008D1D22" w:rsidRPr="002C21B8">
        <w:fldChar w:fldCharType="end"/>
      </w:r>
      <w:r w:rsidRPr="002C21B8">
        <w:t xml:space="preserve"> to </w:t>
      </w:r>
      <w:r w:rsidR="004507C8" w:rsidRPr="002C21B8">
        <w:t>provoke negative emotional reactions in patients</w:t>
      </w:r>
      <w:r w:rsidRPr="002C21B8">
        <w:t xml:space="preserve">. </w:t>
      </w:r>
      <w:r w:rsidR="006A3276" w:rsidRPr="002C21B8">
        <w:t>This was perceived to inhibit rational decision-making and medication uptake by patients.</w:t>
      </w:r>
    </w:p>
    <w:p w14:paraId="7788E317" w14:textId="04DCB380" w:rsidR="006A3276" w:rsidRPr="002C21B8" w:rsidRDefault="004F7A3F" w:rsidP="008D1D22">
      <w:r w:rsidRPr="002C21B8">
        <w:t>As there is variation between centres in the source of the written materials provided to patients during the prescribing process, this may lead to differences in patient uptake at a centre-level.</w:t>
      </w:r>
    </w:p>
    <w:p w14:paraId="6681A1D5" w14:textId="26A26C21" w:rsidR="00767752" w:rsidRPr="002C21B8" w:rsidRDefault="00767752" w:rsidP="00ED2D36">
      <w:pPr>
        <w:pStyle w:val="Heading4"/>
      </w:pPr>
      <w:r w:rsidRPr="002C21B8">
        <w:t>Proactive vs reactive approaches to discussions</w:t>
      </w:r>
    </w:p>
    <w:p w14:paraId="015F1F32" w14:textId="01DBD840" w:rsidR="00D23B6F" w:rsidRPr="002C21B8" w:rsidRDefault="00ED08DA" w:rsidP="008D1D22">
      <w:r w:rsidRPr="002C21B8">
        <w:t>In the multiple case study, differences between centres were observed in how and when tolvaptan was discussed with patients. In some</w:t>
      </w:r>
      <w:r w:rsidR="00BB74D4" w:rsidRPr="002C21B8">
        <w:t xml:space="preserve"> kidney</w:t>
      </w:r>
      <w:r w:rsidRPr="002C21B8">
        <w:t xml:space="preserve"> </w:t>
      </w:r>
      <w:r w:rsidR="002B7AC5" w:rsidRPr="002C21B8">
        <w:t>centre</w:t>
      </w:r>
      <w:r w:rsidRPr="002C21B8">
        <w:t>s, clinicians introduced tolvaptan early and revisited it across multiple consultations</w:t>
      </w:r>
      <w:r w:rsidR="005F15DF" w:rsidRPr="002C21B8">
        <w:t>,</w:t>
      </w:r>
      <w:r w:rsidRPr="002C21B8">
        <w:t xml:space="preserve"> even if </w:t>
      </w:r>
      <w:r w:rsidR="00917900" w:rsidRPr="002C21B8">
        <w:t xml:space="preserve">they </w:t>
      </w:r>
      <w:r w:rsidRPr="002C21B8">
        <w:t xml:space="preserve">initially declined. This appeared to </w:t>
      </w:r>
      <w:r w:rsidR="00BB74D4" w:rsidRPr="002C21B8">
        <w:t>“</w:t>
      </w:r>
      <w:r w:rsidRPr="002C21B8">
        <w:t>prime</w:t>
      </w:r>
      <w:r w:rsidR="00BB74D4" w:rsidRPr="002C21B8">
        <w:t>”</w:t>
      </w:r>
      <w:r w:rsidRPr="002C21B8">
        <w:t xml:space="preserve"> patients </w:t>
      </w:r>
      <w:r w:rsidR="00D434FE" w:rsidRPr="002C21B8">
        <w:t>before</w:t>
      </w:r>
      <w:r w:rsidRPr="002C21B8">
        <w:t xml:space="preserve"> formal eligibility and supported gradual familiarisation with the </w:t>
      </w:r>
      <w:r w:rsidR="00CF7003" w:rsidRPr="002C21B8">
        <w:t>medication</w:t>
      </w:r>
      <w:r w:rsidRPr="002C21B8">
        <w:t>.</w:t>
      </w:r>
    </w:p>
    <w:p w14:paraId="71981EE5" w14:textId="34C3414B" w:rsidR="00ED08DA" w:rsidRPr="002C21B8" w:rsidRDefault="00ED08DA" w:rsidP="008D1D22">
      <w:r w:rsidRPr="002C21B8">
        <w:t xml:space="preserve">These findings are consistent with evidence from shared decision-making and risk communication literature </w:t>
      </w:r>
      <w:r w:rsidRPr="002C21B8">
        <w:fldChar w:fldCharType="begin"/>
      </w:r>
      <w:r w:rsidRPr="002C21B8">
        <w:instrText xml:space="preserve"> ADDIN EN.CITE &lt;EndNote&gt;&lt;Cite&gt;&lt;Author&gt;Elwyn&lt;/Author&gt;&lt;Year&gt;2012&lt;/Year&gt;&lt;RecNum&gt;125143&lt;/RecNum&gt;&lt;DisplayText&gt;(Coulter and Collins, 2011; Elwyn&lt;style face="italic"&gt; et al.&lt;/style&gt;, 2012)&lt;/DisplayText&gt;&lt;record&gt;&lt;rec-number&gt;125143&lt;/rec-number&gt;&lt;foreign-keys&gt;&lt;key app="EN" db-id="xpefzwa5hf9dt2ea9fax95x7xvxz90v09dtf" timestamp="1766397404"&gt;125143&lt;/key&gt;&lt;/foreign-keys&gt;&lt;ref-type name="Journal Article"&gt;17&lt;/ref-type&gt;&lt;contributors&gt;&lt;authors&gt;&lt;author&gt;Elwyn, Glyn&lt;/author&gt;&lt;author&gt;Frosch, Dominick&lt;/author&gt;&lt;author&gt;Thomson, Richard&lt;/author&gt;&lt;author&gt;Joseph-Williams, Natalie&lt;/author&gt;&lt;author&gt;Lloyd, Amy&lt;/author&gt;&lt;author&gt;Kinnersley, Paul&lt;/author&gt;&lt;author&gt;Cording, Emma&lt;/author&gt;&lt;author&gt;Tomson, Dave&lt;/author&gt;&lt;author&gt;Dodd, Carole&lt;/author&gt;&lt;author&gt;Rollnick, Stephen&lt;/author&gt;&lt;/authors&gt;&lt;/contributors&gt;&lt;titles&gt;&lt;title&gt;Shared decision making: a model for clinical practice&lt;/title&gt;&lt;secondary-title&gt;Journal of General Internal Medicine&lt;/secondary-title&gt;&lt;/titles&gt;&lt;periodical&gt;&lt;full-title&gt;Journal of general internal medicine&lt;/full-title&gt;&lt;/periodical&gt;&lt;pages&gt;1361-1367&lt;/pages&gt;&lt;volume&gt;27&lt;/volume&gt;&lt;number&gt;10&lt;/number&gt;&lt;dates&gt;&lt;year&gt;2012&lt;/year&gt;&lt;/dates&gt;&lt;isbn&gt;0884-8734&lt;/isbn&gt;&lt;urls&gt;&lt;/urls&gt;&lt;/record&gt;&lt;/Cite&gt;&lt;Cite&gt;&lt;Author&gt;Coulter&lt;/Author&gt;&lt;Year&gt;2011&lt;/Year&gt;&lt;RecNum&gt;17301&lt;/RecNum&gt;&lt;record&gt;&lt;rec-number&gt;17301&lt;/rec-number&gt;&lt;foreign-keys&gt;&lt;key app="EN" db-id="xpefzwa5hf9dt2ea9fax95x7xvxz90v09dtf" timestamp="1717854711"&gt;17301&lt;/key&gt;&lt;/foreign-keys&gt;&lt;ref-type name="Web Page"&gt;12&lt;/ref-type&gt;&lt;contributors&gt;&lt;authors&gt;&lt;author&gt;Coulter, Angela&lt;/author&gt;&lt;author&gt;Collins, Alf&lt;/author&gt;&lt;/authors&gt;&lt;/contributors&gt;&lt;titles&gt;&lt;title&gt;Making shared decision-making a reality&lt;/title&gt;&lt;secondary-title&gt;London: King&amp;apos;s Fund&lt;/secondary-title&gt;&lt;/titles&gt;&lt;periodical&gt;&lt;full-title&gt;London: King&amp;apos;s Fund&lt;/full-title&gt;&lt;/periodical&gt;&lt;volume&gt;Volume 621&lt;/volume&gt;&lt;number&gt;26/04/2026)&lt;/number&gt;&lt;dates&gt;&lt;year&gt;2011&lt;/year&gt;&lt;/dates&gt;&lt;urls&gt;&lt;related-urls&gt;&lt;url&gt;https://www.kingsfund.org.uk/insight-and-analysis/reports/making-shared-decision-making-reality&lt;/url&gt;&lt;/related-urls&gt;&lt;/urls&gt;&lt;/record&gt;&lt;/Cite&gt;&lt;/EndNote&gt;</w:instrText>
      </w:r>
      <w:r w:rsidRPr="002C21B8">
        <w:fldChar w:fldCharType="separate"/>
      </w:r>
      <w:r w:rsidRPr="002C21B8">
        <w:rPr>
          <w:noProof/>
        </w:rPr>
        <w:t>(Coulter and Collins, 2011; Elwyn</w:t>
      </w:r>
      <w:r w:rsidRPr="002C21B8">
        <w:rPr>
          <w:i/>
          <w:noProof/>
        </w:rPr>
        <w:t xml:space="preserve"> et al.</w:t>
      </w:r>
      <w:r w:rsidRPr="002C21B8">
        <w:rPr>
          <w:noProof/>
        </w:rPr>
        <w:t>, 2012)</w:t>
      </w:r>
      <w:r w:rsidRPr="002C21B8">
        <w:fldChar w:fldCharType="end"/>
      </w:r>
      <w:r w:rsidRPr="002C21B8">
        <w:t xml:space="preserve">. </w:t>
      </w:r>
      <w:r w:rsidR="002C1F13" w:rsidRPr="002C21B8">
        <w:t>In complex or high-risk treatment decisions, patients may benefit from information being given gradually over time rather than in a single consultation. Furthermore, early and repeated discussion is believed to reduce cognitive burden and provide patients with time to make more informed decision</w:t>
      </w:r>
      <w:r w:rsidR="00D321E4" w:rsidRPr="002C21B8">
        <w:t>s</w:t>
      </w:r>
      <w:r w:rsidR="002C1F13" w:rsidRPr="002C21B8">
        <w:t>.</w:t>
      </w:r>
      <w:r w:rsidR="00095343" w:rsidRPr="002C21B8">
        <w:t xml:space="preserve"> This is particularly relevant to ADPKD as the decision to take tolvaptan involves uncertain</w:t>
      </w:r>
      <w:r w:rsidR="00D25006" w:rsidRPr="002C21B8">
        <w:t xml:space="preserve"> long-term outcomes</w:t>
      </w:r>
      <w:r w:rsidR="00095343" w:rsidRPr="002C21B8">
        <w:t>, consideration of potential risks and adverse effects, and discussion of potentially emotional topics, such as kidney failure</w:t>
      </w:r>
      <w:r w:rsidR="00D25006" w:rsidRPr="002C21B8">
        <w:t xml:space="preserve"> </w:t>
      </w:r>
      <w:r w:rsidR="00D25006" w:rsidRPr="002C21B8">
        <w:fldChar w:fldCharType="begin"/>
      </w:r>
      <w:r w:rsidR="00D25006" w:rsidRPr="002C21B8">
        <w:instrText xml:space="preserve"> ADDIN EN.CITE &lt;EndNote&gt;&lt;Cite&gt;&lt;Author&gt;Torres&lt;/Author&gt;&lt;Year&gt;2025&lt;/Year&gt;&lt;RecNum&gt;125017&lt;/RecNum&gt;&lt;DisplayText&gt;(Torres&lt;style face="italic"&gt; et al.&lt;/style&gt;, 2025)&lt;/DisplayText&gt;&lt;record&gt;&lt;rec-number&gt;125017&lt;/rec-number&gt;&lt;foreign-keys&gt;&lt;key app="EN" db-id="xpefzwa5hf9dt2ea9fax95x7xvxz90v09dtf" timestamp="1757322179"&gt;125017&lt;/key&gt;&lt;/foreign-keys&gt;&lt;ref-type name="Journal Article"&gt;17&lt;/ref-type&gt;&lt;contributors&gt;&lt;authors&gt;&lt;author&gt;Torres, Vicente E&lt;/author&gt;&lt;author&gt;Ahn, Curie&lt;/author&gt;&lt;author&gt;Barten, Thijs RM&lt;/author&gt;&lt;author&gt;Brosnahan, Godela&lt;/author&gt;&lt;author&gt;Cadnapaphornchai, Melissa A&lt;/author&gt;&lt;author&gt;Chapman, Arlene B&lt;/author&gt;&lt;author&gt;Cornec-Le Gall, Emilie&lt;/author&gt;&lt;author&gt;Drenth, Joost PH&lt;/author&gt;&lt;author&gt;Gansevoort, Ron T&lt;/author&gt;&lt;author&gt;Harris, Peter C&lt;/author&gt;&lt;/authors&gt;&lt;/contributors&gt;&lt;titles&gt;&lt;title&gt;KDIGO 2025 clinical practice guideline for the evaluation, management, and treatment of autosomal dominant polycystic kidney disease (ADPKD): executive summary&lt;/title&gt;&lt;secondary-title&gt;Kidney International&lt;/secondary-title&gt;&lt;/titles&gt;&lt;periodical&gt;&lt;full-title&gt;Kidney international&lt;/full-title&gt;&lt;/periodical&gt;&lt;pages&gt;234-254&lt;/pages&gt;&lt;volume&gt;107&lt;/volume&gt;&lt;number&gt;2&lt;/number&gt;&lt;dates&gt;&lt;year&gt;2025&lt;/year&gt;&lt;/dates&gt;&lt;isbn&gt;0085-2538&lt;/isbn&gt;&lt;urls&gt;&lt;/urls&gt;&lt;/record&gt;&lt;/Cite&gt;&lt;/EndNote&gt;</w:instrText>
      </w:r>
      <w:r w:rsidR="00D25006" w:rsidRPr="002C21B8">
        <w:fldChar w:fldCharType="separate"/>
      </w:r>
      <w:r w:rsidR="00D25006" w:rsidRPr="002C21B8">
        <w:rPr>
          <w:noProof/>
        </w:rPr>
        <w:t>(Torres</w:t>
      </w:r>
      <w:r w:rsidR="00D25006" w:rsidRPr="002C21B8">
        <w:rPr>
          <w:i/>
          <w:noProof/>
        </w:rPr>
        <w:t xml:space="preserve"> et al.</w:t>
      </w:r>
      <w:r w:rsidR="00D25006" w:rsidRPr="002C21B8">
        <w:rPr>
          <w:noProof/>
        </w:rPr>
        <w:t>, 2025)</w:t>
      </w:r>
      <w:r w:rsidR="00D25006" w:rsidRPr="002C21B8">
        <w:fldChar w:fldCharType="end"/>
      </w:r>
      <w:r w:rsidR="00095343" w:rsidRPr="002C21B8">
        <w:t>. D</w:t>
      </w:r>
      <w:r w:rsidR="00BB74D4" w:rsidRPr="002C21B8">
        <w:t xml:space="preserve">ifferent approaches </w:t>
      </w:r>
      <w:r w:rsidR="00095343" w:rsidRPr="002C21B8">
        <w:t xml:space="preserve">to these discussions </w:t>
      </w:r>
      <w:r w:rsidR="00BB74D4" w:rsidRPr="002C21B8">
        <w:t xml:space="preserve">between kidney centres may </w:t>
      </w:r>
      <w:r w:rsidR="0080478F" w:rsidRPr="002C21B8">
        <w:t xml:space="preserve">therefore </w:t>
      </w:r>
      <w:r w:rsidR="0090540C" w:rsidRPr="002C21B8">
        <w:t>influence patient uptake</w:t>
      </w:r>
      <w:r w:rsidR="0080478F" w:rsidRPr="002C21B8">
        <w:t xml:space="preserve"> of tolvaptan.</w:t>
      </w:r>
    </w:p>
    <w:bookmarkEnd w:id="289"/>
    <w:bookmarkEnd w:id="290"/>
    <w:p w14:paraId="4107BFFB" w14:textId="097620F7" w:rsidR="00C13ABB" w:rsidRPr="002C21B8" w:rsidRDefault="00B378D5" w:rsidP="004507C8">
      <w:pPr>
        <w:pStyle w:val="Heading3"/>
      </w:pPr>
      <w:r w:rsidRPr="002C21B8">
        <w:t>Audit</w:t>
      </w:r>
      <w:r w:rsidR="009F2A95" w:rsidRPr="002C21B8">
        <w:t xml:space="preserve"> providing an opportunity to reflect on practice and improve consistency</w:t>
      </w:r>
    </w:p>
    <w:p w14:paraId="098A8A5C" w14:textId="311C4569" w:rsidR="0012505E" w:rsidRPr="002C21B8" w:rsidRDefault="0012505E" w:rsidP="00ED2D36">
      <w:pPr>
        <w:pStyle w:val="Heading4"/>
      </w:pPr>
      <w:r w:rsidRPr="002C21B8">
        <w:t>External audit</w:t>
      </w:r>
    </w:p>
    <w:p w14:paraId="1BDBF399" w14:textId="4CEB4BCB" w:rsidR="006671B4" w:rsidRPr="002C21B8" w:rsidRDefault="000E5534" w:rsidP="00681BE2">
      <w:pPr>
        <w:rPr>
          <w:color w:val="000000"/>
        </w:rPr>
      </w:pPr>
      <w:r w:rsidRPr="002C21B8">
        <w:rPr>
          <w:color w:val="000000"/>
        </w:rPr>
        <w:t xml:space="preserve">In the multiple case study, </w:t>
      </w:r>
      <w:r w:rsidR="00084D5B" w:rsidRPr="002C21B8">
        <w:rPr>
          <w:color w:val="000000"/>
        </w:rPr>
        <w:t>the GIRFT initiative provided</w:t>
      </w:r>
      <w:r w:rsidR="004E5292" w:rsidRPr="002C21B8">
        <w:rPr>
          <w:color w:val="000000"/>
        </w:rPr>
        <w:t xml:space="preserve"> </w:t>
      </w:r>
      <w:r w:rsidR="00084D5B" w:rsidRPr="002C21B8">
        <w:rPr>
          <w:color w:val="000000"/>
        </w:rPr>
        <w:t>kidney centres with benchmarked comparative data on tolvaptan prescribing</w:t>
      </w:r>
      <w:r w:rsidR="005F27B8" w:rsidRPr="002C21B8">
        <w:rPr>
          <w:color w:val="000000"/>
        </w:rPr>
        <w:t xml:space="preserve"> </w:t>
      </w:r>
      <w:r w:rsidR="00B34EC9" w:rsidRPr="002C21B8">
        <w:rPr>
          <w:color w:val="000000"/>
        </w:rPr>
        <w:t>without</w:t>
      </w:r>
      <w:r w:rsidR="005F27B8" w:rsidRPr="002C21B8">
        <w:rPr>
          <w:color w:val="000000"/>
        </w:rPr>
        <w:t xml:space="preserve"> recommendations on how or whether to change their practice</w:t>
      </w:r>
      <w:r w:rsidR="004E5292" w:rsidRPr="002C21B8">
        <w:rPr>
          <w:color w:val="000000"/>
        </w:rPr>
        <w:t>. Across all three centres, the initial effect of this benchmarking was an increased awareness of their prescribing practices and whether their</w:t>
      </w:r>
      <w:r w:rsidR="002A72FD" w:rsidRPr="002C21B8">
        <w:rPr>
          <w:color w:val="000000"/>
        </w:rPr>
        <w:t xml:space="preserve"> </w:t>
      </w:r>
      <w:r w:rsidR="00327F4F" w:rsidRPr="002C21B8">
        <w:rPr>
          <w:color w:val="000000"/>
        </w:rPr>
        <w:t xml:space="preserve">tolvaptan </w:t>
      </w:r>
      <w:r w:rsidR="002A72FD" w:rsidRPr="002C21B8">
        <w:rPr>
          <w:color w:val="000000"/>
        </w:rPr>
        <w:t>prescribing</w:t>
      </w:r>
      <w:r w:rsidR="004E5292" w:rsidRPr="002C21B8">
        <w:rPr>
          <w:color w:val="000000"/>
        </w:rPr>
        <w:t xml:space="preserve"> activity was higher or lower </w:t>
      </w:r>
      <w:r w:rsidR="006671B4" w:rsidRPr="002C21B8">
        <w:rPr>
          <w:color w:val="000000"/>
        </w:rPr>
        <w:t xml:space="preserve">than that of </w:t>
      </w:r>
      <w:r w:rsidR="004E5292" w:rsidRPr="002C21B8">
        <w:rPr>
          <w:color w:val="000000"/>
        </w:rPr>
        <w:t xml:space="preserve">other centres. </w:t>
      </w:r>
      <w:r w:rsidR="006671B4" w:rsidRPr="002C21B8">
        <w:rPr>
          <w:color w:val="000000"/>
        </w:rPr>
        <w:t xml:space="preserve">However, there was a difference in the response </w:t>
      </w:r>
      <w:r w:rsidR="0006586F" w:rsidRPr="002C21B8">
        <w:rPr>
          <w:color w:val="000000"/>
        </w:rPr>
        <w:t xml:space="preserve">of centres </w:t>
      </w:r>
      <w:r w:rsidR="006671B4" w:rsidRPr="002C21B8">
        <w:rPr>
          <w:color w:val="000000"/>
        </w:rPr>
        <w:t>to this information</w:t>
      </w:r>
      <w:r w:rsidR="0006586F" w:rsidRPr="002C21B8">
        <w:rPr>
          <w:color w:val="000000"/>
        </w:rPr>
        <w:t xml:space="preserve">. One centre </w:t>
      </w:r>
      <w:r w:rsidR="006671B4" w:rsidRPr="002C21B8">
        <w:rPr>
          <w:color w:val="000000"/>
        </w:rPr>
        <w:t>change</w:t>
      </w:r>
      <w:r w:rsidR="0006586F" w:rsidRPr="002C21B8">
        <w:rPr>
          <w:color w:val="000000"/>
        </w:rPr>
        <w:t>d</w:t>
      </w:r>
      <w:r w:rsidR="006671B4" w:rsidRPr="002C21B8">
        <w:rPr>
          <w:color w:val="000000"/>
        </w:rPr>
        <w:t xml:space="preserve"> </w:t>
      </w:r>
      <w:r w:rsidR="0006586F" w:rsidRPr="002C21B8">
        <w:rPr>
          <w:color w:val="000000"/>
        </w:rPr>
        <w:t>the</w:t>
      </w:r>
      <w:r w:rsidR="00A15020" w:rsidRPr="002C21B8">
        <w:rPr>
          <w:color w:val="000000"/>
        </w:rPr>
        <w:t>ir</w:t>
      </w:r>
      <w:r w:rsidR="0006586F" w:rsidRPr="002C21B8">
        <w:rPr>
          <w:color w:val="000000"/>
        </w:rPr>
        <w:t xml:space="preserve"> </w:t>
      </w:r>
      <w:r w:rsidR="006671B4" w:rsidRPr="002C21B8">
        <w:rPr>
          <w:color w:val="000000"/>
        </w:rPr>
        <w:t xml:space="preserve">service configuration and prescribing approach, </w:t>
      </w:r>
      <w:r w:rsidR="0006586F" w:rsidRPr="002C21B8">
        <w:rPr>
          <w:color w:val="000000"/>
        </w:rPr>
        <w:t xml:space="preserve">another contextualised the findings through their peer network but did not change practice, and the third was </w:t>
      </w:r>
      <w:r w:rsidR="00A15020" w:rsidRPr="002C21B8">
        <w:rPr>
          <w:color w:val="000000"/>
        </w:rPr>
        <w:t xml:space="preserve">already </w:t>
      </w:r>
      <w:r w:rsidR="0006586F" w:rsidRPr="002C21B8">
        <w:rPr>
          <w:color w:val="000000"/>
        </w:rPr>
        <w:t>aligned with other centres</w:t>
      </w:r>
      <w:r w:rsidR="00BB67F7" w:rsidRPr="002C21B8">
        <w:rPr>
          <w:color w:val="000000"/>
        </w:rPr>
        <w:t>, s</w:t>
      </w:r>
      <w:r w:rsidR="0006586F" w:rsidRPr="002C21B8">
        <w:rPr>
          <w:color w:val="000000"/>
        </w:rPr>
        <w:t xml:space="preserve">o </w:t>
      </w:r>
      <w:r w:rsidR="00BB67F7" w:rsidRPr="002C21B8">
        <w:rPr>
          <w:color w:val="000000"/>
        </w:rPr>
        <w:t xml:space="preserve">they </w:t>
      </w:r>
      <w:r w:rsidR="009866AA" w:rsidRPr="002C21B8">
        <w:rPr>
          <w:color w:val="000000"/>
        </w:rPr>
        <w:t xml:space="preserve">believed </w:t>
      </w:r>
      <w:r w:rsidR="0006586F" w:rsidRPr="002C21B8">
        <w:rPr>
          <w:color w:val="000000"/>
        </w:rPr>
        <w:t>there was no need to change.</w:t>
      </w:r>
    </w:p>
    <w:p w14:paraId="386D6DE9" w14:textId="51739FE8" w:rsidR="00F847AE" w:rsidRPr="002C21B8" w:rsidRDefault="00962E5D" w:rsidP="00A761AB">
      <w:pPr>
        <w:rPr>
          <w:color w:val="000000"/>
        </w:rPr>
      </w:pPr>
      <w:r w:rsidRPr="002C21B8">
        <w:rPr>
          <w:color w:val="000000"/>
        </w:rPr>
        <w:t>These differences in response</w:t>
      </w:r>
      <w:r w:rsidR="005F27B8" w:rsidRPr="002C21B8">
        <w:rPr>
          <w:color w:val="000000"/>
        </w:rPr>
        <w:t>s</w:t>
      </w:r>
      <w:r w:rsidRPr="002C21B8">
        <w:rPr>
          <w:color w:val="000000"/>
        </w:rPr>
        <w:t xml:space="preserve"> </w:t>
      </w:r>
      <w:r w:rsidR="00FC3DDD" w:rsidRPr="002C21B8">
        <w:rPr>
          <w:color w:val="000000"/>
        </w:rPr>
        <w:t xml:space="preserve">are </w:t>
      </w:r>
      <w:r w:rsidRPr="002C21B8">
        <w:rPr>
          <w:color w:val="000000"/>
        </w:rPr>
        <w:t xml:space="preserve">consistent with the wider literature, which demonstrates that </w:t>
      </w:r>
      <w:r w:rsidR="005F27B8" w:rsidRPr="002C21B8">
        <w:rPr>
          <w:color w:val="000000"/>
        </w:rPr>
        <w:t xml:space="preserve">the </w:t>
      </w:r>
      <w:r w:rsidRPr="002C21B8">
        <w:rPr>
          <w:color w:val="000000"/>
        </w:rPr>
        <w:t xml:space="preserve">impact </w:t>
      </w:r>
      <w:r w:rsidR="005F27B8" w:rsidRPr="002C21B8">
        <w:rPr>
          <w:color w:val="000000"/>
        </w:rPr>
        <w:t xml:space="preserve">of external audit </w:t>
      </w:r>
      <w:r w:rsidRPr="002C21B8">
        <w:rPr>
          <w:color w:val="000000"/>
        </w:rPr>
        <w:t xml:space="preserve">on practice is variable and context-dependent. In the systematic review by </w:t>
      </w:r>
      <w:r w:rsidR="00F40300" w:rsidRPr="002C21B8">
        <w:rPr>
          <w:color w:val="000000"/>
        </w:rPr>
        <w:fldChar w:fldCharType="begin"/>
      </w:r>
      <w:r w:rsidR="000C6350" w:rsidRPr="002C21B8">
        <w:rPr>
          <w:color w:val="000000"/>
        </w:rPr>
        <w:instrText xml:space="preserve"> ADDIN EN.CITE &lt;EndNote&gt;&lt;Cite AuthorYear="1"&gt;&lt;Author&gt;Ivers&lt;/Author&gt;&lt;Year&gt;2025&lt;/Year&gt;&lt;RecNum&gt;125455&lt;/RecNum&gt;&lt;DisplayText&gt;Ivers&lt;style face="italic"&gt; et al.&lt;/style&gt; (2025)&lt;/DisplayText&gt;&lt;record&gt;&lt;rec-number&gt;125455&lt;/rec-number&gt;&lt;foreign-keys&gt;&lt;key app="EN" db-id="xpefzwa5hf9dt2ea9fax95x7xvxz90v09dtf" timestamp="1776517473"&gt;125455&lt;/key&gt;&lt;/foreign-keys&gt;&lt;ref-type name="Journal Article"&gt;17&lt;/ref-type&gt;&lt;contributors&gt;&lt;authors&gt;&lt;author&gt;Ivers, Noah&lt;/author&gt;&lt;author&gt;Yogasingam, Sharlini&lt;/author&gt;&lt;author&gt;Lacroix, Meagan&lt;/author&gt;&lt;author&gt;Brown, Kevin A&lt;/author&gt;&lt;author&gt;Antony, Jesmin&lt;/author&gt;&lt;author&gt;Soobiah, Charlene&lt;/author&gt;&lt;author&gt;Simeoni, Michelle&lt;/author&gt;&lt;author&gt;Willis, Thomas A&lt;/author&gt;&lt;author&gt;Crawshaw, Jacob&lt;/author&gt;&lt;/authors&gt;&lt;/contributors&gt;&lt;titles&gt;&lt;title&gt;Audit and feedback: effects on professional practice&lt;/title&gt;&lt;secondary-title&gt;Cochrane Database of Systematic Reviews&lt;/secondary-title&gt;&lt;/titles&gt;&lt;periodical&gt;&lt;full-title&gt;COCHRANE DATABASE OF SYSTEMATIC REVIEWS&lt;/full-title&gt;&lt;/periodical&gt;&lt;pages&gt;CD000259&lt;/pages&gt;&lt;volume&gt;3&lt;/volume&gt;&lt;number&gt;3&lt;/number&gt;&lt;dates&gt;&lt;year&gt;2025&lt;/year&gt;&lt;/dates&gt;&lt;isbn&gt;1465-1858&lt;/isbn&gt;&lt;urls&gt;&lt;/urls&gt;&lt;/record&gt;&lt;/Cite&gt;&lt;/EndNote&gt;</w:instrText>
      </w:r>
      <w:r w:rsidR="00F40300" w:rsidRPr="002C21B8">
        <w:rPr>
          <w:color w:val="000000"/>
        </w:rPr>
        <w:fldChar w:fldCharType="separate"/>
      </w:r>
      <w:r w:rsidR="000C6350" w:rsidRPr="002C21B8">
        <w:rPr>
          <w:noProof/>
          <w:color w:val="000000"/>
        </w:rPr>
        <w:t>Ivers</w:t>
      </w:r>
      <w:r w:rsidR="000C6350" w:rsidRPr="002C21B8">
        <w:rPr>
          <w:i/>
          <w:noProof/>
          <w:color w:val="000000"/>
        </w:rPr>
        <w:t xml:space="preserve"> et al.</w:t>
      </w:r>
      <w:r w:rsidR="000C6350" w:rsidRPr="002C21B8">
        <w:rPr>
          <w:noProof/>
          <w:color w:val="000000"/>
        </w:rPr>
        <w:t xml:space="preserve"> (2025)</w:t>
      </w:r>
      <w:r w:rsidR="00F40300" w:rsidRPr="002C21B8">
        <w:rPr>
          <w:color w:val="000000"/>
        </w:rPr>
        <w:fldChar w:fldCharType="end"/>
      </w:r>
      <w:r w:rsidRPr="002C21B8">
        <w:rPr>
          <w:color w:val="000000"/>
        </w:rPr>
        <w:t>, external audit was found to have a small to moderate effect on clinical practice. This effect is greatest when it includes benchmarking</w:t>
      </w:r>
      <w:r w:rsidR="00681BE2" w:rsidRPr="002C21B8">
        <w:rPr>
          <w:color w:val="000000"/>
        </w:rPr>
        <w:t xml:space="preserve"> against peers, repeated</w:t>
      </w:r>
      <w:r w:rsidRPr="002C21B8">
        <w:rPr>
          <w:color w:val="000000"/>
        </w:rPr>
        <w:t xml:space="preserve"> audits</w:t>
      </w:r>
      <w:r w:rsidR="00681BE2" w:rsidRPr="002C21B8">
        <w:rPr>
          <w:color w:val="000000"/>
        </w:rPr>
        <w:t xml:space="preserve">, </w:t>
      </w:r>
      <w:r w:rsidR="00BD66BB" w:rsidRPr="002C21B8">
        <w:rPr>
          <w:color w:val="000000"/>
        </w:rPr>
        <w:t xml:space="preserve">attribution to centres </w:t>
      </w:r>
      <w:r w:rsidR="00681BE2" w:rsidRPr="002C21B8">
        <w:rPr>
          <w:color w:val="000000"/>
        </w:rPr>
        <w:t xml:space="preserve">and </w:t>
      </w:r>
      <w:r w:rsidR="00F40300" w:rsidRPr="002C21B8">
        <w:rPr>
          <w:color w:val="000000"/>
        </w:rPr>
        <w:t>recommendations</w:t>
      </w:r>
      <w:r w:rsidR="00681BE2" w:rsidRPr="002C21B8">
        <w:rPr>
          <w:color w:val="000000"/>
        </w:rPr>
        <w:t xml:space="preserve"> on how to improve</w:t>
      </w:r>
      <w:r w:rsidR="000E5534" w:rsidRPr="002C21B8">
        <w:rPr>
          <w:color w:val="000000"/>
        </w:rPr>
        <w:t xml:space="preserve"> </w:t>
      </w:r>
      <w:r w:rsidR="00F40300" w:rsidRPr="002C21B8">
        <w:rPr>
          <w:color w:val="000000"/>
        </w:rPr>
        <w:t xml:space="preserve">practice. </w:t>
      </w:r>
      <w:r w:rsidRPr="002C21B8">
        <w:rPr>
          <w:color w:val="000000"/>
        </w:rPr>
        <w:t>However, the extent to which feedback translates into practice depends on perceived relevance and local capacity or ability to respond</w:t>
      </w:r>
      <w:r w:rsidR="009A71DD" w:rsidRPr="002C21B8">
        <w:rPr>
          <w:color w:val="000000"/>
        </w:rPr>
        <w:t xml:space="preserve"> </w:t>
      </w:r>
      <w:r w:rsidR="009A71DD" w:rsidRPr="002C21B8">
        <w:rPr>
          <w:color w:val="000000"/>
        </w:rPr>
        <w:fldChar w:fldCharType="begin"/>
      </w:r>
      <w:r w:rsidR="009A71DD" w:rsidRPr="002C21B8">
        <w:rPr>
          <w:color w:val="000000"/>
        </w:rPr>
        <w:instrText xml:space="preserve"> ADDIN EN.CITE &lt;EndNote&gt;&lt;Cite&gt;&lt;Author&gt;Grol&lt;/Author&gt;&lt;Year&gt;2004&lt;/Year&gt;&lt;RecNum&gt;125599&lt;/RecNum&gt;&lt;DisplayText&gt;(Grol and Wensing, 2004; Ivers&lt;style face="italic"&gt; et al.&lt;/style&gt;, 2025)&lt;/DisplayText&gt;&lt;record&gt;&lt;rec-number&gt;125599&lt;/rec-number&gt;&lt;foreign-keys&gt;&lt;key app="EN" db-id="xpefzwa5hf9dt2ea9fax95x7xvxz90v09dtf" timestamp="1778775707"&gt;125599&lt;/key&gt;&lt;/foreign-keys&gt;&lt;ref-type name="Journal Article"&gt;17&lt;/ref-type&gt;&lt;contributors&gt;&lt;authors&gt;&lt;author&gt;Grol, Richard&lt;/author&gt;&lt;author&gt;Wensing, Michel&lt;/author&gt;&lt;/authors&gt;&lt;/contributors&gt;&lt;titles&gt;&lt;title&gt;What drives change? Barriers to and incentives for achieving evidence-based practice&lt;/title&gt;&lt;secondary-title&gt;The Medical Journal of Australia&lt;/secondary-title&gt;&lt;/titles&gt;&lt;periodical&gt;&lt;full-title&gt;The medical journal of Australia&lt;/full-title&gt;&lt;/periodical&gt;&lt;pages&gt;S57&lt;/pages&gt;&lt;volume&gt;180&lt;/volume&gt;&lt;number&gt;6&lt;/number&gt;&lt;dates&gt;&lt;year&gt;2004&lt;/year&gt;&lt;/dates&gt;&lt;urls&gt;&lt;/urls&gt;&lt;/record&gt;&lt;/Cite&gt;&lt;Cite&gt;&lt;Author&gt;Ivers&lt;/Author&gt;&lt;Year&gt;2025&lt;/Year&gt;&lt;RecNum&gt;125455&lt;/RecNum&gt;&lt;record&gt;&lt;rec-number&gt;125455&lt;/rec-number&gt;&lt;foreign-keys&gt;&lt;key app="EN" db-id="xpefzwa5hf9dt2ea9fax95x7xvxz90v09dtf" timestamp="1776517473"&gt;125455&lt;/key&gt;&lt;/foreign-keys&gt;&lt;ref-type name="Journal Article"&gt;17&lt;/ref-type&gt;&lt;contributors&gt;&lt;authors&gt;&lt;author&gt;Ivers, Noah&lt;/author&gt;&lt;author&gt;Yogasingam, Sharlini&lt;/author&gt;&lt;author&gt;Lacroix, Meagan&lt;/author&gt;&lt;author&gt;Brown, Kevin A&lt;/author&gt;&lt;author&gt;Antony, Jesmin&lt;/author&gt;&lt;author&gt;Soobiah, Charlene&lt;/author&gt;&lt;author&gt;Simeoni, Michelle&lt;/author&gt;&lt;author&gt;Willis, Thomas A&lt;/author&gt;&lt;author&gt;Crawshaw, Jacob&lt;/author&gt;&lt;/authors&gt;&lt;/contributors&gt;&lt;titles&gt;&lt;title&gt;Audit and feedback: effects on professional practice&lt;/title&gt;&lt;secondary-title&gt;Cochrane Database of Systematic Reviews&lt;/secondary-title&gt;&lt;/titles&gt;&lt;periodical&gt;&lt;full-title&gt;COCHRANE DATABASE OF SYSTEMATIC REVIEWS&lt;/full-title&gt;&lt;/periodical&gt;&lt;pages&gt;CD000259&lt;/pages&gt;&lt;volume&gt;3&lt;/volume&gt;&lt;number&gt;3&lt;/number&gt;&lt;dates&gt;&lt;year&gt;2025&lt;/year&gt;&lt;/dates&gt;&lt;isbn&gt;1465-1858&lt;/isbn&gt;&lt;urls&gt;&lt;/urls&gt;&lt;/record&gt;&lt;/Cite&gt;&lt;/EndNote&gt;</w:instrText>
      </w:r>
      <w:r w:rsidR="009A71DD" w:rsidRPr="002C21B8">
        <w:rPr>
          <w:color w:val="000000"/>
        </w:rPr>
        <w:fldChar w:fldCharType="separate"/>
      </w:r>
      <w:r w:rsidR="009A71DD" w:rsidRPr="002C21B8">
        <w:rPr>
          <w:noProof/>
          <w:color w:val="000000"/>
        </w:rPr>
        <w:t>(Grol and Wensing, 2004; Ivers</w:t>
      </w:r>
      <w:r w:rsidR="009A71DD" w:rsidRPr="002C21B8">
        <w:rPr>
          <w:i/>
          <w:noProof/>
          <w:color w:val="000000"/>
        </w:rPr>
        <w:t xml:space="preserve"> et al.</w:t>
      </w:r>
      <w:r w:rsidR="009A71DD" w:rsidRPr="002C21B8">
        <w:rPr>
          <w:noProof/>
          <w:color w:val="000000"/>
        </w:rPr>
        <w:t>, 2025)</w:t>
      </w:r>
      <w:r w:rsidR="009A71DD" w:rsidRPr="002C21B8">
        <w:rPr>
          <w:color w:val="000000"/>
        </w:rPr>
        <w:fldChar w:fldCharType="end"/>
      </w:r>
      <w:r w:rsidRPr="002C21B8">
        <w:rPr>
          <w:color w:val="000000"/>
        </w:rPr>
        <w:t xml:space="preserve">. As demonstrated earlier, there are differences in the resources and expertise available </w:t>
      </w:r>
      <w:r w:rsidR="009A71DD" w:rsidRPr="002C21B8">
        <w:rPr>
          <w:color w:val="000000"/>
        </w:rPr>
        <w:t>at different</w:t>
      </w:r>
      <w:r w:rsidRPr="002C21B8">
        <w:rPr>
          <w:color w:val="000000"/>
        </w:rPr>
        <w:t xml:space="preserve"> </w:t>
      </w:r>
      <w:r w:rsidR="00B21FCF" w:rsidRPr="002C21B8">
        <w:rPr>
          <w:color w:val="000000"/>
        </w:rPr>
        <w:t xml:space="preserve">kidney </w:t>
      </w:r>
      <w:r w:rsidRPr="002C21B8">
        <w:rPr>
          <w:color w:val="000000"/>
        </w:rPr>
        <w:t>centres. So</w:t>
      </w:r>
      <w:r w:rsidR="006C5110" w:rsidRPr="002C21B8">
        <w:rPr>
          <w:color w:val="000000"/>
        </w:rPr>
        <w:t>,</w:t>
      </w:r>
      <w:r w:rsidRPr="002C21B8">
        <w:rPr>
          <w:color w:val="000000"/>
        </w:rPr>
        <w:t xml:space="preserve"> external audit may act as a mechanism through which existing variation is made more visible and </w:t>
      </w:r>
      <w:r w:rsidR="006C5110" w:rsidRPr="002C21B8">
        <w:rPr>
          <w:color w:val="000000"/>
        </w:rPr>
        <w:t xml:space="preserve">practice </w:t>
      </w:r>
      <w:r w:rsidR="001E6852" w:rsidRPr="002C21B8">
        <w:rPr>
          <w:color w:val="000000"/>
        </w:rPr>
        <w:t xml:space="preserve">can be standardised. But it may potentially </w:t>
      </w:r>
      <w:r w:rsidRPr="002C21B8">
        <w:rPr>
          <w:color w:val="000000"/>
        </w:rPr>
        <w:t>amplif</w:t>
      </w:r>
      <w:r w:rsidR="001E6852" w:rsidRPr="002C21B8">
        <w:rPr>
          <w:color w:val="000000"/>
        </w:rPr>
        <w:t xml:space="preserve">y differences between kidney centres if there is </w:t>
      </w:r>
      <w:r w:rsidRPr="002C21B8">
        <w:rPr>
          <w:color w:val="000000"/>
        </w:rPr>
        <w:t xml:space="preserve">unequal capacity to respond to </w:t>
      </w:r>
      <w:r w:rsidR="001E6852" w:rsidRPr="002C21B8">
        <w:rPr>
          <w:color w:val="000000"/>
        </w:rPr>
        <w:t xml:space="preserve">the </w:t>
      </w:r>
      <w:r w:rsidRPr="002C21B8">
        <w:rPr>
          <w:color w:val="000000"/>
        </w:rPr>
        <w:t>feedback.</w:t>
      </w:r>
    </w:p>
    <w:p w14:paraId="58EFB570" w14:textId="77777777" w:rsidR="0012505E" w:rsidRPr="002C21B8" w:rsidRDefault="0012505E" w:rsidP="00ED2D36">
      <w:pPr>
        <w:pStyle w:val="Heading4"/>
      </w:pPr>
      <w:r w:rsidRPr="002C21B8">
        <w:t>Internal audit</w:t>
      </w:r>
    </w:p>
    <w:p w14:paraId="71630A0E" w14:textId="5DDBDD1C" w:rsidR="00C355E6" w:rsidRPr="002C21B8" w:rsidRDefault="0043103B" w:rsidP="008D1D22">
      <w:r w:rsidRPr="002C21B8">
        <w:t>Audit processes within kidney centres appeared to improve</w:t>
      </w:r>
      <w:r w:rsidR="00B8311A" w:rsidRPr="002C21B8">
        <w:t xml:space="preserve"> a</w:t>
      </w:r>
      <w:r w:rsidRPr="002C21B8">
        <w:t xml:space="preserve"> </w:t>
      </w:r>
      <w:r w:rsidR="00B8311A" w:rsidRPr="002C21B8">
        <w:t xml:space="preserve">kidney </w:t>
      </w:r>
      <w:r w:rsidRPr="002C21B8">
        <w:t xml:space="preserve">centre’s awareness of their prescribing practices in the multiple case study. </w:t>
      </w:r>
      <w:r w:rsidR="00B9211A" w:rsidRPr="002C21B8">
        <w:t>This was particularly evident in the</w:t>
      </w:r>
      <w:r w:rsidR="00C355E6" w:rsidRPr="002C21B8">
        <w:t xml:space="preserve"> centre with the</w:t>
      </w:r>
      <w:r w:rsidR="00B9211A" w:rsidRPr="002C21B8">
        <w:t xml:space="preserve"> </w:t>
      </w:r>
      <w:r w:rsidR="00C355E6" w:rsidRPr="002C21B8">
        <w:t>generalist clinic model</w:t>
      </w:r>
      <w:r w:rsidR="006215D2" w:rsidRPr="002C21B8">
        <w:t>,</w:t>
      </w:r>
      <w:r w:rsidR="00C355E6" w:rsidRPr="002C21B8">
        <w:t xml:space="preserve"> which introduced internal audit following </w:t>
      </w:r>
      <w:r w:rsidRPr="002C21B8">
        <w:t>the GIRFT report</w:t>
      </w:r>
      <w:r w:rsidR="00C355E6" w:rsidRPr="002C21B8">
        <w:t xml:space="preserve"> that suggested they were underprescribing. In contrast, the centre without a structured internal audit process reported that they were not aware of the practices of their general nephrology colleagues in the centre</w:t>
      </w:r>
      <w:r w:rsidR="006215D2" w:rsidRPr="002C21B8">
        <w:t>,</w:t>
      </w:r>
      <w:r w:rsidR="00C355E6" w:rsidRPr="002C21B8">
        <w:t xml:space="preserve"> but believed their overall practices were in line with </w:t>
      </w:r>
      <w:r w:rsidR="00D64812" w:rsidRPr="002C21B8">
        <w:t xml:space="preserve">those of </w:t>
      </w:r>
      <w:r w:rsidR="00C355E6" w:rsidRPr="002C21B8">
        <w:t>other centres. However, the analysis of registry data suggested that fewer eligible patients than expected were receiving tolvaptan</w:t>
      </w:r>
      <w:r w:rsidR="00261AB6" w:rsidRPr="002C21B8">
        <w:t xml:space="preserve"> at their centre</w:t>
      </w:r>
      <w:r w:rsidR="00642838" w:rsidRPr="002C21B8">
        <w:t xml:space="preserve"> which could be related to within-centre variation</w:t>
      </w:r>
      <w:r w:rsidR="00C355E6" w:rsidRPr="002C21B8">
        <w:t>. In the survey, two-thirds of centres reported undertaking internal audits</w:t>
      </w:r>
      <w:r w:rsidR="00900501" w:rsidRPr="002C21B8">
        <w:t xml:space="preserve"> </w:t>
      </w:r>
      <w:r w:rsidR="00C355E6" w:rsidRPr="002C21B8">
        <w:t>to assess their prescribing practices</w:t>
      </w:r>
      <w:r w:rsidR="006215D2" w:rsidRPr="002C21B8">
        <w:t>,</w:t>
      </w:r>
      <w:r w:rsidR="00C355E6" w:rsidRPr="002C21B8">
        <w:t xml:space="preserve"> which means the remaining third are less likely to have a</w:t>
      </w:r>
      <w:r w:rsidR="00261AB6" w:rsidRPr="002C21B8">
        <w:t>n</w:t>
      </w:r>
      <w:r w:rsidR="00C355E6" w:rsidRPr="002C21B8">
        <w:t xml:space="preserve"> awareness of their practices</w:t>
      </w:r>
      <w:r w:rsidR="00261AB6" w:rsidRPr="002C21B8">
        <w:t xml:space="preserve">. This is important as </w:t>
      </w:r>
      <w:r w:rsidR="006215D2" w:rsidRPr="002C21B8">
        <w:t>centres</w:t>
      </w:r>
      <w:r w:rsidR="00261AB6" w:rsidRPr="002C21B8">
        <w:t xml:space="preserve"> </w:t>
      </w:r>
      <w:r w:rsidR="003C4634" w:rsidRPr="002C21B8">
        <w:t xml:space="preserve">with high within-centre variation </w:t>
      </w:r>
      <w:r w:rsidR="006215D2" w:rsidRPr="002C21B8">
        <w:t xml:space="preserve">miss </w:t>
      </w:r>
      <w:r w:rsidR="00463E8E" w:rsidRPr="002C21B8">
        <w:t>the</w:t>
      </w:r>
      <w:r w:rsidR="006215D2" w:rsidRPr="002C21B8">
        <w:t xml:space="preserve"> </w:t>
      </w:r>
      <w:r w:rsidR="00261AB6" w:rsidRPr="002C21B8">
        <w:t xml:space="preserve">opportunity to </w:t>
      </w:r>
      <w:r w:rsidR="006215D2" w:rsidRPr="002C21B8">
        <w:t xml:space="preserve">potentially </w:t>
      </w:r>
      <w:r w:rsidR="00FD2D81" w:rsidRPr="002C21B8">
        <w:t>improve the</w:t>
      </w:r>
      <w:r w:rsidR="003D0B4F" w:rsidRPr="002C21B8">
        <w:t xml:space="preserve"> consistency of their</w:t>
      </w:r>
      <w:r w:rsidR="00EF3A99" w:rsidRPr="002C21B8">
        <w:t xml:space="preserve"> prescribing</w:t>
      </w:r>
      <w:r w:rsidR="00FD2D81" w:rsidRPr="002C21B8">
        <w:t xml:space="preserve"> practice</w:t>
      </w:r>
      <w:r w:rsidR="00757AFF" w:rsidRPr="002C21B8">
        <w:t>s</w:t>
      </w:r>
      <w:r w:rsidR="00FD2D81" w:rsidRPr="002C21B8">
        <w:t>.</w:t>
      </w:r>
    </w:p>
    <w:p w14:paraId="4EBFA354" w14:textId="790E804F" w:rsidR="00E65E8A" w:rsidRPr="002C21B8" w:rsidRDefault="002473D6" w:rsidP="008D1D22">
      <w:r w:rsidRPr="002C21B8">
        <w:t xml:space="preserve">The effect of internal audit is particularly relevant to medications as </w:t>
      </w:r>
      <w:r w:rsidR="00111643" w:rsidRPr="002C21B8">
        <w:t xml:space="preserve">their </w:t>
      </w:r>
      <w:r w:rsidR="009F002A" w:rsidRPr="002C21B8">
        <w:t xml:space="preserve">prescribing rates are </w:t>
      </w:r>
      <w:r w:rsidRPr="002C21B8">
        <w:t>not static after approval</w:t>
      </w:r>
      <w:r w:rsidR="001566DB" w:rsidRPr="002C21B8">
        <w:t>,</w:t>
      </w:r>
      <w:r w:rsidRPr="002C21B8">
        <w:t xml:space="preserve"> and there is a tendency</w:t>
      </w:r>
      <w:r w:rsidR="00E65E8A" w:rsidRPr="002C21B8">
        <w:t xml:space="preserve"> for rates</w:t>
      </w:r>
      <w:r w:rsidRPr="002C21B8">
        <w:t xml:space="preserve"> to decline over time </w:t>
      </w:r>
      <w:r w:rsidRPr="002C21B8">
        <w:fldChar w:fldCharType="begin"/>
      </w:r>
      <w:r w:rsidRPr="002C21B8">
        <w:instrText xml:space="preserve"> ADDIN EN.CITE &lt;EndNote&gt;&lt;Cite&gt;&lt;Author&gt;Manfouo&lt;/Author&gt;&lt;Year&gt;2025&lt;/Year&gt;&lt;RecNum&gt;125595&lt;/RecNum&gt;&lt;DisplayText&gt;(Manfouo and Seifert, 2025)&lt;/DisplayText&gt;&lt;record&gt;&lt;rec-number&gt;125595&lt;/rec-number&gt;&lt;foreign-keys&gt;&lt;key app="EN" db-id="xpefzwa5hf9dt2ea9fax95x7xvxz90v09dtf" timestamp="1778708342"&gt;125595&lt;/key&gt;&lt;/foreign-keys&gt;&lt;ref-type name="Journal Article"&gt;17&lt;/ref-type&gt;&lt;contributors&gt;&lt;authors&gt;&lt;author&gt;Manfouo, Bores&lt;/author&gt;&lt;author&gt;Seifert, Roland&lt;/author&gt;&lt;/authors&gt;&lt;/contributors&gt;&lt;titles&gt;&lt;title&gt;New drugs and their performance 10 years after approval: a systematic analysis&lt;/title&gt;&lt;secondary-title&gt;Naunyn-Schmiedeberg&amp;apos;s Archives of Pharmacology&lt;/secondary-title&gt;&lt;/titles&gt;&lt;periodical&gt;&lt;full-title&gt;Naunyn-Schmiedeberg&amp;apos;s Archives of Pharmacology&lt;/full-title&gt;&lt;/periodical&gt;&lt;pages&gt;15515-15534&lt;/pages&gt;&lt;volume&gt;398&lt;/volume&gt;&lt;number&gt;11&lt;/number&gt;&lt;dates&gt;&lt;year&gt;2025&lt;/year&gt;&lt;/dates&gt;&lt;isbn&gt;0028-1298&lt;/isbn&gt;&lt;urls&gt;&lt;/urls&gt;&lt;/record&gt;&lt;/Cite&gt;&lt;/EndNote&gt;</w:instrText>
      </w:r>
      <w:r w:rsidRPr="002C21B8">
        <w:fldChar w:fldCharType="separate"/>
      </w:r>
      <w:r w:rsidRPr="002C21B8">
        <w:rPr>
          <w:noProof/>
        </w:rPr>
        <w:t>(Manfouo and Seifert, 2025)</w:t>
      </w:r>
      <w:r w:rsidRPr="002C21B8">
        <w:fldChar w:fldCharType="end"/>
      </w:r>
      <w:r w:rsidRPr="002C21B8">
        <w:t>. This</w:t>
      </w:r>
      <w:r w:rsidR="00E65E8A" w:rsidRPr="002C21B8">
        <w:t xml:space="preserve"> </w:t>
      </w:r>
      <w:r w:rsidR="000262E2" w:rsidRPr="002C21B8">
        <w:t>finding</w:t>
      </w:r>
      <w:r w:rsidR="00E65E8A" w:rsidRPr="002C21B8">
        <w:t xml:space="preserve"> was also observed for tolvaptan in the analysis of registry data in this thesis.</w:t>
      </w:r>
    </w:p>
    <w:p w14:paraId="6D0A3354" w14:textId="2739D9C3" w:rsidR="00CF7614" w:rsidRPr="002C21B8" w:rsidRDefault="001A0E72" w:rsidP="008D1D22">
      <w:r w:rsidRPr="002C21B8">
        <w:t xml:space="preserve">Wider literature on </w:t>
      </w:r>
      <w:r w:rsidR="00CF7614" w:rsidRPr="002C21B8">
        <w:t>internal audit highlights its importance in making clinical practice visible and enabling the identification of variation within centres</w:t>
      </w:r>
      <w:r w:rsidRPr="002C21B8">
        <w:t>. Where such systems are absent or inconsistently implemented, changes in practice may be less readily identified or addressed</w:t>
      </w:r>
      <w:r w:rsidR="009B57F3" w:rsidRPr="002C21B8">
        <w:t xml:space="preserve">. This may </w:t>
      </w:r>
      <w:r w:rsidR="00124520" w:rsidRPr="002C21B8">
        <w:t xml:space="preserve">result in </w:t>
      </w:r>
      <w:r w:rsidR="00757AFF" w:rsidRPr="002C21B8">
        <w:t>variation</w:t>
      </w:r>
      <w:r w:rsidRPr="002C21B8">
        <w:t xml:space="preserve"> </w:t>
      </w:r>
      <w:r w:rsidR="00124520" w:rsidRPr="002C21B8">
        <w:t>persisting</w:t>
      </w:r>
      <w:r w:rsidRPr="002C21B8">
        <w:t xml:space="preserve"> </w:t>
      </w:r>
      <w:r w:rsidR="00124520" w:rsidRPr="002C21B8">
        <w:t xml:space="preserve">between centres </w:t>
      </w:r>
      <w:r w:rsidRPr="002C21B8">
        <w:t>and potentially becom</w:t>
      </w:r>
      <w:r w:rsidR="003E0699" w:rsidRPr="002C21B8">
        <w:t>ing</w:t>
      </w:r>
      <w:r w:rsidRPr="002C21B8">
        <w:t xml:space="preserve"> more pronounced </w:t>
      </w:r>
      <w:r w:rsidRPr="002C21B8">
        <w:fldChar w:fldCharType="begin"/>
      </w:r>
      <w:r w:rsidRPr="002C21B8">
        <w:instrText xml:space="preserve"> ADDIN EN.CITE &lt;EndNote&gt;&lt;Cite&gt;&lt;Author&gt;Hysong&lt;/Author&gt;&lt;Year&gt;2006&lt;/Year&gt;&lt;RecNum&gt;125594&lt;/RecNum&gt;&lt;DisplayText&gt;(Hysong, Best and Pugh, 2006; Ivers&lt;style face="italic"&gt; et al.&lt;/style&gt;, 2025)&lt;/DisplayText&gt;&lt;record&gt;&lt;rec-number&gt;125594&lt;/rec-number&gt;&lt;foreign-keys&gt;&lt;key app="EN" db-id="xpefzwa5hf9dt2ea9fax95x7xvxz90v09dtf" timestamp="1778707996"&gt;125594&lt;/key&gt;&lt;/foreign-keys&gt;&lt;ref-type name="Journal Article"&gt;17&lt;/ref-type&gt;&lt;contributors&gt;&lt;authors&gt;&lt;author&gt;Hysong, Sylvia J&lt;/author&gt;&lt;author&gt;Best, Richard G&lt;/author&gt;&lt;author&gt;Pugh, Jacqueline A&lt;/author&gt;&lt;/authors&gt;&lt;/contributors&gt;&lt;titles&gt;&lt;title&gt;Audit and feedback and clinical practice guideline adherence: making feedback actionable&lt;/title&gt;&lt;secondary-title&gt;Implementation Science&lt;/secondary-title&gt;&lt;/titles&gt;&lt;periodical&gt;&lt;full-title&gt;Implementation Science&lt;/full-title&gt;&lt;/periodical&gt;&lt;pages&gt;9&lt;/pages&gt;&lt;volume&gt;1&lt;/volume&gt;&lt;number&gt;1&lt;/number&gt;&lt;dates&gt;&lt;year&gt;2006&lt;/year&gt;&lt;/dates&gt;&lt;isbn&gt;1748-5908&lt;/isbn&gt;&lt;urls&gt;&lt;/urls&gt;&lt;/record&gt;&lt;/Cite&gt;&lt;Cite&gt;&lt;Author&gt;Ivers&lt;/Author&gt;&lt;Year&gt;2025&lt;/Year&gt;&lt;RecNum&gt;125455&lt;/RecNum&gt;&lt;record&gt;&lt;rec-number&gt;125455&lt;/rec-number&gt;&lt;foreign-keys&gt;&lt;key app="EN" db-id="xpefzwa5hf9dt2ea9fax95x7xvxz90v09dtf" timestamp="1776517473"&gt;125455&lt;/key&gt;&lt;/foreign-keys&gt;&lt;ref-type name="Journal Article"&gt;17&lt;/ref-type&gt;&lt;contributors&gt;&lt;authors&gt;&lt;author&gt;Ivers, Noah&lt;/author&gt;&lt;author&gt;Yogasingam, Sharlini&lt;/author&gt;&lt;author&gt;Lacroix, Meagan&lt;/author&gt;&lt;author&gt;Brown, Kevin A&lt;/author&gt;&lt;author&gt;Antony, Jesmin&lt;/author&gt;&lt;author&gt;Soobiah, Charlene&lt;/author&gt;&lt;author&gt;Simeoni, Michelle&lt;/author&gt;&lt;author&gt;Willis, Thomas A&lt;/author&gt;&lt;author&gt;Crawshaw, Jacob&lt;/author&gt;&lt;/authors&gt;&lt;/contributors&gt;&lt;titles&gt;&lt;title&gt;Audit and feedback: effects on professional practice&lt;/title&gt;&lt;secondary-title&gt;Cochrane Database of Systematic Reviews&lt;/secondary-title&gt;&lt;/titles&gt;&lt;periodical&gt;&lt;full-title&gt;COCHRANE DATABASE OF SYSTEMATIC REVIEWS&lt;/full-title&gt;&lt;/periodical&gt;&lt;pages&gt;CD000259&lt;/pages&gt;&lt;volume&gt;3&lt;/volume&gt;&lt;number&gt;3&lt;/number&gt;&lt;dates&gt;&lt;year&gt;2025&lt;/year&gt;&lt;/dates&gt;&lt;isbn&gt;1465-1858&lt;/isbn&gt;&lt;urls&gt;&lt;/urls&gt;&lt;/record&gt;&lt;/Cite&gt;&lt;/EndNote&gt;</w:instrText>
      </w:r>
      <w:r w:rsidRPr="002C21B8">
        <w:fldChar w:fldCharType="separate"/>
      </w:r>
      <w:r w:rsidRPr="002C21B8">
        <w:rPr>
          <w:noProof/>
        </w:rPr>
        <w:t>(Hysong, Best and Pugh, 2006; Ivers</w:t>
      </w:r>
      <w:r w:rsidRPr="002C21B8">
        <w:rPr>
          <w:i/>
          <w:noProof/>
        </w:rPr>
        <w:t xml:space="preserve"> et al.</w:t>
      </w:r>
      <w:r w:rsidRPr="002C21B8">
        <w:rPr>
          <w:noProof/>
        </w:rPr>
        <w:t>, 2025)</w:t>
      </w:r>
      <w:r w:rsidRPr="002C21B8">
        <w:fldChar w:fldCharType="end"/>
      </w:r>
      <w:r w:rsidRPr="002C21B8">
        <w:t>.</w:t>
      </w:r>
    </w:p>
    <w:p w14:paraId="632C7E1D" w14:textId="177AEADD" w:rsidR="00D70922" w:rsidRPr="002C21B8" w:rsidRDefault="00D70922" w:rsidP="00581663">
      <w:pPr>
        <w:pStyle w:val="Heading2"/>
      </w:pPr>
      <w:bookmarkStart w:id="291" w:name="_Toc229687243"/>
      <w:r w:rsidRPr="002C21B8">
        <w:t>Strengths and limitations</w:t>
      </w:r>
      <w:bookmarkEnd w:id="291"/>
    </w:p>
    <w:p w14:paraId="325C8EB5" w14:textId="77777777" w:rsidR="000D46F1" w:rsidRPr="002C21B8" w:rsidRDefault="000D46F1" w:rsidP="004507C8">
      <w:pPr>
        <w:pStyle w:val="Heading3"/>
      </w:pPr>
      <w:r w:rsidRPr="002C21B8">
        <w:t>Strengths</w:t>
      </w:r>
    </w:p>
    <w:p w14:paraId="53D1CA40" w14:textId="75AC9E62" w:rsidR="00760485" w:rsidRPr="002C21B8" w:rsidRDefault="00167464">
      <w:r w:rsidRPr="002C21B8">
        <w:t xml:space="preserve">The key strength of this </w:t>
      </w:r>
      <w:r w:rsidR="00A15369" w:rsidRPr="002C21B8">
        <w:t>programme of research</w:t>
      </w:r>
      <w:r w:rsidRPr="002C21B8">
        <w:t xml:space="preserve"> was the mixed methods design</w:t>
      </w:r>
      <w:r w:rsidR="002A0A51" w:rsidRPr="002C21B8">
        <w:t>,</w:t>
      </w:r>
      <w:r w:rsidRPr="002C21B8">
        <w:t xml:space="preserve"> which included </w:t>
      </w:r>
      <w:r w:rsidR="00612B23" w:rsidRPr="002C21B8">
        <w:t xml:space="preserve">a systematic review, </w:t>
      </w:r>
      <w:r w:rsidRPr="002C21B8">
        <w:t>routine clinical data</w:t>
      </w:r>
      <w:r w:rsidR="00533F44" w:rsidRPr="002C21B8">
        <w:t>,</w:t>
      </w:r>
      <w:r w:rsidRPr="002C21B8">
        <w:t xml:space="preserve"> a multiple case study and </w:t>
      </w:r>
      <w:r w:rsidR="00533F44" w:rsidRPr="002C21B8">
        <w:t xml:space="preserve">a </w:t>
      </w:r>
      <w:r w:rsidRPr="002C21B8">
        <w:t xml:space="preserve">national </w:t>
      </w:r>
      <w:r w:rsidR="00FC190F" w:rsidRPr="002C21B8">
        <w:t>survey of clinical practice</w:t>
      </w:r>
      <w:r w:rsidRPr="002C21B8">
        <w:t xml:space="preserve">. This supported a greater breadth and depth </w:t>
      </w:r>
      <w:r w:rsidR="00B378D5" w:rsidRPr="002C21B8">
        <w:t xml:space="preserve">when examining </w:t>
      </w:r>
      <w:r w:rsidRPr="002C21B8">
        <w:t xml:space="preserve">variation in prescribing practices between </w:t>
      </w:r>
      <w:r w:rsidR="00533F44" w:rsidRPr="002C21B8">
        <w:t xml:space="preserve">kidney </w:t>
      </w:r>
      <w:r w:rsidRPr="002C21B8">
        <w:t xml:space="preserve">centres and </w:t>
      </w:r>
      <w:r w:rsidR="00C70B5F" w:rsidRPr="002C21B8">
        <w:t xml:space="preserve">exploring </w:t>
      </w:r>
      <w:r w:rsidRPr="002C21B8">
        <w:t>the underlying decision-making processes.</w:t>
      </w:r>
      <w:r w:rsidR="00533F44" w:rsidRPr="002C21B8">
        <w:t xml:space="preserve"> The integration between the sequential methods strengthened the </w:t>
      </w:r>
      <w:r w:rsidR="00A15369" w:rsidRPr="002C21B8">
        <w:t>programme of research</w:t>
      </w:r>
      <w:r w:rsidR="00533F44" w:rsidRPr="002C21B8">
        <w:t xml:space="preserve">. For example, using the registry to identify diverse cases for the multiple case study facilitated the identification of factors not included in the conceptual model of prescribing </w:t>
      </w:r>
      <w:r w:rsidR="00492B64" w:rsidRPr="002C21B8">
        <w:t>decision-making in</w:t>
      </w:r>
      <w:r w:rsidR="00533F44" w:rsidRPr="002C21B8">
        <w:t xml:space="preserve"> chronic </w:t>
      </w:r>
      <w:r w:rsidR="00717D3C" w:rsidRPr="002C21B8">
        <w:t>condition</w:t>
      </w:r>
      <w:r w:rsidR="00533F44" w:rsidRPr="002C21B8">
        <w:t xml:space="preserve">s. </w:t>
      </w:r>
      <w:r w:rsidR="00CE2D5F" w:rsidRPr="002C21B8">
        <w:t xml:space="preserve">Conducting a national survey following the multiple case study strengthened the </w:t>
      </w:r>
      <w:r w:rsidR="00A15369" w:rsidRPr="002C21B8">
        <w:t>programme of research</w:t>
      </w:r>
      <w:r w:rsidR="001E32C7" w:rsidRPr="002C21B8">
        <w:t xml:space="preserve"> in two ways. Firstly</w:t>
      </w:r>
      <w:r w:rsidR="00A54F8D" w:rsidRPr="002C21B8">
        <w:t>,</w:t>
      </w:r>
      <w:r w:rsidR="001E32C7" w:rsidRPr="002C21B8">
        <w:t xml:space="preserve"> </w:t>
      </w:r>
      <w:r w:rsidR="00533F44" w:rsidRPr="002C21B8">
        <w:t xml:space="preserve">it </w:t>
      </w:r>
      <w:r w:rsidR="00C70B5F" w:rsidRPr="002C21B8">
        <w:t xml:space="preserve">suggested that the findings from the multiple case study may be relevant to kidney centres across the UK. </w:t>
      </w:r>
      <w:r w:rsidR="00533F44" w:rsidRPr="002C21B8">
        <w:t>Secondly</w:t>
      </w:r>
      <w:r w:rsidR="00FA2D24" w:rsidRPr="002C21B8">
        <w:t>,</w:t>
      </w:r>
      <w:r w:rsidR="00533F44" w:rsidRPr="002C21B8">
        <w:t xml:space="preserve"> </w:t>
      </w:r>
      <w:r w:rsidR="001E32C7" w:rsidRPr="002C21B8">
        <w:t xml:space="preserve">it </w:t>
      </w:r>
      <w:r w:rsidR="00533F44" w:rsidRPr="002C21B8">
        <w:t xml:space="preserve">will </w:t>
      </w:r>
      <w:r w:rsidR="001E32C7" w:rsidRPr="002C21B8">
        <w:t xml:space="preserve">enable </w:t>
      </w:r>
      <w:r w:rsidR="00533F44" w:rsidRPr="002C21B8">
        <w:t xml:space="preserve">further analysis </w:t>
      </w:r>
      <w:r w:rsidR="001E32C7" w:rsidRPr="002C21B8">
        <w:t>of</w:t>
      </w:r>
      <w:r w:rsidR="00CE2D5F" w:rsidRPr="002C21B8">
        <w:t xml:space="preserve"> the </w:t>
      </w:r>
      <w:r w:rsidR="00C36A7F" w:rsidRPr="002C21B8">
        <w:t xml:space="preserve">registry </w:t>
      </w:r>
      <w:r w:rsidR="00CE2D5F" w:rsidRPr="002C21B8">
        <w:t xml:space="preserve">data with </w:t>
      </w:r>
      <w:r w:rsidR="001E32C7" w:rsidRPr="002C21B8">
        <w:t xml:space="preserve">additional </w:t>
      </w:r>
      <w:r w:rsidR="00CE2D5F" w:rsidRPr="002C21B8">
        <w:t>centre-level data</w:t>
      </w:r>
      <w:r w:rsidR="00533F44" w:rsidRPr="002C21B8">
        <w:t xml:space="preserve"> to explain variation in prescribing of </w:t>
      </w:r>
      <w:r w:rsidR="004226A3" w:rsidRPr="002C21B8">
        <w:t>tolvaptan</w:t>
      </w:r>
      <w:r w:rsidR="00533F44" w:rsidRPr="002C21B8">
        <w:t xml:space="preserve"> for APKPD.</w:t>
      </w:r>
    </w:p>
    <w:p w14:paraId="14F46E56" w14:textId="6AC61F69" w:rsidR="000D46F1" w:rsidRPr="002C21B8" w:rsidRDefault="000D46F1" w:rsidP="004507C8">
      <w:pPr>
        <w:pStyle w:val="Heading3"/>
      </w:pPr>
      <w:r w:rsidRPr="002C21B8">
        <w:t>Limitations</w:t>
      </w:r>
    </w:p>
    <w:p w14:paraId="53557AD8" w14:textId="6F7D2DF3" w:rsidR="00710E80" w:rsidRPr="002C21B8" w:rsidRDefault="00533F44" w:rsidP="00533F44">
      <w:r w:rsidRPr="002C21B8">
        <w:t xml:space="preserve">The limitations of each </w:t>
      </w:r>
      <w:r w:rsidR="00C70B5F" w:rsidRPr="002C21B8">
        <w:t xml:space="preserve">phase </w:t>
      </w:r>
      <w:r w:rsidRPr="002C21B8">
        <w:t xml:space="preserve">have been described </w:t>
      </w:r>
      <w:r w:rsidR="00636D83" w:rsidRPr="002C21B8">
        <w:t>in preceding chapters.</w:t>
      </w:r>
    </w:p>
    <w:p w14:paraId="341B79ED" w14:textId="5261181F" w:rsidR="00021E4A" w:rsidRPr="002C21B8" w:rsidRDefault="00021E4A" w:rsidP="00021E4A">
      <w:r w:rsidRPr="002C21B8">
        <w:t>As with many sequential mixed methods studies, the quantitative and qualitative components were conducted during different time periods. This may have introduced temporal misalignment and contextual mismatch</w:t>
      </w:r>
      <w:r w:rsidR="005248DB" w:rsidRPr="002C21B8">
        <w:t xml:space="preserve"> </w:t>
      </w:r>
      <w:r w:rsidR="005248DB" w:rsidRPr="002C21B8">
        <w:fldChar w:fldCharType="begin"/>
      </w:r>
      <w:r w:rsidR="005248DB" w:rsidRPr="002C21B8">
        <w:instrText xml:space="preserve"> ADDIN EN.CITE &lt;EndNote&gt;&lt;Cite&gt;&lt;Author&gt;Bryman&lt;/Author&gt;&lt;Year&gt;2007&lt;/Year&gt;&lt;RecNum&gt;125557&lt;/RecNum&gt;&lt;DisplayText&gt;(Bryman, 2007)&lt;/DisplayText&gt;&lt;record&gt;&lt;rec-number&gt;125557&lt;/rec-number&gt;&lt;foreign-keys&gt;&lt;key app="EN" db-id="xpefzwa5hf9dt2ea9fax95x7xvxz90v09dtf" timestamp="1777922462"&gt;125557&lt;/key&gt;&lt;/foreign-keys&gt;&lt;ref-type name="Journal Article"&gt;17&lt;/ref-type&gt;&lt;contributors&gt;&lt;authors&gt;&lt;author&gt;Bryman, Alan&lt;/author&gt;&lt;/authors&gt;&lt;/contributors&gt;&lt;titles&gt;&lt;title&gt;Barriers to integrating quantitative and qualitative research&lt;/title&gt;&lt;secondary-title&gt;Journal of Mixed Methods Research&lt;/secondary-title&gt;&lt;/titles&gt;&lt;periodical&gt;&lt;full-title&gt;Journal of mixed methods research&lt;/full-title&gt;&lt;/periodical&gt;&lt;pages&gt;8-22&lt;/pages&gt;&lt;volume&gt;1&lt;/volume&gt;&lt;number&gt;1&lt;/number&gt;&lt;dates&gt;&lt;year&gt;2007&lt;/year&gt;&lt;/dates&gt;&lt;isbn&gt;1558-6898&lt;/isbn&gt;&lt;urls&gt;&lt;/urls&gt;&lt;/record&gt;&lt;/Cite&gt;&lt;/EndNote&gt;</w:instrText>
      </w:r>
      <w:r w:rsidR="005248DB" w:rsidRPr="002C21B8">
        <w:fldChar w:fldCharType="separate"/>
      </w:r>
      <w:r w:rsidR="005248DB" w:rsidRPr="002C21B8">
        <w:rPr>
          <w:noProof/>
        </w:rPr>
        <w:t>(Bryman, 2007)</w:t>
      </w:r>
      <w:r w:rsidR="005248DB" w:rsidRPr="002C21B8">
        <w:fldChar w:fldCharType="end"/>
      </w:r>
      <w:r w:rsidRPr="002C21B8">
        <w:t xml:space="preserve">. </w:t>
      </w:r>
      <w:r w:rsidR="002135D0" w:rsidRPr="002C21B8">
        <w:t>T</w:t>
      </w:r>
      <w:r w:rsidR="00786DB1" w:rsidRPr="002C21B8">
        <w:t>he registry data covered</w:t>
      </w:r>
      <w:r w:rsidR="002135D0" w:rsidRPr="002C21B8">
        <w:t xml:space="preserve"> </w:t>
      </w:r>
      <w:r w:rsidR="00786DB1" w:rsidRPr="002C21B8">
        <w:t>20</w:t>
      </w:r>
      <w:r w:rsidR="00A5673C" w:rsidRPr="002C21B8">
        <w:t>16</w:t>
      </w:r>
      <w:r w:rsidR="00786DB1" w:rsidRPr="002C21B8">
        <w:t xml:space="preserve"> to 20</w:t>
      </w:r>
      <w:r w:rsidR="00A5673C" w:rsidRPr="002C21B8">
        <w:t>23,</w:t>
      </w:r>
      <w:r w:rsidR="00786DB1" w:rsidRPr="002C21B8">
        <w:t xml:space="preserve"> the </w:t>
      </w:r>
      <w:r w:rsidR="00A5673C" w:rsidRPr="002C21B8">
        <w:t xml:space="preserve">multiple case study </w:t>
      </w:r>
      <w:r w:rsidR="00227DA8" w:rsidRPr="002C21B8">
        <w:t>data was</w:t>
      </w:r>
      <w:r w:rsidR="00786DB1" w:rsidRPr="002C21B8">
        <w:t xml:space="preserve"> collected in 20</w:t>
      </w:r>
      <w:r w:rsidR="00A5673C" w:rsidRPr="002C21B8">
        <w:t>24 to 2025 and</w:t>
      </w:r>
      <w:r w:rsidR="009470D3" w:rsidRPr="002C21B8">
        <w:t xml:space="preserve"> the</w:t>
      </w:r>
      <w:r w:rsidR="00A5673C" w:rsidRPr="002C21B8">
        <w:t xml:space="preserve"> survey data in 2025</w:t>
      </w:r>
      <w:r w:rsidR="00786DB1" w:rsidRPr="002C21B8">
        <w:t>. T</w:t>
      </w:r>
      <w:r w:rsidRPr="002C21B8">
        <w:t xml:space="preserve">o address this limitation, participants in the </w:t>
      </w:r>
      <w:r w:rsidR="00786DB1" w:rsidRPr="002C21B8">
        <w:t>m</w:t>
      </w:r>
      <w:r w:rsidR="00A5673C" w:rsidRPr="002C21B8">
        <w:t xml:space="preserve">ultiple </w:t>
      </w:r>
      <w:r w:rsidR="00786DB1" w:rsidRPr="002C21B8">
        <w:t>c</w:t>
      </w:r>
      <w:r w:rsidR="00A5673C" w:rsidRPr="002C21B8">
        <w:t xml:space="preserve">ase </w:t>
      </w:r>
      <w:r w:rsidR="00786DB1" w:rsidRPr="002C21B8">
        <w:t>s</w:t>
      </w:r>
      <w:r w:rsidR="00A5673C" w:rsidRPr="002C21B8">
        <w:t>tudy</w:t>
      </w:r>
      <w:r w:rsidRPr="002C21B8">
        <w:t xml:space="preserve"> were asked to comment on previous practice when tolvaptan was first implemented, changes throughout the period </w:t>
      </w:r>
      <w:r w:rsidR="00786DB1" w:rsidRPr="002C21B8">
        <w:t xml:space="preserve">covered by the registry data, </w:t>
      </w:r>
      <w:r w:rsidRPr="002C21B8">
        <w:t>and on current practices.</w:t>
      </w:r>
      <w:r w:rsidR="00786DB1" w:rsidRPr="002C21B8">
        <w:t xml:space="preserve"> This was considered in the analysis of the m</w:t>
      </w:r>
      <w:r w:rsidR="00A5673C" w:rsidRPr="002C21B8">
        <w:t xml:space="preserve">ultiple </w:t>
      </w:r>
      <w:r w:rsidR="00786DB1" w:rsidRPr="002C21B8">
        <w:t>c</w:t>
      </w:r>
      <w:r w:rsidR="00A5673C" w:rsidRPr="002C21B8">
        <w:t>ase study</w:t>
      </w:r>
      <w:r w:rsidR="00786DB1" w:rsidRPr="002C21B8">
        <w:t xml:space="preserve">. This issue will be important </w:t>
      </w:r>
      <w:r w:rsidR="00FA2D24" w:rsidRPr="002C21B8">
        <w:t xml:space="preserve">to consider </w:t>
      </w:r>
      <w:r w:rsidR="00786DB1" w:rsidRPr="002C21B8">
        <w:t xml:space="preserve">in </w:t>
      </w:r>
      <w:r w:rsidR="00FA2D24" w:rsidRPr="002C21B8">
        <w:t xml:space="preserve">the </w:t>
      </w:r>
      <w:r w:rsidR="00786DB1" w:rsidRPr="002C21B8">
        <w:t xml:space="preserve">future </w:t>
      </w:r>
      <w:r w:rsidR="00FA2D24" w:rsidRPr="002C21B8">
        <w:t xml:space="preserve">reanalysis </w:t>
      </w:r>
      <w:r w:rsidR="00C95F82">
        <w:t>linking</w:t>
      </w:r>
      <w:r w:rsidR="00786DB1" w:rsidRPr="002C21B8">
        <w:t xml:space="preserve"> centre-level data survey </w:t>
      </w:r>
      <w:r w:rsidR="00C95F82">
        <w:t xml:space="preserve">data </w:t>
      </w:r>
      <w:r w:rsidR="00786DB1" w:rsidRPr="002C21B8">
        <w:t xml:space="preserve">to the </w:t>
      </w:r>
      <w:r w:rsidR="00A5673C" w:rsidRPr="002C21B8">
        <w:t xml:space="preserve">registry </w:t>
      </w:r>
      <w:r w:rsidR="00786DB1" w:rsidRPr="002C21B8">
        <w:t xml:space="preserve">data. The time period for the </w:t>
      </w:r>
      <w:r w:rsidR="00A5673C" w:rsidRPr="002C21B8">
        <w:t>registry</w:t>
      </w:r>
      <w:r w:rsidR="00786DB1" w:rsidRPr="002C21B8">
        <w:t xml:space="preserve"> data will have to cover a number of years</w:t>
      </w:r>
      <w:r w:rsidR="003661F5" w:rsidRPr="002C21B8">
        <w:t xml:space="preserve"> due to the frequency of tolvaptan prescribing at centres</w:t>
      </w:r>
      <w:r w:rsidR="002A0A51" w:rsidRPr="002C21B8">
        <w:t>,</w:t>
      </w:r>
      <w:r w:rsidR="00786DB1" w:rsidRPr="002C21B8">
        <w:t xml:space="preserve"> but will cover as recent a period as possible.</w:t>
      </w:r>
    </w:p>
    <w:p w14:paraId="12F1A9BE" w14:textId="795FCB7D" w:rsidR="00C95F82" w:rsidRPr="00C95F82" w:rsidRDefault="00C95F82" w:rsidP="00D853AD">
      <w:r w:rsidRPr="00C95F82">
        <w:t>The interpretation of the underlying mechanisms leading to variation in tolvaptan prescribing between centres was largely informed by clinician perspectives. Patient interviews or focus groups may have provided additional insight into the factors influencing uptake of tolvaptan</w:t>
      </w:r>
      <w:r>
        <w:t xml:space="preserve">. This may have </w:t>
      </w:r>
      <w:r w:rsidRPr="00C95F82">
        <w:t>includ</w:t>
      </w:r>
      <w:r>
        <w:t>ed</w:t>
      </w:r>
      <w:r w:rsidRPr="00C95F82">
        <w:t xml:space="preserve"> the impact of verbal and written information on patient decision-making, perceptions of treatment benefits and burdens, and the practical challenges of incorporating treatment requirements into daily life. This </w:t>
      </w:r>
      <w:r w:rsidR="00C07160">
        <w:t>may</w:t>
      </w:r>
      <w:r>
        <w:t xml:space="preserve"> have </w:t>
      </w:r>
      <w:r w:rsidRPr="00C95F82">
        <w:t>provide</w:t>
      </w:r>
      <w:r>
        <w:t xml:space="preserve">d </w:t>
      </w:r>
      <w:r w:rsidRPr="00C95F82">
        <w:t>a more complete understanding of how prescribing decisions are experienced by patients and whether factors considered by clinicians align with patient priorities and preferences.</w:t>
      </w:r>
    </w:p>
    <w:p w14:paraId="784FF50D" w14:textId="19653F1B" w:rsidR="00D853AD" w:rsidRPr="00D853AD" w:rsidRDefault="00D853AD" w:rsidP="00D853AD">
      <w:r w:rsidRPr="00D853AD">
        <w:t xml:space="preserve">The </w:t>
      </w:r>
      <w:r>
        <w:t>patient</w:t>
      </w:r>
      <w:r w:rsidRPr="00D853AD">
        <w:t xml:space="preserve"> characteristics of the RaDaR cohort should be considered when interpreting the findings. The cohort was predominantly White, with </w:t>
      </w:r>
      <w:r w:rsidR="00C95F82">
        <w:t>77.8</w:t>
      </w:r>
      <w:r w:rsidRPr="00D853AD">
        <w:t xml:space="preserve">% of participants recorded as White. Although this </w:t>
      </w:r>
      <w:r w:rsidR="00C95F82">
        <w:t xml:space="preserve">is broadly similar to the ethnic distribution of England and Wales reported in the 2021 Census (81.7% White) </w:t>
      </w:r>
      <w:r w:rsidR="00C95F82">
        <w:fldChar w:fldCharType="begin"/>
      </w:r>
      <w:r w:rsidR="00C95F82">
        <w:instrText xml:space="preserve"> ADDIN EN.CITE &lt;EndNote&gt;&lt;Cite&gt;&lt;Author&gt;UK Government&lt;/Author&gt;&lt;Year&gt;2022&lt;/Year&gt;&lt;RecNum&gt;125639&lt;/RecNum&gt;&lt;DisplayText&gt;(UK Government, 2022)&lt;/DisplayText&gt;&lt;record&gt;&lt;rec-number&gt;125639&lt;/rec-number&gt;&lt;foreign-keys&gt;&lt;key app="EN" db-id="xpefzwa5hf9dt2ea9fax95x7xvxz90v09dtf" timestamp="1786098470"&gt;125639&lt;/key&gt;&lt;/foreign-keys&gt;&lt;ref-type name="Web Page"&gt;12&lt;/ref-type&gt;&lt;contributors&gt;&lt;authors&gt;&lt;author&gt;UK Government,&lt;/author&gt;&lt;/authors&gt;&lt;/contributors&gt;&lt;titles&gt;&lt;title&gt;Population of England and Wales &lt;/title&gt;&lt;/titles&gt;&lt;number&gt;07/08/2026)&lt;/number&gt;&lt;dates&gt;&lt;year&gt;2022&lt;/year&gt;&lt;/dates&gt;&lt;urls&gt;&lt;related-urls&gt;&lt;url&gt;https://www.ethnicity-facts-figures.service.gov.uk/uk-population-by-ethnicity/national-and-regional-populations/population-of-england-and-wales/latest/&lt;/url&gt;&lt;/related-urls&gt;&lt;/urls&gt;&lt;/record&gt;&lt;/Cite&gt;&lt;/EndNote&gt;</w:instrText>
      </w:r>
      <w:r w:rsidR="00C95F82">
        <w:fldChar w:fldCharType="separate"/>
      </w:r>
      <w:r w:rsidR="00C95F82">
        <w:t>(UK Government, 2022)</w:t>
      </w:r>
      <w:r w:rsidR="00C95F82">
        <w:fldChar w:fldCharType="end"/>
      </w:r>
      <w:r w:rsidRPr="00D853AD">
        <w:t xml:space="preserve">, </w:t>
      </w:r>
      <w:r w:rsidR="00C95F82" w:rsidRPr="00C95F82">
        <w:t>the ethnic distribution of people living with ADPKD in the UK is not well established. Consequently, the cohort may not fully capture the diversity of people living with ADPKD</w:t>
      </w:r>
      <w:r w:rsidR="00C95F82">
        <w:t xml:space="preserve">. </w:t>
      </w:r>
      <w:r w:rsidR="00C07160" w:rsidRPr="00C07160">
        <w:t xml:space="preserve">This limited the ability to assess whether ethnicity </w:t>
      </w:r>
      <w:r w:rsidR="00C07160">
        <w:t>wa</w:t>
      </w:r>
      <w:r w:rsidR="00C07160" w:rsidRPr="00C07160">
        <w:t xml:space="preserve">s associated with differences in </w:t>
      </w:r>
      <w:r w:rsidR="00C07160">
        <w:t xml:space="preserve">prescribing decisions and patient </w:t>
      </w:r>
      <w:r w:rsidR="00C07160" w:rsidRPr="00C07160">
        <w:t xml:space="preserve">access to tolvaptan. </w:t>
      </w:r>
      <w:r w:rsidRPr="00D853AD">
        <w:t>Other characteristics that may influence healthcare access, including socioeconomic deprivation</w:t>
      </w:r>
      <w:r w:rsidR="000D7186">
        <w:t>,</w:t>
      </w:r>
      <w:r w:rsidRPr="00D853AD">
        <w:t xml:space="preserve"> health literacy and language barriers, were not available within the registry and could not be assessed. Similarly, participation in a national rare disease registry requires engagement with specialist healthcare services and willingness to contribute data for research purposes. Consequently, individuals who experience barriers to accessing specialist care, including those related to socioeconomic circumstances, geography, language, digital exclusion or healthcare engagement, may be less likely to be represented.</w:t>
      </w:r>
    </w:p>
    <w:p w14:paraId="4C8A1327" w14:textId="4F04A6B6" w:rsidR="00C95F82" w:rsidRPr="00C95F82" w:rsidRDefault="00D853AD" w:rsidP="00D853AD">
      <w:r w:rsidRPr="00D853AD">
        <w:t xml:space="preserve">The characteristics of the case study sites </w:t>
      </w:r>
      <w:r w:rsidR="00C95F82">
        <w:t xml:space="preserve">included in the multiple case study </w:t>
      </w:r>
      <w:r w:rsidRPr="00D853AD">
        <w:t xml:space="preserve">should also be considered when interpreting the findings. </w:t>
      </w:r>
      <w:r w:rsidR="00C95F82" w:rsidRPr="00C95F82">
        <w:t xml:space="preserve">The three case study sites were all </w:t>
      </w:r>
      <w:r w:rsidR="00E925DC">
        <w:t xml:space="preserve">kidney centres in </w:t>
      </w:r>
      <w:r w:rsidR="00C95F82" w:rsidRPr="00C95F82">
        <w:t>urban</w:t>
      </w:r>
      <w:r w:rsidR="00E925DC">
        <w:t xml:space="preserve"> settings</w:t>
      </w:r>
      <w:r w:rsidR="00C95F82" w:rsidRPr="00C95F82">
        <w:t xml:space="preserve">, and therefore may not reflect the experiences of kidney services serving rural populations. </w:t>
      </w:r>
      <w:r w:rsidR="00E925DC">
        <w:t>More u</w:t>
      </w:r>
      <w:r w:rsidR="00C95F82" w:rsidRPr="00D853AD">
        <w:t xml:space="preserve">rban </w:t>
      </w:r>
      <w:r w:rsidR="00E925DC">
        <w:t xml:space="preserve">kidney </w:t>
      </w:r>
      <w:r w:rsidR="00C95F82" w:rsidRPr="00D853AD">
        <w:t>centres may have greater access to specialist services, healthcare infrastructure and research networks, which could influence pathways for identifying patients and delivering tolvaptan.</w:t>
      </w:r>
      <w:r w:rsidR="00C95F82">
        <w:t xml:space="preserve"> </w:t>
      </w:r>
      <w:r w:rsidR="00C95F82" w:rsidRPr="00C95F82">
        <w:t>In addition, although the sites served different geographical populations with varying demographic characteristic</w:t>
      </w:r>
      <w:r w:rsidR="00C95F82">
        <w:t xml:space="preserve">s, </w:t>
      </w:r>
      <w:r w:rsidR="00C25BA9" w:rsidRPr="00C25BA9">
        <w:t>the influence of these population differences was not identified as an explanatory factor during cross-case comparison</w:t>
      </w:r>
      <w:r w:rsidR="00C95F82">
        <w:t>.</w:t>
      </w:r>
    </w:p>
    <w:p w14:paraId="748D500E" w14:textId="0136B970" w:rsidR="000D7186" w:rsidRPr="000D7186" w:rsidRDefault="000D7186" w:rsidP="00021E4A">
      <w:r w:rsidRPr="000D7186">
        <w:t>Within the multiple case study, clinicians described considering individual patient circumstances when making prescribing decisions, including patient age, life stage, ability to adjust their lifestyle to treatment requirements</w:t>
      </w:r>
      <w:r>
        <w:t>,</w:t>
      </w:r>
      <w:r w:rsidRPr="000D7186">
        <w:t xml:space="preserve"> and the potential impact on work and daily activities. However, other factors identified in the systematic review as influencing prescribing decisions, including socioeconomic circumstances,</w:t>
      </w:r>
      <w:r>
        <w:t xml:space="preserve"> treatment</w:t>
      </w:r>
      <w:r w:rsidRPr="000D7186">
        <w:t xml:space="preserve"> affordability, ethnicity, health literacy and </w:t>
      </w:r>
      <w:r w:rsidR="00E63A29">
        <w:t xml:space="preserve">ability to </w:t>
      </w:r>
      <w:r w:rsidRPr="000D7186">
        <w:t>access to specialist care, were not identified within clinician accounts. The absence of these factors from clinician accounts does not necessarily indicate that they do not influence prescribing, but may reflect the characteristics of the patients encountered, the clinicians interviewed, or the focus of data collection.</w:t>
      </w:r>
    </w:p>
    <w:p w14:paraId="190EA9EA" w14:textId="5729AAE1" w:rsidR="00432421" w:rsidRDefault="00432421" w:rsidP="00021E4A">
      <w:r w:rsidRPr="00F52520">
        <w:t>Although the PPI group included people with lived experience of ADPKD and</w:t>
      </w:r>
      <w:r>
        <w:t>/or</w:t>
      </w:r>
      <w:r w:rsidRPr="00F52520">
        <w:t xml:space="preserve"> CKD, it may not have been fully representative of the wider ADPKD population. </w:t>
      </w:r>
      <w:r>
        <w:t xml:space="preserve">All members of the PPI group were White and aged </w:t>
      </w:r>
      <w:r w:rsidR="00B32C30">
        <w:t xml:space="preserve">between </w:t>
      </w:r>
      <w:r>
        <w:t>55</w:t>
      </w:r>
      <w:r w:rsidR="00B32C30">
        <w:t xml:space="preserve"> and 68</w:t>
      </w:r>
      <w:r>
        <w:t xml:space="preserve"> years. Although information on socioeconomic deprivation, educational attainment and health literacy was not collected systematically, members were recruited through established patient networks at Sheffield Teaching Hospitals Trust</w:t>
      </w:r>
      <w:r w:rsidRPr="00F52520">
        <w:t xml:space="preserve"> and volunt</w:t>
      </w:r>
      <w:r>
        <w:t xml:space="preserve">arily </w:t>
      </w:r>
      <w:r w:rsidRPr="00F52520">
        <w:t>participate</w:t>
      </w:r>
      <w:r>
        <w:t>d</w:t>
      </w:r>
      <w:r w:rsidRPr="00F52520">
        <w:t xml:space="preserve"> in research</w:t>
      </w:r>
      <w:r>
        <w:t>. As such, they may have been more engaged with their healthcare and</w:t>
      </w:r>
      <w:r w:rsidR="00B32C30">
        <w:t xml:space="preserve"> may </w:t>
      </w:r>
      <w:r>
        <w:t>have had higher health literacy than the wider ADPKD population. Consequently, the research priorities they identified and the feedback they provided may not fully reflect the perspectives of younger people, individuals from ethnic minority backgrounds, those living in areas of greater socioeconomic deprivation or those with lower health literacy.</w:t>
      </w:r>
    </w:p>
    <w:p w14:paraId="355705BA" w14:textId="4FF3DD8A" w:rsidR="00786DB1" w:rsidRPr="002C21B8" w:rsidRDefault="00786DB1" w:rsidP="00581663">
      <w:pPr>
        <w:pStyle w:val="Heading2"/>
      </w:pPr>
      <w:bookmarkStart w:id="292" w:name="_Toc229687244"/>
      <w:r w:rsidRPr="002C21B8">
        <w:t>Transferability of findings</w:t>
      </w:r>
      <w:bookmarkEnd w:id="292"/>
    </w:p>
    <w:p w14:paraId="2A2DDAA8" w14:textId="479995C9" w:rsidR="00C107AC" w:rsidRPr="002C21B8" w:rsidRDefault="00786DB1" w:rsidP="000E44F5">
      <w:r w:rsidRPr="002C21B8">
        <w:t>The transferability of mixed methods studies is considered rather than generalisability</w:t>
      </w:r>
      <w:r w:rsidR="0072750C" w:rsidRPr="002C21B8">
        <w:t xml:space="preserve"> </w:t>
      </w:r>
      <w:r w:rsidR="0072750C" w:rsidRPr="002C21B8">
        <w:fldChar w:fldCharType="begin"/>
      </w:r>
      <w:r w:rsidR="002B4278" w:rsidRPr="002C21B8">
        <w:instrText xml:space="preserve"> ADDIN EN.CITE &lt;EndNote&gt;&lt;Cite&gt;&lt;Author&gt;Tashakkori&lt;/Author&gt;&lt;Year&gt;1998&lt;/Year&gt;&lt;RecNum&gt;5452&lt;/RecNum&gt;&lt;DisplayText&gt;(Tashakkori and Teddlie, 1998)&lt;/DisplayText&gt;&lt;record&gt;&lt;rec-number&gt;5452&lt;/rec-number&gt;&lt;foreign-keys&gt;&lt;key app="EN" db-id="xpefzwa5hf9dt2ea9fax95x7xvxz90v09dtf" timestamp="1704280947"&gt;5452&lt;/key&gt;&lt;/foreign-keys&gt;&lt;ref-type name="Book"&gt;6&lt;/ref-type&gt;&lt;contributors&gt;&lt;authors&gt;&lt;author&gt;Tashakkori, Abbas&lt;/author&gt;&lt;author&gt;Teddlie, Charles&lt;/author&gt;&lt;/authors&gt;&lt;/contributors&gt;&lt;titles&gt;&lt;title&gt;Mixed methodology: Combining qualitative and quantitative approaches&lt;/title&gt;&lt;/titles&gt;&lt;volume&gt;46&lt;/volume&gt;&lt;section&gt;1-206&lt;/section&gt;&lt;dates&gt;&lt;year&gt;1998&lt;/year&gt;&lt;/dates&gt;&lt;publisher&gt;SAGE Publications Ltd&lt;/publisher&gt;&lt;isbn&gt;0761900713&lt;/isbn&gt;&lt;urls&gt;&lt;/urls&gt;&lt;/record&gt;&lt;/Cite&gt;&lt;/EndNote&gt;</w:instrText>
      </w:r>
      <w:r w:rsidR="0072750C" w:rsidRPr="002C21B8">
        <w:fldChar w:fldCharType="separate"/>
      </w:r>
      <w:r w:rsidR="0072750C" w:rsidRPr="002C21B8">
        <w:rPr>
          <w:noProof/>
        </w:rPr>
        <w:t>(Tashakkori and Teddlie, 1998)</w:t>
      </w:r>
      <w:r w:rsidR="0072750C" w:rsidRPr="002C21B8">
        <w:fldChar w:fldCharType="end"/>
      </w:r>
      <w:r w:rsidRPr="002C21B8">
        <w:t xml:space="preserve">. </w:t>
      </w:r>
      <w:r w:rsidR="00167464" w:rsidRPr="002C21B8">
        <w:t xml:space="preserve">As the </w:t>
      </w:r>
      <w:r w:rsidR="00A15369" w:rsidRPr="002C21B8">
        <w:t xml:space="preserve">programme of research </w:t>
      </w:r>
      <w:r w:rsidR="00167464" w:rsidRPr="002C21B8">
        <w:t xml:space="preserve">was conducted within the UK, findings may reflect features specific to the </w:t>
      </w:r>
      <w:r w:rsidR="00FA2D24" w:rsidRPr="002C21B8">
        <w:t xml:space="preserve">UK </w:t>
      </w:r>
      <w:r w:rsidR="00167464" w:rsidRPr="002C21B8">
        <w:t xml:space="preserve">population demographics, policy and funding environment, and healthcare system. </w:t>
      </w:r>
      <w:r w:rsidRPr="002C21B8">
        <w:t>T</w:t>
      </w:r>
      <w:r w:rsidR="00021E4A" w:rsidRPr="002C21B8">
        <w:t xml:space="preserve">he conceptual model developed for prescribing decision-making in rare diseases was based on </w:t>
      </w:r>
      <w:r w:rsidRPr="002C21B8">
        <w:t xml:space="preserve">international studies in a systematic review </w:t>
      </w:r>
      <w:r w:rsidR="0072750C" w:rsidRPr="002C21B8">
        <w:t xml:space="preserve">of chronic conditions </w:t>
      </w:r>
      <w:r w:rsidRPr="002C21B8">
        <w:t xml:space="preserve">as well as prescribing for </w:t>
      </w:r>
      <w:r w:rsidR="004226A3" w:rsidRPr="002C21B8">
        <w:t>tolvaptan</w:t>
      </w:r>
      <w:r w:rsidRPr="002C21B8">
        <w:t xml:space="preserve"> for </w:t>
      </w:r>
      <w:r w:rsidR="00021E4A" w:rsidRPr="002C21B8">
        <w:t xml:space="preserve">ADPKD </w:t>
      </w:r>
      <w:r w:rsidRPr="002C21B8">
        <w:t>in the UK</w:t>
      </w:r>
      <w:r w:rsidR="00FA2D24" w:rsidRPr="002C21B8">
        <w:t>,</w:t>
      </w:r>
      <w:r w:rsidRPr="002C21B8">
        <w:t xml:space="preserve"> so </w:t>
      </w:r>
      <w:r w:rsidR="005248DB" w:rsidRPr="002C21B8">
        <w:t xml:space="preserve">it </w:t>
      </w:r>
      <w:r w:rsidRPr="002C21B8">
        <w:t xml:space="preserve">may have more international transferability. </w:t>
      </w:r>
      <w:r w:rsidR="00C42500" w:rsidRPr="002C21B8">
        <w:t xml:space="preserve">ADPKD </w:t>
      </w:r>
      <w:r w:rsidR="00FA2D24" w:rsidRPr="002C21B8">
        <w:t xml:space="preserve">is </w:t>
      </w:r>
      <w:r w:rsidR="00021E4A" w:rsidRPr="002C21B8">
        <w:t xml:space="preserve">a relatively </w:t>
      </w:r>
      <w:r w:rsidR="00FA2D24" w:rsidRPr="002C21B8">
        <w:t>common</w:t>
      </w:r>
      <w:r w:rsidR="00021E4A" w:rsidRPr="002C21B8">
        <w:t xml:space="preserve"> rare disease</w:t>
      </w:r>
      <w:r w:rsidR="002A0A51" w:rsidRPr="002C21B8">
        <w:t xml:space="preserve"> that</w:t>
      </w:r>
      <w:r w:rsidR="00021E4A" w:rsidRPr="002C21B8">
        <w:t xml:space="preserve"> is largely managed by a single special</w:t>
      </w:r>
      <w:r w:rsidR="005D0E38" w:rsidRPr="002C21B8">
        <w:t>i</w:t>
      </w:r>
      <w:r w:rsidR="00021E4A" w:rsidRPr="002C21B8">
        <w:t xml:space="preserve">ty and </w:t>
      </w:r>
      <w:r w:rsidR="00FA2D24" w:rsidRPr="002C21B8">
        <w:t xml:space="preserve">has a more established </w:t>
      </w:r>
      <w:r w:rsidR="00021E4A" w:rsidRPr="002C21B8">
        <w:t xml:space="preserve">treatment landscape </w:t>
      </w:r>
      <w:r w:rsidR="00FA2D24" w:rsidRPr="002C21B8">
        <w:t>tha</w:t>
      </w:r>
      <w:r w:rsidR="00892373" w:rsidRPr="002C21B8">
        <w:t xml:space="preserve">n </w:t>
      </w:r>
      <w:r w:rsidR="00FA2D24" w:rsidRPr="002C21B8">
        <w:t>other rare diseases</w:t>
      </w:r>
      <w:r w:rsidR="00021E4A" w:rsidRPr="002C21B8">
        <w:t xml:space="preserve">. </w:t>
      </w:r>
      <w:r w:rsidR="00FA2D24" w:rsidRPr="002C21B8">
        <w:t>As a result, the</w:t>
      </w:r>
      <w:r w:rsidR="00C42500" w:rsidRPr="002C21B8">
        <w:t xml:space="preserve"> conceptual model for prescribing</w:t>
      </w:r>
      <w:r w:rsidR="00492B64" w:rsidRPr="002C21B8">
        <w:t xml:space="preserve"> decision-making in</w:t>
      </w:r>
      <w:r w:rsidR="00C42500" w:rsidRPr="002C21B8">
        <w:t xml:space="preserve"> rare diseases would benefit from research in </w:t>
      </w:r>
      <w:r w:rsidR="002A0A51" w:rsidRPr="002C21B8">
        <w:t xml:space="preserve">the context of </w:t>
      </w:r>
      <w:r w:rsidR="00021E4A" w:rsidRPr="002C21B8">
        <w:t>other rare diseases</w:t>
      </w:r>
      <w:r w:rsidR="0039648E" w:rsidRPr="002C21B8">
        <w:t xml:space="preserve"> to improve the </w:t>
      </w:r>
      <w:r w:rsidR="002E2BD9" w:rsidRPr="002C21B8">
        <w:t>transferability</w:t>
      </w:r>
      <w:r w:rsidR="0039648E" w:rsidRPr="002C21B8">
        <w:t xml:space="preserve"> of the findings.</w:t>
      </w:r>
    </w:p>
    <w:p w14:paraId="53836F7D" w14:textId="08985638" w:rsidR="00B43989" w:rsidRPr="002C21B8" w:rsidRDefault="00B43989" w:rsidP="00581663">
      <w:pPr>
        <w:pStyle w:val="Heading2"/>
      </w:pPr>
      <w:bookmarkStart w:id="293" w:name="_Toc227831434"/>
      <w:bookmarkStart w:id="294" w:name="_Toc227870176"/>
      <w:bookmarkStart w:id="295" w:name="_Toc227870273"/>
      <w:bookmarkStart w:id="296" w:name="_Toc227870753"/>
      <w:bookmarkStart w:id="297" w:name="_Toc227870847"/>
      <w:bookmarkStart w:id="298" w:name="_Toc227871466"/>
      <w:bookmarkStart w:id="299" w:name="_Toc227875622"/>
      <w:bookmarkStart w:id="300" w:name="_Toc227875703"/>
      <w:bookmarkStart w:id="301" w:name="_Toc227875784"/>
      <w:bookmarkStart w:id="302" w:name="_Toc227876363"/>
      <w:bookmarkStart w:id="303" w:name="_Toc227876533"/>
      <w:bookmarkStart w:id="304" w:name="_Toc227876833"/>
      <w:bookmarkStart w:id="305" w:name="_Toc227877252"/>
      <w:bookmarkStart w:id="306" w:name="_Toc227911184"/>
      <w:bookmarkStart w:id="307" w:name="_Toc227912635"/>
      <w:bookmarkStart w:id="308" w:name="_Toc227912721"/>
      <w:bookmarkStart w:id="309" w:name="_Toc227922957"/>
      <w:bookmarkStart w:id="310" w:name="_Toc227923043"/>
      <w:bookmarkStart w:id="311" w:name="_Toc227923130"/>
      <w:bookmarkStart w:id="312" w:name="_Toc229687245"/>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2C21B8">
        <w:t xml:space="preserve">Influence of PPI on the </w:t>
      </w:r>
      <w:r w:rsidR="00A15369" w:rsidRPr="002C21B8">
        <w:t>programme of research</w:t>
      </w:r>
      <w:bookmarkEnd w:id="312"/>
    </w:p>
    <w:p w14:paraId="54FC94EF" w14:textId="185FEA03" w:rsidR="007C44C2" w:rsidRPr="002C21B8" w:rsidRDefault="002E2BD9" w:rsidP="00AE6DE1">
      <w:r w:rsidRPr="002C21B8">
        <w:t>The p</w:t>
      </w:r>
      <w:r w:rsidR="004A304D" w:rsidRPr="002C21B8">
        <w:t xml:space="preserve">atient and public involvement </w:t>
      </w:r>
      <w:r w:rsidR="00E900F5" w:rsidRPr="002C21B8">
        <w:t xml:space="preserve">(PPI) </w:t>
      </w:r>
      <w:r w:rsidRPr="002C21B8">
        <w:t>group had meaningful contributions throughout the programme of research.</w:t>
      </w:r>
    </w:p>
    <w:p w14:paraId="06E1B315" w14:textId="0486ACA7" w:rsidR="00A74263" w:rsidRPr="002C21B8" w:rsidRDefault="007C44C2" w:rsidP="00AE6DE1">
      <w:r w:rsidRPr="002C21B8">
        <w:t xml:space="preserve">Members of the PPI group provided feedback on the data collection materials in both the multiple case study and the national survey of clinical practice. These included the </w:t>
      </w:r>
      <w:r w:rsidR="002E2BD9" w:rsidRPr="002C21B8">
        <w:t>patient</w:t>
      </w:r>
      <w:r w:rsidRPr="002C21B8">
        <w:t xml:space="preserve"> information leaflet, invitation letter, interview topic guide, case vignette and questionnaire. Their suggestions for the patient-facing documents helped to ensure that the information</w:t>
      </w:r>
      <w:r w:rsidR="00376A57" w:rsidRPr="002C21B8">
        <w:t xml:space="preserve"> provided</w:t>
      </w:r>
      <w:r w:rsidRPr="002C21B8">
        <w:t xml:space="preserve"> was accessible and </w:t>
      </w:r>
      <w:r w:rsidR="008D5596" w:rsidRPr="002C21B8">
        <w:t xml:space="preserve">clarified the purpose </w:t>
      </w:r>
      <w:r w:rsidR="00A74263" w:rsidRPr="002C21B8">
        <w:t xml:space="preserve">of the observations. This may in part explain why no patients declined to participate in the observations. </w:t>
      </w:r>
      <w:r w:rsidR="002E2BD9" w:rsidRPr="002C21B8">
        <w:t xml:space="preserve">Having </w:t>
      </w:r>
      <w:r w:rsidR="00A74263" w:rsidRPr="002C21B8">
        <w:t>a</w:t>
      </w:r>
      <w:r w:rsidR="002E2BD9" w:rsidRPr="002C21B8">
        <w:t xml:space="preserve"> patient perspective o</w:t>
      </w:r>
      <w:r w:rsidR="00A74263" w:rsidRPr="002C21B8">
        <w:t>n</w:t>
      </w:r>
      <w:r w:rsidR="002E2BD9" w:rsidRPr="002C21B8">
        <w:t xml:space="preserve"> the factors </w:t>
      </w:r>
      <w:r w:rsidRPr="002C21B8">
        <w:t xml:space="preserve">that </w:t>
      </w:r>
      <w:r w:rsidR="002E2BD9" w:rsidRPr="002C21B8">
        <w:t>they thought were considered when they were initiated on tolvaptan</w:t>
      </w:r>
      <w:r w:rsidR="009941EE" w:rsidRPr="002C21B8">
        <w:t xml:space="preserve"> </w:t>
      </w:r>
      <w:r w:rsidR="002E2BD9" w:rsidRPr="002C21B8">
        <w:t xml:space="preserve">helped </w:t>
      </w:r>
      <w:r w:rsidR="00A74263" w:rsidRPr="002C21B8">
        <w:t xml:space="preserve">to </w:t>
      </w:r>
      <w:r w:rsidR="002E2BD9" w:rsidRPr="002C21B8">
        <w:t xml:space="preserve">develop a case vignette that </w:t>
      </w:r>
      <w:r w:rsidR="00A74263" w:rsidRPr="002C21B8">
        <w:t xml:space="preserve">was based on real patient </w:t>
      </w:r>
      <w:r w:rsidR="00F74351" w:rsidRPr="002C21B8">
        <w:t xml:space="preserve">experiences </w:t>
      </w:r>
      <w:r w:rsidR="00A74263" w:rsidRPr="002C21B8">
        <w:t xml:space="preserve">and introduced more equipoise that led to further discussion in the interviews. </w:t>
      </w:r>
      <w:r w:rsidRPr="002C21B8">
        <w:t>The inclusion of questions in the interview topic guide and survey regarding how information about tolvaptan is given to patients arose from discussions in one of the PPI group meetings.</w:t>
      </w:r>
    </w:p>
    <w:p w14:paraId="1EB5DF2A" w14:textId="7E4539DF" w:rsidR="00A74263" w:rsidRPr="002C21B8" w:rsidRDefault="00A74263" w:rsidP="00AE6DE1">
      <w:r w:rsidRPr="002C21B8">
        <w:t xml:space="preserve">Their contributions were also important when interpreting the data generated during the programme of research. Discussions with members of the PPI group </w:t>
      </w:r>
      <w:r w:rsidR="00A374B9" w:rsidRPr="002C21B8">
        <w:t xml:space="preserve">highlighted that often written information had a greater impact on their decision-making than verbal information. This </w:t>
      </w:r>
      <w:r w:rsidRPr="002C21B8">
        <w:t xml:space="preserve">supported the development of a plausible explanation </w:t>
      </w:r>
      <w:r w:rsidR="00E42BD4" w:rsidRPr="002C21B8">
        <w:t>for the observed variation in prescribing practices between centres. D</w:t>
      </w:r>
      <w:r w:rsidRPr="002C21B8">
        <w:t>ifferences in</w:t>
      </w:r>
      <w:r w:rsidR="00E42BD4" w:rsidRPr="002C21B8">
        <w:t xml:space="preserve"> the</w:t>
      </w:r>
      <w:r w:rsidRPr="002C21B8">
        <w:t xml:space="preserve"> framing</w:t>
      </w:r>
      <w:r w:rsidR="00A374B9" w:rsidRPr="002C21B8">
        <w:t xml:space="preserve"> </w:t>
      </w:r>
      <w:r w:rsidR="00E42BD4" w:rsidRPr="002C21B8">
        <w:t>of information in patient information leaflets at centres</w:t>
      </w:r>
      <w:r w:rsidR="00A374B9" w:rsidRPr="002C21B8">
        <w:t xml:space="preserve"> </w:t>
      </w:r>
      <w:r w:rsidRPr="002C21B8">
        <w:t>may influence patient understanding and subsequent t</w:t>
      </w:r>
      <w:r w:rsidR="00035D00" w:rsidRPr="002C21B8">
        <w:t>olvaptan</w:t>
      </w:r>
      <w:r w:rsidRPr="002C21B8">
        <w:t xml:space="preserve"> uptake</w:t>
      </w:r>
      <w:r w:rsidR="00A374B9" w:rsidRPr="002C21B8">
        <w:t>.</w:t>
      </w:r>
    </w:p>
    <w:p w14:paraId="0D733180" w14:textId="41DBDC34" w:rsidR="00A74263" w:rsidRPr="002C21B8" w:rsidRDefault="00A74263" w:rsidP="00AE6DE1">
      <w:r w:rsidRPr="002C21B8">
        <w:t>Discussions with the PPI group members and the PKD Charity</w:t>
      </w:r>
      <w:r w:rsidR="00B46D5F" w:rsidRPr="002C21B8">
        <w:t xml:space="preserve"> influenced the dissemination of </w:t>
      </w:r>
      <w:r w:rsidR="002D4369" w:rsidRPr="002C21B8">
        <w:t xml:space="preserve">the </w:t>
      </w:r>
      <w:r w:rsidR="00B46D5F" w:rsidRPr="002C21B8">
        <w:t xml:space="preserve">research. They indicated that they would be interested in the research findings given the potential implications for equitable access to tolvaptan and the impact on their health. This led to the inclusion of a plain language summary in this thesis and a planned online educational event </w:t>
      </w:r>
      <w:r w:rsidR="009941EE" w:rsidRPr="002C21B8">
        <w:t xml:space="preserve">hosted by </w:t>
      </w:r>
      <w:r w:rsidR="00B46D5F" w:rsidRPr="002C21B8">
        <w:t>the PKD Charity to discuss the findings.</w:t>
      </w:r>
    </w:p>
    <w:p w14:paraId="0642AFBC" w14:textId="1B164E21" w:rsidR="00B43989" w:rsidRPr="002C21B8" w:rsidRDefault="00D419C9" w:rsidP="00581663">
      <w:pPr>
        <w:pStyle w:val="Heading2"/>
      </w:pPr>
      <w:bookmarkStart w:id="313" w:name="_Reflexiv_ity"/>
      <w:bookmarkStart w:id="314" w:name="_Toc229687246"/>
      <w:bookmarkEnd w:id="313"/>
      <w:r w:rsidRPr="002C21B8">
        <w:t>R</w:t>
      </w:r>
      <w:r w:rsidR="00B43989" w:rsidRPr="002C21B8">
        <w:t>eflexivity</w:t>
      </w:r>
      <w:bookmarkEnd w:id="314"/>
    </w:p>
    <w:p w14:paraId="5563112C" w14:textId="23955CE6" w:rsidR="0001063D" w:rsidRPr="002C21B8" w:rsidRDefault="00671955" w:rsidP="0092086D">
      <w:r w:rsidRPr="002C21B8">
        <w:t xml:space="preserve">Before undertaking this </w:t>
      </w:r>
      <w:r w:rsidR="00A15369" w:rsidRPr="002C21B8">
        <w:t>programme of research</w:t>
      </w:r>
      <w:r w:rsidRPr="002C21B8">
        <w:t xml:space="preserve">, my understanding of reflexivity </w:t>
      </w:r>
      <w:r w:rsidR="00CA349A" w:rsidRPr="002C21B8">
        <w:t xml:space="preserve">was </w:t>
      </w:r>
      <w:r w:rsidRPr="002C21B8">
        <w:t xml:space="preserve">largely restricted to viewing my clinical background </w:t>
      </w:r>
      <w:r w:rsidR="00717F0F" w:rsidRPr="002C21B8">
        <w:t>as</w:t>
      </w:r>
      <w:r w:rsidRPr="002C21B8">
        <w:t xml:space="preserve"> </w:t>
      </w:r>
      <w:r w:rsidR="00A97F07" w:rsidRPr="002C21B8">
        <w:t xml:space="preserve">something that should be </w:t>
      </w:r>
      <w:r w:rsidR="00CA349A" w:rsidRPr="002C21B8">
        <w:t>acknowledged at the outset</w:t>
      </w:r>
      <w:r w:rsidR="004A6D18" w:rsidRPr="002C21B8">
        <w:t>,</w:t>
      </w:r>
      <w:r w:rsidR="00CA349A" w:rsidRPr="002C21B8">
        <w:t xml:space="preserve"> </w:t>
      </w:r>
      <w:r w:rsidR="00287FDA" w:rsidRPr="002C21B8">
        <w:t xml:space="preserve">but </w:t>
      </w:r>
      <w:r w:rsidR="00CA349A" w:rsidRPr="002C21B8">
        <w:t xml:space="preserve">primarily as a potential source of bias. </w:t>
      </w:r>
      <w:r w:rsidRPr="002C21B8">
        <w:t xml:space="preserve">However, as the </w:t>
      </w:r>
      <w:r w:rsidR="00A15369" w:rsidRPr="002C21B8">
        <w:t>research</w:t>
      </w:r>
      <w:r w:rsidRPr="002C21B8">
        <w:t xml:space="preserve"> progressed</w:t>
      </w:r>
      <w:r w:rsidR="00287FDA" w:rsidRPr="002C21B8">
        <w:t>,</w:t>
      </w:r>
      <w:r w:rsidRPr="002C21B8">
        <w:t xml:space="preserve"> my approach to reflexivity </w:t>
      </w:r>
      <w:r w:rsidR="00A97F07" w:rsidRPr="002C21B8">
        <w:t>became more</w:t>
      </w:r>
      <w:r w:rsidRPr="002C21B8">
        <w:t xml:space="preserve"> </w:t>
      </w:r>
      <w:r w:rsidR="00A97F07" w:rsidRPr="002C21B8">
        <w:t xml:space="preserve">active and </w:t>
      </w:r>
      <w:r w:rsidR="00F74351" w:rsidRPr="002C21B8">
        <w:t xml:space="preserve">nuanced, with </w:t>
      </w:r>
      <w:r w:rsidR="00A97F07" w:rsidRPr="002C21B8">
        <w:t xml:space="preserve">reflexivity </w:t>
      </w:r>
      <w:r w:rsidR="00F74351" w:rsidRPr="002C21B8">
        <w:t>representing a way to acknowledge my background and its influence on the research rather than somet</w:t>
      </w:r>
      <w:r w:rsidR="000E7D1F" w:rsidRPr="002C21B8">
        <w:t xml:space="preserve">hing that could be </w:t>
      </w:r>
      <w:r w:rsidR="00DD2A75" w:rsidRPr="002C21B8">
        <w:t>fully bracketed or neutralised.</w:t>
      </w:r>
      <w:r w:rsidR="00F74351" w:rsidRPr="002C21B8">
        <w:t xml:space="preserve"> In this section, I </w:t>
      </w:r>
      <w:r w:rsidR="0001063D" w:rsidRPr="002C21B8">
        <w:t xml:space="preserve">discuss several </w:t>
      </w:r>
      <w:r w:rsidR="00DD2A75" w:rsidRPr="002C21B8">
        <w:t>point</w:t>
      </w:r>
      <w:r w:rsidR="0001063D" w:rsidRPr="002C21B8">
        <w:t>s during the programme of research where this became particularly evident.</w:t>
      </w:r>
    </w:p>
    <w:p w14:paraId="137BEEE6" w14:textId="157C78E1" w:rsidR="00441364" w:rsidRPr="002C21B8" w:rsidRDefault="0001063D" w:rsidP="0092086D">
      <w:r w:rsidRPr="002C21B8">
        <w:t xml:space="preserve">The multiple case study provided the clearest example of how my positionality influenced the research process. </w:t>
      </w:r>
      <w:r w:rsidR="004D0C0E" w:rsidRPr="002C21B8">
        <w:t>As discussed in the methodology chapter (</w:t>
      </w:r>
      <w:hyperlink w:anchor="_Reflexivity" w:history="1">
        <w:r w:rsidR="004D0C0E" w:rsidRPr="002C21B8">
          <w:rPr>
            <w:rStyle w:val="Hyperlink"/>
          </w:rPr>
          <w:t xml:space="preserve">Section </w:t>
        </w:r>
        <w:r w:rsidR="00C3773A" w:rsidRPr="002C21B8">
          <w:rPr>
            <w:rStyle w:val="Hyperlink"/>
          </w:rPr>
          <w:t>3.6</w:t>
        </w:r>
      </w:hyperlink>
      <w:r w:rsidR="004D0C0E" w:rsidRPr="002C21B8">
        <w:t xml:space="preserve">), I was aware that my role as a clinician-researcher </w:t>
      </w:r>
      <w:r w:rsidR="001F7C50" w:rsidRPr="002C21B8">
        <w:t>positioned</w:t>
      </w:r>
      <w:r w:rsidR="00C3773A" w:rsidRPr="002C21B8">
        <w:t xml:space="preserve"> me as neither fully an insider nor </w:t>
      </w:r>
      <w:r w:rsidR="00CF029F" w:rsidRPr="002C21B8">
        <w:t xml:space="preserve">an </w:t>
      </w:r>
      <w:r w:rsidR="00C3773A" w:rsidRPr="002C21B8">
        <w:t xml:space="preserve">outsider. </w:t>
      </w:r>
      <w:r w:rsidR="00F27B7D" w:rsidRPr="002C21B8">
        <w:t>Having a shared clinical background helped to build rapport with participants</w:t>
      </w:r>
      <w:r w:rsidR="004A6D18" w:rsidRPr="002C21B8">
        <w:t>,</w:t>
      </w:r>
      <w:r w:rsidR="00F27B7D" w:rsidRPr="002C21B8">
        <w:t xml:space="preserve"> and they </w:t>
      </w:r>
      <w:r w:rsidR="009243D6" w:rsidRPr="002C21B8">
        <w:t>appeared to be</w:t>
      </w:r>
      <w:r w:rsidR="00F27B7D" w:rsidRPr="002C21B8">
        <w:t xml:space="preserve"> </w:t>
      </w:r>
      <w:r w:rsidR="003E0279" w:rsidRPr="002C21B8">
        <w:t xml:space="preserve">more </w:t>
      </w:r>
      <w:r w:rsidR="004A6D18" w:rsidRPr="002C21B8">
        <w:t>comfortable</w:t>
      </w:r>
      <w:r w:rsidR="003E0279" w:rsidRPr="002C21B8">
        <w:t xml:space="preserve"> openly</w:t>
      </w:r>
      <w:r w:rsidR="004A6D18" w:rsidRPr="002C21B8">
        <w:t xml:space="preserve"> </w:t>
      </w:r>
      <w:r w:rsidR="00F27B7D" w:rsidRPr="002C21B8">
        <w:t xml:space="preserve">discussing their prescribing practices than I </w:t>
      </w:r>
      <w:r w:rsidR="00FE268B" w:rsidRPr="002C21B8">
        <w:t xml:space="preserve">had </w:t>
      </w:r>
      <w:r w:rsidR="00F27B7D" w:rsidRPr="002C21B8">
        <w:t>expected. However,</w:t>
      </w:r>
      <w:r w:rsidR="00AA3C7A" w:rsidRPr="002C21B8">
        <w:t xml:space="preserve"> during the analysis of the early interviews</w:t>
      </w:r>
      <w:r w:rsidR="009243D6" w:rsidRPr="002C21B8">
        <w:t>,</w:t>
      </w:r>
      <w:r w:rsidR="00AA3C7A" w:rsidRPr="002C21B8">
        <w:t xml:space="preserve"> I identified occasions </w:t>
      </w:r>
      <w:r w:rsidR="00F27B7D" w:rsidRPr="002C21B8">
        <w:t xml:space="preserve">where I had relied on </w:t>
      </w:r>
      <w:r w:rsidR="00E93088" w:rsidRPr="002C21B8">
        <w:t>assumed knowledge</w:t>
      </w:r>
      <w:r w:rsidR="0092086D" w:rsidRPr="002C21B8">
        <w:t xml:space="preserve">. After recognising this, </w:t>
      </w:r>
      <w:r w:rsidR="00717F0F" w:rsidRPr="002C21B8">
        <w:t xml:space="preserve">my approach to data collection </w:t>
      </w:r>
      <w:r w:rsidR="00F27B7D" w:rsidRPr="002C21B8">
        <w:t xml:space="preserve">in the later interviews </w:t>
      </w:r>
      <w:r w:rsidR="00717F0F" w:rsidRPr="002C21B8">
        <w:t xml:space="preserve">was refined by </w:t>
      </w:r>
      <w:r w:rsidR="004D0C0E" w:rsidRPr="002C21B8">
        <w:t>actively</w:t>
      </w:r>
      <w:r w:rsidR="00717F0F" w:rsidRPr="002C21B8">
        <w:t xml:space="preserve"> seeking </w:t>
      </w:r>
      <w:r w:rsidR="00450B6D" w:rsidRPr="002C21B8">
        <w:t>clarification</w:t>
      </w:r>
      <w:r w:rsidR="00717F0F" w:rsidRPr="002C21B8">
        <w:t xml:space="preserve"> and probing further to ensure that I had not made any assumptions and that important nuances were not </w:t>
      </w:r>
      <w:r w:rsidR="00F27B7D" w:rsidRPr="002C21B8">
        <w:t xml:space="preserve">being </w:t>
      </w:r>
      <w:r w:rsidR="00717F0F" w:rsidRPr="002C21B8">
        <w:t>missed.</w:t>
      </w:r>
      <w:r w:rsidR="00441364" w:rsidRPr="002C21B8">
        <w:t xml:space="preserve"> When reviewing the later interviews</w:t>
      </w:r>
      <w:r w:rsidR="00FE268B" w:rsidRPr="002C21B8">
        <w:t>,</w:t>
      </w:r>
      <w:r w:rsidR="00441364" w:rsidRPr="002C21B8">
        <w:t xml:space="preserve"> they had greater richness and depth </w:t>
      </w:r>
      <w:r w:rsidR="00452002" w:rsidRPr="002C21B8">
        <w:t>in participants’ accounts of prescribing decision-making.</w:t>
      </w:r>
    </w:p>
    <w:p w14:paraId="3AE35F8A" w14:textId="3C32AEDB" w:rsidR="00A549CC" w:rsidRPr="002C21B8" w:rsidRDefault="00F27B7D" w:rsidP="0092086D">
      <w:r w:rsidRPr="002C21B8">
        <w:t>Prior to data collection</w:t>
      </w:r>
      <w:r w:rsidR="00FC0C1F" w:rsidRPr="002C21B8">
        <w:t xml:space="preserve"> in the multiple case study,</w:t>
      </w:r>
      <w:r w:rsidRPr="002C21B8">
        <w:t xml:space="preserve"> I had considered </w:t>
      </w:r>
      <w:r w:rsidR="00FC0C1F" w:rsidRPr="002C21B8">
        <w:t xml:space="preserve">that my clinical background was the main aspect of my positionality that </w:t>
      </w:r>
      <w:r w:rsidR="00AA3C7A" w:rsidRPr="002C21B8">
        <w:t>could</w:t>
      </w:r>
      <w:r w:rsidR="00FC0C1F" w:rsidRPr="002C21B8">
        <w:t xml:space="preserve"> influence data collection. However, I </w:t>
      </w:r>
      <w:r w:rsidR="00987685" w:rsidRPr="002C21B8">
        <w:t xml:space="preserve">am now </w:t>
      </w:r>
      <w:r w:rsidR="00FC0C1F" w:rsidRPr="002C21B8">
        <w:t xml:space="preserve">aware that my developing experience in </w:t>
      </w:r>
      <w:r w:rsidR="00F50E6F" w:rsidRPr="002C21B8">
        <w:t xml:space="preserve">conducting qualitative research may also have influenced </w:t>
      </w:r>
      <w:r w:rsidR="00FC0C1F" w:rsidRPr="002C21B8">
        <w:t>data collection.</w:t>
      </w:r>
      <w:r w:rsidR="00F50E6F" w:rsidRPr="002C21B8">
        <w:t xml:space="preserve"> When reviewing the transcripts from the first few interviews, I </w:t>
      </w:r>
      <w:r w:rsidR="006C14EF" w:rsidRPr="002C21B8">
        <w:t xml:space="preserve">had </w:t>
      </w:r>
      <w:r w:rsidR="00F50E6F" w:rsidRPr="002C21B8">
        <w:t>a greater verbal presence tha</w:t>
      </w:r>
      <w:r w:rsidR="006C14EF" w:rsidRPr="002C21B8">
        <w:t>n</w:t>
      </w:r>
      <w:r w:rsidR="00F50E6F" w:rsidRPr="002C21B8">
        <w:t xml:space="preserve"> intended</w:t>
      </w:r>
      <w:r w:rsidR="006C14EF" w:rsidRPr="002C21B8">
        <w:t xml:space="preserve">. There were also occasions where I had interrupted the participant and steered the discussion towards items in the topic guide. </w:t>
      </w:r>
      <w:r w:rsidR="00F50E6F" w:rsidRPr="002C21B8">
        <w:t>This prompted an adjustment in my interviewing approach. In subsequent interviews,</w:t>
      </w:r>
      <w:r w:rsidR="00096286" w:rsidRPr="002C21B8">
        <w:t xml:space="preserve"> </w:t>
      </w:r>
      <w:r w:rsidR="00B378D5" w:rsidRPr="002C21B8">
        <w:t xml:space="preserve">I encouraged the participant to lead the discussion by avoiding intervening in silences and tolerating </w:t>
      </w:r>
      <w:r w:rsidR="006C14EF" w:rsidRPr="002C21B8">
        <w:t xml:space="preserve">departures from the topic guide. </w:t>
      </w:r>
      <w:r w:rsidR="00B378D5" w:rsidRPr="002C21B8">
        <w:t>When reviewing later transcripts, these moments where the discussion deviated from the topic guide added the most explanatory depth to participants</w:t>
      </w:r>
      <w:r w:rsidR="00FE268B" w:rsidRPr="002C21B8">
        <w:t>’</w:t>
      </w:r>
      <w:r w:rsidR="00B378D5" w:rsidRPr="002C21B8">
        <w:t xml:space="preserve"> accounts.</w:t>
      </w:r>
    </w:p>
    <w:p w14:paraId="2326DF8B" w14:textId="413EAEE5" w:rsidR="00D111DB" w:rsidRPr="002C21B8" w:rsidRDefault="00FC29CE" w:rsidP="0092086D">
      <w:r w:rsidRPr="002C21B8">
        <w:t xml:space="preserve">During </w:t>
      </w:r>
      <w:r w:rsidR="00D81AB7" w:rsidRPr="002C21B8">
        <w:t xml:space="preserve">the </w:t>
      </w:r>
      <w:r w:rsidR="00A549CC" w:rsidRPr="002C21B8">
        <w:t xml:space="preserve">analysis, I shared the early themes that I had identified through the data coding process with </w:t>
      </w:r>
      <w:r w:rsidRPr="002C21B8">
        <w:t xml:space="preserve">my supervision team and PPI group to ensure that these accurately reflected the data and were not influenced by my prior assumptions of experiences. As mentioned in the PPI section, </w:t>
      </w:r>
      <w:r w:rsidR="00A374B9" w:rsidRPr="002C21B8">
        <w:t>in one PPI group meeting</w:t>
      </w:r>
      <w:r w:rsidR="009243D6" w:rsidRPr="002C21B8">
        <w:t>,</w:t>
      </w:r>
      <w:r w:rsidR="00A374B9" w:rsidRPr="002C21B8">
        <w:t xml:space="preserve"> </w:t>
      </w:r>
      <w:r w:rsidR="00A549CC" w:rsidRPr="002C21B8">
        <w:t>the potential role of patient information leaflets in influencing patient decision-making</w:t>
      </w:r>
      <w:r w:rsidR="00D111DB" w:rsidRPr="002C21B8">
        <w:t xml:space="preserve"> was discussed. Prior to this discussion, </w:t>
      </w:r>
      <w:r w:rsidR="00C6720C" w:rsidRPr="002C21B8">
        <w:t xml:space="preserve">I had focused heavily on clinician decision-making as the main source of variation between centres. I had not </w:t>
      </w:r>
      <w:r w:rsidR="00D111DB" w:rsidRPr="002C21B8">
        <w:t xml:space="preserve">considered </w:t>
      </w:r>
      <w:r w:rsidR="00C6720C" w:rsidRPr="002C21B8">
        <w:t>that there would be differences in the patient information leaflets provided to patients and the role this could have on their decision-making. This likely reflects my clinical background</w:t>
      </w:r>
      <w:r w:rsidR="00FE268B" w:rsidRPr="002C21B8">
        <w:t>,</w:t>
      </w:r>
      <w:r w:rsidR="00C6720C" w:rsidRPr="002C21B8">
        <w:t xml:space="preserve"> as a clinician</w:t>
      </w:r>
      <w:r w:rsidR="00FE268B" w:rsidRPr="002C21B8">
        <w:t>,</w:t>
      </w:r>
      <w:r w:rsidR="00C6720C" w:rsidRPr="002C21B8">
        <w:t xml:space="preserve"> I had focused on the areas that clinicians would be directly involved in</w:t>
      </w:r>
      <w:r w:rsidR="00BA09E6" w:rsidRPr="002C21B8">
        <w:t>. Specifically, these were the</w:t>
      </w:r>
      <w:r w:rsidR="00C6720C" w:rsidRPr="002C21B8">
        <w:t xml:space="preserve"> interpret</w:t>
      </w:r>
      <w:r w:rsidR="00BA09E6" w:rsidRPr="002C21B8">
        <w:t>ation of</w:t>
      </w:r>
      <w:r w:rsidR="00C6720C" w:rsidRPr="002C21B8">
        <w:t xml:space="preserve"> guidelines and risk-benefit assessments. </w:t>
      </w:r>
      <w:r w:rsidR="00D111DB" w:rsidRPr="002C21B8">
        <w:t xml:space="preserve">As I suspect will be the case for many </w:t>
      </w:r>
      <w:r w:rsidR="00C6720C" w:rsidRPr="002C21B8">
        <w:t>clinicians,</w:t>
      </w:r>
      <w:r w:rsidR="00D111DB" w:rsidRPr="002C21B8">
        <w:t xml:space="preserve"> </w:t>
      </w:r>
      <w:r w:rsidR="00C6720C" w:rsidRPr="002C21B8">
        <w:t>I have not read any of the leaflets that I provide to patients</w:t>
      </w:r>
      <w:r w:rsidR="00FE268B" w:rsidRPr="002C21B8">
        <w:t>,</w:t>
      </w:r>
      <w:r w:rsidR="00C6720C" w:rsidRPr="002C21B8">
        <w:t xml:space="preserve"> so </w:t>
      </w:r>
      <w:r w:rsidR="00FE268B" w:rsidRPr="002C21B8">
        <w:t xml:space="preserve">I </w:t>
      </w:r>
      <w:r w:rsidR="00C6720C" w:rsidRPr="002C21B8">
        <w:t>assumed that these would be largely factual and standardised</w:t>
      </w:r>
      <w:r w:rsidR="009243D6" w:rsidRPr="002C21B8">
        <w:t>,</w:t>
      </w:r>
      <w:r w:rsidR="00C6720C" w:rsidRPr="002C21B8">
        <w:t xml:space="preserve"> so would not have an impact at a centre-level. </w:t>
      </w:r>
      <w:r w:rsidR="00D111DB" w:rsidRPr="002C21B8">
        <w:t>This highlight</w:t>
      </w:r>
      <w:r w:rsidR="009243D6" w:rsidRPr="002C21B8">
        <w:t>s</w:t>
      </w:r>
      <w:r w:rsidR="00D111DB" w:rsidRPr="002C21B8">
        <w:t xml:space="preserve"> how my clinical position shaped not only what I initially focused on but also what I implicitly treated as uniform or peripheral to decision-making.</w:t>
      </w:r>
    </w:p>
    <w:p w14:paraId="7419318E" w14:textId="18AB8EEF" w:rsidR="00390A4C" w:rsidRPr="002C21B8" w:rsidRDefault="00FC29CE" w:rsidP="00FC29CE">
      <w:r w:rsidRPr="002C21B8">
        <w:t xml:space="preserve">Another phase where reflexivity was </w:t>
      </w:r>
      <w:r w:rsidR="00941555" w:rsidRPr="002C21B8">
        <w:t xml:space="preserve">particularly </w:t>
      </w:r>
      <w:r w:rsidRPr="002C21B8">
        <w:t xml:space="preserve">evident was during the design of the survey. </w:t>
      </w:r>
      <w:r w:rsidR="00941555" w:rsidRPr="002C21B8">
        <w:t>As a clinician, I was aware that being asked about your clinical practice can be a sensitive topic</w:t>
      </w:r>
      <w:r w:rsidR="004A6D18" w:rsidRPr="002C21B8">
        <w:t xml:space="preserve">. This is especially relevant to this survey as </w:t>
      </w:r>
      <w:r w:rsidR="00941555" w:rsidRPr="002C21B8">
        <w:t xml:space="preserve">responses </w:t>
      </w:r>
      <w:r w:rsidR="004A6D18" w:rsidRPr="002C21B8">
        <w:t>we</w:t>
      </w:r>
      <w:r w:rsidR="00941555" w:rsidRPr="002C21B8">
        <w:t>re not anonym</w:t>
      </w:r>
      <w:r w:rsidR="004A6D18" w:rsidRPr="002C21B8">
        <w:t>ous</w:t>
      </w:r>
      <w:r w:rsidR="00941555" w:rsidRPr="002C21B8">
        <w:t>. As a result, questions were written to minimise social desirability bias</w:t>
      </w:r>
      <w:r w:rsidR="00F3458B" w:rsidRPr="002C21B8">
        <w:t>, where</w:t>
      </w:r>
      <w:r w:rsidR="00941555" w:rsidRPr="002C21B8">
        <w:t xml:space="preserve"> research participants may provide answers </w:t>
      </w:r>
      <w:r w:rsidR="00F3458B" w:rsidRPr="002C21B8">
        <w:t>aligned with perceived expectations or norms</w:t>
      </w:r>
      <w:r w:rsidR="00941555" w:rsidRPr="002C21B8">
        <w:t>. An example of this was avoiding directly asking participants whether they prescribed tolvaptan outside of the recommended eligibility criteria. Instead, the question was rephrased to ask the eGFR range within which they typically initiated tolvaptan. This illustrates how my clinical position influenced not only the content of the survey but also the way that questions were framed in anticipation of how participants might respond</w:t>
      </w:r>
      <w:r w:rsidR="00F432B1" w:rsidRPr="002C21B8">
        <w:t>.</w:t>
      </w:r>
    </w:p>
    <w:p w14:paraId="69AE4590" w14:textId="27AC9475" w:rsidR="00B43989" w:rsidRPr="002C21B8" w:rsidRDefault="00B43989" w:rsidP="00581663">
      <w:pPr>
        <w:pStyle w:val="Heading2"/>
      </w:pPr>
      <w:bookmarkStart w:id="315" w:name="_Toc229687247"/>
      <w:r w:rsidRPr="002C21B8">
        <w:t>Unique contributions to knowledge</w:t>
      </w:r>
      <w:bookmarkEnd w:id="315"/>
    </w:p>
    <w:p w14:paraId="5B8A8CA2" w14:textId="6CF7AAF0" w:rsidR="00717DB0" w:rsidRPr="002C21B8" w:rsidRDefault="00B42305" w:rsidP="000E44F5">
      <w:r w:rsidRPr="002C21B8">
        <w:t xml:space="preserve">This thesis makes several unique contributions to knowledge. First, it </w:t>
      </w:r>
      <w:r w:rsidR="00BB775D" w:rsidRPr="002C21B8">
        <w:t xml:space="preserve">presents the first conceptual model of prescribing </w:t>
      </w:r>
      <w:r w:rsidR="00492B64" w:rsidRPr="002C21B8">
        <w:t xml:space="preserve">decision-making </w:t>
      </w:r>
      <w:r w:rsidR="00BB775D" w:rsidRPr="002C21B8">
        <w:t>in chronic</w:t>
      </w:r>
      <w:r w:rsidR="00717D3C" w:rsidRPr="002C21B8">
        <w:t xml:space="preserve"> condition</w:t>
      </w:r>
      <w:r w:rsidR="00BB775D" w:rsidRPr="002C21B8">
        <w:t xml:space="preserve">s. Second, it </w:t>
      </w:r>
      <w:r w:rsidRPr="002C21B8">
        <w:t>provide</w:t>
      </w:r>
      <w:r w:rsidR="00BB775D" w:rsidRPr="002C21B8">
        <w:t>s</w:t>
      </w:r>
      <w:r w:rsidRPr="002C21B8">
        <w:t xml:space="preserve"> empirical evidence of variation in tolvaptan prescribing </w:t>
      </w:r>
      <w:r w:rsidR="00BB775D" w:rsidRPr="002C21B8">
        <w:t>between</w:t>
      </w:r>
      <w:r w:rsidRPr="002C21B8">
        <w:t xml:space="preserve"> UK kidney centres moving the field beyond anecdotal descriptions of differences in practices between clinicians</w:t>
      </w:r>
      <w:r w:rsidR="00BB775D" w:rsidRPr="002C21B8">
        <w:t>. Third, it provides explanations for that variation</w:t>
      </w:r>
      <w:r w:rsidRPr="002C21B8">
        <w:t>.</w:t>
      </w:r>
      <w:r w:rsidR="00BB775D" w:rsidRPr="002C21B8">
        <w:t xml:space="preserve"> Finally, it presents the first conceptual model of prescribing </w:t>
      </w:r>
      <w:r w:rsidR="00492B64" w:rsidRPr="002C21B8">
        <w:t>decision-making in</w:t>
      </w:r>
      <w:r w:rsidR="00BB775D" w:rsidRPr="002C21B8">
        <w:t xml:space="preserve"> rare diseases.</w:t>
      </w:r>
    </w:p>
    <w:p w14:paraId="7465B14B" w14:textId="77777777" w:rsidR="00717DB0" w:rsidRPr="002C21B8" w:rsidRDefault="00717DB0">
      <w:pPr>
        <w:spacing w:after="0" w:line="240" w:lineRule="auto"/>
        <w:jc w:val="left"/>
      </w:pPr>
      <w:r w:rsidRPr="002C21B8">
        <w:br w:type="page"/>
      </w:r>
    </w:p>
    <w:p w14:paraId="011D86EC" w14:textId="77777777" w:rsidR="00D1544F" w:rsidRPr="002C21B8" w:rsidRDefault="00D1544F" w:rsidP="00581663">
      <w:pPr>
        <w:pStyle w:val="Heading2"/>
      </w:pPr>
      <w:bookmarkStart w:id="316" w:name="_Toc229687248"/>
      <w:r w:rsidRPr="002C21B8">
        <w:t>Recommendations for clinical practice and policy</w:t>
      </w:r>
      <w:bookmarkEnd w:id="316"/>
    </w:p>
    <w:p w14:paraId="64CDBA43" w14:textId="77777777" w:rsidR="00D1544F" w:rsidRPr="002C21B8" w:rsidRDefault="00D1544F" w:rsidP="00D1544F">
      <w:r w:rsidRPr="002C21B8">
        <w:t>The following recommendations have been developed based on the key findings of this programme of research and wider evidence base, and are intended to help reduce unwarranted variation by addressing factors primarily at the system-level.</w:t>
      </w:r>
    </w:p>
    <w:p w14:paraId="436F94D3" w14:textId="452D694D" w:rsidR="00D1544F" w:rsidRPr="002C21B8" w:rsidRDefault="00D1544F" w:rsidP="00D1544F">
      <w:pPr>
        <w:rPr>
          <w:b/>
          <w:bCs/>
        </w:rPr>
      </w:pPr>
      <w:r w:rsidRPr="002C21B8">
        <w:rPr>
          <w:b/>
          <w:bCs/>
        </w:rPr>
        <w:t>Recommendation 1: C</w:t>
      </w:r>
      <w:r w:rsidR="00CB166E" w:rsidRPr="002C21B8">
        <w:rPr>
          <w:b/>
          <w:bCs/>
        </w:rPr>
        <w:t>ohort</w:t>
      </w:r>
      <w:r w:rsidRPr="002C21B8">
        <w:rPr>
          <w:b/>
          <w:bCs/>
        </w:rPr>
        <w:t xml:space="preserve"> </w:t>
      </w:r>
      <w:r w:rsidR="00CB166E" w:rsidRPr="002C21B8">
        <w:rPr>
          <w:b/>
          <w:bCs/>
        </w:rPr>
        <w:t xml:space="preserve">care for </w:t>
      </w:r>
      <w:r w:rsidRPr="002C21B8">
        <w:rPr>
          <w:b/>
          <w:bCs/>
        </w:rPr>
        <w:t>ADPKD within kidney centres</w:t>
      </w:r>
    </w:p>
    <w:p w14:paraId="2AAD4AF4" w14:textId="1F39FA5C" w:rsidR="00D1544F" w:rsidRPr="002C21B8" w:rsidRDefault="00D1544F" w:rsidP="001B6892">
      <w:pPr>
        <w:pStyle w:val="ListParagraph"/>
        <w:ind w:left="426"/>
      </w:pPr>
      <w:r w:rsidRPr="002C21B8">
        <w:t xml:space="preserve">Consolidate ADPKD care within </w:t>
      </w:r>
      <w:r w:rsidR="00CB166E" w:rsidRPr="002C21B8">
        <w:t xml:space="preserve">condition-specific </w:t>
      </w:r>
      <w:r w:rsidRPr="002C21B8">
        <w:t>ADPKD or renal genetics clinics rather than distributed general nephrology clinics. If this is not possible there should be mechanisms in place to improve consistency through internal audit, feedback loops, case-based discussions or automated patient identification</w:t>
      </w:r>
      <w:r w:rsidR="003D1D9A" w:rsidRPr="002C21B8">
        <w:t>.</w:t>
      </w:r>
    </w:p>
    <w:p w14:paraId="5521467C" w14:textId="77777777" w:rsidR="00D1544F" w:rsidRPr="002C21B8" w:rsidRDefault="00D1544F" w:rsidP="00D1544F">
      <w:pPr>
        <w:rPr>
          <w:b/>
          <w:bCs/>
        </w:rPr>
      </w:pPr>
      <w:r w:rsidRPr="002C21B8">
        <w:rPr>
          <w:b/>
          <w:bCs/>
        </w:rPr>
        <w:t>Recommendation 2: Develop dedicated tolvaptan clinics at kidney centres</w:t>
      </w:r>
    </w:p>
    <w:p w14:paraId="7899E6B3" w14:textId="033E7D0F" w:rsidR="00D1544F" w:rsidRPr="002C21B8" w:rsidRDefault="00D1544F" w:rsidP="001B6892">
      <w:pPr>
        <w:ind w:left="426"/>
      </w:pPr>
      <w:r w:rsidRPr="002C21B8">
        <w:t xml:space="preserve">Establish dedicated tolvaptan clinics to support prescribing of tolvaptan </w:t>
      </w:r>
      <w:r w:rsidR="00A015B9" w:rsidRPr="002C21B8">
        <w:t xml:space="preserve">in kidney centres </w:t>
      </w:r>
      <w:r w:rsidRPr="002C21B8">
        <w:t>and share prescribing responsibilities across members of the healthcare team</w:t>
      </w:r>
      <w:r w:rsidR="00F64FF5" w:rsidRPr="002C21B8">
        <w:t>.</w:t>
      </w:r>
    </w:p>
    <w:p w14:paraId="43345132" w14:textId="77777777" w:rsidR="00D1544F" w:rsidRPr="002C21B8" w:rsidRDefault="00D1544F" w:rsidP="00D1544F">
      <w:pPr>
        <w:rPr>
          <w:b/>
          <w:bCs/>
        </w:rPr>
      </w:pPr>
      <w:r w:rsidRPr="002C21B8">
        <w:rPr>
          <w:b/>
          <w:bCs/>
        </w:rPr>
        <w:t>Recommendation 3: Undertake routine audit and feedback on prescribing practices</w:t>
      </w:r>
    </w:p>
    <w:p w14:paraId="48E8CE77" w14:textId="190DD8C0" w:rsidR="00D1544F" w:rsidRPr="002C21B8" w:rsidRDefault="00D1544F" w:rsidP="001B6892">
      <w:pPr>
        <w:pStyle w:val="ListParagraph"/>
        <w:ind w:left="426"/>
      </w:pPr>
      <w:r w:rsidRPr="002C21B8">
        <w:t>Implement regular internal audit</w:t>
      </w:r>
      <w:r w:rsidR="003D1D9A" w:rsidRPr="002C21B8">
        <w:t>s</w:t>
      </w:r>
      <w:r w:rsidRPr="002C21B8">
        <w:t xml:space="preserve"> of tolvaptan</w:t>
      </w:r>
      <w:r w:rsidR="003D1D9A" w:rsidRPr="002C21B8">
        <w:t xml:space="preserve"> prescribing rates in relation to patient </w:t>
      </w:r>
      <w:r w:rsidRPr="002C21B8">
        <w:t>eligibility</w:t>
      </w:r>
      <w:r w:rsidR="001B6892" w:rsidRPr="002C21B8">
        <w:t xml:space="preserve">. </w:t>
      </w:r>
      <w:r w:rsidR="003D1D9A" w:rsidRPr="002C21B8">
        <w:t xml:space="preserve">External organisations should continue to provide external audit through analysis of registry data or </w:t>
      </w:r>
      <w:r w:rsidR="0065045E" w:rsidRPr="002C21B8">
        <w:t>initiatives</w:t>
      </w:r>
      <w:r w:rsidR="003D1D9A" w:rsidRPr="002C21B8">
        <w:t xml:space="preserve"> such as Getting It Right First Time (GIRFT)</w:t>
      </w:r>
      <w:r w:rsidR="007E3070" w:rsidRPr="002C21B8">
        <w:t>, but should provide targeted feedback</w:t>
      </w:r>
      <w:r w:rsidR="00F64FF5" w:rsidRPr="002C21B8">
        <w:t>.</w:t>
      </w:r>
    </w:p>
    <w:p w14:paraId="26459841" w14:textId="0AF999E1" w:rsidR="00D1544F" w:rsidRPr="002C21B8" w:rsidRDefault="00D1544F" w:rsidP="00D1544F">
      <w:pPr>
        <w:rPr>
          <w:b/>
          <w:bCs/>
        </w:rPr>
      </w:pPr>
      <w:r w:rsidRPr="002C21B8">
        <w:rPr>
          <w:b/>
          <w:bCs/>
        </w:rPr>
        <w:t xml:space="preserve">Recommendation 4: </w:t>
      </w:r>
      <w:r w:rsidR="001B6892" w:rsidRPr="002C21B8">
        <w:rPr>
          <w:b/>
          <w:bCs/>
        </w:rPr>
        <w:t>A team-based approach including wider healthcare professionals should support tolvaptan initiation and monitoring</w:t>
      </w:r>
    </w:p>
    <w:p w14:paraId="56EEB41A" w14:textId="45AEB7FA" w:rsidR="00D1544F" w:rsidRPr="002C21B8" w:rsidRDefault="00D1544F" w:rsidP="001B6892">
      <w:pPr>
        <w:pStyle w:val="ListParagraph"/>
        <w:ind w:left="360"/>
      </w:pPr>
      <w:r w:rsidRPr="002C21B8">
        <w:t xml:space="preserve">Involve pharmacists or other healthcare professionals in tolvaptan pathways where possible to improve consistency, share prescribing responsibilities and support patient </w:t>
      </w:r>
      <w:r w:rsidR="00A015B9" w:rsidRPr="002C21B8">
        <w:t>education</w:t>
      </w:r>
      <w:r w:rsidR="00F64FF5" w:rsidRPr="002C21B8">
        <w:t>.</w:t>
      </w:r>
    </w:p>
    <w:p w14:paraId="1E803605" w14:textId="29C2E963" w:rsidR="00D1544F" w:rsidRPr="002C21B8" w:rsidRDefault="00D1544F" w:rsidP="00D1544F">
      <w:pPr>
        <w:rPr>
          <w:b/>
          <w:bCs/>
        </w:rPr>
      </w:pPr>
      <w:r w:rsidRPr="002C21B8">
        <w:rPr>
          <w:b/>
          <w:bCs/>
        </w:rPr>
        <w:t>Recommendation 5: Strengthen clinical leadership and access to specialist networks</w:t>
      </w:r>
    </w:p>
    <w:p w14:paraId="53B78EDB" w14:textId="098877FC" w:rsidR="00D1544F" w:rsidRPr="002C21B8" w:rsidRDefault="00D1544F" w:rsidP="001B6892">
      <w:pPr>
        <w:pStyle w:val="ListParagraph"/>
        <w:ind w:left="426"/>
      </w:pPr>
      <w:r w:rsidRPr="002C21B8">
        <w:t>Identify a clinical lead for ADPKD/tolvaptan within kidney centres</w:t>
      </w:r>
      <w:r w:rsidR="00A015B9" w:rsidRPr="002C21B8">
        <w:t xml:space="preserve"> and s</w:t>
      </w:r>
      <w:r w:rsidRPr="002C21B8">
        <w:t xml:space="preserve">trengthen specialist networks </w:t>
      </w:r>
      <w:r w:rsidR="00A015B9" w:rsidRPr="002C21B8">
        <w:t xml:space="preserve">to support shared learning </w:t>
      </w:r>
      <w:r w:rsidRPr="002C21B8">
        <w:t>and knowledge exchange</w:t>
      </w:r>
      <w:r w:rsidR="000522C7" w:rsidRPr="002C21B8">
        <w:t>.</w:t>
      </w:r>
    </w:p>
    <w:p w14:paraId="43F046B8" w14:textId="77777777" w:rsidR="00D1544F" w:rsidRPr="002C21B8" w:rsidRDefault="00D1544F" w:rsidP="00D1544F">
      <w:pPr>
        <w:rPr>
          <w:b/>
          <w:bCs/>
        </w:rPr>
      </w:pPr>
      <w:r w:rsidRPr="002C21B8">
        <w:rPr>
          <w:b/>
          <w:bCs/>
        </w:rPr>
        <w:t>Recommendation 6: Standardise patient information materials</w:t>
      </w:r>
    </w:p>
    <w:p w14:paraId="6C619232" w14:textId="6D495811" w:rsidR="00D1544F" w:rsidRPr="002C21B8" w:rsidRDefault="00D1544F" w:rsidP="001B6892">
      <w:pPr>
        <w:pStyle w:val="ListParagraph"/>
        <w:ind w:left="426"/>
        <w:rPr>
          <w:b/>
          <w:bCs/>
        </w:rPr>
      </w:pPr>
      <w:r w:rsidRPr="002C21B8">
        <w:t>Develop standardised national/regional patient information leaflets</w:t>
      </w:r>
      <w:r w:rsidR="00A015B9" w:rsidRPr="002C21B8">
        <w:t xml:space="preserve"> to ensure more consistent patient information</w:t>
      </w:r>
      <w:r w:rsidR="00357720" w:rsidRPr="002C21B8">
        <w:t>,</w:t>
      </w:r>
      <w:r w:rsidR="00A015B9" w:rsidRPr="002C21B8">
        <w:t xml:space="preserve"> including the presentation of </w:t>
      </w:r>
      <w:r w:rsidRPr="002C21B8">
        <w:t>risks and benefits</w:t>
      </w:r>
      <w:r w:rsidR="000522C7" w:rsidRPr="002C21B8">
        <w:t>.</w:t>
      </w:r>
    </w:p>
    <w:p w14:paraId="763270FC" w14:textId="45D298A2" w:rsidR="00D1544F" w:rsidRPr="002C21B8" w:rsidRDefault="00D1544F" w:rsidP="00D1544F">
      <w:pPr>
        <w:rPr>
          <w:b/>
          <w:bCs/>
        </w:rPr>
      </w:pPr>
      <w:r w:rsidRPr="002C21B8">
        <w:rPr>
          <w:b/>
          <w:bCs/>
        </w:rPr>
        <w:t xml:space="preserve">Recommendation 7: </w:t>
      </w:r>
      <w:r w:rsidR="00A015B9" w:rsidRPr="002C21B8">
        <w:rPr>
          <w:b/>
          <w:bCs/>
        </w:rPr>
        <w:t>Policymakers may like to consider how medic</w:t>
      </w:r>
      <w:r w:rsidR="00AF254A" w:rsidRPr="002C21B8">
        <w:rPr>
          <w:b/>
          <w:bCs/>
        </w:rPr>
        <w:t>ation</w:t>
      </w:r>
      <w:r w:rsidR="00A015B9" w:rsidRPr="002C21B8">
        <w:rPr>
          <w:b/>
          <w:bCs/>
        </w:rPr>
        <w:t>s could be best implemented in practice</w:t>
      </w:r>
    </w:p>
    <w:p w14:paraId="08257840" w14:textId="425CE631" w:rsidR="00D1544F" w:rsidRPr="002C21B8" w:rsidRDefault="00A015B9" w:rsidP="00A015B9">
      <w:pPr>
        <w:ind w:left="426"/>
      </w:pPr>
      <w:r w:rsidRPr="002C21B8">
        <w:t>During guideline development, policymakers may like to consider how these medic</w:t>
      </w:r>
      <w:r w:rsidR="00AF254A" w:rsidRPr="002C21B8">
        <w:t>ation</w:t>
      </w:r>
      <w:r w:rsidRPr="002C21B8">
        <w:t>s may be best implemented in clinical practice and signpost clinicians to appropriate methods</w:t>
      </w:r>
      <w:r w:rsidR="00F64FF5" w:rsidRPr="002C21B8">
        <w:t>.</w:t>
      </w:r>
      <w:r w:rsidRPr="002C21B8">
        <w:t xml:space="preserve"> Following the publication of guidelines, research should be undertaken on the best way to implement the medic</w:t>
      </w:r>
      <w:r w:rsidR="00FB5C0C" w:rsidRPr="002C21B8">
        <w:t>ation</w:t>
      </w:r>
      <w:r w:rsidRPr="002C21B8">
        <w:t xml:space="preserve"> in clinical practice.</w:t>
      </w:r>
    </w:p>
    <w:p w14:paraId="2082D6BD" w14:textId="77777777" w:rsidR="00D1544F" w:rsidRPr="002C21B8" w:rsidRDefault="00D1544F" w:rsidP="00581663">
      <w:pPr>
        <w:pStyle w:val="Heading2"/>
      </w:pPr>
      <w:bookmarkStart w:id="317" w:name="_Toc229687249"/>
      <w:r w:rsidRPr="002C21B8">
        <w:t>Future research priorities</w:t>
      </w:r>
      <w:bookmarkEnd w:id="317"/>
    </w:p>
    <w:p w14:paraId="5674DFEF" w14:textId="77777777" w:rsidR="00D1544F" w:rsidRPr="002C21B8" w:rsidRDefault="00D1544F" w:rsidP="00D1544F">
      <w:r w:rsidRPr="002C21B8">
        <w:t>These are key areas where further research is required to address remaining uncertainties in how variation in tolvaptan prescribing arises across kidney centres and in its broader relevance to rare disease contexts.</w:t>
      </w:r>
    </w:p>
    <w:p w14:paraId="5CBFB468" w14:textId="77777777" w:rsidR="00D1544F" w:rsidRPr="002C21B8" w:rsidRDefault="00D1544F" w:rsidP="00D1544F">
      <w:pPr>
        <w:rPr>
          <w:b/>
          <w:bCs/>
        </w:rPr>
      </w:pPr>
      <w:r w:rsidRPr="002C21B8">
        <w:rPr>
          <w:b/>
          <w:bCs/>
        </w:rPr>
        <w:t>Priority 1: Evaluate interventions to reduce unwarranted variation in tolvaptan prescribing in APKPD</w:t>
      </w:r>
    </w:p>
    <w:p w14:paraId="75A87D95" w14:textId="7D0ED5B3" w:rsidR="00074075" w:rsidRPr="002C21B8" w:rsidRDefault="00D1544F" w:rsidP="00D1544F">
      <w:r w:rsidRPr="002C21B8">
        <w:t>There remains uncertainty about which interventions would be</w:t>
      </w:r>
      <w:r w:rsidR="00B64225" w:rsidRPr="002C21B8">
        <w:t xml:space="preserve"> </w:t>
      </w:r>
      <w:r w:rsidRPr="002C21B8">
        <w:t xml:space="preserve">effective in reducing unwarranted variation in tolvaptan prescribing across kidney centres. Future research should evaluate the impact of different approaches to standardising prescribing practice. Interventions could include </w:t>
      </w:r>
      <w:r w:rsidR="002A6BFD" w:rsidRPr="002C21B8">
        <w:t xml:space="preserve">introducing condition-specific clinic models and </w:t>
      </w:r>
      <w:r w:rsidRPr="002C21B8">
        <w:t xml:space="preserve">dedicated tolvaptan clinics, widespread involvement of pharmacists, or </w:t>
      </w:r>
      <w:r w:rsidR="00B64225" w:rsidRPr="002C21B8">
        <w:t xml:space="preserve">the </w:t>
      </w:r>
      <w:r w:rsidRPr="002C21B8">
        <w:t xml:space="preserve">use of decision-support tools. The potential impact of different interventions will be considered in the remaining part of the THIS </w:t>
      </w:r>
      <w:r w:rsidR="0053682D" w:rsidRPr="002C21B8">
        <w:t xml:space="preserve">Institute </w:t>
      </w:r>
      <w:r w:rsidRPr="002C21B8">
        <w:t>Fellowship</w:t>
      </w:r>
      <w:r w:rsidR="00D43C2B" w:rsidRPr="002C21B8">
        <w:t>,</w:t>
      </w:r>
      <w:r w:rsidRPr="002C21B8">
        <w:t xml:space="preserve"> with the combination of the survey and registry data used to identify the explanatory power of different factors affecting prescribing </w:t>
      </w:r>
      <w:r w:rsidR="004D0C0E" w:rsidRPr="002C21B8">
        <w:t xml:space="preserve">of </w:t>
      </w:r>
      <w:r w:rsidRPr="002C21B8">
        <w:t>tolvaptan in APKPD.</w:t>
      </w:r>
    </w:p>
    <w:p w14:paraId="5421A382" w14:textId="77777777" w:rsidR="00D1544F" w:rsidRPr="002C21B8" w:rsidRDefault="00D1544F" w:rsidP="00D1544F">
      <w:pPr>
        <w:rPr>
          <w:b/>
          <w:bCs/>
        </w:rPr>
      </w:pPr>
      <w:r w:rsidRPr="002C21B8">
        <w:rPr>
          <w:b/>
          <w:bCs/>
        </w:rPr>
        <w:t>Priority 2: Explore patient decision-making and determinants of tolvaptan uptake</w:t>
      </w:r>
    </w:p>
    <w:p w14:paraId="298AA22C" w14:textId="77777777" w:rsidR="00D1544F" w:rsidRPr="002C21B8" w:rsidRDefault="00D1544F" w:rsidP="00D1544F">
      <w:r w:rsidRPr="002C21B8">
        <w:t>This programme of research did not include patient perspectives. Future research is needed to examine patient decision-making using qualitative or mixed methods research. This could include experimental approaches, such as discrete choice experiments, to assess how information framing influences treatment preferences and uptake in the context of a rare disease.</w:t>
      </w:r>
    </w:p>
    <w:p w14:paraId="467C33B2" w14:textId="77777777" w:rsidR="00D1544F" w:rsidRPr="002C21B8" w:rsidRDefault="00D1544F" w:rsidP="00D1544F">
      <w:pPr>
        <w:rPr>
          <w:b/>
          <w:bCs/>
        </w:rPr>
      </w:pPr>
      <w:r w:rsidRPr="002C21B8">
        <w:rPr>
          <w:b/>
          <w:bCs/>
        </w:rPr>
        <w:t>Priority 3: Assess the transferability of identified prescribing variation mechanisms across other rare disease contexts</w:t>
      </w:r>
    </w:p>
    <w:p w14:paraId="25D818F8" w14:textId="3D292073" w:rsidR="00D1544F" w:rsidRPr="002C21B8" w:rsidRDefault="00D1544F" w:rsidP="00D1544F">
      <w:r w:rsidRPr="002C21B8">
        <w:t xml:space="preserve">Although rare diseases share many common challenges, it is not certain whether the mechanisms underlying variation in tolvaptan prescribing are specific to ADPKD or reflect broader patterns across other rare disease contexts. Understanding this is important as interventions developed to reduce unwarranted variation in tolvaptan prescribing practices could be implemented in other rare diseases. Future research should be undertaken in other rare disease settings using a similar approach to that outlined in this thesis. This would also support refinement of the conceptual model for prescribing </w:t>
      </w:r>
      <w:r w:rsidR="00D329CE" w:rsidRPr="002C21B8">
        <w:t>decision-making in</w:t>
      </w:r>
      <w:r w:rsidRPr="002C21B8">
        <w:t xml:space="preserve"> rare diseases developed in this thesis </w:t>
      </w:r>
      <w:r w:rsidR="004D0C0E" w:rsidRPr="002C21B8">
        <w:t xml:space="preserve">and </w:t>
      </w:r>
      <w:r w:rsidRPr="002C21B8">
        <w:t>improve its broader applicability.</w:t>
      </w:r>
    </w:p>
    <w:p w14:paraId="6E42ABBF" w14:textId="77777777" w:rsidR="00D1544F" w:rsidRPr="002C21B8" w:rsidRDefault="00D1544F" w:rsidP="00D1544F">
      <w:r w:rsidRPr="002C21B8">
        <w:t>Three candidate rare diseases have been identified to be particularly suitable for future research.</w:t>
      </w:r>
    </w:p>
    <w:p w14:paraId="0EC3AD6F" w14:textId="5DA92C13" w:rsidR="00D1544F" w:rsidRPr="002C21B8" w:rsidRDefault="00D1544F" w:rsidP="00A97F07">
      <w:pPr>
        <w:pStyle w:val="ListParagraph"/>
        <w:numPr>
          <w:ilvl w:val="0"/>
          <w:numId w:val="56"/>
        </w:numPr>
      </w:pPr>
      <w:r w:rsidRPr="002C21B8">
        <w:rPr>
          <w:b/>
          <w:bCs/>
        </w:rPr>
        <w:t xml:space="preserve">Cystic fibrosis </w:t>
      </w:r>
      <w:r w:rsidRPr="002C21B8">
        <w:t xml:space="preserve">would be a suitable condition to explore variation in prescribing for rare diseases further. It has a long-established registry of patient and centre-level data </w:t>
      </w:r>
      <w:r w:rsidRPr="002C21B8">
        <w:fldChar w:fldCharType="begin"/>
      </w:r>
      <w:r w:rsidRPr="002C21B8">
        <w:instrText xml:space="preserve"> ADDIN EN.CITE &lt;EndNote&gt;&lt;Cite&gt;&lt;Author&gt;Taylor-Robinson&lt;/Author&gt;&lt;Year&gt;2018&lt;/Year&gt;&lt;RecNum&gt;125485&lt;/RecNum&gt;&lt;DisplayText&gt;(Taylor-Robinson&lt;style face="italic"&gt; et al.&lt;/style&gt;, 2018)&lt;/DisplayText&gt;&lt;record&gt;&lt;rec-number&gt;125485&lt;/rec-number&gt;&lt;foreign-keys&gt;&lt;key app="EN" db-id="xpefzwa5hf9dt2ea9fax95x7xvxz90v09dtf" timestamp="1776592759"&gt;125485&lt;/key&gt;&lt;/foreign-keys&gt;&lt;ref-type name="Journal Article"&gt;17&lt;/ref-type&gt;&lt;contributors&gt;&lt;authors&gt;&lt;author&gt;Taylor-Robinson, David&lt;/author&gt;&lt;author&gt;Archangelidi, Olia&lt;/author&gt;&lt;author&gt;Carr, Siobhán B&lt;/author&gt;&lt;author&gt;Cosgriff, Rebecca&lt;/author&gt;&lt;author&gt;Gunn, Elaine&lt;/author&gt;&lt;author&gt;Keogh, Ruth H&lt;/author&gt;&lt;author&gt;MacDougall, Amy&lt;/author&gt;&lt;author&gt;Newsome, Simon&lt;/author&gt;&lt;author&gt;Schlüter, Daniela K&lt;/author&gt;&lt;author&gt;Stanojevic, Sanja&lt;/author&gt;&lt;/authors&gt;&lt;/contributors&gt;&lt;titles&gt;&lt;title&gt;Data resource profile: the UK cystic fibrosis registry&lt;/title&gt;&lt;secondary-title&gt;International Journal of Epidemiology&lt;/secondary-title&gt;&lt;/titles&gt;&lt;periodical&gt;&lt;full-title&gt;International Journal of Epidemiology&lt;/full-title&gt;&lt;/periodical&gt;&lt;pages&gt;9-10e&lt;/pages&gt;&lt;volume&gt;47&lt;/volume&gt;&lt;number&gt;1&lt;/number&gt;&lt;dates&gt;&lt;year&gt;2018&lt;/year&gt;&lt;/dates&gt;&lt;isbn&gt;0300-5771&lt;/isbn&gt;&lt;urls&gt;&lt;/urls&gt;&lt;/record&gt;&lt;/Cite&gt;&lt;/EndNote&gt;</w:instrText>
      </w:r>
      <w:r w:rsidRPr="002C21B8">
        <w:fldChar w:fldCharType="separate"/>
      </w:r>
      <w:r w:rsidRPr="002C21B8">
        <w:rPr>
          <w:noProof/>
        </w:rPr>
        <w:t>(Taylor-Robinson</w:t>
      </w:r>
      <w:r w:rsidRPr="002C21B8">
        <w:rPr>
          <w:i/>
          <w:noProof/>
        </w:rPr>
        <w:t xml:space="preserve"> et al.</w:t>
      </w:r>
      <w:r w:rsidRPr="002C21B8">
        <w:rPr>
          <w:noProof/>
        </w:rPr>
        <w:t>, 2018)</w:t>
      </w:r>
      <w:r w:rsidRPr="002C21B8">
        <w:fldChar w:fldCharType="end"/>
      </w:r>
      <w:r w:rsidRPr="002C21B8">
        <w:t xml:space="preserve">. It also has a strong tradition of health services research focused on treatment outcomes, service delivery and models of care </w:t>
      </w:r>
      <w:r w:rsidRPr="002C21B8">
        <w:fldChar w:fldCharType="begin"/>
      </w:r>
      <w:r w:rsidRPr="002C21B8">
        <w:instrText xml:space="preserve"> ADDIN EN.CITE &lt;EndNote&gt;&lt;Cite&gt;&lt;Author&gt;Southern&lt;/Author&gt;&lt;Year&gt;2023&lt;/Year&gt;&lt;RecNum&gt;125486&lt;/RecNum&gt;&lt;DisplayText&gt;(Southern&lt;style face="italic"&gt; et al.&lt;/style&gt;, 2023)&lt;/DisplayText&gt;&lt;record&gt;&lt;rec-number&gt;125486&lt;/rec-number&gt;&lt;foreign-keys&gt;&lt;key app="EN" db-id="xpefzwa5hf9dt2ea9fax95x7xvxz90v09dtf" timestamp="1776592847"&gt;125486&lt;/key&gt;&lt;/foreign-keys&gt;&lt;ref-type name="Journal Article"&gt;17&lt;/ref-type&gt;&lt;contributors&gt;&lt;authors&gt;&lt;author&gt;Southern, Kevin W&lt;/author&gt;&lt;author&gt;Castellani, Carlo&lt;/author&gt;&lt;author&gt;Lammertyn, Elise&lt;/author&gt;&lt;author&gt;Smyth, Alan&lt;/author&gt;&lt;author&gt;VanDevanter, Donald&lt;/author&gt;&lt;author&gt;van Koningsbruggen-Rietschel, Silke&lt;/author&gt;&lt;author&gt;Barben, Jürg&lt;/author&gt;&lt;author&gt;Bevan, Amanda&lt;/author&gt;&lt;author&gt;Brokaar, Edwin&lt;/author&gt;&lt;author&gt;Collins, Sarah&lt;/author&gt;&lt;/authors&gt;&lt;/contributors&gt;&lt;titles&gt;&lt;title&gt;Standards of care for CFTR variant-specific therapy (including modulators) for people with cystic fibrosis&lt;/title&gt;&lt;secondary-title&gt;Journal of Cystic Fibrosis&lt;/secondary-title&gt;&lt;/titles&gt;&lt;periodical&gt;&lt;full-title&gt;Journal of Cystic Fibrosis&lt;/full-title&gt;&lt;/periodical&gt;&lt;pages&gt;17-30&lt;/pages&gt;&lt;volume&gt;22&lt;/volume&gt;&lt;number&gt;1&lt;/number&gt;&lt;dates&gt;&lt;year&gt;2023&lt;/year&gt;&lt;/dates&gt;&lt;isbn&gt;1569-1993&lt;/isbn&gt;&lt;urls&gt;&lt;/urls&gt;&lt;/record&gt;&lt;/Cite&gt;&lt;/EndNote&gt;</w:instrText>
      </w:r>
      <w:r w:rsidRPr="002C21B8">
        <w:fldChar w:fldCharType="separate"/>
      </w:r>
      <w:r w:rsidRPr="002C21B8">
        <w:rPr>
          <w:noProof/>
        </w:rPr>
        <w:t>(Southern</w:t>
      </w:r>
      <w:r w:rsidRPr="002C21B8">
        <w:rPr>
          <w:i/>
          <w:noProof/>
        </w:rPr>
        <w:t xml:space="preserve"> et al.</w:t>
      </w:r>
      <w:r w:rsidRPr="002C21B8">
        <w:rPr>
          <w:noProof/>
        </w:rPr>
        <w:t>, 2023)</w:t>
      </w:r>
      <w:r w:rsidRPr="002C21B8">
        <w:fldChar w:fldCharType="end"/>
      </w:r>
      <w:r w:rsidRPr="002C21B8">
        <w:t>. Similar to ADPKD, it can be considered a more common rare disease so would be a useful comparator. Management is similarly delivered through a mixture of specialist and more general centres</w:t>
      </w:r>
      <w:r w:rsidR="00357720" w:rsidRPr="002C21B8">
        <w:t>.</w:t>
      </w:r>
      <w:r w:rsidR="004D0C0E" w:rsidRPr="002C21B8">
        <w:t xml:space="preserve"> </w:t>
      </w:r>
      <w:r w:rsidR="00357720" w:rsidRPr="002C21B8">
        <w:t>M</w:t>
      </w:r>
      <w:r w:rsidRPr="002C21B8">
        <w:t>ultiple approved disease-modifying therapies are available</w:t>
      </w:r>
      <w:r w:rsidR="004D0C0E" w:rsidRPr="002C21B8">
        <w:t xml:space="preserve"> with associated guidelines</w:t>
      </w:r>
      <w:r w:rsidR="00357720" w:rsidRPr="002C21B8">
        <w:t xml:space="preserve">, including </w:t>
      </w:r>
      <w:r w:rsidRPr="002C21B8">
        <w:t>cystic fibrosis transmembrane conductance regulator (CFTR) modulator</w:t>
      </w:r>
      <w:r w:rsidR="00893463" w:rsidRPr="002C21B8">
        <w:t xml:space="preserve">s </w:t>
      </w:r>
      <w:r w:rsidRPr="002C21B8">
        <w:t xml:space="preserve">and mucolytic agents such as deoxyribonuclease (DNAase) </w:t>
      </w:r>
      <w:r w:rsidRPr="002C21B8">
        <w:fldChar w:fldCharType="begin"/>
      </w:r>
      <w:r w:rsidR="002B4278" w:rsidRPr="002C21B8">
        <w:instrText xml:space="preserve"> ADDIN EN.CITE &lt;EndNote&gt;&lt;Cite&gt;&lt;Author&gt;Smyth&lt;/Author&gt;&lt;Year&gt;2014&lt;/Year&gt;&lt;RecNum&gt;125488&lt;/RecNum&gt;&lt;DisplayText&gt;(Smyth&lt;style face="italic"&gt; et al.&lt;/style&gt;, 2014; Villanueva&lt;style face="italic"&gt; et al.&lt;/style&gt;, 2017)&lt;/DisplayText&gt;&lt;record&gt;&lt;rec-number&gt;125488&lt;/rec-number&gt;&lt;foreign-keys&gt;&lt;key app="EN" db-id="xpefzwa5hf9dt2ea9fax95x7xvxz90v09dtf" timestamp="1776592947"&gt;125488&lt;/key&gt;&lt;/foreign-keys&gt;&lt;ref-type name="Journal Article"&gt;17&lt;/ref-type&gt;&lt;contributors&gt;&lt;authors&gt;&lt;author&gt;Smyth, Alan R&lt;/author&gt;&lt;author&gt;Bell, Scott C&lt;/author&gt;&lt;author&gt;Bojcin, Snezana&lt;/author&gt;&lt;author&gt;Bryon, Mandy&lt;/author&gt;&lt;author&gt;Duff, Alistair&lt;/author&gt;&lt;author&gt;Flume, Patrick&lt;/author&gt;&lt;author&gt;Kashirskaya, Nataliya&lt;/author&gt;&lt;author&gt;Munck, Anne&lt;/author&gt;&lt;author&gt;Ratjen, Felix&lt;/author&gt;&lt;author&gt;Schwarzenberg, Sarah Jane&lt;/author&gt;&lt;/authors&gt;&lt;/contributors&gt;&lt;titles&gt;&lt;title&gt;European cystic fibrosis society standards of care: best practice guidelines&lt;/title&gt;&lt;secondary-title&gt;Journal of Cystic Fibrosis&lt;/secondary-title&gt;&lt;/titles&gt;&lt;periodical&gt;&lt;full-title&gt;Journal of Cystic Fibrosis&lt;/full-title&gt;&lt;/periodical&gt;&lt;pages&gt;S23-S42&lt;/pages&gt;&lt;volume&gt;13&lt;/volume&gt;&lt;dates&gt;&lt;year&gt;2014&lt;/year&gt;&lt;/dates&gt;&lt;isbn&gt;1569-1993&lt;/isbn&gt;&lt;urls&gt;&lt;/urls&gt;&lt;/record&gt;&lt;/Cite&gt;&lt;Cite&gt;&lt;Author&gt;Villanueva&lt;/Author&gt;&lt;Year&gt;2017&lt;/Year&gt;&lt;RecNum&gt;125556&lt;/RecNum&gt;&lt;record&gt;&lt;rec-number&gt;125556&lt;/rec-number&gt;&lt;foreign-keys&gt;&lt;key app="EN" db-id="xpefzwa5hf9dt2ea9fax95x7xvxz90v09dtf" timestamp="1777906603"&gt;125556&lt;/key&gt;&lt;/foreign-keys&gt;&lt;ref-type name="Journal Article"&gt;17&lt;/ref-type&gt;&lt;contributors&gt;&lt;authors&gt;&lt;author&gt;Villanueva, Gemma&lt;/author&gt;&lt;author&gt;Marceniuk, Gemma&lt;/author&gt;&lt;author&gt;Murphy, M Stephen&lt;/author&gt;&lt;author&gt;Walshaw, Martin&lt;/author&gt;&lt;author&gt;Cosulich, Rami&lt;/author&gt;&lt;/authors&gt;&lt;/contributors&gt;&lt;titles&gt;&lt;title&gt;Diagnosis and management of cystic fibrosis: summary of NICE guidance&lt;/title&gt;&lt;secondary-title&gt;BMJ&lt;/secondary-title&gt;&lt;/titles&gt;&lt;periodical&gt;&lt;full-title&gt;BMJ&lt;/full-title&gt;&lt;/periodical&gt;&lt;pages&gt;j4574&lt;/pages&gt;&lt;volume&gt;359&lt;/volume&gt;&lt;dates&gt;&lt;year&gt;2017&lt;/year&gt;&lt;/dates&gt;&lt;isbn&gt;0959-8138&lt;/isbn&gt;&lt;urls&gt;&lt;/urls&gt;&lt;/record&gt;&lt;/Cite&gt;&lt;/EndNote&gt;</w:instrText>
      </w:r>
      <w:r w:rsidRPr="002C21B8">
        <w:fldChar w:fldCharType="separate"/>
      </w:r>
      <w:r w:rsidRPr="002C21B8">
        <w:rPr>
          <w:noProof/>
        </w:rPr>
        <w:t>(Smyth</w:t>
      </w:r>
      <w:r w:rsidRPr="002C21B8">
        <w:rPr>
          <w:i/>
          <w:noProof/>
        </w:rPr>
        <w:t xml:space="preserve"> et al.</w:t>
      </w:r>
      <w:r w:rsidRPr="002C21B8">
        <w:rPr>
          <w:noProof/>
        </w:rPr>
        <w:t>, 2014; Villanueva</w:t>
      </w:r>
      <w:r w:rsidRPr="002C21B8">
        <w:rPr>
          <w:i/>
          <w:noProof/>
        </w:rPr>
        <w:t xml:space="preserve"> et al.</w:t>
      </w:r>
      <w:r w:rsidRPr="002C21B8">
        <w:rPr>
          <w:noProof/>
        </w:rPr>
        <w:t>, 2017)</w:t>
      </w:r>
      <w:r w:rsidRPr="002C21B8">
        <w:fldChar w:fldCharType="end"/>
      </w:r>
      <w:r w:rsidRPr="002C21B8">
        <w:t xml:space="preserve">. Registry-level data has demonstrated that the use of DNase </w:t>
      </w:r>
      <w:r w:rsidR="00702F66" w:rsidRPr="002C21B8">
        <w:t>medication</w:t>
      </w:r>
      <w:r w:rsidR="00E051CB" w:rsidRPr="002C21B8">
        <w:t>s</w:t>
      </w:r>
      <w:r w:rsidRPr="002C21B8">
        <w:t xml:space="preserve"> varies across centres in the UK </w:t>
      </w:r>
      <w:r w:rsidRPr="002C21B8">
        <w:fldChar w:fldCharType="begin"/>
      </w:r>
      <w:r w:rsidRPr="002C21B8">
        <w:instrText xml:space="preserve"> ADDIN EN.CITE &lt;EndNote&gt;&lt;Cite&gt;&lt;Author&gt;Granger&lt;/Author&gt;&lt;Year&gt;2022&lt;/Year&gt;&lt;RecNum&gt;125487&lt;/RecNum&gt;&lt;DisplayText&gt;(Granger, Davies and Keogh, 2022)&lt;/DisplayText&gt;&lt;record&gt;&lt;rec-number&gt;125487&lt;/rec-number&gt;&lt;foreign-keys&gt;&lt;key app="EN" db-id="xpefzwa5hf9dt2ea9fax95x7xvxz90v09dtf" timestamp="1776592891"&gt;125487&lt;/key&gt;&lt;/foreign-keys&gt;&lt;ref-type name="Journal Article"&gt;17&lt;/ref-type&gt;&lt;contributors&gt;&lt;authors&gt;&lt;author&gt;Granger, Emily&lt;/author&gt;&lt;author&gt;Davies, Gwyneth&lt;/author&gt;&lt;author&gt;Keogh, Ruth H&lt;/author&gt;&lt;/authors&gt;&lt;/contributors&gt;&lt;titles&gt;&lt;title&gt;Treatment patterns in people with cystic fibrosis: have they changed since the introduction of ivacaftor?&lt;/title&gt;&lt;secondary-title&gt;Journal of Cystic Fibrosis&lt;/secondary-title&gt;&lt;/titles&gt;&lt;periodical&gt;&lt;full-title&gt;Journal of Cystic Fibrosis&lt;/full-title&gt;&lt;/periodical&gt;&lt;pages&gt;316-322&lt;/pages&gt;&lt;volume&gt;21&lt;/volume&gt;&lt;number&gt;2&lt;/number&gt;&lt;dates&gt;&lt;year&gt;2022&lt;/year&gt;&lt;/dates&gt;&lt;isbn&gt;1569-1993&lt;/isbn&gt;&lt;urls&gt;&lt;/urls&gt;&lt;/record&gt;&lt;/Cite&gt;&lt;/EndNote&gt;</w:instrText>
      </w:r>
      <w:r w:rsidRPr="002C21B8">
        <w:fldChar w:fldCharType="separate"/>
      </w:r>
      <w:r w:rsidRPr="002C21B8">
        <w:rPr>
          <w:noProof/>
        </w:rPr>
        <w:t>(Granger, Davies and Keogh, 2022)</w:t>
      </w:r>
      <w:r w:rsidRPr="002C21B8">
        <w:fldChar w:fldCharType="end"/>
      </w:r>
      <w:r w:rsidR="004D0C0E" w:rsidRPr="002C21B8">
        <w:t>,</w:t>
      </w:r>
      <w:r w:rsidRPr="002C21B8">
        <w:t xml:space="preserve"> which could be explored through a similar approach to that outlined in this thesis.</w:t>
      </w:r>
    </w:p>
    <w:p w14:paraId="03E13626" w14:textId="29573CA1" w:rsidR="00D1544F" w:rsidRPr="002C21B8" w:rsidRDefault="00D1544F" w:rsidP="00A97F07">
      <w:pPr>
        <w:pStyle w:val="ListParagraph"/>
        <w:numPr>
          <w:ilvl w:val="0"/>
          <w:numId w:val="56"/>
        </w:numPr>
      </w:pPr>
      <w:r w:rsidRPr="002C21B8">
        <w:rPr>
          <w:b/>
          <w:bCs/>
        </w:rPr>
        <w:t>Hereditary transthyretin amyloidosis</w:t>
      </w:r>
      <w:r w:rsidRPr="002C21B8">
        <w:t xml:space="preserve"> given the presence of multiple disease-modifying therapies (including tafamidis, patisiran and vutrisan) and the availability of a structured prognostic tool to guide treatment selection </w:t>
      </w:r>
      <w:r w:rsidRPr="002C21B8">
        <w:fldChar w:fldCharType="begin">
          <w:fldData xml:space="preserve">PEVuZE5vdGU+PENpdGU+PEF1dGhvcj5HaWxsbW9yZTwvQXV0aG9yPjxZZWFyPjIwMTg8L1llYXI+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</w:fldData>
        </w:fldChar>
      </w:r>
      <w:r w:rsidRPr="002C21B8">
        <w:instrText xml:space="preserve"> ADDIN EN.CITE </w:instrText>
      </w:r>
      <w:r w:rsidRPr="002C21B8">
        <w:fldChar w:fldCharType="begin">
          <w:fldData xml:space="preserve">PEVuZE5vdGU+PENpdGU+PEF1dGhvcj5HaWxsbW9yZTwvQXV0aG9yPjxZZWFyPjIwMTg8L1llYXI+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</w:fldData>
        </w:fldChar>
      </w:r>
      <w:r w:rsidRPr="002C21B8">
        <w:instrText xml:space="preserve"> ADDIN EN.CITE.DATA </w:instrText>
      </w:r>
      <w:r w:rsidRPr="002C21B8">
        <w:fldChar w:fldCharType="end"/>
      </w:r>
      <w:r w:rsidRPr="002C21B8">
        <w:fldChar w:fldCharType="separate"/>
      </w:r>
      <w:r w:rsidRPr="002C21B8">
        <w:rPr>
          <w:noProof/>
        </w:rPr>
        <w:t>(Ando</w:t>
      </w:r>
      <w:r w:rsidRPr="002C21B8">
        <w:rPr>
          <w:i/>
          <w:noProof/>
        </w:rPr>
        <w:t xml:space="preserve"> et al.</w:t>
      </w:r>
      <w:r w:rsidRPr="002C21B8">
        <w:rPr>
          <w:noProof/>
        </w:rPr>
        <w:t>, 2013; Gillmore</w:t>
      </w:r>
      <w:r w:rsidRPr="002C21B8">
        <w:rPr>
          <w:i/>
          <w:noProof/>
        </w:rPr>
        <w:t xml:space="preserve"> et al.</w:t>
      </w:r>
      <w:r w:rsidRPr="002C21B8">
        <w:rPr>
          <w:noProof/>
        </w:rPr>
        <w:t>, 2018; Wechalekar, Gillmore and Hawkins, 2016)</w:t>
      </w:r>
      <w:r w:rsidRPr="002C21B8">
        <w:fldChar w:fldCharType="end"/>
      </w:r>
      <w:r w:rsidRPr="002C21B8">
        <w:t>. Despite the availability of guidelines, variation has been reported in the use of disease-modifying therapies across centres and in the application of prognostic tools</w:t>
      </w:r>
      <w:r w:rsidR="00147720" w:rsidRPr="002C21B8">
        <w:t xml:space="preserve">. This </w:t>
      </w:r>
      <w:r w:rsidRPr="002C21B8">
        <w:t>suggest</w:t>
      </w:r>
      <w:r w:rsidR="00147720" w:rsidRPr="002C21B8">
        <w:t>s</w:t>
      </w:r>
      <w:r w:rsidRPr="002C21B8">
        <w:t xml:space="preserve"> potential inconsistency in implementation </w:t>
      </w:r>
      <w:r w:rsidR="00147720" w:rsidRPr="002C21B8">
        <w:t xml:space="preserve">of this rare disease </w:t>
      </w:r>
      <w:r w:rsidR="00454BE2" w:rsidRPr="002C21B8">
        <w:t>medication</w:t>
      </w:r>
      <w:r w:rsidR="00147720" w:rsidRPr="002C21B8">
        <w:t xml:space="preserve"> </w:t>
      </w:r>
      <w:r w:rsidRPr="002C21B8">
        <w:fldChar w:fldCharType="begin"/>
      </w:r>
      <w:r w:rsidR="00455B2B" w:rsidRPr="002C21B8">
        <w:instrText xml:space="preserve"> ADDIN EN.CITE &lt;EndNote&gt;&lt;Cite&gt;&lt;Author&gt;Lavall&lt;/Author&gt;&lt;Year&gt;2026&lt;/Year&gt;&lt;RecNum&gt;125491&lt;/RecNum&gt;&lt;DisplayText&gt;(Lavall&lt;style face="italic"&gt; et al.&lt;/style&gt;, 2026)&lt;/DisplayText&gt;&lt;record&gt;&lt;rec-number&gt;125491&lt;/rec-number&gt;&lt;foreign-keys&gt;&lt;key app="EN" db-id="xpefzwa5hf9dt2ea9fax95x7xvxz90v09dtf" timestamp="1776593291"&gt;125491&lt;/key&gt;&lt;/foreign-keys&gt;&lt;ref-type name="Journal Article"&gt;17&lt;/ref-type&gt;&lt;contributors&gt;&lt;authors&gt;&lt;author&gt;Lavall, Daniel&lt;/author&gt;&lt;author&gt;Knoll, Katharina&lt;/author&gt;&lt;author&gt;Spethmann, Sebastian&lt;/author&gt;&lt;author&gt;Hahn, Katrin&lt;/author&gt;&lt;author&gt;Barzen, Gina&lt;/author&gt;&lt;author&gt;Winzer, Ephraim B&lt;/author&gt;&lt;author&gt;Jellinghaus, Stefanie&lt;/author&gt;&lt;author&gt;Schöner, Lisa K&lt;/author&gt;&lt;author&gt;Tröbs, Monique&lt;/author&gt;&lt;author&gt;Kauffmann, Dominik&lt;/author&gt;&lt;/authors&gt;&lt;/contributors&gt;&lt;titles&gt;&lt;title&gt;Current treatment decisions in cardiac transthyretin amyloidosis: a multicentre analysis&lt;/title&gt;&lt;secondary-title&gt;Clinical Research in Cardiology&lt;/secondary-title&gt;&lt;/titles&gt;&lt;periodical&gt;&lt;full-title&gt;Clinical Research in Cardiology&lt;/full-title&gt;&lt;/periodical&gt;&lt;pages&gt;1-13&lt;/pages&gt;&lt;volume&gt;115&lt;/volume&gt;&lt;number&gt;5&lt;/number&gt;&lt;dates&gt;&lt;year&gt;2026&lt;/year&gt;&lt;/dates&gt;&lt;isbn&gt;1861-0684&lt;/isbn&gt;&lt;urls&gt;&lt;/urls&gt;&lt;/record&gt;&lt;/Cite&gt;&lt;/EndNote&gt;</w:instrText>
      </w:r>
      <w:r w:rsidRPr="002C21B8">
        <w:fldChar w:fldCharType="separate"/>
      </w:r>
      <w:r w:rsidRPr="002C21B8">
        <w:rPr>
          <w:noProof/>
        </w:rPr>
        <w:t>(Lavall</w:t>
      </w:r>
      <w:r w:rsidRPr="002C21B8">
        <w:rPr>
          <w:i/>
          <w:noProof/>
        </w:rPr>
        <w:t xml:space="preserve"> et al.</w:t>
      </w:r>
      <w:r w:rsidRPr="002C21B8">
        <w:rPr>
          <w:noProof/>
        </w:rPr>
        <w:t>, 2026)</w:t>
      </w:r>
      <w:r w:rsidRPr="002C21B8">
        <w:fldChar w:fldCharType="end"/>
      </w:r>
      <w:r w:rsidRPr="002C21B8">
        <w:t>.</w:t>
      </w:r>
    </w:p>
    <w:p w14:paraId="72D56F58" w14:textId="7E79C55D" w:rsidR="00D1544F" w:rsidRPr="002C21B8" w:rsidRDefault="00D1544F" w:rsidP="00A97F07">
      <w:pPr>
        <w:pStyle w:val="ListParagraph"/>
        <w:numPr>
          <w:ilvl w:val="0"/>
          <w:numId w:val="56"/>
        </w:numPr>
      </w:pPr>
      <w:r w:rsidRPr="002C21B8">
        <w:rPr>
          <w:b/>
          <w:bCs/>
        </w:rPr>
        <w:t xml:space="preserve">Spinal muscular atrophy </w:t>
      </w:r>
      <w:r w:rsidRPr="002C21B8">
        <w:t xml:space="preserve">given the availability of disease-modifying therapies such as nusinersen. Similarly to ADPKD, </w:t>
      </w:r>
      <w:r w:rsidR="00F64FF5" w:rsidRPr="002C21B8">
        <w:t xml:space="preserve">eligibility for these </w:t>
      </w:r>
      <w:r w:rsidR="00F22B19" w:rsidRPr="002C21B8">
        <w:t>medication</w:t>
      </w:r>
      <w:r w:rsidR="00F64FF5" w:rsidRPr="002C21B8">
        <w:t xml:space="preserve">s </w:t>
      </w:r>
      <w:r w:rsidRPr="002C21B8">
        <w:t xml:space="preserve">is not a simple binary decision and </w:t>
      </w:r>
      <w:r w:rsidR="00F64FF5" w:rsidRPr="002C21B8">
        <w:t>requires</w:t>
      </w:r>
      <w:r w:rsidRPr="002C21B8">
        <w:t xml:space="preserve"> clinical judgement</w:t>
      </w:r>
      <w:r w:rsidR="00147720" w:rsidRPr="002C21B8">
        <w:t xml:space="preserve">. Clinicians must consider </w:t>
      </w:r>
      <w:r w:rsidRPr="002C21B8">
        <w:t xml:space="preserve">functional status, severity of symptoms and technical feasibility of administration </w:t>
      </w:r>
      <w:r w:rsidRPr="002C21B8">
        <w:fldChar w:fldCharType="begin"/>
      </w:r>
      <w:r w:rsidRPr="002C21B8">
        <w:instrText xml:space="preserve"> ADDIN EN.CITE &lt;EndNote&gt;&lt;Cite&gt;&lt;Author&gt;National Institute for Health and Care Excellence&lt;/Author&gt;&lt;Year&gt;2019&lt;/Year&gt;&lt;RecNum&gt;125495&lt;/RecNum&gt;&lt;DisplayText&gt;(National Institute for Health and Care Excellence, 2019)&lt;/DisplayText&gt;&lt;record&gt;&lt;rec-number&gt;125495&lt;/rec-number&gt;&lt;foreign-keys&gt;&lt;key app="EN" db-id="xpefzwa5hf9dt2ea9fax95x7xvxz90v09dtf" timestamp="1776593682"&gt;125495&lt;/key&gt;&lt;/foreign-keys&gt;&lt;ref-type name="Web Page"&gt;12&lt;/ref-type&gt;&lt;contributors&gt;&lt;authors&gt;&lt;author&gt;National Institute for Health and Care Excellence,&lt;/author&gt;&lt;/authors&gt;&lt;/contributors&gt;&lt;titles&gt;&lt;title&gt;Nusinersen for treating spinal muscular atrophy&lt;/title&gt;&lt;/titles&gt;&lt;number&gt;19/04/2026)&lt;/number&gt;&lt;dates&gt;&lt;year&gt;2019&lt;/year&gt;&lt;/dates&gt;&lt;urls&gt;&lt;related-urls&gt;&lt;url&gt;https://www.nice.org.uk/guidance/ta588&lt;/url&gt;&lt;/related-urls&gt;&lt;/urls&gt;&lt;/record&gt;&lt;/Cite&gt;&lt;/EndNote&gt;</w:instrText>
      </w:r>
      <w:r w:rsidRPr="002C21B8">
        <w:fldChar w:fldCharType="separate"/>
      </w:r>
      <w:r w:rsidRPr="002C21B8">
        <w:rPr>
          <w:noProof/>
        </w:rPr>
        <w:t>(National Institute for Health and Care Excellence, 2019)</w:t>
      </w:r>
      <w:r w:rsidRPr="002C21B8">
        <w:fldChar w:fldCharType="end"/>
      </w:r>
      <w:r w:rsidRPr="002C21B8">
        <w:t xml:space="preserve">. These characteristics may explain variation in treatment initiation observed between centres but requires further exploration </w:t>
      </w:r>
      <w:r w:rsidRPr="002C21B8">
        <w:fldChar w:fldCharType="begin"/>
      </w:r>
      <w:r w:rsidR="005D7DBC" w:rsidRPr="002C21B8">
        <w:instrText xml:space="preserve"> ADDIN EN.CITE &lt;EndNote&gt;&lt;Cite&gt;&lt;Author&gt;Pechmann&lt;/Author&gt;&lt;Year&gt;2019&lt;/Year&gt;&lt;RecNum&gt;125493&lt;/RecNum&gt;&lt;DisplayText&gt;(Okamoto, 2026; Pechmann&lt;style face="italic"&gt; et al.&lt;/style&gt;, 2019)&lt;/DisplayText&gt;&lt;record&gt;&lt;rec-number&gt;125493&lt;/rec-number&gt;&lt;foreign-keys&gt;&lt;key app="EN" db-id="xpefzwa5hf9dt2ea9fax95x7xvxz90v09dtf" timestamp="1776593513"&gt;125493&lt;/key&gt;&lt;/foreign-keys&gt;&lt;ref-type name="Journal Article"&gt;17&lt;/ref-type&gt;&lt;contributors&gt;&lt;authors&gt;&lt;author&gt;Pechmann, Astrid&lt;/author&gt;&lt;author&gt;König, Kirsten&lt;/author&gt;&lt;author&gt;Bernert, Günther&lt;/author&gt;&lt;author&gt;Schachtrup, Kristina&lt;/author&gt;&lt;author&gt;Schara, Ulrike&lt;/author&gt;&lt;author&gt;Schorling, David&lt;/author&gt;&lt;author&gt;Schwersenz, Inge&lt;/author&gt;&lt;author&gt;Stein, Sabine&lt;/author&gt;&lt;author&gt;Tassoni, Adrian&lt;/author&gt;&lt;author&gt;Vogt, Sibylle&lt;/author&gt;&lt;/authors&gt;&lt;/contributors&gt;&lt;titles&gt;&lt;title&gt;SMArtCARE-A platform to collect real-life outcome data of patients with spinal muscular atrophy&lt;/title&gt;&lt;secondary-title&gt;Orphanet journal of rare diseases&lt;/secondary-title&gt;&lt;/titles&gt;&lt;periodical&gt;&lt;full-title&gt;Orphanet Journal of Rare Diseases&lt;/full-title&gt;&lt;/periodical&gt;&lt;pages&gt;18&lt;/pages&gt;&lt;volume&gt;14&lt;/volume&gt;&lt;number&gt;1&lt;/number&gt;&lt;dates&gt;&lt;year&gt;2019&lt;/year&gt;&lt;/dates&gt;&lt;isbn&gt;1750-1172&lt;/isbn&gt;&lt;urls&gt;&lt;/urls&gt;&lt;/record&gt;&lt;/Cite&gt;&lt;Cite&gt;&lt;Author&gt;Okamoto&lt;/Author&gt;&lt;Year&gt;2026&lt;/Year&gt;&lt;RecNum&gt;125494&lt;/RecNum&gt;&lt;record&gt;&lt;rec-number&gt;125494&lt;/rec-number&gt;&lt;foreign-keys&gt;&lt;key app="EN" db-id="xpefzwa5hf9dt2ea9fax95x7xvxz90v09dtf" timestamp="1776593588"&gt;125494&lt;/key&gt;&lt;/foreign-keys&gt;&lt;ref-type name="Journal Article"&gt;17&lt;/ref-type&gt;&lt;contributors&gt;&lt;authors&gt;&lt;author&gt;Okamoto, Kentaro&lt;/author&gt;&lt;/authors&gt;&lt;/contributors&gt;&lt;titles&gt;&lt;title&gt;Real-world treatment dynamics in spinal muscular atrophy: what the SMArtCARE registry renders visible&lt;/title&gt;&lt;secondary-title&gt;Brain&lt;/secondary-title&gt;&lt;/titles&gt;&lt;periodical&gt;&lt;full-title&gt;Brain&lt;/full-title&gt;&lt;/periodical&gt;&lt;pages&gt;701-703&lt;/pages&gt;&lt;volume&gt;149&lt;/volume&gt;&lt;number&gt;3&lt;/number&gt;&lt;dates&gt;&lt;year&gt;2026&lt;/year&gt;&lt;/dates&gt;&lt;isbn&gt;0006-8950&lt;/isbn&gt;&lt;urls&gt;&lt;/urls&gt;&lt;/record&gt;&lt;/Cite&gt;&lt;/EndNote&gt;</w:instrText>
      </w:r>
      <w:r w:rsidRPr="002C21B8">
        <w:fldChar w:fldCharType="separate"/>
      </w:r>
      <w:r w:rsidRPr="002C21B8">
        <w:rPr>
          <w:noProof/>
        </w:rPr>
        <w:t>(Okamoto, 2026; Pechmann</w:t>
      </w:r>
      <w:r w:rsidRPr="002C21B8">
        <w:rPr>
          <w:i/>
          <w:noProof/>
        </w:rPr>
        <w:t xml:space="preserve"> et al.</w:t>
      </w:r>
      <w:r w:rsidRPr="002C21B8">
        <w:rPr>
          <w:noProof/>
        </w:rPr>
        <w:t>, 2019)</w:t>
      </w:r>
      <w:r w:rsidRPr="002C21B8">
        <w:fldChar w:fldCharType="end"/>
      </w:r>
      <w:r w:rsidRPr="002C21B8">
        <w:t>.</w:t>
      </w:r>
    </w:p>
    <w:p w14:paraId="01F9099F" w14:textId="3CD9BF59" w:rsidR="00FB2B92" w:rsidRPr="002C21B8" w:rsidRDefault="00D70922" w:rsidP="00581663">
      <w:pPr>
        <w:pStyle w:val="Heading2"/>
      </w:pPr>
      <w:bookmarkStart w:id="318" w:name="_Toc227870757"/>
      <w:bookmarkStart w:id="319" w:name="_Toc227870851"/>
      <w:bookmarkStart w:id="320" w:name="_Toc227871470"/>
      <w:bookmarkStart w:id="321" w:name="_Toc227875626"/>
      <w:bookmarkStart w:id="322" w:name="_Toc227875707"/>
      <w:bookmarkStart w:id="323" w:name="_Toc227875788"/>
      <w:bookmarkStart w:id="324" w:name="_Toc227876367"/>
      <w:bookmarkStart w:id="325" w:name="_Toc227876537"/>
      <w:bookmarkStart w:id="326" w:name="_Toc227876837"/>
      <w:bookmarkStart w:id="327" w:name="_Toc227877256"/>
      <w:bookmarkStart w:id="328" w:name="_Toc227911188"/>
      <w:bookmarkStart w:id="329" w:name="_Toc227912639"/>
      <w:bookmarkStart w:id="330" w:name="_Toc227912725"/>
      <w:bookmarkStart w:id="331" w:name="_Toc227922961"/>
      <w:bookmarkStart w:id="332" w:name="_Toc227923047"/>
      <w:bookmarkStart w:id="333" w:name="_Toc227923134"/>
      <w:bookmarkStart w:id="334" w:name="_Toc227923218"/>
      <w:bookmarkStart w:id="335" w:name="_Toc227923302"/>
      <w:bookmarkStart w:id="336" w:name="_Toc227936243"/>
      <w:bookmarkStart w:id="337" w:name="_Toc227936440"/>
      <w:bookmarkStart w:id="338" w:name="_Toc227994513"/>
      <w:bookmarkStart w:id="339" w:name="_Toc228000887"/>
      <w:bookmarkStart w:id="340" w:name="_Toc227831439"/>
      <w:bookmarkStart w:id="341" w:name="_Toc227870181"/>
      <w:bookmarkStart w:id="342" w:name="_Toc227870278"/>
      <w:bookmarkStart w:id="343" w:name="_Toc227870758"/>
      <w:bookmarkStart w:id="344" w:name="_Toc227870852"/>
      <w:bookmarkStart w:id="345" w:name="_Toc227871471"/>
      <w:bookmarkStart w:id="346" w:name="_Toc227875627"/>
      <w:bookmarkStart w:id="347" w:name="_Toc227875708"/>
      <w:bookmarkStart w:id="348" w:name="_Toc227875789"/>
      <w:bookmarkStart w:id="349" w:name="_Toc227876368"/>
      <w:bookmarkStart w:id="350" w:name="_Toc227876538"/>
      <w:bookmarkStart w:id="351" w:name="_Toc227876838"/>
      <w:bookmarkStart w:id="352" w:name="_Toc227877257"/>
      <w:bookmarkStart w:id="353" w:name="_Toc227911189"/>
      <w:bookmarkStart w:id="354" w:name="_Toc227912640"/>
      <w:bookmarkStart w:id="355" w:name="_Toc227912726"/>
      <w:bookmarkStart w:id="356" w:name="_Toc227922962"/>
      <w:bookmarkStart w:id="357" w:name="_Toc227923048"/>
      <w:bookmarkStart w:id="358" w:name="_Toc227923135"/>
      <w:bookmarkStart w:id="359" w:name="_Toc227923219"/>
      <w:bookmarkStart w:id="360" w:name="_Toc227923303"/>
      <w:bookmarkStart w:id="361" w:name="_Toc227936244"/>
      <w:bookmarkStart w:id="362" w:name="_Toc227936441"/>
      <w:bookmarkStart w:id="363" w:name="_Toc227994514"/>
      <w:bookmarkStart w:id="364" w:name="_Toc228000888"/>
      <w:bookmarkStart w:id="365" w:name="_Toc227831440"/>
      <w:bookmarkStart w:id="366" w:name="_Toc227870182"/>
      <w:bookmarkStart w:id="367" w:name="_Toc227870279"/>
      <w:bookmarkStart w:id="368" w:name="_Toc227870759"/>
      <w:bookmarkStart w:id="369" w:name="_Toc227870853"/>
      <w:bookmarkStart w:id="370" w:name="_Toc227871472"/>
      <w:bookmarkStart w:id="371" w:name="_Toc227875628"/>
      <w:bookmarkStart w:id="372" w:name="_Toc227875709"/>
      <w:bookmarkStart w:id="373" w:name="_Toc227875790"/>
      <w:bookmarkStart w:id="374" w:name="_Toc227876369"/>
      <w:bookmarkStart w:id="375" w:name="_Toc227876539"/>
      <w:bookmarkStart w:id="376" w:name="_Toc227876839"/>
      <w:bookmarkStart w:id="377" w:name="_Toc227877258"/>
      <w:bookmarkStart w:id="378" w:name="_Toc227911190"/>
      <w:bookmarkStart w:id="379" w:name="_Toc227912641"/>
      <w:bookmarkStart w:id="380" w:name="_Toc227912727"/>
      <w:bookmarkStart w:id="381" w:name="_Toc227922963"/>
      <w:bookmarkStart w:id="382" w:name="_Toc227923049"/>
      <w:bookmarkStart w:id="383" w:name="_Toc227923136"/>
      <w:bookmarkStart w:id="384" w:name="_Toc227923220"/>
      <w:bookmarkStart w:id="385" w:name="_Toc227923304"/>
      <w:bookmarkStart w:id="386" w:name="_Toc227936245"/>
      <w:bookmarkStart w:id="387" w:name="_Toc227936442"/>
      <w:bookmarkStart w:id="388" w:name="_Toc227994515"/>
      <w:bookmarkStart w:id="389" w:name="_Toc228000889"/>
      <w:bookmarkStart w:id="390" w:name="_Toc227831441"/>
      <w:bookmarkStart w:id="391" w:name="_Toc227870183"/>
      <w:bookmarkStart w:id="392" w:name="_Toc227870280"/>
      <w:bookmarkStart w:id="393" w:name="_Toc227870760"/>
      <w:bookmarkStart w:id="394" w:name="_Toc227870854"/>
      <w:bookmarkStart w:id="395" w:name="_Toc227871473"/>
      <w:bookmarkStart w:id="396" w:name="_Toc227875629"/>
      <w:bookmarkStart w:id="397" w:name="_Toc227875710"/>
      <w:bookmarkStart w:id="398" w:name="_Toc227875791"/>
      <w:bookmarkStart w:id="399" w:name="_Toc227876370"/>
      <w:bookmarkStart w:id="400" w:name="_Toc227876540"/>
      <w:bookmarkStart w:id="401" w:name="_Toc227876840"/>
      <w:bookmarkStart w:id="402" w:name="_Toc227877259"/>
      <w:bookmarkStart w:id="403" w:name="_Toc227911191"/>
      <w:bookmarkStart w:id="404" w:name="_Toc227912642"/>
      <w:bookmarkStart w:id="405" w:name="_Toc227912728"/>
      <w:bookmarkStart w:id="406" w:name="_Toc227922964"/>
      <w:bookmarkStart w:id="407" w:name="_Toc227923050"/>
      <w:bookmarkStart w:id="408" w:name="_Toc227923137"/>
      <w:bookmarkStart w:id="409" w:name="_Toc227923221"/>
      <w:bookmarkStart w:id="410" w:name="_Toc227923305"/>
      <w:bookmarkStart w:id="411" w:name="_Toc227936246"/>
      <w:bookmarkStart w:id="412" w:name="_Toc227936443"/>
      <w:bookmarkStart w:id="413" w:name="_Toc227994516"/>
      <w:bookmarkStart w:id="414" w:name="_Toc228000890"/>
      <w:bookmarkStart w:id="415" w:name="_Toc229687250"/>
      <w:bookmarkStart w:id="416" w:name="OLE_LINK7"/>
      <w:bookmarkStart w:id="417" w:name="OLE_LINK8"/>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2C21B8">
        <w:t>Conclusion</w:t>
      </w:r>
      <w:r w:rsidR="00792F42" w:rsidRPr="002C21B8">
        <w:t>s</w:t>
      </w:r>
      <w:bookmarkEnd w:id="415"/>
    </w:p>
    <w:p w14:paraId="5D502C97" w14:textId="75117096" w:rsidR="0095044D" w:rsidRPr="002C21B8" w:rsidRDefault="0095044D" w:rsidP="0095044D">
      <w:bookmarkStart w:id="418" w:name="OLE_LINK1"/>
      <w:bookmarkStart w:id="419" w:name="OLE_LINK2"/>
      <w:r w:rsidRPr="002C21B8">
        <w:t>Variation in tolvaptan prescribing for ADPKD between UK kidney centres appears to be influenced by differences in service configuration, clinical leadership and local interpretation of eligibility criteria. This suggests that both system and clinician-level factors may shape prescribing decision-making in rare diseases and contribute to variation in practice.</w:t>
      </w:r>
    </w:p>
    <w:p w14:paraId="2A4FE0CA" w14:textId="7A332093" w:rsidR="00401A07" w:rsidRPr="002C21B8" w:rsidRDefault="007B4194" w:rsidP="00B15C1C">
      <w:r w:rsidRPr="002C21B8">
        <w:t>This thesis addressed its aims</w:t>
      </w:r>
      <w:r w:rsidR="00B15C1C" w:rsidRPr="002C21B8">
        <w:t xml:space="preserve"> through a mixed methods approach. It </w:t>
      </w:r>
      <w:r w:rsidRPr="002C21B8">
        <w:t>quantif</w:t>
      </w:r>
      <w:r w:rsidR="00B15C1C" w:rsidRPr="002C21B8">
        <w:t>ied</w:t>
      </w:r>
      <w:r w:rsidRPr="002C21B8">
        <w:t xml:space="preserve"> variation in tolvaptan prescribing across UK kidney centres</w:t>
      </w:r>
      <w:r w:rsidR="0095044D" w:rsidRPr="002C21B8">
        <w:t>,</w:t>
      </w:r>
      <w:r w:rsidRPr="002C21B8">
        <w:t xml:space="preserve"> examin</w:t>
      </w:r>
      <w:r w:rsidR="00B15C1C" w:rsidRPr="002C21B8">
        <w:t>ed</w:t>
      </w:r>
      <w:r w:rsidRPr="002C21B8">
        <w:t xml:space="preserve"> differences in</w:t>
      </w:r>
      <w:r w:rsidR="007A5662" w:rsidRPr="002C21B8">
        <w:t xml:space="preserve"> the</w:t>
      </w:r>
      <w:r w:rsidRPr="002C21B8">
        <w:t xml:space="preserve"> implementation of tolvaptan care pathways</w:t>
      </w:r>
      <w:r w:rsidR="0095044D" w:rsidRPr="002C21B8">
        <w:t>, and demonstrated the relevance of these findings to kidney centres across the UK</w:t>
      </w:r>
      <w:r w:rsidR="007A5662" w:rsidRPr="002C21B8">
        <w:t>. It also</w:t>
      </w:r>
      <w:r w:rsidRPr="002C21B8">
        <w:t xml:space="preserve"> identif</w:t>
      </w:r>
      <w:r w:rsidR="00B15C1C" w:rsidRPr="002C21B8">
        <w:t>ied</w:t>
      </w:r>
      <w:r w:rsidRPr="002C21B8">
        <w:t xml:space="preserve"> factors influencing prescribing decisions for tolvaptan</w:t>
      </w:r>
      <w:r w:rsidR="007A5662" w:rsidRPr="002C21B8">
        <w:t xml:space="preserve">, </w:t>
      </w:r>
      <w:r w:rsidRPr="002C21B8">
        <w:t>and develop</w:t>
      </w:r>
      <w:r w:rsidR="00B15C1C" w:rsidRPr="002C21B8">
        <w:t>ed</w:t>
      </w:r>
      <w:r w:rsidRPr="002C21B8">
        <w:t xml:space="preserve"> conceptual models of prescribing decision-making for both chronic conditions and rare disease</w:t>
      </w:r>
      <w:r w:rsidR="00DD42D6" w:rsidRPr="002C21B8">
        <w:t>s</w:t>
      </w:r>
      <w:r w:rsidRPr="002C21B8">
        <w:t>.</w:t>
      </w:r>
    </w:p>
    <w:p w14:paraId="3880F746" w14:textId="5ECED560" w:rsidR="003E0DC0" w:rsidRPr="002C21B8" w:rsidRDefault="003E0DC0" w:rsidP="00B15C1C">
      <w:pPr>
        <w:sectPr w:rsidR="003E0DC0" w:rsidRPr="002C21B8" w:rsidSect="0009672F">
          <w:headerReference w:type="default" r:id="rId71"/>
          <w:type w:val="continuous"/>
          <w:pgSz w:w="11906" w:h="16838"/>
          <w:pgMar w:top="1440" w:right="1440" w:bottom="1440" w:left="1440" w:header="708" w:footer="708" w:gutter="0"/>
          <w:cols w:space="708"/>
          <w:docGrid w:linePitch="360"/>
        </w:sectPr>
      </w:pPr>
      <w:bookmarkStart w:id="420" w:name="OLE_LINK9"/>
      <w:bookmarkStart w:id="421" w:name="OLE_LINK10"/>
      <w:r w:rsidRPr="002C21B8">
        <w:t>Overall, the findings suggest that efforts to reduce variation in tolvaptan prescribing may require interventions outside of the dissemination of guidelines. Instead</w:t>
      </w:r>
      <w:r w:rsidR="00F8307A" w:rsidRPr="002C21B8">
        <w:t>,</w:t>
      </w:r>
      <w:r w:rsidRPr="002C21B8">
        <w:t xml:space="preserve"> </w:t>
      </w:r>
      <w:r w:rsidR="00BB4E43" w:rsidRPr="002C21B8">
        <w:t xml:space="preserve">attention should be given to </w:t>
      </w:r>
      <w:r w:rsidRPr="002C21B8">
        <w:t>service design, leadership</w:t>
      </w:r>
      <w:r w:rsidR="009576BC" w:rsidRPr="002C21B8">
        <w:t xml:space="preserve"> structures</w:t>
      </w:r>
      <w:r w:rsidRPr="002C21B8">
        <w:t xml:space="preserve"> and support for consistent interpretation and implementation of </w:t>
      </w:r>
      <w:r w:rsidR="00BB4E43" w:rsidRPr="002C21B8">
        <w:t>eligibility</w:t>
      </w:r>
      <w:r w:rsidRPr="002C21B8">
        <w:t xml:space="preserve"> criteria</w:t>
      </w:r>
      <w:r w:rsidR="00F94C03" w:rsidRPr="002C21B8">
        <w:t xml:space="preserve">, which may </w:t>
      </w:r>
      <w:r w:rsidRPr="002C21B8">
        <w:t>reduce unwarranted variation between kidney centres.</w:t>
      </w:r>
    </w:p>
    <w:p w14:paraId="666486BA" w14:textId="4E8BF773" w:rsidR="000E44F5" w:rsidRPr="002C21B8" w:rsidRDefault="009738C7" w:rsidP="006D368C">
      <w:pPr>
        <w:pStyle w:val="Heading1"/>
        <w:numPr>
          <w:ilvl w:val="0"/>
          <w:numId w:val="0"/>
        </w:numPr>
        <w:ind w:left="1"/>
      </w:pPr>
      <w:bookmarkStart w:id="422" w:name="_Toc229687251"/>
      <w:bookmarkEnd w:id="416"/>
      <w:bookmarkEnd w:id="417"/>
      <w:bookmarkEnd w:id="418"/>
      <w:bookmarkEnd w:id="419"/>
      <w:bookmarkEnd w:id="420"/>
      <w:bookmarkEnd w:id="421"/>
      <w:r w:rsidRPr="002C21B8">
        <w:t>References</w:t>
      </w:r>
      <w:bookmarkEnd w:id="422"/>
    </w:p>
    <w:p w14:paraId="298E47C0" w14:textId="77777777" w:rsidR="00C95F82" w:rsidRPr="00C95F82" w:rsidRDefault="009738C7" w:rsidP="00C95F82">
      <w:pPr>
        <w:pStyle w:val="EndNoteBibliography"/>
        <w:spacing w:after="240"/>
        <w:rPr>
          <w:noProof/>
        </w:rPr>
      </w:pPr>
      <w:r w:rsidRPr="002C21B8">
        <w:fldChar w:fldCharType="begin"/>
      </w:r>
      <w:r w:rsidRPr="002C21B8">
        <w:instrText xml:space="preserve"> ADDIN EN.REFLIST </w:instrText>
      </w:r>
      <w:r w:rsidRPr="002C21B8">
        <w:fldChar w:fldCharType="separate"/>
      </w:r>
      <w:r w:rsidR="00C95F82" w:rsidRPr="00C95F82">
        <w:rPr>
          <w:noProof/>
        </w:rPr>
        <w:t>Aartsma-Rus, A., Furlong, P., Vroom, E., van Ommen, G.-J., Niks, E., Straathof, C., Verschuuren, J., Ferlini, A. and Hagger, L. (2011) 'The risks of therapeutic misconception and individual patient (n= 1)“trials” in rare diseases such as Duchenne dystrophy', 21(1), pp. 13-15.</w:t>
      </w:r>
    </w:p>
    <w:p w14:paraId="4DEE933D" w14:textId="77777777" w:rsidR="00C95F82" w:rsidRPr="00C95F82" w:rsidRDefault="00C95F82" w:rsidP="00C95F82">
      <w:pPr>
        <w:pStyle w:val="EndNoteBibliography"/>
        <w:spacing w:after="240"/>
        <w:rPr>
          <w:noProof/>
        </w:rPr>
      </w:pPr>
      <w:r w:rsidRPr="00C95F82">
        <w:rPr>
          <w:noProof/>
        </w:rPr>
        <w:t xml:space="preserve">Abdelkader, N., Awaisu, A., Elewa, H. and El Hajj, M. S. (2023) 'Prescribing patterns of antihypertensive medications: a systematic review of literature between 2010 and 2020', </w:t>
      </w:r>
      <w:r w:rsidRPr="00C95F82">
        <w:rPr>
          <w:i/>
          <w:noProof/>
        </w:rPr>
        <w:t>Exploratory Research in Clinical and Social Pharmacy</w:t>
      </w:r>
      <w:r w:rsidRPr="00C95F82">
        <w:rPr>
          <w:noProof/>
        </w:rPr>
        <w:t>, pp. 100315.</w:t>
      </w:r>
    </w:p>
    <w:p w14:paraId="35B06182" w14:textId="13663859" w:rsidR="00C95F82" w:rsidRPr="00C95F82" w:rsidRDefault="00C95F82" w:rsidP="00C95F82">
      <w:pPr>
        <w:pStyle w:val="EndNoteBibliography"/>
        <w:spacing w:after="240"/>
        <w:rPr>
          <w:noProof/>
        </w:rPr>
      </w:pPr>
      <w:r w:rsidRPr="00C95F82">
        <w:rPr>
          <w:noProof/>
        </w:rPr>
        <w:t xml:space="preserve">Academy of Medical Specialities (2023) </w:t>
      </w:r>
      <w:r w:rsidRPr="00C95F82">
        <w:rPr>
          <w:i/>
          <w:noProof/>
        </w:rPr>
        <w:t>General practice and secondary care: Working better together</w:t>
      </w:r>
      <w:r w:rsidRPr="00C95F82">
        <w:rPr>
          <w:noProof/>
        </w:rPr>
        <w:t xml:space="preserve">. Available at: </w:t>
      </w:r>
      <w:hyperlink r:id="rId72" w:history="1">
        <w:r w:rsidRPr="00C95F82">
          <w:rPr>
            <w:rStyle w:val="Hyperlink"/>
            <w:noProof/>
          </w:rPr>
          <w:t>https://www.aomrc.org.uk/wp-content/uploads/2023/05/GPSC_Working_better_together_0323.pdf</w:t>
        </w:r>
      </w:hyperlink>
      <w:r w:rsidRPr="00C95F82">
        <w:rPr>
          <w:noProof/>
        </w:rPr>
        <w:t xml:space="preserve"> (Accessed: 09/09/2024).</w:t>
      </w:r>
    </w:p>
    <w:p w14:paraId="55F45605" w14:textId="1214094B" w:rsidR="00C95F82" w:rsidRPr="00C95F82" w:rsidRDefault="00C95F82" w:rsidP="00C95F82">
      <w:pPr>
        <w:pStyle w:val="EndNoteBibliography"/>
        <w:spacing w:after="240"/>
        <w:rPr>
          <w:noProof/>
        </w:rPr>
      </w:pPr>
      <w:r w:rsidRPr="00C95F82">
        <w:rPr>
          <w:noProof/>
        </w:rPr>
        <w:t xml:space="preserve">Advisory Committee for Progressive Kidney Diseases (2014) </w:t>
      </w:r>
      <w:r w:rsidRPr="00C95F82">
        <w:rPr>
          <w:i/>
          <w:noProof/>
        </w:rPr>
        <w:t>Evidence-Based Clinical Practice Guidelines for Polycystic Kidney Disease</w:t>
      </w:r>
      <w:r w:rsidRPr="00C95F82">
        <w:rPr>
          <w:noProof/>
        </w:rPr>
        <w:t xml:space="preserve">. Available at: </w:t>
      </w:r>
      <w:hyperlink r:id="rId73" w:history="1">
        <w:r w:rsidRPr="00C95F82">
          <w:rPr>
            <w:rStyle w:val="Hyperlink"/>
            <w:noProof/>
          </w:rPr>
          <w:t>https://jsn.or.jp/en/guideline/pdf/PKD_eng.pdf</w:t>
        </w:r>
      </w:hyperlink>
      <w:r w:rsidRPr="00C95F82">
        <w:rPr>
          <w:noProof/>
        </w:rPr>
        <w:t xml:space="preserve"> (Accessed: 28/04/2026).</w:t>
      </w:r>
    </w:p>
    <w:p w14:paraId="6B7756ED" w14:textId="77777777" w:rsidR="00C95F82" w:rsidRPr="00C95F82" w:rsidRDefault="00C95F82" w:rsidP="00C95F82">
      <w:pPr>
        <w:pStyle w:val="EndNoteBibliography"/>
        <w:spacing w:after="240"/>
        <w:rPr>
          <w:noProof/>
        </w:rPr>
      </w:pPr>
      <w:r w:rsidRPr="00C95F82">
        <w:rPr>
          <w:noProof/>
        </w:rPr>
        <w:t xml:space="preserve">Ahmed, S. K. (2024) 'The pillars of trustworthiness in qualitative research', </w:t>
      </w:r>
      <w:r w:rsidRPr="00C95F82">
        <w:rPr>
          <w:i/>
          <w:noProof/>
        </w:rPr>
        <w:t>Journal of Medicine, Surgery, and Public Health,</w:t>
      </w:r>
      <w:r w:rsidRPr="00C95F82">
        <w:rPr>
          <w:noProof/>
        </w:rPr>
        <w:t xml:space="preserve"> 2, pp. 100051.</w:t>
      </w:r>
    </w:p>
    <w:p w14:paraId="5064C50D" w14:textId="77777777" w:rsidR="00C95F82" w:rsidRPr="00C95F82" w:rsidRDefault="00C95F82" w:rsidP="00C95F82">
      <w:pPr>
        <w:pStyle w:val="EndNoteBibliography"/>
        <w:spacing w:after="240"/>
        <w:rPr>
          <w:noProof/>
        </w:rPr>
      </w:pPr>
      <w:r w:rsidRPr="00C95F82">
        <w:rPr>
          <w:noProof/>
        </w:rPr>
        <w:t xml:space="preserve">Alaba, M. J. (2025) </w:t>
      </w:r>
      <w:r w:rsidRPr="00C95F82">
        <w:rPr>
          <w:i/>
          <w:noProof/>
        </w:rPr>
        <w:t>Pharmacist contribution in rare diseases.</w:t>
      </w:r>
      <w:r w:rsidRPr="00C95F82">
        <w:rPr>
          <w:noProof/>
        </w:rPr>
        <w:t xml:space="preserve"> PhD, University of Malta.</w:t>
      </w:r>
    </w:p>
    <w:p w14:paraId="5E4651B6" w14:textId="77777777" w:rsidR="00C95F82" w:rsidRPr="00C95F82" w:rsidRDefault="00C95F82" w:rsidP="00C95F82">
      <w:pPr>
        <w:pStyle w:val="EndNoteBibliography"/>
        <w:spacing w:after="240"/>
        <w:rPr>
          <w:noProof/>
        </w:rPr>
      </w:pPr>
      <w:r w:rsidRPr="00C95F82">
        <w:rPr>
          <w:noProof/>
        </w:rPr>
        <w:t xml:space="preserve">Alan, S., Shen, C., Landsittel, D. P., Grantham, J. J., Cook, L. T., Torres, V. E., Chapman, A. B., Bae, K. T., Mrug, M. and Harris, P. C. (2019) 'Long-term trajectory of kidney function in autosomal-dominant polycystic kidney disease', </w:t>
      </w:r>
      <w:r w:rsidRPr="00C95F82">
        <w:rPr>
          <w:i/>
          <w:noProof/>
        </w:rPr>
        <w:t>Kidney International,</w:t>
      </w:r>
      <w:r w:rsidRPr="00C95F82">
        <w:rPr>
          <w:noProof/>
        </w:rPr>
        <w:t xml:space="preserve"> 95(5), pp. 1253-1261.</w:t>
      </w:r>
    </w:p>
    <w:p w14:paraId="60876705" w14:textId="77777777" w:rsidR="00C95F82" w:rsidRPr="00C95F82" w:rsidRDefault="00C95F82" w:rsidP="00C95F82">
      <w:pPr>
        <w:pStyle w:val="EndNoteBibliography"/>
        <w:spacing w:after="240"/>
        <w:rPr>
          <w:noProof/>
        </w:rPr>
      </w:pPr>
      <w:r w:rsidRPr="00C95F82">
        <w:rPr>
          <w:noProof/>
        </w:rPr>
        <w:t xml:space="preserve">Alghamdi, S. S. A., Hodson, K., Deslandes, P., Gillespie, D., Haines, K., Hulme, E., Courtenay, M. and Deslandes, R. (2020) 'Prescribing trends over time by non-medical independent prescribers in primary care settings across Wales (2011–2018): a secondary database analysis', </w:t>
      </w:r>
      <w:r w:rsidRPr="00C95F82">
        <w:rPr>
          <w:i/>
          <w:noProof/>
        </w:rPr>
        <w:t>BMJ Open,</w:t>
      </w:r>
      <w:r w:rsidRPr="00C95F82">
        <w:rPr>
          <w:noProof/>
        </w:rPr>
        <w:t xml:space="preserve"> 10(10), pp. e036379.</w:t>
      </w:r>
    </w:p>
    <w:p w14:paraId="101E7C13" w14:textId="77777777" w:rsidR="00C95F82" w:rsidRPr="00C95F82" w:rsidRDefault="00C95F82" w:rsidP="00C95F82">
      <w:pPr>
        <w:pStyle w:val="EndNoteBibliography"/>
        <w:spacing w:after="240"/>
        <w:rPr>
          <w:noProof/>
        </w:rPr>
      </w:pPr>
      <w:r w:rsidRPr="00C95F82">
        <w:rPr>
          <w:noProof/>
        </w:rPr>
        <w:t xml:space="preserve">Almutairi, A., Coyer, F., Keogh, S. and Hughes, J. (2025) 'Factors influencing pain management in patients presenting to the emergency department: A mixed-method systematic review', </w:t>
      </w:r>
      <w:r w:rsidRPr="00C95F82">
        <w:rPr>
          <w:i/>
          <w:noProof/>
        </w:rPr>
        <w:t>International Journal of Nursing Studies,</w:t>
      </w:r>
      <w:r w:rsidRPr="00C95F82">
        <w:rPr>
          <w:noProof/>
        </w:rPr>
        <w:t xml:space="preserve"> 172, pp. 105214.</w:t>
      </w:r>
    </w:p>
    <w:p w14:paraId="6FCE411B" w14:textId="77777777" w:rsidR="00C95F82" w:rsidRPr="00C95F82" w:rsidRDefault="00C95F82" w:rsidP="00C95F82">
      <w:pPr>
        <w:pStyle w:val="EndNoteBibliography"/>
        <w:spacing w:after="240"/>
        <w:rPr>
          <w:noProof/>
        </w:rPr>
      </w:pPr>
      <w:r w:rsidRPr="00C95F82">
        <w:rPr>
          <w:noProof/>
        </w:rPr>
        <w:t xml:space="preserve">Alpers, D. H., Lewis, J. H., Hunt, C. M., Freston, J. W., Torres, V. E., Li, H., Wang, W., Hoke, M. E., Roth, S. E. and Westcott-Baker, L. (2023) 'Clinical pattern of tolvaptan-associated liver injury in trial participants with autosomal dominant polycystic kidney disease (ADPKD): an analysis of pivotal clinical trials', </w:t>
      </w:r>
      <w:r w:rsidRPr="00C95F82">
        <w:rPr>
          <w:i/>
          <w:noProof/>
        </w:rPr>
        <w:t>American Journal of Kidney Diseases,</w:t>
      </w:r>
      <w:r w:rsidRPr="00C95F82">
        <w:rPr>
          <w:noProof/>
        </w:rPr>
        <w:t xml:space="preserve"> 81(3), pp. 281-293. e1.</w:t>
      </w:r>
    </w:p>
    <w:p w14:paraId="1459B046" w14:textId="77777777" w:rsidR="00C95F82" w:rsidRPr="00C95F82" w:rsidRDefault="00C95F82" w:rsidP="00C95F82">
      <w:pPr>
        <w:pStyle w:val="EndNoteBibliography"/>
        <w:spacing w:after="240"/>
        <w:rPr>
          <w:noProof/>
        </w:rPr>
      </w:pPr>
      <w:r w:rsidRPr="00C95F82">
        <w:rPr>
          <w:noProof/>
        </w:rPr>
        <w:t xml:space="preserve">Alum, E. U., Ekpang Ii, J. E., Ekpang, P. O., Ainebyoona, C., Nwagu, K. E., Nwuruku, O. A. and Muhammad, K. (2025) 'Toward an ethical future for orphan drugs: balancing access, affordability, and innovation', </w:t>
      </w:r>
      <w:r w:rsidRPr="00C95F82">
        <w:rPr>
          <w:i/>
          <w:noProof/>
        </w:rPr>
        <w:t>Journal of Medical Economics,</w:t>
      </w:r>
      <w:r w:rsidRPr="00C95F82">
        <w:rPr>
          <w:noProof/>
        </w:rPr>
        <w:t xml:space="preserve"> 28(1), pp. 1869-1886.</w:t>
      </w:r>
    </w:p>
    <w:p w14:paraId="129C3B3C" w14:textId="77777777" w:rsidR="00C95F82" w:rsidRPr="00C95F82" w:rsidRDefault="00C95F82" w:rsidP="00C95F82">
      <w:pPr>
        <w:pStyle w:val="EndNoteBibliography"/>
        <w:spacing w:after="240"/>
        <w:rPr>
          <w:noProof/>
        </w:rPr>
      </w:pPr>
      <w:r w:rsidRPr="00C95F82">
        <w:rPr>
          <w:noProof/>
        </w:rPr>
        <w:t xml:space="preserve">Alvesson, M. and Sköldberg, K. (2017) </w:t>
      </w:r>
      <w:r w:rsidRPr="00C95F82">
        <w:rPr>
          <w:i/>
          <w:noProof/>
        </w:rPr>
        <w:t>Reflexive methodology: New vistas for qualitative research.</w:t>
      </w:r>
      <w:r w:rsidRPr="00C95F82">
        <w:rPr>
          <w:noProof/>
        </w:rPr>
        <w:t xml:space="preserve"> London, UK: SAGE Publications Ltd, p. 1-216.</w:t>
      </w:r>
    </w:p>
    <w:p w14:paraId="24EABE6C" w14:textId="77777777" w:rsidR="00C95F82" w:rsidRPr="00C95F82" w:rsidRDefault="00C95F82" w:rsidP="00C95F82">
      <w:pPr>
        <w:pStyle w:val="EndNoteBibliography"/>
        <w:spacing w:after="240"/>
        <w:rPr>
          <w:noProof/>
        </w:rPr>
      </w:pPr>
      <w:r w:rsidRPr="00C95F82">
        <w:rPr>
          <w:noProof/>
        </w:rPr>
        <w:t xml:space="preserve">Ameli, J. (2015) 'Communicable diseases and outbreak control', </w:t>
      </w:r>
      <w:r w:rsidRPr="00C95F82">
        <w:rPr>
          <w:i/>
          <w:noProof/>
        </w:rPr>
        <w:t>Turkish Journal of Emergency Medicine,</w:t>
      </w:r>
      <w:r w:rsidRPr="00C95F82">
        <w:rPr>
          <w:noProof/>
        </w:rPr>
        <w:t xml:space="preserve"> 15, pp. 20-26.</w:t>
      </w:r>
    </w:p>
    <w:p w14:paraId="3A205873" w14:textId="77777777" w:rsidR="00C95F82" w:rsidRPr="00C95F82" w:rsidRDefault="00C95F82" w:rsidP="00C95F82">
      <w:pPr>
        <w:pStyle w:val="EndNoteBibliography"/>
        <w:spacing w:after="240"/>
        <w:rPr>
          <w:noProof/>
        </w:rPr>
      </w:pPr>
      <w:r w:rsidRPr="00C95F82">
        <w:rPr>
          <w:noProof/>
        </w:rPr>
        <w:t xml:space="preserve">Andersen, M., Kragstrup, J. and Søndergaard, J. (2006) 'How conducting a clinical trial affects physicians' guideline adherence and drug preferences', </w:t>
      </w:r>
      <w:r w:rsidRPr="00C95F82">
        <w:rPr>
          <w:i/>
          <w:noProof/>
        </w:rPr>
        <w:t>JAMA,</w:t>
      </w:r>
      <w:r w:rsidRPr="00C95F82">
        <w:rPr>
          <w:noProof/>
        </w:rPr>
        <w:t xml:space="preserve"> 295(23), pp. 2759-2764.</w:t>
      </w:r>
    </w:p>
    <w:p w14:paraId="14D2E302" w14:textId="77777777" w:rsidR="00C95F82" w:rsidRPr="00C95F82" w:rsidRDefault="00C95F82" w:rsidP="00C95F82">
      <w:pPr>
        <w:pStyle w:val="EndNoteBibliography"/>
        <w:spacing w:after="240"/>
        <w:rPr>
          <w:noProof/>
        </w:rPr>
      </w:pPr>
      <w:r w:rsidRPr="00C95F82">
        <w:rPr>
          <w:noProof/>
        </w:rPr>
        <w:t xml:space="preserve">Andersen, T. F. and Mooney, G. (1990) </w:t>
      </w:r>
      <w:r w:rsidRPr="00C95F82">
        <w:rPr>
          <w:i/>
          <w:noProof/>
        </w:rPr>
        <w:t>The Challenges of Medical Practice Variations.</w:t>
      </w:r>
      <w:r w:rsidRPr="00C95F82">
        <w:rPr>
          <w:noProof/>
        </w:rPr>
        <w:t xml:space="preserve"> London, UK: The MacMillan Press.</w:t>
      </w:r>
    </w:p>
    <w:p w14:paraId="7950B02E" w14:textId="77777777" w:rsidR="00C95F82" w:rsidRPr="00C95F82" w:rsidRDefault="00C95F82" w:rsidP="00C95F82">
      <w:pPr>
        <w:pStyle w:val="EndNoteBibliography"/>
        <w:spacing w:after="240"/>
        <w:rPr>
          <w:noProof/>
        </w:rPr>
      </w:pPr>
      <w:r w:rsidRPr="00C95F82">
        <w:rPr>
          <w:noProof/>
        </w:rPr>
        <w:t xml:space="preserve">Ando, Y., Coelho, T., Berk, J. L., Cruz, M. W., Ericzon, B.-G., Ikeda, S.-i., Lewis, W. D., Obici, L., Planté-Bordeneuve, V. and Rapezzi, C. (2013) 'Guideline of transthyretin-related hereditary amyloidosis for clinicians', </w:t>
      </w:r>
      <w:r w:rsidRPr="00C95F82">
        <w:rPr>
          <w:i/>
          <w:noProof/>
        </w:rPr>
        <w:t>Orphanet Journal of Rare Diseases,</w:t>
      </w:r>
      <w:r w:rsidRPr="00C95F82">
        <w:rPr>
          <w:noProof/>
        </w:rPr>
        <w:t xml:space="preserve"> 8(1), pp. 31.</w:t>
      </w:r>
    </w:p>
    <w:p w14:paraId="49B29FE9" w14:textId="77777777" w:rsidR="00C95F82" w:rsidRPr="00C95F82" w:rsidRDefault="00C95F82" w:rsidP="00C95F82">
      <w:pPr>
        <w:pStyle w:val="EndNoteBibliography"/>
        <w:spacing w:after="240"/>
        <w:rPr>
          <w:noProof/>
        </w:rPr>
      </w:pPr>
      <w:r w:rsidRPr="00C95F82">
        <w:rPr>
          <w:noProof/>
        </w:rPr>
        <w:t xml:space="preserve">Andreozzi, F., Candido, R., Corrao, S., Fornengo, R., Giancaterini, A., Ponzani, P., Ponziani, M., Tuccinardi, F. and Mannino, D. (2020) 'Clinical inertia is the enemy of therapeutic success in the management of diabetes and its complications: a narrative literature review', </w:t>
      </w:r>
      <w:r w:rsidRPr="00C95F82">
        <w:rPr>
          <w:i/>
          <w:noProof/>
        </w:rPr>
        <w:t>Diabetology &amp; Metabolic Syndrome,</w:t>
      </w:r>
      <w:r w:rsidRPr="00C95F82">
        <w:rPr>
          <w:noProof/>
        </w:rPr>
        <w:t xml:space="preserve"> 12, pp. 1-11.</w:t>
      </w:r>
    </w:p>
    <w:p w14:paraId="736C6C99" w14:textId="77777777" w:rsidR="00C95F82" w:rsidRPr="00C95F82" w:rsidRDefault="00C95F82" w:rsidP="00C95F82">
      <w:pPr>
        <w:pStyle w:val="EndNoteBibliography"/>
        <w:spacing w:after="240"/>
        <w:rPr>
          <w:noProof/>
        </w:rPr>
      </w:pPr>
      <w:r w:rsidRPr="00C95F82">
        <w:rPr>
          <w:noProof/>
        </w:rPr>
        <w:t xml:space="preserve">Archer, M., Sharp, R., Stones, R. and Woodiwiss, T. (1999) 'Critical realism and research methodology', </w:t>
      </w:r>
      <w:r w:rsidRPr="00C95F82">
        <w:rPr>
          <w:i/>
          <w:noProof/>
        </w:rPr>
        <w:t>Alethia,</w:t>
      </w:r>
      <w:r w:rsidRPr="00C95F82">
        <w:rPr>
          <w:noProof/>
        </w:rPr>
        <w:t xml:space="preserve"> 2(1), pp. 12-16.</w:t>
      </w:r>
    </w:p>
    <w:p w14:paraId="5F5441D5" w14:textId="77777777" w:rsidR="00C95F82" w:rsidRPr="00C95F82" w:rsidRDefault="00C95F82" w:rsidP="00C95F82">
      <w:pPr>
        <w:pStyle w:val="EndNoteBibliography"/>
        <w:spacing w:after="240"/>
        <w:rPr>
          <w:noProof/>
        </w:rPr>
      </w:pPr>
      <w:r w:rsidRPr="00C95F82">
        <w:rPr>
          <w:noProof/>
        </w:rPr>
        <w:t xml:space="preserve">Armengol, V. D., Darras, B. T., Abulaban, A. A., Alshehri, A., Barisic, N., Ben-Omran, T., Bernert, G., Castiglioni, C., Chien, Y.-H. and Farrar, M. A. (2024) 'Life-saving treatments for spinal muscular atrophy: global access and availability', </w:t>
      </w:r>
      <w:r w:rsidRPr="00C95F82">
        <w:rPr>
          <w:i/>
          <w:noProof/>
        </w:rPr>
        <w:t>Neurology: Clinical Practice,</w:t>
      </w:r>
      <w:r w:rsidRPr="00C95F82">
        <w:rPr>
          <w:noProof/>
        </w:rPr>
        <w:t xml:space="preserve"> 14(1), pp. e200224.</w:t>
      </w:r>
    </w:p>
    <w:p w14:paraId="698E6B82" w14:textId="77777777" w:rsidR="00C95F82" w:rsidRPr="00C95F82" w:rsidRDefault="00C95F82" w:rsidP="00C95F82">
      <w:pPr>
        <w:pStyle w:val="EndNoteBibliography"/>
        <w:spacing w:after="240"/>
        <w:rPr>
          <w:noProof/>
        </w:rPr>
      </w:pPr>
      <w:r w:rsidRPr="00C95F82">
        <w:rPr>
          <w:noProof/>
        </w:rPr>
        <w:t xml:space="preserve">Arshad, V., Samad, Z., Das, J., Almas, A., Rashid, N., Virani, S. S., Bloomfield, G. S., Jafar, T. H. and Ahmed, B. (2021) 'Prescribing patterns of antihypertensive medications in low-and middle-income countries: a systematic review', </w:t>
      </w:r>
      <w:r w:rsidRPr="00C95F82">
        <w:rPr>
          <w:i/>
          <w:noProof/>
        </w:rPr>
        <w:t>Asia Pacific Journal of Public Health,</w:t>
      </w:r>
      <w:r w:rsidRPr="00C95F82">
        <w:rPr>
          <w:noProof/>
        </w:rPr>
        <w:t xml:space="preserve"> 33(1), pp. 14-22.</w:t>
      </w:r>
    </w:p>
    <w:p w14:paraId="679B5975" w14:textId="77777777" w:rsidR="00C95F82" w:rsidRPr="00C95F82" w:rsidRDefault="00C95F82" w:rsidP="00C95F82">
      <w:pPr>
        <w:pStyle w:val="EndNoteBibliography"/>
        <w:spacing w:after="240"/>
        <w:rPr>
          <w:noProof/>
        </w:rPr>
      </w:pPr>
      <w:r w:rsidRPr="00C95F82">
        <w:rPr>
          <w:noProof/>
        </w:rPr>
        <w:t xml:space="preserve">Assal, J. P. (1999) 'Revisiting the approach to treatment of long-term illness: from the acute to the chronic state. A need for educational and managerial skills for long-term follow-up', </w:t>
      </w:r>
      <w:r w:rsidRPr="00C95F82">
        <w:rPr>
          <w:i/>
          <w:noProof/>
        </w:rPr>
        <w:t>Patient Education and Counseling,</w:t>
      </w:r>
      <w:r w:rsidRPr="00C95F82">
        <w:rPr>
          <w:noProof/>
        </w:rPr>
        <w:t xml:space="preserve"> 37(2), pp. 99-111.</w:t>
      </w:r>
    </w:p>
    <w:p w14:paraId="0C86331B" w14:textId="77777777" w:rsidR="00C95F82" w:rsidRPr="00C95F82" w:rsidRDefault="00C95F82" w:rsidP="00C95F82">
      <w:pPr>
        <w:pStyle w:val="EndNoteBibliography"/>
        <w:spacing w:after="240"/>
        <w:rPr>
          <w:noProof/>
        </w:rPr>
      </w:pPr>
      <w:r w:rsidRPr="00C95F82">
        <w:rPr>
          <w:noProof/>
        </w:rPr>
        <w:t xml:space="preserve">Atsma, F., Elwyn, G. and Westert, G. (2020) 'Understanding unwarranted variation in clinical practice: a focus on network effects, reflective medicine and learning health systems', </w:t>
      </w:r>
      <w:r w:rsidRPr="00C95F82">
        <w:rPr>
          <w:i/>
          <w:noProof/>
        </w:rPr>
        <w:t>International Journal for Quality in Health Care,</w:t>
      </w:r>
      <w:r w:rsidRPr="00C95F82">
        <w:rPr>
          <w:noProof/>
        </w:rPr>
        <w:t xml:space="preserve"> 32(4), pp. 271-274.</w:t>
      </w:r>
    </w:p>
    <w:p w14:paraId="1BE596C4" w14:textId="77777777" w:rsidR="00C95F82" w:rsidRPr="00C95F82" w:rsidRDefault="00C95F82" w:rsidP="00C95F82">
      <w:pPr>
        <w:pStyle w:val="EndNoteBibliography"/>
        <w:spacing w:after="240"/>
        <w:rPr>
          <w:noProof/>
        </w:rPr>
      </w:pPr>
      <w:r w:rsidRPr="00C95F82">
        <w:rPr>
          <w:noProof/>
        </w:rPr>
        <w:t xml:space="preserve">Aujoulat, I., Jacquemin, P., Rietzschel, E., Scheen, A., Tréfois, P., Wens, J., Darras, E. and Hermans, M. P. (2014) 'Factors associated with clinical inertia: an integrative review', </w:t>
      </w:r>
      <w:r w:rsidRPr="00C95F82">
        <w:rPr>
          <w:i/>
          <w:noProof/>
        </w:rPr>
        <w:t>Advances in Medical Education and Practice,</w:t>
      </w:r>
      <w:r w:rsidRPr="00C95F82">
        <w:rPr>
          <w:noProof/>
        </w:rPr>
        <w:t xml:space="preserve"> 5, pp. 141-147.</w:t>
      </w:r>
    </w:p>
    <w:p w14:paraId="66FEDA55" w14:textId="1F433C8B" w:rsidR="00C95F82" w:rsidRPr="00C95F82" w:rsidRDefault="00C95F82" w:rsidP="00C95F82">
      <w:pPr>
        <w:pStyle w:val="EndNoteBibliography"/>
        <w:spacing w:after="240"/>
        <w:rPr>
          <w:noProof/>
        </w:rPr>
      </w:pPr>
      <w:r w:rsidRPr="00C95F82">
        <w:rPr>
          <w:noProof/>
        </w:rPr>
        <w:t xml:space="preserve">Australian Government (2022) </w:t>
      </w:r>
      <w:r w:rsidRPr="00C95F82">
        <w:rPr>
          <w:i/>
          <w:noProof/>
        </w:rPr>
        <w:t>What we’re doing about rare diseases</w:t>
      </w:r>
      <w:r w:rsidRPr="00C95F82">
        <w:rPr>
          <w:noProof/>
        </w:rPr>
        <w:t xml:space="preserve">. Available at: </w:t>
      </w:r>
      <w:hyperlink r:id="rId74" w:history="1">
        <w:r w:rsidRPr="00C95F82">
          <w:rPr>
            <w:rStyle w:val="Hyperlink"/>
            <w:noProof/>
          </w:rPr>
          <w:t>https://www.health.gov.au/topics/chronic-conditions/what-were-doing-about-chronic-conditions/what-were-doing-about-rare-diseases</w:t>
        </w:r>
      </w:hyperlink>
      <w:r w:rsidRPr="00C95F82">
        <w:rPr>
          <w:noProof/>
        </w:rPr>
        <w:t xml:space="preserve"> (Accessed: 03/04/2024).</w:t>
      </w:r>
    </w:p>
    <w:p w14:paraId="2033E286" w14:textId="40786F65" w:rsidR="00C95F82" w:rsidRPr="00C95F82" w:rsidRDefault="00C95F82" w:rsidP="00C95F82">
      <w:pPr>
        <w:pStyle w:val="EndNoteBibliography"/>
        <w:spacing w:after="240"/>
        <w:rPr>
          <w:noProof/>
        </w:rPr>
      </w:pPr>
      <w:r w:rsidRPr="00C95F82">
        <w:rPr>
          <w:noProof/>
        </w:rPr>
        <w:t xml:space="preserve">Australian Government (2023) </w:t>
      </w:r>
      <w:r w:rsidRPr="00C95F82">
        <w:rPr>
          <w:i/>
          <w:noProof/>
        </w:rPr>
        <w:t>Prevalence of chronic conditions</w:t>
      </w:r>
      <w:r w:rsidRPr="00C95F82">
        <w:rPr>
          <w:noProof/>
        </w:rPr>
        <w:t xml:space="preserve">. Available at: </w:t>
      </w:r>
      <w:hyperlink r:id="rId75" w:history="1">
        <w:r w:rsidRPr="00C95F82">
          <w:rPr>
            <w:rStyle w:val="Hyperlink"/>
            <w:noProof/>
          </w:rPr>
          <w:t>https://treasury.gov.au/policy-topics/measuring-what-matters/dashboard/prevalence-chronic-conditions</w:t>
        </w:r>
      </w:hyperlink>
      <w:r w:rsidRPr="00C95F82">
        <w:rPr>
          <w:noProof/>
        </w:rPr>
        <w:t xml:space="preserve"> (Accessed: 05/02/2024).</w:t>
      </w:r>
    </w:p>
    <w:p w14:paraId="7C7C3B1C" w14:textId="77777777" w:rsidR="00C95F82" w:rsidRPr="00C95F82" w:rsidRDefault="00C95F82" w:rsidP="00C95F82">
      <w:pPr>
        <w:pStyle w:val="EndNoteBibliography"/>
        <w:spacing w:after="240"/>
        <w:rPr>
          <w:noProof/>
        </w:rPr>
      </w:pPr>
      <w:r w:rsidRPr="00C95F82">
        <w:rPr>
          <w:noProof/>
        </w:rPr>
        <w:t xml:space="preserve">Babac, A., von Friedrichs, V., Litzkendorf, S., Zeidler, J., Damm, K. and Graf von der Schulenburg, J.-M. (2019) 'Integrating patient perspectives in medical decision-making: a qualitative interview study examining potentials within the rare disease information exchange process in practice', </w:t>
      </w:r>
      <w:r w:rsidRPr="00C95F82">
        <w:rPr>
          <w:i/>
          <w:noProof/>
        </w:rPr>
        <w:t>BMC Medical Informatics and Decision Making,</w:t>
      </w:r>
      <w:r w:rsidRPr="00C95F82">
        <w:rPr>
          <w:noProof/>
        </w:rPr>
        <w:t xml:space="preserve"> 19(1), pp. 188.</w:t>
      </w:r>
    </w:p>
    <w:p w14:paraId="71BFF266" w14:textId="77777777" w:rsidR="00C95F82" w:rsidRPr="00C95F82" w:rsidRDefault="00C95F82" w:rsidP="00C95F82">
      <w:pPr>
        <w:pStyle w:val="EndNoteBibliography"/>
        <w:spacing w:after="240"/>
        <w:rPr>
          <w:noProof/>
        </w:rPr>
      </w:pPr>
      <w:r w:rsidRPr="00C95F82">
        <w:rPr>
          <w:noProof/>
        </w:rPr>
        <w:t xml:space="preserve">Bainbridge, K. (2023) 'Rare diseases research landscape project report', </w:t>
      </w:r>
      <w:r w:rsidRPr="00C95F82">
        <w:rPr>
          <w:i/>
          <w:noProof/>
        </w:rPr>
        <w:t>National Institute for Health and Care Research Open Research,</w:t>
      </w:r>
      <w:r w:rsidRPr="00C95F82">
        <w:rPr>
          <w:noProof/>
        </w:rPr>
        <w:t xml:space="preserve"> 3(45), pp. 45.</w:t>
      </w:r>
    </w:p>
    <w:p w14:paraId="487042BC" w14:textId="77777777" w:rsidR="00C95F82" w:rsidRPr="00C95F82" w:rsidRDefault="00C95F82" w:rsidP="00C95F82">
      <w:pPr>
        <w:pStyle w:val="EndNoteBibliography"/>
        <w:spacing w:after="240"/>
        <w:rPr>
          <w:noProof/>
        </w:rPr>
      </w:pPr>
      <w:r w:rsidRPr="00C95F82">
        <w:rPr>
          <w:noProof/>
        </w:rPr>
        <w:t xml:space="preserve">Baron, J. M., Widatalla, S., Gubens, M. A. and Khalil, F. (2024) 'Real-world biomarker test ordering practices in non–small cell lung cancer: interphysician variation and association with clinical outcomes', </w:t>
      </w:r>
      <w:r w:rsidRPr="00C95F82">
        <w:rPr>
          <w:i/>
          <w:noProof/>
        </w:rPr>
        <w:t>JCO Precision Oncology,</w:t>
      </w:r>
      <w:r w:rsidRPr="00C95F82">
        <w:rPr>
          <w:noProof/>
        </w:rPr>
        <w:t xml:space="preserve"> 8, pp. e2400039.</w:t>
      </w:r>
    </w:p>
    <w:p w14:paraId="49816B9D" w14:textId="77777777" w:rsidR="00C95F82" w:rsidRPr="00C95F82" w:rsidRDefault="00C95F82" w:rsidP="00C95F82">
      <w:pPr>
        <w:pStyle w:val="EndNoteBibliography"/>
        <w:spacing w:after="240"/>
        <w:rPr>
          <w:noProof/>
        </w:rPr>
      </w:pPr>
      <w:r w:rsidRPr="00C95F82">
        <w:rPr>
          <w:noProof/>
        </w:rPr>
        <w:t xml:space="preserve">Bart, A., Hall, G. A. and Gillam, L. (2024) 'Gillick competence: an inadequate guide to the ethics of involving adolescents in decision-making', </w:t>
      </w:r>
      <w:r w:rsidRPr="00C95F82">
        <w:rPr>
          <w:i/>
          <w:noProof/>
        </w:rPr>
        <w:t>Journal of Medical Ethics,</w:t>
      </w:r>
      <w:r w:rsidRPr="00C95F82">
        <w:rPr>
          <w:noProof/>
        </w:rPr>
        <w:t xml:space="preserve"> 50(3), pp. 157-162.</w:t>
      </w:r>
    </w:p>
    <w:p w14:paraId="75A301A6" w14:textId="77777777" w:rsidR="00C95F82" w:rsidRPr="00C95F82" w:rsidRDefault="00C95F82" w:rsidP="00C95F82">
      <w:pPr>
        <w:pStyle w:val="EndNoteBibliography"/>
        <w:spacing w:after="240"/>
        <w:rPr>
          <w:noProof/>
        </w:rPr>
      </w:pPr>
      <w:r w:rsidRPr="00C95F82">
        <w:rPr>
          <w:noProof/>
        </w:rPr>
        <w:t xml:space="preserve">Basu, A., Thomas, S. K., Chapman, R. H. and Spangler, J. (2025) 'HTA Evidence in Rare Diseases: Just Rare or Also Special? A. Basu et al', </w:t>
      </w:r>
      <w:r w:rsidRPr="00C95F82">
        <w:rPr>
          <w:i/>
          <w:noProof/>
        </w:rPr>
        <w:t>Pharmacoeconomics,</w:t>
      </w:r>
      <w:r w:rsidRPr="00C95F82">
        <w:rPr>
          <w:noProof/>
        </w:rPr>
        <w:t xml:space="preserve"> 43(11), pp. 1271-1279.</w:t>
      </w:r>
    </w:p>
    <w:p w14:paraId="2AC50EFE" w14:textId="77777777" w:rsidR="00C95F82" w:rsidRPr="00C95F82" w:rsidRDefault="00C95F82" w:rsidP="00C95F82">
      <w:pPr>
        <w:pStyle w:val="EndNoteBibliography"/>
        <w:spacing w:after="240"/>
        <w:rPr>
          <w:noProof/>
        </w:rPr>
      </w:pPr>
      <w:r w:rsidRPr="00C95F82">
        <w:rPr>
          <w:noProof/>
        </w:rPr>
        <w:t xml:space="preserve">Baxter, P. and Jack, S. (2008) 'Qualitative case study methodology: Study design and implementation for novice researchers', </w:t>
      </w:r>
      <w:r w:rsidRPr="00C95F82">
        <w:rPr>
          <w:i/>
          <w:noProof/>
        </w:rPr>
        <w:t>The Qualitative Report,</w:t>
      </w:r>
      <w:r w:rsidRPr="00C95F82">
        <w:rPr>
          <w:noProof/>
        </w:rPr>
        <w:t xml:space="preserve"> 13(4), pp. 544-559.</w:t>
      </w:r>
    </w:p>
    <w:p w14:paraId="3C335989" w14:textId="77777777" w:rsidR="00C95F82" w:rsidRPr="00C95F82" w:rsidRDefault="00C95F82" w:rsidP="00C95F82">
      <w:pPr>
        <w:pStyle w:val="EndNoteBibliography"/>
        <w:spacing w:after="240"/>
        <w:rPr>
          <w:noProof/>
        </w:rPr>
      </w:pPr>
      <w:r w:rsidRPr="00C95F82">
        <w:rPr>
          <w:noProof/>
        </w:rPr>
        <w:t xml:space="preserve">Bellos, I. (2021) 'Safety Profile of Tolvaptan in the Treatment of Autosomal Dominant Polycystic Kidney Disease', </w:t>
      </w:r>
      <w:r w:rsidRPr="00C95F82">
        <w:rPr>
          <w:i/>
          <w:noProof/>
        </w:rPr>
        <w:t>Therapeutics and Clinical Risk Management,</w:t>
      </w:r>
      <w:r w:rsidRPr="00C95F82">
        <w:rPr>
          <w:noProof/>
        </w:rPr>
        <w:t xml:space="preserve"> 17, pp. 649-656.</w:t>
      </w:r>
    </w:p>
    <w:p w14:paraId="355A9CD8" w14:textId="77777777" w:rsidR="00C95F82" w:rsidRPr="00C95F82" w:rsidRDefault="00C95F82" w:rsidP="00C95F82">
      <w:pPr>
        <w:pStyle w:val="EndNoteBibliography"/>
        <w:spacing w:after="240"/>
        <w:rPr>
          <w:noProof/>
        </w:rPr>
      </w:pPr>
      <w:r w:rsidRPr="00C95F82">
        <w:rPr>
          <w:noProof/>
        </w:rPr>
        <w:t xml:space="preserve">Benchimol, E. I., Smeeth, L., Guttmann, A., Harron, K., Moher, D., Petersen, I., Sørensen, H. T., von Elm, E. and Langan, S. M. (2015) 'The REporting of studies Conducted using Observational Routinely-collected health Data (RECORD) statement', </w:t>
      </w:r>
      <w:r w:rsidRPr="00C95F82">
        <w:rPr>
          <w:i/>
          <w:noProof/>
        </w:rPr>
        <w:t>PLOS Medicine,</w:t>
      </w:r>
      <w:r w:rsidRPr="00C95F82">
        <w:rPr>
          <w:noProof/>
        </w:rPr>
        <w:t xml:space="preserve"> 12(10), pp. e1001885.</w:t>
      </w:r>
    </w:p>
    <w:p w14:paraId="5DB3818B" w14:textId="77777777" w:rsidR="00C95F82" w:rsidRPr="00C95F82" w:rsidRDefault="00C95F82" w:rsidP="00C95F82">
      <w:pPr>
        <w:pStyle w:val="EndNoteBibliography"/>
        <w:spacing w:after="240"/>
        <w:rPr>
          <w:noProof/>
        </w:rPr>
      </w:pPr>
      <w:r w:rsidRPr="00C95F82">
        <w:rPr>
          <w:noProof/>
        </w:rPr>
        <w:t xml:space="preserve">Bhaskar, R. (2013) </w:t>
      </w:r>
      <w:r w:rsidRPr="00C95F82">
        <w:rPr>
          <w:i/>
          <w:noProof/>
        </w:rPr>
        <w:t>A realist theory of science.</w:t>
      </w:r>
      <w:r w:rsidRPr="00C95F82">
        <w:rPr>
          <w:noProof/>
        </w:rPr>
        <w:t xml:space="preserve"> London, UK: Routledge, p. 1-304.</w:t>
      </w:r>
    </w:p>
    <w:p w14:paraId="0997D570" w14:textId="77777777" w:rsidR="00C95F82" w:rsidRPr="00C95F82" w:rsidRDefault="00C95F82" w:rsidP="00C95F82">
      <w:pPr>
        <w:pStyle w:val="EndNoteBibliography"/>
        <w:spacing w:after="240"/>
        <w:rPr>
          <w:noProof/>
        </w:rPr>
      </w:pPr>
      <w:r w:rsidRPr="00C95F82">
        <w:rPr>
          <w:noProof/>
        </w:rPr>
        <w:t xml:space="preserve">Bhutani, H., Smith, V., Rahbari-Oskoui, F., Mittal, A., Grantham, J. J., Torres, V. E., Mrug, M., Bae, K. T., Wu, Z. and Ge, Y. (2015) 'A comparison of ultrasound and magnetic resonance imaging shows that kidney length predicts chronic kidney disease in autosomal dominant polycystic kidney disease', </w:t>
      </w:r>
      <w:r w:rsidRPr="00C95F82">
        <w:rPr>
          <w:i/>
          <w:noProof/>
        </w:rPr>
        <w:t>Kidney International,</w:t>
      </w:r>
      <w:r w:rsidRPr="00C95F82">
        <w:rPr>
          <w:noProof/>
        </w:rPr>
        <w:t xml:space="preserve"> 88(1), pp. 146-151.</w:t>
      </w:r>
    </w:p>
    <w:p w14:paraId="5AAF43F6" w14:textId="77777777" w:rsidR="00C95F82" w:rsidRPr="00C95F82" w:rsidRDefault="00C95F82" w:rsidP="00C95F82">
      <w:pPr>
        <w:pStyle w:val="EndNoteBibliography"/>
        <w:spacing w:after="240"/>
        <w:rPr>
          <w:noProof/>
        </w:rPr>
      </w:pPr>
      <w:r w:rsidRPr="00C95F82">
        <w:rPr>
          <w:noProof/>
        </w:rPr>
        <w:t xml:space="preserve">Bin Rsheed, A. and Chenoweth, I. (2017) 'Barriers that practitioners face when initiating insulin therapy in general practice settings and how they can be overcome ', </w:t>
      </w:r>
      <w:r w:rsidRPr="00C95F82">
        <w:rPr>
          <w:i/>
          <w:noProof/>
        </w:rPr>
        <w:t>World Journal of Diabetes,</w:t>
      </w:r>
      <w:r w:rsidRPr="00C95F82">
        <w:rPr>
          <w:noProof/>
        </w:rPr>
        <w:t xml:space="preserve"> 8, pp. 28–39.</w:t>
      </w:r>
    </w:p>
    <w:p w14:paraId="747103FE" w14:textId="77777777" w:rsidR="00C95F82" w:rsidRPr="00C95F82" w:rsidRDefault="00C95F82" w:rsidP="00C95F82">
      <w:pPr>
        <w:pStyle w:val="EndNoteBibliography"/>
        <w:spacing w:after="240"/>
        <w:rPr>
          <w:noProof/>
        </w:rPr>
      </w:pPr>
      <w:r w:rsidRPr="00C95F82">
        <w:rPr>
          <w:noProof/>
        </w:rPr>
        <w:t xml:space="preserve">Birkmeyer, J. D., Stukel, T. A., Siewers, A. E., Goodney, P. P., Wennberg, D. E. and Lucas, F. L. (2003) 'Surgeon volume and operative mortality in the United States', </w:t>
      </w:r>
      <w:r w:rsidRPr="00C95F82">
        <w:rPr>
          <w:i/>
          <w:noProof/>
        </w:rPr>
        <w:t>New England Journal of Medicine,</w:t>
      </w:r>
      <w:r w:rsidRPr="00C95F82">
        <w:rPr>
          <w:noProof/>
        </w:rPr>
        <w:t xml:space="preserve"> 349(22), pp. 2117-2127.</w:t>
      </w:r>
    </w:p>
    <w:p w14:paraId="46B422DD" w14:textId="77777777" w:rsidR="00C95F82" w:rsidRPr="00C95F82" w:rsidRDefault="00C95F82" w:rsidP="00C95F82">
      <w:pPr>
        <w:pStyle w:val="EndNoteBibliography"/>
        <w:spacing w:after="240"/>
        <w:rPr>
          <w:noProof/>
        </w:rPr>
      </w:pPr>
      <w:r w:rsidRPr="00C95F82">
        <w:rPr>
          <w:noProof/>
        </w:rPr>
        <w:t xml:space="preserve">Bispo Júnior, J. P. (2022) 'Social desirability bias in qualitative health research', </w:t>
      </w:r>
      <w:r w:rsidRPr="00C95F82">
        <w:rPr>
          <w:i/>
          <w:noProof/>
        </w:rPr>
        <w:t>Revista de Saude Publica,</w:t>
      </w:r>
      <w:r w:rsidRPr="00C95F82">
        <w:rPr>
          <w:noProof/>
        </w:rPr>
        <w:t xml:space="preserve"> 56, pp. 101.</w:t>
      </w:r>
    </w:p>
    <w:p w14:paraId="2B87EE06" w14:textId="77777777" w:rsidR="00C95F82" w:rsidRPr="00C95F82" w:rsidRDefault="00C95F82" w:rsidP="00C95F82">
      <w:pPr>
        <w:pStyle w:val="EndNoteBibliography"/>
        <w:spacing w:after="240"/>
        <w:rPr>
          <w:noProof/>
        </w:rPr>
      </w:pPr>
      <w:r w:rsidRPr="00C95F82">
        <w:rPr>
          <w:noProof/>
        </w:rPr>
        <w:t xml:space="preserve">Black, N., Martineau, F. and Manacorda, T. (2015) 'Diagnostic odyssey for rare diseases: exploration of potential indicators', </w:t>
      </w:r>
      <w:r w:rsidRPr="00C95F82">
        <w:rPr>
          <w:i/>
          <w:noProof/>
        </w:rPr>
        <w:t>Policy Innovation Research Unit (PIRU),</w:t>
      </w:r>
      <w:r w:rsidRPr="00C95F82">
        <w:rPr>
          <w:noProof/>
        </w:rPr>
        <w:t xml:space="preserve"> 1(1), pp. 1-65.</w:t>
      </w:r>
    </w:p>
    <w:p w14:paraId="64C07BA2" w14:textId="77777777" w:rsidR="00C95F82" w:rsidRPr="00C95F82" w:rsidRDefault="00C95F82" w:rsidP="00C95F82">
      <w:pPr>
        <w:pStyle w:val="EndNoteBibliography"/>
        <w:spacing w:after="240"/>
        <w:rPr>
          <w:noProof/>
        </w:rPr>
      </w:pPr>
      <w:r w:rsidRPr="00C95F82">
        <w:rPr>
          <w:noProof/>
        </w:rPr>
        <w:t xml:space="preserve">Blair, J., Czaja, R. F. and Blair, E. A. (2013) </w:t>
      </w:r>
      <w:r w:rsidRPr="00C95F82">
        <w:rPr>
          <w:i/>
          <w:noProof/>
        </w:rPr>
        <w:t>Designing surveys: A guide to decisions and procedures.</w:t>
      </w:r>
      <w:r w:rsidRPr="00C95F82">
        <w:rPr>
          <w:noProof/>
        </w:rPr>
        <w:t xml:space="preserve"> London, UK: SAGE Publications Ltd, p. 1-440.</w:t>
      </w:r>
    </w:p>
    <w:p w14:paraId="7B11AA07" w14:textId="77777777" w:rsidR="00C95F82" w:rsidRPr="00C95F82" w:rsidRDefault="00C95F82" w:rsidP="00C95F82">
      <w:pPr>
        <w:pStyle w:val="EndNoteBibliography"/>
        <w:spacing w:after="240"/>
        <w:rPr>
          <w:noProof/>
        </w:rPr>
      </w:pPr>
      <w:r w:rsidRPr="00C95F82">
        <w:rPr>
          <w:noProof/>
        </w:rPr>
        <w:t xml:space="preserve">Bloem, B. R., Henderson, E. J., Dorsey, E. R., Okun, M. S., Okubadejo, N., Chan, P., Andrejack, J., Darweesh, S. K. and Munneke, M. (2020) 'Integrated and patient-centred management of Parkinson's disease: a network model for reshaping chronic neurological care', </w:t>
      </w:r>
      <w:r w:rsidRPr="00C95F82">
        <w:rPr>
          <w:i/>
          <w:noProof/>
        </w:rPr>
        <w:t>The Lancet Neurology,</w:t>
      </w:r>
      <w:r w:rsidRPr="00C95F82">
        <w:rPr>
          <w:noProof/>
        </w:rPr>
        <w:t xml:space="preserve"> 19(7), pp. 623-634.</w:t>
      </w:r>
    </w:p>
    <w:p w14:paraId="5A082596" w14:textId="77777777" w:rsidR="00C95F82" w:rsidRPr="00C95F82" w:rsidRDefault="00C95F82" w:rsidP="00C95F82">
      <w:pPr>
        <w:pStyle w:val="EndNoteBibliography"/>
        <w:spacing w:after="240"/>
        <w:rPr>
          <w:noProof/>
        </w:rPr>
      </w:pPr>
      <w:r w:rsidRPr="00C95F82">
        <w:rPr>
          <w:noProof/>
        </w:rPr>
        <w:t xml:space="preserve">Boddy, N. and Avery, A. J. (2023) 'A systems approach to the safety and efficiency of prescribing at the primary–secondary care interface', </w:t>
      </w:r>
      <w:r w:rsidRPr="00C95F82">
        <w:rPr>
          <w:i/>
          <w:noProof/>
        </w:rPr>
        <w:t>Future Healthcare Journal,</w:t>
      </w:r>
      <w:r w:rsidRPr="00C95F82">
        <w:rPr>
          <w:noProof/>
        </w:rPr>
        <w:t xml:space="preserve"> 10(3), pp. 205-210.</w:t>
      </w:r>
    </w:p>
    <w:p w14:paraId="06CC20A5" w14:textId="77777777" w:rsidR="00C95F82" w:rsidRPr="00C95F82" w:rsidRDefault="00C95F82" w:rsidP="00C95F82">
      <w:pPr>
        <w:pStyle w:val="EndNoteBibliography"/>
        <w:spacing w:after="240"/>
        <w:rPr>
          <w:noProof/>
        </w:rPr>
      </w:pPr>
      <w:r w:rsidRPr="00C95F82">
        <w:rPr>
          <w:noProof/>
        </w:rPr>
        <w:t xml:space="preserve">Boersma, P., Black, L. I. and Ward, B. W. (2020) 'Prevalence of Multiple Chronic Conditions Among US Adults, 2018', </w:t>
      </w:r>
      <w:r w:rsidRPr="00C95F82">
        <w:rPr>
          <w:i/>
          <w:noProof/>
        </w:rPr>
        <w:t>Preventing Chronic Disease,</w:t>
      </w:r>
      <w:r w:rsidRPr="00C95F82">
        <w:rPr>
          <w:noProof/>
        </w:rPr>
        <w:t xml:space="preserve"> 17, pp. E106.</w:t>
      </w:r>
    </w:p>
    <w:p w14:paraId="5719AD48" w14:textId="77777777" w:rsidR="00C95F82" w:rsidRPr="00C95F82" w:rsidRDefault="00C95F82" w:rsidP="00C95F82">
      <w:pPr>
        <w:pStyle w:val="EndNoteBibliography"/>
        <w:spacing w:after="240"/>
        <w:rPr>
          <w:noProof/>
        </w:rPr>
      </w:pPr>
      <w:r w:rsidRPr="00C95F82">
        <w:rPr>
          <w:noProof/>
        </w:rPr>
        <w:t xml:space="preserve">Bostock, B. (2021) 'Management of long-term conditions', </w:t>
      </w:r>
      <w:r w:rsidRPr="00C95F82">
        <w:rPr>
          <w:i/>
          <w:noProof/>
        </w:rPr>
        <w:t>A Nurse's Survival Guide to General Practice Nursing E-Book: A Nurse's Survival Guide to General Practice Nursing E-Book</w:t>
      </w:r>
      <w:r w:rsidRPr="00C95F82">
        <w:rPr>
          <w:noProof/>
        </w:rPr>
        <w:t>, pp. 149.</w:t>
      </w:r>
    </w:p>
    <w:p w14:paraId="31560900" w14:textId="77777777" w:rsidR="00C95F82" w:rsidRPr="00C95F82" w:rsidRDefault="00C95F82" w:rsidP="00C95F82">
      <w:pPr>
        <w:pStyle w:val="EndNoteBibliography"/>
        <w:spacing w:after="240"/>
        <w:rPr>
          <w:noProof/>
        </w:rPr>
      </w:pPr>
      <w:r w:rsidRPr="00C95F82">
        <w:rPr>
          <w:noProof/>
        </w:rPr>
        <w:t xml:space="preserve">Bottle, A. and Kristensen, P. K. (2024) 'Variation in quality of care between hospitals: how to identify learning opportunities', </w:t>
      </w:r>
      <w:r w:rsidRPr="00C95F82">
        <w:rPr>
          <w:i/>
          <w:noProof/>
        </w:rPr>
        <w:t>BMJ Quality and Safety,</w:t>
      </w:r>
      <w:r w:rsidRPr="00C95F82">
        <w:rPr>
          <w:noProof/>
        </w:rPr>
        <w:t xml:space="preserve"> 33(7), pp. 413-415.</w:t>
      </w:r>
    </w:p>
    <w:p w14:paraId="4B32022B" w14:textId="77777777" w:rsidR="00C95F82" w:rsidRPr="00C95F82" w:rsidRDefault="00C95F82" w:rsidP="00C95F82">
      <w:pPr>
        <w:pStyle w:val="EndNoteBibliography"/>
        <w:spacing w:after="240"/>
        <w:rPr>
          <w:noProof/>
        </w:rPr>
      </w:pPr>
      <w:r w:rsidRPr="00C95F82">
        <w:rPr>
          <w:noProof/>
        </w:rPr>
        <w:t xml:space="preserve">Bourgeois, F. T., Murthy, S., Pinto, C., Olson, K. L., Ioannidis, J. P. and Mandl, K. D. (2012) 'Pediatric versus adult drug trials for conditions with high pediatric disease burden', </w:t>
      </w:r>
      <w:r w:rsidRPr="00C95F82">
        <w:rPr>
          <w:i/>
          <w:noProof/>
        </w:rPr>
        <w:t>Pediatrics,</w:t>
      </w:r>
      <w:r w:rsidRPr="00C95F82">
        <w:rPr>
          <w:noProof/>
        </w:rPr>
        <w:t xml:space="preserve"> 130(2), pp. 285-92.</w:t>
      </w:r>
    </w:p>
    <w:p w14:paraId="418D56B6" w14:textId="77777777" w:rsidR="00C95F82" w:rsidRPr="00C95F82" w:rsidRDefault="00C95F82" w:rsidP="00C95F82">
      <w:pPr>
        <w:pStyle w:val="EndNoteBibliography"/>
        <w:spacing w:after="240"/>
        <w:rPr>
          <w:noProof/>
        </w:rPr>
      </w:pPr>
      <w:r w:rsidRPr="00C95F82">
        <w:rPr>
          <w:noProof/>
        </w:rPr>
        <w:t xml:space="preserve">Bowen, G. (2009) 'Document Analysis as a Qualitative Research Method', </w:t>
      </w:r>
      <w:r w:rsidRPr="00C95F82">
        <w:rPr>
          <w:i/>
          <w:noProof/>
        </w:rPr>
        <w:t>Qualitative Research Journal,</w:t>
      </w:r>
      <w:r w:rsidRPr="00C95F82">
        <w:rPr>
          <w:noProof/>
        </w:rPr>
        <w:t xml:space="preserve"> 9, pp. 27-40.</w:t>
      </w:r>
    </w:p>
    <w:p w14:paraId="61D39746" w14:textId="77777777" w:rsidR="00C95F82" w:rsidRPr="00C95F82" w:rsidRDefault="00C95F82" w:rsidP="00C95F82">
      <w:pPr>
        <w:pStyle w:val="EndNoteBibliography"/>
        <w:spacing w:after="240"/>
        <w:rPr>
          <w:noProof/>
        </w:rPr>
      </w:pPr>
      <w:r w:rsidRPr="00C95F82">
        <w:rPr>
          <w:noProof/>
        </w:rPr>
        <w:t xml:space="preserve">Boynton, P. M. and Greenhalgh, T. (2004) 'Selecting, designing, and developing your questionnaire', </w:t>
      </w:r>
      <w:r w:rsidRPr="00C95F82">
        <w:rPr>
          <w:i/>
          <w:noProof/>
        </w:rPr>
        <w:t>BMJ,</w:t>
      </w:r>
      <w:r w:rsidRPr="00C95F82">
        <w:rPr>
          <w:noProof/>
        </w:rPr>
        <w:t xml:space="preserve"> 328(7451), pp. 1312-1315.</w:t>
      </w:r>
    </w:p>
    <w:p w14:paraId="1B7F052A" w14:textId="77777777" w:rsidR="00C95F82" w:rsidRPr="00C95F82" w:rsidRDefault="00C95F82" w:rsidP="00C95F82">
      <w:pPr>
        <w:pStyle w:val="EndNoteBibliography"/>
        <w:spacing w:after="240"/>
        <w:rPr>
          <w:noProof/>
        </w:rPr>
      </w:pPr>
      <w:r w:rsidRPr="00C95F82">
        <w:rPr>
          <w:noProof/>
        </w:rPr>
        <w:t xml:space="preserve">Bramer, W. M., Rethlefsen, M. L., Kleijnen, J. and Franco, O. H. (2017) 'Optimal database combinations for literature searches in systematic reviews: a prospective exploratory study', </w:t>
      </w:r>
      <w:r w:rsidRPr="00C95F82">
        <w:rPr>
          <w:i/>
          <w:noProof/>
        </w:rPr>
        <w:t>Systematic Reviews,</w:t>
      </w:r>
      <w:r w:rsidRPr="00C95F82">
        <w:rPr>
          <w:noProof/>
        </w:rPr>
        <w:t xml:space="preserve"> 6(1), pp. 245.</w:t>
      </w:r>
    </w:p>
    <w:p w14:paraId="5CFB1C46" w14:textId="77777777" w:rsidR="00C95F82" w:rsidRPr="00C95F82" w:rsidRDefault="00C95F82" w:rsidP="00C95F82">
      <w:pPr>
        <w:pStyle w:val="EndNoteBibliography"/>
        <w:spacing w:after="240"/>
        <w:rPr>
          <w:noProof/>
        </w:rPr>
      </w:pPr>
      <w:r w:rsidRPr="00C95F82">
        <w:rPr>
          <w:noProof/>
        </w:rPr>
        <w:t xml:space="preserve">Braun, V., Clarke, V., Boulton, E., Davey, L. and McEvoy, C. (2021) 'The online survey as a qualitative research tool', </w:t>
      </w:r>
      <w:r w:rsidRPr="00C95F82">
        <w:rPr>
          <w:i/>
          <w:noProof/>
        </w:rPr>
        <w:t>International Journal of Social Research Methodology,</w:t>
      </w:r>
      <w:r w:rsidRPr="00C95F82">
        <w:rPr>
          <w:noProof/>
        </w:rPr>
        <w:t xml:space="preserve"> 24(6), pp. 641-654.</w:t>
      </w:r>
    </w:p>
    <w:p w14:paraId="7B9E2638" w14:textId="77777777" w:rsidR="00C95F82" w:rsidRPr="00C95F82" w:rsidRDefault="00C95F82" w:rsidP="00C95F82">
      <w:pPr>
        <w:pStyle w:val="EndNoteBibliography"/>
        <w:spacing w:after="240"/>
        <w:rPr>
          <w:noProof/>
        </w:rPr>
      </w:pPr>
      <w:r w:rsidRPr="00C95F82">
        <w:rPr>
          <w:noProof/>
        </w:rPr>
        <w:t xml:space="preserve">Brett, J., Staniszewska, S., Mockford, C., Herron-Marx, S., Hughes, J., Tysall, C. and Suleman, R. (2014) 'A systematic review of the impact of patient and public involvement on service users, researchers and communities', </w:t>
      </w:r>
      <w:r w:rsidRPr="00C95F82">
        <w:rPr>
          <w:i/>
          <w:noProof/>
        </w:rPr>
        <w:t>The Patient-Patient-Centered Outcomes Research,</w:t>
      </w:r>
      <w:r w:rsidRPr="00C95F82">
        <w:rPr>
          <w:noProof/>
        </w:rPr>
        <w:t xml:space="preserve"> 7(4), pp. 387-395.</w:t>
      </w:r>
    </w:p>
    <w:p w14:paraId="5857892E" w14:textId="61A0D262" w:rsidR="00C95F82" w:rsidRPr="00C95F82" w:rsidRDefault="00C95F82" w:rsidP="00C95F82">
      <w:pPr>
        <w:pStyle w:val="EndNoteBibliography"/>
        <w:spacing w:after="240"/>
        <w:rPr>
          <w:noProof/>
        </w:rPr>
      </w:pPr>
      <w:r w:rsidRPr="00C95F82">
        <w:rPr>
          <w:noProof/>
        </w:rPr>
        <w:t xml:space="preserve">British Generic Manufacturers Association (2020) </w:t>
      </w:r>
      <w:r w:rsidRPr="00C95F82">
        <w:rPr>
          <w:i/>
          <w:noProof/>
        </w:rPr>
        <w:t>UK Generic medicines market functioning well and delivering significant savings</w:t>
      </w:r>
      <w:r w:rsidRPr="00C95F82">
        <w:rPr>
          <w:noProof/>
        </w:rPr>
        <w:t xml:space="preserve">. Available at: </w:t>
      </w:r>
      <w:hyperlink r:id="rId76" w:history="1">
        <w:r w:rsidRPr="00C95F82">
          <w:rPr>
            <w:rStyle w:val="Hyperlink"/>
            <w:noProof/>
          </w:rPr>
          <w:t>https://www.medicinesuk.com/view-news/uk-generic-medicines-market-functioning-well-and-delivering-significant-savings-oxera.php</w:t>
        </w:r>
      </w:hyperlink>
      <w:r w:rsidRPr="00C95F82">
        <w:rPr>
          <w:noProof/>
        </w:rPr>
        <w:t xml:space="preserve"> (Accessed: 08/09/2025).</w:t>
      </w:r>
    </w:p>
    <w:p w14:paraId="16A8E422" w14:textId="08CC0CF9" w:rsidR="00C95F82" w:rsidRPr="00C95F82" w:rsidRDefault="00C95F82" w:rsidP="00C95F82">
      <w:pPr>
        <w:pStyle w:val="EndNoteBibliography"/>
        <w:spacing w:after="240"/>
        <w:rPr>
          <w:noProof/>
        </w:rPr>
      </w:pPr>
      <w:r w:rsidRPr="00C95F82">
        <w:rPr>
          <w:noProof/>
        </w:rPr>
        <w:t xml:space="preserve">British National Formulary (2026) </w:t>
      </w:r>
      <w:r w:rsidRPr="00C95F82">
        <w:rPr>
          <w:i/>
          <w:noProof/>
        </w:rPr>
        <w:t>Tolvaptan</w:t>
      </w:r>
      <w:r w:rsidRPr="00C95F82">
        <w:rPr>
          <w:noProof/>
        </w:rPr>
        <w:t xml:space="preserve">. Available at: </w:t>
      </w:r>
      <w:hyperlink r:id="rId77" w:history="1">
        <w:r w:rsidRPr="00C95F82">
          <w:rPr>
            <w:rStyle w:val="Hyperlink"/>
            <w:noProof/>
          </w:rPr>
          <w:t>https://bnf.nice.org.uk/drugs/tolvaptan/</w:t>
        </w:r>
      </w:hyperlink>
      <w:r w:rsidRPr="00C95F82">
        <w:rPr>
          <w:noProof/>
        </w:rPr>
        <w:t xml:space="preserve"> (Accessed: 01/04/2026).</w:t>
      </w:r>
    </w:p>
    <w:p w14:paraId="3C59178F" w14:textId="77777777" w:rsidR="00C95F82" w:rsidRPr="00C95F82" w:rsidRDefault="00C95F82" w:rsidP="00C95F82">
      <w:pPr>
        <w:pStyle w:val="EndNoteBibliography"/>
        <w:spacing w:after="240"/>
        <w:rPr>
          <w:noProof/>
        </w:rPr>
      </w:pPr>
      <w:r w:rsidRPr="00C95F82">
        <w:rPr>
          <w:noProof/>
        </w:rPr>
        <w:t xml:space="preserve">Brunner-La Rocca, H.-P., Fleischhacker, L., Golubnitschaja, O., Heemskerk, F., Helms, T., Hoedemakers, T., Allianses, S. H., Jaarsma, T., Kinkorova, J. and Ramaekers, J. (2016) 'Challenges in personalised management of chronic diseases—heart failure as prominent example to advance the care process', </w:t>
      </w:r>
      <w:r w:rsidRPr="00C95F82">
        <w:rPr>
          <w:i/>
          <w:noProof/>
        </w:rPr>
        <w:t>EPMA Journal,</w:t>
      </w:r>
      <w:r w:rsidRPr="00C95F82">
        <w:rPr>
          <w:noProof/>
        </w:rPr>
        <w:t xml:space="preserve"> 7, pp. 1-9.</w:t>
      </w:r>
    </w:p>
    <w:p w14:paraId="2F62B885" w14:textId="77777777" w:rsidR="00C95F82" w:rsidRPr="00C95F82" w:rsidRDefault="00C95F82" w:rsidP="00C95F82">
      <w:pPr>
        <w:pStyle w:val="EndNoteBibliography"/>
        <w:spacing w:after="240"/>
        <w:rPr>
          <w:noProof/>
        </w:rPr>
      </w:pPr>
      <w:r w:rsidRPr="00C95F82">
        <w:rPr>
          <w:noProof/>
        </w:rPr>
        <w:t xml:space="preserve">Bryman, A. (2006) 'Integrating quantitative and qualitative research: how is it done?', </w:t>
      </w:r>
      <w:r w:rsidRPr="00C95F82">
        <w:rPr>
          <w:i/>
          <w:noProof/>
        </w:rPr>
        <w:t>Qualitative Research,</w:t>
      </w:r>
      <w:r w:rsidRPr="00C95F82">
        <w:rPr>
          <w:noProof/>
        </w:rPr>
        <w:t xml:space="preserve"> 6(1), pp. 97-113.</w:t>
      </w:r>
    </w:p>
    <w:p w14:paraId="305C8358" w14:textId="77777777" w:rsidR="00C95F82" w:rsidRPr="00C95F82" w:rsidRDefault="00C95F82" w:rsidP="00C95F82">
      <w:pPr>
        <w:pStyle w:val="EndNoteBibliography"/>
        <w:spacing w:after="240"/>
        <w:rPr>
          <w:noProof/>
        </w:rPr>
      </w:pPr>
      <w:r w:rsidRPr="00C95F82">
        <w:rPr>
          <w:noProof/>
        </w:rPr>
        <w:t xml:space="preserve">Bryman, A. (2007) 'Barriers to integrating quantitative and qualitative research', </w:t>
      </w:r>
      <w:r w:rsidRPr="00C95F82">
        <w:rPr>
          <w:i/>
          <w:noProof/>
        </w:rPr>
        <w:t>Journal of Mixed Methods Research,</w:t>
      </w:r>
      <w:r w:rsidRPr="00C95F82">
        <w:rPr>
          <w:noProof/>
        </w:rPr>
        <w:t xml:space="preserve"> 1(1), pp. 8-22.</w:t>
      </w:r>
    </w:p>
    <w:p w14:paraId="6827A4BE" w14:textId="77777777" w:rsidR="00C95F82" w:rsidRPr="00C95F82" w:rsidRDefault="00C95F82" w:rsidP="00C95F82">
      <w:pPr>
        <w:pStyle w:val="EndNoteBibliography"/>
        <w:spacing w:after="240"/>
        <w:rPr>
          <w:noProof/>
        </w:rPr>
      </w:pPr>
      <w:r w:rsidRPr="00C95F82">
        <w:rPr>
          <w:noProof/>
        </w:rPr>
        <w:t xml:space="preserve">Budych, K., Helms, T. M. and Schultz, C. (2012) 'How do patients with rare diseases experience the medical encounter? Exploring role behavior and its impact on patient–physician interaction', </w:t>
      </w:r>
      <w:r w:rsidRPr="00C95F82">
        <w:rPr>
          <w:i/>
          <w:noProof/>
        </w:rPr>
        <w:t>Health Policy,</w:t>
      </w:r>
      <w:r w:rsidRPr="00C95F82">
        <w:rPr>
          <w:noProof/>
        </w:rPr>
        <w:t xml:space="preserve"> 105(2), pp. 154-164.</w:t>
      </w:r>
    </w:p>
    <w:p w14:paraId="58AAB011" w14:textId="77777777" w:rsidR="00C95F82" w:rsidRPr="00C95F82" w:rsidRDefault="00C95F82" w:rsidP="00C95F82">
      <w:pPr>
        <w:pStyle w:val="EndNoteBibliography"/>
        <w:spacing w:after="240"/>
        <w:rPr>
          <w:noProof/>
        </w:rPr>
      </w:pPr>
      <w:r w:rsidRPr="00C95F82">
        <w:rPr>
          <w:noProof/>
        </w:rPr>
        <w:t xml:space="preserve">Burnier, M. (2024) 'The role of adherence in patients with chronic diseases', </w:t>
      </w:r>
      <w:r w:rsidRPr="00C95F82">
        <w:rPr>
          <w:i/>
          <w:noProof/>
        </w:rPr>
        <w:t>European Journal of Internal Medicine,</w:t>
      </w:r>
      <w:r w:rsidRPr="00C95F82">
        <w:rPr>
          <w:noProof/>
        </w:rPr>
        <w:t xml:space="preserve"> 119, pp. 1-5.</w:t>
      </w:r>
    </w:p>
    <w:p w14:paraId="5602F6A1" w14:textId="77777777" w:rsidR="00C95F82" w:rsidRPr="00C95F82" w:rsidRDefault="00C95F82" w:rsidP="00C95F82">
      <w:pPr>
        <w:pStyle w:val="EndNoteBibliography"/>
        <w:spacing w:after="240"/>
        <w:rPr>
          <w:noProof/>
        </w:rPr>
      </w:pPr>
      <w:r w:rsidRPr="00C95F82">
        <w:rPr>
          <w:noProof/>
        </w:rPr>
        <w:t xml:space="preserve">Byrne, J., Willis, A., Dunkley, A., Fitzpatrick, C., Campbell, S., Sidhu, M. S., Choudhary, P., Davies, M. J. and Khunti, K. (2022) 'Individual, healthcare professional and system‐level barriers and facilitators to initiation and adherence to injectable therapies for type 2 diabetes: A systematic review and meta‐ethnography', </w:t>
      </w:r>
      <w:r w:rsidRPr="00C95F82">
        <w:rPr>
          <w:i/>
          <w:noProof/>
        </w:rPr>
        <w:t>Diabetic Medicine,</w:t>
      </w:r>
      <w:r w:rsidRPr="00C95F82">
        <w:rPr>
          <w:noProof/>
        </w:rPr>
        <w:t xml:space="preserve"> 39(1), pp. e14678.</w:t>
      </w:r>
    </w:p>
    <w:p w14:paraId="36B4D826" w14:textId="77777777" w:rsidR="00C95F82" w:rsidRPr="00C95F82" w:rsidRDefault="00C95F82" w:rsidP="00C95F82">
      <w:pPr>
        <w:pStyle w:val="EndNoteBibliography"/>
        <w:spacing w:after="240"/>
        <w:rPr>
          <w:noProof/>
        </w:rPr>
      </w:pPr>
      <w:r w:rsidRPr="00C95F82">
        <w:rPr>
          <w:noProof/>
        </w:rPr>
        <w:t xml:space="preserve">Cabana, M. D., Rand, C. S., Powe, N. R., Wu, A. W., Wilson, M. H., Abboud, P.-A. C. and Rubin, H. R. (1999) 'Why don't physicians follow clinical practice guidelines?: A framework for improvement', </w:t>
      </w:r>
      <w:r w:rsidRPr="00C95F82">
        <w:rPr>
          <w:i/>
          <w:noProof/>
        </w:rPr>
        <w:t>JAMA,</w:t>
      </w:r>
      <w:r w:rsidRPr="00C95F82">
        <w:rPr>
          <w:noProof/>
        </w:rPr>
        <w:t xml:space="preserve"> 282(15), pp. 1458-1465.</w:t>
      </w:r>
    </w:p>
    <w:p w14:paraId="3D272FF1" w14:textId="77777777" w:rsidR="00C95F82" w:rsidRPr="00C95F82" w:rsidRDefault="00C95F82" w:rsidP="00C95F82">
      <w:pPr>
        <w:pStyle w:val="EndNoteBibliography"/>
        <w:spacing w:after="240"/>
        <w:rPr>
          <w:noProof/>
        </w:rPr>
      </w:pPr>
      <w:r w:rsidRPr="00C95F82">
        <w:rPr>
          <w:noProof/>
        </w:rPr>
        <w:t xml:space="preserve">Cahill, P. (2015) 'Prescribing for patients with multimorbidity: aiming to tailor to patient-set goals', </w:t>
      </w:r>
      <w:r w:rsidRPr="00C95F82">
        <w:rPr>
          <w:i/>
          <w:noProof/>
        </w:rPr>
        <w:t>British Journal of General Practice,</w:t>
      </w:r>
      <w:r w:rsidRPr="00C95F82">
        <w:rPr>
          <w:noProof/>
        </w:rPr>
        <w:t xml:space="preserve"> 65(632), pp. 114-5.</w:t>
      </w:r>
    </w:p>
    <w:p w14:paraId="72C437EB" w14:textId="77777777" w:rsidR="00C95F82" w:rsidRPr="00C95F82" w:rsidRDefault="00C95F82" w:rsidP="00C95F82">
      <w:pPr>
        <w:pStyle w:val="EndNoteBibliography"/>
        <w:spacing w:after="240"/>
        <w:rPr>
          <w:noProof/>
        </w:rPr>
      </w:pPr>
      <w:r w:rsidRPr="00C95F82">
        <w:rPr>
          <w:noProof/>
        </w:rPr>
        <w:t xml:space="preserve">Calvaruso, L., Yau, K., Akbari, P., Nasri, F., Khowaja, S., Wang, B., Haghighi, A., Khalili, K. and Pei, Y. (2023) 'Real-life use of tolvaptan in ADPKD: a retrospective analysis of a large Canadian cohort', </w:t>
      </w:r>
      <w:r w:rsidRPr="00C95F82">
        <w:rPr>
          <w:i/>
          <w:noProof/>
        </w:rPr>
        <w:t>Scientific Reports,</w:t>
      </w:r>
      <w:r w:rsidRPr="00C95F82">
        <w:rPr>
          <w:noProof/>
        </w:rPr>
        <w:t xml:space="preserve"> 13(1), pp. 22257.</w:t>
      </w:r>
    </w:p>
    <w:p w14:paraId="675314FA" w14:textId="77777777" w:rsidR="00C95F82" w:rsidRPr="00C95F82" w:rsidRDefault="00C95F82" w:rsidP="00C95F82">
      <w:pPr>
        <w:pStyle w:val="EndNoteBibliography"/>
        <w:spacing w:after="240"/>
        <w:rPr>
          <w:noProof/>
        </w:rPr>
      </w:pPr>
      <w:r w:rsidRPr="00C95F82">
        <w:rPr>
          <w:noProof/>
        </w:rPr>
        <w:t xml:space="preserve">Campbell, M. D., Babic, D., Bolcina, U., Smirčić-Duvnjak, L., Tankova, T., Mitrakou, A., Kempler, P. and Janez, A. (2019) 'High level of clinical inertia in insulin initiation in type 2 diabetes across Central and South-Eastern Europe: insights from SITIP study', </w:t>
      </w:r>
      <w:r w:rsidRPr="00C95F82">
        <w:rPr>
          <w:i/>
          <w:noProof/>
        </w:rPr>
        <w:t>Acta Diabetologica,</w:t>
      </w:r>
      <w:r w:rsidRPr="00C95F82">
        <w:rPr>
          <w:noProof/>
        </w:rPr>
        <w:t xml:space="preserve"> 56(9), pp. 1045-1049.</w:t>
      </w:r>
    </w:p>
    <w:p w14:paraId="20D1DF7C" w14:textId="134B63A8" w:rsidR="00C95F82" w:rsidRPr="00C95F82" w:rsidRDefault="00C95F82" w:rsidP="00C95F82">
      <w:pPr>
        <w:pStyle w:val="EndNoteBibliography"/>
        <w:spacing w:after="240"/>
        <w:rPr>
          <w:noProof/>
        </w:rPr>
      </w:pPr>
      <w:r w:rsidRPr="00C95F82">
        <w:rPr>
          <w:noProof/>
        </w:rPr>
        <w:t xml:space="preserve">Canadian Organization for Rare Disorders (2023) </w:t>
      </w:r>
      <w:r w:rsidRPr="00C95F82">
        <w:rPr>
          <w:i/>
          <w:noProof/>
        </w:rPr>
        <w:t>CORD - Key facts</w:t>
      </w:r>
      <w:r w:rsidRPr="00C95F82">
        <w:rPr>
          <w:noProof/>
        </w:rPr>
        <w:t xml:space="preserve">. Available at: </w:t>
      </w:r>
      <w:hyperlink r:id="rId78" w:history="1">
        <w:r w:rsidRPr="00C95F82">
          <w:rPr>
            <w:rStyle w:val="Hyperlink"/>
            <w:noProof/>
          </w:rPr>
          <w:t>https://www.raredisorders.ca/about-cord/</w:t>
        </w:r>
      </w:hyperlink>
      <w:r w:rsidRPr="00C95F82">
        <w:rPr>
          <w:noProof/>
        </w:rPr>
        <w:t xml:space="preserve"> (Accessed: 27/11/2023).</w:t>
      </w:r>
    </w:p>
    <w:p w14:paraId="05ADF207" w14:textId="77777777" w:rsidR="00C95F82" w:rsidRPr="00C95F82" w:rsidRDefault="00C95F82" w:rsidP="00C95F82">
      <w:pPr>
        <w:pStyle w:val="EndNoteBibliography"/>
        <w:spacing w:after="240"/>
        <w:rPr>
          <w:noProof/>
        </w:rPr>
      </w:pPr>
      <w:r w:rsidRPr="00C95F82">
        <w:rPr>
          <w:noProof/>
        </w:rPr>
        <w:t xml:space="preserve">Carling, C. L., Kristoffersen, D. T., Oxman, A. D., Flottorp, S., Fretheim, A., Schünemann, H. J., Akl, E. A., Herrin, J., MacKenzie, T. D. and Montori, V. M. (2010) 'The effect of how outcomes are framed on decisions about whether to take antihypertensive medication: a randomized trial', </w:t>
      </w:r>
      <w:r w:rsidRPr="00C95F82">
        <w:rPr>
          <w:i/>
          <w:noProof/>
        </w:rPr>
        <w:t>PLOS One,</w:t>
      </w:r>
      <w:r w:rsidRPr="00C95F82">
        <w:rPr>
          <w:noProof/>
        </w:rPr>
        <w:t xml:space="preserve"> 5(3), pp. e9469.</w:t>
      </w:r>
    </w:p>
    <w:p w14:paraId="6AE3555D" w14:textId="77777777" w:rsidR="00C95F82" w:rsidRPr="00C95F82" w:rsidRDefault="00C95F82" w:rsidP="00C95F82">
      <w:pPr>
        <w:pStyle w:val="EndNoteBibliography"/>
        <w:spacing w:after="240"/>
        <w:rPr>
          <w:noProof/>
        </w:rPr>
      </w:pPr>
      <w:r w:rsidRPr="00C95F82">
        <w:rPr>
          <w:noProof/>
        </w:rPr>
        <w:t xml:space="preserve">Carrier, H., Zaytseva, A., Bocquier, A., Villani, P., Verdoux, H., Fortin, M. and Verger, P. (2019) 'GPs’ management of polypharmacy and therapeutic dilemma in patients with multimorbidity: a cross-sectional survey of GPs in France', </w:t>
      </w:r>
      <w:r w:rsidRPr="00C95F82">
        <w:rPr>
          <w:i/>
          <w:noProof/>
        </w:rPr>
        <w:t>British Journal of General Practice,</w:t>
      </w:r>
      <w:r w:rsidRPr="00C95F82">
        <w:rPr>
          <w:noProof/>
        </w:rPr>
        <w:t xml:space="preserve"> 69(681), pp. e270-e278.</w:t>
      </w:r>
    </w:p>
    <w:p w14:paraId="3BD78749" w14:textId="77777777" w:rsidR="00C95F82" w:rsidRPr="00C95F82" w:rsidRDefault="00C95F82" w:rsidP="00C95F82">
      <w:pPr>
        <w:pStyle w:val="EndNoteBibliography"/>
        <w:spacing w:after="240"/>
        <w:rPr>
          <w:noProof/>
        </w:rPr>
      </w:pPr>
      <w:r w:rsidRPr="00C95F82">
        <w:rPr>
          <w:noProof/>
        </w:rPr>
        <w:t xml:space="preserve">Carter, M., Chapman, S. and Watson, M. C. (2021) 'Multiplicity and complexity: a qualitative exploration of influences on prescribing in UK general practice', </w:t>
      </w:r>
      <w:r w:rsidRPr="00C95F82">
        <w:rPr>
          <w:i/>
          <w:noProof/>
        </w:rPr>
        <w:t>BMJ Open,</w:t>
      </w:r>
      <w:r w:rsidRPr="00C95F82">
        <w:rPr>
          <w:noProof/>
        </w:rPr>
        <w:t xml:space="preserve"> 11(1), pp. e041460.</w:t>
      </w:r>
    </w:p>
    <w:p w14:paraId="6BF766E1" w14:textId="77777777" w:rsidR="00C95F82" w:rsidRPr="00C95F82" w:rsidRDefault="00C95F82" w:rsidP="00C95F82">
      <w:pPr>
        <w:pStyle w:val="EndNoteBibliography"/>
        <w:spacing w:after="240"/>
        <w:rPr>
          <w:noProof/>
        </w:rPr>
      </w:pPr>
      <w:r w:rsidRPr="00C95F82">
        <w:rPr>
          <w:noProof/>
        </w:rPr>
        <w:t xml:space="preserve">Casteleijn, N. F., Blais, J. D., Chapman, A. B., Czerwiec, F. S., Devuyst, O., Higashihara, E., Leliveld, A. M., Ouyang, J., Perrone, R. D., Torres, V. E. and Gansevoort, R. T. (2017) 'Tolvaptan and Kidney Pain in Patients With Autosomal Dominant Polycystic Kidney Disease: Secondary Analysis From a Randomized Controlled Trial', </w:t>
      </w:r>
      <w:r w:rsidRPr="00C95F82">
        <w:rPr>
          <w:i/>
          <w:noProof/>
        </w:rPr>
        <w:t>American Journal of Kidney Diseases,</w:t>
      </w:r>
      <w:r w:rsidRPr="00C95F82">
        <w:rPr>
          <w:noProof/>
        </w:rPr>
        <w:t xml:space="preserve"> 69(2), pp. 210-219.</w:t>
      </w:r>
    </w:p>
    <w:p w14:paraId="2E5C62F4" w14:textId="77777777" w:rsidR="00C95F82" w:rsidRPr="00C95F82" w:rsidRDefault="00C95F82" w:rsidP="00C95F82">
      <w:pPr>
        <w:pStyle w:val="EndNoteBibliography"/>
        <w:spacing w:after="240"/>
        <w:rPr>
          <w:noProof/>
        </w:rPr>
      </w:pPr>
      <w:r w:rsidRPr="00C95F82">
        <w:rPr>
          <w:noProof/>
        </w:rPr>
        <w:t xml:space="preserve">Castledine, C. I., Gilg, J. A., Rogers, C., Ben-Shlomo, Y. and Caskey, F. J. (2013) 'Renal centre characteristics and physician practice patterns associated with home dialysis use', </w:t>
      </w:r>
      <w:r w:rsidRPr="00C95F82">
        <w:rPr>
          <w:i/>
          <w:noProof/>
        </w:rPr>
        <w:t>Nephrology Dialysis Transplantation,</w:t>
      </w:r>
      <w:r w:rsidRPr="00C95F82">
        <w:rPr>
          <w:noProof/>
        </w:rPr>
        <w:t xml:space="preserve"> 28(8), pp. 2169-2180.</w:t>
      </w:r>
    </w:p>
    <w:p w14:paraId="312D05B3" w14:textId="77777777" w:rsidR="00C95F82" w:rsidRPr="00C95F82" w:rsidRDefault="00C95F82" w:rsidP="00C95F82">
      <w:pPr>
        <w:pStyle w:val="EndNoteBibliography"/>
        <w:spacing w:after="240"/>
        <w:rPr>
          <w:noProof/>
        </w:rPr>
      </w:pPr>
      <w:r w:rsidRPr="00C95F82">
        <w:rPr>
          <w:noProof/>
        </w:rPr>
        <w:t xml:space="preserve">Centola, D. (2020) 'Physician networks and the complex contagion of clinical treatment', </w:t>
      </w:r>
      <w:r w:rsidRPr="00C95F82">
        <w:rPr>
          <w:i/>
          <w:noProof/>
        </w:rPr>
        <w:t>JAMA Network Open,</w:t>
      </w:r>
      <w:r w:rsidRPr="00C95F82">
        <w:rPr>
          <w:noProof/>
        </w:rPr>
        <w:t xml:space="preserve"> 3(1), pp. e1918585.</w:t>
      </w:r>
    </w:p>
    <w:p w14:paraId="6BBA1267" w14:textId="77777777" w:rsidR="00C95F82" w:rsidRPr="00C95F82" w:rsidRDefault="00C95F82" w:rsidP="00C95F82">
      <w:pPr>
        <w:pStyle w:val="EndNoteBibliography"/>
        <w:spacing w:after="240"/>
        <w:rPr>
          <w:noProof/>
        </w:rPr>
      </w:pPr>
      <w:r w:rsidRPr="00C95F82">
        <w:rPr>
          <w:noProof/>
        </w:rPr>
        <w:t xml:space="preserve">Cettolin, E. and Tausch, F. (2015) 'Risk taking and risk sharing: Does responsibility matter?', </w:t>
      </w:r>
      <w:r w:rsidRPr="00C95F82">
        <w:rPr>
          <w:i/>
          <w:noProof/>
        </w:rPr>
        <w:t>Journal of Risk and Uncertainty,</w:t>
      </w:r>
      <w:r w:rsidRPr="00C95F82">
        <w:rPr>
          <w:noProof/>
        </w:rPr>
        <w:t xml:space="preserve"> 50, pp. 229-248.</w:t>
      </w:r>
    </w:p>
    <w:p w14:paraId="5F33142F" w14:textId="77777777" w:rsidR="00C95F82" w:rsidRPr="00C95F82" w:rsidRDefault="00C95F82" w:rsidP="00C95F82">
      <w:pPr>
        <w:pStyle w:val="EndNoteBibliography"/>
        <w:spacing w:after="240"/>
        <w:rPr>
          <w:noProof/>
        </w:rPr>
      </w:pPr>
      <w:r w:rsidRPr="00C95F82">
        <w:rPr>
          <w:noProof/>
        </w:rPr>
        <w:t xml:space="preserve">Chambers, D., Preston, L., Clowes, M., Cantrell, A. J. and Goyder, E. C. (2024) 'Pharmacist-led primary care interventions to promote medicines optimisation and reduce overprescribing: a systematic review of UK studies and initiatives', </w:t>
      </w:r>
      <w:r w:rsidRPr="00C95F82">
        <w:rPr>
          <w:i/>
          <w:noProof/>
        </w:rPr>
        <w:t>BMJ Open,</w:t>
      </w:r>
      <w:r w:rsidRPr="00C95F82">
        <w:rPr>
          <w:noProof/>
        </w:rPr>
        <w:t xml:space="preserve"> 14(8), pp. e081934.</w:t>
      </w:r>
    </w:p>
    <w:p w14:paraId="24E231FE" w14:textId="77777777" w:rsidR="00C95F82" w:rsidRPr="00C95F82" w:rsidRDefault="00C95F82" w:rsidP="00C95F82">
      <w:pPr>
        <w:pStyle w:val="EndNoteBibliography"/>
        <w:spacing w:after="240"/>
        <w:rPr>
          <w:noProof/>
        </w:rPr>
      </w:pPr>
      <w:r w:rsidRPr="00C95F82">
        <w:rPr>
          <w:noProof/>
        </w:rPr>
        <w:t xml:space="preserve">Chambers, J. B. and Lancellotti, P. (2020) 'Heart valve clinics, centers, and networks', </w:t>
      </w:r>
      <w:r w:rsidRPr="00C95F82">
        <w:rPr>
          <w:i/>
          <w:noProof/>
        </w:rPr>
        <w:t>Cardiology Clinics,</w:t>
      </w:r>
      <w:r w:rsidRPr="00C95F82">
        <w:rPr>
          <w:noProof/>
        </w:rPr>
        <w:t xml:space="preserve"> 38(1), pp. 65-74.</w:t>
      </w:r>
    </w:p>
    <w:p w14:paraId="1F264F78" w14:textId="77777777" w:rsidR="00C95F82" w:rsidRPr="00C95F82" w:rsidRDefault="00C95F82" w:rsidP="00C95F82">
      <w:pPr>
        <w:pStyle w:val="EndNoteBibliography"/>
        <w:spacing w:after="240"/>
        <w:rPr>
          <w:noProof/>
        </w:rPr>
      </w:pPr>
      <w:r w:rsidRPr="00C95F82">
        <w:rPr>
          <w:noProof/>
        </w:rPr>
        <w:t xml:space="preserve">Chambers, J. B., Parkin, D., Rimington, H., Subbiah, S., Campbell, B., Demetrescu, C., Hayes, A. and Rajani, R. (2020) 'Specialist valve clinic in a cardiac centre: 10-year experience', </w:t>
      </w:r>
      <w:r w:rsidRPr="00C95F82">
        <w:rPr>
          <w:i/>
          <w:noProof/>
        </w:rPr>
        <w:t>Open Heart,</w:t>
      </w:r>
      <w:r w:rsidRPr="00C95F82">
        <w:rPr>
          <w:noProof/>
        </w:rPr>
        <w:t xml:space="preserve"> 7(1), pp. e001262.</w:t>
      </w:r>
    </w:p>
    <w:p w14:paraId="3231573A" w14:textId="77777777" w:rsidR="00C95F82" w:rsidRPr="00C95F82" w:rsidRDefault="00C95F82" w:rsidP="00C95F82">
      <w:pPr>
        <w:pStyle w:val="EndNoteBibliography"/>
        <w:spacing w:after="240"/>
        <w:rPr>
          <w:noProof/>
        </w:rPr>
      </w:pPr>
      <w:r w:rsidRPr="00C95F82">
        <w:rPr>
          <w:noProof/>
        </w:rPr>
        <w:t xml:space="preserve">Chand, S. P. (2025) 'Methods of data collection in qualitative research: Interviews, focus groups, observations, and document analysis', </w:t>
      </w:r>
      <w:r w:rsidRPr="00C95F82">
        <w:rPr>
          <w:i/>
          <w:noProof/>
        </w:rPr>
        <w:t>Advances in Educational Research and Evaluation,</w:t>
      </w:r>
      <w:r w:rsidRPr="00C95F82">
        <w:rPr>
          <w:noProof/>
        </w:rPr>
        <w:t xml:space="preserve"> 6(1), pp. 303-317.</w:t>
      </w:r>
    </w:p>
    <w:p w14:paraId="0D11149F" w14:textId="77777777" w:rsidR="00C95F82" w:rsidRPr="00C95F82" w:rsidRDefault="00C95F82" w:rsidP="00C95F82">
      <w:pPr>
        <w:pStyle w:val="EndNoteBibliography"/>
        <w:spacing w:after="240"/>
        <w:rPr>
          <w:noProof/>
        </w:rPr>
      </w:pPr>
      <w:r w:rsidRPr="00C95F82">
        <w:rPr>
          <w:noProof/>
        </w:rPr>
        <w:t xml:space="preserve">Chapman, A. B., Devuyst, O., Eckardt, K. U., Gansevoort, R. T., Harris, T., Horie, S., Kasiske, B. L., Odland, D., Pei, Y., Perrone, R. D., Pirson, Y., Schrier, R. W., Torra, R., Torres, V. E., Watnick, T. and Wheeler, D. C. (2015) 'Autosomal-dominant polycystic kidney disease (ADPKD): executive summary from a Kidney Disease: Improving Global Outcomes (KDIGO) Controversies Conference', </w:t>
      </w:r>
      <w:r w:rsidRPr="00C95F82">
        <w:rPr>
          <w:i/>
          <w:noProof/>
        </w:rPr>
        <w:t>Kidney Int,</w:t>
      </w:r>
      <w:r w:rsidRPr="00C95F82">
        <w:rPr>
          <w:noProof/>
        </w:rPr>
        <w:t xml:space="preserve"> 88(1), pp. 17-27.</w:t>
      </w:r>
    </w:p>
    <w:p w14:paraId="28851AD4" w14:textId="77777777" w:rsidR="00C95F82" w:rsidRPr="00C95F82" w:rsidRDefault="00C95F82" w:rsidP="00C95F82">
      <w:pPr>
        <w:pStyle w:val="EndNoteBibliography"/>
        <w:spacing w:after="240"/>
        <w:rPr>
          <w:noProof/>
        </w:rPr>
      </w:pPr>
      <w:r w:rsidRPr="00C95F82">
        <w:rPr>
          <w:noProof/>
        </w:rPr>
        <w:t xml:space="preserve">Charani, E., Edwards, R., Sevdalis, N., Alexandrou, B., Sibley, E., Mullett, D., Franklin, B. D. and Holmes, A. (2011) 'Behavior change strategies to influence antimicrobial prescribing in acute care: a systematic review', </w:t>
      </w:r>
      <w:r w:rsidRPr="00C95F82">
        <w:rPr>
          <w:i/>
          <w:noProof/>
        </w:rPr>
        <w:t>Clinical Infectious Diseases,</w:t>
      </w:r>
      <w:r w:rsidRPr="00C95F82">
        <w:rPr>
          <w:noProof/>
        </w:rPr>
        <w:t xml:space="preserve"> 53(7), pp. 651-662.</w:t>
      </w:r>
    </w:p>
    <w:p w14:paraId="401EDD16" w14:textId="77777777" w:rsidR="00C95F82" w:rsidRPr="00C95F82" w:rsidRDefault="00C95F82" w:rsidP="00C95F82">
      <w:pPr>
        <w:pStyle w:val="EndNoteBibliography"/>
        <w:spacing w:after="240"/>
        <w:rPr>
          <w:noProof/>
        </w:rPr>
      </w:pPr>
      <w:r w:rsidRPr="00C95F82">
        <w:rPr>
          <w:noProof/>
        </w:rPr>
        <w:t xml:space="preserve">Chaudhary, A. and Kumar, V. (2025) 'Rare diseases: a comprehensive literature review and future directions', </w:t>
      </w:r>
      <w:r w:rsidRPr="00C95F82">
        <w:rPr>
          <w:i/>
          <w:noProof/>
        </w:rPr>
        <w:t>Journal of Rare Diseases,</w:t>
      </w:r>
      <w:r w:rsidRPr="00C95F82">
        <w:rPr>
          <w:noProof/>
        </w:rPr>
        <w:t xml:space="preserve"> 4(1), pp. 33.</w:t>
      </w:r>
    </w:p>
    <w:p w14:paraId="5826877C" w14:textId="77777777" w:rsidR="00C95F82" w:rsidRPr="00C95F82" w:rsidRDefault="00C95F82" w:rsidP="00C95F82">
      <w:pPr>
        <w:pStyle w:val="EndNoteBibliography"/>
        <w:spacing w:after="240"/>
        <w:rPr>
          <w:noProof/>
        </w:rPr>
      </w:pPr>
      <w:r w:rsidRPr="00C95F82">
        <w:rPr>
          <w:noProof/>
        </w:rPr>
        <w:t xml:space="preserve">Chavez, C. (2008) 'Conceptualizing from the inside: Advantages, complications, and demands on insider positionality', </w:t>
      </w:r>
      <w:r w:rsidRPr="00C95F82">
        <w:rPr>
          <w:i/>
          <w:noProof/>
        </w:rPr>
        <w:t>The Qualitative Report,</w:t>
      </w:r>
      <w:r w:rsidRPr="00C95F82">
        <w:rPr>
          <w:noProof/>
        </w:rPr>
        <w:t xml:space="preserve"> 13(3), pp. 474-494.</w:t>
      </w:r>
    </w:p>
    <w:p w14:paraId="7A75914A" w14:textId="77777777" w:rsidR="00C95F82" w:rsidRPr="00C95F82" w:rsidRDefault="00C95F82" w:rsidP="00C95F82">
      <w:pPr>
        <w:pStyle w:val="EndNoteBibliography"/>
        <w:spacing w:after="240"/>
        <w:rPr>
          <w:noProof/>
        </w:rPr>
      </w:pPr>
      <w:r w:rsidRPr="00C95F82">
        <w:rPr>
          <w:noProof/>
        </w:rPr>
        <w:t xml:space="preserve">Chebib, F. T. and Torres, V. E. (2021) 'Assessing risk of rapid progression in autosomal dominant polycystic kidney disease and special considerations for disease-modifying therapy', </w:t>
      </w:r>
      <w:r w:rsidRPr="00C95F82">
        <w:rPr>
          <w:i/>
          <w:noProof/>
        </w:rPr>
        <w:t>American Journal of Kidney Diseases,</w:t>
      </w:r>
      <w:r w:rsidRPr="00C95F82">
        <w:rPr>
          <w:noProof/>
        </w:rPr>
        <w:t xml:space="preserve"> 78(2), pp. 282-292.</w:t>
      </w:r>
    </w:p>
    <w:p w14:paraId="337B0F7D" w14:textId="77777777" w:rsidR="00C95F82" w:rsidRPr="00C95F82" w:rsidRDefault="00C95F82" w:rsidP="00C95F82">
      <w:pPr>
        <w:pStyle w:val="EndNoteBibliography"/>
        <w:spacing w:after="240"/>
        <w:rPr>
          <w:noProof/>
        </w:rPr>
      </w:pPr>
      <w:r w:rsidRPr="00C95F82">
        <w:rPr>
          <w:noProof/>
        </w:rPr>
        <w:t xml:space="preserve">Chebib, F. T., Zhou, X., Garbinsky, D., Davenport, E., Nunna, S., Oberdhan, D. and Fernandes, A. (2023) 'Tolvaptan and Kidney Function Decline in Older Individuals With Autosomal Dominant Polycystic Kidney Disease: A Pooled Analysis of Randomized Clinical Trials and Observational Studies', </w:t>
      </w:r>
      <w:r w:rsidRPr="00C95F82">
        <w:rPr>
          <w:i/>
          <w:noProof/>
        </w:rPr>
        <w:t>Kidney Medicine,</w:t>
      </w:r>
      <w:r w:rsidRPr="00C95F82">
        <w:rPr>
          <w:noProof/>
        </w:rPr>
        <w:t xml:space="preserve"> 5(6), pp. 100639.</w:t>
      </w:r>
    </w:p>
    <w:p w14:paraId="19C46EEE" w14:textId="77777777" w:rsidR="00C95F82" w:rsidRPr="00C95F82" w:rsidRDefault="00C95F82" w:rsidP="00C95F82">
      <w:pPr>
        <w:pStyle w:val="EndNoteBibliography"/>
        <w:spacing w:after="240"/>
        <w:rPr>
          <w:noProof/>
        </w:rPr>
      </w:pPr>
      <w:r w:rsidRPr="00C95F82">
        <w:rPr>
          <w:noProof/>
        </w:rPr>
        <w:t xml:space="preserve">Chen, Q., Xu, Y., Qu, R., Luo, X. and Yang, Y. (2024) 'Clinical trial evidence supporting FDA approval of novel orphan drugs between 2017 and 2023', </w:t>
      </w:r>
      <w:r w:rsidRPr="00C95F82">
        <w:rPr>
          <w:i/>
          <w:noProof/>
        </w:rPr>
        <w:t>Drug Discovery Today,</w:t>
      </w:r>
      <w:r w:rsidRPr="00C95F82">
        <w:rPr>
          <w:noProof/>
        </w:rPr>
        <w:t xml:space="preserve"> 29(9), pp. 104102.</w:t>
      </w:r>
    </w:p>
    <w:p w14:paraId="7A579D56" w14:textId="77777777" w:rsidR="00C95F82" w:rsidRPr="00C95F82" w:rsidRDefault="00C95F82" w:rsidP="00C95F82">
      <w:pPr>
        <w:pStyle w:val="EndNoteBibliography"/>
        <w:spacing w:after="240"/>
        <w:rPr>
          <w:noProof/>
        </w:rPr>
      </w:pPr>
      <w:r w:rsidRPr="00C95F82">
        <w:rPr>
          <w:noProof/>
        </w:rPr>
        <w:t xml:space="preserve">Chen, Z., Liang, N., Zhang, H., Li, H., Yang, Y., Zong, X., Chen, Y., Wang, Y. and Shi, N. (2023) 'Harnessing the power of clinical decision support systems: challenges and opportunities', </w:t>
      </w:r>
      <w:r w:rsidRPr="00C95F82">
        <w:rPr>
          <w:i/>
          <w:noProof/>
        </w:rPr>
        <w:t>Open Heart,</w:t>
      </w:r>
      <w:r w:rsidRPr="00C95F82">
        <w:rPr>
          <w:noProof/>
        </w:rPr>
        <w:t xml:space="preserve"> 10(2), pp. e002432.</w:t>
      </w:r>
    </w:p>
    <w:p w14:paraId="06B72E43" w14:textId="77777777" w:rsidR="00C95F82" w:rsidRPr="00C95F82" w:rsidRDefault="00C95F82" w:rsidP="00C95F82">
      <w:pPr>
        <w:pStyle w:val="EndNoteBibliography"/>
        <w:spacing w:after="240"/>
        <w:rPr>
          <w:noProof/>
        </w:rPr>
      </w:pPr>
      <w:r w:rsidRPr="00C95F82">
        <w:rPr>
          <w:noProof/>
        </w:rPr>
        <w:t xml:space="preserve">Chenoweth, I. (2017) 'Barriers that practitioners face when initiating insulin therapy in general practice settings and how they can be overcome', </w:t>
      </w:r>
      <w:r w:rsidRPr="00C95F82">
        <w:rPr>
          <w:i/>
          <w:noProof/>
        </w:rPr>
        <w:t>World Journal of Diabetes,</w:t>
      </w:r>
      <w:r w:rsidRPr="00C95F82">
        <w:rPr>
          <w:noProof/>
        </w:rPr>
        <w:t xml:space="preserve"> 8(1), pp. 28.</w:t>
      </w:r>
    </w:p>
    <w:p w14:paraId="6DB7DDEF" w14:textId="77777777" w:rsidR="00C95F82" w:rsidRPr="00C95F82" w:rsidRDefault="00C95F82" w:rsidP="00C95F82">
      <w:pPr>
        <w:pStyle w:val="EndNoteBibliography"/>
        <w:spacing w:after="240"/>
        <w:rPr>
          <w:noProof/>
        </w:rPr>
      </w:pPr>
      <w:r w:rsidRPr="00C95F82">
        <w:rPr>
          <w:noProof/>
        </w:rPr>
        <w:t xml:space="preserve">Chin, K. L., Skiba, M., Tonkin, A., Reid, C. M., Liew, D., Krum, H. and Hopper, I. (2016) 'The treatment gap in patients with chronic systolic heart failure: a systematic review of evidence-based prescribing in practice', </w:t>
      </w:r>
      <w:r w:rsidRPr="00C95F82">
        <w:rPr>
          <w:i/>
          <w:noProof/>
        </w:rPr>
        <w:t>Heart Failure Reviews,</w:t>
      </w:r>
      <w:r w:rsidRPr="00C95F82">
        <w:rPr>
          <w:noProof/>
        </w:rPr>
        <w:t xml:space="preserve"> 21, pp. 675-697.</w:t>
      </w:r>
    </w:p>
    <w:p w14:paraId="6C5F3B2A" w14:textId="77777777" w:rsidR="00C95F82" w:rsidRPr="00C95F82" w:rsidRDefault="00C95F82" w:rsidP="00C95F82">
      <w:pPr>
        <w:pStyle w:val="EndNoteBibliography"/>
        <w:spacing w:after="240"/>
        <w:rPr>
          <w:noProof/>
        </w:rPr>
      </w:pPr>
      <w:r w:rsidRPr="00C95F82">
        <w:rPr>
          <w:noProof/>
        </w:rPr>
        <w:t xml:space="preserve">Cho, Y. I., Johnson, T. P. and VanGeest, J. B. (2013) 'Enhancing surveys of health care professionals: a meta-analysis of techniques to improve response', </w:t>
      </w:r>
      <w:r w:rsidRPr="00C95F82">
        <w:rPr>
          <w:i/>
          <w:noProof/>
        </w:rPr>
        <w:t>Evaluation &amp; the Health Professions,</w:t>
      </w:r>
      <w:r w:rsidRPr="00C95F82">
        <w:rPr>
          <w:noProof/>
        </w:rPr>
        <w:t xml:space="preserve"> 36(3), pp. 382-407.</w:t>
      </w:r>
    </w:p>
    <w:p w14:paraId="2CE123A9" w14:textId="77777777" w:rsidR="00C95F82" w:rsidRPr="00C95F82" w:rsidRDefault="00C95F82" w:rsidP="00C95F82">
      <w:pPr>
        <w:pStyle w:val="EndNoteBibliography"/>
        <w:spacing w:after="240"/>
        <w:rPr>
          <w:noProof/>
        </w:rPr>
      </w:pPr>
      <w:r w:rsidRPr="00C95F82">
        <w:rPr>
          <w:noProof/>
        </w:rPr>
        <w:t xml:space="preserve">Chong, J., Harris, T. and Ong, A. C. (2022) 'Regional variation in tolvaptan prescribing across England: national data and retrospective evaluation from an expert centre', </w:t>
      </w:r>
      <w:r w:rsidRPr="00C95F82">
        <w:rPr>
          <w:i/>
          <w:noProof/>
        </w:rPr>
        <w:t>Clinical Kidney Journal,</w:t>
      </w:r>
      <w:r w:rsidRPr="00C95F82">
        <w:rPr>
          <w:noProof/>
        </w:rPr>
        <w:t xml:space="preserve"> 16(1), pp. 61-68.</w:t>
      </w:r>
    </w:p>
    <w:p w14:paraId="2E699B15" w14:textId="77777777" w:rsidR="00C95F82" w:rsidRPr="00C95F82" w:rsidRDefault="00C95F82" w:rsidP="00C95F82">
      <w:pPr>
        <w:pStyle w:val="EndNoteBibliography"/>
        <w:spacing w:after="240"/>
        <w:rPr>
          <w:noProof/>
        </w:rPr>
      </w:pPr>
      <w:r w:rsidRPr="00C95F82">
        <w:rPr>
          <w:noProof/>
        </w:rPr>
        <w:t xml:space="preserve">Chren, M.-M. and Landefeld, C. S. (1994) 'Physicians' behavior and their interactions with drug companies: a controlled study of physicians who requested additions to a hospital drug formulary', </w:t>
      </w:r>
      <w:r w:rsidRPr="00C95F82">
        <w:rPr>
          <w:i/>
          <w:noProof/>
        </w:rPr>
        <w:t>JAMA,</w:t>
      </w:r>
      <w:r w:rsidRPr="00C95F82">
        <w:rPr>
          <w:noProof/>
        </w:rPr>
        <w:t xml:space="preserve"> 271(9), pp. 684-689.</w:t>
      </w:r>
    </w:p>
    <w:p w14:paraId="162A0704" w14:textId="77777777" w:rsidR="00C95F82" w:rsidRPr="00C95F82" w:rsidRDefault="00C95F82" w:rsidP="00C95F82">
      <w:pPr>
        <w:pStyle w:val="EndNoteBibliography"/>
        <w:spacing w:after="240"/>
        <w:rPr>
          <w:noProof/>
        </w:rPr>
      </w:pPr>
      <w:r w:rsidRPr="00C95F82">
        <w:rPr>
          <w:noProof/>
        </w:rPr>
        <w:t xml:space="preserve">Christakis, N. A. and Fowler, J. H. (2011) 'Commentary—contagion in prescribing behavior among networks of doctors', </w:t>
      </w:r>
      <w:r w:rsidRPr="00C95F82">
        <w:rPr>
          <w:i/>
          <w:noProof/>
        </w:rPr>
        <w:t>Marketing Science,</w:t>
      </w:r>
      <w:r w:rsidRPr="00C95F82">
        <w:rPr>
          <w:noProof/>
        </w:rPr>
        <w:t xml:space="preserve"> 30(2), pp. 213-216.</w:t>
      </w:r>
    </w:p>
    <w:p w14:paraId="5BD1F564" w14:textId="70664E9D" w:rsidR="00C95F82" w:rsidRPr="00C95F82" w:rsidRDefault="00C95F82" w:rsidP="00C95F82">
      <w:pPr>
        <w:pStyle w:val="EndNoteBibliography"/>
        <w:spacing w:after="240"/>
        <w:rPr>
          <w:noProof/>
        </w:rPr>
      </w:pPr>
      <w:r w:rsidRPr="00C95F82">
        <w:rPr>
          <w:noProof/>
        </w:rPr>
        <w:t xml:space="preserve">Cochrane Effective Practice and Organisation of Care (EPOC) (2017) </w:t>
      </w:r>
      <w:r w:rsidRPr="00C95F82">
        <w:rPr>
          <w:i/>
          <w:noProof/>
        </w:rPr>
        <w:t>Data collection form - EPOC resources for review authors</w:t>
      </w:r>
      <w:r w:rsidRPr="00C95F82">
        <w:rPr>
          <w:noProof/>
        </w:rPr>
        <w:t xml:space="preserve">. Available at: </w:t>
      </w:r>
      <w:hyperlink r:id="rId79" w:history="1">
        <w:r w:rsidRPr="00C95F82">
          <w:rPr>
            <w:rStyle w:val="Hyperlink"/>
            <w:noProof/>
          </w:rPr>
          <w:t>https://www.epoc.cochrane.org/resources/epoc-specific-resources-review-authors</w:t>
        </w:r>
      </w:hyperlink>
      <w:r w:rsidRPr="00C95F82">
        <w:rPr>
          <w:noProof/>
        </w:rPr>
        <w:t xml:space="preserve"> (Accessed: 10/04/2026).</w:t>
      </w:r>
    </w:p>
    <w:p w14:paraId="198F5ACF" w14:textId="77777777" w:rsidR="00C95F82" w:rsidRPr="00C95F82" w:rsidRDefault="00C95F82" w:rsidP="00C95F82">
      <w:pPr>
        <w:pStyle w:val="EndNoteBibliography"/>
        <w:spacing w:after="240"/>
        <w:rPr>
          <w:noProof/>
        </w:rPr>
      </w:pPr>
      <w:r w:rsidRPr="00C95F82">
        <w:rPr>
          <w:noProof/>
        </w:rPr>
        <w:t xml:space="preserve">Codish, S. and Shiffman, R. N. 'A model of ambiguity and vagueness in clinical practice guideline recommendations'. </w:t>
      </w:r>
      <w:r w:rsidRPr="00C95F82">
        <w:rPr>
          <w:i/>
          <w:noProof/>
        </w:rPr>
        <w:t>American Medical Informatics Association Annual Symposium Proceedings</w:t>
      </w:r>
      <w:r w:rsidRPr="00C95F82">
        <w:rPr>
          <w:noProof/>
        </w:rPr>
        <w:t>, Washington, DC, USA, 146.</w:t>
      </w:r>
    </w:p>
    <w:p w14:paraId="03B09356" w14:textId="77777777" w:rsidR="00C95F82" w:rsidRPr="00C95F82" w:rsidRDefault="00C95F82" w:rsidP="00C95F82">
      <w:pPr>
        <w:pStyle w:val="EndNoteBibliography"/>
        <w:spacing w:after="240"/>
        <w:rPr>
          <w:noProof/>
        </w:rPr>
      </w:pPr>
      <w:r w:rsidRPr="00C95F82">
        <w:rPr>
          <w:noProof/>
        </w:rPr>
        <w:t xml:space="preserve">Coenen, S., Michiels, B., Renard, D., Denekens, J. and Van Royen, P. (2006) 'Antibiotic prescribing for acute cough: the effect of perceived patient demand', </w:t>
      </w:r>
      <w:r w:rsidRPr="00C95F82">
        <w:rPr>
          <w:i/>
          <w:noProof/>
        </w:rPr>
        <w:t>British Journal of General Practice,</w:t>
      </w:r>
      <w:r w:rsidRPr="00C95F82">
        <w:rPr>
          <w:noProof/>
        </w:rPr>
        <w:t xml:space="preserve"> 56(524), pp. 183.</w:t>
      </w:r>
    </w:p>
    <w:p w14:paraId="1D25376D" w14:textId="77777777" w:rsidR="00C95F82" w:rsidRPr="00C95F82" w:rsidRDefault="00C95F82" w:rsidP="00C95F82">
      <w:pPr>
        <w:pStyle w:val="EndNoteBibliography"/>
        <w:spacing w:after="240"/>
        <w:rPr>
          <w:noProof/>
        </w:rPr>
      </w:pPr>
      <w:r w:rsidRPr="00C95F82">
        <w:rPr>
          <w:noProof/>
        </w:rPr>
        <w:t xml:space="preserve">Converse, L., Barrett, K., Rich, E. and Reschovsky, J. (2015) 'Methods of Observing Variations in Physicians' Decisions: The Opportunities of Clinical Vignettes', </w:t>
      </w:r>
      <w:r w:rsidRPr="00C95F82">
        <w:rPr>
          <w:i/>
          <w:noProof/>
        </w:rPr>
        <w:t>Journal of General Internal Medicine,</w:t>
      </w:r>
      <w:r w:rsidRPr="00C95F82">
        <w:rPr>
          <w:noProof/>
        </w:rPr>
        <w:t xml:space="preserve"> 30 Suppl 3(Suppl 3), pp. S586-94.</w:t>
      </w:r>
    </w:p>
    <w:p w14:paraId="298E5586" w14:textId="77777777" w:rsidR="00C95F82" w:rsidRPr="00C95F82" w:rsidRDefault="00C95F82" w:rsidP="00C95F82">
      <w:pPr>
        <w:pStyle w:val="EndNoteBibliography"/>
        <w:spacing w:after="240"/>
        <w:rPr>
          <w:noProof/>
        </w:rPr>
      </w:pPr>
      <w:r w:rsidRPr="00C95F82">
        <w:rPr>
          <w:noProof/>
        </w:rPr>
        <w:t xml:space="preserve">Cook, T. D., Campbell, D. T. and Day, A. (1979) </w:t>
      </w:r>
      <w:r w:rsidRPr="00C95F82">
        <w:rPr>
          <w:i/>
          <w:noProof/>
        </w:rPr>
        <w:t>Quasi-experimentation: Design &amp; analysis issues for field settings.</w:t>
      </w:r>
      <w:r w:rsidRPr="00C95F82">
        <w:rPr>
          <w:noProof/>
        </w:rPr>
        <w:t xml:space="preserve"> Houghton Mifflin Boston.</w:t>
      </w:r>
    </w:p>
    <w:p w14:paraId="67622B0A" w14:textId="77777777" w:rsidR="00C95F82" w:rsidRPr="00C95F82" w:rsidRDefault="00C95F82" w:rsidP="00C95F82">
      <w:pPr>
        <w:pStyle w:val="EndNoteBibliography"/>
        <w:spacing w:after="240"/>
        <w:rPr>
          <w:noProof/>
        </w:rPr>
      </w:pPr>
      <w:r w:rsidRPr="00C95F82">
        <w:rPr>
          <w:noProof/>
        </w:rPr>
        <w:t xml:space="preserve">Cooke, A., Smith, D. and Booth, A. (2012) 'Beyond PICO: the SPIDER tool for qualitative evidence synthesis', </w:t>
      </w:r>
      <w:r w:rsidRPr="00C95F82">
        <w:rPr>
          <w:i/>
          <w:noProof/>
        </w:rPr>
        <w:t>Qualitative Health Research,</w:t>
      </w:r>
      <w:r w:rsidRPr="00C95F82">
        <w:rPr>
          <w:noProof/>
        </w:rPr>
        <w:t xml:space="preserve"> 22(10), pp. 1435-43.</w:t>
      </w:r>
    </w:p>
    <w:p w14:paraId="4B9D48C9" w14:textId="77777777" w:rsidR="00C95F82" w:rsidRPr="00C95F82" w:rsidRDefault="00C95F82" w:rsidP="00C95F82">
      <w:pPr>
        <w:pStyle w:val="EndNoteBibliography"/>
        <w:spacing w:after="240"/>
        <w:rPr>
          <w:noProof/>
        </w:rPr>
      </w:pPr>
      <w:r w:rsidRPr="00C95F82">
        <w:rPr>
          <w:noProof/>
        </w:rPr>
        <w:t xml:space="preserve">Cope, L. C. (2022) </w:t>
      </w:r>
      <w:r w:rsidRPr="00C95F82">
        <w:rPr>
          <w:i/>
          <w:noProof/>
        </w:rPr>
        <w:t>An investigation into patient safety with non-medical prescribing.</w:t>
      </w:r>
      <w:r w:rsidRPr="00C95F82">
        <w:rPr>
          <w:noProof/>
        </w:rPr>
        <w:t xml:space="preserve"> The University of Manchester (United Kingdom).</w:t>
      </w:r>
    </w:p>
    <w:p w14:paraId="59F35A9A" w14:textId="77777777" w:rsidR="00C95F82" w:rsidRPr="00C95F82" w:rsidRDefault="00C95F82" w:rsidP="00C95F82">
      <w:pPr>
        <w:pStyle w:val="EndNoteBibliography"/>
        <w:spacing w:after="240"/>
        <w:rPr>
          <w:noProof/>
        </w:rPr>
      </w:pPr>
      <w:r w:rsidRPr="00C95F82">
        <w:rPr>
          <w:noProof/>
        </w:rPr>
        <w:t xml:space="preserve">Cornec-Le Gall, E., Alam, A. and Perrone, R. D. (2019) 'Autosomal dominant polycystic kidney disease', </w:t>
      </w:r>
      <w:r w:rsidRPr="00C95F82">
        <w:rPr>
          <w:i/>
          <w:noProof/>
        </w:rPr>
        <w:t>The Lancet,</w:t>
      </w:r>
      <w:r w:rsidRPr="00C95F82">
        <w:rPr>
          <w:noProof/>
        </w:rPr>
        <w:t xml:space="preserve"> 393(10174), pp. 919-935.</w:t>
      </w:r>
    </w:p>
    <w:p w14:paraId="5C97C2A3" w14:textId="77777777" w:rsidR="00C95F82" w:rsidRPr="00C95F82" w:rsidRDefault="00C95F82" w:rsidP="00C95F82">
      <w:pPr>
        <w:pStyle w:val="EndNoteBibliography"/>
        <w:spacing w:after="240"/>
        <w:rPr>
          <w:noProof/>
        </w:rPr>
      </w:pPr>
      <w:r w:rsidRPr="00C95F82">
        <w:rPr>
          <w:noProof/>
        </w:rPr>
        <w:t xml:space="preserve">Cornec-Le Gall, E., Audrézet, M.-P., Rousseau, A., Hourmant, M., Renaudineau, E., Charasse, C., Morin, M.-P., Moal, M.-C., Dantal, J. and Wehbe, B. (2016) 'The PROPKD score: a new algorithm to predict renal survival in autosomal dominant polycystic kidney disease', </w:t>
      </w:r>
      <w:r w:rsidRPr="00C95F82">
        <w:rPr>
          <w:i/>
          <w:noProof/>
        </w:rPr>
        <w:t>Journal of the American Society of Nephrology,</w:t>
      </w:r>
      <w:r w:rsidRPr="00C95F82">
        <w:rPr>
          <w:noProof/>
        </w:rPr>
        <w:t xml:space="preserve"> 27(3), pp. 942.</w:t>
      </w:r>
    </w:p>
    <w:p w14:paraId="0F66B59B" w14:textId="64CB00F8" w:rsidR="00C95F82" w:rsidRPr="00C95F82" w:rsidRDefault="00C95F82" w:rsidP="00C95F82">
      <w:pPr>
        <w:pStyle w:val="EndNoteBibliography"/>
        <w:spacing w:after="240"/>
        <w:rPr>
          <w:noProof/>
        </w:rPr>
      </w:pPr>
      <w:r w:rsidRPr="00C95F82">
        <w:rPr>
          <w:noProof/>
        </w:rPr>
        <w:t xml:space="preserve">Coulter, A. and Collins, A. (2011) </w:t>
      </w:r>
      <w:r w:rsidRPr="00C95F82">
        <w:rPr>
          <w:i/>
          <w:noProof/>
        </w:rPr>
        <w:t>Making shared decision-making a reality</w:t>
      </w:r>
      <w:r w:rsidRPr="00C95F82">
        <w:rPr>
          <w:noProof/>
        </w:rPr>
        <w:t xml:space="preserve">. London: King's Fund. Available at: </w:t>
      </w:r>
      <w:hyperlink r:id="rId80" w:history="1">
        <w:r w:rsidRPr="00C95F82">
          <w:rPr>
            <w:rStyle w:val="Hyperlink"/>
            <w:noProof/>
          </w:rPr>
          <w:t>https://www.kingsfund.org.uk/insight-and-analysis/reports/making-shared-decision-making-reality</w:t>
        </w:r>
      </w:hyperlink>
      <w:r w:rsidRPr="00C95F82">
        <w:rPr>
          <w:noProof/>
        </w:rPr>
        <w:t xml:space="preserve"> (Accessed: 26/04/2026) Volume 621).</w:t>
      </w:r>
    </w:p>
    <w:p w14:paraId="728A5973" w14:textId="77777777" w:rsidR="00C95F82" w:rsidRPr="00C95F82" w:rsidRDefault="00C95F82" w:rsidP="00C95F82">
      <w:pPr>
        <w:pStyle w:val="EndNoteBibliography"/>
        <w:spacing w:after="240"/>
        <w:rPr>
          <w:noProof/>
        </w:rPr>
      </w:pPr>
      <w:r w:rsidRPr="00C95F82">
        <w:rPr>
          <w:noProof/>
        </w:rPr>
        <w:t xml:space="preserve">Coulter, A. and Ellins, J. (2007) 'Effectiveness of strategies for informing, educating, and involving patients', </w:t>
      </w:r>
      <w:r w:rsidRPr="00C95F82">
        <w:rPr>
          <w:i/>
          <w:noProof/>
        </w:rPr>
        <w:t>Bmj,</w:t>
      </w:r>
      <w:r w:rsidRPr="00C95F82">
        <w:rPr>
          <w:noProof/>
        </w:rPr>
        <w:t xml:space="preserve"> 335(7609), pp. 24-27.</w:t>
      </w:r>
    </w:p>
    <w:p w14:paraId="3FA00396" w14:textId="77777777" w:rsidR="00C95F82" w:rsidRPr="00C95F82" w:rsidRDefault="00C95F82" w:rsidP="00C95F82">
      <w:pPr>
        <w:pStyle w:val="EndNoteBibliography"/>
        <w:spacing w:after="240"/>
        <w:rPr>
          <w:noProof/>
        </w:rPr>
      </w:pPr>
      <w:r w:rsidRPr="00C95F82">
        <w:rPr>
          <w:noProof/>
        </w:rPr>
        <w:t xml:space="preserve">Courbier, S., Dimond, R. and Bros-Facer, V. (2019) 'Share and protect our health data: an evidence based approach to rare disease patients’ perspectives on data sharing and data protection-quantitative survey and recommendations', </w:t>
      </w:r>
      <w:r w:rsidRPr="00C95F82">
        <w:rPr>
          <w:i/>
          <w:noProof/>
        </w:rPr>
        <w:t>Orphanet Journal of Rare Diseases,</w:t>
      </w:r>
      <w:r w:rsidRPr="00C95F82">
        <w:rPr>
          <w:noProof/>
        </w:rPr>
        <w:t xml:space="preserve"> 14(1), pp. 175.</w:t>
      </w:r>
    </w:p>
    <w:p w14:paraId="2943DBC5" w14:textId="77777777" w:rsidR="00C95F82" w:rsidRPr="00C95F82" w:rsidRDefault="00C95F82" w:rsidP="00C95F82">
      <w:pPr>
        <w:pStyle w:val="EndNoteBibliography"/>
        <w:spacing w:after="240"/>
        <w:rPr>
          <w:noProof/>
        </w:rPr>
      </w:pPr>
      <w:r w:rsidRPr="00C95F82">
        <w:rPr>
          <w:noProof/>
        </w:rPr>
        <w:t xml:space="preserve">Cox, L., Wong, E., Evans, K. M., Medcalf, J. and Pyart, R. (2020) 'The Challenges of Using UK Renal Registry Data to Audit the Care of Patients with Diabetes on Renal Replacement Therapy', </w:t>
      </w:r>
      <w:r w:rsidRPr="00C95F82">
        <w:rPr>
          <w:i/>
          <w:noProof/>
        </w:rPr>
        <w:t>Nephron,</w:t>
      </w:r>
      <w:r w:rsidRPr="00C95F82">
        <w:rPr>
          <w:noProof/>
        </w:rPr>
        <w:t xml:space="preserve"> 144(9), pp. 440-446.</w:t>
      </w:r>
    </w:p>
    <w:p w14:paraId="23B12A13" w14:textId="77777777" w:rsidR="00C95F82" w:rsidRPr="00C95F82" w:rsidRDefault="00C95F82" w:rsidP="00C95F82">
      <w:pPr>
        <w:pStyle w:val="EndNoteBibliography"/>
        <w:spacing w:after="240"/>
        <w:rPr>
          <w:noProof/>
        </w:rPr>
      </w:pPr>
      <w:r w:rsidRPr="00C95F82">
        <w:rPr>
          <w:noProof/>
        </w:rPr>
        <w:t xml:space="preserve">Creswell, J. W. and Plano Clark, V. L. (2017) </w:t>
      </w:r>
      <w:r w:rsidRPr="00C95F82">
        <w:rPr>
          <w:i/>
          <w:noProof/>
        </w:rPr>
        <w:t>Designing and conducting mixed methods research.</w:t>
      </w:r>
      <w:r w:rsidRPr="00C95F82">
        <w:rPr>
          <w:noProof/>
        </w:rPr>
        <w:t xml:space="preserve"> London, UK: SAGE Publications Ltd, p. 1-512.</w:t>
      </w:r>
    </w:p>
    <w:p w14:paraId="2F328B4D" w14:textId="77777777" w:rsidR="00C95F82" w:rsidRPr="00C95F82" w:rsidRDefault="00C95F82" w:rsidP="00C95F82">
      <w:pPr>
        <w:pStyle w:val="EndNoteBibliography"/>
        <w:spacing w:after="240"/>
        <w:rPr>
          <w:noProof/>
        </w:rPr>
      </w:pPr>
      <w:r w:rsidRPr="00C95F82">
        <w:rPr>
          <w:noProof/>
        </w:rPr>
        <w:t xml:space="preserve">Cruzes, D. and Dybå, T. (2011) 'Recommended Steps for Thematic Synthesis in Software Engineering', </w:t>
      </w:r>
      <w:r w:rsidRPr="00C95F82">
        <w:rPr>
          <w:i/>
          <w:noProof/>
        </w:rPr>
        <w:t>ESEM 2011: Proceedings of the 2011 International Symposium on Empirical Software Engineering and Measurement,</w:t>
      </w:r>
      <w:r w:rsidRPr="00C95F82">
        <w:rPr>
          <w:noProof/>
        </w:rPr>
        <w:t xml:space="preserve"> 1(1), pp. 275-284.</w:t>
      </w:r>
    </w:p>
    <w:p w14:paraId="332FC978" w14:textId="77777777" w:rsidR="00C95F82" w:rsidRPr="00C95F82" w:rsidRDefault="00C95F82" w:rsidP="00C95F82">
      <w:pPr>
        <w:pStyle w:val="EndNoteBibliography"/>
        <w:spacing w:after="240"/>
        <w:rPr>
          <w:noProof/>
        </w:rPr>
      </w:pPr>
      <w:r w:rsidRPr="00C95F82">
        <w:rPr>
          <w:noProof/>
        </w:rPr>
        <w:t xml:space="preserve">Cunico, C. and Leite, S. N. (2023) 'Role of pharmacists in the context of rare diseases: a scoping review protocol', </w:t>
      </w:r>
      <w:r w:rsidRPr="00C95F82">
        <w:rPr>
          <w:i/>
          <w:noProof/>
        </w:rPr>
        <w:t>BMJ Open,</w:t>
      </w:r>
      <w:r w:rsidRPr="00C95F82">
        <w:rPr>
          <w:noProof/>
        </w:rPr>
        <w:t xml:space="preserve"> 13(11), pp. e072001.</w:t>
      </w:r>
    </w:p>
    <w:p w14:paraId="6B80D85F" w14:textId="77777777" w:rsidR="00C95F82" w:rsidRPr="00C95F82" w:rsidRDefault="00C95F82" w:rsidP="00C95F82">
      <w:pPr>
        <w:pStyle w:val="EndNoteBibliography"/>
        <w:spacing w:after="240"/>
        <w:rPr>
          <w:noProof/>
        </w:rPr>
      </w:pPr>
      <w:r w:rsidRPr="00C95F82">
        <w:rPr>
          <w:noProof/>
        </w:rPr>
        <w:t xml:space="preserve">Cunningham, C. T., Quan, H., Hemmelgarn, B., Noseworthy, T., Beck, C. A., Dixon, E., Samuel, S., Ghali, W. A., Sykes, L. L. and Jetté, N. (2015) 'Exploring physician specialist response rates to web-based surveys', </w:t>
      </w:r>
      <w:r w:rsidRPr="00C95F82">
        <w:rPr>
          <w:i/>
          <w:noProof/>
        </w:rPr>
        <w:t>BMC Medical Research Methodology,</w:t>
      </w:r>
      <w:r w:rsidRPr="00C95F82">
        <w:rPr>
          <w:noProof/>
        </w:rPr>
        <w:t xml:space="preserve"> 15(1), pp. 32.</w:t>
      </w:r>
    </w:p>
    <w:p w14:paraId="5C3EDB2C" w14:textId="77777777" w:rsidR="00C95F82" w:rsidRPr="00C95F82" w:rsidRDefault="00C95F82" w:rsidP="00C95F82">
      <w:pPr>
        <w:pStyle w:val="EndNoteBibliography"/>
        <w:spacing w:after="240"/>
        <w:rPr>
          <w:noProof/>
        </w:rPr>
      </w:pPr>
      <w:r w:rsidRPr="00C95F82">
        <w:rPr>
          <w:noProof/>
        </w:rPr>
        <w:t xml:space="preserve">Curry, L. A., Krumholz, H. M., O’Cathain, A., Clark, V. L. P., Cherlin, E. and Bradley, E. H. (2013) 'Mixed methods in biomedical and health services research', </w:t>
      </w:r>
      <w:r w:rsidRPr="00C95F82">
        <w:rPr>
          <w:i/>
          <w:noProof/>
        </w:rPr>
        <w:t>Circulation: Cardiovascular Quality and Outcomes,</w:t>
      </w:r>
      <w:r w:rsidRPr="00C95F82">
        <w:rPr>
          <w:noProof/>
        </w:rPr>
        <w:t xml:space="preserve"> 6(1), pp. 119-123.</w:t>
      </w:r>
    </w:p>
    <w:p w14:paraId="65BBDB43" w14:textId="77777777" w:rsidR="00C95F82" w:rsidRPr="00C95F82" w:rsidRDefault="00C95F82" w:rsidP="00C95F82">
      <w:pPr>
        <w:pStyle w:val="EndNoteBibliography"/>
        <w:spacing w:after="240"/>
        <w:rPr>
          <w:noProof/>
        </w:rPr>
      </w:pPr>
      <w:r w:rsidRPr="00C95F82">
        <w:rPr>
          <w:noProof/>
        </w:rPr>
        <w:t xml:space="preserve">Damarell, R. A., Morgan, D. D. and Tieman, J. J. (2020) 'General practitioner strategies for managing patients with multimorbidity: a systematic review and thematic synthesis of qualitative research', </w:t>
      </w:r>
      <w:r w:rsidRPr="00C95F82">
        <w:rPr>
          <w:i/>
          <w:noProof/>
        </w:rPr>
        <w:t>BMC Family Practice,</w:t>
      </w:r>
      <w:r w:rsidRPr="00C95F82">
        <w:rPr>
          <w:noProof/>
        </w:rPr>
        <w:t xml:space="preserve"> 21(1), pp. 131.</w:t>
      </w:r>
    </w:p>
    <w:p w14:paraId="16FD3DA1" w14:textId="77777777" w:rsidR="00C95F82" w:rsidRPr="00C95F82" w:rsidRDefault="00C95F82" w:rsidP="00C95F82">
      <w:pPr>
        <w:pStyle w:val="EndNoteBibliography"/>
        <w:spacing w:after="240"/>
        <w:rPr>
          <w:noProof/>
        </w:rPr>
      </w:pPr>
      <w:r w:rsidRPr="00C95F82">
        <w:rPr>
          <w:noProof/>
        </w:rPr>
        <w:t xml:space="preserve">Damschroder, L. J., Aron, D. C., Keith, R. E., Kirsh, S. R., Alexander, J. A. and Lowery, J. C. (2009) 'Fostering implementation of health services research findings into practice: a consolidated framework for advancing implementation science', </w:t>
      </w:r>
      <w:r w:rsidRPr="00C95F82">
        <w:rPr>
          <w:i/>
          <w:noProof/>
        </w:rPr>
        <w:t>Implementation science,</w:t>
      </w:r>
      <w:r w:rsidRPr="00C95F82">
        <w:rPr>
          <w:noProof/>
        </w:rPr>
        <w:t xml:space="preserve"> 4(1), pp. 50.</w:t>
      </w:r>
    </w:p>
    <w:p w14:paraId="74804460" w14:textId="77777777" w:rsidR="00C95F82" w:rsidRPr="00C95F82" w:rsidRDefault="00C95F82" w:rsidP="00C95F82">
      <w:pPr>
        <w:pStyle w:val="EndNoteBibliography"/>
        <w:spacing w:after="240"/>
        <w:rPr>
          <w:noProof/>
        </w:rPr>
      </w:pPr>
      <w:r w:rsidRPr="00C95F82">
        <w:rPr>
          <w:noProof/>
        </w:rPr>
        <w:t xml:space="preserve">Damschroder, L. J., Reardon, C. M., Widerquist, M. A. O. and Lowery, J. (2022) 'The updated Consolidated Framework for Implementation Research based on user feedback', </w:t>
      </w:r>
      <w:r w:rsidRPr="00C95F82">
        <w:rPr>
          <w:i/>
          <w:noProof/>
        </w:rPr>
        <w:t>Implementation Science,</w:t>
      </w:r>
      <w:r w:rsidRPr="00C95F82">
        <w:rPr>
          <w:noProof/>
        </w:rPr>
        <w:t xml:space="preserve"> 17(1), pp. 75.</w:t>
      </w:r>
    </w:p>
    <w:p w14:paraId="5BD7DBF0" w14:textId="77777777" w:rsidR="00C95F82" w:rsidRPr="00C95F82" w:rsidRDefault="00C95F82" w:rsidP="00C95F82">
      <w:pPr>
        <w:pStyle w:val="EndNoteBibliography"/>
        <w:spacing w:after="240"/>
        <w:rPr>
          <w:noProof/>
        </w:rPr>
      </w:pPr>
      <w:r w:rsidRPr="00C95F82">
        <w:rPr>
          <w:noProof/>
        </w:rPr>
        <w:t xml:space="preserve">Davari, M., Khorasani, E. and Tigabu, B. M. (2018) 'Factors Influencing Prescribing Decisions of Physicians: A Review', </w:t>
      </w:r>
      <w:r w:rsidRPr="00C95F82">
        <w:rPr>
          <w:i/>
          <w:noProof/>
        </w:rPr>
        <w:t>Ethiopian Journal of Health Sciences,</w:t>
      </w:r>
      <w:r w:rsidRPr="00C95F82">
        <w:rPr>
          <w:noProof/>
        </w:rPr>
        <w:t xml:space="preserve"> 28(6), pp. 795-804.</w:t>
      </w:r>
    </w:p>
    <w:p w14:paraId="167DEDA5" w14:textId="77777777" w:rsidR="00C95F82" w:rsidRPr="00C95F82" w:rsidRDefault="00C95F82" w:rsidP="00C95F82">
      <w:pPr>
        <w:pStyle w:val="EndNoteBibliography"/>
        <w:spacing w:after="240"/>
        <w:rPr>
          <w:noProof/>
        </w:rPr>
      </w:pPr>
      <w:r w:rsidRPr="00C95F82">
        <w:rPr>
          <w:noProof/>
        </w:rPr>
        <w:t xml:space="preserve">Dayer, V. W., Drummond, M. F., Dabbous, O., Toumi, M., Neumann, P., Tunis, S., Teich, N., Saleh, S., Persson, U. and von der Schulenburg, J.-M. G. (2024) 'Real-world evidence for coverage determination of treatments for rare diseases', </w:t>
      </w:r>
      <w:r w:rsidRPr="00C95F82">
        <w:rPr>
          <w:i/>
          <w:noProof/>
        </w:rPr>
        <w:t>Orphanet Journal of Rare Diseases,</w:t>
      </w:r>
      <w:r w:rsidRPr="00C95F82">
        <w:rPr>
          <w:noProof/>
        </w:rPr>
        <w:t xml:space="preserve"> 19(1), pp. 47.</w:t>
      </w:r>
    </w:p>
    <w:p w14:paraId="47D33EAB" w14:textId="3FFE9BBE" w:rsidR="00C95F82" w:rsidRPr="00C95F82" w:rsidRDefault="00C95F82" w:rsidP="00C95F82">
      <w:pPr>
        <w:pStyle w:val="EndNoteBibliography"/>
        <w:spacing w:after="240"/>
        <w:rPr>
          <w:noProof/>
        </w:rPr>
      </w:pPr>
      <w:r w:rsidRPr="00C95F82">
        <w:rPr>
          <w:noProof/>
        </w:rPr>
        <w:t xml:space="preserve">De Vries, T., Henning, R. H., Hogerzeil, H. V. and Fresle, D. (1994) </w:t>
      </w:r>
      <w:r w:rsidRPr="00C95F82">
        <w:rPr>
          <w:i/>
          <w:noProof/>
        </w:rPr>
        <w:t>Guide to good prescribing: a practical manual</w:t>
      </w:r>
      <w:r w:rsidRPr="00C95F82">
        <w:rPr>
          <w:noProof/>
        </w:rPr>
        <w:t xml:space="preserve">: World Health Organization. Available at: </w:t>
      </w:r>
      <w:hyperlink r:id="rId81" w:history="1">
        <w:r w:rsidRPr="00C95F82">
          <w:rPr>
            <w:rStyle w:val="Hyperlink"/>
            <w:noProof/>
          </w:rPr>
          <w:t>https://iris.who.int/bitstreams/4e79820f-9519-4687-91f6-38b89f96d334/download</w:t>
        </w:r>
      </w:hyperlink>
      <w:r w:rsidRPr="00C95F82">
        <w:rPr>
          <w:noProof/>
        </w:rPr>
        <w:t xml:space="preserve"> (Accessed: 15/03/2026).</w:t>
      </w:r>
    </w:p>
    <w:p w14:paraId="2479EB35" w14:textId="77777777" w:rsidR="00C95F82" w:rsidRPr="00C95F82" w:rsidRDefault="00C95F82" w:rsidP="00C95F82">
      <w:pPr>
        <w:pStyle w:val="EndNoteBibliography"/>
        <w:spacing w:after="240"/>
        <w:rPr>
          <w:noProof/>
        </w:rPr>
      </w:pPr>
      <w:r w:rsidRPr="00C95F82">
        <w:rPr>
          <w:noProof/>
        </w:rPr>
        <w:t xml:space="preserve">Delaye, J., Cacciatore, P. and Kole, A. (2022) 'Valuing the "Burden" and Impact of Rare Diseases: A Scoping Review', </w:t>
      </w:r>
      <w:r w:rsidRPr="00C95F82">
        <w:rPr>
          <w:i/>
          <w:noProof/>
        </w:rPr>
        <w:t>Frontiers in Pharmacology,</w:t>
      </w:r>
      <w:r w:rsidRPr="00C95F82">
        <w:rPr>
          <w:noProof/>
        </w:rPr>
        <w:t xml:space="preserve"> 13, pp. 914338.</w:t>
      </w:r>
    </w:p>
    <w:p w14:paraId="1DA1E5AC" w14:textId="77777777" w:rsidR="00C95F82" w:rsidRPr="00C95F82" w:rsidRDefault="00C95F82" w:rsidP="00C95F82">
      <w:pPr>
        <w:pStyle w:val="EndNoteBibliography"/>
        <w:spacing w:after="240"/>
        <w:rPr>
          <w:noProof/>
        </w:rPr>
      </w:pPr>
      <w:r w:rsidRPr="00C95F82">
        <w:rPr>
          <w:noProof/>
        </w:rPr>
        <w:t xml:space="preserve">Dempsey, P. P., Businger, A. C., Whaley, L. E., Gagne, J. J. and Linder, J. A. (2014) 'Primary care clinicians’ perceptions about antibiotic prescribing for acute bronchitis: a qualitative study', </w:t>
      </w:r>
      <w:r w:rsidRPr="00C95F82">
        <w:rPr>
          <w:i/>
          <w:noProof/>
        </w:rPr>
        <w:t>BMC Family Practice,</w:t>
      </w:r>
      <w:r w:rsidRPr="00C95F82">
        <w:rPr>
          <w:noProof/>
        </w:rPr>
        <w:t xml:space="preserve"> 15, pp. 1-10.</w:t>
      </w:r>
    </w:p>
    <w:p w14:paraId="2D7E2E27" w14:textId="77777777" w:rsidR="00C95F82" w:rsidRPr="00C95F82" w:rsidRDefault="00C95F82" w:rsidP="00C95F82">
      <w:pPr>
        <w:pStyle w:val="EndNoteBibliography"/>
        <w:spacing w:after="240"/>
        <w:rPr>
          <w:noProof/>
        </w:rPr>
      </w:pPr>
      <w:r w:rsidRPr="00C95F82">
        <w:rPr>
          <w:noProof/>
        </w:rPr>
        <w:t xml:space="preserve">Demsash, A. W., Kassie, S. Y., Dubale, A. T., Chereka, A. A., Ngusie, H. S., Hunde, M. K., Emanu, M. D., Shibabaw, A. A. and Walle, A. D. (2023) 'Health professionals’ routine practice documentation and its associated factors in a resource-limited setting: a cross-sectional study', </w:t>
      </w:r>
      <w:r w:rsidRPr="00C95F82">
        <w:rPr>
          <w:i/>
          <w:noProof/>
        </w:rPr>
        <w:t>BMJ Health &amp; Care Informatics,</w:t>
      </w:r>
      <w:r w:rsidRPr="00C95F82">
        <w:rPr>
          <w:noProof/>
        </w:rPr>
        <w:t xml:space="preserve"> 30(1), pp. e100699.</w:t>
      </w:r>
    </w:p>
    <w:p w14:paraId="6161B402" w14:textId="77777777" w:rsidR="00C95F82" w:rsidRPr="00C95F82" w:rsidRDefault="00C95F82" w:rsidP="00C95F82">
      <w:pPr>
        <w:pStyle w:val="EndNoteBibliography"/>
        <w:spacing w:after="240"/>
        <w:rPr>
          <w:noProof/>
        </w:rPr>
      </w:pPr>
      <w:r w:rsidRPr="00C95F82">
        <w:rPr>
          <w:noProof/>
        </w:rPr>
        <w:t xml:space="preserve">Denig, P., Haaijer-Ruskamp, F., Wesseling, H. and Versluis, A. (1993) 'Towards understanding treatment preferences of hospital physicians', </w:t>
      </w:r>
      <w:r w:rsidRPr="00C95F82">
        <w:rPr>
          <w:i/>
          <w:noProof/>
        </w:rPr>
        <w:t>Social Science &amp; Medicine,</w:t>
      </w:r>
      <w:r w:rsidRPr="00C95F82">
        <w:rPr>
          <w:noProof/>
        </w:rPr>
        <w:t xml:space="preserve"> 36(7), pp. 915-924.</w:t>
      </w:r>
    </w:p>
    <w:p w14:paraId="4A2CC00C" w14:textId="77777777" w:rsidR="00C95F82" w:rsidRPr="00C95F82" w:rsidRDefault="00C95F82" w:rsidP="00C95F82">
      <w:pPr>
        <w:pStyle w:val="EndNoteBibliography"/>
        <w:spacing w:after="240"/>
        <w:rPr>
          <w:noProof/>
        </w:rPr>
      </w:pPr>
      <w:r w:rsidRPr="00C95F82">
        <w:rPr>
          <w:noProof/>
        </w:rPr>
        <w:t xml:space="preserve">Denig, P., Haaijer-Ruskamp, F. and Zijsling, D. (1988) 'How physicians choose drugs', </w:t>
      </w:r>
      <w:r w:rsidRPr="00C95F82">
        <w:rPr>
          <w:i/>
          <w:noProof/>
        </w:rPr>
        <w:t>Social Science &amp; Medicine,</w:t>
      </w:r>
      <w:r w:rsidRPr="00C95F82">
        <w:rPr>
          <w:noProof/>
        </w:rPr>
        <w:t xml:space="preserve"> 27(12), pp. 1381-1386.</w:t>
      </w:r>
    </w:p>
    <w:p w14:paraId="37C5F42E" w14:textId="15FBA626" w:rsidR="00C95F82" w:rsidRPr="00C95F82" w:rsidRDefault="00C95F82" w:rsidP="00C95F82">
      <w:pPr>
        <w:pStyle w:val="EndNoteBibliography"/>
        <w:spacing w:after="240"/>
        <w:rPr>
          <w:noProof/>
        </w:rPr>
      </w:pPr>
      <w:r w:rsidRPr="00C95F82">
        <w:rPr>
          <w:noProof/>
        </w:rPr>
        <w:t xml:space="preserve">Department of Health and Social Care (2012) </w:t>
      </w:r>
      <w:r w:rsidRPr="00C95F82">
        <w:rPr>
          <w:i/>
          <w:noProof/>
        </w:rPr>
        <w:t>Long term conditions compendium of information: Third edition</w:t>
      </w:r>
      <w:r w:rsidRPr="00C95F82">
        <w:rPr>
          <w:noProof/>
        </w:rPr>
        <w:t xml:space="preserve">. Available at: </w:t>
      </w:r>
      <w:hyperlink r:id="rId82" w:history="1">
        <w:r w:rsidRPr="00C95F82">
          <w:rPr>
            <w:rStyle w:val="Hyperlink"/>
            <w:noProof/>
          </w:rPr>
          <w:t>https://assets.publishing.service.gov.uk/media/5a7c638340f0b62aff6c154e/dh_134486.pdf</w:t>
        </w:r>
      </w:hyperlink>
      <w:r w:rsidRPr="00C95F82">
        <w:rPr>
          <w:noProof/>
        </w:rPr>
        <w:t xml:space="preserve"> (Accessed: 03/04/2026).</w:t>
      </w:r>
    </w:p>
    <w:p w14:paraId="5EC19D3D" w14:textId="5B3C6B1C" w:rsidR="00C95F82" w:rsidRPr="00C95F82" w:rsidRDefault="00C95F82" w:rsidP="00C95F82">
      <w:pPr>
        <w:pStyle w:val="EndNoteBibliography"/>
        <w:spacing w:after="240"/>
        <w:rPr>
          <w:noProof/>
        </w:rPr>
      </w:pPr>
      <w:r w:rsidRPr="00C95F82">
        <w:rPr>
          <w:noProof/>
        </w:rPr>
        <w:t xml:space="preserve">Department of Health and Social Care (2017) </w:t>
      </w:r>
      <w:r w:rsidRPr="00C95F82">
        <w:rPr>
          <w:i/>
          <w:noProof/>
        </w:rPr>
        <w:t>The NHS Atlas for Variation in Diagnostic Services</w:t>
      </w:r>
      <w:r w:rsidRPr="00C95F82">
        <w:rPr>
          <w:noProof/>
        </w:rPr>
        <w:t xml:space="preserve">. Available at: </w:t>
      </w:r>
      <w:hyperlink r:id="rId83" w:history="1">
        <w:r w:rsidRPr="00C95F82">
          <w:rPr>
            <w:rStyle w:val="Hyperlink"/>
            <w:noProof/>
          </w:rPr>
          <w:t>https://www.google.com/url?sa=t&amp;source=web&amp;rct=j&amp;opi=89978449&amp;url=https://fingertips.phe.org.uk/documents/DiagnosticAtlas_FINAL.pdf&amp;ved=2ahUKEwjn_cbF2feTAxXmSkEAHTdlJp0QFnoECBwQAQ&amp;usg=AOvVaw1HnQoExgfgq504KGqRssLY</w:t>
        </w:r>
      </w:hyperlink>
      <w:r w:rsidRPr="00C95F82">
        <w:rPr>
          <w:noProof/>
        </w:rPr>
        <w:t xml:space="preserve"> (Accessed: 18/04/2026).</w:t>
      </w:r>
    </w:p>
    <w:p w14:paraId="3C88C4E4" w14:textId="0C30DD08" w:rsidR="00C95F82" w:rsidRPr="00C95F82" w:rsidRDefault="00C95F82" w:rsidP="00C95F82">
      <w:pPr>
        <w:pStyle w:val="EndNoteBibliography"/>
        <w:spacing w:after="240"/>
        <w:rPr>
          <w:noProof/>
        </w:rPr>
      </w:pPr>
      <w:r w:rsidRPr="00C95F82">
        <w:rPr>
          <w:noProof/>
        </w:rPr>
        <w:t xml:space="preserve">Department of Health and Social Care (2021) </w:t>
      </w:r>
      <w:r w:rsidRPr="00C95F82">
        <w:rPr>
          <w:i/>
          <w:noProof/>
        </w:rPr>
        <w:t>The UK Rare Diseases Framework</w:t>
      </w:r>
      <w:r w:rsidRPr="00C95F82">
        <w:rPr>
          <w:noProof/>
        </w:rPr>
        <w:t xml:space="preserve">. Available at: </w:t>
      </w:r>
      <w:hyperlink r:id="rId84" w:history="1">
        <w:r w:rsidRPr="00C95F82">
          <w:rPr>
            <w:rStyle w:val="Hyperlink"/>
            <w:noProof/>
          </w:rPr>
          <w:t>https://www.gov.uk/government/publications/uk-rare-diseases-framework/the-uk-rare-diseases-framework</w:t>
        </w:r>
      </w:hyperlink>
      <w:r w:rsidRPr="00C95F82">
        <w:rPr>
          <w:noProof/>
        </w:rPr>
        <w:t xml:space="preserve"> (Accessed: 20/04/2026).</w:t>
      </w:r>
    </w:p>
    <w:p w14:paraId="30AC9805" w14:textId="77777777" w:rsidR="00C95F82" w:rsidRPr="00C95F82" w:rsidRDefault="00C95F82" w:rsidP="00C95F82">
      <w:pPr>
        <w:pStyle w:val="EndNoteBibliography"/>
        <w:spacing w:after="240"/>
        <w:rPr>
          <w:noProof/>
        </w:rPr>
      </w:pPr>
      <w:r w:rsidRPr="00C95F82">
        <w:rPr>
          <w:noProof/>
        </w:rPr>
        <w:t xml:space="preserve">Deslandes, P., Blowers, H., Haines, K., Hodson, K. and Deslandes, R. (2022) 'Medicines prescribed by non-medical independent prescribers in primary care in Wales: a 10-year longitudinal study April 2011–March 2021', </w:t>
      </w:r>
      <w:r w:rsidRPr="00C95F82">
        <w:rPr>
          <w:i/>
          <w:noProof/>
        </w:rPr>
        <w:t>BMJ Open,</w:t>
      </w:r>
      <w:r w:rsidRPr="00C95F82">
        <w:rPr>
          <w:noProof/>
        </w:rPr>
        <w:t xml:space="preserve"> 12(2), pp. e059204.</w:t>
      </w:r>
    </w:p>
    <w:p w14:paraId="08E8D4B8" w14:textId="77777777" w:rsidR="00C95F82" w:rsidRPr="00C95F82" w:rsidRDefault="00C95F82" w:rsidP="00C95F82">
      <w:pPr>
        <w:pStyle w:val="EndNoteBibliography"/>
        <w:spacing w:after="240"/>
        <w:rPr>
          <w:noProof/>
        </w:rPr>
      </w:pPr>
      <w:r w:rsidRPr="00C95F82">
        <w:rPr>
          <w:noProof/>
        </w:rPr>
        <w:t xml:space="preserve">Dhungana, R. R., Pedisic, Z., Pandey, A. R., Shrestha, N. and de Courten, M. (2021) 'Barriers, Enablers and Strategies for the Treatment and Control of Hypertension in Nepal: A Systematic Review', </w:t>
      </w:r>
      <w:r w:rsidRPr="00C95F82">
        <w:rPr>
          <w:i/>
          <w:noProof/>
        </w:rPr>
        <w:t>Frontiers in Cardiovascular Medicine,</w:t>
      </w:r>
      <w:r w:rsidRPr="00C95F82">
        <w:rPr>
          <w:noProof/>
        </w:rPr>
        <w:t xml:space="preserve"> 8, pp. 716080.</w:t>
      </w:r>
    </w:p>
    <w:p w14:paraId="18A9B4C9" w14:textId="77777777" w:rsidR="00C95F82" w:rsidRPr="00C95F82" w:rsidRDefault="00C95F82" w:rsidP="00C95F82">
      <w:pPr>
        <w:pStyle w:val="EndNoteBibliography"/>
        <w:spacing w:after="240"/>
        <w:rPr>
          <w:noProof/>
        </w:rPr>
      </w:pPr>
      <w:r w:rsidRPr="00C95F82">
        <w:rPr>
          <w:noProof/>
        </w:rPr>
        <w:t xml:space="preserve">Dillman, D. A., Smyth, J. D. and Christian, L. M. (2014) </w:t>
      </w:r>
      <w:r w:rsidRPr="00C95F82">
        <w:rPr>
          <w:i/>
          <w:noProof/>
        </w:rPr>
        <w:t>Internet, phone, mail, and mixed-mode surveys: The tailored design method.</w:t>
      </w:r>
      <w:r w:rsidRPr="00C95F82">
        <w:rPr>
          <w:noProof/>
        </w:rPr>
        <w:t xml:space="preserve"> Indianapolis, Indiana, USA: John Wiley &amp; Sons, p. 1-528.</w:t>
      </w:r>
    </w:p>
    <w:p w14:paraId="3B021A64" w14:textId="77777777" w:rsidR="00C95F82" w:rsidRPr="00C95F82" w:rsidRDefault="00C95F82" w:rsidP="00C95F82">
      <w:pPr>
        <w:pStyle w:val="EndNoteBibliography"/>
        <w:spacing w:after="240"/>
        <w:rPr>
          <w:noProof/>
        </w:rPr>
      </w:pPr>
      <w:r w:rsidRPr="00C95F82">
        <w:rPr>
          <w:noProof/>
        </w:rPr>
        <w:t xml:space="preserve">Dixon-Woods, M. (2011) 'Using framework-based synthesis for conducting reviews of qualitative studies', </w:t>
      </w:r>
      <w:r w:rsidRPr="00C95F82">
        <w:rPr>
          <w:i/>
          <w:noProof/>
        </w:rPr>
        <w:t>BMC Medicine,</w:t>
      </w:r>
      <w:r w:rsidRPr="00C95F82">
        <w:rPr>
          <w:noProof/>
        </w:rPr>
        <w:t xml:space="preserve"> 9, pp. 1-2.</w:t>
      </w:r>
    </w:p>
    <w:p w14:paraId="5CF1F51F" w14:textId="77777777" w:rsidR="00C95F82" w:rsidRPr="00C95F82" w:rsidRDefault="00C95F82" w:rsidP="00C95F82">
      <w:pPr>
        <w:pStyle w:val="EndNoteBibliography"/>
        <w:spacing w:after="240"/>
        <w:rPr>
          <w:noProof/>
        </w:rPr>
      </w:pPr>
      <w:r w:rsidRPr="00C95F82">
        <w:rPr>
          <w:noProof/>
        </w:rPr>
        <w:t xml:space="preserve">Doctor, G. T., Gale, D. P. and Chan, M. M. (2023) 'Genomics in the kidney clinic', </w:t>
      </w:r>
      <w:r w:rsidRPr="00C95F82">
        <w:rPr>
          <w:i/>
          <w:noProof/>
        </w:rPr>
        <w:t>Clinical Medicine,</w:t>
      </w:r>
      <w:r w:rsidRPr="00C95F82">
        <w:rPr>
          <w:noProof/>
        </w:rPr>
        <w:t xml:space="preserve"> 23(3), pp. 246-249.</w:t>
      </w:r>
    </w:p>
    <w:p w14:paraId="386396C3" w14:textId="0A1A5053" w:rsidR="00C95F82" w:rsidRPr="00C95F82" w:rsidRDefault="00C95F82" w:rsidP="00C95F82">
      <w:pPr>
        <w:pStyle w:val="EndNoteBibliography"/>
        <w:spacing w:after="240"/>
        <w:rPr>
          <w:noProof/>
        </w:rPr>
      </w:pPr>
      <w:r w:rsidRPr="00C95F82">
        <w:rPr>
          <w:noProof/>
        </w:rPr>
        <w:t xml:space="preserve">Dolan, R. (2019) </w:t>
      </w:r>
      <w:r w:rsidRPr="00C95F82">
        <w:rPr>
          <w:i/>
          <w:noProof/>
        </w:rPr>
        <w:t>Understanding the Medicaid prescription drug rebate program</w:t>
      </w:r>
      <w:r w:rsidRPr="00C95F82">
        <w:rPr>
          <w:noProof/>
        </w:rPr>
        <w:t xml:space="preserve">. Available at: </w:t>
      </w:r>
      <w:hyperlink r:id="rId85" w:history="1">
        <w:r w:rsidRPr="00C95F82">
          <w:rPr>
            <w:rStyle w:val="Hyperlink"/>
            <w:noProof/>
          </w:rPr>
          <w:t>https://www.kff.org/wp-content/uploads/2019/11/Understanding-the-Medicaid-Prescription-Drug-Rebate-Program-updated-3.2021.pdf</w:t>
        </w:r>
      </w:hyperlink>
      <w:r w:rsidRPr="00C95F82">
        <w:rPr>
          <w:noProof/>
        </w:rPr>
        <w:t xml:space="preserve"> (Accessed: 26/04/2026).</w:t>
      </w:r>
    </w:p>
    <w:p w14:paraId="34B171AB" w14:textId="77777777" w:rsidR="00C95F82" w:rsidRPr="00C95F82" w:rsidRDefault="00C95F82" w:rsidP="00C95F82">
      <w:pPr>
        <w:pStyle w:val="EndNoteBibliography"/>
        <w:spacing w:after="240"/>
        <w:rPr>
          <w:noProof/>
        </w:rPr>
      </w:pPr>
      <w:r w:rsidRPr="00C95F82">
        <w:rPr>
          <w:noProof/>
        </w:rPr>
        <w:t xml:space="preserve">Donohue, J. M., Guclu, H., Gellad, W. F., Chang, C.-C. H., Huskamp, H. A., Choudhry, N. K., Zhang, R., Lo-Ciganic, W.-H., Junker, S. P. and Anderson, T. (2018) 'Influence of peer networks on physician adoption of new drugs', </w:t>
      </w:r>
      <w:r w:rsidRPr="00C95F82">
        <w:rPr>
          <w:i/>
          <w:noProof/>
        </w:rPr>
        <w:t>PLOS One,</w:t>
      </w:r>
      <w:r w:rsidRPr="00C95F82">
        <w:rPr>
          <w:noProof/>
        </w:rPr>
        <w:t xml:space="preserve"> 13(10), pp. e0204826.</w:t>
      </w:r>
    </w:p>
    <w:p w14:paraId="02EAF5CF" w14:textId="77777777" w:rsidR="00C95F82" w:rsidRPr="00C95F82" w:rsidRDefault="00C95F82" w:rsidP="00C95F82">
      <w:pPr>
        <w:pStyle w:val="EndNoteBibliography"/>
        <w:spacing w:after="240"/>
        <w:rPr>
          <w:noProof/>
        </w:rPr>
      </w:pPr>
      <w:r w:rsidRPr="00C95F82">
        <w:rPr>
          <w:noProof/>
        </w:rPr>
        <w:t xml:space="preserve">Dunbar-Jacob, J. and Mortimer-Stephens, M. K. (2001) 'Treatment adherence in chronic disease', </w:t>
      </w:r>
      <w:r w:rsidRPr="00C95F82">
        <w:rPr>
          <w:i/>
          <w:noProof/>
        </w:rPr>
        <w:t>Journal of Clinical Epidemiology,</w:t>
      </w:r>
      <w:r w:rsidRPr="00C95F82">
        <w:rPr>
          <w:noProof/>
        </w:rPr>
        <w:t xml:space="preserve"> 54(12), pp. S57-S60.</w:t>
      </w:r>
    </w:p>
    <w:p w14:paraId="33B02B8E" w14:textId="77777777" w:rsidR="00C95F82" w:rsidRPr="00C95F82" w:rsidRDefault="00C95F82" w:rsidP="00C95F82">
      <w:pPr>
        <w:pStyle w:val="EndNoteBibliography"/>
        <w:spacing w:after="240"/>
        <w:rPr>
          <w:noProof/>
        </w:rPr>
      </w:pPr>
      <w:r w:rsidRPr="00C95F82">
        <w:rPr>
          <w:noProof/>
        </w:rPr>
        <w:t xml:space="preserve">Duncan, P., Cabral, C., McCahon, D., Guthrie, B. and Ridd, M. J. (2019) 'Efficiency versus thoroughness in medication review: a qualitative interview study in UK primary care', </w:t>
      </w:r>
      <w:r w:rsidRPr="00C95F82">
        <w:rPr>
          <w:i/>
          <w:noProof/>
        </w:rPr>
        <w:t>British Journal of General Practice,</w:t>
      </w:r>
      <w:r w:rsidRPr="00C95F82">
        <w:rPr>
          <w:noProof/>
        </w:rPr>
        <w:t xml:space="preserve"> 69(680), pp. e190-198.</w:t>
      </w:r>
    </w:p>
    <w:p w14:paraId="3F72C9A4" w14:textId="77777777" w:rsidR="00C95F82" w:rsidRPr="00C95F82" w:rsidRDefault="00C95F82" w:rsidP="00C95F82">
      <w:pPr>
        <w:pStyle w:val="EndNoteBibliography"/>
        <w:spacing w:after="240"/>
        <w:rPr>
          <w:noProof/>
        </w:rPr>
      </w:pPr>
      <w:r w:rsidRPr="00C95F82">
        <w:rPr>
          <w:noProof/>
        </w:rPr>
        <w:t xml:space="preserve">Dwight, M. and Marshall, B. (2021) 'CFTR modulators: transformative therapies for cystic fibrosis', </w:t>
      </w:r>
      <w:r w:rsidRPr="00C95F82">
        <w:rPr>
          <w:i/>
          <w:noProof/>
        </w:rPr>
        <w:t>Journal of Managed Care &amp; Specialty Pharmacy,</w:t>
      </w:r>
      <w:r w:rsidRPr="00C95F82">
        <w:rPr>
          <w:noProof/>
        </w:rPr>
        <w:t xml:space="preserve"> 27(2), pp. 281-284.</w:t>
      </w:r>
    </w:p>
    <w:p w14:paraId="164A9225" w14:textId="77777777" w:rsidR="00C95F82" w:rsidRPr="00C95F82" w:rsidRDefault="00C95F82" w:rsidP="00C95F82">
      <w:pPr>
        <w:pStyle w:val="EndNoteBibliography"/>
        <w:spacing w:after="240"/>
        <w:rPr>
          <w:noProof/>
        </w:rPr>
      </w:pPr>
      <w:r w:rsidRPr="00C95F82">
        <w:rPr>
          <w:noProof/>
        </w:rPr>
        <w:t xml:space="preserve">Ebert, J. F., Huibers, L., Christensen, B. and Christensen, M. B. (2018) 'or web-based questionnaire invitations as a method for data collection: cross-sectional comparative study of differences in response rate, completeness of data, and financial cost', </w:t>
      </w:r>
      <w:r w:rsidRPr="00C95F82">
        <w:rPr>
          <w:i/>
          <w:noProof/>
        </w:rPr>
        <w:t>Journal of Medical Internet Research,</w:t>
      </w:r>
      <w:r w:rsidRPr="00C95F82">
        <w:rPr>
          <w:noProof/>
        </w:rPr>
        <w:t xml:space="preserve"> 20(1), pp. e24.</w:t>
      </w:r>
    </w:p>
    <w:p w14:paraId="38CA72C0" w14:textId="77777777" w:rsidR="00C95F82" w:rsidRPr="00C95F82" w:rsidRDefault="00C95F82" w:rsidP="00C95F82">
      <w:pPr>
        <w:pStyle w:val="EndNoteBibliography"/>
        <w:spacing w:after="240"/>
        <w:rPr>
          <w:noProof/>
        </w:rPr>
      </w:pPr>
      <w:r w:rsidRPr="00C95F82">
        <w:rPr>
          <w:noProof/>
        </w:rPr>
        <w:t xml:space="preserve">Eccles, M. P., Grimshaw, J. M., MacLennan, G., Bonetti, D., Glidewell, L., Pitts, N. B., Steen, N., Thomas, R., Walker, A. and Johnston, M. (2012) 'Explaining clinical behaviors using multiple theoretical models', </w:t>
      </w:r>
      <w:r w:rsidRPr="00C95F82">
        <w:rPr>
          <w:i/>
          <w:noProof/>
        </w:rPr>
        <w:t>Implementation Science,</w:t>
      </w:r>
      <w:r w:rsidRPr="00C95F82">
        <w:rPr>
          <w:noProof/>
        </w:rPr>
        <w:t xml:space="preserve"> 7(1), pp. 99.</w:t>
      </w:r>
    </w:p>
    <w:p w14:paraId="4283B152" w14:textId="77777777" w:rsidR="00C95F82" w:rsidRPr="00C95F82" w:rsidRDefault="00C95F82" w:rsidP="00C95F82">
      <w:pPr>
        <w:pStyle w:val="EndNoteBibliography"/>
        <w:spacing w:after="240"/>
        <w:rPr>
          <w:noProof/>
        </w:rPr>
      </w:pPr>
      <w:r w:rsidRPr="00C95F82">
        <w:rPr>
          <w:noProof/>
        </w:rPr>
        <w:t xml:space="preserve">Edley, N. and Litosseliti, L. (2010) 'Contemplating interviews and focus groups', </w:t>
      </w:r>
      <w:r w:rsidRPr="00C95F82">
        <w:rPr>
          <w:i/>
          <w:noProof/>
        </w:rPr>
        <w:t>Research Methods in Linguistics,</w:t>
      </w:r>
      <w:r w:rsidRPr="00C95F82">
        <w:rPr>
          <w:noProof/>
        </w:rPr>
        <w:t xml:space="preserve"> 155, pp. 179.</w:t>
      </w:r>
    </w:p>
    <w:p w14:paraId="6C3145AF" w14:textId="77777777" w:rsidR="00C95F82" w:rsidRPr="00C95F82" w:rsidRDefault="00C95F82" w:rsidP="00C95F82">
      <w:pPr>
        <w:pStyle w:val="EndNoteBibliography"/>
        <w:spacing w:after="240"/>
        <w:rPr>
          <w:noProof/>
        </w:rPr>
      </w:pPr>
      <w:r w:rsidRPr="00C95F82">
        <w:rPr>
          <w:noProof/>
        </w:rPr>
        <w:t xml:space="preserve">Edwards, A., Elwyn, G., Wood, F., Atwell, C., Prior, L. and Houston, H. (2005) 'Shared decision making and risk communication in practice: a qualitative study of GPs' experiences', </w:t>
      </w:r>
      <w:r w:rsidRPr="00C95F82">
        <w:rPr>
          <w:i/>
          <w:noProof/>
        </w:rPr>
        <w:t>The British Journal of General Practice,</w:t>
      </w:r>
      <w:r w:rsidRPr="00C95F82">
        <w:rPr>
          <w:noProof/>
        </w:rPr>
        <w:t xml:space="preserve"> 55(510), pp. 6.</w:t>
      </w:r>
    </w:p>
    <w:p w14:paraId="238BFC1B" w14:textId="77777777" w:rsidR="00C95F82" w:rsidRPr="00C95F82" w:rsidRDefault="00C95F82" w:rsidP="00C95F82">
      <w:pPr>
        <w:pStyle w:val="EndNoteBibliography"/>
        <w:spacing w:after="240"/>
        <w:rPr>
          <w:noProof/>
        </w:rPr>
      </w:pPr>
      <w:r w:rsidRPr="00C95F82">
        <w:rPr>
          <w:noProof/>
        </w:rPr>
        <w:t xml:space="preserve">Edwards, A., Hood, K., Matthews, E., Russell, D., Russell, I., Barker, J., Bloor, M., Burnard, P., Covey, J. and Pill, R. (2000) 'The effectiveness of one-to-one risk-communication interventions in health care: a systematic review', </w:t>
      </w:r>
      <w:r w:rsidRPr="00C95F82">
        <w:rPr>
          <w:i/>
          <w:noProof/>
        </w:rPr>
        <w:t>Medical Decision Making,</w:t>
      </w:r>
      <w:r w:rsidRPr="00C95F82">
        <w:rPr>
          <w:noProof/>
        </w:rPr>
        <w:t xml:space="preserve"> 20(3), pp. 290-297.</w:t>
      </w:r>
    </w:p>
    <w:p w14:paraId="68133F10" w14:textId="77777777" w:rsidR="00C95F82" w:rsidRPr="00C95F82" w:rsidRDefault="00C95F82" w:rsidP="00C95F82">
      <w:pPr>
        <w:pStyle w:val="EndNoteBibliography"/>
        <w:spacing w:after="240"/>
        <w:rPr>
          <w:noProof/>
        </w:rPr>
      </w:pPr>
      <w:r w:rsidRPr="00C95F82">
        <w:rPr>
          <w:noProof/>
        </w:rPr>
        <w:t xml:space="preserve">Eichler, H.-G., Kossmeier, M., Zeitlinger, M. and Schwarzer-Daum, B. (2023) 'Orphan drugs’ clinical uncertainty and prices: Addressing allocative and technical inefficiencies in orphan drug reimbursement', </w:t>
      </w:r>
      <w:r w:rsidRPr="00C95F82">
        <w:rPr>
          <w:i/>
          <w:noProof/>
        </w:rPr>
        <w:t>Frontiers in Pharmacology,</w:t>
      </w:r>
      <w:r w:rsidRPr="00C95F82">
        <w:rPr>
          <w:noProof/>
        </w:rPr>
        <w:t xml:space="preserve"> 14, pp. 1074512.</w:t>
      </w:r>
    </w:p>
    <w:p w14:paraId="232E2C56" w14:textId="77777777" w:rsidR="00C95F82" w:rsidRPr="00C95F82" w:rsidRDefault="00C95F82" w:rsidP="00C95F82">
      <w:pPr>
        <w:pStyle w:val="EndNoteBibliography"/>
        <w:spacing w:after="240"/>
        <w:rPr>
          <w:noProof/>
        </w:rPr>
      </w:pPr>
      <w:r w:rsidRPr="00C95F82">
        <w:rPr>
          <w:noProof/>
        </w:rPr>
        <w:t xml:space="preserve">Elkrog, S., Ernst, M., Rasmussen, L. and Wesselhoeft, R. (2022) 'Non-pharmacological treatment of psychiatric disorders in a nationwide population', </w:t>
      </w:r>
      <w:r w:rsidRPr="00C95F82">
        <w:rPr>
          <w:i/>
          <w:noProof/>
        </w:rPr>
        <w:t>European Psychiatry,</w:t>
      </w:r>
      <w:r w:rsidRPr="00C95F82">
        <w:rPr>
          <w:noProof/>
        </w:rPr>
        <w:t xml:space="preserve"> 65(S1), pp. S333.</w:t>
      </w:r>
    </w:p>
    <w:p w14:paraId="766C86F3" w14:textId="77777777" w:rsidR="00C95F82" w:rsidRPr="00C95F82" w:rsidRDefault="00C95F82" w:rsidP="00C95F82">
      <w:pPr>
        <w:pStyle w:val="EndNoteBibliography"/>
        <w:spacing w:after="240"/>
        <w:rPr>
          <w:noProof/>
        </w:rPr>
      </w:pPr>
      <w:r w:rsidRPr="00C95F82">
        <w:rPr>
          <w:noProof/>
        </w:rPr>
        <w:t xml:space="preserve">Elwyn, G., Frosch, D., Thomson, R., Joseph-Williams, N., Lloyd, A., Kinnersley, P., Cording, E., Tomson, D., Dodd, C. and Rollnick, S. (2012) 'Shared decision making: a model for clinical practice', </w:t>
      </w:r>
      <w:r w:rsidRPr="00C95F82">
        <w:rPr>
          <w:i/>
          <w:noProof/>
        </w:rPr>
        <w:t>Journal of General Internal Medicine,</w:t>
      </w:r>
      <w:r w:rsidRPr="00C95F82">
        <w:rPr>
          <w:noProof/>
        </w:rPr>
        <w:t xml:space="preserve"> 27(10), pp. 1361-1367.</w:t>
      </w:r>
    </w:p>
    <w:p w14:paraId="6400AEBA" w14:textId="77777777" w:rsidR="00C95F82" w:rsidRPr="00C95F82" w:rsidRDefault="00C95F82" w:rsidP="00C95F82">
      <w:pPr>
        <w:pStyle w:val="EndNoteBibliography"/>
        <w:spacing w:after="240"/>
        <w:rPr>
          <w:noProof/>
        </w:rPr>
      </w:pPr>
      <w:r w:rsidRPr="00C95F82">
        <w:rPr>
          <w:noProof/>
        </w:rPr>
        <w:t xml:space="preserve">Erzberger, C. and Prein, G. (1997) 'Triangulation: Validity and empirically-based hypothesis construction', </w:t>
      </w:r>
      <w:r w:rsidRPr="00C95F82">
        <w:rPr>
          <w:i/>
          <w:noProof/>
        </w:rPr>
        <w:t>Quality and Quantity,</w:t>
      </w:r>
      <w:r w:rsidRPr="00C95F82">
        <w:rPr>
          <w:noProof/>
        </w:rPr>
        <w:t xml:space="preserve"> 31(2), pp. 141-154.</w:t>
      </w:r>
    </w:p>
    <w:p w14:paraId="38923D48" w14:textId="71B65B24" w:rsidR="00C95F82" w:rsidRPr="00C95F82" w:rsidRDefault="00C95F82" w:rsidP="00C95F82">
      <w:pPr>
        <w:pStyle w:val="EndNoteBibliography"/>
        <w:spacing w:after="240"/>
        <w:rPr>
          <w:noProof/>
        </w:rPr>
      </w:pPr>
      <w:r w:rsidRPr="00C95F82">
        <w:rPr>
          <w:noProof/>
        </w:rPr>
        <w:t xml:space="preserve">European ADPKD Forum (2016) </w:t>
      </w:r>
      <w:r w:rsidRPr="00C95F82">
        <w:rPr>
          <w:i/>
          <w:noProof/>
        </w:rPr>
        <w:t>The Brussels Declaration on ADPKD</w:t>
      </w:r>
      <w:r w:rsidRPr="00C95F82">
        <w:rPr>
          <w:noProof/>
        </w:rPr>
        <w:t xml:space="preserve">. Available at: </w:t>
      </w:r>
      <w:hyperlink r:id="rId86" w:history="1">
        <w:r w:rsidRPr="00C95F82">
          <w:rPr>
            <w:rStyle w:val="Hyperlink"/>
            <w:noProof/>
          </w:rPr>
          <w:t>https://pkdinternational.org/downloads/eaf-brusseles-declaration-2016/EAF_Brussels_Declaration_ENGLISH_March_2016.pdf</w:t>
        </w:r>
      </w:hyperlink>
      <w:r w:rsidRPr="00C95F82">
        <w:rPr>
          <w:noProof/>
        </w:rPr>
        <w:t xml:space="preserve"> (Accessed: 08/05/2026).</w:t>
      </w:r>
    </w:p>
    <w:p w14:paraId="2D1248CD" w14:textId="0F4C8695" w:rsidR="00C95F82" w:rsidRPr="00C95F82" w:rsidRDefault="00C95F82" w:rsidP="00C95F82">
      <w:pPr>
        <w:pStyle w:val="EndNoteBibliography"/>
        <w:spacing w:after="240"/>
        <w:rPr>
          <w:noProof/>
        </w:rPr>
      </w:pPr>
      <w:r w:rsidRPr="00C95F82">
        <w:rPr>
          <w:noProof/>
        </w:rPr>
        <w:t xml:space="preserve">European Commission (2017) </w:t>
      </w:r>
      <w:r w:rsidRPr="00C95F82">
        <w:rPr>
          <w:i/>
          <w:noProof/>
        </w:rPr>
        <w:t>European Reference Networks</w:t>
      </w:r>
      <w:r w:rsidRPr="00C95F82">
        <w:rPr>
          <w:noProof/>
        </w:rPr>
        <w:t xml:space="preserve">. Available at: </w:t>
      </w:r>
      <w:hyperlink r:id="rId87" w:history="1">
        <w:r w:rsidRPr="00C95F82">
          <w:rPr>
            <w:rStyle w:val="Hyperlink"/>
            <w:noProof/>
          </w:rPr>
          <w:t>https://health.ec.europa.eu/rare-diseases-and-european-reference-networks/european-reference-networks</w:t>
        </w:r>
      </w:hyperlink>
      <w:r w:rsidRPr="00C95F82">
        <w:rPr>
          <w:noProof/>
        </w:rPr>
        <w:t xml:space="preserve"> (Accessed: 19/03/2026).</w:t>
      </w:r>
    </w:p>
    <w:p w14:paraId="2390F03A" w14:textId="45D196BA" w:rsidR="00C95F82" w:rsidRPr="00C95F82" w:rsidRDefault="00C95F82" w:rsidP="00C95F82">
      <w:pPr>
        <w:pStyle w:val="EndNoteBibliography"/>
        <w:spacing w:after="240"/>
        <w:rPr>
          <w:noProof/>
        </w:rPr>
      </w:pPr>
      <w:r w:rsidRPr="00C95F82">
        <w:rPr>
          <w:noProof/>
        </w:rPr>
        <w:t xml:space="preserve">European Commission (2020) </w:t>
      </w:r>
      <w:r w:rsidRPr="00C95F82">
        <w:rPr>
          <w:i/>
          <w:noProof/>
        </w:rPr>
        <w:t>Rare diseases</w:t>
      </w:r>
      <w:r w:rsidRPr="00C95F82">
        <w:rPr>
          <w:noProof/>
        </w:rPr>
        <w:t xml:space="preserve">. Available at: </w:t>
      </w:r>
      <w:hyperlink r:id="rId88" w:history="1">
        <w:r w:rsidRPr="00C95F82">
          <w:rPr>
            <w:rStyle w:val="Hyperlink"/>
            <w:noProof/>
          </w:rPr>
          <w:t>https://ec.europa.eu/info/research-and-innovation/research-area/health/rare-diseases_en</w:t>
        </w:r>
      </w:hyperlink>
      <w:r w:rsidRPr="00C95F82">
        <w:rPr>
          <w:noProof/>
        </w:rPr>
        <w:t xml:space="preserve"> (Accessed: 13/11/2023).</w:t>
      </w:r>
    </w:p>
    <w:p w14:paraId="1F8BFA7D" w14:textId="6D36DBDF" w:rsidR="00C95F82" w:rsidRPr="00C95F82" w:rsidRDefault="00C95F82" w:rsidP="00C95F82">
      <w:pPr>
        <w:pStyle w:val="EndNoteBibliography"/>
        <w:spacing w:after="240"/>
        <w:rPr>
          <w:noProof/>
        </w:rPr>
      </w:pPr>
      <w:r w:rsidRPr="00C95F82">
        <w:rPr>
          <w:noProof/>
        </w:rPr>
        <w:t xml:space="preserve">European Parliament (2026) </w:t>
      </w:r>
      <w:r w:rsidRPr="00C95F82">
        <w:rPr>
          <w:i/>
          <w:noProof/>
        </w:rPr>
        <w:t>EU rare disease action plan - European Added Value Assessment</w:t>
      </w:r>
      <w:r w:rsidRPr="00C95F82">
        <w:rPr>
          <w:noProof/>
        </w:rPr>
        <w:t xml:space="preserve">. Available at: </w:t>
      </w:r>
      <w:hyperlink r:id="rId89" w:history="1">
        <w:r w:rsidRPr="00C95F82">
          <w:rPr>
            <w:rStyle w:val="Hyperlink"/>
            <w:noProof/>
          </w:rPr>
          <w:t>https://www.europarl.europa.eu/RegData/etudes/STUD/2026/774708/EPRS_STU(2026)774708_EN.pdf</w:t>
        </w:r>
      </w:hyperlink>
      <w:r w:rsidRPr="00C95F82">
        <w:rPr>
          <w:noProof/>
        </w:rPr>
        <w:t xml:space="preserve"> (Accessed: 03/04/2026).</w:t>
      </w:r>
    </w:p>
    <w:p w14:paraId="44EDD90A" w14:textId="77777777" w:rsidR="00C95F82" w:rsidRPr="00C95F82" w:rsidRDefault="00C95F82" w:rsidP="00C95F82">
      <w:pPr>
        <w:pStyle w:val="EndNoteBibliography"/>
        <w:spacing w:after="240"/>
        <w:rPr>
          <w:noProof/>
        </w:rPr>
      </w:pPr>
      <w:r w:rsidRPr="00C95F82">
        <w:rPr>
          <w:noProof/>
        </w:rPr>
        <w:t xml:space="preserve">Eysenbach, G. (2004) 'Improving the quality of Web surveys: the Checklist for Reporting Results of Internet E-Surveys (CHERRIES)', </w:t>
      </w:r>
      <w:r w:rsidRPr="00C95F82">
        <w:rPr>
          <w:i/>
          <w:noProof/>
        </w:rPr>
        <w:t>Journal of Medical Internet Research,</w:t>
      </w:r>
      <w:r w:rsidRPr="00C95F82">
        <w:rPr>
          <w:noProof/>
        </w:rPr>
        <w:t xml:space="preserve"> 6(3), pp. e34.</w:t>
      </w:r>
    </w:p>
    <w:p w14:paraId="4006E71F" w14:textId="77777777" w:rsidR="00C95F82" w:rsidRPr="00C95F82" w:rsidRDefault="00C95F82" w:rsidP="00C95F82">
      <w:pPr>
        <w:pStyle w:val="EndNoteBibliography"/>
        <w:spacing w:after="240"/>
        <w:rPr>
          <w:noProof/>
        </w:rPr>
      </w:pPr>
      <w:r w:rsidRPr="00C95F82">
        <w:rPr>
          <w:noProof/>
        </w:rPr>
        <w:t xml:space="preserve">Farmer, T., Robinson, K., Elliott, S. J. and Eyles, J. (2006) 'Developing and implementing a triangulation protocol for qualitative health research', </w:t>
      </w:r>
      <w:r w:rsidRPr="00C95F82">
        <w:rPr>
          <w:i/>
          <w:noProof/>
        </w:rPr>
        <w:t>Qualitative health research,</w:t>
      </w:r>
      <w:r w:rsidRPr="00C95F82">
        <w:rPr>
          <w:noProof/>
        </w:rPr>
        <w:t xml:space="preserve"> 16(3), pp. 377-394.</w:t>
      </w:r>
    </w:p>
    <w:p w14:paraId="6B47D8ED" w14:textId="412AFC34" w:rsidR="00C95F82" w:rsidRPr="00C95F82" w:rsidRDefault="00C95F82" w:rsidP="00C95F82">
      <w:pPr>
        <w:pStyle w:val="EndNoteBibliography"/>
        <w:spacing w:after="240"/>
        <w:rPr>
          <w:noProof/>
        </w:rPr>
      </w:pPr>
      <w:r w:rsidRPr="00C95F82">
        <w:rPr>
          <w:noProof/>
        </w:rPr>
        <w:t xml:space="preserve">Federal Regulation (2011) </w:t>
      </w:r>
      <w:r w:rsidRPr="00C95F82">
        <w:rPr>
          <w:i/>
          <w:noProof/>
        </w:rPr>
        <w:t>No 323-F3 Base of Healthcare for Russian Federation Citizenship</w:t>
      </w:r>
      <w:r w:rsidRPr="00C95F82">
        <w:rPr>
          <w:noProof/>
        </w:rPr>
        <w:t xml:space="preserve">. Available at: </w:t>
      </w:r>
      <w:hyperlink r:id="rId90" w:history="1">
        <w:r w:rsidRPr="00C95F82">
          <w:rPr>
            <w:rStyle w:val="Hyperlink"/>
            <w:noProof/>
          </w:rPr>
          <w:t>http://www.consultant.ru/document/cons_doc_LAW_121895/</w:t>
        </w:r>
      </w:hyperlink>
      <w:r w:rsidRPr="00C95F82">
        <w:rPr>
          <w:noProof/>
        </w:rPr>
        <w:t xml:space="preserve"> (Accessed: 27/11/2023).</w:t>
      </w:r>
    </w:p>
    <w:p w14:paraId="64F33B59" w14:textId="77777777" w:rsidR="00C95F82" w:rsidRPr="00C95F82" w:rsidRDefault="00C95F82" w:rsidP="00C95F82">
      <w:pPr>
        <w:pStyle w:val="EndNoteBibliography"/>
        <w:spacing w:after="240"/>
        <w:rPr>
          <w:noProof/>
        </w:rPr>
      </w:pPr>
      <w:r w:rsidRPr="00C95F82">
        <w:rPr>
          <w:noProof/>
        </w:rPr>
        <w:t xml:space="preserve">Fernandez, E., Perez, R., Hernandez, A., Tejada, P., Arteta, M. and Ramos, J. T. (2011) 'Factors and mechanisms for pharmacokinetic differences between pediatric population and adults', </w:t>
      </w:r>
      <w:r w:rsidRPr="00C95F82">
        <w:rPr>
          <w:i/>
          <w:noProof/>
        </w:rPr>
        <w:t>Pharmaceutics,</w:t>
      </w:r>
      <w:r w:rsidRPr="00C95F82">
        <w:rPr>
          <w:noProof/>
        </w:rPr>
        <w:t xml:space="preserve"> 3(1), pp. 53-72.</w:t>
      </w:r>
    </w:p>
    <w:p w14:paraId="333915E5" w14:textId="77777777" w:rsidR="00C95F82" w:rsidRPr="00C95F82" w:rsidRDefault="00C95F82" w:rsidP="00C95F82">
      <w:pPr>
        <w:pStyle w:val="EndNoteBibliography"/>
        <w:spacing w:after="240"/>
        <w:rPr>
          <w:noProof/>
        </w:rPr>
      </w:pPr>
      <w:r w:rsidRPr="00C95F82">
        <w:rPr>
          <w:noProof/>
        </w:rPr>
        <w:t xml:space="preserve">Ferro, A. (2015) 'Paediatric prescribing: why children are not small adults', </w:t>
      </w:r>
      <w:r w:rsidRPr="00C95F82">
        <w:rPr>
          <w:i/>
          <w:noProof/>
        </w:rPr>
        <w:t>British Journal of Clinical Pharmacology,</w:t>
      </w:r>
      <w:r w:rsidRPr="00C95F82">
        <w:rPr>
          <w:noProof/>
        </w:rPr>
        <w:t xml:space="preserve"> 79(3), pp. 351-3.</w:t>
      </w:r>
    </w:p>
    <w:p w14:paraId="035DDB27" w14:textId="77777777" w:rsidR="00C95F82" w:rsidRPr="00C95F82" w:rsidRDefault="00C95F82" w:rsidP="00C95F82">
      <w:pPr>
        <w:pStyle w:val="EndNoteBibliography"/>
        <w:spacing w:after="240"/>
        <w:rPr>
          <w:noProof/>
        </w:rPr>
      </w:pPr>
      <w:r w:rsidRPr="00C95F82">
        <w:rPr>
          <w:noProof/>
        </w:rPr>
        <w:t xml:space="preserve">Fink, A. (2003) </w:t>
      </w:r>
      <w:r w:rsidRPr="00C95F82">
        <w:rPr>
          <w:i/>
          <w:noProof/>
        </w:rPr>
        <w:t>The survey handbook.</w:t>
      </w:r>
      <w:r w:rsidRPr="00C95F82">
        <w:rPr>
          <w:noProof/>
        </w:rPr>
        <w:t xml:space="preserve"> Thousand Oaks, California, USA: SAGE Publishing Ltd.</w:t>
      </w:r>
    </w:p>
    <w:p w14:paraId="02E1A047" w14:textId="77777777" w:rsidR="00C95F82" w:rsidRPr="00C95F82" w:rsidRDefault="00C95F82" w:rsidP="00C95F82">
      <w:pPr>
        <w:pStyle w:val="EndNoteBibliography"/>
        <w:spacing w:after="240"/>
        <w:rPr>
          <w:noProof/>
        </w:rPr>
      </w:pPr>
      <w:r w:rsidRPr="00C95F82">
        <w:rPr>
          <w:noProof/>
        </w:rPr>
        <w:t xml:space="preserve">Fitzmaurice, G. M., Laird, N. M. and Ware, J. H. (2012) </w:t>
      </w:r>
      <w:r w:rsidRPr="00C95F82">
        <w:rPr>
          <w:i/>
          <w:noProof/>
        </w:rPr>
        <w:t>Applied longitudinal analysis.</w:t>
      </w:r>
      <w:r w:rsidRPr="00C95F82">
        <w:rPr>
          <w:noProof/>
        </w:rPr>
        <w:t xml:space="preserve"> Hoboken, New Jersey, USA: John Wiley &amp; Sons, p. 1-752.</w:t>
      </w:r>
    </w:p>
    <w:p w14:paraId="641E1284" w14:textId="77777777" w:rsidR="00C95F82" w:rsidRPr="00C95F82" w:rsidRDefault="00C95F82" w:rsidP="00C95F82">
      <w:pPr>
        <w:pStyle w:val="EndNoteBibliography"/>
        <w:spacing w:after="240"/>
        <w:rPr>
          <w:noProof/>
        </w:rPr>
      </w:pPr>
      <w:r w:rsidRPr="00C95F82">
        <w:rPr>
          <w:noProof/>
        </w:rPr>
        <w:t xml:space="preserve">Fix, G. M., Kim, B., Ruben, M. and McCullough, M. B. (2022) 'Direct Observation Methods: a Practical Guide for Health Researchers', </w:t>
      </w:r>
      <w:r w:rsidRPr="00C95F82">
        <w:rPr>
          <w:i/>
          <w:noProof/>
        </w:rPr>
        <w:t>PEC Innovation,</w:t>
      </w:r>
      <w:r w:rsidRPr="00C95F82">
        <w:rPr>
          <w:noProof/>
        </w:rPr>
        <w:t xml:space="preserve"> 1, pp. 100036.</w:t>
      </w:r>
    </w:p>
    <w:p w14:paraId="0CD18567" w14:textId="77777777" w:rsidR="00C95F82" w:rsidRPr="00C95F82" w:rsidRDefault="00C95F82" w:rsidP="00C95F82">
      <w:pPr>
        <w:pStyle w:val="EndNoteBibliography"/>
        <w:spacing w:after="240"/>
        <w:rPr>
          <w:noProof/>
        </w:rPr>
      </w:pPr>
      <w:r w:rsidRPr="00C95F82">
        <w:rPr>
          <w:noProof/>
        </w:rPr>
        <w:t xml:space="preserve">Fletcher, A. J. (2017) 'Applying critical realism in qualitative research: methodology meets method', </w:t>
      </w:r>
      <w:r w:rsidRPr="00C95F82">
        <w:rPr>
          <w:i/>
          <w:noProof/>
        </w:rPr>
        <w:t>International Journal of Social Research Methodology,</w:t>
      </w:r>
      <w:r w:rsidRPr="00C95F82">
        <w:rPr>
          <w:noProof/>
        </w:rPr>
        <w:t xml:space="preserve"> 20(2), pp. 181-194.</w:t>
      </w:r>
    </w:p>
    <w:p w14:paraId="2AD57C1C" w14:textId="77777777" w:rsidR="00C95F82" w:rsidRPr="00C95F82" w:rsidRDefault="00C95F82" w:rsidP="00C95F82">
      <w:pPr>
        <w:pStyle w:val="EndNoteBibliography"/>
        <w:spacing w:after="240"/>
        <w:rPr>
          <w:noProof/>
        </w:rPr>
      </w:pPr>
      <w:r w:rsidRPr="00C95F82">
        <w:rPr>
          <w:noProof/>
        </w:rPr>
        <w:t xml:space="preserve">Flick, U. (2022) </w:t>
      </w:r>
      <w:r w:rsidRPr="00C95F82">
        <w:rPr>
          <w:i/>
          <w:noProof/>
        </w:rPr>
        <w:t>An introduction to qualitative research.</w:t>
      </w:r>
      <w:r w:rsidRPr="00C95F82">
        <w:rPr>
          <w:noProof/>
        </w:rPr>
        <w:t xml:space="preserve"> London, UK: SAGE Publications Ltd, p. 1-632.</w:t>
      </w:r>
    </w:p>
    <w:p w14:paraId="570AA65F" w14:textId="77777777" w:rsidR="00C95F82" w:rsidRPr="00C95F82" w:rsidRDefault="00C95F82" w:rsidP="00C95F82">
      <w:pPr>
        <w:pStyle w:val="EndNoteBibliography"/>
        <w:spacing w:after="240"/>
        <w:rPr>
          <w:noProof/>
        </w:rPr>
      </w:pPr>
      <w:r w:rsidRPr="00C95F82">
        <w:rPr>
          <w:noProof/>
        </w:rPr>
        <w:t xml:space="preserve">Flick, U., Alejandro, A. and Stoffel, A. (2025) 'Reflexivity for Qualitative Research Quality and the Quality of Reflexivity',  </w:t>
      </w:r>
      <w:r w:rsidRPr="00C95F82">
        <w:rPr>
          <w:i/>
          <w:noProof/>
        </w:rPr>
        <w:t>The Sage Handbook of Qualitative Research Quality</w:t>
      </w:r>
      <w:r w:rsidRPr="00C95F82">
        <w:rPr>
          <w:noProof/>
        </w:rPr>
        <w:t>. London, UK: SAGE Publications Ltd, pp. 331-345.</w:t>
      </w:r>
    </w:p>
    <w:p w14:paraId="3C63D531" w14:textId="77777777" w:rsidR="00C95F82" w:rsidRPr="00C95F82" w:rsidRDefault="00C95F82" w:rsidP="00C95F82">
      <w:pPr>
        <w:pStyle w:val="EndNoteBibliography"/>
        <w:spacing w:after="240"/>
        <w:rPr>
          <w:noProof/>
        </w:rPr>
      </w:pPr>
      <w:r w:rsidRPr="00C95F82">
        <w:rPr>
          <w:noProof/>
        </w:rPr>
        <w:t xml:space="preserve">Flodgren, G., Parmelli, E., Doumit, G., Gattellari, M., O'Brien, M. A., Grimshaw, J. and Eccles, M. P. (2011) 'Local opinion leaders: effects on professional practice and health care outcomes', </w:t>
      </w:r>
      <w:r w:rsidRPr="00C95F82">
        <w:rPr>
          <w:i/>
          <w:noProof/>
        </w:rPr>
        <w:t>Cochrane Database of Systematic Reviews,</w:t>
      </w:r>
      <w:r w:rsidRPr="00C95F82">
        <w:rPr>
          <w:noProof/>
        </w:rPr>
        <w:t xml:space="preserve"> 6(6), pp. CD000125.</w:t>
      </w:r>
    </w:p>
    <w:p w14:paraId="7A788E57" w14:textId="39A47338" w:rsidR="00C95F82" w:rsidRPr="00C95F82" w:rsidRDefault="00C95F82" w:rsidP="00C95F82">
      <w:pPr>
        <w:pStyle w:val="EndNoteBibliography"/>
        <w:spacing w:after="240"/>
        <w:rPr>
          <w:noProof/>
        </w:rPr>
      </w:pPr>
      <w:r w:rsidRPr="00C95F82">
        <w:rPr>
          <w:noProof/>
        </w:rPr>
        <w:t xml:space="preserve">Food and Drug Administration (2022) </w:t>
      </w:r>
      <w:r w:rsidRPr="00C95F82">
        <w:rPr>
          <w:i/>
          <w:noProof/>
        </w:rPr>
        <w:t>Rare Diseases at FDA</w:t>
      </w:r>
      <w:r w:rsidRPr="00C95F82">
        <w:rPr>
          <w:noProof/>
        </w:rPr>
        <w:t xml:space="preserve">. Available at: </w:t>
      </w:r>
      <w:hyperlink r:id="rId91" w:history="1">
        <w:r w:rsidRPr="00C95F82">
          <w:rPr>
            <w:rStyle w:val="Hyperlink"/>
            <w:noProof/>
          </w:rPr>
          <w:t>https://www.fda.gov/patients/rare-diseases-fda</w:t>
        </w:r>
      </w:hyperlink>
      <w:r w:rsidRPr="00C95F82">
        <w:rPr>
          <w:noProof/>
        </w:rPr>
        <w:t xml:space="preserve"> (Accessed: 13/11/2023).</w:t>
      </w:r>
    </w:p>
    <w:p w14:paraId="6F87E63E" w14:textId="77777777" w:rsidR="00C95F82" w:rsidRPr="00C95F82" w:rsidRDefault="00C95F82" w:rsidP="00C95F82">
      <w:pPr>
        <w:pStyle w:val="EndNoteBibliography"/>
        <w:spacing w:after="240"/>
        <w:rPr>
          <w:noProof/>
        </w:rPr>
      </w:pPr>
      <w:r w:rsidRPr="00C95F82">
        <w:rPr>
          <w:noProof/>
        </w:rPr>
        <w:t xml:space="preserve">Foster, R. L. (1997) 'Addressing epistemologic and practical issues in multimethod research: A procedure for conceptual triangulation', </w:t>
      </w:r>
      <w:r w:rsidRPr="00C95F82">
        <w:rPr>
          <w:i/>
          <w:noProof/>
        </w:rPr>
        <w:t>Advances in Nursing Science,</w:t>
      </w:r>
      <w:r w:rsidRPr="00C95F82">
        <w:rPr>
          <w:noProof/>
        </w:rPr>
        <w:t xml:space="preserve"> 20(2), pp. 1-12.</w:t>
      </w:r>
    </w:p>
    <w:p w14:paraId="266E2549" w14:textId="77777777" w:rsidR="00C95F82" w:rsidRPr="00C95F82" w:rsidRDefault="00C95F82" w:rsidP="00C95F82">
      <w:pPr>
        <w:pStyle w:val="EndNoteBibliography"/>
        <w:spacing w:after="240"/>
        <w:rPr>
          <w:noProof/>
        </w:rPr>
      </w:pPr>
      <w:r w:rsidRPr="00C95F82">
        <w:rPr>
          <w:noProof/>
        </w:rPr>
        <w:t xml:space="preserve">Francke, A. L., Smit, M. C., de Veer, A. J. and Mistiaen, P. (2008) 'Factors influencing the implementation of clinical guidelines for health care professionals: a systematic meta-review', </w:t>
      </w:r>
      <w:r w:rsidRPr="00C95F82">
        <w:rPr>
          <w:i/>
          <w:noProof/>
        </w:rPr>
        <w:t>BMC Medical Informatics and Decision Making,</w:t>
      </w:r>
      <w:r w:rsidRPr="00C95F82">
        <w:rPr>
          <w:noProof/>
        </w:rPr>
        <w:t xml:space="preserve"> 8(1), pp. 38.</w:t>
      </w:r>
    </w:p>
    <w:p w14:paraId="34DA6593" w14:textId="77777777" w:rsidR="00C95F82" w:rsidRPr="00C95F82" w:rsidRDefault="00C95F82" w:rsidP="00C95F82">
      <w:pPr>
        <w:pStyle w:val="EndNoteBibliography"/>
        <w:spacing w:after="240"/>
        <w:rPr>
          <w:noProof/>
        </w:rPr>
      </w:pPr>
      <w:r w:rsidRPr="00C95F82">
        <w:rPr>
          <w:noProof/>
        </w:rPr>
        <w:t xml:space="preserve">Freedman, S., Golberstein, E., Huang, T.-Y., Satin, D. J. and Smith, L. B. (2021) 'Docs with their eyes on the clock? The effect of time pressures on primary care productivity', </w:t>
      </w:r>
      <w:r w:rsidRPr="00C95F82">
        <w:rPr>
          <w:i/>
          <w:noProof/>
        </w:rPr>
        <w:t>Journal of Health Economics,</w:t>
      </w:r>
      <w:r w:rsidRPr="00C95F82">
        <w:rPr>
          <w:noProof/>
        </w:rPr>
        <w:t xml:space="preserve"> 77, pp. 102442.</w:t>
      </w:r>
    </w:p>
    <w:p w14:paraId="255E67DB" w14:textId="77777777" w:rsidR="00C95F82" w:rsidRPr="00C95F82" w:rsidRDefault="00C95F82" w:rsidP="00C95F82">
      <w:pPr>
        <w:pStyle w:val="EndNoteBibliography"/>
        <w:spacing w:after="240"/>
        <w:rPr>
          <w:noProof/>
        </w:rPr>
      </w:pPr>
      <w:r w:rsidRPr="00C95F82">
        <w:rPr>
          <w:noProof/>
        </w:rPr>
        <w:t xml:space="preserve">Fried, T. R., O’Leary, J., Towle, V., Goldstein, M. K., Trentelange, M. and Martin, D. K. (2014) 'The effects of comorbidity on the benefits and harms of treatment for chronic disease: a systematic review', </w:t>
      </w:r>
      <w:r w:rsidRPr="00C95F82">
        <w:rPr>
          <w:i/>
          <w:noProof/>
        </w:rPr>
        <w:t>PLOS One,</w:t>
      </w:r>
      <w:r w:rsidRPr="00C95F82">
        <w:rPr>
          <w:noProof/>
        </w:rPr>
        <w:t xml:space="preserve"> 9(11), pp. e112593.</w:t>
      </w:r>
    </w:p>
    <w:p w14:paraId="4755D764" w14:textId="77777777" w:rsidR="00C95F82" w:rsidRPr="00C95F82" w:rsidRDefault="00C95F82" w:rsidP="00C95F82">
      <w:pPr>
        <w:pStyle w:val="EndNoteBibliography"/>
        <w:spacing w:after="240"/>
        <w:rPr>
          <w:noProof/>
        </w:rPr>
      </w:pPr>
      <w:r w:rsidRPr="00C95F82">
        <w:rPr>
          <w:noProof/>
        </w:rPr>
        <w:t xml:space="preserve">Fry, G., Chantavanich, S. and Chantavanich, A. (1981) 'Merging quantitative and qualitative research techniques: toward a new research paradigm 1', </w:t>
      </w:r>
      <w:r w:rsidRPr="00C95F82">
        <w:rPr>
          <w:i/>
          <w:noProof/>
        </w:rPr>
        <w:t>Anthropology &amp; Education Quarterly,</w:t>
      </w:r>
      <w:r w:rsidRPr="00C95F82">
        <w:rPr>
          <w:noProof/>
        </w:rPr>
        <w:t xml:space="preserve"> 12(2), pp. 145-158.</w:t>
      </w:r>
    </w:p>
    <w:p w14:paraId="636D9543" w14:textId="77777777" w:rsidR="00C95F82" w:rsidRPr="00C95F82" w:rsidRDefault="00C95F82" w:rsidP="00C95F82">
      <w:pPr>
        <w:pStyle w:val="EndNoteBibliography"/>
        <w:spacing w:after="240"/>
        <w:rPr>
          <w:noProof/>
        </w:rPr>
      </w:pPr>
      <w:r w:rsidRPr="00C95F82">
        <w:rPr>
          <w:noProof/>
        </w:rPr>
        <w:t xml:space="preserve">Gabbay, J. and Le May, A. (2004) 'Evidence based guidelines or collectively constructed “mindlines?” Ethnographic study of knowledge management in primary care', </w:t>
      </w:r>
      <w:r w:rsidRPr="00C95F82">
        <w:rPr>
          <w:i/>
          <w:noProof/>
        </w:rPr>
        <w:t>BMJ,</w:t>
      </w:r>
      <w:r w:rsidRPr="00C95F82">
        <w:rPr>
          <w:noProof/>
        </w:rPr>
        <w:t xml:space="preserve"> 329(7473), pp. 1013.</w:t>
      </w:r>
    </w:p>
    <w:p w14:paraId="77C553FF" w14:textId="77777777" w:rsidR="00C95F82" w:rsidRPr="00C95F82" w:rsidRDefault="00C95F82" w:rsidP="00C95F82">
      <w:pPr>
        <w:pStyle w:val="EndNoteBibliography"/>
        <w:spacing w:after="240"/>
        <w:rPr>
          <w:noProof/>
        </w:rPr>
      </w:pPr>
      <w:r w:rsidRPr="00C95F82">
        <w:rPr>
          <w:noProof/>
        </w:rPr>
        <w:t xml:space="preserve">Gaglio, B., Henton, M., Barbeau, A., Evans, E., Hickam, D., Newhouse, R. and Zickmund, S. (2020) 'Methodological standards for qualitative and mixed methods patient centered outcomes research', </w:t>
      </w:r>
      <w:r w:rsidRPr="00C95F82">
        <w:rPr>
          <w:i/>
          <w:noProof/>
        </w:rPr>
        <w:t>BMJ,</w:t>
      </w:r>
      <w:r w:rsidRPr="00C95F82">
        <w:rPr>
          <w:noProof/>
        </w:rPr>
        <w:t xml:space="preserve"> 371, pp. m4435.</w:t>
      </w:r>
    </w:p>
    <w:p w14:paraId="659601D3" w14:textId="77777777" w:rsidR="00C95F82" w:rsidRPr="00C95F82" w:rsidRDefault="00C95F82" w:rsidP="00C95F82">
      <w:pPr>
        <w:pStyle w:val="EndNoteBibliography"/>
        <w:spacing w:after="240"/>
        <w:rPr>
          <w:noProof/>
        </w:rPr>
      </w:pPr>
      <w:r w:rsidRPr="00C95F82">
        <w:rPr>
          <w:noProof/>
        </w:rPr>
        <w:t xml:space="preserve">Gagnon-Sanschagrin, P., Liang, Y., Sanon, M., Oberdhan, D., Guérin, A. and Cloutier, M. (2021) 'Excess healthcare costs in patients with autosomal dominant polycystic kidney disease by renal dysfunction stage', </w:t>
      </w:r>
      <w:r w:rsidRPr="00C95F82">
        <w:rPr>
          <w:i/>
          <w:noProof/>
        </w:rPr>
        <w:t>Journal of Medical Economics,</w:t>
      </w:r>
      <w:r w:rsidRPr="00C95F82">
        <w:rPr>
          <w:noProof/>
        </w:rPr>
        <w:t xml:space="preserve"> 24(1), pp. 193-201.</w:t>
      </w:r>
    </w:p>
    <w:p w14:paraId="67D58B2F" w14:textId="77777777" w:rsidR="00C95F82" w:rsidRPr="00C95F82" w:rsidRDefault="00C95F82" w:rsidP="00C95F82">
      <w:pPr>
        <w:pStyle w:val="EndNoteBibliography"/>
        <w:spacing w:after="240"/>
        <w:rPr>
          <w:noProof/>
        </w:rPr>
      </w:pPr>
      <w:r w:rsidRPr="00C95F82">
        <w:rPr>
          <w:noProof/>
        </w:rPr>
        <w:t xml:space="preserve">Gale, N. K., Heath, G., Cameron, E., Rashid, S. and Redwood, S. (2013) 'Using the framework method for the analysis of qualitative data in multi-disciplinary health research', </w:t>
      </w:r>
      <w:r w:rsidRPr="00C95F82">
        <w:rPr>
          <w:i/>
          <w:noProof/>
        </w:rPr>
        <w:t>BMC Medical Research Methodology,</w:t>
      </w:r>
      <w:r w:rsidRPr="00C95F82">
        <w:rPr>
          <w:noProof/>
        </w:rPr>
        <w:t xml:space="preserve"> 13, pp. 1-8.</w:t>
      </w:r>
    </w:p>
    <w:p w14:paraId="79669671" w14:textId="77777777" w:rsidR="00C95F82" w:rsidRPr="00C95F82" w:rsidRDefault="00C95F82" w:rsidP="00C95F82">
      <w:pPr>
        <w:pStyle w:val="EndNoteBibliography"/>
        <w:spacing w:after="240"/>
        <w:rPr>
          <w:noProof/>
        </w:rPr>
      </w:pPr>
      <w:r w:rsidRPr="00C95F82">
        <w:rPr>
          <w:noProof/>
        </w:rPr>
        <w:t xml:space="preserve">Gallan, A. S. (2004) 'Factors That Influence Physicians' Prescribing of Pharmaceuticals: A Literature Review', </w:t>
      </w:r>
      <w:r w:rsidRPr="00C95F82">
        <w:rPr>
          <w:i/>
          <w:noProof/>
        </w:rPr>
        <w:t>Journal of Pharmaceutical Marketing &amp; Management,</w:t>
      </w:r>
      <w:r w:rsidRPr="00C95F82">
        <w:rPr>
          <w:noProof/>
        </w:rPr>
        <w:t xml:space="preserve"> 16(4), pp. 3-46.</w:t>
      </w:r>
    </w:p>
    <w:p w14:paraId="498133A6" w14:textId="77777777" w:rsidR="00C95F82" w:rsidRPr="00C95F82" w:rsidRDefault="00C95F82" w:rsidP="00C95F82">
      <w:pPr>
        <w:pStyle w:val="EndNoteBibliography"/>
        <w:spacing w:after="240"/>
        <w:rPr>
          <w:noProof/>
        </w:rPr>
      </w:pPr>
      <w:r w:rsidRPr="00C95F82">
        <w:rPr>
          <w:noProof/>
        </w:rPr>
        <w:t xml:space="preserve">Gansevoort, R. T., Arici, M., Benzing, T., Birn, H., Capasso, G., Covic, A., Devuyst, O., Drechsler, C., Eckardt, K.-U., Emma, F., Knebelmann, B., Le Meur, Y., Massy, Z. A., Ong, A. C. M., Ortiz, A., Schaefer, F., Torra, R., Vanholder, R., Więcek, A., Zoccali, C. and Van Biesen, W. (2016) 'Recommendations for the use of tolvaptan in autosomal dominant polycystic kidney disease: a position statement on behalf of the ERA-EDTA Working Groups on Inherited Kidney Disorders and European Renal Best Practice', </w:t>
      </w:r>
      <w:r w:rsidRPr="00C95F82">
        <w:rPr>
          <w:i/>
          <w:noProof/>
        </w:rPr>
        <w:t>Nephrology Dialysis Transplantation,</w:t>
      </w:r>
      <w:r w:rsidRPr="00C95F82">
        <w:rPr>
          <w:noProof/>
        </w:rPr>
        <w:t xml:space="preserve"> 31(3), pp. 337-348.</w:t>
      </w:r>
    </w:p>
    <w:p w14:paraId="5075088E" w14:textId="77777777" w:rsidR="00C95F82" w:rsidRPr="00C95F82" w:rsidRDefault="00C95F82" w:rsidP="00C95F82">
      <w:pPr>
        <w:pStyle w:val="EndNoteBibliography"/>
        <w:spacing w:after="240"/>
        <w:rPr>
          <w:noProof/>
        </w:rPr>
      </w:pPr>
      <w:r w:rsidRPr="00C95F82">
        <w:rPr>
          <w:noProof/>
        </w:rPr>
        <w:t xml:space="preserve">Garjón, F. J., Azparren, A., Vergara, I., Azaola, B. and Loayssa, J. R. (2012) 'Adoption of new drugs by physicians: a survival analysis', </w:t>
      </w:r>
      <w:r w:rsidRPr="00C95F82">
        <w:rPr>
          <w:i/>
          <w:noProof/>
        </w:rPr>
        <w:t>BMC Health Services Research,</w:t>
      </w:r>
      <w:r w:rsidRPr="00C95F82">
        <w:rPr>
          <w:noProof/>
        </w:rPr>
        <w:t xml:space="preserve"> 12(1), pp. 56.</w:t>
      </w:r>
    </w:p>
    <w:p w14:paraId="108DDF49" w14:textId="77777777" w:rsidR="00C95F82" w:rsidRPr="00C95F82" w:rsidRDefault="00C95F82" w:rsidP="00C95F82">
      <w:pPr>
        <w:pStyle w:val="EndNoteBibliography"/>
        <w:spacing w:after="240"/>
        <w:rPr>
          <w:noProof/>
        </w:rPr>
      </w:pPr>
      <w:r w:rsidRPr="00C95F82">
        <w:rPr>
          <w:noProof/>
        </w:rPr>
        <w:t xml:space="preserve">Garrud, P., Wood, M. and Stainsby, L. (2001) 'Impact of risk information in a patient education leaflet', </w:t>
      </w:r>
      <w:r w:rsidRPr="00C95F82">
        <w:rPr>
          <w:i/>
          <w:noProof/>
        </w:rPr>
        <w:t>Patient Education and Counseling,</w:t>
      </w:r>
      <w:r w:rsidRPr="00C95F82">
        <w:rPr>
          <w:noProof/>
        </w:rPr>
        <w:t xml:space="preserve"> 43(3), pp. 303-306.</w:t>
      </w:r>
    </w:p>
    <w:p w14:paraId="2EA13072" w14:textId="77777777" w:rsidR="00C95F82" w:rsidRPr="00C95F82" w:rsidRDefault="00C95F82" w:rsidP="00C95F82">
      <w:pPr>
        <w:pStyle w:val="EndNoteBibliography"/>
        <w:spacing w:after="240"/>
        <w:rPr>
          <w:noProof/>
        </w:rPr>
      </w:pPr>
      <w:r w:rsidRPr="00C95F82">
        <w:rPr>
          <w:noProof/>
        </w:rPr>
        <w:t xml:space="preserve">Gartlehner, G., Wagner, G., Matyas, N., Titscher, V., Greimel, J., Lux, L., Gaynes, B. N., Viswanathan, M., Patel, S. and Lohr, K. N. (2017) 'Pharmacological and non-pharmacological treatments for major depressive disorder: review of systematic reviews', </w:t>
      </w:r>
      <w:r w:rsidRPr="00C95F82">
        <w:rPr>
          <w:i/>
          <w:noProof/>
        </w:rPr>
        <w:t>BMJ Open,</w:t>
      </w:r>
      <w:r w:rsidRPr="00C95F82">
        <w:rPr>
          <w:noProof/>
        </w:rPr>
        <w:t xml:space="preserve"> 7(6), pp. e014912.</w:t>
      </w:r>
    </w:p>
    <w:p w14:paraId="4DE74AA7" w14:textId="77777777" w:rsidR="00C95F82" w:rsidRPr="00C95F82" w:rsidRDefault="00C95F82" w:rsidP="00C95F82">
      <w:pPr>
        <w:pStyle w:val="EndNoteBibliography"/>
        <w:spacing w:after="240"/>
        <w:rPr>
          <w:noProof/>
        </w:rPr>
      </w:pPr>
      <w:r w:rsidRPr="00C95F82">
        <w:rPr>
          <w:noProof/>
        </w:rPr>
        <w:t xml:space="preserve">Gates, M., Gates, A., Guitard, S., Pollock, M. and Hartling, L. (2020) 'Guidance for overviews of reviews continues to accumulate, but important challenges remain: a scoping review', </w:t>
      </w:r>
      <w:r w:rsidRPr="00C95F82">
        <w:rPr>
          <w:i/>
          <w:noProof/>
        </w:rPr>
        <w:t>Systematic Reviews,</w:t>
      </w:r>
      <w:r w:rsidRPr="00C95F82">
        <w:rPr>
          <w:noProof/>
        </w:rPr>
        <w:t xml:space="preserve"> 9(1), pp. 254.</w:t>
      </w:r>
    </w:p>
    <w:p w14:paraId="349B83A4" w14:textId="77777777" w:rsidR="00C95F82" w:rsidRPr="00C95F82" w:rsidRDefault="00C95F82" w:rsidP="00C95F82">
      <w:pPr>
        <w:pStyle w:val="EndNoteBibliography"/>
        <w:spacing w:after="240"/>
        <w:rPr>
          <w:noProof/>
        </w:rPr>
      </w:pPr>
      <w:r w:rsidRPr="00C95F82">
        <w:rPr>
          <w:noProof/>
        </w:rPr>
        <w:t xml:space="preserve">Gattone, V. H., Wang, X., Harris, P. C. and Torres, V. E. (2003) 'Inhibition of renal cystic disease development and progression by a vasopressin V2 receptor antagonist', </w:t>
      </w:r>
      <w:r w:rsidRPr="00C95F82">
        <w:rPr>
          <w:i/>
          <w:noProof/>
        </w:rPr>
        <w:t>Nature Medicine,</w:t>
      </w:r>
      <w:r w:rsidRPr="00C95F82">
        <w:rPr>
          <w:noProof/>
        </w:rPr>
        <w:t xml:space="preserve"> 9(10), pp. 1323-1326.</w:t>
      </w:r>
    </w:p>
    <w:p w14:paraId="080FCE5C" w14:textId="77777777" w:rsidR="00C95F82" w:rsidRPr="00C95F82" w:rsidRDefault="00C95F82" w:rsidP="00C95F82">
      <w:pPr>
        <w:pStyle w:val="EndNoteBibliography"/>
        <w:spacing w:after="240"/>
        <w:rPr>
          <w:noProof/>
        </w:rPr>
      </w:pPr>
      <w:r w:rsidRPr="00C95F82">
        <w:rPr>
          <w:noProof/>
        </w:rPr>
        <w:t xml:space="preserve">Generalova, D., Cunningham, S., Leslie, S. J., Rushworth, G. F., McIver, L. and Stewart, D. (2018) 'A systematic review of clinicians' views and experiences of direct-acting oral anticoagulants in the management of nonvalvular atrial fibrillation', </w:t>
      </w:r>
      <w:r w:rsidRPr="00C95F82">
        <w:rPr>
          <w:i/>
          <w:noProof/>
        </w:rPr>
        <w:t>British Journal of Clinical Pharmacology,</w:t>
      </w:r>
      <w:r w:rsidRPr="00C95F82">
        <w:rPr>
          <w:noProof/>
        </w:rPr>
        <w:t xml:space="preserve"> 84(12), pp. 2692-2703.</w:t>
      </w:r>
    </w:p>
    <w:p w14:paraId="6149E8DB" w14:textId="77777777" w:rsidR="00C95F82" w:rsidRPr="00C95F82" w:rsidRDefault="00C95F82" w:rsidP="00C95F82">
      <w:pPr>
        <w:pStyle w:val="EndNoteBibliography"/>
        <w:spacing w:after="240"/>
        <w:rPr>
          <w:noProof/>
        </w:rPr>
      </w:pPr>
      <w:r w:rsidRPr="00C95F82">
        <w:rPr>
          <w:noProof/>
        </w:rPr>
        <w:t xml:space="preserve">Genitsaridi, I., Salpea, P., Salim, A., Sajjadi, S. F., Tomic, D., James, S., Thirunavukkarasu, S., Issaka, A., Chen, L. and Basit, A. (2026) '11th Edition of the IDF Diabetes Atlas: global, regional, and national diabetes prevalence estimates for 2024 and projections for 2050', </w:t>
      </w:r>
      <w:r w:rsidRPr="00C95F82">
        <w:rPr>
          <w:i/>
          <w:noProof/>
        </w:rPr>
        <w:t>The Lancet Diabetes &amp; Endocrinology,</w:t>
      </w:r>
      <w:r w:rsidRPr="00C95F82">
        <w:rPr>
          <w:noProof/>
        </w:rPr>
        <w:t xml:space="preserve"> 14(2), pp. 149-156.</w:t>
      </w:r>
    </w:p>
    <w:p w14:paraId="4FE564E3" w14:textId="50C4F49A" w:rsidR="00C95F82" w:rsidRPr="00C95F82" w:rsidRDefault="00C95F82" w:rsidP="00C95F82">
      <w:pPr>
        <w:pStyle w:val="EndNoteBibliography"/>
        <w:spacing w:after="240"/>
        <w:rPr>
          <w:noProof/>
        </w:rPr>
      </w:pPr>
      <w:r w:rsidRPr="00C95F82">
        <w:rPr>
          <w:noProof/>
        </w:rPr>
        <w:t xml:space="preserve">Getting It Right First Time (GIRFT) (2021) </w:t>
      </w:r>
      <w:r w:rsidRPr="00C95F82">
        <w:rPr>
          <w:i/>
          <w:noProof/>
        </w:rPr>
        <w:t>GIRFT - Renal Medicine</w:t>
      </w:r>
      <w:r w:rsidRPr="00C95F82">
        <w:rPr>
          <w:noProof/>
        </w:rPr>
        <w:t xml:space="preserve">. Available at: </w:t>
      </w:r>
      <w:hyperlink r:id="rId92" w:history="1">
        <w:r w:rsidRPr="00C95F82">
          <w:rPr>
            <w:rStyle w:val="Hyperlink"/>
            <w:noProof/>
          </w:rPr>
          <w:t>https://gettingitrightfirsttime.co.uk/wp-content/uploads/2021/09/Renal-Medicine-Sept21k.pdf</w:t>
        </w:r>
      </w:hyperlink>
      <w:r w:rsidRPr="00C95F82">
        <w:rPr>
          <w:noProof/>
        </w:rPr>
        <w:t xml:space="preserve"> (Accessed: 13/03/2026).</w:t>
      </w:r>
    </w:p>
    <w:p w14:paraId="1C811427" w14:textId="77777777" w:rsidR="00C95F82" w:rsidRPr="00C95F82" w:rsidRDefault="00C95F82" w:rsidP="00C95F82">
      <w:pPr>
        <w:pStyle w:val="EndNoteBibliography"/>
        <w:spacing w:after="240"/>
        <w:rPr>
          <w:noProof/>
        </w:rPr>
      </w:pPr>
      <w:r w:rsidRPr="00C95F82">
        <w:rPr>
          <w:noProof/>
        </w:rPr>
        <w:t xml:space="preserve">Giles, E. L. and Harrison, S. L. (2023) 'Reflecting on the importance of theory-informed qualitative research in people with chronic respiratory disease and their carers', </w:t>
      </w:r>
      <w:r w:rsidRPr="00C95F82">
        <w:rPr>
          <w:i/>
          <w:noProof/>
        </w:rPr>
        <w:t>Chronic Respiratory Disease,</w:t>
      </w:r>
      <w:r w:rsidRPr="00C95F82">
        <w:rPr>
          <w:noProof/>
        </w:rPr>
        <w:t xml:space="preserve"> 20, pp. 14799731231185128.</w:t>
      </w:r>
    </w:p>
    <w:p w14:paraId="13DC8389" w14:textId="77777777" w:rsidR="00C95F82" w:rsidRPr="00C95F82" w:rsidRDefault="00C95F82" w:rsidP="00C95F82">
      <w:pPr>
        <w:pStyle w:val="EndNoteBibliography"/>
        <w:spacing w:after="240"/>
        <w:rPr>
          <w:noProof/>
        </w:rPr>
      </w:pPr>
      <w:r w:rsidRPr="00C95F82">
        <w:rPr>
          <w:noProof/>
        </w:rPr>
        <w:t xml:space="preserve">Gillmore, J. D., Damy, T., Fontana, M., Hutchinson, M., Lachmann, H. J., Martinez-Naharro, A., Quarta, C. C., Rezk, T., Whelan, C. J. and Gonzalez-Lopez, E. (2018) 'A new staging system for cardiac transthyretin amyloidosis', </w:t>
      </w:r>
      <w:r w:rsidRPr="00C95F82">
        <w:rPr>
          <w:i/>
          <w:noProof/>
        </w:rPr>
        <w:t>European Heart Journal,</w:t>
      </w:r>
      <w:r w:rsidRPr="00C95F82">
        <w:rPr>
          <w:noProof/>
        </w:rPr>
        <w:t xml:space="preserve"> 39(30), pp. 2799-2806.</w:t>
      </w:r>
    </w:p>
    <w:p w14:paraId="061E5FD8" w14:textId="77777777" w:rsidR="00C95F82" w:rsidRPr="00C95F82" w:rsidRDefault="00C95F82" w:rsidP="00C95F82">
      <w:pPr>
        <w:pStyle w:val="EndNoteBibliography"/>
        <w:spacing w:after="240"/>
        <w:rPr>
          <w:noProof/>
        </w:rPr>
      </w:pPr>
      <w:r w:rsidRPr="00C95F82">
        <w:rPr>
          <w:noProof/>
        </w:rPr>
        <w:t xml:space="preserve">Gittus, M., Chong, J., Sutton, A., Ong, A. C. M. and Fotheringham, J. (2023a) 'Barriers and facilitators to the implementation of guidelines in rare diseases: a systematic review', </w:t>
      </w:r>
      <w:r w:rsidRPr="00C95F82">
        <w:rPr>
          <w:i/>
          <w:noProof/>
        </w:rPr>
        <w:t>Orphanet Journal of Rare Diseases,</w:t>
      </w:r>
      <w:r w:rsidRPr="00C95F82">
        <w:rPr>
          <w:noProof/>
        </w:rPr>
        <w:t xml:space="preserve"> 18(1), pp. 140.</w:t>
      </w:r>
    </w:p>
    <w:p w14:paraId="5D353A55" w14:textId="77777777" w:rsidR="00C95F82" w:rsidRPr="00C95F82" w:rsidRDefault="00C95F82" w:rsidP="00C95F82">
      <w:pPr>
        <w:pStyle w:val="EndNoteBibliography"/>
        <w:spacing w:after="240"/>
        <w:rPr>
          <w:noProof/>
        </w:rPr>
      </w:pPr>
      <w:r w:rsidRPr="00C95F82">
        <w:rPr>
          <w:noProof/>
        </w:rPr>
        <w:t xml:space="preserve">Gittus, M., Downward, L., Pitcher, D. and Fotheringham, J. (2023b) 'Centre-level variation in tolvaptan prescrbing for ADPKD in the UK', </w:t>
      </w:r>
      <w:r w:rsidRPr="00C95F82">
        <w:rPr>
          <w:i/>
          <w:noProof/>
        </w:rPr>
        <w:t>UK Kidney Week 2023</w:t>
      </w:r>
      <w:r w:rsidRPr="00C95F82">
        <w:rPr>
          <w:noProof/>
        </w:rPr>
        <w:t>.</w:t>
      </w:r>
    </w:p>
    <w:p w14:paraId="4EE5DF93" w14:textId="77777777" w:rsidR="00C95F82" w:rsidRPr="00C95F82" w:rsidRDefault="00C95F82" w:rsidP="00C95F82">
      <w:pPr>
        <w:pStyle w:val="EndNoteBibliography"/>
        <w:spacing w:after="240"/>
        <w:rPr>
          <w:noProof/>
        </w:rPr>
      </w:pPr>
      <w:r w:rsidRPr="00C95F82">
        <w:rPr>
          <w:noProof/>
        </w:rPr>
        <w:t xml:space="preserve">Gittus, M., Haley, H., Harris, T., Borrows, S., Padmanabhan, N., Gale, D., Simms, R., Williams, T., Acquaye, A., Wong, A., Chan, M., Lee, E. and Ong, A. C. (2025a) 'Commentary: Tolvaptan for Autosomal Dominant Polycystic Kidney Disease (ADPKD) - an update', </w:t>
      </w:r>
      <w:r w:rsidRPr="00C95F82">
        <w:rPr>
          <w:i/>
          <w:noProof/>
        </w:rPr>
        <w:t>BMC Nephrology,</w:t>
      </w:r>
      <w:r w:rsidRPr="00C95F82">
        <w:rPr>
          <w:noProof/>
        </w:rPr>
        <w:t xml:space="preserve"> 26(1), pp. 79.</w:t>
      </w:r>
    </w:p>
    <w:p w14:paraId="6BB61D9B" w14:textId="77777777" w:rsidR="00C95F82" w:rsidRPr="00C95F82" w:rsidRDefault="00C95F82" w:rsidP="00C95F82">
      <w:pPr>
        <w:pStyle w:val="EndNoteBibliography"/>
        <w:spacing w:after="240"/>
        <w:rPr>
          <w:noProof/>
        </w:rPr>
      </w:pPr>
      <w:r w:rsidRPr="00C95F82">
        <w:rPr>
          <w:noProof/>
        </w:rPr>
        <w:t xml:space="preserve">Gittus, M., Harris, T. and Ong, A. C. (2023) 'Patient Perspectives on ADPKD', </w:t>
      </w:r>
      <w:r w:rsidRPr="00C95F82">
        <w:rPr>
          <w:i/>
          <w:noProof/>
        </w:rPr>
        <w:t>Advances in Kidney Disease and Health,</w:t>
      </w:r>
      <w:r w:rsidRPr="00C95F82">
        <w:rPr>
          <w:noProof/>
        </w:rPr>
        <w:t xml:space="preserve"> 30(3), pp. 294-302.</w:t>
      </w:r>
    </w:p>
    <w:p w14:paraId="3454E6C9" w14:textId="77777777" w:rsidR="00C95F82" w:rsidRPr="00C95F82" w:rsidRDefault="00C95F82" w:rsidP="00C95F82">
      <w:pPr>
        <w:pStyle w:val="EndNoteBibliography"/>
        <w:spacing w:after="240"/>
        <w:rPr>
          <w:noProof/>
        </w:rPr>
      </w:pPr>
      <w:r w:rsidRPr="00C95F82">
        <w:rPr>
          <w:noProof/>
        </w:rPr>
        <w:t xml:space="preserve">Gittus, M., O’Cathain, A., Miller, K., Oklopcic, A., Ong, A. C. and Fotheringham, J. (2025b) 'A conceptual model of factors potentially influencing prescribing decisions for chronic conditions: an overview of systematic reviews', </w:t>
      </w:r>
      <w:r w:rsidRPr="00C95F82">
        <w:rPr>
          <w:i/>
          <w:noProof/>
        </w:rPr>
        <w:t>BMC Medicine,</w:t>
      </w:r>
      <w:r w:rsidRPr="00C95F82">
        <w:rPr>
          <w:noProof/>
        </w:rPr>
        <w:t xml:space="preserve"> 23(1), pp. 364.</w:t>
      </w:r>
    </w:p>
    <w:p w14:paraId="73540C82" w14:textId="77777777" w:rsidR="00C95F82" w:rsidRPr="00C95F82" w:rsidRDefault="00C95F82" w:rsidP="00C95F82">
      <w:pPr>
        <w:pStyle w:val="EndNoteBibliography"/>
        <w:spacing w:after="240"/>
        <w:rPr>
          <w:noProof/>
        </w:rPr>
      </w:pPr>
      <w:r w:rsidRPr="00C95F82">
        <w:rPr>
          <w:noProof/>
        </w:rPr>
        <w:t xml:space="preserve">Gittus, M., Zhang, Y., Harnan, S., Sutton, A., Fotheringham, J., Ong, A. C. and Mandrik, O. (2026) 'Health-related quality of life in people with autosomal dominant polycystic kidney disease: a systematic review', </w:t>
      </w:r>
      <w:r w:rsidRPr="00C95F82">
        <w:rPr>
          <w:i/>
          <w:noProof/>
        </w:rPr>
        <w:t>Clinical Kidney Journal</w:t>
      </w:r>
      <w:r w:rsidRPr="00C95F82">
        <w:rPr>
          <w:noProof/>
        </w:rPr>
        <w:t>, pp. sfag116.</w:t>
      </w:r>
    </w:p>
    <w:p w14:paraId="5367A6C4" w14:textId="77777777" w:rsidR="00C95F82" w:rsidRPr="00C95F82" w:rsidRDefault="00C95F82" w:rsidP="00C95F82">
      <w:pPr>
        <w:pStyle w:val="EndNoteBibliography"/>
        <w:spacing w:after="240"/>
        <w:rPr>
          <w:noProof/>
        </w:rPr>
      </w:pPr>
      <w:r w:rsidRPr="00C95F82">
        <w:rPr>
          <w:noProof/>
        </w:rPr>
        <w:t xml:space="preserve">Glanz, K., Rimer, B. K. and Viswanath, K. (2008) </w:t>
      </w:r>
      <w:r w:rsidRPr="00C95F82">
        <w:rPr>
          <w:i/>
          <w:noProof/>
        </w:rPr>
        <w:t>Health behavior and health education: theory, research, and practice.</w:t>
      </w:r>
      <w:r w:rsidRPr="00C95F82">
        <w:rPr>
          <w:noProof/>
        </w:rPr>
        <w:t xml:space="preserve"> San Francisco, California, USA: John Wiley &amp; Sons, p. 1-592.</w:t>
      </w:r>
    </w:p>
    <w:p w14:paraId="0F0598D9" w14:textId="77777777" w:rsidR="00C95F82" w:rsidRPr="00C95F82" w:rsidRDefault="00C95F82" w:rsidP="00C95F82">
      <w:pPr>
        <w:pStyle w:val="EndNoteBibliography"/>
        <w:spacing w:after="240"/>
        <w:rPr>
          <w:noProof/>
        </w:rPr>
      </w:pPr>
      <w:r w:rsidRPr="00C95F82">
        <w:rPr>
          <w:noProof/>
        </w:rPr>
        <w:t xml:space="preserve">Glenton, C., Lewin, S., Downe, S., Paulsen, E., Munabi-Babigumira, S., Johansen, M., Agarwal, S., Ames, H., Cooper, S. and Daniels, K. (2021) 'Qualitative evidence syntheses within cochrane effective practice and organisation of care: developing a template and guidance', </w:t>
      </w:r>
      <w:r w:rsidRPr="00C95F82">
        <w:rPr>
          <w:i/>
          <w:noProof/>
        </w:rPr>
        <w:t>International Journal of Qualitative Methods,</w:t>
      </w:r>
      <w:r w:rsidRPr="00C95F82">
        <w:rPr>
          <w:noProof/>
        </w:rPr>
        <w:t xml:space="preserve"> 20, pp. 16094069211041959.</w:t>
      </w:r>
    </w:p>
    <w:p w14:paraId="2A8CA9DE" w14:textId="2BDD124C" w:rsidR="00C95F82" w:rsidRPr="00C95F82" w:rsidRDefault="00C95F82" w:rsidP="00C95F82">
      <w:pPr>
        <w:pStyle w:val="EndNoteBibliography"/>
        <w:spacing w:after="240"/>
        <w:rPr>
          <w:noProof/>
        </w:rPr>
      </w:pPr>
      <w:r w:rsidRPr="00C95F82">
        <w:rPr>
          <w:noProof/>
        </w:rPr>
        <w:t xml:space="preserve">Gliklich, R. E., Dreyer, N. A. and Leavy, M. B. (2014) </w:t>
      </w:r>
      <w:r w:rsidRPr="00C95F82">
        <w:rPr>
          <w:i/>
          <w:noProof/>
        </w:rPr>
        <w:t>Registries for evaluating patient outcomes: a user’s guide</w:t>
      </w:r>
      <w:r w:rsidRPr="00C95F82">
        <w:rPr>
          <w:noProof/>
        </w:rPr>
        <w:t xml:space="preserve">. Available at: </w:t>
      </w:r>
      <w:hyperlink r:id="rId93" w:history="1">
        <w:r w:rsidRPr="00C95F82">
          <w:rPr>
            <w:rStyle w:val="Hyperlink"/>
            <w:noProof/>
          </w:rPr>
          <w:t>https://effectivehealthcare.ahrq.gov/sites/default/files/pdf/registries-evaluating-patient-outcomes-4th-edition.pdf</w:t>
        </w:r>
      </w:hyperlink>
      <w:r w:rsidRPr="00C95F82">
        <w:rPr>
          <w:noProof/>
        </w:rPr>
        <w:t xml:space="preserve"> (Accessed: 28/04/2026).</w:t>
      </w:r>
    </w:p>
    <w:p w14:paraId="40FEC9E0" w14:textId="77777777" w:rsidR="00C95F82" w:rsidRPr="00C95F82" w:rsidRDefault="00C95F82" w:rsidP="00C95F82">
      <w:pPr>
        <w:pStyle w:val="EndNoteBibliography"/>
        <w:spacing w:after="240"/>
        <w:rPr>
          <w:noProof/>
        </w:rPr>
      </w:pPr>
      <w:r w:rsidRPr="00C95F82">
        <w:rPr>
          <w:noProof/>
        </w:rPr>
        <w:t xml:space="preserve">Godin, G., Bélanger-Gravel, A., Eccles, M. and Grimshaw, J. (2008) 'Healthcare professionals' intentions and behaviours: A systematic review of studies based on social cognitive theories', </w:t>
      </w:r>
      <w:r w:rsidRPr="00C95F82">
        <w:rPr>
          <w:i/>
          <w:noProof/>
        </w:rPr>
        <w:t>Implementation Science,</w:t>
      </w:r>
      <w:r w:rsidRPr="00C95F82">
        <w:rPr>
          <w:noProof/>
        </w:rPr>
        <w:t xml:space="preserve"> 3(1), pp. 36.</w:t>
      </w:r>
    </w:p>
    <w:p w14:paraId="79A09000" w14:textId="77777777" w:rsidR="00C95F82" w:rsidRPr="00C95F82" w:rsidRDefault="00C95F82" w:rsidP="00C95F82">
      <w:pPr>
        <w:pStyle w:val="EndNoteBibliography"/>
        <w:spacing w:after="240"/>
        <w:rPr>
          <w:noProof/>
        </w:rPr>
      </w:pPr>
      <w:r w:rsidRPr="00C95F82">
        <w:rPr>
          <w:noProof/>
        </w:rPr>
        <w:t xml:space="preserve">Goossen, K., Hess, S., Lunny, C. and Pieper, D. (2020) 'Database combinations to retrieve systematic reviews in overviews of reviews: a methodological study', </w:t>
      </w:r>
      <w:r w:rsidRPr="00C95F82">
        <w:rPr>
          <w:i/>
          <w:noProof/>
        </w:rPr>
        <w:t>BMC Medical Research Methodology,</w:t>
      </w:r>
      <w:r w:rsidRPr="00C95F82">
        <w:rPr>
          <w:noProof/>
        </w:rPr>
        <w:t xml:space="preserve"> 20(1), pp. 138.</w:t>
      </w:r>
    </w:p>
    <w:p w14:paraId="303ED840" w14:textId="77777777" w:rsidR="00C95F82" w:rsidRPr="00C95F82" w:rsidRDefault="00C95F82" w:rsidP="00C95F82">
      <w:pPr>
        <w:pStyle w:val="EndNoteBibliography"/>
        <w:spacing w:after="240"/>
        <w:rPr>
          <w:noProof/>
        </w:rPr>
      </w:pPr>
      <w:r w:rsidRPr="00C95F82">
        <w:rPr>
          <w:noProof/>
        </w:rPr>
        <w:t xml:space="preserve">Gordon, J., Miller, G. and Britt, H. (2018) 'What are chronic conditions that contribute to multimorbidity?', </w:t>
      </w:r>
      <w:r w:rsidRPr="00C95F82">
        <w:rPr>
          <w:i/>
          <w:noProof/>
        </w:rPr>
        <w:t>Australian Journal for General Practitioners,</w:t>
      </w:r>
      <w:r w:rsidRPr="00C95F82">
        <w:rPr>
          <w:noProof/>
        </w:rPr>
        <w:t xml:space="preserve"> 47, pp. 20-23.</w:t>
      </w:r>
    </w:p>
    <w:p w14:paraId="0792169E" w14:textId="77777777" w:rsidR="00C95F82" w:rsidRPr="00C95F82" w:rsidRDefault="00C95F82" w:rsidP="00C95F82">
      <w:pPr>
        <w:pStyle w:val="EndNoteBibliography"/>
        <w:spacing w:after="240"/>
        <w:rPr>
          <w:noProof/>
        </w:rPr>
      </w:pPr>
      <w:r w:rsidRPr="00C95F82">
        <w:rPr>
          <w:noProof/>
        </w:rPr>
        <w:t xml:space="preserve">Graham-Clarke, E., Rushton, A., Noblet, T. and Marriott, J. (2018) 'Facilitators and barriers to non-medical prescribing–A systematic review and thematic synthesis', </w:t>
      </w:r>
      <w:r w:rsidRPr="00C95F82">
        <w:rPr>
          <w:i/>
          <w:noProof/>
        </w:rPr>
        <w:t>PLOS One,</w:t>
      </w:r>
      <w:r w:rsidRPr="00C95F82">
        <w:rPr>
          <w:noProof/>
        </w:rPr>
        <w:t xml:space="preserve"> 13(4), pp. e0196471.</w:t>
      </w:r>
    </w:p>
    <w:p w14:paraId="368D9824" w14:textId="77777777" w:rsidR="00C95F82" w:rsidRPr="00C95F82" w:rsidRDefault="00C95F82" w:rsidP="00C95F82">
      <w:pPr>
        <w:pStyle w:val="EndNoteBibliography"/>
        <w:spacing w:after="240"/>
        <w:rPr>
          <w:noProof/>
        </w:rPr>
      </w:pPr>
      <w:r w:rsidRPr="00C95F82">
        <w:rPr>
          <w:noProof/>
        </w:rPr>
        <w:t xml:space="preserve">Graham-Clarke, E., Rushton, A., Noblet, T. and Marriott, J. (2019) 'Non-medical prescribing in the United Kingdom National Health Service: A systematic policy review', </w:t>
      </w:r>
      <w:r w:rsidRPr="00C95F82">
        <w:rPr>
          <w:i/>
          <w:noProof/>
        </w:rPr>
        <w:t>PLOS One,</w:t>
      </w:r>
      <w:r w:rsidRPr="00C95F82">
        <w:rPr>
          <w:noProof/>
        </w:rPr>
        <w:t xml:space="preserve"> 14(7), pp. e0214630.</w:t>
      </w:r>
    </w:p>
    <w:p w14:paraId="68EDCF22" w14:textId="77777777" w:rsidR="00C95F82" w:rsidRPr="00C95F82" w:rsidRDefault="00C95F82" w:rsidP="00C95F82">
      <w:pPr>
        <w:pStyle w:val="EndNoteBibliography"/>
        <w:spacing w:after="240"/>
        <w:rPr>
          <w:noProof/>
        </w:rPr>
      </w:pPr>
      <w:r w:rsidRPr="00C95F82">
        <w:rPr>
          <w:noProof/>
        </w:rPr>
        <w:t xml:space="preserve">Granger, E., Davies, G. and Keogh, R. H. (2022) 'Treatment patterns in people with cystic fibrosis: have they changed since the introduction of ivacaftor?', </w:t>
      </w:r>
      <w:r w:rsidRPr="00C95F82">
        <w:rPr>
          <w:i/>
          <w:noProof/>
        </w:rPr>
        <w:t>Journal of Cystic Fibrosis,</w:t>
      </w:r>
      <w:r w:rsidRPr="00C95F82">
        <w:rPr>
          <w:noProof/>
        </w:rPr>
        <w:t xml:space="preserve"> 21(2), pp. 316-322.</w:t>
      </w:r>
    </w:p>
    <w:p w14:paraId="325B252A" w14:textId="77777777" w:rsidR="00C95F82" w:rsidRPr="00C95F82" w:rsidRDefault="00C95F82" w:rsidP="00C95F82">
      <w:pPr>
        <w:pStyle w:val="EndNoteBibliography"/>
        <w:spacing w:after="240"/>
        <w:rPr>
          <w:noProof/>
        </w:rPr>
      </w:pPr>
      <w:r w:rsidRPr="00C95F82">
        <w:rPr>
          <w:noProof/>
        </w:rPr>
        <w:t xml:space="preserve">Grantham, J., Cook, L., Torres, V., Bost, J., Chapman, A., Harris, P., Guay-Woodford, L. and Bae, K. (2008) 'Determinants of renal volume in autosomal-dominant polycystic kidney disease', </w:t>
      </w:r>
      <w:r w:rsidRPr="00C95F82">
        <w:rPr>
          <w:i/>
          <w:noProof/>
        </w:rPr>
        <w:t>Kidney International,</w:t>
      </w:r>
      <w:r w:rsidRPr="00C95F82">
        <w:rPr>
          <w:noProof/>
        </w:rPr>
        <w:t xml:space="preserve"> 73(1), pp. 108-116.</w:t>
      </w:r>
    </w:p>
    <w:p w14:paraId="0A1D85D2" w14:textId="77777777" w:rsidR="00C95F82" w:rsidRPr="00C95F82" w:rsidRDefault="00C95F82" w:rsidP="00C95F82">
      <w:pPr>
        <w:pStyle w:val="EndNoteBibliography"/>
        <w:spacing w:after="240"/>
        <w:rPr>
          <w:noProof/>
        </w:rPr>
      </w:pPr>
      <w:r w:rsidRPr="00C95F82">
        <w:rPr>
          <w:noProof/>
        </w:rPr>
        <w:t xml:space="preserve">Grantham, J. J., Torres, V. E., Chapman, A. B., Guay-Woodford, L. M., Bae, K. T., King Jr, B. F., Wetzel, L. H., Baumgarten, D. A., Kenney, P. J. and Harris, P. C. (2006) 'Volume progression in polycystic kidney disease', </w:t>
      </w:r>
      <w:r w:rsidRPr="00C95F82">
        <w:rPr>
          <w:i/>
          <w:noProof/>
        </w:rPr>
        <w:t>New England Journal of Medicine,</w:t>
      </w:r>
      <w:r w:rsidRPr="00C95F82">
        <w:rPr>
          <w:noProof/>
        </w:rPr>
        <w:t xml:space="preserve"> 354(20), pp. 2122-2130.</w:t>
      </w:r>
    </w:p>
    <w:p w14:paraId="5753A09A" w14:textId="77777777" w:rsidR="00C95F82" w:rsidRPr="00C95F82" w:rsidRDefault="00C95F82" w:rsidP="00C95F82">
      <w:pPr>
        <w:pStyle w:val="EndNoteBibliography"/>
        <w:spacing w:after="240"/>
        <w:rPr>
          <w:noProof/>
        </w:rPr>
      </w:pPr>
      <w:r w:rsidRPr="00C95F82">
        <w:rPr>
          <w:noProof/>
        </w:rPr>
        <w:t xml:space="preserve">Gray, K. and Sockolow, P. (2016) 'Conceptual models in health informatics research: a literature review and suggestions for development', </w:t>
      </w:r>
      <w:r w:rsidRPr="00C95F82">
        <w:rPr>
          <w:i/>
          <w:noProof/>
        </w:rPr>
        <w:t>JMIR Medical Informatics,</w:t>
      </w:r>
      <w:r w:rsidRPr="00C95F82">
        <w:rPr>
          <w:noProof/>
        </w:rPr>
        <w:t xml:space="preserve"> 4(1), pp. e5021.</w:t>
      </w:r>
    </w:p>
    <w:p w14:paraId="0E48A115" w14:textId="77777777" w:rsidR="00C95F82" w:rsidRPr="00C95F82" w:rsidRDefault="00C95F82" w:rsidP="00C95F82">
      <w:pPr>
        <w:pStyle w:val="EndNoteBibliography"/>
        <w:spacing w:after="240"/>
        <w:rPr>
          <w:noProof/>
        </w:rPr>
      </w:pPr>
      <w:r w:rsidRPr="00C95F82">
        <w:rPr>
          <w:noProof/>
        </w:rPr>
        <w:t xml:space="preserve">Green, J. and Thorogood, N. (2004) </w:t>
      </w:r>
      <w:r w:rsidRPr="00C95F82">
        <w:rPr>
          <w:i/>
          <w:noProof/>
        </w:rPr>
        <w:t>Qualitative Methods for Health Research.</w:t>
      </w:r>
      <w:r w:rsidRPr="00C95F82">
        <w:rPr>
          <w:noProof/>
        </w:rPr>
        <w:t xml:space="preserve"> London, UK: SAGE Publications Ltd, p. 177-180.</w:t>
      </w:r>
    </w:p>
    <w:p w14:paraId="3EE65BBD" w14:textId="77777777" w:rsidR="00C95F82" w:rsidRPr="00C95F82" w:rsidRDefault="00C95F82" w:rsidP="00C95F82">
      <w:pPr>
        <w:pStyle w:val="EndNoteBibliography"/>
        <w:spacing w:after="240"/>
        <w:rPr>
          <w:noProof/>
        </w:rPr>
      </w:pPr>
      <w:r w:rsidRPr="00C95F82">
        <w:rPr>
          <w:noProof/>
        </w:rPr>
        <w:t xml:space="preserve">Greenhalgh, T. (2025) 'Case studies: a guide for researchers, educators, and implementers', </w:t>
      </w:r>
      <w:r w:rsidRPr="00C95F82">
        <w:rPr>
          <w:i/>
          <w:noProof/>
        </w:rPr>
        <w:t>BMJ Medicine,</w:t>
      </w:r>
      <w:r w:rsidRPr="00C95F82">
        <w:rPr>
          <w:noProof/>
        </w:rPr>
        <w:t xml:space="preserve"> 4(1), pp. e001623.</w:t>
      </w:r>
    </w:p>
    <w:p w14:paraId="41B5C901" w14:textId="77777777" w:rsidR="00C95F82" w:rsidRPr="00C95F82" w:rsidRDefault="00C95F82" w:rsidP="00C95F82">
      <w:pPr>
        <w:pStyle w:val="EndNoteBibliography"/>
        <w:spacing w:after="240"/>
        <w:rPr>
          <w:noProof/>
        </w:rPr>
      </w:pPr>
      <w:r w:rsidRPr="00C95F82">
        <w:rPr>
          <w:noProof/>
        </w:rPr>
        <w:t xml:space="preserve">Greenhalgh, T., Robert, G., Macfarlane, F., Bate, P. and Kyriakidou, O. (2004) 'Diffusion of innovations in service organizations: systematic review and recommendations', </w:t>
      </w:r>
      <w:r w:rsidRPr="00C95F82">
        <w:rPr>
          <w:i/>
          <w:noProof/>
        </w:rPr>
        <w:t>The Milbank Quarterly,</w:t>
      </w:r>
      <w:r w:rsidRPr="00C95F82">
        <w:rPr>
          <w:noProof/>
        </w:rPr>
        <w:t xml:space="preserve"> 82(4), pp. 581-629.</w:t>
      </w:r>
    </w:p>
    <w:p w14:paraId="6B68A2AA" w14:textId="77777777" w:rsidR="00C95F82" w:rsidRPr="00C95F82" w:rsidRDefault="00C95F82" w:rsidP="00C95F82">
      <w:pPr>
        <w:pStyle w:val="EndNoteBibliography"/>
        <w:spacing w:after="240"/>
        <w:rPr>
          <w:noProof/>
        </w:rPr>
      </w:pPr>
      <w:r w:rsidRPr="00C95F82">
        <w:rPr>
          <w:noProof/>
        </w:rPr>
        <w:t xml:space="preserve">Greenhalgh, T., Wherton, J., Papoutsi, C., Lynch, J., Hughes, G., Hinder, S., Fahy, N., Procter, R. and Shaw, S. (2017) 'Beyond adoption: a new framework for theorizing and evaluating nonadoption, abandonment, and challenges to the scale-up, spread, and sustainability of health and care technologies', </w:t>
      </w:r>
      <w:r w:rsidRPr="00C95F82">
        <w:rPr>
          <w:i/>
          <w:noProof/>
        </w:rPr>
        <w:t>Journal of Medical Internet Research,</w:t>
      </w:r>
      <w:r w:rsidRPr="00C95F82">
        <w:rPr>
          <w:noProof/>
        </w:rPr>
        <w:t xml:space="preserve"> 19(11), pp. e8775.</w:t>
      </w:r>
    </w:p>
    <w:p w14:paraId="366133C6" w14:textId="77777777" w:rsidR="00C95F82" w:rsidRPr="00C95F82" w:rsidRDefault="00C95F82" w:rsidP="00C95F82">
      <w:pPr>
        <w:pStyle w:val="EndNoteBibliography"/>
        <w:spacing w:after="240"/>
        <w:rPr>
          <w:noProof/>
        </w:rPr>
      </w:pPr>
      <w:r w:rsidRPr="00C95F82">
        <w:rPr>
          <w:noProof/>
        </w:rPr>
        <w:t xml:space="preserve">Griffiths, A., Dunning, L., Facey, K., Jankovic, D., Malla, C. G., Low, E., Meregaglia, M., Schmidt, F., Wilson, K. and Upadhyaya, S. (2025) 'Recommended methods for the collection of clinical expert judgment in rare diseases: Generating evidence to support reimbursement of orphan drugs', </w:t>
      </w:r>
      <w:r w:rsidRPr="00C95F82">
        <w:rPr>
          <w:i/>
          <w:noProof/>
        </w:rPr>
        <w:t>International Journal of Technology Assessment in Health Care,</w:t>
      </w:r>
      <w:r w:rsidRPr="00C95F82">
        <w:rPr>
          <w:noProof/>
        </w:rPr>
        <w:t xml:space="preserve"> 41(1), pp. e76.</w:t>
      </w:r>
    </w:p>
    <w:p w14:paraId="3ED221A8" w14:textId="77777777" w:rsidR="00C95F82" w:rsidRPr="00C95F82" w:rsidRDefault="00C95F82" w:rsidP="00C95F82">
      <w:pPr>
        <w:pStyle w:val="EndNoteBibliography"/>
        <w:spacing w:after="240"/>
        <w:rPr>
          <w:noProof/>
        </w:rPr>
      </w:pPr>
      <w:r w:rsidRPr="00C95F82">
        <w:rPr>
          <w:noProof/>
        </w:rPr>
        <w:t xml:space="preserve">Groft, S. C. and Paz, M. P. (2010) 'Rare diseases–avoiding misperceptions and establishing realities: the need for reliable epidemiological data', </w:t>
      </w:r>
      <w:r w:rsidRPr="00C95F82">
        <w:rPr>
          <w:i/>
          <w:noProof/>
        </w:rPr>
        <w:t>Rare Diseases Epidemiology,</w:t>
      </w:r>
      <w:r w:rsidRPr="00C95F82">
        <w:rPr>
          <w:noProof/>
        </w:rPr>
        <w:t xml:space="preserve"> 686, pp. 3-14.</w:t>
      </w:r>
    </w:p>
    <w:p w14:paraId="31974F8C" w14:textId="77777777" w:rsidR="00C95F82" w:rsidRPr="00C95F82" w:rsidRDefault="00C95F82" w:rsidP="00C95F82">
      <w:pPr>
        <w:pStyle w:val="EndNoteBibliography"/>
        <w:spacing w:after="240"/>
        <w:rPr>
          <w:noProof/>
        </w:rPr>
      </w:pPr>
      <w:r w:rsidRPr="00C95F82">
        <w:rPr>
          <w:noProof/>
        </w:rPr>
        <w:t xml:space="preserve">Grol, R. and Grimshaw, J. (2003) 'From best evidence to best practice: effective implementation of change in patients' care', </w:t>
      </w:r>
      <w:r w:rsidRPr="00C95F82">
        <w:rPr>
          <w:i/>
          <w:noProof/>
        </w:rPr>
        <w:t>The Lancet,</w:t>
      </w:r>
      <w:r w:rsidRPr="00C95F82">
        <w:rPr>
          <w:noProof/>
        </w:rPr>
        <w:t xml:space="preserve"> 362(9391), pp. 1225-1230.</w:t>
      </w:r>
    </w:p>
    <w:p w14:paraId="05631C91" w14:textId="77777777" w:rsidR="00C95F82" w:rsidRPr="00C95F82" w:rsidRDefault="00C95F82" w:rsidP="00C95F82">
      <w:pPr>
        <w:pStyle w:val="EndNoteBibliography"/>
        <w:spacing w:after="240"/>
        <w:rPr>
          <w:noProof/>
        </w:rPr>
      </w:pPr>
      <w:r w:rsidRPr="00C95F82">
        <w:rPr>
          <w:noProof/>
        </w:rPr>
        <w:t xml:space="preserve">Grol, R. and Wensing, M. (2004) 'What drives change? Barriers to and incentives for achieving evidence-based practice', </w:t>
      </w:r>
      <w:r w:rsidRPr="00C95F82">
        <w:rPr>
          <w:i/>
          <w:noProof/>
        </w:rPr>
        <w:t>The Medical Journal of Australia,</w:t>
      </w:r>
      <w:r w:rsidRPr="00C95F82">
        <w:rPr>
          <w:noProof/>
        </w:rPr>
        <w:t xml:space="preserve"> 180(6), pp. S57.</w:t>
      </w:r>
    </w:p>
    <w:p w14:paraId="1FA1ED3E" w14:textId="77777777" w:rsidR="00C95F82" w:rsidRPr="00C95F82" w:rsidRDefault="00C95F82" w:rsidP="00C95F82">
      <w:pPr>
        <w:pStyle w:val="EndNoteBibliography"/>
        <w:spacing w:after="240"/>
        <w:rPr>
          <w:noProof/>
        </w:rPr>
      </w:pPr>
      <w:r w:rsidRPr="00C95F82">
        <w:rPr>
          <w:noProof/>
        </w:rPr>
        <w:t xml:space="preserve">Groves, R. M., Fowler Jr, F. J., Couper, M. P., Lepkowski, J. M., Singer, E. and Tourangeau, R. (2011) </w:t>
      </w:r>
      <w:r w:rsidRPr="00C95F82">
        <w:rPr>
          <w:i/>
          <w:noProof/>
        </w:rPr>
        <w:t>Survey Methodology.</w:t>
      </w:r>
      <w:r w:rsidRPr="00C95F82">
        <w:rPr>
          <w:noProof/>
        </w:rPr>
        <w:t xml:space="preserve"> Hoboken, New Jersey, USA: John Wiley &amp; Sons, p. 1-496.</w:t>
      </w:r>
    </w:p>
    <w:p w14:paraId="307129BC" w14:textId="77777777" w:rsidR="00C95F82" w:rsidRPr="00C95F82" w:rsidRDefault="00C95F82" w:rsidP="00C95F82">
      <w:pPr>
        <w:pStyle w:val="EndNoteBibliography"/>
        <w:spacing w:after="240"/>
        <w:rPr>
          <w:noProof/>
        </w:rPr>
      </w:pPr>
      <w:r w:rsidRPr="00C95F82">
        <w:rPr>
          <w:noProof/>
        </w:rPr>
        <w:t xml:space="preserve">Gunes, D., Karaca, M., Durmus, A., Ak, B., Aktay Ayaz, N., Altınel, Z. U., Aslanger, A. D., Atalar, F., Balci, M. C., Bilgin, L., Darendeliler, F., Demirkol, D., Durmaz, O., Gedikbasi, A., Inan Balci, E., Ince, E. Z., Karadag, S. G., Keskindemirci, G., Nisli, K., Ozcetin, M., Somer, A., Unuvar, A., Uysalol, M., Yildiz, E., Yuruk Yildirim, Z. N., Demirkol, M. and Gokcay, G. F. (2025) 'Challenges in the clinical management of rare diseases and center-based multidisciplinary approach to creating solutions', </w:t>
      </w:r>
      <w:r w:rsidRPr="00C95F82">
        <w:rPr>
          <w:i/>
          <w:noProof/>
        </w:rPr>
        <w:t>European Journal of Pediatrics,</w:t>
      </w:r>
      <w:r w:rsidRPr="00C95F82">
        <w:rPr>
          <w:noProof/>
        </w:rPr>
        <w:t xml:space="preserve"> 184(5), pp. 281.</w:t>
      </w:r>
    </w:p>
    <w:p w14:paraId="3A09FA40" w14:textId="77777777" w:rsidR="00C95F82" w:rsidRPr="00C95F82" w:rsidRDefault="00C95F82" w:rsidP="00C95F82">
      <w:pPr>
        <w:pStyle w:val="EndNoteBibliography"/>
        <w:spacing w:after="240"/>
        <w:rPr>
          <w:noProof/>
        </w:rPr>
      </w:pPr>
      <w:r w:rsidRPr="00C95F82">
        <w:rPr>
          <w:noProof/>
        </w:rPr>
        <w:t xml:space="preserve">Gupta, D. M., Boland, R. J. and Aron, D. C. (2017) 'The physician’s experience of changing clinical practice: a struggle to unlearn', </w:t>
      </w:r>
      <w:r w:rsidRPr="00C95F82">
        <w:rPr>
          <w:i/>
          <w:noProof/>
        </w:rPr>
        <w:t>Implementation Science,</w:t>
      </w:r>
      <w:r w:rsidRPr="00C95F82">
        <w:rPr>
          <w:noProof/>
        </w:rPr>
        <w:t xml:space="preserve"> 12(1), pp. 28.</w:t>
      </w:r>
    </w:p>
    <w:p w14:paraId="126A9773" w14:textId="77777777" w:rsidR="00C95F82" w:rsidRPr="00C95F82" w:rsidRDefault="00C95F82" w:rsidP="00C95F82">
      <w:pPr>
        <w:pStyle w:val="EndNoteBibliography"/>
        <w:spacing w:after="240"/>
        <w:rPr>
          <w:noProof/>
        </w:rPr>
      </w:pPr>
      <w:r w:rsidRPr="00C95F82">
        <w:rPr>
          <w:noProof/>
        </w:rPr>
        <w:t xml:space="preserve">Haddaway, N. R., Collins, A. M., Coughlin, D. and Kirk, S. (2015) 'The role of Google Scholar in evidence reviews and its applicability to grey literature searching', </w:t>
      </w:r>
      <w:r w:rsidRPr="00C95F82">
        <w:rPr>
          <w:i/>
          <w:noProof/>
        </w:rPr>
        <w:t>PloS one,</w:t>
      </w:r>
      <w:r w:rsidRPr="00C95F82">
        <w:rPr>
          <w:noProof/>
        </w:rPr>
        <w:t xml:space="preserve"> 10(9), pp. e0138237.</w:t>
      </w:r>
    </w:p>
    <w:p w14:paraId="73F20D95" w14:textId="77777777" w:rsidR="00C95F82" w:rsidRPr="00C95F82" w:rsidRDefault="00C95F82" w:rsidP="00C95F82">
      <w:pPr>
        <w:pStyle w:val="EndNoteBibliography"/>
        <w:spacing w:after="240"/>
        <w:rPr>
          <w:noProof/>
        </w:rPr>
      </w:pPr>
      <w:r w:rsidRPr="00C95F82">
        <w:rPr>
          <w:noProof/>
        </w:rPr>
        <w:t xml:space="preserve">Hajjaj, F. M., Salek, M. S., Basra, M. K. and Finlay, A. Y. (2010) 'Non-clinical influences on clinical decision-making: a major challenge to evidence-based practice', </w:t>
      </w:r>
      <w:r w:rsidRPr="00C95F82">
        <w:rPr>
          <w:i/>
          <w:noProof/>
        </w:rPr>
        <w:t>Journal of the Royal Society of Medicine,</w:t>
      </w:r>
      <w:r w:rsidRPr="00C95F82">
        <w:rPr>
          <w:noProof/>
        </w:rPr>
        <w:t xml:space="preserve"> 103(5), pp. 178-87.</w:t>
      </w:r>
    </w:p>
    <w:p w14:paraId="5FD351C8" w14:textId="77777777" w:rsidR="00C95F82" w:rsidRPr="00C95F82" w:rsidRDefault="00C95F82" w:rsidP="00C95F82">
      <w:pPr>
        <w:pStyle w:val="EndNoteBibliography"/>
        <w:spacing w:after="240"/>
        <w:rPr>
          <w:noProof/>
        </w:rPr>
      </w:pPr>
      <w:r w:rsidRPr="00C95F82">
        <w:rPr>
          <w:noProof/>
        </w:rPr>
        <w:t xml:space="preserve">Hale, G., Morris, J. and Barker-Yip, J. (2023) 'Flexibility in assessment of rare disease technologies via NICE's single technology appraisal route: a thematic analysis', </w:t>
      </w:r>
      <w:r w:rsidRPr="00C95F82">
        <w:rPr>
          <w:i/>
          <w:noProof/>
        </w:rPr>
        <w:t>Journal of Comparative Effectiveness Research,</w:t>
      </w:r>
      <w:r w:rsidRPr="00C95F82">
        <w:rPr>
          <w:noProof/>
        </w:rPr>
        <w:t xml:space="preserve"> 12(11), pp. e230093.</w:t>
      </w:r>
    </w:p>
    <w:p w14:paraId="35FACB21" w14:textId="77777777" w:rsidR="00C95F82" w:rsidRPr="00C95F82" w:rsidRDefault="00C95F82" w:rsidP="00C95F82">
      <w:pPr>
        <w:pStyle w:val="EndNoteBibliography"/>
        <w:spacing w:after="240"/>
        <w:rPr>
          <w:noProof/>
        </w:rPr>
      </w:pPr>
      <w:r w:rsidRPr="00C95F82">
        <w:rPr>
          <w:noProof/>
        </w:rPr>
        <w:t xml:space="preserve">Harnan, S., Gittus, M., Falzon, L., Durkie, M., Mandrik, O., Ong, A. and Fotheringham, J. (2025) 'The diagnostic accuracy of ultrasound and genomic tests for the diagnosis of autosomal-dominant polycystic kidney disease: a systematic mapping review', </w:t>
      </w:r>
      <w:r w:rsidRPr="00C95F82">
        <w:rPr>
          <w:i/>
          <w:noProof/>
        </w:rPr>
        <w:t>Clinical Kidney Journal,</w:t>
      </w:r>
      <w:r w:rsidRPr="00C95F82">
        <w:rPr>
          <w:noProof/>
        </w:rPr>
        <w:t xml:space="preserve"> 18(7), pp. 187.</w:t>
      </w:r>
    </w:p>
    <w:p w14:paraId="41758700" w14:textId="77777777" w:rsidR="00C95F82" w:rsidRPr="00C95F82" w:rsidRDefault="00C95F82" w:rsidP="00C95F82">
      <w:pPr>
        <w:pStyle w:val="EndNoteBibliography"/>
        <w:spacing w:after="240"/>
        <w:rPr>
          <w:noProof/>
        </w:rPr>
      </w:pPr>
      <w:r w:rsidRPr="00C95F82">
        <w:rPr>
          <w:noProof/>
        </w:rPr>
        <w:t xml:space="preserve">Harris, P. C. and Torres, V. E. (2014) 'Genetic mechanisms and signaling pathways in autosomal dominant polycystic kidney disease', </w:t>
      </w:r>
      <w:r w:rsidRPr="00C95F82">
        <w:rPr>
          <w:i/>
          <w:noProof/>
        </w:rPr>
        <w:t>The Journal of Clinical Investigation,</w:t>
      </w:r>
      <w:r w:rsidRPr="00C95F82">
        <w:rPr>
          <w:noProof/>
        </w:rPr>
        <w:t xml:space="preserve"> 124(6), pp. 2315-2324.</w:t>
      </w:r>
    </w:p>
    <w:p w14:paraId="25E5F383" w14:textId="77777777" w:rsidR="00C95F82" w:rsidRPr="00C95F82" w:rsidRDefault="00C95F82" w:rsidP="00C95F82">
      <w:pPr>
        <w:pStyle w:val="EndNoteBibliography"/>
        <w:spacing w:after="240"/>
        <w:rPr>
          <w:noProof/>
        </w:rPr>
      </w:pPr>
      <w:r w:rsidRPr="00C95F82">
        <w:rPr>
          <w:noProof/>
        </w:rPr>
        <w:t xml:space="preserve">Hartjes, M. G., Elsevier, A. E., Grijpma, J. W., Richir, M. C., van Agtmael, M. A. and Tichelaar, J. (2025) 'Understanding factors that influence the drug choice of prescribers: AQ‐methodology study', </w:t>
      </w:r>
      <w:r w:rsidRPr="00C95F82">
        <w:rPr>
          <w:i/>
          <w:noProof/>
        </w:rPr>
        <w:t>British Journal of Clinical Pharmacology,</w:t>
      </w:r>
      <w:r w:rsidRPr="00C95F82">
        <w:rPr>
          <w:noProof/>
        </w:rPr>
        <w:t xml:space="preserve"> 91(8), pp. 2151-2161.</w:t>
      </w:r>
    </w:p>
    <w:p w14:paraId="381D4856" w14:textId="77777777" w:rsidR="00C95F82" w:rsidRPr="00C95F82" w:rsidRDefault="00C95F82" w:rsidP="00C95F82">
      <w:pPr>
        <w:pStyle w:val="EndNoteBibliography"/>
        <w:spacing w:after="240"/>
        <w:rPr>
          <w:noProof/>
        </w:rPr>
      </w:pPr>
      <w:r w:rsidRPr="00C95F82">
        <w:rPr>
          <w:noProof/>
        </w:rPr>
        <w:t xml:space="preserve">Harvey, E. J., De Brún, C., Casale, E., Finistrella, V. and Ashiru-Oredope, D. (2023) 'Influence of factors commonly known to be associated with health inequalities on antibiotic use in high-income countries: a systematic scoping review', </w:t>
      </w:r>
      <w:r w:rsidRPr="00C95F82">
        <w:rPr>
          <w:i/>
          <w:noProof/>
        </w:rPr>
        <w:t>Journal of Antimicrobial Chemotherapy,</w:t>
      </w:r>
      <w:r w:rsidRPr="00C95F82">
        <w:rPr>
          <w:noProof/>
        </w:rPr>
        <w:t xml:space="preserve"> 78(4), pp. 861-870.</w:t>
      </w:r>
    </w:p>
    <w:p w14:paraId="5A2E1C35" w14:textId="77777777" w:rsidR="00C95F82" w:rsidRPr="00C95F82" w:rsidRDefault="00C95F82" w:rsidP="00C95F82">
      <w:pPr>
        <w:pStyle w:val="EndNoteBibliography"/>
        <w:spacing w:after="240"/>
        <w:rPr>
          <w:noProof/>
        </w:rPr>
      </w:pPr>
      <w:r w:rsidRPr="00C95F82">
        <w:rPr>
          <w:noProof/>
        </w:rPr>
        <w:t xml:space="preserve">Haslbeck, J. W. and Schaeffer, D. (2009) 'Routines in medication management: the perspective of people with chronic conditions', </w:t>
      </w:r>
      <w:r w:rsidRPr="00C95F82">
        <w:rPr>
          <w:i/>
          <w:noProof/>
        </w:rPr>
        <w:t>Chronic Illness,</w:t>
      </w:r>
      <w:r w:rsidRPr="00C95F82">
        <w:rPr>
          <w:noProof/>
        </w:rPr>
        <w:t xml:space="preserve"> 5(3), pp. 184-196.</w:t>
      </w:r>
    </w:p>
    <w:p w14:paraId="489C977B" w14:textId="77777777" w:rsidR="00C95F82" w:rsidRPr="00C95F82" w:rsidRDefault="00C95F82" w:rsidP="00C95F82">
      <w:pPr>
        <w:pStyle w:val="EndNoteBibliography"/>
        <w:spacing w:after="240"/>
        <w:rPr>
          <w:noProof/>
        </w:rPr>
      </w:pPr>
      <w:r w:rsidRPr="00C95F82">
        <w:rPr>
          <w:noProof/>
        </w:rPr>
        <w:t xml:space="preserve">Hayashi, S. and Umeda, T. (2008) '35 years of Japanese policy on rare diseases', </w:t>
      </w:r>
      <w:r w:rsidRPr="00C95F82">
        <w:rPr>
          <w:i/>
          <w:noProof/>
        </w:rPr>
        <w:t>The Lancet,</w:t>
      </w:r>
      <w:r w:rsidRPr="00C95F82">
        <w:rPr>
          <w:noProof/>
        </w:rPr>
        <w:t xml:space="preserve"> 372(9642), pp. 889-890.</w:t>
      </w:r>
    </w:p>
    <w:p w14:paraId="5B4F5949" w14:textId="77777777" w:rsidR="00C95F82" w:rsidRPr="00C95F82" w:rsidRDefault="00C95F82" w:rsidP="00C95F82">
      <w:pPr>
        <w:pStyle w:val="EndNoteBibliography"/>
        <w:spacing w:after="240"/>
        <w:rPr>
          <w:noProof/>
        </w:rPr>
      </w:pPr>
      <w:r w:rsidRPr="00C95F82">
        <w:rPr>
          <w:noProof/>
        </w:rPr>
        <w:t xml:space="preserve">He, J., Kang, Q., Hu, J., Song, P. and Jin, C. (2018) 'China has officially released its first national list of rare diseases', </w:t>
      </w:r>
      <w:r w:rsidRPr="00C95F82">
        <w:rPr>
          <w:i/>
          <w:noProof/>
        </w:rPr>
        <w:t>Intractable Rare Disease Research,</w:t>
      </w:r>
      <w:r w:rsidRPr="00C95F82">
        <w:rPr>
          <w:noProof/>
        </w:rPr>
        <w:t xml:space="preserve"> 7(2), pp. 145-147.</w:t>
      </w:r>
    </w:p>
    <w:p w14:paraId="2789206C" w14:textId="77777777" w:rsidR="00C95F82" w:rsidRPr="00C95F82" w:rsidRDefault="00C95F82" w:rsidP="00C95F82">
      <w:pPr>
        <w:pStyle w:val="EndNoteBibliography"/>
        <w:spacing w:after="240"/>
        <w:rPr>
          <w:noProof/>
        </w:rPr>
      </w:pPr>
      <w:r w:rsidRPr="00C95F82">
        <w:rPr>
          <w:noProof/>
        </w:rPr>
        <w:t xml:space="preserve">Hemminki, E. (1975) 'Review of literature on the factors affecting drug prescribing', </w:t>
      </w:r>
      <w:r w:rsidRPr="00C95F82">
        <w:rPr>
          <w:i/>
          <w:noProof/>
        </w:rPr>
        <w:t>Social &amp; Science Medicine,</w:t>
      </w:r>
      <w:r w:rsidRPr="00C95F82">
        <w:rPr>
          <w:noProof/>
        </w:rPr>
        <w:t xml:space="preserve"> 9(2), pp. 111-6.</w:t>
      </w:r>
    </w:p>
    <w:p w14:paraId="5A64D8EF" w14:textId="77777777" w:rsidR="00C95F82" w:rsidRPr="00C95F82" w:rsidRDefault="00C95F82" w:rsidP="00C95F82">
      <w:pPr>
        <w:pStyle w:val="EndNoteBibliography"/>
        <w:spacing w:after="240"/>
        <w:rPr>
          <w:noProof/>
        </w:rPr>
      </w:pPr>
      <w:r w:rsidRPr="00C95F82">
        <w:rPr>
          <w:noProof/>
        </w:rPr>
        <w:t xml:space="preserve">Herber, O. R., Gies, V., Schwappach, D., Thürmann, P. and Wilm, S. (2014) 'Patient information leaflets: informing or frightening? A focus group study exploring patients’ emotional reactions and subsequent behavior towards package leaflets of commonly prescribed medications in family practices', </w:t>
      </w:r>
      <w:r w:rsidRPr="00C95F82">
        <w:rPr>
          <w:i/>
          <w:noProof/>
        </w:rPr>
        <w:t>BMC Family Practice,</w:t>
      </w:r>
      <w:r w:rsidRPr="00C95F82">
        <w:rPr>
          <w:noProof/>
        </w:rPr>
        <w:t xml:space="preserve"> 15(1), pp. 163.</w:t>
      </w:r>
    </w:p>
    <w:p w14:paraId="1B154521" w14:textId="77777777" w:rsidR="00C95F82" w:rsidRPr="00C95F82" w:rsidRDefault="00C95F82" w:rsidP="00C95F82">
      <w:pPr>
        <w:pStyle w:val="EndNoteBibliography"/>
        <w:spacing w:after="240"/>
        <w:rPr>
          <w:noProof/>
        </w:rPr>
      </w:pPr>
      <w:r w:rsidRPr="00C95F82">
        <w:rPr>
          <w:noProof/>
        </w:rPr>
        <w:t xml:space="preserve">Higashihara, E., Nutahara, K., Kojima, M., Tamakoshi, A., Yoshiyuki, O., Sakai, H. and Kurokawa, K. (1998) 'Prevalence and renal prognosis of diagnosed autosomal dominant polycystic kidney disease in Japan', </w:t>
      </w:r>
      <w:r w:rsidRPr="00C95F82">
        <w:rPr>
          <w:i/>
          <w:noProof/>
        </w:rPr>
        <w:t>Nephron,</w:t>
      </w:r>
      <w:r w:rsidRPr="00C95F82">
        <w:rPr>
          <w:noProof/>
        </w:rPr>
        <w:t xml:space="preserve"> 80(4), pp. 421-427.</w:t>
      </w:r>
    </w:p>
    <w:p w14:paraId="02677C5F" w14:textId="77777777" w:rsidR="00C95F82" w:rsidRPr="00C95F82" w:rsidRDefault="00C95F82" w:rsidP="00C95F82">
      <w:pPr>
        <w:pStyle w:val="EndNoteBibliography"/>
        <w:spacing w:after="240"/>
        <w:rPr>
          <w:noProof/>
        </w:rPr>
      </w:pPr>
      <w:r w:rsidRPr="00C95F82">
        <w:rPr>
          <w:noProof/>
        </w:rPr>
        <w:t xml:space="preserve">Higgins, J. P. and Green, S. (2024) </w:t>
      </w:r>
      <w:r w:rsidRPr="00C95F82">
        <w:rPr>
          <w:i/>
          <w:noProof/>
        </w:rPr>
        <w:t>Cochrane Handbook for Systematic Reviews of Interventions.</w:t>
      </w:r>
      <w:r w:rsidRPr="00C95F82">
        <w:rPr>
          <w:noProof/>
        </w:rPr>
        <w:t xml:space="preserve"> Chichester, UK: John Wiley &amp; Sons, p. 1-736.</w:t>
      </w:r>
    </w:p>
    <w:p w14:paraId="3283C435" w14:textId="77777777" w:rsidR="00C95F82" w:rsidRPr="00C95F82" w:rsidRDefault="00C95F82" w:rsidP="00C95F82">
      <w:pPr>
        <w:pStyle w:val="EndNoteBibliography"/>
        <w:spacing w:after="240"/>
        <w:rPr>
          <w:noProof/>
        </w:rPr>
      </w:pPr>
      <w:r w:rsidRPr="00C95F82">
        <w:rPr>
          <w:noProof/>
        </w:rPr>
        <w:t xml:space="preserve">Hsieh, H.-F. and Shannon, S. E. (2005) 'Three approaches to qualitative content analysis', </w:t>
      </w:r>
      <w:r w:rsidRPr="00C95F82">
        <w:rPr>
          <w:i/>
          <w:noProof/>
        </w:rPr>
        <w:t>Qualitative Health Research,</w:t>
      </w:r>
      <w:r w:rsidRPr="00C95F82">
        <w:rPr>
          <w:noProof/>
        </w:rPr>
        <w:t xml:space="preserve"> 15(9), pp. 1277-1288.</w:t>
      </w:r>
    </w:p>
    <w:p w14:paraId="34A4107F" w14:textId="77777777" w:rsidR="00C95F82" w:rsidRPr="00C95F82" w:rsidRDefault="00C95F82" w:rsidP="00C95F82">
      <w:pPr>
        <w:pStyle w:val="EndNoteBibliography"/>
        <w:spacing w:after="240"/>
        <w:rPr>
          <w:noProof/>
        </w:rPr>
      </w:pPr>
      <w:r w:rsidRPr="00C95F82">
        <w:rPr>
          <w:noProof/>
        </w:rPr>
        <w:t xml:space="preserve">Hughes, R. and Huby, M. (2002) 'The application of vignettes in social and nursing research', </w:t>
      </w:r>
      <w:r w:rsidRPr="00C95F82">
        <w:rPr>
          <w:i/>
          <w:noProof/>
        </w:rPr>
        <w:t>Journal of Advanced Nursing,</w:t>
      </w:r>
      <w:r w:rsidRPr="00C95F82">
        <w:rPr>
          <w:noProof/>
        </w:rPr>
        <w:t xml:space="preserve"> 37(4), pp. 382-386.</w:t>
      </w:r>
    </w:p>
    <w:p w14:paraId="69DD086F" w14:textId="77777777" w:rsidR="00C95F82" w:rsidRPr="00C95F82" w:rsidRDefault="00C95F82" w:rsidP="00C95F82">
      <w:pPr>
        <w:pStyle w:val="EndNoteBibliography"/>
        <w:spacing w:after="240"/>
        <w:rPr>
          <w:noProof/>
        </w:rPr>
      </w:pPr>
      <w:r w:rsidRPr="00C95F82">
        <w:rPr>
          <w:noProof/>
        </w:rPr>
        <w:t xml:space="preserve">Hunt, H., Pollock, A., Campbell, P., Estcourt, L. and Brunton, G. (2018) 'An introduction to overviews of reviews: planning a relevant research question and objective for an overview', </w:t>
      </w:r>
      <w:r w:rsidRPr="00C95F82">
        <w:rPr>
          <w:i/>
          <w:noProof/>
        </w:rPr>
        <w:t>Systematic Reviews,</w:t>
      </w:r>
      <w:r w:rsidRPr="00C95F82">
        <w:rPr>
          <w:noProof/>
        </w:rPr>
        <w:t xml:space="preserve"> 7(1), pp. 39.</w:t>
      </w:r>
    </w:p>
    <w:p w14:paraId="6E174C38" w14:textId="77777777" w:rsidR="00C95F82" w:rsidRPr="00C95F82" w:rsidRDefault="00C95F82" w:rsidP="00C95F82">
      <w:pPr>
        <w:pStyle w:val="EndNoteBibliography"/>
        <w:spacing w:after="240"/>
        <w:rPr>
          <w:noProof/>
        </w:rPr>
      </w:pPr>
      <w:r w:rsidRPr="00C95F82">
        <w:rPr>
          <w:noProof/>
        </w:rPr>
        <w:t xml:space="preserve">Hysong, S. J., Best, R. G. and Pugh, J. A. (2006) 'Audit and feedback and clinical practice guideline adherence: making feedback actionable', </w:t>
      </w:r>
      <w:r w:rsidRPr="00C95F82">
        <w:rPr>
          <w:i/>
          <w:noProof/>
        </w:rPr>
        <w:t>Implementation Science,</w:t>
      </w:r>
      <w:r w:rsidRPr="00C95F82">
        <w:rPr>
          <w:noProof/>
        </w:rPr>
        <w:t xml:space="preserve"> 1(1), pp. 9.</w:t>
      </w:r>
    </w:p>
    <w:p w14:paraId="66BC3B67" w14:textId="623D4AF0" w:rsidR="00C95F82" w:rsidRPr="00C95F82" w:rsidRDefault="00C95F82" w:rsidP="00C95F82">
      <w:pPr>
        <w:pStyle w:val="EndNoteBibliography"/>
        <w:spacing w:after="240"/>
        <w:rPr>
          <w:noProof/>
        </w:rPr>
      </w:pPr>
      <w:r w:rsidRPr="00C95F82">
        <w:rPr>
          <w:noProof/>
        </w:rPr>
        <w:t xml:space="preserve">Indeed (2025) </w:t>
      </w:r>
      <w:r w:rsidRPr="00C95F82">
        <w:rPr>
          <w:i/>
          <w:noProof/>
        </w:rPr>
        <w:t>Clinical Nurse Specialist yearly salaries in the United Kingdom at NHS</w:t>
      </w:r>
      <w:r w:rsidRPr="00C95F82">
        <w:rPr>
          <w:noProof/>
        </w:rPr>
        <w:t xml:space="preserve">. Available at: </w:t>
      </w:r>
      <w:hyperlink r:id="rId94" w:history="1">
        <w:r w:rsidRPr="00C95F82">
          <w:rPr>
            <w:rStyle w:val="Hyperlink"/>
            <w:noProof/>
          </w:rPr>
          <w:t>https://uk.indeed.com/cmp/Nhs-1/salaries/Clinical-Nurse-Specialist</w:t>
        </w:r>
      </w:hyperlink>
      <w:r w:rsidRPr="00C95F82">
        <w:rPr>
          <w:noProof/>
        </w:rPr>
        <w:t xml:space="preserve"> (Accessed: 28/11/2025).</w:t>
      </w:r>
    </w:p>
    <w:p w14:paraId="33984D6C" w14:textId="60594601" w:rsidR="00C95F82" w:rsidRPr="00C95F82" w:rsidRDefault="00C95F82" w:rsidP="00C95F82">
      <w:pPr>
        <w:pStyle w:val="EndNoteBibliography"/>
        <w:spacing w:after="240"/>
        <w:rPr>
          <w:noProof/>
        </w:rPr>
      </w:pPr>
      <w:r w:rsidRPr="00C95F82">
        <w:rPr>
          <w:noProof/>
        </w:rPr>
        <w:t xml:space="preserve">Information Commissioner’s Office (2025) </w:t>
      </w:r>
      <w:r w:rsidRPr="00C95F82">
        <w:rPr>
          <w:i/>
          <w:noProof/>
        </w:rPr>
        <w:t>A guide to the data protection principles</w:t>
      </w:r>
      <w:r w:rsidRPr="00C95F82">
        <w:rPr>
          <w:noProof/>
        </w:rPr>
        <w:t xml:space="preserve">. Available at: </w:t>
      </w:r>
      <w:hyperlink r:id="rId95" w:history="1">
        <w:r w:rsidRPr="00C95F82">
          <w:rPr>
            <w:rStyle w:val="Hyperlink"/>
            <w:noProof/>
          </w:rPr>
          <w:t>https://ico.org.uk/for-organisations/uk-gdpr-guidance-and-resources/data-protection-principles/a-guide-to-the-data-protection-principles/</w:t>
        </w:r>
      </w:hyperlink>
      <w:r w:rsidRPr="00C95F82">
        <w:rPr>
          <w:noProof/>
        </w:rPr>
        <w:t xml:space="preserve"> (Accessed: 28/04/2026).</w:t>
      </w:r>
    </w:p>
    <w:p w14:paraId="260136E2" w14:textId="77777777" w:rsidR="00C95F82" w:rsidRPr="00C95F82" w:rsidRDefault="00C95F82" w:rsidP="00C95F82">
      <w:pPr>
        <w:pStyle w:val="EndNoteBibliography"/>
        <w:spacing w:after="240"/>
        <w:rPr>
          <w:noProof/>
        </w:rPr>
      </w:pPr>
      <w:r w:rsidRPr="00C95F82">
        <w:rPr>
          <w:noProof/>
        </w:rPr>
        <w:t xml:space="preserve">Inoue, R., Nishi, H., Inoue, D., Honda, K. and Nangaku, M. (2020) 'Regional variance of the early use of tolvaptan for autosomal dominant polycystic kidney disease', </w:t>
      </w:r>
      <w:r w:rsidRPr="00C95F82">
        <w:rPr>
          <w:i/>
          <w:noProof/>
        </w:rPr>
        <w:t>Kidney360,</w:t>
      </w:r>
      <w:r w:rsidRPr="00C95F82">
        <w:rPr>
          <w:noProof/>
        </w:rPr>
        <w:t xml:space="preserve"> 1(8), pp. 740-745.</w:t>
      </w:r>
    </w:p>
    <w:p w14:paraId="33F9CC90" w14:textId="51B2EBB3" w:rsidR="00C95F82" w:rsidRPr="00C95F82" w:rsidRDefault="00C95F82" w:rsidP="00C95F82">
      <w:pPr>
        <w:pStyle w:val="EndNoteBibliography"/>
        <w:spacing w:after="240"/>
        <w:rPr>
          <w:noProof/>
        </w:rPr>
      </w:pPr>
      <w:r w:rsidRPr="00C95F82">
        <w:rPr>
          <w:noProof/>
        </w:rPr>
        <w:t xml:space="preserve">IQVIA Institute (2020) </w:t>
      </w:r>
      <w:r w:rsidRPr="00C95F82">
        <w:rPr>
          <w:i/>
          <w:noProof/>
        </w:rPr>
        <w:t>Orphan Drugs in the United States: Rare Disease Innovation and Cost Trends Through 2019</w:t>
      </w:r>
      <w:r w:rsidRPr="00C95F82">
        <w:rPr>
          <w:noProof/>
        </w:rPr>
        <w:t xml:space="preserve">. Available at: </w:t>
      </w:r>
      <w:hyperlink r:id="rId96" w:history="1">
        <w:r w:rsidRPr="00C95F82">
          <w:rPr>
            <w:rStyle w:val="Hyperlink"/>
            <w:noProof/>
          </w:rPr>
          <w:t>https://rarediseases.org/wp-content/uploads/2021/03/orphan-drugs-in-the-united-states-NRD-2020.pdf</w:t>
        </w:r>
      </w:hyperlink>
      <w:r w:rsidRPr="00C95F82">
        <w:rPr>
          <w:noProof/>
        </w:rPr>
        <w:t xml:space="preserve"> (Accessed: 28/04/2026).</w:t>
      </w:r>
    </w:p>
    <w:p w14:paraId="16DDFB74" w14:textId="77777777" w:rsidR="00C95F82" w:rsidRPr="00C95F82" w:rsidRDefault="00C95F82" w:rsidP="00C95F82">
      <w:pPr>
        <w:pStyle w:val="EndNoteBibliography"/>
        <w:spacing w:after="240"/>
        <w:rPr>
          <w:noProof/>
        </w:rPr>
      </w:pPr>
      <w:r w:rsidRPr="00C95F82">
        <w:rPr>
          <w:noProof/>
        </w:rPr>
        <w:t xml:space="preserve">Irazabal, M. V., Rangel, L. J., Bergstralh, E. J., Osborn, S. L., Harmon, A. J., Sundsbak, J. L., Bae, K. T., Chapman, A. B., Grantham, J. J. and Mrug, M. (2015) 'Imaging classification of autosomal dominant polycystic kidney disease: a simple model for selecting patients for clinical trials', </w:t>
      </w:r>
      <w:r w:rsidRPr="00C95F82">
        <w:rPr>
          <w:i/>
          <w:noProof/>
        </w:rPr>
        <w:t>Journal of the American Society of Nephrology,</w:t>
      </w:r>
      <w:r w:rsidRPr="00C95F82">
        <w:rPr>
          <w:noProof/>
        </w:rPr>
        <w:t xml:space="preserve"> 26(1), pp. 160-172.</w:t>
      </w:r>
    </w:p>
    <w:p w14:paraId="77C7CF66" w14:textId="77777777" w:rsidR="00C95F82" w:rsidRPr="00C95F82" w:rsidRDefault="00C95F82" w:rsidP="00C95F82">
      <w:pPr>
        <w:pStyle w:val="EndNoteBibliography"/>
        <w:spacing w:after="240"/>
        <w:rPr>
          <w:noProof/>
        </w:rPr>
      </w:pPr>
      <w:r w:rsidRPr="00C95F82">
        <w:rPr>
          <w:noProof/>
        </w:rPr>
        <w:t xml:space="preserve">Iudici, M., Fasano, S., Iacono, D., Russo, B., Cuomo, G. and Valentini, G. (2014) 'Prevalence and factors associated with glucocorticoids (GC) use in systemic sclerosis (SSc): a systematic review and meta-analysis of cohort studies and registries', </w:t>
      </w:r>
      <w:r w:rsidRPr="00C95F82">
        <w:rPr>
          <w:i/>
          <w:noProof/>
        </w:rPr>
        <w:t>Clinical Rheumatology,</w:t>
      </w:r>
      <w:r w:rsidRPr="00C95F82">
        <w:rPr>
          <w:noProof/>
        </w:rPr>
        <w:t xml:space="preserve"> 33, pp. 153-164.</w:t>
      </w:r>
    </w:p>
    <w:p w14:paraId="06D09FFF" w14:textId="77777777" w:rsidR="00C95F82" w:rsidRPr="00C95F82" w:rsidRDefault="00C95F82" w:rsidP="00C95F82">
      <w:pPr>
        <w:pStyle w:val="EndNoteBibliography"/>
        <w:spacing w:after="240"/>
        <w:rPr>
          <w:noProof/>
        </w:rPr>
      </w:pPr>
      <w:r w:rsidRPr="00C95F82">
        <w:rPr>
          <w:noProof/>
        </w:rPr>
        <w:t xml:space="preserve">Ivers, N., Yogasingam, S., Lacroix, M., Brown, K. A., Antony, J., Soobiah, C., Simeoni, M., Willis, T. A. and Crawshaw, J. (2025) 'Audit and feedback: effects on professional practice', </w:t>
      </w:r>
      <w:r w:rsidRPr="00C95F82">
        <w:rPr>
          <w:i/>
          <w:noProof/>
        </w:rPr>
        <w:t>Cochrane Database of Systematic Reviews,</w:t>
      </w:r>
      <w:r w:rsidRPr="00C95F82">
        <w:rPr>
          <w:noProof/>
        </w:rPr>
        <w:t xml:space="preserve"> 3(3), pp. CD000259.</w:t>
      </w:r>
    </w:p>
    <w:p w14:paraId="0814B316" w14:textId="77777777" w:rsidR="00C95F82" w:rsidRPr="00C95F82" w:rsidRDefault="00C95F82" w:rsidP="00C95F82">
      <w:pPr>
        <w:pStyle w:val="EndNoteBibliography"/>
        <w:spacing w:after="240"/>
        <w:rPr>
          <w:noProof/>
        </w:rPr>
      </w:pPr>
      <w:r w:rsidRPr="00C95F82">
        <w:rPr>
          <w:noProof/>
        </w:rPr>
        <w:t xml:space="preserve">Iyengar, R., Van den Bulte, C. and Lee, J. Y. (2015) 'Social contagion in new product trial and repeat', </w:t>
      </w:r>
      <w:r w:rsidRPr="00C95F82">
        <w:rPr>
          <w:i/>
          <w:noProof/>
        </w:rPr>
        <w:t>Marketing Science,</w:t>
      </w:r>
      <w:r w:rsidRPr="00C95F82">
        <w:rPr>
          <w:noProof/>
        </w:rPr>
        <w:t xml:space="preserve"> 34(3), pp. 408-429.</w:t>
      </w:r>
    </w:p>
    <w:p w14:paraId="7ED0C883" w14:textId="77777777" w:rsidR="00C95F82" w:rsidRPr="00C95F82" w:rsidRDefault="00C95F82" w:rsidP="00C95F82">
      <w:pPr>
        <w:pStyle w:val="EndNoteBibliography"/>
        <w:spacing w:after="240"/>
        <w:rPr>
          <w:noProof/>
        </w:rPr>
      </w:pPr>
      <w:r w:rsidRPr="00C95F82">
        <w:rPr>
          <w:noProof/>
        </w:rPr>
        <w:t xml:space="preserve">Iyengar, R., Van den Bulte, C. and Valente, T. W. (2011) 'Opinion leadership and social contagion in new product diffusion', </w:t>
      </w:r>
      <w:r w:rsidRPr="00C95F82">
        <w:rPr>
          <w:i/>
          <w:noProof/>
        </w:rPr>
        <w:t>Marketing Science,</w:t>
      </w:r>
      <w:r w:rsidRPr="00C95F82">
        <w:rPr>
          <w:noProof/>
        </w:rPr>
        <w:t xml:space="preserve"> 30(2), pp. 195-212.</w:t>
      </w:r>
    </w:p>
    <w:p w14:paraId="2CE4DB2C" w14:textId="77777777" w:rsidR="00C95F82" w:rsidRPr="00C95F82" w:rsidRDefault="00C95F82" w:rsidP="00C95F82">
      <w:pPr>
        <w:pStyle w:val="EndNoteBibliography"/>
        <w:spacing w:after="240"/>
        <w:rPr>
          <w:noProof/>
        </w:rPr>
      </w:pPr>
      <w:r w:rsidRPr="00C95F82">
        <w:rPr>
          <w:noProof/>
        </w:rPr>
        <w:t xml:space="preserve">Jamieson, M. K., Govaart, G. H. and Pownall, M. (2023) 'Reflexivity in quantitative research: A rationale and beginner's guide', </w:t>
      </w:r>
      <w:r w:rsidRPr="00C95F82">
        <w:rPr>
          <w:i/>
          <w:noProof/>
        </w:rPr>
        <w:t>Social and Personality Psychology Compass,</w:t>
      </w:r>
      <w:r w:rsidRPr="00C95F82">
        <w:rPr>
          <w:noProof/>
        </w:rPr>
        <w:t xml:space="preserve"> 17(4), pp. e12735.</w:t>
      </w:r>
    </w:p>
    <w:p w14:paraId="4103AF1A" w14:textId="77777777" w:rsidR="00C95F82" w:rsidRPr="00C95F82" w:rsidRDefault="00C95F82" w:rsidP="00C95F82">
      <w:pPr>
        <w:pStyle w:val="EndNoteBibliography"/>
        <w:spacing w:after="240"/>
        <w:rPr>
          <w:noProof/>
        </w:rPr>
      </w:pPr>
      <w:r w:rsidRPr="00C95F82">
        <w:rPr>
          <w:noProof/>
        </w:rPr>
        <w:t xml:space="preserve">Johnston, J. L. and Bennett, D. (2019) 'Lost in translation? Paradigm conflict at the primary–secondary care interface', </w:t>
      </w:r>
      <w:r w:rsidRPr="00C95F82">
        <w:rPr>
          <w:i/>
          <w:noProof/>
        </w:rPr>
        <w:t>Medical Education,</w:t>
      </w:r>
      <w:r w:rsidRPr="00C95F82">
        <w:rPr>
          <w:noProof/>
        </w:rPr>
        <w:t xml:space="preserve"> 53(1), pp. 56-63.</w:t>
      </w:r>
    </w:p>
    <w:p w14:paraId="1E64ADD7" w14:textId="77777777" w:rsidR="00C95F82" w:rsidRPr="00C95F82" w:rsidRDefault="00C95F82" w:rsidP="00C95F82">
      <w:pPr>
        <w:pStyle w:val="EndNoteBibliography"/>
        <w:spacing w:after="240"/>
        <w:rPr>
          <w:noProof/>
        </w:rPr>
      </w:pPr>
      <w:r w:rsidRPr="00C95F82">
        <w:rPr>
          <w:noProof/>
        </w:rPr>
        <w:t xml:space="preserve">Ju, I., Banks, E., Calabria, B., Ju, A., Agostino, J., Korda, R. J., Usherwood, T., Manera, K., Hanson, C. S. and Craig, J. C. (2018) 'General practitioners’ perspectives on the prevention of cardiovascular disease: systematic review and thematic synthesis of qualitative studies', </w:t>
      </w:r>
      <w:r w:rsidRPr="00C95F82">
        <w:rPr>
          <w:i/>
          <w:noProof/>
        </w:rPr>
        <w:t>BMJ Open,</w:t>
      </w:r>
      <w:r w:rsidRPr="00C95F82">
        <w:rPr>
          <w:noProof/>
        </w:rPr>
        <w:t xml:space="preserve"> 8(11), pp. e021137.</w:t>
      </w:r>
    </w:p>
    <w:p w14:paraId="6ED84519" w14:textId="77777777" w:rsidR="00C95F82" w:rsidRPr="00C95F82" w:rsidRDefault="00C95F82" w:rsidP="00C95F82">
      <w:pPr>
        <w:pStyle w:val="EndNoteBibliography"/>
        <w:spacing w:after="240"/>
        <w:rPr>
          <w:noProof/>
        </w:rPr>
      </w:pPr>
      <w:r w:rsidRPr="00C95F82">
        <w:rPr>
          <w:noProof/>
        </w:rPr>
        <w:t xml:space="preserve">Kalkan, A., Roback, K., Hallert, E. and Carlsson, P. (2014) 'Factors influencing rheumatologists’ prescription of biological treatment in rheumatoid arthritis: an interview study', </w:t>
      </w:r>
      <w:r w:rsidRPr="00C95F82">
        <w:rPr>
          <w:i/>
          <w:noProof/>
        </w:rPr>
        <w:t>Implementation Science,</w:t>
      </w:r>
      <w:r w:rsidRPr="00C95F82">
        <w:rPr>
          <w:noProof/>
        </w:rPr>
        <w:t xml:space="preserve"> 9(1), pp. 153.</w:t>
      </w:r>
    </w:p>
    <w:p w14:paraId="16C57A9E" w14:textId="77777777" w:rsidR="00C95F82" w:rsidRPr="00C95F82" w:rsidRDefault="00C95F82" w:rsidP="00C95F82">
      <w:pPr>
        <w:pStyle w:val="EndNoteBibliography"/>
        <w:spacing w:after="240"/>
        <w:rPr>
          <w:noProof/>
        </w:rPr>
      </w:pPr>
      <w:r w:rsidRPr="00C95F82">
        <w:rPr>
          <w:noProof/>
        </w:rPr>
        <w:t xml:space="preserve">Kang, D. and Choi, S.-E. (2023) 'Horizontal healthcare utilization inequity in patients with rare diseases in Korea', </w:t>
      </w:r>
      <w:r w:rsidRPr="00C95F82">
        <w:rPr>
          <w:i/>
          <w:noProof/>
        </w:rPr>
        <w:t>International Journal for Equity in Health,</w:t>
      </w:r>
      <w:r w:rsidRPr="00C95F82">
        <w:rPr>
          <w:noProof/>
        </w:rPr>
        <w:t xml:space="preserve"> 22(1), pp. 1-9.</w:t>
      </w:r>
    </w:p>
    <w:p w14:paraId="766F0159" w14:textId="77777777" w:rsidR="00C95F82" w:rsidRPr="00C95F82" w:rsidRDefault="00C95F82" w:rsidP="00C95F82">
      <w:pPr>
        <w:pStyle w:val="EndNoteBibliography"/>
        <w:spacing w:after="240"/>
        <w:rPr>
          <w:noProof/>
        </w:rPr>
      </w:pPr>
      <w:r w:rsidRPr="00C95F82">
        <w:rPr>
          <w:noProof/>
        </w:rPr>
        <w:t xml:space="preserve">Karlsson, L. O., Nilsson, S., Bång, M., Nilsson, L., Charitakis, E. and Janzon, M. (2018) 'A clinical decision support tool for improving adherence to guidelines on anticoagulant therapy in patients with atrial fibrillation at risk of stroke: a cluster-randomized trial in a Swedish primary care setting (the CDS-AF study)', </w:t>
      </w:r>
      <w:r w:rsidRPr="00C95F82">
        <w:rPr>
          <w:i/>
          <w:noProof/>
        </w:rPr>
        <w:t>PLOS Medicine,</w:t>
      </w:r>
      <w:r w:rsidRPr="00C95F82">
        <w:rPr>
          <w:noProof/>
        </w:rPr>
        <w:t xml:space="preserve"> 15(3), pp. e1002528.</w:t>
      </w:r>
    </w:p>
    <w:p w14:paraId="40DA965C" w14:textId="77777777" w:rsidR="00C95F82" w:rsidRPr="00C95F82" w:rsidRDefault="00C95F82" w:rsidP="00C95F82">
      <w:pPr>
        <w:pStyle w:val="EndNoteBibliography"/>
        <w:spacing w:after="240"/>
        <w:rPr>
          <w:noProof/>
        </w:rPr>
      </w:pPr>
      <w:r w:rsidRPr="00C95F82">
        <w:rPr>
          <w:noProof/>
        </w:rPr>
        <w:t xml:space="preserve">Kasse, G. E., Humphries, J., Cosh, S. M. and Islam, M. S. (2024) 'Factors contributing to the variation in antibiotic prescribing among primary health care physicians: a systematic review', </w:t>
      </w:r>
      <w:r w:rsidRPr="00C95F82">
        <w:rPr>
          <w:i/>
          <w:noProof/>
        </w:rPr>
        <w:t>BMC Primary Care,</w:t>
      </w:r>
      <w:r w:rsidRPr="00C95F82">
        <w:rPr>
          <w:noProof/>
        </w:rPr>
        <w:t xml:space="preserve"> 25(1), pp. 8.</w:t>
      </w:r>
    </w:p>
    <w:p w14:paraId="1F6D8C57" w14:textId="77777777" w:rsidR="00C95F82" w:rsidRPr="00C95F82" w:rsidRDefault="00C95F82" w:rsidP="00C95F82">
      <w:pPr>
        <w:pStyle w:val="EndNoteBibliography"/>
        <w:spacing w:after="240"/>
        <w:rPr>
          <w:noProof/>
        </w:rPr>
      </w:pPr>
      <w:r w:rsidRPr="00C95F82">
        <w:rPr>
          <w:noProof/>
        </w:rPr>
        <w:t xml:space="preserve">Kessler, R. C., Keller, M. B. and Wittchen, H.-U. (2001) 'The epidemiology of generalized anxiety disorder', </w:t>
      </w:r>
      <w:r w:rsidRPr="00C95F82">
        <w:rPr>
          <w:i/>
          <w:noProof/>
        </w:rPr>
        <w:t>Psychiatric Clinics of North America,</w:t>
      </w:r>
      <w:r w:rsidRPr="00C95F82">
        <w:rPr>
          <w:noProof/>
        </w:rPr>
        <w:t xml:space="preserve"> 24(1), pp. 19-39.</w:t>
      </w:r>
    </w:p>
    <w:p w14:paraId="58BADD8F" w14:textId="77777777" w:rsidR="00C95F82" w:rsidRPr="00C95F82" w:rsidRDefault="00C95F82" w:rsidP="00C95F82">
      <w:pPr>
        <w:pStyle w:val="EndNoteBibliography"/>
        <w:spacing w:after="240"/>
        <w:rPr>
          <w:noProof/>
        </w:rPr>
      </w:pPr>
      <w:r w:rsidRPr="00C95F82">
        <w:rPr>
          <w:noProof/>
        </w:rPr>
        <w:t xml:space="preserve">Keynejad, R., Spagnolo, J. and Thornicroft, G. (2021) 'WHO mental health gap action programme (mhGAP) intervention guide: updated systematic review on evidence and impact', </w:t>
      </w:r>
      <w:r w:rsidRPr="00C95F82">
        <w:rPr>
          <w:i/>
          <w:noProof/>
        </w:rPr>
        <w:t>Evidence Based Mental Health,</w:t>
      </w:r>
      <w:r w:rsidRPr="00C95F82">
        <w:rPr>
          <w:noProof/>
        </w:rPr>
        <w:t xml:space="preserve"> 24(3), pp. 124-130.</w:t>
      </w:r>
    </w:p>
    <w:p w14:paraId="4209C75E" w14:textId="77777777" w:rsidR="00C95F82" w:rsidRPr="00C95F82" w:rsidRDefault="00C95F82" w:rsidP="00C95F82">
      <w:pPr>
        <w:pStyle w:val="EndNoteBibliography"/>
        <w:spacing w:after="240"/>
        <w:rPr>
          <w:noProof/>
        </w:rPr>
      </w:pPr>
      <w:r w:rsidRPr="00C95F82">
        <w:rPr>
          <w:noProof/>
        </w:rPr>
        <w:t xml:space="preserve">Khan, M. U. and Aslani, P. (2021) 'Exploring factors influencing initiation, implementation and discontinuation of medications in adults with ADHD', </w:t>
      </w:r>
      <w:r w:rsidRPr="00C95F82">
        <w:rPr>
          <w:i/>
          <w:noProof/>
        </w:rPr>
        <w:t>Health Expectations,</w:t>
      </w:r>
      <w:r w:rsidRPr="00C95F82">
        <w:rPr>
          <w:noProof/>
        </w:rPr>
        <w:t xml:space="preserve"> 24(S1), pp. S82-94.</w:t>
      </w:r>
    </w:p>
    <w:p w14:paraId="55529AEB" w14:textId="77777777" w:rsidR="00C95F82" w:rsidRPr="00C95F82" w:rsidRDefault="00C95F82" w:rsidP="00C95F82">
      <w:pPr>
        <w:pStyle w:val="EndNoteBibliography"/>
        <w:spacing w:after="240"/>
        <w:rPr>
          <w:noProof/>
        </w:rPr>
      </w:pPr>
      <w:r w:rsidRPr="00C95F82">
        <w:rPr>
          <w:noProof/>
        </w:rPr>
        <w:t xml:space="preserve">Khatib, R., Schwalm, J.-D., Yusuf, S., Haynes, R. B., McKee, M., Khan, M. and Nieuwlaat, R. (2014) 'Patient and healthcare provider barriers to hypertension awareness, treatment and follow up: a systematic review and meta-analysis of qualitative and quantitative studies', </w:t>
      </w:r>
      <w:r w:rsidRPr="00C95F82">
        <w:rPr>
          <w:i/>
          <w:noProof/>
        </w:rPr>
        <w:t>PLOS One,</w:t>
      </w:r>
      <w:r w:rsidRPr="00C95F82">
        <w:rPr>
          <w:noProof/>
        </w:rPr>
        <w:t xml:space="preserve"> 9(1), pp. e84238.</w:t>
      </w:r>
    </w:p>
    <w:p w14:paraId="627F9326" w14:textId="77777777" w:rsidR="00C95F82" w:rsidRPr="00C95F82" w:rsidRDefault="00C95F82" w:rsidP="00C95F82">
      <w:pPr>
        <w:pStyle w:val="EndNoteBibliography"/>
        <w:spacing w:after="240"/>
        <w:rPr>
          <w:noProof/>
        </w:rPr>
      </w:pPr>
      <w:r w:rsidRPr="00C95F82">
        <w:rPr>
          <w:noProof/>
        </w:rPr>
        <w:t xml:space="preserve">Khunti, S., Davies, M. J. and Khunti, K. (2015) 'Clinical inertia in the management of type 2 diabetes mellitus: a focused literature review', </w:t>
      </w:r>
      <w:r w:rsidRPr="00C95F82">
        <w:rPr>
          <w:i/>
          <w:noProof/>
        </w:rPr>
        <w:t>British Journal of Diabetes,</w:t>
      </w:r>
      <w:r w:rsidRPr="00C95F82">
        <w:rPr>
          <w:noProof/>
        </w:rPr>
        <w:t xml:space="preserve"> 15(2), pp. 65-69.</w:t>
      </w:r>
    </w:p>
    <w:p w14:paraId="109A5CAA" w14:textId="4FCFB81F" w:rsidR="00C95F82" w:rsidRPr="00C95F82" w:rsidRDefault="00C95F82" w:rsidP="00C95F82">
      <w:pPr>
        <w:pStyle w:val="EndNoteBibliography"/>
        <w:spacing w:after="240"/>
        <w:rPr>
          <w:noProof/>
        </w:rPr>
      </w:pPr>
      <w:r w:rsidRPr="00C95F82">
        <w:rPr>
          <w:noProof/>
        </w:rPr>
        <w:t xml:space="preserve">Kidney Research UK (2023) </w:t>
      </w:r>
      <w:r w:rsidRPr="00C95F82">
        <w:rPr>
          <w:i/>
          <w:noProof/>
        </w:rPr>
        <w:t>Kidney disease: A UK public health emergency - The health economics of kidney disease to 2033</w:t>
      </w:r>
      <w:r w:rsidRPr="00C95F82">
        <w:rPr>
          <w:noProof/>
        </w:rPr>
        <w:t xml:space="preserve">. Available at: </w:t>
      </w:r>
      <w:hyperlink r:id="rId97" w:history="1">
        <w:r w:rsidRPr="00C95F82">
          <w:rPr>
            <w:rStyle w:val="Hyperlink"/>
            <w:noProof/>
          </w:rPr>
          <w:t>https://www.kidneyresearchuk.org/wp-content/uploads/2023/06/Economics-of-Kidney-Disease-full-report_accessible.pdf</w:t>
        </w:r>
      </w:hyperlink>
      <w:r w:rsidRPr="00C95F82">
        <w:rPr>
          <w:noProof/>
        </w:rPr>
        <w:t xml:space="preserve"> (Accessed: 28/04/2026).</w:t>
      </w:r>
    </w:p>
    <w:p w14:paraId="22485409" w14:textId="77777777" w:rsidR="00C95F82" w:rsidRPr="00C95F82" w:rsidRDefault="00C95F82" w:rsidP="00C95F82">
      <w:pPr>
        <w:pStyle w:val="EndNoteBibliography"/>
        <w:spacing w:after="240"/>
        <w:rPr>
          <w:noProof/>
        </w:rPr>
      </w:pPr>
      <w:r w:rsidRPr="00C95F82">
        <w:rPr>
          <w:noProof/>
        </w:rPr>
        <w:t xml:space="preserve">Kiliç, P., Koçkaya, G., Yemşen, Ö., Tan, C., Handan Öztunca, F. and Aksungur, P. (2013) 'Orphan drug regulation in Turkey', </w:t>
      </w:r>
      <w:r w:rsidRPr="00C95F82">
        <w:rPr>
          <w:i/>
          <w:noProof/>
        </w:rPr>
        <w:t>Journal of Pharmaceutical Health Services Research,</w:t>
      </w:r>
      <w:r w:rsidRPr="00C95F82">
        <w:rPr>
          <w:noProof/>
        </w:rPr>
        <w:t xml:space="preserve"> 4(3), pp. 151-153.</w:t>
      </w:r>
    </w:p>
    <w:p w14:paraId="7C4FF006" w14:textId="77777777" w:rsidR="00C95F82" w:rsidRPr="00C95F82" w:rsidRDefault="00C95F82" w:rsidP="00C95F82">
      <w:pPr>
        <w:pStyle w:val="EndNoteBibliography"/>
        <w:spacing w:after="240"/>
        <w:rPr>
          <w:noProof/>
        </w:rPr>
      </w:pPr>
      <w:r w:rsidRPr="00C95F82">
        <w:rPr>
          <w:noProof/>
        </w:rPr>
        <w:t xml:space="preserve">Kirk, M. A., Kelley, C., Yankey, N., Birken, S. A., Abadie, B. and Damschroder, L. (2015) 'A systematic review of the use of the Consolidated Framework for Implementation Research', </w:t>
      </w:r>
      <w:r w:rsidRPr="00C95F82">
        <w:rPr>
          <w:i/>
          <w:noProof/>
        </w:rPr>
        <w:t>Implementation Science,</w:t>
      </w:r>
      <w:r w:rsidRPr="00C95F82">
        <w:rPr>
          <w:noProof/>
        </w:rPr>
        <w:t xml:space="preserve"> 11(1), pp. 72.</w:t>
      </w:r>
    </w:p>
    <w:p w14:paraId="2B628BCB" w14:textId="77777777" w:rsidR="00C95F82" w:rsidRPr="00C95F82" w:rsidRDefault="00C95F82" w:rsidP="00C95F82">
      <w:pPr>
        <w:pStyle w:val="EndNoteBibliography"/>
        <w:spacing w:after="240"/>
        <w:rPr>
          <w:noProof/>
        </w:rPr>
      </w:pPr>
      <w:r w:rsidRPr="00C95F82">
        <w:rPr>
          <w:noProof/>
        </w:rPr>
        <w:t xml:space="preserve">Knapp, D. and Oeltjen, P. (1972) 'Benefits-to-risk ratio in physicians use when prescribing', </w:t>
      </w:r>
      <w:r w:rsidRPr="00C95F82">
        <w:rPr>
          <w:i/>
          <w:noProof/>
        </w:rPr>
        <w:t>American Journal of Public Health,</w:t>
      </w:r>
      <w:r w:rsidRPr="00C95F82">
        <w:rPr>
          <w:noProof/>
        </w:rPr>
        <w:t xml:space="preserve"> 62(10), pp. 1346-1347.</w:t>
      </w:r>
    </w:p>
    <w:p w14:paraId="4791BAEA" w14:textId="77777777" w:rsidR="00C95F82" w:rsidRPr="00C95F82" w:rsidRDefault="00C95F82" w:rsidP="00C95F82">
      <w:pPr>
        <w:pStyle w:val="EndNoteBibliography"/>
        <w:spacing w:after="240"/>
        <w:rPr>
          <w:noProof/>
        </w:rPr>
      </w:pPr>
      <w:r w:rsidRPr="00C95F82">
        <w:rPr>
          <w:noProof/>
        </w:rPr>
        <w:t xml:space="preserve">Kortteisto, T., Kaila, M., Komulainen, J., Mäntyranta, T. and Rissanen, P. (2010) 'Healthcare professionals' intentions to use clinical guidelines: a survey using the theory of planned behaviour', </w:t>
      </w:r>
      <w:r w:rsidRPr="00C95F82">
        <w:rPr>
          <w:i/>
          <w:noProof/>
        </w:rPr>
        <w:t>Implement Science,</w:t>
      </w:r>
      <w:r w:rsidRPr="00C95F82">
        <w:rPr>
          <w:noProof/>
        </w:rPr>
        <w:t xml:space="preserve"> 5, pp. 51.</w:t>
      </w:r>
    </w:p>
    <w:p w14:paraId="191CEA0C" w14:textId="77777777" w:rsidR="00C95F82" w:rsidRPr="00C95F82" w:rsidRDefault="00C95F82" w:rsidP="00C95F82">
      <w:pPr>
        <w:pStyle w:val="EndNoteBibliography"/>
        <w:spacing w:after="240"/>
        <w:rPr>
          <w:noProof/>
        </w:rPr>
      </w:pPr>
      <w:r w:rsidRPr="00C95F82">
        <w:rPr>
          <w:noProof/>
        </w:rPr>
        <w:t xml:space="preserve">Kozlowska, O., Lumb, A., Tan, G. D. and Rea, R. (2018) 'Barriers and facilitators to integrating primary and specialist healthcare in the United Kingdom: a narrative literature review', </w:t>
      </w:r>
      <w:r w:rsidRPr="00C95F82">
        <w:rPr>
          <w:i/>
          <w:noProof/>
        </w:rPr>
        <w:t>Future Healthcare Journal,</w:t>
      </w:r>
      <w:r w:rsidRPr="00C95F82">
        <w:rPr>
          <w:noProof/>
        </w:rPr>
        <w:t xml:space="preserve"> 5(1), pp. 64-80.</w:t>
      </w:r>
    </w:p>
    <w:p w14:paraId="47BB97D5" w14:textId="77777777" w:rsidR="00C95F82" w:rsidRPr="00C95F82" w:rsidRDefault="00C95F82" w:rsidP="00C95F82">
      <w:pPr>
        <w:pStyle w:val="EndNoteBibliography"/>
        <w:spacing w:after="240"/>
        <w:rPr>
          <w:noProof/>
        </w:rPr>
      </w:pPr>
      <w:r w:rsidRPr="00C95F82">
        <w:rPr>
          <w:noProof/>
        </w:rPr>
        <w:t xml:space="preserve">Krist, A. H., Tong, S. T., Aycock, R. A. and Longo, D. R. (2017) 'Engaging patients in decision-making and behavior change to promote prevention', </w:t>
      </w:r>
      <w:r w:rsidRPr="00C95F82">
        <w:rPr>
          <w:i/>
          <w:noProof/>
        </w:rPr>
        <w:t>Information Services and Use,</w:t>
      </w:r>
      <w:r w:rsidRPr="00C95F82">
        <w:rPr>
          <w:noProof/>
        </w:rPr>
        <w:t xml:space="preserve"> 37(2), pp. 105-122.</w:t>
      </w:r>
    </w:p>
    <w:p w14:paraId="1B581F21" w14:textId="77777777" w:rsidR="00C95F82" w:rsidRPr="00C95F82" w:rsidRDefault="00C95F82" w:rsidP="00C95F82">
      <w:pPr>
        <w:pStyle w:val="EndNoteBibliography"/>
        <w:spacing w:after="240"/>
        <w:rPr>
          <w:noProof/>
        </w:rPr>
      </w:pPr>
      <w:r w:rsidRPr="00C95F82">
        <w:rPr>
          <w:noProof/>
        </w:rPr>
        <w:t xml:space="preserve">Kvale, S. and Brinkmann, S. (2009) </w:t>
      </w:r>
      <w:r w:rsidRPr="00C95F82">
        <w:rPr>
          <w:i/>
          <w:noProof/>
        </w:rPr>
        <w:t>Interviews: Learning the craft of qualitative research interviewing.</w:t>
      </w:r>
      <w:r w:rsidRPr="00C95F82">
        <w:rPr>
          <w:noProof/>
        </w:rPr>
        <w:t xml:space="preserve"> London, UK: SAGE Publications Ltd, p. 1-424.</w:t>
      </w:r>
    </w:p>
    <w:p w14:paraId="3C710507" w14:textId="77777777" w:rsidR="00C95F82" w:rsidRPr="00C95F82" w:rsidRDefault="00C95F82" w:rsidP="00C95F82">
      <w:pPr>
        <w:pStyle w:val="EndNoteBibliography"/>
        <w:spacing w:after="240"/>
        <w:rPr>
          <w:noProof/>
        </w:rPr>
      </w:pPr>
      <w:r w:rsidRPr="00C95F82">
        <w:rPr>
          <w:noProof/>
        </w:rPr>
        <w:t xml:space="preserve">Kyle, G. J., Nissen, L. M. and Tett, S. E. (2008) 'Pharmaceutical company influences on medication prescribing and their potential impact on quality use of medicines', </w:t>
      </w:r>
      <w:r w:rsidRPr="00C95F82">
        <w:rPr>
          <w:i/>
          <w:noProof/>
        </w:rPr>
        <w:t>Journal of Clinical Pharmacy and Therapeutics,</w:t>
      </w:r>
      <w:r w:rsidRPr="00C95F82">
        <w:rPr>
          <w:noProof/>
        </w:rPr>
        <w:t xml:space="preserve"> 33(5), pp. 553-9.</w:t>
      </w:r>
    </w:p>
    <w:p w14:paraId="742FE622" w14:textId="77777777" w:rsidR="00C95F82" w:rsidRPr="00C95F82" w:rsidRDefault="00C95F82" w:rsidP="00C95F82">
      <w:pPr>
        <w:pStyle w:val="EndNoteBibliography"/>
        <w:spacing w:after="240"/>
        <w:rPr>
          <w:noProof/>
        </w:rPr>
      </w:pPr>
      <w:r w:rsidRPr="00C95F82">
        <w:rPr>
          <w:noProof/>
        </w:rPr>
        <w:t xml:space="preserve">Lalor, A. F., Brooker, J. E., Rozbroj, T., Whittle, S. L., Hill, C. L., Rowett, D., Buchbinder, R. and O'Connor, D. A. (2022) 'Factors influencing clinician prescribing of disease-modifying anti-rheumatic drugs for inflammatory arthritis: A systematic review and thematic synthesis of qualitative studies', </w:t>
      </w:r>
      <w:r w:rsidRPr="00C95F82">
        <w:rPr>
          <w:i/>
          <w:noProof/>
        </w:rPr>
        <w:t>Seminars in Arthritis and Rheumatism,</w:t>
      </w:r>
      <w:r w:rsidRPr="00C95F82">
        <w:rPr>
          <w:noProof/>
        </w:rPr>
        <w:t xml:space="preserve"> 55, pp. 151988.</w:t>
      </w:r>
    </w:p>
    <w:p w14:paraId="4FA31349" w14:textId="77777777" w:rsidR="00C95F82" w:rsidRPr="00C95F82" w:rsidRDefault="00C95F82" w:rsidP="00C95F82">
      <w:pPr>
        <w:pStyle w:val="EndNoteBibliography"/>
        <w:spacing w:after="240"/>
        <w:rPr>
          <w:noProof/>
        </w:rPr>
      </w:pPr>
      <w:r w:rsidRPr="00C95F82">
        <w:rPr>
          <w:noProof/>
        </w:rPr>
        <w:t xml:space="preserve">Lane, D. A. and Lip, G. Y. (2012) 'Use of the CHA2DS2-VASc and HAS-BLED scores to aid decision making for thromboprophylaxis in nonvalvular atrial fibrillation', </w:t>
      </w:r>
      <w:r w:rsidRPr="00C95F82">
        <w:rPr>
          <w:i/>
          <w:noProof/>
        </w:rPr>
        <w:t>Circulation,</w:t>
      </w:r>
      <w:r w:rsidRPr="00C95F82">
        <w:rPr>
          <w:noProof/>
        </w:rPr>
        <w:t xml:space="preserve"> 126(7), pp. 860-865.</w:t>
      </w:r>
    </w:p>
    <w:p w14:paraId="41D39734" w14:textId="77777777" w:rsidR="00C95F82" w:rsidRPr="00C95F82" w:rsidRDefault="00C95F82" w:rsidP="00C95F82">
      <w:pPr>
        <w:pStyle w:val="EndNoteBibliography"/>
        <w:spacing w:after="240"/>
        <w:rPr>
          <w:noProof/>
        </w:rPr>
      </w:pPr>
      <w:r w:rsidRPr="00C95F82">
        <w:rPr>
          <w:noProof/>
        </w:rPr>
        <w:t xml:space="preserve">Lanktree, M. B., Guiard, E., Li, W., Akbari, P., Haghighi, A., Iliuta, I.-A., Shi, B., Chen, C., He, N. and Song, X. (2019) 'Intrafamilial variability of ADPKD', </w:t>
      </w:r>
      <w:r w:rsidRPr="00C95F82">
        <w:rPr>
          <w:i/>
          <w:noProof/>
        </w:rPr>
        <w:t>Kidney International Reports,</w:t>
      </w:r>
      <w:r w:rsidRPr="00C95F82">
        <w:rPr>
          <w:noProof/>
        </w:rPr>
        <w:t xml:space="preserve"> 4(7), pp. 995-1003.</w:t>
      </w:r>
    </w:p>
    <w:p w14:paraId="22E41A30" w14:textId="77777777" w:rsidR="00C95F82" w:rsidRPr="00C95F82" w:rsidRDefault="00C95F82" w:rsidP="00C95F82">
      <w:pPr>
        <w:pStyle w:val="EndNoteBibliography"/>
        <w:spacing w:after="240"/>
        <w:rPr>
          <w:noProof/>
        </w:rPr>
      </w:pPr>
      <w:r w:rsidRPr="00C95F82">
        <w:rPr>
          <w:noProof/>
        </w:rPr>
        <w:t xml:space="preserve">Lanktree, M. B., Haghighi, A., di Bari, I., Song, X. and Pei, Y. (2021) 'Insights into autosomal dominant polycystic kidney disease from genetic studies', </w:t>
      </w:r>
      <w:r w:rsidRPr="00C95F82">
        <w:rPr>
          <w:i/>
          <w:noProof/>
        </w:rPr>
        <w:t>Clinical journal of the American Society of Nephrology,</w:t>
      </w:r>
      <w:r w:rsidRPr="00C95F82">
        <w:rPr>
          <w:noProof/>
        </w:rPr>
        <w:t xml:space="preserve"> 16(5), pp. 790-799.</w:t>
      </w:r>
    </w:p>
    <w:p w14:paraId="5F4E4582" w14:textId="77777777" w:rsidR="00C95F82" w:rsidRPr="00C95F82" w:rsidRDefault="00C95F82" w:rsidP="00C95F82">
      <w:pPr>
        <w:pStyle w:val="EndNoteBibliography"/>
        <w:spacing w:after="240"/>
        <w:rPr>
          <w:noProof/>
        </w:rPr>
      </w:pPr>
      <w:r w:rsidRPr="00C95F82">
        <w:rPr>
          <w:noProof/>
        </w:rPr>
        <w:t xml:space="preserve">Lavall, D., Knoll, K., Spethmann, S., Hahn, K., Barzen, G., Winzer, E. B., Jellinghaus, S., Schöner, L. K., Tröbs, M. and Kauffmann, D. (2026) 'Current treatment decisions in cardiac transthyretin amyloidosis: a multicentre analysis', </w:t>
      </w:r>
      <w:r w:rsidRPr="00C95F82">
        <w:rPr>
          <w:i/>
          <w:noProof/>
        </w:rPr>
        <w:t>Clinical Research in Cardiology,</w:t>
      </w:r>
      <w:r w:rsidRPr="00C95F82">
        <w:rPr>
          <w:noProof/>
        </w:rPr>
        <w:t xml:space="preserve"> 115(5), pp. 1-13.</w:t>
      </w:r>
    </w:p>
    <w:p w14:paraId="46B09CA1" w14:textId="77777777" w:rsidR="00C95F82" w:rsidRPr="00C95F82" w:rsidRDefault="00C95F82" w:rsidP="00C95F82">
      <w:pPr>
        <w:pStyle w:val="EndNoteBibliography"/>
        <w:spacing w:after="240"/>
        <w:rPr>
          <w:noProof/>
        </w:rPr>
      </w:pPr>
      <w:r w:rsidRPr="00C95F82">
        <w:rPr>
          <w:noProof/>
        </w:rPr>
        <w:t xml:space="preserve">Lazareva, T. E., Barbitoff, Y. A., Nasykhova, Y. A., Pavlova, N. S., Bogaychuk, P. M. and Glotov, A. S. (2023) 'Statistical dissection of the genetic determinants of phenotypic heterogeneity in genes with multiple associated rare diseases', </w:t>
      </w:r>
      <w:r w:rsidRPr="00C95F82">
        <w:rPr>
          <w:i/>
          <w:noProof/>
        </w:rPr>
        <w:t>Genes,</w:t>
      </w:r>
      <w:r w:rsidRPr="00C95F82">
        <w:rPr>
          <w:noProof/>
        </w:rPr>
        <w:t xml:space="preserve"> 14(11), pp. 2100.</w:t>
      </w:r>
    </w:p>
    <w:p w14:paraId="7F0C61DA" w14:textId="77777777" w:rsidR="00C95F82" w:rsidRPr="00C95F82" w:rsidRDefault="00C95F82" w:rsidP="00C95F82">
      <w:pPr>
        <w:pStyle w:val="EndNoteBibliography"/>
        <w:spacing w:after="240"/>
        <w:rPr>
          <w:noProof/>
        </w:rPr>
      </w:pPr>
      <w:r w:rsidRPr="00C95F82">
        <w:rPr>
          <w:noProof/>
        </w:rPr>
        <w:t xml:space="preserve">Lewin, S., Bohren, M., Rashidian, A., Munthe-Kaas, H., Glenton, C., Colvin, C. J., Garside, R., Noyes, J., Booth, A. and Tunçalp, Ö. (2018a) 'Applying GRADE-CERQual to qualitative evidence synthesis findings—paper 2: how to make an overall CERQual assessment of confidence and create a Summary of Qualitative Findings table', </w:t>
      </w:r>
      <w:r w:rsidRPr="00C95F82">
        <w:rPr>
          <w:i/>
          <w:noProof/>
        </w:rPr>
        <w:t>Implementation Science,</w:t>
      </w:r>
      <w:r w:rsidRPr="00C95F82">
        <w:rPr>
          <w:noProof/>
        </w:rPr>
        <w:t xml:space="preserve"> 13, pp. 11-23.</w:t>
      </w:r>
    </w:p>
    <w:p w14:paraId="122C9DD7" w14:textId="77777777" w:rsidR="00C95F82" w:rsidRPr="00C95F82" w:rsidRDefault="00C95F82" w:rsidP="00C95F82">
      <w:pPr>
        <w:pStyle w:val="EndNoteBibliography"/>
        <w:spacing w:after="240"/>
        <w:rPr>
          <w:noProof/>
        </w:rPr>
      </w:pPr>
      <w:r w:rsidRPr="00C95F82">
        <w:rPr>
          <w:noProof/>
        </w:rPr>
        <w:t xml:space="preserve">Lewin, S., Booth, A., Glenton, C., Munthe-Kaas, H., Rashidian, A., Wainwright, M., Bohren, M. A., Tunçalp, Ö., Colvin, C. J. and Garside, R. (2018b) 'Applying GRADE-CERQual to qualitative evidence synthesis findings: introduction to the series', </w:t>
      </w:r>
      <w:r w:rsidRPr="00C95F82">
        <w:rPr>
          <w:i/>
          <w:noProof/>
        </w:rPr>
        <w:t>Implementation Science,</w:t>
      </w:r>
      <w:r w:rsidRPr="00C95F82">
        <w:rPr>
          <w:noProof/>
        </w:rPr>
        <w:t xml:space="preserve"> 13(Suppl 1), pp. 2.</w:t>
      </w:r>
    </w:p>
    <w:p w14:paraId="252F08D8" w14:textId="77777777" w:rsidR="00C95F82" w:rsidRPr="00C95F82" w:rsidRDefault="00C95F82" w:rsidP="00C95F82">
      <w:pPr>
        <w:pStyle w:val="EndNoteBibliography"/>
        <w:spacing w:after="240"/>
        <w:rPr>
          <w:noProof/>
        </w:rPr>
      </w:pPr>
      <w:r w:rsidRPr="00C95F82">
        <w:rPr>
          <w:noProof/>
        </w:rPr>
        <w:t xml:space="preserve">Lexchin, J. (1993) 'Interactions between physicians and the pharmaceutical industry: what does the literature say?', </w:t>
      </w:r>
      <w:r w:rsidRPr="00C95F82">
        <w:rPr>
          <w:i/>
          <w:noProof/>
        </w:rPr>
        <w:t>CMAJ: Canadian Medical Association Journal,</w:t>
      </w:r>
      <w:r w:rsidRPr="00C95F82">
        <w:rPr>
          <w:noProof/>
        </w:rPr>
        <w:t xml:space="preserve"> 149(10), pp. 1401.</w:t>
      </w:r>
    </w:p>
    <w:p w14:paraId="0E0E090A" w14:textId="77777777" w:rsidR="00C95F82" w:rsidRPr="00C95F82" w:rsidRDefault="00C95F82" w:rsidP="00C95F82">
      <w:pPr>
        <w:pStyle w:val="EndNoteBibliography"/>
        <w:spacing w:after="240"/>
        <w:rPr>
          <w:noProof/>
        </w:rPr>
      </w:pPr>
      <w:r w:rsidRPr="00C95F82">
        <w:rPr>
          <w:noProof/>
        </w:rPr>
        <w:t xml:space="preserve">Lim, W. M. (2025) 'What is qualitative research? An overview and guidelines', </w:t>
      </w:r>
      <w:r w:rsidRPr="00C95F82">
        <w:rPr>
          <w:i/>
          <w:noProof/>
        </w:rPr>
        <w:t>Australasian Marketing Journal,</w:t>
      </w:r>
      <w:r w:rsidRPr="00C95F82">
        <w:rPr>
          <w:noProof/>
        </w:rPr>
        <w:t xml:space="preserve"> 33(2), pp. 199-229.</w:t>
      </w:r>
    </w:p>
    <w:p w14:paraId="0F8CD3B3" w14:textId="77777777" w:rsidR="00C95F82" w:rsidRPr="00C95F82" w:rsidRDefault="00C95F82" w:rsidP="00C95F82">
      <w:pPr>
        <w:pStyle w:val="EndNoteBibliography"/>
        <w:spacing w:after="240"/>
        <w:rPr>
          <w:noProof/>
        </w:rPr>
      </w:pPr>
      <w:r w:rsidRPr="00C95F82">
        <w:rPr>
          <w:noProof/>
        </w:rPr>
        <w:t xml:space="preserve">Lincoln, Y. S. and Guba, E. G. 'Establishing dependability and confirmability in naturalistic inquiry through an audit', </w:t>
      </w:r>
      <w:r w:rsidRPr="00C95F82">
        <w:rPr>
          <w:i/>
          <w:noProof/>
        </w:rPr>
        <w:t>Annual Meeting of the American Educational Research Association</w:t>
      </w:r>
      <w:r w:rsidRPr="00C95F82">
        <w:rPr>
          <w:noProof/>
        </w:rPr>
        <w:t>, New York, USA, 19/03/1982.</w:t>
      </w:r>
    </w:p>
    <w:p w14:paraId="71D512BB" w14:textId="77777777" w:rsidR="00C95F82" w:rsidRPr="00C95F82" w:rsidRDefault="00C95F82" w:rsidP="00C95F82">
      <w:pPr>
        <w:pStyle w:val="EndNoteBibliography"/>
        <w:spacing w:after="240"/>
        <w:rPr>
          <w:noProof/>
        </w:rPr>
      </w:pPr>
      <w:r w:rsidRPr="00C95F82">
        <w:rPr>
          <w:noProof/>
        </w:rPr>
        <w:t xml:space="preserve">Lincoln, Y. S. and Guba, E. G. (1985) </w:t>
      </w:r>
      <w:r w:rsidRPr="00C95F82">
        <w:rPr>
          <w:i/>
          <w:noProof/>
        </w:rPr>
        <w:t>Naturalistic inquiry.</w:t>
      </w:r>
      <w:r w:rsidRPr="00C95F82">
        <w:rPr>
          <w:noProof/>
        </w:rPr>
        <w:t xml:space="preserve"> London, UK: SAGE Publications Ltd, p. 1-416.</w:t>
      </w:r>
    </w:p>
    <w:p w14:paraId="25DDA58C" w14:textId="77777777" w:rsidR="00C95F82" w:rsidRPr="00C95F82" w:rsidRDefault="00C95F82" w:rsidP="00C95F82">
      <w:pPr>
        <w:pStyle w:val="EndNoteBibliography"/>
        <w:spacing w:after="240"/>
        <w:rPr>
          <w:noProof/>
        </w:rPr>
      </w:pPr>
      <w:r w:rsidRPr="00C95F82">
        <w:rPr>
          <w:noProof/>
        </w:rPr>
        <w:t xml:space="preserve">Little, P., Dorward, M., Warner, G., Stephens, K., Senior, J. and Moore, M. (2004) 'Importance of patient pressure and perceived medical need for investigations, referral, and prescribing in primary care: nested observational study', </w:t>
      </w:r>
      <w:r w:rsidRPr="00C95F82">
        <w:rPr>
          <w:i/>
          <w:noProof/>
        </w:rPr>
        <w:t>British Medical Journal,</w:t>
      </w:r>
      <w:r w:rsidRPr="00C95F82">
        <w:rPr>
          <w:noProof/>
        </w:rPr>
        <w:t xml:space="preserve"> 328.</w:t>
      </w:r>
    </w:p>
    <w:p w14:paraId="2BD89760" w14:textId="77777777" w:rsidR="00C95F82" w:rsidRPr="00C95F82" w:rsidRDefault="00C95F82" w:rsidP="00C95F82">
      <w:pPr>
        <w:pStyle w:val="EndNoteBibliography"/>
        <w:spacing w:after="240"/>
        <w:rPr>
          <w:noProof/>
        </w:rPr>
      </w:pPr>
      <w:r w:rsidRPr="00C95F82">
        <w:rPr>
          <w:noProof/>
        </w:rPr>
        <w:t xml:space="preserve">Little, R. J. and Rubin, D. B. (2019) </w:t>
      </w:r>
      <w:r w:rsidRPr="00C95F82">
        <w:rPr>
          <w:i/>
          <w:noProof/>
        </w:rPr>
        <w:t>Statistical analysis with missing data.</w:t>
      </w:r>
      <w:r w:rsidRPr="00C95F82">
        <w:rPr>
          <w:noProof/>
        </w:rPr>
        <w:t xml:space="preserve"> Hoboken, New Jersey, USA: John Wiley &amp; Sons, p. 1-408.</w:t>
      </w:r>
    </w:p>
    <w:p w14:paraId="4B133D3F" w14:textId="77777777" w:rsidR="00C95F82" w:rsidRPr="00C95F82" w:rsidRDefault="00C95F82" w:rsidP="00C95F82">
      <w:pPr>
        <w:pStyle w:val="EndNoteBibliography"/>
        <w:spacing w:after="240"/>
        <w:rPr>
          <w:noProof/>
        </w:rPr>
      </w:pPr>
      <w:r w:rsidRPr="00C95F82">
        <w:rPr>
          <w:noProof/>
        </w:rPr>
        <w:t xml:space="preserve">Liu, C., Liu, C., Wang, D. and Zhang, X. (2019) 'Intrinsic and external determinants of antibiotic prescribing: a multi-level path analysis of primary care prescriptions in Hubei, China', </w:t>
      </w:r>
      <w:r w:rsidRPr="00C95F82">
        <w:rPr>
          <w:i/>
          <w:noProof/>
        </w:rPr>
        <w:t>Antimicrobial Resistance &amp; Infection Control,</w:t>
      </w:r>
      <w:r w:rsidRPr="00C95F82">
        <w:rPr>
          <w:noProof/>
        </w:rPr>
        <w:t xml:space="preserve"> 8, pp. 1-12.</w:t>
      </w:r>
    </w:p>
    <w:p w14:paraId="3A73DA31" w14:textId="77777777" w:rsidR="00C95F82" w:rsidRPr="00C95F82" w:rsidRDefault="00C95F82" w:rsidP="00C95F82">
      <w:pPr>
        <w:pStyle w:val="EndNoteBibliography"/>
        <w:spacing w:after="240"/>
        <w:rPr>
          <w:noProof/>
        </w:rPr>
      </w:pPr>
      <w:r w:rsidRPr="00C95F82">
        <w:rPr>
          <w:noProof/>
        </w:rPr>
        <w:t xml:space="preserve">Liu, F., Ranmal, S., Batchelor, H. K., Orlu-Gul, M., Ernest, T. B., Thomas, I. W., Flanagan, T. and Tuleu, C. (2014) 'Patient-Centered Pharmaceutical Design to Improve Acceptability of Medicines: Similarities and Differences in Paediatric and Geriatric Populations', </w:t>
      </w:r>
      <w:r w:rsidRPr="00C95F82">
        <w:rPr>
          <w:i/>
          <w:noProof/>
        </w:rPr>
        <w:t>Drugs,</w:t>
      </w:r>
      <w:r w:rsidRPr="00C95F82">
        <w:rPr>
          <w:noProof/>
        </w:rPr>
        <w:t xml:space="preserve"> 74(16), pp. 1871-1889.</w:t>
      </w:r>
    </w:p>
    <w:p w14:paraId="66301EFE" w14:textId="77777777" w:rsidR="00C95F82" w:rsidRPr="00C95F82" w:rsidRDefault="00C95F82" w:rsidP="00C95F82">
      <w:pPr>
        <w:pStyle w:val="EndNoteBibliography"/>
        <w:spacing w:after="240"/>
        <w:rPr>
          <w:noProof/>
        </w:rPr>
      </w:pPr>
      <w:r w:rsidRPr="00C95F82">
        <w:rPr>
          <w:noProof/>
        </w:rPr>
        <w:t xml:space="preserve">Liu, F. X., Rutherford, P., Smoyer-Tomic, K., Prichard, S. and Laplante, S. (2015) 'A global overview of renal registries: a systematic review', </w:t>
      </w:r>
      <w:r w:rsidRPr="00C95F82">
        <w:rPr>
          <w:i/>
          <w:noProof/>
        </w:rPr>
        <w:t>BMC Nephrology,</w:t>
      </w:r>
      <w:r w:rsidRPr="00C95F82">
        <w:rPr>
          <w:noProof/>
        </w:rPr>
        <w:t xml:space="preserve"> 16(1), pp. 31.</w:t>
      </w:r>
    </w:p>
    <w:p w14:paraId="4BB993B4" w14:textId="77777777" w:rsidR="00C95F82" w:rsidRPr="00C95F82" w:rsidRDefault="00C95F82" w:rsidP="00C95F82">
      <w:pPr>
        <w:pStyle w:val="EndNoteBibliography"/>
        <w:spacing w:after="240"/>
        <w:rPr>
          <w:noProof/>
        </w:rPr>
      </w:pPr>
      <w:r w:rsidRPr="00C95F82">
        <w:rPr>
          <w:noProof/>
        </w:rPr>
        <w:t xml:space="preserve">Liu, Y., Wang, R., Huang, R., Cao, Y., Wang, J. and Feng, D. (2021) 'Influencing factors and their relationships of risk perception and decision-making behaviour of polypharmacy in patients with chronic diseases: a qualitative descriptive study', </w:t>
      </w:r>
      <w:r w:rsidRPr="00C95F82">
        <w:rPr>
          <w:i/>
          <w:noProof/>
        </w:rPr>
        <w:t>BMJ Open,</w:t>
      </w:r>
      <w:r w:rsidRPr="00C95F82">
        <w:rPr>
          <w:noProof/>
        </w:rPr>
        <w:t xml:space="preserve"> 11(4), pp. e043557.</w:t>
      </w:r>
    </w:p>
    <w:p w14:paraId="0186A5B2" w14:textId="77777777" w:rsidR="00C95F82" w:rsidRPr="00C95F82" w:rsidRDefault="00C95F82" w:rsidP="00C95F82">
      <w:pPr>
        <w:pStyle w:val="EndNoteBibliography"/>
        <w:spacing w:after="240"/>
        <w:rPr>
          <w:noProof/>
        </w:rPr>
      </w:pPr>
      <w:r w:rsidRPr="00C95F82">
        <w:rPr>
          <w:noProof/>
        </w:rPr>
        <w:t xml:space="preserve">Lockwood, C., Munn, Z. and Porritt, K. (2015) 'Qualitative research synthesis: methodological guidance for systematic reviewers utilizing meta-aggregation', </w:t>
      </w:r>
      <w:r w:rsidRPr="00C95F82">
        <w:rPr>
          <w:i/>
          <w:noProof/>
        </w:rPr>
        <w:t>JBI Evidence Implementation,</w:t>
      </w:r>
      <w:r w:rsidRPr="00C95F82">
        <w:rPr>
          <w:noProof/>
        </w:rPr>
        <w:t xml:space="preserve"> 13(3), pp. 179-187.</w:t>
      </w:r>
    </w:p>
    <w:p w14:paraId="1C8B9F6D" w14:textId="77777777" w:rsidR="00C95F82" w:rsidRPr="00C95F82" w:rsidRDefault="00C95F82" w:rsidP="00C95F82">
      <w:pPr>
        <w:pStyle w:val="EndNoteBibliography"/>
        <w:spacing w:after="240"/>
        <w:rPr>
          <w:noProof/>
        </w:rPr>
      </w:pPr>
      <w:r w:rsidRPr="00C95F82">
        <w:rPr>
          <w:noProof/>
        </w:rPr>
        <w:t xml:space="preserve">Lopes, M. T., Koch, V. H., Sarrubbi-Junior, V., Gallo, P. R. and Carneiro-Sampaio, M. (2018) 'Difficulties in the diagnosis and treatment of rare diseases according to the perceptions of patients, relatives and health care professionals', </w:t>
      </w:r>
      <w:r w:rsidRPr="00C95F82">
        <w:rPr>
          <w:i/>
          <w:noProof/>
        </w:rPr>
        <w:t>Clinics,</w:t>
      </w:r>
      <w:r w:rsidRPr="00C95F82">
        <w:rPr>
          <w:noProof/>
        </w:rPr>
        <w:t xml:space="preserve"> 73, pp. e68.</w:t>
      </w:r>
    </w:p>
    <w:p w14:paraId="41E686A3" w14:textId="77777777" w:rsidR="00C95F82" w:rsidRPr="00C95F82" w:rsidRDefault="00C95F82" w:rsidP="00C95F82">
      <w:pPr>
        <w:pStyle w:val="EndNoteBibliography"/>
        <w:spacing w:after="240"/>
        <w:rPr>
          <w:noProof/>
        </w:rPr>
      </w:pPr>
      <w:r w:rsidRPr="00C95F82">
        <w:rPr>
          <w:noProof/>
        </w:rPr>
        <w:t xml:space="preserve">López-Bastida, J., Oliva-Moreno, J., Linertová, R. and Serrano-Aguilar, P. (2016) 'Social/economic costs and health-related quality of life in patients with rare diseases in Europe', </w:t>
      </w:r>
      <w:r w:rsidRPr="00C95F82">
        <w:rPr>
          <w:i/>
          <w:noProof/>
        </w:rPr>
        <w:t>The European Journal of Health Economics,</w:t>
      </w:r>
      <w:r w:rsidRPr="00C95F82">
        <w:rPr>
          <w:noProof/>
        </w:rPr>
        <w:t xml:space="preserve"> 17(Suppl 1), pp. 1-5.</w:t>
      </w:r>
    </w:p>
    <w:p w14:paraId="6975873B" w14:textId="77777777" w:rsidR="00C95F82" w:rsidRPr="00C95F82" w:rsidRDefault="00C95F82" w:rsidP="00C95F82">
      <w:pPr>
        <w:pStyle w:val="EndNoteBibliography"/>
        <w:spacing w:after="240"/>
        <w:rPr>
          <w:noProof/>
        </w:rPr>
      </w:pPr>
      <w:r w:rsidRPr="00C95F82">
        <w:rPr>
          <w:noProof/>
        </w:rPr>
        <w:t xml:space="preserve">Low, J. (2019) 'A pragmatic definition of the concept of theoretical saturation', </w:t>
      </w:r>
      <w:r w:rsidRPr="00C95F82">
        <w:rPr>
          <w:i/>
          <w:noProof/>
        </w:rPr>
        <w:t>Sociological Focus,</w:t>
      </w:r>
      <w:r w:rsidRPr="00C95F82">
        <w:rPr>
          <w:noProof/>
        </w:rPr>
        <w:t xml:space="preserve"> 52(2), pp. 131-139.</w:t>
      </w:r>
    </w:p>
    <w:p w14:paraId="4AE9730B" w14:textId="77777777" w:rsidR="00C95F82" w:rsidRPr="00C95F82" w:rsidRDefault="00C95F82" w:rsidP="00C95F82">
      <w:pPr>
        <w:pStyle w:val="EndNoteBibliography"/>
        <w:spacing w:after="240"/>
        <w:rPr>
          <w:noProof/>
        </w:rPr>
      </w:pPr>
      <w:r w:rsidRPr="00C95F82">
        <w:rPr>
          <w:noProof/>
        </w:rPr>
        <w:t xml:space="preserve">Lublóy, Á. (2014) 'Factors affecting the uptake of new medicines: a systematic literature review', </w:t>
      </w:r>
      <w:r w:rsidRPr="00C95F82">
        <w:rPr>
          <w:i/>
          <w:noProof/>
        </w:rPr>
        <w:t>BMC Health Services Research,</w:t>
      </w:r>
      <w:r w:rsidRPr="00C95F82">
        <w:rPr>
          <w:noProof/>
        </w:rPr>
        <w:t xml:space="preserve"> 14, pp. 469.</w:t>
      </w:r>
    </w:p>
    <w:p w14:paraId="0D919C06" w14:textId="77777777" w:rsidR="00C95F82" w:rsidRPr="00C95F82" w:rsidRDefault="00C95F82" w:rsidP="00C95F82">
      <w:pPr>
        <w:pStyle w:val="EndNoteBibliography"/>
        <w:spacing w:after="240"/>
        <w:rPr>
          <w:noProof/>
        </w:rPr>
      </w:pPr>
      <w:r w:rsidRPr="00C95F82">
        <w:rPr>
          <w:noProof/>
        </w:rPr>
        <w:t xml:space="preserve">Lum, E. P. M., Page, K., Whitty, J. A., Doust, J. and Graves, N. (2018) 'Antibiotic prescribing in primary healthcare: Dominant factors and trade-offs in decision-making', </w:t>
      </w:r>
      <w:r w:rsidRPr="00C95F82">
        <w:rPr>
          <w:i/>
          <w:noProof/>
        </w:rPr>
        <w:t>Infection, Disease &amp; Health,</w:t>
      </w:r>
      <w:r w:rsidRPr="00C95F82">
        <w:rPr>
          <w:noProof/>
        </w:rPr>
        <w:t xml:space="preserve"> 23(2), pp. 74-86.</w:t>
      </w:r>
    </w:p>
    <w:p w14:paraId="57684126" w14:textId="77777777" w:rsidR="00C95F82" w:rsidRPr="00C95F82" w:rsidRDefault="00C95F82" w:rsidP="00C95F82">
      <w:pPr>
        <w:pStyle w:val="EndNoteBibliography"/>
        <w:spacing w:after="240"/>
        <w:rPr>
          <w:noProof/>
        </w:rPr>
      </w:pPr>
      <w:r w:rsidRPr="00C95F82">
        <w:rPr>
          <w:noProof/>
        </w:rPr>
        <w:t xml:space="preserve">Lunny, C., Kanji, S., Thabet, P., Haidich, A.-B., Bougioukas, K. I. and Pieper, D. (2024) 'Assessing the methodological quality and risk of bias of systematic reviews: primer for authors of overviews of systematic reviews', </w:t>
      </w:r>
      <w:r w:rsidRPr="00C95F82">
        <w:rPr>
          <w:i/>
          <w:noProof/>
        </w:rPr>
        <w:t>BMJ Medicine,</w:t>
      </w:r>
      <w:r w:rsidRPr="00C95F82">
        <w:rPr>
          <w:noProof/>
        </w:rPr>
        <w:t xml:space="preserve"> 3(1), pp. e000604.</w:t>
      </w:r>
    </w:p>
    <w:p w14:paraId="30AE0D28" w14:textId="77777777" w:rsidR="00C95F82" w:rsidRPr="00C95F82" w:rsidRDefault="00C95F82" w:rsidP="00C95F82">
      <w:pPr>
        <w:pStyle w:val="EndNoteBibliography"/>
        <w:spacing w:after="240"/>
        <w:rPr>
          <w:noProof/>
        </w:rPr>
      </w:pPr>
      <w:r w:rsidRPr="00C95F82">
        <w:rPr>
          <w:noProof/>
        </w:rPr>
        <w:t xml:space="preserve">Lunny, C., Pieper, D., Thabet, P. and Kanji, S. (2021) 'Managing overlap of primary study results across systematic reviews: practical considerations for authors of overviews of reviews', </w:t>
      </w:r>
      <w:r w:rsidRPr="00C95F82">
        <w:rPr>
          <w:i/>
          <w:noProof/>
        </w:rPr>
        <w:t>BMC Medical Research Methodology,</w:t>
      </w:r>
      <w:r w:rsidRPr="00C95F82">
        <w:rPr>
          <w:noProof/>
        </w:rPr>
        <w:t xml:space="preserve"> 21(1), pp. 140.</w:t>
      </w:r>
    </w:p>
    <w:p w14:paraId="5A083B03" w14:textId="77777777" w:rsidR="00C95F82" w:rsidRPr="00C95F82" w:rsidRDefault="00C95F82" w:rsidP="00C95F82">
      <w:pPr>
        <w:pStyle w:val="EndNoteBibliography"/>
        <w:spacing w:after="240"/>
        <w:rPr>
          <w:noProof/>
        </w:rPr>
      </w:pPr>
      <w:r w:rsidRPr="00C95F82">
        <w:rPr>
          <w:noProof/>
        </w:rPr>
        <w:t xml:space="preserve">Lurie, N., Rich, E. C., Simpson, D. E., Meyer, J., Schiedermayer, D. L., Goodman, J. L. and McKinney, W. P. (1990) 'Pharmaceutical representatives in academic medical centers: interaction with faculty and housestaff', </w:t>
      </w:r>
      <w:r w:rsidRPr="00C95F82">
        <w:rPr>
          <w:i/>
          <w:noProof/>
        </w:rPr>
        <w:t>Journal of General Internal Medicine,</w:t>
      </w:r>
      <w:r w:rsidRPr="00C95F82">
        <w:rPr>
          <w:noProof/>
        </w:rPr>
        <w:t xml:space="preserve"> 5, pp. 240-243.</w:t>
      </w:r>
    </w:p>
    <w:p w14:paraId="1066B970" w14:textId="77777777" w:rsidR="00C95F82" w:rsidRPr="00C95F82" w:rsidRDefault="00C95F82" w:rsidP="00C95F82">
      <w:pPr>
        <w:pStyle w:val="EndNoteBibliography"/>
        <w:spacing w:after="240"/>
        <w:rPr>
          <w:noProof/>
        </w:rPr>
      </w:pPr>
      <w:r w:rsidRPr="00C95F82">
        <w:rPr>
          <w:noProof/>
        </w:rPr>
        <w:t xml:space="preserve">Macfarlane, J., Holmes, W., Macfarlane, R. and Britten, N. (1997) 'Influence of patients' expectations on antibiotic management of acute lower respiratory tract illness in general practice: questionnaire study', </w:t>
      </w:r>
      <w:r w:rsidRPr="00C95F82">
        <w:rPr>
          <w:i/>
          <w:noProof/>
        </w:rPr>
        <w:t>BMJ,</w:t>
      </w:r>
      <w:r w:rsidRPr="00C95F82">
        <w:rPr>
          <w:noProof/>
        </w:rPr>
        <w:t xml:space="preserve"> 315(7117), pp. 1211-1214.</w:t>
      </w:r>
    </w:p>
    <w:p w14:paraId="7A81D81C" w14:textId="77777777" w:rsidR="00C95F82" w:rsidRPr="00C95F82" w:rsidRDefault="00C95F82" w:rsidP="00C95F82">
      <w:pPr>
        <w:pStyle w:val="EndNoteBibliography"/>
        <w:spacing w:after="240"/>
        <w:rPr>
          <w:noProof/>
        </w:rPr>
      </w:pPr>
      <w:r w:rsidRPr="00C95F82">
        <w:rPr>
          <w:noProof/>
        </w:rPr>
        <w:t xml:space="preserve">Mahmoud, F., Mullen, A., Sainsbury, C., Rushworth, G. F., Yasin, H., Abutheraa, N., Mueller, T. and Kurdi, A. (2023) 'Meta‐analysis of factors associated with antidiabetic drug prescribing for type 2 diabetes mellitus', </w:t>
      </w:r>
      <w:r w:rsidRPr="00C95F82">
        <w:rPr>
          <w:i/>
          <w:noProof/>
        </w:rPr>
        <w:t>European Journal of Clinical Investigation,</w:t>
      </w:r>
      <w:r w:rsidRPr="00C95F82">
        <w:rPr>
          <w:noProof/>
        </w:rPr>
        <w:t xml:space="preserve"> 53(8), pp. e13997.</w:t>
      </w:r>
    </w:p>
    <w:p w14:paraId="29993A72" w14:textId="77777777" w:rsidR="00C95F82" w:rsidRPr="00C95F82" w:rsidRDefault="00C95F82" w:rsidP="00C95F82">
      <w:pPr>
        <w:pStyle w:val="EndNoteBibliography"/>
        <w:spacing w:after="240"/>
        <w:rPr>
          <w:noProof/>
        </w:rPr>
      </w:pPr>
      <w:r w:rsidRPr="00C95F82">
        <w:rPr>
          <w:noProof/>
        </w:rPr>
        <w:t xml:space="preserve">Maimaris, W., Paty, J., Perel, P., Legido-Quigley, H., Balabanova, D., Nieuwlaat, R. and Mckee, M. (2013) 'The influence of health systems on hypertension awareness, treatment, and control: a systematic literature review', </w:t>
      </w:r>
      <w:r w:rsidRPr="00C95F82">
        <w:rPr>
          <w:i/>
          <w:noProof/>
        </w:rPr>
        <w:t>PLOS Medicine,</w:t>
      </w:r>
      <w:r w:rsidRPr="00C95F82">
        <w:rPr>
          <w:noProof/>
        </w:rPr>
        <w:t xml:space="preserve"> 10(7), pp. e1001490.</w:t>
      </w:r>
    </w:p>
    <w:p w14:paraId="73ED3F2A" w14:textId="77777777" w:rsidR="00C95F82" w:rsidRPr="00C95F82" w:rsidRDefault="00C95F82" w:rsidP="00C95F82">
      <w:pPr>
        <w:pStyle w:val="EndNoteBibliography"/>
        <w:spacing w:after="240"/>
        <w:rPr>
          <w:noProof/>
        </w:rPr>
      </w:pPr>
      <w:r w:rsidRPr="00C95F82">
        <w:rPr>
          <w:noProof/>
        </w:rPr>
        <w:t xml:space="preserve">Mair, F. S. and May, C. R. (2014) 'Thinking about the burden of treatment', </w:t>
      </w:r>
      <w:r w:rsidRPr="00C95F82">
        <w:rPr>
          <w:i/>
          <w:noProof/>
        </w:rPr>
        <w:t>BMJ,</w:t>
      </w:r>
      <w:r w:rsidRPr="00C95F82">
        <w:rPr>
          <w:noProof/>
        </w:rPr>
        <w:t xml:space="preserve"> 349, pp. g6680.</w:t>
      </w:r>
    </w:p>
    <w:p w14:paraId="1D6287D7" w14:textId="77777777" w:rsidR="00C95F82" w:rsidRPr="00C95F82" w:rsidRDefault="00C95F82" w:rsidP="00C95F82">
      <w:pPr>
        <w:pStyle w:val="EndNoteBibliography"/>
        <w:spacing w:after="240"/>
        <w:rPr>
          <w:noProof/>
        </w:rPr>
      </w:pPr>
      <w:r w:rsidRPr="00C95F82">
        <w:rPr>
          <w:noProof/>
        </w:rPr>
        <w:t xml:space="preserve">Manfouo, B. and Seifert, R. (2025) 'New drugs and their performance 10 years after approval: a systematic analysis', </w:t>
      </w:r>
      <w:r w:rsidRPr="00C95F82">
        <w:rPr>
          <w:i/>
          <w:noProof/>
        </w:rPr>
        <w:t>Naunyn-Schmiedeberg's Archives of Pharmacology,</w:t>
      </w:r>
      <w:r w:rsidRPr="00C95F82">
        <w:rPr>
          <w:noProof/>
        </w:rPr>
        <w:t xml:space="preserve"> 398(11), pp. 15515-15534.</w:t>
      </w:r>
    </w:p>
    <w:p w14:paraId="1F4A496E" w14:textId="77777777" w:rsidR="00C95F82" w:rsidRPr="00C95F82" w:rsidRDefault="00C95F82" w:rsidP="00C95F82">
      <w:pPr>
        <w:pStyle w:val="EndNoteBibliography"/>
        <w:spacing w:after="240"/>
        <w:rPr>
          <w:noProof/>
        </w:rPr>
      </w:pPr>
      <w:r w:rsidRPr="00C95F82">
        <w:rPr>
          <w:noProof/>
        </w:rPr>
        <w:t xml:space="preserve">Mark, P. B., Stafford, L. K., Grams, M. E., Aalruz, H., Abd ElHafeez, S., Abdelgalil, A. A., Abdulkader, R. S., Abeywickrama, H. M., Abiodun, O. O. and Abramov, D. (2025) 'Global, regional, and national burden of chronic kidney disease in adults, 1990–2023, and its attributable risk factors: a systematic analysis for the Global Burden of Disease Study 2023', </w:t>
      </w:r>
      <w:r w:rsidRPr="00C95F82">
        <w:rPr>
          <w:i/>
          <w:noProof/>
        </w:rPr>
        <w:t>The Lancet,</w:t>
      </w:r>
      <w:r w:rsidRPr="00C95F82">
        <w:rPr>
          <w:noProof/>
        </w:rPr>
        <w:t xml:space="preserve"> 406(10518), pp. 2461-2482.</w:t>
      </w:r>
    </w:p>
    <w:p w14:paraId="41B26EA9" w14:textId="77777777" w:rsidR="00C95F82" w:rsidRPr="00C95F82" w:rsidRDefault="00C95F82" w:rsidP="00C95F82">
      <w:pPr>
        <w:pStyle w:val="EndNoteBibliography"/>
        <w:spacing w:after="240"/>
        <w:rPr>
          <w:noProof/>
        </w:rPr>
      </w:pPr>
      <w:r w:rsidRPr="00C95F82">
        <w:rPr>
          <w:noProof/>
        </w:rPr>
        <w:t xml:space="preserve">Marwaha, S., Knowles, J. W. and Ashley, E. A. (2022) 'A guide for the diagnosis of rare and undiagnosed disease: beyond the exome', </w:t>
      </w:r>
      <w:r w:rsidRPr="00C95F82">
        <w:rPr>
          <w:i/>
          <w:noProof/>
        </w:rPr>
        <w:t>Genome Medicine,</w:t>
      </w:r>
      <w:r w:rsidRPr="00C95F82">
        <w:rPr>
          <w:noProof/>
        </w:rPr>
        <w:t xml:space="preserve"> 14(1), pp. 23.</w:t>
      </w:r>
    </w:p>
    <w:p w14:paraId="401AEAA9" w14:textId="77777777" w:rsidR="00C95F82" w:rsidRPr="00C95F82" w:rsidRDefault="00C95F82" w:rsidP="00C95F82">
      <w:pPr>
        <w:pStyle w:val="EndNoteBibliography"/>
        <w:spacing w:after="240"/>
        <w:rPr>
          <w:noProof/>
        </w:rPr>
      </w:pPr>
      <w:r w:rsidRPr="00C95F82">
        <w:rPr>
          <w:noProof/>
        </w:rPr>
        <w:t xml:space="preserve">Mas Dalmau, G., Sant Arderiu, E., Enfedaque Montes, M. B., Solà, I., Pequeno Saco, S. and Alonso Coello, P. (2017) 'Patients’ and physicians’ perceptions and attitudes about oral anticoagulation and atrial fibrillation: a qualitative systematic review', </w:t>
      </w:r>
      <w:r w:rsidRPr="00C95F82">
        <w:rPr>
          <w:i/>
          <w:noProof/>
        </w:rPr>
        <w:t>BMC Family Practice,</w:t>
      </w:r>
      <w:r w:rsidRPr="00C95F82">
        <w:rPr>
          <w:noProof/>
        </w:rPr>
        <w:t xml:space="preserve"> 18, pp. 1-11.</w:t>
      </w:r>
    </w:p>
    <w:p w14:paraId="6E49452A" w14:textId="77777777" w:rsidR="00C95F82" w:rsidRPr="00C95F82" w:rsidRDefault="00C95F82" w:rsidP="00C95F82">
      <w:pPr>
        <w:pStyle w:val="EndNoteBibliography"/>
        <w:spacing w:after="240"/>
        <w:rPr>
          <w:noProof/>
        </w:rPr>
      </w:pPr>
      <w:r w:rsidRPr="00C95F82">
        <w:rPr>
          <w:noProof/>
        </w:rPr>
        <w:t xml:space="preserve">Mason, J. (2017) </w:t>
      </w:r>
      <w:r w:rsidRPr="00C95F82">
        <w:rPr>
          <w:i/>
          <w:noProof/>
        </w:rPr>
        <w:t>Qualitative researching.</w:t>
      </w:r>
      <w:r w:rsidRPr="00C95F82">
        <w:rPr>
          <w:noProof/>
        </w:rPr>
        <w:t xml:space="preserve"> London, UK: SAGE Publications Ltd, p. 1-224.</w:t>
      </w:r>
    </w:p>
    <w:p w14:paraId="3A2025BC" w14:textId="77777777" w:rsidR="00C95F82" w:rsidRPr="00C95F82" w:rsidRDefault="00C95F82" w:rsidP="00C95F82">
      <w:pPr>
        <w:pStyle w:val="EndNoteBibliography"/>
        <w:spacing w:after="240"/>
        <w:rPr>
          <w:noProof/>
        </w:rPr>
      </w:pPr>
      <w:r w:rsidRPr="00C95F82">
        <w:rPr>
          <w:noProof/>
        </w:rPr>
        <w:t xml:space="preserve">Mason, S., Frick, L., Castelló, M., Cheng, W., Chong, S. W., Díaz Villalba, L., García-Morante, M., Kong, M. S., Sakurai, Y. and Shojaeian, N. (2025) 'Prominence, promotion and positioning of the ‘thesis by publication’in six countries', </w:t>
      </w:r>
      <w:r w:rsidRPr="00C95F82">
        <w:rPr>
          <w:i/>
          <w:noProof/>
        </w:rPr>
        <w:t>Higher Education Policy,</w:t>
      </w:r>
      <w:r w:rsidRPr="00C95F82">
        <w:rPr>
          <w:noProof/>
        </w:rPr>
        <w:t xml:space="preserve"> 38(3), pp. 472-492.</w:t>
      </w:r>
    </w:p>
    <w:p w14:paraId="1F84E50B" w14:textId="77777777" w:rsidR="00C95F82" w:rsidRPr="00C95F82" w:rsidRDefault="00C95F82" w:rsidP="00C95F82">
      <w:pPr>
        <w:pStyle w:val="EndNoteBibliography"/>
        <w:spacing w:after="240"/>
        <w:rPr>
          <w:noProof/>
        </w:rPr>
      </w:pPr>
      <w:r w:rsidRPr="00C95F82">
        <w:rPr>
          <w:noProof/>
        </w:rPr>
        <w:t xml:space="preserve">Mason, S., Locker, T., Carter, A., Walters, S., Stride, C. and Casson, J. (2006) </w:t>
      </w:r>
      <w:r w:rsidRPr="00C95F82">
        <w:rPr>
          <w:i/>
          <w:noProof/>
        </w:rPr>
        <w:t>What are the organisational factors that influence waiting times in Emergency</w:t>
      </w:r>
      <w:r w:rsidRPr="00C95F82">
        <w:rPr>
          <w:noProof/>
        </w:rPr>
        <w:t>, Sheffield, UK: University of Sheffield.</w:t>
      </w:r>
    </w:p>
    <w:p w14:paraId="1AA11749" w14:textId="77777777" w:rsidR="00C95F82" w:rsidRPr="00C95F82" w:rsidRDefault="00C95F82" w:rsidP="00C95F82">
      <w:pPr>
        <w:pStyle w:val="EndNoteBibliography"/>
        <w:spacing w:after="240"/>
        <w:rPr>
          <w:noProof/>
        </w:rPr>
      </w:pPr>
      <w:r w:rsidRPr="00C95F82">
        <w:rPr>
          <w:noProof/>
        </w:rPr>
        <w:t xml:space="preserve">Maxwell, S. R. (2016) 'Rational prescribing: the principles of drug selection', </w:t>
      </w:r>
      <w:r w:rsidRPr="00C95F82">
        <w:rPr>
          <w:i/>
          <w:noProof/>
        </w:rPr>
        <w:t>Clinical Medicine,</w:t>
      </w:r>
      <w:r w:rsidRPr="00C95F82">
        <w:rPr>
          <w:noProof/>
        </w:rPr>
        <w:t xml:space="preserve"> 16(5), pp. 459-464.</w:t>
      </w:r>
    </w:p>
    <w:p w14:paraId="7234FF02" w14:textId="77777777" w:rsidR="00C95F82" w:rsidRPr="00C95F82" w:rsidRDefault="00C95F82" w:rsidP="00C95F82">
      <w:pPr>
        <w:pStyle w:val="EndNoteBibliography"/>
        <w:spacing w:after="240"/>
        <w:rPr>
          <w:noProof/>
        </w:rPr>
      </w:pPr>
      <w:r w:rsidRPr="00C95F82">
        <w:rPr>
          <w:noProof/>
        </w:rPr>
        <w:t xml:space="preserve">May, C., Finch, T., Mair, F., Ballini, L., Dowrick, C., Eccles, M., Gask, L., MacFarlane, A., Murray, E. and Rapley, T. (2007) 'Understanding the implementation of complex interventions in health care: the normalization process model', </w:t>
      </w:r>
      <w:r w:rsidRPr="00C95F82">
        <w:rPr>
          <w:i/>
          <w:noProof/>
        </w:rPr>
        <w:t>BMC Health Services Research,</w:t>
      </w:r>
      <w:r w:rsidRPr="00C95F82">
        <w:rPr>
          <w:noProof/>
        </w:rPr>
        <w:t xml:space="preserve"> 7(1), pp. 148.</w:t>
      </w:r>
    </w:p>
    <w:p w14:paraId="50178E0D" w14:textId="77777777" w:rsidR="00C95F82" w:rsidRPr="00C95F82" w:rsidRDefault="00C95F82" w:rsidP="00C95F82">
      <w:pPr>
        <w:pStyle w:val="EndNoteBibliography"/>
        <w:spacing w:after="240"/>
        <w:rPr>
          <w:noProof/>
        </w:rPr>
      </w:pPr>
      <w:r w:rsidRPr="00C95F82">
        <w:rPr>
          <w:noProof/>
        </w:rPr>
        <w:t xml:space="preserve">McGraw, S., Qian, Y., Henne, J., Jarecki, J., Hobby, K. and Yeh, W.-S. (2017) 'A qualitative study of perceptions of meaningful change in spinal muscular atrophy', </w:t>
      </w:r>
      <w:r w:rsidRPr="00C95F82">
        <w:rPr>
          <w:i/>
          <w:noProof/>
        </w:rPr>
        <w:t>BMC Neurology,</w:t>
      </w:r>
      <w:r w:rsidRPr="00C95F82">
        <w:rPr>
          <w:noProof/>
        </w:rPr>
        <w:t xml:space="preserve"> 17(1), pp. 68.</w:t>
      </w:r>
    </w:p>
    <w:p w14:paraId="71D2CB82" w14:textId="77777777" w:rsidR="00C95F82" w:rsidRPr="00C95F82" w:rsidRDefault="00C95F82" w:rsidP="00C95F82">
      <w:pPr>
        <w:pStyle w:val="EndNoteBibliography"/>
        <w:spacing w:after="240"/>
        <w:rPr>
          <w:noProof/>
        </w:rPr>
      </w:pPr>
      <w:r w:rsidRPr="00C95F82">
        <w:rPr>
          <w:noProof/>
        </w:rPr>
        <w:t xml:space="preserve">McIntosh, T., Stewart, D., Forbes-McKay, K., McCaig, D. and Cunningham, S. (2016) 'Influences on prescribing decision-making among non-medical prescribers in the United Kingdom: systematic review', </w:t>
      </w:r>
      <w:r w:rsidRPr="00C95F82">
        <w:rPr>
          <w:i/>
          <w:noProof/>
        </w:rPr>
        <w:t>Family Practice,</w:t>
      </w:r>
      <w:r w:rsidRPr="00C95F82">
        <w:rPr>
          <w:noProof/>
        </w:rPr>
        <w:t xml:space="preserve"> 33(6), pp. 572-579.</w:t>
      </w:r>
    </w:p>
    <w:p w14:paraId="37287233" w14:textId="77777777" w:rsidR="00C95F82" w:rsidRPr="00C95F82" w:rsidRDefault="00C95F82" w:rsidP="00C95F82">
      <w:pPr>
        <w:pStyle w:val="EndNoteBibliography"/>
        <w:spacing w:after="240"/>
        <w:rPr>
          <w:noProof/>
        </w:rPr>
      </w:pPr>
      <w:r w:rsidRPr="00C95F82">
        <w:rPr>
          <w:noProof/>
        </w:rPr>
        <w:t xml:space="preserve">McKee, M., Merkur, S., Edwards, N. and Nolte, E. (2020) </w:t>
      </w:r>
      <w:r w:rsidRPr="00C95F82">
        <w:rPr>
          <w:i/>
          <w:noProof/>
        </w:rPr>
        <w:t>The changing role of the hospital in European health systems.</w:t>
      </w:r>
      <w:r w:rsidRPr="00C95F82">
        <w:rPr>
          <w:noProof/>
        </w:rPr>
        <w:t xml:space="preserve"> Cambridge University Press, p. 145-180.</w:t>
      </w:r>
    </w:p>
    <w:p w14:paraId="53D35339" w14:textId="77777777" w:rsidR="00C95F82" w:rsidRPr="00C95F82" w:rsidRDefault="00C95F82" w:rsidP="00C95F82">
      <w:pPr>
        <w:pStyle w:val="EndNoteBibliography"/>
        <w:spacing w:after="240"/>
        <w:rPr>
          <w:noProof/>
        </w:rPr>
      </w:pPr>
      <w:r w:rsidRPr="00C95F82">
        <w:rPr>
          <w:noProof/>
        </w:rPr>
        <w:t xml:space="preserve">McKenzie, J. E. and Brennan, S. E. (2017) 'Overviews of systematic reviews: great promise, greater challenge', </w:t>
      </w:r>
      <w:r w:rsidRPr="00C95F82">
        <w:rPr>
          <w:i/>
          <w:noProof/>
        </w:rPr>
        <w:t>Systematic Reviews,</w:t>
      </w:r>
      <w:r w:rsidRPr="00C95F82">
        <w:rPr>
          <w:noProof/>
        </w:rPr>
        <w:t xml:space="preserve"> 6(1), pp. 185.</w:t>
      </w:r>
    </w:p>
    <w:p w14:paraId="64ACA098" w14:textId="77777777" w:rsidR="00C95F82" w:rsidRPr="00C95F82" w:rsidRDefault="00C95F82" w:rsidP="00C95F82">
      <w:pPr>
        <w:pStyle w:val="EndNoteBibliography"/>
        <w:spacing w:after="240"/>
        <w:rPr>
          <w:noProof/>
        </w:rPr>
      </w:pPr>
      <w:r w:rsidRPr="00C95F82">
        <w:rPr>
          <w:noProof/>
        </w:rPr>
        <w:t xml:space="preserve">McKenzie, J. E. and Brennan, S. E. (2019) 'Synthesizing and presenting findings using other methods',  </w:t>
      </w:r>
      <w:r w:rsidRPr="00C95F82">
        <w:rPr>
          <w:i/>
          <w:noProof/>
        </w:rPr>
        <w:t xml:space="preserve">Cochrane Handbook for Systematic Reviews of Interventions. </w:t>
      </w:r>
      <w:r w:rsidRPr="00C95F82">
        <w:rPr>
          <w:noProof/>
        </w:rPr>
        <w:t>2 ed: John Wiley &amp; Sons, pp. 321-347.</w:t>
      </w:r>
    </w:p>
    <w:p w14:paraId="1DEEDE81" w14:textId="43139160" w:rsidR="00C95F82" w:rsidRPr="00C95F82" w:rsidRDefault="00C95F82" w:rsidP="00C95F82">
      <w:pPr>
        <w:pStyle w:val="EndNoteBibliography"/>
        <w:spacing w:after="240"/>
        <w:rPr>
          <w:noProof/>
        </w:rPr>
      </w:pPr>
      <w:r w:rsidRPr="00C95F82">
        <w:rPr>
          <w:noProof/>
        </w:rPr>
        <w:t xml:space="preserve">Medicines and Healthcare products Regulatory Agency (2014) </w:t>
      </w:r>
      <w:r w:rsidRPr="00C95F82">
        <w:rPr>
          <w:i/>
          <w:noProof/>
        </w:rPr>
        <w:t>Tolvaptan (Samsca</w:t>
      </w:r>
      <w:r w:rsidRPr="00C95F82">
        <w:rPr>
          <w:rFonts w:ascii="Arial" w:hAnsi="Arial" w:cs="Arial"/>
          <w:i/>
          <w:noProof/>
        </w:rPr>
        <w:t>▼</w:t>
      </w:r>
      <w:r w:rsidRPr="00C95F82">
        <w:rPr>
          <w:i/>
          <w:noProof/>
        </w:rPr>
        <w:t>): risk of liver injury</w:t>
      </w:r>
      <w:r w:rsidRPr="00C95F82">
        <w:rPr>
          <w:noProof/>
        </w:rPr>
        <w:t xml:space="preserve">. Available at: </w:t>
      </w:r>
      <w:hyperlink r:id="rId98" w:history="1">
        <w:r w:rsidRPr="00C95F82">
          <w:rPr>
            <w:rStyle w:val="Hyperlink"/>
            <w:noProof/>
          </w:rPr>
          <w:t>https://www.gov.uk/drug-safety-update/tolvaptan-samsca-risk-of-liver-injury.com</w:t>
        </w:r>
      </w:hyperlink>
      <w:r w:rsidRPr="00C95F82">
        <w:rPr>
          <w:noProof/>
        </w:rPr>
        <w:t xml:space="preserve"> (Accessed: 01/04/2026).</w:t>
      </w:r>
    </w:p>
    <w:p w14:paraId="17FC1670" w14:textId="77777777" w:rsidR="00C95F82" w:rsidRPr="00C95F82" w:rsidRDefault="00C95F82" w:rsidP="00C95F82">
      <w:pPr>
        <w:pStyle w:val="EndNoteBibliography"/>
        <w:spacing w:after="240"/>
        <w:rPr>
          <w:noProof/>
        </w:rPr>
      </w:pPr>
      <w:r w:rsidRPr="00C95F82">
        <w:rPr>
          <w:noProof/>
        </w:rPr>
        <w:t xml:space="preserve">Medlinskiene, K., Tomlinson, J., Marques, I., Richardson, S., Stirling, K. and Petty, D. (2021) 'Barriers and facilitators to the uptake of new medicines into clinical practice: a systematic review', </w:t>
      </w:r>
      <w:r w:rsidRPr="00C95F82">
        <w:rPr>
          <w:i/>
          <w:noProof/>
        </w:rPr>
        <w:t>BMC Health Services Research,</w:t>
      </w:r>
      <w:r w:rsidRPr="00C95F82">
        <w:rPr>
          <w:noProof/>
        </w:rPr>
        <w:t xml:space="preserve"> 21(1), pp. 1198.</w:t>
      </w:r>
    </w:p>
    <w:p w14:paraId="11DEEF4A" w14:textId="77777777" w:rsidR="00C95F82" w:rsidRPr="00C95F82" w:rsidRDefault="00C95F82" w:rsidP="00C95F82">
      <w:pPr>
        <w:pStyle w:val="EndNoteBibliography"/>
        <w:spacing w:after="240"/>
        <w:rPr>
          <w:noProof/>
        </w:rPr>
      </w:pPr>
      <w:r w:rsidRPr="00C95F82">
        <w:rPr>
          <w:noProof/>
        </w:rPr>
        <w:t xml:space="preserve">Mekonnen, A. B., Redley, B., de Courten, B. and Manias, E. (2021) 'Potentially inappropriate prescribing and its associations with health‐related and system‐related outcomes in hospitalised older adults: a systematic review and meta‐analysis', </w:t>
      </w:r>
      <w:r w:rsidRPr="00C95F82">
        <w:rPr>
          <w:i/>
          <w:noProof/>
        </w:rPr>
        <w:t>British Journal of Clinical Pharmacology,</w:t>
      </w:r>
      <w:r w:rsidRPr="00C95F82">
        <w:rPr>
          <w:noProof/>
        </w:rPr>
        <w:t xml:space="preserve"> 87(11), pp. 4150-4172.</w:t>
      </w:r>
    </w:p>
    <w:p w14:paraId="6D25E256" w14:textId="77777777" w:rsidR="00C95F82" w:rsidRPr="00C95F82" w:rsidRDefault="00C95F82" w:rsidP="00C95F82">
      <w:pPr>
        <w:pStyle w:val="EndNoteBibliography"/>
        <w:spacing w:after="240"/>
        <w:rPr>
          <w:noProof/>
        </w:rPr>
      </w:pPr>
      <w:r w:rsidRPr="00C95F82">
        <w:rPr>
          <w:noProof/>
        </w:rPr>
        <w:t xml:space="preserve">Melnikova, I. (2012) 'Rare diseases and orphan drugs', </w:t>
      </w:r>
      <w:r w:rsidRPr="00C95F82">
        <w:rPr>
          <w:i/>
          <w:noProof/>
        </w:rPr>
        <w:t>Nature Reviews Drug Discovery,</w:t>
      </w:r>
      <w:r w:rsidRPr="00C95F82">
        <w:rPr>
          <w:noProof/>
        </w:rPr>
        <w:t xml:space="preserve"> 11(4), pp. 267-268.</w:t>
      </w:r>
    </w:p>
    <w:p w14:paraId="618E5E1D" w14:textId="77777777" w:rsidR="00C95F82" w:rsidRPr="00C95F82" w:rsidRDefault="00C95F82" w:rsidP="00C95F82">
      <w:pPr>
        <w:pStyle w:val="EndNoteBibliography"/>
        <w:spacing w:after="240"/>
        <w:rPr>
          <w:noProof/>
        </w:rPr>
      </w:pPr>
      <w:r w:rsidRPr="00C95F82">
        <w:rPr>
          <w:noProof/>
        </w:rPr>
        <w:t xml:space="preserve">Merker, V. L., Plotkin, S. R., Charns, M. P., Meterko, M., Jordan, J. T. and Elwy, A. R. (2021) 'Effective provider-patient communication of a rare disease diagnosis: A qualitative study of people diagnosed with schwannomatosis', </w:t>
      </w:r>
      <w:r w:rsidRPr="00C95F82">
        <w:rPr>
          <w:i/>
          <w:noProof/>
        </w:rPr>
        <w:t>Patient Education and Counseling,</w:t>
      </w:r>
      <w:r w:rsidRPr="00C95F82">
        <w:rPr>
          <w:noProof/>
        </w:rPr>
        <w:t xml:space="preserve"> 104(4), pp. 808-814.</w:t>
      </w:r>
    </w:p>
    <w:p w14:paraId="492DC6E2" w14:textId="77777777" w:rsidR="00C95F82" w:rsidRPr="00C95F82" w:rsidRDefault="00C95F82" w:rsidP="00C95F82">
      <w:pPr>
        <w:pStyle w:val="EndNoteBibliography"/>
        <w:spacing w:after="240"/>
        <w:rPr>
          <w:noProof/>
        </w:rPr>
      </w:pPr>
      <w:r w:rsidRPr="00C95F82">
        <w:rPr>
          <w:noProof/>
        </w:rPr>
        <w:t xml:space="preserve">Mertens, J., Koster, E., Deneer, V., Bouvy, M. and Van Gelder, T. (2023) 'Factors influencing pharmacists’ clinical decision making in pharmacy practice', </w:t>
      </w:r>
      <w:r w:rsidRPr="00C95F82">
        <w:rPr>
          <w:i/>
          <w:noProof/>
        </w:rPr>
        <w:t>Research in Social and Administrative Pharmacy,</w:t>
      </w:r>
      <w:r w:rsidRPr="00C95F82">
        <w:rPr>
          <w:noProof/>
        </w:rPr>
        <w:t xml:space="preserve"> 19(9), pp. 1267-1277.</w:t>
      </w:r>
    </w:p>
    <w:p w14:paraId="5079E840" w14:textId="77777777" w:rsidR="00C95F82" w:rsidRPr="00C95F82" w:rsidRDefault="00C95F82" w:rsidP="00C95F82">
      <w:pPr>
        <w:pStyle w:val="EndNoteBibliography"/>
        <w:spacing w:after="240"/>
        <w:rPr>
          <w:noProof/>
        </w:rPr>
      </w:pPr>
      <w:r w:rsidRPr="00C95F82">
        <w:rPr>
          <w:noProof/>
        </w:rPr>
        <w:t xml:space="preserve">Mestre-Ferrandiz, J., Palaska, C., Kelly, T., Hutchings, A. and Parnaby, A. (2019) 'An analysis of orphan medicine expenditure in Europe: is it sustainable?', </w:t>
      </w:r>
      <w:r w:rsidRPr="00C95F82">
        <w:rPr>
          <w:i/>
          <w:noProof/>
        </w:rPr>
        <w:t>Orphanet Journal of Rare Diseases,</w:t>
      </w:r>
      <w:r w:rsidRPr="00C95F82">
        <w:rPr>
          <w:noProof/>
        </w:rPr>
        <w:t xml:space="preserve"> 14(1), pp. 287.</w:t>
      </w:r>
    </w:p>
    <w:p w14:paraId="658CEA2C" w14:textId="77777777" w:rsidR="00C95F82" w:rsidRPr="00C95F82" w:rsidRDefault="00C95F82" w:rsidP="00C95F82">
      <w:pPr>
        <w:pStyle w:val="EndNoteBibliography"/>
        <w:spacing w:after="240"/>
        <w:rPr>
          <w:noProof/>
        </w:rPr>
      </w:pPr>
      <w:r w:rsidRPr="00C95F82">
        <w:rPr>
          <w:noProof/>
        </w:rPr>
        <w:t xml:space="preserve">Meyer, V. M., Benjamens, S., El Moumni, M., Lange, J. F. and Pol, R. A. (2022) 'Global overview of response rates in patient and health care professional surveys in surgery: a systematic review', </w:t>
      </w:r>
      <w:r w:rsidRPr="00C95F82">
        <w:rPr>
          <w:i/>
          <w:noProof/>
        </w:rPr>
        <w:t>Annals of Surgery,</w:t>
      </w:r>
      <w:r w:rsidRPr="00C95F82">
        <w:rPr>
          <w:noProof/>
        </w:rPr>
        <w:t xml:space="preserve"> 275(1), pp. e75-e81.</w:t>
      </w:r>
    </w:p>
    <w:p w14:paraId="3065006F" w14:textId="77777777" w:rsidR="00C95F82" w:rsidRPr="00C95F82" w:rsidRDefault="00C95F82" w:rsidP="00C95F82">
      <w:pPr>
        <w:pStyle w:val="EndNoteBibliography"/>
        <w:spacing w:after="240"/>
        <w:rPr>
          <w:noProof/>
        </w:rPr>
      </w:pPr>
      <w:r w:rsidRPr="00C95F82">
        <w:rPr>
          <w:noProof/>
        </w:rPr>
        <w:t xml:space="preserve">Michie, S., Van Stralen, M. M. and West, R. (2011) 'The behaviour change wheel: a new method for characterising and designing behaviour change interventions', </w:t>
      </w:r>
      <w:r w:rsidRPr="00C95F82">
        <w:rPr>
          <w:i/>
          <w:noProof/>
        </w:rPr>
        <w:t>Implementation Science,</w:t>
      </w:r>
      <w:r w:rsidRPr="00C95F82">
        <w:rPr>
          <w:noProof/>
        </w:rPr>
        <w:t xml:space="preserve"> 6(1), pp. 42.</w:t>
      </w:r>
    </w:p>
    <w:p w14:paraId="1A61AB46" w14:textId="77777777" w:rsidR="00C95F82" w:rsidRPr="00C95F82" w:rsidRDefault="00C95F82" w:rsidP="00C95F82">
      <w:pPr>
        <w:pStyle w:val="EndNoteBibliography"/>
        <w:spacing w:after="240"/>
        <w:rPr>
          <w:noProof/>
        </w:rPr>
      </w:pPr>
      <w:r w:rsidRPr="00C95F82">
        <w:rPr>
          <w:noProof/>
        </w:rPr>
        <w:t xml:space="preserve">Mills, K. T., Stefanescu, A. and He, J. (2020) 'The global epidemiology of hypertension', </w:t>
      </w:r>
      <w:r w:rsidRPr="00C95F82">
        <w:rPr>
          <w:i/>
          <w:noProof/>
        </w:rPr>
        <w:t>Nature Reviews Nephrology,</w:t>
      </w:r>
      <w:r w:rsidRPr="00C95F82">
        <w:rPr>
          <w:noProof/>
        </w:rPr>
        <w:t xml:space="preserve"> 16(4), pp. 223-237.</w:t>
      </w:r>
    </w:p>
    <w:p w14:paraId="4A0E5A1A" w14:textId="77777777" w:rsidR="00C95F82" w:rsidRPr="00C95F82" w:rsidRDefault="00C95F82" w:rsidP="00C95F82">
      <w:pPr>
        <w:pStyle w:val="EndNoteBibliography"/>
        <w:spacing w:after="240"/>
        <w:rPr>
          <w:noProof/>
        </w:rPr>
      </w:pPr>
      <w:r w:rsidRPr="00C95F82">
        <w:rPr>
          <w:noProof/>
        </w:rPr>
        <w:t xml:space="preserve">Milman, T., Joundi, R. A., Alotaibi, N. M. and Saposnik, G. (2018) 'Clinical inertia in the pharmacological management of hypertension: A systematic review and meta-analysis', </w:t>
      </w:r>
      <w:r w:rsidRPr="00C95F82">
        <w:rPr>
          <w:i/>
          <w:noProof/>
        </w:rPr>
        <w:t>Medicine,</w:t>
      </w:r>
      <w:r w:rsidRPr="00C95F82">
        <w:rPr>
          <w:noProof/>
        </w:rPr>
        <w:t xml:space="preserve"> 97(25), pp. e11121.</w:t>
      </w:r>
    </w:p>
    <w:p w14:paraId="798C9F77" w14:textId="77777777" w:rsidR="00C95F82" w:rsidRPr="00C95F82" w:rsidRDefault="00C95F82" w:rsidP="00C95F82">
      <w:pPr>
        <w:pStyle w:val="EndNoteBibliography"/>
        <w:spacing w:after="240"/>
        <w:rPr>
          <w:noProof/>
        </w:rPr>
      </w:pPr>
      <w:r w:rsidRPr="00C95F82">
        <w:rPr>
          <w:noProof/>
        </w:rPr>
        <w:t xml:space="preserve">Mladsi, D., Zhou, X., Mader, G., Sanon, M., Wang, J., Barnett, C., Willey, C. and Seliger, S. (2024) 'Mortality risk in patients with autosomal dominant polycystic kidney disease', </w:t>
      </w:r>
      <w:r w:rsidRPr="00C95F82">
        <w:rPr>
          <w:i/>
          <w:noProof/>
        </w:rPr>
        <w:t>BMC Nephrology,</w:t>
      </w:r>
      <w:r w:rsidRPr="00C95F82">
        <w:rPr>
          <w:noProof/>
        </w:rPr>
        <w:t xml:space="preserve"> 25(1), pp. 56.</w:t>
      </w:r>
    </w:p>
    <w:p w14:paraId="63BDC22A" w14:textId="77777777" w:rsidR="00C95F82" w:rsidRPr="00C95F82" w:rsidRDefault="00C95F82" w:rsidP="00C95F82">
      <w:pPr>
        <w:pStyle w:val="EndNoteBibliography"/>
        <w:spacing w:after="240"/>
        <w:rPr>
          <w:noProof/>
        </w:rPr>
      </w:pPr>
      <w:r w:rsidRPr="00C95F82">
        <w:rPr>
          <w:noProof/>
        </w:rPr>
        <w:t xml:space="preserve">Molster, C., Urwin, D., Di Pietro, L., Fookes, M., Petrie, D., Van Der Laan, S. and Dawkins, H. (2016) 'Survey of healthcare experiences of Australian adults living with rare diseases', </w:t>
      </w:r>
      <w:r w:rsidRPr="00C95F82">
        <w:rPr>
          <w:i/>
          <w:noProof/>
        </w:rPr>
        <w:t>Orphanet Journal of Rare Diseases,</w:t>
      </w:r>
      <w:r w:rsidRPr="00C95F82">
        <w:rPr>
          <w:noProof/>
        </w:rPr>
        <w:t xml:space="preserve"> 11(1), pp. 1-12.</w:t>
      </w:r>
    </w:p>
    <w:p w14:paraId="3D64AFE5" w14:textId="77777777" w:rsidR="00C95F82" w:rsidRPr="00C95F82" w:rsidRDefault="00C95F82" w:rsidP="00C95F82">
      <w:pPr>
        <w:pStyle w:val="EndNoteBibliography"/>
        <w:spacing w:after="240"/>
        <w:rPr>
          <w:noProof/>
        </w:rPr>
      </w:pPr>
      <w:r w:rsidRPr="00C95F82">
        <w:rPr>
          <w:noProof/>
        </w:rPr>
        <w:t xml:space="preserve">Morris, S., Hudson, E., Bloom, L., Chitty, L. S., Fulop, N. J., Hunter, A., Jones, J., Kai, J., Kerecuk, L. and Kokocinska, M. (2022) 'Co-ordinated care for people affected by rare diseases: the CONCORD mixed-methods study', </w:t>
      </w:r>
      <w:r w:rsidRPr="00C95F82">
        <w:rPr>
          <w:i/>
          <w:noProof/>
        </w:rPr>
        <w:t>Health and Social Care Delivery Research,</w:t>
      </w:r>
      <w:r w:rsidRPr="00C95F82">
        <w:rPr>
          <w:noProof/>
        </w:rPr>
        <w:t xml:space="preserve"> 10(5), pp. 1-220.</w:t>
      </w:r>
    </w:p>
    <w:p w14:paraId="1770F7F5" w14:textId="77777777" w:rsidR="00C95F82" w:rsidRPr="00C95F82" w:rsidRDefault="00C95F82" w:rsidP="00C95F82">
      <w:pPr>
        <w:pStyle w:val="EndNoteBibliography"/>
        <w:spacing w:after="240"/>
        <w:rPr>
          <w:noProof/>
        </w:rPr>
      </w:pPr>
      <w:r w:rsidRPr="00C95F82">
        <w:rPr>
          <w:noProof/>
        </w:rPr>
        <w:t xml:space="preserve">Moser, A. and Korstjens, I. (2018) 'Series: Practical guidance to qualitative research. Part 3: Sampling, data collection and analysis', </w:t>
      </w:r>
      <w:r w:rsidRPr="00C95F82">
        <w:rPr>
          <w:i/>
          <w:noProof/>
        </w:rPr>
        <w:t>European Journal of General Practice,</w:t>
      </w:r>
      <w:r w:rsidRPr="00C95F82">
        <w:rPr>
          <w:noProof/>
        </w:rPr>
        <w:t xml:space="preserve"> 24(1), pp. 9-18.</w:t>
      </w:r>
    </w:p>
    <w:p w14:paraId="6459D05D" w14:textId="77777777" w:rsidR="00C95F82" w:rsidRPr="00C95F82" w:rsidRDefault="00C95F82" w:rsidP="00C95F82">
      <w:pPr>
        <w:pStyle w:val="EndNoteBibliography"/>
        <w:spacing w:after="240"/>
        <w:rPr>
          <w:noProof/>
        </w:rPr>
      </w:pPr>
      <w:r w:rsidRPr="00C95F82">
        <w:rPr>
          <w:noProof/>
        </w:rPr>
        <w:t xml:space="preserve">Moxey, A., O’Connell, D., McGettigan, P. and Henry, D. (2003) 'Describing treatment effects to patients: How they are expressed makes a difference', </w:t>
      </w:r>
      <w:r w:rsidRPr="00C95F82">
        <w:rPr>
          <w:i/>
          <w:noProof/>
        </w:rPr>
        <w:t>Journal of General Internal Medicine,</w:t>
      </w:r>
      <w:r w:rsidRPr="00C95F82">
        <w:rPr>
          <w:noProof/>
        </w:rPr>
        <w:t xml:space="preserve"> 18(11), pp. 948-959.</w:t>
      </w:r>
    </w:p>
    <w:p w14:paraId="37B7BA69" w14:textId="77777777" w:rsidR="00C95F82" w:rsidRPr="00C95F82" w:rsidRDefault="00C95F82" w:rsidP="00C95F82">
      <w:pPr>
        <w:pStyle w:val="EndNoteBibliography"/>
        <w:spacing w:after="240"/>
        <w:rPr>
          <w:noProof/>
        </w:rPr>
      </w:pPr>
      <w:r w:rsidRPr="00C95F82">
        <w:rPr>
          <w:noProof/>
        </w:rPr>
        <w:t xml:space="preserve">Müller, R. U., Messchendorp, A. L., Birn, H., Capasso, G., Cornec-Le Gall, E., Devuyst, O., van Eerde, A., Guirchoun, P., Harris, T., Hoorn, E. J., Knoers, N., Korst, U., Mekahli, D., Le Meur, Y., Nijenhuis, T., Ong, A. C. M., Sayer, J. A., Schaefer, F., Servais, A., Tesar, V., Torra, R., Walsh, S. B. and Gansevoort, R. T. (2022) 'An update on the use of tolvaptan for autosomal dominant polycystic kidney disease: consensus statement on behalf of the ERA Working Group on Inherited Kidney Disorders, the European Rare Kidney Disease Reference Network and Polycystic Kidney Disease International', </w:t>
      </w:r>
      <w:r w:rsidRPr="00C95F82">
        <w:rPr>
          <w:i/>
          <w:noProof/>
        </w:rPr>
        <w:t>Nephrology Dialysis Transplantation,</w:t>
      </w:r>
      <w:r w:rsidRPr="00C95F82">
        <w:rPr>
          <w:noProof/>
        </w:rPr>
        <w:t xml:space="preserve"> 37(5), pp. 825-839.</w:t>
      </w:r>
    </w:p>
    <w:p w14:paraId="5C45C038" w14:textId="77777777" w:rsidR="00C95F82" w:rsidRPr="00C95F82" w:rsidRDefault="00C95F82" w:rsidP="00C95F82">
      <w:pPr>
        <w:pStyle w:val="EndNoteBibliography"/>
        <w:spacing w:after="240"/>
        <w:rPr>
          <w:noProof/>
        </w:rPr>
      </w:pPr>
      <w:r w:rsidRPr="00C95F82">
        <w:rPr>
          <w:noProof/>
        </w:rPr>
        <w:t xml:space="preserve">Mulley, A. G. (2010) 'Improving productivity in the NHS', </w:t>
      </w:r>
      <w:r w:rsidRPr="00C95F82">
        <w:rPr>
          <w:i/>
          <w:noProof/>
        </w:rPr>
        <w:t>BMJ,</w:t>
      </w:r>
      <w:r w:rsidRPr="00C95F82">
        <w:rPr>
          <w:noProof/>
        </w:rPr>
        <w:t xml:space="preserve"> 341, pp. c3965.</w:t>
      </w:r>
    </w:p>
    <w:p w14:paraId="0E325770" w14:textId="77777777" w:rsidR="00C95F82" w:rsidRPr="00C95F82" w:rsidRDefault="00C95F82" w:rsidP="00C95F82">
      <w:pPr>
        <w:pStyle w:val="EndNoteBibliography"/>
        <w:spacing w:after="240"/>
        <w:rPr>
          <w:noProof/>
        </w:rPr>
      </w:pPr>
      <w:r w:rsidRPr="00C95F82">
        <w:rPr>
          <w:noProof/>
        </w:rPr>
        <w:t xml:space="preserve">Murshid, M. A. and Mohaidin, Z. (2017) 'Models and theories of prescribing decisions: A review and suggested a new model', </w:t>
      </w:r>
      <w:r w:rsidRPr="00C95F82">
        <w:rPr>
          <w:i/>
          <w:noProof/>
        </w:rPr>
        <w:t>Pharmacy Practice,</w:t>
      </w:r>
      <w:r w:rsidRPr="00C95F82">
        <w:rPr>
          <w:noProof/>
        </w:rPr>
        <w:t xml:space="preserve"> 15(2), pp. 990.</w:t>
      </w:r>
    </w:p>
    <w:p w14:paraId="790D3913" w14:textId="77777777" w:rsidR="00C95F82" w:rsidRPr="00C95F82" w:rsidRDefault="00C95F82" w:rsidP="00C95F82">
      <w:pPr>
        <w:pStyle w:val="EndNoteBibliography"/>
        <w:spacing w:after="240"/>
        <w:rPr>
          <w:noProof/>
        </w:rPr>
      </w:pPr>
      <w:r w:rsidRPr="00C95F82">
        <w:rPr>
          <w:noProof/>
        </w:rPr>
        <w:t xml:space="preserve">Nadler, E., Vasudevan, A., Wang, Y. and Ogale, S. (2022) 'Real-world patterns of biomarker testing and targeted therapy in de novo metastatic non-small cell lung cancer patients in the US oncology network', </w:t>
      </w:r>
      <w:r w:rsidRPr="00C95F82">
        <w:rPr>
          <w:i/>
          <w:noProof/>
        </w:rPr>
        <w:t>Cancer Treatment and Research Communications,</w:t>
      </w:r>
      <w:r w:rsidRPr="00C95F82">
        <w:rPr>
          <w:noProof/>
        </w:rPr>
        <w:t xml:space="preserve"> 31, pp. 100522.</w:t>
      </w:r>
    </w:p>
    <w:p w14:paraId="5819C511" w14:textId="77777777" w:rsidR="00C95F82" w:rsidRPr="00C95F82" w:rsidRDefault="00C95F82" w:rsidP="00C95F82">
      <w:pPr>
        <w:pStyle w:val="EndNoteBibliography"/>
        <w:spacing w:after="240"/>
        <w:rPr>
          <w:noProof/>
        </w:rPr>
      </w:pPr>
      <w:r w:rsidRPr="00C95F82">
        <w:rPr>
          <w:noProof/>
        </w:rPr>
        <w:t xml:space="preserve">Naranjo, J., Borrego, F., Rocha, J. L., Salgueira, M., Martín-Gomez, M. A., Orellana, C., Morales, A., Vallejo, F., Hidalgo, P. and Rodríguez, F. (2022) 'Real clinical experience after one year of treatment with tolvaptan in patients with autosomal dominant polycystic kidney disease', </w:t>
      </w:r>
      <w:r w:rsidRPr="00C95F82">
        <w:rPr>
          <w:i/>
          <w:noProof/>
        </w:rPr>
        <w:t>Frontiers in Medicine,</w:t>
      </w:r>
      <w:r w:rsidRPr="00C95F82">
        <w:rPr>
          <w:noProof/>
        </w:rPr>
        <w:t xml:space="preserve"> 9, pp. 987092.</w:t>
      </w:r>
    </w:p>
    <w:p w14:paraId="57AE8C9C" w14:textId="77777777" w:rsidR="00C95F82" w:rsidRPr="00C95F82" w:rsidRDefault="00C95F82" w:rsidP="00C95F82">
      <w:pPr>
        <w:pStyle w:val="EndNoteBibliography"/>
        <w:spacing w:after="240"/>
        <w:rPr>
          <w:noProof/>
        </w:rPr>
      </w:pPr>
      <w:r w:rsidRPr="00C95F82">
        <w:rPr>
          <w:noProof/>
        </w:rPr>
        <w:t xml:space="preserve">National Academies of Sciences, E. a. M. (2017) </w:t>
      </w:r>
      <w:r w:rsidRPr="00C95F82">
        <w:rPr>
          <w:i/>
          <w:noProof/>
        </w:rPr>
        <w:t>Communicating Clearly about Medicines: Proceedings of a Workshop.</w:t>
      </w:r>
      <w:r w:rsidRPr="00C95F82">
        <w:rPr>
          <w:noProof/>
        </w:rPr>
        <w:t xml:space="preserve"> National Academies Press, p. 1-124.</w:t>
      </w:r>
    </w:p>
    <w:p w14:paraId="00CC1716" w14:textId="620219CA" w:rsidR="00C95F82" w:rsidRPr="00C95F82" w:rsidRDefault="00C95F82" w:rsidP="00C95F82">
      <w:pPr>
        <w:pStyle w:val="EndNoteBibliography"/>
        <w:spacing w:after="240"/>
        <w:rPr>
          <w:noProof/>
        </w:rPr>
      </w:pPr>
      <w:r w:rsidRPr="00C95F82">
        <w:rPr>
          <w:noProof/>
        </w:rPr>
        <w:t xml:space="preserve">National Center for Chronic Disease Prevention and Health Promotion (2023) </w:t>
      </w:r>
      <w:r w:rsidRPr="00C95F82">
        <w:rPr>
          <w:i/>
          <w:noProof/>
        </w:rPr>
        <w:t>About Chronic Diseases</w:t>
      </w:r>
      <w:r w:rsidRPr="00C95F82">
        <w:rPr>
          <w:noProof/>
        </w:rPr>
        <w:t xml:space="preserve">. Available at: </w:t>
      </w:r>
      <w:hyperlink r:id="rId99" w:history="1">
        <w:r w:rsidRPr="00C95F82">
          <w:rPr>
            <w:rStyle w:val="Hyperlink"/>
            <w:noProof/>
          </w:rPr>
          <w:t>https://www.cdc.gov/chronicdisease/about/index.htm</w:t>
        </w:r>
      </w:hyperlink>
      <w:r w:rsidRPr="00C95F82">
        <w:rPr>
          <w:noProof/>
        </w:rPr>
        <w:t xml:space="preserve"> (Accessed: 10/11/2023).</w:t>
      </w:r>
    </w:p>
    <w:p w14:paraId="0F74948C" w14:textId="5B668633" w:rsidR="00C95F82" w:rsidRPr="00C95F82" w:rsidRDefault="00C95F82" w:rsidP="00C95F82">
      <w:pPr>
        <w:pStyle w:val="EndNoteBibliography"/>
        <w:spacing w:after="240"/>
        <w:rPr>
          <w:noProof/>
        </w:rPr>
      </w:pPr>
      <w:r w:rsidRPr="00C95F82">
        <w:rPr>
          <w:noProof/>
        </w:rPr>
        <w:t xml:space="preserve">National Institute for Health and Care Excellence (2012) </w:t>
      </w:r>
      <w:r w:rsidRPr="00C95F82">
        <w:rPr>
          <w:i/>
          <w:noProof/>
        </w:rPr>
        <w:t>The guidelines manual - Process and methods</w:t>
      </w:r>
      <w:r w:rsidRPr="00C95F82">
        <w:rPr>
          <w:noProof/>
        </w:rPr>
        <w:t xml:space="preserve">. Available at: </w:t>
      </w:r>
      <w:hyperlink r:id="rId100" w:history="1">
        <w:r w:rsidRPr="00C95F82">
          <w:rPr>
            <w:rStyle w:val="Hyperlink"/>
            <w:noProof/>
          </w:rPr>
          <w:t>www.nice.org.uk/process/pmg6</w:t>
        </w:r>
      </w:hyperlink>
      <w:r w:rsidRPr="00C95F82">
        <w:rPr>
          <w:noProof/>
        </w:rPr>
        <w:t xml:space="preserve"> (Accessed: 26/04/2026).</w:t>
      </w:r>
    </w:p>
    <w:p w14:paraId="550159AE" w14:textId="70B641E3" w:rsidR="00C95F82" w:rsidRPr="00C95F82" w:rsidRDefault="00C95F82" w:rsidP="00C95F82">
      <w:pPr>
        <w:pStyle w:val="EndNoteBibliography"/>
        <w:spacing w:after="240"/>
        <w:rPr>
          <w:noProof/>
        </w:rPr>
      </w:pPr>
      <w:r w:rsidRPr="00C95F82">
        <w:rPr>
          <w:noProof/>
        </w:rPr>
        <w:t xml:space="preserve">National Institute for Health and Care Excellence (2015a) </w:t>
      </w:r>
      <w:r w:rsidRPr="00C95F82">
        <w:rPr>
          <w:i/>
          <w:noProof/>
        </w:rPr>
        <w:t>Medicines optimisation: the safe and effective use of medicines to enable the best possible outcomes</w:t>
      </w:r>
      <w:r w:rsidRPr="00C95F82">
        <w:rPr>
          <w:noProof/>
        </w:rPr>
        <w:t xml:space="preserve">. Available at: </w:t>
      </w:r>
      <w:hyperlink r:id="rId101" w:history="1">
        <w:r w:rsidRPr="00C95F82">
          <w:rPr>
            <w:rStyle w:val="Hyperlink"/>
            <w:noProof/>
          </w:rPr>
          <w:t>www.nice.org.uk/guidance/ng5</w:t>
        </w:r>
      </w:hyperlink>
      <w:r w:rsidRPr="00C95F82">
        <w:rPr>
          <w:noProof/>
        </w:rPr>
        <w:t xml:space="preserve"> (Accessed: 26/04/2026).</w:t>
      </w:r>
    </w:p>
    <w:p w14:paraId="61CD9374" w14:textId="40E5F654" w:rsidR="00C95F82" w:rsidRPr="00C95F82" w:rsidRDefault="00C95F82" w:rsidP="00C95F82">
      <w:pPr>
        <w:pStyle w:val="EndNoteBibliography"/>
        <w:spacing w:after="240"/>
        <w:rPr>
          <w:noProof/>
        </w:rPr>
      </w:pPr>
      <w:r w:rsidRPr="00C95F82">
        <w:rPr>
          <w:noProof/>
        </w:rPr>
        <w:t xml:space="preserve">National Institute for Health and Care Excellence (2015b) </w:t>
      </w:r>
      <w:r w:rsidRPr="00C95F82">
        <w:rPr>
          <w:i/>
          <w:noProof/>
        </w:rPr>
        <w:t>Tolvaptan for treating autosomal dominant polycystic kidney disease (TA358)</w:t>
      </w:r>
      <w:r w:rsidRPr="00C95F82">
        <w:rPr>
          <w:noProof/>
        </w:rPr>
        <w:t xml:space="preserve">. Available at: </w:t>
      </w:r>
      <w:hyperlink r:id="rId102" w:history="1">
        <w:r w:rsidRPr="00C95F82">
          <w:rPr>
            <w:rStyle w:val="Hyperlink"/>
            <w:noProof/>
          </w:rPr>
          <w:t>https://www.nice.org.uk/guidance/ta358/chapter/3-The-companys-submission</w:t>
        </w:r>
      </w:hyperlink>
      <w:r w:rsidRPr="00C95F82">
        <w:rPr>
          <w:noProof/>
        </w:rPr>
        <w:t xml:space="preserve"> (Accessed: 03/09/2025).</w:t>
      </w:r>
    </w:p>
    <w:p w14:paraId="629434B2" w14:textId="3E81FAEF" w:rsidR="00C95F82" w:rsidRPr="00C95F82" w:rsidRDefault="00C95F82" w:rsidP="00C95F82">
      <w:pPr>
        <w:pStyle w:val="EndNoteBibliography"/>
        <w:spacing w:after="240"/>
        <w:rPr>
          <w:noProof/>
        </w:rPr>
      </w:pPr>
      <w:r w:rsidRPr="00C95F82">
        <w:rPr>
          <w:noProof/>
        </w:rPr>
        <w:t xml:space="preserve">National Institute for Health and Care Excellence (2019) </w:t>
      </w:r>
      <w:r w:rsidRPr="00C95F82">
        <w:rPr>
          <w:i/>
          <w:noProof/>
        </w:rPr>
        <w:t>Nusinersen for treating spinal muscular atrophy</w:t>
      </w:r>
      <w:r w:rsidRPr="00C95F82">
        <w:rPr>
          <w:noProof/>
        </w:rPr>
        <w:t xml:space="preserve">. Available at: </w:t>
      </w:r>
      <w:hyperlink r:id="rId103" w:history="1">
        <w:r w:rsidRPr="00C95F82">
          <w:rPr>
            <w:rStyle w:val="Hyperlink"/>
            <w:noProof/>
          </w:rPr>
          <w:t>https://www.nice.org.uk/guidance/ta588</w:t>
        </w:r>
      </w:hyperlink>
      <w:r w:rsidRPr="00C95F82">
        <w:rPr>
          <w:noProof/>
        </w:rPr>
        <w:t xml:space="preserve"> (Accessed: 19/04/2026).</w:t>
      </w:r>
    </w:p>
    <w:p w14:paraId="191EFCE0" w14:textId="332D542F" w:rsidR="00C95F82" w:rsidRPr="00C95F82" w:rsidRDefault="00C95F82" w:rsidP="00C95F82">
      <w:pPr>
        <w:pStyle w:val="EndNoteBibliography"/>
        <w:spacing w:after="240"/>
        <w:rPr>
          <w:noProof/>
        </w:rPr>
      </w:pPr>
      <w:r w:rsidRPr="00C95F82">
        <w:rPr>
          <w:noProof/>
        </w:rPr>
        <w:t xml:space="preserve">National Institute for Health and Care Excellence (2022) </w:t>
      </w:r>
      <w:r w:rsidRPr="00C95F82">
        <w:rPr>
          <w:i/>
          <w:noProof/>
        </w:rPr>
        <w:t>NICE real-world evidence framework</w:t>
      </w:r>
      <w:r w:rsidRPr="00C95F82">
        <w:rPr>
          <w:noProof/>
        </w:rPr>
        <w:t xml:space="preserve">. Available at: </w:t>
      </w:r>
      <w:hyperlink r:id="rId104" w:history="1">
        <w:r w:rsidRPr="00C95F82">
          <w:rPr>
            <w:rStyle w:val="Hyperlink"/>
            <w:noProof/>
          </w:rPr>
          <w:t>https://www.nice.org.uk/corporate/ecd9/chapter/introduction-to-real-world-evidence-in-nice-decision-making</w:t>
        </w:r>
      </w:hyperlink>
      <w:r w:rsidRPr="00C95F82">
        <w:rPr>
          <w:noProof/>
        </w:rPr>
        <w:t xml:space="preserve"> (Accessed: 26/04/2026).</w:t>
      </w:r>
    </w:p>
    <w:p w14:paraId="78C43239" w14:textId="03C18399" w:rsidR="00C95F82" w:rsidRPr="00C95F82" w:rsidRDefault="00C95F82" w:rsidP="00C95F82">
      <w:pPr>
        <w:pStyle w:val="EndNoteBibliography"/>
        <w:spacing w:after="240"/>
        <w:rPr>
          <w:noProof/>
        </w:rPr>
      </w:pPr>
      <w:r w:rsidRPr="00C95F82">
        <w:rPr>
          <w:noProof/>
        </w:rPr>
        <w:t xml:space="preserve">National Institute for Health and Care Excellence (2023) </w:t>
      </w:r>
      <w:r w:rsidRPr="00C95F82">
        <w:rPr>
          <w:i/>
          <w:noProof/>
        </w:rPr>
        <w:t>Technology Appraisal Guidance</w:t>
      </w:r>
      <w:r w:rsidRPr="00C95F82">
        <w:rPr>
          <w:noProof/>
        </w:rPr>
        <w:t xml:space="preserve">. Available at: </w:t>
      </w:r>
      <w:hyperlink r:id="rId105" w:history="1">
        <w:r w:rsidRPr="00C95F82">
          <w:rPr>
            <w:rStyle w:val="Hyperlink"/>
            <w:noProof/>
          </w:rPr>
          <w:t>https://www.nice.org.uk/about/what-we-do/our-programmes/nice-guidance/nice-technology-appraisal-guidance</w:t>
        </w:r>
      </w:hyperlink>
      <w:r w:rsidRPr="00C95F82">
        <w:rPr>
          <w:noProof/>
        </w:rPr>
        <w:t xml:space="preserve"> (Accessed: 22/03/2025).</w:t>
      </w:r>
    </w:p>
    <w:p w14:paraId="073DB490" w14:textId="7472BE5D" w:rsidR="00C95F82" w:rsidRPr="00C95F82" w:rsidRDefault="00C95F82" w:rsidP="00C95F82">
      <w:pPr>
        <w:pStyle w:val="EndNoteBibliography"/>
        <w:spacing w:after="240"/>
        <w:rPr>
          <w:noProof/>
        </w:rPr>
      </w:pPr>
      <w:r w:rsidRPr="00C95F82">
        <w:rPr>
          <w:noProof/>
        </w:rPr>
        <w:t xml:space="preserve">National Institute for Health and Care Excellence (2026) </w:t>
      </w:r>
      <w:r w:rsidRPr="00C95F82">
        <w:rPr>
          <w:i/>
          <w:noProof/>
        </w:rPr>
        <w:t>Changes to NICE’s cost-effectiveness thresholds</w:t>
      </w:r>
      <w:r w:rsidRPr="00C95F82">
        <w:rPr>
          <w:noProof/>
        </w:rPr>
        <w:t xml:space="preserve">. Available at: </w:t>
      </w:r>
      <w:hyperlink r:id="rId106" w:history="1">
        <w:r w:rsidRPr="00C95F82">
          <w:rPr>
            <w:rStyle w:val="Hyperlink"/>
            <w:noProof/>
          </w:rPr>
          <w:t>https://www.nice.org.uk/what-nice-does/faqs/changes-to-nice-s-cost-effectiveness-thresholds</w:t>
        </w:r>
      </w:hyperlink>
      <w:r w:rsidRPr="00C95F82">
        <w:rPr>
          <w:noProof/>
        </w:rPr>
        <w:t xml:space="preserve"> (Accessed: 09/05/2026).</w:t>
      </w:r>
    </w:p>
    <w:p w14:paraId="2D5592D2" w14:textId="77271D9F" w:rsidR="00C95F82" w:rsidRPr="00C95F82" w:rsidRDefault="00C95F82" w:rsidP="00C95F82">
      <w:pPr>
        <w:pStyle w:val="EndNoteBibliography"/>
        <w:spacing w:after="240"/>
        <w:rPr>
          <w:noProof/>
        </w:rPr>
      </w:pPr>
      <w:r w:rsidRPr="00C95F82">
        <w:rPr>
          <w:noProof/>
        </w:rPr>
        <w:t xml:space="preserve">National Institute for Health and Care Research (2024) </w:t>
      </w:r>
      <w:r w:rsidRPr="00C95F82">
        <w:rPr>
          <w:i/>
          <w:noProof/>
        </w:rPr>
        <w:t>Public involvement in research</w:t>
      </w:r>
      <w:r w:rsidRPr="00C95F82">
        <w:rPr>
          <w:noProof/>
        </w:rPr>
        <w:t xml:space="preserve">. Available at: </w:t>
      </w:r>
      <w:hyperlink r:id="rId107" w:history="1">
        <w:r w:rsidRPr="00C95F82">
          <w:rPr>
            <w:rStyle w:val="Hyperlink"/>
            <w:noProof/>
          </w:rPr>
          <w:t>https://www.nihr.ac.uk/get-involved/public-involvement</w:t>
        </w:r>
      </w:hyperlink>
      <w:r w:rsidRPr="00C95F82">
        <w:rPr>
          <w:noProof/>
        </w:rPr>
        <w:t xml:space="preserve"> (Accessed: 07/04/2026).</w:t>
      </w:r>
    </w:p>
    <w:p w14:paraId="32382E71" w14:textId="77777777" w:rsidR="00C95F82" w:rsidRPr="00C95F82" w:rsidRDefault="00C95F82" w:rsidP="00C95F82">
      <w:pPr>
        <w:pStyle w:val="EndNoteBibliography"/>
        <w:spacing w:after="240"/>
        <w:rPr>
          <w:noProof/>
        </w:rPr>
      </w:pPr>
      <w:r w:rsidRPr="00C95F82">
        <w:rPr>
          <w:noProof/>
        </w:rPr>
        <w:t xml:space="preserve">Nelson, E. C., Batalden, P. B. and Godfrey, M. M. (2011) </w:t>
      </w:r>
      <w:r w:rsidRPr="00C95F82">
        <w:rPr>
          <w:i/>
          <w:noProof/>
        </w:rPr>
        <w:t>Quality by design: a clinical microsystems approach.</w:t>
      </w:r>
      <w:r w:rsidRPr="00C95F82">
        <w:rPr>
          <w:noProof/>
        </w:rPr>
        <w:t xml:space="preserve"> Hoboken, New Jersey, USA: John Wiley &amp; Sons, p. 1-506.</w:t>
      </w:r>
    </w:p>
    <w:p w14:paraId="395B2E31" w14:textId="77777777" w:rsidR="00C95F82" w:rsidRPr="00C95F82" w:rsidRDefault="00C95F82" w:rsidP="00C95F82">
      <w:pPr>
        <w:pStyle w:val="EndNoteBibliography"/>
        <w:spacing w:after="240"/>
        <w:rPr>
          <w:noProof/>
        </w:rPr>
      </w:pPr>
      <w:r w:rsidRPr="00C95F82">
        <w:rPr>
          <w:noProof/>
        </w:rPr>
        <w:t xml:space="preserve">Newman, I., Lim, J. and Pineda, F. (2013) 'Content validity using a mixed methods approach: Its application and development through the use of a table of specifications methodology', </w:t>
      </w:r>
      <w:r w:rsidRPr="00C95F82">
        <w:rPr>
          <w:i/>
          <w:noProof/>
        </w:rPr>
        <w:t>Journal of Mixed Methods Research,</w:t>
      </w:r>
      <w:r w:rsidRPr="00C95F82">
        <w:rPr>
          <w:noProof/>
        </w:rPr>
        <w:t xml:space="preserve"> 7(3), pp. 243-260.</w:t>
      </w:r>
    </w:p>
    <w:p w14:paraId="54AC1938" w14:textId="77777777" w:rsidR="00C95F82" w:rsidRPr="00C95F82" w:rsidRDefault="00C95F82" w:rsidP="00C95F82">
      <w:pPr>
        <w:pStyle w:val="EndNoteBibliography"/>
        <w:spacing w:after="240"/>
        <w:rPr>
          <w:noProof/>
        </w:rPr>
      </w:pPr>
      <w:r w:rsidRPr="00C95F82">
        <w:rPr>
          <w:noProof/>
        </w:rPr>
        <w:t xml:space="preserve">Ng, C. J., Lai, P. S., Lee, Y., Azmi, S. A. and Teo, C. H. (2015) 'Barriers and facilitators to starting insulin in patients with type 2 diabetes: a systematic review', </w:t>
      </w:r>
      <w:r w:rsidRPr="00C95F82">
        <w:rPr>
          <w:i/>
          <w:noProof/>
        </w:rPr>
        <w:t>International Journal of Clinical Practice,</w:t>
      </w:r>
      <w:r w:rsidRPr="00C95F82">
        <w:rPr>
          <w:noProof/>
        </w:rPr>
        <w:t xml:space="preserve"> 69(10), pp. 1050-1070.</w:t>
      </w:r>
    </w:p>
    <w:p w14:paraId="561B3D23" w14:textId="77777777" w:rsidR="00C95F82" w:rsidRPr="00C95F82" w:rsidRDefault="00C95F82" w:rsidP="00C95F82">
      <w:pPr>
        <w:pStyle w:val="EndNoteBibliography"/>
        <w:spacing w:after="240"/>
        <w:rPr>
          <w:noProof/>
        </w:rPr>
      </w:pPr>
      <w:r w:rsidRPr="00C95F82">
        <w:rPr>
          <w:noProof/>
        </w:rPr>
        <w:t xml:space="preserve">Nguengang Wakap, S., Lambert, D. M., Olry, A., Rodwell, C., Gueydan, C., Lanneau, V., Murphy, D., Le Cam, Y. and Rath, A. (2020) 'Estimating cumulative point prevalence of rare diseases: analysis of the Orphanet database', </w:t>
      </w:r>
      <w:r w:rsidRPr="00C95F82">
        <w:rPr>
          <w:i/>
          <w:noProof/>
        </w:rPr>
        <w:t>European Journal of Human Genetics,</w:t>
      </w:r>
      <w:r w:rsidRPr="00C95F82">
        <w:rPr>
          <w:noProof/>
        </w:rPr>
        <w:t xml:space="preserve"> 28(2), pp. 165-173.</w:t>
      </w:r>
    </w:p>
    <w:p w14:paraId="2A502120" w14:textId="77777777" w:rsidR="00C95F82" w:rsidRPr="00C95F82" w:rsidRDefault="00C95F82" w:rsidP="00C95F82">
      <w:pPr>
        <w:pStyle w:val="EndNoteBibliography"/>
        <w:spacing w:after="240"/>
        <w:rPr>
          <w:noProof/>
        </w:rPr>
      </w:pPr>
      <w:r w:rsidRPr="00C95F82">
        <w:rPr>
          <w:noProof/>
        </w:rPr>
        <w:t xml:space="preserve">Nguyen, T., Seiler, N., Brown, E. and O'Donoghue, B. (2020) 'The effect of Clinical Practice Guidelines on prescribing practice in mental health: a systematic review', </w:t>
      </w:r>
      <w:r w:rsidRPr="00C95F82">
        <w:rPr>
          <w:i/>
          <w:noProof/>
        </w:rPr>
        <w:t>Psychiatry Research,</w:t>
      </w:r>
      <w:r w:rsidRPr="00C95F82">
        <w:rPr>
          <w:noProof/>
        </w:rPr>
        <w:t xml:space="preserve"> 284, pp. 112671.</w:t>
      </w:r>
    </w:p>
    <w:p w14:paraId="0F88DE31" w14:textId="1E8EBCDF" w:rsidR="00C95F82" w:rsidRPr="00C95F82" w:rsidRDefault="00C95F82" w:rsidP="00C95F82">
      <w:pPr>
        <w:pStyle w:val="EndNoteBibliography"/>
        <w:spacing w:after="240"/>
        <w:rPr>
          <w:noProof/>
        </w:rPr>
      </w:pPr>
      <w:r w:rsidRPr="00C95F82">
        <w:rPr>
          <w:noProof/>
        </w:rPr>
        <w:t xml:space="preserve">NHS (2023) </w:t>
      </w:r>
      <w:r w:rsidRPr="00C95F82">
        <w:rPr>
          <w:i/>
          <w:noProof/>
        </w:rPr>
        <w:t>Overview - Autosomal dominant polycystic kidney disease</w:t>
      </w:r>
      <w:r w:rsidRPr="00C95F82">
        <w:rPr>
          <w:noProof/>
        </w:rPr>
        <w:t xml:space="preserve">. Available at: </w:t>
      </w:r>
      <w:hyperlink r:id="rId108" w:history="1">
        <w:r w:rsidRPr="00C95F82">
          <w:rPr>
            <w:rStyle w:val="Hyperlink"/>
            <w:noProof/>
          </w:rPr>
          <w:t>https://www.nhs.uk/conditions/autosomal-dominant-polycystic-kidney-disease-adpkd.com</w:t>
        </w:r>
      </w:hyperlink>
      <w:r w:rsidRPr="00C95F82">
        <w:rPr>
          <w:noProof/>
        </w:rPr>
        <w:t xml:space="preserve"> (Accessed: 28/11/2025).</w:t>
      </w:r>
    </w:p>
    <w:p w14:paraId="634B7D99" w14:textId="60E31A00" w:rsidR="00C95F82" w:rsidRPr="00C95F82" w:rsidRDefault="00C95F82" w:rsidP="00C95F82">
      <w:pPr>
        <w:pStyle w:val="EndNoteBibliography"/>
        <w:spacing w:after="240"/>
        <w:rPr>
          <w:noProof/>
        </w:rPr>
      </w:pPr>
      <w:r w:rsidRPr="00C95F82">
        <w:rPr>
          <w:noProof/>
        </w:rPr>
        <w:t xml:space="preserve">NHS Business Services Authority (2024) </w:t>
      </w:r>
      <w:r w:rsidRPr="00C95F82">
        <w:rPr>
          <w:i/>
          <w:noProof/>
        </w:rPr>
        <w:t>Prescribing Costs in Hospitals and the community - England 2023/2024</w:t>
      </w:r>
      <w:r w:rsidRPr="00C95F82">
        <w:rPr>
          <w:noProof/>
        </w:rPr>
        <w:t xml:space="preserve">. Available at: </w:t>
      </w:r>
      <w:hyperlink r:id="rId109" w:history="1">
        <w:r w:rsidRPr="00C95F82">
          <w:rPr>
            <w:rStyle w:val="Hyperlink"/>
            <w:noProof/>
          </w:rPr>
          <w:t>https://www.nhsbsa.nhs.uk/statistical-collections/prescribing-costs-hospitals-and-community-england/prescribing-costs-hospitals-and-community-england-2023-24</w:t>
        </w:r>
      </w:hyperlink>
      <w:r w:rsidRPr="00C95F82">
        <w:rPr>
          <w:noProof/>
        </w:rPr>
        <w:t xml:space="preserve"> (Accessed: 01/03/2026).</w:t>
      </w:r>
    </w:p>
    <w:p w14:paraId="2878698E" w14:textId="0152F947" w:rsidR="00C95F82" w:rsidRPr="00C95F82" w:rsidRDefault="00C95F82" w:rsidP="00C95F82">
      <w:pPr>
        <w:pStyle w:val="EndNoteBibliography"/>
        <w:spacing w:after="240"/>
        <w:rPr>
          <w:noProof/>
        </w:rPr>
      </w:pPr>
      <w:r w:rsidRPr="00C95F82">
        <w:rPr>
          <w:noProof/>
        </w:rPr>
        <w:t xml:space="preserve">NHS Digital (2026) </w:t>
      </w:r>
      <w:r w:rsidRPr="00C95F82">
        <w:rPr>
          <w:i/>
          <w:noProof/>
        </w:rPr>
        <w:t>Prescribing data</w:t>
      </w:r>
      <w:r w:rsidRPr="00C95F82">
        <w:rPr>
          <w:noProof/>
        </w:rPr>
        <w:t xml:space="preserve">. Available at: </w:t>
      </w:r>
      <w:hyperlink r:id="rId110" w:history="1">
        <w:r w:rsidRPr="00C95F82">
          <w:rPr>
            <w:rStyle w:val="Hyperlink"/>
            <w:noProof/>
          </w:rPr>
          <w:t>https://digital.nhs.uk/data-and-information/areas-of-interest/prescribing</w:t>
        </w:r>
      </w:hyperlink>
      <w:r w:rsidRPr="00C95F82">
        <w:rPr>
          <w:noProof/>
        </w:rPr>
        <w:t xml:space="preserve"> (Accessed: 30/04/2026).</w:t>
      </w:r>
    </w:p>
    <w:p w14:paraId="3DC62FC6" w14:textId="4BB04218" w:rsidR="00C95F82" w:rsidRPr="00C95F82" w:rsidRDefault="00C95F82" w:rsidP="00C95F82">
      <w:pPr>
        <w:pStyle w:val="EndNoteBibliography"/>
        <w:spacing w:after="240"/>
        <w:rPr>
          <w:noProof/>
        </w:rPr>
      </w:pPr>
      <w:r w:rsidRPr="00C95F82">
        <w:rPr>
          <w:noProof/>
        </w:rPr>
        <w:t xml:space="preserve">NHS England (2017) </w:t>
      </w:r>
      <w:r w:rsidRPr="00C95F82">
        <w:rPr>
          <w:i/>
          <w:noProof/>
        </w:rPr>
        <w:t>Renal services</w:t>
      </w:r>
      <w:r w:rsidRPr="00C95F82">
        <w:rPr>
          <w:noProof/>
        </w:rPr>
        <w:t xml:space="preserve">. Available at: </w:t>
      </w:r>
      <w:hyperlink r:id="rId111" w:history="1">
        <w:r w:rsidRPr="00C95F82">
          <w:rPr>
            <w:rStyle w:val="Hyperlink"/>
            <w:noProof/>
          </w:rPr>
          <w:t>https://www.england.nhs.uk/commissioning/spec-services/npc-crg/group-a/renal-services/</w:t>
        </w:r>
      </w:hyperlink>
      <w:r w:rsidRPr="00C95F82">
        <w:rPr>
          <w:noProof/>
        </w:rPr>
        <w:t xml:space="preserve"> (Accessed: 28/04/2026).</w:t>
      </w:r>
    </w:p>
    <w:p w14:paraId="08338326" w14:textId="4482053C" w:rsidR="00C95F82" w:rsidRPr="00C95F82" w:rsidRDefault="00C95F82" w:rsidP="00C95F82">
      <w:pPr>
        <w:pStyle w:val="EndNoteBibliography"/>
        <w:spacing w:after="240"/>
        <w:rPr>
          <w:noProof/>
        </w:rPr>
      </w:pPr>
      <w:r w:rsidRPr="00C95F82">
        <w:rPr>
          <w:noProof/>
        </w:rPr>
        <w:t xml:space="preserve">NHS England (2024) </w:t>
      </w:r>
      <w:r w:rsidRPr="00C95F82">
        <w:rPr>
          <w:i/>
          <w:noProof/>
        </w:rPr>
        <w:t>Responsibility for prescribing between Primary &amp; Secondary/Tertiary Care</w:t>
      </w:r>
      <w:r w:rsidRPr="00C95F82">
        <w:rPr>
          <w:noProof/>
        </w:rPr>
        <w:t xml:space="preserve">. Available at: </w:t>
      </w:r>
      <w:hyperlink r:id="rId112" w:history="1">
        <w:r w:rsidRPr="00C95F82">
          <w:rPr>
            <w:rStyle w:val="Hyperlink"/>
            <w:noProof/>
          </w:rPr>
          <w:t>https://www.england.nhs.uk/wp-content/uploads/2018/03/responsibility-prescribing-between-primary-secondary-care-v2.pdf</w:t>
        </w:r>
      </w:hyperlink>
      <w:r w:rsidRPr="00C95F82">
        <w:rPr>
          <w:noProof/>
        </w:rPr>
        <w:t xml:space="preserve"> (Accessed: 17/06/2024).</w:t>
      </w:r>
    </w:p>
    <w:p w14:paraId="7AC18956" w14:textId="77777777" w:rsidR="00C95F82" w:rsidRPr="00C95F82" w:rsidRDefault="00C95F82" w:rsidP="00C95F82">
      <w:pPr>
        <w:pStyle w:val="EndNoteBibliography"/>
        <w:spacing w:after="240"/>
        <w:rPr>
          <w:noProof/>
        </w:rPr>
      </w:pPr>
      <w:r w:rsidRPr="00C95F82">
        <w:rPr>
          <w:noProof/>
        </w:rPr>
        <w:t xml:space="preserve">Nicholson, K., Liu, W., Fitzpatrick, D., Hardacre, K. A., Roberts, S., Salerno, J., Stranges, S., Fortin, M. and Mangin, D. (2024) 'Prevalence of multimorbidity and polypharmacy among adults and older adults: a systematic review', </w:t>
      </w:r>
      <w:r w:rsidRPr="00C95F82">
        <w:rPr>
          <w:i/>
          <w:noProof/>
        </w:rPr>
        <w:t>The Lancet Healthy Longevity,</w:t>
      </w:r>
      <w:r w:rsidRPr="00C95F82">
        <w:rPr>
          <w:noProof/>
        </w:rPr>
        <w:t xml:space="preserve"> 5(4), pp. e287-e296.</w:t>
      </w:r>
    </w:p>
    <w:p w14:paraId="42C49807" w14:textId="77777777" w:rsidR="00C95F82" w:rsidRPr="00C95F82" w:rsidRDefault="00C95F82" w:rsidP="00C95F82">
      <w:pPr>
        <w:pStyle w:val="EndNoteBibliography"/>
        <w:spacing w:after="240"/>
        <w:rPr>
          <w:noProof/>
        </w:rPr>
      </w:pPr>
      <w:r w:rsidRPr="00C95F82">
        <w:rPr>
          <w:noProof/>
        </w:rPr>
        <w:t xml:space="preserve">Nilsen, P. (2020) 'Making sense of implementation theories, models, and frameworks',  </w:t>
      </w:r>
      <w:r w:rsidRPr="00C95F82">
        <w:rPr>
          <w:i/>
          <w:noProof/>
        </w:rPr>
        <w:t>Implementation Science 3.0</w:t>
      </w:r>
      <w:r w:rsidRPr="00C95F82">
        <w:rPr>
          <w:noProof/>
        </w:rPr>
        <w:t>. New York, USA: Springer Publishing, pp. 53-79.</w:t>
      </w:r>
    </w:p>
    <w:p w14:paraId="290A9343" w14:textId="77777777" w:rsidR="00C95F82" w:rsidRPr="00C95F82" w:rsidRDefault="00C95F82" w:rsidP="00C95F82">
      <w:pPr>
        <w:pStyle w:val="EndNoteBibliography"/>
        <w:spacing w:after="240"/>
        <w:rPr>
          <w:noProof/>
        </w:rPr>
      </w:pPr>
      <w:r w:rsidRPr="00C95F82">
        <w:rPr>
          <w:noProof/>
        </w:rPr>
        <w:t xml:space="preserve">Noble, H. and Heale, R. (2019) 'Triangulation in research, with examples', </w:t>
      </w:r>
      <w:r w:rsidRPr="00C95F82">
        <w:rPr>
          <w:i/>
          <w:noProof/>
        </w:rPr>
        <w:t>BMJ,</w:t>
      </w:r>
      <w:r w:rsidRPr="00C95F82">
        <w:rPr>
          <w:noProof/>
        </w:rPr>
        <w:t xml:space="preserve"> 22(3), pp. 67-68.</w:t>
      </w:r>
    </w:p>
    <w:p w14:paraId="08F4E4B8" w14:textId="77777777" w:rsidR="00C95F82" w:rsidRPr="00C95F82" w:rsidRDefault="00C95F82" w:rsidP="00C95F82">
      <w:pPr>
        <w:pStyle w:val="EndNoteBibliography"/>
        <w:spacing w:after="240"/>
        <w:rPr>
          <w:noProof/>
        </w:rPr>
      </w:pPr>
      <w:r w:rsidRPr="00C95F82">
        <w:rPr>
          <w:noProof/>
        </w:rPr>
        <w:t xml:space="preserve">Noblit, G. W. and Hare, R. D. (1988) </w:t>
      </w:r>
      <w:r w:rsidRPr="00C95F82">
        <w:rPr>
          <w:i/>
          <w:noProof/>
        </w:rPr>
        <w:t>Meta-ethnography: Synthesizing qualitative studies.</w:t>
      </w:r>
      <w:r w:rsidRPr="00C95F82">
        <w:rPr>
          <w:noProof/>
        </w:rPr>
        <w:t xml:space="preserve"> SAGE Publications Ltd, p. 1-88.</w:t>
      </w:r>
    </w:p>
    <w:p w14:paraId="135D4834" w14:textId="77777777" w:rsidR="00C95F82" w:rsidRPr="00C95F82" w:rsidRDefault="00C95F82" w:rsidP="00C95F82">
      <w:pPr>
        <w:pStyle w:val="EndNoteBibliography"/>
        <w:spacing w:after="240"/>
        <w:rPr>
          <w:noProof/>
        </w:rPr>
      </w:pPr>
      <w:r w:rsidRPr="00C95F82">
        <w:rPr>
          <w:noProof/>
        </w:rPr>
        <w:t xml:space="preserve">Nouhi, M., Hadian, M., Jahangiri, R., Hakimzadeh, M., Gray, S. and Olyaeemanesh, A. (2019) 'The economic consequences of practice style variation in providing medical interventions: A systematic review of the literature', </w:t>
      </w:r>
      <w:r w:rsidRPr="00C95F82">
        <w:rPr>
          <w:i/>
          <w:noProof/>
        </w:rPr>
        <w:t>Journal of Education and Health Promotion,</w:t>
      </w:r>
      <w:r w:rsidRPr="00C95F82">
        <w:rPr>
          <w:noProof/>
        </w:rPr>
        <w:t xml:space="preserve"> 8(1), pp. 119.</w:t>
      </w:r>
    </w:p>
    <w:p w14:paraId="1E805067" w14:textId="77777777" w:rsidR="00C95F82" w:rsidRPr="00C95F82" w:rsidRDefault="00C95F82" w:rsidP="00C95F82">
      <w:pPr>
        <w:pStyle w:val="EndNoteBibliography"/>
        <w:spacing w:after="240"/>
        <w:rPr>
          <w:noProof/>
        </w:rPr>
      </w:pPr>
      <w:r w:rsidRPr="00C95F82">
        <w:rPr>
          <w:noProof/>
        </w:rPr>
        <w:t xml:space="preserve">O'Cathain, A. (2006) </w:t>
      </w:r>
      <w:r w:rsidRPr="00C95F82">
        <w:rPr>
          <w:i/>
          <w:noProof/>
        </w:rPr>
        <w:t>Exploiting the potential of mixed methods studies in health services research.</w:t>
      </w:r>
      <w:r w:rsidRPr="00C95F82">
        <w:rPr>
          <w:noProof/>
        </w:rPr>
        <w:t xml:space="preserve"> University of Sheffield.</w:t>
      </w:r>
    </w:p>
    <w:p w14:paraId="4D11DAA8" w14:textId="77777777" w:rsidR="00C95F82" w:rsidRPr="00C95F82" w:rsidRDefault="00C95F82" w:rsidP="00C95F82">
      <w:pPr>
        <w:pStyle w:val="EndNoteBibliography"/>
        <w:spacing w:after="240"/>
        <w:rPr>
          <w:noProof/>
        </w:rPr>
      </w:pPr>
      <w:r w:rsidRPr="00C95F82">
        <w:rPr>
          <w:noProof/>
        </w:rPr>
        <w:t xml:space="preserve">O’Cathain, A., Knowles, E., Maheswaran, R., Turner, J., Hirst, E., Goodacre, S., Pearson, T. and Nicholl, J. (2013) 'Hospital characteristics affecting potentially avoidable emergency admissions: national ecological study', </w:t>
      </w:r>
      <w:r w:rsidRPr="00C95F82">
        <w:rPr>
          <w:i/>
          <w:noProof/>
        </w:rPr>
        <w:t>Health Services Management Research,</w:t>
      </w:r>
      <w:r w:rsidRPr="00C95F82">
        <w:rPr>
          <w:noProof/>
        </w:rPr>
        <w:t xml:space="preserve"> 26(4), pp. 110-118.</w:t>
      </w:r>
    </w:p>
    <w:p w14:paraId="3C9DE4DA" w14:textId="77777777" w:rsidR="00C95F82" w:rsidRPr="00C95F82" w:rsidRDefault="00C95F82" w:rsidP="00C95F82">
      <w:pPr>
        <w:pStyle w:val="EndNoteBibliography"/>
        <w:spacing w:after="240"/>
        <w:rPr>
          <w:noProof/>
        </w:rPr>
      </w:pPr>
      <w:r w:rsidRPr="00C95F82">
        <w:rPr>
          <w:noProof/>
        </w:rPr>
        <w:t xml:space="preserve">O'Cathain, A., Knowles, E., Turner, J., Hirst, E., Goodacre, S. and Nicholl, J. (2014) 'Explaining variation in emergency admissions: a mixed-methods study of emergency and urgent care systems', </w:t>
      </w:r>
      <w:r w:rsidRPr="00C95F82">
        <w:rPr>
          <w:i/>
          <w:noProof/>
        </w:rPr>
        <w:t>Journal of Health Services Research and Policy,</w:t>
      </w:r>
      <w:r w:rsidRPr="00C95F82">
        <w:rPr>
          <w:noProof/>
        </w:rPr>
        <w:t xml:space="preserve"> 2(48), pp. 1-119.</w:t>
      </w:r>
    </w:p>
    <w:p w14:paraId="2BF45428" w14:textId="77777777" w:rsidR="00C95F82" w:rsidRPr="00C95F82" w:rsidRDefault="00C95F82" w:rsidP="00C95F82">
      <w:pPr>
        <w:pStyle w:val="EndNoteBibliography"/>
        <w:spacing w:after="240"/>
        <w:rPr>
          <w:noProof/>
        </w:rPr>
      </w:pPr>
      <w:r w:rsidRPr="00C95F82">
        <w:rPr>
          <w:noProof/>
        </w:rPr>
        <w:t xml:space="preserve">O'Cathain, A., Murphy, E. and Nicholl, J. (2007) 'Why, and how, mixed methods research is undertaken in health services research in England: a mixed methods study', </w:t>
      </w:r>
      <w:r w:rsidRPr="00C95F82">
        <w:rPr>
          <w:i/>
          <w:noProof/>
        </w:rPr>
        <w:t>BMC Health Services Research,</w:t>
      </w:r>
      <w:r w:rsidRPr="00C95F82">
        <w:rPr>
          <w:noProof/>
        </w:rPr>
        <w:t xml:space="preserve"> 7(1), pp. 85.</w:t>
      </w:r>
    </w:p>
    <w:p w14:paraId="4A934E76" w14:textId="77777777" w:rsidR="00C95F82" w:rsidRPr="00C95F82" w:rsidRDefault="00C95F82" w:rsidP="00C95F82">
      <w:pPr>
        <w:pStyle w:val="EndNoteBibliography"/>
        <w:spacing w:after="240"/>
        <w:rPr>
          <w:noProof/>
        </w:rPr>
      </w:pPr>
      <w:r w:rsidRPr="00C95F82">
        <w:rPr>
          <w:noProof/>
        </w:rPr>
        <w:t xml:space="preserve">O'Cathain, A., Murphy, E. and Nicholl, J. (2010) 'Three techniques for integrating data in mixed methods studies', </w:t>
      </w:r>
      <w:r w:rsidRPr="00C95F82">
        <w:rPr>
          <w:i/>
          <w:noProof/>
        </w:rPr>
        <w:t>BMJ,</w:t>
      </w:r>
      <w:r w:rsidRPr="00C95F82">
        <w:rPr>
          <w:noProof/>
        </w:rPr>
        <w:t xml:space="preserve"> 341, pp. c4587.</w:t>
      </w:r>
    </w:p>
    <w:p w14:paraId="0D2C9913" w14:textId="77777777" w:rsidR="00C95F82" w:rsidRPr="00C95F82" w:rsidRDefault="00C95F82" w:rsidP="00C95F82">
      <w:pPr>
        <w:pStyle w:val="EndNoteBibliography"/>
        <w:spacing w:after="240"/>
        <w:rPr>
          <w:noProof/>
        </w:rPr>
      </w:pPr>
      <w:r w:rsidRPr="00C95F82">
        <w:rPr>
          <w:noProof/>
        </w:rPr>
        <w:t xml:space="preserve">O’Cathain, A., Murphy, E. and Nicholl, J. (2008) 'The quality of mixed methods studies in health services research', </w:t>
      </w:r>
      <w:r w:rsidRPr="00C95F82">
        <w:rPr>
          <w:i/>
          <w:noProof/>
        </w:rPr>
        <w:t>Journal of Health Services Research &amp; Policy,</w:t>
      </w:r>
      <w:r w:rsidRPr="00C95F82">
        <w:rPr>
          <w:noProof/>
        </w:rPr>
        <w:t xml:space="preserve"> 13(2), pp. 92-98.</w:t>
      </w:r>
    </w:p>
    <w:p w14:paraId="2FE94564" w14:textId="77777777" w:rsidR="00C95F82" w:rsidRPr="00C95F82" w:rsidRDefault="00C95F82" w:rsidP="00C95F82">
      <w:pPr>
        <w:pStyle w:val="EndNoteBibliography"/>
        <w:spacing w:after="240"/>
        <w:rPr>
          <w:noProof/>
        </w:rPr>
      </w:pPr>
      <w:r w:rsidRPr="00C95F82">
        <w:rPr>
          <w:noProof/>
        </w:rPr>
        <w:t xml:space="preserve">O'Cathain, A. and Thomas, K. (2006) 'Combining qualitative and quantitative methods', </w:t>
      </w:r>
      <w:r w:rsidRPr="00C95F82">
        <w:rPr>
          <w:i/>
          <w:noProof/>
        </w:rPr>
        <w:t>Qualitative Research in Health Care</w:t>
      </w:r>
      <w:r w:rsidRPr="00C95F82">
        <w:rPr>
          <w:noProof/>
        </w:rPr>
        <w:t>, pp. 102-111.</w:t>
      </w:r>
    </w:p>
    <w:p w14:paraId="20F9D3B7" w14:textId="196C5FF3" w:rsidR="00C95F82" w:rsidRPr="00C95F82" w:rsidRDefault="00C95F82" w:rsidP="00C95F82">
      <w:pPr>
        <w:pStyle w:val="EndNoteBibliography"/>
        <w:spacing w:after="240"/>
        <w:rPr>
          <w:noProof/>
        </w:rPr>
      </w:pPr>
      <w:r w:rsidRPr="00C95F82">
        <w:rPr>
          <w:noProof/>
        </w:rPr>
        <w:t xml:space="preserve">Office for Health Improvement and Disparities (2022) </w:t>
      </w:r>
      <w:r w:rsidRPr="00C95F82">
        <w:rPr>
          <w:i/>
          <w:noProof/>
        </w:rPr>
        <w:t>NHS Acute (Hospital) Trust Catchment Populations</w:t>
      </w:r>
      <w:r w:rsidRPr="00C95F82">
        <w:rPr>
          <w:noProof/>
        </w:rPr>
        <w:t xml:space="preserve">. Available at: </w:t>
      </w:r>
      <w:hyperlink r:id="rId113" w:history="1">
        <w:r w:rsidRPr="00C95F82">
          <w:rPr>
            <w:rStyle w:val="Hyperlink"/>
            <w:noProof/>
          </w:rPr>
          <w:t>https://app.powerbi.com/view?r=eyJrIjoiODZmNGQ0YzItZDAwZi00MzFiLWE4NzAtMzVmNTUwMThmMTVlIiwidCI6ImVlNGUxNDk5LTRhMzUtNGIyZS1hZDQ3LTVmM2NmOWRlODY2NiIsImMiOjh9</w:t>
        </w:r>
      </w:hyperlink>
      <w:r w:rsidRPr="00C95F82">
        <w:rPr>
          <w:noProof/>
        </w:rPr>
        <w:t xml:space="preserve"> (Accessed: 29/03/2026).</w:t>
      </w:r>
    </w:p>
    <w:p w14:paraId="051792AE" w14:textId="5AD6DFFA" w:rsidR="00C95F82" w:rsidRPr="00C95F82" w:rsidRDefault="00C95F82" w:rsidP="00C95F82">
      <w:pPr>
        <w:pStyle w:val="EndNoteBibliography"/>
        <w:spacing w:after="240"/>
        <w:rPr>
          <w:noProof/>
        </w:rPr>
      </w:pPr>
      <w:r w:rsidRPr="00C95F82">
        <w:rPr>
          <w:noProof/>
        </w:rPr>
        <w:t xml:space="preserve">Office for National Statistics (2021) </w:t>
      </w:r>
      <w:r w:rsidRPr="00C95F82">
        <w:rPr>
          <w:i/>
          <w:noProof/>
        </w:rPr>
        <w:t>Statistical disclosure control</w:t>
      </w:r>
      <w:r w:rsidRPr="00C95F82">
        <w:rPr>
          <w:noProof/>
        </w:rPr>
        <w:t xml:space="preserve">. Available at: </w:t>
      </w:r>
      <w:hyperlink r:id="rId114" w:history="1">
        <w:r w:rsidRPr="00C95F82">
          <w:rPr>
            <w:rStyle w:val="Hyperlink"/>
            <w:noProof/>
          </w:rPr>
          <w:t>https://www.ons.gov.uk/aboutus/transparencyandgovernance/datastrategy/datapolicies/statisticaldisclosurecontrol</w:t>
        </w:r>
      </w:hyperlink>
      <w:r w:rsidRPr="00C95F82">
        <w:rPr>
          <w:noProof/>
        </w:rPr>
        <w:t xml:space="preserve"> (Accessed: 06/01/2026).</w:t>
      </w:r>
    </w:p>
    <w:p w14:paraId="0D9C453C" w14:textId="77777777" w:rsidR="00C95F82" w:rsidRPr="00C95F82" w:rsidRDefault="00C95F82" w:rsidP="00C95F82">
      <w:pPr>
        <w:pStyle w:val="EndNoteBibliography"/>
        <w:spacing w:after="240"/>
        <w:rPr>
          <w:noProof/>
        </w:rPr>
      </w:pPr>
      <w:r w:rsidRPr="00C95F82">
        <w:rPr>
          <w:noProof/>
        </w:rPr>
        <w:t xml:space="preserve">Okamoto, K. (2026) 'Real-world treatment dynamics in spinal muscular atrophy: what the SMArtCARE registry renders visible', </w:t>
      </w:r>
      <w:r w:rsidRPr="00C95F82">
        <w:rPr>
          <w:i/>
          <w:noProof/>
        </w:rPr>
        <w:t>Brain,</w:t>
      </w:r>
      <w:r w:rsidRPr="00C95F82">
        <w:rPr>
          <w:noProof/>
        </w:rPr>
        <w:t xml:space="preserve"> 149(3), pp. 701-703.</w:t>
      </w:r>
    </w:p>
    <w:p w14:paraId="1B5FF00E" w14:textId="77777777" w:rsidR="00C95F82" w:rsidRPr="00C95F82" w:rsidRDefault="00C95F82" w:rsidP="00C95F82">
      <w:pPr>
        <w:pStyle w:val="EndNoteBibliography"/>
        <w:spacing w:after="240"/>
        <w:rPr>
          <w:noProof/>
        </w:rPr>
      </w:pPr>
      <w:r w:rsidRPr="00C95F82">
        <w:rPr>
          <w:noProof/>
        </w:rPr>
        <w:t xml:space="preserve">Onakpoya, I. J., Spencer, E. A., Thompson, M. J. and Heneghan, C. J. (2015) 'Effectiveness, safety and costs of orphan drugs: an evidence-based review', </w:t>
      </w:r>
      <w:r w:rsidRPr="00C95F82">
        <w:rPr>
          <w:i/>
          <w:noProof/>
        </w:rPr>
        <w:t>BMJ Open,</w:t>
      </w:r>
      <w:r w:rsidRPr="00C95F82">
        <w:rPr>
          <w:noProof/>
        </w:rPr>
        <w:t xml:space="preserve"> 5(6), pp. e007199.</w:t>
      </w:r>
    </w:p>
    <w:p w14:paraId="0833651D" w14:textId="77777777" w:rsidR="00C95F82" w:rsidRPr="00C95F82" w:rsidRDefault="00C95F82" w:rsidP="00C95F82">
      <w:pPr>
        <w:pStyle w:val="EndNoteBibliography"/>
        <w:spacing w:after="240"/>
        <w:rPr>
          <w:noProof/>
        </w:rPr>
      </w:pPr>
      <w:r w:rsidRPr="00C95F82">
        <w:rPr>
          <w:noProof/>
        </w:rPr>
        <w:t xml:space="preserve">Ong, A. C., Carriazo, S., Ma, B. M., Torra, R. and Pei, Y. (2026) 'Autosomal dominant polycystic kidney disease', </w:t>
      </w:r>
      <w:r w:rsidRPr="00C95F82">
        <w:rPr>
          <w:i/>
          <w:noProof/>
        </w:rPr>
        <w:t>The Lancet,</w:t>
      </w:r>
      <w:r w:rsidRPr="00C95F82">
        <w:rPr>
          <w:noProof/>
        </w:rPr>
        <w:t xml:space="preserve"> 407, pp. 1289-1302.</w:t>
      </w:r>
    </w:p>
    <w:p w14:paraId="6DCC5D4D" w14:textId="77777777" w:rsidR="00C95F82" w:rsidRPr="00C95F82" w:rsidRDefault="00C95F82" w:rsidP="00C95F82">
      <w:pPr>
        <w:pStyle w:val="EndNoteBibliography"/>
        <w:spacing w:after="240"/>
        <w:rPr>
          <w:noProof/>
        </w:rPr>
      </w:pPr>
      <w:r w:rsidRPr="00C95F82">
        <w:rPr>
          <w:noProof/>
        </w:rPr>
        <w:t xml:space="preserve">Ong, A. C., Devuyst, O., Knebelmann, B. and Walz, G. (2015) 'Autosomal dominant polycystic kidney disease: the changing face of clinical management', </w:t>
      </w:r>
      <w:r w:rsidRPr="00C95F82">
        <w:rPr>
          <w:i/>
          <w:noProof/>
        </w:rPr>
        <w:t>The Lancet,</w:t>
      </w:r>
      <w:r w:rsidRPr="00C95F82">
        <w:rPr>
          <w:noProof/>
        </w:rPr>
        <w:t xml:space="preserve"> 385(9981), pp. 1993-2002.</w:t>
      </w:r>
    </w:p>
    <w:p w14:paraId="535F9968" w14:textId="77777777" w:rsidR="00C95F82" w:rsidRPr="00C95F82" w:rsidRDefault="00C95F82" w:rsidP="00C95F82">
      <w:pPr>
        <w:pStyle w:val="EndNoteBibliography"/>
        <w:spacing w:after="240"/>
        <w:rPr>
          <w:noProof/>
        </w:rPr>
      </w:pPr>
      <w:r w:rsidRPr="00C95F82">
        <w:rPr>
          <w:noProof/>
        </w:rPr>
        <w:t xml:space="preserve">Ong, A. C. and Harris, P. C. (2005) 'Molecular pathogenesis of ADPKD: the polycystin complex gets complex', </w:t>
      </w:r>
      <w:r w:rsidRPr="00C95F82">
        <w:rPr>
          <w:i/>
          <w:noProof/>
        </w:rPr>
        <w:t>Kidney International,</w:t>
      </w:r>
      <w:r w:rsidRPr="00C95F82">
        <w:rPr>
          <w:noProof/>
        </w:rPr>
        <w:t xml:space="preserve"> 67(4), pp. 1234-1247.</w:t>
      </w:r>
    </w:p>
    <w:p w14:paraId="054A0E67" w14:textId="77777777" w:rsidR="00C95F82" w:rsidRPr="00C95F82" w:rsidRDefault="00C95F82" w:rsidP="00C95F82">
      <w:pPr>
        <w:pStyle w:val="EndNoteBibliography"/>
        <w:spacing w:after="240"/>
        <w:rPr>
          <w:noProof/>
        </w:rPr>
      </w:pPr>
      <w:r w:rsidRPr="00C95F82">
        <w:rPr>
          <w:noProof/>
        </w:rPr>
        <w:t xml:space="preserve">Onwuegbuzie, A. J., Leech, N. L. and Collins, K. M. (2008) 'Interviewing the interpretive researcher: A method for addressing the crises of representation, legitimation, and praxis', </w:t>
      </w:r>
      <w:r w:rsidRPr="00C95F82">
        <w:rPr>
          <w:i/>
          <w:noProof/>
        </w:rPr>
        <w:t>International Journal of Qualitative Methods,</w:t>
      </w:r>
      <w:r w:rsidRPr="00C95F82">
        <w:rPr>
          <w:noProof/>
        </w:rPr>
        <w:t xml:space="preserve"> 7(4), pp. 1-17.</w:t>
      </w:r>
    </w:p>
    <w:p w14:paraId="2E9A6912" w14:textId="77777777" w:rsidR="00C95F82" w:rsidRPr="00C95F82" w:rsidRDefault="00C95F82" w:rsidP="00C95F82">
      <w:pPr>
        <w:pStyle w:val="EndNoteBibliography"/>
        <w:spacing w:after="240"/>
        <w:rPr>
          <w:noProof/>
        </w:rPr>
      </w:pPr>
      <w:r w:rsidRPr="00C95F82">
        <w:rPr>
          <w:noProof/>
        </w:rPr>
        <w:t xml:space="preserve">Oqab, Z., Pournazari, P. and Sheldon, R. S. (2018) 'What is the impact of frailty on prescription of anticoagulation in elderly patients with atrial fibrillation? A systematic review and meta-analysis', </w:t>
      </w:r>
      <w:r w:rsidRPr="00C95F82">
        <w:rPr>
          <w:i/>
          <w:noProof/>
        </w:rPr>
        <w:t>Journal of Atrial Fibrillation,</w:t>
      </w:r>
      <w:r w:rsidRPr="00C95F82">
        <w:rPr>
          <w:noProof/>
        </w:rPr>
        <w:t xml:space="preserve"> 10(6), pp. 1870.</w:t>
      </w:r>
    </w:p>
    <w:p w14:paraId="2A3F7F73" w14:textId="77777777" w:rsidR="00C95F82" w:rsidRPr="00C95F82" w:rsidRDefault="00C95F82" w:rsidP="00C95F82">
      <w:pPr>
        <w:pStyle w:val="EndNoteBibliography"/>
        <w:spacing w:after="240"/>
        <w:rPr>
          <w:noProof/>
        </w:rPr>
      </w:pPr>
      <w:r w:rsidRPr="00C95F82">
        <w:rPr>
          <w:noProof/>
        </w:rPr>
        <w:t xml:space="preserve">Orayj, K. and Lane, E. (2019) 'Patterns and determinants of prescribing for Parkinson’s disease: a systematic literature review', </w:t>
      </w:r>
      <w:r w:rsidRPr="00C95F82">
        <w:rPr>
          <w:i/>
          <w:noProof/>
        </w:rPr>
        <w:t>Parkinson's Disease,</w:t>
      </w:r>
      <w:r w:rsidRPr="00C95F82">
        <w:rPr>
          <w:noProof/>
        </w:rPr>
        <w:t xml:space="preserve"> 2019, pp. 1-40.</w:t>
      </w:r>
    </w:p>
    <w:p w14:paraId="7FD708BA" w14:textId="07140EE7" w:rsidR="00C95F82" w:rsidRPr="00C95F82" w:rsidRDefault="00C95F82" w:rsidP="00C95F82">
      <w:pPr>
        <w:pStyle w:val="EndNoteBibliography"/>
        <w:spacing w:after="240"/>
        <w:rPr>
          <w:noProof/>
        </w:rPr>
      </w:pPr>
      <w:r w:rsidRPr="00C95F82">
        <w:rPr>
          <w:noProof/>
        </w:rPr>
        <w:t xml:space="preserve">Organization for Rare Diseases India (2023) </w:t>
      </w:r>
      <w:r w:rsidRPr="00C95F82">
        <w:rPr>
          <w:i/>
          <w:noProof/>
        </w:rPr>
        <w:t>Rare Disease Definition</w:t>
      </w:r>
      <w:r w:rsidRPr="00C95F82">
        <w:rPr>
          <w:noProof/>
        </w:rPr>
        <w:t xml:space="preserve">. Available at: </w:t>
      </w:r>
      <w:hyperlink r:id="rId115" w:anchor=":~:text=Considering%20the%20large%20population%20of,in%205%2C000%20people%20or%20less" w:history="1">
        <w:r w:rsidRPr="00C95F82">
          <w:rPr>
            <w:rStyle w:val="Hyperlink"/>
            <w:noProof/>
          </w:rPr>
          <w:t>https://ordindia.in/about-rd/rare-disease-definition/#:~:text=Considering%20the%20large%20population%20of,in%205%2C000%20people%20or%20less</w:t>
        </w:r>
      </w:hyperlink>
      <w:r w:rsidRPr="00C95F82">
        <w:rPr>
          <w:noProof/>
        </w:rPr>
        <w:t>. (Accessed: 27/11/2023).</w:t>
      </w:r>
    </w:p>
    <w:p w14:paraId="5397B96F" w14:textId="77777777" w:rsidR="00C95F82" w:rsidRPr="00C95F82" w:rsidRDefault="00C95F82" w:rsidP="00C95F82">
      <w:pPr>
        <w:pStyle w:val="EndNoteBibliography"/>
        <w:spacing w:after="240"/>
        <w:rPr>
          <w:noProof/>
        </w:rPr>
      </w:pPr>
      <w:r w:rsidRPr="00C95F82">
        <w:rPr>
          <w:noProof/>
        </w:rPr>
        <w:t xml:space="preserve">Orton, J. D. and Weick, K. E. (1990) 'Loosely coupled systems: A reconceptualization', </w:t>
      </w:r>
      <w:r w:rsidRPr="00C95F82">
        <w:rPr>
          <w:i/>
          <w:noProof/>
        </w:rPr>
        <w:t>Academy of Management Review,</w:t>
      </w:r>
      <w:r w:rsidRPr="00C95F82">
        <w:rPr>
          <w:noProof/>
        </w:rPr>
        <w:t xml:space="preserve"> 15(2), pp. 203-223.</w:t>
      </w:r>
    </w:p>
    <w:p w14:paraId="1B3327C9" w14:textId="77777777" w:rsidR="00C95F82" w:rsidRPr="00C95F82" w:rsidRDefault="00C95F82" w:rsidP="00C95F82">
      <w:pPr>
        <w:pStyle w:val="EndNoteBibliography"/>
        <w:spacing w:after="240"/>
        <w:rPr>
          <w:noProof/>
        </w:rPr>
      </w:pPr>
      <w:r w:rsidRPr="00C95F82">
        <w:rPr>
          <w:noProof/>
        </w:rPr>
        <w:t xml:space="preserve">Osasu, Y. M., Cooper, R. and Mitchell, C. (2021) 'Patients' and clinicians' perceptions of oral anticoagulants in atrial fibrillation: a systematic narrative review and meta-analysis', </w:t>
      </w:r>
      <w:r w:rsidRPr="00C95F82">
        <w:rPr>
          <w:i/>
          <w:noProof/>
        </w:rPr>
        <w:t>BMC Family Practice,</w:t>
      </w:r>
      <w:r w:rsidRPr="00C95F82">
        <w:rPr>
          <w:noProof/>
        </w:rPr>
        <w:t xml:space="preserve"> 22(1), pp. 254.</w:t>
      </w:r>
    </w:p>
    <w:p w14:paraId="572E31D1" w14:textId="062584D9" w:rsidR="00C95F82" w:rsidRPr="00C95F82" w:rsidRDefault="00C95F82" w:rsidP="00C95F82">
      <w:pPr>
        <w:pStyle w:val="EndNoteBibliography"/>
        <w:spacing w:after="240"/>
        <w:rPr>
          <w:noProof/>
        </w:rPr>
      </w:pPr>
      <w:r w:rsidRPr="00C95F82">
        <w:rPr>
          <w:noProof/>
        </w:rPr>
        <w:t xml:space="preserve">Otsuka Pharmaceutical Co. Ltd (2018) </w:t>
      </w:r>
      <w:r w:rsidRPr="00C95F82">
        <w:rPr>
          <w:i/>
          <w:noProof/>
        </w:rPr>
        <w:t>Otsuka's JYNARQUE™ (tolvaptan) Approved by U.S. FDA as the First Treatment to Slow Kidney Function Decline in Adults at Risk of Rapidly Progressing Autosomal Dominant Polycystic Kidney Disease (ADPKD)</w:t>
      </w:r>
      <w:r w:rsidRPr="00C95F82">
        <w:rPr>
          <w:noProof/>
        </w:rPr>
        <w:t xml:space="preserve">. Available at: </w:t>
      </w:r>
      <w:hyperlink r:id="rId116" w:history="1">
        <w:r w:rsidRPr="00C95F82">
          <w:rPr>
            <w:rStyle w:val="Hyperlink"/>
            <w:noProof/>
          </w:rPr>
          <w:t>https://www.otsuka.co.jp/en/company/newsreleases/2018/20180425_1.html</w:t>
        </w:r>
      </w:hyperlink>
      <w:r w:rsidRPr="00C95F82">
        <w:rPr>
          <w:noProof/>
        </w:rPr>
        <w:t xml:space="preserve"> (Accessed: 16/02/2026).</w:t>
      </w:r>
    </w:p>
    <w:p w14:paraId="25E24F26" w14:textId="77777777" w:rsidR="00C95F82" w:rsidRPr="00C95F82" w:rsidRDefault="00C95F82" w:rsidP="00C95F82">
      <w:pPr>
        <w:pStyle w:val="EndNoteBibliography"/>
        <w:spacing w:after="240"/>
        <w:rPr>
          <w:noProof/>
        </w:rPr>
      </w:pPr>
      <w:r w:rsidRPr="00C95F82">
        <w:rPr>
          <w:noProof/>
        </w:rPr>
        <w:t>Otsuka Pharmaceutical Co. Ltd 2024. Email to Matthew Gittus.</w:t>
      </w:r>
    </w:p>
    <w:p w14:paraId="7554EF2C" w14:textId="77777777" w:rsidR="00C95F82" w:rsidRPr="00C95F82" w:rsidRDefault="00C95F82" w:rsidP="00C95F82">
      <w:pPr>
        <w:pStyle w:val="EndNoteBibliography"/>
        <w:spacing w:after="240"/>
        <w:rPr>
          <w:noProof/>
        </w:rPr>
      </w:pPr>
      <w:r w:rsidRPr="00C95F82">
        <w:rPr>
          <w:noProof/>
        </w:rPr>
        <w:t xml:space="preserve">Otte, I., Salloch, S., Reinacher-Schick, A. and Vollmann, J. (2017) 'Treatment recommendations within the leeway of clinical guidelines: A qualitative interview study on oncologists’ clinical deliberation', </w:t>
      </w:r>
      <w:r w:rsidRPr="00C95F82">
        <w:rPr>
          <w:i/>
          <w:noProof/>
        </w:rPr>
        <w:t>BMC Cancer,</w:t>
      </w:r>
      <w:r w:rsidRPr="00C95F82">
        <w:rPr>
          <w:noProof/>
        </w:rPr>
        <w:t xml:space="preserve"> 17(1), pp. 780.</w:t>
      </w:r>
    </w:p>
    <w:p w14:paraId="1D09EDFC" w14:textId="77777777" w:rsidR="00C95F82" w:rsidRPr="00C95F82" w:rsidRDefault="00C95F82" w:rsidP="00C95F82">
      <w:pPr>
        <w:pStyle w:val="EndNoteBibliography"/>
        <w:spacing w:after="240"/>
        <w:rPr>
          <w:noProof/>
        </w:rPr>
      </w:pPr>
      <w:r w:rsidRPr="00C95F82">
        <w:rPr>
          <w:noProof/>
        </w:rPr>
        <w:t xml:space="preserve">Özge, A., Domaç, F. M., Tekin, N., Sünbül, E. A., Öksüz, N., Atalar, A., Çallı, S. Y., Fidan, Y. S., Evlice, A., Beştepe, E. E., İzci, F., Küsbeci Ö, Y., Demirel, E. A., Velioğlu, S. K. and Ungan, M. (2023) 'One Patient, Three Providers: A Multidisciplinary Approach to Managing Common Neuropsychiatric Cases', </w:t>
      </w:r>
      <w:r w:rsidRPr="00C95F82">
        <w:rPr>
          <w:i/>
          <w:noProof/>
        </w:rPr>
        <w:t>Journal of Clinical Medicine,</w:t>
      </w:r>
      <w:r w:rsidRPr="00C95F82">
        <w:rPr>
          <w:noProof/>
        </w:rPr>
        <w:t xml:space="preserve"> 12(17), pp. 5754.</w:t>
      </w:r>
    </w:p>
    <w:p w14:paraId="5055787E" w14:textId="77777777" w:rsidR="00C95F82" w:rsidRPr="00C95F82" w:rsidRDefault="00C95F82" w:rsidP="00C95F82">
      <w:pPr>
        <w:pStyle w:val="EndNoteBibliography"/>
        <w:spacing w:after="240"/>
        <w:rPr>
          <w:noProof/>
        </w:rPr>
      </w:pPr>
      <w:r w:rsidRPr="00C95F82">
        <w:rPr>
          <w:noProof/>
        </w:rPr>
        <w:t xml:space="preserve">Page, M. J., McKenzie, J. E., Bossuyt, P. M., Boutron, I., Hoffmann, T. C., Mulrow, C. D., Shamseer, L., Tetzlaff, J. M., Akl, E. A., Brennan, S. E., Chou, R., Glanville, J., Grimshaw, J. M., Hróbjartsson, A., Lalu, M. M., Li, T., Loder, E. W., Mayo-Wilson, E., McDonald, S., McGuinness, L. A., Stewart, L. A., Thomas, J., Tricco, A. C., Welch, V. A., Whiting, P. and Moher, D. (2021) 'The PRISMA 2020 statement: An updated guideline for reporting systematic reviews', </w:t>
      </w:r>
      <w:r w:rsidRPr="00C95F82">
        <w:rPr>
          <w:i/>
          <w:noProof/>
        </w:rPr>
        <w:t>Journal of Clinical Epidemiology,</w:t>
      </w:r>
      <w:r w:rsidRPr="00C95F82">
        <w:rPr>
          <w:noProof/>
        </w:rPr>
        <w:t xml:space="preserve"> 134, pp. 178-189.</w:t>
      </w:r>
    </w:p>
    <w:p w14:paraId="2EA242A3" w14:textId="77777777" w:rsidR="00C95F82" w:rsidRPr="00C95F82" w:rsidRDefault="00C95F82" w:rsidP="00C95F82">
      <w:pPr>
        <w:pStyle w:val="EndNoteBibliography"/>
        <w:spacing w:after="240"/>
        <w:rPr>
          <w:noProof/>
        </w:rPr>
      </w:pPr>
      <w:r w:rsidRPr="00C95F82">
        <w:rPr>
          <w:noProof/>
        </w:rPr>
        <w:t xml:space="preserve">Pai, M., Yeung, C. H., Akl, E. A., Darzi, A., Hillis, C., Legault, K., Meerpohl, J. J., Santesso, N., Taruscio, D. and Verhovsek, M. (2019) 'Strategies for eliciting and synthesizing evidence for guidelines in rare diseases', </w:t>
      </w:r>
      <w:r w:rsidRPr="00C95F82">
        <w:rPr>
          <w:i/>
          <w:noProof/>
        </w:rPr>
        <w:t>BMC Medical Research Methodology,</w:t>
      </w:r>
      <w:r w:rsidRPr="00C95F82">
        <w:rPr>
          <w:noProof/>
        </w:rPr>
        <w:t xml:space="preserve"> 19(1), pp. 67.</w:t>
      </w:r>
    </w:p>
    <w:p w14:paraId="079CD9C3" w14:textId="77777777" w:rsidR="00C95F82" w:rsidRPr="00C95F82" w:rsidRDefault="00C95F82" w:rsidP="00C95F82">
      <w:pPr>
        <w:pStyle w:val="EndNoteBibliography"/>
        <w:spacing w:after="240"/>
        <w:rPr>
          <w:noProof/>
        </w:rPr>
      </w:pPr>
      <w:r w:rsidRPr="00C95F82">
        <w:rPr>
          <w:noProof/>
        </w:rPr>
        <w:t xml:space="preserve">Pandolfo, A. M., Horne, R., Jani, Y., Reader, T. W., Bidad, N., Brealey, D., Enne, V. I., Livermore, D. M., Gant, V. and Brett, S. J. (2022) 'Understanding decisions about antibiotic prescribing in ICU: an application of the Necessity Concerns Framework', </w:t>
      </w:r>
      <w:r w:rsidRPr="00C95F82">
        <w:rPr>
          <w:i/>
          <w:noProof/>
        </w:rPr>
        <w:t>BMJ Quality &amp; Safety,</w:t>
      </w:r>
      <w:r w:rsidRPr="00C95F82">
        <w:rPr>
          <w:noProof/>
        </w:rPr>
        <w:t xml:space="preserve"> 31(3), pp. 199-210.</w:t>
      </w:r>
    </w:p>
    <w:p w14:paraId="480073E2" w14:textId="77777777" w:rsidR="00C95F82" w:rsidRPr="00C95F82" w:rsidRDefault="00C95F82" w:rsidP="00C95F82">
      <w:pPr>
        <w:pStyle w:val="EndNoteBibliography"/>
        <w:spacing w:after="240"/>
        <w:rPr>
          <w:noProof/>
        </w:rPr>
      </w:pPr>
      <w:r w:rsidRPr="00C95F82">
        <w:rPr>
          <w:noProof/>
        </w:rPr>
        <w:t xml:space="preserve">Panturu, A., van Kleef, R., Eijkenaar, F. and Cattel, D. (2025) 'A framework for the design of risk-adjustment models in health care provider payment systems', </w:t>
      </w:r>
      <w:r w:rsidRPr="00C95F82">
        <w:rPr>
          <w:i/>
          <w:noProof/>
        </w:rPr>
        <w:t>Medical Care Research and Review,</w:t>
      </w:r>
      <w:r w:rsidRPr="00C95F82">
        <w:rPr>
          <w:noProof/>
        </w:rPr>
        <w:t xml:space="preserve"> 82(1), pp. 43-57.</w:t>
      </w:r>
    </w:p>
    <w:p w14:paraId="16A2BD8F" w14:textId="77777777" w:rsidR="00C95F82" w:rsidRPr="00C95F82" w:rsidRDefault="00C95F82" w:rsidP="00C95F82">
      <w:pPr>
        <w:pStyle w:val="EndNoteBibliography"/>
        <w:spacing w:after="240"/>
        <w:rPr>
          <w:noProof/>
        </w:rPr>
      </w:pPr>
      <w:r w:rsidRPr="00C95F82">
        <w:rPr>
          <w:noProof/>
        </w:rPr>
        <w:t xml:space="preserve">Patton, M. Q. (1990) </w:t>
      </w:r>
      <w:r w:rsidRPr="00C95F82">
        <w:rPr>
          <w:i/>
          <w:noProof/>
        </w:rPr>
        <w:t>Qualitative evaluation and research methods.</w:t>
      </w:r>
      <w:r w:rsidRPr="00C95F82">
        <w:rPr>
          <w:noProof/>
        </w:rPr>
        <w:t xml:space="preserve"> London, UK: SAGE Publications Ltd, p. 1-532.</w:t>
      </w:r>
    </w:p>
    <w:p w14:paraId="0FF2DD0E" w14:textId="77777777" w:rsidR="00C95F82" w:rsidRPr="00C95F82" w:rsidRDefault="00C95F82" w:rsidP="00C95F82">
      <w:pPr>
        <w:pStyle w:val="EndNoteBibliography"/>
        <w:spacing w:after="240"/>
        <w:rPr>
          <w:noProof/>
        </w:rPr>
      </w:pPr>
      <w:r w:rsidRPr="00C95F82">
        <w:rPr>
          <w:noProof/>
        </w:rPr>
        <w:t xml:space="preserve">Patton, M. Q. (2014) </w:t>
      </w:r>
      <w:r w:rsidRPr="00C95F82">
        <w:rPr>
          <w:i/>
          <w:noProof/>
        </w:rPr>
        <w:t>Qualitative research &amp; evaluation methods: Integrating theory and practice.</w:t>
      </w:r>
      <w:r w:rsidRPr="00C95F82">
        <w:rPr>
          <w:noProof/>
        </w:rPr>
        <w:t xml:space="preserve"> London, UK: SAGE Publications Ltd, p. 1-832.</w:t>
      </w:r>
    </w:p>
    <w:p w14:paraId="4F204D32" w14:textId="77777777" w:rsidR="00C95F82" w:rsidRPr="00C95F82" w:rsidRDefault="00C95F82" w:rsidP="00C95F82">
      <w:pPr>
        <w:pStyle w:val="EndNoteBibliography"/>
        <w:spacing w:after="240"/>
        <w:rPr>
          <w:noProof/>
        </w:rPr>
      </w:pPr>
      <w:r w:rsidRPr="00C95F82">
        <w:rPr>
          <w:noProof/>
        </w:rPr>
        <w:t xml:space="preserve">Pavan, S., Rommel, K., Mateo Marquina, M. E., Höhn, S., Lanneau, V. and Rath, A. (2017) 'Clinical practice guidelines for rare diseases: the orphanet database', </w:t>
      </w:r>
      <w:r w:rsidRPr="00C95F82">
        <w:rPr>
          <w:i/>
          <w:noProof/>
        </w:rPr>
        <w:t>PLOS One,</w:t>
      </w:r>
      <w:r w:rsidRPr="00C95F82">
        <w:rPr>
          <w:noProof/>
        </w:rPr>
        <w:t xml:space="preserve"> 12(1), pp. e0170365.</w:t>
      </w:r>
    </w:p>
    <w:p w14:paraId="64BEADA0" w14:textId="77777777" w:rsidR="00C95F82" w:rsidRPr="00C95F82" w:rsidRDefault="00C95F82" w:rsidP="00C95F82">
      <w:pPr>
        <w:pStyle w:val="EndNoteBibliography"/>
        <w:spacing w:after="240"/>
        <w:rPr>
          <w:noProof/>
        </w:rPr>
      </w:pPr>
      <w:r w:rsidRPr="00C95F82">
        <w:rPr>
          <w:noProof/>
        </w:rPr>
        <w:t xml:space="preserve">Payne, R. A. and Avery, A. J. (2011) 'Polypharmacy: one of the greatest prescribing challenges in general practice', </w:t>
      </w:r>
      <w:r w:rsidRPr="00C95F82">
        <w:rPr>
          <w:i/>
          <w:noProof/>
        </w:rPr>
        <w:t>British Journal of General Practice,</w:t>
      </w:r>
      <w:r w:rsidRPr="00C95F82">
        <w:rPr>
          <w:noProof/>
        </w:rPr>
        <w:t xml:space="preserve"> 61(583), pp. 83-84.</w:t>
      </w:r>
    </w:p>
    <w:p w14:paraId="03241D4F" w14:textId="77777777" w:rsidR="00C95F82" w:rsidRPr="00C95F82" w:rsidRDefault="00C95F82" w:rsidP="00C95F82">
      <w:pPr>
        <w:pStyle w:val="EndNoteBibliography"/>
        <w:spacing w:after="240"/>
        <w:rPr>
          <w:noProof/>
        </w:rPr>
      </w:pPr>
      <w:r w:rsidRPr="00C95F82">
        <w:rPr>
          <w:noProof/>
        </w:rPr>
        <w:t xml:space="preserve">Pechmann, A., König, K., Bernert, G., Schachtrup, K., Schara, U., Schorling, D., Schwersenz, I., Stein, S., Tassoni, A. and Vogt, S. (2019) 'SMArtCARE-A platform to collect real-life outcome data of patients with spinal muscular atrophy', </w:t>
      </w:r>
      <w:r w:rsidRPr="00C95F82">
        <w:rPr>
          <w:i/>
          <w:noProof/>
        </w:rPr>
        <w:t>Orphanet journal of rare diseases,</w:t>
      </w:r>
      <w:r w:rsidRPr="00C95F82">
        <w:rPr>
          <w:noProof/>
        </w:rPr>
        <w:t xml:space="preserve"> 14(1), pp. 18.</w:t>
      </w:r>
    </w:p>
    <w:p w14:paraId="1D127802" w14:textId="77777777" w:rsidR="00C95F82" w:rsidRPr="00C95F82" w:rsidRDefault="00C95F82" w:rsidP="00C95F82">
      <w:pPr>
        <w:pStyle w:val="EndNoteBibliography"/>
        <w:spacing w:after="240"/>
        <w:rPr>
          <w:noProof/>
        </w:rPr>
      </w:pPr>
      <w:r w:rsidRPr="00C95F82">
        <w:rPr>
          <w:noProof/>
        </w:rPr>
        <w:t xml:space="preserve">Pei, Y., Obaji, J., Dupuis, A., Paterson, A. D., Magistroni, R., Dicks, E., Parfrey, P., Cramer, B., Coto, E. and Torra, R. (2009) 'Unified criteria for ultrasonographic diagnosis of ADPKD', </w:t>
      </w:r>
      <w:r w:rsidRPr="00C95F82">
        <w:rPr>
          <w:i/>
          <w:noProof/>
        </w:rPr>
        <w:t>Journal of the American Society of Nephrology,</w:t>
      </w:r>
      <w:r w:rsidRPr="00C95F82">
        <w:rPr>
          <w:noProof/>
        </w:rPr>
        <w:t xml:space="preserve"> 20(1), pp. 205.</w:t>
      </w:r>
    </w:p>
    <w:p w14:paraId="1822CFE3" w14:textId="77777777" w:rsidR="00C95F82" w:rsidRPr="00C95F82" w:rsidRDefault="00C95F82" w:rsidP="00C95F82">
      <w:pPr>
        <w:pStyle w:val="EndNoteBibliography"/>
        <w:spacing w:after="240"/>
        <w:rPr>
          <w:noProof/>
        </w:rPr>
      </w:pPr>
      <w:r w:rsidRPr="00C95F82">
        <w:rPr>
          <w:noProof/>
        </w:rPr>
        <w:t xml:space="preserve">Pei, Y. and Watnick, T. (2010) 'Diagnosis and screening of autosomal dominant polycystic kidney disease', </w:t>
      </w:r>
      <w:r w:rsidRPr="00C95F82">
        <w:rPr>
          <w:i/>
          <w:noProof/>
        </w:rPr>
        <w:t>Advances in Chronic Kidney Disease,</w:t>
      </w:r>
      <w:r w:rsidRPr="00C95F82">
        <w:rPr>
          <w:noProof/>
        </w:rPr>
        <w:t xml:space="preserve"> 17(2), pp. 140-52.</w:t>
      </w:r>
    </w:p>
    <w:p w14:paraId="486F1AEB" w14:textId="77777777" w:rsidR="00C95F82" w:rsidRPr="00C95F82" w:rsidRDefault="00C95F82" w:rsidP="00C95F82">
      <w:pPr>
        <w:pStyle w:val="EndNoteBibliography"/>
        <w:spacing w:after="240"/>
        <w:rPr>
          <w:noProof/>
        </w:rPr>
      </w:pPr>
      <w:r w:rsidRPr="00C95F82">
        <w:rPr>
          <w:noProof/>
        </w:rPr>
        <w:t xml:space="preserve">Pereira, V. C., Silva, S. N., Carvalho, V. K., Zanghelini, F. and Barreto, J. O. (2022) 'Strategies for the implementation of clinical practice guidelines in public health: an overview of systematic reviews', </w:t>
      </w:r>
      <w:r w:rsidRPr="00C95F82">
        <w:rPr>
          <w:i/>
          <w:noProof/>
        </w:rPr>
        <w:t>Health Research Policy and Systems,</w:t>
      </w:r>
      <w:r w:rsidRPr="00C95F82">
        <w:rPr>
          <w:noProof/>
        </w:rPr>
        <w:t xml:space="preserve"> 20(1), pp. 13.</w:t>
      </w:r>
    </w:p>
    <w:p w14:paraId="4A55944C" w14:textId="77777777" w:rsidR="00C95F82" w:rsidRPr="00C95F82" w:rsidRDefault="00C95F82" w:rsidP="00C95F82">
      <w:pPr>
        <w:pStyle w:val="EndNoteBibliography"/>
        <w:spacing w:after="240"/>
        <w:rPr>
          <w:noProof/>
        </w:rPr>
      </w:pPr>
      <w:r w:rsidRPr="00C95F82">
        <w:rPr>
          <w:noProof/>
        </w:rPr>
        <w:t xml:space="preserve">Perrone, R. D., Garbinsky, D., Nunna, S., Gandhi, H. K., Fernandes, A. W., Burgos, G., Olopoenia, A., DeCongelio, M., Maculaitis, M. C. and Zhou, X. (2025) 'Effectiveness of Tolvaptan for Autosomal Dominant Polycystic Kidney Disease in US Clinical Practice With Comparison to Historical Control Data', </w:t>
      </w:r>
      <w:r w:rsidRPr="00C95F82">
        <w:rPr>
          <w:i/>
          <w:noProof/>
        </w:rPr>
        <w:t>Kidney Medicine,</w:t>
      </w:r>
      <w:r w:rsidRPr="00C95F82">
        <w:rPr>
          <w:noProof/>
        </w:rPr>
        <w:t xml:space="preserve"> 7(5), pp. 100988.</w:t>
      </w:r>
    </w:p>
    <w:p w14:paraId="70779E30" w14:textId="77777777" w:rsidR="00C95F82" w:rsidRPr="00C95F82" w:rsidRDefault="00C95F82" w:rsidP="00C95F82">
      <w:pPr>
        <w:pStyle w:val="EndNoteBibliography"/>
        <w:spacing w:after="240"/>
        <w:rPr>
          <w:noProof/>
        </w:rPr>
      </w:pPr>
      <w:r w:rsidRPr="00C95F82">
        <w:rPr>
          <w:noProof/>
        </w:rPr>
        <w:t xml:space="preserve">Peters, S., Sukumar, K., Blanchard, S., Ramasamy, A., Malinowski, J., Ginex, P., Senerth, E., Corremans, M., Munn, Z. and Kredo, T. (2022) 'Trends in guideline implementation: an updated scoping review', </w:t>
      </w:r>
      <w:r w:rsidRPr="00C95F82">
        <w:rPr>
          <w:i/>
          <w:noProof/>
        </w:rPr>
        <w:t>Implementation Science,</w:t>
      </w:r>
      <w:r w:rsidRPr="00C95F82">
        <w:rPr>
          <w:noProof/>
        </w:rPr>
        <w:t xml:space="preserve"> 17(1), pp. 50.</w:t>
      </w:r>
    </w:p>
    <w:p w14:paraId="31EBF2D5" w14:textId="77777777" w:rsidR="00C95F82" w:rsidRPr="00C95F82" w:rsidRDefault="00C95F82" w:rsidP="00C95F82">
      <w:pPr>
        <w:pStyle w:val="EndNoteBibliography"/>
        <w:spacing w:after="240"/>
        <w:rPr>
          <w:noProof/>
        </w:rPr>
      </w:pPr>
      <w:r w:rsidRPr="00C95F82">
        <w:rPr>
          <w:noProof/>
        </w:rPr>
        <w:t xml:space="preserve">Phillips, C., Parkinson, A., Namsrai, T., Chalmers, A., Dews, C., Gregory, D., Kelly, E., Lowe, C. and Desborough, J. (2024) 'Time to diagnosis for a rare disease: managing medical uncertainty. A qualitative study', </w:t>
      </w:r>
      <w:r w:rsidRPr="00C95F82">
        <w:rPr>
          <w:i/>
          <w:noProof/>
        </w:rPr>
        <w:t>Orphanet Journal of Rare Diseases,</w:t>
      </w:r>
      <w:r w:rsidRPr="00C95F82">
        <w:rPr>
          <w:noProof/>
        </w:rPr>
        <w:t xml:space="preserve"> 19(1), pp. 297.</w:t>
      </w:r>
    </w:p>
    <w:p w14:paraId="1B6413C1" w14:textId="77777777" w:rsidR="00C95F82" w:rsidRPr="00C95F82" w:rsidRDefault="00C95F82" w:rsidP="00C95F82">
      <w:pPr>
        <w:pStyle w:val="EndNoteBibliography"/>
        <w:spacing w:after="240"/>
        <w:rPr>
          <w:noProof/>
        </w:rPr>
      </w:pPr>
      <w:r w:rsidRPr="00C95F82">
        <w:rPr>
          <w:noProof/>
        </w:rPr>
        <w:t xml:space="preserve">Phillips, L. S., Branch Jr, W. T., Cook, C. B., Doyle, J. P., El-Kebbi, I. M., Gallina, D. L., Miller, C. D., Ziemer, D. C. and Barnes, C. S. (2001) 'Clinical inertia', </w:t>
      </w:r>
      <w:r w:rsidRPr="00C95F82">
        <w:rPr>
          <w:i/>
          <w:noProof/>
        </w:rPr>
        <w:t>Annals of Internal Medicine,</w:t>
      </w:r>
      <w:r w:rsidRPr="00C95F82">
        <w:rPr>
          <w:noProof/>
        </w:rPr>
        <w:t xml:space="preserve"> 135(9), pp. 825-834.</w:t>
      </w:r>
    </w:p>
    <w:p w14:paraId="66EDA2EC" w14:textId="77777777" w:rsidR="00C95F82" w:rsidRPr="00C95F82" w:rsidRDefault="00C95F82" w:rsidP="00C95F82">
      <w:pPr>
        <w:pStyle w:val="EndNoteBibliography"/>
        <w:spacing w:after="240"/>
        <w:rPr>
          <w:noProof/>
        </w:rPr>
      </w:pPr>
      <w:r w:rsidRPr="00C95F82">
        <w:rPr>
          <w:noProof/>
        </w:rPr>
        <w:t xml:space="preserve">Picco, L., Lam, T., Haines, S. and Nielsen, S. (2021) 'How prescription drug monitoring programs influence clinical decision-making: a mixed methods systematic review and meta-analysis', </w:t>
      </w:r>
      <w:r w:rsidRPr="00C95F82">
        <w:rPr>
          <w:i/>
          <w:noProof/>
        </w:rPr>
        <w:t>Drug and Alcohol Dependence,</w:t>
      </w:r>
      <w:r w:rsidRPr="00C95F82">
        <w:rPr>
          <w:noProof/>
        </w:rPr>
        <w:t xml:space="preserve"> 228, pp. 109090.</w:t>
      </w:r>
    </w:p>
    <w:p w14:paraId="0CD1A3B0" w14:textId="77777777" w:rsidR="00C95F82" w:rsidRPr="00C95F82" w:rsidRDefault="00C95F82" w:rsidP="00C95F82">
      <w:pPr>
        <w:pStyle w:val="EndNoteBibliography"/>
        <w:spacing w:after="240"/>
        <w:rPr>
          <w:noProof/>
        </w:rPr>
      </w:pPr>
      <w:r w:rsidRPr="00C95F82">
        <w:rPr>
          <w:noProof/>
        </w:rPr>
        <w:t xml:space="preserve">Pieper, D., Antoine, S.-L., Mathes, T., Neugebauer, E. A. and Eikermann, M. (2014) 'Systematic review finds overlapping reviews were not mentioned in every other overview', </w:t>
      </w:r>
      <w:r w:rsidRPr="00C95F82">
        <w:rPr>
          <w:i/>
          <w:noProof/>
        </w:rPr>
        <w:t>Journal of Clinical Epidemiology,</w:t>
      </w:r>
      <w:r w:rsidRPr="00C95F82">
        <w:rPr>
          <w:noProof/>
        </w:rPr>
        <w:t xml:space="preserve"> 67(4), pp. 368-375.</w:t>
      </w:r>
    </w:p>
    <w:p w14:paraId="3888CFEC" w14:textId="77777777" w:rsidR="00C95F82" w:rsidRPr="00C95F82" w:rsidRDefault="00C95F82" w:rsidP="00C95F82">
      <w:pPr>
        <w:pStyle w:val="EndNoteBibliography"/>
        <w:spacing w:after="240"/>
        <w:rPr>
          <w:noProof/>
        </w:rPr>
      </w:pPr>
      <w:r w:rsidRPr="00C95F82">
        <w:rPr>
          <w:noProof/>
        </w:rPr>
        <w:t xml:space="preserve">Pieper, D., Buechter, R., Jerinic, P. and Eikermann, M. (2012) 'Overviews of reviews often have limited rigor: a systematic review', </w:t>
      </w:r>
      <w:r w:rsidRPr="00C95F82">
        <w:rPr>
          <w:i/>
          <w:noProof/>
        </w:rPr>
        <w:t>Journal of Clinical Epidemiology,</w:t>
      </w:r>
      <w:r w:rsidRPr="00C95F82">
        <w:rPr>
          <w:noProof/>
        </w:rPr>
        <w:t xml:space="preserve"> 65(12), pp. 1267-1273.</w:t>
      </w:r>
    </w:p>
    <w:p w14:paraId="79A31762" w14:textId="77777777" w:rsidR="00C95F82" w:rsidRPr="00C95F82" w:rsidRDefault="00C95F82" w:rsidP="00C95F82">
      <w:pPr>
        <w:pStyle w:val="EndNoteBibliography"/>
        <w:spacing w:after="240"/>
        <w:rPr>
          <w:noProof/>
        </w:rPr>
      </w:pPr>
      <w:r w:rsidRPr="00C95F82">
        <w:rPr>
          <w:noProof/>
        </w:rPr>
        <w:t xml:space="preserve">Pieper, D., Koensgen, N., Breuing, J., Ge, L. and Wegewitz, U. (2018) 'How is AMSTAR applied by authors – a call for better reporting', </w:t>
      </w:r>
      <w:r w:rsidRPr="00C95F82">
        <w:rPr>
          <w:i/>
          <w:noProof/>
        </w:rPr>
        <w:t>BMC Medical Research Methodology,</w:t>
      </w:r>
      <w:r w:rsidRPr="00C95F82">
        <w:rPr>
          <w:noProof/>
        </w:rPr>
        <w:t xml:space="preserve"> 18(1), pp. 56.</w:t>
      </w:r>
    </w:p>
    <w:p w14:paraId="7720F9CD" w14:textId="77777777" w:rsidR="00C95F82" w:rsidRPr="00C95F82" w:rsidRDefault="00C95F82" w:rsidP="00C95F82">
      <w:pPr>
        <w:pStyle w:val="EndNoteBibliography"/>
        <w:spacing w:after="240"/>
        <w:rPr>
          <w:noProof/>
        </w:rPr>
      </w:pPr>
      <w:r w:rsidRPr="00C95F82">
        <w:rPr>
          <w:noProof/>
        </w:rPr>
        <w:t xml:space="preserve">Pokorny, A. M., Fabbri, A., Bero, L. A., Moynihan, R. and Mintzes, B. J. (2022) 'Interactions with the pharmaceutical industry and the practice, knowledge and beliefs of medical oncologists and clinical haematologists: a systematic review', </w:t>
      </w:r>
      <w:r w:rsidRPr="00C95F82">
        <w:rPr>
          <w:i/>
          <w:noProof/>
        </w:rPr>
        <w:t>British Journal of Cancer,</w:t>
      </w:r>
      <w:r w:rsidRPr="00C95F82">
        <w:rPr>
          <w:noProof/>
        </w:rPr>
        <w:t xml:space="preserve"> 126(1), pp. 144-161.</w:t>
      </w:r>
    </w:p>
    <w:p w14:paraId="1F3225FF" w14:textId="77777777" w:rsidR="00C95F82" w:rsidRPr="00C95F82" w:rsidRDefault="00C95F82" w:rsidP="00C95F82">
      <w:pPr>
        <w:pStyle w:val="EndNoteBibliography"/>
        <w:spacing w:after="240"/>
        <w:rPr>
          <w:noProof/>
        </w:rPr>
      </w:pPr>
      <w:r w:rsidRPr="00C95F82">
        <w:rPr>
          <w:noProof/>
        </w:rPr>
        <w:t xml:space="preserve">Pollock, M., Bazaldua, O. V. and Dobbie, A. E. (2007) 'Appropriate prescribing of medications: an eight-step approach', </w:t>
      </w:r>
      <w:r w:rsidRPr="00C95F82">
        <w:rPr>
          <w:i/>
          <w:noProof/>
        </w:rPr>
        <w:t>American Family Physician,</w:t>
      </w:r>
      <w:r w:rsidRPr="00C95F82">
        <w:rPr>
          <w:noProof/>
        </w:rPr>
        <w:t xml:space="preserve"> 75(2), pp. 231-236.</w:t>
      </w:r>
    </w:p>
    <w:p w14:paraId="5369B894" w14:textId="77777777" w:rsidR="00C95F82" w:rsidRPr="00C95F82" w:rsidRDefault="00C95F82" w:rsidP="00C95F82">
      <w:pPr>
        <w:pStyle w:val="EndNoteBibliography"/>
        <w:spacing w:after="240"/>
        <w:rPr>
          <w:noProof/>
        </w:rPr>
      </w:pPr>
      <w:r w:rsidRPr="00C95F82">
        <w:rPr>
          <w:noProof/>
        </w:rPr>
        <w:t xml:space="preserve">Pollock, M., Fernandes, R. M. and Hartling, L. (2017) 'Evaluation of AMSTAR to assess the methodological quality of systematic reviews in overviews of reviews of healthcare interventions', </w:t>
      </w:r>
      <w:r w:rsidRPr="00C95F82">
        <w:rPr>
          <w:i/>
          <w:noProof/>
        </w:rPr>
        <w:t>BMC Medical Research Methodology,</w:t>
      </w:r>
      <w:r w:rsidRPr="00C95F82">
        <w:rPr>
          <w:noProof/>
        </w:rPr>
        <w:t xml:space="preserve"> 17(1), pp. 48.</w:t>
      </w:r>
    </w:p>
    <w:p w14:paraId="4E823423" w14:textId="77777777" w:rsidR="00C95F82" w:rsidRPr="00C95F82" w:rsidRDefault="00C95F82" w:rsidP="00C95F82">
      <w:pPr>
        <w:pStyle w:val="EndNoteBibliography"/>
        <w:spacing w:after="240"/>
        <w:rPr>
          <w:noProof/>
        </w:rPr>
      </w:pPr>
      <w:r w:rsidRPr="00C95F82">
        <w:rPr>
          <w:noProof/>
        </w:rPr>
        <w:t xml:space="preserve">Poluektova, O., Robertson, D. A., Rafferty, A., Cunney, R. and Lunn, P. D. (2023) 'A scoping review and behavioural analysis of factors underlying overuse of antimicrobials', </w:t>
      </w:r>
      <w:r w:rsidRPr="00C95F82">
        <w:rPr>
          <w:i/>
          <w:noProof/>
        </w:rPr>
        <w:t>JAC-Antimicrobial Resistance,</w:t>
      </w:r>
      <w:r w:rsidRPr="00C95F82">
        <w:rPr>
          <w:noProof/>
        </w:rPr>
        <w:t xml:space="preserve"> 5(3), pp. dlad043.</w:t>
      </w:r>
    </w:p>
    <w:p w14:paraId="6F6C4104" w14:textId="77777777" w:rsidR="00C95F82" w:rsidRPr="00C95F82" w:rsidRDefault="00C95F82" w:rsidP="00C95F82">
      <w:pPr>
        <w:pStyle w:val="EndNoteBibliography"/>
        <w:spacing w:after="240"/>
        <w:rPr>
          <w:noProof/>
        </w:rPr>
      </w:pPr>
      <w:r w:rsidRPr="00C95F82">
        <w:rPr>
          <w:noProof/>
        </w:rPr>
        <w:t xml:space="preserve">Pontes, C., Fontanet, J. M., Vives, R., Sancho, A., Gómez-Valent, M., Ríos, J., Morros, R., Martinalbo, J., Posch, M. and Koch, A. (2018) 'Evidence supporting regulatory-decision making on orphan medicinal products authorisation in Europe: methodological uncertainties', </w:t>
      </w:r>
      <w:r w:rsidRPr="00C95F82">
        <w:rPr>
          <w:i/>
          <w:noProof/>
        </w:rPr>
        <w:t>Orphanet Journal of Rare Diseases,</w:t>
      </w:r>
      <w:r w:rsidRPr="00C95F82">
        <w:rPr>
          <w:noProof/>
        </w:rPr>
        <w:t xml:space="preserve"> 13(1), pp. 206.</w:t>
      </w:r>
    </w:p>
    <w:p w14:paraId="09190702" w14:textId="77777777" w:rsidR="00C95F82" w:rsidRPr="00C95F82" w:rsidRDefault="00C95F82" w:rsidP="00C95F82">
      <w:pPr>
        <w:pStyle w:val="EndNoteBibliography"/>
        <w:spacing w:after="240"/>
        <w:rPr>
          <w:noProof/>
        </w:rPr>
      </w:pPr>
      <w:r w:rsidRPr="00C95F82">
        <w:rPr>
          <w:noProof/>
        </w:rPr>
        <w:t xml:space="preserve">Ponto, J. (2015) 'Understanding and evaluating survey research', </w:t>
      </w:r>
      <w:r w:rsidRPr="00C95F82">
        <w:rPr>
          <w:i/>
          <w:noProof/>
        </w:rPr>
        <w:t>Journal of the Advanced Practitioner in Oncology,</w:t>
      </w:r>
      <w:r w:rsidRPr="00C95F82">
        <w:rPr>
          <w:noProof/>
        </w:rPr>
        <w:t xml:space="preserve"> 6(2), pp. 168.</w:t>
      </w:r>
    </w:p>
    <w:p w14:paraId="145520D3" w14:textId="77777777" w:rsidR="00C95F82" w:rsidRPr="00C95F82" w:rsidRDefault="00C95F82" w:rsidP="00C95F82">
      <w:pPr>
        <w:pStyle w:val="EndNoteBibliography"/>
        <w:spacing w:after="240"/>
        <w:rPr>
          <w:noProof/>
        </w:rPr>
      </w:pPr>
      <w:r w:rsidRPr="00C95F82">
        <w:rPr>
          <w:noProof/>
        </w:rPr>
        <w:t xml:space="preserve">Popay, J., Roberts, H., Sowden, A., Petticrew, M., Arai, L., Rodgers, M., Britten, N., Roen, K. and Duffy, S. (2006) 'Guidance on the conduct of narrative synthesis in systematic reviews', </w:t>
      </w:r>
      <w:r w:rsidRPr="00C95F82">
        <w:rPr>
          <w:i/>
          <w:noProof/>
        </w:rPr>
        <w:t>A product from the ESRC methods programme,</w:t>
      </w:r>
      <w:r w:rsidRPr="00C95F82">
        <w:rPr>
          <w:noProof/>
        </w:rPr>
        <w:t xml:space="preserve"> 1(1), pp. b92.</w:t>
      </w:r>
    </w:p>
    <w:p w14:paraId="1E84ED5D" w14:textId="77777777" w:rsidR="00C95F82" w:rsidRPr="00C95F82" w:rsidRDefault="00C95F82" w:rsidP="00C95F82">
      <w:pPr>
        <w:pStyle w:val="EndNoteBibliography"/>
        <w:spacing w:after="240"/>
        <w:rPr>
          <w:noProof/>
        </w:rPr>
      </w:pPr>
      <w:r w:rsidRPr="00C95F82">
        <w:rPr>
          <w:noProof/>
        </w:rPr>
        <w:t xml:space="preserve">Poss-Doering, R., Kamradt, M., Stuermlinger, A., Glassen, K., Kaufmann-Kolle, P., Andres, E. and Wensing, M. (2020) 'The complex phenomenon of dysrational antibiotics prescribing decisions in German primary healthcare: a qualitative interview study using dual process theory', </w:t>
      </w:r>
      <w:r w:rsidRPr="00C95F82">
        <w:rPr>
          <w:i/>
          <w:noProof/>
        </w:rPr>
        <w:t>Antimicrobial Resistance &amp; Infection Control,</w:t>
      </w:r>
      <w:r w:rsidRPr="00C95F82">
        <w:rPr>
          <w:noProof/>
        </w:rPr>
        <w:t xml:space="preserve"> 9(6), pp. 1-11.</w:t>
      </w:r>
    </w:p>
    <w:p w14:paraId="37C03597" w14:textId="77777777" w:rsidR="00C95F82" w:rsidRPr="00C95F82" w:rsidRDefault="00C95F82" w:rsidP="00C95F82">
      <w:pPr>
        <w:pStyle w:val="EndNoteBibliography"/>
        <w:spacing w:after="240"/>
        <w:rPr>
          <w:noProof/>
        </w:rPr>
      </w:pPr>
      <w:r w:rsidRPr="00C95F82">
        <w:rPr>
          <w:noProof/>
        </w:rPr>
        <w:t xml:space="preserve">Prata, A. A., Katsuyama, E. S., Scardini, P. G., Covre, A. C., Neto, W. F., Fernandes, J. M., Barbosa, G. S., Fukunaga, C., Pinheiro, R. P. and Antunes, V. L. (2025) 'The efficacy and safety of specific therapies for cardiac Transthyretin-mediated amyloidosis: a systematic review and meta-analysis of randomized trials', </w:t>
      </w:r>
      <w:r w:rsidRPr="00C95F82">
        <w:rPr>
          <w:i/>
          <w:noProof/>
        </w:rPr>
        <w:t>BMC Cardiovascular Disorders,</w:t>
      </w:r>
      <w:r w:rsidRPr="00C95F82">
        <w:rPr>
          <w:noProof/>
        </w:rPr>
        <w:t xml:space="preserve"> 25(1), pp. 296.</w:t>
      </w:r>
    </w:p>
    <w:p w14:paraId="3C316A8B" w14:textId="77777777" w:rsidR="00C95F82" w:rsidRPr="00C95F82" w:rsidRDefault="00C95F82" w:rsidP="00C95F82">
      <w:pPr>
        <w:pStyle w:val="EndNoteBibliography"/>
        <w:spacing w:after="240"/>
        <w:rPr>
          <w:noProof/>
        </w:rPr>
      </w:pPr>
      <w:r w:rsidRPr="00C95F82">
        <w:rPr>
          <w:noProof/>
        </w:rPr>
        <w:t xml:space="preserve">Presta, R., Brunetti, E., Polidori, M. C. and Bo, M. (2022) 'Impact of frailty models on the prescription of oral anticoagulants and on the incidence of stroke, bleeding, and mortality in older patients with atrial fibrillation: a systematic review', </w:t>
      </w:r>
      <w:r w:rsidRPr="00C95F82">
        <w:rPr>
          <w:i/>
          <w:noProof/>
        </w:rPr>
        <w:t>Ageing Research Reviews,</w:t>
      </w:r>
      <w:r w:rsidRPr="00C95F82">
        <w:rPr>
          <w:noProof/>
        </w:rPr>
        <w:t xml:space="preserve"> 82, pp. 101761.</w:t>
      </w:r>
    </w:p>
    <w:p w14:paraId="4A7D21CF" w14:textId="77777777" w:rsidR="00C95F82" w:rsidRPr="00C95F82" w:rsidRDefault="00C95F82" w:rsidP="00C95F82">
      <w:pPr>
        <w:pStyle w:val="EndNoteBibliography"/>
        <w:spacing w:after="240"/>
        <w:rPr>
          <w:noProof/>
        </w:rPr>
      </w:pPr>
      <w:r w:rsidRPr="00C95F82">
        <w:rPr>
          <w:noProof/>
        </w:rPr>
        <w:t xml:space="preserve">Pretorius, L. (2024) 'Demystifying research paradigms: Navigating ontology, epistemology, and axiology in research', </w:t>
      </w:r>
      <w:r w:rsidRPr="00C95F82">
        <w:rPr>
          <w:i/>
          <w:noProof/>
        </w:rPr>
        <w:t>The Qualitative Report,</w:t>
      </w:r>
      <w:r w:rsidRPr="00C95F82">
        <w:rPr>
          <w:noProof/>
        </w:rPr>
        <w:t xml:space="preserve"> 29(10), pp. 2698-2715.</w:t>
      </w:r>
    </w:p>
    <w:p w14:paraId="6E8F2273" w14:textId="77777777" w:rsidR="00C95F82" w:rsidRPr="00C95F82" w:rsidRDefault="00C95F82" w:rsidP="00C95F82">
      <w:pPr>
        <w:pStyle w:val="EndNoteBibliography"/>
        <w:spacing w:after="240"/>
        <w:rPr>
          <w:noProof/>
        </w:rPr>
      </w:pPr>
      <w:r w:rsidRPr="00C95F82">
        <w:rPr>
          <w:noProof/>
        </w:rPr>
        <w:t xml:space="preserve">Príncipe, A. S., Filho, A. S., Machado, B. A., Barbosa, J. D., Winkler, I. and Ferreira, C. V. (2023) 'Decision support frameworks in public health emergencies: a systematic review of dynamic models in complex contexts', </w:t>
      </w:r>
      <w:r w:rsidRPr="00C95F82">
        <w:rPr>
          <w:i/>
          <w:noProof/>
        </w:rPr>
        <w:t>International Journal of Environmental Research and Public Health,</w:t>
      </w:r>
      <w:r w:rsidRPr="00C95F82">
        <w:rPr>
          <w:noProof/>
        </w:rPr>
        <w:t xml:space="preserve"> 20(17), pp. 6685.</w:t>
      </w:r>
    </w:p>
    <w:p w14:paraId="044A95DD" w14:textId="77777777" w:rsidR="00C95F82" w:rsidRPr="00C95F82" w:rsidRDefault="00C95F82" w:rsidP="00C95F82">
      <w:pPr>
        <w:pStyle w:val="EndNoteBibliography"/>
        <w:spacing w:after="240"/>
        <w:rPr>
          <w:noProof/>
        </w:rPr>
      </w:pPr>
      <w:r w:rsidRPr="00C95F82">
        <w:rPr>
          <w:noProof/>
        </w:rPr>
        <w:t xml:space="preserve">Pritchett, R. V., Clarke, J. L., Jolly, K., Clarkesmith, D., Bem, D., Turner, G. M., Thomas, G. N. and Lane, D. A. (2020) 'Clinicians’ views and experiences of prescribing oral anticoagulants for stroke prevention in atrial fibrillation: a qualitative meta-synthesis', </w:t>
      </w:r>
      <w:r w:rsidRPr="00C95F82">
        <w:rPr>
          <w:i/>
          <w:noProof/>
        </w:rPr>
        <w:t>PLOS One,</w:t>
      </w:r>
      <w:r w:rsidRPr="00C95F82">
        <w:rPr>
          <w:noProof/>
        </w:rPr>
        <w:t xml:space="preserve"> 15(5), pp. e0232484.</w:t>
      </w:r>
    </w:p>
    <w:p w14:paraId="66EE318C" w14:textId="77777777" w:rsidR="00C95F82" w:rsidRPr="00C95F82" w:rsidRDefault="00C95F82" w:rsidP="00C95F82">
      <w:pPr>
        <w:pStyle w:val="EndNoteBibliography"/>
        <w:spacing w:after="240"/>
        <w:rPr>
          <w:noProof/>
        </w:rPr>
      </w:pPr>
      <w:r w:rsidRPr="00C95F82">
        <w:rPr>
          <w:noProof/>
        </w:rPr>
        <w:t xml:space="preserve">Proietti, M., Romiti, G. F., Raparelli, V., Diemberger, I., Boriani, G., Dalla Vecchia, L. A., Bellelli, G., Marzetti, E., Lip, G. Y. and Cesari, M. (2022) 'Frailty prevalence and impact on outcomes in patients with atrial fibrillation: a systematic review and meta-analysis of 1,187,000 patients', </w:t>
      </w:r>
      <w:r w:rsidRPr="00C95F82">
        <w:rPr>
          <w:i/>
          <w:noProof/>
        </w:rPr>
        <w:t>Ageing Research Reviews,</w:t>
      </w:r>
      <w:r w:rsidRPr="00C95F82">
        <w:rPr>
          <w:noProof/>
        </w:rPr>
        <w:t xml:space="preserve"> 79, pp. 101652.</w:t>
      </w:r>
    </w:p>
    <w:p w14:paraId="1E002132" w14:textId="0FE6CACD" w:rsidR="00C95F82" w:rsidRPr="00C95F82" w:rsidRDefault="00C95F82" w:rsidP="00C95F82">
      <w:pPr>
        <w:pStyle w:val="EndNoteBibliography"/>
        <w:spacing w:after="240"/>
        <w:rPr>
          <w:noProof/>
        </w:rPr>
      </w:pPr>
      <w:r w:rsidRPr="00C95F82">
        <w:rPr>
          <w:noProof/>
        </w:rPr>
        <w:t xml:space="preserve">Public Health Wales (2023) </w:t>
      </w:r>
      <w:r w:rsidRPr="00C95F82">
        <w:rPr>
          <w:i/>
          <w:noProof/>
        </w:rPr>
        <w:t>Hip Replacement Costs (FOI 2023 50)</w:t>
      </w:r>
      <w:r w:rsidRPr="00C95F82">
        <w:rPr>
          <w:noProof/>
        </w:rPr>
        <w:t xml:space="preserve">. Available at: </w:t>
      </w:r>
      <w:hyperlink r:id="rId117" w:history="1">
        <w:r w:rsidRPr="00C95F82">
          <w:rPr>
            <w:rStyle w:val="Hyperlink"/>
            <w:noProof/>
          </w:rPr>
          <w:t>https://phw.nhs.wales/use-of-site/contact-us/freedom-of-information/disclosure-log/foi-2023-50-hip-replacement-costs/</w:t>
        </w:r>
      </w:hyperlink>
      <w:r w:rsidRPr="00C95F82">
        <w:rPr>
          <w:noProof/>
        </w:rPr>
        <w:t xml:space="preserve"> (Accessed: 28/04/2025).</w:t>
      </w:r>
    </w:p>
    <w:p w14:paraId="67A5E96F" w14:textId="77777777" w:rsidR="00C95F82" w:rsidRPr="00C95F82" w:rsidRDefault="00C95F82" w:rsidP="00C95F82">
      <w:pPr>
        <w:pStyle w:val="EndNoteBibliography"/>
        <w:spacing w:after="240"/>
        <w:rPr>
          <w:noProof/>
        </w:rPr>
      </w:pPr>
      <w:r w:rsidRPr="00C95F82">
        <w:rPr>
          <w:noProof/>
        </w:rPr>
        <w:t xml:space="preserve">Qadi, O., Lufumpa, N., Adderley, N., Bem, D., Marshall, T. and Kokab, F. (2020) 'Patients’ and health professionals’ attitudes and perceptions towards the initiation of preventive drugs for primary prevention of cardiovascular disease: a systematic review of qualitative studies', </w:t>
      </w:r>
      <w:r w:rsidRPr="00C95F82">
        <w:rPr>
          <w:i/>
          <w:noProof/>
        </w:rPr>
        <w:t>British Journal of General Practice Open,</w:t>
      </w:r>
      <w:r w:rsidRPr="00C95F82">
        <w:rPr>
          <w:noProof/>
        </w:rPr>
        <w:t xml:space="preserve"> 4(5), pp. 20X101087.</w:t>
      </w:r>
    </w:p>
    <w:p w14:paraId="7CFE74B7" w14:textId="7D3DFC7D" w:rsidR="00C95F82" w:rsidRPr="00C95F82" w:rsidRDefault="00C95F82" w:rsidP="00C95F82">
      <w:pPr>
        <w:pStyle w:val="EndNoteBibliography"/>
        <w:spacing w:after="240"/>
        <w:rPr>
          <w:noProof/>
        </w:rPr>
      </w:pPr>
      <w:r w:rsidRPr="00C95F82">
        <w:rPr>
          <w:noProof/>
        </w:rPr>
        <w:t xml:space="preserve">Qualtrics (2026) </w:t>
      </w:r>
      <w:r w:rsidRPr="00C95F82">
        <w:rPr>
          <w:i/>
          <w:noProof/>
        </w:rPr>
        <w:t>Security and Privacy Overview</w:t>
      </w:r>
      <w:r w:rsidRPr="00C95F82">
        <w:rPr>
          <w:noProof/>
        </w:rPr>
        <w:t xml:space="preserve">. Available at: </w:t>
      </w:r>
      <w:hyperlink r:id="rId118" w:history="1">
        <w:r w:rsidRPr="00C95F82">
          <w:rPr>
            <w:rStyle w:val="Hyperlink"/>
            <w:noProof/>
          </w:rPr>
          <w:t>https://www.qualtrics.com/platform/security/</w:t>
        </w:r>
      </w:hyperlink>
      <w:r w:rsidRPr="00C95F82">
        <w:rPr>
          <w:noProof/>
        </w:rPr>
        <w:t xml:space="preserve"> (Accessed: 25/04/2026).</w:t>
      </w:r>
    </w:p>
    <w:p w14:paraId="3E61D766" w14:textId="77777777" w:rsidR="00C95F82" w:rsidRPr="00C95F82" w:rsidRDefault="00C95F82" w:rsidP="00C95F82">
      <w:pPr>
        <w:pStyle w:val="EndNoteBibliography"/>
        <w:spacing w:after="240"/>
        <w:rPr>
          <w:noProof/>
        </w:rPr>
      </w:pPr>
      <w:r w:rsidRPr="00C95F82">
        <w:rPr>
          <w:noProof/>
        </w:rPr>
        <w:t xml:space="preserve">Raisch, D. W. (1990) 'A model of methods for influencing prescribing: Part II. A review of educational methods, theories of human inference, and delineation of the model', </w:t>
      </w:r>
      <w:r w:rsidRPr="00C95F82">
        <w:rPr>
          <w:i/>
          <w:noProof/>
        </w:rPr>
        <w:t>DICP—The Annals of Pharmacotherapy,</w:t>
      </w:r>
      <w:r w:rsidRPr="00C95F82">
        <w:rPr>
          <w:noProof/>
        </w:rPr>
        <w:t xml:space="preserve"> 24(5), pp. 537-42.</w:t>
      </w:r>
    </w:p>
    <w:p w14:paraId="43A970E3" w14:textId="77777777" w:rsidR="00C95F82" w:rsidRPr="00C95F82" w:rsidRDefault="00C95F82" w:rsidP="00C95F82">
      <w:pPr>
        <w:pStyle w:val="EndNoteBibliography"/>
        <w:spacing w:after="240"/>
        <w:rPr>
          <w:noProof/>
        </w:rPr>
      </w:pPr>
      <w:r w:rsidRPr="00C95F82">
        <w:rPr>
          <w:noProof/>
        </w:rPr>
        <w:t xml:space="preserve">Ramsay, A. I., Tomini, S. M., Gandhi, S., Fulop, N. J. and Morris, S. (2025) 'Centralisation of specialised healthcare services: a scoping review of definitions, types, and impact on outcomes', </w:t>
      </w:r>
      <w:r w:rsidRPr="00C95F82">
        <w:rPr>
          <w:i/>
          <w:noProof/>
        </w:rPr>
        <w:t>Health and Social Care Delivery Research,</w:t>
      </w:r>
      <w:r w:rsidRPr="00C95F82">
        <w:rPr>
          <w:noProof/>
        </w:rPr>
        <w:t xml:space="preserve"> (43), pp. 1-70.</w:t>
      </w:r>
    </w:p>
    <w:p w14:paraId="01FE742D" w14:textId="77777777" w:rsidR="00C95F82" w:rsidRPr="00C95F82" w:rsidRDefault="00C95F82" w:rsidP="00C95F82">
      <w:pPr>
        <w:pStyle w:val="EndNoteBibliography"/>
        <w:spacing w:after="240"/>
        <w:rPr>
          <w:noProof/>
        </w:rPr>
      </w:pPr>
      <w:r w:rsidRPr="00C95F82">
        <w:rPr>
          <w:noProof/>
        </w:rPr>
        <w:t xml:space="preserve">Rao, V., Ammar, S., Alshorman, A., Fravel, M., McGreal, K. A., Winklhofer, F. T., Noureddine, L., Jalal, D. I., Yu, A. S. and Mustafa, R. A. (2025) 'Real-World Tolvaptan Use in Autosomal Dominant Polycystic Kidney Disease: Insights from Two US Medical Centers', </w:t>
      </w:r>
      <w:r w:rsidRPr="00C95F82">
        <w:rPr>
          <w:i/>
          <w:noProof/>
        </w:rPr>
        <w:t>Kidney360</w:t>
      </w:r>
      <w:r w:rsidRPr="00C95F82">
        <w:rPr>
          <w:noProof/>
        </w:rPr>
        <w:t>, pp. 10.34067.</w:t>
      </w:r>
    </w:p>
    <w:p w14:paraId="400C4EBB" w14:textId="77777777" w:rsidR="00C95F82" w:rsidRPr="00C95F82" w:rsidRDefault="00C95F82" w:rsidP="00C95F82">
      <w:pPr>
        <w:pStyle w:val="EndNoteBibliography"/>
        <w:spacing w:after="240"/>
        <w:rPr>
          <w:noProof/>
        </w:rPr>
      </w:pPr>
      <w:r w:rsidRPr="00C95F82">
        <w:rPr>
          <w:noProof/>
        </w:rPr>
        <w:t xml:space="preserve">Rawson, T. M., Charani, E., Moore, L. S. P., Hernandez, B., Castro-Sánchez, E., Herrero, P., Georgiou, P. and Holmes, A. H. (2016) 'Mapping the decision pathways of acute infection management in secondary care among UK medical physicians: a qualitative study', </w:t>
      </w:r>
      <w:r w:rsidRPr="00C95F82">
        <w:rPr>
          <w:i/>
          <w:noProof/>
        </w:rPr>
        <w:t>BMC Medicine,</w:t>
      </w:r>
      <w:r w:rsidRPr="00C95F82">
        <w:rPr>
          <w:noProof/>
        </w:rPr>
        <w:t xml:space="preserve"> 14(1), pp. 208.</w:t>
      </w:r>
    </w:p>
    <w:p w14:paraId="0D6CD775" w14:textId="77777777" w:rsidR="00C95F82" w:rsidRPr="00C95F82" w:rsidRDefault="00C95F82" w:rsidP="00C95F82">
      <w:pPr>
        <w:pStyle w:val="EndNoteBibliography"/>
        <w:spacing w:after="240"/>
        <w:rPr>
          <w:noProof/>
        </w:rPr>
      </w:pPr>
      <w:r w:rsidRPr="00C95F82">
        <w:rPr>
          <w:noProof/>
        </w:rPr>
        <w:t xml:space="preserve">Reach, G., Pechtner, V., Gentilella, R., Corcos, A. and Ceriello, A. (2017) 'Clinical inertia and its impact on treatment intensification in people with type 2 diabetes mellitus', </w:t>
      </w:r>
      <w:r w:rsidRPr="00C95F82">
        <w:rPr>
          <w:i/>
          <w:noProof/>
        </w:rPr>
        <w:t>Diabetes &amp; Metabolism,</w:t>
      </w:r>
      <w:r w:rsidRPr="00C95F82">
        <w:rPr>
          <w:noProof/>
        </w:rPr>
        <w:t xml:space="preserve"> 43(6), pp. 501-511.</w:t>
      </w:r>
    </w:p>
    <w:p w14:paraId="22300E87" w14:textId="60B83A9D" w:rsidR="00C95F82" w:rsidRPr="00C95F82" w:rsidRDefault="00C95F82" w:rsidP="00C95F82">
      <w:pPr>
        <w:pStyle w:val="EndNoteBibliography"/>
        <w:spacing w:after="240"/>
        <w:rPr>
          <w:noProof/>
        </w:rPr>
      </w:pPr>
      <w:r w:rsidRPr="00C95F82">
        <w:rPr>
          <w:noProof/>
        </w:rPr>
        <w:t xml:space="preserve">Renal Association (2016) </w:t>
      </w:r>
      <w:r w:rsidRPr="00C95F82">
        <w:rPr>
          <w:i/>
          <w:noProof/>
        </w:rPr>
        <w:t>Commentary on the NICE Guideline on Tolvaptan for treating autosomal dominant polycystic kidney disease</w:t>
      </w:r>
      <w:r w:rsidRPr="00C95F82">
        <w:rPr>
          <w:noProof/>
        </w:rPr>
        <w:t xml:space="preserve">. Available at: </w:t>
      </w:r>
      <w:hyperlink r:id="rId119" w:history="1">
        <w:r w:rsidRPr="00C95F82">
          <w:rPr>
            <w:rStyle w:val="Hyperlink"/>
            <w:noProof/>
          </w:rPr>
          <w:t>https://ukkidney.org/health-professionals/guidelines/commentary-nice-guideline-tolvaptan-treating-autosomal-dominant</w:t>
        </w:r>
      </w:hyperlink>
      <w:r w:rsidRPr="00C95F82">
        <w:rPr>
          <w:noProof/>
        </w:rPr>
        <w:t xml:space="preserve"> (Accessed: 13/11/2023).</w:t>
      </w:r>
    </w:p>
    <w:p w14:paraId="30F17B26" w14:textId="77777777" w:rsidR="00C95F82" w:rsidRPr="00C95F82" w:rsidRDefault="00C95F82" w:rsidP="00C95F82">
      <w:pPr>
        <w:pStyle w:val="EndNoteBibliography"/>
        <w:spacing w:after="240"/>
        <w:rPr>
          <w:noProof/>
        </w:rPr>
      </w:pPr>
      <w:r w:rsidRPr="00C95F82">
        <w:rPr>
          <w:noProof/>
        </w:rPr>
        <w:t xml:space="preserve">Richter, R., Giroldi, E., Jansen, J. and van der Weijden, T. (2020) 'A qualitative exploration of clinicians’ strategies to communicate risks to patients in the complex reality of clinical practice', </w:t>
      </w:r>
      <w:r w:rsidRPr="00C95F82">
        <w:rPr>
          <w:i/>
          <w:noProof/>
        </w:rPr>
        <w:t>PLOS One,</w:t>
      </w:r>
      <w:r w:rsidRPr="00C95F82">
        <w:rPr>
          <w:noProof/>
        </w:rPr>
        <w:t xml:space="preserve"> 15(8), pp. e0236751.</w:t>
      </w:r>
    </w:p>
    <w:p w14:paraId="0E387898" w14:textId="77777777" w:rsidR="00C95F82" w:rsidRPr="00C95F82" w:rsidRDefault="00C95F82" w:rsidP="00C95F82">
      <w:pPr>
        <w:pStyle w:val="EndNoteBibliography"/>
        <w:spacing w:after="240"/>
        <w:rPr>
          <w:noProof/>
        </w:rPr>
      </w:pPr>
      <w:r w:rsidRPr="00C95F82">
        <w:rPr>
          <w:noProof/>
        </w:rPr>
        <w:t xml:space="preserve">Richter, T., Nestler-Parr, S., Babela, R., Khan, Z. M., Tesoro, T., Molsen, E. and Hughes, D. A. (2015) 'Rare disease terminology and definitions—a systematic global review: report of the ISPOR rare disease special interest group', </w:t>
      </w:r>
      <w:r w:rsidRPr="00C95F82">
        <w:rPr>
          <w:i/>
          <w:noProof/>
        </w:rPr>
        <w:t>Value in health,</w:t>
      </w:r>
      <w:r w:rsidRPr="00C95F82">
        <w:rPr>
          <w:noProof/>
        </w:rPr>
        <w:t xml:space="preserve"> 18(6), pp. 906-914.</w:t>
      </w:r>
    </w:p>
    <w:p w14:paraId="57086372" w14:textId="77777777" w:rsidR="00C95F82" w:rsidRPr="00C95F82" w:rsidRDefault="00C95F82" w:rsidP="00C95F82">
      <w:pPr>
        <w:pStyle w:val="EndNoteBibliography"/>
        <w:spacing w:after="240"/>
        <w:rPr>
          <w:noProof/>
        </w:rPr>
      </w:pPr>
      <w:r w:rsidRPr="00C95F82">
        <w:rPr>
          <w:noProof/>
        </w:rPr>
        <w:t xml:space="preserve">Rinaldi, A., Bullo, A. and Schulz, P. J. (2025) 'Patients’ requests and physicians’ prescribing behavior. A systematic review', </w:t>
      </w:r>
      <w:r w:rsidRPr="00C95F82">
        <w:rPr>
          <w:i/>
          <w:noProof/>
        </w:rPr>
        <w:t>Patient Education and Counseling,</w:t>
      </w:r>
      <w:r w:rsidRPr="00C95F82">
        <w:rPr>
          <w:noProof/>
        </w:rPr>
        <w:t xml:space="preserve"> 136, pp. 108747.</w:t>
      </w:r>
    </w:p>
    <w:p w14:paraId="00DCF004" w14:textId="77777777" w:rsidR="00C95F82" w:rsidRPr="00C95F82" w:rsidRDefault="00C95F82" w:rsidP="00C95F82">
      <w:pPr>
        <w:pStyle w:val="EndNoteBibliography"/>
        <w:spacing w:after="240"/>
        <w:rPr>
          <w:noProof/>
        </w:rPr>
      </w:pPr>
      <w:r w:rsidRPr="00C95F82">
        <w:rPr>
          <w:noProof/>
        </w:rPr>
        <w:t xml:space="preserve">Riordan, D. O., Walsh, K. A., Galvin, R., Sinnott, C., Kearney, P. M. and Byrne, S. (2016) 'The effect of pharmacist-led interventions in optimising prescribing in older adults in primary care: a systematic review', </w:t>
      </w:r>
      <w:r w:rsidRPr="00C95F82">
        <w:rPr>
          <w:i/>
          <w:noProof/>
        </w:rPr>
        <w:t>SAGE Open Medicine,</w:t>
      </w:r>
      <w:r w:rsidRPr="00C95F82">
        <w:rPr>
          <w:noProof/>
        </w:rPr>
        <w:t xml:space="preserve"> 4, pp. 2050312116652568.</w:t>
      </w:r>
    </w:p>
    <w:p w14:paraId="475D790E" w14:textId="77777777" w:rsidR="00C95F82" w:rsidRPr="00C95F82" w:rsidRDefault="00C95F82" w:rsidP="00C95F82">
      <w:pPr>
        <w:pStyle w:val="EndNoteBibliography"/>
        <w:spacing w:after="240"/>
        <w:rPr>
          <w:noProof/>
        </w:rPr>
      </w:pPr>
      <w:r w:rsidRPr="00C95F82">
        <w:rPr>
          <w:noProof/>
        </w:rPr>
        <w:t xml:space="preserve">Robinson, C. (2023) 'Mainstreaming the alternative format thesis in UK higher education: a systematic narrative review of institutional policies', </w:t>
      </w:r>
      <w:r w:rsidRPr="00C95F82">
        <w:rPr>
          <w:i/>
          <w:noProof/>
        </w:rPr>
        <w:t>Perspectives: Policy and Practice in Higher Education,</w:t>
      </w:r>
      <w:r w:rsidRPr="00C95F82">
        <w:rPr>
          <w:noProof/>
        </w:rPr>
        <w:t xml:space="preserve"> 27(4), pp. 140-149.</w:t>
      </w:r>
    </w:p>
    <w:p w14:paraId="7110FAE7" w14:textId="77777777" w:rsidR="00C95F82" w:rsidRPr="00C95F82" w:rsidRDefault="00C95F82" w:rsidP="00C95F82">
      <w:pPr>
        <w:pStyle w:val="EndNoteBibliography"/>
        <w:spacing w:after="240"/>
        <w:rPr>
          <w:noProof/>
        </w:rPr>
      </w:pPr>
      <w:r w:rsidRPr="00C95F82">
        <w:rPr>
          <w:noProof/>
        </w:rPr>
        <w:t xml:space="preserve">Rodis, J. L., Sevin, A., Awad, M. H., Porter, B., Glasgow, K., Hornbeck Fox, C. and Pryor, B. (2017) 'Improving Chronic Disease Outcomes Through Medication Therapy Management in Federally Qualified Health Centers', </w:t>
      </w:r>
      <w:r w:rsidRPr="00C95F82">
        <w:rPr>
          <w:i/>
          <w:noProof/>
        </w:rPr>
        <w:t>Journal of Primary Care &amp; Community Health,</w:t>
      </w:r>
      <w:r w:rsidRPr="00C95F82">
        <w:rPr>
          <w:noProof/>
        </w:rPr>
        <w:t xml:space="preserve"> 8(4), pp. 324-331.</w:t>
      </w:r>
    </w:p>
    <w:p w14:paraId="39C8CECD" w14:textId="77777777" w:rsidR="00C95F82" w:rsidRPr="00C95F82" w:rsidRDefault="00C95F82" w:rsidP="00C95F82">
      <w:pPr>
        <w:pStyle w:val="EndNoteBibliography"/>
        <w:spacing w:after="240"/>
        <w:rPr>
          <w:noProof/>
        </w:rPr>
      </w:pPr>
      <w:r w:rsidRPr="00C95F82">
        <w:rPr>
          <w:noProof/>
        </w:rPr>
        <w:t xml:space="preserve">Rogal, S. S., Yakovchenko, V., Waltz, T. J., Powell, B. J., Kirchner, J. E., Proctor, E. K., Gonzalez, R., Park, A., Ross, D. and Morgan, T. R. (2017) 'The association between implementation strategy use and the uptake of hepatitis C treatment in a national sample', </w:t>
      </w:r>
      <w:r w:rsidRPr="00C95F82">
        <w:rPr>
          <w:i/>
          <w:noProof/>
        </w:rPr>
        <w:t>Implementation Science,</w:t>
      </w:r>
      <w:r w:rsidRPr="00C95F82">
        <w:rPr>
          <w:noProof/>
        </w:rPr>
        <w:t xml:space="preserve"> 12(1), pp. 60.</w:t>
      </w:r>
    </w:p>
    <w:p w14:paraId="5FE5C03D" w14:textId="77777777" w:rsidR="00C95F82" w:rsidRPr="00C95F82" w:rsidRDefault="00C95F82" w:rsidP="00C95F82">
      <w:pPr>
        <w:pStyle w:val="EndNoteBibliography"/>
        <w:spacing w:after="240"/>
        <w:rPr>
          <w:noProof/>
        </w:rPr>
      </w:pPr>
      <w:r w:rsidRPr="00C95F82">
        <w:rPr>
          <w:noProof/>
        </w:rPr>
        <w:t xml:space="preserve">Rosenberg, S., Södergård, B., Rosenholm, J. M. and Rauha, J.-P. (2023) 'A qualitative study on the views of experts on the social impact of the high-priced orphan drug nusinersen', </w:t>
      </w:r>
      <w:r w:rsidRPr="00C95F82">
        <w:rPr>
          <w:i/>
          <w:noProof/>
        </w:rPr>
        <w:t>Exploratory Research in Clinical and Social Pharmacy,</w:t>
      </w:r>
      <w:r w:rsidRPr="00C95F82">
        <w:rPr>
          <w:noProof/>
        </w:rPr>
        <w:t xml:space="preserve"> 9, pp. 100227.</w:t>
      </w:r>
    </w:p>
    <w:p w14:paraId="6D6824A7" w14:textId="77777777" w:rsidR="00C95F82" w:rsidRPr="00C95F82" w:rsidRDefault="00C95F82" w:rsidP="00C95F82">
      <w:pPr>
        <w:pStyle w:val="EndNoteBibliography"/>
        <w:spacing w:after="240"/>
        <w:rPr>
          <w:noProof/>
        </w:rPr>
      </w:pPr>
      <w:r w:rsidRPr="00C95F82">
        <w:rPr>
          <w:noProof/>
        </w:rPr>
        <w:t xml:space="preserve">Roshanov, P. S., Fernandes, N., Wilczynski, J. M., Hemens, B. J., You, J. J., Handler, S. M., Nieuwlaat, R., Souza, N. M., Beyene, J. and Van Spall, H. G. (2013) 'Features of effective computerised clinical decision support systems: meta-regression of 162 randomised trials', </w:t>
      </w:r>
      <w:r w:rsidRPr="00C95F82">
        <w:rPr>
          <w:i/>
          <w:noProof/>
        </w:rPr>
        <w:t>BMJ,</w:t>
      </w:r>
      <w:r w:rsidRPr="00C95F82">
        <w:rPr>
          <w:noProof/>
        </w:rPr>
        <w:t xml:space="preserve"> 346, pp. f657.</w:t>
      </w:r>
    </w:p>
    <w:p w14:paraId="3CDBFC9E" w14:textId="77777777" w:rsidR="00C95F82" w:rsidRPr="00C95F82" w:rsidRDefault="00C95F82" w:rsidP="00C95F82">
      <w:pPr>
        <w:pStyle w:val="EndNoteBibliography"/>
        <w:spacing w:after="240"/>
        <w:rPr>
          <w:noProof/>
        </w:rPr>
      </w:pPr>
      <w:r w:rsidRPr="00C95F82">
        <w:rPr>
          <w:noProof/>
        </w:rPr>
        <w:t xml:space="preserve">Roumie, C., Elasy, T., Wallston, K., Pratt, S., Greevy, R., Liu, X., Alvarez, V., Dittus, R. and Speroff, T. (2007) 'Evidence-based medicine: Clinical inertia: A common barrier to changing provider prescribing behavior', </w:t>
      </w:r>
      <w:r w:rsidRPr="00C95F82">
        <w:rPr>
          <w:i/>
          <w:noProof/>
        </w:rPr>
        <w:t>Joint Commission Journal on Quality and Patient Safety,</w:t>
      </w:r>
      <w:r w:rsidRPr="00C95F82">
        <w:rPr>
          <w:noProof/>
        </w:rPr>
        <w:t xml:space="preserve"> 33, pp. 277-85.</w:t>
      </w:r>
    </w:p>
    <w:p w14:paraId="4F06F6A3" w14:textId="77777777" w:rsidR="00C95F82" w:rsidRPr="00C95F82" w:rsidRDefault="00C95F82" w:rsidP="00C95F82">
      <w:pPr>
        <w:pStyle w:val="EndNoteBibliography"/>
        <w:spacing w:after="240"/>
        <w:rPr>
          <w:noProof/>
        </w:rPr>
      </w:pPr>
      <w:r w:rsidRPr="00C95F82">
        <w:rPr>
          <w:noProof/>
        </w:rPr>
        <w:t xml:space="preserve">Roumie, C. L., Halasa, N. B., Edwards, K. M., Zhu, Y., Dittus, R. S. and Griffin, M. R. (2005) 'Differences in antibiotic prescribing among physicians, residents, and nonphysician clinicians', </w:t>
      </w:r>
      <w:r w:rsidRPr="00C95F82">
        <w:rPr>
          <w:i/>
          <w:noProof/>
        </w:rPr>
        <w:t>American Journal of Medicine,</w:t>
      </w:r>
      <w:r w:rsidRPr="00C95F82">
        <w:rPr>
          <w:noProof/>
        </w:rPr>
        <w:t xml:space="preserve"> 118(6), pp. 641-8.</w:t>
      </w:r>
    </w:p>
    <w:p w14:paraId="444B4B30" w14:textId="4C389F0D" w:rsidR="00C95F82" w:rsidRPr="00C95F82" w:rsidRDefault="00C95F82" w:rsidP="00C95F82">
      <w:pPr>
        <w:pStyle w:val="EndNoteBibliography"/>
        <w:spacing w:after="240"/>
        <w:rPr>
          <w:noProof/>
        </w:rPr>
      </w:pPr>
      <w:r w:rsidRPr="00C95F82">
        <w:rPr>
          <w:noProof/>
        </w:rPr>
        <w:t xml:space="preserve">Royal Pharmaceutical Society (2013) </w:t>
      </w:r>
      <w:r w:rsidRPr="00C95F82">
        <w:rPr>
          <w:i/>
          <w:noProof/>
        </w:rPr>
        <w:t>Medicines Optimisation: Helping Patients to Make the Most of Medicines: Good Practice Guidance for Healthcare Professionals in England, May 2013</w:t>
      </w:r>
      <w:r w:rsidRPr="00C95F82">
        <w:rPr>
          <w:noProof/>
        </w:rPr>
        <w:t xml:space="preserve">. Available at: </w:t>
      </w:r>
      <w:hyperlink r:id="rId120" w:history="1">
        <w:r w:rsidRPr="00C95F82">
          <w:rPr>
            <w:rStyle w:val="Hyperlink"/>
            <w:noProof/>
          </w:rPr>
          <w:t>https://www.rcpharm.org/medicines-safety/medicines-optimisation.asp</w:t>
        </w:r>
      </w:hyperlink>
      <w:r w:rsidRPr="00C95F82">
        <w:rPr>
          <w:noProof/>
        </w:rPr>
        <w:t xml:space="preserve"> (Accessed: 06/02/2025).</w:t>
      </w:r>
    </w:p>
    <w:p w14:paraId="59CACE38" w14:textId="77777777" w:rsidR="00C95F82" w:rsidRPr="00C95F82" w:rsidRDefault="00C95F82" w:rsidP="00C95F82">
      <w:pPr>
        <w:pStyle w:val="EndNoteBibliography"/>
        <w:spacing w:after="240"/>
        <w:rPr>
          <w:noProof/>
        </w:rPr>
      </w:pPr>
      <w:r w:rsidRPr="00C95F82">
        <w:rPr>
          <w:noProof/>
        </w:rPr>
        <w:t xml:space="preserve">Rushforth, B., McCrorie, C., Glidewell, L., Midgley, E. and Foy, R. (2016) 'Barriers to effective management of type 2 diabetes in primary care: qualitative systematic review', </w:t>
      </w:r>
      <w:r w:rsidRPr="00C95F82">
        <w:rPr>
          <w:i/>
          <w:noProof/>
        </w:rPr>
        <w:t>British Journal of General Practice,</w:t>
      </w:r>
      <w:r w:rsidRPr="00C95F82">
        <w:rPr>
          <w:noProof/>
        </w:rPr>
        <w:t xml:space="preserve"> 66(643), pp. e114-e127.</w:t>
      </w:r>
    </w:p>
    <w:p w14:paraId="2D3ACAB7" w14:textId="77777777" w:rsidR="00C95F82" w:rsidRPr="00C95F82" w:rsidRDefault="00C95F82" w:rsidP="00C95F82">
      <w:pPr>
        <w:pStyle w:val="EndNoteBibliography"/>
        <w:spacing w:after="240"/>
        <w:rPr>
          <w:noProof/>
        </w:rPr>
      </w:pPr>
      <w:r w:rsidRPr="00C95F82">
        <w:rPr>
          <w:noProof/>
        </w:rPr>
        <w:t xml:space="preserve">Ryan, C., Ross, S., Davey, P., Duncan, E. M., Fielding, S., Francis, J. J., Johnston, M., Ker, J., Lee, A. J. and MacLeod, M. J. (2013) 'Junior doctors' perceptions of their self‐efficacy in prescribing, their prescribing errors and the possible causes of errors', </w:t>
      </w:r>
      <w:r w:rsidRPr="00C95F82">
        <w:rPr>
          <w:i/>
          <w:noProof/>
        </w:rPr>
        <w:t>British Journal of Clinical Pharmacology,</w:t>
      </w:r>
      <w:r w:rsidRPr="00C95F82">
        <w:rPr>
          <w:noProof/>
        </w:rPr>
        <w:t xml:space="preserve"> 76(6), pp. 980-987.</w:t>
      </w:r>
    </w:p>
    <w:p w14:paraId="47CC7BD0" w14:textId="77777777" w:rsidR="00C95F82" w:rsidRPr="00C95F82" w:rsidRDefault="00C95F82" w:rsidP="00C95F82">
      <w:pPr>
        <w:pStyle w:val="EndNoteBibliography"/>
        <w:spacing w:after="240"/>
        <w:rPr>
          <w:noProof/>
        </w:rPr>
      </w:pPr>
      <w:r w:rsidRPr="00C95F82">
        <w:rPr>
          <w:noProof/>
        </w:rPr>
        <w:t xml:space="preserve">Ryan, M., Yule, B., Bond, C. and Taylor, R. J. (1996) 'Do physicians’ perceptions of drug costs influence their prescribing?', </w:t>
      </w:r>
      <w:r w:rsidRPr="00C95F82">
        <w:rPr>
          <w:i/>
          <w:noProof/>
        </w:rPr>
        <w:t>Pharmacoeconomics,</w:t>
      </w:r>
      <w:r w:rsidRPr="00C95F82">
        <w:rPr>
          <w:noProof/>
        </w:rPr>
        <w:t xml:space="preserve"> 9, pp. 321-331.</w:t>
      </w:r>
    </w:p>
    <w:p w14:paraId="28C9DE82" w14:textId="77777777" w:rsidR="00C95F82" w:rsidRPr="00C95F82" w:rsidRDefault="00C95F82" w:rsidP="00C95F82">
      <w:pPr>
        <w:pStyle w:val="EndNoteBibliography"/>
        <w:spacing w:after="240"/>
        <w:rPr>
          <w:noProof/>
        </w:rPr>
      </w:pPr>
      <w:r w:rsidRPr="00C95F82">
        <w:rPr>
          <w:noProof/>
        </w:rPr>
        <w:t xml:space="preserve">Salwen, M. B. and Stacks, D. W. (2014) </w:t>
      </w:r>
      <w:r w:rsidRPr="00C95F82">
        <w:rPr>
          <w:i/>
          <w:noProof/>
        </w:rPr>
        <w:t>An integrated approach to communication theory and research.</w:t>
      </w:r>
      <w:r w:rsidRPr="00C95F82">
        <w:rPr>
          <w:noProof/>
        </w:rPr>
        <w:t xml:space="preserve"> New York, USA: Routledge, p. 432-448.</w:t>
      </w:r>
    </w:p>
    <w:p w14:paraId="73D74C96" w14:textId="77777777" w:rsidR="00C95F82" w:rsidRPr="00C95F82" w:rsidRDefault="00C95F82" w:rsidP="00C95F82">
      <w:pPr>
        <w:pStyle w:val="EndNoteBibliography"/>
        <w:spacing w:after="240"/>
        <w:rPr>
          <w:noProof/>
        </w:rPr>
      </w:pPr>
      <w:r w:rsidRPr="00C95F82">
        <w:rPr>
          <w:noProof/>
        </w:rPr>
        <w:t xml:space="preserve">Sammy, I. (2019) </w:t>
      </w:r>
      <w:r w:rsidRPr="00C95F82">
        <w:rPr>
          <w:i/>
          <w:noProof/>
        </w:rPr>
        <w:t>Identifying Older Major Trauma Patient Characteristics and Care Process Factors that Impact on Mortality–a Mixed Methods Study.</w:t>
      </w:r>
      <w:r w:rsidRPr="00C95F82">
        <w:rPr>
          <w:noProof/>
        </w:rPr>
        <w:t xml:space="preserve"> University of Sheffield.</w:t>
      </w:r>
    </w:p>
    <w:p w14:paraId="7DC2AD2F" w14:textId="77777777" w:rsidR="00C95F82" w:rsidRPr="00C95F82" w:rsidRDefault="00C95F82" w:rsidP="00C95F82">
      <w:pPr>
        <w:pStyle w:val="EndNoteBibliography"/>
        <w:spacing w:after="240"/>
        <w:rPr>
          <w:noProof/>
        </w:rPr>
      </w:pPr>
      <w:r w:rsidRPr="00C95F82">
        <w:rPr>
          <w:noProof/>
        </w:rPr>
        <w:t xml:space="preserve">Sampson, R., Cooper, J., Barbour, R., Polson, R. and Wilson, P. (2015) 'Patients’ perspectives on the medical primary–secondary care interface: systematic review and synthesis of qualitative research', </w:t>
      </w:r>
      <w:r w:rsidRPr="00C95F82">
        <w:rPr>
          <w:i/>
          <w:noProof/>
        </w:rPr>
        <w:t>BMJ Open,</w:t>
      </w:r>
      <w:r w:rsidRPr="00C95F82">
        <w:rPr>
          <w:noProof/>
        </w:rPr>
        <w:t xml:space="preserve"> 5(10), pp. e008708.</w:t>
      </w:r>
    </w:p>
    <w:p w14:paraId="145F15E4" w14:textId="77777777" w:rsidR="00C95F82" w:rsidRPr="00C95F82" w:rsidRDefault="00C95F82" w:rsidP="00C95F82">
      <w:pPr>
        <w:pStyle w:val="EndNoteBibliography"/>
        <w:spacing w:after="240"/>
        <w:rPr>
          <w:noProof/>
        </w:rPr>
      </w:pPr>
      <w:r w:rsidRPr="00C95F82">
        <w:rPr>
          <w:noProof/>
        </w:rPr>
        <w:t xml:space="preserve">Sandman, L. and Munthe, C. (2009) 'Shared decision-making and patient autonomy', </w:t>
      </w:r>
      <w:r w:rsidRPr="00C95F82">
        <w:rPr>
          <w:i/>
          <w:noProof/>
        </w:rPr>
        <w:t>Theoretical Medicine and Bioethics,</w:t>
      </w:r>
      <w:r w:rsidRPr="00C95F82">
        <w:rPr>
          <w:noProof/>
        </w:rPr>
        <w:t xml:space="preserve"> 30(4), pp. 289-310.</w:t>
      </w:r>
    </w:p>
    <w:p w14:paraId="4B83AD49" w14:textId="77777777" w:rsidR="00C95F82" w:rsidRPr="00C95F82" w:rsidRDefault="00C95F82" w:rsidP="00C95F82">
      <w:pPr>
        <w:pStyle w:val="EndNoteBibliography"/>
        <w:spacing w:after="240"/>
        <w:rPr>
          <w:noProof/>
        </w:rPr>
      </w:pPr>
      <w:r w:rsidRPr="00C95F82">
        <w:rPr>
          <w:noProof/>
        </w:rPr>
        <w:t xml:space="preserve">Sandman, L. and Munthe, C. (2010) 'Shared decision making, paternalism and patient choice', </w:t>
      </w:r>
      <w:r w:rsidRPr="00C95F82">
        <w:rPr>
          <w:i/>
          <w:noProof/>
        </w:rPr>
        <w:t>Health Care Analysis,</w:t>
      </w:r>
      <w:r w:rsidRPr="00C95F82">
        <w:rPr>
          <w:noProof/>
        </w:rPr>
        <w:t xml:space="preserve"> 18(1), pp. 60-84.</w:t>
      </w:r>
    </w:p>
    <w:p w14:paraId="3B05C7C3" w14:textId="77777777" w:rsidR="00C95F82" w:rsidRPr="00C95F82" w:rsidRDefault="00C95F82" w:rsidP="00C95F82">
      <w:pPr>
        <w:pStyle w:val="EndNoteBibliography"/>
        <w:spacing w:after="240"/>
        <w:rPr>
          <w:noProof/>
        </w:rPr>
      </w:pPr>
      <w:r w:rsidRPr="00C95F82">
        <w:rPr>
          <w:noProof/>
        </w:rPr>
        <w:t xml:space="preserve">Sarkies, M., Francis-Auton, E., Long, J., Roberts, N., Westbrook, J., Levesque, J.-F., Watson, D. E., Hardwick, R., Sutherland, K. and Disher, G. (2023) 'Audit and feedback to reduce unwarranted clinical variation at scale: a realist study of implementation strategy mechanisms', </w:t>
      </w:r>
      <w:r w:rsidRPr="00C95F82">
        <w:rPr>
          <w:i/>
          <w:noProof/>
        </w:rPr>
        <w:t>Implementation Science,</w:t>
      </w:r>
      <w:r w:rsidRPr="00C95F82">
        <w:rPr>
          <w:noProof/>
        </w:rPr>
        <w:t xml:space="preserve"> 18(1), pp. 71.</w:t>
      </w:r>
    </w:p>
    <w:p w14:paraId="42FB75BA" w14:textId="77777777" w:rsidR="00C95F82" w:rsidRPr="00C95F82" w:rsidRDefault="00C95F82" w:rsidP="00C95F82">
      <w:pPr>
        <w:pStyle w:val="EndNoteBibliography"/>
        <w:spacing w:after="240"/>
        <w:rPr>
          <w:noProof/>
        </w:rPr>
      </w:pPr>
      <w:r w:rsidRPr="00C95F82">
        <w:rPr>
          <w:noProof/>
        </w:rPr>
        <w:t xml:space="preserve">Sayer, A. (1999) </w:t>
      </w:r>
      <w:r w:rsidRPr="00C95F82">
        <w:rPr>
          <w:i/>
          <w:noProof/>
        </w:rPr>
        <w:t>Realism and social science.</w:t>
      </w:r>
      <w:r w:rsidRPr="00C95F82">
        <w:rPr>
          <w:noProof/>
        </w:rPr>
        <w:t xml:space="preserve"> London, UK: SAGE Publications Ltd, p. 1-224.</w:t>
      </w:r>
    </w:p>
    <w:p w14:paraId="1C574B70" w14:textId="77777777" w:rsidR="00C95F82" w:rsidRPr="00C95F82" w:rsidRDefault="00C95F82" w:rsidP="00C95F82">
      <w:pPr>
        <w:pStyle w:val="EndNoteBibliography"/>
        <w:spacing w:after="240"/>
        <w:rPr>
          <w:noProof/>
        </w:rPr>
      </w:pPr>
      <w:r w:rsidRPr="00C95F82">
        <w:rPr>
          <w:noProof/>
        </w:rPr>
        <w:t xml:space="preserve">Scherman, V. and Zimmerman, L. (2023) 'Harnessing mixed methods for research instrument development and legitimation',  </w:t>
      </w:r>
      <w:r w:rsidRPr="00C95F82">
        <w:rPr>
          <w:i/>
          <w:noProof/>
        </w:rPr>
        <w:t>The Sage Handbook of Mixed Methods Research Design</w:t>
      </w:r>
      <w:r w:rsidRPr="00C95F82">
        <w:rPr>
          <w:noProof/>
        </w:rPr>
        <w:t>. London, UK: SAGE Publishing Ltd, pp. 278.</w:t>
      </w:r>
    </w:p>
    <w:p w14:paraId="001F4925" w14:textId="77777777" w:rsidR="00C95F82" w:rsidRPr="00C95F82" w:rsidRDefault="00C95F82" w:rsidP="00C95F82">
      <w:pPr>
        <w:pStyle w:val="EndNoteBibliography"/>
        <w:spacing w:after="240"/>
        <w:rPr>
          <w:noProof/>
        </w:rPr>
      </w:pPr>
      <w:r w:rsidRPr="00C95F82">
        <w:rPr>
          <w:noProof/>
        </w:rPr>
        <w:t xml:space="preserve">Schieppati, A., Henter, J.-I., Daina, E. and Aperia, A. (2008) 'Why rare diseases are an important medical and social issue', </w:t>
      </w:r>
      <w:r w:rsidRPr="00C95F82">
        <w:rPr>
          <w:i/>
          <w:noProof/>
        </w:rPr>
        <w:t>The Lancet,</w:t>
      </w:r>
      <w:r w:rsidRPr="00C95F82">
        <w:rPr>
          <w:noProof/>
        </w:rPr>
        <w:t xml:space="preserve"> 371(9629), pp. 2039-2041.</w:t>
      </w:r>
    </w:p>
    <w:p w14:paraId="73825EA1" w14:textId="77777777" w:rsidR="00C95F82" w:rsidRPr="00C95F82" w:rsidRDefault="00C95F82" w:rsidP="00C95F82">
      <w:pPr>
        <w:pStyle w:val="EndNoteBibliography"/>
        <w:spacing w:after="240"/>
        <w:rPr>
          <w:noProof/>
        </w:rPr>
      </w:pPr>
      <w:r w:rsidRPr="00C95F82">
        <w:rPr>
          <w:noProof/>
        </w:rPr>
        <w:t xml:space="preserve">Schreier, M. (2012) </w:t>
      </w:r>
      <w:r w:rsidRPr="00C95F82">
        <w:rPr>
          <w:i/>
          <w:noProof/>
        </w:rPr>
        <w:t>Qualitative content analysis in practice.</w:t>
      </w:r>
      <w:r w:rsidRPr="00C95F82">
        <w:rPr>
          <w:noProof/>
        </w:rPr>
        <w:t xml:space="preserve"> London, UK: SAGE Publications Ltd, p. 1-280.</w:t>
      </w:r>
    </w:p>
    <w:p w14:paraId="6192390A" w14:textId="77777777" w:rsidR="00C95F82" w:rsidRPr="00C95F82" w:rsidRDefault="00C95F82" w:rsidP="00C95F82">
      <w:pPr>
        <w:pStyle w:val="EndNoteBibliography"/>
        <w:spacing w:after="240"/>
        <w:rPr>
          <w:noProof/>
        </w:rPr>
      </w:pPr>
      <w:r w:rsidRPr="00C95F82">
        <w:rPr>
          <w:noProof/>
        </w:rPr>
        <w:t xml:space="preserve">Schrier, R. W., Gross, P., Gheorghiade, M., Berl, T., Verbalis, J. G., Czerwiec, F. S. and Orlandi, C. (2006) 'Tolvaptan, a selective oral vasopressin V2-receptor antagonist, for hyponatremia', </w:t>
      </w:r>
      <w:r w:rsidRPr="00C95F82">
        <w:rPr>
          <w:i/>
          <w:noProof/>
        </w:rPr>
        <w:t>New England Journal of Medicine,</w:t>
      </w:r>
      <w:r w:rsidRPr="00C95F82">
        <w:rPr>
          <w:noProof/>
        </w:rPr>
        <w:t xml:space="preserve"> 355(20), pp. 2099-2112.</w:t>
      </w:r>
    </w:p>
    <w:p w14:paraId="0677B8F2" w14:textId="77777777" w:rsidR="00C95F82" w:rsidRPr="00C95F82" w:rsidRDefault="00C95F82" w:rsidP="00C95F82">
      <w:pPr>
        <w:pStyle w:val="EndNoteBibliography"/>
        <w:spacing w:after="240"/>
        <w:rPr>
          <w:noProof/>
        </w:rPr>
      </w:pPr>
      <w:r w:rsidRPr="00C95F82">
        <w:rPr>
          <w:noProof/>
        </w:rPr>
        <w:t xml:space="preserve">Schumock, G. T., Walton, S. M., Park, H. Y., Nutescu, E. A., Blackburn, J. C., Finley, J. M. and Lewis, R. K. (2004) 'Factors that influence prescribing decisions', </w:t>
      </w:r>
      <w:r w:rsidRPr="00C95F82">
        <w:rPr>
          <w:i/>
          <w:noProof/>
        </w:rPr>
        <w:t>Annals of Pharmacotherapy,</w:t>
      </w:r>
      <w:r w:rsidRPr="00C95F82">
        <w:rPr>
          <w:noProof/>
        </w:rPr>
        <w:t xml:space="preserve"> 38(4), pp. 557-562.</w:t>
      </w:r>
    </w:p>
    <w:p w14:paraId="01556AC3" w14:textId="77777777" w:rsidR="00C95F82" w:rsidRPr="00C95F82" w:rsidRDefault="00C95F82" w:rsidP="00C95F82">
      <w:pPr>
        <w:pStyle w:val="EndNoteBibliography"/>
        <w:spacing w:after="240"/>
        <w:rPr>
          <w:noProof/>
        </w:rPr>
      </w:pPr>
      <w:r w:rsidRPr="00C95F82">
        <w:rPr>
          <w:noProof/>
        </w:rPr>
        <w:t xml:space="preserve">Schwartz, S. (1994) 'Heuristics and biases in medical judgment and decision making',  </w:t>
      </w:r>
      <w:r w:rsidRPr="00C95F82">
        <w:rPr>
          <w:i/>
          <w:noProof/>
        </w:rPr>
        <w:t>Applications of heuristics and biases to social issues</w:t>
      </w:r>
      <w:r w:rsidRPr="00C95F82">
        <w:rPr>
          <w:noProof/>
        </w:rPr>
        <w:t>. New York, USA: Springer Publishing, pp. 45-72.</w:t>
      </w:r>
    </w:p>
    <w:p w14:paraId="715D9A44" w14:textId="1BA7EF14" w:rsidR="00C95F82" w:rsidRPr="00C95F82" w:rsidRDefault="00C95F82" w:rsidP="00C95F82">
      <w:pPr>
        <w:pStyle w:val="EndNoteBibliography"/>
        <w:spacing w:after="240"/>
        <w:rPr>
          <w:noProof/>
        </w:rPr>
      </w:pPr>
      <w:r w:rsidRPr="00C95F82">
        <w:rPr>
          <w:noProof/>
        </w:rPr>
        <w:t xml:space="preserve">Scoggins, A., Tiessen, J., Ling, T. and Rabinovich, L. (2006) </w:t>
      </w:r>
      <w:r w:rsidRPr="00C95F82">
        <w:rPr>
          <w:i/>
          <w:noProof/>
        </w:rPr>
        <w:t>Prescribing in primary care, Understanding what shapes GPs’ prescribing choices and how might these be changed</w:t>
      </w:r>
      <w:r w:rsidRPr="00C95F82">
        <w:rPr>
          <w:noProof/>
        </w:rPr>
        <w:t xml:space="preserve">. RAND Corporation, Cambridge, UK. Available at: </w:t>
      </w:r>
      <w:hyperlink r:id="rId121" w:history="1">
        <w:r w:rsidRPr="00C95F82">
          <w:rPr>
            <w:rStyle w:val="Hyperlink"/>
            <w:noProof/>
          </w:rPr>
          <w:t>https://www.rand.org/pubs/technical_reports/TR443.html</w:t>
        </w:r>
      </w:hyperlink>
      <w:r w:rsidRPr="00C95F82">
        <w:rPr>
          <w:noProof/>
        </w:rPr>
        <w:t xml:space="preserve"> (Accessed: 01/04/2026).</w:t>
      </w:r>
    </w:p>
    <w:p w14:paraId="5AFE0A46" w14:textId="483C2125" w:rsidR="00C95F82" w:rsidRPr="00C95F82" w:rsidRDefault="00C95F82" w:rsidP="00C95F82">
      <w:pPr>
        <w:pStyle w:val="EndNoteBibliography"/>
        <w:spacing w:after="240"/>
        <w:rPr>
          <w:noProof/>
        </w:rPr>
      </w:pPr>
      <w:r w:rsidRPr="00C95F82">
        <w:rPr>
          <w:noProof/>
        </w:rPr>
        <w:t xml:space="preserve">Scottish Medicines Consortium (2016) </w:t>
      </w:r>
      <w:r w:rsidRPr="00C95F82">
        <w:rPr>
          <w:i/>
          <w:noProof/>
        </w:rPr>
        <w:t>Tolvaptan (SMC No. 1114/1115)</w:t>
      </w:r>
      <w:r w:rsidRPr="00C95F82">
        <w:rPr>
          <w:noProof/>
        </w:rPr>
        <w:t xml:space="preserve">. Available at: </w:t>
      </w:r>
      <w:hyperlink r:id="rId122" w:history="1">
        <w:r w:rsidRPr="00C95F82">
          <w:rPr>
            <w:rStyle w:val="Hyperlink"/>
            <w:noProof/>
          </w:rPr>
          <w:t>https://scottishmedicines.org.uk/medicines-advice/tolvaptan-jinarc-fullsubmission-111415/</w:t>
        </w:r>
      </w:hyperlink>
      <w:r w:rsidRPr="00C95F82">
        <w:rPr>
          <w:noProof/>
        </w:rPr>
        <w:t xml:space="preserve"> (Accessed: 26/04/2026).</w:t>
      </w:r>
    </w:p>
    <w:p w14:paraId="10E9C2EA" w14:textId="77777777" w:rsidR="00C95F82" w:rsidRPr="00C95F82" w:rsidRDefault="00C95F82" w:rsidP="00C95F82">
      <w:pPr>
        <w:pStyle w:val="EndNoteBibliography"/>
        <w:spacing w:after="240"/>
        <w:rPr>
          <w:noProof/>
        </w:rPr>
      </w:pPr>
      <w:r w:rsidRPr="00C95F82">
        <w:rPr>
          <w:noProof/>
        </w:rPr>
        <w:t xml:space="preserve">Sellappans, R., Lai, P. S. M. and Ng, C. J. (2015) 'Challenges faced by primary care physicians when prescribing for patients with chronic diseases in a teaching hospital in Malaysia: a qualitative study', </w:t>
      </w:r>
      <w:r w:rsidRPr="00C95F82">
        <w:rPr>
          <w:i/>
          <w:noProof/>
        </w:rPr>
        <w:t>BMJ Open,</w:t>
      </w:r>
      <w:r w:rsidRPr="00C95F82">
        <w:rPr>
          <w:noProof/>
        </w:rPr>
        <w:t xml:space="preserve"> 5(8), pp. e007817.</w:t>
      </w:r>
    </w:p>
    <w:p w14:paraId="4175B07A" w14:textId="77777777" w:rsidR="00C95F82" w:rsidRPr="00C95F82" w:rsidRDefault="00C95F82" w:rsidP="00C95F82">
      <w:pPr>
        <w:pStyle w:val="EndNoteBibliography"/>
        <w:spacing w:after="240"/>
        <w:rPr>
          <w:noProof/>
        </w:rPr>
      </w:pPr>
      <w:r w:rsidRPr="00C95F82">
        <w:rPr>
          <w:noProof/>
        </w:rPr>
        <w:t xml:space="preserve">Shahmoradi, L., Safdari, R., Ahmadi, H. and Zahmatkeshan, M. (2021) 'Clinical decision support systems-based interventions to improve medication outcomes: A systematic literature review on features and effects', </w:t>
      </w:r>
      <w:r w:rsidRPr="00C95F82">
        <w:rPr>
          <w:i/>
          <w:noProof/>
        </w:rPr>
        <w:t>Medical Journal of the Islamic Republic of Iran,</w:t>
      </w:r>
      <w:r w:rsidRPr="00C95F82">
        <w:rPr>
          <w:noProof/>
        </w:rPr>
        <w:t xml:space="preserve"> 35, pp. 27.</w:t>
      </w:r>
    </w:p>
    <w:p w14:paraId="39C1DFB5" w14:textId="77777777" w:rsidR="00C95F82" w:rsidRPr="00C95F82" w:rsidRDefault="00C95F82" w:rsidP="00C95F82">
      <w:pPr>
        <w:pStyle w:val="EndNoteBibliography"/>
        <w:spacing w:after="240"/>
        <w:rPr>
          <w:noProof/>
        </w:rPr>
      </w:pPr>
      <w:r w:rsidRPr="00C95F82">
        <w:rPr>
          <w:noProof/>
        </w:rPr>
        <w:t xml:space="preserve">Sharma, A., Minh Duc, N. T., Luu Lam Thang, T., Nam, N. H., Ng, S. J., Abbas, K. S., Huy, N. T., Marušić, A., Paul, C. L. and Kwok, J. (2021) 'A consensus-based checklist for reporting of survey studies (CROSS)', </w:t>
      </w:r>
      <w:r w:rsidRPr="00C95F82">
        <w:rPr>
          <w:i/>
          <w:noProof/>
        </w:rPr>
        <w:t>Journal of General Internal Medicine,</w:t>
      </w:r>
      <w:r w:rsidRPr="00C95F82">
        <w:rPr>
          <w:noProof/>
        </w:rPr>
        <w:t xml:space="preserve"> 36(10), pp. 3179-3187.</w:t>
      </w:r>
    </w:p>
    <w:p w14:paraId="02ABDBF0" w14:textId="77777777" w:rsidR="00C95F82" w:rsidRPr="00C95F82" w:rsidRDefault="00C95F82" w:rsidP="00C95F82">
      <w:pPr>
        <w:pStyle w:val="EndNoteBibliography"/>
        <w:spacing w:after="240"/>
        <w:rPr>
          <w:noProof/>
        </w:rPr>
      </w:pPr>
      <w:r w:rsidRPr="00C95F82">
        <w:rPr>
          <w:noProof/>
        </w:rPr>
        <w:t xml:space="preserve">Shea, B. J., Reeves, B. C., Wells, G., Thuku, M., Hamel, C., Moran, J., Moher, D., Tugwell, P., Welch, V., Kristjansson, E. and Henry, D. A. (2017) 'AMSTAR 2: a critical appraisal tool for systematic reviews that include randomised or non-randomised studies of healthcare interventions, or both', </w:t>
      </w:r>
      <w:r w:rsidRPr="00C95F82">
        <w:rPr>
          <w:i/>
          <w:noProof/>
        </w:rPr>
        <w:t>BMJ,</w:t>
      </w:r>
      <w:r w:rsidRPr="00C95F82">
        <w:rPr>
          <w:noProof/>
        </w:rPr>
        <w:t xml:space="preserve"> 358, pp. j4008.</w:t>
      </w:r>
    </w:p>
    <w:p w14:paraId="1591A692" w14:textId="77777777" w:rsidR="00C95F82" w:rsidRPr="00C95F82" w:rsidRDefault="00C95F82" w:rsidP="00C95F82">
      <w:pPr>
        <w:pStyle w:val="EndNoteBibliography"/>
        <w:spacing w:after="240"/>
        <w:rPr>
          <w:noProof/>
        </w:rPr>
      </w:pPr>
      <w:r w:rsidRPr="00C95F82">
        <w:rPr>
          <w:noProof/>
        </w:rPr>
        <w:t xml:space="preserve">Shelton, R. C., Brotzman, L. E., Crookes, D. M., Robles, P. and Neugut, A. I. (2019) 'Decision-making under clinical uncertainty: An in-depth examination of provider perspectives on adjuvant chemotherapy for stage II colon cancer', </w:t>
      </w:r>
      <w:r w:rsidRPr="00C95F82">
        <w:rPr>
          <w:i/>
          <w:noProof/>
        </w:rPr>
        <w:t>Patient Education and Counseling,</w:t>
      </w:r>
      <w:r w:rsidRPr="00C95F82">
        <w:rPr>
          <w:noProof/>
        </w:rPr>
        <w:t xml:space="preserve"> 102(2), pp. 284-290.</w:t>
      </w:r>
    </w:p>
    <w:p w14:paraId="6AAB66F3" w14:textId="77777777" w:rsidR="00C95F82" w:rsidRPr="00C95F82" w:rsidRDefault="00C95F82" w:rsidP="00C95F82">
      <w:pPr>
        <w:pStyle w:val="EndNoteBibliography"/>
        <w:spacing w:after="240"/>
        <w:rPr>
          <w:noProof/>
        </w:rPr>
      </w:pPr>
      <w:r w:rsidRPr="00C95F82">
        <w:rPr>
          <w:noProof/>
        </w:rPr>
        <w:t xml:space="preserve">Sim, J. and Waterfield, J. (2019) 'Focus group methodology: some ethical challenges: J. Sim, J. Waterfield', </w:t>
      </w:r>
      <w:r w:rsidRPr="00C95F82">
        <w:rPr>
          <w:i/>
          <w:noProof/>
        </w:rPr>
        <w:t>Quality &amp; Quantity,</w:t>
      </w:r>
      <w:r w:rsidRPr="00C95F82">
        <w:rPr>
          <w:noProof/>
        </w:rPr>
        <w:t xml:space="preserve"> 53(6), pp. 3003-3022.</w:t>
      </w:r>
    </w:p>
    <w:p w14:paraId="2F21CAA0" w14:textId="078A40E1" w:rsidR="00C95F82" w:rsidRPr="00C95F82" w:rsidRDefault="00C95F82" w:rsidP="00C95F82">
      <w:pPr>
        <w:pStyle w:val="EndNoteBibliography"/>
        <w:spacing w:after="240"/>
        <w:rPr>
          <w:noProof/>
        </w:rPr>
      </w:pPr>
      <w:r w:rsidRPr="00C95F82">
        <w:rPr>
          <w:noProof/>
        </w:rPr>
        <w:t xml:space="preserve">Singapore Medicines Act (2005) </w:t>
      </w:r>
      <w:r w:rsidRPr="00C95F82">
        <w:rPr>
          <w:i/>
          <w:noProof/>
        </w:rPr>
        <w:t>Medicines Act (Chapter 176 - Section 9), Medicines (Orphan Drugs)</w:t>
      </w:r>
      <w:r w:rsidRPr="00C95F82">
        <w:rPr>
          <w:noProof/>
        </w:rPr>
        <w:t xml:space="preserve">. Available at: </w:t>
      </w:r>
      <w:hyperlink r:id="rId123" w:history="1">
        <w:r w:rsidRPr="00C95F82">
          <w:rPr>
            <w:rStyle w:val="Hyperlink"/>
            <w:noProof/>
          </w:rPr>
          <w:t>https://sso.agc.gov.sg/SL/MA1975-OR12?DocDate=20050331&amp;ValidDate=20160122&amp;TransactionDate=20160122</w:t>
        </w:r>
      </w:hyperlink>
      <w:r w:rsidRPr="00C95F82">
        <w:rPr>
          <w:noProof/>
        </w:rPr>
        <w:t>.</w:t>
      </w:r>
    </w:p>
    <w:p w14:paraId="0C44B0B4" w14:textId="77777777" w:rsidR="00C95F82" w:rsidRPr="00C95F82" w:rsidRDefault="00C95F82" w:rsidP="00C95F82">
      <w:pPr>
        <w:pStyle w:val="EndNoteBibliography"/>
        <w:spacing w:after="240"/>
        <w:rPr>
          <w:noProof/>
        </w:rPr>
      </w:pPr>
      <w:r w:rsidRPr="00C95F82">
        <w:rPr>
          <w:noProof/>
        </w:rPr>
        <w:t xml:space="preserve">Singh, R. (2008) 'Network Connectedness of Pharmaceutical Sales Rep (FLE)-Physician Dyad and Physician Prescription Behaviour: A Conceptual Model', </w:t>
      </w:r>
      <w:r w:rsidRPr="00C95F82">
        <w:rPr>
          <w:i/>
          <w:noProof/>
        </w:rPr>
        <w:t>Journal of Medical Marketing,</w:t>
      </w:r>
      <w:r w:rsidRPr="00C95F82">
        <w:rPr>
          <w:noProof/>
        </w:rPr>
        <w:t xml:space="preserve"> 8(3), pp. 257-268.</w:t>
      </w:r>
    </w:p>
    <w:p w14:paraId="1BD29195" w14:textId="77777777" w:rsidR="00C95F82" w:rsidRPr="00C95F82" w:rsidRDefault="00C95F82" w:rsidP="00C95F82">
      <w:pPr>
        <w:pStyle w:val="EndNoteBibliography"/>
        <w:spacing w:after="240"/>
        <w:rPr>
          <w:noProof/>
        </w:rPr>
      </w:pPr>
      <w:r w:rsidRPr="00C95F82">
        <w:rPr>
          <w:noProof/>
        </w:rPr>
        <w:t xml:space="preserve">Smyth, A. R., Bell, S. C., Bojcin, S., Bryon, M., Duff, A., Flume, P., Kashirskaya, N., Munck, A., Ratjen, F. and Schwarzenberg, S. J. (2014) 'European cystic fibrosis society standards of care: best practice guidelines', </w:t>
      </w:r>
      <w:r w:rsidRPr="00C95F82">
        <w:rPr>
          <w:i/>
          <w:noProof/>
        </w:rPr>
        <w:t>Journal of Cystic Fibrosis,</w:t>
      </w:r>
      <w:r w:rsidRPr="00C95F82">
        <w:rPr>
          <w:noProof/>
        </w:rPr>
        <w:t xml:space="preserve"> 13, pp. S23-S42.</w:t>
      </w:r>
    </w:p>
    <w:p w14:paraId="1AB81F31" w14:textId="77777777" w:rsidR="00C95F82" w:rsidRPr="00C95F82" w:rsidRDefault="00C95F82" w:rsidP="00C95F82">
      <w:pPr>
        <w:pStyle w:val="EndNoteBibliography"/>
        <w:spacing w:after="240"/>
        <w:rPr>
          <w:noProof/>
        </w:rPr>
      </w:pPr>
      <w:r w:rsidRPr="00C95F82">
        <w:rPr>
          <w:noProof/>
        </w:rPr>
        <w:t xml:space="preserve">Solazzo, A., Testa, F., Giovanella, S., Busutti, M., Furci, L., Carrera, P., Ferrari, M., Ligabue, G., Mori, G., Leonelli, M., Cappelli, G. and Magistroni, R. (2018) 'The prevalence of autosomal dominant polycystic kidney disease (ADPKD): A meta-analysis of European literature and prevalence evaluation in the Italian province of Modena suggest that ADPKD is a rare and underdiagnosed condition', </w:t>
      </w:r>
      <w:r w:rsidRPr="00C95F82">
        <w:rPr>
          <w:i/>
          <w:noProof/>
        </w:rPr>
        <w:t>PLOS One,</w:t>
      </w:r>
      <w:r w:rsidRPr="00C95F82">
        <w:rPr>
          <w:noProof/>
        </w:rPr>
        <w:t xml:space="preserve"> 13(1), pp. e0190430.</w:t>
      </w:r>
    </w:p>
    <w:p w14:paraId="79855CA5" w14:textId="77777777" w:rsidR="00C95F82" w:rsidRPr="00C95F82" w:rsidRDefault="00C95F82" w:rsidP="00C95F82">
      <w:pPr>
        <w:pStyle w:val="EndNoteBibliography"/>
        <w:spacing w:after="240"/>
        <w:rPr>
          <w:noProof/>
        </w:rPr>
      </w:pPr>
      <w:r w:rsidRPr="00C95F82">
        <w:rPr>
          <w:noProof/>
        </w:rPr>
        <w:t xml:space="preserve">Song, P., Gao, J., Inagaki, Y., Kokudo, N. and Tang, W. (2012) 'Rare diseases, orphan drugs, and their regulation in Asia: Current status and future perspectives', </w:t>
      </w:r>
      <w:r w:rsidRPr="00C95F82">
        <w:rPr>
          <w:i/>
          <w:noProof/>
        </w:rPr>
        <w:t>Intractable &amp; Rare Diseases Research,</w:t>
      </w:r>
      <w:r w:rsidRPr="00C95F82">
        <w:rPr>
          <w:noProof/>
        </w:rPr>
        <w:t xml:space="preserve"> 1(1), pp. 3-9.</w:t>
      </w:r>
    </w:p>
    <w:p w14:paraId="778096C1" w14:textId="77777777" w:rsidR="00C95F82" w:rsidRPr="00C95F82" w:rsidRDefault="00C95F82" w:rsidP="00C95F82">
      <w:pPr>
        <w:pStyle w:val="EndNoteBibliography"/>
        <w:spacing w:after="240"/>
        <w:rPr>
          <w:noProof/>
        </w:rPr>
      </w:pPr>
      <w:r w:rsidRPr="00C95F82">
        <w:rPr>
          <w:noProof/>
        </w:rPr>
        <w:t xml:space="preserve">Soroka, S., Alam, A., Bevilacqua, M., Girard, L.-P., Komenda, P., Loertscher, R., McFarlane, P., Pandeya, S., Tam, P. and Bichet, D. G. (2017) 'Assessing risk of disease progression and pharmacological management of autosomal dominant polycystic kidney disease: a Canadian expert consensus', </w:t>
      </w:r>
      <w:r w:rsidRPr="00C95F82">
        <w:rPr>
          <w:i/>
          <w:noProof/>
        </w:rPr>
        <w:t>Canadian Journal of Kidney Health and Disease,</w:t>
      </w:r>
      <w:r w:rsidRPr="00C95F82">
        <w:rPr>
          <w:noProof/>
        </w:rPr>
        <w:t xml:space="preserve"> 4, pp. 2054358117695784.</w:t>
      </w:r>
    </w:p>
    <w:p w14:paraId="12EB1CCD" w14:textId="77777777" w:rsidR="00C95F82" w:rsidRPr="00C95F82" w:rsidRDefault="00C95F82" w:rsidP="00C95F82">
      <w:pPr>
        <w:pStyle w:val="EndNoteBibliography"/>
        <w:spacing w:after="240"/>
        <w:rPr>
          <w:noProof/>
        </w:rPr>
      </w:pPr>
      <w:r w:rsidRPr="00C95F82">
        <w:rPr>
          <w:noProof/>
        </w:rPr>
        <w:t xml:space="preserve">Southern, K. W., Castellani, C., Lammertyn, E., Smyth, A., VanDevanter, D., van Koningsbruggen-Rietschel, S., Barben, J., Bevan, A., Brokaar, E. and Collins, S. (2023) 'Standards of care for CFTR variant-specific therapy (including modulators) for people with cystic fibrosis', </w:t>
      </w:r>
      <w:r w:rsidRPr="00C95F82">
        <w:rPr>
          <w:i/>
          <w:noProof/>
        </w:rPr>
        <w:t>Journal of Cystic Fibrosis,</w:t>
      </w:r>
      <w:r w:rsidRPr="00C95F82">
        <w:rPr>
          <w:noProof/>
        </w:rPr>
        <w:t xml:space="preserve"> 22(1), pp. 17-30.</w:t>
      </w:r>
    </w:p>
    <w:p w14:paraId="1D705B44" w14:textId="77777777" w:rsidR="00C95F82" w:rsidRPr="00C95F82" w:rsidRDefault="00C95F82" w:rsidP="00C95F82">
      <w:pPr>
        <w:pStyle w:val="EndNoteBibliography"/>
        <w:spacing w:after="240"/>
        <w:rPr>
          <w:noProof/>
        </w:rPr>
      </w:pPr>
      <w:r w:rsidRPr="00C95F82">
        <w:rPr>
          <w:noProof/>
        </w:rPr>
        <w:t xml:space="preserve">Spiegelhalter, D. (2002) 'Funnel plots for institutional comparison', </w:t>
      </w:r>
      <w:r w:rsidRPr="00C95F82">
        <w:rPr>
          <w:i/>
          <w:noProof/>
        </w:rPr>
        <w:t>Quality and Safety in Health Care,</w:t>
      </w:r>
      <w:r w:rsidRPr="00C95F82">
        <w:rPr>
          <w:noProof/>
        </w:rPr>
        <w:t xml:space="preserve"> 11(4), pp. 390-391.</w:t>
      </w:r>
    </w:p>
    <w:p w14:paraId="4D21A334" w14:textId="77777777" w:rsidR="00C95F82" w:rsidRPr="00C95F82" w:rsidRDefault="00C95F82" w:rsidP="00C95F82">
      <w:pPr>
        <w:pStyle w:val="EndNoteBibliography"/>
        <w:spacing w:after="240"/>
        <w:rPr>
          <w:noProof/>
        </w:rPr>
      </w:pPr>
      <w:r w:rsidRPr="00C95F82">
        <w:rPr>
          <w:noProof/>
        </w:rPr>
        <w:t xml:space="preserve">Spiegelhalter, D. J. (2005) 'Handling over-dispersion of performance indicators', </w:t>
      </w:r>
      <w:r w:rsidRPr="00C95F82">
        <w:rPr>
          <w:i/>
          <w:noProof/>
        </w:rPr>
        <w:t>Quality and Safety in Health Care,</w:t>
      </w:r>
      <w:r w:rsidRPr="00C95F82">
        <w:rPr>
          <w:noProof/>
        </w:rPr>
        <w:t xml:space="preserve"> 14(5), pp. 347-51.</w:t>
      </w:r>
    </w:p>
    <w:p w14:paraId="426BE78A" w14:textId="77777777" w:rsidR="00C95F82" w:rsidRPr="00C95F82" w:rsidRDefault="00C95F82" w:rsidP="00C95F82">
      <w:pPr>
        <w:pStyle w:val="EndNoteBibliography"/>
        <w:spacing w:after="240"/>
        <w:rPr>
          <w:noProof/>
        </w:rPr>
      </w:pPr>
      <w:r w:rsidRPr="00C95F82">
        <w:rPr>
          <w:noProof/>
        </w:rPr>
        <w:t xml:space="preserve">Spinewine, A., Claeys, C., Foulon, V. and Chevalier, P. (2013) 'Approaches for improving continuity of care in medication management: a systematic review', </w:t>
      </w:r>
      <w:r w:rsidRPr="00C95F82">
        <w:rPr>
          <w:i/>
          <w:noProof/>
        </w:rPr>
        <w:t>International Journal for Quality in Health Care,</w:t>
      </w:r>
      <w:r w:rsidRPr="00C95F82">
        <w:rPr>
          <w:noProof/>
        </w:rPr>
        <w:t xml:space="preserve"> 25(4), pp. 403-417.</w:t>
      </w:r>
    </w:p>
    <w:p w14:paraId="25C3A7D8" w14:textId="77777777" w:rsidR="00C95F82" w:rsidRPr="00C95F82" w:rsidRDefault="00C95F82" w:rsidP="00C95F82">
      <w:pPr>
        <w:pStyle w:val="EndNoteBibliography"/>
        <w:spacing w:after="240"/>
        <w:rPr>
          <w:noProof/>
        </w:rPr>
      </w:pPr>
      <w:r w:rsidRPr="00C95F82">
        <w:rPr>
          <w:noProof/>
        </w:rPr>
        <w:t xml:space="preserve">Steinman, M. A. and Landefeld, C. S. (2018) 'Overcoming Inertia to Improve Medication Use and Deprescribing', </w:t>
      </w:r>
      <w:r w:rsidRPr="00C95F82">
        <w:rPr>
          <w:i/>
          <w:noProof/>
        </w:rPr>
        <w:t>JAMA,</w:t>
      </w:r>
      <w:r w:rsidRPr="00C95F82">
        <w:rPr>
          <w:noProof/>
        </w:rPr>
        <w:t xml:space="preserve"> 320(18), pp. 1867-1869.</w:t>
      </w:r>
    </w:p>
    <w:p w14:paraId="61A84BEA" w14:textId="77777777" w:rsidR="00C95F82" w:rsidRPr="00C95F82" w:rsidRDefault="00C95F82" w:rsidP="00C95F82">
      <w:pPr>
        <w:pStyle w:val="EndNoteBibliography"/>
        <w:spacing w:after="240"/>
        <w:rPr>
          <w:noProof/>
        </w:rPr>
      </w:pPr>
      <w:r w:rsidRPr="00C95F82">
        <w:rPr>
          <w:noProof/>
        </w:rPr>
        <w:t xml:space="preserve">Stokes, D. and Bergin, R. (2006) 'Methodology or “methodolatry”? An evaluation of focus groups and depth interviews', </w:t>
      </w:r>
      <w:r w:rsidRPr="00C95F82">
        <w:rPr>
          <w:i/>
          <w:noProof/>
        </w:rPr>
        <w:t>Qualitative market research: An international Journal,</w:t>
      </w:r>
      <w:r w:rsidRPr="00C95F82">
        <w:rPr>
          <w:noProof/>
        </w:rPr>
        <w:t xml:space="preserve"> 9(1), pp. 26-37.</w:t>
      </w:r>
    </w:p>
    <w:p w14:paraId="3F1B1067" w14:textId="77777777" w:rsidR="00C95F82" w:rsidRPr="00C95F82" w:rsidRDefault="00C95F82" w:rsidP="00C95F82">
      <w:pPr>
        <w:pStyle w:val="EndNoteBibliography"/>
        <w:spacing w:after="240"/>
        <w:rPr>
          <w:noProof/>
        </w:rPr>
      </w:pPr>
      <w:r w:rsidRPr="00C95F82">
        <w:rPr>
          <w:noProof/>
        </w:rPr>
        <w:t xml:space="preserve">Stoller, J. K. (2018) 'The Challenge of Rare Diseases', </w:t>
      </w:r>
      <w:r w:rsidRPr="00C95F82">
        <w:rPr>
          <w:i/>
          <w:noProof/>
        </w:rPr>
        <w:t>Chest,</w:t>
      </w:r>
      <w:r w:rsidRPr="00C95F82">
        <w:rPr>
          <w:noProof/>
        </w:rPr>
        <w:t xml:space="preserve"> 153(6), pp. 1309-1314.</w:t>
      </w:r>
    </w:p>
    <w:p w14:paraId="4A89AE58" w14:textId="77777777" w:rsidR="00C95F82" w:rsidRPr="00C95F82" w:rsidRDefault="00C95F82" w:rsidP="00C95F82">
      <w:pPr>
        <w:pStyle w:val="EndNoteBibliography"/>
        <w:spacing w:after="240"/>
        <w:rPr>
          <w:noProof/>
        </w:rPr>
      </w:pPr>
      <w:r w:rsidRPr="00C95F82">
        <w:rPr>
          <w:noProof/>
        </w:rPr>
        <w:t xml:space="preserve">Strich, J. R., Heil, E. L. and Masur, H. (2020) 'Considerations for Empiric Antimicrobial Therapy in Sepsis and Septic Shock in an Era of Antimicrobial Resistance', </w:t>
      </w:r>
      <w:r w:rsidRPr="00C95F82">
        <w:rPr>
          <w:i/>
          <w:noProof/>
        </w:rPr>
        <w:t>Journal of Infectious Diseases,</w:t>
      </w:r>
      <w:r w:rsidRPr="00C95F82">
        <w:rPr>
          <w:noProof/>
        </w:rPr>
        <w:t xml:space="preserve"> 222(Suppl 2), pp. S119-s131.</w:t>
      </w:r>
    </w:p>
    <w:p w14:paraId="50C2C022" w14:textId="77777777" w:rsidR="00C95F82" w:rsidRPr="00C95F82" w:rsidRDefault="00C95F82" w:rsidP="00C95F82">
      <w:pPr>
        <w:pStyle w:val="EndNoteBibliography"/>
        <w:spacing w:after="240"/>
        <w:rPr>
          <w:noProof/>
        </w:rPr>
      </w:pPr>
      <w:r w:rsidRPr="00C95F82">
        <w:rPr>
          <w:noProof/>
        </w:rPr>
        <w:t xml:space="preserve">Stutchbury, K. (2022) 'Critical realism: An explanatory framework for small-scale qualitative studies or an ‘unhelpful edifice’?', </w:t>
      </w:r>
      <w:r w:rsidRPr="00C95F82">
        <w:rPr>
          <w:i/>
          <w:noProof/>
        </w:rPr>
        <w:t>International Journal of Research &amp; Method in Education,</w:t>
      </w:r>
      <w:r w:rsidRPr="00C95F82">
        <w:rPr>
          <w:noProof/>
        </w:rPr>
        <w:t xml:space="preserve"> 45(2), pp. 113-128.</w:t>
      </w:r>
    </w:p>
    <w:p w14:paraId="1FAD0E06" w14:textId="77777777" w:rsidR="00C95F82" w:rsidRPr="00C95F82" w:rsidRDefault="00C95F82" w:rsidP="00C95F82">
      <w:pPr>
        <w:pStyle w:val="EndNoteBibliography"/>
        <w:spacing w:after="240"/>
        <w:rPr>
          <w:noProof/>
        </w:rPr>
      </w:pPr>
      <w:r w:rsidRPr="00C95F82">
        <w:rPr>
          <w:noProof/>
        </w:rPr>
        <w:t xml:space="preserve">Sullivan, S. D., Mauskopf, J. A., Augustovski, F., Caro, J. J., Lee, K. M., Minchin, M., Orlewska, E., Penna, P., Barrios, J.-M. R. and Shau, W.-Y. (2014) 'Budget impact analysis—principles of good practice: report of the ISPOR 2012 Budget Impact Analysis Good Practice II Task Force', </w:t>
      </w:r>
      <w:r w:rsidRPr="00C95F82">
        <w:rPr>
          <w:i/>
          <w:noProof/>
        </w:rPr>
        <w:t>Value in health,</w:t>
      </w:r>
      <w:r w:rsidRPr="00C95F82">
        <w:rPr>
          <w:noProof/>
        </w:rPr>
        <w:t xml:space="preserve"> 17(1), pp. 5-14.</w:t>
      </w:r>
    </w:p>
    <w:p w14:paraId="0D2FB616" w14:textId="77777777" w:rsidR="00C95F82" w:rsidRPr="00C95F82" w:rsidRDefault="00C95F82" w:rsidP="00C95F82">
      <w:pPr>
        <w:pStyle w:val="EndNoteBibliography"/>
        <w:spacing w:after="240"/>
        <w:rPr>
          <w:noProof/>
        </w:rPr>
      </w:pPr>
      <w:r w:rsidRPr="00C95F82">
        <w:rPr>
          <w:noProof/>
        </w:rPr>
        <w:t xml:space="preserve">Sutherland, K. and Levesque, J. F. (2020) 'Unwarranted clinical variation in health care: Definitions and proposal of an analytic framework', </w:t>
      </w:r>
      <w:r w:rsidRPr="00C95F82">
        <w:rPr>
          <w:i/>
          <w:noProof/>
        </w:rPr>
        <w:t>Journal of Evaluation in Clinical Practice,</w:t>
      </w:r>
      <w:r w:rsidRPr="00C95F82">
        <w:rPr>
          <w:noProof/>
        </w:rPr>
        <w:t xml:space="preserve"> 26(3), pp. 687-696.</w:t>
      </w:r>
    </w:p>
    <w:p w14:paraId="55632409" w14:textId="77777777" w:rsidR="00C95F82" w:rsidRPr="00C95F82" w:rsidRDefault="00C95F82" w:rsidP="00C95F82">
      <w:pPr>
        <w:pStyle w:val="EndNoteBibliography"/>
        <w:spacing w:after="240"/>
        <w:rPr>
          <w:noProof/>
        </w:rPr>
      </w:pPr>
      <w:r w:rsidRPr="00C95F82">
        <w:rPr>
          <w:noProof/>
        </w:rPr>
        <w:t xml:space="preserve">Symbaluk, D. and Hall, R. (2024) </w:t>
      </w:r>
      <w:r w:rsidRPr="00C95F82">
        <w:rPr>
          <w:i/>
          <w:noProof/>
        </w:rPr>
        <w:t>Research methods: Exploring the social world in Canadian contexts.</w:t>
      </w:r>
      <w:r w:rsidRPr="00C95F82">
        <w:rPr>
          <w:noProof/>
        </w:rPr>
        <w:t xml:space="preserve"> 3rd edn. Edmonton, Alberta, Canada: MacEwan Open Books, p. 1-444.</w:t>
      </w:r>
    </w:p>
    <w:p w14:paraId="7CA523F0" w14:textId="77777777" w:rsidR="00C95F82" w:rsidRPr="00C95F82" w:rsidRDefault="00C95F82" w:rsidP="00C95F82">
      <w:pPr>
        <w:pStyle w:val="EndNoteBibliography"/>
        <w:spacing w:after="240"/>
        <w:rPr>
          <w:noProof/>
        </w:rPr>
      </w:pPr>
      <w:r w:rsidRPr="00C95F82">
        <w:rPr>
          <w:noProof/>
        </w:rPr>
        <w:t xml:space="preserve">Taheri Moghadam, S., Sadoughi, F., Velayati, F., Ehsanzadeh, S. J. and Poursharif, S. (2021) 'The effects of clinical decision support system for prescribing medication on patient outcomes and physician practice performance: a systematic review and meta-analysis', </w:t>
      </w:r>
      <w:r w:rsidRPr="00C95F82">
        <w:rPr>
          <w:i/>
          <w:noProof/>
        </w:rPr>
        <w:t>BMC Medical Informatics and Decision Making,</w:t>
      </w:r>
      <w:r w:rsidRPr="00C95F82">
        <w:rPr>
          <w:noProof/>
        </w:rPr>
        <w:t xml:space="preserve"> 21, pp. 1-26.</w:t>
      </w:r>
    </w:p>
    <w:p w14:paraId="1B8DB69A" w14:textId="77777777" w:rsidR="00C95F82" w:rsidRPr="00C95F82" w:rsidRDefault="00C95F82" w:rsidP="00C95F82">
      <w:pPr>
        <w:pStyle w:val="EndNoteBibliography"/>
        <w:spacing w:after="240"/>
        <w:rPr>
          <w:noProof/>
        </w:rPr>
      </w:pPr>
      <w:r w:rsidRPr="00C95F82">
        <w:rPr>
          <w:noProof/>
        </w:rPr>
        <w:t xml:space="preserve">Tambuyzer, E. (2010) 'Rare diseases, orphan drugs and their regulation: questions and misconceptions', </w:t>
      </w:r>
      <w:r w:rsidRPr="00C95F82">
        <w:rPr>
          <w:i/>
          <w:noProof/>
        </w:rPr>
        <w:t>Nature Reviews Drug Discovery,</w:t>
      </w:r>
      <w:r w:rsidRPr="00C95F82">
        <w:rPr>
          <w:noProof/>
        </w:rPr>
        <w:t xml:space="preserve"> 9(12), pp. 921-929.</w:t>
      </w:r>
    </w:p>
    <w:p w14:paraId="16CBCC5E" w14:textId="77777777" w:rsidR="00C95F82" w:rsidRPr="00C95F82" w:rsidRDefault="00C95F82" w:rsidP="00C95F82">
      <w:pPr>
        <w:pStyle w:val="EndNoteBibliography"/>
        <w:spacing w:after="240"/>
        <w:rPr>
          <w:noProof/>
        </w:rPr>
      </w:pPr>
      <w:r w:rsidRPr="00C95F82">
        <w:rPr>
          <w:noProof/>
        </w:rPr>
        <w:t xml:space="preserve">Tan, Y. Y., Papez, V., Chang, W. H., Mueller, S. H., Denaxas, S. and Lai, A. G. (2022) 'Comparing clinical trial population representativeness to real-world populations: an external validity analysis encompassing 43 895 trials and 5 685 738 individuals across 989 unique drugs and 286 conditions in England', </w:t>
      </w:r>
      <w:r w:rsidRPr="00C95F82">
        <w:rPr>
          <w:i/>
          <w:noProof/>
        </w:rPr>
        <w:t>The Lancet Healthy Longevity,</w:t>
      </w:r>
      <w:r w:rsidRPr="00C95F82">
        <w:rPr>
          <w:noProof/>
        </w:rPr>
        <w:t xml:space="preserve"> 3(10), pp. e674-e689.</w:t>
      </w:r>
    </w:p>
    <w:p w14:paraId="4F8AFAE7" w14:textId="77777777" w:rsidR="00C95F82" w:rsidRPr="00C95F82" w:rsidRDefault="00C95F82" w:rsidP="00C95F82">
      <w:pPr>
        <w:pStyle w:val="EndNoteBibliography"/>
        <w:spacing w:after="240"/>
        <w:rPr>
          <w:noProof/>
        </w:rPr>
      </w:pPr>
      <w:r w:rsidRPr="00C95F82">
        <w:rPr>
          <w:noProof/>
        </w:rPr>
        <w:t xml:space="preserve">Tariq, S. and Woodman, J. (2013) 'Using mixed methods in health research', </w:t>
      </w:r>
      <w:r w:rsidRPr="00C95F82">
        <w:rPr>
          <w:i/>
          <w:noProof/>
        </w:rPr>
        <w:t>JRSM Short Reports,</w:t>
      </w:r>
      <w:r w:rsidRPr="00C95F82">
        <w:rPr>
          <w:noProof/>
        </w:rPr>
        <w:t xml:space="preserve"> 4(6), pp. 2042533313479197.</w:t>
      </w:r>
    </w:p>
    <w:p w14:paraId="6E5B1850" w14:textId="77777777" w:rsidR="00C95F82" w:rsidRPr="00C95F82" w:rsidRDefault="00C95F82" w:rsidP="00C95F82">
      <w:pPr>
        <w:pStyle w:val="EndNoteBibliography"/>
        <w:spacing w:after="240"/>
        <w:rPr>
          <w:noProof/>
        </w:rPr>
      </w:pPr>
      <w:r w:rsidRPr="00C95F82">
        <w:rPr>
          <w:noProof/>
        </w:rPr>
        <w:t xml:space="preserve">Taruscio, D. and Gahl, W. A. (2024) 'Rare diseases: challenges and opportunities for research and public health', </w:t>
      </w:r>
      <w:r w:rsidRPr="00C95F82">
        <w:rPr>
          <w:i/>
          <w:noProof/>
        </w:rPr>
        <w:t>Nature Reviews Disease Primers,</w:t>
      </w:r>
      <w:r w:rsidRPr="00C95F82">
        <w:rPr>
          <w:noProof/>
        </w:rPr>
        <w:t xml:space="preserve"> 10(1), pp. 13.</w:t>
      </w:r>
    </w:p>
    <w:p w14:paraId="76DFC47B" w14:textId="77777777" w:rsidR="00C95F82" w:rsidRPr="00C95F82" w:rsidRDefault="00C95F82" w:rsidP="00C95F82">
      <w:pPr>
        <w:pStyle w:val="EndNoteBibliography"/>
        <w:spacing w:after="240"/>
        <w:rPr>
          <w:noProof/>
        </w:rPr>
      </w:pPr>
      <w:r w:rsidRPr="00C95F82">
        <w:rPr>
          <w:noProof/>
        </w:rPr>
        <w:t xml:space="preserve">Tashakkori, A. and Teddlie, C. (1998) </w:t>
      </w:r>
      <w:r w:rsidRPr="00C95F82">
        <w:rPr>
          <w:i/>
          <w:noProof/>
        </w:rPr>
        <w:t>Mixed methodology: Combining qualitative and quantitative approaches.</w:t>
      </w:r>
      <w:r w:rsidRPr="00C95F82">
        <w:rPr>
          <w:noProof/>
        </w:rPr>
        <w:t xml:space="preserve"> SAGE Publications Ltd, p. 1-206.</w:t>
      </w:r>
    </w:p>
    <w:p w14:paraId="3B88808A" w14:textId="77777777" w:rsidR="00C95F82" w:rsidRPr="00C95F82" w:rsidRDefault="00C95F82" w:rsidP="00C95F82">
      <w:pPr>
        <w:pStyle w:val="EndNoteBibliography"/>
        <w:spacing w:after="240"/>
        <w:rPr>
          <w:noProof/>
        </w:rPr>
      </w:pPr>
      <w:r w:rsidRPr="00C95F82">
        <w:rPr>
          <w:noProof/>
        </w:rPr>
        <w:t xml:space="preserve">Taylor, S., Pinnock, H., Epiphaniou, E., Pearce, G., Parke, H. L., Schwappach, A., Purushotham, N., Jacob, S., Griffiths, C. J., Greenhalgh, T. and Sheikh, A. (2014) </w:t>
      </w:r>
      <w:r w:rsidRPr="00C95F82">
        <w:rPr>
          <w:i/>
          <w:noProof/>
        </w:rPr>
        <w:t>A rapid synthesis of the evidence on interventions supporting self-management for people with long-term conditions: PRISMS – Practical systematic Review of Self-Management Support for long-term conditions.</w:t>
      </w:r>
      <w:r w:rsidRPr="00C95F82">
        <w:rPr>
          <w:noProof/>
        </w:rPr>
        <w:t xml:space="preserve"> Southampton, UK: NIHR Journals Library.</w:t>
      </w:r>
    </w:p>
    <w:p w14:paraId="589691C1" w14:textId="77777777" w:rsidR="00C95F82" w:rsidRPr="00C95F82" w:rsidRDefault="00C95F82" w:rsidP="00C95F82">
      <w:pPr>
        <w:pStyle w:val="EndNoteBibliography"/>
        <w:spacing w:after="240"/>
        <w:rPr>
          <w:noProof/>
        </w:rPr>
      </w:pPr>
      <w:r w:rsidRPr="00C95F82">
        <w:rPr>
          <w:noProof/>
        </w:rPr>
        <w:t xml:space="preserve">Taylor-Robinson, D., Archangelidi, O., Carr, S. B., Cosgriff, R., Gunn, E., Keogh, R. H., MacDougall, A., Newsome, S., Schlüter, D. K. and Stanojevic, S. (2018) 'Data resource profile: the UK cystic fibrosis registry', </w:t>
      </w:r>
      <w:r w:rsidRPr="00C95F82">
        <w:rPr>
          <w:i/>
          <w:noProof/>
        </w:rPr>
        <w:t>International Journal of Epidemiology,</w:t>
      </w:r>
      <w:r w:rsidRPr="00C95F82">
        <w:rPr>
          <w:noProof/>
        </w:rPr>
        <w:t xml:space="preserve"> 47(1), pp. 9-10e.</w:t>
      </w:r>
    </w:p>
    <w:p w14:paraId="127F10B6" w14:textId="77777777" w:rsidR="00C95F82" w:rsidRPr="00C95F82" w:rsidRDefault="00C95F82" w:rsidP="00C95F82">
      <w:pPr>
        <w:pStyle w:val="EndNoteBibliography"/>
        <w:spacing w:after="240"/>
        <w:rPr>
          <w:noProof/>
        </w:rPr>
      </w:pPr>
      <w:r w:rsidRPr="00C95F82">
        <w:rPr>
          <w:noProof/>
        </w:rPr>
        <w:t xml:space="preserve">Thaler, R. H. and Sunstein, C. R. (2008) </w:t>
      </w:r>
      <w:r w:rsidRPr="00C95F82">
        <w:rPr>
          <w:i/>
          <w:noProof/>
        </w:rPr>
        <w:t>Nudge: Improving Decisions about Health, Wealth, and Happiness.</w:t>
      </w:r>
      <w:r w:rsidRPr="00C95F82">
        <w:rPr>
          <w:noProof/>
        </w:rPr>
        <w:t xml:space="preserve"> New Haven, CT, USA: Yale University Press, p. 1-312.</w:t>
      </w:r>
    </w:p>
    <w:p w14:paraId="7717B95A" w14:textId="145CB59D" w:rsidR="00C95F82" w:rsidRPr="00C95F82" w:rsidRDefault="00C95F82" w:rsidP="00C95F82">
      <w:pPr>
        <w:pStyle w:val="EndNoteBibliography"/>
        <w:spacing w:after="240"/>
        <w:rPr>
          <w:noProof/>
        </w:rPr>
      </w:pPr>
      <w:r w:rsidRPr="00C95F82">
        <w:rPr>
          <w:noProof/>
        </w:rPr>
        <w:t xml:space="preserve">The Healthcare Improvement Studies Institute (2025) </w:t>
      </w:r>
      <w:r w:rsidRPr="00C95F82">
        <w:rPr>
          <w:i/>
          <w:noProof/>
        </w:rPr>
        <w:t>About THIS.</w:t>
      </w:r>
      <w:r w:rsidRPr="00C95F82">
        <w:rPr>
          <w:noProof/>
        </w:rPr>
        <w:t xml:space="preserve"> Available at: </w:t>
      </w:r>
      <w:hyperlink r:id="rId124" w:history="1">
        <w:r w:rsidRPr="00C95F82">
          <w:rPr>
            <w:rStyle w:val="Hyperlink"/>
            <w:noProof/>
          </w:rPr>
          <w:t>https://www.thisinstitute.cam.ac.uk/about/</w:t>
        </w:r>
      </w:hyperlink>
      <w:r w:rsidRPr="00C95F82">
        <w:rPr>
          <w:noProof/>
        </w:rPr>
        <w:t xml:space="preserve"> (Accessed: 22/04/2026).</w:t>
      </w:r>
    </w:p>
    <w:p w14:paraId="3867F009" w14:textId="1B5ACDD5" w:rsidR="00C95F82" w:rsidRPr="00C95F82" w:rsidRDefault="00C95F82" w:rsidP="00C95F82">
      <w:pPr>
        <w:pStyle w:val="EndNoteBibliography"/>
        <w:spacing w:after="240"/>
        <w:rPr>
          <w:noProof/>
        </w:rPr>
      </w:pPr>
      <w:r w:rsidRPr="00C95F82">
        <w:rPr>
          <w:noProof/>
        </w:rPr>
        <w:t xml:space="preserve">The Prescription Medicines Code of Practice Authority (2024) </w:t>
      </w:r>
      <w:r w:rsidRPr="00C95F82">
        <w:rPr>
          <w:i/>
          <w:noProof/>
        </w:rPr>
        <w:t>CASE AUTH/3751/3/23 - EX-EMPLOYEE v OTSUKA</w:t>
      </w:r>
      <w:r w:rsidRPr="00C95F82">
        <w:rPr>
          <w:noProof/>
        </w:rPr>
        <w:t xml:space="preserve">. Available at: </w:t>
      </w:r>
      <w:hyperlink r:id="rId125" w:history="1">
        <w:r w:rsidRPr="00C95F82">
          <w:rPr>
            <w:rStyle w:val="Hyperlink"/>
            <w:noProof/>
          </w:rPr>
          <w:t>https://pmcpa.org.uk/media/eb3coriz/3751-case-report-26-september-2024.pdf</w:t>
        </w:r>
      </w:hyperlink>
      <w:r w:rsidRPr="00C95F82">
        <w:rPr>
          <w:noProof/>
        </w:rPr>
        <w:t xml:space="preserve"> (Accessed: 19/09/2025).</w:t>
      </w:r>
    </w:p>
    <w:p w14:paraId="4B303AB5" w14:textId="6B8024A7" w:rsidR="00C95F82" w:rsidRPr="00C95F82" w:rsidRDefault="00C95F82" w:rsidP="00C95F82">
      <w:pPr>
        <w:pStyle w:val="EndNoteBibliography"/>
        <w:spacing w:after="240"/>
        <w:rPr>
          <w:noProof/>
        </w:rPr>
      </w:pPr>
      <w:r w:rsidRPr="00C95F82">
        <w:rPr>
          <w:noProof/>
        </w:rPr>
        <w:t xml:space="preserve">The Scottish Government (2012) </w:t>
      </w:r>
      <w:r w:rsidRPr="00C95F82">
        <w:rPr>
          <w:i/>
          <w:noProof/>
        </w:rPr>
        <w:t>Guidance to further strengthen the safe and effective use of new medicines across the NHS in Scotland</w:t>
      </w:r>
      <w:r w:rsidRPr="00C95F82">
        <w:rPr>
          <w:noProof/>
        </w:rPr>
        <w:t xml:space="preserve">. Available at: </w:t>
      </w:r>
      <w:hyperlink r:id="rId126" w:history="1">
        <w:r w:rsidRPr="00C95F82">
          <w:rPr>
            <w:rStyle w:val="Hyperlink"/>
            <w:noProof/>
          </w:rPr>
          <w:t>https://scottishmedicines.org.uk/media/2726/safe-and-effective-use-of-new-medicines.pdf</w:t>
        </w:r>
      </w:hyperlink>
      <w:r w:rsidRPr="00C95F82">
        <w:rPr>
          <w:noProof/>
        </w:rPr>
        <w:t xml:space="preserve"> (Accessed: 02/04/2026).</w:t>
      </w:r>
    </w:p>
    <w:p w14:paraId="4F8B4C32" w14:textId="77777777" w:rsidR="00C95F82" w:rsidRPr="00C95F82" w:rsidRDefault="00C95F82" w:rsidP="00C95F82">
      <w:pPr>
        <w:pStyle w:val="EndNoteBibliography"/>
        <w:spacing w:after="240"/>
        <w:rPr>
          <w:noProof/>
        </w:rPr>
      </w:pPr>
      <w:r w:rsidRPr="00C95F82">
        <w:rPr>
          <w:noProof/>
        </w:rPr>
        <w:t xml:space="preserve">Thistlethwaite, J., Ajjawi, R. and Aslani, P. (2010) 'The decision to prescribe: influences and choice', </w:t>
      </w:r>
      <w:r w:rsidRPr="00C95F82">
        <w:rPr>
          <w:i/>
          <w:noProof/>
        </w:rPr>
        <w:t>InnovAiT,</w:t>
      </w:r>
      <w:r w:rsidRPr="00C95F82">
        <w:rPr>
          <w:noProof/>
        </w:rPr>
        <w:t xml:space="preserve"> 3(4), pp. 237-243.</w:t>
      </w:r>
    </w:p>
    <w:p w14:paraId="01FCD8DD" w14:textId="77777777" w:rsidR="00C95F82" w:rsidRPr="00C95F82" w:rsidRDefault="00C95F82" w:rsidP="00C95F82">
      <w:pPr>
        <w:pStyle w:val="EndNoteBibliography"/>
        <w:spacing w:after="240"/>
        <w:rPr>
          <w:noProof/>
        </w:rPr>
      </w:pPr>
      <w:r w:rsidRPr="00C95F82">
        <w:rPr>
          <w:noProof/>
        </w:rPr>
        <w:t xml:space="preserve">Thomas, J. and Harden, A. (2008) 'Methods for the thematic synthesis of qualitative research in systematic reviews', </w:t>
      </w:r>
      <w:r w:rsidRPr="00C95F82">
        <w:rPr>
          <w:i/>
          <w:noProof/>
        </w:rPr>
        <w:t>BMC Medical Research Methodology,</w:t>
      </w:r>
      <w:r w:rsidRPr="00C95F82">
        <w:rPr>
          <w:noProof/>
        </w:rPr>
        <w:t xml:space="preserve"> 8(1), pp. 1-10.</w:t>
      </w:r>
    </w:p>
    <w:p w14:paraId="2A9ED1D8" w14:textId="77777777" w:rsidR="00C95F82" w:rsidRPr="00C95F82" w:rsidRDefault="00C95F82" w:rsidP="00C95F82">
      <w:pPr>
        <w:pStyle w:val="EndNoteBibliography"/>
        <w:spacing w:after="240"/>
        <w:rPr>
          <w:noProof/>
        </w:rPr>
      </w:pPr>
      <w:r w:rsidRPr="00C95F82">
        <w:rPr>
          <w:noProof/>
        </w:rPr>
        <w:t xml:space="preserve">Thompson, N. and Pascal, J. (2012) 'Developing critically reflective practice', </w:t>
      </w:r>
      <w:r w:rsidRPr="00C95F82">
        <w:rPr>
          <w:i/>
          <w:noProof/>
        </w:rPr>
        <w:t>Reflective Practice,</w:t>
      </w:r>
      <w:r w:rsidRPr="00C95F82">
        <w:rPr>
          <w:noProof/>
        </w:rPr>
        <w:t xml:space="preserve"> 13(2), pp. 311-325.</w:t>
      </w:r>
    </w:p>
    <w:p w14:paraId="78E0EC76" w14:textId="77777777" w:rsidR="00C95F82" w:rsidRPr="00C95F82" w:rsidRDefault="00C95F82" w:rsidP="00C95F82">
      <w:pPr>
        <w:pStyle w:val="EndNoteBibliography"/>
        <w:spacing w:after="240"/>
        <w:rPr>
          <w:noProof/>
        </w:rPr>
      </w:pPr>
      <w:r w:rsidRPr="00C95F82">
        <w:rPr>
          <w:noProof/>
        </w:rPr>
        <w:t xml:space="preserve">Thompson, W., Tonkin-Crine, S., Pavitt, S., McEachan, R., Douglas, G., Aggarwal, V. and Sandoe, J. (2019) 'Factors associated with antibiotic prescribing for adults with acute conditions: an umbrella review across primary care and a systematic review focusing on primary dental care', </w:t>
      </w:r>
      <w:r w:rsidRPr="00C95F82">
        <w:rPr>
          <w:i/>
          <w:noProof/>
        </w:rPr>
        <w:t>Journal of Antimicrobial Chemotherapy,</w:t>
      </w:r>
      <w:r w:rsidRPr="00C95F82">
        <w:rPr>
          <w:noProof/>
        </w:rPr>
        <w:t xml:space="preserve"> 74(8), pp. 2139-2152.</w:t>
      </w:r>
    </w:p>
    <w:p w14:paraId="7CB2F71D" w14:textId="77777777" w:rsidR="00C95F82" w:rsidRPr="00C95F82" w:rsidRDefault="00C95F82" w:rsidP="00C95F82">
      <w:pPr>
        <w:pStyle w:val="EndNoteBibliography"/>
        <w:spacing w:after="240"/>
        <w:rPr>
          <w:noProof/>
        </w:rPr>
      </w:pPr>
      <w:r w:rsidRPr="00C95F82">
        <w:rPr>
          <w:noProof/>
        </w:rPr>
        <w:t xml:space="preserve">Thoonsen, A. C., van Schoten, S. M., Merten, H., van Beusekom, I., Schoonmade, L. J., Delnoij, D. M. and de Bruijne, M. C. (2024) 'Stimulating implementation of clinical practice guidelines in hospital care from a central guideline organization perspective: A systematic review', </w:t>
      </w:r>
      <w:r w:rsidRPr="00C95F82">
        <w:rPr>
          <w:i/>
          <w:noProof/>
        </w:rPr>
        <w:t>Health Policy,</w:t>
      </w:r>
      <w:r w:rsidRPr="00C95F82">
        <w:rPr>
          <w:noProof/>
        </w:rPr>
        <w:t xml:space="preserve"> 148, pp. 105135.</w:t>
      </w:r>
    </w:p>
    <w:p w14:paraId="0C75A3B9" w14:textId="77777777" w:rsidR="00C95F82" w:rsidRPr="00C95F82" w:rsidRDefault="00C95F82" w:rsidP="00C95F82">
      <w:pPr>
        <w:pStyle w:val="EndNoteBibliography"/>
        <w:spacing w:after="240"/>
        <w:rPr>
          <w:noProof/>
        </w:rPr>
      </w:pPr>
      <w:r w:rsidRPr="00C95F82">
        <w:rPr>
          <w:noProof/>
        </w:rPr>
        <w:t xml:space="preserve">Tichelaar, J., Richir, M., Garner, S., Hogerzeil, H. and de Vries, T. P. (2020) 'WHO guide to good prescribing is 25 years old: quo vadis?', </w:t>
      </w:r>
      <w:r w:rsidRPr="00C95F82">
        <w:rPr>
          <w:i/>
          <w:noProof/>
        </w:rPr>
        <w:t>European Journal of Clinical Pharmacology,</w:t>
      </w:r>
      <w:r w:rsidRPr="00C95F82">
        <w:rPr>
          <w:noProof/>
        </w:rPr>
        <w:t xml:space="preserve"> 76(4), pp. 507-513.</w:t>
      </w:r>
    </w:p>
    <w:p w14:paraId="2A0CFF95" w14:textId="77777777" w:rsidR="00C95F82" w:rsidRPr="00C95F82" w:rsidRDefault="00C95F82" w:rsidP="00C95F82">
      <w:pPr>
        <w:pStyle w:val="EndNoteBibliography"/>
        <w:spacing w:after="240"/>
        <w:rPr>
          <w:noProof/>
        </w:rPr>
      </w:pPr>
      <w:r w:rsidRPr="00C95F82">
        <w:rPr>
          <w:noProof/>
        </w:rPr>
        <w:t xml:space="preserve">Timpel, P., Lang, C., Wens, J., Contel, J. C. and Schwarz, P. E. (2020) 'The Manage Care model–developing an evidence-based and Expert-Driven Chronic Care Management Model for patients with diabetes', </w:t>
      </w:r>
      <w:r w:rsidRPr="00C95F82">
        <w:rPr>
          <w:i/>
          <w:noProof/>
        </w:rPr>
        <w:t>International Journal of Integrated Care,</w:t>
      </w:r>
      <w:r w:rsidRPr="00C95F82">
        <w:rPr>
          <w:noProof/>
        </w:rPr>
        <w:t xml:space="preserve"> 20(2), pp. 2.</w:t>
      </w:r>
    </w:p>
    <w:p w14:paraId="56C6B304" w14:textId="77777777" w:rsidR="00C95F82" w:rsidRPr="00C95F82" w:rsidRDefault="00C95F82" w:rsidP="00C95F82">
      <w:pPr>
        <w:pStyle w:val="EndNoteBibliography"/>
        <w:spacing w:after="240"/>
        <w:rPr>
          <w:noProof/>
        </w:rPr>
      </w:pPr>
      <w:r w:rsidRPr="00C95F82">
        <w:rPr>
          <w:noProof/>
        </w:rPr>
        <w:t xml:space="preserve">Toiviainen, H. K., Vuorenkoski, L. and Hemminki, E. (2005) 'Physicians’ opinions on patients’ requests for specific treatments and examinations', </w:t>
      </w:r>
      <w:r w:rsidRPr="00C95F82">
        <w:rPr>
          <w:i/>
          <w:noProof/>
        </w:rPr>
        <w:t>Health Expectations,</w:t>
      </w:r>
      <w:r w:rsidRPr="00C95F82">
        <w:rPr>
          <w:noProof/>
        </w:rPr>
        <w:t xml:space="preserve"> 8(1), pp. 43-53.</w:t>
      </w:r>
    </w:p>
    <w:p w14:paraId="52471D9C" w14:textId="77777777" w:rsidR="00C95F82" w:rsidRPr="00C95F82" w:rsidRDefault="00C95F82" w:rsidP="00C95F82">
      <w:pPr>
        <w:pStyle w:val="EndNoteBibliography"/>
        <w:spacing w:after="240"/>
        <w:rPr>
          <w:noProof/>
        </w:rPr>
      </w:pPr>
      <w:r w:rsidRPr="00C95F82">
        <w:rPr>
          <w:noProof/>
        </w:rPr>
        <w:t xml:space="preserve">Tollefsen, Y. S. (2023) </w:t>
      </w:r>
      <w:r w:rsidRPr="00C95F82">
        <w:rPr>
          <w:i/>
          <w:noProof/>
        </w:rPr>
        <w:t>Different Approaches for Calculating the Confidence Intervals for the Binomial Proportion.</w:t>
      </w:r>
      <w:r w:rsidRPr="00C95F82">
        <w:rPr>
          <w:noProof/>
        </w:rPr>
        <w:t xml:space="preserve"> Norwegian University of Science and Technology.</w:t>
      </w:r>
    </w:p>
    <w:p w14:paraId="337FFEAA" w14:textId="77777777" w:rsidR="00C95F82" w:rsidRPr="00C95F82" w:rsidRDefault="00C95F82" w:rsidP="00C95F82">
      <w:pPr>
        <w:pStyle w:val="EndNoteBibliography"/>
        <w:spacing w:after="240"/>
        <w:rPr>
          <w:noProof/>
        </w:rPr>
      </w:pPr>
      <w:r w:rsidRPr="00C95F82">
        <w:rPr>
          <w:noProof/>
        </w:rPr>
        <w:t xml:space="preserve">Tomson, C. R. and Van Der Veer, S. N. (2013) 'Learning from practice variation to improve the quality of care', </w:t>
      </w:r>
      <w:r w:rsidRPr="00C95F82">
        <w:rPr>
          <w:i/>
          <w:noProof/>
        </w:rPr>
        <w:t>Clinical Medicine,</w:t>
      </w:r>
      <w:r w:rsidRPr="00C95F82">
        <w:rPr>
          <w:noProof/>
        </w:rPr>
        <w:t xml:space="preserve"> 13(1), pp. 19-23.</w:t>
      </w:r>
    </w:p>
    <w:p w14:paraId="61D4C290" w14:textId="77777777" w:rsidR="00C95F82" w:rsidRPr="00C95F82" w:rsidRDefault="00C95F82" w:rsidP="00C95F82">
      <w:pPr>
        <w:pStyle w:val="EndNoteBibliography"/>
        <w:spacing w:after="240"/>
        <w:rPr>
          <w:noProof/>
        </w:rPr>
      </w:pPr>
      <w:r w:rsidRPr="00C95F82">
        <w:rPr>
          <w:noProof/>
        </w:rPr>
        <w:t xml:space="preserve">Tong, A., Flemming, K., McInnes, E., Oliver, S. and Craig, J. (2012) 'Enhancing transparency in reporting the synthesis of qualitative research: ENTREQ', </w:t>
      </w:r>
      <w:r w:rsidRPr="00C95F82">
        <w:rPr>
          <w:i/>
          <w:noProof/>
        </w:rPr>
        <w:t>BMC Medical Research Methodology,</w:t>
      </w:r>
      <w:r w:rsidRPr="00C95F82">
        <w:rPr>
          <w:noProof/>
        </w:rPr>
        <w:t xml:space="preserve"> 12, pp. 1-8.</w:t>
      </w:r>
    </w:p>
    <w:p w14:paraId="6DB28F46" w14:textId="77777777" w:rsidR="00C95F82" w:rsidRPr="00C95F82" w:rsidRDefault="00C95F82" w:rsidP="00C95F82">
      <w:pPr>
        <w:pStyle w:val="EndNoteBibliography"/>
        <w:spacing w:after="240"/>
        <w:rPr>
          <w:noProof/>
        </w:rPr>
      </w:pPr>
      <w:r w:rsidRPr="00C95F82">
        <w:rPr>
          <w:noProof/>
        </w:rPr>
        <w:t xml:space="preserve">Tong, A., Sainsbury, P. and Craig, J. (2007) 'Consolidated criteria for reporting qualitative research (COREQ): a 32-item checklist for interviews and focus groups', </w:t>
      </w:r>
      <w:r w:rsidRPr="00C95F82">
        <w:rPr>
          <w:i/>
          <w:noProof/>
        </w:rPr>
        <w:t>International Journal of Qualitative Health Care,</w:t>
      </w:r>
      <w:r w:rsidRPr="00C95F82">
        <w:rPr>
          <w:noProof/>
        </w:rPr>
        <w:t xml:space="preserve"> 19(6), pp. 349-57.</w:t>
      </w:r>
    </w:p>
    <w:p w14:paraId="116EB1BA" w14:textId="77777777" w:rsidR="00C95F82" w:rsidRPr="00C95F82" w:rsidRDefault="00C95F82" w:rsidP="00C95F82">
      <w:pPr>
        <w:pStyle w:val="EndNoteBibliography"/>
        <w:spacing w:after="240"/>
        <w:rPr>
          <w:noProof/>
        </w:rPr>
      </w:pPr>
      <w:r w:rsidRPr="00C95F82">
        <w:rPr>
          <w:noProof/>
        </w:rPr>
        <w:t xml:space="preserve">Tonkin-Crine, S., Yardley, L. and Little, P. (2011) 'Antibiotic prescribing for acute respiratory tract infections in primary care: a systematic review and meta-ethnography', </w:t>
      </w:r>
      <w:r w:rsidRPr="00C95F82">
        <w:rPr>
          <w:i/>
          <w:noProof/>
        </w:rPr>
        <w:t>Journal of Antimicrobial Chemotherapy,</w:t>
      </w:r>
      <w:r w:rsidRPr="00C95F82">
        <w:rPr>
          <w:noProof/>
        </w:rPr>
        <w:t xml:space="preserve"> 66(10), pp. 2215-2223.</w:t>
      </w:r>
    </w:p>
    <w:p w14:paraId="69003E61" w14:textId="77777777" w:rsidR="00C95F82" w:rsidRPr="00C95F82" w:rsidRDefault="00C95F82" w:rsidP="00C95F82">
      <w:pPr>
        <w:pStyle w:val="EndNoteBibliography"/>
        <w:spacing w:after="240"/>
        <w:rPr>
          <w:noProof/>
        </w:rPr>
      </w:pPr>
      <w:r w:rsidRPr="00C95F82">
        <w:rPr>
          <w:noProof/>
        </w:rPr>
        <w:t xml:space="preserve">Torres, V. E., Ahn, C., Barten, T. R., Brosnahan, G., Cadnapaphornchai, M. A., Chapman, A. B., Cornec-Le Gall, E., Drenth, J. P., Gansevoort, R. T. and Harris, P. C. (2025) 'KDIGO 2025 clinical practice guideline for the evaluation, management, and treatment of autosomal dominant polycystic kidney disease (ADPKD): executive summary', </w:t>
      </w:r>
      <w:r w:rsidRPr="00C95F82">
        <w:rPr>
          <w:i/>
          <w:noProof/>
        </w:rPr>
        <w:t>Kidney International,</w:t>
      </w:r>
      <w:r w:rsidRPr="00C95F82">
        <w:rPr>
          <w:noProof/>
        </w:rPr>
        <w:t xml:space="preserve"> 107(2), pp. 234-254.</w:t>
      </w:r>
    </w:p>
    <w:p w14:paraId="038CFDC6" w14:textId="77777777" w:rsidR="00C95F82" w:rsidRPr="00C95F82" w:rsidRDefault="00C95F82" w:rsidP="00C95F82">
      <w:pPr>
        <w:pStyle w:val="EndNoteBibliography"/>
        <w:spacing w:after="240"/>
        <w:rPr>
          <w:noProof/>
        </w:rPr>
      </w:pPr>
      <w:r w:rsidRPr="00C95F82">
        <w:rPr>
          <w:noProof/>
        </w:rPr>
        <w:t xml:space="preserve">Torres, V. E., Chapman, A. B., Devuyst, O., Gansevoort, R. T., Grantham, J. J., Higashihara, E., Perrone, R. D., Krasa, H. B., Ouyang, J. and Czerwiec, F. S. (2012) 'Tolvaptan in patients with autosomal dominant polycystic kidney disease', </w:t>
      </w:r>
      <w:r w:rsidRPr="00C95F82">
        <w:rPr>
          <w:i/>
          <w:noProof/>
        </w:rPr>
        <w:t>New England Journal of Medicine,</w:t>
      </w:r>
      <w:r w:rsidRPr="00C95F82">
        <w:rPr>
          <w:noProof/>
        </w:rPr>
        <w:t xml:space="preserve"> 367(25), pp. 2407-18.</w:t>
      </w:r>
    </w:p>
    <w:p w14:paraId="329BA66B" w14:textId="77777777" w:rsidR="00C95F82" w:rsidRPr="00C95F82" w:rsidRDefault="00C95F82" w:rsidP="00C95F82">
      <w:pPr>
        <w:pStyle w:val="EndNoteBibliography"/>
        <w:spacing w:after="240"/>
        <w:rPr>
          <w:noProof/>
        </w:rPr>
      </w:pPr>
      <w:r w:rsidRPr="00C95F82">
        <w:rPr>
          <w:noProof/>
        </w:rPr>
        <w:t xml:space="preserve">Torres, V. E., Chapman, A. B., Devuyst, O., Gansevoort, R. T., Perrone, R. D., Koch, G., Ouyang, J., McQuade, R. D., Blais, J. D. and Czerwiec, F. S. (2017) 'Tolvaptan in later-stage autosomal dominant polycystic kidney disease', </w:t>
      </w:r>
      <w:r w:rsidRPr="00C95F82">
        <w:rPr>
          <w:i/>
          <w:noProof/>
        </w:rPr>
        <w:t>New England Journal of Medicine,</w:t>
      </w:r>
      <w:r w:rsidRPr="00C95F82">
        <w:rPr>
          <w:noProof/>
        </w:rPr>
        <w:t xml:space="preserve"> 377(20), pp. 1930-1942.</w:t>
      </w:r>
    </w:p>
    <w:p w14:paraId="4EF02C2B" w14:textId="77777777" w:rsidR="00C95F82" w:rsidRPr="00C95F82" w:rsidRDefault="00C95F82" w:rsidP="00C95F82">
      <w:pPr>
        <w:pStyle w:val="EndNoteBibliography"/>
        <w:spacing w:after="240"/>
        <w:rPr>
          <w:noProof/>
        </w:rPr>
      </w:pPr>
      <w:r w:rsidRPr="00C95F82">
        <w:rPr>
          <w:noProof/>
        </w:rPr>
        <w:t xml:space="preserve">Torres, V. E., Chapman, A. B., Devuyst, O., Gansevoort, R. T., Perrone, R. D., Lee, J., Hoke, M. E., Estilo, A. and Sergeyeva, O. (2021) 'Multicenter study of long-term safety of tolvaptan in later-stage autosomal dominant polycystic kidney disease', </w:t>
      </w:r>
      <w:r w:rsidRPr="00C95F82">
        <w:rPr>
          <w:i/>
          <w:noProof/>
        </w:rPr>
        <w:t>Clinical Journal of the American Society of Nephrology,</w:t>
      </w:r>
      <w:r w:rsidRPr="00C95F82">
        <w:rPr>
          <w:noProof/>
        </w:rPr>
        <w:t xml:space="preserve"> 16(1), pp. 48-58.</w:t>
      </w:r>
    </w:p>
    <w:p w14:paraId="02520D96" w14:textId="77777777" w:rsidR="00C95F82" w:rsidRPr="00C95F82" w:rsidRDefault="00C95F82" w:rsidP="00C95F82">
      <w:pPr>
        <w:pStyle w:val="EndNoteBibliography"/>
        <w:spacing w:after="240"/>
        <w:rPr>
          <w:noProof/>
        </w:rPr>
      </w:pPr>
      <w:r w:rsidRPr="00C95F82">
        <w:rPr>
          <w:noProof/>
        </w:rPr>
        <w:t xml:space="preserve">Torres, V. E., Harris, P. C. and Pirson, Y. (2007) 'Autosomal dominant polycystic kidney disease', </w:t>
      </w:r>
      <w:r w:rsidRPr="00C95F82">
        <w:rPr>
          <w:i/>
          <w:noProof/>
        </w:rPr>
        <w:t>The Lancet,</w:t>
      </w:r>
      <w:r w:rsidRPr="00C95F82">
        <w:rPr>
          <w:noProof/>
        </w:rPr>
        <w:t xml:space="preserve"> 369(9569), pp. 1287-1301.</w:t>
      </w:r>
    </w:p>
    <w:p w14:paraId="75063C2F" w14:textId="77777777" w:rsidR="00C95F82" w:rsidRPr="00C95F82" w:rsidRDefault="00C95F82" w:rsidP="00C95F82">
      <w:pPr>
        <w:pStyle w:val="EndNoteBibliography"/>
        <w:spacing w:after="240"/>
        <w:rPr>
          <w:noProof/>
        </w:rPr>
      </w:pPr>
      <w:r w:rsidRPr="00C95F82">
        <w:rPr>
          <w:noProof/>
        </w:rPr>
        <w:t xml:space="preserve">Torres, V. E., Higashihara, E., Devuyst, O., Chapman, A. B., Gansevoort, R. T., Grantham, J. J., Perrone, R. D., Ouyang, J., Blais, J. D. and Czerwiec, F. S. (2016) 'Effect of tolvaptan in autosomal dominant polycystic kidney disease by CKD stage: results from the TEMPO 3: 4 trial', </w:t>
      </w:r>
      <w:r w:rsidRPr="00C95F82">
        <w:rPr>
          <w:i/>
          <w:noProof/>
        </w:rPr>
        <w:t>Clinical Journal of the American Society of Nephrology,</w:t>
      </w:r>
      <w:r w:rsidRPr="00C95F82">
        <w:rPr>
          <w:noProof/>
        </w:rPr>
        <w:t xml:space="preserve"> 11(5), pp. 803-811.</w:t>
      </w:r>
    </w:p>
    <w:p w14:paraId="290242A3" w14:textId="77777777" w:rsidR="00C95F82" w:rsidRPr="00C95F82" w:rsidRDefault="00C95F82" w:rsidP="00C95F82">
      <w:pPr>
        <w:pStyle w:val="EndNoteBibliography"/>
        <w:spacing w:after="240"/>
        <w:rPr>
          <w:noProof/>
        </w:rPr>
      </w:pPr>
      <w:r w:rsidRPr="00C95F82">
        <w:rPr>
          <w:noProof/>
        </w:rPr>
        <w:t xml:space="preserve">Tripathy, J. P. (2013) 'Secondary data analysis: Ethical issues and challenges', </w:t>
      </w:r>
      <w:r w:rsidRPr="00C95F82">
        <w:rPr>
          <w:i/>
          <w:noProof/>
        </w:rPr>
        <w:t>Iranian Journal of Public Health,</w:t>
      </w:r>
      <w:r w:rsidRPr="00C95F82">
        <w:rPr>
          <w:noProof/>
        </w:rPr>
        <w:t xml:space="preserve"> 42(12), pp. 1478.</w:t>
      </w:r>
    </w:p>
    <w:p w14:paraId="6400669C" w14:textId="25B7B304" w:rsidR="00C95F82" w:rsidRPr="00C95F82" w:rsidRDefault="00C95F82" w:rsidP="00C95F82">
      <w:pPr>
        <w:pStyle w:val="EndNoteBibliography"/>
        <w:spacing w:after="240"/>
        <w:rPr>
          <w:noProof/>
        </w:rPr>
      </w:pPr>
      <w:r w:rsidRPr="00C95F82">
        <w:rPr>
          <w:noProof/>
        </w:rPr>
        <w:t xml:space="preserve">Tunnicliffe, D. (2023) </w:t>
      </w:r>
      <w:r w:rsidRPr="00C95F82">
        <w:rPr>
          <w:i/>
          <w:noProof/>
        </w:rPr>
        <w:t>CARI Guidelines: Australian and New Zealand living guideline for pharmacological management of autosomal dominant polycystic kidney disease</w:t>
      </w:r>
      <w:r w:rsidRPr="00C95F82">
        <w:rPr>
          <w:noProof/>
        </w:rPr>
        <w:t xml:space="preserve">. Available at: </w:t>
      </w:r>
      <w:hyperlink r:id="rId127" w:history="1">
        <w:r w:rsidRPr="00C95F82">
          <w:rPr>
            <w:rStyle w:val="Hyperlink"/>
            <w:noProof/>
          </w:rPr>
          <w:t>https://files.magicapp.org/guideline/fd9f0bf4-a6d4-414f-9d99-d1faee62f90f/published_guideline_7280-1_1.pdf</w:t>
        </w:r>
      </w:hyperlink>
      <w:r w:rsidRPr="00C95F82">
        <w:rPr>
          <w:noProof/>
        </w:rPr>
        <w:t xml:space="preserve"> (Accessed: 31/03/2026).</w:t>
      </w:r>
    </w:p>
    <w:p w14:paraId="1FE3D484" w14:textId="53670218" w:rsidR="00C95F82" w:rsidRPr="00C95F82" w:rsidRDefault="00C95F82" w:rsidP="00C95F82">
      <w:pPr>
        <w:pStyle w:val="EndNoteBibliography"/>
        <w:spacing w:after="240"/>
        <w:rPr>
          <w:noProof/>
        </w:rPr>
      </w:pPr>
      <w:r w:rsidRPr="00C95F82">
        <w:rPr>
          <w:noProof/>
        </w:rPr>
        <w:t xml:space="preserve">Turk, A., Boylan, A. and Locock, L. (2017) </w:t>
      </w:r>
      <w:r w:rsidRPr="00C95F82">
        <w:rPr>
          <w:i/>
          <w:noProof/>
        </w:rPr>
        <w:t>A researcher’s guide to patient and public involvement</w:t>
      </w:r>
      <w:r w:rsidRPr="00C95F82">
        <w:rPr>
          <w:noProof/>
        </w:rPr>
        <w:t xml:space="preserve">. Available at: </w:t>
      </w:r>
      <w:hyperlink r:id="rId128" w:history="1">
        <w:r w:rsidRPr="00C95F82">
          <w:rPr>
            <w:rStyle w:val="Hyperlink"/>
            <w:noProof/>
          </w:rPr>
          <w:t>https://oxfordbrc.nihr.ac.uk/wp-content/uploads/2017/03/A-Researchers-Guide-to-PPI.pdf</w:t>
        </w:r>
      </w:hyperlink>
      <w:r w:rsidRPr="00C95F82">
        <w:rPr>
          <w:noProof/>
        </w:rPr>
        <w:t xml:space="preserve"> (Accessed: 04/03/2026).</w:t>
      </w:r>
    </w:p>
    <w:p w14:paraId="5CA38B8C" w14:textId="77777777" w:rsidR="00C95F82" w:rsidRPr="00C95F82" w:rsidRDefault="00C95F82" w:rsidP="00C95F82">
      <w:pPr>
        <w:pStyle w:val="EndNoteBibliography"/>
        <w:spacing w:after="240"/>
        <w:rPr>
          <w:noProof/>
        </w:rPr>
      </w:pPr>
      <w:r w:rsidRPr="00C95F82">
        <w:rPr>
          <w:noProof/>
        </w:rPr>
        <w:t xml:space="preserve">Turk, T., Elhady, M. T., Rashed, S., Abdelkhalek, M., Nasef, S. A., Khallaf, A. M., Mohammed, A. T., Attia, A. W., Adhikari, P. and Amin, M. A. (2018) 'Quality of reporting web-based and non-web-based survey studies: What authors, reviewers and consumers should consider', </w:t>
      </w:r>
      <w:r w:rsidRPr="00C95F82">
        <w:rPr>
          <w:i/>
          <w:noProof/>
        </w:rPr>
        <w:t>PLOS One,</w:t>
      </w:r>
      <w:r w:rsidRPr="00C95F82">
        <w:rPr>
          <w:noProof/>
        </w:rPr>
        <w:t xml:space="preserve"> 13(6), pp. e0194239.</w:t>
      </w:r>
    </w:p>
    <w:p w14:paraId="20166347" w14:textId="77777777" w:rsidR="00C95F82" w:rsidRPr="00C95F82" w:rsidRDefault="00C95F82" w:rsidP="00C95F82">
      <w:pPr>
        <w:pStyle w:val="EndNoteBibliography"/>
        <w:spacing w:after="240"/>
        <w:rPr>
          <w:noProof/>
        </w:rPr>
      </w:pPr>
      <w:r w:rsidRPr="00C95F82">
        <w:rPr>
          <w:noProof/>
        </w:rPr>
        <w:t xml:space="preserve">Uhlenbusch, N., Löwe, B. and Depping, M., K (2019) 'Perceived burden in dealing with different rare diseases: a qualitative focus group study', </w:t>
      </w:r>
      <w:r w:rsidRPr="00C95F82">
        <w:rPr>
          <w:i/>
          <w:noProof/>
        </w:rPr>
        <w:t>BMJ Open,</w:t>
      </w:r>
      <w:r w:rsidRPr="00C95F82">
        <w:rPr>
          <w:noProof/>
        </w:rPr>
        <w:t xml:space="preserve"> 9(12), pp. e033353.</w:t>
      </w:r>
    </w:p>
    <w:p w14:paraId="2DA97450" w14:textId="2FA8794F" w:rsidR="00C95F82" w:rsidRPr="00C95F82" w:rsidRDefault="00C95F82" w:rsidP="00C95F82">
      <w:pPr>
        <w:pStyle w:val="EndNoteBibliography"/>
        <w:spacing w:after="240"/>
        <w:rPr>
          <w:noProof/>
        </w:rPr>
      </w:pPr>
      <w:r w:rsidRPr="00C95F82">
        <w:rPr>
          <w:noProof/>
        </w:rPr>
        <w:t xml:space="preserve">UK Government (2013) </w:t>
      </w:r>
      <w:r w:rsidRPr="00C95F82">
        <w:rPr>
          <w:i/>
          <w:noProof/>
        </w:rPr>
        <w:t>The National Institute for Health and Care Excellence (Constitution and Functions) and the Health and Social Care Information Centre (Functions) Regulations</w:t>
      </w:r>
      <w:r w:rsidRPr="00C95F82">
        <w:rPr>
          <w:noProof/>
        </w:rPr>
        <w:t xml:space="preserve">. Available at: </w:t>
      </w:r>
      <w:hyperlink r:id="rId129" w:history="1">
        <w:r w:rsidRPr="00C95F82">
          <w:rPr>
            <w:rStyle w:val="Hyperlink"/>
            <w:noProof/>
          </w:rPr>
          <w:t>https://www.legislation.gov.uk/uksi/2013/259/pdfs/uksi_20130259_en.pdf</w:t>
        </w:r>
      </w:hyperlink>
      <w:r w:rsidRPr="00C95F82">
        <w:rPr>
          <w:noProof/>
        </w:rPr>
        <w:t xml:space="preserve"> (Accessed: 11/11/2025).</w:t>
      </w:r>
    </w:p>
    <w:p w14:paraId="1DADA5BC" w14:textId="383227F3" w:rsidR="00C95F82" w:rsidRPr="00C95F82" w:rsidRDefault="00C95F82" w:rsidP="00C95F82">
      <w:pPr>
        <w:pStyle w:val="EndNoteBibliography"/>
        <w:spacing w:after="240"/>
        <w:rPr>
          <w:noProof/>
        </w:rPr>
      </w:pPr>
      <w:r w:rsidRPr="00C95F82">
        <w:rPr>
          <w:noProof/>
        </w:rPr>
        <w:t xml:space="preserve">UK Government (2018) </w:t>
      </w:r>
      <w:r w:rsidRPr="00C95F82">
        <w:rPr>
          <w:i/>
          <w:noProof/>
        </w:rPr>
        <w:t>Data Protection Act 2018</w:t>
      </w:r>
      <w:r w:rsidRPr="00C95F82">
        <w:rPr>
          <w:noProof/>
        </w:rPr>
        <w:t xml:space="preserve">. Available at: </w:t>
      </w:r>
      <w:hyperlink r:id="rId130" w:history="1">
        <w:r w:rsidRPr="00C95F82">
          <w:rPr>
            <w:rStyle w:val="Hyperlink"/>
            <w:noProof/>
          </w:rPr>
          <w:t>https://www.legislation.gov.uk/ukpga/2018/12/contents</w:t>
        </w:r>
      </w:hyperlink>
      <w:r w:rsidRPr="00C95F82">
        <w:rPr>
          <w:noProof/>
        </w:rPr>
        <w:t xml:space="preserve"> (Accessed: 11/05/2026).</w:t>
      </w:r>
    </w:p>
    <w:p w14:paraId="27A4A51D" w14:textId="40FB45E5" w:rsidR="00C95F82" w:rsidRPr="00C95F82" w:rsidRDefault="00C95F82" w:rsidP="00C95F82">
      <w:pPr>
        <w:pStyle w:val="EndNoteBibliography"/>
        <w:spacing w:after="240"/>
        <w:rPr>
          <w:noProof/>
        </w:rPr>
      </w:pPr>
      <w:r w:rsidRPr="00C95F82">
        <w:rPr>
          <w:noProof/>
        </w:rPr>
        <w:t xml:space="preserve">UK Government (2022) </w:t>
      </w:r>
      <w:r w:rsidRPr="00C95F82">
        <w:rPr>
          <w:i/>
          <w:noProof/>
        </w:rPr>
        <w:t xml:space="preserve">Population of England and Wales </w:t>
      </w:r>
      <w:r w:rsidRPr="00C95F82">
        <w:rPr>
          <w:noProof/>
        </w:rPr>
        <w:t xml:space="preserve">Available at: </w:t>
      </w:r>
      <w:hyperlink r:id="rId131" w:history="1">
        <w:r w:rsidRPr="00C95F82">
          <w:rPr>
            <w:rStyle w:val="Hyperlink"/>
            <w:noProof/>
          </w:rPr>
          <w:t>https://www.ethnicity-facts-figures.service.gov.uk/uk-population-by-ethnicity/national-and-regional-populations/population-of-england-and-wales/latest/</w:t>
        </w:r>
      </w:hyperlink>
      <w:r w:rsidRPr="00C95F82">
        <w:rPr>
          <w:noProof/>
        </w:rPr>
        <w:t xml:space="preserve"> (Accessed: 07/08/2026).</w:t>
      </w:r>
    </w:p>
    <w:p w14:paraId="41DAE53A" w14:textId="1F69CC5C" w:rsidR="00C95F82" w:rsidRPr="00C95F82" w:rsidRDefault="00C95F82" w:rsidP="00C95F82">
      <w:pPr>
        <w:pStyle w:val="EndNoteBibliography"/>
        <w:spacing w:after="240"/>
        <w:rPr>
          <w:noProof/>
        </w:rPr>
      </w:pPr>
      <w:r w:rsidRPr="00C95F82">
        <w:rPr>
          <w:noProof/>
        </w:rPr>
        <w:t xml:space="preserve">UK Kidney Association (2022) </w:t>
      </w:r>
      <w:r w:rsidRPr="00C95F82">
        <w:rPr>
          <w:i/>
          <w:noProof/>
        </w:rPr>
        <w:t>RaDaR Registry</w:t>
      </w:r>
      <w:r w:rsidRPr="00C95F82">
        <w:rPr>
          <w:noProof/>
        </w:rPr>
        <w:t xml:space="preserve">. Available at: </w:t>
      </w:r>
      <w:hyperlink r:id="rId132" w:history="1">
        <w:r w:rsidRPr="00C95F82">
          <w:rPr>
            <w:rStyle w:val="Hyperlink"/>
            <w:noProof/>
          </w:rPr>
          <w:t>https://ukkidney.org/rare-renal/radar</w:t>
        </w:r>
      </w:hyperlink>
      <w:r w:rsidRPr="00C95F82">
        <w:rPr>
          <w:noProof/>
        </w:rPr>
        <w:t xml:space="preserve"> (Accessed: 16/11/2023).</w:t>
      </w:r>
    </w:p>
    <w:p w14:paraId="57049980" w14:textId="599D84CF" w:rsidR="00C95F82" w:rsidRPr="00C95F82" w:rsidRDefault="00C95F82" w:rsidP="00C95F82">
      <w:pPr>
        <w:pStyle w:val="EndNoteBibliography"/>
        <w:spacing w:after="240"/>
        <w:rPr>
          <w:noProof/>
        </w:rPr>
      </w:pPr>
      <w:r w:rsidRPr="00C95F82">
        <w:rPr>
          <w:noProof/>
        </w:rPr>
        <w:t xml:space="preserve">UK Kidney Association (2023a) </w:t>
      </w:r>
      <w:r w:rsidRPr="00C95F82">
        <w:rPr>
          <w:i/>
          <w:noProof/>
        </w:rPr>
        <w:t>Patient Reported Experience of Kidney Care in the UK 2022</w:t>
      </w:r>
      <w:r w:rsidRPr="00C95F82">
        <w:rPr>
          <w:noProof/>
        </w:rPr>
        <w:t xml:space="preserve">. Available at: </w:t>
      </w:r>
      <w:hyperlink r:id="rId133" w:history="1">
        <w:r w:rsidRPr="00C95F82">
          <w:rPr>
            <w:rStyle w:val="Hyperlink"/>
            <w:noProof/>
          </w:rPr>
          <w:t>https://www.ukkidney.org/sites/default/files/Kidney%20PREM%20Report%202023%20Final.pdf</w:t>
        </w:r>
      </w:hyperlink>
      <w:r w:rsidRPr="00C95F82">
        <w:rPr>
          <w:noProof/>
        </w:rPr>
        <w:t xml:space="preserve"> (Accessed: 16/04/2026).</w:t>
      </w:r>
    </w:p>
    <w:p w14:paraId="62597093" w14:textId="078F9BDA" w:rsidR="00C95F82" w:rsidRPr="00C95F82" w:rsidRDefault="00C95F82" w:rsidP="00C95F82">
      <w:pPr>
        <w:pStyle w:val="EndNoteBibliography"/>
        <w:spacing w:after="240"/>
        <w:rPr>
          <w:noProof/>
        </w:rPr>
      </w:pPr>
      <w:r w:rsidRPr="00C95F82">
        <w:rPr>
          <w:noProof/>
        </w:rPr>
        <w:t xml:space="preserve">UK Kidney Association (2023b) </w:t>
      </w:r>
      <w:r w:rsidRPr="00C95F82">
        <w:rPr>
          <w:i/>
          <w:noProof/>
        </w:rPr>
        <w:t>RaDaR database Data Dictionary</w:t>
      </w:r>
      <w:r w:rsidRPr="00C95F82">
        <w:rPr>
          <w:noProof/>
        </w:rPr>
        <w:t xml:space="preserve">. Available at: </w:t>
      </w:r>
      <w:hyperlink r:id="rId134" w:history="1">
        <w:r w:rsidRPr="00C95F82">
          <w:rPr>
            <w:rStyle w:val="Hyperlink"/>
            <w:noProof/>
          </w:rPr>
          <w:t>https://ukkidney.org/audit-research/data-permissions/data/radar-database</w:t>
        </w:r>
      </w:hyperlink>
      <w:r w:rsidRPr="00C95F82">
        <w:rPr>
          <w:noProof/>
        </w:rPr>
        <w:t xml:space="preserve"> (Accessed: 18/12/2023).</w:t>
      </w:r>
    </w:p>
    <w:p w14:paraId="77C55E84" w14:textId="186EEDD2" w:rsidR="00C95F82" w:rsidRPr="00C95F82" w:rsidRDefault="00C95F82" w:rsidP="00C95F82">
      <w:pPr>
        <w:pStyle w:val="EndNoteBibliography"/>
        <w:spacing w:after="240"/>
        <w:rPr>
          <w:noProof/>
        </w:rPr>
      </w:pPr>
      <w:r w:rsidRPr="00C95F82">
        <w:rPr>
          <w:noProof/>
        </w:rPr>
        <w:t xml:space="preserve">UK Kidney Association (2024) </w:t>
      </w:r>
      <w:r w:rsidRPr="00C95F82">
        <w:rPr>
          <w:i/>
          <w:noProof/>
        </w:rPr>
        <w:t>UK Kidney History</w:t>
      </w:r>
      <w:r w:rsidRPr="00C95F82">
        <w:rPr>
          <w:noProof/>
        </w:rPr>
        <w:t xml:space="preserve">. Available at: </w:t>
      </w:r>
      <w:hyperlink r:id="rId135" w:history="1">
        <w:r w:rsidRPr="00C95F82">
          <w:rPr>
            <w:rStyle w:val="Hyperlink"/>
            <w:noProof/>
          </w:rPr>
          <w:t>https://ukkidneyhistory.org/units/</w:t>
        </w:r>
      </w:hyperlink>
      <w:r w:rsidRPr="00C95F82">
        <w:rPr>
          <w:noProof/>
        </w:rPr>
        <w:t xml:space="preserve"> (Accessed: 09/04/2026).</w:t>
      </w:r>
    </w:p>
    <w:p w14:paraId="4D9353F4" w14:textId="396D9142" w:rsidR="00C95F82" w:rsidRPr="00C95F82" w:rsidRDefault="00C95F82" w:rsidP="00C95F82">
      <w:pPr>
        <w:pStyle w:val="EndNoteBibliography"/>
        <w:spacing w:after="240"/>
        <w:rPr>
          <w:noProof/>
        </w:rPr>
      </w:pPr>
      <w:r w:rsidRPr="00C95F82">
        <w:rPr>
          <w:noProof/>
        </w:rPr>
        <w:t xml:space="preserve">UK Kidney Association (2025) </w:t>
      </w:r>
      <w:r w:rsidRPr="00C95F82">
        <w:rPr>
          <w:i/>
          <w:noProof/>
        </w:rPr>
        <w:t>RaDaR database</w:t>
      </w:r>
      <w:r w:rsidRPr="00C95F82">
        <w:rPr>
          <w:noProof/>
        </w:rPr>
        <w:t xml:space="preserve">. Available at: </w:t>
      </w:r>
      <w:hyperlink r:id="rId136" w:history="1">
        <w:r w:rsidRPr="00C95F82">
          <w:rPr>
            <w:rStyle w:val="Hyperlink"/>
            <w:noProof/>
          </w:rPr>
          <w:t>https://www.ukkidney.org/audit-research/data-permissions/data/radar-database</w:t>
        </w:r>
      </w:hyperlink>
      <w:r w:rsidRPr="00C95F82">
        <w:rPr>
          <w:noProof/>
        </w:rPr>
        <w:t xml:space="preserve"> (Accessed: 24/10/2025).</w:t>
      </w:r>
    </w:p>
    <w:p w14:paraId="6DE3F97B" w14:textId="41BA0AF0" w:rsidR="00C95F82" w:rsidRPr="00C95F82" w:rsidRDefault="00C95F82" w:rsidP="00C95F82">
      <w:pPr>
        <w:pStyle w:val="EndNoteBibliography"/>
        <w:spacing w:after="240"/>
        <w:rPr>
          <w:noProof/>
        </w:rPr>
      </w:pPr>
      <w:r w:rsidRPr="00C95F82">
        <w:rPr>
          <w:noProof/>
        </w:rPr>
        <w:t xml:space="preserve">UK Parliament (2023) </w:t>
      </w:r>
      <w:r w:rsidRPr="00C95F82">
        <w:rPr>
          <w:i/>
          <w:noProof/>
        </w:rPr>
        <w:t>Branded Medicines Voluntary Scheme and the Life Sciences Vision</w:t>
      </w:r>
      <w:r w:rsidRPr="00C95F82">
        <w:rPr>
          <w:noProof/>
        </w:rPr>
        <w:t xml:space="preserve">. Available at: </w:t>
      </w:r>
      <w:hyperlink r:id="rId137" w:history="1">
        <w:r w:rsidRPr="00C95F82">
          <w:rPr>
            <w:rStyle w:val="Hyperlink"/>
            <w:noProof/>
          </w:rPr>
          <w:t>https://hansard.parliament.uk/commons/2023-05-03/debates/637A370B-DDA4-4946-9550-532B4E1B69A5/BrandedMedicinesVoluntarySchemeAndTheLifeSciencesVision</w:t>
        </w:r>
      </w:hyperlink>
      <w:r w:rsidRPr="00C95F82">
        <w:rPr>
          <w:noProof/>
        </w:rPr>
        <w:t xml:space="preserve"> (Accessed: 10/08/2025).</w:t>
      </w:r>
    </w:p>
    <w:p w14:paraId="0D5669FB" w14:textId="6E5F2A0A" w:rsidR="00C95F82" w:rsidRPr="00C95F82" w:rsidRDefault="00C95F82" w:rsidP="00C95F82">
      <w:pPr>
        <w:pStyle w:val="EndNoteBibliography"/>
        <w:spacing w:after="240"/>
        <w:rPr>
          <w:noProof/>
        </w:rPr>
      </w:pPr>
      <w:r w:rsidRPr="00C95F82">
        <w:rPr>
          <w:noProof/>
        </w:rPr>
        <w:t xml:space="preserve">UK Renal Registry (2025) </w:t>
      </w:r>
      <w:r w:rsidRPr="00C95F82">
        <w:rPr>
          <w:i/>
          <w:noProof/>
        </w:rPr>
        <w:t>UK Renal Registry Summary of Annual Reprot - analyses of adult data to the end of 2023</w:t>
      </w:r>
      <w:r w:rsidRPr="00C95F82">
        <w:rPr>
          <w:noProof/>
        </w:rPr>
        <w:t xml:space="preserve">. Available at: </w:t>
      </w:r>
      <w:hyperlink r:id="rId138" w:history="1">
        <w:r w:rsidRPr="00C95F82">
          <w:rPr>
            <w:rStyle w:val="Hyperlink"/>
            <w:noProof/>
          </w:rPr>
          <w:t>https://ukkidney.org/audit-research/annual-report</w:t>
        </w:r>
      </w:hyperlink>
      <w:r w:rsidRPr="00C95F82">
        <w:rPr>
          <w:noProof/>
        </w:rPr>
        <w:t xml:space="preserve"> (Accessed: 28/04/2026).</w:t>
      </w:r>
    </w:p>
    <w:p w14:paraId="10E6D7D8" w14:textId="00CB550E" w:rsidR="00C95F82" w:rsidRPr="00C95F82" w:rsidRDefault="00C95F82" w:rsidP="00C95F82">
      <w:pPr>
        <w:pStyle w:val="EndNoteBibliography"/>
        <w:spacing w:after="240"/>
        <w:rPr>
          <w:noProof/>
        </w:rPr>
      </w:pPr>
      <w:r w:rsidRPr="00C95F82">
        <w:rPr>
          <w:noProof/>
        </w:rPr>
        <w:t xml:space="preserve">UK Research and Innovation (2026) </w:t>
      </w:r>
      <w:r w:rsidRPr="00C95F82">
        <w:rPr>
          <w:i/>
          <w:noProof/>
        </w:rPr>
        <w:t>Consent</w:t>
      </w:r>
      <w:r w:rsidRPr="00C95F82">
        <w:rPr>
          <w:noProof/>
        </w:rPr>
        <w:t xml:space="preserve">. Available at: </w:t>
      </w:r>
      <w:hyperlink r:id="rId139" w:history="1">
        <w:r w:rsidRPr="00C95F82">
          <w:rPr>
            <w:rStyle w:val="Hyperlink"/>
            <w:noProof/>
          </w:rPr>
          <w:t>https://www.ukri.org/councils/esrc/guidance-for-applicants/research-ethics-guidance/consent/</w:t>
        </w:r>
      </w:hyperlink>
      <w:r w:rsidRPr="00C95F82">
        <w:rPr>
          <w:noProof/>
        </w:rPr>
        <w:t>.</w:t>
      </w:r>
    </w:p>
    <w:p w14:paraId="59B3E743" w14:textId="492F9E8B" w:rsidR="00C95F82" w:rsidRPr="00C95F82" w:rsidRDefault="00C95F82" w:rsidP="00C95F82">
      <w:pPr>
        <w:pStyle w:val="EndNoteBibliography"/>
        <w:spacing w:after="240"/>
        <w:rPr>
          <w:noProof/>
        </w:rPr>
      </w:pPr>
      <w:r w:rsidRPr="00C95F82">
        <w:rPr>
          <w:noProof/>
        </w:rPr>
        <w:t xml:space="preserve">University Hospitals Bristol and Weston NHS Foundation Trust (2015) </w:t>
      </w:r>
      <w:r w:rsidRPr="00C95F82">
        <w:rPr>
          <w:i/>
          <w:noProof/>
        </w:rPr>
        <w:t>UH Bristol NHS Foundation Trust Private Patient Tariff 2014-15 Version 1</w:t>
      </w:r>
      <w:r w:rsidRPr="00C95F82">
        <w:rPr>
          <w:noProof/>
        </w:rPr>
        <w:t xml:space="preserve">. Available at: </w:t>
      </w:r>
      <w:hyperlink r:id="rId140" w:history="1">
        <w:r w:rsidRPr="00C95F82">
          <w:rPr>
            <w:rStyle w:val="Hyperlink"/>
            <w:noProof/>
          </w:rPr>
          <w:t>https://www.uhbw.nhs.uk/assets/1/21-438_-_self_pay_tariff.pdf</w:t>
        </w:r>
      </w:hyperlink>
      <w:r w:rsidRPr="00C95F82">
        <w:rPr>
          <w:noProof/>
        </w:rPr>
        <w:t xml:space="preserve"> (Accessed: 28/11/2025).</w:t>
      </w:r>
    </w:p>
    <w:p w14:paraId="4D92453E" w14:textId="55B8C2EC" w:rsidR="00C95F82" w:rsidRPr="00C95F82" w:rsidRDefault="00C95F82" w:rsidP="00C95F82">
      <w:pPr>
        <w:pStyle w:val="EndNoteBibliography"/>
        <w:spacing w:after="240"/>
        <w:rPr>
          <w:noProof/>
        </w:rPr>
      </w:pPr>
      <w:r w:rsidRPr="00C95F82">
        <w:rPr>
          <w:noProof/>
        </w:rPr>
        <w:t xml:space="preserve">University of Sheffield (2026) </w:t>
      </w:r>
      <w:r w:rsidRPr="00C95F82">
        <w:rPr>
          <w:i/>
          <w:noProof/>
        </w:rPr>
        <w:t>Thesis formats</w:t>
      </w:r>
      <w:r w:rsidRPr="00C95F82">
        <w:rPr>
          <w:noProof/>
        </w:rPr>
        <w:t xml:space="preserve">. Available at: </w:t>
      </w:r>
      <w:hyperlink r:id="rId141" w:history="1">
        <w:r w:rsidRPr="00C95F82">
          <w:rPr>
            <w:rStyle w:val="Hyperlink"/>
            <w:noProof/>
          </w:rPr>
          <w:t>https://sheffield.ac.uk/rpi/pgr/examination/formats</w:t>
        </w:r>
      </w:hyperlink>
      <w:r w:rsidRPr="00C95F82">
        <w:rPr>
          <w:noProof/>
        </w:rPr>
        <w:t xml:space="preserve"> (Accessed: 22/04/2026).</w:t>
      </w:r>
    </w:p>
    <w:p w14:paraId="1E0A22A5" w14:textId="77777777" w:rsidR="00C95F82" w:rsidRPr="00C95F82" w:rsidRDefault="00C95F82" w:rsidP="00C95F82">
      <w:pPr>
        <w:pStyle w:val="EndNoteBibliography"/>
        <w:spacing w:after="240"/>
        <w:rPr>
          <w:noProof/>
        </w:rPr>
      </w:pPr>
      <w:r w:rsidRPr="00C95F82">
        <w:rPr>
          <w:noProof/>
        </w:rPr>
        <w:t xml:space="preserve">Unni, E. (2023) 'Medicine Use in Chronic Diseases', </w:t>
      </w:r>
      <w:r w:rsidRPr="00C95F82">
        <w:rPr>
          <w:i/>
          <w:noProof/>
        </w:rPr>
        <w:t>Pharmacy (Basel),</w:t>
      </w:r>
      <w:r w:rsidRPr="00C95F82">
        <w:rPr>
          <w:noProof/>
        </w:rPr>
        <w:t xml:space="preserve"> 11(3), pp. 100.</w:t>
      </w:r>
    </w:p>
    <w:p w14:paraId="17CE3F66" w14:textId="77777777" w:rsidR="00C95F82" w:rsidRPr="00C95F82" w:rsidRDefault="00C95F82" w:rsidP="00C95F82">
      <w:pPr>
        <w:pStyle w:val="EndNoteBibliography"/>
        <w:spacing w:after="240"/>
        <w:rPr>
          <w:noProof/>
        </w:rPr>
      </w:pPr>
      <w:r w:rsidRPr="00C95F82">
        <w:rPr>
          <w:noProof/>
        </w:rPr>
        <w:t xml:space="preserve">van Gils-Schmidt, H. J., Hinrichsen, J., Schicktanz, S. and Wöhlke, S. (2025) 'Critical consideration towards broad consent by patient experts: results of a semi-structured interview study on the secondary use of medical data', </w:t>
      </w:r>
      <w:r w:rsidRPr="00C95F82">
        <w:rPr>
          <w:i/>
          <w:noProof/>
        </w:rPr>
        <w:t>BMC Medical Ethics,</w:t>
      </w:r>
      <w:r w:rsidRPr="00C95F82">
        <w:rPr>
          <w:noProof/>
        </w:rPr>
        <w:t xml:space="preserve"> 26(1), pp. 163.</w:t>
      </w:r>
    </w:p>
    <w:p w14:paraId="3B05D602" w14:textId="77777777" w:rsidR="00C95F82" w:rsidRPr="00C95F82" w:rsidRDefault="00C95F82" w:rsidP="00C95F82">
      <w:pPr>
        <w:pStyle w:val="EndNoteBibliography"/>
        <w:spacing w:after="240"/>
        <w:rPr>
          <w:noProof/>
        </w:rPr>
      </w:pPr>
      <w:r w:rsidRPr="00C95F82">
        <w:rPr>
          <w:noProof/>
        </w:rPr>
        <w:t xml:space="preserve">van Walraven, C., Jennings, A., Oake, N., Fergusson, D. and Forster, A. J. (2006) 'Effect of study setting on anticoagulation control: a systematic review and metaregression', </w:t>
      </w:r>
      <w:r w:rsidRPr="00C95F82">
        <w:rPr>
          <w:i/>
          <w:noProof/>
        </w:rPr>
        <w:t>Chest,</w:t>
      </w:r>
      <w:r w:rsidRPr="00C95F82">
        <w:rPr>
          <w:noProof/>
        </w:rPr>
        <w:t xml:space="preserve"> 129(5), pp. 1155-1166.</w:t>
      </w:r>
    </w:p>
    <w:p w14:paraId="6A253F65" w14:textId="77777777" w:rsidR="00C95F82" w:rsidRPr="00C95F82" w:rsidRDefault="00C95F82" w:rsidP="00C95F82">
      <w:pPr>
        <w:pStyle w:val="EndNoteBibliography"/>
        <w:spacing w:after="240"/>
        <w:rPr>
          <w:noProof/>
        </w:rPr>
      </w:pPr>
      <w:r w:rsidRPr="00C95F82">
        <w:rPr>
          <w:noProof/>
        </w:rPr>
        <w:t xml:space="preserve">van Wegberg, A. M., Romani, C. and Van Spronsen, F. J. (2025) 'The influence of professionals’ personal views and values in the development of guidelines for rare diseases: an example from phenylketonuria', </w:t>
      </w:r>
      <w:r w:rsidRPr="00C95F82">
        <w:rPr>
          <w:i/>
          <w:noProof/>
        </w:rPr>
        <w:t>Orphanet Journal of Rare Diseases,</w:t>
      </w:r>
      <w:r w:rsidRPr="00C95F82">
        <w:rPr>
          <w:noProof/>
        </w:rPr>
        <w:t xml:space="preserve"> 20(1), pp. 571.</w:t>
      </w:r>
    </w:p>
    <w:p w14:paraId="79127569" w14:textId="77777777" w:rsidR="00C95F82" w:rsidRPr="00C95F82" w:rsidRDefault="00C95F82" w:rsidP="00C95F82">
      <w:pPr>
        <w:pStyle w:val="EndNoteBibliography"/>
        <w:spacing w:after="240"/>
        <w:rPr>
          <w:noProof/>
        </w:rPr>
      </w:pPr>
      <w:r w:rsidRPr="00C95F82">
        <w:rPr>
          <w:noProof/>
        </w:rPr>
        <w:t xml:space="preserve">Villanueva, G., Marceniuk, G., Murphy, M. S., Walshaw, M. and Cosulich, R. (2017) 'Diagnosis and management of cystic fibrosis: summary of NICE guidance', </w:t>
      </w:r>
      <w:r w:rsidRPr="00C95F82">
        <w:rPr>
          <w:i/>
          <w:noProof/>
        </w:rPr>
        <w:t>BMJ,</w:t>
      </w:r>
      <w:r w:rsidRPr="00C95F82">
        <w:rPr>
          <w:noProof/>
        </w:rPr>
        <w:t xml:space="preserve"> 359, pp. j4574.</w:t>
      </w:r>
    </w:p>
    <w:p w14:paraId="7CAF0918" w14:textId="77777777" w:rsidR="00C95F82" w:rsidRPr="00C95F82" w:rsidRDefault="00C95F82" w:rsidP="00C95F82">
      <w:pPr>
        <w:pStyle w:val="EndNoteBibliography"/>
        <w:spacing w:after="240"/>
        <w:rPr>
          <w:noProof/>
        </w:rPr>
      </w:pPr>
      <w:r w:rsidRPr="00C95F82">
        <w:rPr>
          <w:noProof/>
        </w:rPr>
        <w:t xml:space="preserve">Vreugdenhil, J., Somra, S., Ket, H., Custers, E. J., Reinders, M. E., Dobber, J. and Kusurkar, R. A. (2023) 'Reasoning like a doctor or like a nurse? A systematic integrative review', </w:t>
      </w:r>
      <w:r w:rsidRPr="00C95F82">
        <w:rPr>
          <w:i/>
          <w:noProof/>
        </w:rPr>
        <w:t>Frontiers in Medicine,</w:t>
      </w:r>
      <w:r w:rsidRPr="00C95F82">
        <w:rPr>
          <w:noProof/>
        </w:rPr>
        <w:t xml:space="preserve"> 10, pp. 1017783.</w:t>
      </w:r>
    </w:p>
    <w:p w14:paraId="78FFF05A" w14:textId="77777777" w:rsidR="00C95F82" w:rsidRPr="00C95F82" w:rsidRDefault="00C95F82" w:rsidP="00C95F82">
      <w:pPr>
        <w:pStyle w:val="EndNoteBibliography"/>
        <w:spacing w:after="240"/>
        <w:rPr>
          <w:noProof/>
        </w:rPr>
      </w:pPr>
      <w:r w:rsidRPr="00C95F82">
        <w:rPr>
          <w:noProof/>
        </w:rPr>
        <w:t xml:space="preserve">Wainstock, D. and Katz, A. (2023) 'Advancing rare disease policy in Latin America: a call to action', </w:t>
      </w:r>
      <w:r w:rsidRPr="00C95F82">
        <w:rPr>
          <w:i/>
          <w:noProof/>
        </w:rPr>
        <w:t>The Lancet Regional Health–Americas,</w:t>
      </w:r>
      <w:r w:rsidRPr="00C95F82">
        <w:rPr>
          <w:noProof/>
        </w:rPr>
        <w:t xml:space="preserve"> 18, pp. 100434.</w:t>
      </w:r>
    </w:p>
    <w:p w14:paraId="2BAF4CDA" w14:textId="77777777" w:rsidR="00C95F82" w:rsidRPr="00C95F82" w:rsidRDefault="00C95F82" w:rsidP="00C95F82">
      <w:pPr>
        <w:pStyle w:val="EndNoteBibliography"/>
        <w:spacing w:after="240"/>
        <w:rPr>
          <w:noProof/>
        </w:rPr>
      </w:pPr>
      <w:r w:rsidRPr="00C95F82">
        <w:rPr>
          <w:noProof/>
        </w:rPr>
        <w:t xml:space="preserve">Waldman, S. A. and Terzic, A. (2019) 'Health Care Evolves From Reactive to Proactive', </w:t>
      </w:r>
      <w:r w:rsidRPr="00C95F82">
        <w:rPr>
          <w:i/>
          <w:noProof/>
        </w:rPr>
        <w:t>Clinical Pharmacology and Therapeutics,</w:t>
      </w:r>
      <w:r w:rsidRPr="00C95F82">
        <w:rPr>
          <w:noProof/>
        </w:rPr>
        <w:t xml:space="preserve"> 105(1), pp. 10-13.</w:t>
      </w:r>
    </w:p>
    <w:p w14:paraId="27CF2B0C" w14:textId="77777777" w:rsidR="00C95F82" w:rsidRPr="00C95F82" w:rsidRDefault="00C95F82" w:rsidP="00C95F82">
      <w:pPr>
        <w:pStyle w:val="EndNoteBibliography"/>
        <w:spacing w:after="240"/>
        <w:rPr>
          <w:noProof/>
        </w:rPr>
      </w:pPr>
      <w:r w:rsidRPr="00C95F82">
        <w:rPr>
          <w:noProof/>
        </w:rPr>
        <w:t xml:space="preserve">Walker, S., Spackman, E., Conrad, N., Emdin, C. A., Griffin, E., Rahimi, K. and Sculpher, M. (2017) 'Impact of missed treatment opportunities on outcomes in hospitalised patients with heart failure', </w:t>
      </w:r>
      <w:r w:rsidRPr="00C95F82">
        <w:rPr>
          <w:i/>
          <w:noProof/>
        </w:rPr>
        <w:t>Open Heart,</w:t>
      </w:r>
      <w:r w:rsidRPr="00C95F82">
        <w:rPr>
          <w:noProof/>
        </w:rPr>
        <w:t xml:space="preserve"> 4(2), pp. e000726.</w:t>
      </w:r>
    </w:p>
    <w:p w14:paraId="0D98E096" w14:textId="77777777" w:rsidR="00C95F82" w:rsidRPr="00C95F82" w:rsidRDefault="00C95F82" w:rsidP="00C95F82">
      <w:pPr>
        <w:pStyle w:val="EndNoteBibliography"/>
        <w:spacing w:after="240"/>
        <w:rPr>
          <w:noProof/>
        </w:rPr>
      </w:pPr>
      <w:r w:rsidRPr="00C95F82">
        <w:rPr>
          <w:noProof/>
        </w:rPr>
        <w:t xml:space="preserve">Walton, H., Ng, P. L., Simpson, A., Bloom, L., Chitty, L. S., Fulop, N. J., Hunter, A., Jones, J., Kai, J. and Kerecuk, L. (2023) 'Experiences of coordinated care for people in the UK affected by rare diseases: cross-sectional survey of patients, carers, and healthcare professionals', </w:t>
      </w:r>
      <w:r w:rsidRPr="00C95F82">
        <w:rPr>
          <w:i/>
          <w:noProof/>
        </w:rPr>
        <w:t>Orphanet Journal of Rare Diseases,</w:t>
      </w:r>
      <w:r w:rsidRPr="00C95F82">
        <w:rPr>
          <w:noProof/>
        </w:rPr>
        <w:t xml:space="preserve"> 18(1), pp. 364.</w:t>
      </w:r>
    </w:p>
    <w:p w14:paraId="5A2073FD" w14:textId="77777777" w:rsidR="00C95F82" w:rsidRPr="00C95F82" w:rsidRDefault="00C95F82" w:rsidP="00C95F82">
      <w:pPr>
        <w:pStyle w:val="EndNoteBibliography"/>
        <w:spacing w:after="240"/>
        <w:rPr>
          <w:noProof/>
        </w:rPr>
      </w:pPr>
      <w:r w:rsidRPr="00C95F82">
        <w:rPr>
          <w:noProof/>
        </w:rPr>
        <w:t xml:space="preserve">Wang, S. Y., Larrain, N. and Groene, O. (2023) 'Can peer effects explain prescribing appropriateness? a social network analysis', </w:t>
      </w:r>
      <w:r w:rsidRPr="00C95F82">
        <w:rPr>
          <w:i/>
          <w:noProof/>
        </w:rPr>
        <w:t>BMC Medical Research Methodology,</w:t>
      </w:r>
      <w:r w:rsidRPr="00C95F82">
        <w:rPr>
          <w:noProof/>
        </w:rPr>
        <w:t xml:space="preserve"> 23(1), pp. 252.</w:t>
      </w:r>
    </w:p>
    <w:p w14:paraId="2D580A62" w14:textId="77777777" w:rsidR="00C95F82" w:rsidRPr="00C95F82" w:rsidRDefault="00C95F82" w:rsidP="00C95F82">
      <w:pPr>
        <w:pStyle w:val="EndNoteBibliography"/>
        <w:spacing w:after="240"/>
        <w:rPr>
          <w:noProof/>
        </w:rPr>
      </w:pPr>
      <w:r w:rsidRPr="00C95F82">
        <w:rPr>
          <w:noProof/>
        </w:rPr>
        <w:t xml:space="preserve">Wang, T., Tan, J.-Y., Liu, X.-L. and Zhao, I. (2023) 'Barriers and enablers to implementing clinical practice guidelines in primary care: an overview of systematic reviews', </w:t>
      </w:r>
      <w:r w:rsidRPr="00C95F82">
        <w:rPr>
          <w:i/>
          <w:noProof/>
        </w:rPr>
        <w:t>BMJ Open,</w:t>
      </w:r>
      <w:r w:rsidRPr="00C95F82">
        <w:rPr>
          <w:noProof/>
        </w:rPr>
        <w:t xml:space="preserve"> 13(1), pp. e062158.</w:t>
      </w:r>
    </w:p>
    <w:p w14:paraId="4F85684A" w14:textId="77777777" w:rsidR="00C95F82" w:rsidRPr="00C95F82" w:rsidRDefault="00C95F82" w:rsidP="00C95F82">
      <w:pPr>
        <w:pStyle w:val="EndNoteBibliography"/>
        <w:spacing w:after="240"/>
        <w:rPr>
          <w:noProof/>
        </w:rPr>
      </w:pPr>
      <w:r w:rsidRPr="00C95F82">
        <w:rPr>
          <w:noProof/>
        </w:rPr>
        <w:t xml:space="preserve">Ward, J., Kalsi, D., Barnett, N., Fulford, B. K. and Handa, A. (2020) 'Shared decision making in chronic medication use: scenarios depicting exemplary care', </w:t>
      </w:r>
      <w:r w:rsidRPr="00C95F82">
        <w:rPr>
          <w:i/>
          <w:noProof/>
        </w:rPr>
        <w:t>Research in Social and Administrative Pharmacy,</w:t>
      </w:r>
      <w:r w:rsidRPr="00C95F82">
        <w:rPr>
          <w:noProof/>
        </w:rPr>
        <w:t xml:space="preserve"> 16(1), pp. 108-110.</w:t>
      </w:r>
    </w:p>
    <w:p w14:paraId="04B9B1A0" w14:textId="77777777" w:rsidR="00C95F82" w:rsidRPr="00C95F82" w:rsidRDefault="00C95F82" w:rsidP="00C95F82">
      <w:pPr>
        <w:pStyle w:val="EndNoteBibliography"/>
        <w:spacing w:after="240"/>
        <w:rPr>
          <w:noProof/>
        </w:rPr>
      </w:pPr>
      <w:r w:rsidRPr="00C95F82">
        <w:rPr>
          <w:noProof/>
        </w:rPr>
        <w:t xml:space="preserve">Watson, R. (2015) 'Quantitative research', </w:t>
      </w:r>
      <w:r w:rsidRPr="00C95F82">
        <w:rPr>
          <w:i/>
          <w:noProof/>
        </w:rPr>
        <w:t>Nursing Standard,</w:t>
      </w:r>
      <w:r w:rsidRPr="00C95F82">
        <w:rPr>
          <w:noProof/>
        </w:rPr>
        <w:t xml:space="preserve"> 29(31), pp. 44.</w:t>
      </w:r>
    </w:p>
    <w:p w14:paraId="7F9BA4AA" w14:textId="77777777" w:rsidR="00C95F82" w:rsidRPr="00C95F82" w:rsidRDefault="00C95F82" w:rsidP="00C95F82">
      <w:pPr>
        <w:pStyle w:val="EndNoteBibliography"/>
        <w:spacing w:after="240"/>
        <w:rPr>
          <w:noProof/>
        </w:rPr>
      </w:pPr>
      <w:r w:rsidRPr="00C95F82">
        <w:rPr>
          <w:noProof/>
        </w:rPr>
        <w:t xml:space="preserve">Watt, S. (2000) 'Clinical decision‐making in the context of chronic illness', </w:t>
      </w:r>
      <w:r w:rsidRPr="00C95F82">
        <w:rPr>
          <w:i/>
          <w:noProof/>
        </w:rPr>
        <w:t>Health Expectations,</w:t>
      </w:r>
      <w:r w:rsidRPr="00C95F82">
        <w:rPr>
          <w:noProof/>
        </w:rPr>
        <w:t xml:space="preserve"> 3(1), pp. 6-16.</w:t>
      </w:r>
    </w:p>
    <w:p w14:paraId="22A8D0B5" w14:textId="77777777" w:rsidR="00C95F82" w:rsidRPr="00C95F82" w:rsidRDefault="00C95F82" w:rsidP="00C95F82">
      <w:pPr>
        <w:pStyle w:val="EndNoteBibliography"/>
        <w:spacing w:after="240"/>
        <w:rPr>
          <w:noProof/>
        </w:rPr>
      </w:pPr>
      <w:r w:rsidRPr="00C95F82">
        <w:rPr>
          <w:noProof/>
        </w:rPr>
        <w:t xml:space="preserve">Wechalekar, A. D., Gillmore, J. D. and Hawkins, P. N. (2016) 'Systemic amyloidosis', </w:t>
      </w:r>
      <w:r w:rsidRPr="00C95F82">
        <w:rPr>
          <w:i/>
          <w:noProof/>
        </w:rPr>
        <w:t>The Lancet,</w:t>
      </w:r>
      <w:r w:rsidRPr="00C95F82">
        <w:rPr>
          <w:noProof/>
        </w:rPr>
        <w:t xml:space="preserve"> 387(10038), pp. 2641-2654.</w:t>
      </w:r>
    </w:p>
    <w:p w14:paraId="3AFE50D0" w14:textId="77777777" w:rsidR="00C95F82" w:rsidRPr="00C95F82" w:rsidRDefault="00C95F82" w:rsidP="00C95F82">
      <w:pPr>
        <w:pStyle w:val="EndNoteBibliography"/>
        <w:spacing w:after="240"/>
        <w:rPr>
          <w:noProof/>
        </w:rPr>
      </w:pPr>
      <w:r w:rsidRPr="00C95F82">
        <w:rPr>
          <w:noProof/>
        </w:rPr>
        <w:t xml:space="preserve">Wennberg, J. E. (2002) 'Unwarranted variations in healthcare delivery: implications for academic medical centres', </w:t>
      </w:r>
      <w:r w:rsidRPr="00C95F82">
        <w:rPr>
          <w:i/>
          <w:noProof/>
        </w:rPr>
        <w:t>BMJ,</w:t>
      </w:r>
      <w:r w:rsidRPr="00C95F82">
        <w:rPr>
          <w:noProof/>
        </w:rPr>
        <w:t xml:space="preserve"> 325(7370), pp. 961-964.</w:t>
      </w:r>
    </w:p>
    <w:p w14:paraId="46E2FABD" w14:textId="77777777" w:rsidR="00C95F82" w:rsidRPr="00C95F82" w:rsidRDefault="00C95F82" w:rsidP="00C95F82">
      <w:pPr>
        <w:pStyle w:val="EndNoteBibliography"/>
        <w:spacing w:after="240"/>
        <w:rPr>
          <w:noProof/>
        </w:rPr>
      </w:pPr>
      <w:r w:rsidRPr="00C95F82">
        <w:rPr>
          <w:noProof/>
        </w:rPr>
        <w:t xml:space="preserve">Whicher, D. and Wu, A. W. (2015) 'Ethics review of survey research: a mandatory requirement for publication?', </w:t>
      </w:r>
      <w:r w:rsidRPr="00C95F82">
        <w:rPr>
          <w:i/>
          <w:noProof/>
        </w:rPr>
        <w:t>The Patient-Patient-Centered Outcomes Research,</w:t>
      </w:r>
      <w:r w:rsidRPr="00C95F82">
        <w:rPr>
          <w:noProof/>
        </w:rPr>
        <w:t xml:space="preserve"> 8(6), pp. 477-482.</w:t>
      </w:r>
    </w:p>
    <w:p w14:paraId="533A3B53" w14:textId="77777777" w:rsidR="00C95F82" w:rsidRPr="00C95F82" w:rsidRDefault="00C95F82" w:rsidP="00C95F82">
      <w:pPr>
        <w:pStyle w:val="EndNoteBibliography"/>
        <w:spacing w:after="240"/>
        <w:rPr>
          <w:noProof/>
        </w:rPr>
      </w:pPr>
      <w:r w:rsidRPr="00C95F82">
        <w:rPr>
          <w:noProof/>
        </w:rPr>
        <w:t xml:space="preserve">Whiting, P., Savović, J., Higgins, J. P., Caldwell, D. M., Reeves, B. C., Shea, B., Davies, P., Kleijnen, J. and Churchill, R. (2016) 'ROBIS: a new tool to assess risk of bias in systematic reviews was developed', </w:t>
      </w:r>
      <w:r w:rsidRPr="00C95F82">
        <w:rPr>
          <w:i/>
          <w:noProof/>
        </w:rPr>
        <w:t>Journal of Clinical Epidemiology,</w:t>
      </w:r>
      <w:r w:rsidRPr="00C95F82">
        <w:rPr>
          <w:noProof/>
        </w:rPr>
        <w:t xml:space="preserve"> 69, pp. 225-234.</w:t>
      </w:r>
    </w:p>
    <w:p w14:paraId="7B18C904" w14:textId="77777777" w:rsidR="00C95F82" w:rsidRPr="00C95F82" w:rsidRDefault="00C95F82" w:rsidP="00C95F82">
      <w:pPr>
        <w:pStyle w:val="EndNoteBibliography"/>
        <w:spacing w:after="240"/>
        <w:rPr>
          <w:noProof/>
        </w:rPr>
      </w:pPr>
      <w:r w:rsidRPr="00C95F82">
        <w:rPr>
          <w:noProof/>
        </w:rPr>
        <w:t xml:space="preserve">Wilkinson, C., Todd, O., Clegg, A., Gale, C. P. and Hall, M. (2019) 'Management of atrial fibrillation for older people with frailty: a systematic review and meta-analysis', </w:t>
      </w:r>
      <w:r w:rsidRPr="00C95F82">
        <w:rPr>
          <w:i/>
          <w:noProof/>
        </w:rPr>
        <w:t>Age and Ageing,</w:t>
      </w:r>
      <w:r w:rsidRPr="00C95F82">
        <w:rPr>
          <w:noProof/>
        </w:rPr>
        <w:t xml:space="preserve"> 48(2), pp. 196-203.</w:t>
      </w:r>
    </w:p>
    <w:p w14:paraId="5C2915E7" w14:textId="77777777" w:rsidR="00C95F82" w:rsidRPr="00C95F82" w:rsidRDefault="00C95F82" w:rsidP="00C95F82">
      <w:pPr>
        <w:pStyle w:val="EndNoteBibliography"/>
        <w:spacing w:after="240"/>
        <w:rPr>
          <w:noProof/>
        </w:rPr>
      </w:pPr>
      <w:r w:rsidRPr="00C95F82">
        <w:rPr>
          <w:noProof/>
        </w:rPr>
        <w:t>Williams, J. P. (2008) 'Non-participant observation'. Thousand Oaks, California, USA: SAGE Publications Ltd.</w:t>
      </w:r>
    </w:p>
    <w:p w14:paraId="4FF755FD" w14:textId="77777777" w:rsidR="00C95F82" w:rsidRPr="00C95F82" w:rsidRDefault="00C95F82" w:rsidP="00C95F82">
      <w:pPr>
        <w:pStyle w:val="EndNoteBibliography"/>
        <w:spacing w:after="240"/>
        <w:rPr>
          <w:noProof/>
        </w:rPr>
      </w:pPr>
      <w:r w:rsidRPr="00C95F82">
        <w:rPr>
          <w:noProof/>
        </w:rPr>
        <w:t xml:space="preserve">Woodward, A. A., Urbanowicz, R. J., Naj, A. C. and Moore, J. H. (2022) 'Genetic heterogeneity: Challenges, impacts, and methods through an associative lens', </w:t>
      </w:r>
      <w:r w:rsidRPr="00C95F82">
        <w:rPr>
          <w:i/>
          <w:noProof/>
        </w:rPr>
        <w:t>Genetic Epidemiology,</w:t>
      </w:r>
      <w:r w:rsidRPr="00C95F82">
        <w:rPr>
          <w:noProof/>
        </w:rPr>
        <w:t xml:space="preserve"> 46(8), pp. 555-571.</w:t>
      </w:r>
    </w:p>
    <w:p w14:paraId="572B2122" w14:textId="0FBC932C" w:rsidR="00C95F82" w:rsidRPr="00C95F82" w:rsidRDefault="00C95F82" w:rsidP="00C95F82">
      <w:pPr>
        <w:pStyle w:val="EndNoteBibliography"/>
        <w:spacing w:after="240"/>
        <w:rPr>
          <w:noProof/>
        </w:rPr>
      </w:pPr>
      <w:r w:rsidRPr="00C95F82">
        <w:rPr>
          <w:noProof/>
        </w:rPr>
        <w:t xml:space="preserve">World Bank Group (2024) </w:t>
      </w:r>
      <w:r w:rsidRPr="00C95F82">
        <w:rPr>
          <w:i/>
          <w:noProof/>
        </w:rPr>
        <w:t>Population, total</w:t>
      </w:r>
      <w:r w:rsidRPr="00C95F82">
        <w:rPr>
          <w:noProof/>
        </w:rPr>
        <w:t xml:space="preserve">. Available at: </w:t>
      </w:r>
      <w:hyperlink r:id="rId142" w:history="1">
        <w:r w:rsidRPr="00C95F82">
          <w:rPr>
            <w:rStyle w:val="Hyperlink"/>
            <w:noProof/>
          </w:rPr>
          <w:t>https://data.worldbank.org/indicator/SP.POP.TOTL?end=2024&amp;start=2024&amp;view=map</w:t>
        </w:r>
      </w:hyperlink>
      <w:r w:rsidRPr="00C95F82">
        <w:rPr>
          <w:noProof/>
        </w:rPr>
        <w:t xml:space="preserve"> (Accessed: 28/04/2026).</w:t>
      </w:r>
    </w:p>
    <w:p w14:paraId="0161291D" w14:textId="1CB96DE4" w:rsidR="00C95F82" w:rsidRPr="00C95F82" w:rsidRDefault="00C95F82" w:rsidP="00C95F82">
      <w:pPr>
        <w:pStyle w:val="EndNoteBibliography"/>
        <w:spacing w:after="240"/>
        <w:rPr>
          <w:noProof/>
        </w:rPr>
      </w:pPr>
      <w:r w:rsidRPr="00C95F82">
        <w:rPr>
          <w:noProof/>
        </w:rPr>
        <w:t xml:space="preserve">World Health Organization (2011) </w:t>
      </w:r>
      <w:r w:rsidRPr="00C95F82">
        <w:rPr>
          <w:i/>
          <w:noProof/>
        </w:rPr>
        <w:t>Promoting rational use of medicines</w:t>
      </w:r>
      <w:r w:rsidRPr="00C95F82">
        <w:rPr>
          <w:noProof/>
        </w:rPr>
        <w:t xml:space="preserve">: WHO Regional Office for South-East Asia. Available at: </w:t>
      </w:r>
      <w:hyperlink r:id="rId143" w:history="1">
        <w:r w:rsidRPr="00C95F82">
          <w:rPr>
            <w:rStyle w:val="Hyperlink"/>
            <w:noProof/>
          </w:rPr>
          <w:t>https://iris.who.int/bitstreams/ebff79d2-720d-4a20-b954-f513f9b8c9b8/download</w:t>
        </w:r>
      </w:hyperlink>
      <w:r w:rsidRPr="00C95F82">
        <w:rPr>
          <w:noProof/>
        </w:rPr>
        <w:t xml:space="preserve"> (Accessed: 01/03/2026).</w:t>
      </w:r>
    </w:p>
    <w:p w14:paraId="4985F82A" w14:textId="102A24E9" w:rsidR="00C95F82" w:rsidRPr="00C95F82" w:rsidRDefault="00C95F82" w:rsidP="00C95F82">
      <w:pPr>
        <w:pStyle w:val="EndNoteBibliography"/>
        <w:spacing w:after="240"/>
        <w:rPr>
          <w:noProof/>
        </w:rPr>
      </w:pPr>
      <w:r w:rsidRPr="00C95F82">
        <w:rPr>
          <w:noProof/>
        </w:rPr>
        <w:t xml:space="preserve">World Health Organization (2015) </w:t>
      </w:r>
      <w:r w:rsidRPr="00C95F82">
        <w:rPr>
          <w:i/>
          <w:noProof/>
        </w:rPr>
        <w:t>Global action plan on antimicrobial resistance</w:t>
      </w:r>
      <w:r w:rsidRPr="00C95F82">
        <w:rPr>
          <w:noProof/>
        </w:rPr>
        <w:t xml:space="preserve">. World Health Organization. Available at: </w:t>
      </w:r>
      <w:hyperlink r:id="rId144" w:history="1">
        <w:r w:rsidRPr="00C95F82">
          <w:rPr>
            <w:rStyle w:val="Hyperlink"/>
            <w:noProof/>
          </w:rPr>
          <w:t>https://www.who.int/publications/i/item/9789241509763</w:t>
        </w:r>
      </w:hyperlink>
      <w:r w:rsidRPr="00C95F82">
        <w:rPr>
          <w:noProof/>
        </w:rPr>
        <w:t>.</w:t>
      </w:r>
    </w:p>
    <w:p w14:paraId="17278047" w14:textId="3164DC02" w:rsidR="00C95F82" w:rsidRPr="00C95F82" w:rsidRDefault="00C95F82" w:rsidP="00C95F82">
      <w:pPr>
        <w:pStyle w:val="EndNoteBibliography"/>
        <w:spacing w:after="240"/>
        <w:rPr>
          <w:noProof/>
        </w:rPr>
      </w:pPr>
      <w:r w:rsidRPr="00C95F82">
        <w:rPr>
          <w:noProof/>
        </w:rPr>
        <w:t xml:space="preserve">World Health Organization (2021) </w:t>
      </w:r>
      <w:r w:rsidRPr="00C95F82">
        <w:rPr>
          <w:i/>
          <w:noProof/>
        </w:rPr>
        <w:t>International Classification of Diseases - Eleventh Revision (ICD-11)</w:t>
      </w:r>
      <w:r w:rsidRPr="00C95F82">
        <w:rPr>
          <w:noProof/>
        </w:rPr>
        <w:t xml:space="preserve">. Geneva, Switzerland. Available at: </w:t>
      </w:r>
      <w:hyperlink r:id="rId145" w:history="1">
        <w:r w:rsidRPr="00C95F82">
          <w:rPr>
            <w:rStyle w:val="Hyperlink"/>
            <w:noProof/>
          </w:rPr>
          <w:t>https://icd.who.int/browse11</w:t>
        </w:r>
      </w:hyperlink>
      <w:r w:rsidRPr="00C95F82">
        <w:rPr>
          <w:noProof/>
        </w:rPr>
        <w:t xml:space="preserve"> (Accessed: 13/11/2023).</w:t>
      </w:r>
    </w:p>
    <w:p w14:paraId="43E4E25F" w14:textId="3D0866C3" w:rsidR="00C95F82" w:rsidRPr="00C95F82" w:rsidRDefault="00C95F82" w:rsidP="00C95F82">
      <w:pPr>
        <w:pStyle w:val="EndNoteBibliography"/>
        <w:spacing w:after="240"/>
        <w:rPr>
          <w:noProof/>
        </w:rPr>
      </w:pPr>
      <w:r w:rsidRPr="00C95F82">
        <w:rPr>
          <w:noProof/>
        </w:rPr>
        <w:t xml:space="preserve">World Health Organization (2023) </w:t>
      </w:r>
      <w:r w:rsidRPr="00C95F82">
        <w:rPr>
          <w:i/>
          <w:noProof/>
        </w:rPr>
        <w:t>Non-communicable diseases - Key facts</w:t>
      </w:r>
      <w:r w:rsidRPr="00C95F82">
        <w:rPr>
          <w:noProof/>
        </w:rPr>
        <w:t xml:space="preserve">. Available at: </w:t>
      </w:r>
      <w:hyperlink r:id="rId146" w:history="1">
        <w:r w:rsidRPr="00C95F82">
          <w:rPr>
            <w:rStyle w:val="Hyperlink"/>
            <w:noProof/>
          </w:rPr>
          <w:t>https://www.who.int/news-room/fact-sheets/detail/noncommunicable-diseases</w:t>
        </w:r>
      </w:hyperlink>
      <w:r w:rsidRPr="00C95F82">
        <w:rPr>
          <w:noProof/>
        </w:rPr>
        <w:t xml:space="preserve"> (Accessed: 10/11/2023).</w:t>
      </w:r>
    </w:p>
    <w:p w14:paraId="4549DE3B" w14:textId="3A421475" w:rsidR="00C95F82" w:rsidRPr="00C95F82" w:rsidRDefault="00C95F82" w:rsidP="00C95F82">
      <w:pPr>
        <w:pStyle w:val="EndNoteBibliography"/>
        <w:spacing w:after="240"/>
        <w:rPr>
          <w:noProof/>
        </w:rPr>
      </w:pPr>
      <w:r w:rsidRPr="00C95F82">
        <w:rPr>
          <w:noProof/>
        </w:rPr>
        <w:t xml:space="preserve">World Health Organization (2025) </w:t>
      </w:r>
      <w:r w:rsidRPr="00C95F82">
        <w:rPr>
          <w:i/>
          <w:noProof/>
        </w:rPr>
        <w:t>Rare diseases: A global health priority for equity and inclusion</w:t>
      </w:r>
      <w:r w:rsidRPr="00C95F82">
        <w:rPr>
          <w:noProof/>
        </w:rPr>
        <w:t xml:space="preserve">. World Health Organization: Geneva, Switzerland. Available at: </w:t>
      </w:r>
      <w:hyperlink r:id="rId147" w:history="1">
        <w:r w:rsidRPr="00C95F82">
          <w:rPr>
            <w:rStyle w:val="Hyperlink"/>
            <w:noProof/>
          </w:rPr>
          <w:t>https://apps.who.int/gb/ebwha/pdf_files/EB156/B156_CONF2-en.pdf</w:t>
        </w:r>
      </w:hyperlink>
      <w:r w:rsidRPr="00C95F82">
        <w:rPr>
          <w:noProof/>
        </w:rPr>
        <w:t xml:space="preserve"> (Accessed: 03/04/2026).</w:t>
      </w:r>
    </w:p>
    <w:p w14:paraId="7FEC6739" w14:textId="77777777" w:rsidR="00C95F82" w:rsidRPr="00C95F82" w:rsidRDefault="00C95F82" w:rsidP="00C95F82">
      <w:pPr>
        <w:pStyle w:val="EndNoteBibliography"/>
        <w:spacing w:after="240"/>
        <w:rPr>
          <w:noProof/>
        </w:rPr>
      </w:pPr>
      <w:r w:rsidRPr="00C95F82">
        <w:rPr>
          <w:noProof/>
        </w:rPr>
        <w:t xml:space="preserve">Yates, T. D., Davis, M. E., Taylor, Y. J., Davidson, L., Connor, C. D., Buehler, K. and Spencer, M. D. (2018) 'Not a magic pill: a qualitative exploration of provider perspectives on antibiotic prescribing in the outpatient setting', </w:t>
      </w:r>
      <w:r w:rsidRPr="00C95F82">
        <w:rPr>
          <w:i/>
          <w:noProof/>
        </w:rPr>
        <w:t>BMC Family Practice,</w:t>
      </w:r>
      <w:r w:rsidRPr="00C95F82">
        <w:rPr>
          <w:noProof/>
        </w:rPr>
        <w:t xml:space="preserve"> 19(1), pp. 96.</w:t>
      </w:r>
    </w:p>
    <w:p w14:paraId="15FCA898" w14:textId="77777777" w:rsidR="00C95F82" w:rsidRPr="00C95F82" w:rsidRDefault="00C95F82" w:rsidP="00C95F82">
      <w:pPr>
        <w:pStyle w:val="EndNoteBibliography"/>
        <w:spacing w:after="240"/>
        <w:rPr>
          <w:noProof/>
        </w:rPr>
      </w:pPr>
      <w:r w:rsidRPr="00C95F82">
        <w:rPr>
          <w:noProof/>
        </w:rPr>
        <w:t xml:space="preserve">Yi, T. W., Levin, A., Bevilacqua, M. and Canney, M. (2020) 'A provincial survey of the contemporary management of autosomal dominant polycystic kidney disease', </w:t>
      </w:r>
      <w:r w:rsidRPr="00C95F82">
        <w:rPr>
          <w:i/>
          <w:noProof/>
        </w:rPr>
        <w:t>Canadian Journal of Kidney Health and Disease,</w:t>
      </w:r>
      <w:r w:rsidRPr="00C95F82">
        <w:rPr>
          <w:noProof/>
        </w:rPr>
        <w:t xml:space="preserve"> 7, pp. 1-8.</w:t>
      </w:r>
    </w:p>
    <w:p w14:paraId="45142E25" w14:textId="77777777" w:rsidR="00C95F82" w:rsidRPr="00C95F82" w:rsidRDefault="00C95F82" w:rsidP="00C95F82">
      <w:pPr>
        <w:pStyle w:val="EndNoteBibliography"/>
        <w:spacing w:after="240"/>
        <w:rPr>
          <w:noProof/>
        </w:rPr>
      </w:pPr>
      <w:r w:rsidRPr="00C95F82">
        <w:rPr>
          <w:noProof/>
        </w:rPr>
        <w:t xml:space="preserve">Yin, R. K. (2009) </w:t>
      </w:r>
      <w:r w:rsidRPr="00C95F82">
        <w:rPr>
          <w:i/>
          <w:noProof/>
        </w:rPr>
        <w:t>Case study research: Design and methods.</w:t>
      </w:r>
      <w:r w:rsidRPr="00C95F82">
        <w:rPr>
          <w:noProof/>
        </w:rPr>
        <w:t xml:space="preserve"> San Francisco, California, USA: SAGE Publications Ltd, p. 1-250.</w:t>
      </w:r>
    </w:p>
    <w:p w14:paraId="2158C1E8" w14:textId="77777777" w:rsidR="00C95F82" w:rsidRPr="00C95F82" w:rsidRDefault="00C95F82" w:rsidP="00C95F82">
      <w:pPr>
        <w:pStyle w:val="EndNoteBibliography"/>
        <w:spacing w:after="240"/>
        <w:rPr>
          <w:noProof/>
        </w:rPr>
      </w:pPr>
      <w:r w:rsidRPr="00C95F82">
        <w:rPr>
          <w:noProof/>
        </w:rPr>
        <w:t xml:space="preserve">Yin, R. K. (2018) </w:t>
      </w:r>
      <w:r w:rsidRPr="00C95F82">
        <w:rPr>
          <w:i/>
          <w:noProof/>
        </w:rPr>
        <w:t>Case study research and applications.</w:t>
      </w:r>
      <w:r w:rsidRPr="00C95F82">
        <w:rPr>
          <w:noProof/>
        </w:rPr>
        <w:t xml:space="preserve"> San Francisco, California, USA: SAGE Publications Ltd, p. 1-352.</w:t>
      </w:r>
    </w:p>
    <w:p w14:paraId="00E998F2" w14:textId="77777777" w:rsidR="00C95F82" w:rsidRPr="00C95F82" w:rsidRDefault="00C95F82" w:rsidP="00C95F82">
      <w:pPr>
        <w:pStyle w:val="EndNoteBibliography"/>
        <w:spacing w:after="240"/>
        <w:rPr>
          <w:noProof/>
        </w:rPr>
      </w:pPr>
      <w:r w:rsidRPr="00C95F82">
        <w:rPr>
          <w:noProof/>
        </w:rPr>
        <w:t xml:space="preserve">Yoon, S., Lee, M., Jung, H.-I., Khan, M. M., Kim, S.-Y., Kim, H. and Wasti, S. (2023) 'Prioritization of research engaged with rare disease stakeholders: a systematic review and thematic analysis', </w:t>
      </w:r>
      <w:r w:rsidRPr="00C95F82">
        <w:rPr>
          <w:i/>
          <w:noProof/>
        </w:rPr>
        <w:t>Orphanet Journal of Rare Diseases,</w:t>
      </w:r>
      <w:r w:rsidRPr="00C95F82">
        <w:rPr>
          <w:noProof/>
        </w:rPr>
        <w:t xml:space="preserve"> 18(1), pp. 363.</w:t>
      </w:r>
    </w:p>
    <w:p w14:paraId="1D6E4983" w14:textId="77777777" w:rsidR="00C95F82" w:rsidRPr="00C95F82" w:rsidRDefault="00C95F82" w:rsidP="00C95F82">
      <w:pPr>
        <w:pStyle w:val="EndNoteBibliography"/>
        <w:rPr>
          <w:noProof/>
        </w:rPr>
      </w:pPr>
      <w:r w:rsidRPr="00C95F82">
        <w:rPr>
          <w:noProof/>
        </w:rPr>
        <w:t xml:space="preserve">Zybarth, D., Inhestern, L., Otto, R. and Bergelt, C. (2024) 'Uncertainties of healthcare professionals and informal caregivers in rare diseases: A systematic review', </w:t>
      </w:r>
      <w:r w:rsidRPr="00C95F82">
        <w:rPr>
          <w:i/>
          <w:noProof/>
        </w:rPr>
        <w:t>Heliyon,</w:t>
      </w:r>
      <w:r w:rsidRPr="00C95F82">
        <w:rPr>
          <w:noProof/>
        </w:rPr>
        <w:t xml:space="preserve"> 10(19), pp. e38677.</w:t>
      </w:r>
    </w:p>
    <w:p w14:paraId="29AB72CD" w14:textId="52C2FCEF" w:rsidR="0028422A" w:rsidRPr="002C21B8" w:rsidRDefault="009738C7" w:rsidP="003374F4">
      <w:pPr>
        <w:sectPr w:rsidR="0028422A" w:rsidRPr="002C21B8" w:rsidSect="00D84353">
          <w:headerReference w:type="default" r:id="rId148"/>
          <w:pgSz w:w="11906" w:h="16838"/>
          <w:pgMar w:top="1440" w:right="1440" w:bottom="1440" w:left="1440" w:header="708" w:footer="708" w:gutter="0"/>
          <w:cols w:space="708"/>
          <w:docGrid w:linePitch="360"/>
        </w:sectPr>
      </w:pPr>
      <w:r w:rsidRPr="002C21B8">
        <w:fldChar w:fldCharType="end"/>
      </w:r>
    </w:p>
    <w:p w14:paraId="7AC1DD99" w14:textId="34826445" w:rsidR="00071700" w:rsidRPr="002C21B8" w:rsidRDefault="00FA366A" w:rsidP="000E2B01">
      <w:pPr>
        <w:pStyle w:val="Heading1"/>
        <w:numPr>
          <w:ilvl w:val="0"/>
          <w:numId w:val="0"/>
        </w:numPr>
      </w:pPr>
      <w:bookmarkStart w:id="423" w:name="_Toc229687252"/>
      <w:r w:rsidRPr="002C21B8">
        <w:t>Appendices</w:t>
      </w:r>
      <w:bookmarkEnd w:id="423"/>
    </w:p>
    <w:p w14:paraId="75FA1CE7" w14:textId="6AF435D4" w:rsidR="00E049F4" w:rsidRPr="002C21B8" w:rsidRDefault="00FA366A" w:rsidP="0016239D">
      <w:pPr>
        <w:pStyle w:val="Heading2"/>
        <w:numPr>
          <w:ilvl w:val="0"/>
          <w:numId w:val="0"/>
        </w:numPr>
      </w:pPr>
      <w:bookmarkStart w:id="424" w:name="_Appendix_1._Author"/>
      <w:bookmarkStart w:id="425" w:name="_Toc229687253"/>
      <w:bookmarkEnd w:id="424"/>
      <w:r w:rsidRPr="002C21B8">
        <w:t xml:space="preserve">Appendix </w:t>
      </w:r>
      <w:r w:rsidR="000E2B01" w:rsidRPr="002C21B8">
        <w:t>1</w:t>
      </w:r>
      <w:r w:rsidR="00071700" w:rsidRPr="002C21B8">
        <w:t>.</w:t>
      </w:r>
      <w:r w:rsidRPr="002C21B8">
        <w:t xml:space="preserve"> Author contributions</w:t>
      </w:r>
      <w:bookmarkEnd w:id="425"/>
    </w:p>
    <w:p w14:paraId="6FA641D1" w14:textId="77777777" w:rsidR="0016239D" w:rsidRPr="002C21B8" w:rsidRDefault="0016239D" w:rsidP="0016239D">
      <w:pPr>
        <w:spacing w:after="0" w:line="240" w:lineRule="auto"/>
      </w:pPr>
    </w:p>
    <w:tbl>
      <w:tblPr>
        <w:tblStyle w:val="TableGrid"/>
        <w:tblW w:w="14445" w:type="dxa"/>
        <w:tblLayout w:type="fixed"/>
        <w:tblLook w:val="04A0" w:firstRow="1" w:lastRow="0" w:firstColumn="1" w:lastColumn="0" w:noHBand="0" w:noVBand="1"/>
      </w:tblPr>
      <w:tblGrid>
        <w:gridCol w:w="3397"/>
        <w:gridCol w:w="1578"/>
        <w:gridCol w:w="1578"/>
        <w:gridCol w:w="1578"/>
        <w:gridCol w:w="1579"/>
        <w:gridCol w:w="1578"/>
        <w:gridCol w:w="1578"/>
        <w:gridCol w:w="1579"/>
      </w:tblGrid>
      <w:tr w:rsidR="00FA366A" w:rsidRPr="002C21B8" w14:paraId="22BF59BA" w14:textId="77777777" w:rsidTr="00CF6A56">
        <w:tc>
          <w:tcPr>
            <w:tcW w:w="3397" w:type="dxa"/>
            <w:shd w:val="clear" w:color="auto" w:fill="auto"/>
            <w:vAlign w:val="center"/>
          </w:tcPr>
          <w:p w14:paraId="11C54B81" w14:textId="2A1045EA" w:rsidR="00FA366A" w:rsidRPr="002C21B8" w:rsidRDefault="00760485" w:rsidP="0016239D">
            <w:pPr>
              <w:spacing w:beforeLines="20" w:before="48" w:afterLines="20" w:after="48" w:line="240" w:lineRule="auto"/>
              <w:jc w:val="left"/>
              <w:rPr>
                <w:b/>
                <w:bCs/>
                <w:sz w:val="18"/>
                <w:szCs w:val="18"/>
              </w:rPr>
            </w:pPr>
            <w:r w:rsidRPr="002C21B8">
              <w:rPr>
                <w:b/>
                <w:bCs/>
                <w:sz w:val="18"/>
                <w:szCs w:val="18"/>
              </w:rPr>
              <w:t>Journal a</w:t>
            </w:r>
            <w:r w:rsidR="00FA366A" w:rsidRPr="002C21B8">
              <w:rPr>
                <w:b/>
                <w:bCs/>
                <w:sz w:val="18"/>
                <w:szCs w:val="18"/>
              </w:rPr>
              <w:t>rticle/Chapter</w:t>
            </w:r>
          </w:p>
        </w:tc>
        <w:tc>
          <w:tcPr>
            <w:tcW w:w="1578" w:type="dxa"/>
            <w:shd w:val="clear" w:color="auto" w:fill="auto"/>
            <w:vAlign w:val="center"/>
          </w:tcPr>
          <w:p w14:paraId="58EE5A98" w14:textId="77777777"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Conceptualisation</w:t>
            </w:r>
          </w:p>
        </w:tc>
        <w:tc>
          <w:tcPr>
            <w:tcW w:w="1578" w:type="dxa"/>
            <w:shd w:val="clear" w:color="auto" w:fill="auto"/>
            <w:vAlign w:val="center"/>
          </w:tcPr>
          <w:p w14:paraId="4B16650A" w14:textId="45DB9EC4"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Data collection</w:t>
            </w:r>
            <w:r w:rsidR="005E7031" w:rsidRPr="002C21B8">
              <w:rPr>
                <w:b/>
                <w:bCs/>
                <w:sz w:val="18"/>
                <w:szCs w:val="18"/>
              </w:rPr>
              <w:t xml:space="preserve"> / </w:t>
            </w:r>
            <w:r w:rsidRPr="002C21B8">
              <w:rPr>
                <w:b/>
                <w:bCs/>
                <w:sz w:val="18"/>
                <w:szCs w:val="18"/>
              </w:rPr>
              <w:t>investigation</w:t>
            </w:r>
          </w:p>
        </w:tc>
        <w:tc>
          <w:tcPr>
            <w:tcW w:w="1578" w:type="dxa"/>
            <w:shd w:val="clear" w:color="auto" w:fill="auto"/>
            <w:vAlign w:val="center"/>
          </w:tcPr>
          <w:p w14:paraId="7BF69230" w14:textId="77777777" w:rsidR="008A06D6" w:rsidRPr="002C21B8" w:rsidRDefault="00FA366A" w:rsidP="0016239D">
            <w:pPr>
              <w:spacing w:beforeLines="20" w:before="48" w:afterLines="20" w:after="48" w:line="240" w:lineRule="auto"/>
              <w:jc w:val="center"/>
              <w:rPr>
                <w:b/>
                <w:bCs/>
                <w:sz w:val="18"/>
                <w:szCs w:val="18"/>
              </w:rPr>
            </w:pPr>
            <w:r w:rsidRPr="002C21B8">
              <w:rPr>
                <w:b/>
                <w:bCs/>
                <w:sz w:val="18"/>
                <w:szCs w:val="18"/>
              </w:rPr>
              <w:t>Screening</w:t>
            </w:r>
            <w:r w:rsidR="005E7031" w:rsidRPr="002C21B8">
              <w:rPr>
                <w:b/>
                <w:bCs/>
                <w:sz w:val="18"/>
                <w:szCs w:val="18"/>
              </w:rPr>
              <w:t xml:space="preserve"> </w:t>
            </w:r>
          </w:p>
          <w:p w14:paraId="352F1915" w14:textId="5F99016F"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w:t>
            </w:r>
            <w:r w:rsidR="005E7031" w:rsidRPr="002C21B8">
              <w:rPr>
                <w:b/>
                <w:bCs/>
                <w:sz w:val="18"/>
                <w:szCs w:val="18"/>
              </w:rPr>
              <w:t xml:space="preserve"> </w:t>
            </w:r>
            <w:r w:rsidRPr="002C21B8">
              <w:rPr>
                <w:b/>
                <w:bCs/>
                <w:sz w:val="18"/>
                <w:szCs w:val="18"/>
              </w:rPr>
              <w:t>Data extraction</w:t>
            </w:r>
          </w:p>
        </w:tc>
        <w:tc>
          <w:tcPr>
            <w:tcW w:w="1579" w:type="dxa"/>
            <w:shd w:val="clear" w:color="auto" w:fill="auto"/>
            <w:vAlign w:val="center"/>
          </w:tcPr>
          <w:p w14:paraId="6AE21C68" w14:textId="77777777"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Data analysis and interpretation</w:t>
            </w:r>
          </w:p>
        </w:tc>
        <w:tc>
          <w:tcPr>
            <w:tcW w:w="1578" w:type="dxa"/>
            <w:shd w:val="clear" w:color="auto" w:fill="auto"/>
            <w:vAlign w:val="center"/>
          </w:tcPr>
          <w:p w14:paraId="7F68C38E" w14:textId="77777777"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Writing – original draft</w:t>
            </w:r>
          </w:p>
        </w:tc>
        <w:tc>
          <w:tcPr>
            <w:tcW w:w="1578" w:type="dxa"/>
            <w:shd w:val="clear" w:color="auto" w:fill="auto"/>
            <w:vAlign w:val="center"/>
          </w:tcPr>
          <w:p w14:paraId="71230F80" w14:textId="77777777"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Writing – review and editing</w:t>
            </w:r>
          </w:p>
        </w:tc>
        <w:tc>
          <w:tcPr>
            <w:tcW w:w="1579" w:type="dxa"/>
            <w:shd w:val="clear" w:color="auto" w:fill="auto"/>
            <w:vAlign w:val="center"/>
          </w:tcPr>
          <w:p w14:paraId="69169783" w14:textId="77777777" w:rsidR="00FA366A" w:rsidRPr="002C21B8" w:rsidRDefault="00FA366A" w:rsidP="0016239D">
            <w:pPr>
              <w:spacing w:beforeLines="20" w:before="48" w:afterLines="20" w:after="48" w:line="240" w:lineRule="auto"/>
              <w:jc w:val="center"/>
              <w:rPr>
                <w:b/>
                <w:bCs/>
                <w:sz w:val="18"/>
                <w:szCs w:val="18"/>
              </w:rPr>
            </w:pPr>
            <w:r w:rsidRPr="002C21B8">
              <w:rPr>
                <w:b/>
                <w:bCs/>
                <w:sz w:val="18"/>
                <w:szCs w:val="18"/>
              </w:rPr>
              <w:t>Supervision</w:t>
            </w:r>
          </w:p>
        </w:tc>
      </w:tr>
      <w:tr w:rsidR="00FA366A" w:rsidRPr="002C21B8" w14:paraId="3B528E80" w14:textId="77777777" w:rsidTr="00CF6A56">
        <w:trPr>
          <w:trHeight w:val="578"/>
        </w:trPr>
        <w:tc>
          <w:tcPr>
            <w:tcW w:w="3397" w:type="dxa"/>
            <w:shd w:val="clear" w:color="auto" w:fill="auto"/>
          </w:tcPr>
          <w:p w14:paraId="0CBB60B7" w14:textId="2F8BE9EA" w:rsidR="006302EE" w:rsidRPr="002C21B8" w:rsidRDefault="00100573" w:rsidP="0016239D">
            <w:pPr>
              <w:spacing w:beforeLines="20" w:before="48" w:afterLines="20" w:after="48" w:line="240" w:lineRule="auto"/>
              <w:rPr>
                <w:sz w:val="18"/>
                <w:szCs w:val="18"/>
              </w:rPr>
            </w:pPr>
            <w:r w:rsidRPr="002C21B8">
              <w:rPr>
                <w:sz w:val="18"/>
                <w:szCs w:val="18"/>
              </w:rPr>
              <w:t xml:space="preserve">Journal </w:t>
            </w:r>
            <w:r w:rsidR="00760485" w:rsidRPr="002C21B8">
              <w:rPr>
                <w:sz w:val="18"/>
                <w:szCs w:val="18"/>
              </w:rPr>
              <w:t>a</w:t>
            </w:r>
            <w:r w:rsidRPr="002C21B8">
              <w:rPr>
                <w:sz w:val="18"/>
                <w:szCs w:val="18"/>
              </w:rPr>
              <w:t>rticle</w:t>
            </w:r>
            <w:r w:rsidR="006302EE" w:rsidRPr="002C21B8">
              <w:rPr>
                <w:sz w:val="18"/>
                <w:szCs w:val="18"/>
              </w:rPr>
              <w:t xml:space="preserve"> 1</w:t>
            </w:r>
          </w:p>
          <w:p w14:paraId="20B0EFF8" w14:textId="399F71FE" w:rsidR="005E7031" w:rsidRPr="002C21B8" w:rsidRDefault="00FA366A" w:rsidP="0016239D">
            <w:pPr>
              <w:spacing w:beforeLines="20" w:before="48" w:afterLines="20" w:after="48" w:line="240" w:lineRule="auto"/>
              <w:rPr>
                <w:sz w:val="18"/>
                <w:szCs w:val="18"/>
              </w:rPr>
            </w:pPr>
            <w:r w:rsidRPr="002C21B8">
              <w:rPr>
                <w:sz w:val="18"/>
                <w:szCs w:val="18"/>
              </w:rPr>
              <w:t xml:space="preserve">Overview of </w:t>
            </w:r>
            <w:r w:rsidR="0014305C" w:rsidRPr="002C21B8">
              <w:rPr>
                <w:sz w:val="18"/>
                <w:szCs w:val="18"/>
              </w:rPr>
              <w:t xml:space="preserve">systematic </w:t>
            </w:r>
            <w:r w:rsidRPr="002C21B8">
              <w:rPr>
                <w:sz w:val="18"/>
                <w:szCs w:val="18"/>
              </w:rPr>
              <w:t>review</w:t>
            </w:r>
            <w:r w:rsidR="0014305C" w:rsidRPr="002C21B8">
              <w:rPr>
                <w:sz w:val="18"/>
                <w:szCs w:val="18"/>
              </w:rPr>
              <w:t>s</w:t>
            </w:r>
            <w:r w:rsidR="005E7031" w:rsidRPr="002C21B8">
              <w:rPr>
                <w:sz w:val="18"/>
                <w:szCs w:val="18"/>
              </w:rPr>
              <w:t xml:space="preserve"> (</w:t>
            </w:r>
            <w:r w:rsidR="008A06D6" w:rsidRPr="002C21B8">
              <w:rPr>
                <w:sz w:val="18"/>
                <w:szCs w:val="18"/>
              </w:rPr>
              <w:t>Chapter 3</w:t>
            </w:r>
            <w:r w:rsidR="005E7031" w:rsidRPr="002C21B8">
              <w:rPr>
                <w:sz w:val="18"/>
                <w:szCs w:val="18"/>
              </w:rPr>
              <w:t>)</w:t>
            </w:r>
          </w:p>
          <w:p w14:paraId="770AD26D" w14:textId="0B7A15D7" w:rsidR="00FA366A" w:rsidRPr="002C21B8" w:rsidRDefault="00FA366A" w:rsidP="0016239D">
            <w:pPr>
              <w:spacing w:beforeLines="20" w:before="48" w:afterLines="20" w:after="48" w:line="240" w:lineRule="auto"/>
              <w:rPr>
                <w:sz w:val="18"/>
                <w:szCs w:val="18"/>
              </w:rPr>
            </w:pPr>
            <w:r w:rsidRPr="002C21B8">
              <w:rPr>
                <w:sz w:val="18"/>
                <w:szCs w:val="18"/>
              </w:rPr>
              <w:t>Gittus et al. 2025</w:t>
            </w:r>
          </w:p>
        </w:tc>
        <w:tc>
          <w:tcPr>
            <w:tcW w:w="1578" w:type="dxa"/>
            <w:shd w:val="clear" w:color="auto" w:fill="auto"/>
            <w:vAlign w:val="center"/>
          </w:tcPr>
          <w:p w14:paraId="7537A4AB" w14:textId="33C2C8BE" w:rsidR="00FA366A" w:rsidRPr="002C21B8" w:rsidRDefault="00FA366A" w:rsidP="00CF6A56">
            <w:pPr>
              <w:spacing w:beforeLines="20" w:before="48" w:afterLines="20" w:after="48" w:line="240" w:lineRule="auto"/>
              <w:jc w:val="center"/>
              <w:rPr>
                <w:sz w:val="18"/>
                <w:szCs w:val="18"/>
              </w:rPr>
            </w:pPr>
            <w:r w:rsidRPr="002C21B8">
              <w:rPr>
                <w:sz w:val="18"/>
                <w:szCs w:val="18"/>
              </w:rPr>
              <w:t xml:space="preserve">MG, JF, </w:t>
            </w:r>
            <w:r w:rsidR="005E7031" w:rsidRPr="002C21B8">
              <w:rPr>
                <w:sz w:val="18"/>
                <w:szCs w:val="18"/>
              </w:rPr>
              <w:t>AOC</w:t>
            </w:r>
          </w:p>
        </w:tc>
        <w:tc>
          <w:tcPr>
            <w:tcW w:w="1578" w:type="dxa"/>
            <w:shd w:val="clear" w:color="auto" w:fill="auto"/>
            <w:vAlign w:val="center"/>
          </w:tcPr>
          <w:p w14:paraId="72B524BC"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2A4F40CD" w14:textId="2AB8F818" w:rsidR="00FA366A" w:rsidRPr="002C21B8" w:rsidRDefault="00FA366A" w:rsidP="00CF6A56">
            <w:pPr>
              <w:spacing w:beforeLines="20" w:before="48" w:afterLines="20" w:after="48" w:line="240" w:lineRule="auto"/>
              <w:jc w:val="center"/>
              <w:rPr>
                <w:sz w:val="18"/>
                <w:szCs w:val="18"/>
              </w:rPr>
            </w:pPr>
            <w:r w:rsidRPr="002C21B8">
              <w:rPr>
                <w:sz w:val="18"/>
                <w:szCs w:val="18"/>
              </w:rPr>
              <w:t>MG, KM</w:t>
            </w:r>
            <w:r w:rsidR="005E7031" w:rsidRPr="002C21B8">
              <w:rPr>
                <w:sz w:val="18"/>
                <w:szCs w:val="18"/>
              </w:rPr>
              <w:t>, AO</w:t>
            </w:r>
          </w:p>
        </w:tc>
        <w:tc>
          <w:tcPr>
            <w:tcW w:w="1579" w:type="dxa"/>
            <w:shd w:val="clear" w:color="auto" w:fill="auto"/>
            <w:vAlign w:val="center"/>
          </w:tcPr>
          <w:p w14:paraId="3D75BFBB" w14:textId="7A277A9D"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694938CE"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391528CD" w14:textId="06A60C66" w:rsidR="00FA366A" w:rsidRPr="002C21B8" w:rsidRDefault="00FA366A" w:rsidP="00CF6A56">
            <w:pPr>
              <w:spacing w:beforeLines="20" w:before="48" w:afterLines="20" w:after="48" w:line="240" w:lineRule="auto"/>
              <w:jc w:val="center"/>
              <w:rPr>
                <w:sz w:val="18"/>
                <w:szCs w:val="18"/>
              </w:rPr>
            </w:pPr>
            <w:r w:rsidRPr="002C21B8">
              <w:rPr>
                <w:sz w:val="18"/>
                <w:szCs w:val="18"/>
              </w:rPr>
              <w:t>MG, JF, AOC, AC</w:t>
            </w:r>
            <w:r w:rsidR="00CF6A56" w:rsidRPr="002C21B8">
              <w:rPr>
                <w:sz w:val="18"/>
                <w:szCs w:val="18"/>
              </w:rPr>
              <w:t>M</w:t>
            </w:r>
            <w:r w:rsidRPr="002C21B8">
              <w:rPr>
                <w:sz w:val="18"/>
                <w:szCs w:val="18"/>
              </w:rPr>
              <w:t>O</w:t>
            </w:r>
          </w:p>
        </w:tc>
        <w:tc>
          <w:tcPr>
            <w:tcW w:w="1579" w:type="dxa"/>
            <w:shd w:val="clear" w:color="auto" w:fill="auto"/>
            <w:vAlign w:val="center"/>
          </w:tcPr>
          <w:p w14:paraId="7BCB24E0"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JF, AOC, AS</w:t>
            </w:r>
          </w:p>
        </w:tc>
      </w:tr>
      <w:tr w:rsidR="00FA366A" w:rsidRPr="002C21B8" w14:paraId="0FE8E0FA" w14:textId="77777777" w:rsidTr="00CF6A56">
        <w:tc>
          <w:tcPr>
            <w:tcW w:w="3397" w:type="dxa"/>
            <w:shd w:val="clear" w:color="auto" w:fill="auto"/>
          </w:tcPr>
          <w:p w14:paraId="4650050D" w14:textId="7E278EEF" w:rsidR="006302EE" w:rsidRPr="002C21B8" w:rsidRDefault="00100573" w:rsidP="0016239D">
            <w:pPr>
              <w:spacing w:beforeLines="20" w:before="48" w:afterLines="20" w:after="48" w:line="240" w:lineRule="auto"/>
              <w:rPr>
                <w:sz w:val="18"/>
                <w:szCs w:val="18"/>
              </w:rPr>
            </w:pPr>
            <w:r w:rsidRPr="002C21B8">
              <w:rPr>
                <w:sz w:val="18"/>
                <w:szCs w:val="18"/>
              </w:rPr>
              <w:t xml:space="preserve">Journal </w:t>
            </w:r>
            <w:r w:rsidR="00760485" w:rsidRPr="002C21B8">
              <w:rPr>
                <w:sz w:val="18"/>
                <w:szCs w:val="18"/>
              </w:rPr>
              <w:t>a</w:t>
            </w:r>
            <w:r w:rsidRPr="002C21B8">
              <w:rPr>
                <w:sz w:val="18"/>
                <w:szCs w:val="18"/>
              </w:rPr>
              <w:t>rticle</w:t>
            </w:r>
            <w:r w:rsidR="006302EE" w:rsidRPr="002C21B8">
              <w:rPr>
                <w:sz w:val="18"/>
                <w:szCs w:val="18"/>
              </w:rPr>
              <w:t xml:space="preserve"> 2</w:t>
            </w:r>
          </w:p>
          <w:p w14:paraId="69319858" w14:textId="44CC0047" w:rsidR="00FA366A" w:rsidRPr="002C21B8" w:rsidRDefault="006207E0" w:rsidP="0016239D">
            <w:pPr>
              <w:spacing w:beforeLines="20" w:before="48" w:afterLines="20" w:after="48" w:line="240" w:lineRule="auto"/>
              <w:rPr>
                <w:sz w:val="18"/>
                <w:szCs w:val="18"/>
              </w:rPr>
            </w:pPr>
            <w:r w:rsidRPr="002C21B8">
              <w:rPr>
                <w:sz w:val="18"/>
                <w:szCs w:val="18"/>
              </w:rPr>
              <w:t xml:space="preserve">Analysis of </w:t>
            </w:r>
            <w:r w:rsidR="000764D9" w:rsidRPr="002C21B8">
              <w:rPr>
                <w:sz w:val="18"/>
                <w:szCs w:val="18"/>
              </w:rPr>
              <w:t>registry</w:t>
            </w:r>
            <w:r w:rsidR="00FA366A" w:rsidRPr="002C21B8">
              <w:rPr>
                <w:sz w:val="18"/>
                <w:szCs w:val="18"/>
              </w:rPr>
              <w:t xml:space="preserve"> data</w:t>
            </w:r>
            <w:r w:rsidR="005E7031" w:rsidRPr="002C21B8">
              <w:rPr>
                <w:sz w:val="18"/>
                <w:szCs w:val="18"/>
              </w:rPr>
              <w:t xml:space="preserve"> (</w:t>
            </w:r>
            <w:r w:rsidR="008A06D6" w:rsidRPr="002C21B8">
              <w:rPr>
                <w:sz w:val="18"/>
                <w:szCs w:val="18"/>
              </w:rPr>
              <w:t>Chapter 5</w:t>
            </w:r>
            <w:r w:rsidR="005E7031" w:rsidRPr="002C21B8">
              <w:rPr>
                <w:sz w:val="18"/>
                <w:szCs w:val="18"/>
              </w:rPr>
              <w:t>)</w:t>
            </w:r>
          </w:p>
          <w:p w14:paraId="6F9802ED" w14:textId="157F8078" w:rsidR="00FA366A" w:rsidRPr="002C21B8" w:rsidRDefault="008A06D6" w:rsidP="0016239D">
            <w:pPr>
              <w:spacing w:beforeLines="20" w:before="48" w:afterLines="20" w:after="48" w:line="240" w:lineRule="auto"/>
              <w:rPr>
                <w:sz w:val="18"/>
                <w:szCs w:val="18"/>
              </w:rPr>
            </w:pPr>
            <w:r w:rsidRPr="002C21B8">
              <w:rPr>
                <w:sz w:val="18"/>
                <w:szCs w:val="18"/>
              </w:rPr>
              <w:t>Submitted</w:t>
            </w:r>
          </w:p>
        </w:tc>
        <w:tc>
          <w:tcPr>
            <w:tcW w:w="1578" w:type="dxa"/>
            <w:shd w:val="clear" w:color="auto" w:fill="auto"/>
            <w:vAlign w:val="center"/>
          </w:tcPr>
          <w:p w14:paraId="35B53B14" w14:textId="3241ECAD" w:rsidR="00FA366A" w:rsidRPr="002C21B8" w:rsidRDefault="00FA366A" w:rsidP="00CF6A56">
            <w:pPr>
              <w:spacing w:beforeLines="20" w:before="48" w:afterLines="20" w:after="48" w:line="240" w:lineRule="auto"/>
              <w:jc w:val="center"/>
              <w:rPr>
                <w:sz w:val="18"/>
                <w:szCs w:val="18"/>
              </w:rPr>
            </w:pPr>
            <w:r w:rsidRPr="002C21B8">
              <w:rPr>
                <w:sz w:val="18"/>
                <w:szCs w:val="18"/>
              </w:rPr>
              <w:t xml:space="preserve">MG, </w:t>
            </w:r>
            <w:r w:rsidR="005E7031" w:rsidRPr="002C21B8">
              <w:rPr>
                <w:sz w:val="18"/>
                <w:szCs w:val="18"/>
              </w:rPr>
              <w:t>JF, AOC, AC</w:t>
            </w:r>
            <w:r w:rsidR="00F86001" w:rsidRPr="002C21B8">
              <w:rPr>
                <w:sz w:val="18"/>
                <w:szCs w:val="18"/>
              </w:rPr>
              <w:t>M</w:t>
            </w:r>
            <w:r w:rsidR="005E7031" w:rsidRPr="002C21B8">
              <w:rPr>
                <w:sz w:val="18"/>
                <w:szCs w:val="18"/>
              </w:rPr>
              <w:t>O</w:t>
            </w:r>
          </w:p>
        </w:tc>
        <w:tc>
          <w:tcPr>
            <w:tcW w:w="1578" w:type="dxa"/>
            <w:shd w:val="clear" w:color="auto" w:fill="auto"/>
            <w:vAlign w:val="center"/>
          </w:tcPr>
          <w:p w14:paraId="04A84736"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DP</w:t>
            </w:r>
          </w:p>
        </w:tc>
        <w:tc>
          <w:tcPr>
            <w:tcW w:w="1578" w:type="dxa"/>
            <w:shd w:val="clear" w:color="auto" w:fill="auto"/>
            <w:vAlign w:val="center"/>
          </w:tcPr>
          <w:p w14:paraId="46C08708" w14:textId="4065B455" w:rsidR="00FA366A" w:rsidRPr="002C21B8" w:rsidRDefault="00FD6049" w:rsidP="00CF6A56">
            <w:pPr>
              <w:spacing w:beforeLines="20" w:before="48" w:afterLines="20" w:after="48" w:line="240" w:lineRule="auto"/>
              <w:jc w:val="center"/>
              <w:rPr>
                <w:sz w:val="18"/>
                <w:szCs w:val="18"/>
              </w:rPr>
            </w:pPr>
            <w:r w:rsidRPr="002C21B8">
              <w:rPr>
                <w:sz w:val="18"/>
                <w:szCs w:val="18"/>
              </w:rPr>
              <w:t xml:space="preserve">MG, </w:t>
            </w:r>
            <w:r w:rsidR="00FA366A" w:rsidRPr="002C21B8">
              <w:rPr>
                <w:sz w:val="18"/>
                <w:szCs w:val="18"/>
              </w:rPr>
              <w:t>DP</w:t>
            </w:r>
          </w:p>
        </w:tc>
        <w:tc>
          <w:tcPr>
            <w:tcW w:w="1579" w:type="dxa"/>
            <w:shd w:val="clear" w:color="auto" w:fill="auto"/>
            <w:vAlign w:val="center"/>
          </w:tcPr>
          <w:p w14:paraId="63092262" w14:textId="71765BFA" w:rsidR="00FA366A" w:rsidRPr="002C21B8" w:rsidRDefault="00FA366A" w:rsidP="00CF6A56">
            <w:pPr>
              <w:spacing w:beforeLines="20" w:before="48" w:afterLines="20" w:after="48" w:line="240" w:lineRule="auto"/>
              <w:jc w:val="center"/>
              <w:rPr>
                <w:sz w:val="18"/>
                <w:szCs w:val="18"/>
              </w:rPr>
            </w:pPr>
            <w:r w:rsidRPr="002C21B8">
              <w:rPr>
                <w:sz w:val="18"/>
                <w:szCs w:val="18"/>
              </w:rPr>
              <w:t>DP</w:t>
            </w:r>
            <w:r w:rsidR="005E7031" w:rsidRPr="002C21B8">
              <w:rPr>
                <w:sz w:val="18"/>
                <w:szCs w:val="18"/>
              </w:rPr>
              <w:t xml:space="preserve"> (analysis), MG (analysis and interpretation)</w:t>
            </w:r>
          </w:p>
        </w:tc>
        <w:tc>
          <w:tcPr>
            <w:tcW w:w="1578" w:type="dxa"/>
            <w:shd w:val="clear" w:color="auto" w:fill="auto"/>
            <w:vAlign w:val="center"/>
          </w:tcPr>
          <w:p w14:paraId="7078F9B1"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6C0FF14F" w14:textId="791DC89C" w:rsidR="00FA366A" w:rsidRPr="002C21B8" w:rsidRDefault="00FA366A" w:rsidP="00CF6A56">
            <w:pPr>
              <w:spacing w:beforeLines="20" w:before="48" w:afterLines="20" w:after="48" w:line="240" w:lineRule="auto"/>
              <w:jc w:val="center"/>
              <w:rPr>
                <w:sz w:val="18"/>
                <w:szCs w:val="18"/>
              </w:rPr>
            </w:pPr>
            <w:r w:rsidRPr="002C21B8">
              <w:rPr>
                <w:sz w:val="18"/>
                <w:szCs w:val="18"/>
              </w:rPr>
              <w:t>MG, JF, AOC,</w:t>
            </w:r>
            <w:r w:rsidR="00121258" w:rsidRPr="002C21B8">
              <w:rPr>
                <w:sz w:val="18"/>
                <w:szCs w:val="18"/>
              </w:rPr>
              <w:t xml:space="preserve"> DP,</w:t>
            </w:r>
            <w:r w:rsidRPr="002C21B8">
              <w:rPr>
                <w:sz w:val="18"/>
                <w:szCs w:val="18"/>
              </w:rPr>
              <w:t xml:space="preserve"> AC</w:t>
            </w:r>
            <w:r w:rsidR="00CF6A56" w:rsidRPr="002C21B8">
              <w:rPr>
                <w:sz w:val="18"/>
                <w:szCs w:val="18"/>
              </w:rPr>
              <w:t>M</w:t>
            </w:r>
            <w:r w:rsidRPr="002C21B8">
              <w:rPr>
                <w:sz w:val="18"/>
                <w:szCs w:val="18"/>
              </w:rPr>
              <w:t>O, RS</w:t>
            </w:r>
          </w:p>
        </w:tc>
        <w:tc>
          <w:tcPr>
            <w:tcW w:w="1579" w:type="dxa"/>
            <w:shd w:val="clear" w:color="auto" w:fill="auto"/>
            <w:vAlign w:val="center"/>
          </w:tcPr>
          <w:p w14:paraId="3AA96733"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JF, AOC</w:t>
            </w:r>
          </w:p>
        </w:tc>
      </w:tr>
      <w:tr w:rsidR="00FA366A" w:rsidRPr="002C21B8" w14:paraId="7BCE6746" w14:textId="77777777" w:rsidTr="00CF6A56">
        <w:tc>
          <w:tcPr>
            <w:tcW w:w="3397" w:type="dxa"/>
            <w:shd w:val="clear" w:color="auto" w:fill="auto"/>
          </w:tcPr>
          <w:p w14:paraId="09A3B204" w14:textId="32652EC0" w:rsidR="006302EE" w:rsidRPr="002C21B8" w:rsidRDefault="00100573" w:rsidP="0016239D">
            <w:pPr>
              <w:spacing w:beforeLines="20" w:before="48" w:afterLines="20" w:after="48" w:line="240" w:lineRule="auto"/>
              <w:rPr>
                <w:sz w:val="18"/>
                <w:szCs w:val="18"/>
              </w:rPr>
            </w:pPr>
            <w:r w:rsidRPr="002C21B8">
              <w:rPr>
                <w:sz w:val="18"/>
                <w:szCs w:val="18"/>
              </w:rPr>
              <w:t xml:space="preserve">Journal </w:t>
            </w:r>
            <w:r w:rsidR="00760485" w:rsidRPr="002C21B8">
              <w:rPr>
                <w:sz w:val="18"/>
                <w:szCs w:val="18"/>
              </w:rPr>
              <w:t>a</w:t>
            </w:r>
            <w:r w:rsidRPr="002C21B8">
              <w:rPr>
                <w:sz w:val="18"/>
                <w:szCs w:val="18"/>
              </w:rPr>
              <w:t>rticle</w:t>
            </w:r>
            <w:r w:rsidR="006302EE" w:rsidRPr="002C21B8">
              <w:rPr>
                <w:sz w:val="18"/>
                <w:szCs w:val="18"/>
              </w:rPr>
              <w:t xml:space="preserve"> 3</w:t>
            </w:r>
          </w:p>
          <w:p w14:paraId="740B9B4D" w14:textId="6AB0546C" w:rsidR="00FA366A" w:rsidRPr="002C21B8" w:rsidRDefault="00FA366A" w:rsidP="0016239D">
            <w:pPr>
              <w:spacing w:beforeLines="20" w:before="48" w:afterLines="20" w:after="48" w:line="240" w:lineRule="auto"/>
              <w:rPr>
                <w:sz w:val="18"/>
                <w:szCs w:val="18"/>
              </w:rPr>
            </w:pPr>
            <w:r w:rsidRPr="002C21B8">
              <w:rPr>
                <w:sz w:val="18"/>
                <w:szCs w:val="18"/>
              </w:rPr>
              <w:t>Multiple case study</w:t>
            </w:r>
            <w:r w:rsidR="005E7031" w:rsidRPr="002C21B8">
              <w:rPr>
                <w:sz w:val="18"/>
                <w:szCs w:val="18"/>
              </w:rPr>
              <w:t xml:space="preserve"> (</w:t>
            </w:r>
            <w:r w:rsidR="008A06D6" w:rsidRPr="002C21B8">
              <w:rPr>
                <w:sz w:val="18"/>
                <w:szCs w:val="18"/>
              </w:rPr>
              <w:t>Chapter 6</w:t>
            </w:r>
            <w:r w:rsidR="005E7031" w:rsidRPr="002C21B8">
              <w:rPr>
                <w:sz w:val="18"/>
                <w:szCs w:val="18"/>
              </w:rPr>
              <w:t>)</w:t>
            </w:r>
          </w:p>
          <w:p w14:paraId="6B2223CD" w14:textId="67F103D0" w:rsidR="00FA366A" w:rsidRPr="002C21B8" w:rsidRDefault="008A06D6" w:rsidP="0016239D">
            <w:pPr>
              <w:spacing w:beforeLines="20" w:before="48" w:afterLines="20" w:after="48" w:line="240" w:lineRule="auto"/>
              <w:rPr>
                <w:sz w:val="18"/>
                <w:szCs w:val="18"/>
              </w:rPr>
            </w:pPr>
            <w:r w:rsidRPr="002C21B8">
              <w:rPr>
                <w:sz w:val="18"/>
                <w:szCs w:val="18"/>
              </w:rPr>
              <w:t>Submitted</w:t>
            </w:r>
          </w:p>
        </w:tc>
        <w:tc>
          <w:tcPr>
            <w:tcW w:w="1578" w:type="dxa"/>
            <w:shd w:val="clear" w:color="auto" w:fill="auto"/>
            <w:vAlign w:val="center"/>
          </w:tcPr>
          <w:p w14:paraId="17C44D10" w14:textId="4EA6CA30" w:rsidR="00FA366A" w:rsidRPr="002C21B8" w:rsidRDefault="00FA366A" w:rsidP="00CF6A56">
            <w:pPr>
              <w:spacing w:beforeLines="20" w:before="48" w:afterLines="20" w:after="48" w:line="240" w:lineRule="auto"/>
              <w:jc w:val="center"/>
              <w:rPr>
                <w:sz w:val="18"/>
                <w:szCs w:val="18"/>
              </w:rPr>
            </w:pPr>
            <w:r w:rsidRPr="002C21B8">
              <w:rPr>
                <w:sz w:val="18"/>
                <w:szCs w:val="18"/>
              </w:rPr>
              <w:t>MG, AO</w:t>
            </w:r>
            <w:r w:rsidR="005E7031" w:rsidRPr="002C21B8">
              <w:rPr>
                <w:sz w:val="18"/>
                <w:szCs w:val="18"/>
              </w:rPr>
              <w:t>C, JF</w:t>
            </w:r>
          </w:p>
        </w:tc>
        <w:tc>
          <w:tcPr>
            <w:tcW w:w="1578" w:type="dxa"/>
            <w:shd w:val="clear" w:color="auto" w:fill="auto"/>
            <w:vAlign w:val="center"/>
          </w:tcPr>
          <w:p w14:paraId="60CD0D57"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3585BB17"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9" w:type="dxa"/>
            <w:shd w:val="clear" w:color="auto" w:fill="auto"/>
            <w:vAlign w:val="center"/>
          </w:tcPr>
          <w:p w14:paraId="66673E31"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21C9B9AA"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52E47CC2" w14:textId="1FEA431F" w:rsidR="00FA366A" w:rsidRPr="002C21B8" w:rsidRDefault="00FA366A" w:rsidP="00CF6A56">
            <w:pPr>
              <w:spacing w:beforeLines="20" w:before="48" w:afterLines="20" w:after="48" w:line="240" w:lineRule="auto"/>
              <w:jc w:val="center"/>
              <w:rPr>
                <w:sz w:val="18"/>
                <w:szCs w:val="18"/>
              </w:rPr>
            </w:pPr>
            <w:r w:rsidRPr="002C21B8">
              <w:rPr>
                <w:sz w:val="18"/>
                <w:szCs w:val="18"/>
              </w:rPr>
              <w:t xml:space="preserve">MG, AOC, </w:t>
            </w:r>
            <w:r w:rsidR="005E7031" w:rsidRPr="002C21B8">
              <w:rPr>
                <w:sz w:val="18"/>
                <w:szCs w:val="18"/>
              </w:rPr>
              <w:t xml:space="preserve">JF, </w:t>
            </w:r>
            <w:r w:rsidRPr="002C21B8">
              <w:rPr>
                <w:sz w:val="18"/>
                <w:szCs w:val="18"/>
              </w:rPr>
              <w:t>AC</w:t>
            </w:r>
            <w:r w:rsidR="00CF6A56" w:rsidRPr="002C21B8">
              <w:rPr>
                <w:sz w:val="18"/>
                <w:szCs w:val="18"/>
              </w:rPr>
              <w:t>M</w:t>
            </w:r>
            <w:r w:rsidRPr="002C21B8">
              <w:rPr>
                <w:sz w:val="18"/>
                <w:szCs w:val="18"/>
              </w:rPr>
              <w:t>O</w:t>
            </w:r>
          </w:p>
        </w:tc>
        <w:tc>
          <w:tcPr>
            <w:tcW w:w="1579" w:type="dxa"/>
            <w:shd w:val="clear" w:color="auto" w:fill="auto"/>
            <w:vAlign w:val="center"/>
          </w:tcPr>
          <w:p w14:paraId="2292FBB1" w14:textId="3EDEC8EF" w:rsidR="00FA366A" w:rsidRPr="002C21B8" w:rsidRDefault="00FA366A" w:rsidP="00CF6A56">
            <w:pPr>
              <w:spacing w:beforeLines="20" w:before="48" w:afterLines="20" w:after="48" w:line="240" w:lineRule="auto"/>
              <w:jc w:val="center"/>
              <w:rPr>
                <w:sz w:val="18"/>
                <w:szCs w:val="18"/>
              </w:rPr>
            </w:pPr>
            <w:r w:rsidRPr="002C21B8">
              <w:rPr>
                <w:sz w:val="18"/>
                <w:szCs w:val="18"/>
              </w:rPr>
              <w:t>AOC</w:t>
            </w:r>
            <w:r w:rsidR="005E7031" w:rsidRPr="002C21B8">
              <w:rPr>
                <w:sz w:val="18"/>
                <w:szCs w:val="18"/>
              </w:rPr>
              <w:t>, JF</w:t>
            </w:r>
          </w:p>
        </w:tc>
      </w:tr>
      <w:tr w:rsidR="00FA366A" w:rsidRPr="002C21B8" w14:paraId="2DADB2EC" w14:textId="77777777" w:rsidTr="00CF6A56">
        <w:tc>
          <w:tcPr>
            <w:tcW w:w="3397" w:type="dxa"/>
            <w:shd w:val="clear" w:color="auto" w:fill="auto"/>
          </w:tcPr>
          <w:p w14:paraId="40700FC7" w14:textId="1285EB8C" w:rsidR="006302EE" w:rsidRPr="002C21B8" w:rsidRDefault="00100573" w:rsidP="0016239D">
            <w:pPr>
              <w:spacing w:beforeLines="20" w:before="48" w:afterLines="20" w:after="48" w:line="240" w:lineRule="auto"/>
              <w:rPr>
                <w:sz w:val="18"/>
                <w:szCs w:val="18"/>
              </w:rPr>
            </w:pPr>
            <w:r w:rsidRPr="002C21B8">
              <w:rPr>
                <w:sz w:val="18"/>
                <w:szCs w:val="18"/>
              </w:rPr>
              <w:t xml:space="preserve">Journal </w:t>
            </w:r>
            <w:r w:rsidR="00760485" w:rsidRPr="002C21B8">
              <w:rPr>
                <w:sz w:val="18"/>
                <w:szCs w:val="18"/>
              </w:rPr>
              <w:t>a</w:t>
            </w:r>
            <w:r w:rsidRPr="002C21B8">
              <w:rPr>
                <w:sz w:val="18"/>
                <w:szCs w:val="18"/>
              </w:rPr>
              <w:t>rticle</w:t>
            </w:r>
            <w:r w:rsidR="006302EE" w:rsidRPr="002C21B8">
              <w:rPr>
                <w:sz w:val="18"/>
                <w:szCs w:val="18"/>
              </w:rPr>
              <w:t xml:space="preserve"> 4</w:t>
            </w:r>
          </w:p>
          <w:p w14:paraId="385CEE8D" w14:textId="6F78B5DD" w:rsidR="00FA366A" w:rsidRPr="002C21B8" w:rsidRDefault="006302EE" w:rsidP="0016239D">
            <w:pPr>
              <w:spacing w:beforeLines="20" w:before="48" w:afterLines="20" w:after="48" w:line="240" w:lineRule="auto"/>
              <w:rPr>
                <w:sz w:val="18"/>
                <w:szCs w:val="18"/>
              </w:rPr>
            </w:pPr>
            <w:r w:rsidRPr="002C21B8">
              <w:rPr>
                <w:sz w:val="18"/>
                <w:szCs w:val="18"/>
              </w:rPr>
              <w:t>Multiple case study</w:t>
            </w:r>
            <w:r w:rsidR="008A06D6" w:rsidRPr="002C21B8">
              <w:rPr>
                <w:sz w:val="18"/>
                <w:szCs w:val="18"/>
              </w:rPr>
              <w:t xml:space="preserve"> (Chapter 7)</w:t>
            </w:r>
          </w:p>
          <w:p w14:paraId="711F7B6E" w14:textId="08385C79" w:rsidR="00FA366A" w:rsidRPr="002C21B8" w:rsidRDefault="005E7031" w:rsidP="0016239D">
            <w:pPr>
              <w:spacing w:beforeLines="20" w:before="48" w:afterLines="20" w:after="48" w:line="240" w:lineRule="auto"/>
              <w:rPr>
                <w:sz w:val="18"/>
                <w:szCs w:val="18"/>
              </w:rPr>
            </w:pPr>
            <w:r w:rsidRPr="002C21B8">
              <w:rPr>
                <w:sz w:val="18"/>
                <w:szCs w:val="18"/>
              </w:rPr>
              <w:t>Awaiting publication</w:t>
            </w:r>
          </w:p>
        </w:tc>
        <w:tc>
          <w:tcPr>
            <w:tcW w:w="1578" w:type="dxa"/>
            <w:shd w:val="clear" w:color="auto" w:fill="auto"/>
            <w:vAlign w:val="center"/>
          </w:tcPr>
          <w:p w14:paraId="5FCF16C8" w14:textId="4C68496A" w:rsidR="00FA366A" w:rsidRPr="002C21B8" w:rsidRDefault="00FA366A" w:rsidP="00CF6A56">
            <w:pPr>
              <w:spacing w:beforeLines="20" w:before="48" w:afterLines="20" w:after="48" w:line="240" w:lineRule="auto"/>
              <w:jc w:val="center"/>
              <w:rPr>
                <w:sz w:val="18"/>
                <w:szCs w:val="18"/>
              </w:rPr>
            </w:pPr>
            <w:r w:rsidRPr="002C21B8">
              <w:rPr>
                <w:sz w:val="18"/>
                <w:szCs w:val="18"/>
              </w:rPr>
              <w:t xml:space="preserve">MG, </w:t>
            </w:r>
            <w:r w:rsidR="005E7031" w:rsidRPr="002C21B8">
              <w:rPr>
                <w:sz w:val="18"/>
                <w:szCs w:val="18"/>
              </w:rPr>
              <w:t>AOC, JF</w:t>
            </w:r>
          </w:p>
        </w:tc>
        <w:tc>
          <w:tcPr>
            <w:tcW w:w="1578" w:type="dxa"/>
            <w:shd w:val="clear" w:color="auto" w:fill="auto"/>
            <w:vAlign w:val="center"/>
          </w:tcPr>
          <w:p w14:paraId="26A9DF2F"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5DE3D076"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9" w:type="dxa"/>
            <w:shd w:val="clear" w:color="auto" w:fill="auto"/>
            <w:vAlign w:val="center"/>
          </w:tcPr>
          <w:p w14:paraId="07C1162A" w14:textId="32E4AE26"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157BEDD3" w14:textId="77777777" w:rsidR="00FA366A" w:rsidRPr="002C21B8" w:rsidRDefault="00FA366A"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4E5F83B4" w14:textId="6B6F17A0" w:rsidR="00FA366A" w:rsidRPr="002C21B8" w:rsidRDefault="00FA366A" w:rsidP="00CF6A56">
            <w:pPr>
              <w:spacing w:beforeLines="20" w:before="48" w:afterLines="20" w:after="48" w:line="240" w:lineRule="auto"/>
              <w:jc w:val="center"/>
              <w:rPr>
                <w:sz w:val="18"/>
                <w:szCs w:val="18"/>
              </w:rPr>
            </w:pPr>
            <w:r w:rsidRPr="002C21B8">
              <w:rPr>
                <w:sz w:val="18"/>
                <w:szCs w:val="18"/>
              </w:rPr>
              <w:t xml:space="preserve">MG, </w:t>
            </w:r>
            <w:r w:rsidR="005E7031" w:rsidRPr="002C21B8">
              <w:rPr>
                <w:sz w:val="18"/>
                <w:szCs w:val="18"/>
              </w:rPr>
              <w:t xml:space="preserve">AOC, </w:t>
            </w:r>
            <w:r w:rsidRPr="002C21B8">
              <w:rPr>
                <w:sz w:val="18"/>
                <w:szCs w:val="18"/>
              </w:rPr>
              <w:t>JF, AC</w:t>
            </w:r>
            <w:r w:rsidR="00CF6A56" w:rsidRPr="002C21B8">
              <w:rPr>
                <w:sz w:val="18"/>
                <w:szCs w:val="18"/>
              </w:rPr>
              <w:t>M</w:t>
            </w:r>
            <w:r w:rsidRPr="002C21B8">
              <w:rPr>
                <w:sz w:val="18"/>
                <w:szCs w:val="18"/>
              </w:rPr>
              <w:t>O</w:t>
            </w:r>
          </w:p>
        </w:tc>
        <w:tc>
          <w:tcPr>
            <w:tcW w:w="1579" w:type="dxa"/>
            <w:shd w:val="clear" w:color="auto" w:fill="auto"/>
            <w:vAlign w:val="center"/>
          </w:tcPr>
          <w:p w14:paraId="414C783E" w14:textId="0A7365B1" w:rsidR="00FA366A" w:rsidRPr="002C21B8" w:rsidRDefault="00FA366A" w:rsidP="00CF6A56">
            <w:pPr>
              <w:spacing w:beforeLines="20" w:before="48" w:afterLines="20" w:after="48" w:line="240" w:lineRule="auto"/>
              <w:jc w:val="center"/>
              <w:rPr>
                <w:sz w:val="18"/>
                <w:szCs w:val="18"/>
              </w:rPr>
            </w:pPr>
            <w:r w:rsidRPr="002C21B8">
              <w:rPr>
                <w:sz w:val="18"/>
                <w:szCs w:val="18"/>
              </w:rPr>
              <w:t>AOC</w:t>
            </w:r>
            <w:r w:rsidR="005E7031" w:rsidRPr="002C21B8">
              <w:rPr>
                <w:sz w:val="18"/>
                <w:szCs w:val="18"/>
              </w:rPr>
              <w:t>, JF</w:t>
            </w:r>
          </w:p>
        </w:tc>
      </w:tr>
      <w:tr w:rsidR="005E7031" w:rsidRPr="002C21B8" w14:paraId="3A83A121" w14:textId="77777777" w:rsidTr="00D455EE">
        <w:trPr>
          <w:trHeight w:val="850"/>
        </w:trPr>
        <w:tc>
          <w:tcPr>
            <w:tcW w:w="3397" w:type="dxa"/>
            <w:shd w:val="clear" w:color="auto" w:fill="auto"/>
            <w:vAlign w:val="center"/>
          </w:tcPr>
          <w:p w14:paraId="7068A429" w14:textId="42DBA1E4" w:rsidR="005E7031" w:rsidRPr="002C21B8" w:rsidRDefault="00FC190F" w:rsidP="00D455EE">
            <w:pPr>
              <w:spacing w:beforeLines="20" w:before="48" w:afterLines="20" w:after="48" w:line="240" w:lineRule="auto"/>
              <w:jc w:val="left"/>
              <w:rPr>
                <w:sz w:val="18"/>
                <w:szCs w:val="18"/>
              </w:rPr>
            </w:pPr>
            <w:r w:rsidRPr="002C21B8">
              <w:rPr>
                <w:sz w:val="18"/>
                <w:szCs w:val="18"/>
              </w:rPr>
              <w:t>Survey of clinical practice</w:t>
            </w:r>
            <w:r w:rsidR="008A06D6" w:rsidRPr="002C21B8">
              <w:rPr>
                <w:sz w:val="18"/>
                <w:szCs w:val="18"/>
              </w:rPr>
              <w:t xml:space="preserve"> (Chapter 8)</w:t>
            </w:r>
          </w:p>
          <w:p w14:paraId="24364E7E" w14:textId="7C528C57" w:rsidR="005E7031" w:rsidRPr="002C21B8" w:rsidRDefault="005E7031" w:rsidP="00D455EE">
            <w:pPr>
              <w:spacing w:beforeLines="20" w:before="48" w:afterLines="20" w:after="48" w:line="240" w:lineRule="auto"/>
              <w:jc w:val="left"/>
              <w:rPr>
                <w:sz w:val="18"/>
                <w:szCs w:val="18"/>
              </w:rPr>
            </w:pPr>
            <w:r w:rsidRPr="002C21B8">
              <w:rPr>
                <w:sz w:val="18"/>
                <w:szCs w:val="18"/>
              </w:rPr>
              <w:t>Awaiting publication</w:t>
            </w:r>
          </w:p>
        </w:tc>
        <w:tc>
          <w:tcPr>
            <w:tcW w:w="1578" w:type="dxa"/>
            <w:shd w:val="clear" w:color="auto" w:fill="auto"/>
            <w:vAlign w:val="center"/>
          </w:tcPr>
          <w:p w14:paraId="526E0B05" w14:textId="26218469" w:rsidR="005E7031" w:rsidRPr="002C21B8" w:rsidRDefault="005E7031" w:rsidP="00CF6A56">
            <w:pPr>
              <w:spacing w:beforeLines="20" w:before="48" w:afterLines="20" w:after="48" w:line="240" w:lineRule="auto"/>
              <w:jc w:val="center"/>
              <w:rPr>
                <w:sz w:val="18"/>
                <w:szCs w:val="18"/>
              </w:rPr>
            </w:pPr>
            <w:r w:rsidRPr="002C21B8">
              <w:rPr>
                <w:sz w:val="18"/>
                <w:szCs w:val="18"/>
              </w:rPr>
              <w:t>MG, AOC, JF, AC</w:t>
            </w:r>
            <w:r w:rsidR="00F86001" w:rsidRPr="002C21B8">
              <w:rPr>
                <w:sz w:val="18"/>
                <w:szCs w:val="18"/>
              </w:rPr>
              <w:t>M</w:t>
            </w:r>
            <w:r w:rsidRPr="002C21B8">
              <w:rPr>
                <w:sz w:val="18"/>
                <w:szCs w:val="18"/>
              </w:rPr>
              <w:t>O</w:t>
            </w:r>
          </w:p>
        </w:tc>
        <w:tc>
          <w:tcPr>
            <w:tcW w:w="1578" w:type="dxa"/>
            <w:shd w:val="clear" w:color="auto" w:fill="auto"/>
            <w:vAlign w:val="center"/>
          </w:tcPr>
          <w:p w14:paraId="62A99116" w14:textId="77777777" w:rsidR="005E7031" w:rsidRPr="002C21B8" w:rsidRDefault="005E7031"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1E2FE3C4" w14:textId="77777777" w:rsidR="005E7031" w:rsidRPr="002C21B8" w:rsidRDefault="005E7031" w:rsidP="00CF6A56">
            <w:pPr>
              <w:spacing w:beforeLines="20" w:before="48" w:afterLines="20" w:after="48" w:line="240" w:lineRule="auto"/>
              <w:jc w:val="center"/>
              <w:rPr>
                <w:sz w:val="18"/>
                <w:szCs w:val="18"/>
              </w:rPr>
            </w:pPr>
            <w:r w:rsidRPr="002C21B8">
              <w:rPr>
                <w:sz w:val="18"/>
                <w:szCs w:val="18"/>
              </w:rPr>
              <w:t>MG</w:t>
            </w:r>
          </w:p>
        </w:tc>
        <w:tc>
          <w:tcPr>
            <w:tcW w:w="1579" w:type="dxa"/>
            <w:shd w:val="clear" w:color="auto" w:fill="auto"/>
            <w:vAlign w:val="center"/>
          </w:tcPr>
          <w:p w14:paraId="2E41A9D3" w14:textId="77777777" w:rsidR="005E7031" w:rsidRPr="002C21B8" w:rsidRDefault="005E7031"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281CD267" w14:textId="77777777" w:rsidR="005E7031" w:rsidRPr="002C21B8" w:rsidRDefault="005E7031" w:rsidP="00CF6A56">
            <w:pPr>
              <w:spacing w:beforeLines="20" w:before="48" w:afterLines="20" w:after="48" w:line="240" w:lineRule="auto"/>
              <w:jc w:val="center"/>
              <w:rPr>
                <w:sz w:val="18"/>
                <w:szCs w:val="18"/>
              </w:rPr>
            </w:pPr>
            <w:r w:rsidRPr="002C21B8">
              <w:rPr>
                <w:sz w:val="18"/>
                <w:szCs w:val="18"/>
              </w:rPr>
              <w:t>MG</w:t>
            </w:r>
          </w:p>
        </w:tc>
        <w:tc>
          <w:tcPr>
            <w:tcW w:w="1578" w:type="dxa"/>
            <w:shd w:val="clear" w:color="auto" w:fill="auto"/>
            <w:vAlign w:val="center"/>
          </w:tcPr>
          <w:p w14:paraId="74C08F95" w14:textId="21F2673B" w:rsidR="005E7031" w:rsidRPr="002C21B8" w:rsidRDefault="005E7031" w:rsidP="00CF6A56">
            <w:pPr>
              <w:spacing w:beforeLines="20" w:before="48" w:afterLines="20" w:after="48" w:line="240" w:lineRule="auto"/>
              <w:jc w:val="center"/>
              <w:rPr>
                <w:sz w:val="18"/>
                <w:szCs w:val="18"/>
              </w:rPr>
            </w:pPr>
            <w:r w:rsidRPr="002C21B8">
              <w:rPr>
                <w:sz w:val="18"/>
                <w:szCs w:val="18"/>
              </w:rPr>
              <w:t>MG, JF, AOC, AC</w:t>
            </w:r>
            <w:r w:rsidR="00CF6A56" w:rsidRPr="002C21B8">
              <w:rPr>
                <w:sz w:val="18"/>
                <w:szCs w:val="18"/>
              </w:rPr>
              <w:t>M</w:t>
            </w:r>
            <w:r w:rsidRPr="002C21B8">
              <w:rPr>
                <w:sz w:val="18"/>
                <w:szCs w:val="18"/>
              </w:rPr>
              <w:t>O</w:t>
            </w:r>
          </w:p>
        </w:tc>
        <w:tc>
          <w:tcPr>
            <w:tcW w:w="1579" w:type="dxa"/>
            <w:shd w:val="clear" w:color="auto" w:fill="auto"/>
            <w:vAlign w:val="center"/>
          </w:tcPr>
          <w:p w14:paraId="1A5142FD" w14:textId="77777777" w:rsidR="005E7031" w:rsidRPr="002C21B8" w:rsidRDefault="005E7031" w:rsidP="00CF6A56">
            <w:pPr>
              <w:spacing w:beforeLines="20" w:before="48" w:afterLines="20" w:after="48" w:line="240" w:lineRule="auto"/>
              <w:jc w:val="center"/>
              <w:rPr>
                <w:sz w:val="18"/>
                <w:szCs w:val="18"/>
              </w:rPr>
            </w:pPr>
            <w:r w:rsidRPr="002C21B8">
              <w:rPr>
                <w:sz w:val="18"/>
                <w:szCs w:val="18"/>
              </w:rPr>
              <w:t>JF, AOC</w:t>
            </w:r>
          </w:p>
        </w:tc>
      </w:tr>
    </w:tbl>
    <w:p w14:paraId="7BB5DDC0" w14:textId="77777777" w:rsidR="00FA366A" w:rsidRPr="002C21B8" w:rsidRDefault="00FA366A" w:rsidP="0016239D">
      <w:pPr>
        <w:spacing w:line="240" w:lineRule="auto"/>
        <w:rPr>
          <w:sz w:val="18"/>
          <w:szCs w:val="18"/>
        </w:rPr>
      </w:pPr>
    </w:p>
    <w:p w14:paraId="738D6C5A" w14:textId="28A746DA" w:rsidR="005E7031" w:rsidRPr="002C21B8" w:rsidRDefault="005E7031" w:rsidP="003374F4">
      <w:pPr>
        <w:rPr>
          <w:sz w:val="20"/>
          <w:szCs w:val="20"/>
        </w:rPr>
      </w:pPr>
      <w:r w:rsidRPr="002C21B8">
        <w:rPr>
          <w:sz w:val="20"/>
          <w:szCs w:val="20"/>
        </w:rPr>
        <w:t>Authors are listed in order of contribution for each task</w:t>
      </w:r>
      <w:r w:rsidR="00D34BE7" w:rsidRPr="002C21B8">
        <w:rPr>
          <w:sz w:val="20"/>
          <w:szCs w:val="20"/>
        </w:rPr>
        <w:t>.</w:t>
      </w:r>
    </w:p>
    <w:p w14:paraId="0B08FCAC" w14:textId="554BDBE0" w:rsidR="00FA366A" w:rsidRPr="002C21B8" w:rsidRDefault="00FA366A" w:rsidP="003374F4">
      <w:pPr>
        <w:rPr>
          <w:sz w:val="20"/>
          <w:szCs w:val="20"/>
        </w:rPr>
        <w:sectPr w:rsidR="00FA366A" w:rsidRPr="002C21B8" w:rsidSect="0009672F">
          <w:headerReference w:type="default" r:id="rId149"/>
          <w:type w:val="continuous"/>
          <w:pgSz w:w="16838" w:h="11906" w:orient="landscape"/>
          <w:pgMar w:top="1440" w:right="1440" w:bottom="1440" w:left="1440" w:header="708" w:footer="708" w:gutter="0"/>
          <w:cols w:space="708"/>
          <w:docGrid w:linePitch="360"/>
        </w:sectPr>
      </w:pPr>
      <w:r w:rsidRPr="002C21B8">
        <w:rPr>
          <w:sz w:val="20"/>
          <w:szCs w:val="20"/>
        </w:rPr>
        <w:t>MG – Matthew Gittus</w:t>
      </w:r>
      <w:r w:rsidR="005D5AA3" w:rsidRPr="002C21B8">
        <w:rPr>
          <w:sz w:val="20"/>
          <w:szCs w:val="20"/>
        </w:rPr>
        <w:t>,</w:t>
      </w:r>
      <w:r w:rsidRPr="002C21B8">
        <w:rPr>
          <w:sz w:val="20"/>
          <w:szCs w:val="20"/>
        </w:rPr>
        <w:t xml:space="preserve"> JF – James Fotheringham</w:t>
      </w:r>
      <w:r w:rsidR="005D5AA3" w:rsidRPr="002C21B8">
        <w:rPr>
          <w:sz w:val="20"/>
          <w:szCs w:val="20"/>
        </w:rPr>
        <w:t>,</w:t>
      </w:r>
      <w:r w:rsidRPr="002C21B8">
        <w:rPr>
          <w:sz w:val="20"/>
          <w:szCs w:val="20"/>
        </w:rPr>
        <w:t xml:space="preserve"> AOC – Alicia O’Cathain</w:t>
      </w:r>
      <w:r w:rsidR="005D5AA3" w:rsidRPr="002C21B8">
        <w:rPr>
          <w:sz w:val="20"/>
          <w:szCs w:val="20"/>
        </w:rPr>
        <w:t xml:space="preserve">, </w:t>
      </w:r>
      <w:r w:rsidRPr="002C21B8">
        <w:rPr>
          <w:sz w:val="20"/>
          <w:szCs w:val="20"/>
        </w:rPr>
        <w:t>AC</w:t>
      </w:r>
      <w:r w:rsidR="00F86001" w:rsidRPr="002C21B8">
        <w:rPr>
          <w:sz w:val="20"/>
          <w:szCs w:val="20"/>
        </w:rPr>
        <w:t>M</w:t>
      </w:r>
      <w:r w:rsidRPr="002C21B8">
        <w:rPr>
          <w:sz w:val="20"/>
          <w:szCs w:val="20"/>
        </w:rPr>
        <w:t xml:space="preserve">O – Albert C </w:t>
      </w:r>
      <w:r w:rsidR="005D5AA3" w:rsidRPr="002C21B8">
        <w:rPr>
          <w:sz w:val="20"/>
          <w:szCs w:val="20"/>
        </w:rPr>
        <w:t xml:space="preserve">M </w:t>
      </w:r>
      <w:r w:rsidRPr="002C21B8">
        <w:rPr>
          <w:sz w:val="20"/>
          <w:szCs w:val="20"/>
        </w:rPr>
        <w:t>Ong</w:t>
      </w:r>
      <w:r w:rsidR="005D5AA3" w:rsidRPr="002C21B8">
        <w:rPr>
          <w:sz w:val="20"/>
          <w:szCs w:val="20"/>
        </w:rPr>
        <w:t>,</w:t>
      </w:r>
      <w:r w:rsidRPr="002C21B8">
        <w:rPr>
          <w:sz w:val="20"/>
          <w:szCs w:val="20"/>
        </w:rPr>
        <w:t xml:space="preserve"> DP – David </w:t>
      </w:r>
      <w:r w:rsidR="00405C98" w:rsidRPr="002C21B8">
        <w:rPr>
          <w:sz w:val="20"/>
          <w:szCs w:val="20"/>
        </w:rPr>
        <w:t>Pitcher</w:t>
      </w:r>
      <w:r w:rsidR="005D5AA3" w:rsidRPr="002C21B8">
        <w:rPr>
          <w:sz w:val="20"/>
          <w:szCs w:val="20"/>
        </w:rPr>
        <w:t>,</w:t>
      </w:r>
      <w:r w:rsidRPr="002C21B8">
        <w:rPr>
          <w:sz w:val="20"/>
          <w:szCs w:val="20"/>
        </w:rPr>
        <w:t xml:space="preserve"> AO – Anja Oklop</w:t>
      </w:r>
      <w:r w:rsidR="005D5AA3" w:rsidRPr="002C21B8">
        <w:rPr>
          <w:sz w:val="20"/>
          <w:szCs w:val="20"/>
        </w:rPr>
        <w:t>cic,</w:t>
      </w:r>
      <w:r w:rsidRPr="002C21B8">
        <w:rPr>
          <w:sz w:val="20"/>
          <w:szCs w:val="20"/>
        </w:rPr>
        <w:t xml:space="preserve"> KM – Katherine Miller</w:t>
      </w:r>
      <w:r w:rsidR="005D5AA3" w:rsidRPr="002C21B8">
        <w:rPr>
          <w:sz w:val="20"/>
          <w:szCs w:val="20"/>
        </w:rPr>
        <w:t>,</w:t>
      </w:r>
      <w:r w:rsidRPr="002C21B8">
        <w:rPr>
          <w:sz w:val="20"/>
          <w:szCs w:val="20"/>
        </w:rPr>
        <w:t xml:space="preserve"> </w:t>
      </w:r>
      <w:r w:rsidR="005D5AA3" w:rsidRPr="002C21B8">
        <w:rPr>
          <w:sz w:val="20"/>
          <w:szCs w:val="20"/>
        </w:rPr>
        <w:t xml:space="preserve">                               </w:t>
      </w:r>
      <w:r w:rsidRPr="002C21B8">
        <w:rPr>
          <w:sz w:val="20"/>
          <w:szCs w:val="20"/>
        </w:rPr>
        <w:t>AS – Anthea Sutton</w:t>
      </w:r>
      <w:r w:rsidR="005D5AA3" w:rsidRPr="002C21B8">
        <w:rPr>
          <w:sz w:val="20"/>
          <w:szCs w:val="20"/>
        </w:rPr>
        <w:t>,</w:t>
      </w:r>
      <w:r w:rsidRPr="002C21B8">
        <w:rPr>
          <w:sz w:val="20"/>
          <w:szCs w:val="20"/>
        </w:rPr>
        <w:t xml:space="preserve"> RS – Ro</w:t>
      </w:r>
      <w:r w:rsidR="00142CCA" w:rsidRPr="002C21B8">
        <w:rPr>
          <w:sz w:val="20"/>
          <w:szCs w:val="20"/>
        </w:rPr>
        <w:t>s</w:t>
      </w:r>
      <w:r w:rsidRPr="002C21B8">
        <w:rPr>
          <w:sz w:val="20"/>
          <w:szCs w:val="20"/>
        </w:rPr>
        <w:t>lyn Simms</w:t>
      </w:r>
    </w:p>
    <w:p w14:paraId="00ED6101" w14:textId="63DD8381" w:rsidR="00FA366A" w:rsidRPr="002C21B8" w:rsidRDefault="00FA366A" w:rsidP="003374F4">
      <w:pPr>
        <w:rPr>
          <w:b/>
          <w:bCs/>
          <w:sz w:val="28"/>
          <w:szCs w:val="28"/>
        </w:rPr>
      </w:pPr>
      <w:r w:rsidRPr="002C21B8">
        <w:rPr>
          <w:b/>
          <w:bCs/>
          <w:sz w:val="28"/>
          <w:szCs w:val="28"/>
        </w:rPr>
        <w:t xml:space="preserve">Chapter </w:t>
      </w:r>
      <w:r w:rsidR="00866D3D" w:rsidRPr="002C21B8">
        <w:rPr>
          <w:b/>
          <w:bCs/>
          <w:sz w:val="28"/>
          <w:szCs w:val="28"/>
        </w:rPr>
        <w:t>4</w:t>
      </w:r>
    </w:p>
    <w:p w14:paraId="2DAF1EC8" w14:textId="3E7716C8" w:rsidR="00FA366A" w:rsidRPr="002C21B8" w:rsidRDefault="00FA366A" w:rsidP="003374F4">
      <w:r w:rsidRPr="002C21B8">
        <w:rPr>
          <w:shd w:val="clear" w:color="auto" w:fill="FFFFFF"/>
        </w:rPr>
        <w:t>Gittus</w:t>
      </w:r>
      <w:r w:rsidR="00902D3F" w:rsidRPr="002C21B8">
        <w:rPr>
          <w:shd w:val="clear" w:color="auto" w:fill="FFFFFF"/>
        </w:rPr>
        <w:t>,</w:t>
      </w:r>
      <w:r w:rsidRPr="002C21B8">
        <w:rPr>
          <w:shd w:val="clear" w:color="auto" w:fill="FFFFFF"/>
        </w:rPr>
        <w:t xml:space="preserve"> M</w:t>
      </w:r>
      <w:r w:rsidR="00902D3F" w:rsidRPr="002C21B8">
        <w:rPr>
          <w:shd w:val="clear" w:color="auto" w:fill="FFFFFF"/>
        </w:rPr>
        <w:t>.</w:t>
      </w:r>
      <w:r w:rsidRPr="002C21B8">
        <w:rPr>
          <w:shd w:val="clear" w:color="auto" w:fill="FFFFFF"/>
        </w:rPr>
        <w:t>, O'Cathain</w:t>
      </w:r>
      <w:r w:rsidR="00902D3F" w:rsidRPr="002C21B8">
        <w:rPr>
          <w:shd w:val="clear" w:color="auto" w:fill="FFFFFF"/>
        </w:rPr>
        <w:t>,</w:t>
      </w:r>
      <w:r w:rsidRPr="002C21B8">
        <w:rPr>
          <w:shd w:val="clear" w:color="auto" w:fill="FFFFFF"/>
        </w:rPr>
        <w:t xml:space="preserve"> A</w:t>
      </w:r>
      <w:r w:rsidR="00902D3F" w:rsidRPr="002C21B8">
        <w:rPr>
          <w:shd w:val="clear" w:color="auto" w:fill="FFFFFF"/>
        </w:rPr>
        <w:t>.</w:t>
      </w:r>
      <w:r w:rsidRPr="002C21B8">
        <w:rPr>
          <w:shd w:val="clear" w:color="auto" w:fill="FFFFFF"/>
        </w:rPr>
        <w:t>, Miller</w:t>
      </w:r>
      <w:r w:rsidR="00902D3F" w:rsidRPr="002C21B8">
        <w:rPr>
          <w:shd w:val="clear" w:color="auto" w:fill="FFFFFF"/>
        </w:rPr>
        <w:t>,</w:t>
      </w:r>
      <w:r w:rsidRPr="002C21B8">
        <w:rPr>
          <w:shd w:val="clear" w:color="auto" w:fill="FFFFFF"/>
        </w:rPr>
        <w:t xml:space="preserve"> K</w:t>
      </w:r>
      <w:r w:rsidR="00902D3F" w:rsidRPr="002C21B8">
        <w:rPr>
          <w:shd w:val="clear" w:color="auto" w:fill="FFFFFF"/>
        </w:rPr>
        <w:t>.</w:t>
      </w:r>
      <w:r w:rsidRPr="002C21B8">
        <w:rPr>
          <w:shd w:val="clear" w:color="auto" w:fill="FFFFFF"/>
        </w:rPr>
        <w:t>, Oklopcic</w:t>
      </w:r>
      <w:r w:rsidR="00902D3F" w:rsidRPr="002C21B8">
        <w:rPr>
          <w:shd w:val="clear" w:color="auto" w:fill="FFFFFF"/>
        </w:rPr>
        <w:t>,</w:t>
      </w:r>
      <w:r w:rsidRPr="002C21B8">
        <w:rPr>
          <w:shd w:val="clear" w:color="auto" w:fill="FFFFFF"/>
        </w:rPr>
        <w:t xml:space="preserve"> A</w:t>
      </w:r>
      <w:r w:rsidR="00902D3F" w:rsidRPr="002C21B8">
        <w:rPr>
          <w:shd w:val="clear" w:color="auto" w:fill="FFFFFF"/>
        </w:rPr>
        <w:t>.</w:t>
      </w:r>
      <w:r w:rsidRPr="002C21B8">
        <w:rPr>
          <w:shd w:val="clear" w:color="auto" w:fill="FFFFFF"/>
        </w:rPr>
        <w:t>, Ong</w:t>
      </w:r>
      <w:r w:rsidR="00902D3F" w:rsidRPr="002C21B8">
        <w:rPr>
          <w:shd w:val="clear" w:color="auto" w:fill="FFFFFF"/>
        </w:rPr>
        <w:t>,</w:t>
      </w:r>
      <w:r w:rsidRPr="002C21B8">
        <w:rPr>
          <w:shd w:val="clear" w:color="auto" w:fill="FFFFFF"/>
        </w:rPr>
        <w:t xml:space="preserve"> A</w:t>
      </w:r>
      <w:r w:rsidR="00902D3F" w:rsidRPr="002C21B8">
        <w:rPr>
          <w:shd w:val="clear" w:color="auto" w:fill="FFFFFF"/>
        </w:rPr>
        <w:t>.</w:t>
      </w:r>
      <w:r w:rsidRPr="002C21B8">
        <w:rPr>
          <w:shd w:val="clear" w:color="auto" w:fill="FFFFFF"/>
        </w:rPr>
        <w:t>C</w:t>
      </w:r>
      <w:r w:rsidR="00902D3F" w:rsidRPr="002C21B8">
        <w:rPr>
          <w:shd w:val="clear" w:color="auto" w:fill="FFFFFF"/>
        </w:rPr>
        <w:t>.</w:t>
      </w:r>
      <w:r w:rsidRPr="002C21B8">
        <w:rPr>
          <w:shd w:val="clear" w:color="auto" w:fill="FFFFFF"/>
        </w:rPr>
        <w:t>M</w:t>
      </w:r>
      <w:r w:rsidR="00902D3F" w:rsidRPr="002C21B8">
        <w:rPr>
          <w:shd w:val="clear" w:color="auto" w:fill="FFFFFF"/>
        </w:rPr>
        <w:t>.</w:t>
      </w:r>
      <w:r w:rsidRPr="002C21B8">
        <w:rPr>
          <w:shd w:val="clear" w:color="auto" w:fill="FFFFFF"/>
        </w:rPr>
        <w:t>, Fotheringham</w:t>
      </w:r>
      <w:r w:rsidR="00902D3F" w:rsidRPr="002C21B8">
        <w:rPr>
          <w:shd w:val="clear" w:color="auto" w:fill="FFFFFF"/>
        </w:rPr>
        <w:t>,</w:t>
      </w:r>
      <w:r w:rsidRPr="002C21B8">
        <w:rPr>
          <w:shd w:val="clear" w:color="auto" w:fill="FFFFFF"/>
        </w:rPr>
        <w:t xml:space="preserve"> J. A conceptual model of factors potentially influencing prescribing decisions for chronic conditions: an overview of systematic reviews. BMC Med. 2025 Jul 1;23(1):364. doi: 10.1186/s12916-025-04194-9. PMID: 40598148; PMCID: PMC12217990.</w:t>
      </w:r>
    </w:p>
    <w:p w14:paraId="323CBA12" w14:textId="77777777" w:rsidR="00FA366A" w:rsidRPr="002C21B8" w:rsidRDefault="00FA366A" w:rsidP="003374F4"/>
    <w:p w14:paraId="5EBB1A98" w14:textId="77777777" w:rsidR="00FA366A" w:rsidRPr="002C21B8" w:rsidRDefault="00FA366A" w:rsidP="003374F4">
      <w:r w:rsidRPr="002C21B8">
        <w:t>I, Matthew Gittus contributed to the following sections:</w:t>
      </w:r>
    </w:p>
    <w:p w14:paraId="4AF81771" w14:textId="77777777" w:rsidR="00FA366A" w:rsidRPr="002C21B8" w:rsidRDefault="00FA366A" w:rsidP="00A97F07">
      <w:pPr>
        <w:pStyle w:val="ListParagraph"/>
        <w:numPr>
          <w:ilvl w:val="0"/>
          <w:numId w:val="9"/>
        </w:numPr>
      </w:pPr>
      <w:r w:rsidRPr="002C21B8">
        <w:t>Conceptualisation</w:t>
      </w:r>
    </w:p>
    <w:p w14:paraId="2AA82098" w14:textId="77777777" w:rsidR="00FA366A" w:rsidRPr="002C21B8" w:rsidRDefault="00FA366A" w:rsidP="00A97F07">
      <w:pPr>
        <w:pStyle w:val="ListParagraph"/>
        <w:numPr>
          <w:ilvl w:val="0"/>
          <w:numId w:val="9"/>
        </w:numPr>
      </w:pPr>
      <w:r w:rsidRPr="002C21B8">
        <w:t>Data collection/investigation</w:t>
      </w:r>
    </w:p>
    <w:p w14:paraId="0EF73932" w14:textId="77777777" w:rsidR="00FA366A" w:rsidRPr="002C21B8" w:rsidRDefault="00FA366A" w:rsidP="00A97F07">
      <w:pPr>
        <w:pStyle w:val="ListParagraph"/>
        <w:numPr>
          <w:ilvl w:val="0"/>
          <w:numId w:val="9"/>
        </w:numPr>
      </w:pPr>
      <w:r w:rsidRPr="002C21B8">
        <w:t>Screening/Data extraction</w:t>
      </w:r>
    </w:p>
    <w:p w14:paraId="3D59DBB3" w14:textId="77777777" w:rsidR="00FA366A" w:rsidRPr="002C21B8" w:rsidRDefault="00FA366A" w:rsidP="00A97F07">
      <w:pPr>
        <w:pStyle w:val="ListParagraph"/>
        <w:numPr>
          <w:ilvl w:val="0"/>
          <w:numId w:val="9"/>
        </w:numPr>
      </w:pPr>
      <w:r w:rsidRPr="002C21B8">
        <w:t>Data analysis and interpretation</w:t>
      </w:r>
    </w:p>
    <w:p w14:paraId="3B4E4622" w14:textId="77777777" w:rsidR="00FA366A" w:rsidRPr="002C21B8" w:rsidRDefault="00FA366A" w:rsidP="00A97F07">
      <w:pPr>
        <w:pStyle w:val="ListParagraph"/>
        <w:numPr>
          <w:ilvl w:val="0"/>
          <w:numId w:val="9"/>
        </w:numPr>
      </w:pPr>
      <w:r w:rsidRPr="002C21B8">
        <w:t>Writing – original draft</w:t>
      </w:r>
    </w:p>
    <w:p w14:paraId="44E5539A" w14:textId="77777777" w:rsidR="00FA366A" w:rsidRPr="002C21B8" w:rsidRDefault="00FA366A" w:rsidP="00A97F07">
      <w:pPr>
        <w:pStyle w:val="ListParagraph"/>
        <w:numPr>
          <w:ilvl w:val="0"/>
          <w:numId w:val="9"/>
        </w:numPr>
      </w:pPr>
      <w:r w:rsidRPr="002C21B8">
        <w:t>Writing – review and editing</w:t>
      </w:r>
    </w:p>
    <w:p w14:paraId="2CC51F33" w14:textId="77777777" w:rsidR="00FA366A" w:rsidRPr="002C21B8" w:rsidRDefault="00FA366A" w:rsidP="003374F4">
      <w:r w:rsidRPr="002C21B8">
        <w:rPr>
          <w:noProof/>
        </w:rPr>
        <w:drawing>
          <wp:anchor distT="0" distB="0" distL="114300" distR="114300" simplePos="0" relativeHeight="251683840" behindDoc="0" locked="0" layoutInCell="1" allowOverlap="1" wp14:anchorId="4AC085CD" wp14:editId="6B8663E8">
            <wp:simplePos x="0" y="0"/>
            <wp:positionH relativeFrom="column">
              <wp:posOffset>595284</wp:posOffset>
            </wp:positionH>
            <wp:positionV relativeFrom="paragraph">
              <wp:posOffset>154305</wp:posOffset>
            </wp:positionV>
            <wp:extent cx="947651" cy="613186"/>
            <wp:effectExtent l="0" t="0" r="0" b="0"/>
            <wp:wrapNone/>
            <wp:docPr id="3008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44" name="Picture 3008344"/>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47651" cy="613186"/>
                    </a:xfrm>
                    <a:prstGeom prst="rect">
                      <a:avLst/>
                    </a:prstGeom>
                  </pic:spPr>
                </pic:pic>
              </a:graphicData>
            </a:graphic>
            <wp14:sizeRelH relativeFrom="margin">
              <wp14:pctWidth>0</wp14:pctWidth>
            </wp14:sizeRelH>
            <wp14:sizeRelV relativeFrom="margin">
              <wp14:pctHeight>0</wp14:pctHeight>
            </wp14:sizeRelV>
          </wp:anchor>
        </w:drawing>
      </w:r>
    </w:p>
    <w:p w14:paraId="214AC2B8" w14:textId="58C53F8D" w:rsidR="00FA366A" w:rsidRPr="002C21B8" w:rsidRDefault="00FA366A" w:rsidP="003374F4">
      <w:r w:rsidRPr="002C21B8">
        <w:t>Signed:</w:t>
      </w:r>
      <w:r w:rsidR="00D36CBB" w:rsidRPr="002C21B8">
        <w:tab/>
      </w:r>
      <w:r w:rsidRPr="002C21B8">
        <w:t xml:space="preserve"> </w:t>
      </w:r>
      <w:r w:rsidRPr="002C21B8">
        <w:tab/>
      </w:r>
      <w:r w:rsidRPr="002C21B8">
        <w:tab/>
      </w:r>
      <w:r w:rsidRPr="002C21B8">
        <w:tab/>
        <w:t xml:space="preserve">Dated: </w:t>
      </w:r>
      <w:r w:rsidR="00A41E8D" w:rsidRPr="002C21B8">
        <w:t>14/05/2026</w:t>
      </w:r>
      <w:r w:rsidRPr="002C21B8">
        <w:tab/>
      </w:r>
      <w:r w:rsidRPr="002C21B8">
        <w:tab/>
        <w:t>Print Name: Matthew Gittus</w:t>
      </w:r>
    </w:p>
    <w:p w14:paraId="4C1CC27E" w14:textId="46602E0B" w:rsidR="00FA366A" w:rsidRPr="002C21B8" w:rsidRDefault="009B7248" w:rsidP="003374F4">
      <w:r w:rsidRPr="002C21B8">
        <w:rPr>
          <w:noProof/>
        </w:rPr>
        <w:drawing>
          <wp:anchor distT="0" distB="0" distL="114300" distR="114300" simplePos="0" relativeHeight="251731968" behindDoc="0" locked="0" layoutInCell="1" allowOverlap="1" wp14:anchorId="6B247AB7" wp14:editId="173E1D3C">
            <wp:simplePos x="0" y="0"/>
            <wp:positionH relativeFrom="column">
              <wp:posOffset>592853</wp:posOffset>
            </wp:positionH>
            <wp:positionV relativeFrom="paragraph">
              <wp:posOffset>283489</wp:posOffset>
            </wp:positionV>
            <wp:extent cx="646918" cy="382270"/>
            <wp:effectExtent l="0" t="0" r="1270" b="0"/>
            <wp:wrapNone/>
            <wp:docPr id="98088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2986" name=""/>
                    <pic:cNvPicPr/>
                  </pic:nvPicPr>
                  <pic:blipFill>
                    <a:blip r:embed="rId151">
                      <a:extLst>
                        <a:ext uri="{28A0092B-C50C-407E-A947-70E740481C1C}">
                          <a14:useLocalDpi xmlns:a14="http://schemas.microsoft.com/office/drawing/2010/main" val="0"/>
                        </a:ext>
                      </a:extLst>
                    </a:blip>
                    <a:stretch>
                      <a:fillRect/>
                    </a:stretch>
                  </pic:blipFill>
                  <pic:spPr>
                    <a:xfrm>
                      <a:off x="0" y="0"/>
                      <a:ext cx="646918" cy="382270"/>
                    </a:xfrm>
                    <a:prstGeom prst="rect">
                      <a:avLst/>
                    </a:prstGeom>
                  </pic:spPr>
                </pic:pic>
              </a:graphicData>
            </a:graphic>
            <wp14:sizeRelH relativeFrom="page">
              <wp14:pctWidth>0</wp14:pctWidth>
            </wp14:sizeRelH>
            <wp14:sizeRelV relativeFrom="page">
              <wp14:pctHeight>0</wp14:pctHeight>
            </wp14:sizeRelV>
          </wp:anchor>
        </w:drawing>
      </w:r>
    </w:p>
    <w:p w14:paraId="065E37B7" w14:textId="55781892" w:rsidR="00FA366A" w:rsidRPr="002C21B8" w:rsidRDefault="00FA366A" w:rsidP="003374F4">
      <w:r w:rsidRPr="002C21B8">
        <w:t xml:space="preserve">Signed: </w:t>
      </w:r>
      <w:r w:rsidRPr="002C21B8">
        <w:tab/>
      </w:r>
      <w:r w:rsidR="00D36CBB" w:rsidRPr="002C21B8">
        <w:tab/>
      </w:r>
      <w:r w:rsidRPr="002C21B8">
        <w:tab/>
      </w:r>
      <w:r w:rsidRPr="002C21B8">
        <w:tab/>
        <w:t xml:space="preserve">Dated: </w:t>
      </w:r>
      <w:r w:rsidR="00A41E8D" w:rsidRPr="002C21B8">
        <w:t>14/05/2026</w:t>
      </w:r>
      <w:r w:rsidRPr="002C21B8">
        <w:tab/>
      </w:r>
      <w:r w:rsidRPr="002C21B8">
        <w:tab/>
        <w:t>Print Name: James Fotheringham</w:t>
      </w:r>
    </w:p>
    <w:p w14:paraId="1EBC5E87" w14:textId="77777777" w:rsidR="00902D3F" w:rsidRPr="002C21B8" w:rsidRDefault="00902D3F">
      <w:pPr>
        <w:spacing w:after="0" w:line="240" w:lineRule="auto"/>
        <w:jc w:val="left"/>
      </w:pPr>
      <w:r w:rsidRPr="002C21B8">
        <w:br w:type="page"/>
      </w:r>
    </w:p>
    <w:p w14:paraId="2E87CD35" w14:textId="156D5757" w:rsidR="00FA366A" w:rsidRPr="002C21B8" w:rsidRDefault="00FA366A" w:rsidP="0087500D">
      <w:pPr>
        <w:rPr>
          <w:b/>
          <w:bCs/>
          <w:sz w:val="28"/>
          <w:szCs w:val="28"/>
        </w:rPr>
      </w:pPr>
      <w:r w:rsidRPr="002C21B8">
        <w:rPr>
          <w:b/>
          <w:bCs/>
          <w:sz w:val="28"/>
          <w:szCs w:val="28"/>
        </w:rPr>
        <w:t>Chapter 5</w:t>
      </w:r>
    </w:p>
    <w:p w14:paraId="71953905" w14:textId="2870C453" w:rsidR="00866D3D" w:rsidRPr="002C21B8" w:rsidRDefault="00FA366A" w:rsidP="003374F4">
      <w:pPr>
        <w:rPr>
          <w:shd w:val="clear" w:color="auto" w:fill="FFFFFF"/>
        </w:rPr>
      </w:pPr>
      <w:r w:rsidRPr="002C21B8">
        <w:rPr>
          <w:shd w:val="clear" w:color="auto" w:fill="FFFFFF"/>
        </w:rPr>
        <w:t>Gittus</w:t>
      </w:r>
      <w:r w:rsidR="00902D3F" w:rsidRPr="002C21B8">
        <w:rPr>
          <w:shd w:val="clear" w:color="auto" w:fill="FFFFFF"/>
        </w:rPr>
        <w:t xml:space="preserve">, </w:t>
      </w:r>
      <w:r w:rsidRPr="002C21B8">
        <w:rPr>
          <w:shd w:val="clear" w:color="auto" w:fill="FFFFFF"/>
        </w:rPr>
        <w:t>M</w:t>
      </w:r>
      <w:r w:rsidR="00902D3F" w:rsidRPr="002C21B8">
        <w:rPr>
          <w:shd w:val="clear" w:color="auto" w:fill="FFFFFF"/>
        </w:rPr>
        <w:t>.</w:t>
      </w:r>
      <w:r w:rsidRPr="002C21B8">
        <w:rPr>
          <w:shd w:val="clear" w:color="auto" w:fill="FFFFFF"/>
        </w:rPr>
        <w:t xml:space="preserve">, </w:t>
      </w:r>
      <w:r w:rsidR="00405C98" w:rsidRPr="002C21B8">
        <w:rPr>
          <w:shd w:val="clear" w:color="auto" w:fill="FFFFFF"/>
        </w:rPr>
        <w:t>Pitcher</w:t>
      </w:r>
      <w:r w:rsidR="00902D3F" w:rsidRPr="002C21B8">
        <w:rPr>
          <w:shd w:val="clear" w:color="auto" w:fill="FFFFFF"/>
        </w:rPr>
        <w:t>,</w:t>
      </w:r>
      <w:r w:rsidRPr="002C21B8">
        <w:rPr>
          <w:shd w:val="clear" w:color="auto" w:fill="FFFFFF"/>
        </w:rPr>
        <w:t xml:space="preserve"> D</w:t>
      </w:r>
      <w:r w:rsidR="00902D3F" w:rsidRPr="002C21B8">
        <w:rPr>
          <w:shd w:val="clear" w:color="auto" w:fill="FFFFFF"/>
        </w:rPr>
        <w:t>.</w:t>
      </w:r>
      <w:r w:rsidRPr="002C21B8">
        <w:rPr>
          <w:shd w:val="clear" w:color="auto" w:fill="FFFFFF"/>
        </w:rPr>
        <w:t>, O’Cathain</w:t>
      </w:r>
      <w:r w:rsidR="00902D3F" w:rsidRPr="002C21B8">
        <w:rPr>
          <w:shd w:val="clear" w:color="auto" w:fill="FFFFFF"/>
        </w:rPr>
        <w:t>,</w:t>
      </w:r>
      <w:r w:rsidRPr="002C21B8">
        <w:rPr>
          <w:shd w:val="clear" w:color="auto" w:fill="FFFFFF"/>
        </w:rPr>
        <w:t xml:space="preserve"> A</w:t>
      </w:r>
      <w:r w:rsidR="00902D3F" w:rsidRPr="002C21B8">
        <w:rPr>
          <w:shd w:val="clear" w:color="auto" w:fill="FFFFFF"/>
        </w:rPr>
        <w:t>.</w:t>
      </w:r>
      <w:r w:rsidRPr="002C21B8">
        <w:rPr>
          <w:shd w:val="clear" w:color="auto" w:fill="FFFFFF"/>
        </w:rPr>
        <w:t>, Ong</w:t>
      </w:r>
      <w:r w:rsidR="00902D3F" w:rsidRPr="002C21B8">
        <w:rPr>
          <w:shd w:val="clear" w:color="auto" w:fill="FFFFFF"/>
        </w:rPr>
        <w:t>,</w:t>
      </w:r>
      <w:r w:rsidRPr="002C21B8">
        <w:rPr>
          <w:shd w:val="clear" w:color="auto" w:fill="FFFFFF"/>
        </w:rPr>
        <w:t xml:space="preserve"> A</w:t>
      </w:r>
      <w:r w:rsidR="00902D3F" w:rsidRPr="002C21B8">
        <w:rPr>
          <w:shd w:val="clear" w:color="auto" w:fill="FFFFFF"/>
        </w:rPr>
        <w:t>.</w:t>
      </w:r>
      <w:r w:rsidRPr="002C21B8">
        <w:rPr>
          <w:shd w:val="clear" w:color="auto" w:fill="FFFFFF"/>
        </w:rPr>
        <w:t>C</w:t>
      </w:r>
      <w:r w:rsidR="00902D3F" w:rsidRPr="002C21B8">
        <w:rPr>
          <w:shd w:val="clear" w:color="auto" w:fill="FFFFFF"/>
        </w:rPr>
        <w:t>.</w:t>
      </w:r>
      <w:r w:rsidRPr="002C21B8">
        <w:rPr>
          <w:shd w:val="clear" w:color="auto" w:fill="FFFFFF"/>
        </w:rPr>
        <w:t>M</w:t>
      </w:r>
      <w:r w:rsidR="00902D3F" w:rsidRPr="002C21B8">
        <w:rPr>
          <w:shd w:val="clear" w:color="auto" w:fill="FFFFFF"/>
        </w:rPr>
        <w:t>.</w:t>
      </w:r>
      <w:r w:rsidRPr="002C21B8">
        <w:rPr>
          <w:shd w:val="clear" w:color="auto" w:fill="FFFFFF"/>
        </w:rPr>
        <w:t>, Simms</w:t>
      </w:r>
      <w:r w:rsidR="00902D3F" w:rsidRPr="002C21B8">
        <w:rPr>
          <w:shd w:val="clear" w:color="auto" w:fill="FFFFFF"/>
        </w:rPr>
        <w:t>,</w:t>
      </w:r>
      <w:r w:rsidRPr="002C21B8">
        <w:rPr>
          <w:shd w:val="clear" w:color="auto" w:fill="FFFFFF"/>
        </w:rPr>
        <w:t xml:space="preserve"> R</w:t>
      </w:r>
      <w:r w:rsidR="00902D3F" w:rsidRPr="002C21B8">
        <w:rPr>
          <w:shd w:val="clear" w:color="auto" w:fill="FFFFFF"/>
        </w:rPr>
        <w:t>.</w:t>
      </w:r>
      <w:r w:rsidRPr="002C21B8">
        <w:rPr>
          <w:shd w:val="clear" w:color="auto" w:fill="FFFFFF"/>
        </w:rPr>
        <w:t>, Fotheringham</w:t>
      </w:r>
      <w:r w:rsidR="00902D3F" w:rsidRPr="002C21B8">
        <w:rPr>
          <w:shd w:val="clear" w:color="auto" w:fill="FFFFFF"/>
        </w:rPr>
        <w:t>,</w:t>
      </w:r>
      <w:r w:rsidRPr="002C21B8">
        <w:rPr>
          <w:shd w:val="clear" w:color="auto" w:fill="FFFFFF"/>
        </w:rPr>
        <w:t xml:space="preserve"> J. Variation in </w:t>
      </w:r>
      <w:r w:rsidR="00902D3F" w:rsidRPr="002C21B8">
        <w:rPr>
          <w:shd w:val="clear" w:color="auto" w:fill="FFFFFF"/>
        </w:rPr>
        <w:t>t</w:t>
      </w:r>
      <w:r w:rsidRPr="002C21B8">
        <w:rPr>
          <w:shd w:val="clear" w:color="auto" w:fill="FFFFFF"/>
        </w:rPr>
        <w:t xml:space="preserve">olvaptan </w:t>
      </w:r>
      <w:r w:rsidR="00902D3F" w:rsidRPr="002C21B8">
        <w:rPr>
          <w:shd w:val="clear" w:color="auto" w:fill="FFFFFF"/>
        </w:rPr>
        <w:t>p</w:t>
      </w:r>
      <w:r w:rsidRPr="002C21B8">
        <w:rPr>
          <w:shd w:val="clear" w:color="auto" w:fill="FFFFFF"/>
        </w:rPr>
        <w:t xml:space="preserve">rescribing for </w:t>
      </w:r>
      <w:r w:rsidR="00902D3F" w:rsidRPr="002C21B8">
        <w:rPr>
          <w:shd w:val="clear" w:color="auto" w:fill="FFFFFF"/>
        </w:rPr>
        <w:t>a</w:t>
      </w:r>
      <w:r w:rsidRPr="002C21B8">
        <w:rPr>
          <w:shd w:val="clear" w:color="auto" w:fill="FFFFFF"/>
        </w:rPr>
        <w:t xml:space="preserve">utosomal </w:t>
      </w:r>
      <w:r w:rsidR="00902D3F" w:rsidRPr="002C21B8">
        <w:rPr>
          <w:shd w:val="clear" w:color="auto" w:fill="FFFFFF"/>
        </w:rPr>
        <w:t>d</w:t>
      </w:r>
      <w:r w:rsidRPr="002C21B8">
        <w:rPr>
          <w:shd w:val="clear" w:color="auto" w:fill="FFFFFF"/>
        </w:rPr>
        <w:t xml:space="preserve">ominant </w:t>
      </w:r>
      <w:r w:rsidR="00902D3F" w:rsidRPr="002C21B8">
        <w:rPr>
          <w:shd w:val="clear" w:color="auto" w:fill="FFFFFF"/>
        </w:rPr>
        <w:t>p</w:t>
      </w:r>
      <w:r w:rsidRPr="002C21B8">
        <w:rPr>
          <w:shd w:val="clear" w:color="auto" w:fill="FFFFFF"/>
        </w:rPr>
        <w:t xml:space="preserve">olycystic </w:t>
      </w:r>
      <w:r w:rsidR="00902D3F" w:rsidRPr="002C21B8">
        <w:rPr>
          <w:shd w:val="clear" w:color="auto" w:fill="FFFFFF"/>
        </w:rPr>
        <w:t>k</w:t>
      </w:r>
      <w:r w:rsidRPr="002C21B8">
        <w:rPr>
          <w:shd w:val="clear" w:color="auto" w:fill="FFFFFF"/>
        </w:rPr>
        <w:t xml:space="preserve">idney </w:t>
      </w:r>
      <w:r w:rsidR="00902D3F" w:rsidRPr="002C21B8">
        <w:rPr>
          <w:shd w:val="clear" w:color="auto" w:fill="FFFFFF"/>
        </w:rPr>
        <w:t>d</w:t>
      </w:r>
      <w:r w:rsidRPr="002C21B8">
        <w:rPr>
          <w:shd w:val="clear" w:color="auto" w:fill="FFFFFF"/>
        </w:rPr>
        <w:t xml:space="preserve">isease in the United Kingdom and </w:t>
      </w:r>
      <w:r w:rsidR="00902D3F" w:rsidRPr="002C21B8">
        <w:rPr>
          <w:shd w:val="clear" w:color="auto" w:fill="FFFFFF"/>
        </w:rPr>
        <w:t>it</w:t>
      </w:r>
      <w:r w:rsidRPr="002C21B8">
        <w:rPr>
          <w:shd w:val="clear" w:color="auto" w:fill="FFFFFF"/>
        </w:rPr>
        <w:t xml:space="preserve">s </w:t>
      </w:r>
      <w:r w:rsidR="00902D3F" w:rsidRPr="002C21B8">
        <w:rPr>
          <w:shd w:val="clear" w:color="auto" w:fill="FFFFFF"/>
        </w:rPr>
        <w:t>i</w:t>
      </w:r>
      <w:r w:rsidRPr="002C21B8">
        <w:rPr>
          <w:shd w:val="clear" w:color="auto" w:fill="FFFFFF"/>
        </w:rPr>
        <w:t xml:space="preserve">mpact on </w:t>
      </w:r>
      <w:r w:rsidR="00902D3F" w:rsidRPr="002C21B8">
        <w:rPr>
          <w:shd w:val="clear" w:color="auto" w:fill="FFFFFF"/>
        </w:rPr>
        <w:t>q</w:t>
      </w:r>
      <w:r w:rsidRPr="002C21B8">
        <w:rPr>
          <w:shd w:val="clear" w:color="auto" w:fill="FFFFFF"/>
        </w:rPr>
        <w:t xml:space="preserve">uality of </w:t>
      </w:r>
      <w:r w:rsidR="00902D3F" w:rsidRPr="002C21B8">
        <w:rPr>
          <w:shd w:val="clear" w:color="auto" w:fill="FFFFFF"/>
        </w:rPr>
        <w:t>l</w:t>
      </w:r>
      <w:r w:rsidRPr="002C21B8">
        <w:rPr>
          <w:shd w:val="clear" w:color="auto" w:fill="FFFFFF"/>
        </w:rPr>
        <w:t xml:space="preserve">ife and </w:t>
      </w:r>
      <w:r w:rsidR="00902D3F" w:rsidRPr="002C21B8">
        <w:rPr>
          <w:shd w:val="clear" w:color="auto" w:fill="FFFFFF"/>
        </w:rPr>
        <w:t>c</w:t>
      </w:r>
      <w:r w:rsidRPr="002C21B8">
        <w:rPr>
          <w:shd w:val="clear" w:color="auto" w:fill="FFFFFF"/>
        </w:rPr>
        <w:t>osts.</w:t>
      </w:r>
    </w:p>
    <w:p w14:paraId="436EB8C6" w14:textId="77777777" w:rsidR="00FA366A" w:rsidRPr="002C21B8" w:rsidRDefault="00FA366A" w:rsidP="003374F4"/>
    <w:p w14:paraId="09B35A07" w14:textId="77777777" w:rsidR="00FA366A" w:rsidRPr="002C21B8" w:rsidRDefault="00FA366A" w:rsidP="003374F4">
      <w:r w:rsidRPr="002C21B8">
        <w:t>I, Matthew Gittus contributed to the following sections:</w:t>
      </w:r>
    </w:p>
    <w:p w14:paraId="409166B4" w14:textId="77777777" w:rsidR="00FA366A" w:rsidRPr="002C21B8" w:rsidRDefault="00FA366A" w:rsidP="00A97F07">
      <w:pPr>
        <w:pStyle w:val="ListParagraph"/>
        <w:numPr>
          <w:ilvl w:val="0"/>
          <w:numId w:val="9"/>
        </w:numPr>
      </w:pPr>
      <w:r w:rsidRPr="002C21B8">
        <w:t>Conceptualisation</w:t>
      </w:r>
    </w:p>
    <w:p w14:paraId="6D821000" w14:textId="599973DF" w:rsidR="00CB7421" w:rsidRPr="002C21B8" w:rsidRDefault="00CB7421" w:rsidP="00CB7421">
      <w:pPr>
        <w:pStyle w:val="ListParagraph"/>
        <w:numPr>
          <w:ilvl w:val="0"/>
          <w:numId w:val="9"/>
        </w:numPr>
      </w:pPr>
      <w:r w:rsidRPr="002C21B8">
        <w:t>Screening/Data extraction</w:t>
      </w:r>
    </w:p>
    <w:p w14:paraId="48B024CA" w14:textId="77777777" w:rsidR="00CB7421" w:rsidRPr="002C21B8" w:rsidRDefault="00CB7421" w:rsidP="00CB7421">
      <w:pPr>
        <w:pStyle w:val="ListParagraph"/>
        <w:numPr>
          <w:ilvl w:val="0"/>
          <w:numId w:val="9"/>
        </w:numPr>
      </w:pPr>
      <w:r w:rsidRPr="002C21B8">
        <w:t>Data analysis and interpretation</w:t>
      </w:r>
    </w:p>
    <w:p w14:paraId="08674E50" w14:textId="77777777" w:rsidR="00FA366A" w:rsidRPr="002C21B8" w:rsidRDefault="00FA366A" w:rsidP="00A97F07">
      <w:pPr>
        <w:pStyle w:val="ListParagraph"/>
        <w:numPr>
          <w:ilvl w:val="0"/>
          <w:numId w:val="9"/>
        </w:numPr>
      </w:pPr>
      <w:r w:rsidRPr="002C21B8">
        <w:t>Writing – original draft</w:t>
      </w:r>
    </w:p>
    <w:p w14:paraId="7E340F14" w14:textId="77777777" w:rsidR="00FA366A" w:rsidRPr="002C21B8" w:rsidRDefault="00FA366A" w:rsidP="00A97F07">
      <w:pPr>
        <w:pStyle w:val="ListParagraph"/>
        <w:numPr>
          <w:ilvl w:val="0"/>
          <w:numId w:val="9"/>
        </w:numPr>
      </w:pPr>
      <w:r w:rsidRPr="002C21B8">
        <w:t>Writing – review and editing</w:t>
      </w:r>
    </w:p>
    <w:p w14:paraId="2E335F10" w14:textId="77777777" w:rsidR="00FA366A" w:rsidRPr="002C21B8" w:rsidRDefault="00FA366A" w:rsidP="003374F4">
      <w:r w:rsidRPr="002C21B8">
        <w:rPr>
          <w:noProof/>
        </w:rPr>
        <w:drawing>
          <wp:anchor distT="0" distB="0" distL="114300" distR="114300" simplePos="0" relativeHeight="251684864" behindDoc="0" locked="0" layoutInCell="1" allowOverlap="1" wp14:anchorId="019BB299" wp14:editId="1DB3BA4A">
            <wp:simplePos x="0" y="0"/>
            <wp:positionH relativeFrom="column">
              <wp:posOffset>595284</wp:posOffset>
            </wp:positionH>
            <wp:positionV relativeFrom="paragraph">
              <wp:posOffset>154305</wp:posOffset>
            </wp:positionV>
            <wp:extent cx="947651" cy="613186"/>
            <wp:effectExtent l="0" t="0" r="0" b="0"/>
            <wp:wrapNone/>
            <wp:docPr id="2065246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44" name="Picture 3008344"/>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47651" cy="613186"/>
                    </a:xfrm>
                    <a:prstGeom prst="rect">
                      <a:avLst/>
                    </a:prstGeom>
                  </pic:spPr>
                </pic:pic>
              </a:graphicData>
            </a:graphic>
            <wp14:sizeRelH relativeFrom="margin">
              <wp14:pctWidth>0</wp14:pctWidth>
            </wp14:sizeRelH>
            <wp14:sizeRelV relativeFrom="margin">
              <wp14:pctHeight>0</wp14:pctHeight>
            </wp14:sizeRelV>
          </wp:anchor>
        </w:drawing>
      </w:r>
    </w:p>
    <w:p w14:paraId="03D2B8C4" w14:textId="37539098" w:rsidR="00FA366A" w:rsidRPr="002C21B8" w:rsidRDefault="00FA366A" w:rsidP="003374F4">
      <w:r w:rsidRPr="002C21B8">
        <w:t>Signed:</w:t>
      </w:r>
      <w:r w:rsidR="00D36CBB" w:rsidRPr="002C21B8">
        <w:tab/>
      </w:r>
      <w:r w:rsidRPr="002C21B8">
        <w:t xml:space="preserve"> </w:t>
      </w:r>
      <w:r w:rsidRPr="002C21B8">
        <w:tab/>
      </w:r>
      <w:r w:rsidRPr="002C21B8">
        <w:tab/>
      </w:r>
      <w:r w:rsidRPr="002C21B8">
        <w:tab/>
        <w:t xml:space="preserve">Dated: </w:t>
      </w:r>
      <w:r w:rsidR="00A41E8D" w:rsidRPr="002C21B8">
        <w:t>14</w:t>
      </w:r>
      <w:r w:rsidRPr="002C21B8">
        <w:t>/</w:t>
      </w:r>
      <w:r w:rsidR="00A41E8D" w:rsidRPr="002C21B8">
        <w:t>05</w:t>
      </w:r>
      <w:r w:rsidRPr="002C21B8">
        <w:t>/2026</w:t>
      </w:r>
      <w:r w:rsidRPr="002C21B8">
        <w:tab/>
      </w:r>
      <w:r w:rsidRPr="002C21B8">
        <w:tab/>
        <w:t>Print Name: Matthew Gittus</w:t>
      </w:r>
    </w:p>
    <w:p w14:paraId="4606E369" w14:textId="1B33A362" w:rsidR="00FA366A" w:rsidRPr="002C21B8" w:rsidRDefault="00A41E8D" w:rsidP="003374F4">
      <w:r w:rsidRPr="002C21B8">
        <w:rPr>
          <w:noProof/>
        </w:rPr>
        <w:drawing>
          <wp:anchor distT="0" distB="0" distL="114300" distR="114300" simplePos="0" relativeHeight="252055552" behindDoc="0" locked="0" layoutInCell="1" allowOverlap="1" wp14:anchorId="270FB534" wp14:editId="76826993">
            <wp:simplePos x="0" y="0"/>
            <wp:positionH relativeFrom="column">
              <wp:posOffset>591015</wp:posOffset>
            </wp:positionH>
            <wp:positionV relativeFrom="paragraph">
              <wp:posOffset>312235</wp:posOffset>
            </wp:positionV>
            <wp:extent cx="646918" cy="382270"/>
            <wp:effectExtent l="0" t="0" r="1270" b="0"/>
            <wp:wrapNone/>
            <wp:docPr id="1180599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2986" name=""/>
                    <pic:cNvPicPr/>
                  </pic:nvPicPr>
                  <pic:blipFill>
                    <a:blip r:embed="rId151">
                      <a:extLst>
                        <a:ext uri="{28A0092B-C50C-407E-A947-70E740481C1C}">
                          <a14:useLocalDpi xmlns:a14="http://schemas.microsoft.com/office/drawing/2010/main" val="0"/>
                        </a:ext>
                      </a:extLst>
                    </a:blip>
                    <a:stretch>
                      <a:fillRect/>
                    </a:stretch>
                  </pic:blipFill>
                  <pic:spPr>
                    <a:xfrm>
                      <a:off x="0" y="0"/>
                      <a:ext cx="646918" cy="382270"/>
                    </a:xfrm>
                    <a:prstGeom prst="rect">
                      <a:avLst/>
                    </a:prstGeom>
                  </pic:spPr>
                </pic:pic>
              </a:graphicData>
            </a:graphic>
            <wp14:sizeRelH relativeFrom="page">
              <wp14:pctWidth>0</wp14:pctWidth>
            </wp14:sizeRelH>
            <wp14:sizeRelV relativeFrom="page">
              <wp14:pctHeight>0</wp14:pctHeight>
            </wp14:sizeRelV>
          </wp:anchor>
        </w:drawing>
      </w:r>
    </w:p>
    <w:p w14:paraId="114F136E" w14:textId="0008E8F4" w:rsidR="00FA366A" w:rsidRPr="002C21B8" w:rsidRDefault="00FA366A" w:rsidP="003374F4">
      <w:r w:rsidRPr="002C21B8">
        <w:t xml:space="preserve">Signed: </w:t>
      </w:r>
      <w:r w:rsidRPr="002C21B8">
        <w:tab/>
      </w:r>
      <w:r w:rsidR="00D36CBB" w:rsidRPr="002C21B8">
        <w:tab/>
      </w:r>
      <w:r w:rsidRPr="002C21B8">
        <w:tab/>
      </w:r>
      <w:r w:rsidRPr="002C21B8">
        <w:tab/>
        <w:t xml:space="preserve">Dated: </w:t>
      </w:r>
      <w:r w:rsidR="00A41E8D" w:rsidRPr="002C21B8">
        <w:t>14</w:t>
      </w:r>
      <w:r w:rsidRPr="002C21B8">
        <w:t>/</w:t>
      </w:r>
      <w:r w:rsidR="00A41E8D" w:rsidRPr="002C21B8">
        <w:t>05</w:t>
      </w:r>
      <w:r w:rsidRPr="002C21B8">
        <w:t>/2026</w:t>
      </w:r>
      <w:r w:rsidRPr="002C21B8">
        <w:tab/>
      </w:r>
      <w:r w:rsidRPr="002C21B8">
        <w:tab/>
        <w:t>Print Name: James Fotheringham</w:t>
      </w:r>
    </w:p>
    <w:p w14:paraId="310FC8F6" w14:textId="77777777" w:rsidR="00902D3F" w:rsidRPr="002C21B8" w:rsidRDefault="00902D3F">
      <w:pPr>
        <w:spacing w:after="0" w:line="240" w:lineRule="auto"/>
        <w:jc w:val="left"/>
      </w:pPr>
      <w:r w:rsidRPr="002C21B8">
        <w:br w:type="page"/>
      </w:r>
    </w:p>
    <w:p w14:paraId="079FA62B" w14:textId="3B83242E" w:rsidR="00FA366A" w:rsidRPr="002C21B8" w:rsidRDefault="00FA366A" w:rsidP="0087500D">
      <w:pPr>
        <w:rPr>
          <w:b/>
          <w:bCs/>
          <w:sz w:val="28"/>
          <w:szCs w:val="28"/>
        </w:rPr>
      </w:pPr>
      <w:r w:rsidRPr="002C21B8">
        <w:rPr>
          <w:b/>
          <w:bCs/>
          <w:sz w:val="28"/>
          <w:szCs w:val="28"/>
        </w:rPr>
        <w:t xml:space="preserve">Chapter </w:t>
      </w:r>
      <w:r w:rsidR="00EB5EE8" w:rsidRPr="002C21B8">
        <w:rPr>
          <w:b/>
          <w:bCs/>
          <w:sz w:val="28"/>
          <w:szCs w:val="28"/>
        </w:rPr>
        <w:t>6</w:t>
      </w:r>
    </w:p>
    <w:p w14:paraId="12B68442" w14:textId="208A98AB" w:rsidR="00FA366A" w:rsidRPr="002C21B8" w:rsidRDefault="00FA366A" w:rsidP="003374F4">
      <w:r w:rsidRPr="002C21B8">
        <w:rPr>
          <w:shd w:val="clear" w:color="auto" w:fill="FFFFFF"/>
        </w:rPr>
        <w:t>Gittus</w:t>
      </w:r>
      <w:r w:rsidR="003240DC" w:rsidRPr="002C21B8">
        <w:rPr>
          <w:shd w:val="clear" w:color="auto" w:fill="FFFFFF"/>
        </w:rPr>
        <w:t>,</w:t>
      </w:r>
      <w:r w:rsidRPr="002C21B8">
        <w:rPr>
          <w:shd w:val="clear" w:color="auto" w:fill="FFFFFF"/>
        </w:rPr>
        <w:t xml:space="preserve"> M</w:t>
      </w:r>
      <w:r w:rsidR="003240DC" w:rsidRPr="002C21B8">
        <w:rPr>
          <w:shd w:val="clear" w:color="auto" w:fill="FFFFFF"/>
        </w:rPr>
        <w:t>.</w:t>
      </w:r>
      <w:r w:rsidRPr="002C21B8">
        <w:rPr>
          <w:shd w:val="clear" w:color="auto" w:fill="FFFFFF"/>
        </w:rPr>
        <w:t>, Fotheringham</w:t>
      </w:r>
      <w:r w:rsidR="003240DC" w:rsidRPr="002C21B8">
        <w:rPr>
          <w:shd w:val="clear" w:color="auto" w:fill="FFFFFF"/>
        </w:rPr>
        <w:t>,</w:t>
      </w:r>
      <w:r w:rsidRPr="002C21B8">
        <w:rPr>
          <w:shd w:val="clear" w:color="auto" w:fill="FFFFFF"/>
        </w:rPr>
        <w:t xml:space="preserve"> J</w:t>
      </w:r>
      <w:r w:rsidR="003240DC" w:rsidRPr="002C21B8">
        <w:rPr>
          <w:shd w:val="clear" w:color="auto" w:fill="FFFFFF"/>
        </w:rPr>
        <w:t>.</w:t>
      </w:r>
      <w:r w:rsidRPr="002C21B8">
        <w:rPr>
          <w:shd w:val="clear" w:color="auto" w:fill="FFFFFF"/>
        </w:rPr>
        <w:t xml:space="preserve">, </w:t>
      </w:r>
      <w:r w:rsidR="003240DC" w:rsidRPr="002C21B8">
        <w:rPr>
          <w:shd w:val="clear" w:color="auto" w:fill="FFFFFF"/>
        </w:rPr>
        <w:t xml:space="preserve">Ong, A.C.M., </w:t>
      </w:r>
      <w:r w:rsidRPr="002C21B8">
        <w:rPr>
          <w:shd w:val="clear" w:color="auto" w:fill="FFFFFF"/>
        </w:rPr>
        <w:t>O’Cathain</w:t>
      </w:r>
      <w:r w:rsidR="003240DC" w:rsidRPr="002C21B8">
        <w:rPr>
          <w:shd w:val="clear" w:color="auto" w:fill="FFFFFF"/>
        </w:rPr>
        <w:t>,</w:t>
      </w:r>
      <w:r w:rsidRPr="002C21B8">
        <w:rPr>
          <w:shd w:val="clear" w:color="auto" w:fill="FFFFFF"/>
        </w:rPr>
        <w:t xml:space="preserve"> A.</w:t>
      </w:r>
      <w:r w:rsidRPr="002C21B8">
        <w:t xml:space="preserve"> </w:t>
      </w:r>
      <w:r w:rsidR="008A76EC" w:rsidRPr="002C21B8">
        <w:t xml:space="preserve">Understanding </w:t>
      </w:r>
      <w:r w:rsidR="003240DC" w:rsidRPr="002C21B8">
        <w:rPr>
          <w:shd w:val="clear" w:color="auto" w:fill="FFFFFF"/>
        </w:rPr>
        <w:t>v</w:t>
      </w:r>
      <w:r w:rsidRPr="002C21B8">
        <w:rPr>
          <w:shd w:val="clear" w:color="auto" w:fill="FFFFFF"/>
        </w:rPr>
        <w:t xml:space="preserve">ariation </w:t>
      </w:r>
      <w:r w:rsidR="003240DC" w:rsidRPr="002C21B8">
        <w:rPr>
          <w:shd w:val="clear" w:color="auto" w:fill="FFFFFF"/>
        </w:rPr>
        <w:t>b</w:t>
      </w:r>
      <w:r w:rsidRPr="002C21B8">
        <w:rPr>
          <w:shd w:val="clear" w:color="auto" w:fill="FFFFFF"/>
        </w:rPr>
        <w:t xml:space="preserve">etween </w:t>
      </w:r>
      <w:r w:rsidR="003240DC" w:rsidRPr="002C21B8">
        <w:rPr>
          <w:shd w:val="clear" w:color="auto" w:fill="FFFFFF"/>
        </w:rPr>
        <w:t>k</w:t>
      </w:r>
      <w:r w:rsidRPr="002C21B8">
        <w:rPr>
          <w:shd w:val="clear" w:color="auto" w:fill="FFFFFF"/>
        </w:rPr>
        <w:t xml:space="preserve">idney </w:t>
      </w:r>
      <w:r w:rsidR="003240DC" w:rsidRPr="002C21B8">
        <w:rPr>
          <w:shd w:val="clear" w:color="auto" w:fill="FFFFFF"/>
        </w:rPr>
        <w:t>c</w:t>
      </w:r>
      <w:r w:rsidR="008A76EC" w:rsidRPr="002C21B8">
        <w:rPr>
          <w:shd w:val="clear" w:color="auto" w:fill="FFFFFF"/>
        </w:rPr>
        <w:t>entres i</w:t>
      </w:r>
      <w:r w:rsidRPr="002C21B8">
        <w:rPr>
          <w:shd w:val="clear" w:color="auto" w:fill="FFFFFF"/>
        </w:rPr>
        <w:t xml:space="preserve">n </w:t>
      </w:r>
      <w:r w:rsidR="003240DC" w:rsidRPr="002C21B8">
        <w:rPr>
          <w:shd w:val="clear" w:color="auto" w:fill="FFFFFF"/>
        </w:rPr>
        <w:t>i</w:t>
      </w:r>
      <w:r w:rsidR="008A76EC" w:rsidRPr="002C21B8">
        <w:rPr>
          <w:shd w:val="clear" w:color="auto" w:fill="FFFFFF"/>
        </w:rPr>
        <w:t>mplementation of</w:t>
      </w:r>
      <w:r w:rsidRPr="002C21B8">
        <w:rPr>
          <w:shd w:val="clear" w:color="auto" w:fill="FFFFFF"/>
        </w:rPr>
        <w:t xml:space="preserve"> </w:t>
      </w:r>
      <w:r w:rsidR="003240DC" w:rsidRPr="002C21B8">
        <w:rPr>
          <w:shd w:val="clear" w:color="auto" w:fill="FFFFFF"/>
        </w:rPr>
        <w:t>t</w:t>
      </w:r>
      <w:r w:rsidRPr="002C21B8">
        <w:rPr>
          <w:shd w:val="clear" w:color="auto" w:fill="FFFFFF"/>
        </w:rPr>
        <w:t xml:space="preserve">olvaptan in the </w:t>
      </w:r>
      <w:r w:rsidR="003240DC" w:rsidRPr="002C21B8">
        <w:rPr>
          <w:shd w:val="clear" w:color="auto" w:fill="FFFFFF"/>
        </w:rPr>
        <w:t>m</w:t>
      </w:r>
      <w:r w:rsidRPr="002C21B8">
        <w:rPr>
          <w:shd w:val="clear" w:color="auto" w:fill="FFFFFF"/>
        </w:rPr>
        <w:t xml:space="preserve">anagement of </w:t>
      </w:r>
      <w:r w:rsidR="003240DC" w:rsidRPr="002C21B8">
        <w:rPr>
          <w:shd w:val="clear" w:color="auto" w:fill="FFFFFF"/>
        </w:rPr>
        <w:t>a</w:t>
      </w:r>
      <w:r w:rsidRPr="002C21B8">
        <w:rPr>
          <w:shd w:val="clear" w:color="auto" w:fill="FFFFFF"/>
        </w:rPr>
        <w:t xml:space="preserve">utosomal </w:t>
      </w:r>
      <w:r w:rsidR="003240DC" w:rsidRPr="002C21B8">
        <w:rPr>
          <w:shd w:val="clear" w:color="auto" w:fill="FFFFFF"/>
        </w:rPr>
        <w:t>d</w:t>
      </w:r>
      <w:r w:rsidRPr="002C21B8">
        <w:rPr>
          <w:shd w:val="clear" w:color="auto" w:fill="FFFFFF"/>
        </w:rPr>
        <w:t xml:space="preserve">ominant </w:t>
      </w:r>
      <w:r w:rsidR="003240DC" w:rsidRPr="002C21B8">
        <w:rPr>
          <w:shd w:val="clear" w:color="auto" w:fill="FFFFFF"/>
        </w:rPr>
        <w:t>p</w:t>
      </w:r>
      <w:r w:rsidRPr="002C21B8">
        <w:rPr>
          <w:shd w:val="clear" w:color="auto" w:fill="FFFFFF"/>
        </w:rPr>
        <w:t xml:space="preserve">olycystic </w:t>
      </w:r>
      <w:r w:rsidR="003240DC" w:rsidRPr="002C21B8">
        <w:rPr>
          <w:shd w:val="clear" w:color="auto" w:fill="FFFFFF"/>
        </w:rPr>
        <w:t>k</w:t>
      </w:r>
      <w:r w:rsidRPr="002C21B8">
        <w:rPr>
          <w:shd w:val="clear" w:color="auto" w:fill="FFFFFF"/>
        </w:rPr>
        <w:t xml:space="preserve">idney </w:t>
      </w:r>
      <w:r w:rsidR="003240DC" w:rsidRPr="002C21B8">
        <w:rPr>
          <w:shd w:val="clear" w:color="auto" w:fill="FFFFFF"/>
        </w:rPr>
        <w:t>d</w:t>
      </w:r>
      <w:r w:rsidRPr="002C21B8">
        <w:rPr>
          <w:shd w:val="clear" w:color="auto" w:fill="FFFFFF"/>
        </w:rPr>
        <w:t xml:space="preserve">isease: </w:t>
      </w:r>
      <w:r w:rsidR="003240DC" w:rsidRPr="002C21B8">
        <w:rPr>
          <w:shd w:val="clear" w:color="auto" w:fill="FFFFFF"/>
        </w:rPr>
        <w:t>a</w:t>
      </w:r>
      <w:r w:rsidRPr="002C21B8">
        <w:rPr>
          <w:shd w:val="clear" w:color="auto" w:fill="FFFFFF"/>
        </w:rPr>
        <w:t xml:space="preserve"> </w:t>
      </w:r>
      <w:r w:rsidR="003240DC" w:rsidRPr="002C21B8">
        <w:rPr>
          <w:shd w:val="clear" w:color="auto" w:fill="FFFFFF"/>
        </w:rPr>
        <w:t>m</w:t>
      </w:r>
      <w:r w:rsidRPr="002C21B8">
        <w:rPr>
          <w:shd w:val="clear" w:color="auto" w:fill="FFFFFF"/>
        </w:rPr>
        <w:t xml:space="preserve">ultiple </w:t>
      </w:r>
      <w:r w:rsidR="003240DC" w:rsidRPr="002C21B8">
        <w:rPr>
          <w:shd w:val="clear" w:color="auto" w:fill="FFFFFF"/>
        </w:rPr>
        <w:t>c</w:t>
      </w:r>
      <w:r w:rsidRPr="002C21B8">
        <w:rPr>
          <w:shd w:val="clear" w:color="auto" w:fill="FFFFFF"/>
        </w:rPr>
        <w:t xml:space="preserve">ase </w:t>
      </w:r>
      <w:r w:rsidR="003240DC" w:rsidRPr="002C21B8">
        <w:rPr>
          <w:shd w:val="clear" w:color="auto" w:fill="FFFFFF"/>
        </w:rPr>
        <w:t>s</w:t>
      </w:r>
      <w:r w:rsidRPr="002C21B8">
        <w:rPr>
          <w:shd w:val="clear" w:color="auto" w:fill="FFFFFF"/>
        </w:rPr>
        <w:t>tudy.</w:t>
      </w:r>
    </w:p>
    <w:p w14:paraId="7EFC9A22" w14:textId="77777777" w:rsidR="00FA366A" w:rsidRPr="002C21B8" w:rsidRDefault="00FA366A" w:rsidP="003374F4"/>
    <w:p w14:paraId="3BB21977" w14:textId="77777777" w:rsidR="00FA366A" w:rsidRPr="002C21B8" w:rsidRDefault="00FA366A" w:rsidP="003374F4">
      <w:r w:rsidRPr="002C21B8">
        <w:t>I, Matthew Gittus contributed to the following sections:</w:t>
      </w:r>
    </w:p>
    <w:p w14:paraId="3A87C186" w14:textId="77777777" w:rsidR="00FA366A" w:rsidRPr="002C21B8" w:rsidRDefault="00FA366A" w:rsidP="00A97F07">
      <w:pPr>
        <w:pStyle w:val="ListParagraph"/>
        <w:numPr>
          <w:ilvl w:val="0"/>
          <w:numId w:val="9"/>
        </w:numPr>
      </w:pPr>
      <w:r w:rsidRPr="002C21B8">
        <w:t>Conceptualisation</w:t>
      </w:r>
    </w:p>
    <w:p w14:paraId="0517FC9D" w14:textId="77777777" w:rsidR="00FA366A" w:rsidRPr="002C21B8" w:rsidRDefault="00FA366A" w:rsidP="00A97F07">
      <w:pPr>
        <w:pStyle w:val="ListParagraph"/>
        <w:numPr>
          <w:ilvl w:val="0"/>
          <w:numId w:val="9"/>
        </w:numPr>
      </w:pPr>
      <w:r w:rsidRPr="002C21B8">
        <w:t xml:space="preserve">Data collection/ investigation </w:t>
      </w:r>
    </w:p>
    <w:p w14:paraId="0442B8BA" w14:textId="77777777" w:rsidR="00FA366A" w:rsidRPr="002C21B8" w:rsidRDefault="00FA366A" w:rsidP="00A97F07">
      <w:pPr>
        <w:pStyle w:val="ListParagraph"/>
        <w:numPr>
          <w:ilvl w:val="0"/>
          <w:numId w:val="9"/>
        </w:numPr>
      </w:pPr>
      <w:r w:rsidRPr="002C21B8">
        <w:t>Screening/Data extraction</w:t>
      </w:r>
    </w:p>
    <w:p w14:paraId="0EB57910" w14:textId="77777777" w:rsidR="00FA366A" w:rsidRPr="002C21B8" w:rsidRDefault="00FA366A" w:rsidP="00A97F07">
      <w:pPr>
        <w:pStyle w:val="ListParagraph"/>
        <w:numPr>
          <w:ilvl w:val="0"/>
          <w:numId w:val="9"/>
        </w:numPr>
      </w:pPr>
      <w:r w:rsidRPr="002C21B8">
        <w:t>Data analysis and interpretation</w:t>
      </w:r>
    </w:p>
    <w:p w14:paraId="62F204D8" w14:textId="77777777" w:rsidR="00FA366A" w:rsidRPr="002C21B8" w:rsidRDefault="00FA366A" w:rsidP="00A97F07">
      <w:pPr>
        <w:pStyle w:val="ListParagraph"/>
        <w:numPr>
          <w:ilvl w:val="0"/>
          <w:numId w:val="9"/>
        </w:numPr>
      </w:pPr>
      <w:r w:rsidRPr="002C21B8">
        <w:t>Writing – original draft</w:t>
      </w:r>
    </w:p>
    <w:p w14:paraId="79B0CED9" w14:textId="77777777" w:rsidR="00FA366A" w:rsidRPr="002C21B8" w:rsidRDefault="00FA366A" w:rsidP="00A97F07">
      <w:pPr>
        <w:pStyle w:val="ListParagraph"/>
        <w:numPr>
          <w:ilvl w:val="0"/>
          <w:numId w:val="9"/>
        </w:numPr>
      </w:pPr>
      <w:r w:rsidRPr="002C21B8">
        <w:t>Writing – review and editing</w:t>
      </w:r>
    </w:p>
    <w:p w14:paraId="0EFC48C1" w14:textId="693420CA" w:rsidR="00FA366A" w:rsidRPr="002C21B8" w:rsidRDefault="00A41E8D" w:rsidP="003374F4">
      <w:r w:rsidRPr="002C21B8">
        <w:rPr>
          <w:noProof/>
        </w:rPr>
        <w:drawing>
          <wp:anchor distT="0" distB="0" distL="114300" distR="114300" simplePos="0" relativeHeight="252059648" behindDoc="0" locked="0" layoutInCell="1" allowOverlap="1" wp14:anchorId="043D3E59" wp14:editId="5615D95E">
            <wp:simplePos x="0" y="0"/>
            <wp:positionH relativeFrom="column">
              <wp:posOffset>646771</wp:posOffset>
            </wp:positionH>
            <wp:positionV relativeFrom="paragraph">
              <wp:posOffset>148730</wp:posOffset>
            </wp:positionV>
            <wp:extent cx="947651" cy="613186"/>
            <wp:effectExtent l="0" t="0" r="0" b="0"/>
            <wp:wrapNone/>
            <wp:docPr id="148131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44" name="Picture 3008344"/>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47651" cy="613186"/>
                    </a:xfrm>
                    <a:prstGeom prst="rect">
                      <a:avLst/>
                    </a:prstGeom>
                  </pic:spPr>
                </pic:pic>
              </a:graphicData>
            </a:graphic>
            <wp14:sizeRelH relativeFrom="margin">
              <wp14:pctWidth>0</wp14:pctWidth>
            </wp14:sizeRelH>
            <wp14:sizeRelV relativeFrom="margin">
              <wp14:pctHeight>0</wp14:pctHeight>
            </wp14:sizeRelV>
          </wp:anchor>
        </w:drawing>
      </w:r>
    </w:p>
    <w:p w14:paraId="7F7FD991" w14:textId="22E40312" w:rsidR="00FA366A" w:rsidRPr="002C21B8" w:rsidRDefault="00FA366A" w:rsidP="003374F4">
      <w:r w:rsidRPr="002C21B8">
        <w:t xml:space="preserve">Signed: </w:t>
      </w:r>
      <w:r w:rsidRPr="002C21B8">
        <w:tab/>
      </w:r>
      <w:r w:rsidRPr="002C21B8">
        <w:tab/>
      </w:r>
      <w:r w:rsidRPr="002C21B8">
        <w:tab/>
      </w:r>
      <w:r w:rsidR="00D36CBB" w:rsidRPr="002C21B8">
        <w:tab/>
      </w:r>
      <w:r w:rsidRPr="002C21B8">
        <w:t xml:space="preserve">Dated: </w:t>
      </w:r>
      <w:r w:rsidR="00A41E8D" w:rsidRPr="002C21B8">
        <w:t>14/05/2026</w:t>
      </w:r>
      <w:r w:rsidRPr="002C21B8">
        <w:tab/>
      </w:r>
      <w:r w:rsidRPr="002C21B8">
        <w:tab/>
        <w:t>Print Name: Matthew Gittus</w:t>
      </w:r>
    </w:p>
    <w:p w14:paraId="66CA9E7D" w14:textId="591E391B" w:rsidR="00FA366A" w:rsidRPr="002C21B8" w:rsidRDefault="00A41E8D" w:rsidP="003374F4">
      <w:r w:rsidRPr="002C21B8">
        <w:rPr>
          <w:noProof/>
        </w:rPr>
        <w:drawing>
          <wp:anchor distT="0" distB="0" distL="114300" distR="114300" simplePos="0" relativeHeight="252057600" behindDoc="0" locked="0" layoutInCell="1" allowOverlap="1" wp14:anchorId="5AC14BE7" wp14:editId="04193513">
            <wp:simplePos x="0" y="0"/>
            <wp:positionH relativeFrom="column">
              <wp:posOffset>646430</wp:posOffset>
            </wp:positionH>
            <wp:positionV relativeFrom="paragraph">
              <wp:posOffset>293060</wp:posOffset>
            </wp:positionV>
            <wp:extent cx="646918" cy="382270"/>
            <wp:effectExtent l="0" t="0" r="1270" b="0"/>
            <wp:wrapNone/>
            <wp:docPr id="276508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2986" name=""/>
                    <pic:cNvPicPr/>
                  </pic:nvPicPr>
                  <pic:blipFill>
                    <a:blip r:embed="rId151">
                      <a:extLst>
                        <a:ext uri="{28A0092B-C50C-407E-A947-70E740481C1C}">
                          <a14:useLocalDpi xmlns:a14="http://schemas.microsoft.com/office/drawing/2010/main" val="0"/>
                        </a:ext>
                      </a:extLst>
                    </a:blip>
                    <a:stretch>
                      <a:fillRect/>
                    </a:stretch>
                  </pic:blipFill>
                  <pic:spPr>
                    <a:xfrm>
                      <a:off x="0" y="0"/>
                      <a:ext cx="646918" cy="382270"/>
                    </a:xfrm>
                    <a:prstGeom prst="rect">
                      <a:avLst/>
                    </a:prstGeom>
                  </pic:spPr>
                </pic:pic>
              </a:graphicData>
            </a:graphic>
            <wp14:sizeRelH relativeFrom="page">
              <wp14:pctWidth>0</wp14:pctWidth>
            </wp14:sizeRelH>
            <wp14:sizeRelV relativeFrom="page">
              <wp14:pctHeight>0</wp14:pctHeight>
            </wp14:sizeRelV>
          </wp:anchor>
        </w:drawing>
      </w:r>
    </w:p>
    <w:p w14:paraId="062F0332" w14:textId="34C6E8EE" w:rsidR="00FA366A" w:rsidRPr="002C21B8" w:rsidRDefault="00FA366A" w:rsidP="003374F4">
      <w:r w:rsidRPr="002C21B8">
        <w:t xml:space="preserve">Signed: </w:t>
      </w:r>
      <w:r w:rsidRPr="002C21B8">
        <w:tab/>
      </w:r>
      <w:r w:rsidRPr="002C21B8">
        <w:tab/>
      </w:r>
      <w:r w:rsidR="00D36CBB" w:rsidRPr="002C21B8">
        <w:tab/>
      </w:r>
      <w:r w:rsidRPr="002C21B8">
        <w:tab/>
        <w:t xml:space="preserve">Dated: </w:t>
      </w:r>
      <w:r w:rsidR="00A41E8D" w:rsidRPr="002C21B8">
        <w:t>14/05/2026</w:t>
      </w:r>
      <w:r w:rsidRPr="002C21B8">
        <w:tab/>
      </w:r>
      <w:r w:rsidRPr="002C21B8">
        <w:tab/>
        <w:t>Print Name: James Fotheringham</w:t>
      </w:r>
    </w:p>
    <w:p w14:paraId="06521440" w14:textId="77777777" w:rsidR="00902D3F" w:rsidRPr="002C21B8" w:rsidRDefault="00902D3F">
      <w:pPr>
        <w:spacing w:after="0" w:line="240" w:lineRule="auto"/>
        <w:jc w:val="left"/>
      </w:pPr>
      <w:r w:rsidRPr="002C21B8">
        <w:br w:type="page"/>
      </w:r>
    </w:p>
    <w:p w14:paraId="5A5F5B0F" w14:textId="1D55F985" w:rsidR="00FA366A" w:rsidRPr="002C21B8" w:rsidRDefault="00FA366A" w:rsidP="0087500D">
      <w:pPr>
        <w:rPr>
          <w:b/>
          <w:bCs/>
          <w:sz w:val="28"/>
          <w:szCs w:val="28"/>
        </w:rPr>
      </w:pPr>
      <w:r w:rsidRPr="002C21B8">
        <w:rPr>
          <w:b/>
          <w:bCs/>
          <w:sz w:val="28"/>
          <w:szCs w:val="28"/>
        </w:rPr>
        <w:t xml:space="preserve">Chapter </w:t>
      </w:r>
      <w:r w:rsidR="00EB5EE8" w:rsidRPr="002C21B8">
        <w:rPr>
          <w:b/>
          <w:bCs/>
          <w:sz w:val="28"/>
          <w:szCs w:val="28"/>
        </w:rPr>
        <w:t>7</w:t>
      </w:r>
    </w:p>
    <w:p w14:paraId="00F31442" w14:textId="5D28C9E6" w:rsidR="00866D3D" w:rsidRPr="002C21B8" w:rsidRDefault="00FA366A" w:rsidP="003374F4">
      <w:pPr>
        <w:rPr>
          <w:shd w:val="clear" w:color="auto" w:fill="FFFFFF"/>
        </w:rPr>
      </w:pPr>
      <w:r w:rsidRPr="002C21B8">
        <w:rPr>
          <w:shd w:val="clear" w:color="auto" w:fill="FFFFFF"/>
        </w:rPr>
        <w:t>Gittus</w:t>
      </w:r>
      <w:r w:rsidR="00902D3F" w:rsidRPr="002C21B8">
        <w:rPr>
          <w:shd w:val="clear" w:color="auto" w:fill="FFFFFF"/>
        </w:rPr>
        <w:t>,</w:t>
      </w:r>
      <w:r w:rsidRPr="002C21B8">
        <w:rPr>
          <w:shd w:val="clear" w:color="auto" w:fill="FFFFFF"/>
        </w:rPr>
        <w:t xml:space="preserve"> M</w:t>
      </w:r>
      <w:r w:rsidR="00902D3F" w:rsidRPr="002C21B8">
        <w:rPr>
          <w:shd w:val="clear" w:color="auto" w:fill="FFFFFF"/>
        </w:rPr>
        <w:t>.</w:t>
      </w:r>
      <w:r w:rsidRPr="002C21B8">
        <w:rPr>
          <w:shd w:val="clear" w:color="auto" w:fill="FFFFFF"/>
        </w:rPr>
        <w:t>, Fotheringham</w:t>
      </w:r>
      <w:r w:rsidR="00902D3F" w:rsidRPr="002C21B8">
        <w:rPr>
          <w:shd w:val="clear" w:color="auto" w:fill="FFFFFF"/>
        </w:rPr>
        <w:t>,</w:t>
      </w:r>
      <w:r w:rsidRPr="002C21B8">
        <w:rPr>
          <w:shd w:val="clear" w:color="auto" w:fill="FFFFFF"/>
        </w:rPr>
        <w:t xml:space="preserve"> J</w:t>
      </w:r>
      <w:r w:rsidR="00902D3F" w:rsidRPr="002C21B8">
        <w:rPr>
          <w:shd w:val="clear" w:color="auto" w:fill="FFFFFF"/>
        </w:rPr>
        <w:t>.</w:t>
      </w:r>
      <w:r w:rsidRPr="002C21B8">
        <w:rPr>
          <w:shd w:val="clear" w:color="auto" w:fill="FFFFFF"/>
        </w:rPr>
        <w:t xml:space="preserve">, </w:t>
      </w:r>
      <w:r w:rsidR="00902D3F" w:rsidRPr="002C21B8">
        <w:rPr>
          <w:shd w:val="clear" w:color="auto" w:fill="FFFFFF"/>
        </w:rPr>
        <w:t xml:space="preserve">Ong, A.C.M., </w:t>
      </w:r>
      <w:r w:rsidRPr="002C21B8">
        <w:rPr>
          <w:shd w:val="clear" w:color="auto" w:fill="FFFFFF"/>
        </w:rPr>
        <w:t>O’Cathain A.</w:t>
      </w:r>
      <w:r w:rsidRPr="002C21B8">
        <w:t xml:space="preserve"> </w:t>
      </w:r>
      <w:r w:rsidR="00866D3D" w:rsidRPr="002C21B8">
        <w:rPr>
          <w:shd w:val="clear" w:color="auto" w:fill="FFFFFF"/>
        </w:rPr>
        <w:t xml:space="preserve">Developing a conceptual model </w:t>
      </w:r>
      <w:r w:rsidR="00D329CE" w:rsidRPr="002C21B8">
        <w:rPr>
          <w:shd w:val="clear" w:color="auto" w:fill="FFFFFF"/>
        </w:rPr>
        <w:t>of</w:t>
      </w:r>
      <w:r w:rsidR="00FA1764" w:rsidRPr="002C21B8">
        <w:rPr>
          <w:shd w:val="clear" w:color="auto" w:fill="FFFFFF"/>
        </w:rPr>
        <w:t xml:space="preserve"> </w:t>
      </w:r>
      <w:r w:rsidR="00866D3D" w:rsidRPr="002C21B8">
        <w:rPr>
          <w:shd w:val="clear" w:color="auto" w:fill="FFFFFF"/>
        </w:rPr>
        <w:t xml:space="preserve">prescribing </w:t>
      </w:r>
      <w:r w:rsidR="00D329CE" w:rsidRPr="002C21B8">
        <w:rPr>
          <w:shd w:val="clear" w:color="auto" w:fill="FFFFFF"/>
        </w:rPr>
        <w:t xml:space="preserve">decision-making </w:t>
      </w:r>
      <w:r w:rsidR="00FA1764" w:rsidRPr="002C21B8">
        <w:rPr>
          <w:shd w:val="clear" w:color="auto" w:fill="FFFFFF"/>
        </w:rPr>
        <w:t>in</w:t>
      </w:r>
      <w:r w:rsidR="00866D3D" w:rsidRPr="002C21B8">
        <w:rPr>
          <w:shd w:val="clear" w:color="auto" w:fill="FFFFFF"/>
        </w:rPr>
        <w:t xml:space="preserve"> rare diseases: insights from tolvaptan prescribing for autosomal dominant polycystic kidney disease</w:t>
      </w:r>
    </w:p>
    <w:p w14:paraId="716521DE" w14:textId="77777777" w:rsidR="00FA366A" w:rsidRPr="002C21B8" w:rsidRDefault="00FA366A" w:rsidP="003374F4"/>
    <w:p w14:paraId="4FD12381" w14:textId="77777777" w:rsidR="00FA366A" w:rsidRPr="002C21B8" w:rsidRDefault="00FA366A" w:rsidP="003374F4">
      <w:r w:rsidRPr="002C21B8">
        <w:t>I, Matthew Gittus contributed to the following sections:</w:t>
      </w:r>
    </w:p>
    <w:p w14:paraId="254BEE3F" w14:textId="77777777" w:rsidR="00FA366A" w:rsidRPr="002C21B8" w:rsidRDefault="00FA366A" w:rsidP="00A97F07">
      <w:pPr>
        <w:pStyle w:val="ListParagraph"/>
        <w:numPr>
          <w:ilvl w:val="0"/>
          <w:numId w:val="9"/>
        </w:numPr>
      </w:pPr>
      <w:r w:rsidRPr="002C21B8">
        <w:t>Conceptualisation</w:t>
      </w:r>
    </w:p>
    <w:p w14:paraId="6CFFAD51" w14:textId="77777777" w:rsidR="00FA366A" w:rsidRPr="002C21B8" w:rsidRDefault="00FA366A" w:rsidP="00A97F07">
      <w:pPr>
        <w:pStyle w:val="ListParagraph"/>
        <w:numPr>
          <w:ilvl w:val="0"/>
          <w:numId w:val="9"/>
        </w:numPr>
      </w:pPr>
      <w:r w:rsidRPr="002C21B8">
        <w:t xml:space="preserve">Data collection/ investigation </w:t>
      </w:r>
    </w:p>
    <w:p w14:paraId="27A8F2BD" w14:textId="77777777" w:rsidR="00FA366A" w:rsidRPr="002C21B8" w:rsidRDefault="00FA366A" w:rsidP="00A97F07">
      <w:pPr>
        <w:pStyle w:val="ListParagraph"/>
        <w:numPr>
          <w:ilvl w:val="0"/>
          <w:numId w:val="9"/>
        </w:numPr>
      </w:pPr>
      <w:r w:rsidRPr="002C21B8">
        <w:t>Screening/Data extraction</w:t>
      </w:r>
    </w:p>
    <w:p w14:paraId="17750F4F" w14:textId="77777777" w:rsidR="00FA366A" w:rsidRPr="002C21B8" w:rsidRDefault="00FA366A" w:rsidP="00A97F07">
      <w:pPr>
        <w:pStyle w:val="ListParagraph"/>
        <w:numPr>
          <w:ilvl w:val="0"/>
          <w:numId w:val="9"/>
        </w:numPr>
      </w:pPr>
      <w:r w:rsidRPr="002C21B8">
        <w:t>Data analysis and interpretation</w:t>
      </w:r>
    </w:p>
    <w:p w14:paraId="00D90A97" w14:textId="77777777" w:rsidR="00FA366A" w:rsidRPr="002C21B8" w:rsidRDefault="00FA366A" w:rsidP="00A97F07">
      <w:pPr>
        <w:pStyle w:val="ListParagraph"/>
        <w:numPr>
          <w:ilvl w:val="0"/>
          <w:numId w:val="9"/>
        </w:numPr>
      </w:pPr>
      <w:r w:rsidRPr="002C21B8">
        <w:t>Writing – original draft</w:t>
      </w:r>
    </w:p>
    <w:p w14:paraId="217801DF" w14:textId="77777777" w:rsidR="00FA366A" w:rsidRPr="002C21B8" w:rsidRDefault="00FA366A" w:rsidP="00A97F07">
      <w:pPr>
        <w:pStyle w:val="ListParagraph"/>
        <w:numPr>
          <w:ilvl w:val="0"/>
          <w:numId w:val="9"/>
        </w:numPr>
      </w:pPr>
      <w:r w:rsidRPr="002C21B8">
        <w:t>Writing – review and editing</w:t>
      </w:r>
    </w:p>
    <w:p w14:paraId="13EC98A4" w14:textId="77777777" w:rsidR="00FA366A" w:rsidRPr="002C21B8" w:rsidRDefault="00FA366A" w:rsidP="003374F4">
      <w:r w:rsidRPr="002C21B8">
        <w:rPr>
          <w:noProof/>
        </w:rPr>
        <w:drawing>
          <wp:anchor distT="0" distB="0" distL="114300" distR="114300" simplePos="0" relativeHeight="251686912" behindDoc="0" locked="0" layoutInCell="1" allowOverlap="1" wp14:anchorId="7538A06E" wp14:editId="12FE57DE">
            <wp:simplePos x="0" y="0"/>
            <wp:positionH relativeFrom="column">
              <wp:posOffset>595284</wp:posOffset>
            </wp:positionH>
            <wp:positionV relativeFrom="paragraph">
              <wp:posOffset>154305</wp:posOffset>
            </wp:positionV>
            <wp:extent cx="947651" cy="613186"/>
            <wp:effectExtent l="0" t="0" r="0" b="0"/>
            <wp:wrapNone/>
            <wp:docPr id="1976680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344" name="Picture 3008344"/>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947651" cy="613186"/>
                    </a:xfrm>
                    <a:prstGeom prst="rect">
                      <a:avLst/>
                    </a:prstGeom>
                  </pic:spPr>
                </pic:pic>
              </a:graphicData>
            </a:graphic>
            <wp14:sizeRelH relativeFrom="margin">
              <wp14:pctWidth>0</wp14:pctWidth>
            </wp14:sizeRelH>
            <wp14:sizeRelV relativeFrom="margin">
              <wp14:pctHeight>0</wp14:pctHeight>
            </wp14:sizeRelV>
          </wp:anchor>
        </w:drawing>
      </w:r>
    </w:p>
    <w:p w14:paraId="76A87546" w14:textId="11657068" w:rsidR="00FA366A" w:rsidRPr="002C21B8" w:rsidRDefault="00FA366A" w:rsidP="003374F4">
      <w:r w:rsidRPr="002C21B8">
        <w:t>Signed:</w:t>
      </w:r>
      <w:r w:rsidR="00D36CBB" w:rsidRPr="002C21B8">
        <w:tab/>
      </w:r>
      <w:r w:rsidRPr="002C21B8">
        <w:t xml:space="preserve"> </w:t>
      </w:r>
      <w:r w:rsidRPr="002C21B8">
        <w:tab/>
      </w:r>
      <w:r w:rsidRPr="002C21B8">
        <w:tab/>
      </w:r>
      <w:r w:rsidRPr="002C21B8">
        <w:tab/>
        <w:t xml:space="preserve">Dated: </w:t>
      </w:r>
      <w:r w:rsidR="00A41E8D" w:rsidRPr="002C21B8">
        <w:t>14/05/2026</w:t>
      </w:r>
      <w:r w:rsidRPr="002C21B8">
        <w:tab/>
      </w:r>
      <w:r w:rsidRPr="002C21B8">
        <w:tab/>
        <w:t>Print Name: Matthew Gittus</w:t>
      </w:r>
    </w:p>
    <w:p w14:paraId="37A7EEA3" w14:textId="690BF16C" w:rsidR="00FA366A" w:rsidRPr="002C21B8" w:rsidRDefault="00A41E8D" w:rsidP="003374F4">
      <w:r w:rsidRPr="002C21B8">
        <w:rPr>
          <w:noProof/>
        </w:rPr>
        <w:drawing>
          <wp:anchor distT="0" distB="0" distL="114300" distR="114300" simplePos="0" relativeHeight="252061696" behindDoc="0" locked="0" layoutInCell="1" allowOverlap="1" wp14:anchorId="12E982DA" wp14:editId="1F40BF38">
            <wp:simplePos x="0" y="0"/>
            <wp:positionH relativeFrom="column">
              <wp:posOffset>591015</wp:posOffset>
            </wp:positionH>
            <wp:positionV relativeFrom="paragraph">
              <wp:posOffset>282544</wp:posOffset>
            </wp:positionV>
            <wp:extent cx="646918" cy="382270"/>
            <wp:effectExtent l="0" t="0" r="1270" b="0"/>
            <wp:wrapNone/>
            <wp:docPr id="721353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02986" name=""/>
                    <pic:cNvPicPr/>
                  </pic:nvPicPr>
                  <pic:blipFill>
                    <a:blip r:embed="rId151">
                      <a:extLst>
                        <a:ext uri="{28A0092B-C50C-407E-A947-70E740481C1C}">
                          <a14:useLocalDpi xmlns:a14="http://schemas.microsoft.com/office/drawing/2010/main" val="0"/>
                        </a:ext>
                      </a:extLst>
                    </a:blip>
                    <a:stretch>
                      <a:fillRect/>
                    </a:stretch>
                  </pic:blipFill>
                  <pic:spPr>
                    <a:xfrm>
                      <a:off x="0" y="0"/>
                      <a:ext cx="646918" cy="382270"/>
                    </a:xfrm>
                    <a:prstGeom prst="rect">
                      <a:avLst/>
                    </a:prstGeom>
                  </pic:spPr>
                </pic:pic>
              </a:graphicData>
            </a:graphic>
            <wp14:sizeRelH relativeFrom="page">
              <wp14:pctWidth>0</wp14:pctWidth>
            </wp14:sizeRelH>
            <wp14:sizeRelV relativeFrom="page">
              <wp14:pctHeight>0</wp14:pctHeight>
            </wp14:sizeRelV>
          </wp:anchor>
        </w:drawing>
      </w:r>
    </w:p>
    <w:p w14:paraId="407AAA2C" w14:textId="62301113" w:rsidR="00FA366A" w:rsidRPr="002C21B8" w:rsidRDefault="00FA366A" w:rsidP="003374F4">
      <w:r w:rsidRPr="002C21B8">
        <w:t xml:space="preserve">Signed: </w:t>
      </w:r>
      <w:r w:rsidRPr="002C21B8">
        <w:tab/>
      </w:r>
      <w:r w:rsidR="00D36CBB" w:rsidRPr="002C21B8">
        <w:tab/>
      </w:r>
      <w:r w:rsidRPr="002C21B8">
        <w:tab/>
      </w:r>
      <w:r w:rsidRPr="002C21B8">
        <w:tab/>
        <w:t xml:space="preserve">Dated: </w:t>
      </w:r>
      <w:r w:rsidR="00A41E8D" w:rsidRPr="002C21B8">
        <w:t>14/05/2026</w:t>
      </w:r>
      <w:r w:rsidRPr="002C21B8">
        <w:tab/>
      </w:r>
      <w:r w:rsidR="00C75F20" w:rsidRPr="002C21B8">
        <w:tab/>
      </w:r>
      <w:r w:rsidRPr="002C21B8">
        <w:t>Print Name: James Fotheringham</w:t>
      </w:r>
    </w:p>
    <w:p w14:paraId="3CDF3459" w14:textId="092C02A2" w:rsidR="009B7248" w:rsidRPr="002C21B8" w:rsidRDefault="009B7248" w:rsidP="00581663">
      <w:pPr>
        <w:pStyle w:val="Heading2"/>
        <w:sectPr w:rsidR="009B7248" w:rsidRPr="002C21B8" w:rsidSect="0009672F">
          <w:headerReference w:type="default" r:id="rId152"/>
          <w:type w:val="continuous"/>
          <w:pgSz w:w="11906" w:h="16838"/>
          <w:pgMar w:top="1440" w:right="1440" w:bottom="1440" w:left="1440" w:header="708" w:footer="708" w:gutter="0"/>
          <w:cols w:space="708"/>
          <w:docGrid w:linePitch="360"/>
        </w:sectPr>
      </w:pPr>
    </w:p>
    <w:p w14:paraId="4A05FB95" w14:textId="62915F37" w:rsidR="00902D3F" w:rsidRPr="002C21B8" w:rsidRDefault="00902D3F">
      <w:pPr>
        <w:spacing w:after="0" w:line="240" w:lineRule="auto"/>
        <w:jc w:val="left"/>
        <w:rPr>
          <w:rFonts w:eastAsiaTheme="majorEastAsia"/>
          <w:b/>
          <w:bCs/>
          <w:color w:val="000000" w:themeColor="text1"/>
          <w:sz w:val="32"/>
          <w:szCs w:val="32"/>
        </w:rPr>
      </w:pPr>
      <w:bookmarkStart w:id="426" w:name="_Appendix_2._Ethical"/>
      <w:bookmarkEnd w:id="426"/>
      <w:r w:rsidRPr="002C21B8">
        <w:br w:type="page"/>
      </w:r>
    </w:p>
    <w:p w14:paraId="42C21740" w14:textId="44B760B6" w:rsidR="000E2B01" w:rsidRPr="002C21B8" w:rsidRDefault="000E2B01" w:rsidP="00581663">
      <w:pPr>
        <w:pStyle w:val="Heading2"/>
        <w:numPr>
          <w:ilvl w:val="0"/>
          <w:numId w:val="0"/>
        </w:numPr>
      </w:pPr>
      <w:bookmarkStart w:id="427" w:name="_Appendix_2._Ethical_1"/>
      <w:bookmarkStart w:id="428" w:name="_Toc229687254"/>
      <w:bookmarkEnd w:id="427"/>
      <w:r w:rsidRPr="002C21B8">
        <w:t>Appendix 2. Ethical approval documents</w:t>
      </w:r>
      <w:bookmarkEnd w:id="428"/>
    </w:p>
    <w:p w14:paraId="5D909373" w14:textId="7306E81F" w:rsidR="00C83686" w:rsidRPr="002C21B8" w:rsidRDefault="00C83686" w:rsidP="004507C8">
      <w:pPr>
        <w:pStyle w:val="Heading3"/>
        <w:numPr>
          <w:ilvl w:val="0"/>
          <w:numId w:val="0"/>
        </w:numPr>
      </w:pPr>
      <w:r w:rsidRPr="002C21B8">
        <w:t>University of Sheffield Research Ethics Committee approval for analysis of registry data</w:t>
      </w:r>
    </w:p>
    <w:p w14:paraId="2B02DBC0" w14:textId="77777777" w:rsidR="000E2B01" w:rsidRPr="002C21B8" w:rsidRDefault="000E2B01" w:rsidP="000E2B01">
      <w:pPr>
        <w:spacing w:after="0" w:line="240" w:lineRule="auto"/>
        <w:jc w:val="left"/>
      </w:pPr>
      <w:r w:rsidRPr="002C21B8">
        <w:rPr>
          <w:noProof/>
        </w:rPr>
        <w:drawing>
          <wp:inline distT="0" distB="0" distL="0" distR="0" wp14:anchorId="6A3D6AF9" wp14:editId="77AE2944">
            <wp:extent cx="5688000" cy="4177125"/>
            <wp:effectExtent l="0" t="0" r="1905" b="1270"/>
            <wp:docPr id="481480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80511" name=""/>
                    <pic:cNvPicPr/>
                  </pic:nvPicPr>
                  <pic:blipFill>
                    <a:blip r:embed="rId153"/>
                    <a:stretch>
                      <a:fillRect/>
                    </a:stretch>
                  </pic:blipFill>
                  <pic:spPr>
                    <a:xfrm>
                      <a:off x="0" y="0"/>
                      <a:ext cx="5689600" cy="4178300"/>
                    </a:xfrm>
                    <a:prstGeom prst="rect">
                      <a:avLst/>
                    </a:prstGeom>
                  </pic:spPr>
                </pic:pic>
              </a:graphicData>
            </a:graphic>
          </wp:inline>
        </w:drawing>
      </w:r>
    </w:p>
    <w:p w14:paraId="27B52500" w14:textId="77777777" w:rsidR="000E2B01" w:rsidRPr="002C21B8" w:rsidRDefault="000E2B01" w:rsidP="000E2B01">
      <w:pPr>
        <w:spacing w:after="0" w:line="240" w:lineRule="auto"/>
        <w:jc w:val="left"/>
      </w:pPr>
    </w:p>
    <w:p w14:paraId="6B593914" w14:textId="77777777" w:rsidR="000E2B01" w:rsidRPr="002C21B8" w:rsidRDefault="000E2B01" w:rsidP="000E2B01">
      <w:pPr>
        <w:spacing w:after="0" w:line="240" w:lineRule="auto"/>
        <w:jc w:val="left"/>
        <w:rPr>
          <w:rFonts w:eastAsiaTheme="majorEastAsia"/>
          <w:b/>
          <w:bCs/>
          <w:color w:val="000000" w:themeColor="text1"/>
          <w:sz w:val="28"/>
          <w:szCs w:val="28"/>
        </w:rPr>
      </w:pPr>
      <w:r w:rsidRPr="002C21B8">
        <w:br w:type="page"/>
      </w:r>
    </w:p>
    <w:p w14:paraId="58531392" w14:textId="289E4A67" w:rsidR="00C83686" w:rsidRPr="002C21B8" w:rsidRDefault="00C83686" w:rsidP="00BF6367">
      <w:pPr>
        <w:pStyle w:val="Heading3"/>
        <w:keepNext w:val="0"/>
        <w:keepLines w:val="0"/>
        <w:numPr>
          <w:ilvl w:val="0"/>
          <w:numId w:val="0"/>
        </w:numPr>
      </w:pPr>
      <w:r w:rsidRPr="002C21B8">
        <w:t xml:space="preserve">Dulwich Research Ethics Committee approval for </w:t>
      </w:r>
      <w:r w:rsidR="00A15369" w:rsidRPr="002C21B8">
        <w:t>programme of research</w:t>
      </w:r>
    </w:p>
    <w:p w14:paraId="58EFAA6D" w14:textId="77777777" w:rsidR="000E2B01" w:rsidRPr="002C21B8" w:rsidRDefault="000E2B01" w:rsidP="00BF6367">
      <w:pPr>
        <w:pStyle w:val="Heading3"/>
        <w:keepNext w:val="0"/>
        <w:keepLines w:val="0"/>
        <w:numPr>
          <w:ilvl w:val="0"/>
          <w:numId w:val="0"/>
        </w:numPr>
      </w:pPr>
      <w:r w:rsidRPr="002C21B8">
        <w:rPr>
          <w:noProof/>
        </w:rPr>
        <w:drawing>
          <wp:inline distT="0" distB="0" distL="0" distR="0" wp14:anchorId="4774C0DB" wp14:editId="069F9861">
            <wp:extent cx="5400000" cy="6273134"/>
            <wp:effectExtent l="0" t="0" r="0" b="1270"/>
            <wp:docPr id="146784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40489" name=""/>
                    <pic:cNvPicPr/>
                  </pic:nvPicPr>
                  <pic:blipFill>
                    <a:blip r:embed="rId154"/>
                    <a:stretch>
                      <a:fillRect/>
                    </a:stretch>
                  </pic:blipFill>
                  <pic:spPr>
                    <a:xfrm>
                      <a:off x="0" y="0"/>
                      <a:ext cx="5400000" cy="6273134"/>
                    </a:xfrm>
                    <a:prstGeom prst="rect">
                      <a:avLst/>
                    </a:prstGeom>
                  </pic:spPr>
                </pic:pic>
              </a:graphicData>
            </a:graphic>
          </wp:inline>
        </w:drawing>
      </w:r>
      <w:r w:rsidRPr="002C21B8">
        <w:br w:type="page"/>
      </w:r>
    </w:p>
    <w:p w14:paraId="4339B2E0" w14:textId="77777777" w:rsidR="00DD48D7" w:rsidRPr="002C21B8" w:rsidRDefault="00DD48D7" w:rsidP="00BF6367"/>
    <w:p w14:paraId="0A6EB2EF" w14:textId="77777777" w:rsidR="00335B86" w:rsidRPr="002C21B8" w:rsidRDefault="00335B86" w:rsidP="00BF6367"/>
    <w:p w14:paraId="7D6A02AB" w14:textId="77777777" w:rsidR="000E2B01" w:rsidRPr="002C21B8" w:rsidRDefault="000E2B01" w:rsidP="00BF6367">
      <w:r w:rsidRPr="002C21B8">
        <w:rPr>
          <w:noProof/>
        </w:rPr>
        <w:drawing>
          <wp:inline distT="0" distB="0" distL="0" distR="0" wp14:anchorId="507CC2D6" wp14:editId="76CE3BEF">
            <wp:extent cx="5400000" cy="7030189"/>
            <wp:effectExtent l="0" t="0" r="0" b="0"/>
            <wp:docPr id="22701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10101" name=""/>
                    <pic:cNvPicPr/>
                  </pic:nvPicPr>
                  <pic:blipFill>
                    <a:blip r:embed="rId155"/>
                    <a:stretch>
                      <a:fillRect/>
                    </a:stretch>
                  </pic:blipFill>
                  <pic:spPr>
                    <a:xfrm>
                      <a:off x="0" y="0"/>
                      <a:ext cx="5400000" cy="7030189"/>
                    </a:xfrm>
                    <a:prstGeom prst="rect">
                      <a:avLst/>
                    </a:prstGeom>
                  </pic:spPr>
                </pic:pic>
              </a:graphicData>
            </a:graphic>
          </wp:inline>
        </w:drawing>
      </w:r>
    </w:p>
    <w:p w14:paraId="66F5499D" w14:textId="77777777" w:rsidR="000E2B01" w:rsidRPr="002C21B8" w:rsidRDefault="000E2B01" w:rsidP="00BF6367">
      <w:r w:rsidRPr="002C21B8">
        <w:br w:type="page"/>
      </w:r>
    </w:p>
    <w:p w14:paraId="450F5236" w14:textId="77777777" w:rsidR="00DD48D7" w:rsidRPr="002C21B8" w:rsidRDefault="00DD48D7" w:rsidP="00BF6367"/>
    <w:p w14:paraId="6553FAA9" w14:textId="77777777" w:rsidR="00335B86" w:rsidRPr="002C21B8" w:rsidRDefault="00335B86" w:rsidP="00BF6367"/>
    <w:p w14:paraId="6B15F0A9" w14:textId="77777777" w:rsidR="000E2B01" w:rsidRPr="002C21B8" w:rsidRDefault="000E2B01" w:rsidP="00BF6367">
      <w:r w:rsidRPr="002C21B8">
        <w:rPr>
          <w:noProof/>
        </w:rPr>
        <w:drawing>
          <wp:inline distT="0" distB="0" distL="0" distR="0" wp14:anchorId="305F787C" wp14:editId="60A8D584">
            <wp:extent cx="5400000" cy="7002673"/>
            <wp:effectExtent l="0" t="0" r="0" b="0"/>
            <wp:docPr id="1911844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44948" name=""/>
                    <pic:cNvPicPr/>
                  </pic:nvPicPr>
                  <pic:blipFill>
                    <a:blip r:embed="rId156"/>
                    <a:stretch>
                      <a:fillRect/>
                    </a:stretch>
                  </pic:blipFill>
                  <pic:spPr>
                    <a:xfrm>
                      <a:off x="0" y="0"/>
                      <a:ext cx="5400000" cy="7002673"/>
                    </a:xfrm>
                    <a:prstGeom prst="rect">
                      <a:avLst/>
                    </a:prstGeom>
                  </pic:spPr>
                </pic:pic>
              </a:graphicData>
            </a:graphic>
          </wp:inline>
        </w:drawing>
      </w:r>
    </w:p>
    <w:p w14:paraId="43BE816D" w14:textId="77777777" w:rsidR="000E2B01" w:rsidRPr="002C21B8" w:rsidRDefault="000E2B01" w:rsidP="00BF6367">
      <w:r w:rsidRPr="002C21B8">
        <w:br w:type="page"/>
      </w:r>
    </w:p>
    <w:p w14:paraId="7E77FA00" w14:textId="77777777" w:rsidR="000E2B01" w:rsidRPr="002C21B8" w:rsidRDefault="000E2B01" w:rsidP="00BF6367"/>
    <w:p w14:paraId="3A8D4B28" w14:textId="77777777" w:rsidR="00335B86" w:rsidRPr="002C21B8" w:rsidRDefault="00335B86" w:rsidP="00BF6367"/>
    <w:p w14:paraId="5BBED62C" w14:textId="77777777" w:rsidR="000E2B01" w:rsidRPr="002C21B8" w:rsidRDefault="000E2B01" w:rsidP="00BF6367">
      <w:r w:rsidRPr="002C21B8">
        <w:rPr>
          <w:noProof/>
        </w:rPr>
        <w:drawing>
          <wp:inline distT="0" distB="0" distL="0" distR="0" wp14:anchorId="1AF18CE0" wp14:editId="448AC299">
            <wp:extent cx="5400000" cy="6809302"/>
            <wp:effectExtent l="0" t="0" r="0" b="0"/>
            <wp:docPr id="901868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68745" name=""/>
                    <pic:cNvPicPr/>
                  </pic:nvPicPr>
                  <pic:blipFill>
                    <a:blip r:embed="rId157"/>
                    <a:stretch>
                      <a:fillRect/>
                    </a:stretch>
                  </pic:blipFill>
                  <pic:spPr>
                    <a:xfrm>
                      <a:off x="0" y="0"/>
                      <a:ext cx="5400000" cy="6809302"/>
                    </a:xfrm>
                    <a:prstGeom prst="rect">
                      <a:avLst/>
                    </a:prstGeom>
                  </pic:spPr>
                </pic:pic>
              </a:graphicData>
            </a:graphic>
          </wp:inline>
        </w:drawing>
      </w:r>
      <w:r w:rsidRPr="002C21B8">
        <w:br w:type="page"/>
      </w:r>
    </w:p>
    <w:p w14:paraId="3C0D228B" w14:textId="77777777" w:rsidR="00DD48D7" w:rsidRPr="002C21B8" w:rsidRDefault="00DD48D7" w:rsidP="000E2B01"/>
    <w:p w14:paraId="777B5569" w14:textId="77777777" w:rsidR="00335B86" w:rsidRPr="002C21B8" w:rsidRDefault="00335B86" w:rsidP="000E2B01"/>
    <w:p w14:paraId="6D37E7E8" w14:textId="165A5A0C" w:rsidR="000E2B01" w:rsidRPr="002C21B8" w:rsidRDefault="000E2B01" w:rsidP="000E2B01">
      <w:r w:rsidRPr="002C21B8">
        <w:rPr>
          <w:noProof/>
        </w:rPr>
        <w:drawing>
          <wp:inline distT="0" distB="0" distL="0" distR="0" wp14:anchorId="4DD70629" wp14:editId="0DCFAD8D">
            <wp:extent cx="5400000" cy="7084800"/>
            <wp:effectExtent l="0" t="0" r="0" b="1905"/>
            <wp:docPr id="82966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67877" name=""/>
                    <pic:cNvPicPr/>
                  </pic:nvPicPr>
                  <pic:blipFill>
                    <a:blip r:embed="rId158"/>
                    <a:stretch>
                      <a:fillRect/>
                    </a:stretch>
                  </pic:blipFill>
                  <pic:spPr>
                    <a:xfrm>
                      <a:off x="0" y="0"/>
                      <a:ext cx="5400000" cy="7084800"/>
                    </a:xfrm>
                    <a:prstGeom prst="rect">
                      <a:avLst/>
                    </a:prstGeom>
                  </pic:spPr>
                </pic:pic>
              </a:graphicData>
            </a:graphic>
          </wp:inline>
        </w:drawing>
      </w:r>
    </w:p>
    <w:p w14:paraId="14C8915E" w14:textId="77777777" w:rsidR="000E2B01" w:rsidRPr="002C21B8" w:rsidRDefault="000E2B01" w:rsidP="000E2B01"/>
    <w:p w14:paraId="6D7D6DC8" w14:textId="77777777" w:rsidR="000E2B01" w:rsidRPr="002C21B8" w:rsidRDefault="000E2B01" w:rsidP="000E2B01"/>
    <w:p w14:paraId="59E8166B" w14:textId="0DD12CB0" w:rsidR="00FA366A" w:rsidRPr="002C21B8" w:rsidRDefault="00FA366A" w:rsidP="00581663">
      <w:pPr>
        <w:pStyle w:val="Heading2"/>
        <w:numPr>
          <w:ilvl w:val="0"/>
          <w:numId w:val="0"/>
        </w:numPr>
      </w:pPr>
      <w:bookmarkStart w:id="429" w:name="_Appendix_3._Additional"/>
      <w:bookmarkStart w:id="430" w:name="_Toc229687255"/>
      <w:bookmarkEnd w:id="429"/>
      <w:r w:rsidRPr="002C21B8">
        <w:t xml:space="preserve">Appendix </w:t>
      </w:r>
      <w:r w:rsidR="00071700" w:rsidRPr="002C21B8">
        <w:t>3</w:t>
      </w:r>
      <w:r w:rsidRPr="002C21B8">
        <w:t>. Additional detail</w:t>
      </w:r>
      <w:r w:rsidR="004F1C38" w:rsidRPr="002C21B8">
        <w:t>s</w:t>
      </w:r>
      <w:r w:rsidRPr="002C21B8">
        <w:t xml:space="preserve"> </w:t>
      </w:r>
      <w:r w:rsidR="00725EDE" w:rsidRPr="002C21B8">
        <w:t xml:space="preserve">on </w:t>
      </w:r>
      <w:r w:rsidR="001821E0" w:rsidRPr="002C21B8">
        <w:t xml:space="preserve">the </w:t>
      </w:r>
      <w:r w:rsidR="00725EDE" w:rsidRPr="002C21B8">
        <w:t>methods for the</w:t>
      </w:r>
      <w:r w:rsidR="007D5EAB" w:rsidRPr="002C21B8">
        <w:t xml:space="preserve"> </w:t>
      </w:r>
      <w:r w:rsidR="00E70F10" w:rsidRPr="002C21B8">
        <w:t xml:space="preserve">systematic review </w:t>
      </w:r>
      <w:r w:rsidR="007D5EAB" w:rsidRPr="002C21B8">
        <w:t>(</w:t>
      </w:r>
      <w:r w:rsidR="00E70F10" w:rsidRPr="002C21B8">
        <w:t>Phase 1</w:t>
      </w:r>
      <w:r w:rsidR="007D5EAB" w:rsidRPr="002C21B8">
        <w:t>)</w:t>
      </w:r>
      <w:bookmarkEnd w:id="430"/>
    </w:p>
    <w:p w14:paraId="3E6C3DB5" w14:textId="527C7856" w:rsidR="0004779B" w:rsidRPr="002C21B8" w:rsidRDefault="0004779B" w:rsidP="0004779B">
      <w:r w:rsidRPr="002C21B8">
        <w:t>Within this appendix</w:t>
      </w:r>
      <w:r w:rsidR="00A83F20" w:rsidRPr="002C21B8">
        <w:t xml:space="preserve">, </w:t>
      </w:r>
      <w:r w:rsidRPr="002C21B8">
        <w:t>the following additional detail</w:t>
      </w:r>
      <w:r w:rsidR="004F1C38" w:rsidRPr="002C21B8">
        <w:t>s</w:t>
      </w:r>
      <w:r w:rsidRPr="002C21B8">
        <w:t xml:space="preserve"> on the methods </w:t>
      </w:r>
      <w:r w:rsidR="004F1C38" w:rsidRPr="002C21B8">
        <w:t xml:space="preserve">for </w:t>
      </w:r>
      <w:r w:rsidRPr="002C21B8">
        <w:t xml:space="preserve">the </w:t>
      </w:r>
      <w:r w:rsidR="00E06102" w:rsidRPr="002C21B8">
        <w:t>overview of systematic reviews</w:t>
      </w:r>
      <w:r w:rsidRPr="002C21B8">
        <w:t xml:space="preserve"> (Chapter </w:t>
      </w:r>
      <w:r w:rsidR="00AE796C" w:rsidRPr="002C21B8">
        <w:t>4</w:t>
      </w:r>
      <w:r w:rsidRPr="002C21B8">
        <w:t>) are included:</w:t>
      </w:r>
    </w:p>
    <w:p w14:paraId="23088839" w14:textId="77777777" w:rsidR="00CF3236" w:rsidRPr="002C21B8" w:rsidRDefault="00CF3236" w:rsidP="00A97F07">
      <w:pPr>
        <w:pStyle w:val="ListParagraph"/>
        <w:numPr>
          <w:ilvl w:val="0"/>
          <w:numId w:val="52"/>
        </w:numPr>
      </w:pPr>
      <w:r w:rsidRPr="002C21B8">
        <w:t>Scoping review for factors influencing prescribing in rare diseases</w:t>
      </w:r>
    </w:p>
    <w:p w14:paraId="76841916" w14:textId="21EC1DC2" w:rsidR="000655BD" w:rsidRPr="002C21B8" w:rsidRDefault="000655BD" w:rsidP="00A97F07">
      <w:pPr>
        <w:pStyle w:val="ListParagraph"/>
        <w:numPr>
          <w:ilvl w:val="0"/>
          <w:numId w:val="52"/>
        </w:numPr>
      </w:pPr>
      <w:r w:rsidRPr="002C21B8">
        <w:t>Inclusion and exclusion criteria</w:t>
      </w:r>
      <w:r w:rsidR="00D47D55" w:rsidRPr="002C21B8">
        <w:t xml:space="preserve"> for the systematic review of chronic diseases</w:t>
      </w:r>
    </w:p>
    <w:p w14:paraId="31CB5C55" w14:textId="44668870" w:rsidR="0004779B" w:rsidRPr="002C21B8" w:rsidRDefault="0004779B" w:rsidP="00A97F07">
      <w:pPr>
        <w:pStyle w:val="ListParagraph"/>
        <w:numPr>
          <w:ilvl w:val="0"/>
          <w:numId w:val="52"/>
        </w:numPr>
      </w:pPr>
      <w:r w:rsidRPr="002C21B8">
        <w:t xml:space="preserve">Rationale for </w:t>
      </w:r>
      <w:r w:rsidR="000655BD" w:rsidRPr="002C21B8">
        <w:t>inclusion c</w:t>
      </w:r>
      <w:r w:rsidRPr="002C21B8">
        <w:t>riteria</w:t>
      </w:r>
    </w:p>
    <w:p w14:paraId="76EB9C92" w14:textId="18631BA3" w:rsidR="0004779B" w:rsidRPr="002C21B8" w:rsidRDefault="00081B5D" w:rsidP="00A97F07">
      <w:pPr>
        <w:pStyle w:val="ListParagraph"/>
        <w:numPr>
          <w:ilvl w:val="0"/>
          <w:numId w:val="52"/>
        </w:numPr>
      </w:pPr>
      <w:r w:rsidRPr="002C21B8">
        <w:t>Development</w:t>
      </w:r>
      <w:r w:rsidR="0004779B" w:rsidRPr="002C21B8">
        <w:t xml:space="preserve"> of the search strategy</w:t>
      </w:r>
    </w:p>
    <w:p w14:paraId="246E1964" w14:textId="748B456A" w:rsidR="0004779B" w:rsidRPr="002C21B8" w:rsidRDefault="00081B5D" w:rsidP="00A97F07">
      <w:pPr>
        <w:pStyle w:val="ListParagraph"/>
        <w:numPr>
          <w:ilvl w:val="0"/>
          <w:numId w:val="52"/>
        </w:numPr>
      </w:pPr>
      <w:r w:rsidRPr="002C21B8">
        <w:t>D</w:t>
      </w:r>
      <w:r w:rsidR="0004779B" w:rsidRPr="002C21B8">
        <w:t xml:space="preserve">ata collection process </w:t>
      </w:r>
      <w:r w:rsidR="00B15C5D" w:rsidRPr="002C21B8">
        <w:t>(</w:t>
      </w:r>
      <w:r w:rsidR="0004779B" w:rsidRPr="002C21B8">
        <w:t>including an example data extraction</w:t>
      </w:r>
      <w:r w:rsidR="00B15C5D" w:rsidRPr="002C21B8">
        <w:t>)</w:t>
      </w:r>
    </w:p>
    <w:p w14:paraId="6FE24E0D" w14:textId="5AFE8B5A" w:rsidR="0005277A" w:rsidRPr="002C21B8" w:rsidRDefault="0005277A" w:rsidP="00A97F07">
      <w:pPr>
        <w:pStyle w:val="ListParagraph"/>
        <w:numPr>
          <w:ilvl w:val="0"/>
          <w:numId w:val="52"/>
        </w:numPr>
      </w:pPr>
      <w:r w:rsidRPr="002C21B8">
        <w:t xml:space="preserve">Quality and risk of bias assessment </w:t>
      </w:r>
      <w:r w:rsidR="00B15C5D" w:rsidRPr="002C21B8">
        <w:t>(</w:t>
      </w:r>
      <w:r w:rsidRPr="002C21B8">
        <w:t>including example forms</w:t>
      </w:r>
      <w:r w:rsidR="00B15C5D" w:rsidRPr="002C21B8">
        <w:t>)</w:t>
      </w:r>
    </w:p>
    <w:p w14:paraId="5806D2D7" w14:textId="15C3E492" w:rsidR="0005277A" w:rsidRPr="002C21B8" w:rsidRDefault="0005277A" w:rsidP="00A97F07">
      <w:pPr>
        <w:pStyle w:val="ListParagraph"/>
        <w:numPr>
          <w:ilvl w:val="0"/>
          <w:numId w:val="52"/>
        </w:numPr>
      </w:pPr>
      <w:r w:rsidRPr="002C21B8">
        <w:t xml:space="preserve"> Overlap analysis</w:t>
      </w:r>
    </w:p>
    <w:p w14:paraId="416E8865" w14:textId="27619180" w:rsidR="0005277A" w:rsidRPr="002C21B8" w:rsidRDefault="00D61E93" w:rsidP="00A97F07">
      <w:pPr>
        <w:pStyle w:val="ListParagraph"/>
        <w:numPr>
          <w:ilvl w:val="0"/>
          <w:numId w:val="52"/>
        </w:numPr>
      </w:pPr>
      <w:r w:rsidRPr="002C21B8">
        <w:t>Data synthesis</w:t>
      </w:r>
    </w:p>
    <w:p w14:paraId="578973D0" w14:textId="1D01ADFD" w:rsidR="00D61E93" w:rsidRPr="002C21B8" w:rsidRDefault="00D61E93" w:rsidP="00A97F07">
      <w:pPr>
        <w:pStyle w:val="ListParagraph"/>
        <w:numPr>
          <w:ilvl w:val="0"/>
          <w:numId w:val="52"/>
        </w:numPr>
      </w:pPr>
      <w:r w:rsidRPr="002C21B8">
        <w:t>Confidence in findings</w:t>
      </w:r>
    </w:p>
    <w:p w14:paraId="2462EBA5" w14:textId="5A4B1E0E" w:rsidR="00EE787B" w:rsidRPr="002C21B8" w:rsidRDefault="00CF3236" w:rsidP="004507C8">
      <w:pPr>
        <w:pStyle w:val="Heading3"/>
        <w:numPr>
          <w:ilvl w:val="0"/>
          <w:numId w:val="0"/>
        </w:numPr>
      </w:pPr>
      <w:bookmarkStart w:id="431" w:name="_Scoping_review_for"/>
      <w:bookmarkEnd w:id="431"/>
      <w:r w:rsidRPr="002C21B8">
        <w:t>Scoping review for factors influencing prescribing in rare diseases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573"/>
      </w:tblGrid>
      <w:tr w:rsidR="00CF3236" w:rsidRPr="002C21B8" w14:paraId="19E3FEB3" w14:textId="77777777" w:rsidTr="00EB0FFD">
        <w:trPr>
          <w:trHeight w:val="320"/>
        </w:trPr>
        <w:tc>
          <w:tcPr>
            <w:tcW w:w="636" w:type="dxa"/>
            <w:shd w:val="clear" w:color="auto" w:fill="auto"/>
            <w:noWrap/>
            <w:vAlign w:val="center"/>
          </w:tcPr>
          <w:p w14:paraId="0921DE6E" w14:textId="77777777" w:rsidR="00CF3236" w:rsidRPr="002C21B8" w:rsidRDefault="00CF3236" w:rsidP="00EB0FFD">
            <w:pPr>
              <w:spacing w:after="0" w:line="240" w:lineRule="auto"/>
              <w:rPr>
                <w:sz w:val="18"/>
                <w:szCs w:val="18"/>
              </w:rPr>
            </w:pPr>
            <w:r w:rsidRPr="002C21B8">
              <w:rPr>
                <w:sz w:val="18"/>
                <w:szCs w:val="18"/>
              </w:rPr>
              <w:t>#</w:t>
            </w:r>
          </w:p>
        </w:tc>
        <w:tc>
          <w:tcPr>
            <w:tcW w:w="8573" w:type="dxa"/>
            <w:shd w:val="clear" w:color="auto" w:fill="auto"/>
            <w:noWrap/>
            <w:vAlign w:val="center"/>
          </w:tcPr>
          <w:p w14:paraId="735EE0D3" w14:textId="2E6B2FEE" w:rsidR="00CF3236" w:rsidRPr="002C21B8" w:rsidRDefault="00CF3236" w:rsidP="00EB0FFD">
            <w:pPr>
              <w:spacing w:after="0" w:line="240" w:lineRule="auto"/>
              <w:rPr>
                <w:sz w:val="18"/>
                <w:szCs w:val="18"/>
              </w:rPr>
            </w:pPr>
            <w:r w:rsidRPr="002C21B8">
              <w:rPr>
                <w:sz w:val="18"/>
                <w:szCs w:val="18"/>
              </w:rPr>
              <w:t>OVID MEDLINE Search Lines (search date: 01/11/2023)</w:t>
            </w:r>
          </w:p>
        </w:tc>
      </w:tr>
      <w:tr w:rsidR="00CF3236" w:rsidRPr="002C21B8" w14:paraId="372725A1" w14:textId="77777777" w:rsidTr="00EB0FFD">
        <w:trPr>
          <w:trHeight w:val="320"/>
        </w:trPr>
        <w:tc>
          <w:tcPr>
            <w:tcW w:w="636" w:type="dxa"/>
            <w:shd w:val="clear" w:color="auto" w:fill="auto"/>
            <w:noWrap/>
            <w:vAlign w:val="center"/>
            <w:hideMark/>
          </w:tcPr>
          <w:p w14:paraId="5AAECD8D" w14:textId="77777777" w:rsidR="00CF3236" w:rsidRPr="002C21B8" w:rsidRDefault="00CF3236" w:rsidP="00EB0FFD">
            <w:pPr>
              <w:spacing w:after="0" w:line="240" w:lineRule="auto"/>
              <w:rPr>
                <w:sz w:val="18"/>
                <w:szCs w:val="18"/>
              </w:rPr>
            </w:pPr>
            <w:r w:rsidRPr="002C21B8">
              <w:rPr>
                <w:sz w:val="18"/>
                <w:szCs w:val="18"/>
              </w:rPr>
              <w:t>1</w:t>
            </w:r>
          </w:p>
        </w:tc>
        <w:tc>
          <w:tcPr>
            <w:tcW w:w="8573" w:type="dxa"/>
            <w:shd w:val="clear" w:color="auto" w:fill="auto"/>
            <w:noWrap/>
            <w:vAlign w:val="center"/>
            <w:hideMark/>
          </w:tcPr>
          <w:p w14:paraId="7F1080B9" w14:textId="55D5009E" w:rsidR="00CF3236" w:rsidRPr="002C21B8" w:rsidRDefault="00CF3236" w:rsidP="00EB0FFD">
            <w:pPr>
              <w:spacing w:after="0" w:line="240" w:lineRule="auto"/>
              <w:rPr>
                <w:sz w:val="18"/>
                <w:szCs w:val="18"/>
              </w:rPr>
            </w:pPr>
            <w:r w:rsidRPr="002C21B8">
              <w:rPr>
                <w:sz w:val="18"/>
                <w:szCs w:val="18"/>
              </w:rPr>
              <w:t>Rare Diseases/</w:t>
            </w:r>
          </w:p>
        </w:tc>
      </w:tr>
      <w:tr w:rsidR="00CF3236" w:rsidRPr="002C21B8" w14:paraId="53EA1703" w14:textId="77777777" w:rsidTr="00EB0FFD">
        <w:trPr>
          <w:trHeight w:val="320"/>
        </w:trPr>
        <w:tc>
          <w:tcPr>
            <w:tcW w:w="636" w:type="dxa"/>
            <w:shd w:val="clear" w:color="auto" w:fill="auto"/>
            <w:noWrap/>
            <w:vAlign w:val="center"/>
            <w:hideMark/>
          </w:tcPr>
          <w:p w14:paraId="73DB6508" w14:textId="77777777" w:rsidR="00CF3236" w:rsidRPr="002C21B8" w:rsidRDefault="00CF3236" w:rsidP="00EB0FFD">
            <w:pPr>
              <w:spacing w:after="0" w:line="240" w:lineRule="auto"/>
              <w:rPr>
                <w:sz w:val="18"/>
                <w:szCs w:val="18"/>
              </w:rPr>
            </w:pPr>
            <w:r w:rsidRPr="002C21B8">
              <w:rPr>
                <w:sz w:val="18"/>
                <w:szCs w:val="18"/>
              </w:rPr>
              <w:t>2</w:t>
            </w:r>
          </w:p>
        </w:tc>
        <w:tc>
          <w:tcPr>
            <w:tcW w:w="8573" w:type="dxa"/>
            <w:shd w:val="clear" w:color="auto" w:fill="auto"/>
            <w:noWrap/>
            <w:vAlign w:val="center"/>
            <w:hideMark/>
          </w:tcPr>
          <w:p w14:paraId="42BFD20D" w14:textId="373FE95B" w:rsidR="00CF3236" w:rsidRPr="002C21B8" w:rsidRDefault="00CF3236" w:rsidP="00EB0FFD">
            <w:pPr>
              <w:spacing w:after="0" w:line="240" w:lineRule="auto"/>
              <w:rPr>
                <w:sz w:val="18"/>
                <w:szCs w:val="18"/>
              </w:rPr>
            </w:pPr>
            <w:r w:rsidRPr="002C21B8">
              <w:rPr>
                <w:sz w:val="18"/>
                <w:szCs w:val="18"/>
              </w:rPr>
              <w:t>Cystic Fibrosis/</w:t>
            </w:r>
          </w:p>
        </w:tc>
      </w:tr>
      <w:tr w:rsidR="00CF3236" w:rsidRPr="002C21B8" w14:paraId="47DA0DA1" w14:textId="77777777" w:rsidTr="00CF3236">
        <w:trPr>
          <w:trHeight w:val="320"/>
        </w:trPr>
        <w:tc>
          <w:tcPr>
            <w:tcW w:w="636" w:type="dxa"/>
            <w:shd w:val="clear" w:color="auto" w:fill="auto"/>
            <w:noWrap/>
            <w:vAlign w:val="center"/>
            <w:hideMark/>
          </w:tcPr>
          <w:p w14:paraId="5681A335" w14:textId="77777777" w:rsidR="00CF3236" w:rsidRPr="002C21B8" w:rsidRDefault="00CF3236" w:rsidP="00EB0FFD">
            <w:pPr>
              <w:spacing w:after="0" w:line="240" w:lineRule="auto"/>
              <w:rPr>
                <w:sz w:val="18"/>
                <w:szCs w:val="18"/>
              </w:rPr>
            </w:pPr>
            <w:r w:rsidRPr="002C21B8">
              <w:rPr>
                <w:sz w:val="18"/>
                <w:szCs w:val="18"/>
              </w:rPr>
              <w:t>3</w:t>
            </w:r>
          </w:p>
        </w:tc>
        <w:tc>
          <w:tcPr>
            <w:tcW w:w="8573" w:type="dxa"/>
            <w:shd w:val="clear" w:color="auto" w:fill="auto"/>
            <w:noWrap/>
            <w:vAlign w:val="center"/>
          </w:tcPr>
          <w:p w14:paraId="465F0F48" w14:textId="6D16789C" w:rsidR="00CF3236" w:rsidRPr="002C21B8" w:rsidRDefault="00CF3236" w:rsidP="00EB0FFD">
            <w:pPr>
              <w:spacing w:after="0" w:line="240" w:lineRule="auto"/>
              <w:rPr>
                <w:sz w:val="18"/>
                <w:szCs w:val="18"/>
              </w:rPr>
            </w:pPr>
            <w:r w:rsidRPr="002C21B8">
              <w:rPr>
                <w:sz w:val="18"/>
                <w:szCs w:val="18"/>
              </w:rPr>
              <w:t>Idiopathic Pulmonary Fibrosis/</w:t>
            </w:r>
          </w:p>
        </w:tc>
      </w:tr>
      <w:tr w:rsidR="00CF3236" w:rsidRPr="002C21B8" w14:paraId="6B50BD3C" w14:textId="77777777" w:rsidTr="00CF3236">
        <w:trPr>
          <w:trHeight w:val="320"/>
        </w:trPr>
        <w:tc>
          <w:tcPr>
            <w:tcW w:w="636" w:type="dxa"/>
            <w:shd w:val="clear" w:color="auto" w:fill="auto"/>
            <w:noWrap/>
            <w:vAlign w:val="center"/>
            <w:hideMark/>
          </w:tcPr>
          <w:p w14:paraId="1349B67A" w14:textId="77777777" w:rsidR="00CF3236" w:rsidRPr="002C21B8" w:rsidRDefault="00CF3236" w:rsidP="00EB0FFD">
            <w:pPr>
              <w:spacing w:after="0" w:line="240" w:lineRule="auto"/>
              <w:rPr>
                <w:sz w:val="18"/>
                <w:szCs w:val="18"/>
              </w:rPr>
            </w:pPr>
            <w:r w:rsidRPr="002C21B8">
              <w:rPr>
                <w:sz w:val="18"/>
                <w:szCs w:val="18"/>
              </w:rPr>
              <w:t>4</w:t>
            </w:r>
          </w:p>
        </w:tc>
        <w:tc>
          <w:tcPr>
            <w:tcW w:w="8573" w:type="dxa"/>
            <w:shd w:val="clear" w:color="auto" w:fill="auto"/>
            <w:noWrap/>
            <w:vAlign w:val="center"/>
          </w:tcPr>
          <w:p w14:paraId="0DEA29C2" w14:textId="519A4F45" w:rsidR="00CF3236" w:rsidRPr="002C21B8" w:rsidRDefault="00CF3236" w:rsidP="00EB0FFD">
            <w:pPr>
              <w:spacing w:after="0" w:line="240" w:lineRule="auto"/>
              <w:rPr>
                <w:sz w:val="18"/>
                <w:szCs w:val="18"/>
              </w:rPr>
            </w:pPr>
            <w:r w:rsidRPr="002C21B8">
              <w:rPr>
                <w:sz w:val="18"/>
                <w:szCs w:val="18"/>
              </w:rPr>
              <w:t>Uveitis/</w:t>
            </w:r>
          </w:p>
        </w:tc>
      </w:tr>
      <w:tr w:rsidR="00CF3236" w:rsidRPr="002C21B8" w14:paraId="7027A3D7" w14:textId="77777777" w:rsidTr="00CF3236">
        <w:trPr>
          <w:trHeight w:val="320"/>
        </w:trPr>
        <w:tc>
          <w:tcPr>
            <w:tcW w:w="636" w:type="dxa"/>
            <w:shd w:val="clear" w:color="auto" w:fill="auto"/>
            <w:noWrap/>
            <w:vAlign w:val="center"/>
            <w:hideMark/>
          </w:tcPr>
          <w:p w14:paraId="137884C3" w14:textId="77777777" w:rsidR="00CF3236" w:rsidRPr="002C21B8" w:rsidRDefault="00CF3236" w:rsidP="00EB0FFD">
            <w:pPr>
              <w:spacing w:after="0" w:line="240" w:lineRule="auto"/>
              <w:rPr>
                <w:sz w:val="18"/>
                <w:szCs w:val="18"/>
              </w:rPr>
            </w:pPr>
            <w:r w:rsidRPr="002C21B8">
              <w:rPr>
                <w:sz w:val="18"/>
                <w:szCs w:val="18"/>
              </w:rPr>
              <w:t>5</w:t>
            </w:r>
          </w:p>
        </w:tc>
        <w:tc>
          <w:tcPr>
            <w:tcW w:w="8573" w:type="dxa"/>
            <w:shd w:val="clear" w:color="auto" w:fill="auto"/>
            <w:noWrap/>
            <w:vAlign w:val="center"/>
          </w:tcPr>
          <w:p w14:paraId="1189D7C7" w14:textId="2FB7B5D7" w:rsidR="00CF3236" w:rsidRPr="002C21B8" w:rsidRDefault="00CF3236" w:rsidP="00EB0FFD">
            <w:pPr>
              <w:spacing w:after="0" w:line="240" w:lineRule="auto"/>
              <w:rPr>
                <w:sz w:val="18"/>
                <w:szCs w:val="18"/>
              </w:rPr>
            </w:pPr>
            <w:r w:rsidRPr="002C21B8">
              <w:rPr>
                <w:sz w:val="18"/>
                <w:szCs w:val="18"/>
              </w:rPr>
              <w:t>Retinitis Pigmentosa/</w:t>
            </w:r>
          </w:p>
        </w:tc>
      </w:tr>
      <w:tr w:rsidR="00CF3236" w:rsidRPr="002C21B8" w14:paraId="4227FFA2" w14:textId="77777777" w:rsidTr="00CF3236">
        <w:trPr>
          <w:trHeight w:val="320"/>
        </w:trPr>
        <w:tc>
          <w:tcPr>
            <w:tcW w:w="636" w:type="dxa"/>
            <w:shd w:val="clear" w:color="auto" w:fill="auto"/>
            <w:noWrap/>
            <w:vAlign w:val="center"/>
            <w:hideMark/>
          </w:tcPr>
          <w:p w14:paraId="3BC551F0" w14:textId="77777777" w:rsidR="00CF3236" w:rsidRPr="002C21B8" w:rsidRDefault="00CF3236" w:rsidP="00EB0FFD">
            <w:pPr>
              <w:spacing w:after="0" w:line="240" w:lineRule="auto"/>
              <w:rPr>
                <w:sz w:val="18"/>
                <w:szCs w:val="18"/>
              </w:rPr>
            </w:pPr>
            <w:r w:rsidRPr="002C21B8">
              <w:rPr>
                <w:sz w:val="18"/>
                <w:szCs w:val="18"/>
              </w:rPr>
              <w:t>6</w:t>
            </w:r>
          </w:p>
        </w:tc>
        <w:tc>
          <w:tcPr>
            <w:tcW w:w="8573" w:type="dxa"/>
            <w:shd w:val="clear" w:color="auto" w:fill="auto"/>
            <w:noWrap/>
            <w:vAlign w:val="center"/>
          </w:tcPr>
          <w:p w14:paraId="1BE52E25" w14:textId="00BAAD47" w:rsidR="00CF3236" w:rsidRPr="002C21B8" w:rsidRDefault="00CF3236" w:rsidP="00EB0FFD">
            <w:pPr>
              <w:spacing w:after="0" w:line="240" w:lineRule="auto"/>
              <w:rPr>
                <w:sz w:val="18"/>
                <w:szCs w:val="18"/>
              </w:rPr>
            </w:pPr>
            <w:r w:rsidRPr="002C21B8">
              <w:rPr>
                <w:sz w:val="18"/>
                <w:szCs w:val="18"/>
              </w:rPr>
              <w:t>Motor Neuron Disease/</w:t>
            </w:r>
          </w:p>
        </w:tc>
      </w:tr>
      <w:tr w:rsidR="00CF3236" w:rsidRPr="002C21B8" w14:paraId="119E6930" w14:textId="77777777" w:rsidTr="00CF3236">
        <w:trPr>
          <w:trHeight w:val="320"/>
        </w:trPr>
        <w:tc>
          <w:tcPr>
            <w:tcW w:w="636" w:type="dxa"/>
            <w:shd w:val="clear" w:color="auto" w:fill="auto"/>
            <w:noWrap/>
            <w:vAlign w:val="center"/>
            <w:hideMark/>
          </w:tcPr>
          <w:p w14:paraId="1386BA8D" w14:textId="77777777" w:rsidR="00CF3236" w:rsidRPr="002C21B8" w:rsidRDefault="00CF3236" w:rsidP="00EB0FFD">
            <w:pPr>
              <w:spacing w:after="0" w:line="240" w:lineRule="auto"/>
              <w:rPr>
                <w:sz w:val="18"/>
                <w:szCs w:val="18"/>
              </w:rPr>
            </w:pPr>
            <w:r w:rsidRPr="002C21B8">
              <w:rPr>
                <w:sz w:val="18"/>
                <w:szCs w:val="18"/>
              </w:rPr>
              <w:t>7</w:t>
            </w:r>
          </w:p>
        </w:tc>
        <w:tc>
          <w:tcPr>
            <w:tcW w:w="8573" w:type="dxa"/>
            <w:shd w:val="clear" w:color="auto" w:fill="auto"/>
            <w:noWrap/>
            <w:vAlign w:val="center"/>
          </w:tcPr>
          <w:p w14:paraId="32AF7EC0" w14:textId="41BE2010" w:rsidR="00CF3236" w:rsidRPr="002C21B8" w:rsidRDefault="00EE787B" w:rsidP="00EB0FFD">
            <w:pPr>
              <w:spacing w:after="0" w:line="240" w:lineRule="auto"/>
              <w:rPr>
                <w:sz w:val="18"/>
                <w:szCs w:val="18"/>
              </w:rPr>
            </w:pPr>
            <w:r w:rsidRPr="002C21B8">
              <w:rPr>
                <w:sz w:val="18"/>
                <w:szCs w:val="18"/>
              </w:rPr>
              <w:t>Polycystic Kidney Disease, Autosomal Dominant/</w:t>
            </w:r>
          </w:p>
        </w:tc>
      </w:tr>
      <w:tr w:rsidR="00CF3236" w:rsidRPr="002C21B8" w14:paraId="5B673948" w14:textId="77777777" w:rsidTr="00CF3236">
        <w:trPr>
          <w:trHeight w:val="320"/>
        </w:trPr>
        <w:tc>
          <w:tcPr>
            <w:tcW w:w="636" w:type="dxa"/>
            <w:shd w:val="clear" w:color="auto" w:fill="auto"/>
            <w:noWrap/>
            <w:vAlign w:val="center"/>
            <w:hideMark/>
          </w:tcPr>
          <w:p w14:paraId="05361D53" w14:textId="77777777" w:rsidR="00CF3236" w:rsidRPr="002C21B8" w:rsidRDefault="00CF3236" w:rsidP="00EB0FFD">
            <w:pPr>
              <w:spacing w:after="0" w:line="240" w:lineRule="auto"/>
              <w:rPr>
                <w:sz w:val="18"/>
                <w:szCs w:val="18"/>
              </w:rPr>
            </w:pPr>
            <w:r w:rsidRPr="002C21B8">
              <w:rPr>
                <w:sz w:val="18"/>
                <w:szCs w:val="18"/>
              </w:rPr>
              <w:t>8</w:t>
            </w:r>
          </w:p>
        </w:tc>
        <w:tc>
          <w:tcPr>
            <w:tcW w:w="8573" w:type="dxa"/>
            <w:shd w:val="clear" w:color="auto" w:fill="auto"/>
            <w:noWrap/>
            <w:vAlign w:val="center"/>
          </w:tcPr>
          <w:p w14:paraId="080FA630" w14:textId="74F576FC" w:rsidR="00CF3236" w:rsidRPr="002C21B8" w:rsidRDefault="00EE787B" w:rsidP="00EB0FFD">
            <w:pPr>
              <w:spacing w:after="0" w:line="240" w:lineRule="auto"/>
              <w:rPr>
                <w:sz w:val="18"/>
                <w:szCs w:val="18"/>
              </w:rPr>
            </w:pPr>
            <w:r w:rsidRPr="002C21B8">
              <w:rPr>
                <w:sz w:val="18"/>
                <w:szCs w:val="18"/>
              </w:rPr>
              <w:t>or/1-7</w:t>
            </w:r>
          </w:p>
        </w:tc>
      </w:tr>
      <w:tr w:rsidR="00CF3236" w:rsidRPr="002C21B8" w14:paraId="462CAB68" w14:textId="77777777" w:rsidTr="00CF3236">
        <w:trPr>
          <w:trHeight w:val="320"/>
        </w:trPr>
        <w:tc>
          <w:tcPr>
            <w:tcW w:w="636" w:type="dxa"/>
            <w:shd w:val="clear" w:color="auto" w:fill="auto"/>
            <w:noWrap/>
            <w:vAlign w:val="center"/>
            <w:hideMark/>
          </w:tcPr>
          <w:p w14:paraId="220D61B0" w14:textId="77777777" w:rsidR="00CF3236" w:rsidRPr="002C21B8" w:rsidRDefault="00CF3236" w:rsidP="00EB0FFD">
            <w:pPr>
              <w:spacing w:after="0" w:line="240" w:lineRule="auto"/>
              <w:rPr>
                <w:sz w:val="18"/>
                <w:szCs w:val="18"/>
              </w:rPr>
            </w:pPr>
            <w:r w:rsidRPr="002C21B8">
              <w:rPr>
                <w:sz w:val="18"/>
                <w:szCs w:val="18"/>
              </w:rPr>
              <w:t>9</w:t>
            </w:r>
          </w:p>
        </w:tc>
        <w:tc>
          <w:tcPr>
            <w:tcW w:w="8573" w:type="dxa"/>
            <w:shd w:val="clear" w:color="auto" w:fill="auto"/>
            <w:noWrap/>
            <w:vAlign w:val="center"/>
          </w:tcPr>
          <w:p w14:paraId="7669714E" w14:textId="734BED2C" w:rsidR="00CF3236" w:rsidRPr="002C21B8" w:rsidRDefault="00EE787B" w:rsidP="00EB0FFD">
            <w:pPr>
              <w:spacing w:after="0" w:line="240" w:lineRule="auto"/>
              <w:rPr>
                <w:sz w:val="18"/>
                <w:szCs w:val="18"/>
              </w:rPr>
            </w:pPr>
            <w:r w:rsidRPr="002C21B8">
              <w:rPr>
                <w:sz w:val="18"/>
                <w:szCs w:val="18"/>
              </w:rPr>
              <w:t>Exp Drug Prescriptions/ or exp Prescriptions/</w:t>
            </w:r>
          </w:p>
        </w:tc>
      </w:tr>
      <w:tr w:rsidR="00EE787B" w:rsidRPr="002C21B8" w14:paraId="7A523EAE" w14:textId="77777777" w:rsidTr="00CF3236">
        <w:trPr>
          <w:trHeight w:val="320"/>
        </w:trPr>
        <w:tc>
          <w:tcPr>
            <w:tcW w:w="636" w:type="dxa"/>
            <w:shd w:val="clear" w:color="auto" w:fill="auto"/>
            <w:noWrap/>
            <w:vAlign w:val="center"/>
          </w:tcPr>
          <w:p w14:paraId="4D84CBA8" w14:textId="0D3F5F48" w:rsidR="00EE787B" w:rsidRPr="002C21B8" w:rsidRDefault="00EE787B" w:rsidP="00EB0FFD">
            <w:pPr>
              <w:spacing w:after="0" w:line="240" w:lineRule="auto"/>
              <w:rPr>
                <w:sz w:val="18"/>
                <w:szCs w:val="18"/>
              </w:rPr>
            </w:pPr>
            <w:r w:rsidRPr="002C21B8">
              <w:rPr>
                <w:sz w:val="18"/>
                <w:szCs w:val="18"/>
              </w:rPr>
              <w:t>10</w:t>
            </w:r>
          </w:p>
        </w:tc>
        <w:tc>
          <w:tcPr>
            <w:tcW w:w="8573" w:type="dxa"/>
            <w:shd w:val="clear" w:color="auto" w:fill="auto"/>
            <w:noWrap/>
            <w:vAlign w:val="center"/>
          </w:tcPr>
          <w:p w14:paraId="7A85CE8F" w14:textId="77AE62EF" w:rsidR="00EE787B" w:rsidRPr="002C21B8" w:rsidRDefault="00EE787B" w:rsidP="00EB0FFD">
            <w:pPr>
              <w:spacing w:after="0" w:line="240" w:lineRule="auto"/>
              <w:rPr>
                <w:sz w:val="18"/>
                <w:szCs w:val="18"/>
              </w:rPr>
            </w:pPr>
            <w:r w:rsidRPr="002C21B8">
              <w:rPr>
                <w:sz w:val="18"/>
                <w:szCs w:val="18"/>
              </w:rPr>
              <w:t>(Prescri* or Prescribing Behavio?r or Prescrib* Decision* or Prescribing Practice*).ti,ab.</w:t>
            </w:r>
          </w:p>
        </w:tc>
      </w:tr>
      <w:tr w:rsidR="00EE787B" w:rsidRPr="002C21B8" w14:paraId="1D36ED25" w14:textId="77777777" w:rsidTr="00CF3236">
        <w:trPr>
          <w:trHeight w:val="320"/>
        </w:trPr>
        <w:tc>
          <w:tcPr>
            <w:tcW w:w="636" w:type="dxa"/>
            <w:shd w:val="clear" w:color="auto" w:fill="auto"/>
            <w:noWrap/>
            <w:vAlign w:val="center"/>
          </w:tcPr>
          <w:p w14:paraId="0E6C096F" w14:textId="7F9EBE57" w:rsidR="00EE787B" w:rsidRPr="002C21B8" w:rsidRDefault="00EE787B" w:rsidP="00EB0FFD">
            <w:pPr>
              <w:spacing w:after="0" w:line="240" w:lineRule="auto"/>
              <w:rPr>
                <w:sz w:val="18"/>
                <w:szCs w:val="18"/>
              </w:rPr>
            </w:pPr>
            <w:r w:rsidRPr="002C21B8">
              <w:rPr>
                <w:sz w:val="18"/>
                <w:szCs w:val="18"/>
              </w:rPr>
              <w:t>11</w:t>
            </w:r>
          </w:p>
        </w:tc>
        <w:tc>
          <w:tcPr>
            <w:tcW w:w="8573" w:type="dxa"/>
            <w:shd w:val="clear" w:color="auto" w:fill="auto"/>
            <w:noWrap/>
            <w:vAlign w:val="center"/>
          </w:tcPr>
          <w:p w14:paraId="61B2A37D" w14:textId="73B2CD5C" w:rsidR="00EE787B" w:rsidRPr="002C21B8" w:rsidRDefault="00EE787B" w:rsidP="00EB0FFD">
            <w:pPr>
              <w:spacing w:after="0" w:line="240" w:lineRule="auto"/>
              <w:rPr>
                <w:sz w:val="18"/>
                <w:szCs w:val="18"/>
              </w:rPr>
            </w:pPr>
            <w:r w:rsidRPr="002C21B8">
              <w:rPr>
                <w:sz w:val="18"/>
                <w:szCs w:val="18"/>
              </w:rPr>
              <w:t>(Initiat* or Start* or Commenc* or Induc*).ti.</w:t>
            </w:r>
          </w:p>
        </w:tc>
      </w:tr>
      <w:tr w:rsidR="00EE787B" w:rsidRPr="002C21B8" w14:paraId="61F5A80D" w14:textId="77777777" w:rsidTr="00CF3236">
        <w:trPr>
          <w:trHeight w:val="320"/>
        </w:trPr>
        <w:tc>
          <w:tcPr>
            <w:tcW w:w="636" w:type="dxa"/>
            <w:shd w:val="clear" w:color="auto" w:fill="auto"/>
            <w:noWrap/>
            <w:vAlign w:val="center"/>
          </w:tcPr>
          <w:p w14:paraId="386EC1DE" w14:textId="77DAB5A3" w:rsidR="00EE787B" w:rsidRPr="002C21B8" w:rsidRDefault="00EE787B" w:rsidP="00EB0FFD">
            <w:pPr>
              <w:spacing w:after="0" w:line="240" w:lineRule="auto"/>
              <w:rPr>
                <w:sz w:val="18"/>
                <w:szCs w:val="18"/>
              </w:rPr>
            </w:pPr>
            <w:r w:rsidRPr="002C21B8">
              <w:rPr>
                <w:sz w:val="18"/>
                <w:szCs w:val="18"/>
              </w:rPr>
              <w:t>12</w:t>
            </w:r>
          </w:p>
        </w:tc>
        <w:tc>
          <w:tcPr>
            <w:tcW w:w="8573" w:type="dxa"/>
            <w:shd w:val="clear" w:color="auto" w:fill="auto"/>
            <w:noWrap/>
            <w:vAlign w:val="center"/>
          </w:tcPr>
          <w:p w14:paraId="0C102204" w14:textId="72873E8D" w:rsidR="00EE787B" w:rsidRPr="002C21B8" w:rsidRDefault="00EE787B" w:rsidP="00EB0FFD">
            <w:pPr>
              <w:spacing w:after="0" w:line="240" w:lineRule="auto"/>
              <w:rPr>
                <w:sz w:val="18"/>
                <w:szCs w:val="18"/>
              </w:rPr>
            </w:pPr>
            <w:r w:rsidRPr="002C21B8">
              <w:rPr>
                <w:sz w:val="18"/>
                <w:szCs w:val="18"/>
              </w:rPr>
              <w:t>or/9-11</w:t>
            </w:r>
          </w:p>
        </w:tc>
      </w:tr>
      <w:tr w:rsidR="00EE787B" w:rsidRPr="002C21B8" w14:paraId="162032F1" w14:textId="77777777" w:rsidTr="00CF3236">
        <w:trPr>
          <w:trHeight w:val="320"/>
        </w:trPr>
        <w:tc>
          <w:tcPr>
            <w:tcW w:w="636" w:type="dxa"/>
            <w:shd w:val="clear" w:color="auto" w:fill="auto"/>
            <w:noWrap/>
            <w:vAlign w:val="center"/>
          </w:tcPr>
          <w:p w14:paraId="1A06214B" w14:textId="21E0C032" w:rsidR="00EE787B" w:rsidRPr="002C21B8" w:rsidRDefault="00EE787B" w:rsidP="00EB0FFD">
            <w:pPr>
              <w:spacing w:after="0" w:line="240" w:lineRule="auto"/>
              <w:rPr>
                <w:sz w:val="18"/>
                <w:szCs w:val="18"/>
              </w:rPr>
            </w:pPr>
            <w:r w:rsidRPr="002C21B8">
              <w:rPr>
                <w:sz w:val="18"/>
                <w:szCs w:val="18"/>
              </w:rPr>
              <w:t>13</w:t>
            </w:r>
          </w:p>
        </w:tc>
        <w:tc>
          <w:tcPr>
            <w:tcW w:w="8573" w:type="dxa"/>
            <w:shd w:val="clear" w:color="auto" w:fill="auto"/>
            <w:noWrap/>
            <w:vAlign w:val="center"/>
          </w:tcPr>
          <w:p w14:paraId="7837F789" w14:textId="5FD6EEAB" w:rsidR="00EE787B" w:rsidRPr="002C21B8" w:rsidRDefault="00EE787B" w:rsidP="00EB0FFD">
            <w:pPr>
              <w:spacing w:after="0" w:line="240" w:lineRule="auto"/>
              <w:rPr>
                <w:sz w:val="18"/>
                <w:szCs w:val="18"/>
              </w:rPr>
            </w:pPr>
            <w:r w:rsidRPr="002C21B8">
              <w:rPr>
                <w:sz w:val="18"/>
                <w:szCs w:val="18"/>
              </w:rPr>
              <w:t>exp Clinical decision-making/</w:t>
            </w:r>
          </w:p>
        </w:tc>
      </w:tr>
      <w:tr w:rsidR="00EE787B" w:rsidRPr="002C21B8" w14:paraId="49CBBAEA" w14:textId="77777777" w:rsidTr="00CF3236">
        <w:trPr>
          <w:trHeight w:val="320"/>
        </w:trPr>
        <w:tc>
          <w:tcPr>
            <w:tcW w:w="636" w:type="dxa"/>
            <w:shd w:val="clear" w:color="auto" w:fill="auto"/>
            <w:noWrap/>
            <w:vAlign w:val="center"/>
          </w:tcPr>
          <w:p w14:paraId="04D770F7" w14:textId="37E3D328" w:rsidR="00EE787B" w:rsidRPr="002C21B8" w:rsidRDefault="00EE787B" w:rsidP="00EB0FFD">
            <w:pPr>
              <w:spacing w:after="0" w:line="240" w:lineRule="auto"/>
              <w:rPr>
                <w:sz w:val="18"/>
                <w:szCs w:val="18"/>
              </w:rPr>
            </w:pPr>
            <w:r w:rsidRPr="002C21B8">
              <w:rPr>
                <w:sz w:val="18"/>
                <w:szCs w:val="18"/>
              </w:rPr>
              <w:t>14</w:t>
            </w:r>
          </w:p>
        </w:tc>
        <w:tc>
          <w:tcPr>
            <w:tcW w:w="8573" w:type="dxa"/>
            <w:shd w:val="clear" w:color="auto" w:fill="auto"/>
            <w:noWrap/>
            <w:vAlign w:val="center"/>
          </w:tcPr>
          <w:p w14:paraId="58157238" w14:textId="5A0FEFE6" w:rsidR="00EE787B" w:rsidRPr="002C21B8" w:rsidRDefault="00EE787B" w:rsidP="00EB0FFD">
            <w:pPr>
              <w:spacing w:after="0" w:line="240" w:lineRule="auto"/>
              <w:rPr>
                <w:sz w:val="18"/>
                <w:szCs w:val="18"/>
              </w:rPr>
            </w:pPr>
            <w:r w:rsidRPr="002C21B8">
              <w:rPr>
                <w:sz w:val="18"/>
                <w:szCs w:val="18"/>
              </w:rPr>
              <w:t>exp Health Knowledge, Attitudes, Practice/ or exp Attitude of Health Personnel/ or exp Practice Patterns, Pharmacists'/ or exp Practice Patterns, Nurses'/ or exp Practice Patterns, Physicians'/</w:t>
            </w:r>
          </w:p>
        </w:tc>
      </w:tr>
      <w:tr w:rsidR="00EE787B" w:rsidRPr="002C21B8" w14:paraId="31388334" w14:textId="77777777" w:rsidTr="00CF3236">
        <w:trPr>
          <w:trHeight w:val="320"/>
        </w:trPr>
        <w:tc>
          <w:tcPr>
            <w:tcW w:w="636" w:type="dxa"/>
            <w:shd w:val="clear" w:color="auto" w:fill="auto"/>
            <w:noWrap/>
            <w:vAlign w:val="center"/>
          </w:tcPr>
          <w:p w14:paraId="6DCF8F35" w14:textId="3D2CE262" w:rsidR="00EE787B" w:rsidRPr="002C21B8" w:rsidRDefault="00EE787B" w:rsidP="00EB0FFD">
            <w:pPr>
              <w:spacing w:after="0" w:line="240" w:lineRule="auto"/>
              <w:rPr>
                <w:sz w:val="18"/>
                <w:szCs w:val="18"/>
              </w:rPr>
            </w:pPr>
            <w:r w:rsidRPr="002C21B8">
              <w:rPr>
                <w:sz w:val="18"/>
                <w:szCs w:val="18"/>
              </w:rPr>
              <w:t>15</w:t>
            </w:r>
          </w:p>
        </w:tc>
        <w:tc>
          <w:tcPr>
            <w:tcW w:w="8573" w:type="dxa"/>
            <w:shd w:val="clear" w:color="auto" w:fill="auto"/>
            <w:noWrap/>
            <w:vAlign w:val="center"/>
          </w:tcPr>
          <w:p w14:paraId="4EB5D851" w14:textId="4EF99D84" w:rsidR="00EE787B" w:rsidRPr="002C21B8" w:rsidRDefault="00EE787B" w:rsidP="00EB0FFD">
            <w:pPr>
              <w:spacing w:after="0" w:line="240" w:lineRule="auto"/>
              <w:rPr>
                <w:sz w:val="18"/>
                <w:szCs w:val="18"/>
              </w:rPr>
            </w:pPr>
            <w:r w:rsidRPr="002C21B8">
              <w:rPr>
                <w:sz w:val="18"/>
                <w:szCs w:val="18"/>
              </w:rPr>
              <w:t>(Factor* or Determinant* or Behavio?r* or Practice* or Preference* or Pattern* or Decision* or Decid* or Influenc* or Impact* or Judg* or Barrier* or Facilit* or Help or Hinder or Compl* or Accept or Conform* or Approv* or Adher* or Strateg*).ti.</w:t>
            </w:r>
          </w:p>
        </w:tc>
      </w:tr>
      <w:tr w:rsidR="00EE787B" w:rsidRPr="002C21B8" w14:paraId="1E1E3DE0" w14:textId="77777777" w:rsidTr="00CF3236">
        <w:trPr>
          <w:trHeight w:val="320"/>
        </w:trPr>
        <w:tc>
          <w:tcPr>
            <w:tcW w:w="636" w:type="dxa"/>
            <w:shd w:val="clear" w:color="auto" w:fill="auto"/>
            <w:noWrap/>
            <w:vAlign w:val="center"/>
          </w:tcPr>
          <w:p w14:paraId="7873A040" w14:textId="25546346" w:rsidR="00EE787B" w:rsidRPr="002C21B8" w:rsidRDefault="00EE787B" w:rsidP="00EB0FFD">
            <w:pPr>
              <w:spacing w:after="0" w:line="240" w:lineRule="auto"/>
              <w:rPr>
                <w:sz w:val="18"/>
                <w:szCs w:val="18"/>
              </w:rPr>
            </w:pPr>
            <w:r w:rsidRPr="002C21B8">
              <w:rPr>
                <w:sz w:val="18"/>
                <w:szCs w:val="18"/>
              </w:rPr>
              <w:t>16</w:t>
            </w:r>
          </w:p>
        </w:tc>
        <w:tc>
          <w:tcPr>
            <w:tcW w:w="8573" w:type="dxa"/>
            <w:shd w:val="clear" w:color="auto" w:fill="auto"/>
            <w:noWrap/>
            <w:vAlign w:val="center"/>
          </w:tcPr>
          <w:p w14:paraId="06D7C146" w14:textId="67A5ECA7" w:rsidR="00EE787B" w:rsidRPr="002C21B8" w:rsidRDefault="00EE787B" w:rsidP="00EB0FFD">
            <w:pPr>
              <w:spacing w:after="0" w:line="240" w:lineRule="auto"/>
              <w:rPr>
                <w:sz w:val="18"/>
                <w:szCs w:val="18"/>
              </w:rPr>
            </w:pPr>
            <w:r w:rsidRPr="002C21B8">
              <w:rPr>
                <w:sz w:val="18"/>
                <w:szCs w:val="18"/>
              </w:rPr>
              <w:t>or/13-15</w:t>
            </w:r>
          </w:p>
        </w:tc>
      </w:tr>
      <w:tr w:rsidR="00EE787B" w:rsidRPr="002C21B8" w14:paraId="56D486E2" w14:textId="77777777" w:rsidTr="00CF3236">
        <w:trPr>
          <w:trHeight w:val="320"/>
        </w:trPr>
        <w:tc>
          <w:tcPr>
            <w:tcW w:w="636" w:type="dxa"/>
            <w:shd w:val="clear" w:color="auto" w:fill="auto"/>
            <w:noWrap/>
            <w:vAlign w:val="center"/>
          </w:tcPr>
          <w:p w14:paraId="6E0EF5BD" w14:textId="60285D84" w:rsidR="00EE787B" w:rsidRPr="002C21B8" w:rsidRDefault="00EE787B" w:rsidP="00EB0FFD">
            <w:pPr>
              <w:spacing w:after="0" w:line="240" w:lineRule="auto"/>
              <w:rPr>
                <w:sz w:val="18"/>
                <w:szCs w:val="18"/>
              </w:rPr>
            </w:pPr>
            <w:r w:rsidRPr="002C21B8">
              <w:rPr>
                <w:sz w:val="18"/>
                <w:szCs w:val="18"/>
              </w:rPr>
              <w:t>17</w:t>
            </w:r>
          </w:p>
        </w:tc>
        <w:tc>
          <w:tcPr>
            <w:tcW w:w="8573" w:type="dxa"/>
            <w:shd w:val="clear" w:color="auto" w:fill="auto"/>
            <w:noWrap/>
            <w:vAlign w:val="center"/>
          </w:tcPr>
          <w:p w14:paraId="4EF63823" w14:textId="1110BCCC" w:rsidR="00EE787B" w:rsidRPr="002C21B8" w:rsidRDefault="00EE787B" w:rsidP="00EB0FFD">
            <w:pPr>
              <w:spacing w:after="0" w:line="240" w:lineRule="auto"/>
              <w:rPr>
                <w:sz w:val="18"/>
                <w:szCs w:val="18"/>
              </w:rPr>
            </w:pPr>
            <w:r w:rsidRPr="002C21B8">
              <w:rPr>
                <w:sz w:val="18"/>
                <w:szCs w:val="18"/>
              </w:rPr>
              <w:t>8 and 12 and 16</w:t>
            </w:r>
          </w:p>
        </w:tc>
      </w:tr>
    </w:tbl>
    <w:p w14:paraId="075CF4E9" w14:textId="77777777" w:rsidR="009D12AE" w:rsidRPr="002C21B8" w:rsidRDefault="009D12AE" w:rsidP="00CF3236"/>
    <w:p w14:paraId="56D24441" w14:textId="2DB156D5" w:rsidR="00EE787B" w:rsidRPr="002C21B8" w:rsidRDefault="00EE787B" w:rsidP="00CF3236">
      <w:r w:rsidRPr="002C21B8">
        <w:t>317 results – 2 articles for inclusion were identified</w:t>
      </w:r>
      <w:r w:rsidR="00442CB6" w:rsidRPr="002C21B8">
        <w:t>:</w:t>
      </w:r>
    </w:p>
    <w:p w14:paraId="029341E1" w14:textId="7BDC1292" w:rsidR="00EE787B" w:rsidRPr="002C21B8" w:rsidRDefault="00EE787B" w:rsidP="00A97F07">
      <w:pPr>
        <w:pStyle w:val="ListParagraph"/>
        <w:numPr>
          <w:ilvl w:val="0"/>
          <w:numId w:val="61"/>
        </w:numPr>
      </w:pPr>
      <w:r w:rsidRPr="002C21B8">
        <w:t>Smirnova, N., Trandel, E.T., Dubin, E., Lowers, J., Dellon, E.P., Hempstead, S., Faro, A., Tallarico, E. and Kavalieratos, D., 2023. Clinician perspectives on barriers and solutions to symptom management in cystic fibrosis. Journal of Cystic Fibrosis, 22(6), pp.1100-1103.</w:t>
      </w:r>
    </w:p>
    <w:p w14:paraId="4BF9F104" w14:textId="7AB16597" w:rsidR="00EE787B" w:rsidRPr="002C21B8" w:rsidRDefault="00EE787B" w:rsidP="00A97F07">
      <w:pPr>
        <w:pStyle w:val="ListParagraph"/>
        <w:numPr>
          <w:ilvl w:val="0"/>
          <w:numId w:val="61"/>
        </w:numPr>
      </w:pPr>
      <w:r w:rsidRPr="002C21B8">
        <w:t>Jandhyala, R., 2020. Influence of Pharmaceutical Company Engagement Activities on the Decision to Prescribe: A Pilot Survey of UK Rare Disease Medicine Prescribers: Pharmaceutical Medicine, 34(2), pp.127-134.</w:t>
      </w:r>
    </w:p>
    <w:p w14:paraId="3450169A" w14:textId="30964263" w:rsidR="00FA366A" w:rsidRPr="002C21B8" w:rsidRDefault="001517F6" w:rsidP="004507C8">
      <w:pPr>
        <w:pStyle w:val="Heading3"/>
        <w:numPr>
          <w:ilvl w:val="0"/>
          <w:numId w:val="0"/>
        </w:numPr>
      </w:pPr>
      <w:r w:rsidRPr="002C21B8">
        <w:t>I</w:t>
      </w:r>
      <w:r w:rsidR="009723AA" w:rsidRPr="002C21B8">
        <w:t>nclusion and exclusion criteria</w:t>
      </w:r>
      <w:r w:rsidR="00F60765" w:rsidRPr="002C21B8">
        <w:t xml:space="preserve"> for the systematic review of chronic </w:t>
      </w:r>
      <w:r w:rsidR="00717D3C" w:rsidRPr="002C21B8">
        <w:t>condition</w:t>
      </w:r>
      <w:r w:rsidR="00F60765" w:rsidRPr="002C21B8">
        <w:t>s</w:t>
      </w:r>
    </w:p>
    <w:p w14:paraId="65B3FBA9" w14:textId="0C3A0F58" w:rsidR="00FA366A" w:rsidRPr="002C21B8" w:rsidRDefault="00FA366A" w:rsidP="004B346F">
      <w:r w:rsidRPr="002C21B8">
        <w:t xml:space="preserve">The review question </w:t>
      </w:r>
      <w:r w:rsidRPr="002C21B8">
        <w:rPr>
          <w:i/>
          <w:iCs/>
        </w:rPr>
        <w:t xml:space="preserve">“What are the factors that may influence the prescribing of long-term medications for chronic physical health conditions?” </w:t>
      </w:r>
      <w:r w:rsidRPr="002C21B8">
        <w:t>was devised according to the SPIDER framework (Sample, Phenomenon of Interest, Design, Evaluation, Research type)</w:t>
      </w:r>
      <w:r w:rsidR="00E70F10" w:rsidRPr="002C21B8">
        <w:t xml:space="preserve"> </w:t>
      </w:r>
      <w:r w:rsidR="00E70F10" w:rsidRPr="002C21B8">
        <w:fldChar w:fldCharType="begin"/>
      </w:r>
      <w:r w:rsidR="00CE4967" w:rsidRPr="002C21B8">
        <w:instrText xml:space="preserve"> ADDIN EN.CITE &lt;EndNote&gt;&lt;Cite&gt;&lt;Author&gt;Cooke&lt;/Author&gt;&lt;Year&gt;2012&lt;/Year&gt;&lt;RecNum&gt;4955&lt;/RecNum&gt;&lt;DisplayText&gt;(Cooke, Smith and Booth, 2012)&lt;/DisplayText&gt;&lt;record&gt;&lt;rec-number&gt;4955&lt;/rec-number&gt;&lt;foreign-keys&gt;&lt;key app="EN" db-id="xpefzwa5hf9dt2ea9fax95x7xvxz90v09dtf" timestamp="1699634946"&gt;4955&lt;/key&gt;&lt;/foreign-keys&gt;&lt;ref-type name="Journal Article"&gt;17&lt;/ref-type&gt;&lt;contributors&gt;&lt;authors&gt;&lt;author&gt;Cooke, A.&lt;/author&gt;&lt;author&gt;Smith, D.&lt;/author&gt;&lt;author&gt;Booth, A.&lt;/author&gt;&lt;/authors&gt;&lt;/contributors&gt;&lt;auth-address&gt;Central Manchester NHS Foundation Trust, Manchester, United Kingdom. Alison.Cooke@manchester.ac.uk&lt;/auth-address&gt;&lt;titles&gt;&lt;title&gt;Beyond PICO: the SPIDER tool for qualitative evidence synthesis&lt;/title&gt;&lt;secondary-title&gt;Qualitative Health Research&lt;/secondary-title&gt;&lt;/titles&gt;&lt;periodical&gt;&lt;full-title&gt;Qualitative health research&lt;/full-title&gt;&lt;/periodical&gt;&lt;pages&gt;1435-43&lt;/pages&gt;&lt;volume&gt;22&lt;/volume&gt;&lt;number&gt;10&lt;/number&gt;&lt;edition&gt;20120724&lt;/edition&gt;&lt;keywords&gt;&lt;keyword&gt;Information Storage and Retrieval/*methods&lt;/keyword&gt;&lt;keyword&gt;Meta-Analysis as Topic&lt;/keyword&gt;&lt;keyword&gt;*Qualitative Research&lt;/keyword&gt;&lt;keyword&gt;*Review Literature as Topic&lt;/keyword&gt;&lt;keyword&gt;Sensitivity and Specificity&lt;/keyword&gt;&lt;/keywords&gt;&lt;dates&gt;&lt;year&gt;2012&lt;/year&gt;&lt;pub-dates&gt;&lt;date&gt;Oct&lt;/date&gt;&lt;/pub-dates&gt;&lt;/dates&gt;&lt;isbn&gt;1049-7323 (Print)&amp;#xD;1049-7323&lt;/isbn&gt;&lt;accession-num&gt;22829486&lt;/accession-num&gt;&lt;urls&gt;&lt;/urls&gt;&lt;electronic-resource-num&gt;10.1177/1049732312452938&lt;/electronic-resource-num&gt;&lt;remote-database-provider&gt;NLM&lt;/remote-database-provider&gt;&lt;language&gt;eng&lt;/language&gt;&lt;/record&gt;&lt;/Cite&gt;&lt;/EndNote&gt;</w:instrText>
      </w:r>
      <w:r w:rsidR="00E70F10" w:rsidRPr="002C21B8">
        <w:fldChar w:fldCharType="separate"/>
      </w:r>
      <w:r w:rsidR="00E70F10" w:rsidRPr="002C21B8">
        <w:rPr>
          <w:noProof/>
        </w:rPr>
        <w:t>(Cooke, Smith and Booth, 2012)</w:t>
      </w:r>
      <w:r w:rsidR="00E70F10" w:rsidRPr="002C21B8">
        <w:fldChar w:fldCharType="end"/>
      </w:r>
      <w:r w:rsidR="00E70F10" w:rsidRPr="002C21B8">
        <w:t xml:space="preserve">. </w:t>
      </w:r>
      <w:r w:rsidRPr="002C21B8">
        <w:t xml:space="preserve">The eligibility criteria for study inclusion were </w:t>
      </w:r>
      <w:r w:rsidR="001A5CAC" w:rsidRPr="002C21B8">
        <w:t>selected</w:t>
      </w:r>
      <w:r w:rsidRPr="002C21B8">
        <w:t xml:space="preserve"> according to the same framework</w:t>
      </w:r>
      <w:r w:rsidR="00A83F20" w:rsidRPr="002C21B8">
        <w:t>;</w:t>
      </w:r>
      <w:r w:rsidR="00E8225A" w:rsidRPr="002C21B8">
        <w:t xml:space="preserve"> a summary of the </w:t>
      </w:r>
      <w:r w:rsidRPr="002C21B8">
        <w:t xml:space="preserve">inclusion and exclusion criteria </w:t>
      </w:r>
      <w:r w:rsidR="00A83F20" w:rsidRPr="002C21B8">
        <w:t xml:space="preserve">is </w:t>
      </w:r>
      <w:r w:rsidR="00E8225A" w:rsidRPr="002C21B8">
        <w:t xml:space="preserve">included </w:t>
      </w:r>
      <w:r w:rsidR="00A83F20" w:rsidRPr="002C21B8">
        <w:t>below.</w:t>
      </w:r>
    </w:p>
    <w:tbl>
      <w:tblPr>
        <w:tblStyle w:val="TableGrid"/>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119"/>
        <w:gridCol w:w="3685"/>
        <w:gridCol w:w="3206"/>
      </w:tblGrid>
      <w:tr w:rsidR="00FA366A" w:rsidRPr="002C21B8" w14:paraId="7BBDFDE5" w14:textId="77777777" w:rsidTr="00081B5D">
        <w:tc>
          <w:tcPr>
            <w:tcW w:w="2119" w:type="dxa"/>
            <w:shd w:val="clear" w:color="auto" w:fill="auto"/>
            <w:vAlign w:val="center"/>
          </w:tcPr>
          <w:p w14:paraId="44CA6FDD" w14:textId="77777777" w:rsidR="00FA366A" w:rsidRPr="002C21B8" w:rsidRDefault="00FA366A" w:rsidP="0087500D">
            <w:pPr>
              <w:spacing w:before="20" w:after="120" w:line="240" w:lineRule="auto"/>
              <w:rPr>
                <w:b/>
                <w:bCs/>
                <w:sz w:val="16"/>
                <w:szCs w:val="16"/>
              </w:rPr>
            </w:pPr>
            <w:r w:rsidRPr="002C21B8">
              <w:rPr>
                <w:b/>
                <w:bCs/>
                <w:sz w:val="16"/>
                <w:szCs w:val="16"/>
              </w:rPr>
              <w:t>SPIDER component</w:t>
            </w:r>
          </w:p>
        </w:tc>
        <w:tc>
          <w:tcPr>
            <w:tcW w:w="3685" w:type="dxa"/>
            <w:shd w:val="clear" w:color="auto" w:fill="auto"/>
            <w:vAlign w:val="center"/>
          </w:tcPr>
          <w:p w14:paraId="25325996" w14:textId="77777777" w:rsidR="00FA366A" w:rsidRPr="002C21B8" w:rsidRDefault="00FA366A" w:rsidP="0087500D">
            <w:pPr>
              <w:spacing w:before="20" w:after="120" w:line="240" w:lineRule="auto"/>
              <w:rPr>
                <w:b/>
                <w:bCs/>
                <w:sz w:val="16"/>
                <w:szCs w:val="16"/>
              </w:rPr>
            </w:pPr>
            <w:r w:rsidRPr="002C21B8">
              <w:rPr>
                <w:b/>
                <w:bCs/>
                <w:sz w:val="16"/>
                <w:szCs w:val="16"/>
              </w:rPr>
              <w:t>Inclusion criteria</w:t>
            </w:r>
          </w:p>
        </w:tc>
        <w:tc>
          <w:tcPr>
            <w:tcW w:w="3206" w:type="dxa"/>
            <w:shd w:val="clear" w:color="auto" w:fill="auto"/>
            <w:vAlign w:val="center"/>
          </w:tcPr>
          <w:p w14:paraId="17A3A357" w14:textId="77777777" w:rsidR="00FA366A" w:rsidRPr="002C21B8" w:rsidRDefault="00FA366A" w:rsidP="0087500D">
            <w:pPr>
              <w:spacing w:before="20" w:after="120" w:line="240" w:lineRule="auto"/>
              <w:rPr>
                <w:b/>
                <w:bCs/>
                <w:sz w:val="16"/>
                <w:szCs w:val="16"/>
              </w:rPr>
            </w:pPr>
            <w:r w:rsidRPr="002C21B8">
              <w:rPr>
                <w:b/>
                <w:bCs/>
                <w:sz w:val="16"/>
                <w:szCs w:val="16"/>
              </w:rPr>
              <w:t>Exclusion criteria</w:t>
            </w:r>
          </w:p>
        </w:tc>
      </w:tr>
      <w:tr w:rsidR="00FA366A" w:rsidRPr="002C21B8" w14:paraId="6B51A612" w14:textId="77777777" w:rsidTr="00081B5D">
        <w:tc>
          <w:tcPr>
            <w:tcW w:w="2119" w:type="dxa"/>
            <w:shd w:val="clear" w:color="auto" w:fill="auto"/>
            <w:vAlign w:val="center"/>
          </w:tcPr>
          <w:p w14:paraId="42C22A5C" w14:textId="77777777" w:rsidR="00FA366A" w:rsidRPr="002C21B8" w:rsidRDefault="00FA366A" w:rsidP="0087500D">
            <w:pPr>
              <w:spacing w:before="20" w:after="120" w:line="240" w:lineRule="auto"/>
              <w:rPr>
                <w:sz w:val="16"/>
                <w:szCs w:val="16"/>
              </w:rPr>
            </w:pPr>
            <w:r w:rsidRPr="002C21B8">
              <w:rPr>
                <w:rStyle w:val="Strong"/>
                <w:rFonts w:eastAsiaTheme="majorEastAsia"/>
                <w:color w:val="000000"/>
                <w:sz w:val="16"/>
                <w:szCs w:val="16"/>
              </w:rPr>
              <w:t>Sample</w:t>
            </w:r>
          </w:p>
        </w:tc>
        <w:tc>
          <w:tcPr>
            <w:tcW w:w="3685" w:type="dxa"/>
            <w:shd w:val="clear" w:color="auto" w:fill="auto"/>
            <w:vAlign w:val="center"/>
          </w:tcPr>
          <w:p w14:paraId="2DDFE21E" w14:textId="77777777" w:rsidR="00FA366A" w:rsidRPr="002C21B8" w:rsidRDefault="00FA366A" w:rsidP="0087500D">
            <w:pPr>
              <w:spacing w:before="20" w:after="120" w:line="240" w:lineRule="auto"/>
              <w:rPr>
                <w:sz w:val="16"/>
                <w:szCs w:val="16"/>
              </w:rPr>
            </w:pPr>
            <w:r w:rsidRPr="002C21B8">
              <w:rPr>
                <w:sz w:val="16"/>
                <w:szCs w:val="16"/>
              </w:rPr>
              <w:t>Adults (≥18 years) with non-communicable chronic physical health conditions requiring long-term pharmacological management</w:t>
            </w:r>
          </w:p>
        </w:tc>
        <w:tc>
          <w:tcPr>
            <w:tcW w:w="3206" w:type="dxa"/>
            <w:shd w:val="clear" w:color="auto" w:fill="auto"/>
            <w:vAlign w:val="center"/>
          </w:tcPr>
          <w:p w14:paraId="00F25273" w14:textId="77777777" w:rsidR="00FA366A" w:rsidRPr="002C21B8" w:rsidRDefault="00FA366A" w:rsidP="0087500D">
            <w:pPr>
              <w:spacing w:before="20" w:after="120" w:line="240" w:lineRule="auto"/>
              <w:rPr>
                <w:sz w:val="16"/>
                <w:szCs w:val="16"/>
              </w:rPr>
            </w:pPr>
            <w:r w:rsidRPr="002C21B8">
              <w:rPr>
                <w:sz w:val="16"/>
                <w:szCs w:val="16"/>
              </w:rPr>
              <w:t>Children and adolescents; individuals with chronic mental health conditions; individuals with communicable diseases (e.g. HIV, tuberculosis)</w:t>
            </w:r>
          </w:p>
        </w:tc>
      </w:tr>
      <w:tr w:rsidR="00FA366A" w:rsidRPr="002C21B8" w14:paraId="35BA0877" w14:textId="77777777" w:rsidTr="00081B5D">
        <w:tc>
          <w:tcPr>
            <w:tcW w:w="2119" w:type="dxa"/>
            <w:shd w:val="clear" w:color="auto" w:fill="auto"/>
            <w:vAlign w:val="center"/>
          </w:tcPr>
          <w:p w14:paraId="365CE565" w14:textId="77777777" w:rsidR="00FA366A" w:rsidRPr="002C21B8" w:rsidRDefault="00FA366A" w:rsidP="0087500D">
            <w:pPr>
              <w:spacing w:before="20" w:after="120" w:line="240" w:lineRule="auto"/>
              <w:rPr>
                <w:sz w:val="16"/>
                <w:szCs w:val="16"/>
              </w:rPr>
            </w:pPr>
            <w:r w:rsidRPr="002C21B8">
              <w:rPr>
                <w:rStyle w:val="Strong"/>
                <w:rFonts w:eastAsiaTheme="majorEastAsia"/>
                <w:color w:val="000000"/>
                <w:sz w:val="16"/>
                <w:szCs w:val="16"/>
              </w:rPr>
              <w:t>Phenomenon of Interest</w:t>
            </w:r>
          </w:p>
        </w:tc>
        <w:tc>
          <w:tcPr>
            <w:tcW w:w="3685" w:type="dxa"/>
            <w:shd w:val="clear" w:color="auto" w:fill="auto"/>
            <w:vAlign w:val="center"/>
          </w:tcPr>
          <w:p w14:paraId="24D92571" w14:textId="77777777" w:rsidR="00FA366A" w:rsidRPr="002C21B8" w:rsidRDefault="00FA366A" w:rsidP="0087500D">
            <w:pPr>
              <w:spacing w:before="20" w:after="120" w:line="240" w:lineRule="auto"/>
              <w:rPr>
                <w:sz w:val="16"/>
                <w:szCs w:val="16"/>
              </w:rPr>
            </w:pPr>
            <w:r w:rsidRPr="002C21B8">
              <w:rPr>
                <w:sz w:val="16"/>
                <w:szCs w:val="16"/>
              </w:rPr>
              <w:t>Factors influencing initiation of long-term medication prescribing</w:t>
            </w:r>
          </w:p>
        </w:tc>
        <w:tc>
          <w:tcPr>
            <w:tcW w:w="3206" w:type="dxa"/>
            <w:shd w:val="clear" w:color="auto" w:fill="auto"/>
            <w:vAlign w:val="center"/>
          </w:tcPr>
          <w:p w14:paraId="397E1A0C" w14:textId="77777777" w:rsidR="00FA366A" w:rsidRPr="002C21B8" w:rsidRDefault="00FA366A" w:rsidP="0087500D">
            <w:pPr>
              <w:spacing w:before="20" w:after="120" w:line="240" w:lineRule="auto"/>
              <w:rPr>
                <w:sz w:val="16"/>
                <w:szCs w:val="16"/>
              </w:rPr>
            </w:pPr>
            <w:r w:rsidRPr="002C21B8">
              <w:rPr>
                <w:sz w:val="16"/>
                <w:szCs w:val="16"/>
              </w:rPr>
              <w:t>Factors related to other stages of prescribing (e.g. titration, optimisation, discontinuation)</w:t>
            </w:r>
          </w:p>
        </w:tc>
      </w:tr>
      <w:tr w:rsidR="00FA366A" w:rsidRPr="002C21B8" w14:paraId="54EDE9D9" w14:textId="77777777" w:rsidTr="00081B5D">
        <w:tc>
          <w:tcPr>
            <w:tcW w:w="2119" w:type="dxa"/>
            <w:shd w:val="clear" w:color="auto" w:fill="auto"/>
            <w:vAlign w:val="center"/>
          </w:tcPr>
          <w:p w14:paraId="3CE3895C" w14:textId="77777777" w:rsidR="00FA366A" w:rsidRPr="002C21B8" w:rsidRDefault="00FA366A" w:rsidP="0087500D">
            <w:pPr>
              <w:spacing w:before="20" w:after="120" w:line="240" w:lineRule="auto"/>
              <w:rPr>
                <w:sz w:val="16"/>
                <w:szCs w:val="16"/>
              </w:rPr>
            </w:pPr>
            <w:r w:rsidRPr="002C21B8">
              <w:rPr>
                <w:rStyle w:val="Strong"/>
                <w:rFonts w:eastAsiaTheme="majorEastAsia"/>
                <w:color w:val="000000"/>
                <w:sz w:val="16"/>
                <w:szCs w:val="16"/>
              </w:rPr>
              <w:t>Design</w:t>
            </w:r>
          </w:p>
        </w:tc>
        <w:tc>
          <w:tcPr>
            <w:tcW w:w="3685" w:type="dxa"/>
            <w:shd w:val="clear" w:color="auto" w:fill="auto"/>
            <w:vAlign w:val="center"/>
          </w:tcPr>
          <w:p w14:paraId="001956E2" w14:textId="77777777" w:rsidR="00FA366A" w:rsidRPr="002C21B8" w:rsidRDefault="00FA366A" w:rsidP="0087500D">
            <w:pPr>
              <w:spacing w:before="20" w:after="120" w:line="240" w:lineRule="auto"/>
              <w:rPr>
                <w:sz w:val="16"/>
                <w:szCs w:val="16"/>
              </w:rPr>
            </w:pPr>
            <w:r w:rsidRPr="002C21B8">
              <w:rPr>
                <w:sz w:val="16"/>
                <w:szCs w:val="16"/>
              </w:rPr>
              <w:t>Published, peer-reviewed systematic reviews</w:t>
            </w:r>
          </w:p>
        </w:tc>
        <w:tc>
          <w:tcPr>
            <w:tcW w:w="3206" w:type="dxa"/>
            <w:shd w:val="clear" w:color="auto" w:fill="auto"/>
            <w:vAlign w:val="center"/>
          </w:tcPr>
          <w:p w14:paraId="6726C203" w14:textId="75F59574" w:rsidR="00FA366A" w:rsidRPr="002C21B8" w:rsidRDefault="00FA366A" w:rsidP="0087500D">
            <w:pPr>
              <w:spacing w:before="20" w:after="120" w:line="240" w:lineRule="auto"/>
              <w:rPr>
                <w:sz w:val="16"/>
                <w:szCs w:val="16"/>
              </w:rPr>
            </w:pPr>
            <w:r w:rsidRPr="002C21B8">
              <w:rPr>
                <w:sz w:val="16"/>
                <w:szCs w:val="16"/>
              </w:rPr>
              <w:t>Rapid reviews, scoping reviews, narrative reviews</w:t>
            </w:r>
            <w:r w:rsidR="00E6614E" w:rsidRPr="002C21B8">
              <w:rPr>
                <w:sz w:val="16"/>
                <w:szCs w:val="16"/>
              </w:rPr>
              <w:t>,</w:t>
            </w:r>
            <w:r w:rsidRPr="002C21B8">
              <w:rPr>
                <w:sz w:val="16"/>
                <w:szCs w:val="16"/>
              </w:rPr>
              <w:t xml:space="preserve"> protocols</w:t>
            </w:r>
            <w:r w:rsidR="00E6614E" w:rsidRPr="002C21B8">
              <w:rPr>
                <w:sz w:val="16"/>
                <w:szCs w:val="16"/>
              </w:rPr>
              <w:t>,</w:t>
            </w:r>
            <w:r w:rsidRPr="002C21B8">
              <w:rPr>
                <w:sz w:val="16"/>
                <w:szCs w:val="16"/>
              </w:rPr>
              <w:t xml:space="preserve"> conference abstracts</w:t>
            </w:r>
          </w:p>
        </w:tc>
      </w:tr>
      <w:tr w:rsidR="00FA366A" w:rsidRPr="002C21B8" w14:paraId="2F4687DC" w14:textId="77777777" w:rsidTr="00081B5D">
        <w:tc>
          <w:tcPr>
            <w:tcW w:w="2119" w:type="dxa"/>
            <w:shd w:val="clear" w:color="auto" w:fill="auto"/>
            <w:vAlign w:val="center"/>
          </w:tcPr>
          <w:p w14:paraId="4630FB81" w14:textId="77777777" w:rsidR="00FA366A" w:rsidRPr="002C21B8" w:rsidRDefault="00FA366A" w:rsidP="0087500D">
            <w:pPr>
              <w:spacing w:before="20" w:after="120" w:line="240" w:lineRule="auto"/>
              <w:rPr>
                <w:sz w:val="16"/>
                <w:szCs w:val="16"/>
              </w:rPr>
            </w:pPr>
            <w:r w:rsidRPr="002C21B8">
              <w:rPr>
                <w:rStyle w:val="Strong"/>
                <w:rFonts w:eastAsiaTheme="majorEastAsia"/>
                <w:color w:val="000000"/>
                <w:sz w:val="16"/>
                <w:szCs w:val="16"/>
              </w:rPr>
              <w:t>Evaluation</w:t>
            </w:r>
          </w:p>
        </w:tc>
        <w:tc>
          <w:tcPr>
            <w:tcW w:w="3685" w:type="dxa"/>
            <w:shd w:val="clear" w:color="auto" w:fill="auto"/>
            <w:vAlign w:val="center"/>
          </w:tcPr>
          <w:p w14:paraId="4A713072" w14:textId="77777777" w:rsidR="00783B1D" w:rsidRPr="002C21B8" w:rsidRDefault="00FA366A" w:rsidP="0087500D">
            <w:pPr>
              <w:spacing w:before="20" w:after="120" w:line="240" w:lineRule="auto"/>
              <w:rPr>
                <w:sz w:val="16"/>
                <w:szCs w:val="16"/>
              </w:rPr>
            </w:pPr>
            <w:r w:rsidRPr="002C21B8">
              <w:rPr>
                <w:sz w:val="16"/>
                <w:szCs w:val="16"/>
              </w:rPr>
              <w:t xml:space="preserve">Reviews reporting at least one of the following: </w:t>
            </w:r>
          </w:p>
          <w:p w14:paraId="3CB8D004" w14:textId="253030A0" w:rsidR="00783B1D" w:rsidRPr="002C21B8" w:rsidRDefault="00FA366A" w:rsidP="00A97F07">
            <w:pPr>
              <w:pStyle w:val="ListParagraph"/>
              <w:numPr>
                <w:ilvl w:val="0"/>
                <w:numId w:val="53"/>
              </w:numPr>
              <w:spacing w:before="20" w:after="120" w:line="240" w:lineRule="auto"/>
              <w:ind w:left="454"/>
              <w:rPr>
                <w:sz w:val="16"/>
                <w:szCs w:val="16"/>
              </w:rPr>
            </w:pPr>
            <w:r w:rsidRPr="002C21B8">
              <w:rPr>
                <w:sz w:val="16"/>
                <w:szCs w:val="16"/>
              </w:rPr>
              <w:t xml:space="preserve">factors influencing initiation </w:t>
            </w:r>
          </w:p>
          <w:p w14:paraId="0CB253E9" w14:textId="249CA69A" w:rsidR="00783B1D" w:rsidRPr="002C21B8" w:rsidRDefault="00FA366A" w:rsidP="00A97F07">
            <w:pPr>
              <w:pStyle w:val="ListParagraph"/>
              <w:numPr>
                <w:ilvl w:val="0"/>
                <w:numId w:val="53"/>
              </w:numPr>
              <w:spacing w:before="20" w:after="120" w:line="240" w:lineRule="auto"/>
              <w:ind w:left="454"/>
              <w:rPr>
                <w:sz w:val="16"/>
                <w:szCs w:val="16"/>
              </w:rPr>
            </w:pPr>
            <w:r w:rsidRPr="002C21B8">
              <w:rPr>
                <w:sz w:val="16"/>
                <w:szCs w:val="16"/>
              </w:rPr>
              <w:t>experiences of healthcare professionals making prescribing decisions</w:t>
            </w:r>
          </w:p>
          <w:p w14:paraId="602D5D40" w14:textId="7CBF67CE" w:rsidR="00FA366A" w:rsidRPr="002C21B8" w:rsidRDefault="00FA366A" w:rsidP="00A97F07">
            <w:pPr>
              <w:pStyle w:val="ListParagraph"/>
              <w:numPr>
                <w:ilvl w:val="0"/>
                <w:numId w:val="53"/>
              </w:numPr>
              <w:spacing w:before="20" w:after="120" w:line="240" w:lineRule="auto"/>
              <w:ind w:left="454"/>
              <w:rPr>
                <w:sz w:val="16"/>
                <w:szCs w:val="16"/>
              </w:rPr>
            </w:pPr>
            <w:r w:rsidRPr="002C21B8">
              <w:rPr>
                <w:sz w:val="16"/>
                <w:szCs w:val="16"/>
              </w:rPr>
              <w:t xml:space="preserve">barriers and facilitators to prescribing </w:t>
            </w:r>
          </w:p>
        </w:tc>
        <w:tc>
          <w:tcPr>
            <w:tcW w:w="3206" w:type="dxa"/>
            <w:shd w:val="clear" w:color="auto" w:fill="auto"/>
            <w:vAlign w:val="center"/>
          </w:tcPr>
          <w:p w14:paraId="475F54D7" w14:textId="77777777" w:rsidR="00FA366A" w:rsidRPr="002C21B8" w:rsidRDefault="00FA366A" w:rsidP="0087500D">
            <w:pPr>
              <w:spacing w:before="20" w:after="120" w:line="240" w:lineRule="auto"/>
              <w:rPr>
                <w:sz w:val="16"/>
                <w:szCs w:val="16"/>
              </w:rPr>
            </w:pPr>
            <w:r w:rsidRPr="002C21B8">
              <w:rPr>
                <w:sz w:val="16"/>
                <w:szCs w:val="16"/>
              </w:rPr>
              <w:t>Reviews not reporting outcomes relevant to prescribing decision-making</w:t>
            </w:r>
          </w:p>
        </w:tc>
      </w:tr>
      <w:tr w:rsidR="00FA366A" w:rsidRPr="002C21B8" w14:paraId="286AEDE6" w14:textId="77777777" w:rsidTr="00081B5D">
        <w:tc>
          <w:tcPr>
            <w:tcW w:w="2119" w:type="dxa"/>
            <w:shd w:val="clear" w:color="auto" w:fill="auto"/>
            <w:vAlign w:val="center"/>
          </w:tcPr>
          <w:p w14:paraId="3FD6CEE6" w14:textId="77777777" w:rsidR="00FA366A" w:rsidRPr="002C21B8" w:rsidRDefault="00FA366A" w:rsidP="0087500D">
            <w:pPr>
              <w:spacing w:before="20" w:after="120" w:line="240" w:lineRule="auto"/>
              <w:rPr>
                <w:sz w:val="16"/>
                <w:szCs w:val="16"/>
              </w:rPr>
            </w:pPr>
            <w:r w:rsidRPr="002C21B8">
              <w:rPr>
                <w:rStyle w:val="Strong"/>
                <w:rFonts w:eastAsiaTheme="majorEastAsia"/>
                <w:color w:val="000000"/>
                <w:sz w:val="16"/>
                <w:szCs w:val="16"/>
              </w:rPr>
              <w:t>Research Type</w:t>
            </w:r>
          </w:p>
        </w:tc>
        <w:tc>
          <w:tcPr>
            <w:tcW w:w="3685" w:type="dxa"/>
            <w:shd w:val="clear" w:color="auto" w:fill="auto"/>
            <w:vAlign w:val="center"/>
          </w:tcPr>
          <w:p w14:paraId="2ECC2E70" w14:textId="77777777" w:rsidR="00FA366A" w:rsidRPr="002C21B8" w:rsidRDefault="00FA366A" w:rsidP="0087500D">
            <w:pPr>
              <w:spacing w:before="20" w:after="120" w:line="240" w:lineRule="auto"/>
              <w:rPr>
                <w:sz w:val="16"/>
                <w:szCs w:val="16"/>
              </w:rPr>
            </w:pPr>
            <w:r w:rsidRPr="002C21B8">
              <w:rPr>
                <w:sz w:val="16"/>
                <w:szCs w:val="16"/>
              </w:rPr>
              <w:t>Systematic reviews of qualitative, quantitative, or mixed-methods studies published in any language between 01/01/2013 and 07/11/2023</w:t>
            </w:r>
          </w:p>
        </w:tc>
        <w:tc>
          <w:tcPr>
            <w:tcW w:w="3206" w:type="dxa"/>
            <w:shd w:val="clear" w:color="auto" w:fill="auto"/>
            <w:vAlign w:val="center"/>
          </w:tcPr>
          <w:p w14:paraId="6A1E5334" w14:textId="77777777" w:rsidR="00FA366A" w:rsidRPr="002C21B8" w:rsidRDefault="00FA366A" w:rsidP="0087500D">
            <w:pPr>
              <w:spacing w:before="20" w:after="120" w:line="240" w:lineRule="auto"/>
              <w:rPr>
                <w:sz w:val="16"/>
                <w:szCs w:val="16"/>
              </w:rPr>
            </w:pPr>
            <w:r w:rsidRPr="002C21B8">
              <w:rPr>
                <w:sz w:val="16"/>
                <w:szCs w:val="16"/>
              </w:rPr>
              <w:t>Reviews published outside the specified date range; non-systematic evidence syntheses</w:t>
            </w:r>
          </w:p>
        </w:tc>
      </w:tr>
    </w:tbl>
    <w:p w14:paraId="14E91C6E" w14:textId="77777777" w:rsidR="00B16B1D" w:rsidRPr="002C21B8" w:rsidRDefault="00B16B1D" w:rsidP="00BA72CA">
      <w:pPr>
        <w:spacing w:line="240" w:lineRule="auto"/>
      </w:pPr>
    </w:p>
    <w:p w14:paraId="2FED9F7C" w14:textId="753F3535" w:rsidR="000655BD" w:rsidRPr="002C21B8" w:rsidRDefault="000655BD" w:rsidP="00BA72CA">
      <w:pPr>
        <w:pStyle w:val="Heading3"/>
        <w:numPr>
          <w:ilvl w:val="0"/>
          <w:numId w:val="0"/>
        </w:numPr>
        <w:spacing w:before="0"/>
      </w:pPr>
      <w:r w:rsidRPr="002C21B8">
        <w:t>Rationale for inclusion criteria</w:t>
      </w:r>
    </w:p>
    <w:p w14:paraId="31EBEE1C" w14:textId="63E3417D" w:rsidR="00C45D60" w:rsidRPr="002C21B8" w:rsidRDefault="00C45D60" w:rsidP="00D22BF0">
      <w:pPr>
        <w:spacing w:after="0"/>
        <w:rPr>
          <w:b/>
          <w:bCs/>
          <w:iCs/>
          <w:sz w:val="24"/>
          <w:szCs w:val="24"/>
        </w:rPr>
      </w:pPr>
      <w:r w:rsidRPr="002C21B8">
        <w:rPr>
          <w:b/>
          <w:bCs/>
          <w:iCs/>
          <w:sz w:val="24"/>
          <w:szCs w:val="24"/>
        </w:rPr>
        <w:t>A</w:t>
      </w:r>
      <w:r w:rsidR="00FA366A" w:rsidRPr="002C21B8">
        <w:rPr>
          <w:b/>
          <w:bCs/>
          <w:iCs/>
          <w:sz w:val="24"/>
          <w:szCs w:val="24"/>
        </w:rPr>
        <w:t>dults</w:t>
      </w:r>
    </w:p>
    <w:p w14:paraId="0177DBCE" w14:textId="697383B7" w:rsidR="00980824" w:rsidRPr="002C21B8" w:rsidRDefault="00064498" w:rsidP="00C45D60">
      <w:r w:rsidRPr="002C21B8">
        <w:t>The systematic review focused on prescribing decision-making for adults</w:t>
      </w:r>
      <w:r w:rsidR="00E6614E" w:rsidRPr="002C21B8">
        <w:t>,</w:t>
      </w:r>
      <w:r w:rsidRPr="002C21B8">
        <w:t xml:space="preserve"> as this reflects a more standardised and comparable clinical context in which prescribing decision-making could be consider</w:t>
      </w:r>
      <w:r w:rsidR="00A83F20" w:rsidRPr="002C21B8">
        <w:t>ed</w:t>
      </w:r>
      <w:r w:rsidRPr="002C21B8">
        <w:t>. Prescribing is often guided by established evidence bases, consistent dosing practices and mor</w:t>
      </w:r>
      <w:r w:rsidR="00A83F20" w:rsidRPr="002C21B8">
        <w:t>e</w:t>
      </w:r>
      <w:r w:rsidRPr="002C21B8">
        <w:t xml:space="preserve"> uniform decision-making processes. This means the included systematic reviews should be less heterogen</w:t>
      </w:r>
      <w:r w:rsidR="00A83F20" w:rsidRPr="002C21B8">
        <w:t>e</w:t>
      </w:r>
      <w:r w:rsidRPr="002C21B8">
        <w:t>ous in terms of the factors influencing decision-making processes</w:t>
      </w:r>
      <w:r w:rsidR="00A83F20" w:rsidRPr="002C21B8">
        <w:t>,</w:t>
      </w:r>
      <w:r w:rsidRPr="002C21B8">
        <w:t xml:space="preserve"> which </w:t>
      </w:r>
      <w:r w:rsidR="00A83F20" w:rsidRPr="002C21B8">
        <w:t xml:space="preserve">is </w:t>
      </w:r>
      <w:r w:rsidRPr="002C21B8">
        <w:t>intended to enhance the interpretation of findings.</w:t>
      </w:r>
    </w:p>
    <w:p w14:paraId="0CBF31F1" w14:textId="2B62CE1F" w:rsidR="00064498" w:rsidRPr="002C21B8" w:rsidRDefault="00980824" w:rsidP="00064498">
      <w:r w:rsidRPr="002C21B8">
        <w:t xml:space="preserve">Prescribing decision-making in children differs from </w:t>
      </w:r>
      <w:r w:rsidR="00A83F20" w:rsidRPr="002C21B8">
        <w:t xml:space="preserve">that in </w:t>
      </w:r>
      <w:r w:rsidRPr="002C21B8">
        <w:t>adults. There is often</w:t>
      </w:r>
      <w:r w:rsidR="00A83F20" w:rsidRPr="002C21B8">
        <w:t xml:space="preserve"> a</w:t>
      </w:r>
      <w:r w:rsidRPr="002C21B8">
        <w:t xml:space="preserve"> less consistent evidence base and fewer guidelines in paediatric medicine</w:t>
      </w:r>
      <w:r w:rsidR="00A83F20" w:rsidRPr="002C21B8">
        <w:t>,</w:t>
      </w:r>
      <w:r w:rsidRPr="002C21B8">
        <w:t xml:space="preserve"> so medic</w:t>
      </w:r>
      <w:r w:rsidR="004E134A" w:rsidRPr="002C21B8">
        <w:t>ation</w:t>
      </w:r>
      <w:r w:rsidRPr="002C21B8">
        <w:t>s are often used outside of their license</w:t>
      </w:r>
      <w:r w:rsidR="00306BC6" w:rsidRPr="002C21B8">
        <w:t xml:space="preserve"> </w:t>
      </w:r>
      <w:r w:rsidR="00306BC6" w:rsidRPr="002C21B8">
        <w:fldChar w:fldCharType="begin"/>
      </w:r>
      <w:r w:rsidR="00763983" w:rsidRPr="002C21B8">
        <w:instrText xml:space="preserve"> ADDIN EN.CITE &lt;EndNote&gt;&lt;Cite&gt;&lt;Author&gt;Ferro&lt;/Author&gt;&lt;Year&gt;2015&lt;/Year&gt;&lt;RecNum&gt;17517&lt;/RecNum&gt;&lt;DisplayText&gt;(Ferro, 2015)&lt;/DisplayText&gt;&lt;record&gt;&lt;rec-number&gt;17517&lt;/rec-number&gt;&lt;foreign-keys&gt;&lt;key app="EN" db-id="xpefzwa5hf9dt2ea9fax95x7xvxz90v09dtf" timestamp="1726137081"&gt;17517&lt;/key&gt;&lt;/foreign-keys&gt;&lt;ref-type name="Journal Article"&gt;17&lt;/ref-type&gt;&lt;contributors&gt;&lt;authors&gt;&lt;author&gt;Ferro, A.&lt;/author&gt;&lt;/authors&gt;&lt;/contributors&gt;&lt;auth-address&gt;Department of Clinical Pharmacology, Cardiovascular Division, British Heart Foundation Centre of Research Excellence, King&amp;apos;s College London, London, SE1 9NH, United Kingdom.&lt;/auth-address&gt;&lt;titles&gt;&lt;title&gt;Paediatric prescribing: why children are not small adults&lt;/title&gt;&lt;secondary-title&gt;British Journal of Clinical Pharmacology&lt;/secondary-title&gt;&lt;/titles&gt;&lt;periodical&gt;&lt;full-title&gt;British Journal of Clinical Pharmacology&lt;/full-title&gt;&lt;/periodical&gt;&lt;pages&gt;351-3&lt;/pages&gt;&lt;volume&gt;79&lt;/volume&gt;&lt;number&gt;3&lt;/number&gt;&lt;keywords&gt;&lt;keyword&gt;Adult&lt;/keyword&gt;&lt;keyword&gt;Aging/metabolism&lt;/keyword&gt;&lt;keyword&gt;Child&lt;/keyword&gt;&lt;keyword&gt;Drug Prescriptions/*standards/statistics &amp;amp; numerical data&lt;/keyword&gt;&lt;keyword&gt;Humans&lt;/keyword&gt;&lt;keyword&gt;Pharmaceutical Preparations/*administration &amp;amp; dosage/metabolism&lt;/keyword&gt;&lt;keyword&gt;Pharmacokinetics&lt;/keyword&gt;&lt;keyword&gt;Practice Patterns, Physicians&amp;apos;/*statistics &amp;amp; numerical data&lt;/keyword&gt;&lt;/keywords&gt;&lt;dates&gt;&lt;year&gt;2015&lt;/year&gt;&lt;pub-dates&gt;&lt;date&gt;Mar&lt;/date&gt;&lt;/pub-dates&gt;&lt;/dates&gt;&lt;isbn&gt;0306-5251 (Print)&amp;#xD;0306-5251&lt;/isbn&gt;&lt;accession-num&gt;25371355&lt;/accession-num&gt;&lt;urls&gt;&lt;/urls&gt;&lt;custom2&gt;PMC4345945&lt;/custom2&gt;&lt;electronic-resource-num&gt;10.1111/bcp.12540&lt;/electronic-resource-num&gt;&lt;remote-database-provider&gt;NLM&lt;/remote-database-provider&gt;&lt;language&gt;eng&lt;/language&gt;&lt;/record&gt;&lt;/Cite&gt;&lt;/EndNote&gt;</w:instrText>
      </w:r>
      <w:r w:rsidR="00306BC6" w:rsidRPr="002C21B8">
        <w:fldChar w:fldCharType="separate"/>
      </w:r>
      <w:r w:rsidR="00306BC6" w:rsidRPr="002C21B8">
        <w:rPr>
          <w:noProof/>
        </w:rPr>
        <w:t>(Ferro, 2015)</w:t>
      </w:r>
      <w:r w:rsidR="00306BC6" w:rsidRPr="002C21B8">
        <w:fldChar w:fldCharType="end"/>
      </w:r>
      <w:r w:rsidRPr="002C21B8">
        <w:t>. Physiological and anatomical differences give rise to more pharmacokinetic considerations</w:t>
      </w:r>
      <w:r w:rsidR="007D25FD" w:rsidRPr="002C21B8">
        <w:t>. D</w:t>
      </w:r>
      <w:r w:rsidRPr="002C21B8">
        <w:t xml:space="preserve">etermining appropriate dosing regimens </w:t>
      </w:r>
      <w:r w:rsidR="007D25FD" w:rsidRPr="002C21B8">
        <w:t xml:space="preserve">is </w:t>
      </w:r>
      <w:r w:rsidRPr="002C21B8">
        <w:t>particularly difficult</w:t>
      </w:r>
      <w:r w:rsidR="00306BC6" w:rsidRPr="002C21B8">
        <w:t xml:space="preserve"> </w:t>
      </w:r>
      <w:r w:rsidR="00306BC6" w:rsidRPr="002C21B8">
        <w:fldChar w:fldCharType="begin"/>
      </w:r>
      <w:r w:rsidR="00306BC6" w:rsidRPr="002C21B8">
        <w:instrText xml:space="preserve"> ADDIN EN.CITE &lt;EndNote&gt;&lt;Cite&gt;&lt;Author&gt;Fernandez&lt;/Author&gt;&lt;Year&gt;2011&lt;/Year&gt;&lt;RecNum&gt;125414&lt;/RecNum&gt;&lt;DisplayText&gt;(Fernandez&lt;style face="italic"&gt; et al.&lt;/style&gt;, 2011)&lt;/DisplayText&gt;&lt;record&gt;&lt;rec-number&gt;125414&lt;/rec-number&gt;&lt;foreign-keys&gt;&lt;key app="EN" db-id="xpefzwa5hf9dt2ea9fax95x7xvxz90v09dtf" timestamp="1775809271"&gt;125414&lt;/key&gt;&lt;/foreign-keys&gt;&lt;ref-type name="Journal Article"&gt;17&lt;/ref-type&gt;&lt;contributors&gt;&lt;authors&gt;&lt;author&gt;Fernandez, Eva&lt;/author&gt;&lt;author&gt;Perez, Raul&lt;/author&gt;&lt;author&gt;Hernandez, Alfredo&lt;/author&gt;&lt;author&gt;Tejada, Pilar&lt;/author&gt;&lt;author&gt;Arteta, Marta&lt;/author&gt;&lt;author&gt;Ramos, Jose T&lt;/author&gt;&lt;/authors&gt;&lt;/contributors&gt;&lt;titles&gt;&lt;title&gt;Factors and mechanisms for pharmacokinetic differences between pediatric population and adults&lt;/title&gt;&lt;secondary-title&gt;Pharmaceutics&lt;/secondary-title&gt;&lt;/titles&gt;&lt;periodical&gt;&lt;full-title&gt;Pharmaceutics&lt;/full-title&gt;&lt;/periodical&gt;&lt;pages&gt;53-72&lt;/pages&gt;&lt;volume&gt;3&lt;/volume&gt;&lt;number&gt;1&lt;/number&gt;&lt;dates&gt;&lt;year&gt;2011&lt;/year&gt;&lt;/dates&gt;&lt;isbn&gt;1999-4923&lt;/isbn&gt;&lt;urls&gt;&lt;/urls&gt;&lt;/record&gt;&lt;/Cite&gt;&lt;/EndNote&gt;</w:instrText>
      </w:r>
      <w:r w:rsidR="00306BC6" w:rsidRPr="002C21B8">
        <w:fldChar w:fldCharType="separate"/>
      </w:r>
      <w:r w:rsidR="00306BC6" w:rsidRPr="002C21B8">
        <w:t>(Fernandez</w:t>
      </w:r>
      <w:r w:rsidR="00306BC6" w:rsidRPr="002C21B8">
        <w:rPr>
          <w:i/>
        </w:rPr>
        <w:t xml:space="preserve"> et al.</w:t>
      </w:r>
      <w:r w:rsidR="00306BC6" w:rsidRPr="002C21B8">
        <w:t>, 2011)</w:t>
      </w:r>
      <w:r w:rsidR="00306BC6" w:rsidRPr="002C21B8">
        <w:fldChar w:fldCharType="end"/>
      </w:r>
      <w:r w:rsidRPr="002C21B8">
        <w:t>. Shared decision-making often involves parents or guardians</w:t>
      </w:r>
      <w:r w:rsidR="00A83F20" w:rsidRPr="002C21B8">
        <w:t>,</w:t>
      </w:r>
      <w:r w:rsidRPr="002C21B8">
        <w:t xml:space="preserve"> but can involve children depending on their age and maturity. This makes decision-making more complex as clinicians must </w:t>
      </w:r>
      <w:r w:rsidR="00064498" w:rsidRPr="002C21B8">
        <w:t>consider consent and the child’s level of competence alongside parental preferences</w:t>
      </w:r>
      <w:r w:rsidR="00306BC6" w:rsidRPr="002C21B8">
        <w:t xml:space="preserve"> </w:t>
      </w:r>
      <w:r w:rsidR="00306BC6" w:rsidRPr="002C21B8">
        <w:fldChar w:fldCharType="begin"/>
      </w:r>
      <w:r w:rsidR="001F4D9D" w:rsidRPr="002C21B8">
        <w:instrText xml:space="preserve"> ADDIN EN.CITE &lt;EndNote&gt;&lt;Cite&gt;&lt;Author&gt;Bart&lt;/Author&gt;&lt;Year&gt;2024&lt;/Year&gt;&lt;RecNum&gt;125412&lt;/RecNum&gt;&lt;DisplayText&gt;(Bart, Hall and Gillam, 2024)&lt;/DisplayText&gt;&lt;record&gt;&lt;rec-number&gt;125412&lt;/rec-number&gt;&lt;foreign-keys&gt;&lt;key app="EN" db-id="xpefzwa5hf9dt2ea9fax95x7xvxz90v09dtf" timestamp="1775809212"&gt;125412&lt;/key&gt;&lt;/foreign-keys&gt;&lt;ref-type name="Journal Article"&gt;17&lt;/ref-type&gt;&lt;contributors&gt;&lt;authors&gt;&lt;author&gt;Bart, Avraham&lt;/author&gt;&lt;author&gt;Hall, Georgina Antonia&lt;/author&gt;&lt;author&gt;Gillam, Lynn&lt;/author&gt;&lt;/authors&gt;&lt;/contributors&gt;&lt;titles&gt;&lt;title&gt;Gillick competence: an inadequate guide to the ethics of involving adolescents in decision-making&lt;/title&gt;&lt;secondary-title&gt;Journal of Medical Ethics&lt;/secondary-title&gt;&lt;/titles&gt;&lt;periodical&gt;&lt;full-title&gt;Journal of medical ethics&lt;/full-title&gt;&lt;/periodical&gt;&lt;pages&gt;157-162&lt;/pages&gt;&lt;volume&gt;50&lt;/volume&gt;&lt;number&gt;3&lt;/number&gt;&lt;dates&gt;&lt;year&gt;2024&lt;/year&gt;&lt;/dates&gt;&lt;isbn&gt;0306-6800&lt;/isbn&gt;&lt;urls&gt;&lt;/urls&gt;&lt;/record&gt;&lt;/Cite&gt;&lt;/EndNote&gt;</w:instrText>
      </w:r>
      <w:r w:rsidR="00306BC6" w:rsidRPr="002C21B8">
        <w:fldChar w:fldCharType="separate"/>
      </w:r>
      <w:r w:rsidR="00306BC6" w:rsidRPr="002C21B8">
        <w:rPr>
          <w:noProof/>
        </w:rPr>
        <w:t>(Bart, Hall and Gillam, 2024)</w:t>
      </w:r>
      <w:r w:rsidR="00306BC6" w:rsidRPr="002C21B8">
        <w:fldChar w:fldCharType="end"/>
      </w:r>
      <w:r w:rsidR="00064498" w:rsidRPr="002C21B8">
        <w:t>. Factors relating to child welfare and safeguarding responsibilities are also often considered</w:t>
      </w:r>
      <w:r w:rsidR="00B7373F" w:rsidRPr="002C21B8">
        <w:t>,</w:t>
      </w:r>
      <w:r w:rsidR="00A83F20" w:rsidRPr="002C21B8">
        <w:t xml:space="preserve"> which</w:t>
      </w:r>
      <w:r w:rsidR="00064498" w:rsidRPr="002C21B8">
        <w:t xml:space="preserve"> further complicat</w:t>
      </w:r>
      <w:r w:rsidR="00A83F20" w:rsidRPr="002C21B8">
        <w:t>es</w:t>
      </w:r>
      <w:r w:rsidR="00064498" w:rsidRPr="002C21B8">
        <w:t xml:space="preserve"> decision-making. Finally,</w:t>
      </w:r>
      <w:r w:rsidRPr="002C21B8">
        <w:t xml:space="preserve"> </w:t>
      </w:r>
      <w:r w:rsidR="00064498" w:rsidRPr="002C21B8">
        <w:t>r</w:t>
      </w:r>
      <w:r w:rsidRPr="002C21B8">
        <w:t xml:space="preserve">isk tolerance is often lower </w:t>
      </w:r>
      <w:r w:rsidR="00064498" w:rsidRPr="002C21B8">
        <w:t>when prescribing medications for</w:t>
      </w:r>
      <w:r w:rsidRPr="002C21B8">
        <w:t xml:space="preserve"> children than adults</w:t>
      </w:r>
      <w:r w:rsidR="00A83F20" w:rsidRPr="002C21B8">
        <w:t>,</w:t>
      </w:r>
      <w:r w:rsidRPr="002C21B8">
        <w:t xml:space="preserve"> so how clinicians approach the risk-benefit assessment is </w:t>
      </w:r>
      <w:r w:rsidR="00064498" w:rsidRPr="002C21B8">
        <w:t>more</w:t>
      </w:r>
      <w:r w:rsidR="00BF44AB" w:rsidRPr="002C21B8">
        <w:t xml:space="preserve"> likely to be</w:t>
      </w:r>
      <w:r w:rsidR="00064498" w:rsidRPr="002C21B8">
        <w:t xml:space="preserve"> cautious</w:t>
      </w:r>
      <w:r w:rsidR="00306BC6" w:rsidRPr="002C21B8">
        <w:t xml:space="preserve"> </w:t>
      </w:r>
      <w:r w:rsidR="00306BC6" w:rsidRPr="002C21B8">
        <w:fldChar w:fldCharType="begin"/>
      </w:r>
      <w:r w:rsidR="00763983" w:rsidRPr="002C21B8">
        <w:instrText xml:space="preserve"> ADDIN EN.CITE &lt;EndNote&gt;&lt;Cite&gt;&lt;Author&gt;Ferro&lt;/Author&gt;&lt;Year&gt;2015&lt;/Year&gt;&lt;RecNum&gt;17517&lt;/RecNum&gt;&lt;DisplayText&gt;(Ferro, 2015)&lt;/DisplayText&gt;&lt;record&gt;&lt;rec-number&gt;17517&lt;/rec-number&gt;&lt;foreign-keys&gt;&lt;key app="EN" db-id="xpefzwa5hf9dt2ea9fax95x7xvxz90v09dtf" timestamp="1726137081"&gt;17517&lt;/key&gt;&lt;/foreign-keys&gt;&lt;ref-type name="Journal Article"&gt;17&lt;/ref-type&gt;&lt;contributors&gt;&lt;authors&gt;&lt;author&gt;Ferro, A.&lt;/author&gt;&lt;/authors&gt;&lt;/contributors&gt;&lt;auth-address&gt;Department of Clinical Pharmacology, Cardiovascular Division, British Heart Foundation Centre of Research Excellence, King&amp;apos;s College London, London, SE1 9NH, United Kingdom.&lt;/auth-address&gt;&lt;titles&gt;&lt;title&gt;Paediatric prescribing: why children are not small adults&lt;/title&gt;&lt;secondary-title&gt;British Journal of Clinical Pharmacology&lt;/secondary-title&gt;&lt;/titles&gt;&lt;periodical&gt;&lt;full-title&gt;British Journal of Clinical Pharmacology&lt;/full-title&gt;&lt;/periodical&gt;&lt;pages&gt;351-3&lt;/pages&gt;&lt;volume&gt;79&lt;/volume&gt;&lt;number&gt;3&lt;/number&gt;&lt;keywords&gt;&lt;keyword&gt;Adult&lt;/keyword&gt;&lt;keyword&gt;Aging/metabolism&lt;/keyword&gt;&lt;keyword&gt;Child&lt;/keyword&gt;&lt;keyword&gt;Drug Prescriptions/*standards/statistics &amp;amp; numerical data&lt;/keyword&gt;&lt;keyword&gt;Humans&lt;/keyword&gt;&lt;keyword&gt;Pharmaceutical Preparations/*administration &amp;amp; dosage/metabolism&lt;/keyword&gt;&lt;keyword&gt;Pharmacokinetics&lt;/keyword&gt;&lt;keyword&gt;Practice Patterns, Physicians&amp;apos;/*statistics &amp;amp; numerical data&lt;/keyword&gt;&lt;/keywords&gt;&lt;dates&gt;&lt;year&gt;2015&lt;/year&gt;&lt;pub-dates&gt;&lt;date&gt;Mar&lt;/date&gt;&lt;/pub-dates&gt;&lt;/dates&gt;&lt;isbn&gt;0306-5251 (Print)&amp;#xD;0306-5251&lt;/isbn&gt;&lt;accession-num&gt;25371355&lt;/accession-num&gt;&lt;urls&gt;&lt;/urls&gt;&lt;custom2&gt;PMC4345945&lt;/custom2&gt;&lt;electronic-resource-num&gt;10.1111/bcp.12540&lt;/electronic-resource-num&gt;&lt;remote-database-provider&gt;NLM&lt;/remote-database-provider&gt;&lt;language&gt;eng&lt;/language&gt;&lt;/record&gt;&lt;/Cite&gt;&lt;/EndNote&gt;</w:instrText>
      </w:r>
      <w:r w:rsidR="00306BC6" w:rsidRPr="002C21B8">
        <w:fldChar w:fldCharType="separate"/>
      </w:r>
      <w:r w:rsidR="00306BC6" w:rsidRPr="002C21B8">
        <w:rPr>
          <w:noProof/>
        </w:rPr>
        <w:t>(Ferro, 2015)</w:t>
      </w:r>
      <w:r w:rsidR="00306BC6" w:rsidRPr="002C21B8">
        <w:fldChar w:fldCharType="end"/>
      </w:r>
      <w:r w:rsidRPr="002C21B8">
        <w:t>.</w:t>
      </w:r>
    </w:p>
    <w:p w14:paraId="12D00D04" w14:textId="77777777" w:rsidR="00103210" w:rsidRPr="002C21B8" w:rsidRDefault="00103210" w:rsidP="006F1BFD">
      <w:pPr>
        <w:spacing w:after="0"/>
        <w:rPr>
          <w:b/>
          <w:bCs/>
          <w:iCs/>
          <w:sz w:val="24"/>
          <w:szCs w:val="24"/>
        </w:rPr>
      </w:pPr>
      <w:r w:rsidRPr="002C21B8">
        <w:rPr>
          <w:b/>
          <w:bCs/>
          <w:iCs/>
          <w:sz w:val="24"/>
          <w:szCs w:val="24"/>
        </w:rPr>
        <w:t>Chronic conditions</w:t>
      </w:r>
    </w:p>
    <w:p w14:paraId="3BCB46DF" w14:textId="4CEC2C08" w:rsidR="00092445" w:rsidRPr="002C21B8" w:rsidRDefault="00AA55D7" w:rsidP="003341B4">
      <w:r w:rsidRPr="002C21B8">
        <w:t xml:space="preserve">Prescribing </w:t>
      </w:r>
      <w:r w:rsidR="009A33C8" w:rsidRPr="002C21B8">
        <w:t>for</w:t>
      </w:r>
      <w:r w:rsidRPr="002C21B8">
        <w:t xml:space="preserve"> chronic conditions was selected </w:t>
      </w:r>
      <w:r w:rsidR="009A33C8" w:rsidRPr="002C21B8">
        <w:t>because</w:t>
      </w:r>
      <w:r w:rsidRPr="002C21B8">
        <w:t xml:space="preserve"> they involve long-term disease trajectories</w:t>
      </w:r>
      <w:r w:rsidR="009A33C8" w:rsidRPr="002C21B8">
        <w:t>,</w:t>
      </w:r>
      <w:r w:rsidRPr="002C21B8">
        <w:t xml:space="preserve"> and clinicians must take into account a wide range of factors in their decision-making. This creates greater scope for clinical judgement, uncertainty and complex risk-benefit assessments </w:t>
      </w:r>
      <w:r w:rsidRPr="002C21B8">
        <w:fldChar w:fldCharType="begin"/>
      </w:r>
      <w:r w:rsidRPr="002C21B8">
        <w:instrText xml:space="preserve"> ADDIN EN.CITE &lt;EndNote&gt;&lt;Cite&gt;&lt;Author&gt;Nicholson&lt;/Author&gt;&lt;Year&gt;2024&lt;/Year&gt;&lt;RecNum&gt;125340&lt;/RecNum&gt;&lt;DisplayText&gt;(Nicholson&lt;style face="italic"&gt; et al.&lt;/style&gt;, 2024)&lt;/DisplayText&gt;&lt;record&gt;&lt;rec-number&gt;125340&lt;/rec-number&gt;&lt;foreign-keys&gt;&lt;key app="EN" db-id="xpefzwa5hf9dt2ea9fax95x7xvxz90v09dtf" timestamp="1775196848"&gt;125340&lt;/key&gt;&lt;/foreign-keys&gt;&lt;ref-type name="Journal Article"&gt;17&lt;/ref-type&gt;&lt;contributors&gt;&lt;authors&gt;&lt;author&gt;Nicholson, Kathryn&lt;/author&gt;&lt;author&gt;Liu, Winnie&lt;/author&gt;&lt;author&gt;Fitzpatrick, Daire&lt;/author&gt;&lt;author&gt;Hardacre, Kate Anne&lt;/author&gt;&lt;author&gt;Roberts, Sarah&lt;/author&gt;&lt;author&gt;Salerno, Jennifer&lt;/author&gt;&lt;author&gt;Stranges, Saverio&lt;/author&gt;&lt;author&gt;Fortin, Martin&lt;/author&gt;&lt;author&gt;Mangin, Dee&lt;/author&gt;&lt;/authors&gt;&lt;/contributors&gt;&lt;titles&gt;&lt;title&gt;Prevalence of multimorbidity and polypharmacy among adults and older adults: a systematic review&lt;/title&gt;&lt;secondary-title&gt;The Lancet Healthy Longevity&lt;/secondary-title&gt;&lt;/titles&gt;&lt;periodical&gt;&lt;full-title&gt;The Lancet Healthy Longevity&lt;/full-title&gt;&lt;/periodical&gt;&lt;pages&gt;e287-e296&lt;/pages&gt;&lt;volume&gt;5&lt;/volume&gt;&lt;number&gt;4&lt;/number&gt;&lt;dates&gt;&lt;year&gt;2024&lt;/year&gt;&lt;/dates&gt;&lt;isbn&gt;2666-7568&lt;/isbn&gt;&lt;urls&gt;&lt;/urls&gt;&lt;/record&gt;&lt;/Cite&gt;&lt;/EndNote&gt;</w:instrText>
      </w:r>
      <w:r w:rsidRPr="002C21B8">
        <w:fldChar w:fldCharType="separate"/>
      </w:r>
      <w:r w:rsidRPr="002C21B8">
        <w:t>(Nicholson et al., 2024)</w:t>
      </w:r>
      <w:r w:rsidRPr="002C21B8">
        <w:fldChar w:fldCharType="end"/>
      </w:r>
      <w:r w:rsidRPr="002C21B8">
        <w:t xml:space="preserve">. This makes them particularly suited to the study of prescribing decision-making processes. In contrast, acute conditions typically involve only short-term </w:t>
      </w:r>
      <w:r w:rsidR="009235DB" w:rsidRPr="002C21B8">
        <w:t>medication</w:t>
      </w:r>
      <w:r w:rsidRPr="002C21B8">
        <w:t>s</w:t>
      </w:r>
      <w:r w:rsidR="00A83F20" w:rsidRPr="002C21B8">
        <w:t>,</w:t>
      </w:r>
      <w:r w:rsidRPr="002C21B8">
        <w:t xml:space="preserve"> which are more often protocol-driven with standardised prescribing pathways </w:t>
      </w:r>
      <w:r w:rsidRPr="002C21B8">
        <w:fldChar w:fldCharType="begin"/>
      </w:r>
      <w:r w:rsidRPr="002C21B8">
        <w:instrText xml:space="preserve"> ADDIN EN.CITE &lt;EndNote&gt;&lt;Cite&gt;&lt;Author&gt;Poluektova&lt;/Author&gt;&lt;Year&gt;2023&lt;/Year&gt;&lt;RecNum&gt;125335&lt;/RecNum&gt;&lt;DisplayText&gt;(Poluektova&lt;style face="italic"&gt; et al.&lt;/style&gt;, 2023)&lt;/DisplayText&gt;&lt;record&gt;&lt;rec-number&gt;125335&lt;/rec-number&gt;&lt;foreign-keys&gt;&lt;key app="EN" db-id="xpefzwa5hf9dt2ea9fax95x7xvxz90v09dtf" timestamp="1775160644"&gt;125335&lt;/key&gt;&lt;/foreign-keys&gt;&lt;ref-type name="Journal Article"&gt;17&lt;/ref-type&gt;&lt;contributors&gt;&lt;authors&gt;&lt;author&gt;Poluektova, Olga&lt;/author&gt;&lt;author&gt;Robertson, Deirdre A&lt;/author&gt;&lt;author&gt;Rafferty, Aisling&lt;/author&gt;&lt;author&gt;Cunney, Robert&lt;/author&gt;&lt;author&gt;Lunn, Peter D&lt;/author&gt;&lt;/authors&gt;&lt;/contributors&gt;&lt;titles&gt;&lt;title&gt;A scoping review and behavioural analysis of factors underlying overuse of antimicrobials&lt;/title&gt;&lt;secondary-title&gt;JAC-Antimicrobial Resistance&lt;/secondary-title&gt;&lt;/titles&gt;&lt;periodical&gt;&lt;full-title&gt;JAC-Antimicrobial Resistance&lt;/full-title&gt;&lt;/periodical&gt;&lt;pages&gt;dlad043&lt;/pages&gt;&lt;volume&gt;5&lt;/volume&gt;&lt;number&gt;3&lt;/number&gt;&lt;dates&gt;&lt;year&gt;2023&lt;/year&gt;&lt;/dates&gt;&lt;isbn&gt;2632-1823&lt;/isbn&gt;&lt;urls&gt;&lt;/urls&gt;&lt;/record&gt;&lt;/Cite&gt;&lt;/EndNote&gt;</w:instrText>
      </w:r>
      <w:r w:rsidRPr="002C21B8">
        <w:fldChar w:fldCharType="separate"/>
      </w:r>
      <w:r w:rsidRPr="002C21B8">
        <w:t>(Poluektova et al., 2023)</w:t>
      </w:r>
      <w:r w:rsidRPr="002C21B8">
        <w:fldChar w:fldCharType="end"/>
      </w:r>
      <w:r w:rsidRPr="002C21B8">
        <w:t>. The inclusion of both acute and chronic conditions would have introduced substantial clinical and methodological heterogeneity</w:t>
      </w:r>
      <w:r w:rsidR="00800B40" w:rsidRPr="002C21B8">
        <w:t>,</w:t>
      </w:r>
      <w:r w:rsidRPr="002C21B8">
        <w:t xml:space="preserve"> which would make meaningful interpretations more difficult to achieve during the overview.</w:t>
      </w:r>
      <w:r w:rsidR="003341B4" w:rsidRPr="002C21B8">
        <w:t xml:space="preserve"> Rare diseases are typically chronic conditions</w:t>
      </w:r>
      <w:r w:rsidR="009A33C8" w:rsidRPr="002C21B8">
        <w:t>,</w:t>
      </w:r>
      <w:r w:rsidR="003341B4" w:rsidRPr="002C21B8">
        <w:t xml:space="preserve"> but there is insufficient literature to conduct a systematic review to inform the development of a conceptual model</w:t>
      </w:r>
      <w:r w:rsidR="009A33C8" w:rsidRPr="002C21B8">
        <w:t>.</w:t>
      </w:r>
      <w:r w:rsidR="003341B4" w:rsidRPr="002C21B8">
        <w:t xml:space="preserve"> </w:t>
      </w:r>
      <w:r w:rsidR="009A33C8" w:rsidRPr="002C21B8">
        <w:t>M</w:t>
      </w:r>
      <w:r w:rsidR="003341B4" w:rsidRPr="002C21B8">
        <w:t>ore common chronic conditions are the closest available proxy.</w:t>
      </w:r>
    </w:p>
    <w:p w14:paraId="0A362DC9" w14:textId="345A99EE" w:rsidR="00C45D60" w:rsidRPr="002C21B8" w:rsidRDefault="00103210" w:rsidP="006F1BFD">
      <w:pPr>
        <w:spacing w:after="0"/>
        <w:rPr>
          <w:b/>
          <w:bCs/>
          <w:iCs/>
          <w:sz w:val="24"/>
          <w:szCs w:val="24"/>
        </w:rPr>
      </w:pPr>
      <w:r w:rsidRPr="002C21B8">
        <w:rPr>
          <w:b/>
          <w:bCs/>
          <w:iCs/>
          <w:sz w:val="24"/>
          <w:szCs w:val="24"/>
        </w:rPr>
        <w:t>P</w:t>
      </w:r>
      <w:r w:rsidR="00FA366A" w:rsidRPr="002C21B8">
        <w:rPr>
          <w:b/>
          <w:bCs/>
          <w:iCs/>
          <w:sz w:val="24"/>
          <w:szCs w:val="24"/>
        </w:rPr>
        <w:t>hysical health conditions</w:t>
      </w:r>
    </w:p>
    <w:p w14:paraId="58DA47EA" w14:textId="474F8E28" w:rsidR="00FA366A" w:rsidRPr="002C21B8" w:rsidRDefault="0088785B" w:rsidP="00306BC6">
      <w:r w:rsidRPr="002C21B8">
        <w:t>Prescribing in the context of</w:t>
      </w:r>
      <w:r w:rsidR="00C45D60" w:rsidRPr="002C21B8">
        <w:t xml:space="preserve"> physical health</w:t>
      </w:r>
      <w:r w:rsidR="00306BC6" w:rsidRPr="002C21B8">
        <w:t xml:space="preserve"> </w:t>
      </w:r>
      <w:r w:rsidRPr="002C21B8">
        <w:t xml:space="preserve">conditions </w:t>
      </w:r>
      <w:r w:rsidR="00306BC6" w:rsidRPr="002C21B8">
        <w:t>differs fr</w:t>
      </w:r>
      <w:r w:rsidR="00103210" w:rsidRPr="002C21B8">
        <w:t>om</w:t>
      </w:r>
      <w:r w:rsidR="00A83F20" w:rsidRPr="002C21B8">
        <w:t xml:space="preserve"> that of</w:t>
      </w:r>
      <w:r w:rsidR="00103210" w:rsidRPr="002C21B8">
        <w:t xml:space="preserve"> </w:t>
      </w:r>
      <w:r w:rsidR="00306BC6" w:rsidRPr="002C21B8">
        <w:t xml:space="preserve">mental health conditions. Non-pharmacological interventions are frequently recommended as the first-line intervention in the management of mental health conditions </w:t>
      </w:r>
      <w:r w:rsidR="00306BC6" w:rsidRPr="002C21B8">
        <w:fldChar w:fldCharType="begin"/>
      </w:r>
      <w:r w:rsidR="00CB09F5" w:rsidRPr="002C21B8">
        <w:instrText xml:space="preserve"> ADDIN EN.CITE &lt;EndNote&gt;&lt;Cite&gt;&lt;Author&gt;Keynejad&lt;/Author&gt;&lt;Year&gt;2021&lt;/Year&gt;&lt;RecNum&gt;125415&lt;/RecNum&gt;&lt;DisplayText&gt;(Keynejad, Spagnolo and Thornicroft, 2021)&lt;/DisplayText&gt;&lt;record&gt;&lt;rec-number&gt;125415&lt;/rec-number&gt;&lt;foreign-keys&gt;&lt;key app="EN" db-id="xpefzwa5hf9dt2ea9fax95x7xvxz90v09dtf" timestamp="1775809782"&gt;125415&lt;/key&gt;&lt;/foreign-keys&gt;&lt;ref-type name="Journal Article"&gt;17&lt;/ref-type&gt;&lt;contributors&gt;&lt;authors&gt;&lt;author&gt;Keynejad, Roxanne&lt;/author&gt;&lt;author&gt;Spagnolo, Jessica&lt;/author&gt;&lt;author&gt;Thornicroft, Graham&lt;/author&gt;&lt;/authors&gt;&lt;/contributors&gt;&lt;titles&gt;&lt;title&gt;WHO mental health gap action programme (mhGAP) intervention guide: updated systematic review on evidence and impact&lt;/title&gt;&lt;secondary-title&gt;Evidence Based Mental Health&lt;/secondary-title&gt;&lt;/titles&gt;&lt;periodical&gt;&lt;full-title&gt;Evidence Based Mental Health&lt;/full-title&gt;&lt;/periodical&gt;&lt;pages&gt;124-130&lt;/pages&gt;&lt;volume&gt;24&lt;/volume&gt;&lt;number&gt;3&lt;/number&gt;&lt;dates&gt;&lt;year&gt;2021&lt;/year&gt;&lt;/dates&gt;&lt;isbn&gt;1468-960X&lt;/isbn&gt;&lt;urls&gt;&lt;/urls&gt;&lt;/record&gt;&lt;/Cite&gt;&lt;/EndNote&gt;</w:instrText>
      </w:r>
      <w:r w:rsidR="00306BC6" w:rsidRPr="002C21B8">
        <w:fldChar w:fldCharType="separate"/>
      </w:r>
      <w:r w:rsidR="00306BC6" w:rsidRPr="002C21B8">
        <w:rPr>
          <w:noProof/>
        </w:rPr>
        <w:t>(Keynejad, Spagnolo and Thornicroft, 2021)</w:t>
      </w:r>
      <w:r w:rsidR="00306BC6" w:rsidRPr="002C21B8">
        <w:fldChar w:fldCharType="end"/>
      </w:r>
      <w:r w:rsidR="00306BC6" w:rsidRPr="002C21B8">
        <w:t xml:space="preserve">. There is also likely greater diagnostic certainty, </w:t>
      </w:r>
      <w:r w:rsidR="00A83F20" w:rsidRPr="002C21B8">
        <w:t xml:space="preserve">more </w:t>
      </w:r>
      <w:r w:rsidR="00306BC6" w:rsidRPr="002C21B8">
        <w:t>fluctua</w:t>
      </w:r>
      <w:r w:rsidR="00A83F20" w:rsidRPr="002C21B8">
        <w:t>n</w:t>
      </w:r>
      <w:r w:rsidR="00306BC6" w:rsidRPr="002C21B8">
        <w:t>t symptoms and more symptom-response driven</w:t>
      </w:r>
      <w:r w:rsidR="00A83F20" w:rsidRPr="002C21B8">
        <w:t xml:space="preserve"> practices</w:t>
      </w:r>
      <w:r w:rsidR="00306BC6" w:rsidRPr="002C21B8">
        <w:t xml:space="preserve">. Treatment pathways differ </w:t>
      </w:r>
      <w:r w:rsidRPr="002C21B8">
        <w:t xml:space="preserve">from those in physical health conditions </w:t>
      </w:r>
      <w:r w:rsidR="00306BC6" w:rsidRPr="002C21B8">
        <w:t>with greater trial-and-error prescribing, frequent switching and dose adjustment in the context of prescribing for mental health conditions</w:t>
      </w:r>
      <w:r w:rsidR="00103210" w:rsidRPr="002C21B8">
        <w:t xml:space="preserve"> </w:t>
      </w:r>
      <w:r w:rsidR="00103210" w:rsidRPr="002C21B8">
        <w:fldChar w:fldCharType="begin"/>
      </w:r>
      <w:r w:rsidR="00103210" w:rsidRPr="002C21B8">
        <w:instrText xml:space="preserve"> ADDIN EN.CITE &lt;EndNote&gt;&lt;Cite&gt;&lt;Author&gt;Kessler&lt;/Author&gt;&lt;Year&gt;2001&lt;/Year&gt;&lt;RecNum&gt;125416&lt;/RecNum&gt;&lt;DisplayText&gt;(Kessler, Keller and Wittchen, 2001)&lt;/DisplayText&gt;&lt;record&gt;&lt;rec-number&gt;125416&lt;/rec-number&gt;&lt;foreign-keys&gt;&lt;key app="EN" db-id="xpefzwa5hf9dt2ea9fax95x7xvxz90v09dtf" timestamp="1775810940"&gt;125416&lt;/key&gt;&lt;/foreign-keys&gt;&lt;ref-type name="Journal Article"&gt;17&lt;/ref-type&gt;&lt;contributors&gt;&lt;authors&gt;&lt;author&gt;Kessler, Ronald C&lt;/author&gt;&lt;author&gt;Keller, Martin B&lt;/author&gt;&lt;author&gt;Wittchen, Hans-Ulrich&lt;/author&gt;&lt;/authors&gt;&lt;/contributors&gt;&lt;titles&gt;&lt;title&gt;The epidemiology of generalized anxiety disorder&lt;/title&gt;&lt;secondary-title&gt;Psychiatric Clinics of North America&lt;/secondary-title&gt;&lt;/titles&gt;&lt;periodical&gt;&lt;full-title&gt;Psychiatric Clinics of North America&lt;/full-title&gt;&lt;/periodical&gt;&lt;pages&gt;19-39&lt;/pages&gt;&lt;volume&gt;24&lt;/volume&gt;&lt;number&gt;1&lt;/number&gt;&lt;dates&gt;&lt;year&gt;2001&lt;/year&gt;&lt;/dates&gt;&lt;isbn&gt;0193-953X&lt;/isbn&gt;&lt;urls&gt;&lt;/urls&gt;&lt;/record&gt;&lt;/Cite&gt;&lt;/EndNote&gt;</w:instrText>
      </w:r>
      <w:r w:rsidR="00103210" w:rsidRPr="002C21B8">
        <w:fldChar w:fldCharType="separate"/>
      </w:r>
      <w:r w:rsidR="00103210" w:rsidRPr="002C21B8">
        <w:t>(Kessler, Keller and Wittchen, 2001)</w:t>
      </w:r>
      <w:r w:rsidR="00103210" w:rsidRPr="002C21B8">
        <w:fldChar w:fldCharType="end"/>
      </w:r>
      <w:r w:rsidR="00306BC6" w:rsidRPr="002C21B8">
        <w:t>. Thus, there are likely to be different factors influencing prescribing decisions and behaviours for mental and physical health conditions. For this reason</w:t>
      </w:r>
      <w:r w:rsidR="00A83F20" w:rsidRPr="002C21B8">
        <w:t>,</w:t>
      </w:r>
      <w:r w:rsidR="00306BC6" w:rsidRPr="002C21B8">
        <w:t xml:space="preserve"> mental health conditions were excluded</w:t>
      </w:r>
      <w:r w:rsidR="00A83F20" w:rsidRPr="002C21B8">
        <w:t>,</w:t>
      </w:r>
      <w:r w:rsidR="00306BC6" w:rsidRPr="002C21B8">
        <w:t xml:space="preserve"> and only physical health conditions were included in this overview to reduce heterogeneity.</w:t>
      </w:r>
    </w:p>
    <w:p w14:paraId="73A6686E" w14:textId="078D040A" w:rsidR="00103210" w:rsidRPr="002C21B8" w:rsidRDefault="00306BC6" w:rsidP="006F1BFD">
      <w:pPr>
        <w:spacing w:after="0"/>
        <w:rPr>
          <w:b/>
          <w:bCs/>
          <w:iCs/>
          <w:sz w:val="24"/>
          <w:szCs w:val="24"/>
        </w:rPr>
      </w:pPr>
      <w:r w:rsidRPr="002C21B8">
        <w:rPr>
          <w:b/>
          <w:bCs/>
          <w:iCs/>
          <w:sz w:val="24"/>
          <w:szCs w:val="24"/>
        </w:rPr>
        <w:t>Non-communicable</w:t>
      </w:r>
    </w:p>
    <w:p w14:paraId="6B29F7B2" w14:textId="0F514860" w:rsidR="00AA55D7" w:rsidRPr="002C21B8" w:rsidRDefault="00103210" w:rsidP="00AA55D7">
      <w:r w:rsidRPr="002C21B8">
        <w:t xml:space="preserve">Non-communicable diseases were selected as these conditions are characterised by long-term disease trajectories that often require </w:t>
      </w:r>
      <w:r w:rsidR="0096723D" w:rsidRPr="002C21B8">
        <w:t>medications</w:t>
      </w:r>
      <w:r w:rsidRPr="002C21B8">
        <w:t xml:space="preserve">. Prescribing decisions for non-communicable diseases often involve the consideration of long-term risks, benefits, patient preferences and uncertainty in treatment response </w:t>
      </w:r>
      <w:r w:rsidRPr="002C21B8">
        <w:fldChar w:fldCharType="begin"/>
      </w:r>
      <w:r w:rsidRPr="002C21B8">
        <w:instrText xml:space="preserve"> ADDIN EN.CITE &lt;EndNote&gt;&lt;Cite&gt;&lt;Author&gt;Bostock&lt;/Author&gt;&lt;Year&gt;2021&lt;/Year&gt;&lt;RecNum&gt;125417&lt;/RecNum&gt;&lt;DisplayText&gt;(Bostock, 2021)&lt;/DisplayText&gt;&lt;record&gt;&lt;rec-number&gt;125417&lt;/rec-number&gt;&lt;foreign-keys&gt;&lt;key app="EN" db-id="xpefzwa5hf9dt2ea9fax95x7xvxz90v09dtf" timestamp="1775811462"&gt;125417&lt;/key&gt;&lt;/foreign-keys&gt;&lt;ref-type name="Journal Article"&gt;17&lt;/ref-type&gt;&lt;contributors&gt;&lt;authors&gt;&lt;author&gt;Bostock, Beverley&lt;/author&gt;&lt;/authors&gt;&lt;/contributors&gt;&lt;titles&gt;&lt;title&gt;Management of long-term conditions&lt;/title&gt;&lt;secondary-title&gt;A Nurse&amp;apos;s Survival Guide to General Practice Nursing E-Book: A Nurse&amp;apos;s Survival Guide to General Practice Nursing E-Book&lt;/secondary-title&gt;&lt;/titles&gt;&lt;periodical&gt;&lt;full-title&gt;A Nurse&amp;apos;s Survival Guide to General Practice Nursing E-Book: A Nurse&amp;apos;s Survival Guide to General Practice Nursing E-Book&lt;/full-title&gt;&lt;/periodical&gt;&lt;pages&gt;149&lt;/pages&gt;&lt;dates&gt;&lt;year&gt;2021&lt;/year&gt;&lt;/dates&gt;&lt;isbn&gt;0702080861&lt;/isbn&gt;&lt;urls&gt;&lt;/urls&gt;&lt;/record&gt;&lt;/Cite&gt;&lt;/EndNote&gt;</w:instrText>
      </w:r>
      <w:r w:rsidRPr="002C21B8">
        <w:fldChar w:fldCharType="separate"/>
      </w:r>
      <w:r w:rsidRPr="002C21B8">
        <w:t>(Bostock, 2021)</w:t>
      </w:r>
      <w:r w:rsidRPr="002C21B8">
        <w:fldChar w:fldCharType="end"/>
      </w:r>
      <w:r w:rsidRPr="002C21B8">
        <w:t xml:space="preserve">. </w:t>
      </w:r>
      <w:r w:rsidR="00306BC6" w:rsidRPr="002C21B8">
        <w:t>Communicable diseases were excluded, as treatment pathways are often</w:t>
      </w:r>
      <w:r w:rsidRPr="002C21B8">
        <w:t xml:space="preserve"> more acute or time-limited</w:t>
      </w:r>
      <w:r w:rsidR="00A83F20" w:rsidRPr="002C21B8">
        <w:t>,</w:t>
      </w:r>
      <w:r w:rsidRPr="002C21B8">
        <w:t xml:space="preserve"> so </w:t>
      </w:r>
      <w:r w:rsidR="00A83F20" w:rsidRPr="002C21B8">
        <w:t xml:space="preserve">are </w:t>
      </w:r>
      <w:r w:rsidRPr="002C21B8">
        <w:t>more in-keeping with decision</w:t>
      </w:r>
      <w:r w:rsidR="000970DF" w:rsidRPr="002C21B8">
        <w:t>-</w:t>
      </w:r>
      <w:r w:rsidRPr="002C21B8">
        <w:t>making for acute conditions. Treatment pathways are often more protocol-driven or episodic. They are also strongly influenced by public health considerations (e.g. transmission control or resistance)</w:t>
      </w:r>
      <w:r w:rsidR="00A83F20" w:rsidRPr="002C21B8">
        <w:t>,</w:t>
      </w:r>
      <w:r w:rsidRPr="002C21B8">
        <w:t xml:space="preserve"> which are not a factor in non-communicable diseases </w:t>
      </w:r>
      <w:r w:rsidRPr="002C21B8">
        <w:fldChar w:fldCharType="begin"/>
      </w:r>
      <w:r w:rsidR="00502953" w:rsidRPr="002C21B8">
        <w:instrText xml:space="preserve"> ADDIN EN.CITE &lt;EndNote&gt;&lt;Cite&gt;&lt;Author&gt;World Health Organization&lt;/Author&gt;&lt;Year&gt;2015&lt;/Year&gt;&lt;RecNum&gt;125418&lt;/RecNum&gt;&lt;DisplayText&gt;(Ameli, 2015; World Health Organization, 2015)&lt;/DisplayText&gt;&lt;record&gt;&lt;rec-number&gt;125418&lt;/rec-number&gt;&lt;foreign-keys&gt;&lt;key app="EN" db-id="xpefzwa5hf9dt2ea9fax95x7xvxz90v09dtf" timestamp="1775811524"&gt;125418&lt;/key&gt;&lt;/foreign-keys&gt;&lt;ref-type name="Web Page"&gt;12&lt;/ref-type&gt;&lt;contributors&gt;&lt;authors&gt;&lt;author&gt;World Health Organization,&lt;/author&gt;&lt;/authors&gt;&lt;/contributors&gt;&lt;titles&gt;&lt;title&gt;Global action plan on antimicrobial resistance&lt;/title&gt;&lt;secondary-title&gt;World Health Organization&lt;/secondary-title&gt;&lt;/titles&gt;&lt;periodical&gt;&lt;full-title&gt;World Health Organization&lt;/full-title&gt;&lt;/periodical&gt;&lt;dates&gt;&lt;year&gt;2015&lt;/year&gt;&lt;pub-dates&gt;&lt;date&gt;01/04/2026)&lt;/date&gt;&lt;/pub-dates&gt;&lt;/dates&gt;&lt;urls&gt;&lt;related-urls&gt;&lt;url&gt;https://www.who.int/publications/i/item/9789241509763&lt;/url&gt;&lt;/related-urls&gt;&lt;/urls&gt;&lt;/record&gt;&lt;/Cite&gt;&lt;Cite&gt;&lt;Author&gt;Ameli&lt;/Author&gt;&lt;Year&gt;2015&lt;/Year&gt;&lt;RecNum&gt;125419&lt;/RecNum&gt;&lt;record&gt;&lt;rec-number&gt;125419&lt;/rec-number&gt;&lt;foreign-keys&gt;&lt;key app="EN" db-id="xpefzwa5hf9dt2ea9fax95x7xvxz90v09dtf" timestamp="1775811584"&gt;125419&lt;/key&gt;&lt;/foreign-keys&gt;&lt;ref-type name="Journal Article"&gt;17&lt;/ref-type&gt;&lt;contributors&gt;&lt;authors&gt;&lt;author&gt;Ameli, Jonathan&lt;/author&gt;&lt;/authors&gt;&lt;/contributors&gt;&lt;titles&gt;&lt;title&gt;Communicable diseases and outbreak control&lt;/title&gt;&lt;secondary-title&gt;Turkish Journal of Emergency Medicine&lt;/secondary-title&gt;&lt;/titles&gt;&lt;periodical&gt;&lt;full-title&gt;Turkish Journal of Emergency Medicine&lt;/full-title&gt;&lt;/periodical&gt;&lt;pages&gt;20-26&lt;/pages&gt;&lt;volume&gt;15&lt;/volume&gt;&lt;dates&gt;&lt;year&gt;2015&lt;/year&gt;&lt;/dates&gt;&lt;isbn&gt;2452-2473&lt;/isbn&gt;&lt;urls&gt;&lt;/urls&gt;&lt;/record&gt;&lt;/Cite&gt;&lt;/EndNote&gt;</w:instrText>
      </w:r>
      <w:r w:rsidRPr="002C21B8">
        <w:fldChar w:fldCharType="separate"/>
      </w:r>
      <w:r w:rsidRPr="002C21B8">
        <w:rPr>
          <w:noProof/>
        </w:rPr>
        <w:t>(Ameli, 2015; World Health Organization, 2015)</w:t>
      </w:r>
      <w:r w:rsidRPr="002C21B8">
        <w:fldChar w:fldCharType="end"/>
      </w:r>
      <w:r w:rsidRPr="002C21B8">
        <w:t xml:space="preserve">. Decision-making is less individualised </w:t>
      </w:r>
      <w:r w:rsidR="00A83F20" w:rsidRPr="002C21B8">
        <w:t xml:space="preserve">and less </w:t>
      </w:r>
      <w:r w:rsidRPr="002C21B8">
        <w:t>open to clinical judgement than in non-communicable conditions. Thus, including both would introduce greater heterogeneity due to the different prescribing contexts.</w:t>
      </w:r>
    </w:p>
    <w:p w14:paraId="7FCF42CF" w14:textId="6964268C" w:rsidR="00AA55D7" w:rsidRPr="002C21B8" w:rsidRDefault="00AE3C02" w:rsidP="006F1BFD">
      <w:pPr>
        <w:spacing w:after="0"/>
        <w:rPr>
          <w:b/>
          <w:bCs/>
          <w:iCs/>
          <w:sz w:val="24"/>
          <w:szCs w:val="24"/>
        </w:rPr>
      </w:pPr>
      <w:r w:rsidRPr="002C21B8">
        <w:rPr>
          <w:b/>
          <w:bCs/>
          <w:iCs/>
          <w:sz w:val="24"/>
          <w:szCs w:val="24"/>
        </w:rPr>
        <w:t>Factors influencing prescribing decision-making or e</w:t>
      </w:r>
      <w:r w:rsidR="00AA55D7" w:rsidRPr="002C21B8">
        <w:rPr>
          <w:b/>
          <w:bCs/>
          <w:iCs/>
          <w:sz w:val="24"/>
          <w:szCs w:val="24"/>
        </w:rPr>
        <w:t>xperiences of healthcare professionals</w:t>
      </w:r>
      <w:r w:rsidRPr="002C21B8">
        <w:rPr>
          <w:b/>
          <w:bCs/>
          <w:iCs/>
          <w:sz w:val="24"/>
          <w:szCs w:val="24"/>
        </w:rPr>
        <w:t xml:space="preserve"> when </w:t>
      </w:r>
      <w:r w:rsidR="00A21701" w:rsidRPr="002C21B8">
        <w:rPr>
          <w:b/>
          <w:bCs/>
          <w:iCs/>
          <w:sz w:val="24"/>
          <w:szCs w:val="24"/>
        </w:rPr>
        <w:t>making</w:t>
      </w:r>
      <w:r w:rsidRPr="002C21B8">
        <w:rPr>
          <w:b/>
          <w:bCs/>
          <w:iCs/>
          <w:sz w:val="24"/>
          <w:szCs w:val="24"/>
        </w:rPr>
        <w:t xml:space="preserve"> prescribing decisions</w:t>
      </w:r>
    </w:p>
    <w:p w14:paraId="0C3C9298" w14:textId="1B620D9E" w:rsidR="00A21701" w:rsidRPr="002C21B8" w:rsidRDefault="00AA55D7" w:rsidP="00AE3C02">
      <w:r w:rsidRPr="002C21B8">
        <w:t xml:space="preserve">Healthcare professionals </w:t>
      </w:r>
      <w:r w:rsidR="00AE3C02" w:rsidRPr="002C21B8">
        <w:t>are considered the primary decision-makers in prescribing decisions</w:t>
      </w:r>
      <w:r w:rsidR="00A21701" w:rsidRPr="002C21B8">
        <w:t xml:space="preserve"> </w:t>
      </w:r>
      <w:r w:rsidR="00A21701" w:rsidRPr="002C21B8">
        <w:fldChar w:fldCharType="begin"/>
      </w:r>
      <w:r w:rsidR="00502953" w:rsidRPr="002C21B8">
        <w:instrText xml:space="preserve"> ADDIN EN.CITE &lt;EndNote&gt;&lt;Cite&gt;&lt;Author&gt;World Health Organization&lt;/Author&gt;&lt;Year&gt;2011&lt;/Year&gt;&lt;RecNum&gt;125420&lt;/RecNum&gt;&lt;DisplayText&gt;(World Health Organization, 2011)&lt;/DisplayText&gt;&lt;record&gt;&lt;rec-number&gt;125420&lt;/rec-number&gt;&lt;foreign-keys&gt;&lt;key app="EN" db-id="xpefzwa5hf9dt2ea9fax95x7xvxz90v09dtf" timestamp="1775812827"&gt;125420&lt;/key&gt;&lt;/foreign-keys&gt;&lt;ref-type name="Web Page"&gt;12&lt;/ref-type&gt;&lt;contributors&gt;&lt;authors&gt;&lt;author&gt;World Health Organization,&lt;/author&gt;&lt;/authors&gt;&lt;/contributors&gt;&lt;titles&gt;&lt;title&gt;Promoting rational use of medicines&lt;/title&gt;&lt;/titles&gt;&lt;number&gt;01/03/2026)&lt;/number&gt;&lt;dates&gt;&lt;year&gt;2011&lt;/year&gt;&lt;/dates&gt;&lt;publisher&gt;WHO Regional Office for South-East Asia&lt;/publisher&gt;&lt;urls&gt;&lt;related-urls&gt;&lt;url&gt;https://iris.who.int/bitstreams/ebff79d2-720d-4a20-b954-f513f9b8c9b8/download&lt;/url&gt;&lt;/related-urls&gt;&lt;/urls&gt;&lt;/record&gt;&lt;/Cite&gt;&lt;/EndNote&gt;</w:instrText>
      </w:r>
      <w:r w:rsidR="00A21701" w:rsidRPr="002C21B8">
        <w:fldChar w:fldCharType="separate"/>
      </w:r>
      <w:r w:rsidR="0003443C" w:rsidRPr="002C21B8">
        <w:rPr>
          <w:noProof/>
        </w:rPr>
        <w:t>(World Health Organization, 2011)</w:t>
      </w:r>
      <w:r w:rsidR="00A21701" w:rsidRPr="002C21B8">
        <w:fldChar w:fldCharType="end"/>
      </w:r>
      <w:r w:rsidR="00AE3C02" w:rsidRPr="002C21B8">
        <w:t xml:space="preserve">. These decisions are believed to be shaped by not only clinical guidelines and evidence but also </w:t>
      </w:r>
      <w:r w:rsidR="00A21701" w:rsidRPr="002C21B8">
        <w:t xml:space="preserve">their professional experiences, risk perceptions, organisational pressures and interactions with patients </w:t>
      </w:r>
      <w:r w:rsidR="00A21701" w:rsidRPr="002C21B8">
        <w:fldChar w:fldCharType="begin"/>
      </w:r>
      <w:r w:rsidR="00CE4967" w:rsidRPr="002C21B8">
        <w:instrText xml:space="preserve"> ADDIN EN.CITE &lt;EndNote&gt;&lt;Cite&gt;&lt;Author&gt;Cabana&lt;/Author&gt;&lt;Year&gt;1999&lt;/Year&gt;&lt;RecNum&gt;125310&lt;/RecNum&gt;&lt;DisplayText&gt;(Cabana&lt;style face="italic"&gt; et al.&lt;/style&gt;, 1999)&lt;/DisplayText&gt;&lt;record&gt;&lt;rec-number&gt;125310&lt;/rec-number&gt;&lt;foreign-keys&gt;&lt;key app="EN" db-id="xpefzwa5hf9dt2ea9fax95x7xvxz90v09dtf" timestamp="1775036040"&gt;125310&lt;/key&gt;&lt;/foreign-keys&gt;&lt;ref-type name="Journal Article"&gt;17&lt;/ref-type&gt;&lt;contributors&gt;&lt;authors&gt;&lt;author&gt;Cabana, Michael D&lt;/author&gt;&lt;author&gt;Rand, Cynthia S&lt;/author&gt;&lt;author&gt;Powe, Neil R&lt;/author&gt;&lt;author&gt;Wu, Albert W&lt;/author&gt;&lt;author&gt;Wilson, Modena H&lt;/author&gt;&lt;author&gt;Abboud, Paul-André C&lt;/author&gt;&lt;author&gt;Rubin, Haya R&lt;/author&gt;&lt;/authors&gt;&lt;/contributors&gt;&lt;titles&gt;&lt;title&gt;Why don&amp;apos;t physicians follow clinical practice guidelines?: A framework for improvement&lt;/title&gt;&lt;secondary-title&gt;JAMA&lt;/secondary-title&gt;&lt;/titles&gt;&lt;periodical&gt;&lt;full-title&gt;JAMA&lt;/full-title&gt;&lt;/periodical&gt;&lt;pages&gt;1458-1465&lt;/pages&gt;&lt;volume&gt;282&lt;/volume&gt;&lt;number&gt;15&lt;/number&gt;&lt;dates&gt;&lt;year&gt;1999&lt;/year&gt;&lt;/dates&gt;&lt;isbn&gt;0098-7484&lt;/isbn&gt;&lt;urls&gt;&lt;/urls&gt;&lt;/record&gt;&lt;/Cite&gt;&lt;/EndNote&gt;</w:instrText>
      </w:r>
      <w:r w:rsidR="00A21701" w:rsidRPr="002C21B8">
        <w:fldChar w:fldCharType="separate"/>
      </w:r>
      <w:r w:rsidR="00A21701" w:rsidRPr="002C21B8">
        <w:rPr>
          <w:noProof/>
        </w:rPr>
        <w:t>(Cabana</w:t>
      </w:r>
      <w:r w:rsidR="00A21701" w:rsidRPr="002C21B8">
        <w:rPr>
          <w:i/>
          <w:noProof/>
        </w:rPr>
        <w:t xml:space="preserve"> et al.</w:t>
      </w:r>
      <w:r w:rsidR="00A21701" w:rsidRPr="002C21B8">
        <w:rPr>
          <w:noProof/>
        </w:rPr>
        <w:t>, 1999)</w:t>
      </w:r>
      <w:r w:rsidR="00A21701" w:rsidRPr="002C21B8">
        <w:fldChar w:fldCharType="end"/>
      </w:r>
      <w:r w:rsidR="00A21701" w:rsidRPr="002C21B8">
        <w:t xml:space="preserve">. </w:t>
      </w:r>
      <w:r w:rsidRPr="002C21B8">
        <w:t xml:space="preserve">Including </w:t>
      </w:r>
      <w:r w:rsidR="00A21701" w:rsidRPr="002C21B8">
        <w:t xml:space="preserve">systematic </w:t>
      </w:r>
      <w:r w:rsidRPr="002C21B8">
        <w:t>reviews that examined healthcare professionals’ experiences of prescribing decisions</w:t>
      </w:r>
      <w:r w:rsidR="00AE3C02" w:rsidRPr="002C21B8">
        <w:t xml:space="preserve"> </w:t>
      </w:r>
      <w:r w:rsidRPr="002C21B8">
        <w:t xml:space="preserve">was therefore essential to understand how prescribing occurs in </w:t>
      </w:r>
      <w:r w:rsidR="00A21701" w:rsidRPr="002C21B8">
        <w:t xml:space="preserve">clinical </w:t>
      </w:r>
      <w:r w:rsidRPr="002C21B8">
        <w:t>practice and to identify factors that may contribute to variation between recommended and actual prescribing behaviour.</w:t>
      </w:r>
      <w:r w:rsidR="00A21701" w:rsidRPr="002C21B8">
        <w:t xml:space="preserve"> </w:t>
      </w:r>
      <w:r w:rsidR="00AE3C02" w:rsidRPr="002C21B8">
        <w:t xml:space="preserve">No restriction was placed on the type of healthcare professional making </w:t>
      </w:r>
      <w:r w:rsidR="00A21701" w:rsidRPr="002C21B8">
        <w:t>decisions</w:t>
      </w:r>
      <w:r w:rsidR="00800B40" w:rsidRPr="002C21B8">
        <w:t>,</w:t>
      </w:r>
      <w:r w:rsidR="00A83F20" w:rsidRPr="002C21B8">
        <w:t xml:space="preserve"> so the overview </w:t>
      </w:r>
      <w:r w:rsidR="00AE3C02" w:rsidRPr="002C21B8">
        <w:t>reflect</w:t>
      </w:r>
      <w:r w:rsidR="00A83F20" w:rsidRPr="002C21B8">
        <w:t>s</w:t>
      </w:r>
      <w:r w:rsidR="00AE3C02" w:rsidRPr="002C21B8">
        <w:t xml:space="preserve"> </w:t>
      </w:r>
      <w:r w:rsidR="00A83F20" w:rsidRPr="002C21B8">
        <w:t>real-world</w:t>
      </w:r>
      <w:r w:rsidR="00AE3C02" w:rsidRPr="002C21B8">
        <w:t xml:space="preserve"> </w:t>
      </w:r>
      <w:r w:rsidR="00A83F20" w:rsidRPr="002C21B8">
        <w:t>prescribing, which increasingly involves other members of the healthcare team</w:t>
      </w:r>
      <w:r w:rsidR="00A21701" w:rsidRPr="002C21B8">
        <w:t xml:space="preserve"> </w:t>
      </w:r>
      <w:r w:rsidR="00A21701" w:rsidRPr="002C21B8">
        <w:fldChar w:fldCharType="begin"/>
      </w:r>
      <w:r w:rsidR="00731A52" w:rsidRPr="002C21B8">
        <w:instrText xml:space="preserve"> ADDIN EN.CITE &lt;EndNote&gt;&lt;Cite&gt;&lt;Author&gt;Graham-Clarke&lt;/Author&gt;&lt;Year&gt;2019&lt;/Year&gt;&lt;RecNum&gt;125421&lt;/RecNum&gt;&lt;DisplayText&gt;(Graham-Clarke&lt;style face="italic"&gt; et al.&lt;/style&gt;, 2019)&lt;/DisplayText&gt;&lt;record&gt;&lt;rec-number&gt;125421&lt;/rec-number&gt;&lt;foreign-keys&gt;&lt;key app="EN" db-id="xpefzwa5hf9dt2ea9fax95x7xvxz90v09dtf" timestamp="1775812885"&gt;125421&lt;/key&gt;&lt;/foreign-keys&gt;&lt;ref-type name="Journal Article"&gt;17&lt;/ref-type&gt;&lt;contributors&gt;&lt;authors&gt;&lt;author&gt;Graham-Clarke, Emma&lt;/author&gt;&lt;author&gt;Rushton, Alison&lt;/author&gt;&lt;author&gt;Noblet, Timothy&lt;/author&gt;&lt;author&gt;Marriott, John&lt;/author&gt;&lt;/authors&gt;&lt;/contributors&gt;&lt;titles&gt;&lt;title&gt;Non-medical prescribing in the United Kingdom National Health Service: A systematic policy review&lt;/title&gt;&lt;secondary-title&gt;PLOS One&lt;/secondary-title&gt;&lt;/titles&gt;&lt;periodical&gt;&lt;full-title&gt;PLoS ONE&lt;/full-title&gt;&lt;/periodical&gt;&lt;pages&gt;e0214630&lt;/pages&gt;&lt;volume&gt;14&lt;/volume&gt;&lt;number&gt;7&lt;/number&gt;&lt;dates&gt;&lt;year&gt;2019&lt;/year&gt;&lt;/dates&gt;&lt;isbn&gt;1932-6203&lt;/isbn&gt;&lt;urls&gt;&lt;/urls&gt;&lt;/record&gt;&lt;/Cite&gt;&lt;/EndNote&gt;</w:instrText>
      </w:r>
      <w:r w:rsidR="00A21701" w:rsidRPr="002C21B8">
        <w:fldChar w:fldCharType="separate"/>
      </w:r>
      <w:r w:rsidR="00A21701" w:rsidRPr="002C21B8">
        <w:rPr>
          <w:noProof/>
        </w:rPr>
        <w:t>(Graham-Clarke</w:t>
      </w:r>
      <w:r w:rsidR="00A21701" w:rsidRPr="002C21B8">
        <w:rPr>
          <w:i/>
          <w:noProof/>
        </w:rPr>
        <w:t xml:space="preserve"> et al.</w:t>
      </w:r>
      <w:r w:rsidR="00A21701" w:rsidRPr="002C21B8">
        <w:rPr>
          <w:noProof/>
        </w:rPr>
        <w:t>, 2019)</w:t>
      </w:r>
      <w:r w:rsidR="00A21701" w:rsidRPr="002C21B8">
        <w:fldChar w:fldCharType="end"/>
      </w:r>
      <w:r w:rsidR="00A21701" w:rsidRPr="002C21B8">
        <w:t>.</w:t>
      </w:r>
    </w:p>
    <w:p w14:paraId="4905CB20" w14:textId="28DC08C1" w:rsidR="00FA366A" w:rsidRPr="002C21B8" w:rsidRDefault="00C45D60" w:rsidP="006F1BFD">
      <w:pPr>
        <w:spacing w:after="0"/>
        <w:rPr>
          <w:b/>
          <w:bCs/>
          <w:iCs/>
          <w:sz w:val="24"/>
          <w:szCs w:val="24"/>
        </w:rPr>
      </w:pPr>
      <w:r w:rsidRPr="002C21B8">
        <w:rPr>
          <w:b/>
          <w:bCs/>
          <w:iCs/>
          <w:sz w:val="24"/>
          <w:szCs w:val="24"/>
        </w:rPr>
        <w:t>S</w:t>
      </w:r>
      <w:r w:rsidR="00FA366A" w:rsidRPr="002C21B8">
        <w:rPr>
          <w:b/>
          <w:bCs/>
          <w:iCs/>
          <w:sz w:val="24"/>
          <w:szCs w:val="24"/>
        </w:rPr>
        <w:t xml:space="preserve">ystematic reviews </w:t>
      </w:r>
    </w:p>
    <w:p w14:paraId="7E4E72C6" w14:textId="5E76ACCA" w:rsidR="00FA366A" w:rsidRPr="002C21B8" w:rsidRDefault="00741665" w:rsidP="00AE3C02">
      <w:r w:rsidRPr="002C21B8">
        <w:t>An o</w:t>
      </w:r>
      <w:r w:rsidR="00E06102" w:rsidRPr="002C21B8">
        <w:t>verview of systematic reviews</w:t>
      </w:r>
      <w:r w:rsidR="00AE3C02" w:rsidRPr="002C21B8">
        <w:t xml:space="preserve"> do</w:t>
      </w:r>
      <w:r w:rsidRPr="002C21B8">
        <w:t>es</w:t>
      </w:r>
      <w:r w:rsidR="00AE3C02" w:rsidRPr="002C21B8">
        <w:t xml:space="preserve"> not reanalyse primary studies but include</w:t>
      </w:r>
      <w:r w:rsidRPr="002C21B8">
        <w:t>s</w:t>
      </w:r>
      <w:r w:rsidR="00AE3C02" w:rsidRPr="002C21B8">
        <w:t xml:space="preserve"> evidence from existing evidence syntheses. This allows the synthesis of a large and diverse body of evidence across multiple settings to produce broader interpretations of a particular phenomenon of interest. The systematic reviews included were all peer-reviewed as this ensured greater methodological rigour and transparency to the overview </w:t>
      </w:r>
      <w:r w:rsidR="00AE3C02"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AE3C02" w:rsidRPr="002C21B8">
        <w:fldChar w:fldCharType="separate"/>
      </w:r>
      <w:r w:rsidR="002F558A" w:rsidRPr="002C21B8">
        <w:rPr>
          <w:noProof/>
        </w:rPr>
        <w:t>(Higgins and Green, 2024)</w:t>
      </w:r>
      <w:r w:rsidR="00AE3C02" w:rsidRPr="002C21B8">
        <w:fldChar w:fldCharType="end"/>
      </w:r>
      <w:r w:rsidR="00AE3C02" w:rsidRPr="002C21B8">
        <w:t>.</w:t>
      </w:r>
    </w:p>
    <w:p w14:paraId="566401A4" w14:textId="71E9A537" w:rsidR="00AA55D7" w:rsidRPr="002C21B8" w:rsidRDefault="00AA55D7" w:rsidP="006F1BFD">
      <w:pPr>
        <w:spacing w:after="0"/>
        <w:rPr>
          <w:b/>
          <w:bCs/>
          <w:iCs/>
          <w:sz w:val="24"/>
          <w:szCs w:val="24"/>
        </w:rPr>
      </w:pPr>
      <w:r w:rsidRPr="002C21B8">
        <w:rPr>
          <w:b/>
          <w:bCs/>
          <w:iCs/>
          <w:sz w:val="24"/>
          <w:szCs w:val="24"/>
        </w:rPr>
        <w:t>Any study design</w:t>
      </w:r>
    </w:p>
    <w:p w14:paraId="32B83F03" w14:textId="09CFAB7C" w:rsidR="00AA55D7" w:rsidRPr="002C21B8" w:rsidRDefault="00A811E3" w:rsidP="00A811E3">
      <w:r w:rsidRPr="002C21B8">
        <w:t>Systematic reviews including primary studies with qualitative, quantitative and mixed-methods designs were included to ensure a comprehensive synthesis of evidence relating to prescribing decision-making. Restricting inclusion to a single methodological approach would risk excluding relevant dimensions of prescribing behaviours and limit the explanatory depth of the overview.</w:t>
      </w:r>
    </w:p>
    <w:p w14:paraId="59F5AFE0" w14:textId="04BD956D" w:rsidR="00C45D60" w:rsidRPr="002C21B8" w:rsidRDefault="00C45D60" w:rsidP="006F1BFD">
      <w:pPr>
        <w:spacing w:after="0"/>
        <w:rPr>
          <w:b/>
          <w:bCs/>
          <w:iCs/>
          <w:sz w:val="24"/>
          <w:szCs w:val="24"/>
        </w:rPr>
      </w:pPr>
      <w:r w:rsidRPr="002C21B8">
        <w:rPr>
          <w:b/>
          <w:bCs/>
          <w:iCs/>
          <w:sz w:val="24"/>
          <w:szCs w:val="24"/>
        </w:rPr>
        <w:t>Study period</w:t>
      </w:r>
    </w:p>
    <w:p w14:paraId="7756E018" w14:textId="0C02E331" w:rsidR="0087500D" w:rsidRPr="002C21B8" w:rsidRDefault="00FA366A" w:rsidP="003374F4">
      <w:r w:rsidRPr="002C21B8">
        <w:t>The publication period from</w:t>
      </w:r>
      <w:r w:rsidR="00AA55D7" w:rsidRPr="002C21B8">
        <w:t xml:space="preserve"> </w:t>
      </w:r>
      <w:r w:rsidRPr="002C21B8">
        <w:t>January 2013 to November 2023</w:t>
      </w:r>
      <w:r w:rsidR="00AA55D7" w:rsidRPr="002C21B8">
        <w:t xml:space="preserve"> </w:t>
      </w:r>
      <w:r w:rsidRPr="002C21B8">
        <w:t>was selected to ensure that findings reflected contemporary clinical practice, prescribing guidelines, and healthcare systems. No restrictions were placed on the date of primary studies within</w:t>
      </w:r>
      <w:r w:rsidR="00995FF4" w:rsidRPr="002C21B8">
        <w:t xml:space="preserve"> the</w:t>
      </w:r>
      <w:r w:rsidRPr="002C21B8">
        <w:t xml:space="preserve"> included reviews.</w:t>
      </w:r>
    </w:p>
    <w:p w14:paraId="6FDF4A7F" w14:textId="5F706EC8" w:rsidR="00FA366A" w:rsidRPr="002C21B8" w:rsidRDefault="00FA366A" w:rsidP="004507C8">
      <w:pPr>
        <w:pStyle w:val="Heading3"/>
        <w:numPr>
          <w:ilvl w:val="0"/>
          <w:numId w:val="0"/>
        </w:numPr>
      </w:pPr>
      <w:r w:rsidRPr="002C21B8">
        <w:t>Development of the search strategy</w:t>
      </w:r>
    </w:p>
    <w:p w14:paraId="6439E086" w14:textId="41949172" w:rsidR="00FA366A" w:rsidRPr="002C21B8" w:rsidRDefault="00BD0CA3" w:rsidP="003374F4">
      <w:r w:rsidRPr="002C21B8">
        <w:t xml:space="preserve">A scoping search for key articles was first undertaken to inform the development of the search strategy. </w:t>
      </w:r>
      <w:r w:rsidR="00FA366A" w:rsidRPr="002C21B8">
        <w:t xml:space="preserve">From </w:t>
      </w:r>
      <w:r w:rsidRPr="002C21B8">
        <w:t xml:space="preserve">this initial set of relevant studies, keywords and </w:t>
      </w:r>
      <w:r w:rsidR="00FA366A" w:rsidRPr="002C21B8">
        <w:t xml:space="preserve">associated MeSH/Emtree terms were </w:t>
      </w:r>
      <w:r w:rsidRPr="002C21B8">
        <w:t>identified and structured using the SPIDER framework.</w:t>
      </w:r>
      <w:r w:rsidR="00FA366A" w:rsidRPr="002C21B8">
        <w:t xml:space="preserve"> </w:t>
      </w:r>
      <w:r w:rsidR="00995FF4" w:rsidRPr="002C21B8">
        <w:t xml:space="preserve">I developed and </w:t>
      </w:r>
      <w:r w:rsidR="00FA366A" w:rsidRPr="002C21B8">
        <w:t xml:space="preserve">refined </w:t>
      </w:r>
      <w:r w:rsidR="00995FF4" w:rsidRPr="002C21B8">
        <w:t xml:space="preserve">the search strategy </w:t>
      </w:r>
      <w:r w:rsidR="00FA366A" w:rsidRPr="002C21B8">
        <w:t xml:space="preserve">through consultation with an information specialist. The search strategy </w:t>
      </w:r>
      <w:r w:rsidRPr="002C21B8">
        <w:t>was first developed for the MEDLINE (Ovid) database</w:t>
      </w:r>
      <w:r w:rsidR="00800B40" w:rsidRPr="002C21B8">
        <w:t>,</w:t>
      </w:r>
      <w:r w:rsidRPr="002C21B8">
        <w:t xml:space="preserve"> then adapted for use across the other databases</w:t>
      </w:r>
      <w:r w:rsidR="00FA366A" w:rsidRPr="002C21B8">
        <w:t>.</w:t>
      </w:r>
    </w:p>
    <w:p w14:paraId="1B674E39" w14:textId="37465CFB" w:rsidR="00FA366A" w:rsidRPr="002C21B8" w:rsidRDefault="00081B5D" w:rsidP="004507C8">
      <w:pPr>
        <w:pStyle w:val="Heading3"/>
        <w:numPr>
          <w:ilvl w:val="0"/>
          <w:numId w:val="0"/>
        </w:numPr>
      </w:pPr>
      <w:r w:rsidRPr="002C21B8">
        <w:t>Data collection process</w:t>
      </w:r>
    </w:p>
    <w:p w14:paraId="620AFB58" w14:textId="2DD04682" w:rsidR="00FA366A" w:rsidRPr="002C21B8" w:rsidRDefault="001A5CAC" w:rsidP="00BA72CA">
      <w:r w:rsidRPr="002C21B8">
        <w:t xml:space="preserve">The data items extracted from each systematic review included in the </w:t>
      </w:r>
      <w:r w:rsidR="00E06102" w:rsidRPr="002C21B8">
        <w:t>overview of systematic reviews</w:t>
      </w:r>
      <w:r w:rsidRPr="002C21B8">
        <w:t xml:space="preserve"> are summarised </w:t>
      </w:r>
      <w:r w:rsidR="004B346F" w:rsidRPr="002C21B8">
        <w:t>below</w:t>
      </w:r>
      <w:r w:rsidRPr="002C21B8">
        <w:t>.</w:t>
      </w:r>
      <w:r w:rsidR="00FA366A" w:rsidRPr="002C21B8">
        <w:t xml:space="preserve"> </w:t>
      </w:r>
      <w:r w:rsidR="007C4A82" w:rsidRPr="002C21B8">
        <w:t>A</w:t>
      </w:r>
      <w:r w:rsidRPr="002C21B8">
        <w:t xml:space="preserve"> data extraction form </w:t>
      </w:r>
      <w:r w:rsidR="00FA366A" w:rsidRPr="002C21B8">
        <w:t xml:space="preserve">was </w:t>
      </w:r>
      <w:r w:rsidRPr="002C21B8">
        <w:t xml:space="preserve">developed based on </w:t>
      </w:r>
      <w:r w:rsidR="001C319C" w:rsidRPr="002C21B8">
        <w:t xml:space="preserve">the data extraction and assessment form </w:t>
      </w:r>
      <w:r w:rsidR="00995FF4" w:rsidRPr="002C21B8">
        <w:t>published</w:t>
      </w:r>
      <w:r w:rsidR="001C319C" w:rsidRPr="002C21B8">
        <w:t xml:space="preserve"> by the Cochrane Collaboration </w:t>
      </w:r>
      <w:r w:rsidR="001C319C" w:rsidRPr="002C21B8">
        <w:fldChar w:fldCharType="begin"/>
      </w:r>
      <w:r w:rsidR="00C423CE" w:rsidRPr="002C21B8">
        <w:instrText xml:space="preserve"> ADDIN EN.CITE &lt;EndNote&gt;&lt;Cite&gt;&lt;Author&gt;Cochrane Effective Practice and Organisation of Care (EPOC)&lt;/Author&gt;&lt;Year&gt;2017&lt;/Year&gt;&lt;RecNum&gt;125411&lt;/RecNum&gt;&lt;DisplayText&gt;(Cochrane Effective Practice and Organisation of Care (EPOC), 2017)&lt;/DisplayText&gt;&lt;record&gt;&lt;rec-number&gt;125411&lt;/rec-number&gt;&lt;foreign-keys&gt;&lt;key app="EN" db-id="xpefzwa5hf9dt2ea9fax95x7xvxz90v09dtf" timestamp="1775804140"&gt;125411&lt;/key&gt;&lt;/foreign-keys&gt;&lt;ref-type name="Web Page"&gt;12&lt;/ref-type&gt;&lt;contributors&gt;&lt;authors&gt;&lt;author&gt;Cochrane Effective Practice and Organisation of Care (EPOC),&lt;/author&gt;&lt;/authors&gt;&lt;/contributors&gt;&lt;titles&gt;&lt;title&gt;Data collection form - EPOC resources for review authors&lt;/title&gt;&lt;/titles&gt;&lt;number&gt;10/04/2026)&lt;/number&gt;&lt;dates&gt;&lt;year&gt;2017&lt;/year&gt;&lt;/dates&gt;&lt;urls&gt;&lt;related-urls&gt;&lt;url&gt;https://www.epoc.cochrane.org/resources/epoc-specific-resources-review-authors &lt;/url&gt;&lt;/related-urls&gt;&lt;/urls&gt;&lt;/record&gt;&lt;/Cite&gt;&lt;/EndNote&gt;</w:instrText>
      </w:r>
      <w:r w:rsidR="001C319C" w:rsidRPr="002C21B8">
        <w:fldChar w:fldCharType="separate"/>
      </w:r>
      <w:r w:rsidR="001C319C" w:rsidRPr="002C21B8">
        <w:rPr>
          <w:noProof/>
        </w:rPr>
        <w:t>(Cochrane Effective Practice and Organisation of Care (EPOC), 2017)</w:t>
      </w:r>
      <w:r w:rsidR="001C319C" w:rsidRPr="002C21B8">
        <w:fldChar w:fldCharType="end"/>
      </w:r>
      <w:r w:rsidR="001C319C" w:rsidRPr="002C21B8">
        <w:t>. It was piloted on a random selection of five studies</w:t>
      </w:r>
      <w:r w:rsidR="00BA72CA" w:rsidRPr="002C21B8">
        <w:t>,</w:t>
      </w:r>
      <w:r w:rsidR="00995FF4" w:rsidRPr="002C21B8">
        <w:t xml:space="preserve"> which represented </w:t>
      </w:r>
      <w:r w:rsidR="00BA72CA" w:rsidRPr="002C21B8">
        <w:t xml:space="preserve">approximately </w:t>
      </w:r>
      <w:r w:rsidR="00995FF4" w:rsidRPr="002C21B8">
        <w:t>20% of the included studies</w:t>
      </w:r>
      <w:r w:rsidR="001C319C" w:rsidRPr="002C21B8">
        <w:t xml:space="preserve">. Piloting was </w:t>
      </w:r>
      <w:r w:rsidR="007C4A82" w:rsidRPr="002C21B8">
        <w:t>conducted to confirm that all relevant data w</w:t>
      </w:r>
      <w:r w:rsidR="00880C5A" w:rsidRPr="002C21B8">
        <w:t xml:space="preserve">as </w:t>
      </w:r>
      <w:r w:rsidR="008F3997" w:rsidRPr="002C21B8">
        <w:t>extracte</w:t>
      </w:r>
      <w:r w:rsidR="007C4A82" w:rsidRPr="002C21B8">
        <w:t xml:space="preserve">d while avoiding </w:t>
      </w:r>
      <w:r w:rsidR="00880C5A" w:rsidRPr="002C21B8">
        <w:t xml:space="preserve">the </w:t>
      </w:r>
      <w:r w:rsidR="007C4A82" w:rsidRPr="002C21B8">
        <w:t xml:space="preserve">extraction of unnecessary information </w:t>
      </w:r>
      <w:r w:rsidR="00FA366A"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FA366A" w:rsidRPr="002C21B8">
        <w:fldChar w:fldCharType="separate"/>
      </w:r>
      <w:r w:rsidR="002F558A" w:rsidRPr="002C21B8">
        <w:rPr>
          <w:noProof/>
        </w:rPr>
        <w:t>(Higgins and Green, 2024)</w:t>
      </w:r>
      <w:r w:rsidR="00FA366A" w:rsidRPr="002C21B8">
        <w:fldChar w:fldCharType="end"/>
      </w:r>
      <w:r w:rsidR="00FA366A" w:rsidRPr="002C21B8">
        <w:t>. Data extraction was undertaken by a single reviewer</w:t>
      </w:r>
      <w:r w:rsidR="00880C5A" w:rsidRPr="002C21B8">
        <w:t>,</w:t>
      </w:r>
      <w:r w:rsidR="00FA366A" w:rsidRPr="002C21B8">
        <w:t xml:space="preserve"> then checked for accuracy and completeness by a second reviewer</w:t>
      </w:r>
      <w:r w:rsidR="007C4A82" w:rsidRPr="002C21B8">
        <w:t xml:space="preserve"> in line with guidance from the Cochrane Collaboration </w:t>
      </w:r>
      <w:r w:rsidR="007C4A82"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7C4A82" w:rsidRPr="002C21B8">
        <w:fldChar w:fldCharType="separate"/>
      </w:r>
      <w:r w:rsidR="002F558A" w:rsidRPr="002C21B8">
        <w:rPr>
          <w:noProof/>
        </w:rPr>
        <w:t>(Higgins and Green, 2024)</w:t>
      </w:r>
      <w:r w:rsidR="007C4A82" w:rsidRPr="002C21B8">
        <w:fldChar w:fldCharType="end"/>
      </w:r>
      <w:r w:rsidR="00FA366A" w:rsidRPr="002C21B8">
        <w:t xml:space="preserve">. </w:t>
      </w:r>
      <w:r w:rsidR="007C4A82" w:rsidRPr="002C21B8">
        <w:t>Any inaccuracies were corrected</w:t>
      </w:r>
      <w:r w:rsidR="00BA72CA" w:rsidRPr="002C21B8">
        <w:t>,</w:t>
      </w:r>
      <w:r w:rsidR="007C4A82" w:rsidRPr="002C21B8">
        <w:t xml:space="preserve"> and when queries were raised</w:t>
      </w:r>
      <w:r w:rsidR="00BA72CA" w:rsidRPr="002C21B8">
        <w:t>,</w:t>
      </w:r>
      <w:r w:rsidR="007C4A82" w:rsidRPr="002C21B8">
        <w:t xml:space="preserve"> the two reviewers resolved this through discussion. Due to the different study designs of the included studies in the systematic reviews and highly heterogen</w:t>
      </w:r>
      <w:r w:rsidR="004B2E95" w:rsidRPr="002C21B8">
        <w:t>e</w:t>
      </w:r>
      <w:r w:rsidR="007C4A82" w:rsidRPr="002C21B8">
        <w:t>ous disease areas, there was no intention of undertaking a meta-analysis</w:t>
      </w:r>
      <w:r w:rsidR="00BA72CA" w:rsidRPr="002C21B8">
        <w:t>,</w:t>
      </w:r>
      <w:r w:rsidR="007C4A82" w:rsidRPr="002C21B8">
        <w:t xml:space="preserve"> so double data extraction was not required. </w:t>
      </w:r>
      <w:r w:rsidR="00FA366A" w:rsidRPr="002C21B8">
        <w:t>An example data extraction form is included following this section.</w:t>
      </w:r>
    </w:p>
    <w:p w14:paraId="128757D3" w14:textId="77777777" w:rsidR="0089752C" w:rsidRPr="002C21B8" w:rsidRDefault="0089752C" w:rsidP="00BA72CA">
      <w:pPr>
        <w:rPr>
          <w:noProof/>
        </w:rPr>
      </w:pPr>
    </w:p>
    <w:p w14:paraId="71B4328E" w14:textId="4E5167DF" w:rsidR="009C6AC5" w:rsidRPr="002C21B8" w:rsidRDefault="009C6AC5" w:rsidP="009C6AC5">
      <w:pPr>
        <w:spacing w:before="240" w:after="0"/>
        <w:rPr>
          <w:b/>
          <w:bCs/>
          <w:sz w:val="24"/>
          <w:szCs w:val="24"/>
        </w:rPr>
      </w:pPr>
      <w:r w:rsidRPr="002C21B8">
        <w:rPr>
          <w:b/>
          <w:bCs/>
          <w:sz w:val="24"/>
          <w:szCs w:val="24"/>
        </w:rPr>
        <w:t xml:space="preserve">Data items </w:t>
      </w:r>
      <w:r w:rsidR="00C03621" w:rsidRPr="002C21B8">
        <w:rPr>
          <w:b/>
          <w:bCs/>
          <w:sz w:val="24"/>
          <w:szCs w:val="24"/>
        </w:rPr>
        <w:t>for extraction</w:t>
      </w:r>
    </w:p>
    <w:p w14:paraId="2899FAA2" w14:textId="77777777" w:rsidR="009C6AC5" w:rsidRPr="002C21B8" w:rsidRDefault="009C6AC5" w:rsidP="00A81455">
      <w:pPr>
        <w:spacing w:after="0" w:line="240" w:lineRule="auto"/>
        <w:jc w:val="left"/>
        <w:rPr>
          <w:i/>
          <w:iCs/>
          <w:color w:val="7B7B7B" w:themeColor="accent3" w:themeShade="BF"/>
          <w:sz w:val="18"/>
          <w:szCs w:val="18"/>
        </w:rPr>
      </w:pPr>
    </w:p>
    <w:tbl>
      <w:tblPr>
        <w:tblStyle w:val="TableGrid"/>
        <w:tblW w:w="906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827"/>
        <w:gridCol w:w="6237"/>
      </w:tblGrid>
      <w:tr w:rsidR="00FA366A" w:rsidRPr="002C21B8" w14:paraId="1B764696" w14:textId="77777777" w:rsidTr="00E031F0">
        <w:tc>
          <w:tcPr>
            <w:tcW w:w="2827" w:type="dxa"/>
            <w:shd w:val="clear" w:color="auto" w:fill="auto"/>
            <w:vAlign w:val="center"/>
          </w:tcPr>
          <w:p w14:paraId="7AF76B62" w14:textId="77777777" w:rsidR="00FA366A" w:rsidRPr="002C21B8" w:rsidRDefault="00FA366A" w:rsidP="0087500D">
            <w:pPr>
              <w:spacing w:before="20" w:after="120" w:line="240" w:lineRule="auto"/>
              <w:rPr>
                <w:b/>
                <w:bCs/>
                <w:sz w:val="20"/>
                <w:szCs w:val="20"/>
              </w:rPr>
            </w:pPr>
            <w:r w:rsidRPr="002C21B8">
              <w:rPr>
                <w:b/>
                <w:bCs/>
                <w:sz w:val="20"/>
                <w:szCs w:val="20"/>
              </w:rPr>
              <w:t>Data item</w:t>
            </w:r>
          </w:p>
        </w:tc>
        <w:tc>
          <w:tcPr>
            <w:tcW w:w="6237" w:type="dxa"/>
            <w:shd w:val="clear" w:color="auto" w:fill="auto"/>
            <w:vAlign w:val="center"/>
          </w:tcPr>
          <w:p w14:paraId="00DF8ECF" w14:textId="77777777" w:rsidR="00FA366A" w:rsidRPr="002C21B8" w:rsidRDefault="00FA366A" w:rsidP="0087500D">
            <w:pPr>
              <w:spacing w:before="20" w:after="120" w:line="240" w:lineRule="auto"/>
              <w:rPr>
                <w:b/>
                <w:bCs/>
                <w:sz w:val="20"/>
                <w:szCs w:val="20"/>
              </w:rPr>
            </w:pPr>
            <w:r w:rsidRPr="002C21B8">
              <w:rPr>
                <w:b/>
                <w:bCs/>
                <w:sz w:val="20"/>
                <w:szCs w:val="20"/>
              </w:rPr>
              <w:t>Details</w:t>
            </w:r>
          </w:p>
        </w:tc>
      </w:tr>
      <w:tr w:rsidR="00FA366A" w:rsidRPr="002C21B8" w14:paraId="5F12533A" w14:textId="77777777" w:rsidTr="00E031F0">
        <w:tc>
          <w:tcPr>
            <w:tcW w:w="2827" w:type="dxa"/>
            <w:shd w:val="clear" w:color="auto" w:fill="auto"/>
            <w:vAlign w:val="center"/>
          </w:tcPr>
          <w:p w14:paraId="237EA27D" w14:textId="77777777" w:rsidR="00FA366A" w:rsidRPr="002C21B8" w:rsidRDefault="00FA366A" w:rsidP="0087500D">
            <w:pPr>
              <w:spacing w:before="20" w:after="120" w:line="240" w:lineRule="auto"/>
              <w:rPr>
                <w:b/>
                <w:bCs/>
                <w:sz w:val="20"/>
                <w:szCs w:val="20"/>
              </w:rPr>
            </w:pPr>
            <w:r w:rsidRPr="002C21B8">
              <w:rPr>
                <w:b/>
                <w:bCs/>
                <w:sz w:val="20"/>
                <w:szCs w:val="20"/>
              </w:rPr>
              <w:t>Study details</w:t>
            </w:r>
          </w:p>
        </w:tc>
        <w:tc>
          <w:tcPr>
            <w:tcW w:w="6237" w:type="dxa"/>
            <w:shd w:val="clear" w:color="auto" w:fill="auto"/>
            <w:vAlign w:val="center"/>
          </w:tcPr>
          <w:p w14:paraId="4C2C6B04" w14:textId="0F7C0628" w:rsidR="00FA366A" w:rsidRPr="002C21B8" w:rsidRDefault="001C319C" w:rsidP="0087500D">
            <w:pPr>
              <w:spacing w:before="20" w:after="120" w:line="240" w:lineRule="auto"/>
              <w:rPr>
                <w:sz w:val="20"/>
                <w:szCs w:val="20"/>
              </w:rPr>
            </w:pPr>
            <w:r w:rsidRPr="002C21B8">
              <w:rPr>
                <w:sz w:val="20"/>
                <w:szCs w:val="20"/>
              </w:rPr>
              <w:t xml:space="preserve">Author, </w:t>
            </w:r>
            <w:r w:rsidR="00FA366A" w:rsidRPr="002C21B8">
              <w:rPr>
                <w:sz w:val="20"/>
                <w:szCs w:val="20"/>
              </w:rPr>
              <w:t>Year of publication of systematic review</w:t>
            </w:r>
            <w:r w:rsidRPr="002C21B8">
              <w:rPr>
                <w:sz w:val="20"/>
                <w:szCs w:val="20"/>
              </w:rPr>
              <w:t>, title</w:t>
            </w:r>
          </w:p>
        </w:tc>
      </w:tr>
      <w:tr w:rsidR="00FA366A" w:rsidRPr="002C21B8" w14:paraId="7A018E8B" w14:textId="77777777" w:rsidTr="00E031F0">
        <w:tc>
          <w:tcPr>
            <w:tcW w:w="2827" w:type="dxa"/>
            <w:shd w:val="clear" w:color="auto" w:fill="auto"/>
            <w:vAlign w:val="center"/>
          </w:tcPr>
          <w:p w14:paraId="5D0FC756" w14:textId="77777777" w:rsidR="00FA366A" w:rsidRPr="002C21B8" w:rsidRDefault="00FA366A" w:rsidP="0087500D">
            <w:pPr>
              <w:spacing w:before="20" w:after="120" w:line="240" w:lineRule="auto"/>
              <w:rPr>
                <w:b/>
                <w:bCs/>
                <w:sz w:val="20"/>
                <w:szCs w:val="20"/>
              </w:rPr>
            </w:pPr>
            <w:r w:rsidRPr="002C21B8">
              <w:rPr>
                <w:b/>
                <w:bCs/>
                <w:sz w:val="20"/>
                <w:szCs w:val="20"/>
              </w:rPr>
              <w:t>Country of origin</w:t>
            </w:r>
          </w:p>
        </w:tc>
        <w:tc>
          <w:tcPr>
            <w:tcW w:w="6237" w:type="dxa"/>
            <w:shd w:val="clear" w:color="auto" w:fill="auto"/>
            <w:vAlign w:val="center"/>
          </w:tcPr>
          <w:p w14:paraId="415F2454" w14:textId="77777777" w:rsidR="00FA366A" w:rsidRPr="002C21B8" w:rsidRDefault="00FA366A" w:rsidP="0087500D">
            <w:pPr>
              <w:spacing w:before="20" w:after="120" w:line="240" w:lineRule="auto"/>
              <w:rPr>
                <w:sz w:val="20"/>
                <w:szCs w:val="20"/>
              </w:rPr>
            </w:pPr>
            <w:r w:rsidRPr="002C21B8">
              <w:rPr>
                <w:sz w:val="20"/>
                <w:szCs w:val="20"/>
              </w:rPr>
              <w:t>Country or countries of the review authors’ affiliations</w:t>
            </w:r>
          </w:p>
        </w:tc>
      </w:tr>
      <w:tr w:rsidR="00FA366A" w:rsidRPr="002C21B8" w14:paraId="032784F5" w14:textId="77777777" w:rsidTr="00E031F0">
        <w:tc>
          <w:tcPr>
            <w:tcW w:w="2827" w:type="dxa"/>
            <w:shd w:val="clear" w:color="auto" w:fill="auto"/>
            <w:vAlign w:val="center"/>
          </w:tcPr>
          <w:p w14:paraId="28C65725" w14:textId="77777777" w:rsidR="00FA366A" w:rsidRPr="002C21B8" w:rsidRDefault="00FA366A" w:rsidP="0087500D">
            <w:pPr>
              <w:spacing w:before="20" w:after="120" w:line="240" w:lineRule="auto"/>
              <w:rPr>
                <w:b/>
                <w:bCs/>
                <w:sz w:val="20"/>
                <w:szCs w:val="20"/>
              </w:rPr>
            </w:pPr>
            <w:r w:rsidRPr="002C21B8">
              <w:rPr>
                <w:b/>
                <w:bCs/>
                <w:sz w:val="20"/>
                <w:szCs w:val="20"/>
              </w:rPr>
              <w:t>Databases searched</w:t>
            </w:r>
          </w:p>
        </w:tc>
        <w:tc>
          <w:tcPr>
            <w:tcW w:w="6237" w:type="dxa"/>
            <w:shd w:val="clear" w:color="auto" w:fill="auto"/>
            <w:vAlign w:val="center"/>
          </w:tcPr>
          <w:p w14:paraId="5C09E874" w14:textId="77777777" w:rsidR="00FA366A" w:rsidRPr="002C21B8" w:rsidRDefault="00FA366A" w:rsidP="0087500D">
            <w:pPr>
              <w:spacing w:before="20" w:after="120" w:line="240" w:lineRule="auto"/>
              <w:rPr>
                <w:sz w:val="20"/>
                <w:szCs w:val="20"/>
              </w:rPr>
            </w:pPr>
            <w:r w:rsidRPr="002C21B8">
              <w:rPr>
                <w:sz w:val="20"/>
                <w:szCs w:val="20"/>
              </w:rPr>
              <w:t xml:space="preserve">Number and names of databases </w:t>
            </w:r>
          </w:p>
        </w:tc>
      </w:tr>
      <w:tr w:rsidR="00FA366A" w:rsidRPr="002C21B8" w14:paraId="7BD01123" w14:textId="77777777" w:rsidTr="00E031F0">
        <w:tc>
          <w:tcPr>
            <w:tcW w:w="2827" w:type="dxa"/>
            <w:shd w:val="clear" w:color="auto" w:fill="auto"/>
            <w:vAlign w:val="center"/>
          </w:tcPr>
          <w:p w14:paraId="1E24642D" w14:textId="77777777" w:rsidR="00FA366A" w:rsidRPr="002C21B8" w:rsidRDefault="00FA366A" w:rsidP="0087500D">
            <w:pPr>
              <w:spacing w:before="20" w:after="120" w:line="240" w:lineRule="auto"/>
              <w:rPr>
                <w:b/>
                <w:bCs/>
                <w:sz w:val="20"/>
                <w:szCs w:val="20"/>
              </w:rPr>
            </w:pPr>
            <w:r w:rsidRPr="002C21B8">
              <w:rPr>
                <w:b/>
                <w:bCs/>
                <w:sz w:val="20"/>
                <w:szCs w:val="20"/>
              </w:rPr>
              <w:t>Date range of search</w:t>
            </w:r>
          </w:p>
        </w:tc>
        <w:tc>
          <w:tcPr>
            <w:tcW w:w="6237" w:type="dxa"/>
            <w:shd w:val="clear" w:color="auto" w:fill="auto"/>
            <w:vAlign w:val="center"/>
          </w:tcPr>
          <w:p w14:paraId="7523DC87" w14:textId="77777777" w:rsidR="00FA366A" w:rsidRPr="002C21B8" w:rsidRDefault="00FA366A" w:rsidP="0087500D">
            <w:pPr>
              <w:spacing w:before="20" w:after="120" w:line="240" w:lineRule="auto"/>
              <w:rPr>
                <w:sz w:val="20"/>
                <w:szCs w:val="20"/>
              </w:rPr>
            </w:pPr>
            <w:r w:rsidRPr="002C21B8">
              <w:rPr>
                <w:sz w:val="20"/>
                <w:szCs w:val="20"/>
              </w:rPr>
              <w:t>Start and end dates of systematic review</w:t>
            </w:r>
          </w:p>
        </w:tc>
      </w:tr>
      <w:tr w:rsidR="00FA366A" w:rsidRPr="002C21B8" w14:paraId="5FE6ABF5" w14:textId="77777777" w:rsidTr="00E031F0">
        <w:tc>
          <w:tcPr>
            <w:tcW w:w="2827" w:type="dxa"/>
            <w:shd w:val="clear" w:color="auto" w:fill="auto"/>
            <w:vAlign w:val="center"/>
          </w:tcPr>
          <w:p w14:paraId="782E73B5" w14:textId="77777777" w:rsidR="00FA366A" w:rsidRPr="002C21B8" w:rsidRDefault="00FA366A" w:rsidP="0087500D">
            <w:pPr>
              <w:spacing w:before="20" w:after="120" w:line="240" w:lineRule="auto"/>
              <w:rPr>
                <w:b/>
                <w:bCs/>
                <w:sz w:val="20"/>
                <w:szCs w:val="20"/>
              </w:rPr>
            </w:pPr>
            <w:r w:rsidRPr="002C21B8">
              <w:rPr>
                <w:b/>
                <w:bCs/>
                <w:sz w:val="20"/>
                <w:szCs w:val="20"/>
              </w:rPr>
              <w:t>Publication date range</w:t>
            </w:r>
          </w:p>
        </w:tc>
        <w:tc>
          <w:tcPr>
            <w:tcW w:w="6237" w:type="dxa"/>
            <w:shd w:val="clear" w:color="auto" w:fill="auto"/>
            <w:vAlign w:val="center"/>
          </w:tcPr>
          <w:p w14:paraId="2919DAAB" w14:textId="77777777" w:rsidR="00FA366A" w:rsidRPr="002C21B8" w:rsidRDefault="00FA366A" w:rsidP="0087500D">
            <w:pPr>
              <w:spacing w:before="20" w:after="120" w:line="240" w:lineRule="auto"/>
              <w:rPr>
                <w:sz w:val="20"/>
                <w:szCs w:val="20"/>
              </w:rPr>
            </w:pPr>
            <w:r w:rsidRPr="002C21B8">
              <w:rPr>
                <w:sz w:val="20"/>
                <w:szCs w:val="20"/>
              </w:rPr>
              <w:t>Publication years of primary studies included in the review</w:t>
            </w:r>
          </w:p>
        </w:tc>
      </w:tr>
      <w:tr w:rsidR="00FA366A" w:rsidRPr="002C21B8" w14:paraId="2FC8C768" w14:textId="77777777" w:rsidTr="00E031F0">
        <w:trPr>
          <w:trHeight w:val="420"/>
        </w:trPr>
        <w:tc>
          <w:tcPr>
            <w:tcW w:w="2827" w:type="dxa"/>
            <w:shd w:val="clear" w:color="auto" w:fill="auto"/>
            <w:vAlign w:val="center"/>
          </w:tcPr>
          <w:p w14:paraId="2F5FCE0A" w14:textId="77777777" w:rsidR="00FA366A" w:rsidRPr="002C21B8" w:rsidRDefault="00FA366A" w:rsidP="0087500D">
            <w:pPr>
              <w:spacing w:before="20" w:after="120" w:line="240" w:lineRule="auto"/>
              <w:rPr>
                <w:b/>
                <w:bCs/>
                <w:sz w:val="20"/>
                <w:szCs w:val="20"/>
              </w:rPr>
            </w:pPr>
            <w:r w:rsidRPr="002C21B8">
              <w:rPr>
                <w:b/>
                <w:bCs/>
                <w:sz w:val="20"/>
                <w:szCs w:val="20"/>
              </w:rPr>
              <w:t>Number of included studies</w:t>
            </w:r>
          </w:p>
        </w:tc>
        <w:tc>
          <w:tcPr>
            <w:tcW w:w="6237" w:type="dxa"/>
            <w:shd w:val="clear" w:color="auto" w:fill="auto"/>
            <w:vAlign w:val="center"/>
          </w:tcPr>
          <w:p w14:paraId="09702F07" w14:textId="77777777" w:rsidR="00FA366A" w:rsidRPr="002C21B8" w:rsidRDefault="00FA366A" w:rsidP="0087500D">
            <w:pPr>
              <w:spacing w:before="20" w:after="120" w:line="240" w:lineRule="auto"/>
              <w:rPr>
                <w:sz w:val="20"/>
                <w:szCs w:val="20"/>
              </w:rPr>
            </w:pPr>
            <w:r w:rsidRPr="002C21B8">
              <w:rPr>
                <w:sz w:val="20"/>
                <w:szCs w:val="20"/>
              </w:rPr>
              <w:t>Total number of primary studies included in the review</w:t>
            </w:r>
          </w:p>
        </w:tc>
      </w:tr>
      <w:tr w:rsidR="00FA366A" w:rsidRPr="002C21B8" w14:paraId="53DFB345" w14:textId="77777777" w:rsidTr="00E031F0">
        <w:tc>
          <w:tcPr>
            <w:tcW w:w="2827" w:type="dxa"/>
            <w:shd w:val="clear" w:color="auto" w:fill="auto"/>
            <w:vAlign w:val="center"/>
          </w:tcPr>
          <w:p w14:paraId="4496AC89" w14:textId="77777777" w:rsidR="00FA366A" w:rsidRPr="002C21B8" w:rsidRDefault="00FA366A" w:rsidP="0087500D">
            <w:pPr>
              <w:spacing w:before="20" w:after="120" w:line="240" w:lineRule="auto"/>
              <w:rPr>
                <w:b/>
                <w:bCs/>
                <w:sz w:val="20"/>
                <w:szCs w:val="20"/>
              </w:rPr>
            </w:pPr>
            <w:r w:rsidRPr="002C21B8">
              <w:rPr>
                <w:b/>
                <w:bCs/>
                <w:sz w:val="20"/>
                <w:szCs w:val="20"/>
              </w:rPr>
              <w:t>Origin of studies</w:t>
            </w:r>
          </w:p>
        </w:tc>
        <w:tc>
          <w:tcPr>
            <w:tcW w:w="6237" w:type="dxa"/>
            <w:shd w:val="clear" w:color="auto" w:fill="auto"/>
            <w:vAlign w:val="center"/>
          </w:tcPr>
          <w:p w14:paraId="6365CFBF" w14:textId="77777777" w:rsidR="00FA366A" w:rsidRPr="002C21B8" w:rsidRDefault="00FA366A" w:rsidP="0087500D">
            <w:pPr>
              <w:spacing w:before="20" w:after="120" w:line="240" w:lineRule="auto"/>
              <w:rPr>
                <w:sz w:val="20"/>
                <w:szCs w:val="20"/>
              </w:rPr>
            </w:pPr>
            <w:r w:rsidRPr="002C21B8">
              <w:rPr>
                <w:sz w:val="20"/>
                <w:szCs w:val="20"/>
              </w:rPr>
              <w:t>Countries or regions where the primary studies were conducted</w:t>
            </w:r>
          </w:p>
        </w:tc>
      </w:tr>
      <w:tr w:rsidR="00FA366A" w:rsidRPr="002C21B8" w14:paraId="19EC5BCC" w14:textId="77777777" w:rsidTr="00E031F0">
        <w:tc>
          <w:tcPr>
            <w:tcW w:w="2827" w:type="dxa"/>
            <w:shd w:val="clear" w:color="auto" w:fill="auto"/>
            <w:vAlign w:val="center"/>
          </w:tcPr>
          <w:p w14:paraId="47ED3296" w14:textId="77777777" w:rsidR="00FA366A" w:rsidRPr="002C21B8" w:rsidRDefault="00FA366A" w:rsidP="0087500D">
            <w:pPr>
              <w:spacing w:before="20" w:after="120" w:line="240" w:lineRule="auto"/>
              <w:rPr>
                <w:b/>
                <w:bCs/>
                <w:sz w:val="20"/>
                <w:szCs w:val="20"/>
              </w:rPr>
            </w:pPr>
            <w:r w:rsidRPr="002C21B8">
              <w:rPr>
                <w:b/>
                <w:bCs/>
                <w:sz w:val="20"/>
                <w:szCs w:val="20"/>
              </w:rPr>
              <w:t>Setting</w:t>
            </w:r>
          </w:p>
        </w:tc>
        <w:tc>
          <w:tcPr>
            <w:tcW w:w="6237" w:type="dxa"/>
            <w:shd w:val="clear" w:color="auto" w:fill="auto"/>
            <w:vAlign w:val="center"/>
          </w:tcPr>
          <w:p w14:paraId="71BA7A22" w14:textId="4FC2F02D" w:rsidR="00FA366A" w:rsidRPr="002C21B8" w:rsidRDefault="00FA366A" w:rsidP="0087500D">
            <w:pPr>
              <w:spacing w:before="20" w:after="120" w:line="240" w:lineRule="auto"/>
              <w:rPr>
                <w:sz w:val="20"/>
                <w:szCs w:val="20"/>
              </w:rPr>
            </w:pPr>
            <w:r w:rsidRPr="002C21B8">
              <w:rPr>
                <w:sz w:val="20"/>
                <w:szCs w:val="20"/>
              </w:rPr>
              <w:t xml:space="preserve">Healthcare setting(s) examined </w:t>
            </w:r>
            <w:r w:rsidR="00446D34" w:rsidRPr="002C21B8">
              <w:rPr>
                <w:sz w:val="20"/>
                <w:szCs w:val="20"/>
              </w:rPr>
              <w:t>e.g.</w:t>
            </w:r>
            <w:r w:rsidRPr="002C21B8">
              <w:rPr>
                <w:sz w:val="20"/>
                <w:szCs w:val="20"/>
              </w:rPr>
              <w:t xml:space="preserve"> primary care, secondary care, community care</w:t>
            </w:r>
          </w:p>
        </w:tc>
      </w:tr>
      <w:tr w:rsidR="00FA366A" w:rsidRPr="002C21B8" w14:paraId="7C5A886D" w14:textId="77777777" w:rsidTr="00E031F0">
        <w:tc>
          <w:tcPr>
            <w:tcW w:w="2827" w:type="dxa"/>
            <w:shd w:val="clear" w:color="auto" w:fill="auto"/>
            <w:vAlign w:val="center"/>
          </w:tcPr>
          <w:p w14:paraId="1B8A54BD" w14:textId="77777777" w:rsidR="00FA366A" w:rsidRPr="002C21B8" w:rsidRDefault="00FA366A" w:rsidP="0087500D">
            <w:pPr>
              <w:spacing w:before="20" w:after="120" w:line="240" w:lineRule="auto"/>
              <w:rPr>
                <w:b/>
                <w:bCs/>
                <w:sz w:val="20"/>
                <w:szCs w:val="20"/>
              </w:rPr>
            </w:pPr>
            <w:r w:rsidRPr="002C21B8">
              <w:rPr>
                <w:b/>
                <w:bCs/>
                <w:sz w:val="20"/>
                <w:szCs w:val="20"/>
              </w:rPr>
              <w:t>Disease area</w:t>
            </w:r>
          </w:p>
        </w:tc>
        <w:tc>
          <w:tcPr>
            <w:tcW w:w="6237" w:type="dxa"/>
            <w:shd w:val="clear" w:color="auto" w:fill="auto"/>
            <w:vAlign w:val="center"/>
          </w:tcPr>
          <w:p w14:paraId="24E18FE8" w14:textId="77777777" w:rsidR="00FA366A" w:rsidRPr="002C21B8" w:rsidRDefault="00FA366A" w:rsidP="0087500D">
            <w:pPr>
              <w:spacing w:before="20" w:after="120" w:line="240" w:lineRule="auto"/>
              <w:rPr>
                <w:sz w:val="20"/>
                <w:szCs w:val="20"/>
              </w:rPr>
            </w:pPr>
            <w:r w:rsidRPr="002C21B8">
              <w:rPr>
                <w:sz w:val="20"/>
                <w:szCs w:val="20"/>
              </w:rPr>
              <w:t>Chronic physical health condition(s) addressed</w:t>
            </w:r>
          </w:p>
        </w:tc>
      </w:tr>
      <w:tr w:rsidR="00FA366A" w:rsidRPr="002C21B8" w14:paraId="174AF1B0" w14:textId="77777777" w:rsidTr="00E031F0">
        <w:tc>
          <w:tcPr>
            <w:tcW w:w="2827" w:type="dxa"/>
            <w:shd w:val="clear" w:color="auto" w:fill="auto"/>
            <w:vAlign w:val="center"/>
          </w:tcPr>
          <w:p w14:paraId="3830B2F0" w14:textId="77777777" w:rsidR="00FA366A" w:rsidRPr="002C21B8" w:rsidRDefault="00FA366A" w:rsidP="0087500D">
            <w:pPr>
              <w:spacing w:before="20" w:after="120" w:line="240" w:lineRule="auto"/>
              <w:rPr>
                <w:b/>
                <w:bCs/>
                <w:sz w:val="20"/>
                <w:szCs w:val="20"/>
              </w:rPr>
            </w:pPr>
            <w:r w:rsidRPr="002C21B8">
              <w:rPr>
                <w:b/>
                <w:bCs/>
                <w:sz w:val="20"/>
                <w:szCs w:val="20"/>
              </w:rPr>
              <w:t>Primary study types</w:t>
            </w:r>
          </w:p>
        </w:tc>
        <w:tc>
          <w:tcPr>
            <w:tcW w:w="6237" w:type="dxa"/>
            <w:shd w:val="clear" w:color="auto" w:fill="auto"/>
            <w:vAlign w:val="center"/>
          </w:tcPr>
          <w:p w14:paraId="3F4D65E6" w14:textId="77777777" w:rsidR="00FA366A" w:rsidRPr="002C21B8" w:rsidRDefault="00FA366A" w:rsidP="0087500D">
            <w:pPr>
              <w:spacing w:before="20" w:after="120" w:line="240" w:lineRule="auto"/>
              <w:rPr>
                <w:sz w:val="20"/>
                <w:szCs w:val="20"/>
              </w:rPr>
            </w:pPr>
            <w:r w:rsidRPr="002C21B8">
              <w:rPr>
                <w:sz w:val="20"/>
                <w:szCs w:val="20"/>
              </w:rPr>
              <w:t>Type of primary studies included e.g. qualitative, quantitative, mixed methods</w:t>
            </w:r>
          </w:p>
        </w:tc>
      </w:tr>
      <w:tr w:rsidR="00FA366A" w:rsidRPr="002C21B8" w14:paraId="3A48525B" w14:textId="77777777" w:rsidTr="00E031F0">
        <w:tc>
          <w:tcPr>
            <w:tcW w:w="2827" w:type="dxa"/>
            <w:shd w:val="clear" w:color="auto" w:fill="auto"/>
            <w:vAlign w:val="center"/>
          </w:tcPr>
          <w:p w14:paraId="3126AB34" w14:textId="77777777" w:rsidR="00FA366A" w:rsidRPr="002C21B8" w:rsidRDefault="00FA366A" w:rsidP="0087500D">
            <w:pPr>
              <w:spacing w:before="20" w:after="120" w:line="240" w:lineRule="auto"/>
              <w:rPr>
                <w:b/>
                <w:bCs/>
                <w:sz w:val="20"/>
                <w:szCs w:val="20"/>
              </w:rPr>
            </w:pPr>
            <w:r w:rsidRPr="002C21B8">
              <w:rPr>
                <w:b/>
                <w:bCs/>
                <w:sz w:val="20"/>
                <w:szCs w:val="20"/>
              </w:rPr>
              <w:t>Funding source</w:t>
            </w:r>
          </w:p>
        </w:tc>
        <w:tc>
          <w:tcPr>
            <w:tcW w:w="6237" w:type="dxa"/>
            <w:shd w:val="clear" w:color="auto" w:fill="auto"/>
            <w:vAlign w:val="center"/>
          </w:tcPr>
          <w:p w14:paraId="3382C18F" w14:textId="77777777" w:rsidR="00FA366A" w:rsidRPr="002C21B8" w:rsidRDefault="00FA366A" w:rsidP="0087500D">
            <w:pPr>
              <w:spacing w:before="20" w:after="120" w:line="240" w:lineRule="auto"/>
              <w:rPr>
                <w:sz w:val="20"/>
                <w:szCs w:val="20"/>
              </w:rPr>
            </w:pPr>
            <w:r w:rsidRPr="002C21B8">
              <w:rPr>
                <w:sz w:val="20"/>
                <w:szCs w:val="20"/>
              </w:rPr>
              <w:t>Reporting funding source for the systematic review</w:t>
            </w:r>
          </w:p>
        </w:tc>
      </w:tr>
      <w:tr w:rsidR="001C319C" w:rsidRPr="002C21B8" w14:paraId="3D4247BD" w14:textId="77777777" w:rsidTr="00E031F0">
        <w:tc>
          <w:tcPr>
            <w:tcW w:w="2827" w:type="dxa"/>
            <w:shd w:val="clear" w:color="auto" w:fill="auto"/>
            <w:vAlign w:val="center"/>
          </w:tcPr>
          <w:p w14:paraId="1A6821A4" w14:textId="2C9421B6" w:rsidR="001C319C" w:rsidRPr="002C21B8" w:rsidRDefault="001C319C" w:rsidP="0087500D">
            <w:pPr>
              <w:spacing w:before="20" w:after="120" w:line="240" w:lineRule="auto"/>
              <w:rPr>
                <w:b/>
                <w:bCs/>
                <w:sz w:val="20"/>
                <w:szCs w:val="20"/>
              </w:rPr>
            </w:pPr>
            <w:r w:rsidRPr="002C21B8">
              <w:rPr>
                <w:b/>
                <w:bCs/>
                <w:sz w:val="20"/>
                <w:szCs w:val="20"/>
              </w:rPr>
              <w:t>Other</w:t>
            </w:r>
          </w:p>
        </w:tc>
        <w:tc>
          <w:tcPr>
            <w:tcW w:w="6237" w:type="dxa"/>
            <w:shd w:val="clear" w:color="auto" w:fill="auto"/>
            <w:vAlign w:val="center"/>
          </w:tcPr>
          <w:p w14:paraId="27DF5165" w14:textId="10D8E7EC" w:rsidR="001C319C" w:rsidRPr="002C21B8" w:rsidRDefault="001C319C" w:rsidP="0087500D">
            <w:pPr>
              <w:spacing w:before="20" w:after="120" w:line="240" w:lineRule="auto"/>
              <w:rPr>
                <w:sz w:val="20"/>
                <w:szCs w:val="20"/>
              </w:rPr>
            </w:pPr>
            <w:r w:rsidRPr="002C21B8">
              <w:rPr>
                <w:sz w:val="20"/>
                <w:szCs w:val="20"/>
              </w:rPr>
              <w:t xml:space="preserve">Other notes from </w:t>
            </w:r>
            <w:r w:rsidR="00B908B6" w:rsidRPr="002C21B8">
              <w:rPr>
                <w:sz w:val="20"/>
                <w:szCs w:val="20"/>
              </w:rPr>
              <w:t xml:space="preserve">the </w:t>
            </w:r>
            <w:r w:rsidRPr="002C21B8">
              <w:rPr>
                <w:sz w:val="20"/>
                <w:szCs w:val="20"/>
              </w:rPr>
              <w:t xml:space="preserve">discussion which may have influenced </w:t>
            </w:r>
            <w:r w:rsidR="004142E7" w:rsidRPr="002C21B8">
              <w:rPr>
                <w:sz w:val="20"/>
                <w:szCs w:val="20"/>
              </w:rPr>
              <w:t xml:space="preserve">the </w:t>
            </w:r>
            <w:r w:rsidRPr="002C21B8">
              <w:rPr>
                <w:sz w:val="20"/>
                <w:szCs w:val="20"/>
              </w:rPr>
              <w:t>study</w:t>
            </w:r>
            <w:r w:rsidR="004142E7" w:rsidRPr="002C21B8">
              <w:rPr>
                <w:sz w:val="20"/>
                <w:szCs w:val="20"/>
              </w:rPr>
              <w:t>’s</w:t>
            </w:r>
            <w:r w:rsidRPr="002C21B8">
              <w:rPr>
                <w:sz w:val="20"/>
                <w:szCs w:val="20"/>
              </w:rPr>
              <w:t xml:space="preserve"> conclusions</w:t>
            </w:r>
          </w:p>
        </w:tc>
      </w:tr>
    </w:tbl>
    <w:p w14:paraId="038C4ADF" w14:textId="77777777" w:rsidR="00FA366A" w:rsidRPr="002C21B8" w:rsidRDefault="00FA366A" w:rsidP="003374F4"/>
    <w:p w14:paraId="017B6ABB" w14:textId="77777777" w:rsidR="009D12AE" w:rsidRPr="002C21B8" w:rsidRDefault="009D12AE">
      <w:pPr>
        <w:spacing w:after="0" w:line="240" w:lineRule="auto"/>
        <w:jc w:val="left"/>
      </w:pPr>
      <w:r w:rsidRPr="002C21B8">
        <w:rPr>
          <w:b/>
          <w:bCs/>
        </w:rPr>
        <w:br w:type="page"/>
      </w:r>
    </w:p>
    <w:p w14:paraId="677DF1AA" w14:textId="142C45B8" w:rsidR="00FA366A" w:rsidRPr="002C21B8" w:rsidRDefault="00FA366A" w:rsidP="004507C8">
      <w:pPr>
        <w:pStyle w:val="Heading3"/>
        <w:numPr>
          <w:ilvl w:val="0"/>
          <w:numId w:val="0"/>
        </w:numPr>
      </w:pPr>
      <w:r w:rsidRPr="002C21B8">
        <w:t>Example data extraction form</w:t>
      </w:r>
    </w:p>
    <w:p w14:paraId="4ACE8001" w14:textId="77777777" w:rsidR="00E45623" w:rsidRPr="002C21B8" w:rsidRDefault="00E45623" w:rsidP="006B1AC6">
      <w:pPr>
        <w:jc w:val="center"/>
        <w:rPr>
          <w:b/>
          <w:bCs/>
          <w:sz w:val="24"/>
          <w:szCs w:val="24"/>
        </w:rPr>
      </w:pPr>
    </w:p>
    <w:p w14:paraId="65ACE8D6" w14:textId="67B2A0C4" w:rsidR="00FA366A" w:rsidRPr="002C21B8" w:rsidRDefault="00FA366A" w:rsidP="006B1AC6">
      <w:pPr>
        <w:jc w:val="center"/>
        <w:rPr>
          <w:b/>
          <w:bCs/>
          <w:sz w:val="24"/>
          <w:szCs w:val="24"/>
        </w:rPr>
      </w:pPr>
      <w:r w:rsidRPr="002C21B8">
        <w:rPr>
          <w:b/>
          <w:bCs/>
          <w:sz w:val="24"/>
          <w:szCs w:val="24"/>
        </w:rPr>
        <w:t>Data extraction form</w:t>
      </w:r>
    </w:p>
    <w:p w14:paraId="356D5107" w14:textId="24B68699" w:rsidR="00FA366A" w:rsidRPr="002C21B8" w:rsidRDefault="00FA366A" w:rsidP="003374F4">
      <w:pPr>
        <w:rPr>
          <w:sz w:val="20"/>
          <w:szCs w:val="20"/>
        </w:rPr>
      </w:pPr>
      <w:r w:rsidRPr="002C21B8">
        <w:rPr>
          <w:b/>
          <w:bCs/>
          <w:sz w:val="20"/>
          <w:szCs w:val="20"/>
        </w:rPr>
        <w:t>Review author:</w:t>
      </w:r>
      <w:r w:rsidRPr="002C21B8">
        <w:rPr>
          <w:sz w:val="20"/>
          <w:szCs w:val="20"/>
        </w:rPr>
        <w:t xml:space="preserve"> </w:t>
      </w:r>
      <w:r w:rsidRPr="002C21B8">
        <w:rPr>
          <w:sz w:val="20"/>
          <w:szCs w:val="20"/>
        </w:rPr>
        <w:tab/>
      </w:r>
      <w:r w:rsidR="003E2888" w:rsidRPr="002C21B8">
        <w:rPr>
          <w:sz w:val="20"/>
          <w:szCs w:val="20"/>
        </w:rPr>
        <w:tab/>
      </w:r>
      <w:r w:rsidR="003E2888" w:rsidRPr="002C21B8">
        <w:rPr>
          <w:sz w:val="20"/>
          <w:szCs w:val="20"/>
        </w:rPr>
        <w:tab/>
      </w:r>
      <w:r w:rsidRPr="002C21B8">
        <w:rPr>
          <w:sz w:val="20"/>
          <w:szCs w:val="20"/>
        </w:rPr>
        <w:tab/>
      </w:r>
      <w:r w:rsidRPr="002C21B8">
        <w:rPr>
          <w:sz w:val="20"/>
          <w:szCs w:val="20"/>
        </w:rPr>
        <w:tab/>
      </w:r>
      <w:r w:rsidRPr="002C21B8">
        <w:rPr>
          <w:sz w:val="20"/>
          <w:szCs w:val="20"/>
        </w:rPr>
        <w:tab/>
      </w:r>
      <w:r w:rsidRPr="002C21B8">
        <w:rPr>
          <w:sz w:val="20"/>
          <w:szCs w:val="20"/>
        </w:rPr>
        <w:tab/>
      </w:r>
      <w:r w:rsidRPr="002C21B8">
        <w:rPr>
          <w:sz w:val="20"/>
          <w:szCs w:val="20"/>
        </w:rPr>
        <w:tab/>
      </w:r>
      <w:r w:rsidRPr="002C21B8">
        <w:rPr>
          <w:b/>
          <w:bCs/>
          <w:sz w:val="20"/>
          <w:szCs w:val="20"/>
        </w:rPr>
        <w:t>Review data:</w:t>
      </w:r>
    </w:p>
    <w:p w14:paraId="3DCA59FA" w14:textId="77777777" w:rsidR="00FA366A" w:rsidRPr="002C21B8" w:rsidRDefault="00FA366A" w:rsidP="003374F4">
      <w:pPr>
        <w:rPr>
          <w:b/>
          <w:bCs/>
          <w:sz w:val="20"/>
          <w:szCs w:val="20"/>
        </w:rPr>
      </w:pPr>
      <w:r w:rsidRPr="002C21B8">
        <w:rPr>
          <w:b/>
          <w:bCs/>
          <w:sz w:val="20"/>
          <w:szCs w:val="20"/>
        </w:rPr>
        <w:t>Study features:</w:t>
      </w:r>
    </w:p>
    <w:tbl>
      <w:tblPr>
        <w:tblStyle w:val="TableGrid"/>
        <w:tblW w:w="9067" w:type="dxa"/>
        <w:tblLook w:val="04A0" w:firstRow="1" w:lastRow="0" w:firstColumn="1" w:lastColumn="0" w:noHBand="0" w:noVBand="1"/>
      </w:tblPr>
      <w:tblGrid>
        <w:gridCol w:w="2263"/>
        <w:gridCol w:w="6804"/>
      </w:tblGrid>
      <w:tr w:rsidR="00FA366A" w:rsidRPr="002C21B8" w14:paraId="1046FE5C" w14:textId="77777777" w:rsidTr="00960A9F">
        <w:tc>
          <w:tcPr>
            <w:tcW w:w="2263" w:type="dxa"/>
          </w:tcPr>
          <w:p w14:paraId="16EA9CE5" w14:textId="77777777" w:rsidR="00FA366A" w:rsidRPr="002C21B8" w:rsidRDefault="00FA366A" w:rsidP="00674473">
            <w:pPr>
              <w:spacing w:before="100" w:after="100" w:line="240" w:lineRule="auto"/>
              <w:rPr>
                <w:b/>
                <w:bCs/>
                <w:sz w:val="20"/>
                <w:szCs w:val="20"/>
              </w:rPr>
            </w:pPr>
            <w:r w:rsidRPr="002C21B8">
              <w:rPr>
                <w:b/>
                <w:bCs/>
                <w:sz w:val="20"/>
                <w:szCs w:val="20"/>
              </w:rPr>
              <w:t>Author</w:t>
            </w:r>
          </w:p>
        </w:tc>
        <w:tc>
          <w:tcPr>
            <w:tcW w:w="6804" w:type="dxa"/>
          </w:tcPr>
          <w:p w14:paraId="4191C533" w14:textId="15116DB3" w:rsidR="00FA366A" w:rsidRPr="002C21B8" w:rsidRDefault="00FA366A" w:rsidP="00674473">
            <w:pPr>
              <w:spacing w:before="100" w:after="100" w:line="240" w:lineRule="auto"/>
              <w:rPr>
                <w:sz w:val="20"/>
                <w:szCs w:val="20"/>
              </w:rPr>
            </w:pPr>
          </w:p>
        </w:tc>
      </w:tr>
      <w:tr w:rsidR="00FA366A" w:rsidRPr="002C21B8" w14:paraId="5160DA68" w14:textId="77777777" w:rsidTr="00960A9F">
        <w:tc>
          <w:tcPr>
            <w:tcW w:w="2263" w:type="dxa"/>
          </w:tcPr>
          <w:p w14:paraId="0E98D82E" w14:textId="77777777" w:rsidR="00FA366A" w:rsidRPr="002C21B8" w:rsidRDefault="00FA366A" w:rsidP="00674473">
            <w:pPr>
              <w:spacing w:before="100" w:after="100" w:line="240" w:lineRule="auto"/>
              <w:rPr>
                <w:b/>
                <w:bCs/>
                <w:sz w:val="20"/>
                <w:szCs w:val="20"/>
              </w:rPr>
            </w:pPr>
            <w:r w:rsidRPr="002C21B8">
              <w:rPr>
                <w:b/>
                <w:bCs/>
                <w:sz w:val="20"/>
                <w:szCs w:val="20"/>
              </w:rPr>
              <w:t>Title</w:t>
            </w:r>
          </w:p>
        </w:tc>
        <w:tc>
          <w:tcPr>
            <w:tcW w:w="6804" w:type="dxa"/>
          </w:tcPr>
          <w:p w14:paraId="18AA1E80" w14:textId="58AA30F6" w:rsidR="00FA366A" w:rsidRPr="002C21B8" w:rsidRDefault="00FA366A" w:rsidP="00674473">
            <w:pPr>
              <w:spacing w:before="100" w:after="100" w:line="240" w:lineRule="auto"/>
              <w:rPr>
                <w:sz w:val="20"/>
                <w:szCs w:val="20"/>
              </w:rPr>
            </w:pPr>
          </w:p>
        </w:tc>
      </w:tr>
      <w:tr w:rsidR="00FA366A" w:rsidRPr="002C21B8" w14:paraId="3FAF855D" w14:textId="77777777" w:rsidTr="00960A9F">
        <w:tc>
          <w:tcPr>
            <w:tcW w:w="2263" w:type="dxa"/>
          </w:tcPr>
          <w:p w14:paraId="0BA7B3AE" w14:textId="77777777" w:rsidR="00FA366A" w:rsidRPr="002C21B8" w:rsidRDefault="00FA366A" w:rsidP="00674473">
            <w:pPr>
              <w:spacing w:before="100" w:after="100" w:line="240" w:lineRule="auto"/>
              <w:rPr>
                <w:b/>
                <w:bCs/>
                <w:sz w:val="20"/>
                <w:szCs w:val="20"/>
              </w:rPr>
            </w:pPr>
            <w:r w:rsidRPr="002C21B8">
              <w:rPr>
                <w:b/>
                <w:bCs/>
                <w:sz w:val="20"/>
                <w:szCs w:val="20"/>
              </w:rPr>
              <w:t>Year of publication</w:t>
            </w:r>
          </w:p>
        </w:tc>
        <w:tc>
          <w:tcPr>
            <w:tcW w:w="6804" w:type="dxa"/>
          </w:tcPr>
          <w:p w14:paraId="3BA4E344" w14:textId="14252B68" w:rsidR="00FA366A" w:rsidRPr="002C21B8" w:rsidRDefault="00FA366A" w:rsidP="00674473">
            <w:pPr>
              <w:spacing w:before="100" w:after="100" w:line="240" w:lineRule="auto"/>
              <w:rPr>
                <w:sz w:val="20"/>
                <w:szCs w:val="20"/>
              </w:rPr>
            </w:pPr>
          </w:p>
        </w:tc>
      </w:tr>
      <w:tr w:rsidR="00FA366A" w:rsidRPr="002C21B8" w14:paraId="239455A8" w14:textId="77777777" w:rsidTr="00960A9F">
        <w:tc>
          <w:tcPr>
            <w:tcW w:w="2263" w:type="dxa"/>
          </w:tcPr>
          <w:p w14:paraId="4B9C1C92" w14:textId="77777777" w:rsidR="00FA366A" w:rsidRPr="002C21B8" w:rsidRDefault="00FA366A" w:rsidP="00674473">
            <w:pPr>
              <w:spacing w:before="100" w:after="100" w:line="240" w:lineRule="auto"/>
              <w:rPr>
                <w:b/>
                <w:bCs/>
                <w:sz w:val="20"/>
                <w:szCs w:val="20"/>
              </w:rPr>
            </w:pPr>
            <w:r w:rsidRPr="002C21B8">
              <w:rPr>
                <w:b/>
                <w:bCs/>
                <w:sz w:val="20"/>
                <w:szCs w:val="20"/>
              </w:rPr>
              <w:t>Journal</w:t>
            </w:r>
          </w:p>
        </w:tc>
        <w:tc>
          <w:tcPr>
            <w:tcW w:w="6804" w:type="dxa"/>
          </w:tcPr>
          <w:p w14:paraId="3F00FA6F" w14:textId="70FEE6AE" w:rsidR="00FA366A" w:rsidRPr="002C21B8" w:rsidRDefault="00FA366A" w:rsidP="00674473">
            <w:pPr>
              <w:spacing w:before="100" w:after="100" w:line="240" w:lineRule="auto"/>
              <w:rPr>
                <w:sz w:val="20"/>
                <w:szCs w:val="20"/>
              </w:rPr>
            </w:pPr>
          </w:p>
        </w:tc>
      </w:tr>
      <w:tr w:rsidR="00FA366A" w:rsidRPr="002C21B8" w14:paraId="1390E6B3" w14:textId="77777777" w:rsidTr="00960A9F">
        <w:tc>
          <w:tcPr>
            <w:tcW w:w="2263" w:type="dxa"/>
          </w:tcPr>
          <w:p w14:paraId="0CA6E600" w14:textId="77777777" w:rsidR="00FA366A" w:rsidRPr="002C21B8" w:rsidRDefault="00FA366A" w:rsidP="00674473">
            <w:pPr>
              <w:spacing w:before="100" w:after="100" w:line="240" w:lineRule="auto"/>
              <w:rPr>
                <w:b/>
                <w:bCs/>
                <w:sz w:val="20"/>
                <w:szCs w:val="20"/>
              </w:rPr>
            </w:pPr>
            <w:r w:rsidRPr="002C21B8">
              <w:rPr>
                <w:b/>
                <w:bCs/>
                <w:sz w:val="20"/>
                <w:szCs w:val="20"/>
              </w:rPr>
              <w:t>Country</w:t>
            </w:r>
          </w:p>
        </w:tc>
        <w:tc>
          <w:tcPr>
            <w:tcW w:w="6804" w:type="dxa"/>
          </w:tcPr>
          <w:p w14:paraId="79D24AEA" w14:textId="7DE4A05C" w:rsidR="00FA366A" w:rsidRPr="002C21B8" w:rsidRDefault="00FA366A" w:rsidP="00674473">
            <w:pPr>
              <w:spacing w:before="100" w:after="100" w:line="240" w:lineRule="auto"/>
              <w:rPr>
                <w:sz w:val="20"/>
                <w:szCs w:val="20"/>
              </w:rPr>
            </w:pPr>
          </w:p>
        </w:tc>
      </w:tr>
      <w:tr w:rsidR="00FA366A" w:rsidRPr="002C21B8" w14:paraId="4CBDD9CB" w14:textId="77777777" w:rsidTr="00960A9F">
        <w:tc>
          <w:tcPr>
            <w:tcW w:w="2263" w:type="dxa"/>
          </w:tcPr>
          <w:p w14:paraId="38EF25E3" w14:textId="77777777" w:rsidR="00FA366A" w:rsidRPr="002C21B8" w:rsidRDefault="00FA366A" w:rsidP="00674473">
            <w:pPr>
              <w:spacing w:before="100" w:after="100" w:line="240" w:lineRule="auto"/>
              <w:rPr>
                <w:b/>
                <w:bCs/>
                <w:sz w:val="20"/>
                <w:szCs w:val="20"/>
              </w:rPr>
            </w:pPr>
            <w:r w:rsidRPr="002C21B8">
              <w:rPr>
                <w:b/>
                <w:bCs/>
                <w:sz w:val="20"/>
                <w:szCs w:val="20"/>
              </w:rPr>
              <w:t>Publication type</w:t>
            </w:r>
          </w:p>
        </w:tc>
        <w:tc>
          <w:tcPr>
            <w:tcW w:w="6804" w:type="dxa"/>
          </w:tcPr>
          <w:p w14:paraId="498D4C88" w14:textId="46E8F311" w:rsidR="00FA366A" w:rsidRPr="002C21B8" w:rsidRDefault="00FA366A" w:rsidP="00674473">
            <w:pPr>
              <w:spacing w:before="100" w:after="100" w:line="240" w:lineRule="auto"/>
              <w:rPr>
                <w:sz w:val="20"/>
                <w:szCs w:val="20"/>
              </w:rPr>
            </w:pPr>
          </w:p>
        </w:tc>
      </w:tr>
    </w:tbl>
    <w:p w14:paraId="2A59192A" w14:textId="77777777" w:rsidR="00FA366A" w:rsidRPr="002C21B8" w:rsidRDefault="00FA366A" w:rsidP="003374F4">
      <w:pPr>
        <w:rPr>
          <w:sz w:val="8"/>
          <w:szCs w:val="8"/>
        </w:rPr>
      </w:pPr>
    </w:p>
    <w:p w14:paraId="3727209F" w14:textId="473AAEAD" w:rsidR="00FA366A" w:rsidRPr="002C21B8" w:rsidRDefault="00FA366A" w:rsidP="00E45623">
      <w:pPr>
        <w:spacing w:after="0"/>
        <w:rPr>
          <w:b/>
          <w:bCs/>
          <w:sz w:val="20"/>
          <w:szCs w:val="20"/>
        </w:rPr>
      </w:pPr>
      <w:r w:rsidRPr="002C21B8">
        <w:rPr>
          <w:b/>
          <w:bCs/>
          <w:sz w:val="20"/>
          <w:szCs w:val="20"/>
        </w:rPr>
        <w:t>Inclusion criteria</w:t>
      </w:r>
      <w:r w:rsidR="006B1AC6" w:rsidRPr="002C21B8">
        <w:rPr>
          <w:b/>
          <w:bCs/>
          <w:sz w:val="20"/>
          <w:szCs w:val="20"/>
        </w:rPr>
        <w:t>:</w:t>
      </w:r>
    </w:p>
    <w:tbl>
      <w:tblPr>
        <w:tblStyle w:val="TableGrid"/>
        <w:tblW w:w="9067" w:type="dxa"/>
        <w:tblLook w:val="04A0" w:firstRow="1" w:lastRow="0" w:firstColumn="1" w:lastColumn="0" w:noHBand="0" w:noVBand="1"/>
      </w:tblPr>
      <w:tblGrid>
        <w:gridCol w:w="5240"/>
        <w:gridCol w:w="3827"/>
      </w:tblGrid>
      <w:tr w:rsidR="00FA366A" w:rsidRPr="002C21B8" w14:paraId="3C956139" w14:textId="77777777" w:rsidTr="00960A9F">
        <w:tc>
          <w:tcPr>
            <w:tcW w:w="5240" w:type="dxa"/>
          </w:tcPr>
          <w:p w14:paraId="731B4EB9" w14:textId="77777777" w:rsidR="00FA366A" w:rsidRPr="002C21B8" w:rsidRDefault="00FA366A" w:rsidP="00674473">
            <w:pPr>
              <w:spacing w:before="100" w:after="100" w:line="240" w:lineRule="auto"/>
              <w:rPr>
                <w:b/>
                <w:bCs/>
                <w:sz w:val="20"/>
                <w:szCs w:val="20"/>
              </w:rPr>
            </w:pPr>
            <w:r w:rsidRPr="002C21B8">
              <w:rPr>
                <w:b/>
                <w:bCs/>
                <w:sz w:val="20"/>
                <w:szCs w:val="20"/>
              </w:rPr>
              <w:t>Adults only?</w:t>
            </w:r>
          </w:p>
        </w:tc>
        <w:tc>
          <w:tcPr>
            <w:tcW w:w="3827" w:type="dxa"/>
          </w:tcPr>
          <w:p w14:paraId="79A7FCAD" w14:textId="095671AE" w:rsidR="00FA366A" w:rsidRPr="002C21B8" w:rsidRDefault="00FA366A" w:rsidP="00674473">
            <w:pPr>
              <w:spacing w:before="100" w:after="100" w:line="240" w:lineRule="auto"/>
              <w:rPr>
                <w:b/>
                <w:bCs/>
                <w:sz w:val="20"/>
                <w:szCs w:val="20"/>
              </w:rPr>
            </w:pPr>
          </w:p>
        </w:tc>
      </w:tr>
      <w:tr w:rsidR="00FA366A" w:rsidRPr="002C21B8" w14:paraId="02DC8A45" w14:textId="77777777" w:rsidTr="00960A9F">
        <w:tc>
          <w:tcPr>
            <w:tcW w:w="5240" w:type="dxa"/>
          </w:tcPr>
          <w:p w14:paraId="49BFA298" w14:textId="77777777" w:rsidR="00FA366A" w:rsidRPr="002C21B8" w:rsidRDefault="00FA366A" w:rsidP="00674473">
            <w:pPr>
              <w:spacing w:before="100" w:after="100" w:line="240" w:lineRule="auto"/>
              <w:rPr>
                <w:b/>
                <w:bCs/>
                <w:sz w:val="20"/>
                <w:szCs w:val="20"/>
              </w:rPr>
            </w:pPr>
            <w:r w:rsidRPr="002C21B8">
              <w:rPr>
                <w:b/>
                <w:bCs/>
                <w:sz w:val="20"/>
                <w:szCs w:val="20"/>
              </w:rPr>
              <w:t>Chronic physical health condition?</w:t>
            </w:r>
          </w:p>
        </w:tc>
        <w:tc>
          <w:tcPr>
            <w:tcW w:w="3827" w:type="dxa"/>
          </w:tcPr>
          <w:p w14:paraId="57CD87B8" w14:textId="5453C85F" w:rsidR="00FA366A" w:rsidRPr="002C21B8" w:rsidRDefault="00FA366A" w:rsidP="00674473">
            <w:pPr>
              <w:spacing w:before="100" w:after="100" w:line="240" w:lineRule="auto"/>
              <w:rPr>
                <w:b/>
                <w:bCs/>
                <w:sz w:val="20"/>
                <w:szCs w:val="20"/>
              </w:rPr>
            </w:pPr>
          </w:p>
        </w:tc>
      </w:tr>
      <w:tr w:rsidR="00FA366A" w:rsidRPr="002C21B8" w14:paraId="2D27134F" w14:textId="77777777" w:rsidTr="00960A9F">
        <w:tc>
          <w:tcPr>
            <w:tcW w:w="5240" w:type="dxa"/>
          </w:tcPr>
          <w:p w14:paraId="61B1262C" w14:textId="77777777" w:rsidR="00FA366A" w:rsidRPr="002C21B8" w:rsidRDefault="00FA366A" w:rsidP="00674473">
            <w:pPr>
              <w:spacing w:before="100" w:after="100" w:line="240" w:lineRule="auto"/>
              <w:rPr>
                <w:b/>
                <w:bCs/>
                <w:sz w:val="20"/>
                <w:szCs w:val="20"/>
              </w:rPr>
            </w:pPr>
            <w:r w:rsidRPr="002C21B8">
              <w:rPr>
                <w:b/>
                <w:bCs/>
                <w:sz w:val="20"/>
                <w:szCs w:val="20"/>
              </w:rPr>
              <w:t>Long-term medication?</w:t>
            </w:r>
          </w:p>
        </w:tc>
        <w:tc>
          <w:tcPr>
            <w:tcW w:w="3827" w:type="dxa"/>
          </w:tcPr>
          <w:p w14:paraId="64124D29" w14:textId="2D3ACC24" w:rsidR="00FA366A" w:rsidRPr="002C21B8" w:rsidRDefault="00FA366A" w:rsidP="00674473">
            <w:pPr>
              <w:spacing w:before="100" w:after="100" w:line="240" w:lineRule="auto"/>
              <w:rPr>
                <w:b/>
                <w:bCs/>
                <w:sz w:val="20"/>
                <w:szCs w:val="20"/>
              </w:rPr>
            </w:pPr>
          </w:p>
        </w:tc>
      </w:tr>
      <w:tr w:rsidR="00FA366A" w:rsidRPr="002C21B8" w14:paraId="67223CE3" w14:textId="77777777" w:rsidTr="00960A9F">
        <w:tc>
          <w:tcPr>
            <w:tcW w:w="5240" w:type="dxa"/>
          </w:tcPr>
          <w:p w14:paraId="4F1C8960" w14:textId="77777777" w:rsidR="00FA366A" w:rsidRPr="002C21B8" w:rsidRDefault="00FA366A" w:rsidP="00674473">
            <w:pPr>
              <w:spacing w:before="100" w:after="100" w:line="240" w:lineRule="auto"/>
              <w:rPr>
                <w:b/>
                <w:bCs/>
                <w:sz w:val="20"/>
                <w:szCs w:val="20"/>
              </w:rPr>
            </w:pPr>
            <w:r w:rsidRPr="002C21B8">
              <w:rPr>
                <w:b/>
                <w:bCs/>
                <w:sz w:val="20"/>
                <w:szCs w:val="20"/>
              </w:rPr>
              <w:t>Factors influencing initiation?</w:t>
            </w:r>
          </w:p>
        </w:tc>
        <w:tc>
          <w:tcPr>
            <w:tcW w:w="3827" w:type="dxa"/>
          </w:tcPr>
          <w:p w14:paraId="14CF1340" w14:textId="43B63C92" w:rsidR="00FA366A" w:rsidRPr="002C21B8" w:rsidRDefault="00FA366A" w:rsidP="00674473">
            <w:pPr>
              <w:spacing w:before="100" w:after="100" w:line="240" w:lineRule="auto"/>
              <w:rPr>
                <w:b/>
                <w:bCs/>
                <w:sz w:val="20"/>
                <w:szCs w:val="20"/>
              </w:rPr>
            </w:pPr>
          </w:p>
        </w:tc>
      </w:tr>
      <w:tr w:rsidR="00FA366A" w:rsidRPr="002C21B8" w14:paraId="306A3272" w14:textId="77777777" w:rsidTr="00960A9F">
        <w:tc>
          <w:tcPr>
            <w:tcW w:w="5240" w:type="dxa"/>
          </w:tcPr>
          <w:p w14:paraId="2786CAF9" w14:textId="77777777" w:rsidR="00FA366A" w:rsidRPr="002C21B8" w:rsidRDefault="00FA366A" w:rsidP="00674473">
            <w:pPr>
              <w:spacing w:before="100" w:after="100" w:line="240" w:lineRule="auto"/>
              <w:rPr>
                <w:b/>
                <w:bCs/>
                <w:sz w:val="20"/>
                <w:szCs w:val="20"/>
              </w:rPr>
            </w:pPr>
            <w:r w:rsidRPr="002C21B8">
              <w:rPr>
                <w:b/>
                <w:bCs/>
                <w:sz w:val="20"/>
                <w:szCs w:val="20"/>
              </w:rPr>
              <w:t>Within date range (01/01/13-07/11/23)</w:t>
            </w:r>
          </w:p>
        </w:tc>
        <w:tc>
          <w:tcPr>
            <w:tcW w:w="3827" w:type="dxa"/>
          </w:tcPr>
          <w:p w14:paraId="79258B9E" w14:textId="413E8F6C" w:rsidR="00FA366A" w:rsidRPr="002C21B8" w:rsidRDefault="00FA366A" w:rsidP="00674473">
            <w:pPr>
              <w:spacing w:before="100" w:after="100" w:line="240" w:lineRule="auto"/>
              <w:rPr>
                <w:b/>
                <w:bCs/>
                <w:sz w:val="20"/>
                <w:szCs w:val="20"/>
              </w:rPr>
            </w:pPr>
          </w:p>
        </w:tc>
      </w:tr>
      <w:tr w:rsidR="00FA366A" w:rsidRPr="002C21B8" w14:paraId="258D4451" w14:textId="77777777" w:rsidTr="00960A9F">
        <w:tc>
          <w:tcPr>
            <w:tcW w:w="5240" w:type="dxa"/>
          </w:tcPr>
          <w:p w14:paraId="751E179A" w14:textId="77777777" w:rsidR="00FA366A" w:rsidRPr="002C21B8" w:rsidRDefault="00FA366A" w:rsidP="00674473">
            <w:pPr>
              <w:spacing w:before="100" w:after="100" w:line="240" w:lineRule="auto"/>
              <w:rPr>
                <w:b/>
                <w:bCs/>
                <w:sz w:val="20"/>
                <w:szCs w:val="20"/>
              </w:rPr>
            </w:pPr>
            <w:r w:rsidRPr="002C21B8">
              <w:rPr>
                <w:b/>
                <w:bCs/>
                <w:sz w:val="20"/>
                <w:szCs w:val="20"/>
              </w:rPr>
              <w:t>Systematic review?</w:t>
            </w:r>
          </w:p>
        </w:tc>
        <w:tc>
          <w:tcPr>
            <w:tcW w:w="3827" w:type="dxa"/>
          </w:tcPr>
          <w:p w14:paraId="1E7C6722" w14:textId="1810E8AB" w:rsidR="00FA366A" w:rsidRPr="002C21B8" w:rsidRDefault="00FA366A" w:rsidP="00674473">
            <w:pPr>
              <w:spacing w:before="100" w:after="100" w:line="240" w:lineRule="auto"/>
              <w:rPr>
                <w:b/>
                <w:bCs/>
                <w:sz w:val="20"/>
                <w:szCs w:val="20"/>
              </w:rPr>
            </w:pPr>
          </w:p>
        </w:tc>
      </w:tr>
    </w:tbl>
    <w:p w14:paraId="37829D69" w14:textId="77777777" w:rsidR="00FA366A" w:rsidRPr="002C21B8" w:rsidRDefault="00FA366A" w:rsidP="003374F4">
      <w:pPr>
        <w:rPr>
          <w:sz w:val="8"/>
          <w:szCs w:val="8"/>
        </w:rPr>
      </w:pPr>
    </w:p>
    <w:tbl>
      <w:tblPr>
        <w:tblStyle w:val="TableGrid"/>
        <w:tblW w:w="9067" w:type="dxa"/>
        <w:tblLook w:val="04A0" w:firstRow="1" w:lastRow="0" w:firstColumn="1" w:lastColumn="0" w:noHBand="0" w:noVBand="1"/>
      </w:tblPr>
      <w:tblGrid>
        <w:gridCol w:w="5240"/>
        <w:gridCol w:w="3827"/>
      </w:tblGrid>
      <w:tr w:rsidR="00FA366A" w:rsidRPr="002C21B8" w14:paraId="6744CC31" w14:textId="77777777" w:rsidTr="00960A9F">
        <w:tc>
          <w:tcPr>
            <w:tcW w:w="5240" w:type="dxa"/>
          </w:tcPr>
          <w:p w14:paraId="28DD91A6" w14:textId="77777777" w:rsidR="00FA366A" w:rsidRPr="002C21B8" w:rsidRDefault="00FA366A" w:rsidP="00674473">
            <w:pPr>
              <w:spacing w:before="100" w:after="100" w:line="240" w:lineRule="auto"/>
              <w:rPr>
                <w:b/>
                <w:bCs/>
                <w:sz w:val="20"/>
                <w:szCs w:val="20"/>
              </w:rPr>
            </w:pPr>
            <w:r w:rsidRPr="002C21B8">
              <w:rPr>
                <w:b/>
                <w:bCs/>
                <w:sz w:val="20"/>
                <w:szCs w:val="20"/>
              </w:rPr>
              <w:t>Decision</w:t>
            </w:r>
          </w:p>
        </w:tc>
        <w:tc>
          <w:tcPr>
            <w:tcW w:w="3827" w:type="dxa"/>
          </w:tcPr>
          <w:p w14:paraId="5729523D" w14:textId="5BBAB811" w:rsidR="00FA366A" w:rsidRPr="002C21B8" w:rsidRDefault="00FA366A" w:rsidP="00674473">
            <w:pPr>
              <w:spacing w:before="100" w:after="100" w:line="240" w:lineRule="auto"/>
              <w:rPr>
                <w:b/>
                <w:bCs/>
                <w:sz w:val="20"/>
                <w:szCs w:val="20"/>
              </w:rPr>
            </w:pPr>
          </w:p>
        </w:tc>
      </w:tr>
    </w:tbl>
    <w:p w14:paraId="419B68A3" w14:textId="77777777" w:rsidR="0017451B" w:rsidRPr="002C21B8" w:rsidRDefault="0017451B" w:rsidP="003374F4">
      <w:pPr>
        <w:rPr>
          <w:sz w:val="20"/>
          <w:szCs w:val="20"/>
        </w:rPr>
      </w:pPr>
    </w:p>
    <w:p w14:paraId="555A726E" w14:textId="50CC1DAD" w:rsidR="00FA366A" w:rsidRPr="002C21B8" w:rsidRDefault="00FA366A" w:rsidP="003374F4">
      <w:pPr>
        <w:rPr>
          <w:b/>
          <w:bCs/>
          <w:sz w:val="20"/>
          <w:szCs w:val="20"/>
        </w:rPr>
      </w:pPr>
      <w:r w:rsidRPr="002C21B8">
        <w:rPr>
          <w:b/>
          <w:bCs/>
          <w:sz w:val="20"/>
          <w:szCs w:val="20"/>
        </w:rPr>
        <w:t>IF THE STUDY DOES NOT MEET THE ABOVE CRITERIA, IT SHOULD NOT BE CONSIDERED FURTHER</w:t>
      </w:r>
    </w:p>
    <w:p w14:paraId="142F8A0D" w14:textId="77777777" w:rsidR="00E45623" w:rsidRPr="002C21B8" w:rsidRDefault="00E45623" w:rsidP="003374F4">
      <w:pPr>
        <w:rPr>
          <w:b/>
          <w:bCs/>
          <w:sz w:val="20"/>
          <w:szCs w:val="20"/>
        </w:rPr>
      </w:pPr>
    </w:p>
    <w:p w14:paraId="03EFA1D3" w14:textId="77777777" w:rsidR="00E45623" w:rsidRPr="002C21B8" w:rsidRDefault="00E45623" w:rsidP="003374F4">
      <w:pPr>
        <w:rPr>
          <w:b/>
          <w:bCs/>
          <w:sz w:val="20"/>
          <w:szCs w:val="20"/>
        </w:rPr>
      </w:pPr>
    </w:p>
    <w:p w14:paraId="2E5436EC" w14:textId="77777777" w:rsidR="00E45623" w:rsidRPr="002C21B8" w:rsidRDefault="00E45623" w:rsidP="003374F4">
      <w:pPr>
        <w:rPr>
          <w:b/>
          <w:bCs/>
          <w:sz w:val="20"/>
          <w:szCs w:val="20"/>
        </w:rPr>
      </w:pPr>
    </w:p>
    <w:p w14:paraId="048A3D49" w14:textId="77777777" w:rsidR="00832573" w:rsidRPr="002C21B8" w:rsidRDefault="00832573" w:rsidP="003374F4">
      <w:pPr>
        <w:rPr>
          <w:b/>
          <w:bCs/>
          <w:sz w:val="20"/>
          <w:szCs w:val="20"/>
        </w:rPr>
      </w:pPr>
    </w:p>
    <w:p w14:paraId="09E4BEC1" w14:textId="1B1FCEFB" w:rsidR="00FA366A" w:rsidRPr="002C21B8" w:rsidRDefault="00FA366A" w:rsidP="00E45623">
      <w:pPr>
        <w:spacing w:after="0"/>
        <w:rPr>
          <w:b/>
          <w:bCs/>
          <w:sz w:val="20"/>
          <w:szCs w:val="20"/>
        </w:rPr>
      </w:pPr>
      <w:r w:rsidRPr="002C21B8">
        <w:rPr>
          <w:b/>
          <w:bCs/>
          <w:sz w:val="20"/>
          <w:szCs w:val="20"/>
        </w:rPr>
        <w:t>Review aims and scope</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4147BFC4" w14:textId="77777777" w:rsidTr="00960A9F">
        <w:tc>
          <w:tcPr>
            <w:tcW w:w="3048" w:type="dxa"/>
          </w:tcPr>
          <w:p w14:paraId="2776AEF5" w14:textId="77777777" w:rsidR="00FA366A" w:rsidRPr="002C21B8" w:rsidRDefault="00FA366A" w:rsidP="00674473">
            <w:pPr>
              <w:spacing w:before="100" w:after="100" w:line="240" w:lineRule="auto"/>
              <w:rPr>
                <w:b/>
                <w:bCs/>
                <w:sz w:val="20"/>
                <w:szCs w:val="20"/>
              </w:rPr>
            </w:pPr>
            <w:r w:rsidRPr="002C21B8">
              <w:rPr>
                <w:b/>
                <w:bCs/>
                <w:sz w:val="20"/>
                <w:szCs w:val="20"/>
              </w:rPr>
              <w:t>Aims and objectives</w:t>
            </w:r>
          </w:p>
        </w:tc>
        <w:tc>
          <w:tcPr>
            <w:tcW w:w="5968" w:type="dxa"/>
          </w:tcPr>
          <w:p w14:paraId="0F22B35D" w14:textId="7A99D1BB" w:rsidR="00FA366A" w:rsidRPr="002C21B8" w:rsidRDefault="00FA366A" w:rsidP="00674473">
            <w:pPr>
              <w:spacing w:before="100" w:after="100" w:line="240" w:lineRule="auto"/>
              <w:rPr>
                <w:b/>
                <w:bCs/>
                <w:sz w:val="20"/>
                <w:szCs w:val="20"/>
              </w:rPr>
            </w:pPr>
          </w:p>
        </w:tc>
      </w:tr>
      <w:tr w:rsidR="00FA366A" w:rsidRPr="002C21B8" w14:paraId="455ED11A" w14:textId="77777777" w:rsidTr="00960A9F">
        <w:tc>
          <w:tcPr>
            <w:tcW w:w="3048" w:type="dxa"/>
          </w:tcPr>
          <w:p w14:paraId="789498E4" w14:textId="77777777" w:rsidR="00FA366A" w:rsidRPr="002C21B8" w:rsidRDefault="00FA366A" w:rsidP="00674473">
            <w:pPr>
              <w:spacing w:before="100" w:after="100" w:line="240" w:lineRule="auto"/>
              <w:rPr>
                <w:b/>
                <w:bCs/>
                <w:sz w:val="20"/>
                <w:szCs w:val="20"/>
              </w:rPr>
            </w:pPr>
            <w:r w:rsidRPr="002C21B8">
              <w:rPr>
                <w:b/>
                <w:bCs/>
                <w:sz w:val="20"/>
                <w:szCs w:val="20"/>
              </w:rPr>
              <w:t>Disease area</w:t>
            </w:r>
          </w:p>
        </w:tc>
        <w:tc>
          <w:tcPr>
            <w:tcW w:w="5968" w:type="dxa"/>
          </w:tcPr>
          <w:p w14:paraId="77BA6919" w14:textId="7A0FDD41" w:rsidR="00FA366A" w:rsidRPr="002C21B8" w:rsidRDefault="00FA366A" w:rsidP="00674473">
            <w:pPr>
              <w:spacing w:before="100" w:after="100" w:line="240" w:lineRule="auto"/>
              <w:rPr>
                <w:b/>
                <w:bCs/>
                <w:sz w:val="20"/>
                <w:szCs w:val="20"/>
              </w:rPr>
            </w:pPr>
          </w:p>
        </w:tc>
      </w:tr>
      <w:tr w:rsidR="00FA366A" w:rsidRPr="002C21B8" w14:paraId="0981EF03" w14:textId="77777777" w:rsidTr="00960A9F">
        <w:tc>
          <w:tcPr>
            <w:tcW w:w="3048" w:type="dxa"/>
          </w:tcPr>
          <w:p w14:paraId="6188B75F" w14:textId="77777777" w:rsidR="00FA366A" w:rsidRPr="002C21B8" w:rsidRDefault="00FA366A" w:rsidP="00674473">
            <w:pPr>
              <w:spacing w:before="100" w:after="100" w:line="240" w:lineRule="auto"/>
              <w:rPr>
                <w:b/>
                <w:bCs/>
                <w:sz w:val="20"/>
                <w:szCs w:val="20"/>
              </w:rPr>
            </w:pPr>
            <w:r w:rsidRPr="002C21B8">
              <w:rPr>
                <w:b/>
                <w:bCs/>
                <w:sz w:val="20"/>
                <w:szCs w:val="20"/>
              </w:rPr>
              <w:t>Phenomenon of interest</w:t>
            </w:r>
          </w:p>
        </w:tc>
        <w:tc>
          <w:tcPr>
            <w:tcW w:w="5968" w:type="dxa"/>
          </w:tcPr>
          <w:p w14:paraId="54EFAB0D" w14:textId="4DA7FD39" w:rsidR="00FA366A" w:rsidRPr="002C21B8" w:rsidRDefault="00FA366A" w:rsidP="00674473">
            <w:pPr>
              <w:spacing w:before="100" w:after="100" w:line="240" w:lineRule="auto"/>
              <w:rPr>
                <w:b/>
                <w:bCs/>
                <w:sz w:val="20"/>
                <w:szCs w:val="20"/>
              </w:rPr>
            </w:pPr>
          </w:p>
        </w:tc>
      </w:tr>
      <w:tr w:rsidR="00FA366A" w:rsidRPr="002C21B8" w14:paraId="0525BEBE" w14:textId="77777777" w:rsidTr="00960A9F">
        <w:tc>
          <w:tcPr>
            <w:tcW w:w="3048" w:type="dxa"/>
          </w:tcPr>
          <w:p w14:paraId="58BAFF09" w14:textId="77777777" w:rsidR="00FA366A" w:rsidRPr="002C21B8" w:rsidRDefault="00FA366A" w:rsidP="00674473">
            <w:pPr>
              <w:spacing w:before="100" w:after="100" w:line="240" w:lineRule="auto"/>
              <w:rPr>
                <w:b/>
                <w:bCs/>
                <w:sz w:val="20"/>
                <w:szCs w:val="20"/>
              </w:rPr>
            </w:pPr>
            <w:r w:rsidRPr="002C21B8">
              <w:rPr>
                <w:b/>
                <w:bCs/>
                <w:sz w:val="20"/>
                <w:szCs w:val="20"/>
              </w:rPr>
              <w:t>Healthcare setting(s)</w:t>
            </w:r>
          </w:p>
        </w:tc>
        <w:tc>
          <w:tcPr>
            <w:tcW w:w="5968" w:type="dxa"/>
          </w:tcPr>
          <w:p w14:paraId="18D6D7E9" w14:textId="40AA623A" w:rsidR="00FA366A" w:rsidRPr="002C21B8" w:rsidRDefault="00FA366A" w:rsidP="00674473">
            <w:pPr>
              <w:spacing w:before="100" w:after="100" w:line="240" w:lineRule="auto"/>
              <w:rPr>
                <w:b/>
                <w:bCs/>
                <w:sz w:val="20"/>
                <w:szCs w:val="20"/>
              </w:rPr>
            </w:pPr>
          </w:p>
        </w:tc>
      </w:tr>
    </w:tbl>
    <w:p w14:paraId="0E1B02AF" w14:textId="77777777" w:rsidR="00FA366A" w:rsidRPr="002C21B8" w:rsidRDefault="00FA366A" w:rsidP="003374F4">
      <w:pPr>
        <w:rPr>
          <w:sz w:val="8"/>
          <w:szCs w:val="8"/>
        </w:rPr>
      </w:pPr>
    </w:p>
    <w:p w14:paraId="3D42B4B0" w14:textId="5882CBA7" w:rsidR="00FA366A" w:rsidRPr="002C21B8" w:rsidRDefault="00FA366A" w:rsidP="00E45623">
      <w:pPr>
        <w:spacing w:after="0"/>
        <w:rPr>
          <w:b/>
          <w:bCs/>
          <w:sz w:val="20"/>
          <w:szCs w:val="20"/>
        </w:rPr>
      </w:pPr>
      <w:r w:rsidRPr="002C21B8">
        <w:rPr>
          <w:b/>
          <w:bCs/>
          <w:sz w:val="20"/>
          <w:szCs w:val="20"/>
        </w:rPr>
        <w:t>Eligibility criteria</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3EF4ABC2" w14:textId="77777777" w:rsidTr="00960A9F">
        <w:tc>
          <w:tcPr>
            <w:tcW w:w="3048" w:type="dxa"/>
          </w:tcPr>
          <w:p w14:paraId="431A97DB" w14:textId="77777777" w:rsidR="00FA366A" w:rsidRPr="002C21B8" w:rsidRDefault="00FA366A" w:rsidP="00674473">
            <w:pPr>
              <w:spacing w:before="100" w:after="100" w:line="240" w:lineRule="auto"/>
              <w:rPr>
                <w:b/>
                <w:bCs/>
                <w:sz w:val="20"/>
                <w:szCs w:val="20"/>
              </w:rPr>
            </w:pPr>
            <w:r w:rsidRPr="002C21B8">
              <w:rPr>
                <w:b/>
                <w:bCs/>
                <w:sz w:val="20"/>
                <w:szCs w:val="20"/>
              </w:rPr>
              <w:t>Population</w:t>
            </w:r>
          </w:p>
        </w:tc>
        <w:tc>
          <w:tcPr>
            <w:tcW w:w="5968" w:type="dxa"/>
          </w:tcPr>
          <w:p w14:paraId="6E40972E" w14:textId="638721D6" w:rsidR="00FA366A" w:rsidRPr="002C21B8" w:rsidRDefault="00FA366A" w:rsidP="00674473">
            <w:pPr>
              <w:spacing w:before="100" w:after="100" w:line="240" w:lineRule="auto"/>
              <w:rPr>
                <w:b/>
                <w:bCs/>
                <w:sz w:val="20"/>
                <w:szCs w:val="20"/>
              </w:rPr>
            </w:pPr>
          </w:p>
        </w:tc>
      </w:tr>
      <w:tr w:rsidR="00FA366A" w:rsidRPr="002C21B8" w14:paraId="759184A0" w14:textId="77777777" w:rsidTr="00960A9F">
        <w:tc>
          <w:tcPr>
            <w:tcW w:w="3048" w:type="dxa"/>
          </w:tcPr>
          <w:p w14:paraId="4B6E0878" w14:textId="77777777" w:rsidR="00FA366A" w:rsidRPr="002C21B8" w:rsidRDefault="00FA366A" w:rsidP="00674473">
            <w:pPr>
              <w:spacing w:before="100" w:after="100" w:line="240" w:lineRule="auto"/>
              <w:rPr>
                <w:b/>
                <w:bCs/>
                <w:sz w:val="20"/>
                <w:szCs w:val="20"/>
              </w:rPr>
            </w:pPr>
            <w:r w:rsidRPr="002C21B8">
              <w:rPr>
                <w:b/>
                <w:bCs/>
                <w:sz w:val="20"/>
                <w:szCs w:val="20"/>
              </w:rPr>
              <w:t>Intervention/Exposure</w:t>
            </w:r>
          </w:p>
        </w:tc>
        <w:tc>
          <w:tcPr>
            <w:tcW w:w="5968" w:type="dxa"/>
          </w:tcPr>
          <w:p w14:paraId="5747B903" w14:textId="5229F59E" w:rsidR="00FA366A" w:rsidRPr="002C21B8" w:rsidRDefault="00FA366A" w:rsidP="00674473">
            <w:pPr>
              <w:spacing w:before="100" w:after="100" w:line="240" w:lineRule="auto"/>
              <w:rPr>
                <w:b/>
                <w:bCs/>
                <w:sz w:val="20"/>
                <w:szCs w:val="20"/>
              </w:rPr>
            </w:pPr>
          </w:p>
        </w:tc>
      </w:tr>
      <w:tr w:rsidR="00FA366A" w:rsidRPr="002C21B8" w14:paraId="056BFC8D" w14:textId="77777777" w:rsidTr="00960A9F">
        <w:tc>
          <w:tcPr>
            <w:tcW w:w="3048" w:type="dxa"/>
          </w:tcPr>
          <w:p w14:paraId="6A99D47A" w14:textId="77777777" w:rsidR="00FA366A" w:rsidRPr="002C21B8" w:rsidRDefault="00FA366A" w:rsidP="00674473">
            <w:pPr>
              <w:spacing w:before="100" w:after="100" w:line="240" w:lineRule="auto"/>
              <w:rPr>
                <w:b/>
                <w:bCs/>
                <w:sz w:val="20"/>
                <w:szCs w:val="20"/>
              </w:rPr>
            </w:pPr>
            <w:r w:rsidRPr="002C21B8">
              <w:rPr>
                <w:b/>
                <w:bCs/>
                <w:sz w:val="20"/>
                <w:szCs w:val="20"/>
              </w:rPr>
              <w:t>Comparison</w:t>
            </w:r>
          </w:p>
        </w:tc>
        <w:tc>
          <w:tcPr>
            <w:tcW w:w="5968" w:type="dxa"/>
          </w:tcPr>
          <w:p w14:paraId="2A792ACE" w14:textId="2EC0974D" w:rsidR="00FA366A" w:rsidRPr="002C21B8" w:rsidRDefault="00FA366A" w:rsidP="00674473">
            <w:pPr>
              <w:spacing w:before="100" w:after="100" w:line="240" w:lineRule="auto"/>
              <w:rPr>
                <w:b/>
                <w:bCs/>
                <w:sz w:val="20"/>
                <w:szCs w:val="20"/>
              </w:rPr>
            </w:pPr>
          </w:p>
        </w:tc>
      </w:tr>
      <w:tr w:rsidR="00FA366A" w:rsidRPr="002C21B8" w14:paraId="582B1E0C" w14:textId="77777777" w:rsidTr="00960A9F">
        <w:tc>
          <w:tcPr>
            <w:tcW w:w="3048" w:type="dxa"/>
          </w:tcPr>
          <w:p w14:paraId="1AC46D4A" w14:textId="77777777" w:rsidR="00FA366A" w:rsidRPr="002C21B8" w:rsidRDefault="00FA366A" w:rsidP="00674473">
            <w:pPr>
              <w:spacing w:before="100" w:after="100" w:line="240" w:lineRule="auto"/>
              <w:rPr>
                <w:b/>
                <w:bCs/>
                <w:sz w:val="20"/>
                <w:szCs w:val="20"/>
              </w:rPr>
            </w:pPr>
            <w:r w:rsidRPr="002C21B8">
              <w:rPr>
                <w:b/>
                <w:bCs/>
                <w:sz w:val="20"/>
                <w:szCs w:val="20"/>
              </w:rPr>
              <w:t>Outcomes/focus</w:t>
            </w:r>
          </w:p>
        </w:tc>
        <w:tc>
          <w:tcPr>
            <w:tcW w:w="5968" w:type="dxa"/>
          </w:tcPr>
          <w:p w14:paraId="7CA16EF8" w14:textId="2D7923D7" w:rsidR="00FA366A" w:rsidRPr="002C21B8" w:rsidRDefault="00FA366A" w:rsidP="00674473">
            <w:pPr>
              <w:spacing w:before="100" w:after="100" w:line="240" w:lineRule="auto"/>
              <w:rPr>
                <w:b/>
                <w:bCs/>
                <w:sz w:val="20"/>
                <w:szCs w:val="20"/>
              </w:rPr>
            </w:pPr>
          </w:p>
        </w:tc>
      </w:tr>
      <w:tr w:rsidR="00FA366A" w:rsidRPr="002C21B8" w14:paraId="7A3940E4" w14:textId="77777777" w:rsidTr="00960A9F">
        <w:tc>
          <w:tcPr>
            <w:tcW w:w="3048" w:type="dxa"/>
          </w:tcPr>
          <w:p w14:paraId="092C993D" w14:textId="77777777" w:rsidR="00FA366A" w:rsidRPr="002C21B8" w:rsidRDefault="00FA366A" w:rsidP="00674473">
            <w:pPr>
              <w:spacing w:before="100" w:after="100" w:line="240" w:lineRule="auto"/>
              <w:rPr>
                <w:b/>
                <w:bCs/>
                <w:sz w:val="20"/>
                <w:szCs w:val="20"/>
              </w:rPr>
            </w:pPr>
            <w:r w:rsidRPr="002C21B8">
              <w:rPr>
                <w:b/>
                <w:bCs/>
                <w:sz w:val="20"/>
                <w:szCs w:val="20"/>
              </w:rPr>
              <w:t>Study</w:t>
            </w:r>
          </w:p>
        </w:tc>
        <w:tc>
          <w:tcPr>
            <w:tcW w:w="5968" w:type="dxa"/>
          </w:tcPr>
          <w:p w14:paraId="0EFF7BB3" w14:textId="1B60B1CB" w:rsidR="00FA366A" w:rsidRPr="002C21B8" w:rsidRDefault="00FA366A" w:rsidP="00674473">
            <w:pPr>
              <w:spacing w:before="100" w:after="100" w:line="240" w:lineRule="auto"/>
              <w:rPr>
                <w:b/>
                <w:bCs/>
                <w:sz w:val="20"/>
                <w:szCs w:val="20"/>
              </w:rPr>
            </w:pPr>
          </w:p>
        </w:tc>
      </w:tr>
    </w:tbl>
    <w:p w14:paraId="75259B04" w14:textId="77777777" w:rsidR="00417D4B" w:rsidRPr="002C21B8" w:rsidRDefault="00417D4B" w:rsidP="003374F4">
      <w:pPr>
        <w:rPr>
          <w:sz w:val="8"/>
          <w:szCs w:val="8"/>
        </w:rPr>
      </w:pPr>
    </w:p>
    <w:p w14:paraId="734DAB89" w14:textId="492D247C" w:rsidR="00FA366A" w:rsidRPr="002C21B8" w:rsidRDefault="00FA366A" w:rsidP="00E45623">
      <w:pPr>
        <w:spacing w:after="0"/>
        <w:rPr>
          <w:b/>
          <w:bCs/>
          <w:sz w:val="20"/>
          <w:szCs w:val="20"/>
        </w:rPr>
      </w:pPr>
      <w:r w:rsidRPr="002C21B8">
        <w:rPr>
          <w:b/>
          <w:bCs/>
          <w:sz w:val="20"/>
          <w:szCs w:val="20"/>
        </w:rPr>
        <w:t>Search characteristics</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24BD9F4C" w14:textId="77777777" w:rsidTr="00960A9F">
        <w:tc>
          <w:tcPr>
            <w:tcW w:w="3048" w:type="dxa"/>
          </w:tcPr>
          <w:p w14:paraId="05BAADF2" w14:textId="77777777" w:rsidR="00FA366A" w:rsidRPr="002C21B8" w:rsidRDefault="00FA366A" w:rsidP="00674473">
            <w:pPr>
              <w:spacing w:before="100" w:after="100" w:line="240" w:lineRule="auto"/>
              <w:rPr>
                <w:b/>
                <w:bCs/>
                <w:sz w:val="20"/>
                <w:szCs w:val="20"/>
              </w:rPr>
            </w:pPr>
            <w:r w:rsidRPr="002C21B8">
              <w:rPr>
                <w:b/>
                <w:bCs/>
                <w:sz w:val="20"/>
                <w:szCs w:val="20"/>
              </w:rPr>
              <w:t>Databases searched</w:t>
            </w:r>
          </w:p>
        </w:tc>
        <w:tc>
          <w:tcPr>
            <w:tcW w:w="5968" w:type="dxa"/>
          </w:tcPr>
          <w:p w14:paraId="65AFCFA3" w14:textId="6791858C" w:rsidR="00FA366A" w:rsidRPr="002C21B8" w:rsidRDefault="00FA366A" w:rsidP="00674473">
            <w:pPr>
              <w:spacing w:before="100" w:after="100" w:line="240" w:lineRule="auto"/>
              <w:rPr>
                <w:b/>
                <w:bCs/>
                <w:sz w:val="20"/>
                <w:szCs w:val="20"/>
              </w:rPr>
            </w:pPr>
          </w:p>
        </w:tc>
      </w:tr>
      <w:tr w:rsidR="00FA366A" w:rsidRPr="002C21B8" w14:paraId="3DED42A6" w14:textId="77777777" w:rsidTr="00960A9F">
        <w:tc>
          <w:tcPr>
            <w:tcW w:w="3048" w:type="dxa"/>
          </w:tcPr>
          <w:p w14:paraId="1994DC7C" w14:textId="77777777" w:rsidR="00FA366A" w:rsidRPr="002C21B8" w:rsidRDefault="00FA366A" w:rsidP="00674473">
            <w:pPr>
              <w:spacing w:before="100" w:after="100" w:line="240" w:lineRule="auto"/>
              <w:rPr>
                <w:b/>
                <w:bCs/>
                <w:sz w:val="20"/>
                <w:szCs w:val="20"/>
              </w:rPr>
            </w:pPr>
            <w:r w:rsidRPr="002C21B8">
              <w:rPr>
                <w:b/>
                <w:bCs/>
                <w:sz w:val="20"/>
                <w:szCs w:val="20"/>
              </w:rPr>
              <w:t>Date range of search</w:t>
            </w:r>
          </w:p>
        </w:tc>
        <w:tc>
          <w:tcPr>
            <w:tcW w:w="5968" w:type="dxa"/>
          </w:tcPr>
          <w:p w14:paraId="7EDB4B86" w14:textId="54BD2CAA" w:rsidR="00FA366A" w:rsidRPr="002C21B8" w:rsidRDefault="00FA366A" w:rsidP="00674473">
            <w:pPr>
              <w:spacing w:before="100" w:after="100" w:line="240" w:lineRule="auto"/>
              <w:rPr>
                <w:b/>
                <w:bCs/>
                <w:sz w:val="20"/>
                <w:szCs w:val="20"/>
              </w:rPr>
            </w:pPr>
          </w:p>
        </w:tc>
      </w:tr>
    </w:tbl>
    <w:p w14:paraId="439BC04D" w14:textId="77777777" w:rsidR="0017451B" w:rsidRPr="002C21B8" w:rsidRDefault="0017451B" w:rsidP="003374F4">
      <w:pPr>
        <w:rPr>
          <w:sz w:val="8"/>
          <w:szCs w:val="8"/>
        </w:rPr>
      </w:pPr>
    </w:p>
    <w:p w14:paraId="18770057" w14:textId="63DD9312" w:rsidR="00FA366A" w:rsidRPr="002C21B8" w:rsidRDefault="00FA366A" w:rsidP="00E45623">
      <w:pPr>
        <w:spacing w:after="0"/>
        <w:rPr>
          <w:b/>
          <w:bCs/>
          <w:sz w:val="20"/>
          <w:szCs w:val="20"/>
        </w:rPr>
      </w:pPr>
      <w:r w:rsidRPr="002C21B8">
        <w:rPr>
          <w:b/>
          <w:bCs/>
          <w:sz w:val="20"/>
          <w:szCs w:val="20"/>
        </w:rPr>
        <w:t>Included evidence base</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5C09501E" w14:textId="77777777" w:rsidTr="00960A9F">
        <w:tc>
          <w:tcPr>
            <w:tcW w:w="3048" w:type="dxa"/>
          </w:tcPr>
          <w:p w14:paraId="2854CA45" w14:textId="77777777" w:rsidR="00FA366A" w:rsidRPr="002C21B8" w:rsidRDefault="00FA366A" w:rsidP="00674473">
            <w:pPr>
              <w:spacing w:before="100" w:after="100" w:line="240" w:lineRule="auto"/>
              <w:rPr>
                <w:b/>
                <w:bCs/>
                <w:sz w:val="20"/>
                <w:szCs w:val="20"/>
              </w:rPr>
            </w:pPr>
            <w:r w:rsidRPr="002C21B8">
              <w:rPr>
                <w:b/>
                <w:bCs/>
                <w:sz w:val="20"/>
                <w:szCs w:val="20"/>
              </w:rPr>
              <w:t>Number of included primary studies</w:t>
            </w:r>
          </w:p>
        </w:tc>
        <w:tc>
          <w:tcPr>
            <w:tcW w:w="5968" w:type="dxa"/>
          </w:tcPr>
          <w:p w14:paraId="57E0898A" w14:textId="786769AB" w:rsidR="00FA366A" w:rsidRPr="002C21B8" w:rsidRDefault="00FA366A" w:rsidP="00674473">
            <w:pPr>
              <w:spacing w:before="100" w:after="100" w:line="240" w:lineRule="auto"/>
              <w:rPr>
                <w:b/>
                <w:bCs/>
                <w:sz w:val="20"/>
                <w:szCs w:val="20"/>
              </w:rPr>
            </w:pPr>
          </w:p>
        </w:tc>
      </w:tr>
      <w:tr w:rsidR="00FA366A" w:rsidRPr="002C21B8" w14:paraId="0E3E6D0F" w14:textId="77777777" w:rsidTr="00960A9F">
        <w:tc>
          <w:tcPr>
            <w:tcW w:w="3048" w:type="dxa"/>
          </w:tcPr>
          <w:p w14:paraId="6C5378B2" w14:textId="77777777" w:rsidR="00FA366A" w:rsidRPr="002C21B8" w:rsidRDefault="00FA366A" w:rsidP="00674473">
            <w:pPr>
              <w:spacing w:before="100" w:after="100" w:line="240" w:lineRule="auto"/>
              <w:rPr>
                <w:b/>
                <w:bCs/>
                <w:sz w:val="20"/>
                <w:szCs w:val="20"/>
              </w:rPr>
            </w:pPr>
            <w:r w:rsidRPr="002C21B8">
              <w:rPr>
                <w:b/>
                <w:bCs/>
                <w:sz w:val="20"/>
                <w:szCs w:val="20"/>
              </w:rPr>
              <w:t>Origin of primary studies</w:t>
            </w:r>
          </w:p>
        </w:tc>
        <w:tc>
          <w:tcPr>
            <w:tcW w:w="5968" w:type="dxa"/>
          </w:tcPr>
          <w:p w14:paraId="594A30C9" w14:textId="324DC540" w:rsidR="00FA366A" w:rsidRPr="002C21B8" w:rsidRDefault="00FA366A" w:rsidP="00674473">
            <w:pPr>
              <w:spacing w:before="100" w:after="100" w:line="240" w:lineRule="auto"/>
              <w:rPr>
                <w:b/>
                <w:bCs/>
                <w:sz w:val="20"/>
                <w:szCs w:val="20"/>
              </w:rPr>
            </w:pPr>
          </w:p>
        </w:tc>
      </w:tr>
      <w:tr w:rsidR="00FA366A" w:rsidRPr="002C21B8" w14:paraId="5556B340" w14:textId="77777777" w:rsidTr="00960A9F">
        <w:tc>
          <w:tcPr>
            <w:tcW w:w="3048" w:type="dxa"/>
          </w:tcPr>
          <w:p w14:paraId="0BEA8A5B" w14:textId="77777777" w:rsidR="00FA366A" w:rsidRPr="002C21B8" w:rsidRDefault="00FA366A" w:rsidP="00674473">
            <w:pPr>
              <w:spacing w:before="100" w:after="100" w:line="240" w:lineRule="auto"/>
              <w:rPr>
                <w:b/>
                <w:bCs/>
                <w:sz w:val="20"/>
                <w:szCs w:val="20"/>
              </w:rPr>
            </w:pPr>
            <w:r w:rsidRPr="002C21B8">
              <w:rPr>
                <w:b/>
                <w:bCs/>
                <w:sz w:val="20"/>
                <w:szCs w:val="20"/>
              </w:rPr>
              <w:t>Primary study design(s) included</w:t>
            </w:r>
          </w:p>
        </w:tc>
        <w:tc>
          <w:tcPr>
            <w:tcW w:w="5968" w:type="dxa"/>
          </w:tcPr>
          <w:p w14:paraId="3FCA777C" w14:textId="6C94F2F3" w:rsidR="00FA366A" w:rsidRPr="002C21B8" w:rsidRDefault="00FA366A" w:rsidP="00674473">
            <w:pPr>
              <w:spacing w:before="100" w:after="100" w:line="240" w:lineRule="auto"/>
              <w:rPr>
                <w:b/>
                <w:bCs/>
                <w:sz w:val="20"/>
                <w:szCs w:val="20"/>
              </w:rPr>
            </w:pPr>
          </w:p>
        </w:tc>
      </w:tr>
    </w:tbl>
    <w:p w14:paraId="17F79E05" w14:textId="77777777" w:rsidR="003B7D08" w:rsidRPr="002C21B8" w:rsidRDefault="003B7D08" w:rsidP="003374F4">
      <w:pPr>
        <w:rPr>
          <w:sz w:val="8"/>
          <w:szCs w:val="8"/>
        </w:rPr>
      </w:pPr>
    </w:p>
    <w:p w14:paraId="5A0B3B70" w14:textId="465FF434" w:rsidR="00FA366A" w:rsidRPr="002C21B8" w:rsidRDefault="00FA366A" w:rsidP="00E45623">
      <w:pPr>
        <w:spacing w:after="0"/>
        <w:rPr>
          <w:b/>
          <w:bCs/>
          <w:sz w:val="20"/>
          <w:szCs w:val="20"/>
        </w:rPr>
      </w:pPr>
      <w:r w:rsidRPr="002C21B8">
        <w:rPr>
          <w:b/>
          <w:bCs/>
          <w:sz w:val="20"/>
          <w:szCs w:val="20"/>
        </w:rPr>
        <w:t>Findings/results</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78929B75" w14:textId="77777777" w:rsidTr="00960A9F">
        <w:tc>
          <w:tcPr>
            <w:tcW w:w="3048" w:type="dxa"/>
          </w:tcPr>
          <w:p w14:paraId="7BF40E60" w14:textId="77777777" w:rsidR="00FA366A" w:rsidRPr="002C21B8" w:rsidRDefault="00FA366A" w:rsidP="00674473">
            <w:pPr>
              <w:spacing w:before="100" w:after="100" w:line="240" w:lineRule="auto"/>
              <w:rPr>
                <w:b/>
                <w:bCs/>
                <w:sz w:val="20"/>
                <w:szCs w:val="20"/>
              </w:rPr>
            </w:pPr>
            <w:r w:rsidRPr="002C21B8">
              <w:rPr>
                <w:b/>
                <w:bCs/>
                <w:sz w:val="20"/>
                <w:szCs w:val="20"/>
              </w:rPr>
              <w:t>Themes or categories</w:t>
            </w:r>
          </w:p>
        </w:tc>
        <w:tc>
          <w:tcPr>
            <w:tcW w:w="5968" w:type="dxa"/>
          </w:tcPr>
          <w:p w14:paraId="5CD87F25" w14:textId="3DEFFFE7" w:rsidR="00FA366A" w:rsidRPr="002C21B8" w:rsidRDefault="00FA366A" w:rsidP="00674473">
            <w:pPr>
              <w:spacing w:before="100" w:after="100" w:line="240" w:lineRule="auto"/>
              <w:rPr>
                <w:b/>
                <w:bCs/>
                <w:sz w:val="20"/>
                <w:szCs w:val="20"/>
              </w:rPr>
            </w:pPr>
          </w:p>
        </w:tc>
      </w:tr>
      <w:tr w:rsidR="00FA366A" w:rsidRPr="002C21B8" w14:paraId="2B2A58EB" w14:textId="77777777" w:rsidTr="00960A9F">
        <w:tc>
          <w:tcPr>
            <w:tcW w:w="3048" w:type="dxa"/>
          </w:tcPr>
          <w:p w14:paraId="2B62E2B9" w14:textId="77777777" w:rsidR="00FA366A" w:rsidRPr="002C21B8" w:rsidRDefault="00FA366A" w:rsidP="00674473">
            <w:pPr>
              <w:spacing w:before="100" w:after="100" w:line="240" w:lineRule="auto"/>
              <w:rPr>
                <w:b/>
                <w:bCs/>
                <w:sz w:val="20"/>
                <w:szCs w:val="20"/>
              </w:rPr>
            </w:pPr>
            <w:r w:rsidRPr="002C21B8">
              <w:rPr>
                <w:b/>
                <w:bCs/>
                <w:sz w:val="20"/>
                <w:szCs w:val="20"/>
              </w:rPr>
              <w:t>Authors’ interpretation</w:t>
            </w:r>
          </w:p>
        </w:tc>
        <w:tc>
          <w:tcPr>
            <w:tcW w:w="5968" w:type="dxa"/>
          </w:tcPr>
          <w:p w14:paraId="0BA0996B" w14:textId="3B390999" w:rsidR="00FA366A" w:rsidRPr="002C21B8" w:rsidRDefault="00FA366A" w:rsidP="00674473">
            <w:pPr>
              <w:spacing w:before="100" w:after="100" w:line="240" w:lineRule="auto"/>
              <w:rPr>
                <w:b/>
                <w:bCs/>
                <w:sz w:val="20"/>
                <w:szCs w:val="20"/>
              </w:rPr>
            </w:pPr>
          </w:p>
        </w:tc>
      </w:tr>
      <w:tr w:rsidR="00FA366A" w:rsidRPr="002C21B8" w14:paraId="4304FED1" w14:textId="77777777" w:rsidTr="00960A9F">
        <w:tc>
          <w:tcPr>
            <w:tcW w:w="3048" w:type="dxa"/>
          </w:tcPr>
          <w:p w14:paraId="12A1E7F2" w14:textId="77777777" w:rsidR="00FA366A" w:rsidRPr="002C21B8" w:rsidRDefault="00FA366A" w:rsidP="00674473">
            <w:pPr>
              <w:spacing w:before="100" w:after="100" w:line="240" w:lineRule="auto"/>
              <w:rPr>
                <w:b/>
                <w:bCs/>
                <w:sz w:val="20"/>
                <w:szCs w:val="20"/>
              </w:rPr>
            </w:pPr>
            <w:r w:rsidRPr="002C21B8">
              <w:rPr>
                <w:b/>
                <w:bCs/>
                <w:sz w:val="20"/>
                <w:szCs w:val="20"/>
              </w:rPr>
              <w:t>Contextual factors</w:t>
            </w:r>
          </w:p>
        </w:tc>
        <w:tc>
          <w:tcPr>
            <w:tcW w:w="5968" w:type="dxa"/>
          </w:tcPr>
          <w:p w14:paraId="684BE7B5" w14:textId="163213C4" w:rsidR="00FA366A" w:rsidRPr="002C21B8" w:rsidRDefault="00FA366A" w:rsidP="00674473">
            <w:pPr>
              <w:spacing w:before="100" w:after="100" w:line="240" w:lineRule="auto"/>
              <w:rPr>
                <w:b/>
                <w:bCs/>
                <w:sz w:val="20"/>
                <w:szCs w:val="20"/>
              </w:rPr>
            </w:pPr>
          </w:p>
        </w:tc>
      </w:tr>
    </w:tbl>
    <w:p w14:paraId="31B07FA1" w14:textId="77777777" w:rsidR="00FA366A" w:rsidRPr="002C21B8" w:rsidRDefault="00FA366A" w:rsidP="003374F4">
      <w:pPr>
        <w:rPr>
          <w:sz w:val="8"/>
          <w:szCs w:val="8"/>
        </w:rPr>
      </w:pPr>
    </w:p>
    <w:p w14:paraId="5B1D05F3" w14:textId="0B8EF0B6" w:rsidR="00FA366A" w:rsidRPr="002C21B8" w:rsidRDefault="00FA366A" w:rsidP="00E45623">
      <w:pPr>
        <w:spacing w:after="0"/>
        <w:rPr>
          <w:b/>
          <w:bCs/>
          <w:sz w:val="20"/>
          <w:szCs w:val="20"/>
        </w:rPr>
      </w:pPr>
      <w:r w:rsidRPr="002C21B8">
        <w:rPr>
          <w:b/>
          <w:bCs/>
          <w:sz w:val="20"/>
          <w:szCs w:val="20"/>
        </w:rPr>
        <w:t>Quality assessment</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73E2AEFA" w14:textId="77777777" w:rsidTr="00960A9F">
        <w:tc>
          <w:tcPr>
            <w:tcW w:w="3048" w:type="dxa"/>
          </w:tcPr>
          <w:p w14:paraId="037A198B" w14:textId="77777777" w:rsidR="00FA366A" w:rsidRPr="002C21B8" w:rsidRDefault="00FA366A" w:rsidP="00674473">
            <w:pPr>
              <w:spacing w:before="100" w:after="100" w:line="240" w:lineRule="auto"/>
              <w:rPr>
                <w:b/>
                <w:bCs/>
                <w:sz w:val="20"/>
                <w:szCs w:val="20"/>
              </w:rPr>
            </w:pPr>
            <w:r w:rsidRPr="002C21B8">
              <w:rPr>
                <w:b/>
                <w:bCs/>
                <w:sz w:val="20"/>
                <w:szCs w:val="20"/>
              </w:rPr>
              <w:t>Assessment of rigour</w:t>
            </w:r>
          </w:p>
        </w:tc>
        <w:tc>
          <w:tcPr>
            <w:tcW w:w="5968" w:type="dxa"/>
          </w:tcPr>
          <w:p w14:paraId="7E3289F0" w14:textId="1A2D103C" w:rsidR="00FA366A" w:rsidRPr="002C21B8" w:rsidRDefault="00FA366A" w:rsidP="00674473">
            <w:pPr>
              <w:spacing w:before="100" w:after="100" w:line="240" w:lineRule="auto"/>
              <w:rPr>
                <w:b/>
                <w:bCs/>
                <w:sz w:val="20"/>
                <w:szCs w:val="20"/>
              </w:rPr>
            </w:pPr>
          </w:p>
        </w:tc>
      </w:tr>
      <w:tr w:rsidR="00FA366A" w:rsidRPr="002C21B8" w14:paraId="7C615587" w14:textId="77777777" w:rsidTr="00960A9F">
        <w:tc>
          <w:tcPr>
            <w:tcW w:w="3048" w:type="dxa"/>
          </w:tcPr>
          <w:p w14:paraId="5A5F9126" w14:textId="77777777" w:rsidR="00FA366A" w:rsidRPr="002C21B8" w:rsidRDefault="00FA366A" w:rsidP="00674473">
            <w:pPr>
              <w:spacing w:before="100" w:after="100" w:line="240" w:lineRule="auto"/>
              <w:rPr>
                <w:b/>
                <w:bCs/>
                <w:sz w:val="20"/>
                <w:szCs w:val="20"/>
              </w:rPr>
            </w:pPr>
            <w:r w:rsidRPr="002C21B8">
              <w:rPr>
                <w:b/>
                <w:bCs/>
                <w:sz w:val="20"/>
                <w:szCs w:val="20"/>
              </w:rPr>
              <w:t>Credibility, transferability, dependability, confirmability, reflexivity</w:t>
            </w:r>
          </w:p>
        </w:tc>
        <w:tc>
          <w:tcPr>
            <w:tcW w:w="5968" w:type="dxa"/>
          </w:tcPr>
          <w:p w14:paraId="608C2B2D" w14:textId="4DD492F5" w:rsidR="00FA366A" w:rsidRPr="002C21B8" w:rsidRDefault="00FA366A" w:rsidP="00674473">
            <w:pPr>
              <w:spacing w:before="100" w:after="100" w:line="240" w:lineRule="auto"/>
              <w:rPr>
                <w:b/>
                <w:bCs/>
                <w:sz w:val="20"/>
                <w:szCs w:val="20"/>
              </w:rPr>
            </w:pPr>
          </w:p>
        </w:tc>
      </w:tr>
    </w:tbl>
    <w:p w14:paraId="437B5A05" w14:textId="77777777" w:rsidR="00E45623" w:rsidRPr="002C21B8" w:rsidRDefault="00E45623" w:rsidP="003374F4">
      <w:pPr>
        <w:rPr>
          <w:b/>
          <w:bCs/>
          <w:sz w:val="20"/>
          <w:szCs w:val="20"/>
        </w:rPr>
      </w:pPr>
    </w:p>
    <w:p w14:paraId="561CD75B" w14:textId="5B46BADB" w:rsidR="00FA366A" w:rsidRPr="002C21B8" w:rsidRDefault="00FA366A" w:rsidP="00E45623">
      <w:pPr>
        <w:spacing w:after="0"/>
        <w:rPr>
          <w:b/>
          <w:bCs/>
          <w:sz w:val="20"/>
          <w:szCs w:val="20"/>
        </w:rPr>
      </w:pPr>
      <w:r w:rsidRPr="002C21B8">
        <w:rPr>
          <w:b/>
          <w:bCs/>
          <w:sz w:val="20"/>
          <w:szCs w:val="20"/>
        </w:rPr>
        <w:t>Discussion</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56862B92" w14:textId="77777777" w:rsidTr="00E031F0">
        <w:tc>
          <w:tcPr>
            <w:tcW w:w="3048" w:type="dxa"/>
          </w:tcPr>
          <w:p w14:paraId="2B7E9188" w14:textId="77777777" w:rsidR="00FA366A" w:rsidRPr="002C21B8" w:rsidRDefault="00FA366A" w:rsidP="00674473">
            <w:pPr>
              <w:spacing w:before="100" w:after="100" w:line="240" w:lineRule="auto"/>
              <w:rPr>
                <w:b/>
                <w:bCs/>
                <w:sz w:val="20"/>
                <w:szCs w:val="20"/>
              </w:rPr>
            </w:pPr>
            <w:r w:rsidRPr="002C21B8">
              <w:rPr>
                <w:b/>
                <w:bCs/>
                <w:sz w:val="20"/>
                <w:szCs w:val="20"/>
              </w:rPr>
              <w:t>Key discussion points</w:t>
            </w:r>
          </w:p>
        </w:tc>
        <w:tc>
          <w:tcPr>
            <w:tcW w:w="5968" w:type="dxa"/>
          </w:tcPr>
          <w:p w14:paraId="2AF00F42" w14:textId="6257A35E" w:rsidR="00FA366A" w:rsidRPr="002C21B8" w:rsidRDefault="00FA366A" w:rsidP="00674473">
            <w:pPr>
              <w:spacing w:before="100" w:after="100" w:line="240" w:lineRule="auto"/>
              <w:rPr>
                <w:b/>
                <w:bCs/>
                <w:sz w:val="20"/>
                <w:szCs w:val="20"/>
              </w:rPr>
            </w:pPr>
          </w:p>
        </w:tc>
      </w:tr>
      <w:tr w:rsidR="00FA366A" w:rsidRPr="002C21B8" w14:paraId="7E54898F" w14:textId="77777777" w:rsidTr="00E031F0">
        <w:tc>
          <w:tcPr>
            <w:tcW w:w="3048" w:type="dxa"/>
          </w:tcPr>
          <w:p w14:paraId="74425CA6" w14:textId="77777777" w:rsidR="00FA366A" w:rsidRPr="002C21B8" w:rsidRDefault="00FA366A" w:rsidP="00674473">
            <w:pPr>
              <w:spacing w:before="100" w:after="100" w:line="240" w:lineRule="auto"/>
              <w:rPr>
                <w:b/>
                <w:bCs/>
                <w:sz w:val="20"/>
                <w:szCs w:val="20"/>
              </w:rPr>
            </w:pPr>
            <w:r w:rsidRPr="002C21B8">
              <w:rPr>
                <w:b/>
                <w:bCs/>
                <w:sz w:val="20"/>
                <w:szCs w:val="20"/>
              </w:rPr>
              <w:t>Further research</w:t>
            </w:r>
          </w:p>
        </w:tc>
        <w:tc>
          <w:tcPr>
            <w:tcW w:w="5968" w:type="dxa"/>
          </w:tcPr>
          <w:p w14:paraId="30E939A0" w14:textId="57233CA4" w:rsidR="00FA366A" w:rsidRPr="002C21B8" w:rsidRDefault="00FA366A" w:rsidP="00674473">
            <w:pPr>
              <w:spacing w:before="100" w:after="100" w:line="240" w:lineRule="auto"/>
              <w:rPr>
                <w:b/>
                <w:bCs/>
                <w:sz w:val="20"/>
                <w:szCs w:val="20"/>
              </w:rPr>
            </w:pPr>
          </w:p>
        </w:tc>
      </w:tr>
      <w:tr w:rsidR="00FA366A" w:rsidRPr="002C21B8" w14:paraId="1E6773F2" w14:textId="77777777" w:rsidTr="00E031F0">
        <w:tc>
          <w:tcPr>
            <w:tcW w:w="3048" w:type="dxa"/>
          </w:tcPr>
          <w:p w14:paraId="0C2E3C5F" w14:textId="77777777" w:rsidR="00FA366A" w:rsidRPr="002C21B8" w:rsidRDefault="00FA366A" w:rsidP="00674473">
            <w:pPr>
              <w:spacing w:before="100" w:after="100" w:line="240" w:lineRule="auto"/>
              <w:rPr>
                <w:b/>
                <w:bCs/>
                <w:sz w:val="20"/>
                <w:szCs w:val="20"/>
              </w:rPr>
            </w:pPr>
            <w:r w:rsidRPr="002C21B8">
              <w:rPr>
                <w:b/>
                <w:bCs/>
                <w:sz w:val="20"/>
                <w:szCs w:val="20"/>
              </w:rPr>
              <w:t>Limitations</w:t>
            </w:r>
          </w:p>
        </w:tc>
        <w:tc>
          <w:tcPr>
            <w:tcW w:w="5968" w:type="dxa"/>
          </w:tcPr>
          <w:p w14:paraId="0658F97A" w14:textId="7DDA4434" w:rsidR="00FA366A" w:rsidRPr="002C21B8" w:rsidRDefault="00FA366A" w:rsidP="00674473">
            <w:pPr>
              <w:spacing w:before="100" w:after="100" w:line="240" w:lineRule="auto"/>
              <w:rPr>
                <w:b/>
                <w:bCs/>
                <w:sz w:val="20"/>
                <w:szCs w:val="20"/>
              </w:rPr>
            </w:pPr>
          </w:p>
        </w:tc>
      </w:tr>
      <w:tr w:rsidR="00FA366A" w:rsidRPr="002C21B8" w14:paraId="50FAF81A" w14:textId="77777777" w:rsidTr="00E031F0">
        <w:tc>
          <w:tcPr>
            <w:tcW w:w="3048" w:type="dxa"/>
          </w:tcPr>
          <w:p w14:paraId="01D7CE5B" w14:textId="77777777" w:rsidR="00FA366A" w:rsidRPr="002C21B8" w:rsidRDefault="00FA366A" w:rsidP="00674473">
            <w:pPr>
              <w:spacing w:before="100" w:after="100" w:line="240" w:lineRule="auto"/>
              <w:rPr>
                <w:b/>
                <w:bCs/>
                <w:sz w:val="20"/>
                <w:szCs w:val="20"/>
              </w:rPr>
            </w:pPr>
            <w:r w:rsidRPr="002C21B8">
              <w:rPr>
                <w:b/>
                <w:bCs/>
                <w:sz w:val="20"/>
                <w:szCs w:val="20"/>
              </w:rPr>
              <w:t>Conclusions</w:t>
            </w:r>
          </w:p>
        </w:tc>
        <w:tc>
          <w:tcPr>
            <w:tcW w:w="5968" w:type="dxa"/>
          </w:tcPr>
          <w:p w14:paraId="4F141874" w14:textId="01F8925A" w:rsidR="00FA366A" w:rsidRPr="002C21B8" w:rsidRDefault="00FA366A" w:rsidP="00674473">
            <w:pPr>
              <w:spacing w:before="100" w:after="100" w:line="240" w:lineRule="auto"/>
              <w:rPr>
                <w:b/>
                <w:bCs/>
                <w:sz w:val="20"/>
                <w:szCs w:val="20"/>
              </w:rPr>
            </w:pPr>
          </w:p>
        </w:tc>
      </w:tr>
    </w:tbl>
    <w:p w14:paraId="7D87B80D" w14:textId="77777777" w:rsidR="0017451B" w:rsidRPr="002C21B8" w:rsidRDefault="0017451B" w:rsidP="003374F4">
      <w:pPr>
        <w:rPr>
          <w:b/>
          <w:bCs/>
          <w:sz w:val="6"/>
          <w:szCs w:val="6"/>
        </w:rPr>
      </w:pPr>
    </w:p>
    <w:p w14:paraId="470CE5BF" w14:textId="2996861D" w:rsidR="00FA366A" w:rsidRPr="002C21B8" w:rsidRDefault="00FA366A" w:rsidP="00E45623">
      <w:pPr>
        <w:spacing w:after="0"/>
        <w:rPr>
          <w:b/>
          <w:bCs/>
          <w:sz w:val="20"/>
          <w:szCs w:val="20"/>
        </w:rPr>
      </w:pPr>
      <w:r w:rsidRPr="002C21B8">
        <w:rPr>
          <w:b/>
          <w:bCs/>
          <w:sz w:val="20"/>
          <w:szCs w:val="20"/>
        </w:rPr>
        <w:t>Review funding and transparency</w:t>
      </w:r>
      <w:r w:rsidR="0017451B" w:rsidRPr="002C21B8">
        <w:rPr>
          <w:b/>
          <w:bCs/>
          <w:sz w:val="20"/>
          <w:szCs w:val="20"/>
        </w:rPr>
        <w:t>:</w:t>
      </w:r>
    </w:p>
    <w:tbl>
      <w:tblPr>
        <w:tblStyle w:val="TableGrid"/>
        <w:tblW w:w="0" w:type="auto"/>
        <w:tblLook w:val="04A0" w:firstRow="1" w:lastRow="0" w:firstColumn="1" w:lastColumn="0" w:noHBand="0" w:noVBand="1"/>
      </w:tblPr>
      <w:tblGrid>
        <w:gridCol w:w="3048"/>
        <w:gridCol w:w="5968"/>
      </w:tblGrid>
      <w:tr w:rsidR="00FA366A" w:rsidRPr="002C21B8" w14:paraId="1B51EF2A" w14:textId="77777777" w:rsidTr="00960A9F">
        <w:tc>
          <w:tcPr>
            <w:tcW w:w="3048" w:type="dxa"/>
          </w:tcPr>
          <w:p w14:paraId="54D6A43B" w14:textId="77777777" w:rsidR="00FA366A" w:rsidRPr="002C21B8" w:rsidRDefault="00FA366A" w:rsidP="00674473">
            <w:pPr>
              <w:spacing w:before="100" w:after="100" w:line="240" w:lineRule="auto"/>
              <w:rPr>
                <w:b/>
                <w:bCs/>
                <w:sz w:val="20"/>
                <w:szCs w:val="20"/>
              </w:rPr>
            </w:pPr>
            <w:r w:rsidRPr="002C21B8">
              <w:rPr>
                <w:b/>
                <w:bCs/>
                <w:sz w:val="20"/>
                <w:szCs w:val="20"/>
              </w:rPr>
              <w:t>Funding source</w:t>
            </w:r>
          </w:p>
        </w:tc>
        <w:tc>
          <w:tcPr>
            <w:tcW w:w="5968" w:type="dxa"/>
          </w:tcPr>
          <w:p w14:paraId="49674F17" w14:textId="38132F9B" w:rsidR="00FA366A" w:rsidRPr="002C21B8" w:rsidRDefault="00FA366A" w:rsidP="00674473">
            <w:pPr>
              <w:spacing w:before="100" w:after="100" w:line="240" w:lineRule="auto"/>
              <w:rPr>
                <w:b/>
                <w:bCs/>
                <w:sz w:val="20"/>
                <w:szCs w:val="20"/>
              </w:rPr>
            </w:pPr>
          </w:p>
        </w:tc>
      </w:tr>
    </w:tbl>
    <w:p w14:paraId="3150CE83" w14:textId="77777777" w:rsidR="00FA366A" w:rsidRPr="002C21B8" w:rsidRDefault="00FA366A" w:rsidP="003374F4">
      <w:pPr>
        <w:rPr>
          <w:sz w:val="8"/>
          <w:szCs w:val="8"/>
        </w:rPr>
      </w:pPr>
    </w:p>
    <w:p w14:paraId="040F5089" w14:textId="77777777" w:rsidR="00FA366A" w:rsidRPr="002C21B8" w:rsidRDefault="00FA366A" w:rsidP="00E45623">
      <w:pPr>
        <w:spacing w:after="0"/>
        <w:rPr>
          <w:b/>
          <w:bCs/>
          <w:sz w:val="20"/>
          <w:szCs w:val="20"/>
        </w:rPr>
      </w:pPr>
      <w:r w:rsidRPr="002C21B8">
        <w:rPr>
          <w:b/>
          <w:bCs/>
          <w:sz w:val="20"/>
          <w:szCs w:val="20"/>
        </w:rPr>
        <w:t>Other notes</w:t>
      </w:r>
    </w:p>
    <w:tbl>
      <w:tblPr>
        <w:tblStyle w:val="TableGrid"/>
        <w:tblW w:w="0" w:type="auto"/>
        <w:tblLook w:val="04A0" w:firstRow="1" w:lastRow="0" w:firstColumn="1" w:lastColumn="0" w:noHBand="0" w:noVBand="1"/>
      </w:tblPr>
      <w:tblGrid>
        <w:gridCol w:w="9016"/>
      </w:tblGrid>
      <w:tr w:rsidR="00FA366A" w:rsidRPr="002C21B8" w14:paraId="10BEBB8E" w14:textId="77777777" w:rsidTr="00960A9F">
        <w:tc>
          <w:tcPr>
            <w:tcW w:w="9016" w:type="dxa"/>
          </w:tcPr>
          <w:p w14:paraId="3F08505D" w14:textId="77777777" w:rsidR="00FA366A" w:rsidRPr="002C21B8" w:rsidRDefault="00FA366A" w:rsidP="003374F4">
            <w:pPr>
              <w:rPr>
                <w:sz w:val="20"/>
                <w:szCs w:val="20"/>
              </w:rPr>
            </w:pPr>
          </w:p>
          <w:p w14:paraId="3E805E78" w14:textId="77777777" w:rsidR="00875A42" w:rsidRPr="002C21B8" w:rsidRDefault="00875A42" w:rsidP="003374F4">
            <w:pPr>
              <w:rPr>
                <w:sz w:val="20"/>
                <w:szCs w:val="20"/>
              </w:rPr>
            </w:pPr>
          </w:p>
          <w:p w14:paraId="036F1F61" w14:textId="77777777" w:rsidR="00875A42" w:rsidRPr="002C21B8" w:rsidRDefault="00875A42" w:rsidP="003374F4">
            <w:pPr>
              <w:rPr>
                <w:sz w:val="20"/>
                <w:szCs w:val="20"/>
              </w:rPr>
            </w:pPr>
          </w:p>
          <w:p w14:paraId="5A913C2F" w14:textId="77777777" w:rsidR="00875A42" w:rsidRPr="002C21B8" w:rsidRDefault="00875A42" w:rsidP="003374F4">
            <w:pPr>
              <w:rPr>
                <w:sz w:val="20"/>
                <w:szCs w:val="20"/>
              </w:rPr>
            </w:pPr>
          </w:p>
        </w:tc>
      </w:tr>
    </w:tbl>
    <w:p w14:paraId="4E993964" w14:textId="77777777" w:rsidR="00E45623" w:rsidRPr="002C21B8" w:rsidRDefault="00E45623">
      <w:pPr>
        <w:spacing w:after="0" w:line="240" w:lineRule="auto"/>
        <w:jc w:val="left"/>
        <w:rPr>
          <w:b/>
          <w:bCs/>
          <w:sz w:val="28"/>
          <w:szCs w:val="28"/>
        </w:rPr>
      </w:pPr>
      <w:r w:rsidRPr="002C21B8">
        <w:rPr>
          <w:b/>
          <w:bCs/>
          <w:sz w:val="28"/>
          <w:szCs w:val="28"/>
        </w:rPr>
        <w:br w:type="page"/>
      </w:r>
    </w:p>
    <w:p w14:paraId="2CFA58FC" w14:textId="7009BBE5" w:rsidR="0004779B" w:rsidRPr="002C21B8" w:rsidRDefault="00081B5D" w:rsidP="004507C8">
      <w:pPr>
        <w:pStyle w:val="Heading3"/>
        <w:numPr>
          <w:ilvl w:val="0"/>
          <w:numId w:val="0"/>
        </w:numPr>
      </w:pPr>
      <w:r w:rsidRPr="002C21B8">
        <w:t>Q</w:t>
      </w:r>
      <w:r w:rsidR="0004779B" w:rsidRPr="002C21B8">
        <w:t>uality and risk of bias</w:t>
      </w:r>
      <w:r w:rsidRPr="002C21B8">
        <w:t xml:space="preserve"> </w:t>
      </w:r>
      <w:r w:rsidR="00A70B21" w:rsidRPr="002C21B8">
        <w:t>assessment</w:t>
      </w:r>
    </w:p>
    <w:p w14:paraId="34A86886" w14:textId="237B04BE" w:rsidR="00FA366A" w:rsidRPr="002C21B8" w:rsidRDefault="00A126C4" w:rsidP="00D22BF0">
      <w:pPr>
        <w:spacing w:after="0"/>
        <w:rPr>
          <w:b/>
          <w:bCs/>
          <w:sz w:val="24"/>
          <w:szCs w:val="24"/>
        </w:rPr>
      </w:pPr>
      <w:r w:rsidRPr="002C21B8">
        <w:rPr>
          <w:b/>
          <w:bCs/>
          <w:sz w:val="24"/>
          <w:szCs w:val="24"/>
        </w:rPr>
        <w:t>Background</w:t>
      </w:r>
    </w:p>
    <w:p w14:paraId="196F68CE" w14:textId="4DE5D9FB" w:rsidR="00DF5766" w:rsidRPr="002C21B8" w:rsidRDefault="00DF5766" w:rsidP="00DF5766">
      <w:r w:rsidRPr="002C21B8">
        <w:t>Methodological guidance in evidence synthesis supports inclusion of both quality and risk of bias assessments when appraising systematic reviews in overviews of reviews. Considering both reduces the risk of inaccurate appraisal arising from either poor reporting</w:t>
      </w:r>
      <w:r w:rsidR="004B2E95" w:rsidRPr="002C21B8">
        <w:t>,</w:t>
      </w:r>
      <w:r w:rsidRPr="002C21B8">
        <w:t xml:space="preserve"> but otherwise robust methods</w:t>
      </w:r>
      <w:r w:rsidR="004B2E95" w:rsidRPr="002C21B8">
        <w:t>,</w:t>
      </w:r>
      <w:r w:rsidRPr="002C21B8">
        <w:t xml:space="preserve"> or well-reported but methodologically weak reviews </w:t>
      </w:r>
      <w:r w:rsidRPr="002C21B8">
        <w:fldChar w:fldCharType="begin"/>
      </w:r>
      <w:r w:rsidR="00590E88" w:rsidRPr="002C21B8">
        <w:instrText xml:space="preserve"> ADDIN EN.CITE &lt;EndNote&gt;&lt;Cite&gt;&lt;Author&gt;Lunny&lt;/Author&gt;&lt;Year&gt;2024&lt;/Year&gt;&lt;RecNum&gt;125425&lt;/RecNum&gt;&lt;DisplayText&gt;(Lunny&lt;style face="italic"&gt; et al.&lt;/style&gt;, 2024)&lt;/DisplayText&gt;&lt;record&gt;&lt;rec-number&gt;125425&lt;/rec-number&gt;&lt;foreign-keys&gt;&lt;key app="EN" db-id="xpefzwa5hf9dt2ea9fax95x7xvxz90v09dtf" timestamp="1775815918"&gt;125425&lt;/key&gt;&lt;/foreign-keys&gt;&lt;ref-type name="Journal Article"&gt;17&lt;/ref-type&gt;&lt;contributors&gt;&lt;authors&gt;&lt;author&gt;Lunny, Carole&lt;/author&gt;&lt;author&gt;Kanji, Salmaan&lt;/author&gt;&lt;author&gt;Thabet, Pierre&lt;/author&gt;&lt;author&gt;Haidich, Anna-Bettina&lt;/author&gt;&lt;author&gt;Bougioukas, Konstantinos I&lt;/author&gt;&lt;author&gt;Pieper, Dawid&lt;/author&gt;&lt;/authors&gt;&lt;/contributors&gt;&lt;titles&gt;&lt;title&gt;Assessing the methodological quality and risk of bias of systematic reviews: primer for authors of overviews of systematic reviews&lt;/title&gt;&lt;secondary-title&gt;BMJ Medicine&lt;/secondary-title&gt;&lt;/titles&gt;&lt;periodical&gt;&lt;full-title&gt;BMJ Medicine&lt;/full-title&gt;&lt;/periodical&gt;&lt;pages&gt;e000604&lt;/pages&gt;&lt;volume&gt;3&lt;/volume&gt;&lt;number&gt;1&lt;/number&gt;&lt;dates&gt;&lt;year&gt;2024&lt;/year&gt;&lt;/dates&gt;&lt;urls&gt;&lt;/urls&gt;&lt;/record&gt;&lt;/Cite&gt;&lt;/EndNote&gt;</w:instrText>
      </w:r>
      <w:r w:rsidRPr="002C21B8">
        <w:fldChar w:fldCharType="separate"/>
      </w:r>
      <w:r w:rsidRPr="002C21B8">
        <w:rPr>
          <w:noProof/>
        </w:rPr>
        <w:t>(Lunny</w:t>
      </w:r>
      <w:r w:rsidRPr="002C21B8">
        <w:rPr>
          <w:i/>
          <w:noProof/>
        </w:rPr>
        <w:t xml:space="preserve"> et al.</w:t>
      </w:r>
      <w:r w:rsidRPr="002C21B8">
        <w:rPr>
          <w:noProof/>
        </w:rPr>
        <w:t>, 2024)</w:t>
      </w:r>
      <w:r w:rsidRPr="002C21B8">
        <w:fldChar w:fldCharType="end"/>
      </w:r>
      <w:r w:rsidRPr="002C21B8">
        <w:t>.</w:t>
      </w:r>
    </w:p>
    <w:p w14:paraId="1E2D2A9A" w14:textId="78F0680A" w:rsidR="00DF5766" w:rsidRPr="002C21B8" w:rsidRDefault="00D71E0F" w:rsidP="00DF5766">
      <w:r w:rsidRPr="002C21B8">
        <w:t>M</w:t>
      </w:r>
      <w:r w:rsidR="00D53D1D" w:rsidRPr="002C21B8">
        <w:t xml:space="preserve">ethodological quality reflects how rigorously a review has been </w:t>
      </w:r>
      <w:r w:rsidRPr="002C21B8">
        <w:t>design</w:t>
      </w:r>
      <w:r w:rsidR="004B2E95" w:rsidRPr="002C21B8">
        <w:t>ed</w:t>
      </w:r>
      <w:r w:rsidRPr="002C21B8">
        <w:t xml:space="preserve"> and </w:t>
      </w:r>
      <w:r w:rsidR="00D53D1D" w:rsidRPr="002C21B8">
        <w:t>conducted</w:t>
      </w:r>
      <w:r w:rsidRPr="002C21B8">
        <w:t xml:space="preserve">. </w:t>
      </w:r>
      <w:r w:rsidR="00DF5766" w:rsidRPr="002C21B8">
        <w:t xml:space="preserve">It is included in overviews of reviews for two main reasons. First, it may inform which reviews should be included in the overview. Second, it supports interpretation of the findings by allowing the methodological strengths and limitations of included reviews to be included when drawing conclusions </w:t>
      </w:r>
      <w:r w:rsidR="00DF5766" w:rsidRPr="002C21B8">
        <w:fldChar w:fldCharType="begin"/>
      </w:r>
      <w:r w:rsidR="00DF5766" w:rsidRPr="002C21B8">
        <w:instrText xml:space="preserve"> ADDIN EN.CITE &lt;EndNote&gt;&lt;Cite&gt;&lt;Author&gt;Pollock&lt;/Author&gt;&lt;Year&gt;2017&lt;/Year&gt;&lt;RecNum&gt;125151&lt;/RecNum&gt;&lt;DisplayText&gt;(Pollock, Fernandes and Hartling, 2017)&lt;/DisplayText&gt;&lt;record&gt;&lt;rec-number&gt;125151&lt;/rec-number&gt;&lt;foreign-keys&gt;&lt;key app="EN" db-id="xpefzwa5hf9dt2ea9fax95x7xvxz90v09dtf" timestamp="1766413366"&gt;125151&lt;/key&gt;&lt;/foreign-keys&gt;&lt;ref-type name="Journal Article"&gt;17&lt;/ref-type&gt;&lt;contributors&gt;&lt;authors&gt;&lt;author&gt;Pollock, Michelle&lt;/author&gt;&lt;author&gt;Fernandes, Ricardo M&lt;/author&gt;&lt;author&gt;Hartling, Lisa&lt;/author&gt;&lt;/authors&gt;&lt;/contributors&gt;&lt;titles&gt;&lt;title&gt;Evaluation of AMSTAR to assess the methodological quality of systematic reviews in overviews of reviews of healthcare interventions&lt;/title&gt;&lt;secondary-title&gt;BMC Medical Research Methodology&lt;/secondary-title&gt;&lt;/titles&gt;&lt;periodical&gt;&lt;full-title&gt;BMC medical research methodology&lt;/full-title&gt;&lt;/periodical&gt;&lt;pages&gt;48&lt;/pages&gt;&lt;volume&gt;17&lt;/volume&gt;&lt;number&gt;1&lt;/number&gt;&lt;dates&gt;&lt;year&gt;2017&lt;/year&gt;&lt;/dates&gt;&lt;isbn&gt;1471-2288&lt;/isbn&gt;&lt;urls&gt;&lt;/urls&gt;&lt;/record&gt;&lt;/Cite&gt;&lt;/EndNote&gt;</w:instrText>
      </w:r>
      <w:r w:rsidR="00DF5766" w:rsidRPr="002C21B8">
        <w:fldChar w:fldCharType="separate"/>
      </w:r>
      <w:r w:rsidR="00DF5766" w:rsidRPr="002C21B8">
        <w:t>(Pollock, Fernandes and Hartling, 2017)</w:t>
      </w:r>
      <w:r w:rsidR="00DF5766" w:rsidRPr="002C21B8">
        <w:fldChar w:fldCharType="end"/>
      </w:r>
      <w:r w:rsidR="00DF5766" w:rsidRPr="002C21B8">
        <w:t>.</w:t>
      </w:r>
    </w:p>
    <w:p w14:paraId="09204368" w14:textId="00A8A860" w:rsidR="00DF5766" w:rsidRPr="002C21B8" w:rsidRDefault="00D71E0F" w:rsidP="00D53D1D">
      <w:r w:rsidRPr="002C21B8">
        <w:t>R</w:t>
      </w:r>
      <w:r w:rsidR="00D53D1D" w:rsidRPr="002C21B8">
        <w:t xml:space="preserve">isk of bias </w:t>
      </w:r>
      <w:r w:rsidRPr="002C21B8">
        <w:t xml:space="preserve">refers to the extent to which limitations in the review process could have introduced systematic error </w:t>
      </w:r>
      <w:r w:rsidR="00BF683C" w:rsidRPr="002C21B8">
        <w:t xml:space="preserve">which could </w:t>
      </w:r>
      <w:r w:rsidRPr="002C21B8">
        <w:t>affect the credibility of findings.</w:t>
      </w:r>
      <w:r w:rsidR="006E3A46" w:rsidRPr="002C21B8">
        <w:t xml:space="preserve"> The stages within the review process </w:t>
      </w:r>
      <w:r w:rsidR="00853AEE" w:rsidRPr="002C21B8">
        <w:t xml:space="preserve">where </w:t>
      </w:r>
      <w:r w:rsidR="006E3A46" w:rsidRPr="002C21B8">
        <w:t xml:space="preserve">systematic errors can occur include: </w:t>
      </w:r>
      <w:r w:rsidR="00DF5766" w:rsidRPr="002C21B8">
        <w:t>study identification, selection, appraisal, or synthesis</w:t>
      </w:r>
      <w:r w:rsidR="005C5B46" w:rsidRPr="002C21B8">
        <w:t xml:space="preserve">. These errors </w:t>
      </w:r>
      <w:r w:rsidR="001A786B" w:rsidRPr="002C21B8">
        <w:t>may</w:t>
      </w:r>
      <w:r w:rsidR="00DF5766" w:rsidRPr="002C21B8">
        <w:t xml:space="preserve"> lead to </w:t>
      </w:r>
      <w:r w:rsidR="006404FD" w:rsidRPr="002C21B8">
        <w:t xml:space="preserve">an </w:t>
      </w:r>
      <w:r w:rsidR="00DF5766" w:rsidRPr="002C21B8">
        <w:t>over</w:t>
      </w:r>
      <w:r w:rsidR="00DE1D78" w:rsidRPr="002C21B8">
        <w:t xml:space="preserve"> or </w:t>
      </w:r>
      <w:r w:rsidR="00DF5766" w:rsidRPr="002C21B8">
        <w:t>underestimation of effects</w:t>
      </w:r>
      <w:r w:rsidR="006E3A46" w:rsidRPr="002C21B8">
        <w:t>,</w:t>
      </w:r>
      <w:r w:rsidR="00DF5766" w:rsidRPr="002C21B8">
        <w:t xml:space="preserve"> or misrepresentation of influencing factors </w:t>
      </w:r>
      <w:r w:rsidR="00DF5766"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DF5766" w:rsidRPr="002C21B8">
        <w:fldChar w:fldCharType="separate"/>
      </w:r>
      <w:r w:rsidR="002F558A" w:rsidRPr="002C21B8">
        <w:rPr>
          <w:noProof/>
        </w:rPr>
        <w:t>(Higgins and Green, 2024)</w:t>
      </w:r>
      <w:r w:rsidR="00DF5766" w:rsidRPr="002C21B8">
        <w:fldChar w:fldCharType="end"/>
      </w:r>
      <w:r w:rsidR="00DF5766" w:rsidRPr="002C21B8">
        <w:t>.</w:t>
      </w:r>
    </w:p>
    <w:p w14:paraId="2EC075BB" w14:textId="30153829" w:rsidR="00FA366A" w:rsidRPr="002C21B8" w:rsidRDefault="00865450" w:rsidP="00D53D1D">
      <w:r w:rsidRPr="002C21B8">
        <w:t>A</w:t>
      </w:r>
      <w:r w:rsidR="00D53D1D" w:rsidRPr="002C21B8">
        <w:t>ssessment</w:t>
      </w:r>
      <w:r w:rsidR="006E3A46" w:rsidRPr="002C21B8">
        <w:t>s</w:t>
      </w:r>
      <w:r w:rsidR="00D53D1D" w:rsidRPr="002C21B8">
        <w:t xml:space="preserve"> of methodological quality or risk of bias may be limited by incomplete or unclear reporting in systematic reviews. </w:t>
      </w:r>
      <w:r w:rsidR="006E3A46" w:rsidRPr="002C21B8">
        <w:t xml:space="preserve">This does not necessarily mean that the review has been conducted poorly, but it does restrict evaluation of </w:t>
      </w:r>
      <w:r w:rsidR="008C7956" w:rsidRPr="002C21B8">
        <w:t xml:space="preserve">study </w:t>
      </w:r>
      <w:r w:rsidR="006E3A46" w:rsidRPr="002C21B8">
        <w:t xml:space="preserve">quality and risk of bias. </w:t>
      </w:r>
      <w:r w:rsidR="00D53D1D" w:rsidRPr="002C21B8">
        <w:t xml:space="preserve">The use of structured critical appraisal tools </w:t>
      </w:r>
      <w:r w:rsidR="006404FD" w:rsidRPr="002C21B8">
        <w:t xml:space="preserve">can make this process more </w:t>
      </w:r>
      <w:r w:rsidR="00D53D1D" w:rsidRPr="002C21B8">
        <w:t>transparen</w:t>
      </w:r>
      <w:r w:rsidR="00C100C0" w:rsidRPr="002C21B8">
        <w:t xml:space="preserve">t </w:t>
      </w:r>
      <w:r w:rsidR="003A10D1" w:rsidRPr="002C21B8">
        <w:t>by recording incomplete or unclear reporting</w:t>
      </w:r>
      <w:r w:rsidR="006E3A46" w:rsidRPr="002C21B8">
        <w:t xml:space="preserve"> </w:t>
      </w:r>
      <w:r w:rsidR="00D53D1D" w:rsidRPr="002C21B8">
        <w:fldChar w:fldCharType="begin">
          <w:fldData xml:space="preserve">PEVuZE5vdGU+PENpdGU+PEF1dGhvcj5TaGVhPC9BdXRob3I+PFllYXI+MjAxNzwvWWVhcj48UmVj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</w:fldData>
        </w:fldChar>
      </w:r>
      <w:r w:rsidR="00A46115" w:rsidRPr="002C21B8">
        <w:instrText xml:space="preserve"> ADDIN EN.CITE </w:instrText>
      </w:r>
      <w:r w:rsidR="00A46115" w:rsidRPr="002C21B8">
        <w:fldChar w:fldCharType="begin">
          <w:fldData xml:space="preserve">PEVuZE5vdGU+PENpdGU+PEF1dGhvcj5TaGVhPC9BdXRob3I+PFllYXI+MjAxNzwvWWVhcj48UmVj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</w:fldData>
        </w:fldChar>
      </w:r>
      <w:r w:rsidR="00A46115" w:rsidRPr="002C21B8">
        <w:instrText xml:space="preserve"> ADDIN EN.CITE.DATA </w:instrText>
      </w:r>
      <w:r w:rsidR="00A46115" w:rsidRPr="002C21B8">
        <w:fldChar w:fldCharType="end"/>
      </w:r>
      <w:r w:rsidR="00D53D1D" w:rsidRPr="002C21B8">
        <w:fldChar w:fldCharType="separate"/>
      </w:r>
      <w:r w:rsidR="002F558A" w:rsidRPr="002C21B8">
        <w:rPr>
          <w:noProof/>
        </w:rPr>
        <w:t>(Higgins and Green, 2024; Shea</w:t>
      </w:r>
      <w:r w:rsidR="002F558A" w:rsidRPr="002C21B8">
        <w:rPr>
          <w:i/>
          <w:noProof/>
        </w:rPr>
        <w:t xml:space="preserve"> et al.</w:t>
      </w:r>
      <w:r w:rsidR="002F558A" w:rsidRPr="002C21B8">
        <w:rPr>
          <w:noProof/>
        </w:rPr>
        <w:t>, 2017)</w:t>
      </w:r>
      <w:r w:rsidR="00D53D1D" w:rsidRPr="002C21B8">
        <w:fldChar w:fldCharType="end"/>
      </w:r>
      <w:r w:rsidR="00D53D1D" w:rsidRPr="002C21B8">
        <w:t>.</w:t>
      </w:r>
    </w:p>
    <w:p w14:paraId="4D516DC1" w14:textId="6E1CAA9C" w:rsidR="00D71E0F" w:rsidRPr="002C21B8" w:rsidRDefault="00D71E0F" w:rsidP="00D53D1D">
      <w:r w:rsidRPr="002C21B8">
        <w:t xml:space="preserve">In line with established methodological guidance, appraisal of quality </w:t>
      </w:r>
      <w:r w:rsidR="006E3A46" w:rsidRPr="002C21B8">
        <w:t>and</w:t>
      </w:r>
      <w:r w:rsidRPr="002C21B8">
        <w:t xml:space="preserve"> risk of bias was not</w:t>
      </w:r>
      <w:r w:rsidR="006404FD" w:rsidRPr="002C21B8">
        <w:t xml:space="preserve"> just</w:t>
      </w:r>
      <w:r w:rsidRPr="002C21B8">
        <w:t xml:space="preserve"> based</w:t>
      </w:r>
      <w:r w:rsidR="006E3A46" w:rsidRPr="002C21B8">
        <w:t xml:space="preserve"> </w:t>
      </w:r>
      <w:r w:rsidRPr="002C21B8">
        <w:t>on overall summary scores</w:t>
      </w:r>
      <w:r w:rsidR="006E3A46" w:rsidRPr="002C21B8">
        <w:t xml:space="preserve">. If only summary scores are used this has the potential to </w:t>
      </w:r>
      <w:r w:rsidR="00C100C0" w:rsidRPr="002C21B8">
        <w:t>mask critical weaknesses in key domains. Instead</w:t>
      </w:r>
      <w:r w:rsidR="003A10D1" w:rsidRPr="002C21B8">
        <w:t>,</w:t>
      </w:r>
      <w:r w:rsidR="00C100C0" w:rsidRPr="002C21B8">
        <w:t xml:space="preserve"> </w:t>
      </w:r>
      <w:r w:rsidR="005A6AE6" w:rsidRPr="002C21B8">
        <w:t xml:space="preserve">the potential impact of an inadequate rating </w:t>
      </w:r>
      <w:r w:rsidR="003A10D1" w:rsidRPr="002C21B8">
        <w:t xml:space="preserve">for </w:t>
      </w:r>
      <w:r w:rsidR="00C100C0" w:rsidRPr="002C21B8">
        <w:t>each domain was considered</w:t>
      </w:r>
      <w:r w:rsidR="00201C9D" w:rsidRPr="002C21B8">
        <w:t xml:space="preserve"> and an overall judgement made whether to </w:t>
      </w:r>
      <w:r w:rsidR="00C100C0" w:rsidRPr="002C21B8">
        <w:t xml:space="preserve">include a review </w:t>
      </w:r>
      <w:r w:rsidRPr="002C21B8">
        <w:fldChar w:fldCharType="begin">
          <w:fldData xml:space="preserve">PEVuZE5vdGU+PENpdGU+PEF1dGhvcj5TaGVhPC9BdXRob3I+PFllYXI+MjAxNzwvWWVhcj48UmVj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</w:fldData>
        </w:fldChar>
      </w:r>
      <w:r w:rsidR="000215B0" w:rsidRPr="002C21B8">
        <w:instrText xml:space="preserve"> ADDIN EN.CITE </w:instrText>
      </w:r>
      <w:r w:rsidR="000215B0" w:rsidRPr="002C21B8">
        <w:fldChar w:fldCharType="begin">
          <w:fldData xml:space="preserve">PEVuZE5vdGU+PENpdGU+PEF1dGhvcj5TaGVhPC9BdXRob3I+PFllYXI+MjAxNzwvWWVhcj48UmVj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</w:fldData>
        </w:fldChar>
      </w:r>
      <w:r w:rsidR="000215B0" w:rsidRPr="002C21B8">
        <w:instrText xml:space="preserve"> ADDIN EN.CITE.DATA </w:instrText>
      </w:r>
      <w:r w:rsidR="000215B0" w:rsidRPr="002C21B8">
        <w:fldChar w:fldCharType="end"/>
      </w:r>
      <w:r w:rsidRPr="002C21B8">
        <w:fldChar w:fldCharType="separate"/>
      </w:r>
      <w:r w:rsidRPr="002C21B8">
        <w:rPr>
          <w:noProof/>
        </w:rPr>
        <w:t>(Shea</w:t>
      </w:r>
      <w:r w:rsidRPr="002C21B8">
        <w:rPr>
          <w:i/>
          <w:noProof/>
        </w:rPr>
        <w:t xml:space="preserve"> et al.</w:t>
      </w:r>
      <w:r w:rsidRPr="002C21B8">
        <w:rPr>
          <w:noProof/>
        </w:rPr>
        <w:t>, 2017; Whiting</w:t>
      </w:r>
      <w:r w:rsidRPr="002C21B8">
        <w:rPr>
          <w:i/>
          <w:noProof/>
        </w:rPr>
        <w:t xml:space="preserve"> et al.</w:t>
      </w:r>
      <w:r w:rsidRPr="002C21B8">
        <w:rPr>
          <w:noProof/>
        </w:rPr>
        <w:t>, 2016)</w:t>
      </w:r>
      <w:r w:rsidRPr="002C21B8">
        <w:fldChar w:fldCharType="end"/>
      </w:r>
      <w:r w:rsidRPr="002C21B8">
        <w:t>.</w:t>
      </w:r>
    </w:p>
    <w:p w14:paraId="2871407B" w14:textId="39507E38" w:rsidR="00FA366A" w:rsidRPr="002C21B8" w:rsidRDefault="003B7324" w:rsidP="0057033F">
      <w:pPr>
        <w:spacing w:before="240" w:after="0"/>
        <w:rPr>
          <w:b/>
          <w:bCs/>
          <w:sz w:val="24"/>
          <w:szCs w:val="24"/>
        </w:rPr>
      </w:pPr>
      <w:r w:rsidRPr="002C21B8">
        <w:rPr>
          <w:b/>
          <w:bCs/>
          <w:sz w:val="24"/>
          <w:szCs w:val="24"/>
        </w:rPr>
        <w:t>Quality assessmen</w:t>
      </w:r>
      <w:r w:rsidR="00B15C5D" w:rsidRPr="002C21B8">
        <w:rPr>
          <w:b/>
          <w:bCs/>
          <w:sz w:val="24"/>
          <w:szCs w:val="24"/>
        </w:rPr>
        <w:t xml:space="preserve">t in this </w:t>
      </w:r>
      <w:r w:rsidR="00E06102" w:rsidRPr="002C21B8">
        <w:rPr>
          <w:b/>
          <w:bCs/>
          <w:sz w:val="24"/>
          <w:szCs w:val="24"/>
        </w:rPr>
        <w:t>overview of systematic reviews</w:t>
      </w:r>
    </w:p>
    <w:p w14:paraId="3B5F1588" w14:textId="0E33D7BB" w:rsidR="003E4461" w:rsidRPr="002C21B8" w:rsidRDefault="00FA366A" w:rsidP="0057033F">
      <w:r w:rsidRPr="002C21B8">
        <w:t>The Methodological quality of the included systematic reviews was assessed using the</w:t>
      </w:r>
      <w:r w:rsidR="003E4461" w:rsidRPr="002C21B8">
        <w:t xml:space="preserve"> </w:t>
      </w:r>
      <w:r w:rsidRPr="002C21B8">
        <w:t>AMSTAR 2 (A MeaSurement Tool to Assess Systematic Reviews)</w:t>
      </w:r>
      <w:r w:rsidR="003E4461" w:rsidRPr="002C21B8">
        <w:t xml:space="preserve"> </w:t>
      </w:r>
      <w:r w:rsidRPr="002C21B8">
        <w:t xml:space="preserve">checklist </w:t>
      </w:r>
      <w:r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00F238BA" w:rsidRPr="002C21B8">
        <w:instrText xml:space="preserve"> ADDIN EN.CITE </w:instrText>
      </w:r>
      <w:r w:rsidR="00F238BA" w:rsidRPr="002C21B8">
        <w:fldChar w:fldCharType="begin">
          <w:fldData xml:space="preserve">PEVuZE5vdGU+PENpdGU+PEF1dGhvcj5TaGVhPC9BdXRob3I+PFllYXI+MjAxNzwvWWVhcj48UmVj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</w:fldData>
        </w:fldChar>
      </w:r>
      <w:r w:rsidR="00F238BA" w:rsidRPr="002C21B8">
        <w:instrText xml:space="preserve"> ADDIN EN.CITE.DATA </w:instrText>
      </w:r>
      <w:r w:rsidR="00F238BA" w:rsidRPr="002C21B8">
        <w:fldChar w:fldCharType="end"/>
      </w:r>
      <w:r w:rsidRPr="002C21B8">
        <w:fldChar w:fldCharType="separate"/>
      </w:r>
      <w:r w:rsidR="00F238BA" w:rsidRPr="002C21B8">
        <w:t>(Shea</w:t>
      </w:r>
      <w:r w:rsidR="00F238BA" w:rsidRPr="002C21B8">
        <w:rPr>
          <w:i/>
        </w:rPr>
        <w:t xml:space="preserve"> et al.</w:t>
      </w:r>
      <w:r w:rsidR="00F238BA" w:rsidRPr="002C21B8">
        <w:t>, 2017)</w:t>
      </w:r>
      <w:r w:rsidRPr="002C21B8">
        <w:fldChar w:fldCharType="end"/>
      </w:r>
      <w:r w:rsidRPr="002C21B8">
        <w:t xml:space="preserve">. AMSTAR 2 was selected </w:t>
      </w:r>
      <w:r w:rsidR="003E4461" w:rsidRPr="002C21B8">
        <w:t>for this overview as it is a widely accepted tool that has been validated by multiple authors</w:t>
      </w:r>
      <w:r w:rsidR="003408F8" w:rsidRPr="002C21B8">
        <w:t>. It has been adapted to be used</w:t>
      </w:r>
      <w:r w:rsidR="003E4461" w:rsidRPr="002C21B8">
        <w:t xml:space="preserve"> for systematic reviews of both randomised and non-randomised studies of healthcare interventions </w:t>
      </w:r>
      <w:r w:rsidR="003E4461" w:rsidRPr="002C21B8">
        <w:fldChar w:fldCharType="begin"/>
      </w:r>
      <w:r w:rsidR="003E4461" w:rsidRPr="002C21B8">
        <w:instrText xml:space="preserve"> ADDIN EN.CITE &lt;EndNote&gt;&lt;Cite&gt;&lt;Author&gt;Pollock&lt;/Author&gt;&lt;Year&gt;2017&lt;/Year&gt;&lt;RecNum&gt;125151&lt;/RecNum&gt;&lt;DisplayText&gt;(Pollock, Fernandes and Hartling, 2017)&lt;/DisplayText&gt;&lt;record&gt;&lt;rec-number&gt;125151&lt;/rec-number&gt;&lt;foreign-keys&gt;&lt;key app="EN" db-id="xpefzwa5hf9dt2ea9fax95x7xvxz90v09dtf" timestamp="1766413366"&gt;125151&lt;/key&gt;&lt;/foreign-keys&gt;&lt;ref-type name="Journal Article"&gt;17&lt;/ref-type&gt;&lt;contributors&gt;&lt;authors&gt;&lt;author&gt;Pollock, Michelle&lt;/author&gt;&lt;author&gt;Fernandes, Ricardo M&lt;/author&gt;&lt;author&gt;Hartling, Lisa&lt;/author&gt;&lt;/authors&gt;&lt;/contributors&gt;&lt;titles&gt;&lt;title&gt;Evaluation of AMSTAR to assess the methodological quality of systematic reviews in overviews of reviews of healthcare interventions&lt;/title&gt;&lt;secondary-title&gt;BMC Medical Research Methodology&lt;/secondary-title&gt;&lt;/titles&gt;&lt;periodical&gt;&lt;full-title&gt;BMC medical research methodology&lt;/full-title&gt;&lt;/periodical&gt;&lt;pages&gt;48&lt;/pages&gt;&lt;volume&gt;17&lt;/volume&gt;&lt;number&gt;1&lt;/number&gt;&lt;dates&gt;&lt;year&gt;2017&lt;/year&gt;&lt;/dates&gt;&lt;isbn&gt;1471-2288&lt;/isbn&gt;&lt;urls&gt;&lt;/urls&gt;&lt;/record&gt;&lt;/Cite&gt;&lt;/EndNote&gt;</w:instrText>
      </w:r>
      <w:r w:rsidR="003E4461" w:rsidRPr="002C21B8">
        <w:fldChar w:fldCharType="separate"/>
      </w:r>
      <w:r w:rsidR="003E4461" w:rsidRPr="002C21B8">
        <w:t>(Pollock, Fernandes and Hartling, 2017)</w:t>
      </w:r>
      <w:r w:rsidR="003E4461" w:rsidRPr="002C21B8">
        <w:fldChar w:fldCharType="end"/>
      </w:r>
      <w:r w:rsidR="003E4461" w:rsidRPr="002C21B8">
        <w:t>.</w:t>
      </w:r>
      <w:r w:rsidR="003A10D1" w:rsidRPr="002C21B8">
        <w:t xml:space="preserve"> </w:t>
      </w:r>
      <w:r w:rsidRPr="002C21B8">
        <w:t xml:space="preserve">AMSTAR 2 </w:t>
      </w:r>
      <w:r w:rsidR="003E4461" w:rsidRPr="002C21B8">
        <w:t>assess</w:t>
      </w:r>
      <w:r w:rsidR="003A10D1" w:rsidRPr="002C21B8">
        <w:t>es</w:t>
      </w:r>
      <w:r w:rsidR="003E4461" w:rsidRPr="002C21B8">
        <w:t xml:space="preserve"> the methodological aspects of a systematic review using a </w:t>
      </w:r>
      <w:r w:rsidR="0047255E" w:rsidRPr="002C21B8">
        <w:t>checklist</w:t>
      </w:r>
      <w:r w:rsidR="003E4461" w:rsidRPr="002C21B8">
        <w:t xml:space="preserve"> of domains and </w:t>
      </w:r>
      <w:r w:rsidR="003A10D1" w:rsidRPr="002C21B8">
        <w:t xml:space="preserve">the </w:t>
      </w:r>
      <w:r w:rsidR="003E4461" w:rsidRPr="002C21B8">
        <w:t xml:space="preserve">overall rating. It consists of </w:t>
      </w:r>
      <w:r w:rsidRPr="002C21B8">
        <w:t>16</w:t>
      </w:r>
      <w:r w:rsidR="003A10D1" w:rsidRPr="002C21B8">
        <w:t>-</w:t>
      </w:r>
      <w:r w:rsidRPr="002C21B8">
        <w:t xml:space="preserve">items </w:t>
      </w:r>
      <w:r w:rsidR="003E4461" w:rsidRPr="002C21B8">
        <w:t>of which seven are considered critical domains</w:t>
      </w:r>
      <w:r w:rsidR="0047255E" w:rsidRPr="002C21B8">
        <w:t xml:space="preserve"> that can critically affect the validity of a review and its conclusions.</w:t>
      </w:r>
    </w:p>
    <w:p w14:paraId="31B5C814" w14:textId="6A76F60B" w:rsidR="00FA366A" w:rsidRPr="002C21B8" w:rsidRDefault="006404FD" w:rsidP="0057033F">
      <w:pPr>
        <w:sectPr w:rsidR="00FA366A" w:rsidRPr="002C21B8" w:rsidSect="0009672F">
          <w:headerReference w:type="default" r:id="rId159"/>
          <w:footerReference w:type="even" r:id="rId160"/>
          <w:footerReference w:type="default" r:id="rId161"/>
          <w:type w:val="continuous"/>
          <w:pgSz w:w="11906" w:h="16838"/>
          <w:pgMar w:top="1440" w:right="1440" w:bottom="1440" w:left="1440" w:header="708" w:footer="708" w:gutter="0"/>
          <w:cols w:space="708"/>
          <w:docGrid w:linePitch="360"/>
        </w:sectPr>
      </w:pPr>
      <w:r w:rsidRPr="002C21B8">
        <w:t>E</w:t>
      </w:r>
      <w:r w:rsidR="00FA366A" w:rsidRPr="002C21B8">
        <w:t xml:space="preserve">ach included systematic review was assessed </w:t>
      </w:r>
      <w:r w:rsidRPr="002C21B8">
        <w:t>using the AMSTAR 2 tool</w:t>
      </w:r>
      <w:r w:rsidR="00FA366A" w:rsidRPr="002C21B8">
        <w:t>. Quality assessment was undertaken by two reviewers independently. Any discrepancies were resolved through discussion. This process was implemented to enhance the reliability of the quality appraisal</w:t>
      </w:r>
      <w:r w:rsidRPr="002C21B8">
        <w:t xml:space="preserve"> process</w:t>
      </w:r>
      <w:r w:rsidR="00FA366A" w:rsidRPr="002C21B8">
        <w:t xml:space="preserve">, recognising that judgements of methodological quality may be influenced by reviewer experience and interpretation. An </w:t>
      </w:r>
      <w:r w:rsidR="0047255E" w:rsidRPr="002C21B8">
        <w:t>example</w:t>
      </w:r>
      <w:r w:rsidR="00FA366A" w:rsidRPr="002C21B8">
        <w:t xml:space="preserve"> </w:t>
      </w:r>
      <w:r w:rsidRPr="002C21B8">
        <w:t>q</w:t>
      </w:r>
      <w:r w:rsidR="00FA366A" w:rsidRPr="002C21B8">
        <w:t xml:space="preserve">uality assessment form </w:t>
      </w:r>
      <w:r w:rsidR="006D55B2" w:rsidRPr="002C21B8">
        <w:t xml:space="preserve">used in this overview </w:t>
      </w:r>
      <w:r w:rsidR="00FA366A" w:rsidRPr="002C21B8">
        <w:t xml:space="preserve">is included </w:t>
      </w:r>
      <w:r w:rsidR="003408F8" w:rsidRPr="002C21B8">
        <w:t>on the next page</w:t>
      </w:r>
      <w:r w:rsidR="00FA366A" w:rsidRPr="002C21B8">
        <w:t>.</w:t>
      </w:r>
    </w:p>
    <w:p w14:paraId="11138C00" w14:textId="39FD5C2A" w:rsidR="0057033F" w:rsidRPr="002C21B8" w:rsidRDefault="00FA366A" w:rsidP="004507C8">
      <w:pPr>
        <w:pStyle w:val="Heading3"/>
        <w:numPr>
          <w:ilvl w:val="0"/>
          <w:numId w:val="0"/>
        </w:numPr>
      </w:pPr>
      <w:r w:rsidRPr="002C21B8">
        <w:t>Example quality assessment form (AMSTAR2)</w:t>
      </w:r>
    </w:p>
    <w:p w14:paraId="62907D60" w14:textId="1C45CCC8" w:rsidR="00D75E75" w:rsidRPr="002C21B8" w:rsidRDefault="00FA366A" w:rsidP="0057033F">
      <w:pPr>
        <w:spacing w:after="0" w:line="240" w:lineRule="auto"/>
      </w:pPr>
      <w:r w:rsidRPr="002C21B8">
        <w:t xml:space="preserve">Review author: </w:t>
      </w:r>
      <w:r w:rsidRPr="002C21B8">
        <w:tab/>
      </w:r>
      <w:r w:rsidRPr="002C21B8">
        <w:tab/>
      </w:r>
      <w:r w:rsidRPr="002C21B8">
        <w:tab/>
      </w:r>
      <w:r w:rsidRPr="002C21B8">
        <w:tab/>
      </w:r>
      <w:r w:rsidRPr="002C21B8">
        <w:tab/>
      </w:r>
      <w:r w:rsidR="00832573" w:rsidRPr="002C21B8">
        <w:tab/>
      </w:r>
      <w:r w:rsidR="00832573" w:rsidRPr="002C21B8">
        <w:tab/>
      </w:r>
      <w:r w:rsidRPr="002C21B8">
        <w:tab/>
        <w:t xml:space="preserve">Review data: </w:t>
      </w:r>
    </w:p>
    <w:p w14:paraId="45DE40CB" w14:textId="77777777" w:rsidR="00FF08B4" w:rsidRPr="002C21B8" w:rsidRDefault="00FF08B4" w:rsidP="0057033F">
      <w:pPr>
        <w:spacing w:after="0" w:line="240" w:lineRule="auto"/>
        <w:rPr>
          <w:sz w:val="11"/>
          <w:szCs w:val="11"/>
        </w:rPr>
      </w:pPr>
    </w:p>
    <w:tbl>
      <w:tblPr>
        <w:tblStyle w:val="TableGrid"/>
        <w:tblW w:w="13887" w:type="dxa"/>
        <w:tblLook w:val="04A0" w:firstRow="1" w:lastRow="0" w:firstColumn="1" w:lastColumn="0" w:noHBand="0" w:noVBand="1"/>
      </w:tblPr>
      <w:tblGrid>
        <w:gridCol w:w="2263"/>
        <w:gridCol w:w="11624"/>
      </w:tblGrid>
      <w:tr w:rsidR="00FA366A" w:rsidRPr="002C21B8" w14:paraId="216ECE16" w14:textId="77777777" w:rsidTr="00D75E75">
        <w:tc>
          <w:tcPr>
            <w:tcW w:w="2263" w:type="dxa"/>
          </w:tcPr>
          <w:p w14:paraId="1474D903" w14:textId="77777777" w:rsidR="00FA366A" w:rsidRPr="002C21B8" w:rsidRDefault="00FA366A" w:rsidP="00D75E75">
            <w:pPr>
              <w:spacing w:before="30" w:after="30" w:line="240" w:lineRule="auto"/>
            </w:pPr>
            <w:r w:rsidRPr="002C21B8">
              <w:t>Author</w:t>
            </w:r>
          </w:p>
        </w:tc>
        <w:tc>
          <w:tcPr>
            <w:tcW w:w="11624" w:type="dxa"/>
          </w:tcPr>
          <w:p w14:paraId="61B615CA" w14:textId="2736BB9B" w:rsidR="00FA366A" w:rsidRPr="002C21B8" w:rsidRDefault="00FA366A" w:rsidP="00D75E75">
            <w:pPr>
              <w:spacing w:before="30" w:after="30" w:line="240" w:lineRule="auto"/>
            </w:pPr>
          </w:p>
        </w:tc>
      </w:tr>
      <w:tr w:rsidR="00FA366A" w:rsidRPr="002C21B8" w14:paraId="00A47A3B" w14:textId="77777777" w:rsidTr="00D75E75">
        <w:tc>
          <w:tcPr>
            <w:tcW w:w="2263" w:type="dxa"/>
          </w:tcPr>
          <w:p w14:paraId="32E4E474" w14:textId="77777777" w:rsidR="00FA366A" w:rsidRPr="002C21B8" w:rsidRDefault="00FA366A" w:rsidP="00D75E75">
            <w:pPr>
              <w:spacing w:before="30" w:after="30" w:line="240" w:lineRule="auto"/>
            </w:pPr>
            <w:r w:rsidRPr="002C21B8">
              <w:t>Title</w:t>
            </w:r>
          </w:p>
        </w:tc>
        <w:tc>
          <w:tcPr>
            <w:tcW w:w="11624" w:type="dxa"/>
          </w:tcPr>
          <w:p w14:paraId="121D1467" w14:textId="79C7EE17" w:rsidR="00FA366A" w:rsidRPr="002C21B8" w:rsidRDefault="00FA366A" w:rsidP="00D75E75">
            <w:pPr>
              <w:spacing w:before="30" w:after="30" w:line="240" w:lineRule="auto"/>
            </w:pPr>
          </w:p>
        </w:tc>
      </w:tr>
      <w:tr w:rsidR="00FA366A" w:rsidRPr="002C21B8" w14:paraId="276E05DA" w14:textId="77777777" w:rsidTr="00D75E75">
        <w:tc>
          <w:tcPr>
            <w:tcW w:w="2263" w:type="dxa"/>
          </w:tcPr>
          <w:p w14:paraId="40F1CF7F" w14:textId="77777777" w:rsidR="00FA366A" w:rsidRPr="002C21B8" w:rsidRDefault="00FA366A" w:rsidP="00D75E75">
            <w:pPr>
              <w:spacing w:before="30" w:after="30" w:line="240" w:lineRule="auto"/>
            </w:pPr>
            <w:r w:rsidRPr="002C21B8">
              <w:t>Year of publication</w:t>
            </w:r>
          </w:p>
        </w:tc>
        <w:tc>
          <w:tcPr>
            <w:tcW w:w="11624" w:type="dxa"/>
          </w:tcPr>
          <w:p w14:paraId="17B21F78" w14:textId="0605DED2" w:rsidR="00FA366A" w:rsidRPr="002C21B8" w:rsidRDefault="00FA366A" w:rsidP="00D75E75">
            <w:pPr>
              <w:spacing w:before="30" w:after="30" w:line="240" w:lineRule="auto"/>
            </w:pPr>
          </w:p>
        </w:tc>
      </w:tr>
    </w:tbl>
    <w:p w14:paraId="42E34C12" w14:textId="77777777" w:rsidR="00FA366A" w:rsidRPr="002C21B8" w:rsidRDefault="00FA366A" w:rsidP="0057033F">
      <w:pPr>
        <w:spacing w:after="0" w:line="240" w:lineRule="auto"/>
      </w:pPr>
    </w:p>
    <w:tbl>
      <w:tblPr>
        <w:tblStyle w:val="TableGrid"/>
        <w:tblW w:w="0" w:type="auto"/>
        <w:tblLook w:val="04A0" w:firstRow="1" w:lastRow="0" w:firstColumn="1" w:lastColumn="0" w:noHBand="0" w:noVBand="1"/>
      </w:tblPr>
      <w:tblGrid>
        <w:gridCol w:w="6974"/>
        <w:gridCol w:w="6913"/>
      </w:tblGrid>
      <w:tr w:rsidR="00FA366A" w:rsidRPr="002C21B8" w14:paraId="43F9BB7B" w14:textId="77777777" w:rsidTr="00B7125A">
        <w:tc>
          <w:tcPr>
            <w:tcW w:w="13887" w:type="dxa"/>
            <w:gridSpan w:val="2"/>
          </w:tcPr>
          <w:p w14:paraId="24EA1A25" w14:textId="77777777" w:rsidR="00FA366A" w:rsidRPr="002C21B8" w:rsidRDefault="00FA366A" w:rsidP="00B7125A">
            <w:pPr>
              <w:spacing w:beforeLines="30" w:before="72" w:afterLines="30" w:after="72" w:line="240" w:lineRule="auto"/>
            </w:pPr>
            <w:r w:rsidRPr="002C21B8">
              <w:t>1. Did the research questions and inclusion criteria for the review include the components of PICO?</w:t>
            </w:r>
          </w:p>
        </w:tc>
      </w:tr>
      <w:tr w:rsidR="00FA366A" w:rsidRPr="002C21B8" w14:paraId="277914FA" w14:textId="77777777" w:rsidTr="00B7125A">
        <w:tc>
          <w:tcPr>
            <w:tcW w:w="13887" w:type="dxa"/>
            <w:gridSpan w:val="2"/>
          </w:tcPr>
          <w:p w14:paraId="5E9A46CE" w14:textId="25116404"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Yes</w:t>
            </w:r>
          </w:p>
          <w:p w14:paraId="5F9B46F8"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Partial Yes</w:t>
            </w:r>
          </w:p>
          <w:p w14:paraId="62FE74C7"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56D2EA95"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747E2C5E"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FA366A" w:rsidRPr="002C21B8" w14:paraId="735CB6AA" w14:textId="77777777" w:rsidTr="00B7125A">
        <w:tc>
          <w:tcPr>
            <w:tcW w:w="6974" w:type="dxa"/>
          </w:tcPr>
          <w:p w14:paraId="6B2673D7" w14:textId="77777777" w:rsidR="00FA366A" w:rsidRPr="002C21B8" w:rsidRDefault="00FA366A" w:rsidP="00B7125A">
            <w:pPr>
              <w:spacing w:beforeLines="30" w:before="72" w:afterLines="30" w:after="72" w:line="240" w:lineRule="auto"/>
            </w:pPr>
            <w:r w:rsidRPr="002C21B8">
              <w:t>For Yes</w:t>
            </w:r>
          </w:p>
          <w:p w14:paraId="3D36E1B6" w14:textId="448F8ED8" w:rsidR="00FA366A" w:rsidRPr="002C21B8" w:rsidRDefault="00832573" w:rsidP="00B7125A">
            <w:pPr>
              <w:spacing w:beforeLines="30" w:before="72" w:afterLines="30" w:after="72" w:line="240" w:lineRule="auto"/>
            </w:pPr>
            <w:r w:rsidRPr="002C21B8">
              <w:fldChar w:fldCharType="begin">
                <w:ffData>
                  <w:name w:val="Check1"/>
                  <w:enabled/>
                  <w:calcOnExit w:val="0"/>
                  <w:checkBox>
                    <w:sizeAuto/>
                    <w:default w:val="0"/>
                  </w:checkBox>
                </w:ffData>
              </w:fldChar>
            </w:r>
            <w:bookmarkStart w:id="432" w:name="Check1"/>
            <w:r w:rsidRPr="002C21B8">
              <w:instrText xml:space="preserve"> FORMCHECKBOX </w:instrText>
            </w:r>
            <w:r w:rsidR="00000000">
              <w:fldChar w:fldCharType="separate"/>
            </w:r>
            <w:r w:rsidRPr="002C21B8">
              <w:fldChar w:fldCharType="end"/>
            </w:r>
            <w:bookmarkEnd w:id="432"/>
            <w:r w:rsidR="00FA366A" w:rsidRPr="002C21B8">
              <w:t xml:space="preserve"> </w:t>
            </w:r>
            <w:r w:rsidR="00FA366A" w:rsidRPr="002C21B8">
              <w:rPr>
                <w:u w:val="single"/>
              </w:rPr>
              <w:t>P</w:t>
            </w:r>
            <w:r w:rsidR="00FA366A" w:rsidRPr="002C21B8">
              <w:t>opulation</w:t>
            </w:r>
          </w:p>
          <w:p w14:paraId="7D7DDE74" w14:textId="2BF1BA77"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w:t>
            </w:r>
            <w:r w:rsidR="00FA366A" w:rsidRPr="002C21B8">
              <w:rPr>
                <w:u w:val="single"/>
              </w:rPr>
              <w:t>I</w:t>
            </w:r>
            <w:r w:rsidR="00FA366A" w:rsidRPr="002C21B8">
              <w:t>ntervention</w:t>
            </w:r>
          </w:p>
          <w:p w14:paraId="60CBF216" w14:textId="3B675517"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w:t>
            </w:r>
            <w:r w:rsidR="00FA366A" w:rsidRPr="002C21B8">
              <w:rPr>
                <w:u w:val="single"/>
              </w:rPr>
              <w:t>C</w:t>
            </w:r>
            <w:r w:rsidR="00FA366A" w:rsidRPr="002C21B8">
              <w:t>omparator group</w:t>
            </w:r>
          </w:p>
          <w:p w14:paraId="0B13300E" w14:textId="2B7DDC4E"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w:t>
            </w:r>
            <w:r w:rsidR="00FA366A" w:rsidRPr="002C21B8">
              <w:rPr>
                <w:u w:val="single"/>
              </w:rPr>
              <w:t>O</w:t>
            </w:r>
            <w:r w:rsidR="00FA366A" w:rsidRPr="002C21B8">
              <w:t>utcome</w:t>
            </w:r>
          </w:p>
        </w:tc>
        <w:tc>
          <w:tcPr>
            <w:tcW w:w="6913" w:type="dxa"/>
          </w:tcPr>
          <w:p w14:paraId="4DAD1919" w14:textId="24589D29" w:rsidR="00FA366A" w:rsidRPr="002C21B8" w:rsidRDefault="00FA366A" w:rsidP="00B7125A">
            <w:pPr>
              <w:spacing w:beforeLines="30" w:before="72" w:afterLines="30" w:after="72" w:line="240" w:lineRule="auto"/>
            </w:pPr>
            <w:r w:rsidRPr="002C21B8">
              <w:t>Option</w:t>
            </w:r>
            <w:r w:rsidR="00B7125A" w:rsidRPr="002C21B8">
              <w:t xml:space="preserve">al </w:t>
            </w:r>
            <w:r w:rsidRPr="002C21B8">
              <w:t>(recommended)</w:t>
            </w:r>
            <w:r w:rsidR="00D75E75" w:rsidRPr="002C21B8">
              <w:t>:</w:t>
            </w:r>
          </w:p>
          <w:p w14:paraId="04A8AA07" w14:textId="77777777" w:rsidR="00FA366A" w:rsidRPr="002C21B8" w:rsidRDefault="00FA366A" w:rsidP="00B7125A">
            <w:pPr>
              <w:spacing w:beforeLines="30" w:before="72" w:afterLines="30" w:after="72" w:line="240" w:lineRule="auto"/>
            </w:pPr>
            <w:r w:rsidRPr="002C21B8">
              <w:t>Timeframe for follow-up?</w:t>
            </w:r>
          </w:p>
          <w:p w14:paraId="558F8F21"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7F72D4DA"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tc>
      </w:tr>
      <w:tr w:rsidR="00FA366A" w:rsidRPr="002C21B8" w14:paraId="7AE0B16D" w14:textId="77777777" w:rsidTr="00B7125A">
        <w:tc>
          <w:tcPr>
            <w:tcW w:w="13887" w:type="dxa"/>
            <w:gridSpan w:val="2"/>
          </w:tcPr>
          <w:p w14:paraId="46D8812F" w14:textId="6BF532FD" w:rsidR="00FA366A" w:rsidRPr="002C21B8" w:rsidRDefault="00FA366A" w:rsidP="00B7125A">
            <w:pPr>
              <w:spacing w:beforeLines="30" w:before="72" w:afterLines="30" w:after="72" w:line="240" w:lineRule="auto"/>
            </w:pPr>
            <w:r w:rsidRPr="002C21B8">
              <w:t xml:space="preserve">2. Did the report of the review contain an explicit statement that the </w:t>
            </w:r>
            <w:r w:rsidR="00482B80" w:rsidRPr="002C21B8">
              <w:t>review</w:t>
            </w:r>
            <w:r w:rsidRPr="002C21B8">
              <w:t xml:space="preserve"> methods were established? (CRITICAL DOMAIN)</w:t>
            </w:r>
          </w:p>
        </w:tc>
      </w:tr>
      <w:tr w:rsidR="00FA366A" w:rsidRPr="002C21B8" w14:paraId="3A10F61E" w14:textId="77777777" w:rsidTr="00B7125A">
        <w:tc>
          <w:tcPr>
            <w:tcW w:w="13887" w:type="dxa"/>
            <w:gridSpan w:val="2"/>
          </w:tcPr>
          <w:p w14:paraId="19039C22"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3A898FA8"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Partial Yes</w:t>
            </w:r>
          </w:p>
          <w:p w14:paraId="4A58E890" w14:textId="0E492361"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w:t>
            </w:r>
          </w:p>
          <w:p w14:paraId="4FDEAF8F"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2D01D339"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FA366A" w:rsidRPr="002C21B8" w14:paraId="50C4E47A" w14:textId="77777777" w:rsidTr="00B7125A">
        <w:tc>
          <w:tcPr>
            <w:tcW w:w="6974" w:type="dxa"/>
          </w:tcPr>
          <w:p w14:paraId="2986AD11" w14:textId="34FCFE38" w:rsidR="00FA366A" w:rsidRPr="002C21B8" w:rsidRDefault="00FA366A" w:rsidP="00B7125A">
            <w:pPr>
              <w:spacing w:beforeLines="30" w:before="72" w:afterLines="30" w:after="72" w:line="240" w:lineRule="auto"/>
            </w:pPr>
            <w:r w:rsidRPr="002C21B8">
              <w:t>For Partial Yes</w:t>
            </w:r>
            <w:r w:rsidR="00B7125A" w:rsidRPr="002C21B8">
              <w:t>:</w:t>
            </w:r>
          </w:p>
          <w:p w14:paraId="2EAA3B58" w14:textId="77777777" w:rsidR="00FA366A" w:rsidRPr="002C21B8" w:rsidRDefault="00FA366A" w:rsidP="00B7125A">
            <w:pPr>
              <w:spacing w:beforeLines="30" w:before="72" w:afterLines="30" w:after="72" w:line="240" w:lineRule="auto"/>
            </w:pPr>
            <w:r w:rsidRPr="002C21B8">
              <w:t>The authors state that they had a written protocol of guide that included ALL the following:</w:t>
            </w:r>
          </w:p>
          <w:p w14:paraId="53B37476"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Review question(s)</w:t>
            </w:r>
          </w:p>
          <w:p w14:paraId="2687B660"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 search strategy</w:t>
            </w:r>
          </w:p>
          <w:p w14:paraId="3F6C3CBE"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Inclusion/exclusion criteria</w:t>
            </w:r>
          </w:p>
          <w:p w14:paraId="366323E2"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 risk of bias assessment</w:t>
            </w:r>
          </w:p>
        </w:tc>
        <w:tc>
          <w:tcPr>
            <w:tcW w:w="6913" w:type="dxa"/>
          </w:tcPr>
          <w:p w14:paraId="6BC1A811" w14:textId="7C4E5A92" w:rsidR="00FA366A" w:rsidRPr="002C21B8" w:rsidRDefault="00FA366A" w:rsidP="00B7125A">
            <w:pPr>
              <w:spacing w:beforeLines="30" w:before="72" w:afterLines="30" w:after="72" w:line="240" w:lineRule="auto"/>
            </w:pPr>
            <w:r w:rsidRPr="002C21B8">
              <w:t>For Yes</w:t>
            </w:r>
            <w:r w:rsidR="00B7125A" w:rsidRPr="002C21B8">
              <w:t>:</w:t>
            </w:r>
          </w:p>
          <w:p w14:paraId="7F597B80" w14:textId="77777777" w:rsidR="00FA366A" w:rsidRPr="002C21B8" w:rsidRDefault="00FA366A" w:rsidP="00B7125A">
            <w:pPr>
              <w:spacing w:beforeLines="30" w:before="72" w:afterLines="30" w:after="72" w:line="240" w:lineRule="auto"/>
            </w:pPr>
            <w:r w:rsidRPr="002C21B8">
              <w:t>As for partial yes, plus the protocol should be registered and should also have specified:</w:t>
            </w:r>
          </w:p>
          <w:p w14:paraId="26E3C9EC" w14:textId="77777777" w:rsidR="00FA366A" w:rsidRPr="002C21B8" w:rsidRDefault="00FA366A" w:rsidP="00B7125A">
            <w:pPr>
              <w:spacing w:beforeLines="30" w:before="72" w:afterLines="30" w:after="72" w:line="240" w:lineRule="auto"/>
              <w:rPr>
                <w:i/>
                <w:iCs/>
              </w:rPr>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 meta-analysis/synthesis plan, if appropriate, </w:t>
            </w:r>
            <w:r w:rsidRPr="002C21B8">
              <w:rPr>
                <w:i/>
                <w:iCs/>
              </w:rPr>
              <w:t>and</w:t>
            </w:r>
          </w:p>
          <w:p w14:paraId="0BC63648" w14:textId="544AEB26"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 plan for investigating causes of </w:t>
            </w:r>
            <w:r w:rsidR="00482B80" w:rsidRPr="002C21B8">
              <w:t>heterogeneity</w:t>
            </w:r>
          </w:p>
          <w:p w14:paraId="4E1D2FF0"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Justification for any deviations from the protocol</w:t>
            </w:r>
          </w:p>
        </w:tc>
      </w:tr>
      <w:tr w:rsidR="00FA366A" w:rsidRPr="002C21B8" w14:paraId="76A43CB6" w14:textId="77777777" w:rsidTr="00B7125A">
        <w:tc>
          <w:tcPr>
            <w:tcW w:w="13887" w:type="dxa"/>
            <w:gridSpan w:val="2"/>
          </w:tcPr>
          <w:p w14:paraId="2C7DF171" w14:textId="77777777" w:rsidR="00FA366A" w:rsidRPr="002C21B8" w:rsidRDefault="00FA366A" w:rsidP="00B7125A">
            <w:pPr>
              <w:spacing w:beforeLines="30" w:before="72" w:afterLines="30" w:after="72" w:line="240" w:lineRule="auto"/>
            </w:pPr>
            <w:r w:rsidRPr="002C21B8">
              <w:t>3. Did the review authors explain their selection of the study designs for inclusion in the review?</w:t>
            </w:r>
          </w:p>
        </w:tc>
      </w:tr>
      <w:tr w:rsidR="00FA366A" w:rsidRPr="002C21B8" w14:paraId="21531885" w14:textId="77777777" w:rsidTr="00B7125A">
        <w:tc>
          <w:tcPr>
            <w:tcW w:w="13887" w:type="dxa"/>
            <w:gridSpan w:val="2"/>
          </w:tcPr>
          <w:p w14:paraId="15BA08F5" w14:textId="379BE77A"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Yes</w:t>
            </w:r>
          </w:p>
          <w:p w14:paraId="1CF655A1"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313FC4ED"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76727DDA"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626D5A6A" w14:textId="77777777" w:rsidTr="001C14C3">
        <w:tc>
          <w:tcPr>
            <w:tcW w:w="13887" w:type="dxa"/>
            <w:gridSpan w:val="2"/>
          </w:tcPr>
          <w:p w14:paraId="3F5F9841" w14:textId="77777777" w:rsidR="00B7125A" w:rsidRPr="002C21B8" w:rsidRDefault="00B7125A" w:rsidP="00B7125A">
            <w:pPr>
              <w:spacing w:beforeLines="30" w:before="72" w:afterLines="30" w:after="72" w:line="240" w:lineRule="auto"/>
            </w:pPr>
            <w:r w:rsidRPr="002C21B8">
              <w:t>For Yes, the review should satisfy ONE of the following:</w:t>
            </w:r>
          </w:p>
          <w:p w14:paraId="5160D3A6" w14:textId="77777777"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Explanation for including only RCTs</w:t>
            </w:r>
          </w:p>
          <w:p w14:paraId="0AA45F93"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Explanation for including only NRSI</w:t>
            </w:r>
          </w:p>
          <w:p w14:paraId="3FF62EC7" w14:textId="5EF33CD4"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Explanation for including both RCTs and NRSI</w:t>
            </w:r>
          </w:p>
        </w:tc>
      </w:tr>
      <w:tr w:rsidR="00FA366A" w:rsidRPr="002C21B8" w14:paraId="623318D4" w14:textId="77777777" w:rsidTr="00B7125A">
        <w:tc>
          <w:tcPr>
            <w:tcW w:w="13887" w:type="dxa"/>
            <w:gridSpan w:val="2"/>
          </w:tcPr>
          <w:p w14:paraId="18327159" w14:textId="77777777" w:rsidR="00FA366A" w:rsidRPr="002C21B8" w:rsidRDefault="00FA366A" w:rsidP="00B7125A">
            <w:pPr>
              <w:spacing w:beforeLines="30" w:before="72" w:afterLines="30" w:after="72" w:line="240" w:lineRule="auto"/>
            </w:pPr>
            <w:r w:rsidRPr="002C21B8">
              <w:t>4. Did the review authors use a comprehensive literature search strategy? (CRITICAL DOMAIN)</w:t>
            </w:r>
          </w:p>
        </w:tc>
      </w:tr>
      <w:tr w:rsidR="00FA366A" w:rsidRPr="002C21B8" w14:paraId="0E13B6A2" w14:textId="77777777" w:rsidTr="00B7125A">
        <w:tc>
          <w:tcPr>
            <w:tcW w:w="13887" w:type="dxa"/>
            <w:gridSpan w:val="2"/>
          </w:tcPr>
          <w:p w14:paraId="5D4C7161"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58A67373" w14:textId="1DA3A22E"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Partial Yes</w:t>
            </w:r>
          </w:p>
          <w:p w14:paraId="04A7DB1F"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368DEDA8"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7DE3251D"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bl>
    <w:p w14:paraId="7F847510" w14:textId="77777777" w:rsidR="00B7125A" w:rsidRPr="002C21B8" w:rsidRDefault="00B7125A">
      <w:r w:rsidRPr="002C21B8">
        <w:br w:type="page"/>
      </w:r>
    </w:p>
    <w:tbl>
      <w:tblPr>
        <w:tblStyle w:val="TableGrid"/>
        <w:tblW w:w="0" w:type="auto"/>
        <w:tblLook w:val="04A0" w:firstRow="1" w:lastRow="0" w:firstColumn="1" w:lastColumn="0" w:noHBand="0" w:noVBand="1"/>
      </w:tblPr>
      <w:tblGrid>
        <w:gridCol w:w="6974"/>
        <w:gridCol w:w="6913"/>
      </w:tblGrid>
      <w:tr w:rsidR="00FA366A" w:rsidRPr="002C21B8" w14:paraId="1DAF90E4" w14:textId="77777777" w:rsidTr="00B7125A">
        <w:tc>
          <w:tcPr>
            <w:tcW w:w="6974" w:type="dxa"/>
            <w:tcBorders>
              <w:bottom w:val="single" w:sz="12" w:space="0" w:color="000000" w:themeColor="text1"/>
            </w:tcBorders>
          </w:tcPr>
          <w:p w14:paraId="5C2E0126" w14:textId="638C9D18" w:rsidR="00FA366A" w:rsidRPr="002C21B8" w:rsidRDefault="00FA366A" w:rsidP="00B7125A">
            <w:pPr>
              <w:spacing w:beforeLines="30" w:before="72" w:afterLines="30" w:after="72" w:line="240" w:lineRule="auto"/>
            </w:pPr>
            <w:r w:rsidRPr="002C21B8">
              <w:t>For Partial Yes (all the following)</w:t>
            </w:r>
            <w:r w:rsidR="00B7125A" w:rsidRPr="002C21B8">
              <w:t>:</w:t>
            </w:r>
          </w:p>
          <w:p w14:paraId="6BEEF095" w14:textId="6E317C7D"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Searched at least 2 databases</w:t>
            </w:r>
          </w:p>
          <w:p w14:paraId="489085E8" w14:textId="3F1D4463"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Provided key word and/or search strategy</w:t>
            </w:r>
          </w:p>
          <w:p w14:paraId="6B6DDFD5" w14:textId="5A6351E5"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Justified publication restrictions</w:t>
            </w:r>
          </w:p>
        </w:tc>
        <w:tc>
          <w:tcPr>
            <w:tcW w:w="6913" w:type="dxa"/>
            <w:tcBorders>
              <w:bottom w:val="single" w:sz="12" w:space="0" w:color="000000" w:themeColor="text1"/>
            </w:tcBorders>
          </w:tcPr>
          <w:p w14:paraId="7BB3CD84" w14:textId="53EA6120" w:rsidR="00FA366A" w:rsidRPr="002C21B8" w:rsidRDefault="00FA366A" w:rsidP="00B7125A">
            <w:pPr>
              <w:spacing w:beforeLines="30" w:before="72" w:afterLines="30" w:after="72" w:line="240" w:lineRule="auto"/>
            </w:pPr>
            <w:r w:rsidRPr="002C21B8">
              <w:t>For Yes, should also have (all the following)</w:t>
            </w:r>
            <w:r w:rsidR="00B7125A" w:rsidRPr="002C21B8">
              <w:t>:</w:t>
            </w:r>
          </w:p>
          <w:p w14:paraId="3BE035EB"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Searched the reference lists/bibliographies of included studies</w:t>
            </w:r>
          </w:p>
          <w:p w14:paraId="238140AE"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Searched trial/study registries</w:t>
            </w:r>
          </w:p>
          <w:p w14:paraId="309B118D"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Included/consulted content experts in the field</w:t>
            </w:r>
          </w:p>
          <w:p w14:paraId="47FD2CDB"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Where relevant, searched for grey literature</w:t>
            </w:r>
          </w:p>
          <w:p w14:paraId="07B74A71" w14:textId="619CEBD4"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Conducted search within 24 months of completion of the review</w:t>
            </w:r>
          </w:p>
        </w:tc>
      </w:tr>
      <w:tr w:rsidR="00FA366A" w:rsidRPr="002C21B8" w14:paraId="509685D4" w14:textId="77777777" w:rsidTr="00B7125A">
        <w:tc>
          <w:tcPr>
            <w:tcW w:w="13887"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3564B60" w14:textId="77777777" w:rsidR="00FA366A" w:rsidRPr="002C21B8" w:rsidRDefault="00FA366A" w:rsidP="00B7125A">
            <w:pPr>
              <w:spacing w:beforeLines="30" w:before="72" w:afterLines="30" w:after="72" w:line="240" w:lineRule="auto"/>
            </w:pPr>
            <w:r w:rsidRPr="002C21B8">
              <w:t>5. Did the review authors perform study selection in duplicate?</w:t>
            </w:r>
          </w:p>
        </w:tc>
      </w:tr>
      <w:tr w:rsidR="00FA366A" w:rsidRPr="002C21B8" w14:paraId="36D629CB" w14:textId="77777777" w:rsidTr="00B7125A">
        <w:tc>
          <w:tcPr>
            <w:tcW w:w="13887" w:type="dxa"/>
            <w:gridSpan w:val="2"/>
            <w:tcBorders>
              <w:top w:val="single" w:sz="12" w:space="0" w:color="000000" w:themeColor="text1"/>
            </w:tcBorders>
          </w:tcPr>
          <w:p w14:paraId="3998FBB2" w14:textId="1D301761"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Yes</w:t>
            </w:r>
          </w:p>
          <w:p w14:paraId="3CFCA1CC"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42D7E98C"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702782E9"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1929BE8A" w14:textId="77777777" w:rsidTr="009C12A1">
        <w:trPr>
          <w:cantSplit/>
        </w:trPr>
        <w:tc>
          <w:tcPr>
            <w:tcW w:w="13887" w:type="dxa"/>
            <w:gridSpan w:val="2"/>
          </w:tcPr>
          <w:p w14:paraId="2C06F4E3" w14:textId="6F5EEBA3" w:rsidR="00B7125A" w:rsidRPr="002C21B8" w:rsidRDefault="00B7125A" w:rsidP="00B7125A">
            <w:pPr>
              <w:spacing w:beforeLines="30" w:before="72" w:afterLines="30" w:after="72" w:line="240" w:lineRule="auto"/>
            </w:pPr>
            <w:r w:rsidRPr="002C21B8">
              <w:t>For Yes (either of the following):</w:t>
            </w:r>
          </w:p>
          <w:p w14:paraId="21ED610A"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At least two reviewers independently agreed on selection of eligible studies and achieved consensus on which studies to include</w:t>
            </w:r>
          </w:p>
          <w:p w14:paraId="3A278518" w14:textId="2AB0756E"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Two reviewers selected a sample of eligible studies and achieved good agreement (at least 80%), with the remainder selected by one reviewer</w:t>
            </w:r>
          </w:p>
        </w:tc>
      </w:tr>
      <w:tr w:rsidR="00FA366A" w:rsidRPr="002C21B8" w14:paraId="4342F47A" w14:textId="77777777" w:rsidTr="00B7125A">
        <w:tc>
          <w:tcPr>
            <w:tcW w:w="13887" w:type="dxa"/>
            <w:gridSpan w:val="2"/>
          </w:tcPr>
          <w:p w14:paraId="717F7F48" w14:textId="77777777" w:rsidR="00FA366A" w:rsidRPr="002C21B8" w:rsidRDefault="00FA366A" w:rsidP="00B7125A">
            <w:pPr>
              <w:spacing w:beforeLines="30" w:before="72" w:afterLines="30" w:after="72" w:line="240" w:lineRule="auto"/>
            </w:pPr>
            <w:r w:rsidRPr="002C21B8">
              <w:t>6. Did the review authors perform data extraction in duplicate?</w:t>
            </w:r>
          </w:p>
        </w:tc>
      </w:tr>
      <w:tr w:rsidR="00B7125A" w:rsidRPr="002C21B8" w14:paraId="6BB644E7" w14:textId="77777777" w:rsidTr="008E2690">
        <w:tc>
          <w:tcPr>
            <w:tcW w:w="13887" w:type="dxa"/>
            <w:gridSpan w:val="2"/>
          </w:tcPr>
          <w:p w14:paraId="0AE486DA"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7C1614FC"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763005CC" w14:textId="77777777"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571C174A" w14:textId="2B5B65DC"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578446A0" w14:textId="77777777" w:rsidTr="000B75F8">
        <w:tc>
          <w:tcPr>
            <w:tcW w:w="13887" w:type="dxa"/>
            <w:gridSpan w:val="2"/>
          </w:tcPr>
          <w:p w14:paraId="55DA1080" w14:textId="5F703C0C" w:rsidR="00B7125A" w:rsidRPr="002C21B8" w:rsidRDefault="00B7125A" w:rsidP="00B7125A">
            <w:pPr>
              <w:spacing w:beforeLines="30" w:before="72" w:afterLines="30" w:after="72" w:line="240" w:lineRule="auto"/>
            </w:pPr>
            <w:r w:rsidRPr="002C21B8">
              <w:t>For Yes, either one of the following:</w:t>
            </w:r>
          </w:p>
          <w:p w14:paraId="29B7D917"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At least two reviewers achieved consensus on which data to extract from included studies</w:t>
            </w:r>
          </w:p>
          <w:p w14:paraId="2C6C72FE" w14:textId="0D1011FD"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Two reviewers extracted data from a sample of eligible studies and achieved good agreement (at least 80%), with the remainder extracted by one reviewer</w:t>
            </w:r>
          </w:p>
        </w:tc>
      </w:tr>
      <w:tr w:rsidR="00FA366A" w:rsidRPr="002C21B8" w14:paraId="07F48C54" w14:textId="77777777" w:rsidTr="00B7125A">
        <w:tc>
          <w:tcPr>
            <w:tcW w:w="13887" w:type="dxa"/>
            <w:gridSpan w:val="2"/>
          </w:tcPr>
          <w:p w14:paraId="0896457D" w14:textId="77777777" w:rsidR="00FA366A" w:rsidRPr="002C21B8" w:rsidRDefault="00FA366A" w:rsidP="00B7125A">
            <w:pPr>
              <w:spacing w:beforeLines="30" w:before="72" w:afterLines="30" w:after="72" w:line="240" w:lineRule="auto"/>
            </w:pPr>
            <w:r w:rsidRPr="002C21B8">
              <w:t>7. Did the review authors provide a list of excluded studies and justify the exclusions? (CRITICAL DOMAIN)</w:t>
            </w:r>
          </w:p>
        </w:tc>
      </w:tr>
      <w:tr w:rsidR="00FA366A" w:rsidRPr="002C21B8" w14:paraId="3EFF8F0E" w14:textId="77777777" w:rsidTr="00B7125A">
        <w:tc>
          <w:tcPr>
            <w:tcW w:w="13887" w:type="dxa"/>
            <w:gridSpan w:val="2"/>
          </w:tcPr>
          <w:p w14:paraId="4BB823AB"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723D36F4"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Partial Yes</w:t>
            </w:r>
          </w:p>
          <w:p w14:paraId="317214B2" w14:textId="4FA34B69"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w:t>
            </w:r>
          </w:p>
          <w:p w14:paraId="0090B348"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4A3A70A0"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FA366A" w:rsidRPr="002C21B8" w14:paraId="0EF6CA28" w14:textId="77777777" w:rsidTr="00B7125A">
        <w:tc>
          <w:tcPr>
            <w:tcW w:w="6974" w:type="dxa"/>
          </w:tcPr>
          <w:p w14:paraId="6D1FE4B9" w14:textId="63A8457C" w:rsidR="00FA366A" w:rsidRPr="002C21B8" w:rsidRDefault="00FA366A" w:rsidP="00B7125A">
            <w:pPr>
              <w:spacing w:beforeLines="30" w:before="72" w:afterLines="30" w:after="72" w:line="240" w:lineRule="auto"/>
            </w:pPr>
            <w:r w:rsidRPr="002C21B8">
              <w:t>For Partial Yes</w:t>
            </w:r>
            <w:r w:rsidR="0023788E" w:rsidRPr="002C21B8">
              <w:t>:</w:t>
            </w:r>
          </w:p>
          <w:p w14:paraId="7B9688D6" w14:textId="6F72A74C"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Provided a list of all potentially relevant studies that were read in full</w:t>
            </w:r>
            <w:r w:rsidR="000C2F53" w:rsidRPr="002C21B8">
              <w:t>-</w:t>
            </w:r>
            <w:r w:rsidRPr="002C21B8">
              <w:t>text form but excluded from the review</w:t>
            </w:r>
          </w:p>
        </w:tc>
        <w:tc>
          <w:tcPr>
            <w:tcW w:w="6913" w:type="dxa"/>
          </w:tcPr>
          <w:p w14:paraId="590C6EB4" w14:textId="3F420AE2" w:rsidR="00FA366A" w:rsidRPr="002C21B8" w:rsidRDefault="00FA366A" w:rsidP="00B7125A">
            <w:pPr>
              <w:spacing w:beforeLines="30" w:before="72" w:afterLines="30" w:after="72" w:line="240" w:lineRule="auto"/>
            </w:pPr>
            <w:r w:rsidRPr="002C21B8">
              <w:t>For Yes, must also have</w:t>
            </w:r>
            <w:r w:rsidR="0023788E" w:rsidRPr="002C21B8">
              <w:t>:</w:t>
            </w:r>
          </w:p>
          <w:p w14:paraId="4CFFDE0F"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Justified the exclusion from the review of each potentially relevant study</w:t>
            </w:r>
          </w:p>
        </w:tc>
      </w:tr>
      <w:tr w:rsidR="00FA366A" w:rsidRPr="002C21B8" w14:paraId="60E25A1F" w14:textId="77777777" w:rsidTr="00B7125A">
        <w:tc>
          <w:tcPr>
            <w:tcW w:w="13887" w:type="dxa"/>
            <w:gridSpan w:val="2"/>
          </w:tcPr>
          <w:p w14:paraId="2CB618CE" w14:textId="77777777" w:rsidR="00FA366A" w:rsidRPr="002C21B8" w:rsidRDefault="00FA366A" w:rsidP="00B7125A">
            <w:pPr>
              <w:spacing w:beforeLines="30" w:before="72" w:afterLines="30" w:after="72" w:line="240" w:lineRule="auto"/>
            </w:pPr>
            <w:r w:rsidRPr="002C21B8">
              <w:t>8. Did the review authors describe the included studies in adequate detail?</w:t>
            </w:r>
          </w:p>
        </w:tc>
      </w:tr>
      <w:tr w:rsidR="00FA366A" w:rsidRPr="002C21B8" w14:paraId="4BF7AAA6" w14:textId="77777777" w:rsidTr="00B7125A">
        <w:tc>
          <w:tcPr>
            <w:tcW w:w="13887" w:type="dxa"/>
            <w:gridSpan w:val="2"/>
          </w:tcPr>
          <w:p w14:paraId="66A83572"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5E173C9D"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Partial Yes</w:t>
            </w:r>
          </w:p>
          <w:p w14:paraId="3C7D49F2" w14:textId="2654FB06"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w:t>
            </w:r>
          </w:p>
          <w:p w14:paraId="2D8AACDF"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3C16A654"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FA366A" w:rsidRPr="002C21B8" w14:paraId="45C262E1" w14:textId="77777777" w:rsidTr="00B7125A">
        <w:tc>
          <w:tcPr>
            <w:tcW w:w="6974" w:type="dxa"/>
          </w:tcPr>
          <w:p w14:paraId="65706814" w14:textId="67336184" w:rsidR="00FA366A" w:rsidRPr="002C21B8" w:rsidRDefault="00FA366A" w:rsidP="00B7125A">
            <w:pPr>
              <w:spacing w:beforeLines="30" w:before="72" w:afterLines="30" w:after="72" w:line="240" w:lineRule="auto"/>
            </w:pPr>
            <w:r w:rsidRPr="002C21B8">
              <w:t>For Partial Yes (ALL the following)</w:t>
            </w:r>
            <w:r w:rsidR="0023788E" w:rsidRPr="002C21B8">
              <w:t>:</w:t>
            </w:r>
          </w:p>
          <w:p w14:paraId="2455A60D"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populations</w:t>
            </w:r>
          </w:p>
          <w:p w14:paraId="04D011F3"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interventions</w:t>
            </w:r>
          </w:p>
          <w:p w14:paraId="3D4D46DB"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comparators</w:t>
            </w:r>
          </w:p>
          <w:p w14:paraId="58A42682"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outcomes</w:t>
            </w:r>
          </w:p>
          <w:p w14:paraId="2C663919"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Designed research designs</w:t>
            </w:r>
          </w:p>
        </w:tc>
        <w:tc>
          <w:tcPr>
            <w:tcW w:w="6913" w:type="dxa"/>
          </w:tcPr>
          <w:p w14:paraId="3D763E14" w14:textId="265DDB33" w:rsidR="00FA366A" w:rsidRPr="002C21B8" w:rsidRDefault="00FA366A" w:rsidP="00B7125A">
            <w:pPr>
              <w:spacing w:beforeLines="30" w:before="72" w:afterLines="30" w:after="72" w:line="240" w:lineRule="auto"/>
            </w:pPr>
            <w:r w:rsidRPr="002C21B8">
              <w:t>For Yes, should also have ALL the following</w:t>
            </w:r>
            <w:r w:rsidR="0023788E" w:rsidRPr="002C21B8">
              <w:t>:</w:t>
            </w:r>
          </w:p>
          <w:p w14:paraId="7C384E8B"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population in detail</w:t>
            </w:r>
          </w:p>
          <w:p w14:paraId="172A1D10" w14:textId="1D2DE2C8"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intervention and </w:t>
            </w:r>
            <w:r w:rsidR="00482B80" w:rsidRPr="002C21B8">
              <w:t>comparator</w:t>
            </w:r>
            <w:r w:rsidRPr="002C21B8">
              <w:t xml:space="preserve"> in detail (including doses where relevant)</w:t>
            </w:r>
          </w:p>
          <w:p w14:paraId="45A9BE50"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Described study’s setting</w:t>
            </w:r>
          </w:p>
          <w:p w14:paraId="1BF6D230"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Timeframe for follow-up</w:t>
            </w:r>
          </w:p>
          <w:p w14:paraId="66EA4E15" w14:textId="77777777" w:rsidR="00FA366A" w:rsidRPr="002C21B8" w:rsidRDefault="00FA366A" w:rsidP="00B7125A">
            <w:pPr>
              <w:spacing w:beforeLines="30" w:before="72" w:afterLines="30" w:after="72" w:line="240" w:lineRule="auto"/>
            </w:pPr>
          </w:p>
        </w:tc>
      </w:tr>
    </w:tbl>
    <w:p w14:paraId="49369CA0" w14:textId="77777777" w:rsidR="0023788E" w:rsidRPr="002C21B8" w:rsidRDefault="0023788E">
      <w:r w:rsidRPr="002C21B8">
        <w:br w:type="page"/>
      </w:r>
    </w:p>
    <w:tbl>
      <w:tblPr>
        <w:tblStyle w:val="TableGrid"/>
        <w:tblW w:w="0" w:type="auto"/>
        <w:tblLook w:val="04A0" w:firstRow="1" w:lastRow="0" w:firstColumn="1" w:lastColumn="0" w:noHBand="0" w:noVBand="1"/>
      </w:tblPr>
      <w:tblGrid>
        <w:gridCol w:w="6974"/>
        <w:gridCol w:w="6913"/>
      </w:tblGrid>
      <w:tr w:rsidR="00FA366A" w:rsidRPr="002C21B8" w14:paraId="4C474A85" w14:textId="77777777" w:rsidTr="00B7125A">
        <w:tc>
          <w:tcPr>
            <w:tcW w:w="13887" w:type="dxa"/>
            <w:gridSpan w:val="2"/>
          </w:tcPr>
          <w:p w14:paraId="4D58371E" w14:textId="79AEFD41" w:rsidR="00FA366A" w:rsidRPr="002C21B8" w:rsidRDefault="00FA366A" w:rsidP="00B7125A">
            <w:pPr>
              <w:spacing w:beforeLines="30" w:before="72" w:afterLines="30" w:after="72" w:line="240" w:lineRule="auto"/>
            </w:pPr>
            <w:r w:rsidRPr="002C21B8">
              <w:t>9. Did the review auth</w:t>
            </w:r>
            <w:r w:rsidR="00832573" w:rsidRPr="002C21B8">
              <w:t>o</w:t>
            </w:r>
            <w:r w:rsidRPr="002C21B8">
              <w:t>rs use a satisfactory technique for assessing the risk of bias in individual studies that were included in the review? (CRITICAL DOMAIN)</w:t>
            </w:r>
          </w:p>
        </w:tc>
      </w:tr>
      <w:tr w:rsidR="00FA366A" w:rsidRPr="002C21B8" w14:paraId="0D0C72C8" w14:textId="77777777" w:rsidTr="00B7125A">
        <w:tc>
          <w:tcPr>
            <w:tcW w:w="13887" w:type="dxa"/>
            <w:gridSpan w:val="2"/>
          </w:tcPr>
          <w:p w14:paraId="6602BB3D"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11D5F4B8" w14:textId="7AB943B9"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Partial Yes</w:t>
            </w:r>
          </w:p>
          <w:p w14:paraId="5819FD5A"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78193C9C"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7B37217B"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FA366A" w:rsidRPr="002C21B8" w14:paraId="7D824DDF" w14:textId="77777777" w:rsidTr="00B7125A">
        <w:tc>
          <w:tcPr>
            <w:tcW w:w="6974" w:type="dxa"/>
          </w:tcPr>
          <w:p w14:paraId="4EE9C6EA" w14:textId="7625B397" w:rsidR="00FA366A" w:rsidRPr="002C21B8" w:rsidRDefault="00FA366A" w:rsidP="00B7125A">
            <w:pPr>
              <w:spacing w:beforeLines="30" w:before="72" w:afterLines="30" w:after="72" w:line="240" w:lineRule="auto"/>
            </w:pPr>
            <w:r w:rsidRPr="002C21B8">
              <w:t>NSRI</w:t>
            </w:r>
            <w:r w:rsidR="0023788E" w:rsidRPr="002C21B8">
              <w:t xml:space="preserve"> - </w:t>
            </w:r>
            <w:r w:rsidRPr="002C21B8">
              <w:t>For a Partial Yes, must have assessed RoB</w:t>
            </w:r>
            <w:r w:rsidR="0023788E" w:rsidRPr="002C21B8">
              <w:t>:</w:t>
            </w:r>
          </w:p>
          <w:p w14:paraId="7980EB93"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From confounding, and</w:t>
            </w:r>
          </w:p>
          <w:p w14:paraId="61DA6E2C"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From selection bias</w:t>
            </w:r>
          </w:p>
        </w:tc>
        <w:tc>
          <w:tcPr>
            <w:tcW w:w="6913" w:type="dxa"/>
          </w:tcPr>
          <w:p w14:paraId="7E7C5287" w14:textId="3BFD73C3" w:rsidR="00FA366A" w:rsidRPr="002C21B8" w:rsidRDefault="00FA366A" w:rsidP="00B7125A">
            <w:pPr>
              <w:spacing w:beforeLines="30" w:before="72" w:afterLines="30" w:after="72" w:line="240" w:lineRule="auto"/>
            </w:pPr>
            <w:r w:rsidRPr="002C21B8">
              <w:t>NSRI</w:t>
            </w:r>
            <w:r w:rsidR="0023788E" w:rsidRPr="002C21B8">
              <w:t xml:space="preserve"> - </w:t>
            </w:r>
            <w:r w:rsidRPr="002C21B8">
              <w:t>For a Yes, must have assessed RoB</w:t>
            </w:r>
            <w:r w:rsidR="0023788E" w:rsidRPr="002C21B8">
              <w:t>:</w:t>
            </w:r>
          </w:p>
          <w:p w14:paraId="0276F91C"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Methods used to ascertain exposures and outcomes, and </w:t>
            </w:r>
          </w:p>
          <w:p w14:paraId="009C0BEE" w14:textId="62AD29B3"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Selection of the reported result from among multiple measurements or analyses of a specified outcome</w:t>
            </w:r>
          </w:p>
        </w:tc>
      </w:tr>
      <w:tr w:rsidR="00FA366A" w:rsidRPr="002C21B8" w14:paraId="11939CC1" w14:textId="77777777" w:rsidTr="00B7125A">
        <w:tc>
          <w:tcPr>
            <w:tcW w:w="13887" w:type="dxa"/>
            <w:gridSpan w:val="2"/>
          </w:tcPr>
          <w:p w14:paraId="0AF26EDC" w14:textId="77777777" w:rsidR="00FA366A" w:rsidRPr="002C21B8" w:rsidRDefault="00FA366A" w:rsidP="00B7125A">
            <w:pPr>
              <w:spacing w:beforeLines="30" w:before="72" w:afterLines="30" w:after="72" w:line="240" w:lineRule="auto"/>
            </w:pPr>
            <w:r w:rsidRPr="002C21B8">
              <w:t>10. Did the review authors report on the sources of funding for the studies included in the review?</w:t>
            </w:r>
          </w:p>
        </w:tc>
      </w:tr>
      <w:tr w:rsidR="00B7125A" w:rsidRPr="002C21B8" w14:paraId="295821A2" w14:textId="77777777" w:rsidTr="008D127B">
        <w:tc>
          <w:tcPr>
            <w:tcW w:w="13887" w:type="dxa"/>
            <w:gridSpan w:val="2"/>
          </w:tcPr>
          <w:p w14:paraId="22288338"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073EBA83"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0C85EBCA" w14:textId="77777777"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1E1F143D" w14:textId="08B360B4" w:rsidR="00B7125A" w:rsidRPr="002C21B8" w:rsidRDefault="00B7125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23F82780" w14:textId="77777777" w:rsidTr="00BA1294">
        <w:tc>
          <w:tcPr>
            <w:tcW w:w="13887" w:type="dxa"/>
            <w:gridSpan w:val="2"/>
          </w:tcPr>
          <w:p w14:paraId="2BFCFB61" w14:textId="46706B44" w:rsidR="00B7125A" w:rsidRPr="002C21B8" w:rsidRDefault="00B7125A" w:rsidP="00B7125A">
            <w:pPr>
              <w:spacing w:beforeLines="30" w:before="72" w:afterLines="30" w:after="72" w:line="240" w:lineRule="auto"/>
            </w:pPr>
            <w:r w:rsidRPr="002C21B8">
              <w:t>For Yes</w:t>
            </w:r>
            <w:r w:rsidR="0023788E" w:rsidRPr="002C21B8">
              <w:t>:</w:t>
            </w:r>
          </w:p>
          <w:p w14:paraId="7484C14A" w14:textId="234491EE"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Must have reported on the sources of funding for individual studies included in the review</w:t>
            </w:r>
          </w:p>
        </w:tc>
      </w:tr>
    </w:tbl>
    <w:p w14:paraId="004ACAA8" w14:textId="77777777" w:rsidR="0023788E" w:rsidRPr="002C21B8" w:rsidRDefault="0023788E">
      <w:r w:rsidRPr="002C21B8">
        <w:br w:type="page"/>
      </w:r>
    </w:p>
    <w:tbl>
      <w:tblPr>
        <w:tblStyle w:val="TableGrid"/>
        <w:tblW w:w="0" w:type="auto"/>
        <w:tblLook w:val="04A0" w:firstRow="1" w:lastRow="0" w:firstColumn="1" w:lastColumn="0" w:noHBand="0" w:noVBand="1"/>
      </w:tblPr>
      <w:tblGrid>
        <w:gridCol w:w="13887"/>
      </w:tblGrid>
      <w:tr w:rsidR="00FA366A" w:rsidRPr="002C21B8" w14:paraId="3E611263" w14:textId="77777777" w:rsidTr="00B7125A">
        <w:tc>
          <w:tcPr>
            <w:tcW w:w="13887" w:type="dxa"/>
          </w:tcPr>
          <w:p w14:paraId="02101778" w14:textId="61CFE9D7" w:rsidR="00FA366A" w:rsidRPr="002C21B8" w:rsidRDefault="00FA366A" w:rsidP="00B7125A">
            <w:pPr>
              <w:spacing w:beforeLines="30" w:before="72" w:afterLines="30" w:after="72" w:line="240" w:lineRule="auto"/>
            </w:pPr>
            <w:r w:rsidRPr="002C21B8">
              <w:t>11. If meta-analysis was performed did the review authors use appropriate methods for statistical combination of results? (CRITICAL DOMAIN)</w:t>
            </w:r>
          </w:p>
        </w:tc>
      </w:tr>
      <w:tr w:rsidR="00FA366A" w:rsidRPr="002C21B8" w14:paraId="7FBA1B4C" w14:textId="77777777" w:rsidTr="00B7125A">
        <w:tc>
          <w:tcPr>
            <w:tcW w:w="13887" w:type="dxa"/>
          </w:tcPr>
          <w:p w14:paraId="2D0B37DC"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226ABFE0"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 </w:t>
            </w:r>
          </w:p>
          <w:p w14:paraId="744FBCC1"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 meta-analysis conducted</w:t>
            </w:r>
          </w:p>
          <w:p w14:paraId="320923C9"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23AEB09C" w14:textId="6AA70DC2"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Not Applicable</w:t>
            </w:r>
          </w:p>
        </w:tc>
      </w:tr>
      <w:tr w:rsidR="00B7125A" w:rsidRPr="002C21B8" w14:paraId="51E8670E" w14:textId="77777777" w:rsidTr="00532BE9">
        <w:tc>
          <w:tcPr>
            <w:tcW w:w="13887" w:type="dxa"/>
          </w:tcPr>
          <w:p w14:paraId="7BA5B767" w14:textId="67F0E0E8" w:rsidR="00B7125A" w:rsidRPr="002C21B8" w:rsidRDefault="00B7125A" w:rsidP="00B7125A">
            <w:pPr>
              <w:spacing w:beforeLines="30" w:before="72" w:afterLines="30" w:after="72" w:line="240" w:lineRule="auto"/>
            </w:pPr>
            <w:r w:rsidRPr="002C21B8">
              <w:t>NSRI</w:t>
            </w:r>
            <w:r w:rsidR="0023788E" w:rsidRPr="002C21B8">
              <w:t xml:space="preserve"> - </w:t>
            </w:r>
            <w:r w:rsidRPr="002C21B8">
              <w:t>For Yes</w:t>
            </w:r>
            <w:r w:rsidR="0023788E" w:rsidRPr="002C21B8">
              <w:t>:</w:t>
            </w:r>
          </w:p>
          <w:p w14:paraId="1F79EF7E"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The authors justified combining the data in a meta-analysis</w:t>
            </w:r>
          </w:p>
          <w:p w14:paraId="23E57F08"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AND they used an appropriate weighted technique to combine study results and adjusted for heterogeneity if present</w:t>
            </w:r>
          </w:p>
          <w:p w14:paraId="3647099C"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AND they statistically combined effect estimates from NSRI that were adjusted for confounding, rather than combining raw data, or justified combining raw data when adjusted effect estimates were not available</w:t>
            </w:r>
          </w:p>
          <w:p w14:paraId="23F39002" w14:textId="5E4865E2"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AND they reported separate summary estimates for RCTs and NSRI separately when both were included in the review</w:t>
            </w:r>
          </w:p>
        </w:tc>
      </w:tr>
      <w:tr w:rsidR="00FA366A" w:rsidRPr="002C21B8" w14:paraId="6522125A" w14:textId="77777777" w:rsidTr="00B7125A">
        <w:tc>
          <w:tcPr>
            <w:tcW w:w="13887" w:type="dxa"/>
          </w:tcPr>
          <w:p w14:paraId="5BC6651E" w14:textId="77777777" w:rsidR="00FA366A" w:rsidRPr="002C21B8" w:rsidRDefault="00FA366A" w:rsidP="00B7125A">
            <w:pPr>
              <w:spacing w:beforeLines="30" w:before="72" w:afterLines="30" w:after="72" w:line="240" w:lineRule="auto"/>
            </w:pPr>
            <w:r w:rsidRPr="002C21B8">
              <w:t>12. If meta-analysis was performed, did the review authors assess the potential impact of RoB in individual studies on the results of the meta-analysis or other evidence synthesis?</w:t>
            </w:r>
          </w:p>
        </w:tc>
      </w:tr>
      <w:tr w:rsidR="00FA366A" w:rsidRPr="002C21B8" w14:paraId="2992DD78" w14:textId="77777777" w:rsidTr="00B7125A">
        <w:tc>
          <w:tcPr>
            <w:tcW w:w="13887" w:type="dxa"/>
          </w:tcPr>
          <w:p w14:paraId="6726FA75"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5D634CB1"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45821B9C"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 meta-analysis conducted</w:t>
            </w:r>
          </w:p>
          <w:p w14:paraId="2B6A0C6F"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1E6BD338" w14:textId="6F3CAC49"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Not applicable</w:t>
            </w:r>
          </w:p>
        </w:tc>
      </w:tr>
      <w:tr w:rsidR="00B7125A" w:rsidRPr="002C21B8" w14:paraId="776C166E" w14:textId="77777777" w:rsidTr="00D1198A">
        <w:tc>
          <w:tcPr>
            <w:tcW w:w="13887" w:type="dxa"/>
          </w:tcPr>
          <w:p w14:paraId="0AA97EF5" w14:textId="74E5F704" w:rsidR="00B7125A" w:rsidRPr="002C21B8" w:rsidRDefault="00B7125A" w:rsidP="00B7125A">
            <w:pPr>
              <w:spacing w:beforeLines="30" w:before="72" w:afterLines="30" w:after="72" w:line="240" w:lineRule="auto"/>
            </w:pPr>
            <w:r w:rsidRPr="002C21B8">
              <w:t>NSRI</w:t>
            </w:r>
            <w:r w:rsidR="0023788E" w:rsidRPr="002C21B8">
              <w:t xml:space="preserve">: - </w:t>
            </w:r>
            <w:r w:rsidRPr="002C21B8">
              <w:t>For Yes</w:t>
            </w:r>
            <w:r w:rsidR="0023788E" w:rsidRPr="002C21B8">
              <w:t>:</w:t>
            </w:r>
          </w:p>
          <w:p w14:paraId="23783521"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Included only low risk of bias RCTs</w:t>
            </w:r>
          </w:p>
          <w:p w14:paraId="53E4465C" w14:textId="559AE856"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OR, if the pooled estimate was based on RCTs and/or NSRI at variable RoB, the authors performed analyses to investigate possible impact of RoB on summary estimates of effect</w:t>
            </w:r>
          </w:p>
        </w:tc>
      </w:tr>
    </w:tbl>
    <w:p w14:paraId="21655980" w14:textId="77777777" w:rsidR="0023788E" w:rsidRPr="002C21B8" w:rsidRDefault="0023788E">
      <w:r w:rsidRPr="002C21B8">
        <w:br w:type="page"/>
      </w:r>
    </w:p>
    <w:tbl>
      <w:tblPr>
        <w:tblStyle w:val="TableGrid"/>
        <w:tblW w:w="0" w:type="auto"/>
        <w:tblLook w:val="04A0" w:firstRow="1" w:lastRow="0" w:firstColumn="1" w:lastColumn="0" w:noHBand="0" w:noVBand="1"/>
      </w:tblPr>
      <w:tblGrid>
        <w:gridCol w:w="13887"/>
      </w:tblGrid>
      <w:tr w:rsidR="00FA366A" w:rsidRPr="002C21B8" w14:paraId="4B641C02" w14:textId="77777777" w:rsidTr="00B7125A">
        <w:tc>
          <w:tcPr>
            <w:tcW w:w="13887" w:type="dxa"/>
          </w:tcPr>
          <w:p w14:paraId="08A56018" w14:textId="1EF112A7" w:rsidR="00FA366A" w:rsidRPr="002C21B8" w:rsidRDefault="00FA366A" w:rsidP="00B7125A">
            <w:pPr>
              <w:spacing w:beforeLines="30" w:before="72" w:afterLines="30" w:after="72" w:line="240" w:lineRule="auto"/>
            </w:pPr>
            <w:r w:rsidRPr="002C21B8">
              <w:t xml:space="preserve"> 13. Did the review authors account for RoB in individual studies when interpreting/discussing the results of the review? (CRITICAL DOMAIN)</w:t>
            </w:r>
          </w:p>
        </w:tc>
      </w:tr>
      <w:tr w:rsidR="00FA366A" w:rsidRPr="002C21B8" w14:paraId="5F412380" w14:textId="77777777" w:rsidTr="00B7125A">
        <w:tc>
          <w:tcPr>
            <w:tcW w:w="13887" w:type="dxa"/>
          </w:tcPr>
          <w:p w14:paraId="5A9367C5"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6400D1BF" w14:textId="7507AA0A"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w:t>
            </w:r>
          </w:p>
          <w:p w14:paraId="0E7B7CC8"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326EC9D1"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5D4B300C" w14:textId="77777777" w:rsidTr="00994CE3">
        <w:tc>
          <w:tcPr>
            <w:tcW w:w="13887" w:type="dxa"/>
          </w:tcPr>
          <w:p w14:paraId="66FC6594" w14:textId="7CC1BA83" w:rsidR="00B7125A" w:rsidRPr="002C21B8" w:rsidRDefault="00B7125A" w:rsidP="00B7125A">
            <w:pPr>
              <w:spacing w:beforeLines="30" w:before="72" w:afterLines="30" w:after="72" w:line="240" w:lineRule="auto"/>
            </w:pPr>
            <w:r w:rsidRPr="002C21B8">
              <w:t>For Yes</w:t>
            </w:r>
            <w:r w:rsidR="0023788E" w:rsidRPr="002C21B8">
              <w:t>:</w:t>
            </w:r>
          </w:p>
          <w:p w14:paraId="7BD1BF92"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Included only low risk of bias RCTs</w:t>
            </w:r>
          </w:p>
          <w:p w14:paraId="4709C805" w14:textId="38AF37F4"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OR, if RCTs with moderate or high RoB, or NSRI were included the review provided a discussion of the likely impact of RoB on the results</w:t>
            </w:r>
          </w:p>
        </w:tc>
      </w:tr>
      <w:tr w:rsidR="00FA366A" w:rsidRPr="002C21B8" w14:paraId="2F18ED7A" w14:textId="77777777" w:rsidTr="00B7125A">
        <w:tc>
          <w:tcPr>
            <w:tcW w:w="13887" w:type="dxa"/>
          </w:tcPr>
          <w:p w14:paraId="287F1A19" w14:textId="1F980892" w:rsidR="00FA366A" w:rsidRPr="002C21B8" w:rsidRDefault="00FA366A" w:rsidP="00B7125A">
            <w:pPr>
              <w:spacing w:beforeLines="30" w:before="72" w:afterLines="30" w:after="72" w:line="240" w:lineRule="auto"/>
            </w:pPr>
            <w:r w:rsidRPr="002C21B8">
              <w:t xml:space="preserve">14. Did the review authors provide a </w:t>
            </w:r>
            <w:r w:rsidR="00832573" w:rsidRPr="002C21B8">
              <w:t>satisfactory</w:t>
            </w:r>
            <w:r w:rsidRPr="002C21B8">
              <w:t xml:space="preserve"> explanation for, and discussion of, any </w:t>
            </w:r>
            <w:r w:rsidR="00482B80" w:rsidRPr="002C21B8">
              <w:t>heterogeneity</w:t>
            </w:r>
            <w:r w:rsidRPr="002C21B8">
              <w:t xml:space="preserve"> observed in the results of the review?</w:t>
            </w:r>
          </w:p>
        </w:tc>
      </w:tr>
      <w:tr w:rsidR="00FA366A" w:rsidRPr="002C21B8" w14:paraId="0EFBAB43" w14:textId="77777777" w:rsidTr="00B7125A">
        <w:tc>
          <w:tcPr>
            <w:tcW w:w="13887" w:type="dxa"/>
          </w:tcPr>
          <w:p w14:paraId="6A5B243B" w14:textId="67D27DFA"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Yes</w:t>
            </w:r>
          </w:p>
          <w:p w14:paraId="4589CD24"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528FB286"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6DC08D5A"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6667389F" w14:textId="77777777" w:rsidTr="00E252FC">
        <w:tc>
          <w:tcPr>
            <w:tcW w:w="13887" w:type="dxa"/>
          </w:tcPr>
          <w:p w14:paraId="0869E143" w14:textId="0655BBAD" w:rsidR="00B7125A" w:rsidRPr="002C21B8" w:rsidRDefault="00B7125A" w:rsidP="00B7125A">
            <w:pPr>
              <w:spacing w:beforeLines="30" w:before="72" w:afterLines="30" w:after="72" w:line="240" w:lineRule="auto"/>
            </w:pPr>
            <w:r w:rsidRPr="002C21B8">
              <w:t>For Yes</w:t>
            </w:r>
            <w:r w:rsidR="0023788E" w:rsidRPr="002C21B8">
              <w:t>:</w:t>
            </w:r>
          </w:p>
          <w:p w14:paraId="60F3757E"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There was no significant heterogeneity in the results</w:t>
            </w:r>
          </w:p>
          <w:p w14:paraId="5FDAC292" w14:textId="6CC89BED"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OR If heterogeneity was present the authors performed an investigation of sources of any heterogeneity in the results and discussed the impact of this on the results of the review</w:t>
            </w:r>
          </w:p>
        </w:tc>
      </w:tr>
      <w:tr w:rsidR="00FA366A" w:rsidRPr="002C21B8" w14:paraId="5186DD11" w14:textId="77777777" w:rsidTr="00B7125A">
        <w:tc>
          <w:tcPr>
            <w:tcW w:w="13887" w:type="dxa"/>
          </w:tcPr>
          <w:p w14:paraId="20F426F2" w14:textId="5728750F" w:rsidR="00FA366A" w:rsidRPr="002C21B8" w:rsidRDefault="00FA366A" w:rsidP="00B7125A">
            <w:pPr>
              <w:spacing w:beforeLines="30" w:before="72" w:afterLines="30" w:after="72" w:line="240" w:lineRule="auto"/>
            </w:pPr>
            <w:r w:rsidRPr="002C21B8">
              <w:t xml:space="preserve">15. If they performed quantitative synthesis did the review authors carry out an adequate </w:t>
            </w:r>
            <w:r w:rsidR="00D22BF0" w:rsidRPr="002C21B8">
              <w:t>investigation</w:t>
            </w:r>
            <w:r w:rsidRPr="002C21B8">
              <w:t xml:space="preserve"> of publication bias (small study bias) and discuss its </w:t>
            </w:r>
            <w:r w:rsidR="00D22BF0" w:rsidRPr="002C21B8">
              <w:t>likely</w:t>
            </w:r>
            <w:r w:rsidRPr="002C21B8">
              <w:t xml:space="preserve"> impact on the results of the review? (CRITICAL DOMAIN)</w:t>
            </w:r>
          </w:p>
        </w:tc>
      </w:tr>
      <w:tr w:rsidR="00FA366A" w:rsidRPr="002C21B8" w14:paraId="4CEEBFD2" w14:textId="77777777" w:rsidTr="00B7125A">
        <w:tc>
          <w:tcPr>
            <w:tcW w:w="13887" w:type="dxa"/>
          </w:tcPr>
          <w:p w14:paraId="3DDBB622"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Yes</w:t>
            </w:r>
          </w:p>
          <w:p w14:paraId="30E711D7"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2BA436A1"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 meta-analysis conducted</w:t>
            </w:r>
          </w:p>
          <w:p w14:paraId="55D089F1"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3C48B905" w14:textId="78A05066"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Not applicable</w:t>
            </w:r>
          </w:p>
        </w:tc>
      </w:tr>
      <w:tr w:rsidR="00B7125A" w:rsidRPr="002C21B8" w14:paraId="45956846" w14:textId="77777777" w:rsidTr="00A62F37">
        <w:tc>
          <w:tcPr>
            <w:tcW w:w="13887" w:type="dxa"/>
          </w:tcPr>
          <w:p w14:paraId="16B09E39" w14:textId="2A626BD2" w:rsidR="00B7125A" w:rsidRPr="002C21B8" w:rsidRDefault="00B7125A" w:rsidP="00B7125A">
            <w:pPr>
              <w:spacing w:beforeLines="30" w:before="72" w:afterLines="30" w:after="72" w:line="240" w:lineRule="auto"/>
            </w:pPr>
            <w:r w:rsidRPr="002C21B8">
              <w:t>For Yes</w:t>
            </w:r>
            <w:r w:rsidR="00E031F0" w:rsidRPr="002C21B8">
              <w:t>:</w:t>
            </w:r>
          </w:p>
          <w:p w14:paraId="039350F5" w14:textId="0CB51761"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Performed graphical or statistical tests for publication bias and discussed the likelihood and magnitude of impact of publication bias</w:t>
            </w:r>
          </w:p>
        </w:tc>
      </w:tr>
      <w:tr w:rsidR="00FA366A" w:rsidRPr="002C21B8" w14:paraId="6F8D0304" w14:textId="77777777" w:rsidTr="00B7125A">
        <w:tc>
          <w:tcPr>
            <w:tcW w:w="13887" w:type="dxa"/>
          </w:tcPr>
          <w:p w14:paraId="0FCE11C9" w14:textId="77777777" w:rsidR="00FA366A" w:rsidRPr="002C21B8" w:rsidRDefault="00FA366A" w:rsidP="00B7125A">
            <w:pPr>
              <w:spacing w:beforeLines="30" w:before="72" w:afterLines="30" w:after="72" w:line="240" w:lineRule="auto"/>
            </w:pPr>
            <w:r w:rsidRPr="002C21B8">
              <w:t>16. Did the review authors report any potential sources of conflict of interest, including any funding they received for conducting the review?</w:t>
            </w:r>
          </w:p>
        </w:tc>
      </w:tr>
      <w:tr w:rsidR="00FA366A" w:rsidRPr="002C21B8" w14:paraId="63EA5A62" w14:textId="77777777" w:rsidTr="00B7125A">
        <w:tc>
          <w:tcPr>
            <w:tcW w:w="13887" w:type="dxa"/>
          </w:tcPr>
          <w:p w14:paraId="0FB996BC" w14:textId="33EEC6BD" w:rsidR="00FA366A" w:rsidRPr="002C21B8" w:rsidRDefault="00832573"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00FA366A" w:rsidRPr="002C21B8">
              <w:t xml:space="preserve"> Yes</w:t>
            </w:r>
          </w:p>
          <w:p w14:paraId="5DD85B86" w14:textId="77777777" w:rsidR="00FA366A" w:rsidRPr="002C21B8" w:rsidRDefault="00FA366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w:t>
            </w:r>
          </w:p>
          <w:p w14:paraId="503C0A7B"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Unclear</w:t>
            </w:r>
          </w:p>
          <w:p w14:paraId="2A6AF29E" w14:textId="77777777" w:rsidR="00FA366A" w:rsidRPr="002C21B8" w:rsidRDefault="00FA366A" w:rsidP="00B7125A">
            <w:pPr>
              <w:spacing w:beforeLines="30" w:before="72" w:afterLines="30" w:after="72" w:line="240" w:lineRule="auto"/>
            </w:pPr>
            <w:r w:rsidRPr="002C21B8">
              <w:fldChar w:fldCharType="begin">
                <w:ffData>
                  <w:name w:val="Check1"/>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Not Applicable</w:t>
            </w:r>
          </w:p>
        </w:tc>
      </w:tr>
      <w:tr w:rsidR="00B7125A" w:rsidRPr="002C21B8" w14:paraId="5AF044DD" w14:textId="77777777" w:rsidTr="003A0F36">
        <w:tc>
          <w:tcPr>
            <w:tcW w:w="13887" w:type="dxa"/>
          </w:tcPr>
          <w:p w14:paraId="67BA8C40" w14:textId="1206CFE6" w:rsidR="00B7125A" w:rsidRPr="002C21B8" w:rsidRDefault="00B7125A" w:rsidP="00B7125A">
            <w:pPr>
              <w:spacing w:beforeLines="30" w:before="72" w:afterLines="30" w:after="72" w:line="240" w:lineRule="auto"/>
            </w:pPr>
            <w:r w:rsidRPr="002C21B8">
              <w:t>For Yes</w:t>
            </w:r>
            <w:r w:rsidR="00E031F0" w:rsidRPr="002C21B8">
              <w:t>:</w:t>
            </w:r>
          </w:p>
          <w:p w14:paraId="7AA35780" w14:textId="77777777"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The authors reported no competing interests</w:t>
            </w:r>
          </w:p>
          <w:p w14:paraId="36B1B818" w14:textId="534782DA" w:rsidR="00B7125A" w:rsidRPr="002C21B8" w:rsidRDefault="00B7125A" w:rsidP="00B7125A">
            <w:pPr>
              <w:spacing w:beforeLines="30" w:before="72" w:afterLines="30" w:after="72" w:line="240" w:lineRule="auto"/>
            </w:pPr>
            <w:r w:rsidRPr="002C21B8">
              <w:fldChar w:fldCharType="begin">
                <w:ffData>
                  <w:name w:val=""/>
                  <w:enabled/>
                  <w:calcOnExit w:val="0"/>
                  <w:checkBox>
                    <w:sizeAuto/>
                    <w:default w:val="0"/>
                  </w:checkBox>
                </w:ffData>
              </w:fldChar>
            </w:r>
            <w:r w:rsidRPr="002C21B8">
              <w:instrText xml:space="preserve"> FORMCHECKBOX </w:instrText>
            </w:r>
            <w:r w:rsidR="00000000">
              <w:fldChar w:fldCharType="separate"/>
            </w:r>
            <w:r w:rsidRPr="002C21B8">
              <w:fldChar w:fldCharType="end"/>
            </w:r>
            <w:r w:rsidRPr="002C21B8">
              <w:t xml:space="preserve"> OR The authors described their funding sources and how they managed potential conflicts of interest</w:t>
            </w:r>
          </w:p>
        </w:tc>
      </w:tr>
    </w:tbl>
    <w:p w14:paraId="4E8EAB73" w14:textId="77777777" w:rsidR="00FA366A" w:rsidRPr="002C21B8" w:rsidRDefault="00FA366A" w:rsidP="0057033F">
      <w:pPr>
        <w:spacing w:after="0" w:line="240" w:lineRule="auto"/>
      </w:pPr>
    </w:p>
    <w:tbl>
      <w:tblPr>
        <w:tblStyle w:val="TableGrid"/>
        <w:tblW w:w="0" w:type="auto"/>
        <w:tblLook w:val="04A0" w:firstRow="1" w:lastRow="0" w:firstColumn="1" w:lastColumn="0" w:noHBand="0" w:noVBand="1"/>
      </w:tblPr>
      <w:tblGrid>
        <w:gridCol w:w="6936"/>
        <w:gridCol w:w="6951"/>
      </w:tblGrid>
      <w:tr w:rsidR="00FA366A" w:rsidRPr="002C21B8" w14:paraId="1620C667" w14:textId="77777777" w:rsidTr="00B7125A">
        <w:tc>
          <w:tcPr>
            <w:tcW w:w="6936" w:type="dxa"/>
            <w:tcBorders>
              <w:right w:val="nil"/>
            </w:tcBorders>
          </w:tcPr>
          <w:p w14:paraId="52543A76" w14:textId="77777777" w:rsidR="00FA366A" w:rsidRPr="002C21B8" w:rsidRDefault="00FA366A" w:rsidP="0023788E">
            <w:pPr>
              <w:spacing w:before="30" w:after="30" w:line="240" w:lineRule="auto"/>
            </w:pPr>
            <w:r w:rsidRPr="002C21B8">
              <w:t>Number of critical domain weaknesses</w:t>
            </w:r>
          </w:p>
        </w:tc>
        <w:tc>
          <w:tcPr>
            <w:tcW w:w="6951" w:type="dxa"/>
            <w:tcBorders>
              <w:left w:val="nil"/>
            </w:tcBorders>
          </w:tcPr>
          <w:p w14:paraId="045398FD" w14:textId="4986285B" w:rsidR="00FA366A" w:rsidRPr="002C21B8" w:rsidRDefault="00FA366A" w:rsidP="0023788E">
            <w:pPr>
              <w:spacing w:before="30" w:after="30" w:line="240" w:lineRule="auto"/>
            </w:pPr>
          </w:p>
        </w:tc>
      </w:tr>
      <w:tr w:rsidR="00FA366A" w:rsidRPr="002C21B8" w14:paraId="5C8115FB" w14:textId="77777777" w:rsidTr="00B7125A">
        <w:tc>
          <w:tcPr>
            <w:tcW w:w="6936" w:type="dxa"/>
            <w:tcBorders>
              <w:right w:val="nil"/>
            </w:tcBorders>
          </w:tcPr>
          <w:p w14:paraId="02682282" w14:textId="77777777" w:rsidR="00FA366A" w:rsidRPr="002C21B8" w:rsidRDefault="00FA366A" w:rsidP="0023788E">
            <w:pPr>
              <w:spacing w:before="30" w:after="30" w:line="240" w:lineRule="auto"/>
            </w:pPr>
            <w:r w:rsidRPr="002C21B8">
              <w:t>Final rating</w:t>
            </w:r>
          </w:p>
        </w:tc>
        <w:tc>
          <w:tcPr>
            <w:tcW w:w="6951" w:type="dxa"/>
            <w:tcBorders>
              <w:left w:val="nil"/>
            </w:tcBorders>
          </w:tcPr>
          <w:p w14:paraId="70007478" w14:textId="3AC6FD2E" w:rsidR="00FA366A" w:rsidRPr="002C21B8" w:rsidRDefault="00FA366A" w:rsidP="0023788E">
            <w:pPr>
              <w:spacing w:before="30" w:after="30" w:line="240" w:lineRule="auto"/>
            </w:pPr>
          </w:p>
        </w:tc>
      </w:tr>
      <w:tr w:rsidR="00FA366A" w:rsidRPr="002C21B8" w14:paraId="6ACBC290" w14:textId="77777777" w:rsidTr="00B7125A">
        <w:tc>
          <w:tcPr>
            <w:tcW w:w="6936" w:type="dxa"/>
            <w:tcBorders>
              <w:right w:val="nil"/>
            </w:tcBorders>
          </w:tcPr>
          <w:p w14:paraId="5F352EA6" w14:textId="057DD02D" w:rsidR="00FA366A" w:rsidRPr="002C21B8" w:rsidRDefault="00FA366A" w:rsidP="0023788E">
            <w:pPr>
              <w:spacing w:before="30" w:after="30" w:line="240" w:lineRule="auto"/>
            </w:pPr>
            <w:r w:rsidRPr="002C21B8">
              <w:t xml:space="preserve">Included in </w:t>
            </w:r>
            <w:r w:rsidR="00E06102" w:rsidRPr="002C21B8">
              <w:t>overview of systematic reviews</w:t>
            </w:r>
          </w:p>
        </w:tc>
        <w:tc>
          <w:tcPr>
            <w:tcW w:w="6951" w:type="dxa"/>
            <w:tcBorders>
              <w:left w:val="nil"/>
            </w:tcBorders>
          </w:tcPr>
          <w:p w14:paraId="164B88CC" w14:textId="7EEBAA8B" w:rsidR="00FA366A" w:rsidRPr="002C21B8" w:rsidRDefault="00FA366A" w:rsidP="0023788E">
            <w:pPr>
              <w:spacing w:before="30" w:after="30" w:line="240" w:lineRule="auto"/>
            </w:pPr>
          </w:p>
        </w:tc>
      </w:tr>
    </w:tbl>
    <w:p w14:paraId="25F400F4" w14:textId="77777777" w:rsidR="00FA366A" w:rsidRPr="002C21B8" w:rsidRDefault="00FA366A" w:rsidP="0057033F">
      <w:pPr>
        <w:spacing w:after="0" w:line="240" w:lineRule="auto"/>
      </w:pPr>
    </w:p>
    <w:tbl>
      <w:tblPr>
        <w:tblStyle w:val="TableGrid"/>
        <w:tblW w:w="0" w:type="auto"/>
        <w:tblLook w:val="04A0" w:firstRow="1" w:lastRow="0" w:firstColumn="1" w:lastColumn="0" w:noHBand="0" w:noVBand="1"/>
      </w:tblPr>
      <w:tblGrid>
        <w:gridCol w:w="13887"/>
      </w:tblGrid>
      <w:tr w:rsidR="00FA366A" w:rsidRPr="002C21B8" w14:paraId="41DE884E" w14:textId="77777777" w:rsidTr="00B7125A">
        <w:tc>
          <w:tcPr>
            <w:tcW w:w="13887" w:type="dxa"/>
          </w:tcPr>
          <w:p w14:paraId="1CD56709" w14:textId="77777777" w:rsidR="00FA366A" w:rsidRPr="002C21B8" w:rsidRDefault="00FA366A" w:rsidP="0023788E">
            <w:pPr>
              <w:spacing w:before="30" w:after="30" w:line="240" w:lineRule="auto"/>
            </w:pPr>
            <w:r w:rsidRPr="002C21B8">
              <w:t>Notes</w:t>
            </w:r>
          </w:p>
        </w:tc>
      </w:tr>
      <w:tr w:rsidR="00FA366A" w:rsidRPr="002C21B8" w14:paraId="1132FEAE" w14:textId="77777777" w:rsidTr="00B7125A">
        <w:tc>
          <w:tcPr>
            <w:tcW w:w="13887" w:type="dxa"/>
          </w:tcPr>
          <w:p w14:paraId="68B6AAF7" w14:textId="77777777" w:rsidR="00FA366A" w:rsidRPr="002C21B8" w:rsidRDefault="00FA366A" w:rsidP="0023788E">
            <w:pPr>
              <w:spacing w:before="30" w:after="30" w:line="240" w:lineRule="auto"/>
            </w:pPr>
          </w:p>
          <w:p w14:paraId="4EF8134F" w14:textId="77777777" w:rsidR="0023788E" w:rsidRPr="002C21B8" w:rsidRDefault="0023788E" w:rsidP="0023788E">
            <w:pPr>
              <w:spacing w:before="30" w:after="30" w:line="240" w:lineRule="auto"/>
            </w:pPr>
          </w:p>
          <w:p w14:paraId="7368BF62" w14:textId="77777777" w:rsidR="0023788E" w:rsidRPr="002C21B8" w:rsidRDefault="0023788E" w:rsidP="0023788E">
            <w:pPr>
              <w:spacing w:before="30" w:after="30" w:line="240" w:lineRule="auto"/>
            </w:pPr>
          </w:p>
          <w:p w14:paraId="04B16C5C" w14:textId="77777777" w:rsidR="0023788E" w:rsidRPr="002C21B8" w:rsidRDefault="0023788E" w:rsidP="0023788E">
            <w:pPr>
              <w:spacing w:before="30" w:after="30" w:line="240" w:lineRule="auto"/>
            </w:pPr>
          </w:p>
          <w:p w14:paraId="244869D2" w14:textId="77777777" w:rsidR="0023788E" w:rsidRPr="002C21B8" w:rsidRDefault="0023788E" w:rsidP="0023788E">
            <w:pPr>
              <w:spacing w:before="30" w:after="30" w:line="240" w:lineRule="auto"/>
            </w:pPr>
          </w:p>
          <w:p w14:paraId="55193CCB" w14:textId="77777777" w:rsidR="0023788E" w:rsidRPr="002C21B8" w:rsidRDefault="0023788E" w:rsidP="0023788E">
            <w:pPr>
              <w:spacing w:before="30" w:after="30" w:line="240" w:lineRule="auto"/>
            </w:pPr>
          </w:p>
          <w:p w14:paraId="111FEF7B" w14:textId="77777777" w:rsidR="0023788E" w:rsidRPr="002C21B8" w:rsidRDefault="0023788E" w:rsidP="0023788E">
            <w:pPr>
              <w:spacing w:before="30" w:after="30" w:line="240" w:lineRule="auto"/>
            </w:pPr>
          </w:p>
        </w:tc>
      </w:tr>
    </w:tbl>
    <w:p w14:paraId="0ECD15C3" w14:textId="77777777" w:rsidR="0023788E" w:rsidRPr="002C21B8" w:rsidRDefault="0023788E" w:rsidP="0057033F">
      <w:pPr>
        <w:spacing w:after="0" w:line="240" w:lineRule="auto"/>
        <w:sectPr w:rsidR="0023788E" w:rsidRPr="002C21B8" w:rsidSect="0009672F">
          <w:headerReference w:type="default" r:id="rId162"/>
          <w:type w:val="continuous"/>
          <w:pgSz w:w="16838" w:h="11906" w:orient="landscape"/>
          <w:pgMar w:top="1440" w:right="1440" w:bottom="1440" w:left="1440" w:header="708" w:footer="708" w:gutter="0"/>
          <w:cols w:space="708"/>
          <w:docGrid w:linePitch="360"/>
        </w:sectPr>
      </w:pPr>
    </w:p>
    <w:p w14:paraId="18852C43" w14:textId="121E1307" w:rsidR="003B7324" w:rsidRPr="002C21B8" w:rsidRDefault="003B7324" w:rsidP="004507C8">
      <w:pPr>
        <w:pStyle w:val="Heading3"/>
        <w:numPr>
          <w:ilvl w:val="0"/>
          <w:numId w:val="0"/>
        </w:numPr>
      </w:pPr>
      <w:r w:rsidRPr="002C21B8">
        <w:t xml:space="preserve">Risk of bias assessment </w:t>
      </w:r>
      <w:r w:rsidR="00B15C5D" w:rsidRPr="002C21B8">
        <w:t>in this overview</w:t>
      </w:r>
    </w:p>
    <w:p w14:paraId="06488B8A" w14:textId="4645CEE0" w:rsidR="00FA366A" w:rsidRPr="002C21B8" w:rsidRDefault="005D17AA" w:rsidP="00434E93">
      <w:r w:rsidRPr="002C21B8">
        <w:t>Assessing the methodological quality of systematic reviews</w:t>
      </w:r>
      <w:r w:rsidR="00E974CA" w:rsidRPr="002C21B8">
        <w:t xml:space="preserve"> </w:t>
      </w:r>
      <w:r w:rsidR="00FA366A" w:rsidRPr="002C21B8">
        <w:t xml:space="preserve">is often included on its own in overviews of systematic reviews. While </w:t>
      </w:r>
      <w:r w:rsidR="00121103" w:rsidRPr="002C21B8">
        <w:t>this</w:t>
      </w:r>
      <w:r w:rsidR="00FA366A" w:rsidRPr="002C21B8">
        <w:t xml:space="preserve"> provides a structured assessment of </w:t>
      </w:r>
      <w:r w:rsidR="00434E93" w:rsidRPr="002C21B8">
        <w:t xml:space="preserve">quality </w:t>
      </w:r>
      <w:r w:rsidR="00FA366A" w:rsidRPr="002C21B8">
        <w:t xml:space="preserve">and identifies critical weaknesses that may compromise the reliability of review findings, </w:t>
      </w:r>
      <w:r w:rsidR="00434E93" w:rsidRPr="002C21B8">
        <w:t>it doesn’t explicitly evaluate the risk of biases in the included systematic reviews</w:t>
      </w:r>
      <w:r w:rsidR="00062561" w:rsidRPr="002C21B8">
        <w:t xml:space="preserve"> </w:t>
      </w:r>
      <w:r w:rsidR="00062561"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062561" w:rsidRPr="002C21B8">
        <w:fldChar w:fldCharType="separate"/>
      </w:r>
      <w:r w:rsidR="002F558A" w:rsidRPr="002C21B8">
        <w:rPr>
          <w:noProof/>
        </w:rPr>
        <w:t>(Higgins and Green, 2024)</w:t>
      </w:r>
      <w:r w:rsidR="00062561" w:rsidRPr="002C21B8">
        <w:fldChar w:fldCharType="end"/>
      </w:r>
      <w:r w:rsidR="00434E93" w:rsidRPr="002C21B8">
        <w:t>.</w:t>
      </w:r>
    </w:p>
    <w:p w14:paraId="62F29E84" w14:textId="32DCCF3B" w:rsidR="00B15C5D" w:rsidRPr="002C21B8" w:rsidRDefault="00434E93" w:rsidP="00BB3BFC">
      <w:r w:rsidRPr="002C21B8">
        <w:t xml:space="preserve">As a result, </w:t>
      </w:r>
      <w:r w:rsidR="00E974CA" w:rsidRPr="002C21B8">
        <w:t>I</w:t>
      </w:r>
      <w:r w:rsidRPr="002C21B8">
        <w:t xml:space="preserve"> conducted a separate risk of bias assessment in the </w:t>
      </w:r>
      <w:r w:rsidR="00E06102" w:rsidRPr="002C21B8">
        <w:t>overview of systematic reviews</w:t>
      </w:r>
      <w:r w:rsidRPr="002C21B8">
        <w:t xml:space="preserve">. </w:t>
      </w:r>
      <w:r w:rsidR="00E974CA" w:rsidRPr="002C21B8">
        <w:t>I</w:t>
      </w:r>
      <w:r w:rsidRPr="002C21B8">
        <w:t xml:space="preserve"> selected the </w:t>
      </w:r>
      <w:r w:rsidR="00FA366A" w:rsidRPr="002C21B8">
        <w:t>ROBIS (Risk of Bias in Systematic Reviews)</w:t>
      </w:r>
      <w:r w:rsidRPr="002C21B8">
        <w:t xml:space="preserve"> checklist as it was specifically designed for </w:t>
      </w:r>
      <w:r w:rsidR="00B15C5D" w:rsidRPr="002C21B8">
        <w:t>systematic</w:t>
      </w:r>
      <w:r w:rsidRPr="002C21B8">
        <w:t xml:space="preserve"> revie</w:t>
      </w:r>
      <w:r w:rsidR="00E974CA" w:rsidRPr="002C21B8">
        <w:t>w</w:t>
      </w:r>
      <w:r w:rsidRPr="002C21B8">
        <w:t>s and focuses on the trustworthiness of conclusion</w:t>
      </w:r>
      <w:r w:rsidR="00B15C5D" w:rsidRPr="002C21B8">
        <w:t>s</w:t>
      </w:r>
      <w:r w:rsidRPr="002C21B8">
        <w:t>. It consists of a series of domain-level judgem</w:t>
      </w:r>
      <w:r w:rsidR="00AB1011" w:rsidRPr="002C21B8">
        <w:t>e</w:t>
      </w:r>
      <w:r w:rsidRPr="002C21B8">
        <w:t>nts across three separate phases: Phase 1</w:t>
      </w:r>
      <w:r w:rsidR="00AB1011" w:rsidRPr="002C21B8">
        <w:t>–</w:t>
      </w:r>
      <w:r w:rsidRPr="002C21B8">
        <w:t xml:space="preserve"> assessing r</w:t>
      </w:r>
      <w:r w:rsidR="00AB1011" w:rsidRPr="002C21B8">
        <w:t>e</w:t>
      </w:r>
      <w:r w:rsidRPr="002C21B8">
        <w:t xml:space="preserve">levance, Phase 2 – identifying concerns about bias in the review process and Phase 3 – judging risk of bias </w:t>
      </w:r>
      <w:r w:rsidR="00DF5766" w:rsidRPr="002C21B8">
        <w:fldChar w:fldCharType="begin"/>
      </w:r>
      <w:r w:rsidR="000215B0" w:rsidRPr="002C21B8">
        <w:instrText xml:space="preserve"> ADDIN EN.CITE &lt;EndNote&gt;&lt;Cite&gt;&lt;Author&gt;Whiting&lt;/Author&gt;&lt;Year&gt;2016&lt;/Year&gt;&lt;RecNum&gt;125424&lt;/RecNum&gt;&lt;DisplayText&gt;(Whiting&lt;style face="italic"&gt; et al.&lt;/style&gt;, 2016)&lt;/DisplayText&gt;&lt;record&gt;&lt;rec-number&gt;125424&lt;/rec-number&gt;&lt;foreign-keys&gt;&lt;key app="EN" db-id="xpefzwa5hf9dt2ea9fax95x7xvxz90v09dtf" timestamp="1775815407"&gt;125424&lt;/key&gt;&lt;/foreign-keys&gt;&lt;ref-type name="Journal Article"&gt;17&lt;/ref-type&gt;&lt;contributors&gt;&lt;authors&gt;&lt;author&gt;Whiting, Penny&lt;/author&gt;&lt;author&gt;Savović, Jelena&lt;/author&gt;&lt;author&gt;Higgins, Julian PT&lt;/author&gt;&lt;author&gt;Caldwell, Deborah M&lt;/author&gt;&lt;author&gt;Reeves, Barnaby C&lt;/author&gt;&lt;author&gt;Shea, Beverley&lt;/author&gt;&lt;author&gt;Davies, Philippa&lt;/author&gt;&lt;author&gt;Kleijnen, Jos&lt;/author&gt;&lt;author&gt;Churchill, Rachel&lt;/author&gt;&lt;/authors&gt;&lt;/contributors&gt;&lt;titles&gt;&lt;title&gt;ROBIS: a new tool to assess risk of bias in systematic reviews was developed&lt;/title&gt;&lt;secondary-title&gt;Journal of Clinical Epidemiology&lt;/secondary-title&gt;&lt;/titles&gt;&lt;periodical&gt;&lt;full-title&gt;Journal of clinical epidemiology&lt;/full-title&gt;&lt;/periodical&gt;&lt;pages&gt;225-234&lt;/pages&gt;&lt;volume&gt;69&lt;/volume&gt;&lt;dates&gt;&lt;year&gt;2016&lt;/year&gt;&lt;/dates&gt;&lt;isbn&gt;0895-4356&lt;/isbn&gt;&lt;urls&gt;&lt;/urls&gt;&lt;/record&gt;&lt;/Cite&gt;&lt;/EndNote&gt;</w:instrText>
      </w:r>
      <w:r w:rsidR="00DF5766" w:rsidRPr="002C21B8">
        <w:fldChar w:fldCharType="separate"/>
      </w:r>
      <w:r w:rsidR="00DF5766" w:rsidRPr="002C21B8">
        <w:rPr>
          <w:noProof/>
        </w:rPr>
        <w:t>(Whiting</w:t>
      </w:r>
      <w:r w:rsidR="00DF5766" w:rsidRPr="002C21B8">
        <w:rPr>
          <w:i/>
          <w:noProof/>
        </w:rPr>
        <w:t xml:space="preserve"> et al.</w:t>
      </w:r>
      <w:r w:rsidR="00DF5766" w:rsidRPr="002C21B8">
        <w:rPr>
          <w:noProof/>
        </w:rPr>
        <w:t>, 2016)</w:t>
      </w:r>
      <w:r w:rsidR="00DF5766" w:rsidRPr="002C21B8">
        <w:fldChar w:fldCharType="end"/>
      </w:r>
      <w:r w:rsidR="00FA366A" w:rsidRPr="002C21B8">
        <w:t>.</w:t>
      </w:r>
      <w:r w:rsidR="00B15C5D" w:rsidRPr="002C21B8">
        <w:t xml:space="preserve"> </w:t>
      </w:r>
      <w:r w:rsidR="006D55B2" w:rsidRPr="002C21B8">
        <w:t>An exa</w:t>
      </w:r>
      <w:r w:rsidR="00B15C5D" w:rsidRPr="002C21B8">
        <w:t>m</w:t>
      </w:r>
      <w:r w:rsidR="006D55B2" w:rsidRPr="002C21B8">
        <w:t>ple of the risk of bias assessment form used in this overview is included on the next page</w:t>
      </w:r>
      <w:r w:rsidR="004255DC" w:rsidRPr="002C21B8">
        <w:t>.</w:t>
      </w:r>
    </w:p>
    <w:p w14:paraId="608EC7F0" w14:textId="77777777" w:rsidR="009D12AE" w:rsidRPr="002C21B8" w:rsidRDefault="009D12AE">
      <w:pPr>
        <w:spacing w:after="0" w:line="240" w:lineRule="auto"/>
        <w:jc w:val="left"/>
      </w:pPr>
      <w:r w:rsidRPr="002C21B8">
        <w:rPr>
          <w:b/>
          <w:bCs/>
        </w:rPr>
        <w:br w:type="page"/>
      </w:r>
    </w:p>
    <w:p w14:paraId="00ED6693" w14:textId="76BA34F6" w:rsidR="00292519" w:rsidRPr="002C21B8" w:rsidRDefault="00292519" w:rsidP="004507C8">
      <w:pPr>
        <w:pStyle w:val="Heading3"/>
        <w:numPr>
          <w:ilvl w:val="0"/>
          <w:numId w:val="0"/>
        </w:numPr>
      </w:pPr>
      <w:r w:rsidRPr="002C21B8">
        <w:t xml:space="preserve">Example </w:t>
      </w:r>
      <w:r w:rsidR="00F01A41" w:rsidRPr="002C21B8">
        <w:t>risk of bias assessment</w:t>
      </w:r>
      <w:r w:rsidRPr="002C21B8">
        <w:t xml:space="preserve"> form (ROBIS)</w:t>
      </w:r>
    </w:p>
    <w:p w14:paraId="30E11305" w14:textId="77777777" w:rsidR="00F01A41" w:rsidRPr="002C21B8" w:rsidRDefault="00F01A41">
      <w:pPr>
        <w:spacing w:after="0" w:line="240" w:lineRule="auto"/>
        <w:jc w:val="left"/>
        <w:rPr>
          <w:b/>
          <w:bCs/>
          <w:sz w:val="24"/>
          <w:szCs w:val="24"/>
        </w:rPr>
      </w:pPr>
    </w:p>
    <w:p w14:paraId="3B3019B3" w14:textId="6E0F4006" w:rsidR="00F01A41" w:rsidRPr="002C21B8" w:rsidRDefault="00F01A41" w:rsidP="00F01A41">
      <w:pPr>
        <w:spacing w:after="0" w:line="240" w:lineRule="auto"/>
        <w:rPr>
          <w:sz w:val="19"/>
          <w:szCs w:val="19"/>
        </w:rPr>
      </w:pPr>
      <w:r w:rsidRPr="002C21B8">
        <w:rPr>
          <w:sz w:val="19"/>
          <w:szCs w:val="19"/>
        </w:rPr>
        <w:t xml:space="preserve">Review author: </w:t>
      </w:r>
      <w:r w:rsidR="00482B80" w:rsidRPr="002C21B8">
        <w:rPr>
          <w:sz w:val="19"/>
          <w:szCs w:val="19"/>
        </w:rPr>
        <w:tab/>
      </w:r>
      <w:r w:rsidR="00482B80" w:rsidRPr="002C21B8">
        <w:rPr>
          <w:sz w:val="19"/>
          <w:szCs w:val="19"/>
        </w:rPr>
        <w:tab/>
      </w:r>
      <w:r w:rsidR="00482B80" w:rsidRPr="002C21B8">
        <w:rPr>
          <w:sz w:val="19"/>
          <w:szCs w:val="19"/>
        </w:rPr>
        <w:tab/>
      </w:r>
      <w:r w:rsidRPr="002C21B8">
        <w:rPr>
          <w:sz w:val="19"/>
          <w:szCs w:val="19"/>
        </w:rPr>
        <w:tab/>
      </w:r>
      <w:r w:rsidRPr="002C21B8">
        <w:rPr>
          <w:sz w:val="19"/>
          <w:szCs w:val="19"/>
        </w:rPr>
        <w:tab/>
      </w:r>
      <w:r w:rsidRPr="002C21B8">
        <w:rPr>
          <w:sz w:val="19"/>
          <w:szCs w:val="19"/>
        </w:rPr>
        <w:tab/>
      </w:r>
      <w:r w:rsidRPr="002C21B8">
        <w:rPr>
          <w:sz w:val="19"/>
          <w:szCs w:val="19"/>
        </w:rPr>
        <w:tab/>
      </w:r>
      <w:r w:rsidRPr="002C21B8">
        <w:rPr>
          <w:sz w:val="19"/>
          <w:szCs w:val="19"/>
        </w:rPr>
        <w:tab/>
        <w:t xml:space="preserve">Review data: </w:t>
      </w:r>
    </w:p>
    <w:tbl>
      <w:tblPr>
        <w:tblStyle w:val="TableGrid"/>
        <w:tblW w:w="9209" w:type="dxa"/>
        <w:tblLook w:val="04A0" w:firstRow="1" w:lastRow="0" w:firstColumn="1" w:lastColumn="0" w:noHBand="0" w:noVBand="1"/>
      </w:tblPr>
      <w:tblGrid>
        <w:gridCol w:w="2263"/>
        <w:gridCol w:w="6946"/>
      </w:tblGrid>
      <w:tr w:rsidR="00F01A41" w:rsidRPr="002C21B8" w14:paraId="76EB27CF" w14:textId="77777777" w:rsidTr="00B7125A">
        <w:tc>
          <w:tcPr>
            <w:tcW w:w="2263" w:type="dxa"/>
          </w:tcPr>
          <w:p w14:paraId="3F56CE74" w14:textId="77777777" w:rsidR="00F01A41" w:rsidRPr="002C21B8" w:rsidRDefault="00F01A41" w:rsidP="00DB25FC">
            <w:pPr>
              <w:spacing w:after="0" w:line="240" w:lineRule="auto"/>
              <w:rPr>
                <w:sz w:val="19"/>
                <w:szCs w:val="19"/>
              </w:rPr>
            </w:pPr>
            <w:r w:rsidRPr="002C21B8">
              <w:rPr>
                <w:sz w:val="19"/>
                <w:szCs w:val="19"/>
              </w:rPr>
              <w:t>Author</w:t>
            </w:r>
          </w:p>
        </w:tc>
        <w:tc>
          <w:tcPr>
            <w:tcW w:w="6946" w:type="dxa"/>
          </w:tcPr>
          <w:p w14:paraId="003B1D99" w14:textId="38B21397" w:rsidR="00F01A41" w:rsidRPr="002C21B8" w:rsidRDefault="00F01A41" w:rsidP="00DB25FC">
            <w:pPr>
              <w:spacing w:after="0" w:line="240" w:lineRule="auto"/>
              <w:rPr>
                <w:sz w:val="19"/>
                <w:szCs w:val="19"/>
              </w:rPr>
            </w:pPr>
          </w:p>
        </w:tc>
      </w:tr>
      <w:tr w:rsidR="00F01A41" w:rsidRPr="002C21B8" w14:paraId="5F3446FA" w14:textId="77777777" w:rsidTr="00B7125A">
        <w:tc>
          <w:tcPr>
            <w:tcW w:w="2263" w:type="dxa"/>
          </w:tcPr>
          <w:p w14:paraId="36631701" w14:textId="77777777" w:rsidR="00F01A41" w:rsidRPr="002C21B8" w:rsidRDefault="00F01A41" w:rsidP="00DB25FC">
            <w:pPr>
              <w:spacing w:after="0" w:line="240" w:lineRule="auto"/>
              <w:rPr>
                <w:sz w:val="19"/>
                <w:szCs w:val="19"/>
              </w:rPr>
            </w:pPr>
            <w:r w:rsidRPr="002C21B8">
              <w:rPr>
                <w:sz w:val="19"/>
                <w:szCs w:val="19"/>
              </w:rPr>
              <w:t>Title</w:t>
            </w:r>
          </w:p>
        </w:tc>
        <w:tc>
          <w:tcPr>
            <w:tcW w:w="6946" w:type="dxa"/>
          </w:tcPr>
          <w:p w14:paraId="12764B52" w14:textId="22A64F1D" w:rsidR="00F01A41" w:rsidRPr="002C21B8" w:rsidRDefault="00F01A41" w:rsidP="00DB25FC">
            <w:pPr>
              <w:spacing w:after="0" w:line="240" w:lineRule="auto"/>
              <w:rPr>
                <w:sz w:val="19"/>
                <w:szCs w:val="19"/>
              </w:rPr>
            </w:pPr>
          </w:p>
        </w:tc>
      </w:tr>
      <w:tr w:rsidR="00F01A41" w:rsidRPr="002C21B8" w14:paraId="34F455ED" w14:textId="77777777" w:rsidTr="00B7125A">
        <w:tc>
          <w:tcPr>
            <w:tcW w:w="2263" w:type="dxa"/>
          </w:tcPr>
          <w:p w14:paraId="7393DBE1" w14:textId="77777777" w:rsidR="00F01A41" w:rsidRPr="002C21B8" w:rsidRDefault="00F01A41" w:rsidP="00DB25FC">
            <w:pPr>
              <w:spacing w:after="0" w:line="240" w:lineRule="auto"/>
              <w:rPr>
                <w:sz w:val="19"/>
                <w:szCs w:val="19"/>
              </w:rPr>
            </w:pPr>
            <w:r w:rsidRPr="002C21B8">
              <w:rPr>
                <w:sz w:val="19"/>
                <w:szCs w:val="19"/>
              </w:rPr>
              <w:t>Year of publication</w:t>
            </w:r>
          </w:p>
        </w:tc>
        <w:tc>
          <w:tcPr>
            <w:tcW w:w="6946" w:type="dxa"/>
          </w:tcPr>
          <w:p w14:paraId="0A6738A2" w14:textId="6135DB68" w:rsidR="00F01A41" w:rsidRPr="002C21B8" w:rsidRDefault="00F01A41" w:rsidP="00DB25FC">
            <w:pPr>
              <w:spacing w:after="0" w:line="240" w:lineRule="auto"/>
              <w:rPr>
                <w:sz w:val="19"/>
                <w:szCs w:val="19"/>
              </w:rPr>
            </w:pPr>
          </w:p>
        </w:tc>
      </w:tr>
    </w:tbl>
    <w:p w14:paraId="08510F95" w14:textId="77777777" w:rsidR="00F01A41" w:rsidRPr="002C21B8" w:rsidRDefault="00F01A41">
      <w:pPr>
        <w:spacing w:after="0" w:line="240" w:lineRule="auto"/>
        <w:jc w:val="left"/>
        <w:rPr>
          <w:b/>
          <w:bCs/>
          <w:sz w:val="19"/>
          <w:szCs w:val="19"/>
        </w:rPr>
      </w:pPr>
    </w:p>
    <w:p w14:paraId="480FA0D1" w14:textId="3BD579FC" w:rsidR="00F01A41" w:rsidRPr="002C21B8" w:rsidRDefault="00F01A41">
      <w:pPr>
        <w:spacing w:after="0" w:line="240" w:lineRule="auto"/>
        <w:jc w:val="left"/>
        <w:rPr>
          <w:b/>
          <w:bCs/>
          <w:sz w:val="19"/>
          <w:szCs w:val="19"/>
        </w:rPr>
      </w:pPr>
      <w:r w:rsidRPr="002C21B8">
        <w:rPr>
          <w:b/>
          <w:bCs/>
          <w:sz w:val="19"/>
          <w:szCs w:val="19"/>
        </w:rPr>
        <w:t>Phase 1: Assessing relevance</w:t>
      </w:r>
    </w:p>
    <w:p w14:paraId="73D68DC0" w14:textId="77777777" w:rsidR="00A6746A" w:rsidRPr="002C21B8" w:rsidRDefault="00A6746A">
      <w:pPr>
        <w:spacing w:after="0" w:line="240" w:lineRule="auto"/>
        <w:jc w:val="left"/>
        <w:rPr>
          <w:b/>
          <w:bCs/>
          <w:sz w:val="19"/>
          <w:szCs w:val="19"/>
        </w:rPr>
      </w:pPr>
    </w:p>
    <w:tbl>
      <w:tblPr>
        <w:tblStyle w:val="TableGrid"/>
        <w:tblW w:w="9209" w:type="dxa"/>
        <w:tblLook w:val="04A0" w:firstRow="1" w:lastRow="0" w:firstColumn="1" w:lastColumn="0" w:noHBand="0" w:noVBand="1"/>
      </w:tblPr>
      <w:tblGrid>
        <w:gridCol w:w="2263"/>
        <w:gridCol w:w="6946"/>
      </w:tblGrid>
      <w:tr w:rsidR="00F01A41" w:rsidRPr="002C21B8" w14:paraId="1DA52B21" w14:textId="3C52F518" w:rsidTr="00B7125A">
        <w:tc>
          <w:tcPr>
            <w:tcW w:w="2263" w:type="dxa"/>
          </w:tcPr>
          <w:p w14:paraId="757D867F" w14:textId="10B66FE8" w:rsidR="00F01A41" w:rsidRPr="002C21B8" w:rsidRDefault="00F01A41" w:rsidP="00DB25FC">
            <w:pPr>
              <w:spacing w:after="0" w:line="240" w:lineRule="auto"/>
              <w:rPr>
                <w:b/>
                <w:bCs/>
                <w:sz w:val="19"/>
                <w:szCs w:val="19"/>
              </w:rPr>
            </w:pPr>
            <w:r w:rsidRPr="002C21B8">
              <w:rPr>
                <w:b/>
                <w:bCs/>
                <w:sz w:val="19"/>
                <w:szCs w:val="19"/>
              </w:rPr>
              <w:t>Category</w:t>
            </w:r>
          </w:p>
        </w:tc>
        <w:tc>
          <w:tcPr>
            <w:tcW w:w="6946" w:type="dxa"/>
          </w:tcPr>
          <w:p w14:paraId="6B9DBE94" w14:textId="4F5C6622" w:rsidR="00F01A41" w:rsidRPr="002C21B8" w:rsidRDefault="00F01A41" w:rsidP="00DB25FC">
            <w:pPr>
              <w:spacing w:after="0" w:line="240" w:lineRule="auto"/>
              <w:rPr>
                <w:b/>
                <w:bCs/>
                <w:sz w:val="19"/>
                <w:szCs w:val="19"/>
              </w:rPr>
            </w:pPr>
            <w:r w:rsidRPr="002C21B8">
              <w:rPr>
                <w:b/>
                <w:bCs/>
                <w:sz w:val="19"/>
                <w:szCs w:val="19"/>
              </w:rPr>
              <w:t>Target question</w:t>
            </w:r>
          </w:p>
        </w:tc>
      </w:tr>
      <w:tr w:rsidR="00F01A41" w:rsidRPr="002C21B8" w14:paraId="59827168" w14:textId="496F7696" w:rsidTr="00B7125A">
        <w:tc>
          <w:tcPr>
            <w:tcW w:w="2263" w:type="dxa"/>
          </w:tcPr>
          <w:p w14:paraId="64745219" w14:textId="457E77CB" w:rsidR="00F01A41" w:rsidRPr="002C21B8" w:rsidRDefault="00F01A41" w:rsidP="00DB25FC">
            <w:pPr>
              <w:spacing w:after="0" w:line="240" w:lineRule="auto"/>
              <w:rPr>
                <w:sz w:val="19"/>
                <w:szCs w:val="19"/>
              </w:rPr>
            </w:pPr>
            <w:r w:rsidRPr="002C21B8">
              <w:rPr>
                <w:sz w:val="19"/>
                <w:szCs w:val="19"/>
              </w:rPr>
              <w:t>Patient/Population(s):</w:t>
            </w:r>
          </w:p>
        </w:tc>
        <w:tc>
          <w:tcPr>
            <w:tcW w:w="6946" w:type="dxa"/>
          </w:tcPr>
          <w:p w14:paraId="5D7E835D" w14:textId="5A1806E9" w:rsidR="00F01A41" w:rsidRPr="002C21B8" w:rsidRDefault="00F01A41" w:rsidP="00DB25FC">
            <w:pPr>
              <w:spacing w:after="0" w:line="240" w:lineRule="auto"/>
              <w:rPr>
                <w:sz w:val="19"/>
                <w:szCs w:val="19"/>
              </w:rPr>
            </w:pPr>
          </w:p>
        </w:tc>
      </w:tr>
      <w:tr w:rsidR="00F01A41" w:rsidRPr="002C21B8" w14:paraId="77DC4C37" w14:textId="30200E8A" w:rsidTr="00B7125A">
        <w:tc>
          <w:tcPr>
            <w:tcW w:w="2263" w:type="dxa"/>
          </w:tcPr>
          <w:p w14:paraId="7C458ED3" w14:textId="7DF8DE06" w:rsidR="00F01A41" w:rsidRPr="002C21B8" w:rsidRDefault="00F01A41" w:rsidP="00DB25FC">
            <w:pPr>
              <w:spacing w:after="0" w:line="240" w:lineRule="auto"/>
              <w:rPr>
                <w:sz w:val="19"/>
                <w:szCs w:val="19"/>
              </w:rPr>
            </w:pPr>
            <w:r w:rsidRPr="002C21B8">
              <w:rPr>
                <w:sz w:val="19"/>
                <w:szCs w:val="19"/>
              </w:rPr>
              <w:t>Intervention(s):</w:t>
            </w:r>
          </w:p>
        </w:tc>
        <w:tc>
          <w:tcPr>
            <w:tcW w:w="6946" w:type="dxa"/>
          </w:tcPr>
          <w:p w14:paraId="13853203" w14:textId="66CE05AA" w:rsidR="00F01A41" w:rsidRPr="002C21B8" w:rsidRDefault="00F01A41" w:rsidP="00DB25FC">
            <w:pPr>
              <w:spacing w:after="0" w:line="240" w:lineRule="auto"/>
              <w:rPr>
                <w:sz w:val="19"/>
                <w:szCs w:val="19"/>
              </w:rPr>
            </w:pPr>
          </w:p>
        </w:tc>
      </w:tr>
      <w:tr w:rsidR="00F01A41" w:rsidRPr="002C21B8" w14:paraId="469EE629" w14:textId="77777777" w:rsidTr="00B7125A">
        <w:tc>
          <w:tcPr>
            <w:tcW w:w="2263" w:type="dxa"/>
          </w:tcPr>
          <w:p w14:paraId="7FA22DB9" w14:textId="3108F9E3" w:rsidR="00F01A41" w:rsidRPr="002C21B8" w:rsidRDefault="00F01A41" w:rsidP="00DB25FC">
            <w:pPr>
              <w:spacing w:after="0" w:line="240" w:lineRule="auto"/>
              <w:rPr>
                <w:sz w:val="19"/>
                <w:szCs w:val="19"/>
              </w:rPr>
            </w:pPr>
            <w:r w:rsidRPr="002C21B8">
              <w:rPr>
                <w:sz w:val="19"/>
                <w:szCs w:val="19"/>
              </w:rPr>
              <w:t>Comparator(s):</w:t>
            </w:r>
          </w:p>
        </w:tc>
        <w:tc>
          <w:tcPr>
            <w:tcW w:w="6946" w:type="dxa"/>
          </w:tcPr>
          <w:p w14:paraId="0BC11AA8" w14:textId="08BC2F9D" w:rsidR="00F01A41" w:rsidRPr="002C21B8" w:rsidRDefault="00F01A41" w:rsidP="00DB25FC">
            <w:pPr>
              <w:spacing w:after="0" w:line="240" w:lineRule="auto"/>
              <w:rPr>
                <w:sz w:val="19"/>
                <w:szCs w:val="19"/>
              </w:rPr>
            </w:pPr>
          </w:p>
        </w:tc>
      </w:tr>
      <w:tr w:rsidR="00F01A41" w:rsidRPr="002C21B8" w14:paraId="7A0D118E" w14:textId="77777777" w:rsidTr="00B7125A">
        <w:tc>
          <w:tcPr>
            <w:tcW w:w="2263" w:type="dxa"/>
          </w:tcPr>
          <w:p w14:paraId="5AF890E5" w14:textId="1EA636C6" w:rsidR="00F01A41" w:rsidRPr="002C21B8" w:rsidRDefault="00F01A41" w:rsidP="00DB25FC">
            <w:pPr>
              <w:spacing w:after="0" w:line="240" w:lineRule="auto"/>
              <w:rPr>
                <w:sz w:val="19"/>
                <w:szCs w:val="19"/>
              </w:rPr>
            </w:pPr>
            <w:r w:rsidRPr="002C21B8">
              <w:rPr>
                <w:sz w:val="19"/>
                <w:szCs w:val="19"/>
              </w:rPr>
              <w:t>Outcome(s):</w:t>
            </w:r>
          </w:p>
        </w:tc>
        <w:tc>
          <w:tcPr>
            <w:tcW w:w="6946" w:type="dxa"/>
          </w:tcPr>
          <w:p w14:paraId="0CDB957C" w14:textId="367B603E" w:rsidR="00F01A41" w:rsidRPr="002C21B8" w:rsidRDefault="00F01A41" w:rsidP="00DB25FC">
            <w:pPr>
              <w:spacing w:after="0" w:line="240" w:lineRule="auto"/>
              <w:rPr>
                <w:sz w:val="19"/>
                <w:szCs w:val="19"/>
              </w:rPr>
            </w:pPr>
          </w:p>
        </w:tc>
      </w:tr>
    </w:tbl>
    <w:p w14:paraId="58435F0D" w14:textId="77777777" w:rsidR="00F01A41" w:rsidRPr="002C21B8" w:rsidRDefault="00F01A41">
      <w:pPr>
        <w:spacing w:after="0" w:line="240" w:lineRule="auto"/>
        <w:jc w:val="left"/>
        <w:rPr>
          <w:sz w:val="19"/>
          <w:szCs w:val="19"/>
        </w:rPr>
      </w:pPr>
    </w:p>
    <w:p w14:paraId="4E40114C" w14:textId="072A0118" w:rsidR="00F01A41" w:rsidRPr="002C21B8" w:rsidRDefault="00F01A41">
      <w:pPr>
        <w:spacing w:after="0" w:line="240" w:lineRule="auto"/>
        <w:jc w:val="left"/>
        <w:rPr>
          <w:sz w:val="19"/>
          <w:szCs w:val="19"/>
        </w:rPr>
      </w:pPr>
      <w:r w:rsidRPr="002C21B8">
        <w:rPr>
          <w:sz w:val="19"/>
          <w:szCs w:val="19"/>
        </w:rPr>
        <w:t xml:space="preserve">Does the question addressed by the review match the target question? </w:t>
      </w:r>
    </w:p>
    <w:p w14:paraId="468807AC" w14:textId="082D9087" w:rsidR="00F01A41" w:rsidRPr="002C21B8" w:rsidRDefault="00482B80" w:rsidP="003C4484">
      <w:pPr>
        <w:spacing w:after="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F01A41" w:rsidRPr="002C21B8">
        <w:rPr>
          <w:sz w:val="19"/>
          <w:szCs w:val="19"/>
        </w:rPr>
        <w:t xml:space="preserve"> Yes</w:t>
      </w:r>
      <w:r w:rsidR="003C4484" w:rsidRPr="002C21B8">
        <w:rPr>
          <w:sz w:val="19"/>
          <w:szCs w:val="19"/>
        </w:rPr>
        <w:t xml:space="preserve"> </w:t>
      </w:r>
      <w:r w:rsidR="00F01A41" w:rsidRPr="002C21B8">
        <w:rPr>
          <w:sz w:val="19"/>
          <w:szCs w:val="19"/>
        </w:rPr>
        <w:fldChar w:fldCharType="begin">
          <w:ffData>
            <w:name w:val=""/>
            <w:enabled/>
            <w:calcOnExit w:val="0"/>
            <w:checkBox>
              <w:sizeAuto/>
              <w:default w:val="0"/>
            </w:checkBox>
          </w:ffData>
        </w:fldChar>
      </w:r>
      <w:r w:rsidR="00F01A41" w:rsidRPr="002C21B8">
        <w:rPr>
          <w:sz w:val="19"/>
          <w:szCs w:val="19"/>
        </w:rPr>
        <w:instrText xml:space="preserve"> FORMCHECKBOX </w:instrText>
      </w:r>
      <w:r w:rsidR="00000000">
        <w:rPr>
          <w:sz w:val="19"/>
          <w:szCs w:val="19"/>
        </w:rPr>
      </w:r>
      <w:r w:rsidR="00000000">
        <w:rPr>
          <w:sz w:val="19"/>
          <w:szCs w:val="19"/>
        </w:rPr>
        <w:fldChar w:fldCharType="separate"/>
      </w:r>
      <w:r w:rsidR="00F01A41" w:rsidRPr="002C21B8">
        <w:rPr>
          <w:sz w:val="19"/>
          <w:szCs w:val="19"/>
        </w:rPr>
        <w:fldChar w:fldCharType="end"/>
      </w:r>
      <w:r w:rsidR="00F01A41" w:rsidRPr="002C21B8">
        <w:rPr>
          <w:sz w:val="19"/>
          <w:szCs w:val="19"/>
        </w:rPr>
        <w:t xml:space="preserve"> No</w:t>
      </w:r>
      <w:r w:rsidR="003C4484" w:rsidRPr="002C21B8">
        <w:rPr>
          <w:sz w:val="19"/>
          <w:szCs w:val="19"/>
        </w:rPr>
        <w:t xml:space="preserve"> </w:t>
      </w:r>
      <w:r w:rsidR="00F01A41" w:rsidRPr="002C21B8">
        <w:rPr>
          <w:sz w:val="19"/>
          <w:szCs w:val="19"/>
        </w:rPr>
        <w:fldChar w:fldCharType="begin">
          <w:ffData>
            <w:name w:val=""/>
            <w:enabled/>
            <w:calcOnExit w:val="0"/>
            <w:checkBox>
              <w:sizeAuto/>
              <w:default w:val="0"/>
            </w:checkBox>
          </w:ffData>
        </w:fldChar>
      </w:r>
      <w:r w:rsidR="00F01A41" w:rsidRPr="002C21B8">
        <w:rPr>
          <w:sz w:val="19"/>
          <w:szCs w:val="19"/>
        </w:rPr>
        <w:instrText xml:space="preserve"> FORMCHECKBOX </w:instrText>
      </w:r>
      <w:r w:rsidR="00000000">
        <w:rPr>
          <w:sz w:val="19"/>
          <w:szCs w:val="19"/>
        </w:rPr>
      </w:r>
      <w:r w:rsidR="00000000">
        <w:rPr>
          <w:sz w:val="19"/>
          <w:szCs w:val="19"/>
        </w:rPr>
        <w:fldChar w:fldCharType="separate"/>
      </w:r>
      <w:r w:rsidR="00F01A41" w:rsidRPr="002C21B8">
        <w:rPr>
          <w:sz w:val="19"/>
          <w:szCs w:val="19"/>
        </w:rPr>
        <w:fldChar w:fldCharType="end"/>
      </w:r>
      <w:r w:rsidR="00F01A41" w:rsidRPr="002C21B8">
        <w:rPr>
          <w:sz w:val="19"/>
          <w:szCs w:val="19"/>
        </w:rPr>
        <w:t xml:space="preserve"> Unclear</w:t>
      </w:r>
    </w:p>
    <w:p w14:paraId="4384E5CC" w14:textId="77777777" w:rsidR="00F01A41" w:rsidRPr="002C21B8" w:rsidRDefault="00F01A41">
      <w:pPr>
        <w:spacing w:after="0" w:line="240" w:lineRule="auto"/>
        <w:jc w:val="left"/>
        <w:rPr>
          <w:sz w:val="19"/>
          <w:szCs w:val="19"/>
        </w:rPr>
      </w:pPr>
    </w:p>
    <w:p w14:paraId="35204876" w14:textId="609B170F" w:rsidR="00F01A41" w:rsidRPr="002C21B8" w:rsidRDefault="00F01A41">
      <w:pPr>
        <w:spacing w:after="0" w:line="240" w:lineRule="auto"/>
        <w:jc w:val="left"/>
        <w:rPr>
          <w:b/>
          <w:bCs/>
          <w:sz w:val="19"/>
          <w:szCs w:val="19"/>
        </w:rPr>
      </w:pPr>
      <w:r w:rsidRPr="002C21B8">
        <w:rPr>
          <w:b/>
          <w:bCs/>
          <w:sz w:val="19"/>
          <w:szCs w:val="19"/>
        </w:rPr>
        <w:t>Phase 2: Identifying concerns with the review process</w:t>
      </w:r>
    </w:p>
    <w:p w14:paraId="04F16B8E" w14:textId="77777777" w:rsidR="00A6746A" w:rsidRPr="002C21B8" w:rsidRDefault="00A6746A">
      <w:pPr>
        <w:spacing w:after="0" w:line="240" w:lineRule="auto"/>
        <w:jc w:val="left"/>
        <w:rPr>
          <w:b/>
          <w:bCs/>
          <w:sz w:val="19"/>
          <w:szCs w:val="19"/>
        </w:rPr>
      </w:pPr>
    </w:p>
    <w:tbl>
      <w:tblPr>
        <w:tblStyle w:val="TableGrid"/>
        <w:tblW w:w="9209" w:type="dxa"/>
        <w:tblLook w:val="04A0" w:firstRow="1" w:lastRow="0" w:firstColumn="1" w:lastColumn="0" w:noHBand="0" w:noVBand="1"/>
      </w:tblPr>
      <w:tblGrid>
        <w:gridCol w:w="9209"/>
      </w:tblGrid>
      <w:tr w:rsidR="00602699" w:rsidRPr="002C21B8" w14:paraId="1385D20E" w14:textId="77777777" w:rsidTr="00B7125A">
        <w:tc>
          <w:tcPr>
            <w:tcW w:w="9209" w:type="dxa"/>
          </w:tcPr>
          <w:p w14:paraId="73F4DB16" w14:textId="2DAFACED" w:rsidR="00602699" w:rsidRPr="002C21B8" w:rsidRDefault="00602699" w:rsidP="00602699">
            <w:pPr>
              <w:spacing w:after="20" w:line="240" w:lineRule="auto"/>
              <w:rPr>
                <w:b/>
                <w:bCs/>
                <w:sz w:val="19"/>
                <w:szCs w:val="19"/>
              </w:rPr>
            </w:pPr>
            <w:r w:rsidRPr="002C21B8">
              <w:rPr>
                <w:b/>
                <w:bCs/>
                <w:sz w:val="19"/>
                <w:szCs w:val="19"/>
              </w:rPr>
              <w:t>Domain 1</w:t>
            </w:r>
          </w:p>
        </w:tc>
      </w:tr>
      <w:tr w:rsidR="00602699" w:rsidRPr="002C21B8" w14:paraId="2927C4BB" w14:textId="77777777" w:rsidTr="00B7125A">
        <w:tc>
          <w:tcPr>
            <w:tcW w:w="9209" w:type="dxa"/>
          </w:tcPr>
          <w:p w14:paraId="086F2CC3" w14:textId="77777777" w:rsidR="00602699" w:rsidRPr="002C21B8" w:rsidRDefault="00602699" w:rsidP="00602699">
            <w:pPr>
              <w:spacing w:after="20" w:line="240" w:lineRule="auto"/>
              <w:rPr>
                <w:sz w:val="19"/>
                <w:szCs w:val="19"/>
              </w:rPr>
            </w:pPr>
            <w:r w:rsidRPr="002C21B8">
              <w:rPr>
                <w:sz w:val="19"/>
                <w:szCs w:val="19"/>
              </w:rPr>
              <w:t>1.1 Did the review adhere to pre-defined objectives and eligibility criteria?</w:t>
            </w:r>
          </w:p>
          <w:p w14:paraId="7383FA57" w14:textId="77055B9B" w:rsidR="00602699" w:rsidRPr="002C21B8" w:rsidRDefault="00482B80" w:rsidP="00602699">
            <w:pPr>
              <w:spacing w:after="20" w:line="240" w:lineRule="auto"/>
              <w:jc w:val="left"/>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1DC12A16" w14:textId="77777777" w:rsidTr="00B7125A">
        <w:tc>
          <w:tcPr>
            <w:tcW w:w="9209" w:type="dxa"/>
          </w:tcPr>
          <w:p w14:paraId="26F5E96A" w14:textId="77777777" w:rsidR="00602699" w:rsidRPr="002C21B8" w:rsidRDefault="00602699" w:rsidP="00602699">
            <w:pPr>
              <w:pStyle w:val="p1"/>
              <w:spacing w:after="20"/>
              <w:rPr>
                <w:rFonts w:ascii="Helvetica" w:hAnsi="Helvetica" w:cs="Times New Roman"/>
                <w:sz w:val="19"/>
                <w:szCs w:val="19"/>
              </w:rPr>
            </w:pPr>
            <w:r w:rsidRPr="002C21B8">
              <w:rPr>
                <w:sz w:val="19"/>
                <w:szCs w:val="19"/>
              </w:rPr>
              <w:t>1.2 Were the eligibility criteria appropriate for the review question?</w:t>
            </w:r>
          </w:p>
          <w:p w14:paraId="71246EF2" w14:textId="14007197" w:rsidR="00602699" w:rsidRPr="002C21B8" w:rsidRDefault="00482B80" w:rsidP="0060269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5B902CAF" w14:textId="77777777" w:rsidTr="00B7125A">
        <w:tc>
          <w:tcPr>
            <w:tcW w:w="9209" w:type="dxa"/>
          </w:tcPr>
          <w:p w14:paraId="0EBD3179" w14:textId="77777777" w:rsidR="00602699" w:rsidRPr="002C21B8" w:rsidRDefault="00602699" w:rsidP="00602699">
            <w:pPr>
              <w:pStyle w:val="p1"/>
              <w:spacing w:after="20"/>
              <w:rPr>
                <w:rFonts w:ascii="Helvetica" w:hAnsi="Helvetica" w:cs="Times New Roman"/>
                <w:sz w:val="19"/>
                <w:szCs w:val="19"/>
              </w:rPr>
            </w:pPr>
            <w:r w:rsidRPr="002C21B8">
              <w:rPr>
                <w:sz w:val="19"/>
                <w:szCs w:val="19"/>
              </w:rPr>
              <w:t>1.3 Were eligibility criteria unambiguous?</w:t>
            </w:r>
            <w:r w:rsidRPr="002C21B8">
              <w:rPr>
                <w:rStyle w:val="apple-converted-space"/>
                <w:rFonts w:eastAsiaTheme="majorEastAsia"/>
                <w:sz w:val="19"/>
                <w:szCs w:val="19"/>
              </w:rPr>
              <w:t> </w:t>
            </w:r>
          </w:p>
          <w:p w14:paraId="1DFBAFB3" w14:textId="0B61F8AA" w:rsidR="00602699" w:rsidRPr="002C21B8" w:rsidRDefault="00602699" w:rsidP="0060269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602699" w:rsidRPr="002C21B8" w14:paraId="118DB708" w14:textId="77777777" w:rsidTr="00B7125A">
        <w:tc>
          <w:tcPr>
            <w:tcW w:w="9209" w:type="dxa"/>
          </w:tcPr>
          <w:p w14:paraId="7C0FEA2E" w14:textId="77777777" w:rsidR="00602699" w:rsidRPr="002C21B8" w:rsidRDefault="00602699" w:rsidP="00602699">
            <w:pPr>
              <w:pStyle w:val="p1"/>
              <w:spacing w:after="20"/>
              <w:rPr>
                <w:sz w:val="19"/>
                <w:szCs w:val="19"/>
              </w:rPr>
            </w:pPr>
            <w:r w:rsidRPr="002C21B8">
              <w:rPr>
                <w:sz w:val="19"/>
                <w:szCs w:val="19"/>
              </w:rPr>
              <w:t>1.4 Were any restrictions in eligibility criteria based on study characteristics appropriate (e.g. date, sample size, study quality, outcomes measured)?</w:t>
            </w:r>
          </w:p>
          <w:p w14:paraId="6F75B42B" w14:textId="226075A8" w:rsidR="00602699" w:rsidRPr="002C21B8" w:rsidRDefault="00602699" w:rsidP="0060269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602699" w:rsidRPr="002C21B8" w14:paraId="42983A00" w14:textId="77777777" w:rsidTr="00B7125A">
        <w:tc>
          <w:tcPr>
            <w:tcW w:w="9209" w:type="dxa"/>
          </w:tcPr>
          <w:p w14:paraId="0E980DB5" w14:textId="40614E20" w:rsidR="00602699" w:rsidRPr="002C21B8" w:rsidRDefault="00602699" w:rsidP="00602699">
            <w:pPr>
              <w:pStyle w:val="p1"/>
              <w:spacing w:after="20"/>
              <w:rPr>
                <w:sz w:val="19"/>
                <w:szCs w:val="19"/>
              </w:rPr>
            </w:pPr>
            <w:r w:rsidRPr="002C21B8">
              <w:rPr>
                <w:sz w:val="19"/>
                <w:szCs w:val="19"/>
              </w:rPr>
              <w:t>1.5 Were any restrictions in eligibility criteria based on sources of information appropriate (e.g. publication status or format, language, availability of data)?</w:t>
            </w:r>
          </w:p>
          <w:p w14:paraId="23A66C5F" w14:textId="7CD7F4CB" w:rsidR="00602699" w:rsidRPr="002C21B8" w:rsidRDefault="00602699" w:rsidP="00602699">
            <w:pPr>
              <w:pStyle w:val="p1"/>
              <w:spacing w:after="20"/>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3C4484" w:rsidRPr="002C21B8" w14:paraId="4A3359BB" w14:textId="77777777" w:rsidTr="00B7125A">
        <w:tc>
          <w:tcPr>
            <w:tcW w:w="9209" w:type="dxa"/>
          </w:tcPr>
          <w:p w14:paraId="3FCD9846" w14:textId="77777777" w:rsidR="003C4484" w:rsidRPr="002C21B8" w:rsidRDefault="003C4484" w:rsidP="00602699">
            <w:pPr>
              <w:spacing w:after="20" w:line="240" w:lineRule="auto"/>
              <w:rPr>
                <w:sz w:val="19"/>
                <w:szCs w:val="19"/>
              </w:rPr>
            </w:pPr>
            <w:r w:rsidRPr="002C21B8">
              <w:rPr>
                <w:sz w:val="19"/>
                <w:szCs w:val="19"/>
              </w:rPr>
              <w:t>Concerns regarding specification of study eligibility criteria:</w:t>
            </w:r>
          </w:p>
          <w:p w14:paraId="45E05540" w14:textId="39CBCA2B" w:rsidR="003C4484" w:rsidRPr="002C21B8" w:rsidRDefault="00482B80" w:rsidP="0060269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3C4484" w:rsidRPr="002C21B8">
              <w:rPr>
                <w:sz w:val="19"/>
                <w:szCs w:val="19"/>
              </w:rPr>
              <w:t xml:space="preserve"> Low </w:t>
            </w:r>
            <w:r w:rsidR="003C4484" w:rsidRPr="002C21B8">
              <w:rPr>
                <w:sz w:val="19"/>
                <w:szCs w:val="19"/>
              </w:rPr>
              <w:fldChar w:fldCharType="begin">
                <w:ffData>
                  <w:name w:val=""/>
                  <w:enabled/>
                  <w:calcOnExit w:val="0"/>
                  <w:checkBox>
                    <w:sizeAuto/>
                    <w:default w:val="0"/>
                  </w:checkBox>
                </w:ffData>
              </w:fldChar>
            </w:r>
            <w:r w:rsidR="003C4484" w:rsidRPr="002C21B8">
              <w:rPr>
                <w:sz w:val="19"/>
                <w:szCs w:val="19"/>
              </w:rPr>
              <w:instrText xml:space="preserve"> FORMCHECKBOX </w:instrText>
            </w:r>
            <w:r w:rsidR="00000000">
              <w:rPr>
                <w:sz w:val="19"/>
                <w:szCs w:val="19"/>
              </w:rPr>
            </w:r>
            <w:r w:rsidR="00000000">
              <w:rPr>
                <w:sz w:val="19"/>
                <w:szCs w:val="19"/>
              </w:rPr>
              <w:fldChar w:fldCharType="separate"/>
            </w:r>
            <w:r w:rsidR="003C4484" w:rsidRPr="002C21B8">
              <w:rPr>
                <w:sz w:val="19"/>
                <w:szCs w:val="19"/>
              </w:rPr>
              <w:fldChar w:fldCharType="end"/>
            </w:r>
            <w:r w:rsidR="003C4484" w:rsidRPr="002C21B8">
              <w:rPr>
                <w:sz w:val="19"/>
                <w:szCs w:val="19"/>
              </w:rPr>
              <w:t xml:space="preserve"> High </w:t>
            </w:r>
            <w:r w:rsidR="003C4484" w:rsidRPr="002C21B8">
              <w:rPr>
                <w:sz w:val="19"/>
                <w:szCs w:val="19"/>
              </w:rPr>
              <w:fldChar w:fldCharType="begin">
                <w:ffData>
                  <w:name w:val=""/>
                  <w:enabled/>
                  <w:calcOnExit w:val="0"/>
                  <w:checkBox>
                    <w:sizeAuto/>
                    <w:default w:val="0"/>
                  </w:checkBox>
                </w:ffData>
              </w:fldChar>
            </w:r>
            <w:r w:rsidR="003C4484" w:rsidRPr="002C21B8">
              <w:rPr>
                <w:sz w:val="19"/>
                <w:szCs w:val="19"/>
              </w:rPr>
              <w:instrText xml:space="preserve"> FORMCHECKBOX </w:instrText>
            </w:r>
            <w:r w:rsidR="00000000">
              <w:rPr>
                <w:sz w:val="19"/>
                <w:szCs w:val="19"/>
              </w:rPr>
            </w:r>
            <w:r w:rsidR="00000000">
              <w:rPr>
                <w:sz w:val="19"/>
                <w:szCs w:val="19"/>
              </w:rPr>
              <w:fldChar w:fldCharType="separate"/>
            </w:r>
            <w:r w:rsidR="003C4484" w:rsidRPr="002C21B8">
              <w:rPr>
                <w:sz w:val="19"/>
                <w:szCs w:val="19"/>
              </w:rPr>
              <w:fldChar w:fldCharType="end"/>
            </w:r>
            <w:r w:rsidR="003C4484" w:rsidRPr="002C21B8">
              <w:rPr>
                <w:sz w:val="19"/>
                <w:szCs w:val="19"/>
              </w:rPr>
              <w:t xml:space="preserve"> Unclear</w:t>
            </w:r>
          </w:p>
        </w:tc>
      </w:tr>
    </w:tbl>
    <w:p w14:paraId="11B888E8" w14:textId="6FDD4C70" w:rsidR="00A6746A" w:rsidRPr="002C21B8" w:rsidRDefault="00A6746A">
      <w:pPr>
        <w:spacing w:after="0" w:line="240" w:lineRule="auto"/>
        <w:jc w:val="left"/>
        <w:rPr>
          <w:sz w:val="19"/>
          <w:szCs w:val="19"/>
        </w:rPr>
      </w:pPr>
    </w:p>
    <w:tbl>
      <w:tblPr>
        <w:tblStyle w:val="TableGrid"/>
        <w:tblW w:w="9209" w:type="dxa"/>
        <w:tblLook w:val="04A0" w:firstRow="1" w:lastRow="0" w:firstColumn="1" w:lastColumn="0" w:noHBand="0" w:noVBand="1"/>
      </w:tblPr>
      <w:tblGrid>
        <w:gridCol w:w="9209"/>
      </w:tblGrid>
      <w:tr w:rsidR="00602699" w:rsidRPr="002C21B8" w14:paraId="0A700DE3" w14:textId="77777777" w:rsidTr="00B7125A">
        <w:tc>
          <w:tcPr>
            <w:tcW w:w="9209" w:type="dxa"/>
          </w:tcPr>
          <w:p w14:paraId="0AD0E1B8" w14:textId="5392AD92" w:rsidR="00602699" w:rsidRPr="002C21B8" w:rsidRDefault="00602699" w:rsidP="00602699">
            <w:pPr>
              <w:spacing w:afterLines="20" w:after="48" w:line="240" w:lineRule="auto"/>
              <w:rPr>
                <w:b/>
                <w:bCs/>
                <w:sz w:val="19"/>
                <w:szCs w:val="19"/>
              </w:rPr>
            </w:pPr>
            <w:r w:rsidRPr="002C21B8">
              <w:rPr>
                <w:b/>
                <w:bCs/>
                <w:sz w:val="19"/>
                <w:szCs w:val="19"/>
              </w:rPr>
              <w:t>Domain 2: Identification and selection of studies</w:t>
            </w:r>
          </w:p>
        </w:tc>
      </w:tr>
      <w:tr w:rsidR="00602699" w:rsidRPr="002C21B8" w14:paraId="68C8FF4A" w14:textId="77777777" w:rsidTr="00B7125A">
        <w:tc>
          <w:tcPr>
            <w:tcW w:w="9209" w:type="dxa"/>
          </w:tcPr>
          <w:p w14:paraId="1ED44092" w14:textId="380BEC0C" w:rsidR="00602699" w:rsidRPr="002C21B8" w:rsidRDefault="00602699" w:rsidP="00602699">
            <w:pPr>
              <w:pStyle w:val="p1"/>
              <w:spacing w:afterLines="20" w:after="48"/>
              <w:rPr>
                <w:rFonts w:ascii="Helvetica" w:hAnsi="Helvetica" w:cs="Times New Roman"/>
                <w:sz w:val="19"/>
                <w:szCs w:val="19"/>
              </w:rPr>
            </w:pPr>
            <w:r w:rsidRPr="002C21B8">
              <w:rPr>
                <w:sz w:val="19"/>
                <w:szCs w:val="19"/>
              </w:rPr>
              <w:t>2.1 Did the search include an appropriate range of databases/electronic sources for published and unpublished reports?</w:t>
            </w:r>
          </w:p>
          <w:p w14:paraId="0F7DD109" w14:textId="7DBE2228" w:rsidR="00602699" w:rsidRPr="002C21B8" w:rsidRDefault="00482B80"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11BE756F" w14:textId="77777777" w:rsidTr="00B7125A">
        <w:tc>
          <w:tcPr>
            <w:tcW w:w="9209" w:type="dxa"/>
          </w:tcPr>
          <w:p w14:paraId="3D08F5C6" w14:textId="4DD7C536" w:rsidR="00602699" w:rsidRPr="002C21B8" w:rsidRDefault="00602699" w:rsidP="00602699">
            <w:pPr>
              <w:pStyle w:val="p1"/>
              <w:spacing w:afterLines="20" w:after="48"/>
              <w:rPr>
                <w:rFonts w:ascii="Helvetica" w:hAnsi="Helvetica" w:cs="Times New Roman"/>
                <w:sz w:val="19"/>
                <w:szCs w:val="19"/>
              </w:rPr>
            </w:pPr>
            <w:r w:rsidRPr="002C21B8">
              <w:rPr>
                <w:sz w:val="19"/>
                <w:szCs w:val="19"/>
              </w:rPr>
              <w:t>2.2 Were methods additional to database searching used to identify relevant reports?</w:t>
            </w:r>
          </w:p>
          <w:p w14:paraId="0AC3B9E0" w14:textId="219CC56D" w:rsidR="00602699" w:rsidRPr="002C21B8" w:rsidRDefault="00482B80"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208D97D4" w14:textId="77777777" w:rsidTr="00B7125A">
        <w:tc>
          <w:tcPr>
            <w:tcW w:w="9209" w:type="dxa"/>
          </w:tcPr>
          <w:p w14:paraId="0344D27A" w14:textId="0B1D5B2D" w:rsidR="00602699" w:rsidRPr="002C21B8" w:rsidRDefault="00602699" w:rsidP="00602699">
            <w:pPr>
              <w:pStyle w:val="p1"/>
              <w:spacing w:afterLines="20" w:after="48"/>
              <w:rPr>
                <w:rFonts w:ascii="Helvetica" w:hAnsi="Helvetica" w:cs="Times New Roman"/>
                <w:sz w:val="19"/>
                <w:szCs w:val="19"/>
              </w:rPr>
            </w:pPr>
            <w:r w:rsidRPr="002C21B8">
              <w:rPr>
                <w:sz w:val="19"/>
                <w:szCs w:val="19"/>
              </w:rPr>
              <w:t>2.3 Were the terms and structure of the search strategy likely to retrieve as many eligible studies as possible?</w:t>
            </w:r>
          </w:p>
          <w:p w14:paraId="52E7C56C" w14:textId="582C915B" w:rsidR="00602699" w:rsidRPr="002C21B8" w:rsidRDefault="00602699"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602699" w:rsidRPr="002C21B8" w14:paraId="07672197" w14:textId="77777777" w:rsidTr="00B7125A">
        <w:tc>
          <w:tcPr>
            <w:tcW w:w="9209" w:type="dxa"/>
          </w:tcPr>
          <w:p w14:paraId="3F33E074" w14:textId="362127A1" w:rsidR="00602699" w:rsidRPr="002C21B8" w:rsidRDefault="00602699" w:rsidP="00602699">
            <w:pPr>
              <w:pStyle w:val="p1"/>
              <w:spacing w:afterLines="20" w:after="48"/>
              <w:rPr>
                <w:rFonts w:ascii="Helvetica" w:hAnsi="Helvetica" w:cs="Times New Roman"/>
                <w:sz w:val="19"/>
                <w:szCs w:val="19"/>
              </w:rPr>
            </w:pPr>
            <w:r w:rsidRPr="002C21B8">
              <w:rPr>
                <w:sz w:val="19"/>
                <w:szCs w:val="19"/>
              </w:rPr>
              <w:t>2.4 Were restrictions based on date, publication format, or language appropriate?</w:t>
            </w:r>
          </w:p>
          <w:p w14:paraId="2D934FBF" w14:textId="38533D5F" w:rsidR="00602699" w:rsidRPr="002C21B8" w:rsidRDefault="00482B80"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7EA132F8" w14:textId="77777777" w:rsidTr="00B7125A">
        <w:tc>
          <w:tcPr>
            <w:tcW w:w="9209" w:type="dxa"/>
          </w:tcPr>
          <w:p w14:paraId="08CFE9B5" w14:textId="4807ACF8" w:rsidR="00602699" w:rsidRPr="002C21B8" w:rsidRDefault="00602699" w:rsidP="00602699">
            <w:pPr>
              <w:pStyle w:val="p1"/>
              <w:spacing w:afterLines="20" w:after="48"/>
              <w:rPr>
                <w:rFonts w:ascii="Helvetica" w:hAnsi="Helvetica" w:cs="Times New Roman"/>
                <w:sz w:val="19"/>
                <w:szCs w:val="19"/>
              </w:rPr>
            </w:pPr>
            <w:r w:rsidRPr="002C21B8">
              <w:rPr>
                <w:sz w:val="19"/>
                <w:szCs w:val="19"/>
              </w:rPr>
              <w:t>2.5 Were efforts made to minimise error in selection of studies?</w:t>
            </w:r>
            <w:r w:rsidRPr="002C21B8">
              <w:rPr>
                <w:rStyle w:val="apple-converted-space"/>
                <w:rFonts w:eastAsiaTheme="majorEastAsia"/>
                <w:sz w:val="19"/>
                <w:szCs w:val="19"/>
              </w:rPr>
              <w:t> </w:t>
            </w:r>
          </w:p>
          <w:p w14:paraId="2577C3D9" w14:textId="389EF3DA" w:rsidR="00602699" w:rsidRPr="002C21B8" w:rsidRDefault="00482B80"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3C4484" w:rsidRPr="002C21B8" w14:paraId="748B8C9B" w14:textId="77777777" w:rsidTr="00B7125A">
        <w:tc>
          <w:tcPr>
            <w:tcW w:w="9209" w:type="dxa"/>
          </w:tcPr>
          <w:p w14:paraId="26045912" w14:textId="77777777" w:rsidR="003C4484" w:rsidRPr="002C21B8" w:rsidRDefault="003C4484" w:rsidP="00602699">
            <w:pPr>
              <w:spacing w:afterLines="20" w:after="48" w:line="240" w:lineRule="auto"/>
              <w:rPr>
                <w:sz w:val="19"/>
                <w:szCs w:val="19"/>
              </w:rPr>
            </w:pPr>
            <w:r w:rsidRPr="002C21B8">
              <w:rPr>
                <w:sz w:val="19"/>
                <w:szCs w:val="19"/>
              </w:rPr>
              <w:t>Concerns regarding methods used to identify and/or select studies:</w:t>
            </w:r>
          </w:p>
          <w:p w14:paraId="1B6B0AD7" w14:textId="7235A489" w:rsidR="003C4484" w:rsidRPr="002C21B8" w:rsidRDefault="00482B80" w:rsidP="00602699">
            <w:pPr>
              <w:spacing w:afterLines="20" w:after="48"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3C4484" w:rsidRPr="002C21B8">
              <w:rPr>
                <w:sz w:val="19"/>
                <w:szCs w:val="19"/>
              </w:rPr>
              <w:t xml:space="preserve"> Low </w:t>
            </w:r>
            <w:r w:rsidR="003C4484" w:rsidRPr="002C21B8">
              <w:rPr>
                <w:sz w:val="19"/>
                <w:szCs w:val="19"/>
              </w:rPr>
              <w:fldChar w:fldCharType="begin">
                <w:ffData>
                  <w:name w:val=""/>
                  <w:enabled/>
                  <w:calcOnExit w:val="0"/>
                  <w:checkBox>
                    <w:sizeAuto/>
                    <w:default w:val="0"/>
                  </w:checkBox>
                </w:ffData>
              </w:fldChar>
            </w:r>
            <w:r w:rsidR="003C4484" w:rsidRPr="002C21B8">
              <w:rPr>
                <w:sz w:val="19"/>
                <w:szCs w:val="19"/>
              </w:rPr>
              <w:instrText xml:space="preserve"> FORMCHECKBOX </w:instrText>
            </w:r>
            <w:r w:rsidR="00000000">
              <w:rPr>
                <w:sz w:val="19"/>
                <w:szCs w:val="19"/>
              </w:rPr>
            </w:r>
            <w:r w:rsidR="00000000">
              <w:rPr>
                <w:sz w:val="19"/>
                <w:szCs w:val="19"/>
              </w:rPr>
              <w:fldChar w:fldCharType="separate"/>
            </w:r>
            <w:r w:rsidR="003C4484" w:rsidRPr="002C21B8">
              <w:rPr>
                <w:sz w:val="19"/>
                <w:szCs w:val="19"/>
              </w:rPr>
              <w:fldChar w:fldCharType="end"/>
            </w:r>
            <w:r w:rsidR="003C4484" w:rsidRPr="002C21B8">
              <w:rPr>
                <w:sz w:val="19"/>
                <w:szCs w:val="19"/>
              </w:rPr>
              <w:t xml:space="preserve"> High </w:t>
            </w:r>
            <w:r w:rsidR="00337702" w:rsidRPr="002C21B8">
              <w:rPr>
                <w:sz w:val="19"/>
                <w:szCs w:val="19"/>
              </w:rPr>
              <w:fldChar w:fldCharType="begin">
                <w:ffData>
                  <w:name w:val=""/>
                  <w:enabled/>
                  <w:calcOnExit w:val="0"/>
                  <w:checkBox>
                    <w:sizeAuto/>
                    <w:default w:val="0"/>
                  </w:checkBox>
                </w:ffData>
              </w:fldChar>
            </w:r>
            <w:r w:rsidR="00337702" w:rsidRPr="002C21B8">
              <w:rPr>
                <w:sz w:val="19"/>
                <w:szCs w:val="19"/>
              </w:rPr>
              <w:instrText xml:space="preserve"> FORMCHECKBOX </w:instrText>
            </w:r>
            <w:r w:rsidR="00000000">
              <w:rPr>
                <w:sz w:val="19"/>
                <w:szCs w:val="19"/>
              </w:rPr>
            </w:r>
            <w:r w:rsidR="00000000">
              <w:rPr>
                <w:sz w:val="19"/>
                <w:szCs w:val="19"/>
              </w:rPr>
              <w:fldChar w:fldCharType="separate"/>
            </w:r>
            <w:r w:rsidR="00337702" w:rsidRPr="002C21B8">
              <w:rPr>
                <w:sz w:val="19"/>
                <w:szCs w:val="19"/>
              </w:rPr>
              <w:fldChar w:fldCharType="end"/>
            </w:r>
            <w:r w:rsidR="003C4484" w:rsidRPr="002C21B8">
              <w:rPr>
                <w:sz w:val="19"/>
                <w:szCs w:val="19"/>
              </w:rPr>
              <w:t xml:space="preserve"> Unclear</w:t>
            </w:r>
          </w:p>
        </w:tc>
      </w:tr>
    </w:tbl>
    <w:p w14:paraId="4C22CD1C" w14:textId="77777777" w:rsidR="00602699" w:rsidRPr="002C21B8" w:rsidRDefault="00602699">
      <w:pPr>
        <w:spacing w:after="0" w:line="240" w:lineRule="auto"/>
        <w:jc w:val="left"/>
        <w:rPr>
          <w:sz w:val="19"/>
          <w:szCs w:val="19"/>
        </w:rPr>
      </w:pPr>
    </w:p>
    <w:p w14:paraId="7D3960B8" w14:textId="77777777" w:rsidR="00B7125A" w:rsidRPr="002C21B8" w:rsidRDefault="00B7125A">
      <w:pPr>
        <w:spacing w:after="0" w:line="240" w:lineRule="auto"/>
        <w:jc w:val="left"/>
        <w:rPr>
          <w:sz w:val="19"/>
          <w:szCs w:val="19"/>
        </w:rPr>
      </w:pPr>
    </w:p>
    <w:tbl>
      <w:tblPr>
        <w:tblStyle w:val="TableGrid"/>
        <w:tblW w:w="9209" w:type="dxa"/>
        <w:tblLook w:val="04A0" w:firstRow="1" w:lastRow="0" w:firstColumn="1" w:lastColumn="0" w:noHBand="0" w:noVBand="1"/>
      </w:tblPr>
      <w:tblGrid>
        <w:gridCol w:w="9209"/>
      </w:tblGrid>
      <w:tr w:rsidR="00602699" w:rsidRPr="002C21B8" w14:paraId="121B3B29" w14:textId="77777777" w:rsidTr="00B7125A">
        <w:tc>
          <w:tcPr>
            <w:tcW w:w="9209" w:type="dxa"/>
          </w:tcPr>
          <w:p w14:paraId="160D2A44" w14:textId="3F2725C1" w:rsidR="00602699" w:rsidRPr="002C21B8" w:rsidRDefault="00602699" w:rsidP="00547889">
            <w:pPr>
              <w:spacing w:after="20" w:line="240" w:lineRule="auto"/>
              <w:rPr>
                <w:b/>
                <w:bCs/>
                <w:sz w:val="19"/>
                <w:szCs w:val="19"/>
              </w:rPr>
            </w:pPr>
            <w:r w:rsidRPr="002C21B8">
              <w:rPr>
                <w:b/>
                <w:bCs/>
                <w:sz w:val="19"/>
                <w:szCs w:val="19"/>
              </w:rPr>
              <w:t>Domain 3: Data collection and study appraisal</w:t>
            </w:r>
          </w:p>
        </w:tc>
      </w:tr>
      <w:tr w:rsidR="00602699" w:rsidRPr="002C21B8" w14:paraId="36EDEEBF" w14:textId="77777777" w:rsidTr="00B7125A">
        <w:tc>
          <w:tcPr>
            <w:tcW w:w="9209" w:type="dxa"/>
          </w:tcPr>
          <w:p w14:paraId="7BDC07FB" w14:textId="3E169478" w:rsidR="00602699" w:rsidRPr="002C21B8" w:rsidRDefault="00602699" w:rsidP="00547889">
            <w:pPr>
              <w:pStyle w:val="p1"/>
              <w:spacing w:after="20"/>
              <w:rPr>
                <w:rFonts w:ascii="Helvetica" w:hAnsi="Helvetica" w:cs="Times New Roman"/>
                <w:sz w:val="19"/>
                <w:szCs w:val="19"/>
              </w:rPr>
            </w:pPr>
            <w:r w:rsidRPr="002C21B8">
              <w:rPr>
                <w:sz w:val="19"/>
                <w:szCs w:val="19"/>
              </w:rPr>
              <w:t xml:space="preserve">3.1 </w:t>
            </w:r>
            <w:r w:rsidR="00547889" w:rsidRPr="002C21B8">
              <w:rPr>
                <w:sz w:val="19"/>
                <w:szCs w:val="19"/>
              </w:rPr>
              <w:t>Were efforts made to minimise error in data collection?</w:t>
            </w:r>
          </w:p>
          <w:p w14:paraId="4517A3A6" w14:textId="4660C342" w:rsidR="00602699" w:rsidRPr="002C21B8" w:rsidRDefault="00482B80" w:rsidP="00547889">
            <w:pPr>
              <w:spacing w:after="20" w:line="240" w:lineRule="auto"/>
              <w:jc w:val="left"/>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0266EB2B" w14:textId="77777777" w:rsidTr="00B7125A">
        <w:tc>
          <w:tcPr>
            <w:tcW w:w="9209" w:type="dxa"/>
          </w:tcPr>
          <w:p w14:paraId="43D13F7E" w14:textId="26CF196D" w:rsidR="00602699" w:rsidRPr="002C21B8" w:rsidRDefault="00602699" w:rsidP="00547889">
            <w:pPr>
              <w:pStyle w:val="p1"/>
              <w:spacing w:after="20"/>
              <w:rPr>
                <w:rFonts w:ascii="Helvetica" w:hAnsi="Helvetica" w:cs="Times New Roman"/>
                <w:sz w:val="19"/>
                <w:szCs w:val="19"/>
              </w:rPr>
            </w:pPr>
            <w:r w:rsidRPr="002C21B8">
              <w:rPr>
                <w:sz w:val="19"/>
                <w:szCs w:val="19"/>
              </w:rPr>
              <w:t>3.2</w:t>
            </w:r>
            <w:r w:rsidR="00547889" w:rsidRPr="002C21B8">
              <w:rPr>
                <w:sz w:val="19"/>
                <w:szCs w:val="19"/>
              </w:rPr>
              <w:t xml:space="preserve"> Were sufficient study characteristics available for both review authors and readers to be able to interpret the results?</w:t>
            </w:r>
          </w:p>
          <w:p w14:paraId="6669C2E6" w14:textId="682A3962"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No information</w:t>
            </w:r>
          </w:p>
        </w:tc>
      </w:tr>
      <w:tr w:rsidR="00602699" w:rsidRPr="002C21B8" w14:paraId="6CC80592" w14:textId="77777777" w:rsidTr="00B7125A">
        <w:tc>
          <w:tcPr>
            <w:tcW w:w="9209" w:type="dxa"/>
          </w:tcPr>
          <w:p w14:paraId="52285292" w14:textId="2BA3984D" w:rsidR="00547889" w:rsidRPr="002C21B8" w:rsidRDefault="00602699" w:rsidP="00547889">
            <w:pPr>
              <w:pStyle w:val="p1"/>
              <w:spacing w:after="20"/>
              <w:rPr>
                <w:rFonts w:ascii="Helvetica" w:hAnsi="Helvetica" w:cs="Times New Roman"/>
                <w:sz w:val="19"/>
                <w:szCs w:val="19"/>
              </w:rPr>
            </w:pPr>
            <w:r w:rsidRPr="002C21B8">
              <w:rPr>
                <w:sz w:val="19"/>
                <w:szCs w:val="19"/>
              </w:rPr>
              <w:t>3.3</w:t>
            </w:r>
            <w:r w:rsidR="00547889" w:rsidRPr="002C21B8">
              <w:rPr>
                <w:sz w:val="19"/>
                <w:szCs w:val="19"/>
              </w:rPr>
              <w:t xml:space="preserve"> Were all relevant study results collected for use in the synthesis?</w:t>
            </w:r>
          </w:p>
          <w:p w14:paraId="1589734B" w14:textId="6FF47AAF" w:rsidR="00602699" w:rsidRPr="002C21B8" w:rsidRDefault="00602699" w:rsidP="00547889">
            <w:pPr>
              <w:spacing w:after="20" w:line="240" w:lineRule="auto"/>
              <w:rPr>
                <w:sz w:val="19"/>
                <w:szCs w:val="19"/>
              </w:rPr>
            </w:pPr>
          </w:p>
          <w:p w14:paraId="51C0CEBD" w14:textId="58943531"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0D06D6AA" w14:textId="77777777" w:rsidTr="00B7125A">
        <w:tc>
          <w:tcPr>
            <w:tcW w:w="9209" w:type="dxa"/>
          </w:tcPr>
          <w:p w14:paraId="567E7614" w14:textId="59F26818" w:rsidR="00602699" w:rsidRPr="002C21B8" w:rsidRDefault="00602699" w:rsidP="00547889">
            <w:pPr>
              <w:pStyle w:val="p1"/>
              <w:spacing w:after="20"/>
              <w:rPr>
                <w:rFonts w:ascii="Helvetica" w:hAnsi="Helvetica" w:cs="Times New Roman"/>
                <w:sz w:val="19"/>
                <w:szCs w:val="19"/>
              </w:rPr>
            </w:pPr>
            <w:r w:rsidRPr="002C21B8">
              <w:rPr>
                <w:sz w:val="19"/>
                <w:szCs w:val="19"/>
              </w:rPr>
              <w:t>3.4</w:t>
            </w:r>
            <w:r w:rsidR="00547889" w:rsidRPr="002C21B8">
              <w:rPr>
                <w:sz w:val="19"/>
                <w:szCs w:val="19"/>
              </w:rPr>
              <w:t xml:space="preserve"> Was risk of bias (or methodological quality) formally assessed using appropriate criteria?</w:t>
            </w:r>
          </w:p>
          <w:p w14:paraId="56D6E472" w14:textId="0D66A284" w:rsidR="00602699" w:rsidRPr="002C21B8" w:rsidRDefault="00602699"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602699" w:rsidRPr="002C21B8" w14:paraId="7C1B33D1" w14:textId="77777777" w:rsidTr="00B7125A">
        <w:tc>
          <w:tcPr>
            <w:tcW w:w="9209" w:type="dxa"/>
          </w:tcPr>
          <w:p w14:paraId="06D9BADC" w14:textId="2D337F33" w:rsidR="00602699" w:rsidRPr="002C21B8" w:rsidRDefault="00602699" w:rsidP="00547889">
            <w:pPr>
              <w:pStyle w:val="p1"/>
              <w:spacing w:after="20"/>
              <w:rPr>
                <w:rFonts w:ascii="Helvetica" w:hAnsi="Helvetica" w:cs="Times New Roman"/>
                <w:sz w:val="19"/>
                <w:szCs w:val="19"/>
              </w:rPr>
            </w:pPr>
            <w:r w:rsidRPr="002C21B8">
              <w:rPr>
                <w:sz w:val="19"/>
                <w:szCs w:val="19"/>
              </w:rPr>
              <w:t>3.5</w:t>
            </w:r>
            <w:r w:rsidR="00547889" w:rsidRPr="002C21B8">
              <w:rPr>
                <w:sz w:val="19"/>
                <w:szCs w:val="19"/>
              </w:rPr>
              <w:t xml:space="preserve"> Were efforts made to minimise error in risk of bias assessment?</w:t>
            </w:r>
          </w:p>
          <w:p w14:paraId="32E45199" w14:textId="3A24E9E0" w:rsidR="00602699" w:rsidRPr="002C21B8" w:rsidRDefault="00602699"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No information</w:t>
            </w:r>
          </w:p>
        </w:tc>
      </w:tr>
      <w:tr w:rsidR="00602699" w:rsidRPr="002C21B8" w14:paraId="2E4B2017" w14:textId="77777777" w:rsidTr="00B7125A">
        <w:tc>
          <w:tcPr>
            <w:tcW w:w="9209" w:type="dxa"/>
          </w:tcPr>
          <w:p w14:paraId="3A9FE5F1" w14:textId="77777777" w:rsidR="00602699" w:rsidRPr="002C21B8" w:rsidRDefault="00602699" w:rsidP="00547889">
            <w:pPr>
              <w:spacing w:after="20" w:line="240" w:lineRule="auto"/>
              <w:rPr>
                <w:sz w:val="19"/>
                <w:szCs w:val="19"/>
              </w:rPr>
            </w:pPr>
            <w:r w:rsidRPr="002C21B8">
              <w:rPr>
                <w:sz w:val="19"/>
                <w:szCs w:val="19"/>
              </w:rPr>
              <w:t>Concerns regarding methods used to collect data and appraise studies:</w:t>
            </w:r>
          </w:p>
          <w:p w14:paraId="2345228C" w14:textId="02D3E0F6"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Low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High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Unclear</w:t>
            </w:r>
          </w:p>
        </w:tc>
      </w:tr>
    </w:tbl>
    <w:p w14:paraId="64CD8F17" w14:textId="77777777" w:rsidR="0021402F" w:rsidRPr="002C21B8" w:rsidRDefault="0021402F">
      <w:pPr>
        <w:spacing w:after="0" w:line="240" w:lineRule="auto"/>
        <w:jc w:val="left"/>
        <w:rPr>
          <w:sz w:val="19"/>
          <w:szCs w:val="19"/>
        </w:rPr>
      </w:pPr>
    </w:p>
    <w:tbl>
      <w:tblPr>
        <w:tblStyle w:val="TableGrid"/>
        <w:tblW w:w="9209" w:type="dxa"/>
        <w:tblLook w:val="04A0" w:firstRow="1" w:lastRow="0" w:firstColumn="1" w:lastColumn="0" w:noHBand="0" w:noVBand="1"/>
      </w:tblPr>
      <w:tblGrid>
        <w:gridCol w:w="9209"/>
      </w:tblGrid>
      <w:tr w:rsidR="00602699" w:rsidRPr="002C21B8" w14:paraId="76943095" w14:textId="77777777" w:rsidTr="00B7125A">
        <w:tc>
          <w:tcPr>
            <w:tcW w:w="9209" w:type="dxa"/>
          </w:tcPr>
          <w:p w14:paraId="54204F6F" w14:textId="61063519" w:rsidR="00602699" w:rsidRPr="002C21B8" w:rsidRDefault="00602699" w:rsidP="00547889">
            <w:pPr>
              <w:spacing w:after="20" w:line="240" w:lineRule="auto"/>
              <w:rPr>
                <w:b/>
                <w:bCs/>
                <w:sz w:val="19"/>
                <w:szCs w:val="19"/>
              </w:rPr>
            </w:pPr>
            <w:r w:rsidRPr="002C21B8">
              <w:rPr>
                <w:b/>
                <w:bCs/>
                <w:sz w:val="19"/>
                <w:szCs w:val="19"/>
              </w:rPr>
              <w:t>Domain 4: Synthesis and findings</w:t>
            </w:r>
          </w:p>
        </w:tc>
      </w:tr>
      <w:tr w:rsidR="00602699" w:rsidRPr="002C21B8" w14:paraId="7BA89297" w14:textId="77777777" w:rsidTr="00B7125A">
        <w:tc>
          <w:tcPr>
            <w:tcW w:w="9209" w:type="dxa"/>
          </w:tcPr>
          <w:p w14:paraId="513348C7" w14:textId="504F9874" w:rsidR="00602699" w:rsidRPr="002C21B8" w:rsidRDefault="00602699" w:rsidP="00547889">
            <w:pPr>
              <w:pStyle w:val="p1"/>
              <w:spacing w:after="20"/>
              <w:rPr>
                <w:rFonts w:ascii="Helvetica" w:hAnsi="Helvetica" w:cs="Times New Roman"/>
                <w:sz w:val="19"/>
                <w:szCs w:val="19"/>
              </w:rPr>
            </w:pPr>
            <w:r w:rsidRPr="002C21B8">
              <w:rPr>
                <w:sz w:val="19"/>
                <w:szCs w:val="19"/>
              </w:rPr>
              <w:t xml:space="preserve">4.1 </w:t>
            </w:r>
            <w:r w:rsidR="00547889" w:rsidRPr="002C21B8">
              <w:rPr>
                <w:sz w:val="19"/>
                <w:szCs w:val="19"/>
              </w:rPr>
              <w:t>Did the synthesis include all studies that it should?</w:t>
            </w:r>
          </w:p>
          <w:p w14:paraId="489AF4A7" w14:textId="58F16C39"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322A279D" w14:textId="77777777" w:rsidTr="00B7125A">
        <w:tc>
          <w:tcPr>
            <w:tcW w:w="9209" w:type="dxa"/>
          </w:tcPr>
          <w:p w14:paraId="653B1B59" w14:textId="5D318887" w:rsidR="00602699" w:rsidRPr="002C21B8" w:rsidRDefault="00602699" w:rsidP="00547889">
            <w:pPr>
              <w:pStyle w:val="p1"/>
              <w:spacing w:after="20"/>
              <w:rPr>
                <w:rFonts w:ascii="Helvetica" w:hAnsi="Helvetica" w:cs="Times New Roman"/>
                <w:sz w:val="19"/>
                <w:szCs w:val="19"/>
              </w:rPr>
            </w:pPr>
            <w:r w:rsidRPr="002C21B8">
              <w:rPr>
                <w:sz w:val="19"/>
                <w:szCs w:val="19"/>
              </w:rPr>
              <w:t>4.2</w:t>
            </w:r>
            <w:r w:rsidR="00547889" w:rsidRPr="002C21B8">
              <w:rPr>
                <w:sz w:val="19"/>
                <w:szCs w:val="19"/>
              </w:rPr>
              <w:t xml:space="preserve"> Were all pre-defined analyses reported or departures explained?</w:t>
            </w:r>
            <w:r w:rsidR="00547889" w:rsidRPr="002C21B8">
              <w:rPr>
                <w:rStyle w:val="apple-converted-space"/>
                <w:rFonts w:eastAsiaTheme="majorEastAsia"/>
                <w:sz w:val="19"/>
                <w:szCs w:val="19"/>
              </w:rPr>
              <w:t> </w:t>
            </w:r>
          </w:p>
          <w:p w14:paraId="7DB8B5FA" w14:textId="646371C5"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32DD4BC7" w14:textId="77777777" w:rsidTr="00B7125A">
        <w:tc>
          <w:tcPr>
            <w:tcW w:w="9209" w:type="dxa"/>
          </w:tcPr>
          <w:p w14:paraId="3F5008E8" w14:textId="15BF0BB9" w:rsidR="00547889" w:rsidRPr="002C21B8" w:rsidRDefault="00602699" w:rsidP="00547889">
            <w:pPr>
              <w:pStyle w:val="p1"/>
              <w:spacing w:after="20"/>
              <w:rPr>
                <w:rFonts w:ascii="Helvetica" w:hAnsi="Helvetica" w:cs="Times New Roman"/>
                <w:sz w:val="19"/>
                <w:szCs w:val="19"/>
              </w:rPr>
            </w:pPr>
            <w:r w:rsidRPr="002C21B8">
              <w:rPr>
                <w:sz w:val="19"/>
                <w:szCs w:val="19"/>
              </w:rPr>
              <w:t>4.3</w:t>
            </w:r>
            <w:r w:rsidR="00547889" w:rsidRPr="002C21B8">
              <w:rPr>
                <w:sz w:val="19"/>
                <w:szCs w:val="19"/>
              </w:rPr>
              <w:t xml:space="preserve"> Was the synthesis appropriate given the nature and similarity in the research questions, study designs and outcomes across included studies?</w:t>
            </w:r>
          </w:p>
          <w:p w14:paraId="661E48D7" w14:textId="07CAD8C6" w:rsidR="00602699" w:rsidRPr="002C21B8" w:rsidRDefault="00482B80" w:rsidP="00547889">
            <w:pPr>
              <w:pStyle w:val="p1"/>
              <w:spacing w:after="20"/>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552B3753" w14:textId="77777777" w:rsidTr="00B7125A">
        <w:tc>
          <w:tcPr>
            <w:tcW w:w="9209" w:type="dxa"/>
          </w:tcPr>
          <w:p w14:paraId="66ABE9E6" w14:textId="05BA2260" w:rsidR="00602699" w:rsidRPr="002C21B8" w:rsidRDefault="00602699" w:rsidP="00547889">
            <w:pPr>
              <w:pStyle w:val="p1"/>
              <w:spacing w:after="20"/>
              <w:rPr>
                <w:rFonts w:ascii="Helvetica" w:hAnsi="Helvetica" w:cs="Times New Roman"/>
                <w:sz w:val="19"/>
                <w:szCs w:val="19"/>
              </w:rPr>
            </w:pPr>
            <w:r w:rsidRPr="002C21B8">
              <w:rPr>
                <w:sz w:val="19"/>
                <w:szCs w:val="19"/>
              </w:rPr>
              <w:t>4.4</w:t>
            </w:r>
            <w:r w:rsidR="00547889" w:rsidRPr="002C21B8">
              <w:rPr>
                <w:sz w:val="19"/>
                <w:szCs w:val="19"/>
              </w:rPr>
              <w:t xml:space="preserve"> Was between-study variation (heterogeneity) minimal or addressed in the synthesis?</w:t>
            </w:r>
          </w:p>
          <w:p w14:paraId="45D345D8" w14:textId="1389268A"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602699" w:rsidRPr="002C21B8" w14:paraId="288B4BB6" w14:textId="77777777" w:rsidTr="00B7125A">
        <w:tc>
          <w:tcPr>
            <w:tcW w:w="9209" w:type="dxa"/>
          </w:tcPr>
          <w:p w14:paraId="42F31125" w14:textId="10892E2F" w:rsidR="00602699" w:rsidRPr="002C21B8" w:rsidRDefault="00602699" w:rsidP="00547889">
            <w:pPr>
              <w:pStyle w:val="p1"/>
              <w:spacing w:after="20"/>
              <w:rPr>
                <w:rFonts w:ascii="Helvetica" w:hAnsi="Helvetica" w:cs="Times New Roman"/>
                <w:sz w:val="19"/>
                <w:szCs w:val="19"/>
              </w:rPr>
            </w:pPr>
            <w:r w:rsidRPr="002C21B8">
              <w:rPr>
                <w:sz w:val="19"/>
                <w:szCs w:val="19"/>
              </w:rPr>
              <w:t>4.5</w:t>
            </w:r>
            <w:r w:rsidR="00547889" w:rsidRPr="002C21B8">
              <w:rPr>
                <w:sz w:val="19"/>
                <w:szCs w:val="19"/>
              </w:rPr>
              <w:t xml:space="preserve"> Were the findings robust, e.g. as demonstrated through funnel plot or sensitivity analyses?</w:t>
            </w:r>
          </w:p>
          <w:p w14:paraId="52808C18" w14:textId="60B99225" w:rsidR="00602699" w:rsidRPr="002C21B8" w:rsidRDefault="00602699"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Yes </w:t>
            </w:r>
            <w:r w:rsidR="00482B80" w:rsidRPr="002C21B8">
              <w:rPr>
                <w:sz w:val="19"/>
                <w:szCs w:val="19"/>
              </w:rPr>
              <w:fldChar w:fldCharType="begin">
                <w:ffData>
                  <w:name w:val=""/>
                  <w:enabled/>
                  <w:calcOnExit w:val="0"/>
                  <w:checkBox>
                    <w:sizeAuto/>
                    <w:default w:val="0"/>
                  </w:checkBox>
                </w:ffData>
              </w:fldChar>
            </w:r>
            <w:r w:rsidR="00482B80" w:rsidRPr="002C21B8">
              <w:rPr>
                <w:sz w:val="19"/>
                <w:szCs w:val="19"/>
              </w:rPr>
              <w:instrText xml:space="preserve"> FORMCHECKBOX </w:instrText>
            </w:r>
            <w:r w:rsidR="00000000">
              <w:rPr>
                <w:sz w:val="19"/>
                <w:szCs w:val="19"/>
              </w:rPr>
            </w:r>
            <w:r w:rsidR="00000000">
              <w:rPr>
                <w:sz w:val="19"/>
                <w:szCs w:val="19"/>
              </w:rPr>
              <w:fldChar w:fldCharType="separate"/>
            </w:r>
            <w:r w:rsidR="00482B80" w:rsidRPr="002C21B8">
              <w:rPr>
                <w:sz w:val="19"/>
                <w:szCs w:val="19"/>
              </w:rPr>
              <w:fldChar w:fldCharType="end"/>
            </w:r>
            <w:r w:rsidRPr="002C21B8">
              <w:rPr>
                <w:sz w:val="19"/>
                <w:szCs w:val="19"/>
              </w:rPr>
              <w:t xml:space="preserve"> Partial Yes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Partial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w:t>
            </w: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602699" w:rsidRPr="002C21B8" w14:paraId="294C434F" w14:textId="77777777" w:rsidTr="00B7125A">
        <w:tc>
          <w:tcPr>
            <w:tcW w:w="9209" w:type="dxa"/>
          </w:tcPr>
          <w:p w14:paraId="4AF9521E" w14:textId="277A80C7" w:rsidR="00602699" w:rsidRPr="002C21B8" w:rsidRDefault="00602699" w:rsidP="00547889">
            <w:pPr>
              <w:pStyle w:val="p1"/>
              <w:spacing w:after="20"/>
              <w:rPr>
                <w:rFonts w:ascii="Helvetica" w:hAnsi="Helvetica" w:cs="Times New Roman"/>
                <w:sz w:val="19"/>
                <w:szCs w:val="19"/>
              </w:rPr>
            </w:pPr>
            <w:r w:rsidRPr="002C21B8">
              <w:rPr>
                <w:sz w:val="19"/>
                <w:szCs w:val="19"/>
              </w:rPr>
              <w:t>4.6</w:t>
            </w:r>
            <w:r w:rsidR="00547889" w:rsidRPr="002C21B8">
              <w:rPr>
                <w:sz w:val="19"/>
                <w:szCs w:val="19"/>
              </w:rPr>
              <w:t xml:space="preserve"> Were biases in primary studies minimal or addressed in the synthesis?</w:t>
            </w:r>
          </w:p>
          <w:p w14:paraId="0EE95AC7" w14:textId="65D5F4C2" w:rsidR="00602699"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602699" w:rsidRPr="002C21B8">
              <w:rPr>
                <w:sz w:val="19"/>
                <w:szCs w:val="19"/>
              </w:rPr>
              <w:t xml:space="preserve">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Yes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Partial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w:t>
            </w:r>
            <w:r w:rsidR="00602699" w:rsidRPr="002C21B8">
              <w:rPr>
                <w:sz w:val="19"/>
                <w:szCs w:val="19"/>
              </w:rPr>
              <w:fldChar w:fldCharType="begin">
                <w:ffData>
                  <w:name w:val=""/>
                  <w:enabled/>
                  <w:calcOnExit w:val="0"/>
                  <w:checkBox>
                    <w:sizeAuto/>
                    <w:default w:val="0"/>
                  </w:checkBox>
                </w:ffData>
              </w:fldChar>
            </w:r>
            <w:r w:rsidR="00602699" w:rsidRPr="002C21B8">
              <w:rPr>
                <w:sz w:val="19"/>
                <w:szCs w:val="19"/>
              </w:rPr>
              <w:instrText xml:space="preserve"> FORMCHECKBOX </w:instrText>
            </w:r>
            <w:r w:rsidR="00000000">
              <w:rPr>
                <w:sz w:val="19"/>
                <w:szCs w:val="19"/>
              </w:rPr>
            </w:r>
            <w:r w:rsidR="00000000">
              <w:rPr>
                <w:sz w:val="19"/>
                <w:szCs w:val="19"/>
              </w:rPr>
              <w:fldChar w:fldCharType="separate"/>
            </w:r>
            <w:r w:rsidR="00602699" w:rsidRPr="002C21B8">
              <w:rPr>
                <w:sz w:val="19"/>
                <w:szCs w:val="19"/>
              </w:rPr>
              <w:fldChar w:fldCharType="end"/>
            </w:r>
            <w:r w:rsidR="00602699" w:rsidRPr="002C21B8">
              <w:rPr>
                <w:sz w:val="19"/>
                <w:szCs w:val="19"/>
              </w:rPr>
              <w:t xml:space="preserve"> No information</w:t>
            </w:r>
          </w:p>
        </w:tc>
      </w:tr>
      <w:tr w:rsidR="0021402F" w:rsidRPr="002C21B8" w14:paraId="5F8379BF" w14:textId="77777777" w:rsidTr="00B7125A">
        <w:tc>
          <w:tcPr>
            <w:tcW w:w="9209" w:type="dxa"/>
          </w:tcPr>
          <w:p w14:paraId="6DBEFE52" w14:textId="77777777" w:rsidR="0021402F" w:rsidRPr="002C21B8" w:rsidRDefault="0021402F" w:rsidP="00547889">
            <w:pPr>
              <w:spacing w:after="20" w:line="240" w:lineRule="auto"/>
              <w:rPr>
                <w:sz w:val="19"/>
                <w:szCs w:val="19"/>
              </w:rPr>
            </w:pPr>
            <w:r w:rsidRPr="002C21B8">
              <w:rPr>
                <w:sz w:val="19"/>
                <w:szCs w:val="19"/>
              </w:rPr>
              <w:t>Concerns regarding the synthesis and findings:</w:t>
            </w:r>
          </w:p>
          <w:p w14:paraId="532F7AB6" w14:textId="7F855997" w:rsidR="0021402F"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21402F" w:rsidRPr="002C21B8">
              <w:rPr>
                <w:sz w:val="19"/>
                <w:szCs w:val="19"/>
              </w:rPr>
              <w:t xml:space="preserve"> Low </w:t>
            </w:r>
            <w:r w:rsidR="0021402F" w:rsidRPr="002C21B8">
              <w:rPr>
                <w:sz w:val="19"/>
                <w:szCs w:val="19"/>
              </w:rPr>
              <w:fldChar w:fldCharType="begin">
                <w:ffData>
                  <w:name w:val=""/>
                  <w:enabled/>
                  <w:calcOnExit w:val="0"/>
                  <w:checkBox>
                    <w:sizeAuto/>
                    <w:default w:val="0"/>
                  </w:checkBox>
                </w:ffData>
              </w:fldChar>
            </w:r>
            <w:r w:rsidR="0021402F" w:rsidRPr="002C21B8">
              <w:rPr>
                <w:sz w:val="19"/>
                <w:szCs w:val="19"/>
              </w:rPr>
              <w:instrText xml:space="preserve"> FORMCHECKBOX </w:instrText>
            </w:r>
            <w:r w:rsidR="00000000">
              <w:rPr>
                <w:sz w:val="19"/>
                <w:szCs w:val="19"/>
              </w:rPr>
            </w:r>
            <w:r w:rsidR="00000000">
              <w:rPr>
                <w:sz w:val="19"/>
                <w:szCs w:val="19"/>
              </w:rPr>
              <w:fldChar w:fldCharType="separate"/>
            </w:r>
            <w:r w:rsidR="0021402F" w:rsidRPr="002C21B8">
              <w:rPr>
                <w:sz w:val="19"/>
                <w:szCs w:val="19"/>
              </w:rPr>
              <w:fldChar w:fldCharType="end"/>
            </w:r>
            <w:r w:rsidR="0021402F" w:rsidRPr="002C21B8">
              <w:rPr>
                <w:sz w:val="19"/>
                <w:szCs w:val="19"/>
              </w:rPr>
              <w:t xml:space="preserve"> High </w:t>
            </w:r>
            <w:r w:rsidR="0021402F" w:rsidRPr="002C21B8">
              <w:rPr>
                <w:sz w:val="19"/>
                <w:szCs w:val="19"/>
              </w:rPr>
              <w:fldChar w:fldCharType="begin">
                <w:ffData>
                  <w:name w:val=""/>
                  <w:enabled/>
                  <w:calcOnExit w:val="0"/>
                  <w:checkBox>
                    <w:sizeAuto/>
                    <w:default w:val="0"/>
                  </w:checkBox>
                </w:ffData>
              </w:fldChar>
            </w:r>
            <w:r w:rsidR="0021402F" w:rsidRPr="002C21B8">
              <w:rPr>
                <w:sz w:val="19"/>
                <w:szCs w:val="19"/>
              </w:rPr>
              <w:instrText xml:space="preserve"> FORMCHECKBOX </w:instrText>
            </w:r>
            <w:r w:rsidR="00000000">
              <w:rPr>
                <w:sz w:val="19"/>
                <w:szCs w:val="19"/>
              </w:rPr>
            </w:r>
            <w:r w:rsidR="00000000">
              <w:rPr>
                <w:sz w:val="19"/>
                <w:szCs w:val="19"/>
              </w:rPr>
              <w:fldChar w:fldCharType="separate"/>
            </w:r>
            <w:r w:rsidR="0021402F" w:rsidRPr="002C21B8">
              <w:rPr>
                <w:sz w:val="19"/>
                <w:szCs w:val="19"/>
              </w:rPr>
              <w:fldChar w:fldCharType="end"/>
            </w:r>
            <w:r w:rsidR="0021402F" w:rsidRPr="002C21B8">
              <w:rPr>
                <w:sz w:val="19"/>
                <w:szCs w:val="19"/>
              </w:rPr>
              <w:t xml:space="preserve"> Unclear</w:t>
            </w:r>
          </w:p>
        </w:tc>
      </w:tr>
    </w:tbl>
    <w:p w14:paraId="2AE2F256" w14:textId="77777777" w:rsidR="0021402F" w:rsidRPr="002C21B8" w:rsidRDefault="0021402F">
      <w:pPr>
        <w:spacing w:after="0" w:line="240" w:lineRule="auto"/>
        <w:jc w:val="left"/>
        <w:rPr>
          <w:sz w:val="19"/>
          <w:szCs w:val="19"/>
        </w:rPr>
      </w:pPr>
    </w:p>
    <w:p w14:paraId="346B0BFF" w14:textId="16C6827C" w:rsidR="003A5BBF" w:rsidRPr="002C21B8" w:rsidRDefault="003A5BBF">
      <w:pPr>
        <w:spacing w:after="0" w:line="240" w:lineRule="auto"/>
        <w:jc w:val="left"/>
        <w:rPr>
          <w:b/>
          <w:bCs/>
          <w:sz w:val="19"/>
          <w:szCs w:val="19"/>
        </w:rPr>
      </w:pPr>
      <w:r w:rsidRPr="002C21B8">
        <w:rPr>
          <w:b/>
          <w:bCs/>
          <w:sz w:val="19"/>
          <w:szCs w:val="19"/>
        </w:rPr>
        <w:t>Phase 3: Jud</w:t>
      </w:r>
      <w:r w:rsidR="0021402F" w:rsidRPr="002C21B8">
        <w:rPr>
          <w:b/>
          <w:bCs/>
          <w:sz w:val="19"/>
          <w:szCs w:val="19"/>
        </w:rPr>
        <w:t>gi</w:t>
      </w:r>
      <w:r w:rsidRPr="002C21B8">
        <w:rPr>
          <w:b/>
          <w:bCs/>
          <w:sz w:val="19"/>
          <w:szCs w:val="19"/>
        </w:rPr>
        <w:t>ng risk of bias</w:t>
      </w:r>
    </w:p>
    <w:p w14:paraId="3CEC9C04" w14:textId="77777777" w:rsidR="003A5BBF" w:rsidRPr="002C21B8" w:rsidRDefault="003A5BBF">
      <w:pPr>
        <w:spacing w:after="0" w:line="240" w:lineRule="auto"/>
        <w:jc w:val="left"/>
        <w:rPr>
          <w:sz w:val="19"/>
          <w:szCs w:val="19"/>
        </w:rPr>
      </w:pPr>
    </w:p>
    <w:tbl>
      <w:tblPr>
        <w:tblStyle w:val="TableGrid"/>
        <w:tblW w:w="9209" w:type="dxa"/>
        <w:tblLook w:val="04A0" w:firstRow="1" w:lastRow="0" w:firstColumn="1" w:lastColumn="0" w:noHBand="0" w:noVBand="1"/>
      </w:tblPr>
      <w:tblGrid>
        <w:gridCol w:w="3114"/>
        <w:gridCol w:w="1134"/>
        <w:gridCol w:w="4961"/>
      </w:tblGrid>
      <w:tr w:rsidR="00A6746A" w:rsidRPr="002C21B8" w14:paraId="0A0F6834" w14:textId="52F128E3" w:rsidTr="00B7125A">
        <w:tc>
          <w:tcPr>
            <w:tcW w:w="3114" w:type="dxa"/>
          </w:tcPr>
          <w:p w14:paraId="18F02764" w14:textId="483C820D" w:rsidR="00A6746A" w:rsidRPr="002C21B8" w:rsidRDefault="00A6746A" w:rsidP="00547889">
            <w:pPr>
              <w:spacing w:after="20" w:line="240" w:lineRule="auto"/>
              <w:rPr>
                <w:b/>
                <w:bCs/>
                <w:sz w:val="19"/>
                <w:szCs w:val="19"/>
              </w:rPr>
            </w:pPr>
            <w:r w:rsidRPr="002C21B8">
              <w:rPr>
                <w:b/>
                <w:bCs/>
                <w:sz w:val="19"/>
                <w:szCs w:val="19"/>
              </w:rPr>
              <w:t>Domain</w:t>
            </w:r>
          </w:p>
        </w:tc>
        <w:tc>
          <w:tcPr>
            <w:tcW w:w="1134" w:type="dxa"/>
            <w:tcBorders>
              <w:right w:val="single" w:sz="6" w:space="0" w:color="000000" w:themeColor="text1"/>
            </w:tcBorders>
          </w:tcPr>
          <w:p w14:paraId="5023D782" w14:textId="663D2A08" w:rsidR="00A6746A" w:rsidRPr="002C21B8" w:rsidRDefault="00A6746A" w:rsidP="00547889">
            <w:pPr>
              <w:spacing w:after="20" w:line="240" w:lineRule="auto"/>
              <w:rPr>
                <w:b/>
                <w:bCs/>
                <w:sz w:val="19"/>
                <w:szCs w:val="19"/>
              </w:rPr>
            </w:pPr>
            <w:r w:rsidRPr="002C21B8">
              <w:rPr>
                <w:b/>
                <w:bCs/>
                <w:sz w:val="19"/>
                <w:szCs w:val="19"/>
              </w:rPr>
              <w:t>Concern</w:t>
            </w:r>
          </w:p>
        </w:tc>
        <w:tc>
          <w:tcPr>
            <w:tcW w:w="4961" w:type="dxa"/>
            <w:tcBorders>
              <w:left w:val="single" w:sz="6" w:space="0" w:color="000000" w:themeColor="text1"/>
            </w:tcBorders>
          </w:tcPr>
          <w:p w14:paraId="08BA78AA" w14:textId="323E2229" w:rsidR="00A6746A" w:rsidRPr="002C21B8" w:rsidRDefault="00A6746A" w:rsidP="00547889">
            <w:pPr>
              <w:spacing w:after="20" w:line="240" w:lineRule="auto"/>
              <w:rPr>
                <w:b/>
                <w:bCs/>
                <w:sz w:val="19"/>
                <w:szCs w:val="19"/>
              </w:rPr>
            </w:pPr>
            <w:r w:rsidRPr="002C21B8">
              <w:rPr>
                <w:b/>
                <w:bCs/>
                <w:sz w:val="19"/>
                <w:szCs w:val="19"/>
              </w:rPr>
              <w:t>Rationale for concern</w:t>
            </w:r>
          </w:p>
        </w:tc>
      </w:tr>
      <w:tr w:rsidR="00A6746A" w:rsidRPr="002C21B8" w14:paraId="67BDCEA4" w14:textId="12884BB5" w:rsidTr="00B7125A">
        <w:tc>
          <w:tcPr>
            <w:tcW w:w="3114" w:type="dxa"/>
          </w:tcPr>
          <w:p w14:paraId="0C1D3B6E" w14:textId="52FA7730" w:rsidR="00A6746A" w:rsidRPr="002C21B8" w:rsidRDefault="00A6746A" w:rsidP="00547889">
            <w:pPr>
              <w:spacing w:after="20" w:line="240" w:lineRule="auto"/>
              <w:rPr>
                <w:sz w:val="19"/>
                <w:szCs w:val="19"/>
              </w:rPr>
            </w:pPr>
            <w:r w:rsidRPr="002C21B8">
              <w:rPr>
                <w:sz w:val="19"/>
                <w:szCs w:val="19"/>
              </w:rPr>
              <w:t>1. Concerns regarding specification of study eligibility criteria</w:t>
            </w:r>
          </w:p>
        </w:tc>
        <w:tc>
          <w:tcPr>
            <w:tcW w:w="1134" w:type="dxa"/>
            <w:tcBorders>
              <w:right w:val="single" w:sz="6" w:space="0" w:color="000000" w:themeColor="text1"/>
            </w:tcBorders>
          </w:tcPr>
          <w:p w14:paraId="587DA8B3" w14:textId="381B088B" w:rsidR="00A6746A" w:rsidRPr="002C21B8" w:rsidRDefault="00A6746A" w:rsidP="00547889">
            <w:pPr>
              <w:spacing w:after="20" w:line="240" w:lineRule="auto"/>
              <w:rPr>
                <w:sz w:val="19"/>
                <w:szCs w:val="19"/>
              </w:rPr>
            </w:pPr>
          </w:p>
        </w:tc>
        <w:tc>
          <w:tcPr>
            <w:tcW w:w="4961" w:type="dxa"/>
            <w:tcBorders>
              <w:left w:val="single" w:sz="6" w:space="0" w:color="000000" w:themeColor="text1"/>
            </w:tcBorders>
          </w:tcPr>
          <w:p w14:paraId="11CD21F8" w14:textId="39CAE75F" w:rsidR="00A6746A" w:rsidRPr="002C21B8" w:rsidRDefault="00A6746A" w:rsidP="00547889">
            <w:pPr>
              <w:spacing w:after="20" w:line="240" w:lineRule="auto"/>
              <w:rPr>
                <w:sz w:val="19"/>
                <w:szCs w:val="19"/>
              </w:rPr>
            </w:pPr>
          </w:p>
        </w:tc>
      </w:tr>
      <w:tr w:rsidR="00A6746A" w:rsidRPr="002C21B8" w14:paraId="7BB4F9C2" w14:textId="7B566071" w:rsidTr="00B7125A">
        <w:tc>
          <w:tcPr>
            <w:tcW w:w="3114" w:type="dxa"/>
          </w:tcPr>
          <w:p w14:paraId="77AD4DD4" w14:textId="5B876CAB" w:rsidR="00A6746A" w:rsidRPr="002C21B8" w:rsidRDefault="00A6746A" w:rsidP="00547889">
            <w:pPr>
              <w:spacing w:after="20" w:line="240" w:lineRule="auto"/>
              <w:rPr>
                <w:sz w:val="19"/>
                <w:szCs w:val="19"/>
              </w:rPr>
            </w:pPr>
            <w:r w:rsidRPr="002C21B8">
              <w:rPr>
                <w:sz w:val="19"/>
                <w:szCs w:val="19"/>
              </w:rPr>
              <w:t>2. Concerns regarding methods used to identify and/or select studies</w:t>
            </w:r>
          </w:p>
        </w:tc>
        <w:tc>
          <w:tcPr>
            <w:tcW w:w="1134" w:type="dxa"/>
            <w:tcBorders>
              <w:right w:val="single" w:sz="6" w:space="0" w:color="000000" w:themeColor="text1"/>
            </w:tcBorders>
          </w:tcPr>
          <w:p w14:paraId="4E8FBF91" w14:textId="7195C40A" w:rsidR="00A6746A" w:rsidRPr="002C21B8" w:rsidRDefault="00A6746A" w:rsidP="00547889">
            <w:pPr>
              <w:spacing w:after="20" w:line="240" w:lineRule="auto"/>
              <w:rPr>
                <w:sz w:val="19"/>
                <w:szCs w:val="19"/>
              </w:rPr>
            </w:pPr>
          </w:p>
        </w:tc>
        <w:tc>
          <w:tcPr>
            <w:tcW w:w="4961" w:type="dxa"/>
            <w:tcBorders>
              <w:left w:val="single" w:sz="6" w:space="0" w:color="000000" w:themeColor="text1"/>
            </w:tcBorders>
          </w:tcPr>
          <w:p w14:paraId="3BBEBB19" w14:textId="00239EF5" w:rsidR="00A6746A" w:rsidRPr="002C21B8" w:rsidRDefault="00A6746A" w:rsidP="00547889">
            <w:pPr>
              <w:spacing w:after="20" w:line="240" w:lineRule="auto"/>
              <w:rPr>
                <w:sz w:val="19"/>
                <w:szCs w:val="19"/>
              </w:rPr>
            </w:pPr>
          </w:p>
        </w:tc>
      </w:tr>
      <w:tr w:rsidR="00A6746A" w:rsidRPr="002C21B8" w14:paraId="36D29743" w14:textId="2DD12C0C" w:rsidTr="00B7125A">
        <w:tc>
          <w:tcPr>
            <w:tcW w:w="3114" w:type="dxa"/>
          </w:tcPr>
          <w:p w14:paraId="68DE90BE" w14:textId="2054133A" w:rsidR="00A6746A" w:rsidRPr="002C21B8" w:rsidRDefault="00A6746A" w:rsidP="00547889">
            <w:pPr>
              <w:spacing w:after="20" w:line="240" w:lineRule="auto"/>
              <w:rPr>
                <w:sz w:val="19"/>
                <w:szCs w:val="19"/>
              </w:rPr>
            </w:pPr>
            <w:r w:rsidRPr="002C21B8">
              <w:rPr>
                <w:sz w:val="19"/>
                <w:szCs w:val="19"/>
              </w:rPr>
              <w:t>3. Concerns regarding methods used to collect data and appraise studies</w:t>
            </w:r>
          </w:p>
        </w:tc>
        <w:tc>
          <w:tcPr>
            <w:tcW w:w="1134" w:type="dxa"/>
            <w:tcBorders>
              <w:right w:val="single" w:sz="6" w:space="0" w:color="000000" w:themeColor="text1"/>
            </w:tcBorders>
          </w:tcPr>
          <w:p w14:paraId="3D63C03C" w14:textId="107C70FD" w:rsidR="00A6746A" w:rsidRPr="002C21B8" w:rsidRDefault="00A6746A" w:rsidP="00547889">
            <w:pPr>
              <w:spacing w:after="20" w:line="240" w:lineRule="auto"/>
              <w:rPr>
                <w:sz w:val="19"/>
                <w:szCs w:val="19"/>
              </w:rPr>
            </w:pPr>
          </w:p>
        </w:tc>
        <w:tc>
          <w:tcPr>
            <w:tcW w:w="4961" w:type="dxa"/>
            <w:tcBorders>
              <w:left w:val="single" w:sz="6" w:space="0" w:color="000000" w:themeColor="text1"/>
            </w:tcBorders>
          </w:tcPr>
          <w:p w14:paraId="4C93886C" w14:textId="198EA5D4" w:rsidR="00A6746A" w:rsidRPr="002C21B8" w:rsidRDefault="00A6746A" w:rsidP="00547889">
            <w:pPr>
              <w:spacing w:after="20" w:line="240" w:lineRule="auto"/>
              <w:rPr>
                <w:sz w:val="19"/>
                <w:szCs w:val="19"/>
              </w:rPr>
            </w:pPr>
          </w:p>
        </w:tc>
      </w:tr>
      <w:tr w:rsidR="00A6746A" w:rsidRPr="002C21B8" w14:paraId="7D9CF8C4" w14:textId="1EA41A18" w:rsidTr="00B7125A">
        <w:tc>
          <w:tcPr>
            <w:tcW w:w="3114" w:type="dxa"/>
          </w:tcPr>
          <w:p w14:paraId="4801BA88" w14:textId="1BFF31C2" w:rsidR="00A6746A" w:rsidRPr="002C21B8" w:rsidRDefault="00A6746A" w:rsidP="00547889">
            <w:pPr>
              <w:spacing w:after="20" w:line="240" w:lineRule="auto"/>
              <w:rPr>
                <w:sz w:val="19"/>
                <w:szCs w:val="19"/>
              </w:rPr>
            </w:pPr>
            <w:r w:rsidRPr="002C21B8">
              <w:rPr>
                <w:sz w:val="19"/>
                <w:szCs w:val="19"/>
              </w:rPr>
              <w:t>4. Concerns regarding the synthesis and findings</w:t>
            </w:r>
          </w:p>
        </w:tc>
        <w:tc>
          <w:tcPr>
            <w:tcW w:w="1134" w:type="dxa"/>
            <w:tcBorders>
              <w:right w:val="single" w:sz="6" w:space="0" w:color="000000" w:themeColor="text1"/>
            </w:tcBorders>
          </w:tcPr>
          <w:p w14:paraId="055DE168" w14:textId="5FE8C3DE" w:rsidR="00A6746A" w:rsidRPr="002C21B8" w:rsidRDefault="00A6746A" w:rsidP="00547889">
            <w:pPr>
              <w:spacing w:after="20" w:line="240" w:lineRule="auto"/>
              <w:rPr>
                <w:sz w:val="19"/>
                <w:szCs w:val="19"/>
              </w:rPr>
            </w:pPr>
          </w:p>
        </w:tc>
        <w:tc>
          <w:tcPr>
            <w:tcW w:w="4961" w:type="dxa"/>
            <w:tcBorders>
              <w:left w:val="single" w:sz="6" w:space="0" w:color="000000" w:themeColor="text1"/>
            </w:tcBorders>
          </w:tcPr>
          <w:p w14:paraId="1889DB0B" w14:textId="11074B84" w:rsidR="00A6746A" w:rsidRPr="002C21B8" w:rsidRDefault="00A6746A" w:rsidP="00547889">
            <w:pPr>
              <w:spacing w:after="20" w:line="240" w:lineRule="auto"/>
              <w:rPr>
                <w:sz w:val="19"/>
                <w:szCs w:val="19"/>
              </w:rPr>
            </w:pPr>
          </w:p>
        </w:tc>
      </w:tr>
    </w:tbl>
    <w:p w14:paraId="31252601" w14:textId="7ABA5839" w:rsidR="003A5BBF" w:rsidRPr="002C21B8" w:rsidRDefault="003A5BBF">
      <w:pPr>
        <w:spacing w:after="0" w:line="240" w:lineRule="auto"/>
        <w:jc w:val="left"/>
        <w:rPr>
          <w:sz w:val="19"/>
          <w:szCs w:val="19"/>
        </w:rPr>
      </w:pPr>
    </w:p>
    <w:p w14:paraId="2412A7C1" w14:textId="349839D7" w:rsidR="00A6746A" w:rsidRPr="002C21B8" w:rsidRDefault="003A5BBF">
      <w:pPr>
        <w:spacing w:after="0" w:line="240" w:lineRule="auto"/>
        <w:jc w:val="left"/>
        <w:rPr>
          <w:sz w:val="19"/>
          <w:szCs w:val="19"/>
        </w:rPr>
      </w:pPr>
      <w:r w:rsidRPr="002C21B8">
        <w:rPr>
          <w:sz w:val="19"/>
          <w:szCs w:val="19"/>
        </w:rPr>
        <w:br w:type="page"/>
      </w:r>
    </w:p>
    <w:tbl>
      <w:tblPr>
        <w:tblStyle w:val="TableGrid"/>
        <w:tblW w:w="9209" w:type="dxa"/>
        <w:tblLook w:val="04A0" w:firstRow="1" w:lastRow="0" w:firstColumn="1" w:lastColumn="0" w:noHBand="0" w:noVBand="1"/>
      </w:tblPr>
      <w:tblGrid>
        <w:gridCol w:w="6799"/>
        <w:gridCol w:w="2410"/>
      </w:tblGrid>
      <w:tr w:rsidR="00A6746A" w:rsidRPr="002C21B8" w14:paraId="1328B619" w14:textId="77777777" w:rsidTr="00B7125A">
        <w:tc>
          <w:tcPr>
            <w:tcW w:w="6799" w:type="dxa"/>
          </w:tcPr>
          <w:p w14:paraId="792FBACB" w14:textId="1D6461D5" w:rsidR="00A6746A" w:rsidRPr="002C21B8" w:rsidRDefault="003A5BBF" w:rsidP="00547889">
            <w:pPr>
              <w:spacing w:after="20" w:line="240" w:lineRule="auto"/>
              <w:rPr>
                <w:b/>
                <w:bCs/>
                <w:sz w:val="19"/>
                <w:szCs w:val="19"/>
              </w:rPr>
            </w:pPr>
            <w:r w:rsidRPr="002C21B8">
              <w:rPr>
                <w:b/>
                <w:bCs/>
                <w:sz w:val="19"/>
                <w:szCs w:val="19"/>
              </w:rPr>
              <w:t>Risk of bias in the review</w:t>
            </w:r>
          </w:p>
        </w:tc>
        <w:tc>
          <w:tcPr>
            <w:tcW w:w="2410" w:type="dxa"/>
          </w:tcPr>
          <w:p w14:paraId="371DF40F" w14:textId="77777777" w:rsidR="00A6746A" w:rsidRPr="002C21B8" w:rsidRDefault="00A6746A" w:rsidP="00547889">
            <w:pPr>
              <w:spacing w:after="20" w:line="240" w:lineRule="auto"/>
              <w:rPr>
                <w:b/>
                <w:bCs/>
                <w:sz w:val="19"/>
                <w:szCs w:val="19"/>
              </w:rPr>
            </w:pPr>
            <w:r w:rsidRPr="002C21B8">
              <w:rPr>
                <w:b/>
                <w:bCs/>
                <w:sz w:val="19"/>
                <w:szCs w:val="19"/>
              </w:rPr>
              <w:t>Response</w:t>
            </w:r>
          </w:p>
        </w:tc>
      </w:tr>
      <w:tr w:rsidR="00A6746A" w:rsidRPr="002C21B8" w14:paraId="57D0B1DB" w14:textId="77777777" w:rsidTr="00B7125A">
        <w:tc>
          <w:tcPr>
            <w:tcW w:w="6799" w:type="dxa"/>
          </w:tcPr>
          <w:p w14:paraId="1BDE9DF9" w14:textId="56C49C00" w:rsidR="00A6746A" w:rsidRPr="002C21B8" w:rsidRDefault="003A5BBF" w:rsidP="00547889">
            <w:pPr>
              <w:spacing w:after="20" w:line="240" w:lineRule="auto"/>
              <w:rPr>
                <w:sz w:val="19"/>
                <w:szCs w:val="19"/>
              </w:rPr>
            </w:pPr>
            <w:r w:rsidRPr="002C21B8">
              <w:rPr>
                <w:sz w:val="19"/>
                <w:szCs w:val="19"/>
              </w:rPr>
              <w:t>A. Did the interpretation of findings address all of the concerns identified in domains 1 to 4?</w:t>
            </w:r>
          </w:p>
        </w:tc>
        <w:tc>
          <w:tcPr>
            <w:tcW w:w="2410" w:type="dxa"/>
          </w:tcPr>
          <w:p w14:paraId="465F1879" w14:textId="29F8CA6A" w:rsidR="00A6746A" w:rsidRPr="002C21B8" w:rsidRDefault="00482B80"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A6746A" w:rsidRPr="002C21B8">
              <w:rPr>
                <w:sz w:val="19"/>
                <w:szCs w:val="19"/>
                <w:lang w:val="es-ES_tradnl"/>
              </w:rPr>
              <w:t xml:space="preserve"> Yes</w:t>
            </w:r>
          </w:p>
          <w:p w14:paraId="493AAA94"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Yes</w:t>
            </w:r>
          </w:p>
          <w:p w14:paraId="6AAEDAB0"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No</w:t>
            </w:r>
          </w:p>
          <w:p w14:paraId="5108737E"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No</w:t>
            </w:r>
          </w:p>
          <w:p w14:paraId="4C4395A5" w14:textId="77777777" w:rsidR="00A6746A" w:rsidRPr="002C21B8" w:rsidRDefault="00A6746A" w:rsidP="00547889">
            <w:pPr>
              <w:spacing w:after="20" w:line="240" w:lineRule="auto"/>
              <w:jc w:val="left"/>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A6746A" w:rsidRPr="002C21B8" w14:paraId="727561CF" w14:textId="77777777" w:rsidTr="00B7125A">
        <w:tc>
          <w:tcPr>
            <w:tcW w:w="6799" w:type="dxa"/>
          </w:tcPr>
          <w:p w14:paraId="7C44135E" w14:textId="3C14D3DA" w:rsidR="00A6746A" w:rsidRPr="002C21B8" w:rsidRDefault="003A5BBF" w:rsidP="00547889">
            <w:pPr>
              <w:spacing w:after="20" w:line="240" w:lineRule="auto"/>
              <w:rPr>
                <w:sz w:val="19"/>
                <w:szCs w:val="19"/>
              </w:rPr>
            </w:pPr>
            <w:r w:rsidRPr="002C21B8">
              <w:rPr>
                <w:sz w:val="19"/>
                <w:szCs w:val="19"/>
              </w:rPr>
              <w:t>B. Was the relevance of identified studies to the rev</w:t>
            </w:r>
            <w:r w:rsidR="00C50071" w:rsidRPr="002C21B8">
              <w:rPr>
                <w:sz w:val="19"/>
                <w:szCs w:val="19"/>
              </w:rPr>
              <w:t>i</w:t>
            </w:r>
            <w:r w:rsidRPr="002C21B8">
              <w:rPr>
                <w:sz w:val="19"/>
                <w:szCs w:val="19"/>
              </w:rPr>
              <w:t>ew’s research question appropriately considered?</w:t>
            </w:r>
          </w:p>
        </w:tc>
        <w:tc>
          <w:tcPr>
            <w:tcW w:w="2410" w:type="dxa"/>
          </w:tcPr>
          <w:p w14:paraId="5AA8042B" w14:textId="2D6FFB13" w:rsidR="00A6746A" w:rsidRPr="002C21B8" w:rsidRDefault="00482B80"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A6746A" w:rsidRPr="002C21B8">
              <w:rPr>
                <w:sz w:val="19"/>
                <w:szCs w:val="19"/>
                <w:lang w:val="es-ES_tradnl"/>
              </w:rPr>
              <w:t xml:space="preserve"> Yes</w:t>
            </w:r>
          </w:p>
          <w:p w14:paraId="7AB4CB98"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Yes</w:t>
            </w:r>
          </w:p>
          <w:p w14:paraId="04F38E98"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No</w:t>
            </w:r>
          </w:p>
          <w:p w14:paraId="0EB200D0"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No</w:t>
            </w:r>
          </w:p>
          <w:p w14:paraId="5DD5E9C0" w14:textId="77777777" w:rsidR="00A6746A" w:rsidRPr="002C21B8" w:rsidRDefault="00A6746A"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A6746A" w:rsidRPr="002C21B8" w14:paraId="421AD6CE" w14:textId="77777777" w:rsidTr="00B7125A">
        <w:tc>
          <w:tcPr>
            <w:tcW w:w="6799" w:type="dxa"/>
          </w:tcPr>
          <w:p w14:paraId="1C363418" w14:textId="486AD971" w:rsidR="00A6746A" w:rsidRPr="002C21B8" w:rsidRDefault="003A5BBF" w:rsidP="00547889">
            <w:pPr>
              <w:spacing w:after="20" w:line="240" w:lineRule="auto"/>
              <w:rPr>
                <w:sz w:val="19"/>
                <w:szCs w:val="19"/>
              </w:rPr>
            </w:pPr>
            <w:r w:rsidRPr="002C21B8">
              <w:rPr>
                <w:sz w:val="19"/>
                <w:szCs w:val="19"/>
              </w:rPr>
              <w:t>C. Did the reviewers avoid emphasising results on the basis of their statistical significance?</w:t>
            </w:r>
          </w:p>
        </w:tc>
        <w:tc>
          <w:tcPr>
            <w:tcW w:w="2410" w:type="dxa"/>
          </w:tcPr>
          <w:p w14:paraId="667933CA" w14:textId="3865B546" w:rsidR="00A6746A" w:rsidRPr="002C21B8" w:rsidRDefault="00482B80"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A6746A" w:rsidRPr="002C21B8">
              <w:rPr>
                <w:sz w:val="19"/>
                <w:szCs w:val="19"/>
                <w:lang w:val="es-ES_tradnl"/>
              </w:rPr>
              <w:t xml:space="preserve"> Yes</w:t>
            </w:r>
          </w:p>
          <w:p w14:paraId="52C4B9A1"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Yes</w:t>
            </w:r>
          </w:p>
          <w:p w14:paraId="601228E2"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Partial No</w:t>
            </w:r>
          </w:p>
          <w:p w14:paraId="33B74650" w14:textId="77777777" w:rsidR="00A6746A" w:rsidRPr="002C21B8" w:rsidRDefault="00A6746A" w:rsidP="00547889">
            <w:pPr>
              <w:spacing w:after="20" w:line="240" w:lineRule="auto"/>
              <w:rPr>
                <w:sz w:val="19"/>
                <w:szCs w:val="19"/>
                <w:lang w:val="es-ES_tradnl"/>
              </w:rPr>
            </w:pPr>
            <w:r w:rsidRPr="002C21B8">
              <w:rPr>
                <w:sz w:val="19"/>
                <w:szCs w:val="19"/>
              </w:rPr>
              <w:fldChar w:fldCharType="begin">
                <w:ffData>
                  <w:name w:val=""/>
                  <w:enabled/>
                  <w:calcOnExit w:val="0"/>
                  <w:checkBox>
                    <w:sizeAuto/>
                    <w:default w:val="0"/>
                  </w:checkBox>
                </w:ffData>
              </w:fldChar>
            </w:r>
            <w:r w:rsidRPr="002C21B8">
              <w:rPr>
                <w:sz w:val="19"/>
                <w:szCs w:val="19"/>
                <w:lang w:val="es-ES_tradnl"/>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lang w:val="es-ES_tradnl"/>
              </w:rPr>
              <w:t xml:space="preserve"> No</w:t>
            </w:r>
          </w:p>
          <w:p w14:paraId="1911273C" w14:textId="77777777" w:rsidR="00A6746A" w:rsidRPr="002C21B8" w:rsidRDefault="00A6746A"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Pr="002C21B8">
              <w:rPr>
                <w:sz w:val="19"/>
                <w:szCs w:val="19"/>
              </w:rPr>
              <w:t xml:space="preserve"> No information</w:t>
            </w:r>
          </w:p>
        </w:tc>
      </w:tr>
      <w:tr w:rsidR="003A5BBF" w:rsidRPr="002C21B8" w14:paraId="0528836C" w14:textId="77777777" w:rsidTr="00B7125A">
        <w:tc>
          <w:tcPr>
            <w:tcW w:w="9209" w:type="dxa"/>
            <w:gridSpan w:val="2"/>
          </w:tcPr>
          <w:p w14:paraId="54BF7F3F" w14:textId="77777777" w:rsidR="003A5BBF" w:rsidRPr="002C21B8" w:rsidRDefault="003A5BBF" w:rsidP="00547889">
            <w:pPr>
              <w:spacing w:after="20" w:line="240" w:lineRule="auto"/>
              <w:rPr>
                <w:sz w:val="19"/>
                <w:szCs w:val="19"/>
              </w:rPr>
            </w:pPr>
            <w:r w:rsidRPr="002C21B8">
              <w:rPr>
                <w:sz w:val="19"/>
                <w:szCs w:val="19"/>
              </w:rPr>
              <w:t>Risk of bias in the review</w:t>
            </w:r>
          </w:p>
          <w:p w14:paraId="51820C8E" w14:textId="74CA04B6" w:rsidR="003A5BBF" w:rsidRPr="002C21B8" w:rsidRDefault="00482B80" w:rsidP="00547889">
            <w:pPr>
              <w:spacing w:after="20" w:line="240" w:lineRule="auto"/>
              <w:rPr>
                <w:sz w:val="19"/>
                <w:szCs w:val="19"/>
              </w:rPr>
            </w:pPr>
            <w:r w:rsidRPr="002C21B8">
              <w:rPr>
                <w:sz w:val="19"/>
                <w:szCs w:val="19"/>
              </w:rPr>
              <w:fldChar w:fldCharType="begin">
                <w:ffData>
                  <w:name w:val=""/>
                  <w:enabled/>
                  <w:calcOnExit w:val="0"/>
                  <w:checkBox>
                    <w:sizeAuto/>
                    <w:default w:val="0"/>
                  </w:checkBox>
                </w:ffData>
              </w:fldChar>
            </w:r>
            <w:r w:rsidRPr="002C21B8">
              <w:rPr>
                <w:sz w:val="19"/>
                <w:szCs w:val="19"/>
              </w:rPr>
              <w:instrText xml:space="preserve"> FORMCHECKBOX </w:instrText>
            </w:r>
            <w:r w:rsidR="00000000">
              <w:rPr>
                <w:sz w:val="19"/>
                <w:szCs w:val="19"/>
              </w:rPr>
            </w:r>
            <w:r w:rsidR="00000000">
              <w:rPr>
                <w:sz w:val="19"/>
                <w:szCs w:val="19"/>
              </w:rPr>
              <w:fldChar w:fldCharType="separate"/>
            </w:r>
            <w:r w:rsidRPr="002C21B8">
              <w:rPr>
                <w:sz w:val="19"/>
                <w:szCs w:val="19"/>
              </w:rPr>
              <w:fldChar w:fldCharType="end"/>
            </w:r>
            <w:r w:rsidR="003A5BBF" w:rsidRPr="002C21B8">
              <w:rPr>
                <w:sz w:val="19"/>
                <w:szCs w:val="19"/>
              </w:rPr>
              <w:t xml:space="preserve"> Low </w:t>
            </w:r>
            <w:r w:rsidR="003A5BBF" w:rsidRPr="002C21B8">
              <w:rPr>
                <w:sz w:val="19"/>
                <w:szCs w:val="19"/>
              </w:rPr>
              <w:fldChar w:fldCharType="begin">
                <w:ffData>
                  <w:name w:val=""/>
                  <w:enabled/>
                  <w:calcOnExit w:val="0"/>
                  <w:checkBox>
                    <w:sizeAuto/>
                    <w:default w:val="0"/>
                  </w:checkBox>
                </w:ffData>
              </w:fldChar>
            </w:r>
            <w:r w:rsidR="003A5BBF" w:rsidRPr="002C21B8">
              <w:rPr>
                <w:sz w:val="19"/>
                <w:szCs w:val="19"/>
              </w:rPr>
              <w:instrText xml:space="preserve"> FORMCHECKBOX </w:instrText>
            </w:r>
            <w:r w:rsidR="00000000">
              <w:rPr>
                <w:sz w:val="19"/>
                <w:szCs w:val="19"/>
              </w:rPr>
            </w:r>
            <w:r w:rsidR="00000000">
              <w:rPr>
                <w:sz w:val="19"/>
                <w:szCs w:val="19"/>
              </w:rPr>
              <w:fldChar w:fldCharType="separate"/>
            </w:r>
            <w:r w:rsidR="003A5BBF" w:rsidRPr="002C21B8">
              <w:rPr>
                <w:sz w:val="19"/>
                <w:szCs w:val="19"/>
              </w:rPr>
              <w:fldChar w:fldCharType="end"/>
            </w:r>
            <w:r w:rsidR="003A5BBF" w:rsidRPr="002C21B8">
              <w:rPr>
                <w:sz w:val="19"/>
                <w:szCs w:val="19"/>
              </w:rPr>
              <w:t xml:space="preserve"> High </w:t>
            </w:r>
            <w:r w:rsidR="003A5BBF" w:rsidRPr="002C21B8">
              <w:rPr>
                <w:sz w:val="19"/>
                <w:szCs w:val="19"/>
              </w:rPr>
              <w:fldChar w:fldCharType="begin">
                <w:ffData>
                  <w:name w:val=""/>
                  <w:enabled/>
                  <w:calcOnExit w:val="0"/>
                  <w:checkBox>
                    <w:sizeAuto/>
                    <w:default w:val="0"/>
                  </w:checkBox>
                </w:ffData>
              </w:fldChar>
            </w:r>
            <w:r w:rsidR="003A5BBF" w:rsidRPr="002C21B8">
              <w:rPr>
                <w:sz w:val="19"/>
                <w:szCs w:val="19"/>
              </w:rPr>
              <w:instrText xml:space="preserve"> FORMCHECKBOX </w:instrText>
            </w:r>
            <w:r w:rsidR="00000000">
              <w:rPr>
                <w:sz w:val="19"/>
                <w:szCs w:val="19"/>
              </w:rPr>
            </w:r>
            <w:r w:rsidR="00000000">
              <w:rPr>
                <w:sz w:val="19"/>
                <w:szCs w:val="19"/>
              </w:rPr>
              <w:fldChar w:fldCharType="separate"/>
            </w:r>
            <w:r w:rsidR="003A5BBF" w:rsidRPr="002C21B8">
              <w:rPr>
                <w:sz w:val="19"/>
                <w:szCs w:val="19"/>
              </w:rPr>
              <w:fldChar w:fldCharType="end"/>
            </w:r>
            <w:r w:rsidR="003A5BBF" w:rsidRPr="002C21B8">
              <w:rPr>
                <w:sz w:val="19"/>
                <w:szCs w:val="19"/>
              </w:rPr>
              <w:t xml:space="preserve"> Unclear</w:t>
            </w:r>
          </w:p>
        </w:tc>
      </w:tr>
    </w:tbl>
    <w:p w14:paraId="128573B9" w14:textId="1357FA2C" w:rsidR="00292519" w:rsidRPr="002C21B8" w:rsidRDefault="00292519">
      <w:pPr>
        <w:spacing w:after="0" w:line="240" w:lineRule="auto"/>
        <w:jc w:val="left"/>
        <w:rPr>
          <w:sz w:val="19"/>
          <w:szCs w:val="19"/>
        </w:rPr>
      </w:pPr>
      <w:r w:rsidRPr="002C21B8">
        <w:rPr>
          <w:sz w:val="19"/>
          <w:szCs w:val="19"/>
        </w:rPr>
        <w:br w:type="page"/>
      </w:r>
    </w:p>
    <w:p w14:paraId="0D17ACD5" w14:textId="663DE37C" w:rsidR="00FA366A" w:rsidRPr="002C21B8" w:rsidRDefault="00550DE1" w:rsidP="004507C8">
      <w:pPr>
        <w:pStyle w:val="Heading3"/>
        <w:numPr>
          <w:ilvl w:val="0"/>
          <w:numId w:val="0"/>
        </w:numPr>
      </w:pPr>
      <w:r w:rsidRPr="002C21B8">
        <w:t>O</w:t>
      </w:r>
      <w:r w:rsidR="00FA366A" w:rsidRPr="002C21B8">
        <w:t>verlap analysis</w:t>
      </w:r>
    </w:p>
    <w:p w14:paraId="02A86F96" w14:textId="55F4B461" w:rsidR="005D4485" w:rsidRPr="002C21B8" w:rsidRDefault="00E06102" w:rsidP="00B15C5D">
      <w:r w:rsidRPr="002C21B8">
        <w:t>Overview</w:t>
      </w:r>
      <w:r w:rsidR="00E974CA" w:rsidRPr="002C21B8">
        <w:t>s</w:t>
      </w:r>
      <w:r w:rsidRPr="002C21B8">
        <w:t xml:space="preserve"> of systematic reviews</w:t>
      </w:r>
      <w:r w:rsidR="00AE4174" w:rsidRPr="002C21B8">
        <w:t xml:space="preserve"> have the potential </w:t>
      </w:r>
      <w:r w:rsidR="00CF698E" w:rsidRPr="002C21B8">
        <w:t>for overlap in primary studies because they are often broad in scope and cover many systematic reviews with the same topics. This means there is a risk of double-counting, over-precision and bias. Double-counting is where the same primary study is included in more than one</w:t>
      </w:r>
      <w:r w:rsidR="005D4485" w:rsidRPr="002C21B8">
        <w:t xml:space="preserve"> review</w:t>
      </w:r>
      <w:r w:rsidR="004255DC" w:rsidRPr="002C21B8">
        <w:t>,</w:t>
      </w:r>
      <w:r w:rsidR="005D4485" w:rsidRPr="002C21B8">
        <w:t xml:space="preserve"> which means that its findings contribute </w:t>
      </w:r>
      <w:r w:rsidR="00B261B5" w:rsidRPr="002C21B8">
        <w:t>multiple</w:t>
      </w:r>
      <w:r w:rsidR="005D4485" w:rsidRPr="002C21B8">
        <w:t xml:space="preserve"> times to the evidence base o</w:t>
      </w:r>
      <w:r w:rsidR="00B261B5" w:rsidRPr="002C21B8">
        <w:t>f</w:t>
      </w:r>
      <w:r w:rsidR="005D4485" w:rsidRPr="002C21B8">
        <w:t xml:space="preserve"> the overview through different </w:t>
      </w:r>
      <w:r w:rsidR="00B261B5" w:rsidRPr="002C21B8">
        <w:t>included</w:t>
      </w:r>
      <w:r w:rsidR="005D4485" w:rsidRPr="002C21B8">
        <w:t xml:space="preserve"> reviews. This can lead to over-precision because repeated studies make findings appear more consistent</w:t>
      </w:r>
      <w:r w:rsidR="004255DC" w:rsidRPr="002C21B8">
        <w:t xml:space="preserve"> which may lead to biased conclusions</w:t>
      </w:r>
      <w:r w:rsidR="00E974CA" w:rsidRPr="002C21B8">
        <w:t xml:space="preserve"> </w:t>
      </w:r>
      <w:r w:rsidR="00E974CA" w:rsidRPr="002C21B8">
        <w:fldChar w:fldCharType="begin"/>
      </w:r>
      <w:r w:rsidR="00E974CA" w:rsidRPr="002C21B8">
        <w:instrText xml:space="preserve"> ADDIN EN.CITE &lt;EndNote&gt;&lt;Cite&gt;&lt;Author&gt;Pieper&lt;/Author&gt;&lt;Year&gt;2012&lt;/Year&gt;&lt;RecNum&gt;125560&lt;/RecNum&gt;&lt;DisplayText&gt;(Pieper&lt;style face="italic"&gt; et al.&lt;/style&gt;, 2012)&lt;/DisplayText&gt;&lt;record&gt;&lt;rec-number&gt;125560&lt;/rec-number&gt;&lt;foreign-keys&gt;&lt;key app="EN" db-id="xpefzwa5hf9dt2ea9fax95x7xvxz90v09dtf" timestamp="1778006588"&gt;125560&lt;/key&gt;&lt;/foreign-keys&gt;&lt;ref-type name="Journal Article"&gt;17&lt;/ref-type&gt;&lt;contributors&gt;&lt;authors&gt;&lt;author&gt;Pieper, Dawid&lt;/author&gt;&lt;author&gt;Buechter, Roland&lt;/author&gt;&lt;author&gt;Jerinic, Petra&lt;/author&gt;&lt;author&gt;Eikermann, Michaela&lt;/author&gt;&lt;/authors&gt;&lt;/contributors&gt;&lt;titles&gt;&lt;title&gt;Overviews of reviews often have limited rigor: a systematic review&lt;/title&gt;&lt;secondary-title&gt;Journal of Clinical Epidemiology&lt;/secondary-title&gt;&lt;/titles&gt;&lt;periodical&gt;&lt;full-title&gt;Journal of clinical epidemiology&lt;/full-title&gt;&lt;/periodical&gt;&lt;pages&gt;1267-1273&lt;/pages&gt;&lt;volume&gt;65&lt;/volume&gt;&lt;number&gt;12&lt;/number&gt;&lt;dates&gt;&lt;year&gt;2012&lt;/year&gt;&lt;/dates&gt;&lt;isbn&gt;0895-4356&lt;/isbn&gt;&lt;urls&gt;&lt;/urls&gt;&lt;/record&gt;&lt;/Cite&gt;&lt;/EndNote&gt;</w:instrText>
      </w:r>
      <w:r w:rsidR="00E974CA" w:rsidRPr="002C21B8">
        <w:fldChar w:fldCharType="separate"/>
      </w:r>
      <w:r w:rsidR="00E974CA" w:rsidRPr="002C21B8">
        <w:rPr>
          <w:noProof/>
        </w:rPr>
        <w:t>(Pieper</w:t>
      </w:r>
      <w:r w:rsidR="00E974CA" w:rsidRPr="002C21B8">
        <w:rPr>
          <w:i/>
          <w:noProof/>
        </w:rPr>
        <w:t xml:space="preserve"> et al.</w:t>
      </w:r>
      <w:r w:rsidR="00E974CA" w:rsidRPr="002C21B8">
        <w:rPr>
          <w:noProof/>
        </w:rPr>
        <w:t>, 2012)</w:t>
      </w:r>
      <w:r w:rsidR="00E974CA" w:rsidRPr="002C21B8">
        <w:fldChar w:fldCharType="end"/>
      </w:r>
      <w:r w:rsidR="005D4485" w:rsidRPr="002C21B8">
        <w:t xml:space="preserve">. </w:t>
      </w:r>
      <w:r w:rsidR="00FA366A" w:rsidRPr="002C21B8">
        <w:t xml:space="preserve">Overlap analysis in overviews of systematic reviews </w:t>
      </w:r>
      <w:r w:rsidR="00AE4174" w:rsidRPr="002C21B8">
        <w:t>addresses the</w:t>
      </w:r>
      <w:r w:rsidR="005D4485" w:rsidRPr="002C21B8">
        <w:t>se</w:t>
      </w:r>
      <w:r w:rsidR="00AE4174" w:rsidRPr="002C21B8">
        <w:t xml:space="preserve"> methodological challenges</w:t>
      </w:r>
      <w:r w:rsidR="005D4485" w:rsidRPr="002C21B8">
        <w:t xml:space="preserve">. Its ensures </w:t>
      </w:r>
      <w:r w:rsidR="00FA366A" w:rsidRPr="002C21B8">
        <w:t>the independence of the included evidence and the robustness of synthesi</w:t>
      </w:r>
      <w:r w:rsidR="004255DC" w:rsidRPr="002C21B8">
        <w:t>s</w:t>
      </w:r>
      <w:r w:rsidR="00FA366A" w:rsidRPr="002C21B8">
        <w:t>ed findings</w:t>
      </w:r>
      <w:r w:rsidR="00B806DF" w:rsidRPr="002C21B8">
        <w:t xml:space="preserve"> </w:t>
      </w:r>
      <w:r w:rsidR="00B806DF" w:rsidRPr="002C21B8">
        <w:fldChar w:fldCharType="begin"/>
      </w:r>
      <w:r w:rsidR="00A46115" w:rsidRPr="002C21B8">
        <w:instrText xml:space="preserve"> ADDIN EN.CITE &lt;EndNote&gt;&lt;Cite&gt;&lt;Author&gt;Pieper&lt;/Author&gt;&lt;Year&gt;2014&lt;/Year&gt;&lt;RecNum&gt;125152&lt;/RecNum&gt;&lt;DisplayText&gt;(Higgins and Green, 2024; Pieper&lt;style face="italic"&gt; et al.&lt;/style&gt;, 2014)&lt;/DisplayText&gt;&lt;record&gt;&lt;rec-number&gt;125152&lt;/rec-number&gt;&lt;foreign-keys&gt;&lt;key app="EN" db-id="xpefzwa5hf9dt2ea9fax95x7xvxz90v09dtf" timestamp="1766419151"&gt;125152&lt;/key&gt;&lt;/foreign-keys&gt;&lt;ref-type name="Journal Article"&gt;17&lt;/ref-type&gt;&lt;contributors&gt;&lt;authors&gt;&lt;author&gt;Pieper, Dawid&lt;/author&gt;&lt;author&gt;Antoine, Sunya-Lee&lt;/author&gt;&lt;author&gt;Mathes, Tim&lt;/author&gt;&lt;author&gt;Neugebauer, Edmund AM&lt;/author&gt;&lt;author&gt;Eikermann, Michaela&lt;/author&gt;&lt;/authors&gt;&lt;/contributors&gt;&lt;titles&gt;&lt;title&gt;Systematic review finds overlapping reviews were not mentioned in every other overview&lt;/title&gt;&lt;secondary-title&gt;Journal of Clinical Epidemiology&lt;/secondary-title&gt;&lt;/titles&gt;&lt;periodical&gt;&lt;full-title&gt;Journal of clinical epidemiology&lt;/full-title&gt;&lt;/periodical&gt;&lt;pages&gt;368-375&lt;/pages&gt;&lt;volume&gt;67&lt;/volume&gt;&lt;number&gt;4&lt;/number&gt;&lt;dates&gt;&lt;year&gt;2014&lt;/year&gt;&lt;/dates&gt;&lt;isbn&gt;0895-4356&lt;/isbn&gt;&lt;urls&gt;&lt;/urls&gt;&lt;/record&gt;&lt;/Cite&gt;&lt;Cite&gt;&lt;Author&gt;Higgins&lt;/Author&gt;&lt;Year&gt;2024&lt;/Year&gt;&lt;RecNum&gt;125150&lt;/RecNum&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B806DF" w:rsidRPr="002C21B8">
        <w:fldChar w:fldCharType="separate"/>
      </w:r>
      <w:r w:rsidR="002F558A" w:rsidRPr="002C21B8">
        <w:rPr>
          <w:noProof/>
        </w:rPr>
        <w:t>(Higgins and Green, 2024; Pieper</w:t>
      </w:r>
      <w:r w:rsidR="002F558A" w:rsidRPr="002C21B8">
        <w:rPr>
          <w:i/>
          <w:noProof/>
        </w:rPr>
        <w:t xml:space="preserve"> et al.</w:t>
      </w:r>
      <w:r w:rsidR="002F558A" w:rsidRPr="002C21B8">
        <w:rPr>
          <w:noProof/>
        </w:rPr>
        <w:t>, 2014)</w:t>
      </w:r>
      <w:r w:rsidR="00B806DF" w:rsidRPr="002C21B8">
        <w:fldChar w:fldCharType="end"/>
      </w:r>
      <w:r w:rsidR="00FA366A" w:rsidRPr="002C21B8">
        <w:t>.</w:t>
      </w:r>
      <w:r w:rsidR="00B261B5" w:rsidRPr="002C21B8">
        <w:t xml:space="preserve"> </w:t>
      </w:r>
      <w:r w:rsidR="005D4485" w:rsidRPr="002C21B8">
        <w:t xml:space="preserve">The </w:t>
      </w:r>
      <w:r w:rsidR="00FA366A" w:rsidRPr="002C21B8">
        <w:t>Corrected Covered Area (CCA)</w:t>
      </w:r>
      <w:r w:rsidR="005D4485" w:rsidRPr="002C21B8">
        <w:t xml:space="preserve"> is a widely used </w:t>
      </w:r>
      <w:r w:rsidR="00B15C5D" w:rsidRPr="002C21B8">
        <w:t>quantitative</w:t>
      </w:r>
      <w:r w:rsidR="005D4485" w:rsidRPr="002C21B8">
        <w:t xml:space="preserve"> measure that has been used to assess the degree of primary study overlap in overviews of reviews by calculating the percentage of </w:t>
      </w:r>
      <w:r w:rsidR="00B15C5D" w:rsidRPr="002C21B8">
        <w:t>overlapping</w:t>
      </w:r>
      <w:r w:rsidR="005D4485" w:rsidRPr="002C21B8">
        <w:t xml:space="preserve"> studies</w:t>
      </w:r>
      <w:r w:rsidR="00B15C5D" w:rsidRPr="002C21B8">
        <w:t>.</w:t>
      </w:r>
    </w:p>
    <w:p w14:paraId="2DAB8947" w14:textId="0239E8E6" w:rsidR="00FA366A" w:rsidRPr="002C21B8" w:rsidRDefault="00FA366A" w:rsidP="0057033F">
      <w:r w:rsidRPr="002C21B8">
        <w:t>The CCA is calculated using the formula:</w:t>
      </w:r>
    </w:p>
    <w:p w14:paraId="28BE34C6" w14:textId="77777777" w:rsidR="00FA366A" w:rsidRPr="002C21B8" w:rsidRDefault="00FA366A" w:rsidP="0057033F">
      <m:oMathPara>
        <m:oMath>
          <m:r>
            <w:rPr>
              <w:rFonts w:ascii="Cambria Math" w:hAnsi="Cambria Math"/>
            </w:rPr>
            <m:t>CCA</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s</m:t>
                  </m:r>
                </m:sub>
              </m:sSub>
            </m:num>
            <m:den>
              <m:sSub>
                <m:sSubPr>
                  <m:ctrlPr>
                    <w:rPr>
                      <w:rFonts w:ascii="Cambria Math" w:hAnsi="Cambria Math"/>
                    </w:rPr>
                  </m:ctrlPr>
                </m:sSubPr>
                <m:e>
                  <m:r>
                    <w:rPr>
                      <w:rFonts w:ascii="Cambria Math" w:hAnsi="Cambria Math"/>
                    </w:rPr>
                    <m:t>N</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s</m:t>
                  </m:r>
                </m:sub>
              </m:sSub>
            </m:den>
          </m:f>
        </m:oMath>
      </m:oMathPara>
    </w:p>
    <w:p w14:paraId="23FB4A73" w14:textId="77777777" w:rsidR="00FA366A" w:rsidRPr="002C21B8" w:rsidRDefault="00FA366A" w:rsidP="0057033F">
      <w:r w:rsidRPr="002C21B8">
        <w:t>where:</w:t>
      </w:r>
    </w:p>
    <w:p w14:paraId="7A63F24B" w14:textId="2643C72E" w:rsidR="00FA366A" w:rsidRPr="002C21B8" w:rsidRDefault="00FA366A" w:rsidP="0057033F">
      <w:r w:rsidRPr="002C21B8">
        <w:rPr>
          <w:rFonts w:ascii="Cambria" w:hAnsi="Cambria"/>
          <w:i/>
          <w:iCs/>
        </w:rPr>
        <w:t>N</w:t>
      </w:r>
      <w:r w:rsidRPr="002C21B8">
        <w:rPr>
          <w:rFonts w:ascii="Cambria" w:hAnsi="Cambria"/>
          <w:i/>
          <w:iCs/>
          <w:vertAlign w:val="subscript"/>
        </w:rPr>
        <w:t>r</w:t>
      </w:r>
      <w:r w:rsidR="00AE4174" w:rsidRPr="002C21B8">
        <w:t xml:space="preserve"> </w:t>
      </w:r>
      <w:r w:rsidRPr="002C21B8">
        <w:t>= total number of occurrences of primary studies across all reviews (i.e., counting duplicates)</w:t>
      </w:r>
    </w:p>
    <w:p w14:paraId="67532340" w14:textId="6BAD2E86" w:rsidR="00FA366A" w:rsidRPr="002C21B8" w:rsidRDefault="00FA366A" w:rsidP="0057033F">
      <w:r w:rsidRPr="002C21B8">
        <w:rPr>
          <w:rFonts w:ascii="Cambria" w:hAnsi="Cambria"/>
          <w:i/>
          <w:iCs/>
        </w:rPr>
        <w:t>N</w:t>
      </w:r>
      <w:r w:rsidRPr="002C21B8">
        <w:rPr>
          <w:rFonts w:ascii="Cambria" w:hAnsi="Cambria"/>
          <w:i/>
          <w:iCs/>
          <w:vertAlign w:val="subscript"/>
        </w:rPr>
        <w:t>s</w:t>
      </w:r>
      <w:r w:rsidR="00AE4174" w:rsidRPr="002C21B8">
        <w:t xml:space="preserve"> </w:t>
      </w:r>
      <w:r w:rsidRPr="002C21B8">
        <w:t>= number of unique primary studies</w:t>
      </w:r>
    </w:p>
    <w:p w14:paraId="7B7C3FC3" w14:textId="72D27BC8" w:rsidR="00FA366A" w:rsidRPr="002C21B8" w:rsidRDefault="00FA366A" w:rsidP="0057033F">
      <w:r w:rsidRPr="002C21B8">
        <w:rPr>
          <w:rFonts w:ascii="Cambria" w:hAnsi="Cambria"/>
          <w:i/>
          <w:iCs/>
        </w:rPr>
        <w:t>N</w:t>
      </w:r>
      <w:r w:rsidRPr="002C21B8">
        <w:rPr>
          <w:rFonts w:ascii="Cambria" w:hAnsi="Cambria"/>
          <w:i/>
          <w:iCs/>
          <w:vertAlign w:val="subscript"/>
        </w:rPr>
        <w:t>t</w:t>
      </w:r>
      <w:r w:rsidR="00AE4174" w:rsidRPr="002C21B8">
        <w:t xml:space="preserve"> </w:t>
      </w:r>
      <w:r w:rsidRPr="002C21B8">
        <w:t>= total number of included reviews ×</w:t>
      </w:r>
      <w:r w:rsidR="00AE4174" w:rsidRPr="002C21B8">
        <w:t xml:space="preserve"> </w:t>
      </w:r>
      <w:r w:rsidRPr="002C21B8">
        <w:rPr>
          <w:rFonts w:ascii="Cambria" w:hAnsi="Cambria"/>
          <w:i/>
          <w:iCs/>
        </w:rPr>
        <w:t>N</w:t>
      </w:r>
      <w:r w:rsidRPr="002C21B8">
        <w:rPr>
          <w:rFonts w:ascii="Cambria" w:hAnsi="Cambria"/>
          <w:i/>
          <w:iCs/>
          <w:vertAlign w:val="subscript"/>
        </w:rPr>
        <w:t>s</w:t>
      </w:r>
    </w:p>
    <w:p w14:paraId="1B9E6DE3" w14:textId="27B8D876" w:rsidR="00FA366A" w:rsidRPr="002C21B8" w:rsidRDefault="00FA366A" w:rsidP="003F6E34">
      <w:r w:rsidRPr="002C21B8">
        <w:t>Th</w:t>
      </w:r>
      <w:r w:rsidR="00B261B5" w:rsidRPr="002C21B8">
        <w:t>e</w:t>
      </w:r>
      <w:r w:rsidRPr="002C21B8">
        <w:t xml:space="preserve"> formula accounts for both the total number of</w:t>
      </w:r>
      <w:r w:rsidR="003F6E34" w:rsidRPr="002C21B8">
        <w:t xml:space="preserve"> included primary</w:t>
      </w:r>
      <w:r w:rsidRPr="002C21B8">
        <w:t xml:space="preserve"> studies and the number of</w:t>
      </w:r>
      <w:r w:rsidR="003F6E34" w:rsidRPr="002C21B8">
        <w:t xml:space="preserve"> repeated occurrences across reviews. This provides a corrected measure of overlap that standardise</w:t>
      </w:r>
      <w:r w:rsidR="008B7A13" w:rsidRPr="002C21B8">
        <w:t>s</w:t>
      </w:r>
      <w:r w:rsidR="003F6E34" w:rsidRPr="002C21B8">
        <w:t xml:space="preserve"> overlap relative to the number of reviews.</w:t>
      </w:r>
      <w:r w:rsidR="00B15C5D" w:rsidRPr="002C21B8">
        <w:t xml:space="preserve"> Common thresholds used when interpreting the CCA include 0</w:t>
      </w:r>
      <w:r w:rsidR="00633656" w:rsidRPr="002C21B8">
        <w:t>–</w:t>
      </w:r>
      <w:r w:rsidR="00B15C5D" w:rsidRPr="002C21B8">
        <w:t>5% indicating slight, 6</w:t>
      </w:r>
      <w:r w:rsidR="00633656" w:rsidRPr="002C21B8">
        <w:t>–</w:t>
      </w:r>
      <w:r w:rsidR="00B15C5D" w:rsidRPr="002C21B8">
        <w:t>10% moderate, 11</w:t>
      </w:r>
      <w:r w:rsidR="00633656" w:rsidRPr="002C21B8">
        <w:t>–</w:t>
      </w:r>
      <w:r w:rsidR="00B15C5D" w:rsidRPr="002C21B8">
        <w:t xml:space="preserve">15% high and &gt;15% very high overlap. </w:t>
      </w:r>
      <w:r w:rsidR="003F6E34" w:rsidRPr="002C21B8">
        <w:t>P</w:t>
      </w:r>
      <w:r w:rsidRPr="002C21B8">
        <w:t>erforming an overlap analysis</w:t>
      </w:r>
      <w:r w:rsidR="003F6E34" w:rsidRPr="002C21B8">
        <w:t xml:space="preserve"> allowed identification of areas where primary studies were repeatedly represented</w:t>
      </w:r>
      <w:r w:rsidR="00D24635" w:rsidRPr="002C21B8">
        <w:t>,</w:t>
      </w:r>
      <w:r w:rsidR="003F6E34" w:rsidRPr="002C21B8">
        <w:t xml:space="preserve"> which informed the level of confidence that could be placed in the overall conclusions of the overview</w:t>
      </w:r>
      <w:r w:rsidRPr="002C21B8">
        <w:t xml:space="preserve"> </w:t>
      </w:r>
      <w:r w:rsidRPr="002C21B8">
        <w:fldChar w:fldCharType="begin"/>
      </w:r>
      <w:r w:rsidR="000215B0" w:rsidRPr="002C21B8">
        <w:instrText xml:space="preserve"> ADDIN EN.CITE &lt;EndNote&gt;&lt;Cite&gt;&lt;Author&gt;Pieper&lt;/Author&gt;&lt;Year&gt;2014&lt;/Year&gt;&lt;RecNum&gt;125152&lt;/RecNum&gt;&lt;DisplayText&gt;(Pieper&lt;style face="italic"&gt; et al.&lt;/style&gt;, 2014)&lt;/DisplayText&gt;&lt;record&gt;&lt;rec-number&gt;125152&lt;/rec-number&gt;&lt;foreign-keys&gt;&lt;key app="EN" db-id="xpefzwa5hf9dt2ea9fax95x7xvxz90v09dtf" timestamp="1766419151"&gt;125152&lt;/key&gt;&lt;/foreign-keys&gt;&lt;ref-type name="Journal Article"&gt;17&lt;/ref-type&gt;&lt;contributors&gt;&lt;authors&gt;&lt;author&gt;Pieper, Dawid&lt;/author&gt;&lt;author&gt;Antoine, Sunya-Lee&lt;/author&gt;&lt;author&gt;Mathes, Tim&lt;/author&gt;&lt;author&gt;Neugebauer, Edmund AM&lt;/author&gt;&lt;author&gt;Eikermann, Michaela&lt;/author&gt;&lt;/authors&gt;&lt;/contributors&gt;&lt;titles&gt;&lt;title&gt;Systematic review finds overlapping reviews were not mentioned in every other overview&lt;/title&gt;&lt;secondary-title&gt;Journal of Clinical Epidemiology&lt;/secondary-title&gt;&lt;/titles&gt;&lt;periodical&gt;&lt;full-title&gt;Journal of clinical epidemiology&lt;/full-title&gt;&lt;/periodical&gt;&lt;pages&gt;368-375&lt;/pages&gt;&lt;volume&gt;67&lt;/volume&gt;&lt;number&gt;4&lt;/number&gt;&lt;dates&gt;&lt;year&gt;2014&lt;/year&gt;&lt;/dates&gt;&lt;isbn&gt;0895-4356&lt;/isbn&gt;&lt;urls&gt;&lt;/urls&gt;&lt;/record&gt;&lt;/Cite&gt;&lt;/EndNote&gt;</w:instrText>
      </w:r>
      <w:r w:rsidRPr="002C21B8">
        <w:fldChar w:fldCharType="separate"/>
      </w:r>
      <w:r w:rsidR="00F238BA" w:rsidRPr="002C21B8">
        <w:rPr>
          <w:noProof/>
        </w:rPr>
        <w:t>(Pieper</w:t>
      </w:r>
      <w:r w:rsidR="00F238BA" w:rsidRPr="002C21B8">
        <w:rPr>
          <w:i/>
          <w:noProof/>
        </w:rPr>
        <w:t xml:space="preserve"> et al.</w:t>
      </w:r>
      <w:r w:rsidR="00F238BA" w:rsidRPr="002C21B8">
        <w:rPr>
          <w:noProof/>
        </w:rPr>
        <w:t>, 2014)</w:t>
      </w:r>
      <w:r w:rsidRPr="002C21B8">
        <w:fldChar w:fldCharType="end"/>
      </w:r>
      <w:r w:rsidRPr="002C21B8">
        <w:t>.</w:t>
      </w:r>
    </w:p>
    <w:p w14:paraId="35DCDFA1" w14:textId="77777777" w:rsidR="00B261B5" w:rsidRPr="002C21B8" w:rsidRDefault="00B261B5" w:rsidP="00584B28">
      <w:pPr>
        <w:spacing w:before="240" w:after="0"/>
        <w:rPr>
          <w:b/>
          <w:bCs/>
          <w:sz w:val="28"/>
          <w:szCs w:val="28"/>
        </w:rPr>
      </w:pPr>
    </w:p>
    <w:p w14:paraId="2801C898" w14:textId="77777777" w:rsidR="007D5813" w:rsidRPr="002C21B8" w:rsidRDefault="007D5813" w:rsidP="00584B28">
      <w:pPr>
        <w:spacing w:before="240" w:after="0"/>
        <w:rPr>
          <w:b/>
          <w:bCs/>
          <w:sz w:val="28"/>
          <w:szCs w:val="28"/>
        </w:rPr>
      </w:pPr>
    </w:p>
    <w:p w14:paraId="64B86CC4" w14:textId="757BFE99" w:rsidR="00584B28" w:rsidRPr="002C21B8" w:rsidRDefault="00A54C03" w:rsidP="00584B28">
      <w:pPr>
        <w:spacing w:before="240" w:after="0"/>
        <w:rPr>
          <w:b/>
          <w:bCs/>
          <w:sz w:val="28"/>
          <w:szCs w:val="28"/>
        </w:rPr>
      </w:pPr>
      <w:r w:rsidRPr="002C21B8">
        <w:rPr>
          <w:b/>
          <w:bCs/>
          <w:sz w:val="28"/>
          <w:szCs w:val="28"/>
        </w:rPr>
        <w:t>Data synthesis</w:t>
      </w:r>
    </w:p>
    <w:p w14:paraId="10B8BA3C" w14:textId="43D096ED" w:rsidR="002A4B8E" w:rsidRPr="002C21B8" w:rsidRDefault="00951F38" w:rsidP="00951F38">
      <w:r w:rsidRPr="002C21B8">
        <w:t>Multiple methods may be appropriate when synthesising evidence in systematic reviews</w:t>
      </w:r>
      <w:r w:rsidR="00B2033D" w:rsidRPr="002C21B8">
        <w:t xml:space="preserve"> </w:t>
      </w:r>
      <w:r w:rsidR="00B2033D" w:rsidRPr="002C21B8">
        <w:fldChar w:fldCharType="begin"/>
      </w:r>
      <w:r w:rsidR="00A46115" w:rsidRPr="002C21B8">
        <w:instrText xml:space="preserve"> ADDIN EN.CITE &lt;EndNote&gt;&lt;Cite&gt;&lt;Author&gt;Higgins&lt;/Author&gt;&lt;Year&gt;2024&lt;/Year&gt;&lt;RecNum&gt;125150&lt;/RecNum&gt;&lt;DisplayText&gt;(Higgins and Green, 2024)&lt;/DisplayText&gt;&lt;record&gt;&lt;rec-number&gt;125150&lt;/rec-number&gt;&lt;foreign-keys&gt;&lt;key app="EN" db-id="xpefzwa5hf9dt2ea9fax95x7xvxz90v09dtf" timestamp="1766411644"&gt;125150&lt;/key&gt;&lt;/foreign-keys&gt;&lt;ref-type name="Book"&gt;6&lt;/ref-type&gt;&lt;contributors&gt;&lt;authors&gt;&lt;author&gt;Higgins, Julian PT&lt;/author&gt;&lt;author&gt;Green, Sally&lt;/author&gt;&lt;/authors&gt;&lt;/contributors&gt;&lt;titles&gt;&lt;title&gt;Cochrane Handbook for Systematic Reviews of Interventions&lt;/title&gt;&lt;/titles&gt;&lt;section&gt;1-736&lt;/section&gt;&lt;dates&gt;&lt;year&gt;2024&lt;/year&gt;&lt;/dates&gt;&lt;pub-location&gt;Chichester, UK&lt;/pub-location&gt;&lt;publisher&gt;John Wiley &amp;amp; Sons&lt;/publisher&gt;&lt;urls&gt;&lt;/urls&gt;&lt;/record&gt;&lt;/Cite&gt;&lt;/EndNote&gt;</w:instrText>
      </w:r>
      <w:r w:rsidR="00B2033D" w:rsidRPr="002C21B8">
        <w:fldChar w:fldCharType="separate"/>
      </w:r>
      <w:r w:rsidR="002F558A" w:rsidRPr="002C21B8">
        <w:rPr>
          <w:noProof/>
        </w:rPr>
        <w:t>(Higgins and Green, 2024)</w:t>
      </w:r>
      <w:r w:rsidR="00B2033D" w:rsidRPr="002C21B8">
        <w:fldChar w:fldCharType="end"/>
      </w:r>
      <w:r w:rsidR="002A4B8E" w:rsidRPr="002C21B8">
        <w:t>.</w:t>
      </w:r>
      <w:r w:rsidR="003C4186" w:rsidRPr="002C21B8">
        <w:t xml:space="preserve"> Potential approaches </w:t>
      </w:r>
      <w:r w:rsidR="002A4B8E" w:rsidRPr="002C21B8">
        <w:t>include</w:t>
      </w:r>
      <w:r w:rsidR="009443F1" w:rsidRPr="002C21B8">
        <w:t xml:space="preserve"> thematic synthesis</w:t>
      </w:r>
      <w:r w:rsidR="00B2033D" w:rsidRPr="002C21B8">
        <w:t xml:space="preserve"> </w:t>
      </w:r>
      <w:r w:rsidR="00B2033D" w:rsidRPr="002C21B8">
        <w:fldChar w:fldCharType="begin"/>
      </w:r>
      <w:r w:rsidR="000215B0" w:rsidRPr="002C21B8">
        <w:instrText xml:space="preserve"> ADDIN EN.CITE &lt;EndNote&gt;&lt;Cite&gt;&lt;Author&gt;Thomas&lt;/Author&gt;&lt;Year&gt;2008&lt;/Year&gt;&lt;RecNum&gt;62&lt;/RecNum&gt;&lt;DisplayText&gt;(Thomas and Harden, 2008)&lt;/DisplayText&gt;&lt;record&gt;&lt;rec-number&gt;62&lt;/rec-number&gt;&lt;foreign-keys&gt;&lt;key app="EN" db-id="xpefzwa5hf9dt2ea9fax95x7xvxz90v09dtf" timestamp="1693498786"&gt;62&lt;/key&gt;&lt;/foreign-keys&gt;&lt;ref-type name="Journal Article"&gt;17&lt;/ref-type&gt;&lt;contributors&gt;&lt;authors&gt;&lt;author&gt;Thomas, James&lt;/author&gt;&lt;author&gt;Harden, Angela&lt;/author&gt;&lt;/authors&gt;&lt;/contributors&gt;&lt;titles&gt;&lt;title&gt;Methods for the thematic synthesis of qualitative research in systematic reviews&lt;/title&gt;&lt;secondary-title&gt;BMC Medical Research Methodology&lt;/secondary-title&gt;&lt;/titles&gt;&lt;periodical&gt;&lt;full-title&gt;BMC medical research methodology&lt;/full-title&gt;&lt;/periodical&gt;&lt;pages&gt;1-10&lt;/pages&gt;&lt;volume&gt;8&lt;/volume&gt;&lt;number&gt;1&lt;/number&gt;&lt;dates&gt;&lt;year&gt;2008&lt;/year&gt;&lt;/dates&gt;&lt;isbn&gt;1471-2288&lt;/isbn&gt;&lt;urls&gt;&lt;/urls&gt;&lt;/record&gt;&lt;/Cite&gt;&lt;/EndNote&gt;</w:instrText>
      </w:r>
      <w:r w:rsidR="00B2033D" w:rsidRPr="002C21B8">
        <w:fldChar w:fldCharType="separate"/>
      </w:r>
      <w:r w:rsidR="00B2033D" w:rsidRPr="002C21B8">
        <w:rPr>
          <w:noProof/>
        </w:rPr>
        <w:t>(Thomas and Harden, 2008)</w:t>
      </w:r>
      <w:r w:rsidR="00B2033D" w:rsidRPr="002C21B8">
        <w:fldChar w:fldCharType="end"/>
      </w:r>
      <w:r w:rsidR="009443F1" w:rsidRPr="002C21B8">
        <w:t>, meta-aggregation</w:t>
      </w:r>
      <w:r w:rsidR="00B2033D" w:rsidRPr="002C21B8">
        <w:t xml:space="preserve"> </w:t>
      </w:r>
      <w:r w:rsidR="00B2033D" w:rsidRPr="002C21B8">
        <w:fldChar w:fldCharType="begin"/>
      </w:r>
      <w:r w:rsidR="00B2033D" w:rsidRPr="002C21B8">
        <w:instrText xml:space="preserve"> ADDIN EN.CITE &lt;EndNote&gt;&lt;Cite&gt;&lt;Author&gt;Lockwood&lt;/Author&gt;&lt;Year&gt;2015&lt;/Year&gt;&lt;RecNum&gt;125428&lt;/RecNum&gt;&lt;DisplayText&gt;(Lockwood, Munn and Porritt, 2015)&lt;/DisplayText&gt;&lt;record&gt;&lt;rec-number&gt;125428&lt;/rec-number&gt;&lt;foreign-keys&gt;&lt;key app="EN" db-id="xpefzwa5hf9dt2ea9fax95x7xvxz90v09dtf" timestamp="1775825571"&gt;125428&lt;/key&gt;&lt;/foreign-keys&gt;&lt;ref-type name="Journal Article"&gt;17&lt;/ref-type&gt;&lt;contributors&gt;&lt;authors&gt;&lt;author&gt;Lockwood, Craig&lt;/author&gt;&lt;author&gt;Munn, Zachary&lt;/author&gt;&lt;author&gt;Porritt, Kylie&lt;/author&gt;&lt;/authors&gt;&lt;/contributors&gt;&lt;titles&gt;&lt;title&gt;Qualitative research synthesis: methodological guidance for systematic reviewers utilizing meta-aggregation&lt;/title&gt;&lt;secondary-title&gt;JBI Evidence Implementation&lt;/secondary-title&gt;&lt;/titles&gt;&lt;periodical&gt;&lt;full-title&gt;JBI evidence implementation&lt;/full-title&gt;&lt;/periodical&gt;&lt;pages&gt;179-187&lt;/pages&gt;&lt;volume&gt;13&lt;/volume&gt;&lt;number&gt;3&lt;/number&gt;&lt;dates&gt;&lt;year&gt;2015&lt;/year&gt;&lt;/dates&gt;&lt;isbn&gt;2691-3321&lt;/isbn&gt;&lt;urls&gt;&lt;/urls&gt;&lt;/record&gt;&lt;/Cite&gt;&lt;/EndNote&gt;</w:instrText>
      </w:r>
      <w:r w:rsidR="00B2033D" w:rsidRPr="002C21B8">
        <w:fldChar w:fldCharType="separate"/>
      </w:r>
      <w:r w:rsidR="00B2033D" w:rsidRPr="002C21B8">
        <w:rPr>
          <w:noProof/>
        </w:rPr>
        <w:t>(Lockwood, Munn and Porritt, 2015)</w:t>
      </w:r>
      <w:r w:rsidR="00B2033D" w:rsidRPr="002C21B8">
        <w:fldChar w:fldCharType="end"/>
      </w:r>
      <w:r w:rsidR="009443F1" w:rsidRPr="002C21B8">
        <w:t>, meta-ethnography</w:t>
      </w:r>
      <w:r w:rsidR="00B2033D" w:rsidRPr="002C21B8">
        <w:t xml:space="preserve"> </w:t>
      </w:r>
      <w:r w:rsidR="00B2033D" w:rsidRPr="002C21B8">
        <w:fldChar w:fldCharType="begin"/>
      </w:r>
      <w:r w:rsidR="0060457F" w:rsidRPr="002C21B8">
        <w:instrText xml:space="preserve"> ADDIN EN.CITE &lt;EndNote&gt;&lt;Cite&gt;&lt;Author&gt;Noblit&lt;/Author&gt;&lt;Year&gt;1988&lt;/Year&gt;&lt;RecNum&gt;125429&lt;/RecNum&gt;&lt;DisplayText&gt;(Noblit and Hare, 1988)&lt;/DisplayText&gt;&lt;record&gt;&lt;rec-number&gt;125429&lt;/rec-number&gt;&lt;foreign-keys&gt;&lt;key app="EN" db-id="xpefzwa5hf9dt2ea9fax95x7xvxz90v09dtf" timestamp="1775825600"&gt;125429&lt;/key&gt;&lt;/foreign-keys&gt;&lt;ref-type name="Book"&gt;6&lt;/ref-type&gt;&lt;contributors&gt;&lt;authors&gt;&lt;author&gt;Noblit, George W&lt;/author&gt;&lt;author&gt;Hare, R Dwight&lt;/author&gt;&lt;/authors&gt;&lt;/contributors&gt;&lt;titles&gt;&lt;title&gt;Meta-ethnography: Synthesizing qualitative studies&lt;/title&gt;&lt;/titles&gt;&lt;section&gt;1-88&lt;/section&gt;&lt;dates&gt;&lt;year&gt;1988&lt;/year&gt;&lt;/dates&gt;&lt;publisher&gt;SAGE Publications Ltd&lt;/publisher&gt;&lt;isbn&gt;150634982X&lt;/isbn&gt;&lt;urls&gt;&lt;/urls&gt;&lt;/record&gt;&lt;/Cite&gt;&lt;/EndNote&gt;</w:instrText>
      </w:r>
      <w:r w:rsidR="00B2033D" w:rsidRPr="002C21B8">
        <w:fldChar w:fldCharType="separate"/>
      </w:r>
      <w:r w:rsidR="00B2033D" w:rsidRPr="002C21B8">
        <w:rPr>
          <w:noProof/>
        </w:rPr>
        <w:t>(Noblit and Hare, 1988)</w:t>
      </w:r>
      <w:r w:rsidR="00B2033D" w:rsidRPr="002C21B8">
        <w:fldChar w:fldCharType="end"/>
      </w:r>
      <w:r w:rsidR="00B2033D" w:rsidRPr="002C21B8">
        <w:t xml:space="preserve">, </w:t>
      </w:r>
      <w:r w:rsidR="009443F1" w:rsidRPr="002C21B8">
        <w:t>narrative synthesis</w:t>
      </w:r>
      <w:r w:rsidR="00B2033D" w:rsidRPr="002C21B8">
        <w:t xml:space="preserve"> </w:t>
      </w:r>
      <w:r w:rsidR="00B2033D" w:rsidRPr="002C21B8">
        <w:fldChar w:fldCharType="begin"/>
      </w:r>
      <w:r w:rsidR="000215B0" w:rsidRPr="002C21B8">
        <w:instrText xml:space="preserve"> ADDIN EN.CITE &lt;EndNote&gt;&lt;Cite&gt;&lt;Author&gt;Popay&lt;/Author&gt;&lt;Year&gt;2006&lt;/Year&gt;&lt;RecNum&gt;61&lt;/RecNum&gt;&lt;DisplayText&gt;(Popay&lt;style face="italic"&gt; et al.&lt;/style&gt;, 2006)&lt;/DisplayText&gt;&lt;record&gt;&lt;rec-number&gt;61&lt;/rec-number&gt;&lt;foreign-keys&gt;&lt;key app="EN" db-id="xpefzwa5hf9dt2ea9fax95x7xvxz90v09dtf" timestamp="1693498270"&gt;61&lt;/key&gt;&lt;/foreign-keys&gt;&lt;ref-type name="Journal Article"&gt;17&lt;/ref-type&gt;&lt;contributors&gt;&lt;authors&gt;&lt;author&gt;Popay, Jennie&lt;/author&gt;&lt;author&gt;Roberts, Helen&lt;/author&gt;&lt;author&gt;Sowden, Amanda&lt;/author&gt;&lt;author&gt;Petticrew, Mark&lt;/author&gt;&lt;author&gt;Arai, Lisa&lt;/author&gt;&lt;author&gt;Rodgers, Mark&lt;/author&gt;&lt;author&gt;Britten, Nicky&lt;/author&gt;&lt;author&gt;Roen, Katrina&lt;/author&gt;&lt;author&gt;Duffy, Steven&lt;/author&gt;&lt;/authors&gt;&lt;/contributors&gt;&lt;titles&gt;&lt;title&gt;Guidance on the conduct of narrative synthesis in systematic reviews&lt;/title&gt;&lt;secondary-title&gt;A product from the ESRC methods programme&lt;/secondary-title&gt;&lt;/titles&gt;&lt;periodical&gt;&lt;full-title&gt;A product from the ESRC methods programme&lt;/full-title&gt;&lt;/periodical&gt;&lt;pages&gt;b92&lt;/pages&gt;&lt;volume&gt;1&lt;/volume&gt;&lt;number&gt;1&lt;/number&gt;&lt;dates&gt;&lt;year&gt;2006&lt;/year&gt;&lt;/dates&gt;&lt;urls&gt;&lt;/urls&gt;&lt;/record&gt;&lt;/Cite&gt;&lt;/EndNote&gt;</w:instrText>
      </w:r>
      <w:r w:rsidR="00B2033D" w:rsidRPr="002C21B8">
        <w:fldChar w:fldCharType="separate"/>
      </w:r>
      <w:r w:rsidR="00B2033D" w:rsidRPr="002C21B8">
        <w:rPr>
          <w:noProof/>
        </w:rPr>
        <w:t>(Popay</w:t>
      </w:r>
      <w:r w:rsidR="00B2033D" w:rsidRPr="002C21B8">
        <w:rPr>
          <w:i/>
          <w:noProof/>
        </w:rPr>
        <w:t xml:space="preserve"> et al.</w:t>
      </w:r>
      <w:r w:rsidR="00B2033D" w:rsidRPr="002C21B8">
        <w:rPr>
          <w:noProof/>
        </w:rPr>
        <w:t>, 2006)</w:t>
      </w:r>
      <w:r w:rsidR="00B2033D" w:rsidRPr="002C21B8">
        <w:fldChar w:fldCharType="end"/>
      </w:r>
      <w:r w:rsidRPr="002C21B8">
        <w:t>,</w:t>
      </w:r>
      <w:r w:rsidR="00B2033D" w:rsidRPr="002C21B8">
        <w:t xml:space="preserve"> </w:t>
      </w:r>
      <w:r w:rsidRPr="002C21B8">
        <w:t>and</w:t>
      </w:r>
      <w:r w:rsidR="00B2033D" w:rsidRPr="002C21B8">
        <w:t xml:space="preserve"> framework synthesis </w:t>
      </w:r>
      <w:r w:rsidR="00B2033D" w:rsidRPr="002C21B8">
        <w:fldChar w:fldCharType="begin"/>
      </w:r>
      <w:r w:rsidR="00CE4967" w:rsidRPr="002C21B8">
        <w:instrText xml:space="preserve"> ADDIN EN.CITE &lt;EndNote&gt;&lt;Cite&gt;&lt;Author&gt;Dixon-Woods&lt;/Author&gt;&lt;Year&gt;2011&lt;/Year&gt;&lt;RecNum&gt;17563&lt;/RecNum&gt;&lt;DisplayText&gt;(Dixon-Woods, 2011)&lt;/DisplayText&gt;&lt;record&gt;&lt;rec-number&gt;17563&lt;/rec-number&gt;&lt;foreign-keys&gt;&lt;key app="EN" db-id="xpefzwa5hf9dt2ea9fax95x7xvxz90v09dtf" timestamp="1727163109"&gt;17563&lt;/key&gt;&lt;/foreign-keys&gt;&lt;ref-type name="Journal Article"&gt;17&lt;/ref-type&gt;&lt;contributors&gt;&lt;authors&gt;&lt;author&gt;Dixon-Woods, Mary&lt;/author&gt;&lt;/authors&gt;&lt;/contributors&gt;&lt;titles&gt;&lt;title&gt;Using framework-based synthesis for conducting reviews of qualitative studies&lt;/title&gt;&lt;secondary-title&gt;BMC Medicine&lt;/secondary-title&gt;&lt;/titles&gt;&lt;periodical&gt;&lt;full-title&gt;BMC medicine&lt;/full-title&gt;&lt;/periodical&gt;&lt;pages&gt;1-2&lt;/pages&gt;&lt;volume&gt;9&lt;/volume&gt;&lt;dates&gt;&lt;year&gt;2011&lt;/year&gt;&lt;/dates&gt;&lt;urls&gt;&lt;/urls&gt;&lt;/record&gt;&lt;/Cite&gt;&lt;/EndNote&gt;</w:instrText>
      </w:r>
      <w:r w:rsidR="00B2033D" w:rsidRPr="002C21B8">
        <w:fldChar w:fldCharType="separate"/>
      </w:r>
      <w:r w:rsidR="00B2033D" w:rsidRPr="002C21B8">
        <w:rPr>
          <w:noProof/>
        </w:rPr>
        <w:t>(Dixon-Woods, 2011)</w:t>
      </w:r>
      <w:r w:rsidR="00B2033D" w:rsidRPr="002C21B8">
        <w:fldChar w:fldCharType="end"/>
      </w:r>
      <w:r w:rsidR="00B2033D" w:rsidRPr="002C21B8">
        <w:t>.</w:t>
      </w:r>
    </w:p>
    <w:p w14:paraId="02AEA4EA" w14:textId="495B094C" w:rsidR="002A4B8E" w:rsidRPr="002C21B8" w:rsidRDefault="002A4B8E" w:rsidP="00482B80">
      <w:r w:rsidRPr="002C21B8">
        <w:t>Framework</w:t>
      </w:r>
      <w:r w:rsidR="00B86093" w:rsidRPr="002C21B8">
        <w:t xml:space="preserve"> synthesis </w:t>
      </w:r>
      <w:r w:rsidRPr="002C21B8">
        <w:t>approaches are particularly appropriate where an existing conceptual model</w:t>
      </w:r>
      <w:r w:rsidR="00951F38" w:rsidRPr="002C21B8">
        <w:t xml:space="preserve"> or framework</w:t>
      </w:r>
      <w:r w:rsidRPr="002C21B8">
        <w:t xml:space="preserve"> is available to structure and interpret findings. This approach </w:t>
      </w:r>
      <w:r w:rsidR="00951F38" w:rsidRPr="002C21B8">
        <w:t>aligned</w:t>
      </w:r>
      <w:r w:rsidRPr="002C21B8">
        <w:t xml:space="preserve"> with one of the main objectives of the </w:t>
      </w:r>
      <w:r w:rsidR="00E06102" w:rsidRPr="002C21B8">
        <w:t>overview of systematic reviews</w:t>
      </w:r>
      <w:r w:rsidR="008B7A13" w:rsidRPr="002C21B8">
        <w:t>,</w:t>
      </w:r>
      <w:r w:rsidRPr="002C21B8">
        <w:t xml:space="preserve"> which was to adapt the existing prescribing model by </w:t>
      </w:r>
      <w:r w:rsidRPr="002C21B8">
        <w:fldChar w:fldCharType="begin"/>
      </w:r>
      <w:r w:rsidR="00590E88" w:rsidRPr="002C21B8">
        <w:instrText xml:space="preserve"> ADDIN EN.CITE &lt;EndNote&gt;&lt;Cite AuthorYear="1"&gt;&lt;Author&gt;Murshid&lt;/Author&gt;&lt;Year&gt;2017&lt;/Year&gt;&lt;RecNum&gt;5043&lt;/RecNum&gt;&lt;DisplayText&gt;Murshid and Mohaidin (2017)&lt;/DisplayText&gt;&lt;record&gt;&lt;rec-number&gt;5043&lt;/rec-number&gt;&lt;foreign-keys&gt;&lt;key app="EN" db-id="xpefzwa5hf9dt2ea9fax95x7xvxz90v09dtf" timestamp="1699900085"&gt;5043&lt;/key&gt;&lt;/foreign-keys&gt;&lt;ref-type name="Journal Article"&gt;17&lt;/ref-type&gt;&lt;contributors&gt;&lt;authors&gt;&lt;author&gt;Murshid, M. A.&lt;/author&gt;&lt;author&gt;Mohaidin, Z.&lt;/author&gt;&lt;/authors&gt;&lt;/contributors&gt;&lt;auth-address&gt;Graduate School of Business, Universiti Sains Malaysia. Penang, (Malaysia). mohsen092@gmail.com.&amp;#xD;PhD. Graduate School of Business, Universiti Sains Malaysia. Penang, (Malaysia). mzurina@usm.my.&lt;/auth-address&gt;&lt;titles&gt;&lt;title&gt;Models and theories of prescribing decisions: A review and suggested a new model&lt;/title&gt;&lt;secondary-title&gt;Pharmacy Practice&lt;/secondary-title&gt;&lt;/titles&gt;&lt;periodical&gt;&lt;full-title&gt;Pharmacy Practice&lt;/full-title&gt;&lt;/periodical&gt;&lt;pages&gt;990&lt;/pages&gt;&lt;volume&gt;15&lt;/volume&gt;&lt;number&gt;2&lt;/number&gt;&lt;edition&gt;20170630&lt;/edition&gt;&lt;keywords&gt;&lt;keyword&gt;Attitude of Health Personnel&lt;/keyword&gt;&lt;keyword&gt;Attitudes&lt;/keyword&gt;&lt;keyword&gt;Decision Making&lt;/keyword&gt;&lt;keyword&gt;Health Knowledge&lt;/keyword&gt;&lt;keyword&gt;Models&lt;/keyword&gt;&lt;keyword&gt;Physicians’&lt;/keyword&gt;&lt;keyword&gt;Practice&lt;/keyword&gt;&lt;keyword&gt;Practice Patterns&lt;/keyword&gt;&lt;keyword&gt;Theoretical&lt;/keyword&gt;&lt;/keywords&gt;&lt;dates&gt;&lt;year&gt;2017&lt;/year&gt;&lt;pub-dates&gt;&lt;date&gt;Apr-Jun&lt;/date&gt;&lt;/pub-dates&gt;&lt;/dates&gt;&lt;isbn&gt;1885-642X (Print)&amp;#xD;1885-642x&lt;/isbn&gt;&lt;accession-num&gt;28690701&lt;/accession-num&gt;&lt;urls&gt;&lt;/urls&gt;&lt;custom1&gt;CONFLICT OF INTEREST The authors have no conflict of interests declare.&lt;/custom1&gt;&lt;custom2&gt;PMC5499356&lt;/custom2&gt;&lt;electronic-resource-num&gt;10.18549/PharmPract.2017.02.990&lt;/electronic-resource-num&gt;&lt;remote-database-provider&gt;NLM&lt;/remote-database-provider&gt;&lt;language&gt;eng&lt;/language&gt;&lt;/record&gt;&lt;/Cite&gt;&lt;/EndNote&gt;</w:instrText>
      </w:r>
      <w:r w:rsidRPr="002C21B8">
        <w:fldChar w:fldCharType="separate"/>
      </w:r>
      <w:r w:rsidRPr="002C21B8">
        <w:rPr>
          <w:noProof/>
        </w:rPr>
        <w:t>Murshid and Mohaidin (2017)</w:t>
      </w:r>
      <w:r w:rsidRPr="002C21B8">
        <w:fldChar w:fldCharType="end"/>
      </w:r>
      <w:r w:rsidRPr="002C21B8">
        <w:t xml:space="preserve"> to better reflect the factors that may influence prescribing for chronic conditions. This approach involved coding the data from the systematic reviews to the </w:t>
      </w:r>
      <w:r w:rsidR="00951F38" w:rsidRPr="002C21B8">
        <w:t>factors</w:t>
      </w:r>
      <w:r w:rsidRPr="002C21B8">
        <w:t xml:space="preserve"> in the existing model (deductive coding)</w:t>
      </w:r>
      <w:r w:rsidR="008B7A13" w:rsidRPr="002C21B8">
        <w:t>,</w:t>
      </w:r>
      <w:r w:rsidRPr="002C21B8">
        <w:t xml:space="preserve"> but new </w:t>
      </w:r>
      <w:r w:rsidR="00951F38" w:rsidRPr="002C21B8">
        <w:t>factor</w:t>
      </w:r>
      <w:r w:rsidRPr="002C21B8">
        <w:t>s were also incorporated into the synthesis (inductive coding)</w:t>
      </w:r>
      <w:r w:rsidR="00FD63C2" w:rsidRPr="002C21B8">
        <w:t xml:space="preserve"> </w:t>
      </w:r>
      <w:r w:rsidR="00B86093" w:rsidRPr="002C21B8">
        <w:fldChar w:fldCharType="begin"/>
      </w:r>
      <w:r w:rsidR="00CE4967" w:rsidRPr="002C21B8">
        <w:instrText xml:space="preserve"> ADDIN EN.CITE &lt;EndNote&gt;&lt;Cite&gt;&lt;Author&gt;Dixon-Woods&lt;/Author&gt;&lt;Year&gt;2011&lt;/Year&gt;&lt;RecNum&gt;17563&lt;/RecNum&gt;&lt;DisplayText&gt;(Dixon-Woods, 2011)&lt;/DisplayText&gt;&lt;record&gt;&lt;rec-number&gt;17563&lt;/rec-number&gt;&lt;foreign-keys&gt;&lt;key app="EN" db-id="xpefzwa5hf9dt2ea9fax95x7xvxz90v09dtf" timestamp="1727163109"&gt;17563&lt;/key&gt;&lt;/foreign-keys&gt;&lt;ref-type name="Journal Article"&gt;17&lt;/ref-type&gt;&lt;contributors&gt;&lt;authors&gt;&lt;author&gt;Dixon-Woods, Mary&lt;/author&gt;&lt;/authors&gt;&lt;/contributors&gt;&lt;titles&gt;&lt;title&gt;Using framework-based synthesis for conducting reviews of qualitative studies&lt;/title&gt;&lt;secondary-title&gt;BMC Medicine&lt;/secondary-title&gt;&lt;/titles&gt;&lt;periodical&gt;&lt;full-title&gt;BMC medicine&lt;/full-title&gt;&lt;/periodical&gt;&lt;pages&gt;1-2&lt;/pages&gt;&lt;volume&gt;9&lt;/volume&gt;&lt;dates&gt;&lt;year&gt;2011&lt;/year&gt;&lt;/dates&gt;&lt;urls&gt;&lt;/urls&gt;&lt;/record&gt;&lt;/Cite&gt;&lt;/EndNote&gt;</w:instrText>
      </w:r>
      <w:r w:rsidR="00B86093" w:rsidRPr="002C21B8">
        <w:fldChar w:fldCharType="separate"/>
      </w:r>
      <w:r w:rsidR="00B86093" w:rsidRPr="002C21B8">
        <w:rPr>
          <w:noProof/>
        </w:rPr>
        <w:t>(Dixon-Woods, 2011)</w:t>
      </w:r>
      <w:r w:rsidR="00B86093" w:rsidRPr="002C21B8">
        <w:fldChar w:fldCharType="end"/>
      </w:r>
      <w:r w:rsidRPr="002C21B8">
        <w:t>.</w:t>
      </w:r>
    </w:p>
    <w:p w14:paraId="4BFC5261" w14:textId="60FE0D3D" w:rsidR="009443F1" w:rsidRPr="002C21B8" w:rsidRDefault="00B2033D" w:rsidP="00482B80">
      <w:r w:rsidRPr="002C21B8">
        <w:t>Alternative synthesis approaches were considered. An inductive thematic synthesis was considered</w:t>
      </w:r>
      <w:r w:rsidR="008B7A13" w:rsidRPr="002C21B8">
        <w:t>,</w:t>
      </w:r>
      <w:r w:rsidRPr="002C21B8">
        <w:t xml:space="preserve"> but this was deemed to be less appropriate given the availability of an existing conceptual model and </w:t>
      </w:r>
      <w:r w:rsidR="00266AAF" w:rsidRPr="002C21B8">
        <w:t xml:space="preserve">the </w:t>
      </w:r>
      <w:r w:rsidR="00A91758" w:rsidRPr="002C21B8">
        <w:t>objective of the overview of systematic reviews</w:t>
      </w:r>
      <w:r w:rsidRPr="002C21B8">
        <w:t>. Narrative synthesis was also considered but was not selected as a standalone approach</w:t>
      </w:r>
      <w:r w:rsidR="008B7A13" w:rsidRPr="002C21B8">
        <w:t>,</w:t>
      </w:r>
      <w:r w:rsidRPr="002C21B8">
        <w:t xml:space="preserve"> as it would be more difficult to organise and compare the findings due to the number of included systematic reviews. M</w:t>
      </w:r>
      <w:r w:rsidR="009443F1" w:rsidRPr="002C21B8">
        <w:t xml:space="preserve">eta-aggregation or meta-ethnography </w:t>
      </w:r>
      <w:r w:rsidRPr="002C21B8">
        <w:t xml:space="preserve">were not considered to be appropriate </w:t>
      </w:r>
      <w:r w:rsidR="009443F1" w:rsidRPr="002C21B8">
        <w:t>due to the</w:t>
      </w:r>
      <w:r w:rsidR="00D8792C" w:rsidRPr="002C21B8">
        <w:t xml:space="preserve"> heterogen</w:t>
      </w:r>
      <w:r w:rsidR="00266AAF" w:rsidRPr="002C21B8">
        <w:t>e</w:t>
      </w:r>
      <w:r w:rsidR="00D8792C" w:rsidRPr="002C21B8">
        <w:t>ous</w:t>
      </w:r>
      <w:r w:rsidRPr="002C21B8">
        <w:t xml:space="preserve"> nature of the data being synthesised in systematic reviews.</w:t>
      </w:r>
    </w:p>
    <w:p w14:paraId="52FF582E" w14:textId="76E75B50" w:rsidR="00DA5ECB" w:rsidRPr="002C21B8" w:rsidRDefault="00DA5ECB" w:rsidP="00DA5ECB">
      <w:pPr>
        <w:spacing w:before="240" w:after="0"/>
        <w:rPr>
          <w:b/>
          <w:bCs/>
          <w:sz w:val="28"/>
          <w:szCs w:val="28"/>
        </w:rPr>
      </w:pPr>
      <w:r w:rsidRPr="002C21B8">
        <w:rPr>
          <w:b/>
          <w:bCs/>
          <w:sz w:val="28"/>
          <w:szCs w:val="28"/>
        </w:rPr>
        <w:t>Confidence in findings</w:t>
      </w:r>
    </w:p>
    <w:p w14:paraId="6FDD274B" w14:textId="005C9DE4" w:rsidR="009D12AE" w:rsidRPr="002C21B8" w:rsidRDefault="003C4186" w:rsidP="009D12AE">
      <w:r w:rsidRPr="002C21B8">
        <w:t>Assessing confidence in findings is undertaken in</w:t>
      </w:r>
      <w:r w:rsidR="008B7A13" w:rsidRPr="002C21B8">
        <w:t xml:space="preserve"> </w:t>
      </w:r>
      <w:r w:rsidR="00E06102" w:rsidRPr="002C21B8">
        <w:t>systematic reviews</w:t>
      </w:r>
      <w:r w:rsidRPr="002C21B8">
        <w:t xml:space="preserve"> to ensure that readers are aware of the strength and consistency of the underlying evidence base when interpreting</w:t>
      </w:r>
      <w:r w:rsidR="00674B88" w:rsidRPr="002C21B8">
        <w:t xml:space="preserve"> findings</w:t>
      </w:r>
      <w:r w:rsidR="008F7C22" w:rsidRPr="002C21B8">
        <w:t xml:space="preserve"> </w:t>
      </w:r>
      <w:r w:rsidRPr="002C21B8">
        <w:fldChar w:fldCharType="begin"/>
      </w:r>
      <w:r w:rsidRPr="002C21B8">
        <w:instrText xml:space="preserve"> ADDIN EN.CITE &lt;EndNote&gt;&lt;Cite&gt;&lt;Author&gt;Lewin&lt;/Author&gt;&lt;Year&gt;2018&lt;/Year&gt;&lt;RecNum&gt;125430&lt;/RecNum&gt;&lt;DisplayText&gt;(Lewin&lt;style face="italic"&gt; et al.&lt;/style&gt;, 2018b)&lt;/DisplayText&gt;&lt;record&gt;&lt;rec-number&gt;125430&lt;/rec-number&gt;&lt;foreign-keys&gt;&lt;key app="EN" db-id="xpefzwa5hf9dt2ea9fax95x7xvxz90v09dtf" timestamp="1775826250"&gt;125430&lt;/key&gt;&lt;/foreign-keys&gt;&lt;ref-type name="Journal Article"&gt;17&lt;/ref-type&gt;&lt;contributors&gt;&lt;authors&gt;&lt;author&gt;Lewin, Simon&lt;/author&gt;&lt;author&gt;Booth, Andrew&lt;/author&gt;&lt;author&gt;Glenton, Claire&lt;/author&gt;&lt;author&gt;Munthe-Kaas, Heather&lt;/author&gt;&lt;author&gt;Rashidian, Arash&lt;/author&gt;&lt;author&gt;Wainwright, Megan&lt;/author&gt;&lt;author&gt;Bohren, Meghan A&lt;/author&gt;&lt;author&gt;Tunçalp, Özge&lt;/author&gt;&lt;author&gt;Colvin, Christopher J&lt;/author&gt;&lt;author&gt;Garside, Ruth&lt;/author&gt;&lt;/authors&gt;&lt;/contributors&gt;&lt;titles&gt;&lt;title&gt;Applying GRADE-CERQual to qualitative evidence synthesis findings: introduction to the series&lt;/title&gt;&lt;secondary-title&gt;Implementation Science&lt;/secondary-title&gt;&lt;/titles&gt;&lt;periodical&gt;&lt;full-title&gt;Implementation Science&lt;/full-title&gt;&lt;/periodical&gt;&lt;pages&gt;2&lt;/pages&gt;&lt;volume&gt;13&lt;/volume&gt;&lt;number&gt;Suppl 1&lt;/number&gt;&lt;dates&gt;&lt;year&gt;2018&lt;/year&gt;&lt;/dates&gt;&lt;isbn&gt;1748-5908&lt;/isbn&gt;&lt;urls&gt;&lt;/urls&gt;&lt;/record&gt;&lt;/Cite&gt;&lt;/EndNote&gt;</w:instrText>
      </w:r>
      <w:r w:rsidRPr="002C21B8">
        <w:fldChar w:fldCharType="separate"/>
      </w:r>
      <w:r w:rsidRPr="002C21B8">
        <w:rPr>
          <w:noProof/>
        </w:rPr>
        <w:t>(Lewin</w:t>
      </w:r>
      <w:r w:rsidRPr="002C21B8">
        <w:rPr>
          <w:i/>
          <w:noProof/>
        </w:rPr>
        <w:t xml:space="preserve"> et al.</w:t>
      </w:r>
      <w:r w:rsidRPr="002C21B8">
        <w:rPr>
          <w:noProof/>
        </w:rPr>
        <w:t>, 2018b)</w:t>
      </w:r>
      <w:r w:rsidRPr="002C21B8">
        <w:fldChar w:fldCharType="end"/>
      </w:r>
      <w:r w:rsidRPr="002C21B8">
        <w:t xml:space="preserve">. </w:t>
      </w:r>
      <w:r w:rsidR="00B2033D" w:rsidRPr="002C21B8">
        <w:t xml:space="preserve">Confidence </w:t>
      </w:r>
      <w:r w:rsidRPr="002C21B8">
        <w:t xml:space="preserve">in the </w:t>
      </w:r>
      <w:r w:rsidR="00674B88" w:rsidRPr="002C21B8">
        <w:t>factors</w:t>
      </w:r>
      <w:r w:rsidRPr="002C21B8">
        <w:t xml:space="preserve"> </w:t>
      </w:r>
      <w:r w:rsidR="00B2033D" w:rsidRPr="002C21B8">
        <w:t xml:space="preserve">was assessed using the GRADE-CERQual approach </w:t>
      </w:r>
      <w:r w:rsidRPr="002C21B8">
        <w:fldChar w:fldCharType="begin"/>
      </w:r>
      <w:r w:rsidRPr="002C21B8">
        <w:instrText xml:space="preserve"> ADDIN EN.CITE &lt;EndNote&gt;&lt;Cite&gt;&lt;Author&gt;Lewin&lt;/Author&gt;&lt;Year&gt;2018&lt;/Year&gt;&lt;RecNum&gt;17403&lt;/RecNum&gt;&lt;DisplayText&gt;(Lewin&lt;style face="italic"&gt; et al.&lt;/style&gt;, 2018a)&lt;/DisplayText&gt;&lt;record&gt;&lt;rec-number&gt;17403&lt;/rec-number&gt;&lt;foreign-keys&gt;&lt;key app="EN" db-id="xpefzwa5hf9dt2ea9fax95x7xvxz90v09dtf" timestamp="1720786820"&gt;17403&lt;/key&gt;&lt;/foreign-keys&gt;&lt;ref-type name="Journal Article"&gt;17&lt;/ref-type&gt;&lt;contributors&gt;&lt;authors&gt;&lt;author&gt;Lewin, Simon&lt;/author&gt;&lt;author&gt;Bohren, Meghan&lt;/author&gt;&lt;author&gt;Rashidian, Arash&lt;/author&gt;&lt;author&gt;Munthe-Kaas, Heather&lt;/author&gt;&lt;author&gt;Glenton, Claire&lt;/author&gt;&lt;author&gt;Colvin, Christopher J&lt;/author&gt;&lt;author&gt;Garside, Ruth&lt;/author&gt;&lt;author&gt;Noyes, Jane&lt;/author&gt;&lt;author&gt;Booth, Andrew&lt;/author&gt;&lt;author&gt;Tunçalp, Özge&lt;/author&gt;&lt;/authors&gt;&lt;/contributors&gt;&lt;titles&gt;&lt;title&gt;Applying GRADE-CERQual to qualitative evidence synthesis findings—paper 2: how to make an overall CERQual assessment of confidence and create a Summary of Qualitative Findings table&lt;/title&gt;&lt;secondary-title&gt;Implementation Science&lt;/secondary-title&gt;&lt;/titles&gt;&lt;periodical&gt;&lt;full-title&gt;Implementation Science&lt;/full-title&gt;&lt;/periodical&gt;&lt;pages&gt;11-23&lt;/pages&gt;&lt;volume&gt;13&lt;/volume&gt;&lt;dates&gt;&lt;year&gt;2018&lt;/year&gt;&lt;/dates&gt;&lt;urls&gt;&lt;/urls&gt;&lt;/record&gt;&lt;/Cite&gt;&lt;/EndNote&gt;</w:instrText>
      </w:r>
      <w:r w:rsidRPr="002C21B8">
        <w:fldChar w:fldCharType="separate"/>
      </w:r>
      <w:r w:rsidRPr="002C21B8">
        <w:rPr>
          <w:noProof/>
        </w:rPr>
        <w:t>(Lewin</w:t>
      </w:r>
      <w:r w:rsidRPr="002C21B8">
        <w:rPr>
          <w:i/>
          <w:noProof/>
        </w:rPr>
        <w:t xml:space="preserve"> et al.</w:t>
      </w:r>
      <w:r w:rsidRPr="002C21B8">
        <w:rPr>
          <w:noProof/>
        </w:rPr>
        <w:t>, 2018a)</w:t>
      </w:r>
      <w:r w:rsidRPr="002C21B8">
        <w:fldChar w:fldCharType="end"/>
      </w:r>
      <w:r w:rsidR="00B2033D" w:rsidRPr="002C21B8">
        <w:t xml:space="preserve">. This CERQual tool was chosen as it provides a transparent and user-friendly framework for assessing how much confidence to place in the </w:t>
      </w:r>
      <w:r w:rsidR="00D07C2B" w:rsidRPr="002C21B8">
        <w:t>findings</w:t>
      </w:r>
      <w:r w:rsidR="00A049A1" w:rsidRPr="002C21B8">
        <w:t xml:space="preserve"> for each factor</w:t>
      </w:r>
      <w:r w:rsidR="00B2033D" w:rsidRPr="002C21B8">
        <w:t>. This assessment is based on the methodological limitations of contributing studies, relevance to the review question, agreement across data sources</w:t>
      </w:r>
      <w:r w:rsidR="00566E9C" w:rsidRPr="002C21B8">
        <w:t>,</w:t>
      </w:r>
      <w:r w:rsidR="00B2033D" w:rsidRPr="002C21B8">
        <w:t xml:space="preserve"> and the adequacy of the supporting data. Each finding was assigned a level of confidence (very low, low, moderate or high)</w:t>
      </w:r>
      <w:r w:rsidR="00566E9C" w:rsidRPr="002C21B8">
        <w:t xml:space="preserve">. This </w:t>
      </w:r>
      <w:r w:rsidR="00B2033D" w:rsidRPr="002C21B8">
        <w:t xml:space="preserve">was </w:t>
      </w:r>
      <w:r w:rsidR="00566E9C" w:rsidRPr="002C21B8">
        <w:t xml:space="preserve">then </w:t>
      </w:r>
      <w:r w:rsidR="00B2033D" w:rsidRPr="002C21B8">
        <w:t>used to support the interpretation of the strength and reliability of the evidence within each theme.</w:t>
      </w:r>
      <w:bookmarkStart w:id="433" w:name="_Appendix_4._Publication"/>
      <w:bookmarkEnd w:id="433"/>
      <w:r w:rsidR="009D12AE" w:rsidRPr="002C21B8">
        <w:rPr>
          <w:b/>
          <w:bCs/>
        </w:rPr>
        <w:br w:type="page"/>
      </w:r>
    </w:p>
    <w:p w14:paraId="6196D4B8" w14:textId="60993041" w:rsidR="00FA366A" w:rsidRPr="002C21B8" w:rsidRDefault="00FA366A" w:rsidP="00581663">
      <w:pPr>
        <w:pStyle w:val="Heading2"/>
        <w:numPr>
          <w:ilvl w:val="0"/>
          <w:numId w:val="0"/>
        </w:numPr>
      </w:pPr>
      <w:bookmarkStart w:id="434" w:name="_Appendix_4._Publication_1"/>
      <w:bookmarkStart w:id="435" w:name="_Toc229687256"/>
      <w:bookmarkEnd w:id="434"/>
      <w:r w:rsidRPr="002C21B8">
        <w:t xml:space="preserve">Appendix </w:t>
      </w:r>
      <w:r w:rsidR="00071700" w:rsidRPr="002C21B8">
        <w:t>4</w:t>
      </w:r>
      <w:r w:rsidRPr="002C21B8">
        <w:t xml:space="preserve">. </w:t>
      </w:r>
      <w:r w:rsidR="00AA4764" w:rsidRPr="002C21B8">
        <w:t>Publication materials</w:t>
      </w:r>
      <w:r w:rsidR="00FA7729" w:rsidRPr="002C21B8">
        <w:t xml:space="preserve"> for </w:t>
      </w:r>
      <w:r w:rsidR="00760485" w:rsidRPr="002C21B8">
        <w:t>j</w:t>
      </w:r>
      <w:r w:rsidR="00100573" w:rsidRPr="002C21B8">
        <w:t xml:space="preserve">ournal </w:t>
      </w:r>
      <w:r w:rsidR="00760485" w:rsidRPr="002C21B8">
        <w:t>a</w:t>
      </w:r>
      <w:r w:rsidR="00100573" w:rsidRPr="002C21B8">
        <w:t xml:space="preserve">rticle </w:t>
      </w:r>
      <w:r w:rsidR="00907CB1" w:rsidRPr="002C21B8">
        <w:t>1</w:t>
      </w:r>
      <w:r w:rsidR="00FA7729" w:rsidRPr="002C21B8">
        <w:t xml:space="preserve"> (Chapter </w:t>
      </w:r>
      <w:r w:rsidR="006A47F9" w:rsidRPr="002C21B8">
        <w:t>4</w:t>
      </w:r>
      <w:r w:rsidR="00FA7729" w:rsidRPr="002C21B8">
        <w:t>)</w:t>
      </w:r>
      <w:bookmarkEnd w:id="435"/>
    </w:p>
    <w:p w14:paraId="63EE51EC" w14:textId="4F24CF8B" w:rsidR="00D34BE7" w:rsidRPr="002C21B8" w:rsidRDefault="00AB240C" w:rsidP="004507C8">
      <w:pPr>
        <w:pStyle w:val="Heading3"/>
        <w:numPr>
          <w:ilvl w:val="0"/>
          <w:numId w:val="0"/>
        </w:numPr>
        <w:rPr>
          <w:color w:val="auto"/>
        </w:rPr>
      </w:pPr>
      <w:r w:rsidRPr="002C21B8">
        <w:t xml:space="preserve">Reporting checklist for </w:t>
      </w:r>
      <w:r w:rsidR="00E06102" w:rsidRPr="002C21B8">
        <w:t>overview of systematic reviews</w:t>
      </w:r>
      <w:r w:rsidRPr="002C21B8">
        <w:rPr>
          <w:i/>
          <w:iCs/>
        </w:rPr>
        <w:t xml:space="preserve"> (PRIOR) c</w:t>
      </w:r>
      <w:r w:rsidR="00D34BE7" w:rsidRPr="002C21B8">
        <w:rPr>
          <w:i/>
          <w:iCs/>
        </w:rPr>
        <w:t>hecklist</w:t>
      </w:r>
    </w:p>
    <w:tbl>
      <w:tblPr>
        <w:tblStyle w:val="TableGrid"/>
        <w:tblW w:w="9209" w:type="dxa"/>
        <w:tblLook w:val="04A0" w:firstRow="1" w:lastRow="0" w:firstColumn="1" w:lastColumn="0" w:noHBand="0" w:noVBand="1"/>
      </w:tblPr>
      <w:tblGrid>
        <w:gridCol w:w="1838"/>
        <w:gridCol w:w="665"/>
        <w:gridCol w:w="4863"/>
        <w:gridCol w:w="1843"/>
      </w:tblGrid>
      <w:tr w:rsidR="002D7023" w:rsidRPr="002C21B8" w14:paraId="7B0CCDC9" w14:textId="77777777" w:rsidTr="00B7125A">
        <w:tc>
          <w:tcPr>
            <w:tcW w:w="1838" w:type="dxa"/>
          </w:tcPr>
          <w:p w14:paraId="676A50AE" w14:textId="77777777" w:rsidR="002D7023" w:rsidRPr="002C21B8" w:rsidRDefault="002D7023" w:rsidP="005E7C94">
            <w:pPr>
              <w:spacing w:after="0" w:line="240" w:lineRule="auto"/>
              <w:jc w:val="left"/>
              <w:rPr>
                <w:b/>
                <w:bCs/>
                <w:sz w:val="18"/>
                <w:szCs w:val="18"/>
              </w:rPr>
            </w:pPr>
            <w:r w:rsidRPr="002C21B8">
              <w:rPr>
                <w:b/>
                <w:bCs/>
                <w:sz w:val="18"/>
                <w:szCs w:val="18"/>
              </w:rPr>
              <w:t>Section</w:t>
            </w:r>
          </w:p>
          <w:p w14:paraId="74A61FAA" w14:textId="77777777" w:rsidR="002D7023" w:rsidRPr="002C21B8" w:rsidRDefault="002D7023" w:rsidP="005E7C94">
            <w:pPr>
              <w:spacing w:after="0" w:line="240" w:lineRule="auto"/>
              <w:jc w:val="left"/>
              <w:rPr>
                <w:b/>
                <w:bCs/>
                <w:sz w:val="18"/>
                <w:szCs w:val="18"/>
              </w:rPr>
            </w:pPr>
            <w:r w:rsidRPr="002C21B8">
              <w:rPr>
                <w:b/>
                <w:bCs/>
                <w:sz w:val="18"/>
                <w:szCs w:val="18"/>
              </w:rPr>
              <w:t>Topic</w:t>
            </w:r>
          </w:p>
        </w:tc>
        <w:tc>
          <w:tcPr>
            <w:tcW w:w="665" w:type="dxa"/>
          </w:tcPr>
          <w:p w14:paraId="2419B1A6" w14:textId="77777777" w:rsidR="002D7023" w:rsidRPr="002C21B8" w:rsidRDefault="002D7023" w:rsidP="00C462E8">
            <w:pPr>
              <w:spacing w:after="0" w:line="240" w:lineRule="auto"/>
              <w:rPr>
                <w:b/>
                <w:bCs/>
                <w:sz w:val="18"/>
                <w:szCs w:val="18"/>
              </w:rPr>
            </w:pPr>
            <w:r w:rsidRPr="002C21B8">
              <w:rPr>
                <w:b/>
                <w:bCs/>
                <w:sz w:val="18"/>
                <w:szCs w:val="18"/>
              </w:rPr>
              <w:t>#</w:t>
            </w:r>
          </w:p>
        </w:tc>
        <w:tc>
          <w:tcPr>
            <w:tcW w:w="4863" w:type="dxa"/>
          </w:tcPr>
          <w:p w14:paraId="08C0EE92" w14:textId="77777777" w:rsidR="002D7023" w:rsidRPr="002C21B8" w:rsidRDefault="002D7023" w:rsidP="00C462E8">
            <w:pPr>
              <w:spacing w:after="0" w:line="240" w:lineRule="auto"/>
              <w:rPr>
                <w:b/>
                <w:bCs/>
                <w:sz w:val="18"/>
                <w:szCs w:val="18"/>
              </w:rPr>
            </w:pPr>
            <w:r w:rsidRPr="002C21B8">
              <w:rPr>
                <w:b/>
                <w:bCs/>
                <w:sz w:val="18"/>
                <w:szCs w:val="18"/>
              </w:rPr>
              <w:t>Item</w:t>
            </w:r>
          </w:p>
        </w:tc>
        <w:tc>
          <w:tcPr>
            <w:tcW w:w="1843" w:type="dxa"/>
          </w:tcPr>
          <w:p w14:paraId="6C8D1288" w14:textId="77777777" w:rsidR="002D7023" w:rsidRPr="002C21B8" w:rsidRDefault="002D7023" w:rsidP="005E7C94">
            <w:pPr>
              <w:spacing w:after="0" w:line="240" w:lineRule="auto"/>
              <w:jc w:val="left"/>
              <w:rPr>
                <w:b/>
                <w:bCs/>
                <w:sz w:val="18"/>
                <w:szCs w:val="18"/>
              </w:rPr>
            </w:pPr>
            <w:r w:rsidRPr="002C21B8">
              <w:rPr>
                <w:b/>
                <w:bCs/>
                <w:sz w:val="18"/>
                <w:szCs w:val="18"/>
              </w:rPr>
              <w:t>Location reported</w:t>
            </w:r>
          </w:p>
        </w:tc>
      </w:tr>
      <w:tr w:rsidR="002D7023" w:rsidRPr="002C21B8" w14:paraId="60D9F5D1" w14:textId="77777777" w:rsidTr="00B7125A">
        <w:tc>
          <w:tcPr>
            <w:tcW w:w="9209" w:type="dxa"/>
            <w:gridSpan w:val="4"/>
          </w:tcPr>
          <w:p w14:paraId="353F84E4" w14:textId="77777777" w:rsidR="002D7023" w:rsidRPr="002C21B8" w:rsidRDefault="002D7023" w:rsidP="005E7C94">
            <w:pPr>
              <w:spacing w:after="0" w:line="240" w:lineRule="auto"/>
              <w:jc w:val="left"/>
              <w:rPr>
                <w:b/>
                <w:bCs/>
                <w:sz w:val="18"/>
                <w:szCs w:val="18"/>
              </w:rPr>
            </w:pPr>
            <w:r w:rsidRPr="002C21B8">
              <w:rPr>
                <w:b/>
                <w:bCs/>
                <w:sz w:val="18"/>
                <w:szCs w:val="18"/>
              </w:rPr>
              <w:t>TITLE</w:t>
            </w:r>
          </w:p>
        </w:tc>
      </w:tr>
      <w:tr w:rsidR="002D7023" w:rsidRPr="002C21B8" w14:paraId="49D0D0DF" w14:textId="77777777" w:rsidTr="00B7125A">
        <w:tc>
          <w:tcPr>
            <w:tcW w:w="1838" w:type="dxa"/>
          </w:tcPr>
          <w:p w14:paraId="24B84EB6" w14:textId="77777777" w:rsidR="002D7023" w:rsidRPr="002C21B8" w:rsidRDefault="002D7023" w:rsidP="005E7C94">
            <w:pPr>
              <w:spacing w:after="0" w:line="240" w:lineRule="auto"/>
              <w:jc w:val="left"/>
              <w:rPr>
                <w:sz w:val="18"/>
                <w:szCs w:val="18"/>
              </w:rPr>
            </w:pPr>
            <w:r w:rsidRPr="002C21B8">
              <w:rPr>
                <w:sz w:val="18"/>
                <w:szCs w:val="18"/>
              </w:rPr>
              <w:t>Title</w:t>
            </w:r>
          </w:p>
        </w:tc>
        <w:tc>
          <w:tcPr>
            <w:tcW w:w="665" w:type="dxa"/>
          </w:tcPr>
          <w:p w14:paraId="4DB0524A" w14:textId="77777777" w:rsidR="002D7023" w:rsidRPr="002C21B8" w:rsidRDefault="002D7023" w:rsidP="00C462E8">
            <w:pPr>
              <w:spacing w:after="0" w:line="240" w:lineRule="auto"/>
              <w:rPr>
                <w:sz w:val="18"/>
                <w:szCs w:val="18"/>
              </w:rPr>
            </w:pPr>
            <w:r w:rsidRPr="002C21B8">
              <w:rPr>
                <w:sz w:val="18"/>
                <w:szCs w:val="18"/>
              </w:rPr>
              <w:t>1</w:t>
            </w:r>
          </w:p>
        </w:tc>
        <w:tc>
          <w:tcPr>
            <w:tcW w:w="4863" w:type="dxa"/>
          </w:tcPr>
          <w:p w14:paraId="0051C73D" w14:textId="5AFB0C44" w:rsidR="002D7023" w:rsidRPr="002C21B8" w:rsidRDefault="002D7023" w:rsidP="00C462E8">
            <w:pPr>
              <w:spacing w:after="0" w:line="240" w:lineRule="auto"/>
              <w:rPr>
                <w:sz w:val="18"/>
                <w:szCs w:val="18"/>
              </w:rPr>
            </w:pPr>
            <w:r w:rsidRPr="002C21B8">
              <w:rPr>
                <w:sz w:val="18"/>
                <w:szCs w:val="18"/>
              </w:rPr>
              <w:t xml:space="preserve">Identify the report as an </w:t>
            </w:r>
            <w:r w:rsidR="00E06102" w:rsidRPr="002C21B8">
              <w:rPr>
                <w:sz w:val="18"/>
                <w:szCs w:val="18"/>
              </w:rPr>
              <w:t>overview of systematic reviews</w:t>
            </w:r>
            <w:r w:rsidRPr="002C21B8">
              <w:rPr>
                <w:sz w:val="18"/>
                <w:szCs w:val="18"/>
              </w:rPr>
              <w:t>.</w:t>
            </w:r>
          </w:p>
        </w:tc>
        <w:tc>
          <w:tcPr>
            <w:tcW w:w="1843" w:type="dxa"/>
          </w:tcPr>
          <w:p w14:paraId="5C552748" w14:textId="074B5F77" w:rsidR="002D7023" w:rsidRPr="002C21B8" w:rsidRDefault="005E7C94" w:rsidP="005E7C94">
            <w:pPr>
              <w:spacing w:after="0" w:line="240" w:lineRule="auto"/>
              <w:jc w:val="left"/>
              <w:rPr>
                <w:sz w:val="18"/>
                <w:szCs w:val="18"/>
              </w:rPr>
            </w:pPr>
            <w:r w:rsidRPr="002C21B8">
              <w:rPr>
                <w:sz w:val="18"/>
                <w:szCs w:val="18"/>
              </w:rPr>
              <w:t>Title page</w:t>
            </w:r>
          </w:p>
        </w:tc>
      </w:tr>
      <w:tr w:rsidR="002D7023" w:rsidRPr="002C21B8" w14:paraId="25E29487" w14:textId="77777777" w:rsidTr="00B7125A">
        <w:tc>
          <w:tcPr>
            <w:tcW w:w="9209" w:type="dxa"/>
            <w:gridSpan w:val="4"/>
          </w:tcPr>
          <w:p w14:paraId="6AE9C976" w14:textId="77777777" w:rsidR="002D7023" w:rsidRPr="002C21B8" w:rsidRDefault="002D7023" w:rsidP="005E7C94">
            <w:pPr>
              <w:spacing w:after="0" w:line="240" w:lineRule="auto"/>
              <w:jc w:val="left"/>
              <w:rPr>
                <w:b/>
                <w:bCs/>
                <w:sz w:val="18"/>
                <w:szCs w:val="18"/>
              </w:rPr>
            </w:pPr>
            <w:r w:rsidRPr="002C21B8">
              <w:rPr>
                <w:b/>
                <w:bCs/>
                <w:sz w:val="18"/>
                <w:szCs w:val="18"/>
              </w:rPr>
              <w:t>ABSTRACT</w:t>
            </w:r>
          </w:p>
        </w:tc>
      </w:tr>
      <w:tr w:rsidR="002D7023" w:rsidRPr="002C21B8" w14:paraId="54B1C13A" w14:textId="77777777" w:rsidTr="00B7125A">
        <w:tc>
          <w:tcPr>
            <w:tcW w:w="1838" w:type="dxa"/>
          </w:tcPr>
          <w:p w14:paraId="0068BEA9" w14:textId="77777777" w:rsidR="002D7023" w:rsidRPr="002C21B8" w:rsidRDefault="002D7023" w:rsidP="005E7C94">
            <w:pPr>
              <w:spacing w:after="0" w:line="240" w:lineRule="auto"/>
              <w:jc w:val="left"/>
              <w:rPr>
                <w:sz w:val="18"/>
                <w:szCs w:val="18"/>
              </w:rPr>
            </w:pPr>
            <w:r w:rsidRPr="002C21B8">
              <w:rPr>
                <w:sz w:val="18"/>
                <w:szCs w:val="18"/>
              </w:rPr>
              <w:t>Abstract</w:t>
            </w:r>
          </w:p>
        </w:tc>
        <w:tc>
          <w:tcPr>
            <w:tcW w:w="665" w:type="dxa"/>
          </w:tcPr>
          <w:p w14:paraId="4D671509" w14:textId="77777777" w:rsidR="002D7023" w:rsidRPr="002C21B8" w:rsidRDefault="002D7023" w:rsidP="00C462E8">
            <w:pPr>
              <w:spacing w:after="0" w:line="240" w:lineRule="auto"/>
              <w:rPr>
                <w:sz w:val="18"/>
                <w:szCs w:val="18"/>
              </w:rPr>
            </w:pPr>
            <w:r w:rsidRPr="002C21B8">
              <w:rPr>
                <w:sz w:val="18"/>
                <w:szCs w:val="18"/>
              </w:rPr>
              <w:t>2</w:t>
            </w:r>
          </w:p>
        </w:tc>
        <w:tc>
          <w:tcPr>
            <w:tcW w:w="4863" w:type="dxa"/>
          </w:tcPr>
          <w:p w14:paraId="069EEA98" w14:textId="1DB1BD98" w:rsidR="002D7023" w:rsidRPr="002C21B8" w:rsidRDefault="002D7023" w:rsidP="00C462E8">
            <w:pPr>
              <w:spacing w:after="0" w:line="240" w:lineRule="auto"/>
              <w:rPr>
                <w:sz w:val="18"/>
                <w:szCs w:val="18"/>
              </w:rPr>
            </w:pPr>
            <w:r w:rsidRPr="002C21B8">
              <w:rPr>
                <w:sz w:val="18"/>
                <w:szCs w:val="18"/>
              </w:rPr>
              <w:t xml:space="preserve">Provide a comprehensive and accurate summary of the purpose, methods, and the results of the </w:t>
            </w:r>
            <w:r w:rsidR="00E06102" w:rsidRPr="002C21B8">
              <w:rPr>
                <w:sz w:val="18"/>
                <w:szCs w:val="18"/>
              </w:rPr>
              <w:t>overview of systematic reviews</w:t>
            </w:r>
            <w:r w:rsidRPr="002C21B8">
              <w:rPr>
                <w:sz w:val="18"/>
                <w:szCs w:val="18"/>
              </w:rPr>
              <w:t>.</w:t>
            </w:r>
          </w:p>
        </w:tc>
        <w:tc>
          <w:tcPr>
            <w:tcW w:w="1843" w:type="dxa"/>
          </w:tcPr>
          <w:p w14:paraId="199A6F6F" w14:textId="4D0F789E" w:rsidR="002D7023" w:rsidRPr="002C21B8" w:rsidRDefault="005E7C94" w:rsidP="005E7C94">
            <w:pPr>
              <w:spacing w:after="0" w:line="240" w:lineRule="auto"/>
              <w:jc w:val="left"/>
              <w:rPr>
                <w:sz w:val="18"/>
                <w:szCs w:val="18"/>
              </w:rPr>
            </w:pPr>
            <w:r w:rsidRPr="002C21B8">
              <w:rPr>
                <w:sz w:val="18"/>
                <w:szCs w:val="18"/>
              </w:rPr>
              <w:t>Abstract</w:t>
            </w:r>
          </w:p>
        </w:tc>
      </w:tr>
      <w:tr w:rsidR="002D7023" w:rsidRPr="002C21B8" w14:paraId="5E8F472F" w14:textId="77777777" w:rsidTr="00B7125A">
        <w:tc>
          <w:tcPr>
            <w:tcW w:w="9209" w:type="dxa"/>
            <w:gridSpan w:val="4"/>
          </w:tcPr>
          <w:p w14:paraId="424EA7FC" w14:textId="77777777" w:rsidR="002D7023" w:rsidRPr="002C21B8" w:rsidRDefault="002D7023" w:rsidP="005E7C94">
            <w:pPr>
              <w:spacing w:after="0" w:line="240" w:lineRule="auto"/>
              <w:jc w:val="left"/>
              <w:rPr>
                <w:b/>
                <w:bCs/>
                <w:sz w:val="18"/>
                <w:szCs w:val="18"/>
              </w:rPr>
            </w:pPr>
            <w:r w:rsidRPr="002C21B8">
              <w:rPr>
                <w:b/>
                <w:bCs/>
                <w:sz w:val="18"/>
                <w:szCs w:val="18"/>
              </w:rPr>
              <w:t>INTRODUCTION</w:t>
            </w:r>
          </w:p>
        </w:tc>
      </w:tr>
      <w:tr w:rsidR="002D7023" w:rsidRPr="002C21B8" w14:paraId="71107E27" w14:textId="77777777" w:rsidTr="00B7125A">
        <w:tc>
          <w:tcPr>
            <w:tcW w:w="1838" w:type="dxa"/>
          </w:tcPr>
          <w:p w14:paraId="39AAD1B5" w14:textId="77777777" w:rsidR="002D7023" w:rsidRPr="002C21B8" w:rsidRDefault="002D7023" w:rsidP="005E7C94">
            <w:pPr>
              <w:spacing w:after="0" w:line="240" w:lineRule="auto"/>
              <w:jc w:val="left"/>
              <w:rPr>
                <w:sz w:val="18"/>
                <w:szCs w:val="18"/>
              </w:rPr>
            </w:pPr>
            <w:r w:rsidRPr="002C21B8">
              <w:rPr>
                <w:sz w:val="18"/>
                <w:szCs w:val="18"/>
              </w:rPr>
              <w:t>Rationale</w:t>
            </w:r>
          </w:p>
        </w:tc>
        <w:tc>
          <w:tcPr>
            <w:tcW w:w="665" w:type="dxa"/>
          </w:tcPr>
          <w:p w14:paraId="693BDB5A" w14:textId="77777777" w:rsidR="002D7023" w:rsidRPr="002C21B8" w:rsidRDefault="002D7023" w:rsidP="00C462E8">
            <w:pPr>
              <w:spacing w:after="0" w:line="240" w:lineRule="auto"/>
              <w:rPr>
                <w:sz w:val="18"/>
                <w:szCs w:val="18"/>
              </w:rPr>
            </w:pPr>
            <w:r w:rsidRPr="002C21B8">
              <w:rPr>
                <w:sz w:val="18"/>
                <w:szCs w:val="18"/>
              </w:rPr>
              <w:t>3</w:t>
            </w:r>
          </w:p>
        </w:tc>
        <w:tc>
          <w:tcPr>
            <w:tcW w:w="4863" w:type="dxa"/>
          </w:tcPr>
          <w:p w14:paraId="385AFA4A" w14:textId="4B0309E2" w:rsidR="002D7023" w:rsidRPr="002C21B8" w:rsidRDefault="002D7023" w:rsidP="00C462E8">
            <w:pPr>
              <w:spacing w:after="0" w:line="240" w:lineRule="auto"/>
              <w:rPr>
                <w:sz w:val="18"/>
                <w:szCs w:val="18"/>
              </w:rPr>
            </w:pPr>
            <w:r w:rsidRPr="002C21B8">
              <w:rPr>
                <w:sz w:val="18"/>
                <w:szCs w:val="18"/>
              </w:rPr>
              <w:t xml:space="preserve">Describe the rationale for conducting the </w:t>
            </w:r>
            <w:r w:rsidR="00E06102" w:rsidRPr="002C21B8">
              <w:rPr>
                <w:sz w:val="18"/>
                <w:szCs w:val="18"/>
              </w:rPr>
              <w:t>overview of systematic reviews</w:t>
            </w:r>
            <w:r w:rsidRPr="002C21B8">
              <w:rPr>
                <w:sz w:val="18"/>
                <w:szCs w:val="18"/>
              </w:rPr>
              <w:t xml:space="preserve"> in the context of existing knowledge.</w:t>
            </w:r>
          </w:p>
        </w:tc>
        <w:tc>
          <w:tcPr>
            <w:tcW w:w="1843" w:type="dxa"/>
          </w:tcPr>
          <w:p w14:paraId="1540C69F" w14:textId="0BA614E6" w:rsidR="002D7023" w:rsidRPr="002C21B8" w:rsidRDefault="005E7C94" w:rsidP="005E7C94">
            <w:pPr>
              <w:spacing w:after="0" w:line="240" w:lineRule="auto"/>
              <w:jc w:val="left"/>
              <w:rPr>
                <w:sz w:val="18"/>
                <w:szCs w:val="18"/>
              </w:rPr>
            </w:pPr>
            <w:r w:rsidRPr="002C21B8">
              <w:rPr>
                <w:sz w:val="18"/>
                <w:szCs w:val="18"/>
              </w:rPr>
              <w:t>Background - paragraph 2</w:t>
            </w:r>
          </w:p>
        </w:tc>
      </w:tr>
      <w:tr w:rsidR="002D7023" w:rsidRPr="002C21B8" w14:paraId="76FCB49E" w14:textId="77777777" w:rsidTr="00B7125A">
        <w:tc>
          <w:tcPr>
            <w:tcW w:w="1838" w:type="dxa"/>
          </w:tcPr>
          <w:p w14:paraId="20C48772" w14:textId="77777777" w:rsidR="002D7023" w:rsidRPr="002C21B8" w:rsidRDefault="002D7023" w:rsidP="005E7C94">
            <w:pPr>
              <w:spacing w:after="0" w:line="240" w:lineRule="auto"/>
              <w:jc w:val="left"/>
              <w:rPr>
                <w:sz w:val="18"/>
                <w:szCs w:val="18"/>
              </w:rPr>
            </w:pPr>
            <w:r w:rsidRPr="002C21B8">
              <w:rPr>
                <w:sz w:val="18"/>
                <w:szCs w:val="18"/>
              </w:rPr>
              <w:t>Objectives</w:t>
            </w:r>
          </w:p>
        </w:tc>
        <w:tc>
          <w:tcPr>
            <w:tcW w:w="665" w:type="dxa"/>
          </w:tcPr>
          <w:p w14:paraId="2E8CDBD5" w14:textId="77777777" w:rsidR="002D7023" w:rsidRPr="002C21B8" w:rsidRDefault="002D7023" w:rsidP="00C462E8">
            <w:pPr>
              <w:spacing w:after="0" w:line="240" w:lineRule="auto"/>
              <w:rPr>
                <w:sz w:val="18"/>
                <w:szCs w:val="18"/>
              </w:rPr>
            </w:pPr>
            <w:r w:rsidRPr="002C21B8">
              <w:rPr>
                <w:sz w:val="18"/>
                <w:szCs w:val="18"/>
              </w:rPr>
              <w:t>4</w:t>
            </w:r>
          </w:p>
        </w:tc>
        <w:tc>
          <w:tcPr>
            <w:tcW w:w="4863" w:type="dxa"/>
          </w:tcPr>
          <w:p w14:paraId="6CDA55CA" w14:textId="43BF4235" w:rsidR="002D7023" w:rsidRPr="002C21B8" w:rsidRDefault="002D7023" w:rsidP="00C462E8">
            <w:pPr>
              <w:spacing w:after="0" w:line="240" w:lineRule="auto"/>
              <w:rPr>
                <w:sz w:val="18"/>
                <w:szCs w:val="18"/>
              </w:rPr>
            </w:pPr>
            <w:r w:rsidRPr="002C21B8">
              <w:rPr>
                <w:sz w:val="18"/>
                <w:szCs w:val="18"/>
              </w:rPr>
              <w:t xml:space="preserve">Provide an explicit statement of the objective(s) or question(s) addressed by the </w:t>
            </w:r>
            <w:r w:rsidR="00E06102" w:rsidRPr="002C21B8">
              <w:rPr>
                <w:sz w:val="18"/>
                <w:szCs w:val="18"/>
              </w:rPr>
              <w:t>overview of systematic reviews</w:t>
            </w:r>
            <w:r w:rsidRPr="002C21B8">
              <w:rPr>
                <w:sz w:val="18"/>
                <w:szCs w:val="18"/>
              </w:rPr>
              <w:t>.</w:t>
            </w:r>
          </w:p>
        </w:tc>
        <w:tc>
          <w:tcPr>
            <w:tcW w:w="1843" w:type="dxa"/>
          </w:tcPr>
          <w:p w14:paraId="0F1A174E" w14:textId="14BBA754" w:rsidR="002D7023" w:rsidRPr="002C21B8" w:rsidRDefault="005E7C94" w:rsidP="005E7C94">
            <w:pPr>
              <w:spacing w:after="0" w:line="240" w:lineRule="auto"/>
              <w:jc w:val="left"/>
              <w:rPr>
                <w:sz w:val="18"/>
                <w:szCs w:val="18"/>
              </w:rPr>
            </w:pPr>
            <w:r w:rsidRPr="002C21B8">
              <w:rPr>
                <w:sz w:val="18"/>
                <w:szCs w:val="18"/>
              </w:rPr>
              <w:t>Methods - scope</w:t>
            </w:r>
          </w:p>
        </w:tc>
      </w:tr>
      <w:tr w:rsidR="002D7023" w:rsidRPr="002C21B8" w14:paraId="32EDAD0F" w14:textId="77777777" w:rsidTr="00B7125A">
        <w:tc>
          <w:tcPr>
            <w:tcW w:w="9209" w:type="dxa"/>
            <w:gridSpan w:val="4"/>
          </w:tcPr>
          <w:p w14:paraId="57AA14D2" w14:textId="77777777" w:rsidR="002D7023" w:rsidRPr="002C21B8" w:rsidRDefault="002D7023" w:rsidP="005E7C94">
            <w:pPr>
              <w:spacing w:after="0" w:line="240" w:lineRule="auto"/>
              <w:jc w:val="left"/>
              <w:rPr>
                <w:b/>
                <w:bCs/>
                <w:sz w:val="18"/>
                <w:szCs w:val="18"/>
              </w:rPr>
            </w:pPr>
            <w:r w:rsidRPr="002C21B8">
              <w:rPr>
                <w:b/>
                <w:bCs/>
                <w:sz w:val="18"/>
                <w:szCs w:val="18"/>
              </w:rPr>
              <w:t>METHODS</w:t>
            </w:r>
          </w:p>
        </w:tc>
      </w:tr>
      <w:tr w:rsidR="002D7023" w:rsidRPr="002C21B8" w14:paraId="733A26EC" w14:textId="77777777" w:rsidTr="00B7125A">
        <w:tc>
          <w:tcPr>
            <w:tcW w:w="1838" w:type="dxa"/>
            <w:vMerge w:val="restart"/>
          </w:tcPr>
          <w:p w14:paraId="6314DA16" w14:textId="77777777" w:rsidR="002D7023" w:rsidRPr="002C21B8" w:rsidRDefault="002D7023" w:rsidP="005E7C94">
            <w:pPr>
              <w:spacing w:after="0" w:line="240" w:lineRule="auto"/>
              <w:jc w:val="left"/>
              <w:rPr>
                <w:sz w:val="18"/>
                <w:szCs w:val="18"/>
              </w:rPr>
            </w:pPr>
            <w:r w:rsidRPr="002C21B8">
              <w:rPr>
                <w:sz w:val="18"/>
                <w:szCs w:val="18"/>
              </w:rPr>
              <w:t>Eligibility criteria</w:t>
            </w:r>
          </w:p>
        </w:tc>
        <w:tc>
          <w:tcPr>
            <w:tcW w:w="665" w:type="dxa"/>
          </w:tcPr>
          <w:p w14:paraId="31FF5C54" w14:textId="77777777" w:rsidR="002D7023" w:rsidRPr="002C21B8" w:rsidRDefault="002D7023" w:rsidP="00C462E8">
            <w:pPr>
              <w:spacing w:after="0" w:line="240" w:lineRule="auto"/>
              <w:rPr>
                <w:sz w:val="18"/>
                <w:szCs w:val="18"/>
              </w:rPr>
            </w:pPr>
            <w:r w:rsidRPr="002C21B8">
              <w:rPr>
                <w:sz w:val="18"/>
                <w:szCs w:val="18"/>
              </w:rPr>
              <w:t>5a</w:t>
            </w:r>
          </w:p>
        </w:tc>
        <w:tc>
          <w:tcPr>
            <w:tcW w:w="4863" w:type="dxa"/>
          </w:tcPr>
          <w:p w14:paraId="2C85D04B" w14:textId="296E895C" w:rsidR="002D7023" w:rsidRPr="002C21B8" w:rsidRDefault="002D7023" w:rsidP="00C462E8">
            <w:pPr>
              <w:spacing w:after="0" w:line="240" w:lineRule="auto"/>
              <w:rPr>
                <w:sz w:val="18"/>
                <w:szCs w:val="18"/>
              </w:rPr>
            </w:pPr>
            <w:r w:rsidRPr="002C21B8">
              <w:rPr>
                <w:sz w:val="18"/>
                <w:szCs w:val="18"/>
              </w:rPr>
              <w:t xml:space="preserve">Specify the inclusion and exclusion criteria for the </w:t>
            </w:r>
            <w:r w:rsidR="00E06102" w:rsidRPr="002C21B8">
              <w:rPr>
                <w:sz w:val="18"/>
                <w:szCs w:val="18"/>
              </w:rPr>
              <w:t>overview of systematic reviews</w:t>
            </w:r>
            <w:r w:rsidRPr="002C21B8">
              <w:rPr>
                <w:sz w:val="18"/>
                <w:szCs w:val="18"/>
              </w:rPr>
              <w:t>. If supplemental primary studies were included, this should be stated, with a rationale.</w:t>
            </w:r>
          </w:p>
        </w:tc>
        <w:tc>
          <w:tcPr>
            <w:tcW w:w="1843" w:type="dxa"/>
          </w:tcPr>
          <w:p w14:paraId="2494958E" w14:textId="62F511B4" w:rsidR="002D7023" w:rsidRPr="002C21B8" w:rsidRDefault="005E7C94" w:rsidP="005E7C94">
            <w:pPr>
              <w:spacing w:after="0" w:line="240" w:lineRule="auto"/>
              <w:jc w:val="left"/>
              <w:rPr>
                <w:sz w:val="18"/>
                <w:szCs w:val="18"/>
              </w:rPr>
            </w:pPr>
            <w:r w:rsidRPr="002C21B8">
              <w:rPr>
                <w:sz w:val="18"/>
                <w:szCs w:val="18"/>
              </w:rPr>
              <w:t>Methods - eligibility criteria</w:t>
            </w:r>
          </w:p>
        </w:tc>
      </w:tr>
      <w:tr w:rsidR="002D7023" w:rsidRPr="002C21B8" w14:paraId="5EDBE574" w14:textId="77777777" w:rsidTr="00B7125A">
        <w:tc>
          <w:tcPr>
            <w:tcW w:w="1838" w:type="dxa"/>
            <w:vMerge/>
          </w:tcPr>
          <w:p w14:paraId="18F430BC" w14:textId="77777777" w:rsidR="002D7023" w:rsidRPr="002C21B8" w:rsidRDefault="002D7023" w:rsidP="005E7C94">
            <w:pPr>
              <w:spacing w:after="0" w:line="240" w:lineRule="auto"/>
              <w:jc w:val="left"/>
              <w:rPr>
                <w:sz w:val="18"/>
                <w:szCs w:val="18"/>
              </w:rPr>
            </w:pPr>
          </w:p>
        </w:tc>
        <w:tc>
          <w:tcPr>
            <w:tcW w:w="665" w:type="dxa"/>
          </w:tcPr>
          <w:p w14:paraId="6AFE5FA8" w14:textId="77777777" w:rsidR="002D7023" w:rsidRPr="002C21B8" w:rsidRDefault="002D7023" w:rsidP="00C462E8">
            <w:pPr>
              <w:spacing w:after="0" w:line="240" w:lineRule="auto"/>
              <w:rPr>
                <w:sz w:val="18"/>
                <w:szCs w:val="18"/>
              </w:rPr>
            </w:pPr>
            <w:r w:rsidRPr="002C21B8">
              <w:rPr>
                <w:sz w:val="18"/>
                <w:szCs w:val="18"/>
              </w:rPr>
              <w:t>5b</w:t>
            </w:r>
          </w:p>
        </w:tc>
        <w:tc>
          <w:tcPr>
            <w:tcW w:w="4863" w:type="dxa"/>
          </w:tcPr>
          <w:p w14:paraId="3BA8952F" w14:textId="3F88FF2C" w:rsidR="002D7023" w:rsidRPr="002C21B8" w:rsidRDefault="002D7023" w:rsidP="00C462E8">
            <w:pPr>
              <w:spacing w:after="0" w:line="240" w:lineRule="auto"/>
              <w:rPr>
                <w:sz w:val="18"/>
                <w:szCs w:val="18"/>
              </w:rPr>
            </w:pPr>
            <w:r w:rsidRPr="002C21B8">
              <w:rPr>
                <w:sz w:val="18"/>
                <w:szCs w:val="18"/>
              </w:rPr>
              <w:t xml:space="preserve">Specify the definition of “systematic review” as used in the inclusion criteria for the </w:t>
            </w:r>
            <w:r w:rsidR="00E06102" w:rsidRPr="002C21B8">
              <w:rPr>
                <w:sz w:val="18"/>
                <w:szCs w:val="18"/>
              </w:rPr>
              <w:t>overview of systematic reviews</w:t>
            </w:r>
            <w:r w:rsidRPr="002C21B8">
              <w:rPr>
                <w:sz w:val="18"/>
                <w:szCs w:val="18"/>
              </w:rPr>
              <w:t>.</w:t>
            </w:r>
          </w:p>
        </w:tc>
        <w:tc>
          <w:tcPr>
            <w:tcW w:w="1843" w:type="dxa"/>
          </w:tcPr>
          <w:p w14:paraId="4D700E28" w14:textId="34075CD9" w:rsidR="002D7023" w:rsidRPr="002C21B8" w:rsidRDefault="005E7C94" w:rsidP="005E7C94">
            <w:pPr>
              <w:spacing w:after="0" w:line="240" w:lineRule="auto"/>
              <w:jc w:val="left"/>
              <w:rPr>
                <w:sz w:val="18"/>
                <w:szCs w:val="18"/>
              </w:rPr>
            </w:pPr>
            <w:r w:rsidRPr="002C21B8">
              <w:rPr>
                <w:sz w:val="18"/>
                <w:szCs w:val="18"/>
              </w:rPr>
              <w:t>Methods - eligibility criteria</w:t>
            </w:r>
          </w:p>
        </w:tc>
      </w:tr>
      <w:tr w:rsidR="002D7023" w:rsidRPr="002C21B8" w14:paraId="2E0E4D17" w14:textId="77777777" w:rsidTr="00B7125A">
        <w:tc>
          <w:tcPr>
            <w:tcW w:w="1838" w:type="dxa"/>
          </w:tcPr>
          <w:p w14:paraId="34FE7393" w14:textId="77777777" w:rsidR="002D7023" w:rsidRPr="002C21B8" w:rsidRDefault="002D7023" w:rsidP="005E7C94">
            <w:pPr>
              <w:spacing w:after="0" w:line="240" w:lineRule="auto"/>
              <w:jc w:val="left"/>
              <w:rPr>
                <w:sz w:val="18"/>
                <w:szCs w:val="18"/>
              </w:rPr>
            </w:pPr>
            <w:r w:rsidRPr="002C21B8">
              <w:rPr>
                <w:sz w:val="18"/>
                <w:szCs w:val="18"/>
              </w:rPr>
              <w:t>Information sources</w:t>
            </w:r>
          </w:p>
        </w:tc>
        <w:tc>
          <w:tcPr>
            <w:tcW w:w="665" w:type="dxa"/>
          </w:tcPr>
          <w:p w14:paraId="20A49F7A" w14:textId="77777777" w:rsidR="002D7023" w:rsidRPr="002C21B8" w:rsidRDefault="002D7023" w:rsidP="00C462E8">
            <w:pPr>
              <w:spacing w:after="0" w:line="240" w:lineRule="auto"/>
              <w:rPr>
                <w:sz w:val="18"/>
                <w:szCs w:val="18"/>
              </w:rPr>
            </w:pPr>
            <w:r w:rsidRPr="002C21B8">
              <w:rPr>
                <w:sz w:val="18"/>
                <w:szCs w:val="18"/>
              </w:rPr>
              <w:t>6</w:t>
            </w:r>
          </w:p>
        </w:tc>
        <w:tc>
          <w:tcPr>
            <w:tcW w:w="4863" w:type="dxa"/>
          </w:tcPr>
          <w:p w14:paraId="6686D353" w14:textId="38A1B147" w:rsidR="002D7023" w:rsidRPr="002C21B8" w:rsidRDefault="002D7023" w:rsidP="00C462E8">
            <w:pPr>
              <w:spacing w:after="0" w:line="240" w:lineRule="auto"/>
              <w:rPr>
                <w:sz w:val="18"/>
                <w:szCs w:val="18"/>
              </w:rPr>
            </w:pPr>
            <w:r w:rsidRPr="002C21B8">
              <w:rPr>
                <w:sz w:val="18"/>
                <w:szCs w:val="18"/>
              </w:rPr>
              <w:t>Specify all databases, registers, websites, organisations, reference lists and other sources search</w:t>
            </w:r>
            <w:r w:rsidR="005565F6" w:rsidRPr="002C21B8">
              <w:rPr>
                <w:sz w:val="18"/>
                <w:szCs w:val="18"/>
              </w:rPr>
              <w:t>ed</w:t>
            </w:r>
            <w:r w:rsidRPr="002C21B8">
              <w:rPr>
                <w:sz w:val="18"/>
                <w:szCs w:val="18"/>
              </w:rPr>
              <w:t xml:space="preserve"> or consulted to identify systematic reviews and supplementary primary studies (if included). Specify the date when each source was last searched or consulted.</w:t>
            </w:r>
          </w:p>
        </w:tc>
        <w:tc>
          <w:tcPr>
            <w:tcW w:w="1843" w:type="dxa"/>
          </w:tcPr>
          <w:p w14:paraId="5D660658" w14:textId="32BC0307" w:rsidR="002D7023" w:rsidRPr="002C21B8" w:rsidRDefault="005E7C94" w:rsidP="005E7C94">
            <w:pPr>
              <w:spacing w:after="0" w:line="240" w:lineRule="auto"/>
              <w:jc w:val="left"/>
              <w:rPr>
                <w:sz w:val="18"/>
                <w:szCs w:val="18"/>
              </w:rPr>
            </w:pPr>
            <w:r w:rsidRPr="002C21B8">
              <w:rPr>
                <w:sz w:val="18"/>
                <w:szCs w:val="18"/>
              </w:rPr>
              <w:t>Methods - search strategy</w:t>
            </w:r>
          </w:p>
        </w:tc>
      </w:tr>
      <w:tr w:rsidR="002D7023" w:rsidRPr="002C21B8" w14:paraId="2EEC5DF7" w14:textId="77777777" w:rsidTr="00B7125A">
        <w:tc>
          <w:tcPr>
            <w:tcW w:w="1838" w:type="dxa"/>
          </w:tcPr>
          <w:p w14:paraId="75B02D24" w14:textId="77777777" w:rsidR="002D7023" w:rsidRPr="002C21B8" w:rsidRDefault="002D7023" w:rsidP="005E7C94">
            <w:pPr>
              <w:spacing w:after="0" w:line="240" w:lineRule="auto"/>
              <w:jc w:val="left"/>
              <w:rPr>
                <w:sz w:val="18"/>
                <w:szCs w:val="18"/>
              </w:rPr>
            </w:pPr>
            <w:r w:rsidRPr="002C21B8">
              <w:rPr>
                <w:sz w:val="18"/>
                <w:szCs w:val="18"/>
              </w:rPr>
              <w:t>Search strategy</w:t>
            </w:r>
          </w:p>
        </w:tc>
        <w:tc>
          <w:tcPr>
            <w:tcW w:w="665" w:type="dxa"/>
          </w:tcPr>
          <w:p w14:paraId="02C0AA5B" w14:textId="77777777" w:rsidR="002D7023" w:rsidRPr="002C21B8" w:rsidRDefault="002D7023" w:rsidP="00C462E8">
            <w:pPr>
              <w:spacing w:after="0" w:line="240" w:lineRule="auto"/>
              <w:rPr>
                <w:sz w:val="18"/>
                <w:szCs w:val="18"/>
              </w:rPr>
            </w:pPr>
            <w:r w:rsidRPr="002C21B8">
              <w:rPr>
                <w:sz w:val="18"/>
                <w:szCs w:val="18"/>
              </w:rPr>
              <w:t>7</w:t>
            </w:r>
          </w:p>
        </w:tc>
        <w:tc>
          <w:tcPr>
            <w:tcW w:w="4863" w:type="dxa"/>
          </w:tcPr>
          <w:p w14:paraId="3454044E" w14:textId="77777777" w:rsidR="002D7023" w:rsidRPr="002C21B8" w:rsidRDefault="002D7023" w:rsidP="00C462E8">
            <w:pPr>
              <w:spacing w:after="0" w:line="240" w:lineRule="auto"/>
              <w:rPr>
                <w:sz w:val="18"/>
                <w:szCs w:val="18"/>
              </w:rPr>
            </w:pPr>
            <w:r w:rsidRPr="002C21B8">
              <w:rPr>
                <w:sz w:val="18"/>
                <w:szCs w:val="18"/>
              </w:rPr>
              <w:t>Present the full search strategies for all databases, registers and websites, such that they could be reproduced. Describe any search filters and limits applied.</w:t>
            </w:r>
          </w:p>
        </w:tc>
        <w:tc>
          <w:tcPr>
            <w:tcW w:w="1843" w:type="dxa"/>
          </w:tcPr>
          <w:p w14:paraId="1635F45D" w14:textId="114EC153" w:rsidR="002D7023" w:rsidRPr="002C21B8" w:rsidRDefault="005E7C94" w:rsidP="005E7C94">
            <w:pPr>
              <w:spacing w:after="0" w:line="240" w:lineRule="auto"/>
              <w:jc w:val="left"/>
              <w:rPr>
                <w:sz w:val="18"/>
                <w:szCs w:val="18"/>
              </w:rPr>
            </w:pPr>
            <w:r w:rsidRPr="002C21B8">
              <w:rPr>
                <w:sz w:val="18"/>
                <w:szCs w:val="18"/>
              </w:rPr>
              <w:t>Appendix 3</w:t>
            </w:r>
          </w:p>
        </w:tc>
      </w:tr>
      <w:tr w:rsidR="002D7023" w:rsidRPr="002C21B8" w14:paraId="760252AE" w14:textId="77777777" w:rsidTr="00B7125A">
        <w:tc>
          <w:tcPr>
            <w:tcW w:w="1838" w:type="dxa"/>
            <w:vMerge w:val="restart"/>
          </w:tcPr>
          <w:p w14:paraId="3CDD9FD4" w14:textId="77777777" w:rsidR="002D7023" w:rsidRPr="002C21B8" w:rsidRDefault="002D7023" w:rsidP="005E7C94">
            <w:pPr>
              <w:spacing w:after="0" w:line="240" w:lineRule="auto"/>
              <w:jc w:val="left"/>
              <w:rPr>
                <w:sz w:val="18"/>
                <w:szCs w:val="18"/>
              </w:rPr>
            </w:pPr>
            <w:r w:rsidRPr="002C21B8">
              <w:rPr>
                <w:sz w:val="18"/>
                <w:szCs w:val="18"/>
              </w:rPr>
              <w:t>Selection process</w:t>
            </w:r>
          </w:p>
        </w:tc>
        <w:tc>
          <w:tcPr>
            <w:tcW w:w="665" w:type="dxa"/>
          </w:tcPr>
          <w:p w14:paraId="1D494C5A" w14:textId="77777777" w:rsidR="002D7023" w:rsidRPr="002C21B8" w:rsidRDefault="002D7023" w:rsidP="00C462E8">
            <w:pPr>
              <w:spacing w:after="0" w:line="240" w:lineRule="auto"/>
              <w:rPr>
                <w:sz w:val="18"/>
                <w:szCs w:val="18"/>
              </w:rPr>
            </w:pPr>
            <w:r w:rsidRPr="002C21B8">
              <w:rPr>
                <w:sz w:val="18"/>
                <w:szCs w:val="18"/>
              </w:rPr>
              <w:t>8a</w:t>
            </w:r>
          </w:p>
        </w:tc>
        <w:tc>
          <w:tcPr>
            <w:tcW w:w="4863" w:type="dxa"/>
          </w:tcPr>
          <w:p w14:paraId="2002E559" w14:textId="193AD255" w:rsidR="002D7023" w:rsidRPr="002C21B8" w:rsidRDefault="002D7023" w:rsidP="00C462E8">
            <w:pPr>
              <w:spacing w:after="0" w:line="240" w:lineRule="auto"/>
              <w:rPr>
                <w:sz w:val="18"/>
                <w:szCs w:val="18"/>
              </w:rPr>
            </w:pPr>
            <w:r w:rsidRPr="002C21B8">
              <w:rPr>
                <w:sz w:val="18"/>
                <w:szCs w:val="18"/>
              </w:rPr>
              <w:t xml:space="preserve">Describe the methods used to decide whether a systematic review or supplemental primary study (if included) met the inclusion criteria of the </w:t>
            </w:r>
            <w:r w:rsidR="00E06102" w:rsidRPr="002C21B8">
              <w:rPr>
                <w:sz w:val="18"/>
                <w:szCs w:val="18"/>
              </w:rPr>
              <w:t>overview of systematic reviews</w:t>
            </w:r>
            <w:r w:rsidRPr="002C21B8">
              <w:rPr>
                <w:sz w:val="18"/>
                <w:szCs w:val="18"/>
              </w:rPr>
              <w:t>.</w:t>
            </w:r>
          </w:p>
        </w:tc>
        <w:tc>
          <w:tcPr>
            <w:tcW w:w="1843" w:type="dxa"/>
          </w:tcPr>
          <w:p w14:paraId="2A255A34" w14:textId="4B63998D" w:rsidR="002D7023" w:rsidRPr="002C21B8" w:rsidRDefault="005E7C94" w:rsidP="005E7C94">
            <w:pPr>
              <w:spacing w:after="0" w:line="240" w:lineRule="auto"/>
              <w:jc w:val="left"/>
              <w:rPr>
                <w:sz w:val="18"/>
                <w:szCs w:val="18"/>
              </w:rPr>
            </w:pPr>
            <w:r w:rsidRPr="002C21B8">
              <w:rPr>
                <w:sz w:val="18"/>
                <w:szCs w:val="18"/>
              </w:rPr>
              <w:t>Methods – selection of systematic reviews</w:t>
            </w:r>
          </w:p>
        </w:tc>
      </w:tr>
      <w:tr w:rsidR="002D7023" w:rsidRPr="002C21B8" w14:paraId="7DBF772D" w14:textId="77777777" w:rsidTr="00B7125A">
        <w:tc>
          <w:tcPr>
            <w:tcW w:w="1838" w:type="dxa"/>
            <w:vMerge/>
          </w:tcPr>
          <w:p w14:paraId="522ADC97" w14:textId="77777777" w:rsidR="002D7023" w:rsidRPr="002C21B8" w:rsidRDefault="002D7023" w:rsidP="005E7C94">
            <w:pPr>
              <w:spacing w:after="0" w:line="240" w:lineRule="auto"/>
              <w:jc w:val="left"/>
              <w:rPr>
                <w:sz w:val="18"/>
                <w:szCs w:val="18"/>
              </w:rPr>
            </w:pPr>
          </w:p>
        </w:tc>
        <w:tc>
          <w:tcPr>
            <w:tcW w:w="665" w:type="dxa"/>
          </w:tcPr>
          <w:p w14:paraId="515D5E9A" w14:textId="77777777" w:rsidR="002D7023" w:rsidRPr="002C21B8" w:rsidRDefault="002D7023" w:rsidP="00C462E8">
            <w:pPr>
              <w:spacing w:after="0" w:line="240" w:lineRule="auto"/>
              <w:rPr>
                <w:sz w:val="18"/>
                <w:szCs w:val="18"/>
              </w:rPr>
            </w:pPr>
            <w:r w:rsidRPr="002C21B8">
              <w:rPr>
                <w:sz w:val="18"/>
                <w:szCs w:val="18"/>
              </w:rPr>
              <w:t>8b</w:t>
            </w:r>
          </w:p>
        </w:tc>
        <w:tc>
          <w:tcPr>
            <w:tcW w:w="4863" w:type="dxa"/>
          </w:tcPr>
          <w:p w14:paraId="06031A4F" w14:textId="77777777" w:rsidR="002D7023" w:rsidRPr="002C21B8" w:rsidRDefault="002D7023" w:rsidP="00C462E8">
            <w:pPr>
              <w:pStyle w:val="p1"/>
              <w:rPr>
                <w:sz w:val="18"/>
                <w:szCs w:val="18"/>
              </w:rPr>
            </w:pPr>
            <w:r w:rsidRPr="002C21B8">
              <w:rPr>
                <w:sz w:val="18"/>
                <w:szCs w:val="18"/>
              </w:rPr>
              <w:t>Describe how overlap in the populations, interventions, comparators, and/or outcomes of systematic reviews was identified and managed during study selection.</w:t>
            </w:r>
          </w:p>
        </w:tc>
        <w:tc>
          <w:tcPr>
            <w:tcW w:w="1843" w:type="dxa"/>
          </w:tcPr>
          <w:p w14:paraId="4014EC71" w14:textId="4F0DEDCB" w:rsidR="002D7023" w:rsidRPr="002C21B8" w:rsidRDefault="00ED01DB" w:rsidP="005E7C94">
            <w:pPr>
              <w:spacing w:after="0" w:line="240" w:lineRule="auto"/>
              <w:jc w:val="left"/>
              <w:rPr>
                <w:sz w:val="18"/>
                <w:szCs w:val="18"/>
              </w:rPr>
            </w:pPr>
            <w:r w:rsidRPr="002C21B8">
              <w:rPr>
                <w:sz w:val="18"/>
                <w:szCs w:val="18"/>
              </w:rPr>
              <w:t>Methods – data extraction</w:t>
            </w:r>
          </w:p>
        </w:tc>
      </w:tr>
      <w:tr w:rsidR="002D7023" w:rsidRPr="002C21B8" w14:paraId="666BE868" w14:textId="77777777" w:rsidTr="00B7125A">
        <w:tc>
          <w:tcPr>
            <w:tcW w:w="1838" w:type="dxa"/>
            <w:vMerge w:val="restart"/>
          </w:tcPr>
          <w:p w14:paraId="354BE82B" w14:textId="77777777" w:rsidR="002D7023" w:rsidRPr="002C21B8" w:rsidRDefault="002D7023" w:rsidP="005E7C94">
            <w:pPr>
              <w:spacing w:after="0" w:line="240" w:lineRule="auto"/>
              <w:jc w:val="left"/>
              <w:rPr>
                <w:sz w:val="18"/>
                <w:szCs w:val="18"/>
              </w:rPr>
            </w:pPr>
            <w:r w:rsidRPr="002C21B8">
              <w:rPr>
                <w:sz w:val="18"/>
                <w:szCs w:val="18"/>
              </w:rPr>
              <w:t>Data collection process</w:t>
            </w:r>
          </w:p>
        </w:tc>
        <w:tc>
          <w:tcPr>
            <w:tcW w:w="665" w:type="dxa"/>
          </w:tcPr>
          <w:p w14:paraId="3C1685F9" w14:textId="77777777" w:rsidR="002D7023" w:rsidRPr="002C21B8" w:rsidRDefault="002D7023" w:rsidP="00C462E8">
            <w:pPr>
              <w:spacing w:after="0" w:line="240" w:lineRule="auto"/>
              <w:rPr>
                <w:sz w:val="18"/>
                <w:szCs w:val="18"/>
              </w:rPr>
            </w:pPr>
            <w:r w:rsidRPr="002C21B8">
              <w:rPr>
                <w:sz w:val="18"/>
                <w:szCs w:val="18"/>
              </w:rPr>
              <w:t>9a</w:t>
            </w:r>
          </w:p>
        </w:tc>
        <w:tc>
          <w:tcPr>
            <w:tcW w:w="4863" w:type="dxa"/>
          </w:tcPr>
          <w:p w14:paraId="471E7ED1" w14:textId="77777777" w:rsidR="002D7023" w:rsidRPr="002C21B8" w:rsidRDefault="002D7023" w:rsidP="00C462E8">
            <w:pPr>
              <w:pStyle w:val="p1"/>
              <w:rPr>
                <w:sz w:val="18"/>
                <w:szCs w:val="18"/>
              </w:rPr>
            </w:pPr>
            <w:r w:rsidRPr="002C21B8">
              <w:rPr>
                <w:sz w:val="18"/>
                <w:szCs w:val="18"/>
              </w:rPr>
              <w:t>Describe the methods used to collect data from reports.</w:t>
            </w:r>
          </w:p>
        </w:tc>
        <w:tc>
          <w:tcPr>
            <w:tcW w:w="1843" w:type="dxa"/>
          </w:tcPr>
          <w:p w14:paraId="77F3FE33" w14:textId="668D37A6" w:rsidR="002D7023" w:rsidRPr="002C21B8" w:rsidRDefault="005E7C94" w:rsidP="005E7C94">
            <w:pPr>
              <w:spacing w:after="0" w:line="240" w:lineRule="auto"/>
              <w:jc w:val="left"/>
              <w:rPr>
                <w:sz w:val="18"/>
                <w:szCs w:val="18"/>
              </w:rPr>
            </w:pPr>
            <w:r w:rsidRPr="002C21B8">
              <w:rPr>
                <w:sz w:val="18"/>
                <w:szCs w:val="18"/>
              </w:rPr>
              <w:t>Methods – data extraction</w:t>
            </w:r>
          </w:p>
        </w:tc>
      </w:tr>
      <w:tr w:rsidR="002D7023" w:rsidRPr="002C21B8" w14:paraId="315D7E07" w14:textId="77777777" w:rsidTr="00B7125A">
        <w:tc>
          <w:tcPr>
            <w:tcW w:w="1838" w:type="dxa"/>
            <w:vMerge/>
          </w:tcPr>
          <w:p w14:paraId="54BFBD9D" w14:textId="77777777" w:rsidR="002D7023" w:rsidRPr="002C21B8" w:rsidRDefault="002D7023" w:rsidP="005E7C94">
            <w:pPr>
              <w:spacing w:after="0" w:line="240" w:lineRule="auto"/>
              <w:jc w:val="left"/>
              <w:rPr>
                <w:sz w:val="18"/>
                <w:szCs w:val="18"/>
              </w:rPr>
            </w:pPr>
          </w:p>
        </w:tc>
        <w:tc>
          <w:tcPr>
            <w:tcW w:w="665" w:type="dxa"/>
          </w:tcPr>
          <w:p w14:paraId="5ADA1616" w14:textId="77777777" w:rsidR="002D7023" w:rsidRPr="002C21B8" w:rsidRDefault="002D7023" w:rsidP="00C462E8">
            <w:pPr>
              <w:spacing w:after="0" w:line="240" w:lineRule="auto"/>
              <w:rPr>
                <w:sz w:val="18"/>
                <w:szCs w:val="18"/>
              </w:rPr>
            </w:pPr>
            <w:r w:rsidRPr="002C21B8">
              <w:rPr>
                <w:sz w:val="18"/>
                <w:szCs w:val="18"/>
              </w:rPr>
              <w:t>9b</w:t>
            </w:r>
          </w:p>
        </w:tc>
        <w:tc>
          <w:tcPr>
            <w:tcW w:w="4863" w:type="dxa"/>
          </w:tcPr>
          <w:p w14:paraId="7B8E32F7" w14:textId="77777777" w:rsidR="002D7023" w:rsidRPr="002C21B8" w:rsidRDefault="002D7023" w:rsidP="00C462E8">
            <w:pPr>
              <w:pStyle w:val="p1"/>
              <w:rPr>
                <w:sz w:val="18"/>
                <w:szCs w:val="18"/>
              </w:rPr>
            </w:pPr>
            <w:r w:rsidRPr="002C21B8">
              <w:rPr>
                <w:sz w:val="18"/>
                <w:szCs w:val="18"/>
              </w:rPr>
              <w:t>If applicable, describe the methods used to identify and manage primary study overlap at the level of the comparison and outcome during data collection. For each outcome, specify the method used to illustrate and/or quantify the degree of primary study overlap across systematic reviews.</w:t>
            </w:r>
          </w:p>
        </w:tc>
        <w:tc>
          <w:tcPr>
            <w:tcW w:w="1843" w:type="dxa"/>
          </w:tcPr>
          <w:p w14:paraId="194619EE" w14:textId="5EFC29E8" w:rsidR="002D7023" w:rsidRPr="002C21B8" w:rsidRDefault="00ED01DB" w:rsidP="005E7C94">
            <w:pPr>
              <w:spacing w:after="0" w:line="240" w:lineRule="auto"/>
              <w:jc w:val="left"/>
              <w:rPr>
                <w:sz w:val="18"/>
                <w:szCs w:val="18"/>
              </w:rPr>
            </w:pPr>
            <w:r w:rsidRPr="002C21B8">
              <w:rPr>
                <w:sz w:val="18"/>
                <w:szCs w:val="18"/>
              </w:rPr>
              <w:t>Methods – overlap analysis</w:t>
            </w:r>
          </w:p>
        </w:tc>
      </w:tr>
      <w:tr w:rsidR="002D7023" w:rsidRPr="002C21B8" w14:paraId="1B864B59" w14:textId="77777777" w:rsidTr="00B7125A">
        <w:tc>
          <w:tcPr>
            <w:tcW w:w="1838" w:type="dxa"/>
            <w:vMerge/>
          </w:tcPr>
          <w:p w14:paraId="6AB89FB8" w14:textId="77777777" w:rsidR="002D7023" w:rsidRPr="002C21B8" w:rsidRDefault="002D7023" w:rsidP="005E7C94">
            <w:pPr>
              <w:spacing w:after="0" w:line="240" w:lineRule="auto"/>
              <w:jc w:val="left"/>
              <w:rPr>
                <w:sz w:val="18"/>
                <w:szCs w:val="18"/>
              </w:rPr>
            </w:pPr>
          </w:p>
        </w:tc>
        <w:tc>
          <w:tcPr>
            <w:tcW w:w="665" w:type="dxa"/>
          </w:tcPr>
          <w:p w14:paraId="47D43321" w14:textId="77777777" w:rsidR="002D7023" w:rsidRPr="002C21B8" w:rsidRDefault="002D7023" w:rsidP="00C462E8">
            <w:pPr>
              <w:spacing w:after="0" w:line="240" w:lineRule="auto"/>
              <w:rPr>
                <w:sz w:val="18"/>
                <w:szCs w:val="18"/>
              </w:rPr>
            </w:pPr>
            <w:r w:rsidRPr="002C21B8">
              <w:rPr>
                <w:sz w:val="18"/>
                <w:szCs w:val="18"/>
              </w:rPr>
              <w:t>9c</w:t>
            </w:r>
          </w:p>
        </w:tc>
        <w:tc>
          <w:tcPr>
            <w:tcW w:w="4863" w:type="dxa"/>
          </w:tcPr>
          <w:p w14:paraId="32BA584C" w14:textId="77777777" w:rsidR="002D7023" w:rsidRPr="002C21B8" w:rsidRDefault="002D7023" w:rsidP="00C462E8">
            <w:pPr>
              <w:pStyle w:val="p1"/>
              <w:rPr>
                <w:sz w:val="18"/>
                <w:szCs w:val="18"/>
              </w:rPr>
            </w:pPr>
            <w:r w:rsidRPr="002C21B8">
              <w:rPr>
                <w:sz w:val="18"/>
                <w:szCs w:val="18"/>
              </w:rPr>
              <w:t>If applicable, specify the methods used to manage discrepant data across systematic reviews during data collection.</w:t>
            </w:r>
          </w:p>
        </w:tc>
        <w:tc>
          <w:tcPr>
            <w:tcW w:w="1843" w:type="dxa"/>
          </w:tcPr>
          <w:p w14:paraId="31DA373F" w14:textId="6CA588F9" w:rsidR="002D7023" w:rsidRPr="002C21B8" w:rsidRDefault="00ED01DB" w:rsidP="005E7C94">
            <w:pPr>
              <w:spacing w:after="0" w:line="240" w:lineRule="auto"/>
              <w:jc w:val="left"/>
              <w:rPr>
                <w:sz w:val="18"/>
                <w:szCs w:val="18"/>
              </w:rPr>
            </w:pPr>
            <w:r w:rsidRPr="002C21B8">
              <w:rPr>
                <w:sz w:val="18"/>
                <w:szCs w:val="18"/>
              </w:rPr>
              <w:t>NA</w:t>
            </w:r>
          </w:p>
        </w:tc>
      </w:tr>
      <w:tr w:rsidR="002D7023" w:rsidRPr="002C21B8" w14:paraId="4840B42F" w14:textId="77777777" w:rsidTr="00B7125A">
        <w:tc>
          <w:tcPr>
            <w:tcW w:w="1838" w:type="dxa"/>
          </w:tcPr>
          <w:p w14:paraId="0A05588C" w14:textId="77777777" w:rsidR="002D7023" w:rsidRPr="002C21B8" w:rsidRDefault="002D7023" w:rsidP="005E7C94">
            <w:pPr>
              <w:spacing w:after="0" w:line="240" w:lineRule="auto"/>
              <w:jc w:val="left"/>
              <w:rPr>
                <w:sz w:val="18"/>
                <w:szCs w:val="18"/>
              </w:rPr>
            </w:pPr>
            <w:r w:rsidRPr="002C21B8">
              <w:rPr>
                <w:sz w:val="18"/>
                <w:szCs w:val="18"/>
              </w:rPr>
              <w:t>Data items</w:t>
            </w:r>
          </w:p>
        </w:tc>
        <w:tc>
          <w:tcPr>
            <w:tcW w:w="665" w:type="dxa"/>
          </w:tcPr>
          <w:p w14:paraId="0A22A3B7" w14:textId="77777777" w:rsidR="002D7023" w:rsidRPr="002C21B8" w:rsidRDefault="002D7023" w:rsidP="00C462E8">
            <w:pPr>
              <w:spacing w:after="0" w:line="240" w:lineRule="auto"/>
              <w:rPr>
                <w:sz w:val="18"/>
                <w:szCs w:val="18"/>
              </w:rPr>
            </w:pPr>
            <w:r w:rsidRPr="002C21B8">
              <w:rPr>
                <w:sz w:val="18"/>
                <w:szCs w:val="18"/>
              </w:rPr>
              <w:t>10</w:t>
            </w:r>
          </w:p>
        </w:tc>
        <w:tc>
          <w:tcPr>
            <w:tcW w:w="4863" w:type="dxa"/>
          </w:tcPr>
          <w:p w14:paraId="6DEF6770" w14:textId="360AE1FE" w:rsidR="002D7023" w:rsidRPr="002C21B8" w:rsidRDefault="002D7023" w:rsidP="00C462E8">
            <w:pPr>
              <w:pStyle w:val="p1"/>
              <w:rPr>
                <w:sz w:val="18"/>
                <w:szCs w:val="18"/>
              </w:rPr>
            </w:pPr>
            <w:r w:rsidRPr="002C21B8">
              <w:rPr>
                <w:sz w:val="18"/>
                <w:szCs w:val="18"/>
              </w:rPr>
              <w:t xml:space="preserve">List and define all variables and outcomes for which </w:t>
            </w:r>
            <w:r w:rsidR="00227DA8" w:rsidRPr="002C21B8">
              <w:rPr>
                <w:sz w:val="18"/>
                <w:szCs w:val="18"/>
              </w:rPr>
              <w:t>data was</w:t>
            </w:r>
            <w:r w:rsidRPr="002C21B8">
              <w:rPr>
                <w:sz w:val="18"/>
                <w:szCs w:val="18"/>
              </w:rPr>
              <w:t xml:space="preserve"> sought. Describe any assumptions made and/or measures taken to identify and clarify missing or unclear information.</w:t>
            </w:r>
          </w:p>
        </w:tc>
        <w:tc>
          <w:tcPr>
            <w:tcW w:w="1843" w:type="dxa"/>
          </w:tcPr>
          <w:p w14:paraId="14602A3A" w14:textId="57A3BBC6" w:rsidR="002D7023" w:rsidRPr="002C21B8" w:rsidRDefault="002D7023" w:rsidP="005E7C94">
            <w:pPr>
              <w:spacing w:after="0" w:line="240" w:lineRule="auto"/>
              <w:jc w:val="left"/>
              <w:rPr>
                <w:sz w:val="18"/>
                <w:szCs w:val="18"/>
              </w:rPr>
            </w:pPr>
            <w:r w:rsidRPr="002C21B8">
              <w:rPr>
                <w:sz w:val="18"/>
                <w:szCs w:val="18"/>
              </w:rPr>
              <w:t>Appendix 3</w:t>
            </w:r>
          </w:p>
        </w:tc>
      </w:tr>
      <w:tr w:rsidR="002D7023" w:rsidRPr="002C21B8" w14:paraId="61A6EF7A" w14:textId="77777777" w:rsidTr="00B7125A">
        <w:tc>
          <w:tcPr>
            <w:tcW w:w="1838" w:type="dxa"/>
            <w:vMerge w:val="restart"/>
          </w:tcPr>
          <w:p w14:paraId="754D42FE" w14:textId="77777777" w:rsidR="002D7023" w:rsidRPr="002C21B8" w:rsidRDefault="002D7023" w:rsidP="005E7C94">
            <w:pPr>
              <w:spacing w:after="0" w:line="240" w:lineRule="auto"/>
              <w:jc w:val="left"/>
              <w:rPr>
                <w:sz w:val="18"/>
                <w:szCs w:val="18"/>
              </w:rPr>
            </w:pPr>
            <w:r w:rsidRPr="002C21B8">
              <w:rPr>
                <w:sz w:val="18"/>
                <w:szCs w:val="18"/>
              </w:rPr>
              <w:t>Risk of bias assessment</w:t>
            </w:r>
          </w:p>
        </w:tc>
        <w:tc>
          <w:tcPr>
            <w:tcW w:w="665" w:type="dxa"/>
          </w:tcPr>
          <w:p w14:paraId="300FF4E6" w14:textId="77777777" w:rsidR="002D7023" w:rsidRPr="002C21B8" w:rsidRDefault="002D7023" w:rsidP="00C462E8">
            <w:pPr>
              <w:spacing w:after="0" w:line="240" w:lineRule="auto"/>
              <w:rPr>
                <w:sz w:val="18"/>
                <w:szCs w:val="18"/>
              </w:rPr>
            </w:pPr>
            <w:r w:rsidRPr="002C21B8">
              <w:rPr>
                <w:sz w:val="18"/>
                <w:szCs w:val="18"/>
              </w:rPr>
              <w:t>11a</w:t>
            </w:r>
          </w:p>
        </w:tc>
        <w:tc>
          <w:tcPr>
            <w:tcW w:w="4863" w:type="dxa"/>
          </w:tcPr>
          <w:p w14:paraId="6F32E14F" w14:textId="77777777" w:rsidR="002D7023" w:rsidRPr="002C21B8" w:rsidRDefault="002D7023" w:rsidP="00C462E8">
            <w:pPr>
              <w:pStyle w:val="p1"/>
              <w:rPr>
                <w:sz w:val="18"/>
                <w:szCs w:val="18"/>
              </w:rPr>
            </w:pPr>
            <w:r w:rsidRPr="002C21B8">
              <w:rPr>
                <w:sz w:val="18"/>
                <w:szCs w:val="18"/>
              </w:rPr>
              <w:t>Describe the methods used to assess risk of bias or methodological quality of the included systematic reviews.</w:t>
            </w:r>
          </w:p>
        </w:tc>
        <w:tc>
          <w:tcPr>
            <w:tcW w:w="1843" w:type="dxa"/>
          </w:tcPr>
          <w:p w14:paraId="0DFA9807" w14:textId="03303C31" w:rsidR="002D7023" w:rsidRPr="002C21B8" w:rsidRDefault="00ED01DB" w:rsidP="005E7C94">
            <w:pPr>
              <w:spacing w:after="0" w:line="240" w:lineRule="auto"/>
              <w:jc w:val="left"/>
              <w:rPr>
                <w:sz w:val="18"/>
                <w:szCs w:val="18"/>
              </w:rPr>
            </w:pPr>
            <w:r w:rsidRPr="002C21B8">
              <w:rPr>
                <w:sz w:val="18"/>
                <w:szCs w:val="18"/>
              </w:rPr>
              <w:t>Methods - quality assessment</w:t>
            </w:r>
          </w:p>
        </w:tc>
      </w:tr>
      <w:tr w:rsidR="002D7023" w:rsidRPr="002C21B8" w14:paraId="7DEF724C" w14:textId="77777777" w:rsidTr="00B7125A">
        <w:tc>
          <w:tcPr>
            <w:tcW w:w="1838" w:type="dxa"/>
            <w:vMerge/>
          </w:tcPr>
          <w:p w14:paraId="5C3DF83B" w14:textId="77777777" w:rsidR="002D7023" w:rsidRPr="002C21B8" w:rsidRDefault="002D7023" w:rsidP="005E7C94">
            <w:pPr>
              <w:spacing w:after="0" w:line="240" w:lineRule="auto"/>
              <w:jc w:val="left"/>
              <w:rPr>
                <w:sz w:val="18"/>
                <w:szCs w:val="18"/>
              </w:rPr>
            </w:pPr>
          </w:p>
        </w:tc>
        <w:tc>
          <w:tcPr>
            <w:tcW w:w="665" w:type="dxa"/>
          </w:tcPr>
          <w:p w14:paraId="5068D243" w14:textId="77777777" w:rsidR="002D7023" w:rsidRPr="002C21B8" w:rsidRDefault="002D7023" w:rsidP="00C462E8">
            <w:pPr>
              <w:spacing w:after="0" w:line="240" w:lineRule="auto"/>
              <w:rPr>
                <w:sz w:val="18"/>
                <w:szCs w:val="18"/>
              </w:rPr>
            </w:pPr>
            <w:r w:rsidRPr="002C21B8">
              <w:rPr>
                <w:sz w:val="18"/>
                <w:szCs w:val="18"/>
              </w:rPr>
              <w:t>11b</w:t>
            </w:r>
          </w:p>
        </w:tc>
        <w:tc>
          <w:tcPr>
            <w:tcW w:w="4863" w:type="dxa"/>
          </w:tcPr>
          <w:p w14:paraId="60574495" w14:textId="77777777" w:rsidR="002D7023" w:rsidRPr="002C21B8" w:rsidRDefault="002D7023" w:rsidP="00C462E8">
            <w:pPr>
              <w:pStyle w:val="p1"/>
              <w:rPr>
                <w:sz w:val="18"/>
                <w:szCs w:val="18"/>
              </w:rPr>
            </w:pPr>
            <w:r w:rsidRPr="002C21B8">
              <w:rPr>
                <w:sz w:val="18"/>
                <w:szCs w:val="18"/>
              </w:rPr>
              <w:t>Describe the methods used to collect data on (from the systematic reviews) and/or assess the risk of bias of the primary studies included in the systematic reviews. Provide a justification for instances where flawed, incomplete, or missing assessments are identified but not re-assessed.</w:t>
            </w:r>
          </w:p>
        </w:tc>
        <w:tc>
          <w:tcPr>
            <w:tcW w:w="1843" w:type="dxa"/>
          </w:tcPr>
          <w:p w14:paraId="0EEEE5B8" w14:textId="06AFE3A7" w:rsidR="002D7023" w:rsidRPr="002C21B8" w:rsidRDefault="00ED01DB" w:rsidP="005E7C94">
            <w:pPr>
              <w:spacing w:after="0" w:line="240" w:lineRule="auto"/>
              <w:jc w:val="left"/>
              <w:rPr>
                <w:sz w:val="18"/>
                <w:szCs w:val="18"/>
              </w:rPr>
            </w:pPr>
            <w:r w:rsidRPr="002C21B8">
              <w:rPr>
                <w:sz w:val="18"/>
                <w:szCs w:val="18"/>
              </w:rPr>
              <w:t>Methods - quality assessment</w:t>
            </w:r>
          </w:p>
        </w:tc>
      </w:tr>
      <w:tr w:rsidR="002D7023" w:rsidRPr="002C21B8" w14:paraId="4BF27164" w14:textId="77777777" w:rsidTr="00B7125A">
        <w:tc>
          <w:tcPr>
            <w:tcW w:w="1838" w:type="dxa"/>
            <w:vMerge/>
          </w:tcPr>
          <w:p w14:paraId="6600BF20" w14:textId="77777777" w:rsidR="002D7023" w:rsidRPr="002C21B8" w:rsidRDefault="002D7023" w:rsidP="005E7C94">
            <w:pPr>
              <w:spacing w:after="0" w:line="240" w:lineRule="auto"/>
              <w:jc w:val="left"/>
              <w:rPr>
                <w:sz w:val="18"/>
                <w:szCs w:val="18"/>
              </w:rPr>
            </w:pPr>
          </w:p>
        </w:tc>
        <w:tc>
          <w:tcPr>
            <w:tcW w:w="665" w:type="dxa"/>
          </w:tcPr>
          <w:p w14:paraId="45B10FA8" w14:textId="77777777" w:rsidR="002D7023" w:rsidRPr="002C21B8" w:rsidRDefault="002D7023" w:rsidP="00C462E8">
            <w:pPr>
              <w:spacing w:after="0" w:line="240" w:lineRule="auto"/>
              <w:rPr>
                <w:sz w:val="18"/>
                <w:szCs w:val="18"/>
              </w:rPr>
            </w:pPr>
            <w:r w:rsidRPr="002C21B8">
              <w:rPr>
                <w:sz w:val="18"/>
                <w:szCs w:val="18"/>
              </w:rPr>
              <w:t>11c</w:t>
            </w:r>
          </w:p>
        </w:tc>
        <w:tc>
          <w:tcPr>
            <w:tcW w:w="4863" w:type="dxa"/>
          </w:tcPr>
          <w:p w14:paraId="34B2827D" w14:textId="77777777" w:rsidR="002D7023" w:rsidRPr="002C21B8" w:rsidRDefault="002D7023" w:rsidP="00C462E8">
            <w:pPr>
              <w:pStyle w:val="p1"/>
              <w:rPr>
                <w:sz w:val="18"/>
                <w:szCs w:val="18"/>
              </w:rPr>
            </w:pPr>
            <w:r w:rsidRPr="002C21B8">
              <w:rPr>
                <w:sz w:val="18"/>
                <w:szCs w:val="18"/>
              </w:rPr>
              <w:t>Describe the methods used to assess the risk of bias of supplemental primary studies (if included).</w:t>
            </w:r>
          </w:p>
        </w:tc>
        <w:tc>
          <w:tcPr>
            <w:tcW w:w="1843" w:type="dxa"/>
          </w:tcPr>
          <w:p w14:paraId="3F44C2D0" w14:textId="0655C9AC" w:rsidR="002D7023" w:rsidRPr="002C21B8" w:rsidRDefault="00ED01DB" w:rsidP="005E7C94">
            <w:pPr>
              <w:spacing w:after="0" w:line="240" w:lineRule="auto"/>
              <w:jc w:val="left"/>
              <w:rPr>
                <w:sz w:val="18"/>
                <w:szCs w:val="18"/>
              </w:rPr>
            </w:pPr>
            <w:r w:rsidRPr="002C21B8">
              <w:rPr>
                <w:sz w:val="18"/>
                <w:szCs w:val="18"/>
              </w:rPr>
              <w:t>Methods - quality assessment</w:t>
            </w:r>
          </w:p>
        </w:tc>
      </w:tr>
      <w:tr w:rsidR="002D7023" w:rsidRPr="002C21B8" w14:paraId="1EBAC2DC" w14:textId="77777777" w:rsidTr="00B7125A">
        <w:tc>
          <w:tcPr>
            <w:tcW w:w="1838" w:type="dxa"/>
            <w:vMerge w:val="restart"/>
          </w:tcPr>
          <w:p w14:paraId="2EF4DC46" w14:textId="77777777" w:rsidR="002D7023" w:rsidRPr="002C21B8" w:rsidRDefault="002D7023" w:rsidP="005E7C94">
            <w:pPr>
              <w:spacing w:after="0" w:line="240" w:lineRule="auto"/>
              <w:jc w:val="left"/>
              <w:rPr>
                <w:sz w:val="18"/>
                <w:szCs w:val="18"/>
              </w:rPr>
            </w:pPr>
            <w:r w:rsidRPr="002C21B8">
              <w:rPr>
                <w:sz w:val="18"/>
                <w:szCs w:val="18"/>
              </w:rPr>
              <w:t>Synthesis methods</w:t>
            </w:r>
          </w:p>
        </w:tc>
        <w:tc>
          <w:tcPr>
            <w:tcW w:w="665" w:type="dxa"/>
          </w:tcPr>
          <w:p w14:paraId="02B34632" w14:textId="77777777" w:rsidR="002D7023" w:rsidRPr="002C21B8" w:rsidRDefault="002D7023" w:rsidP="00C462E8">
            <w:pPr>
              <w:spacing w:after="0" w:line="240" w:lineRule="auto"/>
              <w:rPr>
                <w:sz w:val="18"/>
                <w:szCs w:val="18"/>
              </w:rPr>
            </w:pPr>
            <w:r w:rsidRPr="002C21B8">
              <w:rPr>
                <w:sz w:val="18"/>
                <w:szCs w:val="18"/>
              </w:rPr>
              <w:t>12a</w:t>
            </w:r>
          </w:p>
        </w:tc>
        <w:tc>
          <w:tcPr>
            <w:tcW w:w="4863" w:type="dxa"/>
          </w:tcPr>
          <w:p w14:paraId="32989AB2" w14:textId="42AA5096" w:rsidR="002D7023" w:rsidRPr="002C21B8" w:rsidRDefault="002D7023" w:rsidP="00C462E8">
            <w:pPr>
              <w:pStyle w:val="p1"/>
              <w:rPr>
                <w:sz w:val="18"/>
                <w:szCs w:val="18"/>
              </w:rPr>
            </w:pPr>
            <w:r w:rsidRPr="002C21B8">
              <w:rPr>
                <w:sz w:val="18"/>
                <w:szCs w:val="18"/>
              </w:rPr>
              <w:t>Describe the methods used to summari</w:t>
            </w:r>
            <w:r w:rsidR="004013B1" w:rsidRPr="002C21B8">
              <w:rPr>
                <w:sz w:val="18"/>
                <w:szCs w:val="18"/>
              </w:rPr>
              <w:t>s</w:t>
            </w:r>
            <w:r w:rsidRPr="002C21B8">
              <w:rPr>
                <w:sz w:val="18"/>
                <w:szCs w:val="18"/>
              </w:rPr>
              <w:t>e or synthesi</w:t>
            </w:r>
            <w:r w:rsidR="004013B1" w:rsidRPr="002C21B8">
              <w:rPr>
                <w:sz w:val="18"/>
                <w:szCs w:val="18"/>
              </w:rPr>
              <w:t>s</w:t>
            </w:r>
            <w:r w:rsidRPr="002C21B8">
              <w:rPr>
                <w:sz w:val="18"/>
                <w:szCs w:val="18"/>
              </w:rPr>
              <w:t>e results and provide a rationale for the choice(s).</w:t>
            </w:r>
          </w:p>
        </w:tc>
        <w:tc>
          <w:tcPr>
            <w:tcW w:w="1843" w:type="dxa"/>
          </w:tcPr>
          <w:p w14:paraId="237370CA" w14:textId="00F5788B" w:rsidR="002D7023" w:rsidRPr="002C21B8" w:rsidRDefault="00ED01DB" w:rsidP="005E7C94">
            <w:pPr>
              <w:spacing w:after="0" w:line="240" w:lineRule="auto"/>
              <w:jc w:val="left"/>
              <w:rPr>
                <w:sz w:val="18"/>
                <w:szCs w:val="18"/>
              </w:rPr>
            </w:pPr>
            <w:r w:rsidRPr="002C21B8">
              <w:rPr>
                <w:sz w:val="18"/>
                <w:szCs w:val="18"/>
              </w:rPr>
              <w:t>Methods – synthesis</w:t>
            </w:r>
          </w:p>
        </w:tc>
      </w:tr>
      <w:tr w:rsidR="002D7023" w:rsidRPr="002C21B8" w14:paraId="28508937" w14:textId="77777777" w:rsidTr="00B7125A">
        <w:tc>
          <w:tcPr>
            <w:tcW w:w="1838" w:type="dxa"/>
            <w:vMerge/>
          </w:tcPr>
          <w:p w14:paraId="7DD244B7" w14:textId="77777777" w:rsidR="002D7023" w:rsidRPr="002C21B8" w:rsidRDefault="002D7023" w:rsidP="005E7C94">
            <w:pPr>
              <w:spacing w:after="0" w:line="240" w:lineRule="auto"/>
              <w:jc w:val="left"/>
              <w:rPr>
                <w:sz w:val="18"/>
                <w:szCs w:val="18"/>
              </w:rPr>
            </w:pPr>
          </w:p>
        </w:tc>
        <w:tc>
          <w:tcPr>
            <w:tcW w:w="665" w:type="dxa"/>
          </w:tcPr>
          <w:p w14:paraId="06A315AC" w14:textId="77777777" w:rsidR="002D7023" w:rsidRPr="002C21B8" w:rsidRDefault="002D7023" w:rsidP="00C462E8">
            <w:pPr>
              <w:spacing w:after="0" w:line="240" w:lineRule="auto"/>
              <w:rPr>
                <w:sz w:val="18"/>
                <w:szCs w:val="18"/>
              </w:rPr>
            </w:pPr>
            <w:r w:rsidRPr="002C21B8">
              <w:rPr>
                <w:sz w:val="18"/>
                <w:szCs w:val="18"/>
              </w:rPr>
              <w:t>12b</w:t>
            </w:r>
          </w:p>
        </w:tc>
        <w:tc>
          <w:tcPr>
            <w:tcW w:w="4863" w:type="dxa"/>
          </w:tcPr>
          <w:p w14:paraId="39831E42" w14:textId="77777777" w:rsidR="002D7023" w:rsidRPr="002C21B8" w:rsidRDefault="002D7023" w:rsidP="00C462E8">
            <w:pPr>
              <w:pStyle w:val="p1"/>
              <w:rPr>
                <w:sz w:val="18"/>
                <w:szCs w:val="18"/>
              </w:rPr>
            </w:pPr>
            <w:r w:rsidRPr="002C21B8">
              <w:rPr>
                <w:sz w:val="18"/>
                <w:szCs w:val="18"/>
              </w:rPr>
              <w:t>Describe any methods used to explore possible causes of heterogeneity among results.</w:t>
            </w:r>
          </w:p>
        </w:tc>
        <w:tc>
          <w:tcPr>
            <w:tcW w:w="1843" w:type="dxa"/>
          </w:tcPr>
          <w:p w14:paraId="762C9B59" w14:textId="77777777" w:rsidR="002D7023" w:rsidRPr="002C21B8" w:rsidRDefault="002D7023" w:rsidP="005E7C94">
            <w:pPr>
              <w:spacing w:after="0" w:line="240" w:lineRule="auto"/>
              <w:jc w:val="left"/>
              <w:rPr>
                <w:sz w:val="18"/>
                <w:szCs w:val="18"/>
              </w:rPr>
            </w:pPr>
            <w:r w:rsidRPr="002C21B8">
              <w:rPr>
                <w:sz w:val="18"/>
                <w:szCs w:val="18"/>
              </w:rPr>
              <w:t>NA</w:t>
            </w:r>
          </w:p>
        </w:tc>
      </w:tr>
      <w:tr w:rsidR="002D7023" w:rsidRPr="002C21B8" w14:paraId="5555DD92" w14:textId="77777777" w:rsidTr="00B7125A">
        <w:tc>
          <w:tcPr>
            <w:tcW w:w="1838" w:type="dxa"/>
            <w:vMerge/>
          </w:tcPr>
          <w:p w14:paraId="34ACBB67" w14:textId="77777777" w:rsidR="002D7023" w:rsidRPr="002C21B8" w:rsidRDefault="002D7023" w:rsidP="005E7C94">
            <w:pPr>
              <w:spacing w:after="0" w:line="240" w:lineRule="auto"/>
              <w:jc w:val="left"/>
              <w:rPr>
                <w:sz w:val="18"/>
                <w:szCs w:val="18"/>
              </w:rPr>
            </w:pPr>
          </w:p>
        </w:tc>
        <w:tc>
          <w:tcPr>
            <w:tcW w:w="665" w:type="dxa"/>
          </w:tcPr>
          <w:p w14:paraId="619E2FA3" w14:textId="77777777" w:rsidR="002D7023" w:rsidRPr="002C21B8" w:rsidRDefault="002D7023" w:rsidP="00C462E8">
            <w:pPr>
              <w:spacing w:after="0" w:line="240" w:lineRule="auto"/>
              <w:rPr>
                <w:sz w:val="18"/>
                <w:szCs w:val="18"/>
              </w:rPr>
            </w:pPr>
            <w:r w:rsidRPr="002C21B8">
              <w:rPr>
                <w:sz w:val="18"/>
                <w:szCs w:val="18"/>
              </w:rPr>
              <w:t>12c</w:t>
            </w:r>
          </w:p>
        </w:tc>
        <w:tc>
          <w:tcPr>
            <w:tcW w:w="4863" w:type="dxa"/>
          </w:tcPr>
          <w:p w14:paraId="0C967C86" w14:textId="79F95078" w:rsidR="002D7023" w:rsidRPr="002C21B8" w:rsidRDefault="002D7023" w:rsidP="00C462E8">
            <w:pPr>
              <w:pStyle w:val="p1"/>
              <w:rPr>
                <w:sz w:val="18"/>
                <w:szCs w:val="18"/>
              </w:rPr>
            </w:pPr>
            <w:r w:rsidRPr="002C21B8">
              <w:rPr>
                <w:sz w:val="18"/>
                <w:szCs w:val="18"/>
              </w:rPr>
              <w:t>Describe any sensitivity analyses conducted to assess the robustness of the synthesi</w:t>
            </w:r>
            <w:r w:rsidR="004013B1" w:rsidRPr="002C21B8">
              <w:rPr>
                <w:sz w:val="18"/>
                <w:szCs w:val="18"/>
              </w:rPr>
              <w:t>s</w:t>
            </w:r>
            <w:r w:rsidRPr="002C21B8">
              <w:rPr>
                <w:sz w:val="18"/>
                <w:szCs w:val="18"/>
              </w:rPr>
              <w:t>ed results.</w:t>
            </w:r>
          </w:p>
        </w:tc>
        <w:tc>
          <w:tcPr>
            <w:tcW w:w="1843" w:type="dxa"/>
          </w:tcPr>
          <w:p w14:paraId="0433E146" w14:textId="77777777" w:rsidR="002D7023" w:rsidRPr="002C21B8" w:rsidRDefault="002D7023" w:rsidP="005E7C94">
            <w:pPr>
              <w:spacing w:after="0" w:line="240" w:lineRule="auto"/>
              <w:jc w:val="left"/>
              <w:rPr>
                <w:sz w:val="18"/>
                <w:szCs w:val="18"/>
              </w:rPr>
            </w:pPr>
            <w:r w:rsidRPr="002C21B8">
              <w:rPr>
                <w:sz w:val="18"/>
                <w:szCs w:val="18"/>
              </w:rPr>
              <w:t>NA</w:t>
            </w:r>
          </w:p>
        </w:tc>
      </w:tr>
      <w:tr w:rsidR="002D7023" w:rsidRPr="002C21B8" w14:paraId="6D3A9B2E" w14:textId="77777777" w:rsidTr="00B7125A">
        <w:tc>
          <w:tcPr>
            <w:tcW w:w="1838" w:type="dxa"/>
          </w:tcPr>
          <w:p w14:paraId="5A220B25" w14:textId="77777777" w:rsidR="002D7023" w:rsidRPr="002C21B8" w:rsidRDefault="002D7023" w:rsidP="005E7C94">
            <w:pPr>
              <w:spacing w:after="0" w:line="240" w:lineRule="auto"/>
              <w:jc w:val="left"/>
              <w:rPr>
                <w:sz w:val="18"/>
                <w:szCs w:val="18"/>
              </w:rPr>
            </w:pPr>
            <w:r w:rsidRPr="002C21B8">
              <w:rPr>
                <w:sz w:val="18"/>
                <w:szCs w:val="18"/>
              </w:rPr>
              <w:t>Reporting bias assessment</w:t>
            </w:r>
          </w:p>
        </w:tc>
        <w:tc>
          <w:tcPr>
            <w:tcW w:w="665" w:type="dxa"/>
          </w:tcPr>
          <w:p w14:paraId="671273DD" w14:textId="77777777" w:rsidR="002D7023" w:rsidRPr="002C21B8" w:rsidRDefault="002D7023" w:rsidP="00C462E8">
            <w:pPr>
              <w:spacing w:after="0" w:line="240" w:lineRule="auto"/>
              <w:rPr>
                <w:sz w:val="18"/>
                <w:szCs w:val="18"/>
              </w:rPr>
            </w:pPr>
            <w:r w:rsidRPr="002C21B8">
              <w:rPr>
                <w:sz w:val="18"/>
                <w:szCs w:val="18"/>
              </w:rPr>
              <w:t>13</w:t>
            </w:r>
          </w:p>
        </w:tc>
        <w:tc>
          <w:tcPr>
            <w:tcW w:w="4863" w:type="dxa"/>
          </w:tcPr>
          <w:p w14:paraId="49F3D4EE" w14:textId="77777777" w:rsidR="002D7023" w:rsidRPr="002C21B8" w:rsidRDefault="002D7023" w:rsidP="00C462E8">
            <w:pPr>
              <w:pStyle w:val="p1"/>
              <w:rPr>
                <w:sz w:val="18"/>
                <w:szCs w:val="18"/>
              </w:rPr>
            </w:pPr>
            <w:r w:rsidRPr="002C21B8">
              <w:rPr>
                <w:sz w:val="18"/>
                <w:szCs w:val="18"/>
              </w:rPr>
              <w:t>Describe the methods used to collect data on (from the systematic reviews) and/or assess the risk of bias due to missing results in a summary or synthesis (arising from reporting biases at the levels of the systematic reviews, primary studies, and supplemental primary studies, if included).</w:t>
            </w:r>
          </w:p>
        </w:tc>
        <w:tc>
          <w:tcPr>
            <w:tcW w:w="1843" w:type="dxa"/>
          </w:tcPr>
          <w:p w14:paraId="2A3C7AAA" w14:textId="101EFA9D" w:rsidR="002D7023" w:rsidRPr="002C21B8" w:rsidRDefault="00ED01DB" w:rsidP="005E7C94">
            <w:pPr>
              <w:spacing w:after="0" w:line="240" w:lineRule="auto"/>
              <w:jc w:val="left"/>
              <w:rPr>
                <w:sz w:val="18"/>
                <w:szCs w:val="18"/>
              </w:rPr>
            </w:pPr>
            <w:r w:rsidRPr="002C21B8">
              <w:rPr>
                <w:sz w:val="18"/>
                <w:szCs w:val="18"/>
              </w:rPr>
              <w:t>Methods - overlap analysis</w:t>
            </w:r>
          </w:p>
        </w:tc>
      </w:tr>
      <w:tr w:rsidR="002D7023" w:rsidRPr="002C21B8" w14:paraId="174E05C0" w14:textId="77777777" w:rsidTr="00B7125A">
        <w:tc>
          <w:tcPr>
            <w:tcW w:w="1838" w:type="dxa"/>
          </w:tcPr>
          <w:p w14:paraId="7C60223A" w14:textId="77777777" w:rsidR="002D7023" w:rsidRPr="002C21B8" w:rsidRDefault="002D7023" w:rsidP="005E7C94">
            <w:pPr>
              <w:spacing w:after="0" w:line="240" w:lineRule="auto"/>
              <w:jc w:val="left"/>
              <w:rPr>
                <w:sz w:val="18"/>
                <w:szCs w:val="18"/>
              </w:rPr>
            </w:pPr>
            <w:r w:rsidRPr="002C21B8">
              <w:rPr>
                <w:sz w:val="18"/>
                <w:szCs w:val="18"/>
              </w:rPr>
              <w:t>Certainty assessment</w:t>
            </w:r>
          </w:p>
        </w:tc>
        <w:tc>
          <w:tcPr>
            <w:tcW w:w="665" w:type="dxa"/>
          </w:tcPr>
          <w:p w14:paraId="0F0E0847" w14:textId="77777777" w:rsidR="002D7023" w:rsidRPr="002C21B8" w:rsidRDefault="002D7023" w:rsidP="00C462E8">
            <w:pPr>
              <w:spacing w:after="0" w:line="240" w:lineRule="auto"/>
              <w:rPr>
                <w:sz w:val="18"/>
                <w:szCs w:val="18"/>
              </w:rPr>
            </w:pPr>
            <w:r w:rsidRPr="002C21B8">
              <w:rPr>
                <w:sz w:val="18"/>
                <w:szCs w:val="18"/>
              </w:rPr>
              <w:t>14</w:t>
            </w:r>
          </w:p>
        </w:tc>
        <w:tc>
          <w:tcPr>
            <w:tcW w:w="4863" w:type="dxa"/>
          </w:tcPr>
          <w:p w14:paraId="2860535A" w14:textId="77777777" w:rsidR="002D7023" w:rsidRPr="002C21B8" w:rsidRDefault="002D7023" w:rsidP="00C462E8">
            <w:pPr>
              <w:pStyle w:val="p1"/>
              <w:rPr>
                <w:sz w:val="18"/>
                <w:szCs w:val="18"/>
              </w:rPr>
            </w:pPr>
            <w:r w:rsidRPr="002C21B8">
              <w:rPr>
                <w:sz w:val="18"/>
                <w:szCs w:val="18"/>
              </w:rPr>
              <w:t>Describe the methods used to collect data on (from the systematic reviews) and/or assess certainty (or confidence) in the body of evidence for an outcome.</w:t>
            </w:r>
          </w:p>
        </w:tc>
        <w:tc>
          <w:tcPr>
            <w:tcW w:w="1843" w:type="dxa"/>
          </w:tcPr>
          <w:p w14:paraId="126A6915" w14:textId="5F8E4A8C" w:rsidR="002D7023" w:rsidRPr="002C21B8" w:rsidRDefault="00ED01DB" w:rsidP="005E7C94">
            <w:pPr>
              <w:spacing w:after="0" w:line="240" w:lineRule="auto"/>
              <w:jc w:val="left"/>
              <w:rPr>
                <w:sz w:val="18"/>
                <w:szCs w:val="18"/>
              </w:rPr>
            </w:pPr>
            <w:r w:rsidRPr="002C21B8">
              <w:rPr>
                <w:sz w:val="18"/>
                <w:szCs w:val="18"/>
              </w:rPr>
              <w:t>Methods - confidence in findings</w:t>
            </w:r>
          </w:p>
        </w:tc>
      </w:tr>
      <w:tr w:rsidR="002D7023" w:rsidRPr="002C21B8" w14:paraId="43DE2FEC" w14:textId="77777777" w:rsidTr="00B7125A">
        <w:tc>
          <w:tcPr>
            <w:tcW w:w="9209" w:type="dxa"/>
            <w:gridSpan w:val="4"/>
          </w:tcPr>
          <w:p w14:paraId="273F564B" w14:textId="77777777" w:rsidR="002D7023" w:rsidRPr="002C21B8" w:rsidRDefault="002D7023" w:rsidP="005E7C94">
            <w:pPr>
              <w:spacing w:after="0" w:line="240" w:lineRule="auto"/>
              <w:jc w:val="left"/>
              <w:rPr>
                <w:b/>
                <w:bCs/>
                <w:sz w:val="18"/>
                <w:szCs w:val="18"/>
              </w:rPr>
            </w:pPr>
            <w:r w:rsidRPr="002C21B8">
              <w:rPr>
                <w:b/>
                <w:bCs/>
                <w:sz w:val="18"/>
                <w:szCs w:val="18"/>
              </w:rPr>
              <w:t>RESULTS</w:t>
            </w:r>
          </w:p>
        </w:tc>
      </w:tr>
      <w:tr w:rsidR="002D7023" w:rsidRPr="002C21B8" w14:paraId="1D7F40C8" w14:textId="77777777" w:rsidTr="00B7125A">
        <w:tc>
          <w:tcPr>
            <w:tcW w:w="1838" w:type="dxa"/>
            <w:vMerge w:val="restart"/>
          </w:tcPr>
          <w:p w14:paraId="3DE13ECF" w14:textId="77777777" w:rsidR="002D7023" w:rsidRPr="002C21B8" w:rsidRDefault="002D7023" w:rsidP="005E7C94">
            <w:pPr>
              <w:spacing w:after="0" w:line="240" w:lineRule="auto"/>
              <w:jc w:val="left"/>
              <w:rPr>
                <w:sz w:val="18"/>
                <w:szCs w:val="18"/>
              </w:rPr>
            </w:pPr>
            <w:r w:rsidRPr="002C21B8">
              <w:rPr>
                <w:sz w:val="18"/>
                <w:szCs w:val="18"/>
              </w:rPr>
              <w:t>Systematic review and supplemental primary study selection</w:t>
            </w:r>
          </w:p>
        </w:tc>
        <w:tc>
          <w:tcPr>
            <w:tcW w:w="665" w:type="dxa"/>
          </w:tcPr>
          <w:p w14:paraId="05336F62" w14:textId="77777777" w:rsidR="002D7023" w:rsidRPr="002C21B8" w:rsidRDefault="002D7023" w:rsidP="00C462E8">
            <w:pPr>
              <w:spacing w:after="0" w:line="240" w:lineRule="auto"/>
              <w:rPr>
                <w:sz w:val="18"/>
                <w:szCs w:val="18"/>
              </w:rPr>
            </w:pPr>
            <w:r w:rsidRPr="002C21B8">
              <w:rPr>
                <w:sz w:val="18"/>
                <w:szCs w:val="18"/>
              </w:rPr>
              <w:t>15a</w:t>
            </w:r>
          </w:p>
        </w:tc>
        <w:tc>
          <w:tcPr>
            <w:tcW w:w="4863" w:type="dxa"/>
          </w:tcPr>
          <w:p w14:paraId="2144B076" w14:textId="23ACCCAE" w:rsidR="002D7023" w:rsidRPr="002C21B8" w:rsidRDefault="002D7023" w:rsidP="00C462E8">
            <w:pPr>
              <w:pStyle w:val="p1"/>
              <w:rPr>
                <w:sz w:val="18"/>
                <w:szCs w:val="18"/>
              </w:rPr>
            </w:pPr>
            <w:r w:rsidRPr="002C21B8">
              <w:rPr>
                <w:sz w:val="18"/>
                <w:szCs w:val="18"/>
              </w:rPr>
              <w:t xml:space="preserve">Describe the results of the search and selection process, including the number of records screened, assessed for eligibility, and included in the </w:t>
            </w:r>
            <w:r w:rsidR="00E06102" w:rsidRPr="002C21B8">
              <w:rPr>
                <w:sz w:val="18"/>
                <w:szCs w:val="18"/>
              </w:rPr>
              <w:t>overview of systematic reviews</w:t>
            </w:r>
            <w:r w:rsidRPr="002C21B8">
              <w:rPr>
                <w:sz w:val="18"/>
                <w:szCs w:val="18"/>
              </w:rPr>
              <w:t>, ideally with a flow diagram.</w:t>
            </w:r>
          </w:p>
        </w:tc>
        <w:tc>
          <w:tcPr>
            <w:tcW w:w="1843" w:type="dxa"/>
          </w:tcPr>
          <w:p w14:paraId="633258A3" w14:textId="4ADBD821" w:rsidR="002D7023" w:rsidRPr="002C21B8" w:rsidRDefault="00B43DCC" w:rsidP="005E7C94">
            <w:pPr>
              <w:spacing w:after="0" w:line="240" w:lineRule="auto"/>
              <w:jc w:val="left"/>
              <w:rPr>
                <w:sz w:val="18"/>
                <w:szCs w:val="18"/>
              </w:rPr>
            </w:pPr>
            <w:r w:rsidRPr="002C21B8">
              <w:rPr>
                <w:sz w:val="18"/>
                <w:szCs w:val="18"/>
              </w:rPr>
              <w:t>Results - paragraph</w:t>
            </w:r>
            <w:r w:rsidR="004013B1" w:rsidRPr="002C21B8">
              <w:rPr>
                <w:sz w:val="18"/>
                <w:szCs w:val="18"/>
              </w:rPr>
              <w:t>s</w:t>
            </w:r>
            <w:r w:rsidRPr="002C21B8">
              <w:rPr>
                <w:sz w:val="18"/>
                <w:szCs w:val="18"/>
              </w:rPr>
              <w:t xml:space="preserve"> 1 &amp; 2</w:t>
            </w:r>
          </w:p>
        </w:tc>
      </w:tr>
      <w:tr w:rsidR="002D7023" w:rsidRPr="002C21B8" w14:paraId="092B9FD1" w14:textId="77777777" w:rsidTr="00B7125A">
        <w:tc>
          <w:tcPr>
            <w:tcW w:w="1838" w:type="dxa"/>
            <w:vMerge/>
          </w:tcPr>
          <w:p w14:paraId="35E4EAC9" w14:textId="77777777" w:rsidR="002D7023" w:rsidRPr="002C21B8" w:rsidRDefault="002D7023" w:rsidP="005E7C94">
            <w:pPr>
              <w:spacing w:after="0" w:line="240" w:lineRule="auto"/>
              <w:jc w:val="left"/>
              <w:rPr>
                <w:sz w:val="18"/>
                <w:szCs w:val="18"/>
              </w:rPr>
            </w:pPr>
          </w:p>
        </w:tc>
        <w:tc>
          <w:tcPr>
            <w:tcW w:w="665" w:type="dxa"/>
          </w:tcPr>
          <w:p w14:paraId="2A0FE85A" w14:textId="77777777" w:rsidR="002D7023" w:rsidRPr="002C21B8" w:rsidRDefault="002D7023" w:rsidP="00C462E8">
            <w:pPr>
              <w:spacing w:after="0" w:line="240" w:lineRule="auto"/>
              <w:rPr>
                <w:sz w:val="18"/>
                <w:szCs w:val="18"/>
              </w:rPr>
            </w:pPr>
            <w:r w:rsidRPr="002C21B8">
              <w:rPr>
                <w:sz w:val="18"/>
                <w:szCs w:val="18"/>
              </w:rPr>
              <w:t>15b</w:t>
            </w:r>
          </w:p>
        </w:tc>
        <w:tc>
          <w:tcPr>
            <w:tcW w:w="4863" w:type="dxa"/>
          </w:tcPr>
          <w:p w14:paraId="3F519B8A" w14:textId="77777777" w:rsidR="002D7023" w:rsidRPr="002C21B8" w:rsidRDefault="002D7023" w:rsidP="00C462E8">
            <w:pPr>
              <w:pStyle w:val="p1"/>
              <w:rPr>
                <w:sz w:val="18"/>
                <w:szCs w:val="18"/>
              </w:rPr>
            </w:pPr>
            <w:r w:rsidRPr="002C21B8">
              <w:rPr>
                <w:sz w:val="18"/>
                <w:szCs w:val="18"/>
              </w:rPr>
              <w:t>Provide a list of studies that might appear to meet the inclusion criteria, but were excluded, with the main reason for exclusion.</w:t>
            </w:r>
          </w:p>
        </w:tc>
        <w:tc>
          <w:tcPr>
            <w:tcW w:w="1843" w:type="dxa"/>
          </w:tcPr>
          <w:p w14:paraId="38C8C49D" w14:textId="7F001AD9" w:rsidR="002D7023" w:rsidRPr="002C21B8" w:rsidRDefault="002D7023" w:rsidP="005E7C94">
            <w:pPr>
              <w:spacing w:after="0" w:line="240" w:lineRule="auto"/>
              <w:jc w:val="left"/>
              <w:rPr>
                <w:sz w:val="18"/>
                <w:szCs w:val="18"/>
              </w:rPr>
            </w:pPr>
            <w:r w:rsidRPr="002C21B8">
              <w:rPr>
                <w:sz w:val="18"/>
                <w:szCs w:val="18"/>
              </w:rPr>
              <w:t>Appendix 3</w:t>
            </w:r>
          </w:p>
        </w:tc>
      </w:tr>
      <w:tr w:rsidR="002D7023" w:rsidRPr="002C21B8" w14:paraId="369B70B9" w14:textId="77777777" w:rsidTr="00B7125A">
        <w:tc>
          <w:tcPr>
            <w:tcW w:w="1838" w:type="dxa"/>
          </w:tcPr>
          <w:p w14:paraId="699ED42A" w14:textId="77777777" w:rsidR="002D7023" w:rsidRPr="002C21B8" w:rsidRDefault="002D7023" w:rsidP="005E7C94">
            <w:pPr>
              <w:spacing w:after="0" w:line="240" w:lineRule="auto"/>
              <w:jc w:val="left"/>
              <w:rPr>
                <w:sz w:val="18"/>
                <w:szCs w:val="18"/>
              </w:rPr>
            </w:pPr>
            <w:r w:rsidRPr="002C21B8">
              <w:rPr>
                <w:sz w:val="18"/>
                <w:szCs w:val="18"/>
              </w:rPr>
              <w:t>Characteristics of systematic reviews</w:t>
            </w:r>
          </w:p>
        </w:tc>
        <w:tc>
          <w:tcPr>
            <w:tcW w:w="665" w:type="dxa"/>
          </w:tcPr>
          <w:p w14:paraId="0D3E34CA" w14:textId="77777777" w:rsidR="002D7023" w:rsidRPr="002C21B8" w:rsidRDefault="002D7023" w:rsidP="00C462E8">
            <w:pPr>
              <w:spacing w:after="0" w:line="240" w:lineRule="auto"/>
              <w:rPr>
                <w:sz w:val="18"/>
                <w:szCs w:val="18"/>
              </w:rPr>
            </w:pPr>
            <w:r w:rsidRPr="002C21B8">
              <w:rPr>
                <w:sz w:val="18"/>
                <w:szCs w:val="18"/>
              </w:rPr>
              <w:t>16</w:t>
            </w:r>
          </w:p>
        </w:tc>
        <w:tc>
          <w:tcPr>
            <w:tcW w:w="4863" w:type="dxa"/>
          </w:tcPr>
          <w:p w14:paraId="267BE195" w14:textId="77777777" w:rsidR="002D7023" w:rsidRPr="002C21B8" w:rsidRDefault="002D7023" w:rsidP="00C462E8">
            <w:pPr>
              <w:pStyle w:val="p1"/>
              <w:rPr>
                <w:sz w:val="18"/>
                <w:szCs w:val="18"/>
              </w:rPr>
            </w:pPr>
            <w:r w:rsidRPr="002C21B8">
              <w:rPr>
                <w:sz w:val="18"/>
                <w:szCs w:val="18"/>
              </w:rPr>
              <w:t>Cite each included systematic review and supplemental primary study (if included) and present its characteristics.</w:t>
            </w:r>
          </w:p>
        </w:tc>
        <w:tc>
          <w:tcPr>
            <w:tcW w:w="1843" w:type="dxa"/>
          </w:tcPr>
          <w:p w14:paraId="7989CD71" w14:textId="20A312F1" w:rsidR="002D7023" w:rsidRPr="002C21B8" w:rsidRDefault="00B43DCC" w:rsidP="005E7C94">
            <w:pPr>
              <w:spacing w:after="0" w:line="240" w:lineRule="auto"/>
              <w:jc w:val="left"/>
              <w:rPr>
                <w:sz w:val="18"/>
                <w:szCs w:val="18"/>
              </w:rPr>
            </w:pPr>
            <w:r w:rsidRPr="002C21B8">
              <w:rPr>
                <w:sz w:val="18"/>
                <w:szCs w:val="18"/>
              </w:rPr>
              <w:t xml:space="preserve">Table </w:t>
            </w:r>
            <w:r w:rsidR="001B5ADC" w:rsidRPr="002C21B8">
              <w:rPr>
                <w:sz w:val="18"/>
                <w:szCs w:val="18"/>
              </w:rPr>
              <w:t>8</w:t>
            </w:r>
          </w:p>
        </w:tc>
      </w:tr>
      <w:tr w:rsidR="002D7023" w:rsidRPr="002C21B8" w14:paraId="5E1CBD9B" w14:textId="77777777" w:rsidTr="00B7125A">
        <w:tc>
          <w:tcPr>
            <w:tcW w:w="1838" w:type="dxa"/>
          </w:tcPr>
          <w:p w14:paraId="044028AD" w14:textId="77777777" w:rsidR="002D7023" w:rsidRPr="002C21B8" w:rsidRDefault="002D7023" w:rsidP="005E7C94">
            <w:pPr>
              <w:spacing w:after="0" w:line="240" w:lineRule="auto"/>
              <w:jc w:val="left"/>
              <w:rPr>
                <w:sz w:val="18"/>
                <w:szCs w:val="18"/>
              </w:rPr>
            </w:pPr>
            <w:r w:rsidRPr="002C21B8">
              <w:rPr>
                <w:sz w:val="18"/>
                <w:szCs w:val="18"/>
              </w:rPr>
              <w:t>Primary study overlap</w:t>
            </w:r>
          </w:p>
        </w:tc>
        <w:tc>
          <w:tcPr>
            <w:tcW w:w="665" w:type="dxa"/>
          </w:tcPr>
          <w:p w14:paraId="2C65228E" w14:textId="77777777" w:rsidR="002D7023" w:rsidRPr="002C21B8" w:rsidRDefault="002D7023" w:rsidP="00C462E8">
            <w:pPr>
              <w:spacing w:after="0" w:line="240" w:lineRule="auto"/>
              <w:rPr>
                <w:sz w:val="18"/>
                <w:szCs w:val="18"/>
              </w:rPr>
            </w:pPr>
            <w:r w:rsidRPr="002C21B8">
              <w:rPr>
                <w:sz w:val="18"/>
                <w:szCs w:val="18"/>
              </w:rPr>
              <w:t>17</w:t>
            </w:r>
          </w:p>
        </w:tc>
        <w:tc>
          <w:tcPr>
            <w:tcW w:w="4863" w:type="dxa"/>
          </w:tcPr>
          <w:p w14:paraId="3EEB73C8" w14:textId="77777777" w:rsidR="002D7023" w:rsidRPr="002C21B8" w:rsidRDefault="002D7023" w:rsidP="00C462E8">
            <w:pPr>
              <w:pStyle w:val="p1"/>
              <w:rPr>
                <w:sz w:val="18"/>
                <w:szCs w:val="18"/>
              </w:rPr>
            </w:pPr>
            <w:r w:rsidRPr="002C21B8">
              <w:rPr>
                <w:sz w:val="18"/>
                <w:szCs w:val="18"/>
              </w:rPr>
              <w:t>Describe the extent of primary study overlap across the included systematic reviews.</w:t>
            </w:r>
          </w:p>
        </w:tc>
        <w:tc>
          <w:tcPr>
            <w:tcW w:w="1843" w:type="dxa"/>
          </w:tcPr>
          <w:p w14:paraId="69C5A375" w14:textId="578F4FC5" w:rsidR="002D7023" w:rsidRPr="002C21B8" w:rsidRDefault="00B43DCC" w:rsidP="005E7C94">
            <w:pPr>
              <w:spacing w:after="0" w:line="240" w:lineRule="auto"/>
              <w:jc w:val="left"/>
              <w:rPr>
                <w:sz w:val="18"/>
                <w:szCs w:val="18"/>
              </w:rPr>
            </w:pPr>
            <w:r w:rsidRPr="002C21B8">
              <w:rPr>
                <w:sz w:val="18"/>
                <w:szCs w:val="18"/>
              </w:rPr>
              <w:t>Results - paragraph 3</w:t>
            </w:r>
          </w:p>
        </w:tc>
      </w:tr>
      <w:tr w:rsidR="00B43DCC" w:rsidRPr="002C21B8" w14:paraId="71990A30" w14:textId="77777777" w:rsidTr="00B7125A">
        <w:tc>
          <w:tcPr>
            <w:tcW w:w="1838" w:type="dxa"/>
            <w:vMerge w:val="restart"/>
          </w:tcPr>
          <w:p w14:paraId="0FA2D80D" w14:textId="77777777" w:rsidR="00B43DCC" w:rsidRPr="002C21B8" w:rsidRDefault="00B43DCC" w:rsidP="00B43DCC">
            <w:pPr>
              <w:spacing w:after="0" w:line="240" w:lineRule="auto"/>
              <w:jc w:val="left"/>
              <w:rPr>
                <w:sz w:val="18"/>
                <w:szCs w:val="18"/>
              </w:rPr>
            </w:pPr>
            <w:r w:rsidRPr="002C21B8">
              <w:rPr>
                <w:sz w:val="18"/>
                <w:szCs w:val="18"/>
              </w:rPr>
              <w:t>Risk of bias in systematic reviews</w:t>
            </w:r>
          </w:p>
        </w:tc>
        <w:tc>
          <w:tcPr>
            <w:tcW w:w="665" w:type="dxa"/>
          </w:tcPr>
          <w:p w14:paraId="75471E0C" w14:textId="77777777" w:rsidR="00B43DCC" w:rsidRPr="002C21B8" w:rsidRDefault="00B43DCC" w:rsidP="00B43DCC">
            <w:pPr>
              <w:spacing w:after="0" w:line="240" w:lineRule="auto"/>
              <w:rPr>
                <w:sz w:val="18"/>
                <w:szCs w:val="18"/>
              </w:rPr>
            </w:pPr>
            <w:r w:rsidRPr="002C21B8">
              <w:rPr>
                <w:sz w:val="18"/>
                <w:szCs w:val="18"/>
              </w:rPr>
              <w:t>18a</w:t>
            </w:r>
          </w:p>
        </w:tc>
        <w:tc>
          <w:tcPr>
            <w:tcW w:w="4863" w:type="dxa"/>
          </w:tcPr>
          <w:p w14:paraId="44589C75" w14:textId="77777777" w:rsidR="00B43DCC" w:rsidRPr="002C21B8" w:rsidRDefault="00B43DCC" w:rsidP="00B43DCC">
            <w:pPr>
              <w:pStyle w:val="p1"/>
              <w:rPr>
                <w:sz w:val="18"/>
                <w:szCs w:val="18"/>
              </w:rPr>
            </w:pPr>
            <w:r w:rsidRPr="002C21B8">
              <w:rPr>
                <w:sz w:val="18"/>
                <w:szCs w:val="18"/>
              </w:rPr>
              <w:t>Present assessments of risk of bias or methodological quality for each included systematic review.</w:t>
            </w:r>
          </w:p>
        </w:tc>
        <w:tc>
          <w:tcPr>
            <w:tcW w:w="1843" w:type="dxa"/>
          </w:tcPr>
          <w:p w14:paraId="16771623" w14:textId="400E6335" w:rsidR="00B43DCC" w:rsidRPr="002C21B8" w:rsidRDefault="00B43DCC" w:rsidP="00B43DCC">
            <w:pPr>
              <w:spacing w:after="0" w:line="240" w:lineRule="auto"/>
              <w:jc w:val="left"/>
              <w:rPr>
                <w:sz w:val="18"/>
                <w:szCs w:val="18"/>
              </w:rPr>
            </w:pPr>
            <w:r w:rsidRPr="002C21B8">
              <w:rPr>
                <w:sz w:val="18"/>
                <w:szCs w:val="18"/>
              </w:rPr>
              <w:t>Results - paragraph 4</w:t>
            </w:r>
          </w:p>
        </w:tc>
      </w:tr>
      <w:tr w:rsidR="00B43DCC" w:rsidRPr="002C21B8" w14:paraId="308D4F1B" w14:textId="77777777" w:rsidTr="00B7125A">
        <w:tc>
          <w:tcPr>
            <w:tcW w:w="1838" w:type="dxa"/>
            <w:vMerge/>
          </w:tcPr>
          <w:p w14:paraId="1728CC99" w14:textId="77777777" w:rsidR="00B43DCC" w:rsidRPr="002C21B8" w:rsidRDefault="00B43DCC" w:rsidP="00B43DCC">
            <w:pPr>
              <w:spacing w:after="0" w:line="240" w:lineRule="auto"/>
              <w:jc w:val="left"/>
              <w:rPr>
                <w:sz w:val="18"/>
                <w:szCs w:val="18"/>
              </w:rPr>
            </w:pPr>
          </w:p>
        </w:tc>
        <w:tc>
          <w:tcPr>
            <w:tcW w:w="665" w:type="dxa"/>
          </w:tcPr>
          <w:p w14:paraId="133DD87C" w14:textId="77777777" w:rsidR="00B43DCC" w:rsidRPr="002C21B8" w:rsidRDefault="00B43DCC" w:rsidP="00B43DCC">
            <w:pPr>
              <w:spacing w:after="0" w:line="240" w:lineRule="auto"/>
              <w:rPr>
                <w:sz w:val="18"/>
                <w:szCs w:val="18"/>
              </w:rPr>
            </w:pPr>
            <w:r w:rsidRPr="002C21B8">
              <w:rPr>
                <w:sz w:val="18"/>
                <w:szCs w:val="18"/>
              </w:rPr>
              <w:t>18b</w:t>
            </w:r>
          </w:p>
        </w:tc>
        <w:tc>
          <w:tcPr>
            <w:tcW w:w="4863" w:type="dxa"/>
          </w:tcPr>
          <w:p w14:paraId="46A6CACA" w14:textId="77777777" w:rsidR="00B43DCC" w:rsidRPr="002C21B8" w:rsidRDefault="00B43DCC" w:rsidP="00B43DCC">
            <w:pPr>
              <w:pStyle w:val="p1"/>
              <w:rPr>
                <w:sz w:val="18"/>
                <w:szCs w:val="18"/>
              </w:rPr>
            </w:pPr>
            <w:r w:rsidRPr="002C21B8">
              <w:rPr>
                <w:sz w:val="18"/>
                <w:szCs w:val="18"/>
              </w:rPr>
              <w:t>Present assessments (collected from systematic reviews or assessed anew) of the risk of bias of the primary studies included in the systematic reviews.</w:t>
            </w:r>
          </w:p>
        </w:tc>
        <w:tc>
          <w:tcPr>
            <w:tcW w:w="1843" w:type="dxa"/>
          </w:tcPr>
          <w:p w14:paraId="07BE74A3" w14:textId="45FC841A" w:rsidR="00B43DCC" w:rsidRPr="002C21B8" w:rsidRDefault="00B43DCC" w:rsidP="00B43DCC">
            <w:pPr>
              <w:spacing w:after="0" w:line="240" w:lineRule="auto"/>
              <w:jc w:val="left"/>
              <w:rPr>
                <w:sz w:val="18"/>
                <w:szCs w:val="18"/>
              </w:rPr>
            </w:pPr>
            <w:r w:rsidRPr="002C21B8">
              <w:rPr>
                <w:sz w:val="18"/>
                <w:szCs w:val="18"/>
              </w:rPr>
              <w:t>Appendix 3</w:t>
            </w:r>
          </w:p>
        </w:tc>
      </w:tr>
      <w:tr w:rsidR="00B43DCC" w:rsidRPr="002C21B8" w14:paraId="7F6ADCDC" w14:textId="77777777" w:rsidTr="00B7125A">
        <w:tc>
          <w:tcPr>
            <w:tcW w:w="1838" w:type="dxa"/>
            <w:vMerge/>
          </w:tcPr>
          <w:p w14:paraId="382099FF" w14:textId="77777777" w:rsidR="00B43DCC" w:rsidRPr="002C21B8" w:rsidRDefault="00B43DCC" w:rsidP="00B43DCC">
            <w:pPr>
              <w:spacing w:after="0" w:line="240" w:lineRule="auto"/>
              <w:jc w:val="left"/>
              <w:rPr>
                <w:sz w:val="18"/>
                <w:szCs w:val="18"/>
              </w:rPr>
            </w:pPr>
          </w:p>
        </w:tc>
        <w:tc>
          <w:tcPr>
            <w:tcW w:w="665" w:type="dxa"/>
          </w:tcPr>
          <w:p w14:paraId="55C0A7A6" w14:textId="77777777" w:rsidR="00B43DCC" w:rsidRPr="002C21B8" w:rsidRDefault="00B43DCC" w:rsidP="00B43DCC">
            <w:pPr>
              <w:spacing w:after="0" w:line="240" w:lineRule="auto"/>
              <w:rPr>
                <w:sz w:val="18"/>
                <w:szCs w:val="18"/>
              </w:rPr>
            </w:pPr>
            <w:r w:rsidRPr="002C21B8">
              <w:rPr>
                <w:sz w:val="18"/>
                <w:szCs w:val="18"/>
              </w:rPr>
              <w:t>18c</w:t>
            </w:r>
          </w:p>
        </w:tc>
        <w:tc>
          <w:tcPr>
            <w:tcW w:w="4863" w:type="dxa"/>
          </w:tcPr>
          <w:p w14:paraId="5AEC673E" w14:textId="77777777" w:rsidR="00B43DCC" w:rsidRPr="002C21B8" w:rsidRDefault="00B43DCC" w:rsidP="00B43DCC">
            <w:pPr>
              <w:pStyle w:val="p1"/>
              <w:rPr>
                <w:sz w:val="18"/>
                <w:szCs w:val="18"/>
              </w:rPr>
            </w:pPr>
            <w:r w:rsidRPr="002C21B8">
              <w:rPr>
                <w:sz w:val="18"/>
                <w:szCs w:val="18"/>
              </w:rPr>
              <w:t>Present assessments of the risk of bias of supplemental primary studies (if included).</w:t>
            </w:r>
          </w:p>
        </w:tc>
        <w:tc>
          <w:tcPr>
            <w:tcW w:w="1843" w:type="dxa"/>
          </w:tcPr>
          <w:p w14:paraId="3A418A7E" w14:textId="6AB05C0E" w:rsidR="00B43DCC" w:rsidRPr="002C21B8" w:rsidRDefault="00B43DCC" w:rsidP="00B43DCC">
            <w:pPr>
              <w:spacing w:after="0" w:line="240" w:lineRule="auto"/>
              <w:jc w:val="left"/>
              <w:rPr>
                <w:sz w:val="18"/>
                <w:szCs w:val="18"/>
              </w:rPr>
            </w:pPr>
            <w:r w:rsidRPr="002C21B8">
              <w:rPr>
                <w:sz w:val="18"/>
                <w:szCs w:val="18"/>
              </w:rPr>
              <w:t>Appendix 3</w:t>
            </w:r>
          </w:p>
        </w:tc>
      </w:tr>
      <w:tr w:rsidR="00B43DCC" w:rsidRPr="002C21B8" w14:paraId="77C1CE49" w14:textId="77777777" w:rsidTr="00B7125A">
        <w:tc>
          <w:tcPr>
            <w:tcW w:w="1838" w:type="dxa"/>
            <w:vMerge w:val="restart"/>
          </w:tcPr>
          <w:p w14:paraId="41A7E300" w14:textId="77777777" w:rsidR="00B43DCC" w:rsidRPr="002C21B8" w:rsidRDefault="00B43DCC" w:rsidP="00B43DCC">
            <w:pPr>
              <w:spacing w:after="0" w:line="240" w:lineRule="auto"/>
              <w:jc w:val="left"/>
              <w:rPr>
                <w:sz w:val="18"/>
                <w:szCs w:val="18"/>
              </w:rPr>
            </w:pPr>
            <w:r w:rsidRPr="002C21B8">
              <w:rPr>
                <w:sz w:val="18"/>
                <w:szCs w:val="18"/>
              </w:rPr>
              <w:t>Summary or synthesis of results</w:t>
            </w:r>
          </w:p>
        </w:tc>
        <w:tc>
          <w:tcPr>
            <w:tcW w:w="665" w:type="dxa"/>
          </w:tcPr>
          <w:p w14:paraId="60BC533C" w14:textId="77777777" w:rsidR="00B43DCC" w:rsidRPr="002C21B8" w:rsidRDefault="00B43DCC" w:rsidP="00B43DCC">
            <w:pPr>
              <w:spacing w:after="0" w:line="240" w:lineRule="auto"/>
              <w:rPr>
                <w:sz w:val="18"/>
                <w:szCs w:val="18"/>
              </w:rPr>
            </w:pPr>
            <w:r w:rsidRPr="002C21B8">
              <w:rPr>
                <w:sz w:val="18"/>
                <w:szCs w:val="18"/>
              </w:rPr>
              <w:t>19a</w:t>
            </w:r>
          </w:p>
        </w:tc>
        <w:tc>
          <w:tcPr>
            <w:tcW w:w="4863" w:type="dxa"/>
          </w:tcPr>
          <w:p w14:paraId="33D215A4" w14:textId="50D46FD6" w:rsidR="00B43DCC" w:rsidRPr="002C21B8" w:rsidRDefault="00B43DCC" w:rsidP="00B43DCC">
            <w:pPr>
              <w:pStyle w:val="p1"/>
              <w:rPr>
                <w:sz w:val="18"/>
                <w:szCs w:val="18"/>
              </w:rPr>
            </w:pPr>
            <w:r w:rsidRPr="002C21B8">
              <w:rPr>
                <w:sz w:val="18"/>
                <w:szCs w:val="18"/>
              </w:rPr>
              <w:t>For all outcomes, summari</w:t>
            </w:r>
            <w:r w:rsidR="004013B1" w:rsidRPr="002C21B8">
              <w:rPr>
                <w:sz w:val="18"/>
                <w:szCs w:val="18"/>
              </w:rPr>
              <w:t>s</w:t>
            </w:r>
            <w:r w:rsidRPr="002C21B8">
              <w:rPr>
                <w:sz w:val="18"/>
                <w:szCs w:val="18"/>
              </w:rPr>
              <w:t>e the evidence from the systematic reviews and supplemental primary studies (if included). If meta-analyses were done, present for each the summary estimate and its precision and measures of statistical heterogeneity. If comparing groups, describe the direction of the effect.</w:t>
            </w:r>
          </w:p>
        </w:tc>
        <w:tc>
          <w:tcPr>
            <w:tcW w:w="1843" w:type="dxa"/>
          </w:tcPr>
          <w:p w14:paraId="1D94FD30" w14:textId="0A9D0AE8" w:rsidR="00B43DCC" w:rsidRPr="002C21B8" w:rsidRDefault="00B43DCC" w:rsidP="00B43DCC">
            <w:pPr>
              <w:spacing w:after="0" w:line="240" w:lineRule="auto"/>
              <w:jc w:val="left"/>
              <w:rPr>
                <w:sz w:val="18"/>
                <w:szCs w:val="18"/>
              </w:rPr>
            </w:pPr>
            <w:r w:rsidRPr="002C21B8">
              <w:rPr>
                <w:sz w:val="18"/>
                <w:szCs w:val="18"/>
              </w:rPr>
              <w:t>Results - synthesis of qualitative findings</w:t>
            </w:r>
          </w:p>
        </w:tc>
      </w:tr>
      <w:tr w:rsidR="00B43DCC" w:rsidRPr="002C21B8" w14:paraId="5B570D5F" w14:textId="77777777" w:rsidTr="00B7125A">
        <w:tc>
          <w:tcPr>
            <w:tcW w:w="1838" w:type="dxa"/>
            <w:vMerge/>
          </w:tcPr>
          <w:p w14:paraId="6113BB08" w14:textId="77777777" w:rsidR="00B43DCC" w:rsidRPr="002C21B8" w:rsidRDefault="00B43DCC" w:rsidP="00B43DCC">
            <w:pPr>
              <w:spacing w:after="0" w:line="240" w:lineRule="auto"/>
              <w:jc w:val="left"/>
              <w:rPr>
                <w:sz w:val="18"/>
                <w:szCs w:val="18"/>
              </w:rPr>
            </w:pPr>
          </w:p>
        </w:tc>
        <w:tc>
          <w:tcPr>
            <w:tcW w:w="665" w:type="dxa"/>
          </w:tcPr>
          <w:p w14:paraId="4CFB0D21" w14:textId="77777777" w:rsidR="00B43DCC" w:rsidRPr="002C21B8" w:rsidRDefault="00B43DCC" w:rsidP="00B43DCC">
            <w:pPr>
              <w:spacing w:after="0" w:line="240" w:lineRule="auto"/>
              <w:rPr>
                <w:sz w:val="18"/>
                <w:szCs w:val="18"/>
              </w:rPr>
            </w:pPr>
            <w:r w:rsidRPr="002C21B8">
              <w:rPr>
                <w:sz w:val="18"/>
                <w:szCs w:val="18"/>
              </w:rPr>
              <w:t>19b</w:t>
            </w:r>
          </w:p>
        </w:tc>
        <w:tc>
          <w:tcPr>
            <w:tcW w:w="4863" w:type="dxa"/>
          </w:tcPr>
          <w:p w14:paraId="5633820E" w14:textId="77777777" w:rsidR="00B43DCC" w:rsidRPr="002C21B8" w:rsidRDefault="00B43DCC" w:rsidP="00B43DCC">
            <w:pPr>
              <w:pStyle w:val="p1"/>
              <w:rPr>
                <w:sz w:val="18"/>
                <w:szCs w:val="18"/>
              </w:rPr>
            </w:pPr>
            <w:r w:rsidRPr="002C21B8">
              <w:rPr>
                <w:sz w:val="18"/>
                <w:szCs w:val="18"/>
              </w:rPr>
              <w:t>If meta-analyses were done, present results of all investigations of possible causes of heterogeneity.</w:t>
            </w:r>
          </w:p>
        </w:tc>
        <w:tc>
          <w:tcPr>
            <w:tcW w:w="1843" w:type="dxa"/>
          </w:tcPr>
          <w:p w14:paraId="11112F7A" w14:textId="77777777" w:rsidR="00B43DCC" w:rsidRPr="002C21B8" w:rsidRDefault="00B43DCC" w:rsidP="00B43DCC">
            <w:pPr>
              <w:spacing w:after="0" w:line="240" w:lineRule="auto"/>
              <w:jc w:val="left"/>
              <w:rPr>
                <w:sz w:val="18"/>
                <w:szCs w:val="18"/>
              </w:rPr>
            </w:pPr>
            <w:r w:rsidRPr="002C21B8">
              <w:rPr>
                <w:sz w:val="18"/>
                <w:szCs w:val="18"/>
              </w:rPr>
              <w:t>NA</w:t>
            </w:r>
          </w:p>
        </w:tc>
      </w:tr>
      <w:tr w:rsidR="00B43DCC" w:rsidRPr="002C21B8" w14:paraId="56E380A4" w14:textId="77777777" w:rsidTr="00B7125A">
        <w:tc>
          <w:tcPr>
            <w:tcW w:w="1838" w:type="dxa"/>
            <w:vMerge/>
          </w:tcPr>
          <w:p w14:paraId="35A8DC3D" w14:textId="77777777" w:rsidR="00B43DCC" w:rsidRPr="002C21B8" w:rsidRDefault="00B43DCC" w:rsidP="00B43DCC">
            <w:pPr>
              <w:spacing w:after="0" w:line="240" w:lineRule="auto"/>
              <w:jc w:val="left"/>
              <w:rPr>
                <w:sz w:val="18"/>
                <w:szCs w:val="18"/>
              </w:rPr>
            </w:pPr>
          </w:p>
        </w:tc>
        <w:tc>
          <w:tcPr>
            <w:tcW w:w="665" w:type="dxa"/>
          </w:tcPr>
          <w:p w14:paraId="2A15EB20" w14:textId="77777777" w:rsidR="00B43DCC" w:rsidRPr="002C21B8" w:rsidRDefault="00B43DCC" w:rsidP="00B43DCC">
            <w:pPr>
              <w:spacing w:after="0" w:line="240" w:lineRule="auto"/>
              <w:rPr>
                <w:sz w:val="18"/>
                <w:szCs w:val="18"/>
              </w:rPr>
            </w:pPr>
            <w:r w:rsidRPr="002C21B8">
              <w:rPr>
                <w:sz w:val="18"/>
                <w:szCs w:val="18"/>
              </w:rPr>
              <w:t>19c</w:t>
            </w:r>
          </w:p>
        </w:tc>
        <w:tc>
          <w:tcPr>
            <w:tcW w:w="4863" w:type="dxa"/>
          </w:tcPr>
          <w:p w14:paraId="25E9F1BC" w14:textId="1275EEC2" w:rsidR="00B43DCC" w:rsidRPr="002C21B8" w:rsidRDefault="00B43DCC" w:rsidP="00B43DCC">
            <w:pPr>
              <w:pStyle w:val="p1"/>
              <w:rPr>
                <w:sz w:val="18"/>
                <w:szCs w:val="18"/>
              </w:rPr>
            </w:pPr>
            <w:r w:rsidRPr="002C21B8">
              <w:rPr>
                <w:sz w:val="18"/>
                <w:szCs w:val="18"/>
              </w:rPr>
              <w:t>If meta-analyses were done, present results of all sensitivity analyses conducted to assess the robustness of synthesi</w:t>
            </w:r>
            <w:r w:rsidR="004013B1" w:rsidRPr="002C21B8">
              <w:rPr>
                <w:sz w:val="18"/>
                <w:szCs w:val="18"/>
              </w:rPr>
              <w:t>s</w:t>
            </w:r>
            <w:r w:rsidRPr="002C21B8">
              <w:rPr>
                <w:sz w:val="18"/>
                <w:szCs w:val="18"/>
              </w:rPr>
              <w:t>ed results.</w:t>
            </w:r>
          </w:p>
        </w:tc>
        <w:tc>
          <w:tcPr>
            <w:tcW w:w="1843" w:type="dxa"/>
          </w:tcPr>
          <w:p w14:paraId="1AEB7B3D" w14:textId="77777777" w:rsidR="00B43DCC" w:rsidRPr="002C21B8" w:rsidRDefault="00B43DCC" w:rsidP="00B43DCC">
            <w:pPr>
              <w:spacing w:after="0" w:line="240" w:lineRule="auto"/>
              <w:jc w:val="left"/>
              <w:rPr>
                <w:sz w:val="18"/>
                <w:szCs w:val="18"/>
              </w:rPr>
            </w:pPr>
            <w:r w:rsidRPr="002C21B8">
              <w:rPr>
                <w:sz w:val="18"/>
                <w:szCs w:val="18"/>
              </w:rPr>
              <w:t>NA</w:t>
            </w:r>
          </w:p>
        </w:tc>
      </w:tr>
      <w:tr w:rsidR="00B43DCC" w:rsidRPr="002C21B8" w14:paraId="18FACF49" w14:textId="77777777" w:rsidTr="00B7125A">
        <w:tc>
          <w:tcPr>
            <w:tcW w:w="1838" w:type="dxa"/>
          </w:tcPr>
          <w:p w14:paraId="70CAF73B" w14:textId="77777777" w:rsidR="00B43DCC" w:rsidRPr="002C21B8" w:rsidRDefault="00B43DCC" w:rsidP="00B43DCC">
            <w:pPr>
              <w:spacing w:after="0" w:line="240" w:lineRule="auto"/>
              <w:jc w:val="left"/>
              <w:rPr>
                <w:sz w:val="18"/>
                <w:szCs w:val="18"/>
              </w:rPr>
            </w:pPr>
            <w:r w:rsidRPr="002C21B8">
              <w:rPr>
                <w:sz w:val="18"/>
                <w:szCs w:val="18"/>
              </w:rPr>
              <w:t>Reporting biases</w:t>
            </w:r>
          </w:p>
        </w:tc>
        <w:tc>
          <w:tcPr>
            <w:tcW w:w="665" w:type="dxa"/>
          </w:tcPr>
          <w:p w14:paraId="357B829A" w14:textId="77777777" w:rsidR="00B43DCC" w:rsidRPr="002C21B8" w:rsidRDefault="00B43DCC" w:rsidP="00B43DCC">
            <w:pPr>
              <w:spacing w:after="0" w:line="240" w:lineRule="auto"/>
              <w:rPr>
                <w:sz w:val="18"/>
                <w:szCs w:val="18"/>
              </w:rPr>
            </w:pPr>
            <w:r w:rsidRPr="002C21B8">
              <w:rPr>
                <w:sz w:val="18"/>
                <w:szCs w:val="18"/>
              </w:rPr>
              <w:t>20</w:t>
            </w:r>
          </w:p>
        </w:tc>
        <w:tc>
          <w:tcPr>
            <w:tcW w:w="4863" w:type="dxa"/>
          </w:tcPr>
          <w:p w14:paraId="5E4E24A3" w14:textId="77777777" w:rsidR="00B43DCC" w:rsidRPr="002C21B8" w:rsidRDefault="00B43DCC" w:rsidP="00B43DCC">
            <w:pPr>
              <w:pStyle w:val="p1"/>
              <w:rPr>
                <w:sz w:val="18"/>
                <w:szCs w:val="18"/>
              </w:rPr>
            </w:pPr>
            <w:r w:rsidRPr="002C21B8">
              <w:rPr>
                <w:sz w:val="18"/>
                <w:szCs w:val="18"/>
              </w:rPr>
              <w:t>Present assessments (collected from systematic reviews and/or assessed anew) of the risk of bias due to missing primary studies, analyses, or results in a summary or synthesis (arising from reporting biases at the levels of the systematic reviews, primary studies, and supplemental primary studies, if included) for each summary or synthesis assessed.</w:t>
            </w:r>
          </w:p>
        </w:tc>
        <w:tc>
          <w:tcPr>
            <w:tcW w:w="1843" w:type="dxa"/>
          </w:tcPr>
          <w:p w14:paraId="76E0611F" w14:textId="4B249356" w:rsidR="00B43DCC" w:rsidRPr="002C21B8" w:rsidRDefault="00B43DCC" w:rsidP="00B43DCC">
            <w:pPr>
              <w:spacing w:after="0" w:line="240" w:lineRule="auto"/>
              <w:jc w:val="left"/>
              <w:rPr>
                <w:sz w:val="18"/>
                <w:szCs w:val="18"/>
              </w:rPr>
            </w:pPr>
            <w:r w:rsidRPr="002C21B8">
              <w:rPr>
                <w:sz w:val="18"/>
                <w:szCs w:val="18"/>
              </w:rPr>
              <w:t>Appendix 3</w:t>
            </w:r>
          </w:p>
        </w:tc>
      </w:tr>
      <w:tr w:rsidR="00B43DCC" w:rsidRPr="002C21B8" w14:paraId="002EF07F" w14:textId="77777777" w:rsidTr="00B7125A">
        <w:tc>
          <w:tcPr>
            <w:tcW w:w="1838" w:type="dxa"/>
          </w:tcPr>
          <w:p w14:paraId="68EEE215" w14:textId="77777777" w:rsidR="00B43DCC" w:rsidRPr="002C21B8" w:rsidRDefault="00B43DCC" w:rsidP="00B43DCC">
            <w:pPr>
              <w:spacing w:after="0" w:line="240" w:lineRule="auto"/>
              <w:jc w:val="left"/>
              <w:rPr>
                <w:sz w:val="18"/>
                <w:szCs w:val="18"/>
              </w:rPr>
            </w:pPr>
            <w:r w:rsidRPr="002C21B8">
              <w:rPr>
                <w:sz w:val="18"/>
                <w:szCs w:val="18"/>
              </w:rPr>
              <w:t>Certainty of evidence</w:t>
            </w:r>
          </w:p>
        </w:tc>
        <w:tc>
          <w:tcPr>
            <w:tcW w:w="665" w:type="dxa"/>
          </w:tcPr>
          <w:p w14:paraId="2F64332B" w14:textId="77777777" w:rsidR="00B43DCC" w:rsidRPr="002C21B8" w:rsidRDefault="00B43DCC" w:rsidP="00B43DCC">
            <w:pPr>
              <w:spacing w:after="0" w:line="240" w:lineRule="auto"/>
              <w:rPr>
                <w:sz w:val="18"/>
                <w:szCs w:val="18"/>
              </w:rPr>
            </w:pPr>
            <w:r w:rsidRPr="002C21B8">
              <w:rPr>
                <w:sz w:val="18"/>
                <w:szCs w:val="18"/>
              </w:rPr>
              <w:t>21</w:t>
            </w:r>
          </w:p>
        </w:tc>
        <w:tc>
          <w:tcPr>
            <w:tcW w:w="4863" w:type="dxa"/>
          </w:tcPr>
          <w:p w14:paraId="320BD5E8" w14:textId="77777777" w:rsidR="00B43DCC" w:rsidRPr="002C21B8" w:rsidRDefault="00B43DCC" w:rsidP="00B43DCC">
            <w:pPr>
              <w:pStyle w:val="p1"/>
              <w:rPr>
                <w:sz w:val="18"/>
                <w:szCs w:val="18"/>
              </w:rPr>
            </w:pPr>
            <w:r w:rsidRPr="002C21B8">
              <w:rPr>
                <w:sz w:val="18"/>
                <w:szCs w:val="18"/>
              </w:rPr>
              <w:t>Present assessments (collected or assessed anew) of certainty (or confidence) in the body of evidence for each outcome.</w:t>
            </w:r>
          </w:p>
        </w:tc>
        <w:tc>
          <w:tcPr>
            <w:tcW w:w="1843" w:type="dxa"/>
          </w:tcPr>
          <w:p w14:paraId="0B1A0498" w14:textId="674005D1" w:rsidR="00B43DCC" w:rsidRPr="002C21B8" w:rsidRDefault="001B5ADC" w:rsidP="00B43DCC">
            <w:pPr>
              <w:spacing w:after="0" w:line="240" w:lineRule="auto"/>
              <w:jc w:val="left"/>
              <w:rPr>
                <w:sz w:val="18"/>
                <w:szCs w:val="18"/>
              </w:rPr>
            </w:pPr>
            <w:r w:rsidRPr="002C21B8">
              <w:rPr>
                <w:sz w:val="18"/>
                <w:szCs w:val="18"/>
              </w:rPr>
              <w:t>Table 9</w:t>
            </w:r>
          </w:p>
        </w:tc>
      </w:tr>
      <w:tr w:rsidR="00B43DCC" w:rsidRPr="002C21B8" w14:paraId="084F4E03" w14:textId="77777777" w:rsidTr="00B7125A">
        <w:tc>
          <w:tcPr>
            <w:tcW w:w="9209" w:type="dxa"/>
            <w:gridSpan w:val="4"/>
          </w:tcPr>
          <w:p w14:paraId="23CCF13C" w14:textId="77777777" w:rsidR="00B43DCC" w:rsidRPr="002C21B8" w:rsidRDefault="00B43DCC" w:rsidP="00B43DCC">
            <w:pPr>
              <w:spacing w:after="0" w:line="240" w:lineRule="auto"/>
              <w:jc w:val="left"/>
              <w:rPr>
                <w:b/>
                <w:bCs/>
                <w:sz w:val="18"/>
                <w:szCs w:val="18"/>
              </w:rPr>
            </w:pPr>
            <w:r w:rsidRPr="002C21B8">
              <w:rPr>
                <w:b/>
                <w:bCs/>
                <w:sz w:val="18"/>
                <w:szCs w:val="18"/>
              </w:rPr>
              <w:t>DISCUSSION</w:t>
            </w:r>
          </w:p>
        </w:tc>
      </w:tr>
      <w:tr w:rsidR="00B43DCC" w:rsidRPr="002C21B8" w14:paraId="368C6D16" w14:textId="77777777" w:rsidTr="00B7125A">
        <w:tc>
          <w:tcPr>
            <w:tcW w:w="1838" w:type="dxa"/>
            <w:vMerge w:val="restart"/>
          </w:tcPr>
          <w:p w14:paraId="65708854" w14:textId="77777777" w:rsidR="00B43DCC" w:rsidRPr="002C21B8" w:rsidRDefault="00B43DCC" w:rsidP="00B43DCC">
            <w:pPr>
              <w:spacing w:after="0" w:line="240" w:lineRule="auto"/>
              <w:jc w:val="left"/>
              <w:rPr>
                <w:sz w:val="18"/>
                <w:szCs w:val="18"/>
              </w:rPr>
            </w:pPr>
            <w:r w:rsidRPr="002C21B8">
              <w:rPr>
                <w:sz w:val="18"/>
                <w:szCs w:val="18"/>
              </w:rPr>
              <w:t>Discussion</w:t>
            </w:r>
          </w:p>
        </w:tc>
        <w:tc>
          <w:tcPr>
            <w:tcW w:w="665" w:type="dxa"/>
          </w:tcPr>
          <w:p w14:paraId="292AE40C" w14:textId="77777777" w:rsidR="00B43DCC" w:rsidRPr="002C21B8" w:rsidRDefault="00B43DCC" w:rsidP="00B43DCC">
            <w:pPr>
              <w:spacing w:after="0" w:line="240" w:lineRule="auto"/>
              <w:rPr>
                <w:sz w:val="18"/>
                <w:szCs w:val="18"/>
              </w:rPr>
            </w:pPr>
            <w:r w:rsidRPr="002C21B8">
              <w:rPr>
                <w:sz w:val="18"/>
                <w:szCs w:val="18"/>
              </w:rPr>
              <w:t>22a</w:t>
            </w:r>
          </w:p>
        </w:tc>
        <w:tc>
          <w:tcPr>
            <w:tcW w:w="4863" w:type="dxa"/>
          </w:tcPr>
          <w:p w14:paraId="6D7B588E" w14:textId="77777777" w:rsidR="00B43DCC" w:rsidRPr="002C21B8" w:rsidRDefault="00B43DCC" w:rsidP="00B43DCC">
            <w:pPr>
              <w:spacing w:after="0" w:line="240" w:lineRule="auto"/>
              <w:rPr>
                <w:sz w:val="18"/>
                <w:szCs w:val="18"/>
              </w:rPr>
            </w:pPr>
            <w:r w:rsidRPr="002C21B8">
              <w:rPr>
                <w:sz w:val="18"/>
                <w:szCs w:val="18"/>
              </w:rPr>
              <w:t>Summarise the main findings, including any discrepancies in findings across the included systematic reviews and supplemental primary studies (if included).</w:t>
            </w:r>
          </w:p>
        </w:tc>
        <w:tc>
          <w:tcPr>
            <w:tcW w:w="1843" w:type="dxa"/>
          </w:tcPr>
          <w:p w14:paraId="30012245" w14:textId="04DA8128" w:rsidR="00B43DCC" w:rsidRPr="002C21B8" w:rsidRDefault="00297031" w:rsidP="00B43DCC">
            <w:pPr>
              <w:spacing w:after="0" w:line="240" w:lineRule="auto"/>
              <w:jc w:val="left"/>
              <w:rPr>
                <w:sz w:val="18"/>
                <w:szCs w:val="18"/>
              </w:rPr>
            </w:pPr>
            <w:r w:rsidRPr="002C21B8">
              <w:rPr>
                <w:sz w:val="18"/>
                <w:szCs w:val="18"/>
              </w:rPr>
              <w:t>Discussion - key findings</w:t>
            </w:r>
          </w:p>
        </w:tc>
      </w:tr>
      <w:tr w:rsidR="00B43DCC" w:rsidRPr="002C21B8" w14:paraId="562EE919" w14:textId="77777777" w:rsidTr="00B7125A">
        <w:tc>
          <w:tcPr>
            <w:tcW w:w="1838" w:type="dxa"/>
            <w:vMerge/>
          </w:tcPr>
          <w:p w14:paraId="4441AB6D" w14:textId="77777777" w:rsidR="00B43DCC" w:rsidRPr="002C21B8" w:rsidRDefault="00B43DCC" w:rsidP="00B43DCC">
            <w:pPr>
              <w:spacing w:after="0" w:line="240" w:lineRule="auto"/>
              <w:jc w:val="left"/>
              <w:rPr>
                <w:sz w:val="18"/>
                <w:szCs w:val="18"/>
              </w:rPr>
            </w:pPr>
          </w:p>
        </w:tc>
        <w:tc>
          <w:tcPr>
            <w:tcW w:w="665" w:type="dxa"/>
          </w:tcPr>
          <w:p w14:paraId="265A448C" w14:textId="77777777" w:rsidR="00B43DCC" w:rsidRPr="002C21B8" w:rsidRDefault="00B43DCC" w:rsidP="00B43DCC">
            <w:pPr>
              <w:spacing w:after="0" w:line="240" w:lineRule="auto"/>
              <w:rPr>
                <w:sz w:val="18"/>
                <w:szCs w:val="18"/>
              </w:rPr>
            </w:pPr>
            <w:r w:rsidRPr="002C21B8">
              <w:rPr>
                <w:sz w:val="18"/>
                <w:szCs w:val="18"/>
              </w:rPr>
              <w:t>22b</w:t>
            </w:r>
          </w:p>
        </w:tc>
        <w:tc>
          <w:tcPr>
            <w:tcW w:w="4863" w:type="dxa"/>
          </w:tcPr>
          <w:p w14:paraId="7004816E" w14:textId="77777777" w:rsidR="00B43DCC" w:rsidRPr="002C21B8" w:rsidRDefault="00B43DCC" w:rsidP="00B43DCC">
            <w:pPr>
              <w:spacing w:after="0" w:line="240" w:lineRule="auto"/>
              <w:rPr>
                <w:sz w:val="18"/>
                <w:szCs w:val="18"/>
              </w:rPr>
            </w:pPr>
            <w:r w:rsidRPr="002C21B8">
              <w:rPr>
                <w:sz w:val="18"/>
                <w:szCs w:val="18"/>
              </w:rPr>
              <w:t>Provide a general interpretation of results in the context of other evidence.</w:t>
            </w:r>
          </w:p>
        </w:tc>
        <w:tc>
          <w:tcPr>
            <w:tcW w:w="1843" w:type="dxa"/>
          </w:tcPr>
          <w:p w14:paraId="77E6393E" w14:textId="07BB24C4" w:rsidR="00B43DCC" w:rsidRPr="002C21B8" w:rsidRDefault="00297031" w:rsidP="00B43DCC">
            <w:pPr>
              <w:spacing w:after="0" w:line="240" w:lineRule="auto"/>
              <w:jc w:val="left"/>
              <w:rPr>
                <w:sz w:val="18"/>
                <w:szCs w:val="18"/>
              </w:rPr>
            </w:pPr>
            <w:r w:rsidRPr="002C21B8">
              <w:rPr>
                <w:sz w:val="18"/>
                <w:szCs w:val="18"/>
              </w:rPr>
              <w:t>Discussion - our findings in the wider context</w:t>
            </w:r>
          </w:p>
        </w:tc>
      </w:tr>
      <w:tr w:rsidR="00B43DCC" w:rsidRPr="002C21B8" w14:paraId="531535D3" w14:textId="77777777" w:rsidTr="00B7125A">
        <w:tc>
          <w:tcPr>
            <w:tcW w:w="1838" w:type="dxa"/>
            <w:vMerge/>
          </w:tcPr>
          <w:p w14:paraId="60B13B5F" w14:textId="77777777" w:rsidR="00B43DCC" w:rsidRPr="002C21B8" w:rsidRDefault="00B43DCC" w:rsidP="00B43DCC">
            <w:pPr>
              <w:spacing w:after="0" w:line="240" w:lineRule="auto"/>
              <w:jc w:val="left"/>
              <w:rPr>
                <w:sz w:val="18"/>
                <w:szCs w:val="18"/>
              </w:rPr>
            </w:pPr>
          </w:p>
        </w:tc>
        <w:tc>
          <w:tcPr>
            <w:tcW w:w="665" w:type="dxa"/>
          </w:tcPr>
          <w:p w14:paraId="0A3F9CCF" w14:textId="77777777" w:rsidR="00B43DCC" w:rsidRPr="002C21B8" w:rsidRDefault="00B43DCC" w:rsidP="00B43DCC">
            <w:pPr>
              <w:spacing w:after="0" w:line="240" w:lineRule="auto"/>
              <w:rPr>
                <w:sz w:val="18"/>
                <w:szCs w:val="18"/>
              </w:rPr>
            </w:pPr>
            <w:r w:rsidRPr="002C21B8">
              <w:rPr>
                <w:sz w:val="18"/>
                <w:szCs w:val="18"/>
              </w:rPr>
              <w:t>22c</w:t>
            </w:r>
          </w:p>
        </w:tc>
        <w:tc>
          <w:tcPr>
            <w:tcW w:w="4863" w:type="dxa"/>
          </w:tcPr>
          <w:p w14:paraId="456F56E3" w14:textId="745E3E88" w:rsidR="00B43DCC" w:rsidRPr="002C21B8" w:rsidRDefault="00B43DCC" w:rsidP="00B43DCC">
            <w:pPr>
              <w:spacing w:after="0" w:line="240" w:lineRule="auto"/>
              <w:rPr>
                <w:sz w:val="18"/>
                <w:szCs w:val="18"/>
              </w:rPr>
            </w:pPr>
            <w:r w:rsidRPr="002C21B8">
              <w:rPr>
                <w:sz w:val="18"/>
                <w:szCs w:val="18"/>
              </w:rPr>
              <w:t xml:space="preserve">Discuss any limitations of the evidence from systematic reviews, their primary studies, and supplemental primary studies (if included) included in the </w:t>
            </w:r>
            <w:r w:rsidR="00E06102" w:rsidRPr="002C21B8">
              <w:rPr>
                <w:sz w:val="18"/>
                <w:szCs w:val="18"/>
              </w:rPr>
              <w:t>overview of systematic reviews</w:t>
            </w:r>
            <w:r w:rsidRPr="002C21B8">
              <w:rPr>
                <w:sz w:val="18"/>
                <w:szCs w:val="18"/>
              </w:rPr>
              <w:t xml:space="preserve">. Discuss any limitations of the </w:t>
            </w:r>
            <w:r w:rsidR="004013B1" w:rsidRPr="002C21B8">
              <w:rPr>
                <w:sz w:val="18"/>
                <w:szCs w:val="18"/>
              </w:rPr>
              <w:t xml:space="preserve">methods used in the </w:t>
            </w:r>
            <w:r w:rsidR="00E06102" w:rsidRPr="002C21B8">
              <w:rPr>
                <w:sz w:val="18"/>
                <w:szCs w:val="18"/>
              </w:rPr>
              <w:t>overview of systematic reviews</w:t>
            </w:r>
            <w:r w:rsidRPr="002C21B8">
              <w:rPr>
                <w:sz w:val="18"/>
                <w:szCs w:val="18"/>
              </w:rPr>
              <w:t>.</w:t>
            </w:r>
          </w:p>
        </w:tc>
        <w:tc>
          <w:tcPr>
            <w:tcW w:w="1843" w:type="dxa"/>
          </w:tcPr>
          <w:p w14:paraId="5B652A50" w14:textId="0941E001" w:rsidR="00B43DCC" w:rsidRPr="002C21B8" w:rsidRDefault="00297031" w:rsidP="00B43DCC">
            <w:pPr>
              <w:spacing w:after="0" w:line="240" w:lineRule="auto"/>
              <w:jc w:val="left"/>
              <w:rPr>
                <w:sz w:val="18"/>
                <w:szCs w:val="18"/>
              </w:rPr>
            </w:pPr>
            <w:r w:rsidRPr="002C21B8">
              <w:rPr>
                <w:sz w:val="18"/>
                <w:szCs w:val="18"/>
              </w:rPr>
              <w:t>Discussion - strengths and weaknesses</w:t>
            </w:r>
          </w:p>
        </w:tc>
      </w:tr>
      <w:tr w:rsidR="00B43DCC" w:rsidRPr="002C21B8" w14:paraId="72A709A3" w14:textId="77777777" w:rsidTr="00B7125A">
        <w:trPr>
          <w:trHeight w:val="979"/>
        </w:trPr>
        <w:tc>
          <w:tcPr>
            <w:tcW w:w="1838" w:type="dxa"/>
            <w:vMerge/>
          </w:tcPr>
          <w:p w14:paraId="6FBEB5AB" w14:textId="77777777" w:rsidR="00B43DCC" w:rsidRPr="002C21B8" w:rsidRDefault="00B43DCC" w:rsidP="00B43DCC">
            <w:pPr>
              <w:spacing w:after="0" w:line="240" w:lineRule="auto"/>
              <w:jc w:val="left"/>
              <w:rPr>
                <w:sz w:val="18"/>
                <w:szCs w:val="18"/>
              </w:rPr>
            </w:pPr>
          </w:p>
        </w:tc>
        <w:tc>
          <w:tcPr>
            <w:tcW w:w="665" w:type="dxa"/>
          </w:tcPr>
          <w:p w14:paraId="024C4F0C" w14:textId="77777777" w:rsidR="00B43DCC" w:rsidRPr="002C21B8" w:rsidRDefault="00B43DCC" w:rsidP="00B43DCC">
            <w:pPr>
              <w:spacing w:after="0" w:line="240" w:lineRule="auto"/>
              <w:rPr>
                <w:sz w:val="18"/>
                <w:szCs w:val="18"/>
              </w:rPr>
            </w:pPr>
            <w:r w:rsidRPr="002C21B8">
              <w:rPr>
                <w:sz w:val="18"/>
                <w:szCs w:val="18"/>
              </w:rPr>
              <w:t>22d</w:t>
            </w:r>
          </w:p>
        </w:tc>
        <w:tc>
          <w:tcPr>
            <w:tcW w:w="4863" w:type="dxa"/>
          </w:tcPr>
          <w:p w14:paraId="44811E74" w14:textId="6CA6C4A6" w:rsidR="00B43DCC" w:rsidRPr="002C21B8" w:rsidRDefault="00B43DCC" w:rsidP="00B43DCC">
            <w:pPr>
              <w:spacing w:after="0" w:line="240" w:lineRule="auto"/>
              <w:rPr>
                <w:sz w:val="18"/>
                <w:szCs w:val="18"/>
              </w:rPr>
            </w:pPr>
            <w:r w:rsidRPr="002C21B8">
              <w:rPr>
                <w:sz w:val="18"/>
                <w:szCs w:val="18"/>
              </w:rPr>
              <w:t xml:space="preserve">Discuss implications for practice, policy and future research (both systematic reviews and primary research). Consider the relevance of the findings to the end users of the </w:t>
            </w:r>
            <w:r w:rsidR="00E06102" w:rsidRPr="002C21B8">
              <w:rPr>
                <w:sz w:val="18"/>
                <w:szCs w:val="18"/>
              </w:rPr>
              <w:t>overview of systematic reviews</w:t>
            </w:r>
            <w:r w:rsidRPr="002C21B8">
              <w:rPr>
                <w:sz w:val="18"/>
                <w:szCs w:val="18"/>
              </w:rPr>
              <w:t xml:space="preserve"> e.g. healthcare providers, policymakers, patients, among others.</w:t>
            </w:r>
          </w:p>
        </w:tc>
        <w:tc>
          <w:tcPr>
            <w:tcW w:w="1843" w:type="dxa"/>
          </w:tcPr>
          <w:p w14:paraId="287A3098" w14:textId="20EA3ADA" w:rsidR="00B43DCC" w:rsidRPr="002C21B8" w:rsidRDefault="00297031" w:rsidP="00B43DCC">
            <w:pPr>
              <w:spacing w:after="0" w:line="240" w:lineRule="auto"/>
              <w:jc w:val="left"/>
              <w:rPr>
                <w:sz w:val="18"/>
                <w:szCs w:val="18"/>
              </w:rPr>
            </w:pPr>
            <w:r w:rsidRPr="002C21B8">
              <w:rPr>
                <w:sz w:val="18"/>
                <w:szCs w:val="18"/>
              </w:rPr>
              <w:t>Discussion - implications for clinical practice and areas for future research</w:t>
            </w:r>
          </w:p>
        </w:tc>
      </w:tr>
      <w:tr w:rsidR="00B43DCC" w:rsidRPr="002C21B8" w14:paraId="128F118E" w14:textId="77777777" w:rsidTr="00B7125A">
        <w:tc>
          <w:tcPr>
            <w:tcW w:w="9209" w:type="dxa"/>
            <w:gridSpan w:val="4"/>
          </w:tcPr>
          <w:p w14:paraId="0D29AAEE" w14:textId="77777777" w:rsidR="00B43DCC" w:rsidRPr="002C21B8" w:rsidRDefault="00B43DCC" w:rsidP="00B43DCC">
            <w:pPr>
              <w:spacing w:after="0" w:line="240" w:lineRule="auto"/>
              <w:jc w:val="left"/>
              <w:rPr>
                <w:b/>
                <w:bCs/>
                <w:sz w:val="18"/>
                <w:szCs w:val="18"/>
              </w:rPr>
            </w:pPr>
            <w:r w:rsidRPr="002C21B8">
              <w:rPr>
                <w:b/>
                <w:bCs/>
                <w:sz w:val="18"/>
                <w:szCs w:val="18"/>
              </w:rPr>
              <w:t>OTHER INFORMATION</w:t>
            </w:r>
          </w:p>
        </w:tc>
      </w:tr>
      <w:tr w:rsidR="00B43DCC" w:rsidRPr="002C21B8" w14:paraId="7FBE9827" w14:textId="77777777" w:rsidTr="00B7125A">
        <w:tc>
          <w:tcPr>
            <w:tcW w:w="1838" w:type="dxa"/>
            <w:vMerge w:val="restart"/>
          </w:tcPr>
          <w:p w14:paraId="15A124B1" w14:textId="77777777" w:rsidR="00B43DCC" w:rsidRPr="002C21B8" w:rsidRDefault="00B43DCC" w:rsidP="00B43DCC">
            <w:pPr>
              <w:spacing w:after="0" w:line="240" w:lineRule="auto"/>
              <w:jc w:val="left"/>
              <w:rPr>
                <w:sz w:val="18"/>
                <w:szCs w:val="18"/>
              </w:rPr>
            </w:pPr>
            <w:r w:rsidRPr="002C21B8">
              <w:rPr>
                <w:sz w:val="18"/>
                <w:szCs w:val="18"/>
              </w:rPr>
              <w:t>Registration and protocol</w:t>
            </w:r>
          </w:p>
        </w:tc>
        <w:tc>
          <w:tcPr>
            <w:tcW w:w="665" w:type="dxa"/>
          </w:tcPr>
          <w:p w14:paraId="6209654D" w14:textId="77777777" w:rsidR="00B43DCC" w:rsidRPr="002C21B8" w:rsidRDefault="00B43DCC" w:rsidP="00B43DCC">
            <w:pPr>
              <w:spacing w:after="0" w:line="240" w:lineRule="auto"/>
              <w:rPr>
                <w:sz w:val="18"/>
                <w:szCs w:val="18"/>
              </w:rPr>
            </w:pPr>
            <w:r w:rsidRPr="002C21B8">
              <w:rPr>
                <w:sz w:val="18"/>
                <w:szCs w:val="18"/>
              </w:rPr>
              <w:t>23a</w:t>
            </w:r>
          </w:p>
        </w:tc>
        <w:tc>
          <w:tcPr>
            <w:tcW w:w="4863" w:type="dxa"/>
          </w:tcPr>
          <w:p w14:paraId="1D80345C" w14:textId="174BC13B" w:rsidR="00B43DCC" w:rsidRPr="002C21B8" w:rsidRDefault="00B43DCC" w:rsidP="00B43DCC">
            <w:pPr>
              <w:spacing w:after="0" w:line="240" w:lineRule="auto"/>
              <w:rPr>
                <w:sz w:val="18"/>
                <w:szCs w:val="18"/>
              </w:rPr>
            </w:pPr>
            <w:r w:rsidRPr="002C21B8">
              <w:rPr>
                <w:sz w:val="18"/>
                <w:szCs w:val="18"/>
              </w:rPr>
              <w:t xml:space="preserve">Provide registration information for the </w:t>
            </w:r>
            <w:r w:rsidR="00E06102" w:rsidRPr="002C21B8">
              <w:rPr>
                <w:sz w:val="18"/>
                <w:szCs w:val="18"/>
              </w:rPr>
              <w:t>overview of systematic reviews</w:t>
            </w:r>
            <w:r w:rsidRPr="002C21B8">
              <w:rPr>
                <w:sz w:val="18"/>
                <w:szCs w:val="18"/>
              </w:rPr>
              <w:t xml:space="preserve">, including register name and registration number, or state that the </w:t>
            </w:r>
            <w:r w:rsidR="00E06102" w:rsidRPr="002C21B8">
              <w:rPr>
                <w:sz w:val="18"/>
                <w:szCs w:val="18"/>
              </w:rPr>
              <w:t>overview of systematic reviews</w:t>
            </w:r>
            <w:r w:rsidRPr="002C21B8">
              <w:rPr>
                <w:sz w:val="18"/>
                <w:szCs w:val="18"/>
              </w:rPr>
              <w:t xml:space="preserve"> was not registered.</w:t>
            </w:r>
          </w:p>
        </w:tc>
        <w:tc>
          <w:tcPr>
            <w:tcW w:w="1843" w:type="dxa"/>
          </w:tcPr>
          <w:p w14:paraId="5A656AC9" w14:textId="55FB2931" w:rsidR="00B43DCC" w:rsidRPr="002C21B8" w:rsidRDefault="00130B9A" w:rsidP="00B43DCC">
            <w:pPr>
              <w:spacing w:after="0" w:line="240" w:lineRule="auto"/>
              <w:jc w:val="left"/>
              <w:rPr>
                <w:sz w:val="18"/>
                <w:szCs w:val="18"/>
              </w:rPr>
            </w:pPr>
            <w:r w:rsidRPr="002C21B8">
              <w:rPr>
                <w:sz w:val="18"/>
                <w:szCs w:val="18"/>
              </w:rPr>
              <w:t>Methods - study design and protocol</w:t>
            </w:r>
          </w:p>
        </w:tc>
      </w:tr>
      <w:tr w:rsidR="00B43DCC" w:rsidRPr="002C21B8" w14:paraId="77F1C34B" w14:textId="77777777" w:rsidTr="00B7125A">
        <w:tc>
          <w:tcPr>
            <w:tcW w:w="1838" w:type="dxa"/>
            <w:vMerge/>
          </w:tcPr>
          <w:p w14:paraId="4DE00907" w14:textId="77777777" w:rsidR="00B43DCC" w:rsidRPr="002C21B8" w:rsidRDefault="00B43DCC" w:rsidP="00B43DCC">
            <w:pPr>
              <w:spacing w:after="0" w:line="240" w:lineRule="auto"/>
              <w:jc w:val="left"/>
              <w:rPr>
                <w:sz w:val="18"/>
                <w:szCs w:val="18"/>
              </w:rPr>
            </w:pPr>
          </w:p>
        </w:tc>
        <w:tc>
          <w:tcPr>
            <w:tcW w:w="665" w:type="dxa"/>
          </w:tcPr>
          <w:p w14:paraId="26C72AEF" w14:textId="77777777" w:rsidR="00B43DCC" w:rsidRPr="002C21B8" w:rsidRDefault="00B43DCC" w:rsidP="00B43DCC">
            <w:pPr>
              <w:spacing w:after="0" w:line="240" w:lineRule="auto"/>
              <w:rPr>
                <w:sz w:val="18"/>
                <w:szCs w:val="18"/>
              </w:rPr>
            </w:pPr>
            <w:r w:rsidRPr="002C21B8">
              <w:rPr>
                <w:sz w:val="18"/>
                <w:szCs w:val="18"/>
              </w:rPr>
              <w:t>23b</w:t>
            </w:r>
          </w:p>
        </w:tc>
        <w:tc>
          <w:tcPr>
            <w:tcW w:w="4863" w:type="dxa"/>
          </w:tcPr>
          <w:p w14:paraId="41C6E10D" w14:textId="5CFA75DB" w:rsidR="00B43DCC" w:rsidRPr="002C21B8" w:rsidRDefault="00B43DCC" w:rsidP="00B43DCC">
            <w:pPr>
              <w:pStyle w:val="p1"/>
              <w:rPr>
                <w:sz w:val="18"/>
                <w:szCs w:val="18"/>
              </w:rPr>
            </w:pPr>
            <w:r w:rsidRPr="002C21B8">
              <w:rPr>
                <w:sz w:val="18"/>
                <w:szCs w:val="18"/>
              </w:rPr>
              <w:t xml:space="preserve">Indicate where the </w:t>
            </w:r>
            <w:r w:rsidR="00E06102" w:rsidRPr="002C21B8">
              <w:rPr>
                <w:sz w:val="18"/>
                <w:szCs w:val="18"/>
              </w:rPr>
              <w:t>overview of systematic reviews</w:t>
            </w:r>
            <w:r w:rsidRPr="002C21B8">
              <w:rPr>
                <w:sz w:val="18"/>
                <w:szCs w:val="18"/>
              </w:rPr>
              <w:t xml:space="preserve"> protocol can be accessed, or state that a protocol was not prepared</w:t>
            </w:r>
          </w:p>
        </w:tc>
        <w:tc>
          <w:tcPr>
            <w:tcW w:w="1843" w:type="dxa"/>
          </w:tcPr>
          <w:p w14:paraId="05B47B7B" w14:textId="43F719A2" w:rsidR="00B43DCC" w:rsidRPr="002C21B8" w:rsidRDefault="00130B9A" w:rsidP="00B43DCC">
            <w:pPr>
              <w:spacing w:after="0" w:line="240" w:lineRule="auto"/>
              <w:jc w:val="left"/>
              <w:rPr>
                <w:sz w:val="18"/>
                <w:szCs w:val="18"/>
              </w:rPr>
            </w:pPr>
            <w:r w:rsidRPr="002C21B8">
              <w:rPr>
                <w:sz w:val="18"/>
                <w:szCs w:val="18"/>
              </w:rPr>
              <w:t>Methods - study design and protocol</w:t>
            </w:r>
          </w:p>
        </w:tc>
      </w:tr>
      <w:tr w:rsidR="00B43DCC" w:rsidRPr="002C21B8" w14:paraId="4218AA79" w14:textId="77777777" w:rsidTr="00B7125A">
        <w:tc>
          <w:tcPr>
            <w:tcW w:w="1838" w:type="dxa"/>
            <w:vMerge/>
          </w:tcPr>
          <w:p w14:paraId="10DE1B7F" w14:textId="77777777" w:rsidR="00B43DCC" w:rsidRPr="002C21B8" w:rsidRDefault="00B43DCC" w:rsidP="00B43DCC">
            <w:pPr>
              <w:spacing w:after="0" w:line="240" w:lineRule="auto"/>
              <w:jc w:val="left"/>
              <w:rPr>
                <w:sz w:val="18"/>
                <w:szCs w:val="18"/>
              </w:rPr>
            </w:pPr>
          </w:p>
        </w:tc>
        <w:tc>
          <w:tcPr>
            <w:tcW w:w="665" w:type="dxa"/>
          </w:tcPr>
          <w:p w14:paraId="33D1855E" w14:textId="77777777" w:rsidR="00B43DCC" w:rsidRPr="002C21B8" w:rsidRDefault="00B43DCC" w:rsidP="00B43DCC">
            <w:pPr>
              <w:spacing w:after="0" w:line="240" w:lineRule="auto"/>
              <w:rPr>
                <w:sz w:val="18"/>
                <w:szCs w:val="18"/>
              </w:rPr>
            </w:pPr>
            <w:r w:rsidRPr="002C21B8">
              <w:rPr>
                <w:sz w:val="18"/>
                <w:szCs w:val="18"/>
              </w:rPr>
              <w:t>23c</w:t>
            </w:r>
          </w:p>
        </w:tc>
        <w:tc>
          <w:tcPr>
            <w:tcW w:w="4863" w:type="dxa"/>
          </w:tcPr>
          <w:p w14:paraId="07F643C3" w14:textId="78E7D685" w:rsidR="00B43DCC" w:rsidRPr="002C21B8" w:rsidRDefault="00B43DCC" w:rsidP="00B43DCC">
            <w:pPr>
              <w:pStyle w:val="p1"/>
              <w:rPr>
                <w:sz w:val="18"/>
                <w:szCs w:val="18"/>
              </w:rPr>
            </w:pPr>
            <w:r w:rsidRPr="002C21B8">
              <w:rPr>
                <w:sz w:val="18"/>
                <w:szCs w:val="18"/>
              </w:rPr>
              <w:t xml:space="preserve">Describe and explain any amendments to information provided at registration or in the protocol. Indicate the stage of the </w:t>
            </w:r>
            <w:r w:rsidR="00E06102" w:rsidRPr="002C21B8">
              <w:rPr>
                <w:sz w:val="18"/>
                <w:szCs w:val="18"/>
              </w:rPr>
              <w:t>overview of systematic reviews</w:t>
            </w:r>
            <w:r w:rsidRPr="002C21B8">
              <w:rPr>
                <w:sz w:val="18"/>
                <w:szCs w:val="18"/>
              </w:rPr>
              <w:t xml:space="preserve"> at which amendments were made.</w:t>
            </w:r>
          </w:p>
        </w:tc>
        <w:tc>
          <w:tcPr>
            <w:tcW w:w="1843" w:type="dxa"/>
          </w:tcPr>
          <w:p w14:paraId="0D9256CD" w14:textId="4AAB41C9" w:rsidR="00B43DCC" w:rsidRPr="002C21B8" w:rsidRDefault="00130B9A" w:rsidP="00B43DCC">
            <w:pPr>
              <w:spacing w:after="0" w:line="240" w:lineRule="auto"/>
              <w:jc w:val="left"/>
              <w:rPr>
                <w:sz w:val="18"/>
                <w:szCs w:val="18"/>
              </w:rPr>
            </w:pPr>
            <w:r w:rsidRPr="002C21B8">
              <w:rPr>
                <w:sz w:val="18"/>
                <w:szCs w:val="18"/>
              </w:rPr>
              <w:t>NA</w:t>
            </w:r>
          </w:p>
        </w:tc>
      </w:tr>
      <w:tr w:rsidR="00B43DCC" w:rsidRPr="002C21B8" w14:paraId="5BF87342" w14:textId="77777777" w:rsidTr="00B7125A">
        <w:tc>
          <w:tcPr>
            <w:tcW w:w="1838" w:type="dxa"/>
          </w:tcPr>
          <w:p w14:paraId="4750C00B" w14:textId="77777777" w:rsidR="00B43DCC" w:rsidRPr="002C21B8" w:rsidRDefault="00B43DCC" w:rsidP="00B43DCC">
            <w:pPr>
              <w:spacing w:after="0" w:line="240" w:lineRule="auto"/>
              <w:jc w:val="left"/>
              <w:rPr>
                <w:sz w:val="18"/>
                <w:szCs w:val="18"/>
              </w:rPr>
            </w:pPr>
            <w:r w:rsidRPr="002C21B8">
              <w:rPr>
                <w:sz w:val="18"/>
                <w:szCs w:val="18"/>
              </w:rPr>
              <w:t>Support</w:t>
            </w:r>
          </w:p>
        </w:tc>
        <w:tc>
          <w:tcPr>
            <w:tcW w:w="665" w:type="dxa"/>
          </w:tcPr>
          <w:p w14:paraId="7FE448E6" w14:textId="77777777" w:rsidR="00B43DCC" w:rsidRPr="002C21B8" w:rsidRDefault="00B43DCC" w:rsidP="00B43DCC">
            <w:pPr>
              <w:spacing w:after="0" w:line="240" w:lineRule="auto"/>
              <w:rPr>
                <w:sz w:val="18"/>
                <w:szCs w:val="18"/>
              </w:rPr>
            </w:pPr>
            <w:r w:rsidRPr="002C21B8">
              <w:rPr>
                <w:sz w:val="18"/>
                <w:szCs w:val="18"/>
              </w:rPr>
              <w:t>24</w:t>
            </w:r>
          </w:p>
        </w:tc>
        <w:tc>
          <w:tcPr>
            <w:tcW w:w="4863" w:type="dxa"/>
          </w:tcPr>
          <w:p w14:paraId="73CD96C3" w14:textId="3DD5EB02" w:rsidR="00B43DCC" w:rsidRPr="002C21B8" w:rsidRDefault="00B43DCC" w:rsidP="00B43DCC">
            <w:pPr>
              <w:pStyle w:val="p1"/>
              <w:rPr>
                <w:sz w:val="18"/>
                <w:szCs w:val="18"/>
              </w:rPr>
            </w:pPr>
            <w:r w:rsidRPr="002C21B8">
              <w:rPr>
                <w:sz w:val="18"/>
                <w:szCs w:val="18"/>
              </w:rPr>
              <w:t xml:space="preserve">Describe sources of financial or non-financial support for the </w:t>
            </w:r>
            <w:r w:rsidR="00E06102" w:rsidRPr="002C21B8">
              <w:rPr>
                <w:sz w:val="18"/>
                <w:szCs w:val="18"/>
              </w:rPr>
              <w:t>overview of systematic reviews</w:t>
            </w:r>
            <w:r w:rsidRPr="002C21B8">
              <w:rPr>
                <w:sz w:val="18"/>
                <w:szCs w:val="18"/>
              </w:rPr>
              <w:t xml:space="preserve">, and the role of the funders or sponsors in the </w:t>
            </w:r>
            <w:r w:rsidR="00E06102" w:rsidRPr="002C21B8">
              <w:rPr>
                <w:sz w:val="18"/>
                <w:szCs w:val="18"/>
              </w:rPr>
              <w:t>overview of systematic reviews</w:t>
            </w:r>
            <w:r w:rsidRPr="002C21B8">
              <w:rPr>
                <w:sz w:val="18"/>
                <w:szCs w:val="18"/>
              </w:rPr>
              <w:t>.</w:t>
            </w:r>
          </w:p>
        </w:tc>
        <w:tc>
          <w:tcPr>
            <w:tcW w:w="1843" w:type="dxa"/>
          </w:tcPr>
          <w:p w14:paraId="311DB6BE" w14:textId="347F64DE" w:rsidR="00B43DCC" w:rsidRPr="002C21B8" w:rsidRDefault="00130B9A" w:rsidP="00B43DCC">
            <w:pPr>
              <w:spacing w:after="0" w:line="240" w:lineRule="auto"/>
              <w:jc w:val="left"/>
              <w:rPr>
                <w:sz w:val="18"/>
                <w:szCs w:val="18"/>
              </w:rPr>
            </w:pPr>
            <w:r w:rsidRPr="002C21B8">
              <w:rPr>
                <w:sz w:val="18"/>
                <w:szCs w:val="18"/>
              </w:rPr>
              <w:t>Declarations</w:t>
            </w:r>
          </w:p>
        </w:tc>
      </w:tr>
      <w:tr w:rsidR="00B43DCC" w:rsidRPr="002C21B8" w14:paraId="553D1A9C" w14:textId="77777777" w:rsidTr="00B7125A">
        <w:tc>
          <w:tcPr>
            <w:tcW w:w="1838" w:type="dxa"/>
          </w:tcPr>
          <w:p w14:paraId="656A9BD1" w14:textId="77777777" w:rsidR="00B43DCC" w:rsidRPr="002C21B8" w:rsidRDefault="00B43DCC" w:rsidP="00B43DCC">
            <w:pPr>
              <w:spacing w:after="0" w:line="240" w:lineRule="auto"/>
              <w:jc w:val="left"/>
              <w:rPr>
                <w:sz w:val="18"/>
                <w:szCs w:val="18"/>
              </w:rPr>
            </w:pPr>
            <w:r w:rsidRPr="002C21B8">
              <w:rPr>
                <w:sz w:val="18"/>
                <w:szCs w:val="18"/>
              </w:rPr>
              <w:t>Competing interests</w:t>
            </w:r>
          </w:p>
        </w:tc>
        <w:tc>
          <w:tcPr>
            <w:tcW w:w="665" w:type="dxa"/>
          </w:tcPr>
          <w:p w14:paraId="45E88FE5" w14:textId="77777777" w:rsidR="00B43DCC" w:rsidRPr="002C21B8" w:rsidRDefault="00B43DCC" w:rsidP="00B43DCC">
            <w:pPr>
              <w:spacing w:after="0" w:line="240" w:lineRule="auto"/>
              <w:rPr>
                <w:sz w:val="18"/>
                <w:szCs w:val="18"/>
              </w:rPr>
            </w:pPr>
            <w:r w:rsidRPr="002C21B8">
              <w:rPr>
                <w:sz w:val="18"/>
                <w:szCs w:val="18"/>
              </w:rPr>
              <w:t>25</w:t>
            </w:r>
          </w:p>
        </w:tc>
        <w:tc>
          <w:tcPr>
            <w:tcW w:w="4863" w:type="dxa"/>
          </w:tcPr>
          <w:p w14:paraId="05E51E69" w14:textId="345ACDD4" w:rsidR="00B43DCC" w:rsidRPr="002C21B8" w:rsidRDefault="00B43DCC" w:rsidP="00B43DCC">
            <w:pPr>
              <w:pStyle w:val="p1"/>
              <w:rPr>
                <w:sz w:val="18"/>
                <w:szCs w:val="18"/>
              </w:rPr>
            </w:pPr>
            <w:r w:rsidRPr="002C21B8">
              <w:rPr>
                <w:sz w:val="18"/>
                <w:szCs w:val="18"/>
              </w:rPr>
              <w:t xml:space="preserve">Declare any competing interests of the </w:t>
            </w:r>
            <w:r w:rsidR="00E06102" w:rsidRPr="002C21B8">
              <w:rPr>
                <w:sz w:val="18"/>
                <w:szCs w:val="18"/>
              </w:rPr>
              <w:t>overview of systematic reviews</w:t>
            </w:r>
            <w:r w:rsidRPr="002C21B8">
              <w:rPr>
                <w:sz w:val="18"/>
                <w:szCs w:val="18"/>
              </w:rPr>
              <w:t>' authors.</w:t>
            </w:r>
          </w:p>
        </w:tc>
        <w:tc>
          <w:tcPr>
            <w:tcW w:w="1843" w:type="dxa"/>
          </w:tcPr>
          <w:p w14:paraId="41CC49EF" w14:textId="2D151311" w:rsidR="00B43DCC" w:rsidRPr="002C21B8" w:rsidRDefault="00130B9A" w:rsidP="00B43DCC">
            <w:pPr>
              <w:spacing w:after="0" w:line="240" w:lineRule="auto"/>
              <w:jc w:val="left"/>
              <w:rPr>
                <w:sz w:val="18"/>
                <w:szCs w:val="18"/>
              </w:rPr>
            </w:pPr>
            <w:r w:rsidRPr="002C21B8">
              <w:rPr>
                <w:sz w:val="18"/>
                <w:szCs w:val="18"/>
              </w:rPr>
              <w:t>Declarations</w:t>
            </w:r>
          </w:p>
        </w:tc>
      </w:tr>
      <w:tr w:rsidR="00B43DCC" w:rsidRPr="002C21B8" w14:paraId="4D4E7CAD" w14:textId="77777777" w:rsidTr="00B7125A">
        <w:tc>
          <w:tcPr>
            <w:tcW w:w="1838" w:type="dxa"/>
            <w:vMerge w:val="restart"/>
          </w:tcPr>
          <w:p w14:paraId="2432A2C6" w14:textId="77777777" w:rsidR="00B43DCC" w:rsidRPr="002C21B8" w:rsidRDefault="00B43DCC" w:rsidP="00B43DCC">
            <w:pPr>
              <w:spacing w:after="0" w:line="240" w:lineRule="auto"/>
              <w:jc w:val="left"/>
              <w:rPr>
                <w:sz w:val="18"/>
                <w:szCs w:val="18"/>
              </w:rPr>
            </w:pPr>
            <w:r w:rsidRPr="002C21B8">
              <w:rPr>
                <w:sz w:val="18"/>
                <w:szCs w:val="18"/>
              </w:rPr>
              <w:t>Author information</w:t>
            </w:r>
          </w:p>
        </w:tc>
        <w:tc>
          <w:tcPr>
            <w:tcW w:w="665" w:type="dxa"/>
          </w:tcPr>
          <w:p w14:paraId="459B4013" w14:textId="77777777" w:rsidR="00B43DCC" w:rsidRPr="002C21B8" w:rsidRDefault="00B43DCC" w:rsidP="00B43DCC">
            <w:pPr>
              <w:spacing w:after="0" w:line="240" w:lineRule="auto"/>
              <w:rPr>
                <w:sz w:val="18"/>
                <w:szCs w:val="18"/>
              </w:rPr>
            </w:pPr>
            <w:r w:rsidRPr="002C21B8">
              <w:rPr>
                <w:sz w:val="18"/>
                <w:szCs w:val="18"/>
              </w:rPr>
              <w:t>26a</w:t>
            </w:r>
          </w:p>
        </w:tc>
        <w:tc>
          <w:tcPr>
            <w:tcW w:w="4863" w:type="dxa"/>
          </w:tcPr>
          <w:p w14:paraId="6FF5F0F1" w14:textId="77777777" w:rsidR="00B43DCC" w:rsidRPr="002C21B8" w:rsidRDefault="00B43DCC" w:rsidP="00B43DCC">
            <w:pPr>
              <w:spacing w:after="0" w:line="240" w:lineRule="auto"/>
              <w:rPr>
                <w:sz w:val="18"/>
                <w:szCs w:val="18"/>
              </w:rPr>
            </w:pPr>
            <w:r w:rsidRPr="002C21B8">
              <w:rPr>
                <w:sz w:val="18"/>
                <w:szCs w:val="18"/>
              </w:rPr>
              <w:t>Provide contact information for the corresponding author.</w:t>
            </w:r>
          </w:p>
        </w:tc>
        <w:tc>
          <w:tcPr>
            <w:tcW w:w="1843" w:type="dxa"/>
          </w:tcPr>
          <w:p w14:paraId="492937CD" w14:textId="578804B7" w:rsidR="00B43DCC" w:rsidRPr="002C21B8" w:rsidRDefault="00130B9A" w:rsidP="00B43DCC">
            <w:pPr>
              <w:spacing w:after="0" w:line="240" w:lineRule="auto"/>
              <w:jc w:val="left"/>
              <w:rPr>
                <w:sz w:val="18"/>
                <w:szCs w:val="18"/>
              </w:rPr>
            </w:pPr>
            <w:r w:rsidRPr="002C21B8">
              <w:rPr>
                <w:sz w:val="18"/>
                <w:szCs w:val="18"/>
              </w:rPr>
              <w:t>Declarations</w:t>
            </w:r>
          </w:p>
        </w:tc>
      </w:tr>
      <w:tr w:rsidR="00B43DCC" w:rsidRPr="002C21B8" w14:paraId="328D82D7" w14:textId="77777777" w:rsidTr="00B7125A">
        <w:tc>
          <w:tcPr>
            <w:tcW w:w="1838" w:type="dxa"/>
            <w:vMerge/>
          </w:tcPr>
          <w:p w14:paraId="5711E472" w14:textId="77777777" w:rsidR="00B43DCC" w:rsidRPr="002C21B8" w:rsidRDefault="00B43DCC" w:rsidP="00B43DCC">
            <w:pPr>
              <w:spacing w:after="0" w:line="240" w:lineRule="auto"/>
              <w:jc w:val="left"/>
              <w:rPr>
                <w:sz w:val="18"/>
                <w:szCs w:val="18"/>
              </w:rPr>
            </w:pPr>
          </w:p>
        </w:tc>
        <w:tc>
          <w:tcPr>
            <w:tcW w:w="665" w:type="dxa"/>
          </w:tcPr>
          <w:p w14:paraId="6475BCF5" w14:textId="77777777" w:rsidR="00B43DCC" w:rsidRPr="002C21B8" w:rsidRDefault="00B43DCC" w:rsidP="00B43DCC">
            <w:pPr>
              <w:spacing w:after="0" w:line="240" w:lineRule="auto"/>
              <w:rPr>
                <w:sz w:val="18"/>
                <w:szCs w:val="18"/>
              </w:rPr>
            </w:pPr>
            <w:r w:rsidRPr="002C21B8">
              <w:rPr>
                <w:sz w:val="18"/>
                <w:szCs w:val="18"/>
              </w:rPr>
              <w:t>26b</w:t>
            </w:r>
          </w:p>
        </w:tc>
        <w:tc>
          <w:tcPr>
            <w:tcW w:w="4863" w:type="dxa"/>
          </w:tcPr>
          <w:p w14:paraId="13DEF127" w14:textId="320AB7C4" w:rsidR="00B43DCC" w:rsidRPr="002C21B8" w:rsidRDefault="00B43DCC" w:rsidP="00B43DCC">
            <w:pPr>
              <w:pStyle w:val="p1"/>
              <w:rPr>
                <w:sz w:val="18"/>
                <w:szCs w:val="18"/>
              </w:rPr>
            </w:pPr>
            <w:r w:rsidRPr="002C21B8">
              <w:rPr>
                <w:sz w:val="18"/>
                <w:szCs w:val="18"/>
              </w:rPr>
              <w:t xml:space="preserve">Describe the contributions of individual authors and identify the guarantor of the </w:t>
            </w:r>
            <w:r w:rsidR="00E06102" w:rsidRPr="002C21B8">
              <w:rPr>
                <w:sz w:val="18"/>
                <w:szCs w:val="18"/>
              </w:rPr>
              <w:t>overview of systematic reviews</w:t>
            </w:r>
            <w:r w:rsidRPr="002C21B8">
              <w:rPr>
                <w:sz w:val="18"/>
                <w:szCs w:val="18"/>
              </w:rPr>
              <w:t>.</w:t>
            </w:r>
          </w:p>
        </w:tc>
        <w:tc>
          <w:tcPr>
            <w:tcW w:w="1843" w:type="dxa"/>
          </w:tcPr>
          <w:p w14:paraId="6AD61917" w14:textId="1433E996" w:rsidR="00B43DCC" w:rsidRPr="002C21B8" w:rsidRDefault="00130B9A" w:rsidP="00B43DCC">
            <w:pPr>
              <w:spacing w:after="0" w:line="240" w:lineRule="auto"/>
              <w:jc w:val="left"/>
              <w:rPr>
                <w:sz w:val="18"/>
                <w:szCs w:val="18"/>
              </w:rPr>
            </w:pPr>
            <w:r w:rsidRPr="002C21B8">
              <w:rPr>
                <w:sz w:val="18"/>
                <w:szCs w:val="18"/>
              </w:rPr>
              <w:t>Declarations</w:t>
            </w:r>
          </w:p>
        </w:tc>
      </w:tr>
      <w:tr w:rsidR="00B43DCC" w:rsidRPr="002C21B8" w14:paraId="3AF70149" w14:textId="77777777" w:rsidTr="00B7125A">
        <w:tc>
          <w:tcPr>
            <w:tcW w:w="1838" w:type="dxa"/>
          </w:tcPr>
          <w:p w14:paraId="79E132C4" w14:textId="77777777" w:rsidR="00B43DCC" w:rsidRPr="002C21B8" w:rsidRDefault="00B43DCC" w:rsidP="00B43DCC">
            <w:pPr>
              <w:spacing w:after="0" w:line="240" w:lineRule="auto"/>
              <w:jc w:val="left"/>
              <w:rPr>
                <w:sz w:val="18"/>
                <w:szCs w:val="18"/>
              </w:rPr>
            </w:pPr>
            <w:r w:rsidRPr="002C21B8">
              <w:rPr>
                <w:sz w:val="18"/>
                <w:szCs w:val="18"/>
              </w:rPr>
              <w:t>Availability of data and other materials</w:t>
            </w:r>
          </w:p>
        </w:tc>
        <w:tc>
          <w:tcPr>
            <w:tcW w:w="665" w:type="dxa"/>
          </w:tcPr>
          <w:p w14:paraId="4F65800A" w14:textId="77777777" w:rsidR="00B43DCC" w:rsidRPr="002C21B8" w:rsidRDefault="00B43DCC" w:rsidP="00B43DCC">
            <w:pPr>
              <w:spacing w:after="0" w:line="240" w:lineRule="auto"/>
              <w:rPr>
                <w:sz w:val="18"/>
                <w:szCs w:val="18"/>
              </w:rPr>
            </w:pPr>
            <w:r w:rsidRPr="002C21B8">
              <w:rPr>
                <w:sz w:val="18"/>
                <w:szCs w:val="18"/>
              </w:rPr>
              <w:t>27</w:t>
            </w:r>
          </w:p>
        </w:tc>
        <w:tc>
          <w:tcPr>
            <w:tcW w:w="4863" w:type="dxa"/>
          </w:tcPr>
          <w:p w14:paraId="03EDDC9F" w14:textId="782C7503" w:rsidR="00B43DCC" w:rsidRPr="002C21B8" w:rsidRDefault="00B43DCC" w:rsidP="00B43DCC">
            <w:pPr>
              <w:pStyle w:val="p1"/>
              <w:rPr>
                <w:sz w:val="18"/>
                <w:szCs w:val="18"/>
              </w:rPr>
            </w:pPr>
            <w:r w:rsidRPr="002C21B8">
              <w:rPr>
                <w:sz w:val="18"/>
                <w:szCs w:val="18"/>
              </w:rPr>
              <w:t xml:space="preserve">Report which of the following are available, where they can be found, and under which conditions they may be accessed: template data collection forms; data collected from included systematic reviews and supplemental primary studies; analytic code; any other materials used in the </w:t>
            </w:r>
            <w:r w:rsidR="00E06102" w:rsidRPr="002C21B8">
              <w:rPr>
                <w:sz w:val="18"/>
                <w:szCs w:val="18"/>
              </w:rPr>
              <w:t>overview of systematic reviews</w:t>
            </w:r>
            <w:r w:rsidRPr="002C21B8">
              <w:rPr>
                <w:sz w:val="18"/>
                <w:szCs w:val="18"/>
              </w:rPr>
              <w:t>.</w:t>
            </w:r>
          </w:p>
        </w:tc>
        <w:tc>
          <w:tcPr>
            <w:tcW w:w="1843" w:type="dxa"/>
          </w:tcPr>
          <w:p w14:paraId="57358332" w14:textId="35155549" w:rsidR="00B43DCC" w:rsidRPr="002C21B8" w:rsidRDefault="00130B9A" w:rsidP="00B43DCC">
            <w:pPr>
              <w:spacing w:after="0" w:line="240" w:lineRule="auto"/>
              <w:jc w:val="left"/>
              <w:rPr>
                <w:sz w:val="18"/>
                <w:szCs w:val="18"/>
              </w:rPr>
            </w:pPr>
            <w:r w:rsidRPr="002C21B8">
              <w:rPr>
                <w:sz w:val="18"/>
                <w:szCs w:val="18"/>
              </w:rPr>
              <w:t>Declarations</w:t>
            </w:r>
          </w:p>
        </w:tc>
      </w:tr>
    </w:tbl>
    <w:p w14:paraId="3293D235" w14:textId="4A9AFCDD" w:rsidR="009D12AE" w:rsidRPr="002C21B8" w:rsidRDefault="00B475A7" w:rsidP="009D12AE">
      <w:pPr>
        <w:spacing w:before="240"/>
        <w:rPr>
          <w:rFonts w:eastAsiaTheme="majorEastAsia"/>
          <w:color w:val="000000" w:themeColor="text1"/>
          <w:sz w:val="18"/>
          <w:szCs w:val="18"/>
        </w:rPr>
      </w:pPr>
      <w:r w:rsidRPr="002C21B8">
        <w:rPr>
          <w:color w:val="000000" w:themeColor="text1"/>
          <w:sz w:val="18"/>
          <w:szCs w:val="18"/>
        </w:rPr>
        <w:t xml:space="preserve">Locations indicate where each checklist item is </w:t>
      </w:r>
      <w:r w:rsidR="00CA2025" w:rsidRPr="002C21B8">
        <w:rPr>
          <w:color w:val="000000" w:themeColor="text1"/>
          <w:sz w:val="18"/>
          <w:szCs w:val="18"/>
        </w:rPr>
        <w:t>included</w:t>
      </w:r>
      <w:r w:rsidRPr="002C21B8">
        <w:rPr>
          <w:color w:val="000000" w:themeColor="text1"/>
          <w:sz w:val="18"/>
          <w:szCs w:val="18"/>
        </w:rPr>
        <w:t xml:space="preserve"> in this thesis</w:t>
      </w:r>
      <w:bookmarkStart w:id="436" w:name="_List_of_chronic"/>
      <w:bookmarkEnd w:id="436"/>
    </w:p>
    <w:p w14:paraId="13067D2B" w14:textId="77777777" w:rsidR="009D12AE" w:rsidRPr="002C21B8" w:rsidRDefault="009D12AE">
      <w:pPr>
        <w:spacing w:after="0" w:line="240" w:lineRule="auto"/>
        <w:jc w:val="left"/>
        <w:rPr>
          <w:rFonts w:eastAsiaTheme="majorEastAsia"/>
          <w:color w:val="7B7B7B" w:themeColor="accent3" w:themeShade="BF"/>
          <w:sz w:val="18"/>
          <w:szCs w:val="18"/>
        </w:rPr>
      </w:pPr>
      <w:r w:rsidRPr="002C21B8">
        <w:rPr>
          <w:rFonts w:eastAsiaTheme="majorEastAsia"/>
          <w:color w:val="7B7B7B" w:themeColor="accent3" w:themeShade="BF"/>
          <w:sz w:val="18"/>
          <w:szCs w:val="18"/>
        </w:rPr>
        <w:br w:type="page"/>
      </w:r>
    </w:p>
    <w:p w14:paraId="1EE89A16" w14:textId="02E55252" w:rsidR="00FA366A" w:rsidRPr="002C21B8" w:rsidRDefault="00F10F1D" w:rsidP="004507C8">
      <w:pPr>
        <w:pStyle w:val="Heading3"/>
        <w:numPr>
          <w:ilvl w:val="0"/>
          <w:numId w:val="0"/>
        </w:numPr>
        <w:rPr>
          <w:color w:val="auto"/>
        </w:rPr>
      </w:pPr>
      <w:bookmarkStart w:id="437" w:name="_List_of_chronic_1"/>
      <w:bookmarkEnd w:id="437"/>
      <w:r w:rsidRPr="002C21B8">
        <w:t xml:space="preserve">List of chronic </w:t>
      </w:r>
      <w:r w:rsidR="00717D3C" w:rsidRPr="002C21B8">
        <w:t>condition</w:t>
      </w:r>
      <w:r w:rsidRPr="002C21B8">
        <w:t>s used to inform search strategies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573"/>
      </w:tblGrid>
      <w:tr w:rsidR="00FA366A" w:rsidRPr="002C21B8" w14:paraId="43AFB2C8" w14:textId="77777777" w:rsidTr="004A72C3">
        <w:trPr>
          <w:trHeight w:val="320"/>
        </w:trPr>
        <w:tc>
          <w:tcPr>
            <w:tcW w:w="636" w:type="dxa"/>
            <w:shd w:val="clear" w:color="auto" w:fill="auto"/>
            <w:noWrap/>
            <w:vAlign w:val="center"/>
          </w:tcPr>
          <w:p w14:paraId="5C6BF25E" w14:textId="77777777" w:rsidR="00FA366A" w:rsidRPr="002C21B8" w:rsidRDefault="00FA366A" w:rsidP="00212D46">
            <w:pPr>
              <w:spacing w:after="0" w:line="240" w:lineRule="auto"/>
              <w:rPr>
                <w:sz w:val="20"/>
                <w:szCs w:val="20"/>
              </w:rPr>
            </w:pPr>
            <w:r w:rsidRPr="002C21B8">
              <w:rPr>
                <w:sz w:val="20"/>
                <w:szCs w:val="20"/>
              </w:rPr>
              <w:t>#</w:t>
            </w:r>
          </w:p>
        </w:tc>
        <w:tc>
          <w:tcPr>
            <w:tcW w:w="8573" w:type="dxa"/>
            <w:shd w:val="clear" w:color="auto" w:fill="auto"/>
            <w:noWrap/>
            <w:vAlign w:val="center"/>
          </w:tcPr>
          <w:p w14:paraId="343DD8B7" w14:textId="6FEBD893" w:rsidR="00FA366A" w:rsidRPr="002C21B8" w:rsidRDefault="00FA366A" w:rsidP="00212D46">
            <w:pPr>
              <w:spacing w:after="0" w:line="240" w:lineRule="auto"/>
              <w:rPr>
                <w:sz w:val="20"/>
                <w:szCs w:val="20"/>
              </w:rPr>
            </w:pPr>
            <w:r w:rsidRPr="002C21B8">
              <w:rPr>
                <w:sz w:val="20"/>
                <w:szCs w:val="20"/>
              </w:rPr>
              <w:t xml:space="preserve">Chronic </w:t>
            </w:r>
            <w:r w:rsidR="00717D3C" w:rsidRPr="002C21B8">
              <w:rPr>
                <w:sz w:val="20"/>
                <w:szCs w:val="20"/>
              </w:rPr>
              <w:t>conditions</w:t>
            </w:r>
          </w:p>
        </w:tc>
      </w:tr>
      <w:tr w:rsidR="00FA366A" w:rsidRPr="002C21B8" w14:paraId="2EF9C3FA" w14:textId="77777777" w:rsidTr="004A72C3">
        <w:trPr>
          <w:trHeight w:val="320"/>
        </w:trPr>
        <w:tc>
          <w:tcPr>
            <w:tcW w:w="636" w:type="dxa"/>
            <w:shd w:val="clear" w:color="auto" w:fill="auto"/>
            <w:noWrap/>
            <w:vAlign w:val="center"/>
            <w:hideMark/>
          </w:tcPr>
          <w:p w14:paraId="466A7561" w14:textId="77777777" w:rsidR="00FA366A" w:rsidRPr="002C21B8" w:rsidRDefault="00FA366A" w:rsidP="00212D46">
            <w:pPr>
              <w:spacing w:after="0" w:line="240" w:lineRule="auto"/>
              <w:rPr>
                <w:sz w:val="20"/>
                <w:szCs w:val="20"/>
              </w:rPr>
            </w:pPr>
            <w:r w:rsidRPr="002C21B8">
              <w:rPr>
                <w:sz w:val="20"/>
                <w:szCs w:val="20"/>
              </w:rPr>
              <w:t>1</w:t>
            </w:r>
          </w:p>
        </w:tc>
        <w:tc>
          <w:tcPr>
            <w:tcW w:w="8573" w:type="dxa"/>
            <w:shd w:val="clear" w:color="auto" w:fill="auto"/>
            <w:noWrap/>
            <w:vAlign w:val="center"/>
            <w:hideMark/>
          </w:tcPr>
          <w:p w14:paraId="7D25D217" w14:textId="77777777" w:rsidR="00FA366A" w:rsidRPr="002C21B8" w:rsidRDefault="00FA366A" w:rsidP="00212D46">
            <w:pPr>
              <w:spacing w:after="0" w:line="240" w:lineRule="auto"/>
              <w:rPr>
                <w:sz w:val="20"/>
                <w:szCs w:val="20"/>
              </w:rPr>
            </w:pPr>
            <w:r w:rsidRPr="002C21B8">
              <w:rPr>
                <w:sz w:val="20"/>
                <w:szCs w:val="20"/>
              </w:rPr>
              <w:t>Addictions – substance and alcohol, etc.</w:t>
            </w:r>
          </w:p>
        </w:tc>
      </w:tr>
      <w:tr w:rsidR="00FA366A" w:rsidRPr="002C21B8" w14:paraId="40BDA678" w14:textId="77777777" w:rsidTr="004A72C3">
        <w:trPr>
          <w:trHeight w:val="320"/>
        </w:trPr>
        <w:tc>
          <w:tcPr>
            <w:tcW w:w="636" w:type="dxa"/>
            <w:shd w:val="clear" w:color="auto" w:fill="auto"/>
            <w:noWrap/>
            <w:vAlign w:val="center"/>
            <w:hideMark/>
          </w:tcPr>
          <w:p w14:paraId="3EE01ED1" w14:textId="77777777" w:rsidR="00FA366A" w:rsidRPr="002C21B8" w:rsidRDefault="00FA366A" w:rsidP="00212D46">
            <w:pPr>
              <w:spacing w:after="0" w:line="240" w:lineRule="auto"/>
              <w:rPr>
                <w:sz w:val="20"/>
                <w:szCs w:val="20"/>
              </w:rPr>
            </w:pPr>
            <w:r w:rsidRPr="002C21B8">
              <w:rPr>
                <w:sz w:val="20"/>
                <w:szCs w:val="20"/>
              </w:rPr>
              <w:t>2</w:t>
            </w:r>
          </w:p>
        </w:tc>
        <w:tc>
          <w:tcPr>
            <w:tcW w:w="8573" w:type="dxa"/>
            <w:shd w:val="clear" w:color="auto" w:fill="auto"/>
            <w:noWrap/>
            <w:vAlign w:val="center"/>
            <w:hideMark/>
          </w:tcPr>
          <w:p w14:paraId="370B1F54" w14:textId="77777777" w:rsidR="00FA366A" w:rsidRPr="002C21B8" w:rsidRDefault="00FA366A" w:rsidP="00212D46">
            <w:pPr>
              <w:spacing w:after="0" w:line="240" w:lineRule="auto"/>
              <w:rPr>
                <w:sz w:val="20"/>
                <w:szCs w:val="20"/>
              </w:rPr>
            </w:pPr>
            <w:r w:rsidRPr="002C21B8">
              <w:rPr>
                <w:sz w:val="20"/>
                <w:szCs w:val="20"/>
              </w:rPr>
              <w:t>ADHD</w:t>
            </w:r>
          </w:p>
        </w:tc>
      </w:tr>
      <w:tr w:rsidR="00FA366A" w:rsidRPr="002C21B8" w14:paraId="2EBBF181" w14:textId="77777777" w:rsidTr="004A72C3">
        <w:trPr>
          <w:trHeight w:val="320"/>
        </w:trPr>
        <w:tc>
          <w:tcPr>
            <w:tcW w:w="636" w:type="dxa"/>
            <w:shd w:val="clear" w:color="auto" w:fill="auto"/>
            <w:noWrap/>
            <w:vAlign w:val="center"/>
            <w:hideMark/>
          </w:tcPr>
          <w:p w14:paraId="46A811F9" w14:textId="77777777" w:rsidR="00FA366A" w:rsidRPr="002C21B8" w:rsidRDefault="00FA366A" w:rsidP="00212D46">
            <w:pPr>
              <w:spacing w:after="0" w:line="240" w:lineRule="auto"/>
              <w:rPr>
                <w:sz w:val="20"/>
                <w:szCs w:val="20"/>
              </w:rPr>
            </w:pPr>
            <w:r w:rsidRPr="002C21B8">
              <w:rPr>
                <w:sz w:val="20"/>
                <w:szCs w:val="20"/>
              </w:rPr>
              <w:t>3</w:t>
            </w:r>
          </w:p>
        </w:tc>
        <w:tc>
          <w:tcPr>
            <w:tcW w:w="8573" w:type="dxa"/>
            <w:shd w:val="clear" w:color="auto" w:fill="auto"/>
            <w:noWrap/>
            <w:vAlign w:val="center"/>
            <w:hideMark/>
          </w:tcPr>
          <w:p w14:paraId="38C66921" w14:textId="77777777" w:rsidR="00FA366A" w:rsidRPr="002C21B8" w:rsidRDefault="00FA366A" w:rsidP="00212D46">
            <w:pPr>
              <w:spacing w:after="0" w:line="240" w:lineRule="auto"/>
              <w:rPr>
                <w:sz w:val="20"/>
                <w:szCs w:val="20"/>
              </w:rPr>
            </w:pPr>
            <w:r w:rsidRPr="002C21B8">
              <w:rPr>
                <w:sz w:val="20"/>
                <w:szCs w:val="20"/>
              </w:rPr>
              <w:t>Allergic rhinitis/rhinitis/sinusitis/rhinosinusitis</w:t>
            </w:r>
          </w:p>
        </w:tc>
      </w:tr>
      <w:tr w:rsidR="00FA366A" w:rsidRPr="002C21B8" w14:paraId="20696191" w14:textId="77777777" w:rsidTr="004A72C3">
        <w:trPr>
          <w:trHeight w:val="320"/>
        </w:trPr>
        <w:tc>
          <w:tcPr>
            <w:tcW w:w="636" w:type="dxa"/>
            <w:shd w:val="clear" w:color="auto" w:fill="auto"/>
            <w:noWrap/>
            <w:vAlign w:val="center"/>
            <w:hideMark/>
          </w:tcPr>
          <w:p w14:paraId="7B2CA585" w14:textId="77777777" w:rsidR="00FA366A" w:rsidRPr="002C21B8" w:rsidRDefault="00FA366A" w:rsidP="00212D46">
            <w:pPr>
              <w:spacing w:after="0" w:line="240" w:lineRule="auto"/>
              <w:rPr>
                <w:sz w:val="20"/>
                <w:szCs w:val="20"/>
              </w:rPr>
            </w:pPr>
            <w:r w:rsidRPr="002C21B8">
              <w:rPr>
                <w:sz w:val="20"/>
                <w:szCs w:val="20"/>
              </w:rPr>
              <w:t>4</w:t>
            </w:r>
          </w:p>
        </w:tc>
        <w:tc>
          <w:tcPr>
            <w:tcW w:w="8573" w:type="dxa"/>
            <w:shd w:val="clear" w:color="auto" w:fill="auto"/>
            <w:noWrap/>
            <w:vAlign w:val="center"/>
            <w:hideMark/>
          </w:tcPr>
          <w:p w14:paraId="7AD6E057" w14:textId="77777777" w:rsidR="00FA366A" w:rsidRPr="002C21B8" w:rsidRDefault="00FA366A" w:rsidP="00212D46">
            <w:pPr>
              <w:spacing w:after="0" w:line="240" w:lineRule="auto"/>
              <w:rPr>
                <w:sz w:val="20"/>
                <w:szCs w:val="20"/>
              </w:rPr>
            </w:pPr>
            <w:r w:rsidRPr="002C21B8">
              <w:rPr>
                <w:sz w:val="20"/>
                <w:szCs w:val="20"/>
              </w:rPr>
              <w:t>Allergy/anaphylaxis</w:t>
            </w:r>
          </w:p>
        </w:tc>
      </w:tr>
      <w:tr w:rsidR="00FA366A" w:rsidRPr="002C21B8" w14:paraId="3FFEF83B" w14:textId="77777777" w:rsidTr="004A72C3">
        <w:trPr>
          <w:trHeight w:val="320"/>
        </w:trPr>
        <w:tc>
          <w:tcPr>
            <w:tcW w:w="636" w:type="dxa"/>
            <w:shd w:val="clear" w:color="auto" w:fill="auto"/>
            <w:noWrap/>
            <w:vAlign w:val="center"/>
            <w:hideMark/>
          </w:tcPr>
          <w:p w14:paraId="05D0CA2D" w14:textId="77777777" w:rsidR="00FA366A" w:rsidRPr="002C21B8" w:rsidRDefault="00FA366A" w:rsidP="00212D46">
            <w:pPr>
              <w:spacing w:after="0" w:line="240" w:lineRule="auto"/>
              <w:rPr>
                <w:sz w:val="20"/>
                <w:szCs w:val="20"/>
              </w:rPr>
            </w:pPr>
            <w:r w:rsidRPr="002C21B8">
              <w:rPr>
                <w:sz w:val="20"/>
                <w:szCs w:val="20"/>
              </w:rPr>
              <w:t>5</w:t>
            </w:r>
          </w:p>
        </w:tc>
        <w:tc>
          <w:tcPr>
            <w:tcW w:w="8573" w:type="dxa"/>
            <w:shd w:val="clear" w:color="auto" w:fill="auto"/>
            <w:noWrap/>
            <w:vAlign w:val="center"/>
            <w:hideMark/>
          </w:tcPr>
          <w:p w14:paraId="35E8D34D" w14:textId="77777777" w:rsidR="00FA366A" w:rsidRPr="002C21B8" w:rsidRDefault="00FA366A" w:rsidP="00212D46">
            <w:pPr>
              <w:spacing w:after="0" w:line="240" w:lineRule="auto"/>
              <w:rPr>
                <w:sz w:val="20"/>
                <w:szCs w:val="20"/>
              </w:rPr>
            </w:pPr>
            <w:r w:rsidRPr="002C21B8">
              <w:rPr>
                <w:sz w:val="20"/>
                <w:szCs w:val="20"/>
              </w:rPr>
              <w:t>Amnesia</w:t>
            </w:r>
          </w:p>
        </w:tc>
      </w:tr>
      <w:tr w:rsidR="00FA366A" w:rsidRPr="002C21B8" w14:paraId="4E1D3F60" w14:textId="77777777" w:rsidTr="004A72C3">
        <w:trPr>
          <w:trHeight w:val="320"/>
        </w:trPr>
        <w:tc>
          <w:tcPr>
            <w:tcW w:w="636" w:type="dxa"/>
            <w:shd w:val="clear" w:color="auto" w:fill="auto"/>
            <w:noWrap/>
            <w:vAlign w:val="center"/>
            <w:hideMark/>
          </w:tcPr>
          <w:p w14:paraId="3385BF4F" w14:textId="77777777" w:rsidR="00FA366A" w:rsidRPr="002C21B8" w:rsidRDefault="00FA366A" w:rsidP="00212D46">
            <w:pPr>
              <w:spacing w:after="0" w:line="240" w:lineRule="auto"/>
              <w:rPr>
                <w:sz w:val="20"/>
                <w:szCs w:val="20"/>
              </w:rPr>
            </w:pPr>
            <w:r w:rsidRPr="002C21B8">
              <w:rPr>
                <w:sz w:val="20"/>
                <w:szCs w:val="20"/>
              </w:rPr>
              <w:t>6</w:t>
            </w:r>
          </w:p>
        </w:tc>
        <w:tc>
          <w:tcPr>
            <w:tcW w:w="8573" w:type="dxa"/>
            <w:shd w:val="clear" w:color="auto" w:fill="auto"/>
            <w:noWrap/>
            <w:vAlign w:val="center"/>
            <w:hideMark/>
          </w:tcPr>
          <w:p w14:paraId="2D09054E" w14:textId="77777777" w:rsidR="00FA366A" w:rsidRPr="002C21B8" w:rsidRDefault="00FA366A" w:rsidP="00212D46">
            <w:pPr>
              <w:spacing w:after="0" w:line="240" w:lineRule="auto"/>
              <w:rPr>
                <w:sz w:val="20"/>
                <w:szCs w:val="20"/>
              </w:rPr>
            </w:pPr>
            <w:r w:rsidRPr="002C21B8">
              <w:rPr>
                <w:sz w:val="20"/>
                <w:szCs w:val="20"/>
              </w:rPr>
              <w:t>Amputations</w:t>
            </w:r>
          </w:p>
        </w:tc>
      </w:tr>
      <w:tr w:rsidR="00FA366A" w:rsidRPr="002C21B8" w14:paraId="4679F041" w14:textId="77777777" w:rsidTr="004A72C3">
        <w:trPr>
          <w:trHeight w:val="320"/>
        </w:trPr>
        <w:tc>
          <w:tcPr>
            <w:tcW w:w="636" w:type="dxa"/>
            <w:shd w:val="clear" w:color="auto" w:fill="auto"/>
            <w:noWrap/>
            <w:vAlign w:val="center"/>
            <w:hideMark/>
          </w:tcPr>
          <w:p w14:paraId="53152F00" w14:textId="77777777" w:rsidR="00FA366A" w:rsidRPr="002C21B8" w:rsidRDefault="00FA366A" w:rsidP="00212D46">
            <w:pPr>
              <w:spacing w:after="0" w:line="240" w:lineRule="auto"/>
              <w:rPr>
                <w:sz w:val="20"/>
                <w:szCs w:val="20"/>
              </w:rPr>
            </w:pPr>
            <w:r w:rsidRPr="002C21B8">
              <w:rPr>
                <w:sz w:val="20"/>
                <w:szCs w:val="20"/>
              </w:rPr>
              <w:t>7</w:t>
            </w:r>
          </w:p>
        </w:tc>
        <w:tc>
          <w:tcPr>
            <w:tcW w:w="8573" w:type="dxa"/>
            <w:shd w:val="clear" w:color="auto" w:fill="auto"/>
            <w:noWrap/>
            <w:vAlign w:val="center"/>
            <w:hideMark/>
          </w:tcPr>
          <w:p w14:paraId="6EB8E6C4" w14:textId="77777777" w:rsidR="00FA366A" w:rsidRPr="002C21B8" w:rsidRDefault="00FA366A" w:rsidP="00212D46">
            <w:pPr>
              <w:spacing w:after="0" w:line="240" w:lineRule="auto"/>
              <w:rPr>
                <w:sz w:val="20"/>
                <w:szCs w:val="20"/>
              </w:rPr>
            </w:pPr>
            <w:r w:rsidRPr="002C21B8">
              <w:rPr>
                <w:sz w:val="20"/>
                <w:szCs w:val="20"/>
              </w:rPr>
              <w:t>Anaemia</w:t>
            </w:r>
          </w:p>
        </w:tc>
      </w:tr>
      <w:tr w:rsidR="00FA366A" w:rsidRPr="002C21B8" w14:paraId="705A7039" w14:textId="77777777" w:rsidTr="004A72C3">
        <w:trPr>
          <w:trHeight w:val="320"/>
        </w:trPr>
        <w:tc>
          <w:tcPr>
            <w:tcW w:w="636" w:type="dxa"/>
            <w:shd w:val="clear" w:color="auto" w:fill="auto"/>
            <w:noWrap/>
            <w:vAlign w:val="center"/>
            <w:hideMark/>
          </w:tcPr>
          <w:p w14:paraId="4F02BB9D" w14:textId="77777777" w:rsidR="00FA366A" w:rsidRPr="002C21B8" w:rsidRDefault="00FA366A" w:rsidP="00212D46">
            <w:pPr>
              <w:spacing w:after="0" w:line="240" w:lineRule="auto"/>
              <w:rPr>
                <w:sz w:val="20"/>
                <w:szCs w:val="20"/>
              </w:rPr>
            </w:pPr>
            <w:r w:rsidRPr="002C21B8">
              <w:rPr>
                <w:sz w:val="20"/>
                <w:szCs w:val="20"/>
              </w:rPr>
              <w:t>8</w:t>
            </w:r>
          </w:p>
        </w:tc>
        <w:tc>
          <w:tcPr>
            <w:tcW w:w="8573" w:type="dxa"/>
            <w:shd w:val="clear" w:color="auto" w:fill="auto"/>
            <w:noWrap/>
            <w:vAlign w:val="center"/>
            <w:hideMark/>
          </w:tcPr>
          <w:p w14:paraId="36E4533F" w14:textId="77777777" w:rsidR="00FA366A" w:rsidRPr="002C21B8" w:rsidRDefault="00FA366A" w:rsidP="00212D46">
            <w:pPr>
              <w:spacing w:after="0" w:line="240" w:lineRule="auto"/>
              <w:rPr>
                <w:sz w:val="20"/>
                <w:szCs w:val="20"/>
              </w:rPr>
            </w:pPr>
            <w:r w:rsidRPr="002C21B8">
              <w:rPr>
                <w:sz w:val="20"/>
                <w:szCs w:val="20"/>
              </w:rPr>
              <w:t>Angina</w:t>
            </w:r>
          </w:p>
        </w:tc>
      </w:tr>
      <w:tr w:rsidR="00FA366A" w:rsidRPr="002C21B8" w14:paraId="6322802D" w14:textId="77777777" w:rsidTr="004A72C3">
        <w:trPr>
          <w:trHeight w:val="320"/>
        </w:trPr>
        <w:tc>
          <w:tcPr>
            <w:tcW w:w="636" w:type="dxa"/>
            <w:shd w:val="clear" w:color="auto" w:fill="auto"/>
            <w:noWrap/>
            <w:vAlign w:val="center"/>
            <w:hideMark/>
          </w:tcPr>
          <w:p w14:paraId="589040D4" w14:textId="77777777" w:rsidR="00FA366A" w:rsidRPr="002C21B8" w:rsidRDefault="00FA366A" w:rsidP="00212D46">
            <w:pPr>
              <w:spacing w:after="0" w:line="240" w:lineRule="auto"/>
              <w:rPr>
                <w:sz w:val="20"/>
                <w:szCs w:val="20"/>
              </w:rPr>
            </w:pPr>
            <w:r w:rsidRPr="002C21B8">
              <w:rPr>
                <w:sz w:val="20"/>
                <w:szCs w:val="20"/>
              </w:rPr>
              <w:t>9</w:t>
            </w:r>
          </w:p>
        </w:tc>
        <w:tc>
          <w:tcPr>
            <w:tcW w:w="8573" w:type="dxa"/>
            <w:shd w:val="clear" w:color="auto" w:fill="auto"/>
            <w:noWrap/>
            <w:vAlign w:val="center"/>
            <w:hideMark/>
          </w:tcPr>
          <w:p w14:paraId="3113E41A" w14:textId="77777777" w:rsidR="00FA366A" w:rsidRPr="002C21B8" w:rsidRDefault="00FA366A" w:rsidP="00212D46">
            <w:pPr>
              <w:spacing w:after="0" w:line="240" w:lineRule="auto"/>
              <w:rPr>
                <w:sz w:val="20"/>
                <w:szCs w:val="20"/>
              </w:rPr>
            </w:pPr>
            <w:r w:rsidRPr="002C21B8">
              <w:rPr>
                <w:sz w:val="20"/>
                <w:szCs w:val="20"/>
              </w:rPr>
              <w:t>Angiooedema</w:t>
            </w:r>
          </w:p>
        </w:tc>
      </w:tr>
      <w:tr w:rsidR="00FA366A" w:rsidRPr="002C21B8" w14:paraId="51124052" w14:textId="77777777" w:rsidTr="004A72C3">
        <w:trPr>
          <w:trHeight w:val="320"/>
        </w:trPr>
        <w:tc>
          <w:tcPr>
            <w:tcW w:w="636" w:type="dxa"/>
            <w:shd w:val="clear" w:color="auto" w:fill="auto"/>
            <w:noWrap/>
            <w:vAlign w:val="center"/>
            <w:hideMark/>
          </w:tcPr>
          <w:p w14:paraId="3D9C2A2C" w14:textId="77777777" w:rsidR="00FA366A" w:rsidRPr="002C21B8" w:rsidRDefault="00FA366A" w:rsidP="00212D46">
            <w:pPr>
              <w:spacing w:after="0" w:line="240" w:lineRule="auto"/>
              <w:rPr>
                <w:sz w:val="20"/>
                <w:szCs w:val="20"/>
              </w:rPr>
            </w:pPr>
            <w:r w:rsidRPr="002C21B8">
              <w:rPr>
                <w:sz w:val="20"/>
                <w:szCs w:val="20"/>
              </w:rPr>
              <w:t>10</w:t>
            </w:r>
          </w:p>
        </w:tc>
        <w:tc>
          <w:tcPr>
            <w:tcW w:w="8573" w:type="dxa"/>
            <w:shd w:val="clear" w:color="auto" w:fill="auto"/>
            <w:noWrap/>
            <w:vAlign w:val="center"/>
            <w:hideMark/>
          </w:tcPr>
          <w:p w14:paraId="2B0A9C13" w14:textId="5EE42B42" w:rsidR="00FA366A" w:rsidRPr="002C21B8" w:rsidRDefault="00446D34" w:rsidP="00212D46">
            <w:pPr>
              <w:spacing w:after="0" w:line="240" w:lineRule="auto"/>
              <w:rPr>
                <w:sz w:val="20"/>
                <w:szCs w:val="20"/>
              </w:rPr>
            </w:pPr>
            <w:r w:rsidRPr="002C21B8">
              <w:rPr>
                <w:sz w:val="20"/>
                <w:szCs w:val="20"/>
              </w:rPr>
              <w:t>Ankylosing</w:t>
            </w:r>
            <w:r w:rsidR="00FA366A" w:rsidRPr="002C21B8">
              <w:rPr>
                <w:sz w:val="20"/>
                <w:szCs w:val="20"/>
              </w:rPr>
              <w:t xml:space="preserve"> spondylitis (and other arthritic conditions)</w:t>
            </w:r>
          </w:p>
        </w:tc>
      </w:tr>
      <w:tr w:rsidR="00FA366A" w:rsidRPr="002C21B8" w14:paraId="092052FE" w14:textId="77777777" w:rsidTr="004A72C3">
        <w:trPr>
          <w:trHeight w:val="320"/>
        </w:trPr>
        <w:tc>
          <w:tcPr>
            <w:tcW w:w="636" w:type="dxa"/>
            <w:shd w:val="clear" w:color="auto" w:fill="auto"/>
            <w:noWrap/>
            <w:vAlign w:val="center"/>
            <w:hideMark/>
          </w:tcPr>
          <w:p w14:paraId="443A6534" w14:textId="77777777" w:rsidR="00FA366A" w:rsidRPr="002C21B8" w:rsidRDefault="00FA366A" w:rsidP="00212D46">
            <w:pPr>
              <w:spacing w:after="0" w:line="240" w:lineRule="auto"/>
              <w:rPr>
                <w:sz w:val="20"/>
                <w:szCs w:val="20"/>
              </w:rPr>
            </w:pPr>
            <w:r w:rsidRPr="002C21B8">
              <w:rPr>
                <w:sz w:val="20"/>
                <w:szCs w:val="20"/>
              </w:rPr>
              <w:t>11</w:t>
            </w:r>
          </w:p>
        </w:tc>
        <w:tc>
          <w:tcPr>
            <w:tcW w:w="8573" w:type="dxa"/>
            <w:shd w:val="clear" w:color="auto" w:fill="auto"/>
            <w:noWrap/>
            <w:vAlign w:val="center"/>
            <w:hideMark/>
          </w:tcPr>
          <w:p w14:paraId="0F494673" w14:textId="5F80ABA5" w:rsidR="00FA366A" w:rsidRPr="002C21B8" w:rsidRDefault="00FA366A" w:rsidP="00212D46">
            <w:pPr>
              <w:spacing w:after="0" w:line="240" w:lineRule="auto"/>
              <w:rPr>
                <w:sz w:val="20"/>
                <w:szCs w:val="20"/>
              </w:rPr>
            </w:pPr>
            <w:r w:rsidRPr="002C21B8">
              <w:rPr>
                <w:sz w:val="20"/>
                <w:szCs w:val="20"/>
              </w:rPr>
              <w:t xml:space="preserve">Antenatal screening for </w:t>
            </w:r>
            <w:r w:rsidR="00446D34" w:rsidRPr="002C21B8">
              <w:rPr>
                <w:sz w:val="20"/>
                <w:szCs w:val="20"/>
              </w:rPr>
              <w:t>haemoglobinopathies</w:t>
            </w:r>
            <w:r w:rsidRPr="002C21B8">
              <w:rPr>
                <w:sz w:val="20"/>
                <w:szCs w:val="20"/>
              </w:rPr>
              <w:t xml:space="preserve"> – sickle cell and thalassemia, Downs</w:t>
            </w:r>
          </w:p>
        </w:tc>
      </w:tr>
      <w:tr w:rsidR="00FA366A" w:rsidRPr="002C21B8" w14:paraId="7165EA17" w14:textId="77777777" w:rsidTr="004A72C3">
        <w:trPr>
          <w:trHeight w:val="320"/>
        </w:trPr>
        <w:tc>
          <w:tcPr>
            <w:tcW w:w="636" w:type="dxa"/>
            <w:shd w:val="clear" w:color="auto" w:fill="auto"/>
            <w:noWrap/>
            <w:vAlign w:val="center"/>
            <w:hideMark/>
          </w:tcPr>
          <w:p w14:paraId="381C8A01" w14:textId="77777777" w:rsidR="00FA366A" w:rsidRPr="002C21B8" w:rsidRDefault="00FA366A" w:rsidP="00212D46">
            <w:pPr>
              <w:spacing w:after="0" w:line="240" w:lineRule="auto"/>
              <w:rPr>
                <w:sz w:val="20"/>
                <w:szCs w:val="20"/>
              </w:rPr>
            </w:pPr>
            <w:r w:rsidRPr="002C21B8">
              <w:rPr>
                <w:sz w:val="20"/>
                <w:szCs w:val="20"/>
              </w:rPr>
              <w:t>12</w:t>
            </w:r>
          </w:p>
        </w:tc>
        <w:tc>
          <w:tcPr>
            <w:tcW w:w="8573" w:type="dxa"/>
            <w:shd w:val="clear" w:color="auto" w:fill="auto"/>
            <w:noWrap/>
            <w:vAlign w:val="center"/>
            <w:hideMark/>
          </w:tcPr>
          <w:p w14:paraId="39E716E4" w14:textId="77777777" w:rsidR="00FA366A" w:rsidRPr="002C21B8" w:rsidRDefault="00FA366A" w:rsidP="00212D46">
            <w:pPr>
              <w:spacing w:after="0" w:line="240" w:lineRule="auto"/>
              <w:rPr>
                <w:sz w:val="20"/>
                <w:szCs w:val="20"/>
              </w:rPr>
            </w:pPr>
            <w:r w:rsidRPr="002C21B8">
              <w:rPr>
                <w:sz w:val="20"/>
                <w:szCs w:val="20"/>
              </w:rPr>
              <w:t>Anxiety and stress disorders (including complex and post-traumatic stress disorders)</w:t>
            </w:r>
          </w:p>
        </w:tc>
      </w:tr>
      <w:tr w:rsidR="00FA366A" w:rsidRPr="002C21B8" w14:paraId="3C6B1E82" w14:textId="77777777" w:rsidTr="004A72C3">
        <w:trPr>
          <w:trHeight w:val="320"/>
        </w:trPr>
        <w:tc>
          <w:tcPr>
            <w:tcW w:w="636" w:type="dxa"/>
            <w:shd w:val="clear" w:color="auto" w:fill="auto"/>
            <w:noWrap/>
            <w:vAlign w:val="center"/>
            <w:hideMark/>
          </w:tcPr>
          <w:p w14:paraId="6DD25636" w14:textId="77777777" w:rsidR="00FA366A" w:rsidRPr="002C21B8" w:rsidRDefault="00FA366A" w:rsidP="00212D46">
            <w:pPr>
              <w:spacing w:after="0" w:line="240" w:lineRule="auto"/>
              <w:rPr>
                <w:sz w:val="20"/>
                <w:szCs w:val="20"/>
              </w:rPr>
            </w:pPr>
            <w:r w:rsidRPr="002C21B8">
              <w:rPr>
                <w:sz w:val="20"/>
                <w:szCs w:val="20"/>
              </w:rPr>
              <w:t>13</w:t>
            </w:r>
          </w:p>
        </w:tc>
        <w:tc>
          <w:tcPr>
            <w:tcW w:w="8573" w:type="dxa"/>
            <w:shd w:val="clear" w:color="auto" w:fill="auto"/>
            <w:noWrap/>
            <w:vAlign w:val="center"/>
            <w:hideMark/>
          </w:tcPr>
          <w:p w14:paraId="39423800" w14:textId="77777777" w:rsidR="00FA366A" w:rsidRPr="002C21B8" w:rsidRDefault="00FA366A" w:rsidP="00212D46">
            <w:pPr>
              <w:spacing w:after="0" w:line="240" w:lineRule="auto"/>
              <w:rPr>
                <w:sz w:val="20"/>
                <w:szCs w:val="20"/>
              </w:rPr>
            </w:pPr>
            <w:r w:rsidRPr="002C21B8">
              <w:rPr>
                <w:sz w:val="20"/>
                <w:szCs w:val="20"/>
              </w:rPr>
              <w:t>Aphasia</w:t>
            </w:r>
          </w:p>
        </w:tc>
      </w:tr>
      <w:tr w:rsidR="00FA366A" w:rsidRPr="002C21B8" w14:paraId="18815890" w14:textId="77777777" w:rsidTr="004A72C3">
        <w:trPr>
          <w:trHeight w:val="320"/>
        </w:trPr>
        <w:tc>
          <w:tcPr>
            <w:tcW w:w="636" w:type="dxa"/>
            <w:shd w:val="clear" w:color="auto" w:fill="auto"/>
            <w:noWrap/>
            <w:vAlign w:val="center"/>
            <w:hideMark/>
          </w:tcPr>
          <w:p w14:paraId="747E3824" w14:textId="77777777" w:rsidR="00FA366A" w:rsidRPr="002C21B8" w:rsidRDefault="00FA366A" w:rsidP="00212D46">
            <w:pPr>
              <w:spacing w:after="0" w:line="240" w:lineRule="auto"/>
              <w:rPr>
                <w:sz w:val="20"/>
                <w:szCs w:val="20"/>
              </w:rPr>
            </w:pPr>
            <w:r w:rsidRPr="002C21B8">
              <w:rPr>
                <w:sz w:val="20"/>
                <w:szCs w:val="20"/>
              </w:rPr>
              <w:t>14</w:t>
            </w:r>
          </w:p>
        </w:tc>
        <w:tc>
          <w:tcPr>
            <w:tcW w:w="8573" w:type="dxa"/>
            <w:shd w:val="clear" w:color="auto" w:fill="auto"/>
            <w:noWrap/>
            <w:vAlign w:val="center"/>
            <w:hideMark/>
          </w:tcPr>
          <w:p w14:paraId="293CB1E5" w14:textId="77777777" w:rsidR="00FA366A" w:rsidRPr="002C21B8" w:rsidRDefault="00FA366A" w:rsidP="00212D46">
            <w:pPr>
              <w:spacing w:after="0" w:line="240" w:lineRule="auto"/>
              <w:rPr>
                <w:sz w:val="20"/>
                <w:szCs w:val="20"/>
              </w:rPr>
            </w:pPr>
            <w:r w:rsidRPr="002C21B8">
              <w:rPr>
                <w:sz w:val="20"/>
                <w:szCs w:val="20"/>
              </w:rPr>
              <w:t>Asthma</w:t>
            </w:r>
          </w:p>
        </w:tc>
      </w:tr>
      <w:tr w:rsidR="00FA366A" w:rsidRPr="002C21B8" w14:paraId="5BDF3E98" w14:textId="77777777" w:rsidTr="004A72C3">
        <w:trPr>
          <w:trHeight w:val="320"/>
        </w:trPr>
        <w:tc>
          <w:tcPr>
            <w:tcW w:w="636" w:type="dxa"/>
            <w:shd w:val="clear" w:color="auto" w:fill="auto"/>
            <w:noWrap/>
            <w:vAlign w:val="center"/>
            <w:hideMark/>
          </w:tcPr>
          <w:p w14:paraId="352F52E5" w14:textId="77777777" w:rsidR="00FA366A" w:rsidRPr="002C21B8" w:rsidRDefault="00FA366A" w:rsidP="00212D46">
            <w:pPr>
              <w:spacing w:after="0" w:line="240" w:lineRule="auto"/>
              <w:rPr>
                <w:sz w:val="20"/>
                <w:szCs w:val="20"/>
              </w:rPr>
            </w:pPr>
            <w:r w:rsidRPr="002C21B8">
              <w:rPr>
                <w:sz w:val="20"/>
                <w:szCs w:val="20"/>
              </w:rPr>
              <w:t>15</w:t>
            </w:r>
          </w:p>
        </w:tc>
        <w:tc>
          <w:tcPr>
            <w:tcW w:w="8573" w:type="dxa"/>
            <w:shd w:val="clear" w:color="auto" w:fill="auto"/>
            <w:noWrap/>
            <w:vAlign w:val="center"/>
            <w:hideMark/>
          </w:tcPr>
          <w:p w14:paraId="738BF913" w14:textId="77777777" w:rsidR="00FA366A" w:rsidRPr="002C21B8" w:rsidRDefault="00FA366A" w:rsidP="00212D46">
            <w:pPr>
              <w:spacing w:after="0" w:line="240" w:lineRule="auto"/>
              <w:rPr>
                <w:sz w:val="20"/>
                <w:szCs w:val="20"/>
              </w:rPr>
            </w:pPr>
            <w:r w:rsidRPr="002C21B8">
              <w:rPr>
                <w:sz w:val="20"/>
                <w:szCs w:val="20"/>
              </w:rPr>
              <w:t>Ataxia’s</w:t>
            </w:r>
          </w:p>
        </w:tc>
      </w:tr>
      <w:tr w:rsidR="00FA366A" w:rsidRPr="002C21B8" w14:paraId="101B0028" w14:textId="77777777" w:rsidTr="004A72C3">
        <w:trPr>
          <w:trHeight w:val="320"/>
        </w:trPr>
        <w:tc>
          <w:tcPr>
            <w:tcW w:w="636" w:type="dxa"/>
            <w:shd w:val="clear" w:color="auto" w:fill="auto"/>
            <w:noWrap/>
            <w:vAlign w:val="center"/>
            <w:hideMark/>
          </w:tcPr>
          <w:p w14:paraId="1E712E41" w14:textId="77777777" w:rsidR="00FA366A" w:rsidRPr="002C21B8" w:rsidRDefault="00FA366A" w:rsidP="00212D46">
            <w:pPr>
              <w:spacing w:after="0" w:line="240" w:lineRule="auto"/>
              <w:rPr>
                <w:sz w:val="20"/>
                <w:szCs w:val="20"/>
              </w:rPr>
            </w:pPr>
            <w:r w:rsidRPr="002C21B8">
              <w:rPr>
                <w:sz w:val="20"/>
                <w:szCs w:val="20"/>
              </w:rPr>
              <w:t>16</w:t>
            </w:r>
          </w:p>
        </w:tc>
        <w:tc>
          <w:tcPr>
            <w:tcW w:w="8573" w:type="dxa"/>
            <w:shd w:val="clear" w:color="auto" w:fill="auto"/>
            <w:noWrap/>
            <w:vAlign w:val="center"/>
            <w:hideMark/>
          </w:tcPr>
          <w:p w14:paraId="77082FB4" w14:textId="77777777" w:rsidR="00FA366A" w:rsidRPr="002C21B8" w:rsidRDefault="00FA366A" w:rsidP="00212D46">
            <w:pPr>
              <w:spacing w:after="0" w:line="240" w:lineRule="auto"/>
              <w:rPr>
                <w:sz w:val="20"/>
                <w:szCs w:val="20"/>
              </w:rPr>
            </w:pPr>
            <w:r w:rsidRPr="002C21B8">
              <w:rPr>
                <w:sz w:val="20"/>
                <w:szCs w:val="20"/>
              </w:rPr>
              <w:t>Atrial fibrillation</w:t>
            </w:r>
          </w:p>
        </w:tc>
      </w:tr>
      <w:tr w:rsidR="00FA366A" w:rsidRPr="002C21B8" w14:paraId="149DA2CE" w14:textId="77777777" w:rsidTr="004A72C3">
        <w:trPr>
          <w:trHeight w:val="320"/>
        </w:trPr>
        <w:tc>
          <w:tcPr>
            <w:tcW w:w="636" w:type="dxa"/>
            <w:shd w:val="clear" w:color="auto" w:fill="auto"/>
            <w:noWrap/>
            <w:vAlign w:val="center"/>
            <w:hideMark/>
          </w:tcPr>
          <w:p w14:paraId="76E1CA6E" w14:textId="77777777" w:rsidR="00FA366A" w:rsidRPr="002C21B8" w:rsidRDefault="00FA366A" w:rsidP="00212D46">
            <w:pPr>
              <w:spacing w:after="0" w:line="240" w:lineRule="auto"/>
              <w:rPr>
                <w:sz w:val="20"/>
                <w:szCs w:val="20"/>
              </w:rPr>
            </w:pPr>
            <w:r w:rsidRPr="002C21B8">
              <w:rPr>
                <w:sz w:val="20"/>
                <w:szCs w:val="20"/>
              </w:rPr>
              <w:t>17</w:t>
            </w:r>
          </w:p>
        </w:tc>
        <w:tc>
          <w:tcPr>
            <w:tcW w:w="8573" w:type="dxa"/>
            <w:shd w:val="clear" w:color="auto" w:fill="auto"/>
            <w:noWrap/>
            <w:vAlign w:val="center"/>
            <w:hideMark/>
          </w:tcPr>
          <w:p w14:paraId="4F1FDE3D" w14:textId="77777777" w:rsidR="00FA366A" w:rsidRPr="002C21B8" w:rsidRDefault="00FA366A" w:rsidP="00212D46">
            <w:pPr>
              <w:spacing w:after="0" w:line="240" w:lineRule="auto"/>
              <w:rPr>
                <w:sz w:val="20"/>
                <w:szCs w:val="20"/>
              </w:rPr>
            </w:pPr>
            <w:r w:rsidRPr="002C21B8">
              <w:rPr>
                <w:sz w:val="20"/>
                <w:szCs w:val="20"/>
              </w:rPr>
              <w:t>Autism</w:t>
            </w:r>
          </w:p>
        </w:tc>
      </w:tr>
      <w:tr w:rsidR="00FA366A" w:rsidRPr="002C21B8" w14:paraId="5C9C6C6E" w14:textId="77777777" w:rsidTr="004A72C3">
        <w:trPr>
          <w:trHeight w:val="320"/>
        </w:trPr>
        <w:tc>
          <w:tcPr>
            <w:tcW w:w="636" w:type="dxa"/>
            <w:shd w:val="clear" w:color="auto" w:fill="auto"/>
            <w:noWrap/>
            <w:vAlign w:val="center"/>
            <w:hideMark/>
          </w:tcPr>
          <w:p w14:paraId="7E7B67BD" w14:textId="77777777" w:rsidR="00FA366A" w:rsidRPr="002C21B8" w:rsidRDefault="00FA366A" w:rsidP="00212D46">
            <w:pPr>
              <w:spacing w:after="0" w:line="240" w:lineRule="auto"/>
              <w:rPr>
                <w:sz w:val="20"/>
                <w:szCs w:val="20"/>
              </w:rPr>
            </w:pPr>
            <w:r w:rsidRPr="002C21B8">
              <w:rPr>
                <w:sz w:val="20"/>
                <w:szCs w:val="20"/>
              </w:rPr>
              <w:t>18</w:t>
            </w:r>
          </w:p>
        </w:tc>
        <w:tc>
          <w:tcPr>
            <w:tcW w:w="8573" w:type="dxa"/>
            <w:shd w:val="clear" w:color="auto" w:fill="auto"/>
            <w:noWrap/>
            <w:vAlign w:val="center"/>
            <w:hideMark/>
          </w:tcPr>
          <w:p w14:paraId="5F47B29F" w14:textId="77777777" w:rsidR="00FA366A" w:rsidRPr="002C21B8" w:rsidRDefault="00FA366A" w:rsidP="00212D46">
            <w:pPr>
              <w:spacing w:after="0" w:line="240" w:lineRule="auto"/>
              <w:rPr>
                <w:sz w:val="20"/>
                <w:szCs w:val="20"/>
                <w:lang w:val="sv-SE"/>
              </w:rPr>
            </w:pPr>
            <w:r w:rsidRPr="002C21B8">
              <w:rPr>
                <w:sz w:val="20"/>
                <w:szCs w:val="20"/>
                <w:lang w:val="sv-SE"/>
              </w:rPr>
              <w:t>Autoimmune disorders (e.g. lupus, Sjögrens syndrome)</w:t>
            </w:r>
          </w:p>
        </w:tc>
      </w:tr>
      <w:tr w:rsidR="00FA366A" w:rsidRPr="002C21B8" w14:paraId="4A785A0D" w14:textId="77777777" w:rsidTr="004A72C3">
        <w:trPr>
          <w:trHeight w:val="320"/>
        </w:trPr>
        <w:tc>
          <w:tcPr>
            <w:tcW w:w="636" w:type="dxa"/>
            <w:shd w:val="clear" w:color="auto" w:fill="auto"/>
            <w:noWrap/>
            <w:vAlign w:val="center"/>
            <w:hideMark/>
          </w:tcPr>
          <w:p w14:paraId="77F89CA9" w14:textId="77777777" w:rsidR="00FA366A" w:rsidRPr="002C21B8" w:rsidRDefault="00FA366A" w:rsidP="00212D46">
            <w:pPr>
              <w:spacing w:after="0" w:line="240" w:lineRule="auto"/>
              <w:rPr>
                <w:sz w:val="20"/>
                <w:szCs w:val="20"/>
              </w:rPr>
            </w:pPr>
            <w:r w:rsidRPr="002C21B8">
              <w:rPr>
                <w:sz w:val="20"/>
                <w:szCs w:val="20"/>
              </w:rPr>
              <w:t>19</w:t>
            </w:r>
          </w:p>
        </w:tc>
        <w:tc>
          <w:tcPr>
            <w:tcW w:w="8573" w:type="dxa"/>
            <w:shd w:val="clear" w:color="auto" w:fill="auto"/>
            <w:noWrap/>
            <w:vAlign w:val="center"/>
            <w:hideMark/>
          </w:tcPr>
          <w:p w14:paraId="179F0465" w14:textId="77777777" w:rsidR="00FA366A" w:rsidRPr="002C21B8" w:rsidRDefault="00FA366A" w:rsidP="00212D46">
            <w:pPr>
              <w:spacing w:after="0" w:line="240" w:lineRule="auto"/>
              <w:rPr>
                <w:sz w:val="20"/>
                <w:szCs w:val="20"/>
              </w:rPr>
            </w:pPr>
            <w:r w:rsidRPr="002C21B8">
              <w:rPr>
                <w:sz w:val="20"/>
                <w:szCs w:val="20"/>
              </w:rPr>
              <w:t>Blood disorders</w:t>
            </w:r>
          </w:p>
        </w:tc>
      </w:tr>
      <w:tr w:rsidR="00FA366A" w:rsidRPr="002C21B8" w14:paraId="251BB16E" w14:textId="77777777" w:rsidTr="004A72C3">
        <w:trPr>
          <w:trHeight w:val="320"/>
        </w:trPr>
        <w:tc>
          <w:tcPr>
            <w:tcW w:w="636" w:type="dxa"/>
            <w:shd w:val="clear" w:color="auto" w:fill="auto"/>
            <w:noWrap/>
            <w:vAlign w:val="center"/>
            <w:hideMark/>
          </w:tcPr>
          <w:p w14:paraId="062389E1" w14:textId="77777777" w:rsidR="00FA366A" w:rsidRPr="002C21B8" w:rsidRDefault="00FA366A" w:rsidP="00212D46">
            <w:pPr>
              <w:spacing w:after="0" w:line="240" w:lineRule="auto"/>
              <w:rPr>
                <w:sz w:val="20"/>
                <w:szCs w:val="20"/>
              </w:rPr>
            </w:pPr>
            <w:r w:rsidRPr="002C21B8">
              <w:rPr>
                <w:sz w:val="20"/>
                <w:szCs w:val="20"/>
              </w:rPr>
              <w:t>20</w:t>
            </w:r>
          </w:p>
        </w:tc>
        <w:tc>
          <w:tcPr>
            <w:tcW w:w="8573" w:type="dxa"/>
            <w:shd w:val="clear" w:color="auto" w:fill="auto"/>
            <w:noWrap/>
            <w:vAlign w:val="center"/>
            <w:hideMark/>
          </w:tcPr>
          <w:p w14:paraId="1C6D3875" w14:textId="77777777" w:rsidR="00FA366A" w:rsidRPr="002C21B8" w:rsidRDefault="00FA366A" w:rsidP="00212D46">
            <w:pPr>
              <w:spacing w:after="0" w:line="240" w:lineRule="auto"/>
              <w:rPr>
                <w:sz w:val="20"/>
                <w:szCs w:val="20"/>
              </w:rPr>
            </w:pPr>
            <w:r w:rsidRPr="002C21B8">
              <w:rPr>
                <w:sz w:val="20"/>
                <w:szCs w:val="20"/>
              </w:rPr>
              <w:t>Brain injuries (including stroke and TIAs)</w:t>
            </w:r>
          </w:p>
        </w:tc>
      </w:tr>
      <w:tr w:rsidR="00FA366A" w:rsidRPr="002C21B8" w14:paraId="675B5730" w14:textId="77777777" w:rsidTr="004A72C3">
        <w:trPr>
          <w:trHeight w:val="320"/>
        </w:trPr>
        <w:tc>
          <w:tcPr>
            <w:tcW w:w="636" w:type="dxa"/>
            <w:shd w:val="clear" w:color="auto" w:fill="auto"/>
            <w:noWrap/>
            <w:vAlign w:val="center"/>
            <w:hideMark/>
          </w:tcPr>
          <w:p w14:paraId="32728308" w14:textId="77777777" w:rsidR="00FA366A" w:rsidRPr="002C21B8" w:rsidRDefault="00FA366A" w:rsidP="00212D46">
            <w:pPr>
              <w:spacing w:after="0" w:line="240" w:lineRule="auto"/>
              <w:rPr>
                <w:sz w:val="20"/>
                <w:szCs w:val="20"/>
              </w:rPr>
            </w:pPr>
            <w:r w:rsidRPr="002C21B8">
              <w:rPr>
                <w:sz w:val="20"/>
                <w:szCs w:val="20"/>
              </w:rPr>
              <w:t>21</w:t>
            </w:r>
          </w:p>
        </w:tc>
        <w:tc>
          <w:tcPr>
            <w:tcW w:w="8573" w:type="dxa"/>
            <w:shd w:val="clear" w:color="auto" w:fill="auto"/>
            <w:noWrap/>
            <w:vAlign w:val="center"/>
            <w:hideMark/>
          </w:tcPr>
          <w:p w14:paraId="6E199AFA" w14:textId="77777777" w:rsidR="00FA366A" w:rsidRPr="002C21B8" w:rsidRDefault="00FA366A" w:rsidP="00212D46">
            <w:pPr>
              <w:spacing w:after="0" w:line="240" w:lineRule="auto"/>
              <w:rPr>
                <w:sz w:val="20"/>
                <w:szCs w:val="20"/>
              </w:rPr>
            </w:pPr>
            <w:r w:rsidRPr="002C21B8">
              <w:rPr>
                <w:sz w:val="20"/>
                <w:szCs w:val="20"/>
              </w:rPr>
              <w:t>Bronchopulmonary dysplasia (chronic lung disease of infancy)</w:t>
            </w:r>
          </w:p>
        </w:tc>
      </w:tr>
      <w:tr w:rsidR="00FA366A" w:rsidRPr="002C21B8" w14:paraId="7A48D259" w14:textId="77777777" w:rsidTr="004A72C3">
        <w:trPr>
          <w:trHeight w:val="320"/>
        </w:trPr>
        <w:tc>
          <w:tcPr>
            <w:tcW w:w="636" w:type="dxa"/>
            <w:shd w:val="clear" w:color="auto" w:fill="auto"/>
            <w:noWrap/>
            <w:vAlign w:val="center"/>
            <w:hideMark/>
          </w:tcPr>
          <w:p w14:paraId="362CBBB5" w14:textId="77777777" w:rsidR="00FA366A" w:rsidRPr="002C21B8" w:rsidRDefault="00FA366A" w:rsidP="00212D46">
            <w:pPr>
              <w:spacing w:after="0" w:line="240" w:lineRule="auto"/>
              <w:rPr>
                <w:sz w:val="20"/>
                <w:szCs w:val="20"/>
              </w:rPr>
            </w:pPr>
            <w:r w:rsidRPr="002C21B8">
              <w:rPr>
                <w:sz w:val="20"/>
                <w:szCs w:val="20"/>
              </w:rPr>
              <w:t>22</w:t>
            </w:r>
          </w:p>
        </w:tc>
        <w:tc>
          <w:tcPr>
            <w:tcW w:w="8573" w:type="dxa"/>
            <w:shd w:val="clear" w:color="auto" w:fill="auto"/>
            <w:noWrap/>
            <w:vAlign w:val="center"/>
            <w:hideMark/>
          </w:tcPr>
          <w:p w14:paraId="6D29DE7A" w14:textId="77777777" w:rsidR="00FA366A" w:rsidRPr="002C21B8" w:rsidRDefault="00FA366A" w:rsidP="00212D46">
            <w:pPr>
              <w:spacing w:after="0" w:line="240" w:lineRule="auto"/>
              <w:rPr>
                <w:sz w:val="20"/>
                <w:szCs w:val="20"/>
              </w:rPr>
            </w:pPr>
            <w:r w:rsidRPr="002C21B8">
              <w:rPr>
                <w:sz w:val="20"/>
                <w:szCs w:val="20"/>
              </w:rPr>
              <w:t>Burn injuries</w:t>
            </w:r>
          </w:p>
        </w:tc>
      </w:tr>
      <w:tr w:rsidR="00FA366A" w:rsidRPr="002C21B8" w14:paraId="2A9811BD" w14:textId="77777777" w:rsidTr="004A72C3">
        <w:trPr>
          <w:trHeight w:val="320"/>
        </w:trPr>
        <w:tc>
          <w:tcPr>
            <w:tcW w:w="636" w:type="dxa"/>
            <w:shd w:val="clear" w:color="auto" w:fill="auto"/>
            <w:noWrap/>
            <w:vAlign w:val="center"/>
            <w:hideMark/>
          </w:tcPr>
          <w:p w14:paraId="56BA8D0D" w14:textId="77777777" w:rsidR="00FA366A" w:rsidRPr="002C21B8" w:rsidRDefault="00FA366A" w:rsidP="00212D46">
            <w:pPr>
              <w:spacing w:after="0" w:line="240" w:lineRule="auto"/>
              <w:rPr>
                <w:sz w:val="20"/>
                <w:szCs w:val="20"/>
              </w:rPr>
            </w:pPr>
            <w:r w:rsidRPr="002C21B8">
              <w:rPr>
                <w:sz w:val="20"/>
                <w:szCs w:val="20"/>
              </w:rPr>
              <w:t>23</w:t>
            </w:r>
          </w:p>
        </w:tc>
        <w:tc>
          <w:tcPr>
            <w:tcW w:w="8573" w:type="dxa"/>
            <w:shd w:val="clear" w:color="auto" w:fill="auto"/>
            <w:noWrap/>
            <w:vAlign w:val="center"/>
            <w:hideMark/>
          </w:tcPr>
          <w:p w14:paraId="4DC21B24" w14:textId="77777777" w:rsidR="00FA366A" w:rsidRPr="002C21B8" w:rsidRDefault="00FA366A" w:rsidP="00212D46">
            <w:pPr>
              <w:spacing w:after="0" w:line="240" w:lineRule="auto"/>
              <w:rPr>
                <w:sz w:val="20"/>
                <w:szCs w:val="20"/>
              </w:rPr>
            </w:pPr>
            <w:r w:rsidRPr="002C21B8">
              <w:rPr>
                <w:sz w:val="20"/>
                <w:szCs w:val="20"/>
              </w:rPr>
              <w:t>Cancer</w:t>
            </w:r>
          </w:p>
        </w:tc>
      </w:tr>
      <w:tr w:rsidR="00FA366A" w:rsidRPr="002C21B8" w14:paraId="1AEA1389" w14:textId="77777777" w:rsidTr="004A72C3">
        <w:trPr>
          <w:trHeight w:val="320"/>
        </w:trPr>
        <w:tc>
          <w:tcPr>
            <w:tcW w:w="636" w:type="dxa"/>
            <w:shd w:val="clear" w:color="auto" w:fill="auto"/>
            <w:noWrap/>
            <w:vAlign w:val="center"/>
            <w:hideMark/>
          </w:tcPr>
          <w:p w14:paraId="26ED5B73" w14:textId="77777777" w:rsidR="00FA366A" w:rsidRPr="002C21B8" w:rsidRDefault="00FA366A" w:rsidP="00212D46">
            <w:pPr>
              <w:spacing w:after="0" w:line="240" w:lineRule="auto"/>
              <w:rPr>
                <w:sz w:val="20"/>
                <w:szCs w:val="20"/>
              </w:rPr>
            </w:pPr>
            <w:r w:rsidRPr="002C21B8">
              <w:rPr>
                <w:sz w:val="20"/>
                <w:szCs w:val="20"/>
              </w:rPr>
              <w:t>24</w:t>
            </w:r>
          </w:p>
        </w:tc>
        <w:tc>
          <w:tcPr>
            <w:tcW w:w="8573" w:type="dxa"/>
            <w:shd w:val="clear" w:color="auto" w:fill="auto"/>
            <w:noWrap/>
            <w:vAlign w:val="center"/>
            <w:hideMark/>
          </w:tcPr>
          <w:p w14:paraId="7ADA11CE" w14:textId="77777777" w:rsidR="00FA366A" w:rsidRPr="002C21B8" w:rsidRDefault="00FA366A" w:rsidP="00212D46">
            <w:pPr>
              <w:spacing w:after="0" w:line="240" w:lineRule="auto"/>
              <w:rPr>
                <w:sz w:val="20"/>
                <w:szCs w:val="20"/>
              </w:rPr>
            </w:pPr>
            <w:r w:rsidRPr="002C21B8">
              <w:rPr>
                <w:sz w:val="20"/>
                <w:szCs w:val="20"/>
              </w:rPr>
              <w:t>Cardiac arrhythmias</w:t>
            </w:r>
          </w:p>
        </w:tc>
      </w:tr>
      <w:tr w:rsidR="00FA366A" w:rsidRPr="002C21B8" w14:paraId="527B05F6" w14:textId="77777777" w:rsidTr="004A72C3">
        <w:trPr>
          <w:trHeight w:val="320"/>
        </w:trPr>
        <w:tc>
          <w:tcPr>
            <w:tcW w:w="636" w:type="dxa"/>
            <w:shd w:val="clear" w:color="auto" w:fill="auto"/>
            <w:noWrap/>
            <w:vAlign w:val="center"/>
            <w:hideMark/>
          </w:tcPr>
          <w:p w14:paraId="20FC2073" w14:textId="77777777" w:rsidR="00FA366A" w:rsidRPr="002C21B8" w:rsidRDefault="00FA366A" w:rsidP="00212D46">
            <w:pPr>
              <w:spacing w:after="0" w:line="240" w:lineRule="auto"/>
              <w:rPr>
                <w:sz w:val="20"/>
                <w:szCs w:val="20"/>
              </w:rPr>
            </w:pPr>
            <w:r w:rsidRPr="002C21B8">
              <w:rPr>
                <w:sz w:val="20"/>
                <w:szCs w:val="20"/>
              </w:rPr>
              <w:t>25</w:t>
            </w:r>
          </w:p>
        </w:tc>
        <w:tc>
          <w:tcPr>
            <w:tcW w:w="8573" w:type="dxa"/>
            <w:shd w:val="clear" w:color="auto" w:fill="auto"/>
            <w:noWrap/>
            <w:vAlign w:val="center"/>
            <w:hideMark/>
          </w:tcPr>
          <w:p w14:paraId="03759FAB" w14:textId="77777777" w:rsidR="00FA366A" w:rsidRPr="002C21B8" w:rsidRDefault="00FA366A" w:rsidP="00212D46">
            <w:pPr>
              <w:spacing w:after="0" w:line="240" w:lineRule="auto"/>
              <w:rPr>
                <w:sz w:val="20"/>
                <w:szCs w:val="20"/>
              </w:rPr>
            </w:pPr>
            <w:r w:rsidRPr="002C21B8">
              <w:rPr>
                <w:sz w:val="20"/>
                <w:szCs w:val="20"/>
              </w:rPr>
              <w:t>Cerebral palsy</w:t>
            </w:r>
          </w:p>
        </w:tc>
      </w:tr>
      <w:tr w:rsidR="00FA366A" w:rsidRPr="002C21B8" w14:paraId="0C29A794" w14:textId="77777777" w:rsidTr="004A72C3">
        <w:trPr>
          <w:trHeight w:val="320"/>
        </w:trPr>
        <w:tc>
          <w:tcPr>
            <w:tcW w:w="636" w:type="dxa"/>
            <w:shd w:val="clear" w:color="auto" w:fill="auto"/>
            <w:noWrap/>
            <w:vAlign w:val="center"/>
            <w:hideMark/>
          </w:tcPr>
          <w:p w14:paraId="54A099F7" w14:textId="77777777" w:rsidR="00FA366A" w:rsidRPr="002C21B8" w:rsidRDefault="00FA366A" w:rsidP="00212D46">
            <w:pPr>
              <w:spacing w:after="0" w:line="240" w:lineRule="auto"/>
              <w:rPr>
                <w:sz w:val="20"/>
                <w:szCs w:val="20"/>
              </w:rPr>
            </w:pPr>
            <w:r w:rsidRPr="002C21B8">
              <w:rPr>
                <w:sz w:val="20"/>
                <w:szCs w:val="20"/>
              </w:rPr>
              <w:t>26</w:t>
            </w:r>
          </w:p>
        </w:tc>
        <w:tc>
          <w:tcPr>
            <w:tcW w:w="8573" w:type="dxa"/>
            <w:shd w:val="clear" w:color="auto" w:fill="auto"/>
            <w:noWrap/>
            <w:vAlign w:val="center"/>
            <w:hideMark/>
          </w:tcPr>
          <w:p w14:paraId="303F6C47" w14:textId="77777777" w:rsidR="00FA366A" w:rsidRPr="002C21B8" w:rsidRDefault="00FA366A" w:rsidP="00212D46">
            <w:pPr>
              <w:spacing w:after="0" w:line="240" w:lineRule="auto"/>
              <w:rPr>
                <w:sz w:val="20"/>
                <w:szCs w:val="20"/>
              </w:rPr>
            </w:pPr>
            <w:r w:rsidRPr="002C21B8">
              <w:rPr>
                <w:sz w:val="20"/>
                <w:szCs w:val="20"/>
              </w:rPr>
              <w:t>Childhood constipation</w:t>
            </w:r>
          </w:p>
        </w:tc>
      </w:tr>
      <w:tr w:rsidR="00FA366A" w:rsidRPr="002C21B8" w14:paraId="29B2EAE6" w14:textId="77777777" w:rsidTr="004A72C3">
        <w:trPr>
          <w:trHeight w:val="320"/>
        </w:trPr>
        <w:tc>
          <w:tcPr>
            <w:tcW w:w="636" w:type="dxa"/>
            <w:shd w:val="clear" w:color="auto" w:fill="auto"/>
            <w:noWrap/>
            <w:vAlign w:val="center"/>
            <w:hideMark/>
          </w:tcPr>
          <w:p w14:paraId="350E8CB1" w14:textId="77777777" w:rsidR="00FA366A" w:rsidRPr="002C21B8" w:rsidRDefault="00FA366A" w:rsidP="00212D46">
            <w:pPr>
              <w:spacing w:after="0" w:line="240" w:lineRule="auto"/>
              <w:rPr>
                <w:sz w:val="20"/>
                <w:szCs w:val="20"/>
              </w:rPr>
            </w:pPr>
            <w:r w:rsidRPr="002C21B8">
              <w:rPr>
                <w:sz w:val="20"/>
                <w:szCs w:val="20"/>
              </w:rPr>
              <w:t>27</w:t>
            </w:r>
          </w:p>
        </w:tc>
        <w:tc>
          <w:tcPr>
            <w:tcW w:w="8573" w:type="dxa"/>
            <w:shd w:val="clear" w:color="auto" w:fill="auto"/>
            <w:noWrap/>
            <w:vAlign w:val="center"/>
            <w:hideMark/>
          </w:tcPr>
          <w:p w14:paraId="0A38376C" w14:textId="77777777" w:rsidR="00FA366A" w:rsidRPr="002C21B8" w:rsidRDefault="00FA366A" w:rsidP="00212D46">
            <w:pPr>
              <w:spacing w:after="0" w:line="240" w:lineRule="auto"/>
              <w:rPr>
                <w:sz w:val="20"/>
                <w:szCs w:val="20"/>
              </w:rPr>
            </w:pPr>
            <w:r w:rsidRPr="002C21B8">
              <w:rPr>
                <w:sz w:val="20"/>
                <w:szCs w:val="20"/>
              </w:rPr>
              <w:t>Chronic fatigue syndrome/ME</w:t>
            </w:r>
          </w:p>
        </w:tc>
      </w:tr>
      <w:tr w:rsidR="00FA366A" w:rsidRPr="002C21B8" w14:paraId="6D5AE3D7" w14:textId="77777777" w:rsidTr="004A72C3">
        <w:trPr>
          <w:trHeight w:val="320"/>
        </w:trPr>
        <w:tc>
          <w:tcPr>
            <w:tcW w:w="636" w:type="dxa"/>
            <w:shd w:val="clear" w:color="auto" w:fill="auto"/>
            <w:noWrap/>
            <w:vAlign w:val="center"/>
            <w:hideMark/>
          </w:tcPr>
          <w:p w14:paraId="4FEA4A07" w14:textId="77777777" w:rsidR="00FA366A" w:rsidRPr="002C21B8" w:rsidRDefault="00FA366A" w:rsidP="00212D46">
            <w:pPr>
              <w:spacing w:after="0" w:line="240" w:lineRule="auto"/>
              <w:rPr>
                <w:sz w:val="20"/>
                <w:szCs w:val="20"/>
              </w:rPr>
            </w:pPr>
            <w:r w:rsidRPr="002C21B8">
              <w:rPr>
                <w:sz w:val="20"/>
                <w:szCs w:val="20"/>
              </w:rPr>
              <w:t>28</w:t>
            </w:r>
          </w:p>
        </w:tc>
        <w:tc>
          <w:tcPr>
            <w:tcW w:w="8573" w:type="dxa"/>
            <w:shd w:val="clear" w:color="auto" w:fill="auto"/>
            <w:noWrap/>
            <w:vAlign w:val="center"/>
            <w:hideMark/>
          </w:tcPr>
          <w:p w14:paraId="6A26CB87" w14:textId="77777777" w:rsidR="00FA366A" w:rsidRPr="002C21B8" w:rsidRDefault="00FA366A" w:rsidP="00212D46">
            <w:pPr>
              <w:spacing w:after="0" w:line="240" w:lineRule="auto"/>
              <w:rPr>
                <w:sz w:val="20"/>
                <w:szCs w:val="20"/>
              </w:rPr>
            </w:pPr>
            <w:r w:rsidRPr="002C21B8">
              <w:rPr>
                <w:sz w:val="20"/>
                <w:szCs w:val="20"/>
              </w:rPr>
              <w:t>Chronic kidney disease</w:t>
            </w:r>
          </w:p>
        </w:tc>
      </w:tr>
      <w:tr w:rsidR="00FA366A" w:rsidRPr="002C21B8" w14:paraId="68438A12" w14:textId="77777777" w:rsidTr="004A72C3">
        <w:trPr>
          <w:trHeight w:val="320"/>
        </w:trPr>
        <w:tc>
          <w:tcPr>
            <w:tcW w:w="636" w:type="dxa"/>
            <w:shd w:val="clear" w:color="auto" w:fill="auto"/>
            <w:noWrap/>
            <w:vAlign w:val="center"/>
            <w:hideMark/>
          </w:tcPr>
          <w:p w14:paraId="52E39B3A" w14:textId="77777777" w:rsidR="00FA366A" w:rsidRPr="002C21B8" w:rsidRDefault="00FA366A" w:rsidP="00212D46">
            <w:pPr>
              <w:spacing w:after="0" w:line="240" w:lineRule="auto"/>
              <w:rPr>
                <w:sz w:val="20"/>
                <w:szCs w:val="20"/>
              </w:rPr>
            </w:pPr>
            <w:r w:rsidRPr="002C21B8">
              <w:rPr>
                <w:sz w:val="20"/>
                <w:szCs w:val="20"/>
              </w:rPr>
              <w:t>29</w:t>
            </w:r>
          </w:p>
        </w:tc>
        <w:tc>
          <w:tcPr>
            <w:tcW w:w="8573" w:type="dxa"/>
            <w:shd w:val="clear" w:color="auto" w:fill="auto"/>
            <w:noWrap/>
            <w:vAlign w:val="center"/>
            <w:hideMark/>
          </w:tcPr>
          <w:p w14:paraId="00C6DE1C" w14:textId="77777777" w:rsidR="00FA366A" w:rsidRPr="002C21B8" w:rsidRDefault="00FA366A" w:rsidP="00212D46">
            <w:pPr>
              <w:spacing w:after="0" w:line="240" w:lineRule="auto"/>
              <w:rPr>
                <w:sz w:val="20"/>
                <w:szCs w:val="20"/>
              </w:rPr>
            </w:pPr>
            <w:r w:rsidRPr="002C21B8">
              <w:rPr>
                <w:sz w:val="20"/>
                <w:szCs w:val="20"/>
              </w:rPr>
              <w:t>Chronic obstructive pulmonary disease</w:t>
            </w:r>
          </w:p>
        </w:tc>
      </w:tr>
      <w:tr w:rsidR="00FA366A" w:rsidRPr="002C21B8" w14:paraId="42DFDDCD" w14:textId="77777777" w:rsidTr="004A72C3">
        <w:trPr>
          <w:trHeight w:val="320"/>
        </w:trPr>
        <w:tc>
          <w:tcPr>
            <w:tcW w:w="636" w:type="dxa"/>
            <w:shd w:val="clear" w:color="auto" w:fill="auto"/>
            <w:noWrap/>
            <w:vAlign w:val="center"/>
            <w:hideMark/>
          </w:tcPr>
          <w:p w14:paraId="0214D3B3" w14:textId="77777777" w:rsidR="00FA366A" w:rsidRPr="002C21B8" w:rsidRDefault="00FA366A" w:rsidP="00212D46">
            <w:pPr>
              <w:spacing w:after="0" w:line="240" w:lineRule="auto"/>
              <w:rPr>
                <w:sz w:val="20"/>
                <w:szCs w:val="20"/>
              </w:rPr>
            </w:pPr>
            <w:r w:rsidRPr="002C21B8">
              <w:rPr>
                <w:sz w:val="20"/>
                <w:szCs w:val="20"/>
              </w:rPr>
              <w:t>30</w:t>
            </w:r>
          </w:p>
        </w:tc>
        <w:tc>
          <w:tcPr>
            <w:tcW w:w="8573" w:type="dxa"/>
            <w:shd w:val="clear" w:color="auto" w:fill="auto"/>
            <w:noWrap/>
            <w:vAlign w:val="center"/>
            <w:hideMark/>
          </w:tcPr>
          <w:p w14:paraId="740A1BF8" w14:textId="77777777" w:rsidR="00FA366A" w:rsidRPr="002C21B8" w:rsidRDefault="00FA366A" w:rsidP="00212D46">
            <w:pPr>
              <w:spacing w:after="0" w:line="240" w:lineRule="auto"/>
              <w:rPr>
                <w:sz w:val="20"/>
                <w:szCs w:val="20"/>
              </w:rPr>
            </w:pPr>
            <w:r w:rsidRPr="002C21B8">
              <w:rPr>
                <w:sz w:val="20"/>
                <w:szCs w:val="20"/>
              </w:rPr>
              <w:t>Chronic pain</w:t>
            </w:r>
          </w:p>
        </w:tc>
      </w:tr>
      <w:tr w:rsidR="00FA366A" w:rsidRPr="002C21B8" w14:paraId="3EB81236" w14:textId="77777777" w:rsidTr="004A72C3">
        <w:trPr>
          <w:trHeight w:val="320"/>
        </w:trPr>
        <w:tc>
          <w:tcPr>
            <w:tcW w:w="636" w:type="dxa"/>
            <w:shd w:val="clear" w:color="auto" w:fill="auto"/>
            <w:noWrap/>
            <w:vAlign w:val="center"/>
            <w:hideMark/>
          </w:tcPr>
          <w:p w14:paraId="214CD0AD" w14:textId="77777777" w:rsidR="00FA366A" w:rsidRPr="002C21B8" w:rsidRDefault="00FA366A" w:rsidP="00212D46">
            <w:pPr>
              <w:spacing w:after="0" w:line="240" w:lineRule="auto"/>
              <w:rPr>
                <w:sz w:val="20"/>
                <w:szCs w:val="20"/>
              </w:rPr>
            </w:pPr>
            <w:r w:rsidRPr="002C21B8">
              <w:rPr>
                <w:sz w:val="20"/>
                <w:szCs w:val="20"/>
              </w:rPr>
              <w:t>31</w:t>
            </w:r>
          </w:p>
        </w:tc>
        <w:tc>
          <w:tcPr>
            <w:tcW w:w="8573" w:type="dxa"/>
            <w:shd w:val="clear" w:color="auto" w:fill="auto"/>
            <w:noWrap/>
            <w:vAlign w:val="center"/>
            <w:hideMark/>
          </w:tcPr>
          <w:p w14:paraId="1AEE301A" w14:textId="77777777" w:rsidR="00FA366A" w:rsidRPr="002C21B8" w:rsidRDefault="00FA366A" w:rsidP="00212D46">
            <w:pPr>
              <w:spacing w:after="0" w:line="240" w:lineRule="auto"/>
              <w:rPr>
                <w:sz w:val="20"/>
                <w:szCs w:val="20"/>
              </w:rPr>
            </w:pPr>
            <w:r w:rsidRPr="002C21B8">
              <w:rPr>
                <w:sz w:val="20"/>
                <w:szCs w:val="20"/>
              </w:rPr>
              <w:t>Coeliac disease</w:t>
            </w:r>
          </w:p>
        </w:tc>
      </w:tr>
      <w:tr w:rsidR="00FA366A" w:rsidRPr="002C21B8" w14:paraId="5A38A15A" w14:textId="77777777" w:rsidTr="004A72C3">
        <w:trPr>
          <w:trHeight w:val="320"/>
        </w:trPr>
        <w:tc>
          <w:tcPr>
            <w:tcW w:w="636" w:type="dxa"/>
            <w:shd w:val="clear" w:color="auto" w:fill="auto"/>
            <w:noWrap/>
            <w:vAlign w:val="center"/>
            <w:hideMark/>
          </w:tcPr>
          <w:p w14:paraId="369F875F" w14:textId="77777777" w:rsidR="00FA366A" w:rsidRPr="002C21B8" w:rsidRDefault="00FA366A" w:rsidP="00212D46">
            <w:pPr>
              <w:spacing w:after="0" w:line="240" w:lineRule="auto"/>
              <w:rPr>
                <w:sz w:val="20"/>
                <w:szCs w:val="20"/>
              </w:rPr>
            </w:pPr>
            <w:r w:rsidRPr="002C21B8">
              <w:rPr>
                <w:sz w:val="20"/>
                <w:szCs w:val="20"/>
              </w:rPr>
              <w:t>32</w:t>
            </w:r>
          </w:p>
        </w:tc>
        <w:tc>
          <w:tcPr>
            <w:tcW w:w="8573" w:type="dxa"/>
            <w:shd w:val="clear" w:color="auto" w:fill="auto"/>
            <w:noWrap/>
            <w:vAlign w:val="center"/>
            <w:hideMark/>
          </w:tcPr>
          <w:p w14:paraId="2119149D" w14:textId="77777777" w:rsidR="00FA366A" w:rsidRPr="002C21B8" w:rsidRDefault="00FA366A" w:rsidP="00212D46">
            <w:pPr>
              <w:spacing w:after="0" w:line="240" w:lineRule="auto"/>
              <w:rPr>
                <w:sz w:val="20"/>
                <w:szCs w:val="20"/>
              </w:rPr>
            </w:pPr>
            <w:r w:rsidRPr="002C21B8">
              <w:rPr>
                <w:sz w:val="20"/>
                <w:szCs w:val="20"/>
              </w:rPr>
              <w:t>Congestive heart failure</w:t>
            </w:r>
          </w:p>
        </w:tc>
      </w:tr>
      <w:tr w:rsidR="00FA366A" w:rsidRPr="002C21B8" w14:paraId="23B4BA72" w14:textId="77777777" w:rsidTr="004A72C3">
        <w:trPr>
          <w:trHeight w:val="320"/>
        </w:trPr>
        <w:tc>
          <w:tcPr>
            <w:tcW w:w="636" w:type="dxa"/>
            <w:shd w:val="clear" w:color="auto" w:fill="auto"/>
            <w:noWrap/>
            <w:vAlign w:val="center"/>
            <w:hideMark/>
          </w:tcPr>
          <w:p w14:paraId="4992DD20" w14:textId="77777777" w:rsidR="00FA366A" w:rsidRPr="002C21B8" w:rsidRDefault="00FA366A" w:rsidP="00212D46">
            <w:pPr>
              <w:spacing w:after="0" w:line="240" w:lineRule="auto"/>
              <w:rPr>
                <w:sz w:val="20"/>
                <w:szCs w:val="20"/>
              </w:rPr>
            </w:pPr>
            <w:r w:rsidRPr="002C21B8">
              <w:rPr>
                <w:sz w:val="20"/>
                <w:szCs w:val="20"/>
              </w:rPr>
              <w:t>33</w:t>
            </w:r>
          </w:p>
        </w:tc>
        <w:tc>
          <w:tcPr>
            <w:tcW w:w="8573" w:type="dxa"/>
            <w:shd w:val="clear" w:color="auto" w:fill="auto"/>
            <w:noWrap/>
            <w:vAlign w:val="center"/>
            <w:hideMark/>
          </w:tcPr>
          <w:p w14:paraId="2239EFE4" w14:textId="77777777" w:rsidR="00FA366A" w:rsidRPr="002C21B8" w:rsidRDefault="00FA366A" w:rsidP="00212D46">
            <w:pPr>
              <w:spacing w:after="0" w:line="240" w:lineRule="auto"/>
              <w:rPr>
                <w:sz w:val="20"/>
                <w:szCs w:val="20"/>
              </w:rPr>
            </w:pPr>
            <w:r w:rsidRPr="002C21B8">
              <w:rPr>
                <w:sz w:val="20"/>
                <w:szCs w:val="20"/>
              </w:rPr>
              <w:t>Connective tissue diseases</w:t>
            </w:r>
          </w:p>
        </w:tc>
      </w:tr>
      <w:tr w:rsidR="00FA366A" w:rsidRPr="002C21B8" w14:paraId="10E1DADD" w14:textId="77777777" w:rsidTr="004A72C3">
        <w:trPr>
          <w:trHeight w:val="320"/>
        </w:trPr>
        <w:tc>
          <w:tcPr>
            <w:tcW w:w="636" w:type="dxa"/>
            <w:shd w:val="clear" w:color="auto" w:fill="auto"/>
            <w:noWrap/>
            <w:vAlign w:val="center"/>
            <w:hideMark/>
          </w:tcPr>
          <w:p w14:paraId="67617F3A" w14:textId="77777777" w:rsidR="00FA366A" w:rsidRPr="002C21B8" w:rsidRDefault="00FA366A" w:rsidP="00212D46">
            <w:pPr>
              <w:spacing w:after="0" w:line="240" w:lineRule="auto"/>
              <w:rPr>
                <w:sz w:val="20"/>
                <w:szCs w:val="20"/>
              </w:rPr>
            </w:pPr>
            <w:r w:rsidRPr="002C21B8">
              <w:rPr>
                <w:sz w:val="20"/>
                <w:szCs w:val="20"/>
              </w:rPr>
              <w:t>34</w:t>
            </w:r>
          </w:p>
        </w:tc>
        <w:tc>
          <w:tcPr>
            <w:tcW w:w="8573" w:type="dxa"/>
            <w:shd w:val="clear" w:color="auto" w:fill="auto"/>
            <w:noWrap/>
            <w:vAlign w:val="center"/>
            <w:hideMark/>
          </w:tcPr>
          <w:p w14:paraId="225ACFC7" w14:textId="77777777" w:rsidR="00FA366A" w:rsidRPr="002C21B8" w:rsidRDefault="00FA366A" w:rsidP="00212D46">
            <w:pPr>
              <w:spacing w:after="0" w:line="240" w:lineRule="auto"/>
              <w:rPr>
                <w:sz w:val="20"/>
                <w:szCs w:val="20"/>
              </w:rPr>
            </w:pPr>
            <w:r w:rsidRPr="002C21B8">
              <w:rPr>
                <w:sz w:val="20"/>
                <w:szCs w:val="20"/>
              </w:rPr>
              <w:t>Coronary heart disease</w:t>
            </w:r>
          </w:p>
        </w:tc>
      </w:tr>
      <w:tr w:rsidR="00FA366A" w:rsidRPr="002C21B8" w14:paraId="65F14BB4" w14:textId="77777777" w:rsidTr="004A72C3">
        <w:trPr>
          <w:trHeight w:val="320"/>
        </w:trPr>
        <w:tc>
          <w:tcPr>
            <w:tcW w:w="636" w:type="dxa"/>
            <w:shd w:val="clear" w:color="auto" w:fill="auto"/>
            <w:noWrap/>
            <w:vAlign w:val="center"/>
            <w:hideMark/>
          </w:tcPr>
          <w:p w14:paraId="43961465" w14:textId="77777777" w:rsidR="00FA366A" w:rsidRPr="002C21B8" w:rsidRDefault="00FA366A" w:rsidP="00212D46">
            <w:pPr>
              <w:spacing w:after="0" w:line="240" w:lineRule="auto"/>
              <w:rPr>
                <w:sz w:val="20"/>
                <w:szCs w:val="20"/>
              </w:rPr>
            </w:pPr>
            <w:r w:rsidRPr="002C21B8">
              <w:rPr>
                <w:sz w:val="20"/>
                <w:szCs w:val="20"/>
              </w:rPr>
              <w:t>35</w:t>
            </w:r>
          </w:p>
        </w:tc>
        <w:tc>
          <w:tcPr>
            <w:tcW w:w="8573" w:type="dxa"/>
            <w:shd w:val="clear" w:color="auto" w:fill="auto"/>
            <w:noWrap/>
            <w:vAlign w:val="center"/>
            <w:hideMark/>
          </w:tcPr>
          <w:p w14:paraId="6F9944CC" w14:textId="77777777" w:rsidR="00FA366A" w:rsidRPr="002C21B8" w:rsidRDefault="00FA366A" w:rsidP="00212D46">
            <w:pPr>
              <w:spacing w:after="0" w:line="240" w:lineRule="auto"/>
              <w:rPr>
                <w:sz w:val="20"/>
                <w:szCs w:val="20"/>
              </w:rPr>
            </w:pPr>
            <w:r w:rsidRPr="002C21B8">
              <w:rPr>
                <w:sz w:val="20"/>
                <w:szCs w:val="20"/>
              </w:rPr>
              <w:t>Crohn’s disease</w:t>
            </w:r>
          </w:p>
        </w:tc>
      </w:tr>
      <w:tr w:rsidR="00FA366A" w:rsidRPr="002C21B8" w14:paraId="627F13A7" w14:textId="77777777" w:rsidTr="004A72C3">
        <w:trPr>
          <w:trHeight w:val="320"/>
        </w:trPr>
        <w:tc>
          <w:tcPr>
            <w:tcW w:w="636" w:type="dxa"/>
            <w:shd w:val="clear" w:color="auto" w:fill="auto"/>
            <w:noWrap/>
            <w:vAlign w:val="center"/>
            <w:hideMark/>
          </w:tcPr>
          <w:p w14:paraId="74F2337F" w14:textId="77777777" w:rsidR="00FA366A" w:rsidRPr="002C21B8" w:rsidRDefault="00FA366A" w:rsidP="00212D46">
            <w:pPr>
              <w:spacing w:after="0" w:line="240" w:lineRule="auto"/>
              <w:rPr>
                <w:sz w:val="20"/>
                <w:szCs w:val="20"/>
              </w:rPr>
            </w:pPr>
            <w:r w:rsidRPr="002C21B8">
              <w:rPr>
                <w:sz w:val="20"/>
                <w:szCs w:val="20"/>
              </w:rPr>
              <w:t>36</w:t>
            </w:r>
          </w:p>
        </w:tc>
        <w:tc>
          <w:tcPr>
            <w:tcW w:w="8573" w:type="dxa"/>
            <w:shd w:val="clear" w:color="auto" w:fill="auto"/>
            <w:noWrap/>
            <w:vAlign w:val="center"/>
            <w:hideMark/>
          </w:tcPr>
          <w:p w14:paraId="0AAE79B0" w14:textId="77777777" w:rsidR="00FA366A" w:rsidRPr="002C21B8" w:rsidRDefault="00FA366A" w:rsidP="00212D46">
            <w:pPr>
              <w:spacing w:after="0" w:line="240" w:lineRule="auto"/>
              <w:rPr>
                <w:sz w:val="20"/>
                <w:szCs w:val="20"/>
              </w:rPr>
            </w:pPr>
            <w:r w:rsidRPr="002C21B8">
              <w:rPr>
                <w:sz w:val="20"/>
                <w:szCs w:val="20"/>
              </w:rPr>
              <w:t>Cystic Fibrosis</w:t>
            </w:r>
          </w:p>
        </w:tc>
      </w:tr>
      <w:tr w:rsidR="00FA366A" w:rsidRPr="002C21B8" w14:paraId="57503416" w14:textId="77777777" w:rsidTr="004A72C3">
        <w:trPr>
          <w:trHeight w:val="320"/>
        </w:trPr>
        <w:tc>
          <w:tcPr>
            <w:tcW w:w="636" w:type="dxa"/>
            <w:shd w:val="clear" w:color="auto" w:fill="auto"/>
            <w:noWrap/>
            <w:vAlign w:val="center"/>
            <w:hideMark/>
          </w:tcPr>
          <w:p w14:paraId="4021C8C8" w14:textId="77777777" w:rsidR="00FA366A" w:rsidRPr="002C21B8" w:rsidRDefault="00FA366A" w:rsidP="00212D46">
            <w:pPr>
              <w:spacing w:after="0" w:line="240" w:lineRule="auto"/>
              <w:rPr>
                <w:sz w:val="20"/>
                <w:szCs w:val="20"/>
              </w:rPr>
            </w:pPr>
            <w:r w:rsidRPr="002C21B8">
              <w:rPr>
                <w:sz w:val="20"/>
                <w:szCs w:val="20"/>
              </w:rPr>
              <w:t>37</w:t>
            </w:r>
          </w:p>
        </w:tc>
        <w:tc>
          <w:tcPr>
            <w:tcW w:w="8573" w:type="dxa"/>
            <w:shd w:val="clear" w:color="auto" w:fill="auto"/>
            <w:noWrap/>
            <w:vAlign w:val="center"/>
            <w:hideMark/>
          </w:tcPr>
          <w:p w14:paraId="6B2075B3" w14:textId="77777777" w:rsidR="00FA366A" w:rsidRPr="002C21B8" w:rsidRDefault="00FA366A" w:rsidP="00212D46">
            <w:pPr>
              <w:spacing w:after="0" w:line="240" w:lineRule="auto"/>
              <w:rPr>
                <w:sz w:val="20"/>
                <w:szCs w:val="20"/>
              </w:rPr>
            </w:pPr>
            <w:r w:rsidRPr="002C21B8">
              <w:rPr>
                <w:sz w:val="20"/>
                <w:szCs w:val="20"/>
              </w:rPr>
              <w:t>Dementia</w:t>
            </w:r>
          </w:p>
        </w:tc>
      </w:tr>
      <w:tr w:rsidR="00FA366A" w:rsidRPr="002C21B8" w14:paraId="764B91C3" w14:textId="77777777" w:rsidTr="004A72C3">
        <w:trPr>
          <w:trHeight w:val="320"/>
        </w:trPr>
        <w:tc>
          <w:tcPr>
            <w:tcW w:w="636" w:type="dxa"/>
            <w:shd w:val="clear" w:color="auto" w:fill="auto"/>
            <w:noWrap/>
            <w:vAlign w:val="center"/>
            <w:hideMark/>
          </w:tcPr>
          <w:p w14:paraId="3AEB0496" w14:textId="77777777" w:rsidR="00FA366A" w:rsidRPr="002C21B8" w:rsidRDefault="00FA366A" w:rsidP="00212D46">
            <w:pPr>
              <w:spacing w:after="0" w:line="240" w:lineRule="auto"/>
              <w:rPr>
                <w:sz w:val="20"/>
                <w:szCs w:val="20"/>
              </w:rPr>
            </w:pPr>
            <w:r w:rsidRPr="002C21B8">
              <w:rPr>
                <w:sz w:val="20"/>
                <w:szCs w:val="20"/>
              </w:rPr>
              <w:t>38</w:t>
            </w:r>
          </w:p>
        </w:tc>
        <w:tc>
          <w:tcPr>
            <w:tcW w:w="8573" w:type="dxa"/>
            <w:shd w:val="clear" w:color="auto" w:fill="auto"/>
            <w:noWrap/>
            <w:vAlign w:val="center"/>
            <w:hideMark/>
          </w:tcPr>
          <w:p w14:paraId="651BCB1A" w14:textId="77777777" w:rsidR="00FA366A" w:rsidRPr="002C21B8" w:rsidRDefault="00FA366A" w:rsidP="00212D46">
            <w:pPr>
              <w:spacing w:after="0" w:line="240" w:lineRule="auto"/>
              <w:rPr>
                <w:sz w:val="20"/>
                <w:szCs w:val="20"/>
              </w:rPr>
            </w:pPr>
            <w:r w:rsidRPr="002C21B8">
              <w:rPr>
                <w:sz w:val="20"/>
                <w:szCs w:val="20"/>
              </w:rPr>
              <w:t>Depression</w:t>
            </w:r>
          </w:p>
        </w:tc>
      </w:tr>
      <w:tr w:rsidR="00FA366A" w:rsidRPr="002C21B8" w14:paraId="7BFC2FBE" w14:textId="77777777" w:rsidTr="004A72C3">
        <w:trPr>
          <w:trHeight w:val="320"/>
        </w:trPr>
        <w:tc>
          <w:tcPr>
            <w:tcW w:w="636" w:type="dxa"/>
            <w:shd w:val="clear" w:color="auto" w:fill="auto"/>
            <w:noWrap/>
            <w:vAlign w:val="center"/>
            <w:hideMark/>
          </w:tcPr>
          <w:p w14:paraId="4C23E691" w14:textId="77777777" w:rsidR="00FA366A" w:rsidRPr="002C21B8" w:rsidRDefault="00FA366A" w:rsidP="00212D46">
            <w:pPr>
              <w:spacing w:after="0" w:line="240" w:lineRule="auto"/>
              <w:rPr>
                <w:sz w:val="20"/>
                <w:szCs w:val="20"/>
              </w:rPr>
            </w:pPr>
            <w:r w:rsidRPr="002C21B8">
              <w:rPr>
                <w:sz w:val="20"/>
                <w:szCs w:val="20"/>
              </w:rPr>
              <w:t>39</w:t>
            </w:r>
          </w:p>
        </w:tc>
        <w:tc>
          <w:tcPr>
            <w:tcW w:w="8573" w:type="dxa"/>
            <w:shd w:val="clear" w:color="auto" w:fill="auto"/>
            <w:noWrap/>
            <w:vAlign w:val="center"/>
            <w:hideMark/>
          </w:tcPr>
          <w:p w14:paraId="185124C4" w14:textId="77777777" w:rsidR="00FA366A" w:rsidRPr="002C21B8" w:rsidRDefault="00FA366A" w:rsidP="00212D46">
            <w:pPr>
              <w:spacing w:after="0" w:line="240" w:lineRule="auto"/>
              <w:rPr>
                <w:sz w:val="20"/>
                <w:szCs w:val="20"/>
              </w:rPr>
            </w:pPr>
            <w:r w:rsidRPr="002C21B8">
              <w:rPr>
                <w:sz w:val="20"/>
                <w:szCs w:val="20"/>
              </w:rPr>
              <w:t>Diabetes: Type I</w:t>
            </w:r>
          </w:p>
        </w:tc>
      </w:tr>
      <w:tr w:rsidR="00FA366A" w:rsidRPr="002C21B8" w14:paraId="58D0B567" w14:textId="77777777" w:rsidTr="004A72C3">
        <w:trPr>
          <w:trHeight w:val="320"/>
        </w:trPr>
        <w:tc>
          <w:tcPr>
            <w:tcW w:w="636" w:type="dxa"/>
            <w:shd w:val="clear" w:color="auto" w:fill="auto"/>
            <w:noWrap/>
            <w:vAlign w:val="center"/>
            <w:hideMark/>
          </w:tcPr>
          <w:p w14:paraId="14C0833D" w14:textId="77777777" w:rsidR="00FA366A" w:rsidRPr="002C21B8" w:rsidRDefault="00FA366A" w:rsidP="00212D46">
            <w:pPr>
              <w:spacing w:after="0" w:line="240" w:lineRule="auto"/>
              <w:rPr>
                <w:sz w:val="20"/>
                <w:szCs w:val="20"/>
              </w:rPr>
            </w:pPr>
            <w:r w:rsidRPr="002C21B8">
              <w:rPr>
                <w:sz w:val="20"/>
                <w:szCs w:val="20"/>
              </w:rPr>
              <w:t>40</w:t>
            </w:r>
          </w:p>
        </w:tc>
        <w:tc>
          <w:tcPr>
            <w:tcW w:w="8573" w:type="dxa"/>
            <w:shd w:val="clear" w:color="auto" w:fill="auto"/>
            <w:noWrap/>
            <w:vAlign w:val="center"/>
            <w:hideMark/>
          </w:tcPr>
          <w:p w14:paraId="38776E56" w14:textId="77777777" w:rsidR="00FA366A" w:rsidRPr="002C21B8" w:rsidRDefault="00FA366A" w:rsidP="00212D46">
            <w:pPr>
              <w:spacing w:after="0" w:line="240" w:lineRule="auto"/>
              <w:rPr>
                <w:sz w:val="20"/>
                <w:szCs w:val="20"/>
              </w:rPr>
            </w:pPr>
            <w:r w:rsidRPr="002C21B8">
              <w:rPr>
                <w:sz w:val="20"/>
                <w:szCs w:val="20"/>
              </w:rPr>
              <w:t>Diabetes: Type II</w:t>
            </w:r>
          </w:p>
        </w:tc>
      </w:tr>
      <w:tr w:rsidR="00FA366A" w:rsidRPr="002C21B8" w14:paraId="1AB5D94C" w14:textId="77777777" w:rsidTr="004A72C3">
        <w:trPr>
          <w:trHeight w:val="320"/>
        </w:trPr>
        <w:tc>
          <w:tcPr>
            <w:tcW w:w="636" w:type="dxa"/>
            <w:shd w:val="clear" w:color="auto" w:fill="auto"/>
            <w:noWrap/>
            <w:vAlign w:val="center"/>
            <w:hideMark/>
          </w:tcPr>
          <w:p w14:paraId="59CC1A4A" w14:textId="77777777" w:rsidR="00FA366A" w:rsidRPr="002C21B8" w:rsidRDefault="00FA366A" w:rsidP="00212D46">
            <w:pPr>
              <w:spacing w:after="0" w:line="240" w:lineRule="auto"/>
              <w:rPr>
                <w:sz w:val="20"/>
                <w:szCs w:val="20"/>
              </w:rPr>
            </w:pPr>
            <w:r w:rsidRPr="002C21B8">
              <w:rPr>
                <w:sz w:val="20"/>
                <w:szCs w:val="20"/>
              </w:rPr>
              <w:t>41</w:t>
            </w:r>
          </w:p>
        </w:tc>
        <w:tc>
          <w:tcPr>
            <w:tcW w:w="8573" w:type="dxa"/>
            <w:shd w:val="clear" w:color="auto" w:fill="auto"/>
            <w:noWrap/>
            <w:vAlign w:val="center"/>
            <w:hideMark/>
          </w:tcPr>
          <w:p w14:paraId="06197BFA" w14:textId="77777777" w:rsidR="00FA366A" w:rsidRPr="002C21B8" w:rsidRDefault="00FA366A" w:rsidP="00212D46">
            <w:pPr>
              <w:spacing w:after="0" w:line="240" w:lineRule="auto"/>
              <w:rPr>
                <w:sz w:val="20"/>
                <w:szCs w:val="20"/>
              </w:rPr>
            </w:pPr>
            <w:r w:rsidRPr="002C21B8">
              <w:rPr>
                <w:sz w:val="20"/>
                <w:szCs w:val="20"/>
              </w:rPr>
              <w:t>Digestive conditions, stomach ulcers, oesophagus, reflux</w:t>
            </w:r>
          </w:p>
        </w:tc>
      </w:tr>
      <w:tr w:rsidR="00FA366A" w:rsidRPr="002C21B8" w14:paraId="1721DA16" w14:textId="77777777" w:rsidTr="004A72C3">
        <w:trPr>
          <w:trHeight w:val="320"/>
        </w:trPr>
        <w:tc>
          <w:tcPr>
            <w:tcW w:w="636" w:type="dxa"/>
            <w:shd w:val="clear" w:color="auto" w:fill="auto"/>
            <w:noWrap/>
            <w:vAlign w:val="center"/>
            <w:hideMark/>
          </w:tcPr>
          <w:p w14:paraId="4D5E0A48" w14:textId="77777777" w:rsidR="00FA366A" w:rsidRPr="002C21B8" w:rsidRDefault="00FA366A" w:rsidP="00212D46">
            <w:pPr>
              <w:spacing w:after="0" w:line="240" w:lineRule="auto"/>
              <w:rPr>
                <w:sz w:val="20"/>
                <w:szCs w:val="20"/>
              </w:rPr>
            </w:pPr>
            <w:r w:rsidRPr="002C21B8">
              <w:rPr>
                <w:sz w:val="20"/>
                <w:szCs w:val="20"/>
              </w:rPr>
              <w:t>42</w:t>
            </w:r>
          </w:p>
        </w:tc>
        <w:tc>
          <w:tcPr>
            <w:tcW w:w="8573" w:type="dxa"/>
            <w:shd w:val="clear" w:color="auto" w:fill="auto"/>
            <w:noWrap/>
            <w:vAlign w:val="center"/>
            <w:hideMark/>
          </w:tcPr>
          <w:p w14:paraId="2BBD458C" w14:textId="77777777" w:rsidR="00FA366A" w:rsidRPr="002C21B8" w:rsidRDefault="00FA366A" w:rsidP="00212D46">
            <w:pPr>
              <w:spacing w:after="0" w:line="240" w:lineRule="auto"/>
              <w:rPr>
                <w:sz w:val="20"/>
                <w:szCs w:val="20"/>
              </w:rPr>
            </w:pPr>
            <w:r w:rsidRPr="002C21B8">
              <w:rPr>
                <w:sz w:val="20"/>
                <w:szCs w:val="20"/>
              </w:rPr>
              <w:t>Dizziness</w:t>
            </w:r>
          </w:p>
        </w:tc>
      </w:tr>
      <w:tr w:rsidR="00FA366A" w:rsidRPr="002C21B8" w14:paraId="7C9F00AA" w14:textId="77777777" w:rsidTr="004A72C3">
        <w:trPr>
          <w:trHeight w:val="320"/>
        </w:trPr>
        <w:tc>
          <w:tcPr>
            <w:tcW w:w="636" w:type="dxa"/>
            <w:shd w:val="clear" w:color="auto" w:fill="auto"/>
            <w:noWrap/>
            <w:vAlign w:val="center"/>
            <w:hideMark/>
          </w:tcPr>
          <w:p w14:paraId="08B849C0" w14:textId="77777777" w:rsidR="00FA366A" w:rsidRPr="002C21B8" w:rsidRDefault="00FA366A" w:rsidP="00212D46">
            <w:pPr>
              <w:spacing w:after="0" w:line="240" w:lineRule="auto"/>
              <w:rPr>
                <w:sz w:val="20"/>
                <w:szCs w:val="20"/>
              </w:rPr>
            </w:pPr>
            <w:r w:rsidRPr="002C21B8">
              <w:rPr>
                <w:sz w:val="20"/>
                <w:szCs w:val="20"/>
              </w:rPr>
              <w:t>43</w:t>
            </w:r>
          </w:p>
        </w:tc>
        <w:tc>
          <w:tcPr>
            <w:tcW w:w="8573" w:type="dxa"/>
            <w:shd w:val="clear" w:color="auto" w:fill="auto"/>
            <w:noWrap/>
            <w:vAlign w:val="center"/>
            <w:hideMark/>
          </w:tcPr>
          <w:p w14:paraId="20F1F05E" w14:textId="745E0CE8" w:rsidR="00FA366A" w:rsidRPr="002C21B8" w:rsidRDefault="00FA366A" w:rsidP="00212D46">
            <w:pPr>
              <w:spacing w:after="0" w:line="240" w:lineRule="auto"/>
              <w:rPr>
                <w:sz w:val="20"/>
                <w:szCs w:val="20"/>
              </w:rPr>
            </w:pPr>
            <w:r w:rsidRPr="002C21B8">
              <w:rPr>
                <w:sz w:val="20"/>
                <w:szCs w:val="20"/>
              </w:rPr>
              <w:t xml:space="preserve">Dyslexia or </w:t>
            </w:r>
            <w:r w:rsidR="00446D34" w:rsidRPr="002C21B8">
              <w:rPr>
                <w:sz w:val="20"/>
                <w:szCs w:val="20"/>
              </w:rPr>
              <w:t>dyspraxia</w:t>
            </w:r>
          </w:p>
        </w:tc>
      </w:tr>
      <w:tr w:rsidR="00FA366A" w:rsidRPr="002C21B8" w14:paraId="6D328EDC" w14:textId="77777777" w:rsidTr="004A72C3">
        <w:trPr>
          <w:trHeight w:val="320"/>
        </w:trPr>
        <w:tc>
          <w:tcPr>
            <w:tcW w:w="636" w:type="dxa"/>
            <w:shd w:val="clear" w:color="auto" w:fill="auto"/>
            <w:noWrap/>
            <w:vAlign w:val="center"/>
            <w:hideMark/>
          </w:tcPr>
          <w:p w14:paraId="7AE974A3" w14:textId="77777777" w:rsidR="00FA366A" w:rsidRPr="002C21B8" w:rsidRDefault="00FA366A" w:rsidP="00212D46">
            <w:pPr>
              <w:spacing w:after="0" w:line="240" w:lineRule="auto"/>
              <w:rPr>
                <w:sz w:val="20"/>
                <w:szCs w:val="20"/>
              </w:rPr>
            </w:pPr>
            <w:r w:rsidRPr="002C21B8">
              <w:rPr>
                <w:sz w:val="20"/>
                <w:szCs w:val="20"/>
              </w:rPr>
              <w:t>44</w:t>
            </w:r>
          </w:p>
        </w:tc>
        <w:tc>
          <w:tcPr>
            <w:tcW w:w="8573" w:type="dxa"/>
            <w:shd w:val="clear" w:color="auto" w:fill="auto"/>
            <w:noWrap/>
            <w:vAlign w:val="center"/>
            <w:hideMark/>
          </w:tcPr>
          <w:p w14:paraId="692C8D38" w14:textId="77777777" w:rsidR="00FA366A" w:rsidRPr="002C21B8" w:rsidRDefault="00FA366A" w:rsidP="00212D46">
            <w:pPr>
              <w:spacing w:after="0" w:line="240" w:lineRule="auto"/>
              <w:rPr>
                <w:sz w:val="20"/>
                <w:szCs w:val="20"/>
              </w:rPr>
            </w:pPr>
            <w:r w:rsidRPr="002C21B8">
              <w:rPr>
                <w:sz w:val="20"/>
                <w:szCs w:val="20"/>
              </w:rPr>
              <w:t>Eating disorders (anorexia/bulimia)</w:t>
            </w:r>
          </w:p>
        </w:tc>
      </w:tr>
      <w:tr w:rsidR="00FA366A" w:rsidRPr="002C21B8" w14:paraId="67364797" w14:textId="77777777" w:rsidTr="004A72C3">
        <w:trPr>
          <w:trHeight w:val="320"/>
        </w:trPr>
        <w:tc>
          <w:tcPr>
            <w:tcW w:w="636" w:type="dxa"/>
            <w:shd w:val="clear" w:color="auto" w:fill="auto"/>
            <w:noWrap/>
            <w:vAlign w:val="center"/>
            <w:hideMark/>
          </w:tcPr>
          <w:p w14:paraId="479F6EE1" w14:textId="77777777" w:rsidR="00FA366A" w:rsidRPr="002C21B8" w:rsidRDefault="00FA366A" w:rsidP="00212D46">
            <w:pPr>
              <w:spacing w:after="0" w:line="240" w:lineRule="auto"/>
              <w:rPr>
                <w:sz w:val="20"/>
                <w:szCs w:val="20"/>
              </w:rPr>
            </w:pPr>
            <w:r w:rsidRPr="002C21B8">
              <w:rPr>
                <w:sz w:val="20"/>
                <w:szCs w:val="20"/>
              </w:rPr>
              <w:t>45</w:t>
            </w:r>
          </w:p>
        </w:tc>
        <w:tc>
          <w:tcPr>
            <w:tcW w:w="8573" w:type="dxa"/>
            <w:shd w:val="clear" w:color="auto" w:fill="auto"/>
            <w:noWrap/>
            <w:vAlign w:val="center"/>
            <w:hideMark/>
          </w:tcPr>
          <w:p w14:paraId="4A6D893A" w14:textId="77777777" w:rsidR="00FA366A" w:rsidRPr="002C21B8" w:rsidRDefault="00FA366A" w:rsidP="00212D46">
            <w:pPr>
              <w:spacing w:after="0" w:line="240" w:lineRule="auto"/>
              <w:rPr>
                <w:sz w:val="20"/>
                <w:szCs w:val="20"/>
              </w:rPr>
            </w:pPr>
            <w:r w:rsidRPr="002C21B8">
              <w:rPr>
                <w:sz w:val="20"/>
                <w:szCs w:val="20"/>
              </w:rPr>
              <w:t>Eczema</w:t>
            </w:r>
          </w:p>
        </w:tc>
      </w:tr>
      <w:tr w:rsidR="00FA366A" w:rsidRPr="002C21B8" w14:paraId="239F0CA5" w14:textId="77777777" w:rsidTr="004A72C3">
        <w:trPr>
          <w:trHeight w:val="320"/>
        </w:trPr>
        <w:tc>
          <w:tcPr>
            <w:tcW w:w="636" w:type="dxa"/>
            <w:shd w:val="clear" w:color="auto" w:fill="auto"/>
            <w:noWrap/>
            <w:vAlign w:val="center"/>
            <w:hideMark/>
          </w:tcPr>
          <w:p w14:paraId="28655DAC" w14:textId="77777777" w:rsidR="00FA366A" w:rsidRPr="002C21B8" w:rsidRDefault="00FA366A" w:rsidP="00212D46">
            <w:pPr>
              <w:spacing w:after="0" w:line="240" w:lineRule="auto"/>
              <w:rPr>
                <w:sz w:val="20"/>
                <w:szCs w:val="20"/>
              </w:rPr>
            </w:pPr>
            <w:r w:rsidRPr="002C21B8">
              <w:rPr>
                <w:sz w:val="20"/>
                <w:szCs w:val="20"/>
              </w:rPr>
              <w:t>46</w:t>
            </w:r>
          </w:p>
        </w:tc>
        <w:tc>
          <w:tcPr>
            <w:tcW w:w="8573" w:type="dxa"/>
            <w:shd w:val="clear" w:color="auto" w:fill="auto"/>
            <w:noWrap/>
            <w:vAlign w:val="center"/>
            <w:hideMark/>
          </w:tcPr>
          <w:p w14:paraId="53C765F3" w14:textId="77777777" w:rsidR="00FA366A" w:rsidRPr="002C21B8" w:rsidRDefault="00FA366A" w:rsidP="00212D46">
            <w:pPr>
              <w:spacing w:after="0" w:line="240" w:lineRule="auto"/>
              <w:rPr>
                <w:sz w:val="20"/>
                <w:szCs w:val="20"/>
              </w:rPr>
            </w:pPr>
            <w:r w:rsidRPr="002C21B8">
              <w:rPr>
                <w:sz w:val="20"/>
                <w:szCs w:val="20"/>
              </w:rPr>
              <w:t>Endocrine disorders (thyrotoxicosis, hypothyroidism, hypogonadism, Cushing syndrome, Addison’s disease)</w:t>
            </w:r>
          </w:p>
        </w:tc>
      </w:tr>
      <w:tr w:rsidR="00FA366A" w:rsidRPr="002C21B8" w14:paraId="331BD4DB" w14:textId="77777777" w:rsidTr="004A72C3">
        <w:trPr>
          <w:trHeight w:val="320"/>
        </w:trPr>
        <w:tc>
          <w:tcPr>
            <w:tcW w:w="636" w:type="dxa"/>
            <w:shd w:val="clear" w:color="auto" w:fill="auto"/>
            <w:noWrap/>
            <w:vAlign w:val="center"/>
            <w:hideMark/>
          </w:tcPr>
          <w:p w14:paraId="27B4E8F7" w14:textId="77777777" w:rsidR="00FA366A" w:rsidRPr="002C21B8" w:rsidRDefault="00FA366A" w:rsidP="00212D46">
            <w:pPr>
              <w:spacing w:after="0" w:line="240" w:lineRule="auto"/>
              <w:rPr>
                <w:sz w:val="20"/>
                <w:szCs w:val="20"/>
              </w:rPr>
            </w:pPr>
            <w:r w:rsidRPr="002C21B8">
              <w:rPr>
                <w:sz w:val="20"/>
                <w:szCs w:val="20"/>
              </w:rPr>
              <w:t>47</w:t>
            </w:r>
          </w:p>
        </w:tc>
        <w:tc>
          <w:tcPr>
            <w:tcW w:w="8573" w:type="dxa"/>
            <w:shd w:val="clear" w:color="auto" w:fill="auto"/>
            <w:noWrap/>
            <w:vAlign w:val="center"/>
            <w:hideMark/>
          </w:tcPr>
          <w:p w14:paraId="625A0918" w14:textId="77777777" w:rsidR="00FA366A" w:rsidRPr="002C21B8" w:rsidRDefault="00FA366A" w:rsidP="00212D46">
            <w:pPr>
              <w:spacing w:after="0" w:line="240" w:lineRule="auto"/>
              <w:rPr>
                <w:sz w:val="20"/>
                <w:szCs w:val="20"/>
              </w:rPr>
            </w:pPr>
            <w:r w:rsidRPr="002C21B8">
              <w:rPr>
                <w:sz w:val="20"/>
                <w:szCs w:val="20"/>
              </w:rPr>
              <w:t>Endometriosis</w:t>
            </w:r>
          </w:p>
        </w:tc>
      </w:tr>
      <w:tr w:rsidR="00FA366A" w:rsidRPr="002C21B8" w14:paraId="058B08AE" w14:textId="77777777" w:rsidTr="004A72C3">
        <w:trPr>
          <w:trHeight w:val="320"/>
        </w:trPr>
        <w:tc>
          <w:tcPr>
            <w:tcW w:w="636" w:type="dxa"/>
            <w:shd w:val="clear" w:color="auto" w:fill="auto"/>
            <w:noWrap/>
            <w:vAlign w:val="center"/>
            <w:hideMark/>
          </w:tcPr>
          <w:p w14:paraId="4DC1A80E" w14:textId="77777777" w:rsidR="00FA366A" w:rsidRPr="002C21B8" w:rsidRDefault="00FA366A" w:rsidP="00212D46">
            <w:pPr>
              <w:spacing w:after="0" w:line="240" w:lineRule="auto"/>
              <w:rPr>
                <w:sz w:val="20"/>
                <w:szCs w:val="20"/>
              </w:rPr>
            </w:pPr>
            <w:r w:rsidRPr="002C21B8">
              <w:rPr>
                <w:sz w:val="20"/>
                <w:szCs w:val="20"/>
              </w:rPr>
              <w:t>48</w:t>
            </w:r>
          </w:p>
        </w:tc>
        <w:tc>
          <w:tcPr>
            <w:tcW w:w="8573" w:type="dxa"/>
            <w:shd w:val="clear" w:color="auto" w:fill="auto"/>
            <w:noWrap/>
            <w:vAlign w:val="center"/>
            <w:hideMark/>
          </w:tcPr>
          <w:p w14:paraId="1958FA67" w14:textId="77777777" w:rsidR="00FA366A" w:rsidRPr="002C21B8" w:rsidRDefault="00FA366A" w:rsidP="00212D46">
            <w:pPr>
              <w:spacing w:after="0" w:line="240" w:lineRule="auto"/>
              <w:rPr>
                <w:sz w:val="20"/>
                <w:szCs w:val="20"/>
              </w:rPr>
            </w:pPr>
            <w:r w:rsidRPr="002C21B8">
              <w:rPr>
                <w:sz w:val="20"/>
                <w:szCs w:val="20"/>
              </w:rPr>
              <w:t>Epilepsy</w:t>
            </w:r>
          </w:p>
        </w:tc>
      </w:tr>
      <w:tr w:rsidR="00FA366A" w:rsidRPr="002C21B8" w14:paraId="7CA8A19A" w14:textId="77777777" w:rsidTr="004A72C3">
        <w:trPr>
          <w:trHeight w:val="320"/>
        </w:trPr>
        <w:tc>
          <w:tcPr>
            <w:tcW w:w="636" w:type="dxa"/>
            <w:shd w:val="clear" w:color="auto" w:fill="auto"/>
            <w:noWrap/>
            <w:vAlign w:val="center"/>
            <w:hideMark/>
          </w:tcPr>
          <w:p w14:paraId="41D8A4B9" w14:textId="77777777" w:rsidR="00FA366A" w:rsidRPr="002C21B8" w:rsidRDefault="00FA366A" w:rsidP="00212D46">
            <w:pPr>
              <w:spacing w:after="0" w:line="240" w:lineRule="auto"/>
              <w:rPr>
                <w:sz w:val="20"/>
                <w:szCs w:val="20"/>
              </w:rPr>
            </w:pPr>
            <w:r w:rsidRPr="002C21B8">
              <w:rPr>
                <w:sz w:val="20"/>
                <w:szCs w:val="20"/>
              </w:rPr>
              <w:t>49</w:t>
            </w:r>
          </w:p>
        </w:tc>
        <w:tc>
          <w:tcPr>
            <w:tcW w:w="8573" w:type="dxa"/>
            <w:shd w:val="clear" w:color="auto" w:fill="auto"/>
            <w:noWrap/>
            <w:vAlign w:val="center"/>
            <w:hideMark/>
          </w:tcPr>
          <w:p w14:paraId="2F3418D0" w14:textId="77777777" w:rsidR="00FA366A" w:rsidRPr="002C21B8" w:rsidRDefault="00FA366A" w:rsidP="00212D46">
            <w:pPr>
              <w:spacing w:after="0" w:line="240" w:lineRule="auto"/>
              <w:rPr>
                <w:sz w:val="20"/>
                <w:szCs w:val="20"/>
              </w:rPr>
            </w:pPr>
            <w:r w:rsidRPr="002C21B8">
              <w:rPr>
                <w:sz w:val="20"/>
                <w:szCs w:val="20"/>
              </w:rPr>
              <w:t>Fibromyalgia/chronic widespread pain</w:t>
            </w:r>
          </w:p>
        </w:tc>
      </w:tr>
      <w:tr w:rsidR="00FA366A" w:rsidRPr="002C21B8" w14:paraId="41C10B55" w14:textId="77777777" w:rsidTr="004A72C3">
        <w:trPr>
          <w:trHeight w:val="320"/>
        </w:trPr>
        <w:tc>
          <w:tcPr>
            <w:tcW w:w="636" w:type="dxa"/>
            <w:shd w:val="clear" w:color="auto" w:fill="auto"/>
            <w:noWrap/>
            <w:vAlign w:val="center"/>
            <w:hideMark/>
          </w:tcPr>
          <w:p w14:paraId="6C4C7A11" w14:textId="77777777" w:rsidR="00FA366A" w:rsidRPr="002C21B8" w:rsidRDefault="00FA366A" w:rsidP="00212D46">
            <w:pPr>
              <w:spacing w:after="0" w:line="240" w:lineRule="auto"/>
              <w:rPr>
                <w:sz w:val="20"/>
                <w:szCs w:val="20"/>
              </w:rPr>
            </w:pPr>
            <w:r w:rsidRPr="002C21B8">
              <w:rPr>
                <w:sz w:val="20"/>
                <w:szCs w:val="20"/>
              </w:rPr>
              <w:t>50</w:t>
            </w:r>
          </w:p>
        </w:tc>
        <w:tc>
          <w:tcPr>
            <w:tcW w:w="8573" w:type="dxa"/>
            <w:shd w:val="clear" w:color="auto" w:fill="auto"/>
            <w:noWrap/>
            <w:vAlign w:val="center"/>
            <w:hideMark/>
          </w:tcPr>
          <w:p w14:paraId="4CF3D862" w14:textId="77777777" w:rsidR="00FA366A" w:rsidRPr="002C21B8" w:rsidRDefault="00FA366A" w:rsidP="00212D46">
            <w:pPr>
              <w:spacing w:after="0" w:line="240" w:lineRule="auto"/>
              <w:rPr>
                <w:sz w:val="20"/>
                <w:szCs w:val="20"/>
              </w:rPr>
            </w:pPr>
            <w:r w:rsidRPr="002C21B8">
              <w:rPr>
                <w:sz w:val="20"/>
                <w:szCs w:val="20"/>
              </w:rPr>
              <w:t>Gout</w:t>
            </w:r>
          </w:p>
        </w:tc>
      </w:tr>
      <w:tr w:rsidR="00FA366A" w:rsidRPr="002C21B8" w14:paraId="178EE593" w14:textId="77777777" w:rsidTr="004A72C3">
        <w:trPr>
          <w:trHeight w:val="320"/>
        </w:trPr>
        <w:tc>
          <w:tcPr>
            <w:tcW w:w="636" w:type="dxa"/>
            <w:shd w:val="clear" w:color="auto" w:fill="auto"/>
            <w:noWrap/>
            <w:vAlign w:val="center"/>
            <w:hideMark/>
          </w:tcPr>
          <w:p w14:paraId="25DC8CA7" w14:textId="77777777" w:rsidR="00FA366A" w:rsidRPr="002C21B8" w:rsidRDefault="00FA366A" w:rsidP="00212D46">
            <w:pPr>
              <w:spacing w:after="0" w:line="240" w:lineRule="auto"/>
              <w:rPr>
                <w:sz w:val="20"/>
                <w:szCs w:val="20"/>
              </w:rPr>
            </w:pPr>
            <w:r w:rsidRPr="002C21B8">
              <w:rPr>
                <w:sz w:val="20"/>
                <w:szCs w:val="20"/>
              </w:rPr>
              <w:t>51</w:t>
            </w:r>
          </w:p>
        </w:tc>
        <w:tc>
          <w:tcPr>
            <w:tcW w:w="8573" w:type="dxa"/>
            <w:shd w:val="clear" w:color="auto" w:fill="auto"/>
            <w:noWrap/>
            <w:vAlign w:val="center"/>
            <w:hideMark/>
          </w:tcPr>
          <w:p w14:paraId="190CB52B" w14:textId="77777777" w:rsidR="00FA366A" w:rsidRPr="002C21B8" w:rsidRDefault="00FA366A" w:rsidP="00212D46">
            <w:pPr>
              <w:spacing w:after="0" w:line="240" w:lineRule="auto"/>
              <w:rPr>
                <w:sz w:val="20"/>
                <w:szCs w:val="20"/>
              </w:rPr>
            </w:pPr>
            <w:r w:rsidRPr="002C21B8">
              <w:rPr>
                <w:sz w:val="20"/>
                <w:szCs w:val="20"/>
              </w:rPr>
              <w:t>Gynaecological problems, chronic pelvic pain</w:t>
            </w:r>
          </w:p>
        </w:tc>
      </w:tr>
      <w:tr w:rsidR="00FA366A" w:rsidRPr="002C21B8" w14:paraId="2B4010AC" w14:textId="77777777" w:rsidTr="004A72C3">
        <w:trPr>
          <w:trHeight w:val="320"/>
        </w:trPr>
        <w:tc>
          <w:tcPr>
            <w:tcW w:w="636" w:type="dxa"/>
            <w:shd w:val="clear" w:color="auto" w:fill="auto"/>
            <w:noWrap/>
            <w:vAlign w:val="center"/>
            <w:hideMark/>
          </w:tcPr>
          <w:p w14:paraId="6009FFA8" w14:textId="77777777" w:rsidR="00FA366A" w:rsidRPr="002C21B8" w:rsidRDefault="00FA366A" w:rsidP="00212D46">
            <w:pPr>
              <w:spacing w:after="0" w:line="240" w:lineRule="auto"/>
              <w:rPr>
                <w:sz w:val="20"/>
                <w:szCs w:val="20"/>
              </w:rPr>
            </w:pPr>
            <w:r w:rsidRPr="002C21B8">
              <w:rPr>
                <w:sz w:val="20"/>
                <w:szCs w:val="20"/>
              </w:rPr>
              <w:t>52</w:t>
            </w:r>
          </w:p>
        </w:tc>
        <w:tc>
          <w:tcPr>
            <w:tcW w:w="8573" w:type="dxa"/>
            <w:shd w:val="clear" w:color="auto" w:fill="auto"/>
            <w:noWrap/>
            <w:vAlign w:val="center"/>
            <w:hideMark/>
          </w:tcPr>
          <w:p w14:paraId="7AA1C644" w14:textId="77777777" w:rsidR="00FA366A" w:rsidRPr="002C21B8" w:rsidRDefault="00FA366A" w:rsidP="00212D46">
            <w:pPr>
              <w:spacing w:after="0" w:line="240" w:lineRule="auto"/>
              <w:rPr>
                <w:sz w:val="20"/>
                <w:szCs w:val="20"/>
              </w:rPr>
            </w:pPr>
            <w:r w:rsidRPr="002C21B8">
              <w:rPr>
                <w:sz w:val="20"/>
                <w:szCs w:val="20"/>
              </w:rPr>
              <w:t>Haemophilia and other coagulation disorders</w:t>
            </w:r>
          </w:p>
        </w:tc>
      </w:tr>
      <w:tr w:rsidR="00FA366A" w:rsidRPr="002C21B8" w14:paraId="1B6DF980" w14:textId="77777777" w:rsidTr="004A72C3">
        <w:trPr>
          <w:trHeight w:val="320"/>
        </w:trPr>
        <w:tc>
          <w:tcPr>
            <w:tcW w:w="636" w:type="dxa"/>
            <w:shd w:val="clear" w:color="auto" w:fill="auto"/>
            <w:noWrap/>
            <w:vAlign w:val="center"/>
            <w:hideMark/>
          </w:tcPr>
          <w:p w14:paraId="53CC5499" w14:textId="77777777" w:rsidR="00FA366A" w:rsidRPr="002C21B8" w:rsidRDefault="00FA366A" w:rsidP="00212D46">
            <w:pPr>
              <w:spacing w:after="0" w:line="240" w:lineRule="auto"/>
              <w:rPr>
                <w:sz w:val="20"/>
                <w:szCs w:val="20"/>
              </w:rPr>
            </w:pPr>
            <w:r w:rsidRPr="002C21B8">
              <w:rPr>
                <w:sz w:val="20"/>
                <w:szCs w:val="20"/>
              </w:rPr>
              <w:t>53</w:t>
            </w:r>
          </w:p>
        </w:tc>
        <w:tc>
          <w:tcPr>
            <w:tcW w:w="8573" w:type="dxa"/>
            <w:shd w:val="clear" w:color="auto" w:fill="auto"/>
            <w:noWrap/>
            <w:vAlign w:val="center"/>
            <w:hideMark/>
          </w:tcPr>
          <w:p w14:paraId="60D661AC" w14:textId="77777777" w:rsidR="00FA366A" w:rsidRPr="002C21B8" w:rsidRDefault="00FA366A" w:rsidP="00212D46">
            <w:pPr>
              <w:spacing w:after="0" w:line="240" w:lineRule="auto"/>
              <w:rPr>
                <w:sz w:val="20"/>
                <w:szCs w:val="20"/>
              </w:rPr>
            </w:pPr>
            <w:r w:rsidRPr="002C21B8">
              <w:rPr>
                <w:sz w:val="20"/>
                <w:szCs w:val="20"/>
              </w:rPr>
              <w:t>Heart failure</w:t>
            </w:r>
          </w:p>
        </w:tc>
      </w:tr>
      <w:tr w:rsidR="00FA366A" w:rsidRPr="002C21B8" w14:paraId="5BBA3276" w14:textId="77777777" w:rsidTr="004A72C3">
        <w:trPr>
          <w:trHeight w:val="320"/>
        </w:trPr>
        <w:tc>
          <w:tcPr>
            <w:tcW w:w="636" w:type="dxa"/>
            <w:shd w:val="clear" w:color="auto" w:fill="auto"/>
            <w:noWrap/>
            <w:vAlign w:val="center"/>
            <w:hideMark/>
          </w:tcPr>
          <w:p w14:paraId="65095A32" w14:textId="77777777" w:rsidR="00FA366A" w:rsidRPr="002C21B8" w:rsidRDefault="00FA366A" w:rsidP="00212D46">
            <w:pPr>
              <w:spacing w:after="0" w:line="240" w:lineRule="auto"/>
              <w:rPr>
                <w:sz w:val="20"/>
                <w:szCs w:val="20"/>
              </w:rPr>
            </w:pPr>
            <w:r w:rsidRPr="002C21B8">
              <w:rPr>
                <w:sz w:val="20"/>
                <w:szCs w:val="20"/>
              </w:rPr>
              <w:t>54</w:t>
            </w:r>
          </w:p>
        </w:tc>
        <w:tc>
          <w:tcPr>
            <w:tcW w:w="8573" w:type="dxa"/>
            <w:shd w:val="clear" w:color="auto" w:fill="auto"/>
            <w:noWrap/>
            <w:vAlign w:val="center"/>
            <w:hideMark/>
          </w:tcPr>
          <w:p w14:paraId="32D620EF" w14:textId="77777777" w:rsidR="00FA366A" w:rsidRPr="002C21B8" w:rsidRDefault="00FA366A" w:rsidP="00212D46">
            <w:pPr>
              <w:spacing w:after="0" w:line="240" w:lineRule="auto"/>
              <w:rPr>
                <w:sz w:val="20"/>
                <w:szCs w:val="20"/>
              </w:rPr>
            </w:pPr>
            <w:r w:rsidRPr="002C21B8">
              <w:rPr>
                <w:sz w:val="20"/>
                <w:szCs w:val="20"/>
              </w:rPr>
              <w:t>Hepatitis B</w:t>
            </w:r>
          </w:p>
        </w:tc>
      </w:tr>
      <w:tr w:rsidR="00FA366A" w:rsidRPr="002C21B8" w14:paraId="03FA4F6E" w14:textId="77777777" w:rsidTr="004A72C3">
        <w:trPr>
          <w:trHeight w:val="320"/>
        </w:trPr>
        <w:tc>
          <w:tcPr>
            <w:tcW w:w="636" w:type="dxa"/>
            <w:shd w:val="clear" w:color="auto" w:fill="auto"/>
            <w:noWrap/>
            <w:vAlign w:val="center"/>
            <w:hideMark/>
          </w:tcPr>
          <w:p w14:paraId="112EB735" w14:textId="77777777" w:rsidR="00FA366A" w:rsidRPr="002C21B8" w:rsidRDefault="00FA366A" w:rsidP="00212D46">
            <w:pPr>
              <w:spacing w:after="0" w:line="240" w:lineRule="auto"/>
              <w:rPr>
                <w:sz w:val="20"/>
                <w:szCs w:val="20"/>
              </w:rPr>
            </w:pPr>
            <w:r w:rsidRPr="002C21B8">
              <w:rPr>
                <w:sz w:val="20"/>
                <w:szCs w:val="20"/>
              </w:rPr>
              <w:t>55</w:t>
            </w:r>
          </w:p>
        </w:tc>
        <w:tc>
          <w:tcPr>
            <w:tcW w:w="8573" w:type="dxa"/>
            <w:shd w:val="clear" w:color="auto" w:fill="auto"/>
            <w:noWrap/>
            <w:vAlign w:val="center"/>
            <w:hideMark/>
          </w:tcPr>
          <w:p w14:paraId="483713AB" w14:textId="77777777" w:rsidR="00FA366A" w:rsidRPr="002C21B8" w:rsidRDefault="00FA366A" w:rsidP="00212D46">
            <w:pPr>
              <w:spacing w:after="0" w:line="240" w:lineRule="auto"/>
              <w:rPr>
                <w:sz w:val="20"/>
                <w:szCs w:val="20"/>
              </w:rPr>
            </w:pPr>
            <w:r w:rsidRPr="002C21B8">
              <w:rPr>
                <w:sz w:val="20"/>
                <w:szCs w:val="20"/>
              </w:rPr>
              <w:t>Hepatitis C</w:t>
            </w:r>
          </w:p>
        </w:tc>
      </w:tr>
      <w:tr w:rsidR="00FA366A" w:rsidRPr="002C21B8" w14:paraId="74D200F4" w14:textId="77777777" w:rsidTr="004A72C3">
        <w:trPr>
          <w:trHeight w:val="320"/>
        </w:trPr>
        <w:tc>
          <w:tcPr>
            <w:tcW w:w="636" w:type="dxa"/>
            <w:shd w:val="clear" w:color="auto" w:fill="auto"/>
            <w:noWrap/>
            <w:vAlign w:val="center"/>
            <w:hideMark/>
          </w:tcPr>
          <w:p w14:paraId="34C5ED4D" w14:textId="77777777" w:rsidR="00FA366A" w:rsidRPr="002C21B8" w:rsidRDefault="00FA366A" w:rsidP="00212D46">
            <w:pPr>
              <w:spacing w:after="0" w:line="240" w:lineRule="auto"/>
              <w:rPr>
                <w:sz w:val="20"/>
                <w:szCs w:val="20"/>
              </w:rPr>
            </w:pPr>
            <w:r w:rsidRPr="002C21B8">
              <w:rPr>
                <w:sz w:val="20"/>
                <w:szCs w:val="20"/>
              </w:rPr>
              <w:t>56</w:t>
            </w:r>
          </w:p>
        </w:tc>
        <w:tc>
          <w:tcPr>
            <w:tcW w:w="8573" w:type="dxa"/>
            <w:shd w:val="clear" w:color="auto" w:fill="auto"/>
            <w:noWrap/>
            <w:vAlign w:val="center"/>
            <w:hideMark/>
          </w:tcPr>
          <w:p w14:paraId="282D819C" w14:textId="77777777" w:rsidR="00FA366A" w:rsidRPr="002C21B8" w:rsidRDefault="00FA366A" w:rsidP="00212D46">
            <w:pPr>
              <w:spacing w:after="0" w:line="240" w:lineRule="auto"/>
              <w:rPr>
                <w:sz w:val="20"/>
                <w:szCs w:val="20"/>
              </w:rPr>
            </w:pPr>
            <w:r w:rsidRPr="002C21B8">
              <w:rPr>
                <w:sz w:val="20"/>
                <w:szCs w:val="20"/>
              </w:rPr>
              <w:t>HIV</w:t>
            </w:r>
          </w:p>
        </w:tc>
      </w:tr>
      <w:tr w:rsidR="00FA366A" w:rsidRPr="002C21B8" w14:paraId="64E79BFF" w14:textId="77777777" w:rsidTr="004A72C3">
        <w:trPr>
          <w:trHeight w:val="320"/>
        </w:trPr>
        <w:tc>
          <w:tcPr>
            <w:tcW w:w="636" w:type="dxa"/>
            <w:shd w:val="clear" w:color="auto" w:fill="auto"/>
            <w:noWrap/>
            <w:vAlign w:val="center"/>
            <w:hideMark/>
          </w:tcPr>
          <w:p w14:paraId="377B9531" w14:textId="77777777" w:rsidR="00FA366A" w:rsidRPr="002C21B8" w:rsidRDefault="00FA366A" w:rsidP="00212D46">
            <w:pPr>
              <w:spacing w:after="0" w:line="240" w:lineRule="auto"/>
              <w:rPr>
                <w:sz w:val="20"/>
                <w:szCs w:val="20"/>
              </w:rPr>
            </w:pPr>
            <w:r w:rsidRPr="002C21B8">
              <w:rPr>
                <w:sz w:val="20"/>
                <w:szCs w:val="20"/>
              </w:rPr>
              <w:t>57</w:t>
            </w:r>
          </w:p>
        </w:tc>
        <w:tc>
          <w:tcPr>
            <w:tcW w:w="8573" w:type="dxa"/>
            <w:shd w:val="clear" w:color="auto" w:fill="auto"/>
            <w:noWrap/>
            <w:vAlign w:val="center"/>
            <w:hideMark/>
          </w:tcPr>
          <w:p w14:paraId="1B1738B8" w14:textId="77777777" w:rsidR="00FA366A" w:rsidRPr="002C21B8" w:rsidRDefault="00FA366A" w:rsidP="00212D46">
            <w:pPr>
              <w:spacing w:after="0" w:line="240" w:lineRule="auto"/>
              <w:rPr>
                <w:sz w:val="20"/>
                <w:szCs w:val="20"/>
              </w:rPr>
            </w:pPr>
            <w:r w:rsidRPr="002C21B8">
              <w:rPr>
                <w:sz w:val="20"/>
                <w:szCs w:val="20"/>
              </w:rPr>
              <w:t>Hypertension</w:t>
            </w:r>
          </w:p>
        </w:tc>
      </w:tr>
      <w:tr w:rsidR="00FA366A" w:rsidRPr="002C21B8" w14:paraId="31BBACEB" w14:textId="77777777" w:rsidTr="004A72C3">
        <w:trPr>
          <w:trHeight w:val="320"/>
        </w:trPr>
        <w:tc>
          <w:tcPr>
            <w:tcW w:w="636" w:type="dxa"/>
            <w:shd w:val="clear" w:color="auto" w:fill="auto"/>
            <w:noWrap/>
            <w:vAlign w:val="center"/>
            <w:hideMark/>
          </w:tcPr>
          <w:p w14:paraId="24586579" w14:textId="77777777" w:rsidR="00FA366A" w:rsidRPr="002C21B8" w:rsidRDefault="00FA366A" w:rsidP="00212D46">
            <w:pPr>
              <w:spacing w:after="0" w:line="240" w:lineRule="auto"/>
              <w:rPr>
                <w:sz w:val="20"/>
                <w:szCs w:val="20"/>
              </w:rPr>
            </w:pPr>
            <w:r w:rsidRPr="002C21B8">
              <w:rPr>
                <w:sz w:val="20"/>
                <w:szCs w:val="20"/>
              </w:rPr>
              <w:t>58</w:t>
            </w:r>
          </w:p>
        </w:tc>
        <w:tc>
          <w:tcPr>
            <w:tcW w:w="8573" w:type="dxa"/>
            <w:shd w:val="clear" w:color="auto" w:fill="auto"/>
            <w:noWrap/>
            <w:vAlign w:val="center"/>
            <w:hideMark/>
          </w:tcPr>
          <w:p w14:paraId="6E3992A5" w14:textId="77777777" w:rsidR="00FA366A" w:rsidRPr="002C21B8" w:rsidRDefault="00FA366A" w:rsidP="00212D46">
            <w:pPr>
              <w:spacing w:after="0" w:line="240" w:lineRule="auto"/>
              <w:rPr>
                <w:sz w:val="20"/>
                <w:szCs w:val="20"/>
              </w:rPr>
            </w:pPr>
            <w:r w:rsidRPr="002C21B8">
              <w:rPr>
                <w:sz w:val="20"/>
                <w:szCs w:val="20"/>
              </w:rPr>
              <w:t>Inflammatory bowel disease</w:t>
            </w:r>
          </w:p>
        </w:tc>
      </w:tr>
      <w:tr w:rsidR="00FA366A" w:rsidRPr="002C21B8" w14:paraId="5671435B" w14:textId="77777777" w:rsidTr="004A72C3">
        <w:trPr>
          <w:trHeight w:val="320"/>
        </w:trPr>
        <w:tc>
          <w:tcPr>
            <w:tcW w:w="636" w:type="dxa"/>
            <w:shd w:val="clear" w:color="auto" w:fill="auto"/>
            <w:noWrap/>
            <w:vAlign w:val="center"/>
            <w:hideMark/>
          </w:tcPr>
          <w:p w14:paraId="07E57948" w14:textId="77777777" w:rsidR="00FA366A" w:rsidRPr="002C21B8" w:rsidRDefault="00FA366A" w:rsidP="00212D46">
            <w:pPr>
              <w:spacing w:after="0" w:line="240" w:lineRule="auto"/>
              <w:rPr>
                <w:sz w:val="20"/>
                <w:szCs w:val="20"/>
              </w:rPr>
            </w:pPr>
            <w:r w:rsidRPr="002C21B8">
              <w:rPr>
                <w:sz w:val="20"/>
                <w:szCs w:val="20"/>
              </w:rPr>
              <w:t>59</w:t>
            </w:r>
          </w:p>
        </w:tc>
        <w:tc>
          <w:tcPr>
            <w:tcW w:w="8573" w:type="dxa"/>
            <w:shd w:val="clear" w:color="auto" w:fill="auto"/>
            <w:noWrap/>
            <w:vAlign w:val="center"/>
            <w:hideMark/>
          </w:tcPr>
          <w:p w14:paraId="096A84B2" w14:textId="77777777" w:rsidR="00FA366A" w:rsidRPr="002C21B8" w:rsidRDefault="00FA366A" w:rsidP="00212D46">
            <w:pPr>
              <w:spacing w:after="0" w:line="240" w:lineRule="auto"/>
              <w:rPr>
                <w:sz w:val="20"/>
                <w:szCs w:val="20"/>
              </w:rPr>
            </w:pPr>
            <w:r w:rsidRPr="002C21B8">
              <w:rPr>
                <w:sz w:val="20"/>
                <w:szCs w:val="20"/>
              </w:rPr>
              <w:t>Irritable bowel disease</w:t>
            </w:r>
          </w:p>
        </w:tc>
      </w:tr>
      <w:tr w:rsidR="00FA366A" w:rsidRPr="002C21B8" w14:paraId="3705D2E2" w14:textId="77777777" w:rsidTr="004A72C3">
        <w:trPr>
          <w:trHeight w:val="320"/>
        </w:trPr>
        <w:tc>
          <w:tcPr>
            <w:tcW w:w="636" w:type="dxa"/>
            <w:shd w:val="clear" w:color="auto" w:fill="auto"/>
            <w:noWrap/>
            <w:vAlign w:val="center"/>
            <w:hideMark/>
          </w:tcPr>
          <w:p w14:paraId="5231D7B8" w14:textId="77777777" w:rsidR="00FA366A" w:rsidRPr="002C21B8" w:rsidRDefault="00FA366A" w:rsidP="00212D46">
            <w:pPr>
              <w:spacing w:after="0" w:line="240" w:lineRule="auto"/>
              <w:rPr>
                <w:sz w:val="20"/>
                <w:szCs w:val="20"/>
              </w:rPr>
            </w:pPr>
            <w:r w:rsidRPr="002C21B8">
              <w:rPr>
                <w:sz w:val="20"/>
                <w:szCs w:val="20"/>
              </w:rPr>
              <w:t>60</w:t>
            </w:r>
          </w:p>
        </w:tc>
        <w:tc>
          <w:tcPr>
            <w:tcW w:w="8573" w:type="dxa"/>
            <w:shd w:val="clear" w:color="auto" w:fill="auto"/>
            <w:noWrap/>
            <w:vAlign w:val="center"/>
            <w:hideMark/>
          </w:tcPr>
          <w:p w14:paraId="5D2D89A1" w14:textId="77777777" w:rsidR="00FA366A" w:rsidRPr="002C21B8" w:rsidRDefault="00FA366A" w:rsidP="00212D46">
            <w:pPr>
              <w:spacing w:after="0" w:line="240" w:lineRule="auto"/>
              <w:rPr>
                <w:sz w:val="20"/>
                <w:szCs w:val="20"/>
              </w:rPr>
            </w:pPr>
            <w:r w:rsidRPr="002C21B8">
              <w:rPr>
                <w:sz w:val="20"/>
                <w:szCs w:val="20"/>
              </w:rPr>
              <w:t>Learning disabilities</w:t>
            </w:r>
          </w:p>
        </w:tc>
      </w:tr>
      <w:tr w:rsidR="00FA366A" w:rsidRPr="002C21B8" w14:paraId="65CD5D29" w14:textId="77777777" w:rsidTr="004A72C3">
        <w:trPr>
          <w:trHeight w:val="320"/>
        </w:trPr>
        <w:tc>
          <w:tcPr>
            <w:tcW w:w="636" w:type="dxa"/>
            <w:shd w:val="clear" w:color="auto" w:fill="auto"/>
            <w:noWrap/>
            <w:vAlign w:val="center"/>
            <w:hideMark/>
          </w:tcPr>
          <w:p w14:paraId="7578096E" w14:textId="77777777" w:rsidR="00FA366A" w:rsidRPr="002C21B8" w:rsidRDefault="00FA366A" w:rsidP="00212D46">
            <w:pPr>
              <w:spacing w:after="0" w:line="240" w:lineRule="auto"/>
              <w:rPr>
                <w:sz w:val="20"/>
                <w:szCs w:val="20"/>
              </w:rPr>
            </w:pPr>
            <w:r w:rsidRPr="002C21B8">
              <w:rPr>
                <w:sz w:val="20"/>
                <w:szCs w:val="20"/>
              </w:rPr>
              <w:t>61</w:t>
            </w:r>
          </w:p>
        </w:tc>
        <w:tc>
          <w:tcPr>
            <w:tcW w:w="8573" w:type="dxa"/>
            <w:shd w:val="clear" w:color="auto" w:fill="auto"/>
            <w:noWrap/>
            <w:vAlign w:val="center"/>
            <w:hideMark/>
          </w:tcPr>
          <w:p w14:paraId="190EBF4B" w14:textId="77777777" w:rsidR="00FA366A" w:rsidRPr="002C21B8" w:rsidRDefault="00FA366A" w:rsidP="00212D46">
            <w:pPr>
              <w:spacing w:after="0" w:line="240" w:lineRule="auto"/>
              <w:rPr>
                <w:sz w:val="20"/>
                <w:szCs w:val="20"/>
              </w:rPr>
            </w:pPr>
            <w:r w:rsidRPr="002C21B8">
              <w:rPr>
                <w:sz w:val="20"/>
                <w:szCs w:val="20"/>
              </w:rPr>
              <w:t>Low back pain</w:t>
            </w:r>
          </w:p>
        </w:tc>
      </w:tr>
      <w:tr w:rsidR="00FA366A" w:rsidRPr="002C21B8" w14:paraId="09A2DFC4" w14:textId="77777777" w:rsidTr="004A72C3">
        <w:trPr>
          <w:trHeight w:val="320"/>
        </w:trPr>
        <w:tc>
          <w:tcPr>
            <w:tcW w:w="636" w:type="dxa"/>
            <w:shd w:val="clear" w:color="auto" w:fill="auto"/>
            <w:noWrap/>
            <w:vAlign w:val="center"/>
            <w:hideMark/>
          </w:tcPr>
          <w:p w14:paraId="127BE196" w14:textId="77777777" w:rsidR="00FA366A" w:rsidRPr="002C21B8" w:rsidRDefault="00FA366A" w:rsidP="00212D46">
            <w:pPr>
              <w:spacing w:after="0" w:line="240" w:lineRule="auto"/>
              <w:rPr>
                <w:sz w:val="20"/>
                <w:szCs w:val="20"/>
              </w:rPr>
            </w:pPr>
            <w:r w:rsidRPr="002C21B8">
              <w:rPr>
                <w:sz w:val="20"/>
                <w:szCs w:val="20"/>
              </w:rPr>
              <w:t>62</w:t>
            </w:r>
          </w:p>
        </w:tc>
        <w:tc>
          <w:tcPr>
            <w:tcW w:w="8573" w:type="dxa"/>
            <w:shd w:val="clear" w:color="auto" w:fill="auto"/>
            <w:noWrap/>
            <w:vAlign w:val="center"/>
            <w:hideMark/>
          </w:tcPr>
          <w:p w14:paraId="3589FC5A" w14:textId="77777777" w:rsidR="00FA366A" w:rsidRPr="002C21B8" w:rsidRDefault="00FA366A" w:rsidP="00212D46">
            <w:pPr>
              <w:spacing w:after="0" w:line="240" w:lineRule="auto"/>
              <w:rPr>
                <w:sz w:val="20"/>
                <w:szCs w:val="20"/>
              </w:rPr>
            </w:pPr>
            <w:r w:rsidRPr="002C21B8">
              <w:rPr>
                <w:sz w:val="20"/>
                <w:szCs w:val="20"/>
              </w:rPr>
              <w:t>Lung fibrosis</w:t>
            </w:r>
          </w:p>
        </w:tc>
      </w:tr>
      <w:tr w:rsidR="00FA366A" w:rsidRPr="002C21B8" w14:paraId="703A18C5" w14:textId="77777777" w:rsidTr="004A72C3">
        <w:trPr>
          <w:trHeight w:val="320"/>
        </w:trPr>
        <w:tc>
          <w:tcPr>
            <w:tcW w:w="636" w:type="dxa"/>
            <w:shd w:val="clear" w:color="auto" w:fill="auto"/>
            <w:noWrap/>
            <w:vAlign w:val="center"/>
            <w:hideMark/>
          </w:tcPr>
          <w:p w14:paraId="486F183A" w14:textId="77777777" w:rsidR="00FA366A" w:rsidRPr="002C21B8" w:rsidRDefault="00FA366A" w:rsidP="00212D46">
            <w:pPr>
              <w:spacing w:after="0" w:line="240" w:lineRule="auto"/>
              <w:rPr>
                <w:sz w:val="20"/>
                <w:szCs w:val="20"/>
              </w:rPr>
            </w:pPr>
            <w:r w:rsidRPr="002C21B8">
              <w:rPr>
                <w:sz w:val="20"/>
                <w:szCs w:val="20"/>
              </w:rPr>
              <w:t>63</w:t>
            </w:r>
          </w:p>
        </w:tc>
        <w:tc>
          <w:tcPr>
            <w:tcW w:w="8573" w:type="dxa"/>
            <w:shd w:val="clear" w:color="auto" w:fill="auto"/>
            <w:noWrap/>
            <w:vAlign w:val="center"/>
            <w:hideMark/>
          </w:tcPr>
          <w:p w14:paraId="6901417C" w14:textId="77777777" w:rsidR="00FA366A" w:rsidRPr="002C21B8" w:rsidRDefault="00FA366A" w:rsidP="00212D46">
            <w:pPr>
              <w:spacing w:after="0" w:line="240" w:lineRule="auto"/>
              <w:rPr>
                <w:sz w:val="20"/>
                <w:szCs w:val="20"/>
              </w:rPr>
            </w:pPr>
            <w:r w:rsidRPr="002C21B8">
              <w:rPr>
                <w:sz w:val="20"/>
                <w:szCs w:val="20"/>
              </w:rPr>
              <w:t>Lupus</w:t>
            </w:r>
          </w:p>
        </w:tc>
      </w:tr>
      <w:tr w:rsidR="00FA366A" w:rsidRPr="002C21B8" w14:paraId="07F7B1FD" w14:textId="77777777" w:rsidTr="004A72C3">
        <w:trPr>
          <w:trHeight w:val="320"/>
        </w:trPr>
        <w:tc>
          <w:tcPr>
            <w:tcW w:w="636" w:type="dxa"/>
            <w:shd w:val="clear" w:color="auto" w:fill="auto"/>
            <w:noWrap/>
            <w:vAlign w:val="center"/>
            <w:hideMark/>
          </w:tcPr>
          <w:p w14:paraId="7FD53EE4" w14:textId="77777777" w:rsidR="00FA366A" w:rsidRPr="002C21B8" w:rsidRDefault="00FA366A" w:rsidP="00212D46">
            <w:pPr>
              <w:spacing w:after="0" w:line="240" w:lineRule="auto"/>
              <w:rPr>
                <w:sz w:val="20"/>
                <w:szCs w:val="20"/>
              </w:rPr>
            </w:pPr>
            <w:r w:rsidRPr="002C21B8">
              <w:rPr>
                <w:sz w:val="20"/>
                <w:szCs w:val="20"/>
              </w:rPr>
              <w:t>64</w:t>
            </w:r>
          </w:p>
        </w:tc>
        <w:tc>
          <w:tcPr>
            <w:tcW w:w="8573" w:type="dxa"/>
            <w:shd w:val="clear" w:color="auto" w:fill="auto"/>
            <w:noWrap/>
            <w:vAlign w:val="center"/>
            <w:hideMark/>
          </w:tcPr>
          <w:p w14:paraId="32DA9E4D" w14:textId="77777777" w:rsidR="00FA366A" w:rsidRPr="002C21B8" w:rsidRDefault="00FA366A" w:rsidP="00212D46">
            <w:pPr>
              <w:spacing w:after="0" w:line="240" w:lineRule="auto"/>
              <w:rPr>
                <w:sz w:val="20"/>
                <w:szCs w:val="20"/>
              </w:rPr>
            </w:pPr>
            <w:r w:rsidRPr="002C21B8">
              <w:rPr>
                <w:sz w:val="20"/>
                <w:szCs w:val="20"/>
              </w:rPr>
              <w:t>Malaria</w:t>
            </w:r>
          </w:p>
        </w:tc>
      </w:tr>
      <w:tr w:rsidR="00FA366A" w:rsidRPr="002C21B8" w14:paraId="11530C30" w14:textId="77777777" w:rsidTr="004A72C3">
        <w:trPr>
          <w:trHeight w:val="320"/>
        </w:trPr>
        <w:tc>
          <w:tcPr>
            <w:tcW w:w="636" w:type="dxa"/>
            <w:shd w:val="clear" w:color="auto" w:fill="auto"/>
            <w:noWrap/>
            <w:vAlign w:val="center"/>
            <w:hideMark/>
          </w:tcPr>
          <w:p w14:paraId="4473EB5C" w14:textId="77777777" w:rsidR="00FA366A" w:rsidRPr="002C21B8" w:rsidRDefault="00FA366A" w:rsidP="00212D46">
            <w:pPr>
              <w:spacing w:after="0" w:line="240" w:lineRule="auto"/>
              <w:rPr>
                <w:sz w:val="20"/>
                <w:szCs w:val="20"/>
              </w:rPr>
            </w:pPr>
            <w:r w:rsidRPr="002C21B8">
              <w:rPr>
                <w:sz w:val="20"/>
                <w:szCs w:val="20"/>
              </w:rPr>
              <w:t>65</w:t>
            </w:r>
          </w:p>
        </w:tc>
        <w:tc>
          <w:tcPr>
            <w:tcW w:w="8573" w:type="dxa"/>
            <w:shd w:val="clear" w:color="auto" w:fill="auto"/>
            <w:noWrap/>
            <w:vAlign w:val="center"/>
            <w:hideMark/>
          </w:tcPr>
          <w:p w14:paraId="2E1907F5" w14:textId="77777777" w:rsidR="00FA366A" w:rsidRPr="002C21B8" w:rsidRDefault="00FA366A" w:rsidP="00212D46">
            <w:pPr>
              <w:spacing w:after="0" w:line="240" w:lineRule="auto"/>
              <w:rPr>
                <w:sz w:val="20"/>
                <w:szCs w:val="20"/>
              </w:rPr>
            </w:pPr>
            <w:r w:rsidRPr="002C21B8">
              <w:rPr>
                <w:sz w:val="20"/>
                <w:szCs w:val="20"/>
              </w:rPr>
              <w:t>Medically unexplained symptoms</w:t>
            </w:r>
          </w:p>
        </w:tc>
      </w:tr>
      <w:tr w:rsidR="00FA366A" w:rsidRPr="002C21B8" w14:paraId="7C480C70" w14:textId="77777777" w:rsidTr="004A72C3">
        <w:trPr>
          <w:trHeight w:val="320"/>
        </w:trPr>
        <w:tc>
          <w:tcPr>
            <w:tcW w:w="636" w:type="dxa"/>
            <w:shd w:val="clear" w:color="auto" w:fill="auto"/>
            <w:noWrap/>
            <w:vAlign w:val="center"/>
            <w:hideMark/>
          </w:tcPr>
          <w:p w14:paraId="3A073A2C" w14:textId="77777777" w:rsidR="00FA366A" w:rsidRPr="002C21B8" w:rsidRDefault="00FA366A" w:rsidP="00212D46">
            <w:pPr>
              <w:spacing w:after="0" w:line="240" w:lineRule="auto"/>
              <w:rPr>
                <w:sz w:val="20"/>
                <w:szCs w:val="20"/>
              </w:rPr>
            </w:pPr>
            <w:r w:rsidRPr="002C21B8">
              <w:rPr>
                <w:sz w:val="20"/>
                <w:szCs w:val="20"/>
              </w:rPr>
              <w:t>66</w:t>
            </w:r>
          </w:p>
        </w:tc>
        <w:tc>
          <w:tcPr>
            <w:tcW w:w="8573" w:type="dxa"/>
            <w:shd w:val="clear" w:color="auto" w:fill="auto"/>
            <w:noWrap/>
            <w:vAlign w:val="center"/>
            <w:hideMark/>
          </w:tcPr>
          <w:p w14:paraId="424F6E52" w14:textId="77777777" w:rsidR="00FA366A" w:rsidRPr="002C21B8" w:rsidRDefault="00FA366A" w:rsidP="00212D46">
            <w:pPr>
              <w:spacing w:after="0" w:line="240" w:lineRule="auto"/>
              <w:rPr>
                <w:sz w:val="20"/>
                <w:szCs w:val="20"/>
              </w:rPr>
            </w:pPr>
            <w:r w:rsidRPr="002C21B8">
              <w:rPr>
                <w:sz w:val="20"/>
                <w:szCs w:val="20"/>
              </w:rPr>
              <w:t>Migraine</w:t>
            </w:r>
          </w:p>
        </w:tc>
      </w:tr>
      <w:tr w:rsidR="00FA366A" w:rsidRPr="002C21B8" w14:paraId="7ED76021" w14:textId="77777777" w:rsidTr="004A72C3">
        <w:trPr>
          <w:trHeight w:val="320"/>
        </w:trPr>
        <w:tc>
          <w:tcPr>
            <w:tcW w:w="636" w:type="dxa"/>
            <w:shd w:val="clear" w:color="auto" w:fill="auto"/>
            <w:noWrap/>
            <w:vAlign w:val="center"/>
            <w:hideMark/>
          </w:tcPr>
          <w:p w14:paraId="73121DEB" w14:textId="77777777" w:rsidR="00FA366A" w:rsidRPr="002C21B8" w:rsidRDefault="00FA366A" w:rsidP="00212D46">
            <w:pPr>
              <w:spacing w:after="0" w:line="240" w:lineRule="auto"/>
              <w:rPr>
                <w:sz w:val="20"/>
                <w:szCs w:val="20"/>
              </w:rPr>
            </w:pPr>
            <w:r w:rsidRPr="002C21B8">
              <w:rPr>
                <w:sz w:val="20"/>
                <w:szCs w:val="20"/>
              </w:rPr>
              <w:t>67</w:t>
            </w:r>
          </w:p>
        </w:tc>
        <w:tc>
          <w:tcPr>
            <w:tcW w:w="8573" w:type="dxa"/>
            <w:shd w:val="clear" w:color="auto" w:fill="auto"/>
            <w:noWrap/>
            <w:vAlign w:val="center"/>
            <w:hideMark/>
          </w:tcPr>
          <w:p w14:paraId="1912BC88" w14:textId="77777777" w:rsidR="00FA366A" w:rsidRPr="002C21B8" w:rsidRDefault="00FA366A" w:rsidP="00212D46">
            <w:pPr>
              <w:spacing w:after="0" w:line="240" w:lineRule="auto"/>
              <w:rPr>
                <w:sz w:val="20"/>
                <w:szCs w:val="20"/>
              </w:rPr>
            </w:pPr>
            <w:r w:rsidRPr="002C21B8">
              <w:rPr>
                <w:sz w:val="20"/>
                <w:szCs w:val="20"/>
              </w:rPr>
              <w:t>Mood disorders (not only depression, but mania and bipolar disorders)</w:t>
            </w:r>
          </w:p>
        </w:tc>
      </w:tr>
      <w:tr w:rsidR="00FA366A" w:rsidRPr="002C21B8" w14:paraId="655D8DFC" w14:textId="77777777" w:rsidTr="004A72C3">
        <w:trPr>
          <w:trHeight w:val="320"/>
        </w:trPr>
        <w:tc>
          <w:tcPr>
            <w:tcW w:w="636" w:type="dxa"/>
            <w:shd w:val="clear" w:color="auto" w:fill="auto"/>
            <w:noWrap/>
            <w:vAlign w:val="center"/>
            <w:hideMark/>
          </w:tcPr>
          <w:p w14:paraId="278FD112" w14:textId="77777777" w:rsidR="00FA366A" w:rsidRPr="002C21B8" w:rsidRDefault="00FA366A" w:rsidP="00212D46">
            <w:pPr>
              <w:spacing w:after="0" w:line="240" w:lineRule="auto"/>
              <w:rPr>
                <w:sz w:val="20"/>
                <w:szCs w:val="20"/>
              </w:rPr>
            </w:pPr>
            <w:r w:rsidRPr="002C21B8">
              <w:rPr>
                <w:sz w:val="20"/>
                <w:szCs w:val="20"/>
              </w:rPr>
              <w:t>68</w:t>
            </w:r>
          </w:p>
        </w:tc>
        <w:tc>
          <w:tcPr>
            <w:tcW w:w="8573" w:type="dxa"/>
            <w:shd w:val="clear" w:color="auto" w:fill="auto"/>
            <w:noWrap/>
            <w:vAlign w:val="center"/>
            <w:hideMark/>
          </w:tcPr>
          <w:p w14:paraId="53545569" w14:textId="77777777" w:rsidR="00FA366A" w:rsidRPr="002C21B8" w:rsidRDefault="00FA366A" w:rsidP="00212D46">
            <w:pPr>
              <w:spacing w:after="0" w:line="240" w:lineRule="auto"/>
              <w:rPr>
                <w:sz w:val="20"/>
                <w:szCs w:val="20"/>
              </w:rPr>
            </w:pPr>
            <w:r w:rsidRPr="002C21B8">
              <w:rPr>
                <w:sz w:val="20"/>
                <w:szCs w:val="20"/>
              </w:rPr>
              <w:t>Motor neurone disease</w:t>
            </w:r>
          </w:p>
        </w:tc>
      </w:tr>
      <w:tr w:rsidR="00FA366A" w:rsidRPr="002C21B8" w14:paraId="2C2D9CC6" w14:textId="77777777" w:rsidTr="004A72C3">
        <w:trPr>
          <w:trHeight w:val="320"/>
        </w:trPr>
        <w:tc>
          <w:tcPr>
            <w:tcW w:w="636" w:type="dxa"/>
            <w:shd w:val="clear" w:color="auto" w:fill="auto"/>
            <w:noWrap/>
            <w:vAlign w:val="center"/>
            <w:hideMark/>
          </w:tcPr>
          <w:p w14:paraId="511CEB84" w14:textId="77777777" w:rsidR="00FA366A" w:rsidRPr="002C21B8" w:rsidRDefault="00FA366A" w:rsidP="00212D46">
            <w:pPr>
              <w:spacing w:after="0" w:line="240" w:lineRule="auto"/>
              <w:rPr>
                <w:sz w:val="20"/>
                <w:szCs w:val="20"/>
              </w:rPr>
            </w:pPr>
            <w:r w:rsidRPr="002C21B8">
              <w:rPr>
                <w:sz w:val="20"/>
                <w:szCs w:val="20"/>
              </w:rPr>
              <w:t>69</w:t>
            </w:r>
          </w:p>
        </w:tc>
        <w:tc>
          <w:tcPr>
            <w:tcW w:w="8573" w:type="dxa"/>
            <w:shd w:val="clear" w:color="auto" w:fill="auto"/>
            <w:noWrap/>
            <w:vAlign w:val="center"/>
            <w:hideMark/>
          </w:tcPr>
          <w:p w14:paraId="5D84012A" w14:textId="77777777" w:rsidR="00FA366A" w:rsidRPr="002C21B8" w:rsidRDefault="00FA366A" w:rsidP="00212D46">
            <w:pPr>
              <w:spacing w:after="0" w:line="240" w:lineRule="auto"/>
              <w:rPr>
                <w:sz w:val="20"/>
                <w:szCs w:val="20"/>
              </w:rPr>
            </w:pPr>
            <w:r w:rsidRPr="002C21B8">
              <w:rPr>
                <w:sz w:val="20"/>
                <w:szCs w:val="20"/>
              </w:rPr>
              <w:t>Multimorbidity</w:t>
            </w:r>
          </w:p>
        </w:tc>
      </w:tr>
      <w:tr w:rsidR="00FA366A" w:rsidRPr="002C21B8" w14:paraId="3D6ED659" w14:textId="77777777" w:rsidTr="004A72C3">
        <w:trPr>
          <w:trHeight w:val="320"/>
        </w:trPr>
        <w:tc>
          <w:tcPr>
            <w:tcW w:w="636" w:type="dxa"/>
            <w:shd w:val="clear" w:color="auto" w:fill="auto"/>
            <w:noWrap/>
            <w:vAlign w:val="center"/>
            <w:hideMark/>
          </w:tcPr>
          <w:p w14:paraId="6CE41CB6" w14:textId="77777777" w:rsidR="00FA366A" w:rsidRPr="002C21B8" w:rsidRDefault="00FA366A" w:rsidP="00212D46">
            <w:pPr>
              <w:spacing w:after="0" w:line="240" w:lineRule="auto"/>
              <w:rPr>
                <w:sz w:val="20"/>
                <w:szCs w:val="20"/>
              </w:rPr>
            </w:pPr>
            <w:r w:rsidRPr="002C21B8">
              <w:rPr>
                <w:sz w:val="20"/>
                <w:szCs w:val="20"/>
              </w:rPr>
              <w:t>70</w:t>
            </w:r>
          </w:p>
        </w:tc>
        <w:tc>
          <w:tcPr>
            <w:tcW w:w="8573" w:type="dxa"/>
            <w:shd w:val="clear" w:color="auto" w:fill="auto"/>
            <w:noWrap/>
            <w:vAlign w:val="center"/>
            <w:hideMark/>
          </w:tcPr>
          <w:p w14:paraId="062E6895" w14:textId="77777777" w:rsidR="00FA366A" w:rsidRPr="002C21B8" w:rsidRDefault="00FA366A" w:rsidP="00212D46">
            <w:pPr>
              <w:spacing w:after="0" w:line="240" w:lineRule="auto"/>
              <w:rPr>
                <w:sz w:val="20"/>
                <w:szCs w:val="20"/>
              </w:rPr>
            </w:pPr>
            <w:r w:rsidRPr="002C21B8">
              <w:rPr>
                <w:sz w:val="20"/>
                <w:szCs w:val="20"/>
              </w:rPr>
              <w:t>Multiple sclerosis</w:t>
            </w:r>
          </w:p>
        </w:tc>
      </w:tr>
      <w:tr w:rsidR="00FA366A" w:rsidRPr="002C21B8" w14:paraId="251D93E1" w14:textId="77777777" w:rsidTr="004A72C3">
        <w:trPr>
          <w:trHeight w:val="320"/>
        </w:trPr>
        <w:tc>
          <w:tcPr>
            <w:tcW w:w="636" w:type="dxa"/>
            <w:shd w:val="clear" w:color="auto" w:fill="auto"/>
            <w:noWrap/>
            <w:vAlign w:val="center"/>
            <w:hideMark/>
          </w:tcPr>
          <w:p w14:paraId="6021F357" w14:textId="77777777" w:rsidR="00FA366A" w:rsidRPr="002C21B8" w:rsidRDefault="00FA366A" w:rsidP="00212D46">
            <w:pPr>
              <w:spacing w:after="0" w:line="240" w:lineRule="auto"/>
              <w:rPr>
                <w:sz w:val="20"/>
                <w:szCs w:val="20"/>
              </w:rPr>
            </w:pPr>
            <w:r w:rsidRPr="002C21B8">
              <w:rPr>
                <w:sz w:val="20"/>
                <w:szCs w:val="20"/>
              </w:rPr>
              <w:t>71</w:t>
            </w:r>
          </w:p>
        </w:tc>
        <w:tc>
          <w:tcPr>
            <w:tcW w:w="8573" w:type="dxa"/>
            <w:shd w:val="clear" w:color="auto" w:fill="auto"/>
            <w:noWrap/>
            <w:vAlign w:val="center"/>
            <w:hideMark/>
          </w:tcPr>
          <w:p w14:paraId="118136BC" w14:textId="77777777" w:rsidR="00FA366A" w:rsidRPr="002C21B8" w:rsidRDefault="00FA366A" w:rsidP="00212D46">
            <w:pPr>
              <w:spacing w:after="0" w:line="240" w:lineRule="auto"/>
              <w:rPr>
                <w:sz w:val="20"/>
                <w:szCs w:val="20"/>
              </w:rPr>
            </w:pPr>
            <w:r w:rsidRPr="002C21B8">
              <w:rPr>
                <w:sz w:val="20"/>
                <w:szCs w:val="20"/>
              </w:rPr>
              <w:t>Multisystem autoimmune diseases (MSAIDs, including lupus)</w:t>
            </w:r>
          </w:p>
        </w:tc>
      </w:tr>
      <w:tr w:rsidR="00FA366A" w:rsidRPr="002C21B8" w14:paraId="5925CC48" w14:textId="77777777" w:rsidTr="004A72C3">
        <w:trPr>
          <w:trHeight w:val="320"/>
        </w:trPr>
        <w:tc>
          <w:tcPr>
            <w:tcW w:w="636" w:type="dxa"/>
            <w:shd w:val="clear" w:color="auto" w:fill="auto"/>
            <w:noWrap/>
            <w:vAlign w:val="center"/>
            <w:hideMark/>
          </w:tcPr>
          <w:p w14:paraId="7ABEE072" w14:textId="77777777" w:rsidR="00FA366A" w:rsidRPr="002C21B8" w:rsidRDefault="00FA366A" w:rsidP="00212D46">
            <w:pPr>
              <w:spacing w:after="0" w:line="240" w:lineRule="auto"/>
              <w:rPr>
                <w:sz w:val="20"/>
                <w:szCs w:val="20"/>
              </w:rPr>
            </w:pPr>
            <w:r w:rsidRPr="002C21B8">
              <w:rPr>
                <w:sz w:val="20"/>
                <w:szCs w:val="20"/>
              </w:rPr>
              <w:t>72</w:t>
            </w:r>
          </w:p>
        </w:tc>
        <w:tc>
          <w:tcPr>
            <w:tcW w:w="8573" w:type="dxa"/>
            <w:shd w:val="clear" w:color="auto" w:fill="auto"/>
            <w:noWrap/>
            <w:vAlign w:val="center"/>
            <w:hideMark/>
          </w:tcPr>
          <w:p w14:paraId="07B58116" w14:textId="77777777" w:rsidR="00FA366A" w:rsidRPr="002C21B8" w:rsidRDefault="00FA366A" w:rsidP="00212D46">
            <w:pPr>
              <w:spacing w:after="0" w:line="240" w:lineRule="auto"/>
              <w:rPr>
                <w:sz w:val="20"/>
                <w:szCs w:val="20"/>
              </w:rPr>
            </w:pPr>
            <w:r w:rsidRPr="002C21B8">
              <w:rPr>
                <w:sz w:val="20"/>
                <w:szCs w:val="20"/>
              </w:rPr>
              <w:t>Muscular dystrophy(ies)</w:t>
            </w:r>
          </w:p>
        </w:tc>
      </w:tr>
      <w:tr w:rsidR="00FA366A" w:rsidRPr="002C21B8" w14:paraId="36AC9E26" w14:textId="77777777" w:rsidTr="004A72C3">
        <w:trPr>
          <w:trHeight w:val="320"/>
        </w:trPr>
        <w:tc>
          <w:tcPr>
            <w:tcW w:w="636" w:type="dxa"/>
            <w:shd w:val="clear" w:color="auto" w:fill="auto"/>
            <w:noWrap/>
            <w:vAlign w:val="center"/>
            <w:hideMark/>
          </w:tcPr>
          <w:p w14:paraId="1A1AD534" w14:textId="77777777" w:rsidR="00FA366A" w:rsidRPr="002C21B8" w:rsidRDefault="00FA366A" w:rsidP="00212D46">
            <w:pPr>
              <w:spacing w:after="0" w:line="240" w:lineRule="auto"/>
              <w:rPr>
                <w:sz w:val="20"/>
                <w:szCs w:val="20"/>
              </w:rPr>
            </w:pPr>
            <w:r w:rsidRPr="002C21B8">
              <w:rPr>
                <w:sz w:val="20"/>
                <w:szCs w:val="20"/>
              </w:rPr>
              <w:t>73</w:t>
            </w:r>
          </w:p>
        </w:tc>
        <w:tc>
          <w:tcPr>
            <w:tcW w:w="8573" w:type="dxa"/>
            <w:shd w:val="clear" w:color="auto" w:fill="auto"/>
            <w:noWrap/>
            <w:vAlign w:val="center"/>
            <w:hideMark/>
          </w:tcPr>
          <w:p w14:paraId="1271E6B6" w14:textId="77777777" w:rsidR="00FA366A" w:rsidRPr="002C21B8" w:rsidRDefault="00FA366A" w:rsidP="00212D46">
            <w:pPr>
              <w:spacing w:after="0" w:line="240" w:lineRule="auto"/>
              <w:rPr>
                <w:sz w:val="20"/>
                <w:szCs w:val="20"/>
              </w:rPr>
            </w:pPr>
            <w:r w:rsidRPr="002C21B8">
              <w:rPr>
                <w:sz w:val="20"/>
                <w:szCs w:val="20"/>
              </w:rPr>
              <w:t>Neuralgias (including, head and back pain)</w:t>
            </w:r>
          </w:p>
        </w:tc>
      </w:tr>
      <w:tr w:rsidR="00FA366A" w:rsidRPr="002C21B8" w14:paraId="747CEE99" w14:textId="77777777" w:rsidTr="004A72C3">
        <w:trPr>
          <w:trHeight w:val="320"/>
        </w:trPr>
        <w:tc>
          <w:tcPr>
            <w:tcW w:w="636" w:type="dxa"/>
            <w:shd w:val="clear" w:color="auto" w:fill="auto"/>
            <w:noWrap/>
            <w:vAlign w:val="center"/>
            <w:hideMark/>
          </w:tcPr>
          <w:p w14:paraId="173BDCF7" w14:textId="77777777" w:rsidR="00FA366A" w:rsidRPr="002C21B8" w:rsidRDefault="00FA366A" w:rsidP="00212D46">
            <w:pPr>
              <w:spacing w:after="0" w:line="240" w:lineRule="auto"/>
              <w:rPr>
                <w:sz w:val="20"/>
                <w:szCs w:val="20"/>
              </w:rPr>
            </w:pPr>
            <w:r w:rsidRPr="002C21B8">
              <w:rPr>
                <w:sz w:val="20"/>
                <w:szCs w:val="20"/>
              </w:rPr>
              <w:t>74</w:t>
            </w:r>
          </w:p>
        </w:tc>
        <w:tc>
          <w:tcPr>
            <w:tcW w:w="8573" w:type="dxa"/>
            <w:shd w:val="clear" w:color="auto" w:fill="auto"/>
            <w:noWrap/>
            <w:vAlign w:val="center"/>
            <w:hideMark/>
          </w:tcPr>
          <w:p w14:paraId="6E98BC4E" w14:textId="77777777" w:rsidR="00FA366A" w:rsidRPr="002C21B8" w:rsidRDefault="00FA366A" w:rsidP="00212D46">
            <w:pPr>
              <w:spacing w:after="0" w:line="240" w:lineRule="auto"/>
              <w:rPr>
                <w:sz w:val="20"/>
                <w:szCs w:val="20"/>
              </w:rPr>
            </w:pPr>
            <w:r w:rsidRPr="002C21B8">
              <w:rPr>
                <w:sz w:val="20"/>
                <w:szCs w:val="20"/>
              </w:rPr>
              <w:t>Newborn screening programme diseases, including thyroid disease, hearing loss</w:t>
            </w:r>
          </w:p>
        </w:tc>
      </w:tr>
      <w:tr w:rsidR="00FA366A" w:rsidRPr="002C21B8" w14:paraId="687EFE6A" w14:textId="77777777" w:rsidTr="004A72C3">
        <w:trPr>
          <w:trHeight w:val="320"/>
        </w:trPr>
        <w:tc>
          <w:tcPr>
            <w:tcW w:w="636" w:type="dxa"/>
            <w:shd w:val="clear" w:color="auto" w:fill="auto"/>
            <w:noWrap/>
            <w:vAlign w:val="center"/>
            <w:hideMark/>
          </w:tcPr>
          <w:p w14:paraId="77DA63EE" w14:textId="77777777" w:rsidR="00FA366A" w:rsidRPr="002C21B8" w:rsidRDefault="00FA366A" w:rsidP="00212D46">
            <w:pPr>
              <w:spacing w:after="0" w:line="240" w:lineRule="auto"/>
              <w:rPr>
                <w:sz w:val="20"/>
                <w:szCs w:val="20"/>
              </w:rPr>
            </w:pPr>
            <w:r w:rsidRPr="002C21B8">
              <w:rPr>
                <w:sz w:val="20"/>
                <w:szCs w:val="20"/>
              </w:rPr>
              <w:t>75</w:t>
            </w:r>
          </w:p>
        </w:tc>
        <w:tc>
          <w:tcPr>
            <w:tcW w:w="8573" w:type="dxa"/>
            <w:shd w:val="clear" w:color="auto" w:fill="auto"/>
            <w:noWrap/>
            <w:vAlign w:val="center"/>
            <w:hideMark/>
          </w:tcPr>
          <w:p w14:paraId="1038A783" w14:textId="77777777" w:rsidR="00FA366A" w:rsidRPr="002C21B8" w:rsidRDefault="00FA366A" w:rsidP="00212D46">
            <w:pPr>
              <w:spacing w:after="0" w:line="240" w:lineRule="auto"/>
              <w:rPr>
                <w:sz w:val="20"/>
                <w:szCs w:val="20"/>
              </w:rPr>
            </w:pPr>
            <w:r w:rsidRPr="002C21B8">
              <w:rPr>
                <w:sz w:val="20"/>
                <w:szCs w:val="20"/>
              </w:rPr>
              <w:t>Obesity</w:t>
            </w:r>
          </w:p>
        </w:tc>
      </w:tr>
      <w:tr w:rsidR="00FA366A" w:rsidRPr="002C21B8" w14:paraId="2A299F8C" w14:textId="77777777" w:rsidTr="004A72C3">
        <w:trPr>
          <w:trHeight w:val="320"/>
        </w:trPr>
        <w:tc>
          <w:tcPr>
            <w:tcW w:w="636" w:type="dxa"/>
            <w:shd w:val="clear" w:color="auto" w:fill="auto"/>
            <w:noWrap/>
            <w:vAlign w:val="center"/>
            <w:hideMark/>
          </w:tcPr>
          <w:p w14:paraId="6AF320B1" w14:textId="77777777" w:rsidR="00FA366A" w:rsidRPr="002C21B8" w:rsidRDefault="00FA366A" w:rsidP="00212D46">
            <w:pPr>
              <w:spacing w:after="0" w:line="240" w:lineRule="auto"/>
              <w:rPr>
                <w:sz w:val="20"/>
                <w:szCs w:val="20"/>
              </w:rPr>
            </w:pPr>
            <w:r w:rsidRPr="002C21B8">
              <w:rPr>
                <w:sz w:val="20"/>
                <w:szCs w:val="20"/>
              </w:rPr>
              <w:t>76</w:t>
            </w:r>
          </w:p>
        </w:tc>
        <w:tc>
          <w:tcPr>
            <w:tcW w:w="8573" w:type="dxa"/>
            <w:shd w:val="clear" w:color="auto" w:fill="auto"/>
            <w:noWrap/>
            <w:vAlign w:val="center"/>
            <w:hideMark/>
          </w:tcPr>
          <w:p w14:paraId="0C3A0DA1" w14:textId="77777777" w:rsidR="00FA366A" w:rsidRPr="002C21B8" w:rsidRDefault="00FA366A" w:rsidP="00212D46">
            <w:pPr>
              <w:spacing w:after="0" w:line="240" w:lineRule="auto"/>
              <w:rPr>
                <w:sz w:val="20"/>
                <w:szCs w:val="20"/>
              </w:rPr>
            </w:pPr>
            <w:r w:rsidRPr="002C21B8">
              <w:rPr>
                <w:sz w:val="20"/>
                <w:szCs w:val="20"/>
              </w:rPr>
              <w:t>Obstructive sleep apnoea</w:t>
            </w:r>
          </w:p>
        </w:tc>
      </w:tr>
      <w:tr w:rsidR="00FA366A" w:rsidRPr="002C21B8" w14:paraId="14A0A6B7" w14:textId="77777777" w:rsidTr="004A72C3">
        <w:trPr>
          <w:trHeight w:val="320"/>
        </w:trPr>
        <w:tc>
          <w:tcPr>
            <w:tcW w:w="636" w:type="dxa"/>
            <w:shd w:val="clear" w:color="auto" w:fill="auto"/>
            <w:noWrap/>
            <w:vAlign w:val="center"/>
            <w:hideMark/>
          </w:tcPr>
          <w:p w14:paraId="19DA9155" w14:textId="77777777" w:rsidR="00FA366A" w:rsidRPr="002C21B8" w:rsidRDefault="00FA366A" w:rsidP="00212D46">
            <w:pPr>
              <w:spacing w:after="0" w:line="240" w:lineRule="auto"/>
              <w:rPr>
                <w:sz w:val="20"/>
                <w:szCs w:val="20"/>
              </w:rPr>
            </w:pPr>
            <w:r w:rsidRPr="002C21B8">
              <w:rPr>
                <w:sz w:val="20"/>
                <w:szCs w:val="20"/>
              </w:rPr>
              <w:t>77</w:t>
            </w:r>
          </w:p>
        </w:tc>
        <w:tc>
          <w:tcPr>
            <w:tcW w:w="8573" w:type="dxa"/>
            <w:shd w:val="clear" w:color="auto" w:fill="auto"/>
            <w:noWrap/>
            <w:vAlign w:val="center"/>
            <w:hideMark/>
          </w:tcPr>
          <w:p w14:paraId="71062AB0" w14:textId="77777777" w:rsidR="00FA366A" w:rsidRPr="002C21B8" w:rsidRDefault="00FA366A" w:rsidP="00212D46">
            <w:pPr>
              <w:spacing w:after="0" w:line="240" w:lineRule="auto"/>
              <w:rPr>
                <w:sz w:val="20"/>
                <w:szCs w:val="20"/>
              </w:rPr>
            </w:pPr>
            <w:r w:rsidRPr="002C21B8">
              <w:rPr>
                <w:sz w:val="20"/>
                <w:szCs w:val="20"/>
              </w:rPr>
              <w:t>Occupational lung disease (various)</w:t>
            </w:r>
          </w:p>
        </w:tc>
      </w:tr>
      <w:tr w:rsidR="00FA366A" w:rsidRPr="002C21B8" w14:paraId="58D7A2AC" w14:textId="77777777" w:rsidTr="004A72C3">
        <w:trPr>
          <w:trHeight w:val="320"/>
        </w:trPr>
        <w:tc>
          <w:tcPr>
            <w:tcW w:w="636" w:type="dxa"/>
            <w:shd w:val="clear" w:color="auto" w:fill="auto"/>
            <w:noWrap/>
            <w:vAlign w:val="center"/>
            <w:hideMark/>
          </w:tcPr>
          <w:p w14:paraId="722868DC" w14:textId="77777777" w:rsidR="00FA366A" w:rsidRPr="002C21B8" w:rsidRDefault="00FA366A" w:rsidP="00212D46">
            <w:pPr>
              <w:spacing w:after="0" w:line="240" w:lineRule="auto"/>
              <w:rPr>
                <w:sz w:val="20"/>
                <w:szCs w:val="20"/>
              </w:rPr>
            </w:pPr>
            <w:r w:rsidRPr="002C21B8">
              <w:rPr>
                <w:sz w:val="20"/>
                <w:szCs w:val="20"/>
              </w:rPr>
              <w:t>78</w:t>
            </w:r>
          </w:p>
        </w:tc>
        <w:tc>
          <w:tcPr>
            <w:tcW w:w="8573" w:type="dxa"/>
            <w:shd w:val="clear" w:color="auto" w:fill="auto"/>
            <w:noWrap/>
            <w:vAlign w:val="center"/>
            <w:hideMark/>
          </w:tcPr>
          <w:p w14:paraId="134BAA79" w14:textId="77777777" w:rsidR="00FA366A" w:rsidRPr="002C21B8" w:rsidRDefault="00FA366A" w:rsidP="00212D46">
            <w:pPr>
              <w:spacing w:after="0" w:line="240" w:lineRule="auto"/>
              <w:rPr>
                <w:sz w:val="20"/>
                <w:szCs w:val="20"/>
              </w:rPr>
            </w:pPr>
            <w:r w:rsidRPr="002C21B8">
              <w:rPr>
                <w:sz w:val="20"/>
                <w:szCs w:val="20"/>
              </w:rPr>
              <w:t>Osteoarthritis</w:t>
            </w:r>
          </w:p>
        </w:tc>
      </w:tr>
      <w:tr w:rsidR="00FA366A" w:rsidRPr="002C21B8" w14:paraId="73E5E72E" w14:textId="77777777" w:rsidTr="004A72C3">
        <w:trPr>
          <w:trHeight w:val="320"/>
        </w:trPr>
        <w:tc>
          <w:tcPr>
            <w:tcW w:w="636" w:type="dxa"/>
            <w:shd w:val="clear" w:color="auto" w:fill="auto"/>
            <w:noWrap/>
            <w:vAlign w:val="center"/>
            <w:hideMark/>
          </w:tcPr>
          <w:p w14:paraId="63887B98" w14:textId="77777777" w:rsidR="00FA366A" w:rsidRPr="002C21B8" w:rsidRDefault="00FA366A" w:rsidP="00212D46">
            <w:pPr>
              <w:spacing w:after="0" w:line="240" w:lineRule="auto"/>
              <w:rPr>
                <w:sz w:val="20"/>
                <w:szCs w:val="20"/>
              </w:rPr>
            </w:pPr>
            <w:r w:rsidRPr="002C21B8">
              <w:rPr>
                <w:sz w:val="20"/>
                <w:szCs w:val="20"/>
              </w:rPr>
              <w:t>79</w:t>
            </w:r>
          </w:p>
        </w:tc>
        <w:tc>
          <w:tcPr>
            <w:tcW w:w="8573" w:type="dxa"/>
            <w:shd w:val="clear" w:color="auto" w:fill="auto"/>
            <w:noWrap/>
            <w:vAlign w:val="center"/>
            <w:hideMark/>
          </w:tcPr>
          <w:p w14:paraId="05FA71A1" w14:textId="77777777" w:rsidR="00FA366A" w:rsidRPr="002C21B8" w:rsidRDefault="00FA366A" w:rsidP="00212D46">
            <w:pPr>
              <w:spacing w:after="0" w:line="240" w:lineRule="auto"/>
              <w:rPr>
                <w:sz w:val="20"/>
                <w:szCs w:val="20"/>
              </w:rPr>
            </w:pPr>
            <w:r w:rsidRPr="002C21B8">
              <w:rPr>
                <w:sz w:val="20"/>
                <w:szCs w:val="20"/>
              </w:rPr>
              <w:t>Osteoporosis</w:t>
            </w:r>
          </w:p>
        </w:tc>
      </w:tr>
      <w:tr w:rsidR="00FA366A" w:rsidRPr="002C21B8" w14:paraId="42C17920" w14:textId="77777777" w:rsidTr="004A72C3">
        <w:trPr>
          <w:trHeight w:val="320"/>
        </w:trPr>
        <w:tc>
          <w:tcPr>
            <w:tcW w:w="636" w:type="dxa"/>
            <w:shd w:val="clear" w:color="auto" w:fill="auto"/>
            <w:noWrap/>
            <w:vAlign w:val="center"/>
            <w:hideMark/>
          </w:tcPr>
          <w:p w14:paraId="55E2CAAB" w14:textId="77777777" w:rsidR="00FA366A" w:rsidRPr="002C21B8" w:rsidRDefault="00FA366A" w:rsidP="00212D46">
            <w:pPr>
              <w:spacing w:after="0" w:line="240" w:lineRule="auto"/>
              <w:rPr>
                <w:sz w:val="20"/>
                <w:szCs w:val="20"/>
              </w:rPr>
            </w:pPr>
            <w:r w:rsidRPr="002C21B8">
              <w:rPr>
                <w:sz w:val="20"/>
                <w:szCs w:val="20"/>
              </w:rPr>
              <w:t>80</w:t>
            </w:r>
          </w:p>
        </w:tc>
        <w:tc>
          <w:tcPr>
            <w:tcW w:w="8573" w:type="dxa"/>
            <w:shd w:val="clear" w:color="auto" w:fill="auto"/>
            <w:noWrap/>
            <w:vAlign w:val="center"/>
            <w:hideMark/>
          </w:tcPr>
          <w:p w14:paraId="7885DECE" w14:textId="77777777" w:rsidR="00FA366A" w:rsidRPr="002C21B8" w:rsidRDefault="00FA366A" w:rsidP="00212D46">
            <w:pPr>
              <w:spacing w:after="0" w:line="240" w:lineRule="auto"/>
              <w:rPr>
                <w:sz w:val="20"/>
                <w:szCs w:val="20"/>
              </w:rPr>
            </w:pPr>
            <w:r w:rsidRPr="002C21B8">
              <w:rPr>
                <w:sz w:val="20"/>
                <w:szCs w:val="20"/>
              </w:rPr>
              <w:t>Other slowly degenerative neurological conditions</w:t>
            </w:r>
          </w:p>
        </w:tc>
      </w:tr>
      <w:tr w:rsidR="00FA366A" w:rsidRPr="002C21B8" w14:paraId="66BCD48E" w14:textId="77777777" w:rsidTr="004A72C3">
        <w:trPr>
          <w:trHeight w:val="320"/>
        </w:trPr>
        <w:tc>
          <w:tcPr>
            <w:tcW w:w="636" w:type="dxa"/>
            <w:shd w:val="clear" w:color="auto" w:fill="auto"/>
            <w:noWrap/>
            <w:vAlign w:val="center"/>
            <w:hideMark/>
          </w:tcPr>
          <w:p w14:paraId="135096DF" w14:textId="77777777" w:rsidR="00FA366A" w:rsidRPr="002C21B8" w:rsidRDefault="00FA366A" w:rsidP="00212D46">
            <w:pPr>
              <w:spacing w:after="0" w:line="240" w:lineRule="auto"/>
              <w:rPr>
                <w:sz w:val="20"/>
                <w:szCs w:val="20"/>
              </w:rPr>
            </w:pPr>
            <w:r w:rsidRPr="002C21B8">
              <w:rPr>
                <w:sz w:val="20"/>
                <w:szCs w:val="20"/>
              </w:rPr>
              <w:t>81</w:t>
            </w:r>
          </w:p>
        </w:tc>
        <w:tc>
          <w:tcPr>
            <w:tcW w:w="8573" w:type="dxa"/>
            <w:shd w:val="clear" w:color="auto" w:fill="auto"/>
            <w:noWrap/>
            <w:vAlign w:val="center"/>
            <w:hideMark/>
          </w:tcPr>
          <w:p w14:paraId="15B89F1D" w14:textId="77777777" w:rsidR="00FA366A" w:rsidRPr="002C21B8" w:rsidRDefault="00FA366A" w:rsidP="00212D46">
            <w:pPr>
              <w:spacing w:after="0" w:line="240" w:lineRule="auto"/>
              <w:rPr>
                <w:sz w:val="20"/>
                <w:szCs w:val="20"/>
              </w:rPr>
            </w:pPr>
            <w:r w:rsidRPr="002C21B8">
              <w:rPr>
                <w:sz w:val="20"/>
                <w:szCs w:val="20"/>
              </w:rPr>
              <w:t>Parkinson’s disease</w:t>
            </w:r>
          </w:p>
        </w:tc>
      </w:tr>
      <w:tr w:rsidR="00FA366A" w:rsidRPr="002C21B8" w14:paraId="111FCDBE" w14:textId="77777777" w:rsidTr="004A72C3">
        <w:trPr>
          <w:trHeight w:val="320"/>
        </w:trPr>
        <w:tc>
          <w:tcPr>
            <w:tcW w:w="636" w:type="dxa"/>
            <w:shd w:val="clear" w:color="auto" w:fill="auto"/>
            <w:noWrap/>
            <w:vAlign w:val="center"/>
            <w:hideMark/>
          </w:tcPr>
          <w:p w14:paraId="75332E30" w14:textId="77777777" w:rsidR="00FA366A" w:rsidRPr="002C21B8" w:rsidRDefault="00FA366A" w:rsidP="00212D46">
            <w:pPr>
              <w:spacing w:after="0" w:line="240" w:lineRule="auto"/>
              <w:rPr>
                <w:sz w:val="20"/>
                <w:szCs w:val="20"/>
              </w:rPr>
            </w:pPr>
            <w:r w:rsidRPr="002C21B8">
              <w:rPr>
                <w:sz w:val="20"/>
                <w:szCs w:val="20"/>
              </w:rPr>
              <w:t>82</w:t>
            </w:r>
          </w:p>
        </w:tc>
        <w:tc>
          <w:tcPr>
            <w:tcW w:w="8573" w:type="dxa"/>
            <w:shd w:val="clear" w:color="auto" w:fill="auto"/>
            <w:noWrap/>
            <w:vAlign w:val="center"/>
            <w:hideMark/>
          </w:tcPr>
          <w:p w14:paraId="477FE923" w14:textId="77777777" w:rsidR="00FA366A" w:rsidRPr="002C21B8" w:rsidRDefault="00FA366A" w:rsidP="00212D46">
            <w:pPr>
              <w:spacing w:after="0" w:line="240" w:lineRule="auto"/>
              <w:rPr>
                <w:sz w:val="20"/>
                <w:szCs w:val="20"/>
              </w:rPr>
            </w:pPr>
            <w:r w:rsidRPr="002C21B8">
              <w:rPr>
                <w:sz w:val="20"/>
                <w:szCs w:val="20"/>
              </w:rPr>
              <w:t>Peripheral vascular disease</w:t>
            </w:r>
          </w:p>
        </w:tc>
      </w:tr>
      <w:tr w:rsidR="00FA366A" w:rsidRPr="002C21B8" w14:paraId="24508B2C" w14:textId="77777777" w:rsidTr="004A72C3">
        <w:trPr>
          <w:trHeight w:val="320"/>
        </w:trPr>
        <w:tc>
          <w:tcPr>
            <w:tcW w:w="636" w:type="dxa"/>
            <w:shd w:val="clear" w:color="auto" w:fill="auto"/>
            <w:noWrap/>
            <w:vAlign w:val="center"/>
            <w:hideMark/>
          </w:tcPr>
          <w:p w14:paraId="0C24A654" w14:textId="77777777" w:rsidR="00FA366A" w:rsidRPr="002C21B8" w:rsidRDefault="00FA366A" w:rsidP="00212D46">
            <w:pPr>
              <w:spacing w:after="0" w:line="240" w:lineRule="auto"/>
              <w:rPr>
                <w:sz w:val="20"/>
                <w:szCs w:val="20"/>
              </w:rPr>
            </w:pPr>
            <w:r w:rsidRPr="002C21B8">
              <w:rPr>
                <w:sz w:val="20"/>
                <w:szCs w:val="20"/>
              </w:rPr>
              <w:t>83</w:t>
            </w:r>
          </w:p>
        </w:tc>
        <w:tc>
          <w:tcPr>
            <w:tcW w:w="8573" w:type="dxa"/>
            <w:shd w:val="clear" w:color="auto" w:fill="auto"/>
            <w:noWrap/>
            <w:vAlign w:val="center"/>
            <w:hideMark/>
          </w:tcPr>
          <w:p w14:paraId="750D8FBF" w14:textId="77777777" w:rsidR="00FA366A" w:rsidRPr="002C21B8" w:rsidRDefault="00FA366A" w:rsidP="00212D46">
            <w:pPr>
              <w:spacing w:after="0" w:line="240" w:lineRule="auto"/>
              <w:rPr>
                <w:sz w:val="20"/>
                <w:szCs w:val="20"/>
              </w:rPr>
            </w:pPr>
            <w:r w:rsidRPr="002C21B8">
              <w:rPr>
                <w:sz w:val="20"/>
                <w:szCs w:val="20"/>
              </w:rPr>
              <w:t>Personality disorders</w:t>
            </w:r>
          </w:p>
        </w:tc>
      </w:tr>
      <w:tr w:rsidR="00FA366A" w:rsidRPr="002C21B8" w14:paraId="1E380C7A" w14:textId="77777777" w:rsidTr="004A72C3">
        <w:trPr>
          <w:trHeight w:val="320"/>
        </w:trPr>
        <w:tc>
          <w:tcPr>
            <w:tcW w:w="636" w:type="dxa"/>
            <w:shd w:val="clear" w:color="auto" w:fill="auto"/>
            <w:noWrap/>
            <w:vAlign w:val="center"/>
            <w:hideMark/>
          </w:tcPr>
          <w:p w14:paraId="40F7E955" w14:textId="77777777" w:rsidR="00FA366A" w:rsidRPr="002C21B8" w:rsidRDefault="00FA366A" w:rsidP="00212D46">
            <w:pPr>
              <w:spacing w:after="0" w:line="240" w:lineRule="auto"/>
              <w:rPr>
                <w:sz w:val="20"/>
                <w:szCs w:val="20"/>
              </w:rPr>
            </w:pPr>
            <w:r w:rsidRPr="002C21B8">
              <w:rPr>
                <w:sz w:val="20"/>
                <w:szCs w:val="20"/>
              </w:rPr>
              <w:t>84</w:t>
            </w:r>
          </w:p>
        </w:tc>
        <w:tc>
          <w:tcPr>
            <w:tcW w:w="8573" w:type="dxa"/>
            <w:shd w:val="clear" w:color="auto" w:fill="auto"/>
            <w:noWrap/>
            <w:vAlign w:val="center"/>
            <w:hideMark/>
          </w:tcPr>
          <w:p w14:paraId="01BF2D43" w14:textId="77777777" w:rsidR="00FA366A" w:rsidRPr="002C21B8" w:rsidRDefault="00FA366A" w:rsidP="00212D46">
            <w:pPr>
              <w:spacing w:after="0" w:line="240" w:lineRule="auto"/>
              <w:rPr>
                <w:sz w:val="20"/>
                <w:szCs w:val="20"/>
              </w:rPr>
            </w:pPr>
            <w:r w:rsidRPr="002C21B8">
              <w:rPr>
                <w:sz w:val="20"/>
                <w:szCs w:val="20"/>
              </w:rPr>
              <w:t>Phobias</w:t>
            </w:r>
          </w:p>
        </w:tc>
      </w:tr>
      <w:tr w:rsidR="00FA366A" w:rsidRPr="002C21B8" w14:paraId="15AB3200" w14:textId="77777777" w:rsidTr="004A72C3">
        <w:trPr>
          <w:trHeight w:val="320"/>
        </w:trPr>
        <w:tc>
          <w:tcPr>
            <w:tcW w:w="636" w:type="dxa"/>
            <w:shd w:val="clear" w:color="auto" w:fill="auto"/>
            <w:noWrap/>
            <w:vAlign w:val="center"/>
            <w:hideMark/>
          </w:tcPr>
          <w:p w14:paraId="67437372" w14:textId="77777777" w:rsidR="00FA366A" w:rsidRPr="002C21B8" w:rsidRDefault="00FA366A" w:rsidP="00212D46">
            <w:pPr>
              <w:spacing w:after="0" w:line="240" w:lineRule="auto"/>
              <w:rPr>
                <w:sz w:val="20"/>
                <w:szCs w:val="20"/>
              </w:rPr>
            </w:pPr>
            <w:r w:rsidRPr="002C21B8">
              <w:rPr>
                <w:sz w:val="20"/>
                <w:szCs w:val="20"/>
              </w:rPr>
              <w:t>85</w:t>
            </w:r>
          </w:p>
        </w:tc>
        <w:tc>
          <w:tcPr>
            <w:tcW w:w="8573" w:type="dxa"/>
            <w:shd w:val="clear" w:color="auto" w:fill="auto"/>
            <w:noWrap/>
            <w:vAlign w:val="center"/>
            <w:hideMark/>
          </w:tcPr>
          <w:p w14:paraId="21B0C611" w14:textId="77777777" w:rsidR="00FA366A" w:rsidRPr="002C21B8" w:rsidRDefault="00FA366A" w:rsidP="00212D46">
            <w:pPr>
              <w:spacing w:after="0" w:line="240" w:lineRule="auto"/>
              <w:rPr>
                <w:sz w:val="20"/>
                <w:szCs w:val="20"/>
              </w:rPr>
            </w:pPr>
            <w:r w:rsidRPr="002C21B8">
              <w:rPr>
                <w:sz w:val="20"/>
                <w:szCs w:val="20"/>
              </w:rPr>
              <w:t>Physical disabilities</w:t>
            </w:r>
          </w:p>
        </w:tc>
      </w:tr>
      <w:tr w:rsidR="00FA366A" w:rsidRPr="002C21B8" w14:paraId="321EC3A0" w14:textId="77777777" w:rsidTr="004A72C3">
        <w:trPr>
          <w:trHeight w:val="320"/>
        </w:trPr>
        <w:tc>
          <w:tcPr>
            <w:tcW w:w="636" w:type="dxa"/>
            <w:shd w:val="clear" w:color="auto" w:fill="auto"/>
            <w:noWrap/>
            <w:vAlign w:val="center"/>
            <w:hideMark/>
          </w:tcPr>
          <w:p w14:paraId="63A9E9D6" w14:textId="77777777" w:rsidR="00FA366A" w:rsidRPr="002C21B8" w:rsidRDefault="00FA366A" w:rsidP="00212D46">
            <w:pPr>
              <w:spacing w:after="0" w:line="240" w:lineRule="auto"/>
              <w:rPr>
                <w:sz w:val="20"/>
                <w:szCs w:val="20"/>
              </w:rPr>
            </w:pPr>
            <w:r w:rsidRPr="002C21B8">
              <w:rPr>
                <w:sz w:val="20"/>
                <w:szCs w:val="20"/>
              </w:rPr>
              <w:t>86</w:t>
            </w:r>
          </w:p>
        </w:tc>
        <w:tc>
          <w:tcPr>
            <w:tcW w:w="8573" w:type="dxa"/>
            <w:shd w:val="clear" w:color="auto" w:fill="auto"/>
            <w:noWrap/>
            <w:vAlign w:val="center"/>
            <w:hideMark/>
          </w:tcPr>
          <w:p w14:paraId="087CADA8" w14:textId="77777777" w:rsidR="00FA366A" w:rsidRPr="002C21B8" w:rsidRDefault="00FA366A" w:rsidP="00212D46">
            <w:pPr>
              <w:spacing w:after="0" w:line="240" w:lineRule="auto"/>
              <w:rPr>
                <w:sz w:val="20"/>
                <w:szCs w:val="20"/>
              </w:rPr>
            </w:pPr>
            <w:r w:rsidRPr="002C21B8">
              <w:rPr>
                <w:sz w:val="20"/>
                <w:szCs w:val="20"/>
              </w:rPr>
              <w:t>Polycystic ovary disease</w:t>
            </w:r>
          </w:p>
        </w:tc>
      </w:tr>
      <w:tr w:rsidR="00FA366A" w:rsidRPr="002C21B8" w14:paraId="0D18B684" w14:textId="77777777" w:rsidTr="004A72C3">
        <w:trPr>
          <w:trHeight w:val="320"/>
        </w:trPr>
        <w:tc>
          <w:tcPr>
            <w:tcW w:w="636" w:type="dxa"/>
            <w:shd w:val="clear" w:color="auto" w:fill="auto"/>
            <w:noWrap/>
            <w:vAlign w:val="center"/>
            <w:hideMark/>
          </w:tcPr>
          <w:p w14:paraId="61439070" w14:textId="77777777" w:rsidR="00FA366A" w:rsidRPr="002C21B8" w:rsidRDefault="00FA366A" w:rsidP="00212D46">
            <w:pPr>
              <w:spacing w:after="0" w:line="240" w:lineRule="auto"/>
              <w:rPr>
                <w:sz w:val="20"/>
                <w:szCs w:val="20"/>
              </w:rPr>
            </w:pPr>
            <w:r w:rsidRPr="002C21B8">
              <w:rPr>
                <w:sz w:val="20"/>
                <w:szCs w:val="20"/>
              </w:rPr>
              <w:t>87</w:t>
            </w:r>
          </w:p>
        </w:tc>
        <w:tc>
          <w:tcPr>
            <w:tcW w:w="8573" w:type="dxa"/>
            <w:shd w:val="clear" w:color="auto" w:fill="auto"/>
            <w:noWrap/>
            <w:vAlign w:val="center"/>
            <w:hideMark/>
          </w:tcPr>
          <w:p w14:paraId="7809052E" w14:textId="77777777" w:rsidR="00FA366A" w:rsidRPr="002C21B8" w:rsidRDefault="00FA366A" w:rsidP="00212D46">
            <w:pPr>
              <w:spacing w:after="0" w:line="240" w:lineRule="auto"/>
              <w:rPr>
                <w:sz w:val="20"/>
                <w:szCs w:val="20"/>
              </w:rPr>
            </w:pPr>
            <w:r w:rsidRPr="002C21B8">
              <w:rPr>
                <w:sz w:val="20"/>
                <w:szCs w:val="20"/>
              </w:rPr>
              <w:t>Post-traumatic stress</w:t>
            </w:r>
          </w:p>
        </w:tc>
      </w:tr>
      <w:tr w:rsidR="00FA366A" w:rsidRPr="002C21B8" w14:paraId="564E84AF" w14:textId="77777777" w:rsidTr="004A72C3">
        <w:trPr>
          <w:trHeight w:val="320"/>
        </w:trPr>
        <w:tc>
          <w:tcPr>
            <w:tcW w:w="636" w:type="dxa"/>
            <w:shd w:val="clear" w:color="auto" w:fill="auto"/>
            <w:noWrap/>
            <w:vAlign w:val="center"/>
            <w:hideMark/>
          </w:tcPr>
          <w:p w14:paraId="081EA2B9" w14:textId="77777777" w:rsidR="00FA366A" w:rsidRPr="002C21B8" w:rsidRDefault="00FA366A" w:rsidP="00212D46">
            <w:pPr>
              <w:spacing w:after="0" w:line="240" w:lineRule="auto"/>
              <w:rPr>
                <w:sz w:val="20"/>
                <w:szCs w:val="20"/>
              </w:rPr>
            </w:pPr>
            <w:r w:rsidRPr="002C21B8">
              <w:rPr>
                <w:sz w:val="20"/>
                <w:szCs w:val="20"/>
              </w:rPr>
              <w:t>88</w:t>
            </w:r>
          </w:p>
        </w:tc>
        <w:tc>
          <w:tcPr>
            <w:tcW w:w="8573" w:type="dxa"/>
            <w:shd w:val="clear" w:color="auto" w:fill="auto"/>
            <w:noWrap/>
            <w:vAlign w:val="center"/>
            <w:hideMark/>
          </w:tcPr>
          <w:p w14:paraId="1A555299" w14:textId="77777777" w:rsidR="00FA366A" w:rsidRPr="002C21B8" w:rsidRDefault="00FA366A" w:rsidP="00212D46">
            <w:pPr>
              <w:spacing w:after="0" w:line="240" w:lineRule="auto"/>
              <w:rPr>
                <w:sz w:val="20"/>
                <w:szCs w:val="20"/>
              </w:rPr>
            </w:pPr>
            <w:r w:rsidRPr="002C21B8">
              <w:rPr>
                <w:sz w:val="20"/>
                <w:szCs w:val="20"/>
              </w:rPr>
              <w:t>Progressive supranuclear palsy</w:t>
            </w:r>
          </w:p>
        </w:tc>
      </w:tr>
      <w:tr w:rsidR="00FA366A" w:rsidRPr="002C21B8" w14:paraId="22A9303E" w14:textId="77777777" w:rsidTr="004A72C3">
        <w:trPr>
          <w:trHeight w:val="320"/>
        </w:trPr>
        <w:tc>
          <w:tcPr>
            <w:tcW w:w="636" w:type="dxa"/>
            <w:shd w:val="clear" w:color="auto" w:fill="auto"/>
            <w:noWrap/>
            <w:vAlign w:val="center"/>
            <w:hideMark/>
          </w:tcPr>
          <w:p w14:paraId="1D4503E5" w14:textId="77777777" w:rsidR="00FA366A" w:rsidRPr="002C21B8" w:rsidRDefault="00FA366A" w:rsidP="00212D46">
            <w:pPr>
              <w:spacing w:after="0" w:line="240" w:lineRule="auto"/>
              <w:rPr>
                <w:sz w:val="20"/>
                <w:szCs w:val="20"/>
              </w:rPr>
            </w:pPr>
            <w:r w:rsidRPr="002C21B8">
              <w:rPr>
                <w:sz w:val="20"/>
                <w:szCs w:val="20"/>
              </w:rPr>
              <w:t>89</w:t>
            </w:r>
          </w:p>
        </w:tc>
        <w:tc>
          <w:tcPr>
            <w:tcW w:w="8573" w:type="dxa"/>
            <w:shd w:val="clear" w:color="auto" w:fill="auto"/>
            <w:noWrap/>
            <w:vAlign w:val="center"/>
            <w:hideMark/>
          </w:tcPr>
          <w:p w14:paraId="7BB32541" w14:textId="77777777" w:rsidR="00FA366A" w:rsidRPr="002C21B8" w:rsidRDefault="00FA366A" w:rsidP="00212D46">
            <w:pPr>
              <w:spacing w:after="0" w:line="240" w:lineRule="auto"/>
              <w:rPr>
                <w:sz w:val="20"/>
                <w:szCs w:val="20"/>
              </w:rPr>
            </w:pPr>
            <w:r w:rsidRPr="002C21B8">
              <w:rPr>
                <w:sz w:val="20"/>
                <w:szCs w:val="20"/>
              </w:rPr>
              <w:t>Psoriasis</w:t>
            </w:r>
          </w:p>
        </w:tc>
      </w:tr>
      <w:tr w:rsidR="00FA366A" w:rsidRPr="002C21B8" w14:paraId="50FB6189" w14:textId="77777777" w:rsidTr="004A72C3">
        <w:trPr>
          <w:trHeight w:val="320"/>
        </w:trPr>
        <w:tc>
          <w:tcPr>
            <w:tcW w:w="636" w:type="dxa"/>
            <w:shd w:val="clear" w:color="auto" w:fill="auto"/>
            <w:noWrap/>
            <w:vAlign w:val="center"/>
            <w:hideMark/>
          </w:tcPr>
          <w:p w14:paraId="4FAC7724" w14:textId="77777777" w:rsidR="00FA366A" w:rsidRPr="002C21B8" w:rsidRDefault="00FA366A" w:rsidP="00212D46">
            <w:pPr>
              <w:spacing w:after="0" w:line="240" w:lineRule="auto"/>
              <w:rPr>
                <w:sz w:val="20"/>
                <w:szCs w:val="20"/>
              </w:rPr>
            </w:pPr>
            <w:r w:rsidRPr="002C21B8">
              <w:rPr>
                <w:sz w:val="20"/>
                <w:szCs w:val="20"/>
              </w:rPr>
              <w:t>90</w:t>
            </w:r>
          </w:p>
        </w:tc>
        <w:tc>
          <w:tcPr>
            <w:tcW w:w="8573" w:type="dxa"/>
            <w:shd w:val="clear" w:color="auto" w:fill="auto"/>
            <w:noWrap/>
            <w:vAlign w:val="center"/>
            <w:hideMark/>
          </w:tcPr>
          <w:p w14:paraId="266377E5" w14:textId="77777777" w:rsidR="00FA366A" w:rsidRPr="002C21B8" w:rsidRDefault="00FA366A" w:rsidP="00212D46">
            <w:pPr>
              <w:spacing w:after="0" w:line="240" w:lineRule="auto"/>
              <w:rPr>
                <w:sz w:val="20"/>
                <w:szCs w:val="20"/>
              </w:rPr>
            </w:pPr>
            <w:r w:rsidRPr="002C21B8">
              <w:rPr>
                <w:sz w:val="20"/>
                <w:szCs w:val="20"/>
              </w:rPr>
              <w:t>Rare disease, genetic disorders</w:t>
            </w:r>
          </w:p>
        </w:tc>
      </w:tr>
      <w:tr w:rsidR="00FA366A" w:rsidRPr="002C21B8" w14:paraId="0581AD98" w14:textId="77777777" w:rsidTr="004A72C3">
        <w:trPr>
          <w:trHeight w:val="320"/>
        </w:trPr>
        <w:tc>
          <w:tcPr>
            <w:tcW w:w="636" w:type="dxa"/>
            <w:shd w:val="clear" w:color="auto" w:fill="auto"/>
            <w:noWrap/>
            <w:vAlign w:val="center"/>
            <w:hideMark/>
          </w:tcPr>
          <w:p w14:paraId="56D99A56" w14:textId="77777777" w:rsidR="00FA366A" w:rsidRPr="002C21B8" w:rsidRDefault="00FA366A" w:rsidP="00212D46">
            <w:pPr>
              <w:spacing w:after="0" w:line="240" w:lineRule="auto"/>
              <w:rPr>
                <w:sz w:val="20"/>
                <w:szCs w:val="20"/>
              </w:rPr>
            </w:pPr>
            <w:r w:rsidRPr="002C21B8">
              <w:rPr>
                <w:sz w:val="20"/>
                <w:szCs w:val="20"/>
              </w:rPr>
              <w:t>91</w:t>
            </w:r>
          </w:p>
        </w:tc>
        <w:tc>
          <w:tcPr>
            <w:tcW w:w="8573" w:type="dxa"/>
            <w:shd w:val="clear" w:color="auto" w:fill="auto"/>
            <w:noWrap/>
            <w:vAlign w:val="center"/>
            <w:hideMark/>
          </w:tcPr>
          <w:p w14:paraId="7502BFB6" w14:textId="77777777" w:rsidR="00FA366A" w:rsidRPr="002C21B8" w:rsidRDefault="00FA366A" w:rsidP="00212D46">
            <w:pPr>
              <w:spacing w:after="0" w:line="240" w:lineRule="auto"/>
              <w:rPr>
                <w:sz w:val="20"/>
                <w:szCs w:val="20"/>
              </w:rPr>
            </w:pPr>
            <w:r w:rsidRPr="002C21B8">
              <w:rPr>
                <w:sz w:val="20"/>
                <w:szCs w:val="20"/>
              </w:rPr>
              <w:t>Sarcoidosis</w:t>
            </w:r>
          </w:p>
        </w:tc>
      </w:tr>
      <w:tr w:rsidR="00FA366A" w:rsidRPr="002C21B8" w14:paraId="609175C2" w14:textId="77777777" w:rsidTr="004A72C3">
        <w:trPr>
          <w:trHeight w:val="320"/>
        </w:trPr>
        <w:tc>
          <w:tcPr>
            <w:tcW w:w="636" w:type="dxa"/>
            <w:shd w:val="clear" w:color="auto" w:fill="auto"/>
            <w:noWrap/>
            <w:vAlign w:val="center"/>
            <w:hideMark/>
          </w:tcPr>
          <w:p w14:paraId="5AED5917" w14:textId="77777777" w:rsidR="00FA366A" w:rsidRPr="002C21B8" w:rsidRDefault="00FA366A" w:rsidP="00212D46">
            <w:pPr>
              <w:spacing w:after="0" w:line="240" w:lineRule="auto"/>
              <w:rPr>
                <w:sz w:val="20"/>
                <w:szCs w:val="20"/>
              </w:rPr>
            </w:pPr>
            <w:r w:rsidRPr="002C21B8">
              <w:rPr>
                <w:sz w:val="20"/>
                <w:szCs w:val="20"/>
              </w:rPr>
              <w:t>92</w:t>
            </w:r>
          </w:p>
        </w:tc>
        <w:tc>
          <w:tcPr>
            <w:tcW w:w="8573" w:type="dxa"/>
            <w:shd w:val="clear" w:color="auto" w:fill="auto"/>
            <w:noWrap/>
            <w:vAlign w:val="center"/>
            <w:hideMark/>
          </w:tcPr>
          <w:p w14:paraId="5E7F9C06" w14:textId="77777777" w:rsidR="00FA366A" w:rsidRPr="002C21B8" w:rsidRDefault="00FA366A" w:rsidP="00212D46">
            <w:pPr>
              <w:spacing w:after="0" w:line="240" w:lineRule="auto"/>
              <w:rPr>
                <w:sz w:val="20"/>
                <w:szCs w:val="20"/>
              </w:rPr>
            </w:pPr>
            <w:r w:rsidRPr="002C21B8">
              <w:rPr>
                <w:sz w:val="20"/>
                <w:szCs w:val="20"/>
              </w:rPr>
              <w:t>Sensory problems/disabilities (deafness/blindness)</w:t>
            </w:r>
          </w:p>
        </w:tc>
      </w:tr>
      <w:tr w:rsidR="00FA366A" w:rsidRPr="002C21B8" w14:paraId="4647FA0F" w14:textId="77777777" w:rsidTr="004A72C3">
        <w:trPr>
          <w:trHeight w:val="320"/>
        </w:trPr>
        <w:tc>
          <w:tcPr>
            <w:tcW w:w="636" w:type="dxa"/>
            <w:shd w:val="clear" w:color="auto" w:fill="auto"/>
            <w:noWrap/>
            <w:vAlign w:val="center"/>
            <w:hideMark/>
          </w:tcPr>
          <w:p w14:paraId="475F7CAD" w14:textId="77777777" w:rsidR="00FA366A" w:rsidRPr="002C21B8" w:rsidRDefault="00FA366A" w:rsidP="00212D46">
            <w:pPr>
              <w:spacing w:after="0" w:line="240" w:lineRule="auto"/>
              <w:rPr>
                <w:sz w:val="20"/>
                <w:szCs w:val="20"/>
              </w:rPr>
            </w:pPr>
            <w:r w:rsidRPr="002C21B8">
              <w:rPr>
                <w:sz w:val="20"/>
                <w:szCs w:val="20"/>
              </w:rPr>
              <w:t>93</w:t>
            </w:r>
          </w:p>
        </w:tc>
        <w:tc>
          <w:tcPr>
            <w:tcW w:w="8573" w:type="dxa"/>
            <w:shd w:val="clear" w:color="auto" w:fill="auto"/>
            <w:noWrap/>
            <w:vAlign w:val="center"/>
            <w:hideMark/>
          </w:tcPr>
          <w:p w14:paraId="353ED396" w14:textId="77777777" w:rsidR="00FA366A" w:rsidRPr="002C21B8" w:rsidRDefault="00FA366A" w:rsidP="00212D46">
            <w:pPr>
              <w:spacing w:after="0" w:line="240" w:lineRule="auto"/>
              <w:rPr>
                <w:sz w:val="20"/>
                <w:szCs w:val="20"/>
              </w:rPr>
            </w:pPr>
            <w:r w:rsidRPr="002C21B8">
              <w:rPr>
                <w:sz w:val="20"/>
                <w:szCs w:val="20"/>
              </w:rPr>
              <w:t>Severe skin conditions</w:t>
            </w:r>
          </w:p>
        </w:tc>
      </w:tr>
      <w:tr w:rsidR="00FA366A" w:rsidRPr="002C21B8" w14:paraId="5CED38D0" w14:textId="77777777" w:rsidTr="004A72C3">
        <w:trPr>
          <w:trHeight w:val="320"/>
        </w:trPr>
        <w:tc>
          <w:tcPr>
            <w:tcW w:w="636" w:type="dxa"/>
            <w:shd w:val="clear" w:color="auto" w:fill="auto"/>
            <w:noWrap/>
            <w:vAlign w:val="center"/>
            <w:hideMark/>
          </w:tcPr>
          <w:p w14:paraId="5250DFC0" w14:textId="77777777" w:rsidR="00FA366A" w:rsidRPr="002C21B8" w:rsidRDefault="00FA366A" w:rsidP="00212D46">
            <w:pPr>
              <w:spacing w:after="0" w:line="240" w:lineRule="auto"/>
              <w:rPr>
                <w:sz w:val="20"/>
                <w:szCs w:val="20"/>
              </w:rPr>
            </w:pPr>
            <w:r w:rsidRPr="002C21B8">
              <w:rPr>
                <w:sz w:val="20"/>
                <w:szCs w:val="20"/>
              </w:rPr>
              <w:t>94</w:t>
            </w:r>
          </w:p>
        </w:tc>
        <w:tc>
          <w:tcPr>
            <w:tcW w:w="8573" w:type="dxa"/>
            <w:shd w:val="clear" w:color="auto" w:fill="auto"/>
            <w:noWrap/>
            <w:vAlign w:val="center"/>
            <w:hideMark/>
          </w:tcPr>
          <w:p w14:paraId="03A49B7A" w14:textId="77777777" w:rsidR="00FA366A" w:rsidRPr="002C21B8" w:rsidRDefault="00FA366A" w:rsidP="00212D46">
            <w:pPr>
              <w:spacing w:after="0" w:line="240" w:lineRule="auto"/>
              <w:rPr>
                <w:sz w:val="20"/>
                <w:szCs w:val="20"/>
              </w:rPr>
            </w:pPr>
            <w:r w:rsidRPr="002C21B8">
              <w:rPr>
                <w:sz w:val="20"/>
                <w:szCs w:val="20"/>
              </w:rPr>
              <w:t>Sickle cell disease</w:t>
            </w:r>
          </w:p>
        </w:tc>
      </w:tr>
      <w:tr w:rsidR="00FA366A" w:rsidRPr="002C21B8" w14:paraId="27D7E0EC" w14:textId="77777777" w:rsidTr="004A72C3">
        <w:trPr>
          <w:trHeight w:val="320"/>
        </w:trPr>
        <w:tc>
          <w:tcPr>
            <w:tcW w:w="636" w:type="dxa"/>
            <w:shd w:val="clear" w:color="auto" w:fill="auto"/>
            <w:noWrap/>
            <w:vAlign w:val="center"/>
            <w:hideMark/>
          </w:tcPr>
          <w:p w14:paraId="13A964D3" w14:textId="77777777" w:rsidR="00FA366A" w:rsidRPr="002C21B8" w:rsidRDefault="00FA366A" w:rsidP="00212D46">
            <w:pPr>
              <w:spacing w:after="0" w:line="240" w:lineRule="auto"/>
              <w:rPr>
                <w:sz w:val="20"/>
                <w:szCs w:val="20"/>
              </w:rPr>
            </w:pPr>
            <w:r w:rsidRPr="002C21B8">
              <w:rPr>
                <w:sz w:val="20"/>
                <w:szCs w:val="20"/>
              </w:rPr>
              <w:t>95</w:t>
            </w:r>
          </w:p>
        </w:tc>
        <w:tc>
          <w:tcPr>
            <w:tcW w:w="8573" w:type="dxa"/>
            <w:shd w:val="clear" w:color="auto" w:fill="auto"/>
            <w:noWrap/>
            <w:vAlign w:val="center"/>
            <w:hideMark/>
          </w:tcPr>
          <w:p w14:paraId="648D9D49" w14:textId="77777777" w:rsidR="00FA366A" w:rsidRPr="002C21B8" w:rsidRDefault="00FA366A" w:rsidP="00212D46">
            <w:pPr>
              <w:spacing w:after="0" w:line="240" w:lineRule="auto"/>
              <w:rPr>
                <w:sz w:val="20"/>
                <w:szCs w:val="20"/>
              </w:rPr>
            </w:pPr>
            <w:r w:rsidRPr="002C21B8">
              <w:rPr>
                <w:sz w:val="20"/>
                <w:szCs w:val="20"/>
              </w:rPr>
              <w:t>Skin conditions</w:t>
            </w:r>
          </w:p>
        </w:tc>
      </w:tr>
      <w:tr w:rsidR="00FA366A" w:rsidRPr="002C21B8" w14:paraId="144CF11A" w14:textId="77777777" w:rsidTr="004A72C3">
        <w:trPr>
          <w:trHeight w:val="320"/>
        </w:trPr>
        <w:tc>
          <w:tcPr>
            <w:tcW w:w="636" w:type="dxa"/>
            <w:shd w:val="clear" w:color="auto" w:fill="auto"/>
            <w:noWrap/>
            <w:vAlign w:val="center"/>
            <w:hideMark/>
          </w:tcPr>
          <w:p w14:paraId="1FDC8AB0" w14:textId="77777777" w:rsidR="00FA366A" w:rsidRPr="002C21B8" w:rsidRDefault="00FA366A" w:rsidP="00212D46">
            <w:pPr>
              <w:spacing w:after="0" w:line="240" w:lineRule="auto"/>
              <w:rPr>
                <w:sz w:val="20"/>
                <w:szCs w:val="20"/>
              </w:rPr>
            </w:pPr>
            <w:r w:rsidRPr="002C21B8">
              <w:rPr>
                <w:sz w:val="20"/>
                <w:szCs w:val="20"/>
              </w:rPr>
              <w:t>96</w:t>
            </w:r>
          </w:p>
        </w:tc>
        <w:tc>
          <w:tcPr>
            <w:tcW w:w="8573" w:type="dxa"/>
            <w:shd w:val="clear" w:color="auto" w:fill="auto"/>
            <w:noWrap/>
            <w:vAlign w:val="center"/>
            <w:hideMark/>
          </w:tcPr>
          <w:p w14:paraId="6AC14A51" w14:textId="77777777" w:rsidR="00FA366A" w:rsidRPr="002C21B8" w:rsidRDefault="00FA366A" w:rsidP="00212D46">
            <w:pPr>
              <w:spacing w:after="0" w:line="240" w:lineRule="auto"/>
              <w:rPr>
                <w:sz w:val="20"/>
                <w:szCs w:val="20"/>
              </w:rPr>
            </w:pPr>
            <w:r w:rsidRPr="002C21B8">
              <w:rPr>
                <w:sz w:val="20"/>
                <w:szCs w:val="20"/>
              </w:rPr>
              <w:t>Sleep disorders</w:t>
            </w:r>
          </w:p>
        </w:tc>
      </w:tr>
      <w:tr w:rsidR="00FA366A" w:rsidRPr="002C21B8" w14:paraId="10194831" w14:textId="77777777" w:rsidTr="004A72C3">
        <w:trPr>
          <w:trHeight w:val="320"/>
        </w:trPr>
        <w:tc>
          <w:tcPr>
            <w:tcW w:w="636" w:type="dxa"/>
            <w:shd w:val="clear" w:color="auto" w:fill="auto"/>
            <w:noWrap/>
            <w:vAlign w:val="center"/>
            <w:hideMark/>
          </w:tcPr>
          <w:p w14:paraId="66CA2698" w14:textId="77777777" w:rsidR="00FA366A" w:rsidRPr="002C21B8" w:rsidRDefault="00FA366A" w:rsidP="00212D46">
            <w:pPr>
              <w:spacing w:after="0" w:line="240" w:lineRule="auto"/>
              <w:rPr>
                <w:sz w:val="20"/>
                <w:szCs w:val="20"/>
              </w:rPr>
            </w:pPr>
            <w:r w:rsidRPr="002C21B8">
              <w:rPr>
                <w:sz w:val="20"/>
                <w:szCs w:val="20"/>
              </w:rPr>
              <w:t>97</w:t>
            </w:r>
          </w:p>
        </w:tc>
        <w:tc>
          <w:tcPr>
            <w:tcW w:w="8573" w:type="dxa"/>
            <w:shd w:val="clear" w:color="auto" w:fill="auto"/>
            <w:noWrap/>
            <w:vAlign w:val="center"/>
            <w:hideMark/>
          </w:tcPr>
          <w:p w14:paraId="74377F3D" w14:textId="77777777" w:rsidR="00FA366A" w:rsidRPr="002C21B8" w:rsidRDefault="00FA366A" w:rsidP="00212D46">
            <w:pPr>
              <w:spacing w:after="0" w:line="240" w:lineRule="auto"/>
              <w:rPr>
                <w:sz w:val="20"/>
                <w:szCs w:val="20"/>
              </w:rPr>
            </w:pPr>
            <w:r w:rsidRPr="002C21B8">
              <w:rPr>
                <w:sz w:val="20"/>
                <w:szCs w:val="20"/>
              </w:rPr>
              <w:t>Speech deficits</w:t>
            </w:r>
          </w:p>
        </w:tc>
      </w:tr>
      <w:tr w:rsidR="00FA366A" w:rsidRPr="002C21B8" w14:paraId="385ABAA6" w14:textId="77777777" w:rsidTr="004A72C3">
        <w:trPr>
          <w:trHeight w:val="320"/>
        </w:trPr>
        <w:tc>
          <w:tcPr>
            <w:tcW w:w="636" w:type="dxa"/>
            <w:shd w:val="clear" w:color="auto" w:fill="auto"/>
            <w:noWrap/>
            <w:vAlign w:val="center"/>
            <w:hideMark/>
          </w:tcPr>
          <w:p w14:paraId="34F32B09" w14:textId="77777777" w:rsidR="00FA366A" w:rsidRPr="002C21B8" w:rsidRDefault="00FA366A" w:rsidP="00212D46">
            <w:pPr>
              <w:spacing w:after="0" w:line="240" w:lineRule="auto"/>
              <w:rPr>
                <w:sz w:val="20"/>
                <w:szCs w:val="20"/>
              </w:rPr>
            </w:pPr>
            <w:r w:rsidRPr="002C21B8">
              <w:rPr>
                <w:sz w:val="20"/>
                <w:szCs w:val="20"/>
              </w:rPr>
              <w:t>98</w:t>
            </w:r>
          </w:p>
        </w:tc>
        <w:tc>
          <w:tcPr>
            <w:tcW w:w="8573" w:type="dxa"/>
            <w:shd w:val="clear" w:color="auto" w:fill="auto"/>
            <w:noWrap/>
            <w:vAlign w:val="center"/>
            <w:hideMark/>
          </w:tcPr>
          <w:p w14:paraId="6FC6CAB0" w14:textId="77777777" w:rsidR="00FA366A" w:rsidRPr="002C21B8" w:rsidRDefault="00FA366A" w:rsidP="00212D46">
            <w:pPr>
              <w:spacing w:after="0" w:line="240" w:lineRule="auto"/>
              <w:rPr>
                <w:sz w:val="20"/>
                <w:szCs w:val="20"/>
              </w:rPr>
            </w:pPr>
            <w:r w:rsidRPr="002C21B8">
              <w:rPr>
                <w:sz w:val="20"/>
                <w:szCs w:val="20"/>
              </w:rPr>
              <w:t>Spina bifida</w:t>
            </w:r>
          </w:p>
        </w:tc>
      </w:tr>
      <w:tr w:rsidR="00FA366A" w:rsidRPr="002C21B8" w14:paraId="2FC23BEB" w14:textId="77777777" w:rsidTr="004A72C3">
        <w:trPr>
          <w:trHeight w:val="320"/>
        </w:trPr>
        <w:tc>
          <w:tcPr>
            <w:tcW w:w="636" w:type="dxa"/>
            <w:shd w:val="clear" w:color="auto" w:fill="auto"/>
            <w:noWrap/>
            <w:vAlign w:val="center"/>
            <w:hideMark/>
          </w:tcPr>
          <w:p w14:paraId="0BB73DC3" w14:textId="77777777" w:rsidR="00FA366A" w:rsidRPr="002C21B8" w:rsidRDefault="00FA366A" w:rsidP="00212D46">
            <w:pPr>
              <w:spacing w:after="0" w:line="240" w:lineRule="auto"/>
              <w:rPr>
                <w:sz w:val="20"/>
                <w:szCs w:val="20"/>
              </w:rPr>
            </w:pPr>
            <w:r w:rsidRPr="002C21B8">
              <w:rPr>
                <w:sz w:val="20"/>
                <w:szCs w:val="20"/>
              </w:rPr>
              <w:t>99</w:t>
            </w:r>
          </w:p>
        </w:tc>
        <w:tc>
          <w:tcPr>
            <w:tcW w:w="8573" w:type="dxa"/>
            <w:shd w:val="clear" w:color="auto" w:fill="auto"/>
            <w:noWrap/>
            <w:vAlign w:val="center"/>
            <w:hideMark/>
          </w:tcPr>
          <w:p w14:paraId="0FC911F2" w14:textId="77777777" w:rsidR="00FA366A" w:rsidRPr="002C21B8" w:rsidRDefault="00FA366A" w:rsidP="00212D46">
            <w:pPr>
              <w:spacing w:after="0" w:line="240" w:lineRule="auto"/>
              <w:rPr>
                <w:sz w:val="20"/>
                <w:szCs w:val="20"/>
              </w:rPr>
            </w:pPr>
            <w:r w:rsidRPr="002C21B8">
              <w:rPr>
                <w:sz w:val="20"/>
                <w:szCs w:val="20"/>
              </w:rPr>
              <w:t>Spinal injuries</w:t>
            </w:r>
          </w:p>
        </w:tc>
      </w:tr>
      <w:tr w:rsidR="00FA366A" w:rsidRPr="002C21B8" w14:paraId="2B6C7139" w14:textId="77777777" w:rsidTr="004A72C3">
        <w:trPr>
          <w:trHeight w:val="320"/>
        </w:trPr>
        <w:tc>
          <w:tcPr>
            <w:tcW w:w="636" w:type="dxa"/>
            <w:shd w:val="clear" w:color="auto" w:fill="auto"/>
            <w:noWrap/>
            <w:vAlign w:val="center"/>
            <w:hideMark/>
          </w:tcPr>
          <w:p w14:paraId="49817964" w14:textId="77777777" w:rsidR="00FA366A" w:rsidRPr="002C21B8" w:rsidRDefault="00FA366A" w:rsidP="00212D46">
            <w:pPr>
              <w:spacing w:after="0" w:line="240" w:lineRule="auto"/>
              <w:rPr>
                <w:sz w:val="20"/>
                <w:szCs w:val="20"/>
              </w:rPr>
            </w:pPr>
            <w:r w:rsidRPr="002C21B8">
              <w:rPr>
                <w:sz w:val="20"/>
                <w:szCs w:val="20"/>
              </w:rPr>
              <w:t>100</w:t>
            </w:r>
          </w:p>
        </w:tc>
        <w:tc>
          <w:tcPr>
            <w:tcW w:w="8573" w:type="dxa"/>
            <w:shd w:val="clear" w:color="auto" w:fill="auto"/>
            <w:noWrap/>
            <w:vAlign w:val="center"/>
            <w:hideMark/>
          </w:tcPr>
          <w:p w14:paraId="071AD510" w14:textId="77777777" w:rsidR="00FA366A" w:rsidRPr="002C21B8" w:rsidRDefault="00FA366A" w:rsidP="00212D46">
            <w:pPr>
              <w:spacing w:after="0" w:line="240" w:lineRule="auto"/>
              <w:rPr>
                <w:sz w:val="20"/>
                <w:szCs w:val="20"/>
              </w:rPr>
            </w:pPr>
            <w:r w:rsidRPr="002C21B8">
              <w:rPr>
                <w:sz w:val="20"/>
                <w:szCs w:val="20"/>
              </w:rPr>
              <w:t>Stroke/transient ischaemic attacks</w:t>
            </w:r>
          </w:p>
        </w:tc>
      </w:tr>
      <w:tr w:rsidR="00FA366A" w:rsidRPr="002C21B8" w14:paraId="22C18683" w14:textId="77777777" w:rsidTr="004A72C3">
        <w:trPr>
          <w:trHeight w:val="320"/>
        </w:trPr>
        <w:tc>
          <w:tcPr>
            <w:tcW w:w="636" w:type="dxa"/>
            <w:shd w:val="clear" w:color="auto" w:fill="auto"/>
            <w:noWrap/>
            <w:vAlign w:val="center"/>
            <w:hideMark/>
          </w:tcPr>
          <w:p w14:paraId="7A406A33" w14:textId="77777777" w:rsidR="00FA366A" w:rsidRPr="002C21B8" w:rsidRDefault="00FA366A" w:rsidP="00212D46">
            <w:pPr>
              <w:spacing w:after="0" w:line="240" w:lineRule="auto"/>
              <w:rPr>
                <w:sz w:val="20"/>
                <w:szCs w:val="20"/>
              </w:rPr>
            </w:pPr>
            <w:r w:rsidRPr="002C21B8">
              <w:rPr>
                <w:sz w:val="20"/>
                <w:szCs w:val="20"/>
              </w:rPr>
              <w:t>101</w:t>
            </w:r>
          </w:p>
        </w:tc>
        <w:tc>
          <w:tcPr>
            <w:tcW w:w="8573" w:type="dxa"/>
            <w:shd w:val="clear" w:color="auto" w:fill="auto"/>
            <w:noWrap/>
            <w:vAlign w:val="center"/>
            <w:hideMark/>
          </w:tcPr>
          <w:p w14:paraId="14372635" w14:textId="77777777" w:rsidR="00FA366A" w:rsidRPr="002C21B8" w:rsidRDefault="00FA366A" w:rsidP="00212D46">
            <w:pPr>
              <w:spacing w:after="0" w:line="240" w:lineRule="auto"/>
              <w:rPr>
                <w:sz w:val="20"/>
                <w:szCs w:val="20"/>
              </w:rPr>
            </w:pPr>
            <w:r w:rsidRPr="002C21B8">
              <w:rPr>
                <w:sz w:val="20"/>
                <w:szCs w:val="20"/>
              </w:rPr>
              <w:t>Tuberculosis</w:t>
            </w:r>
          </w:p>
        </w:tc>
      </w:tr>
      <w:tr w:rsidR="00FA366A" w:rsidRPr="002C21B8" w14:paraId="606A46DB" w14:textId="77777777" w:rsidTr="004A72C3">
        <w:trPr>
          <w:trHeight w:val="320"/>
        </w:trPr>
        <w:tc>
          <w:tcPr>
            <w:tcW w:w="636" w:type="dxa"/>
            <w:shd w:val="clear" w:color="auto" w:fill="auto"/>
            <w:noWrap/>
            <w:vAlign w:val="center"/>
            <w:hideMark/>
          </w:tcPr>
          <w:p w14:paraId="75521F76" w14:textId="77777777" w:rsidR="00FA366A" w:rsidRPr="002C21B8" w:rsidRDefault="00FA366A" w:rsidP="00212D46">
            <w:pPr>
              <w:spacing w:after="0" w:line="240" w:lineRule="auto"/>
              <w:rPr>
                <w:sz w:val="20"/>
                <w:szCs w:val="20"/>
              </w:rPr>
            </w:pPr>
            <w:r w:rsidRPr="002C21B8">
              <w:rPr>
                <w:sz w:val="20"/>
                <w:szCs w:val="20"/>
              </w:rPr>
              <w:t>102</w:t>
            </w:r>
          </w:p>
        </w:tc>
        <w:tc>
          <w:tcPr>
            <w:tcW w:w="8573" w:type="dxa"/>
            <w:shd w:val="clear" w:color="auto" w:fill="auto"/>
            <w:noWrap/>
            <w:vAlign w:val="center"/>
            <w:hideMark/>
          </w:tcPr>
          <w:p w14:paraId="6A8DE3D5" w14:textId="77777777" w:rsidR="00FA366A" w:rsidRPr="002C21B8" w:rsidRDefault="00FA366A" w:rsidP="00212D46">
            <w:pPr>
              <w:spacing w:after="0" w:line="240" w:lineRule="auto"/>
              <w:rPr>
                <w:sz w:val="20"/>
                <w:szCs w:val="20"/>
              </w:rPr>
            </w:pPr>
            <w:r w:rsidRPr="002C21B8">
              <w:rPr>
                <w:sz w:val="20"/>
                <w:szCs w:val="20"/>
              </w:rPr>
              <w:t>Urinary Incontinence</w:t>
            </w:r>
          </w:p>
        </w:tc>
      </w:tr>
      <w:tr w:rsidR="00FA366A" w:rsidRPr="002C21B8" w14:paraId="4DC8A57C" w14:textId="77777777" w:rsidTr="004A72C3">
        <w:trPr>
          <w:trHeight w:val="320"/>
        </w:trPr>
        <w:tc>
          <w:tcPr>
            <w:tcW w:w="636" w:type="dxa"/>
            <w:shd w:val="clear" w:color="auto" w:fill="auto"/>
            <w:noWrap/>
            <w:vAlign w:val="center"/>
            <w:hideMark/>
          </w:tcPr>
          <w:p w14:paraId="682D2FA6" w14:textId="77777777" w:rsidR="00FA366A" w:rsidRPr="002C21B8" w:rsidRDefault="00FA366A" w:rsidP="00212D46">
            <w:pPr>
              <w:spacing w:after="0" w:line="240" w:lineRule="auto"/>
              <w:rPr>
                <w:sz w:val="20"/>
                <w:szCs w:val="20"/>
              </w:rPr>
            </w:pPr>
            <w:r w:rsidRPr="002C21B8">
              <w:rPr>
                <w:sz w:val="20"/>
                <w:szCs w:val="20"/>
              </w:rPr>
              <w:t>103</w:t>
            </w:r>
          </w:p>
        </w:tc>
        <w:tc>
          <w:tcPr>
            <w:tcW w:w="8573" w:type="dxa"/>
            <w:shd w:val="clear" w:color="auto" w:fill="auto"/>
            <w:noWrap/>
            <w:vAlign w:val="center"/>
            <w:hideMark/>
          </w:tcPr>
          <w:p w14:paraId="2889E952" w14:textId="77777777" w:rsidR="00FA366A" w:rsidRPr="002C21B8" w:rsidRDefault="00FA366A" w:rsidP="00212D46">
            <w:pPr>
              <w:spacing w:after="0" w:line="240" w:lineRule="auto"/>
              <w:rPr>
                <w:sz w:val="20"/>
                <w:szCs w:val="20"/>
              </w:rPr>
            </w:pPr>
            <w:r w:rsidRPr="002C21B8">
              <w:rPr>
                <w:sz w:val="20"/>
                <w:szCs w:val="20"/>
              </w:rPr>
              <w:t>Urticarial</w:t>
            </w:r>
          </w:p>
        </w:tc>
      </w:tr>
    </w:tbl>
    <w:p w14:paraId="258176D1" w14:textId="1DA41664" w:rsidR="009D12AE" w:rsidRPr="002C21B8" w:rsidRDefault="009D12AE" w:rsidP="003374F4"/>
    <w:p w14:paraId="3AFBCF4C" w14:textId="77777777" w:rsidR="009D12AE" w:rsidRPr="002C21B8" w:rsidRDefault="009D12AE">
      <w:pPr>
        <w:spacing w:after="0" w:line="240" w:lineRule="auto"/>
        <w:jc w:val="left"/>
      </w:pPr>
      <w:r w:rsidRPr="002C21B8">
        <w:br w:type="page"/>
      </w:r>
    </w:p>
    <w:p w14:paraId="64300F4F" w14:textId="148C96D7" w:rsidR="00F10F1D" w:rsidRPr="002C21B8" w:rsidRDefault="00F10F1D" w:rsidP="004507C8">
      <w:pPr>
        <w:pStyle w:val="Heading3"/>
        <w:numPr>
          <w:ilvl w:val="0"/>
          <w:numId w:val="0"/>
        </w:numPr>
      </w:pPr>
      <w:bookmarkStart w:id="438" w:name="_Search_strategies"/>
      <w:bookmarkEnd w:id="438"/>
      <w:r w:rsidRPr="002C21B8">
        <w:t>Search strategies</w:t>
      </w:r>
    </w:p>
    <w:p w14:paraId="72B7F18F" w14:textId="2AA010EE"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MEDLINE (Ovid) search strategy</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1"/>
        <w:gridCol w:w="8504"/>
      </w:tblGrid>
      <w:tr w:rsidR="00FA366A" w:rsidRPr="002C21B8" w14:paraId="6EAC3ACE" w14:textId="77777777" w:rsidTr="00960A9F">
        <w:trPr>
          <w:trHeight w:val="320"/>
        </w:trPr>
        <w:tc>
          <w:tcPr>
            <w:tcW w:w="701" w:type="dxa"/>
            <w:shd w:val="clear" w:color="auto" w:fill="auto"/>
            <w:vAlign w:val="center"/>
          </w:tcPr>
          <w:p w14:paraId="15BAFFA6" w14:textId="77777777" w:rsidR="00FA366A" w:rsidRPr="002C21B8" w:rsidRDefault="00FA366A" w:rsidP="00212D46">
            <w:pPr>
              <w:spacing w:after="0" w:line="240" w:lineRule="auto"/>
              <w:rPr>
                <w:sz w:val="20"/>
                <w:szCs w:val="20"/>
              </w:rPr>
            </w:pPr>
            <w:r w:rsidRPr="002C21B8">
              <w:rPr>
                <w:sz w:val="20"/>
                <w:szCs w:val="20"/>
              </w:rPr>
              <w:t>#</w:t>
            </w:r>
          </w:p>
        </w:tc>
        <w:tc>
          <w:tcPr>
            <w:tcW w:w="8504" w:type="dxa"/>
            <w:shd w:val="clear" w:color="auto" w:fill="auto"/>
            <w:vAlign w:val="bottom"/>
          </w:tcPr>
          <w:p w14:paraId="41EE5128" w14:textId="77777777" w:rsidR="00FA366A" w:rsidRPr="002C21B8" w:rsidRDefault="00FA366A" w:rsidP="00212D46">
            <w:pPr>
              <w:spacing w:after="0" w:line="240" w:lineRule="auto"/>
              <w:rPr>
                <w:sz w:val="20"/>
                <w:szCs w:val="20"/>
              </w:rPr>
            </w:pPr>
            <w:r w:rsidRPr="002C21B8">
              <w:rPr>
                <w:sz w:val="20"/>
                <w:szCs w:val="20"/>
              </w:rPr>
              <w:t>MEDLINE (Ovid) Search Lines (searched 07/11/2023)</w:t>
            </w:r>
          </w:p>
        </w:tc>
      </w:tr>
      <w:tr w:rsidR="00FA366A" w:rsidRPr="002C21B8" w14:paraId="660481BC" w14:textId="77777777" w:rsidTr="00960A9F">
        <w:trPr>
          <w:trHeight w:val="320"/>
        </w:trPr>
        <w:tc>
          <w:tcPr>
            <w:tcW w:w="701" w:type="dxa"/>
            <w:shd w:val="clear" w:color="auto" w:fill="auto"/>
            <w:vAlign w:val="center"/>
          </w:tcPr>
          <w:p w14:paraId="6058D16B" w14:textId="77777777" w:rsidR="00FA366A" w:rsidRPr="002C21B8" w:rsidRDefault="00FA366A" w:rsidP="00212D46">
            <w:pPr>
              <w:spacing w:after="0" w:line="240" w:lineRule="auto"/>
              <w:rPr>
                <w:sz w:val="20"/>
                <w:szCs w:val="20"/>
              </w:rPr>
            </w:pPr>
            <w:r w:rsidRPr="002C21B8">
              <w:rPr>
                <w:sz w:val="20"/>
                <w:szCs w:val="20"/>
              </w:rPr>
              <w:t>1</w:t>
            </w:r>
          </w:p>
        </w:tc>
        <w:tc>
          <w:tcPr>
            <w:tcW w:w="8504" w:type="dxa"/>
            <w:shd w:val="clear" w:color="auto" w:fill="auto"/>
            <w:vAlign w:val="bottom"/>
          </w:tcPr>
          <w:p w14:paraId="4A66D4F4" w14:textId="77777777" w:rsidR="00FA366A" w:rsidRPr="002C21B8" w:rsidRDefault="00FA366A" w:rsidP="00212D46">
            <w:pPr>
              <w:spacing w:after="0" w:line="240" w:lineRule="auto"/>
              <w:rPr>
                <w:sz w:val="20"/>
                <w:szCs w:val="20"/>
              </w:rPr>
            </w:pPr>
            <w:r w:rsidRPr="002C21B8">
              <w:rPr>
                <w:sz w:val="20"/>
                <w:szCs w:val="20"/>
              </w:rPr>
              <w:t>exp rhinitis/</w:t>
            </w:r>
          </w:p>
        </w:tc>
      </w:tr>
      <w:tr w:rsidR="00FA366A" w:rsidRPr="002C21B8" w14:paraId="6D91001C" w14:textId="77777777" w:rsidTr="00960A9F">
        <w:trPr>
          <w:trHeight w:val="320"/>
        </w:trPr>
        <w:tc>
          <w:tcPr>
            <w:tcW w:w="701" w:type="dxa"/>
            <w:shd w:val="clear" w:color="auto" w:fill="auto"/>
            <w:vAlign w:val="center"/>
          </w:tcPr>
          <w:p w14:paraId="55F1F51E" w14:textId="77777777" w:rsidR="00FA366A" w:rsidRPr="002C21B8" w:rsidRDefault="00FA366A" w:rsidP="00212D46">
            <w:pPr>
              <w:spacing w:after="0" w:line="240" w:lineRule="auto"/>
              <w:rPr>
                <w:sz w:val="20"/>
                <w:szCs w:val="20"/>
              </w:rPr>
            </w:pPr>
            <w:r w:rsidRPr="002C21B8">
              <w:rPr>
                <w:sz w:val="20"/>
                <w:szCs w:val="20"/>
              </w:rPr>
              <w:t>2</w:t>
            </w:r>
          </w:p>
        </w:tc>
        <w:tc>
          <w:tcPr>
            <w:tcW w:w="8504" w:type="dxa"/>
            <w:shd w:val="clear" w:color="auto" w:fill="auto"/>
            <w:vAlign w:val="bottom"/>
          </w:tcPr>
          <w:p w14:paraId="3E556859" w14:textId="77777777" w:rsidR="00FA366A" w:rsidRPr="002C21B8" w:rsidRDefault="00FA366A" w:rsidP="00212D46">
            <w:pPr>
              <w:spacing w:after="0" w:line="240" w:lineRule="auto"/>
              <w:rPr>
                <w:sz w:val="20"/>
                <w:szCs w:val="20"/>
              </w:rPr>
            </w:pPr>
            <w:r w:rsidRPr="002C21B8">
              <w:rPr>
                <w:sz w:val="20"/>
                <w:szCs w:val="20"/>
              </w:rPr>
              <w:t>((vasomotor or allerg* or non-allerg* or nonallerg* or non allerg*) and rhinitis).ti,ab.</w:t>
            </w:r>
          </w:p>
        </w:tc>
      </w:tr>
      <w:tr w:rsidR="00FA366A" w:rsidRPr="002C21B8" w14:paraId="35C1AA07" w14:textId="77777777" w:rsidTr="00960A9F">
        <w:trPr>
          <w:trHeight w:val="320"/>
        </w:trPr>
        <w:tc>
          <w:tcPr>
            <w:tcW w:w="701" w:type="dxa"/>
            <w:shd w:val="clear" w:color="auto" w:fill="auto"/>
            <w:vAlign w:val="center"/>
          </w:tcPr>
          <w:p w14:paraId="6EBE33F2" w14:textId="77777777" w:rsidR="00FA366A" w:rsidRPr="002C21B8" w:rsidRDefault="00FA366A" w:rsidP="00212D46">
            <w:pPr>
              <w:spacing w:after="0" w:line="240" w:lineRule="auto"/>
              <w:rPr>
                <w:sz w:val="20"/>
                <w:szCs w:val="20"/>
              </w:rPr>
            </w:pPr>
            <w:r w:rsidRPr="002C21B8">
              <w:rPr>
                <w:sz w:val="20"/>
                <w:szCs w:val="20"/>
              </w:rPr>
              <w:t>3</w:t>
            </w:r>
          </w:p>
        </w:tc>
        <w:tc>
          <w:tcPr>
            <w:tcW w:w="8504" w:type="dxa"/>
            <w:shd w:val="clear" w:color="auto" w:fill="auto"/>
            <w:vAlign w:val="bottom"/>
          </w:tcPr>
          <w:p w14:paraId="11DBBBD6" w14:textId="77777777" w:rsidR="00FA366A" w:rsidRPr="002C21B8" w:rsidRDefault="00FA366A" w:rsidP="00212D46">
            <w:pPr>
              <w:spacing w:after="0" w:line="240" w:lineRule="auto"/>
              <w:rPr>
                <w:sz w:val="20"/>
                <w:szCs w:val="20"/>
              </w:rPr>
            </w:pPr>
            <w:r w:rsidRPr="002C21B8">
              <w:rPr>
                <w:sz w:val="20"/>
                <w:szCs w:val="20"/>
              </w:rPr>
              <w:t>exp amnesia/</w:t>
            </w:r>
          </w:p>
        </w:tc>
      </w:tr>
      <w:tr w:rsidR="00FA366A" w:rsidRPr="002C21B8" w14:paraId="215EE51F" w14:textId="77777777" w:rsidTr="00960A9F">
        <w:trPr>
          <w:trHeight w:val="320"/>
        </w:trPr>
        <w:tc>
          <w:tcPr>
            <w:tcW w:w="701" w:type="dxa"/>
            <w:shd w:val="clear" w:color="auto" w:fill="auto"/>
            <w:vAlign w:val="center"/>
          </w:tcPr>
          <w:p w14:paraId="61A4AB9A" w14:textId="77777777" w:rsidR="00FA366A" w:rsidRPr="002C21B8" w:rsidRDefault="00FA366A" w:rsidP="00212D46">
            <w:pPr>
              <w:spacing w:after="0" w:line="240" w:lineRule="auto"/>
              <w:rPr>
                <w:sz w:val="20"/>
                <w:szCs w:val="20"/>
              </w:rPr>
            </w:pPr>
            <w:r w:rsidRPr="002C21B8">
              <w:rPr>
                <w:sz w:val="20"/>
                <w:szCs w:val="20"/>
              </w:rPr>
              <w:t>4</w:t>
            </w:r>
          </w:p>
        </w:tc>
        <w:tc>
          <w:tcPr>
            <w:tcW w:w="8504" w:type="dxa"/>
            <w:shd w:val="clear" w:color="auto" w:fill="auto"/>
            <w:vAlign w:val="bottom"/>
          </w:tcPr>
          <w:p w14:paraId="055823B7" w14:textId="77777777" w:rsidR="00FA366A" w:rsidRPr="002C21B8" w:rsidRDefault="00FA366A" w:rsidP="00212D46">
            <w:pPr>
              <w:spacing w:after="0" w:line="240" w:lineRule="auto"/>
              <w:rPr>
                <w:sz w:val="20"/>
                <w:szCs w:val="20"/>
              </w:rPr>
            </w:pPr>
            <w:r w:rsidRPr="002C21B8">
              <w:rPr>
                <w:sz w:val="20"/>
                <w:szCs w:val="20"/>
              </w:rPr>
              <w:t>(amnesi* or memory loss).ti,ab.</w:t>
            </w:r>
          </w:p>
        </w:tc>
      </w:tr>
      <w:tr w:rsidR="00FA366A" w:rsidRPr="002C21B8" w14:paraId="2C3D0CB6" w14:textId="77777777" w:rsidTr="00960A9F">
        <w:trPr>
          <w:trHeight w:val="320"/>
        </w:trPr>
        <w:tc>
          <w:tcPr>
            <w:tcW w:w="701" w:type="dxa"/>
            <w:shd w:val="clear" w:color="auto" w:fill="auto"/>
            <w:vAlign w:val="center"/>
          </w:tcPr>
          <w:p w14:paraId="50888E3C" w14:textId="77777777" w:rsidR="00FA366A" w:rsidRPr="002C21B8" w:rsidRDefault="00FA366A" w:rsidP="00212D46">
            <w:pPr>
              <w:spacing w:after="0" w:line="240" w:lineRule="auto"/>
              <w:rPr>
                <w:sz w:val="20"/>
                <w:szCs w:val="20"/>
              </w:rPr>
            </w:pPr>
            <w:r w:rsidRPr="002C21B8">
              <w:rPr>
                <w:sz w:val="20"/>
                <w:szCs w:val="20"/>
              </w:rPr>
              <w:t>5</w:t>
            </w:r>
          </w:p>
        </w:tc>
        <w:tc>
          <w:tcPr>
            <w:tcW w:w="8504" w:type="dxa"/>
            <w:shd w:val="clear" w:color="auto" w:fill="auto"/>
            <w:vAlign w:val="bottom"/>
          </w:tcPr>
          <w:p w14:paraId="21C56193" w14:textId="77777777" w:rsidR="00FA366A" w:rsidRPr="002C21B8" w:rsidRDefault="00FA366A" w:rsidP="00212D46">
            <w:pPr>
              <w:spacing w:after="0" w:line="240" w:lineRule="auto"/>
              <w:rPr>
                <w:sz w:val="20"/>
                <w:szCs w:val="20"/>
              </w:rPr>
            </w:pPr>
            <w:r w:rsidRPr="002C21B8">
              <w:rPr>
                <w:sz w:val="20"/>
                <w:szCs w:val="20"/>
              </w:rPr>
              <w:t>amputation, surgical/</w:t>
            </w:r>
          </w:p>
        </w:tc>
      </w:tr>
      <w:tr w:rsidR="00FA366A" w:rsidRPr="002C21B8" w14:paraId="4457F35D" w14:textId="77777777" w:rsidTr="00960A9F">
        <w:trPr>
          <w:trHeight w:val="320"/>
        </w:trPr>
        <w:tc>
          <w:tcPr>
            <w:tcW w:w="701" w:type="dxa"/>
            <w:shd w:val="clear" w:color="auto" w:fill="auto"/>
            <w:vAlign w:val="center"/>
          </w:tcPr>
          <w:p w14:paraId="3D1D6075" w14:textId="77777777" w:rsidR="00FA366A" w:rsidRPr="002C21B8" w:rsidRDefault="00FA366A" w:rsidP="00212D46">
            <w:pPr>
              <w:spacing w:after="0" w:line="240" w:lineRule="auto"/>
              <w:rPr>
                <w:sz w:val="20"/>
                <w:szCs w:val="20"/>
              </w:rPr>
            </w:pPr>
            <w:r w:rsidRPr="002C21B8">
              <w:rPr>
                <w:sz w:val="20"/>
                <w:szCs w:val="20"/>
              </w:rPr>
              <w:t>6</w:t>
            </w:r>
          </w:p>
        </w:tc>
        <w:tc>
          <w:tcPr>
            <w:tcW w:w="8504" w:type="dxa"/>
            <w:shd w:val="clear" w:color="auto" w:fill="auto"/>
            <w:vAlign w:val="bottom"/>
          </w:tcPr>
          <w:p w14:paraId="2B0A4724" w14:textId="77777777" w:rsidR="00FA366A" w:rsidRPr="002C21B8" w:rsidRDefault="00FA366A" w:rsidP="00212D46">
            <w:pPr>
              <w:spacing w:after="0" w:line="240" w:lineRule="auto"/>
              <w:rPr>
                <w:sz w:val="20"/>
                <w:szCs w:val="20"/>
              </w:rPr>
            </w:pPr>
            <w:r w:rsidRPr="002C21B8">
              <w:rPr>
                <w:sz w:val="20"/>
                <w:szCs w:val="20"/>
              </w:rPr>
              <w:t>amputation, traumatic/</w:t>
            </w:r>
          </w:p>
        </w:tc>
      </w:tr>
      <w:tr w:rsidR="00FA366A" w:rsidRPr="002C21B8" w14:paraId="439BB828" w14:textId="77777777" w:rsidTr="00960A9F">
        <w:trPr>
          <w:trHeight w:val="320"/>
        </w:trPr>
        <w:tc>
          <w:tcPr>
            <w:tcW w:w="701" w:type="dxa"/>
            <w:shd w:val="clear" w:color="auto" w:fill="auto"/>
            <w:vAlign w:val="center"/>
          </w:tcPr>
          <w:p w14:paraId="7D2014F7" w14:textId="77777777" w:rsidR="00FA366A" w:rsidRPr="002C21B8" w:rsidRDefault="00FA366A" w:rsidP="00212D46">
            <w:pPr>
              <w:spacing w:after="0" w:line="240" w:lineRule="auto"/>
              <w:rPr>
                <w:sz w:val="20"/>
                <w:szCs w:val="20"/>
              </w:rPr>
            </w:pPr>
            <w:r w:rsidRPr="002C21B8">
              <w:rPr>
                <w:sz w:val="20"/>
                <w:szCs w:val="20"/>
              </w:rPr>
              <w:t>7</w:t>
            </w:r>
          </w:p>
        </w:tc>
        <w:tc>
          <w:tcPr>
            <w:tcW w:w="8504" w:type="dxa"/>
            <w:shd w:val="clear" w:color="auto" w:fill="auto"/>
            <w:vAlign w:val="bottom"/>
          </w:tcPr>
          <w:p w14:paraId="52D1544C" w14:textId="77777777" w:rsidR="00FA366A" w:rsidRPr="002C21B8" w:rsidRDefault="00FA366A" w:rsidP="00212D46">
            <w:pPr>
              <w:spacing w:after="0" w:line="240" w:lineRule="auto"/>
              <w:rPr>
                <w:sz w:val="20"/>
                <w:szCs w:val="20"/>
              </w:rPr>
            </w:pPr>
            <w:r w:rsidRPr="002C21B8">
              <w:rPr>
                <w:sz w:val="20"/>
                <w:szCs w:val="20"/>
              </w:rPr>
              <w:t>(amputation or amputee*).ti,ab.</w:t>
            </w:r>
          </w:p>
        </w:tc>
      </w:tr>
      <w:tr w:rsidR="00FA366A" w:rsidRPr="002C21B8" w14:paraId="142C01B5" w14:textId="77777777" w:rsidTr="00960A9F">
        <w:trPr>
          <w:trHeight w:val="320"/>
        </w:trPr>
        <w:tc>
          <w:tcPr>
            <w:tcW w:w="701" w:type="dxa"/>
            <w:shd w:val="clear" w:color="auto" w:fill="auto"/>
            <w:vAlign w:val="center"/>
          </w:tcPr>
          <w:p w14:paraId="47F4BA7C" w14:textId="77777777" w:rsidR="00FA366A" w:rsidRPr="002C21B8" w:rsidRDefault="00FA366A" w:rsidP="00212D46">
            <w:pPr>
              <w:spacing w:after="0" w:line="240" w:lineRule="auto"/>
              <w:rPr>
                <w:sz w:val="20"/>
                <w:szCs w:val="20"/>
              </w:rPr>
            </w:pPr>
            <w:r w:rsidRPr="002C21B8">
              <w:rPr>
                <w:sz w:val="20"/>
                <w:szCs w:val="20"/>
              </w:rPr>
              <w:t>8</w:t>
            </w:r>
          </w:p>
        </w:tc>
        <w:tc>
          <w:tcPr>
            <w:tcW w:w="8504" w:type="dxa"/>
            <w:shd w:val="clear" w:color="auto" w:fill="auto"/>
            <w:vAlign w:val="bottom"/>
          </w:tcPr>
          <w:p w14:paraId="12A30CBA" w14:textId="77777777" w:rsidR="00FA366A" w:rsidRPr="002C21B8" w:rsidRDefault="00FA366A" w:rsidP="00212D46">
            <w:pPr>
              <w:spacing w:after="0" w:line="240" w:lineRule="auto"/>
              <w:rPr>
                <w:sz w:val="20"/>
                <w:szCs w:val="20"/>
              </w:rPr>
            </w:pPr>
            <w:r w:rsidRPr="002C21B8">
              <w:rPr>
                <w:sz w:val="20"/>
                <w:szCs w:val="20"/>
              </w:rPr>
              <w:t>exp anemia/</w:t>
            </w:r>
          </w:p>
        </w:tc>
      </w:tr>
      <w:tr w:rsidR="00FA366A" w:rsidRPr="002C21B8" w14:paraId="59E84952" w14:textId="77777777" w:rsidTr="00960A9F">
        <w:trPr>
          <w:trHeight w:val="320"/>
        </w:trPr>
        <w:tc>
          <w:tcPr>
            <w:tcW w:w="701" w:type="dxa"/>
            <w:shd w:val="clear" w:color="auto" w:fill="auto"/>
            <w:vAlign w:val="center"/>
          </w:tcPr>
          <w:p w14:paraId="774A30D3" w14:textId="77777777" w:rsidR="00FA366A" w:rsidRPr="002C21B8" w:rsidRDefault="00FA366A" w:rsidP="00212D46">
            <w:pPr>
              <w:spacing w:after="0" w:line="240" w:lineRule="auto"/>
              <w:rPr>
                <w:sz w:val="20"/>
                <w:szCs w:val="20"/>
              </w:rPr>
            </w:pPr>
            <w:r w:rsidRPr="002C21B8">
              <w:rPr>
                <w:sz w:val="20"/>
                <w:szCs w:val="20"/>
              </w:rPr>
              <w:t>9</w:t>
            </w:r>
          </w:p>
        </w:tc>
        <w:tc>
          <w:tcPr>
            <w:tcW w:w="8504" w:type="dxa"/>
            <w:shd w:val="clear" w:color="auto" w:fill="auto"/>
            <w:vAlign w:val="bottom"/>
          </w:tcPr>
          <w:p w14:paraId="74401811" w14:textId="77777777" w:rsidR="00FA366A" w:rsidRPr="002C21B8" w:rsidRDefault="00FA366A" w:rsidP="00212D46">
            <w:pPr>
              <w:spacing w:after="0" w:line="240" w:lineRule="auto"/>
              <w:rPr>
                <w:sz w:val="20"/>
                <w:szCs w:val="20"/>
              </w:rPr>
            </w:pPr>
            <w:r w:rsidRPr="002C21B8">
              <w:rPr>
                <w:sz w:val="20"/>
                <w:szCs w:val="20"/>
              </w:rPr>
              <w:t>an?emia.ti,ab.</w:t>
            </w:r>
          </w:p>
        </w:tc>
      </w:tr>
      <w:tr w:rsidR="00FA366A" w:rsidRPr="002C21B8" w14:paraId="3D0870C5" w14:textId="77777777" w:rsidTr="00960A9F">
        <w:trPr>
          <w:trHeight w:val="320"/>
        </w:trPr>
        <w:tc>
          <w:tcPr>
            <w:tcW w:w="701" w:type="dxa"/>
            <w:shd w:val="clear" w:color="auto" w:fill="auto"/>
            <w:vAlign w:val="center"/>
          </w:tcPr>
          <w:p w14:paraId="3F51C673" w14:textId="77777777" w:rsidR="00FA366A" w:rsidRPr="002C21B8" w:rsidRDefault="00FA366A" w:rsidP="00212D46">
            <w:pPr>
              <w:spacing w:after="0" w:line="240" w:lineRule="auto"/>
              <w:rPr>
                <w:sz w:val="20"/>
                <w:szCs w:val="20"/>
              </w:rPr>
            </w:pPr>
            <w:r w:rsidRPr="002C21B8">
              <w:rPr>
                <w:sz w:val="20"/>
                <w:szCs w:val="20"/>
              </w:rPr>
              <w:t>10</w:t>
            </w:r>
          </w:p>
        </w:tc>
        <w:tc>
          <w:tcPr>
            <w:tcW w:w="8504" w:type="dxa"/>
            <w:shd w:val="clear" w:color="auto" w:fill="auto"/>
            <w:vAlign w:val="bottom"/>
          </w:tcPr>
          <w:p w14:paraId="3F3706B0" w14:textId="77777777" w:rsidR="00FA366A" w:rsidRPr="002C21B8" w:rsidRDefault="00FA366A" w:rsidP="00212D46">
            <w:pPr>
              <w:spacing w:after="0" w:line="240" w:lineRule="auto"/>
              <w:rPr>
                <w:sz w:val="20"/>
                <w:szCs w:val="20"/>
              </w:rPr>
            </w:pPr>
            <w:r w:rsidRPr="002C21B8">
              <w:rPr>
                <w:sz w:val="20"/>
                <w:szCs w:val="20"/>
              </w:rPr>
              <w:t>exp cardiovascular disease/</w:t>
            </w:r>
          </w:p>
        </w:tc>
      </w:tr>
      <w:tr w:rsidR="00FA366A" w:rsidRPr="002C21B8" w14:paraId="013552D3" w14:textId="77777777" w:rsidTr="00960A9F">
        <w:trPr>
          <w:trHeight w:val="320"/>
        </w:trPr>
        <w:tc>
          <w:tcPr>
            <w:tcW w:w="701" w:type="dxa"/>
            <w:shd w:val="clear" w:color="auto" w:fill="auto"/>
            <w:vAlign w:val="center"/>
          </w:tcPr>
          <w:p w14:paraId="07DAFF73" w14:textId="77777777" w:rsidR="00FA366A" w:rsidRPr="002C21B8" w:rsidRDefault="00FA366A" w:rsidP="00212D46">
            <w:pPr>
              <w:spacing w:after="0" w:line="240" w:lineRule="auto"/>
              <w:rPr>
                <w:sz w:val="20"/>
                <w:szCs w:val="20"/>
              </w:rPr>
            </w:pPr>
            <w:r w:rsidRPr="002C21B8">
              <w:rPr>
                <w:sz w:val="20"/>
                <w:szCs w:val="20"/>
              </w:rPr>
              <w:t>11</w:t>
            </w:r>
          </w:p>
        </w:tc>
        <w:tc>
          <w:tcPr>
            <w:tcW w:w="8504" w:type="dxa"/>
            <w:shd w:val="clear" w:color="auto" w:fill="auto"/>
            <w:vAlign w:val="bottom"/>
          </w:tcPr>
          <w:p w14:paraId="778695FF" w14:textId="77777777" w:rsidR="00FA366A" w:rsidRPr="002C21B8" w:rsidRDefault="00FA366A" w:rsidP="00212D46">
            <w:pPr>
              <w:spacing w:after="0" w:line="240" w:lineRule="auto"/>
              <w:rPr>
                <w:sz w:val="20"/>
                <w:szCs w:val="20"/>
                <w:lang w:val="it-IT"/>
              </w:rPr>
            </w:pPr>
            <w:r w:rsidRPr="002C21B8">
              <w:rPr>
                <w:sz w:val="20"/>
                <w:szCs w:val="20"/>
                <w:lang w:val="it-IT"/>
              </w:rPr>
              <w:t>(angina or myocardial isch?mi*).ti,ab.</w:t>
            </w:r>
          </w:p>
        </w:tc>
      </w:tr>
      <w:tr w:rsidR="00FA366A" w:rsidRPr="002C21B8" w14:paraId="2613F8C1" w14:textId="77777777" w:rsidTr="00960A9F">
        <w:trPr>
          <w:trHeight w:val="320"/>
        </w:trPr>
        <w:tc>
          <w:tcPr>
            <w:tcW w:w="701" w:type="dxa"/>
            <w:shd w:val="clear" w:color="auto" w:fill="auto"/>
            <w:vAlign w:val="center"/>
          </w:tcPr>
          <w:p w14:paraId="75B70D70" w14:textId="77777777" w:rsidR="00FA366A" w:rsidRPr="002C21B8" w:rsidRDefault="00FA366A" w:rsidP="00212D46">
            <w:pPr>
              <w:spacing w:after="0" w:line="240" w:lineRule="auto"/>
              <w:rPr>
                <w:sz w:val="20"/>
                <w:szCs w:val="20"/>
              </w:rPr>
            </w:pPr>
            <w:r w:rsidRPr="002C21B8">
              <w:rPr>
                <w:sz w:val="20"/>
                <w:szCs w:val="20"/>
              </w:rPr>
              <w:t>12</w:t>
            </w:r>
          </w:p>
        </w:tc>
        <w:tc>
          <w:tcPr>
            <w:tcW w:w="8504" w:type="dxa"/>
            <w:shd w:val="clear" w:color="auto" w:fill="auto"/>
            <w:vAlign w:val="bottom"/>
          </w:tcPr>
          <w:p w14:paraId="0A8B8903" w14:textId="77777777" w:rsidR="00FA366A" w:rsidRPr="002C21B8" w:rsidRDefault="00FA366A" w:rsidP="00212D46">
            <w:pPr>
              <w:spacing w:after="0" w:line="240" w:lineRule="auto"/>
              <w:rPr>
                <w:sz w:val="20"/>
                <w:szCs w:val="20"/>
              </w:rPr>
            </w:pPr>
            <w:r w:rsidRPr="002C21B8">
              <w:rPr>
                <w:sz w:val="20"/>
                <w:szCs w:val="20"/>
              </w:rPr>
              <w:t>exp angioedema/</w:t>
            </w:r>
          </w:p>
        </w:tc>
      </w:tr>
      <w:tr w:rsidR="00FA366A" w:rsidRPr="002C21B8" w14:paraId="5D94411E" w14:textId="77777777" w:rsidTr="00960A9F">
        <w:trPr>
          <w:trHeight w:val="320"/>
        </w:trPr>
        <w:tc>
          <w:tcPr>
            <w:tcW w:w="701" w:type="dxa"/>
            <w:shd w:val="clear" w:color="auto" w:fill="auto"/>
            <w:vAlign w:val="center"/>
          </w:tcPr>
          <w:p w14:paraId="673AD496" w14:textId="77777777" w:rsidR="00FA366A" w:rsidRPr="002C21B8" w:rsidRDefault="00FA366A" w:rsidP="00212D46">
            <w:pPr>
              <w:spacing w:after="0" w:line="240" w:lineRule="auto"/>
              <w:rPr>
                <w:sz w:val="20"/>
                <w:szCs w:val="20"/>
              </w:rPr>
            </w:pPr>
            <w:r w:rsidRPr="002C21B8">
              <w:rPr>
                <w:sz w:val="20"/>
                <w:szCs w:val="20"/>
              </w:rPr>
              <w:t>13</w:t>
            </w:r>
          </w:p>
        </w:tc>
        <w:tc>
          <w:tcPr>
            <w:tcW w:w="8504" w:type="dxa"/>
            <w:shd w:val="clear" w:color="auto" w:fill="auto"/>
            <w:vAlign w:val="bottom"/>
          </w:tcPr>
          <w:p w14:paraId="56FA5B7A" w14:textId="77777777" w:rsidR="00FA366A" w:rsidRPr="002C21B8" w:rsidRDefault="00FA366A" w:rsidP="00212D46">
            <w:pPr>
              <w:spacing w:after="0" w:line="240" w:lineRule="auto"/>
              <w:rPr>
                <w:sz w:val="20"/>
                <w:szCs w:val="20"/>
              </w:rPr>
            </w:pPr>
            <w:r w:rsidRPr="002C21B8">
              <w:rPr>
                <w:sz w:val="20"/>
                <w:szCs w:val="20"/>
              </w:rPr>
              <w:t>(angioedema or (hereditary adj (angioedema* or angioneurotic edema*))).ti,ab.</w:t>
            </w:r>
          </w:p>
        </w:tc>
      </w:tr>
      <w:tr w:rsidR="00FA366A" w:rsidRPr="002C21B8" w14:paraId="1FC3F498" w14:textId="77777777" w:rsidTr="00960A9F">
        <w:trPr>
          <w:trHeight w:val="320"/>
        </w:trPr>
        <w:tc>
          <w:tcPr>
            <w:tcW w:w="701" w:type="dxa"/>
            <w:shd w:val="clear" w:color="auto" w:fill="auto"/>
            <w:vAlign w:val="center"/>
          </w:tcPr>
          <w:p w14:paraId="1B930806" w14:textId="77777777" w:rsidR="00FA366A" w:rsidRPr="002C21B8" w:rsidRDefault="00FA366A" w:rsidP="00212D46">
            <w:pPr>
              <w:spacing w:after="0" w:line="240" w:lineRule="auto"/>
              <w:rPr>
                <w:sz w:val="20"/>
                <w:szCs w:val="20"/>
              </w:rPr>
            </w:pPr>
            <w:r w:rsidRPr="002C21B8">
              <w:rPr>
                <w:sz w:val="20"/>
                <w:szCs w:val="20"/>
              </w:rPr>
              <w:t>14</w:t>
            </w:r>
          </w:p>
        </w:tc>
        <w:tc>
          <w:tcPr>
            <w:tcW w:w="8504" w:type="dxa"/>
            <w:shd w:val="clear" w:color="auto" w:fill="auto"/>
            <w:vAlign w:val="bottom"/>
          </w:tcPr>
          <w:p w14:paraId="72A785C6" w14:textId="77777777" w:rsidR="00FA366A" w:rsidRPr="002C21B8" w:rsidRDefault="00FA366A" w:rsidP="00212D46">
            <w:pPr>
              <w:spacing w:after="0" w:line="240" w:lineRule="auto"/>
              <w:rPr>
                <w:sz w:val="20"/>
                <w:szCs w:val="20"/>
              </w:rPr>
            </w:pPr>
            <w:r w:rsidRPr="002C21B8">
              <w:rPr>
                <w:sz w:val="20"/>
                <w:szCs w:val="20"/>
              </w:rPr>
              <w:t>exp arthritis/</w:t>
            </w:r>
          </w:p>
        </w:tc>
      </w:tr>
      <w:tr w:rsidR="00FA366A" w:rsidRPr="002C21B8" w14:paraId="4414700A" w14:textId="77777777" w:rsidTr="00960A9F">
        <w:trPr>
          <w:trHeight w:val="320"/>
        </w:trPr>
        <w:tc>
          <w:tcPr>
            <w:tcW w:w="701" w:type="dxa"/>
            <w:shd w:val="clear" w:color="auto" w:fill="auto"/>
            <w:vAlign w:val="center"/>
          </w:tcPr>
          <w:p w14:paraId="3B8B21D8" w14:textId="77777777" w:rsidR="00FA366A" w:rsidRPr="002C21B8" w:rsidRDefault="00FA366A" w:rsidP="00212D46">
            <w:pPr>
              <w:spacing w:after="0" w:line="240" w:lineRule="auto"/>
              <w:rPr>
                <w:sz w:val="20"/>
                <w:szCs w:val="20"/>
              </w:rPr>
            </w:pPr>
            <w:r w:rsidRPr="002C21B8">
              <w:rPr>
                <w:sz w:val="20"/>
                <w:szCs w:val="20"/>
              </w:rPr>
              <w:t>15</w:t>
            </w:r>
          </w:p>
        </w:tc>
        <w:tc>
          <w:tcPr>
            <w:tcW w:w="8504" w:type="dxa"/>
            <w:shd w:val="clear" w:color="auto" w:fill="auto"/>
            <w:vAlign w:val="bottom"/>
          </w:tcPr>
          <w:p w14:paraId="639E1EE7" w14:textId="77777777" w:rsidR="00FA366A" w:rsidRPr="002C21B8" w:rsidRDefault="00FA366A" w:rsidP="00212D46">
            <w:pPr>
              <w:spacing w:after="0" w:line="240" w:lineRule="auto"/>
              <w:rPr>
                <w:sz w:val="20"/>
                <w:szCs w:val="20"/>
              </w:rPr>
            </w:pPr>
            <w:r w:rsidRPr="002C21B8">
              <w:rPr>
                <w:sz w:val="20"/>
                <w:szCs w:val="20"/>
              </w:rPr>
              <w:t>((rheumatic or rheumatoid) adj3 (arthrit* or artrit* or diseas* or condition* or nodule*)).ti,ab.</w:t>
            </w:r>
          </w:p>
        </w:tc>
      </w:tr>
      <w:tr w:rsidR="00FA366A" w:rsidRPr="002C21B8" w14:paraId="177511DE" w14:textId="77777777" w:rsidTr="00960A9F">
        <w:trPr>
          <w:trHeight w:val="320"/>
        </w:trPr>
        <w:tc>
          <w:tcPr>
            <w:tcW w:w="701" w:type="dxa"/>
            <w:shd w:val="clear" w:color="auto" w:fill="auto"/>
            <w:vAlign w:val="center"/>
          </w:tcPr>
          <w:p w14:paraId="5F1B0D97" w14:textId="77777777" w:rsidR="00FA366A" w:rsidRPr="002C21B8" w:rsidRDefault="00FA366A" w:rsidP="00212D46">
            <w:pPr>
              <w:spacing w:after="0" w:line="240" w:lineRule="auto"/>
              <w:rPr>
                <w:sz w:val="20"/>
                <w:szCs w:val="20"/>
              </w:rPr>
            </w:pPr>
            <w:r w:rsidRPr="002C21B8">
              <w:rPr>
                <w:sz w:val="20"/>
                <w:szCs w:val="20"/>
              </w:rPr>
              <w:t>16</w:t>
            </w:r>
          </w:p>
        </w:tc>
        <w:tc>
          <w:tcPr>
            <w:tcW w:w="8504" w:type="dxa"/>
            <w:shd w:val="clear" w:color="auto" w:fill="auto"/>
            <w:vAlign w:val="bottom"/>
          </w:tcPr>
          <w:p w14:paraId="2BE55184" w14:textId="77777777" w:rsidR="00FA366A" w:rsidRPr="002C21B8" w:rsidRDefault="00FA366A" w:rsidP="00212D46">
            <w:pPr>
              <w:spacing w:after="0" w:line="240" w:lineRule="auto"/>
              <w:rPr>
                <w:sz w:val="20"/>
                <w:szCs w:val="20"/>
              </w:rPr>
            </w:pPr>
            <w:r w:rsidRPr="002C21B8">
              <w:rPr>
                <w:sz w:val="20"/>
                <w:szCs w:val="20"/>
              </w:rPr>
              <w:t>exp aphasia/</w:t>
            </w:r>
          </w:p>
        </w:tc>
      </w:tr>
      <w:tr w:rsidR="00FA366A" w:rsidRPr="002C21B8" w14:paraId="7B8EF5E0" w14:textId="77777777" w:rsidTr="00960A9F">
        <w:trPr>
          <w:trHeight w:val="320"/>
        </w:trPr>
        <w:tc>
          <w:tcPr>
            <w:tcW w:w="701" w:type="dxa"/>
            <w:shd w:val="clear" w:color="auto" w:fill="auto"/>
            <w:vAlign w:val="center"/>
          </w:tcPr>
          <w:p w14:paraId="013B2E1F" w14:textId="77777777" w:rsidR="00FA366A" w:rsidRPr="002C21B8" w:rsidRDefault="00FA366A" w:rsidP="00212D46">
            <w:pPr>
              <w:spacing w:after="0" w:line="240" w:lineRule="auto"/>
              <w:rPr>
                <w:sz w:val="20"/>
                <w:szCs w:val="20"/>
              </w:rPr>
            </w:pPr>
            <w:r w:rsidRPr="002C21B8">
              <w:rPr>
                <w:sz w:val="20"/>
                <w:szCs w:val="20"/>
              </w:rPr>
              <w:t>17</w:t>
            </w:r>
          </w:p>
        </w:tc>
        <w:tc>
          <w:tcPr>
            <w:tcW w:w="8504" w:type="dxa"/>
            <w:shd w:val="clear" w:color="auto" w:fill="auto"/>
            <w:vAlign w:val="bottom"/>
          </w:tcPr>
          <w:p w14:paraId="5664FEC7" w14:textId="77777777" w:rsidR="00FA366A" w:rsidRPr="002C21B8" w:rsidRDefault="00FA366A" w:rsidP="00212D46">
            <w:pPr>
              <w:spacing w:after="0" w:line="240" w:lineRule="auto"/>
              <w:rPr>
                <w:sz w:val="20"/>
                <w:szCs w:val="20"/>
              </w:rPr>
            </w:pPr>
            <w:r w:rsidRPr="002C21B8">
              <w:rPr>
                <w:sz w:val="20"/>
                <w:szCs w:val="20"/>
              </w:rPr>
              <w:t>(primary progressive aphasia or aphasia or dysphasia).ti,ab.</w:t>
            </w:r>
          </w:p>
        </w:tc>
      </w:tr>
      <w:tr w:rsidR="00FA366A" w:rsidRPr="002C21B8" w14:paraId="2428598C" w14:textId="77777777" w:rsidTr="00960A9F">
        <w:trPr>
          <w:trHeight w:val="320"/>
        </w:trPr>
        <w:tc>
          <w:tcPr>
            <w:tcW w:w="701" w:type="dxa"/>
            <w:shd w:val="clear" w:color="auto" w:fill="auto"/>
            <w:vAlign w:val="center"/>
          </w:tcPr>
          <w:p w14:paraId="367B9906" w14:textId="77777777" w:rsidR="00FA366A" w:rsidRPr="002C21B8" w:rsidRDefault="00FA366A" w:rsidP="00212D46">
            <w:pPr>
              <w:spacing w:after="0" w:line="240" w:lineRule="auto"/>
              <w:rPr>
                <w:sz w:val="20"/>
                <w:szCs w:val="20"/>
              </w:rPr>
            </w:pPr>
            <w:r w:rsidRPr="002C21B8">
              <w:rPr>
                <w:sz w:val="20"/>
                <w:szCs w:val="20"/>
              </w:rPr>
              <w:t>18</w:t>
            </w:r>
          </w:p>
        </w:tc>
        <w:tc>
          <w:tcPr>
            <w:tcW w:w="8504" w:type="dxa"/>
            <w:shd w:val="clear" w:color="auto" w:fill="auto"/>
            <w:vAlign w:val="bottom"/>
          </w:tcPr>
          <w:p w14:paraId="3EAA3E64" w14:textId="77777777" w:rsidR="00FA366A" w:rsidRPr="002C21B8" w:rsidRDefault="00FA366A" w:rsidP="00212D46">
            <w:pPr>
              <w:spacing w:after="0" w:line="240" w:lineRule="auto"/>
              <w:rPr>
                <w:sz w:val="20"/>
                <w:szCs w:val="20"/>
              </w:rPr>
            </w:pPr>
            <w:r w:rsidRPr="002C21B8">
              <w:rPr>
                <w:sz w:val="20"/>
                <w:szCs w:val="20"/>
              </w:rPr>
              <w:t>exp ataxia/</w:t>
            </w:r>
          </w:p>
        </w:tc>
      </w:tr>
      <w:tr w:rsidR="00FA366A" w:rsidRPr="002C21B8" w14:paraId="1AFAA959" w14:textId="77777777" w:rsidTr="00960A9F">
        <w:trPr>
          <w:trHeight w:val="320"/>
        </w:trPr>
        <w:tc>
          <w:tcPr>
            <w:tcW w:w="701" w:type="dxa"/>
            <w:shd w:val="clear" w:color="auto" w:fill="auto"/>
            <w:vAlign w:val="center"/>
          </w:tcPr>
          <w:p w14:paraId="3B0013D2" w14:textId="77777777" w:rsidR="00FA366A" w:rsidRPr="002C21B8" w:rsidRDefault="00FA366A" w:rsidP="00212D46">
            <w:pPr>
              <w:spacing w:after="0" w:line="240" w:lineRule="auto"/>
              <w:rPr>
                <w:sz w:val="20"/>
                <w:szCs w:val="20"/>
              </w:rPr>
            </w:pPr>
            <w:r w:rsidRPr="002C21B8">
              <w:rPr>
                <w:sz w:val="20"/>
                <w:szCs w:val="20"/>
              </w:rPr>
              <w:t>19</w:t>
            </w:r>
          </w:p>
        </w:tc>
        <w:tc>
          <w:tcPr>
            <w:tcW w:w="8504" w:type="dxa"/>
            <w:shd w:val="clear" w:color="auto" w:fill="auto"/>
            <w:vAlign w:val="bottom"/>
          </w:tcPr>
          <w:p w14:paraId="0D052F77" w14:textId="77777777" w:rsidR="00FA366A" w:rsidRPr="002C21B8" w:rsidRDefault="00FA366A" w:rsidP="00212D46">
            <w:pPr>
              <w:spacing w:after="0" w:line="240" w:lineRule="auto"/>
              <w:rPr>
                <w:sz w:val="20"/>
                <w:szCs w:val="20"/>
              </w:rPr>
            </w:pPr>
            <w:r w:rsidRPr="002C21B8">
              <w:rPr>
                <w:sz w:val="20"/>
                <w:szCs w:val="20"/>
              </w:rPr>
              <w:t>((cerebell* or spinocerebell*) adj (ataxia* or incoordination)).ti,ab.</w:t>
            </w:r>
          </w:p>
        </w:tc>
      </w:tr>
      <w:tr w:rsidR="00FA366A" w:rsidRPr="002C21B8" w14:paraId="5127B30A" w14:textId="77777777" w:rsidTr="00960A9F">
        <w:trPr>
          <w:trHeight w:val="320"/>
        </w:trPr>
        <w:tc>
          <w:tcPr>
            <w:tcW w:w="701" w:type="dxa"/>
            <w:shd w:val="clear" w:color="auto" w:fill="auto"/>
            <w:vAlign w:val="center"/>
          </w:tcPr>
          <w:p w14:paraId="1D3F68E4" w14:textId="77777777" w:rsidR="00FA366A" w:rsidRPr="002C21B8" w:rsidRDefault="00FA366A" w:rsidP="00212D46">
            <w:pPr>
              <w:spacing w:after="0" w:line="240" w:lineRule="auto"/>
              <w:rPr>
                <w:sz w:val="20"/>
                <w:szCs w:val="20"/>
              </w:rPr>
            </w:pPr>
            <w:r w:rsidRPr="002C21B8">
              <w:rPr>
                <w:sz w:val="20"/>
                <w:szCs w:val="20"/>
              </w:rPr>
              <w:t>20</w:t>
            </w:r>
          </w:p>
        </w:tc>
        <w:tc>
          <w:tcPr>
            <w:tcW w:w="8504" w:type="dxa"/>
            <w:shd w:val="clear" w:color="auto" w:fill="auto"/>
            <w:vAlign w:val="bottom"/>
          </w:tcPr>
          <w:p w14:paraId="24A7B717" w14:textId="77777777" w:rsidR="00FA366A" w:rsidRPr="002C21B8" w:rsidRDefault="00FA366A" w:rsidP="00212D46">
            <w:pPr>
              <w:spacing w:after="0" w:line="240" w:lineRule="auto"/>
              <w:rPr>
                <w:sz w:val="20"/>
                <w:szCs w:val="20"/>
              </w:rPr>
            </w:pPr>
            <w:r w:rsidRPr="002C21B8">
              <w:rPr>
                <w:sz w:val="20"/>
                <w:szCs w:val="20"/>
              </w:rPr>
              <w:t>exp autoimmune diseases/</w:t>
            </w:r>
          </w:p>
        </w:tc>
      </w:tr>
      <w:tr w:rsidR="00FA366A" w:rsidRPr="002C21B8" w14:paraId="0E98E909" w14:textId="77777777" w:rsidTr="00960A9F">
        <w:trPr>
          <w:trHeight w:val="320"/>
        </w:trPr>
        <w:tc>
          <w:tcPr>
            <w:tcW w:w="701" w:type="dxa"/>
            <w:shd w:val="clear" w:color="auto" w:fill="auto"/>
            <w:vAlign w:val="center"/>
          </w:tcPr>
          <w:p w14:paraId="7B0C5D9F" w14:textId="77777777" w:rsidR="00FA366A" w:rsidRPr="002C21B8" w:rsidRDefault="00FA366A" w:rsidP="00212D46">
            <w:pPr>
              <w:spacing w:after="0" w:line="240" w:lineRule="auto"/>
              <w:rPr>
                <w:sz w:val="20"/>
                <w:szCs w:val="20"/>
              </w:rPr>
            </w:pPr>
            <w:r w:rsidRPr="002C21B8">
              <w:rPr>
                <w:sz w:val="20"/>
                <w:szCs w:val="20"/>
              </w:rPr>
              <w:t>21</w:t>
            </w:r>
          </w:p>
        </w:tc>
        <w:tc>
          <w:tcPr>
            <w:tcW w:w="8504" w:type="dxa"/>
            <w:shd w:val="clear" w:color="auto" w:fill="auto"/>
            <w:vAlign w:val="bottom"/>
          </w:tcPr>
          <w:p w14:paraId="2470988C" w14:textId="77777777" w:rsidR="00FA366A" w:rsidRPr="002C21B8" w:rsidRDefault="00FA366A" w:rsidP="00212D46">
            <w:pPr>
              <w:spacing w:after="0" w:line="240" w:lineRule="auto"/>
              <w:rPr>
                <w:sz w:val="20"/>
                <w:szCs w:val="20"/>
              </w:rPr>
            </w:pPr>
            <w:r w:rsidRPr="002C21B8">
              <w:rPr>
                <w:sz w:val="20"/>
                <w:szCs w:val="20"/>
              </w:rPr>
              <w:t>(addison* disease or autoimmune thyroid disease or ank* spondy* or h?emolytic an?emia or multiple sclerosis or myasthenia gravis or immune thrombocytopen* purpura or scleroderma or polyarteriti* nodosa or pernicious an?emia or vitiligo or psoriasis or primary biliary cirrhosis).ti,ab.</w:t>
            </w:r>
          </w:p>
        </w:tc>
      </w:tr>
      <w:tr w:rsidR="00FA366A" w:rsidRPr="002C21B8" w14:paraId="6ABA3294" w14:textId="77777777" w:rsidTr="00960A9F">
        <w:trPr>
          <w:trHeight w:val="320"/>
        </w:trPr>
        <w:tc>
          <w:tcPr>
            <w:tcW w:w="701" w:type="dxa"/>
            <w:shd w:val="clear" w:color="auto" w:fill="auto"/>
            <w:vAlign w:val="center"/>
          </w:tcPr>
          <w:p w14:paraId="1B30BE43" w14:textId="77777777" w:rsidR="00FA366A" w:rsidRPr="002C21B8" w:rsidRDefault="00FA366A" w:rsidP="00212D46">
            <w:pPr>
              <w:spacing w:after="0" w:line="240" w:lineRule="auto"/>
              <w:rPr>
                <w:sz w:val="20"/>
                <w:szCs w:val="20"/>
              </w:rPr>
            </w:pPr>
            <w:r w:rsidRPr="002C21B8">
              <w:rPr>
                <w:sz w:val="20"/>
                <w:szCs w:val="20"/>
              </w:rPr>
              <w:t>22</w:t>
            </w:r>
          </w:p>
        </w:tc>
        <w:tc>
          <w:tcPr>
            <w:tcW w:w="8504" w:type="dxa"/>
            <w:shd w:val="clear" w:color="auto" w:fill="auto"/>
            <w:vAlign w:val="bottom"/>
          </w:tcPr>
          <w:p w14:paraId="37FFC876" w14:textId="77777777" w:rsidR="00FA366A" w:rsidRPr="002C21B8" w:rsidRDefault="00FA366A" w:rsidP="00212D46">
            <w:pPr>
              <w:spacing w:after="0" w:line="240" w:lineRule="auto"/>
              <w:rPr>
                <w:sz w:val="20"/>
                <w:szCs w:val="20"/>
              </w:rPr>
            </w:pPr>
            <w:r w:rsidRPr="002C21B8">
              <w:rPr>
                <w:sz w:val="20"/>
                <w:szCs w:val="20"/>
              </w:rPr>
              <w:t>exp hematologic diseases/</w:t>
            </w:r>
          </w:p>
        </w:tc>
      </w:tr>
      <w:tr w:rsidR="00FA366A" w:rsidRPr="002C21B8" w14:paraId="55806C34" w14:textId="77777777" w:rsidTr="00960A9F">
        <w:trPr>
          <w:trHeight w:val="320"/>
        </w:trPr>
        <w:tc>
          <w:tcPr>
            <w:tcW w:w="701" w:type="dxa"/>
            <w:shd w:val="clear" w:color="auto" w:fill="auto"/>
            <w:vAlign w:val="center"/>
          </w:tcPr>
          <w:p w14:paraId="04333E32" w14:textId="77777777" w:rsidR="00FA366A" w:rsidRPr="002C21B8" w:rsidRDefault="00FA366A" w:rsidP="00212D46">
            <w:pPr>
              <w:spacing w:after="0" w:line="240" w:lineRule="auto"/>
              <w:rPr>
                <w:sz w:val="20"/>
                <w:szCs w:val="20"/>
              </w:rPr>
            </w:pPr>
            <w:r w:rsidRPr="002C21B8">
              <w:rPr>
                <w:sz w:val="20"/>
                <w:szCs w:val="20"/>
              </w:rPr>
              <w:t>23</w:t>
            </w:r>
          </w:p>
        </w:tc>
        <w:tc>
          <w:tcPr>
            <w:tcW w:w="8504" w:type="dxa"/>
            <w:shd w:val="clear" w:color="auto" w:fill="auto"/>
            <w:vAlign w:val="bottom"/>
          </w:tcPr>
          <w:p w14:paraId="3CE5C341" w14:textId="77777777" w:rsidR="00FA366A" w:rsidRPr="002C21B8" w:rsidRDefault="00FA366A" w:rsidP="00212D46">
            <w:pPr>
              <w:spacing w:after="0" w:line="240" w:lineRule="auto"/>
              <w:rPr>
                <w:sz w:val="20"/>
                <w:szCs w:val="20"/>
              </w:rPr>
            </w:pPr>
            <w:r w:rsidRPr="002C21B8">
              <w:rPr>
                <w:sz w:val="20"/>
                <w:szCs w:val="20"/>
              </w:rPr>
              <w:t>(leukaemi* or myeloma or lymphoma).ti,ab.</w:t>
            </w:r>
          </w:p>
        </w:tc>
      </w:tr>
      <w:tr w:rsidR="00FA366A" w:rsidRPr="002C21B8" w14:paraId="6EA49DC8" w14:textId="77777777" w:rsidTr="00960A9F">
        <w:trPr>
          <w:trHeight w:val="320"/>
        </w:trPr>
        <w:tc>
          <w:tcPr>
            <w:tcW w:w="701" w:type="dxa"/>
            <w:shd w:val="clear" w:color="auto" w:fill="auto"/>
            <w:vAlign w:val="center"/>
          </w:tcPr>
          <w:p w14:paraId="3AC3EDB1" w14:textId="77777777" w:rsidR="00FA366A" w:rsidRPr="002C21B8" w:rsidRDefault="00FA366A" w:rsidP="00212D46">
            <w:pPr>
              <w:spacing w:after="0" w:line="240" w:lineRule="auto"/>
              <w:rPr>
                <w:sz w:val="20"/>
                <w:szCs w:val="20"/>
              </w:rPr>
            </w:pPr>
            <w:r w:rsidRPr="002C21B8">
              <w:rPr>
                <w:sz w:val="20"/>
                <w:szCs w:val="20"/>
              </w:rPr>
              <w:t>24</w:t>
            </w:r>
          </w:p>
        </w:tc>
        <w:tc>
          <w:tcPr>
            <w:tcW w:w="8504" w:type="dxa"/>
            <w:shd w:val="clear" w:color="auto" w:fill="auto"/>
            <w:vAlign w:val="bottom"/>
          </w:tcPr>
          <w:p w14:paraId="0982813C" w14:textId="77777777" w:rsidR="00FA366A" w:rsidRPr="002C21B8" w:rsidRDefault="00FA366A" w:rsidP="00212D46">
            <w:pPr>
              <w:spacing w:after="0" w:line="240" w:lineRule="auto"/>
              <w:rPr>
                <w:sz w:val="20"/>
                <w:szCs w:val="20"/>
              </w:rPr>
            </w:pPr>
            <w:r w:rsidRPr="002C21B8">
              <w:rPr>
                <w:sz w:val="20"/>
                <w:szCs w:val="20"/>
              </w:rPr>
              <w:t>exp stroke/</w:t>
            </w:r>
          </w:p>
        </w:tc>
      </w:tr>
      <w:tr w:rsidR="00FA366A" w:rsidRPr="002C21B8" w14:paraId="44F46CD0" w14:textId="77777777" w:rsidTr="00960A9F">
        <w:trPr>
          <w:trHeight w:val="320"/>
        </w:trPr>
        <w:tc>
          <w:tcPr>
            <w:tcW w:w="701" w:type="dxa"/>
            <w:shd w:val="clear" w:color="auto" w:fill="auto"/>
            <w:vAlign w:val="center"/>
          </w:tcPr>
          <w:p w14:paraId="3C45EA55" w14:textId="77777777" w:rsidR="00FA366A" w:rsidRPr="002C21B8" w:rsidRDefault="00FA366A" w:rsidP="00212D46">
            <w:pPr>
              <w:spacing w:after="0" w:line="240" w:lineRule="auto"/>
              <w:rPr>
                <w:sz w:val="20"/>
                <w:szCs w:val="20"/>
              </w:rPr>
            </w:pPr>
            <w:r w:rsidRPr="002C21B8">
              <w:rPr>
                <w:sz w:val="20"/>
                <w:szCs w:val="20"/>
              </w:rPr>
              <w:t>25</w:t>
            </w:r>
          </w:p>
        </w:tc>
        <w:tc>
          <w:tcPr>
            <w:tcW w:w="8504" w:type="dxa"/>
            <w:shd w:val="clear" w:color="auto" w:fill="auto"/>
            <w:vAlign w:val="bottom"/>
          </w:tcPr>
          <w:p w14:paraId="613B8F46" w14:textId="77777777" w:rsidR="00FA366A" w:rsidRPr="002C21B8" w:rsidRDefault="00FA366A" w:rsidP="00212D46">
            <w:pPr>
              <w:spacing w:after="0" w:line="240" w:lineRule="auto"/>
              <w:rPr>
                <w:sz w:val="20"/>
                <w:szCs w:val="20"/>
              </w:rPr>
            </w:pPr>
            <w:r w:rsidRPr="002C21B8">
              <w:rPr>
                <w:sz w:val="20"/>
                <w:szCs w:val="20"/>
              </w:rPr>
              <w:t>exp brain ischemia/</w:t>
            </w:r>
          </w:p>
        </w:tc>
      </w:tr>
      <w:tr w:rsidR="00FA366A" w:rsidRPr="002C21B8" w14:paraId="6C44046C" w14:textId="77777777" w:rsidTr="00960A9F">
        <w:trPr>
          <w:trHeight w:val="320"/>
        </w:trPr>
        <w:tc>
          <w:tcPr>
            <w:tcW w:w="701" w:type="dxa"/>
            <w:shd w:val="clear" w:color="auto" w:fill="auto"/>
            <w:vAlign w:val="center"/>
          </w:tcPr>
          <w:p w14:paraId="6FFF2F1E" w14:textId="77777777" w:rsidR="00FA366A" w:rsidRPr="002C21B8" w:rsidRDefault="00FA366A" w:rsidP="00212D46">
            <w:pPr>
              <w:spacing w:after="0" w:line="240" w:lineRule="auto"/>
              <w:rPr>
                <w:sz w:val="20"/>
                <w:szCs w:val="20"/>
              </w:rPr>
            </w:pPr>
            <w:r w:rsidRPr="002C21B8">
              <w:rPr>
                <w:sz w:val="20"/>
                <w:szCs w:val="20"/>
              </w:rPr>
              <w:t>26</w:t>
            </w:r>
          </w:p>
        </w:tc>
        <w:tc>
          <w:tcPr>
            <w:tcW w:w="8504" w:type="dxa"/>
            <w:shd w:val="clear" w:color="auto" w:fill="auto"/>
            <w:vAlign w:val="bottom"/>
          </w:tcPr>
          <w:p w14:paraId="2BBF7DA6" w14:textId="77777777" w:rsidR="00FA366A" w:rsidRPr="002C21B8" w:rsidRDefault="00FA366A" w:rsidP="00212D46">
            <w:pPr>
              <w:spacing w:after="0" w:line="240" w:lineRule="auto"/>
              <w:rPr>
                <w:sz w:val="20"/>
                <w:szCs w:val="20"/>
              </w:rPr>
            </w:pPr>
            <w:r w:rsidRPr="002C21B8">
              <w:rPr>
                <w:sz w:val="20"/>
                <w:szCs w:val="20"/>
              </w:rPr>
              <w:t>ischemic attack, transient/</w:t>
            </w:r>
          </w:p>
        </w:tc>
      </w:tr>
      <w:tr w:rsidR="00FA366A" w:rsidRPr="002C21B8" w14:paraId="1A3D6031" w14:textId="77777777" w:rsidTr="00960A9F">
        <w:trPr>
          <w:trHeight w:val="320"/>
        </w:trPr>
        <w:tc>
          <w:tcPr>
            <w:tcW w:w="701" w:type="dxa"/>
            <w:shd w:val="clear" w:color="auto" w:fill="auto"/>
            <w:vAlign w:val="center"/>
          </w:tcPr>
          <w:p w14:paraId="086A8924" w14:textId="77777777" w:rsidR="00FA366A" w:rsidRPr="002C21B8" w:rsidRDefault="00FA366A" w:rsidP="00212D46">
            <w:pPr>
              <w:spacing w:after="0" w:line="240" w:lineRule="auto"/>
              <w:rPr>
                <w:sz w:val="20"/>
                <w:szCs w:val="20"/>
              </w:rPr>
            </w:pPr>
            <w:r w:rsidRPr="002C21B8">
              <w:rPr>
                <w:sz w:val="20"/>
                <w:szCs w:val="20"/>
              </w:rPr>
              <w:t>27</w:t>
            </w:r>
          </w:p>
        </w:tc>
        <w:tc>
          <w:tcPr>
            <w:tcW w:w="8504" w:type="dxa"/>
            <w:shd w:val="clear" w:color="auto" w:fill="auto"/>
            <w:vAlign w:val="bottom"/>
          </w:tcPr>
          <w:p w14:paraId="7A1BDEC0" w14:textId="77777777" w:rsidR="00FA366A" w:rsidRPr="002C21B8" w:rsidRDefault="00FA366A" w:rsidP="00212D46">
            <w:pPr>
              <w:spacing w:after="0" w:line="240" w:lineRule="auto"/>
              <w:rPr>
                <w:sz w:val="20"/>
                <w:szCs w:val="20"/>
              </w:rPr>
            </w:pPr>
            <w:r w:rsidRPr="002C21B8">
              <w:rPr>
                <w:sz w:val="20"/>
                <w:szCs w:val="20"/>
              </w:rPr>
              <w:t>(stroke or poststroke or post-stroke or cerebrovascu* or brain vasc* or cerebral vasc* or cva* or apoplexy* or sah).ti,ab.</w:t>
            </w:r>
          </w:p>
        </w:tc>
      </w:tr>
      <w:tr w:rsidR="00FA366A" w:rsidRPr="002C21B8" w14:paraId="3A05C788" w14:textId="77777777" w:rsidTr="00960A9F">
        <w:trPr>
          <w:trHeight w:val="320"/>
        </w:trPr>
        <w:tc>
          <w:tcPr>
            <w:tcW w:w="701" w:type="dxa"/>
            <w:shd w:val="clear" w:color="auto" w:fill="auto"/>
            <w:vAlign w:val="center"/>
          </w:tcPr>
          <w:p w14:paraId="3F9FF59E" w14:textId="77777777" w:rsidR="00FA366A" w:rsidRPr="002C21B8" w:rsidRDefault="00FA366A" w:rsidP="00212D46">
            <w:pPr>
              <w:spacing w:after="0" w:line="240" w:lineRule="auto"/>
              <w:rPr>
                <w:sz w:val="20"/>
                <w:szCs w:val="20"/>
              </w:rPr>
            </w:pPr>
            <w:r w:rsidRPr="002C21B8">
              <w:rPr>
                <w:sz w:val="20"/>
                <w:szCs w:val="20"/>
              </w:rPr>
              <w:t>28</w:t>
            </w:r>
          </w:p>
        </w:tc>
        <w:tc>
          <w:tcPr>
            <w:tcW w:w="8504" w:type="dxa"/>
            <w:shd w:val="clear" w:color="auto" w:fill="auto"/>
            <w:vAlign w:val="bottom"/>
          </w:tcPr>
          <w:p w14:paraId="769E829D" w14:textId="77777777" w:rsidR="00FA366A" w:rsidRPr="002C21B8" w:rsidRDefault="00FA366A" w:rsidP="00212D46">
            <w:pPr>
              <w:spacing w:after="0" w:line="240" w:lineRule="auto"/>
              <w:rPr>
                <w:sz w:val="20"/>
                <w:szCs w:val="20"/>
              </w:rPr>
            </w:pPr>
            <w:r w:rsidRPr="002C21B8">
              <w:rPr>
                <w:sz w:val="20"/>
                <w:szCs w:val="20"/>
              </w:rPr>
              <w:t>((brain* or cerebr* or vascular or cerebel* or intracran* or intracerebral* or subarachnoid) adj (accident or isch?mi or infarct* or thrombo* or emboli* or occlus* or h?morrhage or h?matoma* or bleed*)).ti,ab.</w:t>
            </w:r>
          </w:p>
        </w:tc>
      </w:tr>
      <w:tr w:rsidR="00FA366A" w:rsidRPr="002C21B8" w14:paraId="1BD964B8" w14:textId="77777777" w:rsidTr="00960A9F">
        <w:trPr>
          <w:trHeight w:val="320"/>
        </w:trPr>
        <w:tc>
          <w:tcPr>
            <w:tcW w:w="701" w:type="dxa"/>
            <w:shd w:val="clear" w:color="auto" w:fill="auto"/>
            <w:vAlign w:val="center"/>
          </w:tcPr>
          <w:p w14:paraId="0AC4880C" w14:textId="77777777" w:rsidR="00FA366A" w:rsidRPr="002C21B8" w:rsidRDefault="00FA366A" w:rsidP="00212D46">
            <w:pPr>
              <w:spacing w:after="0" w:line="240" w:lineRule="auto"/>
              <w:rPr>
                <w:sz w:val="20"/>
                <w:szCs w:val="20"/>
              </w:rPr>
            </w:pPr>
            <w:r w:rsidRPr="002C21B8">
              <w:rPr>
                <w:sz w:val="20"/>
                <w:szCs w:val="20"/>
              </w:rPr>
              <w:t>29</w:t>
            </w:r>
          </w:p>
        </w:tc>
        <w:tc>
          <w:tcPr>
            <w:tcW w:w="8504" w:type="dxa"/>
            <w:shd w:val="clear" w:color="auto" w:fill="auto"/>
            <w:vAlign w:val="bottom"/>
          </w:tcPr>
          <w:p w14:paraId="30A3ED75" w14:textId="77777777" w:rsidR="00FA366A" w:rsidRPr="002C21B8" w:rsidRDefault="00FA366A" w:rsidP="00212D46">
            <w:pPr>
              <w:spacing w:after="0" w:line="240" w:lineRule="auto"/>
              <w:rPr>
                <w:sz w:val="20"/>
                <w:szCs w:val="20"/>
              </w:rPr>
            </w:pPr>
            <w:r w:rsidRPr="002C21B8">
              <w:rPr>
                <w:sz w:val="20"/>
                <w:szCs w:val="20"/>
              </w:rPr>
              <w:t>exp burns/</w:t>
            </w:r>
          </w:p>
        </w:tc>
      </w:tr>
      <w:tr w:rsidR="00FA366A" w:rsidRPr="002C21B8" w14:paraId="2F4AC729" w14:textId="77777777" w:rsidTr="00960A9F">
        <w:trPr>
          <w:trHeight w:val="320"/>
        </w:trPr>
        <w:tc>
          <w:tcPr>
            <w:tcW w:w="701" w:type="dxa"/>
            <w:shd w:val="clear" w:color="auto" w:fill="auto"/>
            <w:vAlign w:val="center"/>
          </w:tcPr>
          <w:p w14:paraId="7DF997B2" w14:textId="77777777" w:rsidR="00FA366A" w:rsidRPr="002C21B8" w:rsidRDefault="00FA366A" w:rsidP="00212D46">
            <w:pPr>
              <w:spacing w:after="0" w:line="240" w:lineRule="auto"/>
              <w:rPr>
                <w:sz w:val="20"/>
                <w:szCs w:val="20"/>
              </w:rPr>
            </w:pPr>
            <w:r w:rsidRPr="002C21B8">
              <w:rPr>
                <w:sz w:val="20"/>
                <w:szCs w:val="20"/>
              </w:rPr>
              <w:t>30</w:t>
            </w:r>
          </w:p>
        </w:tc>
        <w:tc>
          <w:tcPr>
            <w:tcW w:w="8504" w:type="dxa"/>
            <w:shd w:val="clear" w:color="auto" w:fill="auto"/>
            <w:vAlign w:val="bottom"/>
          </w:tcPr>
          <w:p w14:paraId="6B3D71FC" w14:textId="77777777" w:rsidR="00FA366A" w:rsidRPr="002C21B8" w:rsidRDefault="00FA366A" w:rsidP="00212D46">
            <w:pPr>
              <w:spacing w:after="0" w:line="240" w:lineRule="auto"/>
              <w:rPr>
                <w:sz w:val="20"/>
                <w:szCs w:val="20"/>
              </w:rPr>
            </w:pPr>
            <w:r w:rsidRPr="002C21B8">
              <w:rPr>
                <w:sz w:val="20"/>
                <w:szCs w:val="20"/>
              </w:rPr>
              <w:t>(burn* or scald*).ti,ab.</w:t>
            </w:r>
          </w:p>
        </w:tc>
      </w:tr>
      <w:tr w:rsidR="00FA366A" w:rsidRPr="002C21B8" w14:paraId="0C179F4A" w14:textId="77777777" w:rsidTr="00960A9F">
        <w:trPr>
          <w:trHeight w:val="320"/>
        </w:trPr>
        <w:tc>
          <w:tcPr>
            <w:tcW w:w="701" w:type="dxa"/>
            <w:shd w:val="clear" w:color="auto" w:fill="auto"/>
            <w:vAlign w:val="center"/>
          </w:tcPr>
          <w:p w14:paraId="62C7380C" w14:textId="77777777" w:rsidR="00FA366A" w:rsidRPr="002C21B8" w:rsidRDefault="00FA366A" w:rsidP="00212D46">
            <w:pPr>
              <w:spacing w:after="0" w:line="240" w:lineRule="auto"/>
              <w:rPr>
                <w:sz w:val="20"/>
                <w:szCs w:val="20"/>
              </w:rPr>
            </w:pPr>
            <w:r w:rsidRPr="002C21B8">
              <w:rPr>
                <w:sz w:val="20"/>
                <w:szCs w:val="20"/>
              </w:rPr>
              <w:t>31</w:t>
            </w:r>
          </w:p>
        </w:tc>
        <w:tc>
          <w:tcPr>
            <w:tcW w:w="8504" w:type="dxa"/>
            <w:shd w:val="clear" w:color="auto" w:fill="auto"/>
            <w:vAlign w:val="bottom"/>
          </w:tcPr>
          <w:p w14:paraId="0FBE217E" w14:textId="77777777" w:rsidR="00FA366A" w:rsidRPr="002C21B8" w:rsidRDefault="00FA366A" w:rsidP="00212D46">
            <w:pPr>
              <w:spacing w:after="0" w:line="240" w:lineRule="auto"/>
              <w:rPr>
                <w:sz w:val="20"/>
                <w:szCs w:val="20"/>
              </w:rPr>
            </w:pPr>
            <w:r w:rsidRPr="002C21B8">
              <w:rPr>
                <w:sz w:val="20"/>
                <w:szCs w:val="20"/>
              </w:rPr>
              <w:t>exp neoplasms/</w:t>
            </w:r>
          </w:p>
        </w:tc>
      </w:tr>
      <w:tr w:rsidR="00FA366A" w:rsidRPr="002C21B8" w14:paraId="45839A22" w14:textId="77777777" w:rsidTr="00960A9F">
        <w:trPr>
          <w:trHeight w:val="320"/>
        </w:trPr>
        <w:tc>
          <w:tcPr>
            <w:tcW w:w="701" w:type="dxa"/>
            <w:shd w:val="clear" w:color="auto" w:fill="auto"/>
            <w:vAlign w:val="center"/>
          </w:tcPr>
          <w:p w14:paraId="01469C6C" w14:textId="77777777" w:rsidR="00FA366A" w:rsidRPr="002C21B8" w:rsidRDefault="00FA366A" w:rsidP="00212D46">
            <w:pPr>
              <w:spacing w:after="0" w:line="240" w:lineRule="auto"/>
              <w:rPr>
                <w:sz w:val="20"/>
                <w:szCs w:val="20"/>
              </w:rPr>
            </w:pPr>
            <w:r w:rsidRPr="002C21B8">
              <w:rPr>
                <w:sz w:val="20"/>
                <w:szCs w:val="20"/>
              </w:rPr>
              <w:t>32</w:t>
            </w:r>
          </w:p>
        </w:tc>
        <w:tc>
          <w:tcPr>
            <w:tcW w:w="8504" w:type="dxa"/>
            <w:shd w:val="clear" w:color="auto" w:fill="auto"/>
            <w:vAlign w:val="bottom"/>
          </w:tcPr>
          <w:p w14:paraId="0CEB9A1A" w14:textId="77777777" w:rsidR="00FA366A" w:rsidRPr="002C21B8" w:rsidRDefault="00FA366A" w:rsidP="00212D46">
            <w:pPr>
              <w:spacing w:after="0" w:line="240" w:lineRule="auto"/>
              <w:rPr>
                <w:sz w:val="20"/>
                <w:szCs w:val="20"/>
              </w:rPr>
            </w:pPr>
            <w:r w:rsidRPr="002C21B8">
              <w:rPr>
                <w:sz w:val="20"/>
                <w:szCs w:val="20"/>
              </w:rPr>
              <w:t>(cancer* or oncolog* or neoplasm* or carcinom* or tumo?r* or malignan* or leuk?emia).ti,ab.</w:t>
            </w:r>
          </w:p>
        </w:tc>
      </w:tr>
      <w:tr w:rsidR="00FA366A" w:rsidRPr="002C21B8" w14:paraId="4388D986" w14:textId="77777777" w:rsidTr="00960A9F">
        <w:trPr>
          <w:trHeight w:val="320"/>
        </w:trPr>
        <w:tc>
          <w:tcPr>
            <w:tcW w:w="701" w:type="dxa"/>
            <w:shd w:val="clear" w:color="auto" w:fill="auto"/>
            <w:vAlign w:val="center"/>
          </w:tcPr>
          <w:p w14:paraId="64BCE2A7" w14:textId="77777777" w:rsidR="00FA366A" w:rsidRPr="002C21B8" w:rsidRDefault="00FA366A" w:rsidP="00212D46">
            <w:pPr>
              <w:spacing w:after="0" w:line="240" w:lineRule="auto"/>
              <w:rPr>
                <w:sz w:val="20"/>
                <w:szCs w:val="20"/>
              </w:rPr>
            </w:pPr>
            <w:r w:rsidRPr="002C21B8">
              <w:rPr>
                <w:sz w:val="20"/>
                <w:szCs w:val="20"/>
              </w:rPr>
              <w:t>33</w:t>
            </w:r>
          </w:p>
        </w:tc>
        <w:tc>
          <w:tcPr>
            <w:tcW w:w="8504" w:type="dxa"/>
            <w:shd w:val="clear" w:color="auto" w:fill="auto"/>
            <w:vAlign w:val="bottom"/>
          </w:tcPr>
          <w:p w14:paraId="3D501029" w14:textId="77777777" w:rsidR="00FA366A" w:rsidRPr="002C21B8" w:rsidRDefault="00FA366A" w:rsidP="00212D46">
            <w:pPr>
              <w:spacing w:after="0" w:line="240" w:lineRule="auto"/>
              <w:rPr>
                <w:sz w:val="20"/>
                <w:szCs w:val="20"/>
              </w:rPr>
            </w:pPr>
            <w:r w:rsidRPr="002C21B8">
              <w:rPr>
                <w:sz w:val="20"/>
                <w:szCs w:val="20"/>
              </w:rPr>
              <w:t>exp arrhythmias, cardiac/</w:t>
            </w:r>
          </w:p>
        </w:tc>
      </w:tr>
      <w:tr w:rsidR="00FA366A" w:rsidRPr="002C21B8" w14:paraId="193D428C" w14:textId="77777777" w:rsidTr="00960A9F">
        <w:trPr>
          <w:trHeight w:val="320"/>
        </w:trPr>
        <w:tc>
          <w:tcPr>
            <w:tcW w:w="701" w:type="dxa"/>
            <w:shd w:val="clear" w:color="auto" w:fill="auto"/>
            <w:vAlign w:val="center"/>
          </w:tcPr>
          <w:p w14:paraId="740DC158" w14:textId="77777777" w:rsidR="00FA366A" w:rsidRPr="002C21B8" w:rsidRDefault="00FA366A" w:rsidP="00212D46">
            <w:pPr>
              <w:spacing w:after="0" w:line="240" w:lineRule="auto"/>
              <w:rPr>
                <w:sz w:val="20"/>
                <w:szCs w:val="20"/>
              </w:rPr>
            </w:pPr>
            <w:r w:rsidRPr="002C21B8">
              <w:rPr>
                <w:sz w:val="20"/>
                <w:szCs w:val="20"/>
              </w:rPr>
              <w:t>34</w:t>
            </w:r>
          </w:p>
        </w:tc>
        <w:tc>
          <w:tcPr>
            <w:tcW w:w="8504" w:type="dxa"/>
            <w:shd w:val="clear" w:color="auto" w:fill="auto"/>
            <w:vAlign w:val="bottom"/>
          </w:tcPr>
          <w:p w14:paraId="4EBF3ABD" w14:textId="77777777" w:rsidR="00FA366A" w:rsidRPr="002C21B8" w:rsidRDefault="00FA366A" w:rsidP="00212D46">
            <w:pPr>
              <w:spacing w:after="0" w:line="240" w:lineRule="auto"/>
              <w:rPr>
                <w:sz w:val="20"/>
                <w:szCs w:val="20"/>
              </w:rPr>
            </w:pPr>
            <w:r w:rsidRPr="002C21B8">
              <w:rPr>
                <w:sz w:val="20"/>
                <w:szCs w:val="20"/>
              </w:rPr>
              <w:t>cardiac arrhythm*.ti,ab.</w:t>
            </w:r>
          </w:p>
        </w:tc>
      </w:tr>
      <w:tr w:rsidR="00FA366A" w:rsidRPr="002C21B8" w14:paraId="62CC5F0C" w14:textId="77777777" w:rsidTr="00960A9F">
        <w:trPr>
          <w:trHeight w:val="320"/>
        </w:trPr>
        <w:tc>
          <w:tcPr>
            <w:tcW w:w="701" w:type="dxa"/>
            <w:shd w:val="clear" w:color="auto" w:fill="auto"/>
            <w:vAlign w:val="center"/>
          </w:tcPr>
          <w:p w14:paraId="5E2EBF30" w14:textId="77777777" w:rsidR="00FA366A" w:rsidRPr="002C21B8" w:rsidRDefault="00FA366A" w:rsidP="00212D46">
            <w:pPr>
              <w:spacing w:after="0" w:line="240" w:lineRule="auto"/>
              <w:rPr>
                <w:sz w:val="20"/>
                <w:szCs w:val="20"/>
              </w:rPr>
            </w:pPr>
            <w:r w:rsidRPr="002C21B8">
              <w:rPr>
                <w:sz w:val="20"/>
                <w:szCs w:val="20"/>
              </w:rPr>
              <w:t>35</w:t>
            </w:r>
          </w:p>
        </w:tc>
        <w:tc>
          <w:tcPr>
            <w:tcW w:w="8504" w:type="dxa"/>
            <w:shd w:val="clear" w:color="auto" w:fill="auto"/>
            <w:vAlign w:val="bottom"/>
          </w:tcPr>
          <w:p w14:paraId="42697578" w14:textId="77777777" w:rsidR="00FA366A" w:rsidRPr="002C21B8" w:rsidRDefault="00FA366A" w:rsidP="00212D46">
            <w:pPr>
              <w:spacing w:after="0" w:line="240" w:lineRule="auto"/>
              <w:rPr>
                <w:sz w:val="20"/>
                <w:szCs w:val="20"/>
              </w:rPr>
            </w:pPr>
            <w:r w:rsidRPr="002C21B8">
              <w:rPr>
                <w:sz w:val="20"/>
                <w:szCs w:val="20"/>
              </w:rPr>
              <w:t>cerebral palsy/</w:t>
            </w:r>
          </w:p>
        </w:tc>
      </w:tr>
      <w:tr w:rsidR="00FA366A" w:rsidRPr="002C21B8" w14:paraId="5476AB16" w14:textId="77777777" w:rsidTr="00960A9F">
        <w:trPr>
          <w:trHeight w:val="320"/>
        </w:trPr>
        <w:tc>
          <w:tcPr>
            <w:tcW w:w="701" w:type="dxa"/>
            <w:shd w:val="clear" w:color="auto" w:fill="auto"/>
            <w:vAlign w:val="center"/>
          </w:tcPr>
          <w:p w14:paraId="5567431F" w14:textId="77777777" w:rsidR="00FA366A" w:rsidRPr="002C21B8" w:rsidRDefault="00FA366A" w:rsidP="00212D46">
            <w:pPr>
              <w:spacing w:after="0" w:line="240" w:lineRule="auto"/>
              <w:rPr>
                <w:sz w:val="20"/>
                <w:szCs w:val="20"/>
              </w:rPr>
            </w:pPr>
            <w:r w:rsidRPr="002C21B8">
              <w:rPr>
                <w:sz w:val="20"/>
                <w:szCs w:val="20"/>
              </w:rPr>
              <w:t>36</w:t>
            </w:r>
          </w:p>
        </w:tc>
        <w:tc>
          <w:tcPr>
            <w:tcW w:w="8504" w:type="dxa"/>
            <w:shd w:val="clear" w:color="auto" w:fill="auto"/>
            <w:vAlign w:val="bottom"/>
          </w:tcPr>
          <w:p w14:paraId="7586EE73" w14:textId="77777777" w:rsidR="00FA366A" w:rsidRPr="002C21B8" w:rsidRDefault="00FA366A" w:rsidP="00212D46">
            <w:pPr>
              <w:spacing w:after="0" w:line="240" w:lineRule="auto"/>
              <w:rPr>
                <w:sz w:val="20"/>
                <w:szCs w:val="20"/>
              </w:rPr>
            </w:pPr>
            <w:r w:rsidRPr="002C21B8">
              <w:rPr>
                <w:sz w:val="20"/>
                <w:szCs w:val="20"/>
              </w:rPr>
              <w:t>cerebral pals*.ti,ab.</w:t>
            </w:r>
          </w:p>
        </w:tc>
      </w:tr>
      <w:tr w:rsidR="00FA366A" w:rsidRPr="002C21B8" w14:paraId="6C4564BC" w14:textId="77777777" w:rsidTr="00960A9F">
        <w:trPr>
          <w:trHeight w:val="320"/>
        </w:trPr>
        <w:tc>
          <w:tcPr>
            <w:tcW w:w="701" w:type="dxa"/>
            <w:shd w:val="clear" w:color="auto" w:fill="auto"/>
            <w:vAlign w:val="center"/>
          </w:tcPr>
          <w:p w14:paraId="678E47D4" w14:textId="77777777" w:rsidR="00FA366A" w:rsidRPr="002C21B8" w:rsidRDefault="00FA366A" w:rsidP="00212D46">
            <w:pPr>
              <w:spacing w:after="0" w:line="240" w:lineRule="auto"/>
              <w:rPr>
                <w:sz w:val="20"/>
                <w:szCs w:val="20"/>
              </w:rPr>
            </w:pPr>
            <w:r w:rsidRPr="002C21B8">
              <w:rPr>
                <w:sz w:val="20"/>
                <w:szCs w:val="20"/>
              </w:rPr>
              <w:t>37</w:t>
            </w:r>
          </w:p>
        </w:tc>
        <w:tc>
          <w:tcPr>
            <w:tcW w:w="8504" w:type="dxa"/>
            <w:shd w:val="clear" w:color="auto" w:fill="auto"/>
            <w:vAlign w:val="bottom"/>
          </w:tcPr>
          <w:p w14:paraId="58666BE0" w14:textId="77777777" w:rsidR="00FA366A" w:rsidRPr="002C21B8" w:rsidRDefault="00FA366A" w:rsidP="00212D46">
            <w:pPr>
              <w:spacing w:after="0" w:line="240" w:lineRule="auto"/>
              <w:rPr>
                <w:sz w:val="20"/>
                <w:szCs w:val="20"/>
              </w:rPr>
            </w:pPr>
            <w:r w:rsidRPr="002C21B8">
              <w:rPr>
                <w:sz w:val="20"/>
                <w:szCs w:val="20"/>
              </w:rPr>
              <w:t>celiac disease/</w:t>
            </w:r>
          </w:p>
        </w:tc>
      </w:tr>
      <w:tr w:rsidR="00FA366A" w:rsidRPr="002C21B8" w14:paraId="645E8E74" w14:textId="77777777" w:rsidTr="00960A9F">
        <w:trPr>
          <w:trHeight w:val="320"/>
        </w:trPr>
        <w:tc>
          <w:tcPr>
            <w:tcW w:w="701" w:type="dxa"/>
            <w:shd w:val="clear" w:color="auto" w:fill="auto"/>
            <w:vAlign w:val="center"/>
          </w:tcPr>
          <w:p w14:paraId="3D3683DF" w14:textId="77777777" w:rsidR="00FA366A" w:rsidRPr="002C21B8" w:rsidRDefault="00FA366A" w:rsidP="00212D46">
            <w:pPr>
              <w:spacing w:after="0" w:line="240" w:lineRule="auto"/>
              <w:rPr>
                <w:sz w:val="20"/>
                <w:szCs w:val="20"/>
              </w:rPr>
            </w:pPr>
            <w:r w:rsidRPr="002C21B8">
              <w:rPr>
                <w:sz w:val="20"/>
                <w:szCs w:val="20"/>
              </w:rPr>
              <w:t>38</w:t>
            </w:r>
          </w:p>
        </w:tc>
        <w:tc>
          <w:tcPr>
            <w:tcW w:w="8504" w:type="dxa"/>
            <w:shd w:val="clear" w:color="auto" w:fill="auto"/>
            <w:vAlign w:val="bottom"/>
          </w:tcPr>
          <w:p w14:paraId="6F6DDA59" w14:textId="77777777" w:rsidR="00FA366A" w:rsidRPr="002C21B8" w:rsidRDefault="00FA366A" w:rsidP="00212D46">
            <w:pPr>
              <w:spacing w:after="0" w:line="240" w:lineRule="auto"/>
              <w:rPr>
                <w:sz w:val="20"/>
                <w:szCs w:val="20"/>
              </w:rPr>
            </w:pPr>
            <w:r w:rsidRPr="002C21B8">
              <w:rPr>
                <w:sz w:val="20"/>
                <w:szCs w:val="20"/>
              </w:rPr>
              <w:t>(c?eliac adj (disease or sprue or syndrome)).ti,ab.</w:t>
            </w:r>
          </w:p>
        </w:tc>
      </w:tr>
      <w:tr w:rsidR="00FA366A" w:rsidRPr="002C21B8" w14:paraId="2028AE4C" w14:textId="77777777" w:rsidTr="00960A9F">
        <w:trPr>
          <w:trHeight w:val="320"/>
        </w:trPr>
        <w:tc>
          <w:tcPr>
            <w:tcW w:w="701" w:type="dxa"/>
            <w:shd w:val="clear" w:color="auto" w:fill="auto"/>
            <w:vAlign w:val="center"/>
          </w:tcPr>
          <w:p w14:paraId="1A8BD73A" w14:textId="77777777" w:rsidR="00FA366A" w:rsidRPr="002C21B8" w:rsidRDefault="00FA366A" w:rsidP="00212D46">
            <w:pPr>
              <w:spacing w:after="0" w:line="240" w:lineRule="auto"/>
              <w:rPr>
                <w:sz w:val="20"/>
                <w:szCs w:val="20"/>
              </w:rPr>
            </w:pPr>
            <w:r w:rsidRPr="002C21B8">
              <w:rPr>
                <w:sz w:val="20"/>
                <w:szCs w:val="20"/>
              </w:rPr>
              <w:t>39</w:t>
            </w:r>
          </w:p>
        </w:tc>
        <w:tc>
          <w:tcPr>
            <w:tcW w:w="8504" w:type="dxa"/>
            <w:shd w:val="clear" w:color="auto" w:fill="auto"/>
            <w:vAlign w:val="bottom"/>
          </w:tcPr>
          <w:p w14:paraId="01CC92CF" w14:textId="77777777" w:rsidR="00FA366A" w:rsidRPr="002C21B8" w:rsidRDefault="00FA366A" w:rsidP="00212D46">
            <w:pPr>
              <w:spacing w:after="0" w:line="240" w:lineRule="auto"/>
              <w:rPr>
                <w:sz w:val="20"/>
                <w:szCs w:val="20"/>
              </w:rPr>
            </w:pPr>
            <w:r w:rsidRPr="002C21B8">
              <w:rPr>
                <w:sz w:val="20"/>
                <w:szCs w:val="20"/>
              </w:rPr>
              <w:t>(gluten adj (enteropath* or sensitiv* or hypersensitiv* or intoleran*)).ti,ab.</w:t>
            </w:r>
          </w:p>
        </w:tc>
      </w:tr>
      <w:tr w:rsidR="00FA366A" w:rsidRPr="002C21B8" w14:paraId="6204721F" w14:textId="77777777" w:rsidTr="00960A9F">
        <w:trPr>
          <w:trHeight w:val="320"/>
        </w:trPr>
        <w:tc>
          <w:tcPr>
            <w:tcW w:w="701" w:type="dxa"/>
            <w:shd w:val="clear" w:color="auto" w:fill="auto"/>
            <w:vAlign w:val="center"/>
          </w:tcPr>
          <w:p w14:paraId="53B35BB3" w14:textId="77777777" w:rsidR="00FA366A" w:rsidRPr="002C21B8" w:rsidRDefault="00FA366A" w:rsidP="00212D46">
            <w:pPr>
              <w:spacing w:after="0" w:line="240" w:lineRule="auto"/>
              <w:rPr>
                <w:sz w:val="20"/>
                <w:szCs w:val="20"/>
              </w:rPr>
            </w:pPr>
            <w:r w:rsidRPr="002C21B8">
              <w:rPr>
                <w:sz w:val="20"/>
                <w:szCs w:val="20"/>
              </w:rPr>
              <w:t>40</w:t>
            </w:r>
          </w:p>
        </w:tc>
        <w:tc>
          <w:tcPr>
            <w:tcW w:w="8504" w:type="dxa"/>
            <w:shd w:val="clear" w:color="auto" w:fill="auto"/>
            <w:vAlign w:val="bottom"/>
          </w:tcPr>
          <w:p w14:paraId="22D1B473" w14:textId="77777777" w:rsidR="00FA366A" w:rsidRPr="002C21B8" w:rsidRDefault="00FA366A" w:rsidP="00212D46">
            <w:pPr>
              <w:spacing w:after="0" w:line="240" w:lineRule="auto"/>
              <w:rPr>
                <w:sz w:val="20"/>
                <w:szCs w:val="20"/>
              </w:rPr>
            </w:pPr>
            <w:r w:rsidRPr="002C21B8">
              <w:rPr>
                <w:sz w:val="20"/>
                <w:szCs w:val="20"/>
              </w:rPr>
              <w:t>exp connective tissue diseases/</w:t>
            </w:r>
          </w:p>
        </w:tc>
      </w:tr>
      <w:tr w:rsidR="00FA366A" w:rsidRPr="002C21B8" w14:paraId="1AB1B769" w14:textId="77777777" w:rsidTr="00960A9F">
        <w:trPr>
          <w:trHeight w:val="320"/>
        </w:trPr>
        <w:tc>
          <w:tcPr>
            <w:tcW w:w="701" w:type="dxa"/>
            <w:shd w:val="clear" w:color="auto" w:fill="auto"/>
            <w:vAlign w:val="center"/>
          </w:tcPr>
          <w:p w14:paraId="5F9B0100" w14:textId="77777777" w:rsidR="00FA366A" w:rsidRPr="002C21B8" w:rsidRDefault="00FA366A" w:rsidP="00212D46">
            <w:pPr>
              <w:spacing w:after="0" w:line="240" w:lineRule="auto"/>
              <w:rPr>
                <w:sz w:val="20"/>
                <w:szCs w:val="20"/>
              </w:rPr>
            </w:pPr>
            <w:r w:rsidRPr="002C21B8">
              <w:rPr>
                <w:sz w:val="20"/>
                <w:szCs w:val="20"/>
              </w:rPr>
              <w:t>41</w:t>
            </w:r>
          </w:p>
        </w:tc>
        <w:tc>
          <w:tcPr>
            <w:tcW w:w="8504" w:type="dxa"/>
            <w:shd w:val="clear" w:color="auto" w:fill="auto"/>
            <w:vAlign w:val="bottom"/>
          </w:tcPr>
          <w:p w14:paraId="588252DC" w14:textId="77777777" w:rsidR="00FA366A" w:rsidRPr="002C21B8" w:rsidRDefault="00FA366A" w:rsidP="00212D46">
            <w:pPr>
              <w:spacing w:after="0" w:line="240" w:lineRule="auto"/>
              <w:rPr>
                <w:sz w:val="20"/>
                <w:szCs w:val="20"/>
              </w:rPr>
            </w:pPr>
            <w:r w:rsidRPr="002C21B8">
              <w:rPr>
                <w:sz w:val="20"/>
                <w:szCs w:val="20"/>
              </w:rPr>
              <w:t>(connective tissue disease* or sharp syndrome or polymyositis or systemic sclerosis or scleroderma).ti,ab.</w:t>
            </w:r>
          </w:p>
        </w:tc>
      </w:tr>
      <w:tr w:rsidR="00FA366A" w:rsidRPr="002C21B8" w14:paraId="640E393A" w14:textId="77777777" w:rsidTr="00960A9F">
        <w:trPr>
          <w:trHeight w:val="320"/>
        </w:trPr>
        <w:tc>
          <w:tcPr>
            <w:tcW w:w="701" w:type="dxa"/>
            <w:shd w:val="clear" w:color="auto" w:fill="auto"/>
            <w:vAlign w:val="center"/>
          </w:tcPr>
          <w:p w14:paraId="2ED609CB" w14:textId="77777777" w:rsidR="00FA366A" w:rsidRPr="002C21B8" w:rsidRDefault="00FA366A" w:rsidP="00212D46">
            <w:pPr>
              <w:spacing w:after="0" w:line="240" w:lineRule="auto"/>
              <w:rPr>
                <w:sz w:val="20"/>
                <w:szCs w:val="20"/>
              </w:rPr>
            </w:pPr>
            <w:r w:rsidRPr="002C21B8">
              <w:rPr>
                <w:sz w:val="20"/>
                <w:szCs w:val="20"/>
              </w:rPr>
              <w:t>42</w:t>
            </w:r>
          </w:p>
        </w:tc>
        <w:tc>
          <w:tcPr>
            <w:tcW w:w="8504" w:type="dxa"/>
            <w:shd w:val="clear" w:color="auto" w:fill="auto"/>
            <w:vAlign w:val="bottom"/>
          </w:tcPr>
          <w:p w14:paraId="644271A2" w14:textId="77777777" w:rsidR="00FA366A" w:rsidRPr="002C21B8" w:rsidRDefault="00FA366A" w:rsidP="00212D46">
            <w:pPr>
              <w:spacing w:after="0" w:line="240" w:lineRule="auto"/>
              <w:rPr>
                <w:sz w:val="20"/>
                <w:szCs w:val="20"/>
              </w:rPr>
            </w:pPr>
            <w:r w:rsidRPr="002C21B8">
              <w:rPr>
                <w:sz w:val="20"/>
                <w:szCs w:val="20"/>
              </w:rPr>
              <w:t>exp myocardial ischemia/</w:t>
            </w:r>
          </w:p>
        </w:tc>
      </w:tr>
      <w:tr w:rsidR="00FA366A" w:rsidRPr="002C21B8" w14:paraId="4EF1A748" w14:textId="77777777" w:rsidTr="00960A9F">
        <w:trPr>
          <w:trHeight w:val="320"/>
        </w:trPr>
        <w:tc>
          <w:tcPr>
            <w:tcW w:w="701" w:type="dxa"/>
            <w:shd w:val="clear" w:color="auto" w:fill="auto"/>
            <w:vAlign w:val="center"/>
          </w:tcPr>
          <w:p w14:paraId="10B65D0F" w14:textId="77777777" w:rsidR="00FA366A" w:rsidRPr="002C21B8" w:rsidRDefault="00FA366A" w:rsidP="00212D46">
            <w:pPr>
              <w:spacing w:after="0" w:line="240" w:lineRule="auto"/>
              <w:rPr>
                <w:sz w:val="20"/>
                <w:szCs w:val="20"/>
              </w:rPr>
            </w:pPr>
            <w:r w:rsidRPr="002C21B8">
              <w:rPr>
                <w:sz w:val="20"/>
                <w:szCs w:val="20"/>
              </w:rPr>
              <w:t>43</w:t>
            </w:r>
          </w:p>
        </w:tc>
        <w:tc>
          <w:tcPr>
            <w:tcW w:w="8504" w:type="dxa"/>
            <w:shd w:val="clear" w:color="auto" w:fill="auto"/>
            <w:vAlign w:val="bottom"/>
          </w:tcPr>
          <w:p w14:paraId="3F1CCD02" w14:textId="77777777" w:rsidR="00FA366A" w:rsidRPr="002C21B8" w:rsidRDefault="00FA366A" w:rsidP="00212D46">
            <w:pPr>
              <w:spacing w:after="0" w:line="240" w:lineRule="auto"/>
              <w:rPr>
                <w:sz w:val="20"/>
                <w:szCs w:val="20"/>
              </w:rPr>
            </w:pPr>
            <w:r w:rsidRPr="002C21B8">
              <w:rPr>
                <w:sz w:val="20"/>
                <w:szCs w:val="20"/>
              </w:rPr>
              <w:t>(heart disease* or myocardial ischemia or coronary disease* or coronary artery disease* or coronary heart disease* or myocardial infarct*).ti,ab.</w:t>
            </w:r>
          </w:p>
        </w:tc>
      </w:tr>
      <w:tr w:rsidR="00FA366A" w:rsidRPr="002C21B8" w14:paraId="49C5E651" w14:textId="77777777" w:rsidTr="00960A9F">
        <w:trPr>
          <w:trHeight w:val="320"/>
        </w:trPr>
        <w:tc>
          <w:tcPr>
            <w:tcW w:w="701" w:type="dxa"/>
            <w:shd w:val="clear" w:color="auto" w:fill="auto"/>
            <w:vAlign w:val="center"/>
          </w:tcPr>
          <w:p w14:paraId="27AB6207" w14:textId="77777777" w:rsidR="00FA366A" w:rsidRPr="002C21B8" w:rsidRDefault="00FA366A" w:rsidP="00212D46">
            <w:pPr>
              <w:spacing w:after="0" w:line="240" w:lineRule="auto"/>
              <w:rPr>
                <w:sz w:val="20"/>
                <w:szCs w:val="20"/>
              </w:rPr>
            </w:pPr>
            <w:r w:rsidRPr="002C21B8">
              <w:rPr>
                <w:sz w:val="20"/>
                <w:szCs w:val="20"/>
              </w:rPr>
              <w:t>44</w:t>
            </w:r>
          </w:p>
        </w:tc>
        <w:tc>
          <w:tcPr>
            <w:tcW w:w="8504" w:type="dxa"/>
            <w:shd w:val="clear" w:color="auto" w:fill="auto"/>
            <w:vAlign w:val="bottom"/>
          </w:tcPr>
          <w:p w14:paraId="74DC7D75" w14:textId="77777777" w:rsidR="00FA366A" w:rsidRPr="002C21B8" w:rsidRDefault="00FA366A" w:rsidP="00212D46">
            <w:pPr>
              <w:spacing w:after="0" w:line="240" w:lineRule="auto"/>
              <w:rPr>
                <w:sz w:val="20"/>
                <w:szCs w:val="20"/>
              </w:rPr>
            </w:pPr>
            <w:r w:rsidRPr="002C21B8">
              <w:rPr>
                <w:sz w:val="20"/>
                <w:szCs w:val="20"/>
              </w:rPr>
              <w:t>exp hypersensitivity/</w:t>
            </w:r>
          </w:p>
        </w:tc>
      </w:tr>
      <w:tr w:rsidR="00FA366A" w:rsidRPr="002C21B8" w14:paraId="19062735" w14:textId="77777777" w:rsidTr="00960A9F">
        <w:trPr>
          <w:trHeight w:val="320"/>
        </w:trPr>
        <w:tc>
          <w:tcPr>
            <w:tcW w:w="701" w:type="dxa"/>
            <w:shd w:val="clear" w:color="auto" w:fill="auto"/>
            <w:vAlign w:val="center"/>
          </w:tcPr>
          <w:p w14:paraId="48219228" w14:textId="77777777" w:rsidR="00FA366A" w:rsidRPr="002C21B8" w:rsidRDefault="00FA366A" w:rsidP="00212D46">
            <w:pPr>
              <w:spacing w:after="0" w:line="240" w:lineRule="auto"/>
              <w:rPr>
                <w:sz w:val="20"/>
                <w:szCs w:val="20"/>
              </w:rPr>
            </w:pPr>
            <w:r w:rsidRPr="002C21B8">
              <w:rPr>
                <w:sz w:val="20"/>
                <w:szCs w:val="20"/>
              </w:rPr>
              <w:t>45</w:t>
            </w:r>
          </w:p>
        </w:tc>
        <w:tc>
          <w:tcPr>
            <w:tcW w:w="8504" w:type="dxa"/>
            <w:shd w:val="clear" w:color="auto" w:fill="auto"/>
            <w:vAlign w:val="bottom"/>
          </w:tcPr>
          <w:p w14:paraId="4AF0F57A" w14:textId="77777777" w:rsidR="00FA366A" w:rsidRPr="002C21B8" w:rsidRDefault="00FA366A" w:rsidP="00212D46">
            <w:pPr>
              <w:spacing w:after="0" w:line="240" w:lineRule="auto"/>
              <w:rPr>
                <w:sz w:val="20"/>
                <w:szCs w:val="20"/>
              </w:rPr>
            </w:pPr>
            <w:r w:rsidRPr="002C21B8">
              <w:rPr>
                <w:sz w:val="20"/>
                <w:szCs w:val="20"/>
              </w:rPr>
              <w:t>exp allergy/ and immunology/</w:t>
            </w:r>
          </w:p>
        </w:tc>
      </w:tr>
      <w:tr w:rsidR="00FA366A" w:rsidRPr="002C21B8" w14:paraId="37A7DE5A" w14:textId="77777777" w:rsidTr="00960A9F">
        <w:trPr>
          <w:trHeight w:val="320"/>
        </w:trPr>
        <w:tc>
          <w:tcPr>
            <w:tcW w:w="701" w:type="dxa"/>
            <w:shd w:val="clear" w:color="auto" w:fill="auto"/>
            <w:vAlign w:val="center"/>
          </w:tcPr>
          <w:p w14:paraId="1C1AE696" w14:textId="77777777" w:rsidR="00FA366A" w:rsidRPr="002C21B8" w:rsidRDefault="00FA366A" w:rsidP="00212D46">
            <w:pPr>
              <w:spacing w:after="0" w:line="240" w:lineRule="auto"/>
              <w:rPr>
                <w:sz w:val="20"/>
                <w:szCs w:val="20"/>
              </w:rPr>
            </w:pPr>
            <w:r w:rsidRPr="002C21B8">
              <w:rPr>
                <w:sz w:val="20"/>
                <w:szCs w:val="20"/>
              </w:rPr>
              <w:t>46</w:t>
            </w:r>
          </w:p>
        </w:tc>
        <w:tc>
          <w:tcPr>
            <w:tcW w:w="8504" w:type="dxa"/>
            <w:shd w:val="clear" w:color="auto" w:fill="auto"/>
            <w:vAlign w:val="bottom"/>
          </w:tcPr>
          <w:p w14:paraId="4F0CC329" w14:textId="77777777" w:rsidR="00FA366A" w:rsidRPr="002C21B8" w:rsidRDefault="00FA366A" w:rsidP="00212D46">
            <w:pPr>
              <w:spacing w:after="0" w:line="240" w:lineRule="auto"/>
              <w:rPr>
                <w:sz w:val="20"/>
                <w:szCs w:val="20"/>
              </w:rPr>
            </w:pPr>
            <w:r w:rsidRPr="002C21B8">
              <w:rPr>
                <w:sz w:val="20"/>
                <w:szCs w:val="20"/>
              </w:rPr>
              <w:t>anaphylaxis/</w:t>
            </w:r>
          </w:p>
        </w:tc>
      </w:tr>
      <w:tr w:rsidR="00FA366A" w:rsidRPr="002C21B8" w14:paraId="00AB4F98" w14:textId="77777777" w:rsidTr="00960A9F">
        <w:trPr>
          <w:trHeight w:val="320"/>
        </w:trPr>
        <w:tc>
          <w:tcPr>
            <w:tcW w:w="701" w:type="dxa"/>
            <w:shd w:val="clear" w:color="auto" w:fill="auto"/>
            <w:vAlign w:val="center"/>
          </w:tcPr>
          <w:p w14:paraId="3E09F019" w14:textId="77777777" w:rsidR="00FA366A" w:rsidRPr="002C21B8" w:rsidRDefault="00FA366A" w:rsidP="00212D46">
            <w:pPr>
              <w:spacing w:after="0" w:line="240" w:lineRule="auto"/>
              <w:rPr>
                <w:sz w:val="20"/>
                <w:szCs w:val="20"/>
              </w:rPr>
            </w:pPr>
            <w:r w:rsidRPr="002C21B8">
              <w:rPr>
                <w:sz w:val="20"/>
                <w:szCs w:val="20"/>
              </w:rPr>
              <w:t>47</w:t>
            </w:r>
          </w:p>
        </w:tc>
        <w:tc>
          <w:tcPr>
            <w:tcW w:w="8504" w:type="dxa"/>
            <w:shd w:val="clear" w:color="auto" w:fill="auto"/>
            <w:vAlign w:val="bottom"/>
          </w:tcPr>
          <w:p w14:paraId="1E4CBAE9" w14:textId="77777777" w:rsidR="00FA366A" w:rsidRPr="002C21B8" w:rsidRDefault="00FA366A" w:rsidP="00212D46">
            <w:pPr>
              <w:spacing w:after="0" w:line="240" w:lineRule="auto"/>
              <w:rPr>
                <w:sz w:val="20"/>
                <w:szCs w:val="20"/>
              </w:rPr>
            </w:pPr>
            <w:r w:rsidRPr="002C21B8">
              <w:rPr>
                <w:sz w:val="20"/>
                <w:szCs w:val="20"/>
              </w:rPr>
              <w:t>(allerg* or hypersensitivit* or tierg* or intolerance or anaphyla*).ti,ab.</w:t>
            </w:r>
          </w:p>
        </w:tc>
      </w:tr>
      <w:tr w:rsidR="00FA366A" w:rsidRPr="002C21B8" w14:paraId="1DDE04D5" w14:textId="77777777" w:rsidTr="00960A9F">
        <w:trPr>
          <w:trHeight w:val="320"/>
        </w:trPr>
        <w:tc>
          <w:tcPr>
            <w:tcW w:w="701" w:type="dxa"/>
            <w:shd w:val="clear" w:color="auto" w:fill="auto"/>
            <w:vAlign w:val="center"/>
          </w:tcPr>
          <w:p w14:paraId="4719309E" w14:textId="77777777" w:rsidR="00FA366A" w:rsidRPr="002C21B8" w:rsidRDefault="00FA366A" w:rsidP="00212D46">
            <w:pPr>
              <w:spacing w:after="0" w:line="240" w:lineRule="auto"/>
              <w:rPr>
                <w:sz w:val="20"/>
                <w:szCs w:val="20"/>
              </w:rPr>
            </w:pPr>
            <w:r w:rsidRPr="002C21B8">
              <w:rPr>
                <w:sz w:val="20"/>
                <w:szCs w:val="20"/>
              </w:rPr>
              <w:t>48</w:t>
            </w:r>
          </w:p>
        </w:tc>
        <w:tc>
          <w:tcPr>
            <w:tcW w:w="8504" w:type="dxa"/>
            <w:shd w:val="clear" w:color="auto" w:fill="auto"/>
            <w:vAlign w:val="bottom"/>
          </w:tcPr>
          <w:p w14:paraId="2C6AF24B" w14:textId="77777777" w:rsidR="00FA366A" w:rsidRPr="002C21B8" w:rsidRDefault="00FA366A" w:rsidP="00212D46">
            <w:pPr>
              <w:spacing w:after="0" w:line="240" w:lineRule="auto"/>
              <w:rPr>
                <w:sz w:val="20"/>
                <w:szCs w:val="20"/>
              </w:rPr>
            </w:pPr>
            <w:r w:rsidRPr="002C21B8">
              <w:rPr>
                <w:sz w:val="20"/>
                <w:szCs w:val="20"/>
              </w:rPr>
              <w:t>exp asthma/</w:t>
            </w:r>
          </w:p>
        </w:tc>
      </w:tr>
      <w:tr w:rsidR="00FA366A" w:rsidRPr="002C21B8" w14:paraId="6E661B2A" w14:textId="77777777" w:rsidTr="00960A9F">
        <w:trPr>
          <w:trHeight w:val="320"/>
        </w:trPr>
        <w:tc>
          <w:tcPr>
            <w:tcW w:w="701" w:type="dxa"/>
            <w:shd w:val="clear" w:color="auto" w:fill="auto"/>
            <w:vAlign w:val="center"/>
          </w:tcPr>
          <w:p w14:paraId="696C3432" w14:textId="77777777" w:rsidR="00FA366A" w:rsidRPr="002C21B8" w:rsidRDefault="00FA366A" w:rsidP="00212D46">
            <w:pPr>
              <w:spacing w:after="0" w:line="240" w:lineRule="auto"/>
              <w:rPr>
                <w:sz w:val="20"/>
                <w:szCs w:val="20"/>
              </w:rPr>
            </w:pPr>
            <w:r w:rsidRPr="002C21B8">
              <w:rPr>
                <w:sz w:val="20"/>
                <w:szCs w:val="20"/>
              </w:rPr>
              <w:t>49</w:t>
            </w:r>
          </w:p>
        </w:tc>
        <w:tc>
          <w:tcPr>
            <w:tcW w:w="8504" w:type="dxa"/>
            <w:shd w:val="clear" w:color="auto" w:fill="auto"/>
            <w:vAlign w:val="bottom"/>
          </w:tcPr>
          <w:p w14:paraId="771B53AD" w14:textId="77777777" w:rsidR="00FA366A" w:rsidRPr="002C21B8" w:rsidRDefault="00FA366A" w:rsidP="00212D46">
            <w:pPr>
              <w:spacing w:after="0" w:line="240" w:lineRule="auto"/>
              <w:rPr>
                <w:sz w:val="20"/>
                <w:szCs w:val="20"/>
              </w:rPr>
            </w:pPr>
            <w:r w:rsidRPr="002C21B8">
              <w:rPr>
                <w:sz w:val="20"/>
                <w:szCs w:val="20"/>
              </w:rPr>
              <w:t>bronchial spasm/</w:t>
            </w:r>
          </w:p>
        </w:tc>
      </w:tr>
      <w:tr w:rsidR="00FA366A" w:rsidRPr="002C21B8" w14:paraId="19E16AFD" w14:textId="77777777" w:rsidTr="00960A9F">
        <w:trPr>
          <w:trHeight w:val="320"/>
        </w:trPr>
        <w:tc>
          <w:tcPr>
            <w:tcW w:w="701" w:type="dxa"/>
            <w:shd w:val="clear" w:color="auto" w:fill="auto"/>
            <w:vAlign w:val="center"/>
          </w:tcPr>
          <w:p w14:paraId="5E2D1C1B" w14:textId="77777777" w:rsidR="00FA366A" w:rsidRPr="002C21B8" w:rsidRDefault="00FA366A" w:rsidP="00212D46">
            <w:pPr>
              <w:spacing w:after="0" w:line="240" w:lineRule="auto"/>
              <w:rPr>
                <w:sz w:val="20"/>
                <w:szCs w:val="20"/>
              </w:rPr>
            </w:pPr>
            <w:r w:rsidRPr="002C21B8">
              <w:rPr>
                <w:sz w:val="20"/>
                <w:szCs w:val="20"/>
              </w:rPr>
              <w:t>50</w:t>
            </w:r>
          </w:p>
        </w:tc>
        <w:tc>
          <w:tcPr>
            <w:tcW w:w="8504" w:type="dxa"/>
            <w:shd w:val="clear" w:color="auto" w:fill="auto"/>
            <w:vAlign w:val="bottom"/>
          </w:tcPr>
          <w:p w14:paraId="039C2FC6" w14:textId="77777777" w:rsidR="00FA366A" w:rsidRPr="002C21B8" w:rsidRDefault="00FA366A" w:rsidP="00212D46">
            <w:pPr>
              <w:spacing w:after="0" w:line="240" w:lineRule="auto"/>
              <w:rPr>
                <w:sz w:val="20"/>
                <w:szCs w:val="20"/>
              </w:rPr>
            </w:pPr>
            <w:r w:rsidRPr="002C21B8">
              <w:rPr>
                <w:sz w:val="20"/>
                <w:szCs w:val="20"/>
              </w:rPr>
              <w:t>bronchoconstriction/</w:t>
            </w:r>
          </w:p>
        </w:tc>
      </w:tr>
      <w:tr w:rsidR="00FA366A" w:rsidRPr="002C21B8" w14:paraId="5E2AB38E" w14:textId="77777777" w:rsidTr="00960A9F">
        <w:trPr>
          <w:trHeight w:val="320"/>
        </w:trPr>
        <w:tc>
          <w:tcPr>
            <w:tcW w:w="701" w:type="dxa"/>
            <w:shd w:val="clear" w:color="auto" w:fill="auto"/>
            <w:vAlign w:val="center"/>
          </w:tcPr>
          <w:p w14:paraId="77D23E41" w14:textId="77777777" w:rsidR="00FA366A" w:rsidRPr="002C21B8" w:rsidRDefault="00FA366A" w:rsidP="00212D46">
            <w:pPr>
              <w:spacing w:after="0" w:line="240" w:lineRule="auto"/>
              <w:rPr>
                <w:sz w:val="20"/>
                <w:szCs w:val="20"/>
              </w:rPr>
            </w:pPr>
            <w:r w:rsidRPr="002C21B8">
              <w:rPr>
                <w:sz w:val="20"/>
                <w:szCs w:val="20"/>
              </w:rPr>
              <w:t>51</w:t>
            </w:r>
          </w:p>
        </w:tc>
        <w:tc>
          <w:tcPr>
            <w:tcW w:w="8504" w:type="dxa"/>
            <w:shd w:val="clear" w:color="auto" w:fill="auto"/>
            <w:vAlign w:val="bottom"/>
          </w:tcPr>
          <w:p w14:paraId="57AB355A" w14:textId="77777777" w:rsidR="00FA366A" w:rsidRPr="002C21B8" w:rsidRDefault="00FA366A" w:rsidP="00212D46">
            <w:pPr>
              <w:spacing w:after="0" w:line="240" w:lineRule="auto"/>
              <w:rPr>
                <w:sz w:val="20"/>
                <w:szCs w:val="20"/>
              </w:rPr>
            </w:pPr>
            <w:r w:rsidRPr="002C21B8">
              <w:rPr>
                <w:sz w:val="20"/>
                <w:szCs w:val="20"/>
              </w:rPr>
              <w:t>((bronchial* or respiratory or airway* or lung*) adj (hypersensitive* or hyperreactiv* or allerg* or insufficiency)).ti,ab.</w:t>
            </w:r>
          </w:p>
        </w:tc>
      </w:tr>
      <w:tr w:rsidR="00FA366A" w:rsidRPr="002C21B8" w14:paraId="16CD651D" w14:textId="77777777" w:rsidTr="00960A9F">
        <w:trPr>
          <w:trHeight w:val="320"/>
        </w:trPr>
        <w:tc>
          <w:tcPr>
            <w:tcW w:w="701" w:type="dxa"/>
            <w:shd w:val="clear" w:color="auto" w:fill="auto"/>
            <w:vAlign w:val="center"/>
          </w:tcPr>
          <w:p w14:paraId="27374413" w14:textId="77777777" w:rsidR="00FA366A" w:rsidRPr="002C21B8" w:rsidRDefault="00FA366A" w:rsidP="00212D46">
            <w:pPr>
              <w:spacing w:after="0" w:line="240" w:lineRule="auto"/>
              <w:rPr>
                <w:sz w:val="20"/>
                <w:szCs w:val="20"/>
              </w:rPr>
            </w:pPr>
            <w:r w:rsidRPr="002C21B8">
              <w:rPr>
                <w:sz w:val="20"/>
                <w:szCs w:val="20"/>
              </w:rPr>
              <w:t>52</w:t>
            </w:r>
          </w:p>
        </w:tc>
        <w:tc>
          <w:tcPr>
            <w:tcW w:w="8504" w:type="dxa"/>
            <w:shd w:val="clear" w:color="auto" w:fill="auto"/>
            <w:vAlign w:val="bottom"/>
          </w:tcPr>
          <w:p w14:paraId="0E3B5F8D" w14:textId="77777777" w:rsidR="00FA366A" w:rsidRPr="002C21B8" w:rsidRDefault="00FA366A" w:rsidP="00212D46">
            <w:pPr>
              <w:spacing w:after="0" w:line="240" w:lineRule="auto"/>
              <w:rPr>
                <w:sz w:val="20"/>
                <w:szCs w:val="20"/>
              </w:rPr>
            </w:pPr>
            <w:r w:rsidRPr="002C21B8">
              <w:rPr>
                <w:sz w:val="20"/>
                <w:szCs w:val="20"/>
              </w:rPr>
              <w:t>(bronch* adj3 (constrict* or spas*)).ti,ab.</w:t>
            </w:r>
          </w:p>
        </w:tc>
      </w:tr>
      <w:tr w:rsidR="00FA366A" w:rsidRPr="002C21B8" w14:paraId="2F98DE65" w14:textId="77777777" w:rsidTr="00960A9F">
        <w:trPr>
          <w:trHeight w:val="320"/>
        </w:trPr>
        <w:tc>
          <w:tcPr>
            <w:tcW w:w="701" w:type="dxa"/>
            <w:shd w:val="clear" w:color="auto" w:fill="auto"/>
            <w:vAlign w:val="center"/>
          </w:tcPr>
          <w:p w14:paraId="60ACC88C" w14:textId="77777777" w:rsidR="00FA366A" w:rsidRPr="002C21B8" w:rsidRDefault="00FA366A" w:rsidP="00212D46">
            <w:pPr>
              <w:spacing w:after="0" w:line="240" w:lineRule="auto"/>
              <w:rPr>
                <w:sz w:val="20"/>
                <w:szCs w:val="20"/>
              </w:rPr>
            </w:pPr>
            <w:r w:rsidRPr="002C21B8">
              <w:rPr>
                <w:sz w:val="20"/>
                <w:szCs w:val="20"/>
              </w:rPr>
              <w:t>53</w:t>
            </w:r>
          </w:p>
        </w:tc>
        <w:tc>
          <w:tcPr>
            <w:tcW w:w="8504" w:type="dxa"/>
            <w:shd w:val="clear" w:color="auto" w:fill="auto"/>
            <w:vAlign w:val="bottom"/>
          </w:tcPr>
          <w:p w14:paraId="5F9699D8" w14:textId="77777777" w:rsidR="00FA366A" w:rsidRPr="002C21B8" w:rsidRDefault="00FA366A" w:rsidP="00212D46">
            <w:pPr>
              <w:spacing w:after="0" w:line="240" w:lineRule="auto"/>
              <w:rPr>
                <w:sz w:val="20"/>
                <w:szCs w:val="20"/>
              </w:rPr>
            </w:pPr>
            <w:r w:rsidRPr="002C21B8">
              <w:rPr>
                <w:sz w:val="20"/>
                <w:szCs w:val="20"/>
              </w:rPr>
              <w:t>(asthma* or wheez* or bronchoconstrict* or antiasthma* or anti-asthma* or bronchal hyperreactivity or bronchospas*).ti,ab.</w:t>
            </w:r>
          </w:p>
        </w:tc>
      </w:tr>
      <w:tr w:rsidR="00FA366A" w:rsidRPr="002C21B8" w14:paraId="00A36461" w14:textId="77777777" w:rsidTr="00960A9F">
        <w:trPr>
          <w:trHeight w:val="320"/>
        </w:trPr>
        <w:tc>
          <w:tcPr>
            <w:tcW w:w="701" w:type="dxa"/>
            <w:shd w:val="clear" w:color="auto" w:fill="auto"/>
            <w:vAlign w:val="center"/>
          </w:tcPr>
          <w:p w14:paraId="169883E3" w14:textId="77777777" w:rsidR="00FA366A" w:rsidRPr="002C21B8" w:rsidRDefault="00FA366A" w:rsidP="00212D46">
            <w:pPr>
              <w:spacing w:after="0" w:line="240" w:lineRule="auto"/>
              <w:rPr>
                <w:sz w:val="20"/>
                <w:szCs w:val="20"/>
              </w:rPr>
            </w:pPr>
            <w:r w:rsidRPr="002C21B8">
              <w:rPr>
                <w:sz w:val="20"/>
                <w:szCs w:val="20"/>
              </w:rPr>
              <w:t>54</w:t>
            </w:r>
          </w:p>
        </w:tc>
        <w:tc>
          <w:tcPr>
            <w:tcW w:w="8504" w:type="dxa"/>
            <w:shd w:val="clear" w:color="auto" w:fill="auto"/>
            <w:vAlign w:val="bottom"/>
          </w:tcPr>
          <w:p w14:paraId="740861F8" w14:textId="77777777" w:rsidR="00FA366A" w:rsidRPr="002C21B8" w:rsidRDefault="00FA366A" w:rsidP="00212D46">
            <w:pPr>
              <w:spacing w:after="0" w:line="240" w:lineRule="auto"/>
              <w:rPr>
                <w:sz w:val="20"/>
                <w:szCs w:val="20"/>
              </w:rPr>
            </w:pPr>
            <w:r w:rsidRPr="002C21B8">
              <w:rPr>
                <w:sz w:val="20"/>
                <w:szCs w:val="20"/>
              </w:rPr>
              <w:t>atrial fibrillation/</w:t>
            </w:r>
          </w:p>
        </w:tc>
      </w:tr>
      <w:tr w:rsidR="00FA366A" w:rsidRPr="002C21B8" w14:paraId="351573AE" w14:textId="77777777" w:rsidTr="00960A9F">
        <w:trPr>
          <w:trHeight w:val="320"/>
        </w:trPr>
        <w:tc>
          <w:tcPr>
            <w:tcW w:w="701" w:type="dxa"/>
            <w:shd w:val="clear" w:color="auto" w:fill="auto"/>
            <w:vAlign w:val="center"/>
          </w:tcPr>
          <w:p w14:paraId="174E8554" w14:textId="77777777" w:rsidR="00FA366A" w:rsidRPr="002C21B8" w:rsidRDefault="00FA366A" w:rsidP="00212D46">
            <w:pPr>
              <w:spacing w:after="0" w:line="240" w:lineRule="auto"/>
              <w:rPr>
                <w:sz w:val="20"/>
                <w:szCs w:val="20"/>
              </w:rPr>
            </w:pPr>
            <w:r w:rsidRPr="002C21B8">
              <w:rPr>
                <w:sz w:val="20"/>
                <w:szCs w:val="20"/>
              </w:rPr>
              <w:t>55</w:t>
            </w:r>
          </w:p>
        </w:tc>
        <w:tc>
          <w:tcPr>
            <w:tcW w:w="8504" w:type="dxa"/>
            <w:shd w:val="clear" w:color="auto" w:fill="auto"/>
            <w:vAlign w:val="bottom"/>
          </w:tcPr>
          <w:p w14:paraId="3A5DA1D0" w14:textId="77777777" w:rsidR="00FA366A" w:rsidRPr="002C21B8" w:rsidRDefault="00FA366A" w:rsidP="00212D46">
            <w:pPr>
              <w:spacing w:after="0" w:line="240" w:lineRule="auto"/>
              <w:rPr>
                <w:sz w:val="20"/>
                <w:szCs w:val="20"/>
              </w:rPr>
            </w:pPr>
            <w:r w:rsidRPr="002C21B8">
              <w:rPr>
                <w:sz w:val="20"/>
                <w:szCs w:val="20"/>
              </w:rPr>
              <w:t>((atrial or atrium) adj fibril?at*).ti,ab.</w:t>
            </w:r>
          </w:p>
        </w:tc>
      </w:tr>
      <w:tr w:rsidR="00FA366A" w:rsidRPr="002C21B8" w14:paraId="6B6DE4B6" w14:textId="77777777" w:rsidTr="00960A9F">
        <w:trPr>
          <w:trHeight w:val="320"/>
        </w:trPr>
        <w:tc>
          <w:tcPr>
            <w:tcW w:w="701" w:type="dxa"/>
            <w:shd w:val="clear" w:color="auto" w:fill="auto"/>
            <w:vAlign w:val="center"/>
          </w:tcPr>
          <w:p w14:paraId="1303A48B" w14:textId="77777777" w:rsidR="00FA366A" w:rsidRPr="002C21B8" w:rsidRDefault="00FA366A" w:rsidP="00212D46">
            <w:pPr>
              <w:spacing w:after="0" w:line="240" w:lineRule="auto"/>
              <w:rPr>
                <w:sz w:val="20"/>
                <w:szCs w:val="20"/>
              </w:rPr>
            </w:pPr>
            <w:r w:rsidRPr="002C21B8">
              <w:rPr>
                <w:sz w:val="20"/>
                <w:szCs w:val="20"/>
              </w:rPr>
              <w:t>56</w:t>
            </w:r>
          </w:p>
        </w:tc>
        <w:tc>
          <w:tcPr>
            <w:tcW w:w="8504" w:type="dxa"/>
            <w:shd w:val="clear" w:color="auto" w:fill="auto"/>
            <w:vAlign w:val="bottom"/>
          </w:tcPr>
          <w:p w14:paraId="0DCC232B" w14:textId="77777777" w:rsidR="00FA366A" w:rsidRPr="002C21B8" w:rsidRDefault="00FA366A" w:rsidP="00212D46">
            <w:pPr>
              <w:spacing w:after="0" w:line="240" w:lineRule="auto"/>
              <w:rPr>
                <w:sz w:val="20"/>
                <w:szCs w:val="20"/>
              </w:rPr>
            </w:pPr>
            <w:r w:rsidRPr="002C21B8">
              <w:rPr>
                <w:sz w:val="20"/>
                <w:szCs w:val="20"/>
              </w:rPr>
              <w:t>fatigue syndrome, chronic/</w:t>
            </w:r>
          </w:p>
        </w:tc>
      </w:tr>
      <w:tr w:rsidR="00FA366A" w:rsidRPr="002C21B8" w14:paraId="532BF75A" w14:textId="77777777" w:rsidTr="00960A9F">
        <w:trPr>
          <w:trHeight w:val="320"/>
        </w:trPr>
        <w:tc>
          <w:tcPr>
            <w:tcW w:w="701" w:type="dxa"/>
            <w:shd w:val="clear" w:color="auto" w:fill="auto"/>
            <w:vAlign w:val="center"/>
          </w:tcPr>
          <w:p w14:paraId="71EC0DE1" w14:textId="77777777" w:rsidR="00FA366A" w:rsidRPr="002C21B8" w:rsidRDefault="00FA366A" w:rsidP="00212D46">
            <w:pPr>
              <w:spacing w:after="0" w:line="240" w:lineRule="auto"/>
              <w:rPr>
                <w:sz w:val="20"/>
                <w:szCs w:val="20"/>
              </w:rPr>
            </w:pPr>
            <w:r w:rsidRPr="002C21B8">
              <w:rPr>
                <w:sz w:val="20"/>
                <w:szCs w:val="20"/>
              </w:rPr>
              <w:t>57</w:t>
            </w:r>
          </w:p>
        </w:tc>
        <w:tc>
          <w:tcPr>
            <w:tcW w:w="8504" w:type="dxa"/>
            <w:shd w:val="clear" w:color="auto" w:fill="auto"/>
            <w:vAlign w:val="bottom"/>
          </w:tcPr>
          <w:p w14:paraId="07DD6302" w14:textId="77777777" w:rsidR="00FA366A" w:rsidRPr="002C21B8" w:rsidRDefault="00FA366A" w:rsidP="00212D46">
            <w:pPr>
              <w:spacing w:after="0" w:line="240" w:lineRule="auto"/>
              <w:rPr>
                <w:sz w:val="20"/>
                <w:szCs w:val="20"/>
              </w:rPr>
            </w:pPr>
            <w:r w:rsidRPr="002C21B8">
              <w:rPr>
                <w:sz w:val="20"/>
                <w:szCs w:val="20"/>
              </w:rPr>
              <w:t>exp epilepsies, myoclonic/</w:t>
            </w:r>
          </w:p>
        </w:tc>
      </w:tr>
      <w:tr w:rsidR="00FA366A" w:rsidRPr="002C21B8" w14:paraId="059E5006" w14:textId="77777777" w:rsidTr="00960A9F">
        <w:trPr>
          <w:trHeight w:val="320"/>
        </w:trPr>
        <w:tc>
          <w:tcPr>
            <w:tcW w:w="701" w:type="dxa"/>
            <w:shd w:val="clear" w:color="auto" w:fill="auto"/>
            <w:vAlign w:val="center"/>
          </w:tcPr>
          <w:p w14:paraId="58BD174D" w14:textId="77777777" w:rsidR="00FA366A" w:rsidRPr="002C21B8" w:rsidRDefault="00FA366A" w:rsidP="00212D46">
            <w:pPr>
              <w:spacing w:after="0" w:line="240" w:lineRule="auto"/>
              <w:rPr>
                <w:sz w:val="20"/>
                <w:szCs w:val="20"/>
              </w:rPr>
            </w:pPr>
            <w:r w:rsidRPr="002C21B8">
              <w:rPr>
                <w:sz w:val="20"/>
                <w:szCs w:val="20"/>
              </w:rPr>
              <w:t>58</w:t>
            </w:r>
          </w:p>
        </w:tc>
        <w:tc>
          <w:tcPr>
            <w:tcW w:w="8504" w:type="dxa"/>
            <w:shd w:val="clear" w:color="auto" w:fill="auto"/>
            <w:vAlign w:val="bottom"/>
          </w:tcPr>
          <w:p w14:paraId="6933DC7B" w14:textId="77777777" w:rsidR="00FA366A" w:rsidRPr="002C21B8" w:rsidRDefault="00FA366A" w:rsidP="00212D46">
            <w:pPr>
              <w:spacing w:after="0" w:line="240" w:lineRule="auto"/>
              <w:rPr>
                <w:sz w:val="20"/>
                <w:szCs w:val="20"/>
              </w:rPr>
            </w:pPr>
            <w:r w:rsidRPr="002C21B8">
              <w:rPr>
                <w:sz w:val="20"/>
                <w:szCs w:val="20"/>
              </w:rPr>
              <w:t>(dravet syndrome* or severe myoclonic epilepsy of infancy or severe myoclonic epilepsy in infancy or severe polymorphic epilepsy of infancy).ti,ab.</w:t>
            </w:r>
          </w:p>
        </w:tc>
      </w:tr>
      <w:tr w:rsidR="00FA366A" w:rsidRPr="002C21B8" w14:paraId="5825ECA2" w14:textId="77777777" w:rsidTr="00960A9F">
        <w:trPr>
          <w:trHeight w:val="320"/>
        </w:trPr>
        <w:tc>
          <w:tcPr>
            <w:tcW w:w="701" w:type="dxa"/>
            <w:shd w:val="clear" w:color="auto" w:fill="auto"/>
            <w:vAlign w:val="center"/>
          </w:tcPr>
          <w:p w14:paraId="2570BAE4" w14:textId="77777777" w:rsidR="00FA366A" w:rsidRPr="002C21B8" w:rsidRDefault="00FA366A" w:rsidP="00212D46">
            <w:pPr>
              <w:spacing w:after="0" w:line="240" w:lineRule="auto"/>
              <w:rPr>
                <w:sz w:val="20"/>
                <w:szCs w:val="20"/>
              </w:rPr>
            </w:pPr>
            <w:r w:rsidRPr="002C21B8">
              <w:rPr>
                <w:sz w:val="20"/>
                <w:szCs w:val="20"/>
              </w:rPr>
              <w:t>59</w:t>
            </w:r>
          </w:p>
        </w:tc>
        <w:tc>
          <w:tcPr>
            <w:tcW w:w="8504" w:type="dxa"/>
            <w:shd w:val="clear" w:color="auto" w:fill="auto"/>
            <w:vAlign w:val="bottom"/>
          </w:tcPr>
          <w:p w14:paraId="70BE85F5" w14:textId="77777777" w:rsidR="00FA366A" w:rsidRPr="002C21B8" w:rsidRDefault="00FA366A" w:rsidP="00212D46">
            <w:pPr>
              <w:spacing w:after="0" w:line="240" w:lineRule="auto"/>
              <w:rPr>
                <w:sz w:val="20"/>
                <w:szCs w:val="20"/>
              </w:rPr>
            </w:pPr>
            <w:r w:rsidRPr="002C21B8">
              <w:rPr>
                <w:sz w:val="20"/>
                <w:szCs w:val="20"/>
              </w:rPr>
              <w:t>exp kidney failure, chronic/</w:t>
            </w:r>
          </w:p>
        </w:tc>
      </w:tr>
      <w:tr w:rsidR="00FA366A" w:rsidRPr="002C21B8" w14:paraId="3596EBE9" w14:textId="77777777" w:rsidTr="00960A9F">
        <w:trPr>
          <w:trHeight w:val="320"/>
        </w:trPr>
        <w:tc>
          <w:tcPr>
            <w:tcW w:w="701" w:type="dxa"/>
            <w:shd w:val="clear" w:color="auto" w:fill="auto"/>
            <w:vAlign w:val="center"/>
          </w:tcPr>
          <w:p w14:paraId="41F3DA98" w14:textId="77777777" w:rsidR="00FA366A" w:rsidRPr="002C21B8" w:rsidRDefault="00FA366A" w:rsidP="00212D46">
            <w:pPr>
              <w:spacing w:after="0" w:line="240" w:lineRule="auto"/>
              <w:rPr>
                <w:sz w:val="20"/>
                <w:szCs w:val="20"/>
              </w:rPr>
            </w:pPr>
            <w:r w:rsidRPr="002C21B8">
              <w:rPr>
                <w:sz w:val="20"/>
                <w:szCs w:val="20"/>
              </w:rPr>
              <w:t>60</w:t>
            </w:r>
          </w:p>
        </w:tc>
        <w:tc>
          <w:tcPr>
            <w:tcW w:w="8504" w:type="dxa"/>
            <w:shd w:val="clear" w:color="auto" w:fill="auto"/>
            <w:vAlign w:val="bottom"/>
          </w:tcPr>
          <w:p w14:paraId="4315C798" w14:textId="77777777" w:rsidR="00FA366A" w:rsidRPr="002C21B8" w:rsidRDefault="00FA366A" w:rsidP="00212D46">
            <w:pPr>
              <w:spacing w:after="0" w:line="240" w:lineRule="auto"/>
              <w:rPr>
                <w:sz w:val="20"/>
                <w:szCs w:val="20"/>
              </w:rPr>
            </w:pPr>
            <w:r w:rsidRPr="002C21B8">
              <w:rPr>
                <w:sz w:val="20"/>
                <w:szCs w:val="20"/>
              </w:rPr>
              <w:t>(chronic adj (kidney or kidney) adj (disease* or failure or insufficien*)).ti,ab.</w:t>
            </w:r>
          </w:p>
        </w:tc>
      </w:tr>
      <w:tr w:rsidR="00FA366A" w:rsidRPr="002C21B8" w14:paraId="084FEF91" w14:textId="77777777" w:rsidTr="00960A9F">
        <w:trPr>
          <w:trHeight w:val="320"/>
        </w:trPr>
        <w:tc>
          <w:tcPr>
            <w:tcW w:w="701" w:type="dxa"/>
            <w:shd w:val="clear" w:color="auto" w:fill="auto"/>
            <w:vAlign w:val="center"/>
          </w:tcPr>
          <w:p w14:paraId="79E50D60" w14:textId="77777777" w:rsidR="00FA366A" w:rsidRPr="002C21B8" w:rsidRDefault="00FA366A" w:rsidP="00212D46">
            <w:pPr>
              <w:spacing w:after="0" w:line="240" w:lineRule="auto"/>
              <w:rPr>
                <w:sz w:val="20"/>
                <w:szCs w:val="20"/>
              </w:rPr>
            </w:pPr>
            <w:r w:rsidRPr="002C21B8">
              <w:rPr>
                <w:sz w:val="20"/>
                <w:szCs w:val="20"/>
              </w:rPr>
              <w:t>61</w:t>
            </w:r>
          </w:p>
        </w:tc>
        <w:tc>
          <w:tcPr>
            <w:tcW w:w="8504" w:type="dxa"/>
            <w:shd w:val="clear" w:color="auto" w:fill="auto"/>
            <w:vAlign w:val="bottom"/>
          </w:tcPr>
          <w:p w14:paraId="633F23DE" w14:textId="77777777" w:rsidR="00FA366A" w:rsidRPr="002C21B8" w:rsidRDefault="00FA366A" w:rsidP="00212D46">
            <w:pPr>
              <w:spacing w:after="0" w:line="240" w:lineRule="auto"/>
              <w:rPr>
                <w:sz w:val="20"/>
                <w:szCs w:val="20"/>
              </w:rPr>
            </w:pPr>
            <w:r w:rsidRPr="002C21B8">
              <w:rPr>
                <w:sz w:val="20"/>
                <w:szCs w:val="20"/>
              </w:rPr>
              <w:t>(CKD or CRF or CRD or ESKD or ESRD or ESRF).ti,ab.</w:t>
            </w:r>
          </w:p>
        </w:tc>
      </w:tr>
      <w:tr w:rsidR="00FA366A" w:rsidRPr="002C21B8" w14:paraId="2C4A15AE" w14:textId="77777777" w:rsidTr="00960A9F">
        <w:trPr>
          <w:trHeight w:val="320"/>
        </w:trPr>
        <w:tc>
          <w:tcPr>
            <w:tcW w:w="701" w:type="dxa"/>
            <w:shd w:val="clear" w:color="auto" w:fill="auto"/>
            <w:vAlign w:val="center"/>
          </w:tcPr>
          <w:p w14:paraId="7DA64113" w14:textId="77777777" w:rsidR="00FA366A" w:rsidRPr="002C21B8" w:rsidRDefault="00FA366A" w:rsidP="00212D46">
            <w:pPr>
              <w:spacing w:after="0" w:line="240" w:lineRule="auto"/>
              <w:rPr>
                <w:sz w:val="20"/>
                <w:szCs w:val="20"/>
              </w:rPr>
            </w:pPr>
            <w:r w:rsidRPr="002C21B8">
              <w:rPr>
                <w:sz w:val="20"/>
                <w:szCs w:val="20"/>
              </w:rPr>
              <w:t>62</w:t>
            </w:r>
          </w:p>
        </w:tc>
        <w:tc>
          <w:tcPr>
            <w:tcW w:w="8504" w:type="dxa"/>
            <w:shd w:val="clear" w:color="auto" w:fill="auto"/>
            <w:vAlign w:val="bottom"/>
          </w:tcPr>
          <w:p w14:paraId="6E1B66F7" w14:textId="77777777" w:rsidR="00FA366A" w:rsidRPr="002C21B8" w:rsidRDefault="00FA366A" w:rsidP="00212D46">
            <w:pPr>
              <w:spacing w:after="0" w:line="240" w:lineRule="auto"/>
              <w:rPr>
                <w:sz w:val="20"/>
                <w:szCs w:val="20"/>
              </w:rPr>
            </w:pPr>
            <w:r w:rsidRPr="002C21B8">
              <w:rPr>
                <w:sz w:val="20"/>
                <w:szCs w:val="20"/>
              </w:rPr>
              <w:t>exp pulmonary disease, chronic obstructive/</w:t>
            </w:r>
          </w:p>
        </w:tc>
      </w:tr>
      <w:tr w:rsidR="00FA366A" w:rsidRPr="002C21B8" w14:paraId="20CD614D" w14:textId="77777777" w:rsidTr="00960A9F">
        <w:trPr>
          <w:trHeight w:val="320"/>
        </w:trPr>
        <w:tc>
          <w:tcPr>
            <w:tcW w:w="701" w:type="dxa"/>
            <w:shd w:val="clear" w:color="auto" w:fill="auto"/>
            <w:vAlign w:val="center"/>
          </w:tcPr>
          <w:p w14:paraId="312E891B" w14:textId="77777777" w:rsidR="00FA366A" w:rsidRPr="002C21B8" w:rsidRDefault="00FA366A" w:rsidP="00212D46">
            <w:pPr>
              <w:spacing w:after="0" w:line="240" w:lineRule="auto"/>
              <w:rPr>
                <w:sz w:val="20"/>
                <w:szCs w:val="20"/>
              </w:rPr>
            </w:pPr>
            <w:r w:rsidRPr="002C21B8">
              <w:rPr>
                <w:sz w:val="20"/>
                <w:szCs w:val="20"/>
              </w:rPr>
              <w:t>63</w:t>
            </w:r>
          </w:p>
        </w:tc>
        <w:tc>
          <w:tcPr>
            <w:tcW w:w="8504" w:type="dxa"/>
            <w:shd w:val="clear" w:color="auto" w:fill="auto"/>
            <w:vAlign w:val="bottom"/>
          </w:tcPr>
          <w:p w14:paraId="614EA2EE" w14:textId="77777777" w:rsidR="00FA366A" w:rsidRPr="002C21B8" w:rsidRDefault="00FA366A" w:rsidP="00212D46">
            <w:pPr>
              <w:spacing w:after="0" w:line="240" w:lineRule="auto"/>
              <w:rPr>
                <w:sz w:val="20"/>
                <w:szCs w:val="20"/>
              </w:rPr>
            </w:pPr>
            <w:r w:rsidRPr="002C21B8">
              <w:rPr>
                <w:sz w:val="20"/>
                <w:szCs w:val="20"/>
              </w:rPr>
              <w:t>(obstruct* adj (pulmonary or lung* or airway* or airflow* or bronch* or respirat*)).ti,ab.</w:t>
            </w:r>
          </w:p>
        </w:tc>
      </w:tr>
      <w:tr w:rsidR="00FA366A" w:rsidRPr="002C21B8" w14:paraId="453FC338" w14:textId="77777777" w:rsidTr="00960A9F">
        <w:trPr>
          <w:trHeight w:val="320"/>
        </w:trPr>
        <w:tc>
          <w:tcPr>
            <w:tcW w:w="701" w:type="dxa"/>
            <w:shd w:val="clear" w:color="auto" w:fill="auto"/>
            <w:vAlign w:val="center"/>
          </w:tcPr>
          <w:p w14:paraId="021A7C7A" w14:textId="77777777" w:rsidR="00FA366A" w:rsidRPr="002C21B8" w:rsidRDefault="00FA366A" w:rsidP="00212D46">
            <w:pPr>
              <w:spacing w:after="0" w:line="240" w:lineRule="auto"/>
              <w:rPr>
                <w:sz w:val="20"/>
                <w:szCs w:val="20"/>
              </w:rPr>
            </w:pPr>
            <w:r w:rsidRPr="002C21B8">
              <w:rPr>
                <w:sz w:val="20"/>
                <w:szCs w:val="20"/>
              </w:rPr>
              <w:t>64</w:t>
            </w:r>
          </w:p>
        </w:tc>
        <w:tc>
          <w:tcPr>
            <w:tcW w:w="8504" w:type="dxa"/>
            <w:shd w:val="clear" w:color="auto" w:fill="auto"/>
            <w:vAlign w:val="bottom"/>
          </w:tcPr>
          <w:p w14:paraId="4D25FBF5" w14:textId="77777777" w:rsidR="00FA366A" w:rsidRPr="002C21B8" w:rsidRDefault="00FA366A" w:rsidP="00212D46">
            <w:pPr>
              <w:spacing w:after="0" w:line="240" w:lineRule="auto"/>
              <w:rPr>
                <w:sz w:val="20"/>
                <w:szCs w:val="20"/>
                <w:lang w:val="it-IT"/>
              </w:rPr>
            </w:pPr>
            <w:r w:rsidRPr="002C21B8">
              <w:rPr>
                <w:sz w:val="20"/>
                <w:szCs w:val="20"/>
                <w:lang w:val="it-IT"/>
              </w:rPr>
              <w:t>(chronic* adj bronchiti*).ti,ab.</w:t>
            </w:r>
          </w:p>
        </w:tc>
      </w:tr>
      <w:tr w:rsidR="00FA366A" w:rsidRPr="002C21B8" w14:paraId="102FD061" w14:textId="77777777" w:rsidTr="00960A9F">
        <w:trPr>
          <w:trHeight w:val="320"/>
        </w:trPr>
        <w:tc>
          <w:tcPr>
            <w:tcW w:w="701" w:type="dxa"/>
            <w:shd w:val="clear" w:color="auto" w:fill="auto"/>
            <w:vAlign w:val="center"/>
          </w:tcPr>
          <w:p w14:paraId="3A310453" w14:textId="77777777" w:rsidR="00FA366A" w:rsidRPr="002C21B8" w:rsidRDefault="00FA366A" w:rsidP="00212D46">
            <w:pPr>
              <w:spacing w:after="0" w:line="240" w:lineRule="auto"/>
              <w:rPr>
                <w:sz w:val="20"/>
                <w:szCs w:val="20"/>
              </w:rPr>
            </w:pPr>
            <w:r w:rsidRPr="002C21B8">
              <w:rPr>
                <w:sz w:val="20"/>
                <w:szCs w:val="20"/>
              </w:rPr>
              <w:t>65</w:t>
            </w:r>
          </w:p>
        </w:tc>
        <w:tc>
          <w:tcPr>
            <w:tcW w:w="8504" w:type="dxa"/>
            <w:shd w:val="clear" w:color="auto" w:fill="auto"/>
            <w:vAlign w:val="bottom"/>
          </w:tcPr>
          <w:p w14:paraId="057FBAD9" w14:textId="77777777" w:rsidR="00FA366A" w:rsidRPr="002C21B8" w:rsidRDefault="00FA366A" w:rsidP="00212D46">
            <w:pPr>
              <w:spacing w:after="0" w:line="240" w:lineRule="auto"/>
              <w:rPr>
                <w:sz w:val="20"/>
                <w:szCs w:val="20"/>
              </w:rPr>
            </w:pPr>
            <w:r w:rsidRPr="002C21B8">
              <w:rPr>
                <w:sz w:val="20"/>
                <w:szCs w:val="20"/>
              </w:rPr>
              <w:t>(chronic obstructive pulmonary disease or chronic obstructive airways disease or lung disease or emphysema* or COPD or CAL or COAD or COLD or CBD or AECB).ti,ab.</w:t>
            </w:r>
          </w:p>
        </w:tc>
      </w:tr>
      <w:tr w:rsidR="00FA366A" w:rsidRPr="002C21B8" w14:paraId="7B6C4790" w14:textId="77777777" w:rsidTr="00960A9F">
        <w:trPr>
          <w:trHeight w:val="320"/>
        </w:trPr>
        <w:tc>
          <w:tcPr>
            <w:tcW w:w="701" w:type="dxa"/>
            <w:shd w:val="clear" w:color="auto" w:fill="auto"/>
            <w:vAlign w:val="center"/>
          </w:tcPr>
          <w:p w14:paraId="1559DFE6" w14:textId="77777777" w:rsidR="00FA366A" w:rsidRPr="002C21B8" w:rsidRDefault="00FA366A" w:rsidP="00212D46">
            <w:pPr>
              <w:spacing w:after="0" w:line="240" w:lineRule="auto"/>
              <w:rPr>
                <w:sz w:val="20"/>
                <w:szCs w:val="20"/>
              </w:rPr>
            </w:pPr>
            <w:r w:rsidRPr="002C21B8">
              <w:rPr>
                <w:sz w:val="20"/>
                <w:szCs w:val="20"/>
              </w:rPr>
              <w:t>66</w:t>
            </w:r>
          </w:p>
        </w:tc>
        <w:tc>
          <w:tcPr>
            <w:tcW w:w="8504" w:type="dxa"/>
            <w:shd w:val="clear" w:color="auto" w:fill="auto"/>
            <w:vAlign w:val="bottom"/>
          </w:tcPr>
          <w:p w14:paraId="33EF390C" w14:textId="77777777" w:rsidR="00FA366A" w:rsidRPr="002C21B8" w:rsidRDefault="00FA366A" w:rsidP="00212D46">
            <w:pPr>
              <w:spacing w:after="0" w:line="240" w:lineRule="auto"/>
              <w:rPr>
                <w:sz w:val="20"/>
                <w:szCs w:val="20"/>
              </w:rPr>
            </w:pPr>
            <w:r w:rsidRPr="002C21B8">
              <w:rPr>
                <w:sz w:val="20"/>
                <w:szCs w:val="20"/>
              </w:rPr>
              <w:t>exp heart failure/</w:t>
            </w:r>
          </w:p>
        </w:tc>
      </w:tr>
      <w:tr w:rsidR="00FA366A" w:rsidRPr="002C21B8" w14:paraId="1579C679" w14:textId="77777777" w:rsidTr="00960A9F">
        <w:trPr>
          <w:trHeight w:val="320"/>
        </w:trPr>
        <w:tc>
          <w:tcPr>
            <w:tcW w:w="701" w:type="dxa"/>
            <w:shd w:val="clear" w:color="auto" w:fill="auto"/>
            <w:vAlign w:val="center"/>
          </w:tcPr>
          <w:p w14:paraId="04026716" w14:textId="77777777" w:rsidR="00FA366A" w:rsidRPr="002C21B8" w:rsidRDefault="00FA366A" w:rsidP="00212D46">
            <w:pPr>
              <w:spacing w:after="0" w:line="240" w:lineRule="auto"/>
              <w:rPr>
                <w:sz w:val="20"/>
                <w:szCs w:val="20"/>
              </w:rPr>
            </w:pPr>
            <w:r w:rsidRPr="002C21B8">
              <w:rPr>
                <w:sz w:val="20"/>
                <w:szCs w:val="20"/>
              </w:rPr>
              <w:t>67</w:t>
            </w:r>
          </w:p>
        </w:tc>
        <w:tc>
          <w:tcPr>
            <w:tcW w:w="8504" w:type="dxa"/>
            <w:shd w:val="clear" w:color="auto" w:fill="auto"/>
            <w:vAlign w:val="bottom"/>
          </w:tcPr>
          <w:p w14:paraId="6B396F90" w14:textId="77777777" w:rsidR="00FA366A" w:rsidRPr="002C21B8" w:rsidRDefault="00FA366A" w:rsidP="00212D46">
            <w:pPr>
              <w:spacing w:after="0" w:line="240" w:lineRule="auto"/>
              <w:rPr>
                <w:sz w:val="20"/>
                <w:szCs w:val="20"/>
              </w:rPr>
            </w:pPr>
            <w:r w:rsidRPr="002C21B8">
              <w:rPr>
                <w:sz w:val="20"/>
                <w:szCs w:val="20"/>
              </w:rPr>
              <w:t>((heart or cardiac or myocardial) adj (failure or decompensation)).ti,ab.</w:t>
            </w:r>
          </w:p>
        </w:tc>
      </w:tr>
      <w:tr w:rsidR="00FA366A" w:rsidRPr="002C21B8" w14:paraId="51C3B7C2" w14:textId="77777777" w:rsidTr="00960A9F">
        <w:trPr>
          <w:trHeight w:val="320"/>
        </w:trPr>
        <w:tc>
          <w:tcPr>
            <w:tcW w:w="701" w:type="dxa"/>
            <w:shd w:val="clear" w:color="auto" w:fill="auto"/>
            <w:vAlign w:val="center"/>
          </w:tcPr>
          <w:p w14:paraId="7BBFDDA8" w14:textId="77777777" w:rsidR="00FA366A" w:rsidRPr="002C21B8" w:rsidRDefault="00FA366A" w:rsidP="00212D46">
            <w:pPr>
              <w:spacing w:after="0" w:line="240" w:lineRule="auto"/>
              <w:rPr>
                <w:sz w:val="20"/>
                <w:szCs w:val="20"/>
              </w:rPr>
            </w:pPr>
            <w:r w:rsidRPr="002C21B8">
              <w:rPr>
                <w:sz w:val="20"/>
                <w:szCs w:val="20"/>
              </w:rPr>
              <w:t>68</w:t>
            </w:r>
          </w:p>
        </w:tc>
        <w:tc>
          <w:tcPr>
            <w:tcW w:w="8504" w:type="dxa"/>
            <w:shd w:val="clear" w:color="auto" w:fill="auto"/>
            <w:vAlign w:val="bottom"/>
          </w:tcPr>
          <w:p w14:paraId="0AA75DBC" w14:textId="77777777" w:rsidR="00FA366A" w:rsidRPr="002C21B8" w:rsidRDefault="00FA366A" w:rsidP="00212D46">
            <w:pPr>
              <w:spacing w:after="0" w:line="240" w:lineRule="auto"/>
              <w:rPr>
                <w:sz w:val="20"/>
                <w:szCs w:val="20"/>
              </w:rPr>
            </w:pPr>
            <w:r w:rsidRPr="002C21B8">
              <w:rPr>
                <w:sz w:val="20"/>
                <w:szCs w:val="20"/>
              </w:rPr>
              <w:t>((congestive or acute or decompensat* or chronic) adj heart failure).ti,ab.</w:t>
            </w:r>
          </w:p>
        </w:tc>
      </w:tr>
      <w:tr w:rsidR="00FA366A" w:rsidRPr="002C21B8" w14:paraId="41AAE005" w14:textId="77777777" w:rsidTr="00960A9F">
        <w:trPr>
          <w:trHeight w:val="320"/>
        </w:trPr>
        <w:tc>
          <w:tcPr>
            <w:tcW w:w="701" w:type="dxa"/>
            <w:shd w:val="clear" w:color="auto" w:fill="auto"/>
            <w:vAlign w:val="center"/>
          </w:tcPr>
          <w:p w14:paraId="5C6D6BBC" w14:textId="77777777" w:rsidR="00FA366A" w:rsidRPr="002C21B8" w:rsidRDefault="00FA366A" w:rsidP="00212D46">
            <w:pPr>
              <w:spacing w:after="0" w:line="240" w:lineRule="auto"/>
              <w:rPr>
                <w:sz w:val="20"/>
                <w:szCs w:val="20"/>
              </w:rPr>
            </w:pPr>
            <w:r w:rsidRPr="002C21B8">
              <w:rPr>
                <w:sz w:val="20"/>
                <w:szCs w:val="20"/>
              </w:rPr>
              <w:t>69</w:t>
            </w:r>
          </w:p>
        </w:tc>
        <w:tc>
          <w:tcPr>
            <w:tcW w:w="8504" w:type="dxa"/>
            <w:shd w:val="clear" w:color="auto" w:fill="auto"/>
            <w:vAlign w:val="bottom"/>
          </w:tcPr>
          <w:p w14:paraId="6CCAF877" w14:textId="77777777" w:rsidR="00FA366A" w:rsidRPr="002C21B8" w:rsidRDefault="00FA366A" w:rsidP="00212D46">
            <w:pPr>
              <w:spacing w:after="0" w:line="240" w:lineRule="auto"/>
              <w:rPr>
                <w:sz w:val="20"/>
                <w:szCs w:val="20"/>
              </w:rPr>
            </w:pPr>
            <w:r w:rsidRPr="002C21B8">
              <w:rPr>
                <w:sz w:val="20"/>
                <w:szCs w:val="20"/>
              </w:rPr>
              <w:t>exp dementia/</w:t>
            </w:r>
          </w:p>
        </w:tc>
      </w:tr>
      <w:tr w:rsidR="00FA366A" w:rsidRPr="002C21B8" w14:paraId="40238279" w14:textId="77777777" w:rsidTr="00960A9F">
        <w:trPr>
          <w:trHeight w:val="320"/>
        </w:trPr>
        <w:tc>
          <w:tcPr>
            <w:tcW w:w="701" w:type="dxa"/>
            <w:shd w:val="clear" w:color="auto" w:fill="auto"/>
            <w:vAlign w:val="center"/>
          </w:tcPr>
          <w:p w14:paraId="53610425" w14:textId="77777777" w:rsidR="00FA366A" w:rsidRPr="002C21B8" w:rsidRDefault="00FA366A" w:rsidP="00212D46">
            <w:pPr>
              <w:spacing w:after="0" w:line="240" w:lineRule="auto"/>
              <w:rPr>
                <w:sz w:val="20"/>
                <w:szCs w:val="20"/>
              </w:rPr>
            </w:pPr>
            <w:r w:rsidRPr="002C21B8">
              <w:rPr>
                <w:sz w:val="20"/>
                <w:szCs w:val="20"/>
              </w:rPr>
              <w:t>70</w:t>
            </w:r>
          </w:p>
        </w:tc>
        <w:tc>
          <w:tcPr>
            <w:tcW w:w="8504" w:type="dxa"/>
            <w:shd w:val="clear" w:color="auto" w:fill="auto"/>
            <w:vAlign w:val="bottom"/>
          </w:tcPr>
          <w:p w14:paraId="4BE8E199" w14:textId="77777777" w:rsidR="00FA366A" w:rsidRPr="002C21B8" w:rsidRDefault="00FA366A" w:rsidP="00212D46">
            <w:pPr>
              <w:spacing w:after="0" w:line="240" w:lineRule="auto"/>
              <w:rPr>
                <w:sz w:val="20"/>
                <w:szCs w:val="20"/>
              </w:rPr>
            </w:pPr>
            <w:r w:rsidRPr="002C21B8">
              <w:rPr>
                <w:sz w:val="20"/>
                <w:szCs w:val="20"/>
              </w:rPr>
              <w:t>((cerebr* or brain or cogniti*) adj (deteriorat* or insufficient* or disease or syndrome or impair*)).ti,ab.</w:t>
            </w:r>
          </w:p>
        </w:tc>
      </w:tr>
      <w:tr w:rsidR="00FA366A" w:rsidRPr="002C21B8" w14:paraId="35970C70" w14:textId="77777777" w:rsidTr="00960A9F">
        <w:trPr>
          <w:trHeight w:val="320"/>
        </w:trPr>
        <w:tc>
          <w:tcPr>
            <w:tcW w:w="701" w:type="dxa"/>
            <w:shd w:val="clear" w:color="auto" w:fill="auto"/>
            <w:vAlign w:val="center"/>
          </w:tcPr>
          <w:p w14:paraId="2D513845" w14:textId="77777777" w:rsidR="00FA366A" w:rsidRPr="002C21B8" w:rsidRDefault="00FA366A" w:rsidP="00212D46">
            <w:pPr>
              <w:spacing w:after="0" w:line="240" w:lineRule="auto"/>
              <w:rPr>
                <w:sz w:val="20"/>
                <w:szCs w:val="20"/>
              </w:rPr>
            </w:pPr>
            <w:r w:rsidRPr="002C21B8">
              <w:rPr>
                <w:sz w:val="20"/>
                <w:szCs w:val="20"/>
              </w:rPr>
              <w:t>71</w:t>
            </w:r>
          </w:p>
        </w:tc>
        <w:tc>
          <w:tcPr>
            <w:tcW w:w="8504" w:type="dxa"/>
            <w:shd w:val="clear" w:color="auto" w:fill="auto"/>
            <w:vAlign w:val="bottom"/>
          </w:tcPr>
          <w:p w14:paraId="1FE88084" w14:textId="77777777" w:rsidR="00FA366A" w:rsidRPr="002C21B8" w:rsidRDefault="00FA366A" w:rsidP="00212D46">
            <w:pPr>
              <w:spacing w:after="0" w:line="240" w:lineRule="auto"/>
              <w:rPr>
                <w:sz w:val="20"/>
                <w:szCs w:val="20"/>
              </w:rPr>
            </w:pPr>
            <w:r w:rsidRPr="002C21B8">
              <w:rPr>
                <w:sz w:val="20"/>
                <w:szCs w:val="20"/>
              </w:rPr>
              <w:t>(mild cognitive impairment or dement* or alzheimer* or binswanger* or benign senescent forgetfulness).ti,ab.</w:t>
            </w:r>
          </w:p>
        </w:tc>
      </w:tr>
      <w:tr w:rsidR="00FA366A" w:rsidRPr="002C21B8" w14:paraId="26E332C7" w14:textId="77777777" w:rsidTr="00960A9F">
        <w:trPr>
          <w:trHeight w:val="320"/>
        </w:trPr>
        <w:tc>
          <w:tcPr>
            <w:tcW w:w="701" w:type="dxa"/>
            <w:shd w:val="clear" w:color="auto" w:fill="auto"/>
            <w:vAlign w:val="center"/>
          </w:tcPr>
          <w:p w14:paraId="7EC4FF46" w14:textId="77777777" w:rsidR="00FA366A" w:rsidRPr="002C21B8" w:rsidRDefault="00FA366A" w:rsidP="00212D46">
            <w:pPr>
              <w:spacing w:after="0" w:line="240" w:lineRule="auto"/>
              <w:rPr>
                <w:sz w:val="20"/>
                <w:szCs w:val="20"/>
              </w:rPr>
            </w:pPr>
            <w:r w:rsidRPr="002C21B8">
              <w:rPr>
                <w:sz w:val="20"/>
                <w:szCs w:val="20"/>
              </w:rPr>
              <w:t>72</w:t>
            </w:r>
          </w:p>
        </w:tc>
        <w:tc>
          <w:tcPr>
            <w:tcW w:w="8504" w:type="dxa"/>
            <w:shd w:val="clear" w:color="auto" w:fill="auto"/>
            <w:vAlign w:val="bottom"/>
          </w:tcPr>
          <w:p w14:paraId="6682116B" w14:textId="77777777" w:rsidR="00FA366A" w:rsidRPr="002C21B8" w:rsidRDefault="00FA366A" w:rsidP="00212D46">
            <w:pPr>
              <w:spacing w:after="0" w:line="240" w:lineRule="auto"/>
              <w:rPr>
                <w:sz w:val="20"/>
                <w:szCs w:val="20"/>
              </w:rPr>
            </w:pPr>
            <w:r w:rsidRPr="002C21B8">
              <w:rPr>
                <w:sz w:val="20"/>
                <w:szCs w:val="20"/>
              </w:rPr>
              <w:t>((dilated or congestive) adj cardiomyopath*).ti,ab.</w:t>
            </w:r>
          </w:p>
        </w:tc>
      </w:tr>
      <w:tr w:rsidR="00FA366A" w:rsidRPr="002C21B8" w14:paraId="7F67591F" w14:textId="77777777" w:rsidTr="00960A9F">
        <w:trPr>
          <w:trHeight w:val="320"/>
        </w:trPr>
        <w:tc>
          <w:tcPr>
            <w:tcW w:w="701" w:type="dxa"/>
            <w:shd w:val="clear" w:color="auto" w:fill="auto"/>
            <w:vAlign w:val="center"/>
          </w:tcPr>
          <w:p w14:paraId="751FCE43" w14:textId="77777777" w:rsidR="00FA366A" w:rsidRPr="002C21B8" w:rsidRDefault="00FA366A" w:rsidP="00212D46">
            <w:pPr>
              <w:spacing w:after="0" w:line="240" w:lineRule="auto"/>
              <w:rPr>
                <w:sz w:val="20"/>
                <w:szCs w:val="20"/>
              </w:rPr>
            </w:pPr>
            <w:r w:rsidRPr="002C21B8">
              <w:rPr>
                <w:sz w:val="20"/>
                <w:szCs w:val="20"/>
              </w:rPr>
              <w:t>73</w:t>
            </w:r>
          </w:p>
        </w:tc>
        <w:tc>
          <w:tcPr>
            <w:tcW w:w="8504" w:type="dxa"/>
            <w:shd w:val="clear" w:color="auto" w:fill="auto"/>
            <w:vAlign w:val="bottom"/>
          </w:tcPr>
          <w:p w14:paraId="6038D59A" w14:textId="77777777" w:rsidR="00FA366A" w:rsidRPr="002C21B8" w:rsidRDefault="00FA366A" w:rsidP="00212D46">
            <w:pPr>
              <w:spacing w:after="0" w:line="240" w:lineRule="auto"/>
              <w:rPr>
                <w:sz w:val="20"/>
                <w:szCs w:val="20"/>
                <w:lang w:val="pl-PL"/>
              </w:rPr>
            </w:pPr>
            <w:r w:rsidRPr="002C21B8">
              <w:rPr>
                <w:sz w:val="20"/>
                <w:szCs w:val="20"/>
                <w:lang w:val="pl-PL"/>
              </w:rPr>
              <w:t>(lewy* adj bod*).ti,ab.</w:t>
            </w:r>
          </w:p>
        </w:tc>
      </w:tr>
      <w:tr w:rsidR="00FA366A" w:rsidRPr="002C21B8" w14:paraId="2B8D0982" w14:textId="77777777" w:rsidTr="00960A9F">
        <w:trPr>
          <w:trHeight w:val="320"/>
        </w:trPr>
        <w:tc>
          <w:tcPr>
            <w:tcW w:w="701" w:type="dxa"/>
            <w:shd w:val="clear" w:color="auto" w:fill="auto"/>
            <w:vAlign w:val="center"/>
          </w:tcPr>
          <w:p w14:paraId="3AD2F4D8" w14:textId="77777777" w:rsidR="00FA366A" w:rsidRPr="002C21B8" w:rsidRDefault="00FA366A" w:rsidP="00212D46">
            <w:pPr>
              <w:spacing w:after="0" w:line="240" w:lineRule="auto"/>
              <w:rPr>
                <w:sz w:val="20"/>
                <w:szCs w:val="20"/>
              </w:rPr>
            </w:pPr>
            <w:r w:rsidRPr="002C21B8">
              <w:rPr>
                <w:sz w:val="20"/>
                <w:szCs w:val="20"/>
              </w:rPr>
              <w:t>74</w:t>
            </w:r>
          </w:p>
        </w:tc>
        <w:tc>
          <w:tcPr>
            <w:tcW w:w="8504" w:type="dxa"/>
            <w:shd w:val="clear" w:color="auto" w:fill="auto"/>
            <w:vAlign w:val="bottom"/>
          </w:tcPr>
          <w:p w14:paraId="4A07E29A" w14:textId="77777777" w:rsidR="00FA366A" w:rsidRPr="002C21B8" w:rsidRDefault="00FA366A" w:rsidP="00212D46">
            <w:pPr>
              <w:spacing w:after="0" w:line="240" w:lineRule="auto"/>
              <w:rPr>
                <w:sz w:val="20"/>
                <w:szCs w:val="20"/>
              </w:rPr>
            </w:pPr>
            <w:r w:rsidRPr="002C21B8">
              <w:rPr>
                <w:sz w:val="20"/>
                <w:szCs w:val="20"/>
              </w:rPr>
              <w:t>((memory* or mental*) adj (declin* or deteriorat* or impair* or los*)).ti,ab.</w:t>
            </w:r>
          </w:p>
        </w:tc>
      </w:tr>
      <w:tr w:rsidR="00FA366A" w:rsidRPr="002C21B8" w14:paraId="00899F32" w14:textId="77777777" w:rsidTr="00960A9F">
        <w:trPr>
          <w:trHeight w:val="320"/>
        </w:trPr>
        <w:tc>
          <w:tcPr>
            <w:tcW w:w="701" w:type="dxa"/>
            <w:shd w:val="clear" w:color="auto" w:fill="auto"/>
            <w:vAlign w:val="center"/>
          </w:tcPr>
          <w:p w14:paraId="5CB298B7" w14:textId="77777777" w:rsidR="00FA366A" w:rsidRPr="002C21B8" w:rsidRDefault="00FA366A" w:rsidP="00212D46">
            <w:pPr>
              <w:spacing w:after="0" w:line="240" w:lineRule="auto"/>
              <w:rPr>
                <w:sz w:val="20"/>
                <w:szCs w:val="20"/>
              </w:rPr>
            </w:pPr>
            <w:r w:rsidRPr="002C21B8">
              <w:rPr>
                <w:sz w:val="20"/>
                <w:szCs w:val="20"/>
              </w:rPr>
              <w:t>75</w:t>
            </w:r>
          </w:p>
        </w:tc>
        <w:tc>
          <w:tcPr>
            <w:tcW w:w="8504" w:type="dxa"/>
            <w:shd w:val="clear" w:color="auto" w:fill="auto"/>
            <w:vAlign w:val="bottom"/>
          </w:tcPr>
          <w:p w14:paraId="4A99922D" w14:textId="77777777" w:rsidR="00FA366A" w:rsidRPr="002C21B8" w:rsidRDefault="00FA366A" w:rsidP="00212D46">
            <w:pPr>
              <w:spacing w:after="0" w:line="240" w:lineRule="auto"/>
              <w:rPr>
                <w:sz w:val="20"/>
                <w:szCs w:val="20"/>
              </w:rPr>
            </w:pPr>
            <w:r w:rsidRPr="002C21B8">
              <w:rPr>
                <w:sz w:val="20"/>
                <w:szCs w:val="20"/>
              </w:rPr>
              <w:t>exp diabetes mellitus/</w:t>
            </w:r>
          </w:p>
        </w:tc>
      </w:tr>
      <w:tr w:rsidR="00FA366A" w:rsidRPr="002C21B8" w14:paraId="493669E4" w14:textId="77777777" w:rsidTr="00960A9F">
        <w:trPr>
          <w:trHeight w:val="320"/>
        </w:trPr>
        <w:tc>
          <w:tcPr>
            <w:tcW w:w="701" w:type="dxa"/>
            <w:shd w:val="clear" w:color="auto" w:fill="auto"/>
            <w:vAlign w:val="center"/>
          </w:tcPr>
          <w:p w14:paraId="3AACE248" w14:textId="77777777" w:rsidR="00FA366A" w:rsidRPr="002C21B8" w:rsidRDefault="00FA366A" w:rsidP="00212D46">
            <w:pPr>
              <w:spacing w:after="0" w:line="240" w:lineRule="auto"/>
              <w:rPr>
                <w:sz w:val="20"/>
                <w:szCs w:val="20"/>
              </w:rPr>
            </w:pPr>
            <w:r w:rsidRPr="002C21B8">
              <w:rPr>
                <w:sz w:val="20"/>
                <w:szCs w:val="20"/>
              </w:rPr>
              <w:t>76</w:t>
            </w:r>
          </w:p>
        </w:tc>
        <w:tc>
          <w:tcPr>
            <w:tcW w:w="8504" w:type="dxa"/>
            <w:shd w:val="clear" w:color="auto" w:fill="auto"/>
            <w:vAlign w:val="bottom"/>
          </w:tcPr>
          <w:p w14:paraId="1571C8F0" w14:textId="77777777" w:rsidR="00FA366A" w:rsidRPr="002C21B8" w:rsidRDefault="00FA366A" w:rsidP="00212D46">
            <w:pPr>
              <w:spacing w:after="0" w:line="240" w:lineRule="auto"/>
              <w:rPr>
                <w:sz w:val="20"/>
                <w:szCs w:val="20"/>
              </w:rPr>
            </w:pPr>
            <w:r w:rsidRPr="002C21B8">
              <w:rPr>
                <w:sz w:val="20"/>
                <w:szCs w:val="20"/>
              </w:rPr>
              <w:t>(diabet* adj3 type adj3 (one or "1" or I)).ti,ab.</w:t>
            </w:r>
          </w:p>
        </w:tc>
      </w:tr>
      <w:tr w:rsidR="00FA366A" w:rsidRPr="002C21B8" w14:paraId="4D58C7C7" w14:textId="77777777" w:rsidTr="00960A9F">
        <w:trPr>
          <w:trHeight w:val="320"/>
        </w:trPr>
        <w:tc>
          <w:tcPr>
            <w:tcW w:w="701" w:type="dxa"/>
            <w:shd w:val="clear" w:color="auto" w:fill="auto"/>
            <w:vAlign w:val="center"/>
          </w:tcPr>
          <w:p w14:paraId="47892D57" w14:textId="77777777" w:rsidR="00FA366A" w:rsidRPr="002C21B8" w:rsidRDefault="00FA366A" w:rsidP="00212D46">
            <w:pPr>
              <w:spacing w:after="0" w:line="240" w:lineRule="auto"/>
              <w:rPr>
                <w:sz w:val="20"/>
                <w:szCs w:val="20"/>
              </w:rPr>
            </w:pPr>
            <w:r w:rsidRPr="002C21B8">
              <w:rPr>
                <w:sz w:val="20"/>
                <w:szCs w:val="20"/>
              </w:rPr>
              <w:t>77</w:t>
            </w:r>
          </w:p>
        </w:tc>
        <w:tc>
          <w:tcPr>
            <w:tcW w:w="8504" w:type="dxa"/>
            <w:shd w:val="clear" w:color="auto" w:fill="auto"/>
            <w:vAlign w:val="bottom"/>
          </w:tcPr>
          <w:p w14:paraId="749D3074" w14:textId="77777777" w:rsidR="00FA366A" w:rsidRPr="002C21B8" w:rsidRDefault="00FA366A" w:rsidP="00212D46">
            <w:pPr>
              <w:spacing w:after="0" w:line="240" w:lineRule="auto"/>
              <w:rPr>
                <w:sz w:val="20"/>
                <w:szCs w:val="20"/>
              </w:rPr>
            </w:pPr>
            <w:r w:rsidRPr="002C21B8">
              <w:rPr>
                <w:sz w:val="20"/>
                <w:szCs w:val="20"/>
              </w:rPr>
              <w:t>(diabet* adj3 type adj3 (two or "2" or II)).ti,ab.</w:t>
            </w:r>
          </w:p>
        </w:tc>
      </w:tr>
      <w:tr w:rsidR="00FA366A" w:rsidRPr="002C21B8" w14:paraId="6ABDEABA" w14:textId="77777777" w:rsidTr="00960A9F">
        <w:trPr>
          <w:trHeight w:val="320"/>
        </w:trPr>
        <w:tc>
          <w:tcPr>
            <w:tcW w:w="701" w:type="dxa"/>
            <w:shd w:val="clear" w:color="auto" w:fill="auto"/>
            <w:vAlign w:val="center"/>
          </w:tcPr>
          <w:p w14:paraId="61F4FDE0" w14:textId="77777777" w:rsidR="00FA366A" w:rsidRPr="002C21B8" w:rsidRDefault="00FA366A" w:rsidP="00212D46">
            <w:pPr>
              <w:spacing w:after="0" w:line="240" w:lineRule="auto"/>
              <w:rPr>
                <w:sz w:val="20"/>
                <w:szCs w:val="20"/>
              </w:rPr>
            </w:pPr>
            <w:r w:rsidRPr="002C21B8">
              <w:rPr>
                <w:sz w:val="20"/>
                <w:szCs w:val="20"/>
              </w:rPr>
              <w:t>78</w:t>
            </w:r>
          </w:p>
        </w:tc>
        <w:tc>
          <w:tcPr>
            <w:tcW w:w="8504" w:type="dxa"/>
            <w:shd w:val="clear" w:color="auto" w:fill="auto"/>
            <w:vAlign w:val="bottom"/>
          </w:tcPr>
          <w:p w14:paraId="0EBC5963" w14:textId="77777777" w:rsidR="00FA366A" w:rsidRPr="002C21B8" w:rsidRDefault="00FA366A" w:rsidP="00212D46">
            <w:pPr>
              <w:spacing w:after="0" w:line="240" w:lineRule="auto"/>
              <w:rPr>
                <w:sz w:val="20"/>
                <w:szCs w:val="20"/>
              </w:rPr>
            </w:pPr>
            <w:r w:rsidRPr="002C21B8">
              <w:rPr>
                <w:sz w:val="20"/>
                <w:szCs w:val="20"/>
              </w:rPr>
              <w:t>((insulin or noninsulin or non-insulin) adj2 (resistan* or depend*)).ti,ab.</w:t>
            </w:r>
          </w:p>
        </w:tc>
      </w:tr>
      <w:tr w:rsidR="00FA366A" w:rsidRPr="002C21B8" w14:paraId="01B13D11" w14:textId="77777777" w:rsidTr="00960A9F">
        <w:trPr>
          <w:trHeight w:val="320"/>
        </w:trPr>
        <w:tc>
          <w:tcPr>
            <w:tcW w:w="701" w:type="dxa"/>
            <w:shd w:val="clear" w:color="auto" w:fill="auto"/>
            <w:vAlign w:val="center"/>
          </w:tcPr>
          <w:p w14:paraId="12E2D184" w14:textId="77777777" w:rsidR="00FA366A" w:rsidRPr="002C21B8" w:rsidRDefault="00FA366A" w:rsidP="00212D46">
            <w:pPr>
              <w:spacing w:after="0" w:line="240" w:lineRule="auto"/>
              <w:rPr>
                <w:sz w:val="20"/>
                <w:szCs w:val="20"/>
              </w:rPr>
            </w:pPr>
            <w:r w:rsidRPr="002C21B8">
              <w:rPr>
                <w:sz w:val="20"/>
                <w:szCs w:val="20"/>
              </w:rPr>
              <w:t>79</w:t>
            </w:r>
          </w:p>
        </w:tc>
        <w:tc>
          <w:tcPr>
            <w:tcW w:w="8504" w:type="dxa"/>
            <w:shd w:val="clear" w:color="auto" w:fill="auto"/>
            <w:vAlign w:val="bottom"/>
          </w:tcPr>
          <w:p w14:paraId="228C76AB" w14:textId="77777777" w:rsidR="00FA366A" w:rsidRPr="002C21B8" w:rsidRDefault="00FA366A" w:rsidP="00212D46">
            <w:pPr>
              <w:spacing w:after="0" w:line="240" w:lineRule="auto"/>
              <w:rPr>
                <w:sz w:val="20"/>
                <w:szCs w:val="20"/>
              </w:rPr>
            </w:pPr>
            <w:r w:rsidRPr="002C21B8">
              <w:rPr>
                <w:sz w:val="20"/>
                <w:szCs w:val="20"/>
              </w:rPr>
              <w:t>(diabet* or DM or DM1 or DM2 or T1D or T1DM or T2D or T2DM or NIDDM or IDDM or MODY).ti,ab.</w:t>
            </w:r>
          </w:p>
        </w:tc>
      </w:tr>
      <w:tr w:rsidR="00FA366A" w:rsidRPr="002C21B8" w14:paraId="5319C19B" w14:textId="77777777" w:rsidTr="00960A9F">
        <w:trPr>
          <w:trHeight w:val="320"/>
        </w:trPr>
        <w:tc>
          <w:tcPr>
            <w:tcW w:w="701" w:type="dxa"/>
            <w:shd w:val="clear" w:color="auto" w:fill="auto"/>
            <w:vAlign w:val="center"/>
          </w:tcPr>
          <w:p w14:paraId="07805879" w14:textId="77777777" w:rsidR="00FA366A" w:rsidRPr="002C21B8" w:rsidRDefault="00FA366A" w:rsidP="00212D46">
            <w:pPr>
              <w:spacing w:after="0" w:line="240" w:lineRule="auto"/>
              <w:rPr>
                <w:sz w:val="20"/>
                <w:szCs w:val="20"/>
              </w:rPr>
            </w:pPr>
            <w:r w:rsidRPr="002C21B8">
              <w:rPr>
                <w:sz w:val="20"/>
                <w:szCs w:val="20"/>
              </w:rPr>
              <w:t>80</w:t>
            </w:r>
          </w:p>
        </w:tc>
        <w:tc>
          <w:tcPr>
            <w:tcW w:w="8504" w:type="dxa"/>
            <w:shd w:val="clear" w:color="auto" w:fill="auto"/>
            <w:vAlign w:val="bottom"/>
          </w:tcPr>
          <w:p w14:paraId="61CEBC46" w14:textId="77777777" w:rsidR="00FA366A" w:rsidRPr="002C21B8" w:rsidRDefault="00FA366A" w:rsidP="00212D46">
            <w:pPr>
              <w:spacing w:after="0" w:line="240" w:lineRule="auto"/>
              <w:rPr>
                <w:sz w:val="20"/>
                <w:szCs w:val="20"/>
              </w:rPr>
            </w:pPr>
            <w:r w:rsidRPr="002C21B8">
              <w:rPr>
                <w:sz w:val="20"/>
                <w:szCs w:val="20"/>
              </w:rPr>
              <w:t>glucose ?tolerance.ti,ab.</w:t>
            </w:r>
          </w:p>
        </w:tc>
      </w:tr>
      <w:tr w:rsidR="00FA366A" w:rsidRPr="002C21B8" w14:paraId="09114456" w14:textId="77777777" w:rsidTr="00960A9F">
        <w:trPr>
          <w:trHeight w:val="320"/>
        </w:trPr>
        <w:tc>
          <w:tcPr>
            <w:tcW w:w="701" w:type="dxa"/>
            <w:shd w:val="clear" w:color="auto" w:fill="auto"/>
            <w:vAlign w:val="center"/>
          </w:tcPr>
          <w:p w14:paraId="1E252F5A" w14:textId="77777777" w:rsidR="00FA366A" w:rsidRPr="002C21B8" w:rsidRDefault="00FA366A" w:rsidP="00212D46">
            <w:pPr>
              <w:spacing w:after="0" w:line="240" w:lineRule="auto"/>
              <w:rPr>
                <w:sz w:val="20"/>
                <w:szCs w:val="20"/>
              </w:rPr>
            </w:pPr>
            <w:r w:rsidRPr="002C21B8">
              <w:rPr>
                <w:sz w:val="20"/>
                <w:szCs w:val="20"/>
              </w:rPr>
              <w:t>81</w:t>
            </w:r>
          </w:p>
        </w:tc>
        <w:tc>
          <w:tcPr>
            <w:tcW w:w="8504" w:type="dxa"/>
            <w:shd w:val="clear" w:color="auto" w:fill="auto"/>
            <w:vAlign w:val="bottom"/>
          </w:tcPr>
          <w:p w14:paraId="13965395" w14:textId="77777777" w:rsidR="00FA366A" w:rsidRPr="002C21B8" w:rsidRDefault="00FA366A" w:rsidP="00212D46">
            <w:pPr>
              <w:spacing w:after="0" w:line="240" w:lineRule="auto"/>
              <w:rPr>
                <w:sz w:val="20"/>
                <w:szCs w:val="20"/>
              </w:rPr>
            </w:pPr>
            <w:r w:rsidRPr="002C21B8">
              <w:rPr>
                <w:sz w:val="20"/>
                <w:szCs w:val="20"/>
              </w:rPr>
              <w:t>endometriosis/</w:t>
            </w:r>
          </w:p>
        </w:tc>
      </w:tr>
      <w:tr w:rsidR="00FA366A" w:rsidRPr="002C21B8" w14:paraId="5A201781" w14:textId="77777777" w:rsidTr="00960A9F">
        <w:trPr>
          <w:trHeight w:val="320"/>
        </w:trPr>
        <w:tc>
          <w:tcPr>
            <w:tcW w:w="701" w:type="dxa"/>
            <w:shd w:val="clear" w:color="auto" w:fill="auto"/>
            <w:vAlign w:val="center"/>
          </w:tcPr>
          <w:p w14:paraId="76775C79" w14:textId="77777777" w:rsidR="00FA366A" w:rsidRPr="002C21B8" w:rsidRDefault="00FA366A" w:rsidP="00212D46">
            <w:pPr>
              <w:spacing w:after="0" w:line="240" w:lineRule="auto"/>
              <w:rPr>
                <w:sz w:val="20"/>
                <w:szCs w:val="20"/>
              </w:rPr>
            </w:pPr>
            <w:r w:rsidRPr="002C21B8">
              <w:rPr>
                <w:sz w:val="20"/>
                <w:szCs w:val="20"/>
              </w:rPr>
              <w:t>82</w:t>
            </w:r>
          </w:p>
        </w:tc>
        <w:tc>
          <w:tcPr>
            <w:tcW w:w="8504" w:type="dxa"/>
            <w:shd w:val="clear" w:color="auto" w:fill="auto"/>
            <w:vAlign w:val="bottom"/>
          </w:tcPr>
          <w:p w14:paraId="5C2387DD" w14:textId="77777777" w:rsidR="00FA366A" w:rsidRPr="002C21B8" w:rsidRDefault="00FA366A" w:rsidP="00212D46">
            <w:pPr>
              <w:spacing w:after="0" w:line="240" w:lineRule="auto"/>
              <w:rPr>
                <w:sz w:val="20"/>
                <w:szCs w:val="20"/>
              </w:rPr>
            </w:pPr>
            <w:r w:rsidRPr="002C21B8">
              <w:rPr>
                <w:sz w:val="20"/>
                <w:szCs w:val="20"/>
              </w:rPr>
              <w:t>(endometrios* or endometrioma? or adenomyo* or adenomyoma? or adenometriti* or adenomyosit* or adenomyometriti*).ti,ab.</w:t>
            </w:r>
          </w:p>
        </w:tc>
      </w:tr>
      <w:tr w:rsidR="00FA366A" w:rsidRPr="002C21B8" w14:paraId="2FB38261" w14:textId="77777777" w:rsidTr="00960A9F">
        <w:trPr>
          <w:trHeight w:val="320"/>
        </w:trPr>
        <w:tc>
          <w:tcPr>
            <w:tcW w:w="701" w:type="dxa"/>
            <w:shd w:val="clear" w:color="auto" w:fill="auto"/>
            <w:vAlign w:val="center"/>
          </w:tcPr>
          <w:p w14:paraId="1C32911F" w14:textId="77777777" w:rsidR="00FA366A" w:rsidRPr="002C21B8" w:rsidRDefault="00FA366A" w:rsidP="00212D46">
            <w:pPr>
              <w:spacing w:after="0" w:line="240" w:lineRule="auto"/>
              <w:rPr>
                <w:sz w:val="20"/>
                <w:szCs w:val="20"/>
              </w:rPr>
            </w:pPr>
            <w:r w:rsidRPr="002C21B8">
              <w:rPr>
                <w:sz w:val="20"/>
                <w:szCs w:val="20"/>
              </w:rPr>
              <w:t>83</w:t>
            </w:r>
          </w:p>
        </w:tc>
        <w:tc>
          <w:tcPr>
            <w:tcW w:w="8504" w:type="dxa"/>
            <w:shd w:val="clear" w:color="auto" w:fill="auto"/>
            <w:vAlign w:val="bottom"/>
          </w:tcPr>
          <w:p w14:paraId="5AF62342" w14:textId="77777777" w:rsidR="00FA366A" w:rsidRPr="002C21B8" w:rsidRDefault="00FA366A" w:rsidP="00212D46">
            <w:pPr>
              <w:spacing w:after="0" w:line="240" w:lineRule="auto"/>
              <w:rPr>
                <w:sz w:val="20"/>
                <w:szCs w:val="20"/>
              </w:rPr>
            </w:pPr>
            <w:r w:rsidRPr="002C21B8">
              <w:rPr>
                <w:sz w:val="20"/>
                <w:szCs w:val="20"/>
              </w:rPr>
              <w:t>exp epilepsy/</w:t>
            </w:r>
          </w:p>
        </w:tc>
      </w:tr>
      <w:tr w:rsidR="00FA366A" w:rsidRPr="002C21B8" w14:paraId="61298062" w14:textId="77777777" w:rsidTr="00960A9F">
        <w:trPr>
          <w:trHeight w:val="320"/>
        </w:trPr>
        <w:tc>
          <w:tcPr>
            <w:tcW w:w="701" w:type="dxa"/>
            <w:shd w:val="clear" w:color="auto" w:fill="auto"/>
            <w:vAlign w:val="center"/>
          </w:tcPr>
          <w:p w14:paraId="149D9031" w14:textId="77777777" w:rsidR="00FA366A" w:rsidRPr="002C21B8" w:rsidRDefault="00FA366A" w:rsidP="00212D46">
            <w:pPr>
              <w:spacing w:after="0" w:line="240" w:lineRule="auto"/>
              <w:rPr>
                <w:sz w:val="20"/>
                <w:szCs w:val="20"/>
              </w:rPr>
            </w:pPr>
            <w:r w:rsidRPr="002C21B8">
              <w:rPr>
                <w:sz w:val="20"/>
                <w:szCs w:val="20"/>
              </w:rPr>
              <w:t>84</w:t>
            </w:r>
          </w:p>
        </w:tc>
        <w:tc>
          <w:tcPr>
            <w:tcW w:w="8504" w:type="dxa"/>
            <w:shd w:val="clear" w:color="auto" w:fill="auto"/>
            <w:vAlign w:val="bottom"/>
          </w:tcPr>
          <w:p w14:paraId="7BB1702E" w14:textId="77777777" w:rsidR="00FA366A" w:rsidRPr="002C21B8" w:rsidRDefault="00FA366A" w:rsidP="00212D46">
            <w:pPr>
              <w:spacing w:after="0" w:line="240" w:lineRule="auto"/>
              <w:rPr>
                <w:sz w:val="20"/>
                <w:szCs w:val="20"/>
              </w:rPr>
            </w:pPr>
            <w:r w:rsidRPr="002C21B8">
              <w:rPr>
                <w:sz w:val="20"/>
                <w:szCs w:val="20"/>
              </w:rPr>
              <w:t>exp seizure/</w:t>
            </w:r>
          </w:p>
        </w:tc>
      </w:tr>
      <w:tr w:rsidR="00FA366A" w:rsidRPr="002C21B8" w14:paraId="53CA8681" w14:textId="77777777" w:rsidTr="00960A9F">
        <w:trPr>
          <w:trHeight w:val="320"/>
        </w:trPr>
        <w:tc>
          <w:tcPr>
            <w:tcW w:w="701" w:type="dxa"/>
            <w:shd w:val="clear" w:color="auto" w:fill="auto"/>
            <w:vAlign w:val="center"/>
          </w:tcPr>
          <w:p w14:paraId="102F0A31" w14:textId="77777777" w:rsidR="00FA366A" w:rsidRPr="002C21B8" w:rsidRDefault="00FA366A" w:rsidP="00212D46">
            <w:pPr>
              <w:spacing w:after="0" w:line="240" w:lineRule="auto"/>
              <w:rPr>
                <w:sz w:val="20"/>
                <w:szCs w:val="20"/>
              </w:rPr>
            </w:pPr>
            <w:r w:rsidRPr="002C21B8">
              <w:rPr>
                <w:sz w:val="20"/>
                <w:szCs w:val="20"/>
              </w:rPr>
              <w:t>85</w:t>
            </w:r>
          </w:p>
        </w:tc>
        <w:tc>
          <w:tcPr>
            <w:tcW w:w="8504" w:type="dxa"/>
            <w:shd w:val="clear" w:color="auto" w:fill="auto"/>
            <w:vAlign w:val="bottom"/>
          </w:tcPr>
          <w:p w14:paraId="77A6C46D" w14:textId="77777777" w:rsidR="00FA366A" w:rsidRPr="002C21B8" w:rsidRDefault="00FA366A" w:rsidP="00212D46">
            <w:pPr>
              <w:spacing w:after="0" w:line="240" w:lineRule="auto"/>
              <w:rPr>
                <w:sz w:val="20"/>
                <w:szCs w:val="20"/>
              </w:rPr>
            </w:pPr>
            <w:r w:rsidRPr="002C21B8">
              <w:rPr>
                <w:sz w:val="20"/>
                <w:szCs w:val="20"/>
              </w:rPr>
              <w:t>(epilep* or seizure* or aura* or convulsion*).ti,ab.</w:t>
            </w:r>
          </w:p>
        </w:tc>
      </w:tr>
      <w:tr w:rsidR="00FA366A" w:rsidRPr="002C21B8" w14:paraId="41E9B593" w14:textId="77777777" w:rsidTr="00960A9F">
        <w:trPr>
          <w:trHeight w:val="320"/>
        </w:trPr>
        <w:tc>
          <w:tcPr>
            <w:tcW w:w="701" w:type="dxa"/>
            <w:shd w:val="clear" w:color="auto" w:fill="auto"/>
            <w:vAlign w:val="center"/>
          </w:tcPr>
          <w:p w14:paraId="1B96D4EA" w14:textId="77777777" w:rsidR="00FA366A" w:rsidRPr="002C21B8" w:rsidRDefault="00FA366A" w:rsidP="00212D46">
            <w:pPr>
              <w:spacing w:after="0" w:line="240" w:lineRule="auto"/>
              <w:rPr>
                <w:sz w:val="20"/>
                <w:szCs w:val="20"/>
              </w:rPr>
            </w:pPr>
            <w:r w:rsidRPr="002C21B8">
              <w:rPr>
                <w:sz w:val="20"/>
                <w:szCs w:val="20"/>
              </w:rPr>
              <w:t>86</w:t>
            </w:r>
          </w:p>
        </w:tc>
        <w:tc>
          <w:tcPr>
            <w:tcW w:w="8504" w:type="dxa"/>
            <w:shd w:val="clear" w:color="auto" w:fill="auto"/>
            <w:vAlign w:val="bottom"/>
          </w:tcPr>
          <w:p w14:paraId="0472C484" w14:textId="77777777" w:rsidR="00FA366A" w:rsidRPr="002C21B8" w:rsidRDefault="00FA366A" w:rsidP="00212D46">
            <w:pPr>
              <w:spacing w:after="0" w:line="240" w:lineRule="auto"/>
              <w:rPr>
                <w:sz w:val="20"/>
                <w:szCs w:val="20"/>
              </w:rPr>
            </w:pPr>
            <w:r w:rsidRPr="002C21B8">
              <w:rPr>
                <w:sz w:val="20"/>
                <w:szCs w:val="20"/>
              </w:rPr>
              <w:t>exp hypertension/</w:t>
            </w:r>
          </w:p>
        </w:tc>
      </w:tr>
      <w:tr w:rsidR="00FA366A" w:rsidRPr="002C21B8" w14:paraId="7EE7495F" w14:textId="77777777" w:rsidTr="00960A9F">
        <w:trPr>
          <w:trHeight w:val="320"/>
        </w:trPr>
        <w:tc>
          <w:tcPr>
            <w:tcW w:w="701" w:type="dxa"/>
            <w:shd w:val="clear" w:color="auto" w:fill="auto"/>
            <w:vAlign w:val="center"/>
          </w:tcPr>
          <w:p w14:paraId="3DE79607" w14:textId="77777777" w:rsidR="00FA366A" w:rsidRPr="002C21B8" w:rsidRDefault="00FA366A" w:rsidP="00212D46">
            <w:pPr>
              <w:spacing w:after="0" w:line="240" w:lineRule="auto"/>
              <w:rPr>
                <w:sz w:val="20"/>
                <w:szCs w:val="20"/>
              </w:rPr>
            </w:pPr>
            <w:r w:rsidRPr="002C21B8">
              <w:rPr>
                <w:sz w:val="20"/>
                <w:szCs w:val="20"/>
              </w:rPr>
              <w:t>87</w:t>
            </w:r>
          </w:p>
        </w:tc>
        <w:tc>
          <w:tcPr>
            <w:tcW w:w="8504" w:type="dxa"/>
            <w:shd w:val="clear" w:color="auto" w:fill="auto"/>
            <w:vAlign w:val="bottom"/>
          </w:tcPr>
          <w:p w14:paraId="78736B46" w14:textId="77777777" w:rsidR="00FA366A" w:rsidRPr="002C21B8" w:rsidRDefault="00FA366A" w:rsidP="00212D46">
            <w:pPr>
              <w:spacing w:after="0" w:line="240" w:lineRule="auto"/>
              <w:rPr>
                <w:sz w:val="20"/>
                <w:szCs w:val="20"/>
              </w:rPr>
            </w:pPr>
            <w:r w:rsidRPr="002C21B8">
              <w:rPr>
                <w:sz w:val="20"/>
                <w:szCs w:val="20"/>
              </w:rPr>
              <w:t>(hypertens* or (blood adj pressure)).ti,ab.</w:t>
            </w:r>
          </w:p>
        </w:tc>
      </w:tr>
      <w:tr w:rsidR="00FA366A" w:rsidRPr="002C21B8" w14:paraId="32FCF686" w14:textId="77777777" w:rsidTr="00960A9F">
        <w:trPr>
          <w:trHeight w:val="320"/>
        </w:trPr>
        <w:tc>
          <w:tcPr>
            <w:tcW w:w="701" w:type="dxa"/>
            <w:shd w:val="clear" w:color="auto" w:fill="auto"/>
            <w:vAlign w:val="center"/>
          </w:tcPr>
          <w:p w14:paraId="09F6C5C4" w14:textId="77777777" w:rsidR="00FA366A" w:rsidRPr="002C21B8" w:rsidRDefault="00FA366A" w:rsidP="00212D46">
            <w:pPr>
              <w:spacing w:after="0" w:line="240" w:lineRule="auto"/>
              <w:rPr>
                <w:sz w:val="20"/>
                <w:szCs w:val="20"/>
              </w:rPr>
            </w:pPr>
            <w:r w:rsidRPr="002C21B8">
              <w:rPr>
                <w:sz w:val="20"/>
                <w:szCs w:val="20"/>
              </w:rPr>
              <w:t>88</w:t>
            </w:r>
          </w:p>
        </w:tc>
        <w:tc>
          <w:tcPr>
            <w:tcW w:w="8504" w:type="dxa"/>
            <w:shd w:val="clear" w:color="auto" w:fill="auto"/>
            <w:vAlign w:val="bottom"/>
          </w:tcPr>
          <w:p w14:paraId="5B0D943E" w14:textId="77777777" w:rsidR="00FA366A" w:rsidRPr="002C21B8" w:rsidRDefault="00FA366A" w:rsidP="00212D46">
            <w:pPr>
              <w:spacing w:after="0" w:line="240" w:lineRule="auto"/>
              <w:rPr>
                <w:sz w:val="20"/>
                <w:szCs w:val="20"/>
              </w:rPr>
            </w:pPr>
            <w:r w:rsidRPr="002C21B8">
              <w:rPr>
                <w:sz w:val="20"/>
                <w:szCs w:val="20"/>
              </w:rPr>
              <w:t>exp hepatitis, chronic/</w:t>
            </w:r>
          </w:p>
        </w:tc>
      </w:tr>
      <w:tr w:rsidR="00FA366A" w:rsidRPr="002C21B8" w14:paraId="3AA4A3BD" w14:textId="77777777" w:rsidTr="00960A9F">
        <w:trPr>
          <w:trHeight w:val="320"/>
        </w:trPr>
        <w:tc>
          <w:tcPr>
            <w:tcW w:w="701" w:type="dxa"/>
            <w:shd w:val="clear" w:color="auto" w:fill="auto"/>
            <w:vAlign w:val="center"/>
          </w:tcPr>
          <w:p w14:paraId="2D8A5104" w14:textId="77777777" w:rsidR="00FA366A" w:rsidRPr="002C21B8" w:rsidRDefault="00FA366A" w:rsidP="00212D46">
            <w:pPr>
              <w:spacing w:after="0" w:line="240" w:lineRule="auto"/>
              <w:rPr>
                <w:sz w:val="20"/>
                <w:szCs w:val="20"/>
              </w:rPr>
            </w:pPr>
            <w:r w:rsidRPr="002C21B8">
              <w:rPr>
                <w:sz w:val="20"/>
                <w:szCs w:val="20"/>
              </w:rPr>
              <w:t>89</w:t>
            </w:r>
          </w:p>
        </w:tc>
        <w:tc>
          <w:tcPr>
            <w:tcW w:w="8504" w:type="dxa"/>
            <w:shd w:val="clear" w:color="auto" w:fill="auto"/>
            <w:vAlign w:val="bottom"/>
          </w:tcPr>
          <w:p w14:paraId="2E52D43B" w14:textId="77777777" w:rsidR="00FA366A" w:rsidRPr="002C21B8" w:rsidRDefault="00FA366A" w:rsidP="00212D46">
            <w:pPr>
              <w:spacing w:after="0" w:line="240" w:lineRule="auto"/>
              <w:rPr>
                <w:sz w:val="20"/>
                <w:szCs w:val="20"/>
              </w:rPr>
            </w:pPr>
            <w:r w:rsidRPr="002C21B8">
              <w:rPr>
                <w:sz w:val="20"/>
                <w:szCs w:val="20"/>
              </w:rPr>
              <w:t>(chronic adj hepatitis).ti,ab.</w:t>
            </w:r>
          </w:p>
        </w:tc>
      </w:tr>
      <w:tr w:rsidR="00FA366A" w:rsidRPr="002C21B8" w14:paraId="55F42685" w14:textId="77777777" w:rsidTr="00960A9F">
        <w:trPr>
          <w:trHeight w:val="320"/>
        </w:trPr>
        <w:tc>
          <w:tcPr>
            <w:tcW w:w="701" w:type="dxa"/>
            <w:shd w:val="clear" w:color="auto" w:fill="auto"/>
            <w:vAlign w:val="center"/>
          </w:tcPr>
          <w:p w14:paraId="592A6E5D" w14:textId="77777777" w:rsidR="00FA366A" w:rsidRPr="002C21B8" w:rsidRDefault="00FA366A" w:rsidP="00212D46">
            <w:pPr>
              <w:spacing w:after="0" w:line="240" w:lineRule="auto"/>
              <w:rPr>
                <w:sz w:val="20"/>
                <w:szCs w:val="20"/>
              </w:rPr>
            </w:pPr>
            <w:r w:rsidRPr="002C21B8">
              <w:rPr>
                <w:sz w:val="20"/>
                <w:szCs w:val="20"/>
              </w:rPr>
              <w:t>90</w:t>
            </w:r>
          </w:p>
        </w:tc>
        <w:tc>
          <w:tcPr>
            <w:tcW w:w="8504" w:type="dxa"/>
            <w:shd w:val="clear" w:color="auto" w:fill="auto"/>
            <w:vAlign w:val="bottom"/>
          </w:tcPr>
          <w:p w14:paraId="4BD8C46B" w14:textId="77777777" w:rsidR="00FA366A" w:rsidRPr="002C21B8" w:rsidRDefault="00FA366A" w:rsidP="00212D46">
            <w:pPr>
              <w:spacing w:after="0" w:line="240" w:lineRule="auto"/>
              <w:rPr>
                <w:sz w:val="20"/>
                <w:szCs w:val="20"/>
              </w:rPr>
            </w:pPr>
            <w:r w:rsidRPr="002C21B8">
              <w:rPr>
                <w:sz w:val="20"/>
                <w:szCs w:val="20"/>
              </w:rPr>
              <w:t>exp HIV/</w:t>
            </w:r>
          </w:p>
        </w:tc>
      </w:tr>
      <w:tr w:rsidR="00FA366A" w:rsidRPr="002C21B8" w14:paraId="2D97F7F1" w14:textId="77777777" w:rsidTr="00960A9F">
        <w:trPr>
          <w:trHeight w:val="320"/>
        </w:trPr>
        <w:tc>
          <w:tcPr>
            <w:tcW w:w="701" w:type="dxa"/>
            <w:shd w:val="clear" w:color="auto" w:fill="auto"/>
            <w:vAlign w:val="center"/>
          </w:tcPr>
          <w:p w14:paraId="12769A81" w14:textId="77777777" w:rsidR="00FA366A" w:rsidRPr="002C21B8" w:rsidRDefault="00FA366A" w:rsidP="00212D46">
            <w:pPr>
              <w:spacing w:after="0" w:line="240" w:lineRule="auto"/>
              <w:rPr>
                <w:sz w:val="20"/>
                <w:szCs w:val="20"/>
              </w:rPr>
            </w:pPr>
            <w:r w:rsidRPr="002C21B8">
              <w:rPr>
                <w:sz w:val="20"/>
                <w:szCs w:val="20"/>
              </w:rPr>
              <w:t>91</w:t>
            </w:r>
          </w:p>
        </w:tc>
        <w:tc>
          <w:tcPr>
            <w:tcW w:w="8504" w:type="dxa"/>
            <w:shd w:val="clear" w:color="auto" w:fill="auto"/>
            <w:vAlign w:val="bottom"/>
          </w:tcPr>
          <w:p w14:paraId="6B1206B3" w14:textId="77777777" w:rsidR="00FA366A" w:rsidRPr="002C21B8" w:rsidRDefault="00FA366A" w:rsidP="00212D46">
            <w:pPr>
              <w:spacing w:after="0" w:line="240" w:lineRule="auto"/>
              <w:rPr>
                <w:sz w:val="20"/>
                <w:szCs w:val="20"/>
              </w:rPr>
            </w:pPr>
            <w:r w:rsidRPr="002C21B8">
              <w:rPr>
                <w:sz w:val="20"/>
                <w:szCs w:val="20"/>
              </w:rPr>
              <w:t>(hiv infect* or hiv disease*).ti,ab.</w:t>
            </w:r>
          </w:p>
        </w:tc>
      </w:tr>
      <w:tr w:rsidR="00FA366A" w:rsidRPr="002C21B8" w14:paraId="180BEA81" w14:textId="77777777" w:rsidTr="00960A9F">
        <w:trPr>
          <w:trHeight w:val="320"/>
        </w:trPr>
        <w:tc>
          <w:tcPr>
            <w:tcW w:w="701" w:type="dxa"/>
            <w:shd w:val="clear" w:color="auto" w:fill="auto"/>
            <w:vAlign w:val="center"/>
          </w:tcPr>
          <w:p w14:paraId="3A0F9638" w14:textId="77777777" w:rsidR="00FA366A" w:rsidRPr="002C21B8" w:rsidRDefault="00FA366A" w:rsidP="00212D46">
            <w:pPr>
              <w:spacing w:after="0" w:line="240" w:lineRule="auto"/>
              <w:rPr>
                <w:sz w:val="20"/>
                <w:szCs w:val="20"/>
              </w:rPr>
            </w:pPr>
            <w:r w:rsidRPr="002C21B8">
              <w:rPr>
                <w:sz w:val="20"/>
                <w:szCs w:val="20"/>
              </w:rPr>
              <w:t>92</w:t>
            </w:r>
          </w:p>
        </w:tc>
        <w:tc>
          <w:tcPr>
            <w:tcW w:w="8504" w:type="dxa"/>
            <w:shd w:val="clear" w:color="auto" w:fill="auto"/>
            <w:vAlign w:val="bottom"/>
          </w:tcPr>
          <w:p w14:paraId="0302A8A1" w14:textId="77777777" w:rsidR="00FA366A" w:rsidRPr="002C21B8" w:rsidRDefault="00FA366A" w:rsidP="00212D46">
            <w:pPr>
              <w:spacing w:after="0" w:line="240" w:lineRule="auto"/>
              <w:rPr>
                <w:sz w:val="20"/>
                <w:szCs w:val="20"/>
              </w:rPr>
            </w:pPr>
            <w:r w:rsidRPr="002C21B8">
              <w:rPr>
                <w:sz w:val="20"/>
                <w:szCs w:val="20"/>
              </w:rPr>
              <w:t>exp inflammatory bowel diseases/</w:t>
            </w:r>
          </w:p>
        </w:tc>
      </w:tr>
      <w:tr w:rsidR="00FA366A" w:rsidRPr="002C21B8" w14:paraId="761DBF0E" w14:textId="77777777" w:rsidTr="00960A9F">
        <w:trPr>
          <w:trHeight w:val="320"/>
        </w:trPr>
        <w:tc>
          <w:tcPr>
            <w:tcW w:w="701" w:type="dxa"/>
            <w:shd w:val="clear" w:color="auto" w:fill="auto"/>
            <w:vAlign w:val="center"/>
          </w:tcPr>
          <w:p w14:paraId="1C300B51" w14:textId="77777777" w:rsidR="00FA366A" w:rsidRPr="002C21B8" w:rsidRDefault="00FA366A" w:rsidP="00212D46">
            <w:pPr>
              <w:spacing w:after="0" w:line="240" w:lineRule="auto"/>
              <w:rPr>
                <w:sz w:val="20"/>
                <w:szCs w:val="20"/>
              </w:rPr>
            </w:pPr>
            <w:r w:rsidRPr="002C21B8">
              <w:rPr>
                <w:sz w:val="20"/>
                <w:szCs w:val="20"/>
              </w:rPr>
              <w:t>93</w:t>
            </w:r>
          </w:p>
        </w:tc>
        <w:tc>
          <w:tcPr>
            <w:tcW w:w="8504" w:type="dxa"/>
            <w:shd w:val="clear" w:color="auto" w:fill="auto"/>
            <w:vAlign w:val="bottom"/>
          </w:tcPr>
          <w:p w14:paraId="7A2EF299" w14:textId="77777777" w:rsidR="00FA366A" w:rsidRPr="002C21B8" w:rsidRDefault="00FA366A" w:rsidP="00212D46">
            <w:pPr>
              <w:spacing w:after="0" w:line="240" w:lineRule="auto"/>
              <w:rPr>
                <w:sz w:val="20"/>
                <w:szCs w:val="20"/>
              </w:rPr>
            </w:pPr>
            <w:r w:rsidRPr="002C21B8">
              <w:rPr>
                <w:sz w:val="20"/>
                <w:szCs w:val="20"/>
              </w:rPr>
              <w:t>(crohn* disease or crohn's enteritis* or ulcerative coliti* or terminal ileitis or granulomatous coliti* or ileocoliti*).ti,ab.</w:t>
            </w:r>
          </w:p>
        </w:tc>
      </w:tr>
      <w:tr w:rsidR="00FA366A" w:rsidRPr="002C21B8" w14:paraId="69EC6172" w14:textId="77777777" w:rsidTr="00960A9F">
        <w:trPr>
          <w:trHeight w:val="320"/>
        </w:trPr>
        <w:tc>
          <w:tcPr>
            <w:tcW w:w="701" w:type="dxa"/>
            <w:shd w:val="clear" w:color="auto" w:fill="auto"/>
            <w:vAlign w:val="center"/>
          </w:tcPr>
          <w:p w14:paraId="6E377671" w14:textId="77777777" w:rsidR="00FA366A" w:rsidRPr="002C21B8" w:rsidRDefault="00FA366A" w:rsidP="00212D46">
            <w:pPr>
              <w:spacing w:after="0" w:line="240" w:lineRule="auto"/>
              <w:rPr>
                <w:sz w:val="20"/>
                <w:szCs w:val="20"/>
              </w:rPr>
            </w:pPr>
            <w:r w:rsidRPr="002C21B8">
              <w:rPr>
                <w:sz w:val="20"/>
                <w:szCs w:val="20"/>
              </w:rPr>
              <w:t>94</w:t>
            </w:r>
          </w:p>
        </w:tc>
        <w:tc>
          <w:tcPr>
            <w:tcW w:w="8504" w:type="dxa"/>
            <w:shd w:val="clear" w:color="auto" w:fill="auto"/>
            <w:vAlign w:val="bottom"/>
          </w:tcPr>
          <w:p w14:paraId="60C7BEB7" w14:textId="77777777" w:rsidR="00FA366A" w:rsidRPr="002C21B8" w:rsidRDefault="00FA366A" w:rsidP="00212D46">
            <w:pPr>
              <w:spacing w:after="0" w:line="240" w:lineRule="auto"/>
              <w:rPr>
                <w:sz w:val="20"/>
                <w:szCs w:val="20"/>
              </w:rPr>
            </w:pPr>
            <w:r w:rsidRPr="002C21B8">
              <w:rPr>
                <w:sz w:val="20"/>
                <w:szCs w:val="20"/>
              </w:rPr>
              <w:t>irritable bowel syndrome/</w:t>
            </w:r>
          </w:p>
        </w:tc>
      </w:tr>
      <w:tr w:rsidR="00FA366A" w:rsidRPr="002C21B8" w14:paraId="65112261" w14:textId="77777777" w:rsidTr="00960A9F">
        <w:trPr>
          <w:trHeight w:val="320"/>
        </w:trPr>
        <w:tc>
          <w:tcPr>
            <w:tcW w:w="701" w:type="dxa"/>
            <w:shd w:val="clear" w:color="auto" w:fill="auto"/>
            <w:vAlign w:val="center"/>
          </w:tcPr>
          <w:p w14:paraId="2C6352FE" w14:textId="77777777" w:rsidR="00FA366A" w:rsidRPr="002C21B8" w:rsidRDefault="00FA366A" w:rsidP="00212D46">
            <w:pPr>
              <w:spacing w:after="0" w:line="240" w:lineRule="auto"/>
              <w:rPr>
                <w:sz w:val="20"/>
                <w:szCs w:val="20"/>
              </w:rPr>
            </w:pPr>
            <w:r w:rsidRPr="002C21B8">
              <w:rPr>
                <w:sz w:val="20"/>
                <w:szCs w:val="20"/>
              </w:rPr>
              <w:t>95</w:t>
            </w:r>
          </w:p>
        </w:tc>
        <w:tc>
          <w:tcPr>
            <w:tcW w:w="8504" w:type="dxa"/>
            <w:shd w:val="clear" w:color="auto" w:fill="auto"/>
            <w:vAlign w:val="bottom"/>
          </w:tcPr>
          <w:p w14:paraId="7973A86C" w14:textId="77777777" w:rsidR="00FA366A" w:rsidRPr="002C21B8" w:rsidRDefault="00FA366A" w:rsidP="00212D46">
            <w:pPr>
              <w:spacing w:after="0" w:line="240" w:lineRule="auto"/>
              <w:rPr>
                <w:sz w:val="20"/>
                <w:szCs w:val="20"/>
              </w:rPr>
            </w:pPr>
            <w:r w:rsidRPr="002C21B8">
              <w:rPr>
                <w:sz w:val="20"/>
                <w:szCs w:val="20"/>
              </w:rPr>
              <w:t>((irritable or functional or spastic) adj1 (bowel or colon)).ti,ab.</w:t>
            </w:r>
          </w:p>
        </w:tc>
      </w:tr>
      <w:tr w:rsidR="00FA366A" w:rsidRPr="002C21B8" w14:paraId="155EC7D0" w14:textId="77777777" w:rsidTr="00960A9F">
        <w:trPr>
          <w:trHeight w:val="320"/>
        </w:trPr>
        <w:tc>
          <w:tcPr>
            <w:tcW w:w="701" w:type="dxa"/>
            <w:shd w:val="clear" w:color="auto" w:fill="auto"/>
            <w:vAlign w:val="center"/>
          </w:tcPr>
          <w:p w14:paraId="5D60D9B3" w14:textId="77777777" w:rsidR="00FA366A" w:rsidRPr="002C21B8" w:rsidRDefault="00FA366A" w:rsidP="00212D46">
            <w:pPr>
              <w:spacing w:after="0" w:line="240" w:lineRule="auto"/>
              <w:rPr>
                <w:sz w:val="20"/>
                <w:szCs w:val="20"/>
              </w:rPr>
            </w:pPr>
            <w:r w:rsidRPr="002C21B8">
              <w:rPr>
                <w:sz w:val="20"/>
                <w:szCs w:val="20"/>
              </w:rPr>
              <w:t>96</w:t>
            </w:r>
          </w:p>
        </w:tc>
        <w:tc>
          <w:tcPr>
            <w:tcW w:w="8504" w:type="dxa"/>
            <w:shd w:val="clear" w:color="auto" w:fill="auto"/>
            <w:vAlign w:val="bottom"/>
          </w:tcPr>
          <w:p w14:paraId="678C8888" w14:textId="77777777" w:rsidR="00FA366A" w:rsidRPr="002C21B8" w:rsidRDefault="00FA366A" w:rsidP="00212D46">
            <w:pPr>
              <w:spacing w:after="0" w:line="240" w:lineRule="auto"/>
              <w:rPr>
                <w:sz w:val="20"/>
                <w:szCs w:val="20"/>
              </w:rPr>
            </w:pPr>
            <w:r w:rsidRPr="002C21B8">
              <w:rPr>
                <w:sz w:val="20"/>
                <w:szCs w:val="20"/>
              </w:rPr>
              <w:t>(IBS or mucous colit* or gastrointestinal syndrome* or functional gastrointestinal).ti,ab.</w:t>
            </w:r>
          </w:p>
        </w:tc>
      </w:tr>
      <w:tr w:rsidR="00FA366A" w:rsidRPr="002C21B8" w14:paraId="7AF586DA" w14:textId="77777777" w:rsidTr="00960A9F">
        <w:trPr>
          <w:trHeight w:val="320"/>
        </w:trPr>
        <w:tc>
          <w:tcPr>
            <w:tcW w:w="701" w:type="dxa"/>
            <w:shd w:val="clear" w:color="auto" w:fill="auto"/>
            <w:vAlign w:val="center"/>
          </w:tcPr>
          <w:p w14:paraId="70243A72" w14:textId="77777777" w:rsidR="00FA366A" w:rsidRPr="002C21B8" w:rsidRDefault="00FA366A" w:rsidP="00212D46">
            <w:pPr>
              <w:spacing w:after="0" w:line="240" w:lineRule="auto"/>
              <w:rPr>
                <w:sz w:val="20"/>
                <w:szCs w:val="20"/>
              </w:rPr>
            </w:pPr>
            <w:r w:rsidRPr="002C21B8">
              <w:rPr>
                <w:sz w:val="20"/>
                <w:szCs w:val="20"/>
              </w:rPr>
              <w:t>97</w:t>
            </w:r>
          </w:p>
        </w:tc>
        <w:tc>
          <w:tcPr>
            <w:tcW w:w="8504" w:type="dxa"/>
            <w:shd w:val="clear" w:color="auto" w:fill="auto"/>
            <w:vAlign w:val="bottom"/>
          </w:tcPr>
          <w:p w14:paraId="38E316FC" w14:textId="77777777" w:rsidR="00FA366A" w:rsidRPr="002C21B8" w:rsidRDefault="00FA366A" w:rsidP="00212D46">
            <w:pPr>
              <w:spacing w:after="0" w:line="240" w:lineRule="auto"/>
              <w:rPr>
                <w:sz w:val="20"/>
                <w:szCs w:val="20"/>
              </w:rPr>
            </w:pPr>
            <w:r w:rsidRPr="002C21B8">
              <w:rPr>
                <w:sz w:val="20"/>
                <w:szCs w:val="20"/>
              </w:rPr>
              <w:t>exp migraine disorders/</w:t>
            </w:r>
          </w:p>
        </w:tc>
      </w:tr>
      <w:tr w:rsidR="00FA366A" w:rsidRPr="002C21B8" w14:paraId="4D49C4FA" w14:textId="77777777" w:rsidTr="00960A9F">
        <w:trPr>
          <w:trHeight w:val="320"/>
        </w:trPr>
        <w:tc>
          <w:tcPr>
            <w:tcW w:w="701" w:type="dxa"/>
            <w:shd w:val="clear" w:color="auto" w:fill="auto"/>
            <w:vAlign w:val="center"/>
          </w:tcPr>
          <w:p w14:paraId="38435A13" w14:textId="77777777" w:rsidR="00FA366A" w:rsidRPr="002C21B8" w:rsidRDefault="00FA366A" w:rsidP="00212D46">
            <w:pPr>
              <w:spacing w:after="0" w:line="240" w:lineRule="auto"/>
              <w:rPr>
                <w:sz w:val="20"/>
                <w:szCs w:val="20"/>
              </w:rPr>
            </w:pPr>
            <w:r w:rsidRPr="002C21B8">
              <w:rPr>
                <w:sz w:val="20"/>
                <w:szCs w:val="20"/>
              </w:rPr>
              <w:t>98</w:t>
            </w:r>
          </w:p>
        </w:tc>
        <w:tc>
          <w:tcPr>
            <w:tcW w:w="8504" w:type="dxa"/>
            <w:shd w:val="clear" w:color="auto" w:fill="auto"/>
            <w:vAlign w:val="bottom"/>
          </w:tcPr>
          <w:p w14:paraId="0AE34E91" w14:textId="77777777" w:rsidR="00FA366A" w:rsidRPr="002C21B8" w:rsidRDefault="00FA366A" w:rsidP="00212D46">
            <w:pPr>
              <w:spacing w:after="0" w:line="240" w:lineRule="auto"/>
              <w:rPr>
                <w:sz w:val="20"/>
                <w:szCs w:val="20"/>
              </w:rPr>
            </w:pPr>
            <w:r w:rsidRPr="002C21B8">
              <w:rPr>
                <w:sz w:val="20"/>
                <w:szCs w:val="20"/>
              </w:rPr>
              <w:t>(migraine or megrim or hemicrania).ti,ab.</w:t>
            </w:r>
          </w:p>
        </w:tc>
      </w:tr>
      <w:tr w:rsidR="00FA366A" w:rsidRPr="002C21B8" w14:paraId="1E48FA98" w14:textId="77777777" w:rsidTr="00960A9F">
        <w:trPr>
          <w:trHeight w:val="320"/>
        </w:trPr>
        <w:tc>
          <w:tcPr>
            <w:tcW w:w="701" w:type="dxa"/>
            <w:shd w:val="clear" w:color="auto" w:fill="auto"/>
            <w:vAlign w:val="center"/>
          </w:tcPr>
          <w:p w14:paraId="22167C6B" w14:textId="77777777" w:rsidR="00FA366A" w:rsidRPr="002C21B8" w:rsidRDefault="00FA366A" w:rsidP="00212D46">
            <w:pPr>
              <w:spacing w:after="0" w:line="240" w:lineRule="auto"/>
              <w:rPr>
                <w:sz w:val="20"/>
                <w:szCs w:val="20"/>
              </w:rPr>
            </w:pPr>
            <w:r w:rsidRPr="002C21B8">
              <w:rPr>
                <w:sz w:val="20"/>
                <w:szCs w:val="20"/>
              </w:rPr>
              <w:t>99</w:t>
            </w:r>
          </w:p>
        </w:tc>
        <w:tc>
          <w:tcPr>
            <w:tcW w:w="8504" w:type="dxa"/>
            <w:shd w:val="clear" w:color="auto" w:fill="auto"/>
            <w:vAlign w:val="bottom"/>
          </w:tcPr>
          <w:p w14:paraId="53AFE74B" w14:textId="77777777" w:rsidR="00FA366A" w:rsidRPr="002C21B8" w:rsidRDefault="00FA366A" w:rsidP="00212D46">
            <w:pPr>
              <w:spacing w:after="0" w:line="240" w:lineRule="auto"/>
              <w:rPr>
                <w:sz w:val="20"/>
                <w:szCs w:val="20"/>
              </w:rPr>
            </w:pPr>
            <w:r w:rsidRPr="002C21B8">
              <w:rPr>
                <w:sz w:val="20"/>
                <w:szCs w:val="20"/>
              </w:rPr>
              <w:t>exp multiple sclerosis/</w:t>
            </w:r>
          </w:p>
        </w:tc>
      </w:tr>
      <w:tr w:rsidR="00FA366A" w:rsidRPr="002C21B8" w14:paraId="6D8E21D3" w14:textId="77777777" w:rsidTr="00960A9F">
        <w:trPr>
          <w:trHeight w:val="320"/>
        </w:trPr>
        <w:tc>
          <w:tcPr>
            <w:tcW w:w="701" w:type="dxa"/>
            <w:shd w:val="clear" w:color="auto" w:fill="auto"/>
            <w:vAlign w:val="center"/>
          </w:tcPr>
          <w:p w14:paraId="70C26498" w14:textId="77777777" w:rsidR="00FA366A" w:rsidRPr="002C21B8" w:rsidRDefault="00FA366A" w:rsidP="00212D46">
            <w:pPr>
              <w:spacing w:after="0" w:line="240" w:lineRule="auto"/>
              <w:rPr>
                <w:sz w:val="20"/>
                <w:szCs w:val="20"/>
              </w:rPr>
            </w:pPr>
            <w:r w:rsidRPr="002C21B8">
              <w:rPr>
                <w:sz w:val="20"/>
                <w:szCs w:val="20"/>
              </w:rPr>
              <w:t>100</w:t>
            </w:r>
          </w:p>
        </w:tc>
        <w:tc>
          <w:tcPr>
            <w:tcW w:w="8504" w:type="dxa"/>
            <w:shd w:val="clear" w:color="auto" w:fill="auto"/>
            <w:vAlign w:val="bottom"/>
          </w:tcPr>
          <w:p w14:paraId="6C9A1114" w14:textId="77777777" w:rsidR="00FA366A" w:rsidRPr="002C21B8" w:rsidRDefault="00FA366A" w:rsidP="00212D46">
            <w:pPr>
              <w:spacing w:after="0" w:line="240" w:lineRule="auto"/>
              <w:rPr>
                <w:sz w:val="20"/>
                <w:szCs w:val="20"/>
              </w:rPr>
            </w:pPr>
            <w:r w:rsidRPr="002C21B8">
              <w:rPr>
                <w:sz w:val="20"/>
                <w:szCs w:val="20"/>
              </w:rPr>
              <w:t>(multiple sclerosis or MS or demyelinating disease*).ti,ab.</w:t>
            </w:r>
          </w:p>
        </w:tc>
      </w:tr>
      <w:tr w:rsidR="00FA366A" w:rsidRPr="002C21B8" w14:paraId="6D8EA6E9" w14:textId="77777777" w:rsidTr="00960A9F">
        <w:trPr>
          <w:trHeight w:val="320"/>
        </w:trPr>
        <w:tc>
          <w:tcPr>
            <w:tcW w:w="701" w:type="dxa"/>
            <w:shd w:val="clear" w:color="auto" w:fill="auto"/>
            <w:vAlign w:val="center"/>
          </w:tcPr>
          <w:p w14:paraId="00B49BB6" w14:textId="77777777" w:rsidR="00FA366A" w:rsidRPr="002C21B8" w:rsidRDefault="00FA366A" w:rsidP="00212D46">
            <w:pPr>
              <w:spacing w:after="0" w:line="240" w:lineRule="auto"/>
              <w:rPr>
                <w:sz w:val="20"/>
                <w:szCs w:val="20"/>
              </w:rPr>
            </w:pPr>
            <w:r w:rsidRPr="002C21B8">
              <w:rPr>
                <w:sz w:val="20"/>
                <w:szCs w:val="20"/>
              </w:rPr>
              <w:t>101</w:t>
            </w:r>
          </w:p>
        </w:tc>
        <w:tc>
          <w:tcPr>
            <w:tcW w:w="8504" w:type="dxa"/>
            <w:shd w:val="clear" w:color="auto" w:fill="auto"/>
            <w:vAlign w:val="bottom"/>
          </w:tcPr>
          <w:p w14:paraId="2BC63291" w14:textId="77777777" w:rsidR="00FA366A" w:rsidRPr="002C21B8" w:rsidRDefault="00FA366A" w:rsidP="00212D46">
            <w:pPr>
              <w:spacing w:after="0" w:line="240" w:lineRule="auto"/>
              <w:rPr>
                <w:sz w:val="20"/>
                <w:szCs w:val="20"/>
              </w:rPr>
            </w:pPr>
            <w:r w:rsidRPr="002C21B8">
              <w:rPr>
                <w:sz w:val="20"/>
                <w:szCs w:val="20"/>
              </w:rPr>
              <w:t>exp osteoarthritis/</w:t>
            </w:r>
          </w:p>
        </w:tc>
      </w:tr>
      <w:tr w:rsidR="00FA366A" w:rsidRPr="002C21B8" w14:paraId="45EA7297" w14:textId="77777777" w:rsidTr="00960A9F">
        <w:trPr>
          <w:trHeight w:val="320"/>
        </w:trPr>
        <w:tc>
          <w:tcPr>
            <w:tcW w:w="701" w:type="dxa"/>
            <w:shd w:val="clear" w:color="auto" w:fill="auto"/>
            <w:vAlign w:val="center"/>
          </w:tcPr>
          <w:p w14:paraId="14A633DE" w14:textId="77777777" w:rsidR="00FA366A" w:rsidRPr="002C21B8" w:rsidRDefault="00FA366A" w:rsidP="00212D46">
            <w:pPr>
              <w:spacing w:after="0" w:line="240" w:lineRule="auto"/>
              <w:rPr>
                <w:sz w:val="20"/>
                <w:szCs w:val="20"/>
              </w:rPr>
            </w:pPr>
            <w:r w:rsidRPr="002C21B8">
              <w:rPr>
                <w:sz w:val="20"/>
                <w:szCs w:val="20"/>
              </w:rPr>
              <w:t>102</w:t>
            </w:r>
          </w:p>
        </w:tc>
        <w:tc>
          <w:tcPr>
            <w:tcW w:w="8504" w:type="dxa"/>
            <w:shd w:val="clear" w:color="auto" w:fill="auto"/>
            <w:vAlign w:val="bottom"/>
          </w:tcPr>
          <w:p w14:paraId="47208711" w14:textId="77777777" w:rsidR="00FA366A" w:rsidRPr="002C21B8" w:rsidRDefault="00FA366A" w:rsidP="00212D46">
            <w:pPr>
              <w:spacing w:after="0" w:line="240" w:lineRule="auto"/>
              <w:rPr>
                <w:sz w:val="20"/>
                <w:szCs w:val="20"/>
              </w:rPr>
            </w:pPr>
            <w:r w:rsidRPr="002C21B8">
              <w:rPr>
                <w:sz w:val="20"/>
                <w:szCs w:val="20"/>
              </w:rPr>
              <w:t>(osteoarthr* or OA).ti,ab.</w:t>
            </w:r>
          </w:p>
        </w:tc>
      </w:tr>
      <w:tr w:rsidR="00FA366A" w:rsidRPr="002C21B8" w14:paraId="779B24EF" w14:textId="77777777" w:rsidTr="00960A9F">
        <w:trPr>
          <w:trHeight w:val="320"/>
        </w:trPr>
        <w:tc>
          <w:tcPr>
            <w:tcW w:w="701" w:type="dxa"/>
            <w:shd w:val="clear" w:color="auto" w:fill="auto"/>
            <w:vAlign w:val="center"/>
          </w:tcPr>
          <w:p w14:paraId="4E3AD569" w14:textId="77777777" w:rsidR="00FA366A" w:rsidRPr="002C21B8" w:rsidRDefault="00FA366A" w:rsidP="00212D46">
            <w:pPr>
              <w:spacing w:after="0" w:line="240" w:lineRule="auto"/>
              <w:rPr>
                <w:sz w:val="20"/>
                <w:szCs w:val="20"/>
              </w:rPr>
            </w:pPr>
            <w:r w:rsidRPr="002C21B8">
              <w:rPr>
                <w:sz w:val="20"/>
                <w:szCs w:val="20"/>
              </w:rPr>
              <w:t>103</w:t>
            </w:r>
          </w:p>
        </w:tc>
        <w:tc>
          <w:tcPr>
            <w:tcW w:w="8504" w:type="dxa"/>
            <w:shd w:val="clear" w:color="auto" w:fill="auto"/>
            <w:vAlign w:val="bottom"/>
          </w:tcPr>
          <w:p w14:paraId="4219ECB8" w14:textId="77777777" w:rsidR="00FA366A" w:rsidRPr="002C21B8" w:rsidRDefault="00FA366A" w:rsidP="00212D46">
            <w:pPr>
              <w:spacing w:after="0" w:line="240" w:lineRule="auto"/>
              <w:rPr>
                <w:sz w:val="20"/>
                <w:szCs w:val="20"/>
              </w:rPr>
            </w:pPr>
            <w:r w:rsidRPr="002C21B8">
              <w:rPr>
                <w:sz w:val="20"/>
                <w:szCs w:val="20"/>
              </w:rPr>
              <w:t>(degenerative adj (arthritis or joint*)).ti,ab.</w:t>
            </w:r>
          </w:p>
        </w:tc>
      </w:tr>
      <w:tr w:rsidR="00FA366A" w:rsidRPr="002C21B8" w14:paraId="7B5314E0" w14:textId="77777777" w:rsidTr="00960A9F">
        <w:trPr>
          <w:trHeight w:val="320"/>
        </w:trPr>
        <w:tc>
          <w:tcPr>
            <w:tcW w:w="701" w:type="dxa"/>
            <w:shd w:val="clear" w:color="auto" w:fill="auto"/>
            <w:vAlign w:val="center"/>
          </w:tcPr>
          <w:p w14:paraId="15E4D9B7" w14:textId="77777777" w:rsidR="00FA366A" w:rsidRPr="002C21B8" w:rsidRDefault="00FA366A" w:rsidP="00212D46">
            <w:pPr>
              <w:spacing w:after="0" w:line="240" w:lineRule="auto"/>
              <w:rPr>
                <w:sz w:val="20"/>
                <w:szCs w:val="20"/>
              </w:rPr>
            </w:pPr>
            <w:r w:rsidRPr="002C21B8">
              <w:rPr>
                <w:sz w:val="20"/>
                <w:szCs w:val="20"/>
              </w:rPr>
              <w:t>104</w:t>
            </w:r>
          </w:p>
        </w:tc>
        <w:tc>
          <w:tcPr>
            <w:tcW w:w="8504" w:type="dxa"/>
            <w:shd w:val="clear" w:color="auto" w:fill="auto"/>
            <w:vAlign w:val="bottom"/>
          </w:tcPr>
          <w:p w14:paraId="078102BF" w14:textId="77777777" w:rsidR="00FA366A" w:rsidRPr="002C21B8" w:rsidRDefault="00FA366A" w:rsidP="00212D46">
            <w:pPr>
              <w:spacing w:after="0" w:line="240" w:lineRule="auto"/>
              <w:rPr>
                <w:sz w:val="20"/>
                <w:szCs w:val="20"/>
              </w:rPr>
            </w:pPr>
            <w:r w:rsidRPr="002C21B8">
              <w:rPr>
                <w:sz w:val="20"/>
                <w:szCs w:val="20"/>
              </w:rPr>
              <w:t>exp parkinson disease/</w:t>
            </w:r>
          </w:p>
        </w:tc>
      </w:tr>
      <w:tr w:rsidR="00FA366A" w:rsidRPr="002C21B8" w14:paraId="77E8897B" w14:textId="77777777" w:rsidTr="00960A9F">
        <w:trPr>
          <w:trHeight w:val="320"/>
        </w:trPr>
        <w:tc>
          <w:tcPr>
            <w:tcW w:w="701" w:type="dxa"/>
            <w:shd w:val="clear" w:color="auto" w:fill="auto"/>
            <w:vAlign w:val="center"/>
          </w:tcPr>
          <w:p w14:paraId="3D54DE1F" w14:textId="77777777" w:rsidR="00FA366A" w:rsidRPr="002C21B8" w:rsidRDefault="00FA366A" w:rsidP="00212D46">
            <w:pPr>
              <w:spacing w:after="0" w:line="240" w:lineRule="auto"/>
              <w:rPr>
                <w:sz w:val="20"/>
                <w:szCs w:val="20"/>
              </w:rPr>
            </w:pPr>
            <w:r w:rsidRPr="002C21B8">
              <w:rPr>
                <w:sz w:val="20"/>
                <w:szCs w:val="20"/>
              </w:rPr>
              <w:t>105</w:t>
            </w:r>
          </w:p>
        </w:tc>
        <w:tc>
          <w:tcPr>
            <w:tcW w:w="8504" w:type="dxa"/>
            <w:shd w:val="clear" w:color="auto" w:fill="auto"/>
            <w:vAlign w:val="bottom"/>
          </w:tcPr>
          <w:p w14:paraId="7BDA11C4" w14:textId="77777777" w:rsidR="00FA366A" w:rsidRPr="002C21B8" w:rsidRDefault="00FA366A" w:rsidP="00212D46">
            <w:pPr>
              <w:spacing w:after="0" w:line="240" w:lineRule="auto"/>
              <w:rPr>
                <w:sz w:val="20"/>
                <w:szCs w:val="20"/>
              </w:rPr>
            </w:pPr>
            <w:r w:rsidRPr="002C21B8">
              <w:rPr>
                <w:sz w:val="20"/>
                <w:szCs w:val="20"/>
              </w:rPr>
              <w:t>(parkinson* disease or PD or parkinson*).ti,ab.</w:t>
            </w:r>
          </w:p>
        </w:tc>
      </w:tr>
      <w:tr w:rsidR="00FA366A" w:rsidRPr="002C21B8" w14:paraId="7483E197" w14:textId="77777777" w:rsidTr="00960A9F">
        <w:trPr>
          <w:trHeight w:val="320"/>
        </w:trPr>
        <w:tc>
          <w:tcPr>
            <w:tcW w:w="701" w:type="dxa"/>
            <w:shd w:val="clear" w:color="auto" w:fill="auto"/>
            <w:vAlign w:val="center"/>
          </w:tcPr>
          <w:p w14:paraId="2EEF2880" w14:textId="77777777" w:rsidR="00FA366A" w:rsidRPr="002C21B8" w:rsidRDefault="00FA366A" w:rsidP="00212D46">
            <w:pPr>
              <w:spacing w:after="0" w:line="240" w:lineRule="auto"/>
              <w:rPr>
                <w:sz w:val="20"/>
                <w:szCs w:val="20"/>
              </w:rPr>
            </w:pPr>
            <w:r w:rsidRPr="002C21B8">
              <w:rPr>
                <w:sz w:val="20"/>
                <w:szCs w:val="20"/>
              </w:rPr>
              <w:t>106</w:t>
            </w:r>
          </w:p>
        </w:tc>
        <w:tc>
          <w:tcPr>
            <w:tcW w:w="8504" w:type="dxa"/>
            <w:shd w:val="clear" w:color="auto" w:fill="auto"/>
            <w:vAlign w:val="bottom"/>
          </w:tcPr>
          <w:p w14:paraId="27F170DF" w14:textId="77777777" w:rsidR="00FA366A" w:rsidRPr="002C21B8" w:rsidRDefault="00FA366A" w:rsidP="00212D46">
            <w:pPr>
              <w:spacing w:after="0" w:line="240" w:lineRule="auto"/>
              <w:rPr>
                <w:sz w:val="20"/>
                <w:szCs w:val="20"/>
              </w:rPr>
            </w:pPr>
            <w:r w:rsidRPr="002C21B8">
              <w:rPr>
                <w:sz w:val="20"/>
                <w:szCs w:val="20"/>
              </w:rPr>
              <w:t>cystic fibrosis/</w:t>
            </w:r>
          </w:p>
        </w:tc>
      </w:tr>
      <w:tr w:rsidR="00FA366A" w:rsidRPr="002C21B8" w14:paraId="6C1FAF9E" w14:textId="77777777" w:rsidTr="00960A9F">
        <w:trPr>
          <w:trHeight w:val="320"/>
        </w:trPr>
        <w:tc>
          <w:tcPr>
            <w:tcW w:w="701" w:type="dxa"/>
            <w:shd w:val="clear" w:color="auto" w:fill="auto"/>
            <w:vAlign w:val="center"/>
          </w:tcPr>
          <w:p w14:paraId="0272621C" w14:textId="77777777" w:rsidR="00FA366A" w:rsidRPr="002C21B8" w:rsidRDefault="00FA366A" w:rsidP="00212D46">
            <w:pPr>
              <w:spacing w:after="0" w:line="240" w:lineRule="auto"/>
              <w:rPr>
                <w:sz w:val="20"/>
                <w:szCs w:val="20"/>
              </w:rPr>
            </w:pPr>
            <w:r w:rsidRPr="002C21B8">
              <w:rPr>
                <w:sz w:val="20"/>
                <w:szCs w:val="20"/>
              </w:rPr>
              <w:t>107</w:t>
            </w:r>
          </w:p>
        </w:tc>
        <w:tc>
          <w:tcPr>
            <w:tcW w:w="8504" w:type="dxa"/>
            <w:shd w:val="clear" w:color="auto" w:fill="auto"/>
            <w:vAlign w:val="bottom"/>
          </w:tcPr>
          <w:p w14:paraId="792A7036" w14:textId="77777777" w:rsidR="00FA366A" w:rsidRPr="002C21B8" w:rsidRDefault="00FA366A" w:rsidP="00212D46">
            <w:pPr>
              <w:spacing w:after="0" w:line="240" w:lineRule="auto"/>
              <w:rPr>
                <w:sz w:val="20"/>
                <w:szCs w:val="20"/>
              </w:rPr>
            </w:pPr>
            <w:r w:rsidRPr="002C21B8">
              <w:rPr>
                <w:sz w:val="20"/>
                <w:szCs w:val="20"/>
              </w:rPr>
              <w:t>(cystic fibrosis or CF or mucoviscidosis or (fibrocystic disease adj pancrea*)).ti,ab.</w:t>
            </w:r>
          </w:p>
        </w:tc>
      </w:tr>
      <w:tr w:rsidR="00FA366A" w:rsidRPr="002C21B8" w14:paraId="77E2739E" w14:textId="77777777" w:rsidTr="00960A9F">
        <w:trPr>
          <w:trHeight w:val="320"/>
        </w:trPr>
        <w:tc>
          <w:tcPr>
            <w:tcW w:w="701" w:type="dxa"/>
            <w:shd w:val="clear" w:color="auto" w:fill="auto"/>
            <w:vAlign w:val="center"/>
          </w:tcPr>
          <w:p w14:paraId="16A135AA" w14:textId="77777777" w:rsidR="00FA366A" w:rsidRPr="002C21B8" w:rsidRDefault="00FA366A" w:rsidP="00212D46">
            <w:pPr>
              <w:spacing w:after="0" w:line="240" w:lineRule="auto"/>
              <w:rPr>
                <w:sz w:val="20"/>
                <w:szCs w:val="20"/>
              </w:rPr>
            </w:pPr>
            <w:r w:rsidRPr="002C21B8">
              <w:rPr>
                <w:sz w:val="20"/>
                <w:szCs w:val="20"/>
              </w:rPr>
              <w:t>108</w:t>
            </w:r>
          </w:p>
        </w:tc>
        <w:tc>
          <w:tcPr>
            <w:tcW w:w="8504" w:type="dxa"/>
            <w:shd w:val="clear" w:color="auto" w:fill="auto"/>
            <w:vAlign w:val="bottom"/>
          </w:tcPr>
          <w:p w14:paraId="41947893" w14:textId="77777777" w:rsidR="00FA366A" w:rsidRPr="002C21B8" w:rsidRDefault="00FA366A" w:rsidP="00212D46">
            <w:pPr>
              <w:spacing w:after="0" w:line="240" w:lineRule="auto"/>
              <w:rPr>
                <w:sz w:val="20"/>
                <w:szCs w:val="20"/>
              </w:rPr>
            </w:pPr>
            <w:r w:rsidRPr="002C21B8">
              <w:rPr>
                <w:sz w:val="20"/>
                <w:szCs w:val="20"/>
              </w:rPr>
              <w:t>exp gastroesophageal reflux/</w:t>
            </w:r>
          </w:p>
        </w:tc>
      </w:tr>
      <w:tr w:rsidR="00FA366A" w:rsidRPr="002C21B8" w14:paraId="7B136A79" w14:textId="77777777" w:rsidTr="00960A9F">
        <w:trPr>
          <w:trHeight w:val="320"/>
        </w:trPr>
        <w:tc>
          <w:tcPr>
            <w:tcW w:w="701" w:type="dxa"/>
            <w:shd w:val="clear" w:color="auto" w:fill="auto"/>
            <w:vAlign w:val="center"/>
          </w:tcPr>
          <w:p w14:paraId="457A7AE5" w14:textId="77777777" w:rsidR="00FA366A" w:rsidRPr="002C21B8" w:rsidRDefault="00FA366A" w:rsidP="00212D46">
            <w:pPr>
              <w:spacing w:after="0" w:line="240" w:lineRule="auto"/>
              <w:rPr>
                <w:sz w:val="20"/>
                <w:szCs w:val="20"/>
              </w:rPr>
            </w:pPr>
            <w:r w:rsidRPr="002C21B8">
              <w:rPr>
                <w:sz w:val="20"/>
                <w:szCs w:val="20"/>
              </w:rPr>
              <w:t>109</w:t>
            </w:r>
          </w:p>
        </w:tc>
        <w:tc>
          <w:tcPr>
            <w:tcW w:w="8504" w:type="dxa"/>
            <w:shd w:val="clear" w:color="auto" w:fill="auto"/>
            <w:vAlign w:val="bottom"/>
          </w:tcPr>
          <w:p w14:paraId="06C97ED5" w14:textId="77777777" w:rsidR="00FA366A" w:rsidRPr="002C21B8" w:rsidRDefault="00FA366A" w:rsidP="00212D46">
            <w:pPr>
              <w:spacing w:after="0" w:line="240" w:lineRule="auto"/>
              <w:rPr>
                <w:sz w:val="20"/>
                <w:szCs w:val="20"/>
              </w:rPr>
            </w:pPr>
            <w:r w:rsidRPr="002C21B8">
              <w:rPr>
                <w:sz w:val="20"/>
                <w:szCs w:val="20"/>
              </w:rPr>
              <w:t>ulcer/</w:t>
            </w:r>
          </w:p>
        </w:tc>
      </w:tr>
      <w:tr w:rsidR="00FA366A" w:rsidRPr="002C21B8" w14:paraId="4038AAF5" w14:textId="77777777" w:rsidTr="00960A9F">
        <w:trPr>
          <w:trHeight w:val="320"/>
        </w:trPr>
        <w:tc>
          <w:tcPr>
            <w:tcW w:w="701" w:type="dxa"/>
            <w:shd w:val="clear" w:color="auto" w:fill="auto"/>
            <w:vAlign w:val="center"/>
          </w:tcPr>
          <w:p w14:paraId="32E88D88" w14:textId="77777777" w:rsidR="00FA366A" w:rsidRPr="002C21B8" w:rsidRDefault="00FA366A" w:rsidP="00212D46">
            <w:pPr>
              <w:spacing w:after="0" w:line="240" w:lineRule="auto"/>
              <w:rPr>
                <w:sz w:val="20"/>
                <w:szCs w:val="20"/>
              </w:rPr>
            </w:pPr>
            <w:r w:rsidRPr="002C21B8">
              <w:rPr>
                <w:sz w:val="20"/>
                <w:szCs w:val="20"/>
              </w:rPr>
              <w:t>110</w:t>
            </w:r>
          </w:p>
        </w:tc>
        <w:tc>
          <w:tcPr>
            <w:tcW w:w="8504" w:type="dxa"/>
            <w:shd w:val="clear" w:color="auto" w:fill="auto"/>
            <w:vAlign w:val="bottom"/>
          </w:tcPr>
          <w:p w14:paraId="1E8A71B3" w14:textId="77777777" w:rsidR="00FA366A" w:rsidRPr="002C21B8" w:rsidRDefault="00FA366A" w:rsidP="00212D46">
            <w:pPr>
              <w:spacing w:after="0" w:line="240" w:lineRule="auto"/>
              <w:rPr>
                <w:sz w:val="20"/>
                <w:szCs w:val="20"/>
              </w:rPr>
            </w:pPr>
            <w:r w:rsidRPr="002C21B8">
              <w:rPr>
                <w:sz w:val="20"/>
                <w:szCs w:val="20"/>
              </w:rPr>
              <w:t>exp esophagitis/</w:t>
            </w:r>
          </w:p>
        </w:tc>
      </w:tr>
      <w:tr w:rsidR="00FA366A" w:rsidRPr="002C21B8" w14:paraId="7225F495" w14:textId="77777777" w:rsidTr="00960A9F">
        <w:trPr>
          <w:trHeight w:val="320"/>
        </w:trPr>
        <w:tc>
          <w:tcPr>
            <w:tcW w:w="701" w:type="dxa"/>
            <w:shd w:val="clear" w:color="auto" w:fill="auto"/>
            <w:vAlign w:val="center"/>
          </w:tcPr>
          <w:p w14:paraId="5903450E" w14:textId="77777777" w:rsidR="00FA366A" w:rsidRPr="002C21B8" w:rsidRDefault="00FA366A" w:rsidP="00212D46">
            <w:pPr>
              <w:spacing w:after="0" w:line="240" w:lineRule="auto"/>
              <w:rPr>
                <w:sz w:val="20"/>
                <w:szCs w:val="20"/>
              </w:rPr>
            </w:pPr>
            <w:r w:rsidRPr="002C21B8">
              <w:rPr>
                <w:sz w:val="20"/>
                <w:szCs w:val="20"/>
              </w:rPr>
              <w:t>111</w:t>
            </w:r>
          </w:p>
        </w:tc>
        <w:tc>
          <w:tcPr>
            <w:tcW w:w="8504" w:type="dxa"/>
            <w:shd w:val="clear" w:color="auto" w:fill="auto"/>
            <w:vAlign w:val="bottom"/>
          </w:tcPr>
          <w:p w14:paraId="6D7D11EF" w14:textId="77777777" w:rsidR="00FA366A" w:rsidRPr="002C21B8" w:rsidRDefault="00FA366A" w:rsidP="00212D46">
            <w:pPr>
              <w:spacing w:after="0" w:line="240" w:lineRule="auto"/>
              <w:rPr>
                <w:sz w:val="20"/>
                <w:szCs w:val="20"/>
              </w:rPr>
            </w:pPr>
            <w:r w:rsidRPr="002C21B8">
              <w:rPr>
                <w:sz w:val="20"/>
                <w:szCs w:val="20"/>
              </w:rPr>
              <w:t>((gastroesophageal or gastrooesophageal or gastro ?esophageal) adj reflux).ti,ab.</w:t>
            </w:r>
          </w:p>
        </w:tc>
      </w:tr>
      <w:tr w:rsidR="00FA366A" w:rsidRPr="002C21B8" w14:paraId="41DF79F3" w14:textId="77777777" w:rsidTr="00960A9F">
        <w:trPr>
          <w:trHeight w:val="320"/>
        </w:trPr>
        <w:tc>
          <w:tcPr>
            <w:tcW w:w="701" w:type="dxa"/>
            <w:shd w:val="clear" w:color="auto" w:fill="auto"/>
            <w:vAlign w:val="center"/>
          </w:tcPr>
          <w:p w14:paraId="3524F496" w14:textId="77777777" w:rsidR="00FA366A" w:rsidRPr="002C21B8" w:rsidRDefault="00FA366A" w:rsidP="00212D46">
            <w:pPr>
              <w:spacing w:after="0" w:line="240" w:lineRule="auto"/>
              <w:rPr>
                <w:sz w:val="20"/>
                <w:szCs w:val="20"/>
              </w:rPr>
            </w:pPr>
            <w:r w:rsidRPr="002C21B8">
              <w:rPr>
                <w:sz w:val="20"/>
                <w:szCs w:val="20"/>
              </w:rPr>
              <w:t>112</w:t>
            </w:r>
          </w:p>
        </w:tc>
        <w:tc>
          <w:tcPr>
            <w:tcW w:w="8504" w:type="dxa"/>
            <w:shd w:val="clear" w:color="auto" w:fill="auto"/>
            <w:vAlign w:val="bottom"/>
          </w:tcPr>
          <w:p w14:paraId="65C7ED17" w14:textId="77777777" w:rsidR="00FA366A" w:rsidRPr="002C21B8" w:rsidRDefault="00FA366A" w:rsidP="00212D46">
            <w:pPr>
              <w:spacing w:after="0" w:line="240" w:lineRule="auto"/>
              <w:rPr>
                <w:sz w:val="20"/>
                <w:szCs w:val="20"/>
              </w:rPr>
            </w:pPr>
            <w:r w:rsidRPr="002C21B8">
              <w:rPr>
                <w:sz w:val="20"/>
                <w:szCs w:val="20"/>
              </w:rPr>
              <w:t>(GORD or GERD or GOR or GER).ti,ab.</w:t>
            </w:r>
          </w:p>
        </w:tc>
      </w:tr>
      <w:tr w:rsidR="00FA366A" w:rsidRPr="002C21B8" w14:paraId="78620DBD" w14:textId="77777777" w:rsidTr="00960A9F">
        <w:trPr>
          <w:trHeight w:val="320"/>
        </w:trPr>
        <w:tc>
          <w:tcPr>
            <w:tcW w:w="701" w:type="dxa"/>
            <w:shd w:val="clear" w:color="auto" w:fill="auto"/>
            <w:vAlign w:val="center"/>
          </w:tcPr>
          <w:p w14:paraId="35563D03" w14:textId="77777777" w:rsidR="00FA366A" w:rsidRPr="002C21B8" w:rsidRDefault="00FA366A" w:rsidP="00212D46">
            <w:pPr>
              <w:spacing w:after="0" w:line="240" w:lineRule="auto"/>
              <w:rPr>
                <w:sz w:val="20"/>
                <w:szCs w:val="20"/>
              </w:rPr>
            </w:pPr>
            <w:r w:rsidRPr="002C21B8">
              <w:rPr>
                <w:sz w:val="20"/>
                <w:szCs w:val="20"/>
              </w:rPr>
              <w:t>113</w:t>
            </w:r>
          </w:p>
        </w:tc>
        <w:tc>
          <w:tcPr>
            <w:tcW w:w="8504" w:type="dxa"/>
            <w:shd w:val="clear" w:color="auto" w:fill="auto"/>
            <w:vAlign w:val="bottom"/>
          </w:tcPr>
          <w:p w14:paraId="486F7ED8" w14:textId="77777777" w:rsidR="00FA366A" w:rsidRPr="002C21B8" w:rsidRDefault="00FA366A" w:rsidP="00212D46">
            <w:pPr>
              <w:spacing w:after="0" w:line="240" w:lineRule="auto"/>
              <w:rPr>
                <w:sz w:val="20"/>
                <w:szCs w:val="20"/>
              </w:rPr>
            </w:pPr>
            <w:r w:rsidRPr="002C21B8">
              <w:rPr>
                <w:sz w:val="20"/>
                <w:szCs w:val="20"/>
              </w:rPr>
              <w:t>(gastric adj3 (acid or reflux)).ti,ab.</w:t>
            </w:r>
          </w:p>
        </w:tc>
      </w:tr>
      <w:tr w:rsidR="00FA366A" w:rsidRPr="002C21B8" w14:paraId="354A74EA" w14:textId="77777777" w:rsidTr="00960A9F">
        <w:trPr>
          <w:trHeight w:val="320"/>
        </w:trPr>
        <w:tc>
          <w:tcPr>
            <w:tcW w:w="701" w:type="dxa"/>
            <w:shd w:val="clear" w:color="auto" w:fill="auto"/>
            <w:vAlign w:val="center"/>
          </w:tcPr>
          <w:p w14:paraId="64B613BA" w14:textId="77777777" w:rsidR="00FA366A" w:rsidRPr="002C21B8" w:rsidRDefault="00FA366A" w:rsidP="00212D46">
            <w:pPr>
              <w:spacing w:after="0" w:line="240" w:lineRule="auto"/>
              <w:rPr>
                <w:sz w:val="20"/>
                <w:szCs w:val="20"/>
              </w:rPr>
            </w:pPr>
            <w:r w:rsidRPr="002C21B8">
              <w:rPr>
                <w:sz w:val="20"/>
                <w:szCs w:val="20"/>
              </w:rPr>
              <w:t>114</w:t>
            </w:r>
          </w:p>
        </w:tc>
        <w:tc>
          <w:tcPr>
            <w:tcW w:w="8504" w:type="dxa"/>
            <w:shd w:val="clear" w:color="auto" w:fill="auto"/>
            <w:vAlign w:val="bottom"/>
          </w:tcPr>
          <w:p w14:paraId="381FC161" w14:textId="77777777" w:rsidR="00FA366A" w:rsidRPr="002C21B8" w:rsidRDefault="00FA366A" w:rsidP="00212D46">
            <w:pPr>
              <w:spacing w:after="0" w:line="240" w:lineRule="auto"/>
              <w:rPr>
                <w:sz w:val="20"/>
                <w:szCs w:val="20"/>
              </w:rPr>
            </w:pPr>
            <w:r w:rsidRPr="002C21B8">
              <w:rPr>
                <w:sz w:val="20"/>
                <w:szCs w:val="20"/>
              </w:rPr>
              <w:t>(reflux adj (oesophagitis or esophagitis)).ti,ab.</w:t>
            </w:r>
          </w:p>
        </w:tc>
      </w:tr>
      <w:tr w:rsidR="00FA366A" w:rsidRPr="002C21B8" w14:paraId="29C2ADC8" w14:textId="77777777" w:rsidTr="00960A9F">
        <w:trPr>
          <w:trHeight w:val="320"/>
        </w:trPr>
        <w:tc>
          <w:tcPr>
            <w:tcW w:w="701" w:type="dxa"/>
            <w:shd w:val="clear" w:color="auto" w:fill="auto"/>
            <w:vAlign w:val="center"/>
          </w:tcPr>
          <w:p w14:paraId="04740436" w14:textId="77777777" w:rsidR="00FA366A" w:rsidRPr="002C21B8" w:rsidRDefault="00FA366A" w:rsidP="00212D46">
            <w:pPr>
              <w:spacing w:after="0" w:line="240" w:lineRule="auto"/>
              <w:rPr>
                <w:sz w:val="20"/>
                <w:szCs w:val="20"/>
              </w:rPr>
            </w:pPr>
            <w:r w:rsidRPr="002C21B8">
              <w:rPr>
                <w:sz w:val="20"/>
                <w:szCs w:val="20"/>
              </w:rPr>
              <w:t>115</w:t>
            </w:r>
          </w:p>
        </w:tc>
        <w:tc>
          <w:tcPr>
            <w:tcW w:w="8504" w:type="dxa"/>
            <w:shd w:val="clear" w:color="auto" w:fill="auto"/>
            <w:vAlign w:val="bottom"/>
          </w:tcPr>
          <w:p w14:paraId="71D23EDE" w14:textId="77777777" w:rsidR="00FA366A" w:rsidRPr="002C21B8" w:rsidRDefault="00FA366A" w:rsidP="00212D46">
            <w:pPr>
              <w:spacing w:after="0" w:line="240" w:lineRule="auto"/>
              <w:rPr>
                <w:sz w:val="20"/>
                <w:szCs w:val="20"/>
              </w:rPr>
            </w:pPr>
            <w:r w:rsidRPr="002C21B8">
              <w:rPr>
                <w:sz w:val="20"/>
                <w:szCs w:val="20"/>
              </w:rPr>
              <w:t>((peptic or gastric or duodenal or stomach or oesophageal or esophageal) and ulcer*).ti,ab.</w:t>
            </w:r>
          </w:p>
        </w:tc>
      </w:tr>
      <w:tr w:rsidR="00FA366A" w:rsidRPr="002C21B8" w14:paraId="2DC05D14" w14:textId="77777777" w:rsidTr="00960A9F">
        <w:trPr>
          <w:trHeight w:val="320"/>
        </w:trPr>
        <w:tc>
          <w:tcPr>
            <w:tcW w:w="701" w:type="dxa"/>
            <w:shd w:val="clear" w:color="auto" w:fill="auto"/>
            <w:vAlign w:val="center"/>
          </w:tcPr>
          <w:p w14:paraId="2C91911F" w14:textId="77777777" w:rsidR="00FA366A" w:rsidRPr="002C21B8" w:rsidRDefault="00FA366A" w:rsidP="00212D46">
            <w:pPr>
              <w:spacing w:after="0" w:line="240" w:lineRule="auto"/>
              <w:rPr>
                <w:sz w:val="20"/>
                <w:szCs w:val="20"/>
              </w:rPr>
            </w:pPr>
            <w:r w:rsidRPr="002C21B8">
              <w:rPr>
                <w:sz w:val="20"/>
                <w:szCs w:val="20"/>
              </w:rPr>
              <w:t>116</w:t>
            </w:r>
          </w:p>
        </w:tc>
        <w:tc>
          <w:tcPr>
            <w:tcW w:w="8504" w:type="dxa"/>
            <w:shd w:val="clear" w:color="auto" w:fill="auto"/>
            <w:vAlign w:val="bottom"/>
          </w:tcPr>
          <w:p w14:paraId="67792654" w14:textId="77777777" w:rsidR="00FA366A" w:rsidRPr="002C21B8" w:rsidRDefault="00FA366A" w:rsidP="00212D46">
            <w:pPr>
              <w:spacing w:after="0" w:line="240" w:lineRule="auto"/>
              <w:rPr>
                <w:sz w:val="20"/>
                <w:szCs w:val="20"/>
              </w:rPr>
            </w:pPr>
            <w:r w:rsidRPr="002C21B8">
              <w:rPr>
                <w:sz w:val="20"/>
                <w:szCs w:val="20"/>
              </w:rPr>
              <w:t>dizziness/</w:t>
            </w:r>
          </w:p>
        </w:tc>
      </w:tr>
      <w:tr w:rsidR="00FA366A" w:rsidRPr="002C21B8" w14:paraId="5CDEFE83" w14:textId="77777777" w:rsidTr="00960A9F">
        <w:trPr>
          <w:trHeight w:val="320"/>
        </w:trPr>
        <w:tc>
          <w:tcPr>
            <w:tcW w:w="701" w:type="dxa"/>
            <w:shd w:val="clear" w:color="auto" w:fill="auto"/>
            <w:vAlign w:val="center"/>
          </w:tcPr>
          <w:p w14:paraId="47BF85B5" w14:textId="77777777" w:rsidR="00FA366A" w:rsidRPr="002C21B8" w:rsidRDefault="00FA366A" w:rsidP="00212D46">
            <w:pPr>
              <w:spacing w:after="0" w:line="240" w:lineRule="auto"/>
              <w:rPr>
                <w:sz w:val="20"/>
                <w:szCs w:val="20"/>
              </w:rPr>
            </w:pPr>
            <w:r w:rsidRPr="002C21B8">
              <w:rPr>
                <w:sz w:val="20"/>
                <w:szCs w:val="20"/>
              </w:rPr>
              <w:t>117</w:t>
            </w:r>
          </w:p>
        </w:tc>
        <w:tc>
          <w:tcPr>
            <w:tcW w:w="8504" w:type="dxa"/>
            <w:shd w:val="clear" w:color="auto" w:fill="auto"/>
            <w:vAlign w:val="bottom"/>
          </w:tcPr>
          <w:p w14:paraId="1979487F" w14:textId="77777777" w:rsidR="00FA366A" w:rsidRPr="002C21B8" w:rsidRDefault="00FA366A" w:rsidP="00212D46">
            <w:pPr>
              <w:spacing w:after="0" w:line="240" w:lineRule="auto"/>
              <w:rPr>
                <w:sz w:val="20"/>
                <w:szCs w:val="20"/>
              </w:rPr>
            </w:pPr>
            <w:r w:rsidRPr="002C21B8">
              <w:rPr>
                <w:sz w:val="20"/>
                <w:szCs w:val="20"/>
              </w:rPr>
              <w:t>exp vertigo/</w:t>
            </w:r>
          </w:p>
        </w:tc>
      </w:tr>
      <w:tr w:rsidR="00FA366A" w:rsidRPr="002C21B8" w14:paraId="5EC5CE75" w14:textId="77777777" w:rsidTr="00960A9F">
        <w:trPr>
          <w:trHeight w:val="320"/>
        </w:trPr>
        <w:tc>
          <w:tcPr>
            <w:tcW w:w="701" w:type="dxa"/>
            <w:shd w:val="clear" w:color="auto" w:fill="auto"/>
            <w:vAlign w:val="center"/>
          </w:tcPr>
          <w:p w14:paraId="71D6C147" w14:textId="77777777" w:rsidR="00FA366A" w:rsidRPr="002C21B8" w:rsidRDefault="00FA366A" w:rsidP="00212D46">
            <w:pPr>
              <w:spacing w:after="0" w:line="240" w:lineRule="auto"/>
              <w:rPr>
                <w:sz w:val="20"/>
                <w:szCs w:val="20"/>
              </w:rPr>
            </w:pPr>
            <w:r w:rsidRPr="002C21B8">
              <w:rPr>
                <w:sz w:val="20"/>
                <w:szCs w:val="20"/>
              </w:rPr>
              <w:t>118</w:t>
            </w:r>
          </w:p>
        </w:tc>
        <w:tc>
          <w:tcPr>
            <w:tcW w:w="8504" w:type="dxa"/>
            <w:shd w:val="clear" w:color="auto" w:fill="auto"/>
            <w:vAlign w:val="bottom"/>
          </w:tcPr>
          <w:p w14:paraId="56C1AAE4" w14:textId="77777777" w:rsidR="00FA366A" w:rsidRPr="002C21B8" w:rsidRDefault="00FA366A" w:rsidP="00212D46">
            <w:pPr>
              <w:spacing w:after="0" w:line="240" w:lineRule="auto"/>
              <w:rPr>
                <w:sz w:val="20"/>
                <w:szCs w:val="20"/>
              </w:rPr>
            </w:pPr>
            <w:r w:rsidRPr="002C21B8">
              <w:rPr>
                <w:sz w:val="20"/>
                <w:szCs w:val="20"/>
              </w:rPr>
              <w:t>(vestibular neuritis or benign paroxysmal positional or BPPV or acoustic neuroma or meniere* disease or labyrinthinitis or vestibular neuronitis or vertigo*).ti,ab.</w:t>
            </w:r>
          </w:p>
        </w:tc>
      </w:tr>
      <w:tr w:rsidR="00FA366A" w:rsidRPr="002C21B8" w14:paraId="4D314A07" w14:textId="77777777" w:rsidTr="00960A9F">
        <w:trPr>
          <w:trHeight w:val="320"/>
        </w:trPr>
        <w:tc>
          <w:tcPr>
            <w:tcW w:w="701" w:type="dxa"/>
            <w:shd w:val="clear" w:color="auto" w:fill="auto"/>
            <w:vAlign w:val="center"/>
          </w:tcPr>
          <w:p w14:paraId="658E5257" w14:textId="77777777" w:rsidR="00FA366A" w:rsidRPr="002C21B8" w:rsidRDefault="00FA366A" w:rsidP="00212D46">
            <w:pPr>
              <w:spacing w:after="0" w:line="240" w:lineRule="auto"/>
              <w:rPr>
                <w:sz w:val="20"/>
                <w:szCs w:val="20"/>
              </w:rPr>
            </w:pPr>
            <w:r w:rsidRPr="002C21B8">
              <w:rPr>
                <w:sz w:val="20"/>
                <w:szCs w:val="20"/>
              </w:rPr>
              <w:t>119</w:t>
            </w:r>
          </w:p>
        </w:tc>
        <w:tc>
          <w:tcPr>
            <w:tcW w:w="8504" w:type="dxa"/>
            <w:shd w:val="clear" w:color="auto" w:fill="auto"/>
            <w:vAlign w:val="bottom"/>
          </w:tcPr>
          <w:p w14:paraId="1FF9CCC4" w14:textId="77777777" w:rsidR="00FA366A" w:rsidRPr="002C21B8" w:rsidRDefault="00FA366A" w:rsidP="00212D46">
            <w:pPr>
              <w:spacing w:after="0" w:line="240" w:lineRule="auto"/>
              <w:rPr>
                <w:sz w:val="20"/>
                <w:szCs w:val="20"/>
              </w:rPr>
            </w:pPr>
            <w:r w:rsidRPr="002C21B8">
              <w:rPr>
                <w:sz w:val="20"/>
                <w:szCs w:val="20"/>
              </w:rPr>
              <w:t>exp eczema/</w:t>
            </w:r>
          </w:p>
        </w:tc>
      </w:tr>
      <w:tr w:rsidR="00FA366A" w:rsidRPr="002C21B8" w14:paraId="19D36F03" w14:textId="77777777" w:rsidTr="00960A9F">
        <w:trPr>
          <w:trHeight w:val="320"/>
        </w:trPr>
        <w:tc>
          <w:tcPr>
            <w:tcW w:w="701" w:type="dxa"/>
            <w:shd w:val="clear" w:color="auto" w:fill="auto"/>
            <w:vAlign w:val="center"/>
          </w:tcPr>
          <w:p w14:paraId="76F1CBAD" w14:textId="77777777" w:rsidR="00FA366A" w:rsidRPr="002C21B8" w:rsidRDefault="00FA366A" w:rsidP="00212D46">
            <w:pPr>
              <w:spacing w:after="0" w:line="240" w:lineRule="auto"/>
              <w:rPr>
                <w:sz w:val="20"/>
                <w:szCs w:val="20"/>
              </w:rPr>
            </w:pPr>
            <w:r w:rsidRPr="002C21B8">
              <w:rPr>
                <w:sz w:val="20"/>
                <w:szCs w:val="20"/>
              </w:rPr>
              <w:t>120</w:t>
            </w:r>
          </w:p>
        </w:tc>
        <w:tc>
          <w:tcPr>
            <w:tcW w:w="8504" w:type="dxa"/>
            <w:shd w:val="clear" w:color="auto" w:fill="auto"/>
            <w:vAlign w:val="bottom"/>
          </w:tcPr>
          <w:p w14:paraId="351FA396" w14:textId="77777777" w:rsidR="00FA366A" w:rsidRPr="002C21B8" w:rsidRDefault="00FA366A" w:rsidP="00212D46">
            <w:pPr>
              <w:spacing w:after="0" w:line="240" w:lineRule="auto"/>
              <w:rPr>
                <w:sz w:val="20"/>
                <w:szCs w:val="20"/>
                <w:lang w:val="pt-PT"/>
              </w:rPr>
            </w:pPr>
            <w:r w:rsidRPr="002C21B8">
              <w:rPr>
                <w:sz w:val="20"/>
                <w:szCs w:val="20"/>
                <w:lang w:val="pt-PT"/>
              </w:rPr>
              <w:t>(eczema or atopic eczema or atopic dermatitis).ti,ab.</w:t>
            </w:r>
          </w:p>
        </w:tc>
      </w:tr>
      <w:tr w:rsidR="00FA366A" w:rsidRPr="002C21B8" w14:paraId="1089EF9E" w14:textId="77777777" w:rsidTr="00960A9F">
        <w:trPr>
          <w:trHeight w:val="320"/>
        </w:trPr>
        <w:tc>
          <w:tcPr>
            <w:tcW w:w="701" w:type="dxa"/>
            <w:shd w:val="clear" w:color="auto" w:fill="auto"/>
            <w:vAlign w:val="center"/>
          </w:tcPr>
          <w:p w14:paraId="5F567E6F" w14:textId="77777777" w:rsidR="00FA366A" w:rsidRPr="002C21B8" w:rsidRDefault="00FA366A" w:rsidP="00212D46">
            <w:pPr>
              <w:spacing w:after="0" w:line="240" w:lineRule="auto"/>
              <w:rPr>
                <w:sz w:val="20"/>
                <w:szCs w:val="20"/>
              </w:rPr>
            </w:pPr>
            <w:r w:rsidRPr="002C21B8">
              <w:rPr>
                <w:sz w:val="20"/>
                <w:szCs w:val="20"/>
              </w:rPr>
              <w:t>121</w:t>
            </w:r>
          </w:p>
        </w:tc>
        <w:tc>
          <w:tcPr>
            <w:tcW w:w="8504" w:type="dxa"/>
            <w:shd w:val="clear" w:color="auto" w:fill="auto"/>
            <w:vAlign w:val="bottom"/>
          </w:tcPr>
          <w:p w14:paraId="143D58F2" w14:textId="77777777" w:rsidR="00FA366A" w:rsidRPr="002C21B8" w:rsidRDefault="00FA366A" w:rsidP="00212D46">
            <w:pPr>
              <w:spacing w:after="0" w:line="240" w:lineRule="auto"/>
              <w:rPr>
                <w:sz w:val="20"/>
                <w:szCs w:val="20"/>
              </w:rPr>
            </w:pPr>
            <w:r w:rsidRPr="002C21B8">
              <w:rPr>
                <w:sz w:val="20"/>
                <w:szCs w:val="20"/>
              </w:rPr>
              <w:t>exp endocrine system diseases/</w:t>
            </w:r>
          </w:p>
        </w:tc>
      </w:tr>
      <w:tr w:rsidR="00FA366A" w:rsidRPr="002C21B8" w14:paraId="7535F929" w14:textId="77777777" w:rsidTr="00960A9F">
        <w:trPr>
          <w:trHeight w:val="320"/>
        </w:trPr>
        <w:tc>
          <w:tcPr>
            <w:tcW w:w="701" w:type="dxa"/>
            <w:shd w:val="clear" w:color="auto" w:fill="auto"/>
            <w:vAlign w:val="center"/>
          </w:tcPr>
          <w:p w14:paraId="16BA409D" w14:textId="77777777" w:rsidR="00FA366A" w:rsidRPr="002C21B8" w:rsidRDefault="00FA366A" w:rsidP="00212D46">
            <w:pPr>
              <w:spacing w:after="0" w:line="240" w:lineRule="auto"/>
              <w:rPr>
                <w:sz w:val="20"/>
                <w:szCs w:val="20"/>
              </w:rPr>
            </w:pPr>
            <w:r w:rsidRPr="002C21B8">
              <w:rPr>
                <w:sz w:val="20"/>
                <w:szCs w:val="20"/>
              </w:rPr>
              <w:t>122</w:t>
            </w:r>
          </w:p>
        </w:tc>
        <w:tc>
          <w:tcPr>
            <w:tcW w:w="8504" w:type="dxa"/>
            <w:shd w:val="clear" w:color="auto" w:fill="auto"/>
            <w:vAlign w:val="bottom"/>
          </w:tcPr>
          <w:p w14:paraId="024D9411" w14:textId="2C3AA29C" w:rsidR="00FA366A" w:rsidRPr="002C21B8" w:rsidRDefault="00FA366A" w:rsidP="00212D46">
            <w:pPr>
              <w:spacing w:after="0" w:line="240" w:lineRule="auto"/>
              <w:rPr>
                <w:sz w:val="20"/>
                <w:szCs w:val="20"/>
              </w:rPr>
            </w:pPr>
            <w:r w:rsidRPr="002C21B8">
              <w:rPr>
                <w:sz w:val="20"/>
                <w:szCs w:val="20"/>
              </w:rPr>
              <w:t>(thyrotoxicosis* or hyperthyroid* or hypothyroid* or hypogonad* or cushing* syndrome or cushing disease or addison syndrome or addison disease or acromegaly or congenital ad</w:t>
            </w:r>
            <w:r w:rsidR="00F17F59" w:rsidRPr="002C21B8">
              <w:rPr>
                <w:sz w:val="20"/>
                <w:szCs w:val="20"/>
              </w:rPr>
              <w:t>renal</w:t>
            </w:r>
            <w:r w:rsidRPr="002C21B8">
              <w:rPr>
                <w:sz w:val="20"/>
                <w:szCs w:val="20"/>
              </w:rPr>
              <w:t xml:space="preserve"> hyperplasi*).ti,ab.</w:t>
            </w:r>
          </w:p>
        </w:tc>
      </w:tr>
      <w:tr w:rsidR="00FA366A" w:rsidRPr="002C21B8" w14:paraId="5F6E81E6" w14:textId="77777777" w:rsidTr="00960A9F">
        <w:trPr>
          <w:trHeight w:val="320"/>
        </w:trPr>
        <w:tc>
          <w:tcPr>
            <w:tcW w:w="701" w:type="dxa"/>
            <w:shd w:val="clear" w:color="auto" w:fill="auto"/>
            <w:vAlign w:val="center"/>
          </w:tcPr>
          <w:p w14:paraId="32A48173" w14:textId="77777777" w:rsidR="00FA366A" w:rsidRPr="002C21B8" w:rsidRDefault="00FA366A" w:rsidP="00212D46">
            <w:pPr>
              <w:spacing w:after="0" w:line="240" w:lineRule="auto"/>
              <w:rPr>
                <w:sz w:val="20"/>
                <w:szCs w:val="20"/>
              </w:rPr>
            </w:pPr>
            <w:r w:rsidRPr="002C21B8">
              <w:rPr>
                <w:sz w:val="20"/>
                <w:szCs w:val="20"/>
              </w:rPr>
              <w:t>123</w:t>
            </w:r>
          </w:p>
        </w:tc>
        <w:tc>
          <w:tcPr>
            <w:tcW w:w="8504" w:type="dxa"/>
            <w:shd w:val="clear" w:color="auto" w:fill="auto"/>
            <w:vAlign w:val="bottom"/>
          </w:tcPr>
          <w:p w14:paraId="6C06E43A" w14:textId="77777777" w:rsidR="00FA366A" w:rsidRPr="002C21B8" w:rsidRDefault="00FA366A" w:rsidP="00212D46">
            <w:pPr>
              <w:spacing w:after="0" w:line="240" w:lineRule="auto"/>
              <w:rPr>
                <w:sz w:val="20"/>
                <w:szCs w:val="20"/>
              </w:rPr>
            </w:pPr>
            <w:r w:rsidRPr="002C21B8">
              <w:rPr>
                <w:sz w:val="20"/>
                <w:szCs w:val="20"/>
              </w:rPr>
              <w:t>fibromyalgia/</w:t>
            </w:r>
          </w:p>
        </w:tc>
      </w:tr>
      <w:tr w:rsidR="00FA366A" w:rsidRPr="002C21B8" w14:paraId="17BC6CD8" w14:textId="77777777" w:rsidTr="00960A9F">
        <w:trPr>
          <w:trHeight w:val="320"/>
        </w:trPr>
        <w:tc>
          <w:tcPr>
            <w:tcW w:w="701" w:type="dxa"/>
            <w:shd w:val="clear" w:color="auto" w:fill="auto"/>
            <w:vAlign w:val="center"/>
          </w:tcPr>
          <w:p w14:paraId="2D7A45EC" w14:textId="77777777" w:rsidR="00FA366A" w:rsidRPr="002C21B8" w:rsidRDefault="00FA366A" w:rsidP="00212D46">
            <w:pPr>
              <w:spacing w:after="0" w:line="240" w:lineRule="auto"/>
              <w:rPr>
                <w:sz w:val="20"/>
                <w:szCs w:val="20"/>
              </w:rPr>
            </w:pPr>
            <w:r w:rsidRPr="002C21B8">
              <w:rPr>
                <w:sz w:val="20"/>
                <w:szCs w:val="20"/>
              </w:rPr>
              <w:t>124</w:t>
            </w:r>
          </w:p>
        </w:tc>
        <w:tc>
          <w:tcPr>
            <w:tcW w:w="8504" w:type="dxa"/>
            <w:shd w:val="clear" w:color="auto" w:fill="auto"/>
            <w:vAlign w:val="bottom"/>
          </w:tcPr>
          <w:p w14:paraId="46D941C1" w14:textId="77777777" w:rsidR="00FA366A" w:rsidRPr="002C21B8" w:rsidRDefault="00FA366A" w:rsidP="00212D46">
            <w:pPr>
              <w:spacing w:after="0" w:line="240" w:lineRule="auto"/>
              <w:rPr>
                <w:sz w:val="20"/>
                <w:szCs w:val="20"/>
              </w:rPr>
            </w:pPr>
            <w:r w:rsidRPr="002C21B8">
              <w:rPr>
                <w:sz w:val="20"/>
                <w:szCs w:val="20"/>
              </w:rPr>
              <w:t>(fibromyositis syndrom* or pain syndrome or fibromyalgia syndrom* or fibromyalgia* or fibrositi* or fibromyositis or rheumatism or diffuse myofascial).ti,ab.</w:t>
            </w:r>
          </w:p>
        </w:tc>
      </w:tr>
      <w:tr w:rsidR="00FA366A" w:rsidRPr="002C21B8" w14:paraId="2C9F2522" w14:textId="77777777" w:rsidTr="00960A9F">
        <w:trPr>
          <w:trHeight w:val="320"/>
        </w:trPr>
        <w:tc>
          <w:tcPr>
            <w:tcW w:w="701" w:type="dxa"/>
            <w:shd w:val="clear" w:color="auto" w:fill="auto"/>
            <w:vAlign w:val="center"/>
          </w:tcPr>
          <w:p w14:paraId="32A86B3E" w14:textId="77777777" w:rsidR="00FA366A" w:rsidRPr="002C21B8" w:rsidRDefault="00FA366A" w:rsidP="00212D46">
            <w:pPr>
              <w:spacing w:after="0" w:line="240" w:lineRule="auto"/>
              <w:rPr>
                <w:sz w:val="20"/>
                <w:szCs w:val="20"/>
              </w:rPr>
            </w:pPr>
            <w:r w:rsidRPr="002C21B8">
              <w:rPr>
                <w:sz w:val="20"/>
                <w:szCs w:val="20"/>
              </w:rPr>
              <w:t>125</w:t>
            </w:r>
          </w:p>
        </w:tc>
        <w:tc>
          <w:tcPr>
            <w:tcW w:w="8504" w:type="dxa"/>
            <w:shd w:val="clear" w:color="auto" w:fill="auto"/>
            <w:vAlign w:val="bottom"/>
          </w:tcPr>
          <w:p w14:paraId="0226FC06" w14:textId="77777777" w:rsidR="00FA366A" w:rsidRPr="002C21B8" w:rsidRDefault="00FA366A" w:rsidP="00212D46">
            <w:pPr>
              <w:spacing w:after="0" w:line="240" w:lineRule="auto"/>
              <w:rPr>
                <w:sz w:val="20"/>
                <w:szCs w:val="20"/>
              </w:rPr>
            </w:pPr>
            <w:r w:rsidRPr="002C21B8">
              <w:rPr>
                <w:sz w:val="20"/>
                <w:szCs w:val="20"/>
              </w:rPr>
              <w:t>exp gout/</w:t>
            </w:r>
          </w:p>
        </w:tc>
      </w:tr>
      <w:tr w:rsidR="00FA366A" w:rsidRPr="002C21B8" w14:paraId="60887ED5" w14:textId="77777777" w:rsidTr="00960A9F">
        <w:trPr>
          <w:trHeight w:val="320"/>
        </w:trPr>
        <w:tc>
          <w:tcPr>
            <w:tcW w:w="701" w:type="dxa"/>
            <w:shd w:val="clear" w:color="auto" w:fill="auto"/>
            <w:vAlign w:val="center"/>
          </w:tcPr>
          <w:p w14:paraId="7060509C" w14:textId="77777777" w:rsidR="00FA366A" w:rsidRPr="002C21B8" w:rsidRDefault="00FA366A" w:rsidP="00212D46">
            <w:pPr>
              <w:spacing w:after="0" w:line="240" w:lineRule="auto"/>
              <w:rPr>
                <w:sz w:val="20"/>
                <w:szCs w:val="20"/>
              </w:rPr>
            </w:pPr>
            <w:r w:rsidRPr="002C21B8">
              <w:rPr>
                <w:sz w:val="20"/>
                <w:szCs w:val="20"/>
              </w:rPr>
              <w:t>126</w:t>
            </w:r>
          </w:p>
        </w:tc>
        <w:tc>
          <w:tcPr>
            <w:tcW w:w="8504" w:type="dxa"/>
            <w:shd w:val="clear" w:color="auto" w:fill="auto"/>
            <w:vAlign w:val="bottom"/>
          </w:tcPr>
          <w:p w14:paraId="3A01578D" w14:textId="77777777" w:rsidR="00FA366A" w:rsidRPr="002C21B8" w:rsidRDefault="00FA366A" w:rsidP="00212D46">
            <w:pPr>
              <w:spacing w:after="0" w:line="240" w:lineRule="auto"/>
              <w:rPr>
                <w:sz w:val="20"/>
                <w:szCs w:val="20"/>
              </w:rPr>
            </w:pPr>
            <w:r w:rsidRPr="002C21B8">
              <w:rPr>
                <w:sz w:val="20"/>
                <w:szCs w:val="20"/>
              </w:rPr>
              <w:t>(gout or gouty arthriti* or toph* or podagra or pseudogout).ti,ab.</w:t>
            </w:r>
          </w:p>
        </w:tc>
      </w:tr>
      <w:tr w:rsidR="00FA366A" w:rsidRPr="002C21B8" w14:paraId="5EDB8B21" w14:textId="77777777" w:rsidTr="00960A9F">
        <w:trPr>
          <w:trHeight w:val="320"/>
        </w:trPr>
        <w:tc>
          <w:tcPr>
            <w:tcW w:w="701" w:type="dxa"/>
            <w:shd w:val="clear" w:color="auto" w:fill="auto"/>
            <w:vAlign w:val="center"/>
          </w:tcPr>
          <w:p w14:paraId="6F769D93" w14:textId="77777777" w:rsidR="00FA366A" w:rsidRPr="002C21B8" w:rsidRDefault="00FA366A" w:rsidP="00212D46">
            <w:pPr>
              <w:spacing w:after="0" w:line="240" w:lineRule="auto"/>
              <w:rPr>
                <w:sz w:val="20"/>
                <w:szCs w:val="20"/>
              </w:rPr>
            </w:pPr>
            <w:r w:rsidRPr="002C21B8">
              <w:rPr>
                <w:sz w:val="20"/>
                <w:szCs w:val="20"/>
              </w:rPr>
              <w:t>127</w:t>
            </w:r>
          </w:p>
        </w:tc>
        <w:tc>
          <w:tcPr>
            <w:tcW w:w="8504" w:type="dxa"/>
            <w:shd w:val="clear" w:color="auto" w:fill="auto"/>
            <w:vAlign w:val="bottom"/>
          </w:tcPr>
          <w:p w14:paraId="3487F555" w14:textId="77777777" w:rsidR="00FA366A" w:rsidRPr="002C21B8" w:rsidRDefault="00FA366A" w:rsidP="00212D46">
            <w:pPr>
              <w:spacing w:after="0" w:line="240" w:lineRule="auto"/>
              <w:rPr>
                <w:sz w:val="20"/>
                <w:szCs w:val="20"/>
              </w:rPr>
            </w:pPr>
            <w:r w:rsidRPr="002C21B8">
              <w:rPr>
                <w:sz w:val="20"/>
                <w:szCs w:val="20"/>
              </w:rPr>
              <w:t>exp blood coagulation disorders/</w:t>
            </w:r>
          </w:p>
        </w:tc>
      </w:tr>
      <w:tr w:rsidR="00FA366A" w:rsidRPr="002C21B8" w14:paraId="41925021" w14:textId="77777777" w:rsidTr="00960A9F">
        <w:trPr>
          <w:trHeight w:val="320"/>
        </w:trPr>
        <w:tc>
          <w:tcPr>
            <w:tcW w:w="701" w:type="dxa"/>
            <w:shd w:val="clear" w:color="auto" w:fill="auto"/>
            <w:vAlign w:val="center"/>
          </w:tcPr>
          <w:p w14:paraId="2775553F" w14:textId="77777777" w:rsidR="00FA366A" w:rsidRPr="002C21B8" w:rsidRDefault="00FA366A" w:rsidP="00212D46">
            <w:pPr>
              <w:spacing w:after="0" w:line="240" w:lineRule="auto"/>
              <w:rPr>
                <w:sz w:val="20"/>
                <w:szCs w:val="20"/>
              </w:rPr>
            </w:pPr>
            <w:r w:rsidRPr="002C21B8">
              <w:rPr>
                <w:sz w:val="20"/>
                <w:szCs w:val="20"/>
              </w:rPr>
              <w:t>128</w:t>
            </w:r>
          </w:p>
        </w:tc>
        <w:tc>
          <w:tcPr>
            <w:tcW w:w="8504" w:type="dxa"/>
            <w:shd w:val="clear" w:color="auto" w:fill="auto"/>
            <w:vAlign w:val="bottom"/>
          </w:tcPr>
          <w:p w14:paraId="5B5406B6" w14:textId="77777777" w:rsidR="00FA366A" w:rsidRPr="002C21B8" w:rsidRDefault="00FA366A" w:rsidP="00212D46">
            <w:pPr>
              <w:spacing w:after="0" w:line="240" w:lineRule="auto"/>
              <w:rPr>
                <w:sz w:val="20"/>
                <w:szCs w:val="20"/>
              </w:rPr>
            </w:pPr>
            <w:r w:rsidRPr="002C21B8">
              <w:rPr>
                <w:sz w:val="20"/>
                <w:szCs w:val="20"/>
              </w:rPr>
              <w:t>(h?emophili* or von willebrand disease or clotting factor deficiency or clotting factor disease or hypercoagulable or thrombophilia).ti,ab.</w:t>
            </w:r>
          </w:p>
        </w:tc>
      </w:tr>
      <w:tr w:rsidR="00FA366A" w:rsidRPr="002C21B8" w14:paraId="07843F45" w14:textId="77777777" w:rsidTr="00960A9F">
        <w:trPr>
          <w:trHeight w:val="320"/>
        </w:trPr>
        <w:tc>
          <w:tcPr>
            <w:tcW w:w="701" w:type="dxa"/>
            <w:shd w:val="clear" w:color="auto" w:fill="auto"/>
            <w:vAlign w:val="center"/>
          </w:tcPr>
          <w:p w14:paraId="2518DDED" w14:textId="77777777" w:rsidR="00FA366A" w:rsidRPr="002C21B8" w:rsidRDefault="00FA366A" w:rsidP="00212D46">
            <w:pPr>
              <w:spacing w:after="0" w:line="240" w:lineRule="auto"/>
              <w:rPr>
                <w:sz w:val="20"/>
                <w:szCs w:val="20"/>
              </w:rPr>
            </w:pPr>
            <w:r w:rsidRPr="002C21B8">
              <w:rPr>
                <w:sz w:val="20"/>
                <w:szCs w:val="20"/>
              </w:rPr>
              <w:t>129</w:t>
            </w:r>
          </w:p>
        </w:tc>
        <w:tc>
          <w:tcPr>
            <w:tcW w:w="8504" w:type="dxa"/>
            <w:shd w:val="clear" w:color="auto" w:fill="auto"/>
            <w:vAlign w:val="bottom"/>
          </w:tcPr>
          <w:p w14:paraId="4606A211" w14:textId="77777777" w:rsidR="00FA366A" w:rsidRPr="002C21B8" w:rsidRDefault="00FA366A" w:rsidP="00212D46">
            <w:pPr>
              <w:spacing w:after="0" w:line="240" w:lineRule="auto"/>
              <w:rPr>
                <w:sz w:val="20"/>
                <w:szCs w:val="20"/>
              </w:rPr>
            </w:pPr>
            <w:r w:rsidRPr="002C21B8">
              <w:rPr>
                <w:sz w:val="20"/>
                <w:szCs w:val="20"/>
              </w:rPr>
              <w:t>exp learning disabilities/</w:t>
            </w:r>
          </w:p>
        </w:tc>
      </w:tr>
      <w:tr w:rsidR="00FA366A" w:rsidRPr="002C21B8" w14:paraId="201679BA" w14:textId="77777777" w:rsidTr="00960A9F">
        <w:trPr>
          <w:trHeight w:val="320"/>
        </w:trPr>
        <w:tc>
          <w:tcPr>
            <w:tcW w:w="701" w:type="dxa"/>
            <w:shd w:val="clear" w:color="auto" w:fill="auto"/>
            <w:vAlign w:val="center"/>
          </w:tcPr>
          <w:p w14:paraId="777BEC6A" w14:textId="77777777" w:rsidR="00FA366A" w:rsidRPr="002C21B8" w:rsidRDefault="00FA366A" w:rsidP="00212D46">
            <w:pPr>
              <w:spacing w:after="0" w:line="240" w:lineRule="auto"/>
              <w:rPr>
                <w:sz w:val="20"/>
                <w:szCs w:val="20"/>
              </w:rPr>
            </w:pPr>
            <w:r w:rsidRPr="002C21B8">
              <w:rPr>
                <w:sz w:val="20"/>
                <w:szCs w:val="20"/>
              </w:rPr>
              <w:t>130</w:t>
            </w:r>
          </w:p>
        </w:tc>
        <w:tc>
          <w:tcPr>
            <w:tcW w:w="8504" w:type="dxa"/>
            <w:shd w:val="clear" w:color="auto" w:fill="auto"/>
            <w:vAlign w:val="bottom"/>
          </w:tcPr>
          <w:p w14:paraId="6829A11B" w14:textId="77777777" w:rsidR="00FA366A" w:rsidRPr="002C21B8" w:rsidRDefault="00FA366A" w:rsidP="00212D46">
            <w:pPr>
              <w:spacing w:after="0" w:line="240" w:lineRule="auto"/>
              <w:rPr>
                <w:sz w:val="20"/>
                <w:szCs w:val="20"/>
              </w:rPr>
            </w:pPr>
            <w:r w:rsidRPr="002C21B8">
              <w:rPr>
                <w:sz w:val="20"/>
                <w:szCs w:val="20"/>
              </w:rPr>
              <w:t>(((learning or intellectual) and (disabilit* or disorder or impairment or difficulties)) or special needs).ti,ab.</w:t>
            </w:r>
          </w:p>
        </w:tc>
      </w:tr>
      <w:tr w:rsidR="00FA366A" w:rsidRPr="002C21B8" w14:paraId="0251574C" w14:textId="77777777" w:rsidTr="00960A9F">
        <w:trPr>
          <w:trHeight w:val="320"/>
        </w:trPr>
        <w:tc>
          <w:tcPr>
            <w:tcW w:w="701" w:type="dxa"/>
            <w:shd w:val="clear" w:color="auto" w:fill="auto"/>
            <w:vAlign w:val="center"/>
          </w:tcPr>
          <w:p w14:paraId="1948A426" w14:textId="77777777" w:rsidR="00FA366A" w:rsidRPr="002C21B8" w:rsidRDefault="00FA366A" w:rsidP="00212D46">
            <w:pPr>
              <w:spacing w:after="0" w:line="240" w:lineRule="auto"/>
              <w:rPr>
                <w:sz w:val="20"/>
                <w:szCs w:val="20"/>
              </w:rPr>
            </w:pPr>
            <w:r w:rsidRPr="002C21B8">
              <w:rPr>
                <w:sz w:val="20"/>
                <w:szCs w:val="20"/>
              </w:rPr>
              <w:t>131</w:t>
            </w:r>
          </w:p>
        </w:tc>
        <w:tc>
          <w:tcPr>
            <w:tcW w:w="8504" w:type="dxa"/>
            <w:shd w:val="clear" w:color="auto" w:fill="auto"/>
            <w:vAlign w:val="bottom"/>
          </w:tcPr>
          <w:p w14:paraId="12CDF589" w14:textId="77777777" w:rsidR="00FA366A" w:rsidRPr="002C21B8" w:rsidRDefault="00FA366A" w:rsidP="00212D46">
            <w:pPr>
              <w:spacing w:after="0" w:line="240" w:lineRule="auto"/>
              <w:rPr>
                <w:sz w:val="20"/>
                <w:szCs w:val="20"/>
              </w:rPr>
            </w:pPr>
            <w:r w:rsidRPr="002C21B8">
              <w:rPr>
                <w:sz w:val="20"/>
                <w:szCs w:val="20"/>
              </w:rPr>
              <w:t>exp pulmonary fibrosis/</w:t>
            </w:r>
          </w:p>
        </w:tc>
      </w:tr>
      <w:tr w:rsidR="00FA366A" w:rsidRPr="002C21B8" w14:paraId="1B5ED108" w14:textId="77777777" w:rsidTr="00960A9F">
        <w:trPr>
          <w:trHeight w:val="320"/>
        </w:trPr>
        <w:tc>
          <w:tcPr>
            <w:tcW w:w="701" w:type="dxa"/>
            <w:shd w:val="clear" w:color="auto" w:fill="auto"/>
            <w:vAlign w:val="center"/>
          </w:tcPr>
          <w:p w14:paraId="058EBFE0" w14:textId="77777777" w:rsidR="00FA366A" w:rsidRPr="002C21B8" w:rsidRDefault="00FA366A" w:rsidP="00212D46">
            <w:pPr>
              <w:spacing w:after="0" w:line="240" w:lineRule="auto"/>
              <w:rPr>
                <w:sz w:val="20"/>
                <w:szCs w:val="20"/>
              </w:rPr>
            </w:pPr>
            <w:r w:rsidRPr="002C21B8">
              <w:rPr>
                <w:sz w:val="20"/>
                <w:szCs w:val="20"/>
              </w:rPr>
              <w:t>132</w:t>
            </w:r>
          </w:p>
        </w:tc>
        <w:tc>
          <w:tcPr>
            <w:tcW w:w="8504" w:type="dxa"/>
            <w:shd w:val="clear" w:color="auto" w:fill="auto"/>
            <w:vAlign w:val="bottom"/>
          </w:tcPr>
          <w:p w14:paraId="5063AFDF" w14:textId="77777777" w:rsidR="00FA366A" w:rsidRPr="002C21B8" w:rsidRDefault="00FA366A" w:rsidP="00212D46">
            <w:pPr>
              <w:spacing w:after="0" w:line="240" w:lineRule="auto"/>
              <w:rPr>
                <w:sz w:val="20"/>
                <w:szCs w:val="20"/>
                <w:lang w:val="it-IT"/>
              </w:rPr>
            </w:pPr>
            <w:r w:rsidRPr="002C21B8">
              <w:rPr>
                <w:sz w:val="20"/>
                <w:szCs w:val="20"/>
                <w:lang w:val="it-IT"/>
              </w:rPr>
              <w:t>((cryptogenic or idiopathic) adj fibrosing alveoliti*).ti,ab.</w:t>
            </w:r>
          </w:p>
        </w:tc>
      </w:tr>
      <w:tr w:rsidR="00FA366A" w:rsidRPr="002C21B8" w14:paraId="6F554789" w14:textId="77777777" w:rsidTr="00960A9F">
        <w:trPr>
          <w:trHeight w:val="320"/>
        </w:trPr>
        <w:tc>
          <w:tcPr>
            <w:tcW w:w="701" w:type="dxa"/>
            <w:shd w:val="clear" w:color="auto" w:fill="auto"/>
            <w:vAlign w:val="center"/>
          </w:tcPr>
          <w:p w14:paraId="1F85D5A2" w14:textId="77777777" w:rsidR="00FA366A" w:rsidRPr="002C21B8" w:rsidRDefault="00FA366A" w:rsidP="00212D46">
            <w:pPr>
              <w:spacing w:after="0" w:line="240" w:lineRule="auto"/>
              <w:rPr>
                <w:sz w:val="20"/>
                <w:szCs w:val="20"/>
              </w:rPr>
            </w:pPr>
            <w:r w:rsidRPr="002C21B8">
              <w:rPr>
                <w:sz w:val="20"/>
                <w:szCs w:val="20"/>
              </w:rPr>
              <w:t>133</w:t>
            </w:r>
          </w:p>
        </w:tc>
        <w:tc>
          <w:tcPr>
            <w:tcW w:w="8504" w:type="dxa"/>
            <w:shd w:val="clear" w:color="auto" w:fill="auto"/>
            <w:vAlign w:val="bottom"/>
          </w:tcPr>
          <w:p w14:paraId="6C616464" w14:textId="77777777" w:rsidR="00FA366A" w:rsidRPr="002C21B8" w:rsidRDefault="00FA366A" w:rsidP="00212D46">
            <w:pPr>
              <w:spacing w:after="0" w:line="240" w:lineRule="auto"/>
              <w:rPr>
                <w:sz w:val="20"/>
                <w:szCs w:val="20"/>
              </w:rPr>
            </w:pPr>
            <w:r w:rsidRPr="002C21B8">
              <w:rPr>
                <w:sz w:val="20"/>
                <w:szCs w:val="20"/>
              </w:rPr>
              <w:t>(fibrocystic pulmonary dysplasia or idiopathic pulmon* fibros*).ti,ab.</w:t>
            </w:r>
          </w:p>
        </w:tc>
      </w:tr>
      <w:tr w:rsidR="00FA366A" w:rsidRPr="002C21B8" w14:paraId="4C5DBFAF" w14:textId="77777777" w:rsidTr="00960A9F">
        <w:trPr>
          <w:trHeight w:val="320"/>
        </w:trPr>
        <w:tc>
          <w:tcPr>
            <w:tcW w:w="701" w:type="dxa"/>
            <w:shd w:val="clear" w:color="auto" w:fill="auto"/>
            <w:vAlign w:val="center"/>
          </w:tcPr>
          <w:p w14:paraId="35A652AC" w14:textId="77777777" w:rsidR="00FA366A" w:rsidRPr="002C21B8" w:rsidRDefault="00FA366A" w:rsidP="00212D46">
            <w:pPr>
              <w:spacing w:after="0" w:line="240" w:lineRule="auto"/>
              <w:rPr>
                <w:sz w:val="20"/>
                <w:szCs w:val="20"/>
              </w:rPr>
            </w:pPr>
            <w:r w:rsidRPr="002C21B8">
              <w:rPr>
                <w:sz w:val="20"/>
                <w:szCs w:val="20"/>
              </w:rPr>
              <w:t>134</w:t>
            </w:r>
          </w:p>
        </w:tc>
        <w:tc>
          <w:tcPr>
            <w:tcW w:w="8504" w:type="dxa"/>
            <w:shd w:val="clear" w:color="auto" w:fill="auto"/>
            <w:vAlign w:val="bottom"/>
          </w:tcPr>
          <w:p w14:paraId="48BE6CB9" w14:textId="77777777" w:rsidR="00FA366A" w:rsidRPr="002C21B8" w:rsidRDefault="00FA366A" w:rsidP="00212D46">
            <w:pPr>
              <w:spacing w:after="0" w:line="240" w:lineRule="auto"/>
              <w:rPr>
                <w:sz w:val="20"/>
                <w:szCs w:val="20"/>
              </w:rPr>
            </w:pPr>
            <w:r w:rsidRPr="002C21B8">
              <w:rPr>
                <w:sz w:val="20"/>
                <w:szCs w:val="20"/>
              </w:rPr>
              <w:t>exp lupus erythematosus, systemic/</w:t>
            </w:r>
          </w:p>
        </w:tc>
      </w:tr>
      <w:tr w:rsidR="00FA366A" w:rsidRPr="002C21B8" w14:paraId="308B6D45" w14:textId="77777777" w:rsidTr="00960A9F">
        <w:trPr>
          <w:trHeight w:val="320"/>
        </w:trPr>
        <w:tc>
          <w:tcPr>
            <w:tcW w:w="701" w:type="dxa"/>
            <w:shd w:val="clear" w:color="auto" w:fill="auto"/>
            <w:vAlign w:val="center"/>
          </w:tcPr>
          <w:p w14:paraId="438F8B8B" w14:textId="77777777" w:rsidR="00FA366A" w:rsidRPr="002C21B8" w:rsidRDefault="00FA366A" w:rsidP="00212D46">
            <w:pPr>
              <w:spacing w:after="0" w:line="240" w:lineRule="auto"/>
              <w:rPr>
                <w:sz w:val="20"/>
                <w:szCs w:val="20"/>
              </w:rPr>
            </w:pPr>
            <w:r w:rsidRPr="002C21B8">
              <w:rPr>
                <w:sz w:val="20"/>
                <w:szCs w:val="20"/>
              </w:rPr>
              <w:t>135</w:t>
            </w:r>
          </w:p>
        </w:tc>
        <w:tc>
          <w:tcPr>
            <w:tcW w:w="8504" w:type="dxa"/>
            <w:shd w:val="clear" w:color="auto" w:fill="auto"/>
            <w:vAlign w:val="bottom"/>
          </w:tcPr>
          <w:p w14:paraId="74E92DB5" w14:textId="77777777" w:rsidR="00FA366A" w:rsidRPr="002C21B8" w:rsidRDefault="00FA366A" w:rsidP="00212D46">
            <w:pPr>
              <w:spacing w:after="0" w:line="240" w:lineRule="auto"/>
              <w:rPr>
                <w:sz w:val="20"/>
                <w:szCs w:val="20"/>
              </w:rPr>
            </w:pPr>
            <w:r w:rsidRPr="002C21B8">
              <w:rPr>
                <w:sz w:val="20"/>
                <w:szCs w:val="20"/>
              </w:rPr>
              <w:t>(lupus or SLE).ti,ab.</w:t>
            </w:r>
          </w:p>
        </w:tc>
      </w:tr>
      <w:tr w:rsidR="00FA366A" w:rsidRPr="002C21B8" w14:paraId="591A8AA5" w14:textId="77777777" w:rsidTr="00960A9F">
        <w:trPr>
          <w:trHeight w:val="320"/>
        </w:trPr>
        <w:tc>
          <w:tcPr>
            <w:tcW w:w="701" w:type="dxa"/>
            <w:shd w:val="clear" w:color="auto" w:fill="auto"/>
            <w:vAlign w:val="center"/>
          </w:tcPr>
          <w:p w14:paraId="6FEBB4EC" w14:textId="77777777" w:rsidR="00FA366A" w:rsidRPr="002C21B8" w:rsidRDefault="00FA366A" w:rsidP="00212D46">
            <w:pPr>
              <w:spacing w:after="0" w:line="240" w:lineRule="auto"/>
              <w:rPr>
                <w:sz w:val="20"/>
                <w:szCs w:val="20"/>
              </w:rPr>
            </w:pPr>
            <w:r w:rsidRPr="002C21B8">
              <w:rPr>
                <w:sz w:val="20"/>
                <w:szCs w:val="20"/>
              </w:rPr>
              <w:t>136</w:t>
            </w:r>
          </w:p>
        </w:tc>
        <w:tc>
          <w:tcPr>
            <w:tcW w:w="8504" w:type="dxa"/>
            <w:shd w:val="clear" w:color="auto" w:fill="auto"/>
            <w:vAlign w:val="bottom"/>
          </w:tcPr>
          <w:p w14:paraId="4088BF2A" w14:textId="77777777" w:rsidR="00FA366A" w:rsidRPr="002C21B8" w:rsidRDefault="00FA366A" w:rsidP="00212D46">
            <w:pPr>
              <w:spacing w:after="0" w:line="240" w:lineRule="auto"/>
              <w:rPr>
                <w:sz w:val="20"/>
                <w:szCs w:val="20"/>
              </w:rPr>
            </w:pPr>
            <w:r w:rsidRPr="002C21B8">
              <w:rPr>
                <w:sz w:val="20"/>
                <w:szCs w:val="20"/>
              </w:rPr>
              <w:t>exp malaria/</w:t>
            </w:r>
          </w:p>
        </w:tc>
      </w:tr>
      <w:tr w:rsidR="00FA366A" w:rsidRPr="002C21B8" w14:paraId="16C312FC" w14:textId="77777777" w:rsidTr="00960A9F">
        <w:trPr>
          <w:trHeight w:val="320"/>
        </w:trPr>
        <w:tc>
          <w:tcPr>
            <w:tcW w:w="701" w:type="dxa"/>
            <w:shd w:val="clear" w:color="auto" w:fill="auto"/>
            <w:vAlign w:val="center"/>
          </w:tcPr>
          <w:p w14:paraId="6A45B45B" w14:textId="77777777" w:rsidR="00FA366A" w:rsidRPr="002C21B8" w:rsidRDefault="00FA366A" w:rsidP="00212D46">
            <w:pPr>
              <w:spacing w:after="0" w:line="240" w:lineRule="auto"/>
              <w:rPr>
                <w:sz w:val="20"/>
                <w:szCs w:val="20"/>
              </w:rPr>
            </w:pPr>
            <w:r w:rsidRPr="002C21B8">
              <w:rPr>
                <w:sz w:val="20"/>
                <w:szCs w:val="20"/>
              </w:rPr>
              <w:t>137</w:t>
            </w:r>
          </w:p>
        </w:tc>
        <w:tc>
          <w:tcPr>
            <w:tcW w:w="8504" w:type="dxa"/>
            <w:shd w:val="clear" w:color="auto" w:fill="auto"/>
            <w:vAlign w:val="bottom"/>
          </w:tcPr>
          <w:p w14:paraId="0F24EDCA" w14:textId="77777777" w:rsidR="00FA366A" w:rsidRPr="002C21B8" w:rsidRDefault="00FA366A" w:rsidP="00212D46">
            <w:pPr>
              <w:spacing w:after="0" w:line="240" w:lineRule="auto"/>
              <w:rPr>
                <w:sz w:val="20"/>
                <w:szCs w:val="20"/>
              </w:rPr>
            </w:pPr>
            <w:r w:rsidRPr="002C21B8">
              <w:rPr>
                <w:sz w:val="20"/>
                <w:szCs w:val="20"/>
              </w:rPr>
              <w:t>(malaria or plasmodium).ti,ab.</w:t>
            </w:r>
          </w:p>
        </w:tc>
      </w:tr>
      <w:tr w:rsidR="00FA366A" w:rsidRPr="002C21B8" w14:paraId="67BD27F0" w14:textId="77777777" w:rsidTr="00960A9F">
        <w:trPr>
          <w:trHeight w:val="320"/>
        </w:trPr>
        <w:tc>
          <w:tcPr>
            <w:tcW w:w="701" w:type="dxa"/>
            <w:shd w:val="clear" w:color="auto" w:fill="auto"/>
            <w:vAlign w:val="center"/>
          </w:tcPr>
          <w:p w14:paraId="54BC14A7" w14:textId="77777777" w:rsidR="00FA366A" w:rsidRPr="002C21B8" w:rsidRDefault="00FA366A" w:rsidP="00212D46">
            <w:pPr>
              <w:spacing w:after="0" w:line="240" w:lineRule="auto"/>
              <w:rPr>
                <w:sz w:val="20"/>
                <w:szCs w:val="20"/>
              </w:rPr>
            </w:pPr>
            <w:r w:rsidRPr="002C21B8">
              <w:rPr>
                <w:sz w:val="20"/>
                <w:szCs w:val="20"/>
              </w:rPr>
              <w:t>138</w:t>
            </w:r>
          </w:p>
        </w:tc>
        <w:tc>
          <w:tcPr>
            <w:tcW w:w="8504" w:type="dxa"/>
            <w:shd w:val="clear" w:color="auto" w:fill="auto"/>
            <w:vAlign w:val="bottom"/>
          </w:tcPr>
          <w:p w14:paraId="4E7132F8" w14:textId="77777777" w:rsidR="00FA366A" w:rsidRPr="002C21B8" w:rsidRDefault="00FA366A" w:rsidP="00212D46">
            <w:pPr>
              <w:spacing w:after="0" w:line="240" w:lineRule="auto"/>
              <w:rPr>
                <w:sz w:val="20"/>
                <w:szCs w:val="20"/>
              </w:rPr>
            </w:pPr>
            <w:r w:rsidRPr="002C21B8">
              <w:rPr>
                <w:sz w:val="20"/>
                <w:szCs w:val="20"/>
              </w:rPr>
              <w:t>medically unexplained symptoms/</w:t>
            </w:r>
          </w:p>
        </w:tc>
      </w:tr>
      <w:tr w:rsidR="00FA366A" w:rsidRPr="002C21B8" w14:paraId="30E5C90C" w14:textId="77777777" w:rsidTr="00960A9F">
        <w:trPr>
          <w:trHeight w:val="320"/>
        </w:trPr>
        <w:tc>
          <w:tcPr>
            <w:tcW w:w="701" w:type="dxa"/>
            <w:shd w:val="clear" w:color="auto" w:fill="auto"/>
            <w:vAlign w:val="center"/>
          </w:tcPr>
          <w:p w14:paraId="5EB205D7" w14:textId="77777777" w:rsidR="00FA366A" w:rsidRPr="002C21B8" w:rsidRDefault="00FA366A" w:rsidP="00212D46">
            <w:pPr>
              <w:spacing w:after="0" w:line="240" w:lineRule="auto"/>
              <w:rPr>
                <w:sz w:val="20"/>
                <w:szCs w:val="20"/>
              </w:rPr>
            </w:pPr>
            <w:r w:rsidRPr="002C21B8">
              <w:rPr>
                <w:sz w:val="20"/>
                <w:szCs w:val="20"/>
              </w:rPr>
              <w:t>139</w:t>
            </w:r>
          </w:p>
        </w:tc>
        <w:tc>
          <w:tcPr>
            <w:tcW w:w="8504" w:type="dxa"/>
            <w:shd w:val="clear" w:color="auto" w:fill="auto"/>
            <w:vAlign w:val="bottom"/>
          </w:tcPr>
          <w:p w14:paraId="6E96F945" w14:textId="77777777" w:rsidR="00FA366A" w:rsidRPr="002C21B8" w:rsidRDefault="00FA366A" w:rsidP="00212D46">
            <w:pPr>
              <w:spacing w:after="0" w:line="240" w:lineRule="auto"/>
              <w:rPr>
                <w:sz w:val="20"/>
                <w:szCs w:val="20"/>
              </w:rPr>
            </w:pPr>
            <w:r w:rsidRPr="002C21B8">
              <w:rPr>
                <w:sz w:val="20"/>
                <w:szCs w:val="20"/>
              </w:rPr>
              <w:t>medically unexplained symptoms.ti,ab.</w:t>
            </w:r>
          </w:p>
        </w:tc>
      </w:tr>
      <w:tr w:rsidR="00FA366A" w:rsidRPr="002C21B8" w14:paraId="5D4DA83A" w14:textId="77777777" w:rsidTr="00960A9F">
        <w:trPr>
          <w:trHeight w:val="320"/>
        </w:trPr>
        <w:tc>
          <w:tcPr>
            <w:tcW w:w="701" w:type="dxa"/>
            <w:shd w:val="clear" w:color="auto" w:fill="auto"/>
            <w:vAlign w:val="center"/>
          </w:tcPr>
          <w:p w14:paraId="7A5EAA4C" w14:textId="77777777" w:rsidR="00FA366A" w:rsidRPr="002C21B8" w:rsidRDefault="00FA366A" w:rsidP="00212D46">
            <w:pPr>
              <w:spacing w:after="0" w:line="240" w:lineRule="auto"/>
              <w:rPr>
                <w:sz w:val="20"/>
                <w:szCs w:val="20"/>
              </w:rPr>
            </w:pPr>
            <w:r w:rsidRPr="002C21B8">
              <w:rPr>
                <w:sz w:val="20"/>
                <w:szCs w:val="20"/>
              </w:rPr>
              <w:t>140</w:t>
            </w:r>
          </w:p>
        </w:tc>
        <w:tc>
          <w:tcPr>
            <w:tcW w:w="8504" w:type="dxa"/>
            <w:shd w:val="clear" w:color="auto" w:fill="auto"/>
            <w:vAlign w:val="bottom"/>
          </w:tcPr>
          <w:p w14:paraId="1CB816C1" w14:textId="77777777" w:rsidR="00FA366A" w:rsidRPr="002C21B8" w:rsidRDefault="00FA366A" w:rsidP="00212D46">
            <w:pPr>
              <w:spacing w:after="0" w:line="240" w:lineRule="auto"/>
              <w:rPr>
                <w:sz w:val="20"/>
                <w:szCs w:val="20"/>
              </w:rPr>
            </w:pPr>
            <w:r w:rsidRPr="002C21B8">
              <w:rPr>
                <w:sz w:val="20"/>
                <w:szCs w:val="20"/>
              </w:rPr>
              <w:t>exp motor neuron disease/</w:t>
            </w:r>
          </w:p>
        </w:tc>
      </w:tr>
      <w:tr w:rsidR="00FA366A" w:rsidRPr="002C21B8" w14:paraId="1798C458" w14:textId="77777777" w:rsidTr="00960A9F">
        <w:trPr>
          <w:trHeight w:val="320"/>
        </w:trPr>
        <w:tc>
          <w:tcPr>
            <w:tcW w:w="701" w:type="dxa"/>
            <w:shd w:val="clear" w:color="auto" w:fill="auto"/>
            <w:vAlign w:val="center"/>
          </w:tcPr>
          <w:p w14:paraId="073BA92B" w14:textId="77777777" w:rsidR="00FA366A" w:rsidRPr="002C21B8" w:rsidRDefault="00FA366A" w:rsidP="00212D46">
            <w:pPr>
              <w:spacing w:after="0" w:line="240" w:lineRule="auto"/>
              <w:rPr>
                <w:sz w:val="20"/>
                <w:szCs w:val="20"/>
              </w:rPr>
            </w:pPr>
            <w:r w:rsidRPr="002C21B8">
              <w:rPr>
                <w:sz w:val="20"/>
                <w:szCs w:val="20"/>
              </w:rPr>
              <w:t>141</w:t>
            </w:r>
          </w:p>
        </w:tc>
        <w:tc>
          <w:tcPr>
            <w:tcW w:w="8504" w:type="dxa"/>
            <w:shd w:val="clear" w:color="auto" w:fill="auto"/>
            <w:vAlign w:val="bottom"/>
          </w:tcPr>
          <w:p w14:paraId="16D57FE9" w14:textId="77777777" w:rsidR="00FA366A" w:rsidRPr="002C21B8" w:rsidRDefault="00FA366A" w:rsidP="00212D46">
            <w:pPr>
              <w:spacing w:after="0" w:line="240" w:lineRule="auto"/>
              <w:rPr>
                <w:sz w:val="20"/>
                <w:szCs w:val="20"/>
              </w:rPr>
            </w:pPr>
            <w:r w:rsidRPr="002C21B8">
              <w:rPr>
                <w:sz w:val="20"/>
                <w:szCs w:val="20"/>
              </w:rPr>
              <w:t>(motor neuron* disease* or MND).ti,ab.</w:t>
            </w:r>
          </w:p>
        </w:tc>
      </w:tr>
      <w:tr w:rsidR="00FA366A" w:rsidRPr="002C21B8" w14:paraId="5167B1EC" w14:textId="77777777" w:rsidTr="00960A9F">
        <w:trPr>
          <w:trHeight w:val="320"/>
        </w:trPr>
        <w:tc>
          <w:tcPr>
            <w:tcW w:w="701" w:type="dxa"/>
            <w:shd w:val="clear" w:color="auto" w:fill="auto"/>
            <w:vAlign w:val="center"/>
          </w:tcPr>
          <w:p w14:paraId="5AB12E5F" w14:textId="77777777" w:rsidR="00FA366A" w:rsidRPr="002C21B8" w:rsidRDefault="00FA366A" w:rsidP="00212D46">
            <w:pPr>
              <w:spacing w:after="0" w:line="240" w:lineRule="auto"/>
              <w:rPr>
                <w:sz w:val="20"/>
                <w:szCs w:val="20"/>
              </w:rPr>
            </w:pPr>
            <w:r w:rsidRPr="002C21B8">
              <w:rPr>
                <w:sz w:val="20"/>
                <w:szCs w:val="20"/>
              </w:rPr>
              <w:t>142</w:t>
            </w:r>
          </w:p>
        </w:tc>
        <w:tc>
          <w:tcPr>
            <w:tcW w:w="8504" w:type="dxa"/>
            <w:shd w:val="clear" w:color="auto" w:fill="auto"/>
            <w:vAlign w:val="bottom"/>
          </w:tcPr>
          <w:p w14:paraId="5A4CDA83" w14:textId="77777777" w:rsidR="00FA366A" w:rsidRPr="002C21B8" w:rsidRDefault="00FA366A" w:rsidP="00212D46">
            <w:pPr>
              <w:spacing w:after="0" w:line="240" w:lineRule="auto"/>
              <w:rPr>
                <w:sz w:val="20"/>
                <w:szCs w:val="20"/>
              </w:rPr>
            </w:pPr>
            <w:r w:rsidRPr="002C21B8">
              <w:rPr>
                <w:sz w:val="20"/>
                <w:szCs w:val="20"/>
              </w:rPr>
              <w:t>exp muscular dystrophies/</w:t>
            </w:r>
          </w:p>
        </w:tc>
      </w:tr>
      <w:tr w:rsidR="00FA366A" w:rsidRPr="002C21B8" w14:paraId="4C3E5AEA" w14:textId="77777777" w:rsidTr="00960A9F">
        <w:trPr>
          <w:trHeight w:val="320"/>
        </w:trPr>
        <w:tc>
          <w:tcPr>
            <w:tcW w:w="701" w:type="dxa"/>
            <w:shd w:val="clear" w:color="auto" w:fill="auto"/>
            <w:vAlign w:val="center"/>
          </w:tcPr>
          <w:p w14:paraId="12219EE0" w14:textId="77777777" w:rsidR="00FA366A" w:rsidRPr="002C21B8" w:rsidRDefault="00FA366A" w:rsidP="00212D46">
            <w:pPr>
              <w:spacing w:after="0" w:line="240" w:lineRule="auto"/>
              <w:rPr>
                <w:sz w:val="20"/>
                <w:szCs w:val="20"/>
              </w:rPr>
            </w:pPr>
            <w:r w:rsidRPr="002C21B8">
              <w:rPr>
                <w:sz w:val="20"/>
                <w:szCs w:val="20"/>
              </w:rPr>
              <w:t>143</w:t>
            </w:r>
          </w:p>
        </w:tc>
        <w:tc>
          <w:tcPr>
            <w:tcW w:w="8504" w:type="dxa"/>
            <w:shd w:val="clear" w:color="auto" w:fill="auto"/>
            <w:vAlign w:val="bottom"/>
          </w:tcPr>
          <w:p w14:paraId="2ED8BFAF" w14:textId="77777777" w:rsidR="00FA366A" w:rsidRPr="002C21B8" w:rsidRDefault="00FA366A" w:rsidP="00212D46">
            <w:pPr>
              <w:spacing w:after="0" w:line="240" w:lineRule="auto"/>
              <w:rPr>
                <w:sz w:val="20"/>
                <w:szCs w:val="20"/>
              </w:rPr>
            </w:pPr>
            <w:r w:rsidRPr="002C21B8">
              <w:rPr>
                <w:sz w:val="20"/>
                <w:szCs w:val="20"/>
              </w:rPr>
              <w:t>((duchenne or pseudohypertrophic or becker or facioscapulohumeral or limb-girdle or myotonic) adj muscular dystrophy).ti,ab.</w:t>
            </w:r>
          </w:p>
        </w:tc>
      </w:tr>
      <w:tr w:rsidR="00FA366A" w:rsidRPr="002C21B8" w14:paraId="76DF6141" w14:textId="77777777" w:rsidTr="00960A9F">
        <w:trPr>
          <w:trHeight w:val="320"/>
        </w:trPr>
        <w:tc>
          <w:tcPr>
            <w:tcW w:w="701" w:type="dxa"/>
            <w:shd w:val="clear" w:color="auto" w:fill="auto"/>
            <w:vAlign w:val="center"/>
          </w:tcPr>
          <w:p w14:paraId="0F32A1A5" w14:textId="77777777" w:rsidR="00FA366A" w:rsidRPr="002C21B8" w:rsidRDefault="00FA366A" w:rsidP="00212D46">
            <w:pPr>
              <w:spacing w:after="0" w:line="240" w:lineRule="auto"/>
              <w:rPr>
                <w:sz w:val="20"/>
                <w:szCs w:val="20"/>
              </w:rPr>
            </w:pPr>
            <w:r w:rsidRPr="002C21B8">
              <w:rPr>
                <w:sz w:val="20"/>
                <w:szCs w:val="20"/>
              </w:rPr>
              <w:t>144</w:t>
            </w:r>
          </w:p>
        </w:tc>
        <w:tc>
          <w:tcPr>
            <w:tcW w:w="8504" w:type="dxa"/>
            <w:shd w:val="clear" w:color="auto" w:fill="auto"/>
            <w:vAlign w:val="bottom"/>
          </w:tcPr>
          <w:p w14:paraId="246FFA3B" w14:textId="77777777" w:rsidR="00FA366A" w:rsidRPr="002C21B8" w:rsidRDefault="00FA366A" w:rsidP="00212D46">
            <w:pPr>
              <w:spacing w:after="0" w:line="240" w:lineRule="auto"/>
              <w:rPr>
                <w:sz w:val="20"/>
                <w:szCs w:val="20"/>
              </w:rPr>
            </w:pPr>
            <w:r w:rsidRPr="002C21B8">
              <w:rPr>
                <w:sz w:val="20"/>
                <w:szCs w:val="20"/>
              </w:rPr>
              <w:t>exp obesity/</w:t>
            </w:r>
          </w:p>
        </w:tc>
      </w:tr>
      <w:tr w:rsidR="00FA366A" w:rsidRPr="002C21B8" w14:paraId="68753FFC" w14:textId="77777777" w:rsidTr="00960A9F">
        <w:trPr>
          <w:trHeight w:val="320"/>
        </w:trPr>
        <w:tc>
          <w:tcPr>
            <w:tcW w:w="701" w:type="dxa"/>
            <w:shd w:val="clear" w:color="auto" w:fill="auto"/>
            <w:vAlign w:val="center"/>
          </w:tcPr>
          <w:p w14:paraId="72A2E0D0" w14:textId="77777777" w:rsidR="00FA366A" w:rsidRPr="002C21B8" w:rsidRDefault="00FA366A" w:rsidP="00212D46">
            <w:pPr>
              <w:spacing w:after="0" w:line="240" w:lineRule="auto"/>
              <w:rPr>
                <w:sz w:val="20"/>
                <w:szCs w:val="20"/>
              </w:rPr>
            </w:pPr>
            <w:r w:rsidRPr="002C21B8">
              <w:rPr>
                <w:sz w:val="20"/>
                <w:szCs w:val="20"/>
              </w:rPr>
              <w:t>145</w:t>
            </w:r>
          </w:p>
        </w:tc>
        <w:tc>
          <w:tcPr>
            <w:tcW w:w="8504" w:type="dxa"/>
            <w:shd w:val="clear" w:color="auto" w:fill="auto"/>
            <w:vAlign w:val="bottom"/>
          </w:tcPr>
          <w:p w14:paraId="6D978279" w14:textId="77777777" w:rsidR="00FA366A" w:rsidRPr="002C21B8" w:rsidRDefault="00FA366A" w:rsidP="00212D46">
            <w:pPr>
              <w:spacing w:after="0" w:line="240" w:lineRule="auto"/>
              <w:rPr>
                <w:sz w:val="20"/>
                <w:szCs w:val="20"/>
              </w:rPr>
            </w:pPr>
            <w:r w:rsidRPr="002C21B8">
              <w:rPr>
                <w:sz w:val="20"/>
                <w:szCs w:val="20"/>
              </w:rPr>
              <w:t>(obes* or overweight or (over adj weight) or over-weight).ti,ab.</w:t>
            </w:r>
          </w:p>
        </w:tc>
      </w:tr>
      <w:tr w:rsidR="00FA366A" w:rsidRPr="002C21B8" w14:paraId="0873AE0E" w14:textId="77777777" w:rsidTr="00960A9F">
        <w:trPr>
          <w:trHeight w:val="320"/>
        </w:trPr>
        <w:tc>
          <w:tcPr>
            <w:tcW w:w="701" w:type="dxa"/>
            <w:shd w:val="clear" w:color="auto" w:fill="auto"/>
            <w:vAlign w:val="center"/>
          </w:tcPr>
          <w:p w14:paraId="75249344" w14:textId="77777777" w:rsidR="00FA366A" w:rsidRPr="002C21B8" w:rsidRDefault="00FA366A" w:rsidP="00212D46">
            <w:pPr>
              <w:spacing w:after="0" w:line="240" w:lineRule="auto"/>
              <w:rPr>
                <w:sz w:val="20"/>
                <w:szCs w:val="20"/>
              </w:rPr>
            </w:pPr>
            <w:r w:rsidRPr="002C21B8">
              <w:rPr>
                <w:sz w:val="20"/>
                <w:szCs w:val="20"/>
              </w:rPr>
              <w:t>146</w:t>
            </w:r>
          </w:p>
        </w:tc>
        <w:tc>
          <w:tcPr>
            <w:tcW w:w="8504" w:type="dxa"/>
            <w:shd w:val="clear" w:color="auto" w:fill="auto"/>
            <w:vAlign w:val="bottom"/>
          </w:tcPr>
          <w:p w14:paraId="1732870D" w14:textId="77777777" w:rsidR="00FA366A" w:rsidRPr="002C21B8" w:rsidRDefault="00FA366A" w:rsidP="00212D46">
            <w:pPr>
              <w:spacing w:after="0" w:line="240" w:lineRule="auto"/>
              <w:rPr>
                <w:sz w:val="20"/>
                <w:szCs w:val="20"/>
              </w:rPr>
            </w:pPr>
            <w:r w:rsidRPr="002C21B8">
              <w:rPr>
                <w:sz w:val="20"/>
                <w:szCs w:val="20"/>
              </w:rPr>
              <w:t>exp sleep apnea, obstructive/</w:t>
            </w:r>
          </w:p>
        </w:tc>
      </w:tr>
      <w:tr w:rsidR="00FA366A" w:rsidRPr="002C21B8" w14:paraId="49636114" w14:textId="77777777" w:rsidTr="00960A9F">
        <w:trPr>
          <w:trHeight w:val="320"/>
        </w:trPr>
        <w:tc>
          <w:tcPr>
            <w:tcW w:w="701" w:type="dxa"/>
            <w:shd w:val="clear" w:color="auto" w:fill="auto"/>
            <w:vAlign w:val="center"/>
          </w:tcPr>
          <w:p w14:paraId="58E908A1" w14:textId="77777777" w:rsidR="00FA366A" w:rsidRPr="002C21B8" w:rsidRDefault="00FA366A" w:rsidP="00212D46">
            <w:pPr>
              <w:spacing w:after="0" w:line="240" w:lineRule="auto"/>
              <w:rPr>
                <w:sz w:val="20"/>
                <w:szCs w:val="20"/>
              </w:rPr>
            </w:pPr>
            <w:r w:rsidRPr="002C21B8">
              <w:rPr>
                <w:sz w:val="20"/>
                <w:szCs w:val="20"/>
              </w:rPr>
              <w:t>147</w:t>
            </w:r>
          </w:p>
        </w:tc>
        <w:tc>
          <w:tcPr>
            <w:tcW w:w="8504" w:type="dxa"/>
            <w:shd w:val="clear" w:color="auto" w:fill="auto"/>
            <w:vAlign w:val="bottom"/>
          </w:tcPr>
          <w:p w14:paraId="7EFCF581" w14:textId="77777777" w:rsidR="00FA366A" w:rsidRPr="002C21B8" w:rsidRDefault="00FA366A" w:rsidP="00212D46">
            <w:pPr>
              <w:spacing w:after="0" w:line="240" w:lineRule="auto"/>
              <w:rPr>
                <w:sz w:val="20"/>
                <w:szCs w:val="20"/>
              </w:rPr>
            </w:pPr>
            <w:r w:rsidRPr="002C21B8">
              <w:rPr>
                <w:sz w:val="20"/>
                <w:szCs w:val="20"/>
              </w:rPr>
              <w:t>((sleep* or nocturnal) adj2 (apnea* or apnoea*)).ti,ab.</w:t>
            </w:r>
          </w:p>
        </w:tc>
      </w:tr>
      <w:tr w:rsidR="00FA366A" w:rsidRPr="002C21B8" w14:paraId="01303FBE" w14:textId="77777777" w:rsidTr="00960A9F">
        <w:trPr>
          <w:trHeight w:val="320"/>
        </w:trPr>
        <w:tc>
          <w:tcPr>
            <w:tcW w:w="701" w:type="dxa"/>
            <w:shd w:val="clear" w:color="auto" w:fill="auto"/>
            <w:vAlign w:val="center"/>
          </w:tcPr>
          <w:p w14:paraId="049028D7" w14:textId="77777777" w:rsidR="00FA366A" w:rsidRPr="002C21B8" w:rsidRDefault="00FA366A" w:rsidP="00212D46">
            <w:pPr>
              <w:spacing w:after="0" w:line="240" w:lineRule="auto"/>
              <w:rPr>
                <w:sz w:val="20"/>
                <w:szCs w:val="20"/>
              </w:rPr>
            </w:pPr>
            <w:r w:rsidRPr="002C21B8">
              <w:rPr>
                <w:sz w:val="20"/>
                <w:szCs w:val="20"/>
              </w:rPr>
              <w:t>148</w:t>
            </w:r>
          </w:p>
        </w:tc>
        <w:tc>
          <w:tcPr>
            <w:tcW w:w="8504" w:type="dxa"/>
            <w:shd w:val="clear" w:color="auto" w:fill="auto"/>
            <w:vAlign w:val="bottom"/>
          </w:tcPr>
          <w:p w14:paraId="297B7B27" w14:textId="77777777" w:rsidR="00FA366A" w:rsidRPr="002C21B8" w:rsidRDefault="00FA366A" w:rsidP="00212D46">
            <w:pPr>
              <w:spacing w:after="0" w:line="240" w:lineRule="auto"/>
              <w:rPr>
                <w:sz w:val="20"/>
                <w:szCs w:val="20"/>
              </w:rPr>
            </w:pPr>
            <w:r w:rsidRPr="002C21B8">
              <w:rPr>
                <w:sz w:val="20"/>
                <w:szCs w:val="20"/>
              </w:rPr>
              <w:t>(sleep* adj2 disordered adj2 breathing).ti,ab.</w:t>
            </w:r>
          </w:p>
        </w:tc>
      </w:tr>
      <w:tr w:rsidR="00FA366A" w:rsidRPr="002C21B8" w14:paraId="7C33A21C" w14:textId="77777777" w:rsidTr="00960A9F">
        <w:trPr>
          <w:trHeight w:val="320"/>
        </w:trPr>
        <w:tc>
          <w:tcPr>
            <w:tcW w:w="701" w:type="dxa"/>
            <w:shd w:val="clear" w:color="auto" w:fill="auto"/>
            <w:vAlign w:val="center"/>
          </w:tcPr>
          <w:p w14:paraId="330A14D2" w14:textId="77777777" w:rsidR="00FA366A" w:rsidRPr="002C21B8" w:rsidRDefault="00FA366A" w:rsidP="00212D46">
            <w:pPr>
              <w:spacing w:after="0" w:line="240" w:lineRule="auto"/>
              <w:rPr>
                <w:sz w:val="20"/>
                <w:szCs w:val="20"/>
              </w:rPr>
            </w:pPr>
            <w:r w:rsidRPr="002C21B8">
              <w:rPr>
                <w:sz w:val="20"/>
                <w:szCs w:val="20"/>
              </w:rPr>
              <w:t>149</w:t>
            </w:r>
          </w:p>
        </w:tc>
        <w:tc>
          <w:tcPr>
            <w:tcW w:w="8504" w:type="dxa"/>
            <w:shd w:val="clear" w:color="auto" w:fill="auto"/>
            <w:vAlign w:val="bottom"/>
          </w:tcPr>
          <w:p w14:paraId="24CD89FE" w14:textId="77777777" w:rsidR="00FA366A" w:rsidRPr="002C21B8" w:rsidRDefault="00FA366A" w:rsidP="00212D46">
            <w:pPr>
              <w:spacing w:after="0" w:line="240" w:lineRule="auto"/>
              <w:rPr>
                <w:sz w:val="20"/>
                <w:szCs w:val="20"/>
              </w:rPr>
            </w:pPr>
            <w:r w:rsidRPr="002C21B8">
              <w:rPr>
                <w:sz w:val="20"/>
                <w:szCs w:val="20"/>
              </w:rPr>
              <w:t>((sleep* or nocturnal) adj2 (hypopnea* or hypopnoea* or hypo-apnea* or hypo-apnoea* or apneic-hypopneic or apnoeic-hypopnoeic)).ti,ab.</w:t>
            </w:r>
          </w:p>
        </w:tc>
      </w:tr>
      <w:tr w:rsidR="00FA366A" w:rsidRPr="002C21B8" w14:paraId="58AB840D" w14:textId="77777777" w:rsidTr="00960A9F">
        <w:trPr>
          <w:trHeight w:val="320"/>
        </w:trPr>
        <w:tc>
          <w:tcPr>
            <w:tcW w:w="701" w:type="dxa"/>
            <w:shd w:val="clear" w:color="auto" w:fill="auto"/>
            <w:vAlign w:val="center"/>
          </w:tcPr>
          <w:p w14:paraId="63DF03A5" w14:textId="77777777" w:rsidR="00FA366A" w:rsidRPr="002C21B8" w:rsidRDefault="00FA366A" w:rsidP="00212D46">
            <w:pPr>
              <w:spacing w:after="0" w:line="240" w:lineRule="auto"/>
              <w:rPr>
                <w:sz w:val="20"/>
                <w:szCs w:val="20"/>
              </w:rPr>
            </w:pPr>
            <w:r w:rsidRPr="002C21B8">
              <w:rPr>
                <w:sz w:val="20"/>
                <w:szCs w:val="20"/>
              </w:rPr>
              <w:t>150</w:t>
            </w:r>
          </w:p>
        </w:tc>
        <w:tc>
          <w:tcPr>
            <w:tcW w:w="8504" w:type="dxa"/>
            <w:shd w:val="clear" w:color="auto" w:fill="auto"/>
            <w:vAlign w:val="bottom"/>
          </w:tcPr>
          <w:p w14:paraId="7D9BAF93" w14:textId="77777777" w:rsidR="00FA366A" w:rsidRPr="002C21B8" w:rsidRDefault="00FA366A" w:rsidP="00212D46">
            <w:pPr>
              <w:spacing w:after="0" w:line="240" w:lineRule="auto"/>
              <w:rPr>
                <w:sz w:val="20"/>
                <w:szCs w:val="20"/>
              </w:rPr>
            </w:pPr>
            <w:r w:rsidRPr="002C21B8">
              <w:rPr>
                <w:sz w:val="20"/>
                <w:szCs w:val="20"/>
              </w:rPr>
              <w:t>(OSA or SAHS or OSAHS).ti,ab.</w:t>
            </w:r>
          </w:p>
        </w:tc>
      </w:tr>
      <w:tr w:rsidR="00FA366A" w:rsidRPr="002C21B8" w14:paraId="73570B98" w14:textId="77777777" w:rsidTr="00960A9F">
        <w:trPr>
          <w:trHeight w:val="320"/>
        </w:trPr>
        <w:tc>
          <w:tcPr>
            <w:tcW w:w="701" w:type="dxa"/>
            <w:shd w:val="clear" w:color="auto" w:fill="auto"/>
            <w:vAlign w:val="center"/>
          </w:tcPr>
          <w:p w14:paraId="46F5C4E8" w14:textId="77777777" w:rsidR="00FA366A" w:rsidRPr="002C21B8" w:rsidRDefault="00FA366A" w:rsidP="00212D46">
            <w:pPr>
              <w:spacing w:after="0" w:line="240" w:lineRule="auto"/>
              <w:rPr>
                <w:sz w:val="20"/>
                <w:szCs w:val="20"/>
              </w:rPr>
            </w:pPr>
            <w:r w:rsidRPr="002C21B8">
              <w:rPr>
                <w:sz w:val="20"/>
                <w:szCs w:val="20"/>
              </w:rPr>
              <w:t>151</w:t>
            </w:r>
          </w:p>
        </w:tc>
        <w:tc>
          <w:tcPr>
            <w:tcW w:w="8504" w:type="dxa"/>
            <w:shd w:val="clear" w:color="auto" w:fill="auto"/>
            <w:vAlign w:val="bottom"/>
          </w:tcPr>
          <w:p w14:paraId="5D8FDE7B" w14:textId="77777777" w:rsidR="00FA366A" w:rsidRPr="002C21B8" w:rsidRDefault="00FA366A" w:rsidP="00212D46">
            <w:pPr>
              <w:spacing w:after="0" w:line="240" w:lineRule="auto"/>
              <w:rPr>
                <w:sz w:val="20"/>
                <w:szCs w:val="20"/>
              </w:rPr>
            </w:pPr>
            <w:r w:rsidRPr="002C21B8">
              <w:rPr>
                <w:sz w:val="20"/>
                <w:szCs w:val="20"/>
              </w:rPr>
              <w:t>asthma, occupational/</w:t>
            </w:r>
          </w:p>
        </w:tc>
      </w:tr>
      <w:tr w:rsidR="00FA366A" w:rsidRPr="002C21B8" w14:paraId="615422F7" w14:textId="77777777" w:rsidTr="00960A9F">
        <w:trPr>
          <w:trHeight w:val="320"/>
        </w:trPr>
        <w:tc>
          <w:tcPr>
            <w:tcW w:w="701" w:type="dxa"/>
            <w:shd w:val="clear" w:color="auto" w:fill="auto"/>
            <w:vAlign w:val="center"/>
          </w:tcPr>
          <w:p w14:paraId="6D64AA2C" w14:textId="77777777" w:rsidR="00FA366A" w:rsidRPr="002C21B8" w:rsidRDefault="00FA366A" w:rsidP="00212D46">
            <w:pPr>
              <w:spacing w:after="0" w:line="240" w:lineRule="auto"/>
              <w:rPr>
                <w:sz w:val="20"/>
                <w:szCs w:val="20"/>
              </w:rPr>
            </w:pPr>
            <w:r w:rsidRPr="002C21B8">
              <w:rPr>
                <w:sz w:val="20"/>
                <w:szCs w:val="20"/>
              </w:rPr>
              <w:t>152</w:t>
            </w:r>
          </w:p>
        </w:tc>
        <w:tc>
          <w:tcPr>
            <w:tcW w:w="8504" w:type="dxa"/>
            <w:shd w:val="clear" w:color="auto" w:fill="auto"/>
            <w:vAlign w:val="bottom"/>
          </w:tcPr>
          <w:p w14:paraId="49E13FA9" w14:textId="77777777" w:rsidR="00FA366A" w:rsidRPr="002C21B8" w:rsidRDefault="00FA366A" w:rsidP="00212D46">
            <w:pPr>
              <w:spacing w:after="0" w:line="240" w:lineRule="auto"/>
              <w:rPr>
                <w:sz w:val="20"/>
                <w:szCs w:val="20"/>
              </w:rPr>
            </w:pPr>
            <w:r w:rsidRPr="002C21B8">
              <w:rPr>
                <w:sz w:val="20"/>
                <w:szCs w:val="20"/>
              </w:rPr>
              <w:t>(asbestosis* or pneumoconiosis or black lung or hard metal lung disease or silicosis or talcosis).ti,ab.</w:t>
            </w:r>
          </w:p>
        </w:tc>
      </w:tr>
      <w:tr w:rsidR="00FA366A" w:rsidRPr="002C21B8" w14:paraId="537ABF8A" w14:textId="77777777" w:rsidTr="00960A9F">
        <w:trPr>
          <w:trHeight w:val="320"/>
        </w:trPr>
        <w:tc>
          <w:tcPr>
            <w:tcW w:w="701" w:type="dxa"/>
            <w:shd w:val="clear" w:color="auto" w:fill="auto"/>
            <w:vAlign w:val="center"/>
          </w:tcPr>
          <w:p w14:paraId="73CE3F22" w14:textId="77777777" w:rsidR="00FA366A" w:rsidRPr="002C21B8" w:rsidRDefault="00FA366A" w:rsidP="00212D46">
            <w:pPr>
              <w:spacing w:after="0" w:line="240" w:lineRule="auto"/>
              <w:rPr>
                <w:sz w:val="20"/>
                <w:szCs w:val="20"/>
              </w:rPr>
            </w:pPr>
            <w:r w:rsidRPr="002C21B8">
              <w:rPr>
                <w:sz w:val="20"/>
                <w:szCs w:val="20"/>
              </w:rPr>
              <w:t>153</w:t>
            </w:r>
          </w:p>
        </w:tc>
        <w:tc>
          <w:tcPr>
            <w:tcW w:w="8504" w:type="dxa"/>
            <w:shd w:val="clear" w:color="auto" w:fill="auto"/>
            <w:vAlign w:val="bottom"/>
          </w:tcPr>
          <w:p w14:paraId="4A5900A6" w14:textId="77777777" w:rsidR="00FA366A" w:rsidRPr="002C21B8" w:rsidRDefault="00FA366A" w:rsidP="00212D46">
            <w:pPr>
              <w:spacing w:after="0" w:line="240" w:lineRule="auto"/>
              <w:rPr>
                <w:sz w:val="20"/>
                <w:szCs w:val="20"/>
              </w:rPr>
            </w:pPr>
            <w:r w:rsidRPr="002C21B8">
              <w:rPr>
                <w:sz w:val="20"/>
                <w:szCs w:val="20"/>
              </w:rPr>
              <w:t>exp osteoporosis/</w:t>
            </w:r>
          </w:p>
        </w:tc>
      </w:tr>
      <w:tr w:rsidR="00FA366A" w:rsidRPr="002C21B8" w14:paraId="6EF554EB" w14:textId="77777777" w:rsidTr="00960A9F">
        <w:trPr>
          <w:trHeight w:val="320"/>
        </w:trPr>
        <w:tc>
          <w:tcPr>
            <w:tcW w:w="701" w:type="dxa"/>
            <w:shd w:val="clear" w:color="auto" w:fill="auto"/>
            <w:vAlign w:val="center"/>
          </w:tcPr>
          <w:p w14:paraId="2712E5CE" w14:textId="77777777" w:rsidR="00FA366A" w:rsidRPr="002C21B8" w:rsidRDefault="00FA366A" w:rsidP="00212D46">
            <w:pPr>
              <w:spacing w:after="0" w:line="240" w:lineRule="auto"/>
              <w:rPr>
                <w:sz w:val="20"/>
                <w:szCs w:val="20"/>
              </w:rPr>
            </w:pPr>
            <w:r w:rsidRPr="002C21B8">
              <w:rPr>
                <w:sz w:val="20"/>
                <w:szCs w:val="20"/>
              </w:rPr>
              <w:t>154</w:t>
            </w:r>
          </w:p>
        </w:tc>
        <w:tc>
          <w:tcPr>
            <w:tcW w:w="8504" w:type="dxa"/>
            <w:shd w:val="clear" w:color="auto" w:fill="auto"/>
            <w:vAlign w:val="bottom"/>
          </w:tcPr>
          <w:p w14:paraId="1B06CD0E" w14:textId="77777777" w:rsidR="00FA366A" w:rsidRPr="002C21B8" w:rsidRDefault="00FA366A" w:rsidP="00212D46">
            <w:pPr>
              <w:spacing w:after="0" w:line="240" w:lineRule="auto"/>
              <w:rPr>
                <w:sz w:val="20"/>
                <w:szCs w:val="20"/>
              </w:rPr>
            </w:pPr>
            <w:r w:rsidRPr="002C21B8">
              <w:rPr>
                <w:sz w:val="20"/>
                <w:szCs w:val="20"/>
              </w:rPr>
              <w:t>(osteoporo* or bone density or calcaneus).ti,ab.</w:t>
            </w:r>
          </w:p>
        </w:tc>
      </w:tr>
      <w:tr w:rsidR="00FA366A" w:rsidRPr="002C21B8" w14:paraId="591F30D9" w14:textId="77777777" w:rsidTr="00960A9F">
        <w:trPr>
          <w:trHeight w:val="320"/>
        </w:trPr>
        <w:tc>
          <w:tcPr>
            <w:tcW w:w="701" w:type="dxa"/>
            <w:shd w:val="clear" w:color="auto" w:fill="auto"/>
            <w:vAlign w:val="center"/>
          </w:tcPr>
          <w:p w14:paraId="54C7BC79" w14:textId="77777777" w:rsidR="00FA366A" w:rsidRPr="002C21B8" w:rsidRDefault="00FA366A" w:rsidP="00212D46">
            <w:pPr>
              <w:spacing w:after="0" w:line="240" w:lineRule="auto"/>
              <w:rPr>
                <w:sz w:val="20"/>
                <w:szCs w:val="20"/>
              </w:rPr>
            </w:pPr>
            <w:r w:rsidRPr="002C21B8">
              <w:rPr>
                <w:sz w:val="20"/>
                <w:szCs w:val="20"/>
              </w:rPr>
              <w:t>155</w:t>
            </w:r>
          </w:p>
        </w:tc>
        <w:tc>
          <w:tcPr>
            <w:tcW w:w="8504" w:type="dxa"/>
            <w:shd w:val="clear" w:color="auto" w:fill="auto"/>
            <w:vAlign w:val="bottom"/>
          </w:tcPr>
          <w:p w14:paraId="0D96469A" w14:textId="77777777" w:rsidR="00FA366A" w:rsidRPr="002C21B8" w:rsidRDefault="00FA366A" w:rsidP="00212D46">
            <w:pPr>
              <w:spacing w:after="0" w:line="240" w:lineRule="auto"/>
              <w:rPr>
                <w:sz w:val="20"/>
                <w:szCs w:val="20"/>
              </w:rPr>
            </w:pPr>
            <w:r w:rsidRPr="002C21B8">
              <w:rPr>
                <w:sz w:val="20"/>
                <w:szCs w:val="20"/>
              </w:rPr>
              <w:t>exp neurodegenerative diseases/</w:t>
            </w:r>
          </w:p>
        </w:tc>
      </w:tr>
      <w:tr w:rsidR="00FA366A" w:rsidRPr="002C21B8" w14:paraId="445A8A57" w14:textId="77777777" w:rsidTr="00960A9F">
        <w:trPr>
          <w:trHeight w:val="320"/>
        </w:trPr>
        <w:tc>
          <w:tcPr>
            <w:tcW w:w="701" w:type="dxa"/>
            <w:shd w:val="clear" w:color="auto" w:fill="auto"/>
            <w:vAlign w:val="center"/>
          </w:tcPr>
          <w:p w14:paraId="1CA1E9CC" w14:textId="77777777" w:rsidR="00FA366A" w:rsidRPr="002C21B8" w:rsidRDefault="00FA366A" w:rsidP="00212D46">
            <w:pPr>
              <w:spacing w:after="0" w:line="240" w:lineRule="auto"/>
              <w:rPr>
                <w:sz w:val="20"/>
                <w:szCs w:val="20"/>
              </w:rPr>
            </w:pPr>
            <w:r w:rsidRPr="002C21B8">
              <w:rPr>
                <w:sz w:val="20"/>
                <w:szCs w:val="20"/>
              </w:rPr>
              <w:t>156</w:t>
            </w:r>
          </w:p>
        </w:tc>
        <w:tc>
          <w:tcPr>
            <w:tcW w:w="8504" w:type="dxa"/>
            <w:shd w:val="clear" w:color="auto" w:fill="auto"/>
            <w:vAlign w:val="bottom"/>
          </w:tcPr>
          <w:p w14:paraId="0A92FF58" w14:textId="77777777" w:rsidR="00FA366A" w:rsidRPr="002C21B8" w:rsidRDefault="00FA366A" w:rsidP="00212D46">
            <w:pPr>
              <w:spacing w:after="0" w:line="240" w:lineRule="auto"/>
              <w:rPr>
                <w:sz w:val="20"/>
                <w:szCs w:val="20"/>
              </w:rPr>
            </w:pPr>
            <w:r w:rsidRPr="002C21B8">
              <w:rPr>
                <w:sz w:val="20"/>
                <w:szCs w:val="20"/>
              </w:rPr>
              <w:t>(amyotrophic lateral sclerosis or multiple sclerosis or huntington* disease or multiple system atrophy or prion disease).ti,ab.</w:t>
            </w:r>
          </w:p>
        </w:tc>
      </w:tr>
      <w:tr w:rsidR="00FA366A" w:rsidRPr="002C21B8" w14:paraId="3871365F" w14:textId="77777777" w:rsidTr="00960A9F">
        <w:trPr>
          <w:trHeight w:val="320"/>
        </w:trPr>
        <w:tc>
          <w:tcPr>
            <w:tcW w:w="701" w:type="dxa"/>
            <w:shd w:val="clear" w:color="auto" w:fill="auto"/>
            <w:vAlign w:val="center"/>
          </w:tcPr>
          <w:p w14:paraId="607A0E5C" w14:textId="77777777" w:rsidR="00FA366A" w:rsidRPr="002C21B8" w:rsidRDefault="00FA366A" w:rsidP="00212D46">
            <w:pPr>
              <w:spacing w:after="0" w:line="240" w:lineRule="auto"/>
              <w:rPr>
                <w:sz w:val="20"/>
                <w:szCs w:val="20"/>
              </w:rPr>
            </w:pPr>
            <w:r w:rsidRPr="002C21B8">
              <w:rPr>
                <w:sz w:val="20"/>
                <w:szCs w:val="20"/>
              </w:rPr>
              <w:t>157</w:t>
            </w:r>
          </w:p>
        </w:tc>
        <w:tc>
          <w:tcPr>
            <w:tcW w:w="8504" w:type="dxa"/>
            <w:shd w:val="clear" w:color="auto" w:fill="auto"/>
            <w:vAlign w:val="bottom"/>
          </w:tcPr>
          <w:p w14:paraId="4585C8B2" w14:textId="77777777" w:rsidR="00FA366A" w:rsidRPr="002C21B8" w:rsidRDefault="00FA366A" w:rsidP="00212D46">
            <w:pPr>
              <w:spacing w:after="0" w:line="240" w:lineRule="auto"/>
              <w:rPr>
                <w:sz w:val="20"/>
                <w:szCs w:val="20"/>
              </w:rPr>
            </w:pPr>
            <w:r w:rsidRPr="002C21B8">
              <w:rPr>
                <w:sz w:val="20"/>
                <w:szCs w:val="20"/>
              </w:rPr>
              <w:t>exp peripheral vascular diseases/</w:t>
            </w:r>
          </w:p>
        </w:tc>
      </w:tr>
      <w:tr w:rsidR="00FA366A" w:rsidRPr="002C21B8" w14:paraId="1757D16A" w14:textId="77777777" w:rsidTr="00960A9F">
        <w:trPr>
          <w:trHeight w:val="320"/>
        </w:trPr>
        <w:tc>
          <w:tcPr>
            <w:tcW w:w="701" w:type="dxa"/>
            <w:shd w:val="clear" w:color="auto" w:fill="auto"/>
            <w:vAlign w:val="center"/>
          </w:tcPr>
          <w:p w14:paraId="6A3FAEF4" w14:textId="77777777" w:rsidR="00FA366A" w:rsidRPr="002C21B8" w:rsidRDefault="00FA366A" w:rsidP="00212D46">
            <w:pPr>
              <w:spacing w:after="0" w:line="240" w:lineRule="auto"/>
              <w:rPr>
                <w:sz w:val="20"/>
                <w:szCs w:val="20"/>
              </w:rPr>
            </w:pPr>
            <w:r w:rsidRPr="002C21B8">
              <w:rPr>
                <w:sz w:val="20"/>
                <w:szCs w:val="20"/>
              </w:rPr>
              <w:t>158</w:t>
            </w:r>
          </w:p>
        </w:tc>
        <w:tc>
          <w:tcPr>
            <w:tcW w:w="8504" w:type="dxa"/>
            <w:shd w:val="clear" w:color="auto" w:fill="auto"/>
            <w:vAlign w:val="bottom"/>
          </w:tcPr>
          <w:p w14:paraId="2827BBAE" w14:textId="77777777" w:rsidR="00FA366A" w:rsidRPr="002C21B8" w:rsidRDefault="00FA366A" w:rsidP="00212D46">
            <w:pPr>
              <w:spacing w:after="0" w:line="240" w:lineRule="auto"/>
              <w:rPr>
                <w:sz w:val="20"/>
                <w:szCs w:val="20"/>
              </w:rPr>
            </w:pPr>
            <w:r w:rsidRPr="002C21B8">
              <w:rPr>
                <w:sz w:val="20"/>
                <w:szCs w:val="20"/>
              </w:rPr>
              <w:t>(peripheral arterial occlusi* or peripheral artery occlusi* or peripheral arterial isch?emi* or peripheral artery isch?emi*).ti,ab.</w:t>
            </w:r>
          </w:p>
        </w:tc>
      </w:tr>
      <w:tr w:rsidR="00FA366A" w:rsidRPr="002C21B8" w14:paraId="15313310" w14:textId="77777777" w:rsidTr="00960A9F">
        <w:trPr>
          <w:trHeight w:val="320"/>
        </w:trPr>
        <w:tc>
          <w:tcPr>
            <w:tcW w:w="701" w:type="dxa"/>
            <w:shd w:val="clear" w:color="auto" w:fill="auto"/>
            <w:vAlign w:val="center"/>
          </w:tcPr>
          <w:p w14:paraId="1F0982C3" w14:textId="77777777" w:rsidR="00FA366A" w:rsidRPr="002C21B8" w:rsidRDefault="00FA366A" w:rsidP="00212D46">
            <w:pPr>
              <w:spacing w:after="0" w:line="240" w:lineRule="auto"/>
              <w:rPr>
                <w:sz w:val="20"/>
                <w:szCs w:val="20"/>
              </w:rPr>
            </w:pPr>
            <w:r w:rsidRPr="002C21B8">
              <w:rPr>
                <w:sz w:val="20"/>
                <w:szCs w:val="20"/>
              </w:rPr>
              <w:t>159</w:t>
            </w:r>
          </w:p>
        </w:tc>
        <w:tc>
          <w:tcPr>
            <w:tcW w:w="8504" w:type="dxa"/>
            <w:shd w:val="clear" w:color="auto" w:fill="auto"/>
            <w:vAlign w:val="bottom"/>
          </w:tcPr>
          <w:p w14:paraId="4AEA2F9B" w14:textId="77777777" w:rsidR="00FA366A" w:rsidRPr="002C21B8" w:rsidRDefault="00FA366A" w:rsidP="00212D46">
            <w:pPr>
              <w:spacing w:after="0" w:line="240" w:lineRule="auto"/>
              <w:rPr>
                <w:sz w:val="20"/>
                <w:szCs w:val="20"/>
              </w:rPr>
            </w:pPr>
            <w:r w:rsidRPr="002C21B8">
              <w:rPr>
                <w:sz w:val="20"/>
                <w:szCs w:val="20"/>
              </w:rPr>
              <w:t>(peripheral vascular disease* or peripheral arterial disease* or peripheral artery disease*).ti,ab.</w:t>
            </w:r>
          </w:p>
        </w:tc>
      </w:tr>
      <w:tr w:rsidR="00FA366A" w:rsidRPr="002C21B8" w14:paraId="3F707F95" w14:textId="77777777" w:rsidTr="00960A9F">
        <w:trPr>
          <w:trHeight w:val="320"/>
        </w:trPr>
        <w:tc>
          <w:tcPr>
            <w:tcW w:w="701" w:type="dxa"/>
            <w:shd w:val="clear" w:color="auto" w:fill="auto"/>
            <w:vAlign w:val="center"/>
          </w:tcPr>
          <w:p w14:paraId="1B80B9EB" w14:textId="77777777" w:rsidR="00FA366A" w:rsidRPr="002C21B8" w:rsidRDefault="00FA366A" w:rsidP="00212D46">
            <w:pPr>
              <w:spacing w:after="0" w:line="240" w:lineRule="auto"/>
              <w:rPr>
                <w:sz w:val="20"/>
                <w:szCs w:val="20"/>
              </w:rPr>
            </w:pPr>
            <w:r w:rsidRPr="002C21B8">
              <w:rPr>
                <w:sz w:val="20"/>
                <w:szCs w:val="20"/>
              </w:rPr>
              <w:t>160</w:t>
            </w:r>
          </w:p>
        </w:tc>
        <w:tc>
          <w:tcPr>
            <w:tcW w:w="8504" w:type="dxa"/>
            <w:shd w:val="clear" w:color="auto" w:fill="auto"/>
            <w:vAlign w:val="bottom"/>
          </w:tcPr>
          <w:p w14:paraId="34691C54" w14:textId="77777777" w:rsidR="00FA366A" w:rsidRPr="002C21B8" w:rsidRDefault="00FA366A" w:rsidP="00212D46">
            <w:pPr>
              <w:spacing w:after="0" w:line="240" w:lineRule="auto"/>
              <w:rPr>
                <w:sz w:val="20"/>
                <w:szCs w:val="20"/>
              </w:rPr>
            </w:pPr>
            <w:r w:rsidRPr="002C21B8">
              <w:rPr>
                <w:sz w:val="20"/>
                <w:szCs w:val="20"/>
              </w:rPr>
              <w:t>((limb* or lower extremity) adj isch?emi*).ti,ab.</w:t>
            </w:r>
          </w:p>
        </w:tc>
      </w:tr>
      <w:tr w:rsidR="00FA366A" w:rsidRPr="002C21B8" w14:paraId="3E101384" w14:textId="77777777" w:rsidTr="00960A9F">
        <w:trPr>
          <w:trHeight w:val="320"/>
        </w:trPr>
        <w:tc>
          <w:tcPr>
            <w:tcW w:w="701" w:type="dxa"/>
            <w:shd w:val="clear" w:color="auto" w:fill="auto"/>
            <w:vAlign w:val="center"/>
          </w:tcPr>
          <w:p w14:paraId="59DB5264" w14:textId="77777777" w:rsidR="00FA366A" w:rsidRPr="002C21B8" w:rsidRDefault="00FA366A" w:rsidP="00212D46">
            <w:pPr>
              <w:spacing w:after="0" w:line="240" w:lineRule="auto"/>
              <w:rPr>
                <w:sz w:val="20"/>
                <w:szCs w:val="20"/>
              </w:rPr>
            </w:pPr>
            <w:r w:rsidRPr="002C21B8">
              <w:rPr>
                <w:sz w:val="20"/>
                <w:szCs w:val="20"/>
              </w:rPr>
              <w:t>161</w:t>
            </w:r>
          </w:p>
        </w:tc>
        <w:tc>
          <w:tcPr>
            <w:tcW w:w="8504" w:type="dxa"/>
            <w:shd w:val="clear" w:color="auto" w:fill="auto"/>
            <w:vAlign w:val="bottom"/>
          </w:tcPr>
          <w:p w14:paraId="4DF4A94F" w14:textId="77777777" w:rsidR="00FA366A" w:rsidRPr="002C21B8" w:rsidRDefault="00FA366A" w:rsidP="00212D46">
            <w:pPr>
              <w:spacing w:after="0" w:line="240" w:lineRule="auto"/>
              <w:rPr>
                <w:sz w:val="20"/>
                <w:szCs w:val="20"/>
              </w:rPr>
            </w:pPr>
            <w:r w:rsidRPr="002C21B8">
              <w:rPr>
                <w:sz w:val="20"/>
                <w:szCs w:val="20"/>
              </w:rPr>
              <w:t>(intermittent and (occlusion or claudication)).ti,ab.</w:t>
            </w:r>
          </w:p>
        </w:tc>
      </w:tr>
      <w:tr w:rsidR="00FA366A" w:rsidRPr="002C21B8" w14:paraId="7D0301D1" w14:textId="77777777" w:rsidTr="00960A9F">
        <w:trPr>
          <w:trHeight w:val="320"/>
        </w:trPr>
        <w:tc>
          <w:tcPr>
            <w:tcW w:w="701" w:type="dxa"/>
            <w:shd w:val="clear" w:color="auto" w:fill="auto"/>
            <w:vAlign w:val="center"/>
          </w:tcPr>
          <w:p w14:paraId="09C9844D" w14:textId="77777777" w:rsidR="00FA366A" w:rsidRPr="002C21B8" w:rsidRDefault="00FA366A" w:rsidP="00212D46">
            <w:pPr>
              <w:spacing w:after="0" w:line="240" w:lineRule="auto"/>
              <w:rPr>
                <w:sz w:val="20"/>
                <w:szCs w:val="20"/>
              </w:rPr>
            </w:pPr>
            <w:r w:rsidRPr="002C21B8">
              <w:rPr>
                <w:sz w:val="20"/>
                <w:szCs w:val="20"/>
              </w:rPr>
              <w:t>162</w:t>
            </w:r>
          </w:p>
        </w:tc>
        <w:tc>
          <w:tcPr>
            <w:tcW w:w="8504" w:type="dxa"/>
            <w:shd w:val="clear" w:color="auto" w:fill="auto"/>
            <w:vAlign w:val="bottom"/>
          </w:tcPr>
          <w:p w14:paraId="12E52D2E" w14:textId="77777777" w:rsidR="00FA366A" w:rsidRPr="002C21B8" w:rsidRDefault="00FA366A" w:rsidP="00212D46">
            <w:pPr>
              <w:spacing w:after="0" w:line="240" w:lineRule="auto"/>
              <w:rPr>
                <w:sz w:val="20"/>
                <w:szCs w:val="20"/>
              </w:rPr>
            </w:pPr>
            <w:r w:rsidRPr="002C21B8">
              <w:rPr>
                <w:sz w:val="20"/>
                <w:szCs w:val="20"/>
              </w:rPr>
              <w:t>exp disabled persons/</w:t>
            </w:r>
          </w:p>
        </w:tc>
      </w:tr>
      <w:tr w:rsidR="00FA366A" w:rsidRPr="002C21B8" w14:paraId="7A66FEA0" w14:textId="77777777" w:rsidTr="00960A9F">
        <w:trPr>
          <w:trHeight w:val="320"/>
        </w:trPr>
        <w:tc>
          <w:tcPr>
            <w:tcW w:w="701" w:type="dxa"/>
            <w:shd w:val="clear" w:color="auto" w:fill="auto"/>
            <w:vAlign w:val="center"/>
          </w:tcPr>
          <w:p w14:paraId="7769B365" w14:textId="77777777" w:rsidR="00FA366A" w:rsidRPr="002C21B8" w:rsidRDefault="00FA366A" w:rsidP="00212D46">
            <w:pPr>
              <w:spacing w:after="0" w:line="240" w:lineRule="auto"/>
              <w:rPr>
                <w:sz w:val="20"/>
                <w:szCs w:val="20"/>
              </w:rPr>
            </w:pPr>
            <w:r w:rsidRPr="002C21B8">
              <w:rPr>
                <w:sz w:val="20"/>
                <w:szCs w:val="20"/>
              </w:rPr>
              <w:t>163</w:t>
            </w:r>
          </w:p>
        </w:tc>
        <w:tc>
          <w:tcPr>
            <w:tcW w:w="8504" w:type="dxa"/>
            <w:shd w:val="clear" w:color="auto" w:fill="auto"/>
            <w:vAlign w:val="bottom"/>
          </w:tcPr>
          <w:p w14:paraId="2D142F4A" w14:textId="77777777" w:rsidR="00FA366A" w:rsidRPr="002C21B8" w:rsidRDefault="00FA366A" w:rsidP="00212D46">
            <w:pPr>
              <w:spacing w:after="0" w:line="240" w:lineRule="auto"/>
              <w:rPr>
                <w:sz w:val="20"/>
                <w:szCs w:val="20"/>
              </w:rPr>
            </w:pPr>
            <w:r w:rsidRPr="002C21B8">
              <w:rPr>
                <w:sz w:val="20"/>
                <w:szCs w:val="20"/>
              </w:rPr>
              <w:t>(physical disabilit* or spinal cord injur* or motor learning disability* or dwarfism).ti,ab.</w:t>
            </w:r>
          </w:p>
        </w:tc>
      </w:tr>
      <w:tr w:rsidR="00FA366A" w:rsidRPr="002C21B8" w14:paraId="124E886E" w14:textId="77777777" w:rsidTr="00960A9F">
        <w:trPr>
          <w:trHeight w:val="320"/>
        </w:trPr>
        <w:tc>
          <w:tcPr>
            <w:tcW w:w="701" w:type="dxa"/>
            <w:shd w:val="clear" w:color="auto" w:fill="auto"/>
            <w:vAlign w:val="center"/>
          </w:tcPr>
          <w:p w14:paraId="5C432AAC" w14:textId="77777777" w:rsidR="00FA366A" w:rsidRPr="002C21B8" w:rsidRDefault="00FA366A" w:rsidP="00212D46">
            <w:pPr>
              <w:spacing w:after="0" w:line="240" w:lineRule="auto"/>
              <w:rPr>
                <w:sz w:val="20"/>
                <w:szCs w:val="20"/>
              </w:rPr>
            </w:pPr>
            <w:r w:rsidRPr="002C21B8">
              <w:rPr>
                <w:sz w:val="20"/>
                <w:szCs w:val="20"/>
              </w:rPr>
              <w:t>164</w:t>
            </w:r>
          </w:p>
        </w:tc>
        <w:tc>
          <w:tcPr>
            <w:tcW w:w="8504" w:type="dxa"/>
            <w:shd w:val="clear" w:color="auto" w:fill="auto"/>
            <w:vAlign w:val="bottom"/>
          </w:tcPr>
          <w:p w14:paraId="17C8ED91" w14:textId="77777777" w:rsidR="00FA366A" w:rsidRPr="002C21B8" w:rsidRDefault="00FA366A" w:rsidP="00212D46">
            <w:pPr>
              <w:spacing w:after="0" w:line="240" w:lineRule="auto"/>
              <w:rPr>
                <w:sz w:val="20"/>
                <w:szCs w:val="20"/>
              </w:rPr>
            </w:pPr>
            <w:r w:rsidRPr="002C21B8">
              <w:rPr>
                <w:sz w:val="20"/>
                <w:szCs w:val="20"/>
              </w:rPr>
              <w:t>polycystic ovary syndrome/</w:t>
            </w:r>
          </w:p>
        </w:tc>
      </w:tr>
      <w:tr w:rsidR="00FA366A" w:rsidRPr="002C21B8" w14:paraId="7C82AACE" w14:textId="77777777" w:rsidTr="00960A9F">
        <w:trPr>
          <w:trHeight w:val="320"/>
        </w:trPr>
        <w:tc>
          <w:tcPr>
            <w:tcW w:w="701" w:type="dxa"/>
            <w:shd w:val="clear" w:color="auto" w:fill="auto"/>
            <w:vAlign w:val="center"/>
          </w:tcPr>
          <w:p w14:paraId="69D492A4" w14:textId="77777777" w:rsidR="00FA366A" w:rsidRPr="002C21B8" w:rsidRDefault="00FA366A" w:rsidP="00212D46">
            <w:pPr>
              <w:spacing w:after="0" w:line="240" w:lineRule="auto"/>
              <w:rPr>
                <w:sz w:val="20"/>
                <w:szCs w:val="20"/>
              </w:rPr>
            </w:pPr>
            <w:r w:rsidRPr="002C21B8">
              <w:rPr>
                <w:sz w:val="20"/>
                <w:szCs w:val="20"/>
              </w:rPr>
              <w:t>165</w:t>
            </w:r>
          </w:p>
        </w:tc>
        <w:tc>
          <w:tcPr>
            <w:tcW w:w="8504" w:type="dxa"/>
            <w:shd w:val="clear" w:color="auto" w:fill="auto"/>
            <w:vAlign w:val="bottom"/>
          </w:tcPr>
          <w:p w14:paraId="1B0A7DA4" w14:textId="77777777" w:rsidR="00FA366A" w:rsidRPr="002C21B8" w:rsidRDefault="00FA366A" w:rsidP="00212D46">
            <w:pPr>
              <w:spacing w:after="0" w:line="240" w:lineRule="auto"/>
              <w:rPr>
                <w:sz w:val="20"/>
                <w:szCs w:val="20"/>
              </w:rPr>
            </w:pPr>
            <w:r w:rsidRPr="002C21B8">
              <w:rPr>
                <w:sz w:val="20"/>
                <w:szCs w:val="20"/>
              </w:rPr>
              <w:t>(polycystic ovary syndrome or polycystic ovarian syndrome or PCOS).ti,ab.</w:t>
            </w:r>
          </w:p>
        </w:tc>
      </w:tr>
      <w:tr w:rsidR="00FA366A" w:rsidRPr="002C21B8" w14:paraId="3AF1ADAE" w14:textId="77777777" w:rsidTr="00960A9F">
        <w:trPr>
          <w:trHeight w:val="320"/>
        </w:trPr>
        <w:tc>
          <w:tcPr>
            <w:tcW w:w="701" w:type="dxa"/>
            <w:shd w:val="clear" w:color="auto" w:fill="auto"/>
            <w:vAlign w:val="center"/>
          </w:tcPr>
          <w:p w14:paraId="3BDFA3D0" w14:textId="77777777" w:rsidR="00FA366A" w:rsidRPr="002C21B8" w:rsidRDefault="00FA366A" w:rsidP="00212D46">
            <w:pPr>
              <w:spacing w:after="0" w:line="240" w:lineRule="auto"/>
              <w:rPr>
                <w:sz w:val="20"/>
                <w:szCs w:val="20"/>
              </w:rPr>
            </w:pPr>
            <w:r w:rsidRPr="002C21B8">
              <w:rPr>
                <w:sz w:val="20"/>
                <w:szCs w:val="20"/>
              </w:rPr>
              <w:t>166</w:t>
            </w:r>
          </w:p>
        </w:tc>
        <w:tc>
          <w:tcPr>
            <w:tcW w:w="8504" w:type="dxa"/>
            <w:shd w:val="clear" w:color="auto" w:fill="auto"/>
            <w:vAlign w:val="bottom"/>
          </w:tcPr>
          <w:p w14:paraId="0D9C2986" w14:textId="77777777" w:rsidR="00FA366A" w:rsidRPr="002C21B8" w:rsidRDefault="00FA366A" w:rsidP="00212D46">
            <w:pPr>
              <w:spacing w:after="0" w:line="240" w:lineRule="auto"/>
              <w:rPr>
                <w:sz w:val="20"/>
                <w:szCs w:val="20"/>
              </w:rPr>
            </w:pPr>
            <w:r w:rsidRPr="002C21B8">
              <w:rPr>
                <w:sz w:val="20"/>
                <w:szCs w:val="20"/>
              </w:rPr>
              <w:t>supranuclear palsy, progressive/</w:t>
            </w:r>
          </w:p>
        </w:tc>
      </w:tr>
      <w:tr w:rsidR="00FA366A" w:rsidRPr="002C21B8" w14:paraId="7B3B0ECC" w14:textId="77777777" w:rsidTr="00960A9F">
        <w:trPr>
          <w:trHeight w:val="320"/>
        </w:trPr>
        <w:tc>
          <w:tcPr>
            <w:tcW w:w="701" w:type="dxa"/>
            <w:shd w:val="clear" w:color="auto" w:fill="auto"/>
            <w:vAlign w:val="center"/>
          </w:tcPr>
          <w:p w14:paraId="64A0C84C" w14:textId="77777777" w:rsidR="00FA366A" w:rsidRPr="002C21B8" w:rsidRDefault="00FA366A" w:rsidP="00212D46">
            <w:pPr>
              <w:spacing w:after="0" w:line="240" w:lineRule="auto"/>
              <w:rPr>
                <w:sz w:val="20"/>
                <w:szCs w:val="20"/>
              </w:rPr>
            </w:pPr>
            <w:r w:rsidRPr="002C21B8">
              <w:rPr>
                <w:sz w:val="20"/>
                <w:szCs w:val="20"/>
              </w:rPr>
              <w:t>167</w:t>
            </w:r>
          </w:p>
        </w:tc>
        <w:tc>
          <w:tcPr>
            <w:tcW w:w="8504" w:type="dxa"/>
            <w:shd w:val="clear" w:color="auto" w:fill="auto"/>
            <w:vAlign w:val="bottom"/>
          </w:tcPr>
          <w:p w14:paraId="0730EE85" w14:textId="77777777" w:rsidR="00FA366A" w:rsidRPr="002C21B8" w:rsidRDefault="00FA366A" w:rsidP="00212D46">
            <w:pPr>
              <w:spacing w:after="0" w:line="240" w:lineRule="auto"/>
              <w:rPr>
                <w:sz w:val="20"/>
                <w:szCs w:val="20"/>
              </w:rPr>
            </w:pPr>
            <w:r w:rsidRPr="002C21B8">
              <w:rPr>
                <w:sz w:val="20"/>
                <w:szCs w:val="20"/>
              </w:rPr>
              <w:t>(progressive supranuclear pals* or PSP or richardson* syndrome or (steele richardson olsezewski adj (disease or syndrome)) or (steele-richardson-olsezewski adj (disease or syndrome))).ti,ab.</w:t>
            </w:r>
          </w:p>
        </w:tc>
      </w:tr>
      <w:tr w:rsidR="00FA366A" w:rsidRPr="002C21B8" w14:paraId="7D76B23B" w14:textId="77777777" w:rsidTr="00960A9F">
        <w:trPr>
          <w:trHeight w:val="320"/>
        </w:trPr>
        <w:tc>
          <w:tcPr>
            <w:tcW w:w="701" w:type="dxa"/>
            <w:shd w:val="clear" w:color="auto" w:fill="auto"/>
            <w:vAlign w:val="center"/>
          </w:tcPr>
          <w:p w14:paraId="23B3A7F0" w14:textId="77777777" w:rsidR="00FA366A" w:rsidRPr="002C21B8" w:rsidRDefault="00FA366A" w:rsidP="00212D46">
            <w:pPr>
              <w:spacing w:after="0" w:line="240" w:lineRule="auto"/>
              <w:rPr>
                <w:sz w:val="20"/>
                <w:szCs w:val="20"/>
              </w:rPr>
            </w:pPr>
            <w:r w:rsidRPr="002C21B8">
              <w:rPr>
                <w:sz w:val="20"/>
                <w:szCs w:val="20"/>
              </w:rPr>
              <w:t>168</w:t>
            </w:r>
          </w:p>
        </w:tc>
        <w:tc>
          <w:tcPr>
            <w:tcW w:w="8504" w:type="dxa"/>
            <w:shd w:val="clear" w:color="auto" w:fill="auto"/>
            <w:vAlign w:val="bottom"/>
          </w:tcPr>
          <w:p w14:paraId="3E3E7762" w14:textId="77777777" w:rsidR="00FA366A" w:rsidRPr="002C21B8" w:rsidRDefault="00FA366A" w:rsidP="00212D46">
            <w:pPr>
              <w:spacing w:after="0" w:line="240" w:lineRule="auto"/>
              <w:rPr>
                <w:sz w:val="20"/>
                <w:szCs w:val="20"/>
              </w:rPr>
            </w:pPr>
            <w:r w:rsidRPr="002C21B8">
              <w:rPr>
                <w:sz w:val="20"/>
                <w:szCs w:val="20"/>
              </w:rPr>
              <w:t>exp psoriasis/</w:t>
            </w:r>
          </w:p>
        </w:tc>
      </w:tr>
      <w:tr w:rsidR="00FA366A" w:rsidRPr="002C21B8" w14:paraId="26AD1868" w14:textId="77777777" w:rsidTr="00960A9F">
        <w:trPr>
          <w:trHeight w:val="320"/>
        </w:trPr>
        <w:tc>
          <w:tcPr>
            <w:tcW w:w="701" w:type="dxa"/>
            <w:shd w:val="clear" w:color="auto" w:fill="auto"/>
            <w:vAlign w:val="center"/>
          </w:tcPr>
          <w:p w14:paraId="4DA07426" w14:textId="77777777" w:rsidR="00FA366A" w:rsidRPr="002C21B8" w:rsidRDefault="00FA366A" w:rsidP="00212D46">
            <w:pPr>
              <w:spacing w:after="0" w:line="240" w:lineRule="auto"/>
              <w:rPr>
                <w:sz w:val="20"/>
                <w:szCs w:val="20"/>
              </w:rPr>
            </w:pPr>
            <w:r w:rsidRPr="002C21B8">
              <w:rPr>
                <w:sz w:val="20"/>
                <w:szCs w:val="20"/>
              </w:rPr>
              <w:t>169</w:t>
            </w:r>
          </w:p>
        </w:tc>
        <w:tc>
          <w:tcPr>
            <w:tcW w:w="8504" w:type="dxa"/>
            <w:shd w:val="clear" w:color="auto" w:fill="auto"/>
            <w:vAlign w:val="bottom"/>
          </w:tcPr>
          <w:p w14:paraId="1F94B33E" w14:textId="77777777" w:rsidR="00FA366A" w:rsidRPr="002C21B8" w:rsidRDefault="00FA366A" w:rsidP="00212D46">
            <w:pPr>
              <w:spacing w:after="0" w:line="240" w:lineRule="auto"/>
              <w:rPr>
                <w:sz w:val="20"/>
                <w:szCs w:val="20"/>
              </w:rPr>
            </w:pPr>
            <w:r w:rsidRPr="002C21B8">
              <w:rPr>
                <w:sz w:val="20"/>
                <w:szCs w:val="20"/>
              </w:rPr>
              <w:t>psoriasis.ti,ab.</w:t>
            </w:r>
          </w:p>
        </w:tc>
      </w:tr>
      <w:tr w:rsidR="00FA366A" w:rsidRPr="002C21B8" w14:paraId="38AB791E" w14:textId="77777777" w:rsidTr="00960A9F">
        <w:trPr>
          <w:trHeight w:val="320"/>
        </w:trPr>
        <w:tc>
          <w:tcPr>
            <w:tcW w:w="701" w:type="dxa"/>
            <w:shd w:val="clear" w:color="auto" w:fill="auto"/>
            <w:vAlign w:val="center"/>
          </w:tcPr>
          <w:p w14:paraId="598E212D" w14:textId="77777777" w:rsidR="00FA366A" w:rsidRPr="002C21B8" w:rsidRDefault="00FA366A" w:rsidP="00212D46">
            <w:pPr>
              <w:spacing w:after="0" w:line="240" w:lineRule="auto"/>
              <w:rPr>
                <w:sz w:val="20"/>
                <w:szCs w:val="20"/>
              </w:rPr>
            </w:pPr>
            <w:r w:rsidRPr="002C21B8">
              <w:rPr>
                <w:sz w:val="20"/>
                <w:szCs w:val="20"/>
              </w:rPr>
              <w:t>170</w:t>
            </w:r>
          </w:p>
        </w:tc>
        <w:tc>
          <w:tcPr>
            <w:tcW w:w="8504" w:type="dxa"/>
            <w:shd w:val="clear" w:color="auto" w:fill="auto"/>
            <w:vAlign w:val="bottom"/>
          </w:tcPr>
          <w:p w14:paraId="3C9B9B8E" w14:textId="77777777" w:rsidR="00FA366A" w:rsidRPr="002C21B8" w:rsidRDefault="00FA366A" w:rsidP="00212D46">
            <w:pPr>
              <w:spacing w:after="0" w:line="240" w:lineRule="auto"/>
              <w:rPr>
                <w:sz w:val="20"/>
                <w:szCs w:val="20"/>
              </w:rPr>
            </w:pPr>
            <w:r w:rsidRPr="002C21B8">
              <w:rPr>
                <w:sz w:val="20"/>
                <w:szCs w:val="20"/>
              </w:rPr>
              <w:t>rare diseases/</w:t>
            </w:r>
          </w:p>
        </w:tc>
      </w:tr>
      <w:tr w:rsidR="00FA366A" w:rsidRPr="002C21B8" w14:paraId="25C6ED40" w14:textId="77777777" w:rsidTr="00960A9F">
        <w:trPr>
          <w:trHeight w:val="320"/>
        </w:trPr>
        <w:tc>
          <w:tcPr>
            <w:tcW w:w="701" w:type="dxa"/>
            <w:shd w:val="clear" w:color="auto" w:fill="auto"/>
            <w:vAlign w:val="center"/>
          </w:tcPr>
          <w:p w14:paraId="25524845" w14:textId="77777777" w:rsidR="00FA366A" w:rsidRPr="002C21B8" w:rsidRDefault="00FA366A" w:rsidP="00212D46">
            <w:pPr>
              <w:spacing w:after="0" w:line="240" w:lineRule="auto"/>
              <w:rPr>
                <w:sz w:val="20"/>
                <w:szCs w:val="20"/>
              </w:rPr>
            </w:pPr>
            <w:r w:rsidRPr="002C21B8">
              <w:rPr>
                <w:sz w:val="20"/>
                <w:szCs w:val="20"/>
              </w:rPr>
              <w:t>171</w:t>
            </w:r>
          </w:p>
        </w:tc>
        <w:tc>
          <w:tcPr>
            <w:tcW w:w="8504" w:type="dxa"/>
            <w:shd w:val="clear" w:color="auto" w:fill="auto"/>
            <w:vAlign w:val="bottom"/>
          </w:tcPr>
          <w:p w14:paraId="60AB46C5" w14:textId="77777777" w:rsidR="00FA366A" w:rsidRPr="002C21B8" w:rsidRDefault="00FA366A" w:rsidP="00212D46">
            <w:pPr>
              <w:spacing w:after="0" w:line="240" w:lineRule="auto"/>
              <w:rPr>
                <w:sz w:val="20"/>
                <w:szCs w:val="20"/>
              </w:rPr>
            </w:pPr>
            <w:r w:rsidRPr="002C21B8">
              <w:rPr>
                <w:sz w:val="20"/>
                <w:szCs w:val="20"/>
              </w:rPr>
              <w:t>(rare dis* or rare diagnos* or orphan dis*).ti,ab.</w:t>
            </w:r>
          </w:p>
        </w:tc>
      </w:tr>
      <w:tr w:rsidR="00FA366A" w:rsidRPr="002C21B8" w14:paraId="09F1A4D0" w14:textId="77777777" w:rsidTr="00960A9F">
        <w:trPr>
          <w:trHeight w:val="320"/>
        </w:trPr>
        <w:tc>
          <w:tcPr>
            <w:tcW w:w="701" w:type="dxa"/>
            <w:shd w:val="clear" w:color="auto" w:fill="auto"/>
            <w:vAlign w:val="center"/>
          </w:tcPr>
          <w:p w14:paraId="5B88897D" w14:textId="77777777" w:rsidR="00FA366A" w:rsidRPr="002C21B8" w:rsidRDefault="00FA366A" w:rsidP="00212D46">
            <w:pPr>
              <w:spacing w:after="0" w:line="240" w:lineRule="auto"/>
              <w:rPr>
                <w:sz w:val="20"/>
                <w:szCs w:val="20"/>
              </w:rPr>
            </w:pPr>
            <w:r w:rsidRPr="002C21B8">
              <w:rPr>
                <w:sz w:val="20"/>
                <w:szCs w:val="20"/>
              </w:rPr>
              <w:t>172</w:t>
            </w:r>
          </w:p>
        </w:tc>
        <w:tc>
          <w:tcPr>
            <w:tcW w:w="8504" w:type="dxa"/>
            <w:shd w:val="clear" w:color="auto" w:fill="auto"/>
            <w:vAlign w:val="bottom"/>
          </w:tcPr>
          <w:p w14:paraId="200F6710" w14:textId="77777777" w:rsidR="00FA366A" w:rsidRPr="002C21B8" w:rsidRDefault="00FA366A" w:rsidP="00212D46">
            <w:pPr>
              <w:spacing w:after="0" w:line="240" w:lineRule="auto"/>
              <w:rPr>
                <w:sz w:val="20"/>
                <w:szCs w:val="20"/>
              </w:rPr>
            </w:pPr>
            <w:r w:rsidRPr="002C21B8">
              <w:rPr>
                <w:sz w:val="20"/>
                <w:szCs w:val="20"/>
              </w:rPr>
              <w:t>exp sarcoidosis/</w:t>
            </w:r>
          </w:p>
        </w:tc>
      </w:tr>
      <w:tr w:rsidR="00FA366A" w:rsidRPr="002C21B8" w14:paraId="4F9C990C" w14:textId="77777777" w:rsidTr="00960A9F">
        <w:trPr>
          <w:trHeight w:val="320"/>
        </w:trPr>
        <w:tc>
          <w:tcPr>
            <w:tcW w:w="701" w:type="dxa"/>
            <w:shd w:val="clear" w:color="auto" w:fill="auto"/>
            <w:vAlign w:val="center"/>
          </w:tcPr>
          <w:p w14:paraId="164C646E" w14:textId="77777777" w:rsidR="00FA366A" w:rsidRPr="002C21B8" w:rsidRDefault="00FA366A" w:rsidP="00212D46">
            <w:pPr>
              <w:spacing w:after="0" w:line="240" w:lineRule="auto"/>
              <w:rPr>
                <w:sz w:val="20"/>
                <w:szCs w:val="20"/>
              </w:rPr>
            </w:pPr>
            <w:r w:rsidRPr="002C21B8">
              <w:rPr>
                <w:sz w:val="20"/>
                <w:szCs w:val="20"/>
              </w:rPr>
              <w:t>173</w:t>
            </w:r>
          </w:p>
        </w:tc>
        <w:tc>
          <w:tcPr>
            <w:tcW w:w="8504" w:type="dxa"/>
            <w:shd w:val="clear" w:color="auto" w:fill="auto"/>
            <w:vAlign w:val="bottom"/>
          </w:tcPr>
          <w:p w14:paraId="0BB59187" w14:textId="77777777" w:rsidR="00FA366A" w:rsidRPr="002C21B8" w:rsidRDefault="00FA366A" w:rsidP="00212D46">
            <w:pPr>
              <w:spacing w:after="0" w:line="240" w:lineRule="auto"/>
              <w:rPr>
                <w:sz w:val="20"/>
                <w:szCs w:val="20"/>
              </w:rPr>
            </w:pPr>
            <w:r w:rsidRPr="002C21B8">
              <w:rPr>
                <w:sz w:val="20"/>
                <w:szCs w:val="20"/>
              </w:rPr>
              <w:t>(sarcoid or sarcoidosis).ti,ab.</w:t>
            </w:r>
          </w:p>
        </w:tc>
      </w:tr>
      <w:tr w:rsidR="00FA366A" w:rsidRPr="002C21B8" w14:paraId="3B84D682" w14:textId="77777777" w:rsidTr="00960A9F">
        <w:trPr>
          <w:trHeight w:val="320"/>
        </w:trPr>
        <w:tc>
          <w:tcPr>
            <w:tcW w:w="701" w:type="dxa"/>
            <w:shd w:val="clear" w:color="auto" w:fill="auto"/>
            <w:vAlign w:val="center"/>
          </w:tcPr>
          <w:p w14:paraId="45A83342" w14:textId="77777777" w:rsidR="00FA366A" w:rsidRPr="002C21B8" w:rsidRDefault="00FA366A" w:rsidP="00212D46">
            <w:pPr>
              <w:spacing w:after="0" w:line="240" w:lineRule="auto"/>
              <w:rPr>
                <w:sz w:val="20"/>
                <w:szCs w:val="20"/>
              </w:rPr>
            </w:pPr>
            <w:r w:rsidRPr="002C21B8">
              <w:rPr>
                <w:sz w:val="20"/>
                <w:szCs w:val="20"/>
              </w:rPr>
              <w:t>174</w:t>
            </w:r>
          </w:p>
        </w:tc>
        <w:tc>
          <w:tcPr>
            <w:tcW w:w="8504" w:type="dxa"/>
            <w:shd w:val="clear" w:color="auto" w:fill="auto"/>
            <w:vAlign w:val="bottom"/>
          </w:tcPr>
          <w:p w14:paraId="60C332E8" w14:textId="77777777" w:rsidR="00FA366A" w:rsidRPr="002C21B8" w:rsidRDefault="00FA366A" w:rsidP="00212D46">
            <w:pPr>
              <w:spacing w:after="0" w:line="240" w:lineRule="auto"/>
              <w:rPr>
                <w:sz w:val="20"/>
                <w:szCs w:val="20"/>
              </w:rPr>
            </w:pPr>
            <w:r w:rsidRPr="002C21B8">
              <w:rPr>
                <w:sz w:val="20"/>
                <w:szCs w:val="20"/>
              </w:rPr>
              <w:t>exp deafness/</w:t>
            </w:r>
          </w:p>
        </w:tc>
      </w:tr>
      <w:tr w:rsidR="00FA366A" w:rsidRPr="002C21B8" w14:paraId="1AE68337" w14:textId="77777777" w:rsidTr="00960A9F">
        <w:trPr>
          <w:trHeight w:val="320"/>
        </w:trPr>
        <w:tc>
          <w:tcPr>
            <w:tcW w:w="701" w:type="dxa"/>
            <w:shd w:val="clear" w:color="auto" w:fill="auto"/>
            <w:vAlign w:val="center"/>
          </w:tcPr>
          <w:p w14:paraId="7226061A" w14:textId="77777777" w:rsidR="00FA366A" w:rsidRPr="002C21B8" w:rsidRDefault="00FA366A" w:rsidP="00212D46">
            <w:pPr>
              <w:spacing w:after="0" w:line="240" w:lineRule="auto"/>
              <w:rPr>
                <w:sz w:val="20"/>
                <w:szCs w:val="20"/>
              </w:rPr>
            </w:pPr>
            <w:r w:rsidRPr="002C21B8">
              <w:rPr>
                <w:sz w:val="20"/>
                <w:szCs w:val="20"/>
              </w:rPr>
              <w:t>175</w:t>
            </w:r>
          </w:p>
        </w:tc>
        <w:tc>
          <w:tcPr>
            <w:tcW w:w="8504" w:type="dxa"/>
            <w:shd w:val="clear" w:color="auto" w:fill="auto"/>
            <w:vAlign w:val="bottom"/>
          </w:tcPr>
          <w:p w14:paraId="37C4FB39" w14:textId="77777777" w:rsidR="00FA366A" w:rsidRPr="002C21B8" w:rsidRDefault="00FA366A" w:rsidP="00212D46">
            <w:pPr>
              <w:spacing w:after="0" w:line="240" w:lineRule="auto"/>
              <w:rPr>
                <w:sz w:val="20"/>
                <w:szCs w:val="20"/>
              </w:rPr>
            </w:pPr>
            <w:r w:rsidRPr="002C21B8">
              <w:rPr>
                <w:sz w:val="20"/>
                <w:szCs w:val="20"/>
              </w:rPr>
              <w:t>exp blindness/</w:t>
            </w:r>
          </w:p>
        </w:tc>
      </w:tr>
      <w:tr w:rsidR="00FA366A" w:rsidRPr="002C21B8" w14:paraId="5D5B3121" w14:textId="77777777" w:rsidTr="00960A9F">
        <w:trPr>
          <w:trHeight w:val="320"/>
        </w:trPr>
        <w:tc>
          <w:tcPr>
            <w:tcW w:w="701" w:type="dxa"/>
            <w:shd w:val="clear" w:color="auto" w:fill="auto"/>
            <w:vAlign w:val="center"/>
          </w:tcPr>
          <w:p w14:paraId="18448FBA" w14:textId="77777777" w:rsidR="00FA366A" w:rsidRPr="002C21B8" w:rsidRDefault="00FA366A" w:rsidP="00212D46">
            <w:pPr>
              <w:spacing w:after="0" w:line="240" w:lineRule="auto"/>
              <w:rPr>
                <w:sz w:val="20"/>
                <w:szCs w:val="20"/>
              </w:rPr>
            </w:pPr>
            <w:r w:rsidRPr="002C21B8">
              <w:rPr>
                <w:sz w:val="20"/>
                <w:szCs w:val="20"/>
              </w:rPr>
              <w:t>176</w:t>
            </w:r>
          </w:p>
        </w:tc>
        <w:tc>
          <w:tcPr>
            <w:tcW w:w="8504" w:type="dxa"/>
            <w:shd w:val="clear" w:color="auto" w:fill="auto"/>
            <w:vAlign w:val="bottom"/>
          </w:tcPr>
          <w:p w14:paraId="194A95A2" w14:textId="77777777" w:rsidR="00FA366A" w:rsidRPr="002C21B8" w:rsidRDefault="00FA366A" w:rsidP="00212D46">
            <w:pPr>
              <w:spacing w:after="0" w:line="240" w:lineRule="auto"/>
              <w:rPr>
                <w:sz w:val="20"/>
                <w:szCs w:val="20"/>
              </w:rPr>
            </w:pPr>
            <w:r w:rsidRPr="002C21B8">
              <w:rPr>
                <w:sz w:val="20"/>
                <w:szCs w:val="20"/>
              </w:rPr>
              <w:t>visually impaired persons/</w:t>
            </w:r>
          </w:p>
        </w:tc>
      </w:tr>
      <w:tr w:rsidR="00FA366A" w:rsidRPr="002C21B8" w14:paraId="0C498F40" w14:textId="77777777" w:rsidTr="00960A9F">
        <w:trPr>
          <w:trHeight w:val="320"/>
        </w:trPr>
        <w:tc>
          <w:tcPr>
            <w:tcW w:w="701" w:type="dxa"/>
            <w:shd w:val="clear" w:color="auto" w:fill="auto"/>
            <w:vAlign w:val="center"/>
          </w:tcPr>
          <w:p w14:paraId="0E78B18F" w14:textId="77777777" w:rsidR="00FA366A" w:rsidRPr="002C21B8" w:rsidRDefault="00FA366A" w:rsidP="00212D46">
            <w:pPr>
              <w:spacing w:after="0" w:line="240" w:lineRule="auto"/>
              <w:rPr>
                <w:sz w:val="20"/>
                <w:szCs w:val="20"/>
              </w:rPr>
            </w:pPr>
            <w:r w:rsidRPr="002C21B8">
              <w:rPr>
                <w:sz w:val="20"/>
                <w:szCs w:val="20"/>
              </w:rPr>
              <w:t>177</w:t>
            </w:r>
          </w:p>
        </w:tc>
        <w:tc>
          <w:tcPr>
            <w:tcW w:w="8504" w:type="dxa"/>
            <w:shd w:val="clear" w:color="auto" w:fill="auto"/>
            <w:vAlign w:val="bottom"/>
          </w:tcPr>
          <w:p w14:paraId="47406403" w14:textId="77777777" w:rsidR="00FA366A" w:rsidRPr="002C21B8" w:rsidRDefault="00FA366A" w:rsidP="00212D46">
            <w:pPr>
              <w:spacing w:after="0" w:line="240" w:lineRule="auto"/>
              <w:rPr>
                <w:sz w:val="20"/>
                <w:szCs w:val="20"/>
              </w:rPr>
            </w:pPr>
            <w:r w:rsidRPr="002C21B8">
              <w:rPr>
                <w:sz w:val="20"/>
                <w:szCs w:val="20"/>
              </w:rPr>
              <w:t>(hearing loss or hearing aid* or deaf* or hearing impairment or hearing disorder).ti,ab.</w:t>
            </w:r>
          </w:p>
        </w:tc>
      </w:tr>
      <w:tr w:rsidR="00FA366A" w:rsidRPr="002C21B8" w14:paraId="5B276078" w14:textId="77777777" w:rsidTr="00960A9F">
        <w:trPr>
          <w:trHeight w:val="320"/>
        </w:trPr>
        <w:tc>
          <w:tcPr>
            <w:tcW w:w="701" w:type="dxa"/>
            <w:shd w:val="clear" w:color="auto" w:fill="auto"/>
            <w:vAlign w:val="center"/>
          </w:tcPr>
          <w:p w14:paraId="7D093AA6" w14:textId="77777777" w:rsidR="00FA366A" w:rsidRPr="002C21B8" w:rsidRDefault="00FA366A" w:rsidP="00212D46">
            <w:pPr>
              <w:spacing w:after="0" w:line="240" w:lineRule="auto"/>
              <w:rPr>
                <w:sz w:val="20"/>
                <w:szCs w:val="20"/>
              </w:rPr>
            </w:pPr>
            <w:r w:rsidRPr="002C21B8">
              <w:rPr>
                <w:sz w:val="20"/>
                <w:szCs w:val="20"/>
              </w:rPr>
              <w:t>178</w:t>
            </w:r>
          </w:p>
        </w:tc>
        <w:tc>
          <w:tcPr>
            <w:tcW w:w="8504" w:type="dxa"/>
            <w:shd w:val="clear" w:color="auto" w:fill="auto"/>
            <w:vAlign w:val="bottom"/>
          </w:tcPr>
          <w:p w14:paraId="661BFF8B" w14:textId="77777777" w:rsidR="00FA366A" w:rsidRPr="002C21B8" w:rsidRDefault="00FA366A" w:rsidP="00212D46">
            <w:pPr>
              <w:spacing w:after="0" w:line="240" w:lineRule="auto"/>
              <w:rPr>
                <w:sz w:val="20"/>
                <w:szCs w:val="20"/>
              </w:rPr>
            </w:pPr>
            <w:r w:rsidRPr="002C21B8">
              <w:rPr>
                <w:sz w:val="20"/>
                <w:szCs w:val="20"/>
              </w:rPr>
              <w:t>(visual impairment or visually impaired or visual disorder or vision impairment).ti,ab.</w:t>
            </w:r>
          </w:p>
        </w:tc>
      </w:tr>
      <w:tr w:rsidR="00FA366A" w:rsidRPr="002C21B8" w14:paraId="01964B3E" w14:textId="77777777" w:rsidTr="00960A9F">
        <w:trPr>
          <w:trHeight w:val="320"/>
        </w:trPr>
        <w:tc>
          <w:tcPr>
            <w:tcW w:w="701" w:type="dxa"/>
            <w:shd w:val="clear" w:color="auto" w:fill="auto"/>
            <w:vAlign w:val="center"/>
          </w:tcPr>
          <w:p w14:paraId="10ACC7CB" w14:textId="77777777" w:rsidR="00FA366A" w:rsidRPr="002C21B8" w:rsidRDefault="00FA366A" w:rsidP="00212D46">
            <w:pPr>
              <w:spacing w:after="0" w:line="240" w:lineRule="auto"/>
              <w:rPr>
                <w:sz w:val="20"/>
                <w:szCs w:val="20"/>
              </w:rPr>
            </w:pPr>
            <w:r w:rsidRPr="002C21B8">
              <w:rPr>
                <w:sz w:val="20"/>
                <w:szCs w:val="20"/>
              </w:rPr>
              <w:t>179</w:t>
            </w:r>
          </w:p>
        </w:tc>
        <w:tc>
          <w:tcPr>
            <w:tcW w:w="8504" w:type="dxa"/>
            <w:shd w:val="clear" w:color="auto" w:fill="auto"/>
            <w:vAlign w:val="bottom"/>
          </w:tcPr>
          <w:p w14:paraId="4F797550" w14:textId="77777777" w:rsidR="00FA366A" w:rsidRPr="002C21B8" w:rsidRDefault="00FA366A" w:rsidP="00212D46">
            <w:pPr>
              <w:spacing w:after="0" w:line="240" w:lineRule="auto"/>
              <w:rPr>
                <w:sz w:val="20"/>
                <w:szCs w:val="20"/>
              </w:rPr>
            </w:pPr>
            <w:r w:rsidRPr="002C21B8">
              <w:rPr>
                <w:sz w:val="20"/>
                <w:szCs w:val="20"/>
              </w:rPr>
              <w:t>exp anemia, sickle cell/</w:t>
            </w:r>
          </w:p>
        </w:tc>
      </w:tr>
      <w:tr w:rsidR="00FA366A" w:rsidRPr="002C21B8" w14:paraId="6CCD8462" w14:textId="77777777" w:rsidTr="00960A9F">
        <w:trPr>
          <w:trHeight w:val="320"/>
        </w:trPr>
        <w:tc>
          <w:tcPr>
            <w:tcW w:w="701" w:type="dxa"/>
            <w:shd w:val="clear" w:color="auto" w:fill="auto"/>
            <w:vAlign w:val="center"/>
          </w:tcPr>
          <w:p w14:paraId="7DD14071" w14:textId="77777777" w:rsidR="00FA366A" w:rsidRPr="002C21B8" w:rsidRDefault="00FA366A" w:rsidP="00212D46">
            <w:pPr>
              <w:spacing w:after="0" w:line="240" w:lineRule="auto"/>
              <w:rPr>
                <w:sz w:val="20"/>
                <w:szCs w:val="20"/>
              </w:rPr>
            </w:pPr>
            <w:r w:rsidRPr="002C21B8">
              <w:rPr>
                <w:sz w:val="20"/>
                <w:szCs w:val="20"/>
              </w:rPr>
              <w:t>180</w:t>
            </w:r>
          </w:p>
        </w:tc>
        <w:tc>
          <w:tcPr>
            <w:tcW w:w="8504" w:type="dxa"/>
            <w:shd w:val="clear" w:color="auto" w:fill="auto"/>
            <w:vAlign w:val="bottom"/>
          </w:tcPr>
          <w:p w14:paraId="5FA234B9" w14:textId="77777777" w:rsidR="00FA366A" w:rsidRPr="002C21B8" w:rsidRDefault="00FA366A" w:rsidP="00212D46">
            <w:pPr>
              <w:spacing w:after="0" w:line="240" w:lineRule="auto"/>
              <w:rPr>
                <w:sz w:val="20"/>
                <w:szCs w:val="20"/>
              </w:rPr>
            </w:pPr>
            <w:r w:rsidRPr="002C21B8">
              <w:rPr>
                <w:sz w:val="20"/>
                <w:szCs w:val="20"/>
              </w:rPr>
              <w:t>(((h?emoglobin s disease or hbs disease or sickling disorder) and h?emoglobin s) or ((sickle cell adj (disease* or an?emia or disorder*)) or SCD)).ti,ab.</w:t>
            </w:r>
          </w:p>
        </w:tc>
      </w:tr>
      <w:tr w:rsidR="00FA366A" w:rsidRPr="002C21B8" w14:paraId="7525B2ED" w14:textId="77777777" w:rsidTr="00960A9F">
        <w:trPr>
          <w:trHeight w:val="320"/>
        </w:trPr>
        <w:tc>
          <w:tcPr>
            <w:tcW w:w="701" w:type="dxa"/>
            <w:shd w:val="clear" w:color="auto" w:fill="auto"/>
            <w:vAlign w:val="center"/>
          </w:tcPr>
          <w:p w14:paraId="235C8203" w14:textId="77777777" w:rsidR="00FA366A" w:rsidRPr="002C21B8" w:rsidRDefault="00FA366A" w:rsidP="00212D46">
            <w:pPr>
              <w:spacing w:after="0" w:line="240" w:lineRule="auto"/>
              <w:rPr>
                <w:sz w:val="20"/>
                <w:szCs w:val="20"/>
              </w:rPr>
            </w:pPr>
            <w:r w:rsidRPr="002C21B8">
              <w:rPr>
                <w:sz w:val="20"/>
                <w:szCs w:val="20"/>
              </w:rPr>
              <w:t>181</w:t>
            </w:r>
          </w:p>
        </w:tc>
        <w:tc>
          <w:tcPr>
            <w:tcW w:w="8504" w:type="dxa"/>
            <w:shd w:val="clear" w:color="auto" w:fill="auto"/>
            <w:vAlign w:val="bottom"/>
          </w:tcPr>
          <w:p w14:paraId="2EF481D6" w14:textId="77777777" w:rsidR="00FA366A" w:rsidRPr="002C21B8" w:rsidRDefault="00FA366A" w:rsidP="00212D46">
            <w:pPr>
              <w:spacing w:after="0" w:line="240" w:lineRule="auto"/>
              <w:rPr>
                <w:sz w:val="20"/>
                <w:szCs w:val="20"/>
              </w:rPr>
            </w:pPr>
            <w:r w:rsidRPr="002C21B8">
              <w:rPr>
                <w:sz w:val="20"/>
                <w:szCs w:val="20"/>
              </w:rPr>
              <w:t>exp skin diseases/</w:t>
            </w:r>
          </w:p>
        </w:tc>
      </w:tr>
      <w:tr w:rsidR="00FA366A" w:rsidRPr="002C21B8" w14:paraId="3A49E3C8" w14:textId="77777777" w:rsidTr="00960A9F">
        <w:trPr>
          <w:trHeight w:val="320"/>
        </w:trPr>
        <w:tc>
          <w:tcPr>
            <w:tcW w:w="701" w:type="dxa"/>
            <w:shd w:val="clear" w:color="auto" w:fill="auto"/>
            <w:vAlign w:val="center"/>
          </w:tcPr>
          <w:p w14:paraId="424E132D" w14:textId="77777777" w:rsidR="00FA366A" w:rsidRPr="002C21B8" w:rsidRDefault="00FA366A" w:rsidP="00212D46">
            <w:pPr>
              <w:spacing w:after="0" w:line="240" w:lineRule="auto"/>
              <w:rPr>
                <w:sz w:val="20"/>
                <w:szCs w:val="20"/>
              </w:rPr>
            </w:pPr>
            <w:r w:rsidRPr="002C21B8">
              <w:rPr>
                <w:sz w:val="20"/>
                <w:szCs w:val="20"/>
              </w:rPr>
              <w:t>182</w:t>
            </w:r>
          </w:p>
        </w:tc>
        <w:tc>
          <w:tcPr>
            <w:tcW w:w="8504" w:type="dxa"/>
            <w:shd w:val="clear" w:color="auto" w:fill="auto"/>
            <w:vAlign w:val="bottom"/>
          </w:tcPr>
          <w:p w14:paraId="48428089" w14:textId="77777777" w:rsidR="00FA366A" w:rsidRPr="002C21B8" w:rsidRDefault="00FA366A" w:rsidP="00212D46">
            <w:pPr>
              <w:spacing w:after="0" w:line="240" w:lineRule="auto"/>
              <w:rPr>
                <w:sz w:val="20"/>
                <w:szCs w:val="20"/>
              </w:rPr>
            </w:pPr>
            <w:r w:rsidRPr="002C21B8">
              <w:rPr>
                <w:sz w:val="20"/>
                <w:szCs w:val="20"/>
              </w:rPr>
              <w:t>exp dyssomnias/</w:t>
            </w:r>
          </w:p>
        </w:tc>
      </w:tr>
      <w:tr w:rsidR="00FA366A" w:rsidRPr="002C21B8" w14:paraId="55199987" w14:textId="77777777" w:rsidTr="00960A9F">
        <w:trPr>
          <w:trHeight w:val="320"/>
        </w:trPr>
        <w:tc>
          <w:tcPr>
            <w:tcW w:w="701" w:type="dxa"/>
            <w:shd w:val="clear" w:color="auto" w:fill="auto"/>
            <w:vAlign w:val="center"/>
          </w:tcPr>
          <w:p w14:paraId="3FB44B98" w14:textId="77777777" w:rsidR="00FA366A" w:rsidRPr="002C21B8" w:rsidRDefault="00FA366A" w:rsidP="00212D46">
            <w:pPr>
              <w:spacing w:after="0" w:line="240" w:lineRule="auto"/>
              <w:rPr>
                <w:sz w:val="20"/>
                <w:szCs w:val="20"/>
              </w:rPr>
            </w:pPr>
            <w:r w:rsidRPr="002C21B8">
              <w:rPr>
                <w:sz w:val="20"/>
                <w:szCs w:val="20"/>
              </w:rPr>
              <w:t>183</w:t>
            </w:r>
          </w:p>
        </w:tc>
        <w:tc>
          <w:tcPr>
            <w:tcW w:w="8504" w:type="dxa"/>
            <w:shd w:val="clear" w:color="auto" w:fill="auto"/>
            <w:vAlign w:val="bottom"/>
          </w:tcPr>
          <w:p w14:paraId="02C4DB31" w14:textId="77777777" w:rsidR="00FA366A" w:rsidRPr="002C21B8" w:rsidRDefault="00FA366A" w:rsidP="00212D46">
            <w:pPr>
              <w:spacing w:after="0" w:line="240" w:lineRule="auto"/>
              <w:rPr>
                <w:sz w:val="20"/>
                <w:szCs w:val="20"/>
              </w:rPr>
            </w:pPr>
            <w:r w:rsidRPr="002C21B8">
              <w:rPr>
                <w:sz w:val="20"/>
                <w:szCs w:val="20"/>
              </w:rPr>
              <w:t>(dyssomnia or sleep disorder*).ti,ab.</w:t>
            </w:r>
          </w:p>
        </w:tc>
      </w:tr>
      <w:tr w:rsidR="00FA366A" w:rsidRPr="002C21B8" w14:paraId="5F310D41" w14:textId="77777777" w:rsidTr="00960A9F">
        <w:trPr>
          <w:trHeight w:val="320"/>
        </w:trPr>
        <w:tc>
          <w:tcPr>
            <w:tcW w:w="701" w:type="dxa"/>
            <w:shd w:val="clear" w:color="auto" w:fill="auto"/>
            <w:vAlign w:val="center"/>
          </w:tcPr>
          <w:p w14:paraId="5223A8C2" w14:textId="77777777" w:rsidR="00FA366A" w:rsidRPr="002C21B8" w:rsidRDefault="00FA366A" w:rsidP="00212D46">
            <w:pPr>
              <w:spacing w:after="0" w:line="240" w:lineRule="auto"/>
              <w:rPr>
                <w:sz w:val="20"/>
                <w:szCs w:val="20"/>
              </w:rPr>
            </w:pPr>
            <w:r w:rsidRPr="002C21B8">
              <w:rPr>
                <w:sz w:val="20"/>
                <w:szCs w:val="20"/>
              </w:rPr>
              <w:t>184</w:t>
            </w:r>
          </w:p>
        </w:tc>
        <w:tc>
          <w:tcPr>
            <w:tcW w:w="8504" w:type="dxa"/>
            <w:shd w:val="clear" w:color="auto" w:fill="auto"/>
            <w:vAlign w:val="bottom"/>
          </w:tcPr>
          <w:p w14:paraId="3D0E0DB7" w14:textId="77777777" w:rsidR="00FA366A" w:rsidRPr="002C21B8" w:rsidRDefault="00FA366A" w:rsidP="00212D46">
            <w:pPr>
              <w:spacing w:after="0" w:line="240" w:lineRule="auto"/>
              <w:rPr>
                <w:sz w:val="20"/>
                <w:szCs w:val="20"/>
              </w:rPr>
            </w:pPr>
            <w:r w:rsidRPr="002C21B8">
              <w:rPr>
                <w:sz w:val="20"/>
                <w:szCs w:val="20"/>
              </w:rPr>
              <w:t>exp speech disorders/</w:t>
            </w:r>
          </w:p>
        </w:tc>
      </w:tr>
      <w:tr w:rsidR="00FA366A" w:rsidRPr="002C21B8" w14:paraId="27A28DFE" w14:textId="77777777" w:rsidTr="00960A9F">
        <w:trPr>
          <w:trHeight w:val="320"/>
        </w:trPr>
        <w:tc>
          <w:tcPr>
            <w:tcW w:w="701" w:type="dxa"/>
            <w:shd w:val="clear" w:color="auto" w:fill="auto"/>
            <w:vAlign w:val="center"/>
          </w:tcPr>
          <w:p w14:paraId="77D66667" w14:textId="77777777" w:rsidR="00FA366A" w:rsidRPr="002C21B8" w:rsidRDefault="00FA366A" w:rsidP="00212D46">
            <w:pPr>
              <w:spacing w:after="0" w:line="240" w:lineRule="auto"/>
              <w:rPr>
                <w:sz w:val="20"/>
                <w:szCs w:val="20"/>
              </w:rPr>
            </w:pPr>
            <w:r w:rsidRPr="002C21B8">
              <w:rPr>
                <w:sz w:val="20"/>
                <w:szCs w:val="20"/>
              </w:rPr>
              <w:t>185</w:t>
            </w:r>
          </w:p>
        </w:tc>
        <w:tc>
          <w:tcPr>
            <w:tcW w:w="8504" w:type="dxa"/>
            <w:shd w:val="clear" w:color="auto" w:fill="auto"/>
            <w:vAlign w:val="bottom"/>
          </w:tcPr>
          <w:p w14:paraId="77237DEB" w14:textId="77777777" w:rsidR="00FA366A" w:rsidRPr="002C21B8" w:rsidRDefault="00FA366A" w:rsidP="00212D46">
            <w:pPr>
              <w:spacing w:after="0" w:line="240" w:lineRule="auto"/>
              <w:rPr>
                <w:sz w:val="20"/>
                <w:szCs w:val="20"/>
              </w:rPr>
            </w:pPr>
            <w:r w:rsidRPr="002C21B8">
              <w:rPr>
                <w:sz w:val="20"/>
                <w:szCs w:val="20"/>
              </w:rPr>
              <w:t>((communication or learning or consciousness or perceptual or speech or voice or psychomotor) adj disorder*).ti,ab.</w:t>
            </w:r>
          </w:p>
        </w:tc>
      </w:tr>
      <w:tr w:rsidR="00FA366A" w:rsidRPr="002C21B8" w14:paraId="234EEE14" w14:textId="77777777" w:rsidTr="00960A9F">
        <w:trPr>
          <w:trHeight w:val="320"/>
        </w:trPr>
        <w:tc>
          <w:tcPr>
            <w:tcW w:w="701" w:type="dxa"/>
            <w:shd w:val="clear" w:color="auto" w:fill="auto"/>
            <w:vAlign w:val="center"/>
          </w:tcPr>
          <w:p w14:paraId="222E1939" w14:textId="77777777" w:rsidR="00FA366A" w:rsidRPr="002C21B8" w:rsidRDefault="00FA366A" w:rsidP="00212D46">
            <w:pPr>
              <w:spacing w:after="0" w:line="240" w:lineRule="auto"/>
              <w:rPr>
                <w:sz w:val="20"/>
                <w:szCs w:val="20"/>
              </w:rPr>
            </w:pPr>
            <w:r w:rsidRPr="002C21B8">
              <w:rPr>
                <w:sz w:val="20"/>
                <w:szCs w:val="20"/>
              </w:rPr>
              <w:t>186</w:t>
            </w:r>
          </w:p>
        </w:tc>
        <w:tc>
          <w:tcPr>
            <w:tcW w:w="8504" w:type="dxa"/>
            <w:shd w:val="clear" w:color="auto" w:fill="auto"/>
            <w:vAlign w:val="bottom"/>
          </w:tcPr>
          <w:p w14:paraId="5D8A7247" w14:textId="77777777" w:rsidR="00FA366A" w:rsidRPr="002C21B8" w:rsidRDefault="00FA366A" w:rsidP="00212D46">
            <w:pPr>
              <w:spacing w:after="0" w:line="240" w:lineRule="auto"/>
              <w:rPr>
                <w:sz w:val="20"/>
                <w:szCs w:val="20"/>
              </w:rPr>
            </w:pPr>
            <w:r w:rsidRPr="002C21B8">
              <w:rPr>
                <w:sz w:val="20"/>
                <w:szCs w:val="20"/>
              </w:rPr>
              <w:t>spina bifida occulta/</w:t>
            </w:r>
          </w:p>
        </w:tc>
      </w:tr>
      <w:tr w:rsidR="00FA366A" w:rsidRPr="002C21B8" w14:paraId="49D74334" w14:textId="77777777" w:rsidTr="00960A9F">
        <w:trPr>
          <w:trHeight w:val="320"/>
        </w:trPr>
        <w:tc>
          <w:tcPr>
            <w:tcW w:w="701" w:type="dxa"/>
            <w:shd w:val="clear" w:color="auto" w:fill="auto"/>
            <w:vAlign w:val="center"/>
          </w:tcPr>
          <w:p w14:paraId="26103867" w14:textId="77777777" w:rsidR="00FA366A" w:rsidRPr="002C21B8" w:rsidRDefault="00FA366A" w:rsidP="00212D46">
            <w:pPr>
              <w:spacing w:after="0" w:line="240" w:lineRule="auto"/>
              <w:rPr>
                <w:sz w:val="20"/>
                <w:szCs w:val="20"/>
              </w:rPr>
            </w:pPr>
            <w:r w:rsidRPr="002C21B8">
              <w:rPr>
                <w:sz w:val="20"/>
                <w:szCs w:val="20"/>
              </w:rPr>
              <w:t>187</w:t>
            </w:r>
          </w:p>
        </w:tc>
        <w:tc>
          <w:tcPr>
            <w:tcW w:w="8504" w:type="dxa"/>
            <w:shd w:val="clear" w:color="auto" w:fill="auto"/>
            <w:vAlign w:val="bottom"/>
          </w:tcPr>
          <w:p w14:paraId="575097AA" w14:textId="77777777" w:rsidR="00FA366A" w:rsidRPr="002C21B8" w:rsidRDefault="00FA366A" w:rsidP="00212D46">
            <w:pPr>
              <w:spacing w:after="0" w:line="240" w:lineRule="auto"/>
              <w:rPr>
                <w:sz w:val="20"/>
                <w:szCs w:val="20"/>
                <w:lang w:val="it-IT"/>
              </w:rPr>
            </w:pPr>
            <w:r w:rsidRPr="002C21B8">
              <w:rPr>
                <w:sz w:val="20"/>
                <w:szCs w:val="20"/>
                <w:lang w:val="it-IT"/>
              </w:rPr>
              <w:t>(spina bifida or myelomeningocele).ti,ab.</w:t>
            </w:r>
          </w:p>
        </w:tc>
      </w:tr>
      <w:tr w:rsidR="00FA366A" w:rsidRPr="002C21B8" w14:paraId="02DDD45A" w14:textId="77777777" w:rsidTr="00960A9F">
        <w:trPr>
          <w:trHeight w:val="320"/>
        </w:trPr>
        <w:tc>
          <w:tcPr>
            <w:tcW w:w="701" w:type="dxa"/>
            <w:shd w:val="clear" w:color="auto" w:fill="auto"/>
            <w:vAlign w:val="center"/>
          </w:tcPr>
          <w:p w14:paraId="6239F1B0" w14:textId="77777777" w:rsidR="00FA366A" w:rsidRPr="002C21B8" w:rsidRDefault="00FA366A" w:rsidP="00212D46">
            <w:pPr>
              <w:spacing w:after="0" w:line="240" w:lineRule="auto"/>
              <w:rPr>
                <w:sz w:val="20"/>
                <w:szCs w:val="20"/>
              </w:rPr>
            </w:pPr>
            <w:r w:rsidRPr="002C21B8">
              <w:rPr>
                <w:sz w:val="20"/>
                <w:szCs w:val="20"/>
              </w:rPr>
              <w:t>188</w:t>
            </w:r>
          </w:p>
        </w:tc>
        <w:tc>
          <w:tcPr>
            <w:tcW w:w="8504" w:type="dxa"/>
            <w:shd w:val="clear" w:color="auto" w:fill="auto"/>
            <w:vAlign w:val="bottom"/>
          </w:tcPr>
          <w:p w14:paraId="63F9D7EF" w14:textId="77777777" w:rsidR="00FA366A" w:rsidRPr="002C21B8" w:rsidRDefault="00FA366A" w:rsidP="00212D46">
            <w:pPr>
              <w:spacing w:after="0" w:line="240" w:lineRule="auto"/>
              <w:rPr>
                <w:sz w:val="20"/>
                <w:szCs w:val="20"/>
              </w:rPr>
            </w:pPr>
            <w:r w:rsidRPr="002C21B8">
              <w:rPr>
                <w:sz w:val="20"/>
                <w:szCs w:val="20"/>
              </w:rPr>
              <w:t>exp spinal injuries/</w:t>
            </w:r>
          </w:p>
        </w:tc>
      </w:tr>
      <w:tr w:rsidR="00FA366A" w:rsidRPr="002C21B8" w14:paraId="107A66AB" w14:textId="77777777" w:rsidTr="00960A9F">
        <w:trPr>
          <w:trHeight w:val="320"/>
        </w:trPr>
        <w:tc>
          <w:tcPr>
            <w:tcW w:w="701" w:type="dxa"/>
            <w:shd w:val="clear" w:color="auto" w:fill="auto"/>
            <w:vAlign w:val="center"/>
          </w:tcPr>
          <w:p w14:paraId="13284316" w14:textId="77777777" w:rsidR="00FA366A" w:rsidRPr="002C21B8" w:rsidRDefault="00FA366A" w:rsidP="00212D46">
            <w:pPr>
              <w:spacing w:after="0" w:line="240" w:lineRule="auto"/>
              <w:rPr>
                <w:sz w:val="20"/>
                <w:szCs w:val="20"/>
              </w:rPr>
            </w:pPr>
            <w:r w:rsidRPr="002C21B8">
              <w:rPr>
                <w:sz w:val="20"/>
                <w:szCs w:val="20"/>
              </w:rPr>
              <w:t>189</w:t>
            </w:r>
          </w:p>
        </w:tc>
        <w:tc>
          <w:tcPr>
            <w:tcW w:w="8504" w:type="dxa"/>
            <w:shd w:val="clear" w:color="auto" w:fill="auto"/>
            <w:vAlign w:val="bottom"/>
          </w:tcPr>
          <w:p w14:paraId="0AA253ED" w14:textId="77777777" w:rsidR="00FA366A" w:rsidRPr="002C21B8" w:rsidRDefault="00FA366A" w:rsidP="00212D46">
            <w:pPr>
              <w:spacing w:after="0" w:line="240" w:lineRule="auto"/>
              <w:rPr>
                <w:sz w:val="20"/>
                <w:szCs w:val="20"/>
              </w:rPr>
            </w:pPr>
            <w:r w:rsidRPr="002C21B8">
              <w:rPr>
                <w:sz w:val="20"/>
                <w:szCs w:val="20"/>
              </w:rPr>
              <w:t>((spine or spinal or vertebr* or neck or cervical or lumbar or sacral or thoracic or cord or whiplash) adj2 (injur* or damag* or trauma* or fracture* or compress* or contus* or lacerat* or transect* or lesion*)).ti,ab.</w:t>
            </w:r>
          </w:p>
        </w:tc>
      </w:tr>
      <w:tr w:rsidR="00FA366A" w:rsidRPr="002C21B8" w14:paraId="7DCEC25E" w14:textId="77777777" w:rsidTr="00960A9F">
        <w:trPr>
          <w:trHeight w:val="320"/>
        </w:trPr>
        <w:tc>
          <w:tcPr>
            <w:tcW w:w="701" w:type="dxa"/>
            <w:shd w:val="clear" w:color="auto" w:fill="auto"/>
            <w:vAlign w:val="center"/>
          </w:tcPr>
          <w:p w14:paraId="42C1711B" w14:textId="77777777" w:rsidR="00FA366A" w:rsidRPr="002C21B8" w:rsidRDefault="00FA366A" w:rsidP="00212D46">
            <w:pPr>
              <w:spacing w:after="0" w:line="240" w:lineRule="auto"/>
              <w:rPr>
                <w:sz w:val="20"/>
                <w:szCs w:val="20"/>
              </w:rPr>
            </w:pPr>
            <w:r w:rsidRPr="002C21B8">
              <w:rPr>
                <w:sz w:val="20"/>
                <w:szCs w:val="20"/>
              </w:rPr>
              <w:t>190</w:t>
            </w:r>
          </w:p>
        </w:tc>
        <w:tc>
          <w:tcPr>
            <w:tcW w:w="8504" w:type="dxa"/>
            <w:shd w:val="clear" w:color="auto" w:fill="auto"/>
            <w:vAlign w:val="bottom"/>
          </w:tcPr>
          <w:p w14:paraId="121D017D" w14:textId="77777777" w:rsidR="00FA366A" w:rsidRPr="002C21B8" w:rsidRDefault="00FA366A" w:rsidP="00212D46">
            <w:pPr>
              <w:spacing w:after="0" w:line="240" w:lineRule="auto"/>
              <w:rPr>
                <w:sz w:val="20"/>
                <w:szCs w:val="20"/>
              </w:rPr>
            </w:pPr>
            <w:r w:rsidRPr="002C21B8">
              <w:rPr>
                <w:sz w:val="20"/>
                <w:szCs w:val="20"/>
              </w:rPr>
              <w:t>exp tuberculosis/</w:t>
            </w:r>
          </w:p>
        </w:tc>
      </w:tr>
      <w:tr w:rsidR="00FA366A" w:rsidRPr="002C21B8" w14:paraId="67C0A527" w14:textId="77777777" w:rsidTr="00960A9F">
        <w:trPr>
          <w:trHeight w:val="320"/>
        </w:trPr>
        <w:tc>
          <w:tcPr>
            <w:tcW w:w="701" w:type="dxa"/>
            <w:shd w:val="clear" w:color="auto" w:fill="auto"/>
            <w:vAlign w:val="center"/>
          </w:tcPr>
          <w:p w14:paraId="00038591" w14:textId="77777777" w:rsidR="00FA366A" w:rsidRPr="002C21B8" w:rsidRDefault="00FA366A" w:rsidP="00212D46">
            <w:pPr>
              <w:spacing w:after="0" w:line="240" w:lineRule="auto"/>
              <w:rPr>
                <w:sz w:val="20"/>
                <w:szCs w:val="20"/>
              </w:rPr>
            </w:pPr>
            <w:r w:rsidRPr="002C21B8">
              <w:rPr>
                <w:sz w:val="20"/>
                <w:szCs w:val="20"/>
              </w:rPr>
              <w:t>191</w:t>
            </w:r>
          </w:p>
        </w:tc>
        <w:tc>
          <w:tcPr>
            <w:tcW w:w="8504" w:type="dxa"/>
            <w:shd w:val="clear" w:color="auto" w:fill="auto"/>
            <w:vAlign w:val="bottom"/>
          </w:tcPr>
          <w:p w14:paraId="2227B111" w14:textId="77777777" w:rsidR="00FA366A" w:rsidRPr="002C21B8" w:rsidRDefault="00FA366A" w:rsidP="00212D46">
            <w:pPr>
              <w:spacing w:after="0" w:line="240" w:lineRule="auto"/>
              <w:rPr>
                <w:sz w:val="20"/>
                <w:szCs w:val="20"/>
                <w:lang w:val="pt-PT"/>
              </w:rPr>
            </w:pPr>
            <w:r w:rsidRPr="002C21B8">
              <w:rPr>
                <w:sz w:val="20"/>
                <w:szCs w:val="20"/>
                <w:lang w:val="pt-PT"/>
              </w:rPr>
              <w:t>(tuberculosis or TB).ti,ab.</w:t>
            </w:r>
          </w:p>
        </w:tc>
      </w:tr>
      <w:tr w:rsidR="00FA366A" w:rsidRPr="002C21B8" w14:paraId="3CB2A5EE" w14:textId="77777777" w:rsidTr="00960A9F">
        <w:trPr>
          <w:trHeight w:val="320"/>
        </w:trPr>
        <w:tc>
          <w:tcPr>
            <w:tcW w:w="701" w:type="dxa"/>
            <w:shd w:val="clear" w:color="auto" w:fill="auto"/>
            <w:vAlign w:val="center"/>
          </w:tcPr>
          <w:p w14:paraId="648CB7DF" w14:textId="77777777" w:rsidR="00FA366A" w:rsidRPr="002C21B8" w:rsidRDefault="00FA366A" w:rsidP="00212D46">
            <w:pPr>
              <w:spacing w:after="0" w:line="240" w:lineRule="auto"/>
              <w:rPr>
                <w:sz w:val="20"/>
                <w:szCs w:val="20"/>
              </w:rPr>
            </w:pPr>
            <w:r w:rsidRPr="002C21B8">
              <w:rPr>
                <w:sz w:val="20"/>
                <w:szCs w:val="20"/>
              </w:rPr>
              <w:t>192</w:t>
            </w:r>
          </w:p>
        </w:tc>
        <w:tc>
          <w:tcPr>
            <w:tcW w:w="8504" w:type="dxa"/>
            <w:shd w:val="clear" w:color="auto" w:fill="auto"/>
            <w:vAlign w:val="bottom"/>
          </w:tcPr>
          <w:p w14:paraId="0576E16C" w14:textId="77777777" w:rsidR="00FA366A" w:rsidRPr="002C21B8" w:rsidRDefault="00FA366A" w:rsidP="00212D46">
            <w:pPr>
              <w:spacing w:after="0" w:line="240" w:lineRule="auto"/>
              <w:rPr>
                <w:sz w:val="20"/>
                <w:szCs w:val="20"/>
              </w:rPr>
            </w:pPr>
            <w:r w:rsidRPr="002C21B8">
              <w:rPr>
                <w:sz w:val="20"/>
                <w:szCs w:val="20"/>
              </w:rPr>
              <w:t>exp urinary incontinence/</w:t>
            </w:r>
          </w:p>
        </w:tc>
      </w:tr>
      <w:tr w:rsidR="00FA366A" w:rsidRPr="002C21B8" w14:paraId="4F308AFC" w14:textId="77777777" w:rsidTr="00960A9F">
        <w:trPr>
          <w:trHeight w:val="320"/>
        </w:trPr>
        <w:tc>
          <w:tcPr>
            <w:tcW w:w="701" w:type="dxa"/>
            <w:shd w:val="clear" w:color="auto" w:fill="auto"/>
            <w:vAlign w:val="center"/>
          </w:tcPr>
          <w:p w14:paraId="2C94700E" w14:textId="77777777" w:rsidR="00FA366A" w:rsidRPr="002C21B8" w:rsidRDefault="00FA366A" w:rsidP="00212D46">
            <w:pPr>
              <w:spacing w:after="0" w:line="240" w:lineRule="auto"/>
              <w:rPr>
                <w:sz w:val="20"/>
                <w:szCs w:val="20"/>
              </w:rPr>
            </w:pPr>
            <w:r w:rsidRPr="002C21B8">
              <w:rPr>
                <w:sz w:val="20"/>
                <w:szCs w:val="20"/>
              </w:rPr>
              <w:t>193</w:t>
            </w:r>
          </w:p>
        </w:tc>
        <w:tc>
          <w:tcPr>
            <w:tcW w:w="8504" w:type="dxa"/>
            <w:shd w:val="clear" w:color="auto" w:fill="auto"/>
            <w:vAlign w:val="bottom"/>
          </w:tcPr>
          <w:p w14:paraId="559BA5B2" w14:textId="77777777" w:rsidR="00FA366A" w:rsidRPr="002C21B8" w:rsidRDefault="00FA366A" w:rsidP="00212D46">
            <w:pPr>
              <w:spacing w:after="0" w:line="240" w:lineRule="auto"/>
              <w:rPr>
                <w:sz w:val="20"/>
                <w:szCs w:val="20"/>
              </w:rPr>
            </w:pPr>
            <w:r w:rsidRPr="002C21B8">
              <w:rPr>
                <w:sz w:val="20"/>
                <w:szCs w:val="20"/>
              </w:rPr>
              <w:t>urinary bladder, overactive/</w:t>
            </w:r>
          </w:p>
        </w:tc>
      </w:tr>
      <w:tr w:rsidR="00FA366A" w:rsidRPr="002C21B8" w14:paraId="2450CDD7" w14:textId="77777777" w:rsidTr="00960A9F">
        <w:trPr>
          <w:trHeight w:val="320"/>
        </w:trPr>
        <w:tc>
          <w:tcPr>
            <w:tcW w:w="701" w:type="dxa"/>
            <w:shd w:val="clear" w:color="auto" w:fill="auto"/>
            <w:vAlign w:val="center"/>
          </w:tcPr>
          <w:p w14:paraId="1450BFEA" w14:textId="77777777" w:rsidR="00FA366A" w:rsidRPr="002C21B8" w:rsidRDefault="00FA366A" w:rsidP="00212D46">
            <w:pPr>
              <w:spacing w:after="0" w:line="240" w:lineRule="auto"/>
              <w:rPr>
                <w:sz w:val="20"/>
                <w:szCs w:val="20"/>
              </w:rPr>
            </w:pPr>
            <w:r w:rsidRPr="002C21B8">
              <w:rPr>
                <w:sz w:val="20"/>
                <w:szCs w:val="20"/>
              </w:rPr>
              <w:t>194</w:t>
            </w:r>
          </w:p>
        </w:tc>
        <w:tc>
          <w:tcPr>
            <w:tcW w:w="8504" w:type="dxa"/>
            <w:shd w:val="clear" w:color="auto" w:fill="auto"/>
            <w:vAlign w:val="bottom"/>
          </w:tcPr>
          <w:p w14:paraId="78DF29BA" w14:textId="77777777" w:rsidR="00FA366A" w:rsidRPr="002C21B8" w:rsidRDefault="00FA366A" w:rsidP="00212D46">
            <w:pPr>
              <w:spacing w:after="0" w:line="240" w:lineRule="auto"/>
              <w:rPr>
                <w:sz w:val="20"/>
                <w:szCs w:val="20"/>
              </w:rPr>
            </w:pPr>
            <w:r w:rsidRPr="002C21B8">
              <w:rPr>
                <w:sz w:val="20"/>
                <w:szCs w:val="20"/>
              </w:rPr>
              <w:t>(bladder* adj3 (overactiv* or incontin* or continence)).ti,ab.</w:t>
            </w:r>
          </w:p>
        </w:tc>
      </w:tr>
      <w:tr w:rsidR="00FA366A" w:rsidRPr="002C21B8" w14:paraId="2BBFAC01" w14:textId="77777777" w:rsidTr="00960A9F">
        <w:trPr>
          <w:trHeight w:val="320"/>
        </w:trPr>
        <w:tc>
          <w:tcPr>
            <w:tcW w:w="701" w:type="dxa"/>
            <w:shd w:val="clear" w:color="auto" w:fill="auto"/>
            <w:vAlign w:val="center"/>
          </w:tcPr>
          <w:p w14:paraId="4AF581F4" w14:textId="77777777" w:rsidR="00FA366A" w:rsidRPr="002C21B8" w:rsidRDefault="00FA366A" w:rsidP="00212D46">
            <w:pPr>
              <w:spacing w:after="0" w:line="240" w:lineRule="auto"/>
              <w:rPr>
                <w:sz w:val="20"/>
                <w:szCs w:val="20"/>
              </w:rPr>
            </w:pPr>
            <w:r w:rsidRPr="002C21B8">
              <w:rPr>
                <w:sz w:val="20"/>
                <w:szCs w:val="20"/>
              </w:rPr>
              <w:t>195</w:t>
            </w:r>
          </w:p>
        </w:tc>
        <w:tc>
          <w:tcPr>
            <w:tcW w:w="8504" w:type="dxa"/>
            <w:shd w:val="clear" w:color="auto" w:fill="auto"/>
            <w:vAlign w:val="bottom"/>
          </w:tcPr>
          <w:p w14:paraId="4787471B" w14:textId="77777777" w:rsidR="00FA366A" w:rsidRPr="002C21B8" w:rsidRDefault="00FA366A" w:rsidP="00212D46">
            <w:pPr>
              <w:spacing w:after="0" w:line="240" w:lineRule="auto"/>
              <w:rPr>
                <w:sz w:val="20"/>
                <w:szCs w:val="20"/>
              </w:rPr>
            </w:pPr>
            <w:r w:rsidRPr="002C21B8">
              <w:rPr>
                <w:sz w:val="20"/>
                <w:szCs w:val="20"/>
              </w:rPr>
              <w:t>((stress* or mixed or urg* or urin* or overflow*) adj3 (incontinen* or continence)).ti,ab.</w:t>
            </w:r>
          </w:p>
        </w:tc>
      </w:tr>
      <w:tr w:rsidR="00FA366A" w:rsidRPr="002C21B8" w14:paraId="0743F259" w14:textId="77777777" w:rsidTr="00960A9F">
        <w:trPr>
          <w:trHeight w:val="320"/>
        </w:trPr>
        <w:tc>
          <w:tcPr>
            <w:tcW w:w="701" w:type="dxa"/>
            <w:shd w:val="clear" w:color="auto" w:fill="auto"/>
            <w:vAlign w:val="center"/>
          </w:tcPr>
          <w:p w14:paraId="733669FE" w14:textId="77777777" w:rsidR="00FA366A" w:rsidRPr="002C21B8" w:rsidRDefault="00FA366A" w:rsidP="00212D46">
            <w:pPr>
              <w:spacing w:after="0" w:line="240" w:lineRule="auto"/>
              <w:rPr>
                <w:sz w:val="20"/>
                <w:szCs w:val="20"/>
              </w:rPr>
            </w:pPr>
            <w:r w:rsidRPr="002C21B8">
              <w:rPr>
                <w:sz w:val="20"/>
                <w:szCs w:val="20"/>
              </w:rPr>
              <w:t>196</w:t>
            </w:r>
          </w:p>
        </w:tc>
        <w:tc>
          <w:tcPr>
            <w:tcW w:w="8504" w:type="dxa"/>
            <w:shd w:val="clear" w:color="auto" w:fill="auto"/>
            <w:vAlign w:val="bottom"/>
          </w:tcPr>
          <w:p w14:paraId="098D27FE" w14:textId="77777777" w:rsidR="00FA366A" w:rsidRPr="002C21B8" w:rsidRDefault="00FA366A" w:rsidP="00212D46">
            <w:pPr>
              <w:spacing w:after="0" w:line="240" w:lineRule="auto"/>
              <w:rPr>
                <w:sz w:val="20"/>
                <w:szCs w:val="20"/>
              </w:rPr>
            </w:pPr>
            <w:r w:rsidRPr="002C21B8">
              <w:rPr>
                <w:sz w:val="20"/>
                <w:szCs w:val="20"/>
              </w:rPr>
              <w:t>exp urticaria/</w:t>
            </w:r>
          </w:p>
        </w:tc>
      </w:tr>
      <w:tr w:rsidR="00FA366A" w:rsidRPr="002C21B8" w14:paraId="7395EF15" w14:textId="77777777" w:rsidTr="00960A9F">
        <w:trPr>
          <w:trHeight w:val="320"/>
        </w:trPr>
        <w:tc>
          <w:tcPr>
            <w:tcW w:w="701" w:type="dxa"/>
            <w:shd w:val="clear" w:color="auto" w:fill="auto"/>
            <w:vAlign w:val="center"/>
          </w:tcPr>
          <w:p w14:paraId="54B50737" w14:textId="77777777" w:rsidR="00FA366A" w:rsidRPr="002C21B8" w:rsidRDefault="00FA366A" w:rsidP="00212D46">
            <w:pPr>
              <w:spacing w:after="0" w:line="240" w:lineRule="auto"/>
              <w:rPr>
                <w:sz w:val="20"/>
                <w:szCs w:val="20"/>
              </w:rPr>
            </w:pPr>
            <w:r w:rsidRPr="002C21B8">
              <w:rPr>
                <w:sz w:val="20"/>
                <w:szCs w:val="20"/>
              </w:rPr>
              <w:t>197</w:t>
            </w:r>
          </w:p>
        </w:tc>
        <w:tc>
          <w:tcPr>
            <w:tcW w:w="8504" w:type="dxa"/>
            <w:shd w:val="clear" w:color="auto" w:fill="auto"/>
            <w:vAlign w:val="bottom"/>
          </w:tcPr>
          <w:p w14:paraId="3FE29C60" w14:textId="77777777" w:rsidR="00FA366A" w:rsidRPr="002C21B8" w:rsidRDefault="00FA366A" w:rsidP="00212D46">
            <w:pPr>
              <w:spacing w:after="0" w:line="240" w:lineRule="auto"/>
              <w:rPr>
                <w:sz w:val="20"/>
                <w:szCs w:val="20"/>
              </w:rPr>
            </w:pPr>
            <w:r w:rsidRPr="002C21B8">
              <w:rPr>
                <w:sz w:val="20"/>
                <w:szCs w:val="20"/>
              </w:rPr>
              <w:t>urticaria*.ti,ab.</w:t>
            </w:r>
          </w:p>
        </w:tc>
      </w:tr>
      <w:tr w:rsidR="00FA366A" w:rsidRPr="002C21B8" w14:paraId="31184048" w14:textId="77777777" w:rsidTr="00960A9F">
        <w:trPr>
          <w:trHeight w:val="320"/>
        </w:trPr>
        <w:tc>
          <w:tcPr>
            <w:tcW w:w="701" w:type="dxa"/>
            <w:shd w:val="clear" w:color="auto" w:fill="auto"/>
            <w:vAlign w:val="center"/>
          </w:tcPr>
          <w:p w14:paraId="5A01DB29" w14:textId="77777777" w:rsidR="00FA366A" w:rsidRPr="002C21B8" w:rsidRDefault="00FA366A" w:rsidP="00212D46">
            <w:pPr>
              <w:spacing w:after="0" w:line="240" w:lineRule="auto"/>
              <w:rPr>
                <w:sz w:val="20"/>
                <w:szCs w:val="20"/>
              </w:rPr>
            </w:pPr>
            <w:r w:rsidRPr="002C21B8">
              <w:rPr>
                <w:sz w:val="20"/>
                <w:szCs w:val="20"/>
              </w:rPr>
              <w:t>198</w:t>
            </w:r>
          </w:p>
        </w:tc>
        <w:tc>
          <w:tcPr>
            <w:tcW w:w="8504" w:type="dxa"/>
            <w:shd w:val="clear" w:color="auto" w:fill="auto"/>
            <w:vAlign w:val="bottom"/>
          </w:tcPr>
          <w:p w14:paraId="14418857" w14:textId="77777777" w:rsidR="00FA366A" w:rsidRPr="002C21B8" w:rsidRDefault="00FA366A" w:rsidP="00212D46">
            <w:pPr>
              <w:spacing w:after="0" w:line="240" w:lineRule="auto"/>
              <w:rPr>
                <w:sz w:val="20"/>
                <w:szCs w:val="20"/>
              </w:rPr>
            </w:pPr>
            <w:r w:rsidRPr="002C21B8">
              <w:rPr>
                <w:sz w:val="20"/>
                <w:szCs w:val="20"/>
              </w:rPr>
              <w:t>chronic disease/</w:t>
            </w:r>
          </w:p>
        </w:tc>
      </w:tr>
      <w:tr w:rsidR="00FA366A" w:rsidRPr="002C21B8" w14:paraId="6223169D" w14:textId="77777777" w:rsidTr="00960A9F">
        <w:trPr>
          <w:trHeight w:val="320"/>
        </w:trPr>
        <w:tc>
          <w:tcPr>
            <w:tcW w:w="701" w:type="dxa"/>
            <w:shd w:val="clear" w:color="auto" w:fill="auto"/>
            <w:vAlign w:val="center"/>
          </w:tcPr>
          <w:p w14:paraId="0A66D95C" w14:textId="77777777" w:rsidR="00FA366A" w:rsidRPr="002C21B8" w:rsidRDefault="00FA366A" w:rsidP="00212D46">
            <w:pPr>
              <w:spacing w:after="0" w:line="240" w:lineRule="auto"/>
              <w:rPr>
                <w:sz w:val="20"/>
                <w:szCs w:val="20"/>
              </w:rPr>
            </w:pPr>
            <w:r w:rsidRPr="002C21B8">
              <w:rPr>
                <w:sz w:val="20"/>
                <w:szCs w:val="20"/>
              </w:rPr>
              <w:t>199</w:t>
            </w:r>
          </w:p>
        </w:tc>
        <w:tc>
          <w:tcPr>
            <w:tcW w:w="8504" w:type="dxa"/>
            <w:shd w:val="clear" w:color="auto" w:fill="auto"/>
            <w:vAlign w:val="bottom"/>
          </w:tcPr>
          <w:p w14:paraId="26AD51AD" w14:textId="77777777" w:rsidR="00FA366A" w:rsidRPr="002C21B8" w:rsidRDefault="00FA366A" w:rsidP="00212D46">
            <w:pPr>
              <w:spacing w:after="0" w:line="240" w:lineRule="auto"/>
              <w:rPr>
                <w:sz w:val="20"/>
                <w:szCs w:val="20"/>
              </w:rPr>
            </w:pPr>
            <w:r w:rsidRPr="002C21B8">
              <w:rPr>
                <w:sz w:val="20"/>
                <w:szCs w:val="20"/>
              </w:rPr>
              <w:t>((chronic* or long-term) adj2 (diseas* or ill* or disorder* or condition*)).ti,ab.</w:t>
            </w:r>
          </w:p>
        </w:tc>
      </w:tr>
      <w:tr w:rsidR="00FA366A" w:rsidRPr="002C21B8" w14:paraId="1BA52F71" w14:textId="77777777" w:rsidTr="00960A9F">
        <w:trPr>
          <w:trHeight w:val="320"/>
        </w:trPr>
        <w:tc>
          <w:tcPr>
            <w:tcW w:w="701" w:type="dxa"/>
            <w:shd w:val="clear" w:color="auto" w:fill="auto"/>
            <w:vAlign w:val="center"/>
          </w:tcPr>
          <w:p w14:paraId="77276AC9" w14:textId="77777777" w:rsidR="00FA366A" w:rsidRPr="002C21B8" w:rsidRDefault="00FA366A" w:rsidP="00212D46">
            <w:pPr>
              <w:spacing w:after="0" w:line="240" w:lineRule="auto"/>
              <w:rPr>
                <w:sz w:val="20"/>
                <w:szCs w:val="20"/>
              </w:rPr>
            </w:pPr>
            <w:r w:rsidRPr="002C21B8">
              <w:rPr>
                <w:sz w:val="20"/>
                <w:szCs w:val="20"/>
              </w:rPr>
              <w:t>200</w:t>
            </w:r>
          </w:p>
        </w:tc>
        <w:tc>
          <w:tcPr>
            <w:tcW w:w="8504" w:type="dxa"/>
            <w:shd w:val="clear" w:color="auto" w:fill="auto"/>
            <w:vAlign w:val="bottom"/>
          </w:tcPr>
          <w:p w14:paraId="3E38947C" w14:textId="77777777" w:rsidR="00FA366A" w:rsidRPr="002C21B8" w:rsidRDefault="00FA366A" w:rsidP="00212D46">
            <w:pPr>
              <w:spacing w:after="0" w:line="240" w:lineRule="auto"/>
              <w:rPr>
                <w:sz w:val="20"/>
                <w:szCs w:val="20"/>
              </w:rPr>
            </w:pPr>
            <w:r w:rsidRPr="002C21B8">
              <w:rPr>
                <w:sz w:val="20"/>
                <w:szCs w:val="20"/>
              </w:rPr>
              <w:t>or/1-199</w:t>
            </w:r>
          </w:p>
        </w:tc>
      </w:tr>
      <w:tr w:rsidR="00FA366A" w:rsidRPr="002C21B8" w14:paraId="6D8B28B4" w14:textId="77777777" w:rsidTr="00960A9F">
        <w:trPr>
          <w:trHeight w:val="320"/>
        </w:trPr>
        <w:tc>
          <w:tcPr>
            <w:tcW w:w="701" w:type="dxa"/>
            <w:shd w:val="clear" w:color="auto" w:fill="auto"/>
            <w:vAlign w:val="center"/>
          </w:tcPr>
          <w:p w14:paraId="2B19C616" w14:textId="77777777" w:rsidR="00FA366A" w:rsidRPr="002C21B8" w:rsidRDefault="00FA366A" w:rsidP="00212D46">
            <w:pPr>
              <w:spacing w:after="0" w:line="240" w:lineRule="auto"/>
              <w:rPr>
                <w:sz w:val="20"/>
                <w:szCs w:val="20"/>
              </w:rPr>
            </w:pPr>
            <w:r w:rsidRPr="002C21B8">
              <w:rPr>
                <w:sz w:val="20"/>
                <w:szCs w:val="20"/>
              </w:rPr>
              <w:t>201</w:t>
            </w:r>
          </w:p>
        </w:tc>
        <w:tc>
          <w:tcPr>
            <w:tcW w:w="8504" w:type="dxa"/>
            <w:shd w:val="clear" w:color="auto" w:fill="auto"/>
            <w:vAlign w:val="bottom"/>
          </w:tcPr>
          <w:p w14:paraId="16D11123" w14:textId="77777777" w:rsidR="00FA366A" w:rsidRPr="002C21B8" w:rsidRDefault="00FA366A" w:rsidP="00212D46">
            <w:pPr>
              <w:spacing w:after="0" w:line="240" w:lineRule="auto"/>
              <w:rPr>
                <w:sz w:val="20"/>
                <w:szCs w:val="20"/>
              </w:rPr>
            </w:pPr>
            <w:r w:rsidRPr="002C21B8">
              <w:rPr>
                <w:sz w:val="20"/>
                <w:szCs w:val="20"/>
              </w:rPr>
              <w:t>exp Drug Prescriptions/ or exp Prescriptions/</w:t>
            </w:r>
          </w:p>
        </w:tc>
      </w:tr>
      <w:tr w:rsidR="00FA366A" w:rsidRPr="002C21B8" w14:paraId="4E84C92E" w14:textId="77777777" w:rsidTr="00960A9F">
        <w:trPr>
          <w:trHeight w:val="320"/>
        </w:trPr>
        <w:tc>
          <w:tcPr>
            <w:tcW w:w="701" w:type="dxa"/>
            <w:shd w:val="clear" w:color="auto" w:fill="auto"/>
            <w:vAlign w:val="center"/>
          </w:tcPr>
          <w:p w14:paraId="0EA57C0D" w14:textId="77777777" w:rsidR="00FA366A" w:rsidRPr="002C21B8" w:rsidRDefault="00FA366A" w:rsidP="00212D46">
            <w:pPr>
              <w:spacing w:after="0" w:line="240" w:lineRule="auto"/>
              <w:rPr>
                <w:sz w:val="20"/>
                <w:szCs w:val="20"/>
              </w:rPr>
            </w:pPr>
            <w:r w:rsidRPr="002C21B8">
              <w:rPr>
                <w:sz w:val="20"/>
                <w:szCs w:val="20"/>
              </w:rPr>
              <w:t>202</w:t>
            </w:r>
          </w:p>
        </w:tc>
        <w:tc>
          <w:tcPr>
            <w:tcW w:w="8504" w:type="dxa"/>
            <w:shd w:val="clear" w:color="auto" w:fill="auto"/>
            <w:vAlign w:val="bottom"/>
          </w:tcPr>
          <w:p w14:paraId="7D94BF88" w14:textId="77777777" w:rsidR="00FA366A" w:rsidRPr="002C21B8" w:rsidRDefault="00FA366A" w:rsidP="00212D46">
            <w:pPr>
              <w:spacing w:after="0" w:line="240" w:lineRule="auto"/>
              <w:rPr>
                <w:sz w:val="20"/>
                <w:szCs w:val="20"/>
              </w:rPr>
            </w:pPr>
            <w:r w:rsidRPr="002C21B8">
              <w:rPr>
                <w:sz w:val="20"/>
                <w:szCs w:val="20"/>
              </w:rPr>
              <w:t>(Prescri* or Prescribing Behavio?r or Prescrib* Decision* or Prescribing Practice*).ti,ab.</w:t>
            </w:r>
          </w:p>
        </w:tc>
      </w:tr>
      <w:tr w:rsidR="00FA366A" w:rsidRPr="002C21B8" w14:paraId="3E220F04" w14:textId="77777777" w:rsidTr="00960A9F">
        <w:trPr>
          <w:trHeight w:val="320"/>
        </w:trPr>
        <w:tc>
          <w:tcPr>
            <w:tcW w:w="701" w:type="dxa"/>
            <w:shd w:val="clear" w:color="auto" w:fill="auto"/>
            <w:vAlign w:val="center"/>
          </w:tcPr>
          <w:p w14:paraId="5726BE74" w14:textId="77777777" w:rsidR="00FA366A" w:rsidRPr="002C21B8" w:rsidRDefault="00FA366A" w:rsidP="00212D46">
            <w:pPr>
              <w:spacing w:after="0" w:line="240" w:lineRule="auto"/>
              <w:rPr>
                <w:sz w:val="20"/>
                <w:szCs w:val="20"/>
              </w:rPr>
            </w:pPr>
            <w:r w:rsidRPr="002C21B8">
              <w:rPr>
                <w:sz w:val="20"/>
                <w:szCs w:val="20"/>
              </w:rPr>
              <w:t>203</w:t>
            </w:r>
          </w:p>
        </w:tc>
        <w:tc>
          <w:tcPr>
            <w:tcW w:w="8504" w:type="dxa"/>
            <w:shd w:val="clear" w:color="auto" w:fill="auto"/>
            <w:vAlign w:val="bottom"/>
          </w:tcPr>
          <w:p w14:paraId="046552B1" w14:textId="77777777" w:rsidR="00FA366A" w:rsidRPr="002C21B8" w:rsidRDefault="00FA366A" w:rsidP="00212D46">
            <w:pPr>
              <w:spacing w:after="0" w:line="240" w:lineRule="auto"/>
              <w:rPr>
                <w:sz w:val="20"/>
                <w:szCs w:val="20"/>
              </w:rPr>
            </w:pPr>
            <w:r w:rsidRPr="002C21B8">
              <w:rPr>
                <w:sz w:val="20"/>
                <w:szCs w:val="20"/>
              </w:rPr>
              <w:t>(Initiat* or Start* or Commenc* or Induc*).ti.</w:t>
            </w:r>
          </w:p>
        </w:tc>
      </w:tr>
      <w:tr w:rsidR="00FA366A" w:rsidRPr="002C21B8" w14:paraId="7F86C4E6" w14:textId="77777777" w:rsidTr="00960A9F">
        <w:trPr>
          <w:trHeight w:val="320"/>
        </w:trPr>
        <w:tc>
          <w:tcPr>
            <w:tcW w:w="701" w:type="dxa"/>
            <w:shd w:val="clear" w:color="auto" w:fill="auto"/>
            <w:vAlign w:val="center"/>
          </w:tcPr>
          <w:p w14:paraId="3BA6E791" w14:textId="77777777" w:rsidR="00FA366A" w:rsidRPr="002C21B8" w:rsidRDefault="00FA366A" w:rsidP="00212D46">
            <w:pPr>
              <w:spacing w:after="0" w:line="240" w:lineRule="auto"/>
              <w:rPr>
                <w:sz w:val="20"/>
                <w:szCs w:val="20"/>
              </w:rPr>
            </w:pPr>
            <w:r w:rsidRPr="002C21B8">
              <w:rPr>
                <w:sz w:val="20"/>
                <w:szCs w:val="20"/>
              </w:rPr>
              <w:t>204</w:t>
            </w:r>
          </w:p>
        </w:tc>
        <w:tc>
          <w:tcPr>
            <w:tcW w:w="8504" w:type="dxa"/>
            <w:shd w:val="clear" w:color="auto" w:fill="auto"/>
            <w:vAlign w:val="bottom"/>
          </w:tcPr>
          <w:p w14:paraId="0D0E7AB9" w14:textId="77777777" w:rsidR="00FA366A" w:rsidRPr="002C21B8" w:rsidRDefault="00FA366A" w:rsidP="00212D46">
            <w:pPr>
              <w:spacing w:after="0" w:line="240" w:lineRule="auto"/>
              <w:rPr>
                <w:sz w:val="20"/>
                <w:szCs w:val="20"/>
              </w:rPr>
            </w:pPr>
            <w:r w:rsidRPr="002C21B8">
              <w:rPr>
                <w:sz w:val="20"/>
                <w:szCs w:val="20"/>
              </w:rPr>
              <w:t>or/201-203</w:t>
            </w:r>
          </w:p>
        </w:tc>
      </w:tr>
      <w:tr w:rsidR="00FA366A" w:rsidRPr="002C21B8" w14:paraId="08C58DCC" w14:textId="77777777" w:rsidTr="00960A9F">
        <w:trPr>
          <w:trHeight w:val="320"/>
        </w:trPr>
        <w:tc>
          <w:tcPr>
            <w:tcW w:w="701" w:type="dxa"/>
            <w:shd w:val="clear" w:color="auto" w:fill="auto"/>
            <w:vAlign w:val="center"/>
          </w:tcPr>
          <w:p w14:paraId="703CA682" w14:textId="77777777" w:rsidR="00FA366A" w:rsidRPr="002C21B8" w:rsidRDefault="00FA366A" w:rsidP="00212D46">
            <w:pPr>
              <w:spacing w:after="0" w:line="240" w:lineRule="auto"/>
              <w:rPr>
                <w:sz w:val="20"/>
                <w:szCs w:val="20"/>
              </w:rPr>
            </w:pPr>
            <w:r w:rsidRPr="002C21B8">
              <w:rPr>
                <w:sz w:val="20"/>
                <w:szCs w:val="20"/>
              </w:rPr>
              <w:t>205</w:t>
            </w:r>
          </w:p>
        </w:tc>
        <w:tc>
          <w:tcPr>
            <w:tcW w:w="8504" w:type="dxa"/>
            <w:shd w:val="clear" w:color="auto" w:fill="auto"/>
            <w:vAlign w:val="bottom"/>
          </w:tcPr>
          <w:p w14:paraId="61CCCC46" w14:textId="77777777" w:rsidR="00FA366A" w:rsidRPr="002C21B8" w:rsidRDefault="00FA366A" w:rsidP="00212D46">
            <w:pPr>
              <w:spacing w:after="0" w:line="240" w:lineRule="auto"/>
              <w:rPr>
                <w:sz w:val="20"/>
                <w:szCs w:val="20"/>
              </w:rPr>
            </w:pPr>
            <w:r w:rsidRPr="002C21B8">
              <w:rPr>
                <w:sz w:val="20"/>
                <w:szCs w:val="20"/>
              </w:rPr>
              <w:t>exp Clinical decision-making/</w:t>
            </w:r>
          </w:p>
        </w:tc>
      </w:tr>
      <w:tr w:rsidR="00FA366A" w:rsidRPr="002C21B8" w14:paraId="117C4BBB" w14:textId="77777777" w:rsidTr="00960A9F">
        <w:trPr>
          <w:trHeight w:val="320"/>
        </w:trPr>
        <w:tc>
          <w:tcPr>
            <w:tcW w:w="701" w:type="dxa"/>
            <w:shd w:val="clear" w:color="auto" w:fill="auto"/>
            <w:vAlign w:val="center"/>
          </w:tcPr>
          <w:p w14:paraId="1DDD81F6" w14:textId="77777777" w:rsidR="00FA366A" w:rsidRPr="002C21B8" w:rsidRDefault="00FA366A" w:rsidP="00212D46">
            <w:pPr>
              <w:spacing w:after="0" w:line="240" w:lineRule="auto"/>
              <w:rPr>
                <w:sz w:val="20"/>
                <w:szCs w:val="20"/>
              </w:rPr>
            </w:pPr>
            <w:r w:rsidRPr="002C21B8">
              <w:rPr>
                <w:sz w:val="20"/>
                <w:szCs w:val="20"/>
              </w:rPr>
              <w:t>206</w:t>
            </w:r>
          </w:p>
        </w:tc>
        <w:tc>
          <w:tcPr>
            <w:tcW w:w="8504" w:type="dxa"/>
            <w:shd w:val="clear" w:color="auto" w:fill="auto"/>
            <w:vAlign w:val="bottom"/>
          </w:tcPr>
          <w:p w14:paraId="55CF6C58" w14:textId="77777777" w:rsidR="00FA366A" w:rsidRPr="002C21B8" w:rsidRDefault="00FA366A" w:rsidP="00212D46">
            <w:pPr>
              <w:spacing w:after="0" w:line="240" w:lineRule="auto"/>
              <w:rPr>
                <w:sz w:val="20"/>
                <w:szCs w:val="20"/>
              </w:rPr>
            </w:pPr>
            <w:r w:rsidRPr="002C21B8">
              <w:rPr>
                <w:sz w:val="20"/>
                <w:szCs w:val="20"/>
              </w:rPr>
              <w:t>exp Health Knowledge, Attitudes, Practice/ or exp Attitude of Health Personnel/ or exp Practice Patterns, Pharmacists'/ or exp Practice Patterns, Nurses'/ or exp Practice Patterns, Physicians'/</w:t>
            </w:r>
          </w:p>
        </w:tc>
      </w:tr>
      <w:tr w:rsidR="00FA366A" w:rsidRPr="002C21B8" w14:paraId="064E10AA" w14:textId="77777777" w:rsidTr="00960A9F">
        <w:trPr>
          <w:trHeight w:val="320"/>
        </w:trPr>
        <w:tc>
          <w:tcPr>
            <w:tcW w:w="701" w:type="dxa"/>
            <w:shd w:val="clear" w:color="auto" w:fill="auto"/>
            <w:vAlign w:val="center"/>
          </w:tcPr>
          <w:p w14:paraId="6871FDA7" w14:textId="77777777" w:rsidR="00FA366A" w:rsidRPr="002C21B8" w:rsidRDefault="00FA366A" w:rsidP="00212D46">
            <w:pPr>
              <w:spacing w:after="0" w:line="240" w:lineRule="auto"/>
              <w:rPr>
                <w:sz w:val="20"/>
                <w:szCs w:val="20"/>
              </w:rPr>
            </w:pPr>
            <w:r w:rsidRPr="002C21B8">
              <w:rPr>
                <w:sz w:val="20"/>
                <w:szCs w:val="20"/>
              </w:rPr>
              <w:t>207</w:t>
            </w:r>
          </w:p>
        </w:tc>
        <w:tc>
          <w:tcPr>
            <w:tcW w:w="8504" w:type="dxa"/>
            <w:shd w:val="clear" w:color="auto" w:fill="auto"/>
            <w:vAlign w:val="bottom"/>
          </w:tcPr>
          <w:p w14:paraId="781CDCC3" w14:textId="77777777" w:rsidR="00FA366A" w:rsidRPr="002C21B8" w:rsidRDefault="00FA366A" w:rsidP="00212D46">
            <w:pPr>
              <w:spacing w:after="0" w:line="240" w:lineRule="auto"/>
              <w:rPr>
                <w:sz w:val="20"/>
                <w:szCs w:val="20"/>
              </w:rPr>
            </w:pPr>
            <w:r w:rsidRPr="002C21B8">
              <w:rPr>
                <w:sz w:val="20"/>
                <w:szCs w:val="20"/>
              </w:rPr>
              <w:t>(Factor* or Determinant* or Behavio?r* or Practice* or Preference* or Pattern* or Decision* or Decid* or Influenc* or Impact* or Judg* or Barrier* or Facilit* or Help or Hinder or Compl* or Accept or Conform* or Approv* or Adher* or Strateg*).ti.</w:t>
            </w:r>
          </w:p>
        </w:tc>
      </w:tr>
      <w:tr w:rsidR="00FA366A" w:rsidRPr="002C21B8" w14:paraId="7BE6BF8D" w14:textId="77777777" w:rsidTr="00960A9F">
        <w:trPr>
          <w:trHeight w:val="320"/>
        </w:trPr>
        <w:tc>
          <w:tcPr>
            <w:tcW w:w="701" w:type="dxa"/>
            <w:shd w:val="clear" w:color="auto" w:fill="auto"/>
            <w:vAlign w:val="center"/>
          </w:tcPr>
          <w:p w14:paraId="7BE20BEB" w14:textId="77777777" w:rsidR="00FA366A" w:rsidRPr="002C21B8" w:rsidRDefault="00FA366A" w:rsidP="00212D46">
            <w:pPr>
              <w:spacing w:after="0" w:line="240" w:lineRule="auto"/>
              <w:rPr>
                <w:sz w:val="20"/>
                <w:szCs w:val="20"/>
              </w:rPr>
            </w:pPr>
            <w:r w:rsidRPr="002C21B8">
              <w:rPr>
                <w:sz w:val="20"/>
                <w:szCs w:val="20"/>
              </w:rPr>
              <w:t>208</w:t>
            </w:r>
          </w:p>
        </w:tc>
        <w:tc>
          <w:tcPr>
            <w:tcW w:w="8504" w:type="dxa"/>
            <w:shd w:val="clear" w:color="auto" w:fill="auto"/>
            <w:vAlign w:val="bottom"/>
          </w:tcPr>
          <w:p w14:paraId="29F01F1F" w14:textId="77777777" w:rsidR="00FA366A" w:rsidRPr="002C21B8" w:rsidRDefault="00FA366A" w:rsidP="00212D46">
            <w:pPr>
              <w:spacing w:after="0" w:line="240" w:lineRule="auto"/>
              <w:rPr>
                <w:sz w:val="20"/>
                <w:szCs w:val="20"/>
              </w:rPr>
            </w:pPr>
            <w:r w:rsidRPr="002C21B8">
              <w:rPr>
                <w:sz w:val="20"/>
                <w:szCs w:val="20"/>
              </w:rPr>
              <w:t>or/205-208</w:t>
            </w:r>
          </w:p>
        </w:tc>
      </w:tr>
      <w:tr w:rsidR="00FA366A" w:rsidRPr="002C21B8" w14:paraId="4C9EAF37" w14:textId="77777777" w:rsidTr="00960A9F">
        <w:trPr>
          <w:trHeight w:val="320"/>
        </w:trPr>
        <w:tc>
          <w:tcPr>
            <w:tcW w:w="701" w:type="dxa"/>
            <w:shd w:val="clear" w:color="auto" w:fill="auto"/>
            <w:vAlign w:val="center"/>
          </w:tcPr>
          <w:p w14:paraId="5E4F7583" w14:textId="77777777" w:rsidR="00FA366A" w:rsidRPr="002C21B8" w:rsidRDefault="00FA366A" w:rsidP="00212D46">
            <w:pPr>
              <w:spacing w:after="0" w:line="240" w:lineRule="auto"/>
              <w:rPr>
                <w:sz w:val="20"/>
                <w:szCs w:val="20"/>
              </w:rPr>
            </w:pPr>
            <w:r w:rsidRPr="002C21B8">
              <w:rPr>
                <w:sz w:val="20"/>
                <w:szCs w:val="20"/>
              </w:rPr>
              <w:t>209</w:t>
            </w:r>
          </w:p>
        </w:tc>
        <w:tc>
          <w:tcPr>
            <w:tcW w:w="8504" w:type="dxa"/>
            <w:shd w:val="clear" w:color="auto" w:fill="auto"/>
            <w:vAlign w:val="bottom"/>
          </w:tcPr>
          <w:p w14:paraId="295C1502" w14:textId="77777777" w:rsidR="00FA366A" w:rsidRPr="002C21B8" w:rsidRDefault="00FA366A" w:rsidP="00212D46">
            <w:pPr>
              <w:spacing w:after="0" w:line="240" w:lineRule="auto"/>
              <w:rPr>
                <w:sz w:val="20"/>
                <w:szCs w:val="20"/>
              </w:rPr>
            </w:pPr>
            <w:r w:rsidRPr="002C21B8">
              <w:rPr>
                <w:sz w:val="20"/>
                <w:szCs w:val="20"/>
              </w:rPr>
              <w:t>(Medline or systematic review).tw. or meta-analysis.pt.</w:t>
            </w:r>
          </w:p>
        </w:tc>
      </w:tr>
      <w:tr w:rsidR="00FA366A" w:rsidRPr="002C21B8" w14:paraId="79D19788" w14:textId="77777777" w:rsidTr="00960A9F">
        <w:trPr>
          <w:trHeight w:val="320"/>
        </w:trPr>
        <w:tc>
          <w:tcPr>
            <w:tcW w:w="701" w:type="dxa"/>
            <w:shd w:val="clear" w:color="auto" w:fill="auto"/>
            <w:vAlign w:val="center"/>
          </w:tcPr>
          <w:p w14:paraId="7EB4A160" w14:textId="77777777" w:rsidR="00FA366A" w:rsidRPr="002C21B8" w:rsidRDefault="00FA366A" w:rsidP="00212D46">
            <w:pPr>
              <w:spacing w:after="0" w:line="240" w:lineRule="auto"/>
              <w:rPr>
                <w:sz w:val="20"/>
                <w:szCs w:val="20"/>
              </w:rPr>
            </w:pPr>
            <w:r w:rsidRPr="002C21B8">
              <w:rPr>
                <w:sz w:val="20"/>
                <w:szCs w:val="20"/>
              </w:rPr>
              <w:t>210</w:t>
            </w:r>
          </w:p>
        </w:tc>
        <w:tc>
          <w:tcPr>
            <w:tcW w:w="8504" w:type="dxa"/>
            <w:shd w:val="clear" w:color="auto" w:fill="auto"/>
            <w:vAlign w:val="bottom"/>
          </w:tcPr>
          <w:p w14:paraId="729FDC41" w14:textId="77777777" w:rsidR="00FA366A" w:rsidRPr="002C21B8" w:rsidRDefault="00FA366A" w:rsidP="00212D46">
            <w:pPr>
              <w:spacing w:after="0" w:line="240" w:lineRule="auto"/>
              <w:rPr>
                <w:sz w:val="20"/>
                <w:szCs w:val="20"/>
              </w:rPr>
            </w:pPr>
            <w:r w:rsidRPr="002C21B8">
              <w:rPr>
                <w:sz w:val="20"/>
                <w:szCs w:val="20"/>
              </w:rPr>
              <w:t>200 and 204 and 208 and 209</w:t>
            </w:r>
          </w:p>
        </w:tc>
      </w:tr>
      <w:tr w:rsidR="00FA366A" w:rsidRPr="002C21B8" w14:paraId="10C0AD0C" w14:textId="77777777" w:rsidTr="00960A9F">
        <w:trPr>
          <w:trHeight w:val="320"/>
        </w:trPr>
        <w:tc>
          <w:tcPr>
            <w:tcW w:w="701" w:type="dxa"/>
            <w:shd w:val="clear" w:color="auto" w:fill="auto"/>
            <w:vAlign w:val="center"/>
          </w:tcPr>
          <w:p w14:paraId="78AF283A" w14:textId="77777777" w:rsidR="00FA366A" w:rsidRPr="002C21B8" w:rsidRDefault="00FA366A" w:rsidP="00212D46">
            <w:pPr>
              <w:spacing w:after="0" w:line="240" w:lineRule="auto"/>
              <w:rPr>
                <w:sz w:val="20"/>
                <w:szCs w:val="20"/>
              </w:rPr>
            </w:pPr>
            <w:r w:rsidRPr="002C21B8">
              <w:rPr>
                <w:sz w:val="20"/>
                <w:szCs w:val="20"/>
              </w:rPr>
              <w:t>211</w:t>
            </w:r>
          </w:p>
        </w:tc>
        <w:tc>
          <w:tcPr>
            <w:tcW w:w="8504" w:type="dxa"/>
            <w:shd w:val="clear" w:color="auto" w:fill="auto"/>
            <w:vAlign w:val="bottom"/>
          </w:tcPr>
          <w:p w14:paraId="72A72198" w14:textId="77777777" w:rsidR="00FA366A" w:rsidRPr="002C21B8" w:rsidRDefault="00FA366A" w:rsidP="00212D46">
            <w:pPr>
              <w:spacing w:after="0" w:line="240" w:lineRule="auto"/>
              <w:rPr>
                <w:sz w:val="20"/>
                <w:szCs w:val="20"/>
              </w:rPr>
            </w:pPr>
            <w:r w:rsidRPr="002C21B8">
              <w:rPr>
                <w:sz w:val="20"/>
                <w:szCs w:val="20"/>
              </w:rPr>
              <w:t>limit 210 to yr="2013-current"</w:t>
            </w:r>
          </w:p>
        </w:tc>
      </w:tr>
    </w:tbl>
    <w:p w14:paraId="4ABB5D55" w14:textId="77777777" w:rsidR="00FA366A" w:rsidRPr="002C21B8" w:rsidRDefault="00FA366A" w:rsidP="003374F4"/>
    <w:p w14:paraId="10F853A8" w14:textId="59B64D8E"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EMBASE (Ovid) search strategy</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1"/>
        <w:gridCol w:w="8504"/>
      </w:tblGrid>
      <w:tr w:rsidR="00FA366A" w:rsidRPr="002C21B8" w14:paraId="2778698D" w14:textId="77777777" w:rsidTr="00960A9F">
        <w:trPr>
          <w:trHeight w:val="320"/>
        </w:trPr>
        <w:tc>
          <w:tcPr>
            <w:tcW w:w="701" w:type="dxa"/>
            <w:shd w:val="clear" w:color="auto" w:fill="auto"/>
            <w:vAlign w:val="center"/>
          </w:tcPr>
          <w:p w14:paraId="21AE1C57" w14:textId="77777777" w:rsidR="00FA366A" w:rsidRPr="002C21B8" w:rsidRDefault="00FA366A" w:rsidP="00212D46">
            <w:pPr>
              <w:spacing w:after="0" w:line="240" w:lineRule="auto"/>
              <w:rPr>
                <w:sz w:val="20"/>
                <w:szCs w:val="20"/>
              </w:rPr>
            </w:pPr>
            <w:r w:rsidRPr="002C21B8">
              <w:rPr>
                <w:sz w:val="20"/>
                <w:szCs w:val="20"/>
              </w:rPr>
              <w:t>#</w:t>
            </w:r>
          </w:p>
        </w:tc>
        <w:tc>
          <w:tcPr>
            <w:tcW w:w="8504" w:type="dxa"/>
            <w:shd w:val="clear" w:color="auto" w:fill="auto"/>
            <w:vAlign w:val="bottom"/>
          </w:tcPr>
          <w:p w14:paraId="2F81F3F2" w14:textId="77777777" w:rsidR="00FA366A" w:rsidRPr="002C21B8" w:rsidRDefault="00FA366A" w:rsidP="00212D46">
            <w:pPr>
              <w:spacing w:after="0" w:line="240" w:lineRule="auto"/>
              <w:rPr>
                <w:sz w:val="20"/>
                <w:szCs w:val="20"/>
              </w:rPr>
            </w:pPr>
            <w:r w:rsidRPr="002C21B8">
              <w:rPr>
                <w:sz w:val="20"/>
                <w:szCs w:val="20"/>
              </w:rPr>
              <w:t>OVID EMBASE Search Lines (search date: 07/11/2023)</w:t>
            </w:r>
          </w:p>
        </w:tc>
      </w:tr>
      <w:tr w:rsidR="00FA366A" w:rsidRPr="002C21B8" w14:paraId="1465085A" w14:textId="77777777" w:rsidTr="00960A9F">
        <w:trPr>
          <w:trHeight w:val="320"/>
        </w:trPr>
        <w:tc>
          <w:tcPr>
            <w:tcW w:w="701" w:type="dxa"/>
            <w:shd w:val="clear" w:color="auto" w:fill="auto"/>
            <w:vAlign w:val="center"/>
          </w:tcPr>
          <w:p w14:paraId="51760982" w14:textId="77777777" w:rsidR="00FA366A" w:rsidRPr="002C21B8" w:rsidRDefault="00FA366A" w:rsidP="00212D46">
            <w:pPr>
              <w:spacing w:after="0" w:line="240" w:lineRule="auto"/>
              <w:rPr>
                <w:color w:val="0563C1"/>
                <w:sz w:val="20"/>
                <w:szCs w:val="20"/>
                <w:u w:val="single"/>
              </w:rPr>
            </w:pPr>
            <w:r w:rsidRPr="002C21B8">
              <w:rPr>
                <w:sz w:val="20"/>
                <w:szCs w:val="20"/>
              </w:rPr>
              <w:t>1</w:t>
            </w:r>
          </w:p>
        </w:tc>
        <w:tc>
          <w:tcPr>
            <w:tcW w:w="8504" w:type="dxa"/>
            <w:shd w:val="clear" w:color="auto" w:fill="auto"/>
            <w:vAlign w:val="bottom"/>
          </w:tcPr>
          <w:p w14:paraId="38579E6A" w14:textId="77777777" w:rsidR="00FA366A" w:rsidRPr="002C21B8" w:rsidRDefault="00FA366A" w:rsidP="00212D46">
            <w:pPr>
              <w:spacing w:after="0" w:line="240" w:lineRule="auto"/>
              <w:rPr>
                <w:sz w:val="20"/>
                <w:szCs w:val="20"/>
              </w:rPr>
            </w:pPr>
            <w:r w:rsidRPr="002C21B8">
              <w:rPr>
                <w:sz w:val="20"/>
                <w:szCs w:val="20"/>
              </w:rPr>
              <w:t>exp rhinitis/</w:t>
            </w:r>
          </w:p>
        </w:tc>
      </w:tr>
      <w:tr w:rsidR="00FA366A" w:rsidRPr="002C21B8" w14:paraId="41E6B8FB" w14:textId="77777777" w:rsidTr="00960A9F">
        <w:trPr>
          <w:trHeight w:val="320"/>
        </w:trPr>
        <w:tc>
          <w:tcPr>
            <w:tcW w:w="701" w:type="dxa"/>
            <w:shd w:val="clear" w:color="auto" w:fill="auto"/>
            <w:vAlign w:val="center"/>
          </w:tcPr>
          <w:p w14:paraId="02FE0EE2" w14:textId="77777777" w:rsidR="00FA366A" w:rsidRPr="002C21B8" w:rsidRDefault="00FA366A" w:rsidP="00212D46">
            <w:pPr>
              <w:spacing w:after="0" w:line="240" w:lineRule="auto"/>
              <w:rPr>
                <w:sz w:val="20"/>
                <w:szCs w:val="20"/>
              </w:rPr>
            </w:pPr>
            <w:r w:rsidRPr="002C21B8">
              <w:rPr>
                <w:sz w:val="20"/>
                <w:szCs w:val="20"/>
              </w:rPr>
              <w:t>2</w:t>
            </w:r>
          </w:p>
        </w:tc>
        <w:tc>
          <w:tcPr>
            <w:tcW w:w="8504" w:type="dxa"/>
            <w:shd w:val="clear" w:color="auto" w:fill="auto"/>
            <w:vAlign w:val="bottom"/>
          </w:tcPr>
          <w:p w14:paraId="678DB1B1" w14:textId="77777777" w:rsidR="00FA366A" w:rsidRPr="002C21B8" w:rsidRDefault="00FA366A" w:rsidP="00212D46">
            <w:pPr>
              <w:spacing w:after="0" w:line="240" w:lineRule="auto"/>
              <w:rPr>
                <w:sz w:val="20"/>
                <w:szCs w:val="20"/>
              </w:rPr>
            </w:pPr>
            <w:r w:rsidRPr="002C21B8">
              <w:rPr>
                <w:sz w:val="20"/>
                <w:szCs w:val="20"/>
              </w:rPr>
              <w:t>((vasomotor or allerg* or non-allerg* or nonallerg* or non allerg*) and rhinitis).ti.</w:t>
            </w:r>
          </w:p>
        </w:tc>
      </w:tr>
      <w:tr w:rsidR="00FA366A" w:rsidRPr="002C21B8" w14:paraId="032939C7" w14:textId="77777777" w:rsidTr="00960A9F">
        <w:trPr>
          <w:trHeight w:val="320"/>
        </w:trPr>
        <w:tc>
          <w:tcPr>
            <w:tcW w:w="701" w:type="dxa"/>
            <w:shd w:val="clear" w:color="auto" w:fill="auto"/>
            <w:vAlign w:val="center"/>
          </w:tcPr>
          <w:p w14:paraId="4B535252" w14:textId="77777777" w:rsidR="00FA366A" w:rsidRPr="002C21B8" w:rsidRDefault="00FA366A" w:rsidP="00212D46">
            <w:pPr>
              <w:spacing w:after="0" w:line="240" w:lineRule="auto"/>
              <w:rPr>
                <w:sz w:val="20"/>
                <w:szCs w:val="20"/>
              </w:rPr>
            </w:pPr>
            <w:r w:rsidRPr="002C21B8">
              <w:rPr>
                <w:sz w:val="20"/>
                <w:szCs w:val="20"/>
              </w:rPr>
              <w:t>3</w:t>
            </w:r>
          </w:p>
        </w:tc>
        <w:tc>
          <w:tcPr>
            <w:tcW w:w="8504" w:type="dxa"/>
            <w:shd w:val="clear" w:color="auto" w:fill="auto"/>
            <w:vAlign w:val="bottom"/>
          </w:tcPr>
          <w:p w14:paraId="5689E529" w14:textId="77777777" w:rsidR="00FA366A" w:rsidRPr="002C21B8" w:rsidRDefault="00FA366A" w:rsidP="00212D46">
            <w:pPr>
              <w:spacing w:after="0" w:line="240" w:lineRule="auto"/>
              <w:rPr>
                <w:sz w:val="20"/>
                <w:szCs w:val="20"/>
              </w:rPr>
            </w:pPr>
            <w:r w:rsidRPr="002C21B8">
              <w:rPr>
                <w:sz w:val="20"/>
                <w:szCs w:val="20"/>
              </w:rPr>
              <w:t>exp amnesia/</w:t>
            </w:r>
          </w:p>
        </w:tc>
      </w:tr>
      <w:tr w:rsidR="00FA366A" w:rsidRPr="002C21B8" w14:paraId="752C1C71" w14:textId="77777777" w:rsidTr="00960A9F">
        <w:trPr>
          <w:trHeight w:val="320"/>
        </w:trPr>
        <w:tc>
          <w:tcPr>
            <w:tcW w:w="701" w:type="dxa"/>
            <w:shd w:val="clear" w:color="auto" w:fill="auto"/>
            <w:vAlign w:val="center"/>
          </w:tcPr>
          <w:p w14:paraId="5F9A3FA3" w14:textId="77777777" w:rsidR="00FA366A" w:rsidRPr="002C21B8" w:rsidRDefault="00FA366A" w:rsidP="00212D46">
            <w:pPr>
              <w:spacing w:after="0" w:line="240" w:lineRule="auto"/>
              <w:rPr>
                <w:sz w:val="20"/>
                <w:szCs w:val="20"/>
              </w:rPr>
            </w:pPr>
            <w:r w:rsidRPr="002C21B8">
              <w:rPr>
                <w:sz w:val="20"/>
                <w:szCs w:val="20"/>
              </w:rPr>
              <w:t>4</w:t>
            </w:r>
          </w:p>
        </w:tc>
        <w:tc>
          <w:tcPr>
            <w:tcW w:w="8504" w:type="dxa"/>
            <w:shd w:val="clear" w:color="auto" w:fill="auto"/>
            <w:vAlign w:val="bottom"/>
          </w:tcPr>
          <w:p w14:paraId="3B8840D6" w14:textId="77777777" w:rsidR="00FA366A" w:rsidRPr="002C21B8" w:rsidRDefault="00FA366A" w:rsidP="00212D46">
            <w:pPr>
              <w:spacing w:after="0" w:line="240" w:lineRule="auto"/>
              <w:rPr>
                <w:sz w:val="20"/>
                <w:szCs w:val="20"/>
              </w:rPr>
            </w:pPr>
            <w:r w:rsidRPr="002C21B8">
              <w:rPr>
                <w:sz w:val="20"/>
                <w:szCs w:val="20"/>
              </w:rPr>
              <w:t>(amnesi* or memory loss).ti.</w:t>
            </w:r>
          </w:p>
        </w:tc>
      </w:tr>
      <w:tr w:rsidR="00FA366A" w:rsidRPr="002C21B8" w14:paraId="6FAE348D" w14:textId="77777777" w:rsidTr="00960A9F">
        <w:trPr>
          <w:trHeight w:val="320"/>
        </w:trPr>
        <w:tc>
          <w:tcPr>
            <w:tcW w:w="701" w:type="dxa"/>
            <w:shd w:val="clear" w:color="auto" w:fill="auto"/>
            <w:vAlign w:val="center"/>
          </w:tcPr>
          <w:p w14:paraId="384C1EED" w14:textId="77777777" w:rsidR="00FA366A" w:rsidRPr="002C21B8" w:rsidRDefault="00FA366A" w:rsidP="00212D46">
            <w:pPr>
              <w:spacing w:after="0" w:line="240" w:lineRule="auto"/>
              <w:rPr>
                <w:sz w:val="20"/>
                <w:szCs w:val="20"/>
              </w:rPr>
            </w:pPr>
            <w:r w:rsidRPr="002C21B8">
              <w:rPr>
                <w:sz w:val="20"/>
                <w:szCs w:val="20"/>
              </w:rPr>
              <w:t>5</w:t>
            </w:r>
          </w:p>
        </w:tc>
        <w:tc>
          <w:tcPr>
            <w:tcW w:w="8504" w:type="dxa"/>
            <w:shd w:val="clear" w:color="auto" w:fill="auto"/>
            <w:vAlign w:val="bottom"/>
          </w:tcPr>
          <w:p w14:paraId="5B4B37F2" w14:textId="77777777" w:rsidR="00FA366A" w:rsidRPr="002C21B8" w:rsidRDefault="00FA366A" w:rsidP="00212D46">
            <w:pPr>
              <w:spacing w:after="0" w:line="240" w:lineRule="auto"/>
              <w:rPr>
                <w:sz w:val="20"/>
                <w:szCs w:val="20"/>
              </w:rPr>
            </w:pPr>
            <w:r w:rsidRPr="002C21B8">
              <w:rPr>
                <w:sz w:val="20"/>
                <w:szCs w:val="20"/>
              </w:rPr>
              <w:t>amputation, surgical/</w:t>
            </w:r>
          </w:p>
        </w:tc>
      </w:tr>
      <w:tr w:rsidR="00FA366A" w:rsidRPr="002C21B8" w14:paraId="42989A78" w14:textId="77777777" w:rsidTr="00960A9F">
        <w:trPr>
          <w:trHeight w:val="320"/>
        </w:trPr>
        <w:tc>
          <w:tcPr>
            <w:tcW w:w="701" w:type="dxa"/>
            <w:shd w:val="clear" w:color="auto" w:fill="auto"/>
            <w:vAlign w:val="center"/>
          </w:tcPr>
          <w:p w14:paraId="0922E5CF" w14:textId="77777777" w:rsidR="00FA366A" w:rsidRPr="002C21B8" w:rsidRDefault="00FA366A" w:rsidP="00212D46">
            <w:pPr>
              <w:spacing w:after="0" w:line="240" w:lineRule="auto"/>
              <w:rPr>
                <w:sz w:val="20"/>
                <w:szCs w:val="20"/>
              </w:rPr>
            </w:pPr>
            <w:r w:rsidRPr="002C21B8">
              <w:rPr>
                <w:sz w:val="20"/>
                <w:szCs w:val="20"/>
              </w:rPr>
              <w:t>6</w:t>
            </w:r>
          </w:p>
        </w:tc>
        <w:tc>
          <w:tcPr>
            <w:tcW w:w="8504" w:type="dxa"/>
            <w:shd w:val="clear" w:color="auto" w:fill="auto"/>
            <w:vAlign w:val="bottom"/>
          </w:tcPr>
          <w:p w14:paraId="1AD6EEEC" w14:textId="77777777" w:rsidR="00FA366A" w:rsidRPr="002C21B8" w:rsidRDefault="00FA366A" w:rsidP="00212D46">
            <w:pPr>
              <w:spacing w:after="0" w:line="240" w:lineRule="auto"/>
              <w:rPr>
                <w:sz w:val="20"/>
                <w:szCs w:val="20"/>
              </w:rPr>
            </w:pPr>
            <w:r w:rsidRPr="002C21B8">
              <w:rPr>
                <w:sz w:val="20"/>
                <w:szCs w:val="20"/>
              </w:rPr>
              <w:t>amputation, traumatic/</w:t>
            </w:r>
          </w:p>
        </w:tc>
      </w:tr>
      <w:tr w:rsidR="00FA366A" w:rsidRPr="002C21B8" w14:paraId="15E893C5" w14:textId="77777777" w:rsidTr="00960A9F">
        <w:trPr>
          <w:trHeight w:val="320"/>
        </w:trPr>
        <w:tc>
          <w:tcPr>
            <w:tcW w:w="701" w:type="dxa"/>
            <w:shd w:val="clear" w:color="auto" w:fill="auto"/>
            <w:vAlign w:val="center"/>
          </w:tcPr>
          <w:p w14:paraId="736AB30D" w14:textId="77777777" w:rsidR="00FA366A" w:rsidRPr="002C21B8" w:rsidRDefault="00FA366A" w:rsidP="00212D46">
            <w:pPr>
              <w:spacing w:after="0" w:line="240" w:lineRule="auto"/>
              <w:rPr>
                <w:sz w:val="20"/>
                <w:szCs w:val="20"/>
              </w:rPr>
            </w:pPr>
            <w:r w:rsidRPr="002C21B8">
              <w:rPr>
                <w:sz w:val="20"/>
                <w:szCs w:val="20"/>
              </w:rPr>
              <w:t>7</w:t>
            </w:r>
          </w:p>
        </w:tc>
        <w:tc>
          <w:tcPr>
            <w:tcW w:w="8504" w:type="dxa"/>
            <w:shd w:val="clear" w:color="auto" w:fill="auto"/>
            <w:vAlign w:val="bottom"/>
          </w:tcPr>
          <w:p w14:paraId="5F63E22C" w14:textId="77777777" w:rsidR="00FA366A" w:rsidRPr="002C21B8" w:rsidRDefault="00FA366A" w:rsidP="00212D46">
            <w:pPr>
              <w:spacing w:after="0" w:line="240" w:lineRule="auto"/>
              <w:rPr>
                <w:sz w:val="20"/>
                <w:szCs w:val="20"/>
              </w:rPr>
            </w:pPr>
            <w:r w:rsidRPr="002C21B8">
              <w:rPr>
                <w:sz w:val="20"/>
                <w:szCs w:val="20"/>
              </w:rPr>
              <w:t>(amputation or amputee*).ti.</w:t>
            </w:r>
          </w:p>
        </w:tc>
      </w:tr>
      <w:tr w:rsidR="00FA366A" w:rsidRPr="002C21B8" w14:paraId="71770436" w14:textId="77777777" w:rsidTr="00960A9F">
        <w:trPr>
          <w:trHeight w:val="320"/>
        </w:trPr>
        <w:tc>
          <w:tcPr>
            <w:tcW w:w="701" w:type="dxa"/>
            <w:shd w:val="clear" w:color="auto" w:fill="auto"/>
            <w:vAlign w:val="center"/>
          </w:tcPr>
          <w:p w14:paraId="1679A19E" w14:textId="77777777" w:rsidR="00FA366A" w:rsidRPr="002C21B8" w:rsidRDefault="00FA366A" w:rsidP="00212D46">
            <w:pPr>
              <w:spacing w:after="0" w:line="240" w:lineRule="auto"/>
              <w:rPr>
                <w:sz w:val="20"/>
                <w:szCs w:val="20"/>
              </w:rPr>
            </w:pPr>
            <w:r w:rsidRPr="002C21B8">
              <w:rPr>
                <w:sz w:val="20"/>
                <w:szCs w:val="20"/>
              </w:rPr>
              <w:t>8</w:t>
            </w:r>
          </w:p>
        </w:tc>
        <w:tc>
          <w:tcPr>
            <w:tcW w:w="8504" w:type="dxa"/>
            <w:shd w:val="clear" w:color="auto" w:fill="auto"/>
            <w:vAlign w:val="bottom"/>
          </w:tcPr>
          <w:p w14:paraId="5339F4F4" w14:textId="77777777" w:rsidR="00FA366A" w:rsidRPr="002C21B8" w:rsidRDefault="00FA366A" w:rsidP="00212D46">
            <w:pPr>
              <w:spacing w:after="0" w:line="240" w:lineRule="auto"/>
              <w:rPr>
                <w:sz w:val="20"/>
                <w:szCs w:val="20"/>
              </w:rPr>
            </w:pPr>
            <w:r w:rsidRPr="002C21B8">
              <w:rPr>
                <w:sz w:val="20"/>
                <w:szCs w:val="20"/>
              </w:rPr>
              <w:t>exp anemia/</w:t>
            </w:r>
          </w:p>
        </w:tc>
      </w:tr>
      <w:tr w:rsidR="00FA366A" w:rsidRPr="002C21B8" w14:paraId="005D902C" w14:textId="77777777" w:rsidTr="00960A9F">
        <w:trPr>
          <w:trHeight w:val="320"/>
        </w:trPr>
        <w:tc>
          <w:tcPr>
            <w:tcW w:w="701" w:type="dxa"/>
            <w:shd w:val="clear" w:color="auto" w:fill="auto"/>
            <w:vAlign w:val="center"/>
          </w:tcPr>
          <w:p w14:paraId="7DE98812" w14:textId="77777777" w:rsidR="00FA366A" w:rsidRPr="002C21B8" w:rsidRDefault="00FA366A" w:rsidP="00212D46">
            <w:pPr>
              <w:spacing w:after="0" w:line="240" w:lineRule="auto"/>
              <w:rPr>
                <w:sz w:val="20"/>
                <w:szCs w:val="20"/>
              </w:rPr>
            </w:pPr>
            <w:r w:rsidRPr="002C21B8">
              <w:rPr>
                <w:sz w:val="20"/>
                <w:szCs w:val="20"/>
              </w:rPr>
              <w:t>9</w:t>
            </w:r>
          </w:p>
        </w:tc>
        <w:tc>
          <w:tcPr>
            <w:tcW w:w="8504" w:type="dxa"/>
            <w:shd w:val="clear" w:color="auto" w:fill="auto"/>
            <w:vAlign w:val="bottom"/>
          </w:tcPr>
          <w:p w14:paraId="03160F82" w14:textId="77777777" w:rsidR="00FA366A" w:rsidRPr="002C21B8" w:rsidRDefault="00FA366A" w:rsidP="00212D46">
            <w:pPr>
              <w:spacing w:after="0" w:line="240" w:lineRule="auto"/>
              <w:rPr>
                <w:sz w:val="20"/>
                <w:szCs w:val="20"/>
              </w:rPr>
            </w:pPr>
            <w:r w:rsidRPr="002C21B8">
              <w:rPr>
                <w:sz w:val="20"/>
                <w:szCs w:val="20"/>
              </w:rPr>
              <w:t>an?emia.ti.</w:t>
            </w:r>
          </w:p>
        </w:tc>
      </w:tr>
      <w:tr w:rsidR="00FA366A" w:rsidRPr="002C21B8" w14:paraId="3562F658" w14:textId="77777777" w:rsidTr="00960A9F">
        <w:trPr>
          <w:trHeight w:val="320"/>
        </w:trPr>
        <w:tc>
          <w:tcPr>
            <w:tcW w:w="701" w:type="dxa"/>
            <w:shd w:val="clear" w:color="auto" w:fill="auto"/>
            <w:vAlign w:val="center"/>
          </w:tcPr>
          <w:p w14:paraId="2070A654" w14:textId="77777777" w:rsidR="00FA366A" w:rsidRPr="002C21B8" w:rsidRDefault="00FA366A" w:rsidP="00212D46">
            <w:pPr>
              <w:spacing w:after="0" w:line="240" w:lineRule="auto"/>
              <w:rPr>
                <w:sz w:val="20"/>
                <w:szCs w:val="20"/>
              </w:rPr>
            </w:pPr>
            <w:r w:rsidRPr="002C21B8">
              <w:rPr>
                <w:sz w:val="20"/>
                <w:szCs w:val="20"/>
              </w:rPr>
              <w:t>10</w:t>
            </w:r>
          </w:p>
        </w:tc>
        <w:tc>
          <w:tcPr>
            <w:tcW w:w="8504" w:type="dxa"/>
            <w:shd w:val="clear" w:color="auto" w:fill="auto"/>
            <w:vAlign w:val="bottom"/>
          </w:tcPr>
          <w:p w14:paraId="1CA9B3C9" w14:textId="77777777" w:rsidR="00FA366A" w:rsidRPr="002C21B8" w:rsidRDefault="00FA366A" w:rsidP="00212D46">
            <w:pPr>
              <w:spacing w:after="0" w:line="240" w:lineRule="auto"/>
              <w:rPr>
                <w:sz w:val="20"/>
                <w:szCs w:val="20"/>
              </w:rPr>
            </w:pPr>
            <w:r w:rsidRPr="002C21B8">
              <w:rPr>
                <w:sz w:val="20"/>
                <w:szCs w:val="20"/>
              </w:rPr>
              <w:t>exp cardiovascular disease/</w:t>
            </w:r>
          </w:p>
        </w:tc>
      </w:tr>
      <w:tr w:rsidR="00FA366A" w:rsidRPr="002C21B8" w14:paraId="48785125" w14:textId="77777777" w:rsidTr="00960A9F">
        <w:trPr>
          <w:trHeight w:val="320"/>
        </w:trPr>
        <w:tc>
          <w:tcPr>
            <w:tcW w:w="701" w:type="dxa"/>
            <w:shd w:val="clear" w:color="auto" w:fill="auto"/>
            <w:vAlign w:val="center"/>
          </w:tcPr>
          <w:p w14:paraId="30915D05" w14:textId="77777777" w:rsidR="00FA366A" w:rsidRPr="002C21B8" w:rsidRDefault="00FA366A" w:rsidP="00212D46">
            <w:pPr>
              <w:spacing w:after="0" w:line="240" w:lineRule="auto"/>
              <w:rPr>
                <w:sz w:val="20"/>
                <w:szCs w:val="20"/>
              </w:rPr>
            </w:pPr>
            <w:r w:rsidRPr="002C21B8">
              <w:rPr>
                <w:sz w:val="20"/>
                <w:szCs w:val="20"/>
              </w:rPr>
              <w:t>11</w:t>
            </w:r>
          </w:p>
        </w:tc>
        <w:tc>
          <w:tcPr>
            <w:tcW w:w="8504" w:type="dxa"/>
            <w:shd w:val="clear" w:color="auto" w:fill="auto"/>
            <w:vAlign w:val="bottom"/>
          </w:tcPr>
          <w:p w14:paraId="53AA547E" w14:textId="77777777" w:rsidR="00FA366A" w:rsidRPr="002C21B8" w:rsidRDefault="00FA366A" w:rsidP="00212D46">
            <w:pPr>
              <w:spacing w:after="0" w:line="240" w:lineRule="auto"/>
              <w:rPr>
                <w:sz w:val="20"/>
                <w:szCs w:val="20"/>
              </w:rPr>
            </w:pPr>
            <w:r w:rsidRPr="002C21B8">
              <w:rPr>
                <w:sz w:val="20"/>
                <w:szCs w:val="20"/>
              </w:rPr>
              <w:t>(angina or myocardial isch?mi*).ti.</w:t>
            </w:r>
          </w:p>
        </w:tc>
      </w:tr>
      <w:tr w:rsidR="00FA366A" w:rsidRPr="002C21B8" w14:paraId="0061711E" w14:textId="77777777" w:rsidTr="00960A9F">
        <w:trPr>
          <w:trHeight w:val="320"/>
        </w:trPr>
        <w:tc>
          <w:tcPr>
            <w:tcW w:w="701" w:type="dxa"/>
            <w:shd w:val="clear" w:color="auto" w:fill="auto"/>
            <w:vAlign w:val="center"/>
          </w:tcPr>
          <w:p w14:paraId="4ACDDD72" w14:textId="77777777" w:rsidR="00FA366A" w:rsidRPr="002C21B8" w:rsidRDefault="00FA366A" w:rsidP="00212D46">
            <w:pPr>
              <w:spacing w:after="0" w:line="240" w:lineRule="auto"/>
              <w:rPr>
                <w:sz w:val="20"/>
                <w:szCs w:val="20"/>
              </w:rPr>
            </w:pPr>
            <w:r w:rsidRPr="002C21B8">
              <w:rPr>
                <w:sz w:val="20"/>
                <w:szCs w:val="20"/>
              </w:rPr>
              <w:t>12</w:t>
            </w:r>
          </w:p>
        </w:tc>
        <w:tc>
          <w:tcPr>
            <w:tcW w:w="8504" w:type="dxa"/>
            <w:shd w:val="clear" w:color="auto" w:fill="auto"/>
            <w:vAlign w:val="bottom"/>
          </w:tcPr>
          <w:p w14:paraId="56B5328F" w14:textId="77777777" w:rsidR="00FA366A" w:rsidRPr="002C21B8" w:rsidRDefault="00FA366A" w:rsidP="00212D46">
            <w:pPr>
              <w:spacing w:after="0" w:line="240" w:lineRule="auto"/>
              <w:rPr>
                <w:sz w:val="20"/>
                <w:szCs w:val="20"/>
              </w:rPr>
            </w:pPr>
            <w:r w:rsidRPr="002C21B8">
              <w:rPr>
                <w:sz w:val="20"/>
                <w:szCs w:val="20"/>
              </w:rPr>
              <w:t>exp angioedema/</w:t>
            </w:r>
          </w:p>
        </w:tc>
      </w:tr>
      <w:tr w:rsidR="00FA366A" w:rsidRPr="002C21B8" w14:paraId="1CC9811C" w14:textId="77777777" w:rsidTr="00960A9F">
        <w:trPr>
          <w:trHeight w:val="320"/>
        </w:trPr>
        <w:tc>
          <w:tcPr>
            <w:tcW w:w="701" w:type="dxa"/>
            <w:shd w:val="clear" w:color="auto" w:fill="auto"/>
            <w:vAlign w:val="center"/>
          </w:tcPr>
          <w:p w14:paraId="353D4538" w14:textId="77777777" w:rsidR="00FA366A" w:rsidRPr="002C21B8" w:rsidRDefault="00FA366A" w:rsidP="00212D46">
            <w:pPr>
              <w:spacing w:after="0" w:line="240" w:lineRule="auto"/>
              <w:rPr>
                <w:sz w:val="20"/>
                <w:szCs w:val="20"/>
              </w:rPr>
            </w:pPr>
            <w:r w:rsidRPr="002C21B8">
              <w:rPr>
                <w:sz w:val="20"/>
                <w:szCs w:val="20"/>
              </w:rPr>
              <w:t>13</w:t>
            </w:r>
          </w:p>
        </w:tc>
        <w:tc>
          <w:tcPr>
            <w:tcW w:w="8504" w:type="dxa"/>
            <w:shd w:val="clear" w:color="auto" w:fill="auto"/>
            <w:vAlign w:val="bottom"/>
          </w:tcPr>
          <w:p w14:paraId="0A954D77" w14:textId="77777777" w:rsidR="00FA366A" w:rsidRPr="002C21B8" w:rsidRDefault="00FA366A" w:rsidP="00212D46">
            <w:pPr>
              <w:spacing w:after="0" w:line="240" w:lineRule="auto"/>
              <w:rPr>
                <w:sz w:val="20"/>
                <w:szCs w:val="20"/>
              </w:rPr>
            </w:pPr>
            <w:r w:rsidRPr="002C21B8">
              <w:rPr>
                <w:sz w:val="20"/>
                <w:szCs w:val="20"/>
              </w:rPr>
              <w:t>(angioedema or (hereditary adj (angioedema* or angioneurotic edema*))).ti.</w:t>
            </w:r>
          </w:p>
        </w:tc>
      </w:tr>
      <w:tr w:rsidR="00FA366A" w:rsidRPr="002C21B8" w14:paraId="1D3EAA97" w14:textId="77777777" w:rsidTr="00960A9F">
        <w:trPr>
          <w:trHeight w:val="320"/>
        </w:trPr>
        <w:tc>
          <w:tcPr>
            <w:tcW w:w="701" w:type="dxa"/>
            <w:shd w:val="clear" w:color="auto" w:fill="auto"/>
            <w:vAlign w:val="center"/>
          </w:tcPr>
          <w:p w14:paraId="796ACF75" w14:textId="77777777" w:rsidR="00FA366A" w:rsidRPr="002C21B8" w:rsidRDefault="00FA366A" w:rsidP="00212D46">
            <w:pPr>
              <w:spacing w:after="0" w:line="240" w:lineRule="auto"/>
              <w:rPr>
                <w:sz w:val="20"/>
                <w:szCs w:val="20"/>
              </w:rPr>
            </w:pPr>
            <w:r w:rsidRPr="002C21B8">
              <w:rPr>
                <w:sz w:val="20"/>
                <w:szCs w:val="20"/>
              </w:rPr>
              <w:t>14</w:t>
            </w:r>
          </w:p>
        </w:tc>
        <w:tc>
          <w:tcPr>
            <w:tcW w:w="8504" w:type="dxa"/>
            <w:shd w:val="clear" w:color="auto" w:fill="auto"/>
            <w:vAlign w:val="bottom"/>
          </w:tcPr>
          <w:p w14:paraId="11A5B5DD" w14:textId="77777777" w:rsidR="00FA366A" w:rsidRPr="002C21B8" w:rsidRDefault="00FA366A" w:rsidP="00212D46">
            <w:pPr>
              <w:spacing w:after="0" w:line="240" w:lineRule="auto"/>
              <w:rPr>
                <w:sz w:val="20"/>
                <w:szCs w:val="20"/>
              </w:rPr>
            </w:pPr>
            <w:r w:rsidRPr="002C21B8">
              <w:rPr>
                <w:sz w:val="20"/>
                <w:szCs w:val="20"/>
              </w:rPr>
              <w:t>exp arthritis/</w:t>
            </w:r>
          </w:p>
        </w:tc>
      </w:tr>
      <w:tr w:rsidR="00FA366A" w:rsidRPr="002C21B8" w14:paraId="7E9311E3" w14:textId="77777777" w:rsidTr="00960A9F">
        <w:trPr>
          <w:trHeight w:val="320"/>
        </w:trPr>
        <w:tc>
          <w:tcPr>
            <w:tcW w:w="701" w:type="dxa"/>
            <w:shd w:val="clear" w:color="auto" w:fill="auto"/>
            <w:vAlign w:val="center"/>
          </w:tcPr>
          <w:p w14:paraId="08232B64" w14:textId="77777777" w:rsidR="00FA366A" w:rsidRPr="002C21B8" w:rsidRDefault="00FA366A" w:rsidP="00212D46">
            <w:pPr>
              <w:spacing w:after="0" w:line="240" w:lineRule="auto"/>
              <w:rPr>
                <w:sz w:val="20"/>
                <w:szCs w:val="20"/>
              </w:rPr>
            </w:pPr>
            <w:r w:rsidRPr="002C21B8">
              <w:rPr>
                <w:sz w:val="20"/>
                <w:szCs w:val="20"/>
              </w:rPr>
              <w:t>15</w:t>
            </w:r>
          </w:p>
        </w:tc>
        <w:tc>
          <w:tcPr>
            <w:tcW w:w="8504" w:type="dxa"/>
            <w:shd w:val="clear" w:color="auto" w:fill="auto"/>
            <w:vAlign w:val="bottom"/>
          </w:tcPr>
          <w:p w14:paraId="48444836" w14:textId="77777777" w:rsidR="00FA366A" w:rsidRPr="002C21B8" w:rsidRDefault="00FA366A" w:rsidP="00212D46">
            <w:pPr>
              <w:spacing w:after="0" w:line="240" w:lineRule="auto"/>
              <w:rPr>
                <w:sz w:val="20"/>
                <w:szCs w:val="20"/>
              </w:rPr>
            </w:pPr>
            <w:r w:rsidRPr="002C21B8">
              <w:rPr>
                <w:sz w:val="20"/>
                <w:szCs w:val="20"/>
              </w:rPr>
              <w:t>((rheumatic or rheumatoid) adj3 (arthrit* or artrit* or diseas* or condition* or nodule*)).ti.</w:t>
            </w:r>
          </w:p>
        </w:tc>
      </w:tr>
      <w:tr w:rsidR="00FA366A" w:rsidRPr="002C21B8" w14:paraId="65465E59" w14:textId="77777777" w:rsidTr="00960A9F">
        <w:trPr>
          <w:trHeight w:val="320"/>
        </w:trPr>
        <w:tc>
          <w:tcPr>
            <w:tcW w:w="701" w:type="dxa"/>
            <w:shd w:val="clear" w:color="auto" w:fill="auto"/>
            <w:vAlign w:val="center"/>
          </w:tcPr>
          <w:p w14:paraId="6B221C3C" w14:textId="77777777" w:rsidR="00FA366A" w:rsidRPr="002C21B8" w:rsidRDefault="00FA366A" w:rsidP="00212D46">
            <w:pPr>
              <w:spacing w:after="0" w:line="240" w:lineRule="auto"/>
              <w:rPr>
                <w:sz w:val="20"/>
                <w:szCs w:val="20"/>
              </w:rPr>
            </w:pPr>
            <w:r w:rsidRPr="002C21B8">
              <w:rPr>
                <w:sz w:val="20"/>
                <w:szCs w:val="20"/>
              </w:rPr>
              <w:t>16</w:t>
            </w:r>
          </w:p>
        </w:tc>
        <w:tc>
          <w:tcPr>
            <w:tcW w:w="8504" w:type="dxa"/>
            <w:shd w:val="clear" w:color="auto" w:fill="auto"/>
            <w:vAlign w:val="bottom"/>
          </w:tcPr>
          <w:p w14:paraId="16A223DC" w14:textId="77777777" w:rsidR="00FA366A" w:rsidRPr="002C21B8" w:rsidRDefault="00FA366A" w:rsidP="00212D46">
            <w:pPr>
              <w:spacing w:after="0" w:line="240" w:lineRule="auto"/>
              <w:rPr>
                <w:sz w:val="20"/>
                <w:szCs w:val="20"/>
              </w:rPr>
            </w:pPr>
            <w:r w:rsidRPr="002C21B8">
              <w:rPr>
                <w:sz w:val="20"/>
                <w:szCs w:val="20"/>
              </w:rPr>
              <w:t>exp aphasia/</w:t>
            </w:r>
          </w:p>
        </w:tc>
      </w:tr>
      <w:tr w:rsidR="00FA366A" w:rsidRPr="002C21B8" w14:paraId="7D65ECA4" w14:textId="77777777" w:rsidTr="00960A9F">
        <w:trPr>
          <w:trHeight w:val="320"/>
        </w:trPr>
        <w:tc>
          <w:tcPr>
            <w:tcW w:w="701" w:type="dxa"/>
            <w:shd w:val="clear" w:color="auto" w:fill="auto"/>
            <w:vAlign w:val="center"/>
          </w:tcPr>
          <w:p w14:paraId="579E7BB6" w14:textId="77777777" w:rsidR="00FA366A" w:rsidRPr="002C21B8" w:rsidRDefault="00FA366A" w:rsidP="00212D46">
            <w:pPr>
              <w:spacing w:after="0" w:line="240" w:lineRule="auto"/>
              <w:rPr>
                <w:sz w:val="20"/>
                <w:szCs w:val="20"/>
              </w:rPr>
            </w:pPr>
            <w:r w:rsidRPr="002C21B8">
              <w:rPr>
                <w:sz w:val="20"/>
                <w:szCs w:val="20"/>
              </w:rPr>
              <w:t>17</w:t>
            </w:r>
          </w:p>
        </w:tc>
        <w:tc>
          <w:tcPr>
            <w:tcW w:w="8504" w:type="dxa"/>
            <w:shd w:val="clear" w:color="auto" w:fill="auto"/>
            <w:vAlign w:val="bottom"/>
          </w:tcPr>
          <w:p w14:paraId="75FCC6DC" w14:textId="77777777" w:rsidR="00FA366A" w:rsidRPr="002C21B8" w:rsidRDefault="00FA366A" w:rsidP="00212D46">
            <w:pPr>
              <w:spacing w:after="0" w:line="240" w:lineRule="auto"/>
              <w:rPr>
                <w:sz w:val="20"/>
                <w:szCs w:val="20"/>
              </w:rPr>
            </w:pPr>
            <w:r w:rsidRPr="002C21B8">
              <w:rPr>
                <w:sz w:val="20"/>
                <w:szCs w:val="20"/>
              </w:rPr>
              <w:t>(primary progressive aphasia or aphasia or dysphasia).ti.</w:t>
            </w:r>
          </w:p>
        </w:tc>
      </w:tr>
      <w:tr w:rsidR="00FA366A" w:rsidRPr="002C21B8" w14:paraId="3045DBBD" w14:textId="77777777" w:rsidTr="00960A9F">
        <w:trPr>
          <w:trHeight w:val="320"/>
        </w:trPr>
        <w:tc>
          <w:tcPr>
            <w:tcW w:w="701" w:type="dxa"/>
            <w:shd w:val="clear" w:color="auto" w:fill="auto"/>
            <w:vAlign w:val="center"/>
          </w:tcPr>
          <w:p w14:paraId="4A34400C" w14:textId="77777777" w:rsidR="00FA366A" w:rsidRPr="002C21B8" w:rsidRDefault="00FA366A" w:rsidP="00212D46">
            <w:pPr>
              <w:spacing w:after="0" w:line="240" w:lineRule="auto"/>
              <w:rPr>
                <w:sz w:val="20"/>
                <w:szCs w:val="20"/>
              </w:rPr>
            </w:pPr>
            <w:r w:rsidRPr="002C21B8">
              <w:rPr>
                <w:sz w:val="20"/>
                <w:szCs w:val="20"/>
              </w:rPr>
              <w:t>18</w:t>
            </w:r>
          </w:p>
        </w:tc>
        <w:tc>
          <w:tcPr>
            <w:tcW w:w="8504" w:type="dxa"/>
            <w:shd w:val="clear" w:color="auto" w:fill="auto"/>
            <w:vAlign w:val="bottom"/>
          </w:tcPr>
          <w:p w14:paraId="5189D890" w14:textId="77777777" w:rsidR="00FA366A" w:rsidRPr="002C21B8" w:rsidRDefault="00FA366A" w:rsidP="00212D46">
            <w:pPr>
              <w:spacing w:after="0" w:line="240" w:lineRule="auto"/>
              <w:rPr>
                <w:sz w:val="20"/>
                <w:szCs w:val="20"/>
              </w:rPr>
            </w:pPr>
            <w:r w:rsidRPr="002C21B8">
              <w:rPr>
                <w:sz w:val="20"/>
                <w:szCs w:val="20"/>
              </w:rPr>
              <w:t>exp ataxia/</w:t>
            </w:r>
          </w:p>
        </w:tc>
      </w:tr>
      <w:tr w:rsidR="00FA366A" w:rsidRPr="002C21B8" w14:paraId="1F0EA62F" w14:textId="77777777" w:rsidTr="00960A9F">
        <w:trPr>
          <w:trHeight w:val="320"/>
        </w:trPr>
        <w:tc>
          <w:tcPr>
            <w:tcW w:w="701" w:type="dxa"/>
            <w:shd w:val="clear" w:color="auto" w:fill="auto"/>
            <w:vAlign w:val="center"/>
          </w:tcPr>
          <w:p w14:paraId="030BA9D2" w14:textId="77777777" w:rsidR="00FA366A" w:rsidRPr="002C21B8" w:rsidRDefault="00FA366A" w:rsidP="00212D46">
            <w:pPr>
              <w:spacing w:after="0" w:line="240" w:lineRule="auto"/>
              <w:rPr>
                <w:sz w:val="20"/>
                <w:szCs w:val="20"/>
              </w:rPr>
            </w:pPr>
            <w:r w:rsidRPr="002C21B8">
              <w:rPr>
                <w:sz w:val="20"/>
                <w:szCs w:val="20"/>
              </w:rPr>
              <w:t>19</w:t>
            </w:r>
          </w:p>
        </w:tc>
        <w:tc>
          <w:tcPr>
            <w:tcW w:w="8504" w:type="dxa"/>
            <w:shd w:val="clear" w:color="auto" w:fill="auto"/>
            <w:vAlign w:val="bottom"/>
          </w:tcPr>
          <w:p w14:paraId="717E8DB1" w14:textId="77777777" w:rsidR="00FA366A" w:rsidRPr="002C21B8" w:rsidRDefault="00FA366A" w:rsidP="00212D46">
            <w:pPr>
              <w:spacing w:after="0" w:line="240" w:lineRule="auto"/>
              <w:rPr>
                <w:sz w:val="20"/>
                <w:szCs w:val="20"/>
              </w:rPr>
            </w:pPr>
            <w:r w:rsidRPr="002C21B8">
              <w:rPr>
                <w:sz w:val="20"/>
                <w:szCs w:val="20"/>
              </w:rPr>
              <w:t>((cerebell* or spinocerebell*) adj (ataxia* or incoordination)).ti.</w:t>
            </w:r>
          </w:p>
        </w:tc>
      </w:tr>
      <w:tr w:rsidR="00FA366A" w:rsidRPr="002C21B8" w14:paraId="3E15D905" w14:textId="77777777" w:rsidTr="00960A9F">
        <w:trPr>
          <w:trHeight w:val="320"/>
        </w:trPr>
        <w:tc>
          <w:tcPr>
            <w:tcW w:w="701" w:type="dxa"/>
            <w:shd w:val="clear" w:color="auto" w:fill="auto"/>
            <w:vAlign w:val="center"/>
          </w:tcPr>
          <w:p w14:paraId="100A0C41" w14:textId="77777777" w:rsidR="00FA366A" w:rsidRPr="002C21B8" w:rsidRDefault="00FA366A" w:rsidP="00212D46">
            <w:pPr>
              <w:spacing w:after="0" w:line="240" w:lineRule="auto"/>
              <w:rPr>
                <w:sz w:val="20"/>
                <w:szCs w:val="20"/>
              </w:rPr>
            </w:pPr>
            <w:r w:rsidRPr="002C21B8">
              <w:rPr>
                <w:sz w:val="20"/>
                <w:szCs w:val="20"/>
              </w:rPr>
              <w:t>20</w:t>
            </w:r>
          </w:p>
        </w:tc>
        <w:tc>
          <w:tcPr>
            <w:tcW w:w="8504" w:type="dxa"/>
            <w:shd w:val="clear" w:color="auto" w:fill="auto"/>
            <w:vAlign w:val="bottom"/>
          </w:tcPr>
          <w:p w14:paraId="6C84CF69" w14:textId="77777777" w:rsidR="00FA366A" w:rsidRPr="002C21B8" w:rsidRDefault="00FA366A" w:rsidP="00212D46">
            <w:pPr>
              <w:spacing w:after="0" w:line="240" w:lineRule="auto"/>
              <w:rPr>
                <w:sz w:val="20"/>
                <w:szCs w:val="20"/>
              </w:rPr>
            </w:pPr>
            <w:r w:rsidRPr="002C21B8">
              <w:rPr>
                <w:sz w:val="20"/>
                <w:szCs w:val="20"/>
              </w:rPr>
              <w:t>exp autoimmune diseases/</w:t>
            </w:r>
          </w:p>
        </w:tc>
      </w:tr>
      <w:tr w:rsidR="00FA366A" w:rsidRPr="002C21B8" w14:paraId="39647DCE" w14:textId="77777777" w:rsidTr="00960A9F">
        <w:trPr>
          <w:trHeight w:val="320"/>
        </w:trPr>
        <w:tc>
          <w:tcPr>
            <w:tcW w:w="701" w:type="dxa"/>
            <w:shd w:val="clear" w:color="auto" w:fill="auto"/>
            <w:vAlign w:val="center"/>
          </w:tcPr>
          <w:p w14:paraId="6733619E" w14:textId="77777777" w:rsidR="00FA366A" w:rsidRPr="002C21B8" w:rsidRDefault="00FA366A" w:rsidP="00212D46">
            <w:pPr>
              <w:spacing w:after="0" w:line="240" w:lineRule="auto"/>
              <w:rPr>
                <w:sz w:val="20"/>
                <w:szCs w:val="20"/>
              </w:rPr>
            </w:pPr>
            <w:r w:rsidRPr="002C21B8">
              <w:rPr>
                <w:sz w:val="20"/>
                <w:szCs w:val="20"/>
              </w:rPr>
              <w:t>21</w:t>
            </w:r>
          </w:p>
        </w:tc>
        <w:tc>
          <w:tcPr>
            <w:tcW w:w="8504" w:type="dxa"/>
            <w:shd w:val="clear" w:color="auto" w:fill="auto"/>
            <w:vAlign w:val="bottom"/>
          </w:tcPr>
          <w:p w14:paraId="3934CB35" w14:textId="77777777" w:rsidR="00FA366A" w:rsidRPr="002C21B8" w:rsidRDefault="00FA366A" w:rsidP="00212D46">
            <w:pPr>
              <w:spacing w:after="0" w:line="240" w:lineRule="auto"/>
              <w:rPr>
                <w:sz w:val="20"/>
                <w:szCs w:val="20"/>
              </w:rPr>
            </w:pPr>
            <w:r w:rsidRPr="002C21B8">
              <w:rPr>
                <w:sz w:val="20"/>
                <w:szCs w:val="20"/>
              </w:rPr>
              <w:t>(overact* disease or autoimmune thyroid disease or ank* spondy* or h?emolytic an?emia or multiple sclerosis or myasthenia gravis or immune thrombocytopen* purpura or scleroderma or polyarteriti* nodosa or pernicious an?emia or vitiligo or psoriasis or primary biliary cirrhosis).ti.</w:t>
            </w:r>
          </w:p>
        </w:tc>
      </w:tr>
      <w:tr w:rsidR="00FA366A" w:rsidRPr="002C21B8" w14:paraId="55EB4CD0" w14:textId="77777777" w:rsidTr="00960A9F">
        <w:trPr>
          <w:trHeight w:val="320"/>
        </w:trPr>
        <w:tc>
          <w:tcPr>
            <w:tcW w:w="701" w:type="dxa"/>
            <w:shd w:val="clear" w:color="auto" w:fill="auto"/>
            <w:vAlign w:val="center"/>
          </w:tcPr>
          <w:p w14:paraId="5F3B2199" w14:textId="77777777" w:rsidR="00FA366A" w:rsidRPr="002C21B8" w:rsidRDefault="00FA366A" w:rsidP="00212D46">
            <w:pPr>
              <w:spacing w:after="0" w:line="240" w:lineRule="auto"/>
              <w:rPr>
                <w:sz w:val="20"/>
                <w:szCs w:val="20"/>
              </w:rPr>
            </w:pPr>
            <w:r w:rsidRPr="002C21B8">
              <w:rPr>
                <w:sz w:val="20"/>
                <w:szCs w:val="20"/>
              </w:rPr>
              <w:t>22</w:t>
            </w:r>
          </w:p>
        </w:tc>
        <w:tc>
          <w:tcPr>
            <w:tcW w:w="8504" w:type="dxa"/>
            <w:shd w:val="clear" w:color="auto" w:fill="auto"/>
            <w:vAlign w:val="bottom"/>
          </w:tcPr>
          <w:p w14:paraId="7A84DBA5" w14:textId="77777777" w:rsidR="00FA366A" w:rsidRPr="002C21B8" w:rsidRDefault="00FA366A" w:rsidP="00212D46">
            <w:pPr>
              <w:spacing w:after="0" w:line="240" w:lineRule="auto"/>
              <w:rPr>
                <w:sz w:val="20"/>
                <w:szCs w:val="20"/>
              </w:rPr>
            </w:pPr>
            <w:r w:rsidRPr="002C21B8">
              <w:rPr>
                <w:sz w:val="20"/>
                <w:szCs w:val="20"/>
              </w:rPr>
              <w:t>exp hematologic diseases/</w:t>
            </w:r>
          </w:p>
        </w:tc>
      </w:tr>
      <w:tr w:rsidR="00FA366A" w:rsidRPr="002C21B8" w14:paraId="7C04EB41" w14:textId="77777777" w:rsidTr="00960A9F">
        <w:trPr>
          <w:trHeight w:val="320"/>
        </w:trPr>
        <w:tc>
          <w:tcPr>
            <w:tcW w:w="701" w:type="dxa"/>
            <w:shd w:val="clear" w:color="auto" w:fill="auto"/>
            <w:vAlign w:val="center"/>
          </w:tcPr>
          <w:p w14:paraId="3EEEBBC7" w14:textId="77777777" w:rsidR="00FA366A" w:rsidRPr="002C21B8" w:rsidRDefault="00FA366A" w:rsidP="00212D46">
            <w:pPr>
              <w:spacing w:after="0" w:line="240" w:lineRule="auto"/>
              <w:rPr>
                <w:sz w:val="20"/>
                <w:szCs w:val="20"/>
              </w:rPr>
            </w:pPr>
            <w:r w:rsidRPr="002C21B8">
              <w:rPr>
                <w:sz w:val="20"/>
                <w:szCs w:val="20"/>
              </w:rPr>
              <w:t>23</w:t>
            </w:r>
          </w:p>
        </w:tc>
        <w:tc>
          <w:tcPr>
            <w:tcW w:w="8504" w:type="dxa"/>
            <w:shd w:val="clear" w:color="auto" w:fill="auto"/>
            <w:vAlign w:val="bottom"/>
          </w:tcPr>
          <w:p w14:paraId="67A69091" w14:textId="77777777" w:rsidR="00FA366A" w:rsidRPr="002C21B8" w:rsidRDefault="00FA366A" w:rsidP="00212D46">
            <w:pPr>
              <w:spacing w:after="0" w:line="240" w:lineRule="auto"/>
              <w:rPr>
                <w:sz w:val="20"/>
                <w:szCs w:val="20"/>
              </w:rPr>
            </w:pPr>
            <w:r w:rsidRPr="002C21B8">
              <w:rPr>
                <w:sz w:val="20"/>
                <w:szCs w:val="20"/>
              </w:rPr>
              <w:t>(leukaemi* or myeloma or lymphoma).ti.</w:t>
            </w:r>
          </w:p>
        </w:tc>
      </w:tr>
      <w:tr w:rsidR="00FA366A" w:rsidRPr="002C21B8" w14:paraId="466D046D" w14:textId="77777777" w:rsidTr="00960A9F">
        <w:trPr>
          <w:trHeight w:val="320"/>
        </w:trPr>
        <w:tc>
          <w:tcPr>
            <w:tcW w:w="701" w:type="dxa"/>
            <w:shd w:val="clear" w:color="auto" w:fill="auto"/>
            <w:vAlign w:val="center"/>
          </w:tcPr>
          <w:p w14:paraId="63C221FC" w14:textId="77777777" w:rsidR="00FA366A" w:rsidRPr="002C21B8" w:rsidRDefault="00FA366A" w:rsidP="00212D46">
            <w:pPr>
              <w:spacing w:after="0" w:line="240" w:lineRule="auto"/>
              <w:rPr>
                <w:sz w:val="20"/>
                <w:szCs w:val="20"/>
              </w:rPr>
            </w:pPr>
            <w:r w:rsidRPr="002C21B8">
              <w:rPr>
                <w:sz w:val="20"/>
                <w:szCs w:val="20"/>
              </w:rPr>
              <w:t>24</w:t>
            </w:r>
          </w:p>
        </w:tc>
        <w:tc>
          <w:tcPr>
            <w:tcW w:w="8504" w:type="dxa"/>
            <w:shd w:val="clear" w:color="auto" w:fill="auto"/>
            <w:vAlign w:val="bottom"/>
          </w:tcPr>
          <w:p w14:paraId="299EA6AD" w14:textId="77777777" w:rsidR="00FA366A" w:rsidRPr="002C21B8" w:rsidRDefault="00FA366A" w:rsidP="00212D46">
            <w:pPr>
              <w:spacing w:after="0" w:line="240" w:lineRule="auto"/>
              <w:rPr>
                <w:sz w:val="20"/>
                <w:szCs w:val="20"/>
              </w:rPr>
            </w:pPr>
            <w:r w:rsidRPr="002C21B8">
              <w:rPr>
                <w:sz w:val="20"/>
                <w:szCs w:val="20"/>
              </w:rPr>
              <w:t>exp stroke/</w:t>
            </w:r>
          </w:p>
        </w:tc>
      </w:tr>
      <w:tr w:rsidR="00FA366A" w:rsidRPr="002C21B8" w14:paraId="6FD82709" w14:textId="77777777" w:rsidTr="00960A9F">
        <w:trPr>
          <w:trHeight w:val="320"/>
        </w:trPr>
        <w:tc>
          <w:tcPr>
            <w:tcW w:w="701" w:type="dxa"/>
            <w:shd w:val="clear" w:color="auto" w:fill="auto"/>
            <w:vAlign w:val="center"/>
          </w:tcPr>
          <w:p w14:paraId="5F4FB1AC" w14:textId="77777777" w:rsidR="00FA366A" w:rsidRPr="002C21B8" w:rsidRDefault="00FA366A" w:rsidP="00212D46">
            <w:pPr>
              <w:spacing w:after="0" w:line="240" w:lineRule="auto"/>
              <w:rPr>
                <w:sz w:val="20"/>
                <w:szCs w:val="20"/>
              </w:rPr>
            </w:pPr>
            <w:r w:rsidRPr="002C21B8">
              <w:rPr>
                <w:sz w:val="20"/>
                <w:szCs w:val="20"/>
              </w:rPr>
              <w:t>25</w:t>
            </w:r>
          </w:p>
        </w:tc>
        <w:tc>
          <w:tcPr>
            <w:tcW w:w="8504" w:type="dxa"/>
            <w:shd w:val="clear" w:color="auto" w:fill="auto"/>
            <w:vAlign w:val="bottom"/>
          </w:tcPr>
          <w:p w14:paraId="0F5FF8CA" w14:textId="77777777" w:rsidR="00FA366A" w:rsidRPr="002C21B8" w:rsidRDefault="00FA366A" w:rsidP="00212D46">
            <w:pPr>
              <w:spacing w:after="0" w:line="240" w:lineRule="auto"/>
              <w:rPr>
                <w:sz w:val="20"/>
                <w:szCs w:val="20"/>
              </w:rPr>
            </w:pPr>
            <w:r w:rsidRPr="002C21B8">
              <w:rPr>
                <w:sz w:val="20"/>
                <w:szCs w:val="20"/>
              </w:rPr>
              <w:t>exp brain ischemia/</w:t>
            </w:r>
          </w:p>
        </w:tc>
      </w:tr>
      <w:tr w:rsidR="00FA366A" w:rsidRPr="002C21B8" w14:paraId="58222BEA" w14:textId="77777777" w:rsidTr="00960A9F">
        <w:trPr>
          <w:trHeight w:val="320"/>
        </w:trPr>
        <w:tc>
          <w:tcPr>
            <w:tcW w:w="701" w:type="dxa"/>
            <w:shd w:val="clear" w:color="auto" w:fill="auto"/>
            <w:vAlign w:val="center"/>
          </w:tcPr>
          <w:p w14:paraId="525E7350" w14:textId="77777777" w:rsidR="00FA366A" w:rsidRPr="002C21B8" w:rsidRDefault="00FA366A" w:rsidP="00212D46">
            <w:pPr>
              <w:spacing w:after="0" w:line="240" w:lineRule="auto"/>
              <w:rPr>
                <w:sz w:val="20"/>
                <w:szCs w:val="20"/>
              </w:rPr>
            </w:pPr>
            <w:r w:rsidRPr="002C21B8">
              <w:rPr>
                <w:sz w:val="20"/>
                <w:szCs w:val="20"/>
              </w:rPr>
              <w:t>26</w:t>
            </w:r>
          </w:p>
        </w:tc>
        <w:tc>
          <w:tcPr>
            <w:tcW w:w="8504" w:type="dxa"/>
            <w:shd w:val="clear" w:color="auto" w:fill="auto"/>
            <w:vAlign w:val="bottom"/>
          </w:tcPr>
          <w:p w14:paraId="0C7AA53F" w14:textId="77777777" w:rsidR="00FA366A" w:rsidRPr="002C21B8" w:rsidRDefault="00FA366A" w:rsidP="00212D46">
            <w:pPr>
              <w:spacing w:after="0" w:line="240" w:lineRule="auto"/>
              <w:rPr>
                <w:sz w:val="20"/>
                <w:szCs w:val="20"/>
              </w:rPr>
            </w:pPr>
            <w:r w:rsidRPr="002C21B8">
              <w:rPr>
                <w:sz w:val="20"/>
                <w:szCs w:val="20"/>
              </w:rPr>
              <w:t>ischemic attack, transient/</w:t>
            </w:r>
          </w:p>
        </w:tc>
      </w:tr>
      <w:tr w:rsidR="00FA366A" w:rsidRPr="002C21B8" w14:paraId="07E99B74" w14:textId="77777777" w:rsidTr="00960A9F">
        <w:trPr>
          <w:trHeight w:val="320"/>
        </w:trPr>
        <w:tc>
          <w:tcPr>
            <w:tcW w:w="701" w:type="dxa"/>
            <w:shd w:val="clear" w:color="auto" w:fill="auto"/>
            <w:vAlign w:val="center"/>
          </w:tcPr>
          <w:p w14:paraId="31FB9B88" w14:textId="77777777" w:rsidR="00FA366A" w:rsidRPr="002C21B8" w:rsidRDefault="00FA366A" w:rsidP="00212D46">
            <w:pPr>
              <w:spacing w:after="0" w:line="240" w:lineRule="auto"/>
              <w:rPr>
                <w:sz w:val="20"/>
                <w:szCs w:val="20"/>
              </w:rPr>
            </w:pPr>
            <w:r w:rsidRPr="002C21B8">
              <w:rPr>
                <w:sz w:val="20"/>
                <w:szCs w:val="20"/>
              </w:rPr>
              <w:t>27</w:t>
            </w:r>
          </w:p>
        </w:tc>
        <w:tc>
          <w:tcPr>
            <w:tcW w:w="8504" w:type="dxa"/>
            <w:shd w:val="clear" w:color="auto" w:fill="auto"/>
            <w:vAlign w:val="bottom"/>
          </w:tcPr>
          <w:p w14:paraId="1C8A7CFC" w14:textId="77777777" w:rsidR="00FA366A" w:rsidRPr="002C21B8" w:rsidRDefault="00FA366A" w:rsidP="00212D46">
            <w:pPr>
              <w:spacing w:after="0" w:line="240" w:lineRule="auto"/>
              <w:rPr>
                <w:sz w:val="20"/>
                <w:szCs w:val="20"/>
              </w:rPr>
            </w:pPr>
            <w:r w:rsidRPr="002C21B8">
              <w:rPr>
                <w:sz w:val="20"/>
                <w:szCs w:val="20"/>
              </w:rPr>
              <w:t>(stroke or poststroke or post-stroke or cerebrovascu* or brain vasc* or cerebral vasc* or cva* or apoplexy* or sah).ti.</w:t>
            </w:r>
          </w:p>
        </w:tc>
      </w:tr>
      <w:tr w:rsidR="00FA366A" w:rsidRPr="002C21B8" w14:paraId="65399CD1" w14:textId="77777777" w:rsidTr="00960A9F">
        <w:trPr>
          <w:trHeight w:val="320"/>
        </w:trPr>
        <w:tc>
          <w:tcPr>
            <w:tcW w:w="701" w:type="dxa"/>
            <w:shd w:val="clear" w:color="auto" w:fill="auto"/>
            <w:vAlign w:val="center"/>
          </w:tcPr>
          <w:p w14:paraId="27FD64B1" w14:textId="77777777" w:rsidR="00FA366A" w:rsidRPr="002C21B8" w:rsidRDefault="00FA366A" w:rsidP="00212D46">
            <w:pPr>
              <w:spacing w:after="0" w:line="240" w:lineRule="auto"/>
              <w:rPr>
                <w:sz w:val="20"/>
                <w:szCs w:val="20"/>
              </w:rPr>
            </w:pPr>
            <w:r w:rsidRPr="002C21B8">
              <w:rPr>
                <w:sz w:val="20"/>
                <w:szCs w:val="20"/>
              </w:rPr>
              <w:t>28</w:t>
            </w:r>
          </w:p>
        </w:tc>
        <w:tc>
          <w:tcPr>
            <w:tcW w:w="8504" w:type="dxa"/>
            <w:shd w:val="clear" w:color="auto" w:fill="auto"/>
            <w:vAlign w:val="bottom"/>
          </w:tcPr>
          <w:p w14:paraId="3F0CB2F1" w14:textId="77777777" w:rsidR="00FA366A" w:rsidRPr="002C21B8" w:rsidRDefault="00FA366A" w:rsidP="00212D46">
            <w:pPr>
              <w:spacing w:after="0" w:line="240" w:lineRule="auto"/>
              <w:rPr>
                <w:sz w:val="20"/>
                <w:szCs w:val="20"/>
              </w:rPr>
            </w:pPr>
            <w:r w:rsidRPr="002C21B8">
              <w:rPr>
                <w:sz w:val="20"/>
                <w:szCs w:val="20"/>
              </w:rPr>
              <w:t>((brain* or cerebr* or vascular or cerebel* or intracran* or intracerebral* or subarachnoid) adj (accident or isch?mi or infarct* or thrombo* or emboli* or occlus* or h?morrhage or h?matoma* or bleed*)).ti.</w:t>
            </w:r>
          </w:p>
        </w:tc>
      </w:tr>
      <w:tr w:rsidR="00FA366A" w:rsidRPr="002C21B8" w14:paraId="42A0662F" w14:textId="77777777" w:rsidTr="00960A9F">
        <w:trPr>
          <w:trHeight w:val="320"/>
        </w:trPr>
        <w:tc>
          <w:tcPr>
            <w:tcW w:w="701" w:type="dxa"/>
            <w:shd w:val="clear" w:color="auto" w:fill="auto"/>
            <w:vAlign w:val="center"/>
          </w:tcPr>
          <w:p w14:paraId="6E41F2E3" w14:textId="77777777" w:rsidR="00FA366A" w:rsidRPr="002C21B8" w:rsidRDefault="00FA366A" w:rsidP="00212D46">
            <w:pPr>
              <w:spacing w:after="0" w:line="240" w:lineRule="auto"/>
              <w:rPr>
                <w:sz w:val="20"/>
                <w:szCs w:val="20"/>
              </w:rPr>
            </w:pPr>
            <w:r w:rsidRPr="002C21B8">
              <w:rPr>
                <w:sz w:val="20"/>
                <w:szCs w:val="20"/>
              </w:rPr>
              <w:t>29</w:t>
            </w:r>
          </w:p>
        </w:tc>
        <w:tc>
          <w:tcPr>
            <w:tcW w:w="8504" w:type="dxa"/>
            <w:shd w:val="clear" w:color="auto" w:fill="auto"/>
            <w:vAlign w:val="bottom"/>
          </w:tcPr>
          <w:p w14:paraId="730FDD0E" w14:textId="77777777" w:rsidR="00FA366A" w:rsidRPr="002C21B8" w:rsidRDefault="00FA366A" w:rsidP="00212D46">
            <w:pPr>
              <w:spacing w:after="0" w:line="240" w:lineRule="auto"/>
              <w:rPr>
                <w:sz w:val="20"/>
                <w:szCs w:val="20"/>
              </w:rPr>
            </w:pPr>
            <w:r w:rsidRPr="002C21B8">
              <w:rPr>
                <w:sz w:val="20"/>
                <w:szCs w:val="20"/>
              </w:rPr>
              <w:t>exp burns/</w:t>
            </w:r>
          </w:p>
        </w:tc>
      </w:tr>
      <w:tr w:rsidR="00FA366A" w:rsidRPr="002C21B8" w14:paraId="04DDAB7C" w14:textId="77777777" w:rsidTr="00960A9F">
        <w:trPr>
          <w:trHeight w:val="320"/>
        </w:trPr>
        <w:tc>
          <w:tcPr>
            <w:tcW w:w="701" w:type="dxa"/>
            <w:shd w:val="clear" w:color="auto" w:fill="auto"/>
            <w:vAlign w:val="center"/>
          </w:tcPr>
          <w:p w14:paraId="1E7CFBE8" w14:textId="77777777" w:rsidR="00FA366A" w:rsidRPr="002C21B8" w:rsidRDefault="00FA366A" w:rsidP="00212D46">
            <w:pPr>
              <w:spacing w:after="0" w:line="240" w:lineRule="auto"/>
              <w:rPr>
                <w:sz w:val="20"/>
                <w:szCs w:val="20"/>
              </w:rPr>
            </w:pPr>
            <w:r w:rsidRPr="002C21B8">
              <w:rPr>
                <w:sz w:val="20"/>
                <w:szCs w:val="20"/>
              </w:rPr>
              <w:t>30</w:t>
            </w:r>
          </w:p>
        </w:tc>
        <w:tc>
          <w:tcPr>
            <w:tcW w:w="8504" w:type="dxa"/>
            <w:shd w:val="clear" w:color="auto" w:fill="auto"/>
            <w:vAlign w:val="bottom"/>
          </w:tcPr>
          <w:p w14:paraId="3BD8BD29" w14:textId="77777777" w:rsidR="00FA366A" w:rsidRPr="002C21B8" w:rsidRDefault="00FA366A" w:rsidP="00212D46">
            <w:pPr>
              <w:spacing w:after="0" w:line="240" w:lineRule="auto"/>
              <w:rPr>
                <w:sz w:val="20"/>
                <w:szCs w:val="20"/>
              </w:rPr>
            </w:pPr>
            <w:r w:rsidRPr="002C21B8">
              <w:rPr>
                <w:sz w:val="20"/>
                <w:szCs w:val="20"/>
              </w:rPr>
              <w:t>(burn* or scald*).ti.</w:t>
            </w:r>
          </w:p>
        </w:tc>
      </w:tr>
      <w:tr w:rsidR="00FA366A" w:rsidRPr="002C21B8" w14:paraId="4E680C69" w14:textId="77777777" w:rsidTr="00960A9F">
        <w:trPr>
          <w:trHeight w:val="320"/>
        </w:trPr>
        <w:tc>
          <w:tcPr>
            <w:tcW w:w="701" w:type="dxa"/>
            <w:shd w:val="clear" w:color="auto" w:fill="auto"/>
            <w:vAlign w:val="center"/>
          </w:tcPr>
          <w:p w14:paraId="47086281" w14:textId="77777777" w:rsidR="00FA366A" w:rsidRPr="002C21B8" w:rsidRDefault="00FA366A" w:rsidP="00212D46">
            <w:pPr>
              <w:spacing w:after="0" w:line="240" w:lineRule="auto"/>
              <w:rPr>
                <w:sz w:val="20"/>
                <w:szCs w:val="20"/>
              </w:rPr>
            </w:pPr>
            <w:r w:rsidRPr="002C21B8">
              <w:rPr>
                <w:sz w:val="20"/>
                <w:szCs w:val="20"/>
              </w:rPr>
              <w:t>31</w:t>
            </w:r>
          </w:p>
        </w:tc>
        <w:tc>
          <w:tcPr>
            <w:tcW w:w="8504" w:type="dxa"/>
            <w:shd w:val="clear" w:color="auto" w:fill="auto"/>
            <w:vAlign w:val="bottom"/>
          </w:tcPr>
          <w:p w14:paraId="27B7BA05" w14:textId="77777777" w:rsidR="00FA366A" w:rsidRPr="002C21B8" w:rsidRDefault="00FA366A" w:rsidP="00212D46">
            <w:pPr>
              <w:spacing w:after="0" w:line="240" w:lineRule="auto"/>
              <w:rPr>
                <w:sz w:val="20"/>
                <w:szCs w:val="20"/>
              </w:rPr>
            </w:pPr>
            <w:r w:rsidRPr="002C21B8">
              <w:rPr>
                <w:sz w:val="20"/>
                <w:szCs w:val="20"/>
              </w:rPr>
              <w:t>exp neoplasms/</w:t>
            </w:r>
          </w:p>
        </w:tc>
      </w:tr>
      <w:tr w:rsidR="00FA366A" w:rsidRPr="002C21B8" w14:paraId="3C7AB154" w14:textId="77777777" w:rsidTr="00960A9F">
        <w:trPr>
          <w:trHeight w:val="320"/>
        </w:trPr>
        <w:tc>
          <w:tcPr>
            <w:tcW w:w="701" w:type="dxa"/>
            <w:shd w:val="clear" w:color="auto" w:fill="auto"/>
            <w:vAlign w:val="center"/>
          </w:tcPr>
          <w:p w14:paraId="08B0F3A3" w14:textId="77777777" w:rsidR="00FA366A" w:rsidRPr="002C21B8" w:rsidRDefault="00FA366A" w:rsidP="00212D46">
            <w:pPr>
              <w:spacing w:after="0" w:line="240" w:lineRule="auto"/>
              <w:rPr>
                <w:sz w:val="20"/>
                <w:szCs w:val="20"/>
              </w:rPr>
            </w:pPr>
            <w:r w:rsidRPr="002C21B8">
              <w:rPr>
                <w:sz w:val="20"/>
                <w:szCs w:val="20"/>
              </w:rPr>
              <w:t>32</w:t>
            </w:r>
          </w:p>
        </w:tc>
        <w:tc>
          <w:tcPr>
            <w:tcW w:w="8504" w:type="dxa"/>
            <w:shd w:val="clear" w:color="auto" w:fill="auto"/>
            <w:vAlign w:val="bottom"/>
          </w:tcPr>
          <w:p w14:paraId="077F5F61" w14:textId="77777777" w:rsidR="00FA366A" w:rsidRPr="002C21B8" w:rsidRDefault="00FA366A" w:rsidP="00212D46">
            <w:pPr>
              <w:spacing w:after="0" w:line="240" w:lineRule="auto"/>
              <w:rPr>
                <w:sz w:val="20"/>
                <w:szCs w:val="20"/>
              </w:rPr>
            </w:pPr>
            <w:r w:rsidRPr="002C21B8">
              <w:rPr>
                <w:sz w:val="20"/>
                <w:szCs w:val="20"/>
              </w:rPr>
              <w:t>(cancer* or oncolog* or neoplasm* or carcinom* or tumo?r* or malignan* or leuk?emia).ti.</w:t>
            </w:r>
          </w:p>
        </w:tc>
      </w:tr>
      <w:tr w:rsidR="00FA366A" w:rsidRPr="002C21B8" w14:paraId="08F2CB3F" w14:textId="77777777" w:rsidTr="00960A9F">
        <w:trPr>
          <w:trHeight w:val="320"/>
        </w:trPr>
        <w:tc>
          <w:tcPr>
            <w:tcW w:w="701" w:type="dxa"/>
            <w:shd w:val="clear" w:color="auto" w:fill="auto"/>
            <w:vAlign w:val="center"/>
          </w:tcPr>
          <w:p w14:paraId="49F1B9FC" w14:textId="77777777" w:rsidR="00FA366A" w:rsidRPr="002C21B8" w:rsidRDefault="00FA366A" w:rsidP="00212D46">
            <w:pPr>
              <w:spacing w:after="0" w:line="240" w:lineRule="auto"/>
              <w:rPr>
                <w:sz w:val="20"/>
                <w:szCs w:val="20"/>
              </w:rPr>
            </w:pPr>
            <w:r w:rsidRPr="002C21B8">
              <w:rPr>
                <w:sz w:val="20"/>
                <w:szCs w:val="20"/>
              </w:rPr>
              <w:t>33</w:t>
            </w:r>
          </w:p>
        </w:tc>
        <w:tc>
          <w:tcPr>
            <w:tcW w:w="8504" w:type="dxa"/>
            <w:shd w:val="clear" w:color="auto" w:fill="auto"/>
            <w:vAlign w:val="bottom"/>
          </w:tcPr>
          <w:p w14:paraId="5978C38D" w14:textId="77777777" w:rsidR="00FA366A" w:rsidRPr="002C21B8" w:rsidRDefault="00FA366A" w:rsidP="00212D46">
            <w:pPr>
              <w:spacing w:after="0" w:line="240" w:lineRule="auto"/>
              <w:rPr>
                <w:sz w:val="20"/>
                <w:szCs w:val="20"/>
              </w:rPr>
            </w:pPr>
            <w:r w:rsidRPr="002C21B8">
              <w:rPr>
                <w:sz w:val="20"/>
                <w:szCs w:val="20"/>
              </w:rPr>
              <w:t>exp arrhythmias, cardiac/</w:t>
            </w:r>
          </w:p>
        </w:tc>
      </w:tr>
      <w:tr w:rsidR="00FA366A" w:rsidRPr="002C21B8" w14:paraId="6E175375" w14:textId="77777777" w:rsidTr="00960A9F">
        <w:trPr>
          <w:trHeight w:val="320"/>
        </w:trPr>
        <w:tc>
          <w:tcPr>
            <w:tcW w:w="701" w:type="dxa"/>
            <w:shd w:val="clear" w:color="auto" w:fill="auto"/>
            <w:vAlign w:val="center"/>
          </w:tcPr>
          <w:p w14:paraId="656BED40" w14:textId="77777777" w:rsidR="00FA366A" w:rsidRPr="002C21B8" w:rsidRDefault="00FA366A" w:rsidP="00212D46">
            <w:pPr>
              <w:spacing w:after="0" w:line="240" w:lineRule="auto"/>
              <w:rPr>
                <w:sz w:val="20"/>
                <w:szCs w:val="20"/>
              </w:rPr>
            </w:pPr>
            <w:r w:rsidRPr="002C21B8">
              <w:rPr>
                <w:sz w:val="20"/>
                <w:szCs w:val="20"/>
              </w:rPr>
              <w:t>34</w:t>
            </w:r>
          </w:p>
        </w:tc>
        <w:tc>
          <w:tcPr>
            <w:tcW w:w="8504" w:type="dxa"/>
            <w:shd w:val="clear" w:color="auto" w:fill="auto"/>
            <w:vAlign w:val="bottom"/>
          </w:tcPr>
          <w:p w14:paraId="7879A762" w14:textId="77777777" w:rsidR="00FA366A" w:rsidRPr="002C21B8" w:rsidRDefault="00FA366A" w:rsidP="00212D46">
            <w:pPr>
              <w:spacing w:after="0" w:line="240" w:lineRule="auto"/>
              <w:rPr>
                <w:sz w:val="20"/>
                <w:szCs w:val="20"/>
              </w:rPr>
            </w:pPr>
            <w:r w:rsidRPr="002C21B8">
              <w:rPr>
                <w:sz w:val="20"/>
                <w:szCs w:val="20"/>
              </w:rPr>
              <w:t>cardiac arrhythm*.ti.</w:t>
            </w:r>
          </w:p>
        </w:tc>
      </w:tr>
      <w:tr w:rsidR="00FA366A" w:rsidRPr="002C21B8" w14:paraId="666F8783" w14:textId="77777777" w:rsidTr="00960A9F">
        <w:trPr>
          <w:trHeight w:val="320"/>
        </w:trPr>
        <w:tc>
          <w:tcPr>
            <w:tcW w:w="701" w:type="dxa"/>
            <w:shd w:val="clear" w:color="auto" w:fill="auto"/>
            <w:vAlign w:val="center"/>
          </w:tcPr>
          <w:p w14:paraId="0FE9AF43" w14:textId="77777777" w:rsidR="00FA366A" w:rsidRPr="002C21B8" w:rsidRDefault="00FA366A" w:rsidP="00212D46">
            <w:pPr>
              <w:spacing w:after="0" w:line="240" w:lineRule="auto"/>
              <w:rPr>
                <w:sz w:val="20"/>
                <w:szCs w:val="20"/>
              </w:rPr>
            </w:pPr>
            <w:r w:rsidRPr="002C21B8">
              <w:rPr>
                <w:sz w:val="20"/>
                <w:szCs w:val="20"/>
              </w:rPr>
              <w:t>35</w:t>
            </w:r>
          </w:p>
        </w:tc>
        <w:tc>
          <w:tcPr>
            <w:tcW w:w="8504" w:type="dxa"/>
            <w:shd w:val="clear" w:color="auto" w:fill="auto"/>
            <w:vAlign w:val="bottom"/>
          </w:tcPr>
          <w:p w14:paraId="12F54548" w14:textId="77777777" w:rsidR="00FA366A" w:rsidRPr="002C21B8" w:rsidRDefault="00FA366A" w:rsidP="00212D46">
            <w:pPr>
              <w:spacing w:after="0" w:line="240" w:lineRule="auto"/>
              <w:rPr>
                <w:sz w:val="20"/>
                <w:szCs w:val="20"/>
              </w:rPr>
            </w:pPr>
            <w:r w:rsidRPr="002C21B8">
              <w:rPr>
                <w:sz w:val="20"/>
                <w:szCs w:val="20"/>
              </w:rPr>
              <w:t>cerebral palsy/</w:t>
            </w:r>
          </w:p>
        </w:tc>
      </w:tr>
      <w:tr w:rsidR="00FA366A" w:rsidRPr="002C21B8" w14:paraId="6BFDD180" w14:textId="77777777" w:rsidTr="00960A9F">
        <w:trPr>
          <w:trHeight w:val="320"/>
        </w:trPr>
        <w:tc>
          <w:tcPr>
            <w:tcW w:w="701" w:type="dxa"/>
            <w:shd w:val="clear" w:color="auto" w:fill="auto"/>
            <w:vAlign w:val="center"/>
          </w:tcPr>
          <w:p w14:paraId="5FAE9ACF" w14:textId="77777777" w:rsidR="00FA366A" w:rsidRPr="002C21B8" w:rsidRDefault="00FA366A" w:rsidP="00212D46">
            <w:pPr>
              <w:spacing w:after="0" w:line="240" w:lineRule="auto"/>
              <w:rPr>
                <w:sz w:val="20"/>
                <w:szCs w:val="20"/>
              </w:rPr>
            </w:pPr>
            <w:r w:rsidRPr="002C21B8">
              <w:rPr>
                <w:sz w:val="20"/>
                <w:szCs w:val="20"/>
              </w:rPr>
              <w:t>36</w:t>
            </w:r>
          </w:p>
        </w:tc>
        <w:tc>
          <w:tcPr>
            <w:tcW w:w="8504" w:type="dxa"/>
            <w:shd w:val="clear" w:color="auto" w:fill="auto"/>
            <w:vAlign w:val="bottom"/>
          </w:tcPr>
          <w:p w14:paraId="4875D875" w14:textId="77777777" w:rsidR="00FA366A" w:rsidRPr="002C21B8" w:rsidRDefault="00FA366A" w:rsidP="00212D46">
            <w:pPr>
              <w:spacing w:after="0" w:line="240" w:lineRule="auto"/>
              <w:rPr>
                <w:sz w:val="20"/>
                <w:szCs w:val="20"/>
              </w:rPr>
            </w:pPr>
            <w:r w:rsidRPr="002C21B8">
              <w:rPr>
                <w:sz w:val="20"/>
                <w:szCs w:val="20"/>
              </w:rPr>
              <w:t>cerebral pals*.ti.</w:t>
            </w:r>
          </w:p>
        </w:tc>
      </w:tr>
      <w:tr w:rsidR="00FA366A" w:rsidRPr="002C21B8" w14:paraId="56124764" w14:textId="77777777" w:rsidTr="00960A9F">
        <w:trPr>
          <w:trHeight w:val="320"/>
        </w:trPr>
        <w:tc>
          <w:tcPr>
            <w:tcW w:w="701" w:type="dxa"/>
            <w:shd w:val="clear" w:color="auto" w:fill="auto"/>
            <w:vAlign w:val="center"/>
          </w:tcPr>
          <w:p w14:paraId="035B02E8" w14:textId="77777777" w:rsidR="00FA366A" w:rsidRPr="002C21B8" w:rsidRDefault="00FA366A" w:rsidP="00212D46">
            <w:pPr>
              <w:spacing w:after="0" w:line="240" w:lineRule="auto"/>
              <w:rPr>
                <w:sz w:val="20"/>
                <w:szCs w:val="20"/>
              </w:rPr>
            </w:pPr>
            <w:r w:rsidRPr="002C21B8">
              <w:rPr>
                <w:sz w:val="20"/>
                <w:szCs w:val="20"/>
              </w:rPr>
              <w:t>37</w:t>
            </w:r>
          </w:p>
        </w:tc>
        <w:tc>
          <w:tcPr>
            <w:tcW w:w="8504" w:type="dxa"/>
            <w:shd w:val="clear" w:color="auto" w:fill="auto"/>
            <w:vAlign w:val="bottom"/>
          </w:tcPr>
          <w:p w14:paraId="558B24DE" w14:textId="77777777" w:rsidR="00FA366A" w:rsidRPr="002C21B8" w:rsidRDefault="00FA366A" w:rsidP="00212D46">
            <w:pPr>
              <w:spacing w:after="0" w:line="240" w:lineRule="auto"/>
              <w:rPr>
                <w:sz w:val="20"/>
                <w:szCs w:val="20"/>
              </w:rPr>
            </w:pPr>
            <w:r w:rsidRPr="002C21B8">
              <w:rPr>
                <w:sz w:val="20"/>
                <w:szCs w:val="20"/>
              </w:rPr>
              <w:t>celiac disease/</w:t>
            </w:r>
          </w:p>
        </w:tc>
      </w:tr>
      <w:tr w:rsidR="00FA366A" w:rsidRPr="002C21B8" w14:paraId="4D2C489D" w14:textId="77777777" w:rsidTr="00960A9F">
        <w:trPr>
          <w:trHeight w:val="320"/>
        </w:trPr>
        <w:tc>
          <w:tcPr>
            <w:tcW w:w="701" w:type="dxa"/>
            <w:shd w:val="clear" w:color="auto" w:fill="auto"/>
            <w:vAlign w:val="center"/>
          </w:tcPr>
          <w:p w14:paraId="1649B301" w14:textId="77777777" w:rsidR="00FA366A" w:rsidRPr="002C21B8" w:rsidRDefault="00FA366A" w:rsidP="00212D46">
            <w:pPr>
              <w:spacing w:after="0" w:line="240" w:lineRule="auto"/>
              <w:rPr>
                <w:sz w:val="20"/>
                <w:szCs w:val="20"/>
              </w:rPr>
            </w:pPr>
            <w:r w:rsidRPr="002C21B8">
              <w:rPr>
                <w:sz w:val="20"/>
                <w:szCs w:val="20"/>
              </w:rPr>
              <w:t>38</w:t>
            </w:r>
          </w:p>
        </w:tc>
        <w:tc>
          <w:tcPr>
            <w:tcW w:w="8504" w:type="dxa"/>
            <w:shd w:val="clear" w:color="auto" w:fill="auto"/>
            <w:vAlign w:val="bottom"/>
          </w:tcPr>
          <w:p w14:paraId="2464E184" w14:textId="77777777" w:rsidR="00FA366A" w:rsidRPr="002C21B8" w:rsidRDefault="00FA366A" w:rsidP="00212D46">
            <w:pPr>
              <w:spacing w:after="0" w:line="240" w:lineRule="auto"/>
              <w:rPr>
                <w:sz w:val="20"/>
                <w:szCs w:val="20"/>
              </w:rPr>
            </w:pPr>
            <w:r w:rsidRPr="002C21B8">
              <w:rPr>
                <w:sz w:val="20"/>
                <w:szCs w:val="20"/>
              </w:rPr>
              <w:t>(c?eliac adj (disease or sprue or syndrome)).ti.</w:t>
            </w:r>
          </w:p>
        </w:tc>
      </w:tr>
      <w:tr w:rsidR="00FA366A" w:rsidRPr="002C21B8" w14:paraId="572DF18C" w14:textId="77777777" w:rsidTr="00960A9F">
        <w:trPr>
          <w:trHeight w:val="320"/>
        </w:trPr>
        <w:tc>
          <w:tcPr>
            <w:tcW w:w="701" w:type="dxa"/>
            <w:shd w:val="clear" w:color="auto" w:fill="auto"/>
            <w:vAlign w:val="center"/>
          </w:tcPr>
          <w:p w14:paraId="36EA89B3" w14:textId="77777777" w:rsidR="00FA366A" w:rsidRPr="002C21B8" w:rsidRDefault="00FA366A" w:rsidP="00212D46">
            <w:pPr>
              <w:spacing w:after="0" w:line="240" w:lineRule="auto"/>
              <w:rPr>
                <w:sz w:val="20"/>
                <w:szCs w:val="20"/>
              </w:rPr>
            </w:pPr>
            <w:r w:rsidRPr="002C21B8">
              <w:rPr>
                <w:sz w:val="20"/>
                <w:szCs w:val="20"/>
              </w:rPr>
              <w:t>39</w:t>
            </w:r>
          </w:p>
        </w:tc>
        <w:tc>
          <w:tcPr>
            <w:tcW w:w="8504" w:type="dxa"/>
            <w:shd w:val="clear" w:color="auto" w:fill="auto"/>
            <w:vAlign w:val="bottom"/>
          </w:tcPr>
          <w:p w14:paraId="5EB1699F" w14:textId="77777777" w:rsidR="00FA366A" w:rsidRPr="002C21B8" w:rsidRDefault="00FA366A" w:rsidP="00212D46">
            <w:pPr>
              <w:spacing w:after="0" w:line="240" w:lineRule="auto"/>
              <w:rPr>
                <w:sz w:val="20"/>
                <w:szCs w:val="20"/>
              </w:rPr>
            </w:pPr>
            <w:r w:rsidRPr="002C21B8">
              <w:rPr>
                <w:sz w:val="20"/>
                <w:szCs w:val="20"/>
              </w:rPr>
              <w:t>(gluten adj (enteropath* or sensitiv* or hypersensitiv* or intoleran*)).ti.</w:t>
            </w:r>
          </w:p>
        </w:tc>
      </w:tr>
      <w:tr w:rsidR="00FA366A" w:rsidRPr="002C21B8" w14:paraId="75A60C59" w14:textId="77777777" w:rsidTr="00960A9F">
        <w:trPr>
          <w:trHeight w:val="320"/>
        </w:trPr>
        <w:tc>
          <w:tcPr>
            <w:tcW w:w="701" w:type="dxa"/>
            <w:shd w:val="clear" w:color="auto" w:fill="auto"/>
            <w:vAlign w:val="center"/>
          </w:tcPr>
          <w:p w14:paraId="18985A35" w14:textId="77777777" w:rsidR="00FA366A" w:rsidRPr="002C21B8" w:rsidRDefault="00FA366A" w:rsidP="00212D46">
            <w:pPr>
              <w:spacing w:after="0" w:line="240" w:lineRule="auto"/>
              <w:rPr>
                <w:sz w:val="20"/>
                <w:szCs w:val="20"/>
              </w:rPr>
            </w:pPr>
            <w:r w:rsidRPr="002C21B8">
              <w:rPr>
                <w:sz w:val="20"/>
                <w:szCs w:val="20"/>
              </w:rPr>
              <w:t>40</w:t>
            </w:r>
          </w:p>
        </w:tc>
        <w:tc>
          <w:tcPr>
            <w:tcW w:w="8504" w:type="dxa"/>
            <w:shd w:val="clear" w:color="auto" w:fill="auto"/>
            <w:vAlign w:val="bottom"/>
          </w:tcPr>
          <w:p w14:paraId="27C96EA2" w14:textId="77777777" w:rsidR="00FA366A" w:rsidRPr="002C21B8" w:rsidRDefault="00FA366A" w:rsidP="00212D46">
            <w:pPr>
              <w:spacing w:after="0" w:line="240" w:lineRule="auto"/>
              <w:rPr>
                <w:sz w:val="20"/>
                <w:szCs w:val="20"/>
              </w:rPr>
            </w:pPr>
            <w:r w:rsidRPr="002C21B8">
              <w:rPr>
                <w:sz w:val="20"/>
                <w:szCs w:val="20"/>
              </w:rPr>
              <w:t>exp connective tissue diseases/</w:t>
            </w:r>
          </w:p>
        </w:tc>
      </w:tr>
      <w:tr w:rsidR="00FA366A" w:rsidRPr="002C21B8" w14:paraId="1CE5B927" w14:textId="77777777" w:rsidTr="00960A9F">
        <w:trPr>
          <w:trHeight w:val="320"/>
        </w:trPr>
        <w:tc>
          <w:tcPr>
            <w:tcW w:w="701" w:type="dxa"/>
            <w:shd w:val="clear" w:color="auto" w:fill="auto"/>
            <w:vAlign w:val="center"/>
          </w:tcPr>
          <w:p w14:paraId="7E34A7D1" w14:textId="77777777" w:rsidR="00FA366A" w:rsidRPr="002C21B8" w:rsidRDefault="00FA366A" w:rsidP="00212D46">
            <w:pPr>
              <w:spacing w:after="0" w:line="240" w:lineRule="auto"/>
              <w:rPr>
                <w:sz w:val="20"/>
                <w:szCs w:val="20"/>
              </w:rPr>
            </w:pPr>
            <w:r w:rsidRPr="002C21B8">
              <w:rPr>
                <w:sz w:val="20"/>
                <w:szCs w:val="20"/>
              </w:rPr>
              <w:t>41</w:t>
            </w:r>
          </w:p>
        </w:tc>
        <w:tc>
          <w:tcPr>
            <w:tcW w:w="8504" w:type="dxa"/>
            <w:shd w:val="clear" w:color="auto" w:fill="auto"/>
            <w:vAlign w:val="bottom"/>
          </w:tcPr>
          <w:p w14:paraId="4516F5EF" w14:textId="77777777" w:rsidR="00FA366A" w:rsidRPr="002C21B8" w:rsidRDefault="00FA366A" w:rsidP="00212D46">
            <w:pPr>
              <w:spacing w:after="0" w:line="240" w:lineRule="auto"/>
              <w:rPr>
                <w:sz w:val="20"/>
                <w:szCs w:val="20"/>
              </w:rPr>
            </w:pPr>
            <w:r w:rsidRPr="002C21B8">
              <w:rPr>
                <w:sz w:val="20"/>
                <w:szCs w:val="20"/>
              </w:rPr>
              <w:t>(connective tissue disease* or sharp syndrome or polymyositis or systemic sclerosis or scleroderma).ti.</w:t>
            </w:r>
          </w:p>
        </w:tc>
      </w:tr>
      <w:tr w:rsidR="00FA366A" w:rsidRPr="002C21B8" w14:paraId="1B8CCA6C" w14:textId="77777777" w:rsidTr="00960A9F">
        <w:trPr>
          <w:trHeight w:val="320"/>
        </w:trPr>
        <w:tc>
          <w:tcPr>
            <w:tcW w:w="701" w:type="dxa"/>
            <w:shd w:val="clear" w:color="auto" w:fill="auto"/>
            <w:vAlign w:val="center"/>
          </w:tcPr>
          <w:p w14:paraId="33FCD327" w14:textId="77777777" w:rsidR="00FA366A" w:rsidRPr="002C21B8" w:rsidRDefault="00FA366A" w:rsidP="00212D46">
            <w:pPr>
              <w:spacing w:after="0" w:line="240" w:lineRule="auto"/>
              <w:rPr>
                <w:sz w:val="20"/>
                <w:szCs w:val="20"/>
              </w:rPr>
            </w:pPr>
            <w:r w:rsidRPr="002C21B8">
              <w:rPr>
                <w:sz w:val="20"/>
                <w:szCs w:val="20"/>
              </w:rPr>
              <w:t>42</w:t>
            </w:r>
          </w:p>
        </w:tc>
        <w:tc>
          <w:tcPr>
            <w:tcW w:w="8504" w:type="dxa"/>
            <w:shd w:val="clear" w:color="auto" w:fill="auto"/>
            <w:vAlign w:val="bottom"/>
          </w:tcPr>
          <w:p w14:paraId="053D4BAC" w14:textId="77777777" w:rsidR="00FA366A" w:rsidRPr="002C21B8" w:rsidRDefault="00FA366A" w:rsidP="00212D46">
            <w:pPr>
              <w:spacing w:after="0" w:line="240" w:lineRule="auto"/>
              <w:rPr>
                <w:sz w:val="20"/>
                <w:szCs w:val="20"/>
              </w:rPr>
            </w:pPr>
            <w:r w:rsidRPr="002C21B8">
              <w:rPr>
                <w:sz w:val="20"/>
                <w:szCs w:val="20"/>
              </w:rPr>
              <w:t>exp myocardial ischemia/</w:t>
            </w:r>
          </w:p>
        </w:tc>
      </w:tr>
      <w:tr w:rsidR="00FA366A" w:rsidRPr="002C21B8" w14:paraId="4BA407A7" w14:textId="77777777" w:rsidTr="00960A9F">
        <w:trPr>
          <w:trHeight w:val="320"/>
        </w:trPr>
        <w:tc>
          <w:tcPr>
            <w:tcW w:w="701" w:type="dxa"/>
            <w:shd w:val="clear" w:color="auto" w:fill="auto"/>
            <w:vAlign w:val="center"/>
          </w:tcPr>
          <w:p w14:paraId="033E48E9" w14:textId="77777777" w:rsidR="00FA366A" w:rsidRPr="002C21B8" w:rsidRDefault="00FA366A" w:rsidP="00212D46">
            <w:pPr>
              <w:spacing w:after="0" w:line="240" w:lineRule="auto"/>
              <w:rPr>
                <w:sz w:val="20"/>
                <w:szCs w:val="20"/>
              </w:rPr>
            </w:pPr>
            <w:r w:rsidRPr="002C21B8">
              <w:rPr>
                <w:sz w:val="20"/>
                <w:szCs w:val="20"/>
              </w:rPr>
              <w:t>43</w:t>
            </w:r>
          </w:p>
        </w:tc>
        <w:tc>
          <w:tcPr>
            <w:tcW w:w="8504" w:type="dxa"/>
            <w:shd w:val="clear" w:color="auto" w:fill="auto"/>
            <w:vAlign w:val="bottom"/>
          </w:tcPr>
          <w:p w14:paraId="077FC48D" w14:textId="77777777" w:rsidR="00FA366A" w:rsidRPr="002C21B8" w:rsidRDefault="00FA366A" w:rsidP="00212D46">
            <w:pPr>
              <w:spacing w:after="0" w:line="240" w:lineRule="auto"/>
              <w:rPr>
                <w:sz w:val="20"/>
                <w:szCs w:val="20"/>
              </w:rPr>
            </w:pPr>
            <w:r w:rsidRPr="002C21B8">
              <w:rPr>
                <w:sz w:val="20"/>
                <w:szCs w:val="20"/>
              </w:rPr>
              <w:t>(heart disease* or myocardial ischemia or coronary disease* or coronary artery disease* or coronary heart disease* or myocardial infarct*).ti.</w:t>
            </w:r>
          </w:p>
        </w:tc>
      </w:tr>
      <w:tr w:rsidR="00FA366A" w:rsidRPr="002C21B8" w14:paraId="0930F782" w14:textId="77777777" w:rsidTr="00960A9F">
        <w:trPr>
          <w:trHeight w:val="320"/>
        </w:trPr>
        <w:tc>
          <w:tcPr>
            <w:tcW w:w="701" w:type="dxa"/>
            <w:shd w:val="clear" w:color="auto" w:fill="auto"/>
            <w:vAlign w:val="center"/>
          </w:tcPr>
          <w:p w14:paraId="6EC66580" w14:textId="77777777" w:rsidR="00FA366A" w:rsidRPr="002C21B8" w:rsidRDefault="00FA366A" w:rsidP="00212D46">
            <w:pPr>
              <w:spacing w:after="0" w:line="240" w:lineRule="auto"/>
              <w:rPr>
                <w:sz w:val="20"/>
                <w:szCs w:val="20"/>
              </w:rPr>
            </w:pPr>
            <w:r w:rsidRPr="002C21B8">
              <w:rPr>
                <w:sz w:val="20"/>
                <w:szCs w:val="20"/>
              </w:rPr>
              <w:t>44</w:t>
            </w:r>
          </w:p>
        </w:tc>
        <w:tc>
          <w:tcPr>
            <w:tcW w:w="8504" w:type="dxa"/>
            <w:shd w:val="clear" w:color="auto" w:fill="auto"/>
            <w:vAlign w:val="bottom"/>
          </w:tcPr>
          <w:p w14:paraId="4C30DA3B" w14:textId="77777777" w:rsidR="00FA366A" w:rsidRPr="002C21B8" w:rsidRDefault="00FA366A" w:rsidP="00212D46">
            <w:pPr>
              <w:spacing w:after="0" w:line="240" w:lineRule="auto"/>
              <w:rPr>
                <w:sz w:val="20"/>
                <w:szCs w:val="20"/>
              </w:rPr>
            </w:pPr>
            <w:r w:rsidRPr="002C21B8">
              <w:rPr>
                <w:sz w:val="20"/>
                <w:szCs w:val="20"/>
              </w:rPr>
              <w:t>exp hypersensitivity/</w:t>
            </w:r>
          </w:p>
        </w:tc>
      </w:tr>
      <w:tr w:rsidR="00FA366A" w:rsidRPr="002C21B8" w14:paraId="4ADEF2B7" w14:textId="77777777" w:rsidTr="00960A9F">
        <w:trPr>
          <w:trHeight w:val="320"/>
        </w:trPr>
        <w:tc>
          <w:tcPr>
            <w:tcW w:w="701" w:type="dxa"/>
            <w:shd w:val="clear" w:color="auto" w:fill="auto"/>
            <w:vAlign w:val="center"/>
          </w:tcPr>
          <w:p w14:paraId="3693E32F" w14:textId="77777777" w:rsidR="00FA366A" w:rsidRPr="002C21B8" w:rsidRDefault="00FA366A" w:rsidP="00212D46">
            <w:pPr>
              <w:spacing w:after="0" w:line="240" w:lineRule="auto"/>
              <w:rPr>
                <w:sz w:val="20"/>
                <w:szCs w:val="20"/>
              </w:rPr>
            </w:pPr>
            <w:r w:rsidRPr="002C21B8">
              <w:rPr>
                <w:sz w:val="20"/>
                <w:szCs w:val="20"/>
              </w:rPr>
              <w:t>45</w:t>
            </w:r>
          </w:p>
        </w:tc>
        <w:tc>
          <w:tcPr>
            <w:tcW w:w="8504" w:type="dxa"/>
            <w:shd w:val="clear" w:color="auto" w:fill="auto"/>
            <w:vAlign w:val="bottom"/>
          </w:tcPr>
          <w:p w14:paraId="627F5B50" w14:textId="77777777" w:rsidR="00FA366A" w:rsidRPr="002C21B8" w:rsidRDefault="00FA366A" w:rsidP="00212D46">
            <w:pPr>
              <w:spacing w:after="0" w:line="240" w:lineRule="auto"/>
              <w:rPr>
                <w:sz w:val="20"/>
                <w:szCs w:val="20"/>
              </w:rPr>
            </w:pPr>
            <w:r w:rsidRPr="002C21B8">
              <w:rPr>
                <w:sz w:val="20"/>
                <w:szCs w:val="20"/>
              </w:rPr>
              <w:t>exp allergy/ and immunology/</w:t>
            </w:r>
          </w:p>
        </w:tc>
      </w:tr>
      <w:tr w:rsidR="00FA366A" w:rsidRPr="002C21B8" w14:paraId="7582C3C8" w14:textId="77777777" w:rsidTr="00960A9F">
        <w:trPr>
          <w:trHeight w:val="320"/>
        </w:trPr>
        <w:tc>
          <w:tcPr>
            <w:tcW w:w="701" w:type="dxa"/>
            <w:shd w:val="clear" w:color="auto" w:fill="auto"/>
            <w:vAlign w:val="center"/>
          </w:tcPr>
          <w:p w14:paraId="66122A79" w14:textId="77777777" w:rsidR="00FA366A" w:rsidRPr="002C21B8" w:rsidRDefault="00FA366A" w:rsidP="00212D46">
            <w:pPr>
              <w:spacing w:after="0" w:line="240" w:lineRule="auto"/>
              <w:rPr>
                <w:sz w:val="20"/>
                <w:szCs w:val="20"/>
              </w:rPr>
            </w:pPr>
            <w:r w:rsidRPr="002C21B8">
              <w:rPr>
                <w:sz w:val="20"/>
                <w:szCs w:val="20"/>
              </w:rPr>
              <w:t>46</w:t>
            </w:r>
          </w:p>
        </w:tc>
        <w:tc>
          <w:tcPr>
            <w:tcW w:w="8504" w:type="dxa"/>
            <w:shd w:val="clear" w:color="auto" w:fill="auto"/>
            <w:vAlign w:val="bottom"/>
          </w:tcPr>
          <w:p w14:paraId="61F4558C" w14:textId="77777777" w:rsidR="00FA366A" w:rsidRPr="002C21B8" w:rsidRDefault="00FA366A" w:rsidP="00212D46">
            <w:pPr>
              <w:spacing w:after="0" w:line="240" w:lineRule="auto"/>
              <w:rPr>
                <w:sz w:val="20"/>
                <w:szCs w:val="20"/>
              </w:rPr>
            </w:pPr>
            <w:r w:rsidRPr="002C21B8">
              <w:rPr>
                <w:sz w:val="20"/>
                <w:szCs w:val="20"/>
              </w:rPr>
              <w:t>anaphylaxis/</w:t>
            </w:r>
          </w:p>
        </w:tc>
      </w:tr>
      <w:tr w:rsidR="00FA366A" w:rsidRPr="002C21B8" w14:paraId="52428637" w14:textId="77777777" w:rsidTr="00960A9F">
        <w:trPr>
          <w:trHeight w:val="320"/>
        </w:trPr>
        <w:tc>
          <w:tcPr>
            <w:tcW w:w="701" w:type="dxa"/>
            <w:shd w:val="clear" w:color="auto" w:fill="auto"/>
            <w:vAlign w:val="center"/>
          </w:tcPr>
          <w:p w14:paraId="349DCD63" w14:textId="77777777" w:rsidR="00FA366A" w:rsidRPr="002C21B8" w:rsidRDefault="00FA366A" w:rsidP="00212D46">
            <w:pPr>
              <w:spacing w:after="0" w:line="240" w:lineRule="auto"/>
              <w:rPr>
                <w:sz w:val="20"/>
                <w:szCs w:val="20"/>
              </w:rPr>
            </w:pPr>
            <w:r w:rsidRPr="002C21B8">
              <w:rPr>
                <w:sz w:val="20"/>
                <w:szCs w:val="20"/>
              </w:rPr>
              <w:t>47</w:t>
            </w:r>
          </w:p>
        </w:tc>
        <w:tc>
          <w:tcPr>
            <w:tcW w:w="8504" w:type="dxa"/>
            <w:shd w:val="clear" w:color="auto" w:fill="auto"/>
            <w:vAlign w:val="bottom"/>
          </w:tcPr>
          <w:p w14:paraId="24DD20DD" w14:textId="77777777" w:rsidR="00FA366A" w:rsidRPr="002C21B8" w:rsidRDefault="00FA366A" w:rsidP="00212D46">
            <w:pPr>
              <w:spacing w:after="0" w:line="240" w:lineRule="auto"/>
              <w:rPr>
                <w:sz w:val="20"/>
                <w:szCs w:val="20"/>
              </w:rPr>
            </w:pPr>
            <w:r w:rsidRPr="002C21B8">
              <w:rPr>
                <w:sz w:val="20"/>
                <w:szCs w:val="20"/>
              </w:rPr>
              <w:t>(allerg* or hypersensitiv * or tierg* or intolerance or anaphyla*).ti.</w:t>
            </w:r>
          </w:p>
        </w:tc>
      </w:tr>
      <w:tr w:rsidR="00FA366A" w:rsidRPr="002C21B8" w14:paraId="467453C4" w14:textId="77777777" w:rsidTr="00960A9F">
        <w:trPr>
          <w:trHeight w:val="320"/>
        </w:trPr>
        <w:tc>
          <w:tcPr>
            <w:tcW w:w="701" w:type="dxa"/>
            <w:shd w:val="clear" w:color="auto" w:fill="auto"/>
            <w:vAlign w:val="center"/>
          </w:tcPr>
          <w:p w14:paraId="5D23D434" w14:textId="77777777" w:rsidR="00FA366A" w:rsidRPr="002C21B8" w:rsidRDefault="00FA366A" w:rsidP="00212D46">
            <w:pPr>
              <w:spacing w:after="0" w:line="240" w:lineRule="auto"/>
              <w:rPr>
                <w:sz w:val="20"/>
                <w:szCs w:val="20"/>
              </w:rPr>
            </w:pPr>
            <w:r w:rsidRPr="002C21B8">
              <w:rPr>
                <w:sz w:val="20"/>
                <w:szCs w:val="20"/>
              </w:rPr>
              <w:t>48</w:t>
            </w:r>
          </w:p>
        </w:tc>
        <w:tc>
          <w:tcPr>
            <w:tcW w:w="8504" w:type="dxa"/>
            <w:shd w:val="clear" w:color="auto" w:fill="auto"/>
            <w:vAlign w:val="bottom"/>
          </w:tcPr>
          <w:p w14:paraId="4290C221" w14:textId="77777777" w:rsidR="00FA366A" w:rsidRPr="002C21B8" w:rsidRDefault="00FA366A" w:rsidP="00212D46">
            <w:pPr>
              <w:spacing w:after="0" w:line="240" w:lineRule="auto"/>
              <w:rPr>
                <w:sz w:val="20"/>
                <w:szCs w:val="20"/>
              </w:rPr>
            </w:pPr>
            <w:r w:rsidRPr="002C21B8">
              <w:rPr>
                <w:sz w:val="20"/>
                <w:szCs w:val="20"/>
              </w:rPr>
              <w:t>exp asthma/</w:t>
            </w:r>
          </w:p>
        </w:tc>
      </w:tr>
      <w:tr w:rsidR="00FA366A" w:rsidRPr="002C21B8" w14:paraId="702E7E87" w14:textId="77777777" w:rsidTr="00960A9F">
        <w:trPr>
          <w:trHeight w:val="320"/>
        </w:trPr>
        <w:tc>
          <w:tcPr>
            <w:tcW w:w="701" w:type="dxa"/>
            <w:shd w:val="clear" w:color="auto" w:fill="auto"/>
            <w:vAlign w:val="center"/>
          </w:tcPr>
          <w:p w14:paraId="77BE4FA1" w14:textId="77777777" w:rsidR="00FA366A" w:rsidRPr="002C21B8" w:rsidRDefault="00FA366A" w:rsidP="00212D46">
            <w:pPr>
              <w:spacing w:after="0" w:line="240" w:lineRule="auto"/>
              <w:rPr>
                <w:sz w:val="20"/>
                <w:szCs w:val="20"/>
              </w:rPr>
            </w:pPr>
            <w:r w:rsidRPr="002C21B8">
              <w:rPr>
                <w:sz w:val="20"/>
                <w:szCs w:val="20"/>
              </w:rPr>
              <w:t>49</w:t>
            </w:r>
          </w:p>
        </w:tc>
        <w:tc>
          <w:tcPr>
            <w:tcW w:w="8504" w:type="dxa"/>
            <w:shd w:val="clear" w:color="auto" w:fill="auto"/>
            <w:vAlign w:val="bottom"/>
          </w:tcPr>
          <w:p w14:paraId="5B01D3FD" w14:textId="77777777" w:rsidR="00FA366A" w:rsidRPr="002C21B8" w:rsidRDefault="00FA366A" w:rsidP="00212D46">
            <w:pPr>
              <w:spacing w:after="0" w:line="240" w:lineRule="auto"/>
              <w:rPr>
                <w:sz w:val="20"/>
                <w:szCs w:val="20"/>
              </w:rPr>
            </w:pPr>
            <w:r w:rsidRPr="002C21B8">
              <w:rPr>
                <w:sz w:val="20"/>
                <w:szCs w:val="20"/>
              </w:rPr>
              <w:t>bronchial spasm/</w:t>
            </w:r>
          </w:p>
        </w:tc>
      </w:tr>
      <w:tr w:rsidR="00FA366A" w:rsidRPr="002C21B8" w14:paraId="2D6E06E2" w14:textId="77777777" w:rsidTr="00960A9F">
        <w:trPr>
          <w:trHeight w:val="320"/>
        </w:trPr>
        <w:tc>
          <w:tcPr>
            <w:tcW w:w="701" w:type="dxa"/>
            <w:shd w:val="clear" w:color="auto" w:fill="auto"/>
            <w:vAlign w:val="center"/>
          </w:tcPr>
          <w:p w14:paraId="42B8F748" w14:textId="77777777" w:rsidR="00FA366A" w:rsidRPr="002C21B8" w:rsidRDefault="00FA366A" w:rsidP="00212D46">
            <w:pPr>
              <w:spacing w:after="0" w:line="240" w:lineRule="auto"/>
              <w:rPr>
                <w:sz w:val="20"/>
                <w:szCs w:val="20"/>
              </w:rPr>
            </w:pPr>
            <w:r w:rsidRPr="002C21B8">
              <w:rPr>
                <w:sz w:val="20"/>
                <w:szCs w:val="20"/>
              </w:rPr>
              <w:t>50</w:t>
            </w:r>
          </w:p>
        </w:tc>
        <w:tc>
          <w:tcPr>
            <w:tcW w:w="8504" w:type="dxa"/>
            <w:shd w:val="clear" w:color="auto" w:fill="auto"/>
            <w:vAlign w:val="bottom"/>
          </w:tcPr>
          <w:p w14:paraId="4CF350C2" w14:textId="77777777" w:rsidR="00FA366A" w:rsidRPr="002C21B8" w:rsidRDefault="00FA366A" w:rsidP="00212D46">
            <w:pPr>
              <w:spacing w:after="0" w:line="240" w:lineRule="auto"/>
              <w:rPr>
                <w:sz w:val="20"/>
                <w:szCs w:val="20"/>
              </w:rPr>
            </w:pPr>
            <w:r w:rsidRPr="002C21B8">
              <w:rPr>
                <w:sz w:val="20"/>
                <w:szCs w:val="20"/>
              </w:rPr>
              <w:t>bronchoconstriction/</w:t>
            </w:r>
          </w:p>
        </w:tc>
      </w:tr>
      <w:tr w:rsidR="00FA366A" w:rsidRPr="002C21B8" w14:paraId="3A3D9DC6" w14:textId="77777777" w:rsidTr="00960A9F">
        <w:trPr>
          <w:trHeight w:val="320"/>
        </w:trPr>
        <w:tc>
          <w:tcPr>
            <w:tcW w:w="701" w:type="dxa"/>
            <w:shd w:val="clear" w:color="auto" w:fill="auto"/>
            <w:vAlign w:val="center"/>
          </w:tcPr>
          <w:p w14:paraId="710ACEDC" w14:textId="77777777" w:rsidR="00FA366A" w:rsidRPr="002C21B8" w:rsidRDefault="00FA366A" w:rsidP="00212D46">
            <w:pPr>
              <w:spacing w:after="0" w:line="240" w:lineRule="auto"/>
              <w:rPr>
                <w:sz w:val="20"/>
                <w:szCs w:val="20"/>
              </w:rPr>
            </w:pPr>
            <w:r w:rsidRPr="002C21B8">
              <w:rPr>
                <w:sz w:val="20"/>
                <w:szCs w:val="20"/>
              </w:rPr>
              <w:t>51</w:t>
            </w:r>
          </w:p>
        </w:tc>
        <w:tc>
          <w:tcPr>
            <w:tcW w:w="8504" w:type="dxa"/>
            <w:shd w:val="clear" w:color="auto" w:fill="auto"/>
            <w:vAlign w:val="bottom"/>
          </w:tcPr>
          <w:p w14:paraId="46AEC80E" w14:textId="77777777" w:rsidR="00FA366A" w:rsidRPr="002C21B8" w:rsidRDefault="00FA366A" w:rsidP="00212D46">
            <w:pPr>
              <w:spacing w:after="0" w:line="240" w:lineRule="auto"/>
              <w:rPr>
                <w:sz w:val="20"/>
                <w:szCs w:val="20"/>
              </w:rPr>
            </w:pPr>
            <w:r w:rsidRPr="002C21B8">
              <w:rPr>
                <w:sz w:val="20"/>
                <w:szCs w:val="20"/>
              </w:rPr>
              <w:t>((bronchial* or respiratory or airway* or lung*) adj (hypersensitive* or hyperreactive* or allerg* or insufficiency)).ti.</w:t>
            </w:r>
          </w:p>
        </w:tc>
      </w:tr>
      <w:tr w:rsidR="00FA366A" w:rsidRPr="002C21B8" w14:paraId="651551EF" w14:textId="77777777" w:rsidTr="00960A9F">
        <w:trPr>
          <w:trHeight w:val="320"/>
        </w:trPr>
        <w:tc>
          <w:tcPr>
            <w:tcW w:w="701" w:type="dxa"/>
            <w:shd w:val="clear" w:color="auto" w:fill="auto"/>
            <w:vAlign w:val="center"/>
          </w:tcPr>
          <w:p w14:paraId="68DA82DA" w14:textId="77777777" w:rsidR="00FA366A" w:rsidRPr="002C21B8" w:rsidRDefault="00FA366A" w:rsidP="00212D46">
            <w:pPr>
              <w:spacing w:after="0" w:line="240" w:lineRule="auto"/>
              <w:rPr>
                <w:sz w:val="20"/>
                <w:szCs w:val="20"/>
              </w:rPr>
            </w:pPr>
            <w:r w:rsidRPr="002C21B8">
              <w:rPr>
                <w:sz w:val="20"/>
                <w:szCs w:val="20"/>
              </w:rPr>
              <w:t>52</w:t>
            </w:r>
          </w:p>
        </w:tc>
        <w:tc>
          <w:tcPr>
            <w:tcW w:w="8504" w:type="dxa"/>
            <w:shd w:val="clear" w:color="auto" w:fill="auto"/>
            <w:vAlign w:val="bottom"/>
          </w:tcPr>
          <w:p w14:paraId="21DAE1CE" w14:textId="77777777" w:rsidR="00FA366A" w:rsidRPr="002C21B8" w:rsidRDefault="00FA366A" w:rsidP="00212D46">
            <w:pPr>
              <w:spacing w:after="0" w:line="240" w:lineRule="auto"/>
              <w:rPr>
                <w:sz w:val="20"/>
                <w:szCs w:val="20"/>
              </w:rPr>
            </w:pPr>
            <w:r w:rsidRPr="002C21B8">
              <w:rPr>
                <w:sz w:val="20"/>
                <w:szCs w:val="20"/>
              </w:rPr>
              <w:t>(bronch* adj3 (constrict* or spas*)).ti.</w:t>
            </w:r>
          </w:p>
        </w:tc>
      </w:tr>
      <w:tr w:rsidR="00FA366A" w:rsidRPr="002C21B8" w14:paraId="07ED3F43" w14:textId="77777777" w:rsidTr="00960A9F">
        <w:trPr>
          <w:trHeight w:val="320"/>
        </w:trPr>
        <w:tc>
          <w:tcPr>
            <w:tcW w:w="701" w:type="dxa"/>
            <w:shd w:val="clear" w:color="auto" w:fill="auto"/>
            <w:vAlign w:val="center"/>
          </w:tcPr>
          <w:p w14:paraId="7DF51D34" w14:textId="77777777" w:rsidR="00FA366A" w:rsidRPr="002C21B8" w:rsidRDefault="00FA366A" w:rsidP="00212D46">
            <w:pPr>
              <w:spacing w:after="0" w:line="240" w:lineRule="auto"/>
              <w:rPr>
                <w:sz w:val="20"/>
                <w:szCs w:val="20"/>
              </w:rPr>
            </w:pPr>
            <w:r w:rsidRPr="002C21B8">
              <w:rPr>
                <w:sz w:val="20"/>
                <w:szCs w:val="20"/>
              </w:rPr>
              <w:t>53</w:t>
            </w:r>
          </w:p>
        </w:tc>
        <w:tc>
          <w:tcPr>
            <w:tcW w:w="8504" w:type="dxa"/>
            <w:shd w:val="clear" w:color="auto" w:fill="auto"/>
            <w:vAlign w:val="bottom"/>
          </w:tcPr>
          <w:p w14:paraId="3F6E5CDC" w14:textId="77777777" w:rsidR="00FA366A" w:rsidRPr="002C21B8" w:rsidRDefault="00FA366A" w:rsidP="00212D46">
            <w:pPr>
              <w:spacing w:after="0" w:line="240" w:lineRule="auto"/>
              <w:rPr>
                <w:sz w:val="20"/>
                <w:szCs w:val="20"/>
              </w:rPr>
            </w:pPr>
            <w:r w:rsidRPr="002C21B8">
              <w:rPr>
                <w:sz w:val="20"/>
                <w:szCs w:val="20"/>
              </w:rPr>
              <w:t>(asthma* or wheez* or bronchoconstrict* or antiasthma* or anti-asthma* or bronchal hyperreactivity or bronchospas*).ti.</w:t>
            </w:r>
          </w:p>
        </w:tc>
      </w:tr>
      <w:tr w:rsidR="00FA366A" w:rsidRPr="002C21B8" w14:paraId="23BF0C77" w14:textId="77777777" w:rsidTr="00960A9F">
        <w:trPr>
          <w:trHeight w:val="320"/>
        </w:trPr>
        <w:tc>
          <w:tcPr>
            <w:tcW w:w="701" w:type="dxa"/>
            <w:shd w:val="clear" w:color="auto" w:fill="auto"/>
            <w:vAlign w:val="center"/>
          </w:tcPr>
          <w:p w14:paraId="33A0B0ED" w14:textId="77777777" w:rsidR="00FA366A" w:rsidRPr="002C21B8" w:rsidRDefault="00FA366A" w:rsidP="00212D46">
            <w:pPr>
              <w:spacing w:after="0" w:line="240" w:lineRule="auto"/>
              <w:rPr>
                <w:sz w:val="20"/>
                <w:szCs w:val="20"/>
              </w:rPr>
            </w:pPr>
            <w:r w:rsidRPr="002C21B8">
              <w:rPr>
                <w:sz w:val="20"/>
                <w:szCs w:val="20"/>
              </w:rPr>
              <w:t>54</w:t>
            </w:r>
          </w:p>
        </w:tc>
        <w:tc>
          <w:tcPr>
            <w:tcW w:w="8504" w:type="dxa"/>
            <w:shd w:val="clear" w:color="auto" w:fill="auto"/>
            <w:vAlign w:val="bottom"/>
          </w:tcPr>
          <w:p w14:paraId="36B047CB" w14:textId="77777777" w:rsidR="00FA366A" w:rsidRPr="002C21B8" w:rsidRDefault="00FA366A" w:rsidP="00212D46">
            <w:pPr>
              <w:spacing w:after="0" w:line="240" w:lineRule="auto"/>
              <w:rPr>
                <w:sz w:val="20"/>
                <w:szCs w:val="20"/>
              </w:rPr>
            </w:pPr>
            <w:r w:rsidRPr="002C21B8">
              <w:rPr>
                <w:sz w:val="20"/>
                <w:szCs w:val="20"/>
              </w:rPr>
              <w:t>atrial fibrillation/</w:t>
            </w:r>
          </w:p>
        </w:tc>
      </w:tr>
      <w:tr w:rsidR="00FA366A" w:rsidRPr="002C21B8" w14:paraId="4C1A8361" w14:textId="77777777" w:rsidTr="00960A9F">
        <w:trPr>
          <w:trHeight w:val="320"/>
        </w:trPr>
        <w:tc>
          <w:tcPr>
            <w:tcW w:w="701" w:type="dxa"/>
            <w:shd w:val="clear" w:color="auto" w:fill="auto"/>
            <w:vAlign w:val="center"/>
          </w:tcPr>
          <w:p w14:paraId="734E0346" w14:textId="77777777" w:rsidR="00FA366A" w:rsidRPr="002C21B8" w:rsidRDefault="00FA366A" w:rsidP="00212D46">
            <w:pPr>
              <w:spacing w:after="0" w:line="240" w:lineRule="auto"/>
              <w:rPr>
                <w:sz w:val="20"/>
                <w:szCs w:val="20"/>
              </w:rPr>
            </w:pPr>
            <w:r w:rsidRPr="002C21B8">
              <w:rPr>
                <w:sz w:val="20"/>
                <w:szCs w:val="20"/>
              </w:rPr>
              <w:t>55</w:t>
            </w:r>
          </w:p>
        </w:tc>
        <w:tc>
          <w:tcPr>
            <w:tcW w:w="8504" w:type="dxa"/>
            <w:shd w:val="clear" w:color="auto" w:fill="auto"/>
            <w:vAlign w:val="bottom"/>
          </w:tcPr>
          <w:p w14:paraId="12E090AA" w14:textId="77777777" w:rsidR="00FA366A" w:rsidRPr="002C21B8" w:rsidRDefault="00FA366A" w:rsidP="00212D46">
            <w:pPr>
              <w:spacing w:after="0" w:line="240" w:lineRule="auto"/>
              <w:rPr>
                <w:sz w:val="20"/>
                <w:szCs w:val="20"/>
              </w:rPr>
            </w:pPr>
            <w:r w:rsidRPr="002C21B8">
              <w:rPr>
                <w:sz w:val="20"/>
                <w:szCs w:val="20"/>
              </w:rPr>
              <w:t>((atrial or atrium) adj fibril?at*).ti.</w:t>
            </w:r>
          </w:p>
        </w:tc>
      </w:tr>
      <w:tr w:rsidR="00FA366A" w:rsidRPr="002C21B8" w14:paraId="1B6E3E67" w14:textId="77777777" w:rsidTr="00960A9F">
        <w:trPr>
          <w:trHeight w:val="320"/>
        </w:trPr>
        <w:tc>
          <w:tcPr>
            <w:tcW w:w="701" w:type="dxa"/>
            <w:shd w:val="clear" w:color="auto" w:fill="auto"/>
            <w:vAlign w:val="center"/>
          </w:tcPr>
          <w:p w14:paraId="302EEDDE" w14:textId="77777777" w:rsidR="00FA366A" w:rsidRPr="002C21B8" w:rsidRDefault="00FA366A" w:rsidP="00212D46">
            <w:pPr>
              <w:spacing w:after="0" w:line="240" w:lineRule="auto"/>
              <w:rPr>
                <w:sz w:val="20"/>
                <w:szCs w:val="20"/>
              </w:rPr>
            </w:pPr>
            <w:r w:rsidRPr="002C21B8">
              <w:rPr>
                <w:sz w:val="20"/>
                <w:szCs w:val="20"/>
              </w:rPr>
              <w:t>56</w:t>
            </w:r>
          </w:p>
        </w:tc>
        <w:tc>
          <w:tcPr>
            <w:tcW w:w="8504" w:type="dxa"/>
            <w:shd w:val="clear" w:color="auto" w:fill="auto"/>
            <w:vAlign w:val="bottom"/>
          </w:tcPr>
          <w:p w14:paraId="13681805" w14:textId="77777777" w:rsidR="00FA366A" w:rsidRPr="002C21B8" w:rsidRDefault="00FA366A" w:rsidP="00212D46">
            <w:pPr>
              <w:spacing w:after="0" w:line="240" w:lineRule="auto"/>
              <w:rPr>
                <w:sz w:val="20"/>
                <w:szCs w:val="20"/>
              </w:rPr>
            </w:pPr>
            <w:r w:rsidRPr="002C21B8">
              <w:rPr>
                <w:sz w:val="20"/>
                <w:szCs w:val="20"/>
              </w:rPr>
              <w:t>fatigue syndrome, chronic/</w:t>
            </w:r>
          </w:p>
        </w:tc>
      </w:tr>
      <w:tr w:rsidR="00FA366A" w:rsidRPr="002C21B8" w14:paraId="6CFB8FC5" w14:textId="77777777" w:rsidTr="00960A9F">
        <w:trPr>
          <w:trHeight w:val="320"/>
        </w:trPr>
        <w:tc>
          <w:tcPr>
            <w:tcW w:w="701" w:type="dxa"/>
            <w:shd w:val="clear" w:color="auto" w:fill="auto"/>
            <w:vAlign w:val="center"/>
          </w:tcPr>
          <w:p w14:paraId="6F5CACF0" w14:textId="77777777" w:rsidR="00FA366A" w:rsidRPr="002C21B8" w:rsidRDefault="00FA366A" w:rsidP="00212D46">
            <w:pPr>
              <w:spacing w:after="0" w:line="240" w:lineRule="auto"/>
              <w:rPr>
                <w:sz w:val="20"/>
                <w:szCs w:val="20"/>
              </w:rPr>
            </w:pPr>
            <w:r w:rsidRPr="002C21B8">
              <w:rPr>
                <w:sz w:val="20"/>
                <w:szCs w:val="20"/>
              </w:rPr>
              <w:t>57</w:t>
            </w:r>
          </w:p>
        </w:tc>
        <w:tc>
          <w:tcPr>
            <w:tcW w:w="8504" w:type="dxa"/>
            <w:shd w:val="clear" w:color="auto" w:fill="auto"/>
            <w:vAlign w:val="bottom"/>
          </w:tcPr>
          <w:p w14:paraId="516363E1" w14:textId="77777777" w:rsidR="00FA366A" w:rsidRPr="002C21B8" w:rsidRDefault="00FA366A" w:rsidP="00212D46">
            <w:pPr>
              <w:spacing w:after="0" w:line="240" w:lineRule="auto"/>
              <w:rPr>
                <w:sz w:val="20"/>
                <w:szCs w:val="20"/>
              </w:rPr>
            </w:pPr>
            <w:r w:rsidRPr="002C21B8">
              <w:rPr>
                <w:sz w:val="20"/>
                <w:szCs w:val="20"/>
              </w:rPr>
              <w:t>exp epilepsies, myoclonic/</w:t>
            </w:r>
          </w:p>
        </w:tc>
      </w:tr>
      <w:tr w:rsidR="00FA366A" w:rsidRPr="002C21B8" w14:paraId="386499F5" w14:textId="77777777" w:rsidTr="00960A9F">
        <w:trPr>
          <w:trHeight w:val="320"/>
        </w:trPr>
        <w:tc>
          <w:tcPr>
            <w:tcW w:w="701" w:type="dxa"/>
            <w:shd w:val="clear" w:color="auto" w:fill="auto"/>
            <w:vAlign w:val="center"/>
          </w:tcPr>
          <w:p w14:paraId="09C75B07" w14:textId="77777777" w:rsidR="00FA366A" w:rsidRPr="002C21B8" w:rsidRDefault="00FA366A" w:rsidP="00212D46">
            <w:pPr>
              <w:spacing w:after="0" w:line="240" w:lineRule="auto"/>
              <w:rPr>
                <w:sz w:val="20"/>
                <w:szCs w:val="20"/>
              </w:rPr>
            </w:pPr>
            <w:r w:rsidRPr="002C21B8">
              <w:rPr>
                <w:sz w:val="20"/>
                <w:szCs w:val="20"/>
              </w:rPr>
              <w:t>58</w:t>
            </w:r>
          </w:p>
        </w:tc>
        <w:tc>
          <w:tcPr>
            <w:tcW w:w="8504" w:type="dxa"/>
            <w:shd w:val="clear" w:color="auto" w:fill="auto"/>
            <w:vAlign w:val="bottom"/>
          </w:tcPr>
          <w:p w14:paraId="3FFBC295" w14:textId="77777777" w:rsidR="00FA366A" w:rsidRPr="002C21B8" w:rsidRDefault="00FA366A" w:rsidP="00212D46">
            <w:pPr>
              <w:spacing w:after="0" w:line="240" w:lineRule="auto"/>
              <w:rPr>
                <w:sz w:val="20"/>
                <w:szCs w:val="20"/>
              </w:rPr>
            </w:pPr>
            <w:r w:rsidRPr="002C21B8">
              <w:rPr>
                <w:sz w:val="20"/>
                <w:szCs w:val="20"/>
              </w:rPr>
              <w:t>(dravet syndrome* or severe myoclonic epilepsy of infancy or severe myoclonic epilepsy in infancy or severe polymorphic epilepsy of infancy).ti.</w:t>
            </w:r>
          </w:p>
        </w:tc>
      </w:tr>
      <w:tr w:rsidR="00FA366A" w:rsidRPr="002C21B8" w14:paraId="3C07AD87" w14:textId="77777777" w:rsidTr="00960A9F">
        <w:trPr>
          <w:trHeight w:val="320"/>
        </w:trPr>
        <w:tc>
          <w:tcPr>
            <w:tcW w:w="701" w:type="dxa"/>
            <w:shd w:val="clear" w:color="auto" w:fill="auto"/>
            <w:vAlign w:val="center"/>
          </w:tcPr>
          <w:p w14:paraId="06731EF4" w14:textId="77777777" w:rsidR="00FA366A" w:rsidRPr="002C21B8" w:rsidRDefault="00FA366A" w:rsidP="00212D46">
            <w:pPr>
              <w:spacing w:after="0" w:line="240" w:lineRule="auto"/>
              <w:rPr>
                <w:sz w:val="20"/>
                <w:szCs w:val="20"/>
              </w:rPr>
            </w:pPr>
            <w:r w:rsidRPr="002C21B8">
              <w:rPr>
                <w:sz w:val="20"/>
                <w:szCs w:val="20"/>
              </w:rPr>
              <w:t>59</w:t>
            </w:r>
          </w:p>
        </w:tc>
        <w:tc>
          <w:tcPr>
            <w:tcW w:w="8504" w:type="dxa"/>
            <w:shd w:val="clear" w:color="auto" w:fill="auto"/>
            <w:vAlign w:val="bottom"/>
          </w:tcPr>
          <w:p w14:paraId="09772D0B" w14:textId="77777777" w:rsidR="00FA366A" w:rsidRPr="002C21B8" w:rsidRDefault="00FA366A" w:rsidP="00212D46">
            <w:pPr>
              <w:spacing w:after="0" w:line="240" w:lineRule="auto"/>
              <w:rPr>
                <w:sz w:val="20"/>
                <w:szCs w:val="20"/>
              </w:rPr>
            </w:pPr>
            <w:r w:rsidRPr="002C21B8">
              <w:rPr>
                <w:sz w:val="20"/>
                <w:szCs w:val="20"/>
              </w:rPr>
              <w:t>exp kidney failure, chronic/</w:t>
            </w:r>
          </w:p>
        </w:tc>
      </w:tr>
      <w:tr w:rsidR="00FA366A" w:rsidRPr="002C21B8" w14:paraId="71D09294" w14:textId="77777777" w:rsidTr="00960A9F">
        <w:trPr>
          <w:trHeight w:val="320"/>
        </w:trPr>
        <w:tc>
          <w:tcPr>
            <w:tcW w:w="701" w:type="dxa"/>
            <w:shd w:val="clear" w:color="auto" w:fill="auto"/>
            <w:vAlign w:val="center"/>
          </w:tcPr>
          <w:p w14:paraId="0D98E62B" w14:textId="77777777" w:rsidR="00FA366A" w:rsidRPr="002C21B8" w:rsidRDefault="00FA366A" w:rsidP="00212D46">
            <w:pPr>
              <w:spacing w:after="0" w:line="240" w:lineRule="auto"/>
              <w:rPr>
                <w:sz w:val="20"/>
                <w:szCs w:val="20"/>
              </w:rPr>
            </w:pPr>
            <w:r w:rsidRPr="002C21B8">
              <w:rPr>
                <w:sz w:val="20"/>
                <w:szCs w:val="20"/>
              </w:rPr>
              <w:t>60</w:t>
            </w:r>
          </w:p>
        </w:tc>
        <w:tc>
          <w:tcPr>
            <w:tcW w:w="8504" w:type="dxa"/>
            <w:shd w:val="clear" w:color="auto" w:fill="auto"/>
            <w:vAlign w:val="bottom"/>
          </w:tcPr>
          <w:p w14:paraId="3DC2B618" w14:textId="77777777" w:rsidR="00FA366A" w:rsidRPr="002C21B8" w:rsidRDefault="00FA366A" w:rsidP="00212D46">
            <w:pPr>
              <w:spacing w:after="0" w:line="240" w:lineRule="auto"/>
              <w:rPr>
                <w:sz w:val="20"/>
                <w:szCs w:val="20"/>
              </w:rPr>
            </w:pPr>
            <w:r w:rsidRPr="002C21B8">
              <w:rPr>
                <w:sz w:val="20"/>
                <w:szCs w:val="20"/>
              </w:rPr>
              <w:t>(chronic adj (kidney or kidney) adj (disease* or failure or insufficien*)).ti.</w:t>
            </w:r>
          </w:p>
        </w:tc>
      </w:tr>
      <w:tr w:rsidR="00FA366A" w:rsidRPr="002C21B8" w14:paraId="331C1BBD" w14:textId="77777777" w:rsidTr="00960A9F">
        <w:trPr>
          <w:trHeight w:val="320"/>
        </w:trPr>
        <w:tc>
          <w:tcPr>
            <w:tcW w:w="701" w:type="dxa"/>
            <w:shd w:val="clear" w:color="auto" w:fill="auto"/>
            <w:vAlign w:val="center"/>
          </w:tcPr>
          <w:p w14:paraId="69942C21" w14:textId="77777777" w:rsidR="00FA366A" w:rsidRPr="002C21B8" w:rsidRDefault="00FA366A" w:rsidP="00212D46">
            <w:pPr>
              <w:spacing w:after="0" w:line="240" w:lineRule="auto"/>
              <w:rPr>
                <w:sz w:val="20"/>
                <w:szCs w:val="20"/>
              </w:rPr>
            </w:pPr>
            <w:r w:rsidRPr="002C21B8">
              <w:rPr>
                <w:sz w:val="20"/>
                <w:szCs w:val="20"/>
              </w:rPr>
              <w:t>61</w:t>
            </w:r>
          </w:p>
        </w:tc>
        <w:tc>
          <w:tcPr>
            <w:tcW w:w="8504" w:type="dxa"/>
            <w:shd w:val="clear" w:color="auto" w:fill="auto"/>
            <w:vAlign w:val="bottom"/>
          </w:tcPr>
          <w:p w14:paraId="746DCB45" w14:textId="77777777" w:rsidR="00FA366A" w:rsidRPr="002C21B8" w:rsidRDefault="00FA366A" w:rsidP="00212D46">
            <w:pPr>
              <w:spacing w:after="0" w:line="240" w:lineRule="auto"/>
              <w:rPr>
                <w:sz w:val="20"/>
                <w:szCs w:val="20"/>
              </w:rPr>
            </w:pPr>
            <w:r w:rsidRPr="002C21B8">
              <w:rPr>
                <w:sz w:val="20"/>
                <w:szCs w:val="20"/>
              </w:rPr>
              <w:t>(CKD or CRF or CRD or ESKD or ESRD or ESRF).ti.</w:t>
            </w:r>
          </w:p>
        </w:tc>
      </w:tr>
      <w:tr w:rsidR="00FA366A" w:rsidRPr="002C21B8" w14:paraId="4EC171C0" w14:textId="77777777" w:rsidTr="00960A9F">
        <w:trPr>
          <w:trHeight w:val="320"/>
        </w:trPr>
        <w:tc>
          <w:tcPr>
            <w:tcW w:w="701" w:type="dxa"/>
            <w:shd w:val="clear" w:color="auto" w:fill="auto"/>
            <w:vAlign w:val="center"/>
          </w:tcPr>
          <w:p w14:paraId="5860FD4C" w14:textId="77777777" w:rsidR="00FA366A" w:rsidRPr="002C21B8" w:rsidRDefault="00FA366A" w:rsidP="00212D46">
            <w:pPr>
              <w:spacing w:after="0" w:line="240" w:lineRule="auto"/>
              <w:rPr>
                <w:sz w:val="20"/>
                <w:szCs w:val="20"/>
              </w:rPr>
            </w:pPr>
            <w:r w:rsidRPr="002C21B8">
              <w:rPr>
                <w:sz w:val="20"/>
                <w:szCs w:val="20"/>
              </w:rPr>
              <w:t>62</w:t>
            </w:r>
          </w:p>
        </w:tc>
        <w:tc>
          <w:tcPr>
            <w:tcW w:w="8504" w:type="dxa"/>
            <w:shd w:val="clear" w:color="auto" w:fill="auto"/>
            <w:vAlign w:val="bottom"/>
          </w:tcPr>
          <w:p w14:paraId="1BE22C12" w14:textId="77777777" w:rsidR="00FA366A" w:rsidRPr="002C21B8" w:rsidRDefault="00FA366A" w:rsidP="00212D46">
            <w:pPr>
              <w:spacing w:after="0" w:line="240" w:lineRule="auto"/>
              <w:rPr>
                <w:sz w:val="20"/>
                <w:szCs w:val="20"/>
              </w:rPr>
            </w:pPr>
            <w:r w:rsidRPr="002C21B8">
              <w:rPr>
                <w:sz w:val="20"/>
                <w:szCs w:val="20"/>
              </w:rPr>
              <w:t>exp pulmonary disease, chronic obstructive/</w:t>
            </w:r>
          </w:p>
        </w:tc>
      </w:tr>
      <w:tr w:rsidR="00FA366A" w:rsidRPr="002C21B8" w14:paraId="226D1056" w14:textId="77777777" w:rsidTr="00960A9F">
        <w:trPr>
          <w:trHeight w:val="320"/>
        </w:trPr>
        <w:tc>
          <w:tcPr>
            <w:tcW w:w="701" w:type="dxa"/>
            <w:shd w:val="clear" w:color="auto" w:fill="auto"/>
            <w:vAlign w:val="center"/>
          </w:tcPr>
          <w:p w14:paraId="6E35A9F7" w14:textId="77777777" w:rsidR="00FA366A" w:rsidRPr="002C21B8" w:rsidRDefault="00FA366A" w:rsidP="00212D46">
            <w:pPr>
              <w:spacing w:after="0" w:line="240" w:lineRule="auto"/>
              <w:rPr>
                <w:sz w:val="20"/>
                <w:szCs w:val="20"/>
              </w:rPr>
            </w:pPr>
            <w:r w:rsidRPr="002C21B8">
              <w:rPr>
                <w:sz w:val="20"/>
                <w:szCs w:val="20"/>
              </w:rPr>
              <w:t>63</w:t>
            </w:r>
          </w:p>
        </w:tc>
        <w:tc>
          <w:tcPr>
            <w:tcW w:w="8504" w:type="dxa"/>
            <w:shd w:val="clear" w:color="auto" w:fill="auto"/>
            <w:vAlign w:val="bottom"/>
          </w:tcPr>
          <w:p w14:paraId="1BC6530E" w14:textId="77777777" w:rsidR="00FA366A" w:rsidRPr="002C21B8" w:rsidRDefault="00FA366A" w:rsidP="00212D46">
            <w:pPr>
              <w:spacing w:after="0" w:line="240" w:lineRule="auto"/>
              <w:rPr>
                <w:sz w:val="20"/>
                <w:szCs w:val="20"/>
              </w:rPr>
            </w:pPr>
            <w:r w:rsidRPr="002C21B8">
              <w:rPr>
                <w:sz w:val="20"/>
                <w:szCs w:val="20"/>
              </w:rPr>
              <w:t>(obstruct* adj (pulmonary or lung* or airway* or airflow* or bronch* or respirat*)).ti.</w:t>
            </w:r>
          </w:p>
        </w:tc>
      </w:tr>
      <w:tr w:rsidR="00FA366A" w:rsidRPr="002C21B8" w14:paraId="12BECB47" w14:textId="77777777" w:rsidTr="00960A9F">
        <w:trPr>
          <w:trHeight w:val="320"/>
        </w:trPr>
        <w:tc>
          <w:tcPr>
            <w:tcW w:w="701" w:type="dxa"/>
            <w:shd w:val="clear" w:color="auto" w:fill="auto"/>
            <w:vAlign w:val="center"/>
          </w:tcPr>
          <w:p w14:paraId="4D187B53" w14:textId="77777777" w:rsidR="00FA366A" w:rsidRPr="002C21B8" w:rsidRDefault="00FA366A" w:rsidP="00212D46">
            <w:pPr>
              <w:spacing w:after="0" w:line="240" w:lineRule="auto"/>
              <w:rPr>
                <w:sz w:val="20"/>
                <w:szCs w:val="20"/>
              </w:rPr>
            </w:pPr>
            <w:r w:rsidRPr="002C21B8">
              <w:rPr>
                <w:sz w:val="20"/>
                <w:szCs w:val="20"/>
              </w:rPr>
              <w:t>64</w:t>
            </w:r>
          </w:p>
        </w:tc>
        <w:tc>
          <w:tcPr>
            <w:tcW w:w="8504" w:type="dxa"/>
            <w:shd w:val="clear" w:color="auto" w:fill="auto"/>
            <w:vAlign w:val="bottom"/>
          </w:tcPr>
          <w:p w14:paraId="3F3FEEF4" w14:textId="77777777" w:rsidR="00FA366A" w:rsidRPr="002C21B8" w:rsidRDefault="00FA366A" w:rsidP="00212D46">
            <w:pPr>
              <w:spacing w:after="0" w:line="240" w:lineRule="auto"/>
              <w:rPr>
                <w:sz w:val="20"/>
                <w:szCs w:val="20"/>
              </w:rPr>
            </w:pPr>
            <w:r w:rsidRPr="002C21B8">
              <w:rPr>
                <w:sz w:val="20"/>
                <w:szCs w:val="20"/>
              </w:rPr>
              <w:t>(chronic* adj bronchiti*).ti.</w:t>
            </w:r>
          </w:p>
        </w:tc>
      </w:tr>
      <w:tr w:rsidR="00FA366A" w:rsidRPr="002C21B8" w14:paraId="774C0C9E" w14:textId="77777777" w:rsidTr="00960A9F">
        <w:trPr>
          <w:trHeight w:val="320"/>
        </w:trPr>
        <w:tc>
          <w:tcPr>
            <w:tcW w:w="701" w:type="dxa"/>
            <w:shd w:val="clear" w:color="auto" w:fill="auto"/>
            <w:vAlign w:val="center"/>
          </w:tcPr>
          <w:p w14:paraId="3C8924F5" w14:textId="77777777" w:rsidR="00FA366A" w:rsidRPr="002C21B8" w:rsidRDefault="00FA366A" w:rsidP="00212D46">
            <w:pPr>
              <w:spacing w:after="0" w:line="240" w:lineRule="auto"/>
              <w:rPr>
                <w:sz w:val="20"/>
                <w:szCs w:val="20"/>
              </w:rPr>
            </w:pPr>
            <w:r w:rsidRPr="002C21B8">
              <w:rPr>
                <w:sz w:val="20"/>
                <w:szCs w:val="20"/>
              </w:rPr>
              <w:t>65</w:t>
            </w:r>
          </w:p>
        </w:tc>
        <w:tc>
          <w:tcPr>
            <w:tcW w:w="8504" w:type="dxa"/>
            <w:shd w:val="clear" w:color="auto" w:fill="auto"/>
            <w:vAlign w:val="bottom"/>
          </w:tcPr>
          <w:p w14:paraId="745B8D63" w14:textId="77777777" w:rsidR="00FA366A" w:rsidRPr="002C21B8" w:rsidRDefault="00FA366A" w:rsidP="00212D46">
            <w:pPr>
              <w:spacing w:after="0" w:line="240" w:lineRule="auto"/>
              <w:rPr>
                <w:sz w:val="20"/>
                <w:szCs w:val="20"/>
              </w:rPr>
            </w:pPr>
            <w:r w:rsidRPr="002C21B8">
              <w:rPr>
                <w:sz w:val="20"/>
                <w:szCs w:val="20"/>
              </w:rPr>
              <w:t>(chronic obstructive pulmonary disease or chronic obstructive airways disease or lung disease or emphysema* or COPD or CAL or COAD or COLD or CBD or AECB).ti.</w:t>
            </w:r>
          </w:p>
        </w:tc>
      </w:tr>
      <w:tr w:rsidR="00FA366A" w:rsidRPr="002C21B8" w14:paraId="191AC24F" w14:textId="77777777" w:rsidTr="00960A9F">
        <w:trPr>
          <w:trHeight w:val="320"/>
        </w:trPr>
        <w:tc>
          <w:tcPr>
            <w:tcW w:w="701" w:type="dxa"/>
            <w:shd w:val="clear" w:color="auto" w:fill="auto"/>
            <w:vAlign w:val="center"/>
          </w:tcPr>
          <w:p w14:paraId="3B8CFAC4" w14:textId="77777777" w:rsidR="00FA366A" w:rsidRPr="002C21B8" w:rsidRDefault="00FA366A" w:rsidP="00212D46">
            <w:pPr>
              <w:spacing w:after="0" w:line="240" w:lineRule="auto"/>
              <w:rPr>
                <w:sz w:val="20"/>
                <w:szCs w:val="20"/>
              </w:rPr>
            </w:pPr>
            <w:r w:rsidRPr="002C21B8">
              <w:rPr>
                <w:sz w:val="20"/>
                <w:szCs w:val="20"/>
              </w:rPr>
              <w:t>66</w:t>
            </w:r>
          </w:p>
        </w:tc>
        <w:tc>
          <w:tcPr>
            <w:tcW w:w="8504" w:type="dxa"/>
            <w:shd w:val="clear" w:color="auto" w:fill="auto"/>
            <w:vAlign w:val="bottom"/>
          </w:tcPr>
          <w:p w14:paraId="2A7D044D" w14:textId="77777777" w:rsidR="00FA366A" w:rsidRPr="002C21B8" w:rsidRDefault="00FA366A" w:rsidP="00212D46">
            <w:pPr>
              <w:spacing w:after="0" w:line="240" w:lineRule="auto"/>
              <w:rPr>
                <w:sz w:val="20"/>
                <w:szCs w:val="20"/>
              </w:rPr>
            </w:pPr>
            <w:r w:rsidRPr="002C21B8">
              <w:rPr>
                <w:sz w:val="20"/>
                <w:szCs w:val="20"/>
              </w:rPr>
              <w:t>exp heart failure/</w:t>
            </w:r>
          </w:p>
        </w:tc>
      </w:tr>
      <w:tr w:rsidR="00FA366A" w:rsidRPr="002C21B8" w14:paraId="3A300878" w14:textId="77777777" w:rsidTr="00960A9F">
        <w:trPr>
          <w:trHeight w:val="320"/>
        </w:trPr>
        <w:tc>
          <w:tcPr>
            <w:tcW w:w="701" w:type="dxa"/>
            <w:shd w:val="clear" w:color="auto" w:fill="auto"/>
            <w:vAlign w:val="center"/>
          </w:tcPr>
          <w:p w14:paraId="329D1D5A" w14:textId="77777777" w:rsidR="00FA366A" w:rsidRPr="002C21B8" w:rsidRDefault="00FA366A" w:rsidP="00212D46">
            <w:pPr>
              <w:spacing w:after="0" w:line="240" w:lineRule="auto"/>
              <w:rPr>
                <w:sz w:val="20"/>
                <w:szCs w:val="20"/>
              </w:rPr>
            </w:pPr>
            <w:r w:rsidRPr="002C21B8">
              <w:rPr>
                <w:sz w:val="20"/>
                <w:szCs w:val="20"/>
              </w:rPr>
              <w:t>67</w:t>
            </w:r>
          </w:p>
        </w:tc>
        <w:tc>
          <w:tcPr>
            <w:tcW w:w="8504" w:type="dxa"/>
            <w:shd w:val="clear" w:color="auto" w:fill="auto"/>
            <w:vAlign w:val="bottom"/>
          </w:tcPr>
          <w:p w14:paraId="507BD891" w14:textId="77777777" w:rsidR="00FA366A" w:rsidRPr="002C21B8" w:rsidRDefault="00FA366A" w:rsidP="00212D46">
            <w:pPr>
              <w:spacing w:after="0" w:line="240" w:lineRule="auto"/>
              <w:rPr>
                <w:sz w:val="20"/>
                <w:szCs w:val="20"/>
              </w:rPr>
            </w:pPr>
            <w:r w:rsidRPr="002C21B8">
              <w:rPr>
                <w:sz w:val="20"/>
                <w:szCs w:val="20"/>
              </w:rPr>
              <w:t>((heart or cardiac or myocardial) adj (failure or decompensation)).ti.</w:t>
            </w:r>
          </w:p>
        </w:tc>
      </w:tr>
      <w:tr w:rsidR="00FA366A" w:rsidRPr="002C21B8" w14:paraId="5197AF3A" w14:textId="77777777" w:rsidTr="00960A9F">
        <w:trPr>
          <w:trHeight w:val="320"/>
        </w:trPr>
        <w:tc>
          <w:tcPr>
            <w:tcW w:w="701" w:type="dxa"/>
            <w:shd w:val="clear" w:color="auto" w:fill="auto"/>
            <w:vAlign w:val="center"/>
          </w:tcPr>
          <w:p w14:paraId="5FC1BC9B" w14:textId="77777777" w:rsidR="00FA366A" w:rsidRPr="002C21B8" w:rsidRDefault="00FA366A" w:rsidP="00212D46">
            <w:pPr>
              <w:spacing w:after="0" w:line="240" w:lineRule="auto"/>
              <w:rPr>
                <w:sz w:val="20"/>
                <w:szCs w:val="20"/>
              </w:rPr>
            </w:pPr>
            <w:r w:rsidRPr="002C21B8">
              <w:rPr>
                <w:sz w:val="20"/>
                <w:szCs w:val="20"/>
              </w:rPr>
              <w:t>68</w:t>
            </w:r>
          </w:p>
        </w:tc>
        <w:tc>
          <w:tcPr>
            <w:tcW w:w="8504" w:type="dxa"/>
            <w:shd w:val="clear" w:color="auto" w:fill="auto"/>
            <w:vAlign w:val="bottom"/>
          </w:tcPr>
          <w:p w14:paraId="266D7E6C" w14:textId="77777777" w:rsidR="00FA366A" w:rsidRPr="002C21B8" w:rsidRDefault="00FA366A" w:rsidP="00212D46">
            <w:pPr>
              <w:spacing w:after="0" w:line="240" w:lineRule="auto"/>
              <w:rPr>
                <w:sz w:val="20"/>
                <w:szCs w:val="20"/>
              </w:rPr>
            </w:pPr>
            <w:r w:rsidRPr="002C21B8">
              <w:rPr>
                <w:sz w:val="20"/>
                <w:szCs w:val="20"/>
              </w:rPr>
              <w:t>((congestive or acute or decompensat* or chronic) adj heart failure).ti.</w:t>
            </w:r>
          </w:p>
        </w:tc>
      </w:tr>
      <w:tr w:rsidR="00FA366A" w:rsidRPr="002C21B8" w14:paraId="1EE2F8CC" w14:textId="77777777" w:rsidTr="00960A9F">
        <w:trPr>
          <w:trHeight w:val="320"/>
        </w:trPr>
        <w:tc>
          <w:tcPr>
            <w:tcW w:w="701" w:type="dxa"/>
            <w:shd w:val="clear" w:color="auto" w:fill="auto"/>
            <w:vAlign w:val="center"/>
          </w:tcPr>
          <w:p w14:paraId="432A348A" w14:textId="77777777" w:rsidR="00FA366A" w:rsidRPr="002C21B8" w:rsidRDefault="00FA366A" w:rsidP="00212D46">
            <w:pPr>
              <w:spacing w:after="0" w:line="240" w:lineRule="auto"/>
              <w:rPr>
                <w:sz w:val="20"/>
                <w:szCs w:val="20"/>
              </w:rPr>
            </w:pPr>
            <w:r w:rsidRPr="002C21B8">
              <w:rPr>
                <w:sz w:val="20"/>
                <w:szCs w:val="20"/>
              </w:rPr>
              <w:t>69</w:t>
            </w:r>
          </w:p>
        </w:tc>
        <w:tc>
          <w:tcPr>
            <w:tcW w:w="8504" w:type="dxa"/>
            <w:shd w:val="clear" w:color="auto" w:fill="auto"/>
            <w:vAlign w:val="bottom"/>
          </w:tcPr>
          <w:p w14:paraId="452E5E43" w14:textId="77777777" w:rsidR="00FA366A" w:rsidRPr="002C21B8" w:rsidRDefault="00FA366A" w:rsidP="00212D46">
            <w:pPr>
              <w:spacing w:after="0" w:line="240" w:lineRule="auto"/>
              <w:rPr>
                <w:sz w:val="20"/>
                <w:szCs w:val="20"/>
              </w:rPr>
            </w:pPr>
            <w:r w:rsidRPr="002C21B8">
              <w:rPr>
                <w:sz w:val="20"/>
                <w:szCs w:val="20"/>
              </w:rPr>
              <w:t>exp dementia/</w:t>
            </w:r>
          </w:p>
        </w:tc>
      </w:tr>
      <w:tr w:rsidR="00FA366A" w:rsidRPr="002C21B8" w14:paraId="5F51AF75" w14:textId="77777777" w:rsidTr="00960A9F">
        <w:trPr>
          <w:trHeight w:val="320"/>
        </w:trPr>
        <w:tc>
          <w:tcPr>
            <w:tcW w:w="701" w:type="dxa"/>
            <w:shd w:val="clear" w:color="auto" w:fill="auto"/>
            <w:vAlign w:val="center"/>
          </w:tcPr>
          <w:p w14:paraId="046F7664" w14:textId="77777777" w:rsidR="00FA366A" w:rsidRPr="002C21B8" w:rsidRDefault="00FA366A" w:rsidP="00212D46">
            <w:pPr>
              <w:spacing w:after="0" w:line="240" w:lineRule="auto"/>
              <w:rPr>
                <w:sz w:val="20"/>
                <w:szCs w:val="20"/>
              </w:rPr>
            </w:pPr>
            <w:r w:rsidRPr="002C21B8">
              <w:rPr>
                <w:sz w:val="20"/>
                <w:szCs w:val="20"/>
              </w:rPr>
              <w:t>70</w:t>
            </w:r>
          </w:p>
        </w:tc>
        <w:tc>
          <w:tcPr>
            <w:tcW w:w="8504" w:type="dxa"/>
            <w:shd w:val="clear" w:color="auto" w:fill="auto"/>
            <w:vAlign w:val="bottom"/>
          </w:tcPr>
          <w:p w14:paraId="431D8A5B" w14:textId="77777777" w:rsidR="00FA366A" w:rsidRPr="002C21B8" w:rsidRDefault="00FA366A" w:rsidP="00212D46">
            <w:pPr>
              <w:spacing w:after="0" w:line="240" w:lineRule="auto"/>
              <w:rPr>
                <w:sz w:val="20"/>
                <w:szCs w:val="20"/>
              </w:rPr>
            </w:pPr>
            <w:r w:rsidRPr="002C21B8">
              <w:rPr>
                <w:sz w:val="20"/>
                <w:szCs w:val="20"/>
              </w:rPr>
              <w:t>((cerebr* or brain or cogniti*) adj (deteriorat* or insufficient* or disease or syndrome or impair*)).ti.</w:t>
            </w:r>
          </w:p>
        </w:tc>
      </w:tr>
      <w:tr w:rsidR="00FA366A" w:rsidRPr="002C21B8" w14:paraId="0F5C42E8" w14:textId="77777777" w:rsidTr="00960A9F">
        <w:trPr>
          <w:trHeight w:val="320"/>
        </w:trPr>
        <w:tc>
          <w:tcPr>
            <w:tcW w:w="701" w:type="dxa"/>
            <w:shd w:val="clear" w:color="auto" w:fill="auto"/>
            <w:vAlign w:val="center"/>
          </w:tcPr>
          <w:p w14:paraId="5BC4F2A5" w14:textId="77777777" w:rsidR="00FA366A" w:rsidRPr="002C21B8" w:rsidRDefault="00FA366A" w:rsidP="00212D46">
            <w:pPr>
              <w:spacing w:after="0" w:line="240" w:lineRule="auto"/>
              <w:rPr>
                <w:sz w:val="20"/>
                <w:szCs w:val="20"/>
              </w:rPr>
            </w:pPr>
            <w:r w:rsidRPr="002C21B8">
              <w:rPr>
                <w:sz w:val="20"/>
                <w:szCs w:val="20"/>
              </w:rPr>
              <w:t>71</w:t>
            </w:r>
          </w:p>
        </w:tc>
        <w:tc>
          <w:tcPr>
            <w:tcW w:w="8504" w:type="dxa"/>
            <w:shd w:val="clear" w:color="auto" w:fill="auto"/>
            <w:vAlign w:val="bottom"/>
          </w:tcPr>
          <w:p w14:paraId="2D9D874C" w14:textId="77777777" w:rsidR="00FA366A" w:rsidRPr="002C21B8" w:rsidRDefault="00FA366A" w:rsidP="00212D46">
            <w:pPr>
              <w:spacing w:after="0" w:line="240" w:lineRule="auto"/>
              <w:rPr>
                <w:sz w:val="20"/>
                <w:szCs w:val="20"/>
              </w:rPr>
            </w:pPr>
            <w:r w:rsidRPr="002C21B8">
              <w:rPr>
                <w:sz w:val="20"/>
                <w:szCs w:val="20"/>
              </w:rPr>
              <w:t>(mild cognitive impairment or dement* or alzheimer* or binswager * or benign senescent forgetfulness).ti.</w:t>
            </w:r>
          </w:p>
        </w:tc>
      </w:tr>
      <w:tr w:rsidR="00FA366A" w:rsidRPr="002C21B8" w14:paraId="624E4ED7" w14:textId="77777777" w:rsidTr="00960A9F">
        <w:trPr>
          <w:trHeight w:val="320"/>
        </w:trPr>
        <w:tc>
          <w:tcPr>
            <w:tcW w:w="701" w:type="dxa"/>
            <w:shd w:val="clear" w:color="auto" w:fill="auto"/>
            <w:vAlign w:val="center"/>
          </w:tcPr>
          <w:p w14:paraId="617F7F05" w14:textId="77777777" w:rsidR="00FA366A" w:rsidRPr="002C21B8" w:rsidRDefault="00FA366A" w:rsidP="00212D46">
            <w:pPr>
              <w:spacing w:after="0" w:line="240" w:lineRule="auto"/>
              <w:rPr>
                <w:sz w:val="20"/>
                <w:szCs w:val="20"/>
              </w:rPr>
            </w:pPr>
            <w:r w:rsidRPr="002C21B8">
              <w:rPr>
                <w:sz w:val="20"/>
                <w:szCs w:val="20"/>
              </w:rPr>
              <w:t>72</w:t>
            </w:r>
          </w:p>
        </w:tc>
        <w:tc>
          <w:tcPr>
            <w:tcW w:w="8504" w:type="dxa"/>
            <w:shd w:val="clear" w:color="auto" w:fill="auto"/>
            <w:vAlign w:val="bottom"/>
          </w:tcPr>
          <w:p w14:paraId="7338BA41" w14:textId="77777777" w:rsidR="00FA366A" w:rsidRPr="002C21B8" w:rsidRDefault="00FA366A" w:rsidP="00212D46">
            <w:pPr>
              <w:spacing w:after="0" w:line="240" w:lineRule="auto"/>
              <w:rPr>
                <w:sz w:val="20"/>
                <w:szCs w:val="20"/>
              </w:rPr>
            </w:pPr>
            <w:r w:rsidRPr="002C21B8">
              <w:rPr>
                <w:sz w:val="20"/>
                <w:szCs w:val="20"/>
              </w:rPr>
              <w:t>((dilated or congestive) adj cardiomyopath*).ti.</w:t>
            </w:r>
          </w:p>
        </w:tc>
      </w:tr>
      <w:tr w:rsidR="00FA366A" w:rsidRPr="002C21B8" w14:paraId="5A73000B" w14:textId="77777777" w:rsidTr="00960A9F">
        <w:trPr>
          <w:trHeight w:val="320"/>
        </w:trPr>
        <w:tc>
          <w:tcPr>
            <w:tcW w:w="701" w:type="dxa"/>
            <w:shd w:val="clear" w:color="auto" w:fill="auto"/>
            <w:vAlign w:val="center"/>
          </w:tcPr>
          <w:p w14:paraId="71337847" w14:textId="77777777" w:rsidR="00FA366A" w:rsidRPr="002C21B8" w:rsidRDefault="00FA366A" w:rsidP="00212D46">
            <w:pPr>
              <w:spacing w:after="0" w:line="240" w:lineRule="auto"/>
              <w:rPr>
                <w:sz w:val="20"/>
                <w:szCs w:val="20"/>
              </w:rPr>
            </w:pPr>
            <w:r w:rsidRPr="002C21B8">
              <w:rPr>
                <w:sz w:val="20"/>
                <w:szCs w:val="20"/>
              </w:rPr>
              <w:t>73</w:t>
            </w:r>
          </w:p>
        </w:tc>
        <w:tc>
          <w:tcPr>
            <w:tcW w:w="8504" w:type="dxa"/>
            <w:shd w:val="clear" w:color="auto" w:fill="auto"/>
            <w:vAlign w:val="bottom"/>
          </w:tcPr>
          <w:p w14:paraId="5E9A2464" w14:textId="77777777" w:rsidR="00FA366A" w:rsidRPr="002C21B8" w:rsidRDefault="00FA366A" w:rsidP="00212D46">
            <w:pPr>
              <w:spacing w:after="0" w:line="240" w:lineRule="auto"/>
              <w:rPr>
                <w:sz w:val="20"/>
                <w:szCs w:val="20"/>
              </w:rPr>
            </w:pPr>
            <w:r w:rsidRPr="002C21B8">
              <w:rPr>
                <w:sz w:val="20"/>
                <w:szCs w:val="20"/>
              </w:rPr>
              <w:t>(lewy* adj bod*).ti.</w:t>
            </w:r>
          </w:p>
        </w:tc>
      </w:tr>
      <w:tr w:rsidR="00FA366A" w:rsidRPr="002C21B8" w14:paraId="29D9E1A6" w14:textId="77777777" w:rsidTr="00960A9F">
        <w:trPr>
          <w:trHeight w:val="320"/>
        </w:trPr>
        <w:tc>
          <w:tcPr>
            <w:tcW w:w="701" w:type="dxa"/>
            <w:shd w:val="clear" w:color="auto" w:fill="auto"/>
            <w:vAlign w:val="center"/>
          </w:tcPr>
          <w:p w14:paraId="08D59F89" w14:textId="77777777" w:rsidR="00FA366A" w:rsidRPr="002C21B8" w:rsidRDefault="00FA366A" w:rsidP="00212D46">
            <w:pPr>
              <w:spacing w:after="0" w:line="240" w:lineRule="auto"/>
              <w:rPr>
                <w:sz w:val="20"/>
                <w:szCs w:val="20"/>
              </w:rPr>
            </w:pPr>
            <w:r w:rsidRPr="002C21B8">
              <w:rPr>
                <w:sz w:val="20"/>
                <w:szCs w:val="20"/>
              </w:rPr>
              <w:t>74</w:t>
            </w:r>
          </w:p>
        </w:tc>
        <w:tc>
          <w:tcPr>
            <w:tcW w:w="8504" w:type="dxa"/>
            <w:shd w:val="clear" w:color="auto" w:fill="auto"/>
            <w:vAlign w:val="bottom"/>
          </w:tcPr>
          <w:p w14:paraId="0655EFB7" w14:textId="77777777" w:rsidR="00FA366A" w:rsidRPr="002C21B8" w:rsidRDefault="00FA366A" w:rsidP="00212D46">
            <w:pPr>
              <w:spacing w:after="0" w:line="240" w:lineRule="auto"/>
              <w:rPr>
                <w:sz w:val="20"/>
                <w:szCs w:val="20"/>
              </w:rPr>
            </w:pPr>
            <w:r w:rsidRPr="002C21B8">
              <w:rPr>
                <w:sz w:val="20"/>
                <w:szCs w:val="20"/>
              </w:rPr>
              <w:t>((memory* or mental*) adj (declin* or deteriorat* or impair* or los*)).ti.</w:t>
            </w:r>
          </w:p>
        </w:tc>
      </w:tr>
      <w:tr w:rsidR="00FA366A" w:rsidRPr="002C21B8" w14:paraId="2F51038C" w14:textId="77777777" w:rsidTr="00960A9F">
        <w:trPr>
          <w:trHeight w:val="320"/>
        </w:trPr>
        <w:tc>
          <w:tcPr>
            <w:tcW w:w="701" w:type="dxa"/>
            <w:shd w:val="clear" w:color="auto" w:fill="auto"/>
            <w:vAlign w:val="center"/>
          </w:tcPr>
          <w:p w14:paraId="26B2708D" w14:textId="77777777" w:rsidR="00FA366A" w:rsidRPr="002C21B8" w:rsidRDefault="00FA366A" w:rsidP="00212D46">
            <w:pPr>
              <w:spacing w:after="0" w:line="240" w:lineRule="auto"/>
              <w:rPr>
                <w:sz w:val="20"/>
                <w:szCs w:val="20"/>
              </w:rPr>
            </w:pPr>
            <w:r w:rsidRPr="002C21B8">
              <w:rPr>
                <w:sz w:val="20"/>
                <w:szCs w:val="20"/>
              </w:rPr>
              <w:t>75</w:t>
            </w:r>
          </w:p>
        </w:tc>
        <w:tc>
          <w:tcPr>
            <w:tcW w:w="8504" w:type="dxa"/>
            <w:shd w:val="clear" w:color="auto" w:fill="auto"/>
            <w:vAlign w:val="bottom"/>
          </w:tcPr>
          <w:p w14:paraId="2694A37F" w14:textId="77777777" w:rsidR="00FA366A" w:rsidRPr="002C21B8" w:rsidRDefault="00FA366A" w:rsidP="00212D46">
            <w:pPr>
              <w:spacing w:after="0" w:line="240" w:lineRule="auto"/>
              <w:rPr>
                <w:sz w:val="20"/>
                <w:szCs w:val="20"/>
              </w:rPr>
            </w:pPr>
            <w:r w:rsidRPr="002C21B8">
              <w:rPr>
                <w:sz w:val="20"/>
                <w:szCs w:val="20"/>
              </w:rPr>
              <w:t>exp diabetes mellitus/</w:t>
            </w:r>
          </w:p>
        </w:tc>
      </w:tr>
      <w:tr w:rsidR="00FA366A" w:rsidRPr="002C21B8" w14:paraId="3D126E7E" w14:textId="77777777" w:rsidTr="00960A9F">
        <w:trPr>
          <w:trHeight w:val="320"/>
        </w:trPr>
        <w:tc>
          <w:tcPr>
            <w:tcW w:w="701" w:type="dxa"/>
            <w:shd w:val="clear" w:color="auto" w:fill="auto"/>
            <w:vAlign w:val="center"/>
          </w:tcPr>
          <w:p w14:paraId="5201E57B" w14:textId="77777777" w:rsidR="00FA366A" w:rsidRPr="002C21B8" w:rsidRDefault="00FA366A" w:rsidP="00212D46">
            <w:pPr>
              <w:spacing w:after="0" w:line="240" w:lineRule="auto"/>
              <w:rPr>
                <w:sz w:val="20"/>
                <w:szCs w:val="20"/>
              </w:rPr>
            </w:pPr>
            <w:r w:rsidRPr="002C21B8">
              <w:rPr>
                <w:sz w:val="20"/>
                <w:szCs w:val="20"/>
              </w:rPr>
              <w:t>76</w:t>
            </w:r>
          </w:p>
        </w:tc>
        <w:tc>
          <w:tcPr>
            <w:tcW w:w="8504" w:type="dxa"/>
            <w:shd w:val="clear" w:color="auto" w:fill="auto"/>
            <w:vAlign w:val="bottom"/>
          </w:tcPr>
          <w:p w14:paraId="2DCD6E6F" w14:textId="77777777" w:rsidR="00FA366A" w:rsidRPr="002C21B8" w:rsidRDefault="00FA366A" w:rsidP="00212D46">
            <w:pPr>
              <w:spacing w:after="0" w:line="240" w:lineRule="auto"/>
              <w:rPr>
                <w:sz w:val="20"/>
                <w:szCs w:val="20"/>
              </w:rPr>
            </w:pPr>
            <w:r w:rsidRPr="002C21B8">
              <w:rPr>
                <w:sz w:val="20"/>
                <w:szCs w:val="20"/>
              </w:rPr>
              <w:t>(diabet* adj3 type adj3 (one or “1” or I)).ti.</w:t>
            </w:r>
          </w:p>
        </w:tc>
      </w:tr>
      <w:tr w:rsidR="00FA366A" w:rsidRPr="002C21B8" w14:paraId="5FBCEC7C" w14:textId="77777777" w:rsidTr="00960A9F">
        <w:trPr>
          <w:trHeight w:val="320"/>
        </w:trPr>
        <w:tc>
          <w:tcPr>
            <w:tcW w:w="701" w:type="dxa"/>
            <w:shd w:val="clear" w:color="auto" w:fill="auto"/>
            <w:vAlign w:val="center"/>
          </w:tcPr>
          <w:p w14:paraId="0725AD45" w14:textId="77777777" w:rsidR="00FA366A" w:rsidRPr="002C21B8" w:rsidRDefault="00FA366A" w:rsidP="00212D46">
            <w:pPr>
              <w:spacing w:after="0" w:line="240" w:lineRule="auto"/>
              <w:rPr>
                <w:sz w:val="20"/>
                <w:szCs w:val="20"/>
              </w:rPr>
            </w:pPr>
            <w:r w:rsidRPr="002C21B8">
              <w:rPr>
                <w:sz w:val="20"/>
                <w:szCs w:val="20"/>
              </w:rPr>
              <w:t>77</w:t>
            </w:r>
          </w:p>
        </w:tc>
        <w:tc>
          <w:tcPr>
            <w:tcW w:w="8504" w:type="dxa"/>
            <w:shd w:val="clear" w:color="auto" w:fill="auto"/>
            <w:vAlign w:val="bottom"/>
          </w:tcPr>
          <w:p w14:paraId="4B74ED35" w14:textId="77777777" w:rsidR="00FA366A" w:rsidRPr="002C21B8" w:rsidRDefault="00FA366A" w:rsidP="00212D46">
            <w:pPr>
              <w:spacing w:after="0" w:line="240" w:lineRule="auto"/>
              <w:rPr>
                <w:sz w:val="20"/>
                <w:szCs w:val="20"/>
              </w:rPr>
            </w:pPr>
            <w:r w:rsidRPr="002C21B8">
              <w:rPr>
                <w:sz w:val="20"/>
                <w:szCs w:val="20"/>
              </w:rPr>
              <w:t>(diabet* adj3 type adj3 (two or “2” or II)).ti.</w:t>
            </w:r>
          </w:p>
        </w:tc>
      </w:tr>
      <w:tr w:rsidR="00FA366A" w:rsidRPr="002C21B8" w14:paraId="583B86DA" w14:textId="77777777" w:rsidTr="00960A9F">
        <w:trPr>
          <w:trHeight w:val="320"/>
        </w:trPr>
        <w:tc>
          <w:tcPr>
            <w:tcW w:w="701" w:type="dxa"/>
            <w:shd w:val="clear" w:color="auto" w:fill="auto"/>
            <w:vAlign w:val="center"/>
          </w:tcPr>
          <w:p w14:paraId="6DC92FE7" w14:textId="77777777" w:rsidR="00FA366A" w:rsidRPr="002C21B8" w:rsidRDefault="00FA366A" w:rsidP="00212D46">
            <w:pPr>
              <w:spacing w:after="0" w:line="240" w:lineRule="auto"/>
              <w:rPr>
                <w:sz w:val="20"/>
                <w:szCs w:val="20"/>
              </w:rPr>
            </w:pPr>
            <w:r w:rsidRPr="002C21B8">
              <w:rPr>
                <w:sz w:val="20"/>
                <w:szCs w:val="20"/>
              </w:rPr>
              <w:t>78</w:t>
            </w:r>
          </w:p>
        </w:tc>
        <w:tc>
          <w:tcPr>
            <w:tcW w:w="8504" w:type="dxa"/>
            <w:shd w:val="clear" w:color="auto" w:fill="auto"/>
            <w:vAlign w:val="bottom"/>
          </w:tcPr>
          <w:p w14:paraId="5A3FAF78" w14:textId="77777777" w:rsidR="00FA366A" w:rsidRPr="002C21B8" w:rsidRDefault="00FA366A" w:rsidP="00212D46">
            <w:pPr>
              <w:spacing w:after="0" w:line="240" w:lineRule="auto"/>
              <w:rPr>
                <w:sz w:val="20"/>
                <w:szCs w:val="20"/>
              </w:rPr>
            </w:pPr>
            <w:r w:rsidRPr="002C21B8">
              <w:rPr>
                <w:sz w:val="20"/>
                <w:szCs w:val="20"/>
              </w:rPr>
              <w:t>((insulin or noninsulin or non-insulin) adj2 (resistan* or depend*)).ti.</w:t>
            </w:r>
          </w:p>
        </w:tc>
      </w:tr>
      <w:tr w:rsidR="00FA366A" w:rsidRPr="002C21B8" w14:paraId="7B71302A" w14:textId="77777777" w:rsidTr="00960A9F">
        <w:trPr>
          <w:trHeight w:val="320"/>
        </w:trPr>
        <w:tc>
          <w:tcPr>
            <w:tcW w:w="701" w:type="dxa"/>
            <w:shd w:val="clear" w:color="auto" w:fill="auto"/>
            <w:vAlign w:val="center"/>
          </w:tcPr>
          <w:p w14:paraId="7EB1477C" w14:textId="77777777" w:rsidR="00FA366A" w:rsidRPr="002C21B8" w:rsidRDefault="00FA366A" w:rsidP="00212D46">
            <w:pPr>
              <w:spacing w:after="0" w:line="240" w:lineRule="auto"/>
              <w:rPr>
                <w:sz w:val="20"/>
                <w:szCs w:val="20"/>
              </w:rPr>
            </w:pPr>
            <w:r w:rsidRPr="002C21B8">
              <w:rPr>
                <w:sz w:val="20"/>
                <w:szCs w:val="20"/>
              </w:rPr>
              <w:t>79</w:t>
            </w:r>
          </w:p>
        </w:tc>
        <w:tc>
          <w:tcPr>
            <w:tcW w:w="8504" w:type="dxa"/>
            <w:shd w:val="clear" w:color="auto" w:fill="auto"/>
            <w:vAlign w:val="bottom"/>
          </w:tcPr>
          <w:p w14:paraId="72106EA2" w14:textId="77777777" w:rsidR="00FA366A" w:rsidRPr="002C21B8" w:rsidRDefault="00FA366A" w:rsidP="00212D46">
            <w:pPr>
              <w:spacing w:after="0" w:line="240" w:lineRule="auto"/>
              <w:rPr>
                <w:sz w:val="20"/>
                <w:szCs w:val="20"/>
              </w:rPr>
            </w:pPr>
            <w:r w:rsidRPr="002C21B8">
              <w:rPr>
                <w:sz w:val="20"/>
                <w:szCs w:val="20"/>
              </w:rPr>
              <w:t>(diabet* or DM or DM1 or DM2 or T1D or T1DM or T2D or T2DM or NIDDM or IDDM or MODY).ti.</w:t>
            </w:r>
          </w:p>
        </w:tc>
      </w:tr>
      <w:tr w:rsidR="00FA366A" w:rsidRPr="002C21B8" w14:paraId="68A3C3C2" w14:textId="77777777" w:rsidTr="00960A9F">
        <w:trPr>
          <w:trHeight w:val="320"/>
        </w:trPr>
        <w:tc>
          <w:tcPr>
            <w:tcW w:w="701" w:type="dxa"/>
            <w:shd w:val="clear" w:color="auto" w:fill="auto"/>
            <w:vAlign w:val="center"/>
          </w:tcPr>
          <w:p w14:paraId="4051AA14" w14:textId="77777777" w:rsidR="00FA366A" w:rsidRPr="002C21B8" w:rsidRDefault="00FA366A" w:rsidP="00212D46">
            <w:pPr>
              <w:spacing w:after="0" w:line="240" w:lineRule="auto"/>
              <w:rPr>
                <w:sz w:val="20"/>
                <w:szCs w:val="20"/>
              </w:rPr>
            </w:pPr>
            <w:r w:rsidRPr="002C21B8">
              <w:rPr>
                <w:sz w:val="20"/>
                <w:szCs w:val="20"/>
              </w:rPr>
              <w:t>80</w:t>
            </w:r>
          </w:p>
        </w:tc>
        <w:tc>
          <w:tcPr>
            <w:tcW w:w="8504" w:type="dxa"/>
            <w:shd w:val="clear" w:color="auto" w:fill="auto"/>
            <w:vAlign w:val="bottom"/>
          </w:tcPr>
          <w:p w14:paraId="17F68D9F" w14:textId="77777777" w:rsidR="00FA366A" w:rsidRPr="002C21B8" w:rsidRDefault="00FA366A" w:rsidP="00212D46">
            <w:pPr>
              <w:spacing w:after="0" w:line="240" w:lineRule="auto"/>
              <w:rPr>
                <w:sz w:val="20"/>
                <w:szCs w:val="20"/>
              </w:rPr>
            </w:pPr>
            <w:r w:rsidRPr="002C21B8">
              <w:rPr>
                <w:sz w:val="20"/>
                <w:szCs w:val="20"/>
              </w:rPr>
              <w:t>glucose ?tolerance.ti.</w:t>
            </w:r>
          </w:p>
        </w:tc>
      </w:tr>
      <w:tr w:rsidR="00FA366A" w:rsidRPr="002C21B8" w14:paraId="38D95E53" w14:textId="77777777" w:rsidTr="00960A9F">
        <w:trPr>
          <w:trHeight w:val="320"/>
        </w:trPr>
        <w:tc>
          <w:tcPr>
            <w:tcW w:w="701" w:type="dxa"/>
            <w:shd w:val="clear" w:color="auto" w:fill="auto"/>
            <w:vAlign w:val="center"/>
          </w:tcPr>
          <w:p w14:paraId="6D99CFC0" w14:textId="77777777" w:rsidR="00FA366A" w:rsidRPr="002C21B8" w:rsidRDefault="00FA366A" w:rsidP="00212D46">
            <w:pPr>
              <w:spacing w:after="0" w:line="240" w:lineRule="auto"/>
              <w:rPr>
                <w:sz w:val="20"/>
                <w:szCs w:val="20"/>
              </w:rPr>
            </w:pPr>
            <w:r w:rsidRPr="002C21B8">
              <w:rPr>
                <w:sz w:val="20"/>
                <w:szCs w:val="20"/>
              </w:rPr>
              <w:t>81</w:t>
            </w:r>
          </w:p>
        </w:tc>
        <w:tc>
          <w:tcPr>
            <w:tcW w:w="8504" w:type="dxa"/>
            <w:shd w:val="clear" w:color="auto" w:fill="auto"/>
            <w:vAlign w:val="bottom"/>
          </w:tcPr>
          <w:p w14:paraId="40C3F6A1" w14:textId="77777777" w:rsidR="00FA366A" w:rsidRPr="002C21B8" w:rsidRDefault="00FA366A" w:rsidP="00212D46">
            <w:pPr>
              <w:spacing w:after="0" w:line="240" w:lineRule="auto"/>
              <w:rPr>
                <w:sz w:val="20"/>
                <w:szCs w:val="20"/>
              </w:rPr>
            </w:pPr>
            <w:r w:rsidRPr="002C21B8">
              <w:rPr>
                <w:sz w:val="20"/>
                <w:szCs w:val="20"/>
              </w:rPr>
              <w:t>endometriosis/</w:t>
            </w:r>
          </w:p>
        </w:tc>
      </w:tr>
      <w:tr w:rsidR="00FA366A" w:rsidRPr="002C21B8" w14:paraId="0482A577" w14:textId="77777777" w:rsidTr="00960A9F">
        <w:trPr>
          <w:trHeight w:val="320"/>
        </w:trPr>
        <w:tc>
          <w:tcPr>
            <w:tcW w:w="701" w:type="dxa"/>
            <w:shd w:val="clear" w:color="auto" w:fill="auto"/>
            <w:vAlign w:val="center"/>
          </w:tcPr>
          <w:p w14:paraId="060455D8" w14:textId="77777777" w:rsidR="00FA366A" w:rsidRPr="002C21B8" w:rsidRDefault="00FA366A" w:rsidP="00212D46">
            <w:pPr>
              <w:spacing w:after="0" w:line="240" w:lineRule="auto"/>
              <w:rPr>
                <w:sz w:val="20"/>
                <w:szCs w:val="20"/>
              </w:rPr>
            </w:pPr>
            <w:r w:rsidRPr="002C21B8">
              <w:rPr>
                <w:sz w:val="20"/>
                <w:szCs w:val="20"/>
              </w:rPr>
              <w:t>82</w:t>
            </w:r>
          </w:p>
        </w:tc>
        <w:tc>
          <w:tcPr>
            <w:tcW w:w="8504" w:type="dxa"/>
            <w:shd w:val="clear" w:color="auto" w:fill="auto"/>
            <w:vAlign w:val="bottom"/>
          </w:tcPr>
          <w:p w14:paraId="6F5E0214" w14:textId="77777777" w:rsidR="00FA366A" w:rsidRPr="002C21B8" w:rsidRDefault="00FA366A" w:rsidP="00212D46">
            <w:pPr>
              <w:spacing w:after="0" w:line="240" w:lineRule="auto"/>
              <w:rPr>
                <w:sz w:val="20"/>
                <w:szCs w:val="20"/>
              </w:rPr>
            </w:pPr>
            <w:r w:rsidRPr="002C21B8">
              <w:rPr>
                <w:sz w:val="20"/>
                <w:szCs w:val="20"/>
              </w:rPr>
              <w:t>(endometrios* or endometrioma? Or adenomyo* or adenomyoma? Or adenometriti* or adenomyosit* or adenomyometriti*).ti.</w:t>
            </w:r>
          </w:p>
        </w:tc>
      </w:tr>
      <w:tr w:rsidR="00FA366A" w:rsidRPr="002C21B8" w14:paraId="1AF0F4CF" w14:textId="77777777" w:rsidTr="00960A9F">
        <w:trPr>
          <w:trHeight w:val="320"/>
        </w:trPr>
        <w:tc>
          <w:tcPr>
            <w:tcW w:w="701" w:type="dxa"/>
            <w:shd w:val="clear" w:color="auto" w:fill="auto"/>
            <w:vAlign w:val="center"/>
          </w:tcPr>
          <w:p w14:paraId="231284CC" w14:textId="77777777" w:rsidR="00FA366A" w:rsidRPr="002C21B8" w:rsidRDefault="00FA366A" w:rsidP="00212D46">
            <w:pPr>
              <w:spacing w:after="0" w:line="240" w:lineRule="auto"/>
              <w:rPr>
                <w:sz w:val="20"/>
                <w:szCs w:val="20"/>
              </w:rPr>
            </w:pPr>
            <w:r w:rsidRPr="002C21B8">
              <w:rPr>
                <w:sz w:val="20"/>
                <w:szCs w:val="20"/>
              </w:rPr>
              <w:t>83</w:t>
            </w:r>
          </w:p>
        </w:tc>
        <w:tc>
          <w:tcPr>
            <w:tcW w:w="8504" w:type="dxa"/>
            <w:shd w:val="clear" w:color="auto" w:fill="auto"/>
            <w:vAlign w:val="bottom"/>
          </w:tcPr>
          <w:p w14:paraId="187D534A" w14:textId="77777777" w:rsidR="00FA366A" w:rsidRPr="002C21B8" w:rsidRDefault="00FA366A" w:rsidP="00212D46">
            <w:pPr>
              <w:spacing w:after="0" w:line="240" w:lineRule="auto"/>
              <w:rPr>
                <w:sz w:val="20"/>
                <w:szCs w:val="20"/>
              </w:rPr>
            </w:pPr>
            <w:r w:rsidRPr="002C21B8">
              <w:rPr>
                <w:sz w:val="20"/>
                <w:szCs w:val="20"/>
              </w:rPr>
              <w:t>exp epilepsy/</w:t>
            </w:r>
          </w:p>
        </w:tc>
      </w:tr>
      <w:tr w:rsidR="00FA366A" w:rsidRPr="002C21B8" w14:paraId="6FFC3BB9" w14:textId="77777777" w:rsidTr="00960A9F">
        <w:trPr>
          <w:trHeight w:val="320"/>
        </w:trPr>
        <w:tc>
          <w:tcPr>
            <w:tcW w:w="701" w:type="dxa"/>
            <w:shd w:val="clear" w:color="auto" w:fill="auto"/>
            <w:vAlign w:val="center"/>
          </w:tcPr>
          <w:p w14:paraId="28EC6225" w14:textId="77777777" w:rsidR="00FA366A" w:rsidRPr="002C21B8" w:rsidRDefault="00FA366A" w:rsidP="00212D46">
            <w:pPr>
              <w:spacing w:after="0" w:line="240" w:lineRule="auto"/>
              <w:rPr>
                <w:sz w:val="20"/>
                <w:szCs w:val="20"/>
              </w:rPr>
            </w:pPr>
            <w:r w:rsidRPr="002C21B8">
              <w:rPr>
                <w:sz w:val="20"/>
                <w:szCs w:val="20"/>
              </w:rPr>
              <w:t>84</w:t>
            </w:r>
          </w:p>
        </w:tc>
        <w:tc>
          <w:tcPr>
            <w:tcW w:w="8504" w:type="dxa"/>
            <w:shd w:val="clear" w:color="auto" w:fill="auto"/>
            <w:vAlign w:val="bottom"/>
          </w:tcPr>
          <w:p w14:paraId="0F7E0115" w14:textId="77777777" w:rsidR="00FA366A" w:rsidRPr="002C21B8" w:rsidRDefault="00FA366A" w:rsidP="00212D46">
            <w:pPr>
              <w:spacing w:after="0" w:line="240" w:lineRule="auto"/>
              <w:rPr>
                <w:sz w:val="20"/>
                <w:szCs w:val="20"/>
              </w:rPr>
            </w:pPr>
            <w:r w:rsidRPr="002C21B8">
              <w:rPr>
                <w:sz w:val="20"/>
                <w:szCs w:val="20"/>
              </w:rPr>
              <w:t>exp seizure/</w:t>
            </w:r>
          </w:p>
        </w:tc>
      </w:tr>
      <w:tr w:rsidR="00FA366A" w:rsidRPr="002C21B8" w14:paraId="63FEC134" w14:textId="77777777" w:rsidTr="00960A9F">
        <w:trPr>
          <w:trHeight w:val="320"/>
        </w:trPr>
        <w:tc>
          <w:tcPr>
            <w:tcW w:w="701" w:type="dxa"/>
            <w:shd w:val="clear" w:color="auto" w:fill="auto"/>
            <w:vAlign w:val="center"/>
          </w:tcPr>
          <w:p w14:paraId="3A8C11C8" w14:textId="77777777" w:rsidR="00FA366A" w:rsidRPr="002C21B8" w:rsidRDefault="00FA366A" w:rsidP="00212D46">
            <w:pPr>
              <w:spacing w:after="0" w:line="240" w:lineRule="auto"/>
              <w:rPr>
                <w:sz w:val="20"/>
                <w:szCs w:val="20"/>
              </w:rPr>
            </w:pPr>
            <w:r w:rsidRPr="002C21B8">
              <w:rPr>
                <w:sz w:val="20"/>
                <w:szCs w:val="20"/>
              </w:rPr>
              <w:t>85</w:t>
            </w:r>
          </w:p>
        </w:tc>
        <w:tc>
          <w:tcPr>
            <w:tcW w:w="8504" w:type="dxa"/>
            <w:shd w:val="clear" w:color="auto" w:fill="auto"/>
            <w:vAlign w:val="bottom"/>
          </w:tcPr>
          <w:p w14:paraId="2A92FCF3" w14:textId="77777777" w:rsidR="00FA366A" w:rsidRPr="002C21B8" w:rsidRDefault="00FA366A" w:rsidP="00212D46">
            <w:pPr>
              <w:spacing w:after="0" w:line="240" w:lineRule="auto"/>
              <w:rPr>
                <w:sz w:val="20"/>
                <w:szCs w:val="20"/>
              </w:rPr>
            </w:pPr>
            <w:r w:rsidRPr="002C21B8">
              <w:rPr>
                <w:sz w:val="20"/>
                <w:szCs w:val="20"/>
              </w:rPr>
              <w:t>(epilep* or seizure* or aura* or convulsion*).ti.</w:t>
            </w:r>
          </w:p>
        </w:tc>
      </w:tr>
      <w:tr w:rsidR="00FA366A" w:rsidRPr="002C21B8" w14:paraId="3D2663D6" w14:textId="77777777" w:rsidTr="00960A9F">
        <w:trPr>
          <w:trHeight w:val="320"/>
        </w:trPr>
        <w:tc>
          <w:tcPr>
            <w:tcW w:w="701" w:type="dxa"/>
            <w:shd w:val="clear" w:color="auto" w:fill="auto"/>
            <w:vAlign w:val="center"/>
          </w:tcPr>
          <w:p w14:paraId="3F46DA4E" w14:textId="77777777" w:rsidR="00FA366A" w:rsidRPr="002C21B8" w:rsidRDefault="00FA366A" w:rsidP="00212D46">
            <w:pPr>
              <w:spacing w:after="0" w:line="240" w:lineRule="auto"/>
              <w:rPr>
                <w:sz w:val="20"/>
                <w:szCs w:val="20"/>
              </w:rPr>
            </w:pPr>
            <w:r w:rsidRPr="002C21B8">
              <w:rPr>
                <w:sz w:val="20"/>
                <w:szCs w:val="20"/>
              </w:rPr>
              <w:t>86</w:t>
            </w:r>
          </w:p>
        </w:tc>
        <w:tc>
          <w:tcPr>
            <w:tcW w:w="8504" w:type="dxa"/>
            <w:shd w:val="clear" w:color="auto" w:fill="auto"/>
            <w:vAlign w:val="bottom"/>
          </w:tcPr>
          <w:p w14:paraId="1C31CA30" w14:textId="77777777" w:rsidR="00FA366A" w:rsidRPr="002C21B8" w:rsidRDefault="00FA366A" w:rsidP="00212D46">
            <w:pPr>
              <w:spacing w:after="0" w:line="240" w:lineRule="auto"/>
              <w:rPr>
                <w:sz w:val="20"/>
                <w:szCs w:val="20"/>
              </w:rPr>
            </w:pPr>
            <w:r w:rsidRPr="002C21B8">
              <w:rPr>
                <w:sz w:val="20"/>
                <w:szCs w:val="20"/>
              </w:rPr>
              <w:t>exp hypertension/</w:t>
            </w:r>
          </w:p>
        </w:tc>
      </w:tr>
      <w:tr w:rsidR="00FA366A" w:rsidRPr="002C21B8" w14:paraId="53425C70" w14:textId="77777777" w:rsidTr="00960A9F">
        <w:trPr>
          <w:trHeight w:val="320"/>
        </w:trPr>
        <w:tc>
          <w:tcPr>
            <w:tcW w:w="701" w:type="dxa"/>
            <w:shd w:val="clear" w:color="auto" w:fill="auto"/>
            <w:vAlign w:val="center"/>
          </w:tcPr>
          <w:p w14:paraId="04D0DEC4" w14:textId="77777777" w:rsidR="00FA366A" w:rsidRPr="002C21B8" w:rsidRDefault="00FA366A" w:rsidP="00212D46">
            <w:pPr>
              <w:spacing w:after="0" w:line="240" w:lineRule="auto"/>
              <w:rPr>
                <w:sz w:val="20"/>
                <w:szCs w:val="20"/>
              </w:rPr>
            </w:pPr>
            <w:r w:rsidRPr="002C21B8">
              <w:rPr>
                <w:sz w:val="20"/>
                <w:szCs w:val="20"/>
              </w:rPr>
              <w:t>87</w:t>
            </w:r>
          </w:p>
        </w:tc>
        <w:tc>
          <w:tcPr>
            <w:tcW w:w="8504" w:type="dxa"/>
            <w:shd w:val="clear" w:color="auto" w:fill="auto"/>
            <w:vAlign w:val="bottom"/>
          </w:tcPr>
          <w:p w14:paraId="5BFEA665" w14:textId="77777777" w:rsidR="00FA366A" w:rsidRPr="002C21B8" w:rsidRDefault="00FA366A" w:rsidP="00212D46">
            <w:pPr>
              <w:spacing w:after="0" w:line="240" w:lineRule="auto"/>
              <w:rPr>
                <w:sz w:val="20"/>
                <w:szCs w:val="20"/>
              </w:rPr>
            </w:pPr>
            <w:r w:rsidRPr="002C21B8">
              <w:rPr>
                <w:sz w:val="20"/>
                <w:szCs w:val="20"/>
              </w:rPr>
              <w:t>(hypertens* or (blood adj pressure)).ti.</w:t>
            </w:r>
          </w:p>
        </w:tc>
      </w:tr>
      <w:tr w:rsidR="00FA366A" w:rsidRPr="002C21B8" w14:paraId="2309D0B8" w14:textId="77777777" w:rsidTr="00960A9F">
        <w:trPr>
          <w:trHeight w:val="320"/>
        </w:trPr>
        <w:tc>
          <w:tcPr>
            <w:tcW w:w="701" w:type="dxa"/>
            <w:shd w:val="clear" w:color="auto" w:fill="auto"/>
            <w:vAlign w:val="center"/>
          </w:tcPr>
          <w:p w14:paraId="33E1162C" w14:textId="77777777" w:rsidR="00FA366A" w:rsidRPr="002C21B8" w:rsidRDefault="00FA366A" w:rsidP="00212D46">
            <w:pPr>
              <w:spacing w:after="0" w:line="240" w:lineRule="auto"/>
              <w:rPr>
                <w:sz w:val="20"/>
                <w:szCs w:val="20"/>
              </w:rPr>
            </w:pPr>
            <w:r w:rsidRPr="002C21B8">
              <w:rPr>
                <w:sz w:val="20"/>
                <w:szCs w:val="20"/>
              </w:rPr>
              <w:t>88</w:t>
            </w:r>
          </w:p>
        </w:tc>
        <w:tc>
          <w:tcPr>
            <w:tcW w:w="8504" w:type="dxa"/>
            <w:shd w:val="clear" w:color="auto" w:fill="auto"/>
            <w:vAlign w:val="bottom"/>
          </w:tcPr>
          <w:p w14:paraId="5D1C5586" w14:textId="77777777" w:rsidR="00FA366A" w:rsidRPr="002C21B8" w:rsidRDefault="00FA366A" w:rsidP="00212D46">
            <w:pPr>
              <w:spacing w:after="0" w:line="240" w:lineRule="auto"/>
              <w:rPr>
                <w:sz w:val="20"/>
                <w:szCs w:val="20"/>
              </w:rPr>
            </w:pPr>
            <w:r w:rsidRPr="002C21B8">
              <w:rPr>
                <w:sz w:val="20"/>
                <w:szCs w:val="20"/>
              </w:rPr>
              <w:t>exp hepatitis, chronic/</w:t>
            </w:r>
          </w:p>
        </w:tc>
      </w:tr>
      <w:tr w:rsidR="00FA366A" w:rsidRPr="002C21B8" w14:paraId="2AE23472" w14:textId="77777777" w:rsidTr="00960A9F">
        <w:trPr>
          <w:trHeight w:val="320"/>
        </w:trPr>
        <w:tc>
          <w:tcPr>
            <w:tcW w:w="701" w:type="dxa"/>
            <w:shd w:val="clear" w:color="auto" w:fill="auto"/>
            <w:vAlign w:val="center"/>
          </w:tcPr>
          <w:p w14:paraId="4A98F0EB" w14:textId="77777777" w:rsidR="00FA366A" w:rsidRPr="002C21B8" w:rsidRDefault="00FA366A" w:rsidP="00212D46">
            <w:pPr>
              <w:spacing w:after="0" w:line="240" w:lineRule="auto"/>
              <w:rPr>
                <w:sz w:val="20"/>
                <w:szCs w:val="20"/>
              </w:rPr>
            </w:pPr>
            <w:r w:rsidRPr="002C21B8">
              <w:rPr>
                <w:sz w:val="20"/>
                <w:szCs w:val="20"/>
              </w:rPr>
              <w:t>89</w:t>
            </w:r>
          </w:p>
        </w:tc>
        <w:tc>
          <w:tcPr>
            <w:tcW w:w="8504" w:type="dxa"/>
            <w:shd w:val="clear" w:color="auto" w:fill="auto"/>
            <w:vAlign w:val="bottom"/>
          </w:tcPr>
          <w:p w14:paraId="685F4B8C" w14:textId="77777777" w:rsidR="00FA366A" w:rsidRPr="002C21B8" w:rsidRDefault="00FA366A" w:rsidP="00212D46">
            <w:pPr>
              <w:spacing w:after="0" w:line="240" w:lineRule="auto"/>
              <w:rPr>
                <w:sz w:val="20"/>
                <w:szCs w:val="20"/>
              </w:rPr>
            </w:pPr>
            <w:r w:rsidRPr="002C21B8">
              <w:rPr>
                <w:sz w:val="20"/>
                <w:szCs w:val="20"/>
              </w:rPr>
              <w:t>(chronic adj hepatitis).ti.</w:t>
            </w:r>
          </w:p>
        </w:tc>
      </w:tr>
      <w:tr w:rsidR="00FA366A" w:rsidRPr="002C21B8" w14:paraId="0DC95EB5" w14:textId="77777777" w:rsidTr="00960A9F">
        <w:trPr>
          <w:trHeight w:val="320"/>
        </w:trPr>
        <w:tc>
          <w:tcPr>
            <w:tcW w:w="701" w:type="dxa"/>
            <w:shd w:val="clear" w:color="auto" w:fill="auto"/>
            <w:vAlign w:val="center"/>
          </w:tcPr>
          <w:p w14:paraId="4302B32F" w14:textId="77777777" w:rsidR="00FA366A" w:rsidRPr="002C21B8" w:rsidRDefault="00FA366A" w:rsidP="00212D46">
            <w:pPr>
              <w:spacing w:after="0" w:line="240" w:lineRule="auto"/>
              <w:rPr>
                <w:sz w:val="20"/>
                <w:szCs w:val="20"/>
              </w:rPr>
            </w:pPr>
            <w:r w:rsidRPr="002C21B8">
              <w:rPr>
                <w:sz w:val="20"/>
                <w:szCs w:val="20"/>
              </w:rPr>
              <w:t>90</w:t>
            </w:r>
          </w:p>
        </w:tc>
        <w:tc>
          <w:tcPr>
            <w:tcW w:w="8504" w:type="dxa"/>
            <w:shd w:val="clear" w:color="auto" w:fill="auto"/>
            <w:vAlign w:val="bottom"/>
          </w:tcPr>
          <w:p w14:paraId="59A0EDA3" w14:textId="77777777" w:rsidR="00FA366A" w:rsidRPr="002C21B8" w:rsidRDefault="00FA366A" w:rsidP="00212D46">
            <w:pPr>
              <w:spacing w:after="0" w:line="240" w:lineRule="auto"/>
              <w:rPr>
                <w:sz w:val="20"/>
                <w:szCs w:val="20"/>
              </w:rPr>
            </w:pPr>
            <w:r w:rsidRPr="002C21B8">
              <w:rPr>
                <w:sz w:val="20"/>
                <w:szCs w:val="20"/>
              </w:rPr>
              <w:t>exp HIV/</w:t>
            </w:r>
          </w:p>
        </w:tc>
      </w:tr>
      <w:tr w:rsidR="00FA366A" w:rsidRPr="002C21B8" w14:paraId="0653683B" w14:textId="77777777" w:rsidTr="00960A9F">
        <w:trPr>
          <w:trHeight w:val="320"/>
        </w:trPr>
        <w:tc>
          <w:tcPr>
            <w:tcW w:w="701" w:type="dxa"/>
            <w:shd w:val="clear" w:color="auto" w:fill="auto"/>
            <w:vAlign w:val="center"/>
          </w:tcPr>
          <w:p w14:paraId="01430D17" w14:textId="77777777" w:rsidR="00FA366A" w:rsidRPr="002C21B8" w:rsidRDefault="00FA366A" w:rsidP="00212D46">
            <w:pPr>
              <w:spacing w:after="0" w:line="240" w:lineRule="auto"/>
              <w:rPr>
                <w:sz w:val="20"/>
                <w:szCs w:val="20"/>
              </w:rPr>
            </w:pPr>
            <w:r w:rsidRPr="002C21B8">
              <w:rPr>
                <w:sz w:val="20"/>
                <w:szCs w:val="20"/>
              </w:rPr>
              <w:t>91</w:t>
            </w:r>
          </w:p>
        </w:tc>
        <w:tc>
          <w:tcPr>
            <w:tcW w:w="8504" w:type="dxa"/>
            <w:shd w:val="clear" w:color="auto" w:fill="auto"/>
            <w:vAlign w:val="bottom"/>
          </w:tcPr>
          <w:p w14:paraId="0459DBD7" w14:textId="77777777" w:rsidR="00FA366A" w:rsidRPr="002C21B8" w:rsidRDefault="00FA366A" w:rsidP="00212D46">
            <w:pPr>
              <w:spacing w:after="0" w:line="240" w:lineRule="auto"/>
              <w:rPr>
                <w:sz w:val="20"/>
                <w:szCs w:val="20"/>
              </w:rPr>
            </w:pPr>
            <w:r w:rsidRPr="002C21B8">
              <w:rPr>
                <w:sz w:val="20"/>
                <w:szCs w:val="20"/>
              </w:rPr>
              <w:t>(hiv infect* or hiv disease*).ti.</w:t>
            </w:r>
          </w:p>
        </w:tc>
      </w:tr>
      <w:tr w:rsidR="00FA366A" w:rsidRPr="002C21B8" w14:paraId="2991C517" w14:textId="77777777" w:rsidTr="00960A9F">
        <w:trPr>
          <w:trHeight w:val="320"/>
        </w:trPr>
        <w:tc>
          <w:tcPr>
            <w:tcW w:w="701" w:type="dxa"/>
            <w:shd w:val="clear" w:color="auto" w:fill="auto"/>
            <w:vAlign w:val="center"/>
          </w:tcPr>
          <w:p w14:paraId="48D242FD" w14:textId="77777777" w:rsidR="00FA366A" w:rsidRPr="002C21B8" w:rsidRDefault="00FA366A" w:rsidP="00212D46">
            <w:pPr>
              <w:spacing w:after="0" w:line="240" w:lineRule="auto"/>
              <w:rPr>
                <w:sz w:val="20"/>
                <w:szCs w:val="20"/>
              </w:rPr>
            </w:pPr>
            <w:r w:rsidRPr="002C21B8">
              <w:rPr>
                <w:sz w:val="20"/>
                <w:szCs w:val="20"/>
              </w:rPr>
              <w:t>92</w:t>
            </w:r>
          </w:p>
        </w:tc>
        <w:tc>
          <w:tcPr>
            <w:tcW w:w="8504" w:type="dxa"/>
            <w:shd w:val="clear" w:color="auto" w:fill="auto"/>
            <w:vAlign w:val="bottom"/>
          </w:tcPr>
          <w:p w14:paraId="4560B1CC" w14:textId="77777777" w:rsidR="00FA366A" w:rsidRPr="002C21B8" w:rsidRDefault="00FA366A" w:rsidP="00212D46">
            <w:pPr>
              <w:spacing w:after="0" w:line="240" w:lineRule="auto"/>
              <w:rPr>
                <w:sz w:val="20"/>
                <w:szCs w:val="20"/>
              </w:rPr>
            </w:pPr>
            <w:r w:rsidRPr="002C21B8">
              <w:rPr>
                <w:sz w:val="20"/>
                <w:szCs w:val="20"/>
              </w:rPr>
              <w:t>exp inflammatory bowel diseases/</w:t>
            </w:r>
          </w:p>
        </w:tc>
      </w:tr>
      <w:tr w:rsidR="00FA366A" w:rsidRPr="002C21B8" w14:paraId="69177131" w14:textId="77777777" w:rsidTr="00960A9F">
        <w:trPr>
          <w:trHeight w:val="320"/>
        </w:trPr>
        <w:tc>
          <w:tcPr>
            <w:tcW w:w="701" w:type="dxa"/>
            <w:shd w:val="clear" w:color="auto" w:fill="auto"/>
            <w:vAlign w:val="center"/>
          </w:tcPr>
          <w:p w14:paraId="5842BEFF" w14:textId="77777777" w:rsidR="00FA366A" w:rsidRPr="002C21B8" w:rsidRDefault="00FA366A" w:rsidP="00212D46">
            <w:pPr>
              <w:spacing w:after="0" w:line="240" w:lineRule="auto"/>
              <w:rPr>
                <w:sz w:val="20"/>
                <w:szCs w:val="20"/>
              </w:rPr>
            </w:pPr>
            <w:r w:rsidRPr="002C21B8">
              <w:rPr>
                <w:sz w:val="20"/>
                <w:szCs w:val="20"/>
              </w:rPr>
              <w:t>93</w:t>
            </w:r>
          </w:p>
        </w:tc>
        <w:tc>
          <w:tcPr>
            <w:tcW w:w="8504" w:type="dxa"/>
            <w:shd w:val="clear" w:color="auto" w:fill="auto"/>
            <w:vAlign w:val="bottom"/>
          </w:tcPr>
          <w:p w14:paraId="13A62CF5" w14:textId="1DC5154B" w:rsidR="00FA366A" w:rsidRPr="002C21B8" w:rsidRDefault="00FA366A" w:rsidP="00212D46">
            <w:pPr>
              <w:spacing w:after="0" w:line="240" w:lineRule="auto"/>
              <w:rPr>
                <w:sz w:val="20"/>
                <w:szCs w:val="20"/>
              </w:rPr>
            </w:pPr>
            <w:r w:rsidRPr="002C21B8">
              <w:rPr>
                <w:sz w:val="20"/>
                <w:szCs w:val="20"/>
              </w:rPr>
              <w:t xml:space="preserve">(crohn* disease or crohn’s enteritis* or ulcerative </w:t>
            </w:r>
            <w:r w:rsidR="00880433" w:rsidRPr="002C21B8">
              <w:rPr>
                <w:sz w:val="20"/>
                <w:szCs w:val="20"/>
              </w:rPr>
              <w:t>colitis</w:t>
            </w:r>
            <w:r w:rsidRPr="002C21B8">
              <w:rPr>
                <w:sz w:val="20"/>
                <w:szCs w:val="20"/>
              </w:rPr>
              <w:t xml:space="preserve">* or terminal ileitis or granulomatous </w:t>
            </w:r>
            <w:r w:rsidR="00880433" w:rsidRPr="002C21B8">
              <w:rPr>
                <w:sz w:val="20"/>
                <w:szCs w:val="20"/>
              </w:rPr>
              <w:t>colitis</w:t>
            </w:r>
            <w:r w:rsidRPr="002C21B8">
              <w:rPr>
                <w:sz w:val="20"/>
                <w:szCs w:val="20"/>
              </w:rPr>
              <w:t>* or ileocoliti*).ti.</w:t>
            </w:r>
          </w:p>
        </w:tc>
      </w:tr>
      <w:tr w:rsidR="00FA366A" w:rsidRPr="002C21B8" w14:paraId="3EB42100" w14:textId="77777777" w:rsidTr="00960A9F">
        <w:trPr>
          <w:trHeight w:val="320"/>
        </w:trPr>
        <w:tc>
          <w:tcPr>
            <w:tcW w:w="701" w:type="dxa"/>
            <w:shd w:val="clear" w:color="auto" w:fill="auto"/>
            <w:vAlign w:val="center"/>
          </w:tcPr>
          <w:p w14:paraId="435E5BDD" w14:textId="77777777" w:rsidR="00FA366A" w:rsidRPr="002C21B8" w:rsidRDefault="00FA366A" w:rsidP="00212D46">
            <w:pPr>
              <w:spacing w:after="0" w:line="240" w:lineRule="auto"/>
              <w:rPr>
                <w:sz w:val="20"/>
                <w:szCs w:val="20"/>
              </w:rPr>
            </w:pPr>
            <w:r w:rsidRPr="002C21B8">
              <w:rPr>
                <w:sz w:val="20"/>
                <w:szCs w:val="20"/>
              </w:rPr>
              <w:t>94</w:t>
            </w:r>
          </w:p>
        </w:tc>
        <w:tc>
          <w:tcPr>
            <w:tcW w:w="8504" w:type="dxa"/>
            <w:shd w:val="clear" w:color="auto" w:fill="auto"/>
            <w:vAlign w:val="bottom"/>
          </w:tcPr>
          <w:p w14:paraId="15F6F8D1" w14:textId="77777777" w:rsidR="00FA366A" w:rsidRPr="002C21B8" w:rsidRDefault="00FA366A" w:rsidP="00212D46">
            <w:pPr>
              <w:spacing w:after="0" w:line="240" w:lineRule="auto"/>
              <w:rPr>
                <w:sz w:val="20"/>
                <w:szCs w:val="20"/>
              </w:rPr>
            </w:pPr>
            <w:r w:rsidRPr="002C21B8">
              <w:rPr>
                <w:sz w:val="20"/>
                <w:szCs w:val="20"/>
              </w:rPr>
              <w:t>irritable bowel syndrome/</w:t>
            </w:r>
          </w:p>
        </w:tc>
      </w:tr>
      <w:tr w:rsidR="00FA366A" w:rsidRPr="002C21B8" w14:paraId="74DE5057" w14:textId="77777777" w:rsidTr="00960A9F">
        <w:trPr>
          <w:trHeight w:val="320"/>
        </w:trPr>
        <w:tc>
          <w:tcPr>
            <w:tcW w:w="701" w:type="dxa"/>
            <w:shd w:val="clear" w:color="auto" w:fill="auto"/>
            <w:vAlign w:val="center"/>
          </w:tcPr>
          <w:p w14:paraId="1F62C3E2" w14:textId="77777777" w:rsidR="00FA366A" w:rsidRPr="002C21B8" w:rsidRDefault="00FA366A" w:rsidP="00212D46">
            <w:pPr>
              <w:spacing w:after="0" w:line="240" w:lineRule="auto"/>
              <w:rPr>
                <w:sz w:val="20"/>
                <w:szCs w:val="20"/>
              </w:rPr>
            </w:pPr>
            <w:r w:rsidRPr="002C21B8">
              <w:rPr>
                <w:sz w:val="20"/>
                <w:szCs w:val="20"/>
              </w:rPr>
              <w:t>95</w:t>
            </w:r>
          </w:p>
        </w:tc>
        <w:tc>
          <w:tcPr>
            <w:tcW w:w="8504" w:type="dxa"/>
            <w:shd w:val="clear" w:color="auto" w:fill="auto"/>
            <w:vAlign w:val="bottom"/>
          </w:tcPr>
          <w:p w14:paraId="2B018880" w14:textId="77777777" w:rsidR="00FA366A" w:rsidRPr="002C21B8" w:rsidRDefault="00FA366A" w:rsidP="00212D46">
            <w:pPr>
              <w:spacing w:after="0" w:line="240" w:lineRule="auto"/>
              <w:rPr>
                <w:sz w:val="20"/>
                <w:szCs w:val="20"/>
              </w:rPr>
            </w:pPr>
            <w:r w:rsidRPr="002C21B8">
              <w:rPr>
                <w:sz w:val="20"/>
                <w:szCs w:val="20"/>
              </w:rPr>
              <w:t>((irritable or functional or spastic) adj1 (bowel or colon)).ti.</w:t>
            </w:r>
          </w:p>
        </w:tc>
      </w:tr>
      <w:tr w:rsidR="00FA366A" w:rsidRPr="002C21B8" w14:paraId="11B77E98" w14:textId="77777777" w:rsidTr="00960A9F">
        <w:trPr>
          <w:trHeight w:val="320"/>
        </w:trPr>
        <w:tc>
          <w:tcPr>
            <w:tcW w:w="701" w:type="dxa"/>
            <w:shd w:val="clear" w:color="auto" w:fill="auto"/>
            <w:vAlign w:val="center"/>
          </w:tcPr>
          <w:p w14:paraId="0FBD2281" w14:textId="77777777" w:rsidR="00FA366A" w:rsidRPr="002C21B8" w:rsidRDefault="00FA366A" w:rsidP="00212D46">
            <w:pPr>
              <w:spacing w:after="0" w:line="240" w:lineRule="auto"/>
              <w:rPr>
                <w:sz w:val="20"/>
                <w:szCs w:val="20"/>
              </w:rPr>
            </w:pPr>
            <w:r w:rsidRPr="002C21B8">
              <w:rPr>
                <w:sz w:val="20"/>
                <w:szCs w:val="20"/>
              </w:rPr>
              <w:t>96</w:t>
            </w:r>
          </w:p>
        </w:tc>
        <w:tc>
          <w:tcPr>
            <w:tcW w:w="8504" w:type="dxa"/>
            <w:shd w:val="clear" w:color="auto" w:fill="auto"/>
            <w:vAlign w:val="bottom"/>
          </w:tcPr>
          <w:p w14:paraId="65E15CF1" w14:textId="77777777" w:rsidR="00FA366A" w:rsidRPr="002C21B8" w:rsidRDefault="00FA366A" w:rsidP="00212D46">
            <w:pPr>
              <w:spacing w:after="0" w:line="240" w:lineRule="auto"/>
              <w:rPr>
                <w:sz w:val="20"/>
                <w:szCs w:val="20"/>
              </w:rPr>
            </w:pPr>
            <w:r w:rsidRPr="002C21B8">
              <w:rPr>
                <w:sz w:val="20"/>
                <w:szCs w:val="20"/>
              </w:rPr>
              <w:t>(IBS or mucous colit* or gastrointestinal syndrome* or functional gastrointestinal).ti.</w:t>
            </w:r>
          </w:p>
        </w:tc>
      </w:tr>
      <w:tr w:rsidR="00FA366A" w:rsidRPr="002C21B8" w14:paraId="3D0A0628" w14:textId="77777777" w:rsidTr="00960A9F">
        <w:trPr>
          <w:trHeight w:val="320"/>
        </w:trPr>
        <w:tc>
          <w:tcPr>
            <w:tcW w:w="701" w:type="dxa"/>
            <w:shd w:val="clear" w:color="auto" w:fill="auto"/>
            <w:vAlign w:val="center"/>
          </w:tcPr>
          <w:p w14:paraId="4780360E" w14:textId="77777777" w:rsidR="00FA366A" w:rsidRPr="002C21B8" w:rsidRDefault="00FA366A" w:rsidP="00212D46">
            <w:pPr>
              <w:spacing w:after="0" w:line="240" w:lineRule="auto"/>
              <w:rPr>
                <w:sz w:val="20"/>
                <w:szCs w:val="20"/>
              </w:rPr>
            </w:pPr>
            <w:r w:rsidRPr="002C21B8">
              <w:rPr>
                <w:sz w:val="20"/>
                <w:szCs w:val="20"/>
              </w:rPr>
              <w:t>97</w:t>
            </w:r>
          </w:p>
        </w:tc>
        <w:tc>
          <w:tcPr>
            <w:tcW w:w="8504" w:type="dxa"/>
            <w:shd w:val="clear" w:color="auto" w:fill="auto"/>
            <w:vAlign w:val="bottom"/>
          </w:tcPr>
          <w:p w14:paraId="1CA690B4" w14:textId="77777777" w:rsidR="00FA366A" w:rsidRPr="002C21B8" w:rsidRDefault="00FA366A" w:rsidP="00212D46">
            <w:pPr>
              <w:spacing w:after="0" w:line="240" w:lineRule="auto"/>
              <w:rPr>
                <w:sz w:val="20"/>
                <w:szCs w:val="20"/>
              </w:rPr>
            </w:pPr>
            <w:r w:rsidRPr="002C21B8">
              <w:rPr>
                <w:sz w:val="20"/>
                <w:szCs w:val="20"/>
              </w:rPr>
              <w:t>exp migraine disorders/</w:t>
            </w:r>
          </w:p>
        </w:tc>
      </w:tr>
      <w:tr w:rsidR="00FA366A" w:rsidRPr="002C21B8" w14:paraId="40DD7514" w14:textId="77777777" w:rsidTr="00960A9F">
        <w:trPr>
          <w:trHeight w:val="320"/>
        </w:trPr>
        <w:tc>
          <w:tcPr>
            <w:tcW w:w="701" w:type="dxa"/>
            <w:shd w:val="clear" w:color="auto" w:fill="auto"/>
            <w:vAlign w:val="center"/>
          </w:tcPr>
          <w:p w14:paraId="449B1249" w14:textId="77777777" w:rsidR="00FA366A" w:rsidRPr="002C21B8" w:rsidRDefault="00FA366A" w:rsidP="00212D46">
            <w:pPr>
              <w:spacing w:after="0" w:line="240" w:lineRule="auto"/>
              <w:rPr>
                <w:sz w:val="20"/>
                <w:szCs w:val="20"/>
              </w:rPr>
            </w:pPr>
            <w:r w:rsidRPr="002C21B8">
              <w:rPr>
                <w:sz w:val="20"/>
                <w:szCs w:val="20"/>
              </w:rPr>
              <w:t>98</w:t>
            </w:r>
          </w:p>
        </w:tc>
        <w:tc>
          <w:tcPr>
            <w:tcW w:w="8504" w:type="dxa"/>
            <w:shd w:val="clear" w:color="auto" w:fill="auto"/>
            <w:vAlign w:val="bottom"/>
          </w:tcPr>
          <w:p w14:paraId="0C1947A0" w14:textId="77777777" w:rsidR="00FA366A" w:rsidRPr="002C21B8" w:rsidRDefault="00FA366A" w:rsidP="00212D46">
            <w:pPr>
              <w:spacing w:after="0" w:line="240" w:lineRule="auto"/>
              <w:rPr>
                <w:sz w:val="20"/>
                <w:szCs w:val="20"/>
              </w:rPr>
            </w:pPr>
            <w:r w:rsidRPr="002C21B8">
              <w:rPr>
                <w:sz w:val="20"/>
                <w:szCs w:val="20"/>
              </w:rPr>
              <w:t>(migraine or megrim or hemicrania).ti.</w:t>
            </w:r>
          </w:p>
        </w:tc>
      </w:tr>
      <w:tr w:rsidR="00FA366A" w:rsidRPr="002C21B8" w14:paraId="24A42D14" w14:textId="77777777" w:rsidTr="00960A9F">
        <w:trPr>
          <w:trHeight w:val="320"/>
        </w:trPr>
        <w:tc>
          <w:tcPr>
            <w:tcW w:w="701" w:type="dxa"/>
            <w:shd w:val="clear" w:color="auto" w:fill="auto"/>
            <w:vAlign w:val="center"/>
          </w:tcPr>
          <w:p w14:paraId="0AE163B3" w14:textId="77777777" w:rsidR="00FA366A" w:rsidRPr="002C21B8" w:rsidRDefault="00FA366A" w:rsidP="00212D46">
            <w:pPr>
              <w:spacing w:after="0" w:line="240" w:lineRule="auto"/>
              <w:rPr>
                <w:sz w:val="20"/>
                <w:szCs w:val="20"/>
              </w:rPr>
            </w:pPr>
            <w:r w:rsidRPr="002C21B8">
              <w:rPr>
                <w:sz w:val="20"/>
                <w:szCs w:val="20"/>
              </w:rPr>
              <w:t>99</w:t>
            </w:r>
          </w:p>
        </w:tc>
        <w:tc>
          <w:tcPr>
            <w:tcW w:w="8504" w:type="dxa"/>
            <w:shd w:val="clear" w:color="auto" w:fill="auto"/>
            <w:vAlign w:val="bottom"/>
          </w:tcPr>
          <w:p w14:paraId="03BA7EEE" w14:textId="77777777" w:rsidR="00FA366A" w:rsidRPr="002C21B8" w:rsidRDefault="00FA366A" w:rsidP="00212D46">
            <w:pPr>
              <w:spacing w:after="0" w:line="240" w:lineRule="auto"/>
              <w:rPr>
                <w:sz w:val="20"/>
                <w:szCs w:val="20"/>
              </w:rPr>
            </w:pPr>
            <w:r w:rsidRPr="002C21B8">
              <w:rPr>
                <w:sz w:val="20"/>
                <w:szCs w:val="20"/>
              </w:rPr>
              <w:t>exp multiple sclerosis/</w:t>
            </w:r>
          </w:p>
        </w:tc>
      </w:tr>
      <w:tr w:rsidR="00FA366A" w:rsidRPr="002C21B8" w14:paraId="3AA3A807" w14:textId="77777777" w:rsidTr="00960A9F">
        <w:trPr>
          <w:trHeight w:val="320"/>
        </w:trPr>
        <w:tc>
          <w:tcPr>
            <w:tcW w:w="701" w:type="dxa"/>
            <w:shd w:val="clear" w:color="auto" w:fill="auto"/>
            <w:vAlign w:val="center"/>
          </w:tcPr>
          <w:p w14:paraId="49623015" w14:textId="77777777" w:rsidR="00FA366A" w:rsidRPr="002C21B8" w:rsidRDefault="00FA366A" w:rsidP="00212D46">
            <w:pPr>
              <w:spacing w:after="0" w:line="240" w:lineRule="auto"/>
              <w:rPr>
                <w:sz w:val="20"/>
                <w:szCs w:val="20"/>
              </w:rPr>
            </w:pPr>
            <w:r w:rsidRPr="002C21B8">
              <w:rPr>
                <w:sz w:val="20"/>
                <w:szCs w:val="20"/>
              </w:rPr>
              <w:t>100</w:t>
            </w:r>
          </w:p>
        </w:tc>
        <w:tc>
          <w:tcPr>
            <w:tcW w:w="8504" w:type="dxa"/>
            <w:shd w:val="clear" w:color="auto" w:fill="auto"/>
            <w:vAlign w:val="bottom"/>
          </w:tcPr>
          <w:p w14:paraId="56DB6AF9" w14:textId="77777777" w:rsidR="00FA366A" w:rsidRPr="002C21B8" w:rsidRDefault="00FA366A" w:rsidP="00212D46">
            <w:pPr>
              <w:spacing w:after="0" w:line="240" w:lineRule="auto"/>
              <w:rPr>
                <w:sz w:val="20"/>
                <w:szCs w:val="20"/>
              </w:rPr>
            </w:pPr>
            <w:r w:rsidRPr="002C21B8">
              <w:rPr>
                <w:sz w:val="20"/>
                <w:szCs w:val="20"/>
              </w:rPr>
              <w:t>(multiple sclerosis or MS or demyelinating disease*).ti.</w:t>
            </w:r>
          </w:p>
        </w:tc>
      </w:tr>
      <w:tr w:rsidR="00FA366A" w:rsidRPr="002C21B8" w14:paraId="30A11D87" w14:textId="77777777" w:rsidTr="00960A9F">
        <w:trPr>
          <w:trHeight w:val="320"/>
        </w:trPr>
        <w:tc>
          <w:tcPr>
            <w:tcW w:w="701" w:type="dxa"/>
            <w:shd w:val="clear" w:color="auto" w:fill="auto"/>
            <w:vAlign w:val="center"/>
          </w:tcPr>
          <w:p w14:paraId="3371D8A7" w14:textId="77777777" w:rsidR="00FA366A" w:rsidRPr="002C21B8" w:rsidRDefault="00FA366A" w:rsidP="00212D46">
            <w:pPr>
              <w:spacing w:after="0" w:line="240" w:lineRule="auto"/>
              <w:rPr>
                <w:sz w:val="20"/>
                <w:szCs w:val="20"/>
              </w:rPr>
            </w:pPr>
            <w:r w:rsidRPr="002C21B8">
              <w:rPr>
                <w:sz w:val="20"/>
                <w:szCs w:val="20"/>
              </w:rPr>
              <w:t>101</w:t>
            </w:r>
          </w:p>
        </w:tc>
        <w:tc>
          <w:tcPr>
            <w:tcW w:w="8504" w:type="dxa"/>
            <w:shd w:val="clear" w:color="auto" w:fill="auto"/>
            <w:vAlign w:val="bottom"/>
          </w:tcPr>
          <w:p w14:paraId="31915CC7" w14:textId="77777777" w:rsidR="00FA366A" w:rsidRPr="002C21B8" w:rsidRDefault="00FA366A" w:rsidP="00212D46">
            <w:pPr>
              <w:spacing w:after="0" w:line="240" w:lineRule="auto"/>
              <w:rPr>
                <w:sz w:val="20"/>
                <w:szCs w:val="20"/>
              </w:rPr>
            </w:pPr>
            <w:r w:rsidRPr="002C21B8">
              <w:rPr>
                <w:sz w:val="20"/>
                <w:szCs w:val="20"/>
              </w:rPr>
              <w:t>exp osteoarthritis/</w:t>
            </w:r>
          </w:p>
        </w:tc>
      </w:tr>
      <w:tr w:rsidR="00FA366A" w:rsidRPr="002C21B8" w14:paraId="0DA9D2DE" w14:textId="77777777" w:rsidTr="00960A9F">
        <w:trPr>
          <w:trHeight w:val="320"/>
        </w:trPr>
        <w:tc>
          <w:tcPr>
            <w:tcW w:w="701" w:type="dxa"/>
            <w:shd w:val="clear" w:color="auto" w:fill="auto"/>
            <w:vAlign w:val="center"/>
          </w:tcPr>
          <w:p w14:paraId="2FF698B7" w14:textId="77777777" w:rsidR="00FA366A" w:rsidRPr="002C21B8" w:rsidRDefault="00FA366A" w:rsidP="00212D46">
            <w:pPr>
              <w:spacing w:after="0" w:line="240" w:lineRule="auto"/>
              <w:rPr>
                <w:sz w:val="20"/>
                <w:szCs w:val="20"/>
              </w:rPr>
            </w:pPr>
            <w:r w:rsidRPr="002C21B8">
              <w:rPr>
                <w:sz w:val="20"/>
                <w:szCs w:val="20"/>
              </w:rPr>
              <w:t>102</w:t>
            </w:r>
          </w:p>
        </w:tc>
        <w:tc>
          <w:tcPr>
            <w:tcW w:w="8504" w:type="dxa"/>
            <w:shd w:val="clear" w:color="auto" w:fill="auto"/>
            <w:vAlign w:val="bottom"/>
          </w:tcPr>
          <w:p w14:paraId="224D61B3" w14:textId="77777777" w:rsidR="00FA366A" w:rsidRPr="002C21B8" w:rsidRDefault="00FA366A" w:rsidP="00212D46">
            <w:pPr>
              <w:spacing w:after="0" w:line="240" w:lineRule="auto"/>
              <w:rPr>
                <w:sz w:val="20"/>
                <w:szCs w:val="20"/>
              </w:rPr>
            </w:pPr>
            <w:r w:rsidRPr="002C21B8">
              <w:rPr>
                <w:sz w:val="20"/>
                <w:szCs w:val="20"/>
              </w:rPr>
              <w:t>(osteoarthr* or OA).ti.</w:t>
            </w:r>
          </w:p>
        </w:tc>
      </w:tr>
      <w:tr w:rsidR="00FA366A" w:rsidRPr="002C21B8" w14:paraId="0EAA0EB1" w14:textId="77777777" w:rsidTr="00960A9F">
        <w:trPr>
          <w:trHeight w:val="320"/>
        </w:trPr>
        <w:tc>
          <w:tcPr>
            <w:tcW w:w="701" w:type="dxa"/>
            <w:shd w:val="clear" w:color="auto" w:fill="auto"/>
            <w:vAlign w:val="center"/>
          </w:tcPr>
          <w:p w14:paraId="470B4306" w14:textId="77777777" w:rsidR="00FA366A" w:rsidRPr="002C21B8" w:rsidRDefault="00FA366A" w:rsidP="00212D46">
            <w:pPr>
              <w:spacing w:after="0" w:line="240" w:lineRule="auto"/>
              <w:rPr>
                <w:sz w:val="20"/>
                <w:szCs w:val="20"/>
              </w:rPr>
            </w:pPr>
            <w:r w:rsidRPr="002C21B8">
              <w:rPr>
                <w:sz w:val="20"/>
                <w:szCs w:val="20"/>
              </w:rPr>
              <w:t>103</w:t>
            </w:r>
          </w:p>
        </w:tc>
        <w:tc>
          <w:tcPr>
            <w:tcW w:w="8504" w:type="dxa"/>
            <w:shd w:val="clear" w:color="auto" w:fill="auto"/>
            <w:vAlign w:val="bottom"/>
          </w:tcPr>
          <w:p w14:paraId="161715BF" w14:textId="77777777" w:rsidR="00FA366A" w:rsidRPr="002C21B8" w:rsidRDefault="00FA366A" w:rsidP="00212D46">
            <w:pPr>
              <w:spacing w:after="0" w:line="240" w:lineRule="auto"/>
              <w:rPr>
                <w:sz w:val="20"/>
                <w:szCs w:val="20"/>
              </w:rPr>
            </w:pPr>
            <w:r w:rsidRPr="002C21B8">
              <w:rPr>
                <w:sz w:val="20"/>
                <w:szCs w:val="20"/>
              </w:rPr>
              <w:t>(degenerative adj (arthritis or joint*)).ti.</w:t>
            </w:r>
          </w:p>
        </w:tc>
      </w:tr>
      <w:tr w:rsidR="00FA366A" w:rsidRPr="002C21B8" w14:paraId="5DE2CF81" w14:textId="77777777" w:rsidTr="00960A9F">
        <w:trPr>
          <w:trHeight w:val="320"/>
        </w:trPr>
        <w:tc>
          <w:tcPr>
            <w:tcW w:w="701" w:type="dxa"/>
            <w:shd w:val="clear" w:color="auto" w:fill="auto"/>
            <w:vAlign w:val="center"/>
          </w:tcPr>
          <w:p w14:paraId="2D0248A9" w14:textId="77777777" w:rsidR="00FA366A" w:rsidRPr="002C21B8" w:rsidRDefault="00FA366A" w:rsidP="00212D46">
            <w:pPr>
              <w:spacing w:after="0" w:line="240" w:lineRule="auto"/>
              <w:rPr>
                <w:sz w:val="20"/>
                <w:szCs w:val="20"/>
              </w:rPr>
            </w:pPr>
            <w:r w:rsidRPr="002C21B8">
              <w:rPr>
                <w:sz w:val="20"/>
                <w:szCs w:val="20"/>
              </w:rPr>
              <w:t>104</w:t>
            </w:r>
          </w:p>
        </w:tc>
        <w:tc>
          <w:tcPr>
            <w:tcW w:w="8504" w:type="dxa"/>
            <w:shd w:val="clear" w:color="auto" w:fill="auto"/>
            <w:vAlign w:val="bottom"/>
          </w:tcPr>
          <w:p w14:paraId="4BAA4340" w14:textId="77777777" w:rsidR="00FA366A" w:rsidRPr="002C21B8" w:rsidRDefault="00FA366A" w:rsidP="00212D46">
            <w:pPr>
              <w:spacing w:after="0" w:line="240" w:lineRule="auto"/>
              <w:rPr>
                <w:sz w:val="20"/>
                <w:szCs w:val="20"/>
              </w:rPr>
            </w:pPr>
            <w:r w:rsidRPr="002C21B8">
              <w:rPr>
                <w:sz w:val="20"/>
                <w:szCs w:val="20"/>
              </w:rPr>
              <w:t>exp parkinson disease/</w:t>
            </w:r>
          </w:p>
        </w:tc>
      </w:tr>
      <w:tr w:rsidR="00FA366A" w:rsidRPr="002C21B8" w14:paraId="1D652020" w14:textId="77777777" w:rsidTr="00960A9F">
        <w:trPr>
          <w:trHeight w:val="320"/>
        </w:trPr>
        <w:tc>
          <w:tcPr>
            <w:tcW w:w="701" w:type="dxa"/>
            <w:shd w:val="clear" w:color="auto" w:fill="auto"/>
            <w:vAlign w:val="center"/>
          </w:tcPr>
          <w:p w14:paraId="613F7F39" w14:textId="77777777" w:rsidR="00FA366A" w:rsidRPr="002C21B8" w:rsidRDefault="00FA366A" w:rsidP="00212D46">
            <w:pPr>
              <w:spacing w:after="0" w:line="240" w:lineRule="auto"/>
              <w:rPr>
                <w:sz w:val="20"/>
                <w:szCs w:val="20"/>
              </w:rPr>
            </w:pPr>
            <w:r w:rsidRPr="002C21B8">
              <w:rPr>
                <w:sz w:val="20"/>
                <w:szCs w:val="20"/>
              </w:rPr>
              <w:t>105</w:t>
            </w:r>
          </w:p>
        </w:tc>
        <w:tc>
          <w:tcPr>
            <w:tcW w:w="8504" w:type="dxa"/>
            <w:shd w:val="clear" w:color="auto" w:fill="auto"/>
            <w:vAlign w:val="bottom"/>
          </w:tcPr>
          <w:p w14:paraId="5C00951B" w14:textId="77777777" w:rsidR="00FA366A" w:rsidRPr="002C21B8" w:rsidRDefault="00FA366A" w:rsidP="00212D46">
            <w:pPr>
              <w:spacing w:after="0" w:line="240" w:lineRule="auto"/>
              <w:rPr>
                <w:sz w:val="20"/>
                <w:szCs w:val="20"/>
              </w:rPr>
            </w:pPr>
            <w:r w:rsidRPr="002C21B8">
              <w:rPr>
                <w:sz w:val="20"/>
                <w:szCs w:val="20"/>
              </w:rPr>
              <w:t>(Parkinson* disease or PD or parkinson*).ti.</w:t>
            </w:r>
          </w:p>
        </w:tc>
      </w:tr>
      <w:tr w:rsidR="00FA366A" w:rsidRPr="002C21B8" w14:paraId="7A8491C8" w14:textId="77777777" w:rsidTr="00960A9F">
        <w:trPr>
          <w:trHeight w:val="320"/>
        </w:trPr>
        <w:tc>
          <w:tcPr>
            <w:tcW w:w="701" w:type="dxa"/>
            <w:shd w:val="clear" w:color="auto" w:fill="auto"/>
            <w:vAlign w:val="center"/>
          </w:tcPr>
          <w:p w14:paraId="4B8E3401" w14:textId="77777777" w:rsidR="00FA366A" w:rsidRPr="002C21B8" w:rsidRDefault="00FA366A" w:rsidP="00212D46">
            <w:pPr>
              <w:spacing w:after="0" w:line="240" w:lineRule="auto"/>
              <w:rPr>
                <w:sz w:val="20"/>
                <w:szCs w:val="20"/>
              </w:rPr>
            </w:pPr>
            <w:r w:rsidRPr="002C21B8">
              <w:rPr>
                <w:sz w:val="20"/>
                <w:szCs w:val="20"/>
              </w:rPr>
              <w:t>106</w:t>
            </w:r>
          </w:p>
        </w:tc>
        <w:tc>
          <w:tcPr>
            <w:tcW w:w="8504" w:type="dxa"/>
            <w:shd w:val="clear" w:color="auto" w:fill="auto"/>
            <w:vAlign w:val="bottom"/>
          </w:tcPr>
          <w:p w14:paraId="296DF609" w14:textId="77777777" w:rsidR="00FA366A" w:rsidRPr="002C21B8" w:rsidRDefault="00FA366A" w:rsidP="00212D46">
            <w:pPr>
              <w:spacing w:after="0" w:line="240" w:lineRule="auto"/>
              <w:rPr>
                <w:sz w:val="20"/>
                <w:szCs w:val="20"/>
              </w:rPr>
            </w:pPr>
            <w:r w:rsidRPr="002C21B8">
              <w:rPr>
                <w:sz w:val="20"/>
                <w:szCs w:val="20"/>
              </w:rPr>
              <w:t>cystic fibrosis/</w:t>
            </w:r>
          </w:p>
        </w:tc>
      </w:tr>
      <w:tr w:rsidR="00FA366A" w:rsidRPr="002C21B8" w14:paraId="53E7A2D7" w14:textId="77777777" w:rsidTr="00960A9F">
        <w:trPr>
          <w:trHeight w:val="320"/>
        </w:trPr>
        <w:tc>
          <w:tcPr>
            <w:tcW w:w="701" w:type="dxa"/>
            <w:shd w:val="clear" w:color="auto" w:fill="auto"/>
            <w:vAlign w:val="center"/>
          </w:tcPr>
          <w:p w14:paraId="4AD98FAE" w14:textId="77777777" w:rsidR="00FA366A" w:rsidRPr="002C21B8" w:rsidRDefault="00FA366A" w:rsidP="00212D46">
            <w:pPr>
              <w:spacing w:after="0" w:line="240" w:lineRule="auto"/>
              <w:rPr>
                <w:sz w:val="20"/>
                <w:szCs w:val="20"/>
              </w:rPr>
            </w:pPr>
            <w:r w:rsidRPr="002C21B8">
              <w:rPr>
                <w:sz w:val="20"/>
                <w:szCs w:val="20"/>
              </w:rPr>
              <w:t>107</w:t>
            </w:r>
          </w:p>
        </w:tc>
        <w:tc>
          <w:tcPr>
            <w:tcW w:w="8504" w:type="dxa"/>
            <w:shd w:val="clear" w:color="auto" w:fill="auto"/>
            <w:vAlign w:val="bottom"/>
          </w:tcPr>
          <w:p w14:paraId="1769E0F4" w14:textId="77777777" w:rsidR="00FA366A" w:rsidRPr="002C21B8" w:rsidRDefault="00FA366A" w:rsidP="00212D46">
            <w:pPr>
              <w:spacing w:after="0" w:line="240" w:lineRule="auto"/>
              <w:rPr>
                <w:sz w:val="20"/>
                <w:szCs w:val="20"/>
              </w:rPr>
            </w:pPr>
            <w:r w:rsidRPr="002C21B8">
              <w:rPr>
                <w:sz w:val="20"/>
                <w:szCs w:val="20"/>
              </w:rPr>
              <w:t>(cystic fibrosis or CF or mucoviscidosis or (fibrocystic disease adj pancrea)).ti.</w:t>
            </w:r>
          </w:p>
        </w:tc>
      </w:tr>
      <w:tr w:rsidR="00FA366A" w:rsidRPr="002C21B8" w14:paraId="66938CBD" w14:textId="77777777" w:rsidTr="00960A9F">
        <w:trPr>
          <w:trHeight w:val="320"/>
        </w:trPr>
        <w:tc>
          <w:tcPr>
            <w:tcW w:w="701" w:type="dxa"/>
            <w:shd w:val="clear" w:color="auto" w:fill="auto"/>
            <w:vAlign w:val="center"/>
          </w:tcPr>
          <w:p w14:paraId="785F06C4" w14:textId="77777777" w:rsidR="00FA366A" w:rsidRPr="002C21B8" w:rsidRDefault="00FA366A" w:rsidP="00212D46">
            <w:pPr>
              <w:spacing w:after="0" w:line="240" w:lineRule="auto"/>
              <w:rPr>
                <w:sz w:val="20"/>
                <w:szCs w:val="20"/>
              </w:rPr>
            </w:pPr>
            <w:r w:rsidRPr="002C21B8">
              <w:rPr>
                <w:sz w:val="20"/>
                <w:szCs w:val="20"/>
              </w:rPr>
              <w:t>108</w:t>
            </w:r>
          </w:p>
        </w:tc>
        <w:tc>
          <w:tcPr>
            <w:tcW w:w="8504" w:type="dxa"/>
            <w:shd w:val="clear" w:color="auto" w:fill="auto"/>
            <w:vAlign w:val="bottom"/>
          </w:tcPr>
          <w:p w14:paraId="70938649" w14:textId="77777777" w:rsidR="00FA366A" w:rsidRPr="002C21B8" w:rsidRDefault="00FA366A" w:rsidP="00212D46">
            <w:pPr>
              <w:spacing w:after="0" w:line="240" w:lineRule="auto"/>
              <w:rPr>
                <w:sz w:val="20"/>
                <w:szCs w:val="20"/>
              </w:rPr>
            </w:pPr>
            <w:r w:rsidRPr="002C21B8">
              <w:rPr>
                <w:sz w:val="20"/>
                <w:szCs w:val="20"/>
              </w:rPr>
              <w:t>exp gastroesophageal reflux/</w:t>
            </w:r>
          </w:p>
        </w:tc>
      </w:tr>
      <w:tr w:rsidR="00FA366A" w:rsidRPr="002C21B8" w14:paraId="00461672" w14:textId="77777777" w:rsidTr="00960A9F">
        <w:trPr>
          <w:trHeight w:val="320"/>
        </w:trPr>
        <w:tc>
          <w:tcPr>
            <w:tcW w:w="701" w:type="dxa"/>
            <w:shd w:val="clear" w:color="auto" w:fill="auto"/>
            <w:vAlign w:val="center"/>
          </w:tcPr>
          <w:p w14:paraId="458B0FFE" w14:textId="77777777" w:rsidR="00FA366A" w:rsidRPr="002C21B8" w:rsidRDefault="00FA366A" w:rsidP="00212D46">
            <w:pPr>
              <w:spacing w:after="0" w:line="240" w:lineRule="auto"/>
              <w:rPr>
                <w:sz w:val="20"/>
                <w:szCs w:val="20"/>
              </w:rPr>
            </w:pPr>
            <w:r w:rsidRPr="002C21B8">
              <w:rPr>
                <w:sz w:val="20"/>
                <w:szCs w:val="20"/>
              </w:rPr>
              <w:t>109</w:t>
            </w:r>
          </w:p>
        </w:tc>
        <w:tc>
          <w:tcPr>
            <w:tcW w:w="8504" w:type="dxa"/>
            <w:shd w:val="clear" w:color="auto" w:fill="auto"/>
            <w:vAlign w:val="bottom"/>
          </w:tcPr>
          <w:p w14:paraId="02F15B3E" w14:textId="77777777" w:rsidR="00FA366A" w:rsidRPr="002C21B8" w:rsidRDefault="00FA366A" w:rsidP="00212D46">
            <w:pPr>
              <w:spacing w:after="0" w:line="240" w:lineRule="auto"/>
              <w:rPr>
                <w:sz w:val="20"/>
                <w:szCs w:val="20"/>
              </w:rPr>
            </w:pPr>
            <w:r w:rsidRPr="002C21B8">
              <w:rPr>
                <w:sz w:val="20"/>
                <w:szCs w:val="20"/>
              </w:rPr>
              <w:t>ulcer/</w:t>
            </w:r>
          </w:p>
        </w:tc>
      </w:tr>
      <w:tr w:rsidR="00FA366A" w:rsidRPr="002C21B8" w14:paraId="6BB537D2" w14:textId="77777777" w:rsidTr="00960A9F">
        <w:trPr>
          <w:trHeight w:val="320"/>
        </w:trPr>
        <w:tc>
          <w:tcPr>
            <w:tcW w:w="701" w:type="dxa"/>
            <w:shd w:val="clear" w:color="auto" w:fill="auto"/>
            <w:vAlign w:val="center"/>
          </w:tcPr>
          <w:p w14:paraId="1BD7BA62" w14:textId="77777777" w:rsidR="00FA366A" w:rsidRPr="002C21B8" w:rsidRDefault="00FA366A" w:rsidP="00212D46">
            <w:pPr>
              <w:spacing w:after="0" w:line="240" w:lineRule="auto"/>
              <w:rPr>
                <w:sz w:val="20"/>
                <w:szCs w:val="20"/>
              </w:rPr>
            </w:pPr>
            <w:r w:rsidRPr="002C21B8">
              <w:rPr>
                <w:sz w:val="20"/>
                <w:szCs w:val="20"/>
              </w:rPr>
              <w:t>110</w:t>
            </w:r>
          </w:p>
        </w:tc>
        <w:tc>
          <w:tcPr>
            <w:tcW w:w="8504" w:type="dxa"/>
            <w:shd w:val="clear" w:color="auto" w:fill="auto"/>
            <w:vAlign w:val="bottom"/>
          </w:tcPr>
          <w:p w14:paraId="3E15F718" w14:textId="77777777" w:rsidR="00FA366A" w:rsidRPr="002C21B8" w:rsidRDefault="00FA366A" w:rsidP="00212D46">
            <w:pPr>
              <w:spacing w:after="0" w:line="240" w:lineRule="auto"/>
              <w:rPr>
                <w:sz w:val="20"/>
                <w:szCs w:val="20"/>
              </w:rPr>
            </w:pPr>
            <w:r w:rsidRPr="002C21B8">
              <w:rPr>
                <w:sz w:val="20"/>
                <w:szCs w:val="20"/>
              </w:rPr>
              <w:t>exp esophagitis/</w:t>
            </w:r>
          </w:p>
        </w:tc>
      </w:tr>
      <w:tr w:rsidR="00FA366A" w:rsidRPr="002C21B8" w14:paraId="0105A30C" w14:textId="77777777" w:rsidTr="00960A9F">
        <w:trPr>
          <w:trHeight w:val="320"/>
        </w:trPr>
        <w:tc>
          <w:tcPr>
            <w:tcW w:w="701" w:type="dxa"/>
            <w:shd w:val="clear" w:color="auto" w:fill="auto"/>
            <w:vAlign w:val="center"/>
          </w:tcPr>
          <w:p w14:paraId="222B66E8" w14:textId="77777777" w:rsidR="00FA366A" w:rsidRPr="002C21B8" w:rsidRDefault="00FA366A" w:rsidP="00212D46">
            <w:pPr>
              <w:spacing w:after="0" w:line="240" w:lineRule="auto"/>
              <w:rPr>
                <w:sz w:val="20"/>
                <w:szCs w:val="20"/>
              </w:rPr>
            </w:pPr>
            <w:r w:rsidRPr="002C21B8">
              <w:rPr>
                <w:sz w:val="20"/>
                <w:szCs w:val="20"/>
              </w:rPr>
              <w:t>111</w:t>
            </w:r>
          </w:p>
        </w:tc>
        <w:tc>
          <w:tcPr>
            <w:tcW w:w="8504" w:type="dxa"/>
            <w:shd w:val="clear" w:color="auto" w:fill="auto"/>
            <w:vAlign w:val="bottom"/>
          </w:tcPr>
          <w:p w14:paraId="7617903E" w14:textId="77777777" w:rsidR="00FA366A" w:rsidRPr="002C21B8" w:rsidRDefault="00FA366A" w:rsidP="00212D46">
            <w:pPr>
              <w:spacing w:after="0" w:line="240" w:lineRule="auto"/>
              <w:rPr>
                <w:sz w:val="20"/>
                <w:szCs w:val="20"/>
              </w:rPr>
            </w:pPr>
            <w:r w:rsidRPr="002C21B8">
              <w:rPr>
                <w:sz w:val="20"/>
                <w:szCs w:val="20"/>
              </w:rPr>
              <w:t>((gastroesophageal or gastrooesophageal or gastro ?esophageal) adj reflux).ti.</w:t>
            </w:r>
          </w:p>
        </w:tc>
      </w:tr>
      <w:tr w:rsidR="00FA366A" w:rsidRPr="002C21B8" w14:paraId="698F6334" w14:textId="77777777" w:rsidTr="00960A9F">
        <w:trPr>
          <w:trHeight w:val="320"/>
        </w:trPr>
        <w:tc>
          <w:tcPr>
            <w:tcW w:w="701" w:type="dxa"/>
            <w:shd w:val="clear" w:color="auto" w:fill="auto"/>
            <w:vAlign w:val="center"/>
          </w:tcPr>
          <w:p w14:paraId="504CB4E3" w14:textId="77777777" w:rsidR="00FA366A" w:rsidRPr="002C21B8" w:rsidRDefault="00FA366A" w:rsidP="00212D46">
            <w:pPr>
              <w:spacing w:after="0" w:line="240" w:lineRule="auto"/>
              <w:rPr>
                <w:sz w:val="20"/>
                <w:szCs w:val="20"/>
              </w:rPr>
            </w:pPr>
            <w:r w:rsidRPr="002C21B8">
              <w:rPr>
                <w:sz w:val="20"/>
                <w:szCs w:val="20"/>
              </w:rPr>
              <w:t>112</w:t>
            </w:r>
          </w:p>
        </w:tc>
        <w:tc>
          <w:tcPr>
            <w:tcW w:w="8504" w:type="dxa"/>
            <w:shd w:val="clear" w:color="auto" w:fill="auto"/>
            <w:vAlign w:val="bottom"/>
          </w:tcPr>
          <w:p w14:paraId="29C444C8" w14:textId="77777777" w:rsidR="00FA366A" w:rsidRPr="002C21B8" w:rsidRDefault="00FA366A" w:rsidP="00212D46">
            <w:pPr>
              <w:spacing w:after="0" w:line="240" w:lineRule="auto"/>
              <w:rPr>
                <w:sz w:val="20"/>
                <w:szCs w:val="20"/>
              </w:rPr>
            </w:pPr>
            <w:r w:rsidRPr="002C21B8">
              <w:rPr>
                <w:sz w:val="20"/>
                <w:szCs w:val="20"/>
              </w:rPr>
              <w:t>(GORD or GERD or GOR or GER).ti.</w:t>
            </w:r>
          </w:p>
        </w:tc>
      </w:tr>
      <w:tr w:rsidR="00FA366A" w:rsidRPr="002C21B8" w14:paraId="44538494" w14:textId="77777777" w:rsidTr="00960A9F">
        <w:trPr>
          <w:trHeight w:val="320"/>
        </w:trPr>
        <w:tc>
          <w:tcPr>
            <w:tcW w:w="701" w:type="dxa"/>
            <w:shd w:val="clear" w:color="auto" w:fill="auto"/>
            <w:vAlign w:val="center"/>
          </w:tcPr>
          <w:p w14:paraId="3CDDA4B9" w14:textId="77777777" w:rsidR="00FA366A" w:rsidRPr="002C21B8" w:rsidRDefault="00FA366A" w:rsidP="00212D46">
            <w:pPr>
              <w:spacing w:after="0" w:line="240" w:lineRule="auto"/>
              <w:rPr>
                <w:sz w:val="20"/>
                <w:szCs w:val="20"/>
              </w:rPr>
            </w:pPr>
            <w:r w:rsidRPr="002C21B8">
              <w:rPr>
                <w:sz w:val="20"/>
                <w:szCs w:val="20"/>
              </w:rPr>
              <w:t>113</w:t>
            </w:r>
          </w:p>
        </w:tc>
        <w:tc>
          <w:tcPr>
            <w:tcW w:w="8504" w:type="dxa"/>
            <w:shd w:val="clear" w:color="auto" w:fill="auto"/>
            <w:vAlign w:val="bottom"/>
          </w:tcPr>
          <w:p w14:paraId="1E051717" w14:textId="77777777" w:rsidR="00FA366A" w:rsidRPr="002C21B8" w:rsidRDefault="00FA366A" w:rsidP="00212D46">
            <w:pPr>
              <w:spacing w:after="0" w:line="240" w:lineRule="auto"/>
              <w:rPr>
                <w:sz w:val="20"/>
                <w:szCs w:val="20"/>
              </w:rPr>
            </w:pPr>
            <w:r w:rsidRPr="002C21B8">
              <w:rPr>
                <w:sz w:val="20"/>
                <w:szCs w:val="20"/>
              </w:rPr>
              <w:t>(gastric adj3 (acid or reflux)).ti.</w:t>
            </w:r>
          </w:p>
        </w:tc>
      </w:tr>
      <w:tr w:rsidR="00FA366A" w:rsidRPr="002C21B8" w14:paraId="38EBD1E6" w14:textId="77777777" w:rsidTr="00960A9F">
        <w:trPr>
          <w:trHeight w:val="320"/>
        </w:trPr>
        <w:tc>
          <w:tcPr>
            <w:tcW w:w="701" w:type="dxa"/>
            <w:shd w:val="clear" w:color="auto" w:fill="auto"/>
            <w:vAlign w:val="center"/>
          </w:tcPr>
          <w:p w14:paraId="5311F695" w14:textId="77777777" w:rsidR="00FA366A" w:rsidRPr="002C21B8" w:rsidRDefault="00FA366A" w:rsidP="00212D46">
            <w:pPr>
              <w:spacing w:after="0" w:line="240" w:lineRule="auto"/>
              <w:rPr>
                <w:sz w:val="20"/>
                <w:szCs w:val="20"/>
              </w:rPr>
            </w:pPr>
            <w:r w:rsidRPr="002C21B8">
              <w:rPr>
                <w:sz w:val="20"/>
                <w:szCs w:val="20"/>
              </w:rPr>
              <w:t>114</w:t>
            </w:r>
          </w:p>
        </w:tc>
        <w:tc>
          <w:tcPr>
            <w:tcW w:w="8504" w:type="dxa"/>
            <w:shd w:val="clear" w:color="auto" w:fill="auto"/>
            <w:vAlign w:val="bottom"/>
          </w:tcPr>
          <w:p w14:paraId="732DA3A4" w14:textId="77777777" w:rsidR="00FA366A" w:rsidRPr="002C21B8" w:rsidRDefault="00FA366A" w:rsidP="00212D46">
            <w:pPr>
              <w:spacing w:after="0" w:line="240" w:lineRule="auto"/>
              <w:rPr>
                <w:sz w:val="20"/>
                <w:szCs w:val="20"/>
                <w:lang w:val="fr-FR"/>
              </w:rPr>
            </w:pPr>
            <w:r w:rsidRPr="002C21B8">
              <w:rPr>
                <w:sz w:val="20"/>
                <w:szCs w:val="20"/>
                <w:lang w:val="fr-FR"/>
              </w:rPr>
              <w:t>(reflux adj (oesophagitis or esophagitis)).ti.</w:t>
            </w:r>
          </w:p>
        </w:tc>
      </w:tr>
      <w:tr w:rsidR="00FA366A" w:rsidRPr="002C21B8" w14:paraId="655E34C4" w14:textId="77777777" w:rsidTr="00960A9F">
        <w:trPr>
          <w:trHeight w:val="320"/>
        </w:trPr>
        <w:tc>
          <w:tcPr>
            <w:tcW w:w="701" w:type="dxa"/>
            <w:shd w:val="clear" w:color="auto" w:fill="auto"/>
            <w:vAlign w:val="center"/>
          </w:tcPr>
          <w:p w14:paraId="49E0400B" w14:textId="77777777" w:rsidR="00FA366A" w:rsidRPr="002C21B8" w:rsidRDefault="00FA366A" w:rsidP="00212D46">
            <w:pPr>
              <w:spacing w:after="0" w:line="240" w:lineRule="auto"/>
              <w:rPr>
                <w:sz w:val="20"/>
                <w:szCs w:val="20"/>
              </w:rPr>
            </w:pPr>
            <w:r w:rsidRPr="002C21B8">
              <w:rPr>
                <w:sz w:val="20"/>
                <w:szCs w:val="20"/>
              </w:rPr>
              <w:t>115</w:t>
            </w:r>
          </w:p>
        </w:tc>
        <w:tc>
          <w:tcPr>
            <w:tcW w:w="8504" w:type="dxa"/>
            <w:shd w:val="clear" w:color="auto" w:fill="auto"/>
            <w:vAlign w:val="bottom"/>
          </w:tcPr>
          <w:p w14:paraId="3B05B785" w14:textId="77777777" w:rsidR="00FA366A" w:rsidRPr="002C21B8" w:rsidRDefault="00FA366A" w:rsidP="00212D46">
            <w:pPr>
              <w:spacing w:after="0" w:line="240" w:lineRule="auto"/>
              <w:rPr>
                <w:sz w:val="20"/>
                <w:szCs w:val="20"/>
              </w:rPr>
            </w:pPr>
            <w:r w:rsidRPr="002C21B8">
              <w:rPr>
                <w:sz w:val="20"/>
                <w:szCs w:val="20"/>
              </w:rPr>
              <w:t>((peptic or gastric or duodenal or stomach or oesophageal or esophageal) and ulcer*).ti.</w:t>
            </w:r>
          </w:p>
        </w:tc>
      </w:tr>
      <w:tr w:rsidR="00FA366A" w:rsidRPr="002C21B8" w14:paraId="3637A473" w14:textId="77777777" w:rsidTr="00960A9F">
        <w:trPr>
          <w:trHeight w:val="320"/>
        </w:trPr>
        <w:tc>
          <w:tcPr>
            <w:tcW w:w="701" w:type="dxa"/>
            <w:shd w:val="clear" w:color="auto" w:fill="auto"/>
            <w:vAlign w:val="center"/>
          </w:tcPr>
          <w:p w14:paraId="6A1B4008" w14:textId="77777777" w:rsidR="00FA366A" w:rsidRPr="002C21B8" w:rsidRDefault="00FA366A" w:rsidP="00212D46">
            <w:pPr>
              <w:spacing w:after="0" w:line="240" w:lineRule="auto"/>
              <w:rPr>
                <w:sz w:val="20"/>
                <w:szCs w:val="20"/>
              </w:rPr>
            </w:pPr>
            <w:r w:rsidRPr="002C21B8">
              <w:rPr>
                <w:sz w:val="20"/>
                <w:szCs w:val="20"/>
              </w:rPr>
              <w:t>116</w:t>
            </w:r>
          </w:p>
        </w:tc>
        <w:tc>
          <w:tcPr>
            <w:tcW w:w="8504" w:type="dxa"/>
            <w:shd w:val="clear" w:color="auto" w:fill="auto"/>
            <w:vAlign w:val="bottom"/>
          </w:tcPr>
          <w:p w14:paraId="32746446" w14:textId="77777777" w:rsidR="00FA366A" w:rsidRPr="002C21B8" w:rsidRDefault="00FA366A" w:rsidP="00212D46">
            <w:pPr>
              <w:spacing w:after="0" w:line="240" w:lineRule="auto"/>
              <w:rPr>
                <w:sz w:val="20"/>
                <w:szCs w:val="20"/>
              </w:rPr>
            </w:pPr>
            <w:r w:rsidRPr="002C21B8">
              <w:rPr>
                <w:sz w:val="20"/>
                <w:szCs w:val="20"/>
              </w:rPr>
              <w:t>dizziness/</w:t>
            </w:r>
          </w:p>
        </w:tc>
      </w:tr>
      <w:tr w:rsidR="00FA366A" w:rsidRPr="002C21B8" w14:paraId="1CCFF980" w14:textId="77777777" w:rsidTr="00960A9F">
        <w:trPr>
          <w:trHeight w:val="320"/>
        </w:trPr>
        <w:tc>
          <w:tcPr>
            <w:tcW w:w="701" w:type="dxa"/>
            <w:shd w:val="clear" w:color="auto" w:fill="auto"/>
            <w:vAlign w:val="center"/>
          </w:tcPr>
          <w:p w14:paraId="0FACB383" w14:textId="77777777" w:rsidR="00FA366A" w:rsidRPr="002C21B8" w:rsidRDefault="00FA366A" w:rsidP="00212D46">
            <w:pPr>
              <w:spacing w:after="0" w:line="240" w:lineRule="auto"/>
              <w:rPr>
                <w:sz w:val="20"/>
                <w:szCs w:val="20"/>
              </w:rPr>
            </w:pPr>
            <w:r w:rsidRPr="002C21B8">
              <w:rPr>
                <w:sz w:val="20"/>
                <w:szCs w:val="20"/>
              </w:rPr>
              <w:t>117</w:t>
            </w:r>
          </w:p>
        </w:tc>
        <w:tc>
          <w:tcPr>
            <w:tcW w:w="8504" w:type="dxa"/>
            <w:shd w:val="clear" w:color="auto" w:fill="auto"/>
            <w:vAlign w:val="bottom"/>
          </w:tcPr>
          <w:p w14:paraId="6F6F52FF" w14:textId="77777777" w:rsidR="00FA366A" w:rsidRPr="002C21B8" w:rsidRDefault="00FA366A" w:rsidP="00212D46">
            <w:pPr>
              <w:spacing w:after="0" w:line="240" w:lineRule="auto"/>
              <w:rPr>
                <w:sz w:val="20"/>
                <w:szCs w:val="20"/>
              </w:rPr>
            </w:pPr>
            <w:r w:rsidRPr="002C21B8">
              <w:rPr>
                <w:sz w:val="20"/>
                <w:szCs w:val="20"/>
              </w:rPr>
              <w:t>exp vertigo/</w:t>
            </w:r>
          </w:p>
        </w:tc>
      </w:tr>
      <w:tr w:rsidR="00FA366A" w:rsidRPr="002C21B8" w14:paraId="5729EDD1" w14:textId="77777777" w:rsidTr="00960A9F">
        <w:trPr>
          <w:trHeight w:val="320"/>
        </w:trPr>
        <w:tc>
          <w:tcPr>
            <w:tcW w:w="701" w:type="dxa"/>
            <w:shd w:val="clear" w:color="auto" w:fill="auto"/>
            <w:vAlign w:val="center"/>
          </w:tcPr>
          <w:p w14:paraId="71A35686" w14:textId="77777777" w:rsidR="00FA366A" w:rsidRPr="002C21B8" w:rsidRDefault="00FA366A" w:rsidP="00212D46">
            <w:pPr>
              <w:spacing w:after="0" w:line="240" w:lineRule="auto"/>
              <w:rPr>
                <w:sz w:val="20"/>
                <w:szCs w:val="20"/>
              </w:rPr>
            </w:pPr>
            <w:r w:rsidRPr="002C21B8">
              <w:rPr>
                <w:sz w:val="20"/>
                <w:szCs w:val="20"/>
              </w:rPr>
              <w:t>118</w:t>
            </w:r>
          </w:p>
        </w:tc>
        <w:tc>
          <w:tcPr>
            <w:tcW w:w="8504" w:type="dxa"/>
            <w:shd w:val="clear" w:color="auto" w:fill="auto"/>
            <w:vAlign w:val="bottom"/>
          </w:tcPr>
          <w:p w14:paraId="223B4745" w14:textId="77777777" w:rsidR="00FA366A" w:rsidRPr="002C21B8" w:rsidRDefault="00FA366A" w:rsidP="00212D46">
            <w:pPr>
              <w:spacing w:after="0" w:line="240" w:lineRule="auto"/>
              <w:rPr>
                <w:sz w:val="20"/>
                <w:szCs w:val="20"/>
              </w:rPr>
            </w:pPr>
            <w:r w:rsidRPr="002C21B8">
              <w:rPr>
                <w:sz w:val="20"/>
                <w:szCs w:val="20"/>
              </w:rPr>
              <w:t>(vestibular neuritis or benign paroxysmal positional or BPPV or acoustic neuroma or meniere* disease or labyrinthinitis or vestibular neuronitis or vertigo*).ti.</w:t>
            </w:r>
          </w:p>
        </w:tc>
      </w:tr>
      <w:tr w:rsidR="00FA366A" w:rsidRPr="002C21B8" w14:paraId="6AF98115" w14:textId="77777777" w:rsidTr="00960A9F">
        <w:trPr>
          <w:trHeight w:val="320"/>
        </w:trPr>
        <w:tc>
          <w:tcPr>
            <w:tcW w:w="701" w:type="dxa"/>
            <w:shd w:val="clear" w:color="auto" w:fill="auto"/>
            <w:vAlign w:val="center"/>
          </w:tcPr>
          <w:p w14:paraId="7E955D43" w14:textId="77777777" w:rsidR="00FA366A" w:rsidRPr="002C21B8" w:rsidRDefault="00FA366A" w:rsidP="00212D46">
            <w:pPr>
              <w:spacing w:after="0" w:line="240" w:lineRule="auto"/>
              <w:rPr>
                <w:sz w:val="20"/>
                <w:szCs w:val="20"/>
              </w:rPr>
            </w:pPr>
            <w:r w:rsidRPr="002C21B8">
              <w:rPr>
                <w:sz w:val="20"/>
                <w:szCs w:val="20"/>
              </w:rPr>
              <w:t>119</w:t>
            </w:r>
          </w:p>
        </w:tc>
        <w:tc>
          <w:tcPr>
            <w:tcW w:w="8504" w:type="dxa"/>
            <w:shd w:val="clear" w:color="auto" w:fill="auto"/>
            <w:vAlign w:val="bottom"/>
          </w:tcPr>
          <w:p w14:paraId="4327DA96" w14:textId="77777777" w:rsidR="00FA366A" w:rsidRPr="002C21B8" w:rsidRDefault="00FA366A" w:rsidP="00212D46">
            <w:pPr>
              <w:spacing w:after="0" w:line="240" w:lineRule="auto"/>
              <w:rPr>
                <w:sz w:val="20"/>
                <w:szCs w:val="20"/>
              </w:rPr>
            </w:pPr>
            <w:r w:rsidRPr="002C21B8">
              <w:rPr>
                <w:sz w:val="20"/>
                <w:szCs w:val="20"/>
              </w:rPr>
              <w:t>exp eczema/</w:t>
            </w:r>
          </w:p>
        </w:tc>
      </w:tr>
      <w:tr w:rsidR="00FA366A" w:rsidRPr="002C21B8" w14:paraId="2B305512" w14:textId="77777777" w:rsidTr="00960A9F">
        <w:trPr>
          <w:trHeight w:val="320"/>
        </w:trPr>
        <w:tc>
          <w:tcPr>
            <w:tcW w:w="701" w:type="dxa"/>
            <w:shd w:val="clear" w:color="auto" w:fill="auto"/>
            <w:vAlign w:val="center"/>
          </w:tcPr>
          <w:p w14:paraId="00DA059C" w14:textId="77777777" w:rsidR="00FA366A" w:rsidRPr="002C21B8" w:rsidRDefault="00FA366A" w:rsidP="00212D46">
            <w:pPr>
              <w:spacing w:after="0" w:line="240" w:lineRule="auto"/>
              <w:rPr>
                <w:sz w:val="20"/>
                <w:szCs w:val="20"/>
              </w:rPr>
            </w:pPr>
            <w:r w:rsidRPr="002C21B8">
              <w:rPr>
                <w:sz w:val="20"/>
                <w:szCs w:val="20"/>
              </w:rPr>
              <w:t>120</w:t>
            </w:r>
          </w:p>
        </w:tc>
        <w:tc>
          <w:tcPr>
            <w:tcW w:w="8504" w:type="dxa"/>
            <w:shd w:val="clear" w:color="auto" w:fill="auto"/>
            <w:vAlign w:val="bottom"/>
          </w:tcPr>
          <w:p w14:paraId="4715D244" w14:textId="77777777" w:rsidR="00FA366A" w:rsidRPr="002C21B8" w:rsidRDefault="00FA366A" w:rsidP="00212D46">
            <w:pPr>
              <w:spacing w:after="0" w:line="240" w:lineRule="auto"/>
              <w:rPr>
                <w:sz w:val="20"/>
                <w:szCs w:val="20"/>
                <w:lang w:val="pt-PT"/>
              </w:rPr>
            </w:pPr>
            <w:r w:rsidRPr="002C21B8">
              <w:rPr>
                <w:sz w:val="20"/>
                <w:szCs w:val="20"/>
                <w:lang w:val="pt-PT"/>
              </w:rPr>
              <w:t>(eczema or atopic eczema or atopic dermatitis).ti.</w:t>
            </w:r>
          </w:p>
        </w:tc>
      </w:tr>
      <w:tr w:rsidR="00FA366A" w:rsidRPr="002C21B8" w14:paraId="21E7F515" w14:textId="77777777" w:rsidTr="00960A9F">
        <w:trPr>
          <w:trHeight w:val="320"/>
        </w:trPr>
        <w:tc>
          <w:tcPr>
            <w:tcW w:w="701" w:type="dxa"/>
            <w:shd w:val="clear" w:color="auto" w:fill="auto"/>
            <w:vAlign w:val="center"/>
          </w:tcPr>
          <w:p w14:paraId="783C54B9" w14:textId="77777777" w:rsidR="00FA366A" w:rsidRPr="002C21B8" w:rsidRDefault="00FA366A" w:rsidP="00212D46">
            <w:pPr>
              <w:spacing w:after="0" w:line="240" w:lineRule="auto"/>
              <w:rPr>
                <w:sz w:val="20"/>
                <w:szCs w:val="20"/>
              </w:rPr>
            </w:pPr>
            <w:r w:rsidRPr="002C21B8">
              <w:rPr>
                <w:sz w:val="20"/>
                <w:szCs w:val="20"/>
              </w:rPr>
              <w:t>121</w:t>
            </w:r>
          </w:p>
        </w:tc>
        <w:tc>
          <w:tcPr>
            <w:tcW w:w="8504" w:type="dxa"/>
            <w:shd w:val="clear" w:color="auto" w:fill="auto"/>
            <w:vAlign w:val="bottom"/>
          </w:tcPr>
          <w:p w14:paraId="3D8B3E75" w14:textId="77777777" w:rsidR="00FA366A" w:rsidRPr="002C21B8" w:rsidRDefault="00FA366A" w:rsidP="00212D46">
            <w:pPr>
              <w:spacing w:after="0" w:line="240" w:lineRule="auto"/>
              <w:rPr>
                <w:sz w:val="20"/>
                <w:szCs w:val="20"/>
              </w:rPr>
            </w:pPr>
            <w:r w:rsidRPr="002C21B8">
              <w:rPr>
                <w:sz w:val="20"/>
                <w:szCs w:val="20"/>
              </w:rPr>
              <w:t>exp endocrine system diseases/</w:t>
            </w:r>
          </w:p>
        </w:tc>
      </w:tr>
      <w:tr w:rsidR="00FA366A" w:rsidRPr="002C21B8" w14:paraId="7E6EC7C9" w14:textId="77777777" w:rsidTr="00960A9F">
        <w:trPr>
          <w:trHeight w:val="320"/>
        </w:trPr>
        <w:tc>
          <w:tcPr>
            <w:tcW w:w="701" w:type="dxa"/>
            <w:shd w:val="clear" w:color="auto" w:fill="auto"/>
            <w:vAlign w:val="center"/>
          </w:tcPr>
          <w:p w14:paraId="5AB1F3A7" w14:textId="77777777" w:rsidR="00FA366A" w:rsidRPr="002C21B8" w:rsidRDefault="00FA366A" w:rsidP="00212D46">
            <w:pPr>
              <w:spacing w:after="0" w:line="240" w:lineRule="auto"/>
              <w:rPr>
                <w:sz w:val="20"/>
                <w:szCs w:val="20"/>
              </w:rPr>
            </w:pPr>
            <w:r w:rsidRPr="002C21B8">
              <w:rPr>
                <w:sz w:val="20"/>
                <w:szCs w:val="20"/>
              </w:rPr>
              <w:t>122</w:t>
            </w:r>
          </w:p>
        </w:tc>
        <w:tc>
          <w:tcPr>
            <w:tcW w:w="8504" w:type="dxa"/>
            <w:shd w:val="clear" w:color="auto" w:fill="auto"/>
            <w:vAlign w:val="bottom"/>
          </w:tcPr>
          <w:p w14:paraId="77DD4361" w14:textId="53D29204" w:rsidR="00FA366A" w:rsidRPr="002C21B8" w:rsidRDefault="00FA366A" w:rsidP="00212D46">
            <w:pPr>
              <w:spacing w:after="0" w:line="240" w:lineRule="auto"/>
              <w:rPr>
                <w:sz w:val="20"/>
                <w:szCs w:val="20"/>
              </w:rPr>
            </w:pPr>
            <w:r w:rsidRPr="002C21B8">
              <w:rPr>
                <w:sz w:val="20"/>
                <w:szCs w:val="20"/>
              </w:rPr>
              <w:t>(thyrotoxicosis* or hyperthyroid* or hypothyroid* or hypogonad* or cushing* syndrome or cushing disease or acromegaly or congenital ad</w:t>
            </w:r>
            <w:r w:rsidR="000F1C32" w:rsidRPr="002C21B8">
              <w:rPr>
                <w:sz w:val="20"/>
                <w:szCs w:val="20"/>
              </w:rPr>
              <w:t>renal</w:t>
            </w:r>
            <w:r w:rsidRPr="002C21B8">
              <w:rPr>
                <w:sz w:val="20"/>
                <w:szCs w:val="20"/>
              </w:rPr>
              <w:t xml:space="preserve"> hyperplasi*).ti.</w:t>
            </w:r>
          </w:p>
        </w:tc>
      </w:tr>
      <w:tr w:rsidR="00FA366A" w:rsidRPr="002C21B8" w14:paraId="79C2B30A" w14:textId="77777777" w:rsidTr="00960A9F">
        <w:trPr>
          <w:trHeight w:val="320"/>
        </w:trPr>
        <w:tc>
          <w:tcPr>
            <w:tcW w:w="701" w:type="dxa"/>
            <w:shd w:val="clear" w:color="auto" w:fill="auto"/>
            <w:vAlign w:val="center"/>
          </w:tcPr>
          <w:p w14:paraId="7AF36B44" w14:textId="77777777" w:rsidR="00FA366A" w:rsidRPr="002C21B8" w:rsidRDefault="00FA366A" w:rsidP="00212D46">
            <w:pPr>
              <w:spacing w:after="0" w:line="240" w:lineRule="auto"/>
              <w:rPr>
                <w:sz w:val="20"/>
                <w:szCs w:val="20"/>
              </w:rPr>
            </w:pPr>
            <w:r w:rsidRPr="002C21B8">
              <w:rPr>
                <w:sz w:val="20"/>
                <w:szCs w:val="20"/>
              </w:rPr>
              <w:t>123</w:t>
            </w:r>
          </w:p>
        </w:tc>
        <w:tc>
          <w:tcPr>
            <w:tcW w:w="8504" w:type="dxa"/>
            <w:shd w:val="clear" w:color="auto" w:fill="auto"/>
            <w:vAlign w:val="bottom"/>
          </w:tcPr>
          <w:p w14:paraId="67671CA4" w14:textId="77777777" w:rsidR="00FA366A" w:rsidRPr="002C21B8" w:rsidRDefault="00FA366A" w:rsidP="00212D46">
            <w:pPr>
              <w:spacing w:after="0" w:line="240" w:lineRule="auto"/>
              <w:rPr>
                <w:sz w:val="20"/>
                <w:szCs w:val="20"/>
              </w:rPr>
            </w:pPr>
            <w:r w:rsidRPr="002C21B8">
              <w:rPr>
                <w:sz w:val="20"/>
                <w:szCs w:val="20"/>
              </w:rPr>
              <w:t>fibromyalgia/</w:t>
            </w:r>
          </w:p>
        </w:tc>
      </w:tr>
      <w:tr w:rsidR="00FA366A" w:rsidRPr="002C21B8" w14:paraId="1DF9F80A" w14:textId="77777777" w:rsidTr="00960A9F">
        <w:trPr>
          <w:trHeight w:val="320"/>
        </w:trPr>
        <w:tc>
          <w:tcPr>
            <w:tcW w:w="701" w:type="dxa"/>
            <w:shd w:val="clear" w:color="auto" w:fill="auto"/>
            <w:vAlign w:val="center"/>
          </w:tcPr>
          <w:p w14:paraId="3D5B8350" w14:textId="77777777" w:rsidR="00FA366A" w:rsidRPr="002C21B8" w:rsidRDefault="00FA366A" w:rsidP="00212D46">
            <w:pPr>
              <w:spacing w:after="0" w:line="240" w:lineRule="auto"/>
              <w:rPr>
                <w:sz w:val="20"/>
                <w:szCs w:val="20"/>
              </w:rPr>
            </w:pPr>
            <w:r w:rsidRPr="002C21B8">
              <w:rPr>
                <w:sz w:val="20"/>
                <w:szCs w:val="20"/>
              </w:rPr>
              <w:t>124</w:t>
            </w:r>
          </w:p>
        </w:tc>
        <w:tc>
          <w:tcPr>
            <w:tcW w:w="8504" w:type="dxa"/>
            <w:shd w:val="clear" w:color="auto" w:fill="auto"/>
            <w:vAlign w:val="bottom"/>
          </w:tcPr>
          <w:p w14:paraId="7AC9777D" w14:textId="77777777" w:rsidR="00FA366A" w:rsidRPr="002C21B8" w:rsidRDefault="00FA366A" w:rsidP="00212D46">
            <w:pPr>
              <w:spacing w:after="0" w:line="240" w:lineRule="auto"/>
              <w:rPr>
                <w:sz w:val="20"/>
                <w:szCs w:val="20"/>
              </w:rPr>
            </w:pPr>
            <w:r w:rsidRPr="002C21B8">
              <w:rPr>
                <w:sz w:val="20"/>
                <w:szCs w:val="20"/>
              </w:rPr>
              <w:t>(fibromyositis syndrom* or pain syndrome or fibromyalgia syndrom* or fibromyalgia* or fibrositi* or fibromyositis or rheumatism or diffuse myofascial).ti.</w:t>
            </w:r>
          </w:p>
        </w:tc>
      </w:tr>
      <w:tr w:rsidR="00FA366A" w:rsidRPr="002C21B8" w14:paraId="12CAA886" w14:textId="77777777" w:rsidTr="00960A9F">
        <w:trPr>
          <w:trHeight w:val="320"/>
        </w:trPr>
        <w:tc>
          <w:tcPr>
            <w:tcW w:w="701" w:type="dxa"/>
            <w:shd w:val="clear" w:color="auto" w:fill="auto"/>
            <w:vAlign w:val="center"/>
          </w:tcPr>
          <w:p w14:paraId="19AD5441" w14:textId="77777777" w:rsidR="00FA366A" w:rsidRPr="002C21B8" w:rsidRDefault="00FA366A" w:rsidP="00212D46">
            <w:pPr>
              <w:spacing w:after="0" w:line="240" w:lineRule="auto"/>
              <w:rPr>
                <w:sz w:val="20"/>
                <w:szCs w:val="20"/>
              </w:rPr>
            </w:pPr>
            <w:r w:rsidRPr="002C21B8">
              <w:rPr>
                <w:sz w:val="20"/>
                <w:szCs w:val="20"/>
              </w:rPr>
              <w:t>125</w:t>
            </w:r>
          </w:p>
        </w:tc>
        <w:tc>
          <w:tcPr>
            <w:tcW w:w="8504" w:type="dxa"/>
            <w:shd w:val="clear" w:color="auto" w:fill="auto"/>
            <w:vAlign w:val="bottom"/>
          </w:tcPr>
          <w:p w14:paraId="2985F311" w14:textId="77777777" w:rsidR="00FA366A" w:rsidRPr="002C21B8" w:rsidRDefault="00FA366A" w:rsidP="00212D46">
            <w:pPr>
              <w:spacing w:after="0" w:line="240" w:lineRule="auto"/>
              <w:rPr>
                <w:sz w:val="20"/>
                <w:szCs w:val="20"/>
              </w:rPr>
            </w:pPr>
            <w:r w:rsidRPr="002C21B8">
              <w:rPr>
                <w:sz w:val="20"/>
                <w:szCs w:val="20"/>
              </w:rPr>
              <w:t>exp gout/</w:t>
            </w:r>
          </w:p>
        </w:tc>
      </w:tr>
      <w:tr w:rsidR="00FA366A" w:rsidRPr="002C21B8" w14:paraId="0FB6F084" w14:textId="77777777" w:rsidTr="00960A9F">
        <w:trPr>
          <w:trHeight w:val="320"/>
        </w:trPr>
        <w:tc>
          <w:tcPr>
            <w:tcW w:w="701" w:type="dxa"/>
            <w:shd w:val="clear" w:color="auto" w:fill="auto"/>
            <w:vAlign w:val="center"/>
          </w:tcPr>
          <w:p w14:paraId="03AFCBE3" w14:textId="77777777" w:rsidR="00FA366A" w:rsidRPr="002C21B8" w:rsidRDefault="00FA366A" w:rsidP="00212D46">
            <w:pPr>
              <w:spacing w:after="0" w:line="240" w:lineRule="auto"/>
              <w:rPr>
                <w:sz w:val="20"/>
                <w:szCs w:val="20"/>
              </w:rPr>
            </w:pPr>
            <w:r w:rsidRPr="002C21B8">
              <w:rPr>
                <w:sz w:val="20"/>
                <w:szCs w:val="20"/>
              </w:rPr>
              <w:t>126</w:t>
            </w:r>
          </w:p>
        </w:tc>
        <w:tc>
          <w:tcPr>
            <w:tcW w:w="8504" w:type="dxa"/>
            <w:shd w:val="clear" w:color="auto" w:fill="auto"/>
            <w:vAlign w:val="bottom"/>
          </w:tcPr>
          <w:p w14:paraId="0A2D8794" w14:textId="77777777" w:rsidR="00FA366A" w:rsidRPr="002C21B8" w:rsidRDefault="00FA366A" w:rsidP="00212D46">
            <w:pPr>
              <w:spacing w:after="0" w:line="240" w:lineRule="auto"/>
              <w:rPr>
                <w:sz w:val="20"/>
                <w:szCs w:val="20"/>
              </w:rPr>
            </w:pPr>
            <w:r w:rsidRPr="002C21B8">
              <w:rPr>
                <w:sz w:val="20"/>
                <w:szCs w:val="20"/>
              </w:rPr>
              <w:t>(gout or gouty arthriti* or toph* or podagra or pseudogout).ti.</w:t>
            </w:r>
          </w:p>
        </w:tc>
      </w:tr>
      <w:tr w:rsidR="00FA366A" w:rsidRPr="002C21B8" w14:paraId="6868245E" w14:textId="77777777" w:rsidTr="00960A9F">
        <w:trPr>
          <w:trHeight w:val="320"/>
        </w:trPr>
        <w:tc>
          <w:tcPr>
            <w:tcW w:w="701" w:type="dxa"/>
            <w:shd w:val="clear" w:color="auto" w:fill="auto"/>
            <w:vAlign w:val="center"/>
          </w:tcPr>
          <w:p w14:paraId="7835B0D2" w14:textId="77777777" w:rsidR="00FA366A" w:rsidRPr="002C21B8" w:rsidRDefault="00FA366A" w:rsidP="00212D46">
            <w:pPr>
              <w:spacing w:after="0" w:line="240" w:lineRule="auto"/>
              <w:rPr>
                <w:sz w:val="20"/>
                <w:szCs w:val="20"/>
              </w:rPr>
            </w:pPr>
            <w:r w:rsidRPr="002C21B8">
              <w:rPr>
                <w:sz w:val="20"/>
                <w:szCs w:val="20"/>
              </w:rPr>
              <w:t>127</w:t>
            </w:r>
          </w:p>
        </w:tc>
        <w:tc>
          <w:tcPr>
            <w:tcW w:w="8504" w:type="dxa"/>
            <w:shd w:val="clear" w:color="auto" w:fill="auto"/>
            <w:vAlign w:val="bottom"/>
          </w:tcPr>
          <w:p w14:paraId="3ECD6352" w14:textId="77777777" w:rsidR="00FA366A" w:rsidRPr="002C21B8" w:rsidRDefault="00FA366A" w:rsidP="00212D46">
            <w:pPr>
              <w:spacing w:after="0" w:line="240" w:lineRule="auto"/>
              <w:rPr>
                <w:sz w:val="20"/>
                <w:szCs w:val="20"/>
              </w:rPr>
            </w:pPr>
            <w:r w:rsidRPr="002C21B8">
              <w:rPr>
                <w:sz w:val="20"/>
                <w:szCs w:val="20"/>
              </w:rPr>
              <w:t>exp blood coagulation disorders/</w:t>
            </w:r>
          </w:p>
        </w:tc>
      </w:tr>
      <w:tr w:rsidR="00FA366A" w:rsidRPr="002C21B8" w14:paraId="6077432D" w14:textId="77777777" w:rsidTr="00960A9F">
        <w:trPr>
          <w:trHeight w:val="320"/>
        </w:trPr>
        <w:tc>
          <w:tcPr>
            <w:tcW w:w="701" w:type="dxa"/>
            <w:shd w:val="clear" w:color="auto" w:fill="auto"/>
            <w:vAlign w:val="center"/>
          </w:tcPr>
          <w:p w14:paraId="7E481358" w14:textId="77777777" w:rsidR="00FA366A" w:rsidRPr="002C21B8" w:rsidRDefault="00FA366A" w:rsidP="00212D46">
            <w:pPr>
              <w:spacing w:after="0" w:line="240" w:lineRule="auto"/>
              <w:rPr>
                <w:sz w:val="20"/>
                <w:szCs w:val="20"/>
              </w:rPr>
            </w:pPr>
            <w:r w:rsidRPr="002C21B8">
              <w:rPr>
                <w:sz w:val="20"/>
                <w:szCs w:val="20"/>
              </w:rPr>
              <w:t>128</w:t>
            </w:r>
          </w:p>
        </w:tc>
        <w:tc>
          <w:tcPr>
            <w:tcW w:w="8504" w:type="dxa"/>
            <w:shd w:val="clear" w:color="auto" w:fill="auto"/>
            <w:vAlign w:val="bottom"/>
          </w:tcPr>
          <w:p w14:paraId="2E1B1812" w14:textId="77777777" w:rsidR="00FA366A" w:rsidRPr="002C21B8" w:rsidRDefault="00FA366A" w:rsidP="00212D46">
            <w:pPr>
              <w:spacing w:after="0" w:line="240" w:lineRule="auto"/>
              <w:rPr>
                <w:sz w:val="20"/>
                <w:szCs w:val="20"/>
              </w:rPr>
            </w:pPr>
            <w:r w:rsidRPr="002C21B8">
              <w:rPr>
                <w:sz w:val="20"/>
                <w:szCs w:val="20"/>
              </w:rPr>
              <w:t>(h?emophili* or von willebrand disease or clotting factor deficiency or clotting factor disease or hypercoagulable or thrombophilia).ti.</w:t>
            </w:r>
          </w:p>
        </w:tc>
      </w:tr>
      <w:tr w:rsidR="00FA366A" w:rsidRPr="002C21B8" w14:paraId="191B5641" w14:textId="77777777" w:rsidTr="00960A9F">
        <w:trPr>
          <w:trHeight w:val="320"/>
        </w:trPr>
        <w:tc>
          <w:tcPr>
            <w:tcW w:w="701" w:type="dxa"/>
            <w:shd w:val="clear" w:color="auto" w:fill="auto"/>
            <w:vAlign w:val="center"/>
          </w:tcPr>
          <w:p w14:paraId="5A5910FA" w14:textId="77777777" w:rsidR="00FA366A" w:rsidRPr="002C21B8" w:rsidRDefault="00FA366A" w:rsidP="00212D46">
            <w:pPr>
              <w:spacing w:after="0" w:line="240" w:lineRule="auto"/>
              <w:rPr>
                <w:sz w:val="20"/>
                <w:szCs w:val="20"/>
              </w:rPr>
            </w:pPr>
            <w:r w:rsidRPr="002C21B8">
              <w:rPr>
                <w:sz w:val="20"/>
                <w:szCs w:val="20"/>
              </w:rPr>
              <w:t>129</w:t>
            </w:r>
          </w:p>
        </w:tc>
        <w:tc>
          <w:tcPr>
            <w:tcW w:w="8504" w:type="dxa"/>
            <w:shd w:val="clear" w:color="auto" w:fill="auto"/>
            <w:vAlign w:val="bottom"/>
          </w:tcPr>
          <w:p w14:paraId="25ED3BC9" w14:textId="77777777" w:rsidR="00FA366A" w:rsidRPr="002C21B8" w:rsidRDefault="00FA366A" w:rsidP="00212D46">
            <w:pPr>
              <w:spacing w:after="0" w:line="240" w:lineRule="auto"/>
              <w:rPr>
                <w:sz w:val="20"/>
                <w:szCs w:val="20"/>
              </w:rPr>
            </w:pPr>
            <w:r w:rsidRPr="002C21B8">
              <w:rPr>
                <w:sz w:val="20"/>
                <w:szCs w:val="20"/>
              </w:rPr>
              <w:t>exp learning disabilities/</w:t>
            </w:r>
          </w:p>
        </w:tc>
      </w:tr>
      <w:tr w:rsidR="00FA366A" w:rsidRPr="002C21B8" w14:paraId="20208340" w14:textId="77777777" w:rsidTr="00960A9F">
        <w:trPr>
          <w:trHeight w:val="320"/>
        </w:trPr>
        <w:tc>
          <w:tcPr>
            <w:tcW w:w="701" w:type="dxa"/>
            <w:shd w:val="clear" w:color="auto" w:fill="auto"/>
            <w:vAlign w:val="center"/>
          </w:tcPr>
          <w:p w14:paraId="48C8B2FC" w14:textId="77777777" w:rsidR="00FA366A" w:rsidRPr="002C21B8" w:rsidRDefault="00FA366A" w:rsidP="00212D46">
            <w:pPr>
              <w:spacing w:after="0" w:line="240" w:lineRule="auto"/>
              <w:rPr>
                <w:sz w:val="20"/>
                <w:szCs w:val="20"/>
              </w:rPr>
            </w:pPr>
            <w:r w:rsidRPr="002C21B8">
              <w:rPr>
                <w:sz w:val="20"/>
                <w:szCs w:val="20"/>
              </w:rPr>
              <w:t>130</w:t>
            </w:r>
          </w:p>
        </w:tc>
        <w:tc>
          <w:tcPr>
            <w:tcW w:w="8504" w:type="dxa"/>
            <w:shd w:val="clear" w:color="auto" w:fill="auto"/>
            <w:vAlign w:val="bottom"/>
          </w:tcPr>
          <w:p w14:paraId="5687504D" w14:textId="77777777" w:rsidR="00FA366A" w:rsidRPr="002C21B8" w:rsidRDefault="00FA366A" w:rsidP="00212D46">
            <w:pPr>
              <w:spacing w:after="0" w:line="240" w:lineRule="auto"/>
              <w:rPr>
                <w:sz w:val="20"/>
                <w:szCs w:val="20"/>
              </w:rPr>
            </w:pPr>
            <w:r w:rsidRPr="002C21B8">
              <w:rPr>
                <w:sz w:val="20"/>
                <w:szCs w:val="20"/>
              </w:rPr>
              <w:t>(((learning or intellectual) and (disabilit* or disorder or impairment or difficulties)) or special needs).ti.</w:t>
            </w:r>
          </w:p>
        </w:tc>
      </w:tr>
      <w:tr w:rsidR="00FA366A" w:rsidRPr="002C21B8" w14:paraId="2D22886F" w14:textId="77777777" w:rsidTr="00960A9F">
        <w:trPr>
          <w:trHeight w:val="320"/>
        </w:trPr>
        <w:tc>
          <w:tcPr>
            <w:tcW w:w="701" w:type="dxa"/>
            <w:shd w:val="clear" w:color="auto" w:fill="auto"/>
            <w:vAlign w:val="center"/>
          </w:tcPr>
          <w:p w14:paraId="1A57E999" w14:textId="77777777" w:rsidR="00FA366A" w:rsidRPr="002C21B8" w:rsidRDefault="00FA366A" w:rsidP="00212D46">
            <w:pPr>
              <w:spacing w:after="0" w:line="240" w:lineRule="auto"/>
              <w:rPr>
                <w:sz w:val="20"/>
                <w:szCs w:val="20"/>
              </w:rPr>
            </w:pPr>
            <w:r w:rsidRPr="002C21B8">
              <w:rPr>
                <w:sz w:val="20"/>
                <w:szCs w:val="20"/>
              </w:rPr>
              <w:t>131</w:t>
            </w:r>
          </w:p>
        </w:tc>
        <w:tc>
          <w:tcPr>
            <w:tcW w:w="8504" w:type="dxa"/>
            <w:shd w:val="clear" w:color="auto" w:fill="auto"/>
            <w:vAlign w:val="bottom"/>
          </w:tcPr>
          <w:p w14:paraId="39A940AA" w14:textId="77777777" w:rsidR="00FA366A" w:rsidRPr="002C21B8" w:rsidRDefault="00FA366A" w:rsidP="00212D46">
            <w:pPr>
              <w:spacing w:after="0" w:line="240" w:lineRule="auto"/>
              <w:rPr>
                <w:sz w:val="20"/>
                <w:szCs w:val="20"/>
              </w:rPr>
            </w:pPr>
            <w:r w:rsidRPr="002C21B8">
              <w:rPr>
                <w:sz w:val="20"/>
                <w:szCs w:val="20"/>
              </w:rPr>
              <w:t>exp pulmonary fibrosis/</w:t>
            </w:r>
          </w:p>
        </w:tc>
      </w:tr>
      <w:tr w:rsidR="00FA366A" w:rsidRPr="002C21B8" w14:paraId="22D9F761" w14:textId="77777777" w:rsidTr="00960A9F">
        <w:trPr>
          <w:trHeight w:val="320"/>
        </w:trPr>
        <w:tc>
          <w:tcPr>
            <w:tcW w:w="701" w:type="dxa"/>
            <w:shd w:val="clear" w:color="auto" w:fill="auto"/>
            <w:vAlign w:val="center"/>
          </w:tcPr>
          <w:p w14:paraId="20D8D987" w14:textId="77777777" w:rsidR="00FA366A" w:rsidRPr="002C21B8" w:rsidRDefault="00FA366A" w:rsidP="00212D46">
            <w:pPr>
              <w:spacing w:after="0" w:line="240" w:lineRule="auto"/>
              <w:rPr>
                <w:sz w:val="20"/>
                <w:szCs w:val="20"/>
              </w:rPr>
            </w:pPr>
            <w:r w:rsidRPr="002C21B8">
              <w:rPr>
                <w:sz w:val="20"/>
                <w:szCs w:val="20"/>
              </w:rPr>
              <w:t>132</w:t>
            </w:r>
          </w:p>
        </w:tc>
        <w:tc>
          <w:tcPr>
            <w:tcW w:w="8504" w:type="dxa"/>
            <w:shd w:val="clear" w:color="auto" w:fill="auto"/>
            <w:vAlign w:val="bottom"/>
          </w:tcPr>
          <w:p w14:paraId="3A1DC34B" w14:textId="77777777" w:rsidR="00FA366A" w:rsidRPr="002C21B8" w:rsidRDefault="00FA366A" w:rsidP="00212D46">
            <w:pPr>
              <w:spacing w:after="0" w:line="240" w:lineRule="auto"/>
              <w:rPr>
                <w:sz w:val="20"/>
                <w:szCs w:val="20"/>
              </w:rPr>
            </w:pPr>
            <w:r w:rsidRPr="002C21B8">
              <w:rPr>
                <w:sz w:val="20"/>
                <w:szCs w:val="20"/>
              </w:rPr>
              <w:t>((cryptogenic or idiopathic) adj fibrosing alveoliti*).ti.</w:t>
            </w:r>
          </w:p>
        </w:tc>
      </w:tr>
      <w:tr w:rsidR="00FA366A" w:rsidRPr="002C21B8" w14:paraId="2388EB2D" w14:textId="77777777" w:rsidTr="00960A9F">
        <w:trPr>
          <w:trHeight w:val="320"/>
        </w:trPr>
        <w:tc>
          <w:tcPr>
            <w:tcW w:w="701" w:type="dxa"/>
            <w:shd w:val="clear" w:color="auto" w:fill="auto"/>
            <w:vAlign w:val="center"/>
          </w:tcPr>
          <w:p w14:paraId="1EF403A1" w14:textId="77777777" w:rsidR="00FA366A" w:rsidRPr="002C21B8" w:rsidRDefault="00FA366A" w:rsidP="00212D46">
            <w:pPr>
              <w:spacing w:after="0" w:line="240" w:lineRule="auto"/>
              <w:rPr>
                <w:sz w:val="20"/>
                <w:szCs w:val="20"/>
              </w:rPr>
            </w:pPr>
            <w:r w:rsidRPr="002C21B8">
              <w:rPr>
                <w:sz w:val="20"/>
                <w:szCs w:val="20"/>
              </w:rPr>
              <w:t>133</w:t>
            </w:r>
          </w:p>
        </w:tc>
        <w:tc>
          <w:tcPr>
            <w:tcW w:w="8504" w:type="dxa"/>
            <w:shd w:val="clear" w:color="auto" w:fill="auto"/>
            <w:vAlign w:val="bottom"/>
          </w:tcPr>
          <w:p w14:paraId="123C0498" w14:textId="77777777" w:rsidR="00FA366A" w:rsidRPr="002C21B8" w:rsidRDefault="00FA366A" w:rsidP="00212D46">
            <w:pPr>
              <w:spacing w:after="0" w:line="240" w:lineRule="auto"/>
              <w:rPr>
                <w:sz w:val="20"/>
                <w:szCs w:val="20"/>
              </w:rPr>
            </w:pPr>
            <w:r w:rsidRPr="002C21B8">
              <w:rPr>
                <w:sz w:val="20"/>
                <w:szCs w:val="20"/>
              </w:rPr>
              <w:t>(fibrocystic pulmonary dysplasia or idiopathic pulmon* fibros*).ti.</w:t>
            </w:r>
          </w:p>
        </w:tc>
      </w:tr>
      <w:tr w:rsidR="00FA366A" w:rsidRPr="002C21B8" w14:paraId="7C083B8B" w14:textId="77777777" w:rsidTr="00960A9F">
        <w:trPr>
          <w:trHeight w:val="320"/>
        </w:trPr>
        <w:tc>
          <w:tcPr>
            <w:tcW w:w="701" w:type="dxa"/>
            <w:shd w:val="clear" w:color="auto" w:fill="auto"/>
            <w:vAlign w:val="center"/>
          </w:tcPr>
          <w:p w14:paraId="56B2DA6A" w14:textId="77777777" w:rsidR="00FA366A" w:rsidRPr="002C21B8" w:rsidRDefault="00FA366A" w:rsidP="00212D46">
            <w:pPr>
              <w:spacing w:after="0" w:line="240" w:lineRule="auto"/>
              <w:rPr>
                <w:sz w:val="20"/>
                <w:szCs w:val="20"/>
              </w:rPr>
            </w:pPr>
            <w:r w:rsidRPr="002C21B8">
              <w:rPr>
                <w:sz w:val="20"/>
                <w:szCs w:val="20"/>
              </w:rPr>
              <w:t>134</w:t>
            </w:r>
          </w:p>
        </w:tc>
        <w:tc>
          <w:tcPr>
            <w:tcW w:w="8504" w:type="dxa"/>
            <w:shd w:val="clear" w:color="auto" w:fill="auto"/>
            <w:vAlign w:val="bottom"/>
          </w:tcPr>
          <w:p w14:paraId="2671EFC6" w14:textId="77777777" w:rsidR="00FA366A" w:rsidRPr="002C21B8" w:rsidRDefault="00FA366A" w:rsidP="00212D46">
            <w:pPr>
              <w:spacing w:after="0" w:line="240" w:lineRule="auto"/>
              <w:rPr>
                <w:sz w:val="20"/>
                <w:szCs w:val="20"/>
              </w:rPr>
            </w:pPr>
            <w:r w:rsidRPr="002C21B8">
              <w:rPr>
                <w:sz w:val="20"/>
                <w:szCs w:val="20"/>
              </w:rPr>
              <w:t>exp lupus erythematosus, systemic/</w:t>
            </w:r>
          </w:p>
        </w:tc>
      </w:tr>
      <w:tr w:rsidR="00FA366A" w:rsidRPr="002C21B8" w14:paraId="27CDB05F" w14:textId="77777777" w:rsidTr="00960A9F">
        <w:trPr>
          <w:trHeight w:val="320"/>
        </w:trPr>
        <w:tc>
          <w:tcPr>
            <w:tcW w:w="701" w:type="dxa"/>
            <w:shd w:val="clear" w:color="auto" w:fill="auto"/>
            <w:vAlign w:val="center"/>
          </w:tcPr>
          <w:p w14:paraId="62E141AC" w14:textId="77777777" w:rsidR="00FA366A" w:rsidRPr="002C21B8" w:rsidRDefault="00FA366A" w:rsidP="00212D46">
            <w:pPr>
              <w:spacing w:after="0" w:line="240" w:lineRule="auto"/>
              <w:rPr>
                <w:sz w:val="20"/>
                <w:szCs w:val="20"/>
              </w:rPr>
            </w:pPr>
            <w:r w:rsidRPr="002C21B8">
              <w:rPr>
                <w:sz w:val="20"/>
                <w:szCs w:val="20"/>
              </w:rPr>
              <w:t>135</w:t>
            </w:r>
          </w:p>
        </w:tc>
        <w:tc>
          <w:tcPr>
            <w:tcW w:w="8504" w:type="dxa"/>
            <w:shd w:val="clear" w:color="auto" w:fill="auto"/>
            <w:vAlign w:val="bottom"/>
          </w:tcPr>
          <w:p w14:paraId="76A15F30" w14:textId="77777777" w:rsidR="00FA366A" w:rsidRPr="002C21B8" w:rsidRDefault="00FA366A" w:rsidP="00212D46">
            <w:pPr>
              <w:spacing w:after="0" w:line="240" w:lineRule="auto"/>
              <w:rPr>
                <w:sz w:val="20"/>
                <w:szCs w:val="20"/>
              </w:rPr>
            </w:pPr>
            <w:r w:rsidRPr="002C21B8">
              <w:rPr>
                <w:sz w:val="20"/>
                <w:szCs w:val="20"/>
              </w:rPr>
              <w:t>(lupus or SLE).ti.</w:t>
            </w:r>
          </w:p>
        </w:tc>
      </w:tr>
      <w:tr w:rsidR="00FA366A" w:rsidRPr="002C21B8" w14:paraId="2980073F" w14:textId="77777777" w:rsidTr="00960A9F">
        <w:trPr>
          <w:trHeight w:val="320"/>
        </w:trPr>
        <w:tc>
          <w:tcPr>
            <w:tcW w:w="701" w:type="dxa"/>
            <w:shd w:val="clear" w:color="auto" w:fill="auto"/>
            <w:vAlign w:val="center"/>
          </w:tcPr>
          <w:p w14:paraId="18F3F0A0" w14:textId="77777777" w:rsidR="00FA366A" w:rsidRPr="002C21B8" w:rsidRDefault="00FA366A" w:rsidP="00212D46">
            <w:pPr>
              <w:spacing w:after="0" w:line="240" w:lineRule="auto"/>
              <w:rPr>
                <w:sz w:val="20"/>
                <w:szCs w:val="20"/>
              </w:rPr>
            </w:pPr>
            <w:r w:rsidRPr="002C21B8">
              <w:rPr>
                <w:sz w:val="20"/>
                <w:szCs w:val="20"/>
              </w:rPr>
              <w:t>136</w:t>
            </w:r>
          </w:p>
        </w:tc>
        <w:tc>
          <w:tcPr>
            <w:tcW w:w="8504" w:type="dxa"/>
            <w:shd w:val="clear" w:color="auto" w:fill="auto"/>
            <w:vAlign w:val="bottom"/>
          </w:tcPr>
          <w:p w14:paraId="6162E1DF" w14:textId="77777777" w:rsidR="00FA366A" w:rsidRPr="002C21B8" w:rsidRDefault="00FA366A" w:rsidP="00212D46">
            <w:pPr>
              <w:spacing w:after="0" w:line="240" w:lineRule="auto"/>
              <w:rPr>
                <w:sz w:val="20"/>
                <w:szCs w:val="20"/>
              </w:rPr>
            </w:pPr>
            <w:r w:rsidRPr="002C21B8">
              <w:rPr>
                <w:sz w:val="20"/>
                <w:szCs w:val="20"/>
              </w:rPr>
              <w:t>exp malaria/</w:t>
            </w:r>
          </w:p>
        </w:tc>
      </w:tr>
      <w:tr w:rsidR="00FA366A" w:rsidRPr="002C21B8" w14:paraId="53442375" w14:textId="77777777" w:rsidTr="00960A9F">
        <w:trPr>
          <w:trHeight w:val="320"/>
        </w:trPr>
        <w:tc>
          <w:tcPr>
            <w:tcW w:w="701" w:type="dxa"/>
            <w:shd w:val="clear" w:color="auto" w:fill="auto"/>
            <w:vAlign w:val="center"/>
          </w:tcPr>
          <w:p w14:paraId="2FA2D08F" w14:textId="77777777" w:rsidR="00FA366A" w:rsidRPr="002C21B8" w:rsidRDefault="00FA366A" w:rsidP="00212D46">
            <w:pPr>
              <w:spacing w:after="0" w:line="240" w:lineRule="auto"/>
              <w:rPr>
                <w:sz w:val="20"/>
                <w:szCs w:val="20"/>
              </w:rPr>
            </w:pPr>
            <w:r w:rsidRPr="002C21B8">
              <w:rPr>
                <w:sz w:val="20"/>
                <w:szCs w:val="20"/>
              </w:rPr>
              <w:t>137</w:t>
            </w:r>
          </w:p>
        </w:tc>
        <w:tc>
          <w:tcPr>
            <w:tcW w:w="8504" w:type="dxa"/>
            <w:shd w:val="clear" w:color="auto" w:fill="auto"/>
            <w:vAlign w:val="bottom"/>
          </w:tcPr>
          <w:p w14:paraId="1427BB2B" w14:textId="77777777" w:rsidR="00FA366A" w:rsidRPr="002C21B8" w:rsidRDefault="00FA366A" w:rsidP="00212D46">
            <w:pPr>
              <w:spacing w:after="0" w:line="240" w:lineRule="auto"/>
              <w:rPr>
                <w:sz w:val="20"/>
                <w:szCs w:val="20"/>
              </w:rPr>
            </w:pPr>
            <w:r w:rsidRPr="002C21B8">
              <w:rPr>
                <w:sz w:val="20"/>
                <w:szCs w:val="20"/>
              </w:rPr>
              <w:t>(malaria or plasmodium).ti.</w:t>
            </w:r>
          </w:p>
        </w:tc>
      </w:tr>
      <w:tr w:rsidR="00FA366A" w:rsidRPr="002C21B8" w14:paraId="06EC61A9" w14:textId="77777777" w:rsidTr="00960A9F">
        <w:trPr>
          <w:trHeight w:val="320"/>
        </w:trPr>
        <w:tc>
          <w:tcPr>
            <w:tcW w:w="701" w:type="dxa"/>
            <w:shd w:val="clear" w:color="auto" w:fill="auto"/>
            <w:vAlign w:val="center"/>
          </w:tcPr>
          <w:p w14:paraId="78111A3D" w14:textId="77777777" w:rsidR="00FA366A" w:rsidRPr="002C21B8" w:rsidRDefault="00FA366A" w:rsidP="00212D46">
            <w:pPr>
              <w:spacing w:after="0" w:line="240" w:lineRule="auto"/>
              <w:rPr>
                <w:sz w:val="20"/>
                <w:szCs w:val="20"/>
              </w:rPr>
            </w:pPr>
            <w:r w:rsidRPr="002C21B8">
              <w:rPr>
                <w:sz w:val="20"/>
                <w:szCs w:val="20"/>
              </w:rPr>
              <w:t>138</w:t>
            </w:r>
          </w:p>
        </w:tc>
        <w:tc>
          <w:tcPr>
            <w:tcW w:w="8504" w:type="dxa"/>
            <w:shd w:val="clear" w:color="auto" w:fill="auto"/>
            <w:vAlign w:val="bottom"/>
          </w:tcPr>
          <w:p w14:paraId="43289517" w14:textId="77777777" w:rsidR="00FA366A" w:rsidRPr="002C21B8" w:rsidRDefault="00FA366A" w:rsidP="00212D46">
            <w:pPr>
              <w:spacing w:after="0" w:line="240" w:lineRule="auto"/>
              <w:rPr>
                <w:sz w:val="20"/>
                <w:szCs w:val="20"/>
              </w:rPr>
            </w:pPr>
            <w:r w:rsidRPr="002C21B8">
              <w:rPr>
                <w:sz w:val="20"/>
                <w:szCs w:val="20"/>
              </w:rPr>
              <w:t>medically unexplained symptoms/</w:t>
            </w:r>
          </w:p>
        </w:tc>
      </w:tr>
      <w:tr w:rsidR="00FA366A" w:rsidRPr="002C21B8" w14:paraId="0A682E5B" w14:textId="77777777" w:rsidTr="00960A9F">
        <w:trPr>
          <w:trHeight w:val="320"/>
        </w:trPr>
        <w:tc>
          <w:tcPr>
            <w:tcW w:w="701" w:type="dxa"/>
            <w:shd w:val="clear" w:color="auto" w:fill="auto"/>
            <w:vAlign w:val="center"/>
          </w:tcPr>
          <w:p w14:paraId="356B3CC1" w14:textId="77777777" w:rsidR="00FA366A" w:rsidRPr="002C21B8" w:rsidRDefault="00FA366A" w:rsidP="00212D46">
            <w:pPr>
              <w:spacing w:after="0" w:line="240" w:lineRule="auto"/>
              <w:rPr>
                <w:sz w:val="20"/>
                <w:szCs w:val="20"/>
              </w:rPr>
            </w:pPr>
            <w:r w:rsidRPr="002C21B8">
              <w:rPr>
                <w:sz w:val="20"/>
                <w:szCs w:val="20"/>
              </w:rPr>
              <w:t>139</w:t>
            </w:r>
          </w:p>
        </w:tc>
        <w:tc>
          <w:tcPr>
            <w:tcW w:w="8504" w:type="dxa"/>
            <w:shd w:val="clear" w:color="auto" w:fill="auto"/>
            <w:vAlign w:val="bottom"/>
          </w:tcPr>
          <w:p w14:paraId="6E067FF8" w14:textId="77777777" w:rsidR="00FA366A" w:rsidRPr="002C21B8" w:rsidRDefault="00FA366A" w:rsidP="00212D46">
            <w:pPr>
              <w:spacing w:after="0" w:line="240" w:lineRule="auto"/>
              <w:rPr>
                <w:sz w:val="20"/>
                <w:szCs w:val="20"/>
              </w:rPr>
            </w:pPr>
            <w:r w:rsidRPr="002C21B8">
              <w:rPr>
                <w:sz w:val="20"/>
                <w:szCs w:val="20"/>
              </w:rPr>
              <w:t>medically unexplained symptoms.ti.</w:t>
            </w:r>
          </w:p>
        </w:tc>
      </w:tr>
      <w:tr w:rsidR="00FA366A" w:rsidRPr="002C21B8" w14:paraId="7A20BA57" w14:textId="77777777" w:rsidTr="00960A9F">
        <w:trPr>
          <w:trHeight w:val="320"/>
        </w:trPr>
        <w:tc>
          <w:tcPr>
            <w:tcW w:w="701" w:type="dxa"/>
            <w:shd w:val="clear" w:color="auto" w:fill="auto"/>
            <w:vAlign w:val="center"/>
          </w:tcPr>
          <w:p w14:paraId="59C703B1" w14:textId="77777777" w:rsidR="00FA366A" w:rsidRPr="002C21B8" w:rsidRDefault="00FA366A" w:rsidP="00212D46">
            <w:pPr>
              <w:spacing w:after="0" w:line="240" w:lineRule="auto"/>
              <w:rPr>
                <w:sz w:val="20"/>
                <w:szCs w:val="20"/>
              </w:rPr>
            </w:pPr>
            <w:r w:rsidRPr="002C21B8">
              <w:rPr>
                <w:sz w:val="20"/>
                <w:szCs w:val="20"/>
              </w:rPr>
              <w:t>140</w:t>
            </w:r>
          </w:p>
        </w:tc>
        <w:tc>
          <w:tcPr>
            <w:tcW w:w="8504" w:type="dxa"/>
            <w:shd w:val="clear" w:color="auto" w:fill="auto"/>
            <w:vAlign w:val="bottom"/>
          </w:tcPr>
          <w:p w14:paraId="42E584B4" w14:textId="77777777" w:rsidR="00FA366A" w:rsidRPr="002C21B8" w:rsidRDefault="00FA366A" w:rsidP="00212D46">
            <w:pPr>
              <w:spacing w:after="0" w:line="240" w:lineRule="auto"/>
              <w:rPr>
                <w:sz w:val="20"/>
                <w:szCs w:val="20"/>
              </w:rPr>
            </w:pPr>
            <w:r w:rsidRPr="002C21B8">
              <w:rPr>
                <w:sz w:val="20"/>
                <w:szCs w:val="20"/>
              </w:rPr>
              <w:t>exp motor neuron disease/</w:t>
            </w:r>
          </w:p>
        </w:tc>
      </w:tr>
      <w:tr w:rsidR="00FA366A" w:rsidRPr="002C21B8" w14:paraId="16D254E1" w14:textId="77777777" w:rsidTr="00960A9F">
        <w:trPr>
          <w:trHeight w:val="320"/>
        </w:trPr>
        <w:tc>
          <w:tcPr>
            <w:tcW w:w="701" w:type="dxa"/>
            <w:shd w:val="clear" w:color="auto" w:fill="auto"/>
            <w:vAlign w:val="center"/>
          </w:tcPr>
          <w:p w14:paraId="54998A59" w14:textId="77777777" w:rsidR="00FA366A" w:rsidRPr="002C21B8" w:rsidRDefault="00FA366A" w:rsidP="00212D46">
            <w:pPr>
              <w:spacing w:after="0" w:line="240" w:lineRule="auto"/>
              <w:rPr>
                <w:sz w:val="20"/>
                <w:szCs w:val="20"/>
              </w:rPr>
            </w:pPr>
            <w:r w:rsidRPr="002C21B8">
              <w:rPr>
                <w:sz w:val="20"/>
                <w:szCs w:val="20"/>
              </w:rPr>
              <w:t>141</w:t>
            </w:r>
          </w:p>
        </w:tc>
        <w:tc>
          <w:tcPr>
            <w:tcW w:w="8504" w:type="dxa"/>
            <w:shd w:val="clear" w:color="auto" w:fill="auto"/>
            <w:vAlign w:val="bottom"/>
          </w:tcPr>
          <w:p w14:paraId="215D6402" w14:textId="77777777" w:rsidR="00FA366A" w:rsidRPr="002C21B8" w:rsidRDefault="00FA366A" w:rsidP="00212D46">
            <w:pPr>
              <w:spacing w:after="0" w:line="240" w:lineRule="auto"/>
              <w:rPr>
                <w:sz w:val="20"/>
                <w:szCs w:val="20"/>
              </w:rPr>
            </w:pPr>
            <w:r w:rsidRPr="002C21B8">
              <w:rPr>
                <w:sz w:val="20"/>
                <w:szCs w:val="20"/>
              </w:rPr>
              <w:t>(motor neuron* disease* or MND).ti.</w:t>
            </w:r>
          </w:p>
        </w:tc>
      </w:tr>
      <w:tr w:rsidR="00FA366A" w:rsidRPr="002C21B8" w14:paraId="0E9C5272" w14:textId="77777777" w:rsidTr="00960A9F">
        <w:trPr>
          <w:trHeight w:val="320"/>
        </w:trPr>
        <w:tc>
          <w:tcPr>
            <w:tcW w:w="701" w:type="dxa"/>
            <w:shd w:val="clear" w:color="auto" w:fill="auto"/>
            <w:vAlign w:val="center"/>
          </w:tcPr>
          <w:p w14:paraId="1E0EFF67" w14:textId="77777777" w:rsidR="00FA366A" w:rsidRPr="002C21B8" w:rsidRDefault="00FA366A" w:rsidP="00212D46">
            <w:pPr>
              <w:spacing w:after="0" w:line="240" w:lineRule="auto"/>
              <w:rPr>
                <w:sz w:val="20"/>
                <w:szCs w:val="20"/>
              </w:rPr>
            </w:pPr>
            <w:r w:rsidRPr="002C21B8">
              <w:rPr>
                <w:sz w:val="20"/>
                <w:szCs w:val="20"/>
              </w:rPr>
              <w:t>142</w:t>
            </w:r>
          </w:p>
        </w:tc>
        <w:tc>
          <w:tcPr>
            <w:tcW w:w="8504" w:type="dxa"/>
            <w:shd w:val="clear" w:color="auto" w:fill="auto"/>
            <w:vAlign w:val="bottom"/>
          </w:tcPr>
          <w:p w14:paraId="4068C6B8" w14:textId="77777777" w:rsidR="00FA366A" w:rsidRPr="002C21B8" w:rsidRDefault="00FA366A" w:rsidP="00212D46">
            <w:pPr>
              <w:spacing w:after="0" w:line="240" w:lineRule="auto"/>
              <w:rPr>
                <w:sz w:val="20"/>
                <w:szCs w:val="20"/>
              </w:rPr>
            </w:pPr>
            <w:r w:rsidRPr="002C21B8">
              <w:rPr>
                <w:sz w:val="20"/>
                <w:szCs w:val="20"/>
              </w:rPr>
              <w:t>exp muscular dystrophies/</w:t>
            </w:r>
          </w:p>
        </w:tc>
      </w:tr>
      <w:tr w:rsidR="00FA366A" w:rsidRPr="002C21B8" w14:paraId="4D8642B7" w14:textId="77777777" w:rsidTr="00960A9F">
        <w:trPr>
          <w:trHeight w:val="320"/>
        </w:trPr>
        <w:tc>
          <w:tcPr>
            <w:tcW w:w="701" w:type="dxa"/>
            <w:shd w:val="clear" w:color="auto" w:fill="auto"/>
            <w:vAlign w:val="center"/>
          </w:tcPr>
          <w:p w14:paraId="1E138B79" w14:textId="77777777" w:rsidR="00FA366A" w:rsidRPr="002C21B8" w:rsidRDefault="00FA366A" w:rsidP="00212D46">
            <w:pPr>
              <w:spacing w:after="0" w:line="240" w:lineRule="auto"/>
              <w:rPr>
                <w:sz w:val="20"/>
                <w:szCs w:val="20"/>
              </w:rPr>
            </w:pPr>
            <w:r w:rsidRPr="002C21B8">
              <w:rPr>
                <w:sz w:val="20"/>
                <w:szCs w:val="20"/>
              </w:rPr>
              <w:t>143</w:t>
            </w:r>
          </w:p>
        </w:tc>
        <w:tc>
          <w:tcPr>
            <w:tcW w:w="8504" w:type="dxa"/>
            <w:shd w:val="clear" w:color="auto" w:fill="auto"/>
            <w:vAlign w:val="bottom"/>
          </w:tcPr>
          <w:p w14:paraId="6EDA734D" w14:textId="77777777" w:rsidR="00FA366A" w:rsidRPr="002C21B8" w:rsidRDefault="00FA366A" w:rsidP="00212D46">
            <w:pPr>
              <w:spacing w:after="0" w:line="240" w:lineRule="auto"/>
              <w:rPr>
                <w:sz w:val="20"/>
                <w:szCs w:val="20"/>
              </w:rPr>
            </w:pPr>
            <w:r w:rsidRPr="002C21B8">
              <w:rPr>
                <w:sz w:val="20"/>
                <w:szCs w:val="20"/>
              </w:rPr>
              <w:t>((overacti or pseudohypertrophic or becker or facioscapulohumeral or limb-girdle or myotonic) adj muscular dystrophy).ti.</w:t>
            </w:r>
          </w:p>
        </w:tc>
      </w:tr>
      <w:tr w:rsidR="00FA366A" w:rsidRPr="002C21B8" w14:paraId="50C68258" w14:textId="77777777" w:rsidTr="00960A9F">
        <w:trPr>
          <w:trHeight w:val="320"/>
        </w:trPr>
        <w:tc>
          <w:tcPr>
            <w:tcW w:w="701" w:type="dxa"/>
            <w:shd w:val="clear" w:color="auto" w:fill="auto"/>
            <w:vAlign w:val="center"/>
          </w:tcPr>
          <w:p w14:paraId="32BA35FB" w14:textId="77777777" w:rsidR="00FA366A" w:rsidRPr="002C21B8" w:rsidRDefault="00FA366A" w:rsidP="00212D46">
            <w:pPr>
              <w:spacing w:after="0" w:line="240" w:lineRule="auto"/>
              <w:rPr>
                <w:sz w:val="20"/>
                <w:szCs w:val="20"/>
              </w:rPr>
            </w:pPr>
            <w:r w:rsidRPr="002C21B8">
              <w:rPr>
                <w:sz w:val="20"/>
                <w:szCs w:val="20"/>
              </w:rPr>
              <w:t>144</w:t>
            </w:r>
          </w:p>
        </w:tc>
        <w:tc>
          <w:tcPr>
            <w:tcW w:w="8504" w:type="dxa"/>
            <w:shd w:val="clear" w:color="auto" w:fill="auto"/>
            <w:vAlign w:val="bottom"/>
          </w:tcPr>
          <w:p w14:paraId="2CB5AD4F" w14:textId="77777777" w:rsidR="00FA366A" w:rsidRPr="002C21B8" w:rsidRDefault="00FA366A" w:rsidP="00212D46">
            <w:pPr>
              <w:spacing w:after="0" w:line="240" w:lineRule="auto"/>
              <w:rPr>
                <w:sz w:val="20"/>
                <w:szCs w:val="20"/>
              </w:rPr>
            </w:pPr>
            <w:r w:rsidRPr="002C21B8">
              <w:rPr>
                <w:sz w:val="20"/>
                <w:szCs w:val="20"/>
              </w:rPr>
              <w:t>exp obesity/</w:t>
            </w:r>
          </w:p>
        </w:tc>
      </w:tr>
      <w:tr w:rsidR="00FA366A" w:rsidRPr="002C21B8" w14:paraId="1DA1A7D5" w14:textId="77777777" w:rsidTr="00960A9F">
        <w:trPr>
          <w:trHeight w:val="320"/>
        </w:trPr>
        <w:tc>
          <w:tcPr>
            <w:tcW w:w="701" w:type="dxa"/>
            <w:shd w:val="clear" w:color="auto" w:fill="auto"/>
            <w:vAlign w:val="center"/>
          </w:tcPr>
          <w:p w14:paraId="6A835138" w14:textId="77777777" w:rsidR="00FA366A" w:rsidRPr="002C21B8" w:rsidRDefault="00FA366A" w:rsidP="00212D46">
            <w:pPr>
              <w:spacing w:after="0" w:line="240" w:lineRule="auto"/>
              <w:rPr>
                <w:sz w:val="20"/>
                <w:szCs w:val="20"/>
              </w:rPr>
            </w:pPr>
            <w:r w:rsidRPr="002C21B8">
              <w:rPr>
                <w:sz w:val="20"/>
                <w:szCs w:val="20"/>
              </w:rPr>
              <w:t>145</w:t>
            </w:r>
          </w:p>
        </w:tc>
        <w:tc>
          <w:tcPr>
            <w:tcW w:w="8504" w:type="dxa"/>
            <w:shd w:val="clear" w:color="auto" w:fill="auto"/>
            <w:vAlign w:val="bottom"/>
          </w:tcPr>
          <w:p w14:paraId="4ACFB6B9" w14:textId="77777777" w:rsidR="00FA366A" w:rsidRPr="002C21B8" w:rsidRDefault="00FA366A" w:rsidP="00212D46">
            <w:pPr>
              <w:spacing w:after="0" w:line="240" w:lineRule="auto"/>
              <w:rPr>
                <w:sz w:val="20"/>
                <w:szCs w:val="20"/>
              </w:rPr>
            </w:pPr>
            <w:r w:rsidRPr="002C21B8">
              <w:rPr>
                <w:sz w:val="20"/>
                <w:szCs w:val="20"/>
              </w:rPr>
              <w:t>(obes* or overweight or (over adj weight) or over-weight).ti.</w:t>
            </w:r>
          </w:p>
        </w:tc>
      </w:tr>
      <w:tr w:rsidR="00FA366A" w:rsidRPr="002C21B8" w14:paraId="23E087E5" w14:textId="77777777" w:rsidTr="00960A9F">
        <w:trPr>
          <w:trHeight w:val="320"/>
        </w:trPr>
        <w:tc>
          <w:tcPr>
            <w:tcW w:w="701" w:type="dxa"/>
            <w:shd w:val="clear" w:color="auto" w:fill="auto"/>
            <w:vAlign w:val="center"/>
          </w:tcPr>
          <w:p w14:paraId="5DB05AF0" w14:textId="77777777" w:rsidR="00FA366A" w:rsidRPr="002C21B8" w:rsidRDefault="00FA366A" w:rsidP="00212D46">
            <w:pPr>
              <w:spacing w:after="0" w:line="240" w:lineRule="auto"/>
              <w:rPr>
                <w:sz w:val="20"/>
                <w:szCs w:val="20"/>
              </w:rPr>
            </w:pPr>
            <w:r w:rsidRPr="002C21B8">
              <w:rPr>
                <w:sz w:val="20"/>
                <w:szCs w:val="20"/>
              </w:rPr>
              <w:t>146</w:t>
            </w:r>
          </w:p>
        </w:tc>
        <w:tc>
          <w:tcPr>
            <w:tcW w:w="8504" w:type="dxa"/>
            <w:shd w:val="clear" w:color="auto" w:fill="auto"/>
            <w:vAlign w:val="bottom"/>
          </w:tcPr>
          <w:p w14:paraId="519D8ABE" w14:textId="77777777" w:rsidR="00FA366A" w:rsidRPr="002C21B8" w:rsidRDefault="00FA366A" w:rsidP="00212D46">
            <w:pPr>
              <w:spacing w:after="0" w:line="240" w:lineRule="auto"/>
              <w:rPr>
                <w:sz w:val="20"/>
                <w:szCs w:val="20"/>
              </w:rPr>
            </w:pPr>
            <w:r w:rsidRPr="002C21B8">
              <w:rPr>
                <w:sz w:val="20"/>
                <w:szCs w:val="20"/>
              </w:rPr>
              <w:t>exp sleep apnea, obstructive/</w:t>
            </w:r>
          </w:p>
        </w:tc>
      </w:tr>
      <w:tr w:rsidR="00FA366A" w:rsidRPr="002C21B8" w14:paraId="58BABF7E" w14:textId="77777777" w:rsidTr="00960A9F">
        <w:trPr>
          <w:trHeight w:val="320"/>
        </w:trPr>
        <w:tc>
          <w:tcPr>
            <w:tcW w:w="701" w:type="dxa"/>
            <w:shd w:val="clear" w:color="auto" w:fill="auto"/>
            <w:vAlign w:val="center"/>
          </w:tcPr>
          <w:p w14:paraId="77CA331B" w14:textId="77777777" w:rsidR="00FA366A" w:rsidRPr="002C21B8" w:rsidRDefault="00FA366A" w:rsidP="00212D46">
            <w:pPr>
              <w:spacing w:after="0" w:line="240" w:lineRule="auto"/>
              <w:rPr>
                <w:sz w:val="20"/>
                <w:szCs w:val="20"/>
              </w:rPr>
            </w:pPr>
            <w:r w:rsidRPr="002C21B8">
              <w:rPr>
                <w:sz w:val="20"/>
                <w:szCs w:val="20"/>
              </w:rPr>
              <w:t>147</w:t>
            </w:r>
          </w:p>
        </w:tc>
        <w:tc>
          <w:tcPr>
            <w:tcW w:w="8504" w:type="dxa"/>
            <w:shd w:val="clear" w:color="auto" w:fill="auto"/>
            <w:vAlign w:val="bottom"/>
          </w:tcPr>
          <w:p w14:paraId="231787A0" w14:textId="77777777" w:rsidR="00FA366A" w:rsidRPr="002C21B8" w:rsidRDefault="00FA366A" w:rsidP="00212D46">
            <w:pPr>
              <w:spacing w:after="0" w:line="240" w:lineRule="auto"/>
              <w:rPr>
                <w:sz w:val="20"/>
                <w:szCs w:val="20"/>
              </w:rPr>
            </w:pPr>
            <w:r w:rsidRPr="002C21B8">
              <w:rPr>
                <w:sz w:val="20"/>
                <w:szCs w:val="20"/>
              </w:rPr>
              <w:t>((sleep* or nocturnal) adj2 (apnea* or apnoea*)).ti.</w:t>
            </w:r>
          </w:p>
        </w:tc>
      </w:tr>
      <w:tr w:rsidR="00FA366A" w:rsidRPr="002C21B8" w14:paraId="0065F944" w14:textId="77777777" w:rsidTr="00960A9F">
        <w:trPr>
          <w:trHeight w:val="320"/>
        </w:trPr>
        <w:tc>
          <w:tcPr>
            <w:tcW w:w="701" w:type="dxa"/>
            <w:shd w:val="clear" w:color="auto" w:fill="auto"/>
            <w:vAlign w:val="center"/>
          </w:tcPr>
          <w:p w14:paraId="0F5131B9" w14:textId="77777777" w:rsidR="00FA366A" w:rsidRPr="002C21B8" w:rsidRDefault="00FA366A" w:rsidP="00212D46">
            <w:pPr>
              <w:spacing w:after="0" w:line="240" w:lineRule="auto"/>
              <w:rPr>
                <w:sz w:val="20"/>
                <w:szCs w:val="20"/>
              </w:rPr>
            </w:pPr>
            <w:r w:rsidRPr="002C21B8">
              <w:rPr>
                <w:sz w:val="20"/>
                <w:szCs w:val="20"/>
              </w:rPr>
              <w:t>148</w:t>
            </w:r>
          </w:p>
        </w:tc>
        <w:tc>
          <w:tcPr>
            <w:tcW w:w="8504" w:type="dxa"/>
            <w:shd w:val="clear" w:color="auto" w:fill="auto"/>
            <w:vAlign w:val="bottom"/>
          </w:tcPr>
          <w:p w14:paraId="38ED3DBB" w14:textId="77777777" w:rsidR="00FA366A" w:rsidRPr="002C21B8" w:rsidRDefault="00FA366A" w:rsidP="00212D46">
            <w:pPr>
              <w:spacing w:after="0" w:line="240" w:lineRule="auto"/>
              <w:rPr>
                <w:sz w:val="20"/>
                <w:szCs w:val="20"/>
              </w:rPr>
            </w:pPr>
            <w:r w:rsidRPr="002C21B8">
              <w:rPr>
                <w:sz w:val="20"/>
                <w:szCs w:val="20"/>
              </w:rPr>
              <w:t>(sleep* adj2 disordered adj2 breathing).ti.</w:t>
            </w:r>
          </w:p>
        </w:tc>
      </w:tr>
      <w:tr w:rsidR="00FA366A" w:rsidRPr="002C21B8" w14:paraId="67834BE1" w14:textId="77777777" w:rsidTr="00960A9F">
        <w:trPr>
          <w:trHeight w:val="320"/>
        </w:trPr>
        <w:tc>
          <w:tcPr>
            <w:tcW w:w="701" w:type="dxa"/>
            <w:shd w:val="clear" w:color="auto" w:fill="auto"/>
            <w:vAlign w:val="center"/>
          </w:tcPr>
          <w:p w14:paraId="6318605F" w14:textId="77777777" w:rsidR="00FA366A" w:rsidRPr="002C21B8" w:rsidRDefault="00FA366A" w:rsidP="00212D46">
            <w:pPr>
              <w:spacing w:after="0" w:line="240" w:lineRule="auto"/>
              <w:rPr>
                <w:sz w:val="20"/>
                <w:szCs w:val="20"/>
              </w:rPr>
            </w:pPr>
            <w:r w:rsidRPr="002C21B8">
              <w:rPr>
                <w:sz w:val="20"/>
                <w:szCs w:val="20"/>
              </w:rPr>
              <w:t>149</w:t>
            </w:r>
          </w:p>
        </w:tc>
        <w:tc>
          <w:tcPr>
            <w:tcW w:w="8504" w:type="dxa"/>
            <w:shd w:val="clear" w:color="auto" w:fill="auto"/>
            <w:vAlign w:val="bottom"/>
          </w:tcPr>
          <w:p w14:paraId="3935FEF8" w14:textId="77777777" w:rsidR="00FA366A" w:rsidRPr="002C21B8" w:rsidRDefault="00FA366A" w:rsidP="00212D46">
            <w:pPr>
              <w:spacing w:after="0" w:line="240" w:lineRule="auto"/>
              <w:rPr>
                <w:sz w:val="20"/>
                <w:szCs w:val="20"/>
              </w:rPr>
            </w:pPr>
            <w:r w:rsidRPr="002C21B8">
              <w:rPr>
                <w:sz w:val="20"/>
                <w:szCs w:val="20"/>
              </w:rPr>
              <w:t>((sleep* or nocturnal) adj2 (hypopnea* or hypopnoea* or hypo-apnea* or hypo-apnoea* or apneic-hypopneic or apnoeic-hypopnoeic)).ti.</w:t>
            </w:r>
          </w:p>
        </w:tc>
      </w:tr>
      <w:tr w:rsidR="00FA366A" w:rsidRPr="002C21B8" w14:paraId="673D8A8A" w14:textId="77777777" w:rsidTr="00960A9F">
        <w:trPr>
          <w:trHeight w:val="320"/>
        </w:trPr>
        <w:tc>
          <w:tcPr>
            <w:tcW w:w="701" w:type="dxa"/>
            <w:shd w:val="clear" w:color="auto" w:fill="auto"/>
            <w:vAlign w:val="center"/>
          </w:tcPr>
          <w:p w14:paraId="3302E422" w14:textId="77777777" w:rsidR="00FA366A" w:rsidRPr="002C21B8" w:rsidRDefault="00FA366A" w:rsidP="00212D46">
            <w:pPr>
              <w:spacing w:after="0" w:line="240" w:lineRule="auto"/>
              <w:rPr>
                <w:sz w:val="20"/>
                <w:szCs w:val="20"/>
              </w:rPr>
            </w:pPr>
            <w:r w:rsidRPr="002C21B8">
              <w:rPr>
                <w:sz w:val="20"/>
                <w:szCs w:val="20"/>
              </w:rPr>
              <w:t>150</w:t>
            </w:r>
          </w:p>
        </w:tc>
        <w:tc>
          <w:tcPr>
            <w:tcW w:w="8504" w:type="dxa"/>
            <w:shd w:val="clear" w:color="auto" w:fill="auto"/>
            <w:vAlign w:val="bottom"/>
          </w:tcPr>
          <w:p w14:paraId="10F6CDB0" w14:textId="77777777" w:rsidR="00FA366A" w:rsidRPr="002C21B8" w:rsidRDefault="00FA366A" w:rsidP="00212D46">
            <w:pPr>
              <w:spacing w:after="0" w:line="240" w:lineRule="auto"/>
              <w:rPr>
                <w:sz w:val="20"/>
                <w:szCs w:val="20"/>
              </w:rPr>
            </w:pPr>
            <w:r w:rsidRPr="002C21B8">
              <w:rPr>
                <w:sz w:val="20"/>
                <w:szCs w:val="20"/>
              </w:rPr>
              <w:t>(OSA or SAHS or OSAHS).ti.</w:t>
            </w:r>
          </w:p>
        </w:tc>
      </w:tr>
      <w:tr w:rsidR="00FA366A" w:rsidRPr="002C21B8" w14:paraId="50FDF49A" w14:textId="77777777" w:rsidTr="00960A9F">
        <w:trPr>
          <w:trHeight w:val="320"/>
        </w:trPr>
        <w:tc>
          <w:tcPr>
            <w:tcW w:w="701" w:type="dxa"/>
            <w:shd w:val="clear" w:color="auto" w:fill="auto"/>
            <w:vAlign w:val="center"/>
          </w:tcPr>
          <w:p w14:paraId="3EF8B36A" w14:textId="77777777" w:rsidR="00FA366A" w:rsidRPr="002C21B8" w:rsidRDefault="00FA366A" w:rsidP="00212D46">
            <w:pPr>
              <w:spacing w:after="0" w:line="240" w:lineRule="auto"/>
              <w:rPr>
                <w:sz w:val="20"/>
                <w:szCs w:val="20"/>
              </w:rPr>
            </w:pPr>
            <w:r w:rsidRPr="002C21B8">
              <w:rPr>
                <w:sz w:val="20"/>
                <w:szCs w:val="20"/>
              </w:rPr>
              <w:t>151</w:t>
            </w:r>
          </w:p>
        </w:tc>
        <w:tc>
          <w:tcPr>
            <w:tcW w:w="8504" w:type="dxa"/>
            <w:shd w:val="clear" w:color="auto" w:fill="auto"/>
            <w:vAlign w:val="bottom"/>
          </w:tcPr>
          <w:p w14:paraId="6607B6D5" w14:textId="77777777" w:rsidR="00FA366A" w:rsidRPr="002C21B8" w:rsidRDefault="00FA366A" w:rsidP="00212D46">
            <w:pPr>
              <w:spacing w:after="0" w:line="240" w:lineRule="auto"/>
              <w:rPr>
                <w:sz w:val="20"/>
                <w:szCs w:val="20"/>
              </w:rPr>
            </w:pPr>
            <w:r w:rsidRPr="002C21B8">
              <w:rPr>
                <w:sz w:val="20"/>
                <w:szCs w:val="20"/>
              </w:rPr>
              <w:t>asthma, occupational/</w:t>
            </w:r>
          </w:p>
        </w:tc>
      </w:tr>
      <w:tr w:rsidR="00FA366A" w:rsidRPr="002C21B8" w14:paraId="28F71ABD" w14:textId="77777777" w:rsidTr="00960A9F">
        <w:trPr>
          <w:trHeight w:val="320"/>
        </w:trPr>
        <w:tc>
          <w:tcPr>
            <w:tcW w:w="701" w:type="dxa"/>
            <w:shd w:val="clear" w:color="auto" w:fill="auto"/>
            <w:vAlign w:val="center"/>
          </w:tcPr>
          <w:p w14:paraId="399D8F03" w14:textId="77777777" w:rsidR="00FA366A" w:rsidRPr="002C21B8" w:rsidRDefault="00FA366A" w:rsidP="00212D46">
            <w:pPr>
              <w:spacing w:after="0" w:line="240" w:lineRule="auto"/>
              <w:rPr>
                <w:sz w:val="20"/>
                <w:szCs w:val="20"/>
              </w:rPr>
            </w:pPr>
            <w:r w:rsidRPr="002C21B8">
              <w:rPr>
                <w:sz w:val="20"/>
                <w:szCs w:val="20"/>
              </w:rPr>
              <w:t>152</w:t>
            </w:r>
          </w:p>
        </w:tc>
        <w:tc>
          <w:tcPr>
            <w:tcW w:w="8504" w:type="dxa"/>
            <w:shd w:val="clear" w:color="auto" w:fill="auto"/>
            <w:vAlign w:val="bottom"/>
          </w:tcPr>
          <w:p w14:paraId="6C844279" w14:textId="77777777" w:rsidR="00FA366A" w:rsidRPr="002C21B8" w:rsidRDefault="00FA366A" w:rsidP="00212D46">
            <w:pPr>
              <w:spacing w:after="0" w:line="240" w:lineRule="auto"/>
              <w:rPr>
                <w:sz w:val="20"/>
                <w:szCs w:val="20"/>
              </w:rPr>
            </w:pPr>
            <w:r w:rsidRPr="002C21B8">
              <w:rPr>
                <w:sz w:val="20"/>
                <w:szCs w:val="20"/>
              </w:rPr>
              <w:t>(asbestosis* or pneumoconiosis or black lung or hard metal lung disease or silicosis or talcosis).ti.</w:t>
            </w:r>
          </w:p>
        </w:tc>
      </w:tr>
      <w:tr w:rsidR="00FA366A" w:rsidRPr="002C21B8" w14:paraId="1421DC8D" w14:textId="77777777" w:rsidTr="00960A9F">
        <w:trPr>
          <w:trHeight w:val="320"/>
        </w:trPr>
        <w:tc>
          <w:tcPr>
            <w:tcW w:w="701" w:type="dxa"/>
            <w:shd w:val="clear" w:color="auto" w:fill="auto"/>
            <w:vAlign w:val="center"/>
          </w:tcPr>
          <w:p w14:paraId="2AC98506" w14:textId="77777777" w:rsidR="00FA366A" w:rsidRPr="002C21B8" w:rsidRDefault="00FA366A" w:rsidP="00212D46">
            <w:pPr>
              <w:spacing w:after="0" w:line="240" w:lineRule="auto"/>
              <w:rPr>
                <w:sz w:val="20"/>
                <w:szCs w:val="20"/>
              </w:rPr>
            </w:pPr>
            <w:r w:rsidRPr="002C21B8">
              <w:rPr>
                <w:sz w:val="20"/>
                <w:szCs w:val="20"/>
              </w:rPr>
              <w:t>153</w:t>
            </w:r>
          </w:p>
        </w:tc>
        <w:tc>
          <w:tcPr>
            <w:tcW w:w="8504" w:type="dxa"/>
            <w:shd w:val="clear" w:color="auto" w:fill="auto"/>
            <w:vAlign w:val="bottom"/>
          </w:tcPr>
          <w:p w14:paraId="10011225" w14:textId="77777777" w:rsidR="00FA366A" w:rsidRPr="002C21B8" w:rsidRDefault="00FA366A" w:rsidP="00212D46">
            <w:pPr>
              <w:spacing w:after="0" w:line="240" w:lineRule="auto"/>
              <w:rPr>
                <w:sz w:val="20"/>
                <w:szCs w:val="20"/>
              </w:rPr>
            </w:pPr>
            <w:r w:rsidRPr="002C21B8">
              <w:rPr>
                <w:sz w:val="20"/>
                <w:szCs w:val="20"/>
              </w:rPr>
              <w:t>exp osteoporosis/</w:t>
            </w:r>
          </w:p>
        </w:tc>
      </w:tr>
      <w:tr w:rsidR="00FA366A" w:rsidRPr="002C21B8" w14:paraId="1D98D564" w14:textId="77777777" w:rsidTr="00960A9F">
        <w:trPr>
          <w:trHeight w:val="320"/>
        </w:trPr>
        <w:tc>
          <w:tcPr>
            <w:tcW w:w="701" w:type="dxa"/>
            <w:shd w:val="clear" w:color="auto" w:fill="auto"/>
            <w:vAlign w:val="center"/>
          </w:tcPr>
          <w:p w14:paraId="7216CF28" w14:textId="77777777" w:rsidR="00FA366A" w:rsidRPr="002C21B8" w:rsidRDefault="00FA366A" w:rsidP="00212D46">
            <w:pPr>
              <w:spacing w:after="0" w:line="240" w:lineRule="auto"/>
              <w:rPr>
                <w:sz w:val="20"/>
                <w:szCs w:val="20"/>
              </w:rPr>
            </w:pPr>
            <w:r w:rsidRPr="002C21B8">
              <w:rPr>
                <w:sz w:val="20"/>
                <w:szCs w:val="20"/>
              </w:rPr>
              <w:t>154</w:t>
            </w:r>
          </w:p>
        </w:tc>
        <w:tc>
          <w:tcPr>
            <w:tcW w:w="8504" w:type="dxa"/>
            <w:shd w:val="clear" w:color="auto" w:fill="auto"/>
            <w:vAlign w:val="bottom"/>
          </w:tcPr>
          <w:p w14:paraId="70162BBD" w14:textId="77777777" w:rsidR="00FA366A" w:rsidRPr="002C21B8" w:rsidRDefault="00FA366A" w:rsidP="00212D46">
            <w:pPr>
              <w:spacing w:after="0" w:line="240" w:lineRule="auto"/>
              <w:rPr>
                <w:sz w:val="20"/>
                <w:szCs w:val="20"/>
              </w:rPr>
            </w:pPr>
            <w:r w:rsidRPr="002C21B8">
              <w:rPr>
                <w:sz w:val="20"/>
                <w:szCs w:val="20"/>
              </w:rPr>
              <w:t>(osteoporo* or bone density or calcaneus).ti.</w:t>
            </w:r>
          </w:p>
        </w:tc>
      </w:tr>
      <w:tr w:rsidR="00FA366A" w:rsidRPr="002C21B8" w14:paraId="2544F9C2" w14:textId="77777777" w:rsidTr="00960A9F">
        <w:trPr>
          <w:trHeight w:val="320"/>
        </w:trPr>
        <w:tc>
          <w:tcPr>
            <w:tcW w:w="701" w:type="dxa"/>
            <w:shd w:val="clear" w:color="auto" w:fill="auto"/>
            <w:vAlign w:val="center"/>
          </w:tcPr>
          <w:p w14:paraId="0B3F2E2E" w14:textId="77777777" w:rsidR="00FA366A" w:rsidRPr="002C21B8" w:rsidRDefault="00FA366A" w:rsidP="00212D46">
            <w:pPr>
              <w:spacing w:after="0" w:line="240" w:lineRule="auto"/>
              <w:rPr>
                <w:sz w:val="20"/>
                <w:szCs w:val="20"/>
              </w:rPr>
            </w:pPr>
            <w:r w:rsidRPr="002C21B8">
              <w:rPr>
                <w:sz w:val="20"/>
                <w:szCs w:val="20"/>
              </w:rPr>
              <w:t>155</w:t>
            </w:r>
          </w:p>
        </w:tc>
        <w:tc>
          <w:tcPr>
            <w:tcW w:w="8504" w:type="dxa"/>
            <w:shd w:val="clear" w:color="auto" w:fill="auto"/>
            <w:vAlign w:val="bottom"/>
          </w:tcPr>
          <w:p w14:paraId="11DB4DD1" w14:textId="77777777" w:rsidR="00FA366A" w:rsidRPr="002C21B8" w:rsidRDefault="00FA366A" w:rsidP="00212D46">
            <w:pPr>
              <w:spacing w:after="0" w:line="240" w:lineRule="auto"/>
              <w:rPr>
                <w:sz w:val="20"/>
                <w:szCs w:val="20"/>
              </w:rPr>
            </w:pPr>
            <w:r w:rsidRPr="002C21B8">
              <w:rPr>
                <w:sz w:val="20"/>
                <w:szCs w:val="20"/>
              </w:rPr>
              <w:t>exp neurodegenerative diseases/</w:t>
            </w:r>
          </w:p>
        </w:tc>
      </w:tr>
      <w:tr w:rsidR="00FA366A" w:rsidRPr="002C21B8" w14:paraId="2DB03F0B" w14:textId="77777777" w:rsidTr="00960A9F">
        <w:trPr>
          <w:trHeight w:val="320"/>
        </w:trPr>
        <w:tc>
          <w:tcPr>
            <w:tcW w:w="701" w:type="dxa"/>
            <w:shd w:val="clear" w:color="auto" w:fill="auto"/>
            <w:vAlign w:val="center"/>
          </w:tcPr>
          <w:p w14:paraId="622E4F1B" w14:textId="77777777" w:rsidR="00FA366A" w:rsidRPr="002C21B8" w:rsidRDefault="00FA366A" w:rsidP="00212D46">
            <w:pPr>
              <w:spacing w:after="0" w:line="240" w:lineRule="auto"/>
              <w:rPr>
                <w:sz w:val="20"/>
                <w:szCs w:val="20"/>
              </w:rPr>
            </w:pPr>
            <w:r w:rsidRPr="002C21B8">
              <w:rPr>
                <w:sz w:val="20"/>
                <w:szCs w:val="20"/>
              </w:rPr>
              <w:t>156</w:t>
            </w:r>
          </w:p>
        </w:tc>
        <w:tc>
          <w:tcPr>
            <w:tcW w:w="8504" w:type="dxa"/>
            <w:shd w:val="clear" w:color="auto" w:fill="auto"/>
            <w:vAlign w:val="bottom"/>
          </w:tcPr>
          <w:p w14:paraId="259DB187" w14:textId="77777777" w:rsidR="00FA366A" w:rsidRPr="002C21B8" w:rsidRDefault="00FA366A" w:rsidP="00212D46">
            <w:pPr>
              <w:spacing w:after="0" w:line="240" w:lineRule="auto"/>
              <w:rPr>
                <w:sz w:val="20"/>
                <w:szCs w:val="20"/>
              </w:rPr>
            </w:pPr>
            <w:r w:rsidRPr="002C21B8">
              <w:rPr>
                <w:sz w:val="20"/>
                <w:szCs w:val="20"/>
              </w:rPr>
              <w:t>(amyotrophic lateral sclerosis or multiple sclerosis or huntington* disease or multiple system atrophy or prion disease).ti.</w:t>
            </w:r>
          </w:p>
        </w:tc>
      </w:tr>
      <w:tr w:rsidR="00FA366A" w:rsidRPr="002C21B8" w14:paraId="4EC006BA" w14:textId="77777777" w:rsidTr="00960A9F">
        <w:trPr>
          <w:trHeight w:val="320"/>
        </w:trPr>
        <w:tc>
          <w:tcPr>
            <w:tcW w:w="701" w:type="dxa"/>
            <w:shd w:val="clear" w:color="auto" w:fill="auto"/>
            <w:vAlign w:val="center"/>
          </w:tcPr>
          <w:p w14:paraId="5D6F48E9" w14:textId="77777777" w:rsidR="00FA366A" w:rsidRPr="002C21B8" w:rsidRDefault="00FA366A" w:rsidP="00212D46">
            <w:pPr>
              <w:spacing w:after="0" w:line="240" w:lineRule="auto"/>
              <w:rPr>
                <w:sz w:val="20"/>
                <w:szCs w:val="20"/>
              </w:rPr>
            </w:pPr>
            <w:r w:rsidRPr="002C21B8">
              <w:rPr>
                <w:sz w:val="20"/>
                <w:szCs w:val="20"/>
              </w:rPr>
              <w:t>157</w:t>
            </w:r>
          </w:p>
        </w:tc>
        <w:tc>
          <w:tcPr>
            <w:tcW w:w="8504" w:type="dxa"/>
            <w:shd w:val="clear" w:color="auto" w:fill="auto"/>
            <w:vAlign w:val="bottom"/>
          </w:tcPr>
          <w:p w14:paraId="114CEA2A" w14:textId="77777777" w:rsidR="00FA366A" w:rsidRPr="002C21B8" w:rsidRDefault="00FA366A" w:rsidP="00212D46">
            <w:pPr>
              <w:spacing w:after="0" w:line="240" w:lineRule="auto"/>
              <w:rPr>
                <w:sz w:val="20"/>
                <w:szCs w:val="20"/>
              </w:rPr>
            </w:pPr>
            <w:r w:rsidRPr="002C21B8">
              <w:rPr>
                <w:sz w:val="20"/>
                <w:szCs w:val="20"/>
              </w:rPr>
              <w:t>exp peripheral vascular diseases/</w:t>
            </w:r>
          </w:p>
        </w:tc>
      </w:tr>
      <w:tr w:rsidR="00FA366A" w:rsidRPr="002C21B8" w14:paraId="534D2F7E" w14:textId="77777777" w:rsidTr="00960A9F">
        <w:trPr>
          <w:trHeight w:val="320"/>
        </w:trPr>
        <w:tc>
          <w:tcPr>
            <w:tcW w:w="701" w:type="dxa"/>
            <w:shd w:val="clear" w:color="auto" w:fill="auto"/>
            <w:vAlign w:val="center"/>
          </w:tcPr>
          <w:p w14:paraId="37CEF3A0" w14:textId="77777777" w:rsidR="00FA366A" w:rsidRPr="002C21B8" w:rsidRDefault="00FA366A" w:rsidP="00212D46">
            <w:pPr>
              <w:spacing w:after="0" w:line="240" w:lineRule="auto"/>
              <w:rPr>
                <w:sz w:val="20"/>
                <w:szCs w:val="20"/>
              </w:rPr>
            </w:pPr>
            <w:r w:rsidRPr="002C21B8">
              <w:rPr>
                <w:sz w:val="20"/>
                <w:szCs w:val="20"/>
              </w:rPr>
              <w:t>158</w:t>
            </w:r>
          </w:p>
        </w:tc>
        <w:tc>
          <w:tcPr>
            <w:tcW w:w="8504" w:type="dxa"/>
            <w:shd w:val="clear" w:color="auto" w:fill="auto"/>
            <w:vAlign w:val="bottom"/>
          </w:tcPr>
          <w:p w14:paraId="196503BD" w14:textId="77777777" w:rsidR="00FA366A" w:rsidRPr="002C21B8" w:rsidRDefault="00FA366A" w:rsidP="00212D46">
            <w:pPr>
              <w:spacing w:after="0" w:line="240" w:lineRule="auto"/>
              <w:rPr>
                <w:sz w:val="20"/>
                <w:szCs w:val="20"/>
              </w:rPr>
            </w:pPr>
            <w:r w:rsidRPr="002C21B8">
              <w:rPr>
                <w:sz w:val="20"/>
                <w:szCs w:val="20"/>
              </w:rPr>
              <w:t>(peripheral arterial occlusi* or peripheral artery occlusi* or peripheral arterial isch?emi* or peripheral artery isch?emi*).ti.</w:t>
            </w:r>
          </w:p>
        </w:tc>
      </w:tr>
      <w:tr w:rsidR="00FA366A" w:rsidRPr="002C21B8" w14:paraId="0553E6F7" w14:textId="77777777" w:rsidTr="00960A9F">
        <w:trPr>
          <w:trHeight w:val="320"/>
        </w:trPr>
        <w:tc>
          <w:tcPr>
            <w:tcW w:w="701" w:type="dxa"/>
            <w:shd w:val="clear" w:color="auto" w:fill="auto"/>
            <w:vAlign w:val="center"/>
          </w:tcPr>
          <w:p w14:paraId="5323D9B3" w14:textId="77777777" w:rsidR="00FA366A" w:rsidRPr="002C21B8" w:rsidRDefault="00FA366A" w:rsidP="00212D46">
            <w:pPr>
              <w:spacing w:after="0" w:line="240" w:lineRule="auto"/>
              <w:rPr>
                <w:sz w:val="20"/>
                <w:szCs w:val="20"/>
              </w:rPr>
            </w:pPr>
            <w:r w:rsidRPr="002C21B8">
              <w:rPr>
                <w:sz w:val="20"/>
                <w:szCs w:val="20"/>
              </w:rPr>
              <w:t>159</w:t>
            </w:r>
          </w:p>
        </w:tc>
        <w:tc>
          <w:tcPr>
            <w:tcW w:w="8504" w:type="dxa"/>
            <w:shd w:val="clear" w:color="auto" w:fill="auto"/>
            <w:vAlign w:val="bottom"/>
          </w:tcPr>
          <w:p w14:paraId="21639B92" w14:textId="77777777" w:rsidR="00FA366A" w:rsidRPr="002C21B8" w:rsidRDefault="00FA366A" w:rsidP="00212D46">
            <w:pPr>
              <w:spacing w:after="0" w:line="240" w:lineRule="auto"/>
              <w:rPr>
                <w:sz w:val="20"/>
                <w:szCs w:val="20"/>
              </w:rPr>
            </w:pPr>
            <w:r w:rsidRPr="002C21B8">
              <w:rPr>
                <w:sz w:val="20"/>
                <w:szCs w:val="20"/>
              </w:rPr>
              <w:t>(peripheral vascular disease* or peripheral arterial disease* or peripheral artery disease*).ti.</w:t>
            </w:r>
          </w:p>
        </w:tc>
      </w:tr>
      <w:tr w:rsidR="00FA366A" w:rsidRPr="002C21B8" w14:paraId="48123695" w14:textId="77777777" w:rsidTr="00960A9F">
        <w:trPr>
          <w:trHeight w:val="320"/>
        </w:trPr>
        <w:tc>
          <w:tcPr>
            <w:tcW w:w="701" w:type="dxa"/>
            <w:shd w:val="clear" w:color="auto" w:fill="auto"/>
            <w:vAlign w:val="center"/>
          </w:tcPr>
          <w:p w14:paraId="7ED04AAC" w14:textId="77777777" w:rsidR="00FA366A" w:rsidRPr="002C21B8" w:rsidRDefault="00FA366A" w:rsidP="00212D46">
            <w:pPr>
              <w:spacing w:after="0" w:line="240" w:lineRule="auto"/>
              <w:rPr>
                <w:sz w:val="20"/>
                <w:szCs w:val="20"/>
              </w:rPr>
            </w:pPr>
            <w:r w:rsidRPr="002C21B8">
              <w:rPr>
                <w:sz w:val="20"/>
                <w:szCs w:val="20"/>
              </w:rPr>
              <w:t>160</w:t>
            </w:r>
          </w:p>
        </w:tc>
        <w:tc>
          <w:tcPr>
            <w:tcW w:w="8504" w:type="dxa"/>
            <w:shd w:val="clear" w:color="auto" w:fill="auto"/>
            <w:vAlign w:val="bottom"/>
          </w:tcPr>
          <w:p w14:paraId="17CDAA7D" w14:textId="77777777" w:rsidR="00FA366A" w:rsidRPr="002C21B8" w:rsidRDefault="00FA366A" w:rsidP="00212D46">
            <w:pPr>
              <w:spacing w:after="0" w:line="240" w:lineRule="auto"/>
              <w:rPr>
                <w:sz w:val="20"/>
                <w:szCs w:val="20"/>
              </w:rPr>
            </w:pPr>
            <w:r w:rsidRPr="002C21B8">
              <w:rPr>
                <w:sz w:val="20"/>
                <w:szCs w:val="20"/>
              </w:rPr>
              <w:t>((limb* or lower extremity) adj isch?emi*).ti.</w:t>
            </w:r>
          </w:p>
        </w:tc>
      </w:tr>
      <w:tr w:rsidR="00FA366A" w:rsidRPr="002C21B8" w14:paraId="5E7A5784" w14:textId="77777777" w:rsidTr="00960A9F">
        <w:trPr>
          <w:trHeight w:val="320"/>
        </w:trPr>
        <w:tc>
          <w:tcPr>
            <w:tcW w:w="701" w:type="dxa"/>
            <w:shd w:val="clear" w:color="auto" w:fill="auto"/>
            <w:vAlign w:val="center"/>
          </w:tcPr>
          <w:p w14:paraId="7DC4BC4E" w14:textId="77777777" w:rsidR="00FA366A" w:rsidRPr="002C21B8" w:rsidRDefault="00FA366A" w:rsidP="00212D46">
            <w:pPr>
              <w:spacing w:after="0" w:line="240" w:lineRule="auto"/>
              <w:rPr>
                <w:sz w:val="20"/>
                <w:szCs w:val="20"/>
              </w:rPr>
            </w:pPr>
            <w:r w:rsidRPr="002C21B8">
              <w:rPr>
                <w:sz w:val="20"/>
                <w:szCs w:val="20"/>
              </w:rPr>
              <w:t>161</w:t>
            </w:r>
          </w:p>
        </w:tc>
        <w:tc>
          <w:tcPr>
            <w:tcW w:w="8504" w:type="dxa"/>
            <w:shd w:val="clear" w:color="auto" w:fill="auto"/>
            <w:vAlign w:val="bottom"/>
          </w:tcPr>
          <w:p w14:paraId="7F78F5CB" w14:textId="77777777" w:rsidR="00FA366A" w:rsidRPr="002C21B8" w:rsidRDefault="00FA366A" w:rsidP="00212D46">
            <w:pPr>
              <w:spacing w:after="0" w:line="240" w:lineRule="auto"/>
              <w:rPr>
                <w:sz w:val="20"/>
                <w:szCs w:val="20"/>
              </w:rPr>
            </w:pPr>
            <w:r w:rsidRPr="002C21B8">
              <w:rPr>
                <w:sz w:val="20"/>
                <w:szCs w:val="20"/>
              </w:rPr>
              <w:t>(intermittent and (occlusion or claudication)).ti.</w:t>
            </w:r>
          </w:p>
        </w:tc>
      </w:tr>
      <w:tr w:rsidR="00FA366A" w:rsidRPr="002C21B8" w14:paraId="42FD043F" w14:textId="77777777" w:rsidTr="00960A9F">
        <w:trPr>
          <w:trHeight w:val="320"/>
        </w:trPr>
        <w:tc>
          <w:tcPr>
            <w:tcW w:w="701" w:type="dxa"/>
            <w:shd w:val="clear" w:color="auto" w:fill="auto"/>
            <w:vAlign w:val="center"/>
          </w:tcPr>
          <w:p w14:paraId="167C5D04" w14:textId="77777777" w:rsidR="00FA366A" w:rsidRPr="002C21B8" w:rsidRDefault="00FA366A" w:rsidP="00212D46">
            <w:pPr>
              <w:spacing w:after="0" w:line="240" w:lineRule="auto"/>
              <w:rPr>
                <w:sz w:val="20"/>
                <w:szCs w:val="20"/>
              </w:rPr>
            </w:pPr>
            <w:r w:rsidRPr="002C21B8">
              <w:rPr>
                <w:sz w:val="20"/>
                <w:szCs w:val="20"/>
              </w:rPr>
              <w:t>162</w:t>
            </w:r>
          </w:p>
        </w:tc>
        <w:tc>
          <w:tcPr>
            <w:tcW w:w="8504" w:type="dxa"/>
            <w:shd w:val="clear" w:color="auto" w:fill="auto"/>
            <w:vAlign w:val="bottom"/>
          </w:tcPr>
          <w:p w14:paraId="3C0911CF" w14:textId="77777777" w:rsidR="00FA366A" w:rsidRPr="002C21B8" w:rsidRDefault="00FA366A" w:rsidP="00212D46">
            <w:pPr>
              <w:spacing w:after="0" w:line="240" w:lineRule="auto"/>
              <w:rPr>
                <w:sz w:val="20"/>
                <w:szCs w:val="20"/>
              </w:rPr>
            </w:pPr>
            <w:r w:rsidRPr="002C21B8">
              <w:rPr>
                <w:sz w:val="20"/>
                <w:szCs w:val="20"/>
              </w:rPr>
              <w:t>exp disabled persons/</w:t>
            </w:r>
          </w:p>
        </w:tc>
      </w:tr>
      <w:tr w:rsidR="00FA366A" w:rsidRPr="002C21B8" w14:paraId="63C3B2C8" w14:textId="77777777" w:rsidTr="00960A9F">
        <w:trPr>
          <w:trHeight w:val="320"/>
        </w:trPr>
        <w:tc>
          <w:tcPr>
            <w:tcW w:w="701" w:type="dxa"/>
            <w:shd w:val="clear" w:color="auto" w:fill="auto"/>
            <w:vAlign w:val="center"/>
          </w:tcPr>
          <w:p w14:paraId="7F98BAC0" w14:textId="77777777" w:rsidR="00FA366A" w:rsidRPr="002C21B8" w:rsidRDefault="00FA366A" w:rsidP="00212D46">
            <w:pPr>
              <w:spacing w:after="0" w:line="240" w:lineRule="auto"/>
              <w:rPr>
                <w:sz w:val="20"/>
                <w:szCs w:val="20"/>
              </w:rPr>
            </w:pPr>
            <w:r w:rsidRPr="002C21B8">
              <w:rPr>
                <w:sz w:val="20"/>
                <w:szCs w:val="20"/>
              </w:rPr>
              <w:t>163</w:t>
            </w:r>
          </w:p>
        </w:tc>
        <w:tc>
          <w:tcPr>
            <w:tcW w:w="8504" w:type="dxa"/>
            <w:shd w:val="clear" w:color="auto" w:fill="auto"/>
            <w:vAlign w:val="bottom"/>
          </w:tcPr>
          <w:p w14:paraId="21415E19" w14:textId="77777777" w:rsidR="00FA366A" w:rsidRPr="002C21B8" w:rsidRDefault="00FA366A" w:rsidP="00212D46">
            <w:pPr>
              <w:spacing w:after="0" w:line="240" w:lineRule="auto"/>
              <w:rPr>
                <w:sz w:val="20"/>
                <w:szCs w:val="20"/>
              </w:rPr>
            </w:pPr>
            <w:r w:rsidRPr="002C21B8">
              <w:rPr>
                <w:sz w:val="20"/>
                <w:szCs w:val="20"/>
              </w:rPr>
              <w:t>(physical disabilit* or spinal cord injur* or motor learning disability* or dwarfism).ti.</w:t>
            </w:r>
          </w:p>
        </w:tc>
      </w:tr>
      <w:tr w:rsidR="00FA366A" w:rsidRPr="002C21B8" w14:paraId="0C61955D" w14:textId="77777777" w:rsidTr="00960A9F">
        <w:trPr>
          <w:trHeight w:val="320"/>
        </w:trPr>
        <w:tc>
          <w:tcPr>
            <w:tcW w:w="701" w:type="dxa"/>
            <w:shd w:val="clear" w:color="auto" w:fill="auto"/>
            <w:vAlign w:val="center"/>
          </w:tcPr>
          <w:p w14:paraId="65AE8A5B" w14:textId="77777777" w:rsidR="00FA366A" w:rsidRPr="002C21B8" w:rsidRDefault="00FA366A" w:rsidP="00212D46">
            <w:pPr>
              <w:spacing w:after="0" w:line="240" w:lineRule="auto"/>
              <w:rPr>
                <w:sz w:val="20"/>
                <w:szCs w:val="20"/>
              </w:rPr>
            </w:pPr>
            <w:r w:rsidRPr="002C21B8">
              <w:rPr>
                <w:sz w:val="20"/>
                <w:szCs w:val="20"/>
              </w:rPr>
              <w:t>164</w:t>
            </w:r>
          </w:p>
        </w:tc>
        <w:tc>
          <w:tcPr>
            <w:tcW w:w="8504" w:type="dxa"/>
            <w:shd w:val="clear" w:color="auto" w:fill="auto"/>
            <w:vAlign w:val="bottom"/>
          </w:tcPr>
          <w:p w14:paraId="73FEADE1" w14:textId="77777777" w:rsidR="00FA366A" w:rsidRPr="002C21B8" w:rsidRDefault="00FA366A" w:rsidP="00212D46">
            <w:pPr>
              <w:spacing w:after="0" w:line="240" w:lineRule="auto"/>
              <w:rPr>
                <w:sz w:val="20"/>
                <w:szCs w:val="20"/>
              </w:rPr>
            </w:pPr>
            <w:r w:rsidRPr="002C21B8">
              <w:rPr>
                <w:sz w:val="20"/>
                <w:szCs w:val="20"/>
              </w:rPr>
              <w:t>polycystic ovary syndrome/</w:t>
            </w:r>
          </w:p>
        </w:tc>
      </w:tr>
      <w:tr w:rsidR="00FA366A" w:rsidRPr="002C21B8" w14:paraId="528AD445" w14:textId="77777777" w:rsidTr="00960A9F">
        <w:trPr>
          <w:trHeight w:val="320"/>
        </w:trPr>
        <w:tc>
          <w:tcPr>
            <w:tcW w:w="701" w:type="dxa"/>
            <w:shd w:val="clear" w:color="auto" w:fill="auto"/>
            <w:vAlign w:val="center"/>
          </w:tcPr>
          <w:p w14:paraId="16ABD798" w14:textId="77777777" w:rsidR="00FA366A" w:rsidRPr="002C21B8" w:rsidRDefault="00FA366A" w:rsidP="00212D46">
            <w:pPr>
              <w:spacing w:after="0" w:line="240" w:lineRule="auto"/>
              <w:rPr>
                <w:sz w:val="20"/>
                <w:szCs w:val="20"/>
              </w:rPr>
            </w:pPr>
            <w:r w:rsidRPr="002C21B8">
              <w:rPr>
                <w:sz w:val="20"/>
                <w:szCs w:val="20"/>
              </w:rPr>
              <w:t>165</w:t>
            </w:r>
          </w:p>
        </w:tc>
        <w:tc>
          <w:tcPr>
            <w:tcW w:w="8504" w:type="dxa"/>
            <w:shd w:val="clear" w:color="auto" w:fill="auto"/>
            <w:vAlign w:val="bottom"/>
          </w:tcPr>
          <w:p w14:paraId="597AAEA5" w14:textId="77777777" w:rsidR="00FA366A" w:rsidRPr="002C21B8" w:rsidRDefault="00FA366A" w:rsidP="00212D46">
            <w:pPr>
              <w:spacing w:after="0" w:line="240" w:lineRule="auto"/>
              <w:rPr>
                <w:sz w:val="20"/>
                <w:szCs w:val="20"/>
              </w:rPr>
            </w:pPr>
            <w:r w:rsidRPr="002C21B8">
              <w:rPr>
                <w:sz w:val="20"/>
                <w:szCs w:val="20"/>
              </w:rPr>
              <w:t>(polycystic ovary syndrome or polycystic ovarian syndrome or PCOS).ti.</w:t>
            </w:r>
          </w:p>
        </w:tc>
      </w:tr>
      <w:tr w:rsidR="00FA366A" w:rsidRPr="002C21B8" w14:paraId="5E1B48E4" w14:textId="77777777" w:rsidTr="00960A9F">
        <w:trPr>
          <w:trHeight w:val="320"/>
        </w:trPr>
        <w:tc>
          <w:tcPr>
            <w:tcW w:w="701" w:type="dxa"/>
            <w:shd w:val="clear" w:color="auto" w:fill="auto"/>
            <w:vAlign w:val="center"/>
          </w:tcPr>
          <w:p w14:paraId="32FE3D39" w14:textId="77777777" w:rsidR="00FA366A" w:rsidRPr="002C21B8" w:rsidRDefault="00FA366A" w:rsidP="00212D46">
            <w:pPr>
              <w:spacing w:after="0" w:line="240" w:lineRule="auto"/>
              <w:rPr>
                <w:sz w:val="20"/>
                <w:szCs w:val="20"/>
              </w:rPr>
            </w:pPr>
            <w:r w:rsidRPr="002C21B8">
              <w:rPr>
                <w:sz w:val="20"/>
                <w:szCs w:val="20"/>
              </w:rPr>
              <w:t>166</w:t>
            </w:r>
          </w:p>
        </w:tc>
        <w:tc>
          <w:tcPr>
            <w:tcW w:w="8504" w:type="dxa"/>
            <w:shd w:val="clear" w:color="auto" w:fill="auto"/>
            <w:vAlign w:val="bottom"/>
          </w:tcPr>
          <w:p w14:paraId="5E7F8B99" w14:textId="77777777" w:rsidR="00FA366A" w:rsidRPr="002C21B8" w:rsidRDefault="00FA366A" w:rsidP="00212D46">
            <w:pPr>
              <w:spacing w:after="0" w:line="240" w:lineRule="auto"/>
              <w:rPr>
                <w:sz w:val="20"/>
                <w:szCs w:val="20"/>
              </w:rPr>
            </w:pPr>
            <w:r w:rsidRPr="002C21B8">
              <w:rPr>
                <w:sz w:val="20"/>
                <w:szCs w:val="20"/>
              </w:rPr>
              <w:t>supranuclear palsy, progressive/</w:t>
            </w:r>
          </w:p>
        </w:tc>
      </w:tr>
      <w:tr w:rsidR="00FA366A" w:rsidRPr="002C21B8" w14:paraId="03945268" w14:textId="77777777" w:rsidTr="00960A9F">
        <w:trPr>
          <w:trHeight w:val="320"/>
        </w:trPr>
        <w:tc>
          <w:tcPr>
            <w:tcW w:w="701" w:type="dxa"/>
            <w:shd w:val="clear" w:color="auto" w:fill="auto"/>
            <w:vAlign w:val="center"/>
          </w:tcPr>
          <w:p w14:paraId="57C84AA3" w14:textId="77777777" w:rsidR="00FA366A" w:rsidRPr="002C21B8" w:rsidRDefault="00FA366A" w:rsidP="00212D46">
            <w:pPr>
              <w:spacing w:after="0" w:line="240" w:lineRule="auto"/>
              <w:rPr>
                <w:sz w:val="20"/>
                <w:szCs w:val="20"/>
              </w:rPr>
            </w:pPr>
            <w:r w:rsidRPr="002C21B8">
              <w:rPr>
                <w:sz w:val="20"/>
                <w:szCs w:val="20"/>
              </w:rPr>
              <w:t>167</w:t>
            </w:r>
          </w:p>
        </w:tc>
        <w:tc>
          <w:tcPr>
            <w:tcW w:w="8504" w:type="dxa"/>
            <w:shd w:val="clear" w:color="auto" w:fill="auto"/>
            <w:vAlign w:val="bottom"/>
          </w:tcPr>
          <w:p w14:paraId="39E43A10" w14:textId="77777777" w:rsidR="00FA366A" w:rsidRPr="002C21B8" w:rsidRDefault="00FA366A" w:rsidP="00212D46">
            <w:pPr>
              <w:spacing w:after="0" w:line="240" w:lineRule="auto"/>
              <w:rPr>
                <w:sz w:val="20"/>
                <w:szCs w:val="20"/>
              </w:rPr>
            </w:pPr>
            <w:r w:rsidRPr="002C21B8">
              <w:rPr>
                <w:sz w:val="20"/>
                <w:szCs w:val="20"/>
              </w:rPr>
              <w:t>(progressive supranuclear pals* or PSP or richardson* syndrome or (steele richardson olsezewski adj (disease or syndrome)) or (steele-richardson-olsezewski adj (disease or syndrome))).ti.</w:t>
            </w:r>
          </w:p>
        </w:tc>
      </w:tr>
      <w:tr w:rsidR="00FA366A" w:rsidRPr="002C21B8" w14:paraId="097D6DF8" w14:textId="77777777" w:rsidTr="00960A9F">
        <w:trPr>
          <w:trHeight w:val="320"/>
        </w:trPr>
        <w:tc>
          <w:tcPr>
            <w:tcW w:w="701" w:type="dxa"/>
            <w:shd w:val="clear" w:color="auto" w:fill="auto"/>
            <w:vAlign w:val="center"/>
          </w:tcPr>
          <w:p w14:paraId="6C2A040B" w14:textId="77777777" w:rsidR="00FA366A" w:rsidRPr="002C21B8" w:rsidRDefault="00FA366A" w:rsidP="00212D46">
            <w:pPr>
              <w:spacing w:after="0" w:line="240" w:lineRule="auto"/>
              <w:rPr>
                <w:sz w:val="20"/>
                <w:szCs w:val="20"/>
              </w:rPr>
            </w:pPr>
            <w:r w:rsidRPr="002C21B8">
              <w:rPr>
                <w:sz w:val="20"/>
                <w:szCs w:val="20"/>
              </w:rPr>
              <w:t>168</w:t>
            </w:r>
          </w:p>
        </w:tc>
        <w:tc>
          <w:tcPr>
            <w:tcW w:w="8504" w:type="dxa"/>
            <w:shd w:val="clear" w:color="auto" w:fill="auto"/>
            <w:vAlign w:val="bottom"/>
          </w:tcPr>
          <w:p w14:paraId="22EA16E7" w14:textId="77777777" w:rsidR="00FA366A" w:rsidRPr="002C21B8" w:rsidRDefault="00FA366A" w:rsidP="00212D46">
            <w:pPr>
              <w:spacing w:after="0" w:line="240" w:lineRule="auto"/>
              <w:rPr>
                <w:sz w:val="20"/>
                <w:szCs w:val="20"/>
              </w:rPr>
            </w:pPr>
            <w:r w:rsidRPr="002C21B8">
              <w:rPr>
                <w:sz w:val="20"/>
                <w:szCs w:val="20"/>
              </w:rPr>
              <w:t>exp psoriasis/</w:t>
            </w:r>
          </w:p>
        </w:tc>
      </w:tr>
      <w:tr w:rsidR="00FA366A" w:rsidRPr="002C21B8" w14:paraId="5985834D" w14:textId="77777777" w:rsidTr="00960A9F">
        <w:trPr>
          <w:trHeight w:val="320"/>
        </w:trPr>
        <w:tc>
          <w:tcPr>
            <w:tcW w:w="701" w:type="dxa"/>
            <w:shd w:val="clear" w:color="auto" w:fill="auto"/>
            <w:vAlign w:val="center"/>
          </w:tcPr>
          <w:p w14:paraId="2BF0729A" w14:textId="77777777" w:rsidR="00FA366A" w:rsidRPr="002C21B8" w:rsidRDefault="00FA366A" w:rsidP="00212D46">
            <w:pPr>
              <w:spacing w:after="0" w:line="240" w:lineRule="auto"/>
              <w:rPr>
                <w:sz w:val="20"/>
                <w:szCs w:val="20"/>
              </w:rPr>
            </w:pPr>
            <w:r w:rsidRPr="002C21B8">
              <w:rPr>
                <w:sz w:val="20"/>
                <w:szCs w:val="20"/>
              </w:rPr>
              <w:t>169</w:t>
            </w:r>
          </w:p>
        </w:tc>
        <w:tc>
          <w:tcPr>
            <w:tcW w:w="8504" w:type="dxa"/>
            <w:shd w:val="clear" w:color="auto" w:fill="auto"/>
            <w:vAlign w:val="bottom"/>
          </w:tcPr>
          <w:p w14:paraId="42693791" w14:textId="77777777" w:rsidR="00FA366A" w:rsidRPr="002C21B8" w:rsidRDefault="00FA366A" w:rsidP="00212D46">
            <w:pPr>
              <w:spacing w:after="0" w:line="240" w:lineRule="auto"/>
              <w:rPr>
                <w:sz w:val="20"/>
                <w:szCs w:val="20"/>
              </w:rPr>
            </w:pPr>
            <w:r w:rsidRPr="002C21B8">
              <w:rPr>
                <w:sz w:val="20"/>
                <w:szCs w:val="20"/>
              </w:rPr>
              <w:t>psoriasis.ti.</w:t>
            </w:r>
          </w:p>
        </w:tc>
      </w:tr>
      <w:tr w:rsidR="00FA366A" w:rsidRPr="002C21B8" w14:paraId="4E1D1820" w14:textId="77777777" w:rsidTr="00960A9F">
        <w:trPr>
          <w:trHeight w:val="320"/>
        </w:trPr>
        <w:tc>
          <w:tcPr>
            <w:tcW w:w="701" w:type="dxa"/>
            <w:shd w:val="clear" w:color="auto" w:fill="auto"/>
            <w:vAlign w:val="center"/>
          </w:tcPr>
          <w:p w14:paraId="720B01B4" w14:textId="77777777" w:rsidR="00FA366A" w:rsidRPr="002C21B8" w:rsidRDefault="00FA366A" w:rsidP="00212D46">
            <w:pPr>
              <w:spacing w:after="0" w:line="240" w:lineRule="auto"/>
              <w:rPr>
                <w:sz w:val="20"/>
                <w:szCs w:val="20"/>
              </w:rPr>
            </w:pPr>
            <w:r w:rsidRPr="002C21B8">
              <w:rPr>
                <w:sz w:val="20"/>
                <w:szCs w:val="20"/>
              </w:rPr>
              <w:t>170</w:t>
            </w:r>
          </w:p>
        </w:tc>
        <w:tc>
          <w:tcPr>
            <w:tcW w:w="8504" w:type="dxa"/>
            <w:shd w:val="clear" w:color="auto" w:fill="auto"/>
            <w:vAlign w:val="bottom"/>
          </w:tcPr>
          <w:p w14:paraId="2B4D4357" w14:textId="77777777" w:rsidR="00FA366A" w:rsidRPr="002C21B8" w:rsidRDefault="00FA366A" w:rsidP="00212D46">
            <w:pPr>
              <w:spacing w:after="0" w:line="240" w:lineRule="auto"/>
              <w:rPr>
                <w:sz w:val="20"/>
                <w:szCs w:val="20"/>
              </w:rPr>
            </w:pPr>
            <w:r w:rsidRPr="002C21B8">
              <w:rPr>
                <w:sz w:val="20"/>
                <w:szCs w:val="20"/>
              </w:rPr>
              <w:t>rare diseases/</w:t>
            </w:r>
          </w:p>
        </w:tc>
      </w:tr>
      <w:tr w:rsidR="00FA366A" w:rsidRPr="002C21B8" w14:paraId="4FD6F2F6" w14:textId="77777777" w:rsidTr="00960A9F">
        <w:trPr>
          <w:trHeight w:val="320"/>
        </w:trPr>
        <w:tc>
          <w:tcPr>
            <w:tcW w:w="701" w:type="dxa"/>
            <w:shd w:val="clear" w:color="auto" w:fill="auto"/>
            <w:vAlign w:val="center"/>
          </w:tcPr>
          <w:p w14:paraId="4D337451" w14:textId="77777777" w:rsidR="00FA366A" w:rsidRPr="002C21B8" w:rsidRDefault="00FA366A" w:rsidP="00212D46">
            <w:pPr>
              <w:spacing w:after="0" w:line="240" w:lineRule="auto"/>
              <w:rPr>
                <w:sz w:val="20"/>
                <w:szCs w:val="20"/>
              </w:rPr>
            </w:pPr>
            <w:r w:rsidRPr="002C21B8">
              <w:rPr>
                <w:sz w:val="20"/>
                <w:szCs w:val="20"/>
              </w:rPr>
              <w:t>171</w:t>
            </w:r>
          </w:p>
        </w:tc>
        <w:tc>
          <w:tcPr>
            <w:tcW w:w="8504" w:type="dxa"/>
            <w:shd w:val="clear" w:color="auto" w:fill="auto"/>
            <w:vAlign w:val="bottom"/>
          </w:tcPr>
          <w:p w14:paraId="4A022875" w14:textId="77777777" w:rsidR="00FA366A" w:rsidRPr="002C21B8" w:rsidRDefault="00FA366A" w:rsidP="00212D46">
            <w:pPr>
              <w:spacing w:after="0" w:line="240" w:lineRule="auto"/>
              <w:rPr>
                <w:sz w:val="20"/>
                <w:szCs w:val="20"/>
              </w:rPr>
            </w:pPr>
            <w:r w:rsidRPr="002C21B8">
              <w:rPr>
                <w:sz w:val="20"/>
                <w:szCs w:val="20"/>
              </w:rPr>
              <w:t>(rare dis* or rare diagnos* or orphan dis*).ti.</w:t>
            </w:r>
          </w:p>
        </w:tc>
      </w:tr>
      <w:tr w:rsidR="00FA366A" w:rsidRPr="002C21B8" w14:paraId="0E4496A4" w14:textId="77777777" w:rsidTr="00960A9F">
        <w:trPr>
          <w:trHeight w:val="320"/>
        </w:trPr>
        <w:tc>
          <w:tcPr>
            <w:tcW w:w="701" w:type="dxa"/>
            <w:shd w:val="clear" w:color="auto" w:fill="auto"/>
            <w:vAlign w:val="center"/>
          </w:tcPr>
          <w:p w14:paraId="043394C6" w14:textId="77777777" w:rsidR="00FA366A" w:rsidRPr="002C21B8" w:rsidRDefault="00FA366A" w:rsidP="00212D46">
            <w:pPr>
              <w:spacing w:after="0" w:line="240" w:lineRule="auto"/>
              <w:rPr>
                <w:sz w:val="20"/>
                <w:szCs w:val="20"/>
              </w:rPr>
            </w:pPr>
            <w:r w:rsidRPr="002C21B8">
              <w:rPr>
                <w:sz w:val="20"/>
                <w:szCs w:val="20"/>
              </w:rPr>
              <w:t>172</w:t>
            </w:r>
          </w:p>
        </w:tc>
        <w:tc>
          <w:tcPr>
            <w:tcW w:w="8504" w:type="dxa"/>
            <w:shd w:val="clear" w:color="auto" w:fill="auto"/>
            <w:vAlign w:val="bottom"/>
          </w:tcPr>
          <w:p w14:paraId="49DF1565" w14:textId="77777777" w:rsidR="00FA366A" w:rsidRPr="002C21B8" w:rsidRDefault="00FA366A" w:rsidP="00212D46">
            <w:pPr>
              <w:spacing w:after="0" w:line="240" w:lineRule="auto"/>
              <w:rPr>
                <w:sz w:val="20"/>
                <w:szCs w:val="20"/>
              </w:rPr>
            </w:pPr>
            <w:r w:rsidRPr="002C21B8">
              <w:rPr>
                <w:sz w:val="20"/>
                <w:szCs w:val="20"/>
              </w:rPr>
              <w:t>exp sarcoidosis/</w:t>
            </w:r>
          </w:p>
        </w:tc>
      </w:tr>
      <w:tr w:rsidR="00FA366A" w:rsidRPr="002C21B8" w14:paraId="4041BCAD" w14:textId="77777777" w:rsidTr="00960A9F">
        <w:trPr>
          <w:trHeight w:val="320"/>
        </w:trPr>
        <w:tc>
          <w:tcPr>
            <w:tcW w:w="701" w:type="dxa"/>
            <w:shd w:val="clear" w:color="auto" w:fill="auto"/>
            <w:vAlign w:val="center"/>
          </w:tcPr>
          <w:p w14:paraId="7853C7F9" w14:textId="77777777" w:rsidR="00FA366A" w:rsidRPr="002C21B8" w:rsidRDefault="00FA366A" w:rsidP="00212D46">
            <w:pPr>
              <w:spacing w:after="0" w:line="240" w:lineRule="auto"/>
              <w:rPr>
                <w:sz w:val="20"/>
                <w:szCs w:val="20"/>
              </w:rPr>
            </w:pPr>
            <w:r w:rsidRPr="002C21B8">
              <w:rPr>
                <w:sz w:val="20"/>
                <w:szCs w:val="20"/>
              </w:rPr>
              <w:t>173</w:t>
            </w:r>
          </w:p>
        </w:tc>
        <w:tc>
          <w:tcPr>
            <w:tcW w:w="8504" w:type="dxa"/>
            <w:shd w:val="clear" w:color="auto" w:fill="auto"/>
            <w:vAlign w:val="bottom"/>
          </w:tcPr>
          <w:p w14:paraId="412B96B7" w14:textId="77777777" w:rsidR="00FA366A" w:rsidRPr="002C21B8" w:rsidRDefault="00FA366A" w:rsidP="00212D46">
            <w:pPr>
              <w:spacing w:after="0" w:line="240" w:lineRule="auto"/>
              <w:rPr>
                <w:sz w:val="20"/>
                <w:szCs w:val="20"/>
              </w:rPr>
            </w:pPr>
            <w:r w:rsidRPr="002C21B8">
              <w:rPr>
                <w:sz w:val="20"/>
                <w:szCs w:val="20"/>
              </w:rPr>
              <w:t>(sarcoid or sarcoidosis).ti.</w:t>
            </w:r>
          </w:p>
        </w:tc>
      </w:tr>
      <w:tr w:rsidR="00FA366A" w:rsidRPr="002C21B8" w14:paraId="50042C85" w14:textId="77777777" w:rsidTr="00960A9F">
        <w:trPr>
          <w:trHeight w:val="320"/>
        </w:trPr>
        <w:tc>
          <w:tcPr>
            <w:tcW w:w="701" w:type="dxa"/>
            <w:shd w:val="clear" w:color="auto" w:fill="auto"/>
            <w:vAlign w:val="center"/>
          </w:tcPr>
          <w:p w14:paraId="34F01CA7" w14:textId="77777777" w:rsidR="00FA366A" w:rsidRPr="002C21B8" w:rsidRDefault="00FA366A" w:rsidP="00212D46">
            <w:pPr>
              <w:spacing w:after="0" w:line="240" w:lineRule="auto"/>
              <w:rPr>
                <w:sz w:val="20"/>
                <w:szCs w:val="20"/>
              </w:rPr>
            </w:pPr>
            <w:r w:rsidRPr="002C21B8">
              <w:rPr>
                <w:sz w:val="20"/>
                <w:szCs w:val="20"/>
              </w:rPr>
              <w:t>174</w:t>
            </w:r>
          </w:p>
        </w:tc>
        <w:tc>
          <w:tcPr>
            <w:tcW w:w="8504" w:type="dxa"/>
            <w:shd w:val="clear" w:color="auto" w:fill="auto"/>
            <w:vAlign w:val="bottom"/>
          </w:tcPr>
          <w:p w14:paraId="7A880A68" w14:textId="77777777" w:rsidR="00FA366A" w:rsidRPr="002C21B8" w:rsidRDefault="00FA366A" w:rsidP="00212D46">
            <w:pPr>
              <w:spacing w:after="0" w:line="240" w:lineRule="auto"/>
              <w:rPr>
                <w:sz w:val="20"/>
                <w:szCs w:val="20"/>
              </w:rPr>
            </w:pPr>
            <w:r w:rsidRPr="002C21B8">
              <w:rPr>
                <w:sz w:val="20"/>
                <w:szCs w:val="20"/>
              </w:rPr>
              <w:t>exp deafness/</w:t>
            </w:r>
          </w:p>
        </w:tc>
      </w:tr>
      <w:tr w:rsidR="00FA366A" w:rsidRPr="002C21B8" w14:paraId="2E174480" w14:textId="77777777" w:rsidTr="00960A9F">
        <w:trPr>
          <w:trHeight w:val="320"/>
        </w:trPr>
        <w:tc>
          <w:tcPr>
            <w:tcW w:w="701" w:type="dxa"/>
            <w:shd w:val="clear" w:color="auto" w:fill="auto"/>
            <w:vAlign w:val="center"/>
          </w:tcPr>
          <w:p w14:paraId="4B2CC401" w14:textId="77777777" w:rsidR="00FA366A" w:rsidRPr="002C21B8" w:rsidRDefault="00FA366A" w:rsidP="00212D46">
            <w:pPr>
              <w:spacing w:after="0" w:line="240" w:lineRule="auto"/>
              <w:rPr>
                <w:sz w:val="20"/>
                <w:szCs w:val="20"/>
              </w:rPr>
            </w:pPr>
            <w:r w:rsidRPr="002C21B8">
              <w:rPr>
                <w:sz w:val="20"/>
                <w:szCs w:val="20"/>
              </w:rPr>
              <w:t>175</w:t>
            </w:r>
          </w:p>
        </w:tc>
        <w:tc>
          <w:tcPr>
            <w:tcW w:w="8504" w:type="dxa"/>
            <w:shd w:val="clear" w:color="auto" w:fill="auto"/>
            <w:vAlign w:val="bottom"/>
          </w:tcPr>
          <w:p w14:paraId="0F684477" w14:textId="77777777" w:rsidR="00FA366A" w:rsidRPr="002C21B8" w:rsidRDefault="00FA366A" w:rsidP="00212D46">
            <w:pPr>
              <w:spacing w:after="0" w:line="240" w:lineRule="auto"/>
              <w:rPr>
                <w:sz w:val="20"/>
                <w:szCs w:val="20"/>
              </w:rPr>
            </w:pPr>
            <w:r w:rsidRPr="002C21B8">
              <w:rPr>
                <w:sz w:val="20"/>
                <w:szCs w:val="20"/>
              </w:rPr>
              <w:t>exp blindness/</w:t>
            </w:r>
          </w:p>
        </w:tc>
      </w:tr>
      <w:tr w:rsidR="00FA366A" w:rsidRPr="002C21B8" w14:paraId="403E6839" w14:textId="77777777" w:rsidTr="00960A9F">
        <w:trPr>
          <w:trHeight w:val="320"/>
        </w:trPr>
        <w:tc>
          <w:tcPr>
            <w:tcW w:w="701" w:type="dxa"/>
            <w:shd w:val="clear" w:color="auto" w:fill="auto"/>
            <w:vAlign w:val="center"/>
          </w:tcPr>
          <w:p w14:paraId="4DABAFFA" w14:textId="77777777" w:rsidR="00FA366A" w:rsidRPr="002C21B8" w:rsidRDefault="00FA366A" w:rsidP="00212D46">
            <w:pPr>
              <w:spacing w:after="0" w:line="240" w:lineRule="auto"/>
              <w:rPr>
                <w:sz w:val="20"/>
                <w:szCs w:val="20"/>
              </w:rPr>
            </w:pPr>
            <w:r w:rsidRPr="002C21B8">
              <w:rPr>
                <w:sz w:val="20"/>
                <w:szCs w:val="20"/>
              </w:rPr>
              <w:t>176</w:t>
            </w:r>
          </w:p>
        </w:tc>
        <w:tc>
          <w:tcPr>
            <w:tcW w:w="8504" w:type="dxa"/>
            <w:shd w:val="clear" w:color="auto" w:fill="auto"/>
            <w:vAlign w:val="bottom"/>
          </w:tcPr>
          <w:p w14:paraId="4E8ADC9E" w14:textId="77777777" w:rsidR="00FA366A" w:rsidRPr="002C21B8" w:rsidRDefault="00FA366A" w:rsidP="00212D46">
            <w:pPr>
              <w:spacing w:after="0" w:line="240" w:lineRule="auto"/>
              <w:rPr>
                <w:sz w:val="20"/>
                <w:szCs w:val="20"/>
              </w:rPr>
            </w:pPr>
            <w:r w:rsidRPr="002C21B8">
              <w:rPr>
                <w:sz w:val="20"/>
                <w:szCs w:val="20"/>
              </w:rPr>
              <w:t>visually impaired persons/</w:t>
            </w:r>
          </w:p>
        </w:tc>
      </w:tr>
      <w:tr w:rsidR="00FA366A" w:rsidRPr="002C21B8" w14:paraId="53E215FC" w14:textId="77777777" w:rsidTr="00960A9F">
        <w:trPr>
          <w:trHeight w:val="320"/>
        </w:trPr>
        <w:tc>
          <w:tcPr>
            <w:tcW w:w="701" w:type="dxa"/>
            <w:shd w:val="clear" w:color="auto" w:fill="auto"/>
            <w:vAlign w:val="center"/>
          </w:tcPr>
          <w:p w14:paraId="35312FD8" w14:textId="77777777" w:rsidR="00FA366A" w:rsidRPr="002C21B8" w:rsidRDefault="00FA366A" w:rsidP="00212D46">
            <w:pPr>
              <w:spacing w:after="0" w:line="240" w:lineRule="auto"/>
              <w:rPr>
                <w:sz w:val="20"/>
                <w:szCs w:val="20"/>
              </w:rPr>
            </w:pPr>
            <w:r w:rsidRPr="002C21B8">
              <w:rPr>
                <w:sz w:val="20"/>
                <w:szCs w:val="20"/>
              </w:rPr>
              <w:t>177</w:t>
            </w:r>
          </w:p>
        </w:tc>
        <w:tc>
          <w:tcPr>
            <w:tcW w:w="8504" w:type="dxa"/>
            <w:shd w:val="clear" w:color="auto" w:fill="auto"/>
            <w:vAlign w:val="bottom"/>
          </w:tcPr>
          <w:p w14:paraId="3B0542D7" w14:textId="77777777" w:rsidR="00FA366A" w:rsidRPr="002C21B8" w:rsidRDefault="00FA366A" w:rsidP="00212D46">
            <w:pPr>
              <w:spacing w:after="0" w:line="240" w:lineRule="auto"/>
              <w:rPr>
                <w:sz w:val="20"/>
                <w:szCs w:val="20"/>
              </w:rPr>
            </w:pPr>
            <w:r w:rsidRPr="002C21B8">
              <w:rPr>
                <w:sz w:val="20"/>
                <w:szCs w:val="20"/>
              </w:rPr>
              <w:t>(hearing loss or hearing aid* or deaf* or hearing impairment or hearing disorder).ti.</w:t>
            </w:r>
          </w:p>
        </w:tc>
      </w:tr>
      <w:tr w:rsidR="00FA366A" w:rsidRPr="002C21B8" w14:paraId="7D54827E" w14:textId="77777777" w:rsidTr="00960A9F">
        <w:trPr>
          <w:trHeight w:val="320"/>
        </w:trPr>
        <w:tc>
          <w:tcPr>
            <w:tcW w:w="701" w:type="dxa"/>
            <w:shd w:val="clear" w:color="auto" w:fill="auto"/>
            <w:vAlign w:val="center"/>
          </w:tcPr>
          <w:p w14:paraId="23724342" w14:textId="77777777" w:rsidR="00FA366A" w:rsidRPr="002C21B8" w:rsidRDefault="00FA366A" w:rsidP="00212D46">
            <w:pPr>
              <w:spacing w:after="0" w:line="240" w:lineRule="auto"/>
              <w:rPr>
                <w:sz w:val="20"/>
                <w:szCs w:val="20"/>
              </w:rPr>
            </w:pPr>
            <w:r w:rsidRPr="002C21B8">
              <w:rPr>
                <w:sz w:val="20"/>
                <w:szCs w:val="20"/>
              </w:rPr>
              <w:t>178</w:t>
            </w:r>
          </w:p>
        </w:tc>
        <w:tc>
          <w:tcPr>
            <w:tcW w:w="8504" w:type="dxa"/>
            <w:shd w:val="clear" w:color="auto" w:fill="auto"/>
            <w:vAlign w:val="bottom"/>
          </w:tcPr>
          <w:p w14:paraId="718B053A" w14:textId="77777777" w:rsidR="00FA366A" w:rsidRPr="002C21B8" w:rsidRDefault="00FA366A" w:rsidP="00212D46">
            <w:pPr>
              <w:spacing w:after="0" w:line="240" w:lineRule="auto"/>
              <w:rPr>
                <w:sz w:val="20"/>
                <w:szCs w:val="20"/>
              </w:rPr>
            </w:pPr>
            <w:r w:rsidRPr="002C21B8">
              <w:rPr>
                <w:sz w:val="20"/>
                <w:szCs w:val="20"/>
              </w:rPr>
              <w:t>(visual impairment or visually impaired or visual disorder or vision impairment).ti.</w:t>
            </w:r>
          </w:p>
        </w:tc>
      </w:tr>
      <w:tr w:rsidR="00FA366A" w:rsidRPr="002C21B8" w14:paraId="00344773" w14:textId="77777777" w:rsidTr="00960A9F">
        <w:trPr>
          <w:trHeight w:val="320"/>
        </w:trPr>
        <w:tc>
          <w:tcPr>
            <w:tcW w:w="701" w:type="dxa"/>
            <w:shd w:val="clear" w:color="auto" w:fill="auto"/>
            <w:vAlign w:val="center"/>
          </w:tcPr>
          <w:p w14:paraId="2E1F28B7" w14:textId="77777777" w:rsidR="00FA366A" w:rsidRPr="002C21B8" w:rsidRDefault="00FA366A" w:rsidP="00212D46">
            <w:pPr>
              <w:spacing w:after="0" w:line="240" w:lineRule="auto"/>
              <w:rPr>
                <w:sz w:val="20"/>
                <w:szCs w:val="20"/>
              </w:rPr>
            </w:pPr>
            <w:r w:rsidRPr="002C21B8">
              <w:rPr>
                <w:sz w:val="20"/>
                <w:szCs w:val="20"/>
              </w:rPr>
              <w:t>179</w:t>
            </w:r>
          </w:p>
        </w:tc>
        <w:tc>
          <w:tcPr>
            <w:tcW w:w="8504" w:type="dxa"/>
            <w:shd w:val="clear" w:color="auto" w:fill="auto"/>
            <w:vAlign w:val="bottom"/>
          </w:tcPr>
          <w:p w14:paraId="7C69C194" w14:textId="77777777" w:rsidR="00FA366A" w:rsidRPr="002C21B8" w:rsidRDefault="00FA366A" w:rsidP="00212D46">
            <w:pPr>
              <w:spacing w:after="0" w:line="240" w:lineRule="auto"/>
              <w:rPr>
                <w:sz w:val="20"/>
                <w:szCs w:val="20"/>
              </w:rPr>
            </w:pPr>
            <w:r w:rsidRPr="002C21B8">
              <w:rPr>
                <w:sz w:val="20"/>
                <w:szCs w:val="20"/>
              </w:rPr>
              <w:t>exp anemia, sickle cell/</w:t>
            </w:r>
          </w:p>
        </w:tc>
      </w:tr>
      <w:tr w:rsidR="00FA366A" w:rsidRPr="002C21B8" w14:paraId="0129C74E" w14:textId="77777777" w:rsidTr="00960A9F">
        <w:trPr>
          <w:trHeight w:val="320"/>
        </w:trPr>
        <w:tc>
          <w:tcPr>
            <w:tcW w:w="701" w:type="dxa"/>
            <w:shd w:val="clear" w:color="auto" w:fill="auto"/>
            <w:vAlign w:val="center"/>
          </w:tcPr>
          <w:p w14:paraId="70A5C3D7" w14:textId="77777777" w:rsidR="00FA366A" w:rsidRPr="002C21B8" w:rsidRDefault="00FA366A" w:rsidP="00212D46">
            <w:pPr>
              <w:spacing w:after="0" w:line="240" w:lineRule="auto"/>
              <w:rPr>
                <w:sz w:val="20"/>
                <w:szCs w:val="20"/>
              </w:rPr>
            </w:pPr>
            <w:r w:rsidRPr="002C21B8">
              <w:rPr>
                <w:sz w:val="20"/>
                <w:szCs w:val="20"/>
              </w:rPr>
              <w:t>180</w:t>
            </w:r>
          </w:p>
        </w:tc>
        <w:tc>
          <w:tcPr>
            <w:tcW w:w="8504" w:type="dxa"/>
            <w:shd w:val="clear" w:color="auto" w:fill="auto"/>
            <w:vAlign w:val="bottom"/>
          </w:tcPr>
          <w:p w14:paraId="225710BC" w14:textId="77777777" w:rsidR="00FA366A" w:rsidRPr="002C21B8" w:rsidRDefault="00FA366A" w:rsidP="00212D46">
            <w:pPr>
              <w:spacing w:after="0" w:line="240" w:lineRule="auto"/>
              <w:rPr>
                <w:sz w:val="20"/>
                <w:szCs w:val="20"/>
              </w:rPr>
            </w:pPr>
            <w:r w:rsidRPr="002C21B8">
              <w:rPr>
                <w:sz w:val="20"/>
                <w:szCs w:val="20"/>
              </w:rPr>
              <w:t>(((h?emoglobin s disease or hbs disease or sickling disorder) and h?emoglobin s) or ((sickle cell adj (disease* or an?emia or disorder*)) or SCD)).ti.</w:t>
            </w:r>
          </w:p>
        </w:tc>
      </w:tr>
      <w:tr w:rsidR="00FA366A" w:rsidRPr="002C21B8" w14:paraId="211CC59A" w14:textId="77777777" w:rsidTr="00960A9F">
        <w:trPr>
          <w:trHeight w:val="320"/>
        </w:trPr>
        <w:tc>
          <w:tcPr>
            <w:tcW w:w="701" w:type="dxa"/>
            <w:shd w:val="clear" w:color="auto" w:fill="auto"/>
            <w:vAlign w:val="center"/>
          </w:tcPr>
          <w:p w14:paraId="3ACFA7FE" w14:textId="77777777" w:rsidR="00FA366A" w:rsidRPr="002C21B8" w:rsidRDefault="00FA366A" w:rsidP="00212D46">
            <w:pPr>
              <w:spacing w:after="0" w:line="240" w:lineRule="auto"/>
              <w:rPr>
                <w:sz w:val="20"/>
                <w:szCs w:val="20"/>
              </w:rPr>
            </w:pPr>
            <w:r w:rsidRPr="002C21B8">
              <w:rPr>
                <w:sz w:val="20"/>
                <w:szCs w:val="20"/>
              </w:rPr>
              <w:t>181</w:t>
            </w:r>
          </w:p>
        </w:tc>
        <w:tc>
          <w:tcPr>
            <w:tcW w:w="8504" w:type="dxa"/>
            <w:shd w:val="clear" w:color="auto" w:fill="auto"/>
            <w:vAlign w:val="bottom"/>
          </w:tcPr>
          <w:p w14:paraId="4B6C9F01" w14:textId="77777777" w:rsidR="00FA366A" w:rsidRPr="002C21B8" w:rsidRDefault="00FA366A" w:rsidP="00212D46">
            <w:pPr>
              <w:spacing w:after="0" w:line="240" w:lineRule="auto"/>
              <w:rPr>
                <w:sz w:val="20"/>
                <w:szCs w:val="20"/>
              </w:rPr>
            </w:pPr>
            <w:r w:rsidRPr="002C21B8">
              <w:rPr>
                <w:sz w:val="20"/>
                <w:szCs w:val="20"/>
              </w:rPr>
              <w:t>exp skin diseases/</w:t>
            </w:r>
          </w:p>
        </w:tc>
      </w:tr>
      <w:tr w:rsidR="00FA366A" w:rsidRPr="002C21B8" w14:paraId="31A3B21B" w14:textId="77777777" w:rsidTr="00960A9F">
        <w:trPr>
          <w:trHeight w:val="320"/>
        </w:trPr>
        <w:tc>
          <w:tcPr>
            <w:tcW w:w="701" w:type="dxa"/>
            <w:shd w:val="clear" w:color="auto" w:fill="auto"/>
            <w:vAlign w:val="center"/>
          </w:tcPr>
          <w:p w14:paraId="67D56F6C" w14:textId="77777777" w:rsidR="00FA366A" w:rsidRPr="002C21B8" w:rsidRDefault="00FA366A" w:rsidP="00212D46">
            <w:pPr>
              <w:spacing w:after="0" w:line="240" w:lineRule="auto"/>
              <w:rPr>
                <w:sz w:val="20"/>
                <w:szCs w:val="20"/>
              </w:rPr>
            </w:pPr>
            <w:r w:rsidRPr="002C21B8">
              <w:rPr>
                <w:sz w:val="20"/>
                <w:szCs w:val="20"/>
              </w:rPr>
              <w:t>182</w:t>
            </w:r>
          </w:p>
        </w:tc>
        <w:tc>
          <w:tcPr>
            <w:tcW w:w="8504" w:type="dxa"/>
            <w:shd w:val="clear" w:color="auto" w:fill="auto"/>
            <w:vAlign w:val="bottom"/>
          </w:tcPr>
          <w:p w14:paraId="02207135" w14:textId="77777777" w:rsidR="00FA366A" w:rsidRPr="002C21B8" w:rsidRDefault="00FA366A" w:rsidP="00212D46">
            <w:pPr>
              <w:spacing w:after="0" w:line="240" w:lineRule="auto"/>
              <w:rPr>
                <w:sz w:val="20"/>
                <w:szCs w:val="20"/>
              </w:rPr>
            </w:pPr>
            <w:r w:rsidRPr="002C21B8">
              <w:rPr>
                <w:sz w:val="20"/>
                <w:szCs w:val="20"/>
              </w:rPr>
              <w:t>exp dyssomnias/</w:t>
            </w:r>
          </w:p>
        </w:tc>
      </w:tr>
      <w:tr w:rsidR="00FA366A" w:rsidRPr="002C21B8" w14:paraId="064AD5A4" w14:textId="77777777" w:rsidTr="00960A9F">
        <w:trPr>
          <w:trHeight w:val="320"/>
        </w:trPr>
        <w:tc>
          <w:tcPr>
            <w:tcW w:w="701" w:type="dxa"/>
            <w:shd w:val="clear" w:color="auto" w:fill="auto"/>
            <w:vAlign w:val="center"/>
          </w:tcPr>
          <w:p w14:paraId="6FF483F5" w14:textId="77777777" w:rsidR="00FA366A" w:rsidRPr="002C21B8" w:rsidRDefault="00FA366A" w:rsidP="00212D46">
            <w:pPr>
              <w:spacing w:after="0" w:line="240" w:lineRule="auto"/>
              <w:rPr>
                <w:sz w:val="20"/>
                <w:szCs w:val="20"/>
              </w:rPr>
            </w:pPr>
            <w:r w:rsidRPr="002C21B8">
              <w:rPr>
                <w:sz w:val="20"/>
                <w:szCs w:val="20"/>
              </w:rPr>
              <w:t>183</w:t>
            </w:r>
          </w:p>
        </w:tc>
        <w:tc>
          <w:tcPr>
            <w:tcW w:w="8504" w:type="dxa"/>
            <w:shd w:val="clear" w:color="auto" w:fill="auto"/>
            <w:vAlign w:val="bottom"/>
          </w:tcPr>
          <w:p w14:paraId="12775028" w14:textId="77777777" w:rsidR="00FA366A" w:rsidRPr="002C21B8" w:rsidRDefault="00FA366A" w:rsidP="00212D46">
            <w:pPr>
              <w:spacing w:after="0" w:line="240" w:lineRule="auto"/>
              <w:rPr>
                <w:sz w:val="20"/>
                <w:szCs w:val="20"/>
              </w:rPr>
            </w:pPr>
            <w:r w:rsidRPr="002C21B8">
              <w:rPr>
                <w:sz w:val="20"/>
                <w:szCs w:val="20"/>
              </w:rPr>
              <w:t>(dyssomnia or sleep disorder*).ti.</w:t>
            </w:r>
          </w:p>
        </w:tc>
      </w:tr>
      <w:tr w:rsidR="00FA366A" w:rsidRPr="002C21B8" w14:paraId="3CF4AAD7" w14:textId="77777777" w:rsidTr="00960A9F">
        <w:trPr>
          <w:trHeight w:val="320"/>
        </w:trPr>
        <w:tc>
          <w:tcPr>
            <w:tcW w:w="701" w:type="dxa"/>
            <w:shd w:val="clear" w:color="auto" w:fill="auto"/>
            <w:vAlign w:val="center"/>
          </w:tcPr>
          <w:p w14:paraId="7FF2B683" w14:textId="77777777" w:rsidR="00FA366A" w:rsidRPr="002C21B8" w:rsidRDefault="00FA366A" w:rsidP="00212D46">
            <w:pPr>
              <w:spacing w:after="0" w:line="240" w:lineRule="auto"/>
              <w:rPr>
                <w:sz w:val="20"/>
                <w:szCs w:val="20"/>
              </w:rPr>
            </w:pPr>
            <w:r w:rsidRPr="002C21B8">
              <w:rPr>
                <w:sz w:val="20"/>
                <w:szCs w:val="20"/>
              </w:rPr>
              <w:t>184</w:t>
            </w:r>
          </w:p>
        </w:tc>
        <w:tc>
          <w:tcPr>
            <w:tcW w:w="8504" w:type="dxa"/>
            <w:shd w:val="clear" w:color="auto" w:fill="auto"/>
            <w:vAlign w:val="bottom"/>
          </w:tcPr>
          <w:p w14:paraId="1D50B9CD" w14:textId="77777777" w:rsidR="00FA366A" w:rsidRPr="002C21B8" w:rsidRDefault="00FA366A" w:rsidP="00212D46">
            <w:pPr>
              <w:spacing w:after="0" w:line="240" w:lineRule="auto"/>
              <w:rPr>
                <w:sz w:val="20"/>
                <w:szCs w:val="20"/>
              </w:rPr>
            </w:pPr>
            <w:r w:rsidRPr="002C21B8">
              <w:rPr>
                <w:sz w:val="20"/>
                <w:szCs w:val="20"/>
              </w:rPr>
              <w:t>exp speech disorders/</w:t>
            </w:r>
          </w:p>
        </w:tc>
      </w:tr>
      <w:tr w:rsidR="00FA366A" w:rsidRPr="002C21B8" w14:paraId="6454931C" w14:textId="77777777" w:rsidTr="00960A9F">
        <w:trPr>
          <w:trHeight w:val="320"/>
        </w:trPr>
        <w:tc>
          <w:tcPr>
            <w:tcW w:w="701" w:type="dxa"/>
            <w:shd w:val="clear" w:color="auto" w:fill="auto"/>
            <w:vAlign w:val="center"/>
          </w:tcPr>
          <w:p w14:paraId="114ACAE2" w14:textId="77777777" w:rsidR="00FA366A" w:rsidRPr="002C21B8" w:rsidRDefault="00FA366A" w:rsidP="00212D46">
            <w:pPr>
              <w:spacing w:after="0" w:line="240" w:lineRule="auto"/>
              <w:rPr>
                <w:sz w:val="20"/>
                <w:szCs w:val="20"/>
              </w:rPr>
            </w:pPr>
            <w:r w:rsidRPr="002C21B8">
              <w:rPr>
                <w:sz w:val="20"/>
                <w:szCs w:val="20"/>
              </w:rPr>
              <w:t>185</w:t>
            </w:r>
          </w:p>
        </w:tc>
        <w:tc>
          <w:tcPr>
            <w:tcW w:w="8504" w:type="dxa"/>
            <w:shd w:val="clear" w:color="auto" w:fill="auto"/>
            <w:vAlign w:val="bottom"/>
          </w:tcPr>
          <w:p w14:paraId="7D55EC3B" w14:textId="77777777" w:rsidR="00FA366A" w:rsidRPr="002C21B8" w:rsidRDefault="00FA366A" w:rsidP="00212D46">
            <w:pPr>
              <w:spacing w:after="0" w:line="240" w:lineRule="auto"/>
              <w:rPr>
                <w:sz w:val="20"/>
                <w:szCs w:val="20"/>
              </w:rPr>
            </w:pPr>
            <w:r w:rsidRPr="002C21B8">
              <w:rPr>
                <w:sz w:val="20"/>
                <w:szCs w:val="20"/>
              </w:rPr>
              <w:t>((communication or learning or consciousness or perceptual or speech or voice or psychomotor) adj disorder*).ti.</w:t>
            </w:r>
          </w:p>
        </w:tc>
      </w:tr>
      <w:tr w:rsidR="00FA366A" w:rsidRPr="002C21B8" w14:paraId="1B6E445E" w14:textId="77777777" w:rsidTr="00960A9F">
        <w:trPr>
          <w:trHeight w:val="320"/>
        </w:trPr>
        <w:tc>
          <w:tcPr>
            <w:tcW w:w="701" w:type="dxa"/>
            <w:shd w:val="clear" w:color="auto" w:fill="auto"/>
            <w:vAlign w:val="center"/>
          </w:tcPr>
          <w:p w14:paraId="1B9C86CB" w14:textId="77777777" w:rsidR="00FA366A" w:rsidRPr="002C21B8" w:rsidRDefault="00FA366A" w:rsidP="00212D46">
            <w:pPr>
              <w:spacing w:after="0" w:line="240" w:lineRule="auto"/>
              <w:rPr>
                <w:sz w:val="20"/>
                <w:szCs w:val="20"/>
              </w:rPr>
            </w:pPr>
            <w:r w:rsidRPr="002C21B8">
              <w:rPr>
                <w:sz w:val="20"/>
                <w:szCs w:val="20"/>
              </w:rPr>
              <w:t>186</w:t>
            </w:r>
          </w:p>
        </w:tc>
        <w:tc>
          <w:tcPr>
            <w:tcW w:w="8504" w:type="dxa"/>
            <w:shd w:val="clear" w:color="auto" w:fill="auto"/>
            <w:vAlign w:val="bottom"/>
          </w:tcPr>
          <w:p w14:paraId="5EEBE99E" w14:textId="77777777" w:rsidR="00FA366A" w:rsidRPr="002C21B8" w:rsidRDefault="00FA366A" w:rsidP="00212D46">
            <w:pPr>
              <w:spacing w:after="0" w:line="240" w:lineRule="auto"/>
              <w:rPr>
                <w:sz w:val="20"/>
                <w:szCs w:val="20"/>
              </w:rPr>
            </w:pPr>
            <w:r w:rsidRPr="002C21B8">
              <w:rPr>
                <w:sz w:val="20"/>
                <w:szCs w:val="20"/>
              </w:rPr>
              <w:t>spina bifida occulta/</w:t>
            </w:r>
          </w:p>
        </w:tc>
      </w:tr>
      <w:tr w:rsidR="00FA366A" w:rsidRPr="002C21B8" w14:paraId="6A27A228" w14:textId="77777777" w:rsidTr="00960A9F">
        <w:trPr>
          <w:trHeight w:val="320"/>
        </w:trPr>
        <w:tc>
          <w:tcPr>
            <w:tcW w:w="701" w:type="dxa"/>
            <w:shd w:val="clear" w:color="auto" w:fill="auto"/>
            <w:vAlign w:val="center"/>
          </w:tcPr>
          <w:p w14:paraId="70418830" w14:textId="77777777" w:rsidR="00FA366A" w:rsidRPr="002C21B8" w:rsidRDefault="00FA366A" w:rsidP="00212D46">
            <w:pPr>
              <w:spacing w:after="0" w:line="240" w:lineRule="auto"/>
              <w:rPr>
                <w:sz w:val="20"/>
                <w:szCs w:val="20"/>
              </w:rPr>
            </w:pPr>
            <w:r w:rsidRPr="002C21B8">
              <w:rPr>
                <w:sz w:val="20"/>
                <w:szCs w:val="20"/>
              </w:rPr>
              <w:t>187</w:t>
            </w:r>
          </w:p>
        </w:tc>
        <w:tc>
          <w:tcPr>
            <w:tcW w:w="8504" w:type="dxa"/>
            <w:shd w:val="clear" w:color="auto" w:fill="auto"/>
            <w:vAlign w:val="bottom"/>
          </w:tcPr>
          <w:p w14:paraId="1D128290" w14:textId="77777777" w:rsidR="00FA366A" w:rsidRPr="002C21B8" w:rsidRDefault="00FA366A" w:rsidP="00212D46">
            <w:pPr>
              <w:spacing w:after="0" w:line="240" w:lineRule="auto"/>
              <w:rPr>
                <w:sz w:val="20"/>
                <w:szCs w:val="20"/>
                <w:lang w:val="it-IT"/>
              </w:rPr>
            </w:pPr>
            <w:r w:rsidRPr="002C21B8">
              <w:rPr>
                <w:sz w:val="20"/>
                <w:szCs w:val="20"/>
                <w:lang w:val="it-IT"/>
              </w:rPr>
              <w:t>(spina bifida or myelomeningocele).ti.</w:t>
            </w:r>
          </w:p>
        </w:tc>
      </w:tr>
      <w:tr w:rsidR="00FA366A" w:rsidRPr="002C21B8" w14:paraId="489DEC24" w14:textId="77777777" w:rsidTr="00960A9F">
        <w:trPr>
          <w:trHeight w:val="320"/>
        </w:trPr>
        <w:tc>
          <w:tcPr>
            <w:tcW w:w="701" w:type="dxa"/>
            <w:shd w:val="clear" w:color="auto" w:fill="auto"/>
            <w:vAlign w:val="center"/>
          </w:tcPr>
          <w:p w14:paraId="0D84BC30" w14:textId="77777777" w:rsidR="00FA366A" w:rsidRPr="002C21B8" w:rsidRDefault="00FA366A" w:rsidP="00212D46">
            <w:pPr>
              <w:spacing w:after="0" w:line="240" w:lineRule="auto"/>
              <w:rPr>
                <w:sz w:val="20"/>
                <w:szCs w:val="20"/>
              </w:rPr>
            </w:pPr>
            <w:r w:rsidRPr="002C21B8">
              <w:rPr>
                <w:sz w:val="20"/>
                <w:szCs w:val="20"/>
              </w:rPr>
              <w:t>188</w:t>
            </w:r>
          </w:p>
        </w:tc>
        <w:tc>
          <w:tcPr>
            <w:tcW w:w="8504" w:type="dxa"/>
            <w:shd w:val="clear" w:color="auto" w:fill="auto"/>
            <w:vAlign w:val="bottom"/>
          </w:tcPr>
          <w:p w14:paraId="3834473E" w14:textId="77777777" w:rsidR="00FA366A" w:rsidRPr="002C21B8" w:rsidRDefault="00FA366A" w:rsidP="00212D46">
            <w:pPr>
              <w:spacing w:after="0" w:line="240" w:lineRule="auto"/>
              <w:rPr>
                <w:sz w:val="20"/>
                <w:szCs w:val="20"/>
              </w:rPr>
            </w:pPr>
            <w:r w:rsidRPr="002C21B8">
              <w:rPr>
                <w:sz w:val="20"/>
                <w:szCs w:val="20"/>
              </w:rPr>
              <w:t>exp spinal injuries/</w:t>
            </w:r>
          </w:p>
        </w:tc>
      </w:tr>
      <w:tr w:rsidR="00FA366A" w:rsidRPr="002C21B8" w14:paraId="3C1917B3" w14:textId="77777777" w:rsidTr="00960A9F">
        <w:trPr>
          <w:trHeight w:val="320"/>
        </w:trPr>
        <w:tc>
          <w:tcPr>
            <w:tcW w:w="701" w:type="dxa"/>
            <w:shd w:val="clear" w:color="auto" w:fill="auto"/>
            <w:vAlign w:val="center"/>
          </w:tcPr>
          <w:p w14:paraId="6D78FA04" w14:textId="77777777" w:rsidR="00FA366A" w:rsidRPr="002C21B8" w:rsidRDefault="00FA366A" w:rsidP="00212D46">
            <w:pPr>
              <w:spacing w:after="0" w:line="240" w:lineRule="auto"/>
              <w:rPr>
                <w:sz w:val="20"/>
                <w:szCs w:val="20"/>
              </w:rPr>
            </w:pPr>
            <w:r w:rsidRPr="002C21B8">
              <w:rPr>
                <w:sz w:val="20"/>
                <w:szCs w:val="20"/>
              </w:rPr>
              <w:t>189</w:t>
            </w:r>
          </w:p>
        </w:tc>
        <w:tc>
          <w:tcPr>
            <w:tcW w:w="8504" w:type="dxa"/>
            <w:shd w:val="clear" w:color="auto" w:fill="auto"/>
            <w:vAlign w:val="bottom"/>
          </w:tcPr>
          <w:p w14:paraId="551C5C98" w14:textId="6D49CEC3" w:rsidR="00FA366A" w:rsidRPr="002C21B8" w:rsidRDefault="00FA366A" w:rsidP="00212D46">
            <w:pPr>
              <w:spacing w:after="0" w:line="240" w:lineRule="auto"/>
              <w:rPr>
                <w:sz w:val="20"/>
                <w:szCs w:val="20"/>
              </w:rPr>
            </w:pPr>
            <w:r w:rsidRPr="002C21B8">
              <w:rPr>
                <w:sz w:val="20"/>
                <w:szCs w:val="20"/>
              </w:rPr>
              <w:t>((spine or spinal or vertebr* or neck or cervical or lumbar or sacral or thoracic or cord or whiplash) adj2 (injur* or trauma* or fracture* or compress* or contus* or lacerat* or transect* or lesion*)).ti.</w:t>
            </w:r>
          </w:p>
        </w:tc>
      </w:tr>
      <w:tr w:rsidR="00FA366A" w:rsidRPr="002C21B8" w14:paraId="608FB1AF" w14:textId="77777777" w:rsidTr="00960A9F">
        <w:trPr>
          <w:trHeight w:val="320"/>
        </w:trPr>
        <w:tc>
          <w:tcPr>
            <w:tcW w:w="701" w:type="dxa"/>
            <w:shd w:val="clear" w:color="auto" w:fill="auto"/>
            <w:vAlign w:val="center"/>
          </w:tcPr>
          <w:p w14:paraId="29AEF7C2" w14:textId="77777777" w:rsidR="00FA366A" w:rsidRPr="002C21B8" w:rsidRDefault="00FA366A" w:rsidP="00212D46">
            <w:pPr>
              <w:spacing w:after="0" w:line="240" w:lineRule="auto"/>
              <w:rPr>
                <w:sz w:val="20"/>
                <w:szCs w:val="20"/>
              </w:rPr>
            </w:pPr>
            <w:r w:rsidRPr="002C21B8">
              <w:rPr>
                <w:sz w:val="20"/>
                <w:szCs w:val="20"/>
              </w:rPr>
              <w:t>190</w:t>
            </w:r>
          </w:p>
        </w:tc>
        <w:tc>
          <w:tcPr>
            <w:tcW w:w="8504" w:type="dxa"/>
            <w:shd w:val="clear" w:color="auto" w:fill="auto"/>
            <w:vAlign w:val="bottom"/>
          </w:tcPr>
          <w:p w14:paraId="38639D20" w14:textId="77777777" w:rsidR="00FA366A" w:rsidRPr="002C21B8" w:rsidRDefault="00FA366A" w:rsidP="00212D46">
            <w:pPr>
              <w:spacing w:after="0" w:line="240" w:lineRule="auto"/>
              <w:rPr>
                <w:sz w:val="20"/>
                <w:szCs w:val="20"/>
              </w:rPr>
            </w:pPr>
            <w:r w:rsidRPr="002C21B8">
              <w:rPr>
                <w:sz w:val="20"/>
                <w:szCs w:val="20"/>
              </w:rPr>
              <w:t>exp tuberculosis/</w:t>
            </w:r>
          </w:p>
        </w:tc>
      </w:tr>
      <w:tr w:rsidR="00FA366A" w:rsidRPr="002C21B8" w14:paraId="672F14A4" w14:textId="77777777" w:rsidTr="00960A9F">
        <w:trPr>
          <w:trHeight w:val="320"/>
        </w:trPr>
        <w:tc>
          <w:tcPr>
            <w:tcW w:w="701" w:type="dxa"/>
            <w:shd w:val="clear" w:color="auto" w:fill="auto"/>
            <w:vAlign w:val="center"/>
          </w:tcPr>
          <w:p w14:paraId="03A07758" w14:textId="77777777" w:rsidR="00FA366A" w:rsidRPr="002C21B8" w:rsidRDefault="00FA366A" w:rsidP="00212D46">
            <w:pPr>
              <w:spacing w:after="0" w:line="240" w:lineRule="auto"/>
              <w:rPr>
                <w:sz w:val="20"/>
                <w:szCs w:val="20"/>
              </w:rPr>
            </w:pPr>
            <w:r w:rsidRPr="002C21B8">
              <w:rPr>
                <w:sz w:val="20"/>
                <w:szCs w:val="20"/>
              </w:rPr>
              <w:t>191</w:t>
            </w:r>
          </w:p>
        </w:tc>
        <w:tc>
          <w:tcPr>
            <w:tcW w:w="8504" w:type="dxa"/>
            <w:shd w:val="clear" w:color="auto" w:fill="auto"/>
            <w:vAlign w:val="bottom"/>
          </w:tcPr>
          <w:p w14:paraId="3E0F2C9B" w14:textId="77777777" w:rsidR="00FA366A" w:rsidRPr="002C21B8" w:rsidRDefault="00FA366A" w:rsidP="00212D46">
            <w:pPr>
              <w:spacing w:after="0" w:line="240" w:lineRule="auto"/>
              <w:rPr>
                <w:sz w:val="20"/>
                <w:szCs w:val="20"/>
              </w:rPr>
            </w:pPr>
            <w:r w:rsidRPr="002C21B8">
              <w:rPr>
                <w:sz w:val="20"/>
                <w:szCs w:val="20"/>
              </w:rPr>
              <w:t>(tuberculosis or TB).ti.</w:t>
            </w:r>
          </w:p>
        </w:tc>
      </w:tr>
      <w:tr w:rsidR="00FA366A" w:rsidRPr="002C21B8" w14:paraId="7BEB0881" w14:textId="77777777" w:rsidTr="00960A9F">
        <w:trPr>
          <w:trHeight w:val="320"/>
        </w:trPr>
        <w:tc>
          <w:tcPr>
            <w:tcW w:w="701" w:type="dxa"/>
            <w:shd w:val="clear" w:color="auto" w:fill="auto"/>
            <w:vAlign w:val="center"/>
          </w:tcPr>
          <w:p w14:paraId="1437CBB8" w14:textId="77777777" w:rsidR="00FA366A" w:rsidRPr="002C21B8" w:rsidRDefault="00FA366A" w:rsidP="00212D46">
            <w:pPr>
              <w:spacing w:after="0" w:line="240" w:lineRule="auto"/>
              <w:rPr>
                <w:sz w:val="20"/>
                <w:szCs w:val="20"/>
              </w:rPr>
            </w:pPr>
            <w:r w:rsidRPr="002C21B8">
              <w:rPr>
                <w:sz w:val="20"/>
                <w:szCs w:val="20"/>
              </w:rPr>
              <w:t>192</w:t>
            </w:r>
          </w:p>
        </w:tc>
        <w:tc>
          <w:tcPr>
            <w:tcW w:w="8504" w:type="dxa"/>
            <w:shd w:val="clear" w:color="auto" w:fill="auto"/>
            <w:vAlign w:val="bottom"/>
          </w:tcPr>
          <w:p w14:paraId="3B8F1A26" w14:textId="77777777" w:rsidR="00FA366A" w:rsidRPr="002C21B8" w:rsidRDefault="00FA366A" w:rsidP="00212D46">
            <w:pPr>
              <w:spacing w:after="0" w:line="240" w:lineRule="auto"/>
              <w:rPr>
                <w:sz w:val="20"/>
                <w:szCs w:val="20"/>
              </w:rPr>
            </w:pPr>
            <w:r w:rsidRPr="002C21B8">
              <w:rPr>
                <w:sz w:val="20"/>
                <w:szCs w:val="20"/>
              </w:rPr>
              <w:t>exp urinary incontinence/</w:t>
            </w:r>
          </w:p>
        </w:tc>
      </w:tr>
      <w:tr w:rsidR="00FA366A" w:rsidRPr="002C21B8" w14:paraId="0128651A" w14:textId="77777777" w:rsidTr="00960A9F">
        <w:trPr>
          <w:trHeight w:val="320"/>
        </w:trPr>
        <w:tc>
          <w:tcPr>
            <w:tcW w:w="701" w:type="dxa"/>
            <w:shd w:val="clear" w:color="auto" w:fill="auto"/>
            <w:vAlign w:val="center"/>
          </w:tcPr>
          <w:p w14:paraId="02B241DD" w14:textId="77777777" w:rsidR="00FA366A" w:rsidRPr="002C21B8" w:rsidRDefault="00FA366A" w:rsidP="00212D46">
            <w:pPr>
              <w:spacing w:after="0" w:line="240" w:lineRule="auto"/>
              <w:rPr>
                <w:sz w:val="20"/>
                <w:szCs w:val="20"/>
              </w:rPr>
            </w:pPr>
            <w:r w:rsidRPr="002C21B8">
              <w:rPr>
                <w:sz w:val="20"/>
                <w:szCs w:val="20"/>
              </w:rPr>
              <w:t>193</w:t>
            </w:r>
          </w:p>
        </w:tc>
        <w:tc>
          <w:tcPr>
            <w:tcW w:w="8504" w:type="dxa"/>
            <w:shd w:val="clear" w:color="auto" w:fill="auto"/>
            <w:vAlign w:val="bottom"/>
          </w:tcPr>
          <w:p w14:paraId="0B957EA6" w14:textId="77777777" w:rsidR="00FA366A" w:rsidRPr="002C21B8" w:rsidRDefault="00FA366A" w:rsidP="00212D46">
            <w:pPr>
              <w:spacing w:after="0" w:line="240" w:lineRule="auto"/>
              <w:rPr>
                <w:sz w:val="20"/>
                <w:szCs w:val="20"/>
              </w:rPr>
            </w:pPr>
            <w:r w:rsidRPr="002C21B8">
              <w:rPr>
                <w:sz w:val="20"/>
                <w:szCs w:val="20"/>
              </w:rPr>
              <w:t>urinary bladder, overactive/</w:t>
            </w:r>
          </w:p>
        </w:tc>
      </w:tr>
      <w:tr w:rsidR="00FA366A" w:rsidRPr="002C21B8" w14:paraId="649EC5D2" w14:textId="77777777" w:rsidTr="00960A9F">
        <w:trPr>
          <w:trHeight w:val="320"/>
        </w:trPr>
        <w:tc>
          <w:tcPr>
            <w:tcW w:w="701" w:type="dxa"/>
            <w:shd w:val="clear" w:color="auto" w:fill="auto"/>
            <w:vAlign w:val="center"/>
          </w:tcPr>
          <w:p w14:paraId="05BB42CC" w14:textId="77777777" w:rsidR="00FA366A" w:rsidRPr="002C21B8" w:rsidRDefault="00FA366A" w:rsidP="00212D46">
            <w:pPr>
              <w:spacing w:after="0" w:line="240" w:lineRule="auto"/>
              <w:rPr>
                <w:sz w:val="20"/>
                <w:szCs w:val="20"/>
              </w:rPr>
            </w:pPr>
            <w:r w:rsidRPr="002C21B8">
              <w:rPr>
                <w:sz w:val="20"/>
                <w:szCs w:val="20"/>
              </w:rPr>
              <w:t>194</w:t>
            </w:r>
          </w:p>
        </w:tc>
        <w:tc>
          <w:tcPr>
            <w:tcW w:w="8504" w:type="dxa"/>
            <w:shd w:val="clear" w:color="auto" w:fill="auto"/>
            <w:vAlign w:val="bottom"/>
          </w:tcPr>
          <w:p w14:paraId="7BFE44B5" w14:textId="77777777" w:rsidR="00FA366A" w:rsidRPr="002C21B8" w:rsidRDefault="00FA366A" w:rsidP="00212D46">
            <w:pPr>
              <w:spacing w:after="0" w:line="240" w:lineRule="auto"/>
              <w:rPr>
                <w:sz w:val="20"/>
                <w:szCs w:val="20"/>
              </w:rPr>
            </w:pPr>
            <w:r w:rsidRPr="002C21B8">
              <w:rPr>
                <w:sz w:val="20"/>
                <w:szCs w:val="20"/>
              </w:rPr>
              <w:t>(bladder* adj3 (overactive* or incontin* or continence)).ti.</w:t>
            </w:r>
          </w:p>
        </w:tc>
      </w:tr>
      <w:tr w:rsidR="00FA366A" w:rsidRPr="002C21B8" w14:paraId="3335927C" w14:textId="77777777" w:rsidTr="00960A9F">
        <w:trPr>
          <w:trHeight w:val="320"/>
        </w:trPr>
        <w:tc>
          <w:tcPr>
            <w:tcW w:w="701" w:type="dxa"/>
            <w:shd w:val="clear" w:color="auto" w:fill="auto"/>
            <w:vAlign w:val="center"/>
          </w:tcPr>
          <w:p w14:paraId="3A17FC01" w14:textId="77777777" w:rsidR="00FA366A" w:rsidRPr="002C21B8" w:rsidRDefault="00FA366A" w:rsidP="00212D46">
            <w:pPr>
              <w:spacing w:after="0" w:line="240" w:lineRule="auto"/>
              <w:rPr>
                <w:sz w:val="20"/>
                <w:szCs w:val="20"/>
              </w:rPr>
            </w:pPr>
            <w:r w:rsidRPr="002C21B8">
              <w:rPr>
                <w:sz w:val="20"/>
                <w:szCs w:val="20"/>
              </w:rPr>
              <w:t>195</w:t>
            </w:r>
          </w:p>
        </w:tc>
        <w:tc>
          <w:tcPr>
            <w:tcW w:w="8504" w:type="dxa"/>
            <w:shd w:val="clear" w:color="auto" w:fill="auto"/>
            <w:vAlign w:val="bottom"/>
          </w:tcPr>
          <w:p w14:paraId="452B8FB9" w14:textId="77777777" w:rsidR="00FA366A" w:rsidRPr="002C21B8" w:rsidRDefault="00FA366A" w:rsidP="00212D46">
            <w:pPr>
              <w:spacing w:after="0" w:line="240" w:lineRule="auto"/>
              <w:rPr>
                <w:sz w:val="20"/>
                <w:szCs w:val="20"/>
              </w:rPr>
            </w:pPr>
            <w:r w:rsidRPr="002C21B8">
              <w:rPr>
                <w:sz w:val="20"/>
                <w:szCs w:val="20"/>
              </w:rPr>
              <w:t>((stress* or mixed or urg* or urin* or overflow*) adj3 (incontinen* or continence)).ti.</w:t>
            </w:r>
          </w:p>
        </w:tc>
      </w:tr>
      <w:tr w:rsidR="00FA366A" w:rsidRPr="002C21B8" w14:paraId="56523B7E" w14:textId="77777777" w:rsidTr="00960A9F">
        <w:trPr>
          <w:trHeight w:val="320"/>
        </w:trPr>
        <w:tc>
          <w:tcPr>
            <w:tcW w:w="701" w:type="dxa"/>
            <w:shd w:val="clear" w:color="auto" w:fill="auto"/>
            <w:vAlign w:val="center"/>
          </w:tcPr>
          <w:p w14:paraId="29417691" w14:textId="77777777" w:rsidR="00FA366A" w:rsidRPr="002C21B8" w:rsidRDefault="00FA366A" w:rsidP="00212D46">
            <w:pPr>
              <w:spacing w:after="0" w:line="240" w:lineRule="auto"/>
              <w:rPr>
                <w:sz w:val="20"/>
                <w:szCs w:val="20"/>
              </w:rPr>
            </w:pPr>
            <w:r w:rsidRPr="002C21B8">
              <w:rPr>
                <w:sz w:val="20"/>
                <w:szCs w:val="20"/>
              </w:rPr>
              <w:t>196</w:t>
            </w:r>
          </w:p>
        </w:tc>
        <w:tc>
          <w:tcPr>
            <w:tcW w:w="8504" w:type="dxa"/>
            <w:shd w:val="clear" w:color="auto" w:fill="auto"/>
            <w:vAlign w:val="bottom"/>
          </w:tcPr>
          <w:p w14:paraId="4F6E5225" w14:textId="77777777" w:rsidR="00FA366A" w:rsidRPr="002C21B8" w:rsidRDefault="00FA366A" w:rsidP="00212D46">
            <w:pPr>
              <w:spacing w:after="0" w:line="240" w:lineRule="auto"/>
              <w:rPr>
                <w:sz w:val="20"/>
                <w:szCs w:val="20"/>
              </w:rPr>
            </w:pPr>
            <w:r w:rsidRPr="002C21B8">
              <w:rPr>
                <w:sz w:val="20"/>
                <w:szCs w:val="20"/>
              </w:rPr>
              <w:t>exp urticaria/</w:t>
            </w:r>
          </w:p>
        </w:tc>
      </w:tr>
      <w:tr w:rsidR="00FA366A" w:rsidRPr="002C21B8" w14:paraId="2CA7790F" w14:textId="77777777" w:rsidTr="00960A9F">
        <w:trPr>
          <w:trHeight w:val="320"/>
        </w:trPr>
        <w:tc>
          <w:tcPr>
            <w:tcW w:w="701" w:type="dxa"/>
            <w:shd w:val="clear" w:color="auto" w:fill="auto"/>
            <w:vAlign w:val="center"/>
          </w:tcPr>
          <w:p w14:paraId="2BC139C0" w14:textId="77777777" w:rsidR="00FA366A" w:rsidRPr="002C21B8" w:rsidRDefault="00FA366A" w:rsidP="00212D46">
            <w:pPr>
              <w:spacing w:after="0" w:line="240" w:lineRule="auto"/>
              <w:rPr>
                <w:sz w:val="20"/>
                <w:szCs w:val="20"/>
              </w:rPr>
            </w:pPr>
            <w:r w:rsidRPr="002C21B8">
              <w:rPr>
                <w:sz w:val="20"/>
                <w:szCs w:val="20"/>
              </w:rPr>
              <w:t>197</w:t>
            </w:r>
          </w:p>
        </w:tc>
        <w:tc>
          <w:tcPr>
            <w:tcW w:w="8504" w:type="dxa"/>
            <w:shd w:val="clear" w:color="auto" w:fill="auto"/>
            <w:vAlign w:val="bottom"/>
          </w:tcPr>
          <w:p w14:paraId="2ED14096" w14:textId="77777777" w:rsidR="00FA366A" w:rsidRPr="002C21B8" w:rsidRDefault="00FA366A" w:rsidP="00212D46">
            <w:pPr>
              <w:spacing w:after="0" w:line="240" w:lineRule="auto"/>
              <w:rPr>
                <w:sz w:val="20"/>
                <w:szCs w:val="20"/>
              </w:rPr>
            </w:pPr>
            <w:r w:rsidRPr="002C21B8">
              <w:rPr>
                <w:sz w:val="20"/>
                <w:szCs w:val="20"/>
              </w:rPr>
              <w:t>urticaria*.ti.</w:t>
            </w:r>
          </w:p>
        </w:tc>
      </w:tr>
      <w:tr w:rsidR="00FA366A" w:rsidRPr="002C21B8" w14:paraId="2EE27F74" w14:textId="77777777" w:rsidTr="00960A9F">
        <w:trPr>
          <w:trHeight w:val="320"/>
        </w:trPr>
        <w:tc>
          <w:tcPr>
            <w:tcW w:w="701" w:type="dxa"/>
            <w:shd w:val="clear" w:color="auto" w:fill="auto"/>
            <w:vAlign w:val="center"/>
          </w:tcPr>
          <w:p w14:paraId="2FDC01A0" w14:textId="77777777" w:rsidR="00FA366A" w:rsidRPr="002C21B8" w:rsidRDefault="00FA366A" w:rsidP="00212D46">
            <w:pPr>
              <w:spacing w:after="0" w:line="240" w:lineRule="auto"/>
              <w:rPr>
                <w:sz w:val="20"/>
                <w:szCs w:val="20"/>
              </w:rPr>
            </w:pPr>
            <w:r w:rsidRPr="002C21B8">
              <w:rPr>
                <w:sz w:val="20"/>
                <w:szCs w:val="20"/>
              </w:rPr>
              <w:t>198</w:t>
            </w:r>
          </w:p>
        </w:tc>
        <w:tc>
          <w:tcPr>
            <w:tcW w:w="8504" w:type="dxa"/>
            <w:shd w:val="clear" w:color="auto" w:fill="auto"/>
            <w:vAlign w:val="bottom"/>
          </w:tcPr>
          <w:p w14:paraId="2637346A" w14:textId="77777777" w:rsidR="00FA366A" w:rsidRPr="002C21B8" w:rsidRDefault="00FA366A" w:rsidP="00212D46">
            <w:pPr>
              <w:spacing w:after="0" w:line="240" w:lineRule="auto"/>
              <w:rPr>
                <w:sz w:val="20"/>
                <w:szCs w:val="20"/>
              </w:rPr>
            </w:pPr>
            <w:r w:rsidRPr="002C21B8">
              <w:rPr>
                <w:sz w:val="20"/>
                <w:szCs w:val="20"/>
              </w:rPr>
              <w:t>chronic disease/</w:t>
            </w:r>
          </w:p>
        </w:tc>
      </w:tr>
      <w:tr w:rsidR="00FA366A" w:rsidRPr="002C21B8" w14:paraId="7B5D5C52" w14:textId="77777777" w:rsidTr="00960A9F">
        <w:trPr>
          <w:trHeight w:val="320"/>
        </w:trPr>
        <w:tc>
          <w:tcPr>
            <w:tcW w:w="701" w:type="dxa"/>
            <w:shd w:val="clear" w:color="auto" w:fill="auto"/>
            <w:vAlign w:val="center"/>
          </w:tcPr>
          <w:p w14:paraId="424060C7" w14:textId="77777777" w:rsidR="00FA366A" w:rsidRPr="002C21B8" w:rsidRDefault="00FA366A" w:rsidP="00212D46">
            <w:pPr>
              <w:spacing w:after="0" w:line="240" w:lineRule="auto"/>
              <w:rPr>
                <w:sz w:val="20"/>
                <w:szCs w:val="20"/>
              </w:rPr>
            </w:pPr>
            <w:r w:rsidRPr="002C21B8">
              <w:rPr>
                <w:sz w:val="20"/>
                <w:szCs w:val="20"/>
              </w:rPr>
              <w:t>199</w:t>
            </w:r>
          </w:p>
        </w:tc>
        <w:tc>
          <w:tcPr>
            <w:tcW w:w="8504" w:type="dxa"/>
            <w:shd w:val="clear" w:color="auto" w:fill="auto"/>
            <w:vAlign w:val="bottom"/>
          </w:tcPr>
          <w:p w14:paraId="3ACD91C1" w14:textId="77777777" w:rsidR="00FA366A" w:rsidRPr="002C21B8" w:rsidRDefault="00FA366A" w:rsidP="00212D46">
            <w:pPr>
              <w:spacing w:after="0" w:line="240" w:lineRule="auto"/>
              <w:rPr>
                <w:sz w:val="20"/>
                <w:szCs w:val="20"/>
              </w:rPr>
            </w:pPr>
            <w:r w:rsidRPr="002C21B8">
              <w:rPr>
                <w:sz w:val="20"/>
                <w:szCs w:val="20"/>
              </w:rPr>
              <w:t>((chronic* or long-term) adj2 (diseas* or ill* or disorder* or condition*)).ti.</w:t>
            </w:r>
          </w:p>
        </w:tc>
      </w:tr>
      <w:tr w:rsidR="00FA366A" w:rsidRPr="002C21B8" w14:paraId="0BE47D22" w14:textId="77777777" w:rsidTr="00960A9F">
        <w:trPr>
          <w:trHeight w:val="320"/>
        </w:trPr>
        <w:tc>
          <w:tcPr>
            <w:tcW w:w="701" w:type="dxa"/>
            <w:shd w:val="clear" w:color="auto" w:fill="auto"/>
            <w:vAlign w:val="center"/>
          </w:tcPr>
          <w:p w14:paraId="47ABB35E" w14:textId="77777777" w:rsidR="00FA366A" w:rsidRPr="002C21B8" w:rsidRDefault="00FA366A" w:rsidP="00212D46">
            <w:pPr>
              <w:spacing w:after="0" w:line="240" w:lineRule="auto"/>
              <w:rPr>
                <w:sz w:val="20"/>
                <w:szCs w:val="20"/>
              </w:rPr>
            </w:pPr>
            <w:r w:rsidRPr="002C21B8">
              <w:rPr>
                <w:sz w:val="20"/>
                <w:szCs w:val="20"/>
              </w:rPr>
              <w:t>200</w:t>
            </w:r>
          </w:p>
        </w:tc>
        <w:tc>
          <w:tcPr>
            <w:tcW w:w="8504" w:type="dxa"/>
            <w:shd w:val="clear" w:color="auto" w:fill="auto"/>
            <w:vAlign w:val="bottom"/>
          </w:tcPr>
          <w:p w14:paraId="210D0779" w14:textId="77777777" w:rsidR="00FA366A" w:rsidRPr="002C21B8" w:rsidRDefault="00FA366A" w:rsidP="00212D46">
            <w:pPr>
              <w:spacing w:after="0" w:line="240" w:lineRule="auto"/>
              <w:rPr>
                <w:sz w:val="20"/>
                <w:szCs w:val="20"/>
              </w:rPr>
            </w:pPr>
            <w:r w:rsidRPr="002C21B8">
              <w:rPr>
                <w:sz w:val="20"/>
                <w:szCs w:val="20"/>
              </w:rPr>
              <w:t>or/1-199</w:t>
            </w:r>
          </w:p>
        </w:tc>
      </w:tr>
      <w:tr w:rsidR="00FA366A" w:rsidRPr="002C21B8" w14:paraId="1BA2D36E" w14:textId="77777777" w:rsidTr="00960A9F">
        <w:trPr>
          <w:trHeight w:val="320"/>
        </w:trPr>
        <w:tc>
          <w:tcPr>
            <w:tcW w:w="701" w:type="dxa"/>
            <w:shd w:val="clear" w:color="auto" w:fill="auto"/>
            <w:vAlign w:val="center"/>
          </w:tcPr>
          <w:p w14:paraId="57A14277" w14:textId="77777777" w:rsidR="00FA366A" w:rsidRPr="002C21B8" w:rsidRDefault="00FA366A" w:rsidP="00212D46">
            <w:pPr>
              <w:spacing w:after="0" w:line="240" w:lineRule="auto"/>
              <w:rPr>
                <w:sz w:val="20"/>
                <w:szCs w:val="20"/>
              </w:rPr>
            </w:pPr>
            <w:r w:rsidRPr="002C21B8">
              <w:rPr>
                <w:sz w:val="20"/>
                <w:szCs w:val="20"/>
              </w:rPr>
              <w:t>201</w:t>
            </w:r>
          </w:p>
        </w:tc>
        <w:tc>
          <w:tcPr>
            <w:tcW w:w="8504" w:type="dxa"/>
            <w:shd w:val="clear" w:color="auto" w:fill="auto"/>
            <w:vAlign w:val="bottom"/>
          </w:tcPr>
          <w:p w14:paraId="607FA326" w14:textId="77777777" w:rsidR="00FA366A" w:rsidRPr="002C21B8" w:rsidRDefault="00FA366A" w:rsidP="00212D46">
            <w:pPr>
              <w:spacing w:after="0" w:line="240" w:lineRule="auto"/>
              <w:rPr>
                <w:sz w:val="20"/>
                <w:szCs w:val="20"/>
              </w:rPr>
            </w:pPr>
            <w:r w:rsidRPr="002C21B8">
              <w:rPr>
                <w:sz w:val="20"/>
                <w:szCs w:val="20"/>
              </w:rPr>
              <w:t>exp Drug Prescriptions/ or exp Prescriptions/</w:t>
            </w:r>
          </w:p>
        </w:tc>
      </w:tr>
      <w:tr w:rsidR="00FA366A" w:rsidRPr="002C21B8" w14:paraId="15311E3F" w14:textId="77777777" w:rsidTr="00960A9F">
        <w:trPr>
          <w:trHeight w:val="320"/>
        </w:trPr>
        <w:tc>
          <w:tcPr>
            <w:tcW w:w="701" w:type="dxa"/>
            <w:shd w:val="clear" w:color="auto" w:fill="auto"/>
            <w:vAlign w:val="center"/>
          </w:tcPr>
          <w:p w14:paraId="5095E8A5" w14:textId="77777777" w:rsidR="00FA366A" w:rsidRPr="002C21B8" w:rsidRDefault="00FA366A" w:rsidP="00212D46">
            <w:pPr>
              <w:spacing w:after="0" w:line="240" w:lineRule="auto"/>
              <w:rPr>
                <w:sz w:val="20"/>
                <w:szCs w:val="20"/>
              </w:rPr>
            </w:pPr>
            <w:r w:rsidRPr="002C21B8">
              <w:rPr>
                <w:sz w:val="20"/>
                <w:szCs w:val="20"/>
              </w:rPr>
              <w:t>202</w:t>
            </w:r>
          </w:p>
        </w:tc>
        <w:tc>
          <w:tcPr>
            <w:tcW w:w="8504" w:type="dxa"/>
            <w:shd w:val="clear" w:color="auto" w:fill="auto"/>
            <w:vAlign w:val="bottom"/>
          </w:tcPr>
          <w:p w14:paraId="220AD8EF" w14:textId="77777777" w:rsidR="00FA366A" w:rsidRPr="002C21B8" w:rsidRDefault="00FA366A" w:rsidP="00212D46">
            <w:pPr>
              <w:spacing w:after="0" w:line="240" w:lineRule="auto"/>
              <w:rPr>
                <w:sz w:val="20"/>
                <w:szCs w:val="20"/>
              </w:rPr>
            </w:pPr>
            <w:r w:rsidRPr="002C21B8">
              <w:rPr>
                <w:sz w:val="20"/>
                <w:szCs w:val="20"/>
              </w:rPr>
              <w:t>(Prescri* or Prescribing Behavio?r or Prescrib* Decision* or Prescribing Practice*).ti,ab.</w:t>
            </w:r>
          </w:p>
        </w:tc>
      </w:tr>
      <w:tr w:rsidR="00FA366A" w:rsidRPr="002C21B8" w14:paraId="6ABF3CF4" w14:textId="77777777" w:rsidTr="00960A9F">
        <w:trPr>
          <w:trHeight w:val="320"/>
        </w:trPr>
        <w:tc>
          <w:tcPr>
            <w:tcW w:w="701" w:type="dxa"/>
            <w:shd w:val="clear" w:color="auto" w:fill="auto"/>
            <w:vAlign w:val="center"/>
          </w:tcPr>
          <w:p w14:paraId="18620D10" w14:textId="77777777" w:rsidR="00FA366A" w:rsidRPr="002C21B8" w:rsidRDefault="00FA366A" w:rsidP="00212D46">
            <w:pPr>
              <w:spacing w:after="0" w:line="240" w:lineRule="auto"/>
              <w:rPr>
                <w:sz w:val="20"/>
                <w:szCs w:val="20"/>
              </w:rPr>
            </w:pPr>
            <w:r w:rsidRPr="002C21B8">
              <w:rPr>
                <w:sz w:val="20"/>
                <w:szCs w:val="20"/>
              </w:rPr>
              <w:t>203</w:t>
            </w:r>
          </w:p>
        </w:tc>
        <w:tc>
          <w:tcPr>
            <w:tcW w:w="8504" w:type="dxa"/>
            <w:shd w:val="clear" w:color="auto" w:fill="auto"/>
            <w:vAlign w:val="bottom"/>
          </w:tcPr>
          <w:p w14:paraId="049BDECE" w14:textId="77777777" w:rsidR="00FA366A" w:rsidRPr="002C21B8" w:rsidRDefault="00FA366A" w:rsidP="00212D46">
            <w:pPr>
              <w:spacing w:after="0" w:line="240" w:lineRule="auto"/>
              <w:rPr>
                <w:sz w:val="20"/>
                <w:szCs w:val="20"/>
              </w:rPr>
            </w:pPr>
            <w:r w:rsidRPr="002C21B8">
              <w:rPr>
                <w:sz w:val="20"/>
                <w:szCs w:val="20"/>
              </w:rPr>
              <w:t>(Initiat* or Start* or Commenc* or Induc*).ti.</w:t>
            </w:r>
          </w:p>
        </w:tc>
      </w:tr>
      <w:tr w:rsidR="00FA366A" w:rsidRPr="002C21B8" w14:paraId="465341BC" w14:textId="77777777" w:rsidTr="00960A9F">
        <w:trPr>
          <w:trHeight w:val="320"/>
        </w:trPr>
        <w:tc>
          <w:tcPr>
            <w:tcW w:w="701" w:type="dxa"/>
            <w:shd w:val="clear" w:color="auto" w:fill="auto"/>
            <w:vAlign w:val="center"/>
          </w:tcPr>
          <w:p w14:paraId="45925EB7" w14:textId="77777777" w:rsidR="00FA366A" w:rsidRPr="002C21B8" w:rsidRDefault="00FA366A" w:rsidP="00212D46">
            <w:pPr>
              <w:spacing w:after="0" w:line="240" w:lineRule="auto"/>
              <w:rPr>
                <w:sz w:val="20"/>
                <w:szCs w:val="20"/>
              </w:rPr>
            </w:pPr>
            <w:r w:rsidRPr="002C21B8">
              <w:rPr>
                <w:sz w:val="20"/>
                <w:szCs w:val="20"/>
              </w:rPr>
              <w:t>204</w:t>
            </w:r>
          </w:p>
        </w:tc>
        <w:tc>
          <w:tcPr>
            <w:tcW w:w="8504" w:type="dxa"/>
            <w:shd w:val="clear" w:color="auto" w:fill="auto"/>
            <w:vAlign w:val="bottom"/>
          </w:tcPr>
          <w:p w14:paraId="1B4878E9" w14:textId="77777777" w:rsidR="00FA366A" w:rsidRPr="002C21B8" w:rsidRDefault="00FA366A" w:rsidP="00212D46">
            <w:pPr>
              <w:spacing w:after="0" w:line="240" w:lineRule="auto"/>
              <w:rPr>
                <w:sz w:val="20"/>
                <w:szCs w:val="20"/>
              </w:rPr>
            </w:pPr>
            <w:r w:rsidRPr="002C21B8">
              <w:rPr>
                <w:sz w:val="20"/>
                <w:szCs w:val="20"/>
              </w:rPr>
              <w:t>or/201-203</w:t>
            </w:r>
          </w:p>
        </w:tc>
      </w:tr>
      <w:tr w:rsidR="00FA366A" w:rsidRPr="002C21B8" w14:paraId="46D711A3" w14:textId="77777777" w:rsidTr="00960A9F">
        <w:trPr>
          <w:trHeight w:val="320"/>
        </w:trPr>
        <w:tc>
          <w:tcPr>
            <w:tcW w:w="701" w:type="dxa"/>
            <w:shd w:val="clear" w:color="auto" w:fill="auto"/>
            <w:vAlign w:val="center"/>
          </w:tcPr>
          <w:p w14:paraId="030DA0E4" w14:textId="77777777" w:rsidR="00FA366A" w:rsidRPr="002C21B8" w:rsidRDefault="00FA366A" w:rsidP="00212D46">
            <w:pPr>
              <w:spacing w:after="0" w:line="240" w:lineRule="auto"/>
              <w:rPr>
                <w:sz w:val="20"/>
                <w:szCs w:val="20"/>
              </w:rPr>
            </w:pPr>
            <w:r w:rsidRPr="002C21B8">
              <w:rPr>
                <w:sz w:val="20"/>
                <w:szCs w:val="20"/>
              </w:rPr>
              <w:t>205</w:t>
            </w:r>
          </w:p>
        </w:tc>
        <w:tc>
          <w:tcPr>
            <w:tcW w:w="8504" w:type="dxa"/>
            <w:shd w:val="clear" w:color="auto" w:fill="auto"/>
            <w:vAlign w:val="bottom"/>
          </w:tcPr>
          <w:p w14:paraId="3CE20B44" w14:textId="77777777" w:rsidR="00FA366A" w:rsidRPr="002C21B8" w:rsidRDefault="00FA366A" w:rsidP="00212D46">
            <w:pPr>
              <w:spacing w:after="0" w:line="240" w:lineRule="auto"/>
              <w:rPr>
                <w:sz w:val="20"/>
                <w:szCs w:val="20"/>
              </w:rPr>
            </w:pPr>
            <w:r w:rsidRPr="002C21B8">
              <w:rPr>
                <w:sz w:val="20"/>
                <w:szCs w:val="20"/>
              </w:rPr>
              <w:t>exp Clinical decision-making/</w:t>
            </w:r>
          </w:p>
        </w:tc>
      </w:tr>
      <w:tr w:rsidR="00FA366A" w:rsidRPr="002C21B8" w14:paraId="3C08D5A6" w14:textId="77777777" w:rsidTr="00960A9F">
        <w:trPr>
          <w:trHeight w:val="320"/>
        </w:trPr>
        <w:tc>
          <w:tcPr>
            <w:tcW w:w="701" w:type="dxa"/>
            <w:shd w:val="clear" w:color="auto" w:fill="auto"/>
            <w:vAlign w:val="center"/>
          </w:tcPr>
          <w:p w14:paraId="43CC7434" w14:textId="77777777" w:rsidR="00FA366A" w:rsidRPr="002C21B8" w:rsidRDefault="00FA366A" w:rsidP="00212D46">
            <w:pPr>
              <w:spacing w:after="0" w:line="240" w:lineRule="auto"/>
              <w:rPr>
                <w:sz w:val="20"/>
                <w:szCs w:val="20"/>
              </w:rPr>
            </w:pPr>
            <w:r w:rsidRPr="002C21B8">
              <w:rPr>
                <w:sz w:val="20"/>
                <w:szCs w:val="20"/>
              </w:rPr>
              <w:t>206</w:t>
            </w:r>
          </w:p>
        </w:tc>
        <w:tc>
          <w:tcPr>
            <w:tcW w:w="8504" w:type="dxa"/>
            <w:shd w:val="clear" w:color="auto" w:fill="auto"/>
            <w:vAlign w:val="bottom"/>
          </w:tcPr>
          <w:p w14:paraId="1592CE81" w14:textId="77777777" w:rsidR="00FA366A" w:rsidRPr="002C21B8" w:rsidRDefault="00FA366A" w:rsidP="00212D46">
            <w:pPr>
              <w:spacing w:after="0" w:line="240" w:lineRule="auto"/>
              <w:rPr>
                <w:sz w:val="20"/>
                <w:szCs w:val="20"/>
              </w:rPr>
            </w:pPr>
            <w:r w:rsidRPr="002C21B8">
              <w:rPr>
                <w:sz w:val="20"/>
                <w:szCs w:val="20"/>
              </w:rPr>
              <w:t>exp Health Knowledge, Attitudes, Practice/ or exp Attitude of Health Personnel/ or exp Practice Patterns, Pharmacists’/ or exp Practice Patterns, Nurses’/ or exp Practice Patterns, Physicians’/</w:t>
            </w:r>
          </w:p>
        </w:tc>
      </w:tr>
      <w:tr w:rsidR="00FA366A" w:rsidRPr="002C21B8" w14:paraId="472E33C7" w14:textId="77777777" w:rsidTr="00960A9F">
        <w:trPr>
          <w:trHeight w:val="320"/>
        </w:trPr>
        <w:tc>
          <w:tcPr>
            <w:tcW w:w="701" w:type="dxa"/>
            <w:shd w:val="clear" w:color="auto" w:fill="auto"/>
            <w:vAlign w:val="center"/>
          </w:tcPr>
          <w:p w14:paraId="39F91048" w14:textId="77777777" w:rsidR="00FA366A" w:rsidRPr="002C21B8" w:rsidRDefault="00FA366A" w:rsidP="00212D46">
            <w:pPr>
              <w:spacing w:after="0" w:line="240" w:lineRule="auto"/>
              <w:rPr>
                <w:sz w:val="20"/>
                <w:szCs w:val="20"/>
              </w:rPr>
            </w:pPr>
            <w:r w:rsidRPr="002C21B8">
              <w:rPr>
                <w:sz w:val="20"/>
                <w:szCs w:val="20"/>
              </w:rPr>
              <w:t>207</w:t>
            </w:r>
          </w:p>
        </w:tc>
        <w:tc>
          <w:tcPr>
            <w:tcW w:w="8504" w:type="dxa"/>
            <w:shd w:val="clear" w:color="auto" w:fill="auto"/>
            <w:vAlign w:val="bottom"/>
          </w:tcPr>
          <w:p w14:paraId="22F25EDE" w14:textId="77777777" w:rsidR="00FA366A" w:rsidRPr="002C21B8" w:rsidRDefault="00FA366A" w:rsidP="00212D46">
            <w:pPr>
              <w:spacing w:after="0" w:line="240" w:lineRule="auto"/>
              <w:rPr>
                <w:sz w:val="20"/>
                <w:szCs w:val="20"/>
              </w:rPr>
            </w:pPr>
            <w:r w:rsidRPr="002C21B8">
              <w:rPr>
                <w:sz w:val="20"/>
                <w:szCs w:val="20"/>
              </w:rPr>
              <w:t>(Factor* or Determinant* or Behavio?r* or Practice* or Preference* or Pattern* or Decision* or Decid* or Influenc* or Impact* or Judg* or Barrier* or Facilit* or Help or Hinder or Compl* or Accept or Conform* or Approv* or Adher* or Strateg*).ti.</w:t>
            </w:r>
          </w:p>
        </w:tc>
      </w:tr>
      <w:tr w:rsidR="00FA366A" w:rsidRPr="002C21B8" w14:paraId="4F235CD3" w14:textId="77777777" w:rsidTr="00960A9F">
        <w:trPr>
          <w:trHeight w:val="320"/>
        </w:trPr>
        <w:tc>
          <w:tcPr>
            <w:tcW w:w="701" w:type="dxa"/>
            <w:shd w:val="clear" w:color="auto" w:fill="auto"/>
            <w:vAlign w:val="center"/>
          </w:tcPr>
          <w:p w14:paraId="52853DEC" w14:textId="77777777" w:rsidR="00FA366A" w:rsidRPr="002C21B8" w:rsidRDefault="00FA366A" w:rsidP="00212D46">
            <w:pPr>
              <w:spacing w:after="0" w:line="240" w:lineRule="auto"/>
              <w:rPr>
                <w:sz w:val="20"/>
                <w:szCs w:val="20"/>
              </w:rPr>
            </w:pPr>
            <w:r w:rsidRPr="002C21B8">
              <w:rPr>
                <w:sz w:val="20"/>
                <w:szCs w:val="20"/>
              </w:rPr>
              <w:t>208</w:t>
            </w:r>
          </w:p>
        </w:tc>
        <w:tc>
          <w:tcPr>
            <w:tcW w:w="8504" w:type="dxa"/>
            <w:shd w:val="clear" w:color="auto" w:fill="auto"/>
            <w:vAlign w:val="bottom"/>
          </w:tcPr>
          <w:p w14:paraId="5CA55E66" w14:textId="77777777" w:rsidR="00FA366A" w:rsidRPr="002C21B8" w:rsidRDefault="00FA366A" w:rsidP="00212D46">
            <w:pPr>
              <w:spacing w:after="0" w:line="240" w:lineRule="auto"/>
              <w:rPr>
                <w:sz w:val="20"/>
                <w:szCs w:val="20"/>
              </w:rPr>
            </w:pPr>
            <w:r w:rsidRPr="002C21B8">
              <w:rPr>
                <w:sz w:val="20"/>
                <w:szCs w:val="20"/>
              </w:rPr>
              <w:t>or/205-207</w:t>
            </w:r>
          </w:p>
        </w:tc>
      </w:tr>
      <w:tr w:rsidR="00FA366A" w:rsidRPr="002C21B8" w14:paraId="30DAE603" w14:textId="77777777" w:rsidTr="00960A9F">
        <w:trPr>
          <w:trHeight w:val="320"/>
        </w:trPr>
        <w:tc>
          <w:tcPr>
            <w:tcW w:w="701" w:type="dxa"/>
            <w:shd w:val="clear" w:color="auto" w:fill="auto"/>
            <w:vAlign w:val="center"/>
          </w:tcPr>
          <w:p w14:paraId="1AACE877" w14:textId="77777777" w:rsidR="00FA366A" w:rsidRPr="002C21B8" w:rsidRDefault="00FA366A" w:rsidP="00212D46">
            <w:pPr>
              <w:spacing w:after="0" w:line="240" w:lineRule="auto"/>
              <w:rPr>
                <w:sz w:val="20"/>
                <w:szCs w:val="20"/>
              </w:rPr>
            </w:pPr>
            <w:r w:rsidRPr="002C21B8">
              <w:rPr>
                <w:sz w:val="20"/>
                <w:szCs w:val="20"/>
              </w:rPr>
              <w:t>209</w:t>
            </w:r>
          </w:p>
        </w:tc>
        <w:tc>
          <w:tcPr>
            <w:tcW w:w="8504" w:type="dxa"/>
            <w:shd w:val="clear" w:color="auto" w:fill="auto"/>
            <w:vAlign w:val="bottom"/>
          </w:tcPr>
          <w:p w14:paraId="765EE097" w14:textId="77777777" w:rsidR="00FA366A" w:rsidRPr="002C21B8" w:rsidRDefault="00FA366A" w:rsidP="00212D46">
            <w:pPr>
              <w:spacing w:after="0" w:line="240" w:lineRule="auto"/>
              <w:rPr>
                <w:sz w:val="20"/>
                <w:szCs w:val="20"/>
              </w:rPr>
            </w:pPr>
            <w:r w:rsidRPr="002C21B8">
              <w:rPr>
                <w:sz w:val="20"/>
                <w:szCs w:val="20"/>
              </w:rPr>
              <w:t>(Medline or systematic review).tw. or meta-analysis.pt.</w:t>
            </w:r>
          </w:p>
        </w:tc>
      </w:tr>
      <w:tr w:rsidR="00FA366A" w:rsidRPr="002C21B8" w14:paraId="5007DFB2" w14:textId="77777777" w:rsidTr="00960A9F">
        <w:trPr>
          <w:trHeight w:val="320"/>
        </w:trPr>
        <w:tc>
          <w:tcPr>
            <w:tcW w:w="701" w:type="dxa"/>
            <w:shd w:val="clear" w:color="auto" w:fill="auto"/>
            <w:vAlign w:val="center"/>
          </w:tcPr>
          <w:p w14:paraId="58B6BCCE" w14:textId="77777777" w:rsidR="00FA366A" w:rsidRPr="002C21B8" w:rsidRDefault="00FA366A" w:rsidP="00212D46">
            <w:pPr>
              <w:spacing w:after="0" w:line="240" w:lineRule="auto"/>
              <w:rPr>
                <w:sz w:val="20"/>
                <w:szCs w:val="20"/>
              </w:rPr>
            </w:pPr>
            <w:r w:rsidRPr="002C21B8">
              <w:rPr>
                <w:sz w:val="20"/>
                <w:szCs w:val="20"/>
              </w:rPr>
              <w:t>210</w:t>
            </w:r>
          </w:p>
        </w:tc>
        <w:tc>
          <w:tcPr>
            <w:tcW w:w="8504" w:type="dxa"/>
            <w:shd w:val="clear" w:color="auto" w:fill="auto"/>
            <w:vAlign w:val="bottom"/>
          </w:tcPr>
          <w:p w14:paraId="7576221E" w14:textId="77777777" w:rsidR="00FA366A" w:rsidRPr="002C21B8" w:rsidRDefault="00FA366A" w:rsidP="00212D46">
            <w:pPr>
              <w:spacing w:after="0" w:line="240" w:lineRule="auto"/>
              <w:rPr>
                <w:sz w:val="20"/>
                <w:szCs w:val="20"/>
              </w:rPr>
            </w:pPr>
            <w:r w:rsidRPr="002C21B8">
              <w:rPr>
                <w:sz w:val="20"/>
                <w:szCs w:val="20"/>
              </w:rPr>
              <w:t>200 and 204 and 208 and 209</w:t>
            </w:r>
          </w:p>
        </w:tc>
      </w:tr>
      <w:tr w:rsidR="00FA366A" w:rsidRPr="002C21B8" w14:paraId="40E0C4D8" w14:textId="77777777" w:rsidTr="00960A9F">
        <w:trPr>
          <w:trHeight w:val="320"/>
        </w:trPr>
        <w:tc>
          <w:tcPr>
            <w:tcW w:w="701" w:type="dxa"/>
            <w:shd w:val="clear" w:color="auto" w:fill="auto"/>
            <w:vAlign w:val="center"/>
          </w:tcPr>
          <w:p w14:paraId="591D80CF" w14:textId="77777777" w:rsidR="00FA366A" w:rsidRPr="002C21B8" w:rsidRDefault="00FA366A" w:rsidP="00212D46">
            <w:pPr>
              <w:spacing w:after="0" w:line="240" w:lineRule="auto"/>
              <w:rPr>
                <w:sz w:val="20"/>
                <w:szCs w:val="20"/>
              </w:rPr>
            </w:pPr>
            <w:r w:rsidRPr="002C21B8">
              <w:rPr>
                <w:sz w:val="20"/>
                <w:szCs w:val="20"/>
              </w:rPr>
              <w:t>211</w:t>
            </w:r>
          </w:p>
        </w:tc>
        <w:tc>
          <w:tcPr>
            <w:tcW w:w="8504" w:type="dxa"/>
            <w:shd w:val="clear" w:color="auto" w:fill="auto"/>
            <w:vAlign w:val="bottom"/>
          </w:tcPr>
          <w:p w14:paraId="5BE37A89" w14:textId="77777777" w:rsidR="00FA366A" w:rsidRPr="002C21B8" w:rsidRDefault="00FA366A" w:rsidP="00212D46">
            <w:pPr>
              <w:spacing w:after="0" w:line="240" w:lineRule="auto"/>
              <w:rPr>
                <w:sz w:val="20"/>
                <w:szCs w:val="20"/>
              </w:rPr>
            </w:pPr>
            <w:r w:rsidRPr="002C21B8">
              <w:rPr>
                <w:sz w:val="20"/>
                <w:szCs w:val="20"/>
              </w:rPr>
              <w:t>limit 210 to yr=”2013-current"</w:t>
            </w:r>
          </w:p>
        </w:tc>
      </w:tr>
    </w:tbl>
    <w:p w14:paraId="09EC5B9A" w14:textId="77777777" w:rsidR="00FA366A" w:rsidRPr="002C21B8" w:rsidRDefault="00FA366A" w:rsidP="003374F4"/>
    <w:p w14:paraId="4B82E136" w14:textId="41CA2B49"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Web of Science search strategy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8505"/>
      </w:tblGrid>
      <w:tr w:rsidR="00FA366A" w:rsidRPr="002C21B8" w14:paraId="2D30E8FC" w14:textId="77777777" w:rsidTr="00960A9F">
        <w:trPr>
          <w:trHeight w:val="320"/>
        </w:trPr>
        <w:tc>
          <w:tcPr>
            <w:tcW w:w="704" w:type="dxa"/>
            <w:shd w:val="clear" w:color="auto" w:fill="auto"/>
            <w:vAlign w:val="center"/>
          </w:tcPr>
          <w:p w14:paraId="7706AC48" w14:textId="77777777" w:rsidR="00FA366A" w:rsidRPr="002C21B8" w:rsidRDefault="00FA366A" w:rsidP="00212D46">
            <w:pPr>
              <w:spacing w:after="0" w:line="240" w:lineRule="auto"/>
              <w:rPr>
                <w:sz w:val="20"/>
                <w:szCs w:val="20"/>
              </w:rPr>
            </w:pPr>
            <w:r w:rsidRPr="002C21B8">
              <w:rPr>
                <w:sz w:val="20"/>
                <w:szCs w:val="20"/>
              </w:rPr>
              <w:t>#</w:t>
            </w:r>
          </w:p>
        </w:tc>
        <w:tc>
          <w:tcPr>
            <w:tcW w:w="8505" w:type="dxa"/>
            <w:shd w:val="clear" w:color="auto" w:fill="auto"/>
            <w:vAlign w:val="bottom"/>
          </w:tcPr>
          <w:p w14:paraId="560C33ED" w14:textId="77777777" w:rsidR="00FA366A" w:rsidRPr="002C21B8" w:rsidRDefault="00FA366A" w:rsidP="00212D46">
            <w:pPr>
              <w:spacing w:after="0" w:line="240" w:lineRule="auto"/>
              <w:rPr>
                <w:sz w:val="20"/>
                <w:szCs w:val="20"/>
              </w:rPr>
            </w:pPr>
            <w:r w:rsidRPr="002C21B8">
              <w:rPr>
                <w:sz w:val="20"/>
                <w:szCs w:val="20"/>
              </w:rPr>
              <w:t>Web of Science Search Lines (searched 07/11/2023)</w:t>
            </w:r>
          </w:p>
        </w:tc>
      </w:tr>
      <w:tr w:rsidR="00FA366A" w:rsidRPr="002C21B8" w14:paraId="0EE61F3E" w14:textId="77777777" w:rsidTr="00960A9F">
        <w:trPr>
          <w:trHeight w:val="320"/>
        </w:trPr>
        <w:tc>
          <w:tcPr>
            <w:tcW w:w="704" w:type="dxa"/>
            <w:shd w:val="clear" w:color="auto" w:fill="auto"/>
            <w:vAlign w:val="center"/>
          </w:tcPr>
          <w:p w14:paraId="4866D5E0" w14:textId="77777777" w:rsidR="00FA366A" w:rsidRPr="002C21B8" w:rsidRDefault="00FA366A" w:rsidP="00212D46">
            <w:pPr>
              <w:spacing w:after="0" w:line="240" w:lineRule="auto"/>
              <w:rPr>
                <w:sz w:val="20"/>
                <w:szCs w:val="20"/>
              </w:rPr>
            </w:pPr>
            <w:r w:rsidRPr="002C21B8">
              <w:rPr>
                <w:sz w:val="20"/>
                <w:szCs w:val="20"/>
              </w:rPr>
              <w:t>1</w:t>
            </w:r>
          </w:p>
        </w:tc>
        <w:tc>
          <w:tcPr>
            <w:tcW w:w="8505" w:type="dxa"/>
            <w:shd w:val="clear" w:color="auto" w:fill="auto"/>
          </w:tcPr>
          <w:p w14:paraId="2C27D369" w14:textId="77777777" w:rsidR="00FA366A" w:rsidRPr="002C21B8" w:rsidRDefault="00FA366A" w:rsidP="00212D46">
            <w:pPr>
              <w:spacing w:after="0" w:line="240" w:lineRule="auto"/>
              <w:rPr>
                <w:sz w:val="20"/>
                <w:szCs w:val="20"/>
              </w:rPr>
            </w:pPr>
            <w:r w:rsidRPr="002C21B8">
              <w:rPr>
                <w:sz w:val="20"/>
                <w:szCs w:val="20"/>
              </w:rPr>
              <w:t>TI=((vasomotor or allerg* or non-allerg* or nonallerg* or "non allerg*") and rhinitis)</w:t>
            </w:r>
          </w:p>
        </w:tc>
      </w:tr>
      <w:tr w:rsidR="00FA366A" w:rsidRPr="002C21B8" w14:paraId="76ACEC05" w14:textId="77777777" w:rsidTr="00960A9F">
        <w:trPr>
          <w:trHeight w:val="320"/>
        </w:trPr>
        <w:tc>
          <w:tcPr>
            <w:tcW w:w="704" w:type="dxa"/>
            <w:shd w:val="clear" w:color="auto" w:fill="auto"/>
            <w:vAlign w:val="center"/>
          </w:tcPr>
          <w:p w14:paraId="2D493490" w14:textId="77777777" w:rsidR="00FA366A" w:rsidRPr="002C21B8" w:rsidRDefault="00FA366A" w:rsidP="00212D46">
            <w:pPr>
              <w:spacing w:after="0" w:line="240" w:lineRule="auto"/>
              <w:rPr>
                <w:sz w:val="20"/>
                <w:szCs w:val="20"/>
              </w:rPr>
            </w:pPr>
            <w:r w:rsidRPr="002C21B8">
              <w:rPr>
                <w:sz w:val="20"/>
                <w:szCs w:val="20"/>
              </w:rPr>
              <w:t>2</w:t>
            </w:r>
          </w:p>
        </w:tc>
        <w:tc>
          <w:tcPr>
            <w:tcW w:w="8505" w:type="dxa"/>
            <w:shd w:val="clear" w:color="auto" w:fill="auto"/>
          </w:tcPr>
          <w:p w14:paraId="6C724423" w14:textId="77777777" w:rsidR="00FA366A" w:rsidRPr="002C21B8" w:rsidRDefault="00FA366A" w:rsidP="00212D46">
            <w:pPr>
              <w:spacing w:after="0" w:line="240" w:lineRule="auto"/>
              <w:rPr>
                <w:sz w:val="20"/>
                <w:szCs w:val="20"/>
              </w:rPr>
            </w:pPr>
            <w:r w:rsidRPr="002C21B8">
              <w:rPr>
                <w:sz w:val="20"/>
                <w:szCs w:val="20"/>
              </w:rPr>
              <w:t>TI=(amnesi* or "memory loss")</w:t>
            </w:r>
          </w:p>
        </w:tc>
      </w:tr>
      <w:tr w:rsidR="00FA366A" w:rsidRPr="002C21B8" w14:paraId="3FE3094C" w14:textId="77777777" w:rsidTr="00960A9F">
        <w:trPr>
          <w:trHeight w:val="320"/>
        </w:trPr>
        <w:tc>
          <w:tcPr>
            <w:tcW w:w="704" w:type="dxa"/>
            <w:shd w:val="clear" w:color="auto" w:fill="auto"/>
            <w:vAlign w:val="center"/>
          </w:tcPr>
          <w:p w14:paraId="62E77F04" w14:textId="77777777" w:rsidR="00FA366A" w:rsidRPr="002C21B8" w:rsidRDefault="00FA366A" w:rsidP="00212D46">
            <w:pPr>
              <w:spacing w:after="0" w:line="240" w:lineRule="auto"/>
              <w:rPr>
                <w:sz w:val="20"/>
                <w:szCs w:val="20"/>
              </w:rPr>
            </w:pPr>
            <w:r w:rsidRPr="002C21B8">
              <w:rPr>
                <w:sz w:val="20"/>
                <w:szCs w:val="20"/>
              </w:rPr>
              <w:t>3</w:t>
            </w:r>
          </w:p>
        </w:tc>
        <w:tc>
          <w:tcPr>
            <w:tcW w:w="8505" w:type="dxa"/>
            <w:shd w:val="clear" w:color="auto" w:fill="auto"/>
          </w:tcPr>
          <w:p w14:paraId="66009863" w14:textId="77777777" w:rsidR="00FA366A" w:rsidRPr="002C21B8" w:rsidRDefault="00FA366A" w:rsidP="00212D46">
            <w:pPr>
              <w:spacing w:after="0" w:line="240" w:lineRule="auto"/>
              <w:rPr>
                <w:sz w:val="20"/>
                <w:szCs w:val="20"/>
              </w:rPr>
            </w:pPr>
            <w:r w:rsidRPr="002C21B8">
              <w:rPr>
                <w:sz w:val="20"/>
                <w:szCs w:val="20"/>
              </w:rPr>
              <w:t>TI=(amputation or amputee*)</w:t>
            </w:r>
          </w:p>
        </w:tc>
      </w:tr>
      <w:tr w:rsidR="00FA366A" w:rsidRPr="002C21B8" w14:paraId="53BEBD42" w14:textId="77777777" w:rsidTr="00960A9F">
        <w:trPr>
          <w:trHeight w:val="320"/>
        </w:trPr>
        <w:tc>
          <w:tcPr>
            <w:tcW w:w="704" w:type="dxa"/>
            <w:shd w:val="clear" w:color="auto" w:fill="auto"/>
            <w:vAlign w:val="center"/>
          </w:tcPr>
          <w:p w14:paraId="03E881B4" w14:textId="77777777" w:rsidR="00FA366A" w:rsidRPr="002C21B8" w:rsidRDefault="00FA366A" w:rsidP="00212D46">
            <w:pPr>
              <w:spacing w:after="0" w:line="240" w:lineRule="auto"/>
              <w:rPr>
                <w:sz w:val="20"/>
                <w:szCs w:val="20"/>
              </w:rPr>
            </w:pPr>
            <w:r w:rsidRPr="002C21B8">
              <w:rPr>
                <w:sz w:val="20"/>
                <w:szCs w:val="20"/>
              </w:rPr>
              <w:t>4</w:t>
            </w:r>
          </w:p>
        </w:tc>
        <w:tc>
          <w:tcPr>
            <w:tcW w:w="8505" w:type="dxa"/>
            <w:shd w:val="clear" w:color="auto" w:fill="auto"/>
          </w:tcPr>
          <w:p w14:paraId="09C488BF" w14:textId="77777777" w:rsidR="00FA366A" w:rsidRPr="002C21B8" w:rsidRDefault="00FA366A" w:rsidP="00212D46">
            <w:pPr>
              <w:spacing w:after="0" w:line="240" w:lineRule="auto"/>
              <w:rPr>
                <w:sz w:val="20"/>
                <w:szCs w:val="20"/>
              </w:rPr>
            </w:pPr>
            <w:r w:rsidRPr="002C21B8">
              <w:rPr>
                <w:sz w:val="20"/>
                <w:szCs w:val="20"/>
              </w:rPr>
              <w:t>TI=an?emia</w:t>
            </w:r>
          </w:p>
        </w:tc>
      </w:tr>
      <w:tr w:rsidR="00FA366A" w:rsidRPr="002C21B8" w14:paraId="44949068" w14:textId="77777777" w:rsidTr="00960A9F">
        <w:trPr>
          <w:trHeight w:val="320"/>
        </w:trPr>
        <w:tc>
          <w:tcPr>
            <w:tcW w:w="704" w:type="dxa"/>
            <w:shd w:val="clear" w:color="auto" w:fill="auto"/>
            <w:vAlign w:val="center"/>
          </w:tcPr>
          <w:p w14:paraId="576F7DD1" w14:textId="77777777" w:rsidR="00FA366A" w:rsidRPr="002C21B8" w:rsidRDefault="00FA366A" w:rsidP="00212D46">
            <w:pPr>
              <w:spacing w:after="0" w:line="240" w:lineRule="auto"/>
              <w:rPr>
                <w:sz w:val="20"/>
                <w:szCs w:val="20"/>
              </w:rPr>
            </w:pPr>
            <w:r w:rsidRPr="002C21B8">
              <w:rPr>
                <w:sz w:val="20"/>
                <w:szCs w:val="20"/>
              </w:rPr>
              <w:t>5</w:t>
            </w:r>
          </w:p>
        </w:tc>
        <w:tc>
          <w:tcPr>
            <w:tcW w:w="8505" w:type="dxa"/>
            <w:shd w:val="clear" w:color="auto" w:fill="auto"/>
          </w:tcPr>
          <w:p w14:paraId="6B3AA9E4" w14:textId="77777777" w:rsidR="00FA366A" w:rsidRPr="002C21B8" w:rsidRDefault="00FA366A" w:rsidP="00212D46">
            <w:pPr>
              <w:spacing w:after="0" w:line="240" w:lineRule="auto"/>
              <w:rPr>
                <w:sz w:val="20"/>
                <w:szCs w:val="20"/>
              </w:rPr>
            </w:pPr>
            <w:r w:rsidRPr="002C21B8">
              <w:rPr>
                <w:sz w:val="20"/>
                <w:szCs w:val="20"/>
              </w:rPr>
              <w:t>TI=(angina or "myocardial isch?mi*")</w:t>
            </w:r>
          </w:p>
        </w:tc>
      </w:tr>
      <w:tr w:rsidR="00FA366A" w:rsidRPr="002C21B8" w14:paraId="64AFDCC5" w14:textId="77777777" w:rsidTr="00960A9F">
        <w:trPr>
          <w:trHeight w:val="320"/>
        </w:trPr>
        <w:tc>
          <w:tcPr>
            <w:tcW w:w="704" w:type="dxa"/>
            <w:shd w:val="clear" w:color="auto" w:fill="auto"/>
            <w:vAlign w:val="center"/>
          </w:tcPr>
          <w:p w14:paraId="1274B3EF" w14:textId="77777777" w:rsidR="00FA366A" w:rsidRPr="002C21B8" w:rsidRDefault="00FA366A" w:rsidP="00212D46">
            <w:pPr>
              <w:spacing w:after="0" w:line="240" w:lineRule="auto"/>
              <w:rPr>
                <w:sz w:val="20"/>
                <w:szCs w:val="20"/>
              </w:rPr>
            </w:pPr>
            <w:r w:rsidRPr="002C21B8">
              <w:rPr>
                <w:sz w:val="20"/>
                <w:szCs w:val="20"/>
              </w:rPr>
              <w:t>6</w:t>
            </w:r>
          </w:p>
        </w:tc>
        <w:tc>
          <w:tcPr>
            <w:tcW w:w="8505" w:type="dxa"/>
            <w:shd w:val="clear" w:color="auto" w:fill="auto"/>
          </w:tcPr>
          <w:p w14:paraId="22279C9C" w14:textId="77777777" w:rsidR="00FA366A" w:rsidRPr="002C21B8" w:rsidRDefault="00FA366A" w:rsidP="00212D46">
            <w:pPr>
              <w:spacing w:after="0" w:line="240" w:lineRule="auto"/>
              <w:rPr>
                <w:sz w:val="20"/>
                <w:szCs w:val="20"/>
              </w:rPr>
            </w:pPr>
            <w:r w:rsidRPr="002C21B8">
              <w:rPr>
                <w:sz w:val="20"/>
                <w:szCs w:val="20"/>
              </w:rPr>
              <w:t>TI=(angioedema or (hereditary NEXT (angioedema* or angioNEXTotic edema*)))</w:t>
            </w:r>
          </w:p>
        </w:tc>
      </w:tr>
      <w:tr w:rsidR="00FA366A" w:rsidRPr="002C21B8" w14:paraId="2EEB59CD" w14:textId="77777777" w:rsidTr="00960A9F">
        <w:trPr>
          <w:trHeight w:val="320"/>
        </w:trPr>
        <w:tc>
          <w:tcPr>
            <w:tcW w:w="704" w:type="dxa"/>
            <w:shd w:val="clear" w:color="auto" w:fill="auto"/>
            <w:vAlign w:val="center"/>
          </w:tcPr>
          <w:p w14:paraId="49B55213" w14:textId="77777777" w:rsidR="00FA366A" w:rsidRPr="002C21B8" w:rsidRDefault="00FA366A" w:rsidP="00212D46">
            <w:pPr>
              <w:spacing w:after="0" w:line="240" w:lineRule="auto"/>
              <w:rPr>
                <w:sz w:val="20"/>
                <w:szCs w:val="20"/>
              </w:rPr>
            </w:pPr>
            <w:r w:rsidRPr="002C21B8">
              <w:rPr>
                <w:sz w:val="20"/>
                <w:szCs w:val="20"/>
              </w:rPr>
              <w:t>7</w:t>
            </w:r>
          </w:p>
        </w:tc>
        <w:tc>
          <w:tcPr>
            <w:tcW w:w="8505" w:type="dxa"/>
            <w:shd w:val="clear" w:color="auto" w:fill="auto"/>
          </w:tcPr>
          <w:p w14:paraId="4C1A7AF1" w14:textId="77777777" w:rsidR="00FA366A" w:rsidRPr="002C21B8" w:rsidRDefault="00FA366A" w:rsidP="00212D46">
            <w:pPr>
              <w:spacing w:after="0" w:line="240" w:lineRule="auto"/>
              <w:rPr>
                <w:sz w:val="20"/>
                <w:szCs w:val="20"/>
              </w:rPr>
            </w:pPr>
            <w:r w:rsidRPr="002C21B8">
              <w:rPr>
                <w:sz w:val="20"/>
                <w:szCs w:val="20"/>
              </w:rPr>
              <w:t>TI=((rheumatoid or rheumatic) NEXT (arthrit* or artrit* or diseas* or condition* or nodule*))</w:t>
            </w:r>
          </w:p>
        </w:tc>
      </w:tr>
      <w:tr w:rsidR="00FA366A" w:rsidRPr="002C21B8" w14:paraId="11D066F6" w14:textId="77777777" w:rsidTr="00960A9F">
        <w:trPr>
          <w:trHeight w:val="320"/>
        </w:trPr>
        <w:tc>
          <w:tcPr>
            <w:tcW w:w="704" w:type="dxa"/>
            <w:shd w:val="clear" w:color="auto" w:fill="auto"/>
            <w:vAlign w:val="center"/>
          </w:tcPr>
          <w:p w14:paraId="15E0D6AE" w14:textId="77777777" w:rsidR="00FA366A" w:rsidRPr="002C21B8" w:rsidRDefault="00FA366A" w:rsidP="00212D46">
            <w:pPr>
              <w:spacing w:after="0" w:line="240" w:lineRule="auto"/>
              <w:rPr>
                <w:sz w:val="20"/>
                <w:szCs w:val="20"/>
              </w:rPr>
            </w:pPr>
            <w:r w:rsidRPr="002C21B8">
              <w:rPr>
                <w:sz w:val="20"/>
                <w:szCs w:val="20"/>
              </w:rPr>
              <w:t>8</w:t>
            </w:r>
          </w:p>
        </w:tc>
        <w:tc>
          <w:tcPr>
            <w:tcW w:w="8505" w:type="dxa"/>
            <w:shd w:val="clear" w:color="auto" w:fill="auto"/>
          </w:tcPr>
          <w:p w14:paraId="6D989671" w14:textId="77777777" w:rsidR="00FA366A" w:rsidRPr="002C21B8" w:rsidRDefault="00FA366A" w:rsidP="00212D46">
            <w:pPr>
              <w:spacing w:after="0" w:line="240" w:lineRule="auto"/>
              <w:rPr>
                <w:sz w:val="20"/>
                <w:szCs w:val="20"/>
              </w:rPr>
            </w:pPr>
            <w:r w:rsidRPr="002C21B8">
              <w:rPr>
                <w:sz w:val="20"/>
                <w:szCs w:val="20"/>
              </w:rPr>
              <w:t>TI=("primary progressive aphasia" or aphasia or dysphasia)</w:t>
            </w:r>
          </w:p>
        </w:tc>
      </w:tr>
      <w:tr w:rsidR="00FA366A" w:rsidRPr="002C21B8" w14:paraId="76693EBA" w14:textId="77777777" w:rsidTr="00960A9F">
        <w:trPr>
          <w:trHeight w:val="320"/>
        </w:trPr>
        <w:tc>
          <w:tcPr>
            <w:tcW w:w="704" w:type="dxa"/>
            <w:shd w:val="clear" w:color="auto" w:fill="auto"/>
            <w:vAlign w:val="center"/>
          </w:tcPr>
          <w:p w14:paraId="030AB33A" w14:textId="77777777" w:rsidR="00FA366A" w:rsidRPr="002C21B8" w:rsidRDefault="00FA366A" w:rsidP="00212D46">
            <w:pPr>
              <w:spacing w:after="0" w:line="240" w:lineRule="auto"/>
              <w:rPr>
                <w:sz w:val="20"/>
                <w:szCs w:val="20"/>
              </w:rPr>
            </w:pPr>
            <w:r w:rsidRPr="002C21B8">
              <w:rPr>
                <w:sz w:val="20"/>
                <w:szCs w:val="20"/>
              </w:rPr>
              <w:t>9</w:t>
            </w:r>
          </w:p>
        </w:tc>
        <w:tc>
          <w:tcPr>
            <w:tcW w:w="8505" w:type="dxa"/>
            <w:shd w:val="clear" w:color="auto" w:fill="auto"/>
          </w:tcPr>
          <w:p w14:paraId="4C8A72F7" w14:textId="77777777" w:rsidR="00FA366A" w:rsidRPr="002C21B8" w:rsidRDefault="00FA366A" w:rsidP="00212D46">
            <w:pPr>
              <w:spacing w:after="0" w:line="240" w:lineRule="auto"/>
              <w:rPr>
                <w:sz w:val="20"/>
                <w:szCs w:val="20"/>
              </w:rPr>
            </w:pPr>
            <w:r w:rsidRPr="002C21B8">
              <w:rPr>
                <w:sz w:val="20"/>
                <w:szCs w:val="20"/>
              </w:rPr>
              <w:t>TI=((cerebell* or spinocerebell*) NEXT (ataxia* or incoordination))</w:t>
            </w:r>
          </w:p>
        </w:tc>
      </w:tr>
      <w:tr w:rsidR="00FA366A" w:rsidRPr="002C21B8" w14:paraId="74C295D4" w14:textId="77777777" w:rsidTr="00960A9F">
        <w:trPr>
          <w:trHeight w:val="320"/>
        </w:trPr>
        <w:tc>
          <w:tcPr>
            <w:tcW w:w="704" w:type="dxa"/>
            <w:shd w:val="clear" w:color="auto" w:fill="auto"/>
            <w:vAlign w:val="center"/>
          </w:tcPr>
          <w:p w14:paraId="3E9863FA" w14:textId="77777777" w:rsidR="00FA366A" w:rsidRPr="002C21B8" w:rsidRDefault="00FA366A" w:rsidP="00212D46">
            <w:pPr>
              <w:spacing w:after="0" w:line="240" w:lineRule="auto"/>
              <w:rPr>
                <w:sz w:val="20"/>
                <w:szCs w:val="20"/>
              </w:rPr>
            </w:pPr>
            <w:r w:rsidRPr="002C21B8">
              <w:rPr>
                <w:sz w:val="20"/>
                <w:szCs w:val="20"/>
              </w:rPr>
              <w:t>10</w:t>
            </w:r>
          </w:p>
        </w:tc>
        <w:tc>
          <w:tcPr>
            <w:tcW w:w="8505" w:type="dxa"/>
            <w:shd w:val="clear" w:color="auto" w:fill="auto"/>
          </w:tcPr>
          <w:p w14:paraId="774031C7" w14:textId="77777777" w:rsidR="00FA366A" w:rsidRPr="002C21B8" w:rsidRDefault="00FA366A" w:rsidP="00212D46">
            <w:pPr>
              <w:spacing w:after="0" w:line="240" w:lineRule="auto"/>
              <w:rPr>
                <w:sz w:val="20"/>
                <w:szCs w:val="20"/>
              </w:rPr>
            </w:pPr>
            <w:r w:rsidRPr="002C21B8">
              <w:rPr>
                <w:sz w:val="20"/>
                <w:szCs w:val="20"/>
              </w:rPr>
              <w:t>TI=(addison* disease or autoimmune thyroid disease or ank* spondy* or h?emolytic an?emia or multiple sclerosis or myasthenia gravis or immune thrombocytopen* purpura or scleroderma or polyarteriti* nodosa or pernicious an?emia or vitiligo or psoriasis or primary biliary cirrhosis)</w:t>
            </w:r>
          </w:p>
        </w:tc>
      </w:tr>
      <w:tr w:rsidR="00FA366A" w:rsidRPr="002C21B8" w14:paraId="6AD106CB" w14:textId="77777777" w:rsidTr="00960A9F">
        <w:trPr>
          <w:trHeight w:val="320"/>
        </w:trPr>
        <w:tc>
          <w:tcPr>
            <w:tcW w:w="704" w:type="dxa"/>
            <w:shd w:val="clear" w:color="auto" w:fill="auto"/>
            <w:vAlign w:val="center"/>
          </w:tcPr>
          <w:p w14:paraId="67FACD7D" w14:textId="77777777" w:rsidR="00FA366A" w:rsidRPr="002C21B8" w:rsidRDefault="00FA366A" w:rsidP="00212D46">
            <w:pPr>
              <w:spacing w:after="0" w:line="240" w:lineRule="auto"/>
              <w:rPr>
                <w:sz w:val="20"/>
                <w:szCs w:val="20"/>
              </w:rPr>
            </w:pPr>
            <w:r w:rsidRPr="002C21B8">
              <w:rPr>
                <w:sz w:val="20"/>
                <w:szCs w:val="20"/>
              </w:rPr>
              <w:t>11</w:t>
            </w:r>
          </w:p>
        </w:tc>
        <w:tc>
          <w:tcPr>
            <w:tcW w:w="8505" w:type="dxa"/>
            <w:shd w:val="clear" w:color="auto" w:fill="auto"/>
          </w:tcPr>
          <w:p w14:paraId="1BAA2EC5" w14:textId="77777777" w:rsidR="00FA366A" w:rsidRPr="002C21B8" w:rsidRDefault="00FA366A" w:rsidP="00212D46">
            <w:pPr>
              <w:spacing w:after="0" w:line="240" w:lineRule="auto"/>
              <w:rPr>
                <w:sz w:val="20"/>
                <w:szCs w:val="20"/>
              </w:rPr>
            </w:pPr>
            <w:r w:rsidRPr="002C21B8">
              <w:rPr>
                <w:sz w:val="20"/>
                <w:szCs w:val="20"/>
              </w:rPr>
              <w:t>TI=(leukaemi* or myeloma or lymphoma)</w:t>
            </w:r>
          </w:p>
        </w:tc>
      </w:tr>
      <w:tr w:rsidR="00FA366A" w:rsidRPr="002C21B8" w14:paraId="4695AF0A" w14:textId="77777777" w:rsidTr="00960A9F">
        <w:trPr>
          <w:trHeight w:val="320"/>
        </w:trPr>
        <w:tc>
          <w:tcPr>
            <w:tcW w:w="704" w:type="dxa"/>
            <w:shd w:val="clear" w:color="auto" w:fill="auto"/>
            <w:vAlign w:val="center"/>
          </w:tcPr>
          <w:p w14:paraId="6FFE81AB" w14:textId="77777777" w:rsidR="00FA366A" w:rsidRPr="002C21B8" w:rsidRDefault="00FA366A" w:rsidP="00212D46">
            <w:pPr>
              <w:spacing w:after="0" w:line="240" w:lineRule="auto"/>
              <w:rPr>
                <w:sz w:val="20"/>
                <w:szCs w:val="20"/>
              </w:rPr>
            </w:pPr>
            <w:r w:rsidRPr="002C21B8">
              <w:rPr>
                <w:sz w:val="20"/>
                <w:szCs w:val="20"/>
              </w:rPr>
              <w:t>12</w:t>
            </w:r>
          </w:p>
        </w:tc>
        <w:tc>
          <w:tcPr>
            <w:tcW w:w="8505" w:type="dxa"/>
            <w:shd w:val="clear" w:color="auto" w:fill="auto"/>
          </w:tcPr>
          <w:p w14:paraId="11C17AEE" w14:textId="110EE684" w:rsidR="00FA366A" w:rsidRPr="002C21B8" w:rsidRDefault="00FA366A" w:rsidP="00212D46">
            <w:pPr>
              <w:spacing w:after="0" w:line="240" w:lineRule="auto"/>
              <w:rPr>
                <w:sz w:val="20"/>
                <w:szCs w:val="20"/>
              </w:rPr>
            </w:pPr>
            <w:r w:rsidRPr="002C21B8">
              <w:rPr>
                <w:sz w:val="20"/>
                <w:szCs w:val="20"/>
              </w:rPr>
              <w:t xml:space="preserve">TI=(stroke or </w:t>
            </w:r>
            <w:r w:rsidR="002B27F4" w:rsidRPr="002C21B8">
              <w:rPr>
                <w:sz w:val="20"/>
                <w:szCs w:val="20"/>
              </w:rPr>
              <w:t>post stroke</w:t>
            </w:r>
            <w:r w:rsidRPr="002C21B8">
              <w:rPr>
                <w:sz w:val="20"/>
                <w:szCs w:val="20"/>
              </w:rPr>
              <w:t xml:space="preserve"> or post-stroke or cerebrovascu* or "brain vasc*" or "cerebral vasc*" or cva* or apoplexy* or sah)</w:t>
            </w:r>
          </w:p>
        </w:tc>
      </w:tr>
      <w:tr w:rsidR="00FA366A" w:rsidRPr="002C21B8" w14:paraId="43C968EE" w14:textId="77777777" w:rsidTr="00960A9F">
        <w:trPr>
          <w:trHeight w:val="320"/>
        </w:trPr>
        <w:tc>
          <w:tcPr>
            <w:tcW w:w="704" w:type="dxa"/>
            <w:shd w:val="clear" w:color="auto" w:fill="auto"/>
            <w:vAlign w:val="center"/>
          </w:tcPr>
          <w:p w14:paraId="7768DD68" w14:textId="77777777" w:rsidR="00FA366A" w:rsidRPr="002C21B8" w:rsidRDefault="00FA366A" w:rsidP="00212D46">
            <w:pPr>
              <w:spacing w:after="0" w:line="240" w:lineRule="auto"/>
              <w:rPr>
                <w:sz w:val="20"/>
                <w:szCs w:val="20"/>
              </w:rPr>
            </w:pPr>
            <w:r w:rsidRPr="002C21B8">
              <w:rPr>
                <w:sz w:val="20"/>
                <w:szCs w:val="20"/>
              </w:rPr>
              <w:t>13</w:t>
            </w:r>
          </w:p>
        </w:tc>
        <w:tc>
          <w:tcPr>
            <w:tcW w:w="8505" w:type="dxa"/>
            <w:shd w:val="clear" w:color="auto" w:fill="auto"/>
          </w:tcPr>
          <w:p w14:paraId="0D02E9A0" w14:textId="77777777" w:rsidR="00FA366A" w:rsidRPr="002C21B8" w:rsidRDefault="00FA366A" w:rsidP="00212D46">
            <w:pPr>
              <w:spacing w:after="0" w:line="240" w:lineRule="auto"/>
              <w:rPr>
                <w:sz w:val="20"/>
                <w:szCs w:val="20"/>
              </w:rPr>
            </w:pPr>
            <w:r w:rsidRPr="002C21B8">
              <w:rPr>
                <w:sz w:val="20"/>
                <w:szCs w:val="20"/>
              </w:rPr>
              <w:t>TI=((brain* or cerebr* or vascular or cerebel* or intracran* or intracerebral* or subarachnoid) NEXT (accident or isch?mi or infarct* or thrombo* or emboli* or occlus* or h?morrhage or h?matoma* or bleed*))</w:t>
            </w:r>
          </w:p>
        </w:tc>
      </w:tr>
      <w:tr w:rsidR="00FA366A" w:rsidRPr="002C21B8" w14:paraId="15678509" w14:textId="77777777" w:rsidTr="00960A9F">
        <w:trPr>
          <w:trHeight w:val="320"/>
        </w:trPr>
        <w:tc>
          <w:tcPr>
            <w:tcW w:w="704" w:type="dxa"/>
            <w:shd w:val="clear" w:color="auto" w:fill="auto"/>
            <w:vAlign w:val="center"/>
          </w:tcPr>
          <w:p w14:paraId="20CB4915" w14:textId="77777777" w:rsidR="00FA366A" w:rsidRPr="002C21B8" w:rsidRDefault="00FA366A" w:rsidP="00212D46">
            <w:pPr>
              <w:spacing w:after="0" w:line="240" w:lineRule="auto"/>
              <w:rPr>
                <w:sz w:val="20"/>
                <w:szCs w:val="20"/>
              </w:rPr>
            </w:pPr>
            <w:r w:rsidRPr="002C21B8">
              <w:rPr>
                <w:sz w:val="20"/>
                <w:szCs w:val="20"/>
              </w:rPr>
              <w:t>14</w:t>
            </w:r>
          </w:p>
        </w:tc>
        <w:tc>
          <w:tcPr>
            <w:tcW w:w="8505" w:type="dxa"/>
            <w:shd w:val="clear" w:color="auto" w:fill="auto"/>
          </w:tcPr>
          <w:p w14:paraId="31BF5D35" w14:textId="77777777" w:rsidR="00FA366A" w:rsidRPr="002C21B8" w:rsidRDefault="00FA366A" w:rsidP="00212D46">
            <w:pPr>
              <w:spacing w:after="0" w:line="240" w:lineRule="auto"/>
              <w:rPr>
                <w:sz w:val="20"/>
                <w:szCs w:val="20"/>
              </w:rPr>
            </w:pPr>
            <w:r w:rsidRPr="002C21B8">
              <w:rPr>
                <w:sz w:val="20"/>
                <w:szCs w:val="20"/>
              </w:rPr>
              <w:t>TI=(burn* or scald*)</w:t>
            </w:r>
          </w:p>
        </w:tc>
      </w:tr>
      <w:tr w:rsidR="00FA366A" w:rsidRPr="002C21B8" w14:paraId="45C2E750" w14:textId="77777777" w:rsidTr="00960A9F">
        <w:trPr>
          <w:trHeight w:val="320"/>
        </w:trPr>
        <w:tc>
          <w:tcPr>
            <w:tcW w:w="704" w:type="dxa"/>
            <w:shd w:val="clear" w:color="auto" w:fill="auto"/>
            <w:vAlign w:val="center"/>
          </w:tcPr>
          <w:p w14:paraId="3F676863" w14:textId="77777777" w:rsidR="00FA366A" w:rsidRPr="002C21B8" w:rsidRDefault="00FA366A" w:rsidP="00212D46">
            <w:pPr>
              <w:spacing w:after="0" w:line="240" w:lineRule="auto"/>
              <w:rPr>
                <w:sz w:val="20"/>
                <w:szCs w:val="20"/>
              </w:rPr>
            </w:pPr>
            <w:r w:rsidRPr="002C21B8">
              <w:rPr>
                <w:sz w:val="20"/>
                <w:szCs w:val="20"/>
              </w:rPr>
              <w:t>15</w:t>
            </w:r>
          </w:p>
        </w:tc>
        <w:tc>
          <w:tcPr>
            <w:tcW w:w="8505" w:type="dxa"/>
            <w:shd w:val="clear" w:color="auto" w:fill="auto"/>
          </w:tcPr>
          <w:p w14:paraId="7D1C67B1" w14:textId="77777777" w:rsidR="00FA366A" w:rsidRPr="002C21B8" w:rsidRDefault="00FA366A" w:rsidP="00212D46">
            <w:pPr>
              <w:spacing w:after="0" w:line="240" w:lineRule="auto"/>
              <w:rPr>
                <w:sz w:val="20"/>
                <w:szCs w:val="20"/>
              </w:rPr>
            </w:pPr>
            <w:r w:rsidRPr="002C21B8">
              <w:rPr>
                <w:sz w:val="20"/>
                <w:szCs w:val="20"/>
              </w:rPr>
              <w:t>TI=(cancer* or oncolog* or neoplasm* or carcinom* or tumo?r* or malignan* or leuk?emia)</w:t>
            </w:r>
          </w:p>
        </w:tc>
      </w:tr>
      <w:tr w:rsidR="00FA366A" w:rsidRPr="002C21B8" w14:paraId="46B7896F" w14:textId="77777777" w:rsidTr="00960A9F">
        <w:trPr>
          <w:trHeight w:val="320"/>
        </w:trPr>
        <w:tc>
          <w:tcPr>
            <w:tcW w:w="704" w:type="dxa"/>
            <w:shd w:val="clear" w:color="auto" w:fill="auto"/>
            <w:vAlign w:val="center"/>
          </w:tcPr>
          <w:p w14:paraId="6130C532" w14:textId="77777777" w:rsidR="00FA366A" w:rsidRPr="002C21B8" w:rsidRDefault="00FA366A" w:rsidP="00212D46">
            <w:pPr>
              <w:spacing w:after="0" w:line="240" w:lineRule="auto"/>
              <w:rPr>
                <w:sz w:val="20"/>
                <w:szCs w:val="20"/>
              </w:rPr>
            </w:pPr>
            <w:r w:rsidRPr="002C21B8">
              <w:rPr>
                <w:sz w:val="20"/>
                <w:szCs w:val="20"/>
              </w:rPr>
              <w:t>16</w:t>
            </w:r>
          </w:p>
        </w:tc>
        <w:tc>
          <w:tcPr>
            <w:tcW w:w="8505" w:type="dxa"/>
            <w:shd w:val="clear" w:color="auto" w:fill="auto"/>
          </w:tcPr>
          <w:p w14:paraId="270A06E7" w14:textId="77777777" w:rsidR="00FA366A" w:rsidRPr="002C21B8" w:rsidRDefault="00FA366A" w:rsidP="00212D46">
            <w:pPr>
              <w:spacing w:after="0" w:line="240" w:lineRule="auto"/>
              <w:rPr>
                <w:sz w:val="20"/>
                <w:szCs w:val="20"/>
              </w:rPr>
            </w:pPr>
            <w:r w:rsidRPr="002C21B8">
              <w:rPr>
                <w:sz w:val="20"/>
                <w:szCs w:val="20"/>
              </w:rPr>
              <w:t>TI=cardiac arrhythm*</w:t>
            </w:r>
          </w:p>
        </w:tc>
      </w:tr>
      <w:tr w:rsidR="00FA366A" w:rsidRPr="002C21B8" w14:paraId="097A9BBF" w14:textId="77777777" w:rsidTr="00960A9F">
        <w:trPr>
          <w:trHeight w:val="320"/>
        </w:trPr>
        <w:tc>
          <w:tcPr>
            <w:tcW w:w="704" w:type="dxa"/>
            <w:shd w:val="clear" w:color="auto" w:fill="auto"/>
            <w:vAlign w:val="center"/>
          </w:tcPr>
          <w:p w14:paraId="0A20460A" w14:textId="77777777" w:rsidR="00FA366A" w:rsidRPr="002C21B8" w:rsidRDefault="00FA366A" w:rsidP="00212D46">
            <w:pPr>
              <w:spacing w:after="0" w:line="240" w:lineRule="auto"/>
              <w:rPr>
                <w:sz w:val="20"/>
                <w:szCs w:val="20"/>
              </w:rPr>
            </w:pPr>
            <w:r w:rsidRPr="002C21B8">
              <w:rPr>
                <w:sz w:val="20"/>
                <w:szCs w:val="20"/>
              </w:rPr>
              <w:t>17</w:t>
            </w:r>
          </w:p>
        </w:tc>
        <w:tc>
          <w:tcPr>
            <w:tcW w:w="8505" w:type="dxa"/>
            <w:shd w:val="clear" w:color="auto" w:fill="auto"/>
          </w:tcPr>
          <w:p w14:paraId="132B9187" w14:textId="77777777" w:rsidR="00FA366A" w:rsidRPr="002C21B8" w:rsidRDefault="00FA366A" w:rsidP="00212D46">
            <w:pPr>
              <w:spacing w:after="0" w:line="240" w:lineRule="auto"/>
              <w:rPr>
                <w:sz w:val="20"/>
                <w:szCs w:val="20"/>
              </w:rPr>
            </w:pPr>
            <w:r w:rsidRPr="002C21B8">
              <w:rPr>
                <w:sz w:val="20"/>
                <w:szCs w:val="20"/>
              </w:rPr>
              <w:t>TI=cerebral pals*</w:t>
            </w:r>
          </w:p>
        </w:tc>
      </w:tr>
      <w:tr w:rsidR="00FA366A" w:rsidRPr="002C21B8" w14:paraId="43961DCE" w14:textId="77777777" w:rsidTr="00960A9F">
        <w:trPr>
          <w:trHeight w:val="320"/>
        </w:trPr>
        <w:tc>
          <w:tcPr>
            <w:tcW w:w="704" w:type="dxa"/>
            <w:shd w:val="clear" w:color="auto" w:fill="auto"/>
            <w:vAlign w:val="center"/>
          </w:tcPr>
          <w:p w14:paraId="3FB5AE9A" w14:textId="77777777" w:rsidR="00FA366A" w:rsidRPr="002C21B8" w:rsidRDefault="00FA366A" w:rsidP="00212D46">
            <w:pPr>
              <w:spacing w:after="0" w:line="240" w:lineRule="auto"/>
              <w:rPr>
                <w:sz w:val="20"/>
                <w:szCs w:val="20"/>
              </w:rPr>
            </w:pPr>
            <w:r w:rsidRPr="002C21B8">
              <w:rPr>
                <w:sz w:val="20"/>
                <w:szCs w:val="20"/>
              </w:rPr>
              <w:t>18</w:t>
            </w:r>
          </w:p>
        </w:tc>
        <w:tc>
          <w:tcPr>
            <w:tcW w:w="8505" w:type="dxa"/>
            <w:shd w:val="clear" w:color="auto" w:fill="auto"/>
          </w:tcPr>
          <w:p w14:paraId="37F816F9" w14:textId="77777777" w:rsidR="00FA366A" w:rsidRPr="002C21B8" w:rsidRDefault="00FA366A" w:rsidP="00212D46">
            <w:pPr>
              <w:spacing w:after="0" w:line="240" w:lineRule="auto"/>
              <w:rPr>
                <w:sz w:val="20"/>
                <w:szCs w:val="20"/>
              </w:rPr>
            </w:pPr>
            <w:r w:rsidRPr="002C21B8">
              <w:rPr>
                <w:sz w:val="20"/>
                <w:szCs w:val="20"/>
              </w:rPr>
              <w:t>TI=(c?eliac NEXT (disease or sprue or syndrome))</w:t>
            </w:r>
          </w:p>
        </w:tc>
      </w:tr>
      <w:tr w:rsidR="00FA366A" w:rsidRPr="002C21B8" w14:paraId="707F88C5" w14:textId="77777777" w:rsidTr="00960A9F">
        <w:trPr>
          <w:trHeight w:val="320"/>
        </w:trPr>
        <w:tc>
          <w:tcPr>
            <w:tcW w:w="704" w:type="dxa"/>
            <w:shd w:val="clear" w:color="auto" w:fill="auto"/>
            <w:vAlign w:val="center"/>
          </w:tcPr>
          <w:p w14:paraId="71024F62" w14:textId="77777777" w:rsidR="00FA366A" w:rsidRPr="002C21B8" w:rsidRDefault="00FA366A" w:rsidP="00212D46">
            <w:pPr>
              <w:spacing w:after="0" w:line="240" w:lineRule="auto"/>
              <w:rPr>
                <w:sz w:val="20"/>
                <w:szCs w:val="20"/>
              </w:rPr>
            </w:pPr>
            <w:r w:rsidRPr="002C21B8">
              <w:rPr>
                <w:sz w:val="20"/>
                <w:szCs w:val="20"/>
              </w:rPr>
              <w:t>19</w:t>
            </w:r>
          </w:p>
        </w:tc>
        <w:tc>
          <w:tcPr>
            <w:tcW w:w="8505" w:type="dxa"/>
            <w:shd w:val="clear" w:color="auto" w:fill="auto"/>
          </w:tcPr>
          <w:p w14:paraId="00AC63DB" w14:textId="77777777" w:rsidR="00FA366A" w:rsidRPr="002C21B8" w:rsidRDefault="00FA366A" w:rsidP="00212D46">
            <w:pPr>
              <w:spacing w:after="0" w:line="240" w:lineRule="auto"/>
              <w:rPr>
                <w:sz w:val="20"/>
                <w:szCs w:val="20"/>
              </w:rPr>
            </w:pPr>
            <w:r w:rsidRPr="002C21B8">
              <w:rPr>
                <w:sz w:val="20"/>
                <w:szCs w:val="20"/>
              </w:rPr>
              <w:t>TI=(gluten NEXT (enteropath* or sensitiv* or hypersensitiv* or intoleran*))</w:t>
            </w:r>
          </w:p>
        </w:tc>
      </w:tr>
      <w:tr w:rsidR="00FA366A" w:rsidRPr="002C21B8" w14:paraId="7B649E54" w14:textId="77777777" w:rsidTr="00960A9F">
        <w:trPr>
          <w:trHeight w:val="320"/>
        </w:trPr>
        <w:tc>
          <w:tcPr>
            <w:tcW w:w="704" w:type="dxa"/>
            <w:shd w:val="clear" w:color="auto" w:fill="auto"/>
            <w:vAlign w:val="center"/>
          </w:tcPr>
          <w:p w14:paraId="67AEE0F4" w14:textId="77777777" w:rsidR="00FA366A" w:rsidRPr="002C21B8" w:rsidRDefault="00FA366A" w:rsidP="00212D46">
            <w:pPr>
              <w:spacing w:after="0" w:line="240" w:lineRule="auto"/>
              <w:rPr>
                <w:sz w:val="20"/>
                <w:szCs w:val="20"/>
              </w:rPr>
            </w:pPr>
            <w:r w:rsidRPr="002C21B8">
              <w:rPr>
                <w:sz w:val="20"/>
                <w:szCs w:val="20"/>
              </w:rPr>
              <w:t>20</w:t>
            </w:r>
          </w:p>
        </w:tc>
        <w:tc>
          <w:tcPr>
            <w:tcW w:w="8505" w:type="dxa"/>
            <w:shd w:val="clear" w:color="auto" w:fill="auto"/>
          </w:tcPr>
          <w:p w14:paraId="3AF8F1E4" w14:textId="77777777" w:rsidR="00FA366A" w:rsidRPr="002C21B8" w:rsidRDefault="00FA366A" w:rsidP="00212D46">
            <w:pPr>
              <w:spacing w:after="0" w:line="240" w:lineRule="auto"/>
              <w:rPr>
                <w:sz w:val="20"/>
                <w:szCs w:val="20"/>
              </w:rPr>
            </w:pPr>
            <w:r w:rsidRPr="002C21B8">
              <w:rPr>
                <w:sz w:val="20"/>
                <w:szCs w:val="20"/>
              </w:rPr>
              <w:t>TI=(connective tissue disease* or sharp syndrome or polymyositis or systemic sclerosis or scleroderma)</w:t>
            </w:r>
          </w:p>
        </w:tc>
      </w:tr>
      <w:tr w:rsidR="00FA366A" w:rsidRPr="002C21B8" w14:paraId="12467E15" w14:textId="77777777" w:rsidTr="00960A9F">
        <w:trPr>
          <w:trHeight w:val="320"/>
        </w:trPr>
        <w:tc>
          <w:tcPr>
            <w:tcW w:w="704" w:type="dxa"/>
            <w:shd w:val="clear" w:color="auto" w:fill="auto"/>
            <w:vAlign w:val="center"/>
          </w:tcPr>
          <w:p w14:paraId="5E1AE8EF" w14:textId="77777777" w:rsidR="00FA366A" w:rsidRPr="002C21B8" w:rsidRDefault="00FA366A" w:rsidP="00212D46">
            <w:pPr>
              <w:spacing w:after="0" w:line="240" w:lineRule="auto"/>
              <w:rPr>
                <w:sz w:val="20"/>
                <w:szCs w:val="20"/>
              </w:rPr>
            </w:pPr>
            <w:r w:rsidRPr="002C21B8">
              <w:rPr>
                <w:sz w:val="20"/>
                <w:szCs w:val="20"/>
              </w:rPr>
              <w:t>21</w:t>
            </w:r>
          </w:p>
        </w:tc>
        <w:tc>
          <w:tcPr>
            <w:tcW w:w="8505" w:type="dxa"/>
            <w:shd w:val="clear" w:color="auto" w:fill="auto"/>
          </w:tcPr>
          <w:p w14:paraId="496712BB" w14:textId="77777777" w:rsidR="00FA366A" w:rsidRPr="002C21B8" w:rsidRDefault="00FA366A" w:rsidP="00212D46">
            <w:pPr>
              <w:spacing w:after="0" w:line="240" w:lineRule="auto"/>
              <w:rPr>
                <w:sz w:val="20"/>
                <w:szCs w:val="20"/>
              </w:rPr>
            </w:pPr>
            <w:r w:rsidRPr="002C21B8">
              <w:rPr>
                <w:sz w:val="20"/>
                <w:szCs w:val="20"/>
              </w:rPr>
              <w:t>TI=(heart disease* or myocardial ischemia or coronary disease* or coronary artery disease* or coronary heart disease* or myocardial infarct*)</w:t>
            </w:r>
          </w:p>
        </w:tc>
      </w:tr>
      <w:tr w:rsidR="00FA366A" w:rsidRPr="002C21B8" w14:paraId="282AE36B" w14:textId="77777777" w:rsidTr="00960A9F">
        <w:trPr>
          <w:trHeight w:val="320"/>
        </w:trPr>
        <w:tc>
          <w:tcPr>
            <w:tcW w:w="704" w:type="dxa"/>
            <w:shd w:val="clear" w:color="auto" w:fill="auto"/>
            <w:vAlign w:val="center"/>
          </w:tcPr>
          <w:p w14:paraId="355F9F8E" w14:textId="77777777" w:rsidR="00FA366A" w:rsidRPr="002C21B8" w:rsidRDefault="00FA366A" w:rsidP="00212D46">
            <w:pPr>
              <w:spacing w:after="0" w:line="240" w:lineRule="auto"/>
              <w:rPr>
                <w:sz w:val="20"/>
                <w:szCs w:val="20"/>
              </w:rPr>
            </w:pPr>
            <w:r w:rsidRPr="002C21B8">
              <w:rPr>
                <w:sz w:val="20"/>
                <w:szCs w:val="20"/>
              </w:rPr>
              <w:t>22</w:t>
            </w:r>
          </w:p>
        </w:tc>
        <w:tc>
          <w:tcPr>
            <w:tcW w:w="8505" w:type="dxa"/>
            <w:shd w:val="clear" w:color="auto" w:fill="auto"/>
          </w:tcPr>
          <w:p w14:paraId="3078DFB5" w14:textId="77777777" w:rsidR="00FA366A" w:rsidRPr="002C21B8" w:rsidRDefault="00FA366A" w:rsidP="00212D46">
            <w:pPr>
              <w:spacing w:after="0" w:line="240" w:lineRule="auto"/>
              <w:rPr>
                <w:sz w:val="20"/>
                <w:szCs w:val="20"/>
              </w:rPr>
            </w:pPr>
            <w:r w:rsidRPr="002C21B8">
              <w:rPr>
                <w:sz w:val="20"/>
                <w:szCs w:val="20"/>
              </w:rPr>
              <w:t>TI=(allerg* or hypersensitivit* or tierg* or intolerance or anaphyla*)</w:t>
            </w:r>
          </w:p>
        </w:tc>
      </w:tr>
      <w:tr w:rsidR="00FA366A" w:rsidRPr="002C21B8" w14:paraId="3179A671" w14:textId="77777777" w:rsidTr="00960A9F">
        <w:trPr>
          <w:trHeight w:val="320"/>
        </w:trPr>
        <w:tc>
          <w:tcPr>
            <w:tcW w:w="704" w:type="dxa"/>
            <w:shd w:val="clear" w:color="auto" w:fill="auto"/>
            <w:vAlign w:val="center"/>
          </w:tcPr>
          <w:p w14:paraId="10635059" w14:textId="77777777" w:rsidR="00FA366A" w:rsidRPr="002C21B8" w:rsidRDefault="00FA366A" w:rsidP="00212D46">
            <w:pPr>
              <w:spacing w:after="0" w:line="240" w:lineRule="auto"/>
              <w:rPr>
                <w:sz w:val="20"/>
                <w:szCs w:val="20"/>
              </w:rPr>
            </w:pPr>
            <w:r w:rsidRPr="002C21B8">
              <w:rPr>
                <w:sz w:val="20"/>
                <w:szCs w:val="20"/>
              </w:rPr>
              <w:t>23</w:t>
            </w:r>
          </w:p>
        </w:tc>
        <w:tc>
          <w:tcPr>
            <w:tcW w:w="8505" w:type="dxa"/>
            <w:shd w:val="clear" w:color="auto" w:fill="auto"/>
          </w:tcPr>
          <w:p w14:paraId="4D0E1CF4" w14:textId="77777777" w:rsidR="00FA366A" w:rsidRPr="002C21B8" w:rsidRDefault="00FA366A" w:rsidP="00212D46">
            <w:pPr>
              <w:spacing w:after="0" w:line="240" w:lineRule="auto"/>
              <w:rPr>
                <w:sz w:val="20"/>
                <w:szCs w:val="20"/>
              </w:rPr>
            </w:pPr>
            <w:r w:rsidRPr="002C21B8">
              <w:rPr>
                <w:sz w:val="20"/>
                <w:szCs w:val="20"/>
              </w:rPr>
              <w:t>TI=((bronchial* or respiratory or airway* or lung*) NEXT (hypersensitive* or hyperreactiv* or allerg* or insufficiency))</w:t>
            </w:r>
          </w:p>
        </w:tc>
      </w:tr>
      <w:tr w:rsidR="00FA366A" w:rsidRPr="002C21B8" w14:paraId="54FCFF31" w14:textId="77777777" w:rsidTr="00960A9F">
        <w:trPr>
          <w:trHeight w:val="320"/>
        </w:trPr>
        <w:tc>
          <w:tcPr>
            <w:tcW w:w="704" w:type="dxa"/>
            <w:shd w:val="clear" w:color="auto" w:fill="auto"/>
            <w:vAlign w:val="center"/>
          </w:tcPr>
          <w:p w14:paraId="22F302D0" w14:textId="77777777" w:rsidR="00FA366A" w:rsidRPr="002C21B8" w:rsidRDefault="00FA366A" w:rsidP="00212D46">
            <w:pPr>
              <w:spacing w:after="0" w:line="240" w:lineRule="auto"/>
              <w:rPr>
                <w:sz w:val="20"/>
                <w:szCs w:val="20"/>
              </w:rPr>
            </w:pPr>
            <w:r w:rsidRPr="002C21B8">
              <w:rPr>
                <w:sz w:val="20"/>
                <w:szCs w:val="20"/>
              </w:rPr>
              <w:t>24</w:t>
            </w:r>
          </w:p>
        </w:tc>
        <w:tc>
          <w:tcPr>
            <w:tcW w:w="8505" w:type="dxa"/>
            <w:shd w:val="clear" w:color="auto" w:fill="auto"/>
          </w:tcPr>
          <w:p w14:paraId="5FBF9D28" w14:textId="77777777" w:rsidR="00FA366A" w:rsidRPr="002C21B8" w:rsidRDefault="00FA366A" w:rsidP="00212D46">
            <w:pPr>
              <w:spacing w:after="0" w:line="240" w:lineRule="auto"/>
              <w:rPr>
                <w:sz w:val="20"/>
                <w:szCs w:val="20"/>
              </w:rPr>
            </w:pPr>
            <w:r w:rsidRPr="002C21B8">
              <w:rPr>
                <w:sz w:val="20"/>
                <w:szCs w:val="20"/>
              </w:rPr>
              <w:t>TI=(bronch* NEXT (constrict* or spas*))</w:t>
            </w:r>
          </w:p>
        </w:tc>
      </w:tr>
      <w:tr w:rsidR="00FA366A" w:rsidRPr="002C21B8" w14:paraId="65218B28" w14:textId="77777777" w:rsidTr="00960A9F">
        <w:trPr>
          <w:trHeight w:val="320"/>
        </w:trPr>
        <w:tc>
          <w:tcPr>
            <w:tcW w:w="704" w:type="dxa"/>
            <w:shd w:val="clear" w:color="auto" w:fill="auto"/>
            <w:vAlign w:val="center"/>
          </w:tcPr>
          <w:p w14:paraId="08D6D7B7" w14:textId="77777777" w:rsidR="00FA366A" w:rsidRPr="002C21B8" w:rsidRDefault="00FA366A" w:rsidP="00212D46">
            <w:pPr>
              <w:spacing w:after="0" w:line="240" w:lineRule="auto"/>
              <w:rPr>
                <w:sz w:val="20"/>
                <w:szCs w:val="20"/>
              </w:rPr>
            </w:pPr>
            <w:r w:rsidRPr="002C21B8">
              <w:rPr>
                <w:sz w:val="20"/>
                <w:szCs w:val="20"/>
              </w:rPr>
              <w:t>25</w:t>
            </w:r>
          </w:p>
        </w:tc>
        <w:tc>
          <w:tcPr>
            <w:tcW w:w="8505" w:type="dxa"/>
            <w:shd w:val="clear" w:color="auto" w:fill="auto"/>
          </w:tcPr>
          <w:p w14:paraId="351E43F3" w14:textId="77777777" w:rsidR="00FA366A" w:rsidRPr="002C21B8" w:rsidRDefault="00FA366A" w:rsidP="00212D46">
            <w:pPr>
              <w:spacing w:after="0" w:line="240" w:lineRule="auto"/>
              <w:rPr>
                <w:sz w:val="20"/>
                <w:szCs w:val="20"/>
              </w:rPr>
            </w:pPr>
            <w:r w:rsidRPr="002C21B8">
              <w:rPr>
                <w:sz w:val="20"/>
                <w:szCs w:val="20"/>
              </w:rPr>
              <w:t>TI=(asthma* or wheez* or bronchoconstrict* or antiasthma* or anti-asthma* or bronchal hyperreactivity or bronchospas*)</w:t>
            </w:r>
          </w:p>
        </w:tc>
      </w:tr>
      <w:tr w:rsidR="00FA366A" w:rsidRPr="002C21B8" w14:paraId="143FF800" w14:textId="77777777" w:rsidTr="00960A9F">
        <w:trPr>
          <w:trHeight w:val="320"/>
        </w:trPr>
        <w:tc>
          <w:tcPr>
            <w:tcW w:w="704" w:type="dxa"/>
            <w:shd w:val="clear" w:color="auto" w:fill="auto"/>
            <w:vAlign w:val="center"/>
          </w:tcPr>
          <w:p w14:paraId="52E45B1E" w14:textId="77777777" w:rsidR="00FA366A" w:rsidRPr="002C21B8" w:rsidRDefault="00FA366A" w:rsidP="00212D46">
            <w:pPr>
              <w:spacing w:after="0" w:line="240" w:lineRule="auto"/>
              <w:rPr>
                <w:sz w:val="20"/>
                <w:szCs w:val="20"/>
              </w:rPr>
            </w:pPr>
            <w:r w:rsidRPr="002C21B8">
              <w:rPr>
                <w:sz w:val="20"/>
                <w:szCs w:val="20"/>
              </w:rPr>
              <w:t>26</w:t>
            </w:r>
          </w:p>
        </w:tc>
        <w:tc>
          <w:tcPr>
            <w:tcW w:w="8505" w:type="dxa"/>
            <w:shd w:val="clear" w:color="auto" w:fill="auto"/>
          </w:tcPr>
          <w:p w14:paraId="1D8862B8" w14:textId="77777777" w:rsidR="00FA366A" w:rsidRPr="002C21B8" w:rsidRDefault="00FA366A" w:rsidP="00212D46">
            <w:pPr>
              <w:spacing w:after="0" w:line="240" w:lineRule="auto"/>
              <w:rPr>
                <w:sz w:val="20"/>
                <w:szCs w:val="20"/>
              </w:rPr>
            </w:pPr>
            <w:r w:rsidRPr="002C21B8">
              <w:rPr>
                <w:sz w:val="20"/>
                <w:szCs w:val="20"/>
              </w:rPr>
              <w:t>TI=((atrial or atrium) NEXT fibril?at*)</w:t>
            </w:r>
          </w:p>
        </w:tc>
      </w:tr>
      <w:tr w:rsidR="00FA366A" w:rsidRPr="002C21B8" w14:paraId="7075AD59" w14:textId="77777777" w:rsidTr="00960A9F">
        <w:trPr>
          <w:trHeight w:val="320"/>
        </w:trPr>
        <w:tc>
          <w:tcPr>
            <w:tcW w:w="704" w:type="dxa"/>
            <w:shd w:val="clear" w:color="auto" w:fill="auto"/>
            <w:vAlign w:val="center"/>
          </w:tcPr>
          <w:p w14:paraId="7519D297" w14:textId="77777777" w:rsidR="00FA366A" w:rsidRPr="002C21B8" w:rsidRDefault="00FA366A" w:rsidP="00212D46">
            <w:pPr>
              <w:spacing w:after="0" w:line="240" w:lineRule="auto"/>
              <w:rPr>
                <w:sz w:val="20"/>
                <w:szCs w:val="20"/>
              </w:rPr>
            </w:pPr>
            <w:r w:rsidRPr="002C21B8">
              <w:rPr>
                <w:sz w:val="20"/>
                <w:szCs w:val="20"/>
              </w:rPr>
              <w:t>27</w:t>
            </w:r>
          </w:p>
        </w:tc>
        <w:tc>
          <w:tcPr>
            <w:tcW w:w="8505" w:type="dxa"/>
            <w:shd w:val="clear" w:color="auto" w:fill="auto"/>
          </w:tcPr>
          <w:p w14:paraId="7AB0ECB4" w14:textId="77777777" w:rsidR="00FA366A" w:rsidRPr="002C21B8" w:rsidRDefault="00FA366A" w:rsidP="00212D46">
            <w:pPr>
              <w:spacing w:after="0" w:line="240" w:lineRule="auto"/>
              <w:rPr>
                <w:sz w:val="20"/>
                <w:szCs w:val="20"/>
              </w:rPr>
            </w:pPr>
            <w:r w:rsidRPr="002C21B8">
              <w:rPr>
                <w:sz w:val="20"/>
                <w:szCs w:val="20"/>
              </w:rPr>
              <w:t>TI=(dravet syndrome* or "severe myoclonic epilepsy of infancy" or "severe myoclonic epilepsy in infancy" or "severe polymorphic epilepsy of infancy")</w:t>
            </w:r>
          </w:p>
        </w:tc>
      </w:tr>
      <w:tr w:rsidR="00FA366A" w:rsidRPr="002C21B8" w14:paraId="4E1F5B1A" w14:textId="77777777" w:rsidTr="00960A9F">
        <w:trPr>
          <w:trHeight w:val="320"/>
        </w:trPr>
        <w:tc>
          <w:tcPr>
            <w:tcW w:w="704" w:type="dxa"/>
            <w:shd w:val="clear" w:color="auto" w:fill="auto"/>
            <w:vAlign w:val="center"/>
          </w:tcPr>
          <w:p w14:paraId="6D882830" w14:textId="77777777" w:rsidR="00FA366A" w:rsidRPr="002C21B8" w:rsidRDefault="00FA366A" w:rsidP="00212D46">
            <w:pPr>
              <w:spacing w:after="0" w:line="240" w:lineRule="auto"/>
              <w:rPr>
                <w:sz w:val="20"/>
                <w:szCs w:val="20"/>
              </w:rPr>
            </w:pPr>
            <w:r w:rsidRPr="002C21B8">
              <w:rPr>
                <w:sz w:val="20"/>
                <w:szCs w:val="20"/>
              </w:rPr>
              <w:t>28</w:t>
            </w:r>
          </w:p>
        </w:tc>
        <w:tc>
          <w:tcPr>
            <w:tcW w:w="8505" w:type="dxa"/>
            <w:shd w:val="clear" w:color="auto" w:fill="auto"/>
          </w:tcPr>
          <w:p w14:paraId="1B7AB931" w14:textId="77777777" w:rsidR="00FA366A" w:rsidRPr="002C21B8" w:rsidRDefault="00FA366A" w:rsidP="00212D46">
            <w:pPr>
              <w:spacing w:after="0" w:line="240" w:lineRule="auto"/>
              <w:rPr>
                <w:sz w:val="20"/>
                <w:szCs w:val="20"/>
              </w:rPr>
            </w:pPr>
            <w:r w:rsidRPr="002C21B8">
              <w:rPr>
                <w:sz w:val="20"/>
                <w:szCs w:val="20"/>
              </w:rPr>
              <w:t>TI=(chronic NEXT (kidney or kidney) NEXT (disease* or failure or insufficien*))</w:t>
            </w:r>
          </w:p>
        </w:tc>
      </w:tr>
      <w:tr w:rsidR="00FA366A" w:rsidRPr="002C21B8" w14:paraId="323E1D94" w14:textId="77777777" w:rsidTr="00960A9F">
        <w:trPr>
          <w:trHeight w:val="320"/>
        </w:trPr>
        <w:tc>
          <w:tcPr>
            <w:tcW w:w="704" w:type="dxa"/>
            <w:shd w:val="clear" w:color="auto" w:fill="auto"/>
            <w:vAlign w:val="center"/>
          </w:tcPr>
          <w:p w14:paraId="23F6C72B" w14:textId="77777777" w:rsidR="00FA366A" w:rsidRPr="002C21B8" w:rsidRDefault="00FA366A" w:rsidP="00212D46">
            <w:pPr>
              <w:spacing w:after="0" w:line="240" w:lineRule="auto"/>
              <w:rPr>
                <w:sz w:val="20"/>
                <w:szCs w:val="20"/>
              </w:rPr>
            </w:pPr>
            <w:r w:rsidRPr="002C21B8">
              <w:rPr>
                <w:sz w:val="20"/>
                <w:szCs w:val="20"/>
              </w:rPr>
              <w:t>29</w:t>
            </w:r>
          </w:p>
        </w:tc>
        <w:tc>
          <w:tcPr>
            <w:tcW w:w="8505" w:type="dxa"/>
            <w:shd w:val="clear" w:color="auto" w:fill="auto"/>
          </w:tcPr>
          <w:p w14:paraId="4D43847A" w14:textId="77777777" w:rsidR="00FA366A" w:rsidRPr="002C21B8" w:rsidRDefault="00FA366A" w:rsidP="00212D46">
            <w:pPr>
              <w:spacing w:after="0" w:line="240" w:lineRule="auto"/>
              <w:rPr>
                <w:sz w:val="20"/>
                <w:szCs w:val="20"/>
              </w:rPr>
            </w:pPr>
            <w:r w:rsidRPr="002C21B8">
              <w:rPr>
                <w:sz w:val="20"/>
                <w:szCs w:val="20"/>
              </w:rPr>
              <w:t>TI=(CKD or CRF or CRD or ESKD or ESRD or ESRF)</w:t>
            </w:r>
          </w:p>
        </w:tc>
      </w:tr>
      <w:tr w:rsidR="00FA366A" w:rsidRPr="002C21B8" w14:paraId="4901B679" w14:textId="77777777" w:rsidTr="00960A9F">
        <w:trPr>
          <w:trHeight w:val="320"/>
        </w:trPr>
        <w:tc>
          <w:tcPr>
            <w:tcW w:w="704" w:type="dxa"/>
            <w:shd w:val="clear" w:color="auto" w:fill="auto"/>
            <w:vAlign w:val="center"/>
          </w:tcPr>
          <w:p w14:paraId="140187C4" w14:textId="77777777" w:rsidR="00FA366A" w:rsidRPr="002C21B8" w:rsidRDefault="00FA366A" w:rsidP="00212D46">
            <w:pPr>
              <w:spacing w:after="0" w:line="240" w:lineRule="auto"/>
              <w:rPr>
                <w:sz w:val="20"/>
                <w:szCs w:val="20"/>
              </w:rPr>
            </w:pPr>
            <w:r w:rsidRPr="002C21B8">
              <w:rPr>
                <w:sz w:val="20"/>
                <w:szCs w:val="20"/>
              </w:rPr>
              <w:t>30</w:t>
            </w:r>
          </w:p>
        </w:tc>
        <w:tc>
          <w:tcPr>
            <w:tcW w:w="8505" w:type="dxa"/>
            <w:shd w:val="clear" w:color="auto" w:fill="auto"/>
          </w:tcPr>
          <w:p w14:paraId="19C22B3E" w14:textId="77777777" w:rsidR="00FA366A" w:rsidRPr="002C21B8" w:rsidRDefault="00FA366A" w:rsidP="00212D46">
            <w:pPr>
              <w:spacing w:after="0" w:line="240" w:lineRule="auto"/>
              <w:rPr>
                <w:sz w:val="20"/>
                <w:szCs w:val="20"/>
              </w:rPr>
            </w:pPr>
            <w:r w:rsidRPr="002C21B8">
              <w:rPr>
                <w:sz w:val="20"/>
                <w:szCs w:val="20"/>
              </w:rPr>
              <w:t>TI=(obstruct* NEXT (pulmonary or lung* or airway* or airflow* or bronch* or respirat*))</w:t>
            </w:r>
          </w:p>
        </w:tc>
      </w:tr>
      <w:tr w:rsidR="00FA366A" w:rsidRPr="002C21B8" w14:paraId="4E37D18A" w14:textId="77777777" w:rsidTr="00960A9F">
        <w:trPr>
          <w:trHeight w:val="320"/>
        </w:trPr>
        <w:tc>
          <w:tcPr>
            <w:tcW w:w="704" w:type="dxa"/>
            <w:shd w:val="clear" w:color="auto" w:fill="auto"/>
            <w:vAlign w:val="center"/>
          </w:tcPr>
          <w:p w14:paraId="61C22EB3" w14:textId="77777777" w:rsidR="00FA366A" w:rsidRPr="002C21B8" w:rsidRDefault="00FA366A" w:rsidP="00212D46">
            <w:pPr>
              <w:spacing w:after="0" w:line="240" w:lineRule="auto"/>
              <w:rPr>
                <w:sz w:val="20"/>
                <w:szCs w:val="20"/>
              </w:rPr>
            </w:pPr>
            <w:r w:rsidRPr="002C21B8">
              <w:rPr>
                <w:sz w:val="20"/>
                <w:szCs w:val="20"/>
              </w:rPr>
              <w:t>31</w:t>
            </w:r>
          </w:p>
        </w:tc>
        <w:tc>
          <w:tcPr>
            <w:tcW w:w="8505" w:type="dxa"/>
            <w:shd w:val="clear" w:color="auto" w:fill="auto"/>
          </w:tcPr>
          <w:p w14:paraId="718674B2" w14:textId="77777777" w:rsidR="00FA366A" w:rsidRPr="002C21B8" w:rsidRDefault="00FA366A" w:rsidP="00212D46">
            <w:pPr>
              <w:spacing w:after="0" w:line="240" w:lineRule="auto"/>
              <w:rPr>
                <w:sz w:val="20"/>
                <w:szCs w:val="20"/>
              </w:rPr>
            </w:pPr>
            <w:r w:rsidRPr="002C21B8">
              <w:rPr>
                <w:sz w:val="20"/>
                <w:szCs w:val="20"/>
              </w:rPr>
              <w:t>TI=(chronic* NEXT bronchiti*)</w:t>
            </w:r>
          </w:p>
        </w:tc>
      </w:tr>
      <w:tr w:rsidR="00FA366A" w:rsidRPr="002C21B8" w14:paraId="251A91C3" w14:textId="77777777" w:rsidTr="00960A9F">
        <w:trPr>
          <w:trHeight w:val="320"/>
        </w:trPr>
        <w:tc>
          <w:tcPr>
            <w:tcW w:w="704" w:type="dxa"/>
            <w:shd w:val="clear" w:color="auto" w:fill="auto"/>
            <w:vAlign w:val="center"/>
          </w:tcPr>
          <w:p w14:paraId="4E6E8528" w14:textId="77777777" w:rsidR="00FA366A" w:rsidRPr="002C21B8" w:rsidRDefault="00FA366A" w:rsidP="00212D46">
            <w:pPr>
              <w:spacing w:after="0" w:line="240" w:lineRule="auto"/>
              <w:rPr>
                <w:sz w:val="20"/>
                <w:szCs w:val="20"/>
              </w:rPr>
            </w:pPr>
            <w:r w:rsidRPr="002C21B8">
              <w:rPr>
                <w:sz w:val="20"/>
                <w:szCs w:val="20"/>
              </w:rPr>
              <w:t>32</w:t>
            </w:r>
          </w:p>
        </w:tc>
        <w:tc>
          <w:tcPr>
            <w:tcW w:w="8505" w:type="dxa"/>
            <w:shd w:val="clear" w:color="auto" w:fill="auto"/>
          </w:tcPr>
          <w:p w14:paraId="00F72A33" w14:textId="77777777" w:rsidR="00FA366A" w:rsidRPr="002C21B8" w:rsidRDefault="00FA366A" w:rsidP="00212D46">
            <w:pPr>
              <w:spacing w:after="0" w:line="240" w:lineRule="auto"/>
              <w:rPr>
                <w:sz w:val="20"/>
                <w:szCs w:val="20"/>
              </w:rPr>
            </w:pPr>
            <w:r w:rsidRPr="002C21B8">
              <w:rPr>
                <w:sz w:val="20"/>
                <w:szCs w:val="20"/>
              </w:rPr>
              <w:t>TI=("chronic obstructive pulmonary disease" or "chronic obstructive airways disease" or "lung disease" or emphysema* or COPD or CAL or COAD or COLD or CBD or AECB)</w:t>
            </w:r>
          </w:p>
        </w:tc>
      </w:tr>
      <w:tr w:rsidR="00FA366A" w:rsidRPr="002C21B8" w14:paraId="69C4CB76" w14:textId="77777777" w:rsidTr="00960A9F">
        <w:trPr>
          <w:trHeight w:val="320"/>
        </w:trPr>
        <w:tc>
          <w:tcPr>
            <w:tcW w:w="704" w:type="dxa"/>
            <w:shd w:val="clear" w:color="auto" w:fill="auto"/>
            <w:vAlign w:val="center"/>
          </w:tcPr>
          <w:p w14:paraId="0756B844" w14:textId="77777777" w:rsidR="00FA366A" w:rsidRPr="002C21B8" w:rsidRDefault="00FA366A" w:rsidP="00212D46">
            <w:pPr>
              <w:spacing w:after="0" w:line="240" w:lineRule="auto"/>
              <w:rPr>
                <w:sz w:val="20"/>
                <w:szCs w:val="20"/>
              </w:rPr>
            </w:pPr>
            <w:r w:rsidRPr="002C21B8">
              <w:rPr>
                <w:sz w:val="20"/>
                <w:szCs w:val="20"/>
              </w:rPr>
              <w:t>33</w:t>
            </w:r>
          </w:p>
        </w:tc>
        <w:tc>
          <w:tcPr>
            <w:tcW w:w="8505" w:type="dxa"/>
            <w:shd w:val="clear" w:color="auto" w:fill="auto"/>
          </w:tcPr>
          <w:p w14:paraId="24E7C031" w14:textId="77777777" w:rsidR="00FA366A" w:rsidRPr="002C21B8" w:rsidRDefault="00FA366A" w:rsidP="00212D46">
            <w:pPr>
              <w:spacing w:after="0" w:line="240" w:lineRule="auto"/>
              <w:rPr>
                <w:sz w:val="20"/>
                <w:szCs w:val="20"/>
              </w:rPr>
            </w:pPr>
            <w:r w:rsidRPr="002C21B8">
              <w:rPr>
                <w:sz w:val="20"/>
                <w:szCs w:val="20"/>
              </w:rPr>
              <w:t>TI=((heart or cardiac or myocardial) NEXT (failure or decompensation))</w:t>
            </w:r>
          </w:p>
        </w:tc>
      </w:tr>
      <w:tr w:rsidR="00FA366A" w:rsidRPr="002C21B8" w14:paraId="4D99E46E" w14:textId="77777777" w:rsidTr="00960A9F">
        <w:trPr>
          <w:trHeight w:val="320"/>
        </w:trPr>
        <w:tc>
          <w:tcPr>
            <w:tcW w:w="704" w:type="dxa"/>
            <w:shd w:val="clear" w:color="auto" w:fill="auto"/>
            <w:vAlign w:val="center"/>
          </w:tcPr>
          <w:p w14:paraId="3DBE6424" w14:textId="77777777" w:rsidR="00FA366A" w:rsidRPr="002C21B8" w:rsidRDefault="00FA366A" w:rsidP="00212D46">
            <w:pPr>
              <w:spacing w:after="0" w:line="240" w:lineRule="auto"/>
              <w:rPr>
                <w:sz w:val="20"/>
                <w:szCs w:val="20"/>
              </w:rPr>
            </w:pPr>
            <w:r w:rsidRPr="002C21B8">
              <w:rPr>
                <w:sz w:val="20"/>
                <w:szCs w:val="20"/>
              </w:rPr>
              <w:t>34</w:t>
            </w:r>
          </w:p>
        </w:tc>
        <w:tc>
          <w:tcPr>
            <w:tcW w:w="8505" w:type="dxa"/>
            <w:shd w:val="clear" w:color="auto" w:fill="auto"/>
          </w:tcPr>
          <w:p w14:paraId="4C149B62" w14:textId="77777777" w:rsidR="00FA366A" w:rsidRPr="002C21B8" w:rsidRDefault="00FA366A" w:rsidP="00212D46">
            <w:pPr>
              <w:spacing w:after="0" w:line="240" w:lineRule="auto"/>
              <w:rPr>
                <w:sz w:val="20"/>
                <w:szCs w:val="20"/>
              </w:rPr>
            </w:pPr>
            <w:r w:rsidRPr="002C21B8">
              <w:rPr>
                <w:sz w:val="20"/>
                <w:szCs w:val="20"/>
              </w:rPr>
              <w:t>TI=((congestive or acute or decompensat* or chronic) NEXT heart failure)</w:t>
            </w:r>
          </w:p>
        </w:tc>
      </w:tr>
      <w:tr w:rsidR="00FA366A" w:rsidRPr="002C21B8" w14:paraId="4C1BDE40" w14:textId="77777777" w:rsidTr="00960A9F">
        <w:trPr>
          <w:trHeight w:val="320"/>
        </w:trPr>
        <w:tc>
          <w:tcPr>
            <w:tcW w:w="704" w:type="dxa"/>
            <w:shd w:val="clear" w:color="auto" w:fill="auto"/>
            <w:vAlign w:val="center"/>
          </w:tcPr>
          <w:p w14:paraId="23DD2408" w14:textId="77777777" w:rsidR="00FA366A" w:rsidRPr="002C21B8" w:rsidRDefault="00FA366A" w:rsidP="00212D46">
            <w:pPr>
              <w:spacing w:after="0" w:line="240" w:lineRule="auto"/>
              <w:rPr>
                <w:sz w:val="20"/>
                <w:szCs w:val="20"/>
              </w:rPr>
            </w:pPr>
            <w:r w:rsidRPr="002C21B8">
              <w:rPr>
                <w:sz w:val="20"/>
                <w:szCs w:val="20"/>
              </w:rPr>
              <w:t>35</w:t>
            </w:r>
          </w:p>
        </w:tc>
        <w:tc>
          <w:tcPr>
            <w:tcW w:w="8505" w:type="dxa"/>
            <w:shd w:val="clear" w:color="auto" w:fill="auto"/>
          </w:tcPr>
          <w:p w14:paraId="75BC191A" w14:textId="77777777" w:rsidR="00FA366A" w:rsidRPr="002C21B8" w:rsidRDefault="00FA366A" w:rsidP="00212D46">
            <w:pPr>
              <w:spacing w:after="0" w:line="240" w:lineRule="auto"/>
              <w:rPr>
                <w:sz w:val="20"/>
                <w:szCs w:val="20"/>
              </w:rPr>
            </w:pPr>
            <w:r w:rsidRPr="002C21B8">
              <w:rPr>
                <w:sz w:val="20"/>
                <w:szCs w:val="20"/>
              </w:rPr>
              <w:t>TI=((cerebr* or brain or cogniti*) NEXT (deteriorat* or insufficient* or disease or syndrome or impair*))</w:t>
            </w:r>
          </w:p>
        </w:tc>
      </w:tr>
      <w:tr w:rsidR="00FA366A" w:rsidRPr="002C21B8" w14:paraId="2B6213FF" w14:textId="77777777" w:rsidTr="00960A9F">
        <w:trPr>
          <w:trHeight w:val="320"/>
        </w:trPr>
        <w:tc>
          <w:tcPr>
            <w:tcW w:w="704" w:type="dxa"/>
            <w:shd w:val="clear" w:color="auto" w:fill="auto"/>
            <w:vAlign w:val="center"/>
          </w:tcPr>
          <w:p w14:paraId="642A14FD" w14:textId="77777777" w:rsidR="00FA366A" w:rsidRPr="002C21B8" w:rsidRDefault="00FA366A" w:rsidP="00212D46">
            <w:pPr>
              <w:spacing w:after="0" w:line="240" w:lineRule="auto"/>
              <w:rPr>
                <w:sz w:val="20"/>
                <w:szCs w:val="20"/>
              </w:rPr>
            </w:pPr>
            <w:r w:rsidRPr="002C21B8">
              <w:rPr>
                <w:sz w:val="20"/>
                <w:szCs w:val="20"/>
              </w:rPr>
              <w:t>36</w:t>
            </w:r>
          </w:p>
        </w:tc>
        <w:tc>
          <w:tcPr>
            <w:tcW w:w="8505" w:type="dxa"/>
            <w:shd w:val="clear" w:color="auto" w:fill="auto"/>
          </w:tcPr>
          <w:p w14:paraId="3D7422A6" w14:textId="77777777" w:rsidR="00FA366A" w:rsidRPr="002C21B8" w:rsidRDefault="00FA366A" w:rsidP="00212D46">
            <w:pPr>
              <w:spacing w:after="0" w:line="240" w:lineRule="auto"/>
              <w:rPr>
                <w:sz w:val="20"/>
                <w:szCs w:val="20"/>
              </w:rPr>
            </w:pPr>
            <w:r w:rsidRPr="002C21B8">
              <w:rPr>
                <w:sz w:val="20"/>
                <w:szCs w:val="20"/>
              </w:rPr>
              <w:t>TI=("mild cognitive impairment" or dement* or alzheimer* or binswanger* or "benign senescent forgetfulness")</w:t>
            </w:r>
          </w:p>
        </w:tc>
      </w:tr>
      <w:tr w:rsidR="00FA366A" w:rsidRPr="002C21B8" w14:paraId="1EBAE7FF" w14:textId="77777777" w:rsidTr="00960A9F">
        <w:trPr>
          <w:trHeight w:val="320"/>
        </w:trPr>
        <w:tc>
          <w:tcPr>
            <w:tcW w:w="704" w:type="dxa"/>
            <w:shd w:val="clear" w:color="auto" w:fill="auto"/>
            <w:vAlign w:val="center"/>
          </w:tcPr>
          <w:p w14:paraId="6CA5E15F" w14:textId="77777777" w:rsidR="00FA366A" w:rsidRPr="002C21B8" w:rsidRDefault="00FA366A" w:rsidP="00212D46">
            <w:pPr>
              <w:spacing w:after="0" w:line="240" w:lineRule="auto"/>
              <w:rPr>
                <w:sz w:val="20"/>
                <w:szCs w:val="20"/>
              </w:rPr>
            </w:pPr>
            <w:r w:rsidRPr="002C21B8">
              <w:rPr>
                <w:sz w:val="20"/>
                <w:szCs w:val="20"/>
              </w:rPr>
              <w:t>37</w:t>
            </w:r>
          </w:p>
        </w:tc>
        <w:tc>
          <w:tcPr>
            <w:tcW w:w="8505" w:type="dxa"/>
            <w:shd w:val="clear" w:color="auto" w:fill="auto"/>
          </w:tcPr>
          <w:p w14:paraId="32C3DB25" w14:textId="77777777" w:rsidR="00FA366A" w:rsidRPr="002C21B8" w:rsidRDefault="00FA366A" w:rsidP="00212D46">
            <w:pPr>
              <w:spacing w:after="0" w:line="240" w:lineRule="auto"/>
              <w:rPr>
                <w:sz w:val="20"/>
                <w:szCs w:val="20"/>
              </w:rPr>
            </w:pPr>
            <w:r w:rsidRPr="002C21B8">
              <w:rPr>
                <w:sz w:val="20"/>
                <w:szCs w:val="20"/>
              </w:rPr>
              <w:t>TI=((dilated or congestive) NEXT cardiomyopath*)</w:t>
            </w:r>
          </w:p>
        </w:tc>
      </w:tr>
      <w:tr w:rsidR="00FA366A" w:rsidRPr="002C21B8" w14:paraId="1920DFC1" w14:textId="77777777" w:rsidTr="00960A9F">
        <w:trPr>
          <w:trHeight w:val="320"/>
        </w:trPr>
        <w:tc>
          <w:tcPr>
            <w:tcW w:w="704" w:type="dxa"/>
            <w:shd w:val="clear" w:color="auto" w:fill="auto"/>
            <w:vAlign w:val="center"/>
          </w:tcPr>
          <w:p w14:paraId="0362D50B" w14:textId="77777777" w:rsidR="00FA366A" w:rsidRPr="002C21B8" w:rsidRDefault="00FA366A" w:rsidP="00212D46">
            <w:pPr>
              <w:spacing w:after="0" w:line="240" w:lineRule="auto"/>
              <w:rPr>
                <w:sz w:val="20"/>
                <w:szCs w:val="20"/>
              </w:rPr>
            </w:pPr>
            <w:r w:rsidRPr="002C21B8">
              <w:rPr>
                <w:sz w:val="20"/>
                <w:szCs w:val="20"/>
              </w:rPr>
              <w:t>38</w:t>
            </w:r>
          </w:p>
        </w:tc>
        <w:tc>
          <w:tcPr>
            <w:tcW w:w="8505" w:type="dxa"/>
            <w:shd w:val="clear" w:color="auto" w:fill="auto"/>
          </w:tcPr>
          <w:p w14:paraId="0193AB57" w14:textId="77777777" w:rsidR="00FA366A" w:rsidRPr="002C21B8" w:rsidRDefault="00FA366A" w:rsidP="00212D46">
            <w:pPr>
              <w:spacing w:after="0" w:line="240" w:lineRule="auto"/>
              <w:rPr>
                <w:sz w:val="20"/>
                <w:szCs w:val="20"/>
              </w:rPr>
            </w:pPr>
            <w:r w:rsidRPr="002C21B8">
              <w:rPr>
                <w:sz w:val="20"/>
                <w:szCs w:val="20"/>
              </w:rPr>
              <w:t>TI=lewy* NEXT bod*</w:t>
            </w:r>
          </w:p>
        </w:tc>
      </w:tr>
      <w:tr w:rsidR="00FA366A" w:rsidRPr="002C21B8" w14:paraId="04658619" w14:textId="77777777" w:rsidTr="00960A9F">
        <w:trPr>
          <w:trHeight w:val="320"/>
        </w:trPr>
        <w:tc>
          <w:tcPr>
            <w:tcW w:w="704" w:type="dxa"/>
            <w:shd w:val="clear" w:color="auto" w:fill="auto"/>
            <w:vAlign w:val="center"/>
          </w:tcPr>
          <w:p w14:paraId="1D34BCF8" w14:textId="77777777" w:rsidR="00FA366A" w:rsidRPr="002C21B8" w:rsidRDefault="00FA366A" w:rsidP="00212D46">
            <w:pPr>
              <w:spacing w:after="0" w:line="240" w:lineRule="auto"/>
              <w:rPr>
                <w:sz w:val="20"/>
                <w:szCs w:val="20"/>
              </w:rPr>
            </w:pPr>
            <w:r w:rsidRPr="002C21B8">
              <w:rPr>
                <w:sz w:val="20"/>
                <w:szCs w:val="20"/>
              </w:rPr>
              <w:t>39</w:t>
            </w:r>
          </w:p>
        </w:tc>
        <w:tc>
          <w:tcPr>
            <w:tcW w:w="8505" w:type="dxa"/>
            <w:shd w:val="clear" w:color="auto" w:fill="auto"/>
          </w:tcPr>
          <w:p w14:paraId="0B422A82" w14:textId="77777777" w:rsidR="00FA366A" w:rsidRPr="002C21B8" w:rsidRDefault="00FA366A" w:rsidP="00212D46">
            <w:pPr>
              <w:spacing w:after="0" w:line="240" w:lineRule="auto"/>
              <w:rPr>
                <w:sz w:val="20"/>
                <w:szCs w:val="20"/>
              </w:rPr>
            </w:pPr>
            <w:r w:rsidRPr="002C21B8">
              <w:rPr>
                <w:sz w:val="20"/>
                <w:szCs w:val="20"/>
              </w:rPr>
              <w:t>TI=((memory* or mental*) NEXT (declin* or deteriorat* or impair* or los*))</w:t>
            </w:r>
          </w:p>
        </w:tc>
      </w:tr>
      <w:tr w:rsidR="00FA366A" w:rsidRPr="002C21B8" w14:paraId="6E2C810A" w14:textId="77777777" w:rsidTr="00960A9F">
        <w:trPr>
          <w:trHeight w:val="320"/>
        </w:trPr>
        <w:tc>
          <w:tcPr>
            <w:tcW w:w="704" w:type="dxa"/>
            <w:shd w:val="clear" w:color="auto" w:fill="auto"/>
            <w:vAlign w:val="center"/>
          </w:tcPr>
          <w:p w14:paraId="45D62624" w14:textId="77777777" w:rsidR="00FA366A" w:rsidRPr="002C21B8" w:rsidRDefault="00FA366A" w:rsidP="00212D46">
            <w:pPr>
              <w:spacing w:after="0" w:line="240" w:lineRule="auto"/>
              <w:rPr>
                <w:sz w:val="20"/>
                <w:szCs w:val="20"/>
              </w:rPr>
            </w:pPr>
            <w:r w:rsidRPr="002C21B8">
              <w:rPr>
                <w:sz w:val="20"/>
                <w:szCs w:val="20"/>
              </w:rPr>
              <w:t>40</w:t>
            </w:r>
          </w:p>
        </w:tc>
        <w:tc>
          <w:tcPr>
            <w:tcW w:w="8505" w:type="dxa"/>
            <w:shd w:val="clear" w:color="auto" w:fill="auto"/>
          </w:tcPr>
          <w:p w14:paraId="438205FD" w14:textId="77777777" w:rsidR="00FA366A" w:rsidRPr="002C21B8" w:rsidRDefault="00FA366A" w:rsidP="00212D46">
            <w:pPr>
              <w:spacing w:after="0" w:line="240" w:lineRule="auto"/>
              <w:rPr>
                <w:sz w:val="20"/>
                <w:szCs w:val="20"/>
              </w:rPr>
            </w:pPr>
            <w:r w:rsidRPr="002C21B8">
              <w:rPr>
                <w:sz w:val="20"/>
                <w:szCs w:val="20"/>
              </w:rPr>
              <w:t>TI=(diabet* NEXT type NEXT (one or "1" or I))</w:t>
            </w:r>
          </w:p>
        </w:tc>
      </w:tr>
      <w:tr w:rsidR="00FA366A" w:rsidRPr="002C21B8" w14:paraId="081E9DE6" w14:textId="77777777" w:rsidTr="00960A9F">
        <w:trPr>
          <w:trHeight w:val="320"/>
        </w:trPr>
        <w:tc>
          <w:tcPr>
            <w:tcW w:w="704" w:type="dxa"/>
            <w:shd w:val="clear" w:color="auto" w:fill="auto"/>
            <w:vAlign w:val="center"/>
          </w:tcPr>
          <w:p w14:paraId="3C5F5D6F" w14:textId="77777777" w:rsidR="00FA366A" w:rsidRPr="002C21B8" w:rsidRDefault="00FA366A" w:rsidP="00212D46">
            <w:pPr>
              <w:spacing w:after="0" w:line="240" w:lineRule="auto"/>
              <w:rPr>
                <w:sz w:val="20"/>
                <w:szCs w:val="20"/>
              </w:rPr>
            </w:pPr>
            <w:r w:rsidRPr="002C21B8">
              <w:rPr>
                <w:sz w:val="20"/>
                <w:szCs w:val="20"/>
              </w:rPr>
              <w:t>41</w:t>
            </w:r>
          </w:p>
        </w:tc>
        <w:tc>
          <w:tcPr>
            <w:tcW w:w="8505" w:type="dxa"/>
            <w:shd w:val="clear" w:color="auto" w:fill="auto"/>
          </w:tcPr>
          <w:p w14:paraId="31904E75" w14:textId="77777777" w:rsidR="00FA366A" w:rsidRPr="002C21B8" w:rsidRDefault="00FA366A" w:rsidP="00212D46">
            <w:pPr>
              <w:spacing w:after="0" w:line="240" w:lineRule="auto"/>
              <w:rPr>
                <w:sz w:val="20"/>
                <w:szCs w:val="20"/>
              </w:rPr>
            </w:pPr>
            <w:r w:rsidRPr="002C21B8">
              <w:rPr>
                <w:sz w:val="20"/>
                <w:szCs w:val="20"/>
              </w:rPr>
              <w:t>TI=(diabet* NEXT type NEXT (two or "2" or II))</w:t>
            </w:r>
          </w:p>
        </w:tc>
      </w:tr>
      <w:tr w:rsidR="00FA366A" w:rsidRPr="002C21B8" w14:paraId="0318FDBF" w14:textId="77777777" w:rsidTr="00960A9F">
        <w:trPr>
          <w:trHeight w:val="320"/>
        </w:trPr>
        <w:tc>
          <w:tcPr>
            <w:tcW w:w="704" w:type="dxa"/>
            <w:shd w:val="clear" w:color="auto" w:fill="auto"/>
            <w:vAlign w:val="center"/>
          </w:tcPr>
          <w:p w14:paraId="199C274C" w14:textId="77777777" w:rsidR="00FA366A" w:rsidRPr="002C21B8" w:rsidRDefault="00FA366A" w:rsidP="00212D46">
            <w:pPr>
              <w:spacing w:after="0" w:line="240" w:lineRule="auto"/>
              <w:rPr>
                <w:sz w:val="20"/>
                <w:szCs w:val="20"/>
              </w:rPr>
            </w:pPr>
            <w:r w:rsidRPr="002C21B8">
              <w:rPr>
                <w:sz w:val="20"/>
                <w:szCs w:val="20"/>
              </w:rPr>
              <w:t>42</w:t>
            </w:r>
          </w:p>
        </w:tc>
        <w:tc>
          <w:tcPr>
            <w:tcW w:w="8505" w:type="dxa"/>
            <w:shd w:val="clear" w:color="auto" w:fill="auto"/>
          </w:tcPr>
          <w:p w14:paraId="169C3E91" w14:textId="77777777" w:rsidR="00FA366A" w:rsidRPr="002C21B8" w:rsidRDefault="00FA366A" w:rsidP="00212D46">
            <w:pPr>
              <w:spacing w:after="0" w:line="240" w:lineRule="auto"/>
              <w:rPr>
                <w:sz w:val="20"/>
                <w:szCs w:val="20"/>
              </w:rPr>
            </w:pPr>
            <w:r w:rsidRPr="002C21B8">
              <w:rPr>
                <w:sz w:val="20"/>
                <w:szCs w:val="20"/>
              </w:rPr>
              <w:t>TI=((insulin or noninsulin or non-insulin) NEXT (resistan* or depend*))</w:t>
            </w:r>
          </w:p>
        </w:tc>
      </w:tr>
      <w:tr w:rsidR="00FA366A" w:rsidRPr="002C21B8" w14:paraId="1AB5A952" w14:textId="77777777" w:rsidTr="00960A9F">
        <w:trPr>
          <w:trHeight w:val="320"/>
        </w:trPr>
        <w:tc>
          <w:tcPr>
            <w:tcW w:w="704" w:type="dxa"/>
            <w:shd w:val="clear" w:color="auto" w:fill="auto"/>
            <w:vAlign w:val="center"/>
          </w:tcPr>
          <w:p w14:paraId="70CB3D49" w14:textId="77777777" w:rsidR="00FA366A" w:rsidRPr="002C21B8" w:rsidRDefault="00FA366A" w:rsidP="00212D46">
            <w:pPr>
              <w:spacing w:after="0" w:line="240" w:lineRule="auto"/>
              <w:rPr>
                <w:sz w:val="20"/>
                <w:szCs w:val="20"/>
              </w:rPr>
            </w:pPr>
            <w:r w:rsidRPr="002C21B8">
              <w:rPr>
                <w:sz w:val="20"/>
                <w:szCs w:val="20"/>
              </w:rPr>
              <w:t>43</w:t>
            </w:r>
          </w:p>
        </w:tc>
        <w:tc>
          <w:tcPr>
            <w:tcW w:w="8505" w:type="dxa"/>
            <w:shd w:val="clear" w:color="auto" w:fill="auto"/>
          </w:tcPr>
          <w:p w14:paraId="3FFAFC81" w14:textId="77777777" w:rsidR="00FA366A" w:rsidRPr="002C21B8" w:rsidRDefault="00FA366A" w:rsidP="00212D46">
            <w:pPr>
              <w:spacing w:after="0" w:line="240" w:lineRule="auto"/>
              <w:rPr>
                <w:sz w:val="20"/>
                <w:szCs w:val="20"/>
              </w:rPr>
            </w:pPr>
            <w:r w:rsidRPr="002C21B8">
              <w:rPr>
                <w:sz w:val="20"/>
                <w:szCs w:val="20"/>
              </w:rPr>
              <w:t>TI=(diabet* or DM or DM1 or DM2 or T1D or T1DM or T2D or T2DM or NIDDM or IDDM or MODY)</w:t>
            </w:r>
          </w:p>
        </w:tc>
      </w:tr>
      <w:tr w:rsidR="00FA366A" w:rsidRPr="002C21B8" w14:paraId="2AC9D213" w14:textId="77777777" w:rsidTr="00960A9F">
        <w:trPr>
          <w:trHeight w:val="320"/>
        </w:trPr>
        <w:tc>
          <w:tcPr>
            <w:tcW w:w="704" w:type="dxa"/>
            <w:shd w:val="clear" w:color="auto" w:fill="auto"/>
            <w:vAlign w:val="center"/>
          </w:tcPr>
          <w:p w14:paraId="462D7B11" w14:textId="77777777" w:rsidR="00FA366A" w:rsidRPr="002C21B8" w:rsidRDefault="00FA366A" w:rsidP="00212D46">
            <w:pPr>
              <w:spacing w:after="0" w:line="240" w:lineRule="auto"/>
              <w:rPr>
                <w:sz w:val="20"/>
                <w:szCs w:val="20"/>
              </w:rPr>
            </w:pPr>
            <w:r w:rsidRPr="002C21B8">
              <w:rPr>
                <w:sz w:val="20"/>
                <w:szCs w:val="20"/>
              </w:rPr>
              <w:t>44</w:t>
            </w:r>
          </w:p>
        </w:tc>
        <w:tc>
          <w:tcPr>
            <w:tcW w:w="8505" w:type="dxa"/>
            <w:shd w:val="clear" w:color="auto" w:fill="auto"/>
          </w:tcPr>
          <w:p w14:paraId="59D71191" w14:textId="77777777" w:rsidR="00FA366A" w:rsidRPr="002C21B8" w:rsidRDefault="00FA366A" w:rsidP="00212D46">
            <w:pPr>
              <w:spacing w:after="0" w:line="240" w:lineRule="auto"/>
              <w:rPr>
                <w:sz w:val="20"/>
                <w:szCs w:val="20"/>
              </w:rPr>
            </w:pPr>
            <w:r w:rsidRPr="002C21B8">
              <w:rPr>
                <w:sz w:val="20"/>
                <w:szCs w:val="20"/>
              </w:rPr>
              <w:t>TI=glucose ?tolerance</w:t>
            </w:r>
          </w:p>
        </w:tc>
      </w:tr>
      <w:tr w:rsidR="00FA366A" w:rsidRPr="002C21B8" w14:paraId="53FA5FFD" w14:textId="77777777" w:rsidTr="00960A9F">
        <w:trPr>
          <w:trHeight w:val="320"/>
        </w:trPr>
        <w:tc>
          <w:tcPr>
            <w:tcW w:w="704" w:type="dxa"/>
            <w:shd w:val="clear" w:color="auto" w:fill="auto"/>
            <w:vAlign w:val="center"/>
          </w:tcPr>
          <w:p w14:paraId="1B8CFA0C" w14:textId="77777777" w:rsidR="00FA366A" w:rsidRPr="002C21B8" w:rsidRDefault="00FA366A" w:rsidP="00212D46">
            <w:pPr>
              <w:spacing w:after="0" w:line="240" w:lineRule="auto"/>
              <w:rPr>
                <w:sz w:val="20"/>
                <w:szCs w:val="20"/>
              </w:rPr>
            </w:pPr>
            <w:r w:rsidRPr="002C21B8">
              <w:rPr>
                <w:sz w:val="20"/>
                <w:szCs w:val="20"/>
              </w:rPr>
              <w:t>45</w:t>
            </w:r>
          </w:p>
        </w:tc>
        <w:tc>
          <w:tcPr>
            <w:tcW w:w="8505" w:type="dxa"/>
            <w:shd w:val="clear" w:color="auto" w:fill="auto"/>
          </w:tcPr>
          <w:p w14:paraId="0A615B5B" w14:textId="77777777" w:rsidR="00FA366A" w:rsidRPr="002C21B8" w:rsidRDefault="00FA366A" w:rsidP="00212D46">
            <w:pPr>
              <w:spacing w:after="0" w:line="240" w:lineRule="auto"/>
              <w:rPr>
                <w:sz w:val="20"/>
                <w:szCs w:val="20"/>
              </w:rPr>
            </w:pPr>
            <w:r w:rsidRPr="002C21B8">
              <w:rPr>
                <w:sz w:val="20"/>
                <w:szCs w:val="20"/>
              </w:rPr>
              <w:t>TI=(endometrios* or endometrioma? or adenomyo* or adenomyoma? or adenometriti* or adenomyosit* or adenomyometriti*)</w:t>
            </w:r>
          </w:p>
        </w:tc>
      </w:tr>
      <w:tr w:rsidR="00FA366A" w:rsidRPr="002C21B8" w14:paraId="41401045" w14:textId="77777777" w:rsidTr="00960A9F">
        <w:trPr>
          <w:trHeight w:val="320"/>
        </w:trPr>
        <w:tc>
          <w:tcPr>
            <w:tcW w:w="704" w:type="dxa"/>
            <w:shd w:val="clear" w:color="auto" w:fill="auto"/>
            <w:vAlign w:val="center"/>
          </w:tcPr>
          <w:p w14:paraId="47415403" w14:textId="77777777" w:rsidR="00FA366A" w:rsidRPr="002C21B8" w:rsidRDefault="00FA366A" w:rsidP="00212D46">
            <w:pPr>
              <w:spacing w:after="0" w:line="240" w:lineRule="auto"/>
              <w:rPr>
                <w:sz w:val="20"/>
                <w:szCs w:val="20"/>
              </w:rPr>
            </w:pPr>
            <w:r w:rsidRPr="002C21B8">
              <w:rPr>
                <w:sz w:val="20"/>
                <w:szCs w:val="20"/>
              </w:rPr>
              <w:t>46</w:t>
            </w:r>
          </w:p>
        </w:tc>
        <w:tc>
          <w:tcPr>
            <w:tcW w:w="8505" w:type="dxa"/>
            <w:shd w:val="clear" w:color="auto" w:fill="auto"/>
          </w:tcPr>
          <w:p w14:paraId="3040CE88" w14:textId="77777777" w:rsidR="00FA366A" w:rsidRPr="002C21B8" w:rsidRDefault="00FA366A" w:rsidP="00212D46">
            <w:pPr>
              <w:spacing w:after="0" w:line="240" w:lineRule="auto"/>
              <w:rPr>
                <w:sz w:val="20"/>
                <w:szCs w:val="20"/>
              </w:rPr>
            </w:pPr>
            <w:r w:rsidRPr="002C21B8">
              <w:rPr>
                <w:sz w:val="20"/>
                <w:szCs w:val="20"/>
              </w:rPr>
              <w:t>TI=(epilep* or seizure* or aura* or convulsion*)</w:t>
            </w:r>
          </w:p>
        </w:tc>
      </w:tr>
      <w:tr w:rsidR="00FA366A" w:rsidRPr="002C21B8" w14:paraId="29F3B732" w14:textId="77777777" w:rsidTr="00960A9F">
        <w:trPr>
          <w:trHeight w:val="320"/>
        </w:trPr>
        <w:tc>
          <w:tcPr>
            <w:tcW w:w="704" w:type="dxa"/>
            <w:shd w:val="clear" w:color="auto" w:fill="auto"/>
            <w:vAlign w:val="center"/>
          </w:tcPr>
          <w:p w14:paraId="51BD113D" w14:textId="77777777" w:rsidR="00FA366A" w:rsidRPr="002C21B8" w:rsidRDefault="00FA366A" w:rsidP="00212D46">
            <w:pPr>
              <w:spacing w:after="0" w:line="240" w:lineRule="auto"/>
              <w:rPr>
                <w:sz w:val="20"/>
                <w:szCs w:val="20"/>
              </w:rPr>
            </w:pPr>
            <w:r w:rsidRPr="002C21B8">
              <w:rPr>
                <w:sz w:val="20"/>
                <w:szCs w:val="20"/>
              </w:rPr>
              <w:t>47</w:t>
            </w:r>
          </w:p>
        </w:tc>
        <w:tc>
          <w:tcPr>
            <w:tcW w:w="8505" w:type="dxa"/>
            <w:shd w:val="clear" w:color="auto" w:fill="auto"/>
          </w:tcPr>
          <w:p w14:paraId="5D4B39C2" w14:textId="77777777" w:rsidR="00FA366A" w:rsidRPr="002C21B8" w:rsidRDefault="00FA366A" w:rsidP="00212D46">
            <w:pPr>
              <w:spacing w:after="0" w:line="240" w:lineRule="auto"/>
              <w:rPr>
                <w:sz w:val="20"/>
                <w:szCs w:val="20"/>
              </w:rPr>
            </w:pPr>
            <w:r w:rsidRPr="002C21B8">
              <w:rPr>
                <w:sz w:val="20"/>
                <w:szCs w:val="20"/>
              </w:rPr>
              <w:t>TI=(hypertens* or (blood NEXT pressure))</w:t>
            </w:r>
          </w:p>
        </w:tc>
      </w:tr>
      <w:tr w:rsidR="00FA366A" w:rsidRPr="002C21B8" w14:paraId="02C52565" w14:textId="77777777" w:rsidTr="00960A9F">
        <w:trPr>
          <w:trHeight w:val="320"/>
        </w:trPr>
        <w:tc>
          <w:tcPr>
            <w:tcW w:w="704" w:type="dxa"/>
            <w:shd w:val="clear" w:color="auto" w:fill="auto"/>
            <w:vAlign w:val="center"/>
          </w:tcPr>
          <w:p w14:paraId="05C7CC57" w14:textId="77777777" w:rsidR="00FA366A" w:rsidRPr="002C21B8" w:rsidRDefault="00FA366A" w:rsidP="00212D46">
            <w:pPr>
              <w:spacing w:after="0" w:line="240" w:lineRule="auto"/>
              <w:rPr>
                <w:sz w:val="20"/>
                <w:szCs w:val="20"/>
              </w:rPr>
            </w:pPr>
            <w:r w:rsidRPr="002C21B8">
              <w:rPr>
                <w:sz w:val="20"/>
                <w:szCs w:val="20"/>
              </w:rPr>
              <w:t>48</w:t>
            </w:r>
          </w:p>
        </w:tc>
        <w:tc>
          <w:tcPr>
            <w:tcW w:w="8505" w:type="dxa"/>
            <w:shd w:val="clear" w:color="auto" w:fill="auto"/>
          </w:tcPr>
          <w:p w14:paraId="5CF6CA8B" w14:textId="77777777" w:rsidR="00FA366A" w:rsidRPr="002C21B8" w:rsidRDefault="00FA366A" w:rsidP="00212D46">
            <w:pPr>
              <w:spacing w:after="0" w:line="240" w:lineRule="auto"/>
              <w:rPr>
                <w:sz w:val="20"/>
                <w:szCs w:val="20"/>
              </w:rPr>
            </w:pPr>
            <w:r w:rsidRPr="002C21B8">
              <w:rPr>
                <w:sz w:val="20"/>
                <w:szCs w:val="20"/>
              </w:rPr>
              <w:t>TI=(chronic NEXT hepatitis)</w:t>
            </w:r>
          </w:p>
        </w:tc>
      </w:tr>
      <w:tr w:rsidR="00FA366A" w:rsidRPr="002C21B8" w14:paraId="766FDD42" w14:textId="77777777" w:rsidTr="00960A9F">
        <w:trPr>
          <w:trHeight w:val="320"/>
        </w:trPr>
        <w:tc>
          <w:tcPr>
            <w:tcW w:w="704" w:type="dxa"/>
            <w:shd w:val="clear" w:color="auto" w:fill="auto"/>
            <w:vAlign w:val="center"/>
          </w:tcPr>
          <w:p w14:paraId="60384092" w14:textId="77777777" w:rsidR="00FA366A" w:rsidRPr="002C21B8" w:rsidRDefault="00FA366A" w:rsidP="00212D46">
            <w:pPr>
              <w:spacing w:after="0" w:line="240" w:lineRule="auto"/>
              <w:rPr>
                <w:sz w:val="20"/>
                <w:szCs w:val="20"/>
              </w:rPr>
            </w:pPr>
            <w:r w:rsidRPr="002C21B8">
              <w:rPr>
                <w:sz w:val="20"/>
                <w:szCs w:val="20"/>
              </w:rPr>
              <w:t>49</w:t>
            </w:r>
          </w:p>
        </w:tc>
        <w:tc>
          <w:tcPr>
            <w:tcW w:w="8505" w:type="dxa"/>
            <w:shd w:val="clear" w:color="auto" w:fill="auto"/>
          </w:tcPr>
          <w:p w14:paraId="691219AC" w14:textId="77777777" w:rsidR="00FA366A" w:rsidRPr="002C21B8" w:rsidRDefault="00FA366A" w:rsidP="00212D46">
            <w:pPr>
              <w:spacing w:after="0" w:line="240" w:lineRule="auto"/>
              <w:rPr>
                <w:sz w:val="20"/>
                <w:szCs w:val="20"/>
              </w:rPr>
            </w:pPr>
            <w:r w:rsidRPr="002C21B8">
              <w:rPr>
                <w:sz w:val="20"/>
                <w:szCs w:val="20"/>
              </w:rPr>
              <w:t>TI=("hiv infect*" or "hiv disease*")</w:t>
            </w:r>
          </w:p>
        </w:tc>
      </w:tr>
      <w:tr w:rsidR="00FA366A" w:rsidRPr="002C21B8" w14:paraId="21537A2B" w14:textId="77777777" w:rsidTr="00960A9F">
        <w:trPr>
          <w:trHeight w:val="320"/>
        </w:trPr>
        <w:tc>
          <w:tcPr>
            <w:tcW w:w="704" w:type="dxa"/>
            <w:shd w:val="clear" w:color="auto" w:fill="auto"/>
            <w:vAlign w:val="center"/>
          </w:tcPr>
          <w:p w14:paraId="3C881DE5" w14:textId="77777777" w:rsidR="00FA366A" w:rsidRPr="002C21B8" w:rsidRDefault="00FA366A" w:rsidP="00212D46">
            <w:pPr>
              <w:spacing w:after="0" w:line="240" w:lineRule="auto"/>
              <w:rPr>
                <w:sz w:val="20"/>
                <w:szCs w:val="20"/>
              </w:rPr>
            </w:pPr>
            <w:r w:rsidRPr="002C21B8">
              <w:rPr>
                <w:sz w:val="20"/>
                <w:szCs w:val="20"/>
              </w:rPr>
              <w:t>50</w:t>
            </w:r>
          </w:p>
        </w:tc>
        <w:tc>
          <w:tcPr>
            <w:tcW w:w="8505" w:type="dxa"/>
            <w:shd w:val="clear" w:color="auto" w:fill="auto"/>
          </w:tcPr>
          <w:p w14:paraId="4CEFA9D7" w14:textId="77777777" w:rsidR="00FA366A" w:rsidRPr="002C21B8" w:rsidRDefault="00FA366A" w:rsidP="00212D46">
            <w:pPr>
              <w:spacing w:after="0" w:line="240" w:lineRule="auto"/>
              <w:rPr>
                <w:sz w:val="20"/>
                <w:szCs w:val="20"/>
              </w:rPr>
            </w:pPr>
            <w:r w:rsidRPr="002C21B8">
              <w:rPr>
                <w:sz w:val="20"/>
                <w:szCs w:val="20"/>
              </w:rPr>
              <w:t>TI=(crohn* disease or crohn's enteritis* or ulcerative coliti* or terminal ileitis or granulomatous coliti* or ileocoliti*)</w:t>
            </w:r>
          </w:p>
        </w:tc>
      </w:tr>
      <w:tr w:rsidR="00FA366A" w:rsidRPr="002C21B8" w14:paraId="2103170C" w14:textId="77777777" w:rsidTr="00960A9F">
        <w:trPr>
          <w:trHeight w:val="320"/>
        </w:trPr>
        <w:tc>
          <w:tcPr>
            <w:tcW w:w="704" w:type="dxa"/>
            <w:shd w:val="clear" w:color="auto" w:fill="auto"/>
            <w:vAlign w:val="center"/>
          </w:tcPr>
          <w:p w14:paraId="1A828E07" w14:textId="77777777" w:rsidR="00FA366A" w:rsidRPr="002C21B8" w:rsidRDefault="00FA366A" w:rsidP="00212D46">
            <w:pPr>
              <w:spacing w:after="0" w:line="240" w:lineRule="auto"/>
              <w:rPr>
                <w:sz w:val="20"/>
                <w:szCs w:val="20"/>
              </w:rPr>
            </w:pPr>
            <w:r w:rsidRPr="002C21B8">
              <w:rPr>
                <w:sz w:val="20"/>
                <w:szCs w:val="20"/>
              </w:rPr>
              <w:t>51</w:t>
            </w:r>
          </w:p>
        </w:tc>
        <w:tc>
          <w:tcPr>
            <w:tcW w:w="8505" w:type="dxa"/>
            <w:shd w:val="clear" w:color="auto" w:fill="auto"/>
          </w:tcPr>
          <w:p w14:paraId="1D8F642F" w14:textId="77777777" w:rsidR="00FA366A" w:rsidRPr="002C21B8" w:rsidRDefault="00FA366A" w:rsidP="00212D46">
            <w:pPr>
              <w:spacing w:after="0" w:line="240" w:lineRule="auto"/>
              <w:rPr>
                <w:sz w:val="20"/>
                <w:szCs w:val="20"/>
              </w:rPr>
            </w:pPr>
            <w:r w:rsidRPr="002C21B8">
              <w:rPr>
                <w:sz w:val="20"/>
                <w:szCs w:val="20"/>
              </w:rPr>
              <w:t>TI=((irritable or functional or spastic) NEXT (bowel or colon))</w:t>
            </w:r>
          </w:p>
        </w:tc>
      </w:tr>
      <w:tr w:rsidR="00FA366A" w:rsidRPr="002C21B8" w14:paraId="0DD48C86" w14:textId="77777777" w:rsidTr="00960A9F">
        <w:trPr>
          <w:trHeight w:val="320"/>
        </w:trPr>
        <w:tc>
          <w:tcPr>
            <w:tcW w:w="704" w:type="dxa"/>
            <w:shd w:val="clear" w:color="auto" w:fill="auto"/>
            <w:vAlign w:val="center"/>
          </w:tcPr>
          <w:p w14:paraId="0E97F523" w14:textId="77777777" w:rsidR="00FA366A" w:rsidRPr="002C21B8" w:rsidRDefault="00FA366A" w:rsidP="00212D46">
            <w:pPr>
              <w:spacing w:after="0" w:line="240" w:lineRule="auto"/>
              <w:rPr>
                <w:sz w:val="20"/>
                <w:szCs w:val="20"/>
              </w:rPr>
            </w:pPr>
            <w:r w:rsidRPr="002C21B8">
              <w:rPr>
                <w:sz w:val="20"/>
                <w:szCs w:val="20"/>
              </w:rPr>
              <w:t>52</w:t>
            </w:r>
          </w:p>
        </w:tc>
        <w:tc>
          <w:tcPr>
            <w:tcW w:w="8505" w:type="dxa"/>
            <w:shd w:val="clear" w:color="auto" w:fill="auto"/>
          </w:tcPr>
          <w:p w14:paraId="76A40805" w14:textId="77777777" w:rsidR="00FA366A" w:rsidRPr="002C21B8" w:rsidRDefault="00FA366A" w:rsidP="00212D46">
            <w:pPr>
              <w:spacing w:after="0" w:line="240" w:lineRule="auto"/>
              <w:rPr>
                <w:sz w:val="20"/>
                <w:szCs w:val="20"/>
              </w:rPr>
            </w:pPr>
            <w:r w:rsidRPr="002C21B8">
              <w:rPr>
                <w:sz w:val="20"/>
                <w:szCs w:val="20"/>
              </w:rPr>
              <w:t>TI=(IBS or "mucous colit*" or "gastrointestinal syndrome*" or "functional gastrointestinal")</w:t>
            </w:r>
          </w:p>
        </w:tc>
      </w:tr>
      <w:tr w:rsidR="00FA366A" w:rsidRPr="002C21B8" w14:paraId="3C507148" w14:textId="77777777" w:rsidTr="00960A9F">
        <w:trPr>
          <w:trHeight w:val="320"/>
        </w:trPr>
        <w:tc>
          <w:tcPr>
            <w:tcW w:w="704" w:type="dxa"/>
            <w:shd w:val="clear" w:color="auto" w:fill="auto"/>
            <w:vAlign w:val="center"/>
          </w:tcPr>
          <w:p w14:paraId="2E1FA8F4" w14:textId="77777777" w:rsidR="00FA366A" w:rsidRPr="002C21B8" w:rsidRDefault="00FA366A" w:rsidP="00212D46">
            <w:pPr>
              <w:spacing w:after="0" w:line="240" w:lineRule="auto"/>
              <w:rPr>
                <w:sz w:val="20"/>
                <w:szCs w:val="20"/>
              </w:rPr>
            </w:pPr>
            <w:r w:rsidRPr="002C21B8">
              <w:rPr>
                <w:sz w:val="20"/>
                <w:szCs w:val="20"/>
              </w:rPr>
              <w:t>53</w:t>
            </w:r>
          </w:p>
        </w:tc>
        <w:tc>
          <w:tcPr>
            <w:tcW w:w="8505" w:type="dxa"/>
            <w:shd w:val="clear" w:color="auto" w:fill="auto"/>
          </w:tcPr>
          <w:p w14:paraId="0FA15BEE" w14:textId="77777777" w:rsidR="00FA366A" w:rsidRPr="002C21B8" w:rsidRDefault="00FA366A" w:rsidP="00212D46">
            <w:pPr>
              <w:spacing w:after="0" w:line="240" w:lineRule="auto"/>
              <w:rPr>
                <w:sz w:val="20"/>
                <w:szCs w:val="20"/>
              </w:rPr>
            </w:pPr>
            <w:r w:rsidRPr="002C21B8">
              <w:rPr>
                <w:sz w:val="20"/>
                <w:szCs w:val="20"/>
              </w:rPr>
              <w:t>TI=(migraine or megrim or hemicrania)</w:t>
            </w:r>
          </w:p>
        </w:tc>
      </w:tr>
      <w:tr w:rsidR="00FA366A" w:rsidRPr="002C21B8" w14:paraId="21F50820" w14:textId="77777777" w:rsidTr="00960A9F">
        <w:trPr>
          <w:trHeight w:val="320"/>
        </w:trPr>
        <w:tc>
          <w:tcPr>
            <w:tcW w:w="704" w:type="dxa"/>
            <w:shd w:val="clear" w:color="auto" w:fill="auto"/>
            <w:vAlign w:val="center"/>
          </w:tcPr>
          <w:p w14:paraId="7516BD5B" w14:textId="77777777" w:rsidR="00FA366A" w:rsidRPr="002C21B8" w:rsidRDefault="00FA366A" w:rsidP="00212D46">
            <w:pPr>
              <w:spacing w:after="0" w:line="240" w:lineRule="auto"/>
              <w:rPr>
                <w:sz w:val="20"/>
                <w:szCs w:val="20"/>
              </w:rPr>
            </w:pPr>
            <w:r w:rsidRPr="002C21B8">
              <w:rPr>
                <w:sz w:val="20"/>
                <w:szCs w:val="20"/>
              </w:rPr>
              <w:t>54</w:t>
            </w:r>
          </w:p>
        </w:tc>
        <w:tc>
          <w:tcPr>
            <w:tcW w:w="8505" w:type="dxa"/>
            <w:shd w:val="clear" w:color="auto" w:fill="auto"/>
          </w:tcPr>
          <w:p w14:paraId="046B42F9" w14:textId="77777777" w:rsidR="00FA366A" w:rsidRPr="002C21B8" w:rsidRDefault="00FA366A" w:rsidP="00212D46">
            <w:pPr>
              <w:spacing w:after="0" w:line="240" w:lineRule="auto"/>
              <w:rPr>
                <w:sz w:val="20"/>
                <w:szCs w:val="20"/>
              </w:rPr>
            </w:pPr>
            <w:r w:rsidRPr="002C21B8">
              <w:rPr>
                <w:sz w:val="20"/>
                <w:szCs w:val="20"/>
              </w:rPr>
              <w:t>TI=("multiple sclerosis" or MS or "demyelinating disease*")</w:t>
            </w:r>
          </w:p>
        </w:tc>
      </w:tr>
      <w:tr w:rsidR="00FA366A" w:rsidRPr="002C21B8" w14:paraId="26E084D9" w14:textId="77777777" w:rsidTr="00960A9F">
        <w:trPr>
          <w:trHeight w:val="320"/>
        </w:trPr>
        <w:tc>
          <w:tcPr>
            <w:tcW w:w="704" w:type="dxa"/>
            <w:shd w:val="clear" w:color="auto" w:fill="auto"/>
            <w:vAlign w:val="center"/>
          </w:tcPr>
          <w:p w14:paraId="504579E8" w14:textId="77777777" w:rsidR="00FA366A" w:rsidRPr="002C21B8" w:rsidRDefault="00FA366A" w:rsidP="00212D46">
            <w:pPr>
              <w:spacing w:after="0" w:line="240" w:lineRule="auto"/>
              <w:rPr>
                <w:sz w:val="20"/>
                <w:szCs w:val="20"/>
              </w:rPr>
            </w:pPr>
            <w:r w:rsidRPr="002C21B8">
              <w:rPr>
                <w:sz w:val="20"/>
                <w:szCs w:val="20"/>
              </w:rPr>
              <w:t>55</w:t>
            </w:r>
          </w:p>
        </w:tc>
        <w:tc>
          <w:tcPr>
            <w:tcW w:w="8505" w:type="dxa"/>
            <w:shd w:val="clear" w:color="auto" w:fill="auto"/>
          </w:tcPr>
          <w:p w14:paraId="1462A1A9" w14:textId="77777777" w:rsidR="00FA366A" w:rsidRPr="002C21B8" w:rsidRDefault="00FA366A" w:rsidP="00212D46">
            <w:pPr>
              <w:spacing w:after="0" w:line="240" w:lineRule="auto"/>
              <w:rPr>
                <w:sz w:val="20"/>
                <w:szCs w:val="20"/>
              </w:rPr>
            </w:pPr>
            <w:r w:rsidRPr="002C21B8">
              <w:rPr>
                <w:sz w:val="20"/>
                <w:szCs w:val="20"/>
              </w:rPr>
              <w:t>TI=(osteoarthr* or OA)</w:t>
            </w:r>
          </w:p>
        </w:tc>
      </w:tr>
      <w:tr w:rsidR="00FA366A" w:rsidRPr="002C21B8" w14:paraId="4F431997" w14:textId="77777777" w:rsidTr="00960A9F">
        <w:trPr>
          <w:trHeight w:val="320"/>
        </w:trPr>
        <w:tc>
          <w:tcPr>
            <w:tcW w:w="704" w:type="dxa"/>
            <w:shd w:val="clear" w:color="auto" w:fill="auto"/>
            <w:vAlign w:val="center"/>
          </w:tcPr>
          <w:p w14:paraId="0E553201" w14:textId="77777777" w:rsidR="00FA366A" w:rsidRPr="002C21B8" w:rsidRDefault="00FA366A" w:rsidP="00212D46">
            <w:pPr>
              <w:spacing w:after="0" w:line="240" w:lineRule="auto"/>
              <w:rPr>
                <w:sz w:val="20"/>
                <w:szCs w:val="20"/>
              </w:rPr>
            </w:pPr>
            <w:r w:rsidRPr="002C21B8">
              <w:rPr>
                <w:sz w:val="20"/>
                <w:szCs w:val="20"/>
              </w:rPr>
              <w:t>56</w:t>
            </w:r>
          </w:p>
        </w:tc>
        <w:tc>
          <w:tcPr>
            <w:tcW w:w="8505" w:type="dxa"/>
            <w:shd w:val="clear" w:color="auto" w:fill="auto"/>
          </w:tcPr>
          <w:p w14:paraId="756C1A8A" w14:textId="77777777" w:rsidR="00FA366A" w:rsidRPr="002C21B8" w:rsidRDefault="00FA366A" w:rsidP="00212D46">
            <w:pPr>
              <w:spacing w:after="0" w:line="240" w:lineRule="auto"/>
              <w:rPr>
                <w:sz w:val="20"/>
                <w:szCs w:val="20"/>
              </w:rPr>
            </w:pPr>
            <w:r w:rsidRPr="002C21B8">
              <w:rPr>
                <w:sz w:val="20"/>
                <w:szCs w:val="20"/>
              </w:rPr>
              <w:t>TI=(degenerative NEXT (arthritis or joint*))</w:t>
            </w:r>
          </w:p>
        </w:tc>
      </w:tr>
      <w:tr w:rsidR="00FA366A" w:rsidRPr="002C21B8" w14:paraId="481444EC" w14:textId="77777777" w:rsidTr="00960A9F">
        <w:trPr>
          <w:trHeight w:val="320"/>
        </w:trPr>
        <w:tc>
          <w:tcPr>
            <w:tcW w:w="704" w:type="dxa"/>
            <w:shd w:val="clear" w:color="auto" w:fill="auto"/>
            <w:vAlign w:val="center"/>
          </w:tcPr>
          <w:p w14:paraId="5C39A0A0" w14:textId="77777777" w:rsidR="00FA366A" w:rsidRPr="002C21B8" w:rsidRDefault="00FA366A" w:rsidP="00212D46">
            <w:pPr>
              <w:spacing w:after="0" w:line="240" w:lineRule="auto"/>
              <w:rPr>
                <w:sz w:val="20"/>
                <w:szCs w:val="20"/>
              </w:rPr>
            </w:pPr>
            <w:r w:rsidRPr="002C21B8">
              <w:rPr>
                <w:sz w:val="20"/>
                <w:szCs w:val="20"/>
              </w:rPr>
              <w:t>57</w:t>
            </w:r>
          </w:p>
        </w:tc>
        <w:tc>
          <w:tcPr>
            <w:tcW w:w="8505" w:type="dxa"/>
            <w:shd w:val="clear" w:color="auto" w:fill="auto"/>
          </w:tcPr>
          <w:p w14:paraId="29D4141C" w14:textId="77777777" w:rsidR="00FA366A" w:rsidRPr="002C21B8" w:rsidRDefault="00FA366A" w:rsidP="00212D46">
            <w:pPr>
              <w:spacing w:after="0" w:line="240" w:lineRule="auto"/>
              <w:rPr>
                <w:sz w:val="20"/>
                <w:szCs w:val="20"/>
              </w:rPr>
            </w:pPr>
            <w:r w:rsidRPr="002C21B8">
              <w:rPr>
                <w:sz w:val="20"/>
                <w:szCs w:val="20"/>
              </w:rPr>
              <w:t>TI=("parkinson* disease" or PD or parkinson*)</w:t>
            </w:r>
          </w:p>
        </w:tc>
      </w:tr>
      <w:tr w:rsidR="00FA366A" w:rsidRPr="002C21B8" w14:paraId="4B6FC5A6" w14:textId="77777777" w:rsidTr="00960A9F">
        <w:trPr>
          <w:trHeight w:val="320"/>
        </w:trPr>
        <w:tc>
          <w:tcPr>
            <w:tcW w:w="704" w:type="dxa"/>
            <w:shd w:val="clear" w:color="auto" w:fill="auto"/>
            <w:vAlign w:val="center"/>
          </w:tcPr>
          <w:p w14:paraId="4CA4E7E7" w14:textId="77777777" w:rsidR="00FA366A" w:rsidRPr="002C21B8" w:rsidRDefault="00FA366A" w:rsidP="00212D46">
            <w:pPr>
              <w:spacing w:after="0" w:line="240" w:lineRule="auto"/>
              <w:rPr>
                <w:sz w:val="20"/>
                <w:szCs w:val="20"/>
              </w:rPr>
            </w:pPr>
            <w:r w:rsidRPr="002C21B8">
              <w:rPr>
                <w:sz w:val="20"/>
                <w:szCs w:val="20"/>
              </w:rPr>
              <w:t>58</w:t>
            </w:r>
          </w:p>
        </w:tc>
        <w:tc>
          <w:tcPr>
            <w:tcW w:w="8505" w:type="dxa"/>
            <w:shd w:val="clear" w:color="auto" w:fill="auto"/>
          </w:tcPr>
          <w:p w14:paraId="6D615E69" w14:textId="77777777" w:rsidR="00FA366A" w:rsidRPr="002C21B8" w:rsidRDefault="00FA366A" w:rsidP="00212D46">
            <w:pPr>
              <w:spacing w:after="0" w:line="240" w:lineRule="auto"/>
              <w:rPr>
                <w:sz w:val="20"/>
                <w:szCs w:val="20"/>
              </w:rPr>
            </w:pPr>
            <w:r w:rsidRPr="002C21B8">
              <w:rPr>
                <w:sz w:val="20"/>
                <w:szCs w:val="20"/>
              </w:rPr>
              <w:t>TI=(mucoviscidosis or cystic fibrosis or CF or (fibrocystic disease NEXT pancrea*))</w:t>
            </w:r>
          </w:p>
        </w:tc>
      </w:tr>
      <w:tr w:rsidR="00FA366A" w:rsidRPr="002C21B8" w14:paraId="046131AF" w14:textId="77777777" w:rsidTr="00960A9F">
        <w:trPr>
          <w:trHeight w:val="320"/>
        </w:trPr>
        <w:tc>
          <w:tcPr>
            <w:tcW w:w="704" w:type="dxa"/>
            <w:shd w:val="clear" w:color="auto" w:fill="auto"/>
            <w:vAlign w:val="center"/>
          </w:tcPr>
          <w:p w14:paraId="19FE538A" w14:textId="77777777" w:rsidR="00FA366A" w:rsidRPr="002C21B8" w:rsidRDefault="00FA366A" w:rsidP="00212D46">
            <w:pPr>
              <w:spacing w:after="0" w:line="240" w:lineRule="auto"/>
              <w:rPr>
                <w:sz w:val="20"/>
                <w:szCs w:val="20"/>
              </w:rPr>
            </w:pPr>
            <w:r w:rsidRPr="002C21B8">
              <w:rPr>
                <w:sz w:val="20"/>
                <w:szCs w:val="20"/>
              </w:rPr>
              <w:t>59</w:t>
            </w:r>
          </w:p>
        </w:tc>
        <w:tc>
          <w:tcPr>
            <w:tcW w:w="8505" w:type="dxa"/>
            <w:shd w:val="clear" w:color="auto" w:fill="auto"/>
          </w:tcPr>
          <w:p w14:paraId="4CD78DA1" w14:textId="77777777" w:rsidR="00FA366A" w:rsidRPr="002C21B8" w:rsidRDefault="00FA366A" w:rsidP="00212D46">
            <w:pPr>
              <w:spacing w:after="0" w:line="240" w:lineRule="auto"/>
              <w:rPr>
                <w:sz w:val="20"/>
                <w:szCs w:val="20"/>
              </w:rPr>
            </w:pPr>
            <w:r w:rsidRPr="002C21B8">
              <w:rPr>
                <w:sz w:val="20"/>
                <w:szCs w:val="20"/>
              </w:rPr>
              <w:t>TI=((gastroesophageal or gastrooesophageal or gastro ?esophageal) NEXT reflux)</w:t>
            </w:r>
          </w:p>
        </w:tc>
      </w:tr>
      <w:tr w:rsidR="00FA366A" w:rsidRPr="002C21B8" w14:paraId="51D9F7C7" w14:textId="77777777" w:rsidTr="00960A9F">
        <w:trPr>
          <w:trHeight w:val="320"/>
        </w:trPr>
        <w:tc>
          <w:tcPr>
            <w:tcW w:w="704" w:type="dxa"/>
            <w:shd w:val="clear" w:color="auto" w:fill="auto"/>
            <w:vAlign w:val="center"/>
          </w:tcPr>
          <w:p w14:paraId="1FBBB209" w14:textId="77777777" w:rsidR="00FA366A" w:rsidRPr="002C21B8" w:rsidRDefault="00FA366A" w:rsidP="00212D46">
            <w:pPr>
              <w:spacing w:after="0" w:line="240" w:lineRule="auto"/>
              <w:rPr>
                <w:sz w:val="20"/>
                <w:szCs w:val="20"/>
              </w:rPr>
            </w:pPr>
            <w:r w:rsidRPr="002C21B8">
              <w:rPr>
                <w:sz w:val="20"/>
                <w:szCs w:val="20"/>
              </w:rPr>
              <w:t>60</w:t>
            </w:r>
          </w:p>
        </w:tc>
        <w:tc>
          <w:tcPr>
            <w:tcW w:w="8505" w:type="dxa"/>
            <w:shd w:val="clear" w:color="auto" w:fill="auto"/>
          </w:tcPr>
          <w:p w14:paraId="7EA9C43B" w14:textId="77777777" w:rsidR="00FA366A" w:rsidRPr="002C21B8" w:rsidRDefault="00FA366A" w:rsidP="00212D46">
            <w:pPr>
              <w:spacing w:after="0" w:line="240" w:lineRule="auto"/>
              <w:rPr>
                <w:sz w:val="20"/>
                <w:szCs w:val="20"/>
              </w:rPr>
            </w:pPr>
            <w:r w:rsidRPr="002C21B8">
              <w:rPr>
                <w:sz w:val="20"/>
                <w:szCs w:val="20"/>
              </w:rPr>
              <w:t>TI=(GORD or GERD or GOR or GER)</w:t>
            </w:r>
          </w:p>
        </w:tc>
      </w:tr>
      <w:tr w:rsidR="00FA366A" w:rsidRPr="002C21B8" w14:paraId="19E0C80E" w14:textId="77777777" w:rsidTr="00960A9F">
        <w:trPr>
          <w:trHeight w:val="320"/>
        </w:trPr>
        <w:tc>
          <w:tcPr>
            <w:tcW w:w="704" w:type="dxa"/>
            <w:shd w:val="clear" w:color="auto" w:fill="auto"/>
            <w:vAlign w:val="center"/>
          </w:tcPr>
          <w:p w14:paraId="32038029" w14:textId="77777777" w:rsidR="00FA366A" w:rsidRPr="002C21B8" w:rsidRDefault="00FA366A" w:rsidP="00212D46">
            <w:pPr>
              <w:spacing w:after="0" w:line="240" w:lineRule="auto"/>
              <w:rPr>
                <w:sz w:val="20"/>
                <w:szCs w:val="20"/>
              </w:rPr>
            </w:pPr>
            <w:r w:rsidRPr="002C21B8">
              <w:rPr>
                <w:sz w:val="20"/>
                <w:szCs w:val="20"/>
              </w:rPr>
              <w:t>61</w:t>
            </w:r>
          </w:p>
        </w:tc>
        <w:tc>
          <w:tcPr>
            <w:tcW w:w="8505" w:type="dxa"/>
            <w:shd w:val="clear" w:color="auto" w:fill="auto"/>
          </w:tcPr>
          <w:p w14:paraId="4B5869D4" w14:textId="77777777" w:rsidR="00FA366A" w:rsidRPr="002C21B8" w:rsidRDefault="00FA366A" w:rsidP="00212D46">
            <w:pPr>
              <w:spacing w:after="0" w:line="240" w:lineRule="auto"/>
              <w:rPr>
                <w:sz w:val="20"/>
                <w:szCs w:val="20"/>
              </w:rPr>
            </w:pPr>
            <w:r w:rsidRPr="002C21B8">
              <w:rPr>
                <w:sz w:val="20"/>
                <w:szCs w:val="20"/>
              </w:rPr>
              <w:t>TI=(gastric NEXT (acid or reflux))</w:t>
            </w:r>
          </w:p>
        </w:tc>
      </w:tr>
      <w:tr w:rsidR="00FA366A" w:rsidRPr="002C21B8" w14:paraId="5AC6B23B" w14:textId="77777777" w:rsidTr="00960A9F">
        <w:trPr>
          <w:trHeight w:val="320"/>
        </w:trPr>
        <w:tc>
          <w:tcPr>
            <w:tcW w:w="704" w:type="dxa"/>
            <w:shd w:val="clear" w:color="auto" w:fill="auto"/>
            <w:vAlign w:val="center"/>
          </w:tcPr>
          <w:p w14:paraId="5F6772FD" w14:textId="77777777" w:rsidR="00FA366A" w:rsidRPr="002C21B8" w:rsidRDefault="00FA366A" w:rsidP="00212D46">
            <w:pPr>
              <w:spacing w:after="0" w:line="240" w:lineRule="auto"/>
              <w:rPr>
                <w:sz w:val="20"/>
                <w:szCs w:val="20"/>
              </w:rPr>
            </w:pPr>
            <w:r w:rsidRPr="002C21B8">
              <w:rPr>
                <w:sz w:val="20"/>
                <w:szCs w:val="20"/>
              </w:rPr>
              <w:t>62</w:t>
            </w:r>
          </w:p>
        </w:tc>
        <w:tc>
          <w:tcPr>
            <w:tcW w:w="8505" w:type="dxa"/>
            <w:shd w:val="clear" w:color="auto" w:fill="auto"/>
          </w:tcPr>
          <w:p w14:paraId="1EB32CB4" w14:textId="77777777" w:rsidR="00FA366A" w:rsidRPr="002C21B8" w:rsidRDefault="00FA366A" w:rsidP="00212D46">
            <w:pPr>
              <w:spacing w:after="0" w:line="240" w:lineRule="auto"/>
              <w:rPr>
                <w:sz w:val="20"/>
                <w:szCs w:val="20"/>
              </w:rPr>
            </w:pPr>
            <w:r w:rsidRPr="002C21B8">
              <w:rPr>
                <w:sz w:val="20"/>
                <w:szCs w:val="20"/>
              </w:rPr>
              <w:t>TI=(reflux NEXT (oesophagitis or esophagitis))</w:t>
            </w:r>
          </w:p>
        </w:tc>
      </w:tr>
      <w:tr w:rsidR="00FA366A" w:rsidRPr="002C21B8" w14:paraId="03392149" w14:textId="77777777" w:rsidTr="00960A9F">
        <w:trPr>
          <w:trHeight w:val="320"/>
        </w:trPr>
        <w:tc>
          <w:tcPr>
            <w:tcW w:w="704" w:type="dxa"/>
            <w:shd w:val="clear" w:color="auto" w:fill="auto"/>
            <w:vAlign w:val="center"/>
          </w:tcPr>
          <w:p w14:paraId="13B06E28" w14:textId="77777777" w:rsidR="00FA366A" w:rsidRPr="002C21B8" w:rsidRDefault="00FA366A" w:rsidP="00212D46">
            <w:pPr>
              <w:spacing w:after="0" w:line="240" w:lineRule="auto"/>
              <w:rPr>
                <w:sz w:val="20"/>
                <w:szCs w:val="20"/>
              </w:rPr>
            </w:pPr>
            <w:r w:rsidRPr="002C21B8">
              <w:rPr>
                <w:sz w:val="20"/>
                <w:szCs w:val="20"/>
              </w:rPr>
              <w:t>63</w:t>
            </w:r>
          </w:p>
        </w:tc>
        <w:tc>
          <w:tcPr>
            <w:tcW w:w="8505" w:type="dxa"/>
            <w:shd w:val="clear" w:color="auto" w:fill="auto"/>
          </w:tcPr>
          <w:p w14:paraId="727EBD82" w14:textId="77777777" w:rsidR="00FA366A" w:rsidRPr="002C21B8" w:rsidRDefault="00FA366A" w:rsidP="00212D46">
            <w:pPr>
              <w:spacing w:after="0" w:line="240" w:lineRule="auto"/>
              <w:rPr>
                <w:sz w:val="20"/>
                <w:szCs w:val="20"/>
              </w:rPr>
            </w:pPr>
            <w:r w:rsidRPr="002C21B8">
              <w:rPr>
                <w:sz w:val="20"/>
                <w:szCs w:val="20"/>
              </w:rPr>
              <w:t>TI=((peptic or gastric or duodenal or stomach or oesophageal or esophageal) and ulcer*)</w:t>
            </w:r>
          </w:p>
        </w:tc>
      </w:tr>
      <w:tr w:rsidR="00FA366A" w:rsidRPr="002C21B8" w14:paraId="1D2C3A21" w14:textId="77777777" w:rsidTr="00960A9F">
        <w:trPr>
          <w:trHeight w:val="320"/>
        </w:trPr>
        <w:tc>
          <w:tcPr>
            <w:tcW w:w="704" w:type="dxa"/>
            <w:shd w:val="clear" w:color="auto" w:fill="auto"/>
            <w:vAlign w:val="center"/>
          </w:tcPr>
          <w:p w14:paraId="41BEA724" w14:textId="77777777" w:rsidR="00FA366A" w:rsidRPr="002C21B8" w:rsidRDefault="00FA366A" w:rsidP="00212D46">
            <w:pPr>
              <w:spacing w:after="0" w:line="240" w:lineRule="auto"/>
              <w:rPr>
                <w:sz w:val="20"/>
                <w:szCs w:val="20"/>
              </w:rPr>
            </w:pPr>
            <w:r w:rsidRPr="002C21B8">
              <w:rPr>
                <w:sz w:val="20"/>
                <w:szCs w:val="20"/>
              </w:rPr>
              <w:t>64</w:t>
            </w:r>
          </w:p>
        </w:tc>
        <w:tc>
          <w:tcPr>
            <w:tcW w:w="8505" w:type="dxa"/>
            <w:shd w:val="clear" w:color="auto" w:fill="auto"/>
          </w:tcPr>
          <w:p w14:paraId="4A1EDDB5" w14:textId="5DF44362" w:rsidR="00FA366A" w:rsidRPr="002C21B8" w:rsidRDefault="00FA366A" w:rsidP="00212D46">
            <w:pPr>
              <w:spacing w:after="0" w:line="240" w:lineRule="auto"/>
              <w:rPr>
                <w:sz w:val="20"/>
                <w:szCs w:val="20"/>
              </w:rPr>
            </w:pPr>
            <w:r w:rsidRPr="002C21B8">
              <w:rPr>
                <w:sz w:val="20"/>
                <w:szCs w:val="20"/>
              </w:rPr>
              <w:t xml:space="preserve">TI=(vestibular </w:t>
            </w:r>
            <w:r w:rsidR="00DF5772" w:rsidRPr="002C21B8">
              <w:rPr>
                <w:sz w:val="20"/>
                <w:szCs w:val="20"/>
              </w:rPr>
              <w:t>neur</w:t>
            </w:r>
            <w:r w:rsidRPr="002C21B8">
              <w:rPr>
                <w:sz w:val="20"/>
                <w:szCs w:val="20"/>
              </w:rPr>
              <w:t xml:space="preserve">itis or benign paroxysmal positional or BPPV or acoustic </w:t>
            </w:r>
            <w:r w:rsidR="00DF5772" w:rsidRPr="002C21B8">
              <w:rPr>
                <w:sz w:val="20"/>
                <w:szCs w:val="20"/>
              </w:rPr>
              <w:t>neur</w:t>
            </w:r>
            <w:r w:rsidRPr="002C21B8">
              <w:rPr>
                <w:sz w:val="20"/>
                <w:szCs w:val="20"/>
              </w:rPr>
              <w:t xml:space="preserve">oma or meniere* disease or labyrinthinitis or vestibular </w:t>
            </w:r>
            <w:r w:rsidR="0009712B" w:rsidRPr="002C21B8">
              <w:rPr>
                <w:sz w:val="20"/>
                <w:szCs w:val="20"/>
              </w:rPr>
              <w:t>neur</w:t>
            </w:r>
            <w:r w:rsidRPr="002C21B8">
              <w:rPr>
                <w:sz w:val="20"/>
                <w:szCs w:val="20"/>
              </w:rPr>
              <w:t>onitis or vertigo*)</w:t>
            </w:r>
          </w:p>
        </w:tc>
      </w:tr>
      <w:tr w:rsidR="00FA366A" w:rsidRPr="002C21B8" w14:paraId="0AA9E1A9" w14:textId="77777777" w:rsidTr="00960A9F">
        <w:trPr>
          <w:trHeight w:val="320"/>
        </w:trPr>
        <w:tc>
          <w:tcPr>
            <w:tcW w:w="704" w:type="dxa"/>
            <w:shd w:val="clear" w:color="auto" w:fill="auto"/>
            <w:vAlign w:val="center"/>
          </w:tcPr>
          <w:p w14:paraId="44BEC181" w14:textId="77777777" w:rsidR="00FA366A" w:rsidRPr="002C21B8" w:rsidRDefault="00FA366A" w:rsidP="00212D46">
            <w:pPr>
              <w:spacing w:after="0" w:line="240" w:lineRule="auto"/>
              <w:rPr>
                <w:sz w:val="20"/>
                <w:szCs w:val="20"/>
              </w:rPr>
            </w:pPr>
            <w:r w:rsidRPr="002C21B8">
              <w:rPr>
                <w:sz w:val="20"/>
                <w:szCs w:val="20"/>
              </w:rPr>
              <w:t>65</w:t>
            </w:r>
          </w:p>
        </w:tc>
        <w:tc>
          <w:tcPr>
            <w:tcW w:w="8505" w:type="dxa"/>
            <w:shd w:val="clear" w:color="auto" w:fill="auto"/>
          </w:tcPr>
          <w:p w14:paraId="65125092" w14:textId="77777777" w:rsidR="00FA366A" w:rsidRPr="002C21B8" w:rsidRDefault="00FA366A" w:rsidP="00212D46">
            <w:pPr>
              <w:spacing w:after="0" w:line="240" w:lineRule="auto"/>
              <w:rPr>
                <w:sz w:val="20"/>
                <w:szCs w:val="20"/>
                <w:lang w:val="pt-PT"/>
              </w:rPr>
            </w:pPr>
            <w:r w:rsidRPr="002C21B8">
              <w:rPr>
                <w:sz w:val="20"/>
                <w:szCs w:val="20"/>
                <w:lang w:val="pt-PT"/>
              </w:rPr>
              <w:t>TI=(eczema or atopic eczema or atopic dermatitis)</w:t>
            </w:r>
          </w:p>
        </w:tc>
      </w:tr>
      <w:tr w:rsidR="00FA366A" w:rsidRPr="002C21B8" w14:paraId="601037A2" w14:textId="77777777" w:rsidTr="00960A9F">
        <w:trPr>
          <w:trHeight w:val="320"/>
        </w:trPr>
        <w:tc>
          <w:tcPr>
            <w:tcW w:w="704" w:type="dxa"/>
            <w:shd w:val="clear" w:color="auto" w:fill="auto"/>
            <w:vAlign w:val="center"/>
          </w:tcPr>
          <w:p w14:paraId="3242C419" w14:textId="77777777" w:rsidR="00FA366A" w:rsidRPr="002C21B8" w:rsidRDefault="00FA366A" w:rsidP="00212D46">
            <w:pPr>
              <w:spacing w:after="0" w:line="240" w:lineRule="auto"/>
              <w:rPr>
                <w:sz w:val="20"/>
                <w:szCs w:val="20"/>
              </w:rPr>
            </w:pPr>
            <w:r w:rsidRPr="002C21B8">
              <w:rPr>
                <w:sz w:val="20"/>
                <w:szCs w:val="20"/>
              </w:rPr>
              <w:t>66</w:t>
            </w:r>
          </w:p>
        </w:tc>
        <w:tc>
          <w:tcPr>
            <w:tcW w:w="8505" w:type="dxa"/>
            <w:shd w:val="clear" w:color="auto" w:fill="auto"/>
          </w:tcPr>
          <w:p w14:paraId="4669B34C" w14:textId="29C313BF" w:rsidR="00FA366A" w:rsidRPr="002C21B8" w:rsidRDefault="00FA366A" w:rsidP="00212D46">
            <w:pPr>
              <w:spacing w:after="0" w:line="240" w:lineRule="auto"/>
              <w:rPr>
                <w:sz w:val="20"/>
                <w:szCs w:val="20"/>
              </w:rPr>
            </w:pPr>
            <w:r w:rsidRPr="002C21B8">
              <w:rPr>
                <w:sz w:val="20"/>
                <w:szCs w:val="20"/>
              </w:rPr>
              <w:t>TI=(thyrotoxicosis* or hyperthyroid* or hypothyroid* or hypogonad* or cushing* syndrome or cushing disease or addison syndrome or addison disease or acromegaly or congenital ad</w:t>
            </w:r>
            <w:r w:rsidR="006B2659" w:rsidRPr="002C21B8">
              <w:rPr>
                <w:sz w:val="20"/>
                <w:szCs w:val="20"/>
              </w:rPr>
              <w:t>renal</w:t>
            </w:r>
            <w:r w:rsidRPr="002C21B8">
              <w:rPr>
                <w:sz w:val="20"/>
                <w:szCs w:val="20"/>
              </w:rPr>
              <w:t xml:space="preserve"> hyperplasi*)</w:t>
            </w:r>
          </w:p>
        </w:tc>
      </w:tr>
      <w:tr w:rsidR="00FA366A" w:rsidRPr="002C21B8" w14:paraId="06C7D72D" w14:textId="77777777" w:rsidTr="00960A9F">
        <w:trPr>
          <w:trHeight w:val="320"/>
        </w:trPr>
        <w:tc>
          <w:tcPr>
            <w:tcW w:w="704" w:type="dxa"/>
            <w:shd w:val="clear" w:color="auto" w:fill="auto"/>
            <w:vAlign w:val="center"/>
          </w:tcPr>
          <w:p w14:paraId="69333790" w14:textId="77777777" w:rsidR="00FA366A" w:rsidRPr="002C21B8" w:rsidRDefault="00FA366A" w:rsidP="00212D46">
            <w:pPr>
              <w:spacing w:after="0" w:line="240" w:lineRule="auto"/>
              <w:rPr>
                <w:sz w:val="20"/>
                <w:szCs w:val="20"/>
              </w:rPr>
            </w:pPr>
            <w:r w:rsidRPr="002C21B8">
              <w:rPr>
                <w:sz w:val="20"/>
                <w:szCs w:val="20"/>
              </w:rPr>
              <w:t>67</w:t>
            </w:r>
          </w:p>
        </w:tc>
        <w:tc>
          <w:tcPr>
            <w:tcW w:w="8505" w:type="dxa"/>
            <w:shd w:val="clear" w:color="auto" w:fill="auto"/>
          </w:tcPr>
          <w:p w14:paraId="6CE776DC" w14:textId="77777777" w:rsidR="00FA366A" w:rsidRPr="002C21B8" w:rsidRDefault="00FA366A" w:rsidP="00212D46">
            <w:pPr>
              <w:spacing w:after="0" w:line="240" w:lineRule="auto"/>
              <w:rPr>
                <w:sz w:val="20"/>
                <w:szCs w:val="20"/>
              </w:rPr>
            </w:pPr>
            <w:r w:rsidRPr="002C21B8">
              <w:rPr>
                <w:sz w:val="20"/>
                <w:szCs w:val="20"/>
              </w:rPr>
              <w:t>TI=(fibromyositis syndrom* or pain syndrome or fibromyalgia syndrom* or fibromyalgia* or fibrositi* or fibromyositis or rheumatism or diffuse myofascial)</w:t>
            </w:r>
          </w:p>
        </w:tc>
      </w:tr>
      <w:tr w:rsidR="00FA366A" w:rsidRPr="002C21B8" w14:paraId="303036F5" w14:textId="77777777" w:rsidTr="00960A9F">
        <w:trPr>
          <w:trHeight w:val="320"/>
        </w:trPr>
        <w:tc>
          <w:tcPr>
            <w:tcW w:w="704" w:type="dxa"/>
            <w:shd w:val="clear" w:color="auto" w:fill="auto"/>
            <w:vAlign w:val="center"/>
          </w:tcPr>
          <w:p w14:paraId="3B969990" w14:textId="77777777" w:rsidR="00FA366A" w:rsidRPr="002C21B8" w:rsidRDefault="00FA366A" w:rsidP="00212D46">
            <w:pPr>
              <w:spacing w:after="0" w:line="240" w:lineRule="auto"/>
              <w:rPr>
                <w:sz w:val="20"/>
                <w:szCs w:val="20"/>
              </w:rPr>
            </w:pPr>
            <w:r w:rsidRPr="002C21B8">
              <w:rPr>
                <w:sz w:val="20"/>
                <w:szCs w:val="20"/>
              </w:rPr>
              <w:t>68</w:t>
            </w:r>
          </w:p>
        </w:tc>
        <w:tc>
          <w:tcPr>
            <w:tcW w:w="8505" w:type="dxa"/>
            <w:shd w:val="clear" w:color="auto" w:fill="auto"/>
          </w:tcPr>
          <w:p w14:paraId="1B8DF657" w14:textId="77777777" w:rsidR="00FA366A" w:rsidRPr="002C21B8" w:rsidRDefault="00FA366A" w:rsidP="00212D46">
            <w:pPr>
              <w:spacing w:after="0" w:line="240" w:lineRule="auto"/>
              <w:rPr>
                <w:sz w:val="20"/>
                <w:szCs w:val="20"/>
              </w:rPr>
            </w:pPr>
            <w:r w:rsidRPr="002C21B8">
              <w:rPr>
                <w:sz w:val="20"/>
                <w:szCs w:val="20"/>
              </w:rPr>
              <w:t>TI=(gout or gouty arthriti* or toph* or podagra or pseudogout)</w:t>
            </w:r>
          </w:p>
        </w:tc>
      </w:tr>
      <w:tr w:rsidR="00FA366A" w:rsidRPr="002C21B8" w14:paraId="7579B670" w14:textId="77777777" w:rsidTr="00960A9F">
        <w:trPr>
          <w:trHeight w:val="320"/>
        </w:trPr>
        <w:tc>
          <w:tcPr>
            <w:tcW w:w="704" w:type="dxa"/>
            <w:shd w:val="clear" w:color="auto" w:fill="auto"/>
            <w:vAlign w:val="center"/>
          </w:tcPr>
          <w:p w14:paraId="44B91631" w14:textId="77777777" w:rsidR="00FA366A" w:rsidRPr="002C21B8" w:rsidRDefault="00FA366A" w:rsidP="00212D46">
            <w:pPr>
              <w:spacing w:after="0" w:line="240" w:lineRule="auto"/>
              <w:rPr>
                <w:sz w:val="20"/>
                <w:szCs w:val="20"/>
              </w:rPr>
            </w:pPr>
            <w:r w:rsidRPr="002C21B8">
              <w:rPr>
                <w:sz w:val="20"/>
                <w:szCs w:val="20"/>
              </w:rPr>
              <w:t>69</w:t>
            </w:r>
          </w:p>
        </w:tc>
        <w:tc>
          <w:tcPr>
            <w:tcW w:w="8505" w:type="dxa"/>
            <w:shd w:val="clear" w:color="auto" w:fill="auto"/>
          </w:tcPr>
          <w:p w14:paraId="0B9530B1" w14:textId="77777777" w:rsidR="00FA366A" w:rsidRPr="002C21B8" w:rsidRDefault="00FA366A" w:rsidP="00212D46">
            <w:pPr>
              <w:spacing w:after="0" w:line="240" w:lineRule="auto"/>
              <w:rPr>
                <w:sz w:val="20"/>
                <w:szCs w:val="20"/>
              </w:rPr>
            </w:pPr>
            <w:r w:rsidRPr="002C21B8">
              <w:rPr>
                <w:sz w:val="20"/>
                <w:szCs w:val="20"/>
              </w:rPr>
              <w:t>TI=(h?emophili* or von willebrand disease or clotting factor deficiency or clotting factor disease or hypercoagulable or thrombophilia)</w:t>
            </w:r>
          </w:p>
        </w:tc>
      </w:tr>
      <w:tr w:rsidR="00FA366A" w:rsidRPr="002C21B8" w14:paraId="1E99D6A1" w14:textId="77777777" w:rsidTr="00960A9F">
        <w:trPr>
          <w:trHeight w:val="320"/>
        </w:trPr>
        <w:tc>
          <w:tcPr>
            <w:tcW w:w="704" w:type="dxa"/>
            <w:shd w:val="clear" w:color="auto" w:fill="auto"/>
            <w:vAlign w:val="center"/>
          </w:tcPr>
          <w:p w14:paraId="5958D31C" w14:textId="77777777" w:rsidR="00FA366A" w:rsidRPr="002C21B8" w:rsidRDefault="00FA366A" w:rsidP="00212D46">
            <w:pPr>
              <w:spacing w:after="0" w:line="240" w:lineRule="auto"/>
              <w:rPr>
                <w:sz w:val="20"/>
                <w:szCs w:val="20"/>
              </w:rPr>
            </w:pPr>
            <w:r w:rsidRPr="002C21B8">
              <w:rPr>
                <w:sz w:val="20"/>
                <w:szCs w:val="20"/>
              </w:rPr>
              <w:t>70</w:t>
            </w:r>
          </w:p>
        </w:tc>
        <w:tc>
          <w:tcPr>
            <w:tcW w:w="8505" w:type="dxa"/>
            <w:shd w:val="clear" w:color="auto" w:fill="auto"/>
          </w:tcPr>
          <w:p w14:paraId="3FA7ACB8" w14:textId="77777777" w:rsidR="00FA366A" w:rsidRPr="002C21B8" w:rsidRDefault="00FA366A" w:rsidP="00212D46">
            <w:pPr>
              <w:spacing w:after="0" w:line="240" w:lineRule="auto"/>
              <w:rPr>
                <w:sz w:val="20"/>
                <w:szCs w:val="20"/>
              </w:rPr>
            </w:pPr>
            <w:r w:rsidRPr="002C21B8">
              <w:rPr>
                <w:sz w:val="20"/>
                <w:szCs w:val="20"/>
              </w:rPr>
              <w:t>TI=(((learning or intellectual) and (disabilit* or disorder or impairment or difficulties)) or special needs)</w:t>
            </w:r>
          </w:p>
        </w:tc>
      </w:tr>
      <w:tr w:rsidR="00FA366A" w:rsidRPr="002C21B8" w14:paraId="0E5CFE28" w14:textId="77777777" w:rsidTr="00960A9F">
        <w:trPr>
          <w:trHeight w:val="320"/>
        </w:trPr>
        <w:tc>
          <w:tcPr>
            <w:tcW w:w="704" w:type="dxa"/>
            <w:shd w:val="clear" w:color="auto" w:fill="auto"/>
            <w:vAlign w:val="center"/>
          </w:tcPr>
          <w:p w14:paraId="0ECB926B" w14:textId="77777777" w:rsidR="00FA366A" w:rsidRPr="002C21B8" w:rsidRDefault="00FA366A" w:rsidP="00212D46">
            <w:pPr>
              <w:spacing w:after="0" w:line="240" w:lineRule="auto"/>
              <w:rPr>
                <w:sz w:val="20"/>
                <w:szCs w:val="20"/>
              </w:rPr>
            </w:pPr>
            <w:r w:rsidRPr="002C21B8">
              <w:rPr>
                <w:sz w:val="20"/>
                <w:szCs w:val="20"/>
              </w:rPr>
              <w:t>71</w:t>
            </w:r>
          </w:p>
        </w:tc>
        <w:tc>
          <w:tcPr>
            <w:tcW w:w="8505" w:type="dxa"/>
            <w:shd w:val="clear" w:color="auto" w:fill="auto"/>
          </w:tcPr>
          <w:p w14:paraId="32BCC1A1" w14:textId="77777777" w:rsidR="00FA366A" w:rsidRPr="002C21B8" w:rsidRDefault="00FA366A" w:rsidP="00212D46">
            <w:pPr>
              <w:spacing w:after="0" w:line="240" w:lineRule="auto"/>
              <w:rPr>
                <w:sz w:val="20"/>
                <w:szCs w:val="20"/>
              </w:rPr>
            </w:pPr>
            <w:r w:rsidRPr="002C21B8">
              <w:rPr>
                <w:sz w:val="20"/>
                <w:szCs w:val="20"/>
              </w:rPr>
              <w:t>TI=((cryptogenic or idiopathic) NEXT fibrosing alveoliti*)</w:t>
            </w:r>
          </w:p>
        </w:tc>
      </w:tr>
      <w:tr w:rsidR="00FA366A" w:rsidRPr="002C21B8" w14:paraId="2E4B0C1D" w14:textId="77777777" w:rsidTr="00960A9F">
        <w:trPr>
          <w:trHeight w:val="320"/>
        </w:trPr>
        <w:tc>
          <w:tcPr>
            <w:tcW w:w="704" w:type="dxa"/>
            <w:shd w:val="clear" w:color="auto" w:fill="auto"/>
            <w:vAlign w:val="center"/>
          </w:tcPr>
          <w:p w14:paraId="208EEEA5" w14:textId="77777777" w:rsidR="00FA366A" w:rsidRPr="002C21B8" w:rsidRDefault="00FA366A" w:rsidP="00212D46">
            <w:pPr>
              <w:spacing w:after="0" w:line="240" w:lineRule="auto"/>
              <w:rPr>
                <w:sz w:val="20"/>
                <w:szCs w:val="20"/>
              </w:rPr>
            </w:pPr>
            <w:r w:rsidRPr="002C21B8">
              <w:rPr>
                <w:sz w:val="20"/>
                <w:szCs w:val="20"/>
              </w:rPr>
              <w:t>72</w:t>
            </w:r>
          </w:p>
        </w:tc>
        <w:tc>
          <w:tcPr>
            <w:tcW w:w="8505" w:type="dxa"/>
            <w:shd w:val="clear" w:color="auto" w:fill="auto"/>
          </w:tcPr>
          <w:p w14:paraId="2665E691" w14:textId="77777777" w:rsidR="00FA366A" w:rsidRPr="002C21B8" w:rsidRDefault="00FA366A" w:rsidP="00212D46">
            <w:pPr>
              <w:spacing w:after="0" w:line="240" w:lineRule="auto"/>
              <w:rPr>
                <w:sz w:val="20"/>
                <w:szCs w:val="20"/>
              </w:rPr>
            </w:pPr>
            <w:r w:rsidRPr="002C21B8">
              <w:rPr>
                <w:sz w:val="20"/>
                <w:szCs w:val="20"/>
              </w:rPr>
              <w:t>TI=("fibrocystic pulmonary dysplasia" or "idiopathic pulmon* fibros*")</w:t>
            </w:r>
          </w:p>
        </w:tc>
      </w:tr>
      <w:tr w:rsidR="00FA366A" w:rsidRPr="002C21B8" w14:paraId="39465B8D" w14:textId="77777777" w:rsidTr="00960A9F">
        <w:trPr>
          <w:trHeight w:val="320"/>
        </w:trPr>
        <w:tc>
          <w:tcPr>
            <w:tcW w:w="704" w:type="dxa"/>
            <w:shd w:val="clear" w:color="auto" w:fill="auto"/>
            <w:vAlign w:val="center"/>
          </w:tcPr>
          <w:p w14:paraId="101C7A4C" w14:textId="77777777" w:rsidR="00FA366A" w:rsidRPr="002C21B8" w:rsidRDefault="00FA366A" w:rsidP="00212D46">
            <w:pPr>
              <w:spacing w:after="0" w:line="240" w:lineRule="auto"/>
              <w:rPr>
                <w:sz w:val="20"/>
                <w:szCs w:val="20"/>
              </w:rPr>
            </w:pPr>
            <w:r w:rsidRPr="002C21B8">
              <w:rPr>
                <w:sz w:val="20"/>
                <w:szCs w:val="20"/>
              </w:rPr>
              <w:t>73</w:t>
            </w:r>
          </w:p>
        </w:tc>
        <w:tc>
          <w:tcPr>
            <w:tcW w:w="8505" w:type="dxa"/>
            <w:shd w:val="clear" w:color="auto" w:fill="auto"/>
          </w:tcPr>
          <w:p w14:paraId="2F8C6D35" w14:textId="77777777" w:rsidR="00FA366A" w:rsidRPr="002C21B8" w:rsidRDefault="00FA366A" w:rsidP="00212D46">
            <w:pPr>
              <w:spacing w:after="0" w:line="240" w:lineRule="auto"/>
              <w:rPr>
                <w:sz w:val="20"/>
                <w:szCs w:val="20"/>
              </w:rPr>
            </w:pPr>
            <w:r w:rsidRPr="002C21B8">
              <w:rPr>
                <w:sz w:val="20"/>
                <w:szCs w:val="20"/>
              </w:rPr>
              <w:t>TI=(lupus or SLE)</w:t>
            </w:r>
          </w:p>
        </w:tc>
      </w:tr>
      <w:tr w:rsidR="00FA366A" w:rsidRPr="002C21B8" w14:paraId="1A8C38F5" w14:textId="77777777" w:rsidTr="00960A9F">
        <w:trPr>
          <w:trHeight w:val="320"/>
        </w:trPr>
        <w:tc>
          <w:tcPr>
            <w:tcW w:w="704" w:type="dxa"/>
            <w:shd w:val="clear" w:color="auto" w:fill="auto"/>
            <w:vAlign w:val="center"/>
          </w:tcPr>
          <w:p w14:paraId="5B330D22" w14:textId="77777777" w:rsidR="00FA366A" w:rsidRPr="002C21B8" w:rsidRDefault="00FA366A" w:rsidP="00212D46">
            <w:pPr>
              <w:spacing w:after="0" w:line="240" w:lineRule="auto"/>
              <w:rPr>
                <w:sz w:val="20"/>
                <w:szCs w:val="20"/>
              </w:rPr>
            </w:pPr>
            <w:r w:rsidRPr="002C21B8">
              <w:rPr>
                <w:sz w:val="20"/>
                <w:szCs w:val="20"/>
              </w:rPr>
              <w:t>74</w:t>
            </w:r>
          </w:p>
        </w:tc>
        <w:tc>
          <w:tcPr>
            <w:tcW w:w="8505" w:type="dxa"/>
            <w:shd w:val="clear" w:color="auto" w:fill="auto"/>
          </w:tcPr>
          <w:p w14:paraId="508BB42E" w14:textId="77777777" w:rsidR="00FA366A" w:rsidRPr="002C21B8" w:rsidRDefault="00FA366A" w:rsidP="00212D46">
            <w:pPr>
              <w:spacing w:after="0" w:line="240" w:lineRule="auto"/>
              <w:rPr>
                <w:sz w:val="20"/>
                <w:szCs w:val="20"/>
              </w:rPr>
            </w:pPr>
            <w:r w:rsidRPr="002C21B8">
              <w:rPr>
                <w:sz w:val="20"/>
                <w:szCs w:val="20"/>
              </w:rPr>
              <w:t>TI=(malaria or plasmodium)</w:t>
            </w:r>
          </w:p>
        </w:tc>
      </w:tr>
      <w:tr w:rsidR="00FA366A" w:rsidRPr="002C21B8" w14:paraId="4640BCFB" w14:textId="77777777" w:rsidTr="00960A9F">
        <w:trPr>
          <w:trHeight w:val="320"/>
        </w:trPr>
        <w:tc>
          <w:tcPr>
            <w:tcW w:w="704" w:type="dxa"/>
            <w:shd w:val="clear" w:color="auto" w:fill="auto"/>
            <w:vAlign w:val="center"/>
          </w:tcPr>
          <w:p w14:paraId="1071C63B" w14:textId="77777777" w:rsidR="00FA366A" w:rsidRPr="002C21B8" w:rsidRDefault="00FA366A" w:rsidP="00212D46">
            <w:pPr>
              <w:spacing w:after="0" w:line="240" w:lineRule="auto"/>
              <w:rPr>
                <w:sz w:val="20"/>
                <w:szCs w:val="20"/>
              </w:rPr>
            </w:pPr>
            <w:r w:rsidRPr="002C21B8">
              <w:rPr>
                <w:sz w:val="20"/>
                <w:szCs w:val="20"/>
              </w:rPr>
              <w:t>75</w:t>
            </w:r>
          </w:p>
        </w:tc>
        <w:tc>
          <w:tcPr>
            <w:tcW w:w="8505" w:type="dxa"/>
            <w:shd w:val="clear" w:color="auto" w:fill="auto"/>
          </w:tcPr>
          <w:p w14:paraId="77CE73E3" w14:textId="77777777" w:rsidR="00FA366A" w:rsidRPr="002C21B8" w:rsidRDefault="00FA366A" w:rsidP="00212D46">
            <w:pPr>
              <w:spacing w:after="0" w:line="240" w:lineRule="auto"/>
              <w:rPr>
                <w:sz w:val="20"/>
                <w:szCs w:val="20"/>
              </w:rPr>
            </w:pPr>
            <w:r w:rsidRPr="002C21B8">
              <w:rPr>
                <w:sz w:val="20"/>
                <w:szCs w:val="20"/>
              </w:rPr>
              <w:t>TI=medically unexplained symptoms</w:t>
            </w:r>
          </w:p>
        </w:tc>
      </w:tr>
      <w:tr w:rsidR="00FA366A" w:rsidRPr="002C21B8" w14:paraId="1E58D017" w14:textId="77777777" w:rsidTr="00960A9F">
        <w:trPr>
          <w:trHeight w:val="320"/>
        </w:trPr>
        <w:tc>
          <w:tcPr>
            <w:tcW w:w="704" w:type="dxa"/>
            <w:shd w:val="clear" w:color="auto" w:fill="auto"/>
            <w:vAlign w:val="center"/>
          </w:tcPr>
          <w:p w14:paraId="3C9ECA37" w14:textId="77777777" w:rsidR="00FA366A" w:rsidRPr="002C21B8" w:rsidRDefault="00FA366A" w:rsidP="00212D46">
            <w:pPr>
              <w:spacing w:after="0" w:line="240" w:lineRule="auto"/>
              <w:rPr>
                <w:sz w:val="20"/>
                <w:szCs w:val="20"/>
              </w:rPr>
            </w:pPr>
            <w:r w:rsidRPr="002C21B8">
              <w:rPr>
                <w:sz w:val="20"/>
                <w:szCs w:val="20"/>
              </w:rPr>
              <w:t>76</w:t>
            </w:r>
          </w:p>
        </w:tc>
        <w:tc>
          <w:tcPr>
            <w:tcW w:w="8505" w:type="dxa"/>
            <w:shd w:val="clear" w:color="auto" w:fill="auto"/>
          </w:tcPr>
          <w:p w14:paraId="32C08270" w14:textId="77777777" w:rsidR="00FA366A" w:rsidRPr="002C21B8" w:rsidRDefault="00FA366A" w:rsidP="00212D46">
            <w:pPr>
              <w:spacing w:after="0" w:line="240" w:lineRule="auto"/>
              <w:rPr>
                <w:sz w:val="20"/>
                <w:szCs w:val="20"/>
              </w:rPr>
            </w:pPr>
            <w:r w:rsidRPr="002C21B8">
              <w:rPr>
                <w:sz w:val="20"/>
                <w:szCs w:val="20"/>
              </w:rPr>
              <w:t>TI=("motor neuron* disease*" or MND)</w:t>
            </w:r>
          </w:p>
        </w:tc>
      </w:tr>
      <w:tr w:rsidR="00FA366A" w:rsidRPr="002C21B8" w14:paraId="4DFC0094" w14:textId="77777777" w:rsidTr="00960A9F">
        <w:trPr>
          <w:trHeight w:val="320"/>
        </w:trPr>
        <w:tc>
          <w:tcPr>
            <w:tcW w:w="704" w:type="dxa"/>
            <w:shd w:val="clear" w:color="auto" w:fill="auto"/>
            <w:vAlign w:val="center"/>
          </w:tcPr>
          <w:p w14:paraId="5033CE2F" w14:textId="77777777" w:rsidR="00FA366A" w:rsidRPr="002C21B8" w:rsidRDefault="00FA366A" w:rsidP="00212D46">
            <w:pPr>
              <w:spacing w:after="0" w:line="240" w:lineRule="auto"/>
              <w:rPr>
                <w:sz w:val="20"/>
                <w:szCs w:val="20"/>
              </w:rPr>
            </w:pPr>
            <w:r w:rsidRPr="002C21B8">
              <w:rPr>
                <w:sz w:val="20"/>
                <w:szCs w:val="20"/>
              </w:rPr>
              <w:t>77</w:t>
            </w:r>
          </w:p>
        </w:tc>
        <w:tc>
          <w:tcPr>
            <w:tcW w:w="8505" w:type="dxa"/>
            <w:shd w:val="clear" w:color="auto" w:fill="auto"/>
          </w:tcPr>
          <w:p w14:paraId="6E79B404" w14:textId="77777777" w:rsidR="00FA366A" w:rsidRPr="002C21B8" w:rsidRDefault="00FA366A" w:rsidP="00212D46">
            <w:pPr>
              <w:spacing w:after="0" w:line="240" w:lineRule="auto"/>
              <w:rPr>
                <w:sz w:val="20"/>
                <w:szCs w:val="20"/>
              </w:rPr>
            </w:pPr>
            <w:r w:rsidRPr="002C21B8">
              <w:rPr>
                <w:sz w:val="20"/>
                <w:szCs w:val="20"/>
              </w:rPr>
              <w:t>TI=((duchenne or pseudohypertrophic or becker or facioscapulohumeral or limb-girdle or myotonic) NEXT muscular dystrophy)</w:t>
            </w:r>
          </w:p>
        </w:tc>
      </w:tr>
      <w:tr w:rsidR="00FA366A" w:rsidRPr="002C21B8" w14:paraId="2C5CA7CA" w14:textId="77777777" w:rsidTr="00960A9F">
        <w:trPr>
          <w:trHeight w:val="320"/>
        </w:trPr>
        <w:tc>
          <w:tcPr>
            <w:tcW w:w="704" w:type="dxa"/>
            <w:shd w:val="clear" w:color="auto" w:fill="auto"/>
            <w:vAlign w:val="center"/>
          </w:tcPr>
          <w:p w14:paraId="57AF02A9" w14:textId="77777777" w:rsidR="00FA366A" w:rsidRPr="002C21B8" w:rsidRDefault="00FA366A" w:rsidP="00212D46">
            <w:pPr>
              <w:spacing w:after="0" w:line="240" w:lineRule="auto"/>
              <w:rPr>
                <w:sz w:val="20"/>
                <w:szCs w:val="20"/>
              </w:rPr>
            </w:pPr>
            <w:r w:rsidRPr="002C21B8">
              <w:rPr>
                <w:sz w:val="20"/>
                <w:szCs w:val="20"/>
              </w:rPr>
              <w:t>78</w:t>
            </w:r>
          </w:p>
        </w:tc>
        <w:tc>
          <w:tcPr>
            <w:tcW w:w="8505" w:type="dxa"/>
            <w:shd w:val="clear" w:color="auto" w:fill="auto"/>
          </w:tcPr>
          <w:p w14:paraId="7005DF83" w14:textId="77777777" w:rsidR="00FA366A" w:rsidRPr="002C21B8" w:rsidRDefault="00FA366A" w:rsidP="00212D46">
            <w:pPr>
              <w:spacing w:after="0" w:line="240" w:lineRule="auto"/>
              <w:rPr>
                <w:sz w:val="20"/>
                <w:szCs w:val="20"/>
              </w:rPr>
            </w:pPr>
            <w:r w:rsidRPr="002C21B8">
              <w:rPr>
                <w:sz w:val="20"/>
                <w:szCs w:val="20"/>
              </w:rPr>
              <w:t>TI=(obes* or overweight or (over NEXT weight) or over-weight)</w:t>
            </w:r>
          </w:p>
        </w:tc>
      </w:tr>
      <w:tr w:rsidR="00FA366A" w:rsidRPr="002C21B8" w14:paraId="5E3EFD91" w14:textId="77777777" w:rsidTr="00960A9F">
        <w:trPr>
          <w:trHeight w:val="320"/>
        </w:trPr>
        <w:tc>
          <w:tcPr>
            <w:tcW w:w="704" w:type="dxa"/>
            <w:shd w:val="clear" w:color="auto" w:fill="auto"/>
            <w:vAlign w:val="center"/>
          </w:tcPr>
          <w:p w14:paraId="799DCC51" w14:textId="77777777" w:rsidR="00FA366A" w:rsidRPr="002C21B8" w:rsidRDefault="00FA366A" w:rsidP="00212D46">
            <w:pPr>
              <w:spacing w:after="0" w:line="240" w:lineRule="auto"/>
              <w:rPr>
                <w:sz w:val="20"/>
                <w:szCs w:val="20"/>
              </w:rPr>
            </w:pPr>
            <w:r w:rsidRPr="002C21B8">
              <w:rPr>
                <w:sz w:val="20"/>
                <w:szCs w:val="20"/>
              </w:rPr>
              <w:t>79</w:t>
            </w:r>
          </w:p>
        </w:tc>
        <w:tc>
          <w:tcPr>
            <w:tcW w:w="8505" w:type="dxa"/>
            <w:shd w:val="clear" w:color="auto" w:fill="auto"/>
          </w:tcPr>
          <w:p w14:paraId="35B43AC2" w14:textId="77777777" w:rsidR="00FA366A" w:rsidRPr="002C21B8" w:rsidRDefault="00FA366A" w:rsidP="00212D46">
            <w:pPr>
              <w:spacing w:after="0" w:line="240" w:lineRule="auto"/>
              <w:rPr>
                <w:sz w:val="20"/>
                <w:szCs w:val="20"/>
              </w:rPr>
            </w:pPr>
            <w:r w:rsidRPr="002C21B8">
              <w:rPr>
                <w:sz w:val="20"/>
                <w:szCs w:val="20"/>
              </w:rPr>
              <w:t>TI=((sleep* or nocturnal) NEXT (apnea* or apnoea*))</w:t>
            </w:r>
          </w:p>
        </w:tc>
      </w:tr>
      <w:tr w:rsidR="00FA366A" w:rsidRPr="002C21B8" w14:paraId="2BDF5928" w14:textId="77777777" w:rsidTr="00960A9F">
        <w:trPr>
          <w:trHeight w:val="320"/>
        </w:trPr>
        <w:tc>
          <w:tcPr>
            <w:tcW w:w="704" w:type="dxa"/>
            <w:shd w:val="clear" w:color="auto" w:fill="auto"/>
            <w:vAlign w:val="center"/>
          </w:tcPr>
          <w:p w14:paraId="31927C64" w14:textId="77777777" w:rsidR="00FA366A" w:rsidRPr="002C21B8" w:rsidRDefault="00FA366A" w:rsidP="00212D46">
            <w:pPr>
              <w:spacing w:after="0" w:line="240" w:lineRule="auto"/>
              <w:rPr>
                <w:sz w:val="20"/>
                <w:szCs w:val="20"/>
              </w:rPr>
            </w:pPr>
            <w:r w:rsidRPr="002C21B8">
              <w:rPr>
                <w:sz w:val="20"/>
                <w:szCs w:val="20"/>
              </w:rPr>
              <w:t>80</w:t>
            </w:r>
          </w:p>
        </w:tc>
        <w:tc>
          <w:tcPr>
            <w:tcW w:w="8505" w:type="dxa"/>
            <w:shd w:val="clear" w:color="auto" w:fill="auto"/>
          </w:tcPr>
          <w:p w14:paraId="5BBAE490" w14:textId="77777777" w:rsidR="00FA366A" w:rsidRPr="002C21B8" w:rsidRDefault="00FA366A" w:rsidP="00212D46">
            <w:pPr>
              <w:spacing w:after="0" w:line="240" w:lineRule="auto"/>
              <w:rPr>
                <w:sz w:val="20"/>
                <w:szCs w:val="20"/>
              </w:rPr>
            </w:pPr>
            <w:r w:rsidRPr="002C21B8">
              <w:rPr>
                <w:sz w:val="20"/>
                <w:szCs w:val="20"/>
              </w:rPr>
              <w:t>TI=(sleep* NEXT disordered NEXT breathing)</w:t>
            </w:r>
          </w:p>
        </w:tc>
      </w:tr>
      <w:tr w:rsidR="00FA366A" w:rsidRPr="002C21B8" w14:paraId="6BE12C9C" w14:textId="77777777" w:rsidTr="00960A9F">
        <w:trPr>
          <w:trHeight w:val="320"/>
        </w:trPr>
        <w:tc>
          <w:tcPr>
            <w:tcW w:w="704" w:type="dxa"/>
            <w:shd w:val="clear" w:color="auto" w:fill="auto"/>
            <w:vAlign w:val="center"/>
          </w:tcPr>
          <w:p w14:paraId="326C1C23" w14:textId="77777777" w:rsidR="00FA366A" w:rsidRPr="002C21B8" w:rsidRDefault="00FA366A" w:rsidP="00212D46">
            <w:pPr>
              <w:spacing w:after="0" w:line="240" w:lineRule="auto"/>
              <w:rPr>
                <w:sz w:val="20"/>
                <w:szCs w:val="20"/>
              </w:rPr>
            </w:pPr>
            <w:r w:rsidRPr="002C21B8">
              <w:rPr>
                <w:sz w:val="20"/>
                <w:szCs w:val="20"/>
              </w:rPr>
              <w:t>81</w:t>
            </w:r>
          </w:p>
        </w:tc>
        <w:tc>
          <w:tcPr>
            <w:tcW w:w="8505" w:type="dxa"/>
            <w:shd w:val="clear" w:color="auto" w:fill="auto"/>
          </w:tcPr>
          <w:p w14:paraId="788044ED" w14:textId="77777777" w:rsidR="00FA366A" w:rsidRPr="002C21B8" w:rsidRDefault="00FA366A" w:rsidP="00212D46">
            <w:pPr>
              <w:spacing w:after="0" w:line="240" w:lineRule="auto"/>
              <w:rPr>
                <w:sz w:val="20"/>
                <w:szCs w:val="20"/>
              </w:rPr>
            </w:pPr>
            <w:r w:rsidRPr="002C21B8">
              <w:rPr>
                <w:sz w:val="20"/>
                <w:szCs w:val="20"/>
              </w:rPr>
              <w:t>TI=((sleep* or nocturnal) NEXT (hypopnea* or hypopnoea* or hypo-apnea* or hypo-apnoea* or apneic-hypopneic or apnoeic-hypopnoeic))</w:t>
            </w:r>
          </w:p>
        </w:tc>
      </w:tr>
      <w:tr w:rsidR="00FA366A" w:rsidRPr="002C21B8" w14:paraId="54CEE73C" w14:textId="77777777" w:rsidTr="00960A9F">
        <w:trPr>
          <w:trHeight w:val="320"/>
        </w:trPr>
        <w:tc>
          <w:tcPr>
            <w:tcW w:w="704" w:type="dxa"/>
            <w:shd w:val="clear" w:color="auto" w:fill="auto"/>
            <w:vAlign w:val="center"/>
          </w:tcPr>
          <w:p w14:paraId="387947E5" w14:textId="77777777" w:rsidR="00FA366A" w:rsidRPr="002C21B8" w:rsidRDefault="00FA366A" w:rsidP="00212D46">
            <w:pPr>
              <w:spacing w:after="0" w:line="240" w:lineRule="auto"/>
              <w:rPr>
                <w:sz w:val="20"/>
                <w:szCs w:val="20"/>
              </w:rPr>
            </w:pPr>
            <w:r w:rsidRPr="002C21B8">
              <w:rPr>
                <w:sz w:val="20"/>
                <w:szCs w:val="20"/>
              </w:rPr>
              <w:t>82</w:t>
            </w:r>
          </w:p>
        </w:tc>
        <w:tc>
          <w:tcPr>
            <w:tcW w:w="8505" w:type="dxa"/>
            <w:shd w:val="clear" w:color="auto" w:fill="auto"/>
          </w:tcPr>
          <w:p w14:paraId="1FC7F356" w14:textId="77777777" w:rsidR="00FA366A" w:rsidRPr="002C21B8" w:rsidRDefault="00FA366A" w:rsidP="00212D46">
            <w:pPr>
              <w:spacing w:after="0" w:line="240" w:lineRule="auto"/>
              <w:rPr>
                <w:sz w:val="20"/>
                <w:szCs w:val="20"/>
              </w:rPr>
            </w:pPr>
            <w:r w:rsidRPr="002C21B8">
              <w:rPr>
                <w:sz w:val="20"/>
                <w:szCs w:val="20"/>
              </w:rPr>
              <w:t>TI=(OSA or SAHS or OSAHS)</w:t>
            </w:r>
          </w:p>
        </w:tc>
      </w:tr>
      <w:tr w:rsidR="00FA366A" w:rsidRPr="002C21B8" w14:paraId="1CF319F3" w14:textId="77777777" w:rsidTr="00960A9F">
        <w:trPr>
          <w:trHeight w:val="320"/>
        </w:trPr>
        <w:tc>
          <w:tcPr>
            <w:tcW w:w="704" w:type="dxa"/>
            <w:shd w:val="clear" w:color="auto" w:fill="auto"/>
            <w:vAlign w:val="center"/>
          </w:tcPr>
          <w:p w14:paraId="2089BD18" w14:textId="77777777" w:rsidR="00FA366A" w:rsidRPr="002C21B8" w:rsidRDefault="00FA366A" w:rsidP="00212D46">
            <w:pPr>
              <w:spacing w:after="0" w:line="240" w:lineRule="auto"/>
              <w:rPr>
                <w:sz w:val="20"/>
                <w:szCs w:val="20"/>
              </w:rPr>
            </w:pPr>
            <w:r w:rsidRPr="002C21B8">
              <w:rPr>
                <w:sz w:val="20"/>
                <w:szCs w:val="20"/>
              </w:rPr>
              <w:t>83</w:t>
            </w:r>
          </w:p>
        </w:tc>
        <w:tc>
          <w:tcPr>
            <w:tcW w:w="8505" w:type="dxa"/>
            <w:shd w:val="clear" w:color="auto" w:fill="auto"/>
          </w:tcPr>
          <w:p w14:paraId="5F280275" w14:textId="77777777" w:rsidR="00FA366A" w:rsidRPr="002C21B8" w:rsidRDefault="00FA366A" w:rsidP="00212D46">
            <w:pPr>
              <w:spacing w:after="0" w:line="240" w:lineRule="auto"/>
              <w:rPr>
                <w:sz w:val="20"/>
                <w:szCs w:val="20"/>
              </w:rPr>
            </w:pPr>
            <w:r w:rsidRPr="002C21B8">
              <w:rPr>
                <w:sz w:val="20"/>
                <w:szCs w:val="20"/>
              </w:rPr>
              <w:t>TI=(asbestosis* or pneumoconiosis or black lung or hard metal lung disease or silicosis or talcosis)</w:t>
            </w:r>
          </w:p>
        </w:tc>
      </w:tr>
      <w:tr w:rsidR="00FA366A" w:rsidRPr="002C21B8" w14:paraId="680F82D4" w14:textId="77777777" w:rsidTr="00960A9F">
        <w:trPr>
          <w:trHeight w:val="320"/>
        </w:trPr>
        <w:tc>
          <w:tcPr>
            <w:tcW w:w="704" w:type="dxa"/>
            <w:shd w:val="clear" w:color="auto" w:fill="auto"/>
            <w:vAlign w:val="center"/>
          </w:tcPr>
          <w:p w14:paraId="353731C8" w14:textId="77777777" w:rsidR="00FA366A" w:rsidRPr="002C21B8" w:rsidRDefault="00FA366A" w:rsidP="00212D46">
            <w:pPr>
              <w:spacing w:after="0" w:line="240" w:lineRule="auto"/>
              <w:rPr>
                <w:sz w:val="20"/>
                <w:szCs w:val="20"/>
              </w:rPr>
            </w:pPr>
            <w:r w:rsidRPr="002C21B8">
              <w:rPr>
                <w:sz w:val="20"/>
                <w:szCs w:val="20"/>
              </w:rPr>
              <w:t>84</w:t>
            </w:r>
          </w:p>
        </w:tc>
        <w:tc>
          <w:tcPr>
            <w:tcW w:w="8505" w:type="dxa"/>
            <w:shd w:val="clear" w:color="auto" w:fill="auto"/>
          </w:tcPr>
          <w:p w14:paraId="217D8978" w14:textId="77777777" w:rsidR="00FA366A" w:rsidRPr="002C21B8" w:rsidRDefault="00FA366A" w:rsidP="00212D46">
            <w:pPr>
              <w:spacing w:after="0" w:line="240" w:lineRule="auto"/>
              <w:rPr>
                <w:sz w:val="20"/>
                <w:szCs w:val="20"/>
              </w:rPr>
            </w:pPr>
            <w:r w:rsidRPr="002C21B8">
              <w:rPr>
                <w:sz w:val="20"/>
                <w:szCs w:val="20"/>
              </w:rPr>
              <w:t>TI=(osteoporo* or bone density or calcaneus)</w:t>
            </w:r>
          </w:p>
        </w:tc>
      </w:tr>
      <w:tr w:rsidR="00FA366A" w:rsidRPr="002C21B8" w14:paraId="7DB847E5" w14:textId="77777777" w:rsidTr="00960A9F">
        <w:trPr>
          <w:trHeight w:val="320"/>
        </w:trPr>
        <w:tc>
          <w:tcPr>
            <w:tcW w:w="704" w:type="dxa"/>
            <w:shd w:val="clear" w:color="auto" w:fill="auto"/>
            <w:vAlign w:val="center"/>
          </w:tcPr>
          <w:p w14:paraId="361AEEBC" w14:textId="77777777" w:rsidR="00FA366A" w:rsidRPr="002C21B8" w:rsidRDefault="00FA366A" w:rsidP="00212D46">
            <w:pPr>
              <w:spacing w:after="0" w:line="240" w:lineRule="auto"/>
              <w:rPr>
                <w:sz w:val="20"/>
                <w:szCs w:val="20"/>
              </w:rPr>
            </w:pPr>
            <w:r w:rsidRPr="002C21B8">
              <w:rPr>
                <w:sz w:val="20"/>
                <w:szCs w:val="20"/>
              </w:rPr>
              <w:t>85</w:t>
            </w:r>
          </w:p>
        </w:tc>
        <w:tc>
          <w:tcPr>
            <w:tcW w:w="8505" w:type="dxa"/>
            <w:shd w:val="clear" w:color="auto" w:fill="auto"/>
          </w:tcPr>
          <w:p w14:paraId="42457578" w14:textId="77777777" w:rsidR="00FA366A" w:rsidRPr="002C21B8" w:rsidRDefault="00FA366A" w:rsidP="00212D46">
            <w:pPr>
              <w:spacing w:after="0" w:line="240" w:lineRule="auto"/>
              <w:rPr>
                <w:sz w:val="20"/>
                <w:szCs w:val="20"/>
              </w:rPr>
            </w:pPr>
            <w:r w:rsidRPr="002C21B8">
              <w:rPr>
                <w:sz w:val="20"/>
                <w:szCs w:val="20"/>
              </w:rPr>
              <w:t>TI=(amyotrophic lateral sclerosis or multiple sclerosis or huntington* disease or multiple system atrophy or prion disease)</w:t>
            </w:r>
          </w:p>
        </w:tc>
      </w:tr>
      <w:tr w:rsidR="00FA366A" w:rsidRPr="002C21B8" w14:paraId="3FF5DC6F" w14:textId="77777777" w:rsidTr="00960A9F">
        <w:trPr>
          <w:trHeight w:val="320"/>
        </w:trPr>
        <w:tc>
          <w:tcPr>
            <w:tcW w:w="704" w:type="dxa"/>
            <w:shd w:val="clear" w:color="auto" w:fill="auto"/>
            <w:vAlign w:val="center"/>
          </w:tcPr>
          <w:p w14:paraId="21AB0B16" w14:textId="77777777" w:rsidR="00FA366A" w:rsidRPr="002C21B8" w:rsidRDefault="00FA366A" w:rsidP="00212D46">
            <w:pPr>
              <w:spacing w:after="0" w:line="240" w:lineRule="auto"/>
              <w:rPr>
                <w:sz w:val="20"/>
                <w:szCs w:val="20"/>
              </w:rPr>
            </w:pPr>
            <w:r w:rsidRPr="002C21B8">
              <w:rPr>
                <w:sz w:val="20"/>
                <w:szCs w:val="20"/>
              </w:rPr>
              <w:t>86</w:t>
            </w:r>
          </w:p>
        </w:tc>
        <w:tc>
          <w:tcPr>
            <w:tcW w:w="8505" w:type="dxa"/>
            <w:shd w:val="clear" w:color="auto" w:fill="auto"/>
          </w:tcPr>
          <w:p w14:paraId="39D51E3D" w14:textId="77777777" w:rsidR="00FA366A" w:rsidRPr="002C21B8" w:rsidRDefault="00FA366A" w:rsidP="00212D46">
            <w:pPr>
              <w:spacing w:after="0" w:line="240" w:lineRule="auto"/>
              <w:rPr>
                <w:sz w:val="20"/>
                <w:szCs w:val="20"/>
              </w:rPr>
            </w:pPr>
            <w:r w:rsidRPr="002C21B8">
              <w:rPr>
                <w:sz w:val="20"/>
                <w:szCs w:val="20"/>
              </w:rPr>
              <w:t>TI=(peripheral arterial occlusi* or peripheral artery occlusi* or peripheral arterial isch?emi* or peripheral artery isch?emi*)</w:t>
            </w:r>
          </w:p>
        </w:tc>
      </w:tr>
      <w:tr w:rsidR="00FA366A" w:rsidRPr="002C21B8" w14:paraId="4EFF0B1F" w14:textId="77777777" w:rsidTr="00960A9F">
        <w:trPr>
          <w:trHeight w:val="320"/>
        </w:trPr>
        <w:tc>
          <w:tcPr>
            <w:tcW w:w="704" w:type="dxa"/>
            <w:shd w:val="clear" w:color="auto" w:fill="auto"/>
            <w:vAlign w:val="center"/>
          </w:tcPr>
          <w:p w14:paraId="561652BC" w14:textId="77777777" w:rsidR="00FA366A" w:rsidRPr="002C21B8" w:rsidRDefault="00FA366A" w:rsidP="00212D46">
            <w:pPr>
              <w:spacing w:after="0" w:line="240" w:lineRule="auto"/>
              <w:rPr>
                <w:sz w:val="20"/>
                <w:szCs w:val="20"/>
              </w:rPr>
            </w:pPr>
            <w:r w:rsidRPr="002C21B8">
              <w:rPr>
                <w:sz w:val="20"/>
                <w:szCs w:val="20"/>
              </w:rPr>
              <w:t>87</w:t>
            </w:r>
          </w:p>
        </w:tc>
        <w:tc>
          <w:tcPr>
            <w:tcW w:w="8505" w:type="dxa"/>
            <w:shd w:val="clear" w:color="auto" w:fill="auto"/>
          </w:tcPr>
          <w:p w14:paraId="3170C9EB" w14:textId="77777777" w:rsidR="00FA366A" w:rsidRPr="002C21B8" w:rsidRDefault="00FA366A" w:rsidP="00212D46">
            <w:pPr>
              <w:spacing w:after="0" w:line="240" w:lineRule="auto"/>
              <w:rPr>
                <w:sz w:val="20"/>
                <w:szCs w:val="20"/>
              </w:rPr>
            </w:pPr>
            <w:r w:rsidRPr="002C21B8">
              <w:rPr>
                <w:sz w:val="20"/>
                <w:szCs w:val="20"/>
              </w:rPr>
              <w:t>TI=(peripheral vascular disease* or peripheral arterial disease* or peripheral artery disease*)</w:t>
            </w:r>
          </w:p>
        </w:tc>
      </w:tr>
      <w:tr w:rsidR="00FA366A" w:rsidRPr="002C21B8" w14:paraId="18E67CA6" w14:textId="77777777" w:rsidTr="00960A9F">
        <w:trPr>
          <w:trHeight w:val="320"/>
        </w:trPr>
        <w:tc>
          <w:tcPr>
            <w:tcW w:w="704" w:type="dxa"/>
            <w:shd w:val="clear" w:color="auto" w:fill="auto"/>
            <w:vAlign w:val="center"/>
          </w:tcPr>
          <w:p w14:paraId="295A7A6E" w14:textId="77777777" w:rsidR="00FA366A" w:rsidRPr="002C21B8" w:rsidRDefault="00FA366A" w:rsidP="00212D46">
            <w:pPr>
              <w:spacing w:after="0" w:line="240" w:lineRule="auto"/>
              <w:rPr>
                <w:sz w:val="20"/>
                <w:szCs w:val="20"/>
              </w:rPr>
            </w:pPr>
            <w:r w:rsidRPr="002C21B8">
              <w:rPr>
                <w:sz w:val="20"/>
                <w:szCs w:val="20"/>
              </w:rPr>
              <w:t>88</w:t>
            </w:r>
          </w:p>
        </w:tc>
        <w:tc>
          <w:tcPr>
            <w:tcW w:w="8505" w:type="dxa"/>
            <w:shd w:val="clear" w:color="auto" w:fill="auto"/>
          </w:tcPr>
          <w:p w14:paraId="0F17A375" w14:textId="77777777" w:rsidR="00FA366A" w:rsidRPr="002C21B8" w:rsidRDefault="00FA366A" w:rsidP="00212D46">
            <w:pPr>
              <w:spacing w:after="0" w:line="240" w:lineRule="auto"/>
              <w:rPr>
                <w:sz w:val="20"/>
                <w:szCs w:val="20"/>
              </w:rPr>
            </w:pPr>
            <w:r w:rsidRPr="002C21B8">
              <w:rPr>
                <w:sz w:val="20"/>
                <w:szCs w:val="20"/>
              </w:rPr>
              <w:t>TI=((limb* or lower extremity) NEXT isch?emi*)</w:t>
            </w:r>
          </w:p>
        </w:tc>
      </w:tr>
      <w:tr w:rsidR="00FA366A" w:rsidRPr="002C21B8" w14:paraId="0ED6FCAA" w14:textId="77777777" w:rsidTr="00960A9F">
        <w:trPr>
          <w:trHeight w:val="320"/>
        </w:trPr>
        <w:tc>
          <w:tcPr>
            <w:tcW w:w="704" w:type="dxa"/>
            <w:shd w:val="clear" w:color="auto" w:fill="auto"/>
            <w:vAlign w:val="center"/>
          </w:tcPr>
          <w:p w14:paraId="5D48A82C" w14:textId="77777777" w:rsidR="00FA366A" w:rsidRPr="002C21B8" w:rsidRDefault="00FA366A" w:rsidP="00212D46">
            <w:pPr>
              <w:spacing w:after="0" w:line="240" w:lineRule="auto"/>
              <w:rPr>
                <w:sz w:val="20"/>
                <w:szCs w:val="20"/>
              </w:rPr>
            </w:pPr>
            <w:r w:rsidRPr="002C21B8">
              <w:rPr>
                <w:sz w:val="20"/>
                <w:szCs w:val="20"/>
              </w:rPr>
              <w:t>89</w:t>
            </w:r>
          </w:p>
        </w:tc>
        <w:tc>
          <w:tcPr>
            <w:tcW w:w="8505" w:type="dxa"/>
            <w:shd w:val="clear" w:color="auto" w:fill="auto"/>
          </w:tcPr>
          <w:p w14:paraId="47687ED8" w14:textId="77777777" w:rsidR="00FA366A" w:rsidRPr="002C21B8" w:rsidRDefault="00FA366A" w:rsidP="00212D46">
            <w:pPr>
              <w:spacing w:after="0" w:line="240" w:lineRule="auto"/>
              <w:rPr>
                <w:sz w:val="20"/>
                <w:szCs w:val="20"/>
              </w:rPr>
            </w:pPr>
            <w:r w:rsidRPr="002C21B8">
              <w:rPr>
                <w:sz w:val="20"/>
                <w:szCs w:val="20"/>
              </w:rPr>
              <w:t>TI=(intermittent and (occlusion or claudication))</w:t>
            </w:r>
          </w:p>
        </w:tc>
      </w:tr>
      <w:tr w:rsidR="00FA366A" w:rsidRPr="002C21B8" w14:paraId="1D9C06AF" w14:textId="77777777" w:rsidTr="00960A9F">
        <w:trPr>
          <w:trHeight w:val="320"/>
        </w:trPr>
        <w:tc>
          <w:tcPr>
            <w:tcW w:w="704" w:type="dxa"/>
            <w:shd w:val="clear" w:color="auto" w:fill="auto"/>
            <w:vAlign w:val="center"/>
          </w:tcPr>
          <w:p w14:paraId="68A7B137" w14:textId="77777777" w:rsidR="00FA366A" w:rsidRPr="002C21B8" w:rsidRDefault="00FA366A" w:rsidP="00212D46">
            <w:pPr>
              <w:spacing w:after="0" w:line="240" w:lineRule="auto"/>
              <w:rPr>
                <w:sz w:val="20"/>
                <w:szCs w:val="20"/>
              </w:rPr>
            </w:pPr>
            <w:r w:rsidRPr="002C21B8">
              <w:rPr>
                <w:sz w:val="20"/>
                <w:szCs w:val="20"/>
              </w:rPr>
              <w:t>90</w:t>
            </w:r>
          </w:p>
        </w:tc>
        <w:tc>
          <w:tcPr>
            <w:tcW w:w="8505" w:type="dxa"/>
            <w:shd w:val="clear" w:color="auto" w:fill="auto"/>
          </w:tcPr>
          <w:p w14:paraId="04467250" w14:textId="77777777" w:rsidR="00FA366A" w:rsidRPr="002C21B8" w:rsidRDefault="00FA366A" w:rsidP="00212D46">
            <w:pPr>
              <w:spacing w:after="0" w:line="240" w:lineRule="auto"/>
              <w:rPr>
                <w:sz w:val="20"/>
                <w:szCs w:val="20"/>
              </w:rPr>
            </w:pPr>
            <w:r w:rsidRPr="002C21B8">
              <w:rPr>
                <w:sz w:val="20"/>
                <w:szCs w:val="20"/>
              </w:rPr>
              <w:t>TI=(physical disabilit* or spinal cord injur* or motor learning disability* or dwarfism)</w:t>
            </w:r>
          </w:p>
        </w:tc>
      </w:tr>
      <w:tr w:rsidR="00FA366A" w:rsidRPr="002C21B8" w14:paraId="4CB48A90" w14:textId="77777777" w:rsidTr="00960A9F">
        <w:trPr>
          <w:trHeight w:val="320"/>
        </w:trPr>
        <w:tc>
          <w:tcPr>
            <w:tcW w:w="704" w:type="dxa"/>
            <w:shd w:val="clear" w:color="auto" w:fill="auto"/>
            <w:vAlign w:val="center"/>
          </w:tcPr>
          <w:p w14:paraId="05B93414" w14:textId="77777777" w:rsidR="00FA366A" w:rsidRPr="002C21B8" w:rsidRDefault="00FA366A" w:rsidP="00212D46">
            <w:pPr>
              <w:spacing w:after="0" w:line="240" w:lineRule="auto"/>
              <w:rPr>
                <w:sz w:val="20"/>
                <w:szCs w:val="20"/>
              </w:rPr>
            </w:pPr>
            <w:r w:rsidRPr="002C21B8">
              <w:rPr>
                <w:sz w:val="20"/>
                <w:szCs w:val="20"/>
              </w:rPr>
              <w:t>91</w:t>
            </w:r>
          </w:p>
        </w:tc>
        <w:tc>
          <w:tcPr>
            <w:tcW w:w="8505" w:type="dxa"/>
            <w:shd w:val="clear" w:color="auto" w:fill="auto"/>
          </w:tcPr>
          <w:p w14:paraId="2D0FA833" w14:textId="77777777" w:rsidR="00FA366A" w:rsidRPr="002C21B8" w:rsidRDefault="00FA366A" w:rsidP="00212D46">
            <w:pPr>
              <w:spacing w:after="0" w:line="240" w:lineRule="auto"/>
              <w:rPr>
                <w:sz w:val="20"/>
                <w:szCs w:val="20"/>
              </w:rPr>
            </w:pPr>
            <w:r w:rsidRPr="002C21B8">
              <w:rPr>
                <w:sz w:val="20"/>
                <w:szCs w:val="20"/>
              </w:rPr>
              <w:t>TI=(polycystic ovary syndrome or polycystic ovarian syndrome or PCOS)</w:t>
            </w:r>
          </w:p>
        </w:tc>
      </w:tr>
      <w:tr w:rsidR="00FA366A" w:rsidRPr="002C21B8" w14:paraId="3ED8D6CB" w14:textId="77777777" w:rsidTr="00960A9F">
        <w:trPr>
          <w:trHeight w:val="320"/>
        </w:trPr>
        <w:tc>
          <w:tcPr>
            <w:tcW w:w="704" w:type="dxa"/>
            <w:shd w:val="clear" w:color="auto" w:fill="auto"/>
            <w:vAlign w:val="center"/>
          </w:tcPr>
          <w:p w14:paraId="45348E94" w14:textId="77777777" w:rsidR="00FA366A" w:rsidRPr="002C21B8" w:rsidRDefault="00FA366A" w:rsidP="00212D46">
            <w:pPr>
              <w:spacing w:after="0" w:line="240" w:lineRule="auto"/>
              <w:rPr>
                <w:sz w:val="20"/>
                <w:szCs w:val="20"/>
              </w:rPr>
            </w:pPr>
            <w:r w:rsidRPr="002C21B8">
              <w:rPr>
                <w:sz w:val="20"/>
                <w:szCs w:val="20"/>
              </w:rPr>
              <w:t>92</w:t>
            </w:r>
          </w:p>
        </w:tc>
        <w:tc>
          <w:tcPr>
            <w:tcW w:w="8505" w:type="dxa"/>
            <w:shd w:val="clear" w:color="auto" w:fill="auto"/>
          </w:tcPr>
          <w:p w14:paraId="0C4E9C8F" w14:textId="77777777" w:rsidR="00FA366A" w:rsidRPr="002C21B8" w:rsidRDefault="00FA366A" w:rsidP="00212D46">
            <w:pPr>
              <w:spacing w:after="0" w:line="240" w:lineRule="auto"/>
              <w:rPr>
                <w:sz w:val="20"/>
                <w:szCs w:val="20"/>
              </w:rPr>
            </w:pPr>
            <w:r w:rsidRPr="002C21B8">
              <w:rPr>
                <w:sz w:val="20"/>
                <w:szCs w:val="20"/>
              </w:rPr>
              <w:t>TI=(progressive supranuclear pals* or PSP or richardson* syndrome or (steele richardson olsezewski NEXT (disease or syndrome)) or (steele-richardson-olsezewski NEXT (disease or syndrome)))</w:t>
            </w:r>
          </w:p>
        </w:tc>
      </w:tr>
      <w:tr w:rsidR="00FA366A" w:rsidRPr="002C21B8" w14:paraId="7A009012" w14:textId="77777777" w:rsidTr="00960A9F">
        <w:trPr>
          <w:trHeight w:val="320"/>
        </w:trPr>
        <w:tc>
          <w:tcPr>
            <w:tcW w:w="704" w:type="dxa"/>
            <w:shd w:val="clear" w:color="auto" w:fill="auto"/>
            <w:vAlign w:val="center"/>
          </w:tcPr>
          <w:p w14:paraId="1FB4F01B" w14:textId="77777777" w:rsidR="00FA366A" w:rsidRPr="002C21B8" w:rsidRDefault="00FA366A" w:rsidP="00212D46">
            <w:pPr>
              <w:spacing w:after="0" w:line="240" w:lineRule="auto"/>
              <w:rPr>
                <w:sz w:val="20"/>
                <w:szCs w:val="20"/>
              </w:rPr>
            </w:pPr>
            <w:r w:rsidRPr="002C21B8">
              <w:rPr>
                <w:sz w:val="20"/>
                <w:szCs w:val="20"/>
              </w:rPr>
              <w:t>93</w:t>
            </w:r>
          </w:p>
        </w:tc>
        <w:tc>
          <w:tcPr>
            <w:tcW w:w="8505" w:type="dxa"/>
            <w:shd w:val="clear" w:color="auto" w:fill="auto"/>
          </w:tcPr>
          <w:p w14:paraId="7B6C04C9" w14:textId="77777777" w:rsidR="00FA366A" w:rsidRPr="002C21B8" w:rsidRDefault="00FA366A" w:rsidP="00212D46">
            <w:pPr>
              <w:spacing w:after="0" w:line="240" w:lineRule="auto"/>
              <w:rPr>
                <w:sz w:val="20"/>
                <w:szCs w:val="20"/>
              </w:rPr>
            </w:pPr>
            <w:r w:rsidRPr="002C21B8">
              <w:rPr>
                <w:sz w:val="20"/>
                <w:szCs w:val="20"/>
              </w:rPr>
              <w:t>TI=psoriasis</w:t>
            </w:r>
          </w:p>
        </w:tc>
      </w:tr>
      <w:tr w:rsidR="00FA366A" w:rsidRPr="002C21B8" w14:paraId="12F3C4F7" w14:textId="77777777" w:rsidTr="00960A9F">
        <w:trPr>
          <w:trHeight w:val="320"/>
        </w:trPr>
        <w:tc>
          <w:tcPr>
            <w:tcW w:w="704" w:type="dxa"/>
            <w:shd w:val="clear" w:color="auto" w:fill="auto"/>
            <w:vAlign w:val="center"/>
          </w:tcPr>
          <w:p w14:paraId="02A408E4" w14:textId="77777777" w:rsidR="00FA366A" w:rsidRPr="002C21B8" w:rsidRDefault="00FA366A" w:rsidP="00212D46">
            <w:pPr>
              <w:spacing w:after="0" w:line="240" w:lineRule="auto"/>
              <w:rPr>
                <w:sz w:val="20"/>
                <w:szCs w:val="20"/>
              </w:rPr>
            </w:pPr>
            <w:r w:rsidRPr="002C21B8">
              <w:rPr>
                <w:sz w:val="20"/>
                <w:szCs w:val="20"/>
              </w:rPr>
              <w:t>94</w:t>
            </w:r>
          </w:p>
        </w:tc>
        <w:tc>
          <w:tcPr>
            <w:tcW w:w="8505" w:type="dxa"/>
            <w:shd w:val="clear" w:color="auto" w:fill="auto"/>
          </w:tcPr>
          <w:p w14:paraId="69F5BA2A" w14:textId="77777777" w:rsidR="00FA366A" w:rsidRPr="002C21B8" w:rsidRDefault="00FA366A" w:rsidP="00212D46">
            <w:pPr>
              <w:spacing w:after="0" w:line="240" w:lineRule="auto"/>
              <w:rPr>
                <w:sz w:val="20"/>
                <w:szCs w:val="20"/>
              </w:rPr>
            </w:pPr>
            <w:r w:rsidRPr="002C21B8">
              <w:rPr>
                <w:sz w:val="20"/>
                <w:szCs w:val="20"/>
              </w:rPr>
              <w:t>TI=(rare dis* or rare diagnos* or orphan dis*)</w:t>
            </w:r>
          </w:p>
        </w:tc>
      </w:tr>
      <w:tr w:rsidR="00FA366A" w:rsidRPr="002C21B8" w14:paraId="522D4908" w14:textId="77777777" w:rsidTr="00960A9F">
        <w:trPr>
          <w:trHeight w:val="320"/>
        </w:trPr>
        <w:tc>
          <w:tcPr>
            <w:tcW w:w="704" w:type="dxa"/>
            <w:shd w:val="clear" w:color="auto" w:fill="auto"/>
            <w:vAlign w:val="center"/>
          </w:tcPr>
          <w:p w14:paraId="2CD7EAD5" w14:textId="77777777" w:rsidR="00FA366A" w:rsidRPr="002C21B8" w:rsidRDefault="00FA366A" w:rsidP="00212D46">
            <w:pPr>
              <w:spacing w:after="0" w:line="240" w:lineRule="auto"/>
              <w:rPr>
                <w:sz w:val="20"/>
                <w:szCs w:val="20"/>
              </w:rPr>
            </w:pPr>
            <w:r w:rsidRPr="002C21B8">
              <w:rPr>
                <w:sz w:val="20"/>
                <w:szCs w:val="20"/>
              </w:rPr>
              <w:t>95</w:t>
            </w:r>
          </w:p>
        </w:tc>
        <w:tc>
          <w:tcPr>
            <w:tcW w:w="8505" w:type="dxa"/>
            <w:shd w:val="clear" w:color="auto" w:fill="auto"/>
          </w:tcPr>
          <w:p w14:paraId="7258C292" w14:textId="77777777" w:rsidR="00FA366A" w:rsidRPr="002C21B8" w:rsidRDefault="00FA366A" w:rsidP="00212D46">
            <w:pPr>
              <w:spacing w:after="0" w:line="240" w:lineRule="auto"/>
              <w:rPr>
                <w:sz w:val="20"/>
                <w:szCs w:val="20"/>
              </w:rPr>
            </w:pPr>
            <w:r w:rsidRPr="002C21B8">
              <w:rPr>
                <w:sz w:val="20"/>
                <w:szCs w:val="20"/>
              </w:rPr>
              <w:t>TI=(sarcoid or sarcoidosis)</w:t>
            </w:r>
          </w:p>
        </w:tc>
      </w:tr>
      <w:tr w:rsidR="00FA366A" w:rsidRPr="002C21B8" w14:paraId="5B02528A" w14:textId="77777777" w:rsidTr="00960A9F">
        <w:trPr>
          <w:trHeight w:val="320"/>
        </w:trPr>
        <w:tc>
          <w:tcPr>
            <w:tcW w:w="704" w:type="dxa"/>
            <w:shd w:val="clear" w:color="auto" w:fill="auto"/>
            <w:vAlign w:val="center"/>
          </w:tcPr>
          <w:p w14:paraId="2E57AA9F" w14:textId="77777777" w:rsidR="00FA366A" w:rsidRPr="002C21B8" w:rsidRDefault="00FA366A" w:rsidP="00212D46">
            <w:pPr>
              <w:spacing w:after="0" w:line="240" w:lineRule="auto"/>
              <w:rPr>
                <w:sz w:val="20"/>
                <w:szCs w:val="20"/>
              </w:rPr>
            </w:pPr>
            <w:r w:rsidRPr="002C21B8">
              <w:rPr>
                <w:sz w:val="20"/>
                <w:szCs w:val="20"/>
              </w:rPr>
              <w:t>96</w:t>
            </w:r>
          </w:p>
        </w:tc>
        <w:tc>
          <w:tcPr>
            <w:tcW w:w="8505" w:type="dxa"/>
            <w:shd w:val="clear" w:color="auto" w:fill="auto"/>
          </w:tcPr>
          <w:p w14:paraId="7439731F" w14:textId="77777777" w:rsidR="00FA366A" w:rsidRPr="002C21B8" w:rsidRDefault="00FA366A" w:rsidP="00212D46">
            <w:pPr>
              <w:spacing w:after="0" w:line="240" w:lineRule="auto"/>
              <w:rPr>
                <w:sz w:val="20"/>
                <w:szCs w:val="20"/>
              </w:rPr>
            </w:pPr>
            <w:r w:rsidRPr="002C21B8">
              <w:rPr>
                <w:sz w:val="20"/>
                <w:szCs w:val="20"/>
              </w:rPr>
              <w:t>TI=(hearing loss or hearing aid* or deaf* or hearing impairment or hearing disorder)</w:t>
            </w:r>
          </w:p>
        </w:tc>
      </w:tr>
      <w:tr w:rsidR="00FA366A" w:rsidRPr="002C21B8" w14:paraId="752D55A8" w14:textId="77777777" w:rsidTr="00960A9F">
        <w:trPr>
          <w:trHeight w:val="320"/>
        </w:trPr>
        <w:tc>
          <w:tcPr>
            <w:tcW w:w="704" w:type="dxa"/>
            <w:shd w:val="clear" w:color="auto" w:fill="auto"/>
            <w:vAlign w:val="center"/>
          </w:tcPr>
          <w:p w14:paraId="03254FBA" w14:textId="77777777" w:rsidR="00FA366A" w:rsidRPr="002C21B8" w:rsidRDefault="00FA366A" w:rsidP="00212D46">
            <w:pPr>
              <w:spacing w:after="0" w:line="240" w:lineRule="auto"/>
              <w:rPr>
                <w:sz w:val="20"/>
                <w:szCs w:val="20"/>
              </w:rPr>
            </w:pPr>
            <w:r w:rsidRPr="002C21B8">
              <w:rPr>
                <w:sz w:val="20"/>
                <w:szCs w:val="20"/>
              </w:rPr>
              <w:t>97</w:t>
            </w:r>
          </w:p>
        </w:tc>
        <w:tc>
          <w:tcPr>
            <w:tcW w:w="8505" w:type="dxa"/>
            <w:shd w:val="clear" w:color="auto" w:fill="auto"/>
          </w:tcPr>
          <w:p w14:paraId="49705302" w14:textId="77777777" w:rsidR="00FA366A" w:rsidRPr="002C21B8" w:rsidRDefault="00FA366A" w:rsidP="00212D46">
            <w:pPr>
              <w:spacing w:after="0" w:line="240" w:lineRule="auto"/>
              <w:rPr>
                <w:sz w:val="20"/>
                <w:szCs w:val="20"/>
              </w:rPr>
            </w:pPr>
            <w:r w:rsidRPr="002C21B8">
              <w:rPr>
                <w:sz w:val="20"/>
                <w:szCs w:val="20"/>
              </w:rPr>
              <w:t>TI=(visual impairment or visually impaired or visual disorder or vision impairment)</w:t>
            </w:r>
          </w:p>
        </w:tc>
      </w:tr>
      <w:tr w:rsidR="00FA366A" w:rsidRPr="002C21B8" w14:paraId="61D1B9A2" w14:textId="77777777" w:rsidTr="00960A9F">
        <w:trPr>
          <w:trHeight w:val="320"/>
        </w:trPr>
        <w:tc>
          <w:tcPr>
            <w:tcW w:w="704" w:type="dxa"/>
            <w:shd w:val="clear" w:color="auto" w:fill="auto"/>
            <w:vAlign w:val="center"/>
          </w:tcPr>
          <w:p w14:paraId="673C0E62" w14:textId="77777777" w:rsidR="00FA366A" w:rsidRPr="002C21B8" w:rsidRDefault="00FA366A" w:rsidP="00212D46">
            <w:pPr>
              <w:spacing w:after="0" w:line="240" w:lineRule="auto"/>
              <w:rPr>
                <w:sz w:val="20"/>
                <w:szCs w:val="20"/>
              </w:rPr>
            </w:pPr>
            <w:r w:rsidRPr="002C21B8">
              <w:rPr>
                <w:sz w:val="20"/>
                <w:szCs w:val="20"/>
              </w:rPr>
              <w:t>98</w:t>
            </w:r>
          </w:p>
        </w:tc>
        <w:tc>
          <w:tcPr>
            <w:tcW w:w="8505" w:type="dxa"/>
            <w:shd w:val="clear" w:color="auto" w:fill="auto"/>
          </w:tcPr>
          <w:p w14:paraId="0600A54A" w14:textId="77777777" w:rsidR="00FA366A" w:rsidRPr="002C21B8" w:rsidRDefault="00FA366A" w:rsidP="00212D46">
            <w:pPr>
              <w:spacing w:after="0" w:line="240" w:lineRule="auto"/>
              <w:rPr>
                <w:sz w:val="20"/>
                <w:szCs w:val="20"/>
              </w:rPr>
            </w:pPr>
            <w:r w:rsidRPr="002C21B8">
              <w:rPr>
                <w:sz w:val="20"/>
                <w:szCs w:val="20"/>
              </w:rPr>
              <w:t>TI=(((h?emoglobin s disease or hbs disease or sickling disorder) and h?emoglobin s) or ((sickle cell NEXT (disease* or an?emia or disorder*)) or SCD))</w:t>
            </w:r>
          </w:p>
        </w:tc>
      </w:tr>
      <w:tr w:rsidR="00FA366A" w:rsidRPr="002C21B8" w14:paraId="0A9E8FBD" w14:textId="77777777" w:rsidTr="00960A9F">
        <w:trPr>
          <w:trHeight w:val="320"/>
        </w:trPr>
        <w:tc>
          <w:tcPr>
            <w:tcW w:w="704" w:type="dxa"/>
            <w:shd w:val="clear" w:color="auto" w:fill="auto"/>
            <w:vAlign w:val="center"/>
          </w:tcPr>
          <w:p w14:paraId="45CB6D11" w14:textId="77777777" w:rsidR="00FA366A" w:rsidRPr="002C21B8" w:rsidRDefault="00FA366A" w:rsidP="00212D46">
            <w:pPr>
              <w:spacing w:after="0" w:line="240" w:lineRule="auto"/>
              <w:rPr>
                <w:sz w:val="20"/>
                <w:szCs w:val="20"/>
              </w:rPr>
            </w:pPr>
            <w:r w:rsidRPr="002C21B8">
              <w:rPr>
                <w:sz w:val="20"/>
                <w:szCs w:val="20"/>
              </w:rPr>
              <w:t>99</w:t>
            </w:r>
          </w:p>
        </w:tc>
        <w:tc>
          <w:tcPr>
            <w:tcW w:w="8505" w:type="dxa"/>
            <w:shd w:val="clear" w:color="auto" w:fill="auto"/>
          </w:tcPr>
          <w:p w14:paraId="282410A0" w14:textId="77777777" w:rsidR="00FA366A" w:rsidRPr="002C21B8" w:rsidRDefault="00FA366A" w:rsidP="00212D46">
            <w:pPr>
              <w:spacing w:after="0" w:line="240" w:lineRule="auto"/>
              <w:rPr>
                <w:sz w:val="20"/>
                <w:szCs w:val="20"/>
              </w:rPr>
            </w:pPr>
            <w:r w:rsidRPr="002C21B8">
              <w:rPr>
                <w:sz w:val="20"/>
                <w:szCs w:val="20"/>
              </w:rPr>
              <w:t>TI=(dyssomnia or sleep disorder*)</w:t>
            </w:r>
          </w:p>
        </w:tc>
      </w:tr>
      <w:tr w:rsidR="00FA366A" w:rsidRPr="002C21B8" w14:paraId="3977D0C1" w14:textId="77777777" w:rsidTr="00960A9F">
        <w:trPr>
          <w:trHeight w:val="320"/>
        </w:trPr>
        <w:tc>
          <w:tcPr>
            <w:tcW w:w="704" w:type="dxa"/>
            <w:shd w:val="clear" w:color="auto" w:fill="auto"/>
            <w:vAlign w:val="center"/>
          </w:tcPr>
          <w:p w14:paraId="7FFCEF51" w14:textId="77777777" w:rsidR="00FA366A" w:rsidRPr="002C21B8" w:rsidRDefault="00FA366A" w:rsidP="00212D46">
            <w:pPr>
              <w:spacing w:after="0" w:line="240" w:lineRule="auto"/>
              <w:rPr>
                <w:sz w:val="20"/>
                <w:szCs w:val="20"/>
              </w:rPr>
            </w:pPr>
            <w:r w:rsidRPr="002C21B8">
              <w:rPr>
                <w:sz w:val="20"/>
                <w:szCs w:val="20"/>
              </w:rPr>
              <w:t>100</w:t>
            </w:r>
          </w:p>
        </w:tc>
        <w:tc>
          <w:tcPr>
            <w:tcW w:w="8505" w:type="dxa"/>
            <w:shd w:val="clear" w:color="auto" w:fill="auto"/>
          </w:tcPr>
          <w:p w14:paraId="2575F655" w14:textId="77777777" w:rsidR="00FA366A" w:rsidRPr="002C21B8" w:rsidRDefault="00FA366A" w:rsidP="00212D46">
            <w:pPr>
              <w:spacing w:after="0" w:line="240" w:lineRule="auto"/>
              <w:rPr>
                <w:sz w:val="20"/>
                <w:szCs w:val="20"/>
              </w:rPr>
            </w:pPr>
            <w:r w:rsidRPr="002C21B8">
              <w:rPr>
                <w:sz w:val="20"/>
                <w:szCs w:val="20"/>
              </w:rPr>
              <w:t>TI=((communication or learning or consciousness or perceptual or speech or voice or psychomotor) NEXT disorder*)</w:t>
            </w:r>
          </w:p>
        </w:tc>
      </w:tr>
      <w:tr w:rsidR="00FA366A" w:rsidRPr="002C21B8" w14:paraId="514661DE" w14:textId="77777777" w:rsidTr="00960A9F">
        <w:trPr>
          <w:trHeight w:val="320"/>
        </w:trPr>
        <w:tc>
          <w:tcPr>
            <w:tcW w:w="704" w:type="dxa"/>
            <w:shd w:val="clear" w:color="auto" w:fill="auto"/>
            <w:vAlign w:val="center"/>
          </w:tcPr>
          <w:p w14:paraId="44904698" w14:textId="77777777" w:rsidR="00FA366A" w:rsidRPr="002C21B8" w:rsidRDefault="00FA366A" w:rsidP="00212D46">
            <w:pPr>
              <w:spacing w:after="0" w:line="240" w:lineRule="auto"/>
              <w:rPr>
                <w:sz w:val="20"/>
                <w:szCs w:val="20"/>
              </w:rPr>
            </w:pPr>
            <w:r w:rsidRPr="002C21B8">
              <w:rPr>
                <w:sz w:val="20"/>
                <w:szCs w:val="20"/>
              </w:rPr>
              <w:t>101</w:t>
            </w:r>
          </w:p>
        </w:tc>
        <w:tc>
          <w:tcPr>
            <w:tcW w:w="8505" w:type="dxa"/>
            <w:shd w:val="clear" w:color="auto" w:fill="auto"/>
          </w:tcPr>
          <w:p w14:paraId="6DF0FDD2" w14:textId="77777777" w:rsidR="00FA366A" w:rsidRPr="002C21B8" w:rsidRDefault="00FA366A" w:rsidP="00212D46">
            <w:pPr>
              <w:spacing w:after="0" w:line="240" w:lineRule="auto"/>
              <w:rPr>
                <w:sz w:val="20"/>
                <w:szCs w:val="20"/>
                <w:lang w:val="it-IT"/>
              </w:rPr>
            </w:pPr>
            <w:r w:rsidRPr="002C21B8">
              <w:rPr>
                <w:sz w:val="20"/>
                <w:szCs w:val="20"/>
                <w:lang w:val="it-IT"/>
              </w:rPr>
              <w:t>TI=(spina bifida or myelomeningocele)</w:t>
            </w:r>
          </w:p>
        </w:tc>
      </w:tr>
      <w:tr w:rsidR="00FA366A" w:rsidRPr="002C21B8" w14:paraId="3C0F2413" w14:textId="77777777" w:rsidTr="00960A9F">
        <w:trPr>
          <w:trHeight w:val="320"/>
        </w:trPr>
        <w:tc>
          <w:tcPr>
            <w:tcW w:w="704" w:type="dxa"/>
            <w:shd w:val="clear" w:color="auto" w:fill="auto"/>
            <w:vAlign w:val="center"/>
          </w:tcPr>
          <w:p w14:paraId="14254FCD" w14:textId="77777777" w:rsidR="00FA366A" w:rsidRPr="002C21B8" w:rsidRDefault="00FA366A" w:rsidP="00212D46">
            <w:pPr>
              <w:spacing w:after="0" w:line="240" w:lineRule="auto"/>
              <w:rPr>
                <w:sz w:val="20"/>
                <w:szCs w:val="20"/>
              </w:rPr>
            </w:pPr>
            <w:r w:rsidRPr="002C21B8">
              <w:rPr>
                <w:sz w:val="20"/>
                <w:szCs w:val="20"/>
              </w:rPr>
              <w:t>102</w:t>
            </w:r>
          </w:p>
        </w:tc>
        <w:tc>
          <w:tcPr>
            <w:tcW w:w="8505" w:type="dxa"/>
            <w:shd w:val="clear" w:color="auto" w:fill="auto"/>
          </w:tcPr>
          <w:p w14:paraId="76733041" w14:textId="77777777" w:rsidR="00FA366A" w:rsidRPr="002C21B8" w:rsidRDefault="00FA366A" w:rsidP="00212D46">
            <w:pPr>
              <w:spacing w:after="0" w:line="240" w:lineRule="auto"/>
              <w:rPr>
                <w:sz w:val="20"/>
                <w:szCs w:val="20"/>
              </w:rPr>
            </w:pPr>
            <w:r w:rsidRPr="002C21B8">
              <w:rPr>
                <w:sz w:val="20"/>
                <w:szCs w:val="20"/>
              </w:rPr>
              <w:t>TI=((spine or spinal or vertebr* or neck or cervical or lumbar or sacral or thoracic or cord or whiplash) NEXT2 (injur* or damag* or trauma* or fracture* or compress* or contus* or lacerat* or transect* or lesion*))</w:t>
            </w:r>
          </w:p>
        </w:tc>
      </w:tr>
      <w:tr w:rsidR="00FA366A" w:rsidRPr="002C21B8" w14:paraId="2F0D1837" w14:textId="77777777" w:rsidTr="00960A9F">
        <w:trPr>
          <w:trHeight w:val="320"/>
        </w:trPr>
        <w:tc>
          <w:tcPr>
            <w:tcW w:w="704" w:type="dxa"/>
            <w:shd w:val="clear" w:color="auto" w:fill="auto"/>
            <w:vAlign w:val="center"/>
          </w:tcPr>
          <w:p w14:paraId="2BE7CD7D" w14:textId="77777777" w:rsidR="00FA366A" w:rsidRPr="002C21B8" w:rsidRDefault="00FA366A" w:rsidP="00212D46">
            <w:pPr>
              <w:spacing w:after="0" w:line="240" w:lineRule="auto"/>
              <w:rPr>
                <w:sz w:val="20"/>
                <w:szCs w:val="20"/>
              </w:rPr>
            </w:pPr>
            <w:r w:rsidRPr="002C21B8">
              <w:rPr>
                <w:sz w:val="20"/>
                <w:szCs w:val="20"/>
              </w:rPr>
              <w:t>103</w:t>
            </w:r>
          </w:p>
        </w:tc>
        <w:tc>
          <w:tcPr>
            <w:tcW w:w="8505" w:type="dxa"/>
            <w:shd w:val="clear" w:color="auto" w:fill="auto"/>
          </w:tcPr>
          <w:p w14:paraId="76C2ED0E" w14:textId="77777777" w:rsidR="00FA366A" w:rsidRPr="002C21B8" w:rsidRDefault="00FA366A" w:rsidP="00212D46">
            <w:pPr>
              <w:spacing w:after="0" w:line="240" w:lineRule="auto"/>
              <w:rPr>
                <w:sz w:val="20"/>
                <w:szCs w:val="20"/>
              </w:rPr>
            </w:pPr>
            <w:r w:rsidRPr="002C21B8">
              <w:rPr>
                <w:sz w:val="20"/>
                <w:szCs w:val="20"/>
              </w:rPr>
              <w:t>TI=(tuberculosis or TB)</w:t>
            </w:r>
          </w:p>
        </w:tc>
      </w:tr>
      <w:tr w:rsidR="00FA366A" w:rsidRPr="002C21B8" w14:paraId="6E406A5F" w14:textId="77777777" w:rsidTr="00960A9F">
        <w:trPr>
          <w:trHeight w:val="320"/>
        </w:trPr>
        <w:tc>
          <w:tcPr>
            <w:tcW w:w="704" w:type="dxa"/>
            <w:shd w:val="clear" w:color="auto" w:fill="auto"/>
            <w:vAlign w:val="center"/>
          </w:tcPr>
          <w:p w14:paraId="2466BFA3" w14:textId="77777777" w:rsidR="00FA366A" w:rsidRPr="002C21B8" w:rsidRDefault="00FA366A" w:rsidP="00212D46">
            <w:pPr>
              <w:spacing w:after="0" w:line="240" w:lineRule="auto"/>
              <w:rPr>
                <w:sz w:val="20"/>
                <w:szCs w:val="20"/>
              </w:rPr>
            </w:pPr>
            <w:r w:rsidRPr="002C21B8">
              <w:rPr>
                <w:sz w:val="20"/>
                <w:szCs w:val="20"/>
              </w:rPr>
              <w:t>104</w:t>
            </w:r>
          </w:p>
        </w:tc>
        <w:tc>
          <w:tcPr>
            <w:tcW w:w="8505" w:type="dxa"/>
            <w:shd w:val="clear" w:color="auto" w:fill="auto"/>
          </w:tcPr>
          <w:p w14:paraId="14D298E6" w14:textId="77777777" w:rsidR="00FA366A" w:rsidRPr="002C21B8" w:rsidRDefault="00FA366A" w:rsidP="00212D46">
            <w:pPr>
              <w:spacing w:after="0" w:line="240" w:lineRule="auto"/>
              <w:rPr>
                <w:sz w:val="20"/>
                <w:szCs w:val="20"/>
              </w:rPr>
            </w:pPr>
            <w:r w:rsidRPr="002C21B8">
              <w:rPr>
                <w:sz w:val="20"/>
                <w:szCs w:val="20"/>
              </w:rPr>
              <w:t>TI=(bladder* NEXT3 (overactiv* or incontin* or continence))</w:t>
            </w:r>
          </w:p>
        </w:tc>
      </w:tr>
      <w:tr w:rsidR="00FA366A" w:rsidRPr="002C21B8" w14:paraId="0D9C1EA2" w14:textId="77777777" w:rsidTr="00960A9F">
        <w:trPr>
          <w:trHeight w:val="320"/>
        </w:trPr>
        <w:tc>
          <w:tcPr>
            <w:tcW w:w="704" w:type="dxa"/>
            <w:shd w:val="clear" w:color="auto" w:fill="auto"/>
            <w:vAlign w:val="center"/>
          </w:tcPr>
          <w:p w14:paraId="383DAEE8" w14:textId="77777777" w:rsidR="00FA366A" w:rsidRPr="002C21B8" w:rsidRDefault="00FA366A" w:rsidP="00212D46">
            <w:pPr>
              <w:spacing w:after="0" w:line="240" w:lineRule="auto"/>
              <w:rPr>
                <w:sz w:val="20"/>
                <w:szCs w:val="20"/>
              </w:rPr>
            </w:pPr>
            <w:r w:rsidRPr="002C21B8">
              <w:rPr>
                <w:sz w:val="20"/>
                <w:szCs w:val="20"/>
              </w:rPr>
              <w:t>105</w:t>
            </w:r>
          </w:p>
        </w:tc>
        <w:tc>
          <w:tcPr>
            <w:tcW w:w="8505" w:type="dxa"/>
            <w:shd w:val="clear" w:color="auto" w:fill="auto"/>
          </w:tcPr>
          <w:p w14:paraId="316BBF71" w14:textId="77777777" w:rsidR="00FA366A" w:rsidRPr="002C21B8" w:rsidRDefault="00FA366A" w:rsidP="00212D46">
            <w:pPr>
              <w:spacing w:after="0" w:line="240" w:lineRule="auto"/>
              <w:rPr>
                <w:sz w:val="20"/>
                <w:szCs w:val="20"/>
              </w:rPr>
            </w:pPr>
            <w:r w:rsidRPr="002C21B8">
              <w:rPr>
                <w:sz w:val="20"/>
                <w:szCs w:val="20"/>
              </w:rPr>
              <w:t>TI=((stress* or mixed or urg* or urin* or overflow*) NEXT3 (incontinen* or continence))</w:t>
            </w:r>
          </w:p>
        </w:tc>
      </w:tr>
      <w:tr w:rsidR="00FA366A" w:rsidRPr="002C21B8" w14:paraId="31ACC32A" w14:textId="77777777" w:rsidTr="00960A9F">
        <w:trPr>
          <w:trHeight w:val="320"/>
        </w:trPr>
        <w:tc>
          <w:tcPr>
            <w:tcW w:w="704" w:type="dxa"/>
            <w:shd w:val="clear" w:color="auto" w:fill="auto"/>
            <w:vAlign w:val="center"/>
          </w:tcPr>
          <w:p w14:paraId="394FD264" w14:textId="77777777" w:rsidR="00FA366A" w:rsidRPr="002C21B8" w:rsidRDefault="00FA366A" w:rsidP="00212D46">
            <w:pPr>
              <w:spacing w:after="0" w:line="240" w:lineRule="auto"/>
              <w:rPr>
                <w:sz w:val="20"/>
                <w:szCs w:val="20"/>
              </w:rPr>
            </w:pPr>
            <w:r w:rsidRPr="002C21B8">
              <w:rPr>
                <w:sz w:val="20"/>
                <w:szCs w:val="20"/>
              </w:rPr>
              <w:t>106</w:t>
            </w:r>
          </w:p>
        </w:tc>
        <w:tc>
          <w:tcPr>
            <w:tcW w:w="8505" w:type="dxa"/>
            <w:shd w:val="clear" w:color="auto" w:fill="auto"/>
          </w:tcPr>
          <w:p w14:paraId="4647203E" w14:textId="77777777" w:rsidR="00FA366A" w:rsidRPr="002C21B8" w:rsidRDefault="00FA366A" w:rsidP="00212D46">
            <w:pPr>
              <w:spacing w:after="0" w:line="240" w:lineRule="auto"/>
              <w:rPr>
                <w:sz w:val="20"/>
                <w:szCs w:val="20"/>
              </w:rPr>
            </w:pPr>
            <w:r w:rsidRPr="002C21B8">
              <w:rPr>
                <w:sz w:val="20"/>
                <w:szCs w:val="20"/>
              </w:rPr>
              <w:t>TI=urticaria*</w:t>
            </w:r>
          </w:p>
        </w:tc>
      </w:tr>
      <w:tr w:rsidR="00FA366A" w:rsidRPr="002C21B8" w14:paraId="47D7B62C" w14:textId="77777777" w:rsidTr="00960A9F">
        <w:trPr>
          <w:trHeight w:val="320"/>
        </w:trPr>
        <w:tc>
          <w:tcPr>
            <w:tcW w:w="704" w:type="dxa"/>
            <w:shd w:val="clear" w:color="auto" w:fill="auto"/>
            <w:vAlign w:val="center"/>
          </w:tcPr>
          <w:p w14:paraId="4BC7F787" w14:textId="77777777" w:rsidR="00FA366A" w:rsidRPr="002C21B8" w:rsidRDefault="00FA366A" w:rsidP="00212D46">
            <w:pPr>
              <w:spacing w:after="0" w:line="240" w:lineRule="auto"/>
              <w:rPr>
                <w:sz w:val="20"/>
                <w:szCs w:val="20"/>
              </w:rPr>
            </w:pPr>
            <w:r w:rsidRPr="002C21B8">
              <w:rPr>
                <w:sz w:val="20"/>
                <w:szCs w:val="20"/>
              </w:rPr>
              <w:t>107</w:t>
            </w:r>
          </w:p>
        </w:tc>
        <w:tc>
          <w:tcPr>
            <w:tcW w:w="8505" w:type="dxa"/>
            <w:shd w:val="clear" w:color="auto" w:fill="auto"/>
          </w:tcPr>
          <w:p w14:paraId="516FC4A4" w14:textId="77777777" w:rsidR="00FA366A" w:rsidRPr="002C21B8" w:rsidRDefault="00FA366A" w:rsidP="00212D46">
            <w:pPr>
              <w:spacing w:after="0" w:line="240" w:lineRule="auto"/>
              <w:rPr>
                <w:sz w:val="20"/>
                <w:szCs w:val="20"/>
              </w:rPr>
            </w:pPr>
            <w:r w:rsidRPr="002C21B8">
              <w:rPr>
                <w:sz w:val="20"/>
                <w:szCs w:val="20"/>
              </w:rPr>
              <w:t>TI=((chronic* or long-term) NEXT (diseas* or ill* or disorder* or condition*))</w:t>
            </w:r>
          </w:p>
        </w:tc>
      </w:tr>
      <w:tr w:rsidR="00FA366A" w:rsidRPr="002C21B8" w14:paraId="5442C2DB" w14:textId="77777777" w:rsidTr="00960A9F">
        <w:trPr>
          <w:trHeight w:val="320"/>
        </w:trPr>
        <w:tc>
          <w:tcPr>
            <w:tcW w:w="704" w:type="dxa"/>
            <w:shd w:val="clear" w:color="auto" w:fill="auto"/>
            <w:vAlign w:val="center"/>
          </w:tcPr>
          <w:p w14:paraId="397493B8" w14:textId="77777777" w:rsidR="00FA366A" w:rsidRPr="002C21B8" w:rsidRDefault="00FA366A" w:rsidP="00212D46">
            <w:pPr>
              <w:spacing w:after="0" w:line="240" w:lineRule="auto"/>
              <w:rPr>
                <w:sz w:val="20"/>
                <w:szCs w:val="20"/>
              </w:rPr>
            </w:pPr>
            <w:r w:rsidRPr="002C21B8">
              <w:rPr>
                <w:sz w:val="20"/>
                <w:szCs w:val="20"/>
              </w:rPr>
              <w:t>108</w:t>
            </w:r>
          </w:p>
        </w:tc>
        <w:tc>
          <w:tcPr>
            <w:tcW w:w="8505" w:type="dxa"/>
            <w:shd w:val="clear" w:color="auto" w:fill="auto"/>
          </w:tcPr>
          <w:p w14:paraId="4853DC99" w14:textId="77777777" w:rsidR="00FA366A" w:rsidRPr="002C21B8" w:rsidRDefault="00FA366A" w:rsidP="00212D46">
            <w:pPr>
              <w:spacing w:after="0" w:line="240" w:lineRule="auto"/>
              <w:rPr>
                <w:sz w:val="20"/>
                <w:szCs w:val="20"/>
              </w:rPr>
            </w:pPr>
            <w:r w:rsidRPr="002C21B8">
              <w:rPr>
                <w:sz w:val="20"/>
                <w:szCs w:val="20"/>
              </w:rPr>
              <w:t>#107 OR #106 OR #105 OR #104 OR #103 OR #102 OR #101 OR #100 OR #99 OR #98 OR #97 OR #96 OR #95 OR #94 OR #93 OR #92 OR #91 OR #90 OR #89 OR #88 OR #87 OR #86 OR #85 OR #84 OR #83 OR #82 OR #81 OR #80 OR #79 OR #78 OR #77 OR #76 OR #75 OR #74 OR #73 OR #72 OR #71 OR #70 OR #69 OR #68 OR #67 OR #66 OR #65 OR #64 OR #63 OR #62 OR #61 OR #60 OR #59 OR #58 OR #57 OR #56 OR #55 OR #54 OR #53 OR #52 OR #51 OR #50 OR #49 OR #48 OR #47 OR #46 OR #45 OR #44 OR #43 OR #42 OR #41 OR #40 OR #39 OR #38 OR #37 OR #36 OR #35 OR #34 OR #33 OR #32 OR #31 OR #30 OR #29 OR #28 OR #27 OR #26 OR #25 OR #24 OR #23 OR #22 OR #21 OR #20 OR #19 OR #18 OR #17 OR #16 OR #15 OR #14 OR #13 OR #12 OR #11 OR #10 OR #9 OR #8 OR #7 OR #6 OR #5 OR #4 OR #3 OR #2 OR #1</w:t>
            </w:r>
          </w:p>
        </w:tc>
      </w:tr>
      <w:tr w:rsidR="00FA366A" w:rsidRPr="002C21B8" w14:paraId="3113A67B" w14:textId="77777777" w:rsidTr="00960A9F">
        <w:trPr>
          <w:trHeight w:val="320"/>
        </w:trPr>
        <w:tc>
          <w:tcPr>
            <w:tcW w:w="704" w:type="dxa"/>
            <w:shd w:val="clear" w:color="auto" w:fill="auto"/>
            <w:vAlign w:val="center"/>
          </w:tcPr>
          <w:p w14:paraId="203A2D44" w14:textId="77777777" w:rsidR="00FA366A" w:rsidRPr="002C21B8" w:rsidRDefault="00FA366A" w:rsidP="00212D46">
            <w:pPr>
              <w:spacing w:after="0" w:line="240" w:lineRule="auto"/>
              <w:rPr>
                <w:sz w:val="20"/>
                <w:szCs w:val="20"/>
              </w:rPr>
            </w:pPr>
            <w:r w:rsidRPr="002C21B8">
              <w:rPr>
                <w:sz w:val="20"/>
                <w:szCs w:val="20"/>
              </w:rPr>
              <w:t>109</w:t>
            </w:r>
          </w:p>
        </w:tc>
        <w:tc>
          <w:tcPr>
            <w:tcW w:w="8505" w:type="dxa"/>
            <w:shd w:val="clear" w:color="auto" w:fill="auto"/>
          </w:tcPr>
          <w:p w14:paraId="72E75E25" w14:textId="77777777" w:rsidR="00FA366A" w:rsidRPr="002C21B8" w:rsidRDefault="00FA366A" w:rsidP="00212D46">
            <w:pPr>
              <w:spacing w:after="0" w:line="240" w:lineRule="auto"/>
              <w:rPr>
                <w:sz w:val="20"/>
                <w:szCs w:val="20"/>
              </w:rPr>
            </w:pPr>
            <w:r w:rsidRPr="002C21B8">
              <w:rPr>
                <w:sz w:val="20"/>
                <w:szCs w:val="20"/>
              </w:rPr>
              <w:t>TS=(Prescri* or Prescribing Behavio?r or Prescrib* Decision* or Prescribing Practice*)</w:t>
            </w:r>
          </w:p>
        </w:tc>
      </w:tr>
      <w:tr w:rsidR="00FA366A" w:rsidRPr="002C21B8" w14:paraId="69ECED9C" w14:textId="77777777" w:rsidTr="00960A9F">
        <w:trPr>
          <w:trHeight w:val="320"/>
        </w:trPr>
        <w:tc>
          <w:tcPr>
            <w:tcW w:w="704" w:type="dxa"/>
            <w:shd w:val="clear" w:color="auto" w:fill="auto"/>
            <w:vAlign w:val="center"/>
          </w:tcPr>
          <w:p w14:paraId="59E68BE2" w14:textId="77777777" w:rsidR="00FA366A" w:rsidRPr="002C21B8" w:rsidRDefault="00FA366A" w:rsidP="00212D46">
            <w:pPr>
              <w:spacing w:after="0" w:line="240" w:lineRule="auto"/>
              <w:rPr>
                <w:sz w:val="20"/>
                <w:szCs w:val="20"/>
              </w:rPr>
            </w:pPr>
            <w:r w:rsidRPr="002C21B8">
              <w:rPr>
                <w:sz w:val="20"/>
                <w:szCs w:val="20"/>
              </w:rPr>
              <w:t>110</w:t>
            </w:r>
          </w:p>
        </w:tc>
        <w:tc>
          <w:tcPr>
            <w:tcW w:w="8505" w:type="dxa"/>
            <w:shd w:val="clear" w:color="auto" w:fill="auto"/>
          </w:tcPr>
          <w:p w14:paraId="7C9136B6" w14:textId="77777777" w:rsidR="00FA366A" w:rsidRPr="002C21B8" w:rsidRDefault="00FA366A" w:rsidP="00212D46">
            <w:pPr>
              <w:spacing w:after="0" w:line="240" w:lineRule="auto"/>
              <w:rPr>
                <w:sz w:val="20"/>
                <w:szCs w:val="20"/>
              </w:rPr>
            </w:pPr>
            <w:r w:rsidRPr="002C21B8">
              <w:rPr>
                <w:sz w:val="20"/>
                <w:szCs w:val="20"/>
              </w:rPr>
              <w:t>TI=(Initiat* or Start* or Commenc* or Induc*)</w:t>
            </w:r>
          </w:p>
        </w:tc>
      </w:tr>
      <w:tr w:rsidR="00FA366A" w:rsidRPr="002C21B8" w14:paraId="0901043D" w14:textId="77777777" w:rsidTr="00960A9F">
        <w:trPr>
          <w:trHeight w:val="320"/>
        </w:trPr>
        <w:tc>
          <w:tcPr>
            <w:tcW w:w="704" w:type="dxa"/>
            <w:shd w:val="clear" w:color="auto" w:fill="auto"/>
            <w:vAlign w:val="center"/>
          </w:tcPr>
          <w:p w14:paraId="41645F80" w14:textId="77777777" w:rsidR="00FA366A" w:rsidRPr="002C21B8" w:rsidRDefault="00FA366A" w:rsidP="00212D46">
            <w:pPr>
              <w:spacing w:after="0" w:line="240" w:lineRule="auto"/>
              <w:rPr>
                <w:sz w:val="20"/>
                <w:szCs w:val="20"/>
              </w:rPr>
            </w:pPr>
            <w:r w:rsidRPr="002C21B8">
              <w:rPr>
                <w:sz w:val="20"/>
                <w:szCs w:val="20"/>
              </w:rPr>
              <w:t>111</w:t>
            </w:r>
          </w:p>
        </w:tc>
        <w:tc>
          <w:tcPr>
            <w:tcW w:w="8505" w:type="dxa"/>
            <w:shd w:val="clear" w:color="auto" w:fill="auto"/>
          </w:tcPr>
          <w:p w14:paraId="42B08592" w14:textId="77777777" w:rsidR="00FA366A" w:rsidRPr="002C21B8" w:rsidRDefault="00FA366A" w:rsidP="00212D46">
            <w:pPr>
              <w:spacing w:after="0" w:line="240" w:lineRule="auto"/>
              <w:rPr>
                <w:sz w:val="20"/>
                <w:szCs w:val="20"/>
              </w:rPr>
            </w:pPr>
            <w:r w:rsidRPr="002C21B8">
              <w:rPr>
                <w:sz w:val="20"/>
                <w:szCs w:val="20"/>
              </w:rPr>
              <w:t>#109 OR #110</w:t>
            </w:r>
          </w:p>
        </w:tc>
      </w:tr>
      <w:tr w:rsidR="00FA366A" w:rsidRPr="002C21B8" w14:paraId="5A854A50" w14:textId="77777777" w:rsidTr="00960A9F">
        <w:trPr>
          <w:trHeight w:val="320"/>
        </w:trPr>
        <w:tc>
          <w:tcPr>
            <w:tcW w:w="704" w:type="dxa"/>
            <w:shd w:val="clear" w:color="auto" w:fill="auto"/>
            <w:vAlign w:val="center"/>
          </w:tcPr>
          <w:p w14:paraId="070C559B" w14:textId="77777777" w:rsidR="00FA366A" w:rsidRPr="002C21B8" w:rsidRDefault="00FA366A" w:rsidP="00212D46">
            <w:pPr>
              <w:spacing w:after="0" w:line="240" w:lineRule="auto"/>
              <w:rPr>
                <w:sz w:val="20"/>
                <w:szCs w:val="20"/>
              </w:rPr>
            </w:pPr>
            <w:r w:rsidRPr="002C21B8">
              <w:rPr>
                <w:sz w:val="20"/>
                <w:szCs w:val="20"/>
              </w:rPr>
              <w:t>112</w:t>
            </w:r>
          </w:p>
        </w:tc>
        <w:tc>
          <w:tcPr>
            <w:tcW w:w="8505" w:type="dxa"/>
            <w:shd w:val="clear" w:color="auto" w:fill="auto"/>
          </w:tcPr>
          <w:p w14:paraId="7F3CCCAF" w14:textId="77777777" w:rsidR="00FA366A" w:rsidRPr="002C21B8" w:rsidRDefault="00FA366A" w:rsidP="00212D46">
            <w:pPr>
              <w:spacing w:after="0" w:line="240" w:lineRule="auto"/>
              <w:rPr>
                <w:sz w:val="20"/>
                <w:szCs w:val="20"/>
              </w:rPr>
            </w:pPr>
            <w:r w:rsidRPr="002C21B8">
              <w:rPr>
                <w:sz w:val="20"/>
                <w:szCs w:val="20"/>
              </w:rPr>
              <w:t>TI=(Factor* or Determinant* or Behavio?r* or Practice* or Preference* or Pattern* or Decision* or Decid* or Influenc* or Impact* or Judg* or Barrier* or Facilit* or Help or Hinder or Compl* or Accept or Conform* or Approv* or Adher* or Strateg*)</w:t>
            </w:r>
          </w:p>
        </w:tc>
      </w:tr>
      <w:tr w:rsidR="00FA366A" w:rsidRPr="002C21B8" w14:paraId="54347176" w14:textId="77777777" w:rsidTr="00960A9F">
        <w:trPr>
          <w:trHeight w:val="320"/>
        </w:trPr>
        <w:tc>
          <w:tcPr>
            <w:tcW w:w="704" w:type="dxa"/>
            <w:shd w:val="clear" w:color="auto" w:fill="auto"/>
            <w:vAlign w:val="center"/>
          </w:tcPr>
          <w:p w14:paraId="4680B8C0" w14:textId="77777777" w:rsidR="00FA366A" w:rsidRPr="002C21B8" w:rsidRDefault="00FA366A" w:rsidP="00212D46">
            <w:pPr>
              <w:spacing w:after="0" w:line="240" w:lineRule="auto"/>
              <w:rPr>
                <w:sz w:val="20"/>
                <w:szCs w:val="20"/>
              </w:rPr>
            </w:pPr>
            <w:r w:rsidRPr="002C21B8">
              <w:rPr>
                <w:sz w:val="20"/>
                <w:szCs w:val="20"/>
              </w:rPr>
              <w:t>113</w:t>
            </w:r>
          </w:p>
        </w:tc>
        <w:tc>
          <w:tcPr>
            <w:tcW w:w="8505" w:type="dxa"/>
            <w:shd w:val="clear" w:color="auto" w:fill="auto"/>
          </w:tcPr>
          <w:p w14:paraId="533C87D9" w14:textId="77777777" w:rsidR="00FA366A" w:rsidRPr="002C21B8" w:rsidRDefault="00FA366A" w:rsidP="00212D46">
            <w:pPr>
              <w:spacing w:after="0" w:line="240" w:lineRule="auto"/>
              <w:rPr>
                <w:sz w:val="20"/>
                <w:szCs w:val="20"/>
              </w:rPr>
            </w:pPr>
            <w:r w:rsidRPr="002C21B8">
              <w:rPr>
                <w:sz w:val="20"/>
                <w:szCs w:val="20"/>
              </w:rPr>
              <w:t>TS=(Medline or systematic review or meta-analysis)</w:t>
            </w:r>
          </w:p>
        </w:tc>
      </w:tr>
      <w:tr w:rsidR="00FA366A" w:rsidRPr="002C21B8" w14:paraId="6D86411F" w14:textId="77777777" w:rsidTr="00960A9F">
        <w:trPr>
          <w:trHeight w:val="320"/>
        </w:trPr>
        <w:tc>
          <w:tcPr>
            <w:tcW w:w="704" w:type="dxa"/>
            <w:shd w:val="clear" w:color="auto" w:fill="auto"/>
            <w:vAlign w:val="center"/>
          </w:tcPr>
          <w:p w14:paraId="7AF1AFB4" w14:textId="77777777" w:rsidR="00FA366A" w:rsidRPr="002C21B8" w:rsidRDefault="00FA366A" w:rsidP="00212D46">
            <w:pPr>
              <w:spacing w:after="0" w:line="240" w:lineRule="auto"/>
              <w:rPr>
                <w:sz w:val="20"/>
                <w:szCs w:val="20"/>
              </w:rPr>
            </w:pPr>
            <w:r w:rsidRPr="002C21B8">
              <w:rPr>
                <w:sz w:val="20"/>
                <w:szCs w:val="20"/>
              </w:rPr>
              <w:t>114</w:t>
            </w:r>
          </w:p>
        </w:tc>
        <w:tc>
          <w:tcPr>
            <w:tcW w:w="8505" w:type="dxa"/>
            <w:shd w:val="clear" w:color="auto" w:fill="auto"/>
          </w:tcPr>
          <w:p w14:paraId="24EE858D" w14:textId="77777777" w:rsidR="00FA366A" w:rsidRPr="002C21B8" w:rsidRDefault="00FA366A" w:rsidP="00212D46">
            <w:pPr>
              <w:spacing w:after="0" w:line="240" w:lineRule="auto"/>
              <w:rPr>
                <w:sz w:val="20"/>
                <w:szCs w:val="20"/>
              </w:rPr>
            </w:pPr>
            <w:r w:rsidRPr="002C21B8">
              <w:rPr>
                <w:sz w:val="20"/>
                <w:szCs w:val="20"/>
              </w:rPr>
              <w:t>#108 AND #111 AND #112 AND #113</w:t>
            </w:r>
          </w:p>
        </w:tc>
      </w:tr>
    </w:tbl>
    <w:p w14:paraId="527D265D" w14:textId="77777777" w:rsidR="00FA366A" w:rsidRPr="002C21B8" w:rsidRDefault="00FA366A" w:rsidP="003374F4"/>
    <w:p w14:paraId="2635B167" w14:textId="20822F84"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Cochrane Library search strategy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8505"/>
      </w:tblGrid>
      <w:tr w:rsidR="00FA366A" w:rsidRPr="002C21B8" w14:paraId="5B19F78D" w14:textId="77777777" w:rsidTr="00960A9F">
        <w:trPr>
          <w:trHeight w:val="320"/>
        </w:trPr>
        <w:tc>
          <w:tcPr>
            <w:tcW w:w="704" w:type="dxa"/>
            <w:shd w:val="clear" w:color="auto" w:fill="auto"/>
            <w:vAlign w:val="center"/>
          </w:tcPr>
          <w:p w14:paraId="74E37A4E" w14:textId="77777777" w:rsidR="00FA366A" w:rsidRPr="002C21B8" w:rsidRDefault="00FA366A" w:rsidP="00212D46">
            <w:pPr>
              <w:spacing w:after="0" w:line="240" w:lineRule="auto"/>
              <w:rPr>
                <w:sz w:val="20"/>
                <w:szCs w:val="20"/>
              </w:rPr>
            </w:pPr>
            <w:r w:rsidRPr="002C21B8">
              <w:rPr>
                <w:sz w:val="20"/>
                <w:szCs w:val="20"/>
              </w:rPr>
              <w:t>#</w:t>
            </w:r>
          </w:p>
        </w:tc>
        <w:tc>
          <w:tcPr>
            <w:tcW w:w="8505" w:type="dxa"/>
            <w:shd w:val="clear" w:color="auto" w:fill="auto"/>
            <w:vAlign w:val="bottom"/>
          </w:tcPr>
          <w:p w14:paraId="55D803E3" w14:textId="77777777" w:rsidR="00FA366A" w:rsidRPr="002C21B8" w:rsidRDefault="00FA366A" w:rsidP="00212D46">
            <w:pPr>
              <w:spacing w:after="0" w:line="240" w:lineRule="auto"/>
              <w:rPr>
                <w:sz w:val="20"/>
                <w:szCs w:val="20"/>
              </w:rPr>
            </w:pPr>
            <w:r w:rsidRPr="002C21B8">
              <w:rPr>
                <w:sz w:val="20"/>
                <w:szCs w:val="20"/>
              </w:rPr>
              <w:t>Cochrane Library Search Lines (search date: 07/11/2023)</w:t>
            </w:r>
          </w:p>
        </w:tc>
      </w:tr>
      <w:tr w:rsidR="00FA366A" w:rsidRPr="002C21B8" w14:paraId="1F8F5C35" w14:textId="77777777" w:rsidTr="00960A9F">
        <w:trPr>
          <w:trHeight w:val="320"/>
        </w:trPr>
        <w:tc>
          <w:tcPr>
            <w:tcW w:w="704" w:type="dxa"/>
            <w:shd w:val="clear" w:color="auto" w:fill="auto"/>
            <w:vAlign w:val="center"/>
          </w:tcPr>
          <w:p w14:paraId="0E3ABF22" w14:textId="77777777" w:rsidR="00FA366A" w:rsidRPr="002C21B8" w:rsidRDefault="00FA366A" w:rsidP="00212D46">
            <w:pPr>
              <w:spacing w:after="0" w:line="240" w:lineRule="auto"/>
              <w:rPr>
                <w:sz w:val="20"/>
                <w:szCs w:val="20"/>
              </w:rPr>
            </w:pPr>
            <w:r w:rsidRPr="002C21B8">
              <w:rPr>
                <w:sz w:val="20"/>
                <w:szCs w:val="20"/>
              </w:rPr>
              <w:t>1</w:t>
            </w:r>
          </w:p>
        </w:tc>
        <w:tc>
          <w:tcPr>
            <w:tcW w:w="8505" w:type="dxa"/>
            <w:shd w:val="clear" w:color="auto" w:fill="auto"/>
          </w:tcPr>
          <w:p w14:paraId="7EC325D5" w14:textId="77777777" w:rsidR="00FA366A" w:rsidRPr="002C21B8" w:rsidRDefault="00FA366A" w:rsidP="00212D46">
            <w:pPr>
              <w:spacing w:after="0" w:line="240" w:lineRule="auto"/>
              <w:rPr>
                <w:sz w:val="20"/>
                <w:szCs w:val="20"/>
              </w:rPr>
            </w:pPr>
            <w:r w:rsidRPr="002C21B8">
              <w:rPr>
                <w:sz w:val="20"/>
                <w:szCs w:val="20"/>
              </w:rPr>
              <w:t>MeSH descriptor: [Rhinitis] explode all trees</w:t>
            </w:r>
          </w:p>
        </w:tc>
      </w:tr>
      <w:tr w:rsidR="00FA366A" w:rsidRPr="002C21B8" w14:paraId="2E9FE17F" w14:textId="77777777" w:rsidTr="00960A9F">
        <w:trPr>
          <w:trHeight w:val="320"/>
        </w:trPr>
        <w:tc>
          <w:tcPr>
            <w:tcW w:w="704" w:type="dxa"/>
            <w:shd w:val="clear" w:color="auto" w:fill="auto"/>
            <w:vAlign w:val="center"/>
          </w:tcPr>
          <w:p w14:paraId="59D13272" w14:textId="77777777" w:rsidR="00FA366A" w:rsidRPr="002C21B8" w:rsidRDefault="00FA366A" w:rsidP="00212D46">
            <w:pPr>
              <w:spacing w:after="0" w:line="240" w:lineRule="auto"/>
              <w:rPr>
                <w:sz w:val="20"/>
                <w:szCs w:val="20"/>
              </w:rPr>
            </w:pPr>
            <w:r w:rsidRPr="002C21B8">
              <w:rPr>
                <w:sz w:val="20"/>
                <w:szCs w:val="20"/>
              </w:rPr>
              <w:t>2</w:t>
            </w:r>
          </w:p>
        </w:tc>
        <w:tc>
          <w:tcPr>
            <w:tcW w:w="8505" w:type="dxa"/>
            <w:shd w:val="clear" w:color="auto" w:fill="auto"/>
          </w:tcPr>
          <w:p w14:paraId="49892D69" w14:textId="77777777" w:rsidR="00FA366A" w:rsidRPr="002C21B8" w:rsidRDefault="00FA366A" w:rsidP="00212D46">
            <w:pPr>
              <w:spacing w:after="0" w:line="240" w:lineRule="auto"/>
              <w:rPr>
                <w:sz w:val="20"/>
                <w:szCs w:val="20"/>
              </w:rPr>
            </w:pPr>
            <w:r w:rsidRPr="002C21B8">
              <w:rPr>
                <w:sz w:val="20"/>
                <w:szCs w:val="20"/>
              </w:rPr>
              <w:t>((vasomotor or allerg* or non-allerg* or nonallerg* or non allerg*) and rhinitis):ti</w:t>
            </w:r>
          </w:p>
        </w:tc>
      </w:tr>
      <w:tr w:rsidR="00FA366A" w:rsidRPr="002C21B8" w14:paraId="2A0D6207" w14:textId="77777777" w:rsidTr="00960A9F">
        <w:trPr>
          <w:trHeight w:val="320"/>
        </w:trPr>
        <w:tc>
          <w:tcPr>
            <w:tcW w:w="704" w:type="dxa"/>
            <w:shd w:val="clear" w:color="auto" w:fill="auto"/>
            <w:vAlign w:val="center"/>
          </w:tcPr>
          <w:p w14:paraId="469AA27F" w14:textId="77777777" w:rsidR="00FA366A" w:rsidRPr="002C21B8" w:rsidRDefault="00FA366A" w:rsidP="00212D46">
            <w:pPr>
              <w:spacing w:after="0" w:line="240" w:lineRule="auto"/>
              <w:rPr>
                <w:sz w:val="20"/>
                <w:szCs w:val="20"/>
              </w:rPr>
            </w:pPr>
            <w:r w:rsidRPr="002C21B8">
              <w:rPr>
                <w:sz w:val="20"/>
                <w:szCs w:val="20"/>
              </w:rPr>
              <w:t>3</w:t>
            </w:r>
          </w:p>
        </w:tc>
        <w:tc>
          <w:tcPr>
            <w:tcW w:w="8505" w:type="dxa"/>
            <w:shd w:val="clear" w:color="auto" w:fill="auto"/>
          </w:tcPr>
          <w:p w14:paraId="3558C86A" w14:textId="77777777" w:rsidR="00FA366A" w:rsidRPr="002C21B8" w:rsidRDefault="00FA366A" w:rsidP="00212D46">
            <w:pPr>
              <w:spacing w:after="0" w:line="240" w:lineRule="auto"/>
              <w:rPr>
                <w:sz w:val="20"/>
                <w:szCs w:val="20"/>
              </w:rPr>
            </w:pPr>
            <w:r w:rsidRPr="002C21B8">
              <w:rPr>
                <w:sz w:val="20"/>
                <w:szCs w:val="20"/>
              </w:rPr>
              <w:t>MeSH descriptor: [Amnesia] explode all trees</w:t>
            </w:r>
          </w:p>
        </w:tc>
      </w:tr>
      <w:tr w:rsidR="00FA366A" w:rsidRPr="002C21B8" w14:paraId="19F3030E" w14:textId="77777777" w:rsidTr="00960A9F">
        <w:trPr>
          <w:trHeight w:val="320"/>
        </w:trPr>
        <w:tc>
          <w:tcPr>
            <w:tcW w:w="704" w:type="dxa"/>
            <w:shd w:val="clear" w:color="auto" w:fill="auto"/>
            <w:vAlign w:val="center"/>
          </w:tcPr>
          <w:p w14:paraId="5E766003" w14:textId="77777777" w:rsidR="00FA366A" w:rsidRPr="002C21B8" w:rsidRDefault="00FA366A" w:rsidP="00212D46">
            <w:pPr>
              <w:spacing w:after="0" w:line="240" w:lineRule="auto"/>
              <w:rPr>
                <w:sz w:val="20"/>
                <w:szCs w:val="20"/>
              </w:rPr>
            </w:pPr>
            <w:r w:rsidRPr="002C21B8">
              <w:rPr>
                <w:sz w:val="20"/>
                <w:szCs w:val="20"/>
              </w:rPr>
              <w:t>4</w:t>
            </w:r>
          </w:p>
        </w:tc>
        <w:tc>
          <w:tcPr>
            <w:tcW w:w="8505" w:type="dxa"/>
            <w:shd w:val="clear" w:color="auto" w:fill="auto"/>
          </w:tcPr>
          <w:p w14:paraId="7E4E3924" w14:textId="77777777" w:rsidR="00FA366A" w:rsidRPr="002C21B8" w:rsidRDefault="00FA366A" w:rsidP="00212D46">
            <w:pPr>
              <w:spacing w:after="0" w:line="240" w:lineRule="auto"/>
              <w:rPr>
                <w:sz w:val="20"/>
                <w:szCs w:val="20"/>
              </w:rPr>
            </w:pPr>
            <w:r w:rsidRPr="002C21B8">
              <w:rPr>
                <w:sz w:val="20"/>
                <w:szCs w:val="20"/>
              </w:rPr>
              <w:t>(amnesi* or "memory loss"):ti</w:t>
            </w:r>
          </w:p>
        </w:tc>
      </w:tr>
      <w:tr w:rsidR="00FA366A" w:rsidRPr="002C21B8" w14:paraId="3DAA4A0A" w14:textId="77777777" w:rsidTr="00960A9F">
        <w:trPr>
          <w:trHeight w:val="320"/>
        </w:trPr>
        <w:tc>
          <w:tcPr>
            <w:tcW w:w="704" w:type="dxa"/>
            <w:shd w:val="clear" w:color="auto" w:fill="auto"/>
            <w:vAlign w:val="center"/>
          </w:tcPr>
          <w:p w14:paraId="1AC8F5FF" w14:textId="77777777" w:rsidR="00FA366A" w:rsidRPr="002C21B8" w:rsidRDefault="00FA366A" w:rsidP="00212D46">
            <w:pPr>
              <w:spacing w:after="0" w:line="240" w:lineRule="auto"/>
              <w:rPr>
                <w:sz w:val="20"/>
                <w:szCs w:val="20"/>
              </w:rPr>
            </w:pPr>
            <w:r w:rsidRPr="002C21B8">
              <w:rPr>
                <w:sz w:val="20"/>
                <w:szCs w:val="20"/>
              </w:rPr>
              <w:t>5</w:t>
            </w:r>
          </w:p>
        </w:tc>
        <w:tc>
          <w:tcPr>
            <w:tcW w:w="8505" w:type="dxa"/>
            <w:shd w:val="clear" w:color="auto" w:fill="auto"/>
          </w:tcPr>
          <w:p w14:paraId="2A91FD2C" w14:textId="77777777" w:rsidR="00FA366A" w:rsidRPr="002C21B8" w:rsidRDefault="00FA366A" w:rsidP="00212D46">
            <w:pPr>
              <w:spacing w:after="0" w:line="240" w:lineRule="auto"/>
              <w:rPr>
                <w:sz w:val="20"/>
                <w:szCs w:val="20"/>
              </w:rPr>
            </w:pPr>
            <w:r w:rsidRPr="002C21B8">
              <w:rPr>
                <w:sz w:val="20"/>
                <w:szCs w:val="20"/>
              </w:rPr>
              <w:t>MeSH descriptor: [Amputation, Surgical] explode all trees</w:t>
            </w:r>
          </w:p>
        </w:tc>
      </w:tr>
      <w:tr w:rsidR="00FA366A" w:rsidRPr="002C21B8" w14:paraId="7E98AC4C" w14:textId="77777777" w:rsidTr="00960A9F">
        <w:trPr>
          <w:trHeight w:val="320"/>
        </w:trPr>
        <w:tc>
          <w:tcPr>
            <w:tcW w:w="704" w:type="dxa"/>
            <w:shd w:val="clear" w:color="auto" w:fill="auto"/>
            <w:vAlign w:val="center"/>
          </w:tcPr>
          <w:p w14:paraId="48E73F4B" w14:textId="77777777" w:rsidR="00FA366A" w:rsidRPr="002C21B8" w:rsidRDefault="00FA366A" w:rsidP="00212D46">
            <w:pPr>
              <w:spacing w:after="0" w:line="240" w:lineRule="auto"/>
              <w:rPr>
                <w:sz w:val="20"/>
                <w:szCs w:val="20"/>
              </w:rPr>
            </w:pPr>
            <w:r w:rsidRPr="002C21B8">
              <w:rPr>
                <w:sz w:val="20"/>
                <w:szCs w:val="20"/>
              </w:rPr>
              <w:t>6</w:t>
            </w:r>
          </w:p>
        </w:tc>
        <w:tc>
          <w:tcPr>
            <w:tcW w:w="8505" w:type="dxa"/>
            <w:shd w:val="clear" w:color="auto" w:fill="auto"/>
          </w:tcPr>
          <w:p w14:paraId="6A73FC08" w14:textId="77777777" w:rsidR="00FA366A" w:rsidRPr="002C21B8" w:rsidRDefault="00FA366A" w:rsidP="00212D46">
            <w:pPr>
              <w:spacing w:after="0" w:line="240" w:lineRule="auto"/>
              <w:rPr>
                <w:sz w:val="20"/>
                <w:szCs w:val="20"/>
              </w:rPr>
            </w:pPr>
            <w:r w:rsidRPr="002C21B8">
              <w:rPr>
                <w:sz w:val="20"/>
                <w:szCs w:val="20"/>
              </w:rPr>
              <w:t>(amputation or amputee*):ti</w:t>
            </w:r>
          </w:p>
        </w:tc>
      </w:tr>
      <w:tr w:rsidR="00FA366A" w:rsidRPr="002C21B8" w14:paraId="3CBB1420" w14:textId="77777777" w:rsidTr="00960A9F">
        <w:trPr>
          <w:trHeight w:val="320"/>
        </w:trPr>
        <w:tc>
          <w:tcPr>
            <w:tcW w:w="704" w:type="dxa"/>
            <w:shd w:val="clear" w:color="auto" w:fill="auto"/>
            <w:vAlign w:val="center"/>
          </w:tcPr>
          <w:p w14:paraId="4216E74E" w14:textId="77777777" w:rsidR="00FA366A" w:rsidRPr="002C21B8" w:rsidRDefault="00FA366A" w:rsidP="00212D46">
            <w:pPr>
              <w:spacing w:after="0" w:line="240" w:lineRule="auto"/>
              <w:rPr>
                <w:sz w:val="20"/>
                <w:szCs w:val="20"/>
              </w:rPr>
            </w:pPr>
            <w:r w:rsidRPr="002C21B8">
              <w:rPr>
                <w:sz w:val="20"/>
                <w:szCs w:val="20"/>
              </w:rPr>
              <w:t>7</w:t>
            </w:r>
          </w:p>
        </w:tc>
        <w:tc>
          <w:tcPr>
            <w:tcW w:w="8505" w:type="dxa"/>
            <w:shd w:val="clear" w:color="auto" w:fill="auto"/>
          </w:tcPr>
          <w:p w14:paraId="03B47361" w14:textId="77777777" w:rsidR="00FA366A" w:rsidRPr="002C21B8" w:rsidRDefault="00FA366A" w:rsidP="00212D46">
            <w:pPr>
              <w:spacing w:after="0" w:line="240" w:lineRule="auto"/>
              <w:rPr>
                <w:sz w:val="20"/>
                <w:szCs w:val="20"/>
              </w:rPr>
            </w:pPr>
            <w:r w:rsidRPr="002C21B8">
              <w:rPr>
                <w:sz w:val="20"/>
                <w:szCs w:val="20"/>
              </w:rPr>
              <w:t>MeSH descriptor: [Anemia] explode all trees</w:t>
            </w:r>
          </w:p>
        </w:tc>
      </w:tr>
      <w:tr w:rsidR="00FA366A" w:rsidRPr="002C21B8" w14:paraId="16D8E295" w14:textId="77777777" w:rsidTr="00960A9F">
        <w:trPr>
          <w:trHeight w:val="320"/>
        </w:trPr>
        <w:tc>
          <w:tcPr>
            <w:tcW w:w="704" w:type="dxa"/>
            <w:shd w:val="clear" w:color="auto" w:fill="auto"/>
            <w:vAlign w:val="center"/>
          </w:tcPr>
          <w:p w14:paraId="6FFFD8D4" w14:textId="77777777" w:rsidR="00FA366A" w:rsidRPr="002C21B8" w:rsidRDefault="00FA366A" w:rsidP="00212D46">
            <w:pPr>
              <w:spacing w:after="0" w:line="240" w:lineRule="auto"/>
              <w:rPr>
                <w:sz w:val="20"/>
                <w:szCs w:val="20"/>
              </w:rPr>
            </w:pPr>
            <w:r w:rsidRPr="002C21B8">
              <w:rPr>
                <w:sz w:val="20"/>
                <w:szCs w:val="20"/>
              </w:rPr>
              <w:t>8</w:t>
            </w:r>
          </w:p>
        </w:tc>
        <w:tc>
          <w:tcPr>
            <w:tcW w:w="8505" w:type="dxa"/>
            <w:shd w:val="clear" w:color="auto" w:fill="auto"/>
          </w:tcPr>
          <w:p w14:paraId="452E289D" w14:textId="77777777" w:rsidR="00FA366A" w:rsidRPr="002C21B8" w:rsidRDefault="00FA366A" w:rsidP="00212D46">
            <w:pPr>
              <w:spacing w:after="0" w:line="240" w:lineRule="auto"/>
              <w:rPr>
                <w:sz w:val="20"/>
                <w:szCs w:val="20"/>
              </w:rPr>
            </w:pPr>
            <w:r w:rsidRPr="002C21B8">
              <w:rPr>
                <w:sz w:val="20"/>
                <w:szCs w:val="20"/>
              </w:rPr>
              <w:t>an?emia:ti</w:t>
            </w:r>
          </w:p>
        </w:tc>
      </w:tr>
      <w:tr w:rsidR="00FA366A" w:rsidRPr="002C21B8" w14:paraId="19EE76F2" w14:textId="77777777" w:rsidTr="00960A9F">
        <w:trPr>
          <w:trHeight w:val="320"/>
        </w:trPr>
        <w:tc>
          <w:tcPr>
            <w:tcW w:w="704" w:type="dxa"/>
            <w:shd w:val="clear" w:color="auto" w:fill="auto"/>
            <w:vAlign w:val="center"/>
          </w:tcPr>
          <w:p w14:paraId="197935EA" w14:textId="77777777" w:rsidR="00FA366A" w:rsidRPr="002C21B8" w:rsidRDefault="00FA366A" w:rsidP="00212D46">
            <w:pPr>
              <w:spacing w:after="0" w:line="240" w:lineRule="auto"/>
              <w:rPr>
                <w:sz w:val="20"/>
                <w:szCs w:val="20"/>
              </w:rPr>
            </w:pPr>
            <w:r w:rsidRPr="002C21B8">
              <w:rPr>
                <w:sz w:val="20"/>
                <w:szCs w:val="20"/>
              </w:rPr>
              <w:t>9</w:t>
            </w:r>
          </w:p>
        </w:tc>
        <w:tc>
          <w:tcPr>
            <w:tcW w:w="8505" w:type="dxa"/>
            <w:shd w:val="clear" w:color="auto" w:fill="auto"/>
          </w:tcPr>
          <w:p w14:paraId="5A1605EF" w14:textId="77777777" w:rsidR="00FA366A" w:rsidRPr="002C21B8" w:rsidRDefault="00FA366A" w:rsidP="00212D46">
            <w:pPr>
              <w:spacing w:after="0" w:line="240" w:lineRule="auto"/>
              <w:rPr>
                <w:sz w:val="20"/>
                <w:szCs w:val="20"/>
              </w:rPr>
            </w:pPr>
            <w:r w:rsidRPr="002C21B8">
              <w:rPr>
                <w:sz w:val="20"/>
                <w:szCs w:val="20"/>
              </w:rPr>
              <w:t>MeSH descriptor: [Cardiovascular Diseases] explode all trees</w:t>
            </w:r>
          </w:p>
        </w:tc>
      </w:tr>
      <w:tr w:rsidR="00FA366A" w:rsidRPr="002C21B8" w14:paraId="3DC8B926" w14:textId="77777777" w:rsidTr="00960A9F">
        <w:trPr>
          <w:trHeight w:val="320"/>
        </w:trPr>
        <w:tc>
          <w:tcPr>
            <w:tcW w:w="704" w:type="dxa"/>
            <w:shd w:val="clear" w:color="auto" w:fill="auto"/>
            <w:vAlign w:val="center"/>
          </w:tcPr>
          <w:p w14:paraId="6C55E293" w14:textId="77777777" w:rsidR="00FA366A" w:rsidRPr="002C21B8" w:rsidRDefault="00FA366A" w:rsidP="00212D46">
            <w:pPr>
              <w:spacing w:after="0" w:line="240" w:lineRule="auto"/>
              <w:rPr>
                <w:sz w:val="20"/>
                <w:szCs w:val="20"/>
              </w:rPr>
            </w:pPr>
            <w:r w:rsidRPr="002C21B8">
              <w:rPr>
                <w:sz w:val="20"/>
                <w:szCs w:val="20"/>
              </w:rPr>
              <w:t>10</w:t>
            </w:r>
          </w:p>
        </w:tc>
        <w:tc>
          <w:tcPr>
            <w:tcW w:w="8505" w:type="dxa"/>
            <w:shd w:val="clear" w:color="auto" w:fill="auto"/>
          </w:tcPr>
          <w:p w14:paraId="35E2183D" w14:textId="77777777" w:rsidR="00FA366A" w:rsidRPr="002C21B8" w:rsidRDefault="00FA366A" w:rsidP="00212D46">
            <w:pPr>
              <w:spacing w:after="0" w:line="240" w:lineRule="auto"/>
              <w:rPr>
                <w:sz w:val="20"/>
                <w:szCs w:val="20"/>
              </w:rPr>
            </w:pPr>
            <w:r w:rsidRPr="002C21B8">
              <w:rPr>
                <w:sz w:val="20"/>
                <w:szCs w:val="20"/>
              </w:rPr>
              <w:t>(angina or myocardial isch?mi*):ti</w:t>
            </w:r>
          </w:p>
        </w:tc>
      </w:tr>
      <w:tr w:rsidR="00FA366A" w:rsidRPr="002C21B8" w14:paraId="65CDF21D" w14:textId="77777777" w:rsidTr="00960A9F">
        <w:trPr>
          <w:trHeight w:val="320"/>
        </w:trPr>
        <w:tc>
          <w:tcPr>
            <w:tcW w:w="704" w:type="dxa"/>
            <w:shd w:val="clear" w:color="auto" w:fill="auto"/>
            <w:vAlign w:val="center"/>
          </w:tcPr>
          <w:p w14:paraId="5873AA3D" w14:textId="77777777" w:rsidR="00FA366A" w:rsidRPr="002C21B8" w:rsidRDefault="00FA366A" w:rsidP="00212D46">
            <w:pPr>
              <w:spacing w:after="0" w:line="240" w:lineRule="auto"/>
              <w:rPr>
                <w:sz w:val="20"/>
                <w:szCs w:val="20"/>
              </w:rPr>
            </w:pPr>
            <w:r w:rsidRPr="002C21B8">
              <w:rPr>
                <w:sz w:val="20"/>
                <w:szCs w:val="20"/>
              </w:rPr>
              <w:t>11</w:t>
            </w:r>
          </w:p>
        </w:tc>
        <w:tc>
          <w:tcPr>
            <w:tcW w:w="8505" w:type="dxa"/>
            <w:shd w:val="clear" w:color="auto" w:fill="auto"/>
          </w:tcPr>
          <w:p w14:paraId="6856D248" w14:textId="77777777" w:rsidR="00FA366A" w:rsidRPr="002C21B8" w:rsidRDefault="00FA366A" w:rsidP="00212D46">
            <w:pPr>
              <w:spacing w:after="0" w:line="240" w:lineRule="auto"/>
              <w:rPr>
                <w:sz w:val="20"/>
                <w:szCs w:val="20"/>
              </w:rPr>
            </w:pPr>
            <w:r w:rsidRPr="002C21B8">
              <w:rPr>
                <w:sz w:val="20"/>
                <w:szCs w:val="20"/>
              </w:rPr>
              <w:t>MeSH descriptor: [Angioedema] explode all trees</w:t>
            </w:r>
          </w:p>
        </w:tc>
      </w:tr>
      <w:tr w:rsidR="00FA366A" w:rsidRPr="002C21B8" w14:paraId="07B454BD" w14:textId="77777777" w:rsidTr="00960A9F">
        <w:trPr>
          <w:trHeight w:val="320"/>
        </w:trPr>
        <w:tc>
          <w:tcPr>
            <w:tcW w:w="704" w:type="dxa"/>
            <w:shd w:val="clear" w:color="auto" w:fill="auto"/>
            <w:vAlign w:val="center"/>
          </w:tcPr>
          <w:p w14:paraId="28CE3A33" w14:textId="77777777" w:rsidR="00FA366A" w:rsidRPr="002C21B8" w:rsidRDefault="00FA366A" w:rsidP="00212D46">
            <w:pPr>
              <w:spacing w:after="0" w:line="240" w:lineRule="auto"/>
              <w:rPr>
                <w:sz w:val="20"/>
                <w:szCs w:val="20"/>
              </w:rPr>
            </w:pPr>
            <w:r w:rsidRPr="002C21B8">
              <w:rPr>
                <w:sz w:val="20"/>
                <w:szCs w:val="20"/>
              </w:rPr>
              <w:t>12</w:t>
            </w:r>
          </w:p>
        </w:tc>
        <w:tc>
          <w:tcPr>
            <w:tcW w:w="8505" w:type="dxa"/>
            <w:shd w:val="clear" w:color="auto" w:fill="auto"/>
          </w:tcPr>
          <w:p w14:paraId="0A9B6D14" w14:textId="77777777" w:rsidR="00FA366A" w:rsidRPr="002C21B8" w:rsidRDefault="00FA366A" w:rsidP="00212D46">
            <w:pPr>
              <w:spacing w:after="0" w:line="240" w:lineRule="auto"/>
              <w:rPr>
                <w:sz w:val="20"/>
                <w:szCs w:val="20"/>
              </w:rPr>
            </w:pPr>
            <w:r w:rsidRPr="002C21B8">
              <w:rPr>
                <w:sz w:val="20"/>
                <w:szCs w:val="20"/>
              </w:rPr>
              <w:t>(angioedema or (hereditary NEXT (angioedema* or angioneurotic edema*))):ti</w:t>
            </w:r>
          </w:p>
        </w:tc>
      </w:tr>
      <w:tr w:rsidR="00FA366A" w:rsidRPr="002C21B8" w14:paraId="393EBEA5" w14:textId="77777777" w:rsidTr="00960A9F">
        <w:trPr>
          <w:trHeight w:val="320"/>
        </w:trPr>
        <w:tc>
          <w:tcPr>
            <w:tcW w:w="704" w:type="dxa"/>
            <w:shd w:val="clear" w:color="auto" w:fill="auto"/>
            <w:vAlign w:val="center"/>
          </w:tcPr>
          <w:p w14:paraId="2C237A2D" w14:textId="77777777" w:rsidR="00FA366A" w:rsidRPr="002C21B8" w:rsidRDefault="00FA366A" w:rsidP="00212D46">
            <w:pPr>
              <w:spacing w:after="0" w:line="240" w:lineRule="auto"/>
              <w:rPr>
                <w:sz w:val="20"/>
                <w:szCs w:val="20"/>
              </w:rPr>
            </w:pPr>
            <w:r w:rsidRPr="002C21B8">
              <w:rPr>
                <w:sz w:val="20"/>
                <w:szCs w:val="20"/>
              </w:rPr>
              <w:t>13</w:t>
            </w:r>
          </w:p>
        </w:tc>
        <w:tc>
          <w:tcPr>
            <w:tcW w:w="8505" w:type="dxa"/>
            <w:shd w:val="clear" w:color="auto" w:fill="auto"/>
          </w:tcPr>
          <w:p w14:paraId="6812EDEE" w14:textId="77777777" w:rsidR="00FA366A" w:rsidRPr="002C21B8" w:rsidRDefault="00FA366A" w:rsidP="00212D46">
            <w:pPr>
              <w:spacing w:after="0" w:line="240" w:lineRule="auto"/>
              <w:rPr>
                <w:sz w:val="20"/>
                <w:szCs w:val="20"/>
              </w:rPr>
            </w:pPr>
            <w:r w:rsidRPr="002C21B8">
              <w:rPr>
                <w:sz w:val="20"/>
                <w:szCs w:val="20"/>
              </w:rPr>
              <w:t>MeSH descriptor: [Arthritis] explode all trees</w:t>
            </w:r>
          </w:p>
        </w:tc>
      </w:tr>
      <w:tr w:rsidR="00FA366A" w:rsidRPr="002C21B8" w14:paraId="5D68E055" w14:textId="77777777" w:rsidTr="00960A9F">
        <w:trPr>
          <w:trHeight w:val="320"/>
        </w:trPr>
        <w:tc>
          <w:tcPr>
            <w:tcW w:w="704" w:type="dxa"/>
            <w:shd w:val="clear" w:color="auto" w:fill="auto"/>
            <w:vAlign w:val="center"/>
          </w:tcPr>
          <w:p w14:paraId="37248B18" w14:textId="77777777" w:rsidR="00FA366A" w:rsidRPr="002C21B8" w:rsidRDefault="00FA366A" w:rsidP="00212D46">
            <w:pPr>
              <w:spacing w:after="0" w:line="240" w:lineRule="auto"/>
              <w:rPr>
                <w:sz w:val="20"/>
                <w:szCs w:val="20"/>
              </w:rPr>
            </w:pPr>
            <w:r w:rsidRPr="002C21B8">
              <w:rPr>
                <w:sz w:val="20"/>
                <w:szCs w:val="20"/>
              </w:rPr>
              <w:t>14</w:t>
            </w:r>
          </w:p>
        </w:tc>
        <w:tc>
          <w:tcPr>
            <w:tcW w:w="8505" w:type="dxa"/>
            <w:shd w:val="clear" w:color="auto" w:fill="auto"/>
          </w:tcPr>
          <w:p w14:paraId="0FF8F8AE" w14:textId="77777777" w:rsidR="00FA366A" w:rsidRPr="002C21B8" w:rsidRDefault="00FA366A" w:rsidP="00212D46">
            <w:pPr>
              <w:spacing w:after="0" w:line="240" w:lineRule="auto"/>
              <w:rPr>
                <w:sz w:val="20"/>
                <w:szCs w:val="20"/>
              </w:rPr>
            </w:pPr>
            <w:r w:rsidRPr="002C21B8">
              <w:rPr>
                <w:sz w:val="20"/>
                <w:szCs w:val="20"/>
              </w:rPr>
              <w:t>((rheumatic or rheumatoid) NEXT (arthrit* or artrit* or diseas* or condition* or nodule*)):ti</w:t>
            </w:r>
          </w:p>
        </w:tc>
      </w:tr>
      <w:tr w:rsidR="00FA366A" w:rsidRPr="002C21B8" w14:paraId="2AD1F980" w14:textId="77777777" w:rsidTr="00960A9F">
        <w:trPr>
          <w:trHeight w:val="320"/>
        </w:trPr>
        <w:tc>
          <w:tcPr>
            <w:tcW w:w="704" w:type="dxa"/>
            <w:shd w:val="clear" w:color="auto" w:fill="auto"/>
            <w:vAlign w:val="center"/>
          </w:tcPr>
          <w:p w14:paraId="1B7314C4" w14:textId="77777777" w:rsidR="00FA366A" w:rsidRPr="002C21B8" w:rsidRDefault="00FA366A" w:rsidP="00212D46">
            <w:pPr>
              <w:spacing w:after="0" w:line="240" w:lineRule="auto"/>
              <w:rPr>
                <w:sz w:val="20"/>
                <w:szCs w:val="20"/>
              </w:rPr>
            </w:pPr>
            <w:r w:rsidRPr="002C21B8">
              <w:rPr>
                <w:sz w:val="20"/>
                <w:szCs w:val="20"/>
              </w:rPr>
              <w:t>15</w:t>
            </w:r>
          </w:p>
        </w:tc>
        <w:tc>
          <w:tcPr>
            <w:tcW w:w="8505" w:type="dxa"/>
            <w:shd w:val="clear" w:color="auto" w:fill="auto"/>
          </w:tcPr>
          <w:p w14:paraId="28F06EA8" w14:textId="77777777" w:rsidR="00FA366A" w:rsidRPr="002C21B8" w:rsidRDefault="00FA366A" w:rsidP="00212D46">
            <w:pPr>
              <w:spacing w:after="0" w:line="240" w:lineRule="auto"/>
              <w:rPr>
                <w:sz w:val="20"/>
                <w:szCs w:val="20"/>
              </w:rPr>
            </w:pPr>
            <w:r w:rsidRPr="002C21B8">
              <w:rPr>
                <w:sz w:val="20"/>
                <w:szCs w:val="20"/>
              </w:rPr>
              <w:t>MeSH descriptor: [Aphasia] explode all trees</w:t>
            </w:r>
          </w:p>
        </w:tc>
      </w:tr>
      <w:tr w:rsidR="00FA366A" w:rsidRPr="002C21B8" w14:paraId="05384AD6" w14:textId="77777777" w:rsidTr="00960A9F">
        <w:trPr>
          <w:trHeight w:val="320"/>
        </w:trPr>
        <w:tc>
          <w:tcPr>
            <w:tcW w:w="704" w:type="dxa"/>
            <w:shd w:val="clear" w:color="auto" w:fill="auto"/>
            <w:vAlign w:val="center"/>
          </w:tcPr>
          <w:p w14:paraId="545D6E81" w14:textId="77777777" w:rsidR="00FA366A" w:rsidRPr="002C21B8" w:rsidRDefault="00FA366A" w:rsidP="00212D46">
            <w:pPr>
              <w:spacing w:after="0" w:line="240" w:lineRule="auto"/>
              <w:rPr>
                <w:sz w:val="20"/>
                <w:szCs w:val="20"/>
              </w:rPr>
            </w:pPr>
            <w:r w:rsidRPr="002C21B8">
              <w:rPr>
                <w:sz w:val="20"/>
                <w:szCs w:val="20"/>
              </w:rPr>
              <w:t>16</w:t>
            </w:r>
          </w:p>
        </w:tc>
        <w:tc>
          <w:tcPr>
            <w:tcW w:w="8505" w:type="dxa"/>
            <w:shd w:val="clear" w:color="auto" w:fill="auto"/>
          </w:tcPr>
          <w:p w14:paraId="1F651DE3" w14:textId="77777777" w:rsidR="00FA366A" w:rsidRPr="002C21B8" w:rsidRDefault="00FA366A" w:rsidP="00212D46">
            <w:pPr>
              <w:spacing w:after="0" w:line="240" w:lineRule="auto"/>
              <w:rPr>
                <w:sz w:val="20"/>
                <w:szCs w:val="20"/>
              </w:rPr>
            </w:pPr>
            <w:r w:rsidRPr="002C21B8">
              <w:rPr>
                <w:sz w:val="20"/>
                <w:szCs w:val="20"/>
              </w:rPr>
              <w:t>("primary progressive aphasia" or aphasia or dysphasia):ti</w:t>
            </w:r>
          </w:p>
        </w:tc>
      </w:tr>
      <w:tr w:rsidR="00FA366A" w:rsidRPr="002C21B8" w14:paraId="68FF2312" w14:textId="77777777" w:rsidTr="00960A9F">
        <w:trPr>
          <w:trHeight w:val="320"/>
        </w:trPr>
        <w:tc>
          <w:tcPr>
            <w:tcW w:w="704" w:type="dxa"/>
            <w:shd w:val="clear" w:color="auto" w:fill="auto"/>
            <w:vAlign w:val="center"/>
          </w:tcPr>
          <w:p w14:paraId="5B9B9E26" w14:textId="77777777" w:rsidR="00FA366A" w:rsidRPr="002C21B8" w:rsidRDefault="00FA366A" w:rsidP="00212D46">
            <w:pPr>
              <w:spacing w:after="0" w:line="240" w:lineRule="auto"/>
              <w:rPr>
                <w:sz w:val="20"/>
                <w:szCs w:val="20"/>
              </w:rPr>
            </w:pPr>
            <w:r w:rsidRPr="002C21B8">
              <w:rPr>
                <w:sz w:val="20"/>
                <w:szCs w:val="20"/>
              </w:rPr>
              <w:t>17</w:t>
            </w:r>
          </w:p>
        </w:tc>
        <w:tc>
          <w:tcPr>
            <w:tcW w:w="8505" w:type="dxa"/>
            <w:shd w:val="clear" w:color="auto" w:fill="auto"/>
          </w:tcPr>
          <w:p w14:paraId="7C0F10A9" w14:textId="77777777" w:rsidR="00FA366A" w:rsidRPr="002C21B8" w:rsidRDefault="00FA366A" w:rsidP="00212D46">
            <w:pPr>
              <w:spacing w:after="0" w:line="240" w:lineRule="auto"/>
              <w:rPr>
                <w:sz w:val="20"/>
                <w:szCs w:val="20"/>
              </w:rPr>
            </w:pPr>
            <w:r w:rsidRPr="002C21B8">
              <w:rPr>
                <w:sz w:val="20"/>
                <w:szCs w:val="20"/>
              </w:rPr>
              <w:t>MeSH descriptor: [Ataxia] explode all trees</w:t>
            </w:r>
          </w:p>
        </w:tc>
      </w:tr>
      <w:tr w:rsidR="00FA366A" w:rsidRPr="002C21B8" w14:paraId="22FD442C" w14:textId="77777777" w:rsidTr="00960A9F">
        <w:trPr>
          <w:trHeight w:val="320"/>
        </w:trPr>
        <w:tc>
          <w:tcPr>
            <w:tcW w:w="704" w:type="dxa"/>
            <w:shd w:val="clear" w:color="auto" w:fill="auto"/>
            <w:vAlign w:val="center"/>
          </w:tcPr>
          <w:p w14:paraId="1EF15729" w14:textId="77777777" w:rsidR="00FA366A" w:rsidRPr="002C21B8" w:rsidRDefault="00FA366A" w:rsidP="00212D46">
            <w:pPr>
              <w:spacing w:after="0" w:line="240" w:lineRule="auto"/>
              <w:rPr>
                <w:sz w:val="20"/>
                <w:szCs w:val="20"/>
              </w:rPr>
            </w:pPr>
            <w:r w:rsidRPr="002C21B8">
              <w:rPr>
                <w:sz w:val="20"/>
                <w:szCs w:val="20"/>
              </w:rPr>
              <w:t>18</w:t>
            </w:r>
          </w:p>
        </w:tc>
        <w:tc>
          <w:tcPr>
            <w:tcW w:w="8505" w:type="dxa"/>
            <w:shd w:val="clear" w:color="auto" w:fill="auto"/>
          </w:tcPr>
          <w:p w14:paraId="2BA98FC5" w14:textId="77777777" w:rsidR="00FA366A" w:rsidRPr="002C21B8" w:rsidRDefault="00FA366A" w:rsidP="00212D46">
            <w:pPr>
              <w:spacing w:after="0" w:line="240" w:lineRule="auto"/>
              <w:rPr>
                <w:sz w:val="20"/>
                <w:szCs w:val="20"/>
              </w:rPr>
            </w:pPr>
            <w:r w:rsidRPr="002C21B8">
              <w:rPr>
                <w:sz w:val="20"/>
                <w:szCs w:val="20"/>
              </w:rPr>
              <w:t>((cerebell* or spinocerebell*) NEXT (ataxia* or incoordination)):ti</w:t>
            </w:r>
          </w:p>
        </w:tc>
      </w:tr>
      <w:tr w:rsidR="00FA366A" w:rsidRPr="002C21B8" w14:paraId="4695911B" w14:textId="77777777" w:rsidTr="00960A9F">
        <w:trPr>
          <w:trHeight w:val="320"/>
        </w:trPr>
        <w:tc>
          <w:tcPr>
            <w:tcW w:w="704" w:type="dxa"/>
            <w:shd w:val="clear" w:color="auto" w:fill="auto"/>
            <w:vAlign w:val="center"/>
          </w:tcPr>
          <w:p w14:paraId="692D0A06" w14:textId="77777777" w:rsidR="00FA366A" w:rsidRPr="002C21B8" w:rsidRDefault="00FA366A" w:rsidP="00212D46">
            <w:pPr>
              <w:spacing w:after="0" w:line="240" w:lineRule="auto"/>
              <w:rPr>
                <w:sz w:val="20"/>
                <w:szCs w:val="20"/>
              </w:rPr>
            </w:pPr>
            <w:r w:rsidRPr="002C21B8">
              <w:rPr>
                <w:sz w:val="20"/>
                <w:szCs w:val="20"/>
              </w:rPr>
              <w:t>19</w:t>
            </w:r>
          </w:p>
        </w:tc>
        <w:tc>
          <w:tcPr>
            <w:tcW w:w="8505" w:type="dxa"/>
            <w:shd w:val="clear" w:color="auto" w:fill="auto"/>
          </w:tcPr>
          <w:p w14:paraId="7FE6714D" w14:textId="77777777" w:rsidR="00FA366A" w:rsidRPr="002C21B8" w:rsidRDefault="00FA366A" w:rsidP="00212D46">
            <w:pPr>
              <w:spacing w:after="0" w:line="240" w:lineRule="auto"/>
              <w:rPr>
                <w:sz w:val="20"/>
                <w:szCs w:val="20"/>
              </w:rPr>
            </w:pPr>
            <w:r w:rsidRPr="002C21B8">
              <w:rPr>
                <w:sz w:val="20"/>
                <w:szCs w:val="20"/>
              </w:rPr>
              <w:t>MeSH descriptor: [Autoimmune Diseases] explode all trees</w:t>
            </w:r>
          </w:p>
        </w:tc>
      </w:tr>
      <w:tr w:rsidR="00FA366A" w:rsidRPr="002C21B8" w14:paraId="4025F70E" w14:textId="77777777" w:rsidTr="00960A9F">
        <w:trPr>
          <w:trHeight w:val="320"/>
        </w:trPr>
        <w:tc>
          <w:tcPr>
            <w:tcW w:w="704" w:type="dxa"/>
            <w:shd w:val="clear" w:color="auto" w:fill="auto"/>
            <w:vAlign w:val="center"/>
          </w:tcPr>
          <w:p w14:paraId="72EC957E" w14:textId="77777777" w:rsidR="00FA366A" w:rsidRPr="002C21B8" w:rsidRDefault="00FA366A" w:rsidP="00212D46">
            <w:pPr>
              <w:spacing w:after="0" w:line="240" w:lineRule="auto"/>
              <w:rPr>
                <w:sz w:val="20"/>
                <w:szCs w:val="20"/>
              </w:rPr>
            </w:pPr>
            <w:r w:rsidRPr="002C21B8">
              <w:rPr>
                <w:sz w:val="20"/>
                <w:szCs w:val="20"/>
              </w:rPr>
              <w:t>20</w:t>
            </w:r>
          </w:p>
        </w:tc>
        <w:tc>
          <w:tcPr>
            <w:tcW w:w="8505" w:type="dxa"/>
            <w:shd w:val="clear" w:color="auto" w:fill="auto"/>
          </w:tcPr>
          <w:p w14:paraId="792FF70F" w14:textId="77777777" w:rsidR="00FA366A" w:rsidRPr="002C21B8" w:rsidRDefault="00FA366A" w:rsidP="00212D46">
            <w:pPr>
              <w:spacing w:after="0" w:line="240" w:lineRule="auto"/>
              <w:rPr>
                <w:sz w:val="20"/>
                <w:szCs w:val="20"/>
              </w:rPr>
            </w:pPr>
            <w:r w:rsidRPr="002C21B8">
              <w:rPr>
                <w:sz w:val="20"/>
                <w:szCs w:val="20"/>
              </w:rPr>
              <w:t>(addison* disease or autoimmune thyroid disease or ank* spondy* or h?emolytic an?emia or multiple sclerosis or myasthenia gravis or immune thrombocytopen* purpura or scleroderma or polyarteriti* nodosa or pernicious an?emia or vitiligo or psoriasis or primary biliary cirrhosis):ti</w:t>
            </w:r>
          </w:p>
        </w:tc>
      </w:tr>
      <w:tr w:rsidR="00FA366A" w:rsidRPr="002C21B8" w14:paraId="7E59F904" w14:textId="77777777" w:rsidTr="00960A9F">
        <w:trPr>
          <w:trHeight w:val="320"/>
        </w:trPr>
        <w:tc>
          <w:tcPr>
            <w:tcW w:w="704" w:type="dxa"/>
            <w:shd w:val="clear" w:color="auto" w:fill="auto"/>
            <w:vAlign w:val="center"/>
          </w:tcPr>
          <w:p w14:paraId="0B83B0A0" w14:textId="77777777" w:rsidR="00FA366A" w:rsidRPr="002C21B8" w:rsidRDefault="00FA366A" w:rsidP="00212D46">
            <w:pPr>
              <w:spacing w:after="0" w:line="240" w:lineRule="auto"/>
              <w:rPr>
                <w:sz w:val="20"/>
                <w:szCs w:val="20"/>
              </w:rPr>
            </w:pPr>
            <w:r w:rsidRPr="002C21B8">
              <w:rPr>
                <w:sz w:val="20"/>
                <w:szCs w:val="20"/>
              </w:rPr>
              <w:t>21</w:t>
            </w:r>
          </w:p>
        </w:tc>
        <w:tc>
          <w:tcPr>
            <w:tcW w:w="8505" w:type="dxa"/>
            <w:shd w:val="clear" w:color="auto" w:fill="auto"/>
          </w:tcPr>
          <w:p w14:paraId="561BAA1D" w14:textId="77777777" w:rsidR="00FA366A" w:rsidRPr="002C21B8" w:rsidRDefault="00FA366A" w:rsidP="00212D46">
            <w:pPr>
              <w:spacing w:after="0" w:line="240" w:lineRule="auto"/>
              <w:rPr>
                <w:sz w:val="20"/>
                <w:szCs w:val="20"/>
              </w:rPr>
            </w:pPr>
            <w:r w:rsidRPr="002C21B8">
              <w:rPr>
                <w:sz w:val="20"/>
                <w:szCs w:val="20"/>
              </w:rPr>
              <w:t>MeSH descriptor: [Hematologic Diseases] explode all trees</w:t>
            </w:r>
          </w:p>
        </w:tc>
      </w:tr>
      <w:tr w:rsidR="00FA366A" w:rsidRPr="002C21B8" w14:paraId="4C756E0C" w14:textId="77777777" w:rsidTr="00960A9F">
        <w:trPr>
          <w:trHeight w:val="320"/>
        </w:trPr>
        <w:tc>
          <w:tcPr>
            <w:tcW w:w="704" w:type="dxa"/>
            <w:shd w:val="clear" w:color="auto" w:fill="auto"/>
            <w:vAlign w:val="center"/>
          </w:tcPr>
          <w:p w14:paraId="5CB31087" w14:textId="77777777" w:rsidR="00FA366A" w:rsidRPr="002C21B8" w:rsidRDefault="00FA366A" w:rsidP="00212D46">
            <w:pPr>
              <w:spacing w:after="0" w:line="240" w:lineRule="auto"/>
              <w:rPr>
                <w:sz w:val="20"/>
                <w:szCs w:val="20"/>
              </w:rPr>
            </w:pPr>
            <w:r w:rsidRPr="002C21B8">
              <w:rPr>
                <w:sz w:val="20"/>
                <w:szCs w:val="20"/>
              </w:rPr>
              <w:t>22</w:t>
            </w:r>
          </w:p>
        </w:tc>
        <w:tc>
          <w:tcPr>
            <w:tcW w:w="8505" w:type="dxa"/>
            <w:shd w:val="clear" w:color="auto" w:fill="auto"/>
          </w:tcPr>
          <w:p w14:paraId="5C8DF178" w14:textId="77777777" w:rsidR="00FA366A" w:rsidRPr="002C21B8" w:rsidRDefault="00FA366A" w:rsidP="00212D46">
            <w:pPr>
              <w:spacing w:after="0" w:line="240" w:lineRule="auto"/>
              <w:rPr>
                <w:sz w:val="20"/>
                <w:szCs w:val="20"/>
              </w:rPr>
            </w:pPr>
            <w:r w:rsidRPr="002C21B8">
              <w:rPr>
                <w:sz w:val="20"/>
                <w:szCs w:val="20"/>
              </w:rPr>
              <w:t>(leukaemi* or myeloma or lymphoma):ti</w:t>
            </w:r>
          </w:p>
        </w:tc>
      </w:tr>
      <w:tr w:rsidR="00FA366A" w:rsidRPr="002C21B8" w14:paraId="5E106F32" w14:textId="77777777" w:rsidTr="00960A9F">
        <w:trPr>
          <w:trHeight w:val="320"/>
        </w:trPr>
        <w:tc>
          <w:tcPr>
            <w:tcW w:w="704" w:type="dxa"/>
            <w:shd w:val="clear" w:color="auto" w:fill="auto"/>
            <w:vAlign w:val="center"/>
          </w:tcPr>
          <w:p w14:paraId="500B99F3" w14:textId="77777777" w:rsidR="00FA366A" w:rsidRPr="002C21B8" w:rsidRDefault="00FA366A" w:rsidP="00212D46">
            <w:pPr>
              <w:spacing w:after="0" w:line="240" w:lineRule="auto"/>
              <w:rPr>
                <w:sz w:val="20"/>
                <w:szCs w:val="20"/>
              </w:rPr>
            </w:pPr>
            <w:r w:rsidRPr="002C21B8">
              <w:rPr>
                <w:sz w:val="20"/>
                <w:szCs w:val="20"/>
              </w:rPr>
              <w:t>23</w:t>
            </w:r>
          </w:p>
        </w:tc>
        <w:tc>
          <w:tcPr>
            <w:tcW w:w="8505" w:type="dxa"/>
            <w:shd w:val="clear" w:color="auto" w:fill="auto"/>
          </w:tcPr>
          <w:p w14:paraId="681DE614" w14:textId="77777777" w:rsidR="00FA366A" w:rsidRPr="002C21B8" w:rsidRDefault="00FA366A" w:rsidP="00212D46">
            <w:pPr>
              <w:spacing w:after="0" w:line="240" w:lineRule="auto"/>
              <w:rPr>
                <w:sz w:val="20"/>
                <w:szCs w:val="20"/>
              </w:rPr>
            </w:pPr>
            <w:r w:rsidRPr="002C21B8">
              <w:rPr>
                <w:sz w:val="20"/>
                <w:szCs w:val="20"/>
              </w:rPr>
              <w:t>MeSH descriptor: [Stroke] explode all trees</w:t>
            </w:r>
          </w:p>
        </w:tc>
      </w:tr>
      <w:tr w:rsidR="00FA366A" w:rsidRPr="002C21B8" w14:paraId="207F2D07" w14:textId="77777777" w:rsidTr="00960A9F">
        <w:trPr>
          <w:trHeight w:val="320"/>
        </w:trPr>
        <w:tc>
          <w:tcPr>
            <w:tcW w:w="704" w:type="dxa"/>
            <w:shd w:val="clear" w:color="auto" w:fill="auto"/>
            <w:vAlign w:val="center"/>
          </w:tcPr>
          <w:p w14:paraId="3786BA84" w14:textId="77777777" w:rsidR="00FA366A" w:rsidRPr="002C21B8" w:rsidRDefault="00FA366A" w:rsidP="00212D46">
            <w:pPr>
              <w:spacing w:after="0" w:line="240" w:lineRule="auto"/>
              <w:rPr>
                <w:sz w:val="20"/>
                <w:szCs w:val="20"/>
              </w:rPr>
            </w:pPr>
            <w:r w:rsidRPr="002C21B8">
              <w:rPr>
                <w:sz w:val="20"/>
                <w:szCs w:val="20"/>
              </w:rPr>
              <w:t>24</w:t>
            </w:r>
          </w:p>
        </w:tc>
        <w:tc>
          <w:tcPr>
            <w:tcW w:w="8505" w:type="dxa"/>
            <w:shd w:val="clear" w:color="auto" w:fill="auto"/>
          </w:tcPr>
          <w:p w14:paraId="46AE1C44" w14:textId="77777777" w:rsidR="00FA366A" w:rsidRPr="002C21B8" w:rsidRDefault="00FA366A" w:rsidP="00212D46">
            <w:pPr>
              <w:spacing w:after="0" w:line="240" w:lineRule="auto"/>
              <w:rPr>
                <w:sz w:val="20"/>
                <w:szCs w:val="20"/>
              </w:rPr>
            </w:pPr>
            <w:r w:rsidRPr="002C21B8">
              <w:rPr>
                <w:sz w:val="20"/>
                <w:szCs w:val="20"/>
              </w:rPr>
              <w:t>MeSH descriptor: [Brain Ischemia] explode all trees</w:t>
            </w:r>
          </w:p>
        </w:tc>
      </w:tr>
      <w:tr w:rsidR="00FA366A" w:rsidRPr="002C21B8" w14:paraId="30FB1A91" w14:textId="77777777" w:rsidTr="00960A9F">
        <w:trPr>
          <w:trHeight w:val="320"/>
        </w:trPr>
        <w:tc>
          <w:tcPr>
            <w:tcW w:w="704" w:type="dxa"/>
            <w:shd w:val="clear" w:color="auto" w:fill="auto"/>
            <w:vAlign w:val="center"/>
          </w:tcPr>
          <w:p w14:paraId="49EF3498" w14:textId="77777777" w:rsidR="00FA366A" w:rsidRPr="002C21B8" w:rsidRDefault="00FA366A" w:rsidP="00212D46">
            <w:pPr>
              <w:spacing w:after="0" w:line="240" w:lineRule="auto"/>
              <w:rPr>
                <w:sz w:val="20"/>
                <w:szCs w:val="20"/>
              </w:rPr>
            </w:pPr>
            <w:r w:rsidRPr="002C21B8">
              <w:rPr>
                <w:sz w:val="20"/>
                <w:szCs w:val="20"/>
              </w:rPr>
              <w:t>25</w:t>
            </w:r>
          </w:p>
        </w:tc>
        <w:tc>
          <w:tcPr>
            <w:tcW w:w="8505" w:type="dxa"/>
            <w:shd w:val="clear" w:color="auto" w:fill="auto"/>
          </w:tcPr>
          <w:p w14:paraId="78C176E5" w14:textId="77777777" w:rsidR="00FA366A" w:rsidRPr="002C21B8" w:rsidRDefault="00FA366A" w:rsidP="00212D46">
            <w:pPr>
              <w:spacing w:after="0" w:line="240" w:lineRule="auto"/>
              <w:rPr>
                <w:sz w:val="20"/>
                <w:szCs w:val="20"/>
              </w:rPr>
            </w:pPr>
            <w:r w:rsidRPr="002C21B8">
              <w:rPr>
                <w:sz w:val="20"/>
                <w:szCs w:val="20"/>
              </w:rPr>
              <w:t>MeSH descriptor: [Ischemic Attack, Transient] explode all trees</w:t>
            </w:r>
          </w:p>
        </w:tc>
      </w:tr>
      <w:tr w:rsidR="00FA366A" w:rsidRPr="002C21B8" w14:paraId="2DC26219" w14:textId="77777777" w:rsidTr="00960A9F">
        <w:trPr>
          <w:trHeight w:val="320"/>
        </w:trPr>
        <w:tc>
          <w:tcPr>
            <w:tcW w:w="704" w:type="dxa"/>
            <w:shd w:val="clear" w:color="auto" w:fill="auto"/>
            <w:vAlign w:val="center"/>
          </w:tcPr>
          <w:p w14:paraId="2C36EB64" w14:textId="77777777" w:rsidR="00FA366A" w:rsidRPr="002C21B8" w:rsidRDefault="00FA366A" w:rsidP="00212D46">
            <w:pPr>
              <w:spacing w:after="0" w:line="240" w:lineRule="auto"/>
              <w:rPr>
                <w:sz w:val="20"/>
                <w:szCs w:val="20"/>
              </w:rPr>
            </w:pPr>
            <w:r w:rsidRPr="002C21B8">
              <w:rPr>
                <w:sz w:val="20"/>
                <w:szCs w:val="20"/>
              </w:rPr>
              <w:t>26</w:t>
            </w:r>
          </w:p>
        </w:tc>
        <w:tc>
          <w:tcPr>
            <w:tcW w:w="8505" w:type="dxa"/>
            <w:shd w:val="clear" w:color="auto" w:fill="auto"/>
          </w:tcPr>
          <w:p w14:paraId="51F13671" w14:textId="77777777" w:rsidR="00FA366A" w:rsidRPr="002C21B8" w:rsidRDefault="00FA366A" w:rsidP="00212D46">
            <w:pPr>
              <w:spacing w:after="0" w:line="240" w:lineRule="auto"/>
              <w:rPr>
                <w:sz w:val="20"/>
                <w:szCs w:val="20"/>
              </w:rPr>
            </w:pPr>
            <w:r w:rsidRPr="002C21B8">
              <w:rPr>
                <w:sz w:val="20"/>
                <w:szCs w:val="20"/>
              </w:rPr>
              <w:t>(stroke or poststroke or post-stroke or cerebrovascu* or brain vasc* or cerebral vasc* or cva* or apoplexy* or sah):ti</w:t>
            </w:r>
          </w:p>
        </w:tc>
      </w:tr>
      <w:tr w:rsidR="00FA366A" w:rsidRPr="002C21B8" w14:paraId="46335113" w14:textId="77777777" w:rsidTr="00960A9F">
        <w:trPr>
          <w:trHeight w:val="320"/>
        </w:trPr>
        <w:tc>
          <w:tcPr>
            <w:tcW w:w="704" w:type="dxa"/>
            <w:shd w:val="clear" w:color="auto" w:fill="auto"/>
            <w:vAlign w:val="center"/>
          </w:tcPr>
          <w:p w14:paraId="153A12C8" w14:textId="77777777" w:rsidR="00FA366A" w:rsidRPr="002C21B8" w:rsidRDefault="00FA366A" w:rsidP="00212D46">
            <w:pPr>
              <w:spacing w:after="0" w:line="240" w:lineRule="auto"/>
              <w:rPr>
                <w:sz w:val="20"/>
                <w:szCs w:val="20"/>
              </w:rPr>
            </w:pPr>
            <w:r w:rsidRPr="002C21B8">
              <w:rPr>
                <w:sz w:val="20"/>
                <w:szCs w:val="20"/>
              </w:rPr>
              <w:t>27</w:t>
            </w:r>
          </w:p>
        </w:tc>
        <w:tc>
          <w:tcPr>
            <w:tcW w:w="8505" w:type="dxa"/>
            <w:shd w:val="clear" w:color="auto" w:fill="auto"/>
          </w:tcPr>
          <w:p w14:paraId="6FEF30E2" w14:textId="77777777" w:rsidR="00FA366A" w:rsidRPr="002C21B8" w:rsidRDefault="00FA366A" w:rsidP="00212D46">
            <w:pPr>
              <w:spacing w:after="0" w:line="240" w:lineRule="auto"/>
              <w:rPr>
                <w:sz w:val="20"/>
                <w:szCs w:val="20"/>
              </w:rPr>
            </w:pPr>
            <w:r w:rsidRPr="002C21B8">
              <w:rPr>
                <w:sz w:val="20"/>
                <w:szCs w:val="20"/>
              </w:rPr>
              <w:t>((brain* or cerebr* or vascular or cerebel* or intracran* or intracerebral* or subarachnoid) NEXT (accident or isch?mi or infarct* or thrombo* or emboli* or occlus* or h?morrhage or h?matoma* or bleed*)):ti</w:t>
            </w:r>
          </w:p>
        </w:tc>
      </w:tr>
      <w:tr w:rsidR="00FA366A" w:rsidRPr="002C21B8" w14:paraId="76AC4A9F" w14:textId="77777777" w:rsidTr="00960A9F">
        <w:trPr>
          <w:trHeight w:val="320"/>
        </w:trPr>
        <w:tc>
          <w:tcPr>
            <w:tcW w:w="704" w:type="dxa"/>
            <w:shd w:val="clear" w:color="auto" w:fill="auto"/>
            <w:vAlign w:val="center"/>
          </w:tcPr>
          <w:p w14:paraId="39BA3339" w14:textId="77777777" w:rsidR="00FA366A" w:rsidRPr="002C21B8" w:rsidRDefault="00FA366A" w:rsidP="00212D46">
            <w:pPr>
              <w:spacing w:after="0" w:line="240" w:lineRule="auto"/>
              <w:rPr>
                <w:sz w:val="20"/>
                <w:szCs w:val="20"/>
              </w:rPr>
            </w:pPr>
            <w:r w:rsidRPr="002C21B8">
              <w:rPr>
                <w:sz w:val="20"/>
                <w:szCs w:val="20"/>
              </w:rPr>
              <w:t>28</w:t>
            </w:r>
          </w:p>
        </w:tc>
        <w:tc>
          <w:tcPr>
            <w:tcW w:w="8505" w:type="dxa"/>
            <w:shd w:val="clear" w:color="auto" w:fill="auto"/>
          </w:tcPr>
          <w:p w14:paraId="374BEC12" w14:textId="77777777" w:rsidR="00FA366A" w:rsidRPr="002C21B8" w:rsidRDefault="00FA366A" w:rsidP="00212D46">
            <w:pPr>
              <w:spacing w:after="0" w:line="240" w:lineRule="auto"/>
              <w:rPr>
                <w:sz w:val="20"/>
                <w:szCs w:val="20"/>
              </w:rPr>
            </w:pPr>
            <w:r w:rsidRPr="002C21B8">
              <w:rPr>
                <w:sz w:val="20"/>
                <w:szCs w:val="20"/>
              </w:rPr>
              <w:t>MeSH descriptor: [Burns] explode all trees</w:t>
            </w:r>
          </w:p>
        </w:tc>
      </w:tr>
      <w:tr w:rsidR="00FA366A" w:rsidRPr="002C21B8" w14:paraId="56FAD394" w14:textId="77777777" w:rsidTr="00960A9F">
        <w:trPr>
          <w:trHeight w:val="320"/>
        </w:trPr>
        <w:tc>
          <w:tcPr>
            <w:tcW w:w="704" w:type="dxa"/>
            <w:shd w:val="clear" w:color="auto" w:fill="auto"/>
            <w:vAlign w:val="center"/>
          </w:tcPr>
          <w:p w14:paraId="4AB7BF08" w14:textId="77777777" w:rsidR="00FA366A" w:rsidRPr="002C21B8" w:rsidRDefault="00FA366A" w:rsidP="00212D46">
            <w:pPr>
              <w:spacing w:after="0" w:line="240" w:lineRule="auto"/>
              <w:rPr>
                <w:sz w:val="20"/>
                <w:szCs w:val="20"/>
              </w:rPr>
            </w:pPr>
            <w:r w:rsidRPr="002C21B8">
              <w:rPr>
                <w:sz w:val="20"/>
                <w:szCs w:val="20"/>
              </w:rPr>
              <w:t>29</w:t>
            </w:r>
          </w:p>
        </w:tc>
        <w:tc>
          <w:tcPr>
            <w:tcW w:w="8505" w:type="dxa"/>
            <w:shd w:val="clear" w:color="auto" w:fill="auto"/>
          </w:tcPr>
          <w:p w14:paraId="062866C2" w14:textId="77777777" w:rsidR="00FA366A" w:rsidRPr="002C21B8" w:rsidRDefault="00FA366A" w:rsidP="00212D46">
            <w:pPr>
              <w:spacing w:after="0" w:line="240" w:lineRule="auto"/>
              <w:rPr>
                <w:sz w:val="20"/>
                <w:szCs w:val="20"/>
              </w:rPr>
            </w:pPr>
            <w:r w:rsidRPr="002C21B8">
              <w:rPr>
                <w:sz w:val="20"/>
                <w:szCs w:val="20"/>
              </w:rPr>
              <w:t>(burn* or scald*):ti</w:t>
            </w:r>
          </w:p>
        </w:tc>
      </w:tr>
      <w:tr w:rsidR="00FA366A" w:rsidRPr="002C21B8" w14:paraId="10486E5B" w14:textId="77777777" w:rsidTr="00960A9F">
        <w:trPr>
          <w:trHeight w:val="320"/>
        </w:trPr>
        <w:tc>
          <w:tcPr>
            <w:tcW w:w="704" w:type="dxa"/>
            <w:shd w:val="clear" w:color="auto" w:fill="auto"/>
            <w:vAlign w:val="center"/>
          </w:tcPr>
          <w:p w14:paraId="6F93A9F5" w14:textId="77777777" w:rsidR="00FA366A" w:rsidRPr="002C21B8" w:rsidRDefault="00FA366A" w:rsidP="00212D46">
            <w:pPr>
              <w:spacing w:after="0" w:line="240" w:lineRule="auto"/>
              <w:rPr>
                <w:sz w:val="20"/>
                <w:szCs w:val="20"/>
              </w:rPr>
            </w:pPr>
            <w:r w:rsidRPr="002C21B8">
              <w:rPr>
                <w:sz w:val="20"/>
                <w:szCs w:val="20"/>
              </w:rPr>
              <w:t>30</w:t>
            </w:r>
          </w:p>
        </w:tc>
        <w:tc>
          <w:tcPr>
            <w:tcW w:w="8505" w:type="dxa"/>
            <w:shd w:val="clear" w:color="auto" w:fill="auto"/>
          </w:tcPr>
          <w:p w14:paraId="0EEC0A01" w14:textId="77777777" w:rsidR="00FA366A" w:rsidRPr="002C21B8" w:rsidRDefault="00FA366A" w:rsidP="00212D46">
            <w:pPr>
              <w:spacing w:after="0" w:line="240" w:lineRule="auto"/>
              <w:rPr>
                <w:sz w:val="20"/>
                <w:szCs w:val="20"/>
              </w:rPr>
            </w:pPr>
            <w:r w:rsidRPr="002C21B8">
              <w:rPr>
                <w:sz w:val="20"/>
                <w:szCs w:val="20"/>
              </w:rPr>
              <w:t>MeSH descriptor: [Neoplasms] explode all trees</w:t>
            </w:r>
          </w:p>
        </w:tc>
      </w:tr>
      <w:tr w:rsidR="00FA366A" w:rsidRPr="002C21B8" w14:paraId="1CE43A4E" w14:textId="77777777" w:rsidTr="00960A9F">
        <w:trPr>
          <w:trHeight w:val="320"/>
        </w:trPr>
        <w:tc>
          <w:tcPr>
            <w:tcW w:w="704" w:type="dxa"/>
            <w:shd w:val="clear" w:color="auto" w:fill="auto"/>
            <w:vAlign w:val="center"/>
          </w:tcPr>
          <w:p w14:paraId="45BE500E" w14:textId="77777777" w:rsidR="00FA366A" w:rsidRPr="002C21B8" w:rsidRDefault="00FA366A" w:rsidP="00212D46">
            <w:pPr>
              <w:spacing w:after="0" w:line="240" w:lineRule="auto"/>
              <w:rPr>
                <w:sz w:val="20"/>
                <w:szCs w:val="20"/>
              </w:rPr>
            </w:pPr>
            <w:r w:rsidRPr="002C21B8">
              <w:rPr>
                <w:sz w:val="20"/>
                <w:szCs w:val="20"/>
              </w:rPr>
              <w:t>31</w:t>
            </w:r>
          </w:p>
        </w:tc>
        <w:tc>
          <w:tcPr>
            <w:tcW w:w="8505" w:type="dxa"/>
            <w:shd w:val="clear" w:color="auto" w:fill="auto"/>
          </w:tcPr>
          <w:p w14:paraId="31120F5D" w14:textId="77777777" w:rsidR="00FA366A" w:rsidRPr="002C21B8" w:rsidRDefault="00FA366A" w:rsidP="00212D46">
            <w:pPr>
              <w:spacing w:after="0" w:line="240" w:lineRule="auto"/>
              <w:rPr>
                <w:sz w:val="20"/>
                <w:szCs w:val="20"/>
              </w:rPr>
            </w:pPr>
            <w:r w:rsidRPr="002C21B8">
              <w:rPr>
                <w:sz w:val="20"/>
                <w:szCs w:val="20"/>
              </w:rPr>
              <w:t>(cancer* or oncolog* or neoplasm* or carcinom* or tumo?r* or malignan* or leuk?emia):ti</w:t>
            </w:r>
          </w:p>
        </w:tc>
      </w:tr>
      <w:tr w:rsidR="00FA366A" w:rsidRPr="002C21B8" w14:paraId="47A1B470" w14:textId="77777777" w:rsidTr="00960A9F">
        <w:trPr>
          <w:trHeight w:val="320"/>
        </w:trPr>
        <w:tc>
          <w:tcPr>
            <w:tcW w:w="704" w:type="dxa"/>
            <w:shd w:val="clear" w:color="auto" w:fill="auto"/>
            <w:vAlign w:val="center"/>
          </w:tcPr>
          <w:p w14:paraId="7A9D7BCD" w14:textId="77777777" w:rsidR="00FA366A" w:rsidRPr="002C21B8" w:rsidRDefault="00FA366A" w:rsidP="00212D46">
            <w:pPr>
              <w:spacing w:after="0" w:line="240" w:lineRule="auto"/>
              <w:rPr>
                <w:sz w:val="20"/>
                <w:szCs w:val="20"/>
              </w:rPr>
            </w:pPr>
            <w:r w:rsidRPr="002C21B8">
              <w:rPr>
                <w:sz w:val="20"/>
                <w:szCs w:val="20"/>
              </w:rPr>
              <w:t>32</w:t>
            </w:r>
          </w:p>
        </w:tc>
        <w:tc>
          <w:tcPr>
            <w:tcW w:w="8505" w:type="dxa"/>
            <w:shd w:val="clear" w:color="auto" w:fill="auto"/>
          </w:tcPr>
          <w:p w14:paraId="06A373E4" w14:textId="77777777" w:rsidR="00FA366A" w:rsidRPr="002C21B8" w:rsidRDefault="00FA366A" w:rsidP="00212D46">
            <w:pPr>
              <w:spacing w:after="0" w:line="240" w:lineRule="auto"/>
              <w:rPr>
                <w:sz w:val="20"/>
                <w:szCs w:val="20"/>
              </w:rPr>
            </w:pPr>
            <w:r w:rsidRPr="002C21B8">
              <w:rPr>
                <w:sz w:val="20"/>
                <w:szCs w:val="20"/>
              </w:rPr>
              <w:t>MeSH descriptor: [Arrhythmias, Cardiac] explode all trees</w:t>
            </w:r>
          </w:p>
        </w:tc>
      </w:tr>
      <w:tr w:rsidR="00FA366A" w:rsidRPr="002C21B8" w14:paraId="06FBAF16" w14:textId="77777777" w:rsidTr="00960A9F">
        <w:trPr>
          <w:trHeight w:val="320"/>
        </w:trPr>
        <w:tc>
          <w:tcPr>
            <w:tcW w:w="704" w:type="dxa"/>
            <w:shd w:val="clear" w:color="auto" w:fill="auto"/>
            <w:vAlign w:val="center"/>
          </w:tcPr>
          <w:p w14:paraId="219418E3" w14:textId="77777777" w:rsidR="00FA366A" w:rsidRPr="002C21B8" w:rsidRDefault="00FA366A" w:rsidP="00212D46">
            <w:pPr>
              <w:spacing w:after="0" w:line="240" w:lineRule="auto"/>
              <w:rPr>
                <w:sz w:val="20"/>
                <w:szCs w:val="20"/>
              </w:rPr>
            </w:pPr>
            <w:r w:rsidRPr="002C21B8">
              <w:rPr>
                <w:sz w:val="20"/>
                <w:szCs w:val="20"/>
              </w:rPr>
              <w:t>33</w:t>
            </w:r>
          </w:p>
        </w:tc>
        <w:tc>
          <w:tcPr>
            <w:tcW w:w="8505" w:type="dxa"/>
            <w:shd w:val="clear" w:color="auto" w:fill="auto"/>
          </w:tcPr>
          <w:p w14:paraId="498B7B08" w14:textId="77777777" w:rsidR="00FA366A" w:rsidRPr="002C21B8" w:rsidRDefault="00FA366A" w:rsidP="00212D46">
            <w:pPr>
              <w:spacing w:after="0" w:line="240" w:lineRule="auto"/>
              <w:rPr>
                <w:sz w:val="20"/>
                <w:szCs w:val="20"/>
              </w:rPr>
            </w:pPr>
            <w:r w:rsidRPr="002C21B8">
              <w:rPr>
                <w:sz w:val="20"/>
                <w:szCs w:val="20"/>
              </w:rPr>
              <w:t>cardiac arrhythm*:ti</w:t>
            </w:r>
          </w:p>
        </w:tc>
      </w:tr>
      <w:tr w:rsidR="00FA366A" w:rsidRPr="002C21B8" w14:paraId="28D12C11" w14:textId="77777777" w:rsidTr="00960A9F">
        <w:trPr>
          <w:trHeight w:val="320"/>
        </w:trPr>
        <w:tc>
          <w:tcPr>
            <w:tcW w:w="704" w:type="dxa"/>
            <w:shd w:val="clear" w:color="auto" w:fill="auto"/>
            <w:vAlign w:val="center"/>
          </w:tcPr>
          <w:p w14:paraId="007895EB" w14:textId="77777777" w:rsidR="00FA366A" w:rsidRPr="002C21B8" w:rsidRDefault="00FA366A" w:rsidP="00212D46">
            <w:pPr>
              <w:spacing w:after="0" w:line="240" w:lineRule="auto"/>
              <w:rPr>
                <w:sz w:val="20"/>
                <w:szCs w:val="20"/>
              </w:rPr>
            </w:pPr>
            <w:r w:rsidRPr="002C21B8">
              <w:rPr>
                <w:sz w:val="20"/>
                <w:szCs w:val="20"/>
              </w:rPr>
              <w:t>34</w:t>
            </w:r>
          </w:p>
        </w:tc>
        <w:tc>
          <w:tcPr>
            <w:tcW w:w="8505" w:type="dxa"/>
            <w:shd w:val="clear" w:color="auto" w:fill="auto"/>
          </w:tcPr>
          <w:p w14:paraId="2D1C1151" w14:textId="77777777" w:rsidR="00FA366A" w:rsidRPr="002C21B8" w:rsidRDefault="00FA366A" w:rsidP="00212D46">
            <w:pPr>
              <w:spacing w:after="0" w:line="240" w:lineRule="auto"/>
              <w:rPr>
                <w:sz w:val="20"/>
                <w:szCs w:val="20"/>
              </w:rPr>
            </w:pPr>
            <w:r w:rsidRPr="002C21B8">
              <w:rPr>
                <w:sz w:val="20"/>
                <w:szCs w:val="20"/>
              </w:rPr>
              <w:t>MeSH descriptor: [Cerebral Palsy] explode all trees</w:t>
            </w:r>
          </w:p>
        </w:tc>
      </w:tr>
      <w:tr w:rsidR="00FA366A" w:rsidRPr="002C21B8" w14:paraId="7FB431F8" w14:textId="77777777" w:rsidTr="00960A9F">
        <w:trPr>
          <w:trHeight w:val="320"/>
        </w:trPr>
        <w:tc>
          <w:tcPr>
            <w:tcW w:w="704" w:type="dxa"/>
            <w:shd w:val="clear" w:color="auto" w:fill="auto"/>
            <w:vAlign w:val="center"/>
          </w:tcPr>
          <w:p w14:paraId="7B944CC5" w14:textId="77777777" w:rsidR="00FA366A" w:rsidRPr="002C21B8" w:rsidRDefault="00FA366A" w:rsidP="00212D46">
            <w:pPr>
              <w:spacing w:after="0" w:line="240" w:lineRule="auto"/>
              <w:rPr>
                <w:sz w:val="20"/>
                <w:szCs w:val="20"/>
              </w:rPr>
            </w:pPr>
            <w:r w:rsidRPr="002C21B8">
              <w:rPr>
                <w:sz w:val="20"/>
                <w:szCs w:val="20"/>
              </w:rPr>
              <w:t>35</w:t>
            </w:r>
          </w:p>
        </w:tc>
        <w:tc>
          <w:tcPr>
            <w:tcW w:w="8505" w:type="dxa"/>
            <w:shd w:val="clear" w:color="auto" w:fill="auto"/>
          </w:tcPr>
          <w:p w14:paraId="035219CB" w14:textId="77777777" w:rsidR="00FA366A" w:rsidRPr="002C21B8" w:rsidRDefault="00FA366A" w:rsidP="00212D46">
            <w:pPr>
              <w:spacing w:after="0" w:line="240" w:lineRule="auto"/>
              <w:rPr>
                <w:sz w:val="20"/>
                <w:szCs w:val="20"/>
              </w:rPr>
            </w:pPr>
            <w:r w:rsidRPr="002C21B8">
              <w:rPr>
                <w:sz w:val="20"/>
                <w:szCs w:val="20"/>
              </w:rPr>
              <w:t>cerebral pals*:ti</w:t>
            </w:r>
          </w:p>
        </w:tc>
      </w:tr>
      <w:tr w:rsidR="00FA366A" w:rsidRPr="002C21B8" w14:paraId="74F7FB0E" w14:textId="77777777" w:rsidTr="00960A9F">
        <w:trPr>
          <w:trHeight w:val="320"/>
        </w:trPr>
        <w:tc>
          <w:tcPr>
            <w:tcW w:w="704" w:type="dxa"/>
            <w:shd w:val="clear" w:color="auto" w:fill="auto"/>
            <w:vAlign w:val="center"/>
          </w:tcPr>
          <w:p w14:paraId="3EEE0443" w14:textId="77777777" w:rsidR="00FA366A" w:rsidRPr="002C21B8" w:rsidRDefault="00FA366A" w:rsidP="00212D46">
            <w:pPr>
              <w:spacing w:after="0" w:line="240" w:lineRule="auto"/>
              <w:rPr>
                <w:sz w:val="20"/>
                <w:szCs w:val="20"/>
              </w:rPr>
            </w:pPr>
            <w:r w:rsidRPr="002C21B8">
              <w:rPr>
                <w:sz w:val="20"/>
                <w:szCs w:val="20"/>
              </w:rPr>
              <w:t>36</w:t>
            </w:r>
          </w:p>
        </w:tc>
        <w:tc>
          <w:tcPr>
            <w:tcW w:w="8505" w:type="dxa"/>
            <w:shd w:val="clear" w:color="auto" w:fill="auto"/>
          </w:tcPr>
          <w:p w14:paraId="4C2650D6" w14:textId="77777777" w:rsidR="00FA366A" w:rsidRPr="002C21B8" w:rsidRDefault="00FA366A" w:rsidP="00212D46">
            <w:pPr>
              <w:spacing w:after="0" w:line="240" w:lineRule="auto"/>
              <w:rPr>
                <w:sz w:val="20"/>
                <w:szCs w:val="20"/>
              </w:rPr>
            </w:pPr>
            <w:r w:rsidRPr="002C21B8">
              <w:rPr>
                <w:sz w:val="20"/>
                <w:szCs w:val="20"/>
              </w:rPr>
              <w:t>MeSH descriptor: [Celiac Disease] explode all trees</w:t>
            </w:r>
          </w:p>
        </w:tc>
      </w:tr>
      <w:tr w:rsidR="00FA366A" w:rsidRPr="002C21B8" w14:paraId="1C4D3BF7" w14:textId="77777777" w:rsidTr="00960A9F">
        <w:trPr>
          <w:trHeight w:val="320"/>
        </w:trPr>
        <w:tc>
          <w:tcPr>
            <w:tcW w:w="704" w:type="dxa"/>
            <w:shd w:val="clear" w:color="auto" w:fill="auto"/>
            <w:vAlign w:val="center"/>
          </w:tcPr>
          <w:p w14:paraId="686735B4" w14:textId="77777777" w:rsidR="00FA366A" w:rsidRPr="002C21B8" w:rsidRDefault="00FA366A" w:rsidP="00212D46">
            <w:pPr>
              <w:spacing w:after="0" w:line="240" w:lineRule="auto"/>
              <w:rPr>
                <w:sz w:val="20"/>
                <w:szCs w:val="20"/>
              </w:rPr>
            </w:pPr>
            <w:r w:rsidRPr="002C21B8">
              <w:rPr>
                <w:sz w:val="20"/>
                <w:szCs w:val="20"/>
              </w:rPr>
              <w:t>37</w:t>
            </w:r>
          </w:p>
        </w:tc>
        <w:tc>
          <w:tcPr>
            <w:tcW w:w="8505" w:type="dxa"/>
            <w:shd w:val="clear" w:color="auto" w:fill="auto"/>
          </w:tcPr>
          <w:p w14:paraId="5A8430B3" w14:textId="77777777" w:rsidR="00FA366A" w:rsidRPr="002C21B8" w:rsidRDefault="00FA366A" w:rsidP="00212D46">
            <w:pPr>
              <w:spacing w:after="0" w:line="240" w:lineRule="auto"/>
              <w:rPr>
                <w:sz w:val="20"/>
                <w:szCs w:val="20"/>
              </w:rPr>
            </w:pPr>
            <w:r w:rsidRPr="002C21B8">
              <w:rPr>
                <w:sz w:val="20"/>
                <w:szCs w:val="20"/>
              </w:rPr>
              <w:t>(c?eliac NEXT (disease or sprue or syndrome)):ti</w:t>
            </w:r>
          </w:p>
        </w:tc>
      </w:tr>
      <w:tr w:rsidR="00FA366A" w:rsidRPr="002C21B8" w14:paraId="2DEC4016" w14:textId="77777777" w:rsidTr="00960A9F">
        <w:trPr>
          <w:trHeight w:val="320"/>
        </w:trPr>
        <w:tc>
          <w:tcPr>
            <w:tcW w:w="704" w:type="dxa"/>
            <w:shd w:val="clear" w:color="auto" w:fill="auto"/>
            <w:vAlign w:val="center"/>
          </w:tcPr>
          <w:p w14:paraId="5A022CA6" w14:textId="77777777" w:rsidR="00FA366A" w:rsidRPr="002C21B8" w:rsidRDefault="00FA366A" w:rsidP="00212D46">
            <w:pPr>
              <w:spacing w:after="0" w:line="240" w:lineRule="auto"/>
              <w:rPr>
                <w:sz w:val="20"/>
                <w:szCs w:val="20"/>
              </w:rPr>
            </w:pPr>
            <w:r w:rsidRPr="002C21B8">
              <w:rPr>
                <w:sz w:val="20"/>
                <w:szCs w:val="20"/>
              </w:rPr>
              <w:t>38</w:t>
            </w:r>
          </w:p>
        </w:tc>
        <w:tc>
          <w:tcPr>
            <w:tcW w:w="8505" w:type="dxa"/>
            <w:shd w:val="clear" w:color="auto" w:fill="auto"/>
          </w:tcPr>
          <w:p w14:paraId="2077C5CE" w14:textId="77777777" w:rsidR="00FA366A" w:rsidRPr="002C21B8" w:rsidRDefault="00FA366A" w:rsidP="00212D46">
            <w:pPr>
              <w:spacing w:after="0" w:line="240" w:lineRule="auto"/>
              <w:rPr>
                <w:sz w:val="20"/>
                <w:szCs w:val="20"/>
              </w:rPr>
            </w:pPr>
            <w:r w:rsidRPr="002C21B8">
              <w:rPr>
                <w:sz w:val="20"/>
                <w:szCs w:val="20"/>
              </w:rPr>
              <w:t>(gluten NEXT (enteropath* or sensitiv* or hypersensitiv* or intoleran*)):ti</w:t>
            </w:r>
          </w:p>
        </w:tc>
      </w:tr>
      <w:tr w:rsidR="00FA366A" w:rsidRPr="002C21B8" w14:paraId="04C8BA07" w14:textId="77777777" w:rsidTr="00960A9F">
        <w:trPr>
          <w:trHeight w:val="320"/>
        </w:trPr>
        <w:tc>
          <w:tcPr>
            <w:tcW w:w="704" w:type="dxa"/>
            <w:shd w:val="clear" w:color="auto" w:fill="auto"/>
            <w:vAlign w:val="center"/>
          </w:tcPr>
          <w:p w14:paraId="5B635412" w14:textId="77777777" w:rsidR="00FA366A" w:rsidRPr="002C21B8" w:rsidRDefault="00FA366A" w:rsidP="00212D46">
            <w:pPr>
              <w:spacing w:after="0" w:line="240" w:lineRule="auto"/>
              <w:rPr>
                <w:sz w:val="20"/>
                <w:szCs w:val="20"/>
              </w:rPr>
            </w:pPr>
            <w:r w:rsidRPr="002C21B8">
              <w:rPr>
                <w:sz w:val="20"/>
                <w:szCs w:val="20"/>
              </w:rPr>
              <w:t>39</w:t>
            </w:r>
          </w:p>
        </w:tc>
        <w:tc>
          <w:tcPr>
            <w:tcW w:w="8505" w:type="dxa"/>
            <w:shd w:val="clear" w:color="auto" w:fill="auto"/>
          </w:tcPr>
          <w:p w14:paraId="0C9D2CB4" w14:textId="77777777" w:rsidR="00FA366A" w:rsidRPr="002C21B8" w:rsidRDefault="00FA366A" w:rsidP="00212D46">
            <w:pPr>
              <w:spacing w:after="0" w:line="240" w:lineRule="auto"/>
              <w:rPr>
                <w:sz w:val="20"/>
                <w:szCs w:val="20"/>
              </w:rPr>
            </w:pPr>
            <w:r w:rsidRPr="002C21B8">
              <w:rPr>
                <w:sz w:val="20"/>
                <w:szCs w:val="20"/>
              </w:rPr>
              <w:t>MeSH descriptor: [Connective Tissue Diseases] explode all trees</w:t>
            </w:r>
          </w:p>
        </w:tc>
      </w:tr>
      <w:tr w:rsidR="00FA366A" w:rsidRPr="002C21B8" w14:paraId="3C43B65F" w14:textId="77777777" w:rsidTr="00960A9F">
        <w:trPr>
          <w:trHeight w:val="320"/>
        </w:trPr>
        <w:tc>
          <w:tcPr>
            <w:tcW w:w="704" w:type="dxa"/>
            <w:shd w:val="clear" w:color="auto" w:fill="auto"/>
            <w:vAlign w:val="center"/>
          </w:tcPr>
          <w:p w14:paraId="239560B5" w14:textId="77777777" w:rsidR="00FA366A" w:rsidRPr="002C21B8" w:rsidRDefault="00FA366A" w:rsidP="00212D46">
            <w:pPr>
              <w:spacing w:after="0" w:line="240" w:lineRule="auto"/>
              <w:rPr>
                <w:sz w:val="20"/>
                <w:szCs w:val="20"/>
              </w:rPr>
            </w:pPr>
            <w:r w:rsidRPr="002C21B8">
              <w:rPr>
                <w:sz w:val="20"/>
                <w:szCs w:val="20"/>
              </w:rPr>
              <w:t>40</w:t>
            </w:r>
          </w:p>
        </w:tc>
        <w:tc>
          <w:tcPr>
            <w:tcW w:w="8505" w:type="dxa"/>
            <w:shd w:val="clear" w:color="auto" w:fill="auto"/>
          </w:tcPr>
          <w:p w14:paraId="34ABC224" w14:textId="77777777" w:rsidR="00FA366A" w:rsidRPr="002C21B8" w:rsidRDefault="00FA366A" w:rsidP="00212D46">
            <w:pPr>
              <w:spacing w:after="0" w:line="240" w:lineRule="auto"/>
              <w:rPr>
                <w:sz w:val="20"/>
                <w:szCs w:val="20"/>
              </w:rPr>
            </w:pPr>
            <w:r w:rsidRPr="002C21B8">
              <w:rPr>
                <w:sz w:val="20"/>
                <w:szCs w:val="20"/>
              </w:rPr>
              <w:t>(connective tissue disease* or sharp syndrome or polymyositis or systemic sclerosis or scleroderma):ti</w:t>
            </w:r>
          </w:p>
        </w:tc>
      </w:tr>
      <w:tr w:rsidR="00FA366A" w:rsidRPr="002C21B8" w14:paraId="6985C94B" w14:textId="77777777" w:rsidTr="00960A9F">
        <w:trPr>
          <w:trHeight w:val="320"/>
        </w:trPr>
        <w:tc>
          <w:tcPr>
            <w:tcW w:w="704" w:type="dxa"/>
            <w:shd w:val="clear" w:color="auto" w:fill="auto"/>
            <w:vAlign w:val="center"/>
          </w:tcPr>
          <w:p w14:paraId="0CB82572" w14:textId="77777777" w:rsidR="00FA366A" w:rsidRPr="002C21B8" w:rsidRDefault="00FA366A" w:rsidP="00212D46">
            <w:pPr>
              <w:spacing w:after="0" w:line="240" w:lineRule="auto"/>
              <w:rPr>
                <w:sz w:val="20"/>
                <w:szCs w:val="20"/>
              </w:rPr>
            </w:pPr>
            <w:r w:rsidRPr="002C21B8">
              <w:rPr>
                <w:sz w:val="20"/>
                <w:szCs w:val="20"/>
              </w:rPr>
              <w:t>41</w:t>
            </w:r>
          </w:p>
        </w:tc>
        <w:tc>
          <w:tcPr>
            <w:tcW w:w="8505" w:type="dxa"/>
            <w:shd w:val="clear" w:color="auto" w:fill="auto"/>
          </w:tcPr>
          <w:p w14:paraId="0F812C1B" w14:textId="77777777" w:rsidR="00FA366A" w:rsidRPr="002C21B8" w:rsidRDefault="00FA366A" w:rsidP="00212D46">
            <w:pPr>
              <w:spacing w:after="0" w:line="240" w:lineRule="auto"/>
              <w:rPr>
                <w:sz w:val="20"/>
                <w:szCs w:val="20"/>
              </w:rPr>
            </w:pPr>
            <w:r w:rsidRPr="002C21B8">
              <w:rPr>
                <w:sz w:val="20"/>
                <w:szCs w:val="20"/>
              </w:rPr>
              <w:t>MeSH descriptor: [Myocardial Ischemia] explode all trees</w:t>
            </w:r>
          </w:p>
        </w:tc>
      </w:tr>
      <w:tr w:rsidR="00FA366A" w:rsidRPr="002C21B8" w14:paraId="120481F2" w14:textId="77777777" w:rsidTr="00960A9F">
        <w:trPr>
          <w:trHeight w:val="320"/>
        </w:trPr>
        <w:tc>
          <w:tcPr>
            <w:tcW w:w="704" w:type="dxa"/>
            <w:shd w:val="clear" w:color="auto" w:fill="auto"/>
            <w:vAlign w:val="center"/>
          </w:tcPr>
          <w:p w14:paraId="4C883902" w14:textId="77777777" w:rsidR="00FA366A" w:rsidRPr="002C21B8" w:rsidRDefault="00FA366A" w:rsidP="00212D46">
            <w:pPr>
              <w:spacing w:after="0" w:line="240" w:lineRule="auto"/>
              <w:rPr>
                <w:sz w:val="20"/>
                <w:szCs w:val="20"/>
              </w:rPr>
            </w:pPr>
            <w:r w:rsidRPr="002C21B8">
              <w:rPr>
                <w:sz w:val="20"/>
                <w:szCs w:val="20"/>
              </w:rPr>
              <w:t>42</w:t>
            </w:r>
          </w:p>
        </w:tc>
        <w:tc>
          <w:tcPr>
            <w:tcW w:w="8505" w:type="dxa"/>
            <w:shd w:val="clear" w:color="auto" w:fill="auto"/>
          </w:tcPr>
          <w:p w14:paraId="20FFD7BF" w14:textId="77777777" w:rsidR="00FA366A" w:rsidRPr="002C21B8" w:rsidRDefault="00FA366A" w:rsidP="00212D46">
            <w:pPr>
              <w:spacing w:after="0" w:line="240" w:lineRule="auto"/>
              <w:rPr>
                <w:sz w:val="20"/>
                <w:szCs w:val="20"/>
              </w:rPr>
            </w:pPr>
            <w:r w:rsidRPr="002C21B8">
              <w:rPr>
                <w:sz w:val="20"/>
                <w:szCs w:val="20"/>
              </w:rPr>
              <w:t>(heart disease* or myocardial ischemia or coronary disease* or coronary artery disease* or coronary heart disease* or myocardial infarct*):ti</w:t>
            </w:r>
          </w:p>
        </w:tc>
      </w:tr>
      <w:tr w:rsidR="00FA366A" w:rsidRPr="002C21B8" w14:paraId="0322FF43" w14:textId="77777777" w:rsidTr="00960A9F">
        <w:trPr>
          <w:trHeight w:val="320"/>
        </w:trPr>
        <w:tc>
          <w:tcPr>
            <w:tcW w:w="704" w:type="dxa"/>
            <w:shd w:val="clear" w:color="auto" w:fill="auto"/>
            <w:vAlign w:val="center"/>
          </w:tcPr>
          <w:p w14:paraId="51F9E64C" w14:textId="77777777" w:rsidR="00FA366A" w:rsidRPr="002C21B8" w:rsidRDefault="00FA366A" w:rsidP="00212D46">
            <w:pPr>
              <w:spacing w:after="0" w:line="240" w:lineRule="auto"/>
              <w:rPr>
                <w:sz w:val="20"/>
                <w:szCs w:val="20"/>
              </w:rPr>
            </w:pPr>
            <w:r w:rsidRPr="002C21B8">
              <w:rPr>
                <w:sz w:val="20"/>
                <w:szCs w:val="20"/>
              </w:rPr>
              <w:t>43</w:t>
            </w:r>
          </w:p>
        </w:tc>
        <w:tc>
          <w:tcPr>
            <w:tcW w:w="8505" w:type="dxa"/>
            <w:shd w:val="clear" w:color="auto" w:fill="auto"/>
          </w:tcPr>
          <w:p w14:paraId="7B04D316" w14:textId="77777777" w:rsidR="00FA366A" w:rsidRPr="002C21B8" w:rsidRDefault="00FA366A" w:rsidP="00212D46">
            <w:pPr>
              <w:spacing w:after="0" w:line="240" w:lineRule="auto"/>
              <w:rPr>
                <w:sz w:val="20"/>
                <w:szCs w:val="20"/>
              </w:rPr>
            </w:pPr>
            <w:r w:rsidRPr="002C21B8">
              <w:rPr>
                <w:sz w:val="20"/>
                <w:szCs w:val="20"/>
              </w:rPr>
              <w:t>MeSH descriptor: [Hypersensitivity] explode all trees</w:t>
            </w:r>
          </w:p>
        </w:tc>
      </w:tr>
      <w:tr w:rsidR="00FA366A" w:rsidRPr="002C21B8" w14:paraId="110F9327" w14:textId="77777777" w:rsidTr="00960A9F">
        <w:trPr>
          <w:trHeight w:val="320"/>
        </w:trPr>
        <w:tc>
          <w:tcPr>
            <w:tcW w:w="704" w:type="dxa"/>
            <w:shd w:val="clear" w:color="auto" w:fill="auto"/>
            <w:vAlign w:val="center"/>
          </w:tcPr>
          <w:p w14:paraId="70A76203" w14:textId="77777777" w:rsidR="00FA366A" w:rsidRPr="002C21B8" w:rsidRDefault="00FA366A" w:rsidP="00212D46">
            <w:pPr>
              <w:spacing w:after="0" w:line="240" w:lineRule="auto"/>
              <w:rPr>
                <w:sz w:val="20"/>
                <w:szCs w:val="20"/>
              </w:rPr>
            </w:pPr>
            <w:r w:rsidRPr="002C21B8">
              <w:rPr>
                <w:sz w:val="20"/>
                <w:szCs w:val="20"/>
              </w:rPr>
              <w:t>44</w:t>
            </w:r>
          </w:p>
        </w:tc>
        <w:tc>
          <w:tcPr>
            <w:tcW w:w="8505" w:type="dxa"/>
            <w:shd w:val="clear" w:color="auto" w:fill="auto"/>
          </w:tcPr>
          <w:p w14:paraId="60680187" w14:textId="77777777" w:rsidR="00FA366A" w:rsidRPr="002C21B8" w:rsidRDefault="00FA366A" w:rsidP="00212D46">
            <w:pPr>
              <w:spacing w:after="0" w:line="240" w:lineRule="auto"/>
              <w:rPr>
                <w:sz w:val="20"/>
                <w:szCs w:val="20"/>
              </w:rPr>
            </w:pPr>
            <w:r w:rsidRPr="002C21B8">
              <w:rPr>
                <w:sz w:val="20"/>
                <w:szCs w:val="20"/>
              </w:rPr>
              <w:t>MeSH descriptor: [Hypersensitivity] explode all trees</w:t>
            </w:r>
          </w:p>
        </w:tc>
      </w:tr>
      <w:tr w:rsidR="00FA366A" w:rsidRPr="002C21B8" w14:paraId="6A141F0A" w14:textId="77777777" w:rsidTr="00960A9F">
        <w:trPr>
          <w:trHeight w:val="320"/>
        </w:trPr>
        <w:tc>
          <w:tcPr>
            <w:tcW w:w="704" w:type="dxa"/>
            <w:shd w:val="clear" w:color="auto" w:fill="auto"/>
            <w:vAlign w:val="center"/>
          </w:tcPr>
          <w:p w14:paraId="1D8D035B" w14:textId="77777777" w:rsidR="00FA366A" w:rsidRPr="002C21B8" w:rsidRDefault="00FA366A" w:rsidP="00212D46">
            <w:pPr>
              <w:spacing w:after="0" w:line="240" w:lineRule="auto"/>
              <w:rPr>
                <w:sz w:val="20"/>
                <w:szCs w:val="20"/>
              </w:rPr>
            </w:pPr>
            <w:r w:rsidRPr="002C21B8">
              <w:rPr>
                <w:sz w:val="20"/>
                <w:szCs w:val="20"/>
              </w:rPr>
              <w:t>45</w:t>
            </w:r>
          </w:p>
        </w:tc>
        <w:tc>
          <w:tcPr>
            <w:tcW w:w="8505" w:type="dxa"/>
            <w:shd w:val="clear" w:color="auto" w:fill="auto"/>
          </w:tcPr>
          <w:p w14:paraId="45C678C6" w14:textId="77777777" w:rsidR="00FA366A" w:rsidRPr="002C21B8" w:rsidRDefault="00FA366A" w:rsidP="00212D46">
            <w:pPr>
              <w:spacing w:after="0" w:line="240" w:lineRule="auto"/>
              <w:rPr>
                <w:sz w:val="20"/>
                <w:szCs w:val="20"/>
              </w:rPr>
            </w:pPr>
            <w:r w:rsidRPr="002C21B8">
              <w:rPr>
                <w:sz w:val="20"/>
                <w:szCs w:val="20"/>
              </w:rPr>
              <w:t>MeSH descriptor: [Allergy and Immunology] explode all trees</w:t>
            </w:r>
          </w:p>
        </w:tc>
      </w:tr>
      <w:tr w:rsidR="00FA366A" w:rsidRPr="002C21B8" w14:paraId="1D440BE6" w14:textId="77777777" w:rsidTr="00960A9F">
        <w:trPr>
          <w:trHeight w:val="320"/>
        </w:trPr>
        <w:tc>
          <w:tcPr>
            <w:tcW w:w="704" w:type="dxa"/>
            <w:shd w:val="clear" w:color="auto" w:fill="auto"/>
            <w:vAlign w:val="center"/>
          </w:tcPr>
          <w:p w14:paraId="20F7BE0B" w14:textId="77777777" w:rsidR="00FA366A" w:rsidRPr="002C21B8" w:rsidRDefault="00FA366A" w:rsidP="00212D46">
            <w:pPr>
              <w:spacing w:after="0" w:line="240" w:lineRule="auto"/>
              <w:rPr>
                <w:sz w:val="20"/>
                <w:szCs w:val="20"/>
              </w:rPr>
            </w:pPr>
            <w:r w:rsidRPr="002C21B8">
              <w:rPr>
                <w:sz w:val="20"/>
                <w:szCs w:val="20"/>
              </w:rPr>
              <w:t>46</w:t>
            </w:r>
          </w:p>
        </w:tc>
        <w:tc>
          <w:tcPr>
            <w:tcW w:w="8505" w:type="dxa"/>
            <w:shd w:val="clear" w:color="auto" w:fill="auto"/>
          </w:tcPr>
          <w:p w14:paraId="5B4265B1" w14:textId="77777777" w:rsidR="00FA366A" w:rsidRPr="002C21B8" w:rsidRDefault="00FA366A" w:rsidP="00212D46">
            <w:pPr>
              <w:spacing w:after="0" w:line="240" w:lineRule="auto"/>
              <w:rPr>
                <w:sz w:val="20"/>
                <w:szCs w:val="20"/>
              </w:rPr>
            </w:pPr>
            <w:r w:rsidRPr="002C21B8">
              <w:rPr>
                <w:sz w:val="20"/>
                <w:szCs w:val="20"/>
              </w:rPr>
              <w:t>MeSH descriptor: [Anaphylaxis] explode all trees</w:t>
            </w:r>
          </w:p>
        </w:tc>
      </w:tr>
      <w:tr w:rsidR="00FA366A" w:rsidRPr="002C21B8" w14:paraId="7FB3C31B" w14:textId="77777777" w:rsidTr="00960A9F">
        <w:trPr>
          <w:trHeight w:val="320"/>
        </w:trPr>
        <w:tc>
          <w:tcPr>
            <w:tcW w:w="704" w:type="dxa"/>
            <w:shd w:val="clear" w:color="auto" w:fill="auto"/>
            <w:vAlign w:val="center"/>
          </w:tcPr>
          <w:p w14:paraId="56892CCD" w14:textId="77777777" w:rsidR="00FA366A" w:rsidRPr="002C21B8" w:rsidRDefault="00FA366A" w:rsidP="00212D46">
            <w:pPr>
              <w:spacing w:after="0" w:line="240" w:lineRule="auto"/>
              <w:rPr>
                <w:sz w:val="20"/>
                <w:szCs w:val="20"/>
              </w:rPr>
            </w:pPr>
            <w:r w:rsidRPr="002C21B8">
              <w:rPr>
                <w:sz w:val="20"/>
                <w:szCs w:val="20"/>
              </w:rPr>
              <w:t>47</w:t>
            </w:r>
          </w:p>
        </w:tc>
        <w:tc>
          <w:tcPr>
            <w:tcW w:w="8505" w:type="dxa"/>
            <w:shd w:val="clear" w:color="auto" w:fill="auto"/>
          </w:tcPr>
          <w:p w14:paraId="6788A1CA" w14:textId="77777777" w:rsidR="00FA366A" w:rsidRPr="002C21B8" w:rsidRDefault="00FA366A" w:rsidP="00212D46">
            <w:pPr>
              <w:spacing w:after="0" w:line="240" w:lineRule="auto"/>
              <w:rPr>
                <w:sz w:val="20"/>
                <w:szCs w:val="20"/>
              </w:rPr>
            </w:pPr>
            <w:r w:rsidRPr="002C21B8">
              <w:rPr>
                <w:sz w:val="20"/>
                <w:szCs w:val="20"/>
              </w:rPr>
              <w:t>(allerg* or hypersensitivit* or tierg* or intolerance or anaphyla*):ti</w:t>
            </w:r>
          </w:p>
        </w:tc>
      </w:tr>
      <w:tr w:rsidR="00FA366A" w:rsidRPr="002C21B8" w14:paraId="457049D2" w14:textId="77777777" w:rsidTr="00960A9F">
        <w:trPr>
          <w:trHeight w:val="320"/>
        </w:trPr>
        <w:tc>
          <w:tcPr>
            <w:tcW w:w="704" w:type="dxa"/>
            <w:shd w:val="clear" w:color="auto" w:fill="auto"/>
            <w:vAlign w:val="center"/>
          </w:tcPr>
          <w:p w14:paraId="2E50E543" w14:textId="77777777" w:rsidR="00FA366A" w:rsidRPr="002C21B8" w:rsidRDefault="00FA366A" w:rsidP="00212D46">
            <w:pPr>
              <w:spacing w:after="0" w:line="240" w:lineRule="auto"/>
              <w:rPr>
                <w:sz w:val="20"/>
                <w:szCs w:val="20"/>
              </w:rPr>
            </w:pPr>
            <w:r w:rsidRPr="002C21B8">
              <w:rPr>
                <w:sz w:val="20"/>
                <w:szCs w:val="20"/>
              </w:rPr>
              <w:t>48</w:t>
            </w:r>
          </w:p>
        </w:tc>
        <w:tc>
          <w:tcPr>
            <w:tcW w:w="8505" w:type="dxa"/>
            <w:shd w:val="clear" w:color="auto" w:fill="auto"/>
          </w:tcPr>
          <w:p w14:paraId="7077F7F4" w14:textId="77777777" w:rsidR="00FA366A" w:rsidRPr="002C21B8" w:rsidRDefault="00FA366A" w:rsidP="00212D46">
            <w:pPr>
              <w:spacing w:after="0" w:line="240" w:lineRule="auto"/>
              <w:rPr>
                <w:sz w:val="20"/>
                <w:szCs w:val="20"/>
              </w:rPr>
            </w:pPr>
            <w:r w:rsidRPr="002C21B8">
              <w:rPr>
                <w:sz w:val="20"/>
                <w:szCs w:val="20"/>
              </w:rPr>
              <w:t>MeSH descriptor: [Asthma] explode all trees</w:t>
            </w:r>
          </w:p>
        </w:tc>
      </w:tr>
      <w:tr w:rsidR="00FA366A" w:rsidRPr="002C21B8" w14:paraId="369B0158" w14:textId="77777777" w:rsidTr="00960A9F">
        <w:trPr>
          <w:trHeight w:val="320"/>
        </w:trPr>
        <w:tc>
          <w:tcPr>
            <w:tcW w:w="704" w:type="dxa"/>
            <w:shd w:val="clear" w:color="auto" w:fill="auto"/>
            <w:vAlign w:val="center"/>
          </w:tcPr>
          <w:p w14:paraId="7FCCD2A1" w14:textId="77777777" w:rsidR="00FA366A" w:rsidRPr="002C21B8" w:rsidRDefault="00FA366A" w:rsidP="00212D46">
            <w:pPr>
              <w:spacing w:after="0" w:line="240" w:lineRule="auto"/>
              <w:rPr>
                <w:sz w:val="20"/>
                <w:szCs w:val="20"/>
              </w:rPr>
            </w:pPr>
            <w:r w:rsidRPr="002C21B8">
              <w:rPr>
                <w:sz w:val="20"/>
                <w:szCs w:val="20"/>
              </w:rPr>
              <w:t>49</w:t>
            </w:r>
          </w:p>
        </w:tc>
        <w:tc>
          <w:tcPr>
            <w:tcW w:w="8505" w:type="dxa"/>
            <w:shd w:val="clear" w:color="auto" w:fill="auto"/>
          </w:tcPr>
          <w:p w14:paraId="6FB9666B" w14:textId="77777777" w:rsidR="00FA366A" w:rsidRPr="002C21B8" w:rsidRDefault="00FA366A" w:rsidP="00212D46">
            <w:pPr>
              <w:spacing w:after="0" w:line="240" w:lineRule="auto"/>
              <w:rPr>
                <w:sz w:val="20"/>
                <w:szCs w:val="20"/>
              </w:rPr>
            </w:pPr>
            <w:r w:rsidRPr="002C21B8">
              <w:rPr>
                <w:sz w:val="20"/>
                <w:szCs w:val="20"/>
              </w:rPr>
              <w:t>MeSH descriptor: [Bronchial Spasm] explode all trees</w:t>
            </w:r>
          </w:p>
        </w:tc>
      </w:tr>
      <w:tr w:rsidR="00FA366A" w:rsidRPr="002C21B8" w14:paraId="2BB81610" w14:textId="77777777" w:rsidTr="00960A9F">
        <w:trPr>
          <w:trHeight w:val="320"/>
        </w:trPr>
        <w:tc>
          <w:tcPr>
            <w:tcW w:w="704" w:type="dxa"/>
            <w:shd w:val="clear" w:color="auto" w:fill="auto"/>
            <w:vAlign w:val="center"/>
          </w:tcPr>
          <w:p w14:paraId="738F6B27" w14:textId="77777777" w:rsidR="00FA366A" w:rsidRPr="002C21B8" w:rsidRDefault="00FA366A" w:rsidP="00212D46">
            <w:pPr>
              <w:spacing w:after="0" w:line="240" w:lineRule="auto"/>
              <w:rPr>
                <w:sz w:val="20"/>
                <w:szCs w:val="20"/>
              </w:rPr>
            </w:pPr>
            <w:r w:rsidRPr="002C21B8">
              <w:rPr>
                <w:sz w:val="20"/>
                <w:szCs w:val="20"/>
              </w:rPr>
              <w:t>50</w:t>
            </w:r>
          </w:p>
        </w:tc>
        <w:tc>
          <w:tcPr>
            <w:tcW w:w="8505" w:type="dxa"/>
            <w:shd w:val="clear" w:color="auto" w:fill="auto"/>
          </w:tcPr>
          <w:p w14:paraId="600E9D5E" w14:textId="77777777" w:rsidR="00FA366A" w:rsidRPr="002C21B8" w:rsidRDefault="00FA366A" w:rsidP="00212D46">
            <w:pPr>
              <w:spacing w:after="0" w:line="240" w:lineRule="auto"/>
              <w:rPr>
                <w:sz w:val="20"/>
                <w:szCs w:val="20"/>
              </w:rPr>
            </w:pPr>
            <w:r w:rsidRPr="002C21B8">
              <w:rPr>
                <w:sz w:val="20"/>
                <w:szCs w:val="20"/>
              </w:rPr>
              <w:t>MeSH descriptor: [Bronchoconstriction] explode all trees</w:t>
            </w:r>
          </w:p>
        </w:tc>
      </w:tr>
      <w:tr w:rsidR="00FA366A" w:rsidRPr="002C21B8" w14:paraId="7F7B4F36" w14:textId="77777777" w:rsidTr="00960A9F">
        <w:trPr>
          <w:trHeight w:val="320"/>
        </w:trPr>
        <w:tc>
          <w:tcPr>
            <w:tcW w:w="704" w:type="dxa"/>
            <w:shd w:val="clear" w:color="auto" w:fill="auto"/>
            <w:vAlign w:val="center"/>
          </w:tcPr>
          <w:p w14:paraId="50332167" w14:textId="77777777" w:rsidR="00FA366A" w:rsidRPr="002C21B8" w:rsidRDefault="00FA366A" w:rsidP="00212D46">
            <w:pPr>
              <w:spacing w:after="0" w:line="240" w:lineRule="auto"/>
              <w:rPr>
                <w:sz w:val="20"/>
                <w:szCs w:val="20"/>
              </w:rPr>
            </w:pPr>
            <w:r w:rsidRPr="002C21B8">
              <w:rPr>
                <w:sz w:val="20"/>
                <w:szCs w:val="20"/>
              </w:rPr>
              <w:t>51</w:t>
            </w:r>
          </w:p>
        </w:tc>
        <w:tc>
          <w:tcPr>
            <w:tcW w:w="8505" w:type="dxa"/>
            <w:shd w:val="clear" w:color="auto" w:fill="auto"/>
          </w:tcPr>
          <w:p w14:paraId="54955218" w14:textId="77777777" w:rsidR="00FA366A" w:rsidRPr="002C21B8" w:rsidRDefault="00FA366A" w:rsidP="00212D46">
            <w:pPr>
              <w:spacing w:after="0" w:line="240" w:lineRule="auto"/>
              <w:rPr>
                <w:sz w:val="20"/>
                <w:szCs w:val="20"/>
              </w:rPr>
            </w:pPr>
            <w:r w:rsidRPr="002C21B8">
              <w:rPr>
                <w:sz w:val="20"/>
                <w:szCs w:val="20"/>
              </w:rPr>
              <w:t>((bronchial* or respiratory or airway* or lung*) NEXT (hypersensitive* or hyperreactiv* or allerg* or insufficiency)):ti</w:t>
            </w:r>
          </w:p>
        </w:tc>
      </w:tr>
      <w:tr w:rsidR="00FA366A" w:rsidRPr="002C21B8" w14:paraId="6DFF04C0" w14:textId="77777777" w:rsidTr="00960A9F">
        <w:trPr>
          <w:trHeight w:val="320"/>
        </w:trPr>
        <w:tc>
          <w:tcPr>
            <w:tcW w:w="704" w:type="dxa"/>
            <w:shd w:val="clear" w:color="auto" w:fill="auto"/>
            <w:vAlign w:val="center"/>
          </w:tcPr>
          <w:p w14:paraId="389ACB6B" w14:textId="77777777" w:rsidR="00FA366A" w:rsidRPr="002C21B8" w:rsidRDefault="00FA366A" w:rsidP="00212D46">
            <w:pPr>
              <w:spacing w:after="0" w:line="240" w:lineRule="auto"/>
              <w:rPr>
                <w:sz w:val="20"/>
                <w:szCs w:val="20"/>
              </w:rPr>
            </w:pPr>
            <w:r w:rsidRPr="002C21B8">
              <w:rPr>
                <w:sz w:val="20"/>
                <w:szCs w:val="20"/>
              </w:rPr>
              <w:t>52</w:t>
            </w:r>
          </w:p>
        </w:tc>
        <w:tc>
          <w:tcPr>
            <w:tcW w:w="8505" w:type="dxa"/>
            <w:shd w:val="clear" w:color="auto" w:fill="auto"/>
          </w:tcPr>
          <w:p w14:paraId="257AAB01" w14:textId="77777777" w:rsidR="00FA366A" w:rsidRPr="002C21B8" w:rsidRDefault="00FA366A" w:rsidP="00212D46">
            <w:pPr>
              <w:spacing w:after="0" w:line="240" w:lineRule="auto"/>
              <w:rPr>
                <w:sz w:val="20"/>
                <w:szCs w:val="20"/>
              </w:rPr>
            </w:pPr>
            <w:r w:rsidRPr="002C21B8">
              <w:rPr>
                <w:sz w:val="20"/>
                <w:szCs w:val="20"/>
              </w:rPr>
              <w:t>(bronch* NEXT (constrict* or spas*)):ti</w:t>
            </w:r>
          </w:p>
        </w:tc>
      </w:tr>
      <w:tr w:rsidR="00FA366A" w:rsidRPr="002C21B8" w14:paraId="682DBFFC" w14:textId="77777777" w:rsidTr="00960A9F">
        <w:trPr>
          <w:trHeight w:val="320"/>
        </w:trPr>
        <w:tc>
          <w:tcPr>
            <w:tcW w:w="704" w:type="dxa"/>
            <w:shd w:val="clear" w:color="auto" w:fill="auto"/>
            <w:vAlign w:val="center"/>
          </w:tcPr>
          <w:p w14:paraId="6B662D36" w14:textId="77777777" w:rsidR="00FA366A" w:rsidRPr="002C21B8" w:rsidRDefault="00FA366A" w:rsidP="00212D46">
            <w:pPr>
              <w:spacing w:after="0" w:line="240" w:lineRule="auto"/>
              <w:rPr>
                <w:sz w:val="20"/>
                <w:szCs w:val="20"/>
              </w:rPr>
            </w:pPr>
            <w:r w:rsidRPr="002C21B8">
              <w:rPr>
                <w:sz w:val="20"/>
                <w:szCs w:val="20"/>
              </w:rPr>
              <w:t>53</w:t>
            </w:r>
          </w:p>
        </w:tc>
        <w:tc>
          <w:tcPr>
            <w:tcW w:w="8505" w:type="dxa"/>
            <w:shd w:val="clear" w:color="auto" w:fill="auto"/>
          </w:tcPr>
          <w:p w14:paraId="49E16D5F" w14:textId="77777777" w:rsidR="00FA366A" w:rsidRPr="002C21B8" w:rsidRDefault="00FA366A" w:rsidP="00212D46">
            <w:pPr>
              <w:spacing w:after="0" w:line="240" w:lineRule="auto"/>
              <w:rPr>
                <w:sz w:val="20"/>
                <w:szCs w:val="20"/>
              </w:rPr>
            </w:pPr>
            <w:r w:rsidRPr="002C21B8">
              <w:rPr>
                <w:sz w:val="20"/>
                <w:szCs w:val="20"/>
              </w:rPr>
              <w:t>(asthma* or wheez* or bronchoconstrict* or antiasthma* or anti-asthma* or bronchal hyperreactivity or bronchospas*):ti</w:t>
            </w:r>
          </w:p>
        </w:tc>
      </w:tr>
      <w:tr w:rsidR="00FA366A" w:rsidRPr="002C21B8" w14:paraId="2B6B8560" w14:textId="77777777" w:rsidTr="00960A9F">
        <w:trPr>
          <w:trHeight w:val="320"/>
        </w:trPr>
        <w:tc>
          <w:tcPr>
            <w:tcW w:w="704" w:type="dxa"/>
            <w:shd w:val="clear" w:color="auto" w:fill="auto"/>
            <w:vAlign w:val="center"/>
          </w:tcPr>
          <w:p w14:paraId="3E2B04A8" w14:textId="77777777" w:rsidR="00FA366A" w:rsidRPr="002C21B8" w:rsidRDefault="00FA366A" w:rsidP="00212D46">
            <w:pPr>
              <w:spacing w:after="0" w:line="240" w:lineRule="auto"/>
              <w:rPr>
                <w:sz w:val="20"/>
                <w:szCs w:val="20"/>
              </w:rPr>
            </w:pPr>
            <w:r w:rsidRPr="002C21B8">
              <w:rPr>
                <w:sz w:val="20"/>
                <w:szCs w:val="20"/>
              </w:rPr>
              <w:t>54</w:t>
            </w:r>
          </w:p>
        </w:tc>
        <w:tc>
          <w:tcPr>
            <w:tcW w:w="8505" w:type="dxa"/>
            <w:shd w:val="clear" w:color="auto" w:fill="auto"/>
          </w:tcPr>
          <w:p w14:paraId="135E8045" w14:textId="77777777" w:rsidR="00FA366A" w:rsidRPr="002C21B8" w:rsidRDefault="00FA366A" w:rsidP="00212D46">
            <w:pPr>
              <w:spacing w:after="0" w:line="240" w:lineRule="auto"/>
              <w:rPr>
                <w:sz w:val="20"/>
                <w:szCs w:val="20"/>
              </w:rPr>
            </w:pPr>
            <w:r w:rsidRPr="002C21B8">
              <w:rPr>
                <w:sz w:val="20"/>
                <w:szCs w:val="20"/>
              </w:rPr>
              <w:t>MeSH descriptor: [Atrial Fibrillation] explode all trees</w:t>
            </w:r>
          </w:p>
        </w:tc>
      </w:tr>
      <w:tr w:rsidR="00FA366A" w:rsidRPr="002C21B8" w14:paraId="0482EA54" w14:textId="77777777" w:rsidTr="00960A9F">
        <w:trPr>
          <w:trHeight w:val="320"/>
        </w:trPr>
        <w:tc>
          <w:tcPr>
            <w:tcW w:w="704" w:type="dxa"/>
            <w:shd w:val="clear" w:color="auto" w:fill="auto"/>
            <w:vAlign w:val="center"/>
          </w:tcPr>
          <w:p w14:paraId="56E87117" w14:textId="77777777" w:rsidR="00FA366A" w:rsidRPr="002C21B8" w:rsidRDefault="00FA366A" w:rsidP="00212D46">
            <w:pPr>
              <w:spacing w:after="0" w:line="240" w:lineRule="auto"/>
              <w:rPr>
                <w:sz w:val="20"/>
                <w:szCs w:val="20"/>
              </w:rPr>
            </w:pPr>
            <w:r w:rsidRPr="002C21B8">
              <w:rPr>
                <w:sz w:val="20"/>
                <w:szCs w:val="20"/>
              </w:rPr>
              <w:t>55</w:t>
            </w:r>
          </w:p>
        </w:tc>
        <w:tc>
          <w:tcPr>
            <w:tcW w:w="8505" w:type="dxa"/>
            <w:shd w:val="clear" w:color="auto" w:fill="auto"/>
          </w:tcPr>
          <w:p w14:paraId="2E47688E" w14:textId="77777777" w:rsidR="00FA366A" w:rsidRPr="002C21B8" w:rsidRDefault="00FA366A" w:rsidP="00212D46">
            <w:pPr>
              <w:spacing w:after="0" w:line="240" w:lineRule="auto"/>
              <w:rPr>
                <w:sz w:val="20"/>
                <w:szCs w:val="20"/>
              </w:rPr>
            </w:pPr>
            <w:r w:rsidRPr="002C21B8">
              <w:rPr>
                <w:sz w:val="20"/>
                <w:szCs w:val="20"/>
              </w:rPr>
              <w:t>((atrial or atrium) NEXT fibril?at*):ti</w:t>
            </w:r>
          </w:p>
        </w:tc>
      </w:tr>
      <w:tr w:rsidR="00FA366A" w:rsidRPr="002C21B8" w14:paraId="5B83B529" w14:textId="77777777" w:rsidTr="00960A9F">
        <w:trPr>
          <w:trHeight w:val="320"/>
        </w:trPr>
        <w:tc>
          <w:tcPr>
            <w:tcW w:w="704" w:type="dxa"/>
            <w:shd w:val="clear" w:color="auto" w:fill="auto"/>
            <w:vAlign w:val="center"/>
          </w:tcPr>
          <w:p w14:paraId="2D644AB8" w14:textId="77777777" w:rsidR="00FA366A" w:rsidRPr="002C21B8" w:rsidRDefault="00FA366A" w:rsidP="00212D46">
            <w:pPr>
              <w:spacing w:after="0" w:line="240" w:lineRule="auto"/>
              <w:rPr>
                <w:sz w:val="20"/>
                <w:szCs w:val="20"/>
              </w:rPr>
            </w:pPr>
            <w:r w:rsidRPr="002C21B8">
              <w:rPr>
                <w:sz w:val="20"/>
                <w:szCs w:val="20"/>
              </w:rPr>
              <w:t>56</w:t>
            </w:r>
          </w:p>
        </w:tc>
        <w:tc>
          <w:tcPr>
            <w:tcW w:w="8505" w:type="dxa"/>
            <w:shd w:val="clear" w:color="auto" w:fill="auto"/>
          </w:tcPr>
          <w:p w14:paraId="7B934324" w14:textId="77777777" w:rsidR="00FA366A" w:rsidRPr="002C21B8" w:rsidRDefault="00FA366A" w:rsidP="00212D46">
            <w:pPr>
              <w:spacing w:after="0" w:line="240" w:lineRule="auto"/>
              <w:rPr>
                <w:sz w:val="20"/>
                <w:szCs w:val="20"/>
              </w:rPr>
            </w:pPr>
            <w:r w:rsidRPr="002C21B8">
              <w:rPr>
                <w:sz w:val="20"/>
                <w:szCs w:val="20"/>
              </w:rPr>
              <w:t>MeSH descriptor: [Fatigue Syndrome, Chronic] explode all trees</w:t>
            </w:r>
          </w:p>
        </w:tc>
      </w:tr>
      <w:tr w:rsidR="00FA366A" w:rsidRPr="002C21B8" w14:paraId="60DE65BE" w14:textId="77777777" w:rsidTr="00960A9F">
        <w:trPr>
          <w:trHeight w:val="320"/>
        </w:trPr>
        <w:tc>
          <w:tcPr>
            <w:tcW w:w="704" w:type="dxa"/>
            <w:shd w:val="clear" w:color="auto" w:fill="auto"/>
            <w:vAlign w:val="center"/>
          </w:tcPr>
          <w:p w14:paraId="66C9D41D" w14:textId="77777777" w:rsidR="00FA366A" w:rsidRPr="002C21B8" w:rsidRDefault="00FA366A" w:rsidP="00212D46">
            <w:pPr>
              <w:spacing w:after="0" w:line="240" w:lineRule="auto"/>
              <w:rPr>
                <w:sz w:val="20"/>
                <w:szCs w:val="20"/>
              </w:rPr>
            </w:pPr>
            <w:r w:rsidRPr="002C21B8">
              <w:rPr>
                <w:sz w:val="20"/>
                <w:szCs w:val="20"/>
              </w:rPr>
              <w:t>57</w:t>
            </w:r>
          </w:p>
        </w:tc>
        <w:tc>
          <w:tcPr>
            <w:tcW w:w="8505" w:type="dxa"/>
            <w:shd w:val="clear" w:color="auto" w:fill="auto"/>
          </w:tcPr>
          <w:p w14:paraId="67DB3DCA" w14:textId="77777777" w:rsidR="00FA366A" w:rsidRPr="002C21B8" w:rsidRDefault="00FA366A" w:rsidP="00212D46">
            <w:pPr>
              <w:spacing w:after="0" w:line="240" w:lineRule="auto"/>
              <w:rPr>
                <w:sz w:val="20"/>
                <w:szCs w:val="20"/>
              </w:rPr>
            </w:pPr>
            <w:r w:rsidRPr="002C21B8">
              <w:rPr>
                <w:sz w:val="20"/>
                <w:szCs w:val="20"/>
              </w:rPr>
              <w:t>MeSH descriptor: [Epilepsies, Myoclonic] explode all trees</w:t>
            </w:r>
          </w:p>
        </w:tc>
      </w:tr>
      <w:tr w:rsidR="00FA366A" w:rsidRPr="002C21B8" w14:paraId="295F9C9B" w14:textId="77777777" w:rsidTr="00960A9F">
        <w:trPr>
          <w:trHeight w:val="320"/>
        </w:trPr>
        <w:tc>
          <w:tcPr>
            <w:tcW w:w="704" w:type="dxa"/>
            <w:shd w:val="clear" w:color="auto" w:fill="auto"/>
            <w:vAlign w:val="center"/>
          </w:tcPr>
          <w:p w14:paraId="4EF2116D" w14:textId="77777777" w:rsidR="00FA366A" w:rsidRPr="002C21B8" w:rsidRDefault="00FA366A" w:rsidP="00212D46">
            <w:pPr>
              <w:spacing w:after="0" w:line="240" w:lineRule="auto"/>
              <w:rPr>
                <w:sz w:val="20"/>
                <w:szCs w:val="20"/>
              </w:rPr>
            </w:pPr>
            <w:r w:rsidRPr="002C21B8">
              <w:rPr>
                <w:sz w:val="20"/>
                <w:szCs w:val="20"/>
              </w:rPr>
              <w:t>58</w:t>
            </w:r>
          </w:p>
        </w:tc>
        <w:tc>
          <w:tcPr>
            <w:tcW w:w="8505" w:type="dxa"/>
            <w:shd w:val="clear" w:color="auto" w:fill="auto"/>
          </w:tcPr>
          <w:p w14:paraId="37934F8D" w14:textId="77777777" w:rsidR="00FA366A" w:rsidRPr="002C21B8" w:rsidRDefault="00FA366A" w:rsidP="00212D46">
            <w:pPr>
              <w:spacing w:after="0" w:line="240" w:lineRule="auto"/>
              <w:rPr>
                <w:sz w:val="20"/>
                <w:szCs w:val="20"/>
              </w:rPr>
            </w:pPr>
            <w:r w:rsidRPr="002C21B8">
              <w:rPr>
                <w:sz w:val="20"/>
                <w:szCs w:val="20"/>
              </w:rPr>
              <w:t>(dravet syndrome* or "severe myoclonic epilepsy of infancy" or "severe myoclonic epilepsy in infancy" or "severe polymorphic epilepsy of infancy"):ti</w:t>
            </w:r>
          </w:p>
        </w:tc>
      </w:tr>
      <w:tr w:rsidR="00FA366A" w:rsidRPr="002C21B8" w14:paraId="1BC322AC" w14:textId="77777777" w:rsidTr="00960A9F">
        <w:trPr>
          <w:trHeight w:val="320"/>
        </w:trPr>
        <w:tc>
          <w:tcPr>
            <w:tcW w:w="704" w:type="dxa"/>
            <w:shd w:val="clear" w:color="auto" w:fill="auto"/>
            <w:vAlign w:val="center"/>
          </w:tcPr>
          <w:p w14:paraId="5407AB9E" w14:textId="77777777" w:rsidR="00FA366A" w:rsidRPr="002C21B8" w:rsidRDefault="00FA366A" w:rsidP="00212D46">
            <w:pPr>
              <w:spacing w:after="0" w:line="240" w:lineRule="auto"/>
              <w:rPr>
                <w:sz w:val="20"/>
                <w:szCs w:val="20"/>
              </w:rPr>
            </w:pPr>
            <w:r w:rsidRPr="002C21B8">
              <w:rPr>
                <w:sz w:val="20"/>
                <w:szCs w:val="20"/>
              </w:rPr>
              <w:t>59</w:t>
            </w:r>
          </w:p>
        </w:tc>
        <w:tc>
          <w:tcPr>
            <w:tcW w:w="8505" w:type="dxa"/>
            <w:shd w:val="clear" w:color="auto" w:fill="auto"/>
          </w:tcPr>
          <w:p w14:paraId="454FA6E9" w14:textId="77777777" w:rsidR="00FA366A" w:rsidRPr="002C21B8" w:rsidRDefault="00FA366A" w:rsidP="00212D46">
            <w:pPr>
              <w:spacing w:after="0" w:line="240" w:lineRule="auto"/>
              <w:rPr>
                <w:sz w:val="20"/>
                <w:szCs w:val="20"/>
              </w:rPr>
            </w:pPr>
            <w:r w:rsidRPr="002C21B8">
              <w:rPr>
                <w:sz w:val="20"/>
                <w:szCs w:val="20"/>
              </w:rPr>
              <w:t>MeSH descriptor: [Kidney Failure, Chronic] explode all trees</w:t>
            </w:r>
          </w:p>
        </w:tc>
      </w:tr>
      <w:tr w:rsidR="00FA366A" w:rsidRPr="002C21B8" w14:paraId="1C0523D2" w14:textId="77777777" w:rsidTr="00960A9F">
        <w:trPr>
          <w:trHeight w:val="320"/>
        </w:trPr>
        <w:tc>
          <w:tcPr>
            <w:tcW w:w="704" w:type="dxa"/>
            <w:shd w:val="clear" w:color="auto" w:fill="auto"/>
            <w:vAlign w:val="center"/>
          </w:tcPr>
          <w:p w14:paraId="2815D4C9" w14:textId="77777777" w:rsidR="00FA366A" w:rsidRPr="002C21B8" w:rsidRDefault="00FA366A" w:rsidP="00212D46">
            <w:pPr>
              <w:spacing w:after="0" w:line="240" w:lineRule="auto"/>
              <w:rPr>
                <w:sz w:val="20"/>
                <w:szCs w:val="20"/>
              </w:rPr>
            </w:pPr>
            <w:r w:rsidRPr="002C21B8">
              <w:rPr>
                <w:sz w:val="20"/>
                <w:szCs w:val="20"/>
              </w:rPr>
              <w:t>60</w:t>
            </w:r>
          </w:p>
        </w:tc>
        <w:tc>
          <w:tcPr>
            <w:tcW w:w="8505" w:type="dxa"/>
            <w:shd w:val="clear" w:color="auto" w:fill="auto"/>
          </w:tcPr>
          <w:p w14:paraId="6890F49D" w14:textId="77777777" w:rsidR="00FA366A" w:rsidRPr="002C21B8" w:rsidRDefault="00FA366A" w:rsidP="00212D46">
            <w:pPr>
              <w:spacing w:after="0" w:line="240" w:lineRule="auto"/>
              <w:rPr>
                <w:sz w:val="20"/>
                <w:szCs w:val="20"/>
              </w:rPr>
            </w:pPr>
            <w:r w:rsidRPr="002C21B8">
              <w:rPr>
                <w:sz w:val="20"/>
                <w:szCs w:val="20"/>
              </w:rPr>
              <w:t>(chronic NEXT (kidney or kidney) NEXT (disease* or failure or insufficien*)):ti</w:t>
            </w:r>
          </w:p>
        </w:tc>
      </w:tr>
      <w:tr w:rsidR="00FA366A" w:rsidRPr="002C21B8" w14:paraId="24D2B7B8" w14:textId="77777777" w:rsidTr="00960A9F">
        <w:trPr>
          <w:trHeight w:val="320"/>
        </w:trPr>
        <w:tc>
          <w:tcPr>
            <w:tcW w:w="704" w:type="dxa"/>
            <w:shd w:val="clear" w:color="auto" w:fill="auto"/>
            <w:vAlign w:val="center"/>
          </w:tcPr>
          <w:p w14:paraId="0C3C01A4" w14:textId="77777777" w:rsidR="00FA366A" w:rsidRPr="002C21B8" w:rsidRDefault="00FA366A" w:rsidP="00212D46">
            <w:pPr>
              <w:spacing w:after="0" w:line="240" w:lineRule="auto"/>
              <w:rPr>
                <w:sz w:val="20"/>
                <w:szCs w:val="20"/>
              </w:rPr>
            </w:pPr>
            <w:r w:rsidRPr="002C21B8">
              <w:rPr>
                <w:sz w:val="20"/>
                <w:szCs w:val="20"/>
              </w:rPr>
              <w:t>61</w:t>
            </w:r>
          </w:p>
        </w:tc>
        <w:tc>
          <w:tcPr>
            <w:tcW w:w="8505" w:type="dxa"/>
            <w:shd w:val="clear" w:color="auto" w:fill="auto"/>
          </w:tcPr>
          <w:p w14:paraId="75179597" w14:textId="77777777" w:rsidR="00FA366A" w:rsidRPr="002C21B8" w:rsidRDefault="00FA366A" w:rsidP="00212D46">
            <w:pPr>
              <w:spacing w:after="0" w:line="240" w:lineRule="auto"/>
              <w:rPr>
                <w:sz w:val="20"/>
                <w:szCs w:val="20"/>
              </w:rPr>
            </w:pPr>
            <w:r w:rsidRPr="002C21B8">
              <w:rPr>
                <w:sz w:val="20"/>
                <w:szCs w:val="20"/>
              </w:rPr>
              <w:t>(CKD or CRF or CRD or ESKD or ESRD or ESRF):ti</w:t>
            </w:r>
          </w:p>
        </w:tc>
      </w:tr>
      <w:tr w:rsidR="00FA366A" w:rsidRPr="002C21B8" w14:paraId="0366EBCE" w14:textId="77777777" w:rsidTr="00960A9F">
        <w:trPr>
          <w:trHeight w:val="320"/>
        </w:trPr>
        <w:tc>
          <w:tcPr>
            <w:tcW w:w="704" w:type="dxa"/>
            <w:shd w:val="clear" w:color="auto" w:fill="auto"/>
            <w:vAlign w:val="center"/>
          </w:tcPr>
          <w:p w14:paraId="42DEDD0B" w14:textId="77777777" w:rsidR="00FA366A" w:rsidRPr="002C21B8" w:rsidRDefault="00FA366A" w:rsidP="00212D46">
            <w:pPr>
              <w:spacing w:after="0" w:line="240" w:lineRule="auto"/>
              <w:rPr>
                <w:sz w:val="20"/>
                <w:szCs w:val="20"/>
              </w:rPr>
            </w:pPr>
            <w:r w:rsidRPr="002C21B8">
              <w:rPr>
                <w:sz w:val="20"/>
                <w:szCs w:val="20"/>
              </w:rPr>
              <w:t>62</w:t>
            </w:r>
          </w:p>
        </w:tc>
        <w:tc>
          <w:tcPr>
            <w:tcW w:w="8505" w:type="dxa"/>
            <w:shd w:val="clear" w:color="auto" w:fill="auto"/>
          </w:tcPr>
          <w:p w14:paraId="7AD2C89B" w14:textId="77777777" w:rsidR="00FA366A" w:rsidRPr="002C21B8" w:rsidRDefault="00FA366A" w:rsidP="00212D46">
            <w:pPr>
              <w:spacing w:after="0" w:line="240" w:lineRule="auto"/>
              <w:rPr>
                <w:sz w:val="20"/>
                <w:szCs w:val="20"/>
              </w:rPr>
            </w:pPr>
            <w:r w:rsidRPr="002C21B8">
              <w:rPr>
                <w:sz w:val="20"/>
                <w:szCs w:val="20"/>
              </w:rPr>
              <w:t>MeSH descriptor: [Pulmonary Disease, Chronic Obstructive] explode all trees</w:t>
            </w:r>
          </w:p>
        </w:tc>
      </w:tr>
      <w:tr w:rsidR="00FA366A" w:rsidRPr="002C21B8" w14:paraId="255C4332" w14:textId="77777777" w:rsidTr="00960A9F">
        <w:trPr>
          <w:trHeight w:val="320"/>
        </w:trPr>
        <w:tc>
          <w:tcPr>
            <w:tcW w:w="704" w:type="dxa"/>
            <w:shd w:val="clear" w:color="auto" w:fill="auto"/>
            <w:vAlign w:val="center"/>
          </w:tcPr>
          <w:p w14:paraId="1E70FD4D" w14:textId="77777777" w:rsidR="00FA366A" w:rsidRPr="002C21B8" w:rsidRDefault="00FA366A" w:rsidP="00212D46">
            <w:pPr>
              <w:spacing w:after="0" w:line="240" w:lineRule="auto"/>
              <w:rPr>
                <w:sz w:val="20"/>
                <w:szCs w:val="20"/>
              </w:rPr>
            </w:pPr>
            <w:r w:rsidRPr="002C21B8">
              <w:rPr>
                <w:sz w:val="20"/>
                <w:szCs w:val="20"/>
              </w:rPr>
              <w:t>63</w:t>
            </w:r>
          </w:p>
        </w:tc>
        <w:tc>
          <w:tcPr>
            <w:tcW w:w="8505" w:type="dxa"/>
            <w:shd w:val="clear" w:color="auto" w:fill="auto"/>
          </w:tcPr>
          <w:p w14:paraId="6FB2470A" w14:textId="77777777" w:rsidR="00FA366A" w:rsidRPr="002C21B8" w:rsidRDefault="00FA366A" w:rsidP="00212D46">
            <w:pPr>
              <w:spacing w:after="0" w:line="240" w:lineRule="auto"/>
              <w:rPr>
                <w:sz w:val="20"/>
                <w:szCs w:val="20"/>
              </w:rPr>
            </w:pPr>
            <w:r w:rsidRPr="002C21B8">
              <w:rPr>
                <w:sz w:val="20"/>
                <w:szCs w:val="20"/>
              </w:rPr>
              <w:t>(obstruct* NEXT (pulmonary or lung* or airway* or airflow* or bronch* or respirat*)):ti</w:t>
            </w:r>
          </w:p>
        </w:tc>
      </w:tr>
      <w:tr w:rsidR="00FA366A" w:rsidRPr="002C21B8" w14:paraId="7FB256FC" w14:textId="77777777" w:rsidTr="00960A9F">
        <w:trPr>
          <w:trHeight w:val="320"/>
        </w:trPr>
        <w:tc>
          <w:tcPr>
            <w:tcW w:w="704" w:type="dxa"/>
            <w:shd w:val="clear" w:color="auto" w:fill="auto"/>
            <w:vAlign w:val="center"/>
          </w:tcPr>
          <w:p w14:paraId="5F8A92AE" w14:textId="77777777" w:rsidR="00FA366A" w:rsidRPr="002C21B8" w:rsidRDefault="00FA366A" w:rsidP="00212D46">
            <w:pPr>
              <w:spacing w:after="0" w:line="240" w:lineRule="auto"/>
              <w:rPr>
                <w:sz w:val="20"/>
                <w:szCs w:val="20"/>
              </w:rPr>
            </w:pPr>
            <w:r w:rsidRPr="002C21B8">
              <w:rPr>
                <w:sz w:val="20"/>
                <w:szCs w:val="20"/>
              </w:rPr>
              <w:t>64</w:t>
            </w:r>
          </w:p>
        </w:tc>
        <w:tc>
          <w:tcPr>
            <w:tcW w:w="8505" w:type="dxa"/>
            <w:shd w:val="clear" w:color="auto" w:fill="auto"/>
          </w:tcPr>
          <w:p w14:paraId="6229FBEB" w14:textId="77777777" w:rsidR="00FA366A" w:rsidRPr="002C21B8" w:rsidRDefault="00FA366A" w:rsidP="00212D46">
            <w:pPr>
              <w:spacing w:after="0" w:line="240" w:lineRule="auto"/>
              <w:rPr>
                <w:sz w:val="20"/>
                <w:szCs w:val="20"/>
              </w:rPr>
            </w:pPr>
            <w:r w:rsidRPr="002C21B8">
              <w:rPr>
                <w:sz w:val="20"/>
                <w:szCs w:val="20"/>
              </w:rPr>
              <w:t>(chronic* NEXT bronchiti*):ti</w:t>
            </w:r>
          </w:p>
        </w:tc>
      </w:tr>
      <w:tr w:rsidR="00FA366A" w:rsidRPr="002C21B8" w14:paraId="75F3EA5E" w14:textId="77777777" w:rsidTr="00960A9F">
        <w:trPr>
          <w:trHeight w:val="320"/>
        </w:trPr>
        <w:tc>
          <w:tcPr>
            <w:tcW w:w="704" w:type="dxa"/>
            <w:shd w:val="clear" w:color="auto" w:fill="auto"/>
            <w:vAlign w:val="center"/>
          </w:tcPr>
          <w:p w14:paraId="77C001F9" w14:textId="77777777" w:rsidR="00FA366A" w:rsidRPr="002C21B8" w:rsidRDefault="00FA366A" w:rsidP="00212D46">
            <w:pPr>
              <w:spacing w:after="0" w:line="240" w:lineRule="auto"/>
              <w:rPr>
                <w:sz w:val="20"/>
                <w:szCs w:val="20"/>
              </w:rPr>
            </w:pPr>
            <w:r w:rsidRPr="002C21B8">
              <w:rPr>
                <w:sz w:val="20"/>
                <w:szCs w:val="20"/>
              </w:rPr>
              <w:t>65</w:t>
            </w:r>
          </w:p>
        </w:tc>
        <w:tc>
          <w:tcPr>
            <w:tcW w:w="8505" w:type="dxa"/>
            <w:shd w:val="clear" w:color="auto" w:fill="auto"/>
          </w:tcPr>
          <w:p w14:paraId="1C189409" w14:textId="77777777" w:rsidR="00FA366A" w:rsidRPr="002C21B8" w:rsidRDefault="00FA366A" w:rsidP="00212D46">
            <w:pPr>
              <w:spacing w:after="0" w:line="240" w:lineRule="auto"/>
              <w:rPr>
                <w:sz w:val="20"/>
                <w:szCs w:val="20"/>
              </w:rPr>
            </w:pPr>
            <w:r w:rsidRPr="002C21B8">
              <w:rPr>
                <w:sz w:val="20"/>
                <w:szCs w:val="20"/>
              </w:rPr>
              <w:t>("chronic obstructive pulmonary disease" or "chronic obstructive airways disease" or "lung disease" or emphysema* or COPD or CAL or COAD or COLD or CBD or AECB):ti</w:t>
            </w:r>
          </w:p>
        </w:tc>
      </w:tr>
      <w:tr w:rsidR="00FA366A" w:rsidRPr="002C21B8" w14:paraId="0865ACAE" w14:textId="77777777" w:rsidTr="00960A9F">
        <w:trPr>
          <w:trHeight w:val="320"/>
        </w:trPr>
        <w:tc>
          <w:tcPr>
            <w:tcW w:w="704" w:type="dxa"/>
            <w:shd w:val="clear" w:color="auto" w:fill="auto"/>
            <w:vAlign w:val="center"/>
          </w:tcPr>
          <w:p w14:paraId="297314D5" w14:textId="77777777" w:rsidR="00FA366A" w:rsidRPr="002C21B8" w:rsidRDefault="00FA366A" w:rsidP="00212D46">
            <w:pPr>
              <w:spacing w:after="0" w:line="240" w:lineRule="auto"/>
              <w:rPr>
                <w:sz w:val="20"/>
                <w:szCs w:val="20"/>
              </w:rPr>
            </w:pPr>
            <w:r w:rsidRPr="002C21B8">
              <w:rPr>
                <w:sz w:val="20"/>
                <w:szCs w:val="20"/>
              </w:rPr>
              <w:t>66</w:t>
            </w:r>
          </w:p>
        </w:tc>
        <w:tc>
          <w:tcPr>
            <w:tcW w:w="8505" w:type="dxa"/>
            <w:shd w:val="clear" w:color="auto" w:fill="auto"/>
          </w:tcPr>
          <w:p w14:paraId="3EF2EC72" w14:textId="77777777" w:rsidR="00FA366A" w:rsidRPr="002C21B8" w:rsidRDefault="00FA366A" w:rsidP="00212D46">
            <w:pPr>
              <w:spacing w:after="0" w:line="240" w:lineRule="auto"/>
              <w:rPr>
                <w:sz w:val="20"/>
                <w:szCs w:val="20"/>
              </w:rPr>
            </w:pPr>
            <w:r w:rsidRPr="002C21B8">
              <w:rPr>
                <w:sz w:val="20"/>
                <w:szCs w:val="20"/>
              </w:rPr>
              <w:t>MeSH descriptor: [Heart Failure] explode all trees</w:t>
            </w:r>
          </w:p>
        </w:tc>
      </w:tr>
      <w:tr w:rsidR="00FA366A" w:rsidRPr="002C21B8" w14:paraId="5F314FB8" w14:textId="77777777" w:rsidTr="00960A9F">
        <w:trPr>
          <w:trHeight w:val="320"/>
        </w:trPr>
        <w:tc>
          <w:tcPr>
            <w:tcW w:w="704" w:type="dxa"/>
            <w:shd w:val="clear" w:color="auto" w:fill="auto"/>
            <w:vAlign w:val="center"/>
          </w:tcPr>
          <w:p w14:paraId="3F9E4BD4" w14:textId="77777777" w:rsidR="00FA366A" w:rsidRPr="002C21B8" w:rsidRDefault="00FA366A" w:rsidP="00212D46">
            <w:pPr>
              <w:spacing w:after="0" w:line="240" w:lineRule="auto"/>
              <w:rPr>
                <w:sz w:val="20"/>
                <w:szCs w:val="20"/>
              </w:rPr>
            </w:pPr>
            <w:r w:rsidRPr="002C21B8">
              <w:rPr>
                <w:sz w:val="20"/>
                <w:szCs w:val="20"/>
              </w:rPr>
              <w:t>67</w:t>
            </w:r>
          </w:p>
        </w:tc>
        <w:tc>
          <w:tcPr>
            <w:tcW w:w="8505" w:type="dxa"/>
            <w:shd w:val="clear" w:color="auto" w:fill="auto"/>
          </w:tcPr>
          <w:p w14:paraId="36CFDBD5" w14:textId="77777777" w:rsidR="00FA366A" w:rsidRPr="002C21B8" w:rsidRDefault="00FA366A" w:rsidP="00212D46">
            <w:pPr>
              <w:spacing w:after="0" w:line="240" w:lineRule="auto"/>
              <w:rPr>
                <w:sz w:val="20"/>
                <w:szCs w:val="20"/>
              </w:rPr>
            </w:pPr>
            <w:r w:rsidRPr="002C21B8">
              <w:rPr>
                <w:sz w:val="20"/>
                <w:szCs w:val="20"/>
              </w:rPr>
              <w:t>((heart or cardiac or myocardial) NEXT (failure or decompensation)):ti</w:t>
            </w:r>
          </w:p>
        </w:tc>
      </w:tr>
      <w:tr w:rsidR="00FA366A" w:rsidRPr="002C21B8" w14:paraId="0034D489" w14:textId="77777777" w:rsidTr="00960A9F">
        <w:trPr>
          <w:trHeight w:val="320"/>
        </w:trPr>
        <w:tc>
          <w:tcPr>
            <w:tcW w:w="704" w:type="dxa"/>
            <w:shd w:val="clear" w:color="auto" w:fill="auto"/>
            <w:vAlign w:val="center"/>
          </w:tcPr>
          <w:p w14:paraId="01CC41C7" w14:textId="77777777" w:rsidR="00FA366A" w:rsidRPr="002C21B8" w:rsidRDefault="00FA366A" w:rsidP="00212D46">
            <w:pPr>
              <w:spacing w:after="0" w:line="240" w:lineRule="auto"/>
              <w:rPr>
                <w:sz w:val="20"/>
                <w:szCs w:val="20"/>
              </w:rPr>
            </w:pPr>
            <w:r w:rsidRPr="002C21B8">
              <w:rPr>
                <w:sz w:val="20"/>
                <w:szCs w:val="20"/>
              </w:rPr>
              <w:t>68</w:t>
            </w:r>
          </w:p>
        </w:tc>
        <w:tc>
          <w:tcPr>
            <w:tcW w:w="8505" w:type="dxa"/>
            <w:shd w:val="clear" w:color="auto" w:fill="auto"/>
          </w:tcPr>
          <w:p w14:paraId="14043368" w14:textId="77777777" w:rsidR="00FA366A" w:rsidRPr="002C21B8" w:rsidRDefault="00FA366A" w:rsidP="00212D46">
            <w:pPr>
              <w:spacing w:after="0" w:line="240" w:lineRule="auto"/>
              <w:rPr>
                <w:sz w:val="20"/>
                <w:szCs w:val="20"/>
              </w:rPr>
            </w:pPr>
            <w:r w:rsidRPr="002C21B8">
              <w:rPr>
                <w:sz w:val="20"/>
                <w:szCs w:val="20"/>
              </w:rPr>
              <w:t>((congestive or acute or decompensat* or chronic) NEXT heart failure):ti</w:t>
            </w:r>
          </w:p>
        </w:tc>
      </w:tr>
      <w:tr w:rsidR="00FA366A" w:rsidRPr="002C21B8" w14:paraId="52BDC340" w14:textId="77777777" w:rsidTr="00960A9F">
        <w:trPr>
          <w:trHeight w:val="320"/>
        </w:trPr>
        <w:tc>
          <w:tcPr>
            <w:tcW w:w="704" w:type="dxa"/>
            <w:shd w:val="clear" w:color="auto" w:fill="auto"/>
            <w:vAlign w:val="center"/>
          </w:tcPr>
          <w:p w14:paraId="05CA3549" w14:textId="77777777" w:rsidR="00FA366A" w:rsidRPr="002C21B8" w:rsidRDefault="00FA366A" w:rsidP="00212D46">
            <w:pPr>
              <w:spacing w:after="0" w:line="240" w:lineRule="auto"/>
              <w:rPr>
                <w:sz w:val="20"/>
                <w:szCs w:val="20"/>
              </w:rPr>
            </w:pPr>
            <w:r w:rsidRPr="002C21B8">
              <w:rPr>
                <w:sz w:val="20"/>
                <w:szCs w:val="20"/>
              </w:rPr>
              <w:t>69</w:t>
            </w:r>
          </w:p>
        </w:tc>
        <w:tc>
          <w:tcPr>
            <w:tcW w:w="8505" w:type="dxa"/>
            <w:shd w:val="clear" w:color="auto" w:fill="auto"/>
          </w:tcPr>
          <w:p w14:paraId="396AD6C3" w14:textId="77777777" w:rsidR="00FA366A" w:rsidRPr="002C21B8" w:rsidRDefault="00FA366A" w:rsidP="00212D46">
            <w:pPr>
              <w:spacing w:after="0" w:line="240" w:lineRule="auto"/>
              <w:rPr>
                <w:sz w:val="20"/>
                <w:szCs w:val="20"/>
              </w:rPr>
            </w:pPr>
            <w:r w:rsidRPr="002C21B8">
              <w:rPr>
                <w:sz w:val="20"/>
                <w:szCs w:val="20"/>
              </w:rPr>
              <w:t>MeSH descriptor: [Dementia] explode all trees</w:t>
            </w:r>
          </w:p>
        </w:tc>
      </w:tr>
      <w:tr w:rsidR="00FA366A" w:rsidRPr="002C21B8" w14:paraId="0F98A9FF" w14:textId="77777777" w:rsidTr="00960A9F">
        <w:trPr>
          <w:trHeight w:val="320"/>
        </w:trPr>
        <w:tc>
          <w:tcPr>
            <w:tcW w:w="704" w:type="dxa"/>
            <w:shd w:val="clear" w:color="auto" w:fill="auto"/>
            <w:vAlign w:val="center"/>
          </w:tcPr>
          <w:p w14:paraId="54F86217" w14:textId="77777777" w:rsidR="00FA366A" w:rsidRPr="002C21B8" w:rsidRDefault="00FA366A" w:rsidP="00212D46">
            <w:pPr>
              <w:spacing w:after="0" w:line="240" w:lineRule="auto"/>
              <w:rPr>
                <w:sz w:val="20"/>
                <w:szCs w:val="20"/>
              </w:rPr>
            </w:pPr>
            <w:r w:rsidRPr="002C21B8">
              <w:rPr>
                <w:sz w:val="20"/>
                <w:szCs w:val="20"/>
              </w:rPr>
              <w:t>70</w:t>
            </w:r>
          </w:p>
        </w:tc>
        <w:tc>
          <w:tcPr>
            <w:tcW w:w="8505" w:type="dxa"/>
            <w:shd w:val="clear" w:color="auto" w:fill="auto"/>
          </w:tcPr>
          <w:p w14:paraId="57D7DF26" w14:textId="77777777" w:rsidR="00FA366A" w:rsidRPr="002C21B8" w:rsidRDefault="00FA366A" w:rsidP="00212D46">
            <w:pPr>
              <w:spacing w:after="0" w:line="240" w:lineRule="auto"/>
              <w:rPr>
                <w:sz w:val="20"/>
                <w:szCs w:val="20"/>
              </w:rPr>
            </w:pPr>
            <w:r w:rsidRPr="002C21B8">
              <w:rPr>
                <w:sz w:val="20"/>
                <w:szCs w:val="20"/>
              </w:rPr>
              <w:t>((cerebr* or brain or cogniti*) NEXT (deteriorat* or insufficient* or disease or syndrome or impair*)):ti</w:t>
            </w:r>
          </w:p>
        </w:tc>
      </w:tr>
      <w:tr w:rsidR="00FA366A" w:rsidRPr="002C21B8" w14:paraId="556646D5" w14:textId="77777777" w:rsidTr="00960A9F">
        <w:trPr>
          <w:trHeight w:val="320"/>
        </w:trPr>
        <w:tc>
          <w:tcPr>
            <w:tcW w:w="704" w:type="dxa"/>
            <w:shd w:val="clear" w:color="auto" w:fill="auto"/>
            <w:vAlign w:val="center"/>
          </w:tcPr>
          <w:p w14:paraId="6EBE5268" w14:textId="77777777" w:rsidR="00FA366A" w:rsidRPr="002C21B8" w:rsidRDefault="00FA366A" w:rsidP="00212D46">
            <w:pPr>
              <w:spacing w:after="0" w:line="240" w:lineRule="auto"/>
              <w:rPr>
                <w:sz w:val="20"/>
                <w:szCs w:val="20"/>
              </w:rPr>
            </w:pPr>
            <w:r w:rsidRPr="002C21B8">
              <w:rPr>
                <w:sz w:val="20"/>
                <w:szCs w:val="20"/>
              </w:rPr>
              <w:t>71</w:t>
            </w:r>
          </w:p>
        </w:tc>
        <w:tc>
          <w:tcPr>
            <w:tcW w:w="8505" w:type="dxa"/>
            <w:shd w:val="clear" w:color="auto" w:fill="auto"/>
          </w:tcPr>
          <w:p w14:paraId="166C5785" w14:textId="77777777" w:rsidR="00FA366A" w:rsidRPr="002C21B8" w:rsidRDefault="00FA366A" w:rsidP="00212D46">
            <w:pPr>
              <w:spacing w:after="0" w:line="240" w:lineRule="auto"/>
              <w:rPr>
                <w:sz w:val="20"/>
                <w:szCs w:val="20"/>
              </w:rPr>
            </w:pPr>
            <w:r w:rsidRPr="002C21B8">
              <w:rPr>
                <w:sz w:val="20"/>
                <w:szCs w:val="20"/>
              </w:rPr>
              <w:t>("mild cognitive impairment" or dement* or alzheimer* or binswanger* or "benign senescent forgetfulness"):ti</w:t>
            </w:r>
          </w:p>
        </w:tc>
      </w:tr>
      <w:tr w:rsidR="00FA366A" w:rsidRPr="002C21B8" w14:paraId="39EDFEBD" w14:textId="77777777" w:rsidTr="00960A9F">
        <w:trPr>
          <w:trHeight w:val="320"/>
        </w:trPr>
        <w:tc>
          <w:tcPr>
            <w:tcW w:w="704" w:type="dxa"/>
            <w:shd w:val="clear" w:color="auto" w:fill="auto"/>
            <w:vAlign w:val="center"/>
          </w:tcPr>
          <w:p w14:paraId="4FB83816" w14:textId="77777777" w:rsidR="00FA366A" w:rsidRPr="002C21B8" w:rsidRDefault="00FA366A" w:rsidP="00212D46">
            <w:pPr>
              <w:spacing w:after="0" w:line="240" w:lineRule="auto"/>
              <w:rPr>
                <w:sz w:val="20"/>
                <w:szCs w:val="20"/>
              </w:rPr>
            </w:pPr>
            <w:r w:rsidRPr="002C21B8">
              <w:rPr>
                <w:sz w:val="20"/>
                <w:szCs w:val="20"/>
              </w:rPr>
              <w:t>72</w:t>
            </w:r>
          </w:p>
        </w:tc>
        <w:tc>
          <w:tcPr>
            <w:tcW w:w="8505" w:type="dxa"/>
            <w:shd w:val="clear" w:color="auto" w:fill="auto"/>
          </w:tcPr>
          <w:p w14:paraId="694C949B" w14:textId="77777777" w:rsidR="00FA366A" w:rsidRPr="002C21B8" w:rsidRDefault="00FA366A" w:rsidP="00212D46">
            <w:pPr>
              <w:spacing w:after="0" w:line="240" w:lineRule="auto"/>
              <w:rPr>
                <w:sz w:val="20"/>
                <w:szCs w:val="20"/>
              </w:rPr>
            </w:pPr>
            <w:r w:rsidRPr="002C21B8">
              <w:rPr>
                <w:sz w:val="20"/>
                <w:szCs w:val="20"/>
              </w:rPr>
              <w:t>((dilated or congestive) NEXT cardiomyopath*):ti</w:t>
            </w:r>
          </w:p>
        </w:tc>
      </w:tr>
      <w:tr w:rsidR="00FA366A" w:rsidRPr="002C21B8" w14:paraId="5A877CC4" w14:textId="77777777" w:rsidTr="00960A9F">
        <w:trPr>
          <w:trHeight w:val="320"/>
        </w:trPr>
        <w:tc>
          <w:tcPr>
            <w:tcW w:w="704" w:type="dxa"/>
            <w:shd w:val="clear" w:color="auto" w:fill="auto"/>
            <w:vAlign w:val="center"/>
          </w:tcPr>
          <w:p w14:paraId="7A5258DF" w14:textId="77777777" w:rsidR="00FA366A" w:rsidRPr="002C21B8" w:rsidRDefault="00FA366A" w:rsidP="00212D46">
            <w:pPr>
              <w:spacing w:after="0" w:line="240" w:lineRule="auto"/>
              <w:rPr>
                <w:sz w:val="20"/>
                <w:szCs w:val="20"/>
              </w:rPr>
            </w:pPr>
            <w:r w:rsidRPr="002C21B8">
              <w:rPr>
                <w:sz w:val="20"/>
                <w:szCs w:val="20"/>
              </w:rPr>
              <w:t>73</w:t>
            </w:r>
          </w:p>
        </w:tc>
        <w:tc>
          <w:tcPr>
            <w:tcW w:w="8505" w:type="dxa"/>
            <w:shd w:val="clear" w:color="auto" w:fill="auto"/>
          </w:tcPr>
          <w:p w14:paraId="44285667" w14:textId="77777777" w:rsidR="00FA366A" w:rsidRPr="002C21B8" w:rsidRDefault="00FA366A" w:rsidP="00212D46">
            <w:pPr>
              <w:spacing w:after="0" w:line="240" w:lineRule="auto"/>
              <w:rPr>
                <w:sz w:val="20"/>
                <w:szCs w:val="20"/>
              </w:rPr>
            </w:pPr>
            <w:r w:rsidRPr="002C21B8">
              <w:rPr>
                <w:sz w:val="20"/>
                <w:szCs w:val="20"/>
              </w:rPr>
              <w:t>(lewy* NEXT bod*):ti</w:t>
            </w:r>
          </w:p>
        </w:tc>
      </w:tr>
      <w:tr w:rsidR="00FA366A" w:rsidRPr="002C21B8" w14:paraId="42289381" w14:textId="77777777" w:rsidTr="00960A9F">
        <w:trPr>
          <w:trHeight w:val="320"/>
        </w:trPr>
        <w:tc>
          <w:tcPr>
            <w:tcW w:w="704" w:type="dxa"/>
            <w:shd w:val="clear" w:color="auto" w:fill="auto"/>
            <w:vAlign w:val="center"/>
          </w:tcPr>
          <w:p w14:paraId="1ACA52C2" w14:textId="77777777" w:rsidR="00FA366A" w:rsidRPr="002C21B8" w:rsidRDefault="00FA366A" w:rsidP="00212D46">
            <w:pPr>
              <w:spacing w:after="0" w:line="240" w:lineRule="auto"/>
              <w:rPr>
                <w:sz w:val="20"/>
                <w:szCs w:val="20"/>
              </w:rPr>
            </w:pPr>
            <w:r w:rsidRPr="002C21B8">
              <w:rPr>
                <w:sz w:val="20"/>
                <w:szCs w:val="20"/>
              </w:rPr>
              <w:t>74</w:t>
            </w:r>
          </w:p>
        </w:tc>
        <w:tc>
          <w:tcPr>
            <w:tcW w:w="8505" w:type="dxa"/>
            <w:shd w:val="clear" w:color="auto" w:fill="auto"/>
          </w:tcPr>
          <w:p w14:paraId="5ED59100" w14:textId="77777777" w:rsidR="00FA366A" w:rsidRPr="002C21B8" w:rsidRDefault="00FA366A" w:rsidP="00212D46">
            <w:pPr>
              <w:spacing w:after="0" w:line="240" w:lineRule="auto"/>
              <w:rPr>
                <w:sz w:val="20"/>
                <w:szCs w:val="20"/>
              </w:rPr>
            </w:pPr>
            <w:r w:rsidRPr="002C21B8">
              <w:rPr>
                <w:sz w:val="20"/>
                <w:szCs w:val="20"/>
              </w:rPr>
              <w:t>((memory* or mental*) NEXT (declin* or deteriorat* or impair* or los*)):ti</w:t>
            </w:r>
          </w:p>
        </w:tc>
      </w:tr>
      <w:tr w:rsidR="00FA366A" w:rsidRPr="002C21B8" w14:paraId="2EE5C811" w14:textId="77777777" w:rsidTr="00960A9F">
        <w:trPr>
          <w:trHeight w:val="320"/>
        </w:trPr>
        <w:tc>
          <w:tcPr>
            <w:tcW w:w="704" w:type="dxa"/>
            <w:shd w:val="clear" w:color="auto" w:fill="auto"/>
            <w:vAlign w:val="center"/>
          </w:tcPr>
          <w:p w14:paraId="29AF81EC" w14:textId="77777777" w:rsidR="00FA366A" w:rsidRPr="002C21B8" w:rsidRDefault="00FA366A" w:rsidP="00212D46">
            <w:pPr>
              <w:spacing w:after="0" w:line="240" w:lineRule="auto"/>
              <w:rPr>
                <w:sz w:val="20"/>
                <w:szCs w:val="20"/>
              </w:rPr>
            </w:pPr>
            <w:r w:rsidRPr="002C21B8">
              <w:rPr>
                <w:sz w:val="20"/>
                <w:szCs w:val="20"/>
              </w:rPr>
              <w:t>75</w:t>
            </w:r>
          </w:p>
        </w:tc>
        <w:tc>
          <w:tcPr>
            <w:tcW w:w="8505" w:type="dxa"/>
            <w:shd w:val="clear" w:color="auto" w:fill="auto"/>
          </w:tcPr>
          <w:p w14:paraId="4D180E34" w14:textId="77777777" w:rsidR="00FA366A" w:rsidRPr="002C21B8" w:rsidRDefault="00FA366A" w:rsidP="00212D46">
            <w:pPr>
              <w:spacing w:after="0" w:line="240" w:lineRule="auto"/>
              <w:rPr>
                <w:sz w:val="20"/>
                <w:szCs w:val="20"/>
              </w:rPr>
            </w:pPr>
            <w:r w:rsidRPr="002C21B8">
              <w:rPr>
                <w:sz w:val="20"/>
                <w:szCs w:val="20"/>
              </w:rPr>
              <w:t>MeSH descriptor: [Diabetes Mellitus] explode all trees</w:t>
            </w:r>
          </w:p>
        </w:tc>
      </w:tr>
      <w:tr w:rsidR="00FA366A" w:rsidRPr="002C21B8" w14:paraId="31BCBD59" w14:textId="77777777" w:rsidTr="00960A9F">
        <w:trPr>
          <w:trHeight w:val="320"/>
        </w:trPr>
        <w:tc>
          <w:tcPr>
            <w:tcW w:w="704" w:type="dxa"/>
            <w:shd w:val="clear" w:color="auto" w:fill="auto"/>
            <w:vAlign w:val="center"/>
          </w:tcPr>
          <w:p w14:paraId="40391296" w14:textId="77777777" w:rsidR="00FA366A" w:rsidRPr="002C21B8" w:rsidRDefault="00FA366A" w:rsidP="00212D46">
            <w:pPr>
              <w:spacing w:after="0" w:line="240" w:lineRule="auto"/>
              <w:rPr>
                <w:sz w:val="20"/>
                <w:szCs w:val="20"/>
              </w:rPr>
            </w:pPr>
            <w:r w:rsidRPr="002C21B8">
              <w:rPr>
                <w:sz w:val="20"/>
                <w:szCs w:val="20"/>
              </w:rPr>
              <w:t>76</w:t>
            </w:r>
          </w:p>
        </w:tc>
        <w:tc>
          <w:tcPr>
            <w:tcW w:w="8505" w:type="dxa"/>
            <w:shd w:val="clear" w:color="auto" w:fill="auto"/>
          </w:tcPr>
          <w:p w14:paraId="688AD93C" w14:textId="77777777" w:rsidR="00FA366A" w:rsidRPr="002C21B8" w:rsidRDefault="00FA366A" w:rsidP="00212D46">
            <w:pPr>
              <w:spacing w:after="0" w:line="240" w:lineRule="auto"/>
              <w:rPr>
                <w:sz w:val="20"/>
                <w:szCs w:val="20"/>
              </w:rPr>
            </w:pPr>
            <w:r w:rsidRPr="002C21B8">
              <w:rPr>
                <w:sz w:val="20"/>
                <w:szCs w:val="20"/>
              </w:rPr>
              <w:t>(diabet* NEXT3 type NEXT (one or "1" or I)):ti</w:t>
            </w:r>
          </w:p>
        </w:tc>
      </w:tr>
      <w:tr w:rsidR="00FA366A" w:rsidRPr="002C21B8" w14:paraId="038ED001" w14:textId="77777777" w:rsidTr="00960A9F">
        <w:trPr>
          <w:trHeight w:val="320"/>
        </w:trPr>
        <w:tc>
          <w:tcPr>
            <w:tcW w:w="704" w:type="dxa"/>
            <w:shd w:val="clear" w:color="auto" w:fill="auto"/>
            <w:vAlign w:val="center"/>
          </w:tcPr>
          <w:p w14:paraId="30B8BE0C" w14:textId="77777777" w:rsidR="00FA366A" w:rsidRPr="002C21B8" w:rsidRDefault="00FA366A" w:rsidP="00212D46">
            <w:pPr>
              <w:spacing w:after="0" w:line="240" w:lineRule="auto"/>
              <w:rPr>
                <w:sz w:val="20"/>
                <w:szCs w:val="20"/>
              </w:rPr>
            </w:pPr>
            <w:r w:rsidRPr="002C21B8">
              <w:rPr>
                <w:sz w:val="20"/>
                <w:szCs w:val="20"/>
              </w:rPr>
              <w:t>77</w:t>
            </w:r>
          </w:p>
        </w:tc>
        <w:tc>
          <w:tcPr>
            <w:tcW w:w="8505" w:type="dxa"/>
            <w:shd w:val="clear" w:color="auto" w:fill="auto"/>
          </w:tcPr>
          <w:p w14:paraId="3A5FAD79" w14:textId="77777777" w:rsidR="00FA366A" w:rsidRPr="002C21B8" w:rsidRDefault="00FA366A" w:rsidP="00212D46">
            <w:pPr>
              <w:spacing w:after="0" w:line="240" w:lineRule="auto"/>
              <w:rPr>
                <w:sz w:val="20"/>
                <w:szCs w:val="20"/>
              </w:rPr>
            </w:pPr>
            <w:r w:rsidRPr="002C21B8">
              <w:rPr>
                <w:sz w:val="20"/>
                <w:szCs w:val="20"/>
              </w:rPr>
              <w:t>(diabet* NEXT3 type NEXT (two or "2" or II)):ti</w:t>
            </w:r>
          </w:p>
        </w:tc>
      </w:tr>
      <w:tr w:rsidR="00FA366A" w:rsidRPr="002C21B8" w14:paraId="1F46B69C" w14:textId="77777777" w:rsidTr="00960A9F">
        <w:trPr>
          <w:trHeight w:val="320"/>
        </w:trPr>
        <w:tc>
          <w:tcPr>
            <w:tcW w:w="704" w:type="dxa"/>
            <w:shd w:val="clear" w:color="auto" w:fill="auto"/>
            <w:vAlign w:val="center"/>
          </w:tcPr>
          <w:p w14:paraId="18CE7010" w14:textId="77777777" w:rsidR="00FA366A" w:rsidRPr="002C21B8" w:rsidRDefault="00FA366A" w:rsidP="00212D46">
            <w:pPr>
              <w:spacing w:after="0" w:line="240" w:lineRule="auto"/>
              <w:rPr>
                <w:sz w:val="20"/>
                <w:szCs w:val="20"/>
              </w:rPr>
            </w:pPr>
            <w:r w:rsidRPr="002C21B8">
              <w:rPr>
                <w:sz w:val="20"/>
                <w:szCs w:val="20"/>
              </w:rPr>
              <w:t>78</w:t>
            </w:r>
          </w:p>
        </w:tc>
        <w:tc>
          <w:tcPr>
            <w:tcW w:w="8505" w:type="dxa"/>
            <w:shd w:val="clear" w:color="auto" w:fill="auto"/>
          </w:tcPr>
          <w:p w14:paraId="42ADC40B" w14:textId="77777777" w:rsidR="00FA366A" w:rsidRPr="002C21B8" w:rsidRDefault="00FA366A" w:rsidP="00212D46">
            <w:pPr>
              <w:spacing w:after="0" w:line="240" w:lineRule="auto"/>
              <w:rPr>
                <w:sz w:val="20"/>
                <w:szCs w:val="20"/>
              </w:rPr>
            </w:pPr>
            <w:r w:rsidRPr="002C21B8">
              <w:rPr>
                <w:sz w:val="20"/>
                <w:szCs w:val="20"/>
              </w:rPr>
              <w:t>((insulin or noninsulin or non-insulin) NEXT (resistan* or depend*)):ti</w:t>
            </w:r>
          </w:p>
        </w:tc>
      </w:tr>
      <w:tr w:rsidR="00FA366A" w:rsidRPr="002C21B8" w14:paraId="6A778648" w14:textId="77777777" w:rsidTr="00960A9F">
        <w:trPr>
          <w:trHeight w:val="320"/>
        </w:trPr>
        <w:tc>
          <w:tcPr>
            <w:tcW w:w="704" w:type="dxa"/>
            <w:shd w:val="clear" w:color="auto" w:fill="auto"/>
            <w:vAlign w:val="center"/>
          </w:tcPr>
          <w:p w14:paraId="76D845A0" w14:textId="77777777" w:rsidR="00FA366A" w:rsidRPr="002C21B8" w:rsidRDefault="00FA366A" w:rsidP="00212D46">
            <w:pPr>
              <w:spacing w:after="0" w:line="240" w:lineRule="auto"/>
              <w:rPr>
                <w:sz w:val="20"/>
                <w:szCs w:val="20"/>
              </w:rPr>
            </w:pPr>
            <w:r w:rsidRPr="002C21B8">
              <w:rPr>
                <w:sz w:val="20"/>
                <w:szCs w:val="20"/>
              </w:rPr>
              <w:t>79</w:t>
            </w:r>
          </w:p>
        </w:tc>
        <w:tc>
          <w:tcPr>
            <w:tcW w:w="8505" w:type="dxa"/>
            <w:shd w:val="clear" w:color="auto" w:fill="auto"/>
          </w:tcPr>
          <w:p w14:paraId="61F40BDA" w14:textId="77777777" w:rsidR="00FA366A" w:rsidRPr="002C21B8" w:rsidRDefault="00FA366A" w:rsidP="00212D46">
            <w:pPr>
              <w:spacing w:after="0" w:line="240" w:lineRule="auto"/>
              <w:rPr>
                <w:sz w:val="20"/>
                <w:szCs w:val="20"/>
              </w:rPr>
            </w:pPr>
            <w:r w:rsidRPr="002C21B8">
              <w:rPr>
                <w:sz w:val="20"/>
                <w:szCs w:val="20"/>
              </w:rPr>
              <w:t>(diabet* or DM or DM1 or DM2 or T1D or T1DM or T2D or T2DM or NIDDM or IDDM or MODY):ti</w:t>
            </w:r>
          </w:p>
        </w:tc>
      </w:tr>
      <w:tr w:rsidR="00FA366A" w:rsidRPr="002C21B8" w14:paraId="6C063DDB" w14:textId="77777777" w:rsidTr="00960A9F">
        <w:trPr>
          <w:trHeight w:val="320"/>
        </w:trPr>
        <w:tc>
          <w:tcPr>
            <w:tcW w:w="704" w:type="dxa"/>
            <w:shd w:val="clear" w:color="auto" w:fill="auto"/>
            <w:vAlign w:val="center"/>
          </w:tcPr>
          <w:p w14:paraId="06675B11" w14:textId="77777777" w:rsidR="00FA366A" w:rsidRPr="002C21B8" w:rsidRDefault="00FA366A" w:rsidP="00212D46">
            <w:pPr>
              <w:spacing w:after="0" w:line="240" w:lineRule="auto"/>
              <w:rPr>
                <w:sz w:val="20"/>
                <w:szCs w:val="20"/>
              </w:rPr>
            </w:pPr>
            <w:r w:rsidRPr="002C21B8">
              <w:rPr>
                <w:sz w:val="20"/>
                <w:szCs w:val="20"/>
              </w:rPr>
              <w:t>80</w:t>
            </w:r>
          </w:p>
        </w:tc>
        <w:tc>
          <w:tcPr>
            <w:tcW w:w="8505" w:type="dxa"/>
            <w:shd w:val="clear" w:color="auto" w:fill="auto"/>
          </w:tcPr>
          <w:p w14:paraId="461D45A9" w14:textId="77777777" w:rsidR="00FA366A" w:rsidRPr="002C21B8" w:rsidRDefault="00FA366A" w:rsidP="00212D46">
            <w:pPr>
              <w:spacing w:after="0" w:line="240" w:lineRule="auto"/>
              <w:rPr>
                <w:sz w:val="20"/>
                <w:szCs w:val="20"/>
              </w:rPr>
            </w:pPr>
            <w:r w:rsidRPr="002C21B8">
              <w:rPr>
                <w:sz w:val="20"/>
                <w:szCs w:val="20"/>
              </w:rPr>
              <w:t>glucose ?tolerance:ti</w:t>
            </w:r>
          </w:p>
        </w:tc>
      </w:tr>
      <w:tr w:rsidR="00FA366A" w:rsidRPr="002C21B8" w14:paraId="5DE4A1A1" w14:textId="77777777" w:rsidTr="00960A9F">
        <w:trPr>
          <w:trHeight w:val="320"/>
        </w:trPr>
        <w:tc>
          <w:tcPr>
            <w:tcW w:w="704" w:type="dxa"/>
            <w:shd w:val="clear" w:color="auto" w:fill="auto"/>
            <w:vAlign w:val="center"/>
          </w:tcPr>
          <w:p w14:paraId="467FF61E" w14:textId="77777777" w:rsidR="00FA366A" w:rsidRPr="002C21B8" w:rsidRDefault="00FA366A" w:rsidP="00212D46">
            <w:pPr>
              <w:spacing w:after="0" w:line="240" w:lineRule="auto"/>
              <w:rPr>
                <w:sz w:val="20"/>
                <w:szCs w:val="20"/>
              </w:rPr>
            </w:pPr>
            <w:r w:rsidRPr="002C21B8">
              <w:rPr>
                <w:sz w:val="20"/>
                <w:szCs w:val="20"/>
              </w:rPr>
              <w:t>81</w:t>
            </w:r>
          </w:p>
        </w:tc>
        <w:tc>
          <w:tcPr>
            <w:tcW w:w="8505" w:type="dxa"/>
            <w:shd w:val="clear" w:color="auto" w:fill="auto"/>
          </w:tcPr>
          <w:p w14:paraId="3611A49B" w14:textId="77777777" w:rsidR="00FA366A" w:rsidRPr="002C21B8" w:rsidRDefault="00FA366A" w:rsidP="00212D46">
            <w:pPr>
              <w:spacing w:after="0" w:line="240" w:lineRule="auto"/>
              <w:rPr>
                <w:sz w:val="20"/>
                <w:szCs w:val="20"/>
              </w:rPr>
            </w:pPr>
            <w:r w:rsidRPr="002C21B8">
              <w:rPr>
                <w:sz w:val="20"/>
                <w:szCs w:val="20"/>
              </w:rPr>
              <w:t>MeSH descriptor: [Endometriosis] explode all trees</w:t>
            </w:r>
          </w:p>
        </w:tc>
      </w:tr>
      <w:tr w:rsidR="00FA366A" w:rsidRPr="002C21B8" w14:paraId="0F64F2B4" w14:textId="77777777" w:rsidTr="00960A9F">
        <w:trPr>
          <w:trHeight w:val="320"/>
        </w:trPr>
        <w:tc>
          <w:tcPr>
            <w:tcW w:w="704" w:type="dxa"/>
            <w:shd w:val="clear" w:color="auto" w:fill="auto"/>
            <w:vAlign w:val="center"/>
          </w:tcPr>
          <w:p w14:paraId="271976BB" w14:textId="77777777" w:rsidR="00FA366A" w:rsidRPr="002C21B8" w:rsidRDefault="00FA366A" w:rsidP="00212D46">
            <w:pPr>
              <w:spacing w:after="0" w:line="240" w:lineRule="auto"/>
              <w:rPr>
                <w:sz w:val="20"/>
                <w:szCs w:val="20"/>
              </w:rPr>
            </w:pPr>
            <w:r w:rsidRPr="002C21B8">
              <w:rPr>
                <w:sz w:val="20"/>
                <w:szCs w:val="20"/>
              </w:rPr>
              <w:t>82</w:t>
            </w:r>
          </w:p>
        </w:tc>
        <w:tc>
          <w:tcPr>
            <w:tcW w:w="8505" w:type="dxa"/>
            <w:shd w:val="clear" w:color="auto" w:fill="auto"/>
          </w:tcPr>
          <w:p w14:paraId="16ECA43A" w14:textId="77777777" w:rsidR="00FA366A" w:rsidRPr="002C21B8" w:rsidRDefault="00FA366A" w:rsidP="00212D46">
            <w:pPr>
              <w:spacing w:after="0" w:line="240" w:lineRule="auto"/>
              <w:rPr>
                <w:sz w:val="20"/>
                <w:szCs w:val="20"/>
              </w:rPr>
            </w:pPr>
            <w:r w:rsidRPr="002C21B8">
              <w:rPr>
                <w:sz w:val="20"/>
                <w:szCs w:val="20"/>
              </w:rPr>
              <w:t>(endometrios* or endometrioma? or adenomyo* or adenomyoma? or adenometriti* or adenomyosit* or adenomyometriti*):ti</w:t>
            </w:r>
          </w:p>
        </w:tc>
      </w:tr>
      <w:tr w:rsidR="00FA366A" w:rsidRPr="002C21B8" w14:paraId="6F770684" w14:textId="77777777" w:rsidTr="00960A9F">
        <w:trPr>
          <w:trHeight w:val="320"/>
        </w:trPr>
        <w:tc>
          <w:tcPr>
            <w:tcW w:w="704" w:type="dxa"/>
            <w:shd w:val="clear" w:color="auto" w:fill="auto"/>
            <w:vAlign w:val="center"/>
          </w:tcPr>
          <w:p w14:paraId="2EBFAE9F" w14:textId="77777777" w:rsidR="00FA366A" w:rsidRPr="002C21B8" w:rsidRDefault="00FA366A" w:rsidP="00212D46">
            <w:pPr>
              <w:spacing w:after="0" w:line="240" w:lineRule="auto"/>
              <w:rPr>
                <w:sz w:val="20"/>
                <w:szCs w:val="20"/>
              </w:rPr>
            </w:pPr>
            <w:r w:rsidRPr="002C21B8">
              <w:rPr>
                <w:sz w:val="20"/>
                <w:szCs w:val="20"/>
              </w:rPr>
              <w:t>83</w:t>
            </w:r>
          </w:p>
        </w:tc>
        <w:tc>
          <w:tcPr>
            <w:tcW w:w="8505" w:type="dxa"/>
            <w:shd w:val="clear" w:color="auto" w:fill="auto"/>
          </w:tcPr>
          <w:p w14:paraId="0A9ACB54" w14:textId="77777777" w:rsidR="00FA366A" w:rsidRPr="002C21B8" w:rsidRDefault="00FA366A" w:rsidP="00212D46">
            <w:pPr>
              <w:spacing w:after="0" w:line="240" w:lineRule="auto"/>
              <w:rPr>
                <w:sz w:val="20"/>
                <w:szCs w:val="20"/>
              </w:rPr>
            </w:pPr>
            <w:r w:rsidRPr="002C21B8">
              <w:rPr>
                <w:sz w:val="20"/>
                <w:szCs w:val="20"/>
              </w:rPr>
              <w:t>MeSH descriptor: [Epilepsy] explode all trees</w:t>
            </w:r>
          </w:p>
        </w:tc>
      </w:tr>
      <w:tr w:rsidR="00FA366A" w:rsidRPr="002C21B8" w14:paraId="670D61BD" w14:textId="77777777" w:rsidTr="00960A9F">
        <w:trPr>
          <w:trHeight w:val="320"/>
        </w:trPr>
        <w:tc>
          <w:tcPr>
            <w:tcW w:w="704" w:type="dxa"/>
            <w:shd w:val="clear" w:color="auto" w:fill="auto"/>
            <w:vAlign w:val="center"/>
          </w:tcPr>
          <w:p w14:paraId="4441EE37" w14:textId="77777777" w:rsidR="00FA366A" w:rsidRPr="002C21B8" w:rsidRDefault="00FA366A" w:rsidP="00212D46">
            <w:pPr>
              <w:spacing w:after="0" w:line="240" w:lineRule="auto"/>
              <w:rPr>
                <w:sz w:val="20"/>
                <w:szCs w:val="20"/>
              </w:rPr>
            </w:pPr>
            <w:r w:rsidRPr="002C21B8">
              <w:rPr>
                <w:sz w:val="20"/>
                <w:szCs w:val="20"/>
              </w:rPr>
              <w:t>84</w:t>
            </w:r>
          </w:p>
        </w:tc>
        <w:tc>
          <w:tcPr>
            <w:tcW w:w="8505" w:type="dxa"/>
            <w:shd w:val="clear" w:color="auto" w:fill="auto"/>
          </w:tcPr>
          <w:p w14:paraId="305C7BFD" w14:textId="77777777" w:rsidR="00FA366A" w:rsidRPr="002C21B8" w:rsidRDefault="00FA366A" w:rsidP="00212D46">
            <w:pPr>
              <w:spacing w:after="0" w:line="240" w:lineRule="auto"/>
              <w:rPr>
                <w:sz w:val="20"/>
                <w:szCs w:val="20"/>
              </w:rPr>
            </w:pPr>
            <w:r w:rsidRPr="002C21B8">
              <w:rPr>
                <w:sz w:val="20"/>
                <w:szCs w:val="20"/>
              </w:rPr>
              <w:t>MeSH descriptor: [Seizures] explode all trees</w:t>
            </w:r>
          </w:p>
        </w:tc>
      </w:tr>
      <w:tr w:rsidR="00FA366A" w:rsidRPr="002C21B8" w14:paraId="02AB5B54" w14:textId="77777777" w:rsidTr="00960A9F">
        <w:trPr>
          <w:trHeight w:val="320"/>
        </w:trPr>
        <w:tc>
          <w:tcPr>
            <w:tcW w:w="704" w:type="dxa"/>
            <w:shd w:val="clear" w:color="auto" w:fill="auto"/>
            <w:vAlign w:val="center"/>
          </w:tcPr>
          <w:p w14:paraId="076B7EC8" w14:textId="77777777" w:rsidR="00FA366A" w:rsidRPr="002C21B8" w:rsidRDefault="00FA366A" w:rsidP="00212D46">
            <w:pPr>
              <w:spacing w:after="0" w:line="240" w:lineRule="auto"/>
              <w:rPr>
                <w:sz w:val="20"/>
                <w:szCs w:val="20"/>
              </w:rPr>
            </w:pPr>
            <w:r w:rsidRPr="002C21B8">
              <w:rPr>
                <w:sz w:val="20"/>
                <w:szCs w:val="20"/>
              </w:rPr>
              <w:t>85</w:t>
            </w:r>
          </w:p>
        </w:tc>
        <w:tc>
          <w:tcPr>
            <w:tcW w:w="8505" w:type="dxa"/>
            <w:shd w:val="clear" w:color="auto" w:fill="auto"/>
          </w:tcPr>
          <w:p w14:paraId="41EB8072" w14:textId="77777777" w:rsidR="00FA366A" w:rsidRPr="002C21B8" w:rsidRDefault="00FA366A" w:rsidP="00212D46">
            <w:pPr>
              <w:spacing w:after="0" w:line="240" w:lineRule="auto"/>
              <w:rPr>
                <w:sz w:val="20"/>
                <w:szCs w:val="20"/>
              </w:rPr>
            </w:pPr>
            <w:r w:rsidRPr="002C21B8">
              <w:rPr>
                <w:sz w:val="20"/>
                <w:szCs w:val="20"/>
              </w:rPr>
              <w:t>(epilep* or seizure* or aura* or convulsion*):ti</w:t>
            </w:r>
          </w:p>
        </w:tc>
      </w:tr>
      <w:tr w:rsidR="00FA366A" w:rsidRPr="002C21B8" w14:paraId="23B8F0EF" w14:textId="77777777" w:rsidTr="00960A9F">
        <w:trPr>
          <w:trHeight w:val="320"/>
        </w:trPr>
        <w:tc>
          <w:tcPr>
            <w:tcW w:w="704" w:type="dxa"/>
            <w:shd w:val="clear" w:color="auto" w:fill="auto"/>
            <w:vAlign w:val="center"/>
          </w:tcPr>
          <w:p w14:paraId="02DB44B1" w14:textId="77777777" w:rsidR="00FA366A" w:rsidRPr="002C21B8" w:rsidRDefault="00FA366A" w:rsidP="00212D46">
            <w:pPr>
              <w:spacing w:after="0" w:line="240" w:lineRule="auto"/>
              <w:rPr>
                <w:sz w:val="20"/>
                <w:szCs w:val="20"/>
              </w:rPr>
            </w:pPr>
            <w:r w:rsidRPr="002C21B8">
              <w:rPr>
                <w:sz w:val="20"/>
                <w:szCs w:val="20"/>
              </w:rPr>
              <w:t>86</w:t>
            </w:r>
          </w:p>
        </w:tc>
        <w:tc>
          <w:tcPr>
            <w:tcW w:w="8505" w:type="dxa"/>
            <w:shd w:val="clear" w:color="auto" w:fill="auto"/>
          </w:tcPr>
          <w:p w14:paraId="30E6DCFF" w14:textId="77777777" w:rsidR="00FA366A" w:rsidRPr="002C21B8" w:rsidRDefault="00FA366A" w:rsidP="00212D46">
            <w:pPr>
              <w:spacing w:after="0" w:line="240" w:lineRule="auto"/>
              <w:rPr>
                <w:sz w:val="20"/>
                <w:szCs w:val="20"/>
              </w:rPr>
            </w:pPr>
            <w:r w:rsidRPr="002C21B8">
              <w:rPr>
                <w:sz w:val="20"/>
                <w:szCs w:val="20"/>
              </w:rPr>
              <w:t>MeSH descriptor: [Hypertension] explode all trees</w:t>
            </w:r>
          </w:p>
        </w:tc>
      </w:tr>
      <w:tr w:rsidR="00FA366A" w:rsidRPr="002C21B8" w14:paraId="65CD41E3" w14:textId="77777777" w:rsidTr="00960A9F">
        <w:trPr>
          <w:trHeight w:val="320"/>
        </w:trPr>
        <w:tc>
          <w:tcPr>
            <w:tcW w:w="704" w:type="dxa"/>
            <w:shd w:val="clear" w:color="auto" w:fill="auto"/>
            <w:vAlign w:val="center"/>
          </w:tcPr>
          <w:p w14:paraId="08FFCBE8" w14:textId="77777777" w:rsidR="00FA366A" w:rsidRPr="002C21B8" w:rsidRDefault="00FA366A" w:rsidP="00212D46">
            <w:pPr>
              <w:spacing w:after="0" w:line="240" w:lineRule="auto"/>
              <w:rPr>
                <w:sz w:val="20"/>
                <w:szCs w:val="20"/>
              </w:rPr>
            </w:pPr>
            <w:r w:rsidRPr="002C21B8">
              <w:rPr>
                <w:sz w:val="20"/>
                <w:szCs w:val="20"/>
              </w:rPr>
              <w:t>87</w:t>
            </w:r>
          </w:p>
        </w:tc>
        <w:tc>
          <w:tcPr>
            <w:tcW w:w="8505" w:type="dxa"/>
            <w:shd w:val="clear" w:color="auto" w:fill="auto"/>
          </w:tcPr>
          <w:p w14:paraId="583E36E8" w14:textId="77777777" w:rsidR="00FA366A" w:rsidRPr="002C21B8" w:rsidRDefault="00FA366A" w:rsidP="00212D46">
            <w:pPr>
              <w:spacing w:after="0" w:line="240" w:lineRule="auto"/>
              <w:rPr>
                <w:sz w:val="20"/>
                <w:szCs w:val="20"/>
              </w:rPr>
            </w:pPr>
            <w:r w:rsidRPr="002C21B8">
              <w:rPr>
                <w:sz w:val="20"/>
                <w:szCs w:val="20"/>
              </w:rPr>
              <w:t>(hypertens* or (blood NEXT pressure)):ti</w:t>
            </w:r>
          </w:p>
        </w:tc>
      </w:tr>
      <w:tr w:rsidR="00FA366A" w:rsidRPr="002C21B8" w14:paraId="29A8BFD2" w14:textId="77777777" w:rsidTr="00960A9F">
        <w:trPr>
          <w:trHeight w:val="320"/>
        </w:trPr>
        <w:tc>
          <w:tcPr>
            <w:tcW w:w="704" w:type="dxa"/>
            <w:shd w:val="clear" w:color="auto" w:fill="auto"/>
            <w:vAlign w:val="center"/>
          </w:tcPr>
          <w:p w14:paraId="0E6598FB" w14:textId="77777777" w:rsidR="00FA366A" w:rsidRPr="002C21B8" w:rsidRDefault="00FA366A" w:rsidP="00212D46">
            <w:pPr>
              <w:spacing w:after="0" w:line="240" w:lineRule="auto"/>
              <w:rPr>
                <w:sz w:val="20"/>
                <w:szCs w:val="20"/>
              </w:rPr>
            </w:pPr>
            <w:r w:rsidRPr="002C21B8">
              <w:rPr>
                <w:sz w:val="20"/>
                <w:szCs w:val="20"/>
              </w:rPr>
              <w:t>88</w:t>
            </w:r>
          </w:p>
        </w:tc>
        <w:tc>
          <w:tcPr>
            <w:tcW w:w="8505" w:type="dxa"/>
            <w:shd w:val="clear" w:color="auto" w:fill="auto"/>
          </w:tcPr>
          <w:p w14:paraId="6AAA7DCB" w14:textId="77777777" w:rsidR="00FA366A" w:rsidRPr="002C21B8" w:rsidRDefault="00FA366A" w:rsidP="00212D46">
            <w:pPr>
              <w:spacing w:after="0" w:line="240" w:lineRule="auto"/>
              <w:rPr>
                <w:sz w:val="20"/>
                <w:szCs w:val="20"/>
              </w:rPr>
            </w:pPr>
            <w:r w:rsidRPr="002C21B8">
              <w:rPr>
                <w:sz w:val="20"/>
                <w:szCs w:val="20"/>
              </w:rPr>
              <w:t>MeSH descriptor: [Hepatitis, Chronic] explode all trees</w:t>
            </w:r>
          </w:p>
        </w:tc>
      </w:tr>
      <w:tr w:rsidR="00FA366A" w:rsidRPr="002C21B8" w14:paraId="530FE32A" w14:textId="77777777" w:rsidTr="00960A9F">
        <w:trPr>
          <w:trHeight w:val="320"/>
        </w:trPr>
        <w:tc>
          <w:tcPr>
            <w:tcW w:w="704" w:type="dxa"/>
            <w:shd w:val="clear" w:color="auto" w:fill="auto"/>
            <w:vAlign w:val="center"/>
          </w:tcPr>
          <w:p w14:paraId="49D3A46B" w14:textId="77777777" w:rsidR="00FA366A" w:rsidRPr="002C21B8" w:rsidRDefault="00FA366A" w:rsidP="00212D46">
            <w:pPr>
              <w:spacing w:after="0" w:line="240" w:lineRule="auto"/>
              <w:rPr>
                <w:sz w:val="20"/>
                <w:szCs w:val="20"/>
              </w:rPr>
            </w:pPr>
            <w:r w:rsidRPr="002C21B8">
              <w:rPr>
                <w:sz w:val="20"/>
                <w:szCs w:val="20"/>
              </w:rPr>
              <w:t>89</w:t>
            </w:r>
          </w:p>
        </w:tc>
        <w:tc>
          <w:tcPr>
            <w:tcW w:w="8505" w:type="dxa"/>
            <w:shd w:val="clear" w:color="auto" w:fill="auto"/>
          </w:tcPr>
          <w:p w14:paraId="57578180" w14:textId="77777777" w:rsidR="00FA366A" w:rsidRPr="002C21B8" w:rsidRDefault="00FA366A" w:rsidP="00212D46">
            <w:pPr>
              <w:spacing w:after="0" w:line="240" w:lineRule="auto"/>
              <w:rPr>
                <w:sz w:val="20"/>
                <w:szCs w:val="20"/>
              </w:rPr>
            </w:pPr>
            <w:r w:rsidRPr="002C21B8">
              <w:rPr>
                <w:sz w:val="20"/>
                <w:szCs w:val="20"/>
              </w:rPr>
              <w:t>(chronic NEXT hepatitis):ti</w:t>
            </w:r>
          </w:p>
        </w:tc>
      </w:tr>
      <w:tr w:rsidR="00FA366A" w:rsidRPr="002C21B8" w14:paraId="1BB8986C" w14:textId="77777777" w:rsidTr="00960A9F">
        <w:trPr>
          <w:trHeight w:val="320"/>
        </w:trPr>
        <w:tc>
          <w:tcPr>
            <w:tcW w:w="704" w:type="dxa"/>
            <w:shd w:val="clear" w:color="auto" w:fill="auto"/>
            <w:vAlign w:val="center"/>
          </w:tcPr>
          <w:p w14:paraId="238AB008" w14:textId="77777777" w:rsidR="00FA366A" w:rsidRPr="002C21B8" w:rsidRDefault="00FA366A" w:rsidP="00212D46">
            <w:pPr>
              <w:spacing w:after="0" w:line="240" w:lineRule="auto"/>
              <w:rPr>
                <w:sz w:val="20"/>
                <w:szCs w:val="20"/>
              </w:rPr>
            </w:pPr>
            <w:r w:rsidRPr="002C21B8">
              <w:rPr>
                <w:sz w:val="20"/>
                <w:szCs w:val="20"/>
              </w:rPr>
              <w:t>90</w:t>
            </w:r>
          </w:p>
        </w:tc>
        <w:tc>
          <w:tcPr>
            <w:tcW w:w="8505" w:type="dxa"/>
            <w:shd w:val="clear" w:color="auto" w:fill="auto"/>
          </w:tcPr>
          <w:p w14:paraId="1A8FDA5B" w14:textId="77777777" w:rsidR="00FA366A" w:rsidRPr="002C21B8" w:rsidRDefault="00FA366A" w:rsidP="00212D46">
            <w:pPr>
              <w:spacing w:after="0" w:line="240" w:lineRule="auto"/>
              <w:rPr>
                <w:sz w:val="20"/>
                <w:szCs w:val="20"/>
              </w:rPr>
            </w:pPr>
            <w:r w:rsidRPr="002C21B8">
              <w:rPr>
                <w:sz w:val="20"/>
                <w:szCs w:val="20"/>
              </w:rPr>
              <w:t>MeSH descriptor: [HIV] explode all trees</w:t>
            </w:r>
          </w:p>
        </w:tc>
      </w:tr>
      <w:tr w:rsidR="00FA366A" w:rsidRPr="002C21B8" w14:paraId="3B905943" w14:textId="77777777" w:rsidTr="00960A9F">
        <w:trPr>
          <w:trHeight w:val="320"/>
        </w:trPr>
        <w:tc>
          <w:tcPr>
            <w:tcW w:w="704" w:type="dxa"/>
            <w:shd w:val="clear" w:color="auto" w:fill="auto"/>
            <w:vAlign w:val="center"/>
          </w:tcPr>
          <w:p w14:paraId="13BC2607" w14:textId="77777777" w:rsidR="00FA366A" w:rsidRPr="002C21B8" w:rsidRDefault="00FA366A" w:rsidP="00212D46">
            <w:pPr>
              <w:spacing w:after="0" w:line="240" w:lineRule="auto"/>
              <w:rPr>
                <w:sz w:val="20"/>
                <w:szCs w:val="20"/>
              </w:rPr>
            </w:pPr>
            <w:r w:rsidRPr="002C21B8">
              <w:rPr>
                <w:sz w:val="20"/>
                <w:szCs w:val="20"/>
              </w:rPr>
              <w:t>91</w:t>
            </w:r>
          </w:p>
        </w:tc>
        <w:tc>
          <w:tcPr>
            <w:tcW w:w="8505" w:type="dxa"/>
            <w:shd w:val="clear" w:color="auto" w:fill="auto"/>
          </w:tcPr>
          <w:p w14:paraId="340B9643" w14:textId="77777777" w:rsidR="00FA366A" w:rsidRPr="002C21B8" w:rsidRDefault="00FA366A" w:rsidP="00212D46">
            <w:pPr>
              <w:spacing w:after="0" w:line="240" w:lineRule="auto"/>
              <w:rPr>
                <w:sz w:val="20"/>
                <w:szCs w:val="20"/>
              </w:rPr>
            </w:pPr>
            <w:r w:rsidRPr="002C21B8">
              <w:rPr>
                <w:sz w:val="20"/>
                <w:szCs w:val="20"/>
              </w:rPr>
              <w:t>(hiv infect* or hiv disease*):ti</w:t>
            </w:r>
          </w:p>
        </w:tc>
      </w:tr>
      <w:tr w:rsidR="00FA366A" w:rsidRPr="002C21B8" w14:paraId="5823CE5E" w14:textId="77777777" w:rsidTr="00960A9F">
        <w:trPr>
          <w:trHeight w:val="320"/>
        </w:trPr>
        <w:tc>
          <w:tcPr>
            <w:tcW w:w="704" w:type="dxa"/>
            <w:shd w:val="clear" w:color="auto" w:fill="auto"/>
            <w:vAlign w:val="center"/>
          </w:tcPr>
          <w:p w14:paraId="2BBD3FC6" w14:textId="77777777" w:rsidR="00FA366A" w:rsidRPr="002C21B8" w:rsidRDefault="00FA366A" w:rsidP="00212D46">
            <w:pPr>
              <w:spacing w:after="0" w:line="240" w:lineRule="auto"/>
              <w:rPr>
                <w:sz w:val="20"/>
                <w:szCs w:val="20"/>
              </w:rPr>
            </w:pPr>
            <w:r w:rsidRPr="002C21B8">
              <w:rPr>
                <w:sz w:val="20"/>
                <w:szCs w:val="20"/>
              </w:rPr>
              <w:t>92</w:t>
            </w:r>
          </w:p>
        </w:tc>
        <w:tc>
          <w:tcPr>
            <w:tcW w:w="8505" w:type="dxa"/>
            <w:shd w:val="clear" w:color="auto" w:fill="auto"/>
          </w:tcPr>
          <w:p w14:paraId="16446001" w14:textId="77777777" w:rsidR="00FA366A" w:rsidRPr="002C21B8" w:rsidRDefault="00FA366A" w:rsidP="00212D46">
            <w:pPr>
              <w:spacing w:after="0" w:line="240" w:lineRule="auto"/>
              <w:rPr>
                <w:sz w:val="20"/>
                <w:szCs w:val="20"/>
              </w:rPr>
            </w:pPr>
            <w:r w:rsidRPr="002C21B8">
              <w:rPr>
                <w:sz w:val="20"/>
                <w:szCs w:val="20"/>
              </w:rPr>
              <w:t>MeSH descriptor: [Inflammatory Bowel Diseases] explode all trees</w:t>
            </w:r>
          </w:p>
        </w:tc>
      </w:tr>
      <w:tr w:rsidR="00FA366A" w:rsidRPr="002C21B8" w14:paraId="3FF2AC6F" w14:textId="77777777" w:rsidTr="00960A9F">
        <w:trPr>
          <w:trHeight w:val="320"/>
        </w:trPr>
        <w:tc>
          <w:tcPr>
            <w:tcW w:w="704" w:type="dxa"/>
            <w:shd w:val="clear" w:color="auto" w:fill="auto"/>
            <w:vAlign w:val="center"/>
          </w:tcPr>
          <w:p w14:paraId="70B0DB57" w14:textId="77777777" w:rsidR="00FA366A" w:rsidRPr="002C21B8" w:rsidRDefault="00FA366A" w:rsidP="00212D46">
            <w:pPr>
              <w:spacing w:after="0" w:line="240" w:lineRule="auto"/>
              <w:rPr>
                <w:sz w:val="20"/>
                <w:szCs w:val="20"/>
              </w:rPr>
            </w:pPr>
            <w:r w:rsidRPr="002C21B8">
              <w:rPr>
                <w:sz w:val="20"/>
                <w:szCs w:val="20"/>
              </w:rPr>
              <w:t>93</w:t>
            </w:r>
          </w:p>
        </w:tc>
        <w:tc>
          <w:tcPr>
            <w:tcW w:w="8505" w:type="dxa"/>
            <w:shd w:val="clear" w:color="auto" w:fill="auto"/>
          </w:tcPr>
          <w:p w14:paraId="4BDB87B9" w14:textId="77777777" w:rsidR="00FA366A" w:rsidRPr="002C21B8" w:rsidRDefault="00FA366A" w:rsidP="00212D46">
            <w:pPr>
              <w:spacing w:after="0" w:line="240" w:lineRule="auto"/>
              <w:rPr>
                <w:sz w:val="20"/>
                <w:szCs w:val="20"/>
              </w:rPr>
            </w:pPr>
            <w:r w:rsidRPr="002C21B8">
              <w:rPr>
                <w:sz w:val="20"/>
                <w:szCs w:val="20"/>
              </w:rPr>
              <w:t>(crohn* disease or crohn's enteritis* or ulcerative coliti* or terminal ileitis or granulomatous coliti* or ileocoliti*):ti</w:t>
            </w:r>
          </w:p>
        </w:tc>
      </w:tr>
      <w:tr w:rsidR="00FA366A" w:rsidRPr="002C21B8" w14:paraId="6E83D8C3" w14:textId="77777777" w:rsidTr="00960A9F">
        <w:trPr>
          <w:trHeight w:val="320"/>
        </w:trPr>
        <w:tc>
          <w:tcPr>
            <w:tcW w:w="704" w:type="dxa"/>
            <w:shd w:val="clear" w:color="auto" w:fill="auto"/>
            <w:vAlign w:val="center"/>
          </w:tcPr>
          <w:p w14:paraId="5BCDEB33" w14:textId="77777777" w:rsidR="00FA366A" w:rsidRPr="002C21B8" w:rsidRDefault="00FA366A" w:rsidP="00212D46">
            <w:pPr>
              <w:spacing w:after="0" w:line="240" w:lineRule="auto"/>
              <w:rPr>
                <w:sz w:val="20"/>
                <w:szCs w:val="20"/>
              </w:rPr>
            </w:pPr>
            <w:r w:rsidRPr="002C21B8">
              <w:rPr>
                <w:sz w:val="20"/>
                <w:szCs w:val="20"/>
              </w:rPr>
              <w:t>94</w:t>
            </w:r>
          </w:p>
        </w:tc>
        <w:tc>
          <w:tcPr>
            <w:tcW w:w="8505" w:type="dxa"/>
            <w:shd w:val="clear" w:color="auto" w:fill="auto"/>
          </w:tcPr>
          <w:p w14:paraId="05C4EB4F" w14:textId="77777777" w:rsidR="00FA366A" w:rsidRPr="002C21B8" w:rsidRDefault="00FA366A" w:rsidP="00212D46">
            <w:pPr>
              <w:spacing w:after="0" w:line="240" w:lineRule="auto"/>
              <w:rPr>
                <w:sz w:val="20"/>
                <w:szCs w:val="20"/>
              </w:rPr>
            </w:pPr>
            <w:r w:rsidRPr="002C21B8">
              <w:rPr>
                <w:sz w:val="20"/>
                <w:szCs w:val="20"/>
              </w:rPr>
              <w:t>MeSH descriptor: [Irritable Bowel Syndrome] explode all trees</w:t>
            </w:r>
          </w:p>
        </w:tc>
      </w:tr>
      <w:tr w:rsidR="00FA366A" w:rsidRPr="002C21B8" w14:paraId="06BD34F3" w14:textId="77777777" w:rsidTr="00960A9F">
        <w:trPr>
          <w:trHeight w:val="320"/>
        </w:trPr>
        <w:tc>
          <w:tcPr>
            <w:tcW w:w="704" w:type="dxa"/>
            <w:shd w:val="clear" w:color="auto" w:fill="auto"/>
            <w:vAlign w:val="center"/>
          </w:tcPr>
          <w:p w14:paraId="531FB157" w14:textId="77777777" w:rsidR="00FA366A" w:rsidRPr="002C21B8" w:rsidRDefault="00FA366A" w:rsidP="00212D46">
            <w:pPr>
              <w:spacing w:after="0" w:line="240" w:lineRule="auto"/>
              <w:rPr>
                <w:sz w:val="20"/>
                <w:szCs w:val="20"/>
              </w:rPr>
            </w:pPr>
            <w:r w:rsidRPr="002C21B8">
              <w:rPr>
                <w:sz w:val="20"/>
                <w:szCs w:val="20"/>
              </w:rPr>
              <w:t>95</w:t>
            </w:r>
          </w:p>
        </w:tc>
        <w:tc>
          <w:tcPr>
            <w:tcW w:w="8505" w:type="dxa"/>
            <w:shd w:val="clear" w:color="auto" w:fill="auto"/>
          </w:tcPr>
          <w:p w14:paraId="01E3443B" w14:textId="77777777" w:rsidR="00FA366A" w:rsidRPr="002C21B8" w:rsidRDefault="00FA366A" w:rsidP="00212D46">
            <w:pPr>
              <w:spacing w:after="0" w:line="240" w:lineRule="auto"/>
              <w:rPr>
                <w:sz w:val="20"/>
                <w:szCs w:val="20"/>
              </w:rPr>
            </w:pPr>
            <w:r w:rsidRPr="002C21B8">
              <w:rPr>
                <w:sz w:val="20"/>
                <w:szCs w:val="20"/>
              </w:rPr>
              <w:t>((irritable or functional or spastic) NEXT (bowel or colon)):ti</w:t>
            </w:r>
          </w:p>
        </w:tc>
      </w:tr>
      <w:tr w:rsidR="00FA366A" w:rsidRPr="002C21B8" w14:paraId="63DCEF81" w14:textId="77777777" w:rsidTr="00960A9F">
        <w:trPr>
          <w:trHeight w:val="320"/>
        </w:trPr>
        <w:tc>
          <w:tcPr>
            <w:tcW w:w="704" w:type="dxa"/>
            <w:shd w:val="clear" w:color="auto" w:fill="auto"/>
            <w:vAlign w:val="center"/>
          </w:tcPr>
          <w:p w14:paraId="23A4F385" w14:textId="77777777" w:rsidR="00FA366A" w:rsidRPr="002C21B8" w:rsidRDefault="00FA366A" w:rsidP="00212D46">
            <w:pPr>
              <w:spacing w:after="0" w:line="240" w:lineRule="auto"/>
              <w:rPr>
                <w:sz w:val="20"/>
                <w:szCs w:val="20"/>
              </w:rPr>
            </w:pPr>
            <w:r w:rsidRPr="002C21B8">
              <w:rPr>
                <w:sz w:val="20"/>
                <w:szCs w:val="20"/>
              </w:rPr>
              <w:t>96</w:t>
            </w:r>
          </w:p>
        </w:tc>
        <w:tc>
          <w:tcPr>
            <w:tcW w:w="8505" w:type="dxa"/>
            <w:shd w:val="clear" w:color="auto" w:fill="auto"/>
          </w:tcPr>
          <w:p w14:paraId="0A1F0A5B" w14:textId="77777777" w:rsidR="00FA366A" w:rsidRPr="002C21B8" w:rsidRDefault="00FA366A" w:rsidP="00212D46">
            <w:pPr>
              <w:spacing w:after="0" w:line="240" w:lineRule="auto"/>
              <w:rPr>
                <w:sz w:val="20"/>
                <w:szCs w:val="20"/>
              </w:rPr>
            </w:pPr>
            <w:r w:rsidRPr="002C21B8">
              <w:rPr>
                <w:sz w:val="20"/>
                <w:szCs w:val="20"/>
              </w:rPr>
              <w:t>(IBS or mucous colit* or gastrointestinal syndrome* or functional gastrointestinal):ti</w:t>
            </w:r>
          </w:p>
        </w:tc>
      </w:tr>
      <w:tr w:rsidR="00FA366A" w:rsidRPr="002C21B8" w14:paraId="6329CDC7" w14:textId="77777777" w:rsidTr="00960A9F">
        <w:trPr>
          <w:trHeight w:val="320"/>
        </w:trPr>
        <w:tc>
          <w:tcPr>
            <w:tcW w:w="704" w:type="dxa"/>
            <w:shd w:val="clear" w:color="auto" w:fill="auto"/>
            <w:vAlign w:val="center"/>
          </w:tcPr>
          <w:p w14:paraId="2DDD1107" w14:textId="77777777" w:rsidR="00FA366A" w:rsidRPr="002C21B8" w:rsidRDefault="00FA366A" w:rsidP="00212D46">
            <w:pPr>
              <w:spacing w:after="0" w:line="240" w:lineRule="auto"/>
              <w:rPr>
                <w:sz w:val="20"/>
                <w:szCs w:val="20"/>
              </w:rPr>
            </w:pPr>
            <w:r w:rsidRPr="002C21B8">
              <w:rPr>
                <w:sz w:val="20"/>
                <w:szCs w:val="20"/>
              </w:rPr>
              <w:t>97</w:t>
            </w:r>
          </w:p>
        </w:tc>
        <w:tc>
          <w:tcPr>
            <w:tcW w:w="8505" w:type="dxa"/>
            <w:shd w:val="clear" w:color="auto" w:fill="auto"/>
          </w:tcPr>
          <w:p w14:paraId="14E2FDA8" w14:textId="77777777" w:rsidR="00FA366A" w:rsidRPr="002C21B8" w:rsidRDefault="00FA366A" w:rsidP="00212D46">
            <w:pPr>
              <w:spacing w:after="0" w:line="240" w:lineRule="auto"/>
              <w:rPr>
                <w:sz w:val="20"/>
                <w:szCs w:val="20"/>
              </w:rPr>
            </w:pPr>
            <w:r w:rsidRPr="002C21B8">
              <w:rPr>
                <w:sz w:val="20"/>
                <w:szCs w:val="20"/>
              </w:rPr>
              <w:t>MeSH descriptor: [Migraine Disorders] explode all trees</w:t>
            </w:r>
          </w:p>
        </w:tc>
      </w:tr>
      <w:tr w:rsidR="00FA366A" w:rsidRPr="002C21B8" w14:paraId="558F96B2" w14:textId="77777777" w:rsidTr="00960A9F">
        <w:trPr>
          <w:trHeight w:val="320"/>
        </w:trPr>
        <w:tc>
          <w:tcPr>
            <w:tcW w:w="704" w:type="dxa"/>
            <w:shd w:val="clear" w:color="auto" w:fill="auto"/>
            <w:vAlign w:val="center"/>
          </w:tcPr>
          <w:p w14:paraId="55C82A87" w14:textId="77777777" w:rsidR="00FA366A" w:rsidRPr="002C21B8" w:rsidRDefault="00FA366A" w:rsidP="00212D46">
            <w:pPr>
              <w:spacing w:after="0" w:line="240" w:lineRule="auto"/>
              <w:rPr>
                <w:sz w:val="20"/>
                <w:szCs w:val="20"/>
              </w:rPr>
            </w:pPr>
            <w:r w:rsidRPr="002C21B8">
              <w:rPr>
                <w:sz w:val="20"/>
                <w:szCs w:val="20"/>
              </w:rPr>
              <w:t>98</w:t>
            </w:r>
          </w:p>
        </w:tc>
        <w:tc>
          <w:tcPr>
            <w:tcW w:w="8505" w:type="dxa"/>
            <w:shd w:val="clear" w:color="auto" w:fill="auto"/>
          </w:tcPr>
          <w:p w14:paraId="7B1451B5" w14:textId="77777777" w:rsidR="00FA366A" w:rsidRPr="002C21B8" w:rsidRDefault="00FA366A" w:rsidP="00212D46">
            <w:pPr>
              <w:spacing w:after="0" w:line="240" w:lineRule="auto"/>
              <w:rPr>
                <w:sz w:val="20"/>
                <w:szCs w:val="20"/>
              </w:rPr>
            </w:pPr>
            <w:r w:rsidRPr="002C21B8">
              <w:rPr>
                <w:sz w:val="20"/>
                <w:szCs w:val="20"/>
              </w:rPr>
              <w:t>(migraine or megrim or hemicrania):ti</w:t>
            </w:r>
          </w:p>
        </w:tc>
      </w:tr>
      <w:tr w:rsidR="00FA366A" w:rsidRPr="002C21B8" w14:paraId="6D1088A2" w14:textId="77777777" w:rsidTr="00960A9F">
        <w:trPr>
          <w:trHeight w:val="320"/>
        </w:trPr>
        <w:tc>
          <w:tcPr>
            <w:tcW w:w="704" w:type="dxa"/>
            <w:shd w:val="clear" w:color="auto" w:fill="auto"/>
            <w:vAlign w:val="center"/>
          </w:tcPr>
          <w:p w14:paraId="009513F1" w14:textId="77777777" w:rsidR="00FA366A" w:rsidRPr="002C21B8" w:rsidRDefault="00FA366A" w:rsidP="00212D46">
            <w:pPr>
              <w:spacing w:after="0" w:line="240" w:lineRule="auto"/>
              <w:rPr>
                <w:sz w:val="20"/>
                <w:szCs w:val="20"/>
              </w:rPr>
            </w:pPr>
            <w:r w:rsidRPr="002C21B8">
              <w:rPr>
                <w:sz w:val="20"/>
                <w:szCs w:val="20"/>
              </w:rPr>
              <w:t>99</w:t>
            </w:r>
          </w:p>
        </w:tc>
        <w:tc>
          <w:tcPr>
            <w:tcW w:w="8505" w:type="dxa"/>
            <w:shd w:val="clear" w:color="auto" w:fill="auto"/>
          </w:tcPr>
          <w:p w14:paraId="722ABFE4" w14:textId="77777777" w:rsidR="00FA366A" w:rsidRPr="002C21B8" w:rsidRDefault="00FA366A" w:rsidP="00212D46">
            <w:pPr>
              <w:spacing w:after="0" w:line="240" w:lineRule="auto"/>
              <w:rPr>
                <w:sz w:val="20"/>
                <w:szCs w:val="20"/>
              </w:rPr>
            </w:pPr>
            <w:r w:rsidRPr="002C21B8">
              <w:rPr>
                <w:sz w:val="20"/>
                <w:szCs w:val="20"/>
              </w:rPr>
              <w:t>MeSH descriptor: [Multiple Sclerosis] explode all trees</w:t>
            </w:r>
          </w:p>
        </w:tc>
      </w:tr>
      <w:tr w:rsidR="00FA366A" w:rsidRPr="002C21B8" w14:paraId="51AFDC4C" w14:textId="77777777" w:rsidTr="00960A9F">
        <w:trPr>
          <w:trHeight w:val="320"/>
        </w:trPr>
        <w:tc>
          <w:tcPr>
            <w:tcW w:w="704" w:type="dxa"/>
            <w:shd w:val="clear" w:color="auto" w:fill="auto"/>
            <w:vAlign w:val="center"/>
          </w:tcPr>
          <w:p w14:paraId="2E56AF5B" w14:textId="77777777" w:rsidR="00FA366A" w:rsidRPr="002C21B8" w:rsidRDefault="00FA366A" w:rsidP="00212D46">
            <w:pPr>
              <w:spacing w:after="0" w:line="240" w:lineRule="auto"/>
              <w:rPr>
                <w:sz w:val="20"/>
                <w:szCs w:val="20"/>
              </w:rPr>
            </w:pPr>
            <w:r w:rsidRPr="002C21B8">
              <w:rPr>
                <w:sz w:val="20"/>
                <w:szCs w:val="20"/>
              </w:rPr>
              <w:t>100</w:t>
            </w:r>
          </w:p>
        </w:tc>
        <w:tc>
          <w:tcPr>
            <w:tcW w:w="8505" w:type="dxa"/>
            <w:shd w:val="clear" w:color="auto" w:fill="auto"/>
          </w:tcPr>
          <w:p w14:paraId="4E91FD51" w14:textId="77777777" w:rsidR="00FA366A" w:rsidRPr="002C21B8" w:rsidRDefault="00FA366A" w:rsidP="00212D46">
            <w:pPr>
              <w:spacing w:after="0" w:line="240" w:lineRule="auto"/>
              <w:rPr>
                <w:sz w:val="20"/>
                <w:szCs w:val="20"/>
              </w:rPr>
            </w:pPr>
            <w:r w:rsidRPr="002C21B8">
              <w:rPr>
                <w:sz w:val="20"/>
                <w:szCs w:val="20"/>
              </w:rPr>
              <w:t>(multiple sclerosis or MS or demyelinating disease*):ti</w:t>
            </w:r>
          </w:p>
        </w:tc>
      </w:tr>
      <w:tr w:rsidR="00FA366A" w:rsidRPr="002C21B8" w14:paraId="1DE82FF6" w14:textId="77777777" w:rsidTr="00960A9F">
        <w:trPr>
          <w:trHeight w:val="320"/>
        </w:trPr>
        <w:tc>
          <w:tcPr>
            <w:tcW w:w="704" w:type="dxa"/>
            <w:shd w:val="clear" w:color="auto" w:fill="auto"/>
            <w:vAlign w:val="center"/>
          </w:tcPr>
          <w:p w14:paraId="62A34193" w14:textId="77777777" w:rsidR="00FA366A" w:rsidRPr="002C21B8" w:rsidRDefault="00FA366A" w:rsidP="00212D46">
            <w:pPr>
              <w:spacing w:after="0" w:line="240" w:lineRule="auto"/>
              <w:rPr>
                <w:sz w:val="20"/>
                <w:szCs w:val="20"/>
              </w:rPr>
            </w:pPr>
            <w:r w:rsidRPr="002C21B8">
              <w:rPr>
                <w:sz w:val="20"/>
                <w:szCs w:val="20"/>
              </w:rPr>
              <w:t>101</w:t>
            </w:r>
          </w:p>
        </w:tc>
        <w:tc>
          <w:tcPr>
            <w:tcW w:w="8505" w:type="dxa"/>
            <w:shd w:val="clear" w:color="auto" w:fill="auto"/>
          </w:tcPr>
          <w:p w14:paraId="2C1788CF" w14:textId="77777777" w:rsidR="00FA366A" w:rsidRPr="002C21B8" w:rsidRDefault="00FA366A" w:rsidP="00212D46">
            <w:pPr>
              <w:spacing w:after="0" w:line="240" w:lineRule="auto"/>
              <w:rPr>
                <w:sz w:val="20"/>
                <w:szCs w:val="20"/>
              </w:rPr>
            </w:pPr>
            <w:r w:rsidRPr="002C21B8">
              <w:rPr>
                <w:sz w:val="20"/>
                <w:szCs w:val="20"/>
              </w:rPr>
              <w:t>MeSH descriptor: [Osteoarthritis] explode all trees</w:t>
            </w:r>
          </w:p>
        </w:tc>
      </w:tr>
      <w:tr w:rsidR="00FA366A" w:rsidRPr="002C21B8" w14:paraId="70A3F06A" w14:textId="77777777" w:rsidTr="00960A9F">
        <w:trPr>
          <w:trHeight w:val="320"/>
        </w:trPr>
        <w:tc>
          <w:tcPr>
            <w:tcW w:w="704" w:type="dxa"/>
            <w:shd w:val="clear" w:color="auto" w:fill="auto"/>
            <w:vAlign w:val="center"/>
          </w:tcPr>
          <w:p w14:paraId="6F84C422" w14:textId="77777777" w:rsidR="00FA366A" w:rsidRPr="002C21B8" w:rsidRDefault="00FA366A" w:rsidP="00212D46">
            <w:pPr>
              <w:spacing w:after="0" w:line="240" w:lineRule="auto"/>
              <w:rPr>
                <w:sz w:val="20"/>
                <w:szCs w:val="20"/>
              </w:rPr>
            </w:pPr>
            <w:r w:rsidRPr="002C21B8">
              <w:rPr>
                <w:sz w:val="20"/>
                <w:szCs w:val="20"/>
              </w:rPr>
              <w:t>102</w:t>
            </w:r>
          </w:p>
        </w:tc>
        <w:tc>
          <w:tcPr>
            <w:tcW w:w="8505" w:type="dxa"/>
            <w:shd w:val="clear" w:color="auto" w:fill="auto"/>
          </w:tcPr>
          <w:p w14:paraId="53654F66" w14:textId="77777777" w:rsidR="00FA366A" w:rsidRPr="002C21B8" w:rsidRDefault="00FA366A" w:rsidP="00212D46">
            <w:pPr>
              <w:spacing w:after="0" w:line="240" w:lineRule="auto"/>
              <w:rPr>
                <w:sz w:val="20"/>
                <w:szCs w:val="20"/>
              </w:rPr>
            </w:pPr>
            <w:r w:rsidRPr="002C21B8">
              <w:rPr>
                <w:sz w:val="20"/>
                <w:szCs w:val="20"/>
              </w:rPr>
              <w:t>(osteoarthr* or OA):ti</w:t>
            </w:r>
          </w:p>
        </w:tc>
      </w:tr>
      <w:tr w:rsidR="00FA366A" w:rsidRPr="002C21B8" w14:paraId="1FC138DB" w14:textId="77777777" w:rsidTr="00960A9F">
        <w:trPr>
          <w:trHeight w:val="320"/>
        </w:trPr>
        <w:tc>
          <w:tcPr>
            <w:tcW w:w="704" w:type="dxa"/>
            <w:shd w:val="clear" w:color="auto" w:fill="auto"/>
            <w:vAlign w:val="center"/>
          </w:tcPr>
          <w:p w14:paraId="5C4B1615" w14:textId="77777777" w:rsidR="00FA366A" w:rsidRPr="002C21B8" w:rsidRDefault="00FA366A" w:rsidP="00212D46">
            <w:pPr>
              <w:spacing w:after="0" w:line="240" w:lineRule="auto"/>
              <w:rPr>
                <w:sz w:val="20"/>
                <w:szCs w:val="20"/>
              </w:rPr>
            </w:pPr>
            <w:r w:rsidRPr="002C21B8">
              <w:rPr>
                <w:sz w:val="20"/>
                <w:szCs w:val="20"/>
              </w:rPr>
              <w:t>103</w:t>
            </w:r>
          </w:p>
        </w:tc>
        <w:tc>
          <w:tcPr>
            <w:tcW w:w="8505" w:type="dxa"/>
            <w:shd w:val="clear" w:color="auto" w:fill="auto"/>
          </w:tcPr>
          <w:p w14:paraId="479AFBF8" w14:textId="77777777" w:rsidR="00FA366A" w:rsidRPr="002C21B8" w:rsidRDefault="00FA366A" w:rsidP="00212D46">
            <w:pPr>
              <w:spacing w:after="0" w:line="240" w:lineRule="auto"/>
              <w:rPr>
                <w:sz w:val="20"/>
                <w:szCs w:val="20"/>
              </w:rPr>
            </w:pPr>
            <w:r w:rsidRPr="002C21B8">
              <w:rPr>
                <w:sz w:val="20"/>
                <w:szCs w:val="20"/>
              </w:rPr>
              <w:t>(degenerative NEXT (arthritis or joint*)):ti</w:t>
            </w:r>
          </w:p>
        </w:tc>
      </w:tr>
      <w:tr w:rsidR="00FA366A" w:rsidRPr="002C21B8" w14:paraId="1847B24A" w14:textId="77777777" w:rsidTr="00960A9F">
        <w:trPr>
          <w:trHeight w:val="320"/>
        </w:trPr>
        <w:tc>
          <w:tcPr>
            <w:tcW w:w="704" w:type="dxa"/>
            <w:shd w:val="clear" w:color="auto" w:fill="auto"/>
            <w:vAlign w:val="center"/>
          </w:tcPr>
          <w:p w14:paraId="52AEE247" w14:textId="77777777" w:rsidR="00FA366A" w:rsidRPr="002C21B8" w:rsidRDefault="00FA366A" w:rsidP="00212D46">
            <w:pPr>
              <w:spacing w:after="0" w:line="240" w:lineRule="auto"/>
              <w:rPr>
                <w:sz w:val="20"/>
                <w:szCs w:val="20"/>
              </w:rPr>
            </w:pPr>
            <w:r w:rsidRPr="002C21B8">
              <w:rPr>
                <w:sz w:val="20"/>
                <w:szCs w:val="20"/>
              </w:rPr>
              <w:t>104</w:t>
            </w:r>
          </w:p>
        </w:tc>
        <w:tc>
          <w:tcPr>
            <w:tcW w:w="8505" w:type="dxa"/>
            <w:shd w:val="clear" w:color="auto" w:fill="auto"/>
          </w:tcPr>
          <w:p w14:paraId="1A2BAAE4" w14:textId="77777777" w:rsidR="00FA366A" w:rsidRPr="002C21B8" w:rsidRDefault="00FA366A" w:rsidP="00212D46">
            <w:pPr>
              <w:spacing w:after="0" w:line="240" w:lineRule="auto"/>
              <w:rPr>
                <w:sz w:val="20"/>
                <w:szCs w:val="20"/>
              </w:rPr>
            </w:pPr>
            <w:r w:rsidRPr="002C21B8">
              <w:rPr>
                <w:sz w:val="20"/>
                <w:szCs w:val="20"/>
              </w:rPr>
              <w:t>MeSH descriptor: [Parkinson Disease] explode all trees</w:t>
            </w:r>
          </w:p>
        </w:tc>
      </w:tr>
      <w:tr w:rsidR="00FA366A" w:rsidRPr="002C21B8" w14:paraId="24A57DCA" w14:textId="77777777" w:rsidTr="00960A9F">
        <w:trPr>
          <w:trHeight w:val="320"/>
        </w:trPr>
        <w:tc>
          <w:tcPr>
            <w:tcW w:w="704" w:type="dxa"/>
            <w:shd w:val="clear" w:color="auto" w:fill="auto"/>
            <w:vAlign w:val="center"/>
          </w:tcPr>
          <w:p w14:paraId="118F82F9" w14:textId="77777777" w:rsidR="00FA366A" w:rsidRPr="002C21B8" w:rsidRDefault="00FA366A" w:rsidP="00212D46">
            <w:pPr>
              <w:spacing w:after="0" w:line="240" w:lineRule="auto"/>
              <w:rPr>
                <w:sz w:val="20"/>
                <w:szCs w:val="20"/>
              </w:rPr>
            </w:pPr>
            <w:r w:rsidRPr="002C21B8">
              <w:rPr>
                <w:sz w:val="20"/>
                <w:szCs w:val="20"/>
              </w:rPr>
              <w:t>105</w:t>
            </w:r>
          </w:p>
        </w:tc>
        <w:tc>
          <w:tcPr>
            <w:tcW w:w="8505" w:type="dxa"/>
            <w:shd w:val="clear" w:color="auto" w:fill="auto"/>
          </w:tcPr>
          <w:p w14:paraId="49A045E0" w14:textId="77777777" w:rsidR="00FA366A" w:rsidRPr="002C21B8" w:rsidRDefault="00FA366A" w:rsidP="00212D46">
            <w:pPr>
              <w:spacing w:after="0" w:line="240" w:lineRule="auto"/>
              <w:rPr>
                <w:sz w:val="20"/>
                <w:szCs w:val="20"/>
              </w:rPr>
            </w:pPr>
            <w:r w:rsidRPr="002C21B8">
              <w:rPr>
                <w:sz w:val="20"/>
                <w:szCs w:val="20"/>
              </w:rPr>
              <w:t>(parkinson* disease or PD or parkinson*):ti</w:t>
            </w:r>
          </w:p>
        </w:tc>
      </w:tr>
      <w:tr w:rsidR="00FA366A" w:rsidRPr="002C21B8" w14:paraId="110B34F0" w14:textId="77777777" w:rsidTr="00960A9F">
        <w:trPr>
          <w:trHeight w:val="320"/>
        </w:trPr>
        <w:tc>
          <w:tcPr>
            <w:tcW w:w="704" w:type="dxa"/>
            <w:shd w:val="clear" w:color="auto" w:fill="auto"/>
            <w:vAlign w:val="center"/>
          </w:tcPr>
          <w:p w14:paraId="7BD778EF" w14:textId="77777777" w:rsidR="00FA366A" w:rsidRPr="002C21B8" w:rsidRDefault="00FA366A" w:rsidP="00212D46">
            <w:pPr>
              <w:spacing w:after="0" w:line="240" w:lineRule="auto"/>
              <w:rPr>
                <w:sz w:val="20"/>
                <w:szCs w:val="20"/>
              </w:rPr>
            </w:pPr>
            <w:r w:rsidRPr="002C21B8">
              <w:rPr>
                <w:sz w:val="20"/>
                <w:szCs w:val="20"/>
              </w:rPr>
              <w:t>106</w:t>
            </w:r>
          </w:p>
        </w:tc>
        <w:tc>
          <w:tcPr>
            <w:tcW w:w="8505" w:type="dxa"/>
            <w:shd w:val="clear" w:color="auto" w:fill="auto"/>
          </w:tcPr>
          <w:p w14:paraId="14475EC4" w14:textId="77777777" w:rsidR="00FA366A" w:rsidRPr="002C21B8" w:rsidRDefault="00FA366A" w:rsidP="00212D46">
            <w:pPr>
              <w:spacing w:after="0" w:line="240" w:lineRule="auto"/>
              <w:rPr>
                <w:sz w:val="20"/>
                <w:szCs w:val="20"/>
              </w:rPr>
            </w:pPr>
            <w:r w:rsidRPr="002C21B8">
              <w:rPr>
                <w:sz w:val="20"/>
                <w:szCs w:val="20"/>
              </w:rPr>
              <w:t>MeSH descriptor: [Cystic Fibrosis] explode all trees</w:t>
            </w:r>
          </w:p>
        </w:tc>
      </w:tr>
      <w:tr w:rsidR="00FA366A" w:rsidRPr="002C21B8" w14:paraId="2A2F9CF0" w14:textId="77777777" w:rsidTr="00960A9F">
        <w:trPr>
          <w:trHeight w:val="320"/>
        </w:trPr>
        <w:tc>
          <w:tcPr>
            <w:tcW w:w="704" w:type="dxa"/>
            <w:shd w:val="clear" w:color="auto" w:fill="auto"/>
            <w:vAlign w:val="center"/>
          </w:tcPr>
          <w:p w14:paraId="75FA8359" w14:textId="77777777" w:rsidR="00FA366A" w:rsidRPr="002C21B8" w:rsidRDefault="00FA366A" w:rsidP="00212D46">
            <w:pPr>
              <w:spacing w:after="0" w:line="240" w:lineRule="auto"/>
              <w:rPr>
                <w:sz w:val="20"/>
                <w:szCs w:val="20"/>
              </w:rPr>
            </w:pPr>
            <w:r w:rsidRPr="002C21B8">
              <w:rPr>
                <w:sz w:val="20"/>
                <w:szCs w:val="20"/>
              </w:rPr>
              <w:t>107</w:t>
            </w:r>
          </w:p>
        </w:tc>
        <w:tc>
          <w:tcPr>
            <w:tcW w:w="8505" w:type="dxa"/>
            <w:shd w:val="clear" w:color="auto" w:fill="auto"/>
          </w:tcPr>
          <w:p w14:paraId="268DD4F6" w14:textId="77777777" w:rsidR="00FA366A" w:rsidRPr="002C21B8" w:rsidRDefault="00FA366A" w:rsidP="00212D46">
            <w:pPr>
              <w:spacing w:after="0" w:line="240" w:lineRule="auto"/>
              <w:rPr>
                <w:sz w:val="20"/>
                <w:szCs w:val="20"/>
              </w:rPr>
            </w:pPr>
            <w:r w:rsidRPr="002C21B8">
              <w:rPr>
                <w:sz w:val="20"/>
                <w:szCs w:val="20"/>
              </w:rPr>
              <w:t>(cystic fibrosis or CF or mucoviscidosis or (fibrocystic disease NEXT pancrea*)):ti</w:t>
            </w:r>
          </w:p>
        </w:tc>
      </w:tr>
      <w:tr w:rsidR="00FA366A" w:rsidRPr="002C21B8" w14:paraId="079DB9CC" w14:textId="77777777" w:rsidTr="00960A9F">
        <w:trPr>
          <w:trHeight w:val="320"/>
        </w:trPr>
        <w:tc>
          <w:tcPr>
            <w:tcW w:w="704" w:type="dxa"/>
            <w:shd w:val="clear" w:color="auto" w:fill="auto"/>
            <w:vAlign w:val="center"/>
          </w:tcPr>
          <w:p w14:paraId="7FA4662B" w14:textId="77777777" w:rsidR="00FA366A" w:rsidRPr="002C21B8" w:rsidRDefault="00FA366A" w:rsidP="00212D46">
            <w:pPr>
              <w:spacing w:after="0" w:line="240" w:lineRule="auto"/>
              <w:rPr>
                <w:sz w:val="20"/>
                <w:szCs w:val="20"/>
              </w:rPr>
            </w:pPr>
            <w:r w:rsidRPr="002C21B8">
              <w:rPr>
                <w:sz w:val="20"/>
                <w:szCs w:val="20"/>
              </w:rPr>
              <w:t>108</w:t>
            </w:r>
          </w:p>
        </w:tc>
        <w:tc>
          <w:tcPr>
            <w:tcW w:w="8505" w:type="dxa"/>
            <w:shd w:val="clear" w:color="auto" w:fill="auto"/>
          </w:tcPr>
          <w:p w14:paraId="60F08EA8" w14:textId="77777777" w:rsidR="00FA366A" w:rsidRPr="002C21B8" w:rsidRDefault="00FA366A" w:rsidP="00212D46">
            <w:pPr>
              <w:spacing w:after="0" w:line="240" w:lineRule="auto"/>
              <w:rPr>
                <w:sz w:val="20"/>
                <w:szCs w:val="20"/>
              </w:rPr>
            </w:pPr>
            <w:r w:rsidRPr="002C21B8">
              <w:rPr>
                <w:sz w:val="20"/>
                <w:szCs w:val="20"/>
              </w:rPr>
              <w:t>MeSH descriptor: [Gastroesophageal Reflux] explode all trees</w:t>
            </w:r>
          </w:p>
        </w:tc>
      </w:tr>
      <w:tr w:rsidR="00FA366A" w:rsidRPr="002C21B8" w14:paraId="57AD7239" w14:textId="77777777" w:rsidTr="00960A9F">
        <w:trPr>
          <w:trHeight w:val="320"/>
        </w:trPr>
        <w:tc>
          <w:tcPr>
            <w:tcW w:w="704" w:type="dxa"/>
            <w:shd w:val="clear" w:color="auto" w:fill="auto"/>
            <w:vAlign w:val="center"/>
          </w:tcPr>
          <w:p w14:paraId="48ED76C3" w14:textId="77777777" w:rsidR="00FA366A" w:rsidRPr="002C21B8" w:rsidRDefault="00FA366A" w:rsidP="00212D46">
            <w:pPr>
              <w:spacing w:after="0" w:line="240" w:lineRule="auto"/>
              <w:rPr>
                <w:sz w:val="20"/>
                <w:szCs w:val="20"/>
              </w:rPr>
            </w:pPr>
            <w:r w:rsidRPr="002C21B8">
              <w:rPr>
                <w:sz w:val="20"/>
                <w:szCs w:val="20"/>
              </w:rPr>
              <w:t>109</w:t>
            </w:r>
          </w:p>
        </w:tc>
        <w:tc>
          <w:tcPr>
            <w:tcW w:w="8505" w:type="dxa"/>
            <w:shd w:val="clear" w:color="auto" w:fill="auto"/>
          </w:tcPr>
          <w:p w14:paraId="58F204C2" w14:textId="77777777" w:rsidR="00FA366A" w:rsidRPr="002C21B8" w:rsidRDefault="00FA366A" w:rsidP="00212D46">
            <w:pPr>
              <w:spacing w:after="0" w:line="240" w:lineRule="auto"/>
              <w:rPr>
                <w:sz w:val="20"/>
                <w:szCs w:val="20"/>
              </w:rPr>
            </w:pPr>
            <w:r w:rsidRPr="002C21B8">
              <w:rPr>
                <w:sz w:val="20"/>
                <w:szCs w:val="20"/>
              </w:rPr>
              <w:t>MeSH descriptor: [Ulcer] explode all trees</w:t>
            </w:r>
          </w:p>
        </w:tc>
      </w:tr>
      <w:tr w:rsidR="00FA366A" w:rsidRPr="002C21B8" w14:paraId="42D145A5" w14:textId="77777777" w:rsidTr="00960A9F">
        <w:trPr>
          <w:trHeight w:val="320"/>
        </w:trPr>
        <w:tc>
          <w:tcPr>
            <w:tcW w:w="704" w:type="dxa"/>
            <w:shd w:val="clear" w:color="auto" w:fill="auto"/>
            <w:vAlign w:val="center"/>
          </w:tcPr>
          <w:p w14:paraId="3403D631" w14:textId="77777777" w:rsidR="00FA366A" w:rsidRPr="002C21B8" w:rsidRDefault="00FA366A" w:rsidP="00212D46">
            <w:pPr>
              <w:spacing w:after="0" w:line="240" w:lineRule="auto"/>
              <w:rPr>
                <w:sz w:val="20"/>
                <w:szCs w:val="20"/>
              </w:rPr>
            </w:pPr>
            <w:r w:rsidRPr="002C21B8">
              <w:rPr>
                <w:sz w:val="20"/>
                <w:szCs w:val="20"/>
              </w:rPr>
              <w:t>110</w:t>
            </w:r>
          </w:p>
        </w:tc>
        <w:tc>
          <w:tcPr>
            <w:tcW w:w="8505" w:type="dxa"/>
            <w:shd w:val="clear" w:color="auto" w:fill="auto"/>
          </w:tcPr>
          <w:p w14:paraId="123CD558" w14:textId="77777777" w:rsidR="00FA366A" w:rsidRPr="002C21B8" w:rsidRDefault="00FA366A" w:rsidP="00212D46">
            <w:pPr>
              <w:spacing w:after="0" w:line="240" w:lineRule="auto"/>
              <w:rPr>
                <w:sz w:val="20"/>
                <w:szCs w:val="20"/>
              </w:rPr>
            </w:pPr>
            <w:r w:rsidRPr="002C21B8">
              <w:rPr>
                <w:sz w:val="20"/>
                <w:szCs w:val="20"/>
              </w:rPr>
              <w:t>MeSH descriptor: [Esophagitis] explode all trees</w:t>
            </w:r>
          </w:p>
        </w:tc>
      </w:tr>
      <w:tr w:rsidR="00FA366A" w:rsidRPr="002C21B8" w14:paraId="1877A526" w14:textId="77777777" w:rsidTr="00960A9F">
        <w:trPr>
          <w:trHeight w:val="320"/>
        </w:trPr>
        <w:tc>
          <w:tcPr>
            <w:tcW w:w="704" w:type="dxa"/>
            <w:shd w:val="clear" w:color="auto" w:fill="auto"/>
            <w:vAlign w:val="center"/>
          </w:tcPr>
          <w:p w14:paraId="71699904" w14:textId="77777777" w:rsidR="00FA366A" w:rsidRPr="002C21B8" w:rsidRDefault="00FA366A" w:rsidP="00212D46">
            <w:pPr>
              <w:spacing w:after="0" w:line="240" w:lineRule="auto"/>
              <w:rPr>
                <w:sz w:val="20"/>
                <w:szCs w:val="20"/>
              </w:rPr>
            </w:pPr>
            <w:r w:rsidRPr="002C21B8">
              <w:rPr>
                <w:sz w:val="20"/>
                <w:szCs w:val="20"/>
              </w:rPr>
              <w:t>111</w:t>
            </w:r>
          </w:p>
        </w:tc>
        <w:tc>
          <w:tcPr>
            <w:tcW w:w="8505" w:type="dxa"/>
            <w:shd w:val="clear" w:color="auto" w:fill="auto"/>
          </w:tcPr>
          <w:p w14:paraId="7B2012A1" w14:textId="77777777" w:rsidR="00FA366A" w:rsidRPr="002C21B8" w:rsidRDefault="00FA366A" w:rsidP="00212D46">
            <w:pPr>
              <w:spacing w:after="0" w:line="240" w:lineRule="auto"/>
              <w:rPr>
                <w:sz w:val="20"/>
                <w:szCs w:val="20"/>
              </w:rPr>
            </w:pPr>
            <w:r w:rsidRPr="002C21B8">
              <w:rPr>
                <w:sz w:val="20"/>
                <w:szCs w:val="20"/>
              </w:rPr>
              <w:t>((gastroesophageal or gastrooesophageal or gastro ?esophageal) NEXT reflux):ti</w:t>
            </w:r>
          </w:p>
        </w:tc>
      </w:tr>
      <w:tr w:rsidR="00FA366A" w:rsidRPr="002C21B8" w14:paraId="43F813F1" w14:textId="77777777" w:rsidTr="00960A9F">
        <w:trPr>
          <w:trHeight w:val="320"/>
        </w:trPr>
        <w:tc>
          <w:tcPr>
            <w:tcW w:w="704" w:type="dxa"/>
            <w:shd w:val="clear" w:color="auto" w:fill="auto"/>
            <w:vAlign w:val="center"/>
          </w:tcPr>
          <w:p w14:paraId="4107639E" w14:textId="77777777" w:rsidR="00FA366A" w:rsidRPr="002C21B8" w:rsidRDefault="00FA366A" w:rsidP="00212D46">
            <w:pPr>
              <w:spacing w:after="0" w:line="240" w:lineRule="auto"/>
              <w:rPr>
                <w:sz w:val="20"/>
                <w:szCs w:val="20"/>
              </w:rPr>
            </w:pPr>
            <w:r w:rsidRPr="002C21B8">
              <w:rPr>
                <w:sz w:val="20"/>
                <w:szCs w:val="20"/>
              </w:rPr>
              <w:t>112</w:t>
            </w:r>
          </w:p>
        </w:tc>
        <w:tc>
          <w:tcPr>
            <w:tcW w:w="8505" w:type="dxa"/>
            <w:shd w:val="clear" w:color="auto" w:fill="auto"/>
          </w:tcPr>
          <w:p w14:paraId="538582CF" w14:textId="77777777" w:rsidR="00FA366A" w:rsidRPr="002C21B8" w:rsidRDefault="00FA366A" w:rsidP="00212D46">
            <w:pPr>
              <w:spacing w:after="0" w:line="240" w:lineRule="auto"/>
              <w:rPr>
                <w:sz w:val="20"/>
                <w:szCs w:val="20"/>
              </w:rPr>
            </w:pPr>
            <w:r w:rsidRPr="002C21B8">
              <w:rPr>
                <w:sz w:val="20"/>
                <w:szCs w:val="20"/>
              </w:rPr>
              <w:t>(GORD or GERD or GOR or GER):ti</w:t>
            </w:r>
          </w:p>
        </w:tc>
      </w:tr>
      <w:tr w:rsidR="00FA366A" w:rsidRPr="002C21B8" w14:paraId="388E3B02" w14:textId="77777777" w:rsidTr="00960A9F">
        <w:trPr>
          <w:trHeight w:val="320"/>
        </w:trPr>
        <w:tc>
          <w:tcPr>
            <w:tcW w:w="704" w:type="dxa"/>
            <w:shd w:val="clear" w:color="auto" w:fill="auto"/>
            <w:vAlign w:val="center"/>
          </w:tcPr>
          <w:p w14:paraId="1F21EF1A" w14:textId="77777777" w:rsidR="00FA366A" w:rsidRPr="002C21B8" w:rsidRDefault="00FA366A" w:rsidP="00212D46">
            <w:pPr>
              <w:spacing w:after="0" w:line="240" w:lineRule="auto"/>
              <w:rPr>
                <w:sz w:val="20"/>
                <w:szCs w:val="20"/>
              </w:rPr>
            </w:pPr>
            <w:r w:rsidRPr="002C21B8">
              <w:rPr>
                <w:sz w:val="20"/>
                <w:szCs w:val="20"/>
              </w:rPr>
              <w:t>113</w:t>
            </w:r>
          </w:p>
        </w:tc>
        <w:tc>
          <w:tcPr>
            <w:tcW w:w="8505" w:type="dxa"/>
            <w:shd w:val="clear" w:color="auto" w:fill="auto"/>
          </w:tcPr>
          <w:p w14:paraId="73DE7728" w14:textId="77777777" w:rsidR="00FA366A" w:rsidRPr="002C21B8" w:rsidRDefault="00FA366A" w:rsidP="00212D46">
            <w:pPr>
              <w:spacing w:after="0" w:line="240" w:lineRule="auto"/>
              <w:rPr>
                <w:sz w:val="20"/>
                <w:szCs w:val="20"/>
              </w:rPr>
            </w:pPr>
            <w:r w:rsidRPr="002C21B8">
              <w:rPr>
                <w:sz w:val="20"/>
                <w:szCs w:val="20"/>
              </w:rPr>
              <w:t>(gastric NEXT (acid or reflux)):ti</w:t>
            </w:r>
          </w:p>
        </w:tc>
      </w:tr>
      <w:tr w:rsidR="00FA366A" w:rsidRPr="002C21B8" w14:paraId="2C148FB8" w14:textId="77777777" w:rsidTr="00960A9F">
        <w:trPr>
          <w:trHeight w:val="320"/>
        </w:trPr>
        <w:tc>
          <w:tcPr>
            <w:tcW w:w="704" w:type="dxa"/>
            <w:shd w:val="clear" w:color="auto" w:fill="auto"/>
            <w:vAlign w:val="center"/>
          </w:tcPr>
          <w:p w14:paraId="437A90C5" w14:textId="77777777" w:rsidR="00FA366A" w:rsidRPr="002C21B8" w:rsidRDefault="00FA366A" w:rsidP="00212D46">
            <w:pPr>
              <w:spacing w:after="0" w:line="240" w:lineRule="auto"/>
              <w:rPr>
                <w:sz w:val="20"/>
                <w:szCs w:val="20"/>
              </w:rPr>
            </w:pPr>
            <w:r w:rsidRPr="002C21B8">
              <w:rPr>
                <w:sz w:val="20"/>
                <w:szCs w:val="20"/>
              </w:rPr>
              <w:t>114</w:t>
            </w:r>
          </w:p>
        </w:tc>
        <w:tc>
          <w:tcPr>
            <w:tcW w:w="8505" w:type="dxa"/>
            <w:shd w:val="clear" w:color="auto" w:fill="auto"/>
          </w:tcPr>
          <w:p w14:paraId="5010B5A0" w14:textId="77777777" w:rsidR="00FA366A" w:rsidRPr="002C21B8" w:rsidRDefault="00FA366A" w:rsidP="00212D46">
            <w:pPr>
              <w:spacing w:after="0" w:line="240" w:lineRule="auto"/>
              <w:rPr>
                <w:sz w:val="20"/>
                <w:szCs w:val="20"/>
              </w:rPr>
            </w:pPr>
            <w:r w:rsidRPr="002C21B8">
              <w:rPr>
                <w:sz w:val="20"/>
                <w:szCs w:val="20"/>
              </w:rPr>
              <w:t>(reflux NEXT (oesophagitis or esophagitis)):ti</w:t>
            </w:r>
          </w:p>
        </w:tc>
      </w:tr>
      <w:tr w:rsidR="00FA366A" w:rsidRPr="002C21B8" w14:paraId="3BAC2E3B" w14:textId="77777777" w:rsidTr="00960A9F">
        <w:trPr>
          <w:trHeight w:val="320"/>
        </w:trPr>
        <w:tc>
          <w:tcPr>
            <w:tcW w:w="704" w:type="dxa"/>
            <w:shd w:val="clear" w:color="auto" w:fill="auto"/>
            <w:vAlign w:val="center"/>
          </w:tcPr>
          <w:p w14:paraId="2BDA6275" w14:textId="77777777" w:rsidR="00FA366A" w:rsidRPr="002C21B8" w:rsidRDefault="00FA366A" w:rsidP="00212D46">
            <w:pPr>
              <w:spacing w:after="0" w:line="240" w:lineRule="auto"/>
              <w:rPr>
                <w:sz w:val="20"/>
                <w:szCs w:val="20"/>
              </w:rPr>
            </w:pPr>
            <w:r w:rsidRPr="002C21B8">
              <w:rPr>
                <w:sz w:val="20"/>
                <w:szCs w:val="20"/>
              </w:rPr>
              <w:t>115</w:t>
            </w:r>
          </w:p>
        </w:tc>
        <w:tc>
          <w:tcPr>
            <w:tcW w:w="8505" w:type="dxa"/>
            <w:shd w:val="clear" w:color="auto" w:fill="auto"/>
          </w:tcPr>
          <w:p w14:paraId="73FFE975" w14:textId="77777777" w:rsidR="00FA366A" w:rsidRPr="002C21B8" w:rsidRDefault="00FA366A" w:rsidP="00212D46">
            <w:pPr>
              <w:spacing w:after="0" w:line="240" w:lineRule="auto"/>
              <w:rPr>
                <w:sz w:val="20"/>
                <w:szCs w:val="20"/>
              </w:rPr>
            </w:pPr>
            <w:r w:rsidRPr="002C21B8">
              <w:rPr>
                <w:sz w:val="20"/>
                <w:szCs w:val="20"/>
              </w:rPr>
              <w:t>((peptic or gastric or duodenal or stomach or oesophageal or esophageal) and ulcer*):ti</w:t>
            </w:r>
          </w:p>
        </w:tc>
      </w:tr>
      <w:tr w:rsidR="00FA366A" w:rsidRPr="002C21B8" w14:paraId="4384B98E" w14:textId="77777777" w:rsidTr="00960A9F">
        <w:trPr>
          <w:trHeight w:val="320"/>
        </w:trPr>
        <w:tc>
          <w:tcPr>
            <w:tcW w:w="704" w:type="dxa"/>
            <w:shd w:val="clear" w:color="auto" w:fill="auto"/>
            <w:vAlign w:val="center"/>
          </w:tcPr>
          <w:p w14:paraId="57766985" w14:textId="77777777" w:rsidR="00FA366A" w:rsidRPr="002C21B8" w:rsidRDefault="00FA366A" w:rsidP="00212D46">
            <w:pPr>
              <w:spacing w:after="0" w:line="240" w:lineRule="auto"/>
              <w:rPr>
                <w:sz w:val="20"/>
                <w:szCs w:val="20"/>
              </w:rPr>
            </w:pPr>
            <w:r w:rsidRPr="002C21B8">
              <w:rPr>
                <w:sz w:val="20"/>
                <w:szCs w:val="20"/>
              </w:rPr>
              <w:t>116</w:t>
            </w:r>
          </w:p>
        </w:tc>
        <w:tc>
          <w:tcPr>
            <w:tcW w:w="8505" w:type="dxa"/>
            <w:shd w:val="clear" w:color="auto" w:fill="auto"/>
          </w:tcPr>
          <w:p w14:paraId="74BAF638" w14:textId="77777777" w:rsidR="00FA366A" w:rsidRPr="002C21B8" w:rsidRDefault="00FA366A" w:rsidP="00212D46">
            <w:pPr>
              <w:spacing w:after="0" w:line="240" w:lineRule="auto"/>
              <w:rPr>
                <w:sz w:val="20"/>
                <w:szCs w:val="20"/>
              </w:rPr>
            </w:pPr>
            <w:r w:rsidRPr="002C21B8">
              <w:rPr>
                <w:sz w:val="20"/>
                <w:szCs w:val="20"/>
              </w:rPr>
              <w:t>MeSH descriptor: [Dizziness] explode all trees</w:t>
            </w:r>
          </w:p>
        </w:tc>
      </w:tr>
      <w:tr w:rsidR="00FA366A" w:rsidRPr="002C21B8" w14:paraId="2BA739E5" w14:textId="77777777" w:rsidTr="00960A9F">
        <w:trPr>
          <w:trHeight w:val="320"/>
        </w:trPr>
        <w:tc>
          <w:tcPr>
            <w:tcW w:w="704" w:type="dxa"/>
            <w:shd w:val="clear" w:color="auto" w:fill="auto"/>
            <w:vAlign w:val="center"/>
          </w:tcPr>
          <w:p w14:paraId="55CF5620" w14:textId="77777777" w:rsidR="00FA366A" w:rsidRPr="002C21B8" w:rsidRDefault="00FA366A" w:rsidP="00212D46">
            <w:pPr>
              <w:spacing w:after="0" w:line="240" w:lineRule="auto"/>
              <w:rPr>
                <w:sz w:val="20"/>
                <w:szCs w:val="20"/>
              </w:rPr>
            </w:pPr>
            <w:r w:rsidRPr="002C21B8">
              <w:rPr>
                <w:sz w:val="20"/>
                <w:szCs w:val="20"/>
              </w:rPr>
              <w:t>117</w:t>
            </w:r>
          </w:p>
        </w:tc>
        <w:tc>
          <w:tcPr>
            <w:tcW w:w="8505" w:type="dxa"/>
            <w:shd w:val="clear" w:color="auto" w:fill="auto"/>
          </w:tcPr>
          <w:p w14:paraId="0E27E5CA" w14:textId="77777777" w:rsidR="00FA366A" w:rsidRPr="002C21B8" w:rsidRDefault="00FA366A" w:rsidP="00212D46">
            <w:pPr>
              <w:spacing w:after="0" w:line="240" w:lineRule="auto"/>
              <w:rPr>
                <w:sz w:val="20"/>
                <w:szCs w:val="20"/>
              </w:rPr>
            </w:pPr>
            <w:r w:rsidRPr="002C21B8">
              <w:rPr>
                <w:sz w:val="20"/>
                <w:szCs w:val="20"/>
              </w:rPr>
              <w:t>MeSH descriptor: [Vertigo] explode all trees</w:t>
            </w:r>
          </w:p>
        </w:tc>
      </w:tr>
      <w:tr w:rsidR="00FA366A" w:rsidRPr="002C21B8" w14:paraId="5B43F84A" w14:textId="77777777" w:rsidTr="00960A9F">
        <w:trPr>
          <w:trHeight w:val="320"/>
        </w:trPr>
        <w:tc>
          <w:tcPr>
            <w:tcW w:w="704" w:type="dxa"/>
            <w:shd w:val="clear" w:color="auto" w:fill="auto"/>
            <w:vAlign w:val="center"/>
          </w:tcPr>
          <w:p w14:paraId="4964D2EB" w14:textId="77777777" w:rsidR="00FA366A" w:rsidRPr="002C21B8" w:rsidRDefault="00FA366A" w:rsidP="00212D46">
            <w:pPr>
              <w:spacing w:after="0" w:line="240" w:lineRule="auto"/>
              <w:rPr>
                <w:sz w:val="20"/>
                <w:szCs w:val="20"/>
              </w:rPr>
            </w:pPr>
            <w:r w:rsidRPr="002C21B8">
              <w:rPr>
                <w:sz w:val="20"/>
                <w:szCs w:val="20"/>
              </w:rPr>
              <w:t>118</w:t>
            </w:r>
          </w:p>
        </w:tc>
        <w:tc>
          <w:tcPr>
            <w:tcW w:w="8505" w:type="dxa"/>
            <w:shd w:val="clear" w:color="auto" w:fill="auto"/>
          </w:tcPr>
          <w:p w14:paraId="3BFC5B36" w14:textId="77777777" w:rsidR="00FA366A" w:rsidRPr="002C21B8" w:rsidRDefault="00FA366A" w:rsidP="00212D46">
            <w:pPr>
              <w:spacing w:after="0" w:line="240" w:lineRule="auto"/>
              <w:rPr>
                <w:sz w:val="20"/>
                <w:szCs w:val="20"/>
              </w:rPr>
            </w:pPr>
            <w:r w:rsidRPr="002C21B8">
              <w:rPr>
                <w:sz w:val="20"/>
                <w:szCs w:val="20"/>
              </w:rPr>
              <w:t>(vestibular neuritis or benign paroxysmal positional or BPPV or acoustic neuroma or meniere* disease or labyrinthinitis or vestibular neuronitis or vertigo*):ti</w:t>
            </w:r>
          </w:p>
        </w:tc>
      </w:tr>
      <w:tr w:rsidR="00FA366A" w:rsidRPr="002C21B8" w14:paraId="33CD7FC9" w14:textId="77777777" w:rsidTr="00960A9F">
        <w:trPr>
          <w:trHeight w:val="320"/>
        </w:trPr>
        <w:tc>
          <w:tcPr>
            <w:tcW w:w="704" w:type="dxa"/>
            <w:shd w:val="clear" w:color="auto" w:fill="auto"/>
            <w:vAlign w:val="center"/>
          </w:tcPr>
          <w:p w14:paraId="59990845" w14:textId="77777777" w:rsidR="00FA366A" w:rsidRPr="002C21B8" w:rsidRDefault="00FA366A" w:rsidP="00212D46">
            <w:pPr>
              <w:spacing w:after="0" w:line="240" w:lineRule="auto"/>
              <w:rPr>
                <w:sz w:val="20"/>
                <w:szCs w:val="20"/>
              </w:rPr>
            </w:pPr>
            <w:r w:rsidRPr="002C21B8">
              <w:rPr>
                <w:sz w:val="20"/>
                <w:szCs w:val="20"/>
              </w:rPr>
              <w:t>119</w:t>
            </w:r>
          </w:p>
        </w:tc>
        <w:tc>
          <w:tcPr>
            <w:tcW w:w="8505" w:type="dxa"/>
            <w:shd w:val="clear" w:color="auto" w:fill="auto"/>
          </w:tcPr>
          <w:p w14:paraId="5EDF33A7" w14:textId="77777777" w:rsidR="00FA366A" w:rsidRPr="002C21B8" w:rsidRDefault="00FA366A" w:rsidP="00212D46">
            <w:pPr>
              <w:spacing w:after="0" w:line="240" w:lineRule="auto"/>
              <w:rPr>
                <w:sz w:val="20"/>
                <w:szCs w:val="20"/>
              </w:rPr>
            </w:pPr>
            <w:r w:rsidRPr="002C21B8">
              <w:rPr>
                <w:sz w:val="20"/>
                <w:szCs w:val="20"/>
              </w:rPr>
              <w:t>MeSH descriptor: [Eczema] explode all trees</w:t>
            </w:r>
          </w:p>
        </w:tc>
      </w:tr>
      <w:tr w:rsidR="00FA366A" w:rsidRPr="002C21B8" w14:paraId="66C952E9" w14:textId="77777777" w:rsidTr="00960A9F">
        <w:trPr>
          <w:trHeight w:val="320"/>
        </w:trPr>
        <w:tc>
          <w:tcPr>
            <w:tcW w:w="704" w:type="dxa"/>
            <w:shd w:val="clear" w:color="auto" w:fill="auto"/>
            <w:vAlign w:val="center"/>
          </w:tcPr>
          <w:p w14:paraId="6DAC0DFF" w14:textId="77777777" w:rsidR="00FA366A" w:rsidRPr="002C21B8" w:rsidRDefault="00FA366A" w:rsidP="00212D46">
            <w:pPr>
              <w:spacing w:after="0" w:line="240" w:lineRule="auto"/>
              <w:rPr>
                <w:sz w:val="20"/>
                <w:szCs w:val="20"/>
              </w:rPr>
            </w:pPr>
            <w:r w:rsidRPr="002C21B8">
              <w:rPr>
                <w:sz w:val="20"/>
                <w:szCs w:val="20"/>
              </w:rPr>
              <w:t>120</w:t>
            </w:r>
          </w:p>
        </w:tc>
        <w:tc>
          <w:tcPr>
            <w:tcW w:w="8505" w:type="dxa"/>
            <w:shd w:val="clear" w:color="auto" w:fill="auto"/>
          </w:tcPr>
          <w:p w14:paraId="7CA1D084" w14:textId="77777777" w:rsidR="00FA366A" w:rsidRPr="002C21B8" w:rsidRDefault="00FA366A" w:rsidP="00212D46">
            <w:pPr>
              <w:spacing w:after="0" w:line="240" w:lineRule="auto"/>
              <w:rPr>
                <w:sz w:val="20"/>
                <w:szCs w:val="20"/>
                <w:lang w:val="pt-PT"/>
              </w:rPr>
            </w:pPr>
            <w:r w:rsidRPr="002C21B8">
              <w:rPr>
                <w:sz w:val="20"/>
                <w:szCs w:val="20"/>
                <w:lang w:val="pt-PT"/>
              </w:rPr>
              <w:t>(eczema or atopic eczema or atopic dermatitis):ti</w:t>
            </w:r>
          </w:p>
        </w:tc>
      </w:tr>
      <w:tr w:rsidR="00FA366A" w:rsidRPr="002C21B8" w14:paraId="355BB014" w14:textId="77777777" w:rsidTr="00960A9F">
        <w:trPr>
          <w:trHeight w:val="320"/>
        </w:trPr>
        <w:tc>
          <w:tcPr>
            <w:tcW w:w="704" w:type="dxa"/>
            <w:shd w:val="clear" w:color="auto" w:fill="auto"/>
            <w:vAlign w:val="center"/>
          </w:tcPr>
          <w:p w14:paraId="547E9154" w14:textId="77777777" w:rsidR="00FA366A" w:rsidRPr="002C21B8" w:rsidRDefault="00FA366A" w:rsidP="00212D46">
            <w:pPr>
              <w:spacing w:after="0" w:line="240" w:lineRule="auto"/>
              <w:rPr>
                <w:sz w:val="20"/>
                <w:szCs w:val="20"/>
              </w:rPr>
            </w:pPr>
            <w:r w:rsidRPr="002C21B8">
              <w:rPr>
                <w:sz w:val="20"/>
                <w:szCs w:val="20"/>
              </w:rPr>
              <w:t>121</w:t>
            </w:r>
          </w:p>
        </w:tc>
        <w:tc>
          <w:tcPr>
            <w:tcW w:w="8505" w:type="dxa"/>
            <w:shd w:val="clear" w:color="auto" w:fill="auto"/>
          </w:tcPr>
          <w:p w14:paraId="169A37CF" w14:textId="77777777" w:rsidR="00FA366A" w:rsidRPr="002C21B8" w:rsidRDefault="00FA366A" w:rsidP="00212D46">
            <w:pPr>
              <w:spacing w:after="0" w:line="240" w:lineRule="auto"/>
              <w:rPr>
                <w:sz w:val="20"/>
                <w:szCs w:val="20"/>
              </w:rPr>
            </w:pPr>
            <w:r w:rsidRPr="002C21B8">
              <w:rPr>
                <w:sz w:val="20"/>
                <w:szCs w:val="20"/>
              </w:rPr>
              <w:t>MeSH descriptor: [Endocrine System Diseases] explode all trees</w:t>
            </w:r>
          </w:p>
        </w:tc>
      </w:tr>
      <w:tr w:rsidR="00FA366A" w:rsidRPr="002C21B8" w14:paraId="1A9EDC40" w14:textId="77777777" w:rsidTr="00960A9F">
        <w:trPr>
          <w:trHeight w:val="320"/>
        </w:trPr>
        <w:tc>
          <w:tcPr>
            <w:tcW w:w="704" w:type="dxa"/>
            <w:shd w:val="clear" w:color="auto" w:fill="auto"/>
            <w:vAlign w:val="center"/>
          </w:tcPr>
          <w:p w14:paraId="197ECBBB" w14:textId="77777777" w:rsidR="00FA366A" w:rsidRPr="002C21B8" w:rsidRDefault="00FA366A" w:rsidP="00212D46">
            <w:pPr>
              <w:spacing w:after="0" w:line="240" w:lineRule="auto"/>
              <w:rPr>
                <w:sz w:val="20"/>
                <w:szCs w:val="20"/>
              </w:rPr>
            </w:pPr>
            <w:r w:rsidRPr="002C21B8">
              <w:rPr>
                <w:sz w:val="20"/>
                <w:szCs w:val="20"/>
              </w:rPr>
              <w:t>122</w:t>
            </w:r>
          </w:p>
        </w:tc>
        <w:tc>
          <w:tcPr>
            <w:tcW w:w="8505" w:type="dxa"/>
            <w:shd w:val="clear" w:color="auto" w:fill="auto"/>
          </w:tcPr>
          <w:p w14:paraId="305A7DF5" w14:textId="3B3EE99D" w:rsidR="00FA366A" w:rsidRPr="002C21B8" w:rsidRDefault="00FA366A" w:rsidP="00212D46">
            <w:pPr>
              <w:spacing w:after="0" w:line="240" w:lineRule="auto"/>
              <w:rPr>
                <w:sz w:val="20"/>
                <w:szCs w:val="20"/>
              </w:rPr>
            </w:pPr>
            <w:r w:rsidRPr="002C21B8">
              <w:rPr>
                <w:sz w:val="20"/>
                <w:szCs w:val="20"/>
              </w:rPr>
              <w:t>(thyrotoxicosis* or hyperthyroid* or hypothyroid* or hypogonad* or cushing* syndrome or cushing disease or addison syndrome or addison disease or acromegaly or congenital ad</w:t>
            </w:r>
            <w:r w:rsidR="00EC69C4" w:rsidRPr="002C21B8">
              <w:rPr>
                <w:sz w:val="20"/>
                <w:szCs w:val="20"/>
              </w:rPr>
              <w:t>renal</w:t>
            </w:r>
            <w:r w:rsidRPr="002C21B8">
              <w:rPr>
                <w:sz w:val="20"/>
                <w:szCs w:val="20"/>
              </w:rPr>
              <w:t xml:space="preserve"> hyperplasi*):ti</w:t>
            </w:r>
          </w:p>
        </w:tc>
      </w:tr>
      <w:tr w:rsidR="00FA366A" w:rsidRPr="002C21B8" w14:paraId="04C11CBB" w14:textId="77777777" w:rsidTr="00960A9F">
        <w:trPr>
          <w:trHeight w:val="320"/>
        </w:trPr>
        <w:tc>
          <w:tcPr>
            <w:tcW w:w="704" w:type="dxa"/>
            <w:shd w:val="clear" w:color="auto" w:fill="auto"/>
            <w:vAlign w:val="center"/>
          </w:tcPr>
          <w:p w14:paraId="5B743839" w14:textId="77777777" w:rsidR="00FA366A" w:rsidRPr="002C21B8" w:rsidRDefault="00FA366A" w:rsidP="00212D46">
            <w:pPr>
              <w:spacing w:after="0" w:line="240" w:lineRule="auto"/>
              <w:rPr>
                <w:sz w:val="20"/>
                <w:szCs w:val="20"/>
              </w:rPr>
            </w:pPr>
            <w:r w:rsidRPr="002C21B8">
              <w:rPr>
                <w:sz w:val="20"/>
                <w:szCs w:val="20"/>
              </w:rPr>
              <w:t>123</w:t>
            </w:r>
          </w:p>
        </w:tc>
        <w:tc>
          <w:tcPr>
            <w:tcW w:w="8505" w:type="dxa"/>
            <w:shd w:val="clear" w:color="auto" w:fill="auto"/>
          </w:tcPr>
          <w:p w14:paraId="149DCCA9" w14:textId="77777777" w:rsidR="00FA366A" w:rsidRPr="002C21B8" w:rsidRDefault="00FA366A" w:rsidP="00212D46">
            <w:pPr>
              <w:spacing w:after="0" w:line="240" w:lineRule="auto"/>
              <w:rPr>
                <w:sz w:val="20"/>
                <w:szCs w:val="20"/>
              </w:rPr>
            </w:pPr>
            <w:r w:rsidRPr="002C21B8">
              <w:rPr>
                <w:sz w:val="20"/>
                <w:szCs w:val="20"/>
              </w:rPr>
              <w:t>MeSH descriptor: [Fibromyalgia] explode all trees</w:t>
            </w:r>
          </w:p>
        </w:tc>
      </w:tr>
      <w:tr w:rsidR="00FA366A" w:rsidRPr="002C21B8" w14:paraId="748C7167" w14:textId="77777777" w:rsidTr="00960A9F">
        <w:trPr>
          <w:trHeight w:val="320"/>
        </w:trPr>
        <w:tc>
          <w:tcPr>
            <w:tcW w:w="704" w:type="dxa"/>
            <w:shd w:val="clear" w:color="auto" w:fill="auto"/>
            <w:vAlign w:val="center"/>
          </w:tcPr>
          <w:p w14:paraId="7F77E149" w14:textId="77777777" w:rsidR="00FA366A" w:rsidRPr="002C21B8" w:rsidRDefault="00FA366A" w:rsidP="00212D46">
            <w:pPr>
              <w:spacing w:after="0" w:line="240" w:lineRule="auto"/>
              <w:rPr>
                <w:sz w:val="20"/>
                <w:szCs w:val="20"/>
              </w:rPr>
            </w:pPr>
            <w:r w:rsidRPr="002C21B8">
              <w:rPr>
                <w:sz w:val="20"/>
                <w:szCs w:val="20"/>
              </w:rPr>
              <w:t>124</w:t>
            </w:r>
          </w:p>
        </w:tc>
        <w:tc>
          <w:tcPr>
            <w:tcW w:w="8505" w:type="dxa"/>
            <w:shd w:val="clear" w:color="auto" w:fill="auto"/>
          </w:tcPr>
          <w:p w14:paraId="350AA5EE" w14:textId="77777777" w:rsidR="00FA366A" w:rsidRPr="002C21B8" w:rsidRDefault="00FA366A" w:rsidP="00212D46">
            <w:pPr>
              <w:spacing w:after="0" w:line="240" w:lineRule="auto"/>
              <w:rPr>
                <w:sz w:val="20"/>
                <w:szCs w:val="20"/>
              </w:rPr>
            </w:pPr>
            <w:r w:rsidRPr="002C21B8">
              <w:rPr>
                <w:sz w:val="20"/>
                <w:szCs w:val="20"/>
              </w:rPr>
              <w:t>(fibromyositis syndrom* or pain syndrome or fibromyalgia syndrom* or fibromyalgia* or fibrositi* or fibromyositis or rheumatism or diffuse myofascial):ti</w:t>
            </w:r>
          </w:p>
        </w:tc>
      </w:tr>
      <w:tr w:rsidR="00FA366A" w:rsidRPr="002C21B8" w14:paraId="7786638F" w14:textId="77777777" w:rsidTr="00960A9F">
        <w:trPr>
          <w:trHeight w:val="320"/>
        </w:trPr>
        <w:tc>
          <w:tcPr>
            <w:tcW w:w="704" w:type="dxa"/>
            <w:shd w:val="clear" w:color="auto" w:fill="auto"/>
            <w:vAlign w:val="center"/>
          </w:tcPr>
          <w:p w14:paraId="4AE7635E" w14:textId="77777777" w:rsidR="00FA366A" w:rsidRPr="002C21B8" w:rsidRDefault="00FA366A" w:rsidP="00212D46">
            <w:pPr>
              <w:spacing w:after="0" w:line="240" w:lineRule="auto"/>
              <w:rPr>
                <w:sz w:val="20"/>
                <w:szCs w:val="20"/>
              </w:rPr>
            </w:pPr>
            <w:r w:rsidRPr="002C21B8">
              <w:rPr>
                <w:sz w:val="20"/>
                <w:szCs w:val="20"/>
              </w:rPr>
              <w:t>125</w:t>
            </w:r>
          </w:p>
        </w:tc>
        <w:tc>
          <w:tcPr>
            <w:tcW w:w="8505" w:type="dxa"/>
            <w:shd w:val="clear" w:color="auto" w:fill="auto"/>
          </w:tcPr>
          <w:p w14:paraId="29DBFD05" w14:textId="77777777" w:rsidR="00FA366A" w:rsidRPr="002C21B8" w:rsidRDefault="00FA366A" w:rsidP="00212D46">
            <w:pPr>
              <w:spacing w:after="0" w:line="240" w:lineRule="auto"/>
              <w:rPr>
                <w:sz w:val="20"/>
                <w:szCs w:val="20"/>
              </w:rPr>
            </w:pPr>
            <w:r w:rsidRPr="002C21B8">
              <w:rPr>
                <w:sz w:val="20"/>
                <w:szCs w:val="20"/>
              </w:rPr>
              <w:t>MeSH descriptor: [Gout] explode all trees</w:t>
            </w:r>
          </w:p>
        </w:tc>
      </w:tr>
      <w:tr w:rsidR="00FA366A" w:rsidRPr="002C21B8" w14:paraId="79A5E4AD" w14:textId="77777777" w:rsidTr="00960A9F">
        <w:trPr>
          <w:trHeight w:val="320"/>
        </w:trPr>
        <w:tc>
          <w:tcPr>
            <w:tcW w:w="704" w:type="dxa"/>
            <w:shd w:val="clear" w:color="auto" w:fill="auto"/>
            <w:vAlign w:val="center"/>
          </w:tcPr>
          <w:p w14:paraId="79A64E5F" w14:textId="77777777" w:rsidR="00FA366A" w:rsidRPr="002C21B8" w:rsidRDefault="00FA366A" w:rsidP="00212D46">
            <w:pPr>
              <w:spacing w:after="0" w:line="240" w:lineRule="auto"/>
              <w:rPr>
                <w:sz w:val="20"/>
                <w:szCs w:val="20"/>
              </w:rPr>
            </w:pPr>
            <w:r w:rsidRPr="002C21B8">
              <w:rPr>
                <w:sz w:val="20"/>
                <w:szCs w:val="20"/>
              </w:rPr>
              <w:t>126</w:t>
            </w:r>
          </w:p>
        </w:tc>
        <w:tc>
          <w:tcPr>
            <w:tcW w:w="8505" w:type="dxa"/>
            <w:shd w:val="clear" w:color="auto" w:fill="auto"/>
          </w:tcPr>
          <w:p w14:paraId="7C19823A" w14:textId="77777777" w:rsidR="00FA366A" w:rsidRPr="002C21B8" w:rsidRDefault="00FA366A" w:rsidP="00212D46">
            <w:pPr>
              <w:spacing w:after="0" w:line="240" w:lineRule="auto"/>
              <w:rPr>
                <w:sz w:val="20"/>
                <w:szCs w:val="20"/>
              </w:rPr>
            </w:pPr>
            <w:r w:rsidRPr="002C21B8">
              <w:rPr>
                <w:sz w:val="20"/>
                <w:szCs w:val="20"/>
              </w:rPr>
              <w:t>(gout or gouty arthriti* or toph* or podagra or pseudogout):ti</w:t>
            </w:r>
          </w:p>
        </w:tc>
      </w:tr>
      <w:tr w:rsidR="00FA366A" w:rsidRPr="002C21B8" w14:paraId="54F93BF6" w14:textId="77777777" w:rsidTr="00960A9F">
        <w:trPr>
          <w:trHeight w:val="320"/>
        </w:trPr>
        <w:tc>
          <w:tcPr>
            <w:tcW w:w="704" w:type="dxa"/>
            <w:shd w:val="clear" w:color="auto" w:fill="auto"/>
            <w:vAlign w:val="center"/>
          </w:tcPr>
          <w:p w14:paraId="6C42B98E" w14:textId="77777777" w:rsidR="00FA366A" w:rsidRPr="002C21B8" w:rsidRDefault="00FA366A" w:rsidP="00212D46">
            <w:pPr>
              <w:spacing w:after="0" w:line="240" w:lineRule="auto"/>
              <w:rPr>
                <w:sz w:val="20"/>
                <w:szCs w:val="20"/>
              </w:rPr>
            </w:pPr>
            <w:r w:rsidRPr="002C21B8">
              <w:rPr>
                <w:sz w:val="20"/>
                <w:szCs w:val="20"/>
              </w:rPr>
              <w:t>127</w:t>
            </w:r>
          </w:p>
        </w:tc>
        <w:tc>
          <w:tcPr>
            <w:tcW w:w="8505" w:type="dxa"/>
            <w:shd w:val="clear" w:color="auto" w:fill="auto"/>
          </w:tcPr>
          <w:p w14:paraId="56D56E67" w14:textId="77777777" w:rsidR="00FA366A" w:rsidRPr="002C21B8" w:rsidRDefault="00FA366A" w:rsidP="00212D46">
            <w:pPr>
              <w:spacing w:after="0" w:line="240" w:lineRule="auto"/>
              <w:rPr>
                <w:sz w:val="20"/>
                <w:szCs w:val="20"/>
              </w:rPr>
            </w:pPr>
            <w:r w:rsidRPr="002C21B8">
              <w:rPr>
                <w:sz w:val="20"/>
                <w:szCs w:val="20"/>
              </w:rPr>
              <w:t>MeSH descriptor: [Blood Coagulation Disorders] explode all trees</w:t>
            </w:r>
          </w:p>
        </w:tc>
      </w:tr>
      <w:tr w:rsidR="00FA366A" w:rsidRPr="002C21B8" w14:paraId="62BF3F0A" w14:textId="77777777" w:rsidTr="00960A9F">
        <w:trPr>
          <w:trHeight w:val="320"/>
        </w:trPr>
        <w:tc>
          <w:tcPr>
            <w:tcW w:w="704" w:type="dxa"/>
            <w:shd w:val="clear" w:color="auto" w:fill="auto"/>
            <w:vAlign w:val="center"/>
          </w:tcPr>
          <w:p w14:paraId="787E1E56" w14:textId="77777777" w:rsidR="00FA366A" w:rsidRPr="002C21B8" w:rsidRDefault="00FA366A" w:rsidP="00212D46">
            <w:pPr>
              <w:spacing w:after="0" w:line="240" w:lineRule="auto"/>
              <w:rPr>
                <w:sz w:val="20"/>
                <w:szCs w:val="20"/>
              </w:rPr>
            </w:pPr>
            <w:r w:rsidRPr="002C21B8">
              <w:rPr>
                <w:sz w:val="20"/>
                <w:szCs w:val="20"/>
              </w:rPr>
              <w:t>128</w:t>
            </w:r>
          </w:p>
        </w:tc>
        <w:tc>
          <w:tcPr>
            <w:tcW w:w="8505" w:type="dxa"/>
            <w:shd w:val="clear" w:color="auto" w:fill="auto"/>
          </w:tcPr>
          <w:p w14:paraId="195EBE82" w14:textId="77777777" w:rsidR="00FA366A" w:rsidRPr="002C21B8" w:rsidRDefault="00FA366A" w:rsidP="00212D46">
            <w:pPr>
              <w:spacing w:after="0" w:line="240" w:lineRule="auto"/>
              <w:rPr>
                <w:sz w:val="20"/>
                <w:szCs w:val="20"/>
              </w:rPr>
            </w:pPr>
            <w:r w:rsidRPr="002C21B8">
              <w:rPr>
                <w:sz w:val="20"/>
                <w:szCs w:val="20"/>
              </w:rPr>
              <w:t>(h?emophili* or von willebrand disease or clotting factor deficiency or clotting factor disease or hypercoagulable or thrombophilia):ti</w:t>
            </w:r>
          </w:p>
        </w:tc>
      </w:tr>
      <w:tr w:rsidR="00FA366A" w:rsidRPr="002C21B8" w14:paraId="4C951F19" w14:textId="77777777" w:rsidTr="00960A9F">
        <w:trPr>
          <w:trHeight w:val="320"/>
        </w:trPr>
        <w:tc>
          <w:tcPr>
            <w:tcW w:w="704" w:type="dxa"/>
            <w:shd w:val="clear" w:color="auto" w:fill="auto"/>
            <w:vAlign w:val="center"/>
          </w:tcPr>
          <w:p w14:paraId="5DE25D37" w14:textId="77777777" w:rsidR="00FA366A" w:rsidRPr="002C21B8" w:rsidRDefault="00FA366A" w:rsidP="00212D46">
            <w:pPr>
              <w:spacing w:after="0" w:line="240" w:lineRule="auto"/>
              <w:rPr>
                <w:sz w:val="20"/>
                <w:szCs w:val="20"/>
              </w:rPr>
            </w:pPr>
            <w:r w:rsidRPr="002C21B8">
              <w:rPr>
                <w:sz w:val="20"/>
                <w:szCs w:val="20"/>
              </w:rPr>
              <w:t>129</w:t>
            </w:r>
          </w:p>
        </w:tc>
        <w:tc>
          <w:tcPr>
            <w:tcW w:w="8505" w:type="dxa"/>
            <w:shd w:val="clear" w:color="auto" w:fill="auto"/>
          </w:tcPr>
          <w:p w14:paraId="501EE71D" w14:textId="77777777" w:rsidR="00FA366A" w:rsidRPr="002C21B8" w:rsidRDefault="00FA366A" w:rsidP="00212D46">
            <w:pPr>
              <w:spacing w:after="0" w:line="240" w:lineRule="auto"/>
              <w:rPr>
                <w:sz w:val="20"/>
                <w:szCs w:val="20"/>
              </w:rPr>
            </w:pPr>
            <w:r w:rsidRPr="002C21B8">
              <w:rPr>
                <w:sz w:val="20"/>
                <w:szCs w:val="20"/>
              </w:rPr>
              <w:t>MeSH descriptor: [Learning Disabilities] explode all trees</w:t>
            </w:r>
          </w:p>
        </w:tc>
      </w:tr>
      <w:tr w:rsidR="00FA366A" w:rsidRPr="002C21B8" w14:paraId="56050323" w14:textId="77777777" w:rsidTr="00960A9F">
        <w:trPr>
          <w:trHeight w:val="320"/>
        </w:trPr>
        <w:tc>
          <w:tcPr>
            <w:tcW w:w="704" w:type="dxa"/>
            <w:shd w:val="clear" w:color="auto" w:fill="auto"/>
            <w:vAlign w:val="center"/>
          </w:tcPr>
          <w:p w14:paraId="0FD6DA93" w14:textId="77777777" w:rsidR="00FA366A" w:rsidRPr="002C21B8" w:rsidRDefault="00FA366A" w:rsidP="00212D46">
            <w:pPr>
              <w:spacing w:after="0" w:line="240" w:lineRule="auto"/>
              <w:rPr>
                <w:sz w:val="20"/>
                <w:szCs w:val="20"/>
              </w:rPr>
            </w:pPr>
            <w:r w:rsidRPr="002C21B8">
              <w:rPr>
                <w:sz w:val="20"/>
                <w:szCs w:val="20"/>
              </w:rPr>
              <w:t>130</w:t>
            </w:r>
          </w:p>
        </w:tc>
        <w:tc>
          <w:tcPr>
            <w:tcW w:w="8505" w:type="dxa"/>
            <w:shd w:val="clear" w:color="auto" w:fill="auto"/>
          </w:tcPr>
          <w:p w14:paraId="408C00BC" w14:textId="77777777" w:rsidR="00FA366A" w:rsidRPr="002C21B8" w:rsidRDefault="00FA366A" w:rsidP="00212D46">
            <w:pPr>
              <w:spacing w:after="0" w:line="240" w:lineRule="auto"/>
              <w:rPr>
                <w:sz w:val="20"/>
                <w:szCs w:val="20"/>
              </w:rPr>
            </w:pPr>
            <w:r w:rsidRPr="002C21B8">
              <w:rPr>
                <w:sz w:val="20"/>
                <w:szCs w:val="20"/>
              </w:rPr>
              <w:t>(((learning or intellectual) and (disabilit* or disorder or impairment or difficulties)) or special needs):ti</w:t>
            </w:r>
          </w:p>
        </w:tc>
      </w:tr>
      <w:tr w:rsidR="00FA366A" w:rsidRPr="002C21B8" w14:paraId="1FFE2A2D" w14:textId="77777777" w:rsidTr="00960A9F">
        <w:trPr>
          <w:trHeight w:val="320"/>
        </w:trPr>
        <w:tc>
          <w:tcPr>
            <w:tcW w:w="704" w:type="dxa"/>
            <w:shd w:val="clear" w:color="auto" w:fill="auto"/>
            <w:vAlign w:val="center"/>
          </w:tcPr>
          <w:p w14:paraId="19564390" w14:textId="77777777" w:rsidR="00FA366A" w:rsidRPr="002C21B8" w:rsidRDefault="00FA366A" w:rsidP="00212D46">
            <w:pPr>
              <w:spacing w:after="0" w:line="240" w:lineRule="auto"/>
              <w:rPr>
                <w:sz w:val="20"/>
                <w:szCs w:val="20"/>
              </w:rPr>
            </w:pPr>
            <w:r w:rsidRPr="002C21B8">
              <w:rPr>
                <w:sz w:val="20"/>
                <w:szCs w:val="20"/>
              </w:rPr>
              <w:t>131</w:t>
            </w:r>
          </w:p>
        </w:tc>
        <w:tc>
          <w:tcPr>
            <w:tcW w:w="8505" w:type="dxa"/>
            <w:shd w:val="clear" w:color="auto" w:fill="auto"/>
          </w:tcPr>
          <w:p w14:paraId="1D6AA9BB" w14:textId="77777777" w:rsidR="00FA366A" w:rsidRPr="002C21B8" w:rsidRDefault="00FA366A" w:rsidP="00212D46">
            <w:pPr>
              <w:spacing w:after="0" w:line="240" w:lineRule="auto"/>
              <w:rPr>
                <w:sz w:val="20"/>
                <w:szCs w:val="20"/>
              </w:rPr>
            </w:pPr>
            <w:r w:rsidRPr="002C21B8">
              <w:rPr>
                <w:sz w:val="20"/>
                <w:szCs w:val="20"/>
              </w:rPr>
              <w:t>MeSH descriptor: [Pulmonary Fibrosis] explode all trees</w:t>
            </w:r>
          </w:p>
        </w:tc>
      </w:tr>
      <w:tr w:rsidR="00FA366A" w:rsidRPr="002C21B8" w14:paraId="003E0B7D" w14:textId="77777777" w:rsidTr="00960A9F">
        <w:trPr>
          <w:trHeight w:val="320"/>
        </w:trPr>
        <w:tc>
          <w:tcPr>
            <w:tcW w:w="704" w:type="dxa"/>
            <w:shd w:val="clear" w:color="auto" w:fill="auto"/>
            <w:vAlign w:val="center"/>
          </w:tcPr>
          <w:p w14:paraId="74A4BF82" w14:textId="77777777" w:rsidR="00FA366A" w:rsidRPr="002C21B8" w:rsidRDefault="00FA366A" w:rsidP="00212D46">
            <w:pPr>
              <w:spacing w:after="0" w:line="240" w:lineRule="auto"/>
              <w:rPr>
                <w:sz w:val="20"/>
                <w:szCs w:val="20"/>
              </w:rPr>
            </w:pPr>
            <w:r w:rsidRPr="002C21B8">
              <w:rPr>
                <w:sz w:val="20"/>
                <w:szCs w:val="20"/>
              </w:rPr>
              <w:t>132</w:t>
            </w:r>
          </w:p>
        </w:tc>
        <w:tc>
          <w:tcPr>
            <w:tcW w:w="8505" w:type="dxa"/>
            <w:shd w:val="clear" w:color="auto" w:fill="auto"/>
          </w:tcPr>
          <w:p w14:paraId="6F53E326" w14:textId="77777777" w:rsidR="00FA366A" w:rsidRPr="002C21B8" w:rsidRDefault="00FA366A" w:rsidP="00212D46">
            <w:pPr>
              <w:spacing w:after="0" w:line="240" w:lineRule="auto"/>
              <w:rPr>
                <w:sz w:val="20"/>
                <w:szCs w:val="20"/>
              </w:rPr>
            </w:pPr>
            <w:r w:rsidRPr="002C21B8">
              <w:rPr>
                <w:sz w:val="20"/>
                <w:szCs w:val="20"/>
              </w:rPr>
              <w:t>((cryptogenic or idiopathic) NEXT fibrosing alveoliti*):ti</w:t>
            </w:r>
          </w:p>
        </w:tc>
      </w:tr>
      <w:tr w:rsidR="00FA366A" w:rsidRPr="002C21B8" w14:paraId="26E6A107" w14:textId="77777777" w:rsidTr="00960A9F">
        <w:trPr>
          <w:trHeight w:val="320"/>
        </w:trPr>
        <w:tc>
          <w:tcPr>
            <w:tcW w:w="704" w:type="dxa"/>
            <w:shd w:val="clear" w:color="auto" w:fill="auto"/>
            <w:vAlign w:val="center"/>
          </w:tcPr>
          <w:p w14:paraId="674B766D" w14:textId="77777777" w:rsidR="00FA366A" w:rsidRPr="002C21B8" w:rsidRDefault="00FA366A" w:rsidP="00212D46">
            <w:pPr>
              <w:spacing w:after="0" w:line="240" w:lineRule="auto"/>
              <w:rPr>
                <w:sz w:val="20"/>
                <w:szCs w:val="20"/>
              </w:rPr>
            </w:pPr>
            <w:r w:rsidRPr="002C21B8">
              <w:rPr>
                <w:sz w:val="20"/>
                <w:szCs w:val="20"/>
              </w:rPr>
              <w:t>133</w:t>
            </w:r>
          </w:p>
        </w:tc>
        <w:tc>
          <w:tcPr>
            <w:tcW w:w="8505" w:type="dxa"/>
            <w:shd w:val="clear" w:color="auto" w:fill="auto"/>
          </w:tcPr>
          <w:p w14:paraId="550B2065" w14:textId="77777777" w:rsidR="00FA366A" w:rsidRPr="002C21B8" w:rsidRDefault="00FA366A" w:rsidP="00212D46">
            <w:pPr>
              <w:spacing w:after="0" w:line="240" w:lineRule="auto"/>
              <w:rPr>
                <w:sz w:val="20"/>
                <w:szCs w:val="20"/>
              </w:rPr>
            </w:pPr>
            <w:r w:rsidRPr="002C21B8">
              <w:rPr>
                <w:sz w:val="20"/>
                <w:szCs w:val="20"/>
              </w:rPr>
              <w:t>(fibrocystic pulmonary dysplasia or idiopathic pulmon* fibros*):ti</w:t>
            </w:r>
          </w:p>
        </w:tc>
      </w:tr>
      <w:tr w:rsidR="00FA366A" w:rsidRPr="002C21B8" w14:paraId="6CF3567F" w14:textId="77777777" w:rsidTr="00960A9F">
        <w:trPr>
          <w:trHeight w:val="320"/>
        </w:trPr>
        <w:tc>
          <w:tcPr>
            <w:tcW w:w="704" w:type="dxa"/>
            <w:shd w:val="clear" w:color="auto" w:fill="auto"/>
            <w:vAlign w:val="center"/>
          </w:tcPr>
          <w:p w14:paraId="78BC5751" w14:textId="77777777" w:rsidR="00FA366A" w:rsidRPr="002C21B8" w:rsidRDefault="00FA366A" w:rsidP="00212D46">
            <w:pPr>
              <w:spacing w:after="0" w:line="240" w:lineRule="auto"/>
              <w:rPr>
                <w:sz w:val="20"/>
                <w:szCs w:val="20"/>
              </w:rPr>
            </w:pPr>
            <w:r w:rsidRPr="002C21B8">
              <w:rPr>
                <w:sz w:val="20"/>
                <w:szCs w:val="20"/>
              </w:rPr>
              <w:t>134</w:t>
            </w:r>
          </w:p>
        </w:tc>
        <w:tc>
          <w:tcPr>
            <w:tcW w:w="8505" w:type="dxa"/>
            <w:shd w:val="clear" w:color="auto" w:fill="auto"/>
          </w:tcPr>
          <w:p w14:paraId="6C6EAD18" w14:textId="77777777" w:rsidR="00FA366A" w:rsidRPr="002C21B8" w:rsidRDefault="00FA366A" w:rsidP="00212D46">
            <w:pPr>
              <w:spacing w:after="0" w:line="240" w:lineRule="auto"/>
              <w:rPr>
                <w:sz w:val="20"/>
                <w:szCs w:val="20"/>
              </w:rPr>
            </w:pPr>
            <w:r w:rsidRPr="002C21B8">
              <w:rPr>
                <w:sz w:val="20"/>
                <w:szCs w:val="20"/>
              </w:rPr>
              <w:t>MeSH descriptor: [Lupus Erythematosus, Systemic] explode all trees</w:t>
            </w:r>
          </w:p>
        </w:tc>
      </w:tr>
      <w:tr w:rsidR="00FA366A" w:rsidRPr="002C21B8" w14:paraId="54A174C2" w14:textId="77777777" w:rsidTr="00960A9F">
        <w:trPr>
          <w:trHeight w:val="320"/>
        </w:trPr>
        <w:tc>
          <w:tcPr>
            <w:tcW w:w="704" w:type="dxa"/>
            <w:shd w:val="clear" w:color="auto" w:fill="auto"/>
            <w:vAlign w:val="center"/>
          </w:tcPr>
          <w:p w14:paraId="4E4A2BD0" w14:textId="77777777" w:rsidR="00FA366A" w:rsidRPr="002C21B8" w:rsidRDefault="00FA366A" w:rsidP="00212D46">
            <w:pPr>
              <w:spacing w:after="0" w:line="240" w:lineRule="auto"/>
              <w:rPr>
                <w:sz w:val="20"/>
                <w:szCs w:val="20"/>
              </w:rPr>
            </w:pPr>
            <w:r w:rsidRPr="002C21B8">
              <w:rPr>
                <w:sz w:val="20"/>
                <w:szCs w:val="20"/>
              </w:rPr>
              <w:t>135</w:t>
            </w:r>
          </w:p>
        </w:tc>
        <w:tc>
          <w:tcPr>
            <w:tcW w:w="8505" w:type="dxa"/>
            <w:shd w:val="clear" w:color="auto" w:fill="auto"/>
          </w:tcPr>
          <w:p w14:paraId="0E7FB723" w14:textId="77777777" w:rsidR="00FA366A" w:rsidRPr="002C21B8" w:rsidRDefault="00FA366A" w:rsidP="00212D46">
            <w:pPr>
              <w:spacing w:after="0" w:line="240" w:lineRule="auto"/>
              <w:rPr>
                <w:sz w:val="20"/>
                <w:szCs w:val="20"/>
              </w:rPr>
            </w:pPr>
            <w:r w:rsidRPr="002C21B8">
              <w:rPr>
                <w:sz w:val="20"/>
                <w:szCs w:val="20"/>
              </w:rPr>
              <w:t>(lupus or SLE):ti</w:t>
            </w:r>
          </w:p>
        </w:tc>
      </w:tr>
      <w:tr w:rsidR="00FA366A" w:rsidRPr="002C21B8" w14:paraId="33214A0A" w14:textId="77777777" w:rsidTr="00960A9F">
        <w:trPr>
          <w:trHeight w:val="320"/>
        </w:trPr>
        <w:tc>
          <w:tcPr>
            <w:tcW w:w="704" w:type="dxa"/>
            <w:shd w:val="clear" w:color="auto" w:fill="auto"/>
            <w:vAlign w:val="center"/>
          </w:tcPr>
          <w:p w14:paraId="51091569" w14:textId="77777777" w:rsidR="00FA366A" w:rsidRPr="002C21B8" w:rsidRDefault="00FA366A" w:rsidP="00212D46">
            <w:pPr>
              <w:spacing w:after="0" w:line="240" w:lineRule="auto"/>
              <w:rPr>
                <w:sz w:val="20"/>
                <w:szCs w:val="20"/>
              </w:rPr>
            </w:pPr>
            <w:r w:rsidRPr="002C21B8">
              <w:rPr>
                <w:sz w:val="20"/>
                <w:szCs w:val="20"/>
              </w:rPr>
              <w:t>136</w:t>
            </w:r>
          </w:p>
        </w:tc>
        <w:tc>
          <w:tcPr>
            <w:tcW w:w="8505" w:type="dxa"/>
            <w:shd w:val="clear" w:color="auto" w:fill="auto"/>
          </w:tcPr>
          <w:p w14:paraId="64873C4D" w14:textId="77777777" w:rsidR="00FA366A" w:rsidRPr="002C21B8" w:rsidRDefault="00FA366A" w:rsidP="00212D46">
            <w:pPr>
              <w:spacing w:after="0" w:line="240" w:lineRule="auto"/>
              <w:rPr>
                <w:sz w:val="20"/>
                <w:szCs w:val="20"/>
              </w:rPr>
            </w:pPr>
            <w:r w:rsidRPr="002C21B8">
              <w:rPr>
                <w:sz w:val="20"/>
                <w:szCs w:val="20"/>
              </w:rPr>
              <w:t>MeSH descriptor: [Malaria] explode all trees</w:t>
            </w:r>
          </w:p>
        </w:tc>
      </w:tr>
      <w:tr w:rsidR="00FA366A" w:rsidRPr="002C21B8" w14:paraId="6DF351A1" w14:textId="77777777" w:rsidTr="00960A9F">
        <w:trPr>
          <w:trHeight w:val="320"/>
        </w:trPr>
        <w:tc>
          <w:tcPr>
            <w:tcW w:w="704" w:type="dxa"/>
            <w:shd w:val="clear" w:color="auto" w:fill="auto"/>
            <w:vAlign w:val="center"/>
          </w:tcPr>
          <w:p w14:paraId="1F2222F9" w14:textId="77777777" w:rsidR="00FA366A" w:rsidRPr="002C21B8" w:rsidRDefault="00FA366A" w:rsidP="00212D46">
            <w:pPr>
              <w:spacing w:after="0" w:line="240" w:lineRule="auto"/>
              <w:rPr>
                <w:sz w:val="20"/>
                <w:szCs w:val="20"/>
              </w:rPr>
            </w:pPr>
            <w:r w:rsidRPr="002C21B8">
              <w:rPr>
                <w:sz w:val="20"/>
                <w:szCs w:val="20"/>
              </w:rPr>
              <w:t>137</w:t>
            </w:r>
          </w:p>
        </w:tc>
        <w:tc>
          <w:tcPr>
            <w:tcW w:w="8505" w:type="dxa"/>
            <w:shd w:val="clear" w:color="auto" w:fill="auto"/>
          </w:tcPr>
          <w:p w14:paraId="7BA46CEA" w14:textId="77777777" w:rsidR="00FA366A" w:rsidRPr="002C21B8" w:rsidRDefault="00FA366A" w:rsidP="00212D46">
            <w:pPr>
              <w:spacing w:after="0" w:line="240" w:lineRule="auto"/>
              <w:rPr>
                <w:sz w:val="20"/>
                <w:szCs w:val="20"/>
              </w:rPr>
            </w:pPr>
            <w:r w:rsidRPr="002C21B8">
              <w:rPr>
                <w:sz w:val="20"/>
                <w:szCs w:val="20"/>
              </w:rPr>
              <w:t>(malaria or plasmodium):ti</w:t>
            </w:r>
          </w:p>
        </w:tc>
      </w:tr>
      <w:tr w:rsidR="00FA366A" w:rsidRPr="002C21B8" w14:paraId="7E5B497C" w14:textId="77777777" w:rsidTr="00960A9F">
        <w:trPr>
          <w:trHeight w:val="320"/>
        </w:trPr>
        <w:tc>
          <w:tcPr>
            <w:tcW w:w="704" w:type="dxa"/>
            <w:shd w:val="clear" w:color="auto" w:fill="auto"/>
            <w:vAlign w:val="center"/>
          </w:tcPr>
          <w:p w14:paraId="2A8F7AA9" w14:textId="77777777" w:rsidR="00FA366A" w:rsidRPr="002C21B8" w:rsidRDefault="00FA366A" w:rsidP="00212D46">
            <w:pPr>
              <w:spacing w:after="0" w:line="240" w:lineRule="auto"/>
              <w:rPr>
                <w:sz w:val="20"/>
                <w:szCs w:val="20"/>
              </w:rPr>
            </w:pPr>
            <w:r w:rsidRPr="002C21B8">
              <w:rPr>
                <w:sz w:val="20"/>
                <w:szCs w:val="20"/>
              </w:rPr>
              <w:t>138</w:t>
            </w:r>
          </w:p>
        </w:tc>
        <w:tc>
          <w:tcPr>
            <w:tcW w:w="8505" w:type="dxa"/>
            <w:shd w:val="clear" w:color="auto" w:fill="auto"/>
          </w:tcPr>
          <w:p w14:paraId="5D6171E5" w14:textId="77777777" w:rsidR="00FA366A" w:rsidRPr="002C21B8" w:rsidRDefault="00FA366A" w:rsidP="00212D46">
            <w:pPr>
              <w:spacing w:after="0" w:line="240" w:lineRule="auto"/>
              <w:rPr>
                <w:sz w:val="20"/>
                <w:szCs w:val="20"/>
              </w:rPr>
            </w:pPr>
            <w:r w:rsidRPr="002C21B8">
              <w:rPr>
                <w:sz w:val="20"/>
                <w:szCs w:val="20"/>
              </w:rPr>
              <w:t>MeSH descriptor: [Medically Unexplained Symptoms] explode all trees</w:t>
            </w:r>
          </w:p>
        </w:tc>
      </w:tr>
      <w:tr w:rsidR="00FA366A" w:rsidRPr="002C21B8" w14:paraId="20CB72E0" w14:textId="77777777" w:rsidTr="00960A9F">
        <w:trPr>
          <w:trHeight w:val="320"/>
        </w:trPr>
        <w:tc>
          <w:tcPr>
            <w:tcW w:w="704" w:type="dxa"/>
            <w:shd w:val="clear" w:color="auto" w:fill="auto"/>
            <w:vAlign w:val="center"/>
          </w:tcPr>
          <w:p w14:paraId="0F1F1E73" w14:textId="77777777" w:rsidR="00FA366A" w:rsidRPr="002C21B8" w:rsidRDefault="00FA366A" w:rsidP="00212D46">
            <w:pPr>
              <w:spacing w:after="0" w:line="240" w:lineRule="auto"/>
              <w:rPr>
                <w:sz w:val="20"/>
                <w:szCs w:val="20"/>
              </w:rPr>
            </w:pPr>
            <w:r w:rsidRPr="002C21B8">
              <w:rPr>
                <w:sz w:val="20"/>
                <w:szCs w:val="20"/>
              </w:rPr>
              <w:t>139</w:t>
            </w:r>
          </w:p>
        </w:tc>
        <w:tc>
          <w:tcPr>
            <w:tcW w:w="8505" w:type="dxa"/>
            <w:shd w:val="clear" w:color="auto" w:fill="auto"/>
          </w:tcPr>
          <w:p w14:paraId="37DFD3C1" w14:textId="77777777" w:rsidR="00FA366A" w:rsidRPr="002C21B8" w:rsidRDefault="00FA366A" w:rsidP="00212D46">
            <w:pPr>
              <w:spacing w:after="0" w:line="240" w:lineRule="auto"/>
              <w:rPr>
                <w:sz w:val="20"/>
                <w:szCs w:val="20"/>
              </w:rPr>
            </w:pPr>
            <w:r w:rsidRPr="002C21B8">
              <w:rPr>
                <w:sz w:val="20"/>
                <w:szCs w:val="20"/>
              </w:rPr>
              <w:t>medically unexplained symptoms:ti</w:t>
            </w:r>
          </w:p>
        </w:tc>
      </w:tr>
      <w:tr w:rsidR="00FA366A" w:rsidRPr="002C21B8" w14:paraId="28EDBC63" w14:textId="77777777" w:rsidTr="00960A9F">
        <w:trPr>
          <w:trHeight w:val="320"/>
        </w:trPr>
        <w:tc>
          <w:tcPr>
            <w:tcW w:w="704" w:type="dxa"/>
            <w:shd w:val="clear" w:color="auto" w:fill="auto"/>
            <w:vAlign w:val="center"/>
          </w:tcPr>
          <w:p w14:paraId="3802B419" w14:textId="77777777" w:rsidR="00FA366A" w:rsidRPr="002C21B8" w:rsidRDefault="00FA366A" w:rsidP="00212D46">
            <w:pPr>
              <w:spacing w:after="0" w:line="240" w:lineRule="auto"/>
              <w:rPr>
                <w:sz w:val="20"/>
                <w:szCs w:val="20"/>
              </w:rPr>
            </w:pPr>
            <w:r w:rsidRPr="002C21B8">
              <w:rPr>
                <w:sz w:val="20"/>
                <w:szCs w:val="20"/>
              </w:rPr>
              <w:t>140</w:t>
            </w:r>
          </w:p>
        </w:tc>
        <w:tc>
          <w:tcPr>
            <w:tcW w:w="8505" w:type="dxa"/>
            <w:shd w:val="clear" w:color="auto" w:fill="auto"/>
          </w:tcPr>
          <w:p w14:paraId="5AC3E9D0" w14:textId="77777777" w:rsidR="00FA366A" w:rsidRPr="002C21B8" w:rsidRDefault="00FA366A" w:rsidP="00212D46">
            <w:pPr>
              <w:spacing w:after="0" w:line="240" w:lineRule="auto"/>
              <w:rPr>
                <w:sz w:val="20"/>
                <w:szCs w:val="20"/>
              </w:rPr>
            </w:pPr>
            <w:r w:rsidRPr="002C21B8">
              <w:rPr>
                <w:sz w:val="20"/>
                <w:szCs w:val="20"/>
              </w:rPr>
              <w:t>MeSH descriptor: [Motor Neuron Disease] explode all trees</w:t>
            </w:r>
          </w:p>
        </w:tc>
      </w:tr>
      <w:tr w:rsidR="00FA366A" w:rsidRPr="002C21B8" w14:paraId="2E623847" w14:textId="77777777" w:rsidTr="00960A9F">
        <w:trPr>
          <w:trHeight w:val="320"/>
        </w:trPr>
        <w:tc>
          <w:tcPr>
            <w:tcW w:w="704" w:type="dxa"/>
            <w:shd w:val="clear" w:color="auto" w:fill="auto"/>
            <w:vAlign w:val="center"/>
          </w:tcPr>
          <w:p w14:paraId="4360E40D" w14:textId="77777777" w:rsidR="00FA366A" w:rsidRPr="002C21B8" w:rsidRDefault="00FA366A" w:rsidP="00212D46">
            <w:pPr>
              <w:spacing w:after="0" w:line="240" w:lineRule="auto"/>
              <w:rPr>
                <w:sz w:val="20"/>
                <w:szCs w:val="20"/>
              </w:rPr>
            </w:pPr>
            <w:r w:rsidRPr="002C21B8">
              <w:rPr>
                <w:sz w:val="20"/>
                <w:szCs w:val="20"/>
              </w:rPr>
              <w:t>141</w:t>
            </w:r>
          </w:p>
        </w:tc>
        <w:tc>
          <w:tcPr>
            <w:tcW w:w="8505" w:type="dxa"/>
            <w:shd w:val="clear" w:color="auto" w:fill="auto"/>
          </w:tcPr>
          <w:p w14:paraId="7719A880" w14:textId="77777777" w:rsidR="00FA366A" w:rsidRPr="002C21B8" w:rsidRDefault="00FA366A" w:rsidP="00212D46">
            <w:pPr>
              <w:spacing w:after="0" w:line="240" w:lineRule="auto"/>
              <w:rPr>
                <w:sz w:val="20"/>
                <w:szCs w:val="20"/>
              </w:rPr>
            </w:pPr>
            <w:r w:rsidRPr="002C21B8">
              <w:rPr>
                <w:sz w:val="20"/>
                <w:szCs w:val="20"/>
              </w:rPr>
              <w:t>(motor neuron* disease* or MND):ti</w:t>
            </w:r>
          </w:p>
        </w:tc>
      </w:tr>
      <w:tr w:rsidR="00FA366A" w:rsidRPr="002C21B8" w14:paraId="44738160" w14:textId="77777777" w:rsidTr="00960A9F">
        <w:trPr>
          <w:trHeight w:val="320"/>
        </w:trPr>
        <w:tc>
          <w:tcPr>
            <w:tcW w:w="704" w:type="dxa"/>
            <w:shd w:val="clear" w:color="auto" w:fill="auto"/>
            <w:vAlign w:val="center"/>
          </w:tcPr>
          <w:p w14:paraId="0915C65A" w14:textId="77777777" w:rsidR="00FA366A" w:rsidRPr="002C21B8" w:rsidRDefault="00FA366A" w:rsidP="00212D46">
            <w:pPr>
              <w:spacing w:after="0" w:line="240" w:lineRule="auto"/>
              <w:rPr>
                <w:sz w:val="20"/>
                <w:szCs w:val="20"/>
              </w:rPr>
            </w:pPr>
            <w:r w:rsidRPr="002C21B8">
              <w:rPr>
                <w:sz w:val="20"/>
                <w:szCs w:val="20"/>
              </w:rPr>
              <w:t>142</w:t>
            </w:r>
          </w:p>
        </w:tc>
        <w:tc>
          <w:tcPr>
            <w:tcW w:w="8505" w:type="dxa"/>
            <w:shd w:val="clear" w:color="auto" w:fill="auto"/>
          </w:tcPr>
          <w:p w14:paraId="236713E8" w14:textId="77777777" w:rsidR="00FA366A" w:rsidRPr="002C21B8" w:rsidRDefault="00FA366A" w:rsidP="00212D46">
            <w:pPr>
              <w:spacing w:after="0" w:line="240" w:lineRule="auto"/>
              <w:rPr>
                <w:sz w:val="20"/>
                <w:szCs w:val="20"/>
              </w:rPr>
            </w:pPr>
            <w:r w:rsidRPr="002C21B8">
              <w:rPr>
                <w:sz w:val="20"/>
                <w:szCs w:val="20"/>
              </w:rPr>
              <w:t>MeSH descriptor: [Muscular Dystrophies] explode all trees</w:t>
            </w:r>
          </w:p>
        </w:tc>
      </w:tr>
      <w:tr w:rsidR="00FA366A" w:rsidRPr="002C21B8" w14:paraId="74146310" w14:textId="77777777" w:rsidTr="00960A9F">
        <w:trPr>
          <w:trHeight w:val="320"/>
        </w:trPr>
        <w:tc>
          <w:tcPr>
            <w:tcW w:w="704" w:type="dxa"/>
            <w:shd w:val="clear" w:color="auto" w:fill="auto"/>
            <w:vAlign w:val="center"/>
          </w:tcPr>
          <w:p w14:paraId="1E370E67" w14:textId="77777777" w:rsidR="00FA366A" w:rsidRPr="002C21B8" w:rsidRDefault="00FA366A" w:rsidP="00212D46">
            <w:pPr>
              <w:spacing w:after="0" w:line="240" w:lineRule="auto"/>
              <w:rPr>
                <w:sz w:val="20"/>
                <w:szCs w:val="20"/>
              </w:rPr>
            </w:pPr>
            <w:r w:rsidRPr="002C21B8">
              <w:rPr>
                <w:sz w:val="20"/>
                <w:szCs w:val="20"/>
              </w:rPr>
              <w:t>143</w:t>
            </w:r>
          </w:p>
        </w:tc>
        <w:tc>
          <w:tcPr>
            <w:tcW w:w="8505" w:type="dxa"/>
            <w:shd w:val="clear" w:color="auto" w:fill="auto"/>
          </w:tcPr>
          <w:p w14:paraId="413046AE" w14:textId="77777777" w:rsidR="00FA366A" w:rsidRPr="002C21B8" w:rsidRDefault="00FA366A" w:rsidP="00212D46">
            <w:pPr>
              <w:spacing w:after="0" w:line="240" w:lineRule="auto"/>
              <w:rPr>
                <w:sz w:val="20"/>
                <w:szCs w:val="20"/>
              </w:rPr>
            </w:pPr>
            <w:r w:rsidRPr="002C21B8">
              <w:rPr>
                <w:sz w:val="20"/>
                <w:szCs w:val="20"/>
              </w:rPr>
              <w:t>((duchenne or pseudohypertrophic or becker or facioscapulohumeral or limb-girdle or myotonic) NEXT muscular dystrophy):ti</w:t>
            </w:r>
          </w:p>
        </w:tc>
      </w:tr>
      <w:tr w:rsidR="00FA366A" w:rsidRPr="002C21B8" w14:paraId="0A54906D" w14:textId="77777777" w:rsidTr="00960A9F">
        <w:trPr>
          <w:trHeight w:val="320"/>
        </w:trPr>
        <w:tc>
          <w:tcPr>
            <w:tcW w:w="704" w:type="dxa"/>
            <w:shd w:val="clear" w:color="auto" w:fill="auto"/>
            <w:vAlign w:val="center"/>
          </w:tcPr>
          <w:p w14:paraId="4D29658E" w14:textId="77777777" w:rsidR="00FA366A" w:rsidRPr="002C21B8" w:rsidRDefault="00FA366A" w:rsidP="00212D46">
            <w:pPr>
              <w:spacing w:after="0" w:line="240" w:lineRule="auto"/>
              <w:rPr>
                <w:sz w:val="20"/>
                <w:szCs w:val="20"/>
              </w:rPr>
            </w:pPr>
            <w:r w:rsidRPr="002C21B8">
              <w:rPr>
                <w:sz w:val="20"/>
                <w:szCs w:val="20"/>
              </w:rPr>
              <w:t>144</w:t>
            </w:r>
          </w:p>
        </w:tc>
        <w:tc>
          <w:tcPr>
            <w:tcW w:w="8505" w:type="dxa"/>
            <w:shd w:val="clear" w:color="auto" w:fill="auto"/>
          </w:tcPr>
          <w:p w14:paraId="4829E575" w14:textId="77777777" w:rsidR="00FA366A" w:rsidRPr="002C21B8" w:rsidRDefault="00FA366A" w:rsidP="00212D46">
            <w:pPr>
              <w:spacing w:after="0" w:line="240" w:lineRule="auto"/>
              <w:rPr>
                <w:sz w:val="20"/>
                <w:szCs w:val="20"/>
              </w:rPr>
            </w:pPr>
            <w:r w:rsidRPr="002C21B8">
              <w:rPr>
                <w:sz w:val="20"/>
                <w:szCs w:val="20"/>
              </w:rPr>
              <w:t>MeSH descriptor: [Obesity] explode all trees</w:t>
            </w:r>
          </w:p>
        </w:tc>
      </w:tr>
      <w:tr w:rsidR="00FA366A" w:rsidRPr="002C21B8" w14:paraId="2DD8A46A" w14:textId="77777777" w:rsidTr="00960A9F">
        <w:trPr>
          <w:trHeight w:val="320"/>
        </w:trPr>
        <w:tc>
          <w:tcPr>
            <w:tcW w:w="704" w:type="dxa"/>
            <w:shd w:val="clear" w:color="auto" w:fill="auto"/>
            <w:vAlign w:val="center"/>
          </w:tcPr>
          <w:p w14:paraId="69354DAF" w14:textId="77777777" w:rsidR="00FA366A" w:rsidRPr="002C21B8" w:rsidRDefault="00FA366A" w:rsidP="00212D46">
            <w:pPr>
              <w:spacing w:after="0" w:line="240" w:lineRule="auto"/>
              <w:rPr>
                <w:sz w:val="20"/>
                <w:szCs w:val="20"/>
              </w:rPr>
            </w:pPr>
            <w:r w:rsidRPr="002C21B8">
              <w:rPr>
                <w:sz w:val="20"/>
                <w:szCs w:val="20"/>
              </w:rPr>
              <w:t>145</w:t>
            </w:r>
          </w:p>
        </w:tc>
        <w:tc>
          <w:tcPr>
            <w:tcW w:w="8505" w:type="dxa"/>
            <w:shd w:val="clear" w:color="auto" w:fill="auto"/>
          </w:tcPr>
          <w:p w14:paraId="3CF2133B" w14:textId="77777777" w:rsidR="00FA366A" w:rsidRPr="002C21B8" w:rsidRDefault="00FA366A" w:rsidP="00212D46">
            <w:pPr>
              <w:spacing w:after="0" w:line="240" w:lineRule="auto"/>
              <w:rPr>
                <w:sz w:val="20"/>
                <w:szCs w:val="20"/>
              </w:rPr>
            </w:pPr>
            <w:r w:rsidRPr="002C21B8">
              <w:rPr>
                <w:sz w:val="20"/>
                <w:szCs w:val="20"/>
              </w:rPr>
              <w:t>(obes* or overweight or (over NEXT weight) or over-weight):ti</w:t>
            </w:r>
          </w:p>
        </w:tc>
      </w:tr>
      <w:tr w:rsidR="00FA366A" w:rsidRPr="002C21B8" w14:paraId="525BA5E4" w14:textId="77777777" w:rsidTr="00960A9F">
        <w:trPr>
          <w:trHeight w:val="320"/>
        </w:trPr>
        <w:tc>
          <w:tcPr>
            <w:tcW w:w="704" w:type="dxa"/>
            <w:shd w:val="clear" w:color="auto" w:fill="auto"/>
            <w:vAlign w:val="center"/>
          </w:tcPr>
          <w:p w14:paraId="6B283226" w14:textId="77777777" w:rsidR="00FA366A" w:rsidRPr="002C21B8" w:rsidRDefault="00FA366A" w:rsidP="00212D46">
            <w:pPr>
              <w:spacing w:after="0" w:line="240" w:lineRule="auto"/>
              <w:rPr>
                <w:sz w:val="20"/>
                <w:szCs w:val="20"/>
              </w:rPr>
            </w:pPr>
            <w:r w:rsidRPr="002C21B8">
              <w:rPr>
                <w:sz w:val="20"/>
                <w:szCs w:val="20"/>
              </w:rPr>
              <w:t>146</w:t>
            </w:r>
          </w:p>
        </w:tc>
        <w:tc>
          <w:tcPr>
            <w:tcW w:w="8505" w:type="dxa"/>
            <w:shd w:val="clear" w:color="auto" w:fill="auto"/>
          </w:tcPr>
          <w:p w14:paraId="0018CC20" w14:textId="77777777" w:rsidR="00FA366A" w:rsidRPr="002C21B8" w:rsidRDefault="00FA366A" w:rsidP="00212D46">
            <w:pPr>
              <w:spacing w:after="0" w:line="240" w:lineRule="auto"/>
              <w:rPr>
                <w:sz w:val="20"/>
                <w:szCs w:val="20"/>
              </w:rPr>
            </w:pPr>
            <w:r w:rsidRPr="002C21B8">
              <w:rPr>
                <w:sz w:val="20"/>
                <w:szCs w:val="20"/>
              </w:rPr>
              <w:t>MeSH descriptor: [Sleep Apnea, Obstructive] explode all trees</w:t>
            </w:r>
          </w:p>
        </w:tc>
      </w:tr>
      <w:tr w:rsidR="00FA366A" w:rsidRPr="002C21B8" w14:paraId="6E89D8C4" w14:textId="77777777" w:rsidTr="00960A9F">
        <w:trPr>
          <w:trHeight w:val="320"/>
        </w:trPr>
        <w:tc>
          <w:tcPr>
            <w:tcW w:w="704" w:type="dxa"/>
            <w:shd w:val="clear" w:color="auto" w:fill="auto"/>
            <w:vAlign w:val="center"/>
          </w:tcPr>
          <w:p w14:paraId="20F7F37F" w14:textId="77777777" w:rsidR="00FA366A" w:rsidRPr="002C21B8" w:rsidRDefault="00FA366A" w:rsidP="00212D46">
            <w:pPr>
              <w:spacing w:after="0" w:line="240" w:lineRule="auto"/>
              <w:rPr>
                <w:sz w:val="20"/>
                <w:szCs w:val="20"/>
              </w:rPr>
            </w:pPr>
            <w:r w:rsidRPr="002C21B8">
              <w:rPr>
                <w:sz w:val="20"/>
                <w:szCs w:val="20"/>
              </w:rPr>
              <w:t>147</w:t>
            </w:r>
          </w:p>
        </w:tc>
        <w:tc>
          <w:tcPr>
            <w:tcW w:w="8505" w:type="dxa"/>
            <w:shd w:val="clear" w:color="auto" w:fill="auto"/>
          </w:tcPr>
          <w:p w14:paraId="6345242E" w14:textId="77777777" w:rsidR="00FA366A" w:rsidRPr="002C21B8" w:rsidRDefault="00FA366A" w:rsidP="00212D46">
            <w:pPr>
              <w:spacing w:after="0" w:line="240" w:lineRule="auto"/>
              <w:rPr>
                <w:sz w:val="20"/>
                <w:szCs w:val="20"/>
              </w:rPr>
            </w:pPr>
            <w:r w:rsidRPr="002C21B8">
              <w:rPr>
                <w:sz w:val="20"/>
                <w:szCs w:val="20"/>
              </w:rPr>
              <w:t>((sleep* or nocturnal) NEXT (apnea* or apnoea*)):ti</w:t>
            </w:r>
          </w:p>
        </w:tc>
      </w:tr>
      <w:tr w:rsidR="00FA366A" w:rsidRPr="002C21B8" w14:paraId="6354610D" w14:textId="77777777" w:rsidTr="00960A9F">
        <w:trPr>
          <w:trHeight w:val="320"/>
        </w:trPr>
        <w:tc>
          <w:tcPr>
            <w:tcW w:w="704" w:type="dxa"/>
            <w:shd w:val="clear" w:color="auto" w:fill="auto"/>
            <w:vAlign w:val="center"/>
          </w:tcPr>
          <w:p w14:paraId="394DD229" w14:textId="77777777" w:rsidR="00FA366A" w:rsidRPr="002C21B8" w:rsidRDefault="00FA366A" w:rsidP="00212D46">
            <w:pPr>
              <w:spacing w:after="0" w:line="240" w:lineRule="auto"/>
              <w:rPr>
                <w:sz w:val="20"/>
                <w:szCs w:val="20"/>
              </w:rPr>
            </w:pPr>
            <w:r w:rsidRPr="002C21B8">
              <w:rPr>
                <w:sz w:val="20"/>
                <w:szCs w:val="20"/>
              </w:rPr>
              <w:t>148</w:t>
            </w:r>
          </w:p>
        </w:tc>
        <w:tc>
          <w:tcPr>
            <w:tcW w:w="8505" w:type="dxa"/>
            <w:shd w:val="clear" w:color="auto" w:fill="auto"/>
          </w:tcPr>
          <w:p w14:paraId="79844B94" w14:textId="77777777" w:rsidR="00FA366A" w:rsidRPr="002C21B8" w:rsidRDefault="00FA366A" w:rsidP="00212D46">
            <w:pPr>
              <w:spacing w:after="0" w:line="240" w:lineRule="auto"/>
              <w:rPr>
                <w:sz w:val="20"/>
                <w:szCs w:val="20"/>
              </w:rPr>
            </w:pPr>
            <w:r w:rsidRPr="002C21B8">
              <w:rPr>
                <w:sz w:val="20"/>
                <w:szCs w:val="20"/>
              </w:rPr>
              <w:t>(sleep* NEXT disordered NEXT breathing):ti</w:t>
            </w:r>
          </w:p>
        </w:tc>
      </w:tr>
      <w:tr w:rsidR="00FA366A" w:rsidRPr="002C21B8" w14:paraId="1FF74C35" w14:textId="77777777" w:rsidTr="00960A9F">
        <w:trPr>
          <w:trHeight w:val="320"/>
        </w:trPr>
        <w:tc>
          <w:tcPr>
            <w:tcW w:w="704" w:type="dxa"/>
            <w:shd w:val="clear" w:color="auto" w:fill="auto"/>
            <w:vAlign w:val="center"/>
          </w:tcPr>
          <w:p w14:paraId="371C2C54" w14:textId="77777777" w:rsidR="00FA366A" w:rsidRPr="002C21B8" w:rsidRDefault="00FA366A" w:rsidP="00212D46">
            <w:pPr>
              <w:spacing w:after="0" w:line="240" w:lineRule="auto"/>
              <w:rPr>
                <w:sz w:val="20"/>
                <w:szCs w:val="20"/>
              </w:rPr>
            </w:pPr>
            <w:r w:rsidRPr="002C21B8">
              <w:rPr>
                <w:sz w:val="20"/>
                <w:szCs w:val="20"/>
              </w:rPr>
              <w:t>149</w:t>
            </w:r>
          </w:p>
        </w:tc>
        <w:tc>
          <w:tcPr>
            <w:tcW w:w="8505" w:type="dxa"/>
            <w:shd w:val="clear" w:color="auto" w:fill="auto"/>
          </w:tcPr>
          <w:p w14:paraId="4EDD6EFA" w14:textId="77777777" w:rsidR="00FA366A" w:rsidRPr="002C21B8" w:rsidRDefault="00FA366A" w:rsidP="00212D46">
            <w:pPr>
              <w:spacing w:after="0" w:line="240" w:lineRule="auto"/>
              <w:rPr>
                <w:sz w:val="20"/>
                <w:szCs w:val="20"/>
              </w:rPr>
            </w:pPr>
            <w:r w:rsidRPr="002C21B8">
              <w:rPr>
                <w:sz w:val="20"/>
                <w:szCs w:val="20"/>
              </w:rPr>
              <w:t>((sleep* or nocturnal) NEXT (hypopnea* or hypopnoea* or hypo-apnea* or hypo-apnoea* or apneic-hypopneic or apnoeic-hypopnoeic)):ti</w:t>
            </w:r>
          </w:p>
        </w:tc>
      </w:tr>
      <w:tr w:rsidR="00FA366A" w:rsidRPr="002C21B8" w14:paraId="428FD3FB" w14:textId="77777777" w:rsidTr="00960A9F">
        <w:trPr>
          <w:trHeight w:val="320"/>
        </w:trPr>
        <w:tc>
          <w:tcPr>
            <w:tcW w:w="704" w:type="dxa"/>
            <w:shd w:val="clear" w:color="auto" w:fill="auto"/>
            <w:vAlign w:val="center"/>
          </w:tcPr>
          <w:p w14:paraId="6D33497E" w14:textId="77777777" w:rsidR="00FA366A" w:rsidRPr="002C21B8" w:rsidRDefault="00FA366A" w:rsidP="00212D46">
            <w:pPr>
              <w:spacing w:after="0" w:line="240" w:lineRule="auto"/>
              <w:rPr>
                <w:sz w:val="20"/>
                <w:szCs w:val="20"/>
              </w:rPr>
            </w:pPr>
            <w:r w:rsidRPr="002C21B8">
              <w:rPr>
                <w:sz w:val="20"/>
                <w:szCs w:val="20"/>
              </w:rPr>
              <w:t>150</w:t>
            </w:r>
          </w:p>
        </w:tc>
        <w:tc>
          <w:tcPr>
            <w:tcW w:w="8505" w:type="dxa"/>
            <w:shd w:val="clear" w:color="auto" w:fill="auto"/>
          </w:tcPr>
          <w:p w14:paraId="63976879" w14:textId="77777777" w:rsidR="00FA366A" w:rsidRPr="002C21B8" w:rsidRDefault="00FA366A" w:rsidP="00212D46">
            <w:pPr>
              <w:spacing w:after="0" w:line="240" w:lineRule="auto"/>
              <w:rPr>
                <w:sz w:val="20"/>
                <w:szCs w:val="20"/>
              </w:rPr>
            </w:pPr>
            <w:r w:rsidRPr="002C21B8">
              <w:rPr>
                <w:sz w:val="20"/>
                <w:szCs w:val="20"/>
              </w:rPr>
              <w:t>(OSA or SAHS or OSAHS):ti</w:t>
            </w:r>
          </w:p>
        </w:tc>
      </w:tr>
      <w:tr w:rsidR="00FA366A" w:rsidRPr="002C21B8" w14:paraId="2D7B1A62" w14:textId="77777777" w:rsidTr="00960A9F">
        <w:trPr>
          <w:trHeight w:val="320"/>
        </w:trPr>
        <w:tc>
          <w:tcPr>
            <w:tcW w:w="704" w:type="dxa"/>
            <w:shd w:val="clear" w:color="auto" w:fill="auto"/>
            <w:vAlign w:val="center"/>
          </w:tcPr>
          <w:p w14:paraId="22C41ED9" w14:textId="77777777" w:rsidR="00FA366A" w:rsidRPr="002C21B8" w:rsidRDefault="00FA366A" w:rsidP="00212D46">
            <w:pPr>
              <w:spacing w:after="0" w:line="240" w:lineRule="auto"/>
              <w:rPr>
                <w:sz w:val="20"/>
                <w:szCs w:val="20"/>
              </w:rPr>
            </w:pPr>
            <w:r w:rsidRPr="002C21B8">
              <w:rPr>
                <w:sz w:val="20"/>
                <w:szCs w:val="20"/>
              </w:rPr>
              <w:t>151</w:t>
            </w:r>
          </w:p>
        </w:tc>
        <w:tc>
          <w:tcPr>
            <w:tcW w:w="8505" w:type="dxa"/>
            <w:shd w:val="clear" w:color="auto" w:fill="auto"/>
          </w:tcPr>
          <w:p w14:paraId="58E03C6E" w14:textId="77777777" w:rsidR="00FA366A" w:rsidRPr="002C21B8" w:rsidRDefault="00FA366A" w:rsidP="00212D46">
            <w:pPr>
              <w:spacing w:after="0" w:line="240" w:lineRule="auto"/>
              <w:rPr>
                <w:sz w:val="20"/>
                <w:szCs w:val="20"/>
              </w:rPr>
            </w:pPr>
            <w:r w:rsidRPr="002C21B8">
              <w:rPr>
                <w:sz w:val="20"/>
                <w:szCs w:val="20"/>
              </w:rPr>
              <w:t>MeSH descriptor: [Asthma, Occupational] explode all trees</w:t>
            </w:r>
          </w:p>
        </w:tc>
      </w:tr>
      <w:tr w:rsidR="00FA366A" w:rsidRPr="002C21B8" w14:paraId="1D710888" w14:textId="77777777" w:rsidTr="00960A9F">
        <w:trPr>
          <w:trHeight w:val="320"/>
        </w:trPr>
        <w:tc>
          <w:tcPr>
            <w:tcW w:w="704" w:type="dxa"/>
            <w:shd w:val="clear" w:color="auto" w:fill="auto"/>
            <w:vAlign w:val="center"/>
          </w:tcPr>
          <w:p w14:paraId="66AFF3F2" w14:textId="77777777" w:rsidR="00FA366A" w:rsidRPr="002C21B8" w:rsidRDefault="00FA366A" w:rsidP="00212D46">
            <w:pPr>
              <w:spacing w:after="0" w:line="240" w:lineRule="auto"/>
              <w:rPr>
                <w:sz w:val="20"/>
                <w:szCs w:val="20"/>
              </w:rPr>
            </w:pPr>
            <w:r w:rsidRPr="002C21B8">
              <w:rPr>
                <w:sz w:val="20"/>
                <w:szCs w:val="20"/>
              </w:rPr>
              <w:t>152</w:t>
            </w:r>
          </w:p>
        </w:tc>
        <w:tc>
          <w:tcPr>
            <w:tcW w:w="8505" w:type="dxa"/>
            <w:shd w:val="clear" w:color="auto" w:fill="auto"/>
          </w:tcPr>
          <w:p w14:paraId="072E7CA9" w14:textId="77777777" w:rsidR="00FA366A" w:rsidRPr="002C21B8" w:rsidRDefault="00FA366A" w:rsidP="00212D46">
            <w:pPr>
              <w:spacing w:after="0" w:line="240" w:lineRule="auto"/>
              <w:rPr>
                <w:sz w:val="20"/>
                <w:szCs w:val="20"/>
              </w:rPr>
            </w:pPr>
            <w:r w:rsidRPr="002C21B8">
              <w:rPr>
                <w:sz w:val="20"/>
                <w:szCs w:val="20"/>
              </w:rPr>
              <w:t>(asbestosis* or pneumoconiosis or black lung or hard metal lung disease or silicosis or talcosis):ti</w:t>
            </w:r>
          </w:p>
        </w:tc>
      </w:tr>
      <w:tr w:rsidR="00FA366A" w:rsidRPr="002C21B8" w14:paraId="7ACA95F8" w14:textId="77777777" w:rsidTr="00960A9F">
        <w:trPr>
          <w:trHeight w:val="320"/>
        </w:trPr>
        <w:tc>
          <w:tcPr>
            <w:tcW w:w="704" w:type="dxa"/>
            <w:shd w:val="clear" w:color="auto" w:fill="auto"/>
            <w:vAlign w:val="center"/>
          </w:tcPr>
          <w:p w14:paraId="14611889" w14:textId="77777777" w:rsidR="00FA366A" w:rsidRPr="002C21B8" w:rsidRDefault="00FA366A" w:rsidP="00212D46">
            <w:pPr>
              <w:spacing w:after="0" w:line="240" w:lineRule="auto"/>
              <w:rPr>
                <w:sz w:val="20"/>
                <w:szCs w:val="20"/>
              </w:rPr>
            </w:pPr>
            <w:r w:rsidRPr="002C21B8">
              <w:rPr>
                <w:sz w:val="20"/>
                <w:szCs w:val="20"/>
              </w:rPr>
              <w:t>153</w:t>
            </w:r>
          </w:p>
        </w:tc>
        <w:tc>
          <w:tcPr>
            <w:tcW w:w="8505" w:type="dxa"/>
            <w:shd w:val="clear" w:color="auto" w:fill="auto"/>
          </w:tcPr>
          <w:p w14:paraId="6BF6EC0D" w14:textId="77777777" w:rsidR="00FA366A" w:rsidRPr="002C21B8" w:rsidRDefault="00FA366A" w:rsidP="00212D46">
            <w:pPr>
              <w:spacing w:after="0" w:line="240" w:lineRule="auto"/>
              <w:rPr>
                <w:sz w:val="20"/>
                <w:szCs w:val="20"/>
              </w:rPr>
            </w:pPr>
            <w:r w:rsidRPr="002C21B8">
              <w:rPr>
                <w:sz w:val="20"/>
                <w:szCs w:val="20"/>
              </w:rPr>
              <w:t>MeSH descriptor: [Osteoporosis] explode all trees</w:t>
            </w:r>
          </w:p>
        </w:tc>
      </w:tr>
      <w:tr w:rsidR="00FA366A" w:rsidRPr="002C21B8" w14:paraId="13E15A95" w14:textId="77777777" w:rsidTr="00960A9F">
        <w:trPr>
          <w:trHeight w:val="320"/>
        </w:trPr>
        <w:tc>
          <w:tcPr>
            <w:tcW w:w="704" w:type="dxa"/>
            <w:shd w:val="clear" w:color="auto" w:fill="auto"/>
            <w:vAlign w:val="center"/>
          </w:tcPr>
          <w:p w14:paraId="48E856D6" w14:textId="77777777" w:rsidR="00FA366A" w:rsidRPr="002C21B8" w:rsidRDefault="00FA366A" w:rsidP="00212D46">
            <w:pPr>
              <w:spacing w:after="0" w:line="240" w:lineRule="auto"/>
              <w:rPr>
                <w:sz w:val="20"/>
                <w:szCs w:val="20"/>
              </w:rPr>
            </w:pPr>
            <w:r w:rsidRPr="002C21B8">
              <w:rPr>
                <w:sz w:val="20"/>
                <w:szCs w:val="20"/>
              </w:rPr>
              <w:t>154</w:t>
            </w:r>
          </w:p>
        </w:tc>
        <w:tc>
          <w:tcPr>
            <w:tcW w:w="8505" w:type="dxa"/>
            <w:shd w:val="clear" w:color="auto" w:fill="auto"/>
          </w:tcPr>
          <w:p w14:paraId="14582071" w14:textId="77777777" w:rsidR="00FA366A" w:rsidRPr="002C21B8" w:rsidRDefault="00FA366A" w:rsidP="00212D46">
            <w:pPr>
              <w:spacing w:after="0" w:line="240" w:lineRule="auto"/>
              <w:rPr>
                <w:sz w:val="20"/>
                <w:szCs w:val="20"/>
              </w:rPr>
            </w:pPr>
            <w:r w:rsidRPr="002C21B8">
              <w:rPr>
                <w:sz w:val="20"/>
                <w:szCs w:val="20"/>
              </w:rPr>
              <w:t>(osteoporo* or bone density or calcaneus):ti</w:t>
            </w:r>
          </w:p>
        </w:tc>
      </w:tr>
      <w:tr w:rsidR="00FA366A" w:rsidRPr="002C21B8" w14:paraId="01829154" w14:textId="77777777" w:rsidTr="00960A9F">
        <w:trPr>
          <w:trHeight w:val="320"/>
        </w:trPr>
        <w:tc>
          <w:tcPr>
            <w:tcW w:w="704" w:type="dxa"/>
            <w:shd w:val="clear" w:color="auto" w:fill="auto"/>
            <w:vAlign w:val="center"/>
          </w:tcPr>
          <w:p w14:paraId="475CBD33" w14:textId="77777777" w:rsidR="00FA366A" w:rsidRPr="002C21B8" w:rsidRDefault="00FA366A" w:rsidP="00212D46">
            <w:pPr>
              <w:spacing w:after="0" w:line="240" w:lineRule="auto"/>
              <w:rPr>
                <w:sz w:val="20"/>
                <w:szCs w:val="20"/>
              </w:rPr>
            </w:pPr>
            <w:r w:rsidRPr="002C21B8">
              <w:rPr>
                <w:sz w:val="20"/>
                <w:szCs w:val="20"/>
              </w:rPr>
              <w:t>155</w:t>
            </w:r>
          </w:p>
        </w:tc>
        <w:tc>
          <w:tcPr>
            <w:tcW w:w="8505" w:type="dxa"/>
            <w:shd w:val="clear" w:color="auto" w:fill="auto"/>
          </w:tcPr>
          <w:p w14:paraId="4BD33AC6" w14:textId="77777777" w:rsidR="00FA366A" w:rsidRPr="002C21B8" w:rsidRDefault="00FA366A" w:rsidP="00212D46">
            <w:pPr>
              <w:spacing w:after="0" w:line="240" w:lineRule="auto"/>
              <w:rPr>
                <w:sz w:val="20"/>
                <w:szCs w:val="20"/>
              </w:rPr>
            </w:pPr>
            <w:r w:rsidRPr="002C21B8">
              <w:rPr>
                <w:sz w:val="20"/>
                <w:szCs w:val="20"/>
              </w:rPr>
              <w:t>MeSH descriptor: [Neurodegenerative Diseases] explode all trees</w:t>
            </w:r>
          </w:p>
        </w:tc>
      </w:tr>
      <w:tr w:rsidR="00FA366A" w:rsidRPr="002C21B8" w14:paraId="1C083484" w14:textId="77777777" w:rsidTr="00960A9F">
        <w:trPr>
          <w:trHeight w:val="320"/>
        </w:trPr>
        <w:tc>
          <w:tcPr>
            <w:tcW w:w="704" w:type="dxa"/>
            <w:shd w:val="clear" w:color="auto" w:fill="auto"/>
            <w:vAlign w:val="center"/>
          </w:tcPr>
          <w:p w14:paraId="090DFD5D" w14:textId="77777777" w:rsidR="00FA366A" w:rsidRPr="002C21B8" w:rsidRDefault="00FA366A" w:rsidP="00212D46">
            <w:pPr>
              <w:spacing w:after="0" w:line="240" w:lineRule="auto"/>
              <w:rPr>
                <w:sz w:val="20"/>
                <w:szCs w:val="20"/>
              </w:rPr>
            </w:pPr>
            <w:r w:rsidRPr="002C21B8">
              <w:rPr>
                <w:sz w:val="20"/>
                <w:szCs w:val="20"/>
              </w:rPr>
              <w:t>156</w:t>
            </w:r>
          </w:p>
        </w:tc>
        <w:tc>
          <w:tcPr>
            <w:tcW w:w="8505" w:type="dxa"/>
            <w:shd w:val="clear" w:color="auto" w:fill="auto"/>
          </w:tcPr>
          <w:p w14:paraId="78BD94F3" w14:textId="77777777" w:rsidR="00FA366A" w:rsidRPr="002C21B8" w:rsidRDefault="00FA366A" w:rsidP="00212D46">
            <w:pPr>
              <w:spacing w:after="0" w:line="240" w:lineRule="auto"/>
              <w:rPr>
                <w:sz w:val="20"/>
                <w:szCs w:val="20"/>
              </w:rPr>
            </w:pPr>
            <w:r w:rsidRPr="002C21B8">
              <w:rPr>
                <w:sz w:val="20"/>
                <w:szCs w:val="20"/>
              </w:rPr>
              <w:t>(amyotrophic lateral sclerosis or multiple sclerosis or huntington* disease or multiple system atrophy or prion disease):ti</w:t>
            </w:r>
          </w:p>
        </w:tc>
      </w:tr>
      <w:tr w:rsidR="00FA366A" w:rsidRPr="002C21B8" w14:paraId="5AA9A946" w14:textId="77777777" w:rsidTr="00960A9F">
        <w:trPr>
          <w:trHeight w:val="320"/>
        </w:trPr>
        <w:tc>
          <w:tcPr>
            <w:tcW w:w="704" w:type="dxa"/>
            <w:shd w:val="clear" w:color="auto" w:fill="auto"/>
            <w:vAlign w:val="center"/>
          </w:tcPr>
          <w:p w14:paraId="01D35BFC" w14:textId="77777777" w:rsidR="00FA366A" w:rsidRPr="002C21B8" w:rsidRDefault="00FA366A" w:rsidP="00212D46">
            <w:pPr>
              <w:spacing w:after="0" w:line="240" w:lineRule="auto"/>
              <w:rPr>
                <w:sz w:val="20"/>
                <w:szCs w:val="20"/>
              </w:rPr>
            </w:pPr>
            <w:r w:rsidRPr="002C21B8">
              <w:rPr>
                <w:sz w:val="20"/>
                <w:szCs w:val="20"/>
              </w:rPr>
              <w:t>157</w:t>
            </w:r>
          </w:p>
        </w:tc>
        <w:tc>
          <w:tcPr>
            <w:tcW w:w="8505" w:type="dxa"/>
            <w:shd w:val="clear" w:color="auto" w:fill="auto"/>
          </w:tcPr>
          <w:p w14:paraId="247C9695" w14:textId="77777777" w:rsidR="00FA366A" w:rsidRPr="002C21B8" w:rsidRDefault="00FA366A" w:rsidP="00212D46">
            <w:pPr>
              <w:spacing w:after="0" w:line="240" w:lineRule="auto"/>
              <w:rPr>
                <w:sz w:val="20"/>
                <w:szCs w:val="20"/>
              </w:rPr>
            </w:pPr>
            <w:r w:rsidRPr="002C21B8">
              <w:rPr>
                <w:sz w:val="20"/>
                <w:szCs w:val="20"/>
              </w:rPr>
              <w:t>MeSH descriptor: [Peripheral Vascular Diseases] explode all trees</w:t>
            </w:r>
          </w:p>
        </w:tc>
      </w:tr>
      <w:tr w:rsidR="00FA366A" w:rsidRPr="002C21B8" w14:paraId="4EF50C94" w14:textId="77777777" w:rsidTr="00960A9F">
        <w:trPr>
          <w:trHeight w:val="320"/>
        </w:trPr>
        <w:tc>
          <w:tcPr>
            <w:tcW w:w="704" w:type="dxa"/>
            <w:shd w:val="clear" w:color="auto" w:fill="auto"/>
            <w:vAlign w:val="center"/>
          </w:tcPr>
          <w:p w14:paraId="39CFB66D" w14:textId="77777777" w:rsidR="00FA366A" w:rsidRPr="002C21B8" w:rsidRDefault="00FA366A" w:rsidP="00212D46">
            <w:pPr>
              <w:spacing w:after="0" w:line="240" w:lineRule="auto"/>
              <w:rPr>
                <w:sz w:val="20"/>
                <w:szCs w:val="20"/>
              </w:rPr>
            </w:pPr>
            <w:r w:rsidRPr="002C21B8">
              <w:rPr>
                <w:sz w:val="20"/>
                <w:szCs w:val="20"/>
              </w:rPr>
              <w:t>158</w:t>
            </w:r>
          </w:p>
        </w:tc>
        <w:tc>
          <w:tcPr>
            <w:tcW w:w="8505" w:type="dxa"/>
            <w:shd w:val="clear" w:color="auto" w:fill="auto"/>
          </w:tcPr>
          <w:p w14:paraId="70963ED3" w14:textId="77777777" w:rsidR="00FA366A" w:rsidRPr="002C21B8" w:rsidRDefault="00FA366A" w:rsidP="00212D46">
            <w:pPr>
              <w:spacing w:after="0" w:line="240" w:lineRule="auto"/>
              <w:rPr>
                <w:sz w:val="20"/>
                <w:szCs w:val="20"/>
              </w:rPr>
            </w:pPr>
            <w:r w:rsidRPr="002C21B8">
              <w:rPr>
                <w:sz w:val="20"/>
                <w:szCs w:val="20"/>
              </w:rPr>
              <w:t>(peripheral arterial occlusi* or peripheral artery occlusi* or peripheral arterial isch?emi* or peripheral artery isch?emi*):ti</w:t>
            </w:r>
          </w:p>
        </w:tc>
      </w:tr>
      <w:tr w:rsidR="00FA366A" w:rsidRPr="002C21B8" w14:paraId="4BF3F412" w14:textId="77777777" w:rsidTr="00960A9F">
        <w:trPr>
          <w:trHeight w:val="320"/>
        </w:trPr>
        <w:tc>
          <w:tcPr>
            <w:tcW w:w="704" w:type="dxa"/>
            <w:shd w:val="clear" w:color="auto" w:fill="auto"/>
            <w:vAlign w:val="center"/>
          </w:tcPr>
          <w:p w14:paraId="29F06135" w14:textId="77777777" w:rsidR="00FA366A" w:rsidRPr="002C21B8" w:rsidRDefault="00FA366A" w:rsidP="00212D46">
            <w:pPr>
              <w:spacing w:after="0" w:line="240" w:lineRule="auto"/>
              <w:rPr>
                <w:sz w:val="20"/>
                <w:szCs w:val="20"/>
              </w:rPr>
            </w:pPr>
            <w:r w:rsidRPr="002C21B8">
              <w:rPr>
                <w:sz w:val="20"/>
                <w:szCs w:val="20"/>
              </w:rPr>
              <w:t>159</w:t>
            </w:r>
          </w:p>
        </w:tc>
        <w:tc>
          <w:tcPr>
            <w:tcW w:w="8505" w:type="dxa"/>
            <w:shd w:val="clear" w:color="auto" w:fill="auto"/>
          </w:tcPr>
          <w:p w14:paraId="05CE071F" w14:textId="77777777" w:rsidR="00FA366A" w:rsidRPr="002C21B8" w:rsidRDefault="00FA366A" w:rsidP="00212D46">
            <w:pPr>
              <w:spacing w:after="0" w:line="240" w:lineRule="auto"/>
              <w:rPr>
                <w:sz w:val="20"/>
                <w:szCs w:val="20"/>
              </w:rPr>
            </w:pPr>
            <w:r w:rsidRPr="002C21B8">
              <w:rPr>
                <w:sz w:val="20"/>
                <w:szCs w:val="20"/>
              </w:rPr>
              <w:t>(peripheral vascular disease* or peripheral arterial disease* or peripheral artery disease*):ti</w:t>
            </w:r>
          </w:p>
        </w:tc>
      </w:tr>
      <w:tr w:rsidR="00FA366A" w:rsidRPr="002C21B8" w14:paraId="3B9FA27F" w14:textId="77777777" w:rsidTr="00960A9F">
        <w:trPr>
          <w:trHeight w:val="320"/>
        </w:trPr>
        <w:tc>
          <w:tcPr>
            <w:tcW w:w="704" w:type="dxa"/>
            <w:shd w:val="clear" w:color="auto" w:fill="auto"/>
            <w:vAlign w:val="center"/>
          </w:tcPr>
          <w:p w14:paraId="68E73F23" w14:textId="77777777" w:rsidR="00FA366A" w:rsidRPr="002C21B8" w:rsidRDefault="00FA366A" w:rsidP="00212D46">
            <w:pPr>
              <w:spacing w:after="0" w:line="240" w:lineRule="auto"/>
              <w:rPr>
                <w:sz w:val="20"/>
                <w:szCs w:val="20"/>
              </w:rPr>
            </w:pPr>
            <w:r w:rsidRPr="002C21B8">
              <w:rPr>
                <w:sz w:val="20"/>
                <w:szCs w:val="20"/>
              </w:rPr>
              <w:t>160</w:t>
            </w:r>
          </w:p>
        </w:tc>
        <w:tc>
          <w:tcPr>
            <w:tcW w:w="8505" w:type="dxa"/>
            <w:shd w:val="clear" w:color="auto" w:fill="auto"/>
          </w:tcPr>
          <w:p w14:paraId="0A6E1170" w14:textId="77777777" w:rsidR="00FA366A" w:rsidRPr="002C21B8" w:rsidRDefault="00FA366A" w:rsidP="00212D46">
            <w:pPr>
              <w:spacing w:after="0" w:line="240" w:lineRule="auto"/>
              <w:rPr>
                <w:sz w:val="20"/>
                <w:szCs w:val="20"/>
              </w:rPr>
            </w:pPr>
            <w:r w:rsidRPr="002C21B8">
              <w:rPr>
                <w:sz w:val="20"/>
                <w:szCs w:val="20"/>
              </w:rPr>
              <w:t>((limb* or lower extremity) NEXT isch?emi*):ti</w:t>
            </w:r>
          </w:p>
        </w:tc>
      </w:tr>
      <w:tr w:rsidR="00FA366A" w:rsidRPr="002C21B8" w14:paraId="7C8A775F" w14:textId="77777777" w:rsidTr="00960A9F">
        <w:trPr>
          <w:trHeight w:val="320"/>
        </w:trPr>
        <w:tc>
          <w:tcPr>
            <w:tcW w:w="704" w:type="dxa"/>
            <w:shd w:val="clear" w:color="auto" w:fill="auto"/>
            <w:vAlign w:val="center"/>
          </w:tcPr>
          <w:p w14:paraId="7629AD70" w14:textId="77777777" w:rsidR="00FA366A" w:rsidRPr="002C21B8" w:rsidRDefault="00FA366A" w:rsidP="00212D46">
            <w:pPr>
              <w:spacing w:after="0" w:line="240" w:lineRule="auto"/>
              <w:rPr>
                <w:sz w:val="20"/>
                <w:szCs w:val="20"/>
              </w:rPr>
            </w:pPr>
            <w:r w:rsidRPr="002C21B8">
              <w:rPr>
                <w:sz w:val="20"/>
                <w:szCs w:val="20"/>
              </w:rPr>
              <w:t>161</w:t>
            </w:r>
          </w:p>
        </w:tc>
        <w:tc>
          <w:tcPr>
            <w:tcW w:w="8505" w:type="dxa"/>
            <w:shd w:val="clear" w:color="auto" w:fill="auto"/>
          </w:tcPr>
          <w:p w14:paraId="37EF9095" w14:textId="77777777" w:rsidR="00FA366A" w:rsidRPr="002C21B8" w:rsidRDefault="00FA366A" w:rsidP="00212D46">
            <w:pPr>
              <w:spacing w:after="0" w:line="240" w:lineRule="auto"/>
              <w:rPr>
                <w:sz w:val="20"/>
                <w:szCs w:val="20"/>
              </w:rPr>
            </w:pPr>
            <w:r w:rsidRPr="002C21B8">
              <w:rPr>
                <w:sz w:val="20"/>
                <w:szCs w:val="20"/>
              </w:rPr>
              <w:t>(intermittent and (occlusion or claudication)):ti</w:t>
            </w:r>
          </w:p>
        </w:tc>
      </w:tr>
      <w:tr w:rsidR="00FA366A" w:rsidRPr="002C21B8" w14:paraId="4877DF9A" w14:textId="77777777" w:rsidTr="00960A9F">
        <w:trPr>
          <w:trHeight w:val="320"/>
        </w:trPr>
        <w:tc>
          <w:tcPr>
            <w:tcW w:w="704" w:type="dxa"/>
            <w:shd w:val="clear" w:color="auto" w:fill="auto"/>
            <w:vAlign w:val="center"/>
          </w:tcPr>
          <w:p w14:paraId="67127025" w14:textId="77777777" w:rsidR="00FA366A" w:rsidRPr="002C21B8" w:rsidRDefault="00FA366A" w:rsidP="00212D46">
            <w:pPr>
              <w:spacing w:after="0" w:line="240" w:lineRule="auto"/>
              <w:rPr>
                <w:sz w:val="20"/>
                <w:szCs w:val="20"/>
              </w:rPr>
            </w:pPr>
            <w:r w:rsidRPr="002C21B8">
              <w:rPr>
                <w:sz w:val="20"/>
                <w:szCs w:val="20"/>
              </w:rPr>
              <w:t>162</w:t>
            </w:r>
          </w:p>
        </w:tc>
        <w:tc>
          <w:tcPr>
            <w:tcW w:w="8505" w:type="dxa"/>
            <w:shd w:val="clear" w:color="auto" w:fill="auto"/>
          </w:tcPr>
          <w:p w14:paraId="49652637" w14:textId="77777777" w:rsidR="00FA366A" w:rsidRPr="002C21B8" w:rsidRDefault="00FA366A" w:rsidP="00212D46">
            <w:pPr>
              <w:spacing w:after="0" w:line="240" w:lineRule="auto"/>
              <w:rPr>
                <w:sz w:val="20"/>
                <w:szCs w:val="20"/>
              </w:rPr>
            </w:pPr>
            <w:r w:rsidRPr="002C21B8">
              <w:rPr>
                <w:sz w:val="20"/>
                <w:szCs w:val="20"/>
              </w:rPr>
              <w:t>MeSH descriptor: [Disabled Persons] explode all trees</w:t>
            </w:r>
          </w:p>
        </w:tc>
      </w:tr>
      <w:tr w:rsidR="00FA366A" w:rsidRPr="002C21B8" w14:paraId="1E68C7E0" w14:textId="77777777" w:rsidTr="00960A9F">
        <w:trPr>
          <w:trHeight w:val="320"/>
        </w:trPr>
        <w:tc>
          <w:tcPr>
            <w:tcW w:w="704" w:type="dxa"/>
            <w:shd w:val="clear" w:color="auto" w:fill="auto"/>
            <w:vAlign w:val="center"/>
          </w:tcPr>
          <w:p w14:paraId="39C9E5B2" w14:textId="77777777" w:rsidR="00FA366A" w:rsidRPr="002C21B8" w:rsidRDefault="00FA366A" w:rsidP="00212D46">
            <w:pPr>
              <w:spacing w:after="0" w:line="240" w:lineRule="auto"/>
              <w:rPr>
                <w:sz w:val="20"/>
                <w:szCs w:val="20"/>
              </w:rPr>
            </w:pPr>
            <w:r w:rsidRPr="002C21B8">
              <w:rPr>
                <w:sz w:val="20"/>
                <w:szCs w:val="20"/>
              </w:rPr>
              <w:t>163</w:t>
            </w:r>
          </w:p>
        </w:tc>
        <w:tc>
          <w:tcPr>
            <w:tcW w:w="8505" w:type="dxa"/>
            <w:shd w:val="clear" w:color="auto" w:fill="auto"/>
          </w:tcPr>
          <w:p w14:paraId="117DB3D6" w14:textId="77777777" w:rsidR="00FA366A" w:rsidRPr="002C21B8" w:rsidRDefault="00FA366A" w:rsidP="00212D46">
            <w:pPr>
              <w:spacing w:after="0" w:line="240" w:lineRule="auto"/>
              <w:rPr>
                <w:sz w:val="20"/>
                <w:szCs w:val="20"/>
              </w:rPr>
            </w:pPr>
            <w:r w:rsidRPr="002C21B8">
              <w:rPr>
                <w:sz w:val="20"/>
                <w:szCs w:val="20"/>
              </w:rPr>
              <w:t>(physical disabilit* or spinal cord injur* or motor learning disability* or dwarfism):ti</w:t>
            </w:r>
          </w:p>
        </w:tc>
      </w:tr>
      <w:tr w:rsidR="00FA366A" w:rsidRPr="002C21B8" w14:paraId="00A2CCF0" w14:textId="77777777" w:rsidTr="00960A9F">
        <w:trPr>
          <w:trHeight w:val="320"/>
        </w:trPr>
        <w:tc>
          <w:tcPr>
            <w:tcW w:w="704" w:type="dxa"/>
            <w:shd w:val="clear" w:color="auto" w:fill="auto"/>
            <w:vAlign w:val="center"/>
          </w:tcPr>
          <w:p w14:paraId="34C89984" w14:textId="77777777" w:rsidR="00FA366A" w:rsidRPr="002C21B8" w:rsidRDefault="00FA366A" w:rsidP="00212D46">
            <w:pPr>
              <w:spacing w:after="0" w:line="240" w:lineRule="auto"/>
              <w:rPr>
                <w:sz w:val="20"/>
                <w:szCs w:val="20"/>
              </w:rPr>
            </w:pPr>
            <w:r w:rsidRPr="002C21B8">
              <w:rPr>
                <w:sz w:val="20"/>
                <w:szCs w:val="20"/>
              </w:rPr>
              <w:t>164</w:t>
            </w:r>
          </w:p>
        </w:tc>
        <w:tc>
          <w:tcPr>
            <w:tcW w:w="8505" w:type="dxa"/>
            <w:shd w:val="clear" w:color="auto" w:fill="auto"/>
          </w:tcPr>
          <w:p w14:paraId="0EB63F30" w14:textId="77777777" w:rsidR="00FA366A" w:rsidRPr="002C21B8" w:rsidRDefault="00FA366A" w:rsidP="00212D46">
            <w:pPr>
              <w:spacing w:after="0" w:line="240" w:lineRule="auto"/>
              <w:rPr>
                <w:sz w:val="20"/>
                <w:szCs w:val="20"/>
              </w:rPr>
            </w:pPr>
            <w:r w:rsidRPr="002C21B8">
              <w:rPr>
                <w:sz w:val="20"/>
                <w:szCs w:val="20"/>
              </w:rPr>
              <w:t>MeSH descriptor: [Polycystic Ovary Syndrome] explode all trees</w:t>
            </w:r>
          </w:p>
        </w:tc>
      </w:tr>
      <w:tr w:rsidR="00FA366A" w:rsidRPr="002C21B8" w14:paraId="2060FC42" w14:textId="77777777" w:rsidTr="00960A9F">
        <w:trPr>
          <w:trHeight w:val="320"/>
        </w:trPr>
        <w:tc>
          <w:tcPr>
            <w:tcW w:w="704" w:type="dxa"/>
            <w:shd w:val="clear" w:color="auto" w:fill="auto"/>
            <w:vAlign w:val="center"/>
          </w:tcPr>
          <w:p w14:paraId="009CC505" w14:textId="77777777" w:rsidR="00FA366A" w:rsidRPr="002C21B8" w:rsidRDefault="00FA366A" w:rsidP="00212D46">
            <w:pPr>
              <w:spacing w:after="0" w:line="240" w:lineRule="auto"/>
              <w:rPr>
                <w:sz w:val="20"/>
                <w:szCs w:val="20"/>
              </w:rPr>
            </w:pPr>
            <w:r w:rsidRPr="002C21B8">
              <w:rPr>
                <w:sz w:val="20"/>
                <w:szCs w:val="20"/>
              </w:rPr>
              <w:t>165</w:t>
            </w:r>
          </w:p>
        </w:tc>
        <w:tc>
          <w:tcPr>
            <w:tcW w:w="8505" w:type="dxa"/>
            <w:shd w:val="clear" w:color="auto" w:fill="auto"/>
          </w:tcPr>
          <w:p w14:paraId="193EFC47" w14:textId="77777777" w:rsidR="00FA366A" w:rsidRPr="002C21B8" w:rsidRDefault="00FA366A" w:rsidP="00212D46">
            <w:pPr>
              <w:spacing w:after="0" w:line="240" w:lineRule="auto"/>
              <w:rPr>
                <w:sz w:val="20"/>
                <w:szCs w:val="20"/>
              </w:rPr>
            </w:pPr>
            <w:r w:rsidRPr="002C21B8">
              <w:rPr>
                <w:sz w:val="20"/>
                <w:szCs w:val="20"/>
              </w:rPr>
              <w:t>(polycystic ovary syndrome or polycystic ovarian syndrome or PCOS):ti</w:t>
            </w:r>
          </w:p>
        </w:tc>
      </w:tr>
      <w:tr w:rsidR="00FA366A" w:rsidRPr="002C21B8" w14:paraId="04F8132E" w14:textId="77777777" w:rsidTr="00960A9F">
        <w:trPr>
          <w:trHeight w:val="320"/>
        </w:trPr>
        <w:tc>
          <w:tcPr>
            <w:tcW w:w="704" w:type="dxa"/>
            <w:shd w:val="clear" w:color="auto" w:fill="auto"/>
            <w:vAlign w:val="center"/>
          </w:tcPr>
          <w:p w14:paraId="43BA2D9B" w14:textId="77777777" w:rsidR="00FA366A" w:rsidRPr="002C21B8" w:rsidRDefault="00FA366A" w:rsidP="00212D46">
            <w:pPr>
              <w:spacing w:after="0" w:line="240" w:lineRule="auto"/>
              <w:rPr>
                <w:sz w:val="20"/>
                <w:szCs w:val="20"/>
              </w:rPr>
            </w:pPr>
            <w:r w:rsidRPr="002C21B8">
              <w:rPr>
                <w:sz w:val="20"/>
                <w:szCs w:val="20"/>
              </w:rPr>
              <w:t>166</w:t>
            </w:r>
          </w:p>
        </w:tc>
        <w:tc>
          <w:tcPr>
            <w:tcW w:w="8505" w:type="dxa"/>
            <w:shd w:val="clear" w:color="auto" w:fill="auto"/>
          </w:tcPr>
          <w:p w14:paraId="5874694A" w14:textId="77777777" w:rsidR="00FA366A" w:rsidRPr="002C21B8" w:rsidRDefault="00FA366A" w:rsidP="00212D46">
            <w:pPr>
              <w:spacing w:after="0" w:line="240" w:lineRule="auto"/>
              <w:rPr>
                <w:sz w:val="20"/>
                <w:szCs w:val="20"/>
              </w:rPr>
            </w:pPr>
            <w:r w:rsidRPr="002C21B8">
              <w:rPr>
                <w:sz w:val="20"/>
                <w:szCs w:val="20"/>
              </w:rPr>
              <w:t>MeSH descriptor: [Supranuclear Palsy, Progressive] explode all trees</w:t>
            </w:r>
          </w:p>
        </w:tc>
      </w:tr>
      <w:tr w:rsidR="00FA366A" w:rsidRPr="002C21B8" w14:paraId="63568951" w14:textId="77777777" w:rsidTr="00960A9F">
        <w:trPr>
          <w:trHeight w:val="320"/>
        </w:trPr>
        <w:tc>
          <w:tcPr>
            <w:tcW w:w="704" w:type="dxa"/>
            <w:shd w:val="clear" w:color="auto" w:fill="auto"/>
            <w:vAlign w:val="center"/>
          </w:tcPr>
          <w:p w14:paraId="3C047047" w14:textId="77777777" w:rsidR="00FA366A" w:rsidRPr="002C21B8" w:rsidRDefault="00FA366A" w:rsidP="00212D46">
            <w:pPr>
              <w:spacing w:after="0" w:line="240" w:lineRule="auto"/>
              <w:rPr>
                <w:sz w:val="20"/>
                <w:szCs w:val="20"/>
              </w:rPr>
            </w:pPr>
            <w:r w:rsidRPr="002C21B8">
              <w:rPr>
                <w:sz w:val="20"/>
                <w:szCs w:val="20"/>
              </w:rPr>
              <w:t>167</w:t>
            </w:r>
          </w:p>
        </w:tc>
        <w:tc>
          <w:tcPr>
            <w:tcW w:w="8505" w:type="dxa"/>
            <w:shd w:val="clear" w:color="auto" w:fill="auto"/>
          </w:tcPr>
          <w:p w14:paraId="11541FD9" w14:textId="77777777" w:rsidR="00FA366A" w:rsidRPr="002C21B8" w:rsidRDefault="00FA366A" w:rsidP="00212D46">
            <w:pPr>
              <w:spacing w:after="0" w:line="240" w:lineRule="auto"/>
              <w:rPr>
                <w:sz w:val="20"/>
                <w:szCs w:val="20"/>
              </w:rPr>
            </w:pPr>
            <w:r w:rsidRPr="002C21B8">
              <w:rPr>
                <w:sz w:val="20"/>
                <w:szCs w:val="20"/>
              </w:rPr>
              <w:t>(progressive supranuclear pals* or PSP or richardson* syndrome or (steele richardson olsezewski NEXT (disease or syndrome)) or (steele-richardson-olsezewski NEXT (disease or syndrome))):ti</w:t>
            </w:r>
          </w:p>
        </w:tc>
      </w:tr>
      <w:tr w:rsidR="00FA366A" w:rsidRPr="002C21B8" w14:paraId="160EF210" w14:textId="77777777" w:rsidTr="00960A9F">
        <w:trPr>
          <w:trHeight w:val="320"/>
        </w:trPr>
        <w:tc>
          <w:tcPr>
            <w:tcW w:w="704" w:type="dxa"/>
            <w:shd w:val="clear" w:color="auto" w:fill="auto"/>
            <w:vAlign w:val="center"/>
          </w:tcPr>
          <w:p w14:paraId="09DEDF31" w14:textId="77777777" w:rsidR="00FA366A" w:rsidRPr="002C21B8" w:rsidRDefault="00FA366A" w:rsidP="00212D46">
            <w:pPr>
              <w:spacing w:after="0" w:line="240" w:lineRule="auto"/>
              <w:rPr>
                <w:sz w:val="20"/>
                <w:szCs w:val="20"/>
              </w:rPr>
            </w:pPr>
            <w:r w:rsidRPr="002C21B8">
              <w:rPr>
                <w:sz w:val="20"/>
                <w:szCs w:val="20"/>
              </w:rPr>
              <w:t>168</w:t>
            </w:r>
          </w:p>
        </w:tc>
        <w:tc>
          <w:tcPr>
            <w:tcW w:w="8505" w:type="dxa"/>
            <w:shd w:val="clear" w:color="auto" w:fill="auto"/>
          </w:tcPr>
          <w:p w14:paraId="46250A75" w14:textId="77777777" w:rsidR="00FA366A" w:rsidRPr="002C21B8" w:rsidRDefault="00FA366A" w:rsidP="00212D46">
            <w:pPr>
              <w:spacing w:after="0" w:line="240" w:lineRule="auto"/>
              <w:rPr>
                <w:sz w:val="20"/>
                <w:szCs w:val="20"/>
              </w:rPr>
            </w:pPr>
            <w:r w:rsidRPr="002C21B8">
              <w:rPr>
                <w:sz w:val="20"/>
                <w:szCs w:val="20"/>
              </w:rPr>
              <w:t>MeSH descriptor: [Psoriasis] explode all trees</w:t>
            </w:r>
          </w:p>
        </w:tc>
      </w:tr>
      <w:tr w:rsidR="00FA366A" w:rsidRPr="002C21B8" w14:paraId="0FA89FD9" w14:textId="77777777" w:rsidTr="00960A9F">
        <w:trPr>
          <w:trHeight w:val="320"/>
        </w:trPr>
        <w:tc>
          <w:tcPr>
            <w:tcW w:w="704" w:type="dxa"/>
            <w:shd w:val="clear" w:color="auto" w:fill="auto"/>
            <w:vAlign w:val="center"/>
          </w:tcPr>
          <w:p w14:paraId="56691532" w14:textId="77777777" w:rsidR="00FA366A" w:rsidRPr="002C21B8" w:rsidRDefault="00FA366A" w:rsidP="00212D46">
            <w:pPr>
              <w:spacing w:after="0" w:line="240" w:lineRule="auto"/>
              <w:rPr>
                <w:sz w:val="20"/>
                <w:szCs w:val="20"/>
              </w:rPr>
            </w:pPr>
            <w:r w:rsidRPr="002C21B8">
              <w:rPr>
                <w:sz w:val="20"/>
                <w:szCs w:val="20"/>
              </w:rPr>
              <w:t>169</w:t>
            </w:r>
          </w:p>
        </w:tc>
        <w:tc>
          <w:tcPr>
            <w:tcW w:w="8505" w:type="dxa"/>
            <w:shd w:val="clear" w:color="auto" w:fill="auto"/>
          </w:tcPr>
          <w:p w14:paraId="185F00A6" w14:textId="77777777" w:rsidR="00FA366A" w:rsidRPr="002C21B8" w:rsidRDefault="00FA366A" w:rsidP="00212D46">
            <w:pPr>
              <w:spacing w:after="0" w:line="240" w:lineRule="auto"/>
              <w:rPr>
                <w:sz w:val="20"/>
                <w:szCs w:val="20"/>
              </w:rPr>
            </w:pPr>
            <w:r w:rsidRPr="002C21B8">
              <w:rPr>
                <w:sz w:val="20"/>
                <w:szCs w:val="20"/>
              </w:rPr>
              <w:t>psoriasis:ti</w:t>
            </w:r>
          </w:p>
        </w:tc>
      </w:tr>
      <w:tr w:rsidR="00FA366A" w:rsidRPr="002C21B8" w14:paraId="18C2CF28" w14:textId="77777777" w:rsidTr="00960A9F">
        <w:trPr>
          <w:trHeight w:val="320"/>
        </w:trPr>
        <w:tc>
          <w:tcPr>
            <w:tcW w:w="704" w:type="dxa"/>
            <w:shd w:val="clear" w:color="auto" w:fill="auto"/>
            <w:vAlign w:val="center"/>
          </w:tcPr>
          <w:p w14:paraId="5308FC81" w14:textId="77777777" w:rsidR="00FA366A" w:rsidRPr="002C21B8" w:rsidRDefault="00FA366A" w:rsidP="00212D46">
            <w:pPr>
              <w:spacing w:after="0" w:line="240" w:lineRule="auto"/>
              <w:rPr>
                <w:sz w:val="20"/>
                <w:szCs w:val="20"/>
              </w:rPr>
            </w:pPr>
            <w:r w:rsidRPr="002C21B8">
              <w:rPr>
                <w:sz w:val="20"/>
                <w:szCs w:val="20"/>
              </w:rPr>
              <w:t>170</w:t>
            </w:r>
          </w:p>
        </w:tc>
        <w:tc>
          <w:tcPr>
            <w:tcW w:w="8505" w:type="dxa"/>
            <w:shd w:val="clear" w:color="auto" w:fill="auto"/>
          </w:tcPr>
          <w:p w14:paraId="1ACBD54E" w14:textId="77777777" w:rsidR="00FA366A" w:rsidRPr="002C21B8" w:rsidRDefault="00FA366A" w:rsidP="00212D46">
            <w:pPr>
              <w:spacing w:after="0" w:line="240" w:lineRule="auto"/>
              <w:rPr>
                <w:sz w:val="20"/>
                <w:szCs w:val="20"/>
              </w:rPr>
            </w:pPr>
            <w:r w:rsidRPr="002C21B8">
              <w:rPr>
                <w:sz w:val="20"/>
                <w:szCs w:val="20"/>
              </w:rPr>
              <w:t>MeSH descriptor: [Rare Diseases] explode all trees</w:t>
            </w:r>
          </w:p>
        </w:tc>
      </w:tr>
      <w:tr w:rsidR="00FA366A" w:rsidRPr="002C21B8" w14:paraId="3A50CFA5" w14:textId="77777777" w:rsidTr="00960A9F">
        <w:trPr>
          <w:trHeight w:val="320"/>
        </w:trPr>
        <w:tc>
          <w:tcPr>
            <w:tcW w:w="704" w:type="dxa"/>
            <w:shd w:val="clear" w:color="auto" w:fill="auto"/>
            <w:vAlign w:val="center"/>
          </w:tcPr>
          <w:p w14:paraId="0491DF64" w14:textId="77777777" w:rsidR="00FA366A" w:rsidRPr="002C21B8" w:rsidRDefault="00FA366A" w:rsidP="00212D46">
            <w:pPr>
              <w:spacing w:after="0" w:line="240" w:lineRule="auto"/>
              <w:rPr>
                <w:sz w:val="20"/>
                <w:szCs w:val="20"/>
              </w:rPr>
            </w:pPr>
            <w:r w:rsidRPr="002C21B8">
              <w:rPr>
                <w:sz w:val="20"/>
                <w:szCs w:val="20"/>
              </w:rPr>
              <w:t>171</w:t>
            </w:r>
          </w:p>
        </w:tc>
        <w:tc>
          <w:tcPr>
            <w:tcW w:w="8505" w:type="dxa"/>
            <w:shd w:val="clear" w:color="auto" w:fill="auto"/>
          </w:tcPr>
          <w:p w14:paraId="6B33B918" w14:textId="77777777" w:rsidR="00FA366A" w:rsidRPr="002C21B8" w:rsidRDefault="00FA366A" w:rsidP="00212D46">
            <w:pPr>
              <w:spacing w:after="0" w:line="240" w:lineRule="auto"/>
              <w:rPr>
                <w:sz w:val="20"/>
                <w:szCs w:val="20"/>
              </w:rPr>
            </w:pPr>
            <w:r w:rsidRPr="002C21B8">
              <w:rPr>
                <w:sz w:val="20"/>
                <w:szCs w:val="20"/>
              </w:rPr>
              <w:t>(rare dis* or rare diagnos* or orphan dis*):ti</w:t>
            </w:r>
          </w:p>
        </w:tc>
      </w:tr>
      <w:tr w:rsidR="00FA366A" w:rsidRPr="002C21B8" w14:paraId="3000D5E0" w14:textId="77777777" w:rsidTr="00960A9F">
        <w:trPr>
          <w:trHeight w:val="320"/>
        </w:trPr>
        <w:tc>
          <w:tcPr>
            <w:tcW w:w="704" w:type="dxa"/>
            <w:shd w:val="clear" w:color="auto" w:fill="auto"/>
            <w:vAlign w:val="center"/>
          </w:tcPr>
          <w:p w14:paraId="493AC56E" w14:textId="77777777" w:rsidR="00FA366A" w:rsidRPr="002C21B8" w:rsidRDefault="00FA366A" w:rsidP="00212D46">
            <w:pPr>
              <w:spacing w:after="0" w:line="240" w:lineRule="auto"/>
              <w:rPr>
                <w:sz w:val="20"/>
                <w:szCs w:val="20"/>
              </w:rPr>
            </w:pPr>
            <w:r w:rsidRPr="002C21B8">
              <w:rPr>
                <w:sz w:val="20"/>
                <w:szCs w:val="20"/>
              </w:rPr>
              <w:t>172</w:t>
            </w:r>
          </w:p>
        </w:tc>
        <w:tc>
          <w:tcPr>
            <w:tcW w:w="8505" w:type="dxa"/>
            <w:shd w:val="clear" w:color="auto" w:fill="auto"/>
          </w:tcPr>
          <w:p w14:paraId="6EB4FAA7" w14:textId="77777777" w:rsidR="00FA366A" w:rsidRPr="002C21B8" w:rsidRDefault="00FA366A" w:rsidP="00212D46">
            <w:pPr>
              <w:spacing w:after="0" w:line="240" w:lineRule="auto"/>
              <w:rPr>
                <w:sz w:val="20"/>
                <w:szCs w:val="20"/>
              </w:rPr>
            </w:pPr>
            <w:r w:rsidRPr="002C21B8">
              <w:rPr>
                <w:sz w:val="20"/>
                <w:szCs w:val="20"/>
              </w:rPr>
              <w:t>MeSH descriptor: [Sarcoidosis] explode all trees</w:t>
            </w:r>
          </w:p>
        </w:tc>
      </w:tr>
      <w:tr w:rsidR="00FA366A" w:rsidRPr="002C21B8" w14:paraId="0DC691BD" w14:textId="77777777" w:rsidTr="00960A9F">
        <w:trPr>
          <w:trHeight w:val="320"/>
        </w:trPr>
        <w:tc>
          <w:tcPr>
            <w:tcW w:w="704" w:type="dxa"/>
            <w:shd w:val="clear" w:color="auto" w:fill="auto"/>
            <w:vAlign w:val="center"/>
          </w:tcPr>
          <w:p w14:paraId="2B19B9EF" w14:textId="77777777" w:rsidR="00FA366A" w:rsidRPr="002C21B8" w:rsidRDefault="00FA366A" w:rsidP="00212D46">
            <w:pPr>
              <w:spacing w:after="0" w:line="240" w:lineRule="auto"/>
              <w:rPr>
                <w:sz w:val="20"/>
                <w:szCs w:val="20"/>
              </w:rPr>
            </w:pPr>
            <w:r w:rsidRPr="002C21B8">
              <w:rPr>
                <w:sz w:val="20"/>
                <w:szCs w:val="20"/>
              </w:rPr>
              <w:t>173</w:t>
            </w:r>
          </w:p>
        </w:tc>
        <w:tc>
          <w:tcPr>
            <w:tcW w:w="8505" w:type="dxa"/>
            <w:shd w:val="clear" w:color="auto" w:fill="auto"/>
          </w:tcPr>
          <w:p w14:paraId="14FECB36" w14:textId="77777777" w:rsidR="00FA366A" w:rsidRPr="002C21B8" w:rsidRDefault="00FA366A" w:rsidP="00212D46">
            <w:pPr>
              <w:spacing w:after="0" w:line="240" w:lineRule="auto"/>
              <w:rPr>
                <w:sz w:val="20"/>
                <w:szCs w:val="20"/>
              </w:rPr>
            </w:pPr>
            <w:r w:rsidRPr="002C21B8">
              <w:rPr>
                <w:sz w:val="20"/>
                <w:szCs w:val="20"/>
              </w:rPr>
              <w:t>(sarcoid or sarcoidosis):ti</w:t>
            </w:r>
          </w:p>
        </w:tc>
      </w:tr>
      <w:tr w:rsidR="00FA366A" w:rsidRPr="002C21B8" w14:paraId="7920A2BF" w14:textId="77777777" w:rsidTr="00960A9F">
        <w:trPr>
          <w:trHeight w:val="320"/>
        </w:trPr>
        <w:tc>
          <w:tcPr>
            <w:tcW w:w="704" w:type="dxa"/>
            <w:shd w:val="clear" w:color="auto" w:fill="auto"/>
            <w:vAlign w:val="center"/>
          </w:tcPr>
          <w:p w14:paraId="15D1BF34" w14:textId="77777777" w:rsidR="00FA366A" w:rsidRPr="002C21B8" w:rsidRDefault="00FA366A" w:rsidP="00212D46">
            <w:pPr>
              <w:spacing w:after="0" w:line="240" w:lineRule="auto"/>
              <w:rPr>
                <w:sz w:val="20"/>
                <w:szCs w:val="20"/>
              </w:rPr>
            </w:pPr>
            <w:r w:rsidRPr="002C21B8">
              <w:rPr>
                <w:sz w:val="20"/>
                <w:szCs w:val="20"/>
              </w:rPr>
              <w:t>174</w:t>
            </w:r>
          </w:p>
        </w:tc>
        <w:tc>
          <w:tcPr>
            <w:tcW w:w="8505" w:type="dxa"/>
            <w:shd w:val="clear" w:color="auto" w:fill="auto"/>
          </w:tcPr>
          <w:p w14:paraId="2AA0E291" w14:textId="77777777" w:rsidR="00FA366A" w:rsidRPr="002C21B8" w:rsidRDefault="00FA366A" w:rsidP="00212D46">
            <w:pPr>
              <w:spacing w:after="0" w:line="240" w:lineRule="auto"/>
              <w:rPr>
                <w:sz w:val="20"/>
                <w:szCs w:val="20"/>
              </w:rPr>
            </w:pPr>
            <w:r w:rsidRPr="002C21B8">
              <w:rPr>
                <w:sz w:val="20"/>
                <w:szCs w:val="20"/>
              </w:rPr>
              <w:t>MeSH descriptor: [Deafness] explode all trees</w:t>
            </w:r>
          </w:p>
        </w:tc>
      </w:tr>
      <w:tr w:rsidR="00FA366A" w:rsidRPr="002C21B8" w14:paraId="3D29744A" w14:textId="77777777" w:rsidTr="00960A9F">
        <w:trPr>
          <w:trHeight w:val="320"/>
        </w:trPr>
        <w:tc>
          <w:tcPr>
            <w:tcW w:w="704" w:type="dxa"/>
            <w:shd w:val="clear" w:color="auto" w:fill="auto"/>
            <w:vAlign w:val="center"/>
          </w:tcPr>
          <w:p w14:paraId="741083ED" w14:textId="77777777" w:rsidR="00FA366A" w:rsidRPr="002C21B8" w:rsidRDefault="00FA366A" w:rsidP="00212D46">
            <w:pPr>
              <w:spacing w:after="0" w:line="240" w:lineRule="auto"/>
              <w:rPr>
                <w:sz w:val="20"/>
                <w:szCs w:val="20"/>
              </w:rPr>
            </w:pPr>
            <w:r w:rsidRPr="002C21B8">
              <w:rPr>
                <w:sz w:val="20"/>
                <w:szCs w:val="20"/>
              </w:rPr>
              <w:t>175</w:t>
            </w:r>
          </w:p>
        </w:tc>
        <w:tc>
          <w:tcPr>
            <w:tcW w:w="8505" w:type="dxa"/>
            <w:shd w:val="clear" w:color="auto" w:fill="auto"/>
          </w:tcPr>
          <w:p w14:paraId="38A215C2" w14:textId="77777777" w:rsidR="00FA366A" w:rsidRPr="002C21B8" w:rsidRDefault="00FA366A" w:rsidP="00212D46">
            <w:pPr>
              <w:spacing w:after="0" w:line="240" w:lineRule="auto"/>
              <w:rPr>
                <w:sz w:val="20"/>
                <w:szCs w:val="20"/>
              </w:rPr>
            </w:pPr>
            <w:r w:rsidRPr="002C21B8">
              <w:rPr>
                <w:sz w:val="20"/>
                <w:szCs w:val="20"/>
              </w:rPr>
              <w:t>MeSH descriptor: [Blindness] explode all trees</w:t>
            </w:r>
          </w:p>
        </w:tc>
      </w:tr>
      <w:tr w:rsidR="00FA366A" w:rsidRPr="002C21B8" w14:paraId="7696A288" w14:textId="77777777" w:rsidTr="00960A9F">
        <w:trPr>
          <w:trHeight w:val="320"/>
        </w:trPr>
        <w:tc>
          <w:tcPr>
            <w:tcW w:w="704" w:type="dxa"/>
            <w:shd w:val="clear" w:color="auto" w:fill="auto"/>
            <w:vAlign w:val="center"/>
          </w:tcPr>
          <w:p w14:paraId="7A5F194A" w14:textId="77777777" w:rsidR="00FA366A" w:rsidRPr="002C21B8" w:rsidRDefault="00FA366A" w:rsidP="00212D46">
            <w:pPr>
              <w:spacing w:after="0" w:line="240" w:lineRule="auto"/>
              <w:rPr>
                <w:sz w:val="20"/>
                <w:szCs w:val="20"/>
              </w:rPr>
            </w:pPr>
            <w:r w:rsidRPr="002C21B8">
              <w:rPr>
                <w:sz w:val="20"/>
                <w:szCs w:val="20"/>
              </w:rPr>
              <w:t>176</w:t>
            </w:r>
          </w:p>
        </w:tc>
        <w:tc>
          <w:tcPr>
            <w:tcW w:w="8505" w:type="dxa"/>
            <w:shd w:val="clear" w:color="auto" w:fill="auto"/>
          </w:tcPr>
          <w:p w14:paraId="2D5A26FE" w14:textId="77777777" w:rsidR="00FA366A" w:rsidRPr="002C21B8" w:rsidRDefault="00FA366A" w:rsidP="00212D46">
            <w:pPr>
              <w:spacing w:after="0" w:line="240" w:lineRule="auto"/>
              <w:rPr>
                <w:sz w:val="20"/>
                <w:szCs w:val="20"/>
              </w:rPr>
            </w:pPr>
            <w:r w:rsidRPr="002C21B8">
              <w:rPr>
                <w:sz w:val="20"/>
                <w:szCs w:val="20"/>
              </w:rPr>
              <w:t>MeSH descriptor: [Visually Impaired Persons] explode all trees</w:t>
            </w:r>
          </w:p>
        </w:tc>
      </w:tr>
      <w:tr w:rsidR="00FA366A" w:rsidRPr="002C21B8" w14:paraId="4D0241C5" w14:textId="77777777" w:rsidTr="00960A9F">
        <w:trPr>
          <w:trHeight w:val="320"/>
        </w:trPr>
        <w:tc>
          <w:tcPr>
            <w:tcW w:w="704" w:type="dxa"/>
            <w:shd w:val="clear" w:color="auto" w:fill="auto"/>
            <w:vAlign w:val="center"/>
          </w:tcPr>
          <w:p w14:paraId="0BE62775" w14:textId="77777777" w:rsidR="00FA366A" w:rsidRPr="002C21B8" w:rsidRDefault="00FA366A" w:rsidP="00212D46">
            <w:pPr>
              <w:spacing w:after="0" w:line="240" w:lineRule="auto"/>
              <w:rPr>
                <w:sz w:val="20"/>
                <w:szCs w:val="20"/>
              </w:rPr>
            </w:pPr>
            <w:r w:rsidRPr="002C21B8">
              <w:rPr>
                <w:sz w:val="20"/>
                <w:szCs w:val="20"/>
              </w:rPr>
              <w:t>177</w:t>
            </w:r>
          </w:p>
        </w:tc>
        <w:tc>
          <w:tcPr>
            <w:tcW w:w="8505" w:type="dxa"/>
            <w:shd w:val="clear" w:color="auto" w:fill="auto"/>
          </w:tcPr>
          <w:p w14:paraId="17846423" w14:textId="77777777" w:rsidR="00FA366A" w:rsidRPr="002C21B8" w:rsidRDefault="00FA366A" w:rsidP="00212D46">
            <w:pPr>
              <w:spacing w:after="0" w:line="240" w:lineRule="auto"/>
              <w:rPr>
                <w:sz w:val="20"/>
                <w:szCs w:val="20"/>
              </w:rPr>
            </w:pPr>
            <w:r w:rsidRPr="002C21B8">
              <w:rPr>
                <w:sz w:val="20"/>
                <w:szCs w:val="20"/>
              </w:rPr>
              <w:t>(hearing loss or hearing aid* or deaf* or hearing impairment or hearing disorder):ti</w:t>
            </w:r>
          </w:p>
        </w:tc>
      </w:tr>
      <w:tr w:rsidR="00FA366A" w:rsidRPr="002C21B8" w14:paraId="01DB6699" w14:textId="77777777" w:rsidTr="00960A9F">
        <w:trPr>
          <w:trHeight w:val="320"/>
        </w:trPr>
        <w:tc>
          <w:tcPr>
            <w:tcW w:w="704" w:type="dxa"/>
            <w:shd w:val="clear" w:color="auto" w:fill="auto"/>
            <w:vAlign w:val="center"/>
          </w:tcPr>
          <w:p w14:paraId="6AA1FF1A" w14:textId="77777777" w:rsidR="00FA366A" w:rsidRPr="002C21B8" w:rsidRDefault="00FA366A" w:rsidP="00212D46">
            <w:pPr>
              <w:spacing w:after="0" w:line="240" w:lineRule="auto"/>
              <w:rPr>
                <w:sz w:val="20"/>
                <w:szCs w:val="20"/>
              </w:rPr>
            </w:pPr>
            <w:r w:rsidRPr="002C21B8">
              <w:rPr>
                <w:sz w:val="20"/>
                <w:szCs w:val="20"/>
              </w:rPr>
              <w:t>178</w:t>
            </w:r>
          </w:p>
        </w:tc>
        <w:tc>
          <w:tcPr>
            <w:tcW w:w="8505" w:type="dxa"/>
            <w:shd w:val="clear" w:color="auto" w:fill="auto"/>
          </w:tcPr>
          <w:p w14:paraId="63C46ECC" w14:textId="77777777" w:rsidR="00FA366A" w:rsidRPr="002C21B8" w:rsidRDefault="00FA366A" w:rsidP="00212D46">
            <w:pPr>
              <w:spacing w:after="0" w:line="240" w:lineRule="auto"/>
              <w:rPr>
                <w:sz w:val="20"/>
                <w:szCs w:val="20"/>
              </w:rPr>
            </w:pPr>
            <w:r w:rsidRPr="002C21B8">
              <w:rPr>
                <w:sz w:val="20"/>
                <w:szCs w:val="20"/>
              </w:rPr>
              <w:t>(visual impairment or visually impaired or visual disorder or vision impairment):ti</w:t>
            </w:r>
          </w:p>
        </w:tc>
      </w:tr>
      <w:tr w:rsidR="00FA366A" w:rsidRPr="002C21B8" w14:paraId="2FC080EC" w14:textId="77777777" w:rsidTr="00960A9F">
        <w:trPr>
          <w:trHeight w:val="320"/>
        </w:trPr>
        <w:tc>
          <w:tcPr>
            <w:tcW w:w="704" w:type="dxa"/>
            <w:shd w:val="clear" w:color="auto" w:fill="auto"/>
            <w:vAlign w:val="center"/>
          </w:tcPr>
          <w:p w14:paraId="58FBB0EE" w14:textId="77777777" w:rsidR="00FA366A" w:rsidRPr="002C21B8" w:rsidRDefault="00FA366A" w:rsidP="00212D46">
            <w:pPr>
              <w:spacing w:after="0" w:line="240" w:lineRule="auto"/>
              <w:rPr>
                <w:sz w:val="20"/>
                <w:szCs w:val="20"/>
              </w:rPr>
            </w:pPr>
            <w:r w:rsidRPr="002C21B8">
              <w:rPr>
                <w:sz w:val="20"/>
                <w:szCs w:val="20"/>
              </w:rPr>
              <w:t>179</w:t>
            </w:r>
          </w:p>
        </w:tc>
        <w:tc>
          <w:tcPr>
            <w:tcW w:w="8505" w:type="dxa"/>
            <w:shd w:val="clear" w:color="auto" w:fill="auto"/>
          </w:tcPr>
          <w:p w14:paraId="4ABF80E4" w14:textId="77777777" w:rsidR="00FA366A" w:rsidRPr="002C21B8" w:rsidRDefault="00FA366A" w:rsidP="00212D46">
            <w:pPr>
              <w:spacing w:after="0" w:line="240" w:lineRule="auto"/>
              <w:rPr>
                <w:sz w:val="20"/>
                <w:szCs w:val="20"/>
              </w:rPr>
            </w:pPr>
            <w:r w:rsidRPr="002C21B8">
              <w:rPr>
                <w:sz w:val="20"/>
                <w:szCs w:val="20"/>
              </w:rPr>
              <w:t>MeSH descriptor: [Anemia, Sickle Cell] explode all trees</w:t>
            </w:r>
          </w:p>
        </w:tc>
      </w:tr>
      <w:tr w:rsidR="00FA366A" w:rsidRPr="002C21B8" w14:paraId="649EC0CD" w14:textId="77777777" w:rsidTr="00960A9F">
        <w:trPr>
          <w:trHeight w:val="320"/>
        </w:trPr>
        <w:tc>
          <w:tcPr>
            <w:tcW w:w="704" w:type="dxa"/>
            <w:shd w:val="clear" w:color="auto" w:fill="auto"/>
            <w:vAlign w:val="center"/>
          </w:tcPr>
          <w:p w14:paraId="071EAC43" w14:textId="77777777" w:rsidR="00FA366A" w:rsidRPr="002C21B8" w:rsidRDefault="00FA366A" w:rsidP="00212D46">
            <w:pPr>
              <w:spacing w:after="0" w:line="240" w:lineRule="auto"/>
              <w:rPr>
                <w:sz w:val="20"/>
                <w:szCs w:val="20"/>
              </w:rPr>
            </w:pPr>
            <w:r w:rsidRPr="002C21B8">
              <w:rPr>
                <w:sz w:val="20"/>
                <w:szCs w:val="20"/>
              </w:rPr>
              <w:t>180</w:t>
            </w:r>
          </w:p>
        </w:tc>
        <w:tc>
          <w:tcPr>
            <w:tcW w:w="8505" w:type="dxa"/>
            <w:shd w:val="clear" w:color="auto" w:fill="auto"/>
          </w:tcPr>
          <w:p w14:paraId="3EC3479A" w14:textId="77777777" w:rsidR="00FA366A" w:rsidRPr="002C21B8" w:rsidRDefault="00FA366A" w:rsidP="00212D46">
            <w:pPr>
              <w:spacing w:after="0" w:line="240" w:lineRule="auto"/>
              <w:rPr>
                <w:sz w:val="20"/>
                <w:szCs w:val="20"/>
              </w:rPr>
            </w:pPr>
            <w:r w:rsidRPr="002C21B8">
              <w:rPr>
                <w:sz w:val="20"/>
                <w:szCs w:val="20"/>
              </w:rPr>
              <w:t>(((h?emoglobin s disease or hbs disease or sickling disorder) and h?emoglobin s) or ((sickle cell NEXT (disease* or an?emia or disorder*)) or SCD)):ti</w:t>
            </w:r>
          </w:p>
        </w:tc>
      </w:tr>
      <w:tr w:rsidR="00FA366A" w:rsidRPr="002C21B8" w14:paraId="68346538" w14:textId="77777777" w:rsidTr="00960A9F">
        <w:trPr>
          <w:trHeight w:val="320"/>
        </w:trPr>
        <w:tc>
          <w:tcPr>
            <w:tcW w:w="704" w:type="dxa"/>
            <w:shd w:val="clear" w:color="auto" w:fill="auto"/>
            <w:vAlign w:val="center"/>
          </w:tcPr>
          <w:p w14:paraId="39575ADB" w14:textId="77777777" w:rsidR="00FA366A" w:rsidRPr="002C21B8" w:rsidRDefault="00FA366A" w:rsidP="00212D46">
            <w:pPr>
              <w:spacing w:after="0" w:line="240" w:lineRule="auto"/>
              <w:rPr>
                <w:sz w:val="20"/>
                <w:szCs w:val="20"/>
              </w:rPr>
            </w:pPr>
            <w:r w:rsidRPr="002C21B8">
              <w:rPr>
                <w:sz w:val="20"/>
                <w:szCs w:val="20"/>
              </w:rPr>
              <w:t>181</w:t>
            </w:r>
          </w:p>
        </w:tc>
        <w:tc>
          <w:tcPr>
            <w:tcW w:w="8505" w:type="dxa"/>
            <w:shd w:val="clear" w:color="auto" w:fill="auto"/>
          </w:tcPr>
          <w:p w14:paraId="674549FD" w14:textId="77777777" w:rsidR="00FA366A" w:rsidRPr="002C21B8" w:rsidRDefault="00FA366A" w:rsidP="00212D46">
            <w:pPr>
              <w:spacing w:after="0" w:line="240" w:lineRule="auto"/>
              <w:rPr>
                <w:sz w:val="20"/>
                <w:szCs w:val="20"/>
              </w:rPr>
            </w:pPr>
            <w:r w:rsidRPr="002C21B8">
              <w:rPr>
                <w:sz w:val="20"/>
                <w:szCs w:val="20"/>
              </w:rPr>
              <w:t>MeSH descriptor: [Skin Diseases] explode all trees</w:t>
            </w:r>
          </w:p>
        </w:tc>
      </w:tr>
      <w:tr w:rsidR="00FA366A" w:rsidRPr="002C21B8" w14:paraId="138FB468" w14:textId="77777777" w:rsidTr="00960A9F">
        <w:trPr>
          <w:trHeight w:val="320"/>
        </w:trPr>
        <w:tc>
          <w:tcPr>
            <w:tcW w:w="704" w:type="dxa"/>
            <w:shd w:val="clear" w:color="auto" w:fill="auto"/>
            <w:vAlign w:val="center"/>
          </w:tcPr>
          <w:p w14:paraId="3D1C0E47" w14:textId="77777777" w:rsidR="00FA366A" w:rsidRPr="002C21B8" w:rsidRDefault="00FA366A" w:rsidP="00212D46">
            <w:pPr>
              <w:spacing w:after="0" w:line="240" w:lineRule="auto"/>
              <w:rPr>
                <w:sz w:val="20"/>
                <w:szCs w:val="20"/>
              </w:rPr>
            </w:pPr>
            <w:r w:rsidRPr="002C21B8">
              <w:rPr>
                <w:sz w:val="20"/>
                <w:szCs w:val="20"/>
              </w:rPr>
              <w:t>182</w:t>
            </w:r>
          </w:p>
        </w:tc>
        <w:tc>
          <w:tcPr>
            <w:tcW w:w="8505" w:type="dxa"/>
            <w:shd w:val="clear" w:color="auto" w:fill="auto"/>
          </w:tcPr>
          <w:p w14:paraId="785C9A13" w14:textId="77777777" w:rsidR="00FA366A" w:rsidRPr="002C21B8" w:rsidRDefault="00FA366A" w:rsidP="00212D46">
            <w:pPr>
              <w:spacing w:after="0" w:line="240" w:lineRule="auto"/>
              <w:rPr>
                <w:sz w:val="20"/>
                <w:szCs w:val="20"/>
              </w:rPr>
            </w:pPr>
            <w:r w:rsidRPr="002C21B8">
              <w:rPr>
                <w:sz w:val="20"/>
                <w:szCs w:val="20"/>
              </w:rPr>
              <w:t>MeSH descriptor: [Dyssomnias] explode all trees</w:t>
            </w:r>
          </w:p>
        </w:tc>
      </w:tr>
      <w:tr w:rsidR="00FA366A" w:rsidRPr="002C21B8" w14:paraId="52975DB0" w14:textId="77777777" w:rsidTr="00960A9F">
        <w:trPr>
          <w:trHeight w:val="320"/>
        </w:trPr>
        <w:tc>
          <w:tcPr>
            <w:tcW w:w="704" w:type="dxa"/>
            <w:shd w:val="clear" w:color="auto" w:fill="auto"/>
            <w:vAlign w:val="center"/>
          </w:tcPr>
          <w:p w14:paraId="0B08A3AB" w14:textId="77777777" w:rsidR="00FA366A" w:rsidRPr="002C21B8" w:rsidRDefault="00FA366A" w:rsidP="00212D46">
            <w:pPr>
              <w:spacing w:after="0" w:line="240" w:lineRule="auto"/>
              <w:rPr>
                <w:sz w:val="20"/>
                <w:szCs w:val="20"/>
              </w:rPr>
            </w:pPr>
            <w:r w:rsidRPr="002C21B8">
              <w:rPr>
                <w:sz w:val="20"/>
                <w:szCs w:val="20"/>
              </w:rPr>
              <w:t>183</w:t>
            </w:r>
          </w:p>
        </w:tc>
        <w:tc>
          <w:tcPr>
            <w:tcW w:w="8505" w:type="dxa"/>
            <w:shd w:val="clear" w:color="auto" w:fill="auto"/>
          </w:tcPr>
          <w:p w14:paraId="657B9F33" w14:textId="77777777" w:rsidR="00FA366A" w:rsidRPr="002C21B8" w:rsidRDefault="00FA366A" w:rsidP="00212D46">
            <w:pPr>
              <w:spacing w:after="0" w:line="240" w:lineRule="auto"/>
              <w:rPr>
                <w:sz w:val="20"/>
                <w:szCs w:val="20"/>
              </w:rPr>
            </w:pPr>
            <w:r w:rsidRPr="002C21B8">
              <w:rPr>
                <w:sz w:val="20"/>
                <w:szCs w:val="20"/>
              </w:rPr>
              <w:t>(dyssomnia or sleep disorder*):ti</w:t>
            </w:r>
          </w:p>
        </w:tc>
      </w:tr>
      <w:tr w:rsidR="00FA366A" w:rsidRPr="002C21B8" w14:paraId="455B5F15" w14:textId="77777777" w:rsidTr="00960A9F">
        <w:trPr>
          <w:trHeight w:val="320"/>
        </w:trPr>
        <w:tc>
          <w:tcPr>
            <w:tcW w:w="704" w:type="dxa"/>
            <w:shd w:val="clear" w:color="auto" w:fill="auto"/>
            <w:vAlign w:val="center"/>
          </w:tcPr>
          <w:p w14:paraId="13F213F0" w14:textId="77777777" w:rsidR="00FA366A" w:rsidRPr="002C21B8" w:rsidRDefault="00FA366A" w:rsidP="00212D46">
            <w:pPr>
              <w:spacing w:after="0" w:line="240" w:lineRule="auto"/>
              <w:rPr>
                <w:sz w:val="20"/>
                <w:szCs w:val="20"/>
              </w:rPr>
            </w:pPr>
            <w:r w:rsidRPr="002C21B8">
              <w:rPr>
                <w:sz w:val="20"/>
                <w:szCs w:val="20"/>
              </w:rPr>
              <w:t>184</w:t>
            </w:r>
          </w:p>
        </w:tc>
        <w:tc>
          <w:tcPr>
            <w:tcW w:w="8505" w:type="dxa"/>
            <w:shd w:val="clear" w:color="auto" w:fill="auto"/>
          </w:tcPr>
          <w:p w14:paraId="48F3A059" w14:textId="77777777" w:rsidR="00FA366A" w:rsidRPr="002C21B8" w:rsidRDefault="00FA366A" w:rsidP="00212D46">
            <w:pPr>
              <w:spacing w:after="0" w:line="240" w:lineRule="auto"/>
              <w:rPr>
                <w:sz w:val="20"/>
                <w:szCs w:val="20"/>
              </w:rPr>
            </w:pPr>
            <w:r w:rsidRPr="002C21B8">
              <w:rPr>
                <w:sz w:val="20"/>
                <w:szCs w:val="20"/>
              </w:rPr>
              <w:t>MeSH descriptor: [Speech Disorders] explode all trees</w:t>
            </w:r>
          </w:p>
        </w:tc>
      </w:tr>
      <w:tr w:rsidR="00FA366A" w:rsidRPr="002C21B8" w14:paraId="3C2E84D0" w14:textId="77777777" w:rsidTr="00960A9F">
        <w:trPr>
          <w:trHeight w:val="320"/>
        </w:trPr>
        <w:tc>
          <w:tcPr>
            <w:tcW w:w="704" w:type="dxa"/>
            <w:shd w:val="clear" w:color="auto" w:fill="auto"/>
            <w:vAlign w:val="center"/>
          </w:tcPr>
          <w:p w14:paraId="5D5B7FEB" w14:textId="77777777" w:rsidR="00FA366A" w:rsidRPr="002C21B8" w:rsidRDefault="00FA366A" w:rsidP="00212D46">
            <w:pPr>
              <w:spacing w:after="0" w:line="240" w:lineRule="auto"/>
              <w:rPr>
                <w:sz w:val="20"/>
                <w:szCs w:val="20"/>
              </w:rPr>
            </w:pPr>
            <w:r w:rsidRPr="002C21B8">
              <w:rPr>
                <w:sz w:val="20"/>
                <w:szCs w:val="20"/>
              </w:rPr>
              <w:t>185</w:t>
            </w:r>
          </w:p>
        </w:tc>
        <w:tc>
          <w:tcPr>
            <w:tcW w:w="8505" w:type="dxa"/>
            <w:shd w:val="clear" w:color="auto" w:fill="auto"/>
          </w:tcPr>
          <w:p w14:paraId="1A474BAA" w14:textId="77777777" w:rsidR="00FA366A" w:rsidRPr="002C21B8" w:rsidRDefault="00FA366A" w:rsidP="00212D46">
            <w:pPr>
              <w:spacing w:after="0" w:line="240" w:lineRule="auto"/>
              <w:rPr>
                <w:sz w:val="20"/>
                <w:szCs w:val="20"/>
              </w:rPr>
            </w:pPr>
            <w:r w:rsidRPr="002C21B8">
              <w:rPr>
                <w:sz w:val="20"/>
                <w:szCs w:val="20"/>
              </w:rPr>
              <w:t>((communication or learning or consciousness or perceptual or speech or voice or psychomotor) NEXT disorder*):ti</w:t>
            </w:r>
          </w:p>
        </w:tc>
      </w:tr>
      <w:tr w:rsidR="00FA366A" w:rsidRPr="002C21B8" w14:paraId="06DEFB49" w14:textId="77777777" w:rsidTr="00960A9F">
        <w:trPr>
          <w:trHeight w:val="320"/>
        </w:trPr>
        <w:tc>
          <w:tcPr>
            <w:tcW w:w="704" w:type="dxa"/>
            <w:shd w:val="clear" w:color="auto" w:fill="auto"/>
            <w:vAlign w:val="center"/>
          </w:tcPr>
          <w:p w14:paraId="5FA9E10C" w14:textId="77777777" w:rsidR="00FA366A" w:rsidRPr="002C21B8" w:rsidRDefault="00FA366A" w:rsidP="00212D46">
            <w:pPr>
              <w:spacing w:after="0" w:line="240" w:lineRule="auto"/>
              <w:rPr>
                <w:sz w:val="20"/>
                <w:szCs w:val="20"/>
              </w:rPr>
            </w:pPr>
            <w:r w:rsidRPr="002C21B8">
              <w:rPr>
                <w:sz w:val="20"/>
                <w:szCs w:val="20"/>
              </w:rPr>
              <w:t>186</w:t>
            </w:r>
          </w:p>
        </w:tc>
        <w:tc>
          <w:tcPr>
            <w:tcW w:w="8505" w:type="dxa"/>
            <w:shd w:val="clear" w:color="auto" w:fill="auto"/>
          </w:tcPr>
          <w:p w14:paraId="132B8020" w14:textId="77777777" w:rsidR="00FA366A" w:rsidRPr="002C21B8" w:rsidRDefault="00FA366A" w:rsidP="00212D46">
            <w:pPr>
              <w:spacing w:after="0" w:line="240" w:lineRule="auto"/>
              <w:rPr>
                <w:sz w:val="20"/>
                <w:szCs w:val="20"/>
              </w:rPr>
            </w:pPr>
            <w:r w:rsidRPr="002C21B8">
              <w:rPr>
                <w:sz w:val="20"/>
                <w:szCs w:val="20"/>
              </w:rPr>
              <w:t>MeSH descriptor: [Spina Bifida Occulta] explode all trees</w:t>
            </w:r>
          </w:p>
        </w:tc>
      </w:tr>
      <w:tr w:rsidR="00FA366A" w:rsidRPr="002C21B8" w14:paraId="020E8CC5" w14:textId="77777777" w:rsidTr="00960A9F">
        <w:trPr>
          <w:trHeight w:val="320"/>
        </w:trPr>
        <w:tc>
          <w:tcPr>
            <w:tcW w:w="704" w:type="dxa"/>
            <w:shd w:val="clear" w:color="auto" w:fill="auto"/>
            <w:vAlign w:val="center"/>
          </w:tcPr>
          <w:p w14:paraId="335AC0B7" w14:textId="77777777" w:rsidR="00FA366A" w:rsidRPr="002C21B8" w:rsidRDefault="00FA366A" w:rsidP="00212D46">
            <w:pPr>
              <w:spacing w:after="0" w:line="240" w:lineRule="auto"/>
              <w:rPr>
                <w:sz w:val="20"/>
                <w:szCs w:val="20"/>
              </w:rPr>
            </w:pPr>
            <w:r w:rsidRPr="002C21B8">
              <w:rPr>
                <w:sz w:val="20"/>
                <w:szCs w:val="20"/>
              </w:rPr>
              <w:t>187</w:t>
            </w:r>
          </w:p>
        </w:tc>
        <w:tc>
          <w:tcPr>
            <w:tcW w:w="8505" w:type="dxa"/>
            <w:shd w:val="clear" w:color="auto" w:fill="auto"/>
          </w:tcPr>
          <w:p w14:paraId="3B9FF1DD" w14:textId="77777777" w:rsidR="00FA366A" w:rsidRPr="002C21B8" w:rsidRDefault="00FA366A" w:rsidP="00212D46">
            <w:pPr>
              <w:spacing w:after="0" w:line="240" w:lineRule="auto"/>
              <w:rPr>
                <w:sz w:val="20"/>
                <w:szCs w:val="20"/>
                <w:lang w:val="it-IT"/>
              </w:rPr>
            </w:pPr>
            <w:r w:rsidRPr="002C21B8">
              <w:rPr>
                <w:sz w:val="20"/>
                <w:szCs w:val="20"/>
                <w:lang w:val="it-IT"/>
              </w:rPr>
              <w:t>(spina bifida or myelomeningocele):ti</w:t>
            </w:r>
          </w:p>
        </w:tc>
      </w:tr>
      <w:tr w:rsidR="00FA366A" w:rsidRPr="002C21B8" w14:paraId="423EE0E8" w14:textId="77777777" w:rsidTr="00960A9F">
        <w:trPr>
          <w:trHeight w:val="320"/>
        </w:trPr>
        <w:tc>
          <w:tcPr>
            <w:tcW w:w="704" w:type="dxa"/>
            <w:shd w:val="clear" w:color="auto" w:fill="auto"/>
            <w:vAlign w:val="center"/>
          </w:tcPr>
          <w:p w14:paraId="033B211C" w14:textId="77777777" w:rsidR="00FA366A" w:rsidRPr="002C21B8" w:rsidRDefault="00FA366A" w:rsidP="00212D46">
            <w:pPr>
              <w:spacing w:after="0" w:line="240" w:lineRule="auto"/>
              <w:rPr>
                <w:sz w:val="20"/>
                <w:szCs w:val="20"/>
              </w:rPr>
            </w:pPr>
            <w:r w:rsidRPr="002C21B8">
              <w:rPr>
                <w:sz w:val="20"/>
                <w:szCs w:val="20"/>
              </w:rPr>
              <w:t>188</w:t>
            </w:r>
          </w:p>
        </w:tc>
        <w:tc>
          <w:tcPr>
            <w:tcW w:w="8505" w:type="dxa"/>
            <w:shd w:val="clear" w:color="auto" w:fill="auto"/>
          </w:tcPr>
          <w:p w14:paraId="0E71E3DA" w14:textId="77777777" w:rsidR="00FA366A" w:rsidRPr="002C21B8" w:rsidRDefault="00FA366A" w:rsidP="00212D46">
            <w:pPr>
              <w:spacing w:after="0" w:line="240" w:lineRule="auto"/>
              <w:rPr>
                <w:sz w:val="20"/>
                <w:szCs w:val="20"/>
              </w:rPr>
            </w:pPr>
            <w:r w:rsidRPr="002C21B8">
              <w:rPr>
                <w:sz w:val="20"/>
                <w:szCs w:val="20"/>
              </w:rPr>
              <w:t>MeSH descriptor: [Spinal Injuries] explode all trees</w:t>
            </w:r>
          </w:p>
        </w:tc>
      </w:tr>
      <w:tr w:rsidR="00FA366A" w:rsidRPr="002C21B8" w14:paraId="727FB003" w14:textId="77777777" w:rsidTr="00960A9F">
        <w:trPr>
          <w:trHeight w:val="320"/>
        </w:trPr>
        <w:tc>
          <w:tcPr>
            <w:tcW w:w="704" w:type="dxa"/>
            <w:shd w:val="clear" w:color="auto" w:fill="auto"/>
            <w:vAlign w:val="center"/>
          </w:tcPr>
          <w:p w14:paraId="0146F7C6" w14:textId="77777777" w:rsidR="00FA366A" w:rsidRPr="002C21B8" w:rsidRDefault="00FA366A" w:rsidP="00212D46">
            <w:pPr>
              <w:spacing w:after="0" w:line="240" w:lineRule="auto"/>
              <w:rPr>
                <w:sz w:val="20"/>
                <w:szCs w:val="20"/>
              </w:rPr>
            </w:pPr>
            <w:r w:rsidRPr="002C21B8">
              <w:rPr>
                <w:sz w:val="20"/>
                <w:szCs w:val="20"/>
              </w:rPr>
              <w:t>189</w:t>
            </w:r>
          </w:p>
        </w:tc>
        <w:tc>
          <w:tcPr>
            <w:tcW w:w="8505" w:type="dxa"/>
            <w:shd w:val="clear" w:color="auto" w:fill="auto"/>
          </w:tcPr>
          <w:p w14:paraId="1A9C1FE1" w14:textId="77777777" w:rsidR="00FA366A" w:rsidRPr="002C21B8" w:rsidRDefault="00FA366A" w:rsidP="00212D46">
            <w:pPr>
              <w:spacing w:after="0" w:line="240" w:lineRule="auto"/>
              <w:rPr>
                <w:sz w:val="20"/>
                <w:szCs w:val="20"/>
              </w:rPr>
            </w:pPr>
            <w:r w:rsidRPr="002C21B8">
              <w:rPr>
                <w:sz w:val="20"/>
                <w:szCs w:val="20"/>
              </w:rPr>
              <w:t>((spine or spinal or vertebr* or neck or cervical or lumbar or sacral or thoracic or cord or whiplash) NEXT (injur* or damag* or trauma* or fracture* or compress* or contus* or lacerat* or transect* or lesion*)):ti</w:t>
            </w:r>
          </w:p>
        </w:tc>
      </w:tr>
      <w:tr w:rsidR="00FA366A" w:rsidRPr="002C21B8" w14:paraId="6C7D0DB1" w14:textId="77777777" w:rsidTr="00960A9F">
        <w:trPr>
          <w:trHeight w:val="320"/>
        </w:trPr>
        <w:tc>
          <w:tcPr>
            <w:tcW w:w="704" w:type="dxa"/>
            <w:shd w:val="clear" w:color="auto" w:fill="auto"/>
            <w:vAlign w:val="center"/>
          </w:tcPr>
          <w:p w14:paraId="27904E0D" w14:textId="77777777" w:rsidR="00FA366A" w:rsidRPr="002C21B8" w:rsidRDefault="00FA366A" w:rsidP="00212D46">
            <w:pPr>
              <w:spacing w:after="0" w:line="240" w:lineRule="auto"/>
              <w:rPr>
                <w:sz w:val="20"/>
                <w:szCs w:val="20"/>
              </w:rPr>
            </w:pPr>
            <w:r w:rsidRPr="002C21B8">
              <w:rPr>
                <w:sz w:val="20"/>
                <w:szCs w:val="20"/>
              </w:rPr>
              <w:t>190</w:t>
            </w:r>
          </w:p>
        </w:tc>
        <w:tc>
          <w:tcPr>
            <w:tcW w:w="8505" w:type="dxa"/>
            <w:shd w:val="clear" w:color="auto" w:fill="auto"/>
          </w:tcPr>
          <w:p w14:paraId="660F1A9E" w14:textId="77777777" w:rsidR="00FA366A" w:rsidRPr="002C21B8" w:rsidRDefault="00FA366A" w:rsidP="00212D46">
            <w:pPr>
              <w:spacing w:after="0" w:line="240" w:lineRule="auto"/>
              <w:rPr>
                <w:sz w:val="20"/>
                <w:szCs w:val="20"/>
              </w:rPr>
            </w:pPr>
            <w:r w:rsidRPr="002C21B8">
              <w:rPr>
                <w:sz w:val="20"/>
                <w:szCs w:val="20"/>
              </w:rPr>
              <w:t>MeSH descriptor: [Tuberculosis] explode all trees</w:t>
            </w:r>
          </w:p>
        </w:tc>
      </w:tr>
      <w:tr w:rsidR="00FA366A" w:rsidRPr="002C21B8" w14:paraId="65012904" w14:textId="77777777" w:rsidTr="00960A9F">
        <w:trPr>
          <w:trHeight w:val="320"/>
        </w:trPr>
        <w:tc>
          <w:tcPr>
            <w:tcW w:w="704" w:type="dxa"/>
            <w:shd w:val="clear" w:color="auto" w:fill="auto"/>
            <w:vAlign w:val="center"/>
          </w:tcPr>
          <w:p w14:paraId="14832787" w14:textId="77777777" w:rsidR="00FA366A" w:rsidRPr="002C21B8" w:rsidRDefault="00FA366A" w:rsidP="00212D46">
            <w:pPr>
              <w:spacing w:after="0" w:line="240" w:lineRule="auto"/>
              <w:rPr>
                <w:sz w:val="20"/>
                <w:szCs w:val="20"/>
              </w:rPr>
            </w:pPr>
            <w:r w:rsidRPr="002C21B8">
              <w:rPr>
                <w:sz w:val="20"/>
                <w:szCs w:val="20"/>
              </w:rPr>
              <w:t>191</w:t>
            </w:r>
          </w:p>
        </w:tc>
        <w:tc>
          <w:tcPr>
            <w:tcW w:w="8505" w:type="dxa"/>
            <w:shd w:val="clear" w:color="auto" w:fill="auto"/>
          </w:tcPr>
          <w:p w14:paraId="06903300" w14:textId="77777777" w:rsidR="00FA366A" w:rsidRPr="002C21B8" w:rsidRDefault="00FA366A" w:rsidP="00212D46">
            <w:pPr>
              <w:spacing w:after="0" w:line="240" w:lineRule="auto"/>
              <w:rPr>
                <w:sz w:val="20"/>
                <w:szCs w:val="20"/>
              </w:rPr>
            </w:pPr>
            <w:r w:rsidRPr="002C21B8">
              <w:rPr>
                <w:sz w:val="20"/>
                <w:szCs w:val="20"/>
              </w:rPr>
              <w:t>(tuberculosis or TB):ti</w:t>
            </w:r>
          </w:p>
        </w:tc>
      </w:tr>
      <w:tr w:rsidR="00FA366A" w:rsidRPr="002C21B8" w14:paraId="2EFBB0BD" w14:textId="77777777" w:rsidTr="00960A9F">
        <w:trPr>
          <w:trHeight w:val="320"/>
        </w:trPr>
        <w:tc>
          <w:tcPr>
            <w:tcW w:w="704" w:type="dxa"/>
            <w:shd w:val="clear" w:color="auto" w:fill="auto"/>
            <w:vAlign w:val="center"/>
          </w:tcPr>
          <w:p w14:paraId="788F6A1F" w14:textId="77777777" w:rsidR="00FA366A" w:rsidRPr="002C21B8" w:rsidRDefault="00FA366A" w:rsidP="00212D46">
            <w:pPr>
              <w:spacing w:after="0" w:line="240" w:lineRule="auto"/>
              <w:rPr>
                <w:sz w:val="20"/>
                <w:szCs w:val="20"/>
              </w:rPr>
            </w:pPr>
            <w:r w:rsidRPr="002C21B8">
              <w:rPr>
                <w:sz w:val="20"/>
                <w:szCs w:val="20"/>
              </w:rPr>
              <w:t>192</w:t>
            </w:r>
          </w:p>
        </w:tc>
        <w:tc>
          <w:tcPr>
            <w:tcW w:w="8505" w:type="dxa"/>
            <w:shd w:val="clear" w:color="auto" w:fill="auto"/>
          </w:tcPr>
          <w:p w14:paraId="30E72824" w14:textId="77777777" w:rsidR="00FA366A" w:rsidRPr="002C21B8" w:rsidRDefault="00FA366A" w:rsidP="00212D46">
            <w:pPr>
              <w:spacing w:after="0" w:line="240" w:lineRule="auto"/>
              <w:rPr>
                <w:sz w:val="20"/>
                <w:szCs w:val="20"/>
              </w:rPr>
            </w:pPr>
            <w:r w:rsidRPr="002C21B8">
              <w:rPr>
                <w:sz w:val="20"/>
                <w:szCs w:val="20"/>
              </w:rPr>
              <w:t>MeSH descriptor: [Urinary Incontinence] explode all trees</w:t>
            </w:r>
          </w:p>
        </w:tc>
      </w:tr>
      <w:tr w:rsidR="00FA366A" w:rsidRPr="002C21B8" w14:paraId="1BF3FA2C" w14:textId="77777777" w:rsidTr="00960A9F">
        <w:trPr>
          <w:trHeight w:val="320"/>
        </w:trPr>
        <w:tc>
          <w:tcPr>
            <w:tcW w:w="704" w:type="dxa"/>
            <w:shd w:val="clear" w:color="auto" w:fill="auto"/>
            <w:vAlign w:val="center"/>
          </w:tcPr>
          <w:p w14:paraId="08B81D54" w14:textId="77777777" w:rsidR="00FA366A" w:rsidRPr="002C21B8" w:rsidRDefault="00FA366A" w:rsidP="00212D46">
            <w:pPr>
              <w:spacing w:after="0" w:line="240" w:lineRule="auto"/>
              <w:rPr>
                <w:sz w:val="20"/>
                <w:szCs w:val="20"/>
              </w:rPr>
            </w:pPr>
            <w:r w:rsidRPr="002C21B8">
              <w:rPr>
                <w:sz w:val="20"/>
                <w:szCs w:val="20"/>
              </w:rPr>
              <w:t>193</w:t>
            </w:r>
          </w:p>
        </w:tc>
        <w:tc>
          <w:tcPr>
            <w:tcW w:w="8505" w:type="dxa"/>
            <w:shd w:val="clear" w:color="auto" w:fill="auto"/>
          </w:tcPr>
          <w:p w14:paraId="1A49CAC0" w14:textId="77777777" w:rsidR="00FA366A" w:rsidRPr="002C21B8" w:rsidRDefault="00FA366A" w:rsidP="00212D46">
            <w:pPr>
              <w:spacing w:after="0" w:line="240" w:lineRule="auto"/>
              <w:rPr>
                <w:sz w:val="20"/>
                <w:szCs w:val="20"/>
              </w:rPr>
            </w:pPr>
            <w:r w:rsidRPr="002C21B8">
              <w:rPr>
                <w:sz w:val="20"/>
                <w:szCs w:val="20"/>
              </w:rPr>
              <w:t>MeSH descriptor: [Urinary Bladder, Overactive] explode all trees</w:t>
            </w:r>
          </w:p>
        </w:tc>
      </w:tr>
      <w:tr w:rsidR="00FA366A" w:rsidRPr="002C21B8" w14:paraId="2021377A" w14:textId="77777777" w:rsidTr="00960A9F">
        <w:trPr>
          <w:trHeight w:val="320"/>
        </w:trPr>
        <w:tc>
          <w:tcPr>
            <w:tcW w:w="704" w:type="dxa"/>
            <w:shd w:val="clear" w:color="auto" w:fill="auto"/>
            <w:vAlign w:val="center"/>
          </w:tcPr>
          <w:p w14:paraId="79D13C54" w14:textId="77777777" w:rsidR="00FA366A" w:rsidRPr="002C21B8" w:rsidRDefault="00FA366A" w:rsidP="00212D46">
            <w:pPr>
              <w:spacing w:after="0" w:line="240" w:lineRule="auto"/>
              <w:rPr>
                <w:sz w:val="20"/>
                <w:szCs w:val="20"/>
              </w:rPr>
            </w:pPr>
            <w:r w:rsidRPr="002C21B8">
              <w:rPr>
                <w:sz w:val="20"/>
                <w:szCs w:val="20"/>
              </w:rPr>
              <w:t>194</w:t>
            </w:r>
          </w:p>
        </w:tc>
        <w:tc>
          <w:tcPr>
            <w:tcW w:w="8505" w:type="dxa"/>
            <w:shd w:val="clear" w:color="auto" w:fill="auto"/>
          </w:tcPr>
          <w:p w14:paraId="6B045441" w14:textId="77777777" w:rsidR="00FA366A" w:rsidRPr="002C21B8" w:rsidRDefault="00FA366A" w:rsidP="00212D46">
            <w:pPr>
              <w:spacing w:after="0" w:line="240" w:lineRule="auto"/>
              <w:rPr>
                <w:sz w:val="20"/>
                <w:szCs w:val="20"/>
              </w:rPr>
            </w:pPr>
            <w:r w:rsidRPr="002C21B8">
              <w:rPr>
                <w:sz w:val="20"/>
                <w:szCs w:val="20"/>
              </w:rPr>
              <w:t>(bladder* NEXT (overactiv* or incontin* or continence)):ti</w:t>
            </w:r>
          </w:p>
        </w:tc>
      </w:tr>
      <w:tr w:rsidR="00FA366A" w:rsidRPr="002C21B8" w14:paraId="24A4FA98" w14:textId="77777777" w:rsidTr="00960A9F">
        <w:trPr>
          <w:trHeight w:val="320"/>
        </w:trPr>
        <w:tc>
          <w:tcPr>
            <w:tcW w:w="704" w:type="dxa"/>
            <w:shd w:val="clear" w:color="auto" w:fill="auto"/>
            <w:vAlign w:val="center"/>
          </w:tcPr>
          <w:p w14:paraId="355A1285" w14:textId="77777777" w:rsidR="00FA366A" w:rsidRPr="002C21B8" w:rsidRDefault="00FA366A" w:rsidP="00212D46">
            <w:pPr>
              <w:spacing w:after="0" w:line="240" w:lineRule="auto"/>
              <w:rPr>
                <w:sz w:val="20"/>
                <w:szCs w:val="20"/>
              </w:rPr>
            </w:pPr>
            <w:r w:rsidRPr="002C21B8">
              <w:rPr>
                <w:sz w:val="20"/>
                <w:szCs w:val="20"/>
              </w:rPr>
              <w:t>195</w:t>
            </w:r>
          </w:p>
        </w:tc>
        <w:tc>
          <w:tcPr>
            <w:tcW w:w="8505" w:type="dxa"/>
            <w:shd w:val="clear" w:color="auto" w:fill="auto"/>
          </w:tcPr>
          <w:p w14:paraId="5B8551EE" w14:textId="77777777" w:rsidR="00FA366A" w:rsidRPr="002C21B8" w:rsidRDefault="00FA366A" w:rsidP="00212D46">
            <w:pPr>
              <w:spacing w:after="0" w:line="240" w:lineRule="auto"/>
              <w:rPr>
                <w:sz w:val="20"/>
                <w:szCs w:val="20"/>
              </w:rPr>
            </w:pPr>
            <w:r w:rsidRPr="002C21B8">
              <w:rPr>
                <w:sz w:val="20"/>
                <w:szCs w:val="20"/>
              </w:rPr>
              <w:t>((stress* or mixed or urg* or urin* or overflow*) NEXT (incontinen* or continence)):ti</w:t>
            </w:r>
          </w:p>
        </w:tc>
      </w:tr>
      <w:tr w:rsidR="00FA366A" w:rsidRPr="002C21B8" w14:paraId="0157F340" w14:textId="77777777" w:rsidTr="00960A9F">
        <w:trPr>
          <w:trHeight w:val="320"/>
        </w:trPr>
        <w:tc>
          <w:tcPr>
            <w:tcW w:w="704" w:type="dxa"/>
            <w:shd w:val="clear" w:color="auto" w:fill="auto"/>
            <w:vAlign w:val="center"/>
          </w:tcPr>
          <w:p w14:paraId="682E589B" w14:textId="77777777" w:rsidR="00FA366A" w:rsidRPr="002C21B8" w:rsidRDefault="00FA366A" w:rsidP="00212D46">
            <w:pPr>
              <w:spacing w:after="0" w:line="240" w:lineRule="auto"/>
              <w:rPr>
                <w:sz w:val="20"/>
                <w:szCs w:val="20"/>
              </w:rPr>
            </w:pPr>
            <w:r w:rsidRPr="002C21B8">
              <w:rPr>
                <w:sz w:val="20"/>
                <w:szCs w:val="20"/>
              </w:rPr>
              <w:t>196</w:t>
            </w:r>
          </w:p>
        </w:tc>
        <w:tc>
          <w:tcPr>
            <w:tcW w:w="8505" w:type="dxa"/>
            <w:shd w:val="clear" w:color="auto" w:fill="auto"/>
          </w:tcPr>
          <w:p w14:paraId="550A25C6" w14:textId="77777777" w:rsidR="00FA366A" w:rsidRPr="002C21B8" w:rsidRDefault="00FA366A" w:rsidP="00212D46">
            <w:pPr>
              <w:spacing w:after="0" w:line="240" w:lineRule="auto"/>
              <w:rPr>
                <w:sz w:val="20"/>
                <w:szCs w:val="20"/>
                <w:lang w:val="pt-PT"/>
              </w:rPr>
            </w:pPr>
            <w:r w:rsidRPr="002C21B8">
              <w:rPr>
                <w:sz w:val="20"/>
                <w:szCs w:val="20"/>
                <w:lang w:val="pt-PT"/>
              </w:rPr>
              <w:t>MeSH descriptor: [Urticaria] explode all trees</w:t>
            </w:r>
          </w:p>
        </w:tc>
      </w:tr>
      <w:tr w:rsidR="00FA366A" w:rsidRPr="002C21B8" w14:paraId="1B0B476C" w14:textId="77777777" w:rsidTr="00960A9F">
        <w:trPr>
          <w:trHeight w:val="320"/>
        </w:trPr>
        <w:tc>
          <w:tcPr>
            <w:tcW w:w="704" w:type="dxa"/>
            <w:shd w:val="clear" w:color="auto" w:fill="auto"/>
            <w:vAlign w:val="center"/>
          </w:tcPr>
          <w:p w14:paraId="261B9B52" w14:textId="77777777" w:rsidR="00FA366A" w:rsidRPr="002C21B8" w:rsidRDefault="00FA366A" w:rsidP="00212D46">
            <w:pPr>
              <w:spacing w:after="0" w:line="240" w:lineRule="auto"/>
              <w:rPr>
                <w:sz w:val="20"/>
                <w:szCs w:val="20"/>
              </w:rPr>
            </w:pPr>
            <w:r w:rsidRPr="002C21B8">
              <w:rPr>
                <w:sz w:val="20"/>
                <w:szCs w:val="20"/>
              </w:rPr>
              <w:t>197</w:t>
            </w:r>
          </w:p>
        </w:tc>
        <w:tc>
          <w:tcPr>
            <w:tcW w:w="8505" w:type="dxa"/>
            <w:shd w:val="clear" w:color="auto" w:fill="auto"/>
          </w:tcPr>
          <w:p w14:paraId="0C224DB1" w14:textId="77777777" w:rsidR="00FA366A" w:rsidRPr="002C21B8" w:rsidRDefault="00FA366A" w:rsidP="00212D46">
            <w:pPr>
              <w:spacing w:after="0" w:line="240" w:lineRule="auto"/>
              <w:rPr>
                <w:sz w:val="20"/>
                <w:szCs w:val="20"/>
              </w:rPr>
            </w:pPr>
            <w:r w:rsidRPr="002C21B8">
              <w:rPr>
                <w:sz w:val="20"/>
                <w:szCs w:val="20"/>
              </w:rPr>
              <w:t>urticaria*:ti</w:t>
            </w:r>
          </w:p>
        </w:tc>
      </w:tr>
      <w:tr w:rsidR="00FA366A" w:rsidRPr="002C21B8" w14:paraId="17B6015A" w14:textId="77777777" w:rsidTr="00960A9F">
        <w:trPr>
          <w:trHeight w:val="320"/>
        </w:trPr>
        <w:tc>
          <w:tcPr>
            <w:tcW w:w="704" w:type="dxa"/>
            <w:shd w:val="clear" w:color="auto" w:fill="auto"/>
            <w:vAlign w:val="center"/>
          </w:tcPr>
          <w:p w14:paraId="1ABFBA57" w14:textId="77777777" w:rsidR="00FA366A" w:rsidRPr="002C21B8" w:rsidRDefault="00FA366A" w:rsidP="00212D46">
            <w:pPr>
              <w:spacing w:after="0" w:line="240" w:lineRule="auto"/>
              <w:rPr>
                <w:sz w:val="20"/>
                <w:szCs w:val="20"/>
              </w:rPr>
            </w:pPr>
            <w:r w:rsidRPr="002C21B8">
              <w:rPr>
                <w:sz w:val="20"/>
                <w:szCs w:val="20"/>
              </w:rPr>
              <w:t>198</w:t>
            </w:r>
          </w:p>
        </w:tc>
        <w:tc>
          <w:tcPr>
            <w:tcW w:w="8505" w:type="dxa"/>
            <w:shd w:val="clear" w:color="auto" w:fill="auto"/>
          </w:tcPr>
          <w:p w14:paraId="485C4AFF" w14:textId="77777777" w:rsidR="00FA366A" w:rsidRPr="002C21B8" w:rsidRDefault="00FA366A" w:rsidP="00212D46">
            <w:pPr>
              <w:spacing w:after="0" w:line="240" w:lineRule="auto"/>
              <w:rPr>
                <w:sz w:val="20"/>
                <w:szCs w:val="20"/>
              </w:rPr>
            </w:pPr>
            <w:r w:rsidRPr="002C21B8">
              <w:rPr>
                <w:sz w:val="20"/>
                <w:szCs w:val="20"/>
              </w:rPr>
              <w:t>MeSH descriptor: [Chronic Disease] explode all trees</w:t>
            </w:r>
          </w:p>
        </w:tc>
      </w:tr>
      <w:tr w:rsidR="00FA366A" w:rsidRPr="002C21B8" w14:paraId="0A87AD2E" w14:textId="77777777" w:rsidTr="00960A9F">
        <w:trPr>
          <w:trHeight w:val="320"/>
        </w:trPr>
        <w:tc>
          <w:tcPr>
            <w:tcW w:w="704" w:type="dxa"/>
            <w:shd w:val="clear" w:color="auto" w:fill="auto"/>
            <w:vAlign w:val="center"/>
          </w:tcPr>
          <w:p w14:paraId="3C5E9A5C" w14:textId="77777777" w:rsidR="00FA366A" w:rsidRPr="002C21B8" w:rsidRDefault="00FA366A" w:rsidP="00212D46">
            <w:pPr>
              <w:spacing w:after="0" w:line="240" w:lineRule="auto"/>
              <w:rPr>
                <w:sz w:val="20"/>
                <w:szCs w:val="20"/>
              </w:rPr>
            </w:pPr>
            <w:r w:rsidRPr="002C21B8">
              <w:rPr>
                <w:sz w:val="20"/>
                <w:szCs w:val="20"/>
              </w:rPr>
              <w:t>199</w:t>
            </w:r>
          </w:p>
        </w:tc>
        <w:tc>
          <w:tcPr>
            <w:tcW w:w="8505" w:type="dxa"/>
            <w:shd w:val="clear" w:color="auto" w:fill="auto"/>
          </w:tcPr>
          <w:p w14:paraId="14548BE6" w14:textId="77777777" w:rsidR="00FA366A" w:rsidRPr="002C21B8" w:rsidRDefault="00FA366A" w:rsidP="00212D46">
            <w:pPr>
              <w:spacing w:after="0" w:line="240" w:lineRule="auto"/>
              <w:rPr>
                <w:sz w:val="20"/>
                <w:szCs w:val="20"/>
              </w:rPr>
            </w:pPr>
            <w:r w:rsidRPr="002C21B8">
              <w:rPr>
                <w:sz w:val="20"/>
                <w:szCs w:val="20"/>
              </w:rPr>
              <w:t>((chronic* or long-term) NEXT (diseas* or ill* or disorder* or condition*)):ti</w:t>
            </w:r>
          </w:p>
        </w:tc>
      </w:tr>
      <w:tr w:rsidR="00FA366A" w:rsidRPr="002C21B8" w14:paraId="16C6F647" w14:textId="77777777" w:rsidTr="00960A9F">
        <w:trPr>
          <w:trHeight w:val="320"/>
        </w:trPr>
        <w:tc>
          <w:tcPr>
            <w:tcW w:w="704" w:type="dxa"/>
            <w:shd w:val="clear" w:color="auto" w:fill="auto"/>
            <w:vAlign w:val="center"/>
          </w:tcPr>
          <w:p w14:paraId="120B8126" w14:textId="77777777" w:rsidR="00FA366A" w:rsidRPr="002C21B8" w:rsidRDefault="00FA366A" w:rsidP="00212D46">
            <w:pPr>
              <w:spacing w:after="0" w:line="240" w:lineRule="auto"/>
              <w:rPr>
                <w:sz w:val="20"/>
                <w:szCs w:val="20"/>
              </w:rPr>
            </w:pPr>
            <w:r w:rsidRPr="002C21B8">
              <w:rPr>
                <w:sz w:val="20"/>
                <w:szCs w:val="20"/>
              </w:rPr>
              <w:t>200</w:t>
            </w:r>
          </w:p>
        </w:tc>
        <w:tc>
          <w:tcPr>
            <w:tcW w:w="8505" w:type="dxa"/>
            <w:shd w:val="clear" w:color="auto" w:fill="auto"/>
          </w:tcPr>
          <w:p w14:paraId="5E665490" w14:textId="77777777" w:rsidR="00FA366A" w:rsidRPr="002C21B8" w:rsidRDefault="00FA366A" w:rsidP="00212D46">
            <w:pPr>
              <w:spacing w:after="0" w:line="240" w:lineRule="auto"/>
              <w:rPr>
                <w:sz w:val="20"/>
                <w:szCs w:val="20"/>
              </w:rPr>
            </w:pPr>
            <w:r w:rsidRPr="002C21B8">
              <w:rPr>
                <w:sz w:val="20"/>
                <w:szCs w:val="20"/>
              </w:rPr>
              <w:t xml:space="preserve">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 or 165 or 166 or 167 or 168 or 169 or 170 or 171 or 172 or 173 or 174 or 175 or 176 or 177 or 178 or 179 or 180 or 181 or 182 or 183 or 184 or 185 or 186 or 187 or 188 or 189 or 190 or 191 or 192 or 193 or 194 or 195 or 196 or 197 or 198 or 199 </w:t>
            </w:r>
          </w:p>
        </w:tc>
      </w:tr>
      <w:tr w:rsidR="00FA366A" w:rsidRPr="002C21B8" w14:paraId="54C8A983" w14:textId="77777777" w:rsidTr="00960A9F">
        <w:trPr>
          <w:trHeight w:val="320"/>
        </w:trPr>
        <w:tc>
          <w:tcPr>
            <w:tcW w:w="704" w:type="dxa"/>
            <w:shd w:val="clear" w:color="auto" w:fill="auto"/>
            <w:vAlign w:val="center"/>
          </w:tcPr>
          <w:p w14:paraId="69E2ACBA" w14:textId="77777777" w:rsidR="00FA366A" w:rsidRPr="002C21B8" w:rsidRDefault="00FA366A" w:rsidP="00212D46">
            <w:pPr>
              <w:spacing w:after="0" w:line="240" w:lineRule="auto"/>
              <w:rPr>
                <w:sz w:val="20"/>
                <w:szCs w:val="20"/>
              </w:rPr>
            </w:pPr>
            <w:r w:rsidRPr="002C21B8">
              <w:rPr>
                <w:sz w:val="20"/>
                <w:szCs w:val="20"/>
              </w:rPr>
              <w:t>201</w:t>
            </w:r>
          </w:p>
        </w:tc>
        <w:tc>
          <w:tcPr>
            <w:tcW w:w="8505" w:type="dxa"/>
            <w:shd w:val="clear" w:color="auto" w:fill="auto"/>
          </w:tcPr>
          <w:p w14:paraId="3809387B" w14:textId="77777777" w:rsidR="00FA366A" w:rsidRPr="002C21B8" w:rsidRDefault="00FA366A" w:rsidP="00212D46">
            <w:pPr>
              <w:spacing w:after="0" w:line="240" w:lineRule="auto"/>
              <w:rPr>
                <w:sz w:val="20"/>
                <w:szCs w:val="20"/>
              </w:rPr>
            </w:pPr>
            <w:r w:rsidRPr="002C21B8">
              <w:rPr>
                <w:sz w:val="20"/>
                <w:szCs w:val="20"/>
              </w:rPr>
              <w:t>MeSH descriptor: [Drug Prescriptions] explode all trees</w:t>
            </w:r>
          </w:p>
        </w:tc>
      </w:tr>
      <w:tr w:rsidR="00FA366A" w:rsidRPr="002C21B8" w14:paraId="5DB8A68C" w14:textId="77777777" w:rsidTr="00960A9F">
        <w:trPr>
          <w:trHeight w:val="320"/>
        </w:trPr>
        <w:tc>
          <w:tcPr>
            <w:tcW w:w="704" w:type="dxa"/>
            <w:shd w:val="clear" w:color="auto" w:fill="auto"/>
            <w:vAlign w:val="center"/>
          </w:tcPr>
          <w:p w14:paraId="311BF6D5" w14:textId="77777777" w:rsidR="00FA366A" w:rsidRPr="002C21B8" w:rsidRDefault="00FA366A" w:rsidP="00212D46">
            <w:pPr>
              <w:spacing w:after="0" w:line="240" w:lineRule="auto"/>
              <w:rPr>
                <w:sz w:val="20"/>
                <w:szCs w:val="20"/>
              </w:rPr>
            </w:pPr>
            <w:r w:rsidRPr="002C21B8">
              <w:rPr>
                <w:sz w:val="20"/>
                <w:szCs w:val="20"/>
              </w:rPr>
              <w:t>202</w:t>
            </w:r>
          </w:p>
        </w:tc>
        <w:tc>
          <w:tcPr>
            <w:tcW w:w="8505" w:type="dxa"/>
            <w:shd w:val="clear" w:color="auto" w:fill="auto"/>
          </w:tcPr>
          <w:p w14:paraId="18D926F8" w14:textId="77777777" w:rsidR="00FA366A" w:rsidRPr="002C21B8" w:rsidRDefault="00FA366A" w:rsidP="00212D46">
            <w:pPr>
              <w:spacing w:after="0" w:line="240" w:lineRule="auto"/>
              <w:rPr>
                <w:sz w:val="20"/>
                <w:szCs w:val="20"/>
              </w:rPr>
            </w:pPr>
            <w:r w:rsidRPr="002C21B8">
              <w:rPr>
                <w:sz w:val="20"/>
                <w:szCs w:val="20"/>
              </w:rPr>
              <w:t>MeSH descriptor: [Prescriptions] explode all trees</w:t>
            </w:r>
          </w:p>
        </w:tc>
      </w:tr>
      <w:tr w:rsidR="00FA366A" w:rsidRPr="002C21B8" w14:paraId="552FA7DE" w14:textId="77777777" w:rsidTr="00960A9F">
        <w:trPr>
          <w:trHeight w:val="320"/>
        </w:trPr>
        <w:tc>
          <w:tcPr>
            <w:tcW w:w="704" w:type="dxa"/>
            <w:shd w:val="clear" w:color="auto" w:fill="auto"/>
            <w:vAlign w:val="center"/>
          </w:tcPr>
          <w:p w14:paraId="0FDA3A61" w14:textId="77777777" w:rsidR="00FA366A" w:rsidRPr="002C21B8" w:rsidRDefault="00FA366A" w:rsidP="00212D46">
            <w:pPr>
              <w:spacing w:after="0" w:line="240" w:lineRule="auto"/>
              <w:rPr>
                <w:sz w:val="20"/>
                <w:szCs w:val="20"/>
              </w:rPr>
            </w:pPr>
            <w:r w:rsidRPr="002C21B8">
              <w:rPr>
                <w:sz w:val="20"/>
                <w:szCs w:val="20"/>
              </w:rPr>
              <w:t>203</w:t>
            </w:r>
          </w:p>
        </w:tc>
        <w:tc>
          <w:tcPr>
            <w:tcW w:w="8505" w:type="dxa"/>
            <w:shd w:val="clear" w:color="auto" w:fill="auto"/>
          </w:tcPr>
          <w:p w14:paraId="41FE55D5" w14:textId="77777777" w:rsidR="00FA366A" w:rsidRPr="002C21B8" w:rsidRDefault="00FA366A" w:rsidP="00212D46">
            <w:pPr>
              <w:spacing w:after="0" w:line="240" w:lineRule="auto"/>
              <w:rPr>
                <w:sz w:val="20"/>
                <w:szCs w:val="20"/>
              </w:rPr>
            </w:pPr>
            <w:r w:rsidRPr="002C21B8">
              <w:rPr>
                <w:sz w:val="20"/>
                <w:szCs w:val="20"/>
              </w:rPr>
              <w:t>(Prescri* or Prescribing Behavio?r or Prescrib* Decision* or Prescribing Practice*):ti,ab</w:t>
            </w:r>
          </w:p>
        </w:tc>
      </w:tr>
      <w:tr w:rsidR="00FA366A" w:rsidRPr="002C21B8" w14:paraId="22AE1F28" w14:textId="77777777" w:rsidTr="00960A9F">
        <w:trPr>
          <w:trHeight w:val="320"/>
        </w:trPr>
        <w:tc>
          <w:tcPr>
            <w:tcW w:w="704" w:type="dxa"/>
            <w:shd w:val="clear" w:color="auto" w:fill="auto"/>
            <w:vAlign w:val="center"/>
          </w:tcPr>
          <w:p w14:paraId="2047C12C" w14:textId="77777777" w:rsidR="00FA366A" w:rsidRPr="002C21B8" w:rsidRDefault="00FA366A" w:rsidP="00212D46">
            <w:pPr>
              <w:spacing w:after="0" w:line="240" w:lineRule="auto"/>
              <w:rPr>
                <w:sz w:val="20"/>
                <w:szCs w:val="20"/>
              </w:rPr>
            </w:pPr>
            <w:r w:rsidRPr="002C21B8">
              <w:rPr>
                <w:sz w:val="20"/>
                <w:szCs w:val="20"/>
              </w:rPr>
              <w:t>204</w:t>
            </w:r>
          </w:p>
        </w:tc>
        <w:tc>
          <w:tcPr>
            <w:tcW w:w="8505" w:type="dxa"/>
            <w:shd w:val="clear" w:color="auto" w:fill="auto"/>
          </w:tcPr>
          <w:p w14:paraId="7BCA806F" w14:textId="77777777" w:rsidR="00FA366A" w:rsidRPr="002C21B8" w:rsidRDefault="00FA366A" w:rsidP="00212D46">
            <w:pPr>
              <w:spacing w:after="0" w:line="240" w:lineRule="auto"/>
              <w:rPr>
                <w:sz w:val="20"/>
                <w:szCs w:val="20"/>
              </w:rPr>
            </w:pPr>
            <w:r w:rsidRPr="002C21B8">
              <w:rPr>
                <w:sz w:val="20"/>
                <w:szCs w:val="20"/>
              </w:rPr>
              <w:t>(Initiat* or Start* or Commenc* or Induc*):ti</w:t>
            </w:r>
          </w:p>
        </w:tc>
      </w:tr>
      <w:tr w:rsidR="00FA366A" w:rsidRPr="002C21B8" w14:paraId="4368471D" w14:textId="77777777" w:rsidTr="00960A9F">
        <w:trPr>
          <w:trHeight w:val="320"/>
        </w:trPr>
        <w:tc>
          <w:tcPr>
            <w:tcW w:w="704" w:type="dxa"/>
            <w:shd w:val="clear" w:color="auto" w:fill="auto"/>
            <w:vAlign w:val="center"/>
          </w:tcPr>
          <w:p w14:paraId="0CEE0C8A" w14:textId="77777777" w:rsidR="00FA366A" w:rsidRPr="002C21B8" w:rsidRDefault="00FA366A" w:rsidP="00212D46">
            <w:pPr>
              <w:spacing w:after="0" w:line="240" w:lineRule="auto"/>
              <w:rPr>
                <w:sz w:val="20"/>
                <w:szCs w:val="20"/>
              </w:rPr>
            </w:pPr>
            <w:r w:rsidRPr="002C21B8">
              <w:rPr>
                <w:sz w:val="20"/>
                <w:szCs w:val="20"/>
              </w:rPr>
              <w:t>205</w:t>
            </w:r>
          </w:p>
        </w:tc>
        <w:tc>
          <w:tcPr>
            <w:tcW w:w="8505" w:type="dxa"/>
            <w:shd w:val="clear" w:color="auto" w:fill="auto"/>
          </w:tcPr>
          <w:p w14:paraId="2363B6CB" w14:textId="77777777" w:rsidR="00FA366A" w:rsidRPr="002C21B8" w:rsidRDefault="00FA366A" w:rsidP="00212D46">
            <w:pPr>
              <w:spacing w:after="0" w:line="240" w:lineRule="auto"/>
              <w:rPr>
                <w:sz w:val="20"/>
                <w:szCs w:val="20"/>
              </w:rPr>
            </w:pPr>
            <w:r w:rsidRPr="002C21B8">
              <w:rPr>
                <w:sz w:val="20"/>
                <w:szCs w:val="20"/>
              </w:rPr>
              <w:t>201 or 202 or 203 or 204</w:t>
            </w:r>
          </w:p>
        </w:tc>
      </w:tr>
      <w:tr w:rsidR="00FA366A" w:rsidRPr="002C21B8" w14:paraId="6C5F507A" w14:textId="77777777" w:rsidTr="00960A9F">
        <w:trPr>
          <w:trHeight w:val="320"/>
        </w:trPr>
        <w:tc>
          <w:tcPr>
            <w:tcW w:w="704" w:type="dxa"/>
            <w:shd w:val="clear" w:color="auto" w:fill="auto"/>
            <w:vAlign w:val="center"/>
          </w:tcPr>
          <w:p w14:paraId="127CF450" w14:textId="77777777" w:rsidR="00FA366A" w:rsidRPr="002C21B8" w:rsidRDefault="00FA366A" w:rsidP="00212D46">
            <w:pPr>
              <w:spacing w:after="0" w:line="240" w:lineRule="auto"/>
              <w:rPr>
                <w:sz w:val="20"/>
                <w:szCs w:val="20"/>
              </w:rPr>
            </w:pPr>
            <w:r w:rsidRPr="002C21B8">
              <w:rPr>
                <w:sz w:val="20"/>
                <w:szCs w:val="20"/>
              </w:rPr>
              <w:t>206</w:t>
            </w:r>
          </w:p>
        </w:tc>
        <w:tc>
          <w:tcPr>
            <w:tcW w:w="8505" w:type="dxa"/>
            <w:shd w:val="clear" w:color="auto" w:fill="auto"/>
          </w:tcPr>
          <w:p w14:paraId="5EB54D32" w14:textId="77777777" w:rsidR="00FA366A" w:rsidRPr="002C21B8" w:rsidRDefault="00FA366A" w:rsidP="00212D46">
            <w:pPr>
              <w:spacing w:after="0" w:line="240" w:lineRule="auto"/>
              <w:rPr>
                <w:sz w:val="20"/>
                <w:szCs w:val="20"/>
              </w:rPr>
            </w:pPr>
            <w:r w:rsidRPr="002C21B8">
              <w:rPr>
                <w:sz w:val="20"/>
                <w:szCs w:val="20"/>
              </w:rPr>
              <w:t>MeSH descriptor: [Clinical Decision-Making] explode all trees</w:t>
            </w:r>
          </w:p>
        </w:tc>
      </w:tr>
      <w:tr w:rsidR="00FA366A" w:rsidRPr="002C21B8" w14:paraId="24124713" w14:textId="77777777" w:rsidTr="00960A9F">
        <w:trPr>
          <w:trHeight w:val="320"/>
        </w:trPr>
        <w:tc>
          <w:tcPr>
            <w:tcW w:w="704" w:type="dxa"/>
            <w:shd w:val="clear" w:color="auto" w:fill="auto"/>
            <w:vAlign w:val="center"/>
          </w:tcPr>
          <w:p w14:paraId="1F9F45F1" w14:textId="77777777" w:rsidR="00FA366A" w:rsidRPr="002C21B8" w:rsidRDefault="00FA366A" w:rsidP="00212D46">
            <w:pPr>
              <w:spacing w:after="0" w:line="240" w:lineRule="auto"/>
              <w:rPr>
                <w:sz w:val="20"/>
                <w:szCs w:val="20"/>
              </w:rPr>
            </w:pPr>
            <w:r w:rsidRPr="002C21B8">
              <w:rPr>
                <w:sz w:val="20"/>
                <w:szCs w:val="20"/>
              </w:rPr>
              <w:t>207</w:t>
            </w:r>
          </w:p>
        </w:tc>
        <w:tc>
          <w:tcPr>
            <w:tcW w:w="8505" w:type="dxa"/>
            <w:shd w:val="clear" w:color="auto" w:fill="auto"/>
          </w:tcPr>
          <w:p w14:paraId="3C4AFE80" w14:textId="77777777" w:rsidR="00FA366A" w:rsidRPr="002C21B8" w:rsidRDefault="00FA366A" w:rsidP="00212D46">
            <w:pPr>
              <w:spacing w:after="0" w:line="240" w:lineRule="auto"/>
              <w:rPr>
                <w:sz w:val="20"/>
                <w:szCs w:val="20"/>
              </w:rPr>
            </w:pPr>
            <w:r w:rsidRPr="002C21B8">
              <w:rPr>
                <w:sz w:val="20"/>
                <w:szCs w:val="20"/>
              </w:rPr>
              <w:t>MeSH descriptor: [Health Knowledge, Attitudes, Practice] explode all trees</w:t>
            </w:r>
          </w:p>
        </w:tc>
      </w:tr>
      <w:tr w:rsidR="00FA366A" w:rsidRPr="002C21B8" w14:paraId="3D8757A2" w14:textId="77777777" w:rsidTr="00960A9F">
        <w:trPr>
          <w:trHeight w:val="320"/>
        </w:trPr>
        <w:tc>
          <w:tcPr>
            <w:tcW w:w="704" w:type="dxa"/>
            <w:shd w:val="clear" w:color="auto" w:fill="auto"/>
            <w:vAlign w:val="center"/>
          </w:tcPr>
          <w:p w14:paraId="6C3D5DD2" w14:textId="77777777" w:rsidR="00FA366A" w:rsidRPr="002C21B8" w:rsidRDefault="00FA366A" w:rsidP="00212D46">
            <w:pPr>
              <w:spacing w:after="0" w:line="240" w:lineRule="auto"/>
              <w:rPr>
                <w:sz w:val="20"/>
                <w:szCs w:val="20"/>
              </w:rPr>
            </w:pPr>
            <w:r w:rsidRPr="002C21B8">
              <w:rPr>
                <w:sz w:val="20"/>
                <w:szCs w:val="20"/>
              </w:rPr>
              <w:t>208</w:t>
            </w:r>
          </w:p>
        </w:tc>
        <w:tc>
          <w:tcPr>
            <w:tcW w:w="8505" w:type="dxa"/>
            <w:shd w:val="clear" w:color="auto" w:fill="auto"/>
          </w:tcPr>
          <w:p w14:paraId="09452ACB" w14:textId="77777777" w:rsidR="00FA366A" w:rsidRPr="002C21B8" w:rsidRDefault="00FA366A" w:rsidP="00212D46">
            <w:pPr>
              <w:spacing w:after="0" w:line="240" w:lineRule="auto"/>
              <w:rPr>
                <w:sz w:val="20"/>
                <w:szCs w:val="20"/>
              </w:rPr>
            </w:pPr>
            <w:r w:rsidRPr="002C21B8">
              <w:rPr>
                <w:sz w:val="20"/>
                <w:szCs w:val="20"/>
              </w:rPr>
              <w:t>MeSH descriptor: [Attitude of Health Personnel] explode all trees</w:t>
            </w:r>
          </w:p>
        </w:tc>
      </w:tr>
      <w:tr w:rsidR="00FA366A" w:rsidRPr="002C21B8" w14:paraId="75998FC2" w14:textId="77777777" w:rsidTr="00960A9F">
        <w:trPr>
          <w:trHeight w:val="320"/>
        </w:trPr>
        <w:tc>
          <w:tcPr>
            <w:tcW w:w="704" w:type="dxa"/>
            <w:shd w:val="clear" w:color="auto" w:fill="auto"/>
            <w:vAlign w:val="center"/>
          </w:tcPr>
          <w:p w14:paraId="0C39A9F0" w14:textId="77777777" w:rsidR="00FA366A" w:rsidRPr="002C21B8" w:rsidRDefault="00FA366A" w:rsidP="00212D46">
            <w:pPr>
              <w:spacing w:after="0" w:line="240" w:lineRule="auto"/>
              <w:rPr>
                <w:sz w:val="20"/>
                <w:szCs w:val="20"/>
              </w:rPr>
            </w:pPr>
            <w:r w:rsidRPr="002C21B8">
              <w:rPr>
                <w:sz w:val="20"/>
                <w:szCs w:val="20"/>
              </w:rPr>
              <w:t>209</w:t>
            </w:r>
          </w:p>
        </w:tc>
        <w:tc>
          <w:tcPr>
            <w:tcW w:w="8505" w:type="dxa"/>
            <w:shd w:val="clear" w:color="auto" w:fill="auto"/>
          </w:tcPr>
          <w:p w14:paraId="1B3905A0" w14:textId="77777777" w:rsidR="00FA366A" w:rsidRPr="002C21B8" w:rsidRDefault="00FA366A" w:rsidP="00212D46">
            <w:pPr>
              <w:spacing w:after="0" w:line="240" w:lineRule="auto"/>
              <w:rPr>
                <w:sz w:val="20"/>
                <w:szCs w:val="20"/>
              </w:rPr>
            </w:pPr>
            <w:r w:rsidRPr="002C21B8">
              <w:rPr>
                <w:sz w:val="20"/>
                <w:szCs w:val="20"/>
              </w:rPr>
              <w:t>MeSH descriptor: [Practice Patterns, Physicians'] explode all trees</w:t>
            </w:r>
          </w:p>
        </w:tc>
      </w:tr>
      <w:tr w:rsidR="00FA366A" w:rsidRPr="002C21B8" w14:paraId="1149A2EA" w14:textId="77777777" w:rsidTr="00960A9F">
        <w:trPr>
          <w:trHeight w:val="320"/>
        </w:trPr>
        <w:tc>
          <w:tcPr>
            <w:tcW w:w="704" w:type="dxa"/>
            <w:shd w:val="clear" w:color="auto" w:fill="auto"/>
            <w:vAlign w:val="center"/>
          </w:tcPr>
          <w:p w14:paraId="1F2CEE01" w14:textId="77777777" w:rsidR="00FA366A" w:rsidRPr="002C21B8" w:rsidRDefault="00FA366A" w:rsidP="00212D46">
            <w:pPr>
              <w:spacing w:after="0" w:line="240" w:lineRule="auto"/>
              <w:rPr>
                <w:sz w:val="20"/>
                <w:szCs w:val="20"/>
              </w:rPr>
            </w:pPr>
            <w:r w:rsidRPr="002C21B8">
              <w:rPr>
                <w:sz w:val="20"/>
                <w:szCs w:val="20"/>
              </w:rPr>
              <w:t>210</w:t>
            </w:r>
          </w:p>
        </w:tc>
        <w:tc>
          <w:tcPr>
            <w:tcW w:w="8505" w:type="dxa"/>
            <w:shd w:val="clear" w:color="auto" w:fill="auto"/>
          </w:tcPr>
          <w:p w14:paraId="19B35ED4" w14:textId="77777777" w:rsidR="00FA366A" w:rsidRPr="002C21B8" w:rsidRDefault="00FA366A" w:rsidP="00212D46">
            <w:pPr>
              <w:spacing w:after="0" w:line="240" w:lineRule="auto"/>
              <w:rPr>
                <w:sz w:val="20"/>
                <w:szCs w:val="20"/>
              </w:rPr>
            </w:pPr>
            <w:r w:rsidRPr="002C21B8">
              <w:rPr>
                <w:sz w:val="20"/>
                <w:szCs w:val="20"/>
              </w:rPr>
              <w:t>MeSH descriptor: [Practice Patterns, Pharmacists'] explode all trees</w:t>
            </w:r>
          </w:p>
        </w:tc>
      </w:tr>
      <w:tr w:rsidR="00FA366A" w:rsidRPr="002C21B8" w14:paraId="7CE04005" w14:textId="77777777" w:rsidTr="00960A9F">
        <w:trPr>
          <w:trHeight w:val="320"/>
        </w:trPr>
        <w:tc>
          <w:tcPr>
            <w:tcW w:w="704" w:type="dxa"/>
            <w:shd w:val="clear" w:color="auto" w:fill="auto"/>
            <w:vAlign w:val="center"/>
          </w:tcPr>
          <w:p w14:paraId="50FBB1D0" w14:textId="77777777" w:rsidR="00FA366A" w:rsidRPr="002C21B8" w:rsidRDefault="00FA366A" w:rsidP="00212D46">
            <w:pPr>
              <w:spacing w:after="0" w:line="240" w:lineRule="auto"/>
              <w:rPr>
                <w:sz w:val="20"/>
                <w:szCs w:val="20"/>
              </w:rPr>
            </w:pPr>
            <w:r w:rsidRPr="002C21B8">
              <w:rPr>
                <w:sz w:val="20"/>
                <w:szCs w:val="20"/>
              </w:rPr>
              <w:t>211</w:t>
            </w:r>
          </w:p>
        </w:tc>
        <w:tc>
          <w:tcPr>
            <w:tcW w:w="8505" w:type="dxa"/>
            <w:shd w:val="clear" w:color="auto" w:fill="auto"/>
          </w:tcPr>
          <w:p w14:paraId="62E16B5A" w14:textId="77777777" w:rsidR="00FA366A" w:rsidRPr="002C21B8" w:rsidRDefault="00FA366A" w:rsidP="00212D46">
            <w:pPr>
              <w:spacing w:after="0" w:line="240" w:lineRule="auto"/>
              <w:rPr>
                <w:sz w:val="20"/>
                <w:szCs w:val="20"/>
              </w:rPr>
            </w:pPr>
            <w:r w:rsidRPr="002C21B8">
              <w:rPr>
                <w:sz w:val="20"/>
                <w:szCs w:val="20"/>
              </w:rPr>
              <w:t>MeSH descriptor: [Practice Patterns, Nurses'] explode all trees</w:t>
            </w:r>
          </w:p>
        </w:tc>
      </w:tr>
      <w:tr w:rsidR="00FA366A" w:rsidRPr="002C21B8" w14:paraId="4A082BAA" w14:textId="77777777" w:rsidTr="00960A9F">
        <w:trPr>
          <w:trHeight w:val="320"/>
        </w:trPr>
        <w:tc>
          <w:tcPr>
            <w:tcW w:w="704" w:type="dxa"/>
            <w:shd w:val="clear" w:color="auto" w:fill="auto"/>
            <w:vAlign w:val="center"/>
          </w:tcPr>
          <w:p w14:paraId="42050856" w14:textId="77777777" w:rsidR="00FA366A" w:rsidRPr="002C21B8" w:rsidRDefault="00FA366A" w:rsidP="00212D46">
            <w:pPr>
              <w:spacing w:after="0" w:line="240" w:lineRule="auto"/>
              <w:rPr>
                <w:sz w:val="20"/>
                <w:szCs w:val="20"/>
              </w:rPr>
            </w:pPr>
            <w:r w:rsidRPr="002C21B8">
              <w:rPr>
                <w:sz w:val="20"/>
                <w:szCs w:val="20"/>
              </w:rPr>
              <w:t>212</w:t>
            </w:r>
          </w:p>
        </w:tc>
        <w:tc>
          <w:tcPr>
            <w:tcW w:w="8505" w:type="dxa"/>
            <w:shd w:val="clear" w:color="auto" w:fill="auto"/>
          </w:tcPr>
          <w:p w14:paraId="561DA322" w14:textId="77777777" w:rsidR="00FA366A" w:rsidRPr="002C21B8" w:rsidRDefault="00FA366A" w:rsidP="00212D46">
            <w:pPr>
              <w:spacing w:after="0" w:line="240" w:lineRule="auto"/>
              <w:rPr>
                <w:sz w:val="20"/>
                <w:szCs w:val="20"/>
              </w:rPr>
            </w:pPr>
            <w:r w:rsidRPr="002C21B8">
              <w:rPr>
                <w:sz w:val="20"/>
                <w:szCs w:val="20"/>
              </w:rPr>
              <w:t>(Factor* or Determinant* or Behavio?r* or Practice* or Preference* or Pattern* or Decision* or Decid* or Influenc* or Impact* or Judg* or Barrier* or Facilit* or Help or Hinder or Compl* or Accept or Conform* or Approv* or Adher* or Strateg*):ti</w:t>
            </w:r>
          </w:p>
        </w:tc>
      </w:tr>
      <w:tr w:rsidR="00FA366A" w:rsidRPr="002C21B8" w14:paraId="54BDA83F" w14:textId="77777777" w:rsidTr="00960A9F">
        <w:trPr>
          <w:trHeight w:val="320"/>
        </w:trPr>
        <w:tc>
          <w:tcPr>
            <w:tcW w:w="704" w:type="dxa"/>
            <w:shd w:val="clear" w:color="auto" w:fill="auto"/>
            <w:vAlign w:val="center"/>
          </w:tcPr>
          <w:p w14:paraId="367FEA35" w14:textId="77777777" w:rsidR="00FA366A" w:rsidRPr="002C21B8" w:rsidRDefault="00FA366A" w:rsidP="00212D46">
            <w:pPr>
              <w:spacing w:after="0" w:line="240" w:lineRule="auto"/>
              <w:rPr>
                <w:sz w:val="20"/>
                <w:szCs w:val="20"/>
              </w:rPr>
            </w:pPr>
            <w:r w:rsidRPr="002C21B8">
              <w:rPr>
                <w:sz w:val="20"/>
                <w:szCs w:val="20"/>
              </w:rPr>
              <w:t>213</w:t>
            </w:r>
          </w:p>
        </w:tc>
        <w:tc>
          <w:tcPr>
            <w:tcW w:w="8505" w:type="dxa"/>
            <w:shd w:val="clear" w:color="auto" w:fill="auto"/>
          </w:tcPr>
          <w:p w14:paraId="6448B7BD" w14:textId="77777777" w:rsidR="00FA366A" w:rsidRPr="002C21B8" w:rsidRDefault="00FA366A" w:rsidP="00212D46">
            <w:pPr>
              <w:spacing w:after="0" w:line="240" w:lineRule="auto"/>
              <w:rPr>
                <w:sz w:val="20"/>
                <w:szCs w:val="20"/>
              </w:rPr>
            </w:pPr>
            <w:r w:rsidRPr="002C21B8">
              <w:rPr>
                <w:sz w:val="20"/>
                <w:szCs w:val="20"/>
              </w:rPr>
              <w:t>206 or 207 or 208 or 209 or 210 or 211 or 212</w:t>
            </w:r>
          </w:p>
        </w:tc>
      </w:tr>
      <w:tr w:rsidR="00FA366A" w:rsidRPr="002C21B8" w14:paraId="5838A320" w14:textId="77777777" w:rsidTr="00960A9F">
        <w:trPr>
          <w:trHeight w:val="320"/>
        </w:trPr>
        <w:tc>
          <w:tcPr>
            <w:tcW w:w="704" w:type="dxa"/>
            <w:shd w:val="clear" w:color="auto" w:fill="auto"/>
            <w:vAlign w:val="center"/>
          </w:tcPr>
          <w:p w14:paraId="0AEC69E2" w14:textId="77777777" w:rsidR="00FA366A" w:rsidRPr="002C21B8" w:rsidRDefault="00FA366A" w:rsidP="00212D46">
            <w:pPr>
              <w:spacing w:after="0" w:line="240" w:lineRule="auto"/>
              <w:rPr>
                <w:sz w:val="20"/>
                <w:szCs w:val="20"/>
              </w:rPr>
            </w:pPr>
            <w:r w:rsidRPr="002C21B8">
              <w:rPr>
                <w:sz w:val="20"/>
                <w:szCs w:val="20"/>
              </w:rPr>
              <w:t>214</w:t>
            </w:r>
          </w:p>
        </w:tc>
        <w:tc>
          <w:tcPr>
            <w:tcW w:w="8505" w:type="dxa"/>
            <w:shd w:val="clear" w:color="auto" w:fill="auto"/>
          </w:tcPr>
          <w:p w14:paraId="2AA6B348" w14:textId="77777777" w:rsidR="00FA366A" w:rsidRPr="002C21B8" w:rsidRDefault="00FA366A" w:rsidP="00212D46">
            <w:pPr>
              <w:spacing w:after="0" w:line="240" w:lineRule="auto"/>
              <w:rPr>
                <w:sz w:val="20"/>
                <w:szCs w:val="20"/>
              </w:rPr>
            </w:pPr>
            <w:r w:rsidRPr="002C21B8">
              <w:rPr>
                <w:sz w:val="20"/>
                <w:szCs w:val="20"/>
              </w:rPr>
              <w:t>(Medline or systematic review or meta-analysis):ti,ab</w:t>
            </w:r>
          </w:p>
        </w:tc>
      </w:tr>
      <w:tr w:rsidR="00FA366A" w:rsidRPr="002C21B8" w14:paraId="5EBFE54A" w14:textId="77777777" w:rsidTr="00960A9F">
        <w:trPr>
          <w:trHeight w:val="320"/>
        </w:trPr>
        <w:tc>
          <w:tcPr>
            <w:tcW w:w="704" w:type="dxa"/>
            <w:shd w:val="clear" w:color="auto" w:fill="auto"/>
            <w:vAlign w:val="center"/>
          </w:tcPr>
          <w:p w14:paraId="0FD6F7E4" w14:textId="77777777" w:rsidR="00FA366A" w:rsidRPr="002C21B8" w:rsidRDefault="00FA366A" w:rsidP="00212D46">
            <w:pPr>
              <w:spacing w:after="0" w:line="240" w:lineRule="auto"/>
              <w:rPr>
                <w:sz w:val="20"/>
                <w:szCs w:val="20"/>
              </w:rPr>
            </w:pPr>
            <w:r w:rsidRPr="002C21B8">
              <w:rPr>
                <w:sz w:val="20"/>
                <w:szCs w:val="20"/>
              </w:rPr>
              <w:t>215</w:t>
            </w:r>
          </w:p>
        </w:tc>
        <w:tc>
          <w:tcPr>
            <w:tcW w:w="8505" w:type="dxa"/>
            <w:shd w:val="clear" w:color="auto" w:fill="auto"/>
          </w:tcPr>
          <w:p w14:paraId="44F0A392" w14:textId="77777777" w:rsidR="00FA366A" w:rsidRPr="002C21B8" w:rsidRDefault="00FA366A" w:rsidP="00212D46">
            <w:pPr>
              <w:spacing w:after="0" w:line="240" w:lineRule="auto"/>
              <w:rPr>
                <w:sz w:val="20"/>
                <w:szCs w:val="20"/>
              </w:rPr>
            </w:pPr>
            <w:r w:rsidRPr="002C21B8">
              <w:rPr>
                <w:sz w:val="20"/>
                <w:szCs w:val="20"/>
              </w:rPr>
              <w:t>200 and 205 and 213 and 214</w:t>
            </w:r>
          </w:p>
        </w:tc>
      </w:tr>
    </w:tbl>
    <w:p w14:paraId="02CC2C24" w14:textId="77777777" w:rsidR="00FA366A" w:rsidRPr="002C21B8" w:rsidRDefault="00FA366A" w:rsidP="003374F4"/>
    <w:p w14:paraId="6DC615E6" w14:textId="32816307"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Google Scholar search strategy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209"/>
      </w:tblGrid>
      <w:tr w:rsidR="00FA366A" w:rsidRPr="002C21B8" w14:paraId="206D0F54" w14:textId="77777777" w:rsidTr="00960A9F">
        <w:trPr>
          <w:trHeight w:val="320"/>
        </w:trPr>
        <w:tc>
          <w:tcPr>
            <w:tcW w:w="9209" w:type="dxa"/>
            <w:shd w:val="clear" w:color="auto" w:fill="auto"/>
          </w:tcPr>
          <w:p w14:paraId="63431AEE" w14:textId="77777777" w:rsidR="00FA366A" w:rsidRPr="002C21B8" w:rsidRDefault="00FA366A" w:rsidP="00212D46">
            <w:pPr>
              <w:spacing w:after="0" w:line="240" w:lineRule="auto"/>
              <w:rPr>
                <w:sz w:val="20"/>
                <w:szCs w:val="20"/>
              </w:rPr>
            </w:pPr>
            <w:r w:rsidRPr="002C21B8">
              <w:rPr>
                <w:sz w:val="20"/>
                <w:szCs w:val="20"/>
              </w:rPr>
              <w:t>Google Scholar (search date: 10/10/2023)</w:t>
            </w:r>
          </w:p>
        </w:tc>
      </w:tr>
      <w:tr w:rsidR="00FA366A" w:rsidRPr="002C21B8" w14:paraId="6189EFD0" w14:textId="77777777" w:rsidTr="00960A9F">
        <w:trPr>
          <w:trHeight w:val="320"/>
        </w:trPr>
        <w:tc>
          <w:tcPr>
            <w:tcW w:w="9209" w:type="dxa"/>
            <w:shd w:val="clear" w:color="auto" w:fill="auto"/>
          </w:tcPr>
          <w:p w14:paraId="12F1CE74" w14:textId="77777777" w:rsidR="00FA366A" w:rsidRPr="002C21B8" w:rsidRDefault="00FA366A" w:rsidP="00212D46">
            <w:pPr>
              <w:spacing w:after="0" w:line="240" w:lineRule="auto"/>
              <w:rPr>
                <w:sz w:val="20"/>
                <w:szCs w:val="20"/>
              </w:rPr>
            </w:pPr>
            <w:r w:rsidRPr="002C21B8">
              <w:rPr>
                <w:sz w:val="20"/>
                <w:szCs w:val="20"/>
              </w:rPr>
              <w:t>Search for review articles between 2013 and 2023, limited to the first 200 studies</w:t>
            </w:r>
          </w:p>
        </w:tc>
      </w:tr>
      <w:tr w:rsidR="00FA366A" w:rsidRPr="002C21B8" w14:paraId="3E5B5BCE" w14:textId="77777777" w:rsidTr="00960A9F">
        <w:trPr>
          <w:trHeight w:val="320"/>
        </w:trPr>
        <w:tc>
          <w:tcPr>
            <w:tcW w:w="9209" w:type="dxa"/>
            <w:shd w:val="clear" w:color="auto" w:fill="auto"/>
          </w:tcPr>
          <w:p w14:paraId="03C1D6D5" w14:textId="77777777" w:rsidR="00FA366A" w:rsidRPr="002C21B8" w:rsidRDefault="00FA366A" w:rsidP="00212D46">
            <w:pPr>
              <w:spacing w:after="0" w:line="240" w:lineRule="auto"/>
              <w:rPr>
                <w:sz w:val="20"/>
                <w:szCs w:val="20"/>
              </w:rPr>
            </w:pPr>
            <w:r w:rsidRPr="002C21B8">
              <w:rPr>
                <w:sz w:val="20"/>
                <w:szCs w:val="20"/>
              </w:rPr>
              <w:t>“prescribing OR prescriptions AND factor OR factors OR determinant OR determinants OR barrier OR barriers OR facilitator OR facilitators OR influence OR influencing OR decision OR deciding OR behaviour OR attitudes AND systematic review OR meta-review OR meta-analysis OR meta review OR meta analysis OR review -antibiotic -non-medical -opioid”</w:t>
            </w:r>
          </w:p>
        </w:tc>
      </w:tr>
    </w:tbl>
    <w:p w14:paraId="51DDD10A" w14:textId="77777777" w:rsidR="00FA366A" w:rsidRPr="002C21B8" w:rsidRDefault="00FA366A" w:rsidP="003374F4"/>
    <w:p w14:paraId="45A9595B" w14:textId="77777777" w:rsidR="00FA366A" w:rsidRPr="002C21B8" w:rsidRDefault="00FA366A" w:rsidP="003374F4">
      <w:pPr>
        <w:sectPr w:rsidR="00FA366A" w:rsidRPr="002C21B8" w:rsidSect="0009672F">
          <w:headerReference w:type="default" r:id="rId163"/>
          <w:type w:val="continuous"/>
          <w:pgSz w:w="11906" w:h="16838"/>
          <w:pgMar w:top="1440" w:right="1440" w:bottom="1440" w:left="1440" w:header="708" w:footer="708" w:gutter="0"/>
          <w:cols w:space="708"/>
          <w:docGrid w:linePitch="360"/>
        </w:sectPr>
      </w:pPr>
    </w:p>
    <w:p w14:paraId="1E96281B" w14:textId="1B5B8DA7" w:rsidR="003801FF" w:rsidRPr="002C21B8" w:rsidRDefault="003801FF" w:rsidP="00BF6367">
      <w:pPr>
        <w:pStyle w:val="Heading3"/>
        <w:keepNext w:val="0"/>
        <w:keepLines w:val="0"/>
        <w:numPr>
          <w:ilvl w:val="0"/>
          <w:numId w:val="0"/>
        </w:numPr>
      </w:pPr>
      <w:bookmarkStart w:id="439" w:name="_Detailed_preferred_reporting"/>
      <w:bookmarkEnd w:id="439"/>
      <w:r w:rsidRPr="002C21B8">
        <w:t>Detailed preferred reporting items for systematic reviews and meta-analyses (PRISMA) diagram</w:t>
      </w:r>
    </w:p>
    <w:p w14:paraId="281C1D58" w14:textId="22560A13" w:rsidR="003801FF" w:rsidRPr="002C21B8" w:rsidRDefault="00BC6F26" w:rsidP="00BF6367">
      <w:r w:rsidRPr="002C21B8">
        <w:rPr>
          <w:noProof/>
        </w:rPr>
        <w:drawing>
          <wp:inline distT="0" distB="0" distL="0" distR="0" wp14:anchorId="59CD3C8A" wp14:editId="7B9038F4">
            <wp:extent cx="7085214" cy="5009882"/>
            <wp:effectExtent l="0" t="0" r="1905" b="0"/>
            <wp:docPr id="389371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71508" name=""/>
                    <pic:cNvPicPr/>
                  </pic:nvPicPr>
                  <pic:blipFill>
                    <a:blip r:embed="rId164"/>
                    <a:stretch>
                      <a:fillRect/>
                    </a:stretch>
                  </pic:blipFill>
                  <pic:spPr>
                    <a:xfrm>
                      <a:off x="0" y="0"/>
                      <a:ext cx="7092786" cy="5015236"/>
                    </a:xfrm>
                    <a:prstGeom prst="rect">
                      <a:avLst/>
                    </a:prstGeom>
                  </pic:spPr>
                </pic:pic>
              </a:graphicData>
            </a:graphic>
          </wp:inline>
        </w:drawing>
      </w:r>
    </w:p>
    <w:p w14:paraId="0CD5C10B" w14:textId="705BC3C7" w:rsidR="00FA366A" w:rsidRPr="002C21B8" w:rsidRDefault="00950CA8" w:rsidP="004507C8">
      <w:pPr>
        <w:pStyle w:val="Heading3"/>
        <w:numPr>
          <w:ilvl w:val="0"/>
          <w:numId w:val="0"/>
        </w:numPr>
      </w:pPr>
      <w:bookmarkStart w:id="440" w:name="_Details_of_included"/>
      <w:bookmarkEnd w:id="440"/>
      <w:r w:rsidRPr="002C21B8">
        <w:t>Details of included studies</w:t>
      </w:r>
    </w:p>
    <w:tbl>
      <w:tblPr>
        <w:tblStyle w:val="TableGrid"/>
        <w:tblW w:w="14852" w:type="dxa"/>
        <w:tblLayout w:type="fixed"/>
        <w:tblLook w:val="04A0" w:firstRow="1" w:lastRow="0" w:firstColumn="1" w:lastColumn="0" w:noHBand="0" w:noVBand="1"/>
      </w:tblPr>
      <w:tblGrid>
        <w:gridCol w:w="2381"/>
        <w:gridCol w:w="1191"/>
        <w:gridCol w:w="850"/>
        <w:gridCol w:w="1587"/>
        <w:gridCol w:w="1020"/>
        <w:gridCol w:w="680"/>
        <w:gridCol w:w="1020"/>
        <w:gridCol w:w="1928"/>
        <w:gridCol w:w="1474"/>
        <w:gridCol w:w="1020"/>
        <w:gridCol w:w="1701"/>
      </w:tblGrid>
      <w:tr w:rsidR="00DE391F" w:rsidRPr="002C21B8" w14:paraId="6C3B6C4F" w14:textId="77777777" w:rsidTr="00DE391F">
        <w:tc>
          <w:tcPr>
            <w:tcW w:w="2381" w:type="dxa"/>
            <w:shd w:val="clear" w:color="auto" w:fill="auto"/>
            <w:vAlign w:val="center"/>
          </w:tcPr>
          <w:p w14:paraId="7F5B7352" w14:textId="77777777" w:rsidR="00FA366A" w:rsidRPr="002C21B8" w:rsidRDefault="00FA366A" w:rsidP="003801FF">
            <w:pPr>
              <w:spacing w:after="0" w:line="240" w:lineRule="auto"/>
              <w:jc w:val="left"/>
              <w:rPr>
                <w:b/>
                <w:bCs/>
                <w:sz w:val="14"/>
                <w:szCs w:val="14"/>
              </w:rPr>
            </w:pPr>
            <w:r w:rsidRPr="002C21B8">
              <w:rPr>
                <w:b/>
                <w:bCs/>
                <w:sz w:val="14"/>
                <w:szCs w:val="14"/>
              </w:rPr>
              <w:t>Study Year</w:t>
            </w:r>
          </w:p>
        </w:tc>
        <w:tc>
          <w:tcPr>
            <w:tcW w:w="1191" w:type="dxa"/>
            <w:shd w:val="clear" w:color="auto" w:fill="auto"/>
            <w:vAlign w:val="center"/>
          </w:tcPr>
          <w:p w14:paraId="7264170F" w14:textId="77777777" w:rsidR="00FA366A" w:rsidRPr="002C21B8" w:rsidRDefault="00FA366A" w:rsidP="003801FF">
            <w:pPr>
              <w:spacing w:after="0" w:line="240" w:lineRule="auto"/>
              <w:jc w:val="left"/>
              <w:rPr>
                <w:b/>
                <w:bCs/>
                <w:sz w:val="14"/>
                <w:szCs w:val="14"/>
              </w:rPr>
            </w:pPr>
            <w:r w:rsidRPr="002C21B8">
              <w:rPr>
                <w:b/>
                <w:bCs/>
                <w:sz w:val="14"/>
                <w:szCs w:val="14"/>
              </w:rPr>
              <w:t>Country of origin</w:t>
            </w:r>
          </w:p>
        </w:tc>
        <w:tc>
          <w:tcPr>
            <w:tcW w:w="850" w:type="dxa"/>
            <w:shd w:val="clear" w:color="auto" w:fill="auto"/>
            <w:vAlign w:val="center"/>
          </w:tcPr>
          <w:p w14:paraId="04D58779" w14:textId="77777777" w:rsidR="00FA366A" w:rsidRPr="002C21B8" w:rsidRDefault="00FA366A" w:rsidP="003801FF">
            <w:pPr>
              <w:spacing w:after="0" w:line="240" w:lineRule="auto"/>
              <w:jc w:val="left"/>
              <w:rPr>
                <w:b/>
                <w:bCs/>
                <w:sz w:val="14"/>
                <w:szCs w:val="14"/>
              </w:rPr>
            </w:pPr>
            <w:r w:rsidRPr="002C21B8">
              <w:rPr>
                <w:b/>
                <w:bCs/>
                <w:sz w:val="14"/>
                <w:szCs w:val="14"/>
              </w:rPr>
              <w:t>Databases (n)</w:t>
            </w:r>
          </w:p>
        </w:tc>
        <w:tc>
          <w:tcPr>
            <w:tcW w:w="1587" w:type="dxa"/>
            <w:shd w:val="clear" w:color="auto" w:fill="auto"/>
            <w:vAlign w:val="center"/>
          </w:tcPr>
          <w:p w14:paraId="0EBAEB87" w14:textId="77777777" w:rsidR="00FA366A" w:rsidRPr="002C21B8" w:rsidRDefault="00FA366A" w:rsidP="003801FF">
            <w:pPr>
              <w:spacing w:after="0" w:line="240" w:lineRule="auto"/>
              <w:jc w:val="left"/>
              <w:rPr>
                <w:b/>
                <w:bCs/>
                <w:sz w:val="14"/>
                <w:szCs w:val="14"/>
              </w:rPr>
            </w:pPr>
            <w:r w:rsidRPr="002C21B8">
              <w:rPr>
                <w:b/>
                <w:bCs/>
                <w:sz w:val="14"/>
                <w:szCs w:val="14"/>
              </w:rPr>
              <w:t>Date range of search</w:t>
            </w:r>
          </w:p>
        </w:tc>
        <w:tc>
          <w:tcPr>
            <w:tcW w:w="1020" w:type="dxa"/>
            <w:shd w:val="clear" w:color="auto" w:fill="auto"/>
            <w:vAlign w:val="center"/>
          </w:tcPr>
          <w:p w14:paraId="33EA40DB" w14:textId="77777777" w:rsidR="00FA366A" w:rsidRPr="002C21B8" w:rsidRDefault="00FA366A" w:rsidP="003801FF">
            <w:pPr>
              <w:spacing w:after="0" w:line="240" w:lineRule="auto"/>
              <w:jc w:val="left"/>
              <w:rPr>
                <w:b/>
                <w:bCs/>
                <w:sz w:val="14"/>
                <w:szCs w:val="14"/>
              </w:rPr>
            </w:pPr>
            <w:r w:rsidRPr="002C21B8">
              <w:rPr>
                <w:b/>
                <w:bCs/>
                <w:sz w:val="14"/>
                <w:szCs w:val="14"/>
              </w:rPr>
              <w:t>Publication date range</w:t>
            </w:r>
          </w:p>
        </w:tc>
        <w:tc>
          <w:tcPr>
            <w:tcW w:w="680" w:type="dxa"/>
            <w:shd w:val="clear" w:color="auto" w:fill="auto"/>
            <w:vAlign w:val="center"/>
          </w:tcPr>
          <w:p w14:paraId="3CC6EED8" w14:textId="77777777" w:rsidR="00FA366A" w:rsidRPr="002C21B8" w:rsidRDefault="00FA366A" w:rsidP="003801FF">
            <w:pPr>
              <w:spacing w:after="0" w:line="240" w:lineRule="auto"/>
              <w:jc w:val="left"/>
              <w:rPr>
                <w:b/>
                <w:bCs/>
                <w:sz w:val="14"/>
                <w:szCs w:val="14"/>
              </w:rPr>
            </w:pPr>
            <w:r w:rsidRPr="002C21B8">
              <w:rPr>
                <w:b/>
                <w:bCs/>
                <w:sz w:val="14"/>
                <w:szCs w:val="14"/>
              </w:rPr>
              <w:t>Studies (n)</w:t>
            </w:r>
          </w:p>
        </w:tc>
        <w:tc>
          <w:tcPr>
            <w:tcW w:w="1020" w:type="dxa"/>
            <w:shd w:val="clear" w:color="auto" w:fill="auto"/>
            <w:vAlign w:val="center"/>
          </w:tcPr>
          <w:p w14:paraId="36C5B3C7" w14:textId="77777777" w:rsidR="00FA366A" w:rsidRPr="002C21B8" w:rsidRDefault="00FA366A" w:rsidP="003801FF">
            <w:pPr>
              <w:spacing w:after="0" w:line="240" w:lineRule="auto"/>
              <w:jc w:val="left"/>
              <w:rPr>
                <w:b/>
                <w:bCs/>
                <w:sz w:val="14"/>
                <w:szCs w:val="14"/>
              </w:rPr>
            </w:pPr>
            <w:r w:rsidRPr="002C21B8">
              <w:rPr>
                <w:b/>
                <w:bCs/>
                <w:sz w:val="14"/>
                <w:szCs w:val="14"/>
              </w:rPr>
              <w:t>Origin of studies</w:t>
            </w:r>
          </w:p>
        </w:tc>
        <w:tc>
          <w:tcPr>
            <w:tcW w:w="1928" w:type="dxa"/>
            <w:shd w:val="clear" w:color="auto" w:fill="auto"/>
            <w:vAlign w:val="center"/>
          </w:tcPr>
          <w:p w14:paraId="598EB4EE" w14:textId="77777777" w:rsidR="00FA366A" w:rsidRPr="002C21B8" w:rsidRDefault="00FA366A" w:rsidP="003801FF">
            <w:pPr>
              <w:spacing w:after="0" w:line="240" w:lineRule="auto"/>
              <w:jc w:val="left"/>
              <w:rPr>
                <w:b/>
                <w:bCs/>
                <w:sz w:val="14"/>
                <w:szCs w:val="14"/>
              </w:rPr>
            </w:pPr>
            <w:r w:rsidRPr="002C21B8">
              <w:rPr>
                <w:b/>
                <w:bCs/>
                <w:sz w:val="14"/>
                <w:szCs w:val="14"/>
              </w:rPr>
              <w:t>Setting</w:t>
            </w:r>
          </w:p>
        </w:tc>
        <w:tc>
          <w:tcPr>
            <w:tcW w:w="1474" w:type="dxa"/>
            <w:shd w:val="clear" w:color="auto" w:fill="auto"/>
            <w:vAlign w:val="center"/>
          </w:tcPr>
          <w:p w14:paraId="52BFEDEB" w14:textId="77777777" w:rsidR="00FA366A" w:rsidRPr="002C21B8" w:rsidRDefault="00FA366A" w:rsidP="003801FF">
            <w:pPr>
              <w:spacing w:after="0" w:line="240" w:lineRule="auto"/>
              <w:jc w:val="left"/>
              <w:rPr>
                <w:b/>
                <w:bCs/>
                <w:sz w:val="14"/>
                <w:szCs w:val="14"/>
              </w:rPr>
            </w:pPr>
            <w:r w:rsidRPr="002C21B8">
              <w:rPr>
                <w:b/>
                <w:bCs/>
                <w:sz w:val="14"/>
                <w:szCs w:val="14"/>
              </w:rPr>
              <w:t>Disease area</w:t>
            </w:r>
          </w:p>
        </w:tc>
        <w:tc>
          <w:tcPr>
            <w:tcW w:w="1020" w:type="dxa"/>
            <w:shd w:val="clear" w:color="auto" w:fill="auto"/>
            <w:vAlign w:val="center"/>
          </w:tcPr>
          <w:p w14:paraId="281739F2" w14:textId="77777777" w:rsidR="00FA366A" w:rsidRPr="002C21B8" w:rsidRDefault="00FA366A" w:rsidP="003801FF">
            <w:pPr>
              <w:spacing w:after="0" w:line="240" w:lineRule="auto"/>
              <w:jc w:val="left"/>
              <w:rPr>
                <w:b/>
                <w:bCs/>
                <w:sz w:val="14"/>
                <w:szCs w:val="14"/>
              </w:rPr>
            </w:pPr>
            <w:r w:rsidRPr="002C21B8">
              <w:rPr>
                <w:b/>
                <w:bCs/>
                <w:sz w:val="14"/>
                <w:szCs w:val="14"/>
              </w:rPr>
              <w:t>Study type</w:t>
            </w:r>
          </w:p>
        </w:tc>
        <w:tc>
          <w:tcPr>
            <w:tcW w:w="1701" w:type="dxa"/>
            <w:shd w:val="clear" w:color="auto" w:fill="auto"/>
            <w:vAlign w:val="center"/>
          </w:tcPr>
          <w:p w14:paraId="1E16D022" w14:textId="77777777" w:rsidR="00FA366A" w:rsidRPr="002C21B8" w:rsidRDefault="00FA366A" w:rsidP="003801FF">
            <w:pPr>
              <w:spacing w:after="0" w:line="240" w:lineRule="auto"/>
              <w:jc w:val="left"/>
              <w:rPr>
                <w:b/>
                <w:bCs/>
                <w:sz w:val="14"/>
                <w:szCs w:val="14"/>
              </w:rPr>
            </w:pPr>
            <w:r w:rsidRPr="002C21B8">
              <w:rPr>
                <w:b/>
                <w:bCs/>
                <w:sz w:val="14"/>
                <w:szCs w:val="14"/>
              </w:rPr>
              <w:t>Funding source</w:t>
            </w:r>
          </w:p>
        </w:tc>
      </w:tr>
      <w:tr w:rsidR="00DE391F" w:rsidRPr="002C21B8" w14:paraId="1B6D5A04" w14:textId="77777777" w:rsidTr="00DE391F">
        <w:tc>
          <w:tcPr>
            <w:tcW w:w="2381" w:type="dxa"/>
            <w:vAlign w:val="center"/>
          </w:tcPr>
          <w:p w14:paraId="3EB7093C" w14:textId="2442AAB1" w:rsidR="00DE391F" w:rsidRPr="002C21B8" w:rsidRDefault="00DE391F" w:rsidP="00DE391F">
            <w:pPr>
              <w:spacing w:after="0" w:line="240" w:lineRule="auto"/>
              <w:jc w:val="left"/>
              <w:rPr>
                <w:sz w:val="14"/>
                <w:szCs w:val="14"/>
              </w:rPr>
            </w:pPr>
            <w:r w:rsidRPr="002C21B8">
              <w:rPr>
                <w:color w:val="000000"/>
                <w:sz w:val="14"/>
                <w:szCs w:val="14"/>
              </w:rPr>
              <w:t>(Abdelkader</w:t>
            </w:r>
            <w:r w:rsidRPr="002C21B8">
              <w:rPr>
                <w:i/>
                <w:iCs/>
                <w:color w:val="000000"/>
                <w:sz w:val="14"/>
                <w:szCs w:val="14"/>
              </w:rPr>
              <w:t xml:space="preserve"> et al.</w:t>
            </w:r>
            <w:r w:rsidRPr="002C21B8">
              <w:rPr>
                <w:color w:val="000000"/>
                <w:sz w:val="14"/>
                <w:szCs w:val="14"/>
              </w:rPr>
              <w:t>, 2023)</w:t>
            </w:r>
          </w:p>
        </w:tc>
        <w:tc>
          <w:tcPr>
            <w:tcW w:w="1191" w:type="dxa"/>
          </w:tcPr>
          <w:p w14:paraId="0EEA2A47" w14:textId="77777777" w:rsidR="00DE391F" w:rsidRPr="002C21B8" w:rsidRDefault="00DE391F" w:rsidP="00DE391F">
            <w:pPr>
              <w:spacing w:after="0" w:line="240" w:lineRule="auto"/>
              <w:jc w:val="left"/>
              <w:rPr>
                <w:sz w:val="14"/>
                <w:szCs w:val="14"/>
              </w:rPr>
            </w:pPr>
            <w:r w:rsidRPr="002C21B8">
              <w:rPr>
                <w:sz w:val="14"/>
                <w:szCs w:val="14"/>
              </w:rPr>
              <w:t>Qatar</w:t>
            </w:r>
          </w:p>
        </w:tc>
        <w:tc>
          <w:tcPr>
            <w:tcW w:w="850" w:type="dxa"/>
          </w:tcPr>
          <w:p w14:paraId="48649359" w14:textId="77777777" w:rsidR="00DE391F" w:rsidRPr="002C21B8" w:rsidRDefault="00DE391F" w:rsidP="00DE391F">
            <w:pPr>
              <w:spacing w:after="0" w:line="240" w:lineRule="auto"/>
              <w:jc w:val="left"/>
              <w:rPr>
                <w:sz w:val="14"/>
                <w:szCs w:val="14"/>
              </w:rPr>
            </w:pPr>
            <w:r w:rsidRPr="002C21B8">
              <w:rPr>
                <w:sz w:val="14"/>
                <w:szCs w:val="14"/>
              </w:rPr>
              <w:t>10</w:t>
            </w:r>
          </w:p>
        </w:tc>
        <w:tc>
          <w:tcPr>
            <w:tcW w:w="1587" w:type="dxa"/>
          </w:tcPr>
          <w:p w14:paraId="5575A7F4" w14:textId="77777777" w:rsidR="00DE391F" w:rsidRPr="002C21B8" w:rsidRDefault="00DE391F" w:rsidP="00DE391F">
            <w:pPr>
              <w:spacing w:after="0" w:line="240" w:lineRule="auto"/>
              <w:jc w:val="left"/>
              <w:rPr>
                <w:sz w:val="14"/>
                <w:szCs w:val="14"/>
              </w:rPr>
            </w:pPr>
            <w:r w:rsidRPr="002C21B8">
              <w:rPr>
                <w:sz w:val="14"/>
                <w:szCs w:val="14"/>
              </w:rPr>
              <w:t>Jan 2010 – Mar 2021</w:t>
            </w:r>
          </w:p>
        </w:tc>
        <w:tc>
          <w:tcPr>
            <w:tcW w:w="1020" w:type="dxa"/>
          </w:tcPr>
          <w:p w14:paraId="1DB927B1" w14:textId="77777777" w:rsidR="00DE391F" w:rsidRPr="002C21B8" w:rsidRDefault="00DE391F" w:rsidP="00DE391F">
            <w:pPr>
              <w:spacing w:after="0" w:line="240" w:lineRule="auto"/>
              <w:jc w:val="left"/>
              <w:rPr>
                <w:sz w:val="14"/>
                <w:szCs w:val="14"/>
              </w:rPr>
            </w:pPr>
            <w:r w:rsidRPr="002C21B8">
              <w:rPr>
                <w:sz w:val="14"/>
                <w:szCs w:val="14"/>
              </w:rPr>
              <w:t>2010 – 2020</w:t>
            </w:r>
          </w:p>
        </w:tc>
        <w:tc>
          <w:tcPr>
            <w:tcW w:w="680" w:type="dxa"/>
            <w:vAlign w:val="center"/>
          </w:tcPr>
          <w:p w14:paraId="633461ED" w14:textId="77777777" w:rsidR="00DE391F" w:rsidRPr="002C21B8" w:rsidRDefault="00DE391F" w:rsidP="00DE391F">
            <w:pPr>
              <w:spacing w:after="0" w:line="240" w:lineRule="auto"/>
              <w:jc w:val="left"/>
              <w:rPr>
                <w:sz w:val="14"/>
                <w:szCs w:val="14"/>
              </w:rPr>
            </w:pPr>
            <w:r w:rsidRPr="002C21B8">
              <w:rPr>
                <w:sz w:val="14"/>
                <w:szCs w:val="14"/>
              </w:rPr>
              <w:t>40</w:t>
            </w:r>
          </w:p>
        </w:tc>
        <w:tc>
          <w:tcPr>
            <w:tcW w:w="1020" w:type="dxa"/>
          </w:tcPr>
          <w:p w14:paraId="6B9DBCE0"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1D63E047"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1B9FC3DC" w14:textId="77777777" w:rsidR="00DE391F" w:rsidRPr="002C21B8" w:rsidRDefault="00DE391F" w:rsidP="00DE391F">
            <w:pPr>
              <w:spacing w:after="0" w:line="240" w:lineRule="auto"/>
              <w:jc w:val="left"/>
              <w:rPr>
                <w:sz w:val="14"/>
                <w:szCs w:val="14"/>
              </w:rPr>
            </w:pPr>
            <w:r w:rsidRPr="002C21B8">
              <w:rPr>
                <w:sz w:val="14"/>
                <w:szCs w:val="14"/>
              </w:rPr>
              <w:t>Hypertension</w:t>
            </w:r>
          </w:p>
        </w:tc>
        <w:tc>
          <w:tcPr>
            <w:tcW w:w="1020" w:type="dxa"/>
            <w:vAlign w:val="center"/>
          </w:tcPr>
          <w:p w14:paraId="5B298E03"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6439E0AE" w14:textId="77777777" w:rsidR="00DE391F" w:rsidRPr="002C21B8" w:rsidRDefault="00DE391F" w:rsidP="00DE391F">
            <w:pPr>
              <w:spacing w:after="0" w:line="240" w:lineRule="auto"/>
              <w:jc w:val="left"/>
              <w:rPr>
                <w:sz w:val="14"/>
                <w:szCs w:val="14"/>
              </w:rPr>
            </w:pPr>
            <w:r w:rsidRPr="002C21B8">
              <w:rPr>
                <w:sz w:val="14"/>
                <w:szCs w:val="14"/>
              </w:rPr>
              <w:t>University</w:t>
            </w:r>
          </w:p>
        </w:tc>
      </w:tr>
      <w:tr w:rsidR="00DE391F" w:rsidRPr="002C21B8" w14:paraId="517BC403" w14:textId="77777777" w:rsidTr="00DE391F">
        <w:tc>
          <w:tcPr>
            <w:tcW w:w="2381" w:type="dxa"/>
            <w:vAlign w:val="center"/>
          </w:tcPr>
          <w:p w14:paraId="4D230705" w14:textId="556E3CC7" w:rsidR="00DE391F" w:rsidRPr="002C21B8" w:rsidRDefault="00DE391F" w:rsidP="00DE391F">
            <w:pPr>
              <w:spacing w:after="0" w:line="240" w:lineRule="auto"/>
              <w:jc w:val="left"/>
              <w:rPr>
                <w:sz w:val="14"/>
                <w:szCs w:val="14"/>
              </w:rPr>
            </w:pPr>
            <w:r w:rsidRPr="002C21B8">
              <w:rPr>
                <w:color w:val="000000"/>
                <w:sz w:val="14"/>
                <w:szCs w:val="14"/>
              </w:rPr>
              <w:t>(Arshad</w:t>
            </w:r>
            <w:r w:rsidRPr="002C21B8">
              <w:rPr>
                <w:i/>
                <w:iCs/>
                <w:color w:val="000000"/>
                <w:sz w:val="14"/>
                <w:szCs w:val="14"/>
              </w:rPr>
              <w:t xml:space="preserve"> et al.</w:t>
            </w:r>
            <w:r w:rsidRPr="002C21B8">
              <w:rPr>
                <w:color w:val="000000"/>
                <w:sz w:val="14"/>
                <w:szCs w:val="14"/>
              </w:rPr>
              <w:t>, 2021)</w:t>
            </w:r>
          </w:p>
        </w:tc>
        <w:tc>
          <w:tcPr>
            <w:tcW w:w="1191" w:type="dxa"/>
          </w:tcPr>
          <w:p w14:paraId="53D1342A" w14:textId="77777777" w:rsidR="00DE391F" w:rsidRPr="002C21B8" w:rsidRDefault="00DE391F" w:rsidP="00DE391F">
            <w:pPr>
              <w:spacing w:after="0" w:line="240" w:lineRule="auto"/>
              <w:jc w:val="left"/>
              <w:rPr>
                <w:sz w:val="14"/>
                <w:szCs w:val="14"/>
              </w:rPr>
            </w:pPr>
            <w:r w:rsidRPr="002C21B8">
              <w:rPr>
                <w:sz w:val="14"/>
                <w:szCs w:val="14"/>
              </w:rPr>
              <w:t>Pakistan</w:t>
            </w:r>
          </w:p>
        </w:tc>
        <w:tc>
          <w:tcPr>
            <w:tcW w:w="850" w:type="dxa"/>
          </w:tcPr>
          <w:p w14:paraId="1BCB17EF" w14:textId="77777777" w:rsidR="00DE391F" w:rsidRPr="002C21B8" w:rsidRDefault="00DE391F" w:rsidP="00DE391F">
            <w:pPr>
              <w:spacing w:after="0" w:line="240" w:lineRule="auto"/>
              <w:jc w:val="left"/>
              <w:rPr>
                <w:sz w:val="14"/>
                <w:szCs w:val="14"/>
              </w:rPr>
            </w:pPr>
            <w:r w:rsidRPr="002C21B8">
              <w:rPr>
                <w:sz w:val="14"/>
                <w:szCs w:val="14"/>
              </w:rPr>
              <w:t>3</w:t>
            </w:r>
          </w:p>
        </w:tc>
        <w:tc>
          <w:tcPr>
            <w:tcW w:w="1587" w:type="dxa"/>
          </w:tcPr>
          <w:p w14:paraId="5961FC25" w14:textId="77777777" w:rsidR="00DE391F" w:rsidRPr="002C21B8" w:rsidRDefault="00DE391F" w:rsidP="00DE391F">
            <w:pPr>
              <w:spacing w:after="0" w:line="240" w:lineRule="auto"/>
              <w:jc w:val="left"/>
              <w:rPr>
                <w:sz w:val="14"/>
                <w:szCs w:val="14"/>
              </w:rPr>
            </w:pPr>
            <w:r w:rsidRPr="002C21B8">
              <w:rPr>
                <w:sz w:val="14"/>
                <w:szCs w:val="14"/>
              </w:rPr>
              <w:t>Jan 2000 – Jan 2019</w:t>
            </w:r>
          </w:p>
        </w:tc>
        <w:tc>
          <w:tcPr>
            <w:tcW w:w="1020" w:type="dxa"/>
          </w:tcPr>
          <w:p w14:paraId="1F130CDB" w14:textId="77777777" w:rsidR="00DE391F" w:rsidRPr="002C21B8" w:rsidRDefault="00DE391F" w:rsidP="00DE391F">
            <w:pPr>
              <w:spacing w:after="0" w:line="240" w:lineRule="auto"/>
              <w:jc w:val="left"/>
              <w:rPr>
                <w:sz w:val="14"/>
                <w:szCs w:val="14"/>
              </w:rPr>
            </w:pPr>
            <w:r w:rsidRPr="002C21B8">
              <w:rPr>
                <w:sz w:val="14"/>
                <w:szCs w:val="14"/>
              </w:rPr>
              <w:t>2000 – 2018</w:t>
            </w:r>
          </w:p>
        </w:tc>
        <w:tc>
          <w:tcPr>
            <w:tcW w:w="680" w:type="dxa"/>
            <w:vAlign w:val="center"/>
          </w:tcPr>
          <w:p w14:paraId="38E0F93D" w14:textId="77777777" w:rsidR="00DE391F" w:rsidRPr="002C21B8" w:rsidRDefault="00DE391F" w:rsidP="00DE391F">
            <w:pPr>
              <w:spacing w:after="0" w:line="240" w:lineRule="auto"/>
              <w:jc w:val="left"/>
              <w:rPr>
                <w:sz w:val="14"/>
                <w:szCs w:val="14"/>
              </w:rPr>
            </w:pPr>
            <w:r w:rsidRPr="002C21B8">
              <w:rPr>
                <w:sz w:val="14"/>
                <w:szCs w:val="14"/>
              </w:rPr>
              <w:t>26</w:t>
            </w:r>
          </w:p>
        </w:tc>
        <w:tc>
          <w:tcPr>
            <w:tcW w:w="1020" w:type="dxa"/>
          </w:tcPr>
          <w:p w14:paraId="29C65E2C"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A177CA0"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3214DA45" w14:textId="77777777" w:rsidR="00DE391F" w:rsidRPr="002C21B8" w:rsidRDefault="00DE391F" w:rsidP="00DE391F">
            <w:pPr>
              <w:spacing w:after="0" w:line="240" w:lineRule="auto"/>
              <w:jc w:val="left"/>
              <w:rPr>
                <w:sz w:val="14"/>
                <w:szCs w:val="14"/>
              </w:rPr>
            </w:pPr>
            <w:r w:rsidRPr="002C21B8">
              <w:rPr>
                <w:sz w:val="14"/>
                <w:szCs w:val="14"/>
              </w:rPr>
              <w:t>Hypertension</w:t>
            </w:r>
          </w:p>
        </w:tc>
        <w:tc>
          <w:tcPr>
            <w:tcW w:w="1020" w:type="dxa"/>
            <w:vAlign w:val="center"/>
          </w:tcPr>
          <w:p w14:paraId="6506623B"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40F3511E"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6701F647" w14:textId="77777777" w:rsidTr="00DE391F">
        <w:tc>
          <w:tcPr>
            <w:tcW w:w="2381" w:type="dxa"/>
            <w:vAlign w:val="center"/>
          </w:tcPr>
          <w:p w14:paraId="141B984F" w14:textId="08D3E373" w:rsidR="00DE391F" w:rsidRPr="002C21B8" w:rsidRDefault="00DE391F" w:rsidP="00DE391F">
            <w:pPr>
              <w:spacing w:after="0" w:line="240" w:lineRule="auto"/>
              <w:jc w:val="left"/>
              <w:rPr>
                <w:sz w:val="14"/>
                <w:szCs w:val="14"/>
              </w:rPr>
            </w:pPr>
            <w:r w:rsidRPr="002C21B8">
              <w:rPr>
                <w:color w:val="000000"/>
                <w:sz w:val="14"/>
                <w:szCs w:val="14"/>
              </w:rPr>
              <w:t>(Bin Rsheed and Chenoweth, 2017)</w:t>
            </w:r>
          </w:p>
        </w:tc>
        <w:tc>
          <w:tcPr>
            <w:tcW w:w="1191" w:type="dxa"/>
          </w:tcPr>
          <w:p w14:paraId="01AED3CA" w14:textId="77777777" w:rsidR="00DE391F" w:rsidRPr="002C21B8" w:rsidRDefault="00DE391F" w:rsidP="00DE391F">
            <w:pPr>
              <w:spacing w:after="0" w:line="240" w:lineRule="auto"/>
              <w:jc w:val="left"/>
              <w:rPr>
                <w:sz w:val="14"/>
                <w:szCs w:val="14"/>
              </w:rPr>
            </w:pPr>
            <w:r w:rsidRPr="002C21B8">
              <w:rPr>
                <w:sz w:val="14"/>
                <w:szCs w:val="14"/>
              </w:rPr>
              <w:t>Saudi Arabia</w:t>
            </w:r>
          </w:p>
        </w:tc>
        <w:tc>
          <w:tcPr>
            <w:tcW w:w="850" w:type="dxa"/>
          </w:tcPr>
          <w:p w14:paraId="2AFF8BA1" w14:textId="77777777" w:rsidR="00DE391F" w:rsidRPr="002C21B8" w:rsidRDefault="00DE391F" w:rsidP="00DE391F">
            <w:pPr>
              <w:spacing w:after="0" w:line="240" w:lineRule="auto"/>
              <w:jc w:val="left"/>
              <w:rPr>
                <w:sz w:val="14"/>
                <w:szCs w:val="14"/>
              </w:rPr>
            </w:pPr>
            <w:r w:rsidRPr="002C21B8">
              <w:rPr>
                <w:sz w:val="14"/>
                <w:szCs w:val="14"/>
              </w:rPr>
              <w:t>8</w:t>
            </w:r>
          </w:p>
        </w:tc>
        <w:tc>
          <w:tcPr>
            <w:tcW w:w="1587" w:type="dxa"/>
          </w:tcPr>
          <w:p w14:paraId="289C6F84" w14:textId="77777777" w:rsidR="00DE391F" w:rsidRPr="002C21B8" w:rsidRDefault="00DE391F" w:rsidP="00DE391F">
            <w:pPr>
              <w:spacing w:after="0" w:line="240" w:lineRule="auto"/>
              <w:jc w:val="left"/>
              <w:rPr>
                <w:sz w:val="14"/>
                <w:szCs w:val="14"/>
              </w:rPr>
            </w:pPr>
            <w:r w:rsidRPr="002C21B8">
              <w:rPr>
                <w:sz w:val="14"/>
                <w:szCs w:val="14"/>
              </w:rPr>
              <w:t>Jan 1994 – August 2014</w:t>
            </w:r>
          </w:p>
        </w:tc>
        <w:tc>
          <w:tcPr>
            <w:tcW w:w="1020" w:type="dxa"/>
          </w:tcPr>
          <w:p w14:paraId="146EE523" w14:textId="77777777" w:rsidR="00DE391F" w:rsidRPr="002C21B8" w:rsidRDefault="00DE391F" w:rsidP="00DE391F">
            <w:pPr>
              <w:spacing w:after="0" w:line="240" w:lineRule="auto"/>
              <w:jc w:val="left"/>
              <w:rPr>
                <w:sz w:val="14"/>
                <w:szCs w:val="14"/>
              </w:rPr>
            </w:pPr>
            <w:r w:rsidRPr="002C21B8">
              <w:rPr>
                <w:sz w:val="14"/>
                <w:szCs w:val="14"/>
              </w:rPr>
              <w:t>2005 – 2014</w:t>
            </w:r>
          </w:p>
        </w:tc>
        <w:tc>
          <w:tcPr>
            <w:tcW w:w="680" w:type="dxa"/>
            <w:vAlign w:val="center"/>
          </w:tcPr>
          <w:p w14:paraId="7D591C72" w14:textId="77777777" w:rsidR="00DE391F" w:rsidRPr="002C21B8" w:rsidRDefault="00DE391F" w:rsidP="00DE391F">
            <w:pPr>
              <w:spacing w:after="0" w:line="240" w:lineRule="auto"/>
              <w:jc w:val="left"/>
              <w:rPr>
                <w:sz w:val="14"/>
                <w:szCs w:val="14"/>
              </w:rPr>
            </w:pPr>
            <w:r w:rsidRPr="002C21B8">
              <w:rPr>
                <w:sz w:val="14"/>
                <w:szCs w:val="14"/>
              </w:rPr>
              <w:t>19</w:t>
            </w:r>
          </w:p>
        </w:tc>
        <w:tc>
          <w:tcPr>
            <w:tcW w:w="1020" w:type="dxa"/>
          </w:tcPr>
          <w:p w14:paraId="5EA52C1C"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019A2131"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10F80150"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1557097F"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47140B4A" w14:textId="77777777" w:rsidR="00DE391F" w:rsidRPr="002C21B8" w:rsidRDefault="00DE391F" w:rsidP="00DE391F">
            <w:pPr>
              <w:spacing w:after="0" w:line="240" w:lineRule="auto"/>
              <w:jc w:val="left"/>
              <w:rPr>
                <w:sz w:val="14"/>
                <w:szCs w:val="14"/>
              </w:rPr>
            </w:pPr>
            <w:r w:rsidRPr="002C21B8">
              <w:rPr>
                <w:sz w:val="14"/>
                <w:szCs w:val="14"/>
              </w:rPr>
              <w:t>Not reported</w:t>
            </w:r>
          </w:p>
        </w:tc>
      </w:tr>
      <w:tr w:rsidR="00DE391F" w:rsidRPr="002C21B8" w14:paraId="35072224" w14:textId="77777777" w:rsidTr="00DE391F">
        <w:tc>
          <w:tcPr>
            <w:tcW w:w="2381" w:type="dxa"/>
            <w:vAlign w:val="center"/>
          </w:tcPr>
          <w:p w14:paraId="5151E299" w14:textId="215EBD8A" w:rsidR="00DE391F" w:rsidRPr="002C21B8" w:rsidRDefault="00DE391F" w:rsidP="00DE391F">
            <w:pPr>
              <w:spacing w:after="0" w:line="240" w:lineRule="auto"/>
              <w:jc w:val="left"/>
              <w:rPr>
                <w:sz w:val="14"/>
                <w:szCs w:val="14"/>
              </w:rPr>
            </w:pPr>
            <w:r w:rsidRPr="002C21B8">
              <w:rPr>
                <w:color w:val="000000"/>
                <w:sz w:val="14"/>
                <w:szCs w:val="14"/>
              </w:rPr>
              <w:t>(Byrne</w:t>
            </w:r>
            <w:r w:rsidRPr="002C21B8">
              <w:rPr>
                <w:i/>
                <w:iCs/>
                <w:color w:val="000000"/>
                <w:sz w:val="14"/>
                <w:szCs w:val="14"/>
              </w:rPr>
              <w:t xml:space="preserve"> et al.</w:t>
            </w:r>
            <w:r w:rsidRPr="002C21B8">
              <w:rPr>
                <w:color w:val="000000"/>
                <w:sz w:val="14"/>
                <w:szCs w:val="14"/>
              </w:rPr>
              <w:t>, 2022)</w:t>
            </w:r>
          </w:p>
        </w:tc>
        <w:tc>
          <w:tcPr>
            <w:tcW w:w="1191" w:type="dxa"/>
          </w:tcPr>
          <w:p w14:paraId="4D6EFB7F"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35B310E7" w14:textId="77777777" w:rsidR="00DE391F" w:rsidRPr="002C21B8" w:rsidRDefault="00DE391F" w:rsidP="00DE391F">
            <w:pPr>
              <w:spacing w:after="0" w:line="240" w:lineRule="auto"/>
              <w:jc w:val="left"/>
              <w:rPr>
                <w:sz w:val="14"/>
                <w:szCs w:val="14"/>
              </w:rPr>
            </w:pPr>
            <w:r w:rsidRPr="002C21B8">
              <w:rPr>
                <w:sz w:val="14"/>
                <w:szCs w:val="14"/>
              </w:rPr>
              <w:t>8</w:t>
            </w:r>
          </w:p>
        </w:tc>
        <w:tc>
          <w:tcPr>
            <w:tcW w:w="1587" w:type="dxa"/>
          </w:tcPr>
          <w:p w14:paraId="319C389F" w14:textId="77777777" w:rsidR="00DE391F" w:rsidRPr="002C21B8" w:rsidRDefault="00DE391F" w:rsidP="00DE391F">
            <w:pPr>
              <w:spacing w:after="0" w:line="240" w:lineRule="auto"/>
              <w:jc w:val="left"/>
              <w:rPr>
                <w:sz w:val="14"/>
                <w:szCs w:val="14"/>
              </w:rPr>
            </w:pPr>
            <w:r w:rsidRPr="002C21B8">
              <w:rPr>
                <w:sz w:val="14"/>
                <w:szCs w:val="14"/>
              </w:rPr>
              <w:t>Jan 2006 – Feb 2021</w:t>
            </w:r>
          </w:p>
        </w:tc>
        <w:tc>
          <w:tcPr>
            <w:tcW w:w="1020" w:type="dxa"/>
          </w:tcPr>
          <w:p w14:paraId="51350946"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7AB19047" w14:textId="77777777" w:rsidR="00DE391F" w:rsidRPr="002C21B8" w:rsidRDefault="00DE391F" w:rsidP="00DE391F">
            <w:pPr>
              <w:spacing w:after="0" w:line="240" w:lineRule="auto"/>
              <w:jc w:val="left"/>
              <w:rPr>
                <w:sz w:val="14"/>
                <w:szCs w:val="14"/>
              </w:rPr>
            </w:pPr>
            <w:r w:rsidRPr="002C21B8">
              <w:rPr>
                <w:sz w:val="14"/>
                <w:szCs w:val="14"/>
              </w:rPr>
              <w:t>42</w:t>
            </w:r>
          </w:p>
        </w:tc>
        <w:tc>
          <w:tcPr>
            <w:tcW w:w="1020" w:type="dxa"/>
          </w:tcPr>
          <w:p w14:paraId="08F8E96F"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5020018B"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76E81081"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3FCE0AFE" w14:textId="77777777" w:rsidR="00DE391F" w:rsidRPr="002C21B8" w:rsidRDefault="00DE391F" w:rsidP="00DE391F">
            <w:pPr>
              <w:spacing w:after="0" w:line="240" w:lineRule="auto"/>
              <w:jc w:val="left"/>
              <w:rPr>
                <w:sz w:val="14"/>
                <w:szCs w:val="14"/>
              </w:rPr>
            </w:pPr>
            <w:r w:rsidRPr="002C21B8">
              <w:rPr>
                <w:sz w:val="14"/>
                <w:szCs w:val="14"/>
              </w:rPr>
              <w:t>Qualitative</w:t>
            </w:r>
          </w:p>
        </w:tc>
        <w:tc>
          <w:tcPr>
            <w:tcW w:w="1701" w:type="dxa"/>
            <w:vAlign w:val="center"/>
          </w:tcPr>
          <w:p w14:paraId="5E887BED" w14:textId="77777777" w:rsidR="00DE391F" w:rsidRPr="002C21B8" w:rsidRDefault="00DE391F" w:rsidP="00DE391F">
            <w:pPr>
              <w:spacing w:after="0" w:line="240" w:lineRule="auto"/>
              <w:jc w:val="left"/>
              <w:rPr>
                <w:sz w:val="14"/>
                <w:szCs w:val="14"/>
              </w:rPr>
            </w:pPr>
            <w:r w:rsidRPr="002C21B8">
              <w:rPr>
                <w:sz w:val="14"/>
                <w:szCs w:val="14"/>
              </w:rPr>
              <w:t>Pharmaceutical company</w:t>
            </w:r>
          </w:p>
        </w:tc>
      </w:tr>
      <w:tr w:rsidR="00DE391F" w:rsidRPr="002C21B8" w14:paraId="6128E221" w14:textId="77777777" w:rsidTr="00DE391F">
        <w:tc>
          <w:tcPr>
            <w:tcW w:w="2381" w:type="dxa"/>
            <w:vAlign w:val="center"/>
          </w:tcPr>
          <w:p w14:paraId="6DB5A042" w14:textId="12BB32AA" w:rsidR="00DE391F" w:rsidRPr="002C21B8" w:rsidRDefault="00DE391F" w:rsidP="00DE391F">
            <w:pPr>
              <w:spacing w:after="0" w:line="240" w:lineRule="auto"/>
              <w:jc w:val="left"/>
              <w:rPr>
                <w:sz w:val="14"/>
                <w:szCs w:val="14"/>
              </w:rPr>
            </w:pPr>
            <w:r w:rsidRPr="002C21B8">
              <w:rPr>
                <w:color w:val="000000"/>
                <w:sz w:val="14"/>
                <w:szCs w:val="14"/>
              </w:rPr>
              <w:t>(Chin</w:t>
            </w:r>
            <w:r w:rsidRPr="002C21B8">
              <w:rPr>
                <w:i/>
                <w:iCs/>
                <w:color w:val="000000"/>
                <w:sz w:val="14"/>
                <w:szCs w:val="14"/>
              </w:rPr>
              <w:t xml:space="preserve"> et al.</w:t>
            </w:r>
            <w:r w:rsidRPr="002C21B8">
              <w:rPr>
                <w:color w:val="000000"/>
                <w:sz w:val="14"/>
                <w:szCs w:val="14"/>
              </w:rPr>
              <w:t>, 2016)</w:t>
            </w:r>
          </w:p>
        </w:tc>
        <w:tc>
          <w:tcPr>
            <w:tcW w:w="1191" w:type="dxa"/>
          </w:tcPr>
          <w:p w14:paraId="6BD1F45E" w14:textId="77777777" w:rsidR="00DE391F" w:rsidRPr="002C21B8" w:rsidRDefault="00DE391F" w:rsidP="00DE391F">
            <w:pPr>
              <w:spacing w:after="0" w:line="240" w:lineRule="auto"/>
              <w:jc w:val="left"/>
              <w:rPr>
                <w:sz w:val="14"/>
                <w:szCs w:val="14"/>
              </w:rPr>
            </w:pPr>
            <w:r w:rsidRPr="002C21B8">
              <w:rPr>
                <w:sz w:val="14"/>
                <w:szCs w:val="14"/>
              </w:rPr>
              <w:t>Australia</w:t>
            </w:r>
          </w:p>
        </w:tc>
        <w:tc>
          <w:tcPr>
            <w:tcW w:w="850" w:type="dxa"/>
          </w:tcPr>
          <w:p w14:paraId="7098A5AB"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2B188423" w14:textId="77777777" w:rsidR="00DE391F" w:rsidRPr="002C21B8" w:rsidRDefault="00DE391F" w:rsidP="00DE391F">
            <w:pPr>
              <w:spacing w:after="0" w:line="240" w:lineRule="auto"/>
              <w:jc w:val="left"/>
              <w:rPr>
                <w:sz w:val="14"/>
                <w:szCs w:val="14"/>
              </w:rPr>
            </w:pPr>
            <w:r w:rsidRPr="002C21B8">
              <w:rPr>
                <w:sz w:val="14"/>
                <w:szCs w:val="14"/>
              </w:rPr>
              <w:t>Jan 2000 – Jan 2015</w:t>
            </w:r>
          </w:p>
        </w:tc>
        <w:tc>
          <w:tcPr>
            <w:tcW w:w="1020" w:type="dxa"/>
          </w:tcPr>
          <w:p w14:paraId="669205A9" w14:textId="77777777" w:rsidR="00DE391F" w:rsidRPr="002C21B8" w:rsidRDefault="00DE391F" w:rsidP="00DE391F">
            <w:pPr>
              <w:spacing w:after="0" w:line="240" w:lineRule="auto"/>
              <w:jc w:val="left"/>
              <w:rPr>
                <w:sz w:val="14"/>
                <w:szCs w:val="14"/>
              </w:rPr>
            </w:pPr>
            <w:r w:rsidRPr="002C21B8">
              <w:rPr>
                <w:sz w:val="14"/>
                <w:szCs w:val="14"/>
              </w:rPr>
              <w:t>1994 – 2012</w:t>
            </w:r>
          </w:p>
        </w:tc>
        <w:tc>
          <w:tcPr>
            <w:tcW w:w="680" w:type="dxa"/>
            <w:vAlign w:val="center"/>
          </w:tcPr>
          <w:p w14:paraId="0AF00129" w14:textId="77777777" w:rsidR="00DE391F" w:rsidRPr="002C21B8" w:rsidRDefault="00DE391F" w:rsidP="00DE391F">
            <w:pPr>
              <w:spacing w:after="0" w:line="240" w:lineRule="auto"/>
              <w:jc w:val="left"/>
              <w:rPr>
                <w:sz w:val="14"/>
                <w:szCs w:val="14"/>
              </w:rPr>
            </w:pPr>
            <w:r w:rsidRPr="002C21B8">
              <w:rPr>
                <w:sz w:val="14"/>
                <w:szCs w:val="14"/>
              </w:rPr>
              <w:t>23</w:t>
            </w:r>
          </w:p>
        </w:tc>
        <w:tc>
          <w:tcPr>
            <w:tcW w:w="1020" w:type="dxa"/>
          </w:tcPr>
          <w:p w14:paraId="3469306D"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427397B8" w14:textId="77777777" w:rsidR="00DE391F" w:rsidRPr="002C21B8" w:rsidRDefault="00DE391F" w:rsidP="00DE391F">
            <w:pPr>
              <w:spacing w:after="0" w:line="240" w:lineRule="auto"/>
              <w:jc w:val="left"/>
              <w:rPr>
                <w:sz w:val="14"/>
                <w:szCs w:val="14"/>
              </w:rPr>
            </w:pPr>
            <w:r w:rsidRPr="002C21B8">
              <w:rPr>
                <w:sz w:val="14"/>
                <w:szCs w:val="14"/>
              </w:rPr>
              <w:t>Secondary</w:t>
            </w:r>
          </w:p>
        </w:tc>
        <w:tc>
          <w:tcPr>
            <w:tcW w:w="1474" w:type="dxa"/>
            <w:vAlign w:val="center"/>
          </w:tcPr>
          <w:p w14:paraId="67904AAE" w14:textId="77777777" w:rsidR="00DE391F" w:rsidRPr="002C21B8" w:rsidRDefault="00DE391F" w:rsidP="00DE391F">
            <w:pPr>
              <w:spacing w:after="0" w:line="240" w:lineRule="auto"/>
              <w:jc w:val="left"/>
              <w:rPr>
                <w:sz w:val="14"/>
                <w:szCs w:val="14"/>
              </w:rPr>
            </w:pPr>
            <w:r w:rsidRPr="002C21B8">
              <w:rPr>
                <w:sz w:val="14"/>
                <w:szCs w:val="14"/>
              </w:rPr>
              <w:t>Cardiovascular disease</w:t>
            </w:r>
          </w:p>
        </w:tc>
        <w:tc>
          <w:tcPr>
            <w:tcW w:w="1020" w:type="dxa"/>
            <w:vAlign w:val="center"/>
          </w:tcPr>
          <w:p w14:paraId="258DD113"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4C9A93E7"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4FADECCD" w14:textId="77777777" w:rsidTr="00DE391F">
        <w:tc>
          <w:tcPr>
            <w:tcW w:w="2381" w:type="dxa"/>
            <w:vAlign w:val="center"/>
          </w:tcPr>
          <w:p w14:paraId="7877E453" w14:textId="5CED6348" w:rsidR="00DE391F" w:rsidRPr="002C21B8" w:rsidRDefault="00DE391F" w:rsidP="00DE391F">
            <w:pPr>
              <w:spacing w:after="0" w:line="240" w:lineRule="auto"/>
              <w:jc w:val="left"/>
              <w:rPr>
                <w:sz w:val="14"/>
                <w:szCs w:val="14"/>
              </w:rPr>
            </w:pPr>
            <w:r w:rsidRPr="002C21B8">
              <w:rPr>
                <w:color w:val="000000"/>
                <w:sz w:val="14"/>
                <w:szCs w:val="14"/>
              </w:rPr>
              <w:t>(Dhungana</w:t>
            </w:r>
            <w:r w:rsidRPr="002C21B8">
              <w:rPr>
                <w:i/>
                <w:iCs/>
                <w:color w:val="000000"/>
                <w:sz w:val="14"/>
                <w:szCs w:val="14"/>
              </w:rPr>
              <w:t xml:space="preserve"> et al.</w:t>
            </w:r>
            <w:r w:rsidRPr="002C21B8">
              <w:rPr>
                <w:color w:val="000000"/>
                <w:sz w:val="14"/>
                <w:szCs w:val="14"/>
              </w:rPr>
              <w:t>, 2021)</w:t>
            </w:r>
          </w:p>
        </w:tc>
        <w:tc>
          <w:tcPr>
            <w:tcW w:w="1191" w:type="dxa"/>
          </w:tcPr>
          <w:p w14:paraId="2A7F4A47" w14:textId="77777777" w:rsidR="00DE391F" w:rsidRPr="002C21B8" w:rsidRDefault="00DE391F" w:rsidP="00DE391F">
            <w:pPr>
              <w:spacing w:after="0" w:line="240" w:lineRule="auto"/>
              <w:jc w:val="left"/>
              <w:rPr>
                <w:sz w:val="14"/>
                <w:szCs w:val="14"/>
              </w:rPr>
            </w:pPr>
            <w:r w:rsidRPr="002C21B8">
              <w:rPr>
                <w:sz w:val="14"/>
                <w:szCs w:val="14"/>
              </w:rPr>
              <w:t>Nepal</w:t>
            </w:r>
          </w:p>
        </w:tc>
        <w:tc>
          <w:tcPr>
            <w:tcW w:w="850" w:type="dxa"/>
          </w:tcPr>
          <w:p w14:paraId="70513E83" w14:textId="77777777" w:rsidR="00DE391F" w:rsidRPr="002C21B8" w:rsidRDefault="00DE391F" w:rsidP="00DE391F">
            <w:pPr>
              <w:spacing w:after="0" w:line="240" w:lineRule="auto"/>
              <w:jc w:val="left"/>
              <w:rPr>
                <w:sz w:val="14"/>
                <w:szCs w:val="14"/>
              </w:rPr>
            </w:pPr>
            <w:r w:rsidRPr="002C21B8">
              <w:rPr>
                <w:sz w:val="14"/>
                <w:szCs w:val="14"/>
              </w:rPr>
              <w:t>6</w:t>
            </w:r>
          </w:p>
        </w:tc>
        <w:tc>
          <w:tcPr>
            <w:tcW w:w="1587" w:type="dxa"/>
          </w:tcPr>
          <w:p w14:paraId="77D814AF" w14:textId="77777777" w:rsidR="00DE391F" w:rsidRPr="002C21B8" w:rsidRDefault="00DE391F" w:rsidP="00DE391F">
            <w:pPr>
              <w:spacing w:after="0" w:line="240" w:lineRule="auto"/>
              <w:jc w:val="left"/>
              <w:rPr>
                <w:sz w:val="14"/>
                <w:szCs w:val="14"/>
              </w:rPr>
            </w:pPr>
            <w:r w:rsidRPr="002C21B8">
              <w:rPr>
                <w:sz w:val="14"/>
                <w:szCs w:val="14"/>
              </w:rPr>
              <w:t>Jan 2000 – Jan 2020</w:t>
            </w:r>
          </w:p>
        </w:tc>
        <w:tc>
          <w:tcPr>
            <w:tcW w:w="1020" w:type="dxa"/>
          </w:tcPr>
          <w:p w14:paraId="379E6966"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533E3037" w14:textId="77777777" w:rsidR="00DE391F" w:rsidRPr="002C21B8" w:rsidRDefault="00DE391F" w:rsidP="00DE391F">
            <w:pPr>
              <w:spacing w:after="0" w:line="240" w:lineRule="auto"/>
              <w:jc w:val="left"/>
              <w:rPr>
                <w:sz w:val="14"/>
                <w:szCs w:val="14"/>
              </w:rPr>
            </w:pPr>
            <w:r w:rsidRPr="002C21B8">
              <w:rPr>
                <w:sz w:val="14"/>
                <w:szCs w:val="14"/>
              </w:rPr>
              <w:t>15</w:t>
            </w:r>
          </w:p>
        </w:tc>
        <w:tc>
          <w:tcPr>
            <w:tcW w:w="1020" w:type="dxa"/>
          </w:tcPr>
          <w:p w14:paraId="13CC96BC" w14:textId="77777777" w:rsidR="00DE391F" w:rsidRPr="002C21B8" w:rsidRDefault="00DE391F" w:rsidP="00DE391F">
            <w:pPr>
              <w:spacing w:after="0" w:line="240" w:lineRule="auto"/>
              <w:jc w:val="left"/>
              <w:rPr>
                <w:sz w:val="14"/>
                <w:szCs w:val="14"/>
              </w:rPr>
            </w:pPr>
            <w:r w:rsidRPr="002C21B8">
              <w:rPr>
                <w:sz w:val="14"/>
                <w:szCs w:val="14"/>
              </w:rPr>
              <w:t>Nepal</w:t>
            </w:r>
          </w:p>
        </w:tc>
        <w:tc>
          <w:tcPr>
            <w:tcW w:w="1928" w:type="dxa"/>
            <w:vAlign w:val="center"/>
          </w:tcPr>
          <w:p w14:paraId="2ABF5B3A"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0A1B8B01" w14:textId="77777777" w:rsidR="00DE391F" w:rsidRPr="002C21B8" w:rsidRDefault="00DE391F" w:rsidP="00DE391F">
            <w:pPr>
              <w:spacing w:after="0" w:line="240" w:lineRule="auto"/>
              <w:jc w:val="left"/>
              <w:rPr>
                <w:sz w:val="14"/>
                <w:szCs w:val="14"/>
              </w:rPr>
            </w:pPr>
            <w:r w:rsidRPr="002C21B8">
              <w:rPr>
                <w:sz w:val="14"/>
                <w:szCs w:val="14"/>
              </w:rPr>
              <w:t>Hypertension</w:t>
            </w:r>
          </w:p>
        </w:tc>
        <w:tc>
          <w:tcPr>
            <w:tcW w:w="1020" w:type="dxa"/>
            <w:vAlign w:val="center"/>
          </w:tcPr>
          <w:p w14:paraId="5DB04B0D"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4F3C1993"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1E1721BC" w14:textId="77777777" w:rsidTr="00DE391F">
        <w:tc>
          <w:tcPr>
            <w:tcW w:w="2381" w:type="dxa"/>
            <w:vAlign w:val="center"/>
          </w:tcPr>
          <w:p w14:paraId="5E624A7D" w14:textId="0CFBBD37" w:rsidR="00DE391F" w:rsidRPr="002C21B8" w:rsidRDefault="00DE391F" w:rsidP="00DE391F">
            <w:pPr>
              <w:spacing w:after="0" w:line="240" w:lineRule="auto"/>
              <w:jc w:val="left"/>
              <w:rPr>
                <w:sz w:val="14"/>
                <w:szCs w:val="14"/>
              </w:rPr>
            </w:pPr>
            <w:r w:rsidRPr="002C21B8">
              <w:rPr>
                <w:color w:val="000000"/>
                <w:sz w:val="14"/>
                <w:szCs w:val="14"/>
              </w:rPr>
              <w:t>(Generalova</w:t>
            </w:r>
            <w:r w:rsidRPr="002C21B8">
              <w:rPr>
                <w:i/>
                <w:iCs/>
                <w:color w:val="000000"/>
                <w:sz w:val="14"/>
                <w:szCs w:val="14"/>
              </w:rPr>
              <w:t xml:space="preserve"> et al.</w:t>
            </w:r>
            <w:r w:rsidRPr="002C21B8">
              <w:rPr>
                <w:color w:val="000000"/>
                <w:sz w:val="14"/>
                <w:szCs w:val="14"/>
              </w:rPr>
              <w:t>, 2018)</w:t>
            </w:r>
          </w:p>
        </w:tc>
        <w:tc>
          <w:tcPr>
            <w:tcW w:w="1191" w:type="dxa"/>
          </w:tcPr>
          <w:p w14:paraId="7BD08B54"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0A7E0144"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1F0348D3" w14:textId="77777777" w:rsidR="00DE391F" w:rsidRPr="002C21B8" w:rsidRDefault="00DE391F" w:rsidP="00DE391F">
            <w:pPr>
              <w:spacing w:after="0" w:line="240" w:lineRule="auto"/>
              <w:jc w:val="left"/>
              <w:rPr>
                <w:sz w:val="14"/>
                <w:szCs w:val="14"/>
              </w:rPr>
            </w:pPr>
            <w:r w:rsidRPr="002C21B8">
              <w:rPr>
                <w:sz w:val="14"/>
                <w:szCs w:val="14"/>
              </w:rPr>
              <w:t>Unknown</w:t>
            </w:r>
          </w:p>
        </w:tc>
        <w:tc>
          <w:tcPr>
            <w:tcW w:w="1020" w:type="dxa"/>
          </w:tcPr>
          <w:p w14:paraId="5C0D8631" w14:textId="77777777" w:rsidR="00DE391F" w:rsidRPr="002C21B8" w:rsidRDefault="00DE391F" w:rsidP="00DE391F">
            <w:pPr>
              <w:spacing w:after="0" w:line="240" w:lineRule="auto"/>
              <w:jc w:val="left"/>
              <w:rPr>
                <w:sz w:val="14"/>
                <w:szCs w:val="14"/>
              </w:rPr>
            </w:pPr>
            <w:r w:rsidRPr="002C21B8">
              <w:rPr>
                <w:sz w:val="14"/>
                <w:szCs w:val="14"/>
              </w:rPr>
              <w:t>2013 – 2016</w:t>
            </w:r>
          </w:p>
        </w:tc>
        <w:tc>
          <w:tcPr>
            <w:tcW w:w="680" w:type="dxa"/>
            <w:vAlign w:val="center"/>
          </w:tcPr>
          <w:p w14:paraId="0DE1E0D8" w14:textId="77777777" w:rsidR="00DE391F" w:rsidRPr="002C21B8" w:rsidRDefault="00DE391F" w:rsidP="00DE391F">
            <w:pPr>
              <w:spacing w:after="0" w:line="240" w:lineRule="auto"/>
              <w:jc w:val="left"/>
              <w:rPr>
                <w:sz w:val="14"/>
                <w:szCs w:val="14"/>
              </w:rPr>
            </w:pPr>
            <w:r w:rsidRPr="002C21B8">
              <w:rPr>
                <w:sz w:val="14"/>
                <w:szCs w:val="14"/>
              </w:rPr>
              <w:t>10</w:t>
            </w:r>
          </w:p>
        </w:tc>
        <w:tc>
          <w:tcPr>
            <w:tcW w:w="1020" w:type="dxa"/>
          </w:tcPr>
          <w:p w14:paraId="2D7B662F"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720BD6E3"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4B3FBD0C"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6744557E"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43909E56"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701207AC" w14:textId="77777777" w:rsidTr="00DE391F">
        <w:tc>
          <w:tcPr>
            <w:tcW w:w="2381" w:type="dxa"/>
            <w:vAlign w:val="center"/>
          </w:tcPr>
          <w:p w14:paraId="7875F0A0" w14:textId="1BA4F835" w:rsidR="00DE391F" w:rsidRPr="002C21B8" w:rsidRDefault="00DE391F" w:rsidP="00DE391F">
            <w:pPr>
              <w:spacing w:after="0" w:line="240" w:lineRule="auto"/>
              <w:jc w:val="left"/>
              <w:rPr>
                <w:sz w:val="14"/>
                <w:szCs w:val="14"/>
              </w:rPr>
            </w:pPr>
            <w:r w:rsidRPr="002C21B8">
              <w:rPr>
                <w:color w:val="000000"/>
                <w:sz w:val="14"/>
                <w:szCs w:val="14"/>
              </w:rPr>
              <w:t>(Iudici</w:t>
            </w:r>
            <w:r w:rsidRPr="002C21B8">
              <w:rPr>
                <w:i/>
                <w:iCs/>
                <w:color w:val="000000"/>
                <w:sz w:val="14"/>
                <w:szCs w:val="14"/>
              </w:rPr>
              <w:t xml:space="preserve"> et al.</w:t>
            </w:r>
            <w:r w:rsidRPr="002C21B8">
              <w:rPr>
                <w:color w:val="000000"/>
                <w:sz w:val="14"/>
                <w:szCs w:val="14"/>
              </w:rPr>
              <w:t>, 2014)</w:t>
            </w:r>
          </w:p>
        </w:tc>
        <w:tc>
          <w:tcPr>
            <w:tcW w:w="1191" w:type="dxa"/>
          </w:tcPr>
          <w:p w14:paraId="5F9D2754" w14:textId="77777777" w:rsidR="00DE391F" w:rsidRPr="002C21B8" w:rsidRDefault="00DE391F" w:rsidP="00DE391F">
            <w:pPr>
              <w:spacing w:after="0" w:line="240" w:lineRule="auto"/>
              <w:jc w:val="left"/>
              <w:rPr>
                <w:sz w:val="14"/>
                <w:szCs w:val="14"/>
              </w:rPr>
            </w:pPr>
            <w:r w:rsidRPr="002C21B8">
              <w:rPr>
                <w:sz w:val="14"/>
                <w:szCs w:val="14"/>
              </w:rPr>
              <w:t>Italy</w:t>
            </w:r>
          </w:p>
        </w:tc>
        <w:tc>
          <w:tcPr>
            <w:tcW w:w="850" w:type="dxa"/>
          </w:tcPr>
          <w:p w14:paraId="2AFAAF70" w14:textId="77777777" w:rsidR="00DE391F" w:rsidRPr="002C21B8" w:rsidRDefault="00DE391F" w:rsidP="00DE391F">
            <w:pPr>
              <w:spacing w:after="0" w:line="240" w:lineRule="auto"/>
              <w:jc w:val="left"/>
              <w:rPr>
                <w:sz w:val="14"/>
                <w:szCs w:val="14"/>
              </w:rPr>
            </w:pPr>
            <w:r w:rsidRPr="002C21B8">
              <w:rPr>
                <w:sz w:val="14"/>
                <w:szCs w:val="14"/>
              </w:rPr>
              <w:t>1</w:t>
            </w:r>
          </w:p>
        </w:tc>
        <w:tc>
          <w:tcPr>
            <w:tcW w:w="1587" w:type="dxa"/>
          </w:tcPr>
          <w:p w14:paraId="6E292112" w14:textId="77777777" w:rsidR="00DE391F" w:rsidRPr="002C21B8" w:rsidRDefault="00DE391F" w:rsidP="00DE391F">
            <w:pPr>
              <w:spacing w:after="0" w:line="240" w:lineRule="auto"/>
              <w:jc w:val="left"/>
              <w:rPr>
                <w:sz w:val="14"/>
                <w:szCs w:val="14"/>
              </w:rPr>
            </w:pPr>
            <w:r w:rsidRPr="002C21B8">
              <w:rPr>
                <w:sz w:val="14"/>
                <w:szCs w:val="14"/>
              </w:rPr>
              <w:t>Jan 2000 – Mar 2013</w:t>
            </w:r>
          </w:p>
        </w:tc>
        <w:tc>
          <w:tcPr>
            <w:tcW w:w="1020" w:type="dxa"/>
          </w:tcPr>
          <w:p w14:paraId="3AE69105" w14:textId="77777777" w:rsidR="00DE391F" w:rsidRPr="002C21B8" w:rsidRDefault="00DE391F" w:rsidP="00DE391F">
            <w:pPr>
              <w:spacing w:after="0" w:line="240" w:lineRule="auto"/>
              <w:jc w:val="left"/>
              <w:rPr>
                <w:sz w:val="14"/>
                <w:szCs w:val="14"/>
              </w:rPr>
            </w:pPr>
            <w:r w:rsidRPr="002C21B8">
              <w:rPr>
                <w:sz w:val="14"/>
                <w:szCs w:val="14"/>
              </w:rPr>
              <w:t>2005 – 1013</w:t>
            </w:r>
          </w:p>
        </w:tc>
        <w:tc>
          <w:tcPr>
            <w:tcW w:w="680" w:type="dxa"/>
            <w:vAlign w:val="center"/>
          </w:tcPr>
          <w:p w14:paraId="3A5652CB" w14:textId="77777777" w:rsidR="00DE391F" w:rsidRPr="002C21B8" w:rsidRDefault="00DE391F" w:rsidP="00DE391F">
            <w:pPr>
              <w:spacing w:after="0" w:line="240" w:lineRule="auto"/>
              <w:jc w:val="left"/>
              <w:rPr>
                <w:sz w:val="14"/>
                <w:szCs w:val="14"/>
              </w:rPr>
            </w:pPr>
            <w:r w:rsidRPr="002C21B8">
              <w:rPr>
                <w:sz w:val="14"/>
                <w:szCs w:val="14"/>
              </w:rPr>
              <w:t>23</w:t>
            </w:r>
          </w:p>
        </w:tc>
        <w:tc>
          <w:tcPr>
            <w:tcW w:w="1020" w:type="dxa"/>
          </w:tcPr>
          <w:p w14:paraId="1CB317C1"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1DA31112" w14:textId="77777777" w:rsidR="00DE391F" w:rsidRPr="002C21B8" w:rsidRDefault="00DE391F" w:rsidP="00DE391F">
            <w:pPr>
              <w:spacing w:after="0" w:line="240" w:lineRule="auto"/>
              <w:jc w:val="left"/>
              <w:rPr>
                <w:sz w:val="14"/>
                <w:szCs w:val="14"/>
              </w:rPr>
            </w:pPr>
            <w:r w:rsidRPr="002C21B8">
              <w:rPr>
                <w:sz w:val="14"/>
                <w:szCs w:val="14"/>
              </w:rPr>
              <w:t>Secondary</w:t>
            </w:r>
          </w:p>
        </w:tc>
        <w:tc>
          <w:tcPr>
            <w:tcW w:w="1474" w:type="dxa"/>
            <w:vAlign w:val="center"/>
          </w:tcPr>
          <w:p w14:paraId="13D29DBC" w14:textId="77777777" w:rsidR="00DE391F" w:rsidRPr="002C21B8" w:rsidRDefault="00DE391F" w:rsidP="00DE391F">
            <w:pPr>
              <w:spacing w:after="0" w:line="240" w:lineRule="auto"/>
              <w:jc w:val="left"/>
              <w:rPr>
                <w:sz w:val="14"/>
                <w:szCs w:val="14"/>
              </w:rPr>
            </w:pPr>
            <w:r w:rsidRPr="002C21B8">
              <w:rPr>
                <w:sz w:val="14"/>
                <w:szCs w:val="14"/>
              </w:rPr>
              <w:t>Systemic sclerosis</w:t>
            </w:r>
          </w:p>
        </w:tc>
        <w:tc>
          <w:tcPr>
            <w:tcW w:w="1020" w:type="dxa"/>
            <w:vAlign w:val="center"/>
          </w:tcPr>
          <w:p w14:paraId="11F9DFA2"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3A051561"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520FE0FE" w14:textId="77777777" w:rsidTr="00DE391F">
        <w:tc>
          <w:tcPr>
            <w:tcW w:w="2381" w:type="dxa"/>
            <w:vAlign w:val="center"/>
          </w:tcPr>
          <w:p w14:paraId="7EBD3EBA" w14:textId="097F8508" w:rsidR="00DE391F" w:rsidRPr="002C21B8" w:rsidRDefault="00DE391F" w:rsidP="00DE391F">
            <w:pPr>
              <w:spacing w:after="0" w:line="240" w:lineRule="auto"/>
              <w:jc w:val="left"/>
              <w:rPr>
                <w:sz w:val="14"/>
                <w:szCs w:val="14"/>
              </w:rPr>
            </w:pPr>
            <w:r w:rsidRPr="002C21B8">
              <w:rPr>
                <w:color w:val="000000"/>
                <w:sz w:val="14"/>
                <w:szCs w:val="14"/>
              </w:rPr>
              <w:t>(Ju</w:t>
            </w:r>
            <w:r w:rsidRPr="002C21B8">
              <w:rPr>
                <w:i/>
                <w:iCs/>
                <w:color w:val="000000"/>
                <w:sz w:val="14"/>
                <w:szCs w:val="14"/>
              </w:rPr>
              <w:t xml:space="preserve"> et al.</w:t>
            </w:r>
            <w:r w:rsidRPr="002C21B8">
              <w:rPr>
                <w:color w:val="000000"/>
                <w:sz w:val="14"/>
                <w:szCs w:val="14"/>
              </w:rPr>
              <w:t>, 2018)</w:t>
            </w:r>
          </w:p>
        </w:tc>
        <w:tc>
          <w:tcPr>
            <w:tcW w:w="1191" w:type="dxa"/>
          </w:tcPr>
          <w:p w14:paraId="3D1C5F54" w14:textId="77777777" w:rsidR="00DE391F" w:rsidRPr="002C21B8" w:rsidRDefault="00DE391F" w:rsidP="00DE391F">
            <w:pPr>
              <w:spacing w:after="0" w:line="240" w:lineRule="auto"/>
              <w:jc w:val="left"/>
              <w:rPr>
                <w:sz w:val="14"/>
                <w:szCs w:val="14"/>
              </w:rPr>
            </w:pPr>
            <w:r w:rsidRPr="002C21B8">
              <w:rPr>
                <w:sz w:val="14"/>
                <w:szCs w:val="14"/>
              </w:rPr>
              <w:t>Australia</w:t>
            </w:r>
          </w:p>
        </w:tc>
        <w:tc>
          <w:tcPr>
            <w:tcW w:w="850" w:type="dxa"/>
          </w:tcPr>
          <w:p w14:paraId="0481F9CD" w14:textId="77777777" w:rsidR="00DE391F" w:rsidRPr="002C21B8" w:rsidRDefault="00DE391F" w:rsidP="00DE391F">
            <w:pPr>
              <w:spacing w:after="0" w:line="240" w:lineRule="auto"/>
              <w:jc w:val="left"/>
              <w:rPr>
                <w:sz w:val="14"/>
                <w:szCs w:val="14"/>
              </w:rPr>
            </w:pPr>
            <w:r w:rsidRPr="002C21B8">
              <w:rPr>
                <w:sz w:val="14"/>
                <w:szCs w:val="14"/>
              </w:rPr>
              <w:t>5</w:t>
            </w:r>
          </w:p>
        </w:tc>
        <w:tc>
          <w:tcPr>
            <w:tcW w:w="1587" w:type="dxa"/>
          </w:tcPr>
          <w:p w14:paraId="0958F09D" w14:textId="77777777" w:rsidR="00DE391F" w:rsidRPr="002C21B8" w:rsidRDefault="00DE391F" w:rsidP="00DE391F">
            <w:pPr>
              <w:spacing w:after="0" w:line="240" w:lineRule="auto"/>
              <w:jc w:val="left"/>
              <w:rPr>
                <w:sz w:val="14"/>
                <w:szCs w:val="14"/>
              </w:rPr>
            </w:pPr>
            <w:r w:rsidRPr="002C21B8">
              <w:rPr>
                <w:sz w:val="14"/>
                <w:szCs w:val="14"/>
              </w:rPr>
              <w:t>Inception – Apr 2018</w:t>
            </w:r>
          </w:p>
        </w:tc>
        <w:tc>
          <w:tcPr>
            <w:tcW w:w="1020" w:type="dxa"/>
          </w:tcPr>
          <w:p w14:paraId="341360EC" w14:textId="77777777" w:rsidR="00DE391F" w:rsidRPr="002C21B8" w:rsidRDefault="00DE391F" w:rsidP="00DE391F">
            <w:pPr>
              <w:spacing w:after="0" w:line="240" w:lineRule="auto"/>
              <w:jc w:val="left"/>
              <w:rPr>
                <w:sz w:val="14"/>
                <w:szCs w:val="14"/>
              </w:rPr>
            </w:pPr>
            <w:r w:rsidRPr="002C21B8">
              <w:rPr>
                <w:sz w:val="14"/>
                <w:szCs w:val="14"/>
              </w:rPr>
              <w:t>1997 – 2017</w:t>
            </w:r>
          </w:p>
        </w:tc>
        <w:tc>
          <w:tcPr>
            <w:tcW w:w="680" w:type="dxa"/>
            <w:vAlign w:val="center"/>
          </w:tcPr>
          <w:p w14:paraId="667A05D0" w14:textId="77777777" w:rsidR="00DE391F" w:rsidRPr="002C21B8" w:rsidRDefault="00DE391F" w:rsidP="00DE391F">
            <w:pPr>
              <w:spacing w:after="0" w:line="240" w:lineRule="auto"/>
              <w:jc w:val="left"/>
              <w:rPr>
                <w:sz w:val="14"/>
                <w:szCs w:val="14"/>
              </w:rPr>
            </w:pPr>
            <w:r w:rsidRPr="002C21B8">
              <w:rPr>
                <w:sz w:val="14"/>
                <w:szCs w:val="14"/>
              </w:rPr>
              <w:t>34</w:t>
            </w:r>
          </w:p>
        </w:tc>
        <w:tc>
          <w:tcPr>
            <w:tcW w:w="1020" w:type="dxa"/>
          </w:tcPr>
          <w:p w14:paraId="723DF2B9"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4D958E34" w14:textId="77777777" w:rsidR="00DE391F" w:rsidRPr="002C21B8" w:rsidRDefault="00DE391F" w:rsidP="00DE391F">
            <w:pPr>
              <w:spacing w:after="0" w:line="240" w:lineRule="auto"/>
              <w:jc w:val="left"/>
              <w:rPr>
                <w:sz w:val="14"/>
                <w:szCs w:val="14"/>
              </w:rPr>
            </w:pPr>
            <w:r w:rsidRPr="002C21B8">
              <w:rPr>
                <w:sz w:val="14"/>
                <w:szCs w:val="14"/>
              </w:rPr>
              <w:t>Primary</w:t>
            </w:r>
          </w:p>
        </w:tc>
        <w:tc>
          <w:tcPr>
            <w:tcW w:w="1474" w:type="dxa"/>
            <w:vAlign w:val="center"/>
          </w:tcPr>
          <w:p w14:paraId="7D7D496A" w14:textId="77777777" w:rsidR="00DE391F" w:rsidRPr="002C21B8" w:rsidRDefault="00DE391F" w:rsidP="00DE391F">
            <w:pPr>
              <w:spacing w:after="0" w:line="240" w:lineRule="auto"/>
              <w:jc w:val="left"/>
              <w:rPr>
                <w:sz w:val="14"/>
                <w:szCs w:val="14"/>
              </w:rPr>
            </w:pPr>
            <w:r w:rsidRPr="002C21B8">
              <w:rPr>
                <w:sz w:val="14"/>
                <w:szCs w:val="14"/>
              </w:rPr>
              <w:t>Cardiovascular disease</w:t>
            </w:r>
          </w:p>
        </w:tc>
        <w:tc>
          <w:tcPr>
            <w:tcW w:w="1020" w:type="dxa"/>
            <w:vAlign w:val="center"/>
          </w:tcPr>
          <w:p w14:paraId="4A765042"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37F1CB45" w14:textId="77777777" w:rsidR="00DE391F" w:rsidRPr="002C21B8" w:rsidRDefault="00DE391F" w:rsidP="00DE391F">
            <w:pPr>
              <w:spacing w:after="0" w:line="240" w:lineRule="auto"/>
              <w:jc w:val="left"/>
              <w:rPr>
                <w:sz w:val="14"/>
                <w:szCs w:val="14"/>
              </w:rPr>
            </w:pPr>
            <w:r w:rsidRPr="002C21B8">
              <w:rPr>
                <w:sz w:val="14"/>
                <w:szCs w:val="14"/>
              </w:rPr>
              <w:t>Not reported</w:t>
            </w:r>
          </w:p>
        </w:tc>
      </w:tr>
      <w:tr w:rsidR="00DE391F" w:rsidRPr="002C21B8" w14:paraId="6403E7F9" w14:textId="77777777" w:rsidTr="00DE391F">
        <w:tc>
          <w:tcPr>
            <w:tcW w:w="2381" w:type="dxa"/>
            <w:vAlign w:val="center"/>
          </w:tcPr>
          <w:p w14:paraId="463762B0" w14:textId="55969105" w:rsidR="00DE391F" w:rsidRPr="002C21B8" w:rsidRDefault="00DE391F" w:rsidP="00DE391F">
            <w:pPr>
              <w:spacing w:after="0" w:line="240" w:lineRule="auto"/>
              <w:jc w:val="left"/>
              <w:rPr>
                <w:sz w:val="14"/>
                <w:szCs w:val="14"/>
              </w:rPr>
            </w:pPr>
            <w:r w:rsidRPr="002C21B8">
              <w:rPr>
                <w:color w:val="000000"/>
                <w:sz w:val="14"/>
                <w:szCs w:val="14"/>
              </w:rPr>
              <w:t>(Khatib</w:t>
            </w:r>
            <w:r w:rsidRPr="002C21B8">
              <w:rPr>
                <w:i/>
                <w:iCs/>
                <w:color w:val="000000"/>
                <w:sz w:val="14"/>
                <w:szCs w:val="14"/>
              </w:rPr>
              <w:t xml:space="preserve"> et al.</w:t>
            </w:r>
            <w:r w:rsidRPr="002C21B8">
              <w:rPr>
                <w:color w:val="000000"/>
                <w:sz w:val="14"/>
                <w:szCs w:val="14"/>
              </w:rPr>
              <w:t>, 2014)</w:t>
            </w:r>
          </w:p>
        </w:tc>
        <w:tc>
          <w:tcPr>
            <w:tcW w:w="1191" w:type="dxa"/>
          </w:tcPr>
          <w:p w14:paraId="55D1E1C9" w14:textId="77777777" w:rsidR="00DE391F" w:rsidRPr="002C21B8" w:rsidRDefault="00DE391F" w:rsidP="00DE391F">
            <w:pPr>
              <w:spacing w:after="0" w:line="240" w:lineRule="auto"/>
              <w:jc w:val="left"/>
              <w:rPr>
                <w:sz w:val="14"/>
                <w:szCs w:val="14"/>
              </w:rPr>
            </w:pPr>
            <w:r w:rsidRPr="002C21B8">
              <w:rPr>
                <w:sz w:val="14"/>
                <w:szCs w:val="14"/>
              </w:rPr>
              <w:t>India</w:t>
            </w:r>
          </w:p>
        </w:tc>
        <w:tc>
          <w:tcPr>
            <w:tcW w:w="850" w:type="dxa"/>
          </w:tcPr>
          <w:p w14:paraId="6FCFD2C7" w14:textId="77777777" w:rsidR="00DE391F" w:rsidRPr="002C21B8" w:rsidRDefault="00DE391F" w:rsidP="00DE391F">
            <w:pPr>
              <w:spacing w:after="0" w:line="240" w:lineRule="auto"/>
              <w:jc w:val="left"/>
              <w:rPr>
                <w:sz w:val="14"/>
                <w:szCs w:val="14"/>
              </w:rPr>
            </w:pPr>
            <w:r w:rsidRPr="002C21B8">
              <w:rPr>
                <w:sz w:val="14"/>
                <w:szCs w:val="14"/>
              </w:rPr>
              <w:t>3</w:t>
            </w:r>
          </w:p>
        </w:tc>
        <w:tc>
          <w:tcPr>
            <w:tcW w:w="1587" w:type="dxa"/>
          </w:tcPr>
          <w:p w14:paraId="12D618AD" w14:textId="77777777" w:rsidR="00DE391F" w:rsidRPr="002C21B8" w:rsidRDefault="00DE391F" w:rsidP="00DE391F">
            <w:pPr>
              <w:spacing w:after="0" w:line="240" w:lineRule="auto"/>
              <w:jc w:val="left"/>
              <w:rPr>
                <w:sz w:val="14"/>
                <w:szCs w:val="14"/>
              </w:rPr>
            </w:pPr>
            <w:r w:rsidRPr="002C21B8">
              <w:rPr>
                <w:sz w:val="14"/>
                <w:szCs w:val="14"/>
              </w:rPr>
              <w:t>Unknown</w:t>
            </w:r>
          </w:p>
        </w:tc>
        <w:tc>
          <w:tcPr>
            <w:tcW w:w="1020" w:type="dxa"/>
          </w:tcPr>
          <w:p w14:paraId="3A7D6C68"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78B49729" w14:textId="77777777" w:rsidR="00DE391F" w:rsidRPr="002C21B8" w:rsidRDefault="00DE391F" w:rsidP="00DE391F">
            <w:pPr>
              <w:spacing w:after="0" w:line="240" w:lineRule="auto"/>
              <w:jc w:val="left"/>
              <w:rPr>
                <w:sz w:val="14"/>
                <w:szCs w:val="14"/>
              </w:rPr>
            </w:pPr>
            <w:r w:rsidRPr="002C21B8">
              <w:rPr>
                <w:sz w:val="14"/>
                <w:szCs w:val="14"/>
              </w:rPr>
              <w:t>13</w:t>
            </w:r>
          </w:p>
        </w:tc>
        <w:tc>
          <w:tcPr>
            <w:tcW w:w="1020" w:type="dxa"/>
          </w:tcPr>
          <w:p w14:paraId="431807BD" w14:textId="77777777" w:rsidR="00DE391F" w:rsidRPr="002C21B8" w:rsidRDefault="00DE391F" w:rsidP="00DE391F">
            <w:pPr>
              <w:spacing w:after="0" w:line="240" w:lineRule="auto"/>
              <w:jc w:val="left"/>
              <w:rPr>
                <w:sz w:val="14"/>
                <w:szCs w:val="14"/>
              </w:rPr>
            </w:pPr>
            <w:r w:rsidRPr="002C21B8">
              <w:rPr>
                <w:sz w:val="14"/>
                <w:szCs w:val="14"/>
              </w:rPr>
              <w:t>USA</w:t>
            </w:r>
          </w:p>
        </w:tc>
        <w:tc>
          <w:tcPr>
            <w:tcW w:w="1928" w:type="dxa"/>
            <w:vAlign w:val="center"/>
          </w:tcPr>
          <w:p w14:paraId="0BEDC3A4" w14:textId="77777777" w:rsidR="00DE391F" w:rsidRPr="002C21B8" w:rsidRDefault="00DE391F" w:rsidP="00DE391F">
            <w:pPr>
              <w:spacing w:after="0" w:line="240" w:lineRule="auto"/>
              <w:jc w:val="left"/>
              <w:rPr>
                <w:sz w:val="14"/>
                <w:szCs w:val="14"/>
              </w:rPr>
            </w:pPr>
            <w:r w:rsidRPr="002C21B8">
              <w:rPr>
                <w:sz w:val="14"/>
                <w:szCs w:val="14"/>
              </w:rPr>
              <w:t>Primary</w:t>
            </w:r>
          </w:p>
        </w:tc>
        <w:tc>
          <w:tcPr>
            <w:tcW w:w="1474" w:type="dxa"/>
            <w:vAlign w:val="center"/>
          </w:tcPr>
          <w:p w14:paraId="3B772639"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650222A9"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1DF891F3" w14:textId="77777777" w:rsidR="00DE391F" w:rsidRPr="002C21B8" w:rsidRDefault="00DE391F" w:rsidP="00DE391F">
            <w:pPr>
              <w:spacing w:after="0" w:line="240" w:lineRule="auto"/>
              <w:jc w:val="left"/>
              <w:rPr>
                <w:sz w:val="14"/>
                <w:szCs w:val="14"/>
              </w:rPr>
            </w:pPr>
            <w:r w:rsidRPr="002C21B8">
              <w:rPr>
                <w:sz w:val="14"/>
                <w:szCs w:val="14"/>
              </w:rPr>
              <w:t>Pharmaceutical company</w:t>
            </w:r>
          </w:p>
        </w:tc>
      </w:tr>
      <w:tr w:rsidR="00DE391F" w:rsidRPr="002C21B8" w14:paraId="3DDBAF1A" w14:textId="77777777" w:rsidTr="00DE391F">
        <w:tc>
          <w:tcPr>
            <w:tcW w:w="2381" w:type="dxa"/>
            <w:vAlign w:val="center"/>
          </w:tcPr>
          <w:p w14:paraId="04E72D5A" w14:textId="02C60208" w:rsidR="00DE391F" w:rsidRPr="002C21B8" w:rsidRDefault="00DE391F" w:rsidP="00DE391F">
            <w:pPr>
              <w:spacing w:after="0" w:line="240" w:lineRule="auto"/>
              <w:jc w:val="left"/>
              <w:rPr>
                <w:sz w:val="14"/>
                <w:szCs w:val="14"/>
              </w:rPr>
            </w:pPr>
            <w:r w:rsidRPr="002C21B8">
              <w:rPr>
                <w:color w:val="000000"/>
                <w:sz w:val="14"/>
                <w:szCs w:val="14"/>
              </w:rPr>
              <w:t>(Lalor</w:t>
            </w:r>
            <w:r w:rsidRPr="002C21B8">
              <w:rPr>
                <w:i/>
                <w:iCs/>
                <w:color w:val="000000"/>
                <w:sz w:val="14"/>
                <w:szCs w:val="14"/>
              </w:rPr>
              <w:t xml:space="preserve"> et al.</w:t>
            </w:r>
            <w:r w:rsidRPr="002C21B8">
              <w:rPr>
                <w:color w:val="000000"/>
                <w:sz w:val="14"/>
                <w:szCs w:val="14"/>
              </w:rPr>
              <w:t>, 2022)</w:t>
            </w:r>
          </w:p>
        </w:tc>
        <w:tc>
          <w:tcPr>
            <w:tcW w:w="1191" w:type="dxa"/>
          </w:tcPr>
          <w:p w14:paraId="33C38CC5" w14:textId="77777777" w:rsidR="00DE391F" w:rsidRPr="002C21B8" w:rsidRDefault="00DE391F" w:rsidP="00DE391F">
            <w:pPr>
              <w:spacing w:after="0" w:line="240" w:lineRule="auto"/>
              <w:jc w:val="left"/>
              <w:rPr>
                <w:sz w:val="14"/>
                <w:szCs w:val="14"/>
              </w:rPr>
            </w:pPr>
            <w:r w:rsidRPr="002C21B8">
              <w:rPr>
                <w:sz w:val="14"/>
                <w:szCs w:val="14"/>
              </w:rPr>
              <w:t>Canada</w:t>
            </w:r>
          </w:p>
        </w:tc>
        <w:tc>
          <w:tcPr>
            <w:tcW w:w="850" w:type="dxa"/>
          </w:tcPr>
          <w:p w14:paraId="6FFC2872" w14:textId="77777777" w:rsidR="00DE391F" w:rsidRPr="002C21B8" w:rsidRDefault="00DE391F" w:rsidP="00DE391F">
            <w:pPr>
              <w:spacing w:after="0" w:line="240" w:lineRule="auto"/>
              <w:jc w:val="left"/>
              <w:rPr>
                <w:sz w:val="14"/>
                <w:szCs w:val="14"/>
              </w:rPr>
            </w:pPr>
            <w:r w:rsidRPr="002C21B8">
              <w:rPr>
                <w:sz w:val="14"/>
                <w:szCs w:val="14"/>
              </w:rPr>
              <w:t>3</w:t>
            </w:r>
          </w:p>
        </w:tc>
        <w:tc>
          <w:tcPr>
            <w:tcW w:w="1587" w:type="dxa"/>
          </w:tcPr>
          <w:p w14:paraId="37A8972C" w14:textId="77777777" w:rsidR="00DE391F" w:rsidRPr="002C21B8" w:rsidRDefault="00DE391F" w:rsidP="00DE391F">
            <w:pPr>
              <w:spacing w:after="0" w:line="240" w:lineRule="auto"/>
              <w:jc w:val="left"/>
              <w:rPr>
                <w:sz w:val="14"/>
                <w:szCs w:val="14"/>
              </w:rPr>
            </w:pPr>
            <w:r w:rsidRPr="002C21B8">
              <w:rPr>
                <w:sz w:val="14"/>
                <w:szCs w:val="14"/>
              </w:rPr>
              <w:t>Inception – Feb 2013</w:t>
            </w:r>
          </w:p>
        </w:tc>
        <w:tc>
          <w:tcPr>
            <w:tcW w:w="1020" w:type="dxa"/>
          </w:tcPr>
          <w:p w14:paraId="59BC5344"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28D34134" w14:textId="77777777" w:rsidR="00DE391F" w:rsidRPr="002C21B8" w:rsidRDefault="00DE391F" w:rsidP="00DE391F">
            <w:pPr>
              <w:spacing w:after="0" w:line="240" w:lineRule="auto"/>
              <w:jc w:val="left"/>
              <w:rPr>
                <w:sz w:val="14"/>
                <w:szCs w:val="14"/>
              </w:rPr>
            </w:pPr>
            <w:r w:rsidRPr="002C21B8">
              <w:rPr>
                <w:sz w:val="14"/>
                <w:szCs w:val="14"/>
              </w:rPr>
              <w:t>69</w:t>
            </w:r>
          </w:p>
        </w:tc>
        <w:tc>
          <w:tcPr>
            <w:tcW w:w="1020" w:type="dxa"/>
          </w:tcPr>
          <w:p w14:paraId="4B793823"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046B852A"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2BE045B2" w14:textId="77777777" w:rsidR="00DE391F" w:rsidRPr="002C21B8" w:rsidRDefault="00DE391F" w:rsidP="00DE391F">
            <w:pPr>
              <w:spacing w:after="0" w:line="240" w:lineRule="auto"/>
              <w:jc w:val="left"/>
              <w:rPr>
                <w:sz w:val="14"/>
                <w:szCs w:val="14"/>
              </w:rPr>
            </w:pPr>
            <w:r w:rsidRPr="002C21B8">
              <w:rPr>
                <w:sz w:val="14"/>
                <w:szCs w:val="14"/>
              </w:rPr>
              <w:t>Hypertension</w:t>
            </w:r>
          </w:p>
        </w:tc>
        <w:tc>
          <w:tcPr>
            <w:tcW w:w="1020" w:type="dxa"/>
            <w:vAlign w:val="center"/>
          </w:tcPr>
          <w:p w14:paraId="55DE824C"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54398622"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6D2F461D" w14:textId="77777777" w:rsidTr="00DE391F">
        <w:tc>
          <w:tcPr>
            <w:tcW w:w="2381" w:type="dxa"/>
            <w:vAlign w:val="center"/>
          </w:tcPr>
          <w:p w14:paraId="2FD94FBD" w14:textId="57973FCC" w:rsidR="00DE391F" w:rsidRPr="002C21B8" w:rsidRDefault="00DE391F" w:rsidP="00DE391F">
            <w:pPr>
              <w:spacing w:after="0" w:line="240" w:lineRule="auto"/>
              <w:jc w:val="left"/>
              <w:rPr>
                <w:sz w:val="14"/>
                <w:szCs w:val="14"/>
              </w:rPr>
            </w:pPr>
            <w:r w:rsidRPr="002C21B8">
              <w:rPr>
                <w:color w:val="000000"/>
                <w:sz w:val="14"/>
                <w:szCs w:val="14"/>
              </w:rPr>
              <w:t>(Mahmoud</w:t>
            </w:r>
            <w:r w:rsidRPr="002C21B8">
              <w:rPr>
                <w:i/>
                <w:iCs/>
                <w:color w:val="000000"/>
                <w:sz w:val="14"/>
                <w:szCs w:val="14"/>
              </w:rPr>
              <w:t xml:space="preserve"> et al.</w:t>
            </w:r>
            <w:r w:rsidRPr="002C21B8">
              <w:rPr>
                <w:color w:val="000000"/>
                <w:sz w:val="14"/>
                <w:szCs w:val="14"/>
              </w:rPr>
              <w:t>, 2023)</w:t>
            </w:r>
          </w:p>
        </w:tc>
        <w:tc>
          <w:tcPr>
            <w:tcW w:w="1191" w:type="dxa"/>
          </w:tcPr>
          <w:p w14:paraId="3ED4D097" w14:textId="77777777" w:rsidR="00DE391F" w:rsidRPr="002C21B8" w:rsidRDefault="00DE391F" w:rsidP="00DE391F">
            <w:pPr>
              <w:spacing w:after="0" w:line="240" w:lineRule="auto"/>
              <w:jc w:val="left"/>
              <w:rPr>
                <w:sz w:val="14"/>
                <w:szCs w:val="14"/>
              </w:rPr>
            </w:pPr>
            <w:r w:rsidRPr="002C21B8">
              <w:rPr>
                <w:sz w:val="14"/>
                <w:szCs w:val="14"/>
              </w:rPr>
              <w:t>Australia</w:t>
            </w:r>
          </w:p>
        </w:tc>
        <w:tc>
          <w:tcPr>
            <w:tcW w:w="850" w:type="dxa"/>
          </w:tcPr>
          <w:p w14:paraId="0552FCE9" w14:textId="77777777" w:rsidR="00DE391F" w:rsidRPr="002C21B8" w:rsidRDefault="00DE391F" w:rsidP="00DE391F">
            <w:pPr>
              <w:spacing w:after="0" w:line="240" w:lineRule="auto"/>
              <w:jc w:val="left"/>
              <w:rPr>
                <w:sz w:val="14"/>
                <w:szCs w:val="14"/>
              </w:rPr>
            </w:pPr>
            <w:r w:rsidRPr="002C21B8">
              <w:rPr>
                <w:sz w:val="14"/>
                <w:szCs w:val="14"/>
              </w:rPr>
              <w:t>3</w:t>
            </w:r>
          </w:p>
        </w:tc>
        <w:tc>
          <w:tcPr>
            <w:tcW w:w="1587" w:type="dxa"/>
          </w:tcPr>
          <w:p w14:paraId="5BBD3821" w14:textId="77777777" w:rsidR="00DE391F" w:rsidRPr="002C21B8" w:rsidRDefault="00DE391F" w:rsidP="00DE391F">
            <w:pPr>
              <w:spacing w:after="0" w:line="240" w:lineRule="auto"/>
              <w:jc w:val="left"/>
              <w:rPr>
                <w:sz w:val="14"/>
                <w:szCs w:val="14"/>
              </w:rPr>
            </w:pPr>
            <w:r w:rsidRPr="002C21B8">
              <w:rPr>
                <w:sz w:val="14"/>
                <w:szCs w:val="14"/>
              </w:rPr>
              <w:t>Inception – Jun 2021</w:t>
            </w:r>
          </w:p>
        </w:tc>
        <w:tc>
          <w:tcPr>
            <w:tcW w:w="1020" w:type="dxa"/>
          </w:tcPr>
          <w:p w14:paraId="051F40C1" w14:textId="77777777" w:rsidR="00DE391F" w:rsidRPr="002C21B8" w:rsidRDefault="00DE391F" w:rsidP="00DE391F">
            <w:pPr>
              <w:spacing w:after="0" w:line="240" w:lineRule="auto"/>
              <w:jc w:val="left"/>
              <w:rPr>
                <w:sz w:val="14"/>
                <w:szCs w:val="14"/>
              </w:rPr>
            </w:pPr>
            <w:r w:rsidRPr="002C21B8">
              <w:rPr>
                <w:sz w:val="14"/>
                <w:szCs w:val="14"/>
              </w:rPr>
              <w:t>2004 – 2019</w:t>
            </w:r>
          </w:p>
        </w:tc>
        <w:tc>
          <w:tcPr>
            <w:tcW w:w="680" w:type="dxa"/>
            <w:vAlign w:val="center"/>
          </w:tcPr>
          <w:p w14:paraId="1B03DBC5" w14:textId="77777777" w:rsidR="00DE391F" w:rsidRPr="002C21B8" w:rsidRDefault="00DE391F" w:rsidP="00DE391F">
            <w:pPr>
              <w:spacing w:after="0" w:line="240" w:lineRule="auto"/>
              <w:jc w:val="left"/>
              <w:rPr>
                <w:sz w:val="14"/>
                <w:szCs w:val="14"/>
              </w:rPr>
            </w:pPr>
            <w:r w:rsidRPr="002C21B8">
              <w:rPr>
                <w:sz w:val="14"/>
                <w:szCs w:val="14"/>
              </w:rPr>
              <w:t>15</w:t>
            </w:r>
          </w:p>
        </w:tc>
        <w:tc>
          <w:tcPr>
            <w:tcW w:w="1020" w:type="dxa"/>
          </w:tcPr>
          <w:p w14:paraId="7E12DC1F"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4937D02" w14:textId="77777777" w:rsidR="00DE391F" w:rsidRPr="002C21B8" w:rsidRDefault="00DE391F" w:rsidP="00DE391F">
            <w:pPr>
              <w:spacing w:after="0" w:line="240" w:lineRule="auto"/>
              <w:jc w:val="left"/>
              <w:rPr>
                <w:sz w:val="14"/>
                <w:szCs w:val="14"/>
              </w:rPr>
            </w:pPr>
            <w:r w:rsidRPr="002C21B8">
              <w:rPr>
                <w:sz w:val="14"/>
                <w:szCs w:val="14"/>
              </w:rPr>
              <w:t>Secondary</w:t>
            </w:r>
          </w:p>
        </w:tc>
        <w:tc>
          <w:tcPr>
            <w:tcW w:w="1474" w:type="dxa"/>
            <w:vAlign w:val="center"/>
          </w:tcPr>
          <w:p w14:paraId="192F9736" w14:textId="77777777" w:rsidR="00DE391F" w:rsidRPr="002C21B8" w:rsidRDefault="00DE391F" w:rsidP="00DE391F">
            <w:pPr>
              <w:spacing w:after="0" w:line="240" w:lineRule="auto"/>
              <w:jc w:val="left"/>
              <w:rPr>
                <w:sz w:val="14"/>
                <w:szCs w:val="14"/>
              </w:rPr>
            </w:pPr>
            <w:r w:rsidRPr="002C21B8">
              <w:rPr>
                <w:sz w:val="14"/>
                <w:szCs w:val="14"/>
              </w:rPr>
              <w:t>Inflammatory arthritis</w:t>
            </w:r>
          </w:p>
        </w:tc>
        <w:tc>
          <w:tcPr>
            <w:tcW w:w="1020" w:type="dxa"/>
            <w:vAlign w:val="center"/>
          </w:tcPr>
          <w:p w14:paraId="51C8B228"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1B678392" w14:textId="77777777" w:rsidR="00DE391F" w:rsidRPr="002C21B8" w:rsidRDefault="00DE391F" w:rsidP="00DE391F">
            <w:pPr>
              <w:spacing w:after="0" w:line="240" w:lineRule="auto"/>
              <w:jc w:val="left"/>
              <w:rPr>
                <w:sz w:val="14"/>
                <w:szCs w:val="14"/>
              </w:rPr>
            </w:pPr>
            <w:r w:rsidRPr="002C21B8">
              <w:rPr>
                <w:sz w:val="14"/>
                <w:szCs w:val="14"/>
              </w:rPr>
              <w:t>Governmental body</w:t>
            </w:r>
          </w:p>
        </w:tc>
      </w:tr>
      <w:tr w:rsidR="00DE391F" w:rsidRPr="002C21B8" w14:paraId="48431CF7" w14:textId="77777777" w:rsidTr="00DE391F">
        <w:tc>
          <w:tcPr>
            <w:tcW w:w="2381" w:type="dxa"/>
            <w:vAlign w:val="center"/>
          </w:tcPr>
          <w:p w14:paraId="49A1AAB7" w14:textId="5BC33C7D" w:rsidR="00DE391F" w:rsidRPr="002C21B8" w:rsidRDefault="00DE391F" w:rsidP="00DE391F">
            <w:pPr>
              <w:spacing w:after="0" w:line="240" w:lineRule="auto"/>
              <w:jc w:val="left"/>
              <w:rPr>
                <w:sz w:val="14"/>
                <w:szCs w:val="14"/>
              </w:rPr>
            </w:pPr>
            <w:r w:rsidRPr="002C21B8">
              <w:rPr>
                <w:color w:val="000000"/>
                <w:sz w:val="14"/>
                <w:szCs w:val="14"/>
              </w:rPr>
              <w:t>(Maimaris</w:t>
            </w:r>
            <w:r w:rsidRPr="002C21B8">
              <w:rPr>
                <w:i/>
                <w:iCs/>
                <w:color w:val="000000"/>
                <w:sz w:val="14"/>
                <w:szCs w:val="14"/>
              </w:rPr>
              <w:t xml:space="preserve"> et al.</w:t>
            </w:r>
            <w:r w:rsidRPr="002C21B8">
              <w:rPr>
                <w:color w:val="000000"/>
                <w:sz w:val="14"/>
                <w:szCs w:val="14"/>
              </w:rPr>
              <w:t>, 2013)</w:t>
            </w:r>
          </w:p>
        </w:tc>
        <w:tc>
          <w:tcPr>
            <w:tcW w:w="1191" w:type="dxa"/>
          </w:tcPr>
          <w:p w14:paraId="5A1F02C6"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72BA4D07"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702A0358" w14:textId="77777777" w:rsidR="00DE391F" w:rsidRPr="002C21B8" w:rsidRDefault="00DE391F" w:rsidP="00DE391F">
            <w:pPr>
              <w:spacing w:after="0" w:line="240" w:lineRule="auto"/>
              <w:jc w:val="left"/>
              <w:rPr>
                <w:sz w:val="14"/>
                <w:szCs w:val="14"/>
              </w:rPr>
            </w:pPr>
            <w:r w:rsidRPr="002C21B8">
              <w:rPr>
                <w:sz w:val="14"/>
                <w:szCs w:val="14"/>
              </w:rPr>
              <w:t>Jan 2009 – Jan 2021</w:t>
            </w:r>
          </w:p>
        </w:tc>
        <w:tc>
          <w:tcPr>
            <w:tcW w:w="1020" w:type="dxa"/>
          </w:tcPr>
          <w:p w14:paraId="16CF4646" w14:textId="77777777" w:rsidR="00DE391F" w:rsidRPr="002C21B8" w:rsidRDefault="00DE391F" w:rsidP="00DE391F">
            <w:pPr>
              <w:spacing w:after="0" w:line="240" w:lineRule="auto"/>
              <w:jc w:val="left"/>
              <w:rPr>
                <w:sz w:val="14"/>
                <w:szCs w:val="14"/>
              </w:rPr>
            </w:pPr>
            <w:r w:rsidRPr="002C21B8">
              <w:rPr>
                <w:sz w:val="14"/>
                <w:szCs w:val="14"/>
              </w:rPr>
              <w:t>2013 – 2023</w:t>
            </w:r>
          </w:p>
        </w:tc>
        <w:tc>
          <w:tcPr>
            <w:tcW w:w="680" w:type="dxa"/>
            <w:vAlign w:val="center"/>
          </w:tcPr>
          <w:p w14:paraId="28C7B649" w14:textId="77777777" w:rsidR="00DE391F" w:rsidRPr="002C21B8" w:rsidRDefault="00DE391F" w:rsidP="00DE391F">
            <w:pPr>
              <w:spacing w:after="0" w:line="240" w:lineRule="auto"/>
              <w:jc w:val="left"/>
              <w:rPr>
                <w:sz w:val="14"/>
                <w:szCs w:val="14"/>
              </w:rPr>
            </w:pPr>
            <w:r w:rsidRPr="002C21B8">
              <w:rPr>
                <w:sz w:val="14"/>
                <w:szCs w:val="14"/>
              </w:rPr>
              <w:t>40</w:t>
            </w:r>
          </w:p>
        </w:tc>
        <w:tc>
          <w:tcPr>
            <w:tcW w:w="1020" w:type="dxa"/>
          </w:tcPr>
          <w:p w14:paraId="10A8D39B"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7CAA6EB"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74725564"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6142DD3B"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5D2DFCAB" w14:textId="77777777" w:rsidR="00DE391F" w:rsidRPr="002C21B8" w:rsidRDefault="00DE391F" w:rsidP="00DE391F">
            <w:pPr>
              <w:spacing w:after="0" w:line="240" w:lineRule="auto"/>
              <w:jc w:val="left"/>
              <w:rPr>
                <w:sz w:val="14"/>
                <w:szCs w:val="14"/>
              </w:rPr>
            </w:pPr>
            <w:r w:rsidRPr="002C21B8">
              <w:rPr>
                <w:sz w:val="14"/>
                <w:szCs w:val="14"/>
              </w:rPr>
              <w:t>University</w:t>
            </w:r>
          </w:p>
        </w:tc>
      </w:tr>
      <w:tr w:rsidR="00DE391F" w:rsidRPr="002C21B8" w14:paraId="7EF5CBE5" w14:textId="77777777" w:rsidTr="00DE391F">
        <w:tc>
          <w:tcPr>
            <w:tcW w:w="2381" w:type="dxa"/>
            <w:vAlign w:val="center"/>
          </w:tcPr>
          <w:p w14:paraId="51BAF856" w14:textId="1943A5ED" w:rsidR="00DE391F" w:rsidRPr="002C21B8" w:rsidRDefault="00DE391F" w:rsidP="00DE391F">
            <w:pPr>
              <w:spacing w:after="0" w:line="240" w:lineRule="auto"/>
              <w:jc w:val="left"/>
              <w:rPr>
                <w:sz w:val="14"/>
                <w:szCs w:val="14"/>
              </w:rPr>
            </w:pPr>
            <w:r w:rsidRPr="002C21B8">
              <w:rPr>
                <w:color w:val="000000"/>
                <w:sz w:val="14"/>
                <w:szCs w:val="14"/>
              </w:rPr>
              <w:t>(Mas Dalmau</w:t>
            </w:r>
            <w:r w:rsidRPr="002C21B8">
              <w:rPr>
                <w:i/>
                <w:iCs/>
                <w:color w:val="000000"/>
                <w:sz w:val="14"/>
                <w:szCs w:val="14"/>
              </w:rPr>
              <w:t xml:space="preserve"> et al.</w:t>
            </w:r>
            <w:r w:rsidRPr="002C21B8">
              <w:rPr>
                <w:color w:val="000000"/>
                <w:sz w:val="14"/>
                <w:szCs w:val="14"/>
              </w:rPr>
              <w:t>, 2017)</w:t>
            </w:r>
          </w:p>
        </w:tc>
        <w:tc>
          <w:tcPr>
            <w:tcW w:w="1191" w:type="dxa"/>
          </w:tcPr>
          <w:p w14:paraId="0CD5D576"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026AB7A8" w14:textId="77777777" w:rsidR="00DE391F" w:rsidRPr="002C21B8" w:rsidRDefault="00DE391F" w:rsidP="00DE391F">
            <w:pPr>
              <w:spacing w:after="0" w:line="240" w:lineRule="auto"/>
              <w:jc w:val="left"/>
              <w:rPr>
                <w:sz w:val="14"/>
                <w:szCs w:val="14"/>
              </w:rPr>
            </w:pPr>
            <w:r w:rsidRPr="002C21B8">
              <w:rPr>
                <w:sz w:val="14"/>
                <w:szCs w:val="14"/>
              </w:rPr>
              <w:t>7</w:t>
            </w:r>
          </w:p>
        </w:tc>
        <w:tc>
          <w:tcPr>
            <w:tcW w:w="1587" w:type="dxa"/>
          </w:tcPr>
          <w:p w14:paraId="53146CD1" w14:textId="77777777" w:rsidR="00DE391F" w:rsidRPr="002C21B8" w:rsidRDefault="00DE391F" w:rsidP="00DE391F">
            <w:pPr>
              <w:spacing w:after="0" w:line="240" w:lineRule="auto"/>
              <w:jc w:val="left"/>
              <w:rPr>
                <w:sz w:val="14"/>
                <w:szCs w:val="14"/>
              </w:rPr>
            </w:pPr>
            <w:r w:rsidRPr="002C21B8">
              <w:rPr>
                <w:sz w:val="14"/>
                <w:szCs w:val="14"/>
              </w:rPr>
              <w:t>Inception – May 2013</w:t>
            </w:r>
          </w:p>
        </w:tc>
        <w:tc>
          <w:tcPr>
            <w:tcW w:w="1020" w:type="dxa"/>
          </w:tcPr>
          <w:p w14:paraId="519F5E07" w14:textId="77777777" w:rsidR="00DE391F" w:rsidRPr="002C21B8" w:rsidRDefault="00DE391F" w:rsidP="00DE391F">
            <w:pPr>
              <w:spacing w:after="0" w:line="240" w:lineRule="auto"/>
              <w:jc w:val="left"/>
              <w:rPr>
                <w:sz w:val="14"/>
                <w:szCs w:val="14"/>
              </w:rPr>
            </w:pPr>
            <w:r w:rsidRPr="002C21B8">
              <w:rPr>
                <w:sz w:val="14"/>
                <w:szCs w:val="14"/>
              </w:rPr>
              <w:t>1992 – 2011</w:t>
            </w:r>
          </w:p>
        </w:tc>
        <w:tc>
          <w:tcPr>
            <w:tcW w:w="680" w:type="dxa"/>
            <w:vAlign w:val="center"/>
          </w:tcPr>
          <w:p w14:paraId="69E703B0" w14:textId="77777777" w:rsidR="00DE391F" w:rsidRPr="002C21B8" w:rsidRDefault="00DE391F" w:rsidP="00DE391F">
            <w:pPr>
              <w:spacing w:after="0" w:line="240" w:lineRule="auto"/>
              <w:jc w:val="left"/>
              <w:rPr>
                <w:sz w:val="14"/>
                <w:szCs w:val="14"/>
              </w:rPr>
            </w:pPr>
            <w:r w:rsidRPr="002C21B8">
              <w:rPr>
                <w:sz w:val="14"/>
                <w:szCs w:val="14"/>
              </w:rPr>
              <w:t>53</w:t>
            </w:r>
          </w:p>
        </w:tc>
        <w:tc>
          <w:tcPr>
            <w:tcW w:w="1020" w:type="dxa"/>
          </w:tcPr>
          <w:p w14:paraId="5E856C46"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F97A481"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378EB1FE" w14:textId="77777777" w:rsidR="00DE391F" w:rsidRPr="002C21B8" w:rsidRDefault="00DE391F" w:rsidP="00DE391F">
            <w:pPr>
              <w:spacing w:after="0" w:line="240" w:lineRule="auto"/>
              <w:jc w:val="left"/>
              <w:rPr>
                <w:sz w:val="14"/>
                <w:szCs w:val="14"/>
              </w:rPr>
            </w:pPr>
            <w:r w:rsidRPr="002C21B8">
              <w:rPr>
                <w:sz w:val="14"/>
                <w:szCs w:val="14"/>
              </w:rPr>
              <w:t>Hypertension</w:t>
            </w:r>
          </w:p>
        </w:tc>
        <w:tc>
          <w:tcPr>
            <w:tcW w:w="1020" w:type="dxa"/>
            <w:vAlign w:val="center"/>
          </w:tcPr>
          <w:p w14:paraId="784F41E6"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13A01296" w14:textId="77777777" w:rsidR="00DE391F" w:rsidRPr="002C21B8" w:rsidRDefault="00DE391F" w:rsidP="00DE391F">
            <w:pPr>
              <w:spacing w:after="0" w:line="240" w:lineRule="auto"/>
              <w:jc w:val="left"/>
              <w:rPr>
                <w:sz w:val="14"/>
                <w:szCs w:val="14"/>
              </w:rPr>
            </w:pPr>
            <w:r w:rsidRPr="002C21B8">
              <w:rPr>
                <w:sz w:val="14"/>
                <w:szCs w:val="14"/>
              </w:rPr>
              <w:t>Research organisation</w:t>
            </w:r>
          </w:p>
        </w:tc>
      </w:tr>
      <w:tr w:rsidR="00DE391F" w:rsidRPr="002C21B8" w14:paraId="4FAC6D73" w14:textId="77777777" w:rsidTr="00DE391F">
        <w:tc>
          <w:tcPr>
            <w:tcW w:w="2381" w:type="dxa"/>
            <w:vAlign w:val="center"/>
          </w:tcPr>
          <w:p w14:paraId="369C145E" w14:textId="05AD21DB" w:rsidR="00DE391F" w:rsidRPr="002C21B8" w:rsidRDefault="00DE391F" w:rsidP="00DE391F">
            <w:pPr>
              <w:spacing w:after="0" w:line="240" w:lineRule="auto"/>
              <w:jc w:val="left"/>
              <w:rPr>
                <w:sz w:val="14"/>
                <w:szCs w:val="14"/>
              </w:rPr>
            </w:pPr>
            <w:r w:rsidRPr="002C21B8">
              <w:rPr>
                <w:color w:val="000000"/>
                <w:sz w:val="14"/>
                <w:szCs w:val="14"/>
              </w:rPr>
              <w:t>(Milman</w:t>
            </w:r>
            <w:r w:rsidRPr="002C21B8">
              <w:rPr>
                <w:i/>
                <w:iCs/>
                <w:color w:val="000000"/>
                <w:sz w:val="14"/>
                <w:szCs w:val="14"/>
              </w:rPr>
              <w:t xml:space="preserve"> et al.</w:t>
            </w:r>
            <w:r w:rsidRPr="002C21B8">
              <w:rPr>
                <w:color w:val="000000"/>
                <w:sz w:val="14"/>
                <w:szCs w:val="14"/>
              </w:rPr>
              <w:t>, 2018)</w:t>
            </w:r>
          </w:p>
        </w:tc>
        <w:tc>
          <w:tcPr>
            <w:tcW w:w="1191" w:type="dxa"/>
          </w:tcPr>
          <w:p w14:paraId="1CC61D83" w14:textId="77777777" w:rsidR="00DE391F" w:rsidRPr="002C21B8" w:rsidRDefault="00DE391F" w:rsidP="00DE391F">
            <w:pPr>
              <w:spacing w:after="0" w:line="240" w:lineRule="auto"/>
              <w:jc w:val="left"/>
              <w:rPr>
                <w:sz w:val="14"/>
                <w:szCs w:val="14"/>
              </w:rPr>
            </w:pPr>
            <w:r w:rsidRPr="002C21B8">
              <w:rPr>
                <w:sz w:val="14"/>
                <w:szCs w:val="14"/>
              </w:rPr>
              <w:t>Spain</w:t>
            </w:r>
          </w:p>
        </w:tc>
        <w:tc>
          <w:tcPr>
            <w:tcW w:w="850" w:type="dxa"/>
          </w:tcPr>
          <w:p w14:paraId="7766E960"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42141052" w14:textId="77777777" w:rsidR="00DE391F" w:rsidRPr="002C21B8" w:rsidRDefault="00DE391F" w:rsidP="00DE391F">
            <w:pPr>
              <w:spacing w:after="0" w:line="240" w:lineRule="auto"/>
              <w:jc w:val="left"/>
              <w:rPr>
                <w:sz w:val="14"/>
                <w:szCs w:val="14"/>
              </w:rPr>
            </w:pPr>
            <w:r w:rsidRPr="002C21B8">
              <w:rPr>
                <w:sz w:val="14"/>
                <w:szCs w:val="14"/>
              </w:rPr>
              <w:t>Inception – May 2013</w:t>
            </w:r>
          </w:p>
        </w:tc>
        <w:tc>
          <w:tcPr>
            <w:tcW w:w="1020" w:type="dxa"/>
          </w:tcPr>
          <w:p w14:paraId="16C2EACA" w14:textId="77777777" w:rsidR="00DE391F" w:rsidRPr="002C21B8" w:rsidRDefault="00DE391F" w:rsidP="00DE391F">
            <w:pPr>
              <w:spacing w:after="0" w:line="240" w:lineRule="auto"/>
              <w:jc w:val="left"/>
              <w:rPr>
                <w:sz w:val="14"/>
                <w:szCs w:val="14"/>
              </w:rPr>
            </w:pPr>
            <w:r w:rsidRPr="002C21B8">
              <w:rPr>
                <w:sz w:val="14"/>
                <w:szCs w:val="14"/>
              </w:rPr>
              <w:t>1994 – 2012</w:t>
            </w:r>
          </w:p>
        </w:tc>
        <w:tc>
          <w:tcPr>
            <w:tcW w:w="680" w:type="dxa"/>
            <w:vAlign w:val="center"/>
          </w:tcPr>
          <w:p w14:paraId="4EB6086C" w14:textId="77777777" w:rsidR="00DE391F" w:rsidRPr="002C21B8" w:rsidRDefault="00DE391F" w:rsidP="00DE391F">
            <w:pPr>
              <w:spacing w:after="0" w:line="240" w:lineRule="auto"/>
              <w:jc w:val="left"/>
              <w:rPr>
                <w:sz w:val="14"/>
                <w:szCs w:val="14"/>
              </w:rPr>
            </w:pPr>
            <w:r w:rsidRPr="002C21B8">
              <w:rPr>
                <w:sz w:val="14"/>
                <w:szCs w:val="14"/>
              </w:rPr>
              <w:t>9</w:t>
            </w:r>
          </w:p>
        </w:tc>
        <w:tc>
          <w:tcPr>
            <w:tcW w:w="1020" w:type="dxa"/>
          </w:tcPr>
          <w:p w14:paraId="386DE430"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6AD7CDD1"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73FFB698"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340CE62C"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6DE6F0AF" w14:textId="77777777" w:rsidR="00DE391F" w:rsidRPr="002C21B8" w:rsidRDefault="00DE391F" w:rsidP="00DE391F">
            <w:pPr>
              <w:spacing w:after="0" w:line="240" w:lineRule="auto"/>
              <w:jc w:val="left"/>
              <w:rPr>
                <w:sz w:val="14"/>
                <w:szCs w:val="14"/>
              </w:rPr>
            </w:pPr>
            <w:r w:rsidRPr="002C21B8">
              <w:rPr>
                <w:sz w:val="14"/>
                <w:szCs w:val="14"/>
              </w:rPr>
              <w:t>Governmental body</w:t>
            </w:r>
          </w:p>
        </w:tc>
      </w:tr>
      <w:tr w:rsidR="00DE391F" w:rsidRPr="002C21B8" w14:paraId="788C22E2" w14:textId="77777777" w:rsidTr="00DE391F">
        <w:tc>
          <w:tcPr>
            <w:tcW w:w="2381" w:type="dxa"/>
            <w:vAlign w:val="center"/>
          </w:tcPr>
          <w:p w14:paraId="24EFA2A1" w14:textId="1F84FD42" w:rsidR="00DE391F" w:rsidRPr="002C21B8" w:rsidRDefault="00DE391F" w:rsidP="00DE391F">
            <w:pPr>
              <w:spacing w:after="0" w:line="240" w:lineRule="auto"/>
              <w:jc w:val="left"/>
              <w:rPr>
                <w:sz w:val="14"/>
                <w:szCs w:val="14"/>
              </w:rPr>
            </w:pPr>
            <w:r w:rsidRPr="002C21B8">
              <w:rPr>
                <w:color w:val="000000"/>
                <w:sz w:val="14"/>
                <w:szCs w:val="14"/>
              </w:rPr>
              <w:t>(Ng</w:t>
            </w:r>
            <w:r w:rsidRPr="002C21B8">
              <w:rPr>
                <w:i/>
                <w:iCs/>
                <w:color w:val="000000"/>
                <w:sz w:val="14"/>
                <w:szCs w:val="14"/>
              </w:rPr>
              <w:t xml:space="preserve"> et al.</w:t>
            </w:r>
            <w:r w:rsidRPr="002C21B8">
              <w:rPr>
                <w:color w:val="000000"/>
                <w:sz w:val="14"/>
                <w:szCs w:val="14"/>
              </w:rPr>
              <w:t>, 2015)</w:t>
            </w:r>
          </w:p>
        </w:tc>
        <w:tc>
          <w:tcPr>
            <w:tcW w:w="1191" w:type="dxa"/>
          </w:tcPr>
          <w:p w14:paraId="183EC9C4" w14:textId="77777777" w:rsidR="00DE391F" w:rsidRPr="002C21B8" w:rsidRDefault="00DE391F" w:rsidP="00DE391F">
            <w:pPr>
              <w:spacing w:after="0" w:line="240" w:lineRule="auto"/>
              <w:jc w:val="left"/>
              <w:rPr>
                <w:sz w:val="14"/>
                <w:szCs w:val="14"/>
              </w:rPr>
            </w:pPr>
            <w:r w:rsidRPr="002C21B8">
              <w:rPr>
                <w:sz w:val="14"/>
                <w:szCs w:val="14"/>
              </w:rPr>
              <w:t>Malaysia</w:t>
            </w:r>
          </w:p>
        </w:tc>
        <w:tc>
          <w:tcPr>
            <w:tcW w:w="850" w:type="dxa"/>
          </w:tcPr>
          <w:p w14:paraId="3BCF1E6C"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13CEF43F" w14:textId="77777777" w:rsidR="00DE391F" w:rsidRPr="002C21B8" w:rsidRDefault="00DE391F" w:rsidP="00DE391F">
            <w:pPr>
              <w:spacing w:after="0" w:line="240" w:lineRule="auto"/>
              <w:jc w:val="left"/>
              <w:rPr>
                <w:sz w:val="14"/>
                <w:szCs w:val="14"/>
              </w:rPr>
            </w:pPr>
            <w:r w:rsidRPr="002C21B8">
              <w:rPr>
                <w:sz w:val="14"/>
                <w:szCs w:val="14"/>
              </w:rPr>
              <w:t>Inception – Jun 2014</w:t>
            </w:r>
          </w:p>
        </w:tc>
        <w:tc>
          <w:tcPr>
            <w:tcW w:w="1020" w:type="dxa"/>
          </w:tcPr>
          <w:p w14:paraId="057CD4A8"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20F6D440" w14:textId="77777777" w:rsidR="00DE391F" w:rsidRPr="002C21B8" w:rsidRDefault="00DE391F" w:rsidP="00DE391F">
            <w:pPr>
              <w:spacing w:after="0" w:line="240" w:lineRule="auto"/>
              <w:jc w:val="left"/>
              <w:rPr>
                <w:sz w:val="14"/>
                <w:szCs w:val="14"/>
              </w:rPr>
            </w:pPr>
            <w:r w:rsidRPr="002C21B8">
              <w:rPr>
                <w:sz w:val="14"/>
                <w:szCs w:val="14"/>
              </w:rPr>
              <w:t>25</w:t>
            </w:r>
          </w:p>
        </w:tc>
        <w:tc>
          <w:tcPr>
            <w:tcW w:w="1020" w:type="dxa"/>
          </w:tcPr>
          <w:p w14:paraId="38395CF7"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0BB02EAC"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00FB4625"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42BE9BC2"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256A42A9" w14:textId="77777777" w:rsidR="00DE391F" w:rsidRPr="002C21B8" w:rsidRDefault="00DE391F" w:rsidP="00DE391F">
            <w:pPr>
              <w:spacing w:after="0" w:line="240" w:lineRule="auto"/>
              <w:jc w:val="left"/>
              <w:rPr>
                <w:sz w:val="14"/>
                <w:szCs w:val="14"/>
              </w:rPr>
            </w:pPr>
            <w:r w:rsidRPr="002C21B8">
              <w:rPr>
                <w:sz w:val="14"/>
                <w:szCs w:val="14"/>
              </w:rPr>
              <w:t>Research organisation</w:t>
            </w:r>
          </w:p>
        </w:tc>
      </w:tr>
      <w:tr w:rsidR="00DE391F" w:rsidRPr="002C21B8" w14:paraId="531D1A8D" w14:textId="77777777" w:rsidTr="00DE391F">
        <w:tc>
          <w:tcPr>
            <w:tcW w:w="2381" w:type="dxa"/>
            <w:vAlign w:val="center"/>
          </w:tcPr>
          <w:p w14:paraId="332341F9" w14:textId="7EFEE7A7" w:rsidR="00DE391F" w:rsidRPr="002C21B8" w:rsidRDefault="00DE391F" w:rsidP="00DE391F">
            <w:pPr>
              <w:spacing w:after="0" w:line="240" w:lineRule="auto"/>
              <w:jc w:val="left"/>
              <w:rPr>
                <w:sz w:val="14"/>
                <w:szCs w:val="14"/>
              </w:rPr>
            </w:pPr>
            <w:r w:rsidRPr="002C21B8">
              <w:rPr>
                <w:color w:val="000000"/>
                <w:sz w:val="14"/>
                <w:szCs w:val="14"/>
              </w:rPr>
              <w:t>(Oqab, Pournazari and Sheldon, 2018)</w:t>
            </w:r>
          </w:p>
        </w:tc>
        <w:tc>
          <w:tcPr>
            <w:tcW w:w="1191" w:type="dxa"/>
          </w:tcPr>
          <w:p w14:paraId="6AA6A953" w14:textId="77777777" w:rsidR="00DE391F" w:rsidRPr="002C21B8" w:rsidRDefault="00DE391F" w:rsidP="00DE391F">
            <w:pPr>
              <w:spacing w:after="0" w:line="240" w:lineRule="auto"/>
              <w:jc w:val="left"/>
              <w:rPr>
                <w:sz w:val="14"/>
                <w:szCs w:val="14"/>
              </w:rPr>
            </w:pPr>
            <w:r w:rsidRPr="002C21B8">
              <w:rPr>
                <w:sz w:val="14"/>
                <w:szCs w:val="14"/>
              </w:rPr>
              <w:t>Canada</w:t>
            </w:r>
          </w:p>
        </w:tc>
        <w:tc>
          <w:tcPr>
            <w:tcW w:w="850" w:type="dxa"/>
          </w:tcPr>
          <w:p w14:paraId="16BAB404" w14:textId="77777777" w:rsidR="00DE391F" w:rsidRPr="002C21B8" w:rsidRDefault="00DE391F" w:rsidP="00DE391F">
            <w:pPr>
              <w:spacing w:after="0" w:line="240" w:lineRule="auto"/>
              <w:jc w:val="left"/>
              <w:rPr>
                <w:sz w:val="14"/>
                <w:szCs w:val="14"/>
              </w:rPr>
            </w:pPr>
            <w:r w:rsidRPr="002C21B8">
              <w:rPr>
                <w:sz w:val="14"/>
                <w:szCs w:val="14"/>
              </w:rPr>
              <w:t>3</w:t>
            </w:r>
          </w:p>
        </w:tc>
        <w:tc>
          <w:tcPr>
            <w:tcW w:w="1587" w:type="dxa"/>
          </w:tcPr>
          <w:p w14:paraId="1398AF49" w14:textId="77777777" w:rsidR="00DE391F" w:rsidRPr="002C21B8" w:rsidRDefault="00DE391F" w:rsidP="00DE391F">
            <w:pPr>
              <w:spacing w:after="0" w:line="240" w:lineRule="auto"/>
              <w:jc w:val="left"/>
              <w:rPr>
                <w:sz w:val="14"/>
                <w:szCs w:val="14"/>
              </w:rPr>
            </w:pPr>
            <w:r w:rsidRPr="002C21B8">
              <w:rPr>
                <w:sz w:val="14"/>
                <w:szCs w:val="14"/>
              </w:rPr>
              <w:t>Unknown</w:t>
            </w:r>
          </w:p>
        </w:tc>
        <w:tc>
          <w:tcPr>
            <w:tcW w:w="1020" w:type="dxa"/>
          </w:tcPr>
          <w:p w14:paraId="63892EFA" w14:textId="77777777" w:rsidR="00DE391F" w:rsidRPr="002C21B8" w:rsidRDefault="00DE391F" w:rsidP="00DE391F">
            <w:pPr>
              <w:spacing w:after="0" w:line="240" w:lineRule="auto"/>
              <w:jc w:val="left"/>
              <w:rPr>
                <w:sz w:val="14"/>
                <w:szCs w:val="14"/>
              </w:rPr>
            </w:pPr>
            <w:r w:rsidRPr="002C21B8">
              <w:rPr>
                <w:sz w:val="14"/>
                <w:szCs w:val="14"/>
              </w:rPr>
              <w:t>2009 – 2015</w:t>
            </w:r>
          </w:p>
        </w:tc>
        <w:tc>
          <w:tcPr>
            <w:tcW w:w="680" w:type="dxa"/>
            <w:vAlign w:val="center"/>
          </w:tcPr>
          <w:p w14:paraId="20DC1426" w14:textId="77777777" w:rsidR="00DE391F" w:rsidRPr="002C21B8" w:rsidRDefault="00DE391F" w:rsidP="00DE391F">
            <w:pPr>
              <w:spacing w:after="0" w:line="240" w:lineRule="auto"/>
              <w:jc w:val="left"/>
              <w:rPr>
                <w:sz w:val="14"/>
                <w:szCs w:val="14"/>
              </w:rPr>
            </w:pPr>
            <w:r w:rsidRPr="002C21B8">
              <w:rPr>
                <w:sz w:val="14"/>
                <w:szCs w:val="14"/>
              </w:rPr>
              <w:t>3</w:t>
            </w:r>
          </w:p>
        </w:tc>
        <w:tc>
          <w:tcPr>
            <w:tcW w:w="1020" w:type="dxa"/>
          </w:tcPr>
          <w:p w14:paraId="35FDBBCA"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621A00E2"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1AA0C967"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255B2C17"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35B7469F"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7401683E" w14:textId="77777777" w:rsidTr="00DE391F">
        <w:tc>
          <w:tcPr>
            <w:tcW w:w="2381" w:type="dxa"/>
            <w:vAlign w:val="center"/>
          </w:tcPr>
          <w:p w14:paraId="1E90766E" w14:textId="5BEFD100" w:rsidR="00DE391F" w:rsidRPr="002C21B8" w:rsidRDefault="00DE391F" w:rsidP="00DE391F">
            <w:pPr>
              <w:spacing w:after="0" w:line="240" w:lineRule="auto"/>
              <w:jc w:val="left"/>
              <w:rPr>
                <w:sz w:val="14"/>
                <w:szCs w:val="14"/>
              </w:rPr>
            </w:pPr>
            <w:r w:rsidRPr="002C21B8">
              <w:rPr>
                <w:color w:val="000000"/>
                <w:sz w:val="14"/>
                <w:szCs w:val="14"/>
              </w:rPr>
              <w:t>(Orayj and Lane, 2019)</w:t>
            </w:r>
          </w:p>
        </w:tc>
        <w:tc>
          <w:tcPr>
            <w:tcW w:w="1191" w:type="dxa"/>
          </w:tcPr>
          <w:p w14:paraId="271C2052"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7D10B2C4"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04A70643" w14:textId="77777777" w:rsidR="00DE391F" w:rsidRPr="002C21B8" w:rsidRDefault="00DE391F" w:rsidP="00DE391F">
            <w:pPr>
              <w:spacing w:after="0" w:line="240" w:lineRule="auto"/>
              <w:jc w:val="left"/>
              <w:rPr>
                <w:sz w:val="14"/>
                <w:szCs w:val="14"/>
              </w:rPr>
            </w:pPr>
            <w:r w:rsidRPr="002C21B8">
              <w:rPr>
                <w:sz w:val="14"/>
                <w:szCs w:val="14"/>
              </w:rPr>
              <w:t>Jan 1967 – Mar 2018</w:t>
            </w:r>
          </w:p>
        </w:tc>
        <w:tc>
          <w:tcPr>
            <w:tcW w:w="1020" w:type="dxa"/>
          </w:tcPr>
          <w:p w14:paraId="16A7F1F6" w14:textId="77777777" w:rsidR="00DE391F" w:rsidRPr="002C21B8" w:rsidRDefault="00DE391F" w:rsidP="00DE391F">
            <w:pPr>
              <w:spacing w:after="0" w:line="240" w:lineRule="auto"/>
              <w:jc w:val="left"/>
              <w:rPr>
                <w:sz w:val="14"/>
                <w:szCs w:val="14"/>
              </w:rPr>
            </w:pPr>
            <w:r w:rsidRPr="002C21B8">
              <w:rPr>
                <w:sz w:val="14"/>
                <w:szCs w:val="14"/>
              </w:rPr>
              <w:t>Not reported</w:t>
            </w:r>
          </w:p>
        </w:tc>
        <w:tc>
          <w:tcPr>
            <w:tcW w:w="680" w:type="dxa"/>
            <w:vAlign w:val="center"/>
          </w:tcPr>
          <w:p w14:paraId="43FA37FE" w14:textId="77777777" w:rsidR="00DE391F" w:rsidRPr="002C21B8" w:rsidRDefault="00DE391F" w:rsidP="00DE391F">
            <w:pPr>
              <w:spacing w:after="0" w:line="240" w:lineRule="auto"/>
              <w:jc w:val="left"/>
              <w:rPr>
                <w:sz w:val="14"/>
                <w:szCs w:val="14"/>
              </w:rPr>
            </w:pPr>
            <w:r w:rsidRPr="002C21B8">
              <w:rPr>
                <w:sz w:val="14"/>
                <w:szCs w:val="14"/>
              </w:rPr>
              <w:t>44</w:t>
            </w:r>
          </w:p>
        </w:tc>
        <w:tc>
          <w:tcPr>
            <w:tcW w:w="1020" w:type="dxa"/>
          </w:tcPr>
          <w:p w14:paraId="7142EC01"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2F64CF4F"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4971E796" w14:textId="77777777" w:rsidR="00DE391F" w:rsidRPr="002C21B8" w:rsidRDefault="00DE391F" w:rsidP="00DE391F">
            <w:pPr>
              <w:spacing w:after="0" w:line="240" w:lineRule="auto"/>
              <w:jc w:val="left"/>
              <w:rPr>
                <w:sz w:val="14"/>
                <w:szCs w:val="14"/>
              </w:rPr>
            </w:pPr>
            <w:r w:rsidRPr="002C21B8">
              <w:rPr>
                <w:sz w:val="14"/>
                <w:szCs w:val="14"/>
              </w:rPr>
              <w:t>Parkinson’s disease</w:t>
            </w:r>
          </w:p>
        </w:tc>
        <w:tc>
          <w:tcPr>
            <w:tcW w:w="1020" w:type="dxa"/>
            <w:vAlign w:val="center"/>
          </w:tcPr>
          <w:p w14:paraId="31CE2FD2"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4E0D6C52" w14:textId="77777777" w:rsidR="00DE391F" w:rsidRPr="002C21B8" w:rsidRDefault="00DE391F" w:rsidP="00DE391F">
            <w:pPr>
              <w:spacing w:after="0" w:line="240" w:lineRule="auto"/>
              <w:jc w:val="left"/>
              <w:rPr>
                <w:sz w:val="14"/>
                <w:szCs w:val="14"/>
              </w:rPr>
            </w:pPr>
            <w:r w:rsidRPr="002C21B8">
              <w:rPr>
                <w:sz w:val="14"/>
                <w:szCs w:val="14"/>
              </w:rPr>
              <w:t>University</w:t>
            </w:r>
          </w:p>
        </w:tc>
      </w:tr>
      <w:tr w:rsidR="00DE391F" w:rsidRPr="002C21B8" w14:paraId="5562D70C" w14:textId="77777777" w:rsidTr="00DE391F">
        <w:tc>
          <w:tcPr>
            <w:tcW w:w="2381" w:type="dxa"/>
            <w:vAlign w:val="center"/>
          </w:tcPr>
          <w:p w14:paraId="75090649" w14:textId="03B70B7F" w:rsidR="00DE391F" w:rsidRPr="002C21B8" w:rsidRDefault="00DE391F" w:rsidP="00DE391F">
            <w:pPr>
              <w:spacing w:after="0" w:line="240" w:lineRule="auto"/>
              <w:jc w:val="left"/>
              <w:rPr>
                <w:sz w:val="14"/>
                <w:szCs w:val="14"/>
              </w:rPr>
            </w:pPr>
            <w:r w:rsidRPr="002C21B8">
              <w:rPr>
                <w:color w:val="000000"/>
                <w:sz w:val="14"/>
                <w:szCs w:val="14"/>
              </w:rPr>
              <w:t>(Osasu, Cooper and Mitchell, 2021)</w:t>
            </w:r>
          </w:p>
        </w:tc>
        <w:tc>
          <w:tcPr>
            <w:tcW w:w="1191" w:type="dxa"/>
          </w:tcPr>
          <w:p w14:paraId="764310C8"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05E7C903"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28173169" w14:textId="77777777" w:rsidR="00DE391F" w:rsidRPr="002C21B8" w:rsidRDefault="00DE391F" w:rsidP="00DE391F">
            <w:pPr>
              <w:spacing w:after="0" w:line="240" w:lineRule="auto"/>
              <w:jc w:val="left"/>
              <w:rPr>
                <w:sz w:val="14"/>
                <w:szCs w:val="14"/>
              </w:rPr>
            </w:pPr>
            <w:r w:rsidRPr="002C21B8">
              <w:rPr>
                <w:sz w:val="14"/>
                <w:szCs w:val="14"/>
              </w:rPr>
              <w:t>Jan 1990 – Jan 2018</w:t>
            </w:r>
          </w:p>
        </w:tc>
        <w:tc>
          <w:tcPr>
            <w:tcW w:w="1020" w:type="dxa"/>
          </w:tcPr>
          <w:p w14:paraId="1CCF6143" w14:textId="77777777" w:rsidR="00DE391F" w:rsidRPr="002C21B8" w:rsidRDefault="00DE391F" w:rsidP="00DE391F">
            <w:pPr>
              <w:spacing w:after="0" w:line="240" w:lineRule="auto"/>
              <w:jc w:val="left"/>
              <w:rPr>
                <w:sz w:val="14"/>
                <w:szCs w:val="14"/>
              </w:rPr>
            </w:pPr>
            <w:r w:rsidRPr="002C21B8">
              <w:rPr>
                <w:sz w:val="14"/>
                <w:szCs w:val="14"/>
              </w:rPr>
              <w:t>1995 – 2018</w:t>
            </w:r>
          </w:p>
        </w:tc>
        <w:tc>
          <w:tcPr>
            <w:tcW w:w="680" w:type="dxa"/>
            <w:vAlign w:val="center"/>
          </w:tcPr>
          <w:p w14:paraId="5AD31231" w14:textId="77777777" w:rsidR="00DE391F" w:rsidRPr="002C21B8" w:rsidRDefault="00DE391F" w:rsidP="00DE391F">
            <w:pPr>
              <w:spacing w:after="0" w:line="240" w:lineRule="auto"/>
              <w:jc w:val="left"/>
              <w:rPr>
                <w:sz w:val="14"/>
                <w:szCs w:val="14"/>
              </w:rPr>
            </w:pPr>
            <w:r w:rsidRPr="002C21B8">
              <w:rPr>
                <w:sz w:val="14"/>
                <w:szCs w:val="14"/>
              </w:rPr>
              <w:t>34</w:t>
            </w:r>
          </w:p>
        </w:tc>
        <w:tc>
          <w:tcPr>
            <w:tcW w:w="1020" w:type="dxa"/>
          </w:tcPr>
          <w:p w14:paraId="6E6DCD3F"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0567D5DD"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7B842904"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18268554"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18D59932"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7A4FCE18" w14:textId="77777777" w:rsidTr="00DE391F">
        <w:tc>
          <w:tcPr>
            <w:tcW w:w="2381" w:type="dxa"/>
            <w:vAlign w:val="center"/>
          </w:tcPr>
          <w:p w14:paraId="4BE0D6ED" w14:textId="6D04D90F" w:rsidR="00DE391F" w:rsidRPr="002C21B8" w:rsidRDefault="00DE391F" w:rsidP="00DE391F">
            <w:pPr>
              <w:spacing w:after="0" w:line="240" w:lineRule="auto"/>
              <w:jc w:val="left"/>
              <w:rPr>
                <w:sz w:val="14"/>
                <w:szCs w:val="14"/>
              </w:rPr>
            </w:pPr>
            <w:r w:rsidRPr="002C21B8">
              <w:rPr>
                <w:color w:val="000000"/>
                <w:sz w:val="14"/>
                <w:szCs w:val="14"/>
              </w:rPr>
              <w:t>(Pokorny</w:t>
            </w:r>
            <w:r w:rsidRPr="002C21B8">
              <w:rPr>
                <w:i/>
                <w:iCs/>
                <w:color w:val="000000"/>
                <w:sz w:val="14"/>
                <w:szCs w:val="14"/>
              </w:rPr>
              <w:t xml:space="preserve"> et al.</w:t>
            </w:r>
            <w:r w:rsidRPr="002C21B8">
              <w:rPr>
                <w:color w:val="000000"/>
                <w:sz w:val="14"/>
                <w:szCs w:val="14"/>
              </w:rPr>
              <w:t>, 2022)</w:t>
            </w:r>
          </w:p>
        </w:tc>
        <w:tc>
          <w:tcPr>
            <w:tcW w:w="1191" w:type="dxa"/>
          </w:tcPr>
          <w:p w14:paraId="0BA22DB3" w14:textId="77777777" w:rsidR="00DE391F" w:rsidRPr="002C21B8" w:rsidRDefault="00DE391F" w:rsidP="00DE391F">
            <w:pPr>
              <w:spacing w:after="0" w:line="240" w:lineRule="auto"/>
              <w:jc w:val="left"/>
              <w:rPr>
                <w:sz w:val="14"/>
                <w:szCs w:val="14"/>
              </w:rPr>
            </w:pPr>
            <w:r w:rsidRPr="002C21B8">
              <w:rPr>
                <w:sz w:val="14"/>
                <w:szCs w:val="14"/>
              </w:rPr>
              <w:t>Australia</w:t>
            </w:r>
          </w:p>
        </w:tc>
        <w:tc>
          <w:tcPr>
            <w:tcW w:w="850" w:type="dxa"/>
          </w:tcPr>
          <w:p w14:paraId="67BFD935"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45FCB466" w14:textId="77777777" w:rsidR="00DE391F" w:rsidRPr="002C21B8" w:rsidRDefault="00DE391F" w:rsidP="00DE391F">
            <w:pPr>
              <w:spacing w:after="0" w:line="240" w:lineRule="auto"/>
              <w:jc w:val="left"/>
              <w:rPr>
                <w:sz w:val="14"/>
                <w:szCs w:val="14"/>
              </w:rPr>
            </w:pPr>
            <w:r w:rsidRPr="002C21B8">
              <w:rPr>
                <w:sz w:val="14"/>
                <w:szCs w:val="14"/>
              </w:rPr>
              <w:t>Inception – Feb 2021</w:t>
            </w:r>
          </w:p>
        </w:tc>
        <w:tc>
          <w:tcPr>
            <w:tcW w:w="1020" w:type="dxa"/>
          </w:tcPr>
          <w:p w14:paraId="0AA18759" w14:textId="77777777" w:rsidR="00DE391F" w:rsidRPr="002C21B8" w:rsidRDefault="00DE391F" w:rsidP="00DE391F">
            <w:pPr>
              <w:spacing w:after="0" w:line="240" w:lineRule="auto"/>
              <w:jc w:val="left"/>
              <w:rPr>
                <w:sz w:val="14"/>
                <w:szCs w:val="14"/>
              </w:rPr>
            </w:pPr>
            <w:r w:rsidRPr="002C21B8">
              <w:rPr>
                <w:sz w:val="14"/>
                <w:szCs w:val="14"/>
              </w:rPr>
              <w:t>2007 – 2021</w:t>
            </w:r>
          </w:p>
        </w:tc>
        <w:tc>
          <w:tcPr>
            <w:tcW w:w="680" w:type="dxa"/>
            <w:vAlign w:val="center"/>
          </w:tcPr>
          <w:p w14:paraId="71D21016" w14:textId="77777777" w:rsidR="00DE391F" w:rsidRPr="002C21B8" w:rsidRDefault="00DE391F" w:rsidP="00DE391F">
            <w:pPr>
              <w:spacing w:after="0" w:line="240" w:lineRule="auto"/>
              <w:jc w:val="left"/>
              <w:rPr>
                <w:sz w:val="14"/>
                <w:szCs w:val="14"/>
              </w:rPr>
            </w:pPr>
            <w:r w:rsidRPr="002C21B8">
              <w:rPr>
                <w:sz w:val="14"/>
                <w:szCs w:val="14"/>
              </w:rPr>
              <w:t>31</w:t>
            </w:r>
          </w:p>
        </w:tc>
        <w:tc>
          <w:tcPr>
            <w:tcW w:w="1020" w:type="dxa"/>
          </w:tcPr>
          <w:p w14:paraId="22C00305"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B40A75D" w14:textId="77777777" w:rsidR="00DE391F" w:rsidRPr="002C21B8" w:rsidRDefault="00DE391F" w:rsidP="00DE391F">
            <w:pPr>
              <w:spacing w:after="0" w:line="240" w:lineRule="auto"/>
              <w:jc w:val="left"/>
              <w:rPr>
                <w:sz w:val="14"/>
                <w:szCs w:val="14"/>
              </w:rPr>
            </w:pPr>
            <w:r w:rsidRPr="002C21B8">
              <w:rPr>
                <w:sz w:val="14"/>
                <w:szCs w:val="14"/>
              </w:rPr>
              <w:t>Secondary</w:t>
            </w:r>
          </w:p>
        </w:tc>
        <w:tc>
          <w:tcPr>
            <w:tcW w:w="1474" w:type="dxa"/>
            <w:vAlign w:val="center"/>
          </w:tcPr>
          <w:p w14:paraId="3A617EBD" w14:textId="77777777" w:rsidR="00DE391F" w:rsidRPr="002C21B8" w:rsidRDefault="00DE391F" w:rsidP="00DE391F">
            <w:pPr>
              <w:spacing w:after="0" w:line="240" w:lineRule="auto"/>
              <w:jc w:val="left"/>
              <w:rPr>
                <w:sz w:val="14"/>
                <w:szCs w:val="14"/>
              </w:rPr>
            </w:pPr>
            <w:r w:rsidRPr="002C21B8">
              <w:rPr>
                <w:sz w:val="14"/>
                <w:szCs w:val="14"/>
              </w:rPr>
              <w:t>Cancer</w:t>
            </w:r>
          </w:p>
        </w:tc>
        <w:tc>
          <w:tcPr>
            <w:tcW w:w="1020" w:type="dxa"/>
            <w:vAlign w:val="center"/>
          </w:tcPr>
          <w:p w14:paraId="4947FE56"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69F515BC" w14:textId="77777777" w:rsidR="00DE391F" w:rsidRPr="002C21B8" w:rsidRDefault="00DE391F" w:rsidP="00DE391F">
            <w:pPr>
              <w:spacing w:after="0" w:line="240" w:lineRule="auto"/>
              <w:jc w:val="left"/>
              <w:rPr>
                <w:sz w:val="14"/>
                <w:szCs w:val="14"/>
              </w:rPr>
            </w:pPr>
            <w:r w:rsidRPr="002C21B8">
              <w:rPr>
                <w:sz w:val="14"/>
                <w:szCs w:val="14"/>
              </w:rPr>
              <w:t>University</w:t>
            </w:r>
          </w:p>
        </w:tc>
      </w:tr>
      <w:tr w:rsidR="00DE391F" w:rsidRPr="002C21B8" w14:paraId="6ECE717B" w14:textId="77777777" w:rsidTr="00DE391F">
        <w:tc>
          <w:tcPr>
            <w:tcW w:w="2381" w:type="dxa"/>
            <w:vAlign w:val="center"/>
          </w:tcPr>
          <w:p w14:paraId="62A27823" w14:textId="468BC229" w:rsidR="00DE391F" w:rsidRPr="002C21B8" w:rsidRDefault="00DE391F" w:rsidP="00DE391F">
            <w:pPr>
              <w:spacing w:after="0" w:line="240" w:lineRule="auto"/>
              <w:jc w:val="left"/>
              <w:rPr>
                <w:sz w:val="14"/>
                <w:szCs w:val="14"/>
              </w:rPr>
            </w:pPr>
            <w:r w:rsidRPr="002C21B8">
              <w:rPr>
                <w:color w:val="000000"/>
                <w:sz w:val="14"/>
                <w:szCs w:val="14"/>
              </w:rPr>
              <w:t>(Presta</w:t>
            </w:r>
            <w:r w:rsidRPr="002C21B8">
              <w:rPr>
                <w:i/>
                <w:iCs/>
                <w:color w:val="000000"/>
                <w:sz w:val="14"/>
                <w:szCs w:val="14"/>
              </w:rPr>
              <w:t xml:space="preserve"> et al.</w:t>
            </w:r>
            <w:r w:rsidRPr="002C21B8">
              <w:rPr>
                <w:color w:val="000000"/>
                <w:sz w:val="14"/>
                <w:szCs w:val="14"/>
              </w:rPr>
              <w:t>, 2022)</w:t>
            </w:r>
          </w:p>
        </w:tc>
        <w:tc>
          <w:tcPr>
            <w:tcW w:w="1191" w:type="dxa"/>
          </w:tcPr>
          <w:p w14:paraId="0DE7B581" w14:textId="77777777" w:rsidR="00DE391F" w:rsidRPr="002C21B8" w:rsidRDefault="00DE391F" w:rsidP="00DE391F">
            <w:pPr>
              <w:spacing w:after="0" w:line="240" w:lineRule="auto"/>
              <w:jc w:val="left"/>
              <w:rPr>
                <w:sz w:val="14"/>
                <w:szCs w:val="14"/>
              </w:rPr>
            </w:pPr>
            <w:r w:rsidRPr="002C21B8">
              <w:rPr>
                <w:sz w:val="14"/>
                <w:szCs w:val="14"/>
              </w:rPr>
              <w:t>Italy</w:t>
            </w:r>
          </w:p>
        </w:tc>
        <w:tc>
          <w:tcPr>
            <w:tcW w:w="850" w:type="dxa"/>
          </w:tcPr>
          <w:p w14:paraId="0D2AC0BA" w14:textId="77777777" w:rsidR="00DE391F" w:rsidRPr="002C21B8" w:rsidRDefault="00DE391F" w:rsidP="00DE391F">
            <w:pPr>
              <w:spacing w:after="0" w:line="240" w:lineRule="auto"/>
              <w:jc w:val="left"/>
              <w:rPr>
                <w:sz w:val="14"/>
                <w:szCs w:val="14"/>
              </w:rPr>
            </w:pPr>
            <w:r w:rsidRPr="002C21B8">
              <w:rPr>
                <w:sz w:val="14"/>
                <w:szCs w:val="14"/>
              </w:rPr>
              <w:t>2</w:t>
            </w:r>
          </w:p>
        </w:tc>
        <w:tc>
          <w:tcPr>
            <w:tcW w:w="1587" w:type="dxa"/>
          </w:tcPr>
          <w:p w14:paraId="3C304F26" w14:textId="77777777" w:rsidR="00DE391F" w:rsidRPr="002C21B8" w:rsidRDefault="00DE391F" w:rsidP="00DE391F">
            <w:pPr>
              <w:spacing w:after="0" w:line="240" w:lineRule="auto"/>
              <w:jc w:val="left"/>
              <w:rPr>
                <w:sz w:val="14"/>
                <w:szCs w:val="14"/>
              </w:rPr>
            </w:pPr>
            <w:r w:rsidRPr="002C21B8">
              <w:rPr>
                <w:sz w:val="14"/>
                <w:szCs w:val="14"/>
              </w:rPr>
              <w:t>Inception – May 2022</w:t>
            </w:r>
          </w:p>
        </w:tc>
        <w:tc>
          <w:tcPr>
            <w:tcW w:w="1020" w:type="dxa"/>
          </w:tcPr>
          <w:p w14:paraId="24594BC2" w14:textId="77777777" w:rsidR="00DE391F" w:rsidRPr="002C21B8" w:rsidRDefault="00DE391F" w:rsidP="00DE391F">
            <w:pPr>
              <w:spacing w:after="0" w:line="240" w:lineRule="auto"/>
              <w:jc w:val="left"/>
              <w:rPr>
                <w:sz w:val="14"/>
                <w:szCs w:val="14"/>
              </w:rPr>
            </w:pPr>
            <w:r w:rsidRPr="002C21B8">
              <w:rPr>
                <w:sz w:val="14"/>
                <w:szCs w:val="14"/>
              </w:rPr>
              <w:t>2008 – 2022</w:t>
            </w:r>
          </w:p>
        </w:tc>
        <w:tc>
          <w:tcPr>
            <w:tcW w:w="680" w:type="dxa"/>
            <w:vAlign w:val="center"/>
          </w:tcPr>
          <w:p w14:paraId="10BC1AFC" w14:textId="77777777" w:rsidR="00DE391F" w:rsidRPr="002C21B8" w:rsidRDefault="00DE391F" w:rsidP="00DE391F">
            <w:pPr>
              <w:spacing w:after="0" w:line="240" w:lineRule="auto"/>
              <w:jc w:val="left"/>
              <w:rPr>
                <w:sz w:val="14"/>
                <w:szCs w:val="14"/>
              </w:rPr>
            </w:pPr>
            <w:r w:rsidRPr="002C21B8">
              <w:rPr>
                <w:sz w:val="14"/>
                <w:szCs w:val="14"/>
              </w:rPr>
              <w:t>23</w:t>
            </w:r>
          </w:p>
        </w:tc>
        <w:tc>
          <w:tcPr>
            <w:tcW w:w="1020" w:type="dxa"/>
          </w:tcPr>
          <w:p w14:paraId="1B63F04B"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6406304E"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5C780FFA"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0509DC64"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66589163"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13D37539" w14:textId="77777777" w:rsidTr="00DE391F">
        <w:tc>
          <w:tcPr>
            <w:tcW w:w="2381" w:type="dxa"/>
            <w:vAlign w:val="center"/>
          </w:tcPr>
          <w:p w14:paraId="00E478D1" w14:textId="11B5E19C" w:rsidR="00DE391F" w:rsidRPr="002C21B8" w:rsidRDefault="00DE391F" w:rsidP="00DE391F">
            <w:pPr>
              <w:spacing w:after="0" w:line="240" w:lineRule="auto"/>
              <w:jc w:val="left"/>
              <w:rPr>
                <w:sz w:val="14"/>
                <w:szCs w:val="14"/>
              </w:rPr>
            </w:pPr>
            <w:r w:rsidRPr="002C21B8">
              <w:rPr>
                <w:color w:val="000000"/>
                <w:sz w:val="14"/>
                <w:szCs w:val="14"/>
              </w:rPr>
              <w:t>(Pritchett</w:t>
            </w:r>
            <w:r w:rsidRPr="002C21B8">
              <w:rPr>
                <w:i/>
                <w:iCs/>
                <w:color w:val="000000"/>
                <w:sz w:val="14"/>
                <w:szCs w:val="14"/>
              </w:rPr>
              <w:t xml:space="preserve"> et al.</w:t>
            </w:r>
            <w:r w:rsidRPr="002C21B8">
              <w:rPr>
                <w:color w:val="000000"/>
                <w:sz w:val="14"/>
                <w:szCs w:val="14"/>
              </w:rPr>
              <w:t>, 2020)</w:t>
            </w:r>
          </w:p>
        </w:tc>
        <w:tc>
          <w:tcPr>
            <w:tcW w:w="1191" w:type="dxa"/>
          </w:tcPr>
          <w:p w14:paraId="57FBAA70"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6CC67396" w14:textId="77777777" w:rsidR="00DE391F" w:rsidRPr="002C21B8" w:rsidRDefault="00DE391F" w:rsidP="00DE391F">
            <w:pPr>
              <w:spacing w:after="0" w:line="240" w:lineRule="auto"/>
              <w:jc w:val="left"/>
              <w:rPr>
                <w:sz w:val="14"/>
                <w:szCs w:val="14"/>
              </w:rPr>
            </w:pPr>
            <w:r w:rsidRPr="002C21B8">
              <w:rPr>
                <w:sz w:val="14"/>
                <w:szCs w:val="14"/>
              </w:rPr>
              <w:t>4</w:t>
            </w:r>
          </w:p>
        </w:tc>
        <w:tc>
          <w:tcPr>
            <w:tcW w:w="1587" w:type="dxa"/>
          </w:tcPr>
          <w:p w14:paraId="144D3230" w14:textId="77777777" w:rsidR="00DE391F" w:rsidRPr="002C21B8" w:rsidRDefault="00DE391F" w:rsidP="00DE391F">
            <w:pPr>
              <w:spacing w:after="0" w:line="240" w:lineRule="auto"/>
              <w:jc w:val="left"/>
              <w:rPr>
                <w:sz w:val="14"/>
                <w:szCs w:val="14"/>
              </w:rPr>
            </w:pPr>
            <w:r w:rsidRPr="002C21B8">
              <w:rPr>
                <w:sz w:val="14"/>
                <w:szCs w:val="14"/>
              </w:rPr>
              <w:t>Inception – Jun 2018</w:t>
            </w:r>
          </w:p>
        </w:tc>
        <w:tc>
          <w:tcPr>
            <w:tcW w:w="1020" w:type="dxa"/>
          </w:tcPr>
          <w:p w14:paraId="708B161B" w14:textId="77777777" w:rsidR="00DE391F" w:rsidRPr="002C21B8" w:rsidRDefault="00DE391F" w:rsidP="00DE391F">
            <w:pPr>
              <w:spacing w:after="0" w:line="240" w:lineRule="auto"/>
              <w:jc w:val="left"/>
              <w:rPr>
                <w:sz w:val="14"/>
                <w:szCs w:val="14"/>
              </w:rPr>
            </w:pPr>
            <w:r w:rsidRPr="002C21B8">
              <w:rPr>
                <w:sz w:val="14"/>
                <w:szCs w:val="14"/>
              </w:rPr>
              <w:t>2001 – 2019</w:t>
            </w:r>
          </w:p>
        </w:tc>
        <w:tc>
          <w:tcPr>
            <w:tcW w:w="680" w:type="dxa"/>
            <w:vAlign w:val="center"/>
          </w:tcPr>
          <w:p w14:paraId="22DBEC44" w14:textId="77777777" w:rsidR="00DE391F" w:rsidRPr="002C21B8" w:rsidRDefault="00DE391F" w:rsidP="00DE391F">
            <w:pPr>
              <w:spacing w:after="0" w:line="240" w:lineRule="auto"/>
              <w:jc w:val="left"/>
              <w:rPr>
                <w:sz w:val="14"/>
                <w:szCs w:val="14"/>
              </w:rPr>
            </w:pPr>
            <w:r w:rsidRPr="002C21B8">
              <w:rPr>
                <w:sz w:val="14"/>
                <w:szCs w:val="14"/>
              </w:rPr>
              <w:t>13</w:t>
            </w:r>
          </w:p>
        </w:tc>
        <w:tc>
          <w:tcPr>
            <w:tcW w:w="1020" w:type="dxa"/>
          </w:tcPr>
          <w:p w14:paraId="6A03BA1A"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2C0769A3" w14:textId="77777777" w:rsidR="00DE391F" w:rsidRPr="002C21B8" w:rsidRDefault="00DE391F" w:rsidP="00DE391F">
            <w:pPr>
              <w:spacing w:after="0" w:line="240" w:lineRule="auto"/>
              <w:jc w:val="left"/>
              <w:rPr>
                <w:sz w:val="14"/>
                <w:szCs w:val="14"/>
              </w:rPr>
            </w:pPr>
            <w:r w:rsidRPr="002C21B8">
              <w:rPr>
                <w:sz w:val="14"/>
                <w:szCs w:val="14"/>
              </w:rPr>
              <w:t>Primary, Secondary, Tertiary</w:t>
            </w:r>
          </w:p>
        </w:tc>
        <w:tc>
          <w:tcPr>
            <w:tcW w:w="1474" w:type="dxa"/>
            <w:vAlign w:val="center"/>
          </w:tcPr>
          <w:p w14:paraId="336C6529"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6071B2A7" w14:textId="77777777" w:rsidR="00DE391F" w:rsidRPr="002C21B8" w:rsidRDefault="00DE391F" w:rsidP="00DE391F">
            <w:pPr>
              <w:spacing w:after="0" w:line="240" w:lineRule="auto"/>
              <w:jc w:val="left"/>
              <w:rPr>
                <w:sz w:val="14"/>
                <w:szCs w:val="14"/>
              </w:rPr>
            </w:pPr>
            <w:r w:rsidRPr="002C21B8">
              <w:rPr>
                <w:sz w:val="14"/>
                <w:szCs w:val="14"/>
              </w:rPr>
              <w:t>Mixed</w:t>
            </w:r>
          </w:p>
        </w:tc>
        <w:tc>
          <w:tcPr>
            <w:tcW w:w="1701" w:type="dxa"/>
            <w:vAlign w:val="center"/>
          </w:tcPr>
          <w:p w14:paraId="04DFABEE" w14:textId="77777777" w:rsidR="00DE391F" w:rsidRPr="002C21B8" w:rsidRDefault="00DE391F" w:rsidP="00DE391F">
            <w:pPr>
              <w:spacing w:after="0" w:line="240" w:lineRule="auto"/>
              <w:jc w:val="left"/>
              <w:rPr>
                <w:sz w:val="14"/>
                <w:szCs w:val="14"/>
              </w:rPr>
            </w:pPr>
            <w:r w:rsidRPr="002C21B8">
              <w:rPr>
                <w:sz w:val="14"/>
                <w:szCs w:val="14"/>
              </w:rPr>
              <w:t>Governmental body</w:t>
            </w:r>
          </w:p>
        </w:tc>
      </w:tr>
      <w:tr w:rsidR="00DE391F" w:rsidRPr="002C21B8" w14:paraId="3CF4B6D6" w14:textId="77777777" w:rsidTr="00DE391F">
        <w:tc>
          <w:tcPr>
            <w:tcW w:w="2381" w:type="dxa"/>
            <w:vAlign w:val="center"/>
          </w:tcPr>
          <w:p w14:paraId="3244C22E" w14:textId="63D64505" w:rsidR="00DE391F" w:rsidRPr="002C21B8" w:rsidRDefault="00DE391F" w:rsidP="00DE391F">
            <w:pPr>
              <w:spacing w:after="0" w:line="240" w:lineRule="auto"/>
              <w:jc w:val="left"/>
              <w:rPr>
                <w:sz w:val="14"/>
                <w:szCs w:val="14"/>
              </w:rPr>
            </w:pPr>
            <w:r w:rsidRPr="002C21B8">
              <w:rPr>
                <w:color w:val="000000"/>
                <w:sz w:val="14"/>
                <w:szCs w:val="14"/>
              </w:rPr>
              <w:t>(Proietti</w:t>
            </w:r>
            <w:r w:rsidRPr="002C21B8">
              <w:rPr>
                <w:i/>
                <w:iCs/>
                <w:color w:val="000000"/>
                <w:sz w:val="14"/>
                <w:szCs w:val="14"/>
              </w:rPr>
              <w:t xml:space="preserve"> et al.</w:t>
            </w:r>
            <w:r w:rsidRPr="002C21B8">
              <w:rPr>
                <w:color w:val="000000"/>
                <w:sz w:val="14"/>
                <w:szCs w:val="14"/>
              </w:rPr>
              <w:t>, 2022)</w:t>
            </w:r>
          </w:p>
        </w:tc>
        <w:tc>
          <w:tcPr>
            <w:tcW w:w="1191" w:type="dxa"/>
          </w:tcPr>
          <w:p w14:paraId="12DA3A93" w14:textId="77777777" w:rsidR="00DE391F" w:rsidRPr="002C21B8" w:rsidRDefault="00DE391F" w:rsidP="00DE391F">
            <w:pPr>
              <w:spacing w:after="0" w:line="240" w:lineRule="auto"/>
              <w:jc w:val="left"/>
              <w:rPr>
                <w:sz w:val="14"/>
                <w:szCs w:val="14"/>
              </w:rPr>
            </w:pPr>
            <w:r w:rsidRPr="002C21B8">
              <w:rPr>
                <w:sz w:val="14"/>
                <w:szCs w:val="14"/>
              </w:rPr>
              <w:t>Italy</w:t>
            </w:r>
          </w:p>
        </w:tc>
        <w:tc>
          <w:tcPr>
            <w:tcW w:w="850" w:type="dxa"/>
          </w:tcPr>
          <w:p w14:paraId="5905E767" w14:textId="77777777" w:rsidR="00DE391F" w:rsidRPr="002C21B8" w:rsidRDefault="00DE391F" w:rsidP="00DE391F">
            <w:pPr>
              <w:spacing w:after="0" w:line="240" w:lineRule="auto"/>
              <w:jc w:val="left"/>
              <w:rPr>
                <w:sz w:val="14"/>
                <w:szCs w:val="14"/>
              </w:rPr>
            </w:pPr>
            <w:r w:rsidRPr="002C21B8">
              <w:rPr>
                <w:sz w:val="14"/>
                <w:szCs w:val="14"/>
              </w:rPr>
              <w:t>2</w:t>
            </w:r>
          </w:p>
        </w:tc>
        <w:tc>
          <w:tcPr>
            <w:tcW w:w="1587" w:type="dxa"/>
          </w:tcPr>
          <w:p w14:paraId="528B37A1" w14:textId="77777777" w:rsidR="00DE391F" w:rsidRPr="002C21B8" w:rsidRDefault="00DE391F" w:rsidP="00DE391F">
            <w:pPr>
              <w:spacing w:after="0" w:line="240" w:lineRule="auto"/>
              <w:jc w:val="left"/>
              <w:rPr>
                <w:sz w:val="14"/>
                <w:szCs w:val="14"/>
              </w:rPr>
            </w:pPr>
            <w:r w:rsidRPr="002C21B8">
              <w:rPr>
                <w:sz w:val="14"/>
                <w:szCs w:val="14"/>
              </w:rPr>
              <w:t>Inception – Sep 2021</w:t>
            </w:r>
          </w:p>
        </w:tc>
        <w:tc>
          <w:tcPr>
            <w:tcW w:w="1020" w:type="dxa"/>
          </w:tcPr>
          <w:p w14:paraId="41E1F3D4" w14:textId="77777777" w:rsidR="00DE391F" w:rsidRPr="002C21B8" w:rsidRDefault="00DE391F" w:rsidP="00DE391F">
            <w:pPr>
              <w:spacing w:after="0" w:line="240" w:lineRule="auto"/>
              <w:jc w:val="left"/>
              <w:rPr>
                <w:sz w:val="14"/>
                <w:szCs w:val="14"/>
              </w:rPr>
            </w:pPr>
            <w:r w:rsidRPr="002C21B8">
              <w:rPr>
                <w:sz w:val="14"/>
                <w:szCs w:val="14"/>
              </w:rPr>
              <w:t>2009 – 2021</w:t>
            </w:r>
          </w:p>
        </w:tc>
        <w:tc>
          <w:tcPr>
            <w:tcW w:w="680" w:type="dxa"/>
            <w:vAlign w:val="center"/>
          </w:tcPr>
          <w:p w14:paraId="1453EBC7" w14:textId="77777777" w:rsidR="00DE391F" w:rsidRPr="002C21B8" w:rsidRDefault="00DE391F" w:rsidP="00DE391F">
            <w:pPr>
              <w:spacing w:after="0" w:line="240" w:lineRule="auto"/>
              <w:jc w:val="left"/>
              <w:rPr>
                <w:sz w:val="14"/>
                <w:szCs w:val="14"/>
              </w:rPr>
            </w:pPr>
            <w:r w:rsidRPr="002C21B8">
              <w:rPr>
                <w:sz w:val="14"/>
                <w:szCs w:val="14"/>
              </w:rPr>
              <w:t>33</w:t>
            </w:r>
          </w:p>
        </w:tc>
        <w:tc>
          <w:tcPr>
            <w:tcW w:w="1020" w:type="dxa"/>
          </w:tcPr>
          <w:p w14:paraId="7288EA03"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09866230"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037190E6"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36D089A4"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793D3A5B"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26530DF6" w14:textId="77777777" w:rsidTr="00DE391F">
        <w:tc>
          <w:tcPr>
            <w:tcW w:w="2381" w:type="dxa"/>
            <w:vAlign w:val="center"/>
          </w:tcPr>
          <w:p w14:paraId="1316FA4D" w14:textId="081E457A" w:rsidR="00DE391F" w:rsidRPr="002C21B8" w:rsidRDefault="00DE391F" w:rsidP="00DE391F">
            <w:pPr>
              <w:spacing w:after="0" w:line="240" w:lineRule="auto"/>
              <w:jc w:val="left"/>
              <w:rPr>
                <w:sz w:val="14"/>
                <w:szCs w:val="14"/>
              </w:rPr>
            </w:pPr>
            <w:r w:rsidRPr="002C21B8">
              <w:rPr>
                <w:color w:val="000000"/>
                <w:sz w:val="14"/>
                <w:szCs w:val="14"/>
              </w:rPr>
              <w:t>(Qadi</w:t>
            </w:r>
            <w:r w:rsidRPr="002C21B8">
              <w:rPr>
                <w:i/>
                <w:iCs/>
                <w:color w:val="000000"/>
                <w:sz w:val="14"/>
                <w:szCs w:val="14"/>
              </w:rPr>
              <w:t xml:space="preserve"> et al.</w:t>
            </w:r>
            <w:r w:rsidRPr="002C21B8">
              <w:rPr>
                <w:color w:val="000000"/>
                <w:sz w:val="14"/>
                <w:szCs w:val="14"/>
              </w:rPr>
              <w:t>, 2020)</w:t>
            </w:r>
          </w:p>
        </w:tc>
        <w:tc>
          <w:tcPr>
            <w:tcW w:w="1191" w:type="dxa"/>
          </w:tcPr>
          <w:p w14:paraId="738D052E"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040CB22C" w14:textId="77777777" w:rsidR="00DE391F" w:rsidRPr="002C21B8" w:rsidRDefault="00DE391F" w:rsidP="00DE391F">
            <w:pPr>
              <w:spacing w:after="0" w:line="240" w:lineRule="auto"/>
              <w:jc w:val="left"/>
              <w:rPr>
                <w:sz w:val="14"/>
                <w:szCs w:val="14"/>
              </w:rPr>
            </w:pPr>
            <w:r w:rsidRPr="002C21B8">
              <w:rPr>
                <w:sz w:val="14"/>
                <w:szCs w:val="14"/>
              </w:rPr>
              <w:t>9</w:t>
            </w:r>
          </w:p>
        </w:tc>
        <w:tc>
          <w:tcPr>
            <w:tcW w:w="1587" w:type="dxa"/>
          </w:tcPr>
          <w:p w14:paraId="761BEA38" w14:textId="77777777" w:rsidR="00DE391F" w:rsidRPr="002C21B8" w:rsidRDefault="00DE391F" w:rsidP="00DE391F">
            <w:pPr>
              <w:spacing w:after="0" w:line="240" w:lineRule="auto"/>
              <w:jc w:val="left"/>
              <w:rPr>
                <w:sz w:val="14"/>
                <w:szCs w:val="14"/>
              </w:rPr>
            </w:pPr>
            <w:r w:rsidRPr="002C21B8">
              <w:rPr>
                <w:sz w:val="14"/>
                <w:szCs w:val="14"/>
              </w:rPr>
              <w:t>Inception – Sep 2018</w:t>
            </w:r>
          </w:p>
        </w:tc>
        <w:tc>
          <w:tcPr>
            <w:tcW w:w="1020" w:type="dxa"/>
          </w:tcPr>
          <w:p w14:paraId="27F554F1" w14:textId="77777777" w:rsidR="00DE391F" w:rsidRPr="002C21B8" w:rsidRDefault="00DE391F" w:rsidP="00DE391F">
            <w:pPr>
              <w:spacing w:after="0" w:line="240" w:lineRule="auto"/>
              <w:jc w:val="left"/>
              <w:rPr>
                <w:sz w:val="14"/>
                <w:szCs w:val="14"/>
              </w:rPr>
            </w:pPr>
            <w:r w:rsidRPr="002C21B8">
              <w:rPr>
                <w:sz w:val="14"/>
                <w:szCs w:val="14"/>
              </w:rPr>
              <w:t>2011 – 2015</w:t>
            </w:r>
          </w:p>
        </w:tc>
        <w:tc>
          <w:tcPr>
            <w:tcW w:w="680" w:type="dxa"/>
            <w:vAlign w:val="center"/>
          </w:tcPr>
          <w:p w14:paraId="09C858ED" w14:textId="77777777" w:rsidR="00DE391F" w:rsidRPr="002C21B8" w:rsidRDefault="00DE391F" w:rsidP="00DE391F">
            <w:pPr>
              <w:spacing w:after="0" w:line="240" w:lineRule="auto"/>
              <w:jc w:val="left"/>
              <w:rPr>
                <w:sz w:val="14"/>
                <w:szCs w:val="14"/>
              </w:rPr>
            </w:pPr>
            <w:r w:rsidRPr="002C21B8">
              <w:rPr>
                <w:sz w:val="14"/>
                <w:szCs w:val="14"/>
              </w:rPr>
              <w:t>5</w:t>
            </w:r>
          </w:p>
        </w:tc>
        <w:tc>
          <w:tcPr>
            <w:tcW w:w="1020" w:type="dxa"/>
          </w:tcPr>
          <w:p w14:paraId="6608387D" w14:textId="77777777" w:rsidR="00DE391F" w:rsidRPr="002C21B8" w:rsidRDefault="00DE391F" w:rsidP="00DE391F">
            <w:pPr>
              <w:spacing w:after="0" w:line="240" w:lineRule="auto"/>
              <w:jc w:val="left"/>
              <w:rPr>
                <w:sz w:val="14"/>
                <w:szCs w:val="14"/>
              </w:rPr>
            </w:pPr>
            <w:r w:rsidRPr="002C21B8">
              <w:rPr>
                <w:sz w:val="14"/>
                <w:szCs w:val="14"/>
              </w:rPr>
              <w:t>Europe</w:t>
            </w:r>
          </w:p>
        </w:tc>
        <w:tc>
          <w:tcPr>
            <w:tcW w:w="1928" w:type="dxa"/>
            <w:vAlign w:val="center"/>
          </w:tcPr>
          <w:p w14:paraId="646BFCAF" w14:textId="77777777" w:rsidR="00DE391F" w:rsidRPr="002C21B8" w:rsidRDefault="00DE391F" w:rsidP="00DE391F">
            <w:pPr>
              <w:spacing w:after="0" w:line="240" w:lineRule="auto"/>
              <w:jc w:val="left"/>
              <w:rPr>
                <w:sz w:val="14"/>
                <w:szCs w:val="14"/>
              </w:rPr>
            </w:pPr>
            <w:r w:rsidRPr="002C21B8">
              <w:rPr>
                <w:sz w:val="14"/>
                <w:szCs w:val="14"/>
              </w:rPr>
              <w:t>Primary</w:t>
            </w:r>
          </w:p>
        </w:tc>
        <w:tc>
          <w:tcPr>
            <w:tcW w:w="1474" w:type="dxa"/>
            <w:vAlign w:val="center"/>
          </w:tcPr>
          <w:p w14:paraId="1DC9A748" w14:textId="77777777" w:rsidR="00DE391F" w:rsidRPr="002C21B8" w:rsidRDefault="00DE391F" w:rsidP="00DE391F">
            <w:pPr>
              <w:spacing w:after="0" w:line="240" w:lineRule="auto"/>
              <w:jc w:val="left"/>
              <w:rPr>
                <w:sz w:val="14"/>
                <w:szCs w:val="14"/>
              </w:rPr>
            </w:pPr>
            <w:r w:rsidRPr="002C21B8">
              <w:rPr>
                <w:sz w:val="14"/>
                <w:szCs w:val="14"/>
              </w:rPr>
              <w:t>Cardiovascular disease</w:t>
            </w:r>
          </w:p>
        </w:tc>
        <w:tc>
          <w:tcPr>
            <w:tcW w:w="1020" w:type="dxa"/>
            <w:vAlign w:val="center"/>
          </w:tcPr>
          <w:p w14:paraId="5C234999" w14:textId="77777777" w:rsidR="00DE391F" w:rsidRPr="002C21B8" w:rsidRDefault="00DE391F" w:rsidP="00DE391F">
            <w:pPr>
              <w:spacing w:after="0" w:line="240" w:lineRule="auto"/>
              <w:jc w:val="left"/>
              <w:rPr>
                <w:sz w:val="14"/>
                <w:szCs w:val="14"/>
              </w:rPr>
            </w:pPr>
            <w:r w:rsidRPr="002C21B8">
              <w:rPr>
                <w:sz w:val="14"/>
                <w:szCs w:val="14"/>
              </w:rPr>
              <w:t>Qualitative</w:t>
            </w:r>
          </w:p>
        </w:tc>
        <w:tc>
          <w:tcPr>
            <w:tcW w:w="1701" w:type="dxa"/>
            <w:vAlign w:val="center"/>
          </w:tcPr>
          <w:p w14:paraId="50CB679F" w14:textId="77777777" w:rsidR="00DE391F" w:rsidRPr="002C21B8" w:rsidRDefault="00DE391F" w:rsidP="00DE391F">
            <w:pPr>
              <w:spacing w:after="0" w:line="240" w:lineRule="auto"/>
              <w:jc w:val="left"/>
              <w:rPr>
                <w:sz w:val="14"/>
                <w:szCs w:val="14"/>
              </w:rPr>
            </w:pPr>
            <w:r w:rsidRPr="002C21B8">
              <w:rPr>
                <w:sz w:val="14"/>
                <w:szCs w:val="14"/>
              </w:rPr>
              <w:t>University</w:t>
            </w:r>
          </w:p>
        </w:tc>
      </w:tr>
      <w:tr w:rsidR="00DE391F" w:rsidRPr="002C21B8" w14:paraId="23404644" w14:textId="77777777" w:rsidTr="00DE391F">
        <w:tc>
          <w:tcPr>
            <w:tcW w:w="2381" w:type="dxa"/>
            <w:vAlign w:val="center"/>
          </w:tcPr>
          <w:p w14:paraId="5B4B6FFB" w14:textId="412D4DC0" w:rsidR="00DE391F" w:rsidRPr="002C21B8" w:rsidRDefault="00DE391F" w:rsidP="00DE391F">
            <w:pPr>
              <w:spacing w:after="0" w:line="240" w:lineRule="auto"/>
              <w:jc w:val="left"/>
              <w:rPr>
                <w:sz w:val="14"/>
                <w:szCs w:val="14"/>
              </w:rPr>
            </w:pPr>
            <w:r w:rsidRPr="002C21B8">
              <w:rPr>
                <w:color w:val="000000"/>
                <w:sz w:val="14"/>
                <w:szCs w:val="14"/>
              </w:rPr>
              <w:t>(Rushforth</w:t>
            </w:r>
            <w:r w:rsidRPr="002C21B8">
              <w:rPr>
                <w:i/>
                <w:iCs/>
                <w:color w:val="000000"/>
                <w:sz w:val="14"/>
                <w:szCs w:val="14"/>
              </w:rPr>
              <w:t xml:space="preserve"> et al.</w:t>
            </w:r>
            <w:r w:rsidRPr="002C21B8">
              <w:rPr>
                <w:color w:val="000000"/>
                <w:sz w:val="14"/>
                <w:szCs w:val="14"/>
              </w:rPr>
              <w:t>, 2016)</w:t>
            </w:r>
          </w:p>
        </w:tc>
        <w:tc>
          <w:tcPr>
            <w:tcW w:w="1191" w:type="dxa"/>
          </w:tcPr>
          <w:p w14:paraId="7813D350"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2B9E89D1" w14:textId="77777777" w:rsidR="00DE391F" w:rsidRPr="002C21B8" w:rsidRDefault="00DE391F" w:rsidP="00DE391F">
            <w:pPr>
              <w:spacing w:after="0" w:line="240" w:lineRule="auto"/>
              <w:jc w:val="left"/>
              <w:rPr>
                <w:sz w:val="14"/>
                <w:szCs w:val="14"/>
              </w:rPr>
            </w:pPr>
            <w:r w:rsidRPr="002C21B8">
              <w:rPr>
                <w:sz w:val="14"/>
                <w:szCs w:val="14"/>
              </w:rPr>
              <w:t>5</w:t>
            </w:r>
          </w:p>
        </w:tc>
        <w:tc>
          <w:tcPr>
            <w:tcW w:w="1587" w:type="dxa"/>
          </w:tcPr>
          <w:p w14:paraId="7C19E406" w14:textId="77777777" w:rsidR="00DE391F" w:rsidRPr="002C21B8" w:rsidRDefault="00DE391F" w:rsidP="00DE391F">
            <w:pPr>
              <w:spacing w:after="0" w:line="240" w:lineRule="auto"/>
              <w:jc w:val="left"/>
              <w:rPr>
                <w:sz w:val="14"/>
                <w:szCs w:val="14"/>
              </w:rPr>
            </w:pPr>
            <w:r w:rsidRPr="002C21B8">
              <w:rPr>
                <w:sz w:val="14"/>
                <w:szCs w:val="14"/>
              </w:rPr>
              <w:t>Jan 1980 – Mar 2014</w:t>
            </w:r>
          </w:p>
        </w:tc>
        <w:tc>
          <w:tcPr>
            <w:tcW w:w="1020" w:type="dxa"/>
          </w:tcPr>
          <w:p w14:paraId="084DB6DD" w14:textId="77777777" w:rsidR="00DE391F" w:rsidRPr="002C21B8" w:rsidRDefault="00DE391F" w:rsidP="00DE391F">
            <w:pPr>
              <w:spacing w:after="0" w:line="240" w:lineRule="auto"/>
              <w:jc w:val="left"/>
              <w:rPr>
                <w:sz w:val="14"/>
                <w:szCs w:val="14"/>
              </w:rPr>
            </w:pPr>
            <w:r w:rsidRPr="002C21B8">
              <w:rPr>
                <w:sz w:val="14"/>
                <w:szCs w:val="14"/>
              </w:rPr>
              <w:t>1998 – 2014</w:t>
            </w:r>
          </w:p>
        </w:tc>
        <w:tc>
          <w:tcPr>
            <w:tcW w:w="680" w:type="dxa"/>
            <w:vAlign w:val="center"/>
          </w:tcPr>
          <w:p w14:paraId="286CF95A" w14:textId="77777777" w:rsidR="00DE391F" w:rsidRPr="002C21B8" w:rsidRDefault="00DE391F" w:rsidP="00DE391F">
            <w:pPr>
              <w:spacing w:after="0" w:line="240" w:lineRule="auto"/>
              <w:jc w:val="left"/>
              <w:rPr>
                <w:sz w:val="14"/>
                <w:szCs w:val="14"/>
              </w:rPr>
            </w:pPr>
            <w:r w:rsidRPr="002C21B8">
              <w:rPr>
                <w:sz w:val="14"/>
                <w:szCs w:val="14"/>
              </w:rPr>
              <w:t>32</w:t>
            </w:r>
          </w:p>
        </w:tc>
        <w:tc>
          <w:tcPr>
            <w:tcW w:w="1020" w:type="dxa"/>
          </w:tcPr>
          <w:p w14:paraId="77A6CCF4"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5511B5FC" w14:textId="77777777" w:rsidR="00DE391F" w:rsidRPr="002C21B8" w:rsidRDefault="00DE391F" w:rsidP="00DE391F">
            <w:pPr>
              <w:spacing w:after="0" w:line="240" w:lineRule="auto"/>
              <w:jc w:val="left"/>
              <w:rPr>
                <w:sz w:val="14"/>
                <w:szCs w:val="14"/>
              </w:rPr>
            </w:pPr>
            <w:r w:rsidRPr="002C21B8">
              <w:rPr>
                <w:sz w:val="14"/>
                <w:szCs w:val="14"/>
              </w:rPr>
              <w:t>Primary</w:t>
            </w:r>
          </w:p>
        </w:tc>
        <w:tc>
          <w:tcPr>
            <w:tcW w:w="1474" w:type="dxa"/>
            <w:vAlign w:val="center"/>
          </w:tcPr>
          <w:p w14:paraId="237F5C71" w14:textId="77777777" w:rsidR="00DE391F" w:rsidRPr="002C21B8" w:rsidRDefault="00DE391F" w:rsidP="00DE391F">
            <w:pPr>
              <w:spacing w:after="0" w:line="240" w:lineRule="auto"/>
              <w:jc w:val="left"/>
              <w:rPr>
                <w:sz w:val="14"/>
                <w:szCs w:val="14"/>
              </w:rPr>
            </w:pPr>
            <w:r w:rsidRPr="002C21B8">
              <w:rPr>
                <w:sz w:val="14"/>
                <w:szCs w:val="14"/>
              </w:rPr>
              <w:t>Diabetes</w:t>
            </w:r>
          </w:p>
        </w:tc>
        <w:tc>
          <w:tcPr>
            <w:tcW w:w="1020" w:type="dxa"/>
            <w:vAlign w:val="center"/>
          </w:tcPr>
          <w:p w14:paraId="680A10FF" w14:textId="77777777" w:rsidR="00DE391F" w:rsidRPr="002C21B8" w:rsidRDefault="00DE391F" w:rsidP="00DE391F">
            <w:pPr>
              <w:spacing w:after="0" w:line="240" w:lineRule="auto"/>
              <w:jc w:val="left"/>
              <w:rPr>
                <w:sz w:val="14"/>
                <w:szCs w:val="14"/>
              </w:rPr>
            </w:pPr>
            <w:r w:rsidRPr="002C21B8">
              <w:rPr>
                <w:sz w:val="14"/>
                <w:szCs w:val="14"/>
              </w:rPr>
              <w:t>Qualitative</w:t>
            </w:r>
          </w:p>
        </w:tc>
        <w:tc>
          <w:tcPr>
            <w:tcW w:w="1701" w:type="dxa"/>
            <w:vAlign w:val="center"/>
          </w:tcPr>
          <w:p w14:paraId="653AFE72" w14:textId="77777777" w:rsidR="00DE391F" w:rsidRPr="002C21B8" w:rsidRDefault="00DE391F" w:rsidP="00DE391F">
            <w:pPr>
              <w:spacing w:after="0" w:line="240" w:lineRule="auto"/>
              <w:jc w:val="left"/>
              <w:rPr>
                <w:sz w:val="14"/>
                <w:szCs w:val="14"/>
              </w:rPr>
            </w:pPr>
            <w:r w:rsidRPr="002C21B8">
              <w:rPr>
                <w:sz w:val="14"/>
                <w:szCs w:val="14"/>
              </w:rPr>
              <w:t>None</w:t>
            </w:r>
          </w:p>
        </w:tc>
      </w:tr>
      <w:tr w:rsidR="00DE391F" w:rsidRPr="002C21B8" w14:paraId="4DD9AB53" w14:textId="77777777" w:rsidTr="00DE391F">
        <w:tc>
          <w:tcPr>
            <w:tcW w:w="2381" w:type="dxa"/>
            <w:vAlign w:val="center"/>
          </w:tcPr>
          <w:p w14:paraId="73D452ED" w14:textId="35EB05B0" w:rsidR="00DE391F" w:rsidRPr="002C21B8" w:rsidRDefault="00DE391F" w:rsidP="00DE391F">
            <w:pPr>
              <w:spacing w:after="0" w:line="240" w:lineRule="auto"/>
              <w:jc w:val="left"/>
              <w:rPr>
                <w:sz w:val="14"/>
                <w:szCs w:val="14"/>
              </w:rPr>
            </w:pPr>
            <w:r w:rsidRPr="002C21B8">
              <w:rPr>
                <w:color w:val="000000"/>
                <w:sz w:val="14"/>
                <w:szCs w:val="14"/>
              </w:rPr>
              <w:t>(Wilkinson et al., 2019)</w:t>
            </w:r>
          </w:p>
        </w:tc>
        <w:tc>
          <w:tcPr>
            <w:tcW w:w="1191" w:type="dxa"/>
          </w:tcPr>
          <w:p w14:paraId="337E3F17" w14:textId="77777777" w:rsidR="00DE391F" w:rsidRPr="002C21B8" w:rsidRDefault="00DE391F" w:rsidP="00DE391F">
            <w:pPr>
              <w:spacing w:after="0" w:line="240" w:lineRule="auto"/>
              <w:jc w:val="left"/>
              <w:rPr>
                <w:sz w:val="14"/>
                <w:szCs w:val="14"/>
              </w:rPr>
            </w:pPr>
            <w:r w:rsidRPr="002C21B8">
              <w:rPr>
                <w:sz w:val="14"/>
                <w:szCs w:val="14"/>
              </w:rPr>
              <w:t>United Kingdom</w:t>
            </w:r>
          </w:p>
        </w:tc>
        <w:tc>
          <w:tcPr>
            <w:tcW w:w="850" w:type="dxa"/>
          </w:tcPr>
          <w:p w14:paraId="0D472BE7" w14:textId="77777777" w:rsidR="00DE391F" w:rsidRPr="002C21B8" w:rsidRDefault="00DE391F" w:rsidP="00DE391F">
            <w:pPr>
              <w:spacing w:after="0" w:line="240" w:lineRule="auto"/>
              <w:jc w:val="left"/>
              <w:rPr>
                <w:sz w:val="14"/>
                <w:szCs w:val="14"/>
              </w:rPr>
            </w:pPr>
            <w:r w:rsidRPr="002C21B8">
              <w:rPr>
                <w:sz w:val="14"/>
                <w:szCs w:val="14"/>
              </w:rPr>
              <w:t>5</w:t>
            </w:r>
          </w:p>
        </w:tc>
        <w:tc>
          <w:tcPr>
            <w:tcW w:w="1587" w:type="dxa"/>
          </w:tcPr>
          <w:p w14:paraId="7E6BE886" w14:textId="77777777" w:rsidR="00DE391F" w:rsidRPr="002C21B8" w:rsidRDefault="00DE391F" w:rsidP="00DE391F">
            <w:pPr>
              <w:spacing w:after="0" w:line="240" w:lineRule="auto"/>
              <w:jc w:val="left"/>
              <w:rPr>
                <w:sz w:val="14"/>
                <w:szCs w:val="14"/>
              </w:rPr>
            </w:pPr>
            <w:r w:rsidRPr="002C21B8">
              <w:rPr>
                <w:sz w:val="14"/>
                <w:szCs w:val="14"/>
              </w:rPr>
              <w:t>Inception – Oct 2017</w:t>
            </w:r>
          </w:p>
        </w:tc>
        <w:tc>
          <w:tcPr>
            <w:tcW w:w="1020" w:type="dxa"/>
          </w:tcPr>
          <w:p w14:paraId="0CC451F2" w14:textId="77777777" w:rsidR="00DE391F" w:rsidRPr="002C21B8" w:rsidRDefault="00DE391F" w:rsidP="00DE391F">
            <w:pPr>
              <w:spacing w:after="0" w:line="240" w:lineRule="auto"/>
              <w:jc w:val="left"/>
              <w:rPr>
                <w:sz w:val="14"/>
                <w:szCs w:val="14"/>
              </w:rPr>
            </w:pPr>
            <w:r w:rsidRPr="002C21B8">
              <w:rPr>
                <w:sz w:val="14"/>
                <w:szCs w:val="14"/>
              </w:rPr>
              <w:t>2008 – 2017</w:t>
            </w:r>
          </w:p>
        </w:tc>
        <w:tc>
          <w:tcPr>
            <w:tcW w:w="680" w:type="dxa"/>
            <w:vAlign w:val="center"/>
          </w:tcPr>
          <w:p w14:paraId="62886EBA" w14:textId="77777777" w:rsidR="00DE391F" w:rsidRPr="002C21B8" w:rsidRDefault="00DE391F" w:rsidP="00DE391F">
            <w:pPr>
              <w:spacing w:after="0" w:line="240" w:lineRule="auto"/>
              <w:jc w:val="left"/>
              <w:rPr>
                <w:sz w:val="14"/>
                <w:szCs w:val="14"/>
              </w:rPr>
            </w:pPr>
            <w:r w:rsidRPr="002C21B8">
              <w:rPr>
                <w:sz w:val="14"/>
                <w:szCs w:val="14"/>
              </w:rPr>
              <w:t>20</w:t>
            </w:r>
          </w:p>
        </w:tc>
        <w:tc>
          <w:tcPr>
            <w:tcW w:w="1020" w:type="dxa"/>
          </w:tcPr>
          <w:p w14:paraId="270CD028" w14:textId="77777777" w:rsidR="00DE391F" w:rsidRPr="002C21B8" w:rsidRDefault="00DE391F" w:rsidP="00DE391F">
            <w:pPr>
              <w:spacing w:after="0" w:line="240" w:lineRule="auto"/>
              <w:jc w:val="left"/>
              <w:rPr>
                <w:sz w:val="14"/>
                <w:szCs w:val="14"/>
              </w:rPr>
            </w:pPr>
            <w:r w:rsidRPr="002C21B8">
              <w:rPr>
                <w:sz w:val="14"/>
                <w:szCs w:val="14"/>
              </w:rPr>
              <w:t>International</w:t>
            </w:r>
          </w:p>
        </w:tc>
        <w:tc>
          <w:tcPr>
            <w:tcW w:w="1928" w:type="dxa"/>
            <w:vAlign w:val="center"/>
          </w:tcPr>
          <w:p w14:paraId="319A484D" w14:textId="77777777" w:rsidR="00DE391F" w:rsidRPr="002C21B8" w:rsidRDefault="00DE391F" w:rsidP="00DE391F">
            <w:pPr>
              <w:spacing w:after="0" w:line="240" w:lineRule="auto"/>
              <w:jc w:val="left"/>
              <w:rPr>
                <w:sz w:val="14"/>
                <w:szCs w:val="14"/>
              </w:rPr>
            </w:pPr>
            <w:r w:rsidRPr="002C21B8">
              <w:rPr>
                <w:sz w:val="14"/>
                <w:szCs w:val="14"/>
              </w:rPr>
              <w:t>Primary, Secondary</w:t>
            </w:r>
          </w:p>
        </w:tc>
        <w:tc>
          <w:tcPr>
            <w:tcW w:w="1474" w:type="dxa"/>
            <w:vAlign w:val="center"/>
          </w:tcPr>
          <w:p w14:paraId="06D48D8A" w14:textId="77777777" w:rsidR="00DE391F" w:rsidRPr="002C21B8" w:rsidRDefault="00DE391F" w:rsidP="00DE391F">
            <w:pPr>
              <w:spacing w:after="0" w:line="240" w:lineRule="auto"/>
              <w:jc w:val="left"/>
              <w:rPr>
                <w:sz w:val="14"/>
                <w:szCs w:val="14"/>
              </w:rPr>
            </w:pPr>
            <w:r w:rsidRPr="002C21B8">
              <w:rPr>
                <w:sz w:val="14"/>
                <w:szCs w:val="14"/>
              </w:rPr>
              <w:t>Atrial fibrillation</w:t>
            </w:r>
          </w:p>
        </w:tc>
        <w:tc>
          <w:tcPr>
            <w:tcW w:w="1020" w:type="dxa"/>
            <w:vAlign w:val="center"/>
          </w:tcPr>
          <w:p w14:paraId="23469943" w14:textId="77777777" w:rsidR="00DE391F" w:rsidRPr="002C21B8" w:rsidRDefault="00DE391F" w:rsidP="00DE391F">
            <w:pPr>
              <w:spacing w:after="0" w:line="240" w:lineRule="auto"/>
              <w:jc w:val="left"/>
              <w:rPr>
                <w:sz w:val="14"/>
                <w:szCs w:val="14"/>
              </w:rPr>
            </w:pPr>
            <w:r w:rsidRPr="002C21B8">
              <w:rPr>
                <w:sz w:val="14"/>
                <w:szCs w:val="14"/>
              </w:rPr>
              <w:t>Quantitative</w:t>
            </w:r>
          </w:p>
        </w:tc>
        <w:tc>
          <w:tcPr>
            <w:tcW w:w="1701" w:type="dxa"/>
            <w:vAlign w:val="center"/>
          </w:tcPr>
          <w:p w14:paraId="667266AB" w14:textId="77777777" w:rsidR="00DE391F" w:rsidRPr="002C21B8" w:rsidRDefault="00DE391F" w:rsidP="00DE391F">
            <w:pPr>
              <w:spacing w:after="0" w:line="240" w:lineRule="auto"/>
              <w:jc w:val="left"/>
              <w:rPr>
                <w:sz w:val="14"/>
                <w:szCs w:val="14"/>
              </w:rPr>
            </w:pPr>
            <w:r w:rsidRPr="002C21B8">
              <w:rPr>
                <w:sz w:val="14"/>
                <w:szCs w:val="14"/>
              </w:rPr>
              <w:t>Research organisation</w:t>
            </w:r>
          </w:p>
        </w:tc>
      </w:tr>
    </w:tbl>
    <w:p w14:paraId="328E7D00" w14:textId="77777777" w:rsidR="00FA366A" w:rsidRPr="002C21B8" w:rsidRDefault="00FA366A" w:rsidP="003374F4">
      <w:pPr>
        <w:sectPr w:rsidR="00FA366A" w:rsidRPr="002C21B8" w:rsidSect="0009672F">
          <w:headerReference w:type="default" r:id="rId165"/>
          <w:type w:val="continuous"/>
          <w:pgSz w:w="16838" w:h="11906" w:orient="landscape"/>
          <w:pgMar w:top="1440" w:right="1440" w:bottom="1440" w:left="1440" w:header="708" w:footer="708" w:gutter="0"/>
          <w:cols w:space="708"/>
          <w:docGrid w:linePitch="360"/>
        </w:sectPr>
      </w:pPr>
    </w:p>
    <w:p w14:paraId="3C23FA12" w14:textId="77777777" w:rsidR="009D12AE" w:rsidRPr="002C21B8" w:rsidRDefault="009D12AE">
      <w:pPr>
        <w:spacing w:after="0" w:line="240" w:lineRule="auto"/>
        <w:jc w:val="left"/>
        <w:rPr>
          <w:rFonts w:eastAsiaTheme="majorEastAsia"/>
          <w:b/>
          <w:bCs/>
          <w:color w:val="000000" w:themeColor="text1"/>
          <w:sz w:val="28"/>
          <w:szCs w:val="28"/>
        </w:rPr>
      </w:pPr>
      <w:bookmarkStart w:id="441" w:name="_Details_of_excluded"/>
      <w:bookmarkEnd w:id="441"/>
      <w:r w:rsidRPr="002C21B8">
        <w:br w:type="page"/>
      </w:r>
    </w:p>
    <w:p w14:paraId="1F5E276B" w14:textId="45006B5F" w:rsidR="00FA366A" w:rsidRPr="002C21B8" w:rsidRDefault="00950CA8" w:rsidP="004507C8">
      <w:pPr>
        <w:pStyle w:val="Heading3"/>
        <w:numPr>
          <w:ilvl w:val="0"/>
          <w:numId w:val="0"/>
        </w:numPr>
      </w:pPr>
      <w:bookmarkStart w:id="442" w:name="_Details_of_excluded_1"/>
      <w:bookmarkEnd w:id="442"/>
      <w:r w:rsidRPr="002C21B8">
        <w:t>Details of excluded studies at full-text screening stage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4364"/>
        <w:gridCol w:w="6705"/>
      </w:tblGrid>
      <w:tr w:rsidR="00FA366A" w:rsidRPr="002C21B8" w14:paraId="1D9C581F" w14:textId="77777777" w:rsidTr="00846482">
        <w:trPr>
          <w:trHeight w:val="320"/>
        </w:trPr>
        <w:tc>
          <w:tcPr>
            <w:tcW w:w="2818" w:type="dxa"/>
            <w:shd w:val="clear" w:color="auto" w:fill="auto"/>
            <w:noWrap/>
            <w:vAlign w:val="bottom"/>
            <w:hideMark/>
          </w:tcPr>
          <w:p w14:paraId="7A1AF31B" w14:textId="77777777" w:rsidR="00FA366A" w:rsidRPr="002C21B8" w:rsidRDefault="00FA366A" w:rsidP="00212D46">
            <w:pPr>
              <w:spacing w:after="0" w:line="240" w:lineRule="auto"/>
              <w:rPr>
                <w:b/>
                <w:bCs/>
                <w:sz w:val="20"/>
                <w:szCs w:val="20"/>
              </w:rPr>
            </w:pPr>
            <w:r w:rsidRPr="002C21B8">
              <w:rPr>
                <w:b/>
                <w:bCs/>
                <w:sz w:val="20"/>
                <w:szCs w:val="20"/>
              </w:rPr>
              <w:t>Author (year)</w:t>
            </w:r>
          </w:p>
        </w:tc>
        <w:tc>
          <w:tcPr>
            <w:tcW w:w="4364" w:type="dxa"/>
            <w:shd w:val="clear" w:color="auto" w:fill="auto"/>
            <w:noWrap/>
            <w:vAlign w:val="bottom"/>
            <w:hideMark/>
          </w:tcPr>
          <w:p w14:paraId="76ED5EB2" w14:textId="77777777" w:rsidR="00FA366A" w:rsidRPr="002C21B8" w:rsidRDefault="00FA366A" w:rsidP="00212D46">
            <w:pPr>
              <w:spacing w:after="0" w:line="240" w:lineRule="auto"/>
              <w:rPr>
                <w:b/>
                <w:bCs/>
                <w:sz w:val="20"/>
                <w:szCs w:val="20"/>
              </w:rPr>
            </w:pPr>
            <w:r w:rsidRPr="002C21B8">
              <w:rPr>
                <w:b/>
                <w:bCs/>
                <w:sz w:val="20"/>
                <w:szCs w:val="20"/>
              </w:rPr>
              <w:t>Title (limited to 4 words)</w:t>
            </w:r>
          </w:p>
        </w:tc>
        <w:tc>
          <w:tcPr>
            <w:tcW w:w="6705" w:type="dxa"/>
            <w:shd w:val="clear" w:color="auto" w:fill="auto"/>
            <w:noWrap/>
            <w:vAlign w:val="bottom"/>
            <w:hideMark/>
          </w:tcPr>
          <w:p w14:paraId="0B56D7AA" w14:textId="77777777" w:rsidR="00FA366A" w:rsidRPr="002C21B8" w:rsidRDefault="00FA366A" w:rsidP="00212D46">
            <w:pPr>
              <w:spacing w:after="0" w:line="240" w:lineRule="auto"/>
              <w:rPr>
                <w:b/>
                <w:bCs/>
                <w:sz w:val="20"/>
                <w:szCs w:val="20"/>
              </w:rPr>
            </w:pPr>
            <w:r w:rsidRPr="002C21B8">
              <w:rPr>
                <w:b/>
                <w:bCs/>
                <w:sz w:val="20"/>
                <w:szCs w:val="20"/>
              </w:rPr>
              <w:t>Reason for exclusion</w:t>
            </w:r>
          </w:p>
        </w:tc>
      </w:tr>
      <w:tr w:rsidR="00FA366A" w:rsidRPr="002C21B8" w14:paraId="70ADC5E8" w14:textId="77777777" w:rsidTr="00846482">
        <w:trPr>
          <w:trHeight w:val="320"/>
        </w:trPr>
        <w:tc>
          <w:tcPr>
            <w:tcW w:w="2818" w:type="dxa"/>
            <w:shd w:val="clear" w:color="auto" w:fill="auto"/>
            <w:noWrap/>
            <w:vAlign w:val="center"/>
            <w:hideMark/>
          </w:tcPr>
          <w:p w14:paraId="11ED5C0E" w14:textId="77777777" w:rsidR="00FA366A" w:rsidRPr="002C21B8" w:rsidRDefault="00FA366A" w:rsidP="00212D46">
            <w:pPr>
              <w:spacing w:after="0" w:line="240" w:lineRule="auto"/>
              <w:rPr>
                <w:sz w:val="20"/>
                <w:szCs w:val="20"/>
              </w:rPr>
            </w:pPr>
            <w:r w:rsidRPr="002C21B8">
              <w:rPr>
                <w:sz w:val="20"/>
                <w:szCs w:val="20"/>
              </w:rPr>
              <w:t>Al et al (2022)</w:t>
            </w:r>
          </w:p>
        </w:tc>
        <w:tc>
          <w:tcPr>
            <w:tcW w:w="4364" w:type="dxa"/>
            <w:shd w:val="clear" w:color="auto" w:fill="auto"/>
            <w:noWrap/>
            <w:vAlign w:val="center"/>
            <w:hideMark/>
          </w:tcPr>
          <w:p w14:paraId="59F140CD" w14:textId="77777777" w:rsidR="00FA366A" w:rsidRPr="002C21B8" w:rsidRDefault="00FA366A" w:rsidP="00212D46">
            <w:pPr>
              <w:spacing w:after="0" w:line="240" w:lineRule="auto"/>
              <w:rPr>
                <w:sz w:val="20"/>
                <w:szCs w:val="20"/>
              </w:rPr>
            </w:pPr>
            <w:r w:rsidRPr="002C21B8">
              <w:rPr>
                <w:sz w:val="20"/>
                <w:szCs w:val="20"/>
              </w:rPr>
              <w:t>Prevalence, contributory factors and</w:t>
            </w:r>
          </w:p>
        </w:tc>
        <w:tc>
          <w:tcPr>
            <w:tcW w:w="6705" w:type="dxa"/>
            <w:shd w:val="clear" w:color="auto" w:fill="auto"/>
            <w:noWrap/>
            <w:vAlign w:val="center"/>
            <w:hideMark/>
          </w:tcPr>
          <w:p w14:paraId="174FEFC3"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8111F4C" w14:textId="77777777" w:rsidTr="00846482">
        <w:trPr>
          <w:trHeight w:val="320"/>
        </w:trPr>
        <w:tc>
          <w:tcPr>
            <w:tcW w:w="2818" w:type="dxa"/>
            <w:shd w:val="clear" w:color="auto" w:fill="auto"/>
            <w:noWrap/>
            <w:vAlign w:val="center"/>
            <w:hideMark/>
          </w:tcPr>
          <w:p w14:paraId="558E4CB7" w14:textId="77777777" w:rsidR="00FA366A" w:rsidRPr="002C21B8" w:rsidRDefault="00FA366A" w:rsidP="00212D46">
            <w:pPr>
              <w:spacing w:after="0" w:line="240" w:lineRule="auto"/>
              <w:rPr>
                <w:sz w:val="20"/>
                <w:szCs w:val="20"/>
              </w:rPr>
            </w:pPr>
            <w:r w:rsidRPr="002C21B8">
              <w:rPr>
                <w:sz w:val="20"/>
                <w:szCs w:val="20"/>
              </w:rPr>
              <w:t>Albitar et al (2020)</w:t>
            </w:r>
          </w:p>
        </w:tc>
        <w:tc>
          <w:tcPr>
            <w:tcW w:w="4364" w:type="dxa"/>
            <w:shd w:val="clear" w:color="auto" w:fill="auto"/>
            <w:noWrap/>
            <w:vAlign w:val="center"/>
            <w:hideMark/>
          </w:tcPr>
          <w:p w14:paraId="4F21F6D9" w14:textId="77777777" w:rsidR="00FA366A" w:rsidRPr="002C21B8" w:rsidRDefault="00FA366A" w:rsidP="00212D46">
            <w:pPr>
              <w:spacing w:after="0" w:line="240" w:lineRule="auto"/>
              <w:rPr>
                <w:sz w:val="20"/>
                <w:szCs w:val="20"/>
              </w:rPr>
            </w:pPr>
            <w:r w:rsidRPr="002C21B8">
              <w:rPr>
                <w:sz w:val="20"/>
                <w:szCs w:val="20"/>
              </w:rPr>
              <w:t>Adherence to Global Initiative</w:t>
            </w:r>
          </w:p>
        </w:tc>
        <w:tc>
          <w:tcPr>
            <w:tcW w:w="6705" w:type="dxa"/>
            <w:shd w:val="clear" w:color="auto" w:fill="auto"/>
            <w:noWrap/>
            <w:vAlign w:val="center"/>
            <w:hideMark/>
          </w:tcPr>
          <w:p w14:paraId="6507D206" w14:textId="77777777" w:rsidR="00FA366A" w:rsidRPr="002C21B8" w:rsidRDefault="00FA366A" w:rsidP="00212D46">
            <w:pPr>
              <w:spacing w:after="0" w:line="240" w:lineRule="auto"/>
              <w:rPr>
                <w:sz w:val="20"/>
                <w:szCs w:val="20"/>
              </w:rPr>
            </w:pPr>
            <w:r w:rsidRPr="002C21B8">
              <w:rPr>
                <w:sz w:val="20"/>
                <w:szCs w:val="20"/>
              </w:rPr>
              <w:t>Narrative literature review</w:t>
            </w:r>
          </w:p>
        </w:tc>
      </w:tr>
      <w:tr w:rsidR="00FA366A" w:rsidRPr="002C21B8" w14:paraId="16D46C94" w14:textId="77777777" w:rsidTr="00846482">
        <w:trPr>
          <w:trHeight w:val="320"/>
        </w:trPr>
        <w:tc>
          <w:tcPr>
            <w:tcW w:w="2818" w:type="dxa"/>
            <w:shd w:val="clear" w:color="auto" w:fill="auto"/>
            <w:noWrap/>
            <w:vAlign w:val="center"/>
            <w:hideMark/>
          </w:tcPr>
          <w:p w14:paraId="43EA8EC3" w14:textId="77777777" w:rsidR="00FA366A" w:rsidRPr="002C21B8" w:rsidRDefault="00FA366A" w:rsidP="00212D46">
            <w:pPr>
              <w:spacing w:after="0" w:line="240" w:lineRule="auto"/>
              <w:rPr>
                <w:sz w:val="20"/>
                <w:szCs w:val="20"/>
              </w:rPr>
            </w:pPr>
            <w:r w:rsidRPr="002C21B8">
              <w:rPr>
                <w:sz w:val="20"/>
                <w:szCs w:val="20"/>
              </w:rPr>
              <w:t>Alhawassi et al (2015)</w:t>
            </w:r>
          </w:p>
        </w:tc>
        <w:tc>
          <w:tcPr>
            <w:tcW w:w="4364" w:type="dxa"/>
            <w:shd w:val="clear" w:color="auto" w:fill="auto"/>
            <w:noWrap/>
            <w:vAlign w:val="center"/>
            <w:hideMark/>
          </w:tcPr>
          <w:p w14:paraId="187394C0" w14:textId="77777777" w:rsidR="00FA366A" w:rsidRPr="002C21B8" w:rsidRDefault="00FA366A" w:rsidP="00212D46">
            <w:pPr>
              <w:spacing w:after="0" w:line="240" w:lineRule="auto"/>
              <w:rPr>
                <w:sz w:val="20"/>
                <w:szCs w:val="20"/>
              </w:rPr>
            </w:pPr>
            <w:r w:rsidRPr="002C21B8">
              <w:rPr>
                <w:sz w:val="20"/>
                <w:szCs w:val="20"/>
              </w:rPr>
              <w:t>Hypertension in older persons</w:t>
            </w:r>
          </w:p>
        </w:tc>
        <w:tc>
          <w:tcPr>
            <w:tcW w:w="6705" w:type="dxa"/>
            <w:shd w:val="clear" w:color="auto" w:fill="auto"/>
            <w:noWrap/>
            <w:vAlign w:val="center"/>
            <w:hideMark/>
          </w:tcPr>
          <w:p w14:paraId="251E4F49"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F051818" w14:textId="77777777" w:rsidTr="00846482">
        <w:trPr>
          <w:trHeight w:val="320"/>
        </w:trPr>
        <w:tc>
          <w:tcPr>
            <w:tcW w:w="2818" w:type="dxa"/>
            <w:shd w:val="clear" w:color="auto" w:fill="auto"/>
            <w:noWrap/>
            <w:vAlign w:val="center"/>
            <w:hideMark/>
          </w:tcPr>
          <w:p w14:paraId="6E56210F" w14:textId="77777777" w:rsidR="00FA366A" w:rsidRPr="002C21B8" w:rsidRDefault="00FA366A" w:rsidP="00212D46">
            <w:pPr>
              <w:spacing w:after="0" w:line="240" w:lineRule="auto"/>
              <w:rPr>
                <w:sz w:val="20"/>
                <w:szCs w:val="20"/>
              </w:rPr>
            </w:pPr>
            <w:r w:rsidRPr="002C21B8">
              <w:rPr>
                <w:sz w:val="20"/>
                <w:szCs w:val="20"/>
              </w:rPr>
              <w:t>Bain et al (2019)</w:t>
            </w:r>
          </w:p>
        </w:tc>
        <w:tc>
          <w:tcPr>
            <w:tcW w:w="4364" w:type="dxa"/>
            <w:shd w:val="clear" w:color="auto" w:fill="auto"/>
            <w:noWrap/>
            <w:vAlign w:val="center"/>
            <w:hideMark/>
          </w:tcPr>
          <w:p w14:paraId="793F3E99" w14:textId="77777777" w:rsidR="00FA366A" w:rsidRPr="002C21B8" w:rsidRDefault="00FA366A" w:rsidP="00212D46">
            <w:pPr>
              <w:spacing w:after="0" w:line="240" w:lineRule="auto"/>
              <w:rPr>
                <w:sz w:val="20"/>
                <w:szCs w:val="20"/>
              </w:rPr>
            </w:pPr>
            <w:r w:rsidRPr="002C21B8">
              <w:rPr>
                <w:sz w:val="20"/>
                <w:szCs w:val="20"/>
              </w:rPr>
              <w:t>Interventions to improve insulin</w:t>
            </w:r>
          </w:p>
        </w:tc>
        <w:tc>
          <w:tcPr>
            <w:tcW w:w="6705" w:type="dxa"/>
            <w:shd w:val="clear" w:color="auto" w:fill="auto"/>
            <w:noWrap/>
            <w:vAlign w:val="center"/>
            <w:hideMark/>
          </w:tcPr>
          <w:p w14:paraId="0A51610E"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4A2D42D8" w14:textId="77777777" w:rsidTr="00846482">
        <w:trPr>
          <w:trHeight w:val="320"/>
        </w:trPr>
        <w:tc>
          <w:tcPr>
            <w:tcW w:w="2818" w:type="dxa"/>
            <w:shd w:val="clear" w:color="auto" w:fill="auto"/>
            <w:noWrap/>
            <w:vAlign w:val="center"/>
            <w:hideMark/>
          </w:tcPr>
          <w:p w14:paraId="317A51E5" w14:textId="77777777" w:rsidR="00FA366A" w:rsidRPr="002C21B8" w:rsidRDefault="00FA366A" w:rsidP="00212D46">
            <w:pPr>
              <w:spacing w:after="0" w:line="240" w:lineRule="auto"/>
              <w:rPr>
                <w:sz w:val="20"/>
                <w:szCs w:val="20"/>
              </w:rPr>
            </w:pPr>
            <w:r w:rsidRPr="002C21B8">
              <w:rPr>
                <w:sz w:val="20"/>
                <w:szCs w:val="20"/>
              </w:rPr>
              <w:t>Bajorek et al (2007)</w:t>
            </w:r>
          </w:p>
        </w:tc>
        <w:tc>
          <w:tcPr>
            <w:tcW w:w="4364" w:type="dxa"/>
            <w:shd w:val="clear" w:color="auto" w:fill="auto"/>
            <w:noWrap/>
            <w:vAlign w:val="center"/>
            <w:hideMark/>
          </w:tcPr>
          <w:p w14:paraId="3CA49DBA" w14:textId="77777777" w:rsidR="00FA366A" w:rsidRPr="002C21B8" w:rsidRDefault="00FA366A" w:rsidP="00212D46">
            <w:pPr>
              <w:spacing w:after="0" w:line="240" w:lineRule="auto"/>
              <w:rPr>
                <w:sz w:val="20"/>
                <w:szCs w:val="20"/>
              </w:rPr>
            </w:pPr>
            <w:r w:rsidRPr="002C21B8">
              <w:rPr>
                <w:sz w:val="20"/>
                <w:szCs w:val="20"/>
              </w:rPr>
              <w:t>Management of warfarin in</w:t>
            </w:r>
          </w:p>
        </w:tc>
        <w:tc>
          <w:tcPr>
            <w:tcW w:w="6705" w:type="dxa"/>
            <w:shd w:val="clear" w:color="auto" w:fill="auto"/>
            <w:noWrap/>
            <w:vAlign w:val="center"/>
            <w:hideMark/>
          </w:tcPr>
          <w:p w14:paraId="1243B2C1" w14:textId="77777777" w:rsidR="00FA366A" w:rsidRPr="002C21B8" w:rsidRDefault="00FA366A" w:rsidP="00212D46">
            <w:pPr>
              <w:spacing w:after="0" w:line="240" w:lineRule="auto"/>
              <w:rPr>
                <w:sz w:val="20"/>
                <w:szCs w:val="20"/>
              </w:rPr>
            </w:pPr>
            <w:r w:rsidRPr="002C21B8">
              <w:rPr>
                <w:sz w:val="20"/>
                <w:szCs w:val="20"/>
              </w:rPr>
              <w:t>Primary study</w:t>
            </w:r>
          </w:p>
        </w:tc>
      </w:tr>
      <w:tr w:rsidR="00FA366A" w:rsidRPr="002C21B8" w14:paraId="39BD6CC4" w14:textId="77777777" w:rsidTr="00846482">
        <w:trPr>
          <w:trHeight w:val="320"/>
        </w:trPr>
        <w:tc>
          <w:tcPr>
            <w:tcW w:w="2818" w:type="dxa"/>
            <w:shd w:val="clear" w:color="auto" w:fill="auto"/>
            <w:noWrap/>
            <w:vAlign w:val="center"/>
            <w:hideMark/>
          </w:tcPr>
          <w:p w14:paraId="456A432B" w14:textId="77777777" w:rsidR="00FA366A" w:rsidRPr="002C21B8" w:rsidRDefault="00FA366A" w:rsidP="00212D46">
            <w:pPr>
              <w:spacing w:after="0" w:line="240" w:lineRule="auto"/>
              <w:rPr>
                <w:sz w:val="20"/>
                <w:szCs w:val="20"/>
              </w:rPr>
            </w:pPr>
            <w:r w:rsidRPr="002C21B8">
              <w:rPr>
                <w:sz w:val="20"/>
                <w:szCs w:val="20"/>
              </w:rPr>
              <w:t>Bakr et al (2018)</w:t>
            </w:r>
          </w:p>
        </w:tc>
        <w:tc>
          <w:tcPr>
            <w:tcW w:w="4364" w:type="dxa"/>
            <w:shd w:val="clear" w:color="auto" w:fill="auto"/>
            <w:noWrap/>
            <w:vAlign w:val="center"/>
            <w:hideMark/>
          </w:tcPr>
          <w:p w14:paraId="189F9547" w14:textId="77777777" w:rsidR="00FA366A" w:rsidRPr="002C21B8" w:rsidRDefault="00FA366A" w:rsidP="00212D46">
            <w:pPr>
              <w:spacing w:after="0" w:line="240" w:lineRule="auto"/>
              <w:rPr>
                <w:sz w:val="20"/>
                <w:szCs w:val="20"/>
              </w:rPr>
            </w:pPr>
            <w:r w:rsidRPr="002C21B8">
              <w:rPr>
                <w:sz w:val="20"/>
                <w:szCs w:val="20"/>
              </w:rPr>
              <w:t>A systematic review of</w:t>
            </w:r>
          </w:p>
        </w:tc>
        <w:tc>
          <w:tcPr>
            <w:tcW w:w="6705" w:type="dxa"/>
            <w:shd w:val="clear" w:color="auto" w:fill="auto"/>
            <w:noWrap/>
            <w:vAlign w:val="center"/>
            <w:hideMark/>
          </w:tcPr>
          <w:p w14:paraId="3D2E714D"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1873AA97" w14:textId="77777777" w:rsidTr="00846482">
        <w:trPr>
          <w:trHeight w:val="320"/>
        </w:trPr>
        <w:tc>
          <w:tcPr>
            <w:tcW w:w="2818" w:type="dxa"/>
            <w:shd w:val="clear" w:color="auto" w:fill="auto"/>
            <w:noWrap/>
            <w:vAlign w:val="center"/>
            <w:hideMark/>
          </w:tcPr>
          <w:p w14:paraId="33027438" w14:textId="77777777" w:rsidR="00FA366A" w:rsidRPr="002C21B8" w:rsidRDefault="00FA366A" w:rsidP="00212D46">
            <w:pPr>
              <w:spacing w:after="0" w:line="240" w:lineRule="auto"/>
              <w:rPr>
                <w:sz w:val="20"/>
                <w:szCs w:val="20"/>
              </w:rPr>
            </w:pPr>
            <w:r w:rsidRPr="002C21B8">
              <w:rPr>
                <w:sz w:val="20"/>
                <w:szCs w:val="20"/>
              </w:rPr>
              <w:t>Blasco-Blasco et al (2020)</w:t>
            </w:r>
          </w:p>
        </w:tc>
        <w:tc>
          <w:tcPr>
            <w:tcW w:w="4364" w:type="dxa"/>
            <w:shd w:val="clear" w:color="auto" w:fill="auto"/>
            <w:noWrap/>
            <w:vAlign w:val="center"/>
            <w:hideMark/>
          </w:tcPr>
          <w:p w14:paraId="00315A18" w14:textId="77777777" w:rsidR="00FA366A" w:rsidRPr="002C21B8" w:rsidRDefault="00FA366A" w:rsidP="00212D46">
            <w:pPr>
              <w:spacing w:after="0" w:line="240" w:lineRule="auto"/>
              <w:rPr>
                <w:sz w:val="20"/>
                <w:szCs w:val="20"/>
              </w:rPr>
            </w:pPr>
            <w:r w:rsidRPr="002C21B8">
              <w:rPr>
                <w:sz w:val="20"/>
                <w:szCs w:val="20"/>
              </w:rPr>
              <w:t>Barrier and facilitators to</w:t>
            </w:r>
          </w:p>
        </w:tc>
        <w:tc>
          <w:tcPr>
            <w:tcW w:w="6705" w:type="dxa"/>
            <w:shd w:val="clear" w:color="auto" w:fill="auto"/>
            <w:noWrap/>
            <w:vAlign w:val="center"/>
            <w:hideMark/>
          </w:tcPr>
          <w:p w14:paraId="005A04B8"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42A4A4B9" w14:textId="77777777" w:rsidTr="00846482">
        <w:trPr>
          <w:trHeight w:val="320"/>
        </w:trPr>
        <w:tc>
          <w:tcPr>
            <w:tcW w:w="2818" w:type="dxa"/>
            <w:shd w:val="clear" w:color="auto" w:fill="auto"/>
            <w:noWrap/>
            <w:vAlign w:val="center"/>
            <w:hideMark/>
          </w:tcPr>
          <w:p w14:paraId="286416FF" w14:textId="77777777" w:rsidR="00FA366A" w:rsidRPr="002C21B8" w:rsidRDefault="00FA366A" w:rsidP="00212D46">
            <w:pPr>
              <w:spacing w:after="0" w:line="240" w:lineRule="auto"/>
              <w:rPr>
                <w:sz w:val="20"/>
                <w:szCs w:val="20"/>
              </w:rPr>
            </w:pPr>
            <w:r w:rsidRPr="002C21B8">
              <w:rPr>
                <w:sz w:val="20"/>
                <w:szCs w:val="20"/>
              </w:rPr>
              <w:t>Bo et al (2017)</w:t>
            </w:r>
          </w:p>
        </w:tc>
        <w:tc>
          <w:tcPr>
            <w:tcW w:w="4364" w:type="dxa"/>
            <w:shd w:val="clear" w:color="auto" w:fill="auto"/>
            <w:noWrap/>
            <w:vAlign w:val="center"/>
            <w:hideMark/>
          </w:tcPr>
          <w:p w14:paraId="22D2F2A9" w14:textId="77777777" w:rsidR="00FA366A" w:rsidRPr="002C21B8" w:rsidRDefault="00FA366A" w:rsidP="00212D46">
            <w:pPr>
              <w:spacing w:after="0" w:line="240" w:lineRule="auto"/>
              <w:rPr>
                <w:sz w:val="20"/>
                <w:szCs w:val="20"/>
              </w:rPr>
            </w:pPr>
            <w:r w:rsidRPr="002C21B8">
              <w:rPr>
                <w:sz w:val="20"/>
                <w:szCs w:val="20"/>
              </w:rPr>
              <w:t>Oral anticoagulant therapy for</w:t>
            </w:r>
          </w:p>
        </w:tc>
        <w:tc>
          <w:tcPr>
            <w:tcW w:w="6705" w:type="dxa"/>
            <w:shd w:val="clear" w:color="auto" w:fill="auto"/>
            <w:noWrap/>
            <w:vAlign w:val="center"/>
            <w:hideMark/>
          </w:tcPr>
          <w:p w14:paraId="11B40807" w14:textId="77777777" w:rsidR="00FA366A" w:rsidRPr="002C21B8" w:rsidRDefault="00FA366A" w:rsidP="00212D46">
            <w:pPr>
              <w:spacing w:after="0" w:line="240" w:lineRule="auto"/>
              <w:rPr>
                <w:sz w:val="20"/>
                <w:szCs w:val="20"/>
              </w:rPr>
            </w:pPr>
            <w:r w:rsidRPr="002C21B8">
              <w:rPr>
                <w:sz w:val="20"/>
                <w:szCs w:val="20"/>
              </w:rPr>
              <w:t>Narrative literature review</w:t>
            </w:r>
          </w:p>
        </w:tc>
      </w:tr>
      <w:tr w:rsidR="00FA366A" w:rsidRPr="002C21B8" w14:paraId="1FD6798C" w14:textId="77777777" w:rsidTr="00846482">
        <w:trPr>
          <w:trHeight w:val="320"/>
        </w:trPr>
        <w:tc>
          <w:tcPr>
            <w:tcW w:w="2818" w:type="dxa"/>
            <w:shd w:val="clear" w:color="auto" w:fill="auto"/>
            <w:noWrap/>
            <w:vAlign w:val="center"/>
            <w:hideMark/>
          </w:tcPr>
          <w:p w14:paraId="41501F2E" w14:textId="77777777" w:rsidR="00FA366A" w:rsidRPr="002C21B8" w:rsidRDefault="00FA366A" w:rsidP="00212D46">
            <w:pPr>
              <w:spacing w:after="0" w:line="240" w:lineRule="auto"/>
              <w:rPr>
                <w:sz w:val="20"/>
                <w:szCs w:val="20"/>
              </w:rPr>
            </w:pPr>
            <w:r w:rsidRPr="002C21B8">
              <w:rPr>
                <w:sz w:val="20"/>
                <w:szCs w:val="20"/>
              </w:rPr>
              <w:t>Bora et al (2023)</w:t>
            </w:r>
          </w:p>
        </w:tc>
        <w:tc>
          <w:tcPr>
            <w:tcW w:w="4364" w:type="dxa"/>
            <w:shd w:val="clear" w:color="auto" w:fill="auto"/>
            <w:noWrap/>
            <w:vAlign w:val="center"/>
            <w:hideMark/>
          </w:tcPr>
          <w:p w14:paraId="39C8F69C" w14:textId="77777777" w:rsidR="00FA366A" w:rsidRPr="002C21B8" w:rsidRDefault="00FA366A" w:rsidP="00212D46">
            <w:pPr>
              <w:spacing w:after="0" w:line="240" w:lineRule="auto"/>
              <w:rPr>
                <w:sz w:val="20"/>
                <w:szCs w:val="20"/>
              </w:rPr>
            </w:pPr>
            <w:r w:rsidRPr="002C21B8">
              <w:rPr>
                <w:sz w:val="20"/>
                <w:szCs w:val="20"/>
              </w:rPr>
              <w:t>The effectiveness of clinical</w:t>
            </w:r>
          </w:p>
        </w:tc>
        <w:tc>
          <w:tcPr>
            <w:tcW w:w="6705" w:type="dxa"/>
            <w:shd w:val="clear" w:color="auto" w:fill="auto"/>
            <w:noWrap/>
            <w:vAlign w:val="center"/>
            <w:hideMark/>
          </w:tcPr>
          <w:p w14:paraId="6DA9A2C6"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1D6E8FAC" w14:textId="77777777" w:rsidTr="00846482">
        <w:trPr>
          <w:trHeight w:val="320"/>
        </w:trPr>
        <w:tc>
          <w:tcPr>
            <w:tcW w:w="2818" w:type="dxa"/>
            <w:shd w:val="clear" w:color="auto" w:fill="auto"/>
            <w:noWrap/>
            <w:vAlign w:val="center"/>
            <w:hideMark/>
          </w:tcPr>
          <w:p w14:paraId="0201ADD4" w14:textId="77777777" w:rsidR="00FA366A" w:rsidRPr="002C21B8" w:rsidRDefault="00FA366A" w:rsidP="00212D46">
            <w:pPr>
              <w:spacing w:after="0" w:line="240" w:lineRule="auto"/>
              <w:rPr>
                <w:sz w:val="20"/>
                <w:szCs w:val="20"/>
              </w:rPr>
            </w:pPr>
            <w:r w:rsidRPr="002C21B8">
              <w:rPr>
                <w:sz w:val="20"/>
                <w:szCs w:val="20"/>
              </w:rPr>
              <w:t>Borzecki et al (2005)</w:t>
            </w:r>
          </w:p>
        </w:tc>
        <w:tc>
          <w:tcPr>
            <w:tcW w:w="4364" w:type="dxa"/>
            <w:shd w:val="clear" w:color="auto" w:fill="auto"/>
            <w:noWrap/>
            <w:vAlign w:val="center"/>
            <w:hideMark/>
          </w:tcPr>
          <w:p w14:paraId="157659D0" w14:textId="77777777" w:rsidR="00FA366A" w:rsidRPr="002C21B8" w:rsidRDefault="00FA366A" w:rsidP="00212D46">
            <w:pPr>
              <w:spacing w:after="0" w:line="240" w:lineRule="auto"/>
              <w:rPr>
                <w:sz w:val="20"/>
                <w:szCs w:val="20"/>
              </w:rPr>
            </w:pPr>
            <w:r w:rsidRPr="002C21B8">
              <w:rPr>
                <w:sz w:val="20"/>
                <w:szCs w:val="20"/>
              </w:rPr>
              <w:t>Barriers to hypertension control</w:t>
            </w:r>
          </w:p>
        </w:tc>
        <w:tc>
          <w:tcPr>
            <w:tcW w:w="6705" w:type="dxa"/>
            <w:shd w:val="clear" w:color="auto" w:fill="auto"/>
            <w:noWrap/>
            <w:vAlign w:val="center"/>
            <w:hideMark/>
          </w:tcPr>
          <w:p w14:paraId="78603217"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93B452D" w14:textId="77777777" w:rsidTr="00846482">
        <w:trPr>
          <w:trHeight w:val="320"/>
        </w:trPr>
        <w:tc>
          <w:tcPr>
            <w:tcW w:w="2818" w:type="dxa"/>
            <w:shd w:val="clear" w:color="auto" w:fill="auto"/>
            <w:noWrap/>
            <w:vAlign w:val="center"/>
            <w:hideMark/>
          </w:tcPr>
          <w:p w14:paraId="358A81F1" w14:textId="77777777" w:rsidR="00FA366A" w:rsidRPr="002C21B8" w:rsidRDefault="00FA366A" w:rsidP="00212D46">
            <w:pPr>
              <w:spacing w:after="0" w:line="240" w:lineRule="auto"/>
              <w:rPr>
                <w:sz w:val="20"/>
                <w:szCs w:val="20"/>
              </w:rPr>
            </w:pPr>
            <w:r w:rsidRPr="002C21B8">
              <w:rPr>
                <w:sz w:val="20"/>
                <w:szCs w:val="20"/>
              </w:rPr>
              <w:t>Brax et al (2017)</w:t>
            </w:r>
          </w:p>
        </w:tc>
        <w:tc>
          <w:tcPr>
            <w:tcW w:w="4364" w:type="dxa"/>
            <w:shd w:val="clear" w:color="auto" w:fill="auto"/>
            <w:noWrap/>
            <w:vAlign w:val="center"/>
            <w:hideMark/>
          </w:tcPr>
          <w:p w14:paraId="1DA7C6D5" w14:textId="77777777" w:rsidR="00FA366A" w:rsidRPr="002C21B8" w:rsidRDefault="00FA366A" w:rsidP="00212D46">
            <w:pPr>
              <w:spacing w:after="0" w:line="240" w:lineRule="auto"/>
              <w:rPr>
                <w:sz w:val="20"/>
                <w:szCs w:val="20"/>
              </w:rPr>
            </w:pPr>
            <w:r w:rsidRPr="002C21B8">
              <w:rPr>
                <w:sz w:val="20"/>
                <w:szCs w:val="20"/>
              </w:rPr>
              <w:t>Association between physicians' interaction</w:t>
            </w:r>
          </w:p>
        </w:tc>
        <w:tc>
          <w:tcPr>
            <w:tcW w:w="6705" w:type="dxa"/>
            <w:shd w:val="clear" w:color="auto" w:fill="auto"/>
            <w:noWrap/>
            <w:vAlign w:val="center"/>
            <w:hideMark/>
          </w:tcPr>
          <w:p w14:paraId="48838968" w14:textId="77777777" w:rsidR="00FA366A" w:rsidRPr="002C21B8" w:rsidRDefault="00FA366A" w:rsidP="00212D46">
            <w:pPr>
              <w:spacing w:after="0" w:line="240" w:lineRule="auto"/>
              <w:rPr>
                <w:sz w:val="20"/>
                <w:szCs w:val="20"/>
              </w:rPr>
            </w:pPr>
            <w:r w:rsidRPr="002C21B8">
              <w:rPr>
                <w:sz w:val="20"/>
                <w:szCs w:val="20"/>
              </w:rPr>
              <w:t>Not specific to chronic physical health conditions</w:t>
            </w:r>
          </w:p>
        </w:tc>
      </w:tr>
      <w:tr w:rsidR="00FA366A" w:rsidRPr="002C21B8" w14:paraId="5E5973D0" w14:textId="77777777" w:rsidTr="00846482">
        <w:trPr>
          <w:trHeight w:val="320"/>
        </w:trPr>
        <w:tc>
          <w:tcPr>
            <w:tcW w:w="2818" w:type="dxa"/>
            <w:shd w:val="clear" w:color="auto" w:fill="auto"/>
            <w:noWrap/>
            <w:vAlign w:val="center"/>
            <w:hideMark/>
          </w:tcPr>
          <w:p w14:paraId="71D9CCDA" w14:textId="77777777" w:rsidR="00FA366A" w:rsidRPr="002C21B8" w:rsidRDefault="00FA366A" w:rsidP="00212D46">
            <w:pPr>
              <w:spacing w:after="0" w:line="240" w:lineRule="auto"/>
              <w:rPr>
                <w:sz w:val="20"/>
                <w:szCs w:val="20"/>
              </w:rPr>
            </w:pPr>
            <w:r w:rsidRPr="002C21B8">
              <w:rPr>
                <w:sz w:val="20"/>
                <w:szCs w:val="20"/>
              </w:rPr>
              <w:t>Brundisini et al (2015)</w:t>
            </w:r>
          </w:p>
        </w:tc>
        <w:tc>
          <w:tcPr>
            <w:tcW w:w="4364" w:type="dxa"/>
            <w:shd w:val="clear" w:color="auto" w:fill="auto"/>
            <w:noWrap/>
            <w:vAlign w:val="center"/>
            <w:hideMark/>
          </w:tcPr>
          <w:p w14:paraId="4B94AAA0" w14:textId="77777777" w:rsidR="00FA366A" w:rsidRPr="002C21B8" w:rsidRDefault="00FA366A" w:rsidP="00212D46">
            <w:pPr>
              <w:spacing w:after="0" w:line="240" w:lineRule="auto"/>
              <w:rPr>
                <w:sz w:val="20"/>
                <w:szCs w:val="20"/>
              </w:rPr>
            </w:pPr>
            <w:r w:rsidRPr="002C21B8">
              <w:rPr>
                <w:sz w:val="20"/>
                <w:szCs w:val="20"/>
              </w:rPr>
              <w:t>Type 2 diabetes patients'</w:t>
            </w:r>
          </w:p>
        </w:tc>
        <w:tc>
          <w:tcPr>
            <w:tcW w:w="6705" w:type="dxa"/>
            <w:shd w:val="clear" w:color="auto" w:fill="auto"/>
            <w:noWrap/>
            <w:vAlign w:val="center"/>
            <w:hideMark/>
          </w:tcPr>
          <w:p w14:paraId="21629777"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8A168E0" w14:textId="77777777" w:rsidTr="00846482">
        <w:trPr>
          <w:trHeight w:val="320"/>
        </w:trPr>
        <w:tc>
          <w:tcPr>
            <w:tcW w:w="2818" w:type="dxa"/>
            <w:shd w:val="clear" w:color="auto" w:fill="auto"/>
            <w:noWrap/>
            <w:vAlign w:val="center"/>
            <w:hideMark/>
          </w:tcPr>
          <w:p w14:paraId="28BCEC9F" w14:textId="77777777" w:rsidR="00FA366A" w:rsidRPr="002C21B8" w:rsidRDefault="00FA366A" w:rsidP="00212D46">
            <w:pPr>
              <w:spacing w:after="0" w:line="240" w:lineRule="auto"/>
              <w:rPr>
                <w:sz w:val="20"/>
                <w:szCs w:val="20"/>
              </w:rPr>
            </w:pPr>
            <w:r w:rsidRPr="002C21B8">
              <w:rPr>
                <w:sz w:val="20"/>
                <w:szCs w:val="20"/>
              </w:rPr>
              <w:t>Bul et al (2022)</w:t>
            </w:r>
          </w:p>
        </w:tc>
        <w:tc>
          <w:tcPr>
            <w:tcW w:w="4364" w:type="dxa"/>
            <w:shd w:val="clear" w:color="auto" w:fill="auto"/>
            <w:noWrap/>
            <w:vAlign w:val="center"/>
            <w:hideMark/>
          </w:tcPr>
          <w:p w14:paraId="72CE657A" w14:textId="77777777" w:rsidR="00FA366A" w:rsidRPr="002C21B8" w:rsidRDefault="00FA366A" w:rsidP="00212D46">
            <w:pPr>
              <w:spacing w:after="0" w:line="240" w:lineRule="auto"/>
              <w:rPr>
                <w:sz w:val="20"/>
                <w:szCs w:val="20"/>
              </w:rPr>
            </w:pPr>
            <w:r w:rsidRPr="002C21B8">
              <w:rPr>
                <w:sz w:val="20"/>
                <w:szCs w:val="20"/>
              </w:rPr>
              <w:t>Frailty and oral anticoagulant</w:t>
            </w:r>
          </w:p>
        </w:tc>
        <w:tc>
          <w:tcPr>
            <w:tcW w:w="6705" w:type="dxa"/>
            <w:shd w:val="clear" w:color="auto" w:fill="auto"/>
            <w:noWrap/>
            <w:vAlign w:val="center"/>
            <w:hideMark/>
          </w:tcPr>
          <w:p w14:paraId="7317F1BA"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3388C141" w14:textId="77777777" w:rsidTr="00846482">
        <w:trPr>
          <w:trHeight w:val="320"/>
        </w:trPr>
        <w:tc>
          <w:tcPr>
            <w:tcW w:w="2818" w:type="dxa"/>
            <w:shd w:val="clear" w:color="auto" w:fill="auto"/>
            <w:noWrap/>
            <w:vAlign w:val="center"/>
            <w:hideMark/>
          </w:tcPr>
          <w:p w14:paraId="63414066" w14:textId="77777777" w:rsidR="00FA366A" w:rsidRPr="002C21B8" w:rsidRDefault="00FA366A" w:rsidP="00212D46">
            <w:pPr>
              <w:spacing w:after="0" w:line="240" w:lineRule="auto"/>
              <w:rPr>
                <w:sz w:val="20"/>
                <w:szCs w:val="20"/>
              </w:rPr>
            </w:pPr>
            <w:r w:rsidRPr="002C21B8">
              <w:rPr>
                <w:sz w:val="20"/>
                <w:szCs w:val="20"/>
              </w:rPr>
              <w:t>Bul et al (2022)</w:t>
            </w:r>
          </w:p>
        </w:tc>
        <w:tc>
          <w:tcPr>
            <w:tcW w:w="4364" w:type="dxa"/>
            <w:shd w:val="clear" w:color="auto" w:fill="auto"/>
            <w:noWrap/>
            <w:vAlign w:val="center"/>
            <w:hideMark/>
          </w:tcPr>
          <w:p w14:paraId="59507FF7" w14:textId="77777777" w:rsidR="00FA366A" w:rsidRPr="002C21B8" w:rsidRDefault="00FA366A" w:rsidP="00212D46">
            <w:pPr>
              <w:spacing w:after="0" w:line="240" w:lineRule="auto"/>
              <w:rPr>
                <w:sz w:val="20"/>
                <w:szCs w:val="20"/>
              </w:rPr>
            </w:pPr>
            <w:r w:rsidRPr="002C21B8">
              <w:rPr>
                <w:sz w:val="20"/>
                <w:szCs w:val="20"/>
              </w:rPr>
              <w:t>Frailty and oral anticoagulant</w:t>
            </w:r>
          </w:p>
        </w:tc>
        <w:tc>
          <w:tcPr>
            <w:tcW w:w="6705" w:type="dxa"/>
            <w:shd w:val="clear" w:color="auto" w:fill="auto"/>
            <w:noWrap/>
            <w:vAlign w:val="center"/>
            <w:hideMark/>
          </w:tcPr>
          <w:p w14:paraId="004A0AB0" w14:textId="77777777" w:rsidR="00FA366A" w:rsidRPr="002C21B8" w:rsidRDefault="00FA366A" w:rsidP="00212D46">
            <w:pPr>
              <w:spacing w:after="0" w:line="240" w:lineRule="auto"/>
              <w:rPr>
                <w:sz w:val="20"/>
                <w:szCs w:val="20"/>
              </w:rPr>
            </w:pPr>
            <w:r w:rsidRPr="002C21B8">
              <w:rPr>
                <w:sz w:val="20"/>
                <w:szCs w:val="20"/>
              </w:rPr>
              <w:t>Results published in another journal</w:t>
            </w:r>
          </w:p>
        </w:tc>
      </w:tr>
      <w:tr w:rsidR="00FA366A" w:rsidRPr="002C21B8" w14:paraId="5242678B" w14:textId="77777777" w:rsidTr="00846482">
        <w:trPr>
          <w:trHeight w:val="320"/>
        </w:trPr>
        <w:tc>
          <w:tcPr>
            <w:tcW w:w="2818" w:type="dxa"/>
            <w:shd w:val="clear" w:color="auto" w:fill="auto"/>
            <w:noWrap/>
            <w:vAlign w:val="center"/>
            <w:hideMark/>
          </w:tcPr>
          <w:p w14:paraId="206AA0C0" w14:textId="77777777" w:rsidR="00FA366A" w:rsidRPr="002C21B8" w:rsidRDefault="00FA366A" w:rsidP="00212D46">
            <w:pPr>
              <w:spacing w:after="0" w:line="240" w:lineRule="auto"/>
              <w:rPr>
                <w:sz w:val="20"/>
                <w:szCs w:val="20"/>
              </w:rPr>
            </w:pPr>
            <w:r w:rsidRPr="002C21B8">
              <w:rPr>
                <w:sz w:val="20"/>
                <w:szCs w:val="20"/>
              </w:rPr>
              <w:t>Bungard et al (2000)</w:t>
            </w:r>
          </w:p>
        </w:tc>
        <w:tc>
          <w:tcPr>
            <w:tcW w:w="4364" w:type="dxa"/>
            <w:shd w:val="clear" w:color="auto" w:fill="auto"/>
            <w:noWrap/>
            <w:vAlign w:val="center"/>
            <w:hideMark/>
          </w:tcPr>
          <w:p w14:paraId="35A5A836" w14:textId="77777777" w:rsidR="00FA366A" w:rsidRPr="002C21B8" w:rsidRDefault="00FA366A" w:rsidP="00212D46">
            <w:pPr>
              <w:spacing w:after="0" w:line="240" w:lineRule="auto"/>
              <w:rPr>
                <w:sz w:val="20"/>
                <w:szCs w:val="20"/>
              </w:rPr>
            </w:pPr>
            <w:r w:rsidRPr="002C21B8">
              <w:rPr>
                <w:sz w:val="20"/>
                <w:szCs w:val="20"/>
              </w:rPr>
              <w:t>Why do patients with</w:t>
            </w:r>
          </w:p>
        </w:tc>
        <w:tc>
          <w:tcPr>
            <w:tcW w:w="6705" w:type="dxa"/>
            <w:shd w:val="clear" w:color="auto" w:fill="auto"/>
            <w:noWrap/>
            <w:vAlign w:val="center"/>
            <w:hideMark/>
          </w:tcPr>
          <w:p w14:paraId="2F32FDE1" w14:textId="77777777" w:rsidR="00FA366A" w:rsidRPr="002C21B8" w:rsidRDefault="00FA366A" w:rsidP="00212D46">
            <w:pPr>
              <w:spacing w:after="0" w:line="240" w:lineRule="auto"/>
              <w:rPr>
                <w:sz w:val="20"/>
                <w:szCs w:val="20"/>
              </w:rPr>
            </w:pPr>
            <w:r w:rsidRPr="002C21B8">
              <w:rPr>
                <w:sz w:val="20"/>
                <w:szCs w:val="20"/>
              </w:rPr>
              <w:t>Narrative literature review</w:t>
            </w:r>
          </w:p>
        </w:tc>
      </w:tr>
      <w:tr w:rsidR="00FA366A" w:rsidRPr="002C21B8" w14:paraId="70D63DCC" w14:textId="77777777" w:rsidTr="00846482">
        <w:trPr>
          <w:trHeight w:val="320"/>
        </w:trPr>
        <w:tc>
          <w:tcPr>
            <w:tcW w:w="2818" w:type="dxa"/>
            <w:shd w:val="clear" w:color="auto" w:fill="auto"/>
            <w:noWrap/>
            <w:vAlign w:val="center"/>
            <w:hideMark/>
          </w:tcPr>
          <w:p w14:paraId="588B3249" w14:textId="77777777" w:rsidR="00FA366A" w:rsidRPr="002C21B8" w:rsidRDefault="00FA366A" w:rsidP="00212D46">
            <w:pPr>
              <w:spacing w:after="0" w:line="240" w:lineRule="auto"/>
              <w:rPr>
                <w:sz w:val="20"/>
                <w:szCs w:val="20"/>
              </w:rPr>
            </w:pPr>
            <w:r w:rsidRPr="002C21B8">
              <w:rPr>
                <w:sz w:val="20"/>
                <w:szCs w:val="20"/>
              </w:rPr>
              <w:t>Dhungana et al (2021)</w:t>
            </w:r>
          </w:p>
        </w:tc>
        <w:tc>
          <w:tcPr>
            <w:tcW w:w="4364" w:type="dxa"/>
            <w:shd w:val="clear" w:color="auto" w:fill="auto"/>
            <w:noWrap/>
            <w:vAlign w:val="center"/>
            <w:hideMark/>
          </w:tcPr>
          <w:p w14:paraId="6F14FED9" w14:textId="77777777" w:rsidR="00FA366A" w:rsidRPr="002C21B8" w:rsidRDefault="00FA366A" w:rsidP="00212D46">
            <w:pPr>
              <w:spacing w:after="0" w:line="240" w:lineRule="auto"/>
              <w:rPr>
                <w:sz w:val="20"/>
                <w:szCs w:val="20"/>
              </w:rPr>
            </w:pPr>
            <w:r w:rsidRPr="002C21B8">
              <w:rPr>
                <w:sz w:val="20"/>
                <w:szCs w:val="20"/>
              </w:rPr>
              <w:t>Trends in the prevalence</w:t>
            </w:r>
          </w:p>
        </w:tc>
        <w:tc>
          <w:tcPr>
            <w:tcW w:w="6705" w:type="dxa"/>
            <w:shd w:val="clear" w:color="auto" w:fill="auto"/>
            <w:noWrap/>
            <w:vAlign w:val="center"/>
            <w:hideMark/>
          </w:tcPr>
          <w:p w14:paraId="1381ACFE"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1E8EBADB" w14:textId="77777777" w:rsidTr="00846482">
        <w:trPr>
          <w:trHeight w:val="320"/>
        </w:trPr>
        <w:tc>
          <w:tcPr>
            <w:tcW w:w="2818" w:type="dxa"/>
            <w:shd w:val="clear" w:color="auto" w:fill="auto"/>
            <w:noWrap/>
            <w:vAlign w:val="center"/>
            <w:hideMark/>
          </w:tcPr>
          <w:p w14:paraId="660DBDC8" w14:textId="77777777" w:rsidR="00FA366A" w:rsidRPr="002C21B8" w:rsidRDefault="00FA366A" w:rsidP="00212D46">
            <w:pPr>
              <w:spacing w:after="0" w:line="240" w:lineRule="auto"/>
              <w:rPr>
                <w:sz w:val="20"/>
                <w:szCs w:val="20"/>
              </w:rPr>
            </w:pPr>
            <w:r w:rsidRPr="002C21B8">
              <w:rPr>
                <w:sz w:val="20"/>
                <w:szCs w:val="20"/>
              </w:rPr>
              <w:t>Egerton et al (2017)</w:t>
            </w:r>
          </w:p>
        </w:tc>
        <w:tc>
          <w:tcPr>
            <w:tcW w:w="4364" w:type="dxa"/>
            <w:shd w:val="clear" w:color="auto" w:fill="auto"/>
            <w:noWrap/>
            <w:vAlign w:val="center"/>
            <w:hideMark/>
          </w:tcPr>
          <w:p w14:paraId="38369978" w14:textId="77777777" w:rsidR="00FA366A" w:rsidRPr="002C21B8" w:rsidRDefault="00FA366A" w:rsidP="00212D46">
            <w:pPr>
              <w:spacing w:after="0" w:line="240" w:lineRule="auto"/>
              <w:rPr>
                <w:sz w:val="20"/>
                <w:szCs w:val="20"/>
              </w:rPr>
            </w:pPr>
            <w:r w:rsidRPr="002C21B8">
              <w:rPr>
                <w:sz w:val="20"/>
                <w:szCs w:val="20"/>
              </w:rPr>
              <w:t>A systematic review and</w:t>
            </w:r>
          </w:p>
        </w:tc>
        <w:tc>
          <w:tcPr>
            <w:tcW w:w="6705" w:type="dxa"/>
            <w:shd w:val="clear" w:color="auto" w:fill="auto"/>
            <w:noWrap/>
            <w:vAlign w:val="center"/>
            <w:hideMark/>
          </w:tcPr>
          <w:p w14:paraId="21AA5515" w14:textId="77777777" w:rsidR="00FA366A" w:rsidRPr="002C21B8" w:rsidRDefault="00FA366A" w:rsidP="00212D46">
            <w:pPr>
              <w:spacing w:after="0" w:line="240" w:lineRule="auto"/>
              <w:rPr>
                <w:sz w:val="20"/>
                <w:szCs w:val="20"/>
              </w:rPr>
            </w:pPr>
            <w:r w:rsidRPr="002C21B8">
              <w:rPr>
                <w:sz w:val="20"/>
                <w:szCs w:val="20"/>
              </w:rPr>
              <w:t>Not long-term medications</w:t>
            </w:r>
          </w:p>
        </w:tc>
      </w:tr>
      <w:tr w:rsidR="00FA366A" w:rsidRPr="002C21B8" w14:paraId="1AE3856F" w14:textId="77777777" w:rsidTr="00846482">
        <w:trPr>
          <w:trHeight w:val="320"/>
        </w:trPr>
        <w:tc>
          <w:tcPr>
            <w:tcW w:w="2818" w:type="dxa"/>
            <w:shd w:val="clear" w:color="auto" w:fill="auto"/>
            <w:noWrap/>
            <w:vAlign w:val="center"/>
            <w:hideMark/>
          </w:tcPr>
          <w:p w14:paraId="64A32E2F" w14:textId="77777777" w:rsidR="00FA366A" w:rsidRPr="002C21B8" w:rsidRDefault="00FA366A" w:rsidP="00212D46">
            <w:pPr>
              <w:spacing w:after="0" w:line="240" w:lineRule="auto"/>
              <w:rPr>
                <w:sz w:val="20"/>
                <w:szCs w:val="20"/>
              </w:rPr>
            </w:pPr>
            <w:r w:rsidRPr="002C21B8">
              <w:rPr>
                <w:sz w:val="20"/>
                <w:szCs w:val="20"/>
              </w:rPr>
              <w:t>Ettehad et al (2016)</w:t>
            </w:r>
          </w:p>
        </w:tc>
        <w:tc>
          <w:tcPr>
            <w:tcW w:w="4364" w:type="dxa"/>
            <w:shd w:val="clear" w:color="auto" w:fill="auto"/>
            <w:noWrap/>
            <w:vAlign w:val="center"/>
            <w:hideMark/>
          </w:tcPr>
          <w:p w14:paraId="632FBDFA" w14:textId="77777777" w:rsidR="00FA366A" w:rsidRPr="002C21B8" w:rsidRDefault="00FA366A" w:rsidP="00212D46">
            <w:pPr>
              <w:spacing w:after="0" w:line="240" w:lineRule="auto"/>
              <w:rPr>
                <w:sz w:val="20"/>
                <w:szCs w:val="20"/>
              </w:rPr>
            </w:pPr>
            <w:r w:rsidRPr="002C21B8">
              <w:rPr>
                <w:sz w:val="20"/>
                <w:szCs w:val="20"/>
              </w:rPr>
              <w:t>Blood pressure lowering for</w:t>
            </w:r>
          </w:p>
        </w:tc>
        <w:tc>
          <w:tcPr>
            <w:tcW w:w="6705" w:type="dxa"/>
            <w:shd w:val="clear" w:color="auto" w:fill="auto"/>
            <w:noWrap/>
            <w:vAlign w:val="center"/>
            <w:hideMark/>
          </w:tcPr>
          <w:p w14:paraId="39981828"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ED89161" w14:textId="77777777" w:rsidTr="00846482">
        <w:trPr>
          <w:trHeight w:val="320"/>
        </w:trPr>
        <w:tc>
          <w:tcPr>
            <w:tcW w:w="2818" w:type="dxa"/>
            <w:shd w:val="clear" w:color="auto" w:fill="auto"/>
            <w:noWrap/>
            <w:vAlign w:val="center"/>
            <w:hideMark/>
          </w:tcPr>
          <w:p w14:paraId="2582B111" w14:textId="77777777" w:rsidR="00FA366A" w:rsidRPr="002C21B8" w:rsidRDefault="00FA366A" w:rsidP="00212D46">
            <w:pPr>
              <w:spacing w:after="0" w:line="240" w:lineRule="auto"/>
              <w:rPr>
                <w:sz w:val="20"/>
                <w:szCs w:val="20"/>
              </w:rPr>
            </w:pPr>
            <w:r w:rsidRPr="002C21B8">
              <w:rPr>
                <w:sz w:val="20"/>
                <w:szCs w:val="20"/>
              </w:rPr>
              <w:t>Fahey et al (2005)</w:t>
            </w:r>
          </w:p>
        </w:tc>
        <w:tc>
          <w:tcPr>
            <w:tcW w:w="4364" w:type="dxa"/>
            <w:shd w:val="clear" w:color="auto" w:fill="auto"/>
            <w:noWrap/>
            <w:vAlign w:val="center"/>
            <w:hideMark/>
          </w:tcPr>
          <w:p w14:paraId="21CFA66E" w14:textId="77777777" w:rsidR="00FA366A" w:rsidRPr="002C21B8" w:rsidRDefault="00FA366A" w:rsidP="00212D46">
            <w:pPr>
              <w:spacing w:after="0" w:line="240" w:lineRule="auto"/>
              <w:rPr>
                <w:sz w:val="20"/>
                <w:szCs w:val="20"/>
              </w:rPr>
            </w:pPr>
            <w:r w:rsidRPr="002C21B8">
              <w:rPr>
                <w:sz w:val="20"/>
                <w:szCs w:val="20"/>
              </w:rPr>
              <w:t>Educational and organisational interventions</w:t>
            </w:r>
          </w:p>
        </w:tc>
        <w:tc>
          <w:tcPr>
            <w:tcW w:w="6705" w:type="dxa"/>
            <w:shd w:val="clear" w:color="auto" w:fill="auto"/>
            <w:noWrap/>
            <w:vAlign w:val="center"/>
            <w:hideMark/>
          </w:tcPr>
          <w:p w14:paraId="363087DA"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2604A9B0" w14:textId="77777777" w:rsidTr="00846482">
        <w:trPr>
          <w:trHeight w:val="320"/>
        </w:trPr>
        <w:tc>
          <w:tcPr>
            <w:tcW w:w="2818" w:type="dxa"/>
            <w:shd w:val="clear" w:color="auto" w:fill="auto"/>
            <w:noWrap/>
            <w:vAlign w:val="center"/>
            <w:hideMark/>
          </w:tcPr>
          <w:p w14:paraId="554E389D" w14:textId="77777777" w:rsidR="00FA366A" w:rsidRPr="002C21B8" w:rsidRDefault="00FA366A" w:rsidP="00212D46">
            <w:pPr>
              <w:spacing w:after="0" w:line="240" w:lineRule="auto"/>
              <w:rPr>
                <w:sz w:val="20"/>
                <w:szCs w:val="20"/>
              </w:rPr>
            </w:pPr>
            <w:r w:rsidRPr="002C21B8">
              <w:rPr>
                <w:sz w:val="20"/>
                <w:szCs w:val="20"/>
              </w:rPr>
              <w:t>Fickweiler et al (2017)</w:t>
            </w:r>
          </w:p>
        </w:tc>
        <w:tc>
          <w:tcPr>
            <w:tcW w:w="4364" w:type="dxa"/>
            <w:shd w:val="clear" w:color="auto" w:fill="auto"/>
            <w:noWrap/>
            <w:vAlign w:val="center"/>
            <w:hideMark/>
          </w:tcPr>
          <w:p w14:paraId="34DEBAF9" w14:textId="77777777" w:rsidR="00FA366A" w:rsidRPr="002C21B8" w:rsidRDefault="00FA366A" w:rsidP="00212D46">
            <w:pPr>
              <w:spacing w:after="0" w:line="240" w:lineRule="auto"/>
              <w:rPr>
                <w:sz w:val="20"/>
                <w:szCs w:val="20"/>
              </w:rPr>
            </w:pPr>
            <w:r w:rsidRPr="002C21B8">
              <w:rPr>
                <w:sz w:val="20"/>
                <w:szCs w:val="20"/>
              </w:rPr>
              <w:t>Interactions between physicians and</w:t>
            </w:r>
          </w:p>
        </w:tc>
        <w:tc>
          <w:tcPr>
            <w:tcW w:w="6705" w:type="dxa"/>
            <w:shd w:val="clear" w:color="auto" w:fill="auto"/>
            <w:noWrap/>
            <w:vAlign w:val="center"/>
            <w:hideMark/>
          </w:tcPr>
          <w:p w14:paraId="5FB7B76D" w14:textId="77777777" w:rsidR="00FA366A" w:rsidRPr="002C21B8" w:rsidRDefault="00FA366A" w:rsidP="00212D46">
            <w:pPr>
              <w:spacing w:after="0" w:line="240" w:lineRule="auto"/>
              <w:rPr>
                <w:sz w:val="20"/>
                <w:szCs w:val="20"/>
              </w:rPr>
            </w:pPr>
            <w:r w:rsidRPr="002C21B8">
              <w:rPr>
                <w:sz w:val="20"/>
                <w:szCs w:val="20"/>
              </w:rPr>
              <w:t>Not specific to chronic physical health conditions</w:t>
            </w:r>
          </w:p>
        </w:tc>
      </w:tr>
      <w:tr w:rsidR="00FA366A" w:rsidRPr="002C21B8" w14:paraId="4E6E1A72" w14:textId="77777777" w:rsidTr="00846482">
        <w:trPr>
          <w:trHeight w:val="320"/>
        </w:trPr>
        <w:tc>
          <w:tcPr>
            <w:tcW w:w="2818" w:type="dxa"/>
            <w:shd w:val="clear" w:color="auto" w:fill="auto"/>
            <w:noWrap/>
            <w:vAlign w:val="center"/>
            <w:hideMark/>
          </w:tcPr>
          <w:p w14:paraId="1BEE9DA8" w14:textId="77777777" w:rsidR="00FA366A" w:rsidRPr="002C21B8" w:rsidRDefault="00FA366A" w:rsidP="00212D46">
            <w:pPr>
              <w:spacing w:after="0" w:line="240" w:lineRule="auto"/>
              <w:rPr>
                <w:sz w:val="20"/>
                <w:szCs w:val="20"/>
              </w:rPr>
            </w:pPr>
            <w:r w:rsidRPr="002C21B8">
              <w:rPr>
                <w:sz w:val="20"/>
                <w:szCs w:val="20"/>
              </w:rPr>
              <w:t>Gabbay et al (2020)</w:t>
            </w:r>
          </w:p>
        </w:tc>
        <w:tc>
          <w:tcPr>
            <w:tcW w:w="4364" w:type="dxa"/>
            <w:shd w:val="clear" w:color="auto" w:fill="auto"/>
            <w:noWrap/>
            <w:vAlign w:val="center"/>
            <w:hideMark/>
          </w:tcPr>
          <w:p w14:paraId="2C22EBE8" w14:textId="77777777" w:rsidR="00FA366A" w:rsidRPr="002C21B8" w:rsidRDefault="00FA366A" w:rsidP="00212D46">
            <w:pPr>
              <w:spacing w:after="0" w:line="240" w:lineRule="auto"/>
              <w:rPr>
                <w:sz w:val="20"/>
                <w:szCs w:val="20"/>
              </w:rPr>
            </w:pPr>
            <w:r w:rsidRPr="002C21B8">
              <w:rPr>
                <w:sz w:val="20"/>
                <w:szCs w:val="20"/>
              </w:rPr>
              <w:t>Addressing Therapeutic Inertia in</w:t>
            </w:r>
          </w:p>
        </w:tc>
        <w:tc>
          <w:tcPr>
            <w:tcW w:w="6705" w:type="dxa"/>
            <w:shd w:val="clear" w:color="auto" w:fill="auto"/>
            <w:noWrap/>
            <w:vAlign w:val="center"/>
            <w:hideMark/>
          </w:tcPr>
          <w:p w14:paraId="52C0EDC2" w14:textId="77777777" w:rsidR="00FA366A" w:rsidRPr="002C21B8" w:rsidRDefault="00FA366A" w:rsidP="00212D46">
            <w:pPr>
              <w:spacing w:after="0" w:line="240" w:lineRule="auto"/>
              <w:rPr>
                <w:sz w:val="20"/>
                <w:szCs w:val="20"/>
              </w:rPr>
            </w:pPr>
            <w:r w:rsidRPr="002C21B8">
              <w:rPr>
                <w:sz w:val="20"/>
                <w:szCs w:val="20"/>
              </w:rPr>
              <w:t>Narrative literature review</w:t>
            </w:r>
          </w:p>
        </w:tc>
      </w:tr>
      <w:tr w:rsidR="00FA366A" w:rsidRPr="002C21B8" w14:paraId="241A5AC2" w14:textId="77777777" w:rsidTr="00846482">
        <w:trPr>
          <w:trHeight w:val="320"/>
        </w:trPr>
        <w:tc>
          <w:tcPr>
            <w:tcW w:w="2818" w:type="dxa"/>
            <w:shd w:val="clear" w:color="auto" w:fill="auto"/>
            <w:noWrap/>
            <w:vAlign w:val="center"/>
            <w:hideMark/>
          </w:tcPr>
          <w:p w14:paraId="70F961A0" w14:textId="77777777" w:rsidR="00FA366A" w:rsidRPr="002C21B8" w:rsidRDefault="00FA366A" w:rsidP="00212D46">
            <w:pPr>
              <w:spacing w:after="0" w:line="240" w:lineRule="auto"/>
              <w:rPr>
                <w:sz w:val="20"/>
                <w:szCs w:val="20"/>
              </w:rPr>
            </w:pPr>
            <w:r w:rsidRPr="002C21B8">
              <w:rPr>
                <w:sz w:val="20"/>
                <w:szCs w:val="20"/>
              </w:rPr>
              <w:t>Gebreyohannes et al (2021)</w:t>
            </w:r>
          </w:p>
        </w:tc>
        <w:tc>
          <w:tcPr>
            <w:tcW w:w="4364" w:type="dxa"/>
            <w:shd w:val="clear" w:color="auto" w:fill="auto"/>
            <w:noWrap/>
            <w:vAlign w:val="center"/>
            <w:hideMark/>
          </w:tcPr>
          <w:p w14:paraId="2A232BA4" w14:textId="77777777" w:rsidR="00FA366A" w:rsidRPr="002C21B8" w:rsidRDefault="00FA366A" w:rsidP="00212D46">
            <w:pPr>
              <w:spacing w:after="0" w:line="240" w:lineRule="auto"/>
              <w:rPr>
                <w:sz w:val="20"/>
                <w:szCs w:val="20"/>
              </w:rPr>
            </w:pPr>
            <w:r w:rsidRPr="002C21B8">
              <w:rPr>
                <w:sz w:val="20"/>
                <w:szCs w:val="20"/>
              </w:rPr>
              <w:t>Thromboprophylaxis for patients with</w:t>
            </w:r>
          </w:p>
        </w:tc>
        <w:tc>
          <w:tcPr>
            <w:tcW w:w="6705" w:type="dxa"/>
            <w:shd w:val="clear" w:color="auto" w:fill="auto"/>
            <w:noWrap/>
            <w:vAlign w:val="center"/>
            <w:hideMark/>
          </w:tcPr>
          <w:p w14:paraId="224DF770" w14:textId="77777777" w:rsidR="00FA366A" w:rsidRPr="002C21B8" w:rsidRDefault="00FA366A" w:rsidP="00212D46">
            <w:pPr>
              <w:spacing w:after="0" w:line="240" w:lineRule="auto"/>
              <w:rPr>
                <w:sz w:val="20"/>
                <w:szCs w:val="20"/>
              </w:rPr>
            </w:pPr>
            <w:r w:rsidRPr="002C21B8">
              <w:rPr>
                <w:sz w:val="20"/>
                <w:szCs w:val="20"/>
              </w:rPr>
              <w:t>Conference abstract only</w:t>
            </w:r>
          </w:p>
        </w:tc>
      </w:tr>
      <w:tr w:rsidR="00FA366A" w:rsidRPr="002C21B8" w14:paraId="5C9CDA42" w14:textId="77777777" w:rsidTr="00846482">
        <w:trPr>
          <w:trHeight w:val="320"/>
        </w:trPr>
        <w:tc>
          <w:tcPr>
            <w:tcW w:w="2818" w:type="dxa"/>
            <w:shd w:val="clear" w:color="auto" w:fill="auto"/>
            <w:noWrap/>
            <w:vAlign w:val="center"/>
            <w:hideMark/>
          </w:tcPr>
          <w:p w14:paraId="22187A81" w14:textId="77777777" w:rsidR="00FA366A" w:rsidRPr="002C21B8" w:rsidRDefault="00FA366A" w:rsidP="00212D46">
            <w:pPr>
              <w:spacing w:after="0" w:line="240" w:lineRule="auto"/>
              <w:rPr>
                <w:sz w:val="20"/>
                <w:szCs w:val="20"/>
              </w:rPr>
            </w:pPr>
            <w:r w:rsidRPr="002C21B8">
              <w:rPr>
                <w:sz w:val="20"/>
                <w:szCs w:val="20"/>
              </w:rPr>
              <w:t>Gebreyohannes et al (2021)</w:t>
            </w:r>
          </w:p>
        </w:tc>
        <w:tc>
          <w:tcPr>
            <w:tcW w:w="4364" w:type="dxa"/>
            <w:shd w:val="clear" w:color="auto" w:fill="auto"/>
            <w:noWrap/>
            <w:vAlign w:val="center"/>
            <w:hideMark/>
          </w:tcPr>
          <w:p w14:paraId="202058EB" w14:textId="77777777" w:rsidR="00FA366A" w:rsidRPr="002C21B8" w:rsidRDefault="00FA366A" w:rsidP="00212D46">
            <w:pPr>
              <w:spacing w:after="0" w:line="240" w:lineRule="auto"/>
              <w:rPr>
                <w:sz w:val="20"/>
                <w:szCs w:val="20"/>
              </w:rPr>
            </w:pPr>
            <w:r w:rsidRPr="002C21B8">
              <w:rPr>
                <w:sz w:val="20"/>
                <w:szCs w:val="20"/>
              </w:rPr>
              <w:t>Non-adherence to thromboprophylaxis guidelines</w:t>
            </w:r>
          </w:p>
        </w:tc>
        <w:tc>
          <w:tcPr>
            <w:tcW w:w="6705" w:type="dxa"/>
            <w:shd w:val="clear" w:color="auto" w:fill="auto"/>
            <w:noWrap/>
            <w:vAlign w:val="center"/>
            <w:hideMark/>
          </w:tcPr>
          <w:p w14:paraId="13FFEFBD" w14:textId="77777777" w:rsidR="00FA366A" w:rsidRPr="002C21B8" w:rsidRDefault="00FA366A" w:rsidP="00212D46">
            <w:pPr>
              <w:spacing w:after="0" w:line="240" w:lineRule="auto"/>
              <w:rPr>
                <w:sz w:val="20"/>
                <w:szCs w:val="20"/>
              </w:rPr>
            </w:pPr>
            <w:r w:rsidRPr="002C21B8">
              <w:rPr>
                <w:sz w:val="20"/>
                <w:szCs w:val="20"/>
              </w:rPr>
              <w:t>Narrative literature review</w:t>
            </w:r>
          </w:p>
        </w:tc>
      </w:tr>
      <w:tr w:rsidR="00FA366A" w:rsidRPr="002C21B8" w14:paraId="390B47E2" w14:textId="77777777" w:rsidTr="00846482">
        <w:trPr>
          <w:trHeight w:val="320"/>
        </w:trPr>
        <w:tc>
          <w:tcPr>
            <w:tcW w:w="2818" w:type="dxa"/>
            <w:shd w:val="clear" w:color="auto" w:fill="auto"/>
            <w:noWrap/>
            <w:vAlign w:val="center"/>
            <w:hideMark/>
          </w:tcPr>
          <w:p w14:paraId="086E0373" w14:textId="77777777" w:rsidR="00FA366A" w:rsidRPr="002C21B8" w:rsidRDefault="00FA366A" w:rsidP="00212D46">
            <w:pPr>
              <w:spacing w:after="0" w:line="240" w:lineRule="auto"/>
              <w:rPr>
                <w:sz w:val="20"/>
                <w:szCs w:val="20"/>
              </w:rPr>
            </w:pPr>
            <w:r w:rsidRPr="002C21B8">
              <w:rPr>
                <w:sz w:val="20"/>
                <w:szCs w:val="20"/>
              </w:rPr>
              <w:t>Glynn et al (2010)</w:t>
            </w:r>
          </w:p>
        </w:tc>
        <w:tc>
          <w:tcPr>
            <w:tcW w:w="4364" w:type="dxa"/>
            <w:shd w:val="clear" w:color="auto" w:fill="auto"/>
            <w:noWrap/>
            <w:vAlign w:val="center"/>
            <w:hideMark/>
          </w:tcPr>
          <w:p w14:paraId="7F8714B6" w14:textId="77777777" w:rsidR="00FA366A" w:rsidRPr="002C21B8" w:rsidRDefault="00FA366A" w:rsidP="00212D46">
            <w:pPr>
              <w:spacing w:after="0" w:line="240" w:lineRule="auto"/>
              <w:rPr>
                <w:sz w:val="20"/>
                <w:szCs w:val="20"/>
              </w:rPr>
            </w:pPr>
            <w:r w:rsidRPr="002C21B8">
              <w:rPr>
                <w:sz w:val="20"/>
                <w:szCs w:val="20"/>
              </w:rPr>
              <w:t>Self-monitoring and other non-pharmacological</w:t>
            </w:r>
          </w:p>
        </w:tc>
        <w:tc>
          <w:tcPr>
            <w:tcW w:w="6705" w:type="dxa"/>
            <w:shd w:val="clear" w:color="auto" w:fill="auto"/>
            <w:noWrap/>
            <w:vAlign w:val="center"/>
            <w:hideMark/>
          </w:tcPr>
          <w:p w14:paraId="7C328452"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356E8571" w14:textId="77777777" w:rsidTr="00846482">
        <w:trPr>
          <w:trHeight w:val="320"/>
        </w:trPr>
        <w:tc>
          <w:tcPr>
            <w:tcW w:w="2818" w:type="dxa"/>
            <w:shd w:val="clear" w:color="auto" w:fill="auto"/>
            <w:noWrap/>
            <w:vAlign w:val="center"/>
            <w:hideMark/>
          </w:tcPr>
          <w:p w14:paraId="00D179F4" w14:textId="77777777" w:rsidR="00FA366A" w:rsidRPr="002C21B8" w:rsidRDefault="00FA366A" w:rsidP="00212D46">
            <w:pPr>
              <w:spacing w:after="0" w:line="240" w:lineRule="auto"/>
              <w:rPr>
                <w:sz w:val="20"/>
                <w:szCs w:val="20"/>
              </w:rPr>
            </w:pPr>
            <w:r w:rsidRPr="002C21B8">
              <w:rPr>
                <w:sz w:val="20"/>
                <w:szCs w:val="20"/>
              </w:rPr>
              <w:t>Griffin et al (2017)</w:t>
            </w:r>
          </w:p>
        </w:tc>
        <w:tc>
          <w:tcPr>
            <w:tcW w:w="4364" w:type="dxa"/>
            <w:shd w:val="clear" w:color="auto" w:fill="auto"/>
            <w:noWrap/>
            <w:vAlign w:val="center"/>
            <w:hideMark/>
          </w:tcPr>
          <w:p w14:paraId="7F4038BD" w14:textId="77777777" w:rsidR="00FA366A" w:rsidRPr="002C21B8" w:rsidRDefault="00FA366A" w:rsidP="00212D46">
            <w:pPr>
              <w:spacing w:after="0" w:line="240" w:lineRule="auto"/>
              <w:rPr>
                <w:sz w:val="20"/>
                <w:szCs w:val="20"/>
              </w:rPr>
            </w:pPr>
            <w:r w:rsidRPr="002C21B8">
              <w:rPr>
                <w:sz w:val="20"/>
                <w:szCs w:val="20"/>
              </w:rPr>
              <w:t>Impact of metformin on</w:t>
            </w:r>
          </w:p>
        </w:tc>
        <w:tc>
          <w:tcPr>
            <w:tcW w:w="6705" w:type="dxa"/>
            <w:shd w:val="clear" w:color="auto" w:fill="auto"/>
            <w:noWrap/>
            <w:vAlign w:val="center"/>
            <w:hideMark/>
          </w:tcPr>
          <w:p w14:paraId="5DCDA637"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AD2D2BA" w14:textId="77777777" w:rsidTr="00846482">
        <w:trPr>
          <w:trHeight w:val="320"/>
        </w:trPr>
        <w:tc>
          <w:tcPr>
            <w:tcW w:w="2818" w:type="dxa"/>
            <w:shd w:val="clear" w:color="auto" w:fill="auto"/>
            <w:noWrap/>
            <w:vAlign w:val="center"/>
            <w:hideMark/>
          </w:tcPr>
          <w:p w14:paraId="6C020462" w14:textId="77777777" w:rsidR="00FA366A" w:rsidRPr="002C21B8" w:rsidRDefault="00FA366A" w:rsidP="00212D46">
            <w:pPr>
              <w:spacing w:after="0" w:line="240" w:lineRule="auto"/>
              <w:rPr>
                <w:sz w:val="20"/>
                <w:szCs w:val="20"/>
              </w:rPr>
            </w:pPr>
            <w:r w:rsidRPr="002C21B8">
              <w:rPr>
                <w:sz w:val="20"/>
                <w:szCs w:val="20"/>
              </w:rPr>
              <w:t>Hagen et al (2016)</w:t>
            </w:r>
          </w:p>
        </w:tc>
        <w:tc>
          <w:tcPr>
            <w:tcW w:w="4364" w:type="dxa"/>
            <w:shd w:val="clear" w:color="auto" w:fill="auto"/>
            <w:noWrap/>
            <w:vAlign w:val="center"/>
            <w:hideMark/>
          </w:tcPr>
          <w:p w14:paraId="246F169E" w14:textId="77777777" w:rsidR="00FA366A" w:rsidRPr="002C21B8" w:rsidRDefault="00FA366A" w:rsidP="00212D46">
            <w:pPr>
              <w:spacing w:after="0" w:line="240" w:lineRule="auto"/>
              <w:rPr>
                <w:sz w:val="20"/>
                <w:szCs w:val="20"/>
              </w:rPr>
            </w:pPr>
            <w:r w:rsidRPr="002C21B8">
              <w:rPr>
                <w:sz w:val="20"/>
                <w:szCs w:val="20"/>
              </w:rPr>
              <w:t>Quality of community-based osteoarthritis</w:t>
            </w:r>
          </w:p>
        </w:tc>
        <w:tc>
          <w:tcPr>
            <w:tcW w:w="6705" w:type="dxa"/>
            <w:shd w:val="clear" w:color="auto" w:fill="auto"/>
            <w:noWrap/>
            <w:vAlign w:val="center"/>
            <w:hideMark/>
          </w:tcPr>
          <w:p w14:paraId="54C37E58"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23378F9" w14:textId="77777777" w:rsidTr="00846482">
        <w:trPr>
          <w:trHeight w:val="320"/>
        </w:trPr>
        <w:tc>
          <w:tcPr>
            <w:tcW w:w="2818" w:type="dxa"/>
            <w:shd w:val="clear" w:color="auto" w:fill="auto"/>
            <w:noWrap/>
            <w:vAlign w:val="center"/>
            <w:hideMark/>
          </w:tcPr>
          <w:p w14:paraId="34EB24D4" w14:textId="77777777" w:rsidR="00FA366A" w:rsidRPr="002C21B8" w:rsidRDefault="00FA366A" w:rsidP="00212D46">
            <w:pPr>
              <w:spacing w:after="0" w:line="240" w:lineRule="auto"/>
              <w:rPr>
                <w:sz w:val="20"/>
                <w:szCs w:val="20"/>
              </w:rPr>
            </w:pPr>
            <w:r w:rsidRPr="002C21B8">
              <w:rPr>
                <w:sz w:val="20"/>
                <w:szCs w:val="20"/>
              </w:rPr>
              <w:t>Hart et al (2007)</w:t>
            </w:r>
          </w:p>
        </w:tc>
        <w:tc>
          <w:tcPr>
            <w:tcW w:w="4364" w:type="dxa"/>
            <w:shd w:val="clear" w:color="auto" w:fill="auto"/>
            <w:noWrap/>
            <w:vAlign w:val="center"/>
            <w:hideMark/>
          </w:tcPr>
          <w:p w14:paraId="3BF0AB36" w14:textId="77777777" w:rsidR="00FA366A" w:rsidRPr="002C21B8" w:rsidRDefault="00FA366A" w:rsidP="00212D46">
            <w:pPr>
              <w:spacing w:after="0" w:line="240" w:lineRule="auto"/>
              <w:rPr>
                <w:sz w:val="20"/>
                <w:szCs w:val="20"/>
              </w:rPr>
            </w:pPr>
            <w:r w:rsidRPr="002C21B8">
              <w:rPr>
                <w:sz w:val="20"/>
                <w:szCs w:val="20"/>
              </w:rPr>
              <w:t>Meta-analysis: antithrombotic therapy to</w:t>
            </w:r>
          </w:p>
        </w:tc>
        <w:tc>
          <w:tcPr>
            <w:tcW w:w="6705" w:type="dxa"/>
            <w:shd w:val="clear" w:color="auto" w:fill="auto"/>
            <w:noWrap/>
            <w:vAlign w:val="center"/>
            <w:hideMark/>
          </w:tcPr>
          <w:p w14:paraId="1AE51A6D"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D2BBFBF" w14:textId="77777777" w:rsidTr="00846482">
        <w:trPr>
          <w:trHeight w:val="320"/>
        </w:trPr>
        <w:tc>
          <w:tcPr>
            <w:tcW w:w="2818" w:type="dxa"/>
            <w:shd w:val="clear" w:color="auto" w:fill="auto"/>
            <w:noWrap/>
            <w:vAlign w:val="center"/>
            <w:hideMark/>
          </w:tcPr>
          <w:p w14:paraId="6BB4DD31" w14:textId="77777777" w:rsidR="00FA366A" w:rsidRPr="002C21B8" w:rsidRDefault="00FA366A" w:rsidP="00212D46">
            <w:pPr>
              <w:spacing w:after="0" w:line="240" w:lineRule="auto"/>
              <w:rPr>
                <w:sz w:val="20"/>
                <w:szCs w:val="20"/>
              </w:rPr>
            </w:pPr>
            <w:r w:rsidRPr="002C21B8">
              <w:rPr>
                <w:sz w:val="20"/>
                <w:szCs w:val="20"/>
              </w:rPr>
              <w:t>He et al (2022)</w:t>
            </w:r>
          </w:p>
        </w:tc>
        <w:tc>
          <w:tcPr>
            <w:tcW w:w="4364" w:type="dxa"/>
            <w:shd w:val="clear" w:color="auto" w:fill="auto"/>
            <w:noWrap/>
            <w:vAlign w:val="center"/>
            <w:hideMark/>
          </w:tcPr>
          <w:p w14:paraId="1496A0DB" w14:textId="77777777" w:rsidR="00FA366A" w:rsidRPr="002C21B8" w:rsidRDefault="00FA366A" w:rsidP="00212D46">
            <w:pPr>
              <w:spacing w:after="0" w:line="240" w:lineRule="auto"/>
              <w:rPr>
                <w:sz w:val="20"/>
                <w:szCs w:val="20"/>
              </w:rPr>
            </w:pPr>
            <w:r w:rsidRPr="002C21B8">
              <w:rPr>
                <w:sz w:val="20"/>
                <w:szCs w:val="20"/>
              </w:rPr>
              <w:t>Impact of frailty on</w:t>
            </w:r>
          </w:p>
        </w:tc>
        <w:tc>
          <w:tcPr>
            <w:tcW w:w="6705" w:type="dxa"/>
            <w:shd w:val="clear" w:color="auto" w:fill="auto"/>
            <w:noWrap/>
            <w:vAlign w:val="center"/>
            <w:hideMark/>
          </w:tcPr>
          <w:p w14:paraId="71A5B55E"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4361BDD5" w14:textId="77777777" w:rsidTr="00846482">
        <w:trPr>
          <w:trHeight w:val="320"/>
        </w:trPr>
        <w:tc>
          <w:tcPr>
            <w:tcW w:w="2818" w:type="dxa"/>
            <w:shd w:val="clear" w:color="auto" w:fill="auto"/>
            <w:noWrap/>
            <w:vAlign w:val="center"/>
            <w:hideMark/>
          </w:tcPr>
          <w:p w14:paraId="1267F21C" w14:textId="77777777" w:rsidR="00FA366A" w:rsidRPr="002C21B8" w:rsidRDefault="00FA366A" w:rsidP="00212D46">
            <w:pPr>
              <w:spacing w:after="0" w:line="240" w:lineRule="auto"/>
              <w:rPr>
                <w:sz w:val="20"/>
                <w:szCs w:val="20"/>
              </w:rPr>
            </w:pPr>
            <w:r w:rsidRPr="002C21B8">
              <w:rPr>
                <w:sz w:val="20"/>
                <w:szCs w:val="20"/>
              </w:rPr>
              <w:t>Huang et al (2013)</w:t>
            </w:r>
          </w:p>
        </w:tc>
        <w:tc>
          <w:tcPr>
            <w:tcW w:w="4364" w:type="dxa"/>
            <w:shd w:val="clear" w:color="auto" w:fill="auto"/>
            <w:noWrap/>
            <w:vAlign w:val="center"/>
            <w:hideMark/>
          </w:tcPr>
          <w:p w14:paraId="38BFC90E" w14:textId="77777777" w:rsidR="00FA366A" w:rsidRPr="002C21B8" w:rsidRDefault="00FA366A" w:rsidP="00212D46">
            <w:pPr>
              <w:spacing w:after="0" w:line="240" w:lineRule="auto"/>
              <w:rPr>
                <w:sz w:val="20"/>
                <w:szCs w:val="20"/>
              </w:rPr>
            </w:pPr>
            <w:r w:rsidRPr="002C21B8">
              <w:rPr>
                <w:sz w:val="20"/>
                <w:szCs w:val="20"/>
              </w:rPr>
              <w:t>Impact of pay-for-performance on</w:t>
            </w:r>
          </w:p>
        </w:tc>
        <w:tc>
          <w:tcPr>
            <w:tcW w:w="6705" w:type="dxa"/>
            <w:shd w:val="clear" w:color="auto" w:fill="auto"/>
            <w:noWrap/>
            <w:vAlign w:val="center"/>
            <w:hideMark/>
          </w:tcPr>
          <w:p w14:paraId="3090F05C"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96121DD" w14:textId="77777777" w:rsidTr="00846482">
        <w:trPr>
          <w:trHeight w:val="320"/>
        </w:trPr>
        <w:tc>
          <w:tcPr>
            <w:tcW w:w="2818" w:type="dxa"/>
            <w:shd w:val="clear" w:color="auto" w:fill="auto"/>
            <w:noWrap/>
            <w:vAlign w:val="center"/>
            <w:hideMark/>
          </w:tcPr>
          <w:p w14:paraId="17BC6800" w14:textId="77777777" w:rsidR="00FA366A" w:rsidRPr="002C21B8" w:rsidRDefault="00FA366A" w:rsidP="00212D46">
            <w:pPr>
              <w:spacing w:after="0" w:line="240" w:lineRule="auto"/>
              <w:rPr>
                <w:sz w:val="20"/>
                <w:szCs w:val="20"/>
              </w:rPr>
            </w:pPr>
            <w:r w:rsidRPr="002C21B8">
              <w:rPr>
                <w:sz w:val="20"/>
                <w:szCs w:val="20"/>
              </w:rPr>
              <w:t>Iudici et al (2013)</w:t>
            </w:r>
          </w:p>
        </w:tc>
        <w:tc>
          <w:tcPr>
            <w:tcW w:w="4364" w:type="dxa"/>
            <w:shd w:val="clear" w:color="auto" w:fill="auto"/>
            <w:noWrap/>
            <w:vAlign w:val="center"/>
            <w:hideMark/>
          </w:tcPr>
          <w:p w14:paraId="31EE96C0" w14:textId="77777777" w:rsidR="00FA366A" w:rsidRPr="002C21B8" w:rsidRDefault="00FA366A" w:rsidP="00212D46">
            <w:pPr>
              <w:spacing w:after="0" w:line="240" w:lineRule="auto"/>
              <w:rPr>
                <w:sz w:val="20"/>
                <w:szCs w:val="20"/>
              </w:rPr>
            </w:pPr>
            <w:r w:rsidRPr="002C21B8">
              <w:rPr>
                <w:sz w:val="20"/>
                <w:szCs w:val="20"/>
              </w:rPr>
              <w:t>Glucocorticoids in systemic sclerosis</w:t>
            </w:r>
          </w:p>
        </w:tc>
        <w:tc>
          <w:tcPr>
            <w:tcW w:w="6705" w:type="dxa"/>
            <w:shd w:val="clear" w:color="auto" w:fill="auto"/>
            <w:noWrap/>
            <w:vAlign w:val="center"/>
            <w:hideMark/>
          </w:tcPr>
          <w:p w14:paraId="291A19EB" w14:textId="77777777" w:rsidR="00FA366A" w:rsidRPr="002C21B8" w:rsidRDefault="00FA366A" w:rsidP="00212D46">
            <w:pPr>
              <w:spacing w:after="0" w:line="240" w:lineRule="auto"/>
              <w:rPr>
                <w:sz w:val="20"/>
                <w:szCs w:val="20"/>
              </w:rPr>
            </w:pPr>
            <w:r w:rsidRPr="002C21B8">
              <w:rPr>
                <w:sz w:val="20"/>
                <w:szCs w:val="20"/>
              </w:rPr>
              <w:t>Results published in another journal</w:t>
            </w:r>
          </w:p>
        </w:tc>
      </w:tr>
      <w:tr w:rsidR="00FA366A" w:rsidRPr="002C21B8" w14:paraId="30536F62" w14:textId="77777777" w:rsidTr="00846482">
        <w:trPr>
          <w:trHeight w:val="106"/>
        </w:trPr>
        <w:tc>
          <w:tcPr>
            <w:tcW w:w="2818" w:type="dxa"/>
            <w:shd w:val="clear" w:color="auto" w:fill="auto"/>
            <w:noWrap/>
            <w:vAlign w:val="bottom"/>
            <w:hideMark/>
          </w:tcPr>
          <w:p w14:paraId="4E5CFECA" w14:textId="77777777" w:rsidR="00FA366A" w:rsidRPr="002C21B8" w:rsidRDefault="00FA366A" w:rsidP="00212D46">
            <w:pPr>
              <w:spacing w:after="0" w:line="240" w:lineRule="auto"/>
              <w:rPr>
                <w:sz w:val="20"/>
                <w:szCs w:val="20"/>
              </w:rPr>
            </w:pPr>
            <w:r w:rsidRPr="002C21B8">
              <w:rPr>
                <w:sz w:val="20"/>
                <w:szCs w:val="20"/>
              </w:rPr>
              <w:t>Jarrar et al (2021)</w:t>
            </w:r>
            <w:r w:rsidRPr="002C21B8">
              <w:rPr>
                <w:noProof/>
                <w:sz w:val="20"/>
                <w:szCs w:val="20"/>
              </w:rPr>
              <w:drawing>
                <wp:anchor distT="0" distB="0" distL="114300" distR="114300" simplePos="0" relativeHeight="251688960" behindDoc="0" locked="0" layoutInCell="1" allowOverlap="1" wp14:anchorId="0CA16A9D" wp14:editId="427D8EDA">
                  <wp:simplePos x="0" y="0"/>
                  <wp:positionH relativeFrom="column">
                    <wp:posOffset>812800</wp:posOffset>
                  </wp:positionH>
                  <wp:positionV relativeFrom="paragraph">
                    <wp:posOffset>203200</wp:posOffset>
                  </wp:positionV>
                  <wp:extent cx="215900" cy="165100"/>
                  <wp:effectExtent l="0" t="0" r="0" b="0"/>
                  <wp:wrapNone/>
                  <wp:docPr id="9" name="Rectangle 3">
                    <a:hlinkClick xmlns:a="http://schemas.openxmlformats.org/drawingml/2006/main" r:id="rId166" tgtFrame="_blank"/>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
                            <a:hlinkClick r:id="rId166" tgtFrame="_blank"/>
                          </pic:cNvPr>
                          <pic:cNvPicPr>
                            <a:picLocks/>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15900" cy="165100"/>
                          </a:xfrm>
                          <a:prstGeom prst="rect">
                            <a:avLst/>
                          </a:prstGeom>
                          <a:noFill/>
                        </pic:spPr>
                      </pic:pic>
                    </a:graphicData>
                  </a:graphic>
                  <wp14:sizeRelH relativeFrom="page">
                    <wp14:pctWidth>0</wp14:pctWidth>
                  </wp14:sizeRelH>
                  <wp14:sizeRelV relativeFrom="page">
                    <wp14:pctHeight>0</wp14:pctHeight>
                  </wp14:sizeRelV>
                </wp:anchor>
              </w:drawing>
            </w:r>
            <w:r w:rsidRPr="002C21B8">
              <w:rPr>
                <w:noProof/>
                <w:sz w:val="20"/>
                <w:szCs w:val="20"/>
              </w:rPr>
              <w:drawing>
                <wp:anchor distT="0" distB="0" distL="114300" distR="114300" simplePos="0" relativeHeight="251689984" behindDoc="0" locked="0" layoutInCell="1" allowOverlap="1" wp14:anchorId="061A05CA" wp14:editId="65DE2BAB">
                  <wp:simplePos x="0" y="0"/>
                  <wp:positionH relativeFrom="column">
                    <wp:posOffset>1016000</wp:posOffset>
                  </wp:positionH>
                  <wp:positionV relativeFrom="paragraph">
                    <wp:posOffset>203200</wp:posOffset>
                  </wp:positionV>
                  <wp:extent cx="254000" cy="203200"/>
                  <wp:effectExtent l="0" t="0" r="0" b="0"/>
                  <wp:wrapNone/>
                  <wp:docPr id="8" name="Rectangle 2">
                    <a:hlinkClick xmlns:a="http://schemas.openxmlformats.org/drawingml/2006/main" r:id="rId168" tgtFrame="_blank"/>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2">
                            <a:hlinkClick r:id="rId168" tgtFrame="_blank"/>
                          </pic:cNvPr>
                          <pic:cNvPicPr>
                            <a:picLocks/>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pic:spPr>
                      </pic:pic>
                    </a:graphicData>
                  </a:graphic>
                  <wp14:sizeRelH relativeFrom="page">
                    <wp14:pctWidth>0</wp14:pctWidth>
                  </wp14:sizeRelH>
                  <wp14:sizeRelV relativeFrom="page">
                    <wp14:pctHeight>0</wp14:pctHeight>
                  </wp14:sizeRelV>
                </wp:anchor>
              </w:drawing>
            </w:r>
          </w:p>
        </w:tc>
        <w:tc>
          <w:tcPr>
            <w:tcW w:w="4364" w:type="dxa"/>
            <w:shd w:val="clear" w:color="auto" w:fill="auto"/>
            <w:noWrap/>
            <w:vAlign w:val="center"/>
            <w:hideMark/>
          </w:tcPr>
          <w:p w14:paraId="60A76D9D" w14:textId="77777777" w:rsidR="00FA366A" w:rsidRPr="002C21B8" w:rsidRDefault="00FA366A" w:rsidP="00212D46">
            <w:pPr>
              <w:spacing w:after="0" w:line="240" w:lineRule="auto"/>
              <w:rPr>
                <w:sz w:val="20"/>
                <w:szCs w:val="20"/>
              </w:rPr>
            </w:pPr>
            <w:r w:rsidRPr="002C21B8">
              <w:rPr>
                <w:sz w:val="20"/>
                <w:szCs w:val="20"/>
              </w:rPr>
              <w:t>Factors influencing oral anticoagulant</w:t>
            </w:r>
          </w:p>
        </w:tc>
        <w:tc>
          <w:tcPr>
            <w:tcW w:w="6705" w:type="dxa"/>
            <w:shd w:val="clear" w:color="auto" w:fill="auto"/>
            <w:noWrap/>
            <w:vAlign w:val="center"/>
            <w:hideMark/>
          </w:tcPr>
          <w:p w14:paraId="1224FEE6" w14:textId="77777777" w:rsidR="00FA366A" w:rsidRPr="002C21B8" w:rsidRDefault="00FA366A" w:rsidP="00212D46">
            <w:pPr>
              <w:spacing w:after="0" w:line="240" w:lineRule="auto"/>
              <w:rPr>
                <w:sz w:val="20"/>
                <w:szCs w:val="20"/>
              </w:rPr>
            </w:pPr>
            <w:r w:rsidRPr="002C21B8">
              <w:rPr>
                <w:sz w:val="20"/>
                <w:szCs w:val="20"/>
              </w:rPr>
              <w:t>Conference abstract only</w:t>
            </w:r>
          </w:p>
        </w:tc>
      </w:tr>
      <w:tr w:rsidR="00FA366A" w:rsidRPr="002C21B8" w14:paraId="7A1B4C1C" w14:textId="77777777" w:rsidTr="00846482">
        <w:trPr>
          <w:trHeight w:val="320"/>
        </w:trPr>
        <w:tc>
          <w:tcPr>
            <w:tcW w:w="2818" w:type="dxa"/>
            <w:shd w:val="clear" w:color="auto" w:fill="auto"/>
            <w:noWrap/>
            <w:vAlign w:val="center"/>
            <w:hideMark/>
          </w:tcPr>
          <w:p w14:paraId="0BE4D46D" w14:textId="77777777" w:rsidR="00FA366A" w:rsidRPr="002C21B8" w:rsidRDefault="00FA366A" w:rsidP="00212D46">
            <w:pPr>
              <w:spacing w:after="0" w:line="240" w:lineRule="auto"/>
              <w:rPr>
                <w:sz w:val="20"/>
                <w:szCs w:val="20"/>
              </w:rPr>
            </w:pPr>
            <w:r w:rsidRPr="002C21B8">
              <w:rPr>
                <w:sz w:val="20"/>
                <w:szCs w:val="20"/>
              </w:rPr>
              <w:t>Jeyaruban et al (2015)</w:t>
            </w:r>
          </w:p>
        </w:tc>
        <w:tc>
          <w:tcPr>
            <w:tcW w:w="4364" w:type="dxa"/>
            <w:shd w:val="clear" w:color="auto" w:fill="auto"/>
            <w:noWrap/>
            <w:vAlign w:val="center"/>
            <w:hideMark/>
          </w:tcPr>
          <w:p w14:paraId="64B61A8F" w14:textId="77777777" w:rsidR="00FA366A" w:rsidRPr="002C21B8" w:rsidRDefault="00FA366A" w:rsidP="00212D46">
            <w:pPr>
              <w:spacing w:after="0" w:line="240" w:lineRule="auto"/>
              <w:rPr>
                <w:sz w:val="20"/>
                <w:szCs w:val="20"/>
              </w:rPr>
            </w:pPr>
            <w:r w:rsidRPr="002C21B8">
              <w:rPr>
                <w:sz w:val="20"/>
                <w:szCs w:val="20"/>
              </w:rPr>
              <w:t>Management of gout in</w:t>
            </w:r>
          </w:p>
        </w:tc>
        <w:tc>
          <w:tcPr>
            <w:tcW w:w="6705" w:type="dxa"/>
            <w:shd w:val="clear" w:color="auto" w:fill="auto"/>
            <w:noWrap/>
            <w:vAlign w:val="center"/>
            <w:hideMark/>
          </w:tcPr>
          <w:p w14:paraId="3925CC4C"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5AFDAE7" w14:textId="77777777" w:rsidTr="00846482">
        <w:trPr>
          <w:trHeight w:val="320"/>
        </w:trPr>
        <w:tc>
          <w:tcPr>
            <w:tcW w:w="2818" w:type="dxa"/>
            <w:shd w:val="clear" w:color="auto" w:fill="auto"/>
            <w:noWrap/>
            <w:vAlign w:val="center"/>
            <w:hideMark/>
          </w:tcPr>
          <w:p w14:paraId="0443B979" w14:textId="77777777" w:rsidR="00FA366A" w:rsidRPr="002C21B8" w:rsidRDefault="00FA366A" w:rsidP="00212D46">
            <w:pPr>
              <w:spacing w:after="0" w:line="240" w:lineRule="auto"/>
              <w:rPr>
                <w:sz w:val="20"/>
                <w:szCs w:val="20"/>
              </w:rPr>
            </w:pPr>
            <w:r w:rsidRPr="002C21B8">
              <w:rPr>
                <w:sz w:val="20"/>
                <w:szCs w:val="20"/>
              </w:rPr>
              <w:t>Kataoka et al (2020)</w:t>
            </w:r>
          </w:p>
        </w:tc>
        <w:tc>
          <w:tcPr>
            <w:tcW w:w="4364" w:type="dxa"/>
            <w:shd w:val="clear" w:color="auto" w:fill="auto"/>
            <w:noWrap/>
            <w:vAlign w:val="center"/>
            <w:hideMark/>
          </w:tcPr>
          <w:p w14:paraId="352F0EA1" w14:textId="77777777" w:rsidR="00FA366A" w:rsidRPr="002C21B8" w:rsidRDefault="00FA366A" w:rsidP="00212D46">
            <w:pPr>
              <w:spacing w:after="0" w:line="240" w:lineRule="auto"/>
              <w:rPr>
                <w:sz w:val="20"/>
                <w:szCs w:val="20"/>
              </w:rPr>
            </w:pPr>
            <w:r w:rsidRPr="002C21B8">
              <w:rPr>
                <w:sz w:val="20"/>
                <w:szCs w:val="20"/>
              </w:rPr>
              <w:t xml:space="preserve">Cumulative network-meta-analyses, practice </w:t>
            </w:r>
          </w:p>
        </w:tc>
        <w:tc>
          <w:tcPr>
            <w:tcW w:w="6705" w:type="dxa"/>
            <w:shd w:val="clear" w:color="auto" w:fill="auto"/>
            <w:noWrap/>
            <w:vAlign w:val="center"/>
            <w:hideMark/>
          </w:tcPr>
          <w:p w14:paraId="69510EC0"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621A45BC" w14:textId="77777777" w:rsidTr="00846482">
        <w:trPr>
          <w:trHeight w:val="320"/>
        </w:trPr>
        <w:tc>
          <w:tcPr>
            <w:tcW w:w="2818" w:type="dxa"/>
            <w:shd w:val="clear" w:color="auto" w:fill="auto"/>
            <w:noWrap/>
            <w:vAlign w:val="center"/>
            <w:hideMark/>
          </w:tcPr>
          <w:p w14:paraId="266DB320" w14:textId="77777777" w:rsidR="00FA366A" w:rsidRPr="002C21B8" w:rsidRDefault="00FA366A" w:rsidP="00212D46">
            <w:pPr>
              <w:spacing w:after="0" w:line="240" w:lineRule="auto"/>
              <w:rPr>
                <w:sz w:val="20"/>
                <w:szCs w:val="20"/>
              </w:rPr>
            </w:pPr>
            <w:r w:rsidRPr="002C21B8">
              <w:rPr>
                <w:sz w:val="20"/>
                <w:szCs w:val="20"/>
              </w:rPr>
              <w:t>Kaushik et al (2020)</w:t>
            </w:r>
          </w:p>
        </w:tc>
        <w:tc>
          <w:tcPr>
            <w:tcW w:w="4364" w:type="dxa"/>
            <w:shd w:val="clear" w:color="auto" w:fill="auto"/>
            <w:noWrap/>
            <w:vAlign w:val="center"/>
            <w:hideMark/>
          </w:tcPr>
          <w:p w14:paraId="597D98FB" w14:textId="77777777" w:rsidR="00FA366A" w:rsidRPr="002C21B8" w:rsidRDefault="00FA366A" w:rsidP="00212D46">
            <w:pPr>
              <w:spacing w:after="0" w:line="240" w:lineRule="auto"/>
              <w:rPr>
                <w:sz w:val="20"/>
                <w:szCs w:val="20"/>
              </w:rPr>
            </w:pPr>
            <w:r w:rsidRPr="002C21B8">
              <w:rPr>
                <w:sz w:val="20"/>
                <w:szCs w:val="20"/>
              </w:rPr>
              <w:t>Challenges in insulin initiation</w:t>
            </w:r>
          </w:p>
        </w:tc>
        <w:tc>
          <w:tcPr>
            <w:tcW w:w="6705" w:type="dxa"/>
            <w:shd w:val="clear" w:color="auto" w:fill="auto"/>
            <w:noWrap/>
            <w:vAlign w:val="center"/>
            <w:hideMark/>
          </w:tcPr>
          <w:p w14:paraId="4262C487"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71F967B5" w14:textId="77777777" w:rsidTr="00846482">
        <w:trPr>
          <w:trHeight w:val="320"/>
        </w:trPr>
        <w:tc>
          <w:tcPr>
            <w:tcW w:w="2818" w:type="dxa"/>
            <w:shd w:val="clear" w:color="auto" w:fill="auto"/>
            <w:noWrap/>
            <w:vAlign w:val="center"/>
            <w:hideMark/>
          </w:tcPr>
          <w:p w14:paraId="24F21D35" w14:textId="77777777" w:rsidR="00FA366A" w:rsidRPr="002C21B8" w:rsidRDefault="00FA366A" w:rsidP="00212D46">
            <w:pPr>
              <w:spacing w:after="0" w:line="240" w:lineRule="auto"/>
              <w:rPr>
                <w:sz w:val="20"/>
                <w:szCs w:val="20"/>
              </w:rPr>
            </w:pPr>
            <w:r w:rsidRPr="002C21B8">
              <w:rPr>
                <w:sz w:val="20"/>
                <w:szCs w:val="20"/>
              </w:rPr>
              <w:t>Lam et al (2022)</w:t>
            </w:r>
          </w:p>
        </w:tc>
        <w:tc>
          <w:tcPr>
            <w:tcW w:w="4364" w:type="dxa"/>
            <w:shd w:val="clear" w:color="auto" w:fill="auto"/>
            <w:noWrap/>
            <w:vAlign w:val="center"/>
            <w:hideMark/>
          </w:tcPr>
          <w:p w14:paraId="775740E9" w14:textId="77777777" w:rsidR="00FA366A" w:rsidRPr="002C21B8" w:rsidRDefault="00FA366A" w:rsidP="00212D46">
            <w:pPr>
              <w:spacing w:after="0" w:line="240" w:lineRule="auto"/>
              <w:rPr>
                <w:sz w:val="20"/>
                <w:szCs w:val="20"/>
              </w:rPr>
            </w:pPr>
            <w:r w:rsidRPr="002C21B8">
              <w:rPr>
                <w:sz w:val="20"/>
                <w:szCs w:val="20"/>
              </w:rPr>
              <w:t>Prescribing behavior of antidepressants</w:t>
            </w:r>
          </w:p>
        </w:tc>
        <w:tc>
          <w:tcPr>
            <w:tcW w:w="6705" w:type="dxa"/>
            <w:shd w:val="clear" w:color="auto" w:fill="auto"/>
            <w:noWrap/>
            <w:vAlign w:val="center"/>
            <w:hideMark/>
          </w:tcPr>
          <w:p w14:paraId="69620F7F" w14:textId="77777777" w:rsidR="00FA366A" w:rsidRPr="002C21B8" w:rsidRDefault="00FA366A" w:rsidP="00212D46">
            <w:pPr>
              <w:spacing w:after="0" w:line="240" w:lineRule="auto"/>
              <w:rPr>
                <w:sz w:val="20"/>
                <w:szCs w:val="20"/>
              </w:rPr>
            </w:pPr>
            <w:r w:rsidRPr="002C21B8">
              <w:rPr>
                <w:sz w:val="20"/>
                <w:szCs w:val="20"/>
              </w:rPr>
              <w:t>Not specific to chronic physical health conditions</w:t>
            </w:r>
          </w:p>
        </w:tc>
      </w:tr>
      <w:tr w:rsidR="00FA366A" w:rsidRPr="002C21B8" w14:paraId="0365970D" w14:textId="77777777" w:rsidTr="00846482">
        <w:trPr>
          <w:trHeight w:val="320"/>
        </w:trPr>
        <w:tc>
          <w:tcPr>
            <w:tcW w:w="2818" w:type="dxa"/>
            <w:shd w:val="clear" w:color="auto" w:fill="auto"/>
            <w:noWrap/>
            <w:vAlign w:val="center"/>
            <w:hideMark/>
          </w:tcPr>
          <w:p w14:paraId="080C6C2A" w14:textId="77777777" w:rsidR="00FA366A" w:rsidRPr="002C21B8" w:rsidRDefault="00FA366A" w:rsidP="00212D46">
            <w:pPr>
              <w:spacing w:after="0" w:line="240" w:lineRule="auto"/>
              <w:rPr>
                <w:sz w:val="20"/>
                <w:szCs w:val="20"/>
              </w:rPr>
            </w:pPr>
            <w:r w:rsidRPr="002C21B8">
              <w:rPr>
                <w:sz w:val="20"/>
                <w:szCs w:val="20"/>
              </w:rPr>
              <w:t>Lotfi et al (2016)</w:t>
            </w:r>
          </w:p>
        </w:tc>
        <w:tc>
          <w:tcPr>
            <w:tcW w:w="4364" w:type="dxa"/>
            <w:shd w:val="clear" w:color="auto" w:fill="auto"/>
            <w:noWrap/>
            <w:vAlign w:val="center"/>
            <w:hideMark/>
          </w:tcPr>
          <w:p w14:paraId="5F9E3FD4" w14:textId="77777777" w:rsidR="00FA366A" w:rsidRPr="002C21B8" w:rsidRDefault="00FA366A" w:rsidP="00212D46">
            <w:pPr>
              <w:spacing w:after="0" w:line="240" w:lineRule="auto"/>
              <w:rPr>
                <w:sz w:val="20"/>
                <w:szCs w:val="20"/>
              </w:rPr>
            </w:pPr>
            <w:r w:rsidRPr="002C21B8">
              <w:rPr>
                <w:sz w:val="20"/>
                <w:szCs w:val="20"/>
              </w:rPr>
              <w:t>Knowledge, beliefs and attitudes</w:t>
            </w:r>
          </w:p>
        </w:tc>
        <w:tc>
          <w:tcPr>
            <w:tcW w:w="6705" w:type="dxa"/>
            <w:shd w:val="clear" w:color="auto" w:fill="auto"/>
            <w:noWrap/>
            <w:vAlign w:val="center"/>
            <w:hideMark/>
          </w:tcPr>
          <w:p w14:paraId="5503872C" w14:textId="77777777" w:rsidR="00FA366A" w:rsidRPr="002C21B8" w:rsidRDefault="00FA366A" w:rsidP="00212D46">
            <w:pPr>
              <w:spacing w:after="0" w:line="240" w:lineRule="auto"/>
              <w:rPr>
                <w:sz w:val="20"/>
                <w:szCs w:val="20"/>
              </w:rPr>
            </w:pPr>
            <w:r w:rsidRPr="002C21B8">
              <w:rPr>
                <w:sz w:val="20"/>
                <w:szCs w:val="20"/>
              </w:rPr>
              <w:t>Not specific to chronic physical health conditions</w:t>
            </w:r>
          </w:p>
        </w:tc>
      </w:tr>
      <w:tr w:rsidR="00FA366A" w:rsidRPr="002C21B8" w14:paraId="17316F0E" w14:textId="77777777" w:rsidTr="00846482">
        <w:trPr>
          <w:trHeight w:val="320"/>
        </w:trPr>
        <w:tc>
          <w:tcPr>
            <w:tcW w:w="2818" w:type="dxa"/>
            <w:shd w:val="clear" w:color="auto" w:fill="auto"/>
            <w:noWrap/>
            <w:vAlign w:val="center"/>
            <w:hideMark/>
          </w:tcPr>
          <w:p w14:paraId="6B608F0F" w14:textId="77777777" w:rsidR="00FA366A" w:rsidRPr="002C21B8" w:rsidRDefault="00FA366A" w:rsidP="00212D46">
            <w:pPr>
              <w:spacing w:after="0" w:line="240" w:lineRule="auto"/>
              <w:rPr>
                <w:sz w:val="20"/>
                <w:szCs w:val="20"/>
              </w:rPr>
            </w:pPr>
            <w:r w:rsidRPr="002C21B8">
              <w:rPr>
                <w:sz w:val="20"/>
                <w:szCs w:val="20"/>
              </w:rPr>
              <w:t>Lundby et al (2019)</w:t>
            </w:r>
          </w:p>
        </w:tc>
        <w:tc>
          <w:tcPr>
            <w:tcW w:w="4364" w:type="dxa"/>
            <w:shd w:val="clear" w:color="auto" w:fill="auto"/>
            <w:noWrap/>
            <w:vAlign w:val="center"/>
            <w:hideMark/>
          </w:tcPr>
          <w:p w14:paraId="725D1B45" w14:textId="77777777" w:rsidR="00FA366A" w:rsidRPr="002C21B8" w:rsidRDefault="00FA366A" w:rsidP="00212D46">
            <w:pPr>
              <w:spacing w:after="0" w:line="240" w:lineRule="auto"/>
              <w:rPr>
                <w:sz w:val="20"/>
                <w:szCs w:val="20"/>
              </w:rPr>
            </w:pPr>
            <w:r w:rsidRPr="002C21B8">
              <w:rPr>
                <w:sz w:val="20"/>
                <w:szCs w:val="20"/>
              </w:rPr>
              <w:t>Health care professionals' attitudes</w:t>
            </w:r>
          </w:p>
        </w:tc>
        <w:tc>
          <w:tcPr>
            <w:tcW w:w="6705" w:type="dxa"/>
            <w:shd w:val="clear" w:color="auto" w:fill="auto"/>
            <w:noWrap/>
            <w:vAlign w:val="center"/>
            <w:hideMark/>
          </w:tcPr>
          <w:p w14:paraId="78EC2AC3"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r w:rsidR="00FA366A" w:rsidRPr="002C21B8" w14:paraId="45E0E4D7" w14:textId="77777777" w:rsidTr="00846482">
        <w:trPr>
          <w:trHeight w:val="320"/>
        </w:trPr>
        <w:tc>
          <w:tcPr>
            <w:tcW w:w="2818" w:type="dxa"/>
            <w:shd w:val="clear" w:color="auto" w:fill="auto"/>
            <w:noWrap/>
            <w:vAlign w:val="center"/>
            <w:hideMark/>
          </w:tcPr>
          <w:p w14:paraId="5E7E3B6F" w14:textId="77777777" w:rsidR="00FA366A" w:rsidRPr="002C21B8" w:rsidRDefault="00FA366A" w:rsidP="00212D46">
            <w:pPr>
              <w:spacing w:after="0" w:line="240" w:lineRule="auto"/>
              <w:rPr>
                <w:sz w:val="20"/>
                <w:szCs w:val="20"/>
              </w:rPr>
            </w:pPr>
            <w:r w:rsidRPr="002C21B8">
              <w:rPr>
                <w:sz w:val="20"/>
                <w:szCs w:val="20"/>
              </w:rPr>
              <w:t>Malik et al (2019)</w:t>
            </w:r>
          </w:p>
        </w:tc>
        <w:tc>
          <w:tcPr>
            <w:tcW w:w="4364" w:type="dxa"/>
            <w:shd w:val="clear" w:color="auto" w:fill="auto"/>
            <w:noWrap/>
            <w:vAlign w:val="center"/>
            <w:hideMark/>
          </w:tcPr>
          <w:p w14:paraId="2BBAF8E0" w14:textId="77777777" w:rsidR="00FA366A" w:rsidRPr="002C21B8" w:rsidRDefault="00FA366A" w:rsidP="00212D46">
            <w:pPr>
              <w:spacing w:after="0" w:line="240" w:lineRule="auto"/>
              <w:rPr>
                <w:sz w:val="20"/>
                <w:szCs w:val="20"/>
              </w:rPr>
            </w:pPr>
            <w:r w:rsidRPr="002C21B8">
              <w:rPr>
                <w:sz w:val="20"/>
                <w:szCs w:val="20"/>
              </w:rPr>
              <w:t>Meta-analysis of direct-acting</w:t>
            </w:r>
          </w:p>
        </w:tc>
        <w:tc>
          <w:tcPr>
            <w:tcW w:w="6705" w:type="dxa"/>
            <w:shd w:val="clear" w:color="auto" w:fill="auto"/>
            <w:noWrap/>
            <w:vAlign w:val="center"/>
            <w:hideMark/>
          </w:tcPr>
          <w:p w14:paraId="3EEA8443" w14:textId="77777777" w:rsidR="00FA366A" w:rsidRPr="002C21B8" w:rsidRDefault="00FA366A" w:rsidP="00212D46">
            <w:pPr>
              <w:spacing w:after="0" w:line="240" w:lineRule="auto"/>
              <w:rPr>
                <w:sz w:val="20"/>
                <w:szCs w:val="20"/>
              </w:rPr>
            </w:pPr>
            <w:r w:rsidRPr="002C21B8">
              <w:rPr>
                <w:sz w:val="20"/>
                <w:szCs w:val="20"/>
              </w:rPr>
              <w:t>Not healthcare professional decision-making about medication initiation</w:t>
            </w:r>
          </w:p>
        </w:tc>
      </w:tr>
    </w:tbl>
    <w:p w14:paraId="28142FE4" w14:textId="77777777" w:rsidR="00212D46" w:rsidRPr="002C21B8" w:rsidRDefault="00212D46" w:rsidP="00F059B4">
      <w:pPr>
        <w:pStyle w:val="Caption"/>
        <w:rPr>
          <w:noProof w:val="0"/>
        </w:rPr>
      </w:pPr>
    </w:p>
    <w:p w14:paraId="38248AC9" w14:textId="77777777" w:rsidR="00212D46" w:rsidRPr="002C21B8" w:rsidRDefault="00212D46">
      <w:pPr>
        <w:spacing w:after="0" w:line="240" w:lineRule="auto"/>
        <w:jc w:val="left"/>
        <w:rPr>
          <w:i/>
          <w:iCs/>
          <w:color w:val="A5A5A5" w:themeColor="accent3"/>
          <w:sz w:val="18"/>
          <w:szCs w:val="18"/>
        </w:rPr>
      </w:pPr>
      <w:r w:rsidRPr="002C21B8">
        <w:br w:type="page"/>
      </w:r>
    </w:p>
    <w:p w14:paraId="2714277D" w14:textId="7282A4CB" w:rsidR="00950CA8" w:rsidRPr="002C21B8" w:rsidRDefault="008B554F" w:rsidP="00BF6367">
      <w:pPr>
        <w:pStyle w:val="Heading3"/>
        <w:keepNext w:val="0"/>
        <w:keepLines w:val="0"/>
        <w:numPr>
          <w:ilvl w:val="0"/>
          <w:numId w:val="0"/>
        </w:numPr>
      </w:pPr>
      <w:bookmarkStart w:id="443" w:name="_AMSTAR2_quality_assessment"/>
      <w:bookmarkEnd w:id="443"/>
      <w:r>
        <w:rPr>
          <w:noProof/>
          <w14:ligatures w14:val="standardContextual"/>
        </w:rPr>
        <w:object w:dxaOrig="1440" w:dyaOrig="1440" w14:anchorId="7BEADF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pt;margin-top:28.35pt;width:692.35pt;height:293.6pt;z-index:252062720;mso-wrap-edited:f;mso-width-percent:0;mso-height-percent:0;mso-position-horizontal-relative:text;mso-position-vertical-relative:text;mso-width-percent:0;mso-height-percent:0">
            <v:imagedata r:id="rId170" o:title=""/>
          </v:shape>
          <o:OLEObject Type="Embed" ProgID="Excel.Sheet.12" ShapeID="_x0000_s2050" DrawAspect="Content" ObjectID="_1848222295" r:id="rId171"/>
        </w:object>
      </w:r>
      <w:r w:rsidR="00950CA8" w:rsidRPr="002C21B8">
        <w:t>AMSTAR2 quality assessment</w:t>
      </w:r>
    </w:p>
    <w:p w14:paraId="2FC62684" w14:textId="54E8654A" w:rsidR="00FA366A" w:rsidRPr="002C21B8" w:rsidRDefault="00FA366A" w:rsidP="00BF6367"/>
    <w:p w14:paraId="160C0AC8" w14:textId="5910029D" w:rsidR="00FA366A" w:rsidRPr="002C21B8" w:rsidRDefault="00FA366A" w:rsidP="00BF6367"/>
    <w:p w14:paraId="76E93A56" w14:textId="12B93240" w:rsidR="00FA366A" w:rsidRDefault="00FA366A" w:rsidP="00BF6367"/>
    <w:p w14:paraId="1402006F" w14:textId="77777777" w:rsidR="00E925DC" w:rsidRDefault="00E925DC" w:rsidP="00BF6367"/>
    <w:p w14:paraId="2BD645FA" w14:textId="77777777" w:rsidR="00E925DC" w:rsidRDefault="00E925DC" w:rsidP="00BF6367"/>
    <w:p w14:paraId="0B4C6424" w14:textId="77777777" w:rsidR="00E925DC" w:rsidRDefault="00E925DC" w:rsidP="00BF6367"/>
    <w:p w14:paraId="7F6428A7" w14:textId="77777777" w:rsidR="00E925DC" w:rsidRDefault="00E925DC" w:rsidP="00BF6367"/>
    <w:p w14:paraId="1142515E" w14:textId="77777777" w:rsidR="00E925DC" w:rsidRDefault="00E925DC" w:rsidP="00BF6367"/>
    <w:p w14:paraId="613DD6A8" w14:textId="77777777" w:rsidR="00E925DC" w:rsidRDefault="00E925DC" w:rsidP="00BF6367"/>
    <w:p w14:paraId="47F1AABC" w14:textId="77777777" w:rsidR="00E925DC" w:rsidRPr="002C21B8" w:rsidRDefault="00E925DC" w:rsidP="00BF6367"/>
    <w:p w14:paraId="6C6FED6D" w14:textId="1DDFD813" w:rsidR="00FA366A" w:rsidRPr="002C21B8" w:rsidRDefault="00FA366A" w:rsidP="00BF6367"/>
    <w:p w14:paraId="64912B27" w14:textId="77777777" w:rsidR="00FA366A" w:rsidRPr="002C21B8" w:rsidRDefault="00FA366A" w:rsidP="00BF6367">
      <w:pPr>
        <w:sectPr w:rsidR="00FA366A" w:rsidRPr="002C21B8" w:rsidSect="0009672F">
          <w:type w:val="continuous"/>
          <w:pgSz w:w="16838" w:h="11906" w:orient="landscape"/>
          <w:pgMar w:top="1440" w:right="1440" w:bottom="1440" w:left="1440" w:header="708" w:footer="708" w:gutter="0"/>
          <w:cols w:space="708"/>
          <w:docGrid w:linePitch="360"/>
        </w:sectPr>
      </w:pPr>
    </w:p>
    <w:p w14:paraId="277DDAFB" w14:textId="77777777" w:rsidR="00E925DC" w:rsidRDefault="00E925DC" w:rsidP="00BF6367">
      <w:pPr>
        <w:pStyle w:val="Heading3"/>
        <w:keepNext w:val="0"/>
        <w:keepLines w:val="0"/>
        <w:numPr>
          <w:ilvl w:val="0"/>
          <w:numId w:val="0"/>
        </w:numPr>
        <w:spacing w:line="240" w:lineRule="auto"/>
      </w:pPr>
    </w:p>
    <w:p w14:paraId="06A7B837" w14:textId="77777777" w:rsidR="00E925DC" w:rsidRDefault="00E925DC" w:rsidP="00BF6367">
      <w:pPr>
        <w:pStyle w:val="Heading3"/>
        <w:keepNext w:val="0"/>
        <w:keepLines w:val="0"/>
        <w:numPr>
          <w:ilvl w:val="0"/>
          <w:numId w:val="0"/>
        </w:numPr>
        <w:spacing w:line="240" w:lineRule="auto"/>
      </w:pPr>
    </w:p>
    <w:p w14:paraId="50AAD911" w14:textId="224686A2" w:rsidR="006A47F9" w:rsidRPr="002C21B8" w:rsidRDefault="003801FF" w:rsidP="00BF6367">
      <w:pPr>
        <w:pStyle w:val="Heading3"/>
        <w:keepNext w:val="0"/>
        <w:keepLines w:val="0"/>
        <w:numPr>
          <w:ilvl w:val="0"/>
          <w:numId w:val="0"/>
        </w:numPr>
        <w:spacing w:line="240" w:lineRule="auto"/>
      </w:pPr>
      <w:r w:rsidRPr="002C21B8">
        <w:t>Risk of bias assessment tool for systematic reviews (ROBIS)</w:t>
      </w:r>
    </w:p>
    <w:p w14:paraId="5C5465DF" w14:textId="17AB1B22" w:rsidR="003801FF" w:rsidRDefault="002F652D" w:rsidP="00BF6367">
      <w:pPr>
        <w:spacing w:before="240" w:line="240" w:lineRule="auto"/>
        <w:rPr>
          <w:b/>
          <w:bCs/>
          <w:sz w:val="28"/>
          <w:szCs w:val="28"/>
        </w:rPr>
      </w:pPr>
      <w:r w:rsidRPr="002C21B8">
        <w:rPr>
          <w:b/>
          <w:bCs/>
          <w:noProof/>
          <w:sz w:val="28"/>
          <w:szCs w:val="28"/>
        </w:rPr>
        <w:drawing>
          <wp:inline distT="0" distB="0" distL="0" distR="0" wp14:anchorId="1A3CA82B" wp14:editId="152B42CB">
            <wp:extent cx="8863330" cy="3764280"/>
            <wp:effectExtent l="0" t="0" r="1270" b="0"/>
            <wp:docPr id="1621639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39823" name=""/>
                    <pic:cNvPicPr/>
                  </pic:nvPicPr>
                  <pic:blipFill>
                    <a:blip r:embed="rId172"/>
                    <a:stretch>
                      <a:fillRect/>
                    </a:stretch>
                  </pic:blipFill>
                  <pic:spPr>
                    <a:xfrm>
                      <a:off x="0" y="0"/>
                      <a:ext cx="8863330" cy="3764280"/>
                    </a:xfrm>
                    <a:prstGeom prst="rect">
                      <a:avLst/>
                    </a:prstGeom>
                  </pic:spPr>
                </pic:pic>
              </a:graphicData>
            </a:graphic>
          </wp:inline>
        </w:drawing>
      </w:r>
    </w:p>
    <w:p w14:paraId="4D62B548" w14:textId="77777777" w:rsidR="00E925DC" w:rsidRPr="002C21B8" w:rsidRDefault="00E925DC" w:rsidP="00BF6367">
      <w:pPr>
        <w:spacing w:before="240" w:line="240" w:lineRule="auto"/>
        <w:rPr>
          <w:b/>
          <w:bCs/>
          <w:sz w:val="28"/>
          <w:szCs w:val="28"/>
        </w:rPr>
      </w:pPr>
    </w:p>
    <w:p w14:paraId="57B7961E" w14:textId="4D1A0B6B" w:rsidR="003801FF" w:rsidRPr="002C21B8" w:rsidRDefault="003801FF" w:rsidP="00BF6367">
      <w:pPr>
        <w:pStyle w:val="NormalWeb"/>
      </w:pPr>
    </w:p>
    <w:p w14:paraId="3906F2E9" w14:textId="47DEC075" w:rsidR="003801FF" w:rsidRPr="002C21B8" w:rsidRDefault="003801FF" w:rsidP="00BF6367">
      <w:pPr>
        <w:pStyle w:val="NormalWeb"/>
        <w:sectPr w:rsidR="003801FF" w:rsidRPr="002C21B8" w:rsidSect="0009672F">
          <w:headerReference w:type="default" r:id="rId173"/>
          <w:type w:val="continuous"/>
          <w:pgSz w:w="16838" w:h="11906" w:orient="landscape"/>
          <w:pgMar w:top="1440" w:right="1440" w:bottom="1440" w:left="1440" w:header="708" w:footer="708" w:gutter="0"/>
          <w:cols w:space="708"/>
          <w:docGrid w:linePitch="360"/>
        </w:sectPr>
      </w:pPr>
    </w:p>
    <w:p w14:paraId="2FB679F8" w14:textId="07B50CDE" w:rsidR="00FA366A" w:rsidRPr="002C21B8" w:rsidRDefault="00FA366A" w:rsidP="00581663">
      <w:pPr>
        <w:pStyle w:val="Heading2"/>
        <w:numPr>
          <w:ilvl w:val="0"/>
          <w:numId w:val="0"/>
        </w:numPr>
      </w:pPr>
      <w:bookmarkStart w:id="444" w:name="_Appendix_5._Additional"/>
      <w:bookmarkStart w:id="445" w:name="_Toc229687257"/>
      <w:bookmarkEnd w:id="444"/>
      <w:r w:rsidRPr="002C21B8">
        <w:t xml:space="preserve">Appendix 5. </w:t>
      </w:r>
      <w:r w:rsidR="007532B9" w:rsidRPr="002C21B8">
        <w:t>Additional detail</w:t>
      </w:r>
      <w:r w:rsidR="00FD15D8" w:rsidRPr="002C21B8">
        <w:t>s</w:t>
      </w:r>
      <w:r w:rsidR="007532B9" w:rsidRPr="002C21B8">
        <w:t xml:space="preserve"> </w:t>
      </w:r>
      <w:r w:rsidR="00725EDE" w:rsidRPr="002C21B8">
        <w:t xml:space="preserve">on </w:t>
      </w:r>
      <w:r w:rsidR="001821E0" w:rsidRPr="002C21B8">
        <w:t xml:space="preserve">the </w:t>
      </w:r>
      <w:r w:rsidR="00725EDE" w:rsidRPr="002C21B8">
        <w:t xml:space="preserve">methods </w:t>
      </w:r>
      <w:r w:rsidRPr="002C21B8">
        <w:t xml:space="preserve">for </w:t>
      </w:r>
      <w:r w:rsidR="002C414E" w:rsidRPr="002C21B8">
        <w:t xml:space="preserve">the </w:t>
      </w:r>
      <w:r w:rsidR="006207E0" w:rsidRPr="002C21B8">
        <w:t xml:space="preserve">analysis of </w:t>
      </w:r>
      <w:r w:rsidR="004F0C86" w:rsidRPr="002C21B8">
        <w:t>registry</w:t>
      </w:r>
      <w:r w:rsidR="00F77BAA" w:rsidRPr="002C21B8">
        <w:t xml:space="preserve"> data </w:t>
      </w:r>
      <w:r w:rsidR="006207E0" w:rsidRPr="002C21B8">
        <w:t>(</w:t>
      </w:r>
      <w:r w:rsidR="002C414E" w:rsidRPr="002C21B8">
        <w:t xml:space="preserve">Phase </w:t>
      </w:r>
      <w:r w:rsidR="00EE185E" w:rsidRPr="002C21B8">
        <w:t>2</w:t>
      </w:r>
      <w:r w:rsidR="002C414E" w:rsidRPr="002C21B8">
        <w:t>)</w:t>
      </w:r>
      <w:bookmarkEnd w:id="445"/>
    </w:p>
    <w:p w14:paraId="22DB7AC5" w14:textId="7DB474B7" w:rsidR="00FD15D8" w:rsidRPr="002C21B8" w:rsidRDefault="00FD15D8" w:rsidP="00FD15D8">
      <w:r w:rsidRPr="002C21B8">
        <w:t>Within this appendix</w:t>
      </w:r>
      <w:r w:rsidR="001B321B" w:rsidRPr="002C21B8">
        <w:t>,</w:t>
      </w:r>
      <w:r w:rsidRPr="002C21B8">
        <w:t xml:space="preserve"> the following additional details on the methods used for the analysis of </w:t>
      </w:r>
      <w:r w:rsidR="004F0C86" w:rsidRPr="002C21B8">
        <w:t xml:space="preserve">registry </w:t>
      </w:r>
      <w:r w:rsidRPr="002C21B8">
        <w:t>data (Chapter 5) are included:</w:t>
      </w:r>
    </w:p>
    <w:p w14:paraId="59018D24" w14:textId="1224F3E7" w:rsidR="00FD15D8" w:rsidRPr="002C21B8" w:rsidRDefault="00D469A1" w:rsidP="00A97F07">
      <w:pPr>
        <w:pStyle w:val="ListParagraph"/>
        <w:numPr>
          <w:ilvl w:val="0"/>
          <w:numId w:val="52"/>
        </w:numPr>
      </w:pPr>
      <w:r w:rsidRPr="002C21B8">
        <w:t>Data source</w:t>
      </w:r>
    </w:p>
    <w:p w14:paraId="31CD284B" w14:textId="77777777" w:rsidR="00CF7513" w:rsidRPr="002C21B8" w:rsidRDefault="00CF7513" w:rsidP="00A97F07">
      <w:pPr>
        <w:pStyle w:val="ListParagraph"/>
        <w:numPr>
          <w:ilvl w:val="0"/>
          <w:numId w:val="52"/>
        </w:numPr>
      </w:pPr>
      <w:r w:rsidRPr="002C21B8">
        <w:t>Sampling strategy</w:t>
      </w:r>
    </w:p>
    <w:p w14:paraId="617B2723" w14:textId="378C4021" w:rsidR="00FD15D8" w:rsidRPr="002C21B8" w:rsidRDefault="00FD15D8" w:rsidP="00A97F07">
      <w:pPr>
        <w:pStyle w:val="ListParagraph"/>
        <w:numPr>
          <w:ilvl w:val="0"/>
          <w:numId w:val="52"/>
        </w:numPr>
      </w:pPr>
      <w:r w:rsidRPr="002C21B8">
        <w:t>Data processing</w:t>
      </w:r>
    </w:p>
    <w:p w14:paraId="1696B848" w14:textId="5346FDCC" w:rsidR="00FD15D8" w:rsidRPr="002C21B8" w:rsidRDefault="00FD15D8" w:rsidP="00A97F07">
      <w:pPr>
        <w:pStyle w:val="ListParagraph"/>
        <w:numPr>
          <w:ilvl w:val="0"/>
          <w:numId w:val="52"/>
        </w:numPr>
      </w:pPr>
      <w:r w:rsidRPr="002C21B8">
        <w:t xml:space="preserve">Outcomes </w:t>
      </w:r>
      <w:r w:rsidR="00D85789" w:rsidRPr="002C21B8">
        <w:t>and measures</w:t>
      </w:r>
    </w:p>
    <w:p w14:paraId="6F1E12F3" w14:textId="47B88E9B" w:rsidR="00FD15D8" w:rsidRPr="002C21B8" w:rsidRDefault="00D85789" w:rsidP="00A97F07">
      <w:pPr>
        <w:pStyle w:val="ListParagraph"/>
        <w:numPr>
          <w:ilvl w:val="0"/>
          <w:numId w:val="52"/>
        </w:numPr>
      </w:pPr>
      <w:r w:rsidRPr="002C21B8">
        <w:t>Predictive modelling and analysis</w:t>
      </w:r>
    </w:p>
    <w:p w14:paraId="0CAF741B" w14:textId="45572D11" w:rsidR="006A12EF" w:rsidRPr="002C21B8" w:rsidRDefault="006A12EF" w:rsidP="00A97F07">
      <w:pPr>
        <w:pStyle w:val="ListParagraph"/>
        <w:numPr>
          <w:ilvl w:val="0"/>
          <w:numId w:val="52"/>
        </w:numPr>
      </w:pPr>
      <w:r w:rsidRPr="002C21B8">
        <w:t xml:space="preserve">Health and </w:t>
      </w:r>
      <w:r w:rsidR="00D85789" w:rsidRPr="002C21B8">
        <w:t xml:space="preserve">economic </w:t>
      </w:r>
      <w:r w:rsidRPr="002C21B8">
        <w:t>implications</w:t>
      </w:r>
    </w:p>
    <w:p w14:paraId="11BA6319" w14:textId="0B041117" w:rsidR="00CF7652" w:rsidRPr="002C21B8" w:rsidRDefault="007464BC" w:rsidP="00A97F07">
      <w:pPr>
        <w:pStyle w:val="ListParagraph"/>
        <w:numPr>
          <w:ilvl w:val="0"/>
          <w:numId w:val="52"/>
        </w:numPr>
      </w:pPr>
      <w:r w:rsidRPr="002C21B8">
        <w:t xml:space="preserve">Reanalysis of </w:t>
      </w:r>
      <w:r w:rsidR="00CF7513" w:rsidRPr="002C21B8">
        <w:t>registry</w:t>
      </w:r>
      <w:r w:rsidRPr="002C21B8">
        <w:t xml:space="preserve"> data</w:t>
      </w:r>
    </w:p>
    <w:p w14:paraId="2F5FCF6C" w14:textId="75E2160D" w:rsidR="00D84387" w:rsidRPr="002C21B8" w:rsidRDefault="00D84387" w:rsidP="00A97F07">
      <w:pPr>
        <w:pStyle w:val="ListParagraph"/>
        <w:numPr>
          <w:ilvl w:val="0"/>
          <w:numId w:val="52"/>
        </w:numPr>
      </w:pPr>
      <w:r w:rsidRPr="002C21B8">
        <w:t>RaDaR full analysis application form and statistical analysis plan</w:t>
      </w:r>
    </w:p>
    <w:p w14:paraId="465CDB72" w14:textId="0D946A30" w:rsidR="00D469A1" w:rsidRPr="002C21B8" w:rsidRDefault="00D469A1" w:rsidP="004507C8">
      <w:pPr>
        <w:pStyle w:val="Heading3"/>
        <w:numPr>
          <w:ilvl w:val="0"/>
          <w:numId w:val="0"/>
        </w:numPr>
      </w:pPr>
      <w:r w:rsidRPr="002C21B8">
        <w:t>Data source</w:t>
      </w:r>
    </w:p>
    <w:p w14:paraId="044662C1" w14:textId="0D77C212" w:rsidR="00BE455E" w:rsidRPr="002C21B8" w:rsidRDefault="00BE455E" w:rsidP="00D22BF0">
      <w:pPr>
        <w:spacing w:after="0"/>
        <w:rPr>
          <w:b/>
          <w:bCs/>
          <w:sz w:val="24"/>
          <w:szCs w:val="24"/>
        </w:rPr>
      </w:pPr>
      <w:r w:rsidRPr="002C21B8">
        <w:rPr>
          <w:b/>
          <w:bCs/>
          <w:sz w:val="24"/>
          <w:szCs w:val="24"/>
        </w:rPr>
        <w:t>The RaDaR dataset</w:t>
      </w:r>
    </w:p>
    <w:p w14:paraId="7900267D" w14:textId="63D42EBE" w:rsidR="00D85789" w:rsidRPr="002C21B8" w:rsidRDefault="00BE455E" w:rsidP="00D22BF0">
      <w:r w:rsidRPr="002C21B8">
        <w:t xml:space="preserve">The </w:t>
      </w:r>
      <w:r w:rsidR="004431D5" w:rsidRPr="002C21B8">
        <w:t>National Registry of Rare Kidney Diseases (</w:t>
      </w:r>
      <w:r w:rsidRPr="002C21B8">
        <w:t>RaDaR</w:t>
      </w:r>
      <w:r w:rsidR="004431D5" w:rsidRPr="002C21B8">
        <w:t>)</w:t>
      </w:r>
      <w:r w:rsidRPr="002C21B8">
        <w:t xml:space="preserve"> database collects data from 107 NHS trusts</w:t>
      </w:r>
      <w:r w:rsidR="003421C2" w:rsidRPr="002C21B8">
        <w:t>,</w:t>
      </w:r>
      <w:r w:rsidRPr="002C21B8">
        <w:t xml:space="preserve"> which includes all adult and paediatric kidney centres in the United Kingdom. </w:t>
      </w:r>
      <w:r w:rsidR="003421C2" w:rsidRPr="002C21B8">
        <w:t xml:space="preserve">It is </w:t>
      </w:r>
      <w:r w:rsidRPr="002C21B8">
        <w:t>the largest rare kidney disease registry globally</w:t>
      </w:r>
      <w:r w:rsidR="003421C2" w:rsidRPr="002C21B8">
        <w:t xml:space="preserve"> and has been </w:t>
      </w:r>
      <w:r w:rsidRPr="002C21B8">
        <w:t>continuously collecting data since 2010. It includes information on 29,500 individuals across 40 different rare kidney conditions, with data generated through both manual entry and automatic data retrieval from PatientView</w:t>
      </w:r>
      <w:r w:rsidR="006C1B6B" w:rsidRPr="002C21B8">
        <w:t xml:space="preserve"> (</w:t>
      </w:r>
      <w:r w:rsidRPr="002C21B8">
        <w:t>an online platform providing kidney patients access to their laboratory results</w:t>
      </w:r>
      <w:r w:rsidR="006C1B6B" w:rsidRPr="002C21B8">
        <w:t>)</w:t>
      </w:r>
      <w:r w:rsidRPr="002C21B8">
        <w:t xml:space="preserve"> </w:t>
      </w:r>
      <w:r w:rsidRPr="002C21B8">
        <w:fldChar w:fldCharType="begin"/>
      </w:r>
      <w:r w:rsidR="00012A3E" w:rsidRPr="002C21B8">
        <w:instrText xml:space="preserve"> ADDIN EN.CITE &lt;EndNote&gt;&lt;Cite&gt;&lt;Author&gt;UK Kidney Association&lt;/Author&gt;&lt;Year&gt;2025&lt;/Year&gt;&lt;RecNum&gt;125054&lt;/RecNum&gt;&lt;DisplayText&gt;(UK Kidney Association, 2025)&lt;/DisplayText&gt;&lt;record&gt;&lt;rec-number&gt;125054&lt;/rec-number&gt;&lt;foreign-keys&gt;&lt;key app="EN" db-id="xpefzwa5hf9dt2ea9fax95x7xvxz90v09dtf" timestamp="1761313192"&gt;125054&lt;/key&gt;&lt;/foreign-keys&gt;&lt;ref-type name="Web Page"&gt;12&lt;/ref-type&gt;&lt;contributors&gt;&lt;authors&gt;&lt;author&gt;UK Kidney Association,&lt;/author&gt;&lt;/authors&gt;&lt;/contributors&gt;&lt;titles&gt;&lt;title&gt;RaDaR database&lt;/title&gt;&lt;/titles&gt;&lt;number&gt;24/10/2025)&lt;/number&gt;&lt;dates&gt;&lt;year&gt;2025&lt;/year&gt;&lt;/dates&gt;&lt;urls&gt;&lt;related-urls&gt;&lt;url&gt;https://www.ukkidney.org/audit-research/data-permissions/data/radar-database&lt;/url&gt;&lt;/related-urls&gt;&lt;/urls&gt;&lt;/record&gt;&lt;/Cite&gt;&lt;/EndNote&gt;</w:instrText>
      </w:r>
      <w:r w:rsidRPr="002C21B8">
        <w:fldChar w:fldCharType="separate"/>
      </w:r>
      <w:r w:rsidR="00012A3E" w:rsidRPr="002C21B8">
        <w:rPr>
          <w:noProof/>
        </w:rPr>
        <w:t>(UK Kidney Association, 2025)</w:t>
      </w:r>
      <w:r w:rsidRPr="002C21B8">
        <w:fldChar w:fldCharType="end"/>
      </w:r>
      <w:r w:rsidRPr="002C21B8">
        <w:t xml:space="preserve">. At the time of analysis in 2024, the ADPKD cohort consisted of 8,302 people. The data collected includes patient characteristics (age, ethnicity and gender), disease characteristics (primary diagnosis, comorbidities and genomic results), current medications, laboratory results and kidney imaging </w:t>
      </w:r>
      <w:r w:rsidRPr="002C21B8">
        <w:fldChar w:fldCharType="begin"/>
      </w:r>
      <w:r w:rsidR="00502953" w:rsidRPr="002C21B8">
        <w:instrText xml:space="preserve"> ADDIN EN.CITE &lt;EndNote&gt;&lt;Cite&gt;&lt;Author&gt;UK Kidney Association&lt;/Author&gt;&lt;Year&gt;2023&lt;/Year&gt;&lt;RecNum&gt;5435&lt;/RecNum&gt;&lt;DisplayText&gt;(UK Kidney Association, 2023b)&lt;/DisplayText&gt;&lt;record&gt;&lt;rec-number&gt;5435&lt;/rec-number&gt;&lt;foreign-keys&gt;&lt;key app="EN" db-id="xpefzwa5hf9dt2ea9fax95x7xvxz90v09dtf" timestamp="1702897278"&gt;5435&lt;/key&gt;&lt;/foreign-keys&gt;&lt;ref-type name="Web Page"&gt;12&lt;/ref-type&gt;&lt;contributors&gt;&lt;authors&gt;&lt;author&gt;UK Kidney Association,&lt;/author&gt;&lt;/authors&gt;&lt;/contributors&gt;&lt;titles&gt;&lt;title&gt;RaDaR database Data Dictionary&lt;/title&gt;&lt;/titles&gt;&lt;number&gt;18/12/2023)&lt;/number&gt;&lt;dates&gt;&lt;year&gt;2023&lt;/year&gt;&lt;/dates&gt;&lt;urls&gt;&lt;related-urls&gt;&lt;url&gt;https://ukkidney.org/audit-research/data-permissions/data/radar-database&lt;/url&gt;&lt;/related-urls&gt;&lt;/urls&gt;&lt;/record&gt;&lt;/Cite&gt;&lt;/EndNote&gt;</w:instrText>
      </w:r>
      <w:r w:rsidRPr="002C21B8">
        <w:fldChar w:fldCharType="separate"/>
      </w:r>
      <w:r w:rsidR="00502953" w:rsidRPr="002C21B8">
        <w:rPr>
          <w:noProof/>
        </w:rPr>
        <w:t>(UK Kidney Association, 2023b)</w:t>
      </w:r>
      <w:r w:rsidRPr="002C21B8">
        <w:fldChar w:fldCharType="end"/>
      </w:r>
      <w:r w:rsidRPr="002C21B8">
        <w:t>.</w:t>
      </w:r>
    </w:p>
    <w:p w14:paraId="02BB65D1" w14:textId="5A5B7CBB" w:rsidR="00D469A1" w:rsidRPr="002C21B8" w:rsidRDefault="00D469A1" w:rsidP="00D22BF0">
      <w:pPr>
        <w:spacing w:after="0" w:line="240" w:lineRule="auto"/>
        <w:jc w:val="left"/>
        <w:rPr>
          <w:b/>
          <w:bCs/>
          <w:sz w:val="24"/>
          <w:szCs w:val="24"/>
        </w:rPr>
      </w:pPr>
      <w:r w:rsidRPr="002C21B8">
        <w:rPr>
          <w:b/>
          <w:bCs/>
          <w:sz w:val="24"/>
          <w:szCs w:val="24"/>
        </w:rPr>
        <w:t>Inclusion criteria</w:t>
      </w:r>
    </w:p>
    <w:p w14:paraId="6A3DB114" w14:textId="77777777" w:rsidR="00D469A1" w:rsidRPr="002C21B8" w:rsidRDefault="00D469A1" w:rsidP="00D469A1">
      <w:r w:rsidRPr="002C21B8">
        <w:t>The study cohort included all people with ADPKD recorded in the RaDaR database who met the following criteria:</w:t>
      </w:r>
    </w:p>
    <w:p w14:paraId="5BBF4846" w14:textId="77777777" w:rsidR="00D469A1" w:rsidRPr="002C21B8" w:rsidRDefault="00D469A1" w:rsidP="00A97F07">
      <w:pPr>
        <w:pStyle w:val="ListParagraph"/>
        <w:numPr>
          <w:ilvl w:val="0"/>
          <w:numId w:val="6"/>
        </w:numPr>
        <w:spacing w:after="0"/>
      </w:pPr>
      <w:r w:rsidRPr="002C21B8">
        <w:t>Aged ≥18 years at any point during the study period (01/01/2016 to 13/01/2024)</w:t>
      </w:r>
    </w:p>
    <w:p w14:paraId="54448783" w14:textId="40C18C36" w:rsidR="00D469A1" w:rsidRPr="002C21B8" w:rsidRDefault="004E0365" w:rsidP="00A97F07">
      <w:pPr>
        <w:pStyle w:val="ListParagraph"/>
        <w:numPr>
          <w:ilvl w:val="0"/>
          <w:numId w:val="6"/>
        </w:numPr>
        <w:spacing w:after="0"/>
      </w:pPr>
      <w:r w:rsidRPr="002C21B8">
        <w:t>A c</w:t>
      </w:r>
      <w:r w:rsidR="00D469A1" w:rsidRPr="002C21B8">
        <w:t>onfirmed ADPKD diagnosis</w:t>
      </w:r>
    </w:p>
    <w:p w14:paraId="640F7D83" w14:textId="77777777" w:rsidR="00D469A1" w:rsidRPr="002C21B8" w:rsidRDefault="00D469A1" w:rsidP="00A97F07">
      <w:pPr>
        <w:pStyle w:val="ListParagraph"/>
        <w:numPr>
          <w:ilvl w:val="0"/>
          <w:numId w:val="6"/>
        </w:numPr>
        <w:spacing w:after="0"/>
      </w:pPr>
      <w:r w:rsidRPr="002C21B8">
        <w:t>Registered to one of the 72 kidney centres in the UK</w:t>
      </w:r>
    </w:p>
    <w:p w14:paraId="0B9B1641" w14:textId="77777777" w:rsidR="00D469A1" w:rsidRPr="002C21B8" w:rsidRDefault="00D469A1" w:rsidP="00A97F07">
      <w:pPr>
        <w:pStyle w:val="ListParagraph"/>
        <w:numPr>
          <w:ilvl w:val="0"/>
          <w:numId w:val="6"/>
        </w:numPr>
        <w:spacing w:after="0"/>
      </w:pPr>
      <w:r w:rsidRPr="002C21B8">
        <w:t>Medication data available from PatientView</w:t>
      </w:r>
    </w:p>
    <w:p w14:paraId="57B1839E" w14:textId="00973820" w:rsidR="00D469A1" w:rsidRPr="002C21B8" w:rsidRDefault="00D469A1" w:rsidP="00A97F07">
      <w:pPr>
        <w:pStyle w:val="ListParagraph"/>
        <w:numPr>
          <w:ilvl w:val="0"/>
          <w:numId w:val="6"/>
        </w:numPr>
        <w:spacing w:after="0"/>
      </w:pPr>
      <w:r w:rsidRPr="002C21B8">
        <w:t>Sufficient eGFR data to calculate 1-year or 5-year slopes (at least t</w:t>
      </w:r>
      <w:r w:rsidR="00F07ABD" w:rsidRPr="002C21B8">
        <w:t>hree</w:t>
      </w:r>
      <w:r w:rsidRPr="002C21B8">
        <w:t xml:space="preserve"> eGFR readings)</w:t>
      </w:r>
    </w:p>
    <w:p w14:paraId="46E51C22" w14:textId="621ECBC5" w:rsidR="00D469A1" w:rsidRPr="002C21B8" w:rsidRDefault="00D469A1" w:rsidP="004507C8">
      <w:pPr>
        <w:pStyle w:val="Heading3"/>
        <w:numPr>
          <w:ilvl w:val="0"/>
          <w:numId w:val="0"/>
        </w:numPr>
      </w:pPr>
      <w:r w:rsidRPr="002C21B8">
        <w:t>Sampling</w:t>
      </w:r>
      <w:r w:rsidR="008D3C8A" w:rsidRPr="002C21B8">
        <w:t xml:space="preserve"> strategy</w:t>
      </w:r>
    </w:p>
    <w:p w14:paraId="4561B2BE" w14:textId="64E14517" w:rsidR="00D469A1" w:rsidRPr="002C21B8" w:rsidRDefault="00D469A1" w:rsidP="00BE455E">
      <w:r w:rsidRPr="002C21B8">
        <w:t>The sample size was determined by the available data</w:t>
      </w:r>
      <w:r w:rsidR="004431D5" w:rsidRPr="002C21B8">
        <w:t>,</w:t>
      </w:r>
      <w:r w:rsidRPr="002C21B8">
        <w:t xml:space="preserve"> as all individuals with complete data would be included in the regression.</w:t>
      </w:r>
    </w:p>
    <w:p w14:paraId="15B2D074" w14:textId="77777777" w:rsidR="00BE455E" w:rsidRPr="002C21B8" w:rsidRDefault="00BE455E" w:rsidP="004507C8">
      <w:pPr>
        <w:pStyle w:val="Heading3"/>
        <w:numPr>
          <w:ilvl w:val="0"/>
          <w:numId w:val="0"/>
        </w:numPr>
      </w:pPr>
      <w:r w:rsidRPr="002C21B8">
        <w:t>Data processing</w:t>
      </w:r>
    </w:p>
    <w:p w14:paraId="0961DFCD" w14:textId="2BEDB5FB" w:rsidR="00405C98" w:rsidRPr="002C21B8" w:rsidRDefault="00405C98" w:rsidP="00405C98">
      <w:pPr>
        <w:spacing w:after="0"/>
        <w:rPr>
          <w:b/>
          <w:bCs/>
          <w:sz w:val="24"/>
          <w:szCs w:val="24"/>
        </w:rPr>
      </w:pPr>
      <w:r w:rsidRPr="002C21B8">
        <w:rPr>
          <w:b/>
          <w:bCs/>
          <w:sz w:val="24"/>
          <w:szCs w:val="24"/>
        </w:rPr>
        <w:t>Data extraction and dataset assembly</w:t>
      </w:r>
    </w:p>
    <w:p w14:paraId="442DE6EA" w14:textId="42DE839A" w:rsidR="00405C98" w:rsidRPr="002C21B8" w:rsidRDefault="00405C98" w:rsidP="00BE455E">
      <w:r w:rsidRPr="002C21B8">
        <w:t>The raw dataset was extracted from RaDaR into Microsoft Excel</w:t>
      </w:r>
      <w:r w:rsidR="009C4687" w:rsidRPr="002C21B8">
        <w:t xml:space="preserve"> by the RaDaR statistician</w:t>
      </w:r>
      <w:r w:rsidRPr="002C21B8">
        <w:t>. Variables extracted included demographic characteristics, serial estimated glomerular filtration rate (eGFR) measurements and recorded medication history. Centre-level identifiers were retained to enable assessment of variation across UK kidney centres.</w:t>
      </w:r>
    </w:p>
    <w:p w14:paraId="0E290011" w14:textId="4251507E" w:rsidR="00405C98" w:rsidRPr="002C21B8" w:rsidRDefault="00405C98" w:rsidP="00405C98">
      <w:pPr>
        <w:spacing w:before="240" w:after="0"/>
        <w:rPr>
          <w:b/>
          <w:bCs/>
          <w:sz w:val="24"/>
          <w:szCs w:val="24"/>
        </w:rPr>
      </w:pPr>
      <w:r w:rsidRPr="002C21B8">
        <w:rPr>
          <w:b/>
          <w:bCs/>
          <w:sz w:val="24"/>
          <w:szCs w:val="24"/>
        </w:rPr>
        <w:t>Data cleaning and validation procedures</w:t>
      </w:r>
    </w:p>
    <w:p w14:paraId="10EFFF60" w14:textId="225CC6AE" w:rsidR="00405C98" w:rsidRPr="002C21B8" w:rsidRDefault="00405C98" w:rsidP="00405C98">
      <w:r w:rsidRPr="002C21B8">
        <w:t xml:space="preserve">The dataset underwent structured cleaning and validation </w:t>
      </w:r>
      <w:r w:rsidR="004431D5" w:rsidRPr="002C21B8">
        <w:t>before</w:t>
      </w:r>
      <w:r w:rsidRPr="002C21B8">
        <w:t xml:space="preserve"> </w:t>
      </w:r>
      <w:r w:rsidR="004431D5" w:rsidRPr="002C21B8">
        <w:t>analysis</w:t>
      </w:r>
      <w:r w:rsidR="00BF6531" w:rsidRPr="002C21B8">
        <w:t xml:space="preserve"> through discussion between the RaDaR statistician</w:t>
      </w:r>
      <w:r w:rsidR="005F444E" w:rsidRPr="002C21B8">
        <w:t xml:space="preserve"> </w:t>
      </w:r>
      <w:r w:rsidR="00BF6531" w:rsidRPr="002C21B8">
        <w:t>and myself</w:t>
      </w:r>
      <w:r w:rsidRPr="002C21B8">
        <w:t>. This included</w:t>
      </w:r>
      <w:r w:rsidR="004431D5" w:rsidRPr="002C21B8">
        <w:t xml:space="preserve"> the</w:t>
      </w:r>
      <w:r w:rsidRPr="002C21B8">
        <w:t xml:space="preserve"> removal of duplicate patient records and </w:t>
      </w:r>
      <w:r w:rsidR="004431D5" w:rsidRPr="002C21B8">
        <w:t xml:space="preserve">the </w:t>
      </w:r>
      <w:r w:rsidRPr="002C21B8">
        <w:t>standardisation of longitudinal eGFR data to ensure consistency and temporal ordering of laboratory results. Range and plausibility checks were applied to key variables. EGFR values were assessed for physiological plausibility and longitudinal sequences were reviewed to identify inconsistenc</w:t>
      </w:r>
      <w:r w:rsidR="004431D5" w:rsidRPr="002C21B8">
        <w:t>ies</w:t>
      </w:r>
      <w:r w:rsidRPr="002C21B8">
        <w:t xml:space="preserve"> such as implausible reversals in renal function trajectory or erroneous data ordering. Where clear data entry errors were identified and could be corrected using predefined logical rules, amendments were made by </w:t>
      </w:r>
      <w:r w:rsidR="00614DFC" w:rsidRPr="002C21B8">
        <w:t>the RaDaR statistician under my instruction</w:t>
      </w:r>
      <w:r w:rsidRPr="002C21B8">
        <w:t>. Records with unresolved inconsistencies were flagged and excluded from further analyses.</w:t>
      </w:r>
    </w:p>
    <w:p w14:paraId="0C67874E" w14:textId="0C9CB389" w:rsidR="00405C98" w:rsidRPr="002C21B8" w:rsidRDefault="00405C98" w:rsidP="00405C98">
      <w:pPr>
        <w:spacing w:before="240" w:after="0"/>
        <w:rPr>
          <w:b/>
          <w:bCs/>
          <w:sz w:val="24"/>
          <w:szCs w:val="24"/>
        </w:rPr>
      </w:pPr>
      <w:r w:rsidRPr="002C21B8">
        <w:rPr>
          <w:b/>
          <w:bCs/>
          <w:sz w:val="24"/>
          <w:szCs w:val="24"/>
        </w:rPr>
        <w:t>Management of missing data</w:t>
      </w:r>
    </w:p>
    <w:p w14:paraId="5054E66B" w14:textId="70B0B607" w:rsidR="00175D37" w:rsidRPr="002C21B8" w:rsidRDefault="00405C98" w:rsidP="00175D37">
      <w:r w:rsidRPr="002C21B8">
        <w:t xml:space="preserve">Missing </w:t>
      </w:r>
      <w:r w:rsidR="00227DA8" w:rsidRPr="002C21B8">
        <w:t>data was</w:t>
      </w:r>
      <w:r w:rsidRPr="002C21B8">
        <w:t xml:space="preserve"> expected due to</w:t>
      </w:r>
      <w:r w:rsidR="00416F26" w:rsidRPr="002C21B8">
        <w:t xml:space="preserve"> the</w:t>
      </w:r>
      <w:r w:rsidRPr="002C21B8">
        <w:t xml:space="preserve"> heterogeneity </w:t>
      </w:r>
      <w:r w:rsidR="00416F26" w:rsidRPr="002C21B8">
        <w:t>of</w:t>
      </w:r>
      <w:r w:rsidRPr="002C21B8">
        <w:t xml:space="preserve"> PatientView coverage across centres and variability in </w:t>
      </w:r>
      <w:r w:rsidR="00416F26" w:rsidRPr="002C21B8">
        <w:t>manual data entry</w:t>
      </w:r>
      <w:r w:rsidRPr="002C21B8">
        <w:t xml:space="preserve"> practices. Missingness was assessed across all key variables</w:t>
      </w:r>
      <w:r w:rsidR="00416F26" w:rsidRPr="002C21B8">
        <w:t>,</w:t>
      </w:r>
      <w:r w:rsidRPr="002C21B8">
        <w:t xml:space="preserve"> including eGFR measurements, tolvaptan exposure status and covariates required for adjustment in the models. No formal imputation of missing data was undertaken</w:t>
      </w:r>
      <w:r w:rsidR="000B29EF" w:rsidRPr="002C21B8">
        <w:t>.</w:t>
      </w:r>
      <w:r w:rsidRPr="002C21B8">
        <w:t xml:space="preserve"> </w:t>
      </w:r>
      <w:r w:rsidR="000B29EF" w:rsidRPr="002C21B8">
        <w:t>The pattern of missingness was</w:t>
      </w:r>
      <w:r w:rsidRPr="002C21B8">
        <w:t xml:space="preserve"> non-random</w:t>
      </w:r>
      <w:r w:rsidR="000B29EF" w:rsidRPr="002C21B8">
        <w:t xml:space="preserve"> as</w:t>
      </w:r>
      <w:r w:rsidRPr="002C21B8">
        <w:t xml:space="preserve"> PatientView participation </w:t>
      </w:r>
      <w:r w:rsidR="000B29EF" w:rsidRPr="002C21B8">
        <w:t xml:space="preserve">varied by centre </w:t>
      </w:r>
      <w:r w:rsidRPr="002C21B8">
        <w:fldChar w:fldCharType="begin"/>
      </w:r>
      <w:r w:rsidR="00046586" w:rsidRPr="002C21B8">
        <w:instrText xml:space="preserve"> ADDIN EN.CITE &lt;EndNote&gt;&lt;Cite&gt;&lt;Author&gt;Little&lt;/Author&gt;&lt;Year&gt;2019&lt;/Year&gt;&lt;RecNum&gt;125433&lt;/RecNum&gt;&lt;DisplayText&gt;(Little and Rubin, 2019)&lt;/DisplayText&gt;&lt;record&gt;&lt;rec-number&gt;125433&lt;/rec-number&gt;&lt;foreign-keys&gt;&lt;key app="EN" db-id="xpefzwa5hf9dt2ea9fax95x7xvxz90v09dtf" timestamp="1775847415"&gt;125433&lt;/key&gt;&lt;/foreign-keys&gt;&lt;ref-type name="Book"&gt;6&lt;/ref-type&gt;&lt;contributors&gt;&lt;authors&gt;&lt;author&gt;Little, Roderick JA&lt;/author&gt;&lt;author&gt;Rubin, Donald B&lt;/author&gt;&lt;/authors&gt;&lt;/contributors&gt;&lt;titles&gt;&lt;title&gt;Statistical analysis with missing data&lt;/title&gt;&lt;/titles&gt;&lt;section&gt;1-408&lt;/section&gt;&lt;dates&gt;&lt;year&gt;2019&lt;/year&gt;&lt;/dates&gt;&lt;pub-location&gt;Hoboken, New Jersey, USA&lt;/pub-location&gt;&lt;publisher&gt;John Wiley &amp;amp; Sons&lt;/publisher&gt;&lt;isbn&gt;0470526793&lt;/isbn&gt;&lt;urls&gt;&lt;/urls&gt;&lt;/record&gt;&lt;/Cite&gt;&lt;/EndNote&gt;</w:instrText>
      </w:r>
      <w:r w:rsidRPr="002C21B8">
        <w:fldChar w:fldCharType="separate"/>
      </w:r>
      <w:r w:rsidRPr="002C21B8">
        <w:rPr>
          <w:noProof/>
        </w:rPr>
        <w:t>(Little and Rubin, 2019)</w:t>
      </w:r>
      <w:r w:rsidRPr="002C21B8">
        <w:fldChar w:fldCharType="end"/>
      </w:r>
      <w:r w:rsidRPr="002C21B8">
        <w:t>.</w:t>
      </w:r>
      <w:r w:rsidR="00175D37" w:rsidRPr="002C21B8">
        <w:rPr>
          <w:b/>
          <w:bCs/>
          <w:sz w:val="28"/>
          <w:szCs w:val="28"/>
        </w:rPr>
        <w:br w:type="page"/>
      </w:r>
    </w:p>
    <w:p w14:paraId="50D3E419" w14:textId="03A79D94" w:rsidR="00BE455E" w:rsidRPr="002C21B8" w:rsidRDefault="00BE455E" w:rsidP="004507C8">
      <w:pPr>
        <w:pStyle w:val="Heading3"/>
        <w:numPr>
          <w:ilvl w:val="0"/>
          <w:numId w:val="0"/>
        </w:numPr>
      </w:pPr>
      <w:r w:rsidRPr="002C21B8">
        <w:t>Outcome</w:t>
      </w:r>
      <w:r w:rsidR="00D469A1" w:rsidRPr="002C21B8">
        <w:t>s and</w:t>
      </w:r>
      <w:r w:rsidRPr="002C21B8">
        <w:t xml:space="preserve"> measures</w:t>
      </w:r>
    </w:p>
    <w:p w14:paraId="6E4DC7F6" w14:textId="6AF04096" w:rsidR="00D469A1" w:rsidRPr="002C21B8" w:rsidRDefault="00D469A1" w:rsidP="00D22BF0">
      <w:pPr>
        <w:spacing w:after="0"/>
        <w:rPr>
          <w:b/>
          <w:bCs/>
          <w:sz w:val="24"/>
          <w:szCs w:val="24"/>
        </w:rPr>
      </w:pPr>
      <w:r w:rsidRPr="002C21B8">
        <w:rPr>
          <w:b/>
          <w:bCs/>
          <w:sz w:val="24"/>
          <w:szCs w:val="24"/>
        </w:rPr>
        <w:t>Outcomes of interest</w:t>
      </w:r>
    </w:p>
    <w:p w14:paraId="4318D740" w14:textId="77777777" w:rsidR="00D469A1" w:rsidRPr="002C21B8" w:rsidRDefault="00D469A1" w:rsidP="00D469A1">
      <w:r w:rsidRPr="002C21B8">
        <w:t>The primary outcomes were people with ADPKD who were eligible for tolvaptan but not initiated and those who were initiated on tolvaptan despite not being eligible. These outcomes were aggregated at the kidney centre level to assess variation in prescribing practices between centres.</w:t>
      </w:r>
    </w:p>
    <w:p w14:paraId="40D5C43E" w14:textId="7F010A64" w:rsidR="00D469A1" w:rsidRPr="002C21B8" w:rsidRDefault="00D469A1" w:rsidP="00B009EC">
      <w:pPr>
        <w:spacing w:before="240" w:after="0"/>
        <w:rPr>
          <w:b/>
          <w:bCs/>
          <w:sz w:val="24"/>
          <w:szCs w:val="24"/>
        </w:rPr>
      </w:pPr>
      <w:r w:rsidRPr="002C21B8">
        <w:rPr>
          <w:b/>
          <w:bCs/>
          <w:sz w:val="24"/>
          <w:szCs w:val="24"/>
        </w:rPr>
        <w:t>Outcome measures</w:t>
      </w:r>
    </w:p>
    <w:p w14:paraId="6BE27456" w14:textId="77777777" w:rsidR="00BE455E" w:rsidRPr="002C21B8" w:rsidRDefault="00BE455E" w:rsidP="00BE455E">
      <w:r w:rsidRPr="002C21B8">
        <w:t>The primary outcome measures were derived from patient-level data and included:</w:t>
      </w:r>
    </w:p>
    <w:p w14:paraId="2217ECCE" w14:textId="77777777" w:rsidR="007C6063" w:rsidRPr="002C21B8" w:rsidRDefault="00BE455E" w:rsidP="00A97F07">
      <w:pPr>
        <w:pStyle w:val="ListParagraph"/>
        <w:numPr>
          <w:ilvl w:val="0"/>
          <w:numId w:val="58"/>
        </w:numPr>
      </w:pPr>
      <w:r w:rsidRPr="002C21B8">
        <w:rPr>
          <w:b/>
          <w:bCs/>
        </w:rPr>
        <w:t>Prescription of tolvaptan</w:t>
      </w:r>
      <w:r w:rsidRPr="002C21B8">
        <w:t xml:space="preserve"> – defined as the first recorded tolvaptan prescription during the study period</w:t>
      </w:r>
    </w:p>
    <w:p w14:paraId="3A55416C" w14:textId="5A9F088D" w:rsidR="00BE455E" w:rsidRPr="002C21B8" w:rsidRDefault="00BE455E" w:rsidP="00A97F07">
      <w:pPr>
        <w:pStyle w:val="ListParagraph"/>
        <w:numPr>
          <w:ilvl w:val="0"/>
          <w:numId w:val="58"/>
        </w:numPr>
      </w:pPr>
      <w:r w:rsidRPr="002C21B8">
        <w:rPr>
          <w:b/>
          <w:bCs/>
        </w:rPr>
        <w:t>Eligibility for tolvaptan</w:t>
      </w:r>
      <w:r w:rsidRPr="002C21B8">
        <w:t xml:space="preserve"> – assessed using patient-level laboratory data according to </w:t>
      </w:r>
      <w:r w:rsidRPr="002C21B8">
        <w:fldChar w:fldCharType="begin"/>
      </w:r>
      <w:r w:rsidRPr="002C21B8">
        <w:instrText xml:space="preserve"> ADDIN EN.CITE &lt;EndNote&gt;&lt;Cite&gt;&lt;Author&gt;Renal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Pr="002C21B8">
        <w:fldChar w:fldCharType="separate"/>
      </w:r>
      <w:r w:rsidRPr="002C21B8">
        <w:t>(Renal Association, 2016)</w:t>
      </w:r>
      <w:r w:rsidRPr="002C21B8">
        <w:fldChar w:fldCharType="end"/>
      </w:r>
      <w:r w:rsidRPr="002C21B8">
        <w:t xml:space="preserve"> based on eGFR slopes:</w:t>
      </w:r>
    </w:p>
    <w:p w14:paraId="73BBA027" w14:textId="77777777" w:rsidR="00BE455E" w:rsidRPr="002C21B8" w:rsidRDefault="00BE455E" w:rsidP="00A97F07">
      <w:pPr>
        <w:pStyle w:val="ListParagraph"/>
        <w:numPr>
          <w:ilvl w:val="1"/>
          <w:numId w:val="50"/>
        </w:numPr>
        <w:ind w:left="1134"/>
      </w:pPr>
      <w:r w:rsidRPr="002C21B8">
        <w:t>Decline in eGFR &gt;2.5ml/min/1.73m2 per year over 5 years, or</w:t>
      </w:r>
    </w:p>
    <w:p w14:paraId="7FFBE2CA" w14:textId="77777777" w:rsidR="00BE455E" w:rsidRPr="002C21B8" w:rsidRDefault="00BE455E" w:rsidP="00A97F07">
      <w:pPr>
        <w:pStyle w:val="ListParagraph"/>
        <w:numPr>
          <w:ilvl w:val="1"/>
          <w:numId w:val="50"/>
        </w:numPr>
        <w:ind w:left="1134"/>
      </w:pPr>
      <w:r w:rsidRPr="002C21B8">
        <w:t>Decline in eGFR &gt;5ml/min/1.73m2 over 12 months</w:t>
      </w:r>
    </w:p>
    <w:p w14:paraId="0EC07B5B" w14:textId="7D274111" w:rsidR="00F92673" w:rsidRPr="002C21B8" w:rsidRDefault="00F92673" w:rsidP="00BE455E">
      <w:r w:rsidRPr="002C21B8">
        <w:t>Eligibility was defined retrospectively over the full observation period, such that individuals were classified as eligible if they met these criteria at any point during follow-up since registration to RaDaR. In patients initiated on tolvaptan, eGFR decline was assessed using serum creatinine</w:t>
      </w:r>
      <w:r w:rsidR="00BF6531" w:rsidRPr="002C21B8">
        <w:t>-</w:t>
      </w:r>
      <w:r w:rsidRPr="002C21B8">
        <w:t>derived eGFR measurements (based on at least t</w:t>
      </w:r>
      <w:r w:rsidR="00151521" w:rsidRPr="002C21B8">
        <w:t>hree</w:t>
      </w:r>
      <w:r w:rsidRPr="002C21B8">
        <w:t xml:space="preserve"> available measurements).</w:t>
      </w:r>
      <w:r w:rsidR="00D22BF0" w:rsidRPr="002C21B8">
        <w:t xml:space="preserve"> Eligibility was assessed longitudinally. However, in the regression models</w:t>
      </w:r>
      <w:r w:rsidR="00405C98" w:rsidRPr="002C21B8">
        <w:t>,</w:t>
      </w:r>
      <w:r w:rsidR="00D22BF0" w:rsidRPr="002C21B8">
        <w:t xml:space="preserve"> eligibility status was defined as the first qualifying event (i.e. the first observed instance of meeting the eligibility criteria)</w:t>
      </w:r>
      <w:r w:rsidR="00696BE7" w:rsidRPr="002C21B8">
        <w:t>.</w:t>
      </w:r>
    </w:p>
    <w:p w14:paraId="7D384B80" w14:textId="0D1975F7" w:rsidR="00BE455E" w:rsidRPr="002C21B8" w:rsidRDefault="00BE455E" w:rsidP="00BE455E">
      <w:r w:rsidRPr="002C21B8">
        <w:t xml:space="preserve">Alternative eligibility criteria in the </w:t>
      </w:r>
      <w:r w:rsidRPr="002C21B8">
        <w:fldChar w:fldCharType="begin"/>
      </w:r>
      <w:r w:rsidRPr="002C21B8">
        <w:instrText xml:space="preserve"> ADDIN EN.CITE &lt;EndNote&gt;&lt;Cite AuthorYear="1"&gt;&lt;Author&gt;Renal Association&lt;/Author&gt;&lt;Year&gt;2016&lt;/Year&gt;&lt;RecNum&gt;5012&lt;/RecNum&gt;&lt;DisplayText&gt;Renal Association (2016)&lt;/DisplayText&gt;&lt;record&gt;&lt;rec-number&gt;5012&lt;/rec-number&gt;&lt;foreign-keys&gt;&lt;key app="EN" db-id="xpefzwa5hf9dt2ea9fax95x7xvxz90v09dtf" timestamp="1699887721"&gt;5012&lt;/key&gt;&lt;/foreign-keys&gt;&lt;ref-type name="Web Page"&gt;12&lt;/ref-type&gt;&lt;contributors&gt;&lt;authors&gt;&lt;author&gt;Renal Association,&lt;/author&gt;&lt;/authors&gt;&lt;/contributors&gt;&lt;titles&gt;&lt;title&gt;Commentary on the NICE Guideline on Tolvaptan for treating autosomal dominant polycystic kidney disease&lt;/title&gt;&lt;/titles&gt;&lt;number&gt;13/11/2023)&lt;/number&gt;&lt;dates&gt;&lt;year&gt;2016&lt;/year&gt;&lt;/dates&gt;&lt;urls&gt;&lt;related-urls&gt;&lt;url&gt;https://ukkidney.org/health-professionals/guidelines/commentary-nice-guideline-tolvaptan-treating-autosomal-dominant&lt;/url&gt;&lt;/related-urls&gt;&lt;/urls&gt;&lt;/record&gt;&lt;/Cite&gt;&lt;/EndNote&gt;</w:instrText>
      </w:r>
      <w:r w:rsidRPr="002C21B8">
        <w:fldChar w:fldCharType="separate"/>
      </w:r>
      <w:r w:rsidRPr="002C21B8">
        <w:t>Renal Association (2016)</w:t>
      </w:r>
      <w:r w:rsidRPr="002C21B8">
        <w:fldChar w:fldCharType="end"/>
      </w:r>
      <w:r w:rsidRPr="002C21B8">
        <w:t xml:space="preserve"> guideline</w:t>
      </w:r>
      <w:r w:rsidR="0034034F" w:rsidRPr="002C21B8">
        <w:t>,</w:t>
      </w:r>
      <w:r w:rsidRPr="002C21B8">
        <w:t xml:space="preserve"> including the change in </w:t>
      </w:r>
      <w:r w:rsidR="00373DD3" w:rsidRPr="002C21B8">
        <w:t>t</w:t>
      </w:r>
      <w:r w:rsidRPr="002C21B8">
        <w:t xml:space="preserve">otal </w:t>
      </w:r>
      <w:r w:rsidR="00373DD3" w:rsidRPr="002C21B8">
        <w:t>ki</w:t>
      </w:r>
      <w:r w:rsidRPr="002C21B8">
        <w:t xml:space="preserve">dney </w:t>
      </w:r>
      <w:r w:rsidR="00373DD3" w:rsidRPr="002C21B8">
        <w:t>v</w:t>
      </w:r>
      <w:r w:rsidRPr="002C21B8">
        <w:t>olume (TKV) and Predicting Renal Outcome in Polycystic Kidney Disease (PROPKD) score were not included due to low data completeness and infrequent usage in UK kidney centres anecdotally.</w:t>
      </w:r>
    </w:p>
    <w:p w14:paraId="73B571E5" w14:textId="05CD161E" w:rsidR="00BE455E" w:rsidRPr="002C21B8" w:rsidRDefault="00BE455E" w:rsidP="00BE455E">
      <w:r w:rsidRPr="002C21B8">
        <w:t xml:space="preserve">Outcomes were evaluated over an eight-year period (01/01/20216 </w:t>
      </w:r>
      <w:r w:rsidR="007C4B37" w:rsidRPr="002C21B8">
        <w:t>–</w:t>
      </w:r>
      <w:r w:rsidRPr="002C21B8">
        <w:t xml:space="preserve"> 13/01/2024). The start date was three months after NICE published the technology appraisal guidance recommending tolvaptan for ADPKD in October 2015, in line with the requirement for NHS trusts</w:t>
      </w:r>
      <w:r w:rsidR="00696BE7" w:rsidRPr="002C21B8">
        <w:t xml:space="preserve"> in England</w:t>
      </w:r>
      <w:r w:rsidRPr="002C21B8">
        <w:t xml:space="preserve"> to make recommended </w:t>
      </w:r>
      <w:r w:rsidR="00EA2738" w:rsidRPr="002C21B8">
        <w:t>medication</w:t>
      </w:r>
      <w:r w:rsidRPr="002C21B8">
        <w:t xml:space="preserve">s available </w:t>
      </w:r>
      <w:r w:rsidRPr="002C21B8">
        <w:fldChar w:fldCharType="begin"/>
      </w:r>
      <w:r w:rsidRPr="002C21B8">
        <w:instrText xml:space="preserve"> ADDIN EN.CITE &lt;EndNote&gt;&lt;Cite&gt;&lt;Author&gt;National Institute for Health and Care Excellence&lt;/Author&gt;&lt;Year&gt;2023&lt;/Year&gt;&lt;RecNum&gt;4984&lt;/RecNum&gt;&lt;DisplayText&gt;(National Institute for Health and Care Excellence, 2023)&lt;/DisplayText&gt;&lt;record&gt;&lt;rec-number&gt;4984&lt;/rec-number&gt;&lt;foreign-keys&gt;&lt;key app="EN" db-id="xpefzwa5hf9dt2ea9fax95x7xvxz90v09dtf" timestamp="1699872523"&gt;4984&lt;/key&gt;&lt;/foreign-keys&gt;&lt;ref-type name="Web Page"&gt;12&lt;/ref-type&gt;&lt;contributors&gt;&lt;authors&gt;&lt;author&gt;National Institute for Health and Care Excellence,&lt;/author&gt;&lt;/authors&gt;&lt;/contributors&gt;&lt;titles&gt;&lt;title&gt;Technology Appraisal Guidance&lt;/title&gt;&lt;/titles&gt;&lt;number&gt;22/03/2025)&lt;/number&gt;&lt;dates&gt;&lt;year&gt;2023&lt;/year&gt;&lt;/dates&gt;&lt;urls&gt;&lt;related-urls&gt;&lt;url&gt;https://www.nice.org.uk/about/what-we-do/our-programmes/nice-guidance/nice-technology-appraisal-guidance&lt;/url&gt;&lt;/related-urls&gt;&lt;/urls&gt;&lt;access-date&gt;22/03/2026)&lt;/access-date&gt;&lt;/record&gt;&lt;/Cite&gt;&lt;/EndNote&gt;</w:instrText>
      </w:r>
      <w:r w:rsidRPr="002C21B8">
        <w:fldChar w:fldCharType="separate"/>
      </w:r>
      <w:r w:rsidRPr="002C21B8">
        <w:t>(National Institute for Health and Care Excellence, 2023)</w:t>
      </w:r>
      <w:r w:rsidRPr="002C21B8">
        <w:fldChar w:fldCharType="end"/>
      </w:r>
      <w:r w:rsidRPr="002C21B8">
        <w:t>. The end date was the date of data extraction.</w:t>
      </w:r>
    </w:p>
    <w:p w14:paraId="12DF5CE6" w14:textId="7FA864D4" w:rsidR="00BE455E" w:rsidRPr="002C21B8" w:rsidRDefault="00BE455E" w:rsidP="00BE455E">
      <w:r w:rsidRPr="002C21B8">
        <w:t>Patient-level outcomes were aggregated at the kidney centre using the centre where each participant was registered in RaDaR. This allowed assessment of variation in prescribing practice at the kidney centre</w:t>
      </w:r>
      <w:r w:rsidR="00696BE7" w:rsidRPr="002C21B8">
        <w:t xml:space="preserve"> </w:t>
      </w:r>
      <w:r w:rsidRPr="002C21B8">
        <w:t>level.</w:t>
      </w:r>
    </w:p>
    <w:p w14:paraId="296C5DB5" w14:textId="77777777" w:rsidR="00277D94" w:rsidRPr="002C21B8" w:rsidRDefault="00277D94" w:rsidP="004507C8">
      <w:pPr>
        <w:pStyle w:val="Heading3"/>
        <w:numPr>
          <w:ilvl w:val="0"/>
          <w:numId w:val="0"/>
        </w:numPr>
      </w:pPr>
      <w:r w:rsidRPr="002C21B8">
        <w:t>Predictive modelling and analysis</w:t>
      </w:r>
    </w:p>
    <w:p w14:paraId="51BF5462" w14:textId="686407AF" w:rsidR="00BE455E" w:rsidRPr="002C21B8" w:rsidRDefault="00BE455E" w:rsidP="00D22BF0">
      <w:pPr>
        <w:spacing w:after="0"/>
        <w:rPr>
          <w:b/>
          <w:bCs/>
          <w:sz w:val="24"/>
          <w:szCs w:val="24"/>
        </w:rPr>
      </w:pPr>
      <w:r w:rsidRPr="002C21B8">
        <w:rPr>
          <w:b/>
          <w:bCs/>
          <w:sz w:val="24"/>
          <w:szCs w:val="24"/>
        </w:rPr>
        <w:t>Developing an initial prediction model from</w:t>
      </w:r>
      <w:r w:rsidR="00696BE7" w:rsidRPr="002C21B8">
        <w:rPr>
          <w:b/>
          <w:bCs/>
          <w:sz w:val="24"/>
          <w:szCs w:val="24"/>
        </w:rPr>
        <w:t xml:space="preserve"> the</w:t>
      </w:r>
      <w:r w:rsidRPr="002C21B8">
        <w:rPr>
          <w:b/>
          <w:bCs/>
          <w:sz w:val="24"/>
          <w:szCs w:val="24"/>
        </w:rPr>
        <w:t xml:space="preserve"> RaDaR dataset</w:t>
      </w:r>
    </w:p>
    <w:p w14:paraId="341512E9" w14:textId="77777777" w:rsidR="00BE455E" w:rsidRPr="002C21B8" w:rsidRDefault="00BE455E" w:rsidP="00BE455E">
      <w:pPr>
        <w:pStyle w:val="Heading5"/>
        <w:rPr>
          <w:i/>
          <w:iCs/>
        </w:rPr>
      </w:pPr>
      <w:r w:rsidRPr="002C21B8">
        <w:rPr>
          <w:i/>
          <w:iCs/>
        </w:rPr>
        <w:t>Identification of patient characteristics for inclusion in the model</w:t>
      </w:r>
    </w:p>
    <w:p w14:paraId="27835049" w14:textId="594F3CFC" w:rsidR="00BE455E" w:rsidRPr="002C21B8" w:rsidRDefault="00BE455E" w:rsidP="00BE455E">
      <w:r w:rsidRPr="002C21B8">
        <w:t xml:space="preserve">Patient characteristics utilised in the </w:t>
      </w:r>
      <w:r w:rsidR="00133425" w:rsidRPr="002C21B8">
        <w:t>multivariable mixed-effects</w:t>
      </w:r>
      <w:r w:rsidRPr="002C21B8">
        <w:t xml:space="preserve"> logistic regression analysis were those routinely available in the RaDaR database:</w:t>
      </w:r>
    </w:p>
    <w:p w14:paraId="73ABB99D" w14:textId="5E58AE7A" w:rsidR="00BE455E" w:rsidRPr="002C21B8" w:rsidRDefault="00BE455E" w:rsidP="00A97F07">
      <w:pPr>
        <w:pStyle w:val="ListParagraph"/>
        <w:numPr>
          <w:ilvl w:val="0"/>
          <w:numId w:val="5"/>
        </w:numPr>
      </w:pPr>
      <w:r w:rsidRPr="002C21B8">
        <w:t>Patient-related variables</w:t>
      </w:r>
      <w:r w:rsidR="0034034F" w:rsidRPr="002C21B8">
        <w:t xml:space="preserve"> – </w:t>
      </w:r>
      <w:r w:rsidRPr="002C21B8">
        <w:t>age, sex</w:t>
      </w:r>
    </w:p>
    <w:p w14:paraId="1DFCA59D" w14:textId="4F666358" w:rsidR="00BE455E" w:rsidRPr="002C21B8" w:rsidRDefault="00BE455E" w:rsidP="00A97F07">
      <w:pPr>
        <w:pStyle w:val="ListParagraph"/>
        <w:numPr>
          <w:ilvl w:val="0"/>
          <w:numId w:val="5"/>
        </w:numPr>
      </w:pPr>
      <w:r w:rsidRPr="002C21B8">
        <w:t xml:space="preserve">Physiology-related variables </w:t>
      </w:r>
      <w:r w:rsidR="0034034F" w:rsidRPr="002C21B8">
        <w:t xml:space="preserve">– </w:t>
      </w:r>
      <w:r w:rsidRPr="002C21B8">
        <w:t>CKD stage, eGFR</w:t>
      </w:r>
    </w:p>
    <w:p w14:paraId="006A28F8" w14:textId="66B1CA4C" w:rsidR="00BE455E" w:rsidRPr="002C21B8" w:rsidRDefault="00BE455E" w:rsidP="00A97F07">
      <w:pPr>
        <w:pStyle w:val="ListParagraph"/>
        <w:numPr>
          <w:ilvl w:val="0"/>
          <w:numId w:val="5"/>
        </w:numPr>
      </w:pPr>
      <w:r w:rsidRPr="002C21B8">
        <w:t>Healthcare-related variables</w:t>
      </w:r>
      <w:r w:rsidR="0034034F" w:rsidRPr="002C21B8">
        <w:t xml:space="preserve"> –</w:t>
      </w:r>
      <w:r w:rsidRPr="002C21B8">
        <w:t xml:space="preserve"> year of eligibility</w:t>
      </w:r>
    </w:p>
    <w:p w14:paraId="03B256AA" w14:textId="7C97DC64" w:rsidR="00BE455E" w:rsidRPr="002C21B8" w:rsidRDefault="00BE455E" w:rsidP="00BE455E">
      <w:r w:rsidRPr="002C21B8">
        <w:t xml:space="preserve">Patient and physiology-related variables included in the analysis were selected based on the findings of the conceptual model developed in </w:t>
      </w:r>
      <w:hyperlink w:anchor="_–_Systematic_review" w:history="1">
        <w:r w:rsidRPr="002C21B8">
          <w:rPr>
            <w:rStyle w:val="Hyperlink"/>
          </w:rPr>
          <w:t xml:space="preserve">Chapter </w:t>
        </w:r>
        <w:r w:rsidR="00B54536" w:rsidRPr="002C21B8">
          <w:rPr>
            <w:rStyle w:val="Hyperlink"/>
          </w:rPr>
          <w:t>4</w:t>
        </w:r>
      </w:hyperlink>
      <w:r w:rsidRPr="002C21B8">
        <w:t xml:space="preserve"> </w:t>
      </w:r>
      <w:r w:rsidRPr="002C21B8">
        <w:fldChar w:fldCharType="begin"/>
      </w:r>
      <w:r w:rsidR="00763983" w:rsidRPr="002C21B8">
        <w:instrText xml:space="preserve"> ADDIN EN.CITE &lt;EndNote&gt;&lt;Cite&gt;&lt;Author&gt;Gittus&lt;/Author&gt;&lt;Year&gt;2025&lt;/Year&gt;&lt;RecNum&gt;124980&lt;/RecNum&gt;&lt;DisplayText&gt;(Gittus&lt;style face="italic"&gt; et al.&lt;/style&gt;, 2025b)&lt;/DisplayText&gt;&lt;record&gt;&lt;rec-number&gt;124980&lt;/rec-number&gt;&lt;foreign-keys&gt;&lt;key app="EN" db-id="xpefzwa5hf9dt2ea9fax95x7xvxz90v09dtf" timestamp="1755521775"&gt;124980&lt;/key&gt;&lt;/foreign-keys&gt;&lt;ref-type name="Journal Article"&gt;17&lt;/ref-type&gt;&lt;contributors&gt;&lt;authors&gt;&lt;author&gt;Gittus, Matthew&lt;/author&gt;&lt;author&gt;O’Cathain, Alicia&lt;/author&gt;&lt;author&gt;Miller, Katherine&lt;/author&gt;&lt;author&gt;Oklopcic, Anja&lt;/author&gt;&lt;author&gt;Ong, Albert C&lt;/author&gt;&lt;author&gt;Fotheringham, James&lt;/author&gt;&lt;/authors&gt;&lt;/contributors&gt;&lt;titles&gt;&lt;title&gt;A conceptual model of factors potentially influencing prescribing decisions for chronic conditions: an overview of systematic reviews&lt;/title&gt;&lt;secondary-title&gt;BMC Medicine&lt;/secondary-title&gt;&lt;/titles&gt;&lt;periodical&gt;&lt;full-title&gt;BMC medicine&lt;/full-title&gt;&lt;/periodical&gt;&lt;pages&gt;364&lt;/pages&gt;&lt;volume&gt;23&lt;/volume&gt;&lt;number&gt;1&lt;/number&gt;&lt;dates&gt;&lt;year&gt;2025&lt;/year&gt;&lt;/dates&gt;&lt;isbn&gt;1741-7015&lt;/isbn&gt;&lt;urls&gt;&lt;/urls&gt;&lt;/record&gt;&lt;/Cite&gt;&lt;/EndNote&gt;</w:instrText>
      </w:r>
      <w:r w:rsidRPr="002C21B8">
        <w:fldChar w:fldCharType="separate"/>
      </w:r>
      <w:r w:rsidRPr="002C21B8">
        <w:rPr>
          <w:noProof/>
        </w:rPr>
        <w:t>(Gittus</w:t>
      </w:r>
      <w:r w:rsidRPr="002C21B8">
        <w:rPr>
          <w:i/>
          <w:noProof/>
        </w:rPr>
        <w:t xml:space="preserve"> et al.</w:t>
      </w:r>
      <w:r w:rsidRPr="002C21B8">
        <w:rPr>
          <w:noProof/>
        </w:rPr>
        <w:t>, 2025b)</w:t>
      </w:r>
      <w:r w:rsidRPr="002C21B8">
        <w:fldChar w:fldCharType="end"/>
      </w:r>
      <w:r w:rsidRPr="002C21B8">
        <w:t>. The year of eligibility was also included in the model as it was assumed that the likelihood of tolvaptan being prescribed could change with time due to</w:t>
      </w:r>
      <w:r w:rsidR="00F87D95" w:rsidRPr="002C21B8">
        <w:t xml:space="preserve"> the</w:t>
      </w:r>
      <w:r w:rsidRPr="002C21B8">
        <w:t xml:space="preserve"> dissemination of research findings</w:t>
      </w:r>
      <w:r w:rsidR="0097614F" w:rsidRPr="002C21B8">
        <w:t>,</w:t>
      </w:r>
      <w:r w:rsidRPr="002C21B8">
        <w:t xml:space="preserve"> guidance</w:t>
      </w:r>
      <w:r w:rsidR="0097614F" w:rsidRPr="002C21B8">
        <w:t xml:space="preserve"> and familiarity with the medication</w:t>
      </w:r>
      <w:r w:rsidRPr="002C21B8">
        <w:t>.</w:t>
      </w:r>
    </w:p>
    <w:p w14:paraId="6BB35D72" w14:textId="77777777" w:rsidR="00BE455E" w:rsidRPr="002C21B8" w:rsidRDefault="00BE455E" w:rsidP="00BE455E">
      <w:pPr>
        <w:pStyle w:val="Heading5"/>
        <w:rPr>
          <w:i/>
          <w:iCs/>
        </w:rPr>
      </w:pPr>
      <w:r w:rsidRPr="002C21B8">
        <w:rPr>
          <w:i/>
          <w:iCs/>
        </w:rPr>
        <w:t xml:space="preserve">Statistical analysis </w:t>
      </w:r>
    </w:p>
    <w:p w14:paraId="5CF14AF6" w14:textId="6F7B2E13" w:rsidR="00D85789" w:rsidRPr="002C21B8" w:rsidRDefault="00BE455E" w:rsidP="00BE455E">
      <w:r w:rsidRPr="002C21B8">
        <w:t>Univaria</w:t>
      </w:r>
      <w:r w:rsidR="00371AC2" w:rsidRPr="002C21B8">
        <w:t>ble</w:t>
      </w:r>
      <w:r w:rsidRPr="002C21B8">
        <w:t xml:space="preserve"> logistic regression analysis was first performed for each covariate. </w:t>
      </w:r>
      <w:r w:rsidR="004904DE" w:rsidRPr="002C21B8">
        <w:t>Cov</w:t>
      </w:r>
      <w:r w:rsidRPr="002C21B8">
        <w:t>aria</w:t>
      </w:r>
      <w:r w:rsidR="004904DE" w:rsidRPr="002C21B8">
        <w:t>t</w:t>
      </w:r>
      <w:r w:rsidRPr="002C21B8">
        <w:t>es showing a statistically significant association with tolvaptan initiation (</w:t>
      </w:r>
      <w:r w:rsidR="00305B86" w:rsidRPr="002C21B8">
        <w:t>p</w:t>
      </w:r>
      <w:r w:rsidR="00470B97" w:rsidRPr="002C21B8">
        <w:t xml:space="preserve"> </w:t>
      </w:r>
      <w:r w:rsidRPr="002C21B8">
        <w:t xml:space="preserve">&lt;0.05) were included in a </w:t>
      </w:r>
      <w:r w:rsidR="00133425" w:rsidRPr="002C21B8">
        <w:t>multivariable mixed-effects</w:t>
      </w:r>
      <w:r w:rsidRPr="002C21B8">
        <w:t xml:space="preserve"> logistic regression model to identify independent predictors.</w:t>
      </w:r>
      <w:r w:rsidR="004904DE" w:rsidRPr="002C21B8">
        <w:t xml:space="preserve"> A random intercept for </w:t>
      </w:r>
      <w:r w:rsidR="00696BE7" w:rsidRPr="002C21B8">
        <w:t xml:space="preserve">the </w:t>
      </w:r>
      <w:r w:rsidR="004904DE" w:rsidRPr="002C21B8">
        <w:t xml:space="preserve">kidney centre was included to account for clustering of patients within centres. </w:t>
      </w:r>
      <w:r w:rsidR="00370192" w:rsidRPr="002C21B8">
        <w:t>The unit of analysis for regression w</w:t>
      </w:r>
      <w:r w:rsidR="00696BE7" w:rsidRPr="002C21B8">
        <w:t>as</w:t>
      </w:r>
      <w:r w:rsidR="00370192" w:rsidRPr="002C21B8">
        <w:t xml:space="preserve"> at the patient level with clustering by centres. </w:t>
      </w:r>
      <w:r w:rsidR="004904DE" w:rsidRPr="002C21B8">
        <w:t>No centre-level covariates were included in the primary model.</w:t>
      </w:r>
      <w:r w:rsidR="0011012A" w:rsidRPr="002C21B8">
        <w:t xml:space="preserve"> No formal internal validation of the predictive models was undertaken as the analysis was exploratory and aimed </w:t>
      </w:r>
      <w:r w:rsidR="00470B97" w:rsidRPr="002C21B8">
        <w:t>to</w:t>
      </w:r>
      <w:r w:rsidR="00D22BF0" w:rsidRPr="002C21B8">
        <w:t xml:space="preserve"> explain</w:t>
      </w:r>
      <w:r w:rsidR="0011012A" w:rsidRPr="002C21B8">
        <w:t xml:space="preserve"> variation rather than develop a clinical prediction tool</w:t>
      </w:r>
      <w:r w:rsidR="00D22BF0" w:rsidRPr="002C21B8">
        <w:t>. Exploratory sensitivity analyses were conducted to assess the robustness of findings to key model specifications and eligibility definitions</w:t>
      </w:r>
      <w:r w:rsidR="00C3346B" w:rsidRPr="002C21B8">
        <w:t>,</w:t>
      </w:r>
      <w:r w:rsidR="00D22BF0" w:rsidRPr="002C21B8">
        <w:t xml:space="preserve"> including variation in eligibility thresholds and regression model covariate structure.</w:t>
      </w:r>
    </w:p>
    <w:p w14:paraId="48C02B49" w14:textId="6345C456" w:rsidR="00BE455E" w:rsidRPr="002C21B8" w:rsidRDefault="00BE455E" w:rsidP="00277D94">
      <w:pPr>
        <w:spacing w:before="240" w:after="0"/>
        <w:rPr>
          <w:u w:val="single"/>
        </w:rPr>
      </w:pPr>
      <w:r w:rsidRPr="002C21B8">
        <w:rPr>
          <w:u w:val="single"/>
        </w:rPr>
        <w:t>1</w:t>
      </w:r>
      <w:r w:rsidR="000E44F5" w:rsidRPr="002C21B8">
        <w:rPr>
          <w:u w:val="single"/>
        </w:rPr>
        <w:t>.</w:t>
      </w:r>
      <w:r w:rsidRPr="002C21B8">
        <w:rPr>
          <w:u w:val="single"/>
        </w:rPr>
        <w:t xml:space="preserve"> Model for initiation among eligible patients</w:t>
      </w:r>
    </w:p>
    <w:p w14:paraId="0F497C9E" w14:textId="4035DC1C" w:rsidR="00BE455E" w:rsidRPr="002C21B8" w:rsidRDefault="00BE455E" w:rsidP="00BE455E">
      <w:r w:rsidRPr="002C21B8">
        <w:t xml:space="preserve">A </w:t>
      </w:r>
      <w:r w:rsidR="00133425" w:rsidRPr="002C21B8">
        <w:t>multivariable mixed-effects</w:t>
      </w:r>
      <w:r w:rsidRPr="002C21B8">
        <w:t xml:space="preserve"> logistic regression model was developed to predict the probability that an eligible patient would be initiated on tolvaptan according to RA eligibility criteria. The outcome variable was binary, coded as 1 if the patient was initiated and 0 if not. The predicted probability of initiation for each patient was calculated as:</w:t>
      </w:r>
    </w:p>
    <w:p w14:paraId="113E7EDC" w14:textId="77777777" w:rsidR="00BE455E" w:rsidRPr="002C21B8" w:rsidRDefault="00BE455E" w:rsidP="00BE455E">
      <m:oMathPara>
        <m:oMath>
          <m:r>
            <w:rPr>
              <w:rFonts w:ascii="Cambria Math" w:hAnsi="Cambria Math"/>
            </w:rPr>
            <m:t>P</m:t>
          </m:r>
          <m:d>
            <m:dPr>
              <m:ctrlPr>
                <w:rPr>
                  <w:rFonts w:ascii="Cambria Math" w:hAnsi="Cambria Math"/>
                </w:rPr>
              </m:ctrlPr>
            </m:dPr>
            <m:e>
              <m:r>
                <w:rPr>
                  <w:rFonts w:ascii="Cambria Math" w:hAnsi="Cambria Math"/>
                </w:rPr>
                <m:t>initiation</m:t>
              </m:r>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n</m:t>
                          </m:r>
                        </m:sub>
                      </m:sSub>
                      <m:sSub>
                        <m:sSubPr>
                          <m:ctrlPr>
                            <w:rPr>
                              <w:rFonts w:ascii="Cambria Math" w:hAnsi="Cambria Math"/>
                            </w:rPr>
                          </m:ctrlPr>
                        </m:sSubPr>
                        <m:e>
                          <m:r>
                            <w:rPr>
                              <w:rFonts w:ascii="Cambria Math" w:hAnsi="Cambria Math"/>
                            </w:rPr>
                            <m:t>X</m:t>
                          </m:r>
                        </m:e>
                        <m:sub>
                          <m:r>
                            <w:rPr>
                              <w:rFonts w:ascii="Cambria Math" w:hAnsi="Cambria Math"/>
                            </w:rPr>
                            <m:t>n</m:t>
                          </m:r>
                        </m:sub>
                      </m:sSub>
                    </m:e>
                  </m:d>
                </m:sup>
              </m:sSup>
            </m:den>
          </m:f>
        </m:oMath>
      </m:oMathPara>
    </w:p>
    <w:p w14:paraId="25958003" w14:textId="77777777" w:rsidR="00BE455E" w:rsidRPr="002C21B8" w:rsidRDefault="00BE455E" w:rsidP="00BE455E">
      <w:r w:rsidRPr="002C21B8">
        <w:t>Where X</w:t>
      </w:r>
      <w:r w:rsidRPr="002C21B8">
        <w:rPr>
          <w:vertAlign w:val="subscript"/>
        </w:rPr>
        <w:t>1</w:t>
      </w:r>
      <w:r w:rsidRPr="002C21B8">
        <w:t>, X</w:t>
      </w:r>
      <w:r w:rsidRPr="002C21B8">
        <w:rPr>
          <w:vertAlign w:val="subscript"/>
        </w:rPr>
        <w:t>2</w:t>
      </w:r>
      <w:r w:rsidRPr="002C21B8">
        <w:t>, … X</w:t>
      </w:r>
      <w:r w:rsidRPr="002C21B8">
        <w:rPr>
          <w:vertAlign w:val="subscript"/>
        </w:rPr>
        <w:t>n</w:t>
      </w:r>
      <w:r w:rsidRPr="002C21B8">
        <w:t xml:space="preserve"> are patient covariates, b</w:t>
      </w:r>
      <w:r w:rsidRPr="002C21B8">
        <w:rPr>
          <w:vertAlign w:val="subscript"/>
        </w:rPr>
        <w:t>0</w:t>
      </w:r>
      <w:r w:rsidRPr="002C21B8">
        <w:t xml:space="preserve"> is the intercept and b</w:t>
      </w:r>
      <w:r w:rsidRPr="002C21B8">
        <w:rPr>
          <w:vertAlign w:val="subscript"/>
        </w:rPr>
        <w:t>1</w:t>
      </w:r>
      <w:r w:rsidRPr="002C21B8">
        <w:t>, b</w:t>
      </w:r>
      <w:r w:rsidRPr="002C21B8">
        <w:rPr>
          <w:vertAlign w:val="subscript"/>
        </w:rPr>
        <w:t>2</w:t>
      </w:r>
      <w:r w:rsidRPr="002C21B8">
        <w:t>, … b</w:t>
      </w:r>
      <w:r w:rsidRPr="002C21B8">
        <w:rPr>
          <w:vertAlign w:val="subscript"/>
        </w:rPr>
        <w:t>n</w:t>
      </w:r>
      <w:r w:rsidRPr="002C21B8">
        <w:t xml:space="preserve"> are regression coefficients. Summing these probabilities across patients within each kidney centre yielded the expected number of initiations, which was then compared with the observed number to calculate the Indirectly Standardised Ratio (ISR):</w:t>
      </w:r>
    </w:p>
    <w:p w14:paraId="735CAE81" w14:textId="77777777" w:rsidR="00BE455E" w:rsidRPr="002C21B8" w:rsidRDefault="00BE455E" w:rsidP="00BE455E">
      <m:oMathPara>
        <m:oMath>
          <m:r>
            <w:rPr>
              <w:rFonts w:ascii="Cambria Math" w:hAnsi="Cambria Math"/>
            </w:rPr>
            <m:t>ISR</m:t>
          </m:r>
          <m:r>
            <m:rPr>
              <m:sty m:val="p"/>
            </m:rPr>
            <w:rPr>
              <w:rFonts w:ascii="Cambria Math" w:hAnsi="Cambria Math"/>
            </w:rPr>
            <m:t>=</m:t>
          </m:r>
          <m:f>
            <m:fPr>
              <m:ctrlPr>
                <w:rPr>
                  <w:rFonts w:ascii="Cambria Math" w:hAnsi="Cambria Math"/>
                </w:rPr>
              </m:ctrlPr>
            </m:fPr>
            <m:num>
              <m:r>
                <w:rPr>
                  <w:rFonts w:ascii="Cambria Math" w:hAnsi="Cambria Math"/>
                </w:rPr>
                <m:t>Observed</m:t>
              </m:r>
              <m:r>
                <m:rPr>
                  <m:sty m:val="p"/>
                </m:rPr>
                <w:rPr>
                  <w:rFonts w:ascii="Cambria Math" w:hAnsi="Cambria Math"/>
                </w:rPr>
                <m:t xml:space="preserve"> </m:t>
              </m:r>
              <m:r>
                <w:rPr>
                  <w:rFonts w:ascii="Cambria Math" w:hAnsi="Cambria Math"/>
                </w:rPr>
                <m:t>Initiated</m:t>
              </m:r>
              <m:r>
                <m:rPr>
                  <m:sty m:val="p"/>
                </m:rPr>
                <w:rPr>
                  <w:rFonts w:ascii="Cambria Math" w:hAnsi="Cambria Math"/>
                </w:rPr>
                <m:t xml:space="preserve"> </m:t>
              </m:r>
              <m:r>
                <w:rPr>
                  <w:rFonts w:ascii="Cambria Math" w:hAnsi="Cambria Math"/>
                </w:rPr>
                <m:t>Patients</m:t>
              </m:r>
              <m:r>
                <m:rPr>
                  <m:sty m:val="p"/>
                </m:rPr>
                <w:rPr>
                  <w:rFonts w:ascii="Cambria Math" w:hAnsi="Cambria Math"/>
                </w:rPr>
                <m:t xml:space="preserve"> (</m:t>
              </m:r>
              <m:r>
                <w:rPr>
                  <w:rFonts w:ascii="Cambria Math" w:hAnsi="Cambria Math"/>
                </w:rPr>
                <m:t>O</m:t>
              </m:r>
              <m:r>
                <m:rPr>
                  <m:sty m:val="p"/>
                </m:rPr>
                <w:rPr>
                  <w:rFonts w:ascii="Cambria Math" w:hAnsi="Cambria Math"/>
                </w:rPr>
                <m:t>)</m:t>
              </m:r>
            </m:num>
            <m:den>
              <m:r>
                <w:rPr>
                  <w:rFonts w:ascii="Cambria Math" w:hAnsi="Cambria Math"/>
                </w:rPr>
                <m:t>Expected</m:t>
              </m:r>
              <m:r>
                <m:rPr>
                  <m:sty m:val="p"/>
                </m:rPr>
                <w:rPr>
                  <w:rFonts w:ascii="Cambria Math" w:hAnsi="Cambria Math"/>
                </w:rPr>
                <m:t xml:space="preserve"> </m:t>
              </m:r>
              <m:r>
                <w:rPr>
                  <w:rFonts w:ascii="Cambria Math" w:hAnsi="Cambria Math"/>
                </w:rPr>
                <m:t>Initiated</m:t>
              </m:r>
              <m:r>
                <m:rPr>
                  <m:sty m:val="p"/>
                </m:rPr>
                <w:rPr>
                  <w:rFonts w:ascii="Cambria Math" w:hAnsi="Cambria Math"/>
                </w:rPr>
                <m:t xml:space="preserve"> </m:t>
              </m:r>
              <m:r>
                <w:rPr>
                  <w:rFonts w:ascii="Cambria Math" w:hAnsi="Cambria Math"/>
                </w:rPr>
                <m:t>Patients</m:t>
              </m:r>
              <m:r>
                <m:rPr>
                  <m:sty m:val="p"/>
                </m:rPr>
                <w:rPr>
                  <w:rFonts w:ascii="Cambria Math" w:hAnsi="Cambria Math"/>
                </w:rPr>
                <m:t xml:space="preserve"> (</m:t>
              </m:r>
              <m:r>
                <w:rPr>
                  <w:rFonts w:ascii="Cambria Math" w:hAnsi="Cambria Math"/>
                </w:rPr>
                <m:t>E</m:t>
              </m:r>
              <m:r>
                <m:rPr>
                  <m:sty m:val="p"/>
                </m:rPr>
                <w:rPr>
                  <w:rFonts w:ascii="Cambria Math" w:hAnsi="Cambria Math"/>
                </w:rPr>
                <m:t>)</m:t>
              </m:r>
            </m:den>
          </m:f>
          <m:r>
            <m:rPr>
              <m:sty m:val="p"/>
            </m:rPr>
            <w:rPr>
              <w:rFonts w:ascii="Cambria Math" w:hAnsi="Cambria Math"/>
            </w:rPr>
            <m:t xml:space="preserve"> </m:t>
          </m:r>
          <m:r>
            <w:rPr>
              <w:rFonts w:ascii="Cambria Math" w:hAnsi="Cambria Math"/>
            </w:rPr>
            <m:t>x</m:t>
          </m:r>
          <m:r>
            <m:rPr>
              <m:sty m:val="p"/>
            </m:rPr>
            <w:rPr>
              <w:rFonts w:ascii="Cambria Math" w:hAnsi="Cambria Math"/>
            </w:rPr>
            <m:t>100</m:t>
          </m:r>
        </m:oMath>
      </m:oMathPara>
    </w:p>
    <w:p w14:paraId="459F8CA4" w14:textId="4EFC27DD" w:rsidR="00BE455E" w:rsidRPr="002C21B8" w:rsidRDefault="00BE455E" w:rsidP="00BE455E">
      <w:r w:rsidRPr="002C21B8">
        <w:t>An ISR greater than 100 indicates that a centre initiated more eligible patients than expected</w:t>
      </w:r>
      <w:r w:rsidR="00175C90" w:rsidRPr="002C21B8">
        <w:t>; a</w:t>
      </w:r>
      <w:r w:rsidRPr="002C21B8">
        <w:t>n ISR less than 100 indicates that a centre initiated fewer eligible patients than expected. These ISRs were used to construct funnel plots showing centre-level adherence to eligibility criteria, with control limits adjusted for overdispersion and relevant patient-level factors.</w:t>
      </w:r>
    </w:p>
    <w:p w14:paraId="14E33A22" w14:textId="518755BD" w:rsidR="00BE455E" w:rsidRPr="002C21B8" w:rsidRDefault="00BE455E" w:rsidP="00277D94">
      <w:pPr>
        <w:spacing w:before="240" w:after="0"/>
        <w:rPr>
          <w:u w:val="single"/>
        </w:rPr>
      </w:pPr>
      <w:r w:rsidRPr="002C21B8">
        <w:rPr>
          <w:u w:val="single"/>
        </w:rPr>
        <w:t>2</w:t>
      </w:r>
      <w:r w:rsidR="000E44F5" w:rsidRPr="002C21B8">
        <w:rPr>
          <w:u w:val="single"/>
        </w:rPr>
        <w:t xml:space="preserve">. </w:t>
      </w:r>
      <w:r w:rsidRPr="002C21B8">
        <w:rPr>
          <w:u w:val="single"/>
        </w:rPr>
        <w:t>Model for eligibility among initiated patients</w:t>
      </w:r>
    </w:p>
    <w:p w14:paraId="59BF2BED" w14:textId="38655F0D" w:rsidR="00D22BF0" w:rsidRPr="002C21B8" w:rsidRDefault="00BE455E" w:rsidP="00405C98">
      <w:r w:rsidRPr="002C21B8">
        <w:t xml:space="preserve">A separate </w:t>
      </w:r>
      <w:r w:rsidR="00133425" w:rsidRPr="002C21B8">
        <w:t>multivariable mixed-effects</w:t>
      </w:r>
      <w:r w:rsidRPr="002C21B8">
        <w:t xml:space="preserve"> logistic regression model was developed to estimate the probability tha</w:t>
      </w:r>
      <w:r w:rsidR="00696BE7" w:rsidRPr="002C21B8">
        <w:t>t</w:t>
      </w:r>
      <w:r w:rsidRPr="002C21B8">
        <w:t xml:space="preserve"> an initiated patient met the eligibility criteria. The outcome variable was binary, coded as 1 if the patient met the eligibility criteria and 0 if not. Predicted probabilities were summed across initiated patients within each </w:t>
      </w:r>
      <w:r w:rsidR="0009087D" w:rsidRPr="002C21B8">
        <w:t>centre</w:t>
      </w:r>
      <w:r w:rsidRPr="002C21B8">
        <w:t xml:space="preserve"> to produce the expected number of eligible patients. An ISR was calculated in a similar manner to the first model. An ISR greater than 100 indicates that a centre had more initiated patients </w:t>
      </w:r>
      <w:r w:rsidR="00696BE7" w:rsidRPr="002C21B8">
        <w:t xml:space="preserve">who </w:t>
      </w:r>
      <w:r w:rsidRPr="002C21B8">
        <w:t>were eligible than expected, whereas an ISR less than 100 indicates that fewer of the initiated patients were eligible than expected.</w:t>
      </w:r>
    </w:p>
    <w:p w14:paraId="0735CF32" w14:textId="12CCE6CE" w:rsidR="00BE455E" w:rsidRPr="002C21B8" w:rsidRDefault="00BE455E" w:rsidP="00B009EC">
      <w:pPr>
        <w:spacing w:before="240" w:after="0"/>
        <w:rPr>
          <w:b/>
          <w:bCs/>
          <w:sz w:val="24"/>
          <w:szCs w:val="24"/>
        </w:rPr>
      </w:pPr>
      <w:r w:rsidRPr="002C21B8">
        <w:rPr>
          <w:b/>
          <w:bCs/>
          <w:sz w:val="24"/>
          <w:szCs w:val="24"/>
        </w:rPr>
        <w:t>Comparing prescribing rates between kidney centres in the UK</w:t>
      </w:r>
    </w:p>
    <w:p w14:paraId="3C0E0F58" w14:textId="4DA77850" w:rsidR="00D22BF0" w:rsidRPr="002C21B8" w:rsidRDefault="00BE455E" w:rsidP="00BE455E">
      <w:r w:rsidRPr="002C21B8">
        <w:t>Two funnel plots were constructed from the calculated ISRs to compare centres</w:t>
      </w:r>
      <w:r w:rsidR="00B729DD" w:rsidRPr="002C21B8">
        <w:t>,</w:t>
      </w:r>
      <w:r w:rsidRPr="002C21B8">
        <w:t xml:space="preserve"> with different numerators and denominators aligning with the two models above: </w:t>
      </w:r>
    </w:p>
    <w:p w14:paraId="3DDF77A5" w14:textId="77777777" w:rsidR="00585F6D" w:rsidRPr="002C21B8" w:rsidRDefault="00BE455E" w:rsidP="00A97F07">
      <w:pPr>
        <w:pStyle w:val="ListParagraph"/>
        <w:numPr>
          <w:ilvl w:val="0"/>
          <w:numId w:val="59"/>
        </w:numPr>
      </w:pPr>
      <w:r w:rsidRPr="002C21B8">
        <w:t>Tolvaptan initiation among eligible patients by kidney centre</w:t>
      </w:r>
    </w:p>
    <w:p w14:paraId="6C349A0A" w14:textId="04048E9B" w:rsidR="00BE455E" w:rsidRPr="002C21B8" w:rsidRDefault="00BE455E" w:rsidP="00A97F07">
      <w:pPr>
        <w:pStyle w:val="ListParagraph"/>
        <w:numPr>
          <w:ilvl w:val="0"/>
          <w:numId w:val="59"/>
        </w:numPr>
      </w:pPr>
      <w:r w:rsidRPr="002C21B8">
        <w:t>Eligibility among patients initiated on tolvaptan by kidney centre</w:t>
      </w:r>
    </w:p>
    <w:p w14:paraId="39065464" w14:textId="48D03EEE" w:rsidR="00BE455E" w:rsidRPr="002C21B8" w:rsidRDefault="00BE455E" w:rsidP="00BE455E">
      <w:r w:rsidRPr="002C21B8">
        <w:t>Control limits for the funnel plots were calculated assuming a binomial distribution</w:t>
      </w:r>
      <w:r w:rsidR="002E42CB" w:rsidRPr="002C21B8">
        <w:t>. Overdis</w:t>
      </w:r>
      <w:r w:rsidR="00FD2C37" w:rsidRPr="002C21B8">
        <w:t>persion</w:t>
      </w:r>
      <w:r w:rsidR="002E42CB" w:rsidRPr="002C21B8">
        <w:t xml:space="preserve"> was estimated empirically from the data and incorporated into the funnel plot control limits</w:t>
      </w:r>
      <w:r w:rsidRPr="002C21B8">
        <w:t xml:space="preserve"> following the method </w:t>
      </w:r>
      <w:r w:rsidR="002E42CB" w:rsidRPr="002C21B8">
        <w:t>described by</w:t>
      </w:r>
      <w:r w:rsidRPr="002C21B8">
        <w:t xml:space="preserve"> </w:t>
      </w:r>
      <w:r w:rsidRPr="002C21B8">
        <w:fldChar w:fldCharType="begin"/>
      </w:r>
      <w:r w:rsidR="000215B0" w:rsidRPr="002C21B8">
        <w:instrText xml:space="preserve"> ADDIN EN.CITE &lt;EndNote&gt;&lt;Cite AuthorYear="1"&gt;&lt;Author&gt;Spiegelhalter&lt;/Author&gt;&lt;Year&gt;2005&lt;/Year&gt;&lt;RecNum&gt;15221&lt;/RecNum&gt;&lt;DisplayText&gt;Spiegelhalter (2005)&lt;/DisplayText&gt;&lt;record&gt;&lt;rec-number&gt;15221&lt;/rec-number&gt;&lt;foreign-keys&gt;&lt;key app="EN" db-id="xpefzwa5hf9dt2ea9fax95x7xvxz90v09dtf" timestamp="1713355358"&gt;15221&lt;/key&gt;&lt;/foreign-keys&gt;&lt;ref-type name="Journal Article"&gt;17&lt;/ref-type&gt;&lt;contributors&gt;&lt;authors&gt;&lt;author&gt;Spiegelhalter, D. J.&lt;/author&gt;&lt;/authors&gt;&lt;/contributors&gt;&lt;auth-address&gt;MRC Biostatistics Unit, Institute of Public Health, Cambridge CB2 2SR, UK. david.spiegelhalter@mrc-bsu.cam.ac.uk&lt;/auth-address&gt;&lt;titles&gt;&lt;title&gt;Handling over-dispersion of performance indicators&lt;/title&gt;&lt;secondary-title&gt;Quality and Safety in Health Care&lt;/secondary-title&gt;&lt;/titles&gt;&lt;periodical&gt;&lt;full-title&gt;Quality and Safety in Health Care&lt;/full-title&gt;&lt;/periodical&gt;&lt;pages&gt;347-51&lt;/pages&gt;&lt;volume&gt;14&lt;/volume&gt;&lt;number&gt;5&lt;/number&gt;&lt;keywords&gt;&lt;keyword&gt;Adolescent&lt;/keyword&gt;&lt;keyword&gt;Benchmarking&lt;/keyword&gt;&lt;keyword&gt;Cluster Analysis&lt;/keyword&gt;&lt;keyword&gt;Confidence Intervals&lt;/keyword&gt;&lt;keyword&gt;Coronary Artery Bypass/*mortality/*statistics &amp;amp; numerical data&lt;/keyword&gt;&lt;keyword&gt;Emergencies&lt;/keyword&gt;&lt;keyword&gt;Feasibility Studies&lt;/keyword&gt;&lt;keyword&gt;Female&lt;/keyword&gt;&lt;keyword&gt;Humans&lt;/keyword&gt;&lt;keyword&gt;Male&lt;/keyword&gt;&lt;keyword&gt;*Models, Statistical&lt;/keyword&gt;&lt;keyword&gt;Outcome Assessment, Health Care&lt;/keyword&gt;&lt;keyword&gt;Patient Readmission/*statistics &amp;amp; numerical data&lt;/keyword&gt;&lt;keyword&gt;Pregnancy&lt;/keyword&gt;&lt;keyword&gt;Pregnancy in Adolescence/*statistics &amp;amp; numerical data&lt;/keyword&gt;&lt;keyword&gt;*Quality Assurance, Health Care&lt;/keyword&gt;&lt;keyword&gt;Retrospective Studies&lt;/keyword&gt;&lt;keyword&gt;Risk Assessment&lt;/keyword&gt;&lt;keyword&gt;United Kingdom&lt;/keyword&gt;&lt;/keywords&gt;&lt;dates&gt;&lt;year&gt;2005&lt;/year&gt;&lt;pub-dates&gt;&lt;date&gt;Oct&lt;/date&gt;&lt;/pub-dates&gt;&lt;/dates&gt;&lt;isbn&gt;1475-3898 (Print)&amp;#xD;1475-3898&lt;/isbn&gt;&lt;accession-num&gt;16195568&lt;/accession-num&gt;&lt;urls&gt;&lt;/urls&gt;&lt;custom2&gt;PMC1744077&lt;/custom2&gt;&lt;electronic-resource-num&gt;10.1136/qshc.2005.013755&lt;/electronic-resource-num&gt;&lt;remote-database-provider&gt;NLM&lt;/remote-database-provider&gt;&lt;language&gt;eng&lt;/language&gt;&lt;/record&gt;&lt;/Cite&gt;&lt;/EndNote&gt;</w:instrText>
      </w:r>
      <w:r w:rsidRPr="002C21B8">
        <w:fldChar w:fldCharType="separate"/>
      </w:r>
      <w:r w:rsidRPr="002C21B8">
        <w:rPr>
          <w:noProof/>
        </w:rPr>
        <w:t>Spiegelhalter (2005)</w:t>
      </w:r>
      <w:r w:rsidRPr="002C21B8">
        <w:fldChar w:fldCharType="end"/>
      </w:r>
      <w:r w:rsidRPr="002C21B8">
        <w:t>. Funnel plots were presented both u</w:t>
      </w:r>
      <w:r w:rsidR="00B729DD" w:rsidRPr="002C21B8">
        <w:t>n</w:t>
      </w:r>
      <w:r w:rsidRPr="002C21B8">
        <w:t>adjusted and adjusted for statistically significant patient-level variables identified in the logistic regression models.</w:t>
      </w:r>
    </w:p>
    <w:p w14:paraId="42E0433D" w14:textId="0160836F" w:rsidR="00BE455E" w:rsidRPr="002C21B8" w:rsidRDefault="00BE455E" w:rsidP="00BE455E">
      <w:r w:rsidRPr="002C21B8">
        <w:t>For each kidney centre</w:t>
      </w:r>
      <w:r w:rsidR="00C3346B" w:rsidRPr="002C21B8">
        <w:t>,</w:t>
      </w:r>
      <w:r w:rsidRPr="002C21B8">
        <w:t xml:space="preserve"> the ISR was plotted against the expected number of events. Control limits were shown at both ±2 and ±3 standard deviations from the expected value, corresponding approximately to 95% and 99.8% confidence intervals (CI), respectively. Kidney centres outside the 95% or 99.8% CI limits were considered </w:t>
      </w:r>
      <w:r w:rsidR="0022745F" w:rsidRPr="002C21B8">
        <w:t>centre</w:t>
      </w:r>
      <w:r w:rsidRPr="002C21B8">
        <w:t>s</w:t>
      </w:r>
      <w:r w:rsidR="0022745F" w:rsidRPr="002C21B8">
        <w:t xml:space="preserve"> of interest</w:t>
      </w:r>
      <w:r w:rsidRPr="002C21B8">
        <w:t xml:space="preserve"> and eligible for inclusion in the multiple case study, in line with </w:t>
      </w:r>
      <w:r w:rsidR="00F87D95" w:rsidRPr="002C21B8">
        <w:t>the Q</w:t>
      </w:r>
      <w:r w:rsidRPr="002C21B8">
        <w:t xml:space="preserve">RA </w:t>
      </w:r>
      <w:r w:rsidR="00F87D95" w:rsidRPr="002C21B8">
        <w:t>approach</w:t>
      </w:r>
      <w:r w:rsidRPr="002C21B8">
        <w:t xml:space="preserve"> </w:t>
      </w:r>
      <w:r w:rsidRPr="002C21B8">
        <w:fldChar w:fldCharType="begin"/>
      </w:r>
      <w:r w:rsidRPr="002C21B8">
        <w:instrText xml:space="preserve"> ADDIN EN.CITE &lt;EndNote&gt;&lt;Cite&gt;&lt;Author&gt;O&amp;apos;Cathain&lt;/Author&gt;&lt;Year&gt;2006&lt;/Year&gt;&lt;RecNum&gt;5196&lt;/RecNum&gt;&lt;DisplayText&gt;(O&amp;apos;Cathain, 2006)&lt;/DisplayText&gt;&lt;record&gt;&lt;rec-number&gt;5196&lt;/rec-number&gt;&lt;foreign-keys&gt;&lt;key app="EN" db-id="xpefzwa5hf9dt2ea9fax95x7xvxz90v09dtf" timestamp="1700667132"&gt;5196&lt;/key&gt;&lt;/foreign-keys&gt;&lt;ref-type name="Thesis"&gt;32&lt;/ref-type&gt;&lt;contributors&gt;&lt;authors&gt;&lt;author&gt;O&amp;apos;Cathain, Alicia&lt;/author&gt;&lt;/authors&gt;&lt;/contributors&gt;&lt;titles&gt;&lt;title&gt;Exploiting the potential of mixed methods studies in health services research&lt;/title&gt;&lt;/titles&gt;&lt;dates&gt;&lt;year&gt;2006&lt;/year&gt;&lt;/dates&gt;&lt;publisher&gt;University of Sheffield&lt;/publisher&gt;&lt;urls&gt;&lt;/urls&gt;&lt;/record&gt;&lt;/Cite&gt;&lt;/EndNote&gt;</w:instrText>
      </w:r>
      <w:r w:rsidRPr="002C21B8">
        <w:fldChar w:fldCharType="separate"/>
      </w:r>
      <w:r w:rsidRPr="002C21B8">
        <w:t>(O'Cathain, 2006)</w:t>
      </w:r>
      <w:r w:rsidRPr="002C21B8">
        <w:fldChar w:fldCharType="end"/>
      </w:r>
      <w:r w:rsidRPr="002C21B8">
        <w:t>.</w:t>
      </w:r>
    </w:p>
    <w:p w14:paraId="30805CDE" w14:textId="49607102" w:rsidR="00BE455E" w:rsidRPr="002C21B8" w:rsidRDefault="00BE455E" w:rsidP="004507C8">
      <w:pPr>
        <w:pStyle w:val="Heading3"/>
        <w:numPr>
          <w:ilvl w:val="0"/>
          <w:numId w:val="0"/>
        </w:numPr>
      </w:pPr>
      <w:r w:rsidRPr="002C21B8">
        <w:t xml:space="preserve">Health and </w:t>
      </w:r>
      <w:r w:rsidR="00277D94" w:rsidRPr="002C21B8">
        <w:t>economic</w:t>
      </w:r>
      <w:r w:rsidRPr="002C21B8">
        <w:t xml:space="preserve"> implications</w:t>
      </w:r>
    </w:p>
    <w:p w14:paraId="47778518" w14:textId="40E70E94" w:rsidR="00BE455E" w:rsidRPr="002C21B8" w:rsidRDefault="00BE455E" w:rsidP="00BE455E">
      <w:r w:rsidRPr="002C21B8">
        <w:t xml:space="preserve">A deterministic budget impact and cost-effectiveness model was developed based on the principles outlined by </w:t>
      </w:r>
      <w:r w:rsidRPr="002C21B8">
        <w:fldChar w:fldCharType="begin"/>
      </w:r>
      <w:r w:rsidRPr="002C21B8">
        <w:instrText xml:space="preserve"> ADDIN EN.CITE &lt;EndNote&gt;&lt;Cite AuthorYear="1"&gt;&lt;Author&gt;Sullivan&lt;/Author&gt;&lt;Year&gt;2014&lt;/Year&gt;&lt;RecNum&gt;125055&lt;/RecNum&gt;&lt;DisplayText&gt;Sullivan&lt;style face="italic"&gt; et al.&lt;/style&gt; (2014)&lt;/DisplayText&gt;&lt;record&gt;&lt;rec-number&gt;125055&lt;/rec-number&gt;&lt;foreign-keys&gt;&lt;key app="EN" db-id="xpefzwa5hf9dt2ea9fax95x7xvxz90v09dtf" timestamp="1761322983"&gt;125055&lt;/key&gt;&lt;/foreign-keys&gt;&lt;ref-type name="Journal Article"&gt;17&lt;/ref-type&gt;&lt;contributors&gt;&lt;authors&gt;&lt;author&gt;Sullivan, Sean D&lt;/author&gt;&lt;author&gt;Mauskopf, Josephine A&lt;/author&gt;&lt;author&gt;Augustovski, Federico&lt;/author&gt;&lt;author&gt;Caro, J Jaime&lt;/author&gt;&lt;author&gt;Lee, Karen M&lt;/author&gt;&lt;author&gt;Minchin, Mark&lt;/author&gt;&lt;author&gt;Orlewska, Ewa&lt;/author&gt;&lt;author&gt;Penna, Pete&lt;/author&gt;&lt;author&gt;Barrios, Jose-Manuel Rodriguez&lt;/author&gt;&lt;author&gt;Shau, Wen-Yi&lt;/author&gt;&lt;/authors&gt;&lt;/contributors&gt;&lt;titles&gt;&lt;title&gt;Budget impact analysis—principles of good practice: report of the ISPOR 2012 Budget Impact Analysis Good Practice II Task Force&lt;/title&gt;&lt;secondary-title&gt;Value in health&lt;/secondary-title&gt;&lt;/titles&gt;&lt;periodical&gt;&lt;full-title&gt;Value in Health&lt;/full-title&gt;&lt;/periodical&gt;&lt;pages&gt;5-14&lt;/pages&gt;&lt;volume&gt;17&lt;/volume&gt;&lt;number&gt;1&lt;/number&gt;&lt;dates&gt;&lt;year&gt;2014&lt;/year&gt;&lt;/dates&gt;&lt;isbn&gt;1098-3015&lt;/isbn&gt;&lt;urls&gt;&lt;/urls&gt;&lt;/record&gt;&lt;/Cite&gt;&lt;/EndNote&gt;</w:instrText>
      </w:r>
      <w:r w:rsidRPr="002C21B8">
        <w:fldChar w:fldCharType="separate"/>
      </w:r>
      <w:r w:rsidRPr="002C21B8">
        <w:t>Sullivan</w:t>
      </w:r>
      <w:r w:rsidRPr="002C21B8">
        <w:rPr>
          <w:i/>
        </w:rPr>
        <w:t xml:space="preserve"> et al.</w:t>
      </w:r>
      <w:r w:rsidRPr="002C21B8">
        <w:t xml:space="preserve"> (2014)</w:t>
      </w:r>
      <w:r w:rsidRPr="002C21B8">
        <w:fldChar w:fldCharType="end"/>
      </w:r>
      <w:r w:rsidRPr="002C21B8">
        <w:t>. The aims of this analysis w</w:t>
      </w:r>
      <w:r w:rsidR="00B163FA" w:rsidRPr="002C21B8">
        <w:t>ere</w:t>
      </w:r>
      <w:r w:rsidRPr="002C21B8">
        <w:t xml:space="preserve"> to estimate the consequences of not initiating eligible patients and initiating patients who were not eligible. Budget impact calculations incorporated estimates from</w:t>
      </w:r>
      <w:r w:rsidR="00AC682E" w:rsidRPr="002C21B8">
        <w:t xml:space="preserve"> the</w:t>
      </w:r>
      <w:r w:rsidRPr="002C21B8">
        <w:t xml:space="preserve"> RaDaR analysis, published tolvaptan uptake rates and median treatment duration. Different pricing scenarios were applied based on the list price and </w:t>
      </w:r>
      <w:r w:rsidR="00244175" w:rsidRPr="002C21B8">
        <w:t xml:space="preserve">hypothetical </w:t>
      </w:r>
      <w:r w:rsidRPr="002C21B8">
        <w:t>discounts available through the patient access scheme (PAS)</w:t>
      </w:r>
      <w:r w:rsidR="00F61C4D" w:rsidRPr="002C21B8">
        <w:t xml:space="preserve"> based on </w:t>
      </w:r>
      <w:r w:rsidR="00CE769C" w:rsidRPr="002C21B8">
        <w:t>published evidence</w:t>
      </w:r>
      <w:r w:rsidRPr="002C21B8">
        <w:t>.</w:t>
      </w:r>
    </w:p>
    <w:p w14:paraId="6571236A" w14:textId="597D56ED" w:rsidR="00D22BF0" w:rsidRPr="002C21B8" w:rsidRDefault="00BE455E" w:rsidP="00405C98">
      <w:r w:rsidRPr="002C21B8">
        <w:t xml:space="preserve">A cohort-based simulation projected annual eGFR decline over 10 years using baseline eGFR from the </w:t>
      </w:r>
      <w:r w:rsidR="00B163FA" w:rsidRPr="002C21B8">
        <w:t>analysis of registry data</w:t>
      </w:r>
      <w:r w:rsidR="00581E87" w:rsidRPr="002C21B8">
        <w:t>,</w:t>
      </w:r>
      <w:r w:rsidRPr="002C21B8">
        <w:t xml:space="preserve"> with </w:t>
      </w:r>
      <w:r w:rsidR="00B163FA" w:rsidRPr="002C21B8">
        <w:t xml:space="preserve">the </w:t>
      </w:r>
      <w:r w:rsidRPr="002C21B8">
        <w:t xml:space="preserve">annual </w:t>
      </w:r>
      <w:r w:rsidR="00B163FA" w:rsidRPr="002C21B8">
        <w:t xml:space="preserve">decline in </w:t>
      </w:r>
      <w:r w:rsidRPr="002C21B8">
        <w:t>eGFR</w:t>
      </w:r>
      <w:r w:rsidR="00BE6FD8" w:rsidRPr="002C21B8">
        <w:t>,</w:t>
      </w:r>
      <w:r w:rsidRPr="002C21B8">
        <w:t xml:space="preserve"> and </w:t>
      </w:r>
      <w:r w:rsidR="00B163FA" w:rsidRPr="002C21B8">
        <w:t xml:space="preserve">tolvaptan </w:t>
      </w:r>
      <w:r w:rsidRPr="002C21B8">
        <w:t xml:space="preserve">treatment effect </w:t>
      </w:r>
      <w:r w:rsidR="00B163FA" w:rsidRPr="002C21B8">
        <w:t xml:space="preserve">from an existing study </w:t>
      </w:r>
      <w:r w:rsidRPr="002C21B8">
        <w:fldChar w:fldCharType="begin"/>
      </w:r>
      <w:r w:rsidR="00046586" w:rsidRPr="002C21B8">
        <w:instrText xml:space="preserve"> ADDIN EN.CITE &lt;EndNote&gt;&lt;Cite&gt;&lt;Author&gt;Fitzmaurice&lt;/Author&gt;&lt;Year&gt;2012&lt;/Year&gt;&lt;RecNum&gt;125078&lt;/RecNum&gt;&lt;DisplayText&gt;(Fitzmaurice, Laird and Ware, 2012)&lt;/DisplayText&gt;&lt;record&gt;&lt;rec-number&gt;125078&lt;/rec-number&gt;&lt;foreign-keys&gt;&lt;key app="EN" db-id="xpefzwa5hf9dt2ea9fax95x7xvxz90v09dtf" timestamp="1763492850"&gt;125078&lt;/key&gt;&lt;/foreign-keys&gt;&lt;ref-type name="Book"&gt;6&lt;/ref-type&gt;&lt;contributors&gt;&lt;authors&gt;&lt;author&gt;Fitzmaurice, Garrett M&lt;/author&gt;&lt;author&gt;Laird, Nan M&lt;/author&gt;&lt;author&gt;Ware, James H&lt;/author&gt;&lt;/authors&gt;&lt;/contributors&gt;&lt;titles&gt;&lt;title&gt;Applied longitudinal analysis&lt;/title&gt;&lt;/titles&gt;&lt;section&gt;1-752&lt;/section&gt;&lt;dates&gt;&lt;year&gt;2012&lt;/year&gt;&lt;/dates&gt;&lt;pub-location&gt;Hoboken, New Jersey, USA&lt;/pub-location&gt;&lt;publisher&gt;John Wiley &amp;amp; Sons&lt;/publisher&gt;&lt;isbn&gt;1118551796&lt;/isbn&gt;&lt;urls&gt;&lt;/urls&gt;&lt;/record&gt;&lt;/Cite&gt;&lt;/EndNote&gt;</w:instrText>
      </w:r>
      <w:r w:rsidRPr="002C21B8">
        <w:fldChar w:fldCharType="separate"/>
      </w:r>
      <w:r w:rsidRPr="002C21B8">
        <w:rPr>
          <w:noProof/>
        </w:rPr>
        <w:t>(Fitzmaurice, Laird and Ware, 2012)</w:t>
      </w:r>
      <w:r w:rsidRPr="002C21B8">
        <w:fldChar w:fldCharType="end"/>
      </w:r>
      <w:r w:rsidRPr="002C21B8">
        <w:t>. Gross potential savings from delaying progression to kidney failure were calculated using annual dialysis costs and projected cumulative kidney failure free years obtained from the disease progression modelling</w:t>
      </w:r>
      <w:r w:rsidR="00581E87" w:rsidRPr="002C21B8">
        <w:t>,</w:t>
      </w:r>
      <w:r w:rsidRPr="002C21B8">
        <w:t xml:space="preserve"> accounting for pre-dialysis death. Cost differences and early discontinuation were accounted for in calculations. Results were expressed as the equivalent number of total hip replacements to aid interpretation. Probabilistic sensitivity analyses and exact 95% confidence intervals for binomial proportions were calculated using the Clopper-Pearson (inverse binomial) method </w:t>
      </w:r>
      <w:r w:rsidRPr="002C21B8">
        <w:fldChar w:fldCharType="begin"/>
      </w:r>
      <w:r w:rsidR="00331F66" w:rsidRPr="002C21B8">
        <w:instrText xml:space="preserve"> ADDIN EN.CITE &lt;EndNote&gt;&lt;Cite&gt;&lt;Author&gt;Tollefsen&lt;/Author&gt;&lt;Year&gt;2023&lt;/Year&gt;&lt;RecNum&gt;125021&lt;/RecNum&gt;&lt;DisplayText&gt;(Tollefsen, 2023)&lt;/DisplayText&gt;&lt;record&gt;&lt;rec-number&gt;125021&lt;/rec-number&gt;&lt;foreign-keys&gt;&lt;key app="EN" db-id="xpefzwa5hf9dt2ea9fax95x7xvxz90v09dtf" timestamp="1757347532"&gt;125021&lt;/key&gt;&lt;/foreign-keys&gt;&lt;ref-type name="Thesis"&gt;32&lt;/ref-type&gt;&lt;contributors&gt;&lt;authors&gt;&lt;author&gt;Tollefsen, Ylva Sofie&lt;/author&gt;&lt;/authors&gt;&lt;/contributors&gt;&lt;titles&gt;&lt;title&gt;Different Approaches for Calculating the Confidence Intervals for the Binomial Proportion&lt;/title&gt;&lt;/titles&gt;&lt;dates&gt;&lt;year&gt;2023&lt;/year&gt;&lt;/dates&gt;&lt;publisher&gt;Norwegian University of Science and Technology&lt;/publisher&gt;&lt;urls&gt;&lt;/urls&gt;&lt;/record&gt;&lt;/Cite&gt;&lt;/EndNote&gt;</w:instrText>
      </w:r>
      <w:r w:rsidRPr="002C21B8">
        <w:fldChar w:fldCharType="separate"/>
      </w:r>
      <w:r w:rsidRPr="002C21B8">
        <w:rPr>
          <w:noProof/>
        </w:rPr>
        <w:t>(Tollefsen, 2023)</w:t>
      </w:r>
      <w:r w:rsidRPr="002C21B8">
        <w:fldChar w:fldCharType="end"/>
      </w:r>
      <w:r w:rsidRPr="002C21B8">
        <w:t>.</w:t>
      </w:r>
    </w:p>
    <w:p w14:paraId="4962CB25" w14:textId="451CCAD7" w:rsidR="00426AE1" w:rsidRPr="002C21B8" w:rsidRDefault="00426AE1" w:rsidP="004507C8">
      <w:pPr>
        <w:pStyle w:val="Heading3"/>
        <w:numPr>
          <w:ilvl w:val="0"/>
          <w:numId w:val="0"/>
        </w:numPr>
      </w:pPr>
      <w:r w:rsidRPr="002C21B8">
        <w:t xml:space="preserve">Reanalysis of </w:t>
      </w:r>
      <w:r w:rsidR="00C83686" w:rsidRPr="002C21B8">
        <w:t xml:space="preserve">registry </w:t>
      </w:r>
      <w:r w:rsidRPr="002C21B8">
        <w:t>data</w:t>
      </w:r>
    </w:p>
    <w:p w14:paraId="50D1B41E" w14:textId="11094D8A" w:rsidR="00426AE1" w:rsidRPr="002C21B8" w:rsidRDefault="00426AE1" w:rsidP="00426AE1">
      <w:pPr>
        <w:rPr>
          <w:color w:val="000000" w:themeColor="text1"/>
        </w:rPr>
      </w:pPr>
      <w:r w:rsidRPr="002C21B8">
        <w:rPr>
          <w:color w:val="000000" w:themeColor="text1"/>
        </w:rPr>
        <w:t>Although this phase falls outside the scope of the PhD submission, it is included for completeness.</w:t>
      </w:r>
      <w:r w:rsidR="00371AC2" w:rsidRPr="002C21B8">
        <w:rPr>
          <w:color w:val="000000" w:themeColor="text1"/>
        </w:rPr>
        <w:t xml:space="preserve"> This extends the modelling approach developed in Phase </w:t>
      </w:r>
      <w:r w:rsidR="00EE185E" w:rsidRPr="002C21B8">
        <w:rPr>
          <w:color w:val="000000" w:themeColor="text1"/>
        </w:rPr>
        <w:t>2</w:t>
      </w:r>
      <w:r w:rsidR="00371AC2" w:rsidRPr="002C21B8">
        <w:rPr>
          <w:color w:val="000000" w:themeColor="text1"/>
        </w:rPr>
        <w:t xml:space="preserve"> by transitioning from an ISR-based benchmarking approach to a fully multilevel logistic regression approach incorporating additional predictors identified in Phase </w:t>
      </w:r>
      <w:r w:rsidR="00EE185E" w:rsidRPr="002C21B8">
        <w:rPr>
          <w:color w:val="000000" w:themeColor="text1"/>
        </w:rPr>
        <w:t>4</w:t>
      </w:r>
      <w:r w:rsidR="00371AC2" w:rsidRPr="002C21B8">
        <w:rPr>
          <w:color w:val="000000" w:themeColor="text1"/>
        </w:rPr>
        <w:t>. This allows direct estimation of between-centre variation while improving adjustment for patient and centre-level covariates.</w:t>
      </w:r>
    </w:p>
    <w:p w14:paraId="17F7CFC6" w14:textId="4ED18993" w:rsidR="00175D37" w:rsidRPr="002C21B8" w:rsidRDefault="00426AE1" w:rsidP="00426AE1">
      <w:pPr>
        <w:rPr>
          <w:color w:val="000000" w:themeColor="text1"/>
        </w:rPr>
      </w:pPr>
      <w:r w:rsidRPr="002C21B8">
        <w:rPr>
          <w:color w:val="000000" w:themeColor="text1"/>
        </w:rPr>
        <w:t>Patient and centre-level variables will be evaluated for their predictive value using univari</w:t>
      </w:r>
      <w:r w:rsidR="00371AC2" w:rsidRPr="002C21B8">
        <w:rPr>
          <w:color w:val="000000" w:themeColor="text1"/>
        </w:rPr>
        <w:t>abl</w:t>
      </w:r>
      <w:r w:rsidRPr="002C21B8">
        <w:rPr>
          <w:color w:val="000000" w:themeColor="text1"/>
        </w:rPr>
        <w:t>e analyses, with significant predictors (</w:t>
      </w:r>
      <w:r w:rsidR="00305B86" w:rsidRPr="002C21B8">
        <w:rPr>
          <w:color w:val="000000" w:themeColor="text1"/>
        </w:rPr>
        <w:t>p</w:t>
      </w:r>
      <w:r w:rsidR="00BE6FD8" w:rsidRPr="002C21B8">
        <w:rPr>
          <w:color w:val="000000" w:themeColor="text1"/>
        </w:rPr>
        <w:t xml:space="preserve"> </w:t>
      </w:r>
      <w:r w:rsidRPr="002C21B8">
        <w:rPr>
          <w:color w:val="000000" w:themeColor="text1"/>
        </w:rPr>
        <w:t xml:space="preserve">&lt;0.05) included in a multilevel logistic regression model. This approach will allow each centre’s baseline prescribing behaviour to be </w:t>
      </w:r>
      <w:r w:rsidR="008F3997" w:rsidRPr="002C21B8">
        <w:rPr>
          <w:color w:val="000000" w:themeColor="text1"/>
        </w:rPr>
        <w:t>include</w:t>
      </w:r>
      <w:r w:rsidRPr="002C21B8">
        <w:rPr>
          <w:color w:val="000000" w:themeColor="text1"/>
        </w:rPr>
        <w:t>d while testing the effect of newly identified factors.</w:t>
      </w:r>
    </w:p>
    <w:p w14:paraId="0EC3370A" w14:textId="77777777" w:rsidR="009D12AE" w:rsidRPr="002C21B8" w:rsidRDefault="009D12AE" w:rsidP="00426AE1">
      <w:pPr>
        <w:rPr>
          <w:color w:val="000000" w:themeColor="text1"/>
        </w:rPr>
      </w:pPr>
    </w:p>
    <w:p w14:paraId="18EA8F7C" w14:textId="536CC4B5" w:rsidR="00426AE1" w:rsidRPr="002C21B8" w:rsidRDefault="00426AE1" w:rsidP="00426AE1">
      <w:pPr>
        <w:rPr>
          <w:color w:val="000000" w:themeColor="text1"/>
        </w:rPr>
      </w:pPr>
      <w:r w:rsidRPr="002C21B8">
        <w:rPr>
          <w:color w:val="000000" w:themeColor="text1"/>
        </w:rPr>
        <w:t>The refined model will then be used to:</w:t>
      </w:r>
    </w:p>
    <w:p w14:paraId="798F567E" w14:textId="0096FD9D" w:rsidR="00426AE1" w:rsidRPr="002C21B8" w:rsidRDefault="00426AE1" w:rsidP="00A97F07">
      <w:pPr>
        <w:pStyle w:val="ListParagraph"/>
        <w:numPr>
          <w:ilvl w:val="0"/>
          <w:numId w:val="60"/>
        </w:numPr>
        <w:rPr>
          <w:color w:val="000000" w:themeColor="text1"/>
        </w:rPr>
      </w:pPr>
      <w:r w:rsidRPr="002C21B8">
        <w:rPr>
          <w:color w:val="000000" w:themeColor="text1"/>
        </w:rPr>
        <w:t>Assess the contribution of each variable to</w:t>
      </w:r>
      <w:r w:rsidR="00581E87" w:rsidRPr="002C21B8">
        <w:rPr>
          <w:color w:val="000000" w:themeColor="text1"/>
        </w:rPr>
        <w:t xml:space="preserve"> the</w:t>
      </w:r>
      <w:r w:rsidRPr="002C21B8">
        <w:rPr>
          <w:color w:val="000000" w:themeColor="text1"/>
        </w:rPr>
        <w:t xml:space="preserve"> variance between centres</w:t>
      </w:r>
    </w:p>
    <w:p w14:paraId="0AF626CC" w14:textId="77777777" w:rsidR="00426AE1" w:rsidRPr="002C21B8" w:rsidRDefault="00426AE1" w:rsidP="00A97F07">
      <w:pPr>
        <w:pStyle w:val="ListParagraph"/>
        <w:numPr>
          <w:ilvl w:val="0"/>
          <w:numId w:val="60"/>
        </w:numPr>
        <w:rPr>
          <w:color w:val="000000" w:themeColor="text1"/>
        </w:rPr>
      </w:pPr>
      <w:r w:rsidRPr="002C21B8">
        <w:rPr>
          <w:color w:val="000000" w:themeColor="text1"/>
        </w:rPr>
        <w:t>Identify outlier centres and compare them to those from the initial model to determine whether predictive accuracy improved</w:t>
      </w:r>
    </w:p>
    <w:p w14:paraId="203B1FBA" w14:textId="77777777" w:rsidR="00426AE1" w:rsidRPr="002C21B8" w:rsidRDefault="00426AE1" w:rsidP="00A97F07">
      <w:pPr>
        <w:pStyle w:val="ListParagraph"/>
        <w:numPr>
          <w:ilvl w:val="0"/>
          <w:numId w:val="60"/>
        </w:numPr>
        <w:rPr>
          <w:color w:val="000000" w:themeColor="text1"/>
        </w:rPr>
      </w:pPr>
      <w:r w:rsidRPr="002C21B8">
        <w:rPr>
          <w:color w:val="000000" w:themeColor="text1"/>
        </w:rPr>
        <w:t>Simulate hypothetical scenarios by adjusting actionable variables to estimate potential changes in prescribing behaviour</w:t>
      </w:r>
    </w:p>
    <w:p w14:paraId="3595E87C" w14:textId="019D5EDE" w:rsidR="00BF54FB" w:rsidRPr="002C21B8" w:rsidRDefault="00426AE1" w:rsidP="00BE455E">
      <w:pPr>
        <w:rPr>
          <w:color w:val="000000" w:themeColor="text1"/>
        </w:rPr>
      </w:pPr>
      <w:r w:rsidRPr="002C21B8">
        <w:rPr>
          <w:color w:val="000000" w:themeColor="text1"/>
        </w:rPr>
        <w:t>Model performance will be assessed using metrics appropriate for multilevel models</w:t>
      </w:r>
      <w:r w:rsidR="00153950" w:rsidRPr="002C21B8">
        <w:rPr>
          <w:color w:val="000000" w:themeColor="text1"/>
        </w:rPr>
        <w:t>,</w:t>
      </w:r>
      <w:r w:rsidRPr="002C21B8">
        <w:rPr>
          <w:color w:val="000000" w:themeColor="text1"/>
        </w:rPr>
        <w:t xml:space="preserve"> including </w:t>
      </w:r>
      <w:r w:rsidR="004E6FF4" w:rsidRPr="002C21B8">
        <w:rPr>
          <w:color w:val="000000" w:themeColor="text1"/>
        </w:rPr>
        <w:t xml:space="preserve">the </w:t>
      </w:r>
      <w:r w:rsidRPr="002C21B8">
        <w:rPr>
          <w:color w:val="000000" w:themeColor="text1"/>
        </w:rPr>
        <w:t>proportion of variance explained at patient and centre levels and intraclass correlation coefficients. Sensitivity analyses will be conducted to evaluate the robustness of the findings.</w:t>
      </w:r>
    </w:p>
    <w:p w14:paraId="67B1B0A4" w14:textId="7F8F6D26" w:rsidR="00D84387" w:rsidRPr="002C21B8" w:rsidRDefault="00175D37" w:rsidP="00BF6367">
      <w:pPr>
        <w:pStyle w:val="Heading3"/>
        <w:keepNext w:val="0"/>
        <w:keepLines w:val="0"/>
        <w:numPr>
          <w:ilvl w:val="0"/>
          <w:numId w:val="0"/>
        </w:numPr>
        <w:spacing w:line="240" w:lineRule="auto"/>
      </w:pPr>
      <w:bookmarkStart w:id="446" w:name="_RaDaR_full_analysis"/>
      <w:bookmarkEnd w:id="446"/>
      <w:r w:rsidRPr="002C21B8">
        <w:br w:type="page"/>
      </w:r>
      <w:r w:rsidR="00D84387" w:rsidRPr="002C21B8">
        <w:t>RaDaR full analysis application form</w:t>
      </w:r>
      <w:r w:rsidR="00FC18A5" w:rsidRPr="002C21B8">
        <w:t xml:space="preserve"> and statistical analysis plan</w:t>
      </w:r>
    </w:p>
    <w:p w14:paraId="25AB63D8" w14:textId="77777777" w:rsidR="00335B86" w:rsidRPr="002C21B8" w:rsidRDefault="00335B86" w:rsidP="00335B86"/>
    <w:p w14:paraId="00CE13D9" w14:textId="77777777" w:rsidR="00BF6367" w:rsidRPr="002C21B8" w:rsidRDefault="00FC18A5" w:rsidP="00BF6367">
      <w:pPr>
        <w:spacing w:after="0" w:line="240" w:lineRule="auto"/>
        <w:jc w:val="left"/>
      </w:pPr>
      <w:r w:rsidRPr="002C21B8">
        <w:rPr>
          <w:noProof/>
        </w:rPr>
        <w:drawing>
          <wp:inline distT="0" distB="0" distL="0" distR="0" wp14:anchorId="6029D46F" wp14:editId="602A2EBA">
            <wp:extent cx="5400000" cy="7695332"/>
            <wp:effectExtent l="0" t="0" r="0" b="1270"/>
            <wp:docPr id="1726318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18124" name=""/>
                    <pic:cNvPicPr/>
                  </pic:nvPicPr>
                  <pic:blipFill>
                    <a:blip r:embed="rId174"/>
                    <a:stretch>
                      <a:fillRect/>
                    </a:stretch>
                  </pic:blipFill>
                  <pic:spPr>
                    <a:xfrm>
                      <a:off x="0" y="0"/>
                      <a:ext cx="5400000" cy="7695332"/>
                    </a:xfrm>
                    <a:prstGeom prst="rect">
                      <a:avLst/>
                    </a:prstGeom>
                  </pic:spPr>
                </pic:pic>
              </a:graphicData>
            </a:graphic>
          </wp:inline>
        </w:drawing>
      </w:r>
    </w:p>
    <w:p w14:paraId="25E031E6" w14:textId="77777777" w:rsidR="00BF6367" w:rsidRPr="002C21B8" w:rsidRDefault="00D84387" w:rsidP="00BF6367">
      <w:pPr>
        <w:spacing w:after="0" w:line="240" w:lineRule="auto"/>
        <w:jc w:val="left"/>
      </w:pPr>
      <w:r w:rsidRPr="002C21B8">
        <w:br w:type="page"/>
      </w:r>
    </w:p>
    <w:p w14:paraId="713FCAE9" w14:textId="77777777" w:rsidR="00BF6367" w:rsidRPr="002C21B8" w:rsidRDefault="00BF6367" w:rsidP="00BF6367">
      <w:pPr>
        <w:spacing w:after="0" w:line="240" w:lineRule="auto"/>
        <w:jc w:val="left"/>
      </w:pPr>
    </w:p>
    <w:p w14:paraId="2F6B63C3" w14:textId="77777777" w:rsidR="00335B86" w:rsidRPr="002C21B8" w:rsidRDefault="00335B86" w:rsidP="00BF6367">
      <w:pPr>
        <w:spacing w:after="0" w:line="240" w:lineRule="auto"/>
        <w:jc w:val="left"/>
      </w:pPr>
    </w:p>
    <w:p w14:paraId="554B9A10" w14:textId="77777777" w:rsidR="00BF6367" w:rsidRPr="002C21B8" w:rsidRDefault="00BF6367" w:rsidP="00BF6367">
      <w:pPr>
        <w:spacing w:after="0" w:line="240" w:lineRule="auto"/>
        <w:jc w:val="left"/>
      </w:pPr>
    </w:p>
    <w:p w14:paraId="7EC56FBD" w14:textId="37583924" w:rsidR="00D84387" w:rsidRPr="002C21B8" w:rsidRDefault="00BF6367" w:rsidP="00BF6367">
      <w:pPr>
        <w:spacing w:after="0" w:line="240" w:lineRule="auto"/>
        <w:jc w:val="left"/>
      </w:pPr>
      <w:r w:rsidRPr="002C21B8">
        <w:rPr>
          <w:noProof/>
        </w:rPr>
        <w:drawing>
          <wp:inline distT="0" distB="0" distL="0" distR="0" wp14:anchorId="4E94F484" wp14:editId="43754F02">
            <wp:extent cx="5400000" cy="7682064"/>
            <wp:effectExtent l="0" t="0" r="0" b="1905"/>
            <wp:docPr id="182878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81557" name=""/>
                    <pic:cNvPicPr/>
                  </pic:nvPicPr>
                  <pic:blipFill>
                    <a:blip r:embed="rId175"/>
                    <a:stretch>
                      <a:fillRect/>
                    </a:stretch>
                  </pic:blipFill>
                  <pic:spPr>
                    <a:xfrm>
                      <a:off x="0" y="0"/>
                      <a:ext cx="5400000" cy="7682064"/>
                    </a:xfrm>
                    <a:prstGeom prst="rect">
                      <a:avLst/>
                    </a:prstGeom>
                  </pic:spPr>
                </pic:pic>
              </a:graphicData>
            </a:graphic>
          </wp:inline>
        </w:drawing>
      </w:r>
      <w:r w:rsidR="00D84387" w:rsidRPr="002C21B8">
        <w:br w:type="page"/>
      </w:r>
    </w:p>
    <w:p w14:paraId="3AD64608" w14:textId="77777777" w:rsidR="00BF6367" w:rsidRPr="002C21B8" w:rsidRDefault="00BF6367" w:rsidP="00BF6367">
      <w:pPr>
        <w:spacing w:after="0" w:line="240" w:lineRule="auto"/>
        <w:jc w:val="left"/>
      </w:pPr>
    </w:p>
    <w:p w14:paraId="23725D80" w14:textId="77777777" w:rsidR="00BF6367" w:rsidRPr="002C21B8" w:rsidRDefault="00BF6367" w:rsidP="00BF6367">
      <w:pPr>
        <w:spacing w:after="0" w:line="240" w:lineRule="auto"/>
        <w:jc w:val="left"/>
      </w:pPr>
    </w:p>
    <w:p w14:paraId="193253FE" w14:textId="77777777" w:rsidR="00335B86" w:rsidRPr="002C21B8" w:rsidRDefault="00335B86" w:rsidP="00BF6367">
      <w:pPr>
        <w:spacing w:after="0" w:line="240" w:lineRule="auto"/>
        <w:jc w:val="left"/>
      </w:pPr>
    </w:p>
    <w:p w14:paraId="670559BA" w14:textId="06AB38C2" w:rsidR="00D84387" w:rsidRPr="002C21B8" w:rsidRDefault="00FC18A5">
      <w:pPr>
        <w:spacing w:after="0" w:line="240" w:lineRule="auto"/>
        <w:jc w:val="left"/>
      </w:pPr>
      <w:r w:rsidRPr="002C21B8">
        <w:rPr>
          <w:noProof/>
        </w:rPr>
        <w:drawing>
          <wp:inline distT="0" distB="0" distL="0" distR="0" wp14:anchorId="71AD1D80" wp14:editId="00F43CD7">
            <wp:extent cx="5400000" cy="7668796"/>
            <wp:effectExtent l="0" t="0" r="0" b="2540"/>
            <wp:docPr id="765129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29858" name=""/>
                    <pic:cNvPicPr/>
                  </pic:nvPicPr>
                  <pic:blipFill>
                    <a:blip r:embed="rId176"/>
                    <a:stretch>
                      <a:fillRect/>
                    </a:stretch>
                  </pic:blipFill>
                  <pic:spPr>
                    <a:xfrm>
                      <a:off x="0" y="0"/>
                      <a:ext cx="5400000" cy="7668796"/>
                    </a:xfrm>
                    <a:prstGeom prst="rect">
                      <a:avLst/>
                    </a:prstGeom>
                  </pic:spPr>
                </pic:pic>
              </a:graphicData>
            </a:graphic>
          </wp:inline>
        </w:drawing>
      </w:r>
      <w:r w:rsidR="00D84387" w:rsidRPr="002C21B8">
        <w:br w:type="page"/>
      </w:r>
    </w:p>
    <w:p w14:paraId="61CF7F80" w14:textId="77777777" w:rsidR="00335B86" w:rsidRPr="002C21B8" w:rsidRDefault="00335B86">
      <w:pPr>
        <w:spacing w:after="0" w:line="240" w:lineRule="auto"/>
        <w:jc w:val="left"/>
      </w:pPr>
    </w:p>
    <w:p w14:paraId="74D117D1" w14:textId="77777777" w:rsidR="00335B86" w:rsidRPr="002C21B8" w:rsidRDefault="00335B86">
      <w:pPr>
        <w:spacing w:after="0" w:line="240" w:lineRule="auto"/>
        <w:jc w:val="left"/>
      </w:pPr>
    </w:p>
    <w:p w14:paraId="4D32E019" w14:textId="77777777" w:rsidR="00335B86" w:rsidRPr="002C21B8" w:rsidRDefault="00335B86">
      <w:pPr>
        <w:spacing w:after="0" w:line="240" w:lineRule="auto"/>
        <w:jc w:val="left"/>
      </w:pPr>
    </w:p>
    <w:p w14:paraId="2AD9A914" w14:textId="5260F028" w:rsidR="00D84387" w:rsidRPr="002C21B8" w:rsidRDefault="00FC18A5">
      <w:pPr>
        <w:spacing w:after="0" w:line="240" w:lineRule="auto"/>
        <w:jc w:val="left"/>
      </w:pPr>
      <w:r w:rsidRPr="002C21B8">
        <w:rPr>
          <w:noProof/>
        </w:rPr>
        <w:drawing>
          <wp:inline distT="0" distB="0" distL="0" distR="0" wp14:anchorId="6BE9FDF4" wp14:editId="47FF2FF8">
            <wp:extent cx="5400000" cy="7668796"/>
            <wp:effectExtent l="0" t="0" r="0" b="2540"/>
            <wp:docPr id="257521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21758" name=""/>
                    <pic:cNvPicPr/>
                  </pic:nvPicPr>
                  <pic:blipFill>
                    <a:blip r:embed="rId177"/>
                    <a:stretch>
                      <a:fillRect/>
                    </a:stretch>
                  </pic:blipFill>
                  <pic:spPr>
                    <a:xfrm>
                      <a:off x="0" y="0"/>
                      <a:ext cx="5400000" cy="7668796"/>
                    </a:xfrm>
                    <a:prstGeom prst="rect">
                      <a:avLst/>
                    </a:prstGeom>
                  </pic:spPr>
                </pic:pic>
              </a:graphicData>
            </a:graphic>
          </wp:inline>
        </w:drawing>
      </w:r>
      <w:r w:rsidR="00D84387" w:rsidRPr="002C21B8">
        <w:br w:type="page"/>
      </w:r>
    </w:p>
    <w:p w14:paraId="59C0520C" w14:textId="77777777" w:rsidR="00BF6367" w:rsidRPr="002C21B8" w:rsidRDefault="00BF6367">
      <w:pPr>
        <w:spacing w:after="0" w:line="240" w:lineRule="auto"/>
        <w:jc w:val="left"/>
      </w:pPr>
    </w:p>
    <w:p w14:paraId="4288F8AD" w14:textId="77777777" w:rsidR="00BF6367" w:rsidRPr="002C21B8" w:rsidRDefault="00BF6367">
      <w:pPr>
        <w:spacing w:after="0" w:line="240" w:lineRule="auto"/>
        <w:jc w:val="left"/>
      </w:pPr>
    </w:p>
    <w:p w14:paraId="32E2A9DD" w14:textId="77777777" w:rsidR="00335B86" w:rsidRPr="002C21B8" w:rsidRDefault="00335B86">
      <w:pPr>
        <w:spacing w:after="0" w:line="240" w:lineRule="auto"/>
        <w:jc w:val="left"/>
      </w:pPr>
    </w:p>
    <w:p w14:paraId="6EB364D6" w14:textId="48EDA101" w:rsidR="00D84387" w:rsidRPr="002C21B8" w:rsidRDefault="00FC18A5">
      <w:pPr>
        <w:spacing w:after="0" w:line="240" w:lineRule="auto"/>
        <w:jc w:val="left"/>
      </w:pPr>
      <w:r w:rsidRPr="002C21B8">
        <w:rPr>
          <w:noProof/>
        </w:rPr>
        <w:drawing>
          <wp:inline distT="0" distB="0" distL="0" distR="0" wp14:anchorId="5F4681FF" wp14:editId="5E6FEDCB">
            <wp:extent cx="5400000" cy="7663235"/>
            <wp:effectExtent l="0" t="0" r="0" b="0"/>
            <wp:docPr id="5550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7175" name=""/>
                    <pic:cNvPicPr/>
                  </pic:nvPicPr>
                  <pic:blipFill>
                    <a:blip r:embed="rId178"/>
                    <a:stretch>
                      <a:fillRect/>
                    </a:stretch>
                  </pic:blipFill>
                  <pic:spPr>
                    <a:xfrm>
                      <a:off x="0" y="0"/>
                      <a:ext cx="5400000" cy="7663235"/>
                    </a:xfrm>
                    <a:prstGeom prst="rect">
                      <a:avLst/>
                    </a:prstGeom>
                  </pic:spPr>
                </pic:pic>
              </a:graphicData>
            </a:graphic>
          </wp:inline>
        </w:drawing>
      </w:r>
      <w:r w:rsidR="00D84387" w:rsidRPr="002C21B8">
        <w:br w:type="page"/>
      </w:r>
    </w:p>
    <w:p w14:paraId="1F468BF9" w14:textId="77777777" w:rsidR="00BF6367" w:rsidRPr="002C21B8" w:rsidRDefault="00BF6367" w:rsidP="00BF6367">
      <w:pPr>
        <w:spacing w:after="0" w:line="240" w:lineRule="auto"/>
        <w:jc w:val="left"/>
      </w:pPr>
    </w:p>
    <w:p w14:paraId="42A74749" w14:textId="77777777" w:rsidR="00BF6367" w:rsidRPr="002C21B8" w:rsidRDefault="00BF6367" w:rsidP="00BF6367">
      <w:pPr>
        <w:spacing w:after="0" w:line="240" w:lineRule="auto"/>
        <w:jc w:val="left"/>
      </w:pPr>
    </w:p>
    <w:p w14:paraId="2F7B845C" w14:textId="77777777" w:rsidR="00335B86" w:rsidRPr="002C21B8" w:rsidRDefault="00335B86" w:rsidP="00BF6367">
      <w:pPr>
        <w:spacing w:after="0" w:line="240" w:lineRule="auto"/>
        <w:jc w:val="left"/>
      </w:pPr>
    </w:p>
    <w:p w14:paraId="07D26D16" w14:textId="69444F49" w:rsidR="00D84387" w:rsidRPr="002C21B8" w:rsidRDefault="00FC18A5" w:rsidP="00BF6367">
      <w:pPr>
        <w:spacing w:after="0" w:line="240" w:lineRule="auto"/>
        <w:jc w:val="left"/>
      </w:pPr>
      <w:r w:rsidRPr="002C21B8">
        <w:rPr>
          <w:noProof/>
        </w:rPr>
        <w:drawing>
          <wp:inline distT="0" distB="0" distL="0" distR="0" wp14:anchorId="7CA2836D" wp14:editId="4882E0DF">
            <wp:extent cx="5400000" cy="7676471"/>
            <wp:effectExtent l="0" t="0" r="0" b="0"/>
            <wp:docPr id="50054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42690" name=""/>
                    <pic:cNvPicPr/>
                  </pic:nvPicPr>
                  <pic:blipFill>
                    <a:blip r:embed="rId179"/>
                    <a:stretch>
                      <a:fillRect/>
                    </a:stretch>
                  </pic:blipFill>
                  <pic:spPr>
                    <a:xfrm>
                      <a:off x="0" y="0"/>
                      <a:ext cx="5400000" cy="7676471"/>
                    </a:xfrm>
                    <a:prstGeom prst="rect">
                      <a:avLst/>
                    </a:prstGeom>
                  </pic:spPr>
                </pic:pic>
              </a:graphicData>
            </a:graphic>
          </wp:inline>
        </w:drawing>
      </w:r>
      <w:r w:rsidR="00D84387" w:rsidRPr="002C21B8">
        <w:br w:type="page"/>
      </w:r>
    </w:p>
    <w:p w14:paraId="59D2140F" w14:textId="77777777" w:rsidR="00BF6367" w:rsidRPr="002C21B8" w:rsidRDefault="00BF6367" w:rsidP="00BF6367">
      <w:pPr>
        <w:spacing w:after="0" w:line="240" w:lineRule="auto"/>
        <w:jc w:val="left"/>
      </w:pPr>
    </w:p>
    <w:p w14:paraId="3B1BEDBB" w14:textId="77777777" w:rsidR="00BF6367" w:rsidRPr="002C21B8" w:rsidRDefault="00BF6367" w:rsidP="00BF6367">
      <w:pPr>
        <w:spacing w:after="0" w:line="240" w:lineRule="auto"/>
        <w:jc w:val="left"/>
      </w:pPr>
    </w:p>
    <w:p w14:paraId="58CFC044" w14:textId="77777777" w:rsidR="00335B86" w:rsidRPr="002C21B8" w:rsidRDefault="00335B86" w:rsidP="00BF6367">
      <w:pPr>
        <w:spacing w:after="0" w:line="240" w:lineRule="auto"/>
        <w:jc w:val="left"/>
      </w:pPr>
    </w:p>
    <w:p w14:paraId="6B01C2B0" w14:textId="3117D001" w:rsidR="00D84387" w:rsidRPr="002C21B8" w:rsidRDefault="00FC18A5" w:rsidP="00BF6367">
      <w:pPr>
        <w:spacing w:after="0" w:line="240" w:lineRule="auto"/>
        <w:jc w:val="left"/>
      </w:pPr>
      <w:r w:rsidRPr="002C21B8">
        <w:rPr>
          <w:noProof/>
        </w:rPr>
        <w:drawing>
          <wp:inline distT="0" distB="0" distL="0" distR="0" wp14:anchorId="79938A81" wp14:editId="0738F0BE">
            <wp:extent cx="5400000" cy="7663235"/>
            <wp:effectExtent l="0" t="0" r="0" b="0"/>
            <wp:docPr id="326140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40481" name=""/>
                    <pic:cNvPicPr/>
                  </pic:nvPicPr>
                  <pic:blipFill>
                    <a:blip r:embed="rId180"/>
                    <a:stretch>
                      <a:fillRect/>
                    </a:stretch>
                  </pic:blipFill>
                  <pic:spPr>
                    <a:xfrm>
                      <a:off x="0" y="0"/>
                      <a:ext cx="5400000" cy="7663235"/>
                    </a:xfrm>
                    <a:prstGeom prst="rect">
                      <a:avLst/>
                    </a:prstGeom>
                  </pic:spPr>
                </pic:pic>
              </a:graphicData>
            </a:graphic>
          </wp:inline>
        </w:drawing>
      </w:r>
      <w:r w:rsidR="00D84387" w:rsidRPr="002C21B8">
        <w:br w:type="page"/>
      </w:r>
    </w:p>
    <w:p w14:paraId="2C9BF24F" w14:textId="77777777" w:rsidR="00BF6367" w:rsidRPr="002C21B8" w:rsidRDefault="00BF6367" w:rsidP="00BF6367">
      <w:pPr>
        <w:spacing w:after="0" w:line="240" w:lineRule="auto"/>
        <w:jc w:val="left"/>
      </w:pPr>
    </w:p>
    <w:p w14:paraId="3B52973A" w14:textId="77777777" w:rsidR="00335B86" w:rsidRPr="002C21B8" w:rsidRDefault="00335B86" w:rsidP="00BF6367">
      <w:pPr>
        <w:spacing w:after="0" w:line="240" w:lineRule="auto"/>
        <w:jc w:val="left"/>
      </w:pPr>
    </w:p>
    <w:p w14:paraId="5094317D" w14:textId="77777777" w:rsidR="00BF6367" w:rsidRPr="002C21B8" w:rsidRDefault="00BF6367" w:rsidP="00BF6367">
      <w:pPr>
        <w:spacing w:after="0" w:line="240" w:lineRule="auto"/>
        <w:jc w:val="left"/>
      </w:pPr>
    </w:p>
    <w:p w14:paraId="606D4A39" w14:textId="0350B3E6" w:rsidR="00D84387" w:rsidRPr="002C21B8" w:rsidRDefault="00FC18A5">
      <w:pPr>
        <w:spacing w:after="0" w:line="240" w:lineRule="auto"/>
        <w:jc w:val="left"/>
      </w:pPr>
      <w:r w:rsidRPr="002C21B8">
        <w:rPr>
          <w:noProof/>
        </w:rPr>
        <w:drawing>
          <wp:inline distT="0" distB="0" distL="0" distR="0" wp14:anchorId="4A122032" wp14:editId="4772916E">
            <wp:extent cx="5400000" cy="7663235"/>
            <wp:effectExtent l="0" t="0" r="0" b="0"/>
            <wp:docPr id="1105628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28128" name=""/>
                    <pic:cNvPicPr/>
                  </pic:nvPicPr>
                  <pic:blipFill>
                    <a:blip r:embed="rId181"/>
                    <a:stretch>
                      <a:fillRect/>
                    </a:stretch>
                  </pic:blipFill>
                  <pic:spPr>
                    <a:xfrm>
                      <a:off x="0" y="0"/>
                      <a:ext cx="5400000" cy="7663235"/>
                    </a:xfrm>
                    <a:prstGeom prst="rect">
                      <a:avLst/>
                    </a:prstGeom>
                  </pic:spPr>
                </pic:pic>
              </a:graphicData>
            </a:graphic>
          </wp:inline>
        </w:drawing>
      </w:r>
      <w:r w:rsidR="00D84387" w:rsidRPr="002C21B8">
        <w:br w:type="page"/>
      </w:r>
    </w:p>
    <w:p w14:paraId="23F33E3D" w14:textId="77777777" w:rsidR="00BF6367" w:rsidRPr="002C21B8" w:rsidRDefault="00BF6367">
      <w:pPr>
        <w:spacing w:after="0" w:line="240" w:lineRule="auto"/>
        <w:jc w:val="left"/>
      </w:pPr>
    </w:p>
    <w:p w14:paraId="42E22F51" w14:textId="77777777" w:rsidR="00BF6367" w:rsidRPr="002C21B8" w:rsidRDefault="00BF6367">
      <w:pPr>
        <w:spacing w:after="0" w:line="240" w:lineRule="auto"/>
        <w:jc w:val="left"/>
      </w:pPr>
    </w:p>
    <w:p w14:paraId="5A56D2E0" w14:textId="77777777" w:rsidR="00335B86" w:rsidRPr="002C21B8" w:rsidRDefault="00335B86">
      <w:pPr>
        <w:spacing w:after="0" w:line="240" w:lineRule="auto"/>
        <w:jc w:val="left"/>
      </w:pPr>
    </w:p>
    <w:p w14:paraId="40F11961" w14:textId="2955887B" w:rsidR="00D84387" w:rsidRPr="002C21B8" w:rsidRDefault="00FC18A5">
      <w:pPr>
        <w:spacing w:after="0" w:line="240" w:lineRule="auto"/>
        <w:jc w:val="left"/>
      </w:pPr>
      <w:r w:rsidRPr="002C21B8">
        <w:rPr>
          <w:noProof/>
        </w:rPr>
        <w:drawing>
          <wp:inline distT="0" distB="0" distL="0" distR="0" wp14:anchorId="516199E5" wp14:editId="1D8448D4">
            <wp:extent cx="5400000" cy="7663235"/>
            <wp:effectExtent l="0" t="0" r="0" b="0"/>
            <wp:docPr id="1119683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83171" name=""/>
                    <pic:cNvPicPr/>
                  </pic:nvPicPr>
                  <pic:blipFill>
                    <a:blip r:embed="rId182"/>
                    <a:stretch>
                      <a:fillRect/>
                    </a:stretch>
                  </pic:blipFill>
                  <pic:spPr>
                    <a:xfrm>
                      <a:off x="0" y="0"/>
                      <a:ext cx="5400000" cy="7663235"/>
                    </a:xfrm>
                    <a:prstGeom prst="rect">
                      <a:avLst/>
                    </a:prstGeom>
                  </pic:spPr>
                </pic:pic>
              </a:graphicData>
            </a:graphic>
          </wp:inline>
        </w:drawing>
      </w:r>
      <w:r w:rsidR="00D84387" w:rsidRPr="002C21B8">
        <w:br w:type="page"/>
      </w:r>
    </w:p>
    <w:p w14:paraId="35A7503F" w14:textId="77777777" w:rsidR="00BF6367" w:rsidRPr="002C21B8" w:rsidRDefault="00BF6367" w:rsidP="00BF6367">
      <w:pPr>
        <w:spacing w:after="0" w:line="240" w:lineRule="auto"/>
        <w:jc w:val="left"/>
      </w:pPr>
    </w:p>
    <w:p w14:paraId="18BC76F5" w14:textId="77777777" w:rsidR="00BF6367" w:rsidRPr="002C21B8" w:rsidRDefault="00BF6367" w:rsidP="00BF6367">
      <w:pPr>
        <w:spacing w:after="0" w:line="240" w:lineRule="auto"/>
        <w:jc w:val="left"/>
      </w:pPr>
    </w:p>
    <w:p w14:paraId="1786C86F" w14:textId="77777777" w:rsidR="00335B86" w:rsidRPr="002C21B8" w:rsidRDefault="00335B86" w:rsidP="00BF6367">
      <w:pPr>
        <w:spacing w:after="0" w:line="240" w:lineRule="auto"/>
        <w:jc w:val="left"/>
      </w:pPr>
    </w:p>
    <w:p w14:paraId="2B787EB4" w14:textId="42AE511B" w:rsidR="00D84387" w:rsidRPr="002C21B8" w:rsidRDefault="00FC18A5" w:rsidP="00BF6367">
      <w:pPr>
        <w:spacing w:after="0" w:line="240" w:lineRule="auto"/>
        <w:jc w:val="left"/>
      </w:pPr>
      <w:r w:rsidRPr="002C21B8">
        <w:rPr>
          <w:noProof/>
        </w:rPr>
        <w:drawing>
          <wp:inline distT="0" distB="0" distL="0" distR="0" wp14:anchorId="346A4CF4" wp14:editId="6F68F45D">
            <wp:extent cx="5400000" cy="7668796"/>
            <wp:effectExtent l="0" t="0" r="0" b="2540"/>
            <wp:docPr id="1756656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56919" name=""/>
                    <pic:cNvPicPr/>
                  </pic:nvPicPr>
                  <pic:blipFill>
                    <a:blip r:embed="rId183"/>
                    <a:stretch>
                      <a:fillRect/>
                    </a:stretch>
                  </pic:blipFill>
                  <pic:spPr>
                    <a:xfrm>
                      <a:off x="0" y="0"/>
                      <a:ext cx="5400000" cy="7668796"/>
                    </a:xfrm>
                    <a:prstGeom prst="rect">
                      <a:avLst/>
                    </a:prstGeom>
                  </pic:spPr>
                </pic:pic>
              </a:graphicData>
            </a:graphic>
          </wp:inline>
        </w:drawing>
      </w:r>
      <w:r w:rsidR="00D84387" w:rsidRPr="002C21B8">
        <w:br w:type="page"/>
      </w:r>
    </w:p>
    <w:p w14:paraId="5C7EE8CE" w14:textId="77777777" w:rsidR="00BF6367" w:rsidRPr="002C21B8" w:rsidRDefault="00BF6367" w:rsidP="00BF6367">
      <w:pPr>
        <w:spacing w:after="0" w:line="240" w:lineRule="auto"/>
        <w:jc w:val="left"/>
      </w:pPr>
    </w:p>
    <w:p w14:paraId="605E9D5B" w14:textId="77777777" w:rsidR="00BF6367" w:rsidRPr="002C21B8" w:rsidRDefault="00BF6367" w:rsidP="00BF6367">
      <w:pPr>
        <w:spacing w:after="0" w:line="240" w:lineRule="auto"/>
        <w:jc w:val="left"/>
      </w:pPr>
    </w:p>
    <w:p w14:paraId="1A270081" w14:textId="21856D0A" w:rsidR="00D84387" w:rsidRPr="002C21B8" w:rsidRDefault="00FC18A5" w:rsidP="00BF6367">
      <w:pPr>
        <w:spacing w:after="0" w:line="240" w:lineRule="auto"/>
        <w:jc w:val="left"/>
      </w:pPr>
      <w:r w:rsidRPr="002C21B8">
        <w:rPr>
          <w:noProof/>
        </w:rPr>
        <w:drawing>
          <wp:inline distT="0" distB="0" distL="0" distR="0" wp14:anchorId="16B4D374" wp14:editId="2B377B3D">
            <wp:extent cx="5400000" cy="7682064"/>
            <wp:effectExtent l="0" t="0" r="0" b="1905"/>
            <wp:docPr id="1900688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88830" name=""/>
                    <pic:cNvPicPr/>
                  </pic:nvPicPr>
                  <pic:blipFill>
                    <a:blip r:embed="rId184"/>
                    <a:stretch>
                      <a:fillRect/>
                    </a:stretch>
                  </pic:blipFill>
                  <pic:spPr>
                    <a:xfrm>
                      <a:off x="0" y="0"/>
                      <a:ext cx="5400000" cy="7682064"/>
                    </a:xfrm>
                    <a:prstGeom prst="rect">
                      <a:avLst/>
                    </a:prstGeom>
                  </pic:spPr>
                </pic:pic>
              </a:graphicData>
            </a:graphic>
          </wp:inline>
        </w:drawing>
      </w:r>
      <w:r w:rsidR="00D84387" w:rsidRPr="002C21B8">
        <w:br w:type="page"/>
      </w:r>
    </w:p>
    <w:p w14:paraId="16E093CD" w14:textId="77777777" w:rsidR="00BF6367" w:rsidRPr="002C21B8" w:rsidRDefault="00BF6367" w:rsidP="00BF6367">
      <w:pPr>
        <w:spacing w:after="0" w:line="240" w:lineRule="auto"/>
        <w:jc w:val="left"/>
      </w:pPr>
    </w:p>
    <w:p w14:paraId="5B54AA37" w14:textId="77777777" w:rsidR="00BF6367" w:rsidRPr="002C21B8" w:rsidRDefault="00BF6367" w:rsidP="00BF6367">
      <w:pPr>
        <w:spacing w:after="0" w:line="240" w:lineRule="auto"/>
        <w:jc w:val="left"/>
      </w:pPr>
    </w:p>
    <w:p w14:paraId="7A95DCF8" w14:textId="0BC9531C" w:rsidR="00D84387" w:rsidRPr="002C21B8" w:rsidRDefault="00FC18A5">
      <w:pPr>
        <w:spacing w:after="0" w:line="240" w:lineRule="auto"/>
        <w:jc w:val="left"/>
      </w:pPr>
      <w:r w:rsidRPr="002C21B8">
        <w:rPr>
          <w:noProof/>
        </w:rPr>
        <w:drawing>
          <wp:inline distT="0" distB="0" distL="0" distR="0" wp14:anchorId="45860322" wp14:editId="1C7A3FE5">
            <wp:extent cx="5400000" cy="7668796"/>
            <wp:effectExtent l="0" t="0" r="0" b="2540"/>
            <wp:docPr id="321981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81452" name=""/>
                    <pic:cNvPicPr/>
                  </pic:nvPicPr>
                  <pic:blipFill>
                    <a:blip r:embed="rId185"/>
                    <a:stretch>
                      <a:fillRect/>
                    </a:stretch>
                  </pic:blipFill>
                  <pic:spPr>
                    <a:xfrm>
                      <a:off x="0" y="0"/>
                      <a:ext cx="5400000" cy="7668796"/>
                    </a:xfrm>
                    <a:prstGeom prst="rect">
                      <a:avLst/>
                    </a:prstGeom>
                  </pic:spPr>
                </pic:pic>
              </a:graphicData>
            </a:graphic>
          </wp:inline>
        </w:drawing>
      </w:r>
      <w:r w:rsidR="00D84387" w:rsidRPr="002C21B8">
        <w:br w:type="page"/>
      </w:r>
    </w:p>
    <w:p w14:paraId="56FED3BF" w14:textId="77777777" w:rsidR="00BF6367" w:rsidRPr="002C21B8" w:rsidRDefault="00BF6367" w:rsidP="00BF6367">
      <w:pPr>
        <w:spacing w:after="0" w:line="240" w:lineRule="auto"/>
        <w:jc w:val="left"/>
      </w:pPr>
    </w:p>
    <w:p w14:paraId="022472A3" w14:textId="77777777" w:rsidR="00BF6367" w:rsidRPr="002C21B8" w:rsidRDefault="00BF6367" w:rsidP="00BF6367">
      <w:pPr>
        <w:spacing w:after="0" w:line="240" w:lineRule="auto"/>
        <w:jc w:val="left"/>
      </w:pPr>
    </w:p>
    <w:p w14:paraId="0F14D872" w14:textId="0E926B89" w:rsidR="00175D37" w:rsidRPr="002C21B8" w:rsidRDefault="00FC18A5" w:rsidP="00BF6367">
      <w:pPr>
        <w:spacing w:after="0" w:line="240" w:lineRule="auto"/>
        <w:jc w:val="left"/>
      </w:pPr>
      <w:r w:rsidRPr="002C21B8">
        <w:rPr>
          <w:noProof/>
        </w:rPr>
        <w:drawing>
          <wp:inline distT="0" distB="0" distL="0" distR="0" wp14:anchorId="3CBB8F32" wp14:editId="46E749CD">
            <wp:extent cx="5400000" cy="7668796"/>
            <wp:effectExtent l="0" t="0" r="0" b="2540"/>
            <wp:docPr id="652944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44982" name=""/>
                    <pic:cNvPicPr/>
                  </pic:nvPicPr>
                  <pic:blipFill>
                    <a:blip r:embed="rId186"/>
                    <a:stretch>
                      <a:fillRect/>
                    </a:stretch>
                  </pic:blipFill>
                  <pic:spPr>
                    <a:xfrm>
                      <a:off x="0" y="0"/>
                      <a:ext cx="5400000" cy="7668796"/>
                    </a:xfrm>
                    <a:prstGeom prst="rect">
                      <a:avLst/>
                    </a:prstGeom>
                  </pic:spPr>
                </pic:pic>
              </a:graphicData>
            </a:graphic>
          </wp:inline>
        </w:drawing>
      </w:r>
      <w:r w:rsidR="00D84387" w:rsidRPr="002C21B8">
        <w:br w:type="page"/>
      </w:r>
    </w:p>
    <w:p w14:paraId="14026A65" w14:textId="575C2139" w:rsidR="00907CB1" w:rsidRPr="002C21B8" w:rsidRDefault="00907CB1" w:rsidP="00581663">
      <w:pPr>
        <w:pStyle w:val="Heading2"/>
        <w:numPr>
          <w:ilvl w:val="0"/>
          <w:numId w:val="0"/>
        </w:numPr>
      </w:pPr>
      <w:bookmarkStart w:id="447" w:name="_Appendix_6._Publication"/>
      <w:bookmarkStart w:id="448" w:name="_Toc229687258"/>
      <w:bookmarkEnd w:id="447"/>
      <w:r w:rsidRPr="002C21B8">
        <w:t xml:space="preserve">Appendix 6. </w:t>
      </w:r>
      <w:r w:rsidR="00AA4764" w:rsidRPr="002C21B8">
        <w:t>Publication materials for</w:t>
      </w:r>
      <w:r w:rsidR="0021525C" w:rsidRPr="002C21B8">
        <w:t xml:space="preserve"> </w:t>
      </w:r>
      <w:r w:rsidR="00760485" w:rsidRPr="002C21B8">
        <w:t>j</w:t>
      </w:r>
      <w:r w:rsidR="00F17C26" w:rsidRPr="002C21B8">
        <w:t xml:space="preserve">ournal </w:t>
      </w:r>
      <w:r w:rsidR="00760485" w:rsidRPr="002C21B8">
        <w:t>a</w:t>
      </w:r>
      <w:r w:rsidR="00F17C26" w:rsidRPr="002C21B8">
        <w:t>rticle</w:t>
      </w:r>
      <w:r w:rsidR="0021525C" w:rsidRPr="002C21B8">
        <w:t xml:space="preserve"> 2 (Chapter 5)</w:t>
      </w:r>
      <w:bookmarkEnd w:id="448"/>
    </w:p>
    <w:p w14:paraId="056FF9D0" w14:textId="29BFD418" w:rsidR="00AA4764" w:rsidRPr="002C21B8" w:rsidRDefault="00AA4764" w:rsidP="004507C8">
      <w:pPr>
        <w:pStyle w:val="Heading3"/>
        <w:numPr>
          <w:ilvl w:val="0"/>
          <w:numId w:val="0"/>
        </w:numPr>
      </w:pPr>
      <w:bookmarkStart w:id="449" w:name="_Inclusion_and_exclusion"/>
      <w:bookmarkEnd w:id="449"/>
      <w:r w:rsidRPr="002C21B8">
        <w:t>Inclusion and exclusion criteria</w:t>
      </w:r>
    </w:p>
    <w:tbl>
      <w:tblPr>
        <w:tblStyle w:val="TableGrid"/>
        <w:tblW w:w="0" w:type="auto"/>
        <w:tblLook w:val="04A0" w:firstRow="1" w:lastRow="0" w:firstColumn="1" w:lastColumn="0" w:noHBand="0" w:noVBand="1"/>
      </w:tblPr>
      <w:tblGrid>
        <w:gridCol w:w="4508"/>
        <w:gridCol w:w="4418"/>
      </w:tblGrid>
      <w:tr w:rsidR="00AA4764" w:rsidRPr="002C21B8" w14:paraId="529FBC2A" w14:textId="77777777" w:rsidTr="00DB25FC">
        <w:tc>
          <w:tcPr>
            <w:tcW w:w="4508" w:type="dxa"/>
          </w:tcPr>
          <w:p w14:paraId="33CF5889" w14:textId="77777777" w:rsidR="00AA4764" w:rsidRPr="002C21B8" w:rsidRDefault="00AA4764" w:rsidP="00DB25FC">
            <w:pPr>
              <w:spacing w:before="20" w:after="120" w:line="240" w:lineRule="auto"/>
              <w:rPr>
                <w:b/>
                <w:bCs/>
                <w:sz w:val="20"/>
                <w:szCs w:val="20"/>
              </w:rPr>
            </w:pPr>
            <w:r w:rsidRPr="002C21B8">
              <w:rPr>
                <w:b/>
                <w:bCs/>
                <w:sz w:val="20"/>
                <w:szCs w:val="20"/>
              </w:rPr>
              <w:t>Inclusion criteria</w:t>
            </w:r>
          </w:p>
        </w:tc>
        <w:tc>
          <w:tcPr>
            <w:tcW w:w="4418" w:type="dxa"/>
          </w:tcPr>
          <w:p w14:paraId="34844D8C" w14:textId="77777777" w:rsidR="00AA4764" w:rsidRPr="002C21B8" w:rsidRDefault="00AA4764" w:rsidP="00DB25FC">
            <w:pPr>
              <w:spacing w:before="20" w:after="120" w:line="240" w:lineRule="auto"/>
              <w:rPr>
                <w:b/>
                <w:bCs/>
                <w:sz w:val="20"/>
                <w:szCs w:val="20"/>
              </w:rPr>
            </w:pPr>
            <w:r w:rsidRPr="002C21B8">
              <w:rPr>
                <w:b/>
                <w:bCs/>
                <w:sz w:val="20"/>
                <w:szCs w:val="20"/>
              </w:rPr>
              <w:t>Exclusion criteria</w:t>
            </w:r>
          </w:p>
        </w:tc>
      </w:tr>
      <w:tr w:rsidR="00AA4764" w:rsidRPr="002C21B8" w14:paraId="45EBD2FB" w14:textId="77777777" w:rsidTr="00DB25FC">
        <w:tc>
          <w:tcPr>
            <w:tcW w:w="4508" w:type="dxa"/>
          </w:tcPr>
          <w:p w14:paraId="55027BF6"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 xml:space="preserve">Adult aged &gt;18 </w:t>
            </w:r>
          </w:p>
          <w:p w14:paraId="5B5A6B00"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 xml:space="preserve">ADPKD diagnosis </w:t>
            </w:r>
          </w:p>
          <w:p w14:paraId="36C7C8A6"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Registered to one of the 72 kidney centres in the UK</w:t>
            </w:r>
          </w:p>
          <w:p w14:paraId="2969667E"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 xml:space="preserve">Enrolled to RaDaR </w:t>
            </w:r>
          </w:p>
          <w:p w14:paraId="4B8DAF9D"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Medication data available from PatientView</w:t>
            </w:r>
          </w:p>
          <w:p w14:paraId="1596EA96"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Sufficient eGFR data to calculate 1-year or 5-year slopes</w:t>
            </w:r>
          </w:p>
        </w:tc>
        <w:tc>
          <w:tcPr>
            <w:tcW w:w="4418" w:type="dxa"/>
          </w:tcPr>
          <w:p w14:paraId="59B23A15"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Individuals without any recorded medication data</w:t>
            </w:r>
          </w:p>
          <w:p w14:paraId="256B1D4F" w14:textId="77777777" w:rsidR="00AA4764" w:rsidRPr="002C21B8" w:rsidRDefault="00AA4764" w:rsidP="00A97F07">
            <w:pPr>
              <w:pStyle w:val="ListParagraph"/>
              <w:numPr>
                <w:ilvl w:val="0"/>
                <w:numId w:val="10"/>
              </w:numPr>
              <w:spacing w:before="20" w:after="120" w:line="240" w:lineRule="auto"/>
              <w:contextualSpacing w:val="0"/>
              <w:rPr>
                <w:sz w:val="20"/>
                <w:szCs w:val="20"/>
              </w:rPr>
            </w:pPr>
            <w:r w:rsidRPr="002C21B8">
              <w:rPr>
                <w:sz w:val="20"/>
                <w:szCs w:val="20"/>
              </w:rPr>
              <w:t>Incomplete or missing eGFR measurements</w:t>
            </w:r>
          </w:p>
          <w:p w14:paraId="195025D6" w14:textId="77777777" w:rsidR="00AA4764" w:rsidRPr="002C21B8" w:rsidRDefault="00AA4764" w:rsidP="002A12E6">
            <w:pPr>
              <w:spacing w:before="20" w:after="120" w:line="240" w:lineRule="auto"/>
              <w:rPr>
                <w:sz w:val="20"/>
                <w:szCs w:val="20"/>
              </w:rPr>
            </w:pPr>
          </w:p>
          <w:p w14:paraId="32C836D2" w14:textId="77777777" w:rsidR="00AA4764" w:rsidRPr="002C21B8" w:rsidRDefault="00AA4764" w:rsidP="002A12E6">
            <w:pPr>
              <w:spacing w:before="20" w:after="120" w:line="240" w:lineRule="auto"/>
              <w:rPr>
                <w:sz w:val="20"/>
                <w:szCs w:val="20"/>
              </w:rPr>
            </w:pPr>
          </w:p>
        </w:tc>
      </w:tr>
    </w:tbl>
    <w:p w14:paraId="0309C5F9" w14:textId="77777777" w:rsidR="00AA4764" w:rsidRPr="002C21B8" w:rsidRDefault="00AA4764" w:rsidP="00F059B4">
      <w:pPr>
        <w:pStyle w:val="Caption"/>
        <w:rPr>
          <w:noProof w:val="0"/>
        </w:rPr>
      </w:pPr>
    </w:p>
    <w:p w14:paraId="4967EE73" w14:textId="77777777" w:rsidR="00175D37" w:rsidRPr="002C21B8" w:rsidRDefault="00175D37" w:rsidP="00175D37"/>
    <w:p w14:paraId="7B9FD55E" w14:textId="6F6315D8" w:rsidR="00AA4764" w:rsidRPr="002C21B8" w:rsidRDefault="00AA4764" w:rsidP="004507C8">
      <w:pPr>
        <w:pStyle w:val="Heading3"/>
        <w:numPr>
          <w:ilvl w:val="0"/>
          <w:numId w:val="0"/>
        </w:numPr>
      </w:pPr>
      <w:bookmarkStart w:id="450" w:name="_ADPKD_study_characteristics"/>
      <w:bookmarkEnd w:id="450"/>
      <w:r w:rsidRPr="002C21B8">
        <w:t>ADPKD study characteristics</w:t>
      </w:r>
    </w:p>
    <w:tbl>
      <w:tblPr>
        <w:tblStyle w:val="TableGrid"/>
        <w:tblW w:w="948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980"/>
        <w:gridCol w:w="1800"/>
        <w:gridCol w:w="2004"/>
        <w:gridCol w:w="1704"/>
      </w:tblGrid>
      <w:tr w:rsidR="00AA4764" w:rsidRPr="002C21B8" w14:paraId="65870861" w14:textId="77777777" w:rsidTr="00DB25FC">
        <w:tc>
          <w:tcPr>
            <w:tcW w:w="3980" w:type="dxa"/>
          </w:tcPr>
          <w:p w14:paraId="3DC9751A" w14:textId="77777777" w:rsidR="00AA4764" w:rsidRPr="002C21B8" w:rsidRDefault="00AA4764" w:rsidP="00DB25FC">
            <w:pPr>
              <w:spacing w:before="20" w:after="120" w:line="240" w:lineRule="auto"/>
              <w:rPr>
                <w:b/>
                <w:bCs/>
                <w:sz w:val="20"/>
                <w:szCs w:val="20"/>
              </w:rPr>
            </w:pPr>
            <w:r w:rsidRPr="002C21B8">
              <w:rPr>
                <w:b/>
                <w:bCs/>
                <w:sz w:val="20"/>
                <w:szCs w:val="20"/>
              </w:rPr>
              <w:t>Characteristic</w:t>
            </w:r>
          </w:p>
        </w:tc>
        <w:tc>
          <w:tcPr>
            <w:tcW w:w="1800" w:type="dxa"/>
          </w:tcPr>
          <w:p w14:paraId="749E4D52" w14:textId="77777777" w:rsidR="00AA4764" w:rsidRPr="002C21B8" w:rsidRDefault="00AA4764" w:rsidP="00DB25FC">
            <w:pPr>
              <w:spacing w:before="20" w:after="120" w:line="240" w:lineRule="auto"/>
              <w:rPr>
                <w:b/>
                <w:bCs/>
                <w:sz w:val="20"/>
                <w:szCs w:val="20"/>
              </w:rPr>
            </w:pPr>
            <w:r w:rsidRPr="002C21B8">
              <w:rPr>
                <w:b/>
                <w:bCs/>
                <w:sz w:val="20"/>
                <w:szCs w:val="20"/>
              </w:rPr>
              <w:fldChar w:fldCharType="begin"/>
            </w:r>
            <w:r w:rsidRPr="002C21B8">
              <w:rPr>
                <w:b/>
                <w:bCs/>
                <w:sz w:val="20"/>
                <w:szCs w:val="20"/>
              </w:rPr>
              <w:instrText xml:space="preserve"> ADDIN EN.CITE &lt;EndNote&gt;&lt;Cite&gt;&lt;Author&gt;Rao&lt;/Author&gt;&lt;Year&gt;2025&lt;/Year&gt;&lt;RecNum&gt;124993&lt;/RecNum&gt;&lt;DisplayText&gt;(Rao&lt;style face="italic"&gt; et al.&lt;/style&gt;, 2025)&lt;/DisplayText&gt;&lt;record&gt;&lt;rec-number&gt;124993&lt;/rec-number&gt;&lt;foreign-keys&gt;&lt;key app="EN" db-id="xpefzwa5hf9dt2ea9fax95x7xvxz90v09dtf" timestamp="1756885714"&gt;124993&lt;/key&gt;&lt;/foreign-keys&gt;&lt;ref-type name="Journal Article"&gt;17&lt;/ref-type&gt;&lt;contributors&gt;&lt;authors&gt;&lt;author&gt;Rao, Vinamratha&lt;/author&gt;&lt;author&gt;Ammar, Shahed&lt;/author&gt;&lt;author&gt;Alshorman, Abrar&lt;/author&gt;&lt;author&gt;Fravel, Michelle&lt;/author&gt;&lt;author&gt;McGreal, Kerri A&lt;/author&gt;&lt;author&gt;Winklhofer, Franz T&lt;/author&gt;&lt;author&gt;Noureddine, Lama&lt;/author&gt;&lt;author&gt;Jalal, Diana I&lt;/author&gt;&lt;author&gt;Yu, Alan SL&lt;/author&gt;&lt;author&gt;Mustafa, Reem A&lt;/author&gt;&lt;/authors&gt;&lt;/contributors&gt;&lt;titles&gt;&lt;title&gt;Real-World Tolvaptan Use in Autosomal Dominant Polycystic Kidney Disease: Insights from Two US Medical Centers&lt;/title&gt;&lt;secondary-title&gt;Kidney360&lt;/secondary-title&gt;&lt;/titles&gt;&lt;periodical&gt;&lt;full-title&gt;Kidney360&lt;/full-title&gt;&lt;/periodical&gt;&lt;pages&gt;10.34067&lt;/pages&gt;&lt;dates&gt;&lt;year&gt;2025&lt;/year&gt;&lt;/dates&gt;&lt;isbn&gt;2641-7650&lt;/isbn&gt;&lt;urls&gt;&lt;/urls&gt;&lt;/record&gt;&lt;/Cite&gt;&lt;/EndNote&gt;</w:instrText>
            </w:r>
            <w:r w:rsidRPr="002C21B8">
              <w:rPr>
                <w:b/>
                <w:bCs/>
                <w:sz w:val="20"/>
                <w:szCs w:val="20"/>
              </w:rPr>
              <w:fldChar w:fldCharType="separate"/>
            </w:r>
            <w:r w:rsidRPr="002C21B8">
              <w:rPr>
                <w:b/>
                <w:bCs/>
                <w:sz w:val="20"/>
                <w:szCs w:val="20"/>
              </w:rPr>
              <w:t>(Rao</w:t>
            </w:r>
            <w:r w:rsidRPr="002C21B8">
              <w:rPr>
                <w:b/>
                <w:bCs/>
                <w:i/>
                <w:sz w:val="20"/>
                <w:szCs w:val="20"/>
              </w:rPr>
              <w:t xml:space="preserve"> et al.</w:t>
            </w:r>
            <w:r w:rsidRPr="002C21B8">
              <w:rPr>
                <w:b/>
                <w:bCs/>
                <w:sz w:val="20"/>
                <w:szCs w:val="20"/>
              </w:rPr>
              <w:t>, 2025)</w:t>
            </w:r>
            <w:r w:rsidRPr="002C21B8">
              <w:rPr>
                <w:b/>
                <w:bCs/>
                <w:sz w:val="20"/>
                <w:szCs w:val="20"/>
              </w:rPr>
              <w:fldChar w:fldCharType="end"/>
            </w:r>
          </w:p>
        </w:tc>
        <w:tc>
          <w:tcPr>
            <w:tcW w:w="2004" w:type="dxa"/>
          </w:tcPr>
          <w:p w14:paraId="78092BB0" w14:textId="77777777" w:rsidR="00AA4764" w:rsidRPr="002C21B8" w:rsidDel="007734C7" w:rsidRDefault="00AA4764" w:rsidP="00DB25FC">
            <w:pPr>
              <w:spacing w:before="20" w:after="120" w:line="240" w:lineRule="auto"/>
              <w:rPr>
                <w:b/>
                <w:bCs/>
                <w:sz w:val="20"/>
                <w:szCs w:val="20"/>
              </w:rPr>
            </w:pPr>
            <w:r w:rsidRPr="002C21B8">
              <w:rPr>
                <w:b/>
                <w:bCs/>
                <w:sz w:val="20"/>
                <w:szCs w:val="20"/>
              </w:rPr>
              <w:fldChar w:fldCharType="begin"/>
            </w:r>
            <w:r w:rsidRPr="002C21B8">
              <w:rPr>
                <w:b/>
                <w:bCs/>
                <w:sz w:val="20"/>
                <w:szCs w:val="20"/>
              </w:rPr>
              <w:instrText xml:space="preserve"> ADDIN EN.CITE &lt;EndNote&gt;&lt;Cite&gt;&lt;Author&gt;Perrone&lt;/Author&gt;&lt;Year&gt;2025&lt;/Year&gt;&lt;RecNum&gt;125100&lt;/RecNum&gt;&lt;DisplayText&gt;(Perrone&lt;style face="italic"&gt; et al.&lt;/style&gt;, 2025)&lt;/DisplayText&gt;&lt;record&gt;&lt;rec-number&gt;125100&lt;/rec-number&gt;&lt;foreign-keys&gt;&lt;key app="EN" db-id="xpefzwa5hf9dt2ea9fax95x7xvxz90v09dtf" timestamp="1764244147"&gt;125100&lt;/key&gt;&lt;/foreign-keys&gt;&lt;ref-type name="Journal Article"&gt;17&lt;/ref-type&gt;&lt;contributors&gt;&lt;authors&gt;&lt;author&gt;Perrone, Ronald D&lt;/author&gt;&lt;author&gt;Garbinsky, Diana&lt;/author&gt;&lt;author&gt;Nunna, Sasikiran&lt;/author&gt;&lt;author&gt;Gandhi, Hema K&lt;/author&gt;&lt;author&gt;Fernandes, Ancilla W&lt;/author&gt;&lt;author&gt;Burgos, Gabriela&lt;/author&gt;&lt;author&gt;Olopoenia, Abisola&lt;/author&gt;&lt;author&gt;DeCongelio, Marc&lt;/author&gt;&lt;author&gt;Maculaitis, Martine C&lt;/author&gt;&lt;author&gt;Zhou, Xiaolei&lt;/author&gt;&lt;/authors&gt;&lt;/contributors&gt;&lt;titles&gt;&lt;title&gt;Effectiveness of Tolvaptan for Autosomal Dominant Polycystic Kidney Disease in US Clinical Practice With Comparison to Historical Control Data&lt;/title&gt;&lt;secondary-title&gt;Kidney Medicine&lt;/secondary-title&gt;&lt;/titles&gt;&lt;periodical&gt;&lt;full-title&gt;Kidney medicine&lt;/full-title&gt;&lt;/periodical&gt;&lt;pages&gt;100988&lt;/pages&gt;&lt;volume&gt;7&lt;/volume&gt;&lt;number&gt;5&lt;/number&gt;&lt;dates&gt;&lt;year&gt;2025&lt;/year&gt;&lt;/dates&gt;&lt;isbn&gt;2590-0595&lt;/isbn&gt;&lt;urls&gt;&lt;/urls&gt;&lt;/record&gt;&lt;/Cite&gt;&lt;/EndNote&gt;</w:instrText>
            </w:r>
            <w:r w:rsidRPr="002C21B8">
              <w:rPr>
                <w:b/>
                <w:bCs/>
                <w:sz w:val="20"/>
                <w:szCs w:val="20"/>
              </w:rPr>
              <w:fldChar w:fldCharType="separate"/>
            </w:r>
            <w:r w:rsidRPr="002C21B8">
              <w:rPr>
                <w:b/>
                <w:bCs/>
                <w:sz w:val="20"/>
                <w:szCs w:val="20"/>
              </w:rPr>
              <w:t>(Perrone</w:t>
            </w:r>
            <w:r w:rsidRPr="002C21B8">
              <w:rPr>
                <w:b/>
                <w:bCs/>
                <w:i/>
                <w:sz w:val="20"/>
                <w:szCs w:val="20"/>
              </w:rPr>
              <w:t xml:space="preserve"> et al.</w:t>
            </w:r>
            <w:r w:rsidRPr="002C21B8">
              <w:rPr>
                <w:b/>
                <w:bCs/>
                <w:sz w:val="20"/>
                <w:szCs w:val="20"/>
              </w:rPr>
              <w:t>, 2025)</w:t>
            </w:r>
            <w:r w:rsidRPr="002C21B8">
              <w:rPr>
                <w:b/>
                <w:bCs/>
                <w:sz w:val="20"/>
                <w:szCs w:val="20"/>
              </w:rPr>
              <w:fldChar w:fldCharType="end"/>
            </w:r>
          </w:p>
        </w:tc>
        <w:tc>
          <w:tcPr>
            <w:tcW w:w="1704" w:type="dxa"/>
          </w:tcPr>
          <w:p w14:paraId="12DDE42B" w14:textId="77777777" w:rsidR="00AA4764" w:rsidRPr="002C21B8" w:rsidRDefault="00AA4764" w:rsidP="00DB25FC">
            <w:pPr>
              <w:spacing w:before="20" w:after="120" w:line="240" w:lineRule="auto"/>
              <w:rPr>
                <w:b/>
                <w:bCs/>
                <w:sz w:val="20"/>
                <w:szCs w:val="20"/>
              </w:rPr>
            </w:pPr>
            <w:r w:rsidRPr="002C21B8">
              <w:rPr>
                <w:b/>
                <w:bCs/>
                <w:sz w:val="20"/>
                <w:szCs w:val="20"/>
              </w:rPr>
              <w:t>RaDaR dataset</w:t>
            </w:r>
          </w:p>
        </w:tc>
      </w:tr>
      <w:tr w:rsidR="00AA4764" w:rsidRPr="002C21B8" w14:paraId="4DAA3255" w14:textId="77777777" w:rsidTr="00DB25FC">
        <w:trPr>
          <w:trHeight w:val="1525"/>
        </w:trPr>
        <w:tc>
          <w:tcPr>
            <w:tcW w:w="3980" w:type="dxa"/>
          </w:tcPr>
          <w:p w14:paraId="08596B60" w14:textId="77777777" w:rsidR="00AA4764" w:rsidRPr="002C21B8" w:rsidRDefault="00AA4764" w:rsidP="00DB25FC">
            <w:pPr>
              <w:spacing w:before="20" w:after="120" w:line="240" w:lineRule="auto"/>
              <w:rPr>
                <w:sz w:val="20"/>
                <w:szCs w:val="20"/>
              </w:rPr>
            </w:pPr>
            <w:r w:rsidRPr="002C21B8">
              <w:rPr>
                <w:sz w:val="20"/>
                <w:szCs w:val="20"/>
              </w:rPr>
              <w:t>Mean age at initiation (years)</w:t>
            </w:r>
          </w:p>
          <w:p w14:paraId="6978F832" w14:textId="77777777" w:rsidR="00AA4764" w:rsidRPr="002C21B8" w:rsidRDefault="00AA4764" w:rsidP="00DB25FC">
            <w:pPr>
              <w:spacing w:before="20" w:after="120" w:line="240" w:lineRule="auto"/>
              <w:rPr>
                <w:sz w:val="20"/>
                <w:szCs w:val="20"/>
              </w:rPr>
            </w:pPr>
            <w:r w:rsidRPr="002C21B8">
              <w:rPr>
                <w:sz w:val="20"/>
                <w:szCs w:val="20"/>
              </w:rPr>
              <w:t>Female (%)</w:t>
            </w:r>
          </w:p>
          <w:p w14:paraId="60D68A73" w14:textId="77777777" w:rsidR="00AA4764" w:rsidRPr="002C21B8" w:rsidRDefault="00AA4764" w:rsidP="00DB25FC">
            <w:pPr>
              <w:spacing w:before="20" w:after="120" w:line="240" w:lineRule="auto"/>
              <w:rPr>
                <w:sz w:val="20"/>
                <w:szCs w:val="20"/>
              </w:rPr>
            </w:pPr>
            <w:r w:rsidRPr="002C21B8">
              <w:rPr>
                <w:sz w:val="20"/>
                <w:szCs w:val="20"/>
              </w:rPr>
              <w:t>Mean eGFR at initiation (ml/min/1.73m</w:t>
            </w:r>
            <w:r w:rsidRPr="002C21B8">
              <w:rPr>
                <w:sz w:val="20"/>
                <w:szCs w:val="20"/>
                <w:vertAlign w:val="superscript"/>
              </w:rPr>
              <w:t>2</w:t>
            </w:r>
            <w:r w:rsidRPr="002C21B8">
              <w:rPr>
                <w:sz w:val="20"/>
                <w:szCs w:val="20"/>
              </w:rPr>
              <w:t>)</w:t>
            </w:r>
          </w:p>
          <w:p w14:paraId="218A5A63" w14:textId="77777777" w:rsidR="00AA4764" w:rsidRPr="002C21B8" w:rsidRDefault="00AA4764" w:rsidP="00DB25FC">
            <w:pPr>
              <w:spacing w:before="20" w:after="120" w:line="240" w:lineRule="auto"/>
              <w:rPr>
                <w:sz w:val="20"/>
                <w:szCs w:val="20"/>
              </w:rPr>
            </w:pPr>
            <w:r w:rsidRPr="002C21B8">
              <w:rPr>
                <w:sz w:val="20"/>
                <w:szCs w:val="20"/>
              </w:rPr>
              <w:t>Median duration (years)</w:t>
            </w:r>
          </w:p>
        </w:tc>
        <w:tc>
          <w:tcPr>
            <w:tcW w:w="1800" w:type="dxa"/>
          </w:tcPr>
          <w:p w14:paraId="53BA3E10" w14:textId="77777777" w:rsidR="00AA4764" w:rsidRPr="002C21B8" w:rsidRDefault="00AA4764" w:rsidP="00DB25FC">
            <w:pPr>
              <w:spacing w:before="20" w:after="120" w:line="240" w:lineRule="auto"/>
              <w:rPr>
                <w:sz w:val="20"/>
                <w:szCs w:val="20"/>
              </w:rPr>
            </w:pPr>
            <w:r w:rsidRPr="002C21B8">
              <w:rPr>
                <w:sz w:val="20"/>
                <w:szCs w:val="20"/>
              </w:rPr>
              <w:t>44.4</w:t>
            </w:r>
          </w:p>
          <w:p w14:paraId="2AEBCB33" w14:textId="77777777" w:rsidR="00AA4764" w:rsidRPr="002C21B8" w:rsidRDefault="00AA4764" w:rsidP="00DB25FC">
            <w:pPr>
              <w:spacing w:before="20" w:after="120" w:line="240" w:lineRule="auto"/>
              <w:rPr>
                <w:sz w:val="20"/>
                <w:szCs w:val="20"/>
              </w:rPr>
            </w:pPr>
            <w:r w:rsidRPr="002C21B8">
              <w:rPr>
                <w:sz w:val="20"/>
                <w:szCs w:val="20"/>
              </w:rPr>
              <w:t>52.0</w:t>
            </w:r>
          </w:p>
          <w:p w14:paraId="32DF1FC5" w14:textId="77777777" w:rsidR="00AA4764" w:rsidRPr="002C21B8" w:rsidRDefault="00AA4764" w:rsidP="00DB25FC">
            <w:pPr>
              <w:spacing w:before="20" w:after="120" w:line="240" w:lineRule="auto"/>
              <w:rPr>
                <w:sz w:val="20"/>
                <w:szCs w:val="20"/>
              </w:rPr>
            </w:pPr>
            <w:r w:rsidRPr="002C21B8">
              <w:rPr>
                <w:sz w:val="20"/>
                <w:szCs w:val="20"/>
              </w:rPr>
              <w:t>NA</w:t>
            </w:r>
          </w:p>
          <w:p w14:paraId="34D2A3E8" w14:textId="77777777" w:rsidR="00AA4764" w:rsidRPr="002C21B8" w:rsidRDefault="00AA4764" w:rsidP="00DB25FC">
            <w:pPr>
              <w:spacing w:before="20" w:after="120" w:line="240" w:lineRule="auto"/>
              <w:rPr>
                <w:sz w:val="20"/>
                <w:szCs w:val="20"/>
              </w:rPr>
            </w:pPr>
            <w:r w:rsidRPr="002C21B8">
              <w:rPr>
                <w:sz w:val="20"/>
                <w:szCs w:val="20"/>
              </w:rPr>
              <w:t>2.9</w:t>
            </w:r>
          </w:p>
        </w:tc>
        <w:tc>
          <w:tcPr>
            <w:tcW w:w="2004" w:type="dxa"/>
          </w:tcPr>
          <w:p w14:paraId="0FE6BEDF" w14:textId="77777777" w:rsidR="00AA4764" w:rsidRPr="002C21B8" w:rsidRDefault="00AA4764" w:rsidP="00DB25FC">
            <w:pPr>
              <w:spacing w:before="20" w:after="120" w:line="240" w:lineRule="auto"/>
              <w:rPr>
                <w:sz w:val="20"/>
                <w:szCs w:val="20"/>
              </w:rPr>
            </w:pPr>
            <w:r w:rsidRPr="002C21B8">
              <w:rPr>
                <w:sz w:val="20"/>
                <w:szCs w:val="20"/>
              </w:rPr>
              <w:t>43.1</w:t>
            </w:r>
          </w:p>
          <w:p w14:paraId="22351E58" w14:textId="77777777" w:rsidR="00AA4764" w:rsidRPr="002C21B8" w:rsidRDefault="00AA4764" w:rsidP="00DB25FC">
            <w:pPr>
              <w:spacing w:before="20" w:after="120" w:line="240" w:lineRule="auto"/>
              <w:rPr>
                <w:sz w:val="20"/>
                <w:szCs w:val="20"/>
              </w:rPr>
            </w:pPr>
            <w:r w:rsidRPr="002C21B8">
              <w:rPr>
                <w:sz w:val="20"/>
                <w:szCs w:val="20"/>
              </w:rPr>
              <w:t>40.0</w:t>
            </w:r>
          </w:p>
          <w:p w14:paraId="6AD9EBAF" w14:textId="77777777" w:rsidR="00AA4764" w:rsidRPr="002C21B8" w:rsidRDefault="00AA4764" w:rsidP="00DB25FC">
            <w:pPr>
              <w:spacing w:before="20" w:after="120" w:line="240" w:lineRule="auto"/>
              <w:rPr>
                <w:sz w:val="20"/>
                <w:szCs w:val="20"/>
              </w:rPr>
            </w:pPr>
            <w:r w:rsidRPr="002C21B8">
              <w:rPr>
                <w:sz w:val="20"/>
                <w:szCs w:val="20"/>
              </w:rPr>
              <w:t>56.3*</w:t>
            </w:r>
          </w:p>
          <w:p w14:paraId="453390FC" w14:textId="77777777" w:rsidR="00AA4764" w:rsidRPr="002C21B8" w:rsidDel="007734C7" w:rsidRDefault="00AA4764" w:rsidP="00DB25FC">
            <w:pPr>
              <w:spacing w:before="20" w:after="120" w:line="240" w:lineRule="auto"/>
              <w:rPr>
                <w:sz w:val="20"/>
                <w:szCs w:val="20"/>
              </w:rPr>
            </w:pPr>
            <w:r w:rsidRPr="002C21B8">
              <w:rPr>
                <w:sz w:val="20"/>
                <w:szCs w:val="20"/>
              </w:rPr>
              <w:t>2.6</w:t>
            </w:r>
          </w:p>
        </w:tc>
        <w:tc>
          <w:tcPr>
            <w:tcW w:w="1704" w:type="dxa"/>
          </w:tcPr>
          <w:p w14:paraId="664DE97D" w14:textId="77777777" w:rsidR="00AA4764" w:rsidRPr="002C21B8" w:rsidRDefault="00AA4764" w:rsidP="00DB25FC">
            <w:pPr>
              <w:spacing w:before="20" w:after="120" w:line="240" w:lineRule="auto"/>
              <w:rPr>
                <w:sz w:val="20"/>
                <w:szCs w:val="20"/>
              </w:rPr>
            </w:pPr>
            <w:r w:rsidRPr="002C21B8">
              <w:rPr>
                <w:sz w:val="20"/>
                <w:szCs w:val="20"/>
              </w:rPr>
              <w:t>45.5</w:t>
            </w:r>
          </w:p>
          <w:p w14:paraId="5603475C" w14:textId="77777777" w:rsidR="00AA4764" w:rsidRPr="002C21B8" w:rsidRDefault="00AA4764" w:rsidP="00DB25FC">
            <w:pPr>
              <w:spacing w:before="20" w:after="120" w:line="240" w:lineRule="auto"/>
              <w:rPr>
                <w:sz w:val="20"/>
                <w:szCs w:val="20"/>
              </w:rPr>
            </w:pPr>
            <w:r w:rsidRPr="002C21B8">
              <w:rPr>
                <w:sz w:val="20"/>
                <w:szCs w:val="20"/>
              </w:rPr>
              <w:t>51.3%</w:t>
            </w:r>
          </w:p>
          <w:p w14:paraId="56D5844A" w14:textId="77777777" w:rsidR="00AA4764" w:rsidRPr="002C21B8" w:rsidRDefault="00AA4764" w:rsidP="00DB25FC">
            <w:pPr>
              <w:spacing w:before="20" w:after="120" w:line="240" w:lineRule="auto"/>
              <w:rPr>
                <w:sz w:val="20"/>
                <w:szCs w:val="20"/>
              </w:rPr>
            </w:pPr>
            <w:r w:rsidRPr="002C21B8">
              <w:rPr>
                <w:sz w:val="20"/>
                <w:szCs w:val="20"/>
              </w:rPr>
              <w:t>47.5</w:t>
            </w:r>
          </w:p>
          <w:p w14:paraId="5840EBFD" w14:textId="77777777" w:rsidR="00AA4764" w:rsidRPr="002C21B8" w:rsidRDefault="00AA4764" w:rsidP="00DB25FC">
            <w:pPr>
              <w:spacing w:before="20" w:after="120" w:line="240" w:lineRule="auto"/>
              <w:rPr>
                <w:sz w:val="20"/>
                <w:szCs w:val="20"/>
              </w:rPr>
            </w:pPr>
            <w:r w:rsidRPr="002C21B8">
              <w:rPr>
                <w:sz w:val="20"/>
                <w:szCs w:val="20"/>
              </w:rPr>
              <w:t>NA</w:t>
            </w:r>
          </w:p>
        </w:tc>
      </w:tr>
    </w:tbl>
    <w:p w14:paraId="1559D686" w14:textId="77777777" w:rsidR="00AA4764" w:rsidRPr="002C21B8" w:rsidRDefault="00AA4764" w:rsidP="00AA4764">
      <w:r w:rsidRPr="002C21B8">
        <w:t>* not measured at baseline, measured at month 1</w:t>
      </w:r>
      <w:r w:rsidRPr="002C21B8">
        <w:rPr>
          <w:rFonts w:eastAsiaTheme="majorEastAsia"/>
        </w:rPr>
        <w:br w:type="page"/>
      </w:r>
    </w:p>
    <w:p w14:paraId="17E71387" w14:textId="58351DFF" w:rsidR="00AA4764" w:rsidRPr="002C21B8" w:rsidRDefault="00AA4764" w:rsidP="00BF6367">
      <w:pPr>
        <w:pStyle w:val="Heading3"/>
        <w:keepNext w:val="0"/>
        <w:keepLines w:val="0"/>
        <w:numPr>
          <w:ilvl w:val="0"/>
          <w:numId w:val="0"/>
        </w:numPr>
      </w:pPr>
      <w:bookmarkStart w:id="451" w:name="_Data_completeness_of"/>
      <w:bookmarkEnd w:id="451"/>
      <w:r w:rsidRPr="002C21B8">
        <w:t>Data completeness</w:t>
      </w:r>
      <w:r w:rsidR="00447CF1" w:rsidRPr="002C21B8">
        <w:t xml:space="preserve"> </w:t>
      </w:r>
      <w:r w:rsidR="00286CE9" w:rsidRPr="002C21B8">
        <w:t>of the</w:t>
      </w:r>
      <w:r w:rsidR="00447CF1" w:rsidRPr="002C21B8">
        <w:t xml:space="preserve"> RaDaR dataset</w:t>
      </w:r>
    </w:p>
    <w:p w14:paraId="16E4EA34" w14:textId="08CCA000" w:rsidR="00AA4764" w:rsidRPr="002C21B8" w:rsidRDefault="00BF6367" w:rsidP="00BF6367">
      <w:pPr>
        <w:rPr>
          <w:rFonts w:eastAsiaTheme="majorEastAsia"/>
        </w:rPr>
      </w:pPr>
      <w:r w:rsidRPr="002C21B8">
        <w:rPr>
          <w:noProof/>
        </w:rPr>
        <w:drawing>
          <wp:inline distT="0" distB="0" distL="0" distR="0" wp14:anchorId="2D22C3BE" wp14:editId="29BC1C27">
            <wp:extent cx="5291455" cy="8173720"/>
            <wp:effectExtent l="0" t="0" r="4445" b="5080"/>
            <wp:docPr id="26361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0702" name=""/>
                    <pic:cNvPicPr/>
                  </pic:nvPicPr>
                  <pic:blipFill>
                    <a:blip r:embed="rId187"/>
                    <a:stretch>
                      <a:fillRect/>
                    </a:stretch>
                  </pic:blipFill>
                  <pic:spPr>
                    <a:xfrm>
                      <a:off x="0" y="0"/>
                      <a:ext cx="5291455" cy="8173720"/>
                    </a:xfrm>
                    <a:prstGeom prst="rect">
                      <a:avLst/>
                    </a:prstGeom>
                  </pic:spPr>
                </pic:pic>
              </a:graphicData>
            </a:graphic>
          </wp:inline>
        </w:drawing>
      </w:r>
    </w:p>
    <w:p w14:paraId="565AC729" w14:textId="47923666" w:rsidR="00AA4764" w:rsidRPr="002C21B8" w:rsidRDefault="00BF6367" w:rsidP="007A02EF">
      <w:r w:rsidRPr="002C21B8">
        <w:rPr>
          <w:noProof/>
        </w:rPr>
        <w:drawing>
          <wp:inline distT="0" distB="0" distL="0" distR="0" wp14:anchorId="10198DE2" wp14:editId="4F3DB1D5">
            <wp:extent cx="5306518" cy="7796171"/>
            <wp:effectExtent l="0" t="0" r="2540" b="1905"/>
            <wp:docPr id="652422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22272" name=""/>
                    <pic:cNvPicPr/>
                  </pic:nvPicPr>
                  <pic:blipFill>
                    <a:blip r:embed="rId188"/>
                    <a:stretch>
                      <a:fillRect/>
                    </a:stretch>
                  </pic:blipFill>
                  <pic:spPr>
                    <a:xfrm>
                      <a:off x="0" y="0"/>
                      <a:ext cx="5306518" cy="7796171"/>
                    </a:xfrm>
                    <a:prstGeom prst="rect">
                      <a:avLst/>
                    </a:prstGeom>
                  </pic:spPr>
                </pic:pic>
              </a:graphicData>
            </a:graphic>
          </wp:inline>
        </w:drawing>
      </w:r>
    </w:p>
    <w:p w14:paraId="637E7CCA" w14:textId="0CDC1CDC" w:rsidR="00AA4764" w:rsidRPr="002C21B8" w:rsidRDefault="00E35C9D" w:rsidP="00AA4764">
      <w:r w:rsidRPr="002C21B8">
        <w:rPr>
          <w:noProof/>
        </w:rPr>
        <w:drawing>
          <wp:inline distT="0" distB="0" distL="0" distR="0" wp14:anchorId="734BEDA6" wp14:editId="402E3277">
            <wp:extent cx="4043045" cy="718913"/>
            <wp:effectExtent l="0" t="0" r="0" b="5080"/>
            <wp:docPr id="2027494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94239" name=""/>
                    <pic:cNvPicPr/>
                  </pic:nvPicPr>
                  <pic:blipFill rotWithShape="1">
                    <a:blip r:embed="rId189"/>
                    <a:srcRect t="13969"/>
                    <a:stretch/>
                  </pic:blipFill>
                  <pic:spPr bwMode="auto">
                    <a:xfrm>
                      <a:off x="0" y="0"/>
                      <a:ext cx="4043191" cy="718939"/>
                    </a:xfrm>
                    <a:prstGeom prst="rect">
                      <a:avLst/>
                    </a:prstGeom>
                    <a:ln>
                      <a:noFill/>
                    </a:ln>
                    <a:extLst>
                      <a:ext uri="{53640926-AAD7-44D8-BBD7-CCE9431645EC}">
                        <a14:shadowObscured xmlns:a14="http://schemas.microsoft.com/office/drawing/2010/main"/>
                      </a:ext>
                    </a:extLst>
                  </pic:spPr>
                </pic:pic>
              </a:graphicData>
            </a:graphic>
          </wp:inline>
        </w:drawing>
      </w:r>
    </w:p>
    <w:p w14:paraId="5E8A49A2" w14:textId="7569F8EA" w:rsidR="00B475A7" w:rsidRPr="002C21B8" w:rsidRDefault="001D294C" w:rsidP="004507C8">
      <w:pPr>
        <w:pStyle w:val="Heading3"/>
        <w:numPr>
          <w:ilvl w:val="0"/>
          <w:numId w:val="0"/>
        </w:numPr>
      </w:pPr>
      <w:bookmarkStart w:id="452" w:name="_Reporting_checklist_for"/>
      <w:bookmarkEnd w:id="452"/>
      <w:r w:rsidRPr="002C21B8">
        <w:t xml:space="preserve">Reporting </w:t>
      </w:r>
      <w:r w:rsidR="00447CF1" w:rsidRPr="002C21B8">
        <w:t>checklist for</w:t>
      </w:r>
      <w:r w:rsidR="00B22166" w:rsidRPr="002C21B8">
        <w:t xml:space="preserve"> the</w:t>
      </w:r>
      <w:r w:rsidR="00447CF1" w:rsidRPr="002C21B8">
        <w:t xml:space="preserve"> analysis of </w:t>
      </w:r>
      <w:r w:rsidR="001B321B" w:rsidRPr="002C21B8">
        <w:t>registry</w:t>
      </w:r>
      <w:r w:rsidR="00447CF1" w:rsidRPr="002C21B8">
        <w:t xml:space="preserve"> data</w:t>
      </w:r>
      <w:r w:rsidR="006A47F9" w:rsidRPr="002C21B8">
        <w:t xml:space="preserve"> (RECORD statement)</w:t>
      </w:r>
    </w:p>
    <w:tbl>
      <w:tblPr>
        <w:tblStyle w:val="TableGrid"/>
        <w:tblW w:w="920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263"/>
        <w:gridCol w:w="566"/>
        <w:gridCol w:w="2453"/>
        <w:gridCol w:w="1405"/>
        <w:gridCol w:w="2261"/>
        <w:gridCol w:w="1258"/>
      </w:tblGrid>
      <w:tr w:rsidR="00FA366A" w:rsidRPr="002C21B8" w14:paraId="2BBCA2DB" w14:textId="77777777" w:rsidTr="00193C3C">
        <w:tc>
          <w:tcPr>
            <w:tcW w:w="1263" w:type="dxa"/>
            <w:shd w:val="clear" w:color="auto" w:fill="auto"/>
            <w:vAlign w:val="center"/>
          </w:tcPr>
          <w:p w14:paraId="65BA86F8" w14:textId="77777777" w:rsidR="00FA366A" w:rsidRPr="002C21B8" w:rsidRDefault="00FA366A" w:rsidP="008F2DFA">
            <w:pPr>
              <w:spacing w:after="0" w:line="240" w:lineRule="auto"/>
              <w:jc w:val="left"/>
              <w:rPr>
                <w:rFonts w:eastAsiaTheme="majorEastAsia"/>
                <w:b/>
                <w:bCs/>
                <w:sz w:val="16"/>
                <w:szCs w:val="16"/>
              </w:rPr>
            </w:pPr>
          </w:p>
        </w:tc>
        <w:tc>
          <w:tcPr>
            <w:tcW w:w="566" w:type="dxa"/>
            <w:shd w:val="clear" w:color="auto" w:fill="auto"/>
            <w:vAlign w:val="center"/>
          </w:tcPr>
          <w:p w14:paraId="3FD8B561" w14:textId="3BAF3C93" w:rsidR="00FA366A" w:rsidRPr="002C21B8" w:rsidRDefault="00FA366A" w:rsidP="009566EA">
            <w:pPr>
              <w:spacing w:after="0" w:line="240" w:lineRule="auto"/>
              <w:rPr>
                <w:rFonts w:eastAsiaTheme="majorEastAsia"/>
                <w:b/>
                <w:bCs/>
                <w:sz w:val="16"/>
                <w:szCs w:val="16"/>
              </w:rPr>
            </w:pPr>
            <w:r w:rsidRPr="002C21B8">
              <w:rPr>
                <w:rFonts w:eastAsiaTheme="majorEastAsia"/>
                <w:b/>
                <w:bCs/>
                <w:sz w:val="16"/>
                <w:szCs w:val="16"/>
              </w:rPr>
              <w:t>Item</w:t>
            </w:r>
          </w:p>
        </w:tc>
        <w:tc>
          <w:tcPr>
            <w:tcW w:w="2453" w:type="dxa"/>
            <w:shd w:val="clear" w:color="auto" w:fill="auto"/>
            <w:vAlign w:val="center"/>
          </w:tcPr>
          <w:p w14:paraId="77B3298B" w14:textId="77777777" w:rsidR="00FA366A" w:rsidRPr="002C21B8" w:rsidRDefault="00FA366A" w:rsidP="008F2DFA">
            <w:pPr>
              <w:spacing w:after="0" w:line="240" w:lineRule="auto"/>
              <w:jc w:val="left"/>
              <w:rPr>
                <w:rFonts w:eastAsiaTheme="majorEastAsia"/>
                <w:b/>
                <w:bCs/>
                <w:sz w:val="16"/>
                <w:szCs w:val="16"/>
              </w:rPr>
            </w:pPr>
            <w:r w:rsidRPr="002C21B8">
              <w:rPr>
                <w:rFonts w:eastAsiaTheme="majorEastAsia"/>
                <w:b/>
                <w:bCs/>
                <w:sz w:val="16"/>
                <w:szCs w:val="16"/>
              </w:rPr>
              <w:t>STROBE items</w:t>
            </w:r>
          </w:p>
        </w:tc>
        <w:tc>
          <w:tcPr>
            <w:tcW w:w="1405" w:type="dxa"/>
            <w:shd w:val="clear" w:color="auto" w:fill="auto"/>
            <w:vAlign w:val="center"/>
          </w:tcPr>
          <w:p w14:paraId="2F4DBB7F" w14:textId="77777777" w:rsidR="00FA366A" w:rsidRPr="002C21B8" w:rsidRDefault="00FA366A" w:rsidP="00B475A7">
            <w:pPr>
              <w:spacing w:after="0" w:line="240" w:lineRule="auto"/>
              <w:jc w:val="left"/>
              <w:rPr>
                <w:rFonts w:eastAsiaTheme="majorEastAsia"/>
                <w:b/>
                <w:bCs/>
                <w:sz w:val="16"/>
                <w:szCs w:val="16"/>
              </w:rPr>
            </w:pPr>
            <w:r w:rsidRPr="002C21B8">
              <w:rPr>
                <w:rFonts w:eastAsiaTheme="majorEastAsia"/>
                <w:b/>
                <w:bCs/>
                <w:sz w:val="16"/>
                <w:szCs w:val="16"/>
              </w:rPr>
              <w:t>Location</w:t>
            </w:r>
          </w:p>
        </w:tc>
        <w:tc>
          <w:tcPr>
            <w:tcW w:w="2261" w:type="dxa"/>
            <w:shd w:val="clear" w:color="auto" w:fill="auto"/>
            <w:vAlign w:val="center"/>
          </w:tcPr>
          <w:p w14:paraId="541ED6AB" w14:textId="008D2A3D" w:rsidR="00FA366A" w:rsidRPr="002C21B8" w:rsidRDefault="00FA366A" w:rsidP="008F2DFA">
            <w:pPr>
              <w:spacing w:after="0" w:line="240" w:lineRule="auto"/>
              <w:jc w:val="left"/>
              <w:rPr>
                <w:rFonts w:eastAsiaTheme="majorEastAsia"/>
                <w:b/>
                <w:bCs/>
                <w:sz w:val="16"/>
                <w:szCs w:val="16"/>
              </w:rPr>
            </w:pPr>
            <w:r w:rsidRPr="002C21B8">
              <w:rPr>
                <w:rFonts w:eastAsiaTheme="majorEastAsia"/>
                <w:b/>
                <w:bCs/>
                <w:sz w:val="16"/>
                <w:szCs w:val="16"/>
              </w:rPr>
              <w:t>RECORD items</w:t>
            </w:r>
          </w:p>
        </w:tc>
        <w:tc>
          <w:tcPr>
            <w:tcW w:w="1258" w:type="dxa"/>
            <w:shd w:val="clear" w:color="auto" w:fill="auto"/>
            <w:vAlign w:val="center"/>
          </w:tcPr>
          <w:p w14:paraId="3E1E4EAA" w14:textId="77777777" w:rsidR="00FA366A" w:rsidRPr="002C21B8" w:rsidRDefault="00FA366A" w:rsidP="00B475A7">
            <w:pPr>
              <w:spacing w:after="0" w:line="240" w:lineRule="auto"/>
              <w:jc w:val="left"/>
              <w:rPr>
                <w:rFonts w:eastAsiaTheme="majorEastAsia"/>
                <w:b/>
                <w:bCs/>
                <w:sz w:val="16"/>
                <w:szCs w:val="16"/>
              </w:rPr>
            </w:pPr>
            <w:r w:rsidRPr="002C21B8">
              <w:rPr>
                <w:rFonts w:eastAsiaTheme="majorEastAsia"/>
                <w:b/>
                <w:bCs/>
                <w:sz w:val="16"/>
                <w:szCs w:val="16"/>
              </w:rPr>
              <w:t>Location</w:t>
            </w:r>
          </w:p>
        </w:tc>
      </w:tr>
      <w:tr w:rsidR="00FA366A" w:rsidRPr="002C21B8" w14:paraId="379170D8" w14:textId="77777777" w:rsidTr="00193C3C">
        <w:tc>
          <w:tcPr>
            <w:tcW w:w="9206" w:type="dxa"/>
            <w:gridSpan w:val="6"/>
            <w:shd w:val="clear" w:color="auto" w:fill="auto"/>
          </w:tcPr>
          <w:p w14:paraId="7EC06FE4" w14:textId="5CD0DD83" w:rsidR="00FA366A" w:rsidRPr="002C21B8" w:rsidRDefault="00FA366A" w:rsidP="00B475A7">
            <w:pPr>
              <w:spacing w:after="0" w:line="240" w:lineRule="auto"/>
              <w:jc w:val="left"/>
              <w:rPr>
                <w:rFonts w:eastAsiaTheme="majorEastAsia"/>
                <w:b/>
                <w:bCs/>
                <w:sz w:val="16"/>
                <w:szCs w:val="16"/>
              </w:rPr>
            </w:pPr>
            <w:r w:rsidRPr="002C21B8">
              <w:rPr>
                <w:rFonts w:eastAsiaTheme="majorEastAsia"/>
                <w:b/>
                <w:bCs/>
                <w:sz w:val="16"/>
                <w:szCs w:val="16"/>
              </w:rPr>
              <w:t>Title and abstract</w:t>
            </w:r>
          </w:p>
        </w:tc>
      </w:tr>
      <w:tr w:rsidR="008F2DFA" w:rsidRPr="002C21B8" w14:paraId="0215E33B" w14:textId="77777777" w:rsidTr="00193C3C">
        <w:trPr>
          <w:trHeight w:val="578"/>
        </w:trPr>
        <w:tc>
          <w:tcPr>
            <w:tcW w:w="1263" w:type="dxa"/>
            <w:vMerge w:val="restart"/>
            <w:shd w:val="clear" w:color="auto" w:fill="auto"/>
          </w:tcPr>
          <w:p w14:paraId="61A2E16A" w14:textId="77777777" w:rsidR="008F2DFA" w:rsidRPr="002C21B8" w:rsidRDefault="008F2DFA" w:rsidP="008F2DFA">
            <w:pPr>
              <w:spacing w:after="0" w:line="240" w:lineRule="auto"/>
              <w:jc w:val="left"/>
              <w:rPr>
                <w:rFonts w:eastAsiaTheme="majorEastAsia"/>
                <w:sz w:val="16"/>
                <w:szCs w:val="16"/>
              </w:rPr>
            </w:pPr>
          </w:p>
        </w:tc>
        <w:tc>
          <w:tcPr>
            <w:tcW w:w="566" w:type="dxa"/>
            <w:vMerge w:val="restart"/>
            <w:shd w:val="clear" w:color="auto" w:fill="auto"/>
          </w:tcPr>
          <w:p w14:paraId="40AE7C45" w14:textId="77777777" w:rsidR="008F2DFA" w:rsidRPr="002C21B8" w:rsidRDefault="008F2DFA" w:rsidP="009566EA">
            <w:pPr>
              <w:spacing w:after="0" w:line="240" w:lineRule="auto"/>
              <w:rPr>
                <w:rFonts w:eastAsiaTheme="majorEastAsia"/>
                <w:sz w:val="16"/>
                <w:szCs w:val="16"/>
              </w:rPr>
            </w:pPr>
            <w:r w:rsidRPr="002C21B8">
              <w:rPr>
                <w:rFonts w:eastAsiaTheme="majorEastAsia"/>
                <w:sz w:val="16"/>
                <w:szCs w:val="16"/>
              </w:rPr>
              <w:t>1</w:t>
            </w:r>
          </w:p>
        </w:tc>
        <w:tc>
          <w:tcPr>
            <w:tcW w:w="2453" w:type="dxa"/>
            <w:tcBorders>
              <w:bottom w:val="single" w:sz="4" w:space="0" w:color="auto"/>
            </w:tcBorders>
            <w:shd w:val="clear" w:color="auto" w:fill="auto"/>
          </w:tcPr>
          <w:p w14:paraId="0189AA7E" w14:textId="28C960B5"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(a) Indicate the study’s design with a commonly used term in the title or the abstract</w:t>
            </w:r>
          </w:p>
        </w:tc>
        <w:tc>
          <w:tcPr>
            <w:tcW w:w="1405" w:type="dxa"/>
            <w:tcBorders>
              <w:bottom w:val="single" w:sz="4" w:space="0" w:color="auto"/>
            </w:tcBorders>
            <w:shd w:val="clear" w:color="auto" w:fill="auto"/>
          </w:tcPr>
          <w:p w14:paraId="12A17DEC" w14:textId="7D58D4E7" w:rsidR="008F2DFA" w:rsidRPr="002C21B8" w:rsidRDefault="00740009" w:rsidP="00B475A7">
            <w:pPr>
              <w:spacing w:after="0" w:line="240" w:lineRule="auto"/>
              <w:jc w:val="left"/>
              <w:rPr>
                <w:rFonts w:eastAsiaTheme="majorEastAsia"/>
                <w:sz w:val="16"/>
                <w:szCs w:val="16"/>
              </w:rPr>
            </w:pPr>
            <w:r w:rsidRPr="002C21B8">
              <w:rPr>
                <w:rFonts w:eastAsiaTheme="majorEastAsia"/>
                <w:sz w:val="16"/>
                <w:szCs w:val="16"/>
              </w:rPr>
              <w:t>Title page</w:t>
            </w:r>
          </w:p>
        </w:tc>
        <w:tc>
          <w:tcPr>
            <w:tcW w:w="2261" w:type="dxa"/>
            <w:vMerge w:val="restart"/>
            <w:shd w:val="clear" w:color="auto" w:fill="auto"/>
          </w:tcPr>
          <w:p w14:paraId="02C6FD87" w14:textId="77E51E2C"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1.1: The type of data used should be specified in the title or abstract. When possible, the name of the databases used should be included</w:t>
            </w:r>
          </w:p>
        </w:tc>
        <w:tc>
          <w:tcPr>
            <w:tcW w:w="1258" w:type="dxa"/>
            <w:vMerge w:val="restart"/>
            <w:shd w:val="clear" w:color="auto" w:fill="auto"/>
          </w:tcPr>
          <w:p w14:paraId="6896F3DA" w14:textId="56CB0669" w:rsidR="008F2DFA" w:rsidRPr="002C21B8" w:rsidRDefault="00740009" w:rsidP="00B475A7">
            <w:pPr>
              <w:spacing w:after="0" w:line="240" w:lineRule="auto"/>
              <w:jc w:val="left"/>
              <w:rPr>
                <w:rFonts w:eastAsiaTheme="majorEastAsia"/>
                <w:sz w:val="16"/>
                <w:szCs w:val="16"/>
              </w:rPr>
            </w:pPr>
            <w:r w:rsidRPr="002C21B8">
              <w:rPr>
                <w:rFonts w:eastAsiaTheme="majorEastAsia"/>
                <w:sz w:val="16"/>
                <w:szCs w:val="16"/>
              </w:rPr>
              <w:t>Title page</w:t>
            </w:r>
          </w:p>
        </w:tc>
      </w:tr>
      <w:tr w:rsidR="008F2DFA" w:rsidRPr="002C21B8" w14:paraId="45BFF326" w14:textId="77777777" w:rsidTr="00193C3C">
        <w:trPr>
          <w:trHeight w:val="354"/>
        </w:trPr>
        <w:tc>
          <w:tcPr>
            <w:tcW w:w="1263" w:type="dxa"/>
            <w:vMerge/>
            <w:shd w:val="clear" w:color="auto" w:fill="auto"/>
          </w:tcPr>
          <w:p w14:paraId="280B4AEF"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4466CD1" w14:textId="77777777" w:rsidR="008F2DFA" w:rsidRPr="002C21B8" w:rsidRDefault="008F2DFA" w:rsidP="009566EA">
            <w:pPr>
              <w:spacing w:after="0" w:line="240" w:lineRule="auto"/>
              <w:rPr>
                <w:rFonts w:eastAsiaTheme="majorEastAsia"/>
                <w:sz w:val="16"/>
                <w:szCs w:val="16"/>
              </w:rPr>
            </w:pPr>
          </w:p>
        </w:tc>
        <w:tc>
          <w:tcPr>
            <w:tcW w:w="2453" w:type="dxa"/>
            <w:vMerge w:val="restart"/>
            <w:tcBorders>
              <w:top w:val="single" w:sz="4" w:space="0" w:color="auto"/>
            </w:tcBorders>
            <w:shd w:val="clear" w:color="auto" w:fill="auto"/>
          </w:tcPr>
          <w:p w14:paraId="2CC97E65"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(b) Provide in the abstract an informative and balanced summary of what was done and what we found</w:t>
            </w:r>
          </w:p>
        </w:tc>
        <w:tc>
          <w:tcPr>
            <w:tcW w:w="1405" w:type="dxa"/>
            <w:vMerge w:val="restart"/>
            <w:tcBorders>
              <w:top w:val="single" w:sz="4" w:space="0" w:color="auto"/>
            </w:tcBorders>
            <w:shd w:val="clear" w:color="auto" w:fill="auto"/>
          </w:tcPr>
          <w:p w14:paraId="4902B4D1" w14:textId="2F205326" w:rsidR="008F2DFA" w:rsidRPr="002C21B8" w:rsidRDefault="00740009" w:rsidP="00B475A7">
            <w:pPr>
              <w:spacing w:after="0" w:line="240" w:lineRule="auto"/>
              <w:jc w:val="left"/>
              <w:rPr>
                <w:rFonts w:eastAsiaTheme="majorEastAsia"/>
                <w:sz w:val="16"/>
                <w:szCs w:val="16"/>
              </w:rPr>
            </w:pPr>
            <w:r w:rsidRPr="002C21B8">
              <w:rPr>
                <w:rFonts w:eastAsiaTheme="majorEastAsia"/>
                <w:sz w:val="16"/>
                <w:szCs w:val="16"/>
              </w:rPr>
              <w:t>Abstract</w:t>
            </w:r>
          </w:p>
        </w:tc>
        <w:tc>
          <w:tcPr>
            <w:tcW w:w="2261" w:type="dxa"/>
            <w:vMerge/>
            <w:tcBorders>
              <w:bottom w:val="single" w:sz="4" w:space="0" w:color="auto"/>
            </w:tcBorders>
            <w:shd w:val="clear" w:color="auto" w:fill="auto"/>
          </w:tcPr>
          <w:p w14:paraId="07DFA4C0" w14:textId="77777777" w:rsidR="008F2DFA" w:rsidRPr="002C21B8" w:rsidRDefault="008F2DFA" w:rsidP="008F2DFA">
            <w:pPr>
              <w:spacing w:after="0" w:line="240" w:lineRule="auto"/>
              <w:jc w:val="left"/>
              <w:rPr>
                <w:rFonts w:eastAsiaTheme="majorEastAsia"/>
                <w:sz w:val="16"/>
                <w:szCs w:val="16"/>
              </w:rPr>
            </w:pPr>
          </w:p>
        </w:tc>
        <w:tc>
          <w:tcPr>
            <w:tcW w:w="1258" w:type="dxa"/>
            <w:vMerge/>
            <w:tcBorders>
              <w:bottom w:val="single" w:sz="4" w:space="0" w:color="auto"/>
            </w:tcBorders>
            <w:shd w:val="clear" w:color="auto" w:fill="auto"/>
          </w:tcPr>
          <w:p w14:paraId="29BFFFAA" w14:textId="77777777" w:rsidR="008F2DFA" w:rsidRPr="002C21B8" w:rsidRDefault="008F2DFA" w:rsidP="00B475A7">
            <w:pPr>
              <w:spacing w:after="0" w:line="240" w:lineRule="auto"/>
              <w:jc w:val="left"/>
              <w:rPr>
                <w:rFonts w:eastAsiaTheme="majorEastAsia"/>
                <w:sz w:val="16"/>
                <w:szCs w:val="16"/>
              </w:rPr>
            </w:pPr>
          </w:p>
        </w:tc>
      </w:tr>
      <w:tr w:rsidR="008F2DFA" w:rsidRPr="002C21B8" w14:paraId="1CCAE8D9" w14:textId="77777777" w:rsidTr="00193C3C">
        <w:trPr>
          <w:trHeight w:val="956"/>
        </w:trPr>
        <w:tc>
          <w:tcPr>
            <w:tcW w:w="1263" w:type="dxa"/>
            <w:vMerge/>
            <w:shd w:val="clear" w:color="auto" w:fill="auto"/>
          </w:tcPr>
          <w:p w14:paraId="631C516E"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06CE6B1" w14:textId="77777777" w:rsidR="008F2DFA" w:rsidRPr="002C21B8" w:rsidRDefault="008F2DFA" w:rsidP="009566EA">
            <w:pPr>
              <w:spacing w:after="0" w:line="240" w:lineRule="auto"/>
              <w:rPr>
                <w:rFonts w:eastAsiaTheme="majorEastAsia"/>
                <w:sz w:val="16"/>
                <w:szCs w:val="16"/>
              </w:rPr>
            </w:pPr>
          </w:p>
        </w:tc>
        <w:tc>
          <w:tcPr>
            <w:tcW w:w="2453" w:type="dxa"/>
            <w:vMerge/>
            <w:shd w:val="clear" w:color="auto" w:fill="auto"/>
          </w:tcPr>
          <w:p w14:paraId="7CDAE632" w14:textId="77777777" w:rsidR="008F2DFA" w:rsidRPr="002C21B8" w:rsidRDefault="008F2DFA" w:rsidP="008F2DFA">
            <w:pPr>
              <w:spacing w:after="0" w:line="240" w:lineRule="auto"/>
              <w:jc w:val="left"/>
              <w:rPr>
                <w:rFonts w:eastAsiaTheme="majorEastAsia"/>
                <w:sz w:val="16"/>
                <w:szCs w:val="16"/>
              </w:rPr>
            </w:pPr>
          </w:p>
        </w:tc>
        <w:tc>
          <w:tcPr>
            <w:tcW w:w="1405" w:type="dxa"/>
            <w:vMerge/>
            <w:shd w:val="clear" w:color="auto" w:fill="auto"/>
          </w:tcPr>
          <w:p w14:paraId="74BDFA75" w14:textId="77777777" w:rsidR="008F2DFA" w:rsidRPr="002C21B8" w:rsidRDefault="008F2DFA" w:rsidP="00B475A7">
            <w:pPr>
              <w:spacing w:after="0" w:line="240" w:lineRule="auto"/>
              <w:jc w:val="left"/>
              <w:rPr>
                <w:rFonts w:eastAsiaTheme="majorEastAsia"/>
                <w:sz w:val="16"/>
                <w:szCs w:val="16"/>
              </w:rPr>
            </w:pPr>
          </w:p>
        </w:tc>
        <w:tc>
          <w:tcPr>
            <w:tcW w:w="2261" w:type="dxa"/>
            <w:tcBorders>
              <w:top w:val="single" w:sz="4" w:space="0" w:color="auto"/>
              <w:bottom w:val="single" w:sz="4" w:space="0" w:color="auto"/>
            </w:tcBorders>
            <w:shd w:val="clear" w:color="auto" w:fill="auto"/>
          </w:tcPr>
          <w:p w14:paraId="373E42BB" w14:textId="6E229BAC"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1.2: If applicable, the geographic region and timeframe within which the study took place should be reported in the title or abstract</w:t>
            </w:r>
          </w:p>
        </w:tc>
        <w:tc>
          <w:tcPr>
            <w:tcW w:w="1258" w:type="dxa"/>
            <w:tcBorders>
              <w:top w:val="single" w:sz="4" w:space="0" w:color="auto"/>
              <w:bottom w:val="single" w:sz="4" w:space="0" w:color="auto"/>
            </w:tcBorders>
            <w:shd w:val="clear" w:color="auto" w:fill="auto"/>
          </w:tcPr>
          <w:p w14:paraId="6A92CCE2" w14:textId="4EFF6802" w:rsidR="008F2DFA" w:rsidRPr="002C21B8" w:rsidRDefault="00740009" w:rsidP="00B475A7">
            <w:pPr>
              <w:spacing w:after="0" w:line="240" w:lineRule="auto"/>
              <w:jc w:val="left"/>
              <w:rPr>
                <w:rFonts w:eastAsiaTheme="majorEastAsia"/>
                <w:sz w:val="16"/>
                <w:szCs w:val="16"/>
              </w:rPr>
            </w:pPr>
            <w:r w:rsidRPr="002C21B8">
              <w:rPr>
                <w:rFonts w:eastAsiaTheme="majorEastAsia"/>
                <w:sz w:val="16"/>
                <w:szCs w:val="16"/>
              </w:rPr>
              <w:t>Abstract</w:t>
            </w:r>
          </w:p>
        </w:tc>
      </w:tr>
      <w:tr w:rsidR="008F2DFA" w:rsidRPr="002C21B8" w14:paraId="3C1FA3EF" w14:textId="77777777" w:rsidTr="00193C3C">
        <w:trPr>
          <w:trHeight w:val="838"/>
        </w:trPr>
        <w:tc>
          <w:tcPr>
            <w:tcW w:w="1263" w:type="dxa"/>
            <w:vMerge/>
            <w:shd w:val="clear" w:color="auto" w:fill="auto"/>
          </w:tcPr>
          <w:p w14:paraId="3402665A"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B1D4823" w14:textId="77777777" w:rsidR="008F2DFA" w:rsidRPr="002C21B8" w:rsidRDefault="008F2DFA" w:rsidP="009566EA">
            <w:pPr>
              <w:spacing w:after="0" w:line="240" w:lineRule="auto"/>
              <w:rPr>
                <w:rFonts w:eastAsiaTheme="majorEastAsia"/>
                <w:sz w:val="16"/>
                <w:szCs w:val="16"/>
              </w:rPr>
            </w:pPr>
          </w:p>
        </w:tc>
        <w:tc>
          <w:tcPr>
            <w:tcW w:w="2453" w:type="dxa"/>
            <w:vMerge/>
            <w:shd w:val="clear" w:color="auto" w:fill="auto"/>
          </w:tcPr>
          <w:p w14:paraId="0D653E76" w14:textId="77777777" w:rsidR="008F2DFA" w:rsidRPr="002C21B8" w:rsidRDefault="008F2DFA" w:rsidP="008F2DFA">
            <w:pPr>
              <w:spacing w:after="0" w:line="240" w:lineRule="auto"/>
              <w:jc w:val="left"/>
              <w:rPr>
                <w:rFonts w:eastAsiaTheme="majorEastAsia"/>
                <w:sz w:val="16"/>
                <w:szCs w:val="16"/>
              </w:rPr>
            </w:pPr>
          </w:p>
        </w:tc>
        <w:tc>
          <w:tcPr>
            <w:tcW w:w="1405" w:type="dxa"/>
            <w:vMerge/>
            <w:shd w:val="clear" w:color="auto" w:fill="auto"/>
          </w:tcPr>
          <w:p w14:paraId="0019DCE2" w14:textId="77777777" w:rsidR="008F2DFA" w:rsidRPr="002C21B8" w:rsidRDefault="008F2DFA" w:rsidP="00B475A7">
            <w:pPr>
              <w:spacing w:after="0" w:line="240" w:lineRule="auto"/>
              <w:jc w:val="left"/>
              <w:rPr>
                <w:rFonts w:eastAsiaTheme="majorEastAsia"/>
                <w:sz w:val="16"/>
                <w:szCs w:val="16"/>
              </w:rPr>
            </w:pPr>
          </w:p>
        </w:tc>
        <w:tc>
          <w:tcPr>
            <w:tcW w:w="2261" w:type="dxa"/>
            <w:tcBorders>
              <w:top w:val="single" w:sz="4" w:space="0" w:color="auto"/>
            </w:tcBorders>
            <w:shd w:val="clear" w:color="auto" w:fill="auto"/>
          </w:tcPr>
          <w:p w14:paraId="7B3B7D6D"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1.3: If linkage between databases was conducted for the study, this should be clearly stated in the title or abstract</w:t>
            </w:r>
          </w:p>
        </w:tc>
        <w:tc>
          <w:tcPr>
            <w:tcW w:w="1258" w:type="dxa"/>
            <w:tcBorders>
              <w:top w:val="single" w:sz="4" w:space="0" w:color="auto"/>
            </w:tcBorders>
            <w:shd w:val="clear" w:color="auto" w:fill="auto"/>
          </w:tcPr>
          <w:p w14:paraId="3447A8B3" w14:textId="18F176C4"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r>
      <w:tr w:rsidR="00EA09D0" w:rsidRPr="002C21B8" w14:paraId="6510E734" w14:textId="77777777" w:rsidTr="00193C3C">
        <w:tc>
          <w:tcPr>
            <w:tcW w:w="9206" w:type="dxa"/>
            <w:gridSpan w:val="6"/>
            <w:shd w:val="clear" w:color="auto" w:fill="auto"/>
          </w:tcPr>
          <w:p w14:paraId="28B5E4A2" w14:textId="76EA4BFC" w:rsidR="00EA09D0" w:rsidRPr="002C21B8" w:rsidRDefault="00EA09D0" w:rsidP="00B475A7">
            <w:pPr>
              <w:spacing w:after="0" w:line="240" w:lineRule="auto"/>
              <w:jc w:val="left"/>
              <w:rPr>
                <w:rFonts w:eastAsiaTheme="majorEastAsia"/>
                <w:b/>
                <w:bCs/>
                <w:sz w:val="16"/>
                <w:szCs w:val="16"/>
              </w:rPr>
            </w:pPr>
            <w:r w:rsidRPr="002C21B8">
              <w:rPr>
                <w:rFonts w:eastAsiaTheme="majorEastAsia"/>
                <w:b/>
                <w:bCs/>
                <w:sz w:val="16"/>
                <w:szCs w:val="16"/>
              </w:rPr>
              <w:t>Introduction</w:t>
            </w:r>
          </w:p>
        </w:tc>
      </w:tr>
      <w:tr w:rsidR="00FA366A" w:rsidRPr="002C21B8" w14:paraId="4A5148C4" w14:textId="77777777" w:rsidTr="00193C3C">
        <w:tc>
          <w:tcPr>
            <w:tcW w:w="1263" w:type="dxa"/>
            <w:shd w:val="clear" w:color="auto" w:fill="auto"/>
          </w:tcPr>
          <w:p w14:paraId="54829340"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Background and rationale</w:t>
            </w:r>
          </w:p>
        </w:tc>
        <w:tc>
          <w:tcPr>
            <w:tcW w:w="566" w:type="dxa"/>
            <w:shd w:val="clear" w:color="auto" w:fill="auto"/>
          </w:tcPr>
          <w:p w14:paraId="3057E487"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2</w:t>
            </w:r>
          </w:p>
        </w:tc>
        <w:tc>
          <w:tcPr>
            <w:tcW w:w="2453" w:type="dxa"/>
            <w:shd w:val="clear" w:color="auto" w:fill="auto"/>
          </w:tcPr>
          <w:p w14:paraId="36E6E68F"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Explain the scientific background and rationale for the investigation being reported</w:t>
            </w:r>
          </w:p>
        </w:tc>
        <w:tc>
          <w:tcPr>
            <w:tcW w:w="1405" w:type="dxa"/>
            <w:shd w:val="clear" w:color="auto" w:fill="auto"/>
          </w:tcPr>
          <w:p w14:paraId="5327DBC8" w14:textId="06C9D459" w:rsidR="00FA366A" w:rsidRPr="002C21B8" w:rsidRDefault="00740009" w:rsidP="00B475A7">
            <w:pPr>
              <w:spacing w:after="0" w:line="240" w:lineRule="auto"/>
              <w:jc w:val="left"/>
              <w:rPr>
                <w:rFonts w:eastAsiaTheme="majorEastAsia"/>
                <w:sz w:val="16"/>
                <w:szCs w:val="16"/>
              </w:rPr>
            </w:pPr>
            <w:r w:rsidRPr="002C21B8">
              <w:rPr>
                <w:rFonts w:eastAsiaTheme="majorEastAsia"/>
                <w:sz w:val="16"/>
                <w:szCs w:val="16"/>
              </w:rPr>
              <w:t>Background</w:t>
            </w:r>
            <w:r w:rsidR="00B475A7" w:rsidRPr="002C21B8">
              <w:rPr>
                <w:rFonts w:eastAsiaTheme="majorEastAsia"/>
                <w:sz w:val="16"/>
                <w:szCs w:val="16"/>
              </w:rPr>
              <w:t xml:space="preserve"> - paragraphs 1-6</w:t>
            </w:r>
          </w:p>
        </w:tc>
        <w:tc>
          <w:tcPr>
            <w:tcW w:w="2261" w:type="dxa"/>
            <w:shd w:val="clear" w:color="auto" w:fill="auto"/>
          </w:tcPr>
          <w:p w14:paraId="3B276DB6"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72A8A1BA" w14:textId="77777777" w:rsidR="00FA366A" w:rsidRPr="002C21B8" w:rsidRDefault="00FA366A" w:rsidP="00B475A7">
            <w:pPr>
              <w:spacing w:after="0" w:line="240" w:lineRule="auto"/>
              <w:jc w:val="left"/>
              <w:rPr>
                <w:rFonts w:eastAsiaTheme="majorEastAsia"/>
                <w:sz w:val="16"/>
                <w:szCs w:val="16"/>
              </w:rPr>
            </w:pPr>
          </w:p>
        </w:tc>
      </w:tr>
      <w:tr w:rsidR="00FA366A" w:rsidRPr="002C21B8" w14:paraId="5DE4892E" w14:textId="77777777" w:rsidTr="00193C3C">
        <w:tc>
          <w:tcPr>
            <w:tcW w:w="1263" w:type="dxa"/>
            <w:shd w:val="clear" w:color="auto" w:fill="auto"/>
          </w:tcPr>
          <w:p w14:paraId="2B616C22"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Objectives</w:t>
            </w:r>
          </w:p>
        </w:tc>
        <w:tc>
          <w:tcPr>
            <w:tcW w:w="566" w:type="dxa"/>
            <w:shd w:val="clear" w:color="auto" w:fill="auto"/>
          </w:tcPr>
          <w:p w14:paraId="537E2187"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3</w:t>
            </w:r>
          </w:p>
        </w:tc>
        <w:tc>
          <w:tcPr>
            <w:tcW w:w="2453" w:type="dxa"/>
            <w:shd w:val="clear" w:color="auto" w:fill="auto"/>
          </w:tcPr>
          <w:p w14:paraId="28D91555"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State specific objectives, including any prespecified hypotheses</w:t>
            </w:r>
          </w:p>
        </w:tc>
        <w:tc>
          <w:tcPr>
            <w:tcW w:w="1405" w:type="dxa"/>
            <w:shd w:val="clear" w:color="auto" w:fill="auto"/>
          </w:tcPr>
          <w:p w14:paraId="2B1416D3" w14:textId="07E40199"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Background - paragraph 7</w:t>
            </w:r>
          </w:p>
        </w:tc>
        <w:tc>
          <w:tcPr>
            <w:tcW w:w="2261" w:type="dxa"/>
            <w:shd w:val="clear" w:color="auto" w:fill="auto"/>
          </w:tcPr>
          <w:p w14:paraId="3CBC784A"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255F8E58" w14:textId="77777777" w:rsidR="00FA366A" w:rsidRPr="002C21B8" w:rsidRDefault="00FA366A" w:rsidP="00B475A7">
            <w:pPr>
              <w:spacing w:after="0" w:line="240" w:lineRule="auto"/>
              <w:jc w:val="left"/>
              <w:rPr>
                <w:rFonts w:eastAsiaTheme="majorEastAsia"/>
                <w:sz w:val="16"/>
                <w:szCs w:val="16"/>
              </w:rPr>
            </w:pPr>
          </w:p>
        </w:tc>
      </w:tr>
      <w:tr w:rsidR="00EA09D0" w:rsidRPr="002C21B8" w14:paraId="1D042BB0" w14:textId="77777777" w:rsidTr="00193C3C">
        <w:tc>
          <w:tcPr>
            <w:tcW w:w="9206" w:type="dxa"/>
            <w:gridSpan w:val="6"/>
            <w:shd w:val="clear" w:color="auto" w:fill="auto"/>
          </w:tcPr>
          <w:p w14:paraId="610F24D0" w14:textId="3A64A321" w:rsidR="00EA09D0" w:rsidRPr="002C21B8" w:rsidRDefault="00EA09D0" w:rsidP="00B475A7">
            <w:pPr>
              <w:spacing w:after="0" w:line="240" w:lineRule="auto"/>
              <w:jc w:val="left"/>
              <w:rPr>
                <w:rFonts w:eastAsiaTheme="majorEastAsia"/>
                <w:b/>
                <w:bCs/>
                <w:sz w:val="16"/>
                <w:szCs w:val="16"/>
              </w:rPr>
            </w:pPr>
            <w:r w:rsidRPr="002C21B8">
              <w:rPr>
                <w:rFonts w:eastAsiaTheme="majorEastAsia"/>
                <w:b/>
                <w:bCs/>
                <w:sz w:val="16"/>
                <w:szCs w:val="16"/>
              </w:rPr>
              <w:t>Methods</w:t>
            </w:r>
          </w:p>
        </w:tc>
      </w:tr>
      <w:tr w:rsidR="00FA366A" w:rsidRPr="002C21B8" w14:paraId="3C8DDD18" w14:textId="77777777" w:rsidTr="00193C3C">
        <w:tc>
          <w:tcPr>
            <w:tcW w:w="1263" w:type="dxa"/>
            <w:shd w:val="clear" w:color="auto" w:fill="auto"/>
          </w:tcPr>
          <w:p w14:paraId="440CB689"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Study design</w:t>
            </w:r>
          </w:p>
        </w:tc>
        <w:tc>
          <w:tcPr>
            <w:tcW w:w="566" w:type="dxa"/>
            <w:shd w:val="clear" w:color="auto" w:fill="auto"/>
          </w:tcPr>
          <w:p w14:paraId="36C37711"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4</w:t>
            </w:r>
          </w:p>
        </w:tc>
        <w:tc>
          <w:tcPr>
            <w:tcW w:w="2453" w:type="dxa"/>
            <w:shd w:val="clear" w:color="auto" w:fill="auto"/>
          </w:tcPr>
          <w:p w14:paraId="03BBA41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Present key elements of study design early in the paper</w:t>
            </w:r>
          </w:p>
        </w:tc>
        <w:tc>
          <w:tcPr>
            <w:tcW w:w="1405" w:type="dxa"/>
            <w:shd w:val="clear" w:color="auto" w:fill="auto"/>
          </w:tcPr>
          <w:p w14:paraId="5092C2D2" w14:textId="4D0BCF6A"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c>
          <w:tcPr>
            <w:tcW w:w="2261" w:type="dxa"/>
            <w:shd w:val="clear" w:color="auto" w:fill="auto"/>
          </w:tcPr>
          <w:p w14:paraId="2948E289"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6C2758FD" w14:textId="77777777" w:rsidR="00FA366A" w:rsidRPr="002C21B8" w:rsidRDefault="00FA366A" w:rsidP="00B475A7">
            <w:pPr>
              <w:spacing w:after="0" w:line="240" w:lineRule="auto"/>
              <w:jc w:val="left"/>
              <w:rPr>
                <w:rFonts w:eastAsiaTheme="majorEastAsia"/>
                <w:sz w:val="16"/>
                <w:szCs w:val="16"/>
              </w:rPr>
            </w:pPr>
          </w:p>
        </w:tc>
      </w:tr>
      <w:tr w:rsidR="00FA366A" w:rsidRPr="002C21B8" w14:paraId="28C34ACF" w14:textId="77777777" w:rsidTr="00193C3C">
        <w:tc>
          <w:tcPr>
            <w:tcW w:w="1263" w:type="dxa"/>
            <w:shd w:val="clear" w:color="auto" w:fill="auto"/>
          </w:tcPr>
          <w:p w14:paraId="2967ACE0"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Setting</w:t>
            </w:r>
          </w:p>
        </w:tc>
        <w:tc>
          <w:tcPr>
            <w:tcW w:w="566" w:type="dxa"/>
            <w:shd w:val="clear" w:color="auto" w:fill="auto"/>
          </w:tcPr>
          <w:p w14:paraId="095FC7F9"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5</w:t>
            </w:r>
          </w:p>
        </w:tc>
        <w:tc>
          <w:tcPr>
            <w:tcW w:w="2453" w:type="dxa"/>
            <w:shd w:val="clear" w:color="auto" w:fill="auto"/>
          </w:tcPr>
          <w:p w14:paraId="3A875095"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Describe the setting, locations, relevant dates, including periods of recruitment, exposure, follow-up, and data collection</w:t>
            </w:r>
          </w:p>
        </w:tc>
        <w:tc>
          <w:tcPr>
            <w:tcW w:w="1405" w:type="dxa"/>
            <w:shd w:val="clear" w:color="auto" w:fill="auto"/>
          </w:tcPr>
          <w:p w14:paraId="742B35A6" w14:textId="1393BCD0"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c>
          <w:tcPr>
            <w:tcW w:w="2261" w:type="dxa"/>
            <w:shd w:val="clear" w:color="auto" w:fill="auto"/>
          </w:tcPr>
          <w:p w14:paraId="38B6131F"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3C0862CE" w14:textId="77777777" w:rsidR="00FA366A" w:rsidRPr="002C21B8" w:rsidRDefault="00FA366A" w:rsidP="00B475A7">
            <w:pPr>
              <w:spacing w:after="0" w:line="240" w:lineRule="auto"/>
              <w:jc w:val="left"/>
              <w:rPr>
                <w:rFonts w:eastAsiaTheme="majorEastAsia"/>
                <w:sz w:val="16"/>
                <w:szCs w:val="16"/>
              </w:rPr>
            </w:pPr>
          </w:p>
        </w:tc>
      </w:tr>
      <w:tr w:rsidR="008F2DFA" w:rsidRPr="002C21B8" w14:paraId="1FD7B115" w14:textId="77777777" w:rsidTr="00193C3C">
        <w:trPr>
          <w:trHeight w:val="968"/>
        </w:trPr>
        <w:tc>
          <w:tcPr>
            <w:tcW w:w="1263" w:type="dxa"/>
            <w:vMerge w:val="restart"/>
            <w:shd w:val="clear" w:color="auto" w:fill="auto"/>
          </w:tcPr>
          <w:p w14:paraId="6719B619"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Participants</w:t>
            </w:r>
          </w:p>
        </w:tc>
        <w:tc>
          <w:tcPr>
            <w:tcW w:w="566" w:type="dxa"/>
            <w:vMerge w:val="restart"/>
            <w:shd w:val="clear" w:color="auto" w:fill="auto"/>
          </w:tcPr>
          <w:p w14:paraId="606BC12F" w14:textId="77777777" w:rsidR="008F2DFA" w:rsidRPr="002C21B8" w:rsidRDefault="008F2DFA" w:rsidP="009566EA">
            <w:pPr>
              <w:spacing w:after="0" w:line="240" w:lineRule="auto"/>
              <w:rPr>
                <w:rFonts w:eastAsiaTheme="majorEastAsia"/>
                <w:sz w:val="16"/>
                <w:szCs w:val="16"/>
              </w:rPr>
            </w:pPr>
            <w:r w:rsidRPr="002C21B8">
              <w:rPr>
                <w:rFonts w:eastAsiaTheme="majorEastAsia"/>
                <w:sz w:val="16"/>
                <w:szCs w:val="16"/>
              </w:rPr>
              <w:t>6</w:t>
            </w:r>
          </w:p>
        </w:tc>
        <w:tc>
          <w:tcPr>
            <w:tcW w:w="2453" w:type="dxa"/>
            <w:vMerge w:val="restart"/>
            <w:shd w:val="clear" w:color="auto" w:fill="auto"/>
          </w:tcPr>
          <w:p w14:paraId="3A8B6BAC" w14:textId="762B9E55"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 xml:space="preserve">(a) </w:t>
            </w:r>
            <w:r w:rsidRPr="002C21B8">
              <w:rPr>
                <w:rFonts w:eastAsiaTheme="majorEastAsia"/>
                <w:i/>
                <w:iCs/>
                <w:sz w:val="16"/>
                <w:szCs w:val="16"/>
              </w:rPr>
              <w:t>Cohort study</w:t>
            </w:r>
            <w:r w:rsidRPr="002C21B8">
              <w:rPr>
                <w:rFonts w:eastAsiaTheme="majorEastAsia"/>
                <w:sz w:val="16"/>
                <w:szCs w:val="16"/>
              </w:rPr>
              <w:t xml:space="preserve"> - Give the eligibility criteria, and the sources and methods of selection of participants. Describe methods of follow-up </w:t>
            </w:r>
            <w:r w:rsidRPr="002C21B8">
              <w:rPr>
                <w:rFonts w:eastAsiaTheme="majorEastAsia"/>
                <w:i/>
                <w:iCs/>
                <w:sz w:val="16"/>
                <w:szCs w:val="16"/>
              </w:rPr>
              <w:t>Case-control study</w:t>
            </w:r>
            <w:r w:rsidRPr="002C21B8">
              <w:rPr>
                <w:rFonts w:eastAsiaTheme="majorEastAsia"/>
                <w:sz w:val="16"/>
                <w:szCs w:val="16"/>
              </w:rPr>
              <w:t xml:space="preserve"> - Give the eligibility criteria, and the sources and methods of case ascertainment and control selection. Give the rationale for the choice of cases and controls</w:t>
            </w:r>
          </w:p>
        </w:tc>
        <w:tc>
          <w:tcPr>
            <w:tcW w:w="1405" w:type="dxa"/>
            <w:vMerge w:val="restart"/>
            <w:shd w:val="clear" w:color="auto" w:fill="auto"/>
          </w:tcPr>
          <w:p w14:paraId="30706AF0" w14:textId="288BC3C4"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c>
          <w:tcPr>
            <w:tcW w:w="2261" w:type="dxa"/>
            <w:tcBorders>
              <w:bottom w:val="single" w:sz="4" w:space="0" w:color="auto"/>
            </w:tcBorders>
            <w:shd w:val="clear" w:color="auto" w:fill="auto"/>
          </w:tcPr>
          <w:p w14:paraId="6A1456F1" w14:textId="03C81E18"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6.1: population selection (such as codes or algorithms used to identify subjects) should be listed in detail. If this is not possible, an explanation should be provided.</w:t>
            </w:r>
          </w:p>
        </w:tc>
        <w:tc>
          <w:tcPr>
            <w:tcW w:w="1258" w:type="dxa"/>
            <w:tcBorders>
              <w:bottom w:val="single" w:sz="4" w:space="0" w:color="auto"/>
            </w:tcBorders>
            <w:shd w:val="clear" w:color="auto" w:fill="auto"/>
          </w:tcPr>
          <w:p w14:paraId="40D754A9" w14:textId="27194EFF"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r>
      <w:tr w:rsidR="008F2DFA" w:rsidRPr="002C21B8" w14:paraId="18E981C3" w14:textId="77777777" w:rsidTr="00193C3C">
        <w:trPr>
          <w:trHeight w:val="195"/>
        </w:trPr>
        <w:tc>
          <w:tcPr>
            <w:tcW w:w="1263" w:type="dxa"/>
            <w:vMerge/>
            <w:shd w:val="clear" w:color="auto" w:fill="auto"/>
          </w:tcPr>
          <w:p w14:paraId="53969132"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24D1DE1" w14:textId="77777777" w:rsidR="008F2DFA" w:rsidRPr="002C21B8" w:rsidRDefault="008F2DFA" w:rsidP="009566EA">
            <w:pPr>
              <w:spacing w:after="0" w:line="240" w:lineRule="auto"/>
              <w:rPr>
                <w:rFonts w:eastAsiaTheme="majorEastAsia"/>
                <w:sz w:val="16"/>
                <w:szCs w:val="16"/>
              </w:rPr>
            </w:pPr>
          </w:p>
        </w:tc>
        <w:tc>
          <w:tcPr>
            <w:tcW w:w="2453" w:type="dxa"/>
            <w:vMerge/>
            <w:tcBorders>
              <w:bottom w:val="single" w:sz="4" w:space="0" w:color="auto"/>
            </w:tcBorders>
            <w:shd w:val="clear" w:color="auto" w:fill="auto"/>
          </w:tcPr>
          <w:p w14:paraId="73801E19" w14:textId="77777777" w:rsidR="008F2DFA" w:rsidRPr="002C21B8" w:rsidRDefault="008F2DFA" w:rsidP="008F2DFA">
            <w:pPr>
              <w:spacing w:after="0" w:line="240" w:lineRule="auto"/>
              <w:jc w:val="left"/>
              <w:rPr>
                <w:rFonts w:eastAsiaTheme="majorEastAsia"/>
                <w:sz w:val="16"/>
                <w:szCs w:val="16"/>
              </w:rPr>
            </w:pPr>
          </w:p>
        </w:tc>
        <w:tc>
          <w:tcPr>
            <w:tcW w:w="1405" w:type="dxa"/>
            <w:vMerge/>
            <w:tcBorders>
              <w:bottom w:val="single" w:sz="4" w:space="0" w:color="auto"/>
            </w:tcBorders>
            <w:shd w:val="clear" w:color="auto" w:fill="auto"/>
          </w:tcPr>
          <w:p w14:paraId="150F8B5D" w14:textId="77777777" w:rsidR="008F2DFA" w:rsidRPr="002C21B8" w:rsidRDefault="008F2DFA" w:rsidP="00B475A7">
            <w:pPr>
              <w:spacing w:after="0" w:line="240" w:lineRule="auto"/>
              <w:jc w:val="left"/>
              <w:rPr>
                <w:rFonts w:eastAsiaTheme="majorEastAsia"/>
                <w:sz w:val="16"/>
                <w:szCs w:val="16"/>
              </w:rPr>
            </w:pPr>
          </w:p>
        </w:tc>
        <w:tc>
          <w:tcPr>
            <w:tcW w:w="2261" w:type="dxa"/>
            <w:vMerge w:val="restart"/>
            <w:tcBorders>
              <w:top w:val="single" w:sz="4" w:space="0" w:color="auto"/>
            </w:tcBorders>
            <w:shd w:val="clear" w:color="auto" w:fill="auto"/>
          </w:tcPr>
          <w:p w14:paraId="10622004" w14:textId="188DA5C4"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6.2: Any validation studies of the codes or algorithms used to select the population should be referenced. If validation was conducted for this study and not published elsewhere, detailed methods and results should be provided.</w:t>
            </w:r>
          </w:p>
        </w:tc>
        <w:tc>
          <w:tcPr>
            <w:tcW w:w="1258" w:type="dxa"/>
            <w:vMerge w:val="restart"/>
            <w:tcBorders>
              <w:top w:val="single" w:sz="4" w:space="0" w:color="auto"/>
            </w:tcBorders>
            <w:shd w:val="clear" w:color="auto" w:fill="auto"/>
          </w:tcPr>
          <w:p w14:paraId="1F72F9E5" w14:textId="2A71C59A"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r>
      <w:tr w:rsidR="008F2DFA" w:rsidRPr="002C21B8" w14:paraId="7AA2BB46" w14:textId="77777777" w:rsidTr="00193C3C">
        <w:trPr>
          <w:trHeight w:val="531"/>
        </w:trPr>
        <w:tc>
          <w:tcPr>
            <w:tcW w:w="1263" w:type="dxa"/>
            <w:vMerge/>
            <w:shd w:val="clear" w:color="auto" w:fill="auto"/>
          </w:tcPr>
          <w:p w14:paraId="429D90E9"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31CD2352" w14:textId="77777777" w:rsidR="008F2DFA" w:rsidRPr="002C21B8" w:rsidRDefault="008F2DFA" w:rsidP="009566EA">
            <w:pPr>
              <w:spacing w:after="0" w:line="240" w:lineRule="auto"/>
              <w:rPr>
                <w:rFonts w:eastAsiaTheme="majorEastAsia"/>
                <w:sz w:val="16"/>
                <w:szCs w:val="16"/>
              </w:rPr>
            </w:pPr>
          </w:p>
        </w:tc>
        <w:tc>
          <w:tcPr>
            <w:tcW w:w="2453" w:type="dxa"/>
            <w:vMerge w:val="restart"/>
            <w:tcBorders>
              <w:top w:val="single" w:sz="4" w:space="0" w:color="auto"/>
            </w:tcBorders>
            <w:shd w:val="clear" w:color="auto" w:fill="auto"/>
          </w:tcPr>
          <w:p w14:paraId="07D8B59D"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i/>
                <w:iCs/>
                <w:sz w:val="16"/>
                <w:szCs w:val="16"/>
              </w:rPr>
              <w:t>Cross-sectional study</w:t>
            </w:r>
            <w:r w:rsidRPr="002C21B8">
              <w:rPr>
                <w:rFonts w:eastAsiaTheme="majorEastAsia"/>
                <w:sz w:val="16"/>
                <w:szCs w:val="16"/>
              </w:rPr>
              <w:t xml:space="preserve"> - Give the eligibility criteria, and the sources and methods of selection of participants</w:t>
            </w:r>
          </w:p>
          <w:p w14:paraId="1FBBF43F"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 xml:space="preserve">(b) </w:t>
            </w:r>
            <w:r w:rsidRPr="002C21B8">
              <w:rPr>
                <w:rFonts w:eastAsiaTheme="majorEastAsia"/>
                <w:i/>
                <w:iCs/>
                <w:sz w:val="16"/>
                <w:szCs w:val="16"/>
              </w:rPr>
              <w:t>Cohort study</w:t>
            </w:r>
            <w:r w:rsidRPr="002C21B8">
              <w:rPr>
                <w:rFonts w:eastAsiaTheme="majorEastAsia"/>
                <w:sz w:val="16"/>
                <w:szCs w:val="16"/>
              </w:rPr>
              <w:t xml:space="preserve"> - For matched studies, give matching criteria and number of exposed and</w:t>
            </w:r>
          </w:p>
          <w:p w14:paraId="0895CECF"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 xml:space="preserve">Unexposed </w:t>
            </w:r>
          </w:p>
          <w:p w14:paraId="25D0D11D"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i/>
                <w:iCs/>
                <w:sz w:val="16"/>
                <w:szCs w:val="16"/>
              </w:rPr>
              <w:t>Case-control study</w:t>
            </w:r>
            <w:r w:rsidRPr="002C21B8">
              <w:rPr>
                <w:rFonts w:eastAsiaTheme="majorEastAsia"/>
                <w:sz w:val="16"/>
                <w:szCs w:val="16"/>
              </w:rPr>
              <w:t xml:space="preserve"> - For matched studies, give matching criteria and the number of controls per case</w:t>
            </w:r>
          </w:p>
        </w:tc>
        <w:tc>
          <w:tcPr>
            <w:tcW w:w="1405" w:type="dxa"/>
            <w:vMerge w:val="restart"/>
            <w:tcBorders>
              <w:top w:val="single" w:sz="4" w:space="0" w:color="auto"/>
            </w:tcBorders>
            <w:shd w:val="clear" w:color="auto" w:fill="auto"/>
          </w:tcPr>
          <w:p w14:paraId="56F31495" w14:textId="77777777"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c>
          <w:tcPr>
            <w:tcW w:w="2261" w:type="dxa"/>
            <w:vMerge/>
            <w:tcBorders>
              <w:bottom w:val="single" w:sz="4" w:space="0" w:color="auto"/>
            </w:tcBorders>
            <w:shd w:val="clear" w:color="auto" w:fill="auto"/>
          </w:tcPr>
          <w:p w14:paraId="46698A2B" w14:textId="77777777" w:rsidR="008F2DFA" w:rsidRPr="002C21B8" w:rsidRDefault="008F2DFA" w:rsidP="008F2DFA">
            <w:pPr>
              <w:spacing w:after="0" w:line="240" w:lineRule="auto"/>
              <w:jc w:val="left"/>
              <w:rPr>
                <w:rFonts w:eastAsiaTheme="majorEastAsia"/>
                <w:sz w:val="16"/>
                <w:szCs w:val="16"/>
              </w:rPr>
            </w:pPr>
          </w:p>
        </w:tc>
        <w:tc>
          <w:tcPr>
            <w:tcW w:w="1258" w:type="dxa"/>
            <w:vMerge/>
            <w:tcBorders>
              <w:bottom w:val="single" w:sz="4" w:space="0" w:color="auto"/>
            </w:tcBorders>
            <w:shd w:val="clear" w:color="auto" w:fill="auto"/>
          </w:tcPr>
          <w:p w14:paraId="59E67EFE" w14:textId="77777777" w:rsidR="008F2DFA" w:rsidRPr="002C21B8" w:rsidRDefault="008F2DFA" w:rsidP="00B475A7">
            <w:pPr>
              <w:spacing w:after="0" w:line="240" w:lineRule="auto"/>
              <w:jc w:val="left"/>
              <w:rPr>
                <w:rFonts w:eastAsiaTheme="majorEastAsia"/>
                <w:sz w:val="16"/>
                <w:szCs w:val="16"/>
              </w:rPr>
            </w:pPr>
          </w:p>
        </w:tc>
      </w:tr>
      <w:tr w:rsidR="008F2DFA" w:rsidRPr="002C21B8" w14:paraId="2A9B74FF" w14:textId="77777777" w:rsidTr="00193C3C">
        <w:trPr>
          <w:trHeight w:val="196"/>
        </w:trPr>
        <w:tc>
          <w:tcPr>
            <w:tcW w:w="1263" w:type="dxa"/>
            <w:vMerge/>
            <w:shd w:val="clear" w:color="auto" w:fill="auto"/>
          </w:tcPr>
          <w:p w14:paraId="5CD34CAD"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31315EA4" w14:textId="77777777" w:rsidR="008F2DFA" w:rsidRPr="002C21B8" w:rsidRDefault="008F2DFA" w:rsidP="009566EA">
            <w:pPr>
              <w:spacing w:after="0" w:line="240" w:lineRule="auto"/>
              <w:rPr>
                <w:rFonts w:eastAsiaTheme="majorEastAsia"/>
                <w:sz w:val="16"/>
                <w:szCs w:val="16"/>
              </w:rPr>
            </w:pPr>
          </w:p>
        </w:tc>
        <w:tc>
          <w:tcPr>
            <w:tcW w:w="2453" w:type="dxa"/>
            <w:vMerge/>
            <w:shd w:val="clear" w:color="auto" w:fill="auto"/>
          </w:tcPr>
          <w:p w14:paraId="4E089298" w14:textId="77777777" w:rsidR="008F2DFA" w:rsidRPr="002C21B8" w:rsidRDefault="008F2DFA" w:rsidP="008F2DFA">
            <w:pPr>
              <w:spacing w:after="0" w:line="240" w:lineRule="auto"/>
              <w:jc w:val="left"/>
              <w:rPr>
                <w:rFonts w:eastAsiaTheme="majorEastAsia"/>
                <w:i/>
                <w:iCs/>
                <w:sz w:val="16"/>
                <w:szCs w:val="16"/>
              </w:rPr>
            </w:pPr>
          </w:p>
        </w:tc>
        <w:tc>
          <w:tcPr>
            <w:tcW w:w="1405" w:type="dxa"/>
            <w:vMerge/>
            <w:shd w:val="clear" w:color="auto" w:fill="auto"/>
          </w:tcPr>
          <w:p w14:paraId="39ECA2F7" w14:textId="77777777" w:rsidR="008F2DFA" w:rsidRPr="002C21B8" w:rsidRDefault="008F2DFA" w:rsidP="00B475A7">
            <w:pPr>
              <w:spacing w:after="0" w:line="240" w:lineRule="auto"/>
              <w:jc w:val="left"/>
              <w:rPr>
                <w:rFonts w:eastAsiaTheme="majorEastAsia"/>
                <w:sz w:val="16"/>
                <w:szCs w:val="16"/>
              </w:rPr>
            </w:pPr>
          </w:p>
        </w:tc>
        <w:tc>
          <w:tcPr>
            <w:tcW w:w="2261" w:type="dxa"/>
            <w:tcBorders>
              <w:top w:val="single" w:sz="4" w:space="0" w:color="auto"/>
            </w:tcBorders>
            <w:shd w:val="clear" w:color="auto" w:fill="auto"/>
          </w:tcPr>
          <w:p w14:paraId="4634BE17"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6.3: If the study involved linkage of databases, consider use of a flow diagram or other graphical display to demonstrate the data linkage process, including the number of individuals with linked data at each stage.</w:t>
            </w:r>
          </w:p>
        </w:tc>
        <w:tc>
          <w:tcPr>
            <w:tcW w:w="1258" w:type="dxa"/>
            <w:tcBorders>
              <w:top w:val="single" w:sz="4" w:space="0" w:color="auto"/>
            </w:tcBorders>
            <w:shd w:val="clear" w:color="auto" w:fill="auto"/>
          </w:tcPr>
          <w:p w14:paraId="706D4275" w14:textId="599A0DB1"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r>
      <w:tr w:rsidR="00FA366A" w:rsidRPr="002C21B8" w14:paraId="766F02B7" w14:textId="77777777" w:rsidTr="00193C3C">
        <w:trPr>
          <w:cantSplit/>
        </w:trPr>
        <w:tc>
          <w:tcPr>
            <w:tcW w:w="1263" w:type="dxa"/>
            <w:shd w:val="clear" w:color="auto" w:fill="auto"/>
          </w:tcPr>
          <w:p w14:paraId="30B12EB9"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Variables</w:t>
            </w:r>
          </w:p>
        </w:tc>
        <w:tc>
          <w:tcPr>
            <w:tcW w:w="566" w:type="dxa"/>
            <w:shd w:val="clear" w:color="auto" w:fill="auto"/>
          </w:tcPr>
          <w:p w14:paraId="185A3C9C"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7</w:t>
            </w:r>
          </w:p>
        </w:tc>
        <w:tc>
          <w:tcPr>
            <w:tcW w:w="2453" w:type="dxa"/>
            <w:shd w:val="clear" w:color="auto" w:fill="auto"/>
          </w:tcPr>
          <w:p w14:paraId="58D3F880"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Clearly define all outcomes, exposures, predictors, potential confounders, and effect modifiers. Give diagnostic criteria, if applicable.</w:t>
            </w:r>
          </w:p>
        </w:tc>
        <w:tc>
          <w:tcPr>
            <w:tcW w:w="1405" w:type="dxa"/>
            <w:shd w:val="clear" w:color="auto" w:fill="auto"/>
          </w:tcPr>
          <w:p w14:paraId="56F11972" w14:textId="44B495B2"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variables</w:t>
            </w:r>
          </w:p>
        </w:tc>
        <w:tc>
          <w:tcPr>
            <w:tcW w:w="2261" w:type="dxa"/>
            <w:shd w:val="clear" w:color="auto" w:fill="auto"/>
          </w:tcPr>
          <w:p w14:paraId="7A6A072C"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RECORD 7.1: A complete list of codes and algorithms used to classify exposures, outcomes, confounders, and effect modifiers should be provided. If these cannot be reported, an explanation should be provided.</w:t>
            </w:r>
          </w:p>
        </w:tc>
        <w:tc>
          <w:tcPr>
            <w:tcW w:w="1258" w:type="dxa"/>
            <w:shd w:val="clear" w:color="auto" w:fill="auto"/>
          </w:tcPr>
          <w:p w14:paraId="50A21E3E" w14:textId="512AD54E"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variables</w:t>
            </w:r>
          </w:p>
        </w:tc>
      </w:tr>
      <w:tr w:rsidR="00FA366A" w:rsidRPr="002C21B8" w14:paraId="4AB55A9D" w14:textId="77777777" w:rsidTr="00193C3C">
        <w:trPr>
          <w:cantSplit/>
        </w:trPr>
        <w:tc>
          <w:tcPr>
            <w:tcW w:w="1263" w:type="dxa"/>
            <w:shd w:val="clear" w:color="auto" w:fill="auto"/>
          </w:tcPr>
          <w:p w14:paraId="1BC830A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Data sources/ measurement</w:t>
            </w:r>
          </w:p>
        </w:tc>
        <w:tc>
          <w:tcPr>
            <w:tcW w:w="566" w:type="dxa"/>
            <w:shd w:val="clear" w:color="auto" w:fill="auto"/>
          </w:tcPr>
          <w:p w14:paraId="69FF280B"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8</w:t>
            </w:r>
          </w:p>
        </w:tc>
        <w:tc>
          <w:tcPr>
            <w:tcW w:w="2453" w:type="dxa"/>
            <w:shd w:val="clear" w:color="auto" w:fill="auto"/>
          </w:tcPr>
          <w:p w14:paraId="7CB022BB"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For each variable of interest,</w:t>
            </w:r>
          </w:p>
          <w:p w14:paraId="0C315FF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give sources of data and details</w:t>
            </w:r>
          </w:p>
          <w:p w14:paraId="5D3C30B8"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of methods of assessment</w:t>
            </w:r>
          </w:p>
          <w:p w14:paraId="6925EB71"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(measurement).</w:t>
            </w:r>
          </w:p>
          <w:p w14:paraId="6EC63DC4"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Describe comparability of</w:t>
            </w:r>
          </w:p>
          <w:p w14:paraId="463C81B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assessment methods if there is</w:t>
            </w:r>
          </w:p>
          <w:p w14:paraId="1A49FAF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more than one group</w:t>
            </w:r>
          </w:p>
        </w:tc>
        <w:tc>
          <w:tcPr>
            <w:tcW w:w="1405" w:type="dxa"/>
            <w:shd w:val="clear" w:color="auto" w:fill="auto"/>
          </w:tcPr>
          <w:p w14:paraId="232D9E43" w14:textId="672AB600"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variables</w:t>
            </w:r>
          </w:p>
        </w:tc>
        <w:tc>
          <w:tcPr>
            <w:tcW w:w="2261" w:type="dxa"/>
            <w:shd w:val="clear" w:color="auto" w:fill="auto"/>
          </w:tcPr>
          <w:p w14:paraId="281D4396"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05B6A3C4" w14:textId="77777777" w:rsidR="00FA366A" w:rsidRPr="002C21B8" w:rsidRDefault="00FA366A" w:rsidP="00B475A7">
            <w:pPr>
              <w:spacing w:after="0" w:line="240" w:lineRule="auto"/>
              <w:jc w:val="left"/>
              <w:rPr>
                <w:rFonts w:eastAsiaTheme="majorEastAsia"/>
                <w:sz w:val="16"/>
                <w:szCs w:val="16"/>
              </w:rPr>
            </w:pPr>
          </w:p>
        </w:tc>
      </w:tr>
      <w:tr w:rsidR="00FA366A" w:rsidRPr="002C21B8" w14:paraId="6562934C" w14:textId="77777777" w:rsidTr="00193C3C">
        <w:tc>
          <w:tcPr>
            <w:tcW w:w="1263" w:type="dxa"/>
            <w:shd w:val="clear" w:color="auto" w:fill="auto"/>
          </w:tcPr>
          <w:p w14:paraId="2A620CA8"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Bias</w:t>
            </w:r>
          </w:p>
        </w:tc>
        <w:tc>
          <w:tcPr>
            <w:tcW w:w="566" w:type="dxa"/>
            <w:shd w:val="clear" w:color="auto" w:fill="auto"/>
          </w:tcPr>
          <w:p w14:paraId="0E8C57C9"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9</w:t>
            </w:r>
          </w:p>
        </w:tc>
        <w:tc>
          <w:tcPr>
            <w:tcW w:w="2453" w:type="dxa"/>
            <w:shd w:val="clear" w:color="auto" w:fill="auto"/>
          </w:tcPr>
          <w:p w14:paraId="391069D3"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Describe any efforts to address potential sources of bias</w:t>
            </w:r>
          </w:p>
        </w:tc>
        <w:tc>
          <w:tcPr>
            <w:tcW w:w="1405" w:type="dxa"/>
            <w:shd w:val="clear" w:color="auto" w:fill="auto"/>
          </w:tcPr>
          <w:p w14:paraId="45B89925" w14:textId="7D3B3EB4"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variables</w:t>
            </w:r>
          </w:p>
        </w:tc>
        <w:tc>
          <w:tcPr>
            <w:tcW w:w="2261" w:type="dxa"/>
            <w:shd w:val="clear" w:color="auto" w:fill="auto"/>
          </w:tcPr>
          <w:p w14:paraId="55D803F2"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5B1C3D25" w14:textId="77777777" w:rsidR="00FA366A" w:rsidRPr="002C21B8" w:rsidRDefault="00FA366A" w:rsidP="00B475A7">
            <w:pPr>
              <w:spacing w:after="0" w:line="240" w:lineRule="auto"/>
              <w:jc w:val="left"/>
              <w:rPr>
                <w:rFonts w:eastAsiaTheme="majorEastAsia"/>
                <w:sz w:val="16"/>
                <w:szCs w:val="16"/>
              </w:rPr>
            </w:pPr>
          </w:p>
        </w:tc>
      </w:tr>
      <w:tr w:rsidR="00FA366A" w:rsidRPr="002C21B8" w14:paraId="660B3307" w14:textId="77777777" w:rsidTr="00193C3C">
        <w:tc>
          <w:tcPr>
            <w:tcW w:w="1263" w:type="dxa"/>
            <w:shd w:val="clear" w:color="auto" w:fill="auto"/>
          </w:tcPr>
          <w:p w14:paraId="11B9C92B"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Study size</w:t>
            </w:r>
          </w:p>
        </w:tc>
        <w:tc>
          <w:tcPr>
            <w:tcW w:w="566" w:type="dxa"/>
            <w:shd w:val="clear" w:color="auto" w:fill="auto"/>
          </w:tcPr>
          <w:p w14:paraId="1F672215"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10</w:t>
            </w:r>
          </w:p>
        </w:tc>
        <w:tc>
          <w:tcPr>
            <w:tcW w:w="2453" w:type="dxa"/>
            <w:shd w:val="clear" w:color="auto" w:fill="auto"/>
          </w:tcPr>
          <w:p w14:paraId="5293409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Explain how the study size was arrived at</w:t>
            </w:r>
          </w:p>
        </w:tc>
        <w:tc>
          <w:tcPr>
            <w:tcW w:w="1405" w:type="dxa"/>
            <w:shd w:val="clear" w:color="auto" w:fill="auto"/>
          </w:tcPr>
          <w:p w14:paraId="7621CD33" w14:textId="7AD33F13"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c>
          <w:tcPr>
            <w:tcW w:w="2261" w:type="dxa"/>
            <w:shd w:val="clear" w:color="auto" w:fill="auto"/>
          </w:tcPr>
          <w:p w14:paraId="09CA1065"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27E3B7B4" w14:textId="77777777" w:rsidR="00FA366A" w:rsidRPr="002C21B8" w:rsidRDefault="00FA366A" w:rsidP="00B475A7">
            <w:pPr>
              <w:spacing w:after="0" w:line="240" w:lineRule="auto"/>
              <w:jc w:val="left"/>
              <w:rPr>
                <w:rFonts w:eastAsiaTheme="majorEastAsia"/>
                <w:sz w:val="16"/>
                <w:szCs w:val="16"/>
              </w:rPr>
            </w:pPr>
          </w:p>
        </w:tc>
      </w:tr>
      <w:tr w:rsidR="00FA366A" w:rsidRPr="002C21B8" w14:paraId="57D597C9" w14:textId="77777777" w:rsidTr="00193C3C">
        <w:tc>
          <w:tcPr>
            <w:tcW w:w="1263" w:type="dxa"/>
            <w:shd w:val="clear" w:color="auto" w:fill="auto"/>
          </w:tcPr>
          <w:p w14:paraId="56B18E0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Quantitative variables</w:t>
            </w:r>
          </w:p>
        </w:tc>
        <w:tc>
          <w:tcPr>
            <w:tcW w:w="566" w:type="dxa"/>
            <w:shd w:val="clear" w:color="auto" w:fill="auto"/>
          </w:tcPr>
          <w:p w14:paraId="74A361E2"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11</w:t>
            </w:r>
          </w:p>
        </w:tc>
        <w:tc>
          <w:tcPr>
            <w:tcW w:w="2453" w:type="dxa"/>
            <w:shd w:val="clear" w:color="auto" w:fill="auto"/>
          </w:tcPr>
          <w:p w14:paraId="3AEF2126"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Explain how quantitative</w:t>
            </w:r>
          </w:p>
          <w:p w14:paraId="02D78700"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variables were handled in the</w:t>
            </w:r>
          </w:p>
          <w:p w14:paraId="2162B676"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analyses. If applicable, describe</w:t>
            </w:r>
          </w:p>
          <w:p w14:paraId="62FE8DD5"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which groupings were chosen,</w:t>
            </w:r>
          </w:p>
          <w:p w14:paraId="5A94015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and why</w:t>
            </w:r>
          </w:p>
        </w:tc>
        <w:tc>
          <w:tcPr>
            <w:tcW w:w="1405" w:type="dxa"/>
            <w:shd w:val="clear" w:color="auto" w:fill="auto"/>
          </w:tcPr>
          <w:p w14:paraId="7B053695" w14:textId="7627686E"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c>
          <w:tcPr>
            <w:tcW w:w="2261" w:type="dxa"/>
            <w:shd w:val="clear" w:color="auto" w:fill="auto"/>
          </w:tcPr>
          <w:p w14:paraId="120BDE41"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6C5A1B48" w14:textId="77777777" w:rsidR="00FA366A" w:rsidRPr="002C21B8" w:rsidRDefault="00FA366A" w:rsidP="00B475A7">
            <w:pPr>
              <w:spacing w:after="0" w:line="240" w:lineRule="auto"/>
              <w:jc w:val="left"/>
              <w:rPr>
                <w:rFonts w:eastAsiaTheme="majorEastAsia"/>
                <w:sz w:val="16"/>
                <w:szCs w:val="16"/>
              </w:rPr>
            </w:pPr>
          </w:p>
        </w:tc>
      </w:tr>
      <w:tr w:rsidR="00FA366A" w:rsidRPr="002C21B8" w14:paraId="39C64DD8" w14:textId="77777777" w:rsidTr="00193C3C">
        <w:tc>
          <w:tcPr>
            <w:tcW w:w="1263" w:type="dxa"/>
            <w:shd w:val="clear" w:color="auto" w:fill="auto"/>
          </w:tcPr>
          <w:p w14:paraId="382CD2CF"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Statistical methods</w:t>
            </w:r>
          </w:p>
        </w:tc>
        <w:tc>
          <w:tcPr>
            <w:tcW w:w="566" w:type="dxa"/>
            <w:shd w:val="clear" w:color="auto" w:fill="auto"/>
          </w:tcPr>
          <w:p w14:paraId="2AA03268"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12</w:t>
            </w:r>
          </w:p>
        </w:tc>
        <w:tc>
          <w:tcPr>
            <w:tcW w:w="2453" w:type="dxa"/>
            <w:shd w:val="clear" w:color="auto" w:fill="auto"/>
          </w:tcPr>
          <w:p w14:paraId="5EBA8623"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(a) Describe all statistical methods, including those used to control for confounding</w:t>
            </w:r>
          </w:p>
          <w:p w14:paraId="34B8DC0F"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(b) Describe any methods used to examine subgroups and interactions</w:t>
            </w:r>
          </w:p>
          <w:p w14:paraId="32DF0224" w14:textId="2D2C4064"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 xml:space="preserve">(c) Explain how missing </w:t>
            </w:r>
            <w:r w:rsidR="00227DA8" w:rsidRPr="002C21B8">
              <w:rPr>
                <w:rFonts w:eastAsiaTheme="majorEastAsia"/>
                <w:sz w:val="16"/>
                <w:szCs w:val="16"/>
              </w:rPr>
              <w:t>data was</w:t>
            </w:r>
            <w:r w:rsidRPr="002C21B8">
              <w:rPr>
                <w:rFonts w:eastAsiaTheme="majorEastAsia"/>
                <w:sz w:val="16"/>
                <w:szCs w:val="16"/>
              </w:rPr>
              <w:t xml:space="preserve"> addressed </w:t>
            </w:r>
          </w:p>
          <w:p w14:paraId="3061FEF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 xml:space="preserve">(d) </w:t>
            </w:r>
            <w:r w:rsidRPr="002C21B8">
              <w:rPr>
                <w:rFonts w:eastAsiaTheme="majorEastAsia"/>
                <w:i/>
                <w:iCs/>
                <w:sz w:val="16"/>
                <w:szCs w:val="16"/>
              </w:rPr>
              <w:t>Cohort study</w:t>
            </w:r>
            <w:r w:rsidRPr="002C21B8">
              <w:rPr>
                <w:rFonts w:eastAsiaTheme="majorEastAsia"/>
                <w:sz w:val="16"/>
                <w:szCs w:val="16"/>
              </w:rPr>
              <w:t xml:space="preserve"> - If applicable, explain how loss to follow-up was addressed </w:t>
            </w:r>
          </w:p>
          <w:p w14:paraId="3A7FF691"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i/>
                <w:iCs/>
                <w:sz w:val="16"/>
                <w:szCs w:val="16"/>
              </w:rPr>
              <w:t>Case-control study</w:t>
            </w:r>
            <w:r w:rsidRPr="002C21B8">
              <w:rPr>
                <w:rFonts w:eastAsiaTheme="majorEastAsia"/>
                <w:sz w:val="16"/>
                <w:szCs w:val="16"/>
              </w:rPr>
              <w:t xml:space="preserve"> - If applicable, explain how</w:t>
            </w:r>
          </w:p>
          <w:p w14:paraId="5A22FD8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matching of cases and controls was addressed</w:t>
            </w:r>
          </w:p>
          <w:p w14:paraId="0B65109E"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i/>
                <w:iCs/>
                <w:sz w:val="16"/>
                <w:szCs w:val="16"/>
              </w:rPr>
              <w:t>Cross-sectional study</w:t>
            </w:r>
            <w:r w:rsidRPr="002C21B8">
              <w:rPr>
                <w:rFonts w:eastAsiaTheme="majorEastAsia"/>
                <w:sz w:val="16"/>
                <w:szCs w:val="16"/>
              </w:rPr>
              <w:t xml:space="preserve"> - If applicable, describe analytical methods taking account of sampling strategy</w:t>
            </w:r>
          </w:p>
          <w:p w14:paraId="3F3B3871"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(e) Describe any sensitivity analyses</w:t>
            </w:r>
          </w:p>
        </w:tc>
        <w:tc>
          <w:tcPr>
            <w:tcW w:w="1405" w:type="dxa"/>
            <w:shd w:val="clear" w:color="auto" w:fill="auto"/>
          </w:tcPr>
          <w:p w14:paraId="5DF125FC" w14:textId="0F201216"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statistical analysis</w:t>
            </w:r>
          </w:p>
        </w:tc>
        <w:tc>
          <w:tcPr>
            <w:tcW w:w="2261" w:type="dxa"/>
            <w:shd w:val="clear" w:color="auto" w:fill="auto"/>
          </w:tcPr>
          <w:p w14:paraId="074B13B6"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663FD474" w14:textId="77777777" w:rsidR="00FA366A" w:rsidRPr="002C21B8" w:rsidRDefault="00FA366A" w:rsidP="00B475A7">
            <w:pPr>
              <w:spacing w:after="0" w:line="240" w:lineRule="auto"/>
              <w:jc w:val="left"/>
              <w:rPr>
                <w:rFonts w:eastAsiaTheme="majorEastAsia"/>
                <w:sz w:val="16"/>
                <w:szCs w:val="16"/>
              </w:rPr>
            </w:pPr>
          </w:p>
        </w:tc>
      </w:tr>
      <w:tr w:rsidR="008F2DFA" w:rsidRPr="002C21B8" w14:paraId="1ED3C5DC" w14:textId="77777777" w:rsidTr="00193C3C">
        <w:trPr>
          <w:trHeight w:val="920"/>
        </w:trPr>
        <w:tc>
          <w:tcPr>
            <w:tcW w:w="1263" w:type="dxa"/>
            <w:vMerge w:val="restart"/>
            <w:shd w:val="clear" w:color="auto" w:fill="auto"/>
          </w:tcPr>
          <w:p w14:paraId="07A519EF"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Data access and cleaning methods</w:t>
            </w:r>
          </w:p>
        </w:tc>
        <w:tc>
          <w:tcPr>
            <w:tcW w:w="566" w:type="dxa"/>
            <w:vMerge w:val="restart"/>
            <w:shd w:val="clear" w:color="auto" w:fill="auto"/>
          </w:tcPr>
          <w:p w14:paraId="63E09DB8" w14:textId="77777777" w:rsidR="008F2DFA" w:rsidRPr="002C21B8" w:rsidRDefault="008F2DFA" w:rsidP="009566EA">
            <w:pPr>
              <w:spacing w:after="0" w:line="240" w:lineRule="auto"/>
              <w:rPr>
                <w:rFonts w:eastAsiaTheme="majorEastAsia"/>
                <w:sz w:val="16"/>
                <w:szCs w:val="16"/>
              </w:rPr>
            </w:pPr>
          </w:p>
        </w:tc>
        <w:tc>
          <w:tcPr>
            <w:tcW w:w="2453" w:type="dxa"/>
            <w:vMerge w:val="restart"/>
            <w:shd w:val="clear" w:color="auto" w:fill="auto"/>
          </w:tcPr>
          <w:p w14:paraId="3B0F8904" w14:textId="77777777" w:rsidR="008F2DFA" w:rsidRPr="002C21B8" w:rsidRDefault="008F2DFA" w:rsidP="008F2DFA">
            <w:pPr>
              <w:spacing w:after="0" w:line="240" w:lineRule="auto"/>
              <w:jc w:val="left"/>
              <w:rPr>
                <w:rFonts w:eastAsiaTheme="majorEastAsia"/>
                <w:sz w:val="16"/>
                <w:szCs w:val="16"/>
              </w:rPr>
            </w:pPr>
          </w:p>
        </w:tc>
        <w:tc>
          <w:tcPr>
            <w:tcW w:w="1405" w:type="dxa"/>
            <w:vMerge w:val="restart"/>
            <w:shd w:val="clear" w:color="auto" w:fill="auto"/>
          </w:tcPr>
          <w:p w14:paraId="5E082AE1" w14:textId="77777777" w:rsidR="008F2DFA" w:rsidRPr="002C21B8" w:rsidRDefault="008F2DFA" w:rsidP="00B475A7">
            <w:pPr>
              <w:spacing w:after="0" w:line="240" w:lineRule="auto"/>
              <w:jc w:val="left"/>
              <w:rPr>
                <w:rFonts w:eastAsiaTheme="majorEastAsia"/>
                <w:sz w:val="16"/>
                <w:szCs w:val="16"/>
              </w:rPr>
            </w:pPr>
          </w:p>
        </w:tc>
        <w:tc>
          <w:tcPr>
            <w:tcW w:w="2261" w:type="dxa"/>
            <w:tcBorders>
              <w:bottom w:val="single" w:sz="4" w:space="0" w:color="auto"/>
            </w:tcBorders>
            <w:shd w:val="clear" w:color="auto" w:fill="auto"/>
          </w:tcPr>
          <w:p w14:paraId="17911456" w14:textId="72DD487F"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12.1: Authors should describe the extent to which the investigators had access to the database population used to create the study population.</w:t>
            </w:r>
          </w:p>
        </w:tc>
        <w:tc>
          <w:tcPr>
            <w:tcW w:w="1258" w:type="dxa"/>
            <w:tcBorders>
              <w:bottom w:val="single" w:sz="4" w:space="0" w:color="auto"/>
            </w:tcBorders>
            <w:shd w:val="clear" w:color="auto" w:fill="auto"/>
          </w:tcPr>
          <w:p w14:paraId="46860753" w14:textId="0EB0C1C4"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r>
      <w:tr w:rsidR="008F2DFA" w:rsidRPr="002C21B8" w14:paraId="762011F5" w14:textId="77777777" w:rsidTr="00193C3C">
        <w:trPr>
          <w:trHeight w:val="850"/>
        </w:trPr>
        <w:tc>
          <w:tcPr>
            <w:tcW w:w="1263" w:type="dxa"/>
            <w:vMerge/>
            <w:shd w:val="clear" w:color="auto" w:fill="auto"/>
          </w:tcPr>
          <w:p w14:paraId="2CA5101F"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3682E5B" w14:textId="77777777" w:rsidR="008F2DFA" w:rsidRPr="002C21B8" w:rsidRDefault="008F2DFA" w:rsidP="009566EA">
            <w:pPr>
              <w:spacing w:after="0" w:line="240" w:lineRule="auto"/>
              <w:rPr>
                <w:rFonts w:eastAsiaTheme="majorEastAsia"/>
                <w:sz w:val="16"/>
                <w:szCs w:val="16"/>
              </w:rPr>
            </w:pPr>
          </w:p>
        </w:tc>
        <w:tc>
          <w:tcPr>
            <w:tcW w:w="2453" w:type="dxa"/>
            <w:vMerge/>
            <w:shd w:val="clear" w:color="auto" w:fill="auto"/>
          </w:tcPr>
          <w:p w14:paraId="5EC742A2" w14:textId="77777777" w:rsidR="008F2DFA" w:rsidRPr="002C21B8" w:rsidRDefault="008F2DFA" w:rsidP="008F2DFA">
            <w:pPr>
              <w:spacing w:after="0" w:line="240" w:lineRule="auto"/>
              <w:jc w:val="left"/>
              <w:rPr>
                <w:rFonts w:eastAsiaTheme="majorEastAsia"/>
                <w:sz w:val="16"/>
                <w:szCs w:val="16"/>
              </w:rPr>
            </w:pPr>
          </w:p>
        </w:tc>
        <w:tc>
          <w:tcPr>
            <w:tcW w:w="1405" w:type="dxa"/>
            <w:vMerge/>
            <w:shd w:val="clear" w:color="auto" w:fill="auto"/>
          </w:tcPr>
          <w:p w14:paraId="1D541812" w14:textId="77777777" w:rsidR="008F2DFA" w:rsidRPr="002C21B8" w:rsidRDefault="008F2DFA" w:rsidP="00B475A7">
            <w:pPr>
              <w:spacing w:after="0" w:line="240" w:lineRule="auto"/>
              <w:jc w:val="left"/>
              <w:rPr>
                <w:rFonts w:eastAsiaTheme="majorEastAsia"/>
                <w:sz w:val="16"/>
                <w:szCs w:val="16"/>
              </w:rPr>
            </w:pPr>
          </w:p>
        </w:tc>
        <w:tc>
          <w:tcPr>
            <w:tcW w:w="2261" w:type="dxa"/>
            <w:tcBorders>
              <w:top w:val="single" w:sz="4" w:space="0" w:color="auto"/>
            </w:tcBorders>
            <w:shd w:val="clear" w:color="auto" w:fill="auto"/>
          </w:tcPr>
          <w:p w14:paraId="3E2C2E80"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12.2: Authors should provide information on the data cleaning methods used in the study.</w:t>
            </w:r>
          </w:p>
        </w:tc>
        <w:tc>
          <w:tcPr>
            <w:tcW w:w="1258" w:type="dxa"/>
            <w:tcBorders>
              <w:top w:val="single" w:sz="4" w:space="0" w:color="auto"/>
            </w:tcBorders>
            <w:shd w:val="clear" w:color="auto" w:fill="auto"/>
          </w:tcPr>
          <w:p w14:paraId="4000B4AC" w14:textId="11848438"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Methods - study design</w:t>
            </w:r>
          </w:p>
        </w:tc>
      </w:tr>
      <w:tr w:rsidR="00FA366A" w:rsidRPr="002C21B8" w14:paraId="21FAB502" w14:textId="77777777" w:rsidTr="00193C3C">
        <w:tc>
          <w:tcPr>
            <w:tcW w:w="1263" w:type="dxa"/>
            <w:shd w:val="clear" w:color="auto" w:fill="auto"/>
          </w:tcPr>
          <w:p w14:paraId="3D5A4012"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Linkage</w:t>
            </w:r>
          </w:p>
        </w:tc>
        <w:tc>
          <w:tcPr>
            <w:tcW w:w="566" w:type="dxa"/>
            <w:shd w:val="clear" w:color="auto" w:fill="auto"/>
          </w:tcPr>
          <w:p w14:paraId="4A58C064" w14:textId="77777777" w:rsidR="00FA366A" w:rsidRPr="002C21B8" w:rsidRDefault="00FA366A" w:rsidP="009566EA">
            <w:pPr>
              <w:spacing w:after="0" w:line="240" w:lineRule="auto"/>
              <w:rPr>
                <w:rFonts w:eastAsiaTheme="majorEastAsia"/>
                <w:sz w:val="16"/>
                <w:szCs w:val="16"/>
              </w:rPr>
            </w:pPr>
          </w:p>
        </w:tc>
        <w:tc>
          <w:tcPr>
            <w:tcW w:w="2453" w:type="dxa"/>
            <w:shd w:val="clear" w:color="auto" w:fill="auto"/>
          </w:tcPr>
          <w:p w14:paraId="49D98B9A" w14:textId="77777777" w:rsidR="00FA366A" w:rsidRPr="002C21B8" w:rsidRDefault="00FA366A" w:rsidP="008F2DFA">
            <w:pPr>
              <w:spacing w:after="0" w:line="240" w:lineRule="auto"/>
              <w:jc w:val="left"/>
              <w:rPr>
                <w:rFonts w:eastAsiaTheme="majorEastAsia"/>
                <w:sz w:val="16"/>
                <w:szCs w:val="16"/>
              </w:rPr>
            </w:pPr>
          </w:p>
        </w:tc>
        <w:tc>
          <w:tcPr>
            <w:tcW w:w="1405" w:type="dxa"/>
            <w:shd w:val="clear" w:color="auto" w:fill="auto"/>
          </w:tcPr>
          <w:p w14:paraId="39CD7387" w14:textId="77777777" w:rsidR="00FA366A" w:rsidRPr="002C21B8" w:rsidRDefault="00FA366A" w:rsidP="00B475A7">
            <w:pPr>
              <w:spacing w:after="0" w:line="240" w:lineRule="auto"/>
              <w:jc w:val="left"/>
              <w:rPr>
                <w:rFonts w:eastAsiaTheme="majorEastAsia"/>
                <w:sz w:val="16"/>
                <w:szCs w:val="16"/>
              </w:rPr>
            </w:pPr>
          </w:p>
        </w:tc>
        <w:tc>
          <w:tcPr>
            <w:tcW w:w="2261" w:type="dxa"/>
            <w:shd w:val="clear" w:color="auto" w:fill="auto"/>
          </w:tcPr>
          <w:p w14:paraId="3D2795DA" w14:textId="72429CD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RECORD 12.3: State whether the study included person-level, institutional-level, or other data linkage across two or more databases. The methods of linkage and methods of linkage quality evaluation should be provided</w:t>
            </w:r>
          </w:p>
        </w:tc>
        <w:tc>
          <w:tcPr>
            <w:tcW w:w="1258" w:type="dxa"/>
            <w:shd w:val="clear" w:color="auto" w:fill="auto"/>
          </w:tcPr>
          <w:p w14:paraId="32AC95C7" w14:textId="77777777" w:rsidR="00FA366A" w:rsidRPr="002C21B8" w:rsidRDefault="00FA366A" w:rsidP="00B475A7">
            <w:pPr>
              <w:spacing w:after="0" w:line="240" w:lineRule="auto"/>
              <w:jc w:val="left"/>
              <w:rPr>
                <w:rFonts w:eastAsiaTheme="majorEastAsia"/>
                <w:sz w:val="16"/>
                <w:szCs w:val="16"/>
              </w:rPr>
            </w:pPr>
            <w:r w:rsidRPr="002C21B8">
              <w:rPr>
                <w:rFonts w:eastAsiaTheme="majorEastAsia"/>
                <w:sz w:val="16"/>
                <w:szCs w:val="16"/>
              </w:rPr>
              <w:t>NA</w:t>
            </w:r>
          </w:p>
        </w:tc>
      </w:tr>
      <w:tr w:rsidR="009566EA" w:rsidRPr="002C21B8" w14:paraId="105F67D9" w14:textId="77777777" w:rsidTr="00193C3C">
        <w:tc>
          <w:tcPr>
            <w:tcW w:w="9206" w:type="dxa"/>
            <w:gridSpan w:val="6"/>
            <w:shd w:val="clear" w:color="auto" w:fill="auto"/>
          </w:tcPr>
          <w:p w14:paraId="1E8FDEB4" w14:textId="4DA9F33F" w:rsidR="009566EA" w:rsidRPr="002C21B8" w:rsidRDefault="009566EA" w:rsidP="00B475A7">
            <w:pPr>
              <w:spacing w:after="0" w:line="240" w:lineRule="auto"/>
              <w:jc w:val="left"/>
              <w:rPr>
                <w:rFonts w:eastAsiaTheme="majorEastAsia"/>
                <w:b/>
                <w:bCs/>
                <w:sz w:val="16"/>
                <w:szCs w:val="16"/>
              </w:rPr>
            </w:pPr>
            <w:r w:rsidRPr="002C21B8">
              <w:rPr>
                <w:rFonts w:eastAsiaTheme="majorEastAsia"/>
                <w:b/>
                <w:bCs/>
                <w:sz w:val="16"/>
                <w:szCs w:val="16"/>
              </w:rPr>
              <w:t>Results</w:t>
            </w:r>
          </w:p>
        </w:tc>
      </w:tr>
      <w:tr w:rsidR="008F2DFA" w:rsidRPr="002C21B8" w14:paraId="4E408172" w14:textId="77777777" w:rsidTr="00193C3C">
        <w:trPr>
          <w:trHeight w:val="1310"/>
        </w:trPr>
        <w:tc>
          <w:tcPr>
            <w:tcW w:w="1263" w:type="dxa"/>
            <w:vMerge w:val="restart"/>
            <w:shd w:val="clear" w:color="auto" w:fill="auto"/>
          </w:tcPr>
          <w:p w14:paraId="371FBC1C"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Participants</w:t>
            </w:r>
          </w:p>
        </w:tc>
        <w:tc>
          <w:tcPr>
            <w:tcW w:w="566" w:type="dxa"/>
            <w:vMerge w:val="restart"/>
            <w:shd w:val="clear" w:color="auto" w:fill="auto"/>
          </w:tcPr>
          <w:p w14:paraId="57805490" w14:textId="77777777" w:rsidR="008F2DFA" w:rsidRPr="002C21B8" w:rsidRDefault="008F2DFA" w:rsidP="009566EA">
            <w:pPr>
              <w:spacing w:after="0" w:line="240" w:lineRule="auto"/>
              <w:rPr>
                <w:rFonts w:eastAsiaTheme="majorEastAsia"/>
                <w:sz w:val="16"/>
                <w:szCs w:val="16"/>
              </w:rPr>
            </w:pPr>
            <w:r w:rsidRPr="002C21B8">
              <w:rPr>
                <w:rFonts w:eastAsiaTheme="majorEastAsia"/>
                <w:sz w:val="16"/>
                <w:szCs w:val="16"/>
              </w:rPr>
              <w:t>13</w:t>
            </w:r>
          </w:p>
        </w:tc>
        <w:tc>
          <w:tcPr>
            <w:tcW w:w="2453" w:type="dxa"/>
            <w:tcBorders>
              <w:bottom w:val="single" w:sz="4" w:space="0" w:color="auto"/>
            </w:tcBorders>
            <w:shd w:val="clear" w:color="auto" w:fill="auto"/>
          </w:tcPr>
          <w:p w14:paraId="6733E268" w14:textId="502A2E99"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(a) Report the numbers of individuals at each stage of the study (e.g., numbers potentially eligible, examined for eligibility, confirmed eligible, included in the study, completing follow-up, and analysed)</w:t>
            </w:r>
          </w:p>
        </w:tc>
        <w:tc>
          <w:tcPr>
            <w:tcW w:w="1405" w:type="dxa"/>
            <w:tcBorders>
              <w:bottom w:val="single" w:sz="4" w:space="0" w:color="auto"/>
            </w:tcBorders>
            <w:shd w:val="clear" w:color="auto" w:fill="auto"/>
          </w:tcPr>
          <w:p w14:paraId="31235A6C" w14:textId="2067E542"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 xml:space="preserve">Figure </w:t>
            </w:r>
            <w:r w:rsidR="0094637E" w:rsidRPr="002C21B8">
              <w:rPr>
                <w:rFonts w:eastAsiaTheme="majorEastAsia"/>
                <w:sz w:val="16"/>
                <w:szCs w:val="16"/>
              </w:rPr>
              <w:t>9</w:t>
            </w:r>
          </w:p>
        </w:tc>
        <w:tc>
          <w:tcPr>
            <w:tcW w:w="2261" w:type="dxa"/>
            <w:vMerge w:val="restart"/>
            <w:shd w:val="clear" w:color="auto" w:fill="auto"/>
          </w:tcPr>
          <w:p w14:paraId="3450B5D4"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RECORD 13.1: Describe in detail the selection of the persons included in the study (i.e., study population selection) including filtering based on data quality, data availability and linkage. The selection of included persons can be described in the text and/or by means of the study flow diagram.</w:t>
            </w:r>
          </w:p>
        </w:tc>
        <w:tc>
          <w:tcPr>
            <w:tcW w:w="1258" w:type="dxa"/>
            <w:vMerge w:val="restart"/>
            <w:shd w:val="clear" w:color="auto" w:fill="auto"/>
          </w:tcPr>
          <w:p w14:paraId="175C62A1" w14:textId="2801D3D0"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 xml:space="preserve">Figure </w:t>
            </w:r>
            <w:r w:rsidR="0094637E" w:rsidRPr="002C21B8">
              <w:rPr>
                <w:rFonts w:eastAsiaTheme="majorEastAsia"/>
                <w:sz w:val="16"/>
                <w:szCs w:val="16"/>
              </w:rPr>
              <w:t>9</w:t>
            </w:r>
          </w:p>
        </w:tc>
      </w:tr>
      <w:tr w:rsidR="008F2DFA" w:rsidRPr="002C21B8" w14:paraId="7072CF59" w14:textId="77777777" w:rsidTr="00193C3C">
        <w:trPr>
          <w:trHeight w:val="366"/>
        </w:trPr>
        <w:tc>
          <w:tcPr>
            <w:tcW w:w="1263" w:type="dxa"/>
            <w:vMerge/>
            <w:shd w:val="clear" w:color="auto" w:fill="auto"/>
          </w:tcPr>
          <w:p w14:paraId="1260E333"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29F8C843"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bottom w:val="single" w:sz="4" w:space="0" w:color="auto"/>
            </w:tcBorders>
            <w:shd w:val="clear" w:color="auto" w:fill="auto"/>
          </w:tcPr>
          <w:p w14:paraId="482776AD" w14:textId="484D92ED"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(b) Give reasons for non-participation at each stage.</w:t>
            </w:r>
          </w:p>
        </w:tc>
        <w:tc>
          <w:tcPr>
            <w:tcW w:w="1405" w:type="dxa"/>
            <w:tcBorders>
              <w:top w:val="single" w:sz="4" w:space="0" w:color="auto"/>
              <w:bottom w:val="single" w:sz="4" w:space="0" w:color="auto"/>
            </w:tcBorders>
            <w:shd w:val="clear" w:color="auto" w:fill="auto"/>
          </w:tcPr>
          <w:p w14:paraId="2D009780" w14:textId="430B6D88"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 xml:space="preserve">Figure </w:t>
            </w:r>
            <w:r w:rsidR="0094637E" w:rsidRPr="002C21B8">
              <w:rPr>
                <w:rFonts w:eastAsiaTheme="majorEastAsia"/>
                <w:sz w:val="16"/>
                <w:szCs w:val="16"/>
              </w:rPr>
              <w:t>9</w:t>
            </w:r>
          </w:p>
        </w:tc>
        <w:tc>
          <w:tcPr>
            <w:tcW w:w="2261" w:type="dxa"/>
            <w:vMerge/>
            <w:shd w:val="clear" w:color="auto" w:fill="auto"/>
          </w:tcPr>
          <w:p w14:paraId="0AC0DC60"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23D2FE4F" w14:textId="77777777" w:rsidR="008F2DFA" w:rsidRPr="002C21B8" w:rsidRDefault="008F2DFA" w:rsidP="00B475A7">
            <w:pPr>
              <w:spacing w:after="0" w:line="240" w:lineRule="auto"/>
              <w:jc w:val="left"/>
              <w:rPr>
                <w:rFonts w:eastAsiaTheme="majorEastAsia"/>
                <w:sz w:val="16"/>
                <w:szCs w:val="16"/>
              </w:rPr>
            </w:pPr>
          </w:p>
        </w:tc>
      </w:tr>
      <w:tr w:rsidR="008F2DFA" w:rsidRPr="002C21B8" w14:paraId="5049DFE6" w14:textId="77777777" w:rsidTr="00193C3C">
        <w:trPr>
          <w:trHeight w:val="271"/>
        </w:trPr>
        <w:tc>
          <w:tcPr>
            <w:tcW w:w="1263" w:type="dxa"/>
            <w:vMerge/>
            <w:shd w:val="clear" w:color="auto" w:fill="auto"/>
          </w:tcPr>
          <w:p w14:paraId="3DC002CC"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0A3815FE"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tcBorders>
            <w:shd w:val="clear" w:color="auto" w:fill="auto"/>
          </w:tcPr>
          <w:p w14:paraId="24B0687F"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(c) Consider use of a flow diagram</w:t>
            </w:r>
          </w:p>
        </w:tc>
        <w:tc>
          <w:tcPr>
            <w:tcW w:w="1405" w:type="dxa"/>
            <w:tcBorders>
              <w:top w:val="single" w:sz="4" w:space="0" w:color="auto"/>
            </w:tcBorders>
            <w:shd w:val="clear" w:color="auto" w:fill="auto"/>
          </w:tcPr>
          <w:p w14:paraId="1EA5A4F5" w14:textId="414ED831"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 xml:space="preserve">Figure </w:t>
            </w:r>
            <w:r w:rsidR="0094637E" w:rsidRPr="002C21B8">
              <w:rPr>
                <w:rFonts w:eastAsiaTheme="majorEastAsia"/>
                <w:sz w:val="16"/>
                <w:szCs w:val="16"/>
              </w:rPr>
              <w:t>9</w:t>
            </w:r>
          </w:p>
        </w:tc>
        <w:tc>
          <w:tcPr>
            <w:tcW w:w="2261" w:type="dxa"/>
            <w:vMerge/>
            <w:shd w:val="clear" w:color="auto" w:fill="auto"/>
          </w:tcPr>
          <w:p w14:paraId="53B61628"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0B7CDD7E" w14:textId="77777777" w:rsidR="008F2DFA" w:rsidRPr="002C21B8" w:rsidRDefault="008F2DFA" w:rsidP="00B475A7">
            <w:pPr>
              <w:spacing w:after="0" w:line="240" w:lineRule="auto"/>
              <w:jc w:val="left"/>
              <w:rPr>
                <w:rFonts w:eastAsiaTheme="majorEastAsia"/>
                <w:sz w:val="16"/>
                <w:szCs w:val="16"/>
              </w:rPr>
            </w:pPr>
          </w:p>
        </w:tc>
      </w:tr>
      <w:tr w:rsidR="008F2DFA" w:rsidRPr="002C21B8" w14:paraId="6DE0DED6" w14:textId="77777777" w:rsidTr="00193C3C">
        <w:trPr>
          <w:trHeight w:val="944"/>
        </w:trPr>
        <w:tc>
          <w:tcPr>
            <w:tcW w:w="1263" w:type="dxa"/>
            <w:vMerge w:val="restart"/>
            <w:shd w:val="clear" w:color="auto" w:fill="auto"/>
          </w:tcPr>
          <w:p w14:paraId="1BB2CCC8"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Descriptive data</w:t>
            </w:r>
          </w:p>
        </w:tc>
        <w:tc>
          <w:tcPr>
            <w:tcW w:w="566" w:type="dxa"/>
            <w:vMerge w:val="restart"/>
            <w:shd w:val="clear" w:color="auto" w:fill="auto"/>
          </w:tcPr>
          <w:p w14:paraId="3566CA61" w14:textId="77777777" w:rsidR="008F2DFA" w:rsidRPr="002C21B8" w:rsidRDefault="008F2DFA" w:rsidP="009566EA">
            <w:pPr>
              <w:spacing w:after="0" w:line="240" w:lineRule="auto"/>
              <w:rPr>
                <w:rFonts w:eastAsiaTheme="majorEastAsia"/>
                <w:sz w:val="16"/>
                <w:szCs w:val="16"/>
              </w:rPr>
            </w:pPr>
            <w:r w:rsidRPr="002C21B8">
              <w:rPr>
                <w:rFonts w:eastAsiaTheme="majorEastAsia"/>
                <w:sz w:val="16"/>
                <w:szCs w:val="16"/>
              </w:rPr>
              <w:t>14</w:t>
            </w:r>
          </w:p>
        </w:tc>
        <w:tc>
          <w:tcPr>
            <w:tcW w:w="2453" w:type="dxa"/>
            <w:tcBorders>
              <w:bottom w:val="single" w:sz="4" w:space="0" w:color="auto"/>
            </w:tcBorders>
            <w:shd w:val="clear" w:color="auto" w:fill="auto"/>
          </w:tcPr>
          <w:p w14:paraId="1C811A5A" w14:textId="3E55F32B"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(a) Give characteristics of study participants (e.g., demographic, clinical, social) and information on exposures and potential confounders</w:t>
            </w:r>
          </w:p>
        </w:tc>
        <w:tc>
          <w:tcPr>
            <w:tcW w:w="1405" w:type="dxa"/>
            <w:tcBorders>
              <w:bottom w:val="single" w:sz="4" w:space="0" w:color="auto"/>
            </w:tcBorders>
            <w:shd w:val="clear" w:color="auto" w:fill="auto"/>
          </w:tcPr>
          <w:p w14:paraId="1144652C" w14:textId="1ABD1EB4"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Table 14</w:t>
            </w:r>
          </w:p>
        </w:tc>
        <w:tc>
          <w:tcPr>
            <w:tcW w:w="2261" w:type="dxa"/>
            <w:vMerge w:val="restart"/>
            <w:shd w:val="clear" w:color="auto" w:fill="auto"/>
          </w:tcPr>
          <w:p w14:paraId="07EA0528" w14:textId="77777777" w:rsidR="008F2DFA" w:rsidRPr="002C21B8" w:rsidRDefault="008F2DFA" w:rsidP="008F2DFA">
            <w:pPr>
              <w:spacing w:after="0" w:line="240" w:lineRule="auto"/>
              <w:jc w:val="left"/>
              <w:rPr>
                <w:rFonts w:eastAsiaTheme="majorEastAsia"/>
                <w:sz w:val="16"/>
                <w:szCs w:val="16"/>
              </w:rPr>
            </w:pPr>
          </w:p>
        </w:tc>
        <w:tc>
          <w:tcPr>
            <w:tcW w:w="1258" w:type="dxa"/>
            <w:vMerge w:val="restart"/>
            <w:shd w:val="clear" w:color="auto" w:fill="auto"/>
          </w:tcPr>
          <w:p w14:paraId="37D47D8A" w14:textId="77777777" w:rsidR="008F2DFA" w:rsidRPr="002C21B8" w:rsidRDefault="008F2DFA" w:rsidP="00B475A7">
            <w:pPr>
              <w:spacing w:after="0" w:line="240" w:lineRule="auto"/>
              <w:jc w:val="left"/>
              <w:rPr>
                <w:rFonts w:eastAsiaTheme="majorEastAsia"/>
                <w:sz w:val="16"/>
                <w:szCs w:val="16"/>
              </w:rPr>
            </w:pPr>
          </w:p>
        </w:tc>
      </w:tr>
      <w:tr w:rsidR="008F2DFA" w:rsidRPr="002C21B8" w14:paraId="7B08AF6C" w14:textId="77777777" w:rsidTr="00193C3C">
        <w:trPr>
          <w:trHeight w:val="555"/>
        </w:trPr>
        <w:tc>
          <w:tcPr>
            <w:tcW w:w="1263" w:type="dxa"/>
            <w:vMerge/>
            <w:shd w:val="clear" w:color="auto" w:fill="auto"/>
          </w:tcPr>
          <w:p w14:paraId="3E399EA1"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43876C9E"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bottom w:val="single" w:sz="4" w:space="0" w:color="auto"/>
            </w:tcBorders>
            <w:shd w:val="clear" w:color="auto" w:fill="auto"/>
          </w:tcPr>
          <w:p w14:paraId="3D5EB2FA" w14:textId="176305F3"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(b) Indicate the number of participants with missing data for each variable of interest</w:t>
            </w:r>
          </w:p>
        </w:tc>
        <w:tc>
          <w:tcPr>
            <w:tcW w:w="1405" w:type="dxa"/>
            <w:tcBorders>
              <w:top w:val="single" w:sz="4" w:space="0" w:color="auto"/>
              <w:bottom w:val="single" w:sz="4" w:space="0" w:color="auto"/>
            </w:tcBorders>
            <w:shd w:val="clear" w:color="auto" w:fill="auto"/>
          </w:tcPr>
          <w:p w14:paraId="750508E5" w14:textId="7CDC4AE5"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 xml:space="preserve">Appendix </w:t>
            </w:r>
            <w:r w:rsidR="00B475A7" w:rsidRPr="002C21B8">
              <w:rPr>
                <w:rFonts w:eastAsiaTheme="majorEastAsia"/>
                <w:sz w:val="16"/>
                <w:szCs w:val="16"/>
              </w:rPr>
              <w:t>6</w:t>
            </w:r>
          </w:p>
        </w:tc>
        <w:tc>
          <w:tcPr>
            <w:tcW w:w="2261" w:type="dxa"/>
            <w:vMerge/>
            <w:shd w:val="clear" w:color="auto" w:fill="auto"/>
          </w:tcPr>
          <w:p w14:paraId="5D331E7E"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0D25B7CB" w14:textId="77777777" w:rsidR="008F2DFA" w:rsidRPr="002C21B8" w:rsidRDefault="008F2DFA" w:rsidP="00B475A7">
            <w:pPr>
              <w:spacing w:after="0" w:line="240" w:lineRule="auto"/>
              <w:jc w:val="left"/>
              <w:rPr>
                <w:rFonts w:eastAsiaTheme="majorEastAsia"/>
                <w:sz w:val="16"/>
                <w:szCs w:val="16"/>
              </w:rPr>
            </w:pPr>
          </w:p>
        </w:tc>
      </w:tr>
      <w:tr w:rsidR="008F2DFA" w:rsidRPr="002C21B8" w14:paraId="5CACC2ED" w14:textId="77777777" w:rsidTr="00193C3C">
        <w:trPr>
          <w:trHeight w:val="614"/>
        </w:trPr>
        <w:tc>
          <w:tcPr>
            <w:tcW w:w="1263" w:type="dxa"/>
            <w:vMerge/>
            <w:shd w:val="clear" w:color="auto" w:fill="auto"/>
          </w:tcPr>
          <w:p w14:paraId="7D16FA6E"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75924B17"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tcBorders>
            <w:shd w:val="clear" w:color="auto" w:fill="auto"/>
          </w:tcPr>
          <w:p w14:paraId="0857983C"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 xml:space="preserve">(c) </w:t>
            </w:r>
            <w:r w:rsidRPr="002C21B8">
              <w:rPr>
                <w:rFonts w:eastAsiaTheme="majorEastAsia"/>
                <w:i/>
                <w:iCs/>
                <w:sz w:val="16"/>
                <w:szCs w:val="16"/>
              </w:rPr>
              <w:t>Cohort study</w:t>
            </w:r>
            <w:r w:rsidRPr="002C21B8">
              <w:rPr>
                <w:rFonts w:eastAsiaTheme="majorEastAsia"/>
                <w:sz w:val="16"/>
                <w:szCs w:val="16"/>
              </w:rPr>
              <w:t xml:space="preserve"> - summarise follow-up time (e.g., average and total amount)</w:t>
            </w:r>
          </w:p>
        </w:tc>
        <w:tc>
          <w:tcPr>
            <w:tcW w:w="1405" w:type="dxa"/>
            <w:tcBorders>
              <w:top w:val="single" w:sz="4" w:space="0" w:color="auto"/>
            </w:tcBorders>
            <w:shd w:val="clear" w:color="auto" w:fill="auto"/>
          </w:tcPr>
          <w:p w14:paraId="2377F869" w14:textId="60FAC5BD"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c>
          <w:tcPr>
            <w:tcW w:w="2261" w:type="dxa"/>
            <w:vMerge/>
            <w:shd w:val="clear" w:color="auto" w:fill="auto"/>
          </w:tcPr>
          <w:p w14:paraId="4C8199FA"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22FCF0C0" w14:textId="77777777" w:rsidR="008F2DFA" w:rsidRPr="002C21B8" w:rsidRDefault="008F2DFA" w:rsidP="00B475A7">
            <w:pPr>
              <w:spacing w:after="0" w:line="240" w:lineRule="auto"/>
              <w:jc w:val="left"/>
              <w:rPr>
                <w:rFonts w:eastAsiaTheme="majorEastAsia"/>
                <w:sz w:val="16"/>
                <w:szCs w:val="16"/>
              </w:rPr>
            </w:pPr>
          </w:p>
        </w:tc>
      </w:tr>
      <w:tr w:rsidR="00FA366A" w:rsidRPr="002C21B8" w14:paraId="04B38B36" w14:textId="77777777" w:rsidTr="00193C3C">
        <w:tc>
          <w:tcPr>
            <w:tcW w:w="1263" w:type="dxa"/>
            <w:shd w:val="clear" w:color="auto" w:fill="auto"/>
          </w:tcPr>
          <w:p w14:paraId="66D1B16C"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Outcome data</w:t>
            </w:r>
          </w:p>
        </w:tc>
        <w:tc>
          <w:tcPr>
            <w:tcW w:w="566" w:type="dxa"/>
            <w:shd w:val="clear" w:color="auto" w:fill="auto"/>
          </w:tcPr>
          <w:p w14:paraId="15907BD7"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15</w:t>
            </w:r>
          </w:p>
        </w:tc>
        <w:tc>
          <w:tcPr>
            <w:tcW w:w="2453" w:type="dxa"/>
            <w:shd w:val="clear" w:color="auto" w:fill="auto"/>
          </w:tcPr>
          <w:p w14:paraId="62EBA764"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i/>
                <w:iCs/>
                <w:sz w:val="16"/>
                <w:szCs w:val="16"/>
              </w:rPr>
              <w:t>Cohort study</w:t>
            </w:r>
            <w:r w:rsidRPr="002C21B8">
              <w:rPr>
                <w:rFonts w:eastAsiaTheme="majorEastAsia"/>
                <w:sz w:val="16"/>
                <w:szCs w:val="16"/>
              </w:rPr>
              <w:t xml:space="preserve"> - Report numbers of outcome events or summary measures over time</w:t>
            </w:r>
          </w:p>
          <w:p w14:paraId="0581A1B1"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i/>
                <w:iCs/>
                <w:sz w:val="16"/>
                <w:szCs w:val="16"/>
              </w:rPr>
              <w:t>Case-control study</w:t>
            </w:r>
            <w:r w:rsidRPr="002C21B8">
              <w:rPr>
                <w:rFonts w:eastAsiaTheme="majorEastAsia"/>
                <w:sz w:val="16"/>
                <w:szCs w:val="16"/>
              </w:rPr>
              <w:t xml:space="preserve"> - Report numbers in each exposure category, or summary measures of exposure</w:t>
            </w:r>
          </w:p>
          <w:p w14:paraId="5924A82A"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i/>
                <w:iCs/>
                <w:sz w:val="16"/>
                <w:szCs w:val="16"/>
              </w:rPr>
              <w:t>Cross-sectional study</w:t>
            </w:r>
            <w:r w:rsidRPr="002C21B8">
              <w:rPr>
                <w:rFonts w:eastAsiaTheme="majorEastAsia"/>
                <w:sz w:val="16"/>
                <w:szCs w:val="16"/>
              </w:rPr>
              <w:t xml:space="preserve"> - Report numbers of outcome events or summary measures</w:t>
            </w:r>
          </w:p>
        </w:tc>
        <w:tc>
          <w:tcPr>
            <w:tcW w:w="1405" w:type="dxa"/>
            <w:shd w:val="clear" w:color="auto" w:fill="auto"/>
          </w:tcPr>
          <w:p w14:paraId="6E543B2E" w14:textId="12CE8DA1"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Results</w:t>
            </w:r>
          </w:p>
        </w:tc>
        <w:tc>
          <w:tcPr>
            <w:tcW w:w="2261" w:type="dxa"/>
            <w:shd w:val="clear" w:color="auto" w:fill="auto"/>
          </w:tcPr>
          <w:p w14:paraId="306F5171"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39942DF3" w14:textId="77777777" w:rsidR="00FA366A" w:rsidRPr="002C21B8" w:rsidRDefault="00FA366A" w:rsidP="00B475A7">
            <w:pPr>
              <w:spacing w:after="0" w:line="240" w:lineRule="auto"/>
              <w:jc w:val="left"/>
              <w:rPr>
                <w:rFonts w:eastAsiaTheme="majorEastAsia"/>
                <w:sz w:val="16"/>
                <w:szCs w:val="16"/>
              </w:rPr>
            </w:pPr>
          </w:p>
        </w:tc>
      </w:tr>
      <w:tr w:rsidR="008F2DFA" w:rsidRPr="002C21B8" w14:paraId="49594437" w14:textId="77777777" w:rsidTr="00193C3C">
        <w:trPr>
          <w:trHeight w:val="1263"/>
        </w:trPr>
        <w:tc>
          <w:tcPr>
            <w:tcW w:w="1263" w:type="dxa"/>
            <w:vMerge w:val="restart"/>
            <w:shd w:val="clear" w:color="auto" w:fill="auto"/>
          </w:tcPr>
          <w:p w14:paraId="76F0587A" w14:textId="77777777"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Main results</w:t>
            </w:r>
          </w:p>
        </w:tc>
        <w:tc>
          <w:tcPr>
            <w:tcW w:w="566" w:type="dxa"/>
            <w:vMerge w:val="restart"/>
            <w:shd w:val="clear" w:color="auto" w:fill="auto"/>
          </w:tcPr>
          <w:p w14:paraId="7D7F338E" w14:textId="77777777" w:rsidR="008F2DFA" w:rsidRPr="002C21B8" w:rsidRDefault="008F2DFA" w:rsidP="009566EA">
            <w:pPr>
              <w:spacing w:after="0" w:line="240" w:lineRule="auto"/>
              <w:rPr>
                <w:rFonts w:eastAsiaTheme="majorEastAsia"/>
                <w:sz w:val="16"/>
                <w:szCs w:val="16"/>
              </w:rPr>
            </w:pPr>
            <w:r w:rsidRPr="002C21B8">
              <w:rPr>
                <w:rFonts w:eastAsiaTheme="majorEastAsia"/>
                <w:sz w:val="16"/>
                <w:szCs w:val="16"/>
              </w:rPr>
              <w:t>16</w:t>
            </w:r>
          </w:p>
        </w:tc>
        <w:tc>
          <w:tcPr>
            <w:tcW w:w="2453" w:type="dxa"/>
            <w:tcBorders>
              <w:bottom w:val="single" w:sz="4" w:space="0" w:color="auto"/>
            </w:tcBorders>
            <w:shd w:val="clear" w:color="auto" w:fill="auto"/>
          </w:tcPr>
          <w:p w14:paraId="6FF4DB02" w14:textId="625107FC"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(a) Give unadjusted estimates and, if applicable, confounder-adjusted estimates and their precision (e.g., 95% confidence interval). Make clear which confounders were adjusted for and why they were included</w:t>
            </w:r>
          </w:p>
        </w:tc>
        <w:tc>
          <w:tcPr>
            <w:tcW w:w="1405" w:type="dxa"/>
            <w:tcBorders>
              <w:bottom w:val="single" w:sz="4" w:space="0" w:color="auto"/>
            </w:tcBorders>
            <w:shd w:val="clear" w:color="auto" w:fill="auto"/>
          </w:tcPr>
          <w:p w14:paraId="424E61AA" w14:textId="740D0AC3" w:rsidR="008F2DF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Results</w:t>
            </w:r>
          </w:p>
        </w:tc>
        <w:tc>
          <w:tcPr>
            <w:tcW w:w="2261" w:type="dxa"/>
            <w:vMerge w:val="restart"/>
            <w:shd w:val="clear" w:color="auto" w:fill="auto"/>
          </w:tcPr>
          <w:p w14:paraId="540586DB" w14:textId="77777777" w:rsidR="008F2DFA" w:rsidRPr="002C21B8" w:rsidRDefault="008F2DFA" w:rsidP="008F2DFA">
            <w:pPr>
              <w:spacing w:after="0" w:line="240" w:lineRule="auto"/>
              <w:jc w:val="left"/>
              <w:rPr>
                <w:rFonts w:eastAsiaTheme="majorEastAsia"/>
                <w:sz w:val="16"/>
                <w:szCs w:val="16"/>
              </w:rPr>
            </w:pPr>
          </w:p>
        </w:tc>
        <w:tc>
          <w:tcPr>
            <w:tcW w:w="1258" w:type="dxa"/>
            <w:vMerge w:val="restart"/>
            <w:shd w:val="clear" w:color="auto" w:fill="auto"/>
          </w:tcPr>
          <w:p w14:paraId="73136010" w14:textId="77777777" w:rsidR="008F2DFA" w:rsidRPr="002C21B8" w:rsidRDefault="008F2DFA" w:rsidP="00B475A7">
            <w:pPr>
              <w:spacing w:after="0" w:line="240" w:lineRule="auto"/>
              <w:jc w:val="left"/>
              <w:rPr>
                <w:rFonts w:eastAsiaTheme="majorEastAsia"/>
                <w:sz w:val="16"/>
                <w:szCs w:val="16"/>
              </w:rPr>
            </w:pPr>
          </w:p>
        </w:tc>
      </w:tr>
      <w:tr w:rsidR="008F2DFA" w:rsidRPr="002C21B8" w14:paraId="0C92704D" w14:textId="77777777" w:rsidTr="00193C3C">
        <w:trPr>
          <w:trHeight w:val="496"/>
        </w:trPr>
        <w:tc>
          <w:tcPr>
            <w:tcW w:w="1263" w:type="dxa"/>
            <w:vMerge/>
            <w:shd w:val="clear" w:color="auto" w:fill="auto"/>
          </w:tcPr>
          <w:p w14:paraId="71174AFC"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25A4AAEC"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bottom w:val="single" w:sz="4" w:space="0" w:color="auto"/>
            </w:tcBorders>
            <w:shd w:val="clear" w:color="auto" w:fill="auto"/>
          </w:tcPr>
          <w:p w14:paraId="393DDF80" w14:textId="380FF55D" w:rsidR="008F2DFA" w:rsidRPr="002C21B8" w:rsidRDefault="008F2DFA" w:rsidP="008F2DFA">
            <w:pPr>
              <w:spacing w:after="0" w:line="240" w:lineRule="auto"/>
              <w:jc w:val="left"/>
              <w:rPr>
                <w:rFonts w:eastAsiaTheme="majorEastAsia"/>
                <w:sz w:val="16"/>
                <w:szCs w:val="16"/>
              </w:rPr>
            </w:pPr>
            <w:r w:rsidRPr="002C21B8">
              <w:rPr>
                <w:rFonts w:eastAsiaTheme="majorEastAsia"/>
                <w:sz w:val="16"/>
                <w:szCs w:val="16"/>
              </w:rPr>
              <w:t>(b) Report category boundaries when continuous variables were categorized</w:t>
            </w:r>
          </w:p>
        </w:tc>
        <w:tc>
          <w:tcPr>
            <w:tcW w:w="1405" w:type="dxa"/>
            <w:tcBorders>
              <w:top w:val="single" w:sz="4" w:space="0" w:color="auto"/>
              <w:bottom w:val="single" w:sz="4" w:space="0" w:color="auto"/>
            </w:tcBorders>
            <w:shd w:val="clear" w:color="auto" w:fill="auto"/>
          </w:tcPr>
          <w:p w14:paraId="15B3FB15" w14:textId="77777777"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c>
          <w:tcPr>
            <w:tcW w:w="2261" w:type="dxa"/>
            <w:vMerge/>
            <w:shd w:val="clear" w:color="auto" w:fill="auto"/>
          </w:tcPr>
          <w:p w14:paraId="34B41658"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7BC9ECE8" w14:textId="77777777" w:rsidR="008F2DFA" w:rsidRPr="002C21B8" w:rsidRDefault="008F2DFA" w:rsidP="00B475A7">
            <w:pPr>
              <w:spacing w:after="0" w:line="240" w:lineRule="auto"/>
              <w:jc w:val="left"/>
              <w:rPr>
                <w:rFonts w:eastAsiaTheme="majorEastAsia"/>
                <w:sz w:val="16"/>
                <w:szCs w:val="16"/>
              </w:rPr>
            </w:pPr>
          </w:p>
        </w:tc>
      </w:tr>
      <w:tr w:rsidR="008F2DFA" w:rsidRPr="002C21B8" w14:paraId="71510291" w14:textId="77777777" w:rsidTr="00193C3C">
        <w:trPr>
          <w:trHeight w:val="442"/>
        </w:trPr>
        <w:tc>
          <w:tcPr>
            <w:tcW w:w="1263" w:type="dxa"/>
            <w:vMerge/>
            <w:shd w:val="clear" w:color="auto" w:fill="auto"/>
          </w:tcPr>
          <w:p w14:paraId="6DD69668" w14:textId="77777777" w:rsidR="008F2DFA" w:rsidRPr="002C21B8" w:rsidRDefault="008F2DFA" w:rsidP="008F2DFA">
            <w:pPr>
              <w:spacing w:after="0" w:line="240" w:lineRule="auto"/>
              <w:jc w:val="left"/>
              <w:rPr>
                <w:rFonts w:eastAsiaTheme="majorEastAsia"/>
                <w:sz w:val="16"/>
                <w:szCs w:val="16"/>
              </w:rPr>
            </w:pPr>
          </w:p>
        </w:tc>
        <w:tc>
          <w:tcPr>
            <w:tcW w:w="566" w:type="dxa"/>
            <w:vMerge/>
            <w:shd w:val="clear" w:color="auto" w:fill="auto"/>
          </w:tcPr>
          <w:p w14:paraId="5C550EF6" w14:textId="77777777" w:rsidR="008F2DFA" w:rsidRPr="002C21B8" w:rsidRDefault="008F2DFA" w:rsidP="009566EA">
            <w:pPr>
              <w:spacing w:after="0" w:line="240" w:lineRule="auto"/>
              <w:rPr>
                <w:rFonts w:eastAsiaTheme="majorEastAsia"/>
                <w:sz w:val="16"/>
                <w:szCs w:val="16"/>
              </w:rPr>
            </w:pPr>
          </w:p>
        </w:tc>
        <w:tc>
          <w:tcPr>
            <w:tcW w:w="2453" w:type="dxa"/>
            <w:tcBorders>
              <w:top w:val="single" w:sz="4" w:space="0" w:color="auto"/>
            </w:tcBorders>
            <w:shd w:val="clear" w:color="auto" w:fill="auto"/>
          </w:tcPr>
          <w:p w14:paraId="462BE4E2" w14:textId="77777777" w:rsidR="008F2DFA" w:rsidRPr="002C21B8" w:rsidRDefault="008F2DFA" w:rsidP="001D294C">
            <w:pPr>
              <w:spacing w:after="0" w:line="240" w:lineRule="auto"/>
              <w:jc w:val="left"/>
              <w:rPr>
                <w:rFonts w:eastAsiaTheme="majorEastAsia"/>
                <w:sz w:val="16"/>
                <w:szCs w:val="16"/>
              </w:rPr>
            </w:pPr>
            <w:r w:rsidRPr="002C21B8">
              <w:rPr>
                <w:rFonts w:eastAsiaTheme="majorEastAsia"/>
                <w:sz w:val="16"/>
                <w:szCs w:val="16"/>
              </w:rPr>
              <w:t>(c) If relevant, consider translating estimates of relative risk into absolute risk for a meaningful time period</w:t>
            </w:r>
          </w:p>
        </w:tc>
        <w:tc>
          <w:tcPr>
            <w:tcW w:w="1405" w:type="dxa"/>
            <w:tcBorders>
              <w:top w:val="single" w:sz="4" w:space="0" w:color="auto"/>
            </w:tcBorders>
            <w:shd w:val="clear" w:color="auto" w:fill="auto"/>
          </w:tcPr>
          <w:p w14:paraId="1CF89310" w14:textId="3B9FE078" w:rsidR="008F2DFA" w:rsidRPr="002C21B8" w:rsidRDefault="008F2DFA" w:rsidP="00B475A7">
            <w:pPr>
              <w:spacing w:after="0" w:line="240" w:lineRule="auto"/>
              <w:jc w:val="left"/>
              <w:rPr>
                <w:rFonts w:eastAsiaTheme="majorEastAsia"/>
                <w:sz w:val="16"/>
                <w:szCs w:val="16"/>
              </w:rPr>
            </w:pPr>
            <w:r w:rsidRPr="002C21B8">
              <w:rPr>
                <w:rFonts w:eastAsiaTheme="majorEastAsia"/>
                <w:sz w:val="16"/>
                <w:szCs w:val="16"/>
              </w:rPr>
              <w:t>NA</w:t>
            </w:r>
          </w:p>
        </w:tc>
        <w:tc>
          <w:tcPr>
            <w:tcW w:w="2261" w:type="dxa"/>
            <w:vMerge/>
            <w:shd w:val="clear" w:color="auto" w:fill="auto"/>
          </w:tcPr>
          <w:p w14:paraId="072E81F1" w14:textId="77777777" w:rsidR="008F2DFA" w:rsidRPr="002C21B8" w:rsidRDefault="008F2DFA" w:rsidP="008F2DFA">
            <w:pPr>
              <w:spacing w:after="0" w:line="240" w:lineRule="auto"/>
              <w:jc w:val="left"/>
              <w:rPr>
                <w:rFonts w:eastAsiaTheme="majorEastAsia"/>
                <w:sz w:val="16"/>
                <w:szCs w:val="16"/>
              </w:rPr>
            </w:pPr>
          </w:p>
        </w:tc>
        <w:tc>
          <w:tcPr>
            <w:tcW w:w="1258" w:type="dxa"/>
            <w:vMerge/>
            <w:shd w:val="clear" w:color="auto" w:fill="auto"/>
          </w:tcPr>
          <w:p w14:paraId="1E3BA5B6" w14:textId="77777777" w:rsidR="008F2DFA" w:rsidRPr="002C21B8" w:rsidRDefault="008F2DFA" w:rsidP="00B475A7">
            <w:pPr>
              <w:spacing w:after="0" w:line="240" w:lineRule="auto"/>
              <w:jc w:val="left"/>
              <w:rPr>
                <w:rFonts w:eastAsiaTheme="majorEastAsia"/>
                <w:sz w:val="16"/>
                <w:szCs w:val="16"/>
              </w:rPr>
            </w:pPr>
          </w:p>
        </w:tc>
      </w:tr>
      <w:tr w:rsidR="00FA366A" w:rsidRPr="002C21B8" w14:paraId="7B16A0C1" w14:textId="77777777" w:rsidTr="00193C3C">
        <w:tc>
          <w:tcPr>
            <w:tcW w:w="1263" w:type="dxa"/>
            <w:shd w:val="clear" w:color="auto" w:fill="auto"/>
          </w:tcPr>
          <w:p w14:paraId="009ADC4F"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Other analyses</w:t>
            </w:r>
          </w:p>
        </w:tc>
        <w:tc>
          <w:tcPr>
            <w:tcW w:w="566" w:type="dxa"/>
            <w:shd w:val="clear" w:color="auto" w:fill="auto"/>
          </w:tcPr>
          <w:p w14:paraId="50026C82"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17</w:t>
            </w:r>
          </w:p>
        </w:tc>
        <w:tc>
          <w:tcPr>
            <w:tcW w:w="2453" w:type="dxa"/>
            <w:shd w:val="clear" w:color="auto" w:fill="auto"/>
          </w:tcPr>
          <w:p w14:paraId="08099EB5"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Report other analyses done - e.g., analyses of subgroups and interactions, and sensitivity analyses</w:t>
            </w:r>
          </w:p>
        </w:tc>
        <w:tc>
          <w:tcPr>
            <w:tcW w:w="1405" w:type="dxa"/>
            <w:shd w:val="clear" w:color="auto" w:fill="auto"/>
          </w:tcPr>
          <w:p w14:paraId="741A3EC6" w14:textId="710BF084"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Results</w:t>
            </w:r>
          </w:p>
        </w:tc>
        <w:tc>
          <w:tcPr>
            <w:tcW w:w="2261" w:type="dxa"/>
            <w:shd w:val="clear" w:color="auto" w:fill="auto"/>
          </w:tcPr>
          <w:p w14:paraId="2DE71489"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150BA71C" w14:textId="77777777" w:rsidR="00FA366A" w:rsidRPr="002C21B8" w:rsidRDefault="00FA366A" w:rsidP="00B475A7">
            <w:pPr>
              <w:spacing w:after="0" w:line="240" w:lineRule="auto"/>
              <w:jc w:val="left"/>
              <w:rPr>
                <w:rFonts w:eastAsiaTheme="majorEastAsia"/>
                <w:sz w:val="16"/>
                <w:szCs w:val="16"/>
              </w:rPr>
            </w:pPr>
          </w:p>
        </w:tc>
      </w:tr>
      <w:tr w:rsidR="009566EA" w:rsidRPr="002C21B8" w14:paraId="24FDC266" w14:textId="77777777" w:rsidTr="00193C3C">
        <w:tc>
          <w:tcPr>
            <w:tcW w:w="9206" w:type="dxa"/>
            <w:gridSpan w:val="6"/>
            <w:shd w:val="clear" w:color="auto" w:fill="auto"/>
          </w:tcPr>
          <w:p w14:paraId="59DA4108" w14:textId="759858C3" w:rsidR="009566EA" w:rsidRPr="002C21B8" w:rsidRDefault="009566EA" w:rsidP="00B475A7">
            <w:pPr>
              <w:spacing w:after="0" w:line="240" w:lineRule="auto"/>
              <w:jc w:val="left"/>
              <w:rPr>
                <w:rFonts w:eastAsiaTheme="majorEastAsia"/>
                <w:b/>
                <w:bCs/>
                <w:sz w:val="16"/>
                <w:szCs w:val="16"/>
              </w:rPr>
            </w:pPr>
            <w:r w:rsidRPr="002C21B8">
              <w:rPr>
                <w:rFonts w:eastAsiaTheme="majorEastAsia"/>
                <w:b/>
                <w:bCs/>
                <w:sz w:val="16"/>
                <w:szCs w:val="16"/>
              </w:rPr>
              <w:t>Discussion</w:t>
            </w:r>
          </w:p>
        </w:tc>
      </w:tr>
      <w:tr w:rsidR="00FA366A" w:rsidRPr="002C21B8" w14:paraId="17C646C7" w14:textId="77777777" w:rsidTr="00193C3C">
        <w:tc>
          <w:tcPr>
            <w:tcW w:w="1263" w:type="dxa"/>
            <w:shd w:val="clear" w:color="auto" w:fill="auto"/>
          </w:tcPr>
          <w:p w14:paraId="36178B83"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Key results</w:t>
            </w:r>
          </w:p>
        </w:tc>
        <w:tc>
          <w:tcPr>
            <w:tcW w:w="566" w:type="dxa"/>
            <w:shd w:val="clear" w:color="auto" w:fill="auto"/>
          </w:tcPr>
          <w:p w14:paraId="404FECDE"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18</w:t>
            </w:r>
          </w:p>
        </w:tc>
        <w:tc>
          <w:tcPr>
            <w:tcW w:w="2453" w:type="dxa"/>
            <w:shd w:val="clear" w:color="auto" w:fill="auto"/>
          </w:tcPr>
          <w:p w14:paraId="553ED70A"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Summarise key results with reference to study objectives</w:t>
            </w:r>
          </w:p>
        </w:tc>
        <w:tc>
          <w:tcPr>
            <w:tcW w:w="1405" w:type="dxa"/>
            <w:shd w:val="clear" w:color="auto" w:fill="auto"/>
          </w:tcPr>
          <w:p w14:paraId="66CC8507" w14:textId="0FCB0285"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Discussion - summary of key findings</w:t>
            </w:r>
          </w:p>
        </w:tc>
        <w:tc>
          <w:tcPr>
            <w:tcW w:w="2261" w:type="dxa"/>
            <w:shd w:val="clear" w:color="auto" w:fill="auto"/>
          </w:tcPr>
          <w:p w14:paraId="4F185B0C"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7469BEB6" w14:textId="77777777" w:rsidR="00FA366A" w:rsidRPr="002C21B8" w:rsidRDefault="00FA366A" w:rsidP="00B475A7">
            <w:pPr>
              <w:spacing w:after="0" w:line="240" w:lineRule="auto"/>
              <w:jc w:val="left"/>
              <w:rPr>
                <w:rFonts w:eastAsiaTheme="majorEastAsia"/>
                <w:sz w:val="16"/>
                <w:szCs w:val="16"/>
              </w:rPr>
            </w:pPr>
          </w:p>
        </w:tc>
      </w:tr>
      <w:tr w:rsidR="00FA366A" w:rsidRPr="002C21B8" w14:paraId="124E81FB" w14:textId="77777777" w:rsidTr="00193C3C">
        <w:tc>
          <w:tcPr>
            <w:tcW w:w="1263" w:type="dxa"/>
            <w:shd w:val="clear" w:color="auto" w:fill="auto"/>
          </w:tcPr>
          <w:p w14:paraId="2C96011C"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Limitations</w:t>
            </w:r>
          </w:p>
        </w:tc>
        <w:tc>
          <w:tcPr>
            <w:tcW w:w="566" w:type="dxa"/>
            <w:shd w:val="clear" w:color="auto" w:fill="auto"/>
          </w:tcPr>
          <w:p w14:paraId="11B54739"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19</w:t>
            </w:r>
          </w:p>
        </w:tc>
        <w:tc>
          <w:tcPr>
            <w:tcW w:w="2453" w:type="dxa"/>
            <w:shd w:val="clear" w:color="auto" w:fill="auto"/>
          </w:tcPr>
          <w:p w14:paraId="727A0416"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Discuss limitations of the study, taking into account sources of potential bias or imprecision. Discuss both direction and magnitude of any potential bias</w:t>
            </w:r>
          </w:p>
        </w:tc>
        <w:tc>
          <w:tcPr>
            <w:tcW w:w="1405" w:type="dxa"/>
            <w:shd w:val="clear" w:color="auto" w:fill="auto"/>
          </w:tcPr>
          <w:p w14:paraId="4DFBAA8A" w14:textId="49F1F3A7"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Discussion - strengths and limitations</w:t>
            </w:r>
          </w:p>
        </w:tc>
        <w:tc>
          <w:tcPr>
            <w:tcW w:w="2261" w:type="dxa"/>
            <w:shd w:val="clear" w:color="auto" w:fill="auto"/>
          </w:tcPr>
          <w:p w14:paraId="4ACA5536"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258" w:type="dxa"/>
            <w:shd w:val="clear" w:color="auto" w:fill="auto"/>
          </w:tcPr>
          <w:p w14:paraId="4F33D3BB" w14:textId="6F8EDD57" w:rsidR="00FA366A" w:rsidRPr="002C21B8" w:rsidRDefault="00B475A7" w:rsidP="00B475A7">
            <w:pPr>
              <w:spacing w:after="0" w:line="240" w:lineRule="auto"/>
              <w:jc w:val="left"/>
              <w:rPr>
                <w:rFonts w:eastAsiaTheme="majorEastAsia"/>
                <w:sz w:val="16"/>
                <w:szCs w:val="16"/>
              </w:rPr>
            </w:pPr>
            <w:r w:rsidRPr="002C21B8">
              <w:rPr>
                <w:rFonts w:eastAsiaTheme="majorEastAsia"/>
                <w:sz w:val="16"/>
                <w:szCs w:val="16"/>
              </w:rPr>
              <w:t>Discussion -strengths and limitations</w:t>
            </w:r>
          </w:p>
        </w:tc>
      </w:tr>
      <w:tr w:rsidR="00FA366A" w:rsidRPr="002C21B8" w14:paraId="6B0D1A91" w14:textId="77777777" w:rsidTr="00193C3C">
        <w:tc>
          <w:tcPr>
            <w:tcW w:w="1263" w:type="dxa"/>
            <w:shd w:val="clear" w:color="auto" w:fill="auto"/>
          </w:tcPr>
          <w:p w14:paraId="68DD33E0"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Interpretation</w:t>
            </w:r>
          </w:p>
        </w:tc>
        <w:tc>
          <w:tcPr>
            <w:tcW w:w="566" w:type="dxa"/>
            <w:shd w:val="clear" w:color="auto" w:fill="auto"/>
          </w:tcPr>
          <w:p w14:paraId="091C1356"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20</w:t>
            </w:r>
          </w:p>
        </w:tc>
        <w:tc>
          <w:tcPr>
            <w:tcW w:w="2453" w:type="dxa"/>
            <w:shd w:val="clear" w:color="auto" w:fill="auto"/>
          </w:tcPr>
          <w:p w14:paraId="151E807E"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Give a cautious overall interpretation of results considering objectives, limitations, multiplicity of analyses, results from similar studies, and other relevant evidence</w:t>
            </w:r>
          </w:p>
        </w:tc>
        <w:tc>
          <w:tcPr>
            <w:tcW w:w="1405" w:type="dxa"/>
            <w:shd w:val="clear" w:color="auto" w:fill="auto"/>
          </w:tcPr>
          <w:p w14:paraId="4E3428BB" w14:textId="2FBF34CD" w:rsidR="00FA366A" w:rsidRPr="002C21B8" w:rsidRDefault="00193C3C" w:rsidP="00B475A7">
            <w:pPr>
              <w:spacing w:after="0" w:line="240" w:lineRule="auto"/>
              <w:jc w:val="left"/>
              <w:rPr>
                <w:rFonts w:eastAsiaTheme="majorEastAsia"/>
                <w:sz w:val="16"/>
                <w:szCs w:val="16"/>
              </w:rPr>
            </w:pPr>
            <w:r w:rsidRPr="002C21B8">
              <w:rPr>
                <w:rFonts w:eastAsiaTheme="majorEastAsia"/>
                <w:sz w:val="16"/>
                <w:szCs w:val="16"/>
              </w:rPr>
              <w:t>Discussion - comparison with previous studies</w:t>
            </w:r>
          </w:p>
        </w:tc>
        <w:tc>
          <w:tcPr>
            <w:tcW w:w="2261" w:type="dxa"/>
            <w:shd w:val="clear" w:color="auto" w:fill="auto"/>
          </w:tcPr>
          <w:p w14:paraId="420B684C"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4AAD07B2" w14:textId="77777777" w:rsidR="00FA366A" w:rsidRPr="002C21B8" w:rsidRDefault="00FA366A" w:rsidP="00B475A7">
            <w:pPr>
              <w:spacing w:after="0" w:line="240" w:lineRule="auto"/>
              <w:jc w:val="left"/>
              <w:rPr>
                <w:rFonts w:eastAsiaTheme="majorEastAsia"/>
                <w:sz w:val="16"/>
                <w:szCs w:val="16"/>
              </w:rPr>
            </w:pPr>
          </w:p>
        </w:tc>
      </w:tr>
      <w:tr w:rsidR="00FA366A" w:rsidRPr="002C21B8" w14:paraId="5D5941F5" w14:textId="77777777" w:rsidTr="00193C3C">
        <w:tc>
          <w:tcPr>
            <w:tcW w:w="1263" w:type="dxa"/>
            <w:tcBorders>
              <w:bottom w:val="single" w:sz="6" w:space="0" w:color="000000" w:themeColor="text1"/>
            </w:tcBorders>
            <w:shd w:val="clear" w:color="auto" w:fill="auto"/>
          </w:tcPr>
          <w:p w14:paraId="70C123E2"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Generalisability</w:t>
            </w:r>
          </w:p>
        </w:tc>
        <w:tc>
          <w:tcPr>
            <w:tcW w:w="566" w:type="dxa"/>
            <w:tcBorders>
              <w:bottom w:val="single" w:sz="6" w:space="0" w:color="000000" w:themeColor="text1"/>
            </w:tcBorders>
            <w:shd w:val="clear" w:color="auto" w:fill="auto"/>
          </w:tcPr>
          <w:p w14:paraId="3C8A9501"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21</w:t>
            </w:r>
          </w:p>
        </w:tc>
        <w:tc>
          <w:tcPr>
            <w:tcW w:w="2453" w:type="dxa"/>
            <w:tcBorders>
              <w:bottom w:val="single" w:sz="6" w:space="0" w:color="000000" w:themeColor="text1"/>
            </w:tcBorders>
            <w:shd w:val="clear" w:color="auto" w:fill="auto"/>
          </w:tcPr>
          <w:p w14:paraId="2B83239A"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Discuss the generalisability (external validity) of the study results</w:t>
            </w:r>
          </w:p>
        </w:tc>
        <w:tc>
          <w:tcPr>
            <w:tcW w:w="1405" w:type="dxa"/>
            <w:tcBorders>
              <w:bottom w:val="single" w:sz="6" w:space="0" w:color="000000" w:themeColor="text1"/>
            </w:tcBorders>
            <w:shd w:val="clear" w:color="auto" w:fill="auto"/>
          </w:tcPr>
          <w:p w14:paraId="60F9956C" w14:textId="40AE0FF8" w:rsidR="00FA366A" w:rsidRPr="002C21B8" w:rsidRDefault="00193C3C" w:rsidP="00B475A7">
            <w:pPr>
              <w:spacing w:after="0" w:line="240" w:lineRule="auto"/>
              <w:jc w:val="left"/>
              <w:rPr>
                <w:rFonts w:eastAsiaTheme="majorEastAsia"/>
                <w:sz w:val="16"/>
                <w:szCs w:val="16"/>
              </w:rPr>
            </w:pPr>
            <w:r w:rsidRPr="002C21B8">
              <w:rPr>
                <w:rFonts w:eastAsiaTheme="majorEastAsia"/>
                <w:sz w:val="16"/>
                <w:szCs w:val="16"/>
              </w:rPr>
              <w:t>Discussion - implications and recommendations</w:t>
            </w:r>
          </w:p>
        </w:tc>
        <w:tc>
          <w:tcPr>
            <w:tcW w:w="2261" w:type="dxa"/>
            <w:tcBorders>
              <w:bottom w:val="single" w:sz="6" w:space="0" w:color="000000" w:themeColor="text1"/>
            </w:tcBorders>
            <w:shd w:val="clear" w:color="auto" w:fill="auto"/>
          </w:tcPr>
          <w:p w14:paraId="61E63F34" w14:textId="77777777" w:rsidR="00FA366A" w:rsidRPr="002C21B8" w:rsidRDefault="00FA366A" w:rsidP="008F2DFA">
            <w:pPr>
              <w:spacing w:after="0" w:line="240" w:lineRule="auto"/>
              <w:jc w:val="left"/>
              <w:rPr>
                <w:rFonts w:eastAsiaTheme="majorEastAsia"/>
                <w:sz w:val="16"/>
                <w:szCs w:val="16"/>
              </w:rPr>
            </w:pPr>
          </w:p>
        </w:tc>
        <w:tc>
          <w:tcPr>
            <w:tcW w:w="1258" w:type="dxa"/>
            <w:tcBorders>
              <w:bottom w:val="single" w:sz="6" w:space="0" w:color="000000" w:themeColor="text1"/>
            </w:tcBorders>
            <w:shd w:val="clear" w:color="auto" w:fill="auto"/>
          </w:tcPr>
          <w:p w14:paraId="5913881A" w14:textId="77777777" w:rsidR="00FA366A" w:rsidRPr="002C21B8" w:rsidRDefault="00FA366A" w:rsidP="00B475A7">
            <w:pPr>
              <w:spacing w:after="0" w:line="240" w:lineRule="auto"/>
              <w:jc w:val="left"/>
              <w:rPr>
                <w:rFonts w:eastAsiaTheme="majorEastAsia"/>
                <w:sz w:val="16"/>
                <w:szCs w:val="16"/>
              </w:rPr>
            </w:pPr>
          </w:p>
        </w:tc>
      </w:tr>
      <w:tr w:rsidR="00193C3C" w:rsidRPr="002C21B8" w14:paraId="385DD4D1" w14:textId="77777777" w:rsidTr="00193C3C">
        <w:tc>
          <w:tcPr>
            <w:tcW w:w="9206" w:type="dxa"/>
            <w:gridSpan w:val="6"/>
            <w:tcBorders>
              <w:left w:val="nil"/>
              <w:bottom w:val="nil"/>
              <w:right w:val="nil"/>
            </w:tcBorders>
            <w:shd w:val="clear" w:color="auto" w:fill="auto"/>
          </w:tcPr>
          <w:p w14:paraId="0FC5F53D" w14:textId="77777777" w:rsidR="00193C3C" w:rsidRPr="002C21B8" w:rsidRDefault="00193C3C" w:rsidP="00B475A7">
            <w:pPr>
              <w:spacing w:after="0" w:line="240" w:lineRule="auto"/>
              <w:jc w:val="left"/>
              <w:rPr>
                <w:rFonts w:eastAsiaTheme="majorEastAsia"/>
                <w:b/>
                <w:bCs/>
                <w:sz w:val="16"/>
                <w:szCs w:val="16"/>
              </w:rPr>
            </w:pPr>
          </w:p>
        </w:tc>
      </w:tr>
      <w:tr w:rsidR="00193C3C" w:rsidRPr="002C21B8" w14:paraId="75189B84" w14:textId="77777777" w:rsidTr="00193C3C">
        <w:tc>
          <w:tcPr>
            <w:tcW w:w="9206" w:type="dxa"/>
            <w:gridSpan w:val="6"/>
            <w:tcBorders>
              <w:top w:val="nil"/>
              <w:left w:val="nil"/>
              <w:bottom w:val="nil"/>
              <w:right w:val="nil"/>
            </w:tcBorders>
            <w:shd w:val="clear" w:color="auto" w:fill="auto"/>
          </w:tcPr>
          <w:p w14:paraId="4BFE47E3" w14:textId="77777777" w:rsidR="00193C3C" w:rsidRPr="002C21B8" w:rsidRDefault="00193C3C" w:rsidP="00B475A7">
            <w:pPr>
              <w:spacing w:after="0" w:line="240" w:lineRule="auto"/>
              <w:jc w:val="left"/>
              <w:rPr>
                <w:rFonts w:eastAsiaTheme="majorEastAsia"/>
                <w:b/>
                <w:bCs/>
                <w:sz w:val="16"/>
                <w:szCs w:val="16"/>
              </w:rPr>
            </w:pPr>
          </w:p>
        </w:tc>
      </w:tr>
      <w:tr w:rsidR="00193C3C" w:rsidRPr="002C21B8" w14:paraId="62272205" w14:textId="77777777" w:rsidTr="00193C3C">
        <w:tc>
          <w:tcPr>
            <w:tcW w:w="9206" w:type="dxa"/>
            <w:gridSpan w:val="6"/>
            <w:tcBorders>
              <w:top w:val="nil"/>
              <w:left w:val="nil"/>
              <w:bottom w:val="nil"/>
              <w:right w:val="nil"/>
            </w:tcBorders>
            <w:shd w:val="clear" w:color="auto" w:fill="auto"/>
          </w:tcPr>
          <w:p w14:paraId="38103DFF" w14:textId="77777777" w:rsidR="00193C3C" w:rsidRPr="002C21B8" w:rsidRDefault="00193C3C" w:rsidP="00B475A7">
            <w:pPr>
              <w:spacing w:after="0" w:line="240" w:lineRule="auto"/>
              <w:jc w:val="left"/>
              <w:rPr>
                <w:rFonts w:eastAsiaTheme="majorEastAsia"/>
                <w:b/>
                <w:bCs/>
                <w:sz w:val="16"/>
                <w:szCs w:val="16"/>
              </w:rPr>
            </w:pPr>
          </w:p>
        </w:tc>
      </w:tr>
      <w:tr w:rsidR="00193C3C" w:rsidRPr="002C21B8" w14:paraId="7E33FCAD" w14:textId="77777777" w:rsidTr="00193C3C">
        <w:tc>
          <w:tcPr>
            <w:tcW w:w="9206" w:type="dxa"/>
            <w:gridSpan w:val="6"/>
            <w:tcBorders>
              <w:top w:val="nil"/>
              <w:left w:val="nil"/>
              <w:bottom w:val="nil"/>
              <w:right w:val="nil"/>
            </w:tcBorders>
            <w:shd w:val="clear" w:color="auto" w:fill="auto"/>
          </w:tcPr>
          <w:p w14:paraId="1AFD3055" w14:textId="5593781F" w:rsidR="00193C3C" w:rsidRPr="002C21B8" w:rsidRDefault="00193C3C" w:rsidP="00B475A7">
            <w:pPr>
              <w:spacing w:after="0" w:line="240" w:lineRule="auto"/>
              <w:jc w:val="left"/>
              <w:rPr>
                <w:rFonts w:eastAsiaTheme="majorEastAsia"/>
                <w:b/>
                <w:bCs/>
                <w:sz w:val="16"/>
                <w:szCs w:val="16"/>
              </w:rPr>
            </w:pPr>
            <w:r w:rsidRPr="002C21B8">
              <w:rPr>
                <w:rFonts w:eastAsiaTheme="majorEastAsia"/>
                <w:b/>
                <w:bCs/>
                <w:noProof/>
                <w:sz w:val="16"/>
                <w:szCs w:val="16"/>
                <w14:ligatures w14:val="standardContextual"/>
              </w:rPr>
              <mc:AlternateContent>
                <mc:Choice Requires="wps">
                  <w:drawing>
                    <wp:anchor distT="0" distB="0" distL="114300" distR="114300" simplePos="0" relativeHeight="251841536" behindDoc="0" locked="0" layoutInCell="1" allowOverlap="1" wp14:anchorId="15741934" wp14:editId="693B57CA">
                      <wp:simplePos x="0" y="0"/>
                      <wp:positionH relativeFrom="column">
                        <wp:posOffset>-198351</wp:posOffset>
                      </wp:positionH>
                      <wp:positionV relativeFrom="paragraph">
                        <wp:posOffset>172662</wp:posOffset>
                      </wp:positionV>
                      <wp:extent cx="6016336" cy="135082"/>
                      <wp:effectExtent l="0" t="0" r="3810" b="5080"/>
                      <wp:wrapNone/>
                      <wp:docPr id="2082209946" name="Rectangle 13"/>
                      <wp:cNvGraphicFramePr/>
                      <a:graphic xmlns:a="http://schemas.openxmlformats.org/drawingml/2006/main">
                        <a:graphicData uri="http://schemas.microsoft.com/office/word/2010/wordprocessingShape">
                          <wps:wsp>
                            <wps:cNvSpPr/>
                            <wps:spPr>
                              <a:xfrm>
                                <a:off x="0" y="0"/>
                                <a:ext cx="6016336" cy="13508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3C55A" id="Rectangle 13" o:spid="_x0000_s1026" style="position:absolute;margin-left:-15.6pt;margin-top:13.6pt;width:473.75pt;height:10.6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" fillcolor="white [3212]" stroked="f" strokeweight="1pt"/>
                  </w:pict>
                </mc:Fallback>
              </mc:AlternateContent>
            </w:r>
          </w:p>
        </w:tc>
      </w:tr>
      <w:tr w:rsidR="00193C3C" w:rsidRPr="002C21B8" w14:paraId="33F1B900" w14:textId="77777777" w:rsidTr="00193C3C">
        <w:tc>
          <w:tcPr>
            <w:tcW w:w="9206" w:type="dxa"/>
            <w:gridSpan w:val="6"/>
            <w:tcBorders>
              <w:top w:val="nil"/>
              <w:left w:val="nil"/>
              <w:bottom w:val="single" w:sz="6" w:space="0" w:color="000000" w:themeColor="text1"/>
              <w:right w:val="nil"/>
            </w:tcBorders>
            <w:shd w:val="clear" w:color="auto" w:fill="auto"/>
          </w:tcPr>
          <w:p w14:paraId="399C1581" w14:textId="77777777" w:rsidR="00193C3C" w:rsidRPr="002C21B8" w:rsidRDefault="00193C3C" w:rsidP="00B475A7">
            <w:pPr>
              <w:spacing w:after="0" w:line="240" w:lineRule="auto"/>
              <w:jc w:val="left"/>
              <w:rPr>
                <w:rFonts w:eastAsiaTheme="majorEastAsia"/>
                <w:b/>
                <w:bCs/>
                <w:sz w:val="16"/>
                <w:szCs w:val="16"/>
              </w:rPr>
            </w:pPr>
          </w:p>
        </w:tc>
      </w:tr>
      <w:tr w:rsidR="009566EA" w:rsidRPr="002C21B8" w14:paraId="3CAC6605" w14:textId="77777777" w:rsidTr="00193C3C">
        <w:tc>
          <w:tcPr>
            <w:tcW w:w="9206" w:type="dxa"/>
            <w:gridSpan w:val="6"/>
            <w:tcBorders>
              <w:top w:val="single" w:sz="6" w:space="0" w:color="000000" w:themeColor="text1"/>
            </w:tcBorders>
            <w:shd w:val="clear" w:color="auto" w:fill="auto"/>
          </w:tcPr>
          <w:p w14:paraId="773B655C" w14:textId="782D61AA" w:rsidR="009566EA" w:rsidRPr="002C21B8" w:rsidRDefault="009566EA" w:rsidP="00B475A7">
            <w:pPr>
              <w:spacing w:after="0" w:line="240" w:lineRule="auto"/>
              <w:jc w:val="left"/>
              <w:rPr>
                <w:rFonts w:eastAsiaTheme="majorEastAsia"/>
                <w:b/>
                <w:bCs/>
                <w:sz w:val="16"/>
                <w:szCs w:val="16"/>
              </w:rPr>
            </w:pPr>
            <w:r w:rsidRPr="002C21B8">
              <w:rPr>
                <w:rFonts w:eastAsiaTheme="majorEastAsia"/>
                <w:b/>
                <w:bCs/>
                <w:sz w:val="16"/>
                <w:szCs w:val="16"/>
              </w:rPr>
              <w:t>Other information</w:t>
            </w:r>
          </w:p>
        </w:tc>
      </w:tr>
      <w:tr w:rsidR="00FA366A" w:rsidRPr="002C21B8" w14:paraId="5F632AE1" w14:textId="77777777" w:rsidTr="00193C3C">
        <w:trPr>
          <w:cantSplit/>
        </w:trPr>
        <w:tc>
          <w:tcPr>
            <w:tcW w:w="1263" w:type="dxa"/>
            <w:shd w:val="clear" w:color="auto" w:fill="auto"/>
          </w:tcPr>
          <w:p w14:paraId="3CD2A15D"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Funding</w:t>
            </w:r>
          </w:p>
        </w:tc>
        <w:tc>
          <w:tcPr>
            <w:tcW w:w="566" w:type="dxa"/>
            <w:shd w:val="clear" w:color="auto" w:fill="auto"/>
          </w:tcPr>
          <w:p w14:paraId="77853490" w14:textId="77777777" w:rsidR="00FA366A" w:rsidRPr="002C21B8" w:rsidRDefault="00FA366A" w:rsidP="009566EA">
            <w:pPr>
              <w:spacing w:after="0" w:line="240" w:lineRule="auto"/>
              <w:rPr>
                <w:rFonts w:eastAsiaTheme="majorEastAsia"/>
                <w:sz w:val="16"/>
                <w:szCs w:val="16"/>
              </w:rPr>
            </w:pPr>
            <w:r w:rsidRPr="002C21B8">
              <w:rPr>
                <w:rFonts w:eastAsiaTheme="majorEastAsia"/>
                <w:sz w:val="16"/>
                <w:szCs w:val="16"/>
              </w:rPr>
              <w:t>22</w:t>
            </w:r>
          </w:p>
        </w:tc>
        <w:tc>
          <w:tcPr>
            <w:tcW w:w="2453" w:type="dxa"/>
            <w:shd w:val="clear" w:color="auto" w:fill="auto"/>
          </w:tcPr>
          <w:p w14:paraId="4C3E78F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Give the source of funding and the role of the funders for the present study and, if applicable, for the original study on which the present article is based</w:t>
            </w:r>
          </w:p>
        </w:tc>
        <w:tc>
          <w:tcPr>
            <w:tcW w:w="1405" w:type="dxa"/>
            <w:shd w:val="clear" w:color="auto" w:fill="auto"/>
          </w:tcPr>
          <w:p w14:paraId="13B370ED" w14:textId="4B13A2C5" w:rsidR="00FA366A" w:rsidRPr="002C21B8" w:rsidRDefault="00193C3C" w:rsidP="00B475A7">
            <w:pPr>
              <w:spacing w:after="0" w:line="240" w:lineRule="auto"/>
              <w:jc w:val="left"/>
              <w:rPr>
                <w:rFonts w:eastAsiaTheme="majorEastAsia"/>
                <w:sz w:val="16"/>
                <w:szCs w:val="16"/>
              </w:rPr>
            </w:pPr>
            <w:r w:rsidRPr="002C21B8">
              <w:rPr>
                <w:rFonts w:eastAsiaTheme="majorEastAsia"/>
                <w:sz w:val="16"/>
                <w:szCs w:val="16"/>
              </w:rPr>
              <w:t>Declarations</w:t>
            </w:r>
          </w:p>
        </w:tc>
        <w:tc>
          <w:tcPr>
            <w:tcW w:w="2261" w:type="dxa"/>
            <w:shd w:val="clear" w:color="auto" w:fill="auto"/>
          </w:tcPr>
          <w:p w14:paraId="65FFFBBA" w14:textId="77777777" w:rsidR="00FA366A" w:rsidRPr="002C21B8" w:rsidRDefault="00FA366A" w:rsidP="008F2DFA">
            <w:pPr>
              <w:spacing w:after="0" w:line="240" w:lineRule="auto"/>
              <w:jc w:val="left"/>
              <w:rPr>
                <w:rFonts w:eastAsiaTheme="majorEastAsia"/>
                <w:sz w:val="16"/>
                <w:szCs w:val="16"/>
              </w:rPr>
            </w:pPr>
          </w:p>
        </w:tc>
        <w:tc>
          <w:tcPr>
            <w:tcW w:w="1258" w:type="dxa"/>
            <w:shd w:val="clear" w:color="auto" w:fill="auto"/>
          </w:tcPr>
          <w:p w14:paraId="2869014A" w14:textId="77777777" w:rsidR="00FA366A" w:rsidRPr="002C21B8" w:rsidRDefault="00FA366A" w:rsidP="00B475A7">
            <w:pPr>
              <w:spacing w:after="0" w:line="240" w:lineRule="auto"/>
              <w:jc w:val="left"/>
              <w:rPr>
                <w:rFonts w:eastAsiaTheme="majorEastAsia"/>
                <w:sz w:val="16"/>
                <w:szCs w:val="16"/>
              </w:rPr>
            </w:pPr>
          </w:p>
        </w:tc>
      </w:tr>
      <w:tr w:rsidR="00FA366A" w:rsidRPr="002C21B8" w14:paraId="78188B56" w14:textId="77777777" w:rsidTr="00193C3C">
        <w:tc>
          <w:tcPr>
            <w:tcW w:w="1263" w:type="dxa"/>
            <w:shd w:val="clear" w:color="auto" w:fill="auto"/>
          </w:tcPr>
          <w:p w14:paraId="7A70E003"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Accessibility of protocol, raw data and programming code</w:t>
            </w:r>
          </w:p>
        </w:tc>
        <w:tc>
          <w:tcPr>
            <w:tcW w:w="566" w:type="dxa"/>
            <w:shd w:val="clear" w:color="auto" w:fill="auto"/>
          </w:tcPr>
          <w:p w14:paraId="574ED0F8" w14:textId="77777777" w:rsidR="00FA366A" w:rsidRPr="002C21B8" w:rsidRDefault="00FA366A" w:rsidP="009566EA">
            <w:pPr>
              <w:spacing w:after="0" w:line="240" w:lineRule="auto"/>
              <w:rPr>
                <w:rFonts w:eastAsiaTheme="majorEastAsia"/>
                <w:sz w:val="16"/>
                <w:szCs w:val="16"/>
              </w:rPr>
            </w:pPr>
          </w:p>
        </w:tc>
        <w:tc>
          <w:tcPr>
            <w:tcW w:w="2453" w:type="dxa"/>
            <w:shd w:val="clear" w:color="auto" w:fill="auto"/>
          </w:tcPr>
          <w:p w14:paraId="05B399EE" w14:textId="77777777" w:rsidR="00FA366A" w:rsidRPr="002C21B8" w:rsidRDefault="00FA366A" w:rsidP="008F2DFA">
            <w:pPr>
              <w:spacing w:after="0" w:line="240" w:lineRule="auto"/>
              <w:jc w:val="left"/>
              <w:rPr>
                <w:rFonts w:eastAsiaTheme="majorEastAsia"/>
                <w:sz w:val="16"/>
                <w:szCs w:val="16"/>
              </w:rPr>
            </w:pPr>
          </w:p>
        </w:tc>
        <w:tc>
          <w:tcPr>
            <w:tcW w:w="1405" w:type="dxa"/>
            <w:shd w:val="clear" w:color="auto" w:fill="auto"/>
          </w:tcPr>
          <w:p w14:paraId="5624FF26" w14:textId="77777777" w:rsidR="00FA366A" w:rsidRPr="002C21B8" w:rsidRDefault="00FA366A" w:rsidP="00B475A7">
            <w:pPr>
              <w:spacing w:after="0" w:line="240" w:lineRule="auto"/>
              <w:jc w:val="left"/>
              <w:rPr>
                <w:rFonts w:eastAsiaTheme="majorEastAsia"/>
                <w:sz w:val="16"/>
                <w:szCs w:val="16"/>
              </w:rPr>
            </w:pPr>
          </w:p>
        </w:tc>
        <w:tc>
          <w:tcPr>
            <w:tcW w:w="2261" w:type="dxa"/>
            <w:shd w:val="clear" w:color="auto" w:fill="auto"/>
          </w:tcPr>
          <w:p w14:paraId="645D3DC7" w14:textId="77777777" w:rsidR="00FA366A" w:rsidRPr="002C21B8" w:rsidRDefault="00FA366A" w:rsidP="008F2DFA">
            <w:pPr>
              <w:spacing w:after="0" w:line="240" w:lineRule="auto"/>
              <w:jc w:val="left"/>
              <w:rPr>
                <w:rFonts w:eastAsiaTheme="majorEastAsia"/>
                <w:sz w:val="16"/>
                <w:szCs w:val="16"/>
              </w:rPr>
            </w:pPr>
            <w:r w:rsidRPr="002C21B8">
              <w:rPr>
                <w:rFonts w:eastAsiaTheme="majorEastAsia"/>
                <w:sz w:val="16"/>
                <w:szCs w:val="16"/>
              </w:rPr>
              <w:t>RECORD 22.1: Authors should provide information on how to access any supplemental information such as the study protocol, raw data, or programming code.</w:t>
            </w:r>
          </w:p>
        </w:tc>
        <w:tc>
          <w:tcPr>
            <w:tcW w:w="1258" w:type="dxa"/>
            <w:shd w:val="clear" w:color="auto" w:fill="auto"/>
          </w:tcPr>
          <w:p w14:paraId="6817E77D" w14:textId="63BE412A" w:rsidR="00FA366A" w:rsidRPr="002C21B8" w:rsidRDefault="00193C3C" w:rsidP="00B475A7">
            <w:pPr>
              <w:spacing w:after="0" w:line="240" w:lineRule="auto"/>
              <w:jc w:val="left"/>
              <w:rPr>
                <w:rFonts w:eastAsiaTheme="majorEastAsia"/>
                <w:sz w:val="16"/>
                <w:szCs w:val="16"/>
              </w:rPr>
            </w:pPr>
            <w:r w:rsidRPr="002C21B8">
              <w:rPr>
                <w:rFonts w:eastAsiaTheme="majorEastAsia"/>
                <w:sz w:val="16"/>
                <w:szCs w:val="16"/>
              </w:rPr>
              <w:t>Declarations</w:t>
            </w:r>
          </w:p>
        </w:tc>
      </w:tr>
    </w:tbl>
    <w:p w14:paraId="394D136D" w14:textId="55C9567D" w:rsidR="001C4095" w:rsidRPr="002C21B8" w:rsidRDefault="00B475A7" w:rsidP="001C4095">
      <w:pPr>
        <w:spacing w:before="240"/>
        <w:rPr>
          <w:rFonts w:eastAsiaTheme="majorEastAsia"/>
          <w:b/>
          <w:bCs/>
          <w:color w:val="000000" w:themeColor="text1"/>
          <w:sz w:val="28"/>
          <w:szCs w:val="28"/>
        </w:rPr>
      </w:pPr>
      <w:r w:rsidRPr="002C21B8">
        <w:rPr>
          <w:color w:val="000000" w:themeColor="text1"/>
          <w:sz w:val="18"/>
          <w:szCs w:val="18"/>
        </w:rPr>
        <w:t xml:space="preserve">Locations indicate where each checklist item is </w:t>
      </w:r>
      <w:r w:rsidR="00CA2025" w:rsidRPr="002C21B8">
        <w:rPr>
          <w:color w:val="000000" w:themeColor="text1"/>
          <w:sz w:val="18"/>
          <w:szCs w:val="18"/>
        </w:rPr>
        <w:t>included</w:t>
      </w:r>
      <w:r w:rsidRPr="002C21B8">
        <w:rPr>
          <w:color w:val="000000" w:themeColor="text1"/>
          <w:sz w:val="18"/>
          <w:szCs w:val="18"/>
        </w:rPr>
        <w:t xml:space="preserve"> in this thesis</w:t>
      </w:r>
      <w:bookmarkStart w:id="453" w:name="_Unadjusted_funnel_plots"/>
      <w:bookmarkEnd w:id="453"/>
      <w:r w:rsidR="001C4095" w:rsidRPr="002C21B8">
        <w:rPr>
          <w:color w:val="000000" w:themeColor="text1"/>
        </w:rPr>
        <w:br w:type="page"/>
      </w:r>
    </w:p>
    <w:p w14:paraId="022C0EAF" w14:textId="18FCE796" w:rsidR="00603D52" w:rsidRPr="002C21B8" w:rsidRDefault="00603D52" w:rsidP="004507C8">
      <w:pPr>
        <w:pStyle w:val="Heading3"/>
        <w:numPr>
          <w:ilvl w:val="0"/>
          <w:numId w:val="0"/>
        </w:numPr>
      </w:pPr>
      <w:bookmarkStart w:id="454" w:name="_Unadjusted_funnel_plots_1"/>
      <w:bookmarkEnd w:id="454"/>
      <w:r w:rsidRPr="002C21B8">
        <w:t>Unadjusted funnel plots</w:t>
      </w:r>
      <w:r w:rsidR="004F7AD6" w:rsidRPr="002C21B8">
        <w:t xml:space="preserve"> and correlation between indirectly standardised ratios</w:t>
      </w:r>
    </w:p>
    <w:p w14:paraId="55EE2AF8" w14:textId="2C128B01"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Funnel plot of initiated patients (unadjusted)</w:t>
      </w:r>
    </w:p>
    <w:p w14:paraId="2CF3518C" w14:textId="2D758E9D" w:rsidR="00FA366A" w:rsidRPr="002C21B8" w:rsidRDefault="00A06B1A" w:rsidP="007A02EF">
      <w:r w:rsidRPr="002C21B8">
        <w:rPr>
          <w:noProof/>
        </w:rPr>
        <w:drawing>
          <wp:inline distT="0" distB="0" distL="0" distR="0" wp14:anchorId="62B86A91" wp14:editId="250E59D2">
            <wp:extent cx="4610100" cy="3073400"/>
            <wp:effectExtent l="0" t="0" r="0" b="0"/>
            <wp:docPr id="28942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25365" name=""/>
                    <pic:cNvPicPr/>
                  </pic:nvPicPr>
                  <pic:blipFill>
                    <a:blip r:embed="rId190"/>
                    <a:stretch>
                      <a:fillRect/>
                    </a:stretch>
                  </pic:blipFill>
                  <pic:spPr>
                    <a:xfrm>
                      <a:off x="0" y="0"/>
                      <a:ext cx="4610100" cy="3073400"/>
                    </a:xfrm>
                    <a:prstGeom prst="rect">
                      <a:avLst/>
                    </a:prstGeom>
                  </pic:spPr>
                </pic:pic>
              </a:graphicData>
            </a:graphic>
          </wp:inline>
        </w:drawing>
      </w:r>
    </w:p>
    <w:p w14:paraId="0D8C3F74" w14:textId="352BD66E"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Funnel plot of eligible patients (unadjusted)</w:t>
      </w:r>
    </w:p>
    <w:p w14:paraId="586B0594" w14:textId="356264C4" w:rsidR="00FA366A" w:rsidRPr="002C21B8" w:rsidRDefault="00A06B1A" w:rsidP="003374F4">
      <w:r w:rsidRPr="002C21B8">
        <w:rPr>
          <w:noProof/>
        </w:rPr>
        <w:drawing>
          <wp:inline distT="0" distB="0" distL="0" distR="0" wp14:anchorId="1AC094EA" wp14:editId="2087E5C1">
            <wp:extent cx="4546600" cy="3086100"/>
            <wp:effectExtent l="0" t="0" r="0" b="0"/>
            <wp:docPr id="153664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44786" name=""/>
                    <pic:cNvPicPr/>
                  </pic:nvPicPr>
                  <pic:blipFill>
                    <a:blip r:embed="rId191"/>
                    <a:stretch>
                      <a:fillRect/>
                    </a:stretch>
                  </pic:blipFill>
                  <pic:spPr>
                    <a:xfrm>
                      <a:off x="0" y="0"/>
                      <a:ext cx="4546600" cy="3086100"/>
                    </a:xfrm>
                    <a:prstGeom prst="rect">
                      <a:avLst/>
                    </a:prstGeom>
                  </pic:spPr>
                </pic:pic>
              </a:graphicData>
            </a:graphic>
          </wp:inline>
        </w:drawing>
      </w:r>
    </w:p>
    <w:p w14:paraId="687E7A1A" w14:textId="77777777" w:rsidR="00A06B1A" w:rsidRPr="002C21B8" w:rsidRDefault="00A06B1A">
      <w:pPr>
        <w:spacing w:after="0" w:line="240" w:lineRule="auto"/>
        <w:jc w:val="left"/>
        <w:rPr>
          <w:i/>
          <w:iCs/>
          <w:color w:val="7B7B7B" w:themeColor="accent3" w:themeShade="BF"/>
          <w:sz w:val="18"/>
          <w:szCs w:val="18"/>
        </w:rPr>
      </w:pPr>
      <w:r w:rsidRPr="002C21B8">
        <w:br w:type="page"/>
      </w:r>
    </w:p>
    <w:p w14:paraId="1B402430" w14:textId="77777777" w:rsidR="00FA366A" w:rsidRPr="002C21B8" w:rsidRDefault="00FA366A"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 xml:space="preserve">Relationship </w:t>
      </w:r>
      <w:r w:rsidR="00F40CDC" w:rsidRPr="002C21B8">
        <w:rPr>
          <w:b/>
          <w:bCs/>
          <w:i w:val="0"/>
          <w:iCs w:val="0"/>
          <w:noProof w:val="0"/>
          <w:color w:val="000000" w:themeColor="text1"/>
          <w:sz w:val="24"/>
          <w:szCs w:val="24"/>
        </w:rPr>
        <w:t>b</w:t>
      </w:r>
      <w:r w:rsidRPr="002C21B8">
        <w:rPr>
          <w:b/>
          <w:bCs/>
          <w:i w:val="0"/>
          <w:iCs w:val="0"/>
          <w:noProof w:val="0"/>
          <w:color w:val="000000" w:themeColor="text1"/>
          <w:sz w:val="24"/>
          <w:szCs w:val="24"/>
        </w:rPr>
        <w:t xml:space="preserve">etween </w:t>
      </w:r>
      <w:r w:rsidR="00F40CDC" w:rsidRPr="002C21B8">
        <w:rPr>
          <w:b/>
          <w:bCs/>
          <w:i w:val="0"/>
          <w:iCs w:val="0"/>
          <w:noProof w:val="0"/>
          <w:color w:val="000000" w:themeColor="text1"/>
          <w:sz w:val="24"/>
          <w:szCs w:val="24"/>
        </w:rPr>
        <w:t>i</w:t>
      </w:r>
      <w:r w:rsidRPr="002C21B8">
        <w:rPr>
          <w:b/>
          <w:bCs/>
          <w:i w:val="0"/>
          <w:iCs w:val="0"/>
          <w:noProof w:val="0"/>
          <w:color w:val="000000" w:themeColor="text1"/>
          <w:sz w:val="24"/>
          <w:szCs w:val="24"/>
        </w:rPr>
        <w:t xml:space="preserve">ndirectly </w:t>
      </w:r>
      <w:r w:rsidR="00F40CDC" w:rsidRPr="002C21B8">
        <w:rPr>
          <w:b/>
          <w:bCs/>
          <w:i w:val="0"/>
          <w:iCs w:val="0"/>
          <w:noProof w:val="0"/>
          <w:color w:val="000000" w:themeColor="text1"/>
          <w:sz w:val="24"/>
          <w:szCs w:val="24"/>
        </w:rPr>
        <w:t>s</w:t>
      </w:r>
      <w:r w:rsidRPr="002C21B8">
        <w:rPr>
          <w:b/>
          <w:bCs/>
          <w:i w:val="0"/>
          <w:iCs w:val="0"/>
          <w:noProof w:val="0"/>
          <w:color w:val="000000" w:themeColor="text1"/>
          <w:sz w:val="24"/>
          <w:szCs w:val="24"/>
        </w:rPr>
        <w:t xml:space="preserve">tandardised </w:t>
      </w:r>
      <w:r w:rsidR="00F40CDC" w:rsidRPr="002C21B8">
        <w:rPr>
          <w:b/>
          <w:bCs/>
          <w:i w:val="0"/>
          <w:iCs w:val="0"/>
          <w:noProof w:val="0"/>
          <w:color w:val="000000" w:themeColor="text1"/>
          <w:sz w:val="24"/>
          <w:szCs w:val="24"/>
        </w:rPr>
        <w:t>e</w:t>
      </w:r>
      <w:r w:rsidRPr="002C21B8">
        <w:rPr>
          <w:b/>
          <w:bCs/>
          <w:i w:val="0"/>
          <w:iCs w:val="0"/>
          <w:noProof w:val="0"/>
          <w:color w:val="000000" w:themeColor="text1"/>
          <w:sz w:val="24"/>
          <w:szCs w:val="24"/>
        </w:rPr>
        <w:t xml:space="preserve">ligibility and </w:t>
      </w:r>
      <w:r w:rsidR="00F40CDC" w:rsidRPr="002C21B8">
        <w:rPr>
          <w:b/>
          <w:bCs/>
          <w:i w:val="0"/>
          <w:iCs w:val="0"/>
          <w:noProof w:val="0"/>
          <w:color w:val="000000" w:themeColor="text1"/>
          <w:sz w:val="24"/>
          <w:szCs w:val="24"/>
        </w:rPr>
        <w:t>i</w:t>
      </w:r>
      <w:r w:rsidRPr="002C21B8">
        <w:rPr>
          <w:b/>
          <w:bCs/>
          <w:i w:val="0"/>
          <w:iCs w:val="0"/>
          <w:noProof w:val="0"/>
          <w:color w:val="000000" w:themeColor="text1"/>
          <w:sz w:val="24"/>
          <w:szCs w:val="24"/>
        </w:rPr>
        <w:t xml:space="preserve">nitiation </w:t>
      </w:r>
      <w:r w:rsidR="00F40CDC" w:rsidRPr="002C21B8">
        <w:rPr>
          <w:b/>
          <w:bCs/>
          <w:i w:val="0"/>
          <w:iCs w:val="0"/>
          <w:noProof w:val="0"/>
          <w:color w:val="000000" w:themeColor="text1"/>
          <w:sz w:val="24"/>
          <w:szCs w:val="24"/>
        </w:rPr>
        <w:t>r</w:t>
      </w:r>
      <w:r w:rsidRPr="002C21B8">
        <w:rPr>
          <w:b/>
          <w:bCs/>
          <w:i w:val="0"/>
          <w:iCs w:val="0"/>
          <w:noProof w:val="0"/>
          <w:color w:val="000000" w:themeColor="text1"/>
          <w:sz w:val="24"/>
          <w:szCs w:val="24"/>
        </w:rPr>
        <w:t>atios</w:t>
      </w:r>
    </w:p>
    <w:p w14:paraId="00ECFDCA" w14:textId="77777777" w:rsidR="007A02EF" w:rsidRPr="002C21B8" w:rsidRDefault="007A02EF" w:rsidP="007A02EF"/>
    <w:p w14:paraId="2F4BB9C4" w14:textId="1ED0D13A" w:rsidR="007A02EF" w:rsidRPr="002C21B8" w:rsidRDefault="007A02EF" w:rsidP="007A02EF">
      <w:pPr>
        <w:sectPr w:rsidR="007A02EF" w:rsidRPr="002C21B8" w:rsidSect="0009672F">
          <w:headerReference w:type="default" r:id="rId192"/>
          <w:type w:val="continuous"/>
          <w:pgSz w:w="11906" w:h="16838"/>
          <w:pgMar w:top="1440" w:right="1440" w:bottom="1440" w:left="1440" w:header="708" w:footer="708" w:gutter="0"/>
          <w:cols w:space="708"/>
          <w:docGrid w:linePitch="360"/>
        </w:sectPr>
      </w:pPr>
      <w:r w:rsidRPr="002C21B8">
        <w:rPr>
          <w:noProof/>
        </w:rPr>
        <w:drawing>
          <wp:inline distT="0" distB="0" distL="0" distR="0" wp14:anchorId="4BF7634E" wp14:editId="6CA98661">
            <wp:extent cx="4864100" cy="4597400"/>
            <wp:effectExtent l="0" t="0" r="0" b="0"/>
            <wp:docPr id="131491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18044" name=""/>
                    <pic:cNvPicPr/>
                  </pic:nvPicPr>
                  <pic:blipFill>
                    <a:blip r:embed="rId193"/>
                    <a:stretch>
                      <a:fillRect/>
                    </a:stretch>
                  </pic:blipFill>
                  <pic:spPr>
                    <a:xfrm>
                      <a:off x="0" y="0"/>
                      <a:ext cx="4864100" cy="4597400"/>
                    </a:xfrm>
                    <a:prstGeom prst="rect">
                      <a:avLst/>
                    </a:prstGeom>
                  </pic:spPr>
                </pic:pic>
              </a:graphicData>
            </a:graphic>
          </wp:inline>
        </w:drawing>
      </w:r>
    </w:p>
    <w:p w14:paraId="575C7508" w14:textId="77777777" w:rsidR="00344F3B" w:rsidRPr="002C21B8" w:rsidRDefault="00344F3B" w:rsidP="001C4095">
      <w:pPr>
        <w:pStyle w:val="Heading3"/>
        <w:numPr>
          <w:ilvl w:val="0"/>
          <w:numId w:val="0"/>
        </w:numPr>
        <w:spacing w:after="0"/>
      </w:pPr>
      <w:bookmarkStart w:id="455" w:name="_Appendix_7._Additional"/>
      <w:bookmarkStart w:id="456" w:name="_Worked_example_calculations"/>
      <w:bookmarkEnd w:id="455"/>
      <w:bookmarkEnd w:id="456"/>
      <w:r w:rsidRPr="002C21B8">
        <w:t>Worked example calculations</w:t>
      </w:r>
    </w:p>
    <w:p w14:paraId="11028BE0" w14:textId="77777777"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Estimated national impact of initiating tolvaptan in ineligible people with ADPKD</w:t>
      </w:r>
    </w:p>
    <w:tbl>
      <w:tblPr>
        <w:tblStyle w:val="TableGrid"/>
        <w:tblW w:w="1389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342"/>
        <w:gridCol w:w="1510"/>
        <w:gridCol w:w="1510"/>
        <w:gridCol w:w="1510"/>
        <w:gridCol w:w="1510"/>
        <w:gridCol w:w="1510"/>
      </w:tblGrid>
      <w:tr w:rsidR="00344F3B" w:rsidRPr="002C21B8" w14:paraId="1FF06344" w14:textId="77777777" w:rsidTr="00555471">
        <w:tc>
          <w:tcPr>
            <w:tcW w:w="6342" w:type="dxa"/>
            <w:tcBorders>
              <w:top w:val="nil"/>
              <w:left w:val="nil"/>
            </w:tcBorders>
          </w:tcPr>
          <w:p w14:paraId="29BCCD4B" w14:textId="77777777" w:rsidR="00344F3B" w:rsidRPr="002C21B8" w:rsidRDefault="00344F3B" w:rsidP="001C4095">
            <w:pPr>
              <w:spacing w:afterLines="60" w:after="144" w:line="240" w:lineRule="auto"/>
              <w:rPr>
                <w:b/>
                <w:bCs/>
                <w:sz w:val="18"/>
                <w:szCs w:val="18"/>
              </w:rPr>
            </w:pPr>
          </w:p>
        </w:tc>
        <w:tc>
          <w:tcPr>
            <w:tcW w:w="7550" w:type="dxa"/>
            <w:gridSpan w:val="5"/>
          </w:tcPr>
          <w:p w14:paraId="4B1C8392" w14:textId="77777777" w:rsidR="00344F3B" w:rsidRPr="002C21B8" w:rsidRDefault="00344F3B" w:rsidP="001C4095">
            <w:pPr>
              <w:spacing w:afterLines="60" w:after="144" w:line="240" w:lineRule="auto"/>
              <w:rPr>
                <w:b/>
                <w:bCs/>
                <w:sz w:val="18"/>
                <w:szCs w:val="18"/>
              </w:rPr>
            </w:pPr>
            <w:r w:rsidRPr="002C21B8">
              <w:rPr>
                <w:b/>
                <w:bCs/>
                <w:sz w:val="18"/>
                <w:szCs w:val="18"/>
              </w:rPr>
              <w:t>Medication Discount Scenarios</w:t>
            </w:r>
          </w:p>
        </w:tc>
      </w:tr>
      <w:tr w:rsidR="00344F3B" w:rsidRPr="002C21B8" w14:paraId="21A00A06" w14:textId="77777777" w:rsidTr="00555471">
        <w:tc>
          <w:tcPr>
            <w:tcW w:w="6342" w:type="dxa"/>
          </w:tcPr>
          <w:p w14:paraId="641CD868" w14:textId="77777777" w:rsidR="00344F3B" w:rsidRPr="002C21B8" w:rsidRDefault="00344F3B" w:rsidP="001C4095">
            <w:pPr>
              <w:spacing w:afterLines="60" w:after="144" w:line="240" w:lineRule="auto"/>
              <w:rPr>
                <w:b/>
                <w:bCs/>
                <w:sz w:val="18"/>
                <w:szCs w:val="18"/>
              </w:rPr>
            </w:pPr>
            <w:r w:rsidRPr="002C21B8">
              <w:rPr>
                <w:b/>
                <w:bCs/>
                <w:sz w:val="18"/>
                <w:szCs w:val="18"/>
              </w:rPr>
              <w:t>Parameter</w:t>
            </w:r>
          </w:p>
        </w:tc>
        <w:tc>
          <w:tcPr>
            <w:tcW w:w="1510" w:type="dxa"/>
          </w:tcPr>
          <w:p w14:paraId="41A6EA2B" w14:textId="77777777" w:rsidR="00344F3B" w:rsidRPr="002C21B8" w:rsidRDefault="00344F3B" w:rsidP="001C4095">
            <w:pPr>
              <w:spacing w:afterLines="60" w:after="144" w:line="240" w:lineRule="auto"/>
              <w:rPr>
                <w:b/>
                <w:bCs/>
                <w:sz w:val="18"/>
                <w:szCs w:val="18"/>
              </w:rPr>
            </w:pPr>
            <w:r w:rsidRPr="002C21B8">
              <w:rPr>
                <w:b/>
                <w:bCs/>
                <w:sz w:val="18"/>
                <w:szCs w:val="18"/>
              </w:rPr>
              <w:t>0% discount</w:t>
            </w:r>
          </w:p>
        </w:tc>
        <w:tc>
          <w:tcPr>
            <w:tcW w:w="1510" w:type="dxa"/>
          </w:tcPr>
          <w:p w14:paraId="3B724C09" w14:textId="77777777" w:rsidR="00344F3B" w:rsidRPr="002C21B8" w:rsidRDefault="00344F3B" w:rsidP="001C4095">
            <w:pPr>
              <w:spacing w:afterLines="60" w:after="144" w:line="240" w:lineRule="auto"/>
              <w:rPr>
                <w:b/>
                <w:bCs/>
                <w:sz w:val="18"/>
                <w:szCs w:val="18"/>
              </w:rPr>
            </w:pPr>
            <w:r w:rsidRPr="002C21B8">
              <w:rPr>
                <w:b/>
                <w:bCs/>
                <w:sz w:val="18"/>
                <w:szCs w:val="18"/>
              </w:rPr>
              <w:t>23% discount</w:t>
            </w:r>
          </w:p>
        </w:tc>
        <w:tc>
          <w:tcPr>
            <w:tcW w:w="1510" w:type="dxa"/>
          </w:tcPr>
          <w:p w14:paraId="2ADBDBFF" w14:textId="77777777" w:rsidR="00344F3B" w:rsidRPr="002C21B8" w:rsidRDefault="00344F3B" w:rsidP="001C4095">
            <w:pPr>
              <w:spacing w:afterLines="60" w:after="144" w:line="240" w:lineRule="auto"/>
              <w:rPr>
                <w:b/>
                <w:bCs/>
                <w:sz w:val="18"/>
                <w:szCs w:val="18"/>
              </w:rPr>
            </w:pPr>
            <w:r w:rsidRPr="002C21B8">
              <w:rPr>
                <w:b/>
                <w:bCs/>
                <w:sz w:val="18"/>
                <w:szCs w:val="18"/>
              </w:rPr>
              <w:t>60% discount</w:t>
            </w:r>
          </w:p>
        </w:tc>
        <w:tc>
          <w:tcPr>
            <w:tcW w:w="1510" w:type="dxa"/>
          </w:tcPr>
          <w:p w14:paraId="4F93A099" w14:textId="77777777" w:rsidR="00344F3B" w:rsidRPr="002C21B8" w:rsidRDefault="00344F3B" w:rsidP="001C4095">
            <w:pPr>
              <w:spacing w:afterLines="60" w:after="144" w:line="240" w:lineRule="auto"/>
              <w:rPr>
                <w:b/>
                <w:bCs/>
                <w:sz w:val="18"/>
                <w:szCs w:val="18"/>
              </w:rPr>
            </w:pPr>
            <w:r w:rsidRPr="002C21B8">
              <w:rPr>
                <w:b/>
                <w:bCs/>
                <w:sz w:val="18"/>
                <w:szCs w:val="18"/>
              </w:rPr>
              <w:t>70% discount</w:t>
            </w:r>
          </w:p>
        </w:tc>
        <w:tc>
          <w:tcPr>
            <w:tcW w:w="1510" w:type="dxa"/>
          </w:tcPr>
          <w:p w14:paraId="6D84FB0D" w14:textId="77777777" w:rsidR="00344F3B" w:rsidRPr="002C21B8" w:rsidRDefault="00344F3B" w:rsidP="001C4095">
            <w:pPr>
              <w:spacing w:afterLines="60" w:after="144" w:line="240" w:lineRule="auto"/>
              <w:rPr>
                <w:b/>
                <w:bCs/>
                <w:sz w:val="18"/>
                <w:szCs w:val="18"/>
              </w:rPr>
            </w:pPr>
            <w:r w:rsidRPr="002C21B8">
              <w:rPr>
                <w:b/>
                <w:bCs/>
                <w:sz w:val="18"/>
                <w:szCs w:val="18"/>
              </w:rPr>
              <w:t>90% discount</w:t>
            </w:r>
          </w:p>
        </w:tc>
      </w:tr>
      <w:tr w:rsidR="00344F3B" w:rsidRPr="002C21B8" w14:paraId="6CCEEE94" w14:textId="77777777" w:rsidTr="00555471">
        <w:tc>
          <w:tcPr>
            <w:tcW w:w="6342" w:type="dxa"/>
          </w:tcPr>
          <w:p w14:paraId="13AD5C07" w14:textId="77777777" w:rsidR="00344F3B" w:rsidRPr="002C21B8" w:rsidRDefault="00344F3B" w:rsidP="001C4095">
            <w:pPr>
              <w:spacing w:afterLines="60" w:after="144" w:line="240" w:lineRule="auto"/>
              <w:rPr>
                <w:sz w:val="18"/>
                <w:szCs w:val="18"/>
              </w:rPr>
            </w:pPr>
            <w:r w:rsidRPr="002C21B8">
              <w:rPr>
                <w:sz w:val="18"/>
                <w:szCs w:val="18"/>
              </w:rPr>
              <w:t>ADPKD patients in the UK (n)</w:t>
            </w:r>
          </w:p>
        </w:tc>
        <w:tc>
          <w:tcPr>
            <w:tcW w:w="1510" w:type="dxa"/>
          </w:tcPr>
          <w:p w14:paraId="7CB035D5" w14:textId="77777777" w:rsidR="00344F3B" w:rsidRPr="002C21B8" w:rsidRDefault="00344F3B" w:rsidP="001C4095">
            <w:pPr>
              <w:spacing w:afterLines="60" w:after="144" w:line="240" w:lineRule="auto"/>
              <w:rPr>
                <w:sz w:val="18"/>
                <w:szCs w:val="18"/>
              </w:rPr>
            </w:pPr>
            <w:r w:rsidRPr="002C21B8">
              <w:rPr>
                <w:sz w:val="18"/>
                <w:szCs w:val="18"/>
              </w:rPr>
              <w:t>30,000</w:t>
            </w:r>
          </w:p>
        </w:tc>
        <w:tc>
          <w:tcPr>
            <w:tcW w:w="1510" w:type="dxa"/>
          </w:tcPr>
          <w:p w14:paraId="0F0E1C8D" w14:textId="77777777" w:rsidR="00344F3B" w:rsidRPr="002C21B8" w:rsidRDefault="00344F3B" w:rsidP="001C4095">
            <w:pPr>
              <w:spacing w:afterLines="60" w:after="144" w:line="240" w:lineRule="auto"/>
              <w:rPr>
                <w:sz w:val="18"/>
                <w:szCs w:val="18"/>
              </w:rPr>
            </w:pPr>
            <w:r w:rsidRPr="002C21B8">
              <w:rPr>
                <w:sz w:val="18"/>
                <w:szCs w:val="18"/>
              </w:rPr>
              <w:t>30,000</w:t>
            </w:r>
          </w:p>
        </w:tc>
        <w:tc>
          <w:tcPr>
            <w:tcW w:w="1510" w:type="dxa"/>
          </w:tcPr>
          <w:p w14:paraId="2B69FD8E" w14:textId="77777777" w:rsidR="00344F3B" w:rsidRPr="002C21B8" w:rsidRDefault="00344F3B" w:rsidP="001C4095">
            <w:pPr>
              <w:spacing w:afterLines="60" w:after="144" w:line="240" w:lineRule="auto"/>
              <w:rPr>
                <w:sz w:val="18"/>
                <w:szCs w:val="18"/>
              </w:rPr>
            </w:pPr>
            <w:r w:rsidRPr="002C21B8">
              <w:rPr>
                <w:sz w:val="18"/>
                <w:szCs w:val="18"/>
              </w:rPr>
              <w:t>30,000</w:t>
            </w:r>
          </w:p>
        </w:tc>
        <w:tc>
          <w:tcPr>
            <w:tcW w:w="1510" w:type="dxa"/>
          </w:tcPr>
          <w:p w14:paraId="1C30EA22" w14:textId="77777777" w:rsidR="00344F3B" w:rsidRPr="002C21B8" w:rsidRDefault="00344F3B" w:rsidP="001C4095">
            <w:pPr>
              <w:spacing w:afterLines="60" w:after="144" w:line="240" w:lineRule="auto"/>
              <w:rPr>
                <w:sz w:val="18"/>
                <w:szCs w:val="18"/>
              </w:rPr>
            </w:pPr>
            <w:r w:rsidRPr="002C21B8">
              <w:rPr>
                <w:sz w:val="18"/>
                <w:szCs w:val="18"/>
              </w:rPr>
              <w:t>30,000</w:t>
            </w:r>
          </w:p>
        </w:tc>
        <w:tc>
          <w:tcPr>
            <w:tcW w:w="1510" w:type="dxa"/>
          </w:tcPr>
          <w:p w14:paraId="1B92E103" w14:textId="77777777" w:rsidR="00344F3B" w:rsidRPr="002C21B8" w:rsidRDefault="00344F3B" w:rsidP="001C4095">
            <w:pPr>
              <w:spacing w:afterLines="60" w:after="144" w:line="240" w:lineRule="auto"/>
              <w:rPr>
                <w:sz w:val="18"/>
                <w:szCs w:val="18"/>
              </w:rPr>
            </w:pPr>
            <w:r w:rsidRPr="002C21B8">
              <w:rPr>
                <w:sz w:val="18"/>
                <w:szCs w:val="18"/>
              </w:rPr>
              <w:t>30,000</w:t>
            </w:r>
          </w:p>
        </w:tc>
      </w:tr>
      <w:tr w:rsidR="00344F3B" w:rsidRPr="002C21B8" w14:paraId="030925E8" w14:textId="77777777" w:rsidTr="00555471">
        <w:tc>
          <w:tcPr>
            <w:tcW w:w="6342" w:type="dxa"/>
          </w:tcPr>
          <w:p w14:paraId="59A39056" w14:textId="77777777" w:rsidR="00344F3B" w:rsidRPr="002C21B8" w:rsidRDefault="00344F3B" w:rsidP="001C4095">
            <w:pPr>
              <w:spacing w:afterLines="60" w:after="144" w:line="240" w:lineRule="auto"/>
              <w:rPr>
                <w:sz w:val="18"/>
                <w:szCs w:val="18"/>
              </w:rPr>
            </w:pPr>
            <w:r w:rsidRPr="002C21B8">
              <w:rPr>
                <w:sz w:val="18"/>
                <w:szCs w:val="18"/>
              </w:rPr>
              <w:t>RaDaR ineligible patients initiated (n)</w:t>
            </w:r>
          </w:p>
        </w:tc>
        <w:tc>
          <w:tcPr>
            <w:tcW w:w="1510" w:type="dxa"/>
          </w:tcPr>
          <w:p w14:paraId="72E514B9" w14:textId="77777777" w:rsidR="00344F3B" w:rsidRPr="002C21B8" w:rsidRDefault="00344F3B" w:rsidP="001C4095">
            <w:pPr>
              <w:spacing w:afterLines="60" w:after="144" w:line="240" w:lineRule="auto"/>
              <w:rPr>
                <w:sz w:val="18"/>
                <w:szCs w:val="18"/>
              </w:rPr>
            </w:pPr>
            <w:r w:rsidRPr="002C21B8">
              <w:rPr>
                <w:sz w:val="18"/>
                <w:szCs w:val="18"/>
              </w:rPr>
              <w:t>103</w:t>
            </w:r>
          </w:p>
        </w:tc>
        <w:tc>
          <w:tcPr>
            <w:tcW w:w="1510" w:type="dxa"/>
          </w:tcPr>
          <w:p w14:paraId="5958E31C" w14:textId="77777777" w:rsidR="00344F3B" w:rsidRPr="002C21B8" w:rsidRDefault="00344F3B" w:rsidP="001C4095">
            <w:pPr>
              <w:spacing w:afterLines="60" w:after="144" w:line="240" w:lineRule="auto"/>
              <w:rPr>
                <w:sz w:val="18"/>
                <w:szCs w:val="18"/>
              </w:rPr>
            </w:pPr>
            <w:r w:rsidRPr="002C21B8">
              <w:rPr>
                <w:sz w:val="18"/>
                <w:szCs w:val="18"/>
              </w:rPr>
              <w:t>103</w:t>
            </w:r>
          </w:p>
        </w:tc>
        <w:tc>
          <w:tcPr>
            <w:tcW w:w="1510" w:type="dxa"/>
          </w:tcPr>
          <w:p w14:paraId="420D8436" w14:textId="77777777" w:rsidR="00344F3B" w:rsidRPr="002C21B8" w:rsidRDefault="00344F3B" w:rsidP="001C4095">
            <w:pPr>
              <w:spacing w:afterLines="60" w:after="144" w:line="240" w:lineRule="auto"/>
              <w:rPr>
                <w:sz w:val="18"/>
                <w:szCs w:val="18"/>
              </w:rPr>
            </w:pPr>
            <w:r w:rsidRPr="002C21B8">
              <w:rPr>
                <w:sz w:val="18"/>
                <w:szCs w:val="18"/>
              </w:rPr>
              <w:t>103</w:t>
            </w:r>
          </w:p>
        </w:tc>
        <w:tc>
          <w:tcPr>
            <w:tcW w:w="1510" w:type="dxa"/>
          </w:tcPr>
          <w:p w14:paraId="1B95D9B2" w14:textId="77777777" w:rsidR="00344F3B" w:rsidRPr="002C21B8" w:rsidRDefault="00344F3B" w:rsidP="001C4095">
            <w:pPr>
              <w:spacing w:afterLines="60" w:after="144" w:line="240" w:lineRule="auto"/>
              <w:rPr>
                <w:sz w:val="18"/>
                <w:szCs w:val="18"/>
              </w:rPr>
            </w:pPr>
            <w:r w:rsidRPr="002C21B8">
              <w:rPr>
                <w:sz w:val="18"/>
                <w:szCs w:val="18"/>
              </w:rPr>
              <w:t>103</w:t>
            </w:r>
          </w:p>
        </w:tc>
        <w:tc>
          <w:tcPr>
            <w:tcW w:w="1510" w:type="dxa"/>
          </w:tcPr>
          <w:p w14:paraId="5ECD3F7A" w14:textId="77777777" w:rsidR="00344F3B" w:rsidRPr="002C21B8" w:rsidRDefault="00344F3B" w:rsidP="001C4095">
            <w:pPr>
              <w:spacing w:afterLines="60" w:after="144" w:line="240" w:lineRule="auto"/>
              <w:rPr>
                <w:sz w:val="18"/>
                <w:szCs w:val="18"/>
              </w:rPr>
            </w:pPr>
            <w:r w:rsidRPr="002C21B8">
              <w:rPr>
                <w:sz w:val="18"/>
                <w:szCs w:val="18"/>
              </w:rPr>
              <w:t>103</w:t>
            </w:r>
          </w:p>
        </w:tc>
      </w:tr>
      <w:tr w:rsidR="00344F3B" w:rsidRPr="002C21B8" w14:paraId="1C69B673" w14:textId="77777777" w:rsidTr="00555471">
        <w:tc>
          <w:tcPr>
            <w:tcW w:w="6342" w:type="dxa"/>
          </w:tcPr>
          <w:p w14:paraId="10FFEF0E" w14:textId="77777777" w:rsidR="00344F3B" w:rsidRPr="002C21B8" w:rsidRDefault="00344F3B" w:rsidP="001C4095">
            <w:pPr>
              <w:spacing w:afterLines="60" w:after="144" w:line="240" w:lineRule="auto"/>
              <w:rPr>
                <w:sz w:val="18"/>
                <w:szCs w:val="18"/>
              </w:rPr>
            </w:pPr>
            <w:r w:rsidRPr="002C21B8">
              <w:rPr>
                <w:sz w:val="18"/>
                <w:szCs w:val="18"/>
              </w:rPr>
              <w:t>RaDaR total ADPKD patients</w:t>
            </w:r>
          </w:p>
        </w:tc>
        <w:tc>
          <w:tcPr>
            <w:tcW w:w="1510" w:type="dxa"/>
          </w:tcPr>
          <w:p w14:paraId="4582A14A" w14:textId="77777777" w:rsidR="00344F3B" w:rsidRPr="002C21B8" w:rsidRDefault="00344F3B" w:rsidP="001C4095">
            <w:pPr>
              <w:spacing w:afterLines="60" w:after="144" w:line="240" w:lineRule="auto"/>
              <w:rPr>
                <w:sz w:val="18"/>
                <w:szCs w:val="18"/>
              </w:rPr>
            </w:pPr>
            <w:r w:rsidRPr="002C21B8">
              <w:rPr>
                <w:sz w:val="18"/>
                <w:szCs w:val="18"/>
              </w:rPr>
              <w:t>3,609</w:t>
            </w:r>
          </w:p>
        </w:tc>
        <w:tc>
          <w:tcPr>
            <w:tcW w:w="1510" w:type="dxa"/>
          </w:tcPr>
          <w:p w14:paraId="3F725D03" w14:textId="77777777" w:rsidR="00344F3B" w:rsidRPr="002C21B8" w:rsidRDefault="00344F3B" w:rsidP="001C4095">
            <w:pPr>
              <w:spacing w:afterLines="60" w:after="144" w:line="240" w:lineRule="auto"/>
              <w:rPr>
                <w:sz w:val="18"/>
                <w:szCs w:val="18"/>
              </w:rPr>
            </w:pPr>
            <w:r w:rsidRPr="002C21B8">
              <w:rPr>
                <w:sz w:val="18"/>
                <w:szCs w:val="18"/>
              </w:rPr>
              <w:t>3,609</w:t>
            </w:r>
          </w:p>
        </w:tc>
        <w:tc>
          <w:tcPr>
            <w:tcW w:w="1510" w:type="dxa"/>
          </w:tcPr>
          <w:p w14:paraId="216720B9" w14:textId="77777777" w:rsidR="00344F3B" w:rsidRPr="002C21B8" w:rsidRDefault="00344F3B" w:rsidP="001C4095">
            <w:pPr>
              <w:spacing w:afterLines="60" w:after="144" w:line="240" w:lineRule="auto"/>
              <w:rPr>
                <w:sz w:val="18"/>
                <w:szCs w:val="18"/>
              </w:rPr>
            </w:pPr>
            <w:r w:rsidRPr="002C21B8">
              <w:rPr>
                <w:sz w:val="18"/>
                <w:szCs w:val="18"/>
              </w:rPr>
              <w:t>3,609</w:t>
            </w:r>
          </w:p>
        </w:tc>
        <w:tc>
          <w:tcPr>
            <w:tcW w:w="1510" w:type="dxa"/>
          </w:tcPr>
          <w:p w14:paraId="0C5F0A83" w14:textId="77777777" w:rsidR="00344F3B" w:rsidRPr="002C21B8" w:rsidRDefault="00344F3B" w:rsidP="001C4095">
            <w:pPr>
              <w:spacing w:afterLines="60" w:after="144" w:line="240" w:lineRule="auto"/>
              <w:rPr>
                <w:sz w:val="18"/>
                <w:szCs w:val="18"/>
              </w:rPr>
            </w:pPr>
            <w:r w:rsidRPr="002C21B8">
              <w:rPr>
                <w:sz w:val="18"/>
                <w:szCs w:val="18"/>
              </w:rPr>
              <w:t>3,609</w:t>
            </w:r>
          </w:p>
        </w:tc>
        <w:tc>
          <w:tcPr>
            <w:tcW w:w="1510" w:type="dxa"/>
          </w:tcPr>
          <w:p w14:paraId="35230AFF" w14:textId="77777777" w:rsidR="00344F3B" w:rsidRPr="002C21B8" w:rsidRDefault="00344F3B" w:rsidP="001C4095">
            <w:pPr>
              <w:spacing w:afterLines="60" w:after="144" w:line="240" w:lineRule="auto"/>
              <w:rPr>
                <w:sz w:val="18"/>
                <w:szCs w:val="18"/>
              </w:rPr>
            </w:pPr>
            <w:r w:rsidRPr="002C21B8">
              <w:rPr>
                <w:sz w:val="18"/>
                <w:szCs w:val="18"/>
              </w:rPr>
              <w:t>3,609</w:t>
            </w:r>
          </w:p>
        </w:tc>
      </w:tr>
      <w:tr w:rsidR="00344F3B" w:rsidRPr="002C21B8" w14:paraId="1DEE4457" w14:textId="77777777" w:rsidTr="00555471">
        <w:tc>
          <w:tcPr>
            <w:tcW w:w="6342" w:type="dxa"/>
          </w:tcPr>
          <w:p w14:paraId="1E891D24" w14:textId="77777777" w:rsidR="00344F3B" w:rsidRPr="002C21B8" w:rsidRDefault="00344F3B" w:rsidP="001C4095">
            <w:pPr>
              <w:spacing w:afterLines="60" w:after="144" w:line="240" w:lineRule="auto"/>
              <w:rPr>
                <w:sz w:val="18"/>
                <w:szCs w:val="18"/>
              </w:rPr>
            </w:pPr>
            <w:r w:rsidRPr="002C21B8">
              <w:rPr>
                <w:sz w:val="18"/>
                <w:szCs w:val="18"/>
              </w:rPr>
              <w:t>Proportion of eligible not initiated (%)</w:t>
            </w:r>
          </w:p>
        </w:tc>
        <w:tc>
          <w:tcPr>
            <w:tcW w:w="1510" w:type="dxa"/>
          </w:tcPr>
          <w:p w14:paraId="0D2FACDF" w14:textId="77777777" w:rsidR="00344F3B" w:rsidRPr="002C21B8" w:rsidRDefault="00344F3B" w:rsidP="001C4095">
            <w:pPr>
              <w:spacing w:afterLines="60" w:after="144" w:line="240" w:lineRule="auto"/>
              <w:rPr>
                <w:sz w:val="18"/>
                <w:szCs w:val="18"/>
              </w:rPr>
            </w:pPr>
            <w:r w:rsidRPr="002C21B8">
              <w:rPr>
                <w:sz w:val="18"/>
                <w:szCs w:val="18"/>
              </w:rPr>
              <w:t>2.85</w:t>
            </w:r>
          </w:p>
        </w:tc>
        <w:tc>
          <w:tcPr>
            <w:tcW w:w="1510" w:type="dxa"/>
          </w:tcPr>
          <w:p w14:paraId="7907A2BA" w14:textId="77777777" w:rsidR="00344F3B" w:rsidRPr="002C21B8" w:rsidRDefault="00344F3B" w:rsidP="001C4095">
            <w:pPr>
              <w:spacing w:afterLines="60" w:after="144" w:line="240" w:lineRule="auto"/>
              <w:rPr>
                <w:sz w:val="18"/>
                <w:szCs w:val="18"/>
              </w:rPr>
            </w:pPr>
            <w:r w:rsidRPr="002C21B8">
              <w:rPr>
                <w:sz w:val="18"/>
                <w:szCs w:val="18"/>
              </w:rPr>
              <w:t>2.85</w:t>
            </w:r>
          </w:p>
        </w:tc>
        <w:tc>
          <w:tcPr>
            <w:tcW w:w="1510" w:type="dxa"/>
          </w:tcPr>
          <w:p w14:paraId="34FAB0DB" w14:textId="77777777" w:rsidR="00344F3B" w:rsidRPr="002C21B8" w:rsidRDefault="00344F3B" w:rsidP="001C4095">
            <w:pPr>
              <w:spacing w:afterLines="60" w:after="144" w:line="240" w:lineRule="auto"/>
              <w:rPr>
                <w:sz w:val="18"/>
                <w:szCs w:val="18"/>
              </w:rPr>
            </w:pPr>
            <w:r w:rsidRPr="002C21B8">
              <w:rPr>
                <w:sz w:val="18"/>
                <w:szCs w:val="18"/>
              </w:rPr>
              <w:t>2.85</w:t>
            </w:r>
          </w:p>
        </w:tc>
        <w:tc>
          <w:tcPr>
            <w:tcW w:w="1510" w:type="dxa"/>
          </w:tcPr>
          <w:p w14:paraId="105FA1FF" w14:textId="77777777" w:rsidR="00344F3B" w:rsidRPr="002C21B8" w:rsidRDefault="00344F3B" w:rsidP="001C4095">
            <w:pPr>
              <w:spacing w:afterLines="60" w:after="144" w:line="240" w:lineRule="auto"/>
              <w:rPr>
                <w:sz w:val="18"/>
                <w:szCs w:val="18"/>
              </w:rPr>
            </w:pPr>
            <w:r w:rsidRPr="002C21B8">
              <w:rPr>
                <w:sz w:val="18"/>
                <w:szCs w:val="18"/>
              </w:rPr>
              <w:t>2.85</w:t>
            </w:r>
          </w:p>
        </w:tc>
        <w:tc>
          <w:tcPr>
            <w:tcW w:w="1510" w:type="dxa"/>
          </w:tcPr>
          <w:p w14:paraId="3FD65E59" w14:textId="77777777" w:rsidR="00344F3B" w:rsidRPr="002C21B8" w:rsidRDefault="00344F3B" w:rsidP="001C4095">
            <w:pPr>
              <w:spacing w:afterLines="60" w:after="144" w:line="240" w:lineRule="auto"/>
              <w:rPr>
                <w:sz w:val="18"/>
                <w:szCs w:val="18"/>
              </w:rPr>
            </w:pPr>
            <w:r w:rsidRPr="002C21B8">
              <w:rPr>
                <w:sz w:val="18"/>
                <w:szCs w:val="18"/>
              </w:rPr>
              <w:t>2.85</w:t>
            </w:r>
          </w:p>
        </w:tc>
      </w:tr>
      <w:tr w:rsidR="00344F3B" w:rsidRPr="002C21B8" w14:paraId="34820F51" w14:textId="77777777" w:rsidTr="00555471">
        <w:tc>
          <w:tcPr>
            <w:tcW w:w="6342" w:type="dxa"/>
          </w:tcPr>
          <w:p w14:paraId="58C0866F" w14:textId="77777777" w:rsidR="00344F3B" w:rsidRPr="002C21B8" w:rsidRDefault="00344F3B" w:rsidP="001C4095">
            <w:pPr>
              <w:spacing w:afterLines="60" w:after="144" w:line="240" w:lineRule="auto"/>
              <w:rPr>
                <w:sz w:val="18"/>
                <w:szCs w:val="18"/>
              </w:rPr>
            </w:pPr>
            <w:r w:rsidRPr="002C21B8">
              <w:rPr>
                <w:sz w:val="18"/>
                <w:szCs w:val="18"/>
              </w:rPr>
              <w:t>Estimated eligible not initiated in UK (%)</w:t>
            </w:r>
          </w:p>
        </w:tc>
        <w:tc>
          <w:tcPr>
            <w:tcW w:w="1510" w:type="dxa"/>
          </w:tcPr>
          <w:p w14:paraId="6CF23F71" w14:textId="77777777" w:rsidR="00344F3B" w:rsidRPr="002C21B8" w:rsidRDefault="00344F3B" w:rsidP="001C4095">
            <w:pPr>
              <w:spacing w:afterLines="60" w:after="144" w:line="240" w:lineRule="auto"/>
              <w:rPr>
                <w:sz w:val="18"/>
                <w:szCs w:val="18"/>
              </w:rPr>
            </w:pPr>
            <w:r w:rsidRPr="002C21B8">
              <w:rPr>
                <w:sz w:val="18"/>
                <w:szCs w:val="18"/>
              </w:rPr>
              <w:t>856</w:t>
            </w:r>
          </w:p>
        </w:tc>
        <w:tc>
          <w:tcPr>
            <w:tcW w:w="1510" w:type="dxa"/>
          </w:tcPr>
          <w:p w14:paraId="2478BA34" w14:textId="77777777" w:rsidR="00344F3B" w:rsidRPr="002C21B8" w:rsidRDefault="00344F3B" w:rsidP="001C4095">
            <w:pPr>
              <w:spacing w:afterLines="60" w:after="144" w:line="240" w:lineRule="auto"/>
              <w:rPr>
                <w:sz w:val="18"/>
                <w:szCs w:val="18"/>
              </w:rPr>
            </w:pPr>
            <w:r w:rsidRPr="002C21B8">
              <w:rPr>
                <w:sz w:val="18"/>
                <w:szCs w:val="18"/>
              </w:rPr>
              <w:t>856</w:t>
            </w:r>
          </w:p>
        </w:tc>
        <w:tc>
          <w:tcPr>
            <w:tcW w:w="1510" w:type="dxa"/>
          </w:tcPr>
          <w:p w14:paraId="468C22CC" w14:textId="77777777" w:rsidR="00344F3B" w:rsidRPr="002C21B8" w:rsidRDefault="00344F3B" w:rsidP="001C4095">
            <w:pPr>
              <w:spacing w:afterLines="60" w:after="144" w:line="240" w:lineRule="auto"/>
              <w:rPr>
                <w:sz w:val="18"/>
                <w:szCs w:val="18"/>
              </w:rPr>
            </w:pPr>
            <w:r w:rsidRPr="002C21B8">
              <w:rPr>
                <w:sz w:val="18"/>
                <w:szCs w:val="18"/>
              </w:rPr>
              <w:t>856</w:t>
            </w:r>
          </w:p>
        </w:tc>
        <w:tc>
          <w:tcPr>
            <w:tcW w:w="1510" w:type="dxa"/>
          </w:tcPr>
          <w:p w14:paraId="091FD803" w14:textId="77777777" w:rsidR="00344F3B" w:rsidRPr="002C21B8" w:rsidRDefault="00344F3B" w:rsidP="001C4095">
            <w:pPr>
              <w:spacing w:afterLines="60" w:after="144" w:line="240" w:lineRule="auto"/>
              <w:rPr>
                <w:sz w:val="18"/>
                <w:szCs w:val="18"/>
              </w:rPr>
            </w:pPr>
            <w:r w:rsidRPr="002C21B8">
              <w:rPr>
                <w:sz w:val="18"/>
                <w:szCs w:val="18"/>
              </w:rPr>
              <w:t>856</w:t>
            </w:r>
          </w:p>
        </w:tc>
        <w:tc>
          <w:tcPr>
            <w:tcW w:w="1510" w:type="dxa"/>
          </w:tcPr>
          <w:p w14:paraId="25AE8DC9" w14:textId="77777777" w:rsidR="00344F3B" w:rsidRPr="002C21B8" w:rsidRDefault="00344F3B" w:rsidP="001C4095">
            <w:pPr>
              <w:spacing w:afterLines="60" w:after="144" w:line="240" w:lineRule="auto"/>
              <w:rPr>
                <w:sz w:val="18"/>
                <w:szCs w:val="18"/>
              </w:rPr>
            </w:pPr>
            <w:r w:rsidRPr="002C21B8">
              <w:rPr>
                <w:sz w:val="18"/>
                <w:szCs w:val="18"/>
              </w:rPr>
              <w:t>856</w:t>
            </w:r>
          </w:p>
        </w:tc>
      </w:tr>
      <w:tr w:rsidR="00344F3B" w:rsidRPr="002C21B8" w14:paraId="54C6C2E7" w14:textId="77777777" w:rsidTr="00555471">
        <w:tc>
          <w:tcPr>
            <w:tcW w:w="6342" w:type="dxa"/>
          </w:tcPr>
          <w:p w14:paraId="7C927236" w14:textId="77777777" w:rsidR="00344F3B" w:rsidRPr="002C21B8" w:rsidRDefault="00344F3B" w:rsidP="001C4095">
            <w:pPr>
              <w:spacing w:afterLines="60" w:after="144" w:line="240" w:lineRule="auto"/>
              <w:rPr>
                <w:sz w:val="18"/>
                <w:szCs w:val="18"/>
              </w:rPr>
            </w:pPr>
            <w:r w:rsidRPr="002C21B8">
              <w:rPr>
                <w:sz w:val="18"/>
                <w:szCs w:val="18"/>
              </w:rPr>
              <w:t>Median duration tolvaptan (y)</w:t>
            </w:r>
          </w:p>
        </w:tc>
        <w:tc>
          <w:tcPr>
            <w:tcW w:w="1510" w:type="dxa"/>
          </w:tcPr>
          <w:p w14:paraId="19346F04" w14:textId="77777777" w:rsidR="00344F3B" w:rsidRPr="002C21B8" w:rsidRDefault="00344F3B" w:rsidP="001C4095">
            <w:pPr>
              <w:spacing w:afterLines="60" w:after="144" w:line="240" w:lineRule="auto"/>
              <w:rPr>
                <w:sz w:val="18"/>
                <w:szCs w:val="18"/>
              </w:rPr>
            </w:pPr>
            <w:r w:rsidRPr="002C21B8">
              <w:rPr>
                <w:sz w:val="18"/>
                <w:szCs w:val="18"/>
              </w:rPr>
              <w:t>2.74</w:t>
            </w:r>
          </w:p>
        </w:tc>
        <w:tc>
          <w:tcPr>
            <w:tcW w:w="1510" w:type="dxa"/>
          </w:tcPr>
          <w:p w14:paraId="0B93A76D" w14:textId="77777777" w:rsidR="00344F3B" w:rsidRPr="002C21B8" w:rsidRDefault="00344F3B" w:rsidP="001C4095">
            <w:pPr>
              <w:spacing w:afterLines="60" w:after="144" w:line="240" w:lineRule="auto"/>
              <w:rPr>
                <w:sz w:val="18"/>
                <w:szCs w:val="18"/>
              </w:rPr>
            </w:pPr>
            <w:r w:rsidRPr="002C21B8">
              <w:rPr>
                <w:sz w:val="18"/>
                <w:szCs w:val="18"/>
              </w:rPr>
              <w:t>2.74</w:t>
            </w:r>
          </w:p>
        </w:tc>
        <w:tc>
          <w:tcPr>
            <w:tcW w:w="1510" w:type="dxa"/>
          </w:tcPr>
          <w:p w14:paraId="3A8AB233" w14:textId="77777777" w:rsidR="00344F3B" w:rsidRPr="002C21B8" w:rsidRDefault="00344F3B" w:rsidP="001C4095">
            <w:pPr>
              <w:spacing w:afterLines="60" w:after="144" w:line="240" w:lineRule="auto"/>
              <w:rPr>
                <w:sz w:val="18"/>
                <w:szCs w:val="18"/>
              </w:rPr>
            </w:pPr>
            <w:r w:rsidRPr="002C21B8">
              <w:rPr>
                <w:sz w:val="18"/>
                <w:szCs w:val="18"/>
              </w:rPr>
              <w:t>2.74</w:t>
            </w:r>
          </w:p>
        </w:tc>
        <w:tc>
          <w:tcPr>
            <w:tcW w:w="1510" w:type="dxa"/>
          </w:tcPr>
          <w:p w14:paraId="75E331CE" w14:textId="77777777" w:rsidR="00344F3B" w:rsidRPr="002C21B8" w:rsidRDefault="00344F3B" w:rsidP="001C4095">
            <w:pPr>
              <w:spacing w:afterLines="60" w:after="144" w:line="240" w:lineRule="auto"/>
              <w:rPr>
                <w:sz w:val="18"/>
                <w:szCs w:val="18"/>
              </w:rPr>
            </w:pPr>
            <w:r w:rsidRPr="002C21B8">
              <w:rPr>
                <w:sz w:val="18"/>
                <w:szCs w:val="18"/>
              </w:rPr>
              <w:t>2.74</w:t>
            </w:r>
          </w:p>
        </w:tc>
        <w:tc>
          <w:tcPr>
            <w:tcW w:w="1510" w:type="dxa"/>
          </w:tcPr>
          <w:p w14:paraId="27FA9F87" w14:textId="77777777" w:rsidR="00344F3B" w:rsidRPr="002C21B8" w:rsidRDefault="00344F3B" w:rsidP="001C4095">
            <w:pPr>
              <w:spacing w:afterLines="60" w:after="144" w:line="240" w:lineRule="auto"/>
              <w:rPr>
                <w:sz w:val="18"/>
                <w:szCs w:val="18"/>
              </w:rPr>
            </w:pPr>
            <w:r w:rsidRPr="002C21B8">
              <w:rPr>
                <w:sz w:val="18"/>
                <w:szCs w:val="18"/>
              </w:rPr>
              <w:t>2.74</w:t>
            </w:r>
          </w:p>
        </w:tc>
      </w:tr>
      <w:tr w:rsidR="00344F3B" w:rsidRPr="002C21B8" w14:paraId="34B97E7A" w14:textId="77777777" w:rsidTr="00555471">
        <w:tc>
          <w:tcPr>
            <w:tcW w:w="6342" w:type="dxa"/>
          </w:tcPr>
          <w:p w14:paraId="682FEEFC" w14:textId="77777777" w:rsidR="00344F3B" w:rsidRPr="002C21B8" w:rsidRDefault="00344F3B" w:rsidP="001C4095">
            <w:pPr>
              <w:spacing w:afterLines="60" w:after="144" w:line="240" w:lineRule="auto"/>
              <w:rPr>
                <w:sz w:val="18"/>
                <w:szCs w:val="18"/>
              </w:rPr>
            </w:pPr>
            <w:r w:rsidRPr="002C21B8">
              <w:rPr>
                <w:sz w:val="18"/>
                <w:szCs w:val="18"/>
              </w:rPr>
              <w:t>Monthly cost tolvaptan per person (£)</w:t>
            </w:r>
          </w:p>
        </w:tc>
        <w:tc>
          <w:tcPr>
            <w:tcW w:w="1510" w:type="dxa"/>
          </w:tcPr>
          <w:p w14:paraId="11F015F0" w14:textId="77777777" w:rsidR="00344F3B" w:rsidRPr="002C21B8" w:rsidRDefault="00344F3B" w:rsidP="001C4095">
            <w:pPr>
              <w:spacing w:afterLines="60" w:after="144" w:line="240" w:lineRule="auto"/>
              <w:rPr>
                <w:sz w:val="18"/>
                <w:szCs w:val="18"/>
              </w:rPr>
            </w:pPr>
            <w:r w:rsidRPr="002C21B8">
              <w:rPr>
                <w:sz w:val="18"/>
                <w:szCs w:val="18"/>
              </w:rPr>
              <w:t>£1,313.38</w:t>
            </w:r>
          </w:p>
        </w:tc>
        <w:tc>
          <w:tcPr>
            <w:tcW w:w="1510" w:type="dxa"/>
          </w:tcPr>
          <w:p w14:paraId="42864A3D" w14:textId="77777777" w:rsidR="00344F3B" w:rsidRPr="002C21B8" w:rsidRDefault="00344F3B" w:rsidP="001C4095">
            <w:pPr>
              <w:spacing w:afterLines="60" w:after="144" w:line="240" w:lineRule="auto"/>
              <w:rPr>
                <w:sz w:val="18"/>
                <w:szCs w:val="18"/>
              </w:rPr>
            </w:pPr>
            <w:r w:rsidRPr="002C21B8">
              <w:rPr>
                <w:sz w:val="18"/>
                <w:szCs w:val="18"/>
              </w:rPr>
              <w:t>£1,011.30</w:t>
            </w:r>
          </w:p>
        </w:tc>
        <w:tc>
          <w:tcPr>
            <w:tcW w:w="1510" w:type="dxa"/>
          </w:tcPr>
          <w:p w14:paraId="34DAECE3" w14:textId="77777777" w:rsidR="00344F3B" w:rsidRPr="002C21B8" w:rsidRDefault="00344F3B" w:rsidP="001C4095">
            <w:pPr>
              <w:spacing w:afterLines="60" w:after="144" w:line="240" w:lineRule="auto"/>
              <w:rPr>
                <w:sz w:val="18"/>
                <w:szCs w:val="18"/>
              </w:rPr>
            </w:pPr>
            <w:r w:rsidRPr="002C21B8">
              <w:rPr>
                <w:sz w:val="18"/>
                <w:szCs w:val="18"/>
              </w:rPr>
              <w:t>£525.35</w:t>
            </w:r>
          </w:p>
        </w:tc>
        <w:tc>
          <w:tcPr>
            <w:tcW w:w="1510" w:type="dxa"/>
          </w:tcPr>
          <w:p w14:paraId="4DBE9B6D" w14:textId="77777777" w:rsidR="00344F3B" w:rsidRPr="002C21B8" w:rsidRDefault="00344F3B" w:rsidP="001C4095">
            <w:pPr>
              <w:spacing w:afterLines="60" w:after="144" w:line="240" w:lineRule="auto"/>
              <w:rPr>
                <w:sz w:val="18"/>
                <w:szCs w:val="18"/>
              </w:rPr>
            </w:pPr>
            <w:r w:rsidRPr="002C21B8">
              <w:rPr>
                <w:sz w:val="18"/>
                <w:szCs w:val="18"/>
              </w:rPr>
              <w:t>£394.01</w:t>
            </w:r>
          </w:p>
        </w:tc>
        <w:tc>
          <w:tcPr>
            <w:tcW w:w="1510" w:type="dxa"/>
          </w:tcPr>
          <w:p w14:paraId="245D9212" w14:textId="77777777" w:rsidR="00344F3B" w:rsidRPr="002C21B8" w:rsidRDefault="00344F3B" w:rsidP="001C4095">
            <w:pPr>
              <w:spacing w:afterLines="60" w:after="144" w:line="240" w:lineRule="auto"/>
              <w:rPr>
                <w:sz w:val="18"/>
                <w:szCs w:val="18"/>
              </w:rPr>
            </w:pPr>
            <w:r w:rsidRPr="002C21B8">
              <w:rPr>
                <w:sz w:val="18"/>
                <w:szCs w:val="18"/>
              </w:rPr>
              <w:t>£131.34</w:t>
            </w:r>
          </w:p>
        </w:tc>
      </w:tr>
      <w:tr w:rsidR="00344F3B" w:rsidRPr="002C21B8" w14:paraId="26D54819" w14:textId="77777777" w:rsidTr="00555471">
        <w:tc>
          <w:tcPr>
            <w:tcW w:w="6342" w:type="dxa"/>
          </w:tcPr>
          <w:p w14:paraId="4B35E22A" w14:textId="77777777" w:rsidR="00344F3B" w:rsidRPr="002C21B8" w:rsidRDefault="00344F3B" w:rsidP="001C4095">
            <w:pPr>
              <w:spacing w:afterLines="60" w:after="144" w:line="240" w:lineRule="auto"/>
              <w:rPr>
                <w:sz w:val="18"/>
                <w:szCs w:val="18"/>
              </w:rPr>
            </w:pPr>
            <w:r w:rsidRPr="002C21B8">
              <w:rPr>
                <w:sz w:val="18"/>
                <w:szCs w:val="18"/>
              </w:rPr>
              <w:t>Annual cost tolvaptan per person (£)</w:t>
            </w:r>
          </w:p>
        </w:tc>
        <w:tc>
          <w:tcPr>
            <w:tcW w:w="1510" w:type="dxa"/>
          </w:tcPr>
          <w:p w14:paraId="6D3248E9" w14:textId="77777777" w:rsidR="00344F3B" w:rsidRPr="002C21B8" w:rsidRDefault="00344F3B" w:rsidP="001C4095">
            <w:pPr>
              <w:spacing w:afterLines="60" w:after="144" w:line="240" w:lineRule="auto"/>
              <w:rPr>
                <w:sz w:val="18"/>
                <w:szCs w:val="18"/>
              </w:rPr>
            </w:pPr>
            <w:r w:rsidRPr="002C21B8">
              <w:rPr>
                <w:sz w:val="18"/>
                <w:szCs w:val="18"/>
              </w:rPr>
              <w:t>£15,760.54</w:t>
            </w:r>
          </w:p>
        </w:tc>
        <w:tc>
          <w:tcPr>
            <w:tcW w:w="1510" w:type="dxa"/>
          </w:tcPr>
          <w:p w14:paraId="3D2402D0" w14:textId="77777777" w:rsidR="00344F3B" w:rsidRPr="002C21B8" w:rsidRDefault="00344F3B" w:rsidP="001C4095">
            <w:pPr>
              <w:spacing w:afterLines="60" w:after="144" w:line="240" w:lineRule="auto"/>
              <w:rPr>
                <w:sz w:val="18"/>
                <w:szCs w:val="18"/>
              </w:rPr>
            </w:pPr>
            <w:r w:rsidRPr="002C21B8">
              <w:rPr>
                <w:sz w:val="18"/>
                <w:szCs w:val="18"/>
              </w:rPr>
              <w:t>£12,135.61</w:t>
            </w:r>
          </w:p>
        </w:tc>
        <w:tc>
          <w:tcPr>
            <w:tcW w:w="1510" w:type="dxa"/>
          </w:tcPr>
          <w:p w14:paraId="298CBC42" w14:textId="77777777" w:rsidR="00344F3B" w:rsidRPr="002C21B8" w:rsidRDefault="00344F3B" w:rsidP="001C4095">
            <w:pPr>
              <w:spacing w:afterLines="60" w:after="144" w:line="240" w:lineRule="auto"/>
              <w:rPr>
                <w:sz w:val="18"/>
                <w:szCs w:val="18"/>
              </w:rPr>
            </w:pPr>
            <w:r w:rsidRPr="002C21B8">
              <w:rPr>
                <w:sz w:val="18"/>
                <w:szCs w:val="18"/>
              </w:rPr>
              <w:t>£6,304.22</w:t>
            </w:r>
          </w:p>
        </w:tc>
        <w:tc>
          <w:tcPr>
            <w:tcW w:w="1510" w:type="dxa"/>
          </w:tcPr>
          <w:p w14:paraId="171EE986" w14:textId="77777777" w:rsidR="00344F3B" w:rsidRPr="002C21B8" w:rsidRDefault="00344F3B" w:rsidP="001C4095">
            <w:pPr>
              <w:spacing w:afterLines="60" w:after="144" w:line="240" w:lineRule="auto"/>
              <w:rPr>
                <w:sz w:val="18"/>
                <w:szCs w:val="18"/>
              </w:rPr>
            </w:pPr>
            <w:r w:rsidRPr="002C21B8">
              <w:rPr>
                <w:sz w:val="18"/>
                <w:szCs w:val="18"/>
              </w:rPr>
              <w:t>£4,728.16</w:t>
            </w:r>
          </w:p>
        </w:tc>
        <w:tc>
          <w:tcPr>
            <w:tcW w:w="1510" w:type="dxa"/>
          </w:tcPr>
          <w:p w14:paraId="17F18057" w14:textId="77777777" w:rsidR="00344F3B" w:rsidRPr="002C21B8" w:rsidRDefault="00344F3B" w:rsidP="001C4095">
            <w:pPr>
              <w:spacing w:afterLines="60" w:after="144" w:line="240" w:lineRule="auto"/>
              <w:rPr>
                <w:sz w:val="18"/>
                <w:szCs w:val="18"/>
              </w:rPr>
            </w:pPr>
            <w:r w:rsidRPr="002C21B8">
              <w:rPr>
                <w:sz w:val="18"/>
                <w:szCs w:val="18"/>
              </w:rPr>
              <w:t>£1,576.05</w:t>
            </w:r>
          </w:p>
        </w:tc>
      </w:tr>
      <w:tr w:rsidR="00344F3B" w:rsidRPr="002C21B8" w14:paraId="58C7F6D3" w14:textId="77777777" w:rsidTr="00555471">
        <w:tc>
          <w:tcPr>
            <w:tcW w:w="6342" w:type="dxa"/>
          </w:tcPr>
          <w:p w14:paraId="5F3BAD4A" w14:textId="77777777" w:rsidR="00344F3B" w:rsidRPr="002C21B8" w:rsidRDefault="00344F3B" w:rsidP="001C4095">
            <w:pPr>
              <w:spacing w:afterLines="60" w:after="144" w:line="240" w:lineRule="auto"/>
              <w:rPr>
                <w:sz w:val="18"/>
                <w:szCs w:val="18"/>
              </w:rPr>
            </w:pPr>
            <w:r w:rsidRPr="002C21B8">
              <w:rPr>
                <w:sz w:val="18"/>
                <w:szCs w:val="18"/>
              </w:rPr>
              <w:t>Monthly cost monitoring per person (£)</w:t>
            </w:r>
          </w:p>
        </w:tc>
        <w:tc>
          <w:tcPr>
            <w:tcW w:w="1510" w:type="dxa"/>
          </w:tcPr>
          <w:p w14:paraId="0F73D14B" w14:textId="77777777" w:rsidR="00344F3B" w:rsidRPr="002C21B8" w:rsidRDefault="00344F3B" w:rsidP="001C4095">
            <w:pPr>
              <w:spacing w:afterLines="60" w:after="144" w:line="240" w:lineRule="auto"/>
              <w:rPr>
                <w:sz w:val="18"/>
                <w:szCs w:val="18"/>
              </w:rPr>
            </w:pPr>
            <w:r w:rsidRPr="002C21B8">
              <w:rPr>
                <w:sz w:val="18"/>
                <w:szCs w:val="18"/>
              </w:rPr>
              <w:t>£55.41</w:t>
            </w:r>
          </w:p>
        </w:tc>
        <w:tc>
          <w:tcPr>
            <w:tcW w:w="1510" w:type="dxa"/>
          </w:tcPr>
          <w:p w14:paraId="6930E2D1" w14:textId="77777777" w:rsidR="00344F3B" w:rsidRPr="002C21B8" w:rsidRDefault="00344F3B" w:rsidP="001C4095">
            <w:pPr>
              <w:spacing w:afterLines="60" w:after="144" w:line="240" w:lineRule="auto"/>
              <w:rPr>
                <w:sz w:val="18"/>
                <w:szCs w:val="18"/>
              </w:rPr>
            </w:pPr>
            <w:r w:rsidRPr="002C21B8">
              <w:rPr>
                <w:sz w:val="18"/>
                <w:szCs w:val="18"/>
              </w:rPr>
              <w:t>£55.41</w:t>
            </w:r>
          </w:p>
        </w:tc>
        <w:tc>
          <w:tcPr>
            <w:tcW w:w="1510" w:type="dxa"/>
          </w:tcPr>
          <w:p w14:paraId="137A4B16" w14:textId="77777777" w:rsidR="00344F3B" w:rsidRPr="002C21B8" w:rsidRDefault="00344F3B" w:rsidP="001C4095">
            <w:pPr>
              <w:spacing w:afterLines="60" w:after="144" w:line="240" w:lineRule="auto"/>
              <w:rPr>
                <w:sz w:val="18"/>
                <w:szCs w:val="18"/>
              </w:rPr>
            </w:pPr>
            <w:r w:rsidRPr="002C21B8">
              <w:rPr>
                <w:sz w:val="18"/>
                <w:szCs w:val="18"/>
              </w:rPr>
              <w:t>£55.41</w:t>
            </w:r>
          </w:p>
        </w:tc>
        <w:tc>
          <w:tcPr>
            <w:tcW w:w="1510" w:type="dxa"/>
          </w:tcPr>
          <w:p w14:paraId="559F58B1" w14:textId="77777777" w:rsidR="00344F3B" w:rsidRPr="002C21B8" w:rsidRDefault="00344F3B" w:rsidP="001C4095">
            <w:pPr>
              <w:spacing w:afterLines="60" w:after="144" w:line="240" w:lineRule="auto"/>
              <w:rPr>
                <w:sz w:val="18"/>
                <w:szCs w:val="18"/>
              </w:rPr>
            </w:pPr>
            <w:r w:rsidRPr="002C21B8">
              <w:rPr>
                <w:sz w:val="18"/>
                <w:szCs w:val="18"/>
              </w:rPr>
              <w:t>£55.41</w:t>
            </w:r>
          </w:p>
        </w:tc>
        <w:tc>
          <w:tcPr>
            <w:tcW w:w="1510" w:type="dxa"/>
          </w:tcPr>
          <w:p w14:paraId="5D1A6600" w14:textId="77777777" w:rsidR="00344F3B" w:rsidRPr="002C21B8" w:rsidRDefault="00344F3B" w:rsidP="001C4095">
            <w:pPr>
              <w:spacing w:afterLines="60" w:after="144" w:line="240" w:lineRule="auto"/>
              <w:rPr>
                <w:sz w:val="18"/>
                <w:szCs w:val="18"/>
              </w:rPr>
            </w:pPr>
            <w:r w:rsidRPr="002C21B8">
              <w:rPr>
                <w:sz w:val="18"/>
                <w:szCs w:val="18"/>
              </w:rPr>
              <w:t>£55.41</w:t>
            </w:r>
          </w:p>
        </w:tc>
      </w:tr>
      <w:tr w:rsidR="00344F3B" w:rsidRPr="002C21B8" w14:paraId="3FE70D8E" w14:textId="77777777" w:rsidTr="00555471">
        <w:tc>
          <w:tcPr>
            <w:tcW w:w="6342" w:type="dxa"/>
          </w:tcPr>
          <w:p w14:paraId="0A54DAEA" w14:textId="77777777" w:rsidR="00344F3B" w:rsidRPr="002C21B8" w:rsidRDefault="00344F3B" w:rsidP="001C4095">
            <w:pPr>
              <w:spacing w:afterLines="60" w:after="144" w:line="240" w:lineRule="auto"/>
              <w:rPr>
                <w:sz w:val="18"/>
                <w:szCs w:val="18"/>
              </w:rPr>
            </w:pPr>
            <w:r w:rsidRPr="002C21B8">
              <w:rPr>
                <w:sz w:val="18"/>
                <w:szCs w:val="18"/>
              </w:rPr>
              <w:t>Annual cost monthly monitoring per person (£)</w:t>
            </w:r>
          </w:p>
        </w:tc>
        <w:tc>
          <w:tcPr>
            <w:tcW w:w="1510" w:type="dxa"/>
          </w:tcPr>
          <w:p w14:paraId="745F09D0" w14:textId="77777777" w:rsidR="00344F3B" w:rsidRPr="002C21B8" w:rsidRDefault="00344F3B" w:rsidP="001C4095">
            <w:pPr>
              <w:spacing w:afterLines="60" w:after="144" w:line="240" w:lineRule="auto"/>
              <w:rPr>
                <w:sz w:val="18"/>
                <w:szCs w:val="18"/>
              </w:rPr>
            </w:pPr>
            <w:r w:rsidRPr="002C21B8">
              <w:rPr>
                <w:sz w:val="18"/>
                <w:szCs w:val="18"/>
              </w:rPr>
              <w:t>£664.92</w:t>
            </w:r>
          </w:p>
        </w:tc>
        <w:tc>
          <w:tcPr>
            <w:tcW w:w="1510" w:type="dxa"/>
          </w:tcPr>
          <w:p w14:paraId="7D086359" w14:textId="77777777" w:rsidR="00344F3B" w:rsidRPr="002C21B8" w:rsidRDefault="00344F3B" w:rsidP="001C4095">
            <w:pPr>
              <w:spacing w:afterLines="60" w:after="144" w:line="240" w:lineRule="auto"/>
              <w:rPr>
                <w:sz w:val="18"/>
                <w:szCs w:val="18"/>
              </w:rPr>
            </w:pPr>
            <w:r w:rsidRPr="002C21B8">
              <w:rPr>
                <w:sz w:val="18"/>
                <w:szCs w:val="18"/>
              </w:rPr>
              <w:t>£664.92</w:t>
            </w:r>
          </w:p>
        </w:tc>
        <w:tc>
          <w:tcPr>
            <w:tcW w:w="1510" w:type="dxa"/>
          </w:tcPr>
          <w:p w14:paraId="45D85806" w14:textId="77777777" w:rsidR="00344F3B" w:rsidRPr="002C21B8" w:rsidRDefault="00344F3B" w:rsidP="001C4095">
            <w:pPr>
              <w:spacing w:afterLines="60" w:after="144" w:line="240" w:lineRule="auto"/>
              <w:rPr>
                <w:sz w:val="18"/>
                <w:szCs w:val="18"/>
              </w:rPr>
            </w:pPr>
            <w:r w:rsidRPr="002C21B8">
              <w:rPr>
                <w:sz w:val="18"/>
                <w:szCs w:val="18"/>
              </w:rPr>
              <w:t>£664.92</w:t>
            </w:r>
          </w:p>
        </w:tc>
        <w:tc>
          <w:tcPr>
            <w:tcW w:w="1510" w:type="dxa"/>
          </w:tcPr>
          <w:p w14:paraId="17B5C06A" w14:textId="77777777" w:rsidR="00344F3B" w:rsidRPr="002C21B8" w:rsidRDefault="00344F3B" w:rsidP="001C4095">
            <w:pPr>
              <w:spacing w:afterLines="60" w:after="144" w:line="240" w:lineRule="auto"/>
              <w:rPr>
                <w:sz w:val="18"/>
                <w:szCs w:val="18"/>
              </w:rPr>
            </w:pPr>
            <w:r w:rsidRPr="002C21B8">
              <w:rPr>
                <w:sz w:val="18"/>
                <w:szCs w:val="18"/>
              </w:rPr>
              <w:t>£664.92</w:t>
            </w:r>
          </w:p>
        </w:tc>
        <w:tc>
          <w:tcPr>
            <w:tcW w:w="1510" w:type="dxa"/>
          </w:tcPr>
          <w:p w14:paraId="32A35B01" w14:textId="77777777" w:rsidR="00344F3B" w:rsidRPr="002C21B8" w:rsidRDefault="00344F3B" w:rsidP="001C4095">
            <w:pPr>
              <w:spacing w:afterLines="60" w:after="144" w:line="240" w:lineRule="auto"/>
              <w:rPr>
                <w:sz w:val="18"/>
                <w:szCs w:val="18"/>
              </w:rPr>
            </w:pPr>
            <w:r w:rsidRPr="002C21B8">
              <w:rPr>
                <w:sz w:val="18"/>
                <w:szCs w:val="18"/>
              </w:rPr>
              <w:t>£664.92</w:t>
            </w:r>
          </w:p>
        </w:tc>
      </w:tr>
      <w:tr w:rsidR="00344F3B" w:rsidRPr="002C21B8" w14:paraId="603C9C5D" w14:textId="77777777" w:rsidTr="00555471">
        <w:tc>
          <w:tcPr>
            <w:tcW w:w="6342" w:type="dxa"/>
          </w:tcPr>
          <w:p w14:paraId="1DFFD269" w14:textId="77777777" w:rsidR="00344F3B" w:rsidRPr="002C21B8" w:rsidRDefault="00344F3B" w:rsidP="001C4095">
            <w:pPr>
              <w:spacing w:afterLines="60" w:after="144" w:line="240" w:lineRule="auto"/>
              <w:rPr>
                <w:sz w:val="18"/>
                <w:szCs w:val="18"/>
              </w:rPr>
            </w:pPr>
            <w:r w:rsidRPr="002C21B8">
              <w:rPr>
                <w:sz w:val="18"/>
                <w:szCs w:val="18"/>
              </w:rPr>
              <w:t>Annual cost 3 monthly monitoring per person (£)</w:t>
            </w:r>
          </w:p>
        </w:tc>
        <w:tc>
          <w:tcPr>
            <w:tcW w:w="1510" w:type="dxa"/>
          </w:tcPr>
          <w:p w14:paraId="7A37C71B" w14:textId="77777777" w:rsidR="00344F3B" w:rsidRPr="002C21B8" w:rsidRDefault="00344F3B" w:rsidP="001C4095">
            <w:pPr>
              <w:spacing w:afterLines="60" w:after="144" w:line="240" w:lineRule="auto"/>
              <w:rPr>
                <w:sz w:val="18"/>
                <w:szCs w:val="18"/>
              </w:rPr>
            </w:pPr>
            <w:r w:rsidRPr="002C21B8">
              <w:rPr>
                <w:sz w:val="18"/>
                <w:szCs w:val="18"/>
              </w:rPr>
              <w:t>£221.64</w:t>
            </w:r>
          </w:p>
        </w:tc>
        <w:tc>
          <w:tcPr>
            <w:tcW w:w="1510" w:type="dxa"/>
          </w:tcPr>
          <w:p w14:paraId="48DE4328" w14:textId="77777777" w:rsidR="00344F3B" w:rsidRPr="002C21B8" w:rsidRDefault="00344F3B" w:rsidP="001C4095">
            <w:pPr>
              <w:spacing w:afterLines="60" w:after="144" w:line="240" w:lineRule="auto"/>
              <w:rPr>
                <w:sz w:val="18"/>
                <w:szCs w:val="18"/>
              </w:rPr>
            </w:pPr>
            <w:r w:rsidRPr="002C21B8">
              <w:rPr>
                <w:sz w:val="18"/>
                <w:szCs w:val="18"/>
              </w:rPr>
              <w:t>£221.64</w:t>
            </w:r>
          </w:p>
        </w:tc>
        <w:tc>
          <w:tcPr>
            <w:tcW w:w="1510" w:type="dxa"/>
          </w:tcPr>
          <w:p w14:paraId="11C32209" w14:textId="77777777" w:rsidR="00344F3B" w:rsidRPr="002C21B8" w:rsidRDefault="00344F3B" w:rsidP="001C4095">
            <w:pPr>
              <w:spacing w:afterLines="60" w:after="144" w:line="240" w:lineRule="auto"/>
              <w:rPr>
                <w:sz w:val="18"/>
                <w:szCs w:val="18"/>
              </w:rPr>
            </w:pPr>
            <w:r w:rsidRPr="002C21B8">
              <w:rPr>
                <w:sz w:val="18"/>
                <w:szCs w:val="18"/>
              </w:rPr>
              <w:t>£221.64</w:t>
            </w:r>
          </w:p>
        </w:tc>
        <w:tc>
          <w:tcPr>
            <w:tcW w:w="1510" w:type="dxa"/>
          </w:tcPr>
          <w:p w14:paraId="05FD7835" w14:textId="77777777" w:rsidR="00344F3B" w:rsidRPr="002C21B8" w:rsidRDefault="00344F3B" w:rsidP="001C4095">
            <w:pPr>
              <w:spacing w:afterLines="60" w:after="144" w:line="240" w:lineRule="auto"/>
              <w:rPr>
                <w:sz w:val="18"/>
                <w:szCs w:val="18"/>
              </w:rPr>
            </w:pPr>
            <w:r w:rsidRPr="002C21B8">
              <w:rPr>
                <w:sz w:val="18"/>
                <w:szCs w:val="18"/>
              </w:rPr>
              <w:t>£221.64</w:t>
            </w:r>
          </w:p>
        </w:tc>
        <w:tc>
          <w:tcPr>
            <w:tcW w:w="1510" w:type="dxa"/>
          </w:tcPr>
          <w:p w14:paraId="67F940EC" w14:textId="77777777" w:rsidR="00344F3B" w:rsidRPr="002C21B8" w:rsidRDefault="00344F3B" w:rsidP="001C4095">
            <w:pPr>
              <w:spacing w:afterLines="60" w:after="144" w:line="240" w:lineRule="auto"/>
              <w:rPr>
                <w:sz w:val="18"/>
                <w:szCs w:val="18"/>
              </w:rPr>
            </w:pPr>
            <w:r w:rsidRPr="002C21B8">
              <w:rPr>
                <w:sz w:val="18"/>
                <w:szCs w:val="18"/>
              </w:rPr>
              <w:t>£221.64</w:t>
            </w:r>
          </w:p>
        </w:tc>
      </w:tr>
      <w:tr w:rsidR="00344F3B" w:rsidRPr="002C21B8" w14:paraId="335D02B6" w14:textId="77777777" w:rsidTr="00555471">
        <w:tc>
          <w:tcPr>
            <w:tcW w:w="6342" w:type="dxa"/>
          </w:tcPr>
          <w:p w14:paraId="10477494" w14:textId="77777777" w:rsidR="00344F3B" w:rsidRPr="002C21B8" w:rsidRDefault="00344F3B" w:rsidP="001C4095">
            <w:pPr>
              <w:spacing w:afterLines="60" w:after="144" w:line="240" w:lineRule="auto"/>
              <w:rPr>
                <w:sz w:val="18"/>
                <w:szCs w:val="18"/>
              </w:rPr>
            </w:pPr>
            <w:r w:rsidRPr="002C21B8">
              <w:rPr>
                <w:sz w:val="18"/>
                <w:szCs w:val="18"/>
              </w:rPr>
              <w:t>Overall cost tolvaptan and monitoring monthly for 18 months then 3 monthly (£)</w:t>
            </w:r>
          </w:p>
        </w:tc>
        <w:tc>
          <w:tcPr>
            <w:tcW w:w="1510" w:type="dxa"/>
          </w:tcPr>
          <w:p w14:paraId="20500E9C" w14:textId="77777777" w:rsidR="00344F3B" w:rsidRPr="002C21B8" w:rsidRDefault="00344F3B" w:rsidP="001C4095">
            <w:pPr>
              <w:spacing w:afterLines="60" w:after="144" w:line="240" w:lineRule="auto"/>
              <w:rPr>
                <w:sz w:val="18"/>
                <w:szCs w:val="18"/>
              </w:rPr>
            </w:pPr>
            <w:r w:rsidRPr="002C21B8">
              <w:rPr>
                <w:sz w:val="18"/>
                <w:szCs w:val="18"/>
              </w:rPr>
              <w:t>£38,062,983.33</w:t>
            </w:r>
          </w:p>
        </w:tc>
        <w:tc>
          <w:tcPr>
            <w:tcW w:w="1510" w:type="dxa"/>
          </w:tcPr>
          <w:p w14:paraId="3A4D3D08" w14:textId="77777777" w:rsidR="00344F3B" w:rsidRPr="002C21B8" w:rsidRDefault="00344F3B" w:rsidP="001C4095">
            <w:pPr>
              <w:spacing w:afterLines="60" w:after="144" w:line="240" w:lineRule="auto"/>
              <w:rPr>
                <w:sz w:val="18"/>
                <w:szCs w:val="18"/>
              </w:rPr>
            </w:pPr>
            <w:r w:rsidRPr="002C21B8">
              <w:rPr>
                <w:sz w:val="18"/>
                <w:szCs w:val="18"/>
              </w:rPr>
              <w:t>£29,559,027.00</w:t>
            </w:r>
          </w:p>
        </w:tc>
        <w:tc>
          <w:tcPr>
            <w:tcW w:w="1510" w:type="dxa"/>
          </w:tcPr>
          <w:p w14:paraId="402B24E3" w14:textId="77777777" w:rsidR="00344F3B" w:rsidRPr="002C21B8" w:rsidRDefault="00344F3B" w:rsidP="001C4095">
            <w:pPr>
              <w:spacing w:afterLines="60" w:after="144" w:line="240" w:lineRule="auto"/>
              <w:rPr>
                <w:sz w:val="18"/>
                <w:szCs w:val="18"/>
              </w:rPr>
            </w:pPr>
            <w:r w:rsidRPr="002C21B8">
              <w:rPr>
                <w:sz w:val="18"/>
                <w:szCs w:val="18"/>
              </w:rPr>
              <w:t>£15,878,749.44</w:t>
            </w:r>
          </w:p>
        </w:tc>
        <w:tc>
          <w:tcPr>
            <w:tcW w:w="1510" w:type="dxa"/>
          </w:tcPr>
          <w:p w14:paraId="5232EF28" w14:textId="77777777" w:rsidR="00344F3B" w:rsidRPr="002C21B8" w:rsidRDefault="00344F3B" w:rsidP="001C4095">
            <w:pPr>
              <w:spacing w:afterLines="60" w:after="144" w:line="240" w:lineRule="auto"/>
              <w:rPr>
                <w:sz w:val="18"/>
                <w:szCs w:val="18"/>
              </w:rPr>
            </w:pPr>
            <w:r w:rsidRPr="002C21B8">
              <w:rPr>
                <w:sz w:val="18"/>
                <w:szCs w:val="18"/>
              </w:rPr>
              <w:t>£12,181,377.13</w:t>
            </w:r>
          </w:p>
        </w:tc>
        <w:tc>
          <w:tcPr>
            <w:tcW w:w="1510" w:type="dxa"/>
          </w:tcPr>
          <w:p w14:paraId="070DB171" w14:textId="77777777" w:rsidR="00344F3B" w:rsidRPr="002C21B8" w:rsidRDefault="00344F3B" w:rsidP="001C4095">
            <w:pPr>
              <w:spacing w:afterLines="60" w:after="144" w:line="240" w:lineRule="auto"/>
              <w:rPr>
                <w:sz w:val="18"/>
                <w:szCs w:val="18"/>
              </w:rPr>
            </w:pPr>
            <w:r w:rsidRPr="002C21B8">
              <w:rPr>
                <w:sz w:val="18"/>
                <w:szCs w:val="18"/>
              </w:rPr>
              <w:t>£4,786,632.50</w:t>
            </w:r>
          </w:p>
        </w:tc>
      </w:tr>
      <w:tr w:rsidR="00344F3B" w:rsidRPr="002C21B8" w14:paraId="1EF0B28F" w14:textId="77777777" w:rsidTr="00555471">
        <w:tc>
          <w:tcPr>
            <w:tcW w:w="6342" w:type="dxa"/>
          </w:tcPr>
          <w:p w14:paraId="123DBE9C" w14:textId="77777777" w:rsidR="00344F3B" w:rsidRPr="002C21B8" w:rsidRDefault="00344F3B" w:rsidP="001C4095">
            <w:pPr>
              <w:spacing w:afterLines="60" w:after="144" w:line="240" w:lineRule="auto"/>
              <w:rPr>
                <w:sz w:val="18"/>
                <w:szCs w:val="18"/>
              </w:rPr>
            </w:pPr>
            <w:r w:rsidRPr="002C21B8">
              <w:rPr>
                <w:sz w:val="18"/>
                <w:szCs w:val="18"/>
              </w:rPr>
              <w:t>Overall cost (upper CI of proportion of ineligible initiated) (£)</w:t>
            </w:r>
          </w:p>
        </w:tc>
        <w:tc>
          <w:tcPr>
            <w:tcW w:w="1510" w:type="dxa"/>
          </w:tcPr>
          <w:p w14:paraId="65C62CE1" w14:textId="77777777" w:rsidR="00344F3B" w:rsidRPr="002C21B8" w:rsidRDefault="00344F3B" w:rsidP="001C4095">
            <w:pPr>
              <w:spacing w:afterLines="60" w:after="144" w:line="240" w:lineRule="auto"/>
              <w:rPr>
                <w:sz w:val="18"/>
                <w:szCs w:val="18"/>
              </w:rPr>
            </w:pPr>
            <w:r w:rsidRPr="002C21B8">
              <w:rPr>
                <w:sz w:val="18"/>
                <w:szCs w:val="18"/>
              </w:rPr>
              <w:t>£45,453,853.87</w:t>
            </w:r>
          </w:p>
        </w:tc>
        <w:tc>
          <w:tcPr>
            <w:tcW w:w="1510" w:type="dxa"/>
          </w:tcPr>
          <w:p w14:paraId="7EB49524" w14:textId="77777777" w:rsidR="00344F3B" w:rsidRPr="002C21B8" w:rsidRDefault="00344F3B" w:rsidP="001C4095">
            <w:pPr>
              <w:spacing w:afterLines="60" w:after="144" w:line="240" w:lineRule="auto"/>
              <w:rPr>
                <w:sz w:val="18"/>
                <w:szCs w:val="18"/>
              </w:rPr>
            </w:pPr>
            <w:r w:rsidRPr="002C21B8">
              <w:rPr>
                <w:sz w:val="18"/>
                <w:szCs w:val="18"/>
              </w:rPr>
              <w:t>£35,298,643.90</w:t>
            </w:r>
          </w:p>
        </w:tc>
        <w:tc>
          <w:tcPr>
            <w:tcW w:w="1510" w:type="dxa"/>
          </w:tcPr>
          <w:p w14:paraId="70CA8B5F" w14:textId="77777777" w:rsidR="00344F3B" w:rsidRPr="002C21B8" w:rsidRDefault="00344F3B" w:rsidP="001C4095">
            <w:pPr>
              <w:spacing w:afterLines="60" w:after="144" w:line="240" w:lineRule="auto"/>
              <w:rPr>
                <w:sz w:val="18"/>
                <w:szCs w:val="18"/>
              </w:rPr>
            </w:pPr>
            <w:r w:rsidRPr="002C21B8">
              <w:rPr>
                <w:sz w:val="18"/>
                <w:szCs w:val="18"/>
              </w:rPr>
              <w:t>£18,962,001.76</w:t>
            </w:r>
          </w:p>
        </w:tc>
        <w:tc>
          <w:tcPr>
            <w:tcW w:w="1510" w:type="dxa"/>
          </w:tcPr>
          <w:p w14:paraId="2551C11C" w14:textId="77777777" w:rsidR="00344F3B" w:rsidRPr="002C21B8" w:rsidRDefault="00344F3B" w:rsidP="001C4095">
            <w:pPr>
              <w:spacing w:afterLines="60" w:after="144" w:line="240" w:lineRule="auto"/>
              <w:rPr>
                <w:sz w:val="18"/>
                <w:szCs w:val="18"/>
              </w:rPr>
            </w:pPr>
            <w:r w:rsidRPr="002C21B8">
              <w:rPr>
                <w:sz w:val="18"/>
                <w:szCs w:val="18"/>
              </w:rPr>
              <w:t>£14,546,693.08</w:t>
            </w:r>
          </w:p>
        </w:tc>
        <w:tc>
          <w:tcPr>
            <w:tcW w:w="1510" w:type="dxa"/>
          </w:tcPr>
          <w:p w14:paraId="4C6A23EA" w14:textId="77777777" w:rsidR="00344F3B" w:rsidRPr="002C21B8" w:rsidRDefault="00344F3B" w:rsidP="001C4095">
            <w:pPr>
              <w:spacing w:afterLines="60" w:after="144" w:line="240" w:lineRule="auto"/>
              <w:rPr>
                <w:sz w:val="18"/>
                <w:szCs w:val="18"/>
              </w:rPr>
            </w:pPr>
            <w:r w:rsidRPr="002C21B8">
              <w:rPr>
                <w:sz w:val="18"/>
                <w:szCs w:val="18"/>
              </w:rPr>
              <w:t>£5,716,075.71</w:t>
            </w:r>
          </w:p>
        </w:tc>
      </w:tr>
      <w:tr w:rsidR="00344F3B" w:rsidRPr="002C21B8" w14:paraId="35C9ECEE" w14:textId="77777777" w:rsidTr="00555471">
        <w:tc>
          <w:tcPr>
            <w:tcW w:w="6342" w:type="dxa"/>
          </w:tcPr>
          <w:p w14:paraId="12FED6AB" w14:textId="77777777" w:rsidR="00344F3B" w:rsidRPr="002C21B8" w:rsidRDefault="00344F3B" w:rsidP="001C4095">
            <w:pPr>
              <w:spacing w:afterLines="60" w:after="144" w:line="240" w:lineRule="auto"/>
              <w:rPr>
                <w:sz w:val="18"/>
                <w:szCs w:val="18"/>
              </w:rPr>
            </w:pPr>
            <w:r w:rsidRPr="002C21B8">
              <w:rPr>
                <w:sz w:val="18"/>
                <w:szCs w:val="18"/>
              </w:rPr>
              <w:t>Overall cost (lower CI of proportion of ineligible initiated) (£)</w:t>
            </w:r>
          </w:p>
        </w:tc>
        <w:tc>
          <w:tcPr>
            <w:tcW w:w="1510" w:type="dxa"/>
          </w:tcPr>
          <w:p w14:paraId="557E12DF" w14:textId="77777777" w:rsidR="00344F3B" w:rsidRPr="002C21B8" w:rsidRDefault="00344F3B" w:rsidP="001C4095">
            <w:pPr>
              <w:spacing w:afterLines="60" w:after="144" w:line="240" w:lineRule="auto"/>
              <w:rPr>
                <w:sz w:val="18"/>
                <w:szCs w:val="18"/>
              </w:rPr>
            </w:pPr>
            <w:r w:rsidRPr="002C21B8">
              <w:rPr>
                <w:sz w:val="18"/>
                <w:szCs w:val="18"/>
              </w:rPr>
              <w:t>£31,041,656.30</w:t>
            </w:r>
          </w:p>
        </w:tc>
        <w:tc>
          <w:tcPr>
            <w:tcW w:w="1510" w:type="dxa"/>
          </w:tcPr>
          <w:p w14:paraId="60A6CA0E" w14:textId="77777777" w:rsidR="00344F3B" w:rsidRPr="002C21B8" w:rsidRDefault="00344F3B" w:rsidP="001C4095">
            <w:pPr>
              <w:spacing w:afterLines="60" w:after="144" w:line="240" w:lineRule="auto"/>
              <w:rPr>
                <w:sz w:val="18"/>
                <w:szCs w:val="18"/>
              </w:rPr>
            </w:pPr>
            <w:r w:rsidRPr="002C21B8">
              <w:rPr>
                <w:sz w:val="18"/>
                <w:szCs w:val="18"/>
              </w:rPr>
              <w:t>£24,106,390.95</w:t>
            </w:r>
          </w:p>
        </w:tc>
        <w:tc>
          <w:tcPr>
            <w:tcW w:w="1510" w:type="dxa"/>
          </w:tcPr>
          <w:p w14:paraId="79A25B24" w14:textId="77777777" w:rsidR="00344F3B" w:rsidRPr="002C21B8" w:rsidRDefault="00344F3B" w:rsidP="001C4095">
            <w:pPr>
              <w:spacing w:afterLines="60" w:after="144" w:line="240" w:lineRule="auto"/>
              <w:rPr>
                <w:sz w:val="18"/>
                <w:szCs w:val="18"/>
              </w:rPr>
            </w:pPr>
            <w:r w:rsidRPr="002C21B8">
              <w:rPr>
                <w:sz w:val="18"/>
                <w:szCs w:val="18"/>
              </w:rPr>
              <w:t>£12,949,659.74</w:t>
            </w:r>
          </w:p>
        </w:tc>
        <w:tc>
          <w:tcPr>
            <w:tcW w:w="1510" w:type="dxa"/>
          </w:tcPr>
          <w:p w14:paraId="648F6F09" w14:textId="77777777" w:rsidR="00344F3B" w:rsidRPr="002C21B8" w:rsidRDefault="00344F3B" w:rsidP="001C4095">
            <w:pPr>
              <w:spacing w:afterLines="60" w:after="144" w:line="240" w:lineRule="auto"/>
              <w:rPr>
                <w:sz w:val="18"/>
                <w:szCs w:val="18"/>
              </w:rPr>
            </w:pPr>
            <w:r w:rsidRPr="002C21B8">
              <w:rPr>
                <w:sz w:val="18"/>
                <w:szCs w:val="18"/>
              </w:rPr>
              <w:t>£9,934,326.98</w:t>
            </w:r>
          </w:p>
        </w:tc>
        <w:tc>
          <w:tcPr>
            <w:tcW w:w="1510" w:type="dxa"/>
          </w:tcPr>
          <w:p w14:paraId="6DA388F4" w14:textId="77777777" w:rsidR="00344F3B" w:rsidRPr="002C21B8" w:rsidRDefault="00344F3B" w:rsidP="001C4095">
            <w:pPr>
              <w:spacing w:afterLines="60" w:after="144" w:line="240" w:lineRule="auto"/>
              <w:rPr>
                <w:sz w:val="18"/>
                <w:szCs w:val="18"/>
              </w:rPr>
            </w:pPr>
            <w:r w:rsidRPr="002C21B8">
              <w:rPr>
                <w:sz w:val="18"/>
                <w:szCs w:val="18"/>
              </w:rPr>
              <w:t>£3,903,661.46</w:t>
            </w:r>
          </w:p>
        </w:tc>
      </w:tr>
      <w:tr w:rsidR="00344F3B" w:rsidRPr="002C21B8" w14:paraId="7C92B84B" w14:textId="77777777" w:rsidTr="00555471">
        <w:tc>
          <w:tcPr>
            <w:tcW w:w="6342" w:type="dxa"/>
          </w:tcPr>
          <w:p w14:paraId="1E933CB5" w14:textId="77777777" w:rsidR="00344F3B" w:rsidRPr="002C21B8" w:rsidRDefault="00344F3B" w:rsidP="001C4095">
            <w:pPr>
              <w:spacing w:afterLines="60" w:after="144" w:line="240" w:lineRule="auto"/>
              <w:rPr>
                <w:sz w:val="18"/>
                <w:szCs w:val="18"/>
              </w:rPr>
            </w:pPr>
            <w:r w:rsidRPr="002C21B8">
              <w:rPr>
                <w:sz w:val="18"/>
                <w:szCs w:val="18"/>
              </w:rPr>
              <w:t>Cost of total hip replacement (£)</w:t>
            </w:r>
          </w:p>
        </w:tc>
        <w:tc>
          <w:tcPr>
            <w:tcW w:w="1510" w:type="dxa"/>
          </w:tcPr>
          <w:p w14:paraId="118CA1DB" w14:textId="77777777" w:rsidR="00344F3B" w:rsidRPr="002C21B8" w:rsidRDefault="00344F3B" w:rsidP="001C4095">
            <w:pPr>
              <w:spacing w:afterLines="60" w:after="144" w:line="240" w:lineRule="auto"/>
              <w:rPr>
                <w:sz w:val="18"/>
                <w:szCs w:val="18"/>
              </w:rPr>
            </w:pPr>
            <w:r w:rsidRPr="002C21B8">
              <w:rPr>
                <w:sz w:val="18"/>
                <w:szCs w:val="18"/>
              </w:rPr>
              <w:t>9,300</w:t>
            </w:r>
          </w:p>
        </w:tc>
        <w:tc>
          <w:tcPr>
            <w:tcW w:w="1510" w:type="dxa"/>
          </w:tcPr>
          <w:p w14:paraId="5B2A0794" w14:textId="77777777" w:rsidR="00344F3B" w:rsidRPr="002C21B8" w:rsidRDefault="00344F3B" w:rsidP="001C4095">
            <w:pPr>
              <w:spacing w:afterLines="60" w:after="144" w:line="240" w:lineRule="auto"/>
              <w:rPr>
                <w:sz w:val="18"/>
                <w:szCs w:val="18"/>
              </w:rPr>
            </w:pPr>
            <w:r w:rsidRPr="002C21B8">
              <w:rPr>
                <w:sz w:val="18"/>
                <w:szCs w:val="18"/>
              </w:rPr>
              <w:t>9,300</w:t>
            </w:r>
          </w:p>
        </w:tc>
        <w:tc>
          <w:tcPr>
            <w:tcW w:w="1510" w:type="dxa"/>
          </w:tcPr>
          <w:p w14:paraId="76719B5E" w14:textId="77777777" w:rsidR="00344F3B" w:rsidRPr="002C21B8" w:rsidRDefault="00344F3B" w:rsidP="001C4095">
            <w:pPr>
              <w:spacing w:afterLines="60" w:after="144" w:line="240" w:lineRule="auto"/>
              <w:rPr>
                <w:sz w:val="18"/>
                <w:szCs w:val="18"/>
              </w:rPr>
            </w:pPr>
            <w:r w:rsidRPr="002C21B8">
              <w:rPr>
                <w:sz w:val="18"/>
                <w:szCs w:val="18"/>
              </w:rPr>
              <w:t>9,300</w:t>
            </w:r>
          </w:p>
        </w:tc>
        <w:tc>
          <w:tcPr>
            <w:tcW w:w="1510" w:type="dxa"/>
          </w:tcPr>
          <w:p w14:paraId="7F6266D9" w14:textId="77777777" w:rsidR="00344F3B" w:rsidRPr="002C21B8" w:rsidRDefault="00344F3B" w:rsidP="001C4095">
            <w:pPr>
              <w:spacing w:afterLines="60" w:after="144" w:line="240" w:lineRule="auto"/>
              <w:rPr>
                <w:sz w:val="18"/>
                <w:szCs w:val="18"/>
              </w:rPr>
            </w:pPr>
            <w:r w:rsidRPr="002C21B8">
              <w:rPr>
                <w:sz w:val="18"/>
                <w:szCs w:val="18"/>
              </w:rPr>
              <w:t>9,300</w:t>
            </w:r>
          </w:p>
        </w:tc>
        <w:tc>
          <w:tcPr>
            <w:tcW w:w="1510" w:type="dxa"/>
          </w:tcPr>
          <w:p w14:paraId="7D107CDA" w14:textId="77777777" w:rsidR="00344F3B" w:rsidRPr="002C21B8" w:rsidRDefault="00344F3B" w:rsidP="001C4095">
            <w:pPr>
              <w:spacing w:afterLines="60" w:after="144" w:line="240" w:lineRule="auto"/>
              <w:rPr>
                <w:sz w:val="18"/>
                <w:szCs w:val="18"/>
              </w:rPr>
            </w:pPr>
            <w:r w:rsidRPr="002C21B8">
              <w:rPr>
                <w:sz w:val="18"/>
                <w:szCs w:val="18"/>
              </w:rPr>
              <w:t>9,300</w:t>
            </w:r>
          </w:p>
        </w:tc>
      </w:tr>
      <w:tr w:rsidR="00344F3B" w:rsidRPr="002C21B8" w14:paraId="180F3ACE" w14:textId="77777777" w:rsidTr="00555471">
        <w:tc>
          <w:tcPr>
            <w:tcW w:w="6342" w:type="dxa"/>
          </w:tcPr>
          <w:p w14:paraId="23B51440" w14:textId="77777777" w:rsidR="00344F3B" w:rsidRPr="002C21B8" w:rsidRDefault="00344F3B" w:rsidP="001C4095">
            <w:pPr>
              <w:spacing w:afterLines="60" w:after="144" w:line="240" w:lineRule="auto"/>
              <w:rPr>
                <w:sz w:val="18"/>
                <w:szCs w:val="18"/>
              </w:rPr>
            </w:pPr>
            <w:r w:rsidRPr="002C21B8">
              <w:rPr>
                <w:sz w:val="18"/>
                <w:szCs w:val="18"/>
              </w:rPr>
              <w:t>Equivalent number of total hip replacements</w:t>
            </w:r>
          </w:p>
        </w:tc>
        <w:tc>
          <w:tcPr>
            <w:tcW w:w="1510" w:type="dxa"/>
          </w:tcPr>
          <w:p w14:paraId="74D6B097" w14:textId="77777777" w:rsidR="00344F3B" w:rsidRPr="002C21B8" w:rsidRDefault="00344F3B" w:rsidP="001C4095">
            <w:pPr>
              <w:spacing w:afterLines="60" w:after="144" w:line="240" w:lineRule="auto"/>
              <w:rPr>
                <w:sz w:val="18"/>
                <w:szCs w:val="18"/>
              </w:rPr>
            </w:pPr>
            <w:r w:rsidRPr="002C21B8">
              <w:rPr>
                <w:sz w:val="18"/>
                <w:szCs w:val="18"/>
              </w:rPr>
              <w:t>4093</w:t>
            </w:r>
          </w:p>
        </w:tc>
        <w:tc>
          <w:tcPr>
            <w:tcW w:w="1510" w:type="dxa"/>
          </w:tcPr>
          <w:p w14:paraId="6B418CC9" w14:textId="77777777" w:rsidR="00344F3B" w:rsidRPr="002C21B8" w:rsidRDefault="00344F3B" w:rsidP="001C4095">
            <w:pPr>
              <w:spacing w:afterLines="60" w:after="144" w:line="240" w:lineRule="auto"/>
              <w:rPr>
                <w:sz w:val="18"/>
                <w:szCs w:val="18"/>
              </w:rPr>
            </w:pPr>
            <w:r w:rsidRPr="002C21B8">
              <w:rPr>
                <w:sz w:val="18"/>
                <w:szCs w:val="18"/>
              </w:rPr>
              <w:t>3178</w:t>
            </w:r>
          </w:p>
        </w:tc>
        <w:tc>
          <w:tcPr>
            <w:tcW w:w="1510" w:type="dxa"/>
          </w:tcPr>
          <w:p w14:paraId="4CC2E57E" w14:textId="77777777" w:rsidR="00344F3B" w:rsidRPr="002C21B8" w:rsidRDefault="00344F3B" w:rsidP="001C4095">
            <w:pPr>
              <w:spacing w:afterLines="60" w:after="144" w:line="240" w:lineRule="auto"/>
              <w:rPr>
                <w:sz w:val="18"/>
                <w:szCs w:val="18"/>
              </w:rPr>
            </w:pPr>
            <w:r w:rsidRPr="002C21B8">
              <w:rPr>
                <w:sz w:val="18"/>
                <w:szCs w:val="18"/>
              </w:rPr>
              <w:t>1707</w:t>
            </w:r>
          </w:p>
        </w:tc>
        <w:tc>
          <w:tcPr>
            <w:tcW w:w="1510" w:type="dxa"/>
          </w:tcPr>
          <w:p w14:paraId="6BEAF0F5" w14:textId="77777777" w:rsidR="00344F3B" w:rsidRPr="002C21B8" w:rsidRDefault="00344F3B" w:rsidP="001C4095">
            <w:pPr>
              <w:spacing w:afterLines="60" w:after="144" w:line="240" w:lineRule="auto"/>
              <w:rPr>
                <w:sz w:val="18"/>
                <w:szCs w:val="18"/>
              </w:rPr>
            </w:pPr>
            <w:r w:rsidRPr="002C21B8">
              <w:rPr>
                <w:sz w:val="18"/>
                <w:szCs w:val="18"/>
              </w:rPr>
              <w:t>1310</w:t>
            </w:r>
          </w:p>
        </w:tc>
        <w:tc>
          <w:tcPr>
            <w:tcW w:w="1510" w:type="dxa"/>
          </w:tcPr>
          <w:p w14:paraId="2F2ACD35" w14:textId="77777777" w:rsidR="00344F3B" w:rsidRPr="002C21B8" w:rsidRDefault="00344F3B" w:rsidP="001C4095">
            <w:pPr>
              <w:spacing w:afterLines="60" w:after="144" w:line="240" w:lineRule="auto"/>
              <w:rPr>
                <w:sz w:val="18"/>
                <w:szCs w:val="18"/>
              </w:rPr>
            </w:pPr>
            <w:r w:rsidRPr="002C21B8">
              <w:rPr>
                <w:sz w:val="18"/>
                <w:szCs w:val="18"/>
              </w:rPr>
              <w:t>515</w:t>
            </w:r>
          </w:p>
        </w:tc>
      </w:tr>
    </w:tbl>
    <w:p w14:paraId="25F54392" w14:textId="77777777" w:rsidR="001C4095" w:rsidRPr="002C21B8" w:rsidRDefault="001C4095">
      <w:pPr>
        <w:spacing w:after="0" w:line="240" w:lineRule="auto"/>
        <w:jc w:val="left"/>
        <w:rPr>
          <w:b/>
          <w:bCs/>
          <w:color w:val="000000" w:themeColor="text1"/>
          <w:sz w:val="24"/>
          <w:szCs w:val="24"/>
        </w:rPr>
      </w:pPr>
      <w:r w:rsidRPr="002C21B8">
        <w:rPr>
          <w:b/>
          <w:bCs/>
          <w:i/>
          <w:iCs/>
          <w:color w:val="000000" w:themeColor="text1"/>
          <w:sz w:val="24"/>
          <w:szCs w:val="24"/>
        </w:rPr>
        <w:br w:type="page"/>
      </w:r>
    </w:p>
    <w:p w14:paraId="1B4FAE6E" w14:textId="723CEA4B"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Worked example of calculating the estimated impact of not initiating tolvaptan in eligible people with ADPKD (no medication discount)</w:t>
      </w:r>
    </w:p>
    <w:tbl>
      <w:tblPr>
        <w:tblStyle w:val="TableGrid"/>
        <w:tblW w:w="138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231"/>
        <w:gridCol w:w="9"/>
        <w:gridCol w:w="1408"/>
        <w:gridCol w:w="8"/>
        <w:gridCol w:w="5393"/>
        <w:gridCol w:w="2835"/>
      </w:tblGrid>
      <w:tr w:rsidR="00344F3B" w:rsidRPr="002C21B8" w14:paraId="4F0F1B70" w14:textId="77777777" w:rsidTr="00E55101">
        <w:tc>
          <w:tcPr>
            <w:tcW w:w="4240" w:type="dxa"/>
            <w:gridSpan w:val="2"/>
          </w:tcPr>
          <w:p w14:paraId="5AE37146" w14:textId="77777777" w:rsidR="00344F3B" w:rsidRPr="002C21B8" w:rsidRDefault="00344F3B" w:rsidP="008433C5">
            <w:pPr>
              <w:spacing w:afterLines="50" w:after="120" w:line="240" w:lineRule="auto"/>
              <w:jc w:val="left"/>
              <w:rPr>
                <w:b/>
                <w:bCs/>
                <w:sz w:val="18"/>
                <w:szCs w:val="18"/>
              </w:rPr>
            </w:pPr>
            <w:r w:rsidRPr="002C21B8">
              <w:rPr>
                <w:b/>
                <w:bCs/>
                <w:sz w:val="18"/>
                <w:szCs w:val="18"/>
              </w:rPr>
              <w:t>Metric</w:t>
            </w:r>
          </w:p>
        </w:tc>
        <w:tc>
          <w:tcPr>
            <w:tcW w:w="1416" w:type="dxa"/>
            <w:gridSpan w:val="2"/>
          </w:tcPr>
          <w:p w14:paraId="627D76ED" w14:textId="77777777" w:rsidR="00344F3B" w:rsidRPr="002C21B8" w:rsidRDefault="00344F3B" w:rsidP="008433C5">
            <w:pPr>
              <w:spacing w:afterLines="50" w:after="120" w:line="240" w:lineRule="auto"/>
              <w:jc w:val="left"/>
              <w:rPr>
                <w:b/>
                <w:bCs/>
                <w:sz w:val="18"/>
                <w:szCs w:val="18"/>
              </w:rPr>
            </w:pPr>
            <w:r w:rsidRPr="002C21B8">
              <w:rPr>
                <w:b/>
                <w:bCs/>
                <w:sz w:val="18"/>
                <w:szCs w:val="18"/>
              </w:rPr>
              <w:t>Value</w:t>
            </w:r>
          </w:p>
        </w:tc>
        <w:tc>
          <w:tcPr>
            <w:tcW w:w="5393" w:type="dxa"/>
          </w:tcPr>
          <w:p w14:paraId="02483C8A" w14:textId="77777777" w:rsidR="00344F3B" w:rsidRPr="002C21B8" w:rsidRDefault="00344F3B" w:rsidP="008433C5">
            <w:pPr>
              <w:spacing w:afterLines="50" w:after="120" w:line="240" w:lineRule="auto"/>
              <w:jc w:val="left"/>
              <w:rPr>
                <w:b/>
                <w:bCs/>
                <w:sz w:val="18"/>
                <w:szCs w:val="18"/>
              </w:rPr>
            </w:pPr>
            <w:r w:rsidRPr="002C21B8">
              <w:rPr>
                <w:b/>
                <w:bCs/>
                <w:sz w:val="18"/>
                <w:szCs w:val="18"/>
              </w:rPr>
              <w:t>Data source</w:t>
            </w:r>
          </w:p>
        </w:tc>
        <w:tc>
          <w:tcPr>
            <w:tcW w:w="2835" w:type="dxa"/>
          </w:tcPr>
          <w:p w14:paraId="284736D4" w14:textId="77777777" w:rsidR="00344F3B" w:rsidRPr="002C21B8" w:rsidRDefault="00344F3B" w:rsidP="008433C5">
            <w:pPr>
              <w:spacing w:afterLines="50" w:after="120" w:line="240" w:lineRule="auto"/>
              <w:jc w:val="left"/>
              <w:rPr>
                <w:b/>
                <w:bCs/>
                <w:sz w:val="18"/>
                <w:szCs w:val="18"/>
              </w:rPr>
            </w:pPr>
            <w:r w:rsidRPr="002C21B8">
              <w:rPr>
                <w:b/>
                <w:bCs/>
                <w:sz w:val="18"/>
                <w:szCs w:val="18"/>
              </w:rPr>
              <w:t>Calculation</w:t>
            </w:r>
          </w:p>
        </w:tc>
      </w:tr>
      <w:tr w:rsidR="00344F3B" w:rsidRPr="002C21B8" w14:paraId="07BBD5C3" w14:textId="77777777" w:rsidTr="00E55101">
        <w:tc>
          <w:tcPr>
            <w:tcW w:w="4240" w:type="dxa"/>
            <w:gridSpan w:val="2"/>
          </w:tcPr>
          <w:p w14:paraId="119C7FEA" w14:textId="77777777" w:rsidR="00344F3B" w:rsidRPr="002C21B8" w:rsidRDefault="00344F3B" w:rsidP="008433C5">
            <w:pPr>
              <w:spacing w:afterLines="50" w:after="120" w:line="240" w:lineRule="auto"/>
              <w:jc w:val="left"/>
              <w:rPr>
                <w:sz w:val="18"/>
                <w:szCs w:val="18"/>
              </w:rPr>
            </w:pPr>
            <w:r w:rsidRPr="002C21B8">
              <w:rPr>
                <w:sz w:val="18"/>
                <w:szCs w:val="18"/>
              </w:rPr>
              <w:t>Number of ADPKD patients in the UK</w:t>
            </w:r>
          </w:p>
        </w:tc>
        <w:tc>
          <w:tcPr>
            <w:tcW w:w="1416" w:type="dxa"/>
            <w:gridSpan w:val="2"/>
          </w:tcPr>
          <w:p w14:paraId="3BE400E3" w14:textId="77777777" w:rsidR="00344F3B" w:rsidRPr="002C21B8" w:rsidRDefault="00344F3B" w:rsidP="008433C5">
            <w:pPr>
              <w:spacing w:afterLines="50" w:after="120" w:line="240" w:lineRule="auto"/>
              <w:jc w:val="left"/>
              <w:rPr>
                <w:sz w:val="18"/>
                <w:szCs w:val="18"/>
              </w:rPr>
            </w:pPr>
            <w:r w:rsidRPr="002C21B8">
              <w:rPr>
                <w:sz w:val="18"/>
                <w:szCs w:val="18"/>
              </w:rPr>
              <w:t>30,000</w:t>
            </w:r>
          </w:p>
        </w:tc>
        <w:tc>
          <w:tcPr>
            <w:tcW w:w="5393" w:type="dxa"/>
          </w:tcPr>
          <w:p w14:paraId="3502C5E1" w14:textId="00524ECD" w:rsidR="00344F3B" w:rsidRPr="002C21B8" w:rsidRDefault="00344F3B" w:rsidP="008433C5">
            <w:pPr>
              <w:spacing w:afterLines="50" w:after="120" w:line="240" w:lineRule="auto"/>
              <w:jc w:val="left"/>
              <w:rPr>
                <w:sz w:val="18"/>
                <w:szCs w:val="18"/>
              </w:rPr>
            </w:pPr>
            <w:r w:rsidRPr="002C21B8">
              <w:rPr>
                <w:sz w:val="18"/>
                <w:szCs w:val="18"/>
              </w:rPr>
              <w:t>Lower estimate from NHS data</w:t>
            </w:r>
            <w:r w:rsidRPr="002C21B8">
              <w:rPr>
                <w:sz w:val="18"/>
                <w:szCs w:val="18"/>
              </w:rPr>
              <w:fldChar w:fldCharType="begin"/>
            </w:r>
            <w:r w:rsidR="008A2F67" w:rsidRPr="002C21B8">
              <w:rPr>
                <w:sz w:val="18"/>
                <w:szCs w:val="18"/>
              </w:rPr>
              <w:instrText xml:space="preserve"> ADDIN EN.CITE &lt;EndNote&gt;&lt;Cite&gt;&lt;Author&gt;NHS&lt;/Author&gt;&lt;Year&gt;2023&lt;/Year&gt;&lt;RecNum&gt;125101&lt;/RecNum&gt;&lt;DisplayText&gt;(NHS, 2023)&lt;/DisplayText&gt;&lt;record&gt;&lt;rec-number&gt;125101&lt;/rec-number&gt;&lt;foreign-keys&gt;&lt;key app="EN" db-id="xpefzwa5hf9dt2ea9fax95x7xvxz90v09dtf" timestamp="1764336889"&gt;125101&lt;/key&gt;&lt;/foreign-keys&gt;&lt;ref-type name="Web Page"&gt;12&lt;/ref-type&gt;&lt;contributors&gt;&lt;authors&gt;&lt;author&gt;NHS,&lt;/author&gt;&lt;/authors&gt;&lt;/contributors&gt;&lt;titles&gt;&lt;title&gt;Overview - Autosomal dominant polycystic kidney disease&lt;/title&gt;&lt;/titles&gt;&lt;number&gt;28/11/2025)&lt;/number&gt;&lt;dates&gt;&lt;year&gt;2023&lt;/year&gt;&lt;/dates&gt;&lt;urls&gt;&lt;related-urls&gt;&lt;url&gt;https://www.nhs.uk/conditions/autosomal-dominant-polycystic-kidney-disease-adpkd.com&lt;/url&gt;&lt;/related-urls&gt;&lt;/urls&gt;&lt;/record&gt;&lt;/Cite&gt;&lt;/EndNote&gt;</w:instrText>
            </w:r>
            <w:r w:rsidRPr="002C21B8">
              <w:rPr>
                <w:sz w:val="18"/>
                <w:szCs w:val="18"/>
              </w:rPr>
              <w:fldChar w:fldCharType="separate"/>
            </w:r>
            <w:r w:rsidR="008A2F67" w:rsidRPr="002C21B8">
              <w:rPr>
                <w:noProof/>
                <w:sz w:val="18"/>
                <w:szCs w:val="18"/>
              </w:rPr>
              <w:t>(NHS, 2023)</w:t>
            </w:r>
            <w:r w:rsidRPr="002C21B8">
              <w:rPr>
                <w:sz w:val="18"/>
                <w:szCs w:val="18"/>
              </w:rPr>
              <w:fldChar w:fldCharType="end"/>
            </w:r>
          </w:p>
        </w:tc>
        <w:tc>
          <w:tcPr>
            <w:tcW w:w="2835" w:type="dxa"/>
          </w:tcPr>
          <w:p w14:paraId="466E122B" w14:textId="77777777" w:rsidR="00344F3B" w:rsidRPr="002C21B8" w:rsidRDefault="00344F3B" w:rsidP="008433C5">
            <w:pPr>
              <w:spacing w:afterLines="50" w:after="120" w:line="240" w:lineRule="auto"/>
              <w:jc w:val="left"/>
              <w:rPr>
                <w:sz w:val="18"/>
                <w:szCs w:val="18"/>
              </w:rPr>
            </w:pPr>
          </w:p>
        </w:tc>
      </w:tr>
      <w:tr w:rsidR="00344F3B" w:rsidRPr="002C21B8" w14:paraId="24D046E0" w14:textId="77777777" w:rsidTr="00E55101">
        <w:tc>
          <w:tcPr>
            <w:tcW w:w="4240" w:type="dxa"/>
            <w:gridSpan w:val="2"/>
          </w:tcPr>
          <w:p w14:paraId="4C046105" w14:textId="77777777" w:rsidR="00344F3B" w:rsidRPr="002C21B8" w:rsidRDefault="00344F3B" w:rsidP="008433C5">
            <w:pPr>
              <w:spacing w:afterLines="50" w:after="120" w:line="240" w:lineRule="auto"/>
              <w:jc w:val="left"/>
              <w:rPr>
                <w:sz w:val="18"/>
                <w:szCs w:val="18"/>
              </w:rPr>
            </w:pPr>
            <w:r w:rsidRPr="002C21B8">
              <w:rPr>
                <w:sz w:val="18"/>
                <w:szCs w:val="18"/>
              </w:rPr>
              <w:t>RaDaR eligible patients not initiated (n)</w:t>
            </w:r>
          </w:p>
        </w:tc>
        <w:tc>
          <w:tcPr>
            <w:tcW w:w="1416" w:type="dxa"/>
            <w:gridSpan w:val="2"/>
          </w:tcPr>
          <w:p w14:paraId="5F0AEC15" w14:textId="77777777" w:rsidR="00344F3B" w:rsidRPr="002C21B8" w:rsidRDefault="00344F3B" w:rsidP="008433C5">
            <w:pPr>
              <w:spacing w:afterLines="50" w:after="120" w:line="240" w:lineRule="auto"/>
              <w:jc w:val="left"/>
              <w:rPr>
                <w:sz w:val="18"/>
                <w:szCs w:val="18"/>
              </w:rPr>
            </w:pPr>
            <w:r w:rsidRPr="002C21B8">
              <w:rPr>
                <w:sz w:val="18"/>
                <w:szCs w:val="18"/>
              </w:rPr>
              <w:t>547</w:t>
            </w:r>
          </w:p>
        </w:tc>
        <w:tc>
          <w:tcPr>
            <w:tcW w:w="5393" w:type="dxa"/>
          </w:tcPr>
          <w:p w14:paraId="410FD7B7" w14:textId="77777777" w:rsidR="00344F3B" w:rsidRPr="002C21B8" w:rsidRDefault="00344F3B" w:rsidP="008433C5">
            <w:pPr>
              <w:spacing w:afterLines="50" w:after="120" w:line="240" w:lineRule="auto"/>
              <w:jc w:val="left"/>
              <w:rPr>
                <w:sz w:val="18"/>
                <w:szCs w:val="18"/>
              </w:rPr>
            </w:pPr>
            <w:r w:rsidRPr="002C21B8">
              <w:rPr>
                <w:sz w:val="18"/>
                <w:szCs w:val="18"/>
              </w:rPr>
              <w:t>Study</w:t>
            </w:r>
          </w:p>
        </w:tc>
        <w:tc>
          <w:tcPr>
            <w:tcW w:w="2835" w:type="dxa"/>
          </w:tcPr>
          <w:p w14:paraId="17D36B83" w14:textId="77777777" w:rsidR="00344F3B" w:rsidRPr="002C21B8" w:rsidRDefault="00344F3B" w:rsidP="008433C5">
            <w:pPr>
              <w:spacing w:afterLines="50" w:after="120" w:line="240" w:lineRule="auto"/>
              <w:jc w:val="left"/>
              <w:rPr>
                <w:sz w:val="18"/>
                <w:szCs w:val="18"/>
              </w:rPr>
            </w:pPr>
          </w:p>
        </w:tc>
      </w:tr>
      <w:tr w:rsidR="00344F3B" w:rsidRPr="002C21B8" w14:paraId="092A3E43" w14:textId="77777777" w:rsidTr="00E55101">
        <w:tc>
          <w:tcPr>
            <w:tcW w:w="4240" w:type="dxa"/>
            <w:gridSpan w:val="2"/>
          </w:tcPr>
          <w:p w14:paraId="653BC163" w14:textId="77777777" w:rsidR="00344F3B" w:rsidRPr="002C21B8" w:rsidRDefault="00344F3B" w:rsidP="008433C5">
            <w:pPr>
              <w:spacing w:afterLines="50" w:after="120" w:line="240" w:lineRule="auto"/>
              <w:jc w:val="left"/>
              <w:rPr>
                <w:sz w:val="18"/>
                <w:szCs w:val="18"/>
              </w:rPr>
            </w:pPr>
            <w:r w:rsidRPr="002C21B8">
              <w:rPr>
                <w:sz w:val="18"/>
                <w:szCs w:val="18"/>
              </w:rPr>
              <w:t>RaDaR total ADPKD patients</w:t>
            </w:r>
          </w:p>
        </w:tc>
        <w:tc>
          <w:tcPr>
            <w:tcW w:w="1416" w:type="dxa"/>
            <w:gridSpan w:val="2"/>
          </w:tcPr>
          <w:p w14:paraId="4076CDC7" w14:textId="77777777" w:rsidR="00344F3B" w:rsidRPr="002C21B8" w:rsidRDefault="00344F3B" w:rsidP="008433C5">
            <w:pPr>
              <w:spacing w:afterLines="50" w:after="120" w:line="240" w:lineRule="auto"/>
              <w:jc w:val="left"/>
              <w:rPr>
                <w:sz w:val="18"/>
                <w:szCs w:val="18"/>
              </w:rPr>
            </w:pPr>
            <w:r w:rsidRPr="002C21B8">
              <w:rPr>
                <w:sz w:val="18"/>
                <w:szCs w:val="18"/>
              </w:rPr>
              <w:t>3,609</w:t>
            </w:r>
          </w:p>
        </w:tc>
        <w:tc>
          <w:tcPr>
            <w:tcW w:w="5393" w:type="dxa"/>
          </w:tcPr>
          <w:p w14:paraId="28C12AD4" w14:textId="77777777" w:rsidR="00344F3B" w:rsidRPr="002C21B8" w:rsidRDefault="00344F3B" w:rsidP="008433C5">
            <w:pPr>
              <w:spacing w:afterLines="50" w:after="120" w:line="240" w:lineRule="auto"/>
              <w:jc w:val="left"/>
              <w:rPr>
                <w:sz w:val="18"/>
                <w:szCs w:val="18"/>
              </w:rPr>
            </w:pPr>
            <w:r w:rsidRPr="002C21B8">
              <w:rPr>
                <w:sz w:val="18"/>
                <w:szCs w:val="18"/>
              </w:rPr>
              <w:t>Study</w:t>
            </w:r>
          </w:p>
        </w:tc>
        <w:tc>
          <w:tcPr>
            <w:tcW w:w="2835" w:type="dxa"/>
          </w:tcPr>
          <w:p w14:paraId="1594D133" w14:textId="77777777" w:rsidR="00344F3B" w:rsidRPr="002C21B8" w:rsidRDefault="00344F3B" w:rsidP="008433C5">
            <w:pPr>
              <w:spacing w:afterLines="50" w:after="120" w:line="240" w:lineRule="auto"/>
              <w:jc w:val="left"/>
              <w:rPr>
                <w:sz w:val="18"/>
                <w:szCs w:val="18"/>
              </w:rPr>
            </w:pPr>
          </w:p>
        </w:tc>
      </w:tr>
      <w:tr w:rsidR="00344F3B" w:rsidRPr="002C21B8" w14:paraId="17E50D5B" w14:textId="77777777" w:rsidTr="00E55101">
        <w:tc>
          <w:tcPr>
            <w:tcW w:w="4240" w:type="dxa"/>
            <w:gridSpan w:val="2"/>
          </w:tcPr>
          <w:p w14:paraId="34A354AD" w14:textId="77777777" w:rsidR="00344F3B" w:rsidRPr="002C21B8" w:rsidRDefault="00344F3B" w:rsidP="008433C5">
            <w:pPr>
              <w:spacing w:afterLines="50" w:after="120" w:line="240" w:lineRule="auto"/>
              <w:jc w:val="left"/>
              <w:rPr>
                <w:sz w:val="18"/>
                <w:szCs w:val="18"/>
              </w:rPr>
            </w:pPr>
            <w:r w:rsidRPr="002C21B8">
              <w:rPr>
                <w:sz w:val="18"/>
                <w:szCs w:val="18"/>
              </w:rPr>
              <w:t>Proportion of eligible not initiated (%)</w:t>
            </w:r>
          </w:p>
        </w:tc>
        <w:tc>
          <w:tcPr>
            <w:tcW w:w="1416" w:type="dxa"/>
            <w:gridSpan w:val="2"/>
          </w:tcPr>
          <w:p w14:paraId="78F43D7F" w14:textId="77777777" w:rsidR="00344F3B" w:rsidRPr="002C21B8" w:rsidRDefault="00344F3B" w:rsidP="008433C5">
            <w:pPr>
              <w:spacing w:afterLines="50" w:after="120" w:line="240" w:lineRule="auto"/>
              <w:jc w:val="left"/>
              <w:rPr>
                <w:sz w:val="18"/>
                <w:szCs w:val="18"/>
              </w:rPr>
            </w:pPr>
            <w:r w:rsidRPr="002C21B8">
              <w:rPr>
                <w:sz w:val="18"/>
                <w:szCs w:val="18"/>
              </w:rPr>
              <w:t>15.16%</w:t>
            </w:r>
          </w:p>
        </w:tc>
        <w:tc>
          <w:tcPr>
            <w:tcW w:w="5393" w:type="dxa"/>
          </w:tcPr>
          <w:p w14:paraId="4CE82A5F"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01AE544F" w14:textId="77777777" w:rsidR="00344F3B" w:rsidRPr="002C21B8" w:rsidRDefault="00344F3B" w:rsidP="008433C5">
            <w:pPr>
              <w:spacing w:afterLines="50" w:after="120" w:line="240" w:lineRule="auto"/>
              <w:jc w:val="left"/>
              <w:rPr>
                <w:sz w:val="18"/>
                <w:szCs w:val="18"/>
              </w:rPr>
            </w:pPr>
            <w:r w:rsidRPr="002C21B8">
              <w:rPr>
                <w:sz w:val="18"/>
                <w:szCs w:val="18"/>
              </w:rPr>
              <w:t>= 547/3609</w:t>
            </w:r>
          </w:p>
        </w:tc>
      </w:tr>
      <w:tr w:rsidR="00344F3B" w:rsidRPr="002C21B8" w14:paraId="1A886F05" w14:textId="77777777" w:rsidTr="00E55101">
        <w:tc>
          <w:tcPr>
            <w:tcW w:w="4240" w:type="dxa"/>
            <w:gridSpan w:val="2"/>
          </w:tcPr>
          <w:p w14:paraId="493E0772" w14:textId="77777777" w:rsidR="00344F3B" w:rsidRPr="002C21B8" w:rsidRDefault="00344F3B" w:rsidP="008433C5">
            <w:pPr>
              <w:spacing w:afterLines="50" w:after="120" w:line="240" w:lineRule="auto"/>
              <w:jc w:val="left"/>
              <w:rPr>
                <w:sz w:val="18"/>
                <w:szCs w:val="18"/>
              </w:rPr>
            </w:pPr>
            <w:r w:rsidRPr="002C21B8">
              <w:rPr>
                <w:sz w:val="18"/>
                <w:szCs w:val="18"/>
              </w:rPr>
              <w:t>Estimated eligible not initiated in UK (%)</w:t>
            </w:r>
          </w:p>
        </w:tc>
        <w:tc>
          <w:tcPr>
            <w:tcW w:w="1416" w:type="dxa"/>
            <w:gridSpan w:val="2"/>
          </w:tcPr>
          <w:p w14:paraId="6BB07169" w14:textId="77777777" w:rsidR="00344F3B" w:rsidRPr="002C21B8" w:rsidRDefault="00344F3B" w:rsidP="008433C5">
            <w:pPr>
              <w:spacing w:afterLines="50" w:after="120" w:line="240" w:lineRule="auto"/>
              <w:jc w:val="left"/>
              <w:rPr>
                <w:sz w:val="18"/>
                <w:szCs w:val="18"/>
              </w:rPr>
            </w:pPr>
            <w:r w:rsidRPr="002C21B8">
              <w:rPr>
                <w:sz w:val="18"/>
                <w:szCs w:val="18"/>
              </w:rPr>
              <w:t>4,547</w:t>
            </w:r>
          </w:p>
        </w:tc>
        <w:tc>
          <w:tcPr>
            <w:tcW w:w="5393" w:type="dxa"/>
          </w:tcPr>
          <w:p w14:paraId="6AFBB08B"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54B0B7CF" w14:textId="77777777" w:rsidR="00344F3B" w:rsidRPr="002C21B8" w:rsidRDefault="00344F3B" w:rsidP="008433C5">
            <w:pPr>
              <w:spacing w:afterLines="50" w:after="120" w:line="240" w:lineRule="auto"/>
              <w:jc w:val="left"/>
              <w:rPr>
                <w:sz w:val="18"/>
                <w:szCs w:val="18"/>
              </w:rPr>
            </w:pPr>
            <w:r w:rsidRPr="002C21B8">
              <w:rPr>
                <w:sz w:val="18"/>
                <w:szCs w:val="18"/>
              </w:rPr>
              <w:t>= 30,000*0.1516</w:t>
            </w:r>
          </w:p>
        </w:tc>
      </w:tr>
      <w:tr w:rsidR="00344F3B" w:rsidRPr="002C21B8" w14:paraId="6AA23FF4" w14:textId="77777777" w:rsidTr="00E55101">
        <w:tc>
          <w:tcPr>
            <w:tcW w:w="4240" w:type="dxa"/>
            <w:gridSpan w:val="2"/>
          </w:tcPr>
          <w:p w14:paraId="7F17DF17" w14:textId="77777777" w:rsidR="00344F3B" w:rsidRPr="002C21B8" w:rsidRDefault="00344F3B" w:rsidP="008433C5">
            <w:pPr>
              <w:spacing w:afterLines="50" w:after="120" w:line="240" w:lineRule="auto"/>
              <w:jc w:val="left"/>
              <w:rPr>
                <w:sz w:val="18"/>
                <w:szCs w:val="18"/>
              </w:rPr>
            </w:pPr>
            <w:r w:rsidRPr="002C21B8">
              <w:rPr>
                <w:sz w:val="18"/>
                <w:szCs w:val="18"/>
              </w:rPr>
              <w:t>Tolvaptan patient uptake</w:t>
            </w:r>
          </w:p>
        </w:tc>
        <w:tc>
          <w:tcPr>
            <w:tcW w:w="1416" w:type="dxa"/>
            <w:gridSpan w:val="2"/>
          </w:tcPr>
          <w:p w14:paraId="51D6721C" w14:textId="77777777" w:rsidR="00344F3B" w:rsidRPr="002C21B8" w:rsidRDefault="00344F3B" w:rsidP="008433C5">
            <w:pPr>
              <w:spacing w:afterLines="50" w:after="120" w:line="240" w:lineRule="auto"/>
              <w:jc w:val="left"/>
              <w:rPr>
                <w:sz w:val="18"/>
                <w:szCs w:val="18"/>
              </w:rPr>
            </w:pPr>
            <w:r w:rsidRPr="002C21B8">
              <w:rPr>
                <w:sz w:val="18"/>
                <w:szCs w:val="18"/>
              </w:rPr>
              <w:t>30.5%</w:t>
            </w:r>
          </w:p>
        </w:tc>
        <w:tc>
          <w:tcPr>
            <w:tcW w:w="5393" w:type="dxa"/>
          </w:tcPr>
          <w:p w14:paraId="2AE486A6" w14:textId="77777777"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&lt;EndNote&gt;&lt;Cite&gt;&lt;Author&gt;Calvaruso&lt;/Author&gt;&lt;Year&gt;2023&lt;/Year&gt;&lt;RecNum&gt;124902&lt;/RecNum&gt;&lt;DisplayText&gt;(Calvaruso&lt;style face="italic"&gt; et al.&lt;/style&gt;, 2023)&lt;/DisplayText&gt;&lt;record&gt;&lt;rec-number&gt;124902&lt;/rec-number&gt;&lt;foreign-keys&gt;&lt;key app="EN" db-id="xpefzwa5hf9dt2ea9fax95x7xvxz90v09dtf" timestamp="1748879779"&gt;124902&lt;/key&gt;&lt;/foreign-keys&gt;&lt;ref-type name="Journal Article"&gt;17&lt;/ref-type&gt;&lt;contributors&gt;&lt;authors&gt;&lt;author&gt;Calvaruso, L.&lt;/author&gt;&lt;author&gt;Yau, K.&lt;/author&gt;&lt;author&gt;Akbari, P.&lt;/author&gt;&lt;author&gt;Nasri, F.&lt;/author&gt;&lt;author&gt;Khowaja, S.&lt;/author&gt;&lt;author&gt;Wang, B.&lt;/author&gt;&lt;author&gt;Haghighi, A.&lt;/author&gt;&lt;author&gt;Khalili, K.&lt;/author&gt;&lt;author&gt;Pei, Y.&lt;/author&gt;&lt;/authors&gt;&lt;/contributors&gt;&lt;titles&gt;&lt;title&gt;Real-life use of tolvaptan in ADPKD: a retrospective analysis of a large Canadian cohort&lt;/title&gt;&lt;secondary-title&gt;Scientific Reports&lt;/secondary-title&gt;&lt;/titles&gt;&lt;periodical&gt;&lt;full-title&gt;Scientific reports&lt;/full-title&gt;&lt;/periodical&gt;&lt;pages&gt;22257&lt;/pages&gt;&lt;volume&gt;13&lt;/volume&gt;&lt;number&gt;1&lt;/number&gt;&lt;dates&gt;&lt;year&gt;2023&lt;/year&gt;&lt;pub-dates&gt;&lt;date&gt;2023/12/14&lt;/date&gt;&lt;/pub-dates&gt;&lt;/dates&gt;&lt;isbn&gt;2045-2322&lt;/isbn&gt;&lt;urls&gt;&lt;related-urls&gt;&lt;url&gt;https://doi.org/10.1038/s41598-023-48638-9&lt;/url&gt;&lt;/related-urls&gt;&lt;/urls&gt;&lt;electronic-resource-num&gt;10.1038/s41598-023-48638-9&lt;/electronic-resource-num&gt;&lt;/record&gt;&lt;/Cite&gt;&lt;/EndNote&gt;</w:instrText>
            </w:r>
            <w:r w:rsidRPr="002C21B8">
              <w:rPr>
                <w:sz w:val="18"/>
                <w:szCs w:val="18"/>
              </w:rPr>
              <w:fldChar w:fldCharType="separate"/>
            </w:r>
            <w:r w:rsidRPr="002C21B8">
              <w:rPr>
                <w:sz w:val="18"/>
                <w:szCs w:val="18"/>
              </w:rPr>
              <w:t>(Calvaruso</w:t>
            </w:r>
            <w:r w:rsidRPr="002C21B8">
              <w:rPr>
                <w:i/>
                <w:sz w:val="18"/>
                <w:szCs w:val="18"/>
              </w:rPr>
              <w:t xml:space="preserve"> et al.</w:t>
            </w:r>
            <w:r w:rsidRPr="002C21B8">
              <w:rPr>
                <w:sz w:val="18"/>
                <w:szCs w:val="18"/>
              </w:rPr>
              <w:t>, 2023)</w:t>
            </w:r>
            <w:r w:rsidRPr="002C21B8">
              <w:rPr>
                <w:sz w:val="18"/>
                <w:szCs w:val="18"/>
              </w:rPr>
              <w:fldChar w:fldCharType="end"/>
            </w:r>
          </w:p>
        </w:tc>
        <w:tc>
          <w:tcPr>
            <w:tcW w:w="2835" w:type="dxa"/>
          </w:tcPr>
          <w:p w14:paraId="1C0E460E" w14:textId="77777777" w:rsidR="00344F3B" w:rsidRPr="002C21B8" w:rsidRDefault="00344F3B" w:rsidP="008433C5">
            <w:pPr>
              <w:spacing w:afterLines="50" w:after="120" w:line="240" w:lineRule="auto"/>
              <w:jc w:val="left"/>
              <w:rPr>
                <w:sz w:val="18"/>
                <w:szCs w:val="18"/>
              </w:rPr>
            </w:pPr>
          </w:p>
        </w:tc>
      </w:tr>
      <w:tr w:rsidR="00344F3B" w:rsidRPr="002C21B8" w14:paraId="61772778" w14:textId="77777777" w:rsidTr="00E55101">
        <w:tc>
          <w:tcPr>
            <w:tcW w:w="4240" w:type="dxa"/>
            <w:gridSpan w:val="2"/>
          </w:tcPr>
          <w:p w14:paraId="6D7C6EAC" w14:textId="77777777" w:rsidR="00344F3B" w:rsidRPr="002C21B8" w:rsidRDefault="00344F3B" w:rsidP="008433C5">
            <w:pPr>
              <w:spacing w:afterLines="50" w:after="120" w:line="240" w:lineRule="auto"/>
              <w:jc w:val="left"/>
              <w:rPr>
                <w:sz w:val="18"/>
                <w:szCs w:val="18"/>
              </w:rPr>
            </w:pPr>
            <w:r w:rsidRPr="002C21B8">
              <w:rPr>
                <w:sz w:val="18"/>
                <w:szCs w:val="18"/>
              </w:rPr>
              <w:t>Estimated eligible not initiated in UK initiated (%)</w:t>
            </w:r>
          </w:p>
        </w:tc>
        <w:tc>
          <w:tcPr>
            <w:tcW w:w="1416" w:type="dxa"/>
            <w:gridSpan w:val="2"/>
          </w:tcPr>
          <w:p w14:paraId="59AEA010" w14:textId="77777777" w:rsidR="00344F3B" w:rsidRPr="002C21B8" w:rsidRDefault="00344F3B" w:rsidP="008433C5">
            <w:pPr>
              <w:spacing w:afterLines="50" w:after="120" w:line="240" w:lineRule="auto"/>
              <w:jc w:val="left"/>
              <w:rPr>
                <w:sz w:val="18"/>
                <w:szCs w:val="18"/>
              </w:rPr>
            </w:pPr>
            <w:r w:rsidRPr="002C21B8">
              <w:rPr>
                <w:sz w:val="18"/>
                <w:szCs w:val="18"/>
              </w:rPr>
              <w:t>1,386.82</w:t>
            </w:r>
          </w:p>
        </w:tc>
        <w:tc>
          <w:tcPr>
            <w:tcW w:w="5393" w:type="dxa"/>
          </w:tcPr>
          <w:p w14:paraId="1B3F6F17"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6B9580B2" w14:textId="77777777" w:rsidR="00344F3B" w:rsidRPr="002C21B8" w:rsidRDefault="00344F3B" w:rsidP="008433C5">
            <w:pPr>
              <w:spacing w:afterLines="50" w:after="120" w:line="240" w:lineRule="auto"/>
              <w:jc w:val="left"/>
              <w:rPr>
                <w:sz w:val="18"/>
                <w:szCs w:val="18"/>
              </w:rPr>
            </w:pPr>
            <w:r w:rsidRPr="002C21B8">
              <w:rPr>
                <w:sz w:val="18"/>
                <w:szCs w:val="18"/>
              </w:rPr>
              <w:t>= 4,547*1,387</w:t>
            </w:r>
          </w:p>
        </w:tc>
      </w:tr>
      <w:tr w:rsidR="00344F3B" w:rsidRPr="002C21B8" w14:paraId="24658CA3" w14:textId="77777777" w:rsidTr="00E55101">
        <w:tc>
          <w:tcPr>
            <w:tcW w:w="4240" w:type="dxa"/>
            <w:gridSpan w:val="2"/>
          </w:tcPr>
          <w:p w14:paraId="33321BB5" w14:textId="77777777" w:rsidR="00344F3B" w:rsidRPr="002C21B8" w:rsidRDefault="00344F3B" w:rsidP="008433C5">
            <w:pPr>
              <w:spacing w:afterLines="50" w:after="120" w:line="240" w:lineRule="auto"/>
              <w:jc w:val="left"/>
              <w:rPr>
                <w:sz w:val="18"/>
                <w:szCs w:val="18"/>
              </w:rPr>
            </w:pPr>
            <w:r w:rsidRPr="002C21B8">
              <w:rPr>
                <w:sz w:val="18"/>
                <w:szCs w:val="18"/>
              </w:rPr>
              <w:t>Annual decline in eGFR (ml/min/1.73m</w:t>
            </w:r>
            <w:r w:rsidRPr="002C21B8">
              <w:rPr>
                <w:sz w:val="18"/>
                <w:szCs w:val="18"/>
                <w:vertAlign w:val="superscript"/>
              </w:rPr>
              <w:t>2</w:t>
            </w:r>
            <w:r w:rsidRPr="002C21B8">
              <w:rPr>
                <w:sz w:val="18"/>
                <w:szCs w:val="18"/>
              </w:rPr>
              <w:t>/year) (Mean (SD))</w:t>
            </w:r>
          </w:p>
        </w:tc>
        <w:tc>
          <w:tcPr>
            <w:tcW w:w="1416" w:type="dxa"/>
            <w:gridSpan w:val="2"/>
          </w:tcPr>
          <w:p w14:paraId="245DC4EC" w14:textId="77777777" w:rsidR="00344F3B" w:rsidRPr="002C21B8" w:rsidRDefault="00344F3B" w:rsidP="008433C5">
            <w:pPr>
              <w:spacing w:afterLines="50" w:after="120" w:line="240" w:lineRule="auto"/>
              <w:jc w:val="left"/>
              <w:rPr>
                <w:sz w:val="18"/>
                <w:szCs w:val="18"/>
              </w:rPr>
            </w:pPr>
            <w:r w:rsidRPr="002C21B8">
              <w:rPr>
                <w:sz w:val="18"/>
                <w:szCs w:val="18"/>
              </w:rPr>
              <w:t>-7.07 (10.78)</w:t>
            </w:r>
          </w:p>
        </w:tc>
        <w:tc>
          <w:tcPr>
            <w:tcW w:w="5393" w:type="dxa"/>
          </w:tcPr>
          <w:p w14:paraId="3C58673A" w14:textId="77777777" w:rsidR="00344F3B" w:rsidRPr="002C21B8" w:rsidRDefault="00344F3B" w:rsidP="008433C5">
            <w:pPr>
              <w:spacing w:afterLines="50" w:after="120" w:line="240" w:lineRule="auto"/>
              <w:jc w:val="left"/>
              <w:rPr>
                <w:sz w:val="18"/>
                <w:szCs w:val="18"/>
                <w:lang w:val="fr-FR"/>
              </w:rPr>
            </w:pPr>
            <w:r w:rsidRPr="002C21B8">
              <w:rPr>
                <w:sz w:val="18"/>
                <w:szCs w:val="18"/>
              </w:rPr>
              <w:fldChar w:fldCharType="begin"/>
            </w:r>
            <w:r w:rsidRPr="002C21B8">
              <w:rPr>
                <w:sz w:val="18"/>
                <w:szCs w:val="18"/>
                <w:lang w:val="fr-FR"/>
              </w:rPr>
              <w:instrText xml:space="preserve"> ADDIN EN.CITE &lt;EndNote&gt;&lt;Cite&gt;&lt;Author&gt;Torres&lt;/Author&gt;&lt;Year&gt;2016&lt;/Year&gt;&lt;RecNum&gt;125000&lt;/RecNum&gt;&lt;DisplayText&gt;(Torres&lt;style face="italic"&gt; et al.&lt;/style&gt;, 2016)&lt;/DisplayText&gt;&lt;record&gt;&lt;rec-number&gt;125000&lt;/rec-number&gt;&lt;foreign-keys&gt;&lt;key app="EN" db-id="xpefzwa5hf9dt2ea9fax95x7xvxz90v09dtf" timestamp="1757059741"&gt;125000&lt;/key&gt;&lt;/foreign-keys&gt;&lt;ref-type name="Journal Article"&gt;17&lt;/ref-type&gt;&lt;contributors&gt;&lt;authors&gt;&lt;author&gt;Torres, Vicente E&lt;/author&gt;&lt;author&gt;Higashihara, Eiji&lt;/author&gt;&lt;author&gt;Devuyst, Olivier&lt;/author&gt;&lt;author&gt;Chapman, Arlene B&lt;/author&gt;&lt;author&gt;Gansevoort, Ronald T&lt;/author&gt;&lt;author&gt;Grantham, Jared J&lt;/author&gt;&lt;author&gt;Perrone, Ronald D&lt;/author&gt;&lt;author&gt;Ouyang, John&lt;/author&gt;&lt;author&gt;Blais, Jaime D&lt;/author&gt;&lt;author&gt;Czerwiec, Frank S&lt;/author&gt;&lt;/authors&gt;&lt;/contributors&gt;&lt;titles&gt;&lt;title&gt;Effect of tolvaptan in autosomal dominant polycystic kidney disease by CKD stage: results from the TEMPO 3: 4 trial&lt;/title&gt;&lt;secondary-title&gt;Clinical Journal of the American Society of Nephrology&lt;/secondary-title&gt;&lt;/titles&gt;&lt;periodical&gt;&lt;full-title&gt;Clinical Journal of the American Society of Nephrology&lt;/full-title&gt;&lt;/periodical&gt;&lt;pages&gt;803-811&lt;/pages&gt;&lt;volume&gt;11&lt;/volume&gt;&lt;number&gt;5&lt;/number&gt;&lt;dates&gt;&lt;year&gt;2016&lt;/year&gt;&lt;/dates&gt;&lt;isbn&gt;1555-9041&lt;/isbn&gt;&lt;urls&gt;&lt;/urls&gt;&lt;/record&gt;&lt;/Cite&gt;&lt;/EndNote&gt;</w:instrText>
            </w:r>
            <w:r w:rsidRPr="002C21B8">
              <w:rPr>
                <w:sz w:val="18"/>
                <w:szCs w:val="18"/>
              </w:rPr>
              <w:fldChar w:fldCharType="separate"/>
            </w:r>
            <w:r w:rsidRPr="002C21B8">
              <w:rPr>
                <w:sz w:val="18"/>
                <w:szCs w:val="18"/>
                <w:lang w:val="fr-FR"/>
              </w:rPr>
              <w:t>(Torres</w:t>
            </w:r>
            <w:r w:rsidRPr="002C21B8">
              <w:rPr>
                <w:i/>
                <w:sz w:val="18"/>
                <w:szCs w:val="18"/>
                <w:lang w:val="fr-FR"/>
              </w:rPr>
              <w:t xml:space="preserve"> et al.</w:t>
            </w:r>
            <w:r w:rsidRPr="002C21B8">
              <w:rPr>
                <w:sz w:val="18"/>
                <w:szCs w:val="18"/>
                <w:lang w:val="fr-FR"/>
              </w:rPr>
              <w:t>, 2016)</w:t>
            </w:r>
            <w:r w:rsidRPr="002C21B8">
              <w:rPr>
                <w:sz w:val="18"/>
                <w:szCs w:val="18"/>
              </w:rPr>
              <w:fldChar w:fldCharType="end"/>
            </w:r>
            <w:r w:rsidRPr="002C21B8">
              <w:rPr>
                <w:sz w:val="18"/>
                <w:szCs w:val="18"/>
                <w:lang w:val="fr-FR"/>
              </w:rPr>
              <w:t xml:space="preserve">, </w:t>
            </w:r>
            <w:r w:rsidRPr="002C21B8">
              <w:rPr>
                <w:sz w:val="18"/>
                <w:szCs w:val="18"/>
              </w:rPr>
              <w:fldChar w:fldCharType="begin"/>
            </w:r>
            <w:r w:rsidRPr="002C21B8">
              <w:rPr>
                <w:sz w:val="18"/>
                <w:szCs w:val="18"/>
                <w:lang w:val="fr-FR"/>
              </w:rPr>
              <w:instrText xml:space="preserve"> ADDIN EN.CITE &lt;EndNote&gt;&lt;Cite&gt;&lt;Author&gt;Torres&lt;/Author&gt;&lt;Year&gt;2021&lt;/Year&gt;&lt;RecNum&gt;125001&lt;/RecNum&gt;&lt;DisplayText&gt;(Torres&lt;style face="italic"&gt; et al.&lt;/style&gt;, 2021)&lt;/DisplayText&gt;&lt;record&gt;&lt;rec-number&gt;125001&lt;/rec-number&gt;&lt;foreign-keys&gt;&lt;key app="EN" db-id="xpefzwa5hf9dt2ea9fax95x7xvxz90v09dtf" timestamp="1757059804"&gt;125001&lt;/key&gt;&lt;/foreign-keys&gt;&lt;ref-type name="Journal Article"&gt;17&lt;/ref-type&gt;&lt;contributors&gt;&lt;authors&gt;&lt;author&gt;Torres, Vicente E&lt;/author&gt;&lt;author&gt;Chapman, Arlene B&lt;/author&gt;&lt;author&gt;Devuyst, Olivier&lt;/author&gt;&lt;author&gt;Gansevoort, Ron T&lt;/author&gt;&lt;author&gt;Perrone, Ronald D&lt;/author&gt;&lt;author&gt;Lee, Jennifer&lt;/author&gt;&lt;author&gt;Hoke, Molly E&lt;/author&gt;&lt;author&gt;Estilo, Alvin&lt;/author&gt;&lt;author&gt;Sergeyeva, Olga&lt;/author&gt;&lt;/authors&gt;&lt;/contributors&gt;&lt;titles&gt;&lt;title&gt;Multicenter study of long-term safety of tolvaptan in later-stage autosomal dominant polycystic kidney disease&lt;/title&gt;&lt;secondary-title&gt;Clinical Journal of the American Society of Nephrology&lt;/secondary-title&gt;&lt;/titles&gt;&lt;periodical&gt;&lt;full-title&gt;Clinical Journal of the American Society of Nephrology&lt;/full-title&gt;&lt;/periodical&gt;&lt;pages&gt;48-58&lt;/pages&gt;&lt;volume&gt;16&lt;/volume&gt;&lt;number&gt;1&lt;/number&gt;&lt;dates&gt;&lt;year&gt;2021&lt;/year&gt;&lt;/dates&gt;&lt;isbn&gt;1555-9041&lt;/isbn&gt;&lt;urls&gt;&lt;/urls&gt;&lt;/record&gt;&lt;/Cite&gt;&lt;/EndNote&gt;</w:instrText>
            </w:r>
            <w:r w:rsidRPr="002C21B8">
              <w:rPr>
                <w:sz w:val="18"/>
                <w:szCs w:val="18"/>
              </w:rPr>
              <w:fldChar w:fldCharType="separate"/>
            </w:r>
            <w:r w:rsidRPr="002C21B8">
              <w:rPr>
                <w:sz w:val="18"/>
                <w:szCs w:val="18"/>
                <w:lang w:val="fr-FR"/>
              </w:rPr>
              <w:t>(Torres</w:t>
            </w:r>
            <w:r w:rsidRPr="002C21B8">
              <w:rPr>
                <w:i/>
                <w:sz w:val="18"/>
                <w:szCs w:val="18"/>
                <w:lang w:val="fr-FR"/>
              </w:rPr>
              <w:t xml:space="preserve"> et al.</w:t>
            </w:r>
            <w:r w:rsidRPr="002C21B8">
              <w:rPr>
                <w:sz w:val="18"/>
                <w:szCs w:val="18"/>
                <w:lang w:val="fr-FR"/>
              </w:rPr>
              <w:t>, 2021)</w:t>
            </w:r>
            <w:r w:rsidRPr="002C21B8">
              <w:rPr>
                <w:sz w:val="18"/>
                <w:szCs w:val="18"/>
              </w:rPr>
              <w:fldChar w:fldCharType="end"/>
            </w:r>
            <w:r w:rsidRPr="002C21B8">
              <w:rPr>
                <w:sz w:val="18"/>
                <w:szCs w:val="18"/>
                <w:lang w:val="fr-FR"/>
              </w:rPr>
              <w:t xml:space="preserve"> </w:t>
            </w:r>
          </w:p>
        </w:tc>
        <w:tc>
          <w:tcPr>
            <w:tcW w:w="2835" w:type="dxa"/>
          </w:tcPr>
          <w:p w14:paraId="267CFF94" w14:textId="77777777" w:rsidR="00344F3B" w:rsidRPr="002C21B8" w:rsidRDefault="00344F3B" w:rsidP="008433C5">
            <w:pPr>
              <w:spacing w:afterLines="50" w:after="120" w:line="240" w:lineRule="auto"/>
              <w:jc w:val="left"/>
              <w:rPr>
                <w:sz w:val="18"/>
                <w:szCs w:val="18"/>
                <w:lang w:val="fr-FR"/>
              </w:rPr>
            </w:pPr>
          </w:p>
        </w:tc>
      </w:tr>
      <w:tr w:rsidR="00344F3B" w:rsidRPr="002C21B8" w14:paraId="69562FEC" w14:textId="77777777" w:rsidTr="00E55101">
        <w:tc>
          <w:tcPr>
            <w:tcW w:w="4240" w:type="dxa"/>
            <w:gridSpan w:val="2"/>
          </w:tcPr>
          <w:p w14:paraId="66D101B5" w14:textId="77777777" w:rsidR="00344F3B" w:rsidRPr="002C21B8" w:rsidRDefault="00344F3B" w:rsidP="008433C5">
            <w:pPr>
              <w:spacing w:afterLines="50" w:after="120" w:line="240" w:lineRule="auto"/>
              <w:jc w:val="left"/>
              <w:rPr>
                <w:sz w:val="18"/>
                <w:szCs w:val="18"/>
              </w:rPr>
            </w:pPr>
            <w:r w:rsidRPr="002C21B8">
              <w:rPr>
                <w:sz w:val="18"/>
                <w:szCs w:val="18"/>
              </w:rPr>
              <w:t>Tolvaptan effect (ml/min/1.73m</w:t>
            </w:r>
            <w:r w:rsidRPr="002C21B8">
              <w:rPr>
                <w:sz w:val="18"/>
                <w:szCs w:val="18"/>
                <w:vertAlign w:val="superscript"/>
              </w:rPr>
              <w:t>2</w:t>
            </w:r>
            <w:r w:rsidRPr="002C21B8">
              <w:rPr>
                <w:sz w:val="18"/>
                <w:szCs w:val="18"/>
              </w:rPr>
              <w:t>/year)</w:t>
            </w:r>
          </w:p>
        </w:tc>
        <w:tc>
          <w:tcPr>
            <w:tcW w:w="1416" w:type="dxa"/>
            <w:gridSpan w:val="2"/>
          </w:tcPr>
          <w:p w14:paraId="7B3B7B4E" w14:textId="77777777" w:rsidR="00344F3B" w:rsidRPr="002C21B8" w:rsidRDefault="00344F3B" w:rsidP="008433C5">
            <w:pPr>
              <w:spacing w:afterLines="50" w:after="120" w:line="240" w:lineRule="auto"/>
              <w:jc w:val="left"/>
              <w:rPr>
                <w:sz w:val="18"/>
                <w:szCs w:val="18"/>
              </w:rPr>
            </w:pPr>
            <w:r w:rsidRPr="002C21B8">
              <w:rPr>
                <w:sz w:val="18"/>
                <w:szCs w:val="18"/>
              </w:rPr>
              <w:t>-1.66</w:t>
            </w:r>
          </w:p>
        </w:tc>
        <w:tc>
          <w:tcPr>
            <w:tcW w:w="5393" w:type="dxa"/>
          </w:tcPr>
          <w:p w14:paraId="33F65786" w14:textId="77777777"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&lt;EndNote&gt;&lt;Cite&gt;&lt;Author&gt;Chebib&lt;/Author&gt;&lt;Year&gt;2023&lt;/Year&gt;&lt;RecNum&gt;125002&lt;/RecNum&gt;&lt;DisplayText&gt;(Chebib&lt;style face="italic"&gt; et al.&lt;/style&gt;, 2023)&lt;/DisplayText&gt;&lt;record&gt;&lt;rec-number&gt;125002&lt;/rec-number&gt;&lt;foreign-keys&gt;&lt;key app="EN" db-id="xpefzwa5hf9dt2ea9fax95x7xvxz90v09dtf" timestamp="1757061253"&gt;125002&lt;/key&gt;&lt;/foreign-keys&gt;&lt;ref-type name="Journal Article"&gt;17&lt;/ref-type&gt;&lt;contributors&gt;&lt;authors&gt;&lt;author&gt;Chebib, F. T.&lt;/author&gt;&lt;author&gt;Zhou, X.&lt;/author&gt;&lt;author&gt;Garbinsky, D.&lt;/author&gt;&lt;author&gt;Davenport, E.&lt;/author&gt;&lt;author&gt;Nunna, S.&lt;/author&gt;&lt;author&gt;Oberdhan, D.&lt;/author&gt;&lt;author&gt;Fernandes, A.&lt;/author&gt;&lt;/authors&gt;&lt;/contributors&gt;&lt;auth-address&gt;Division of Nephrology and Hypertension, Mayo Clinic, Jacksonville, FL.&amp;#xD;RTI Health Solutions, Research Triangle Park, NC.&amp;#xD;Otsuka Pharmaceutical Development &amp;amp; Commercialization, Inc, Rockville, MD.&lt;/auth-address&gt;&lt;titles&gt;&lt;title&gt;Tolvaptan and Kidney Function Decline in Older Individuals With Autosomal Dominant Polycystic Kidney Disease: A Pooled Analysis of Randomized Clinical Trials and Observational Studies&lt;/title&gt;&lt;secondary-title&gt;Kidney Medicine&lt;/secondary-title&gt;&lt;/titles&gt;&lt;periodical&gt;&lt;full-title&gt;Kidney medicine&lt;/full-title&gt;&lt;/periodical&gt;&lt;pages&gt;100639&lt;/pages&gt;&lt;volume&gt;5&lt;/volume&gt;&lt;number&gt;6&lt;/number&gt;&lt;edition&gt;20230414&lt;/edition&gt;&lt;keywords&gt;&lt;keyword&gt;Autosomal dominant polycystic kidney disease (ADPKD)&lt;/keyword&gt;&lt;keyword&gt;clinical trial&lt;/keyword&gt;&lt;keyword&gt;glomerular filtration rate (GFR)&lt;/keyword&gt;&lt;keyword&gt;subgroup analysis&lt;/keyword&gt;&lt;keyword&gt;tolvaptan&lt;/keyword&gt;&lt;/keywords&gt;&lt;dates&gt;&lt;year&gt;2023&lt;/year&gt;&lt;pub-dates&gt;&lt;date&gt;Jun&lt;/date&gt;&lt;/pub-dates&gt;&lt;/dates&gt;&lt;isbn&gt;2590-0595&lt;/isbn&gt;&lt;accession-num&gt;37250503&lt;/accession-num&gt;&lt;urls&gt;&lt;/urls&gt;&lt;custom2&gt;PMC10220412&lt;/custom2&gt;&lt;electronic-resource-num&gt;10.1016/j.xkme.2023.100639&lt;/electronic-resource-num&gt;&lt;remote-database-provider&gt;NLM&lt;/remote-database-provider&gt;&lt;language&gt;eng&lt;/language&gt;&lt;/record&gt;&lt;/Cite&gt;&lt;/EndNote&gt;</w:instrText>
            </w:r>
            <w:r w:rsidRPr="002C21B8">
              <w:rPr>
                <w:sz w:val="18"/>
                <w:szCs w:val="18"/>
              </w:rPr>
              <w:fldChar w:fldCharType="separate"/>
            </w:r>
            <w:r w:rsidRPr="002C21B8">
              <w:rPr>
                <w:noProof/>
                <w:sz w:val="18"/>
                <w:szCs w:val="18"/>
              </w:rPr>
              <w:t>(Chebib</w:t>
            </w:r>
            <w:r w:rsidRPr="002C21B8">
              <w:rPr>
                <w:i/>
                <w:noProof/>
                <w:sz w:val="18"/>
                <w:szCs w:val="18"/>
              </w:rPr>
              <w:t xml:space="preserve"> et al.</w:t>
            </w:r>
            <w:r w:rsidRPr="002C21B8">
              <w:rPr>
                <w:noProof/>
                <w:sz w:val="18"/>
                <w:szCs w:val="18"/>
              </w:rPr>
              <w:t>, 2023)</w:t>
            </w:r>
            <w:r w:rsidRPr="002C21B8">
              <w:rPr>
                <w:sz w:val="18"/>
                <w:szCs w:val="18"/>
              </w:rPr>
              <w:fldChar w:fldCharType="end"/>
            </w:r>
          </w:p>
        </w:tc>
        <w:tc>
          <w:tcPr>
            <w:tcW w:w="2835" w:type="dxa"/>
          </w:tcPr>
          <w:p w14:paraId="0C8870A5" w14:textId="77777777" w:rsidR="00344F3B" w:rsidRPr="002C21B8" w:rsidRDefault="00344F3B" w:rsidP="008433C5">
            <w:pPr>
              <w:spacing w:afterLines="50" w:after="120" w:line="240" w:lineRule="auto"/>
              <w:jc w:val="left"/>
              <w:rPr>
                <w:sz w:val="18"/>
                <w:szCs w:val="18"/>
              </w:rPr>
            </w:pPr>
          </w:p>
        </w:tc>
      </w:tr>
      <w:tr w:rsidR="00344F3B" w:rsidRPr="002C21B8" w14:paraId="241452F5" w14:textId="77777777" w:rsidTr="00E55101">
        <w:tc>
          <w:tcPr>
            <w:tcW w:w="4240" w:type="dxa"/>
            <w:gridSpan w:val="2"/>
          </w:tcPr>
          <w:p w14:paraId="2A79639A" w14:textId="77777777" w:rsidR="00344F3B" w:rsidRPr="002C21B8" w:rsidRDefault="00344F3B" w:rsidP="008433C5">
            <w:pPr>
              <w:spacing w:afterLines="50" w:after="120" w:line="240" w:lineRule="auto"/>
              <w:jc w:val="left"/>
              <w:rPr>
                <w:sz w:val="18"/>
                <w:szCs w:val="18"/>
              </w:rPr>
            </w:pPr>
            <w:r w:rsidRPr="002C21B8">
              <w:rPr>
                <w:sz w:val="18"/>
                <w:szCs w:val="18"/>
              </w:rPr>
              <w:t>Annual mortality in non-KF ADPKD patients (%)</w:t>
            </w:r>
          </w:p>
        </w:tc>
        <w:tc>
          <w:tcPr>
            <w:tcW w:w="1416" w:type="dxa"/>
            <w:gridSpan w:val="2"/>
          </w:tcPr>
          <w:p w14:paraId="0DEECFE2" w14:textId="77777777" w:rsidR="00344F3B" w:rsidRPr="002C21B8" w:rsidRDefault="00344F3B" w:rsidP="008433C5">
            <w:pPr>
              <w:spacing w:afterLines="50" w:after="120" w:line="240" w:lineRule="auto"/>
              <w:jc w:val="left"/>
              <w:rPr>
                <w:sz w:val="18"/>
                <w:szCs w:val="18"/>
              </w:rPr>
            </w:pPr>
            <w:r w:rsidRPr="002C21B8">
              <w:rPr>
                <w:sz w:val="18"/>
                <w:szCs w:val="18"/>
              </w:rPr>
              <w:t>1.84</w:t>
            </w:r>
          </w:p>
        </w:tc>
        <w:tc>
          <w:tcPr>
            <w:tcW w:w="5393" w:type="dxa"/>
          </w:tcPr>
          <w:p w14:paraId="1DA9C8C7" w14:textId="77777777"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&lt;EndNote&gt;&lt;Cite&gt;&lt;Author&gt;Mladsi&lt;/Author&gt;&lt;Year&gt;2024&lt;/Year&gt;&lt;RecNum&gt;125105&lt;/RecNum&gt;&lt;DisplayText&gt;(Mladsi&lt;style face="italic"&gt; et al.&lt;/style&gt;, 2024)&lt;/DisplayText&gt;&lt;record&gt;&lt;rec-number&gt;125105&lt;/rec-number&gt;&lt;foreign-keys&gt;&lt;key app="EN" db-id="xpefzwa5hf9dt2ea9fax95x7xvxz90v09dtf" timestamp="1764338570"&gt;125105&lt;/key&gt;&lt;/foreign-keys&gt;&lt;ref-type name="Journal Article"&gt;17&lt;/ref-type&gt;&lt;contributors&gt;&lt;authors&gt;&lt;author&gt;Mladsi, Deirdre&lt;/author&gt;&lt;author&gt;Zhou, Xiaolei&lt;/author&gt;&lt;author&gt;Mader, Gregory&lt;/author&gt;&lt;author&gt;Sanon, Myrlene&lt;/author&gt;&lt;author&gt;Wang, Jinyi&lt;/author&gt;&lt;author&gt;Barnett, Christine&lt;/author&gt;&lt;author&gt;Willey, Cynthia&lt;/author&gt;&lt;author&gt;Seliger, Stephen&lt;/author&gt;&lt;/authors&gt;&lt;/contributors&gt;&lt;titles&gt;&lt;title&gt;Mortality risk in patients with autosomal dominant polycystic kidney disease&lt;/title&gt;&lt;secondary-title&gt;BMC Nephrology&lt;/secondary-title&gt;&lt;/titles&gt;&lt;periodical&gt;&lt;full-title&gt;BMC Nephrology&lt;/full-title&gt;&lt;/periodical&gt;&lt;pages&gt;56&lt;/pages&gt;&lt;volume&gt;25&lt;/volume&gt;&lt;number&gt;1&lt;/number&gt;&lt;dates&gt;&lt;year&gt;2024&lt;/year&gt;&lt;/dates&gt;&lt;isbn&gt;1471-2369&lt;/isbn&gt;&lt;urls&gt;&lt;/urls&gt;&lt;/record&gt;&lt;/Cite&gt;&lt;/EndNote&gt;</w:instrText>
            </w:r>
            <w:r w:rsidRPr="002C21B8">
              <w:rPr>
                <w:sz w:val="18"/>
                <w:szCs w:val="18"/>
              </w:rPr>
              <w:fldChar w:fldCharType="separate"/>
            </w:r>
            <w:r w:rsidRPr="002C21B8">
              <w:rPr>
                <w:noProof/>
                <w:sz w:val="18"/>
                <w:szCs w:val="18"/>
              </w:rPr>
              <w:t>(Mladsi</w:t>
            </w:r>
            <w:r w:rsidRPr="002C21B8">
              <w:rPr>
                <w:i/>
                <w:noProof/>
                <w:sz w:val="18"/>
                <w:szCs w:val="18"/>
              </w:rPr>
              <w:t xml:space="preserve"> et al.</w:t>
            </w:r>
            <w:r w:rsidRPr="002C21B8">
              <w:rPr>
                <w:noProof/>
                <w:sz w:val="18"/>
                <w:szCs w:val="18"/>
              </w:rPr>
              <w:t>, 2024)</w:t>
            </w:r>
            <w:r w:rsidRPr="002C21B8">
              <w:rPr>
                <w:sz w:val="18"/>
                <w:szCs w:val="18"/>
              </w:rPr>
              <w:fldChar w:fldCharType="end"/>
            </w:r>
          </w:p>
        </w:tc>
        <w:tc>
          <w:tcPr>
            <w:tcW w:w="2835" w:type="dxa"/>
          </w:tcPr>
          <w:p w14:paraId="15882C33" w14:textId="77777777" w:rsidR="00344F3B" w:rsidRPr="002C21B8" w:rsidRDefault="00344F3B" w:rsidP="008433C5">
            <w:pPr>
              <w:spacing w:afterLines="50" w:after="120" w:line="240" w:lineRule="auto"/>
              <w:jc w:val="left"/>
              <w:rPr>
                <w:sz w:val="18"/>
                <w:szCs w:val="18"/>
              </w:rPr>
            </w:pPr>
          </w:p>
        </w:tc>
      </w:tr>
      <w:tr w:rsidR="00344F3B" w:rsidRPr="002C21B8" w14:paraId="15F4CD3E" w14:textId="77777777" w:rsidTr="00E55101">
        <w:tc>
          <w:tcPr>
            <w:tcW w:w="4240" w:type="dxa"/>
            <w:gridSpan w:val="2"/>
          </w:tcPr>
          <w:p w14:paraId="3ABF3DD9" w14:textId="77777777" w:rsidR="00344F3B" w:rsidRPr="002C21B8" w:rsidRDefault="00344F3B" w:rsidP="008433C5">
            <w:pPr>
              <w:spacing w:afterLines="50" w:after="120" w:line="240" w:lineRule="auto"/>
              <w:jc w:val="left"/>
              <w:rPr>
                <w:sz w:val="18"/>
                <w:szCs w:val="18"/>
              </w:rPr>
            </w:pPr>
            <w:r w:rsidRPr="002C21B8">
              <w:rPr>
                <w:sz w:val="18"/>
                <w:szCs w:val="18"/>
              </w:rPr>
              <w:t>Estimated KF-free years gained (years)</w:t>
            </w:r>
          </w:p>
        </w:tc>
        <w:tc>
          <w:tcPr>
            <w:tcW w:w="1416" w:type="dxa"/>
            <w:gridSpan w:val="2"/>
          </w:tcPr>
          <w:p w14:paraId="55B47430" w14:textId="77777777" w:rsidR="00344F3B" w:rsidRPr="002C21B8" w:rsidRDefault="00344F3B" w:rsidP="008433C5">
            <w:pPr>
              <w:spacing w:afterLines="50" w:after="120" w:line="240" w:lineRule="auto"/>
              <w:jc w:val="left"/>
              <w:rPr>
                <w:sz w:val="18"/>
                <w:szCs w:val="18"/>
              </w:rPr>
            </w:pPr>
            <w:r w:rsidRPr="002C21B8">
              <w:rPr>
                <w:sz w:val="18"/>
                <w:szCs w:val="18"/>
              </w:rPr>
              <w:t>2,484.58</w:t>
            </w:r>
          </w:p>
        </w:tc>
        <w:tc>
          <w:tcPr>
            <w:tcW w:w="5393" w:type="dxa"/>
          </w:tcPr>
          <w:p w14:paraId="06DA44C9"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E8D8358" w14:textId="1000B26E" w:rsidR="00344F3B" w:rsidRPr="002C21B8" w:rsidRDefault="00344F3B" w:rsidP="008433C5">
            <w:pPr>
              <w:spacing w:afterLines="50" w:after="120" w:line="240" w:lineRule="auto"/>
              <w:jc w:val="left"/>
              <w:rPr>
                <w:sz w:val="18"/>
                <w:szCs w:val="18"/>
              </w:rPr>
            </w:pPr>
          </w:p>
        </w:tc>
      </w:tr>
      <w:tr w:rsidR="00344F3B" w:rsidRPr="002C21B8" w14:paraId="677FD429" w14:textId="77777777" w:rsidTr="00E55101">
        <w:tc>
          <w:tcPr>
            <w:tcW w:w="4240" w:type="dxa"/>
            <w:gridSpan w:val="2"/>
          </w:tcPr>
          <w:p w14:paraId="6B728A2E" w14:textId="77777777" w:rsidR="00344F3B" w:rsidRPr="002C21B8" w:rsidRDefault="00344F3B" w:rsidP="008433C5">
            <w:pPr>
              <w:spacing w:afterLines="50" w:after="120" w:line="240" w:lineRule="auto"/>
              <w:jc w:val="left"/>
              <w:rPr>
                <w:sz w:val="18"/>
                <w:szCs w:val="18"/>
              </w:rPr>
            </w:pPr>
            <w:r w:rsidRPr="002C21B8">
              <w:rPr>
                <w:sz w:val="18"/>
                <w:szCs w:val="18"/>
              </w:rPr>
              <w:t>Annual cost of HD per patient (£)</w:t>
            </w:r>
          </w:p>
        </w:tc>
        <w:tc>
          <w:tcPr>
            <w:tcW w:w="1416" w:type="dxa"/>
            <w:gridSpan w:val="2"/>
          </w:tcPr>
          <w:p w14:paraId="242BEB91" w14:textId="77777777" w:rsidR="00344F3B" w:rsidRPr="002C21B8" w:rsidRDefault="00344F3B" w:rsidP="008433C5">
            <w:pPr>
              <w:spacing w:afterLines="50" w:after="120" w:line="240" w:lineRule="auto"/>
              <w:jc w:val="left"/>
              <w:rPr>
                <w:sz w:val="18"/>
                <w:szCs w:val="18"/>
              </w:rPr>
            </w:pPr>
            <w:r w:rsidRPr="002C21B8">
              <w:rPr>
                <w:sz w:val="18"/>
                <w:szCs w:val="18"/>
              </w:rPr>
              <w:t>34,000</w:t>
            </w:r>
          </w:p>
        </w:tc>
        <w:tc>
          <w:tcPr>
            <w:tcW w:w="5393" w:type="dxa"/>
          </w:tcPr>
          <w:p w14:paraId="43F8DFE2" w14:textId="77777777" w:rsidR="00344F3B" w:rsidRPr="002C21B8" w:rsidRDefault="00344F3B" w:rsidP="008433C5">
            <w:pPr>
              <w:spacing w:afterLines="50" w:after="120" w:line="240" w:lineRule="auto"/>
              <w:jc w:val="left"/>
              <w:rPr>
                <w:sz w:val="18"/>
                <w:szCs w:val="18"/>
              </w:rPr>
            </w:pPr>
            <w:r w:rsidRPr="002C21B8">
              <w:rPr>
                <w:sz w:val="18"/>
                <w:szCs w:val="18"/>
              </w:rPr>
              <w:t>Kidney Research UK</w:t>
            </w:r>
            <w:r w:rsidRPr="002C21B8">
              <w:rPr>
                <w:sz w:val="18"/>
                <w:szCs w:val="18"/>
              </w:rPr>
              <w:fldChar w:fldCharType="begin"/>
            </w:r>
            <w:r w:rsidRPr="002C21B8">
              <w:rPr>
                <w:sz w:val="18"/>
                <w:szCs w:val="18"/>
              </w:rPr>
              <w:instrText xml:space="preserve"> ADDIN EN.CITE &lt;EndNote&gt;&lt;Cite&gt;&lt;Author&gt;Kidney Research UK&lt;/Author&gt;&lt;Year&gt;2023&lt;/Year&gt;&lt;RecNum&gt;124999&lt;/RecNum&gt;&lt;DisplayText&gt;(Kidney Research UK, 2023)&lt;/DisplayText&gt;&lt;record&gt;&lt;rec-number&gt;124999&lt;/rec-number&gt;&lt;foreign-keys&gt;&lt;key app="EN" db-id="xpefzwa5hf9dt2ea9fax95x7xvxz90v09dtf" timestamp="1757059634"&gt;124999&lt;/key&gt;&lt;/foreign-keys&gt;&lt;ref-type name="Web Page"&gt;12&lt;/ref-type&gt;&lt;contributors&gt;&lt;authors&gt;&lt;author&gt;Kidney Research UK,&lt;/author&gt;&lt;/authors&gt;&lt;/contributors&gt;&lt;titles&gt;&lt;title&gt;Kidney disease: A UK public health emergency - The health economics of kidney disease to 2033&lt;/title&gt;&lt;/titles&gt;&lt;number&gt;28/04/2026)&lt;/number&gt;&lt;dates&gt;&lt;year&gt;2023&lt;/year&gt;&lt;/dates&gt;&lt;urls&gt;&lt;related-urls&gt;&lt;url&gt;https://www.kidneyresearchuk.org/wp-content/uploads/2023/06/Economics-of-Kidney-Disease-full-report_accessible.pdf&lt;/url&gt;&lt;/related-urls&gt;&lt;/urls&gt;&lt;access-date&gt;5th September 2025&lt;/access-date&gt;&lt;/record&gt;&lt;/Cite&gt;&lt;/EndNote&gt;</w:instrText>
            </w:r>
            <w:r w:rsidRPr="002C21B8">
              <w:rPr>
                <w:sz w:val="18"/>
                <w:szCs w:val="18"/>
              </w:rPr>
              <w:fldChar w:fldCharType="separate"/>
            </w:r>
            <w:r w:rsidRPr="002C21B8">
              <w:rPr>
                <w:noProof/>
                <w:sz w:val="18"/>
                <w:szCs w:val="18"/>
              </w:rPr>
              <w:t>(Kidney Research UK, 2023)</w:t>
            </w:r>
            <w:r w:rsidRPr="002C21B8">
              <w:rPr>
                <w:sz w:val="18"/>
                <w:szCs w:val="18"/>
              </w:rPr>
              <w:fldChar w:fldCharType="end"/>
            </w:r>
          </w:p>
        </w:tc>
        <w:tc>
          <w:tcPr>
            <w:tcW w:w="2835" w:type="dxa"/>
          </w:tcPr>
          <w:p w14:paraId="3DB1C282" w14:textId="77777777" w:rsidR="00344F3B" w:rsidRPr="002C21B8" w:rsidRDefault="00344F3B" w:rsidP="008433C5">
            <w:pPr>
              <w:spacing w:afterLines="50" w:after="120" w:line="240" w:lineRule="auto"/>
              <w:jc w:val="left"/>
              <w:rPr>
                <w:sz w:val="18"/>
                <w:szCs w:val="18"/>
              </w:rPr>
            </w:pPr>
          </w:p>
        </w:tc>
      </w:tr>
      <w:tr w:rsidR="00344F3B" w:rsidRPr="002C21B8" w14:paraId="5476E961" w14:textId="77777777" w:rsidTr="00E55101">
        <w:tc>
          <w:tcPr>
            <w:tcW w:w="4240" w:type="dxa"/>
            <w:gridSpan w:val="2"/>
          </w:tcPr>
          <w:p w14:paraId="2DFB080E" w14:textId="77777777" w:rsidR="00344F3B" w:rsidRPr="002C21B8" w:rsidRDefault="00344F3B" w:rsidP="008433C5">
            <w:pPr>
              <w:spacing w:afterLines="50" w:after="120" w:line="240" w:lineRule="auto"/>
              <w:jc w:val="left"/>
              <w:rPr>
                <w:sz w:val="18"/>
                <w:szCs w:val="18"/>
              </w:rPr>
            </w:pPr>
            <w:r w:rsidRPr="002C21B8">
              <w:rPr>
                <w:sz w:val="18"/>
                <w:szCs w:val="18"/>
              </w:rPr>
              <w:t>Gross potential savings (£)</w:t>
            </w:r>
          </w:p>
        </w:tc>
        <w:tc>
          <w:tcPr>
            <w:tcW w:w="1416" w:type="dxa"/>
            <w:gridSpan w:val="2"/>
          </w:tcPr>
          <w:p w14:paraId="1270CECA" w14:textId="77777777" w:rsidR="00344F3B" w:rsidRPr="002C21B8" w:rsidRDefault="00344F3B" w:rsidP="008433C5">
            <w:pPr>
              <w:spacing w:afterLines="50" w:after="120" w:line="240" w:lineRule="auto"/>
              <w:jc w:val="left"/>
              <w:rPr>
                <w:sz w:val="18"/>
                <w:szCs w:val="18"/>
              </w:rPr>
            </w:pPr>
            <w:r w:rsidRPr="002C21B8">
              <w:rPr>
                <w:sz w:val="18"/>
                <w:szCs w:val="18"/>
              </w:rPr>
              <w:t>78,232,470.14</w:t>
            </w:r>
          </w:p>
        </w:tc>
        <w:tc>
          <w:tcPr>
            <w:tcW w:w="5393" w:type="dxa"/>
          </w:tcPr>
          <w:p w14:paraId="0CB9DCB9"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515567AB" w14:textId="77777777" w:rsidR="00344F3B" w:rsidRPr="002C21B8" w:rsidRDefault="00344F3B" w:rsidP="008433C5">
            <w:pPr>
              <w:spacing w:afterLines="50" w:after="120" w:line="240" w:lineRule="auto"/>
              <w:jc w:val="left"/>
              <w:rPr>
                <w:sz w:val="18"/>
                <w:szCs w:val="18"/>
              </w:rPr>
            </w:pPr>
            <w:r w:rsidRPr="002C21B8">
              <w:rPr>
                <w:sz w:val="18"/>
                <w:szCs w:val="18"/>
              </w:rPr>
              <w:t>2,484.58*34,000</w:t>
            </w:r>
          </w:p>
        </w:tc>
      </w:tr>
      <w:tr w:rsidR="00344F3B" w:rsidRPr="002C21B8" w14:paraId="245AE019" w14:textId="77777777" w:rsidTr="00E55101">
        <w:tc>
          <w:tcPr>
            <w:tcW w:w="4240" w:type="dxa"/>
            <w:gridSpan w:val="2"/>
          </w:tcPr>
          <w:p w14:paraId="70E41B68" w14:textId="77777777" w:rsidR="00344F3B" w:rsidRPr="002C21B8" w:rsidRDefault="00344F3B" w:rsidP="008433C5">
            <w:pPr>
              <w:spacing w:afterLines="50" w:after="120" w:line="240" w:lineRule="auto"/>
              <w:jc w:val="left"/>
              <w:rPr>
                <w:sz w:val="18"/>
                <w:szCs w:val="18"/>
              </w:rPr>
            </w:pPr>
            <w:r w:rsidRPr="002C21B8">
              <w:rPr>
                <w:sz w:val="18"/>
                <w:szCs w:val="18"/>
              </w:rPr>
              <w:t>Median duration tolvaptan (y)</w:t>
            </w:r>
          </w:p>
        </w:tc>
        <w:tc>
          <w:tcPr>
            <w:tcW w:w="1416" w:type="dxa"/>
            <w:gridSpan w:val="2"/>
          </w:tcPr>
          <w:p w14:paraId="79FC5791" w14:textId="77777777" w:rsidR="00344F3B" w:rsidRPr="002C21B8" w:rsidRDefault="00344F3B" w:rsidP="008433C5">
            <w:pPr>
              <w:spacing w:afterLines="50" w:after="120" w:line="240" w:lineRule="auto"/>
              <w:jc w:val="left"/>
              <w:rPr>
                <w:sz w:val="18"/>
                <w:szCs w:val="18"/>
              </w:rPr>
            </w:pPr>
            <w:r w:rsidRPr="002C21B8">
              <w:rPr>
                <w:sz w:val="18"/>
                <w:szCs w:val="18"/>
              </w:rPr>
              <w:t>2.74</w:t>
            </w:r>
          </w:p>
        </w:tc>
        <w:tc>
          <w:tcPr>
            <w:tcW w:w="5393" w:type="dxa"/>
          </w:tcPr>
          <w:p w14:paraId="60B8605E" w14:textId="77777777" w:rsidR="00344F3B" w:rsidRPr="002C21B8" w:rsidRDefault="00344F3B" w:rsidP="008433C5">
            <w:pPr>
              <w:spacing w:afterLines="50" w:after="120" w:line="240" w:lineRule="auto"/>
              <w:jc w:val="left"/>
              <w:rPr>
                <w:sz w:val="18"/>
                <w:szCs w:val="18"/>
              </w:rPr>
            </w:pPr>
            <w:r w:rsidRPr="002C21B8">
              <w:rPr>
                <w:sz w:val="18"/>
                <w:szCs w:val="18"/>
              </w:rPr>
              <w:t xml:space="preserve">Median of </w:t>
            </w:r>
            <w:r w:rsidRPr="002C21B8">
              <w:rPr>
                <w:sz w:val="18"/>
                <w:szCs w:val="18"/>
              </w:rPr>
              <w:fldChar w:fldCharType="begin"/>
            </w:r>
            <w:r w:rsidRPr="002C21B8">
              <w:rPr>
                <w:sz w:val="18"/>
                <w:szCs w:val="18"/>
              </w:rPr>
              <w:instrText xml:space="preserve"> ADDIN EN.CITE &lt;EndNote&gt;&lt;Cite&gt;&lt;Author&gt;Rao&lt;/Author&gt;&lt;Year&gt;2025&lt;/Year&gt;&lt;RecNum&gt;124993&lt;/RecNum&gt;&lt;DisplayText&gt;(Rao&lt;style face="italic"&gt; et al.&lt;/style&gt;, 2025)&lt;/DisplayText&gt;&lt;record&gt;&lt;rec-number&gt;124993&lt;/rec-number&gt;&lt;foreign-keys&gt;&lt;key app="EN" db-id="xpefzwa5hf9dt2ea9fax95x7xvxz90v09dtf" timestamp="1756885714"&gt;124993&lt;/key&gt;&lt;/foreign-keys&gt;&lt;ref-type name="Journal Article"&gt;17&lt;/ref-type&gt;&lt;contributors&gt;&lt;authors&gt;&lt;author&gt;Rao, Vinamratha&lt;/author&gt;&lt;author&gt;Ammar, Shahed&lt;/author&gt;&lt;author&gt;Alshorman, Abrar&lt;/author&gt;&lt;author&gt;Fravel, Michelle&lt;/author&gt;&lt;author&gt;McGreal, Kerri A&lt;/author&gt;&lt;author&gt;Winklhofer, Franz T&lt;/author&gt;&lt;author&gt;Noureddine, Lama&lt;/author&gt;&lt;author&gt;Jalal, Diana I&lt;/author&gt;&lt;author&gt;Yu, Alan SL&lt;/author&gt;&lt;author&gt;Mustafa, Reem A&lt;/author&gt;&lt;/authors&gt;&lt;/contributors&gt;&lt;titles&gt;&lt;title&gt;Real-World Tolvaptan Use in Autosomal Dominant Polycystic Kidney Disease: Insights from Two US Medical Centers&lt;/title&gt;&lt;secondary-title&gt;Kidney360&lt;/secondary-title&gt;&lt;/titles&gt;&lt;periodical&gt;&lt;full-title&gt;Kidney360&lt;/full-title&gt;&lt;/periodical&gt;&lt;pages&gt;10.34067&lt;/pages&gt;&lt;dates&gt;&lt;year&gt;2025&lt;/year&gt;&lt;/dates&gt;&lt;isbn&gt;2641-7650&lt;/isbn&gt;&lt;urls&gt;&lt;/urls&gt;&lt;/record&gt;&lt;/Cite&gt;&lt;/EndNote&gt;</w:instrText>
            </w:r>
            <w:r w:rsidRPr="002C21B8">
              <w:rPr>
                <w:sz w:val="18"/>
                <w:szCs w:val="18"/>
              </w:rPr>
              <w:fldChar w:fldCharType="separate"/>
            </w:r>
            <w:r w:rsidRPr="002C21B8">
              <w:rPr>
                <w:sz w:val="18"/>
                <w:szCs w:val="18"/>
              </w:rPr>
              <w:t>(Rao</w:t>
            </w:r>
            <w:r w:rsidRPr="002C21B8">
              <w:rPr>
                <w:i/>
                <w:sz w:val="18"/>
                <w:szCs w:val="18"/>
              </w:rPr>
              <w:t xml:space="preserve"> et al.</w:t>
            </w:r>
            <w:r w:rsidRPr="002C21B8">
              <w:rPr>
                <w:sz w:val="18"/>
                <w:szCs w:val="18"/>
              </w:rPr>
              <w:t>, 2025)</w:t>
            </w:r>
            <w:r w:rsidRPr="002C21B8">
              <w:rPr>
                <w:sz w:val="18"/>
                <w:szCs w:val="18"/>
              </w:rPr>
              <w:fldChar w:fldCharType="end"/>
            </w:r>
            <w:r w:rsidRPr="002C21B8">
              <w:rPr>
                <w:sz w:val="18"/>
                <w:szCs w:val="18"/>
              </w:rPr>
              <w:t xml:space="preserve"> and </w:t>
            </w:r>
            <w:r w:rsidRPr="002C21B8">
              <w:rPr>
                <w:sz w:val="18"/>
                <w:szCs w:val="18"/>
              </w:rPr>
              <w:fldChar w:fldCharType="begin"/>
            </w:r>
            <w:r w:rsidRPr="002C21B8">
              <w:rPr>
                <w:sz w:val="18"/>
                <w:szCs w:val="18"/>
              </w:rPr>
              <w:instrText xml:space="preserve"> ADDIN EN.CITE &lt;EndNote&gt;&lt;Cite&gt;&lt;Author&gt;Perrone&lt;/Author&gt;&lt;Year&gt;2025&lt;/Year&gt;&lt;RecNum&gt;125100&lt;/RecNum&gt;&lt;DisplayText&gt;(Perrone&lt;style face="italic"&gt; et al.&lt;/style&gt;, 2025)&lt;/DisplayText&gt;&lt;record&gt;&lt;rec-number&gt;125100&lt;/rec-number&gt;&lt;foreign-keys&gt;&lt;key app="EN" db-id="xpefzwa5hf9dt2ea9fax95x7xvxz90v09dtf" timestamp="1764244147"&gt;125100&lt;/key&gt;&lt;/foreign-keys&gt;&lt;ref-type name="Journal Article"&gt;17&lt;/ref-type&gt;&lt;contributors&gt;&lt;authors&gt;&lt;author&gt;Perrone, Ronald D&lt;/author&gt;&lt;author&gt;Garbinsky, Diana&lt;/author&gt;&lt;author&gt;Nunna, Sasikiran&lt;/author&gt;&lt;author&gt;Gandhi, Hema K&lt;/author&gt;&lt;author&gt;Fernandes, Ancilla W&lt;/author&gt;&lt;author&gt;Burgos, Gabriela&lt;/author&gt;&lt;author&gt;Olopoenia, Abisola&lt;/author&gt;&lt;author&gt;DeCongelio, Marc&lt;/author&gt;&lt;author&gt;Maculaitis, Martine C&lt;/author&gt;&lt;author&gt;Zhou, Xiaolei&lt;/author&gt;&lt;/authors&gt;&lt;/contributors&gt;&lt;titles&gt;&lt;title&gt;Effectiveness of Tolvaptan for Autosomal Dominant Polycystic Kidney Disease in US Clinical Practice With Comparison to Historical Control Data&lt;/title&gt;&lt;secondary-title&gt;Kidney Medicine&lt;/secondary-title&gt;&lt;/titles&gt;&lt;periodical&gt;&lt;full-title&gt;Kidney medicine&lt;/full-title&gt;&lt;/periodical&gt;&lt;pages&gt;100988&lt;/pages&gt;&lt;volume&gt;7&lt;/volume&gt;&lt;number&gt;5&lt;/number&gt;&lt;dates&gt;&lt;year&gt;2025&lt;/year&gt;&lt;/dates&gt;&lt;isbn&gt;2590-0595&lt;/isbn&gt;&lt;urls&gt;&lt;/urls&gt;&lt;/record&gt;&lt;/Cite&gt;&lt;/EndNote&gt;</w:instrText>
            </w:r>
            <w:r w:rsidRPr="002C21B8">
              <w:rPr>
                <w:sz w:val="18"/>
                <w:szCs w:val="18"/>
              </w:rPr>
              <w:fldChar w:fldCharType="separate"/>
            </w:r>
            <w:r w:rsidRPr="002C21B8">
              <w:rPr>
                <w:sz w:val="18"/>
                <w:szCs w:val="18"/>
              </w:rPr>
              <w:t>(Perrone</w:t>
            </w:r>
            <w:r w:rsidRPr="002C21B8">
              <w:rPr>
                <w:i/>
                <w:sz w:val="18"/>
                <w:szCs w:val="18"/>
              </w:rPr>
              <w:t xml:space="preserve"> et al.</w:t>
            </w:r>
            <w:r w:rsidRPr="002C21B8">
              <w:rPr>
                <w:sz w:val="18"/>
                <w:szCs w:val="18"/>
              </w:rPr>
              <w:t>, 2025)</w:t>
            </w:r>
            <w:r w:rsidRPr="002C21B8">
              <w:rPr>
                <w:sz w:val="18"/>
                <w:szCs w:val="18"/>
              </w:rPr>
              <w:fldChar w:fldCharType="end"/>
            </w:r>
          </w:p>
        </w:tc>
        <w:tc>
          <w:tcPr>
            <w:tcW w:w="2835" w:type="dxa"/>
          </w:tcPr>
          <w:p w14:paraId="1C55D862" w14:textId="77777777" w:rsidR="00344F3B" w:rsidRPr="002C21B8" w:rsidRDefault="00344F3B" w:rsidP="008433C5">
            <w:pPr>
              <w:spacing w:afterLines="50" w:after="120" w:line="240" w:lineRule="auto"/>
              <w:jc w:val="left"/>
              <w:rPr>
                <w:sz w:val="18"/>
                <w:szCs w:val="18"/>
              </w:rPr>
            </w:pPr>
          </w:p>
        </w:tc>
      </w:tr>
      <w:tr w:rsidR="00344F3B" w:rsidRPr="002C21B8" w14:paraId="2CB6F941" w14:textId="77777777" w:rsidTr="00E55101">
        <w:tc>
          <w:tcPr>
            <w:tcW w:w="4231" w:type="dxa"/>
          </w:tcPr>
          <w:p w14:paraId="4D53F746" w14:textId="77777777" w:rsidR="00344F3B" w:rsidRPr="002C21B8" w:rsidRDefault="00344F3B" w:rsidP="008433C5">
            <w:pPr>
              <w:spacing w:afterLines="50" w:after="120" w:line="240" w:lineRule="auto"/>
              <w:jc w:val="left"/>
              <w:rPr>
                <w:sz w:val="18"/>
                <w:szCs w:val="18"/>
              </w:rPr>
            </w:pPr>
            <w:r w:rsidRPr="002C21B8">
              <w:rPr>
                <w:sz w:val="18"/>
                <w:szCs w:val="18"/>
              </w:rPr>
              <w:t>Daily cost tolvaptan per person (£)</w:t>
            </w:r>
          </w:p>
        </w:tc>
        <w:tc>
          <w:tcPr>
            <w:tcW w:w="1417" w:type="dxa"/>
            <w:gridSpan w:val="2"/>
            <w:vAlign w:val="center"/>
          </w:tcPr>
          <w:p w14:paraId="29420A41" w14:textId="77777777" w:rsidR="00344F3B" w:rsidRPr="002C21B8" w:rsidRDefault="00344F3B" w:rsidP="008433C5">
            <w:pPr>
              <w:spacing w:afterLines="50" w:after="120" w:line="240" w:lineRule="auto"/>
              <w:jc w:val="left"/>
              <w:rPr>
                <w:sz w:val="18"/>
                <w:szCs w:val="18"/>
              </w:rPr>
            </w:pPr>
            <w:r w:rsidRPr="002C21B8">
              <w:rPr>
                <w:sz w:val="18"/>
                <w:szCs w:val="18"/>
              </w:rPr>
              <w:t>43.15</w:t>
            </w:r>
          </w:p>
        </w:tc>
        <w:tc>
          <w:tcPr>
            <w:tcW w:w="5401" w:type="dxa"/>
            <w:gridSpan w:val="2"/>
          </w:tcPr>
          <w:p w14:paraId="65902093" w14:textId="77777777"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Pr="002C21B8">
              <w:rPr>
                <w:sz w:val="18"/>
                <w:szCs w:val="18"/>
              </w:rPr>
              <w:fldChar w:fldCharType="separate"/>
            </w:r>
            <w:r w:rsidRPr="002C21B8">
              <w:rPr>
                <w:noProof/>
                <w:sz w:val="18"/>
                <w:szCs w:val="18"/>
              </w:rPr>
              <w:t>(National Institute for Health and Care Excellence, 2015b)</w:t>
            </w:r>
            <w:r w:rsidRPr="002C21B8">
              <w:rPr>
                <w:sz w:val="18"/>
                <w:szCs w:val="18"/>
              </w:rPr>
              <w:fldChar w:fldCharType="end"/>
            </w:r>
          </w:p>
        </w:tc>
        <w:tc>
          <w:tcPr>
            <w:tcW w:w="2835" w:type="dxa"/>
          </w:tcPr>
          <w:p w14:paraId="653E93BF" w14:textId="77777777" w:rsidR="00344F3B" w:rsidRPr="002C21B8" w:rsidRDefault="00344F3B" w:rsidP="008433C5">
            <w:pPr>
              <w:spacing w:afterLines="50" w:after="120" w:line="240" w:lineRule="auto"/>
              <w:jc w:val="left"/>
              <w:rPr>
                <w:sz w:val="18"/>
                <w:szCs w:val="18"/>
              </w:rPr>
            </w:pPr>
          </w:p>
        </w:tc>
      </w:tr>
      <w:tr w:rsidR="00344F3B" w:rsidRPr="002C21B8" w14:paraId="299DE5C0" w14:textId="77777777" w:rsidTr="00E55101">
        <w:tc>
          <w:tcPr>
            <w:tcW w:w="4231" w:type="dxa"/>
          </w:tcPr>
          <w:p w14:paraId="0284F78D" w14:textId="77777777" w:rsidR="00344F3B" w:rsidRPr="002C21B8" w:rsidRDefault="00344F3B" w:rsidP="008433C5">
            <w:pPr>
              <w:spacing w:afterLines="50" w:after="120" w:line="240" w:lineRule="auto"/>
              <w:jc w:val="left"/>
              <w:rPr>
                <w:sz w:val="18"/>
                <w:szCs w:val="18"/>
              </w:rPr>
            </w:pPr>
            <w:r w:rsidRPr="002C21B8">
              <w:rPr>
                <w:sz w:val="18"/>
                <w:szCs w:val="18"/>
              </w:rPr>
              <w:t>Monthly cost tolvaptan per person (£)</w:t>
            </w:r>
          </w:p>
        </w:tc>
        <w:tc>
          <w:tcPr>
            <w:tcW w:w="1417" w:type="dxa"/>
            <w:gridSpan w:val="2"/>
            <w:vAlign w:val="center"/>
          </w:tcPr>
          <w:p w14:paraId="421993E5" w14:textId="77777777" w:rsidR="00344F3B" w:rsidRPr="002C21B8" w:rsidRDefault="00344F3B" w:rsidP="008433C5">
            <w:pPr>
              <w:spacing w:afterLines="50" w:after="120" w:line="240" w:lineRule="auto"/>
              <w:jc w:val="left"/>
              <w:rPr>
                <w:sz w:val="18"/>
                <w:szCs w:val="18"/>
              </w:rPr>
            </w:pPr>
            <w:r w:rsidRPr="002C21B8">
              <w:rPr>
                <w:sz w:val="18"/>
                <w:szCs w:val="18"/>
              </w:rPr>
              <w:t>1,313.38</w:t>
            </w:r>
          </w:p>
        </w:tc>
        <w:tc>
          <w:tcPr>
            <w:tcW w:w="5401" w:type="dxa"/>
            <w:gridSpan w:val="2"/>
          </w:tcPr>
          <w:p w14:paraId="6A4B9075"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6FF1C84B" w14:textId="77777777" w:rsidR="00344F3B" w:rsidRPr="002C21B8" w:rsidRDefault="00344F3B" w:rsidP="008433C5">
            <w:pPr>
              <w:spacing w:afterLines="50" w:after="120" w:line="240" w:lineRule="auto"/>
              <w:jc w:val="left"/>
              <w:rPr>
                <w:sz w:val="18"/>
                <w:szCs w:val="18"/>
              </w:rPr>
            </w:pPr>
            <w:r w:rsidRPr="002C21B8">
              <w:rPr>
                <w:sz w:val="18"/>
                <w:szCs w:val="18"/>
              </w:rPr>
              <w:t>=43.15*30.44</w:t>
            </w:r>
          </w:p>
        </w:tc>
      </w:tr>
      <w:tr w:rsidR="00344F3B" w:rsidRPr="002C21B8" w14:paraId="286DB777" w14:textId="77777777" w:rsidTr="00E55101">
        <w:tc>
          <w:tcPr>
            <w:tcW w:w="4240" w:type="dxa"/>
            <w:gridSpan w:val="2"/>
          </w:tcPr>
          <w:p w14:paraId="2983BE02" w14:textId="77777777" w:rsidR="00344F3B" w:rsidRPr="002C21B8" w:rsidRDefault="00344F3B" w:rsidP="008433C5">
            <w:pPr>
              <w:spacing w:afterLines="50" w:after="120" w:line="240" w:lineRule="auto"/>
              <w:jc w:val="left"/>
              <w:rPr>
                <w:sz w:val="18"/>
                <w:szCs w:val="18"/>
              </w:rPr>
            </w:pPr>
            <w:r w:rsidRPr="002C21B8">
              <w:rPr>
                <w:sz w:val="18"/>
                <w:szCs w:val="18"/>
              </w:rPr>
              <w:t>Annual cost tolvaptan per person (£)</w:t>
            </w:r>
          </w:p>
        </w:tc>
        <w:tc>
          <w:tcPr>
            <w:tcW w:w="1416" w:type="dxa"/>
            <w:gridSpan w:val="2"/>
          </w:tcPr>
          <w:p w14:paraId="3E1D229A" w14:textId="77777777" w:rsidR="00344F3B" w:rsidRPr="002C21B8" w:rsidRDefault="00344F3B" w:rsidP="008433C5">
            <w:pPr>
              <w:spacing w:afterLines="50" w:after="120" w:line="240" w:lineRule="auto"/>
              <w:jc w:val="left"/>
              <w:rPr>
                <w:sz w:val="18"/>
                <w:szCs w:val="18"/>
              </w:rPr>
            </w:pPr>
            <w:r w:rsidRPr="002C21B8">
              <w:rPr>
                <w:sz w:val="18"/>
                <w:szCs w:val="18"/>
              </w:rPr>
              <w:t>15,760.54</w:t>
            </w:r>
          </w:p>
        </w:tc>
        <w:tc>
          <w:tcPr>
            <w:tcW w:w="5393" w:type="dxa"/>
          </w:tcPr>
          <w:p w14:paraId="7EC5398B" w14:textId="77777777"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Pr="002C21B8">
              <w:rPr>
                <w:sz w:val="18"/>
                <w:szCs w:val="18"/>
              </w:rPr>
              <w:fldChar w:fldCharType="separate"/>
            </w:r>
            <w:r w:rsidRPr="002C21B8">
              <w:rPr>
                <w:noProof/>
                <w:sz w:val="18"/>
                <w:szCs w:val="18"/>
              </w:rPr>
              <w:t>(National Institute for Health and Care Excellence, 2015b)</w:t>
            </w:r>
            <w:r w:rsidRPr="002C21B8">
              <w:rPr>
                <w:sz w:val="18"/>
                <w:szCs w:val="18"/>
              </w:rPr>
              <w:fldChar w:fldCharType="end"/>
            </w:r>
          </w:p>
        </w:tc>
        <w:tc>
          <w:tcPr>
            <w:tcW w:w="2835" w:type="dxa"/>
          </w:tcPr>
          <w:p w14:paraId="6F3D9443" w14:textId="77777777" w:rsidR="00344F3B" w:rsidRPr="002C21B8" w:rsidRDefault="00344F3B" w:rsidP="008433C5">
            <w:pPr>
              <w:spacing w:afterLines="50" w:after="120" w:line="240" w:lineRule="auto"/>
              <w:jc w:val="left"/>
              <w:rPr>
                <w:sz w:val="18"/>
                <w:szCs w:val="18"/>
              </w:rPr>
            </w:pPr>
          </w:p>
        </w:tc>
      </w:tr>
      <w:tr w:rsidR="00344F3B" w:rsidRPr="002C21B8" w14:paraId="07C497E1" w14:textId="77777777" w:rsidTr="00E55101">
        <w:tc>
          <w:tcPr>
            <w:tcW w:w="4240" w:type="dxa"/>
            <w:gridSpan w:val="2"/>
          </w:tcPr>
          <w:p w14:paraId="14242414" w14:textId="77777777" w:rsidR="00344F3B" w:rsidRPr="002C21B8" w:rsidRDefault="00344F3B" w:rsidP="008433C5">
            <w:pPr>
              <w:spacing w:afterLines="50" w:after="120" w:line="240" w:lineRule="auto"/>
              <w:jc w:val="left"/>
              <w:rPr>
                <w:sz w:val="18"/>
                <w:szCs w:val="18"/>
              </w:rPr>
            </w:pPr>
            <w:r w:rsidRPr="002C21B8">
              <w:rPr>
                <w:sz w:val="18"/>
                <w:szCs w:val="18"/>
              </w:rPr>
              <w:t>Total cost tolvaptan per person for median duration (£)</w:t>
            </w:r>
            <w:r w:rsidRPr="002C21B8">
              <w:rPr>
                <w:sz w:val="18"/>
                <w:szCs w:val="18"/>
              </w:rPr>
              <w:tab/>
            </w:r>
          </w:p>
        </w:tc>
        <w:tc>
          <w:tcPr>
            <w:tcW w:w="1416" w:type="dxa"/>
            <w:gridSpan w:val="2"/>
          </w:tcPr>
          <w:p w14:paraId="4988D08F" w14:textId="77777777" w:rsidR="00344F3B" w:rsidRPr="002C21B8" w:rsidRDefault="00344F3B" w:rsidP="008433C5">
            <w:pPr>
              <w:spacing w:afterLines="50" w:after="120" w:line="240" w:lineRule="auto"/>
              <w:jc w:val="left"/>
              <w:rPr>
                <w:sz w:val="18"/>
                <w:szCs w:val="18"/>
              </w:rPr>
            </w:pPr>
            <w:r w:rsidRPr="002C21B8">
              <w:rPr>
                <w:sz w:val="18"/>
                <w:szCs w:val="18"/>
              </w:rPr>
              <w:t>43,183.88</w:t>
            </w:r>
          </w:p>
        </w:tc>
        <w:tc>
          <w:tcPr>
            <w:tcW w:w="5393" w:type="dxa"/>
          </w:tcPr>
          <w:p w14:paraId="20B5C7C1"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8BD0DBA" w14:textId="77777777" w:rsidR="00344F3B" w:rsidRPr="002C21B8" w:rsidRDefault="00344F3B" w:rsidP="008433C5">
            <w:pPr>
              <w:spacing w:afterLines="50" w:after="120" w:line="240" w:lineRule="auto"/>
              <w:jc w:val="left"/>
              <w:rPr>
                <w:sz w:val="18"/>
                <w:szCs w:val="18"/>
              </w:rPr>
            </w:pPr>
            <w:r w:rsidRPr="002C21B8">
              <w:rPr>
                <w:sz w:val="18"/>
                <w:szCs w:val="18"/>
              </w:rPr>
              <w:t>= 15,760.54*2.74</w:t>
            </w:r>
          </w:p>
        </w:tc>
      </w:tr>
    </w:tbl>
    <w:p w14:paraId="47CA91AC" w14:textId="77777777" w:rsidR="00555471" w:rsidRPr="002C21B8" w:rsidRDefault="00555471">
      <w:r w:rsidRPr="002C21B8">
        <w:br w:type="page"/>
      </w:r>
    </w:p>
    <w:tbl>
      <w:tblPr>
        <w:tblStyle w:val="TableGrid"/>
        <w:tblW w:w="138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240"/>
        <w:gridCol w:w="1416"/>
        <w:gridCol w:w="5393"/>
        <w:gridCol w:w="2835"/>
      </w:tblGrid>
      <w:tr w:rsidR="00344F3B" w:rsidRPr="002C21B8" w14:paraId="58E3CD72" w14:textId="77777777" w:rsidTr="00E55101">
        <w:tc>
          <w:tcPr>
            <w:tcW w:w="4240" w:type="dxa"/>
          </w:tcPr>
          <w:p w14:paraId="1C03373B" w14:textId="38D7BF16" w:rsidR="00344F3B" w:rsidRPr="002C21B8" w:rsidRDefault="00344F3B" w:rsidP="008433C5">
            <w:pPr>
              <w:spacing w:afterLines="50" w:after="120" w:line="240" w:lineRule="auto"/>
              <w:jc w:val="left"/>
              <w:rPr>
                <w:sz w:val="18"/>
                <w:szCs w:val="18"/>
              </w:rPr>
            </w:pPr>
            <w:r w:rsidRPr="002C21B8">
              <w:rPr>
                <w:sz w:val="18"/>
                <w:szCs w:val="18"/>
              </w:rPr>
              <w:t>Monthly cost monitoring per person (£)</w:t>
            </w:r>
          </w:p>
        </w:tc>
        <w:tc>
          <w:tcPr>
            <w:tcW w:w="1416" w:type="dxa"/>
          </w:tcPr>
          <w:p w14:paraId="426A9785" w14:textId="77777777" w:rsidR="00344F3B" w:rsidRPr="002C21B8" w:rsidRDefault="00344F3B" w:rsidP="008433C5">
            <w:pPr>
              <w:spacing w:afterLines="50" w:after="120" w:line="240" w:lineRule="auto"/>
              <w:jc w:val="left"/>
              <w:rPr>
                <w:sz w:val="18"/>
                <w:szCs w:val="18"/>
              </w:rPr>
            </w:pPr>
            <w:r w:rsidRPr="002C21B8">
              <w:rPr>
                <w:sz w:val="18"/>
                <w:szCs w:val="18"/>
              </w:rPr>
              <w:t>55.41</w:t>
            </w:r>
          </w:p>
        </w:tc>
        <w:tc>
          <w:tcPr>
            <w:tcW w:w="5393" w:type="dxa"/>
          </w:tcPr>
          <w:p w14:paraId="0E438EEE" w14:textId="42A46C33" w:rsidR="00344F3B" w:rsidRPr="002C21B8" w:rsidRDefault="00344F3B" w:rsidP="008433C5">
            <w:pPr>
              <w:spacing w:afterLines="50" w:after="120" w:line="240" w:lineRule="auto"/>
              <w:jc w:val="left"/>
              <w:rPr>
                <w:sz w:val="18"/>
                <w:szCs w:val="18"/>
              </w:rPr>
            </w:pPr>
            <w:r w:rsidRPr="002C21B8">
              <w:rPr>
                <w:sz w:val="18"/>
                <w:szCs w:val="18"/>
              </w:rPr>
              <w:fldChar w:fldCharType="begin"/>
            </w:r>
            <w:r w:rsidRPr="002C21B8">
              <w:rPr>
                <w:sz w:val="18"/>
                <w:szCs w:val="18"/>
              </w:rPr>
              <w:instrText xml:space="preserve"> ADDIN EN.CITE &lt;EndNote&gt;&lt;Cite&gt;&lt;Author&gt;University Hospitals Bristol and Weston NHS Foundation Trust&lt;/Author&gt;&lt;Year&gt;2015&lt;/Year&gt;&lt;RecNum&gt;125104&lt;/RecNum&gt;&lt;DisplayText&gt;(University Hospitals Bristol and Weston NHS Foundation Trust, 2015)&lt;/DisplayText&gt;&lt;record&gt;&lt;rec-number&gt;125104&lt;/rec-number&gt;&lt;foreign-keys&gt;&lt;key app="EN" db-id="xpefzwa5hf9dt2ea9fax95x7xvxz90v09dtf" timestamp="1764338533"&gt;125104&lt;/key&gt;&lt;/foreign-keys&gt;&lt;ref-type name="Web Page"&gt;12&lt;/ref-type&gt;&lt;contributors&gt;&lt;authors&gt;&lt;author&gt;University Hospitals Bristol and Weston NHS Foundation Trust,&lt;/author&gt;&lt;/authors&gt;&lt;/contributors&gt;&lt;titles&gt;&lt;title&gt;UH Bristol NHS Foundation Trust Private Patient Tariff 2014-15 Version 1&lt;/title&gt;&lt;/titles&gt;&lt;number&gt;28/11/2025)&lt;/number&gt;&lt;dates&gt;&lt;year&gt;2015&lt;/year&gt;&lt;/dates&gt;&lt;urls&gt;&lt;related-urls&gt;&lt;url&gt;https://www.uhbw.nhs.uk/assets/1/21-438_-_self_pay_tariff.pdf&lt;/url&gt;&lt;/related-urls&gt;&lt;/urls&gt;&lt;/record&gt;&lt;/Cite&gt;&lt;/EndNote&gt;</w:instrText>
            </w:r>
            <w:r w:rsidRPr="002C21B8">
              <w:rPr>
                <w:sz w:val="18"/>
                <w:szCs w:val="18"/>
              </w:rPr>
              <w:fldChar w:fldCharType="separate"/>
            </w:r>
            <w:r w:rsidRPr="002C21B8">
              <w:rPr>
                <w:sz w:val="18"/>
                <w:szCs w:val="18"/>
              </w:rPr>
              <w:t>(University Hospitals Bristol and Weston NHS Foundation Trust, 2015)</w:t>
            </w:r>
            <w:r w:rsidRPr="002C21B8">
              <w:rPr>
                <w:sz w:val="18"/>
                <w:szCs w:val="18"/>
              </w:rPr>
              <w:fldChar w:fldCharType="end"/>
            </w:r>
            <w:r w:rsidRPr="002C21B8">
              <w:rPr>
                <w:sz w:val="18"/>
                <w:szCs w:val="18"/>
              </w:rPr>
              <w:t>:</w:t>
            </w:r>
          </w:p>
          <w:p w14:paraId="50CEEA1F" w14:textId="77777777" w:rsidR="00344F3B" w:rsidRPr="002C21B8" w:rsidRDefault="00344F3B" w:rsidP="008433C5">
            <w:pPr>
              <w:pStyle w:val="ListParagraph"/>
              <w:numPr>
                <w:ilvl w:val="0"/>
                <w:numId w:val="12"/>
              </w:numPr>
              <w:spacing w:afterLines="50" w:after="120" w:line="240" w:lineRule="auto"/>
              <w:jc w:val="left"/>
              <w:rPr>
                <w:sz w:val="18"/>
                <w:szCs w:val="18"/>
              </w:rPr>
            </w:pPr>
            <w:r w:rsidRPr="002C21B8">
              <w:rPr>
                <w:sz w:val="18"/>
                <w:szCs w:val="18"/>
              </w:rPr>
              <w:t xml:space="preserve">£35.00 for outpatient facilities per 15 minutes </w:t>
            </w:r>
          </w:p>
          <w:p w14:paraId="2CF880CD" w14:textId="77777777" w:rsidR="00344F3B" w:rsidRPr="002C21B8" w:rsidRDefault="00344F3B" w:rsidP="008433C5">
            <w:pPr>
              <w:pStyle w:val="ListParagraph"/>
              <w:numPr>
                <w:ilvl w:val="0"/>
                <w:numId w:val="12"/>
              </w:numPr>
              <w:spacing w:afterLines="50" w:after="120" w:line="240" w:lineRule="auto"/>
              <w:jc w:val="left"/>
              <w:rPr>
                <w:sz w:val="18"/>
                <w:szCs w:val="18"/>
              </w:rPr>
            </w:pPr>
            <w:r w:rsidRPr="002C21B8">
              <w:rPr>
                <w:sz w:val="18"/>
                <w:szCs w:val="18"/>
              </w:rPr>
              <w:t xml:space="preserve">£13.33 for clinical chemistry blood test </w:t>
            </w:r>
          </w:p>
          <w:p w14:paraId="547214A2" w14:textId="77777777" w:rsidR="00344F3B" w:rsidRPr="002C21B8" w:rsidRDefault="00344F3B" w:rsidP="008433C5">
            <w:pPr>
              <w:spacing w:afterLines="50" w:after="120" w:line="240" w:lineRule="auto"/>
              <w:jc w:val="left"/>
              <w:rPr>
                <w:sz w:val="18"/>
                <w:szCs w:val="18"/>
              </w:rPr>
            </w:pPr>
            <w:r w:rsidRPr="002C21B8">
              <w:rPr>
                <w:sz w:val="18"/>
                <w:szCs w:val="18"/>
              </w:rPr>
              <w:t>Average NHS specialist nurse salary from Indeed.com</w:t>
            </w:r>
            <w:r w:rsidRPr="002C21B8">
              <w:rPr>
                <w:sz w:val="18"/>
                <w:szCs w:val="18"/>
              </w:rPr>
              <w:fldChar w:fldCharType="begin"/>
            </w:r>
            <w:r w:rsidRPr="002C21B8">
              <w:rPr>
                <w:sz w:val="18"/>
                <w:szCs w:val="18"/>
              </w:rPr>
              <w:instrText xml:space="preserve"> ADDIN EN.CITE &lt;EndNote&gt;&lt;Cite&gt;&lt;Author&gt;Indeed&lt;/Author&gt;&lt;Year&gt;2025&lt;/Year&gt;&lt;RecNum&gt;125103&lt;/RecNum&gt;&lt;DisplayText&gt;(Indeed, 2025)&lt;/DisplayText&gt;&lt;record&gt;&lt;rec-number&gt;125103&lt;/rec-number&gt;&lt;foreign-keys&gt;&lt;key app="EN" db-id="xpefzwa5hf9dt2ea9fax95x7xvxz90v09dtf" timestamp="1764338463"&gt;125103&lt;/key&gt;&lt;/foreign-keys&gt;&lt;ref-type name="Web Page"&gt;12&lt;/ref-type&gt;&lt;contributors&gt;&lt;authors&gt;&lt;author&gt;Indeed,&lt;/author&gt;&lt;/authors&gt;&lt;/contributors&gt;&lt;titles&gt;&lt;title&gt;Clinical Nurse Specialist yearly salaries in the United Kingdom at NHS&lt;/title&gt;&lt;/titles&gt;&lt;number&gt;28/11/2025)&lt;/number&gt;&lt;dates&gt;&lt;year&gt;2025&lt;/year&gt;&lt;/dates&gt;&lt;urls&gt;&lt;related-urls&gt;&lt;url&gt;https://uk.indeed.com/cmp/Nhs-1/salaries/Clinical-Nurse-Specialist&lt;/url&gt;&lt;/related-urls&gt;&lt;/urls&gt;&lt;/record&gt;&lt;/Cite&gt;&lt;/EndNote&gt;</w:instrText>
            </w:r>
            <w:r w:rsidRPr="002C21B8">
              <w:rPr>
                <w:sz w:val="18"/>
                <w:szCs w:val="18"/>
              </w:rPr>
              <w:fldChar w:fldCharType="separate"/>
            </w:r>
            <w:r w:rsidRPr="002C21B8">
              <w:rPr>
                <w:sz w:val="18"/>
                <w:szCs w:val="18"/>
              </w:rPr>
              <w:t>(Indeed, 2025)</w:t>
            </w:r>
            <w:r w:rsidRPr="002C21B8">
              <w:rPr>
                <w:sz w:val="18"/>
                <w:szCs w:val="18"/>
              </w:rPr>
              <w:fldChar w:fldCharType="end"/>
            </w:r>
            <w:r w:rsidRPr="002C21B8">
              <w:rPr>
                <w:sz w:val="18"/>
                <w:szCs w:val="18"/>
              </w:rPr>
              <w:t>:</w:t>
            </w:r>
          </w:p>
          <w:p w14:paraId="378E74BA" w14:textId="77777777" w:rsidR="00344F3B" w:rsidRPr="002C21B8" w:rsidRDefault="00344F3B" w:rsidP="008433C5">
            <w:pPr>
              <w:spacing w:afterLines="50" w:after="120" w:line="240" w:lineRule="auto"/>
              <w:jc w:val="left"/>
              <w:rPr>
                <w:sz w:val="18"/>
                <w:szCs w:val="18"/>
              </w:rPr>
            </w:pPr>
            <w:r w:rsidRPr="002C21B8">
              <w:rPr>
                <w:sz w:val="18"/>
                <w:szCs w:val="18"/>
              </w:rPr>
              <w:t>£7.08 for 15 minutes nurse time</w:t>
            </w:r>
          </w:p>
        </w:tc>
        <w:tc>
          <w:tcPr>
            <w:tcW w:w="2835" w:type="dxa"/>
          </w:tcPr>
          <w:p w14:paraId="6F20D04B" w14:textId="77777777" w:rsidR="00344F3B" w:rsidRPr="002C21B8" w:rsidRDefault="00344F3B" w:rsidP="008433C5">
            <w:pPr>
              <w:spacing w:afterLines="50" w:after="120" w:line="240" w:lineRule="auto"/>
              <w:jc w:val="left"/>
              <w:rPr>
                <w:sz w:val="18"/>
                <w:szCs w:val="18"/>
              </w:rPr>
            </w:pPr>
            <w:r w:rsidRPr="002C21B8">
              <w:rPr>
                <w:sz w:val="18"/>
                <w:szCs w:val="18"/>
              </w:rPr>
              <w:t>= 35.00 + 13.33 + 7.08</w:t>
            </w:r>
          </w:p>
        </w:tc>
      </w:tr>
      <w:tr w:rsidR="00344F3B" w:rsidRPr="002C21B8" w14:paraId="50EC73D6" w14:textId="77777777" w:rsidTr="00E55101">
        <w:tc>
          <w:tcPr>
            <w:tcW w:w="4240" w:type="dxa"/>
          </w:tcPr>
          <w:p w14:paraId="364D8686" w14:textId="77777777" w:rsidR="00344F3B" w:rsidRPr="002C21B8" w:rsidRDefault="00344F3B" w:rsidP="008433C5">
            <w:pPr>
              <w:spacing w:afterLines="50" w:after="120" w:line="240" w:lineRule="auto"/>
              <w:jc w:val="left"/>
              <w:rPr>
                <w:sz w:val="18"/>
                <w:szCs w:val="18"/>
              </w:rPr>
            </w:pPr>
            <w:r w:rsidRPr="002C21B8">
              <w:rPr>
                <w:sz w:val="18"/>
                <w:szCs w:val="18"/>
              </w:rPr>
              <w:t>Annual cost monthly monitoring per person (£)</w:t>
            </w:r>
          </w:p>
        </w:tc>
        <w:tc>
          <w:tcPr>
            <w:tcW w:w="1416" w:type="dxa"/>
            <w:vAlign w:val="center"/>
          </w:tcPr>
          <w:p w14:paraId="572EA309" w14:textId="77777777" w:rsidR="00344F3B" w:rsidRPr="002C21B8" w:rsidRDefault="00344F3B" w:rsidP="008433C5">
            <w:pPr>
              <w:spacing w:afterLines="50" w:after="120" w:line="240" w:lineRule="auto"/>
              <w:jc w:val="left"/>
              <w:rPr>
                <w:sz w:val="18"/>
                <w:szCs w:val="18"/>
              </w:rPr>
            </w:pPr>
            <w:r w:rsidRPr="002C21B8">
              <w:rPr>
                <w:sz w:val="18"/>
                <w:szCs w:val="18"/>
              </w:rPr>
              <w:t>664.92</w:t>
            </w:r>
          </w:p>
        </w:tc>
        <w:tc>
          <w:tcPr>
            <w:tcW w:w="5393" w:type="dxa"/>
          </w:tcPr>
          <w:p w14:paraId="333180BD"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0D249ECA" w14:textId="77777777" w:rsidR="00344F3B" w:rsidRPr="002C21B8" w:rsidRDefault="00344F3B" w:rsidP="008433C5">
            <w:pPr>
              <w:spacing w:afterLines="50" w:after="120" w:line="240" w:lineRule="auto"/>
              <w:jc w:val="left"/>
              <w:rPr>
                <w:sz w:val="18"/>
                <w:szCs w:val="18"/>
              </w:rPr>
            </w:pPr>
            <w:r w:rsidRPr="002C21B8">
              <w:rPr>
                <w:sz w:val="18"/>
                <w:szCs w:val="18"/>
              </w:rPr>
              <w:t>= 55.41*12</w:t>
            </w:r>
          </w:p>
        </w:tc>
      </w:tr>
      <w:tr w:rsidR="00344F3B" w:rsidRPr="002C21B8" w14:paraId="633A847A" w14:textId="77777777" w:rsidTr="00E55101">
        <w:tc>
          <w:tcPr>
            <w:tcW w:w="4240" w:type="dxa"/>
          </w:tcPr>
          <w:p w14:paraId="1A24CB63" w14:textId="77777777" w:rsidR="00344F3B" w:rsidRPr="002C21B8" w:rsidRDefault="00344F3B" w:rsidP="008433C5">
            <w:pPr>
              <w:spacing w:afterLines="50" w:after="120" w:line="240" w:lineRule="auto"/>
              <w:jc w:val="left"/>
              <w:rPr>
                <w:sz w:val="18"/>
                <w:szCs w:val="18"/>
              </w:rPr>
            </w:pPr>
            <w:r w:rsidRPr="002C21B8">
              <w:rPr>
                <w:sz w:val="18"/>
                <w:szCs w:val="18"/>
              </w:rPr>
              <w:t>Annual cost three monthly monitoring per person (£)</w:t>
            </w:r>
          </w:p>
        </w:tc>
        <w:tc>
          <w:tcPr>
            <w:tcW w:w="1416" w:type="dxa"/>
            <w:vAlign w:val="center"/>
          </w:tcPr>
          <w:p w14:paraId="109B44FF" w14:textId="77777777" w:rsidR="00344F3B" w:rsidRPr="002C21B8" w:rsidRDefault="00344F3B" w:rsidP="008433C5">
            <w:pPr>
              <w:spacing w:afterLines="50" w:after="120" w:line="240" w:lineRule="auto"/>
              <w:jc w:val="left"/>
              <w:rPr>
                <w:sz w:val="18"/>
                <w:szCs w:val="18"/>
              </w:rPr>
            </w:pPr>
            <w:r w:rsidRPr="002C21B8">
              <w:rPr>
                <w:sz w:val="18"/>
                <w:szCs w:val="18"/>
              </w:rPr>
              <w:t>221.64</w:t>
            </w:r>
          </w:p>
        </w:tc>
        <w:tc>
          <w:tcPr>
            <w:tcW w:w="5393" w:type="dxa"/>
          </w:tcPr>
          <w:p w14:paraId="2FB2AEAC"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4E3D3A0" w14:textId="77777777" w:rsidR="00344F3B" w:rsidRPr="002C21B8" w:rsidRDefault="00344F3B" w:rsidP="008433C5">
            <w:pPr>
              <w:spacing w:afterLines="50" w:after="120" w:line="240" w:lineRule="auto"/>
              <w:jc w:val="left"/>
              <w:rPr>
                <w:sz w:val="18"/>
                <w:szCs w:val="18"/>
              </w:rPr>
            </w:pPr>
            <w:r w:rsidRPr="002C21B8">
              <w:rPr>
                <w:sz w:val="18"/>
                <w:szCs w:val="18"/>
              </w:rPr>
              <w:t>= 55.41*3</w:t>
            </w:r>
          </w:p>
        </w:tc>
      </w:tr>
      <w:tr w:rsidR="00344F3B" w:rsidRPr="002C21B8" w14:paraId="626A60CA" w14:textId="77777777" w:rsidTr="00E55101">
        <w:tc>
          <w:tcPr>
            <w:tcW w:w="4240" w:type="dxa"/>
          </w:tcPr>
          <w:p w14:paraId="56F936FA" w14:textId="77777777" w:rsidR="00344F3B" w:rsidRPr="002C21B8" w:rsidRDefault="00344F3B" w:rsidP="008433C5">
            <w:pPr>
              <w:spacing w:afterLines="50" w:after="120" w:line="240" w:lineRule="auto"/>
              <w:jc w:val="left"/>
              <w:rPr>
                <w:sz w:val="18"/>
                <w:szCs w:val="18"/>
              </w:rPr>
            </w:pPr>
            <w:r w:rsidRPr="002C21B8">
              <w:rPr>
                <w:sz w:val="18"/>
                <w:szCs w:val="18"/>
              </w:rPr>
              <w:t>Total cost monitoring per person for median duration (£)</w:t>
            </w:r>
          </w:p>
        </w:tc>
        <w:tc>
          <w:tcPr>
            <w:tcW w:w="1416" w:type="dxa"/>
          </w:tcPr>
          <w:p w14:paraId="31BEFBEC" w14:textId="77777777" w:rsidR="00344F3B" w:rsidRPr="002C21B8" w:rsidRDefault="00344F3B" w:rsidP="008433C5">
            <w:pPr>
              <w:spacing w:afterLines="50" w:after="120" w:line="240" w:lineRule="auto"/>
              <w:jc w:val="left"/>
              <w:rPr>
                <w:sz w:val="18"/>
                <w:szCs w:val="18"/>
              </w:rPr>
            </w:pPr>
            <w:r w:rsidRPr="002C21B8">
              <w:rPr>
                <w:sz w:val="18"/>
                <w:szCs w:val="18"/>
              </w:rPr>
              <w:t>1,272.21</w:t>
            </w:r>
          </w:p>
        </w:tc>
        <w:tc>
          <w:tcPr>
            <w:tcW w:w="5393" w:type="dxa"/>
          </w:tcPr>
          <w:p w14:paraId="06D3642E"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6B6EB36" w14:textId="77777777" w:rsidR="00344F3B" w:rsidRPr="002C21B8" w:rsidRDefault="00344F3B" w:rsidP="008433C5">
            <w:pPr>
              <w:spacing w:afterLines="50" w:after="120" w:line="240" w:lineRule="auto"/>
              <w:jc w:val="left"/>
              <w:rPr>
                <w:sz w:val="18"/>
                <w:szCs w:val="18"/>
              </w:rPr>
            </w:pPr>
            <w:r w:rsidRPr="002C21B8">
              <w:rPr>
                <w:sz w:val="18"/>
                <w:szCs w:val="18"/>
              </w:rPr>
              <w:t>= ((2.74-1.24)*664.92) + ((2.74-1.5)*221.64)</w:t>
            </w:r>
          </w:p>
        </w:tc>
      </w:tr>
      <w:tr w:rsidR="00344F3B" w:rsidRPr="002C21B8" w14:paraId="1F1A2E4C" w14:textId="77777777" w:rsidTr="00E55101">
        <w:tc>
          <w:tcPr>
            <w:tcW w:w="4240" w:type="dxa"/>
          </w:tcPr>
          <w:p w14:paraId="26100E0F" w14:textId="77777777" w:rsidR="00344F3B" w:rsidRPr="002C21B8" w:rsidRDefault="00344F3B" w:rsidP="008433C5">
            <w:pPr>
              <w:spacing w:afterLines="50" w:after="120" w:line="240" w:lineRule="auto"/>
              <w:jc w:val="left"/>
              <w:rPr>
                <w:sz w:val="18"/>
                <w:szCs w:val="18"/>
              </w:rPr>
            </w:pPr>
            <w:r w:rsidRPr="002C21B8">
              <w:rPr>
                <w:sz w:val="18"/>
                <w:szCs w:val="18"/>
              </w:rPr>
              <w:t>Total cost tolvaptan and monitoring per person for median duration (£)</w:t>
            </w:r>
          </w:p>
        </w:tc>
        <w:tc>
          <w:tcPr>
            <w:tcW w:w="1416" w:type="dxa"/>
          </w:tcPr>
          <w:p w14:paraId="50F825C6" w14:textId="77777777" w:rsidR="00344F3B" w:rsidRPr="002C21B8" w:rsidRDefault="00344F3B" w:rsidP="008433C5">
            <w:pPr>
              <w:spacing w:afterLines="50" w:after="120" w:line="240" w:lineRule="auto"/>
              <w:jc w:val="left"/>
              <w:rPr>
                <w:sz w:val="18"/>
                <w:szCs w:val="18"/>
              </w:rPr>
            </w:pPr>
            <w:r w:rsidRPr="002C21B8">
              <w:rPr>
                <w:sz w:val="18"/>
                <w:szCs w:val="18"/>
              </w:rPr>
              <w:t>44,456.09</w:t>
            </w:r>
          </w:p>
        </w:tc>
        <w:tc>
          <w:tcPr>
            <w:tcW w:w="5393" w:type="dxa"/>
          </w:tcPr>
          <w:p w14:paraId="5ACDEBFA"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28E2C7DD" w14:textId="77777777" w:rsidR="00344F3B" w:rsidRPr="002C21B8" w:rsidRDefault="00344F3B" w:rsidP="008433C5">
            <w:pPr>
              <w:spacing w:afterLines="50" w:after="120" w:line="240" w:lineRule="auto"/>
              <w:jc w:val="left"/>
              <w:rPr>
                <w:sz w:val="18"/>
                <w:szCs w:val="18"/>
              </w:rPr>
            </w:pPr>
            <w:r w:rsidRPr="002C21B8">
              <w:rPr>
                <w:sz w:val="18"/>
                <w:szCs w:val="18"/>
              </w:rPr>
              <w:t>= 43,183.88+1,272.21</w:t>
            </w:r>
          </w:p>
        </w:tc>
      </w:tr>
      <w:tr w:rsidR="00344F3B" w:rsidRPr="002C21B8" w14:paraId="12AAF1A4" w14:textId="77777777" w:rsidTr="00E55101">
        <w:tc>
          <w:tcPr>
            <w:tcW w:w="4240" w:type="dxa"/>
          </w:tcPr>
          <w:p w14:paraId="4A6ED840" w14:textId="77777777" w:rsidR="00344F3B" w:rsidRPr="002C21B8" w:rsidRDefault="00344F3B" w:rsidP="008433C5">
            <w:pPr>
              <w:spacing w:afterLines="50" w:after="120" w:line="240" w:lineRule="auto"/>
              <w:jc w:val="left"/>
              <w:rPr>
                <w:sz w:val="18"/>
                <w:szCs w:val="18"/>
              </w:rPr>
            </w:pPr>
            <w:r w:rsidRPr="002C21B8">
              <w:rPr>
                <w:sz w:val="18"/>
                <w:szCs w:val="18"/>
              </w:rPr>
              <w:t>Patient discontinuation before 3 months (%)</w:t>
            </w:r>
          </w:p>
        </w:tc>
        <w:tc>
          <w:tcPr>
            <w:tcW w:w="1416" w:type="dxa"/>
          </w:tcPr>
          <w:p w14:paraId="196AE366" w14:textId="77777777" w:rsidR="00344F3B" w:rsidRPr="002C21B8" w:rsidRDefault="00344F3B" w:rsidP="008433C5">
            <w:pPr>
              <w:spacing w:afterLines="50" w:after="120" w:line="240" w:lineRule="auto"/>
              <w:jc w:val="left"/>
              <w:rPr>
                <w:sz w:val="18"/>
                <w:szCs w:val="18"/>
              </w:rPr>
            </w:pPr>
            <w:r w:rsidRPr="002C21B8">
              <w:rPr>
                <w:sz w:val="18"/>
                <w:szCs w:val="18"/>
              </w:rPr>
              <w:t>5</w:t>
            </w:r>
          </w:p>
        </w:tc>
        <w:tc>
          <w:tcPr>
            <w:tcW w:w="5393" w:type="dxa"/>
          </w:tcPr>
          <w:p w14:paraId="34A272DB" w14:textId="77777777" w:rsidR="00344F3B" w:rsidRPr="002C21B8" w:rsidRDefault="00344F3B" w:rsidP="008433C5">
            <w:pPr>
              <w:spacing w:afterLines="50" w:after="120" w:line="240" w:lineRule="auto"/>
              <w:jc w:val="left"/>
              <w:rPr>
                <w:sz w:val="18"/>
                <w:szCs w:val="18"/>
              </w:rPr>
            </w:pPr>
            <w:r w:rsidRPr="002C21B8">
              <w:rPr>
                <w:sz w:val="18"/>
                <w:szCs w:val="18"/>
              </w:rPr>
              <w:t>Estimated</w:t>
            </w:r>
          </w:p>
        </w:tc>
        <w:tc>
          <w:tcPr>
            <w:tcW w:w="2835" w:type="dxa"/>
          </w:tcPr>
          <w:p w14:paraId="571D1B3E" w14:textId="77777777" w:rsidR="00344F3B" w:rsidRPr="002C21B8" w:rsidRDefault="00344F3B" w:rsidP="008433C5">
            <w:pPr>
              <w:spacing w:afterLines="50" w:after="120" w:line="240" w:lineRule="auto"/>
              <w:jc w:val="left"/>
              <w:rPr>
                <w:sz w:val="18"/>
                <w:szCs w:val="18"/>
              </w:rPr>
            </w:pPr>
          </w:p>
        </w:tc>
      </w:tr>
      <w:tr w:rsidR="00344F3B" w:rsidRPr="002C21B8" w14:paraId="355D8B41" w14:textId="77777777" w:rsidTr="00E55101">
        <w:tc>
          <w:tcPr>
            <w:tcW w:w="4240" w:type="dxa"/>
          </w:tcPr>
          <w:p w14:paraId="4304EB6E" w14:textId="77777777" w:rsidR="00344F3B" w:rsidRPr="002C21B8" w:rsidRDefault="00344F3B" w:rsidP="008433C5">
            <w:pPr>
              <w:spacing w:afterLines="50" w:after="120" w:line="240" w:lineRule="auto"/>
              <w:jc w:val="left"/>
              <w:rPr>
                <w:sz w:val="18"/>
                <w:szCs w:val="18"/>
              </w:rPr>
            </w:pPr>
            <w:r w:rsidRPr="002C21B8">
              <w:rPr>
                <w:sz w:val="18"/>
                <w:szCs w:val="18"/>
              </w:rPr>
              <w:t>Total cost tolvaptan and monitoring for cohort excluding 5% discontinuation (£)</w:t>
            </w:r>
          </w:p>
        </w:tc>
        <w:tc>
          <w:tcPr>
            <w:tcW w:w="1416" w:type="dxa"/>
          </w:tcPr>
          <w:p w14:paraId="2EC8C669" w14:textId="77777777" w:rsidR="00344F3B" w:rsidRPr="002C21B8" w:rsidRDefault="00344F3B" w:rsidP="008433C5">
            <w:pPr>
              <w:spacing w:afterLines="50" w:after="120" w:line="240" w:lineRule="auto"/>
              <w:jc w:val="left"/>
              <w:rPr>
                <w:sz w:val="18"/>
                <w:szCs w:val="18"/>
              </w:rPr>
            </w:pPr>
            <w:r w:rsidRPr="002C21B8">
              <w:rPr>
                <w:sz w:val="18"/>
                <w:szCs w:val="18"/>
              </w:rPr>
              <w:t>58,570,154.68</w:t>
            </w:r>
          </w:p>
        </w:tc>
        <w:tc>
          <w:tcPr>
            <w:tcW w:w="5393" w:type="dxa"/>
          </w:tcPr>
          <w:p w14:paraId="67706FC0"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5F7C0F23" w14:textId="77777777" w:rsidR="00344F3B" w:rsidRPr="002C21B8" w:rsidRDefault="00344F3B" w:rsidP="008433C5">
            <w:pPr>
              <w:spacing w:afterLines="50" w:after="120" w:line="240" w:lineRule="auto"/>
              <w:jc w:val="left"/>
              <w:rPr>
                <w:sz w:val="18"/>
                <w:szCs w:val="18"/>
              </w:rPr>
            </w:pPr>
            <w:r w:rsidRPr="002C21B8">
              <w:rPr>
                <w:sz w:val="18"/>
                <w:szCs w:val="18"/>
              </w:rPr>
              <w:t>= 44,456.09*(1,387*(1-0.05))</w:t>
            </w:r>
          </w:p>
        </w:tc>
      </w:tr>
      <w:tr w:rsidR="00344F3B" w:rsidRPr="002C21B8" w14:paraId="3E5D63D7" w14:textId="77777777" w:rsidTr="00E55101">
        <w:tc>
          <w:tcPr>
            <w:tcW w:w="4240" w:type="dxa"/>
          </w:tcPr>
          <w:p w14:paraId="60B418C6" w14:textId="77777777" w:rsidR="00344F3B" w:rsidRPr="002C21B8" w:rsidRDefault="00344F3B" w:rsidP="008433C5">
            <w:pPr>
              <w:spacing w:afterLines="50" w:after="120" w:line="240" w:lineRule="auto"/>
              <w:jc w:val="left"/>
              <w:rPr>
                <w:sz w:val="18"/>
                <w:szCs w:val="18"/>
              </w:rPr>
            </w:pPr>
            <w:r w:rsidRPr="002C21B8">
              <w:rPr>
                <w:sz w:val="18"/>
                <w:szCs w:val="18"/>
              </w:rPr>
              <w:t>Total cost tolvaptan and monitoring for cohort for 5% only taking tolvaptan for 3 months (£)</w:t>
            </w:r>
          </w:p>
        </w:tc>
        <w:tc>
          <w:tcPr>
            <w:tcW w:w="1416" w:type="dxa"/>
          </w:tcPr>
          <w:p w14:paraId="78274DCD" w14:textId="77777777" w:rsidR="00344F3B" w:rsidRPr="002C21B8" w:rsidRDefault="00344F3B" w:rsidP="008433C5">
            <w:pPr>
              <w:spacing w:afterLines="50" w:after="120" w:line="240" w:lineRule="auto"/>
              <w:jc w:val="left"/>
              <w:rPr>
                <w:sz w:val="18"/>
                <w:szCs w:val="18"/>
              </w:rPr>
            </w:pPr>
            <w:r w:rsidRPr="002C21B8">
              <w:rPr>
                <w:sz w:val="18"/>
                <w:szCs w:val="18"/>
              </w:rPr>
              <w:t>284,798.81</w:t>
            </w:r>
          </w:p>
        </w:tc>
        <w:tc>
          <w:tcPr>
            <w:tcW w:w="5393" w:type="dxa"/>
          </w:tcPr>
          <w:p w14:paraId="16E0A491"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43160227" w14:textId="77777777" w:rsidR="00344F3B" w:rsidRPr="002C21B8" w:rsidRDefault="00344F3B" w:rsidP="008433C5">
            <w:pPr>
              <w:spacing w:afterLines="50" w:after="120" w:line="240" w:lineRule="auto"/>
              <w:jc w:val="left"/>
              <w:rPr>
                <w:sz w:val="18"/>
                <w:szCs w:val="18"/>
              </w:rPr>
            </w:pPr>
            <w:r w:rsidRPr="002C21B8">
              <w:rPr>
                <w:sz w:val="18"/>
                <w:szCs w:val="18"/>
              </w:rPr>
              <w:t>= ((1,313.38+55.41)*3)*(1,387*0.05)</w:t>
            </w:r>
          </w:p>
        </w:tc>
      </w:tr>
      <w:tr w:rsidR="00344F3B" w:rsidRPr="002C21B8" w14:paraId="4CFECDED" w14:textId="77777777" w:rsidTr="00E55101">
        <w:tc>
          <w:tcPr>
            <w:tcW w:w="4240" w:type="dxa"/>
          </w:tcPr>
          <w:p w14:paraId="1FCC087F" w14:textId="77777777" w:rsidR="00344F3B" w:rsidRPr="002C21B8" w:rsidRDefault="00344F3B" w:rsidP="008433C5">
            <w:pPr>
              <w:spacing w:afterLines="50" w:after="120" w:line="240" w:lineRule="auto"/>
              <w:jc w:val="left"/>
              <w:rPr>
                <w:sz w:val="18"/>
                <w:szCs w:val="18"/>
              </w:rPr>
            </w:pPr>
            <w:r w:rsidRPr="002C21B8">
              <w:rPr>
                <w:sz w:val="18"/>
                <w:szCs w:val="18"/>
              </w:rPr>
              <w:t>Total cost tolvaptan and monitoring for cohort including 95% continuation and 5% discontinuation (£)</w:t>
            </w:r>
          </w:p>
        </w:tc>
        <w:tc>
          <w:tcPr>
            <w:tcW w:w="1416" w:type="dxa"/>
          </w:tcPr>
          <w:p w14:paraId="716EBE5C" w14:textId="77777777" w:rsidR="00344F3B" w:rsidRPr="002C21B8" w:rsidRDefault="00344F3B" w:rsidP="008433C5">
            <w:pPr>
              <w:spacing w:afterLines="50" w:after="120" w:line="240" w:lineRule="auto"/>
              <w:jc w:val="left"/>
              <w:rPr>
                <w:sz w:val="18"/>
                <w:szCs w:val="18"/>
              </w:rPr>
            </w:pPr>
            <w:r w:rsidRPr="002C21B8">
              <w:rPr>
                <w:sz w:val="18"/>
                <w:szCs w:val="18"/>
              </w:rPr>
              <w:t>58,854,953.49</w:t>
            </w:r>
          </w:p>
        </w:tc>
        <w:tc>
          <w:tcPr>
            <w:tcW w:w="5393" w:type="dxa"/>
          </w:tcPr>
          <w:p w14:paraId="4089C18A"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FD2972E" w14:textId="77777777" w:rsidR="00344F3B" w:rsidRPr="002C21B8" w:rsidRDefault="00344F3B" w:rsidP="008433C5">
            <w:pPr>
              <w:spacing w:afterLines="50" w:after="120" w:line="240" w:lineRule="auto"/>
              <w:jc w:val="left"/>
              <w:rPr>
                <w:sz w:val="18"/>
                <w:szCs w:val="18"/>
              </w:rPr>
            </w:pPr>
            <w:r w:rsidRPr="002C21B8">
              <w:rPr>
                <w:sz w:val="18"/>
                <w:szCs w:val="18"/>
              </w:rPr>
              <w:t>= 58,570,154.68 + 284,798.81</w:t>
            </w:r>
          </w:p>
        </w:tc>
      </w:tr>
      <w:tr w:rsidR="00344F3B" w:rsidRPr="002C21B8" w14:paraId="77E25824" w14:textId="77777777" w:rsidTr="00E55101">
        <w:tc>
          <w:tcPr>
            <w:tcW w:w="4240" w:type="dxa"/>
          </w:tcPr>
          <w:p w14:paraId="662ECD7E" w14:textId="77777777" w:rsidR="00344F3B" w:rsidRPr="002C21B8" w:rsidRDefault="00344F3B" w:rsidP="008433C5">
            <w:pPr>
              <w:spacing w:afterLines="50" w:after="120" w:line="240" w:lineRule="auto"/>
              <w:jc w:val="left"/>
              <w:rPr>
                <w:sz w:val="18"/>
                <w:szCs w:val="18"/>
              </w:rPr>
            </w:pPr>
            <w:r w:rsidRPr="002C21B8">
              <w:rPr>
                <w:sz w:val="18"/>
                <w:szCs w:val="18"/>
              </w:rPr>
              <w:t>Net potential savings incorporating tolvaptan costs (£)</w:t>
            </w:r>
          </w:p>
        </w:tc>
        <w:tc>
          <w:tcPr>
            <w:tcW w:w="1416" w:type="dxa"/>
          </w:tcPr>
          <w:p w14:paraId="2C8E5728" w14:textId="77777777" w:rsidR="00344F3B" w:rsidRPr="002C21B8" w:rsidRDefault="00344F3B" w:rsidP="008433C5">
            <w:pPr>
              <w:spacing w:afterLines="50" w:after="120" w:line="240" w:lineRule="auto"/>
              <w:jc w:val="left"/>
              <w:rPr>
                <w:sz w:val="18"/>
                <w:szCs w:val="18"/>
              </w:rPr>
            </w:pPr>
            <w:r w:rsidRPr="002C21B8">
              <w:rPr>
                <w:sz w:val="18"/>
                <w:szCs w:val="18"/>
              </w:rPr>
              <w:t>19,377,516.65</w:t>
            </w:r>
          </w:p>
        </w:tc>
        <w:tc>
          <w:tcPr>
            <w:tcW w:w="5393" w:type="dxa"/>
          </w:tcPr>
          <w:p w14:paraId="6BB26116"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354374BD" w14:textId="77777777" w:rsidR="00344F3B" w:rsidRPr="002C21B8" w:rsidRDefault="00344F3B" w:rsidP="008433C5">
            <w:pPr>
              <w:spacing w:afterLines="50" w:after="120" w:line="240" w:lineRule="auto"/>
              <w:jc w:val="left"/>
              <w:rPr>
                <w:sz w:val="18"/>
                <w:szCs w:val="18"/>
              </w:rPr>
            </w:pPr>
            <w:r w:rsidRPr="002C21B8">
              <w:rPr>
                <w:sz w:val="18"/>
                <w:szCs w:val="18"/>
              </w:rPr>
              <w:t>= 78,232,470.14 - 58,854,953.49</w:t>
            </w:r>
          </w:p>
        </w:tc>
      </w:tr>
      <w:tr w:rsidR="00344F3B" w:rsidRPr="002C21B8" w14:paraId="1CBD23F7" w14:textId="77777777" w:rsidTr="00E55101">
        <w:tc>
          <w:tcPr>
            <w:tcW w:w="4240" w:type="dxa"/>
          </w:tcPr>
          <w:p w14:paraId="415C42FB" w14:textId="77777777" w:rsidR="00344F3B" w:rsidRPr="002C21B8" w:rsidRDefault="00344F3B" w:rsidP="008433C5">
            <w:pPr>
              <w:spacing w:afterLines="50" w:after="120" w:line="240" w:lineRule="auto"/>
              <w:jc w:val="left"/>
              <w:rPr>
                <w:sz w:val="18"/>
                <w:szCs w:val="18"/>
              </w:rPr>
            </w:pPr>
            <w:r w:rsidRPr="002C21B8">
              <w:rPr>
                <w:sz w:val="18"/>
                <w:szCs w:val="18"/>
              </w:rPr>
              <w:t>Net potential savings (upper CI of proportion of eligible not initiation) (£)</w:t>
            </w:r>
          </w:p>
        </w:tc>
        <w:tc>
          <w:tcPr>
            <w:tcW w:w="1416" w:type="dxa"/>
          </w:tcPr>
          <w:p w14:paraId="0B82723A" w14:textId="77777777" w:rsidR="00344F3B" w:rsidRPr="002C21B8" w:rsidRDefault="00344F3B" w:rsidP="008433C5">
            <w:pPr>
              <w:spacing w:afterLines="50" w:after="120" w:line="240" w:lineRule="auto"/>
              <w:jc w:val="left"/>
              <w:rPr>
                <w:sz w:val="18"/>
                <w:szCs w:val="18"/>
              </w:rPr>
            </w:pPr>
            <w:r w:rsidRPr="002C21B8">
              <w:rPr>
                <w:sz w:val="18"/>
                <w:szCs w:val="18"/>
              </w:rPr>
              <w:t>15,058,080.27</w:t>
            </w:r>
          </w:p>
        </w:tc>
        <w:tc>
          <w:tcPr>
            <w:tcW w:w="5393" w:type="dxa"/>
          </w:tcPr>
          <w:p w14:paraId="2664C2C9"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029156D7" w14:textId="77777777" w:rsidR="00344F3B" w:rsidRPr="002C21B8" w:rsidRDefault="00344F3B" w:rsidP="008433C5">
            <w:pPr>
              <w:spacing w:afterLines="50" w:after="120" w:line="240" w:lineRule="auto"/>
              <w:jc w:val="left"/>
              <w:rPr>
                <w:sz w:val="18"/>
                <w:szCs w:val="18"/>
              </w:rPr>
            </w:pPr>
            <w:r w:rsidRPr="002C21B8">
              <w:rPr>
                <w:sz w:val="18"/>
                <w:szCs w:val="18"/>
              </w:rPr>
              <w:t xml:space="preserve">Inverse binomial </w:t>
            </w:r>
          </w:p>
        </w:tc>
      </w:tr>
      <w:tr w:rsidR="00344F3B" w:rsidRPr="002C21B8" w14:paraId="39D9744A" w14:textId="77777777" w:rsidTr="00E55101">
        <w:tc>
          <w:tcPr>
            <w:tcW w:w="4240" w:type="dxa"/>
          </w:tcPr>
          <w:p w14:paraId="1F197481" w14:textId="77777777" w:rsidR="00344F3B" w:rsidRPr="002C21B8" w:rsidRDefault="00344F3B" w:rsidP="008433C5">
            <w:pPr>
              <w:spacing w:afterLines="50" w:after="120" w:line="240" w:lineRule="auto"/>
              <w:jc w:val="left"/>
              <w:rPr>
                <w:sz w:val="18"/>
                <w:szCs w:val="18"/>
              </w:rPr>
            </w:pPr>
            <w:r w:rsidRPr="002C21B8">
              <w:rPr>
                <w:sz w:val="18"/>
                <w:szCs w:val="18"/>
              </w:rPr>
              <w:t>Net potential savings (lower CI of proportion of eligible not initiation) (£)</w:t>
            </w:r>
          </w:p>
        </w:tc>
        <w:tc>
          <w:tcPr>
            <w:tcW w:w="1416" w:type="dxa"/>
          </w:tcPr>
          <w:p w14:paraId="2E974511" w14:textId="77777777" w:rsidR="00344F3B" w:rsidRPr="002C21B8" w:rsidRDefault="00344F3B" w:rsidP="008433C5">
            <w:pPr>
              <w:spacing w:afterLines="50" w:after="120" w:line="240" w:lineRule="auto"/>
              <w:jc w:val="left"/>
              <w:rPr>
                <w:sz w:val="18"/>
                <w:szCs w:val="18"/>
              </w:rPr>
            </w:pPr>
            <w:r w:rsidRPr="002C21B8">
              <w:rPr>
                <w:sz w:val="18"/>
                <w:szCs w:val="18"/>
              </w:rPr>
              <w:t>24,159,475.42</w:t>
            </w:r>
          </w:p>
        </w:tc>
        <w:tc>
          <w:tcPr>
            <w:tcW w:w="5393" w:type="dxa"/>
          </w:tcPr>
          <w:p w14:paraId="7C416C99"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74F01819" w14:textId="77777777" w:rsidR="00344F3B" w:rsidRPr="002C21B8" w:rsidRDefault="00344F3B" w:rsidP="008433C5">
            <w:pPr>
              <w:spacing w:afterLines="50" w:after="120" w:line="240" w:lineRule="auto"/>
              <w:jc w:val="left"/>
              <w:rPr>
                <w:sz w:val="18"/>
                <w:szCs w:val="18"/>
              </w:rPr>
            </w:pPr>
            <w:r w:rsidRPr="002C21B8">
              <w:rPr>
                <w:sz w:val="18"/>
                <w:szCs w:val="18"/>
              </w:rPr>
              <w:t>Inverse binomial</w:t>
            </w:r>
          </w:p>
        </w:tc>
      </w:tr>
      <w:tr w:rsidR="00344F3B" w:rsidRPr="002C21B8" w14:paraId="728D7111" w14:textId="77777777" w:rsidTr="00E55101">
        <w:tc>
          <w:tcPr>
            <w:tcW w:w="4240" w:type="dxa"/>
          </w:tcPr>
          <w:p w14:paraId="664F0270" w14:textId="77777777" w:rsidR="00344F3B" w:rsidRPr="002C21B8" w:rsidRDefault="00344F3B" w:rsidP="008433C5">
            <w:pPr>
              <w:spacing w:afterLines="50" w:after="120" w:line="240" w:lineRule="auto"/>
              <w:jc w:val="left"/>
              <w:rPr>
                <w:sz w:val="18"/>
                <w:szCs w:val="18"/>
              </w:rPr>
            </w:pPr>
            <w:r w:rsidRPr="002C21B8">
              <w:rPr>
                <w:sz w:val="18"/>
                <w:szCs w:val="18"/>
              </w:rPr>
              <w:t>Cost of total hip replacement (£)</w:t>
            </w:r>
          </w:p>
        </w:tc>
        <w:tc>
          <w:tcPr>
            <w:tcW w:w="1416" w:type="dxa"/>
          </w:tcPr>
          <w:p w14:paraId="001D6E70" w14:textId="77777777" w:rsidR="00344F3B" w:rsidRPr="002C21B8" w:rsidRDefault="00344F3B" w:rsidP="008433C5">
            <w:pPr>
              <w:spacing w:afterLines="50" w:after="120" w:line="240" w:lineRule="auto"/>
              <w:jc w:val="left"/>
              <w:rPr>
                <w:sz w:val="18"/>
                <w:szCs w:val="18"/>
              </w:rPr>
            </w:pPr>
            <w:r w:rsidRPr="002C21B8">
              <w:rPr>
                <w:sz w:val="18"/>
                <w:szCs w:val="18"/>
              </w:rPr>
              <w:t>9,300</w:t>
            </w:r>
          </w:p>
        </w:tc>
        <w:tc>
          <w:tcPr>
            <w:tcW w:w="5393" w:type="dxa"/>
          </w:tcPr>
          <w:p w14:paraId="042279CF" w14:textId="77777777" w:rsidR="00344F3B" w:rsidRPr="002C21B8" w:rsidRDefault="00344F3B" w:rsidP="008433C5">
            <w:pPr>
              <w:spacing w:afterLines="50" w:after="120" w:line="240" w:lineRule="auto"/>
              <w:jc w:val="left"/>
              <w:rPr>
                <w:sz w:val="18"/>
                <w:szCs w:val="18"/>
              </w:rPr>
            </w:pPr>
            <w:r w:rsidRPr="002C21B8">
              <w:rPr>
                <w:sz w:val="18"/>
                <w:szCs w:val="18"/>
              </w:rPr>
              <w:t>Midpoint of NHS Wales estimate</w:t>
            </w:r>
            <w:r w:rsidRPr="002C21B8">
              <w:rPr>
                <w:sz w:val="18"/>
                <w:szCs w:val="18"/>
              </w:rPr>
              <w:fldChar w:fldCharType="begin"/>
            </w:r>
            <w:r w:rsidRPr="002C21B8">
              <w:rPr>
                <w:sz w:val="18"/>
                <w:szCs w:val="18"/>
              </w:rPr>
              <w:instrText xml:space="preserve"> ADDIN EN.CITE &lt;EndNote&gt;&lt;Cite&gt;&lt;Author&gt;Public Health Wales&lt;/Author&gt;&lt;Year&gt;2023&lt;/Year&gt;&lt;RecNum&gt;125003&lt;/RecNum&gt;&lt;DisplayText&gt;(Public Health Wales, 2023)&lt;/DisplayText&gt;&lt;record&gt;&lt;rec-number&gt;125003&lt;/rec-number&gt;&lt;foreign-keys&gt;&lt;key app="EN" db-id="xpefzwa5hf9dt2ea9fax95x7xvxz90v09dtf" timestamp="1757062119"&gt;125003&lt;/key&gt;&lt;/foreign-keys&gt;&lt;ref-type name="Web Page"&gt;12&lt;/ref-type&gt;&lt;contributors&gt;&lt;authors&gt;&lt;author&gt;Public Health Wales,&lt;/author&gt;&lt;/authors&gt;&lt;/contributors&gt;&lt;titles&gt;&lt;title&gt;Hip Replacement Costs (FOI 2023 50)&lt;/title&gt;&lt;/titles&gt;&lt;number&gt;28/04/2025)&lt;/number&gt;&lt;dates&gt;&lt;year&gt;2023&lt;/year&gt;&lt;/dates&gt;&lt;urls&gt;&lt;related-urls&gt;&lt;url&gt;https://phw.nhs.wales/use-of-site/contact-us/freedom-of-information/disclosure-log/foi-2023-50-hip-replacement-costs/&lt;/url&gt;&lt;/related-urls&gt;&lt;/urls&gt;&lt;access-date&gt;5th September 2025&lt;/access-date&gt;&lt;/record&gt;&lt;/Cite&gt;&lt;/EndNote&gt;</w:instrText>
            </w:r>
            <w:r w:rsidRPr="002C21B8">
              <w:rPr>
                <w:sz w:val="18"/>
                <w:szCs w:val="18"/>
              </w:rPr>
              <w:fldChar w:fldCharType="separate"/>
            </w:r>
            <w:r w:rsidRPr="002C21B8">
              <w:rPr>
                <w:noProof/>
                <w:sz w:val="18"/>
                <w:szCs w:val="18"/>
              </w:rPr>
              <w:t>(Public Health Wales, 2023)</w:t>
            </w:r>
            <w:r w:rsidRPr="002C21B8">
              <w:rPr>
                <w:sz w:val="18"/>
                <w:szCs w:val="18"/>
              </w:rPr>
              <w:fldChar w:fldCharType="end"/>
            </w:r>
          </w:p>
        </w:tc>
        <w:tc>
          <w:tcPr>
            <w:tcW w:w="2835" w:type="dxa"/>
          </w:tcPr>
          <w:p w14:paraId="39A7B9BE" w14:textId="77777777" w:rsidR="00344F3B" w:rsidRPr="002C21B8" w:rsidRDefault="00344F3B" w:rsidP="008433C5">
            <w:pPr>
              <w:spacing w:afterLines="50" w:after="120" w:line="240" w:lineRule="auto"/>
              <w:jc w:val="left"/>
              <w:rPr>
                <w:sz w:val="18"/>
                <w:szCs w:val="18"/>
              </w:rPr>
            </w:pPr>
          </w:p>
        </w:tc>
      </w:tr>
      <w:tr w:rsidR="00344F3B" w:rsidRPr="002C21B8" w14:paraId="2E8F16ED" w14:textId="77777777" w:rsidTr="00E55101">
        <w:tc>
          <w:tcPr>
            <w:tcW w:w="4240" w:type="dxa"/>
          </w:tcPr>
          <w:p w14:paraId="37379854" w14:textId="77777777" w:rsidR="00344F3B" w:rsidRPr="002C21B8" w:rsidRDefault="00344F3B" w:rsidP="008433C5">
            <w:pPr>
              <w:spacing w:afterLines="50" w:after="120" w:line="240" w:lineRule="auto"/>
              <w:jc w:val="left"/>
              <w:rPr>
                <w:sz w:val="18"/>
                <w:szCs w:val="18"/>
              </w:rPr>
            </w:pPr>
            <w:r w:rsidRPr="002C21B8">
              <w:rPr>
                <w:sz w:val="18"/>
                <w:szCs w:val="18"/>
              </w:rPr>
              <w:t>Equivalent number of total hip replacements</w:t>
            </w:r>
          </w:p>
        </w:tc>
        <w:tc>
          <w:tcPr>
            <w:tcW w:w="1416" w:type="dxa"/>
          </w:tcPr>
          <w:p w14:paraId="6ADBB1CB" w14:textId="77777777" w:rsidR="00344F3B" w:rsidRPr="002C21B8" w:rsidRDefault="00344F3B" w:rsidP="008433C5">
            <w:pPr>
              <w:spacing w:afterLines="50" w:after="120" w:line="240" w:lineRule="auto"/>
              <w:jc w:val="left"/>
              <w:rPr>
                <w:sz w:val="18"/>
                <w:szCs w:val="18"/>
              </w:rPr>
            </w:pPr>
            <w:r w:rsidRPr="002C21B8">
              <w:rPr>
                <w:sz w:val="18"/>
                <w:szCs w:val="18"/>
              </w:rPr>
              <w:t>2,084</w:t>
            </w:r>
          </w:p>
        </w:tc>
        <w:tc>
          <w:tcPr>
            <w:tcW w:w="5393" w:type="dxa"/>
          </w:tcPr>
          <w:p w14:paraId="0940AC70" w14:textId="77777777" w:rsidR="00344F3B" w:rsidRPr="002C21B8" w:rsidRDefault="00344F3B" w:rsidP="008433C5">
            <w:pPr>
              <w:spacing w:afterLines="50" w:after="120" w:line="240" w:lineRule="auto"/>
              <w:jc w:val="left"/>
              <w:rPr>
                <w:sz w:val="18"/>
                <w:szCs w:val="18"/>
              </w:rPr>
            </w:pPr>
            <w:r w:rsidRPr="002C21B8">
              <w:rPr>
                <w:sz w:val="18"/>
                <w:szCs w:val="18"/>
              </w:rPr>
              <w:t>Calculated</w:t>
            </w:r>
          </w:p>
        </w:tc>
        <w:tc>
          <w:tcPr>
            <w:tcW w:w="2835" w:type="dxa"/>
          </w:tcPr>
          <w:p w14:paraId="1124098D" w14:textId="77777777" w:rsidR="00344F3B" w:rsidRPr="002C21B8" w:rsidRDefault="00344F3B" w:rsidP="008433C5">
            <w:pPr>
              <w:spacing w:afterLines="50" w:after="120" w:line="240" w:lineRule="auto"/>
              <w:jc w:val="left"/>
              <w:rPr>
                <w:sz w:val="18"/>
                <w:szCs w:val="18"/>
              </w:rPr>
            </w:pPr>
            <w:r w:rsidRPr="002C21B8">
              <w:rPr>
                <w:sz w:val="18"/>
                <w:szCs w:val="18"/>
              </w:rPr>
              <w:t>= 21,053,658.97/9,300</w:t>
            </w:r>
          </w:p>
        </w:tc>
      </w:tr>
    </w:tbl>
    <w:p w14:paraId="61F51E77" w14:textId="77777777" w:rsidR="008433C5" w:rsidRPr="002C21B8" w:rsidRDefault="008433C5" w:rsidP="00344F3B">
      <w:pPr>
        <w:pStyle w:val="Caption"/>
        <w:rPr>
          <w:i w:val="0"/>
          <w:iCs w:val="0"/>
          <w:noProof w:val="0"/>
          <w:color w:val="auto"/>
          <w:sz w:val="22"/>
          <w:szCs w:val="22"/>
        </w:rPr>
      </w:pPr>
    </w:p>
    <w:p w14:paraId="46CF3971" w14:textId="77777777" w:rsidR="008433C5" w:rsidRPr="002C21B8" w:rsidRDefault="008433C5">
      <w:pPr>
        <w:spacing w:after="0" w:line="240" w:lineRule="auto"/>
        <w:jc w:val="left"/>
      </w:pPr>
      <w:r w:rsidRPr="002C21B8">
        <w:rPr>
          <w:i/>
          <w:iCs/>
        </w:rPr>
        <w:br w:type="page"/>
      </w:r>
    </w:p>
    <w:p w14:paraId="45889376" w14:textId="139E9BE4"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Estimated national impact of not initiating tolvaptan in eligible people with ADPKD</w:t>
      </w:r>
    </w:p>
    <w:tbl>
      <w:tblPr>
        <w:tblStyle w:val="TableGrid"/>
        <w:tblW w:w="1389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345"/>
        <w:gridCol w:w="1537"/>
        <w:gridCol w:w="1538"/>
        <w:gridCol w:w="1538"/>
        <w:gridCol w:w="1538"/>
        <w:gridCol w:w="1396"/>
      </w:tblGrid>
      <w:tr w:rsidR="00344F3B" w:rsidRPr="002C21B8" w14:paraId="0298882F" w14:textId="77777777" w:rsidTr="00E55101">
        <w:tc>
          <w:tcPr>
            <w:tcW w:w="6345" w:type="dxa"/>
            <w:tcBorders>
              <w:top w:val="nil"/>
              <w:left w:val="nil"/>
            </w:tcBorders>
            <w:shd w:val="clear" w:color="auto" w:fill="auto"/>
          </w:tcPr>
          <w:p w14:paraId="238DFC99" w14:textId="77777777" w:rsidR="00344F3B" w:rsidRPr="002C21B8" w:rsidRDefault="00344F3B" w:rsidP="00EB0FFD">
            <w:pPr>
              <w:spacing w:after="120" w:line="240" w:lineRule="auto"/>
              <w:rPr>
                <w:b/>
                <w:bCs/>
                <w:sz w:val="16"/>
                <w:szCs w:val="16"/>
              </w:rPr>
            </w:pPr>
          </w:p>
        </w:tc>
        <w:tc>
          <w:tcPr>
            <w:tcW w:w="7547" w:type="dxa"/>
            <w:gridSpan w:val="5"/>
            <w:shd w:val="clear" w:color="auto" w:fill="auto"/>
          </w:tcPr>
          <w:p w14:paraId="19202E2F" w14:textId="77777777" w:rsidR="00344F3B" w:rsidRPr="002C21B8" w:rsidRDefault="00344F3B" w:rsidP="00EB0FFD">
            <w:pPr>
              <w:spacing w:after="120" w:line="240" w:lineRule="auto"/>
              <w:rPr>
                <w:b/>
                <w:bCs/>
                <w:sz w:val="16"/>
                <w:szCs w:val="16"/>
              </w:rPr>
            </w:pPr>
            <w:r w:rsidRPr="002C21B8">
              <w:rPr>
                <w:b/>
                <w:bCs/>
                <w:sz w:val="16"/>
                <w:szCs w:val="16"/>
              </w:rPr>
              <w:t>Medication Discount Scenarios</w:t>
            </w:r>
          </w:p>
        </w:tc>
      </w:tr>
      <w:tr w:rsidR="00344F3B" w:rsidRPr="002C21B8" w14:paraId="4022D04F" w14:textId="77777777" w:rsidTr="00E55101">
        <w:tc>
          <w:tcPr>
            <w:tcW w:w="6345" w:type="dxa"/>
            <w:shd w:val="clear" w:color="auto" w:fill="auto"/>
          </w:tcPr>
          <w:p w14:paraId="30AD3503" w14:textId="77777777" w:rsidR="00344F3B" w:rsidRPr="002C21B8" w:rsidRDefault="00344F3B" w:rsidP="00EB0FFD">
            <w:pPr>
              <w:spacing w:after="120" w:line="240" w:lineRule="auto"/>
              <w:rPr>
                <w:b/>
                <w:bCs/>
                <w:sz w:val="16"/>
                <w:szCs w:val="16"/>
              </w:rPr>
            </w:pPr>
            <w:r w:rsidRPr="002C21B8">
              <w:rPr>
                <w:b/>
                <w:bCs/>
                <w:sz w:val="16"/>
                <w:szCs w:val="16"/>
              </w:rPr>
              <w:t>Parameter</w:t>
            </w:r>
          </w:p>
        </w:tc>
        <w:tc>
          <w:tcPr>
            <w:tcW w:w="1537" w:type="dxa"/>
            <w:shd w:val="clear" w:color="auto" w:fill="auto"/>
          </w:tcPr>
          <w:p w14:paraId="7FD787EF" w14:textId="77777777" w:rsidR="00344F3B" w:rsidRPr="002C21B8" w:rsidRDefault="00344F3B" w:rsidP="00EB0FFD">
            <w:pPr>
              <w:spacing w:after="120" w:line="240" w:lineRule="auto"/>
              <w:rPr>
                <w:b/>
                <w:bCs/>
                <w:sz w:val="16"/>
                <w:szCs w:val="16"/>
              </w:rPr>
            </w:pPr>
            <w:r w:rsidRPr="002C21B8">
              <w:rPr>
                <w:b/>
                <w:bCs/>
                <w:sz w:val="16"/>
                <w:szCs w:val="16"/>
              </w:rPr>
              <w:t>0% discount</w:t>
            </w:r>
          </w:p>
        </w:tc>
        <w:tc>
          <w:tcPr>
            <w:tcW w:w="1538" w:type="dxa"/>
            <w:shd w:val="clear" w:color="auto" w:fill="auto"/>
          </w:tcPr>
          <w:p w14:paraId="0A86D67C" w14:textId="77777777" w:rsidR="00344F3B" w:rsidRPr="002C21B8" w:rsidRDefault="00344F3B" w:rsidP="00EB0FFD">
            <w:pPr>
              <w:spacing w:after="120" w:line="240" w:lineRule="auto"/>
              <w:rPr>
                <w:b/>
                <w:bCs/>
                <w:sz w:val="16"/>
                <w:szCs w:val="16"/>
              </w:rPr>
            </w:pPr>
            <w:r w:rsidRPr="002C21B8">
              <w:rPr>
                <w:b/>
                <w:bCs/>
                <w:sz w:val="16"/>
                <w:szCs w:val="16"/>
              </w:rPr>
              <w:t>23% discount</w:t>
            </w:r>
          </w:p>
        </w:tc>
        <w:tc>
          <w:tcPr>
            <w:tcW w:w="1538" w:type="dxa"/>
            <w:shd w:val="clear" w:color="auto" w:fill="auto"/>
          </w:tcPr>
          <w:p w14:paraId="71DF13DB" w14:textId="77777777" w:rsidR="00344F3B" w:rsidRPr="002C21B8" w:rsidRDefault="00344F3B" w:rsidP="00EB0FFD">
            <w:pPr>
              <w:spacing w:after="120" w:line="240" w:lineRule="auto"/>
              <w:rPr>
                <w:b/>
                <w:bCs/>
                <w:sz w:val="16"/>
                <w:szCs w:val="16"/>
              </w:rPr>
            </w:pPr>
            <w:r w:rsidRPr="002C21B8">
              <w:rPr>
                <w:b/>
                <w:bCs/>
                <w:sz w:val="16"/>
                <w:szCs w:val="16"/>
              </w:rPr>
              <w:t>60% discount</w:t>
            </w:r>
          </w:p>
        </w:tc>
        <w:tc>
          <w:tcPr>
            <w:tcW w:w="1538" w:type="dxa"/>
            <w:shd w:val="clear" w:color="auto" w:fill="auto"/>
          </w:tcPr>
          <w:p w14:paraId="1609BD56" w14:textId="77777777" w:rsidR="00344F3B" w:rsidRPr="002C21B8" w:rsidRDefault="00344F3B" w:rsidP="00EB0FFD">
            <w:pPr>
              <w:spacing w:after="120" w:line="240" w:lineRule="auto"/>
              <w:rPr>
                <w:b/>
                <w:bCs/>
                <w:sz w:val="16"/>
                <w:szCs w:val="16"/>
              </w:rPr>
            </w:pPr>
            <w:r w:rsidRPr="002C21B8">
              <w:rPr>
                <w:b/>
                <w:bCs/>
                <w:sz w:val="16"/>
                <w:szCs w:val="16"/>
              </w:rPr>
              <w:t>70% discount</w:t>
            </w:r>
          </w:p>
        </w:tc>
        <w:tc>
          <w:tcPr>
            <w:tcW w:w="1396" w:type="dxa"/>
            <w:shd w:val="clear" w:color="auto" w:fill="auto"/>
          </w:tcPr>
          <w:p w14:paraId="0EB13AA0" w14:textId="77777777" w:rsidR="00344F3B" w:rsidRPr="002C21B8" w:rsidRDefault="00344F3B" w:rsidP="00EB0FFD">
            <w:pPr>
              <w:spacing w:after="120" w:line="240" w:lineRule="auto"/>
              <w:rPr>
                <w:b/>
                <w:bCs/>
                <w:sz w:val="16"/>
                <w:szCs w:val="16"/>
              </w:rPr>
            </w:pPr>
            <w:r w:rsidRPr="002C21B8">
              <w:rPr>
                <w:b/>
                <w:bCs/>
                <w:sz w:val="16"/>
                <w:szCs w:val="16"/>
              </w:rPr>
              <w:t>90% discount</w:t>
            </w:r>
          </w:p>
        </w:tc>
      </w:tr>
      <w:tr w:rsidR="00344F3B" w:rsidRPr="002C21B8" w14:paraId="2F94ECC3" w14:textId="77777777" w:rsidTr="00E55101">
        <w:tc>
          <w:tcPr>
            <w:tcW w:w="6345" w:type="dxa"/>
            <w:shd w:val="clear" w:color="auto" w:fill="auto"/>
          </w:tcPr>
          <w:p w14:paraId="129E4BC8" w14:textId="77777777" w:rsidR="00344F3B" w:rsidRPr="002C21B8" w:rsidRDefault="00344F3B" w:rsidP="00EB0FFD">
            <w:pPr>
              <w:spacing w:after="120" w:line="240" w:lineRule="auto"/>
              <w:rPr>
                <w:sz w:val="16"/>
                <w:szCs w:val="16"/>
              </w:rPr>
            </w:pPr>
            <w:r w:rsidRPr="002C21B8">
              <w:rPr>
                <w:sz w:val="16"/>
                <w:szCs w:val="16"/>
              </w:rPr>
              <w:t>ADPKD patients in the UK (n)</w:t>
            </w:r>
          </w:p>
        </w:tc>
        <w:tc>
          <w:tcPr>
            <w:tcW w:w="1537" w:type="dxa"/>
            <w:shd w:val="clear" w:color="auto" w:fill="auto"/>
            <w:vAlign w:val="center"/>
          </w:tcPr>
          <w:p w14:paraId="5DCDEC67" w14:textId="77777777" w:rsidR="00344F3B" w:rsidRPr="002C21B8" w:rsidRDefault="00344F3B" w:rsidP="00EB0FFD">
            <w:pPr>
              <w:spacing w:after="120" w:line="240" w:lineRule="auto"/>
              <w:rPr>
                <w:sz w:val="16"/>
                <w:szCs w:val="16"/>
              </w:rPr>
            </w:pPr>
            <w:r w:rsidRPr="002C21B8">
              <w:rPr>
                <w:sz w:val="16"/>
                <w:szCs w:val="16"/>
              </w:rPr>
              <w:t>30,000</w:t>
            </w:r>
          </w:p>
        </w:tc>
        <w:tc>
          <w:tcPr>
            <w:tcW w:w="1538" w:type="dxa"/>
            <w:shd w:val="clear" w:color="auto" w:fill="auto"/>
            <w:vAlign w:val="center"/>
          </w:tcPr>
          <w:p w14:paraId="3FF326D3" w14:textId="77777777" w:rsidR="00344F3B" w:rsidRPr="002C21B8" w:rsidRDefault="00344F3B" w:rsidP="00EB0FFD">
            <w:pPr>
              <w:spacing w:after="120" w:line="240" w:lineRule="auto"/>
              <w:rPr>
                <w:sz w:val="16"/>
                <w:szCs w:val="16"/>
              </w:rPr>
            </w:pPr>
            <w:r w:rsidRPr="002C21B8">
              <w:rPr>
                <w:sz w:val="16"/>
                <w:szCs w:val="16"/>
              </w:rPr>
              <w:t>30,000</w:t>
            </w:r>
          </w:p>
        </w:tc>
        <w:tc>
          <w:tcPr>
            <w:tcW w:w="1538" w:type="dxa"/>
            <w:shd w:val="clear" w:color="auto" w:fill="auto"/>
            <w:vAlign w:val="center"/>
          </w:tcPr>
          <w:p w14:paraId="6E254CB5" w14:textId="77777777" w:rsidR="00344F3B" w:rsidRPr="002C21B8" w:rsidRDefault="00344F3B" w:rsidP="00EB0FFD">
            <w:pPr>
              <w:spacing w:after="120" w:line="240" w:lineRule="auto"/>
              <w:rPr>
                <w:sz w:val="16"/>
                <w:szCs w:val="16"/>
              </w:rPr>
            </w:pPr>
            <w:r w:rsidRPr="002C21B8">
              <w:rPr>
                <w:sz w:val="16"/>
                <w:szCs w:val="16"/>
              </w:rPr>
              <w:t>30,000</w:t>
            </w:r>
          </w:p>
        </w:tc>
        <w:tc>
          <w:tcPr>
            <w:tcW w:w="1538" w:type="dxa"/>
            <w:shd w:val="clear" w:color="auto" w:fill="auto"/>
            <w:vAlign w:val="center"/>
          </w:tcPr>
          <w:p w14:paraId="27FCB6B7" w14:textId="77777777" w:rsidR="00344F3B" w:rsidRPr="002C21B8" w:rsidRDefault="00344F3B" w:rsidP="00EB0FFD">
            <w:pPr>
              <w:spacing w:after="120" w:line="240" w:lineRule="auto"/>
              <w:rPr>
                <w:sz w:val="16"/>
                <w:szCs w:val="16"/>
              </w:rPr>
            </w:pPr>
            <w:r w:rsidRPr="002C21B8">
              <w:rPr>
                <w:sz w:val="16"/>
                <w:szCs w:val="16"/>
              </w:rPr>
              <w:t>30,000</w:t>
            </w:r>
          </w:p>
        </w:tc>
        <w:tc>
          <w:tcPr>
            <w:tcW w:w="1396" w:type="dxa"/>
            <w:shd w:val="clear" w:color="auto" w:fill="auto"/>
            <w:vAlign w:val="center"/>
          </w:tcPr>
          <w:p w14:paraId="24FA40CE" w14:textId="77777777" w:rsidR="00344F3B" w:rsidRPr="002C21B8" w:rsidRDefault="00344F3B" w:rsidP="00EB0FFD">
            <w:pPr>
              <w:spacing w:after="120" w:line="240" w:lineRule="auto"/>
              <w:rPr>
                <w:sz w:val="16"/>
                <w:szCs w:val="16"/>
              </w:rPr>
            </w:pPr>
            <w:r w:rsidRPr="002C21B8">
              <w:rPr>
                <w:sz w:val="16"/>
                <w:szCs w:val="16"/>
              </w:rPr>
              <w:t>30,000</w:t>
            </w:r>
          </w:p>
        </w:tc>
      </w:tr>
      <w:tr w:rsidR="00344F3B" w:rsidRPr="002C21B8" w14:paraId="26AC6FB2" w14:textId="77777777" w:rsidTr="00E55101">
        <w:tc>
          <w:tcPr>
            <w:tcW w:w="6345" w:type="dxa"/>
            <w:shd w:val="clear" w:color="auto" w:fill="auto"/>
          </w:tcPr>
          <w:p w14:paraId="7F4BCB14" w14:textId="77777777" w:rsidR="00344F3B" w:rsidRPr="002C21B8" w:rsidRDefault="00344F3B" w:rsidP="00EB0FFD">
            <w:pPr>
              <w:spacing w:after="120" w:line="240" w:lineRule="auto"/>
              <w:rPr>
                <w:sz w:val="16"/>
                <w:szCs w:val="16"/>
              </w:rPr>
            </w:pPr>
            <w:r w:rsidRPr="002C21B8">
              <w:rPr>
                <w:sz w:val="16"/>
                <w:szCs w:val="16"/>
              </w:rPr>
              <w:t>RaDaR eligible patients not initiated (n)</w:t>
            </w:r>
          </w:p>
        </w:tc>
        <w:tc>
          <w:tcPr>
            <w:tcW w:w="1537" w:type="dxa"/>
            <w:shd w:val="clear" w:color="auto" w:fill="auto"/>
            <w:vAlign w:val="center"/>
          </w:tcPr>
          <w:p w14:paraId="19BAC118" w14:textId="77777777" w:rsidR="00344F3B" w:rsidRPr="002C21B8" w:rsidRDefault="00344F3B" w:rsidP="00EB0FFD">
            <w:pPr>
              <w:spacing w:after="120" w:line="240" w:lineRule="auto"/>
              <w:rPr>
                <w:sz w:val="16"/>
                <w:szCs w:val="16"/>
              </w:rPr>
            </w:pPr>
            <w:r w:rsidRPr="002C21B8">
              <w:rPr>
                <w:sz w:val="16"/>
                <w:szCs w:val="16"/>
              </w:rPr>
              <w:t>547</w:t>
            </w:r>
          </w:p>
        </w:tc>
        <w:tc>
          <w:tcPr>
            <w:tcW w:w="1538" w:type="dxa"/>
            <w:shd w:val="clear" w:color="auto" w:fill="auto"/>
            <w:vAlign w:val="center"/>
          </w:tcPr>
          <w:p w14:paraId="2C8E6EBE" w14:textId="77777777" w:rsidR="00344F3B" w:rsidRPr="002C21B8" w:rsidRDefault="00344F3B" w:rsidP="00EB0FFD">
            <w:pPr>
              <w:spacing w:after="120" w:line="240" w:lineRule="auto"/>
              <w:rPr>
                <w:sz w:val="16"/>
                <w:szCs w:val="16"/>
              </w:rPr>
            </w:pPr>
            <w:r w:rsidRPr="002C21B8">
              <w:rPr>
                <w:sz w:val="16"/>
                <w:szCs w:val="16"/>
              </w:rPr>
              <w:t>547</w:t>
            </w:r>
          </w:p>
        </w:tc>
        <w:tc>
          <w:tcPr>
            <w:tcW w:w="1538" w:type="dxa"/>
            <w:shd w:val="clear" w:color="auto" w:fill="auto"/>
            <w:vAlign w:val="center"/>
          </w:tcPr>
          <w:p w14:paraId="6F3B2B43" w14:textId="77777777" w:rsidR="00344F3B" w:rsidRPr="002C21B8" w:rsidRDefault="00344F3B" w:rsidP="00EB0FFD">
            <w:pPr>
              <w:spacing w:after="120" w:line="240" w:lineRule="auto"/>
              <w:rPr>
                <w:sz w:val="16"/>
                <w:szCs w:val="16"/>
              </w:rPr>
            </w:pPr>
            <w:r w:rsidRPr="002C21B8">
              <w:rPr>
                <w:sz w:val="16"/>
                <w:szCs w:val="16"/>
              </w:rPr>
              <w:t>547</w:t>
            </w:r>
          </w:p>
        </w:tc>
        <w:tc>
          <w:tcPr>
            <w:tcW w:w="1538" w:type="dxa"/>
            <w:shd w:val="clear" w:color="auto" w:fill="auto"/>
            <w:vAlign w:val="center"/>
          </w:tcPr>
          <w:p w14:paraId="4BF7AB0A" w14:textId="77777777" w:rsidR="00344F3B" w:rsidRPr="002C21B8" w:rsidRDefault="00344F3B" w:rsidP="00EB0FFD">
            <w:pPr>
              <w:spacing w:after="120" w:line="240" w:lineRule="auto"/>
              <w:rPr>
                <w:sz w:val="16"/>
                <w:szCs w:val="16"/>
              </w:rPr>
            </w:pPr>
            <w:r w:rsidRPr="002C21B8">
              <w:rPr>
                <w:sz w:val="16"/>
                <w:szCs w:val="16"/>
              </w:rPr>
              <w:t>547</w:t>
            </w:r>
          </w:p>
        </w:tc>
        <w:tc>
          <w:tcPr>
            <w:tcW w:w="1396" w:type="dxa"/>
            <w:shd w:val="clear" w:color="auto" w:fill="auto"/>
            <w:vAlign w:val="center"/>
          </w:tcPr>
          <w:p w14:paraId="776988A7" w14:textId="77777777" w:rsidR="00344F3B" w:rsidRPr="002C21B8" w:rsidRDefault="00344F3B" w:rsidP="00EB0FFD">
            <w:pPr>
              <w:spacing w:after="120" w:line="240" w:lineRule="auto"/>
              <w:rPr>
                <w:sz w:val="16"/>
                <w:szCs w:val="16"/>
              </w:rPr>
            </w:pPr>
            <w:r w:rsidRPr="002C21B8">
              <w:rPr>
                <w:sz w:val="16"/>
                <w:szCs w:val="16"/>
              </w:rPr>
              <w:t>547</w:t>
            </w:r>
          </w:p>
        </w:tc>
      </w:tr>
      <w:tr w:rsidR="00344F3B" w:rsidRPr="002C21B8" w14:paraId="1C7884DB" w14:textId="77777777" w:rsidTr="00E55101">
        <w:tc>
          <w:tcPr>
            <w:tcW w:w="6345" w:type="dxa"/>
            <w:shd w:val="clear" w:color="auto" w:fill="auto"/>
          </w:tcPr>
          <w:p w14:paraId="4045D143" w14:textId="77777777" w:rsidR="00344F3B" w:rsidRPr="002C21B8" w:rsidRDefault="00344F3B" w:rsidP="00EB0FFD">
            <w:pPr>
              <w:spacing w:after="120" w:line="240" w:lineRule="auto"/>
              <w:rPr>
                <w:sz w:val="16"/>
                <w:szCs w:val="16"/>
              </w:rPr>
            </w:pPr>
            <w:r w:rsidRPr="002C21B8">
              <w:rPr>
                <w:sz w:val="16"/>
                <w:szCs w:val="16"/>
              </w:rPr>
              <w:t>RaDaR total ADPKD patients</w:t>
            </w:r>
          </w:p>
        </w:tc>
        <w:tc>
          <w:tcPr>
            <w:tcW w:w="1537" w:type="dxa"/>
            <w:shd w:val="clear" w:color="auto" w:fill="auto"/>
            <w:vAlign w:val="center"/>
          </w:tcPr>
          <w:p w14:paraId="5179C9C3" w14:textId="77777777" w:rsidR="00344F3B" w:rsidRPr="002C21B8" w:rsidRDefault="00344F3B" w:rsidP="00EB0FFD">
            <w:pPr>
              <w:spacing w:after="120" w:line="240" w:lineRule="auto"/>
              <w:rPr>
                <w:sz w:val="16"/>
                <w:szCs w:val="16"/>
              </w:rPr>
            </w:pPr>
            <w:r w:rsidRPr="002C21B8">
              <w:rPr>
                <w:sz w:val="16"/>
                <w:szCs w:val="16"/>
              </w:rPr>
              <w:t>3,609</w:t>
            </w:r>
          </w:p>
        </w:tc>
        <w:tc>
          <w:tcPr>
            <w:tcW w:w="1538" w:type="dxa"/>
            <w:shd w:val="clear" w:color="auto" w:fill="auto"/>
            <w:vAlign w:val="center"/>
          </w:tcPr>
          <w:p w14:paraId="483E1030" w14:textId="77777777" w:rsidR="00344F3B" w:rsidRPr="002C21B8" w:rsidRDefault="00344F3B" w:rsidP="00EB0FFD">
            <w:pPr>
              <w:spacing w:after="120" w:line="240" w:lineRule="auto"/>
              <w:rPr>
                <w:sz w:val="16"/>
                <w:szCs w:val="16"/>
              </w:rPr>
            </w:pPr>
            <w:r w:rsidRPr="002C21B8">
              <w:rPr>
                <w:sz w:val="16"/>
                <w:szCs w:val="16"/>
              </w:rPr>
              <w:t>3,609</w:t>
            </w:r>
          </w:p>
        </w:tc>
        <w:tc>
          <w:tcPr>
            <w:tcW w:w="1538" w:type="dxa"/>
            <w:shd w:val="clear" w:color="auto" w:fill="auto"/>
            <w:vAlign w:val="center"/>
          </w:tcPr>
          <w:p w14:paraId="0FFFCCD2" w14:textId="77777777" w:rsidR="00344F3B" w:rsidRPr="002C21B8" w:rsidRDefault="00344F3B" w:rsidP="00EB0FFD">
            <w:pPr>
              <w:spacing w:after="120" w:line="240" w:lineRule="auto"/>
              <w:rPr>
                <w:sz w:val="16"/>
                <w:szCs w:val="16"/>
              </w:rPr>
            </w:pPr>
            <w:r w:rsidRPr="002C21B8">
              <w:rPr>
                <w:sz w:val="16"/>
                <w:szCs w:val="16"/>
              </w:rPr>
              <w:t>3,609</w:t>
            </w:r>
          </w:p>
        </w:tc>
        <w:tc>
          <w:tcPr>
            <w:tcW w:w="1538" w:type="dxa"/>
            <w:shd w:val="clear" w:color="auto" w:fill="auto"/>
            <w:vAlign w:val="center"/>
          </w:tcPr>
          <w:p w14:paraId="63613D6C" w14:textId="77777777" w:rsidR="00344F3B" w:rsidRPr="002C21B8" w:rsidRDefault="00344F3B" w:rsidP="00EB0FFD">
            <w:pPr>
              <w:spacing w:after="120" w:line="240" w:lineRule="auto"/>
              <w:rPr>
                <w:sz w:val="16"/>
                <w:szCs w:val="16"/>
              </w:rPr>
            </w:pPr>
            <w:r w:rsidRPr="002C21B8">
              <w:rPr>
                <w:sz w:val="16"/>
                <w:szCs w:val="16"/>
              </w:rPr>
              <w:t>3,609</w:t>
            </w:r>
          </w:p>
        </w:tc>
        <w:tc>
          <w:tcPr>
            <w:tcW w:w="1396" w:type="dxa"/>
            <w:shd w:val="clear" w:color="auto" w:fill="auto"/>
            <w:vAlign w:val="center"/>
          </w:tcPr>
          <w:p w14:paraId="247E4DB9" w14:textId="77777777" w:rsidR="00344F3B" w:rsidRPr="002C21B8" w:rsidRDefault="00344F3B" w:rsidP="00EB0FFD">
            <w:pPr>
              <w:spacing w:after="120" w:line="240" w:lineRule="auto"/>
              <w:rPr>
                <w:sz w:val="16"/>
                <w:szCs w:val="16"/>
              </w:rPr>
            </w:pPr>
            <w:r w:rsidRPr="002C21B8">
              <w:rPr>
                <w:sz w:val="16"/>
                <w:szCs w:val="16"/>
              </w:rPr>
              <w:t>3,609</w:t>
            </w:r>
          </w:p>
        </w:tc>
      </w:tr>
      <w:tr w:rsidR="00344F3B" w:rsidRPr="002C21B8" w14:paraId="2F2A85C6" w14:textId="77777777" w:rsidTr="00E55101">
        <w:tc>
          <w:tcPr>
            <w:tcW w:w="6345" w:type="dxa"/>
            <w:shd w:val="clear" w:color="auto" w:fill="auto"/>
          </w:tcPr>
          <w:p w14:paraId="568D8672" w14:textId="77777777" w:rsidR="00344F3B" w:rsidRPr="002C21B8" w:rsidRDefault="00344F3B" w:rsidP="00EB0FFD">
            <w:pPr>
              <w:spacing w:after="120" w:line="240" w:lineRule="auto"/>
              <w:rPr>
                <w:sz w:val="16"/>
                <w:szCs w:val="16"/>
              </w:rPr>
            </w:pPr>
            <w:r w:rsidRPr="002C21B8">
              <w:rPr>
                <w:sz w:val="16"/>
                <w:szCs w:val="16"/>
              </w:rPr>
              <w:t>Proportion of eligible not initiated (%)</w:t>
            </w:r>
          </w:p>
        </w:tc>
        <w:tc>
          <w:tcPr>
            <w:tcW w:w="1537" w:type="dxa"/>
            <w:shd w:val="clear" w:color="auto" w:fill="auto"/>
          </w:tcPr>
          <w:p w14:paraId="0E6BA8CC" w14:textId="77777777" w:rsidR="00344F3B" w:rsidRPr="002C21B8" w:rsidRDefault="00344F3B" w:rsidP="00EB0FFD">
            <w:pPr>
              <w:spacing w:after="120" w:line="240" w:lineRule="auto"/>
              <w:rPr>
                <w:sz w:val="16"/>
                <w:szCs w:val="16"/>
              </w:rPr>
            </w:pPr>
            <w:r w:rsidRPr="002C21B8">
              <w:rPr>
                <w:sz w:val="16"/>
                <w:szCs w:val="16"/>
              </w:rPr>
              <w:t>15.16</w:t>
            </w:r>
          </w:p>
        </w:tc>
        <w:tc>
          <w:tcPr>
            <w:tcW w:w="1538" w:type="dxa"/>
            <w:shd w:val="clear" w:color="auto" w:fill="auto"/>
          </w:tcPr>
          <w:p w14:paraId="5337445E" w14:textId="77777777" w:rsidR="00344F3B" w:rsidRPr="002C21B8" w:rsidRDefault="00344F3B" w:rsidP="00EB0FFD">
            <w:pPr>
              <w:spacing w:after="120" w:line="240" w:lineRule="auto"/>
              <w:rPr>
                <w:sz w:val="16"/>
                <w:szCs w:val="16"/>
              </w:rPr>
            </w:pPr>
            <w:r w:rsidRPr="002C21B8">
              <w:rPr>
                <w:sz w:val="16"/>
                <w:szCs w:val="16"/>
              </w:rPr>
              <w:t>15.16</w:t>
            </w:r>
          </w:p>
        </w:tc>
        <w:tc>
          <w:tcPr>
            <w:tcW w:w="1538" w:type="dxa"/>
            <w:shd w:val="clear" w:color="auto" w:fill="auto"/>
          </w:tcPr>
          <w:p w14:paraId="0A46B513" w14:textId="77777777" w:rsidR="00344F3B" w:rsidRPr="002C21B8" w:rsidRDefault="00344F3B" w:rsidP="00EB0FFD">
            <w:pPr>
              <w:spacing w:after="120" w:line="240" w:lineRule="auto"/>
              <w:rPr>
                <w:sz w:val="16"/>
                <w:szCs w:val="16"/>
              </w:rPr>
            </w:pPr>
            <w:r w:rsidRPr="002C21B8">
              <w:rPr>
                <w:sz w:val="16"/>
                <w:szCs w:val="16"/>
              </w:rPr>
              <w:t>15.16</w:t>
            </w:r>
          </w:p>
        </w:tc>
        <w:tc>
          <w:tcPr>
            <w:tcW w:w="1538" w:type="dxa"/>
            <w:shd w:val="clear" w:color="auto" w:fill="auto"/>
          </w:tcPr>
          <w:p w14:paraId="559D5518" w14:textId="77777777" w:rsidR="00344F3B" w:rsidRPr="002C21B8" w:rsidRDefault="00344F3B" w:rsidP="00EB0FFD">
            <w:pPr>
              <w:spacing w:after="120" w:line="240" w:lineRule="auto"/>
              <w:rPr>
                <w:sz w:val="16"/>
                <w:szCs w:val="16"/>
              </w:rPr>
            </w:pPr>
            <w:r w:rsidRPr="002C21B8">
              <w:rPr>
                <w:sz w:val="16"/>
                <w:szCs w:val="16"/>
              </w:rPr>
              <w:t>15.16</w:t>
            </w:r>
          </w:p>
        </w:tc>
        <w:tc>
          <w:tcPr>
            <w:tcW w:w="1396" w:type="dxa"/>
            <w:shd w:val="clear" w:color="auto" w:fill="auto"/>
          </w:tcPr>
          <w:p w14:paraId="0FD66698" w14:textId="77777777" w:rsidR="00344F3B" w:rsidRPr="002C21B8" w:rsidRDefault="00344F3B" w:rsidP="00EB0FFD">
            <w:pPr>
              <w:spacing w:after="120" w:line="240" w:lineRule="auto"/>
              <w:rPr>
                <w:sz w:val="16"/>
                <w:szCs w:val="16"/>
              </w:rPr>
            </w:pPr>
            <w:r w:rsidRPr="002C21B8">
              <w:rPr>
                <w:sz w:val="16"/>
                <w:szCs w:val="16"/>
              </w:rPr>
              <w:t>15.16</w:t>
            </w:r>
          </w:p>
        </w:tc>
      </w:tr>
      <w:tr w:rsidR="00344F3B" w:rsidRPr="002C21B8" w14:paraId="35CBB41A" w14:textId="77777777" w:rsidTr="00E55101">
        <w:tc>
          <w:tcPr>
            <w:tcW w:w="6345" w:type="dxa"/>
            <w:shd w:val="clear" w:color="auto" w:fill="auto"/>
          </w:tcPr>
          <w:p w14:paraId="0D5ACB62" w14:textId="77777777" w:rsidR="00344F3B" w:rsidRPr="002C21B8" w:rsidRDefault="00344F3B" w:rsidP="00EB0FFD">
            <w:pPr>
              <w:spacing w:after="120" w:line="240" w:lineRule="auto"/>
              <w:rPr>
                <w:sz w:val="16"/>
                <w:szCs w:val="16"/>
              </w:rPr>
            </w:pPr>
            <w:r w:rsidRPr="002C21B8">
              <w:rPr>
                <w:sz w:val="16"/>
                <w:szCs w:val="16"/>
              </w:rPr>
              <w:t>Estimated eligible not initiated in UK (%)</w:t>
            </w:r>
          </w:p>
        </w:tc>
        <w:tc>
          <w:tcPr>
            <w:tcW w:w="1537" w:type="dxa"/>
            <w:shd w:val="clear" w:color="auto" w:fill="auto"/>
            <w:vAlign w:val="center"/>
          </w:tcPr>
          <w:p w14:paraId="6F3928E5" w14:textId="77777777" w:rsidR="00344F3B" w:rsidRPr="002C21B8" w:rsidRDefault="00344F3B" w:rsidP="00EB0FFD">
            <w:pPr>
              <w:spacing w:after="120" w:line="240" w:lineRule="auto"/>
              <w:rPr>
                <w:sz w:val="16"/>
                <w:szCs w:val="16"/>
              </w:rPr>
            </w:pPr>
            <w:r w:rsidRPr="002C21B8">
              <w:rPr>
                <w:sz w:val="16"/>
                <w:szCs w:val="16"/>
              </w:rPr>
              <w:t>4,547</w:t>
            </w:r>
          </w:p>
        </w:tc>
        <w:tc>
          <w:tcPr>
            <w:tcW w:w="1538" w:type="dxa"/>
            <w:shd w:val="clear" w:color="auto" w:fill="auto"/>
            <w:vAlign w:val="center"/>
          </w:tcPr>
          <w:p w14:paraId="7EE2BF2A" w14:textId="77777777" w:rsidR="00344F3B" w:rsidRPr="002C21B8" w:rsidRDefault="00344F3B" w:rsidP="00EB0FFD">
            <w:pPr>
              <w:spacing w:after="120" w:line="240" w:lineRule="auto"/>
              <w:rPr>
                <w:sz w:val="16"/>
                <w:szCs w:val="16"/>
              </w:rPr>
            </w:pPr>
            <w:r w:rsidRPr="002C21B8">
              <w:rPr>
                <w:sz w:val="16"/>
                <w:szCs w:val="16"/>
              </w:rPr>
              <w:t>4,547</w:t>
            </w:r>
          </w:p>
        </w:tc>
        <w:tc>
          <w:tcPr>
            <w:tcW w:w="1538" w:type="dxa"/>
            <w:shd w:val="clear" w:color="auto" w:fill="auto"/>
            <w:vAlign w:val="center"/>
          </w:tcPr>
          <w:p w14:paraId="5BCCB6B3" w14:textId="77777777" w:rsidR="00344F3B" w:rsidRPr="002C21B8" w:rsidRDefault="00344F3B" w:rsidP="00EB0FFD">
            <w:pPr>
              <w:spacing w:after="120" w:line="240" w:lineRule="auto"/>
              <w:rPr>
                <w:sz w:val="16"/>
                <w:szCs w:val="16"/>
              </w:rPr>
            </w:pPr>
            <w:r w:rsidRPr="002C21B8">
              <w:rPr>
                <w:sz w:val="16"/>
                <w:szCs w:val="16"/>
              </w:rPr>
              <w:t>4,547</w:t>
            </w:r>
          </w:p>
        </w:tc>
        <w:tc>
          <w:tcPr>
            <w:tcW w:w="1538" w:type="dxa"/>
            <w:shd w:val="clear" w:color="auto" w:fill="auto"/>
            <w:vAlign w:val="center"/>
          </w:tcPr>
          <w:p w14:paraId="5789E863" w14:textId="77777777" w:rsidR="00344F3B" w:rsidRPr="002C21B8" w:rsidRDefault="00344F3B" w:rsidP="00EB0FFD">
            <w:pPr>
              <w:spacing w:after="120" w:line="240" w:lineRule="auto"/>
              <w:rPr>
                <w:sz w:val="16"/>
                <w:szCs w:val="16"/>
              </w:rPr>
            </w:pPr>
            <w:r w:rsidRPr="002C21B8">
              <w:rPr>
                <w:sz w:val="16"/>
                <w:szCs w:val="16"/>
              </w:rPr>
              <w:t>4,547</w:t>
            </w:r>
          </w:p>
        </w:tc>
        <w:tc>
          <w:tcPr>
            <w:tcW w:w="1396" w:type="dxa"/>
            <w:shd w:val="clear" w:color="auto" w:fill="auto"/>
            <w:vAlign w:val="center"/>
          </w:tcPr>
          <w:p w14:paraId="60A5055D" w14:textId="77777777" w:rsidR="00344F3B" w:rsidRPr="002C21B8" w:rsidRDefault="00344F3B" w:rsidP="00EB0FFD">
            <w:pPr>
              <w:spacing w:after="120" w:line="240" w:lineRule="auto"/>
              <w:rPr>
                <w:sz w:val="16"/>
                <w:szCs w:val="16"/>
              </w:rPr>
            </w:pPr>
            <w:r w:rsidRPr="002C21B8">
              <w:rPr>
                <w:sz w:val="16"/>
                <w:szCs w:val="16"/>
              </w:rPr>
              <w:t>4,547</w:t>
            </w:r>
          </w:p>
        </w:tc>
      </w:tr>
      <w:tr w:rsidR="00344F3B" w:rsidRPr="002C21B8" w14:paraId="392CE663" w14:textId="77777777" w:rsidTr="00E55101">
        <w:tc>
          <w:tcPr>
            <w:tcW w:w="6345" w:type="dxa"/>
            <w:shd w:val="clear" w:color="auto" w:fill="auto"/>
          </w:tcPr>
          <w:p w14:paraId="62C911D3" w14:textId="77777777" w:rsidR="00344F3B" w:rsidRPr="002C21B8" w:rsidRDefault="00344F3B" w:rsidP="00EB0FFD">
            <w:pPr>
              <w:spacing w:after="120" w:line="240" w:lineRule="auto"/>
              <w:rPr>
                <w:sz w:val="16"/>
                <w:szCs w:val="16"/>
              </w:rPr>
            </w:pPr>
            <w:r w:rsidRPr="002C21B8">
              <w:rPr>
                <w:sz w:val="16"/>
                <w:szCs w:val="16"/>
              </w:rPr>
              <w:t>Tolvaptan patient uptake (%)</w:t>
            </w:r>
          </w:p>
        </w:tc>
        <w:tc>
          <w:tcPr>
            <w:tcW w:w="1537" w:type="dxa"/>
            <w:shd w:val="clear" w:color="auto" w:fill="auto"/>
          </w:tcPr>
          <w:p w14:paraId="56BDB753" w14:textId="77777777" w:rsidR="00344F3B" w:rsidRPr="002C21B8" w:rsidRDefault="00344F3B" w:rsidP="00EB0FFD">
            <w:pPr>
              <w:spacing w:after="120" w:line="240" w:lineRule="auto"/>
              <w:rPr>
                <w:sz w:val="16"/>
                <w:szCs w:val="16"/>
              </w:rPr>
            </w:pPr>
            <w:r w:rsidRPr="002C21B8">
              <w:rPr>
                <w:sz w:val="16"/>
                <w:szCs w:val="16"/>
              </w:rPr>
              <w:t>30.50</w:t>
            </w:r>
          </w:p>
        </w:tc>
        <w:tc>
          <w:tcPr>
            <w:tcW w:w="1538" w:type="dxa"/>
            <w:shd w:val="clear" w:color="auto" w:fill="auto"/>
          </w:tcPr>
          <w:p w14:paraId="472EC5AA" w14:textId="77777777" w:rsidR="00344F3B" w:rsidRPr="002C21B8" w:rsidRDefault="00344F3B" w:rsidP="00EB0FFD">
            <w:pPr>
              <w:spacing w:after="120" w:line="240" w:lineRule="auto"/>
              <w:rPr>
                <w:sz w:val="16"/>
                <w:szCs w:val="16"/>
              </w:rPr>
            </w:pPr>
            <w:r w:rsidRPr="002C21B8">
              <w:rPr>
                <w:sz w:val="16"/>
                <w:szCs w:val="16"/>
              </w:rPr>
              <w:t>30.50</w:t>
            </w:r>
          </w:p>
        </w:tc>
        <w:tc>
          <w:tcPr>
            <w:tcW w:w="1538" w:type="dxa"/>
            <w:shd w:val="clear" w:color="auto" w:fill="auto"/>
          </w:tcPr>
          <w:p w14:paraId="6861F4C7" w14:textId="77777777" w:rsidR="00344F3B" w:rsidRPr="002C21B8" w:rsidRDefault="00344F3B" w:rsidP="00EB0FFD">
            <w:pPr>
              <w:spacing w:after="120" w:line="240" w:lineRule="auto"/>
              <w:rPr>
                <w:sz w:val="16"/>
                <w:szCs w:val="16"/>
              </w:rPr>
            </w:pPr>
            <w:r w:rsidRPr="002C21B8">
              <w:rPr>
                <w:sz w:val="16"/>
                <w:szCs w:val="16"/>
              </w:rPr>
              <w:t>30.50</w:t>
            </w:r>
          </w:p>
        </w:tc>
        <w:tc>
          <w:tcPr>
            <w:tcW w:w="1538" w:type="dxa"/>
            <w:shd w:val="clear" w:color="auto" w:fill="auto"/>
          </w:tcPr>
          <w:p w14:paraId="10F87753" w14:textId="77777777" w:rsidR="00344F3B" w:rsidRPr="002C21B8" w:rsidRDefault="00344F3B" w:rsidP="00EB0FFD">
            <w:pPr>
              <w:spacing w:after="120" w:line="240" w:lineRule="auto"/>
              <w:rPr>
                <w:sz w:val="16"/>
                <w:szCs w:val="16"/>
              </w:rPr>
            </w:pPr>
            <w:r w:rsidRPr="002C21B8">
              <w:rPr>
                <w:sz w:val="16"/>
                <w:szCs w:val="16"/>
              </w:rPr>
              <w:t>30.50</w:t>
            </w:r>
          </w:p>
        </w:tc>
        <w:tc>
          <w:tcPr>
            <w:tcW w:w="1396" w:type="dxa"/>
            <w:shd w:val="clear" w:color="auto" w:fill="auto"/>
          </w:tcPr>
          <w:p w14:paraId="27065663" w14:textId="77777777" w:rsidR="00344F3B" w:rsidRPr="002C21B8" w:rsidRDefault="00344F3B" w:rsidP="00EB0FFD">
            <w:pPr>
              <w:spacing w:after="120" w:line="240" w:lineRule="auto"/>
              <w:rPr>
                <w:sz w:val="16"/>
                <w:szCs w:val="16"/>
              </w:rPr>
            </w:pPr>
            <w:r w:rsidRPr="002C21B8">
              <w:rPr>
                <w:sz w:val="16"/>
                <w:szCs w:val="16"/>
              </w:rPr>
              <w:t>30.50</w:t>
            </w:r>
          </w:p>
        </w:tc>
      </w:tr>
      <w:tr w:rsidR="00344F3B" w:rsidRPr="002C21B8" w14:paraId="45F261EB" w14:textId="77777777" w:rsidTr="00E55101">
        <w:tc>
          <w:tcPr>
            <w:tcW w:w="6345" w:type="dxa"/>
            <w:shd w:val="clear" w:color="auto" w:fill="auto"/>
          </w:tcPr>
          <w:p w14:paraId="0A8F3651" w14:textId="77777777" w:rsidR="00344F3B" w:rsidRPr="002C21B8" w:rsidRDefault="00344F3B" w:rsidP="00EB0FFD">
            <w:pPr>
              <w:spacing w:after="120" w:line="240" w:lineRule="auto"/>
              <w:rPr>
                <w:sz w:val="16"/>
                <w:szCs w:val="16"/>
              </w:rPr>
            </w:pPr>
            <w:r w:rsidRPr="002C21B8">
              <w:rPr>
                <w:sz w:val="16"/>
                <w:szCs w:val="16"/>
              </w:rPr>
              <w:t>Estimated eligible not initiated in UK initiated (%)</w:t>
            </w:r>
          </w:p>
        </w:tc>
        <w:tc>
          <w:tcPr>
            <w:tcW w:w="1537" w:type="dxa"/>
            <w:shd w:val="clear" w:color="auto" w:fill="auto"/>
          </w:tcPr>
          <w:p w14:paraId="33236671" w14:textId="77777777" w:rsidR="00344F3B" w:rsidRPr="002C21B8" w:rsidRDefault="00344F3B" w:rsidP="00EB0FFD">
            <w:pPr>
              <w:spacing w:after="120" w:line="240" w:lineRule="auto"/>
              <w:rPr>
                <w:sz w:val="16"/>
                <w:szCs w:val="16"/>
              </w:rPr>
            </w:pPr>
            <w:r w:rsidRPr="002C21B8">
              <w:rPr>
                <w:sz w:val="16"/>
                <w:szCs w:val="16"/>
              </w:rPr>
              <w:t>1,387</w:t>
            </w:r>
          </w:p>
        </w:tc>
        <w:tc>
          <w:tcPr>
            <w:tcW w:w="1538" w:type="dxa"/>
            <w:shd w:val="clear" w:color="auto" w:fill="auto"/>
          </w:tcPr>
          <w:p w14:paraId="701DCC8C" w14:textId="77777777" w:rsidR="00344F3B" w:rsidRPr="002C21B8" w:rsidRDefault="00344F3B" w:rsidP="00EB0FFD">
            <w:pPr>
              <w:spacing w:after="120" w:line="240" w:lineRule="auto"/>
              <w:rPr>
                <w:sz w:val="16"/>
                <w:szCs w:val="16"/>
              </w:rPr>
            </w:pPr>
            <w:r w:rsidRPr="002C21B8">
              <w:rPr>
                <w:sz w:val="16"/>
                <w:szCs w:val="16"/>
              </w:rPr>
              <w:t>1,387</w:t>
            </w:r>
          </w:p>
        </w:tc>
        <w:tc>
          <w:tcPr>
            <w:tcW w:w="1538" w:type="dxa"/>
            <w:shd w:val="clear" w:color="auto" w:fill="auto"/>
          </w:tcPr>
          <w:p w14:paraId="423D0C59" w14:textId="77777777" w:rsidR="00344F3B" w:rsidRPr="002C21B8" w:rsidRDefault="00344F3B" w:rsidP="00EB0FFD">
            <w:pPr>
              <w:spacing w:after="120" w:line="240" w:lineRule="auto"/>
              <w:rPr>
                <w:sz w:val="16"/>
                <w:szCs w:val="16"/>
              </w:rPr>
            </w:pPr>
            <w:r w:rsidRPr="002C21B8">
              <w:rPr>
                <w:sz w:val="16"/>
                <w:szCs w:val="16"/>
              </w:rPr>
              <w:t>1,387</w:t>
            </w:r>
          </w:p>
        </w:tc>
        <w:tc>
          <w:tcPr>
            <w:tcW w:w="1538" w:type="dxa"/>
            <w:shd w:val="clear" w:color="auto" w:fill="auto"/>
          </w:tcPr>
          <w:p w14:paraId="3B0F84FB" w14:textId="77777777" w:rsidR="00344F3B" w:rsidRPr="002C21B8" w:rsidRDefault="00344F3B" w:rsidP="00EB0FFD">
            <w:pPr>
              <w:spacing w:after="120" w:line="240" w:lineRule="auto"/>
              <w:rPr>
                <w:sz w:val="16"/>
                <w:szCs w:val="16"/>
              </w:rPr>
            </w:pPr>
            <w:r w:rsidRPr="002C21B8">
              <w:rPr>
                <w:sz w:val="16"/>
                <w:szCs w:val="16"/>
              </w:rPr>
              <w:t>1,387</w:t>
            </w:r>
          </w:p>
        </w:tc>
        <w:tc>
          <w:tcPr>
            <w:tcW w:w="1396" w:type="dxa"/>
            <w:shd w:val="clear" w:color="auto" w:fill="auto"/>
          </w:tcPr>
          <w:p w14:paraId="5D6D5212" w14:textId="77777777" w:rsidR="00344F3B" w:rsidRPr="002C21B8" w:rsidRDefault="00344F3B" w:rsidP="00EB0FFD">
            <w:pPr>
              <w:spacing w:after="120" w:line="240" w:lineRule="auto"/>
              <w:rPr>
                <w:sz w:val="16"/>
                <w:szCs w:val="16"/>
              </w:rPr>
            </w:pPr>
            <w:r w:rsidRPr="002C21B8">
              <w:rPr>
                <w:sz w:val="16"/>
                <w:szCs w:val="16"/>
              </w:rPr>
              <w:t>1,387</w:t>
            </w:r>
          </w:p>
        </w:tc>
      </w:tr>
      <w:tr w:rsidR="00344F3B" w:rsidRPr="002C21B8" w14:paraId="47080FE4" w14:textId="77777777" w:rsidTr="00E55101">
        <w:tc>
          <w:tcPr>
            <w:tcW w:w="6345" w:type="dxa"/>
            <w:shd w:val="clear" w:color="auto" w:fill="auto"/>
          </w:tcPr>
          <w:p w14:paraId="7EA344FE" w14:textId="77777777" w:rsidR="00344F3B" w:rsidRPr="002C21B8" w:rsidRDefault="00344F3B" w:rsidP="00EB0FFD">
            <w:pPr>
              <w:spacing w:after="120" w:line="240" w:lineRule="auto"/>
              <w:rPr>
                <w:sz w:val="16"/>
                <w:szCs w:val="16"/>
              </w:rPr>
            </w:pPr>
            <w:r w:rsidRPr="002C21B8">
              <w:rPr>
                <w:sz w:val="16"/>
                <w:szCs w:val="16"/>
              </w:rPr>
              <w:t>Annual decline in eGFR (ml/min/1.73m</w:t>
            </w:r>
            <w:r w:rsidRPr="002C21B8">
              <w:rPr>
                <w:sz w:val="16"/>
                <w:szCs w:val="16"/>
                <w:vertAlign w:val="superscript"/>
              </w:rPr>
              <w:t>2</w:t>
            </w:r>
            <w:r w:rsidRPr="002C21B8">
              <w:rPr>
                <w:sz w:val="16"/>
                <w:szCs w:val="16"/>
              </w:rPr>
              <w:t>/year) (Mean (SD))</w:t>
            </w:r>
          </w:p>
        </w:tc>
        <w:tc>
          <w:tcPr>
            <w:tcW w:w="1537" w:type="dxa"/>
            <w:shd w:val="clear" w:color="auto" w:fill="auto"/>
          </w:tcPr>
          <w:p w14:paraId="589AAF32" w14:textId="77777777" w:rsidR="00344F3B" w:rsidRPr="002C21B8" w:rsidRDefault="00344F3B" w:rsidP="00EB0FFD">
            <w:pPr>
              <w:spacing w:after="120" w:line="240" w:lineRule="auto"/>
              <w:rPr>
                <w:sz w:val="16"/>
                <w:szCs w:val="16"/>
              </w:rPr>
            </w:pPr>
            <w:r w:rsidRPr="002C21B8">
              <w:rPr>
                <w:sz w:val="16"/>
                <w:szCs w:val="16"/>
              </w:rPr>
              <w:t>-7.07 (10.78)</w:t>
            </w:r>
          </w:p>
        </w:tc>
        <w:tc>
          <w:tcPr>
            <w:tcW w:w="1538" w:type="dxa"/>
            <w:shd w:val="clear" w:color="auto" w:fill="auto"/>
          </w:tcPr>
          <w:p w14:paraId="413FF2CC" w14:textId="77777777" w:rsidR="00344F3B" w:rsidRPr="002C21B8" w:rsidRDefault="00344F3B" w:rsidP="00EB0FFD">
            <w:pPr>
              <w:spacing w:after="120" w:line="240" w:lineRule="auto"/>
              <w:rPr>
                <w:sz w:val="16"/>
                <w:szCs w:val="16"/>
              </w:rPr>
            </w:pPr>
            <w:r w:rsidRPr="002C21B8">
              <w:rPr>
                <w:sz w:val="16"/>
                <w:szCs w:val="16"/>
              </w:rPr>
              <w:t>-7.07 (10.78)</w:t>
            </w:r>
          </w:p>
        </w:tc>
        <w:tc>
          <w:tcPr>
            <w:tcW w:w="1538" w:type="dxa"/>
            <w:shd w:val="clear" w:color="auto" w:fill="auto"/>
          </w:tcPr>
          <w:p w14:paraId="4D524996" w14:textId="77777777" w:rsidR="00344F3B" w:rsidRPr="002C21B8" w:rsidRDefault="00344F3B" w:rsidP="00EB0FFD">
            <w:pPr>
              <w:spacing w:after="120" w:line="240" w:lineRule="auto"/>
              <w:rPr>
                <w:sz w:val="16"/>
                <w:szCs w:val="16"/>
              </w:rPr>
            </w:pPr>
            <w:r w:rsidRPr="002C21B8">
              <w:rPr>
                <w:sz w:val="16"/>
                <w:szCs w:val="16"/>
              </w:rPr>
              <w:t>-7.07 (10.78)</w:t>
            </w:r>
          </w:p>
        </w:tc>
        <w:tc>
          <w:tcPr>
            <w:tcW w:w="1538" w:type="dxa"/>
            <w:shd w:val="clear" w:color="auto" w:fill="auto"/>
          </w:tcPr>
          <w:p w14:paraId="68DDD249" w14:textId="77777777" w:rsidR="00344F3B" w:rsidRPr="002C21B8" w:rsidRDefault="00344F3B" w:rsidP="00EB0FFD">
            <w:pPr>
              <w:spacing w:after="120" w:line="240" w:lineRule="auto"/>
              <w:rPr>
                <w:sz w:val="16"/>
                <w:szCs w:val="16"/>
              </w:rPr>
            </w:pPr>
            <w:r w:rsidRPr="002C21B8">
              <w:rPr>
                <w:sz w:val="16"/>
                <w:szCs w:val="16"/>
              </w:rPr>
              <w:t>-7.07 (10.78)</w:t>
            </w:r>
          </w:p>
        </w:tc>
        <w:tc>
          <w:tcPr>
            <w:tcW w:w="1396" w:type="dxa"/>
            <w:shd w:val="clear" w:color="auto" w:fill="auto"/>
          </w:tcPr>
          <w:p w14:paraId="20D92FB6" w14:textId="77777777" w:rsidR="00344F3B" w:rsidRPr="002C21B8" w:rsidRDefault="00344F3B" w:rsidP="00EB0FFD">
            <w:pPr>
              <w:spacing w:after="120" w:line="240" w:lineRule="auto"/>
              <w:rPr>
                <w:sz w:val="16"/>
                <w:szCs w:val="16"/>
              </w:rPr>
            </w:pPr>
            <w:r w:rsidRPr="002C21B8">
              <w:rPr>
                <w:sz w:val="16"/>
                <w:szCs w:val="16"/>
              </w:rPr>
              <w:t>-7.07 (10.78)</w:t>
            </w:r>
          </w:p>
        </w:tc>
      </w:tr>
      <w:tr w:rsidR="00344F3B" w:rsidRPr="002C21B8" w14:paraId="342DD67E" w14:textId="77777777" w:rsidTr="00E55101">
        <w:tc>
          <w:tcPr>
            <w:tcW w:w="6345" w:type="dxa"/>
            <w:shd w:val="clear" w:color="auto" w:fill="auto"/>
          </w:tcPr>
          <w:p w14:paraId="1B566F34" w14:textId="77777777" w:rsidR="00344F3B" w:rsidRPr="002C21B8" w:rsidRDefault="00344F3B" w:rsidP="00EB0FFD">
            <w:pPr>
              <w:spacing w:after="120" w:line="240" w:lineRule="auto"/>
              <w:rPr>
                <w:sz w:val="16"/>
                <w:szCs w:val="16"/>
              </w:rPr>
            </w:pPr>
            <w:r w:rsidRPr="002C21B8">
              <w:rPr>
                <w:sz w:val="16"/>
                <w:szCs w:val="16"/>
              </w:rPr>
              <w:t>Tolvaptan effect</w:t>
            </w:r>
          </w:p>
        </w:tc>
        <w:tc>
          <w:tcPr>
            <w:tcW w:w="1537" w:type="dxa"/>
            <w:shd w:val="clear" w:color="auto" w:fill="auto"/>
          </w:tcPr>
          <w:p w14:paraId="5DF4DB68" w14:textId="77777777" w:rsidR="00344F3B" w:rsidRPr="002C21B8" w:rsidRDefault="00344F3B" w:rsidP="00EB0FFD">
            <w:pPr>
              <w:spacing w:after="120" w:line="240" w:lineRule="auto"/>
              <w:rPr>
                <w:sz w:val="16"/>
                <w:szCs w:val="16"/>
              </w:rPr>
            </w:pPr>
            <w:r w:rsidRPr="002C21B8">
              <w:rPr>
                <w:sz w:val="16"/>
                <w:szCs w:val="16"/>
              </w:rPr>
              <w:t>-1.66</w:t>
            </w:r>
          </w:p>
        </w:tc>
        <w:tc>
          <w:tcPr>
            <w:tcW w:w="1538" w:type="dxa"/>
            <w:shd w:val="clear" w:color="auto" w:fill="auto"/>
          </w:tcPr>
          <w:p w14:paraId="1592037E" w14:textId="77777777" w:rsidR="00344F3B" w:rsidRPr="002C21B8" w:rsidRDefault="00344F3B" w:rsidP="00EB0FFD">
            <w:pPr>
              <w:spacing w:after="120" w:line="240" w:lineRule="auto"/>
              <w:rPr>
                <w:sz w:val="16"/>
                <w:szCs w:val="16"/>
              </w:rPr>
            </w:pPr>
            <w:r w:rsidRPr="002C21B8">
              <w:rPr>
                <w:sz w:val="16"/>
                <w:szCs w:val="16"/>
              </w:rPr>
              <w:t>-1.66</w:t>
            </w:r>
          </w:p>
        </w:tc>
        <w:tc>
          <w:tcPr>
            <w:tcW w:w="1538" w:type="dxa"/>
            <w:shd w:val="clear" w:color="auto" w:fill="auto"/>
          </w:tcPr>
          <w:p w14:paraId="1D9CC308" w14:textId="77777777" w:rsidR="00344F3B" w:rsidRPr="002C21B8" w:rsidRDefault="00344F3B" w:rsidP="00EB0FFD">
            <w:pPr>
              <w:spacing w:after="120" w:line="240" w:lineRule="auto"/>
              <w:rPr>
                <w:sz w:val="16"/>
                <w:szCs w:val="16"/>
              </w:rPr>
            </w:pPr>
            <w:r w:rsidRPr="002C21B8">
              <w:rPr>
                <w:sz w:val="16"/>
                <w:szCs w:val="16"/>
              </w:rPr>
              <w:t>-1.66</w:t>
            </w:r>
          </w:p>
        </w:tc>
        <w:tc>
          <w:tcPr>
            <w:tcW w:w="1538" w:type="dxa"/>
            <w:shd w:val="clear" w:color="auto" w:fill="auto"/>
          </w:tcPr>
          <w:p w14:paraId="21F2BD9C" w14:textId="77777777" w:rsidR="00344F3B" w:rsidRPr="002C21B8" w:rsidRDefault="00344F3B" w:rsidP="00EB0FFD">
            <w:pPr>
              <w:spacing w:after="120" w:line="240" w:lineRule="auto"/>
              <w:rPr>
                <w:sz w:val="16"/>
                <w:szCs w:val="16"/>
              </w:rPr>
            </w:pPr>
            <w:r w:rsidRPr="002C21B8">
              <w:rPr>
                <w:sz w:val="16"/>
                <w:szCs w:val="16"/>
              </w:rPr>
              <w:t>-1.66</w:t>
            </w:r>
          </w:p>
        </w:tc>
        <w:tc>
          <w:tcPr>
            <w:tcW w:w="1396" w:type="dxa"/>
            <w:shd w:val="clear" w:color="auto" w:fill="auto"/>
          </w:tcPr>
          <w:p w14:paraId="7860C9E2" w14:textId="77777777" w:rsidR="00344F3B" w:rsidRPr="002C21B8" w:rsidRDefault="00344F3B" w:rsidP="00EB0FFD">
            <w:pPr>
              <w:spacing w:after="120" w:line="240" w:lineRule="auto"/>
              <w:rPr>
                <w:sz w:val="16"/>
                <w:szCs w:val="16"/>
              </w:rPr>
            </w:pPr>
            <w:r w:rsidRPr="002C21B8">
              <w:rPr>
                <w:sz w:val="16"/>
                <w:szCs w:val="16"/>
              </w:rPr>
              <w:t>-1.66</w:t>
            </w:r>
          </w:p>
        </w:tc>
      </w:tr>
      <w:tr w:rsidR="00344F3B" w:rsidRPr="002C21B8" w14:paraId="4FD2DB40" w14:textId="77777777" w:rsidTr="00E55101">
        <w:tc>
          <w:tcPr>
            <w:tcW w:w="6345" w:type="dxa"/>
            <w:shd w:val="clear" w:color="auto" w:fill="auto"/>
          </w:tcPr>
          <w:p w14:paraId="5D8A6F1F" w14:textId="77777777" w:rsidR="00344F3B" w:rsidRPr="002C21B8" w:rsidRDefault="00344F3B" w:rsidP="00EB0FFD">
            <w:pPr>
              <w:spacing w:after="120" w:line="240" w:lineRule="auto"/>
              <w:rPr>
                <w:sz w:val="16"/>
                <w:szCs w:val="16"/>
              </w:rPr>
            </w:pPr>
            <w:r w:rsidRPr="002C21B8">
              <w:rPr>
                <w:sz w:val="16"/>
                <w:szCs w:val="16"/>
              </w:rPr>
              <w:t>Estimated KF-free years gained (see appendix 6)</w:t>
            </w:r>
          </w:p>
        </w:tc>
        <w:tc>
          <w:tcPr>
            <w:tcW w:w="1537" w:type="dxa"/>
            <w:shd w:val="clear" w:color="auto" w:fill="auto"/>
          </w:tcPr>
          <w:p w14:paraId="22D5DFD1" w14:textId="77777777" w:rsidR="00344F3B" w:rsidRPr="002C21B8" w:rsidRDefault="00344F3B" w:rsidP="00EB0FFD">
            <w:pPr>
              <w:spacing w:after="120" w:line="240" w:lineRule="auto"/>
              <w:rPr>
                <w:sz w:val="16"/>
                <w:szCs w:val="16"/>
              </w:rPr>
            </w:pPr>
            <w:r w:rsidRPr="002C21B8">
              <w:rPr>
                <w:sz w:val="16"/>
                <w:szCs w:val="16"/>
              </w:rPr>
              <w:t>2484.58</w:t>
            </w:r>
          </w:p>
        </w:tc>
        <w:tc>
          <w:tcPr>
            <w:tcW w:w="1538" w:type="dxa"/>
            <w:shd w:val="clear" w:color="auto" w:fill="auto"/>
          </w:tcPr>
          <w:p w14:paraId="01F80974" w14:textId="77777777" w:rsidR="00344F3B" w:rsidRPr="002C21B8" w:rsidRDefault="00344F3B" w:rsidP="00EB0FFD">
            <w:pPr>
              <w:spacing w:after="120" w:line="240" w:lineRule="auto"/>
              <w:rPr>
                <w:sz w:val="16"/>
                <w:szCs w:val="16"/>
              </w:rPr>
            </w:pPr>
            <w:r w:rsidRPr="002C21B8">
              <w:rPr>
                <w:sz w:val="16"/>
                <w:szCs w:val="16"/>
              </w:rPr>
              <w:t>2484.58</w:t>
            </w:r>
          </w:p>
        </w:tc>
        <w:tc>
          <w:tcPr>
            <w:tcW w:w="1538" w:type="dxa"/>
            <w:shd w:val="clear" w:color="auto" w:fill="auto"/>
          </w:tcPr>
          <w:p w14:paraId="238F6748" w14:textId="77777777" w:rsidR="00344F3B" w:rsidRPr="002C21B8" w:rsidRDefault="00344F3B" w:rsidP="00EB0FFD">
            <w:pPr>
              <w:spacing w:after="120" w:line="240" w:lineRule="auto"/>
              <w:rPr>
                <w:sz w:val="16"/>
                <w:szCs w:val="16"/>
              </w:rPr>
            </w:pPr>
            <w:r w:rsidRPr="002C21B8">
              <w:rPr>
                <w:sz w:val="16"/>
                <w:szCs w:val="16"/>
              </w:rPr>
              <w:t>2484.58</w:t>
            </w:r>
          </w:p>
        </w:tc>
        <w:tc>
          <w:tcPr>
            <w:tcW w:w="1538" w:type="dxa"/>
            <w:shd w:val="clear" w:color="auto" w:fill="auto"/>
          </w:tcPr>
          <w:p w14:paraId="4F79FB37" w14:textId="77777777" w:rsidR="00344F3B" w:rsidRPr="002C21B8" w:rsidRDefault="00344F3B" w:rsidP="00EB0FFD">
            <w:pPr>
              <w:spacing w:after="120" w:line="240" w:lineRule="auto"/>
              <w:rPr>
                <w:sz w:val="16"/>
                <w:szCs w:val="16"/>
              </w:rPr>
            </w:pPr>
            <w:r w:rsidRPr="002C21B8">
              <w:rPr>
                <w:sz w:val="16"/>
                <w:szCs w:val="16"/>
              </w:rPr>
              <w:t>2484.58</w:t>
            </w:r>
          </w:p>
        </w:tc>
        <w:tc>
          <w:tcPr>
            <w:tcW w:w="1396" w:type="dxa"/>
            <w:shd w:val="clear" w:color="auto" w:fill="auto"/>
          </w:tcPr>
          <w:p w14:paraId="15A75775" w14:textId="77777777" w:rsidR="00344F3B" w:rsidRPr="002C21B8" w:rsidRDefault="00344F3B" w:rsidP="00EB0FFD">
            <w:pPr>
              <w:spacing w:after="120" w:line="240" w:lineRule="auto"/>
              <w:rPr>
                <w:sz w:val="16"/>
                <w:szCs w:val="16"/>
              </w:rPr>
            </w:pPr>
            <w:r w:rsidRPr="002C21B8">
              <w:rPr>
                <w:sz w:val="16"/>
                <w:szCs w:val="16"/>
              </w:rPr>
              <w:t>2484.58</w:t>
            </w:r>
          </w:p>
        </w:tc>
      </w:tr>
      <w:tr w:rsidR="00344F3B" w:rsidRPr="002C21B8" w14:paraId="5D93A57B" w14:textId="77777777" w:rsidTr="00E55101">
        <w:tc>
          <w:tcPr>
            <w:tcW w:w="6345" w:type="dxa"/>
            <w:shd w:val="clear" w:color="auto" w:fill="auto"/>
          </w:tcPr>
          <w:p w14:paraId="6732057B" w14:textId="77777777" w:rsidR="00344F3B" w:rsidRPr="002C21B8" w:rsidRDefault="00344F3B" w:rsidP="00EB0FFD">
            <w:pPr>
              <w:spacing w:after="120" w:line="240" w:lineRule="auto"/>
              <w:rPr>
                <w:sz w:val="16"/>
                <w:szCs w:val="16"/>
              </w:rPr>
            </w:pPr>
            <w:r w:rsidRPr="002C21B8">
              <w:rPr>
                <w:sz w:val="16"/>
                <w:szCs w:val="16"/>
              </w:rPr>
              <w:t xml:space="preserve">Annual cost of HD per patient </w:t>
            </w:r>
          </w:p>
        </w:tc>
        <w:tc>
          <w:tcPr>
            <w:tcW w:w="1537" w:type="dxa"/>
            <w:shd w:val="clear" w:color="auto" w:fill="auto"/>
          </w:tcPr>
          <w:p w14:paraId="05093AB8" w14:textId="77777777" w:rsidR="00344F3B" w:rsidRPr="002C21B8" w:rsidRDefault="00344F3B" w:rsidP="00EB0FFD">
            <w:pPr>
              <w:spacing w:after="120" w:line="240" w:lineRule="auto"/>
              <w:rPr>
                <w:sz w:val="16"/>
                <w:szCs w:val="16"/>
              </w:rPr>
            </w:pPr>
            <w:r w:rsidRPr="002C21B8">
              <w:rPr>
                <w:sz w:val="16"/>
                <w:szCs w:val="16"/>
              </w:rPr>
              <w:t>£34,000</w:t>
            </w:r>
          </w:p>
        </w:tc>
        <w:tc>
          <w:tcPr>
            <w:tcW w:w="1538" w:type="dxa"/>
            <w:shd w:val="clear" w:color="auto" w:fill="auto"/>
          </w:tcPr>
          <w:p w14:paraId="4E1E620F" w14:textId="77777777" w:rsidR="00344F3B" w:rsidRPr="002C21B8" w:rsidRDefault="00344F3B" w:rsidP="00EB0FFD">
            <w:pPr>
              <w:spacing w:after="120" w:line="240" w:lineRule="auto"/>
              <w:rPr>
                <w:sz w:val="16"/>
                <w:szCs w:val="16"/>
              </w:rPr>
            </w:pPr>
            <w:r w:rsidRPr="002C21B8">
              <w:rPr>
                <w:sz w:val="16"/>
                <w:szCs w:val="16"/>
              </w:rPr>
              <w:t>£34,000</w:t>
            </w:r>
          </w:p>
        </w:tc>
        <w:tc>
          <w:tcPr>
            <w:tcW w:w="1538" w:type="dxa"/>
            <w:shd w:val="clear" w:color="auto" w:fill="auto"/>
          </w:tcPr>
          <w:p w14:paraId="7EA4C2A5" w14:textId="77777777" w:rsidR="00344F3B" w:rsidRPr="002C21B8" w:rsidRDefault="00344F3B" w:rsidP="00EB0FFD">
            <w:pPr>
              <w:spacing w:after="120" w:line="240" w:lineRule="auto"/>
              <w:rPr>
                <w:sz w:val="16"/>
                <w:szCs w:val="16"/>
              </w:rPr>
            </w:pPr>
            <w:r w:rsidRPr="002C21B8">
              <w:rPr>
                <w:sz w:val="16"/>
                <w:szCs w:val="16"/>
              </w:rPr>
              <w:t>£34,000</w:t>
            </w:r>
          </w:p>
        </w:tc>
        <w:tc>
          <w:tcPr>
            <w:tcW w:w="1538" w:type="dxa"/>
            <w:shd w:val="clear" w:color="auto" w:fill="auto"/>
          </w:tcPr>
          <w:p w14:paraId="11CC350C" w14:textId="77777777" w:rsidR="00344F3B" w:rsidRPr="002C21B8" w:rsidRDefault="00344F3B" w:rsidP="00EB0FFD">
            <w:pPr>
              <w:spacing w:after="120" w:line="240" w:lineRule="auto"/>
              <w:rPr>
                <w:sz w:val="16"/>
                <w:szCs w:val="16"/>
              </w:rPr>
            </w:pPr>
            <w:r w:rsidRPr="002C21B8">
              <w:rPr>
                <w:sz w:val="16"/>
                <w:szCs w:val="16"/>
              </w:rPr>
              <w:t>£34,000</w:t>
            </w:r>
          </w:p>
        </w:tc>
        <w:tc>
          <w:tcPr>
            <w:tcW w:w="1396" w:type="dxa"/>
            <w:shd w:val="clear" w:color="auto" w:fill="auto"/>
          </w:tcPr>
          <w:p w14:paraId="621BBFA2" w14:textId="77777777" w:rsidR="00344F3B" w:rsidRPr="002C21B8" w:rsidRDefault="00344F3B" w:rsidP="00EB0FFD">
            <w:pPr>
              <w:spacing w:after="120" w:line="240" w:lineRule="auto"/>
              <w:rPr>
                <w:sz w:val="16"/>
                <w:szCs w:val="16"/>
              </w:rPr>
            </w:pPr>
            <w:r w:rsidRPr="002C21B8">
              <w:rPr>
                <w:sz w:val="16"/>
                <w:szCs w:val="16"/>
              </w:rPr>
              <w:t>£34,000</w:t>
            </w:r>
          </w:p>
        </w:tc>
      </w:tr>
      <w:tr w:rsidR="00344F3B" w:rsidRPr="002C21B8" w14:paraId="7ACE1E1D" w14:textId="77777777" w:rsidTr="00E55101">
        <w:tc>
          <w:tcPr>
            <w:tcW w:w="6345" w:type="dxa"/>
            <w:shd w:val="clear" w:color="auto" w:fill="auto"/>
          </w:tcPr>
          <w:p w14:paraId="044054A7" w14:textId="77777777" w:rsidR="00344F3B" w:rsidRPr="002C21B8" w:rsidRDefault="00344F3B" w:rsidP="00EB0FFD">
            <w:pPr>
              <w:spacing w:after="120" w:line="240" w:lineRule="auto"/>
              <w:rPr>
                <w:sz w:val="16"/>
                <w:szCs w:val="16"/>
              </w:rPr>
            </w:pPr>
            <w:r w:rsidRPr="002C21B8">
              <w:rPr>
                <w:sz w:val="16"/>
                <w:szCs w:val="16"/>
              </w:rPr>
              <w:t>Gross potential savings (£)</w:t>
            </w:r>
          </w:p>
        </w:tc>
        <w:tc>
          <w:tcPr>
            <w:tcW w:w="1537" w:type="dxa"/>
            <w:shd w:val="clear" w:color="auto" w:fill="auto"/>
          </w:tcPr>
          <w:p w14:paraId="32FC2C89" w14:textId="77777777" w:rsidR="00344F3B" w:rsidRPr="002C21B8" w:rsidRDefault="00344F3B" w:rsidP="00EB0FFD">
            <w:pPr>
              <w:spacing w:after="120" w:line="240" w:lineRule="auto"/>
              <w:rPr>
                <w:sz w:val="16"/>
                <w:szCs w:val="16"/>
              </w:rPr>
            </w:pPr>
            <w:r w:rsidRPr="002C21B8">
              <w:rPr>
                <w:sz w:val="16"/>
                <w:szCs w:val="16"/>
              </w:rPr>
              <w:t>£84,475,664.59</w:t>
            </w:r>
          </w:p>
        </w:tc>
        <w:tc>
          <w:tcPr>
            <w:tcW w:w="1538" w:type="dxa"/>
            <w:shd w:val="clear" w:color="auto" w:fill="auto"/>
          </w:tcPr>
          <w:p w14:paraId="0F456182" w14:textId="77777777" w:rsidR="00344F3B" w:rsidRPr="002C21B8" w:rsidRDefault="00344F3B" w:rsidP="00EB0FFD">
            <w:pPr>
              <w:spacing w:after="120" w:line="240" w:lineRule="auto"/>
              <w:rPr>
                <w:sz w:val="16"/>
                <w:szCs w:val="16"/>
              </w:rPr>
            </w:pPr>
            <w:r w:rsidRPr="002C21B8">
              <w:rPr>
                <w:sz w:val="16"/>
                <w:szCs w:val="16"/>
              </w:rPr>
              <w:t>£84,475,664.59</w:t>
            </w:r>
          </w:p>
        </w:tc>
        <w:tc>
          <w:tcPr>
            <w:tcW w:w="1538" w:type="dxa"/>
            <w:shd w:val="clear" w:color="auto" w:fill="auto"/>
          </w:tcPr>
          <w:p w14:paraId="73BA749E" w14:textId="77777777" w:rsidR="00344F3B" w:rsidRPr="002C21B8" w:rsidRDefault="00344F3B" w:rsidP="00EB0FFD">
            <w:pPr>
              <w:spacing w:after="120" w:line="240" w:lineRule="auto"/>
              <w:rPr>
                <w:sz w:val="16"/>
                <w:szCs w:val="16"/>
              </w:rPr>
            </w:pPr>
            <w:r w:rsidRPr="002C21B8">
              <w:rPr>
                <w:sz w:val="16"/>
                <w:szCs w:val="16"/>
              </w:rPr>
              <w:t>£84,475,664.59</w:t>
            </w:r>
          </w:p>
        </w:tc>
        <w:tc>
          <w:tcPr>
            <w:tcW w:w="1538" w:type="dxa"/>
            <w:shd w:val="clear" w:color="auto" w:fill="auto"/>
          </w:tcPr>
          <w:p w14:paraId="5318BAAC" w14:textId="77777777" w:rsidR="00344F3B" w:rsidRPr="002C21B8" w:rsidRDefault="00344F3B" w:rsidP="00EB0FFD">
            <w:pPr>
              <w:spacing w:after="120" w:line="240" w:lineRule="auto"/>
              <w:rPr>
                <w:sz w:val="16"/>
                <w:szCs w:val="16"/>
              </w:rPr>
            </w:pPr>
            <w:r w:rsidRPr="002C21B8">
              <w:rPr>
                <w:sz w:val="16"/>
                <w:szCs w:val="16"/>
              </w:rPr>
              <w:t>£84,475,664.59</w:t>
            </w:r>
          </w:p>
        </w:tc>
        <w:tc>
          <w:tcPr>
            <w:tcW w:w="1396" w:type="dxa"/>
            <w:shd w:val="clear" w:color="auto" w:fill="auto"/>
          </w:tcPr>
          <w:p w14:paraId="76BE3A43" w14:textId="77777777" w:rsidR="00344F3B" w:rsidRPr="002C21B8" w:rsidRDefault="00344F3B" w:rsidP="00EB0FFD">
            <w:pPr>
              <w:spacing w:after="120" w:line="240" w:lineRule="auto"/>
              <w:rPr>
                <w:sz w:val="16"/>
                <w:szCs w:val="16"/>
              </w:rPr>
            </w:pPr>
            <w:r w:rsidRPr="002C21B8">
              <w:rPr>
                <w:sz w:val="16"/>
                <w:szCs w:val="16"/>
              </w:rPr>
              <w:t>£84,475,664.59</w:t>
            </w:r>
          </w:p>
        </w:tc>
      </w:tr>
      <w:tr w:rsidR="00344F3B" w:rsidRPr="002C21B8" w14:paraId="00D6DC1B" w14:textId="77777777" w:rsidTr="00E55101">
        <w:tc>
          <w:tcPr>
            <w:tcW w:w="6345" w:type="dxa"/>
            <w:shd w:val="clear" w:color="auto" w:fill="auto"/>
          </w:tcPr>
          <w:p w14:paraId="50662F74" w14:textId="77777777" w:rsidR="00344F3B" w:rsidRPr="002C21B8" w:rsidRDefault="00344F3B" w:rsidP="00EB0FFD">
            <w:pPr>
              <w:spacing w:after="120" w:line="240" w:lineRule="auto"/>
              <w:rPr>
                <w:sz w:val="16"/>
                <w:szCs w:val="16"/>
              </w:rPr>
            </w:pPr>
            <w:r w:rsidRPr="002C21B8">
              <w:rPr>
                <w:sz w:val="16"/>
                <w:szCs w:val="16"/>
              </w:rPr>
              <w:t>Median duration tolvaptan (y)</w:t>
            </w:r>
          </w:p>
        </w:tc>
        <w:tc>
          <w:tcPr>
            <w:tcW w:w="1537" w:type="dxa"/>
            <w:shd w:val="clear" w:color="auto" w:fill="auto"/>
          </w:tcPr>
          <w:p w14:paraId="7B3744C9" w14:textId="77777777" w:rsidR="00344F3B" w:rsidRPr="002C21B8" w:rsidRDefault="00344F3B" w:rsidP="00EB0FFD">
            <w:pPr>
              <w:spacing w:after="120" w:line="240" w:lineRule="auto"/>
              <w:rPr>
                <w:sz w:val="16"/>
                <w:szCs w:val="16"/>
              </w:rPr>
            </w:pPr>
            <w:r w:rsidRPr="002C21B8">
              <w:rPr>
                <w:sz w:val="16"/>
                <w:szCs w:val="16"/>
              </w:rPr>
              <w:t>2.74</w:t>
            </w:r>
          </w:p>
        </w:tc>
        <w:tc>
          <w:tcPr>
            <w:tcW w:w="1538" w:type="dxa"/>
            <w:shd w:val="clear" w:color="auto" w:fill="auto"/>
          </w:tcPr>
          <w:p w14:paraId="1256D672" w14:textId="77777777" w:rsidR="00344F3B" w:rsidRPr="002C21B8" w:rsidRDefault="00344F3B" w:rsidP="00EB0FFD">
            <w:pPr>
              <w:spacing w:after="120" w:line="240" w:lineRule="auto"/>
              <w:rPr>
                <w:sz w:val="16"/>
                <w:szCs w:val="16"/>
              </w:rPr>
            </w:pPr>
            <w:r w:rsidRPr="002C21B8">
              <w:rPr>
                <w:sz w:val="16"/>
                <w:szCs w:val="16"/>
              </w:rPr>
              <w:t>2.74</w:t>
            </w:r>
          </w:p>
        </w:tc>
        <w:tc>
          <w:tcPr>
            <w:tcW w:w="1538" w:type="dxa"/>
            <w:shd w:val="clear" w:color="auto" w:fill="auto"/>
          </w:tcPr>
          <w:p w14:paraId="286D9DD2" w14:textId="77777777" w:rsidR="00344F3B" w:rsidRPr="002C21B8" w:rsidRDefault="00344F3B" w:rsidP="00EB0FFD">
            <w:pPr>
              <w:spacing w:after="120" w:line="240" w:lineRule="auto"/>
              <w:rPr>
                <w:sz w:val="16"/>
                <w:szCs w:val="16"/>
              </w:rPr>
            </w:pPr>
            <w:r w:rsidRPr="002C21B8">
              <w:rPr>
                <w:sz w:val="16"/>
                <w:szCs w:val="16"/>
              </w:rPr>
              <w:t>2.74</w:t>
            </w:r>
          </w:p>
        </w:tc>
        <w:tc>
          <w:tcPr>
            <w:tcW w:w="1538" w:type="dxa"/>
            <w:shd w:val="clear" w:color="auto" w:fill="auto"/>
          </w:tcPr>
          <w:p w14:paraId="104C42EE" w14:textId="77777777" w:rsidR="00344F3B" w:rsidRPr="002C21B8" w:rsidRDefault="00344F3B" w:rsidP="00EB0FFD">
            <w:pPr>
              <w:spacing w:after="120" w:line="240" w:lineRule="auto"/>
              <w:rPr>
                <w:sz w:val="16"/>
                <w:szCs w:val="16"/>
              </w:rPr>
            </w:pPr>
            <w:r w:rsidRPr="002C21B8">
              <w:rPr>
                <w:sz w:val="16"/>
                <w:szCs w:val="16"/>
              </w:rPr>
              <w:t>2.74</w:t>
            </w:r>
          </w:p>
        </w:tc>
        <w:tc>
          <w:tcPr>
            <w:tcW w:w="1396" w:type="dxa"/>
            <w:shd w:val="clear" w:color="auto" w:fill="auto"/>
          </w:tcPr>
          <w:p w14:paraId="58B05C6E" w14:textId="77777777" w:rsidR="00344F3B" w:rsidRPr="002C21B8" w:rsidRDefault="00344F3B" w:rsidP="00EB0FFD">
            <w:pPr>
              <w:spacing w:after="120" w:line="240" w:lineRule="auto"/>
              <w:rPr>
                <w:sz w:val="16"/>
                <w:szCs w:val="16"/>
              </w:rPr>
            </w:pPr>
            <w:r w:rsidRPr="002C21B8">
              <w:rPr>
                <w:sz w:val="16"/>
                <w:szCs w:val="16"/>
              </w:rPr>
              <w:t>2.74</w:t>
            </w:r>
          </w:p>
        </w:tc>
      </w:tr>
      <w:tr w:rsidR="00344F3B" w:rsidRPr="002C21B8" w14:paraId="3BC18F94" w14:textId="77777777" w:rsidTr="00E55101">
        <w:tc>
          <w:tcPr>
            <w:tcW w:w="6345" w:type="dxa"/>
            <w:shd w:val="clear" w:color="auto" w:fill="auto"/>
          </w:tcPr>
          <w:p w14:paraId="4DC699C0" w14:textId="77777777" w:rsidR="00344F3B" w:rsidRPr="002C21B8" w:rsidRDefault="00344F3B" w:rsidP="00EB0FFD">
            <w:pPr>
              <w:spacing w:after="120" w:line="240" w:lineRule="auto"/>
              <w:rPr>
                <w:sz w:val="16"/>
                <w:szCs w:val="16"/>
              </w:rPr>
            </w:pPr>
            <w:r w:rsidRPr="002C21B8">
              <w:rPr>
                <w:sz w:val="16"/>
                <w:szCs w:val="16"/>
              </w:rPr>
              <w:t>Monthly cost tolvaptan per person (£)</w:t>
            </w:r>
          </w:p>
        </w:tc>
        <w:tc>
          <w:tcPr>
            <w:tcW w:w="1537" w:type="dxa"/>
            <w:shd w:val="clear" w:color="auto" w:fill="auto"/>
          </w:tcPr>
          <w:p w14:paraId="57053F74" w14:textId="77777777" w:rsidR="00344F3B" w:rsidRPr="002C21B8" w:rsidRDefault="00344F3B" w:rsidP="00EB0FFD">
            <w:pPr>
              <w:spacing w:after="120" w:line="240" w:lineRule="auto"/>
              <w:rPr>
                <w:sz w:val="16"/>
                <w:szCs w:val="16"/>
              </w:rPr>
            </w:pPr>
            <w:r w:rsidRPr="002C21B8">
              <w:rPr>
                <w:sz w:val="16"/>
                <w:szCs w:val="16"/>
              </w:rPr>
              <w:t xml:space="preserve">£1,313.49 </w:t>
            </w:r>
          </w:p>
        </w:tc>
        <w:tc>
          <w:tcPr>
            <w:tcW w:w="1538" w:type="dxa"/>
            <w:shd w:val="clear" w:color="auto" w:fill="auto"/>
          </w:tcPr>
          <w:p w14:paraId="7F602F3C" w14:textId="77777777" w:rsidR="00344F3B" w:rsidRPr="002C21B8" w:rsidRDefault="00344F3B" w:rsidP="00EB0FFD">
            <w:pPr>
              <w:spacing w:after="120" w:line="240" w:lineRule="auto"/>
              <w:rPr>
                <w:sz w:val="16"/>
                <w:szCs w:val="16"/>
              </w:rPr>
            </w:pPr>
            <w:r w:rsidRPr="002C21B8">
              <w:rPr>
                <w:sz w:val="16"/>
                <w:szCs w:val="16"/>
              </w:rPr>
              <w:t xml:space="preserve">£1,011.38 </w:t>
            </w:r>
          </w:p>
        </w:tc>
        <w:tc>
          <w:tcPr>
            <w:tcW w:w="1538" w:type="dxa"/>
            <w:shd w:val="clear" w:color="auto" w:fill="auto"/>
          </w:tcPr>
          <w:p w14:paraId="280118CB" w14:textId="77777777" w:rsidR="00344F3B" w:rsidRPr="002C21B8" w:rsidRDefault="00344F3B" w:rsidP="00EB0FFD">
            <w:pPr>
              <w:spacing w:after="120" w:line="240" w:lineRule="auto"/>
              <w:rPr>
                <w:sz w:val="16"/>
                <w:szCs w:val="16"/>
              </w:rPr>
            </w:pPr>
            <w:r w:rsidRPr="002C21B8">
              <w:rPr>
                <w:sz w:val="16"/>
                <w:szCs w:val="16"/>
              </w:rPr>
              <w:t xml:space="preserve">£525.39 </w:t>
            </w:r>
          </w:p>
        </w:tc>
        <w:tc>
          <w:tcPr>
            <w:tcW w:w="1538" w:type="dxa"/>
            <w:shd w:val="clear" w:color="auto" w:fill="auto"/>
          </w:tcPr>
          <w:p w14:paraId="4D20F14C" w14:textId="77777777" w:rsidR="00344F3B" w:rsidRPr="002C21B8" w:rsidRDefault="00344F3B" w:rsidP="00EB0FFD">
            <w:pPr>
              <w:spacing w:after="120" w:line="240" w:lineRule="auto"/>
              <w:rPr>
                <w:sz w:val="16"/>
                <w:szCs w:val="16"/>
              </w:rPr>
            </w:pPr>
            <w:r w:rsidRPr="002C21B8">
              <w:rPr>
                <w:sz w:val="16"/>
                <w:szCs w:val="16"/>
              </w:rPr>
              <w:t xml:space="preserve">£394.05 </w:t>
            </w:r>
          </w:p>
        </w:tc>
        <w:tc>
          <w:tcPr>
            <w:tcW w:w="1396" w:type="dxa"/>
            <w:shd w:val="clear" w:color="auto" w:fill="auto"/>
          </w:tcPr>
          <w:p w14:paraId="03D5CA61" w14:textId="77777777" w:rsidR="00344F3B" w:rsidRPr="002C21B8" w:rsidRDefault="00344F3B" w:rsidP="00EB0FFD">
            <w:pPr>
              <w:spacing w:after="120" w:line="240" w:lineRule="auto"/>
              <w:rPr>
                <w:sz w:val="16"/>
                <w:szCs w:val="16"/>
              </w:rPr>
            </w:pPr>
            <w:r w:rsidRPr="002C21B8">
              <w:rPr>
                <w:sz w:val="16"/>
                <w:szCs w:val="16"/>
              </w:rPr>
              <w:t xml:space="preserve">£131.35 </w:t>
            </w:r>
          </w:p>
        </w:tc>
      </w:tr>
      <w:tr w:rsidR="00344F3B" w:rsidRPr="002C21B8" w14:paraId="70EE38F3" w14:textId="77777777" w:rsidTr="00E55101">
        <w:tc>
          <w:tcPr>
            <w:tcW w:w="6345" w:type="dxa"/>
            <w:shd w:val="clear" w:color="auto" w:fill="auto"/>
          </w:tcPr>
          <w:p w14:paraId="0BADFE48" w14:textId="77777777" w:rsidR="00344F3B" w:rsidRPr="002C21B8" w:rsidRDefault="00344F3B" w:rsidP="00EB0FFD">
            <w:pPr>
              <w:spacing w:after="120" w:line="240" w:lineRule="auto"/>
              <w:rPr>
                <w:sz w:val="16"/>
                <w:szCs w:val="16"/>
              </w:rPr>
            </w:pPr>
            <w:r w:rsidRPr="002C21B8">
              <w:rPr>
                <w:sz w:val="16"/>
                <w:szCs w:val="16"/>
              </w:rPr>
              <w:t>Annual cost tolvaptan per person (£)</w:t>
            </w:r>
          </w:p>
        </w:tc>
        <w:tc>
          <w:tcPr>
            <w:tcW w:w="1537" w:type="dxa"/>
            <w:shd w:val="clear" w:color="auto" w:fill="auto"/>
          </w:tcPr>
          <w:p w14:paraId="2D00B7A5" w14:textId="77777777" w:rsidR="00344F3B" w:rsidRPr="002C21B8" w:rsidRDefault="00344F3B" w:rsidP="00EB0FFD">
            <w:pPr>
              <w:spacing w:after="120" w:line="240" w:lineRule="auto"/>
              <w:rPr>
                <w:sz w:val="16"/>
                <w:szCs w:val="16"/>
              </w:rPr>
            </w:pPr>
            <w:r w:rsidRPr="002C21B8">
              <w:rPr>
                <w:sz w:val="16"/>
                <w:szCs w:val="16"/>
              </w:rPr>
              <w:t>£15,760.54</w:t>
            </w:r>
          </w:p>
        </w:tc>
        <w:tc>
          <w:tcPr>
            <w:tcW w:w="1538" w:type="dxa"/>
            <w:shd w:val="clear" w:color="auto" w:fill="auto"/>
          </w:tcPr>
          <w:p w14:paraId="0F920438" w14:textId="77777777" w:rsidR="00344F3B" w:rsidRPr="002C21B8" w:rsidRDefault="00344F3B" w:rsidP="00EB0FFD">
            <w:pPr>
              <w:spacing w:after="120" w:line="240" w:lineRule="auto"/>
              <w:rPr>
                <w:sz w:val="16"/>
                <w:szCs w:val="16"/>
              </w:rPr>
            </w:pPr>
            <w:r w:rsidRPr="002C21B8">
              <w:rPr>
                <w:sz w:val="16"/>
                <w:szCs w:val="16"/>
              </w:rPr>
              <w:t>£12,135.61</w:t>
            </w:r>
          </w:p>
        </w:tc>
        <w:tc>
          <w:tcPr>
            <w:tcW w:w="1538" w:type="dxa"/>
            <w:shd w:val="clear" w:color="auto" w:fill="auto"/>
          </w:tcPr>
          <w:p w14:paraId="6FB8928F" w14:textId="77777777" w:rsidR="00344F3B" w:rsidRPr="002C21B8" w:rsidRDefault="00344F3B" w:rsidP="00EB0FFD">
            <w:pPr>
              <w:spacing w:after="120" w:line="240" w:lineRule="auto"/>
              <w:rPr>
                <w:sz w:val="16"/>
                <w:szCs w:val="16"/>
              </w:rPr>
            </w:pPr>
            <w:r w:rsidRPr="002C21B8">
              <w:rPr>
                <w:sz w:val="16"/>
                <w:szCs w:val="16"/>
              </w:rPr>
              <w:t>£6,304.22</w:t>
            </w:r>
          </w:p>
        </w:tc>
        <w:tc>
          <w:tcPr>
            <w:tcW w:w="1538" w:type="dxa"/>
            <w:shd w:val="clear" w:color="auto" w:fill="auto"/>
          </w:tcPr>
          <w:p w14:paraId="16DB7D53" w14:textId="77777777" w:rsidR="00344F3B" w:rsidRPr="002C21B8" w:rsidRDefault="00344F3B" w:rsidP="00EB0FFD">
            <w:pPr>
              <w:spacing w:after="120" w:line="240" w:lineRule="auto"/>
              <w:rPr>
                <w:sz w:val="16"/>
                <w:szCs w:val="16"/>
              </w:rPr>
            </w:pPr>
            <w:r w:rsidRPr="002C21B8">
              <w:rPr>
                <w:sz w:val="16"/>
                <w:szCs w:val="16"/>
              </w:rPr>
              <w:t>£4,728.16</w:t>
            </w:r>
          </w:p>
        </w:tc>
        <w:tc>
          <w:tcPr>
            <w:tcW w:w="1396" w:type="dxa"/>
            <w:shd w:val="clear" w:color="auto" w:fill="auto"/>
          </w:tcPr>
          <w:p w14:paraId="7D6398EA" w14:textId="77777777" w:rsidR="00344F3B" w:rsidRPr="002C21B8" w:rsidRDefault="00344F3B" w:rsidP="00EB0FFD">
            <w:pPr>
              <w:spacing w:after="120" w:line="240" w:lineRule="auto"/>
              <w:rPr>
                <w:sz w:val="16"/>
                <w:szCs w:val="16"/>
              </w:rPr>
            </w:pPr>
            <w:r w:rsidRPr="002C21B8">
              <w:rPr>
                <w:sz w:val="16"/>
                <w:szCs w:val="16"/>
              </w:rPr>
              <w:t>£1,576.05</w:t>
            </w:r>
          </w:p>
        </w:tc>
      </w:tr>
      <w:tr w:rsidR="00344F3B" w:rsidRPr="002C21B8" w14:paraId="15D15ECD" w14:textId="77777777" w:rsidTr="00E55101">
        <w:tc>
          <w:tcPr>
            <w:tcW w:w="6345" w:type="dxa"/>
            <w:shd w:val="clear" w:color="auto" w:fill="auto"/>
          </w:tcPr>
          <w:p w14:paraId="7E0BAA59" w14:textId="77777777" w:rsidR="00344F3B" w:rsidRPr="002C21B8" w:rsidRDefault="00344F3B" w:rsidP="00EB0FFD">
            <w:pPr>
              <w:spacing w:after="120" w:line="240" w:lineRule="auto"/>
              <w:rPr>
                <w:sz w:val="16"/>
                <w:szCs w:val="16"/>
              </w:rPr>
            </w:pPr>
            <w:r w:rsidRPr="002C21B8">
              <w:rPr>
                <w:sz w:val="16"/>
                <w:szCs w:val="16"/>
              </w:rPr>
              <w:t>Total cost tolvaptan per person for median duration (£)</w:t>
            </w:r>
          </w:p>
        </w:tc>
        <w:tc>
          <w:tcPr>
            <w:tcW w:w="1537" w:type="dxa"/>
            <w:shd w:val="clear" w:color="auto" w:fill="auto"/>
          </w:tcPr>
          <w:p w14:paraId="20932413" w14:textId="77777777" w:rsidR="00344F3B" w:rsidRPr="002C21B8" w:rsidRDefault="00344F3B" w:rsidP="00EB0FFD">
            <w:pPr>
              <w:spacing w:after="120" w:line="240" w:lineRule="auto"/>
              <w:rPr>
                <w:sz w:val="16"/>
                <w:szCs w:val="16"/>
              </w:rPr>
            </w:pPr>
            <w:r w:rsidRPr="002C21B8">
              <w:rPr>
                <w:sz w:val="16"/>
                <w:szCs w:val="16"/>
              </w:rPr>
              <w:t>£43,183.87</w:t>
            </w:r>
          </w:p>
        </w:tc>
        <w:tc>
          <w:tcPr>
            <w:tcW w:w="1538" w:type="dxa"/>
            <w:shd w:val="clear" w:color="auto" w:fill="auto"/>
          </w:tcPr>
          <w:p w14:paraId="47DBBD9A" w14:textId="77777777" w:rsidR="00344F3B" w:rsidRPr="002C21B8" w:rsidRDefault="00344F3B" w:rsidP="00EB0FFD">
            <w:pPr>
              <w:spacing w:after="120" w:line="240" w:lineRule="auto"/>
              <w:rPr>
                <w:sz w:val="16"/>
                <w:szCs w:val="16"/>
              </w:rPr>
            </w:pPr>
            <w:r w:rsidRPr="002C21B8">
              <w:rPr>
                <w:sz w:val="16"/>
                <w:szCs w:val="16"/>
              </w:rPr>
              <w:t>£33,251.58</w:t>
            </w:r>
          </w:p>
        </w:tc>
        <w:tc>
          <w:tcPr>
            <w:tcW w:w="1538" w:type="dxa"/>
            <w:shd w:val="clear" w:color="auto" w:fill="auto"/>
          </w:tcPr>
          <w:p w14:paraId="54058879" w14:textId="77777777" w:rsidR="00344F3B" w:rsidRPr="002C21B8" w:rsidRDefault="00344F3B" w:rsidP="00EB0FFD">
            <w:pPr>
              <w:spacing w:after="120" w:line="240" w:lineRule="auto"/>
              <w:rPr>
                <w:sz w:val="16"/>
                <w:szCs w:val="16"/>
              </w:rPr>
            </w:pPr>
            <w:r w:rsidRPr="002C21B8">
              <w:rPr>
                <w:sz w:val="16"/>
                <w:szCs w:val="16"/>
              </w:rPr>
              <w:t>£17,273.55</w:t>
            </w:r>
          </w:p>
        </w:tc>
        <w:tc>
          <w:tcPr>
            <w:tcW w:w="1538" w:type="dxa"/>
            <w:shd w:val="clear" w:color="auto" w:fill="auto"/>
          </w:tcPr>
          <w:p w14:paraId="73516764" w14:textId="77777777" w:rsidR="00344F3B" w:rsidRPr="002C21B8" w:rsidRDefault="00344F3B" w:rsidP="00EB0FFD">
            <w:pPr>
              <w:spacing w:after="120" w:line="240" w:lineRule="auto"/>
              <w:rPr>
                <w:sz w:val="16"/>
                <w:szCs w:val="16"/>
              </w:rPr>
            </w:pPr>
            <w:r w:rsidRPr="002C21B8">
              <w:rPr>
                <w:sz w:val="16"/>
                <w:szCs w:val="16"/>
              </w:rPr>
              <w:t>£12,955.16</w:t>
            </w:r>
          </w:p>
        </w:tc>
        <w:tc>
          <w:tcPr>
            <w:tcW w:w="1396" w:type="dxa"/>
            <w:shd w:val="clear" w:color="auto" w:fill="auto"/>
          </w:tcPr>
          <w:p w14:paraId="14F85494" w14:textId="77777777" w:rsidR="00344F3B" w:rsidRPr="002C21B8" w:rsidRDefault="00344F3B" w:rsidP="00EB0FFD">
            <w:pPr>
              <w:spacing w:after="120" w:line="240" w:lineRule="auto"/>
              <w:rPr>
                <w:sz w:val="16"/>
                <w:szCs w:val="16"/>
              </w:rPr>
            </w:pPr>
            <w:r w:rsidRPr="002C21B8">
              <w:rPr>
                <w:sz w:val="16"/>
                <w:szCs w:val="16"/>
              </w:rPr>
              <w:t>£4,318.39</w:t>
            </w:r>
          </w:p>
        </w:tc>
      </w:tr>
      <w:tr w:rsidR="00344F3B" w:rsidRPr="002C21B8" w14:paraId="1817861C" w14:textId="77777777" w:rsidTr="00E55101">
        <w:tc>
          <w:tcPr>
            <w:tcW w:w="6345" w:type="dxa"/>
            <w:shd w:val="clear" w:color="auto" w:fill="auto"/>
          </w:tcPr>
          <w:p w14:paraId="1C2E9852" w14:textId="77777777" w:rsidR="00344F3B" w:rsidRPr="002C21B8" w:rsidRDefault="00344F3B" w:rsidP="00EB0FFD">
            <w:pPr>
              <w:spacing w:after="120" w:line="240" w:lineRule="auto"/>
              <w:rPr>
                <w:sz w:val="16"/>
                <w:szCs w:val="16"/>
              </w:rPr>
            </w:pPr>
            <w:r w:rsidRPr="002C21B8">
              <w:rPr>
                <w:sz w:val="16"/>
                <w:szCs w:val="16"/>
              </w:rPr>
              <w:t>Monthly cost monitoring (£)</w:t>
            </w:r>
          </w:p>
        </w:tc>
        <w:tc>
          <w:tcPr>
            <w:tcW w:w="1537" w:type="dxa"/>
            <w:shd w:val="clear" w:color="auto" w:fill="auto"/>
          </w:tcPr>
          <w:p w14:paraId="42963DF5" w14:textId="77777777" w:rsidR="00344F3B" w:rsidRPr="002C21B8" w:rsidRDefault="00344F3B" w:rsidP="00EB0FFD">
            <w:pPr>
              <w:spacing w:after="120" w:line="240" w:lineRule="auto"/>
              <w:rPr>
                <w:sz w:val="16"/>
                <w:szCs w:val="16"/>
              </w:rPr>
            </w:pPr>
            <w:r w:rsidRPr="002C21B8">
              <w:rPr>
                <w:sz w:val="16"/>
                <w:szCs w:val="16"/>
              </w:rPr>
              <w:t>£55.41</w:t>
            </w:r>
          </w:p>
        </w:tc>
        <w:tc>
          <w:tcPr>
            <w:tcW w:w="1538" w:type="dxa"/>
            <w:shd w:val="clear" w:color="auto" w:fill="auto"/>
          </w:tcPr>
          <w:p w14:paraId="18D3B460" w14:textId="77777777" w:rsidR="00344F3B" w:rsidRPr="002C21B8" w:rsidRDefault="00344F3B" w:rsidP="00EB0FFD">
            <w:pPr>
              <w:spacing w:after="120" w:line="240" w:lineRule="auto"/>
              <w:rPr>
                <w:sz w:val="16"/>
                <w:szCs w:val="16"/>
              </w:rPr>
            </w:pPr>
            <w:r w:rsidRPr="002C21B8">
              <w:rPr>
                <w:sz w:val="16"/>
                <w:szCs w:val="16"/>
              </w:rPr>
              <w:t>£55.41</w:t>
            </w:r>
          </w:p>
        </w:tc>
        <w:tc>
          <w:tcPr>
            <w:tcW w:w="1538" w:type="dxa"/>
            <w:shd w:val="clear" w:color="auto" w:fill="auto"/>
          </w:tcPr>
          <w:p w14:paraId="0CBB8E96" w14:textId="77777777" w:rsidR="00344F3B" w:rsidRPr="002C21B8" w:rsidRDefault="00344F3B" w:rsidP="00EB0FFD">
            <w:pPr>
              <w:spacing w:after="120" w:line="240" w:lineRule="auto"/>
              <w:rPr>
                <w:sz w:val="16"/>
                <w:szCs w:val="16"/>
              </w:rPr>
            </w:pPr>
            <w:r w:rsidRPr="002C21B8">
              <w:rPr>
                <w:sz w:val="16"/>
                <w:szCs w:val="16"/>
              </w:rPr>
              <w:t>£55.41</w:t>
            </w:r>
          </w:p>
        </w:tc>
        <w:tc>
          <w:tcPr>
            <w:tcW w:w="1538" w:type="dxa"/>
            <w:shd w:val="clear" w:color="auto" w:fill="auto"/>
          </w:tcPr>
          <w:p w14:paraId="1259BD74" w14:textId="77777777" w:rsidR="00344F3B" w:rsidRPr="002C21B8" w:rsidRDefault="00344F3B" w:rsidP="00EB0FFD">
            <w:pPr>
              <w:spacing w:after="120" w:line="240" w:lineRule="auto"/>
              <w:rPr>
                <w:sz w:val="16"/>
                <w:szCs w:val="16"/>
              </w:rPr>
            </w:pPr>
            <w:r w:rsidRPr="002C21B8">
              <w:rPr>
                <w:sz w:val="16"/>
                <w:szCs w:val="16"/>
              </w:rPr>
              <w:t>£55.41</w:t>
            </w:r>
          </w:p>
        </w:tc>
        <w:tc>
          <w:tcPr>
            <w:tcW w:w="1396" w:type="dxa"/>
            <w:shd w:val="clear" w:color="auto" w:fill="auto"/>
          </w:tcPr>
          <w:p w14:paraId="17C5BE05" w14:textId="77777777" w:rsidR="00344F3B" w:rsidRPr="002C21B8" w:rsidRDefault="00344F3B" w:rsidP="00EB0FFD">
            <w:pPr>
              <w:spacing w:after="120" w:line="240" w:lineRule="auto"/>
              <w:rPr>
                <w:sz w:val="16"/>
                <w:szCs w:val="16"/>
              </w:rPr>
            </w:pPr>
            <w:r w:rsidRPr="002C21B8">
              <w:rPr>
                <w:sz w:val="16"/>
                <w:szCs w:val="16"/>
              </w:rPr>
              <w:t>£55.41</w:t>
            </w:r>
          </w:p>
        </w:tc>
      </w:tr>
      <w:tr w:rsidR="00344F3B" w:rsidRPr="002C21B8" w14:paraId="5E43D2DF" w14:textId="77777777" w:rsidTr="00E55101">
        <w:tc>
          <w:tcPr>
            <w:tcW w:w="6345" w:type="dxa"/>
            <w:shd w:val="clear" w:color="auto" w:fill="auto"/>
          </w:tcPr>
          <w:p w14:paraId="59808DCD" w14:textId="77777777" w:rsidR="00344F3B" w:rsidRPr="002C21B8" w:rsidRDefault="00344F3B" w:rsidP="00EB0FFD">
            <w:pPr>
              <w:spacing w:after="120" w:line="240" w:lineRule="auto"/>
              <w:rPr>
                <w:sz w:val="16"/>
                <w:szCs w:val="16"/>
              </w:rPr>
            </w:pPr>
            <w:r w:rsidRPr="002C21B8">
              <w:rPr>
                <w:sz w:val="16"/>
                <w:szCs w:val="16"/>
              </w:rPr>
              <w:t>Annual cost monitoring monthly (£)</w:t>
            </w:r>
          </w:p>
        </w:tc>
        <w:tc>
          <w:tcPr>
            <w:tcW w:w="1537" w:type="dxa"/>
            <w:shd w:val="clear" w:color="auto" w:fill="auto"/>
          </w:tcPr>
          <w:p w14:paraId="33CCE311" w14:textId="77777777" w:rsidR="00344F3B" w:rsidRPr="002C21B8" w:rsidRDefault="00344F3B" w:rsidP="00EB0FFD">
            <w:pPr>
              <w:spacing w:after="120" w:line="240" w:lineRule="auto"/>
              <w:rPr>
                <w:sz w:val="16"/>
                <w:szCs w:val="16"/>
              </w:rPr>
            </w:pPr>
            <w:r w:rsidRPr="002C21B8">
              <w:rPr>
                <w:sz w:val="16"/>
                <w:szCs w:val="16"/>
              </w:rPr>
              <w:t>£664.92</w:t>
            </w:r>
          </w:p>
        </w:tc>
        <w:tc>
          <w:tcPr>
            <w:tcW w:w="1538" w:type="dxa"/>
            <w:shd w:val="clear" w:color="auto" w:fill="auto"/>
          </w:tcPr>
          <w:p w14:paraId="562FC4BD" w14:textId="77777777" w:rsidR="00344F3B" w:rsidRPr="002C21B8" w:rsidRDefault="00344F3B" w:rsidP="00EB0FFD">
            <w:pPr>
              <w:spacing w:after="120" w:line="240" w:lineRule="auto"/>
              <w:rPr>
                <w:sz w:val="16"/>
                <w:szCs w:val="16"/>
              </w:rPr>
            </w:pPr>
            <w:r w:rsidRPr="002C21B8">
              <w:rPr>
                <w:sz w:val="16"/>
                <w:szCs w:val="16"/>
              </w:rPr>
              <w:t>£664.92</w:t>
            </w:r>
          </w:p>
        </w:tc>
        <w:tc>
          <w:tcPr>
            <w:tcW w:w="1538" w:type="dxa"/>
            <w:shd w:val="clear" w:color="auto" w:fill="auto"/>
          </w:tcPr>
          <w:p w14:paraId="019B5E08" w14:textId="77777777" w:rsidR="00344F3B" w:rsidRPr="002C21B8" w:rsidRDefault="00344F3B" w:rsidP="00EB0FFD">
            <w:pPr>
              <w:spacing w:after="120" w:line="240" w:lineRule="auto"/>
              <w:rPr>
                <w:sz w:val="16"/>
                <w:szCs w:val="16"/>
              </w:rPr>
            </w:pPr>
            <w:r w:rsidRPr="002C21B8">
              <w:rPr>
                <w:sz w:val="16"/>
                <w:szCs w:val="16"/>
              </w:rPr>
              <w:t>£664.92</w:t>
            </w:r>
          </w:p>
        </w:tc>
        <w:tc>
          <w:tcPr>
            <w:tcW w:w="1538" w:type="dxa"/>
            <w:shd w:val="clear" w:color="auto" w:fill="auto"/>
          </w:tcPr>
          <w:p w14:paraId="40730471" w14:textId="77777777" w:rsidR="00344F3B" w:rsidRPr="002C21B8" w:rsidRDefault="00344F3B" w:rsidP="00EB0FFD">
            <w:pPr>
              <w:spacing w:after="120" w:line="240" w:lineRule="auto"/>
              <w:rPr>
                <w:sz w:val="16"/>
                <w:szCs w:val="16"/>
              </w:rPr>
            </w:pPr>
            <w:r w:rsidRPr="002C21B8">
              <w:rPr>
                <w:sz w:val="16"/>
                <w:szCs w:val="16"/>
              </w:rPr>
              <w:t>£664.92</w:t>
            </w:r>
          </w:p>
        </w:tc>
        <w:tc>
          <w:tcPr>
            <w:tcW w:w="1396" w:type="dxa"/>
            <w:shd w:val="clear" w:color="auto" w:fill="auto"/>
          </w:tcPr>
          <w:p w14:paraId="177E2AFC" w14:textId="77777777" w:rsidR="00344F3B" w:rsidRPr="002C21B8" w:rsidRDefault="00344F3B" w:rsidP="00EB0FFD">
            <w:pPr>
              <w:spacing w:after="120" w:line="240" w:lineRule="auto"/>
              <w:rPr>
                <w:sz w:val="16"/>
                <w:szCs w:val="16"/>
              </w:rPr>
            </w:pPr>
            <w:r w:rsidRPr="002C21B8">
              <w:rPr>
                <w:sz w:val="16"/>
                <w:szCs w:val="16"/>
              </w:rPr>
              <w:t>£664.92</w:t>
            </w:r>
          </w:p>
        </w:tc>
      </w:tr>
      <w:tr w:rsidR="00344F3B" w:rsidRPr="002C21B8" w14:paraId="1CBA1F3E" w14:textId="77777777" w:rsidTr="00E55101">
        <w:tc>
          <w:tcPr>
            <w:tcW w:w="6345" w:type="dxa"/>
            <w:shd w:val="clear" w:color="auto" w:fill="auto"/>
          </w:tcPr>
          <w:p w14:paraId="6AFDA03B" w14:textId="77777777" w:rsidR="00344F3B" w:rsidRPr="002C21B8" w:rsidRDefault="00344F3B" w:rsidP="00EB0FFD">
            <w:pPr>
              <w:spacing w:after="120" w:line="240" w:lineRule="auto"/>
              <w:rPr>
                <w:sz w:val="16"/>
                <w:szCs w:val="16"/>
              </w:rPr>
            </w:pPr>
            <w:r w:rsidRPr="002C21B8">
              <w:rPr>
                <w:sz w:val="16"/>
                <w:szCs w:val="16"/>
              </w:rPr>
              <w:t>Annual cost monitoring three monthly (£)</w:t>
            </w:r>
          </w:p>
        </w:tc>
        <w:tc>
          <w:tcPr>
            <w:tcW w:w="1537" w:type="dxa"/>
            <w:shd w:val="clear" w:color="auto" w:fill="auto"/>
          </w:tcPr>
          <w:p w14:paraId="1EF8F4DE" w14:textId="77777777" w:rsidR="00344F3B" w:rsidRPr="002C21B8" w:rsidRDefault="00344F3B" w:rsidP="00EB0FFD">
            <w:pPr>
              <w:spacing w:after="120" w:line="240" w:lineRule="auto"/>
              <w:rPr>
                <w:sz w:val="16"/>
                <w:szCs w:val="16"/>
              </w:rPr>
            </w:pPr>
            <w:r w:rsidRPr="002C21B8">
              <w:rPr>
                <w:sz w:val="16"/>
                <w:szCs w:val="16"/>
              </w:rPr>
              <w:t>£221.64</w:t>
            </w:r>
          </w:p>
        </w:tc>
        <w:tc>
          <w:tcPr>
            <w:tcW w:w="1538" w:type="dxa"/>
            <w:shd w:val="clear" w:color="auto" w:fill="auto"/>
          </w:tcPr>
          <w:p w14:paraId="4FD69EAC" w14:textId="77777777" w:rsidR="00344F3B" w:rsidRPr="002C21B8" w:rsidRDefault="00344F3B" w:rsidP="00EB0FFD">
            <w:pPr>
              <w:spacing w:after="120" w:line="240" w:lineRule="auto"/>
              <w:rPr>
                <w:sz w:val="16"/>
                <w:szCs w:val="16"/>
              </w:rPr>
            </w:pPr>
            <w:r w:rsidRPr="002C21B8">
              <w:rPr>
                <w:sz w:val="16"/>
                <w:szCs w:val="16"/>
              </w:rPr>
              <w:t>£221.64</w:t>
            </w:r>
          </w:p>
        </w:tc>
        <w:tc>
          <w:tcPr>
            <w:tcW w:w="1538" w:type="dxa"/>
            <w:shd w:val="clear" w:color="auto" w:fill="auto"/>
          </w:tcPr>
          <w:p w14:paraId="779204E6" w14:textId="77777777" w:rsidR="00344F3B" w:rsidRPr="002C21B8" w:rsidRDefault="00344F3B" w:rsidP="00EB0FFD">
            <w:pPr>
              <w:spacing w:after="120" w:line="240" w:lineRule="auto"/>
              <w:rPr>
                <w:sz w:val="16"/>
                <w:szCs w:val="16"/>
              </w:rPr>
            </w:pPr>
            <w:r w:rsidRPr="002C21B8">
              <w:rPr>
                <w:sz w:val="16"/>
                <w:szCs w:val="16"/>
              </w:rPr>
              <w:t>£221.64</w:t>
            </w:r>
          </w:p>
        </w:tc>
        <w:tc>
          <w:tcPr>
            <w:tcW w:w="1538" w:type="dxa"/>
            <w:shd w:val="clear" w:color="auto" w:fill="auto"/>
          </w:tcPr>
          <w:p w14:paraId="37D2D248" w14:textId="77777777" w:rsidR="00344F3B" w:rsidRPr="002C21B8" w:rsidRDefault="00344F3B" w:rsidP="00EB0FFD">
            <w:pPr>
              <w:spacing w:after="120" w:line="240" w:lineRule="auto"/>
              <w:rPr>
                <w:sz w:val="16"/>
                <w:szCs w:val="16"/>
              </w:rPr>
            </w:pPr>
            <w:r w:rsidRPr="002C21B8">
              <w:rPr>
                <w:sz w:val="16"/>
                <w:szCs w:val="16"/>
              </w:rPr>
              <w:t>£221.64</w:t>
            </w:r>
          </w:p>
        </w:tc>
        <w:tc>
          <w:tcPr>
            <w:tcW w:w="1396" w:type="dxa"/>
            <w:shd w:val="clear" w:color="auto" w:fill="auto"/>
          </w:tcPr>
          <w:p w14:paraId="2DD9EF32" w14:textId="77777777" w:rsidR="00344F3B" w:rsidRPr="002C21B8" w:rsidRDefault="00344F3B" w:rsidP="00EB0FFD">
            <w:pPr>
              <w:spacing w:after="120" w:line="240" w:lineRule="auto"/>
              <w:rPr>
                <w:sz w:val="16"/>
                <w:szCs w:val="16"/>
              </w:rPr>
            </w:pPr>
            <w:r w:rsidRPr="002C21B8">
              <w:rPr>
                <w:sz w:val="16"/>
                <w:szCs w:val="16"/>
              </w:rPr>
              <w:t>£221.64</w:t>
            </w:r>
          </w:p>
        </w:tc>
      </w:tr>
      <w:tr w:rsidR="00344F3B" w:rsidRPr="002C21B8" w14:paraId="495DF68F" w14:textId="77777777" w:rsidTr="00E55101">
        <w:tc>
          <w:tcPr>
            <w:tcW w:w="6345" w:type="dxa"/>
            <w:shd w:val="clear" w:color="auto" w:fill="auto"/>
          </w:tcPr>
          <w:p w14:paraId="2B4D4B57" w14:textId="77777777" w:rsidR="00344F3B" w:rsidRPr="002C21B8" w:rsidRDefault="00344F3B" w:rsidP="00EB0FFD">
            <w:pPr>
              <w:spacing w:after="120" w:line="240" w:lineRule="auto"/>
              <w:rPr>
                <w:sz w:val="16"/>
                <w:szCs w:val="16"/>
              </w:rPr>
            </w:pPr>
            <w:r w:rsidRPr="002C21B8">
              <w:rPr>
                <w:sz w:val="16"/>
                <w:szCs w:val="16"/>
              </w:rPr>
              <w:t>Total cost monitoring per person for median duration (£)</w:t>
            </w:r>
          </w:p>
        </w:tc>
        <w:tc>
          <w:tcPr>
            <w:tcW w:w="1537" w:type="dxa"/>
            <w:shd w:val="clear" w:color="auto" w:fill="auto"/>
          </w:tcPr>
          <w:p w14:paraId="4F501CD3" w14:textId="77777777" w:rsidR="00344F3B" w:rsidRPr="002C21B8" w:rsidRDefault="00344F3B" w:rsidP="00EB0FFD">
            <w:pPr>
              <w:spacing w:after="120" w:line="240" w:lineRule="auto"/>
              <w:rPr>
                <w:sz w:val="16"/>
                <w:szCs w:val="16"/>
              </w:rPr>
            </w:pPr>
            <w:r w:rsidRPr="002C21B8">
              <w:rPr>
                <w:sz w:val="16"/>
                <w:szCs w:val="16"/>
              </w:rPr>
              <w:t>£1,272.21</w:t>
            </w:r>
          </w:p>
        </w:tc>
        <w:tc>
          <w:tcPr>
            <w:tcW w:w="1538" w:type="dxa"/>
            <w:shd w:val="clear" w:color="auto" w:fill="auto"/>
          </w:tcPr>
          <w:p w14:paraId="4F6EAAC9" w14:textId="77777777" w:rsidR="00344F3B" w:rsidRPr="002C21B8" w:rsidRDefault="00344F3B" w:rsidP="00EB0FFD">
            <w:pPr>
              <w:spacing w:after="120" w:line="240" w:lineRule="auto"/>
              <w:rPr>
                <w:sz w:val="16"/>
                <w:szCs w:val="16"/>
              </w:rPr>
            </w:pPr>
            <w:r w:rsidRPr="002C21B8">
              <w:rPr>
                <w:sz w:val="16"/>
                <w:szCs w:val="16"/>
              </w:rPr>
              <w:t>£1,272.21</w:t>
            </w:r>
          </w:p>
        </w:tc>
        <w:tc>
          <w:tcPr>
            <w:tcW w:w="1538" w:type="dxa"/>
            <w:shd w:val="clear" w:color="auto" w:fill="auto"/>
          </w:tcPr>
          <w:p w14:paraId="639ABC94" w14:textId="77777777" w:rsidR="00344F3B" w:rsidRPr="002C21B8" w:rsidRDefault="00344F3B" w:rsidP="00EB0FFD">
            <w:pPr>
              <w:spacing w:after="120" w:line="240" w:lineRule="auto"/>
              <w:rPr>
                <w:sz w:val="16"/>
                <w:szCs w:val="16"/>
              </w:rPr>
            </w:pPr>
            <w:r w:rsidRPr="002C21B8">
              <w:rPr>
                <w:sz w:val="16"/>
                <w:szCs w:val="16"/>
              </w:rPr>
              <w:t>£1,272.21</w:t>
            </w:r>
          </w:p>
        </w:tc>
        <w:tc>
          <w:tcPr>
            <w:tcW w:w="1538" w:type="dxa"/>
            <w:shd w:val="clear" w:color="auto" w:fill="auto"/>
          </w:tcPr>
          <w:p w14:paraId="4241789F" w14:textId="77777777" w:rsidR="00344F3B" w:rsidRPr="002C21B8" w:rsidRDefault="00344F3B" w:rsidP="00EB0FFD">
            <w:pPr>
              <w:spacing w:after="120" w:line="240" w:lineRule="auto"/>
              <w:rPr>
                <w:sz w:val="16"/>
                <w:szCs w:val="16"/>
              </w:rPr>
            </w:pPr>
            <w:r w:rsidRPr="002C21B8">
              <w:rPr>
                <w:sz w:val="16"/>
                <w:szCs w:val="16"/>
              </w:rPr>
              <w:t>£1,272.21</w:t>
            </w:r>
          </w:p>
        </w:tc>
        <w:tc>
          <w:tcPr>
            <w:tcW w:w="1396" w:type="dxa"/>
            <w:shd w:val="clear" w:color="auto" w:fill="auto"/>
          </w:tcPr>
          <w:p w14:paraId="64BD3317" w14:textId="77777777" w:rsidR="00344F3B" w:rsidRPr="002C21B8" w:rsidRDefault="00344F3B" w:rsidP="00EB0FFD">
            <w:pPr>
              <w:spacing w:after="120" w:line="240" w:lineRule="auto"/>
              <w:rPr>
                <w:sz w:val="16"/>
                <w:szCs w:val="16"/>
              </w:rPr>
            </w:pPr>
            <w:r w:rsidRPr="002C21B8">
              <w:rPr>
                <w:sz w:val="16"/>
                <w:szCs w:val="16"/>
              </w:rPr>
              <w:t>£1,272.21</w:t>
            </w:r>
          </w:p>
        </w:tc>
      </w:tr>
      <w:tr w:rsidR="00344F3B" w:rsidRPr="002C21B8" w14:paraId="52B5C249" w14:textId="77777777" w:rsidTr="00E55101">
        <w:tc>
          <w:tcPr>
            <w:tcW w:w="6345" w:type="dxa"/>
            <w:shd w:val="clear" w:color="auto" w:fill="auto"/>
          </w:tcPr>
          <w:p w14:paraId="34C8B9CC" w14:textId="77777777" w:rsidR="00344F3B" w:rsidRPr="002C21B8" w:rsidRDefault="00344F3B" w:rsidP="00EB0FFD">
            <w:pPr>
              <w:spacing w:after="120" w:line="240" w:lineRule="auto"/>
              <w:rPr>
                <w:sz w:val="16"/>
                <w:szCs w:val="16"/>
              </w:rPr>
            </w:pPr>
            <w:r w:rsidRPr="002C21B8">
              <w:rPr>
                <w:sz w:val="16"/>
                <w:szCs w:val="16"/>
              </w:rPr>
              <w:t>Overall cost tolvaptan per person (£)</w:t>
            </w:r>
          </w:p>
        </w:tc>
        <w:tc>
          <w:tcPr>
            <w:tcW w:w="1537" w:type="dxa"/>
            <w:shd w:val="clear" w:color="auto" w:fill="auto"/>
          </w:tcPr>
          <w:p w14:paraId="138C8587" w14:textId="77777777" w:rsidR="00344F3B" w:rsidRPr="002C21B8" w:rsidRDefault="00344F3B" w:rsidP="00EB0FFD">
            <w:pPr>
              <w:spacing w:after="120" w:line="240" w:lineRule="auto"/>
              <w:rPr>
                <w:sz w:val="16"/>
                <w:szCs w:val="16"/>
              </w:rPr>
            </w:pPr>
            <w:r w:rsidRPr="002C21B8">
              <w:rPr>
                <w:sz w:val="16"/>
                <w:szCs w:val="16"/>
              </w:rPr>
              <w:t>£44,456.09</w:t>
            </w:r>
          </w:p>
        </w:tc>
        <w:tc>
          <w:tcPr>
            <w:tcW w:w="1538" w:type="dxa"/>
            <w:shd w:val="clear" w:color="auto" w:fill="auto"/>
          </w:tcPr>
          <w:p w14:paraId="10EB4B49" w14:textId="77777777" w:rsidR="00344F3B" w:rsidRPr="002C21B8" w:rsidRDefault="00344F3B" w:rsidP="00EB0FFD">
            <w:pPr>
              <w:spacing w:after="120" w:line="240" w:lineRule="auto"/>
              <w:rPr>
                <w:sz w:val="16"/>
                <w:szCs w:val="16"/>
              </w:rPr>
            </w:pPr>
            <w:r w:rsidRPr="002C21B8">
              <w:rPr>
                <w:sz w:val="16"/>
                <w:szCs w:val="16"/>
              </w:rPr>
              <w:t>£34,523.80</w:t>
            </w:r>
          </w:p>
        </w:tc>
        <w:tc>
          <w:tcPr>
            <w:tcW w:w="1538" w:type="dxa"/>
            <w:shd w:val="clear" w:color="auto" w:fill="auto"/>
          </w:tcPr>
          <w:p w14:paraId="2DB3EEAF" w14:textId="77777777" w:rsidR="00344F3B" w:rsidRPr="002C21B8" w:rsidRDefault="00344F3B" w:rsidP="00EB0FFD">
            <w:pPr>
              <w:spacing w:after="120" w:line="240" w:lineRule="auto"/>
              <w:rPr>
                <w:sz w:val="16"/>
                <w:szCs w:val="16"/>
              </w:rPr>
            </w:pPr>
            <w:r w:rsidRPr="002C21B8">
              <w:rPr>
                <w:sz w:val="16"/>
                <w:szCs w:val="16"/>
              </w:rPr>
              <w:t>£18,545.76</w:t>
            </w:r>
          </w:p>
        </w:tc>
        <w:tc>
          <w:tcPr>
            <w:tcW w:w="1538" w:type="dxa"/>
            <w:shd w:val="clear" w:color="auto" w:fill="auto"/>
          </w:tcPr>
          <w:p w14:paraId="6AD88E22" w14:textId="77777777" w:rsidR="00344F3B" w:rsidRPr="002C21B8" w:rsidRDefault="00344F3B" w:rsidP="00EB0FFD">
            <w:pPr>
              <w:spacing w:after="120" w:line="240" w:lineRule="auto"/>
              <w:rPr>
                <w:sz w:val="16"/>
                <w:szCs w:val="16"/>
              </w:rPr>
            </w:pPr>
            <w:r w:rsidRPr="002C21B8">
              <w:rPr>
                <w:sz w:val="16"/>
                <w:szCs w:val="16"/>
              </w:rPr>
              <w:t>£14,227.38</w:t>
            </w:r>
          </w:p>
        </w:tc>
        <w:tc>
          <w:tcPr>
            <w:tcW w:w="1396" w:type="dxa"/>
            <w:shd w:val="clear" w:color="auto" w:fill="auto"/>
          </w:tcPr>
          <w:p w14:paraId="10D19109" w14:textId="77777777" w:rsidR="00344F3B" w:rsidRPr="002C21B8" w:rsidRDefault="00344F3B" w:rsidP="00EB0FFD">
            <w:pPr>
              <w:spacing w:after="120" w:line="240" w:lineRule="auto"/>
              <w:rPr>
                <w:sz w:val="16"/>
                <w:szCs w:val="16"/>
              </w:rPr>
            </w:pPr>
            <w:r w:rsidRPr="002C21B8">
              <w:rPr>
                <w:sz w:val="16"/>
                <w:szCs w:val="16"/>
              </w:rPr>
              <w:t>£5,590.60</w:t>
            </w:r>
          </w:p>
        </w:tc>
      </w:tr>
      <w:tr w:rsidR="00344F3B" w:rsidRPr="002C21B8" w14:paraId="08EBC634" w14:textId="77777777" w:rsidTr="00E55101">
        <w:tc>
          <w:tcPr>
            <w:tcW w:w="6345" w:type="dxa"/>
            <w:shd w:val="clear" w:color="auto" w:fill="auto"/>
          </w:tcPr>
          <w:p w14:paraId="21EB5751" w14:textId="77777777" w:rsidR="00344F3B" w:rsidRPr="002C21B8" w:rsidRDefault="00344F3B" w:rsidP="00EB0FFD">
            <w:pPr>
              <w:spacing w:after="120" w:line="240" w:lineRule="auto"/>
              <w:rPr>
                <w:sz w:val="16"/>
                <w:szCs w:val="16"/>
              </w:rPr>
            </w:pPr>
            <w:r w:rsidRPr="002C21B8">
              <w:rPr>
                <w:sz w:val="16"/>
                <w:szCs w:val="16"/>
              </w:rPr>
              <w:t>Patient discontinuation before 3 months (%)</w:t>
            </w:r>
          </w:p>
        </w:tc>
        <w:tc>
          <w:tcPr>
            <w:tcW w:w="1537" w:type="dxa"/>
            <w:shd w:val="clear" w:color="auto" w:fill="auto"/>
          </w:tcPr>
          <w:p w14:paraId="5C818E5F" w14:textId="77777777" w:rsidR="00344F3B" w:rsidRPr="002C21B8" w:rsidRDefault="00344F3B" w:rsidP="00EB0FFD">
            <w:pPr>
              <w:spacing w:after="120" w:line="240" w:lineRule="auto"/>
              <w:rPr>
                <w:sz w:val="16"/>
                <w:szCs w:val="16"/>
              </w:rPr>
            </w:pPr>
            <w:r w:rsidRPr="002C21B8">
              <w:rPr>
                <w:sz w:val="16"/>
                <w:szCs w:val="16"/>
              </w:rPr>
              <w:t>5%</w:t>
            </w:r>
          </w:p>
        </w:tc>
        <w:tc>
          <w:tcPr>
            <w:tcW w:w="1538" w:type="dxa"/>
            <w:shd w:val="clear" w:color="auto" w:fill="auto"/>
          </w:tcPr>
          <w:p w14:paraId="713FCB71" w14:textId="77777777" w:rsidR="00344F3B" w:rsidRPr="002C21B8" w:rsidRDefault="00344F3B" w:rsidP="00EB0FFD">
            <w:pPr>
              <w:spacing w:after="120" w:line="240" w:lineRule="auto"/>
              <w:rPr>
                <w:sz w:val="16"/>
                <w:szCs w:val="16"/>
              </w:rPr>
            </w:pPr>
            <w:r w:rsidRPr="002C21B8">
              <w:rPr>
                <w:sz w:val="16"/>
                <w:szCs w:val="16"/>
              </w:rPr>
              <w:t>5%</w:t>
            </w:r>
          </w:p>
        </w:tc>
        <w:tc>
          <w:tcPr>
            <w:tcW w:w="1538" w:type="dxa"/>
            <w:shd w:val="clear" w:color="auto" w:fill="auto"/>
          </w:tcPr>
          <w:p w14:paraId="376CB4B3" w14:textId="77777777" w:rsidR="00344F3B" w:rsidRPr="002C21B8" w:rsidRDefault="00344F3B" w:rsidP="00EB0FFD">
            <w:pPr>
              <w:spacing w:after="120" w:line="240" w:lineRule="auto"/>
              <w:rPr>
                <w:sz w:val="16"/>
                <w:szCs w:val="16"/>
              </w:rPr>
            </w:pPr>
            <w:r w:rsidRPr="002C21B8">
              <w:rPr>
                <w:sz w:val="16"/>
                <w:szCs w:val="16"/>
              </w:rPr>
              <w:t>5%</w:t>
            </w:r>
          </w:p>
        </w:tc>
        <w:tc>
          <w:tcPr>
            <w:tcW w:w="1538" w:type="dxa"/>
            <w:shd w:val="clear" w:color="auto" w:fill="auto"/>
          </w:tcPr>
          <w:p w14:paraId="605CFA3D" w14:textId="77777777" w:rsidR="00344F3B" w:rsidRPr="002C21B8" w:rsidRDefault="00344F3B" w:rsidP="00EB0FFD">
            <w:pPr>
              <w:spacing w:after="120" w:line="240" w:lineRule="auto"/>
              <w:rPr>
                <w:sz w:val="16"/>
                <w:szCs w:val="16"/>
              </w:rPr>
            </w:pPr>
            <w:r w:rsidRPr="002C21B8">
              <w:rPr>
                <w:sz w:val="16"/>
                <w:szCs w:val="16"/>
              </w:rPr>
              <w:t>5%</w:t>
            </w:r>
          </w:p>
        </w:tc>
        <w:tc>
          <w:tcPr>
            <w:tcW w:w="1396" w:type="dxa"/>
            <w:shd w:val="clear" w:color="auto" w:fill="auto"/>
          </w:tcPr>
          <w:p w14:paraId="69F8CD60" w14:textId="77777777" w:rsidR="00344F3B" w:rsidRPr="002C21B8" w:rsidRDefault="00344F3B" w:rsidP="00EB0FFD">
            <w:pPr>
              <w:spacing w:after="120" w:line="240" w:lineRule="auto"/>
              <w:rPr>
                <w:sz w:val="16"/>
                <w:szCs w:val="16"/>
              </w:rPr>
            </w:pPr>
            <w:r w:rsidRPr="002C21B8">
              <w:rPr>
                <w:sz w:val="16"/>
                <w:szCs w:val="16"/>
              </w:rPr>
              <w:t>5%</w:t>
            </w:r>
          </w:p>
        </w:tc>
      </w:tr>
      <w:tr w:rsidR="00344F3B" w:rsidRPr="002C21B8" w14:paraId="7E52297F" w14:textId="77777777" w:rsidTr="00E55101">
        <w:tc>
          <w:tcPr>
            <w:tcW w:w="6345" w:type="dxa"/>
            <w:shd w:val="clear" w:color="auto" w:fill="auto"/>
          </w:tcPr>
          <w:p w14:paraId="581F62B3" w14:textId="77777777" w:rsidR="00344F3B" w:rsidRPr="002C21B8" w:rsidRDefault="00344F3B" w:rsidP="00EB0FFD">
            <w:pPr>
              <w:spacing w:after="120" w:line="240" w:lineRule="auto"/>
              <w:rPr>
                <w:sz w:val="16"/>
                <w:szCs w:val="16"/>
              </w:rPr>
            </w:pPr>
            <w:r w:rsidRPr="002C21B8">
              <w:rPr>
                <w:sz w:val="16"/>
                <w:szCs w:val="16"/>
              </w:rPr>
              <w:t>Overall cost tolvaptan and monitoring at median duration including 5% discontinuation (£)</w:t>
            </w:r>
          </w:p>
        </w:tc>
        <w:tc>
          <w:tcPr>
            <w:tcW w:w="1537" w:type="dxa"/>
            <w:shd w:val="clear" w:color="auto" w:fill="auto"/>
          </w:tcPr>
          <w:p w14:paraId="471A5481" w14:textId="77777777" w:rsidR="00344F3B" w:rsidRPr="002C21B8" w:rsidRDefault="00344F3B" w:rsidP="00EB0FFD">
            <w:pPr>
              <w:spacing w:after="120" w:line="240" w:lineRule="auto"/>
              <w:rPr>
                <w:sz w:val="16"/>
                <w:szCs w:val="16"/>
              </w:rPr>
            </w:pPr>
            <w:r w:rsidRPr="002C21B8">
              <w:rPr>
                <w:sz w:val="16"/>
                <w:szCs w:val="16"/>
              </w:rPr>
              <w:t>£58,570,154.68</w:t>
            </w:r>
          </w:p>
        </w:tc>
        <w:tc>
          <w:tcPr>
            <w:tcW w:w="1538" w:type="dxa"/>
            <w:shd w:val="clear" w:color="auto" w:fill="auto"/>
          </w:tcPr>
          <w:p w14:paraId="5828ACC8" w14:textId="77777777" w:rsidR="00344F3B" w:rsidRPr="002C21B8" w:rsidRDefault="00344F3B" w:rsidP="00EB0FFD">
            <w:pPr>
              <w:spacing w:after="120" w:line="240" w:lineRule="auto"/>
              <w:rPr>
                <w:sz w:val="16"/>
                <w:szCs w:val="16"/>
              </w:rPr>
            </w:pPr>
            <w:r w:rsidRPr="002C21B8">
              <w:rPr>
                <w:sz w:val="16"/>
                <w:szCs w:val="16"/>
              </w:rPr>
              <w:t>£45,484,526.76</w:t>
            </w:r>
          </w:p>
        </w:tc>
        <w:tc>
          <w:tcPr>
            <w:tcW w:w="1538" w:type="dxa"/>
            <w:shd w:val="clear" w:color="auto" w:fill="auto"/>
          </w:tcPr>
          <w:p w14:paraId="2B795F48" w14:textId="77777777" w:rsidR="00344F3B" w:rsidRPr="002C21B8" w:rsidRDefault="00344F3B" w:rsidP="00EB0FFD">
            <w:pPr>
              <w:spacing w:after="120" w:line="240" w:lineRule="auto"/>
              <w:rPr>
                <w:sz w:val="16"/>
                <w:szCs w:val="16"/>
              </w:rPr>
            </w:pPr>
            <w:r w:rsidRPr="002C21B8">
              <w:rPr>
                <w:sz w:val="16"/>
                <w:szCs w:val="16"/>
              </w:rPr>
              <w:t>£24,433,734.03</w:t>
            </w:r>
          </w:p>
        </w:tc>
        <w:tc>
          <w:tcPr>
            <w:tcW w:w="1538" w:type="dxa"/>
            <w:shd w:val="clear" w:color="auto" w:fill="auto"/>
          </w:tcPr>
          <w:p w14:paraId="6A4912D6" w14:textId="77777777" w:rsidR="00344F3B" w:rsidRPr="002C21B8" w:rsidRDefault="00344F3B" w:rsidP="00EB0FFD">
            <w:pPr>
              <w:spacing w:after="120" w:line="240" w:lineRule="auto"/>
              <w:rPr>
                <w:sz w:val="16"/>
                <w:szCs w:val="16"/>
              </w:rPr>
            </w:pPr>
            <w:r w:rsidRPr="002C21B8">
              <w:rPr>
                <w:sz w:val="16"/>
                <w:szCs w:val="16"/>
              </w:rPr>
              <w:t>£18,744,330.59</w:t>
            </w:r>
          </w:p>
        </w:tc>
        <w:tc>
          <w:tcPr>
            <w:tcW w:w="1396" w:type="dxa"/>
            <w:shd w:val="clear" w:color="auto" w:fill="auto"/>
          </w:tcPr>
          <w:p w14:paraId="1064991A" w14:textId="77777777" w:rsidR="00344F3B" w:rsidRPr="002C21B8" w:rsidRDefault="00344F3B" w:rsidP="00EB0FFD">
            <w:pPr>
              <w:spacing w:after="120" w:line="240" w:lineRule="auto"/>
              <w:rPr>
                <w:sz w:val="16"/>
                <w:szCs w:val="16"/>
              </w:rPr>
            </w:pPr>
            <w:r w:rsidRPr="002C21B8">
              <w:rPr>
                <w:sz w:val="16"/>
                <w:szCs w:val="16"/>
              </w:rPr>
              <w:t>£7,365,523.71</w:t>
            </w:r>
          </w:p>
        </w:tc>
      </w:tr>
      <w:tr w:rsidR="00344F3B" w:rsidRPr="002C21B8" w14:paraId="50A32E35" w14:textId="77777777" w:rsidTr="00E55101">
        <w:tc>
          <w:tcPr>
            <w:tcW w:w="6345" w:type="dxa"/>
            <w:shd w:val="clear" w:color="auto" w:fill="auto"/>
          </w:tcPr>
          <w:p w14:paraId="310EF00A" w14:textId="77777777" w:rsidR="00344F3B" w:rsidRPr="002C21B8" w:rsidRDefault="00344F3B" w:rsidP="00EB0FFD">
            <w:pPr>
              <w:spacing w:after="120" w:line="240" w:lineRule="auto"/>
              <w:rPr>
                <w:sz w:val="16"/>
                <w:szCs w:val="16"/>
              </w:rPr>
            </w:pPr>
            <w:r w:rsidRPr="002C21B8">
              <w:rPr>
                <w:sz w:val="16"/>
                <w:szCs w:val="16"/>
              </w:rPr>
              <w:t>Total cost tolvaptan and monitoring for cohort for 5% only taking tolvaptan for 3 months (£)</w:t>
            </w:r>
          </w:p>
        </w:tc>
        <w:tc>
          <w:tcPr>
            <w:tcW w:w="1537" w:type="dxa"/>
            <w:shd w:val="clear" w:color="auto" w:fill="auto"/>
          </w:tcPr>
          <w:p w14:paraId="251B6FB3" w14:textId="77777777" w:rsidR="00344F3B" w:rsidRPr="002C21B8" w:rsidRDefault="00344F3B" w:rsidP="00EB0FFD">
            <w:pPr>
              <w:spacing w:after="120" w:line="240" w:lineRule="auto"/>
              <w:rPr>
                <w:sz w:val="16"/>
                <w:szCs w:val="16"/>
              </w:rPr>
            </w:pPr>
            <w:r w:rsidRPr="002C21B8">
              <w:rPr>
                <w:sz w:val="16"/>
                <w:szCs w:val="16"/>
              </w:rPr>
              <w:t>284798.81</w:t>
            </w:r>
          </w:p>
        </w:tc>
        <w:tc>
          <w:tcPr>
            <w:tcW w:w="1538" w:type="dxa"/>
            <w:shd w:val="clear" w:color="auto" w:fill="auto"/>
          </w:tcPr>
          <w:p w14:paraId="2898E51E" w14:textId="77777777" w:rsidR="00344F3B" w:rsidRPr="002C21B8" w:rsidRDefault="00344F3B" w:rsidP="00EB0FFD">
            <w:pPr>
              <w:spacing w:after="120" w:line="240" w:lineRule="auto"/>
              <w:rPr>
                <w:sz w:val="16"/>
                <w:szCs w:val="16"/>
              </w:rPr>
            </w:pPr>
            <w:r w:rsidRPr="002C21B8">
              <w:rPr>
                <w:sz w:val="16"/>
                <w:szCs w:val="16"/>
              </w:rPr>
              <w:t>3200.38</w:t>
            </w:r>
          </w:p>
        </w:tc>
        <w:tc>
          <w:tcPr>
            <w:tcW w:w="1538" w:type="dxa"/>
            <w:shd w:val="clear" w:color="auto" w:fill="auto"/>
          </w:tcPr>
          <w:p w14:paraId="0C9A877E" w14:textId="77777777" w:rsidR="00344F3B" w:rsidRPr="002C21B8" w:rsidRDefault="00344F3B" w:rsidP="00EB0FFD">
            <w:pPr>
              <w:spacing w:after="120" w:line="240" w:lineRule="auto"/>
              <w:rPr>
                <w:sz w:val="16"/>
                <w:szCs w:val="16"/>
              </w:rPr>
            </w:pPr>
            <w:r w:rsidRPr="002C21B8">
              <w:rPr>
                <w:sz w:val="16"/>
                <w:szCs w:val="16"/>
              </w:rPr>
              <w:t>1742.41</w:t>
            </w:r>
          </w:p>
        </w:tc>
        <w:tc>
          <w:tcPr>
            <w:tcW w:w="1538" w:type="dxa"/>
            <w:shd w:val="clear" w:color="auto" w:fill="auto"/>
          </w:tcPr>
          <w:p w14:paraId="1F4CAD37" w14:textId="77777777" w:rsidR="00344F3B" w:rsidRPr="002C21B8" w:rsidRDefault="00344F3B" w:rsidP="00EB0FFD">
            <w:pPr>
              <w:spacing w:after="120" w:line="240" w:lineRule="auto"/>
              <w:rPr>
                <w:sz w:val="16"/>
                <w:szCs w:val="16"/>
              </w:rPr>
            </w:pPr>
            <w:r w:rsidRPr="002C21B8">
              <w:rPr>
                <w:sz w:val="16"/>
                <w:szCs w:val="16"/>
              </w:rPr>
              <w:t>1348.37</w:t>
            </w:r>
          </w:p>
        </w:tc>
        <w:tc>
          <w:tcPr>
            <w:tcW w:w="1396" w:type="dxa"/>
            <w:shd w:val="clear" w:color="auto" w:fill="auto"/>
          </w:tcPr>
          <w:p w14:paraId="5B9DD28C" w14:textId="77777777" w:rsidR="00344F3B" w:rsidRPr="002C21B8" w:rsidRDefault="00344F3B" w:rsidP="00EB0FFD">
            <w:pPr>
              <w:spacing w:after="120" w:line="240" w:lineRule="auto"/>
              <w:rPr>
                <w:sz w:val="16"/>
                <w:szCs w:val="16"/>
              </w:rPr>
            </w:pPr>
            <w:r w:rsidRPr="002C21B8">
              <w:rPr>
                <w:sz w:val="16"/>
                <w:szCs w:val="16"/>
              </w:rPr>
              <w:t>560.28</w:t>
            </w:r>
          </w:p>
        </w:tc>
      </w:tr>
      <w:tr w:rsidR="00344F3B" w:rsidRPr="002C21B8" w14:paraId="03FAA20C" w14:textId="77777777" w:rsidTr="00E55101">
        <w:tc>
          <w:tcPr>
            <w:tcW w:w="6345" w:type="dxa"/>
            <w:shd w:val="clear" w:color="auto" w:fill="auto"/>
          </w:tcPr>
          <w:p w14:paraId="1F308FEE" w14:textId="77777777" w:rsidR="00344F3B" w:rsidRPr="002C21B8" w:rsidRDefault="00344F3B" w:rsidP="00EB0FFD">
            <w:pPr>
              <w:spacing w:after="120" w:line="240" w:lineRule="auto"/>
              <w:rPr>
                <w:sz w:val="16"/>
                <w:szCs w:val="16"/>
              </w:rPr>
            </w:pPr>
            <w:r w:rsidRPr="002C21B8">
              <w:rPr>
                <w:sz w:val="16"/>
                <w:szCs w:val="16"/>
              </w:rPr>
              <w:t>Total cost tolvaptan and monitoring for cohort including 95% continuation and 5% discontinuation (£)</w:t>
            </w:r>
          </w:p>
        </w:tc>
        <w:tc>
          <w:tcPr>
            <w:tcW w:w="1537" w:type="dxa"/>
            <w:shd w:val="clear" w:color="auto" w:fill="auto"/>
          </w:tcPr>
          <w:p w14:paraId="250E6DC9" w14:textId="77777777" w:rsidR="00344F3B" w:rsidRPr="002C21B8" w:rsidRDefault="00344F3B" w:rsidP="00EB0FFD">
            <w:pPr>
              <w:spacing w:after="120" w:line="240" w:lineRule="auto"/>
              <w:rPr>
                <w:sz w:val="16"/>
                <w:szCs w:val="16"/>
              </w:rPr>
            </w:pPr>
            <w:r w:rsidRPr="002C21B8">
              <w:rPr>
                <w:sz w:val="16"/>
                <w:szCs w:val="16"/>
              </w:rPr>
              <w:t>£58,854,953.49</w:t>
            </w:r>
          </w:p>
        </w:tc>
        <w:tc>
          <w:tcPr>
            <w:tcW w:w="1538" w:type="dxa"/>
            <w:shd w:val="clear" w:color="auto" w:fill="auto"/>
          </w:tcPr>
          <w:p w14:paraId="35968712" w14:textId="77777777" w:rsidR="00344F3B" w:rsidRPr="002C21B8" w:rsidRDefault="00344F3B" w:rsidP="00EB0FFD">
            <w:pPr>
              <w:spacing w:after="120" w:line="240" w:lineRule="auto"/>
              <w:rPr>
                <w:sz w:val="16"/>
                <w:szCs w:val="16"/>
              </w:rPr>
            </w:pPr>
            <w:r w:rsidRPr="002C21B8">
              <w:rPr>
                <w:sz w:val="16"/>
                <w:szCs w:val="16"/>
              </w:rPr>
              <w:t>£45,487,727.15</w:t>
            </w:r>
          </w:p>
        </w:tc>
        <w:tc>
          <w:tcPr>
            <w:tcW w:w="1538" w:type="dxa"/>
            <w:shd w:val="clear" w:color="auto" w:fill="auto"/>
          </w:tcPr>
          <w:p w14:paraId="6AC88937" w14:textId="77777777" w:rsidR="00344F3B" w:rsidRPr="002C21B8" w:rsidRDefault="00344F3B" w:rsidP="00EB0FFD">
            <w:pPr>
              <w:spacing w:after="120" w:line="240" w:lineRule="auto"/>
              <w:rPr>
                <w:sz w:val="16"/>
                <w:szCs w:val="16"/>
              </w:rPr>
            </w:pPr>
            <w:r w:rsidRPr="002C21B8">
              <w:rPr>
                <w:sz w:val="16"/>
                <w:szCs w:val="16"/>
              </w:rPr>
              <w:t>£24,435,476.45</w:t>
            </w:r>
          </w:p>
        </w:tc>
        <w:tc>
          <w:tcPr>
            <w:tcW w:w="1538" w:type="dxa"/>
            <w:shd w:val="clear" w:color="auto" w:fill="auto"/>
          </w:tcPr>
          <w:p w14:paraId="2A44EE5B" w14:textId="77777777" w:rsidR="00344F3B" w:rsidRPr="002C21B8" w:rsidRDefault="00344F3B" w:rsidP="00EB0FFD">
            <w:pPr>
              <w:spacing w:after="120" w:line="240" w:lineRule="auto"/>
              <w:rPr>
                <w:sz w:val="16"/>
                <w:szCs w:val="16"/>
              </w:rPr>
            </w:pPr>
            <w:r w:rsidRPr="002C21B8">
              <w:rPr>
                <w:sz w:val="16"/>
                <w:szCs w:val="16"/>
              </w:rPr>
              <w:t>£18,745,678.96</w:t>
            </w:r>
          </w:p>
        </w:tc>
        <w:tc>
          <w:tcPr>
            <w:tcW w:w="1396" w:type="dxa"/>
            <w:shd w:val="clear" w:color="auto" w:fill="auto"/>
          </w:tcPr>
          <w:p w14:paraId="3178D7C6" w14:textId="77777777" w:rsidR="00344F3B" w:rsidRPr="002C21B8" w:rsidRDefault="00344F3B" w:rsidP="00EB0FFD">
            <w:pPr>
              <w:spacing w:after="120" w:line="240" w:lineRule="auto"/>
              <w:rPr>
                <w:sz w:val="16"/>
                <w:szCs w:val="16"/>
              </w:rPr>
            </w:pPr>
            <w:r w:rsidRPr="002C21B8">
              <w:rPr>
                <w:sz w:val="16"/>
                <w:szCs w:val="16"/>
              </w:rPr>
              <w:t>£7,366,083.98</w:t>
            </w:r>
          </w:p>
        </w:tc>
      </w:tr>
      <w:tr w:rsidR="00344F3B" w:rsidRPr="002C21B8" w14:paraId="70A6A442" w14:textId="77777777" w:rsidTr="00E55101">
        <w:tc>
          <w:tcPr>
            <w:tcW w:w="6345" w:type="dxa"/>
            <w:shd w:val="clear" w:color="auto" w:fill="auto"/>
          </w:tcPr>
          <w:p w14:paraId="4127550A" w14:textId="77777777" w:rsidR="00344F3B" w:rsidRPr="002C21B8" w:rsidRDefault="00344F3B" w:rsidP="00EB0FFD">
            <w:pPr>
              <w:spacing w:after="120" w:line="240" w:lineRule="auto"/>
              <w:rPr>
                <w:sz w:val="16"/>
                <w:szCs w:val="16"/>
              </w:rPr>
            </w:pPr>
            <w:r w:rsidRPr="002C21B8">
              <w:rPr>
                <w:sz w:val="16"/>
                <w:szCs w:val="16"/>
              </w:rPr>
              <w:t>Overall costs incorporating tolvaptan and monitoring for cohort (£)</w:t>
            </w:r>
          </w:p>
        </w:tc>
        <w:tc>
          <w:tcPr>
            <w:tcW w:w="1537" w:type="dxa"/>
            <w:shd w:val="clear" w:color="auto" w:fill="auto"/>
          </w:tcPr>
          <w:p w14:paraId="1CF640B1" w14:textId="77777777" w:rsidR="00344F3B" w:rsidRPr="002C21B8" w:rsidRDefault="00344F3B" w:rsidP="00EB0FFD">
            <w:pPr>
              <w:spacing w:after="120" w:line="240" w:lineRule="auto"/>
              <w:rPr>
                <w:sz w:val="16"/>
                <w:szCs w:val="16"/>
              </w:rPr>
            </w:pPr>
            <w:r w:rsidRPr="002C21B8">
              <w:rPr>
                <w:sz w:val="16"/>
                <w:szCs w:val="16"/>
              </w:rPr>
              <w:t xml:space="preserve">£19,377,516.65 </w:t>
            </w:r>
          </w:p>
        </w:tc>
        <w:tc>
          <w:tcPr>
            <w:tcW w:w="1538" w:type="dxa"/>
            <w:shd w:val="clear" w:color="auto" w:fill="auto"/>
          </w:tcPr>
          <w:p w14:paraId="2E1C9AE5" w14:textId="77777777" w:rsidR="00344F3B" w:rsidRPr="002C21B8" w:rsidRDefault="00344F3B" w:rsidP="00EB0FFD">
            <w:pPr>
              <w:spacing w:after="120" w:line="240" w:lineRule="auto"/>
              <w:rPr>
                <w:sz w:val="16"/>
                <w:szCs w:val="16"/>
              </w:rPr>
            </w:pPr>
            <w:r w:rsidRPr="002C21B8">
              <w:rPr>
                <w:sz w:val="16"/>
                <w:szCs w:val="16"/>
              </w:rPr>
              <w:t xml:space="preserve">£32,525,996.84 </w:t>
            </w:r>
          </w:p>
        </w:tc>
        <w:tc>
          <w:tcPr>
            <w:tcW w:w="1538" w:type="dxa"/>
            <w:shd w:val="clear" w:color="auto" w:fill="auto"/>
          </w:tcPr>
          <w:p w14:paraId="1A6F1FCE" w14:textId="77777777" w:rsidR="00344F3B" w:rsidRPr="002C21B8" w:rsidRDefault="00344F3B" w:rsidP="00EB0FFD">
            <w:pPr>
              <w:spacing w:after="120" w:line="240" w:lineRule="auto"/>
              <w:rPr>
                <w:sz w:val="16"/>
                <w:szCs w:val="16"/>
              </w:rPr>
            </w:pPr>
            <w:r w:rsidRPr="002C21B8">
              <w:rPr>
                <w:sz w:val="16"/>
                <w:szCs w:val="16"/>
              </w:rPr>
              <w:t xml:space="preserve">£53,677,899.75 </w:t>
            </w:r>
          </w:p>
        </w:tc>
        <w:tc>
          <w:tcPr>
            <w:tcW w:w="1538" w:type="dxa"/>
            <w:shd w:val="clear" w:color="auto" w:fill="auto"/>
          </w:tcPr>
          <w:p w14:paraId="3423E8CB" w14:textId="77777777" w:rsidR="00344F3B" w:rsidRPr="002C21B8" w:rsidRDefault="00344F3B" w:rsidP="00EB0FFD">
            <w:pPr>
              <w:spacing w:after="120" w:line="240" w:lineRule="auto"/>
              <w:rPr>
                <w:sz w:val="16"/>
                <w:szCs w:val="16"/>
              </w:rPr>
            </w:pPr>
            <w:r w:rsidRPr="002C21B8">
              <w:rPr>
                <w:sz w:val="16"/>
                <w:szCs w:val="16"/>
              </w:rPr>
              <w:t xml:space="preserve">£59,394,630.27 </w:t>
            </w:r>
          </w:p>
        </w:tc>
        <w:tc>
          <w:tcPr>
            <w:tcW w:w="1396" w:type="dxa"/>
            <w:shd w:val="clear" w:color="auto" w:fill="auto"/>
          </w:tcPr>
          <w:p w14:paraId="60A68E1C" w14:textId="77777777" w:rsidR="00344F3B" w:rsidRPr="002C21B8" w:rsidRDefault="00344F3B" w:rsidP="00EB0FFD">
            <w:pPr>
              <w:spacing w:after="120" w:line="240" w:lineRule="auto"/>
              <w:rPr>
                <w:sz w:val="16"/>
                <w:szCs w:val="16"/>
              </w:rPr>
            </w:pPr>
            <w:r w:rsidRPr="002C21B8">
              <w:rPr>
                <w:sz w:val="16"/>
                <w:szCs w:val="16"/>
              </w:rPr>
              <w:t xml:space="preserve">£70,828,091.31 </w:t>
            </w:r>
          </w:p>
        </w:tc>
      </w:tr>
      <w:tr w:rsidR="00344F3B" w:rsidRPr="002C21B8" w14:paraId="4BF0A858" w14:textId="77777777" w:rsidTr="00E55101">
        <w:tc>
          <w:tcPr>
            <w:tcW w:w="6345" w:type="dxa"/>
            <w:shd w:val="clear" w:color="auto" w:fill="auto"/>
          </w:tcPr>
          <w:p w14:paraId="43F85AE2" w14:textId="77777777" w:rsidR="00344F3B" w:rsidRPr="002C21B8" w:rsidRDefault="00344F3B" w:rsidP="00EB0FFD">
            <w:pPr>
              <w:spacing w:after="120" w:line="240" w:lineRule="auto"/>
              <w:rPr>
                <w:sz w:val="16"/>
                <w:szCs w:val="16"/>
              </w:rPr>
            </w:pPr>
            <w:r w:rsidRPr="002C21B8">
              <w:rPr>
                <w:sz w:val="16"/>
                <w:szCs w:val="16"/>
              </w:rPr>
              <w:t>Net potential savings (upper CI of proportion of eligible not initiation) (£)</w:t>
            </w:r>
          </w:p>
        </w:tc>
        <w:tc>
          <w:tcPr>
            <w:tcW w:w="1537" w:type="dxa"/>
            <w:shd w:val="clear" w:color="auto" w:fill="auto"/>
          </w:tcPr>
          <w:p w14:paraId="29C360F3" w14:textId="77777777" w:rsidR="00344F3B" w:rsidRPr="002C21B8" w:rsidRDefault="00344F3B" w:rsidP="00EB0FFD">
            <w:pPr>
              <w:spacing w:after="120" w:line="240" w:lineRule="auto"/>
              <w:rPr>
                <w:sz w:val="16"/>
                <w:szCs w:val="16"/>
              </w:rPr>
            </w:pPr>
            <w:r w:rsidRPr="002C21B8">
              <w:rPr>
                <w:sz w:val="16"/>
                <w:szCs w:val="16"/>
              </w:rPr>
              <w:t>£24,159,475.42</w:t>
            </w:r>
          </w:p>
        </w:tc>
        <w:tc>
          <w:tcPr>
            <w:tcW w:w="1538" w:type="dxa"/>
            <w:shd w:val="clear" w:color="auto" w:fill="auto"/>
          </w:tcPr>
          <w:p w14:paraId="476B23BE" w14:textId="77777777" w:rsidR="00344F3B" w:rsidRPr="002C21B8" w:rsidRDefault="00344F3B" w:rsidP="00EB0FFD">
            <w:pPr>
              <w:spacing w:after="120" w:line="240" w:lineRule="auto"/>
              <w:rPr>
                <w:sz w:val="16"/>
                <w:szCs w:val="16"/>
              </w:rPr>
            </w:pPr>
            <w:r w:rsidRPr="002C21B8">
              <w:rPr>
                <w:sz w:val="16"/>
                <w:szCs w:val="16"/>
              </w:rPr>
              <w:t>£36,240,356.77</w:t>
            </w:r>
          </w:p>
        </w:tc>
        <w:tc>
          <w:tcPr>
            <w:tcW w:w="1538" w:type="dxa"/>
            <w:shd w:val="clear" w:color="auto" w:fill="auto"/>
          </w:tcPr>
          <w:p w14:paraId="74470537" w14:textId="77777777" w:rsidR="00344F3B" w:rsidRPr="002C21B8" w:rsidRDefault="00344F3B" w:rsidP="00EB0FFD">
            <w:pPr>
              <w:spacing w:after="120" w:line="240" w:lineRule="auto"/>
              <w:rPr>
                <w:sz w:val="16"/>
                <w:szCs w:val="16"/>
              </w:rPr>
            </w:pPr>
            <w:r w:rsidRPr="002C21B8">
              <w:rPr>
                <w:sz w:val="16"/>
                <w:szCs w:val="16"/>
              </w:rPr>
              <w:t>£55,674,818.06</w:t>
            </w:r>
          </w:p>
        </w:tc>
        <w:tc>
          <w:tcPr>
            <w:tcW w:w="1538" w:type="dxa"/>
            <w:shd w:val="clear" w:color="auto" w:fill="auto"/>
          </w:tcPr>
          <w:p w14:paraId="639FFCF9" w14:textId="77777777" w:rsidR="00344F3B" w:rsidRPr="002C21B8" w:rsidRDefault="00344F3B" w:rsidP="00EB0FFD">
            <w:pPr>
              <w:spacing w:after="120" w:line="240" w:lineRule="auto"/>
              <w:rPr>
                <w:sz w:val="16"/>
                <w:szCs w:val="16"/>
              </w:rPr>
            </w:pPr>
            <w:r w:rsidRPr="002C21B8">
              <w:rPr>
                <w:sz w:val="16"/>
                <w:szCs w:val="16"/>
              </w:rPr>
              <w:t>£60,927,375.17</w:t>
            </w:r>
          </w:p>
        </w:tc>
        <w:tc>
          <w:tcPr>
            <w:tcW w:w="1396" w:type="dxa"/>
            <w:shd w:val="clear" w:color="auto" w:fill="auto"/>
          </w:tcPr>
          <w:p w14:paraId="0BB8CF2D" w14:textId="77777777" w:rsidR="00344F3B" w:rsidRPr="002C21B8" w:rsidRDefault="00344F3B" w:rsidP="00EB0FFD">
            <w:pPr>
              <w:spacing w:after="120" w:line="240" w:lineRule="auto"/>
              <w:rPr>
                <w:sz w:val="16"/>
                <w:szCs w:val="16"/>
              </w:rPr>
            </w:pPr>
            <w:r w:rsidRPr="002C21B8">
              <w:rPr>
                <w:sz w:val="16"/>
                <w:szCs w:val="16"/>
              </w:rPr>
              <w:t>£71,432,489.39</w:t>
            </w:r>
          </w:p>
        </w:tc>
      </w:tr>
      <w:tr w:rsidR="00344F3B" w:rsidRPr="002C21B8" w14:paraId="5737DF4D" w14:textId="77777777" w:rsidTr="00E55101">
        <w:tc>
          <w:tcPr>
            <w:tcW w:w="6345" w:type="dxa"/>
            <w:shd w:val="clear" w:color="auto" w:fill="auto"/>
          </w:tcPr>
          <w:p w14:paraId="6A771E3E" w14:textId="77777777" w:rsidR="00344F3B" w:rsidRPr="002C21B8" w:rsidRDefault="00344F3B" w:rsidP="00EB0FFD">
            <w:pPr>
              <w:spacing w:after="120" w:line="240" w:lineRule="auto"/>
              <w:rPr>
                <w:sz w:val="16"/>
                <w:szCs w:val="16"/>
              </w:rPr>
            </w:pPr>
            <w:r w:rsidRPr="002C21B8">
              <w:rPr>
                <w:sz w:val="16"/>
                <w:szCs w:val="16"/>
              </w:rPr>
              <w:t>Net potential savings (lower CI of proportion of eligible not initiation) (£)</w:t>
            </w:r>
          </w:p>
        </w:tc>
        <w:tc>
          <w:tcPr>
            <w:tcW w:w="1537" w:type="dxa"/>
            <w:shd w:val="clear" w:color="auto" w:fill="auto"/>
          </w:tcPr>
          <w:p w14:paraId="76D02E66" w14:textId="77777777" w:rsidR="00344F3B" w:rsidRPr="002C21B8" w:rsidRDefault="00344F3B" w:rsidP="00EB0FFD">
            <w:pPr>
              <w:spacing w:after="120" w:line="240" w:lineRule="auto"/>
              <w:rPr>
                <w:sz w:val="16"/>
                <w:szCs w:val="16"/>
              </w:rPr>
            </w:pPr>
            <w:r w:rsidRPr="002C21B8">
              <w:rPr>
                <w:sz w:val="16"/>
                <w:szCs w:val="16"/>
              </w:rPr>
              <w:t>£15,058,080.27</w:t>
            </w:r>
          </w:p>
        </w:tc>
        <w:tc>
          <w:tcPr>
            <w:tcW w:w="1538" w:type="dxa"/>
            <w:shd w:val="clear" w:color="auto" w:fill="auto"/>
          </w:tcPr>
          <w:p w14:paraId="2B910541" w14:textId="77777777" w:rsidR="00344F3B" w:rsidRPr="002C21B8" w:rsidRDefault="00344F3B" w:rsidP="00EB0FFD">
            <w:pPr>
              <w:spacing w:after="120" w:line="240" w:lineRule="auto"/>
              <w:rPr>
                <w:sz w:val="16"/>
                <w:szCs w:val="16"/>
              </w:rPr>
            </w:pPr>
            <w:r w:rsidRPr="002C21B8">
              <w:rPr>
                <w:sz w:val="16"/>
                <w:szCs w:val="16"/>
              </w:rPr>
              <w:t>£29,172,377.29</w:t>
            </w:r>
          </w:p>
        </w:tc>
        <w:tc>
          <w:tcPr>
            <w:tcW w:w="1538" w:type="dxa"/>
            <w:shd w:val="clear" w:color="auto" w:fill="auto"/>
          </w:tcPr>
          <w:p w14:paraId="75834E60" w14:textId="77777777" w:rsidR="00344F3B" w:rsidRPr="002C21B8" w:rsidRDefault="00344F3B" w:rsidP="00EB0FFD">
            <w:pPr>
              <w:spacing w:after="120" w:line="240" w:lineRule="auto"/>
              <w:rPr>
                <w:sz w:val="16"/>
                <w:szCs w:val="16"/>
              </w:rPr>
            </w:pPr>
            <w:r w:rsidRPr="002C21B8">
              <w:rPr>
                <w:sz w:val="16"/>
                <w:szCs w:val="16"/>
              </w:rPr>
              <w:t>£51,877,985.54</w:t>
            </w:r>
          </w:p>
        </w:tc>
        <w:tc>
          <w:tcPr>
            <w:tcW w:w="1538" w:type="dxa"/>
            <w:shd w:val="clear" w:color="auto" w:fill="auto"/>
          </w:tcPr>
          <w:p w14:paraId="4962A8D1" w14:textId="77777777" w:rsidR="00344F3B" w:rsidRPr="002C21B8" w:rsidRDefault="00344F3B" w:rsidP="00EB0FFD">
            <w:pPr>
              <w:spacing w:after="120" w:line="240" w:lineRule="auto"/>
              <w:rPr>
                <w:sz w:val="16"/>
                <w:szCs w:val="16"/>
              </w:rPr>
            </w:pPr>
            <w:r w:rsidRPr="002C21B8">
              <w:rPr>
                <w:sz w:val="16"/>
                <w:szCs w:val="16"/>
              </w:rPr>
              <w:t>£58,014,636.42</w:t>
            </w:r>
          </w:p>
        </w:tc>
        <w:tc>
          <w:tcPr>
            <w:tcW w:w="1396" w:type="dxa"/>
            <w:shd w:val="clear" w:color="auto" w:fill="auto"/>
          </w:tcPr>
          <w:p w14:paraId="68F34200" w14:textId="77777777" w:rsidR="00344F3B" w:rsidRPr="002C21B8" w:rsidRDefault="00344F3B" w:rsidP="00EB0FFD">
            <w:pPr>
              <w:spacing w:after="120" w:line="240" w:lineRule="auto"/>
              <w:rPr>
                <w:sz w:val="16"/>
                <w:szCs w:val="16"/>
              </w:rPr>
            </w:pPr>
            <w:r w:rsidRPr="002C21B8">
              <w:rPr>
                <w:sz w:val="16"/>
                <w:szCs w:val="16"/>
              </w:rPr>
              <w:t>£70,287,938.17</w:t>
            </w:r>
          </w:p>
        </w:tc>
      </w:tr>
      <w:tr w:rsidR="00344F3B" w:rsidRPr="002C21B8" w14:paraId="72C24046" w14:textId="77777777" w:rsidTr="00E55101">
        <w:tc>
          <w:tcPr>
            <w:tcW w:w="6345" w:type="dxa"/>
            <w:shd w:val="clear" w:color="auto" w:fill="auto"/>
          </w:tcPr>
          <w:p w14:paraId="157E7CFE" w14:textId="77777777" w:rsidR="00344F3B" w:rsidRPr="002C21B8" w:rsidRDefault="00344F3B" w:rsidP="00EB0FFD">
            <w:pPr>
              <w:spacing w:after="120" w:line="240" w:lineRule="auto"/>
              <w:rPr>
                <w:sz w:val="16"/>
                <w:szCs w:val="16"/>
              </w:rPr>
            </w:pPr>
            <w:r w:rsidRPr="002C21B8">
              <w:rPr>
                <w:sz w:val="16"/>
                <w:szCs w:val="16"/>
              </w:rPr>
              <w:t>Cost of total hip replacement (£)</w:t>
            </w:r>
          </w:p>
        </w:tc>
        <w:tc>
          <w:tcPr>
            <w:tcW w:w="1537" w:type="dxa"/>
            <w:shd w:val="clear" w:color="auto" w:fill="auto"/>
          </w:tcPr>
          <w:p w14:paraId="308DE4F5" w14:textId="77777777" w:rsidR="00344F3B" w:rsidRPr="002C21B8" w:rsidRDefault="00344F3B" w:rsidP="00EB0FFD">
            <w:pPr>
              <w:spacing w:after="120" w:line="240" w:lineRule="auto"/>
              <w:rPr>
                <w:sz w:val="16"/>
                <w:szCs w:val="16"/>
              </w:rPr>
            </w:pPr>
            <w:r w:rsidRPr="002C21B8">
              <w:rPr>
                <w:sz w:val="16"/>
                <w:szCs w:val="16"/>
              </w:rPr>
              <w:t xml:space="preserve">£9,300 </w:t>
            </w:r>
          </w:p>
        </w:tc>
        <w:tc>
          <w:tcPr>
            <w:tcW w:w="1538" w:type="dxa"/>
            <w:shd w:val="clear" w:color="auto" w:fill="auto"/>
          </w:tcPr>
          <w:p w14:paraId="4E9545D2" w14:textId="77777777" w:rsidR="00344F3B" w:rsidRPr="002C21B8" w:rsidRDefault="00344F3B" w:rsidP="00EB0FFD">
            <w:pPr>
              <w:spacing w:after="120" w:line="240" w:lineRule="auto"/>
              <w:rPr>
                <w:sz w:val="16"/>
                <w:szCs w:val="16"/>
              </w:rPr>
            </w:pPr>
            <w:r w:rsidRPr="002C21B8">
              <w:rPr>
                <w:sz w:val="16"/>
                <w:szCs w:val="16"/>
              </w:rPr>
              <w:t xml:space="preserve">£9,300 </w:t>
            </w:r>
          </w:p>
        </w:tc>
        <w:tc>
          <w:tcPr>
            <w:tcW w:w="1538" w:type="dxa"/>
            <w:shd w:val="clear" w:color="auto" w:fill="auto"/>
          </w:tcPr>
          <w:p w14:paraId="4FA479AE" w14:textId="77777777" w:rsidR="00344F3B" w:rsidRPr="002C21B8" w:rsidRDefault="00344F3B" w:rsidP="00EB0FFD">
            <w:pPr>
              <w:spacing w:after="120" w:line="240" w:lineRule="auto"/>
              <w:rPr>
                <w:sz w:val="16"/>
                <w:szCs w:val="16"/>
              </w:rPr>
            </w:pPr>
            <w:r w:rsidRPr="002C21B8">
              <w:rPr>
                <w:sz w:val="16"/>
                <w:szCs w:val="16"/>
              </w:rPr>
              <w:t xml:space="preserve">£9,300 </w:t>
            </w:r>
          </w:p>
        </w:tc>
        <w:tc>
          <w:tcPr>
            <w:tcW w:w="1538" w:type="dxa"/>
            <w:shd w:val="clear" w:color="auto" w:fill="auto"/>
          </w:tcPr>
          <w:p w14:paraId="73DCF3BB" w14:textId="77777777" w:rsidR="00344F3B" w:rsidRPr="002C21B8" w:rsidRDefault="00344F3B" w:rsidP="00EB0FFD">
            <w:pPr>
              <w:spacing w:after="120" w:line="240" w:lineRule="auto"/>
              <w:rPr>
                <w:sz w:val="16"/>
                <w:szCs w:val="16"/>
              </w:rPr>
            </w:pPr>
            <w:r w:rsidRPr="002C21B8">
              <w:rPr>
                <w:sz w:val="16"/>
                <w:szCs w:val="16"/>
              </w:rPr>
              <w:t xml:space="preserve">£9,300 </w:t>
            </w:r>
          </w:p>
        </w:tc>
        <w:tc>
          <w:tcPr>
            <w:tcW w:w="1396" w:type="dxa"/>
            <w:shd w:val="clear" w:color="auto" w:fill="auto"/>
          </w:tcPr>
          <w:p w14:paraId="7E7F3FDF" w14:textId="77777777" w:rsidR="00344F3B" w:rsidRPr="002C21B8" w:rsidRDefault="00344F3B" w:rsidP="00EB0FFD">
            <w:pPr>
              <w:spacing w:after="120" w:line="240" w:lineRule="auto"/>
              <w:rPr>
                <w:sz w:val="16"/>
                <w:szCs w:val="16"/>
              </w:rPr>
            </w:pPr>
            <w:r w:rsidRPr="002C21B8">
              <w:rPr>
                <w:sz w:val="16"/>
                <w:szCs w:val="16"/>
              </w:rPr>
              <w:t xml:space="preserve">£9,300 </w:t>
            </w:r>
          </w:p>
        </w:tc>
      </w:tr>
      <w:tr w:rsidR="00344F3B" w:rsidRPr="002C21B8" w14:paraId="4CE15A2C" w14:textId="77777777" w:rsidTr="00E55101">
        <w:tc>
          <w:tcPr>
            <w:tcW w:w="6345" w:type="dxa"/>
            <w:shd w:val="clear" w:color="auto" w:fill="auto"/>
          </w:tcPr>
          <w:p w14:paraId="2128BDC9" w14:textId="77777777" w:rsidR="00344F3B" w:rsidRPr="002C21B8" w:rsidRDefault="00344F3B" w:rsidP="00EB0FFD">
            <w:pPr>
              <w:spacing w:after="120" w:line="240" w:lineRule="auto"/>
              <w:rPr>
                <w:sz w:val="16"/>
                <w:szCs w:val="16"/>
              </w:rPr>
            </w:pPr>
            <w:r w:rsidRPr="002C21B8">
              <w:rPr>
                <w:sz w:val="16"/>
                <w:szCs w:val="16"/>
              </w:rPr>
              <w:t>Equivalent number of total hip replacements</w:t>
            </w:r>
          </w:p>
        </w:tc>
        <w:tc>
          <w:tcPr>
            <w:tcW w:w="1537" w:type="dxa"/>
            <w:shd w:val="clear" w:color="auto" w:fill="auto"/>
          </w:tcPr>
          <w:p w14:paraId="33058157" w14:textId="77777777" w:rsidR="00344F3B" w:rsidRPr="002C21B8" w:rsidRDefault="00344F3B" w:rsidP="00EB0FFD">
            <w:pPr>
              <w:spacing w:after="120" w:line="240" w:lineRule="auto"/>
              <w:rPr>
                <w:sz w:val="16"/>
                <w:szCs w:val="16"/>
              </w:rPr>
            </w:pPr>
            <w:r w:rsidRPr="002C21B8">
              <w:rPr>
                <w:sz w:val="16"/>
                <w:szCs w:val="16"/>
              </w:rPr>
              <w:t>2,084</w:t>
            </w:r>
          </w:p>
        </w:tc>
        <w:tc>
          <w:tcPr>
            <w:tcW w:w="1538" w:type="dxa"/>
            <w:shd w:val="clear" w:color="auto" w:fill="auto"/>
          </w:tcPr>
          <w:p w14:paraId="753FBEB8" w14:textId="77777777" w:rsidR="00344F3B" w:rsidRPr="002C21B8" w:rsidRDefault="00344F3B" w:rsidP="00EB0FFD">
            <w:pPr>
              <w:spacing w:after="120" w:line="240" w:lineRule="auto"/>
              <w:rPr>
                <w:sz w:val="16"/>
                <w:szCs w:val="16"/>
              </w:rPr>
            </w:pPr>
            <w:r w:rsidRPr="002C21B8">
              <w:rPr>
                <w:sz w:val="16"/>
                <w:szCs w:val="16"/>
              </w:rPr>
              <w:t>3,497</w:t>
            </w:r>
          </w:p>
        </w:tc>
        <w:tc>
          <w:tcPr>
            <w:tcW w:w="1538" w:type="dxa"/>
            <w:shd w:val="clear" w:color="auto" w:fill="auto"/>
          </w:tcPr>
          <w:p w14:paraId="29848A10" w14:textId="77777777" w:rsidR="00344F3B" w:rsidRPr="002C21B8" w:rsidRDefault="00344F3B" w:rsidP="00EB0FFD">
            <w:pPr>
              <w:spacing w:after="120" w:line="240" w:lineRule="auto"/>
              <w:rPr>
                <w:sz w:val="16"/>
                <w:szCs w:val="16"/>
              </w:rPr>
            </w:pPr>
            <w:r w:rsidRPr="002C21B8">
              <w:rPr>
                <w:sz w:val="16"/>
                <w:szCs w:val="16"/>
              </w:rPr>
              <w:t>5,772</w:t>
            </w:r>
          </w:p>
        </w:tc>
        <w:tc>
          <w:tcPr>
            <w:tcW w:w="1538" w:type="dxa"/>
            <w:shd w:val="clear" w:color="auto" w:fill="auto"/>
          </w:tcPr>
          <w:p w14:paraId="5CB14CF8" w14:textId="77777777" w:rsidR="00344F3B" w:rsidRPr="002C21B8" w:rsidRDefault="00344F3B" w:rsidP="00EB0FFD">
            <w:pPr>
              <w:spacing w:after="120" w:line="240" w:lineRule="auto"/>
              <w:rPr>
                <w:sz w:val="16"/>
                <w:szCs w:val="16"/>
              </w:rPr>
            </w:pPr>
            <w:r w:rsidRPr="002C21B8">
              <w:rPr>
                <w:sz w:val="16"/>
                <w:szCs w:val="16"/>
              </w:rPr>
              <w:t>6,387</w:t>
            </w:r>
          </w:p>
        </w:tc>
        <w:tc>
          <w:tcPr>
            <w:tcW w:w="1396" w:type="dxa"/>
            <w:shd w:val="clear" w:color="auto" w:fill="auto"/>
          </w:tcPr>
          <w:p w14:paraId="18E2B909" w14:textId="77777777" w:rsidR="00344F3B" w:rsidRPr="002C21B8" w:rsidRDefault="00344F3B" w:rsidP="00EB0FFD">
            <w:pPr>
              <w:spacing w:after="120" w:line="240" w:lineRule="auto"/>
              <w:rPr>
                <w:sz w:val="16"/>
                <w:szCs w:val="16"/>
              </w:rPr>
            </w:pPr>
            <w:r w:rsidRPr="002C21B8">
              <w:rPr>
                <w:sz w:val="16"/>
                <w:szCs w:val="16"/>
              </w:rPr>
              <w:t>7,616</w:t>
            </w:r>
          </w:p>
        </w:tc>
      </w:tr>
    </w:tbl>
    <w:p w14:paraId="7C4D23E5" w14:textId="77777777" w:rsidR="00344F3B" w:rsidRPr="002C21B8" w:rsidRDefault="00344F3B" w:rsidP="00344F3B">
      <w:pPr>
        <w:pStyle w:val="Caption"/>
        <w:rPr>
          <w:noProof w:val="0"/>
        </w:rPr>
      </w:pPr>
    </w:p>
    <w:p w14:paraId="36670732" w14:textId="77777777" w:rsidR="00344F3B" w:rsidRPr="002C21B8" w:rsidRDefault="00344F3B" w:rsidP="00344F3B">
      <w:pPr>
        <w:rPr>
          <w:color w:val="A5A5A5" w:themeColor="accent3"/>
          <w:sz w:val="18"/>
          <w:szCs w:val="18"/>
        </w:rPr>
      </w:pPr>
      <w:r w:rsidRPr="002C21B8">
        <w:br w:type="page"/>
      </w:r>
    </w:p>
    <w:p w14:paraId="298BDE82" w14:textId="77777777"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Cohort-level simulation of eGFR decline, KF risk and treatment effect</w:t>
      </w:r>
    </w:p>
    <w:tbl>
      <w:tblPr>
        <w:tblW w:w="1404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50"/>
        <w:gridCol w:w="805"/>
        <w:gridCol w:w="936"/>
        <w:gridCol w:w="1937"/>
        <w:gridCol w:w="1657"/>
        <w:gridCol w:w="1523"/>
        <w:gridCol w:w="1200"/>
        <w:gridCol w:w="1252"/>
        <w:gridCol w:w="2218"/>
        <w:gridCol w:w="1669"/>
      </w:tblGrid>
      <w:tr w:rsidR="00344F3B" w:rsidRPr="002C21B8" w14:paraId="357C7C42" w14:textId="77777777" w:rsidTr="00EB0FFD">
        <w:trPr>
          <w:trHeight w:val="960"/>
        </w:trPr>
        <w:tc>
          <w:tcPr>
            <w:tcW w:w="850" w:type="dxa"/>
            <w:shd w:val="clear" w:color="auto" w:fill="auto"/>
            <w:vAlign w:val="center"/>
            <w:hideMark/>
          </w:tcPr>
          <w:p w14:paraId="75E3F6CB" w14:textId="77777777" w:rsidR="00344F3B" w:rsidRPr="002C21B8" w:rsidRDefault="00344F3B" w:rsidP="00EB0FFD">
            <w:pPr>
              <w:spacing w:after="0" w:line="240" w:lineRule="auto"/>
              <w:rPr>
                <w:b/>
                <w:bCs/>
                <w:sz w:val="18"/>
                <w:szCs w:val="18"/>
              </w:rPr>
            </w:pPr>
            <w:r w:rsidRPr="002C21B8">
              <w:rPr>
                <w:b/>
                <w:bCs/>
                <w:sz w:val="18"/>
                <w:szCs w:val="18"/>
              </w:rPr>
              <w:t>Years to Kf (t)</w:t>
            </w:r>
          </w:p>
        </w:tc>
        <w:tc>
          <w:tcPr>
            <w:tcW w:w="791" w:type="dxa"/>
            <w:shd w:val="clear" w:color="auto" w:fill="auto"/>
            <w:vAlign w:val="center"/>
            <w:hideMark/>
          </w:tcPr>
          <w:p w14:paraId="457FB438" w14:textId="77777777" w:rsidR="00344F3B" w:rsidRPr="002C21B8" w:rsidRDefault="00344F3B" w:rsidP="00EB0FFD">
            <w:pPr>
              <w:spacing w:after="0" w:line="240" w:lineRule="auto"/>
              <w:rPr>
                <w:b/>
                <w:bCs/>
                <w:sz w:val="18"/>
                <w:szCs w:val="18"/>
              </w:rPr>
            </w:pPr>
            <w:r w:rsidRPr="002C21B8">
              <w:rPr>
                <w:b/>
                <w:bCs/>
                <w:sz w:val="18"/>
                <w:szCs w:val="18"/>
              </w:rPr>
              <w:t>Starting eGFR</w:t>
            </w:r>
          </w:p>
        </w:tc>
        <w:tc>
          <w:tcPr>
            <w:tcW w:w="850" w:type="dxa"/>
            <w:shd w:val="clear" w:color="auto" w:fill="auto"/>
            <w:vAlign w:val="center"/>
            <w:hideMark/>
          </w:tcPr>
          <w:p w14:paraId="4F31A687" w14:textId="77777777" w:rsidR="00344F3B" w:rsidRPr="002C21B8" w:rsidRDefault="00344F3B" w:rsidP="00EB0FFD">
            <w:pPr>
              <w:spacing w:after="0" w:line="240" w:lineRule="auto"/>
              <w:rPr>
                <w:b/>
                <w:bCs/>
                <w:sz w:val="18"/>
                <w:szCs w:val="18"/>
              </w:rPr>
            </w:pPr>
            <w:r w:rsidRPr="002C21B8">
              <w:rPr>
                <w:b/>
                <w:bCs/>
                <w:sz w:val="18"/>
                <w:szCs w:val="18"/>
              </w:rPr>
              <w:t>KF threshold</w:t>
            </w:r>
          </w:p>
        </w:tc>
        <w:tc>
          <w:tcPr>
            <w:tcW w:w="1967" w:type="dxa"/>
            <w:shd w:val="clear" w:color="auto" w:fill="auto"/>
            <w:vAlign w:val="center"/>
            <w:hideMark/>
          </w:tcPr>
          <w:p w14:paraId="3ECE6F3F" w14:textId="77777777" w:rsidR="00344F3B" w:rsidRPr="002C21B8" w:rsidRDefault="00344F3B" w:rsidP="00EB0FFD">
            <w:pPr>
              <w:spacing w:after="0" w:line="240" w:lineRule="auto"/>
              <w:rPr>
                <w:b/>
                <w:bCs/>
                <w:sz w:val="18"/>
                <w:szCs w:val="18"/>
              </w:rPr>
            </w:pPr>
            <w:r w:rsidRPr="002C21B8">
              <w:rPr>
                <w:b/>
                <w:bCs/>
                <w:sz w:val="18"/>
                <w:szCs w:val="18"/>
              </w:rPr>
              <w:t>eGFR between starting and KF threshold</w:t>
            </w:r>
          </w:p>
        </w:tc>
        <w:tc>
          <w:tcPr>
            <w:tcW w:w="1683" w:type="dxa"/>
            <w:shd w:val="clear" w:color="auto" w:fill="auto"/>
            <w:vAlign w:val="center"/>
            <w:hideMark/>
          </w:tcPr>
          <w:p w14:paraId="108E9470" w14:textId="77777777" w:rsidR="00344F3B" w:rsidRPr="002C21B8" w:rsidRDefault="00344F3B" w:rsidP="00EB0FFD">
            <w:pPr>
              <w:spacing w:after="0" w:line="240" w:lineRule="auto"/>
              <w:rPr>
                <w:b/>
                <w:bCs/>
                <w:sz w:val="18"/>
                <w:szCs w:val="18"/>
              </w:rPr>
            </w:pPr>
            <w:r w:rsidRPr="002C21B8">
              <w:rPr>
                <w:b/>
                <w:bCs/>
                <w:sz w:val="18"/>
                <w:szCs w:val="18"/>
              </w:rPr>
              <w:t>Annual decline mean from study (μ)</w:t>
            </w:r>
          </w:p>
        </w:tc>
        <w:tc>
          <w:tcPr>
            <w:tcW w:w="1545" w:type="dxa"/>
            <w:shd w:val="clear" w:color="auto" w:fill="auto"/>
            <w:vAlign w:val="center"/>
            <w:hideMark/>
          </w:tcPr>
          <w:p w14:paraId="48E14A47" w14:textId="77777777" w:rsidR="00344F3B" w:rsidRPr="002C21B8" w:rsidRDefault="00344F3B" w:rsidP="00EB0FFD">
            <w:pPr>
              <w:spacing w:after="0" w:line="240" w:lineRule="auto"/>
              <w:rPr>
                <w:b/>
                <w:bCs/>
                <w:sz w:val="18"/>
                <w:szCs w:val="18"/>
              </w:rPr>
            </w:pPr>
            <w:r w:rsidRPr="002C21B8">
              <w:rPr>
                <w:b/>
                <w:bCs/>
                <w:sz w:val="18"/>
                <w:szCs w:val="18"/>
              </w:rPr>
              <w:t>Annual decline sd from study (σ)</w:t>
            </w:r>
          </w:p>
        </w:tc>
        <w:tc>
          <w:tcPr>
            <w:tcW w:w="1201" w:type="dxa"/>
            <w:shd w:val="clear" w:color="auto" w:fill="auto"/>
            <w:vAlign w:val="center"/>
            <w:hideMark/>
          </w:tcPr>
          <w:p w14:paraId="05EB6B79" w14:textId="77777777" w:rsidR="00344F3B" w:rsidRPr="002C21B8" w:rsidRDefault="00344F3B" w:rsidP="00EB0FFD">
            <w:pPr>
              <w:spacing w:after="0" w:line="240" w:lineRule="auto"/>
              <w:rPr>
                <w:b/>
                <w:bCs/>
                <w:sz w:val="18"/>
                <w:szCs w:val="18"/>
              </w:rPr>
            </w:pPr>
            <w:r w:rsidRPr="002C21B8">
              <w:rPr>
                <w:b/>
                <w:bCs/>
                <w:sz w:val="18"/>
                <w:szCs w:val="18"/>
              </w:rPr>
              <w:t>Xt</w:t>
            </w:r>
          </w:p>
        </w:tc>
        <w:tc>
          <w:tcPr>
            <w:tcW w:w="1254" w:type="dxa"/>
            <w:shd w:val="clear" w:color="auto" w:fill="auto"/>
            <w:vAlign w:val="center"/>
            <w:hideMark/>
          </w:tcPr>
          <w:p w14:paraId="3386C717" w14:textId="77777777" w:rsidR="00344F3B" w:rsidRPr="002C21B8" w:rsidRDefault="00344F3B" w:rsidP="00EB0FFD">
            <w:pPr>
              <w:spacing w:after="0" w:line="240" w:lineRule="auto"/>
              <w:rPr>
                <w:b/>
                <w:bCs/>
                <w:sz w:val="18"/>
                <w:szCs w:val="18"/>
              </w:rPr>
            </w:pPr>
            <w:r w:rsidRPr="002C21B8">
              <w:rPr>
                <w:b/>
                <w:bCs/>
                <w:sz w:val="18"/>
                <w:szCs w:val="18"/>
              </w:rPr>
              <w:t>Z-score </w:t>
            </w:r>
          </w:p>
        </w:tc>
        <w:tc>
          <w:tcPr>
            <w:tcW w:w="2218" w:type="dxa"/>
            <w:shd w:val="clear" w:color="auto" w:fill="auto"/>
            <w:vAlign w:val="center"/>
            <w:hideMark/>
          </w:tcPr>
          <w:p w14:paraId="549097CB" w14:textId="77777777" w:rsidR="00344F3B" w:rsidRPr="002C21B8" w:rsidRDefault="00344F3B" w:rsidP="00EB0FFD">
            <w:pPr>
              <w:spacing w:after="0" w:line="240" w:lineRule="auto"/>
              <w:rPr>
                <w:b/>
                <w:bCs/>
                <w:sz w:val="18"/>
                <w:szCs w:val="18"/>
              </w:rPr>
            </w:pPr>
            <w:r w:rsidRPr="002C21B8">
              <w:rPr>
                <w:b/>
                <w:bCs/>
                <w:sz w:val="18"/>
                <w:szCs w:val="18"/>
              </w:rPr>
              <w:t>Cumulative probability not reaching KF by t years</w:t>
            </w:r>
          </w:p>
        </w:tc>
        <w:tc>
          <w:tcPr>
            <w:tcW w:w="1688" w:type="dxa"/>
            <w:shd w:val="clear" w:color="auto" w:fill="auto"/>
            <w:vAlign w:val="center"/>
            <w:hideMark/>
          </w:tcPr>
          <w:p w14:paraId="4A1C29CD" w14:textId="77777777" w:rsidR="00344F3B" w:rsidRPr="002C21B8" w:rsidRDefault="00344F3B" w:rsidP="00EB0FFD">
            <w:pPr>
              <w:spacing w:after="0" w:line="240" w:lineRule="auto"/>
              <w:rPr>
                <w:b/>
                <w:bCs/>
                <w:sz w:val="18"/>
                <w:szCs w:val="18"/>
              </w:rPr>
            </w:pPr>
            <w:r w:rsidRPr="002C21B8">
              <w:rPr>
                <w:b/>
                <w:bCs/>
                <w:sz w:val="18"/>
                <w:szCs w:val="18"/>
              </w:rPr>
              <w:t>Proportion reaching Kf (%)</w:t>
            </w:r>
          </w:p>
        </w:tc>
      </w:tr>
      <w:tr w:rsidR="00344F3B" w:rsidRPr="002C21B8" w14:paraId="64E3E2BE" w14:textId="77777777" w:rsidTr="00EB0FFD">
        <w:trPr>
          <w:trHeight w:val="300"/>
        </w:trPr>
        <w:tc>
          <w:tcPr>
            <w:tcW w:w="850" w:type="dxa"/>
            <w:shd w:val="clear" w:color="auto" w:fill="auto"/>
            <w:vAlign w:val="center"/>
            <w:hideMark/>
          </w:tcPr>
          <w:p w14:paraId="03B7C134" w14:textId="77777777" w:rsidR="00344F3B" w:rsidRPr="002C21B8" w:rsidRDefault="00344F3B" w:rsidP="00EB0FFD">
            <w:pPr>
              <w:spacing w:after="0" w:line="240" w:lineRule="auto"/>
              <w:rPr>
                <w:sz w:val="18"/>
                <w:szCs w:val="18"/>
              </w:rPr>
            </w:pPr>
            <w:r w:rsidRPr="002C21B8">
              <w:rPr>
                <w:sz w:val="18"/>
                <w:szCs w:val="18"/>
              </w:rPr>
              <w:t>5</w:t>
            </w:r>
          </w:p>
        </w:tc>
        <w:tc>
          <w:tcPr>
            <w:tcW w:w="791" w:type="dxa"/>
            <w:shd w:val="clear" w:color="auto" w:fill="auto"/>
            <w:noWrap/>
            <w:vAlign w:val="center"/>
            <w:hideMark/>
          </w:tcPr>
          <w:p w14:paraId="3B7B9778"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0F6EBD8C"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266A6D5E"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BF269E4"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7DD53940"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78023BE4" w14:textId="77777777" w:rsidR="00344F3B" w:rsidRPr="002C21B8" w:rsidRDefault="00344F3B" w:rsidP="00EB0FFD">
            <w:pPr>
              <w:spacing w:after="0" w:line="240" w:lineRule="auto"/>
              <w:rPr>
                <w:sz w:val="18"/>
                <w:szCs w:val="18"/>
              </w:rPr>
            </w:pPr>
            <w:r w:rsidRPr="002C21B8">
              <w:rPr>
                <w:sz w:val="18"/>
                <w:szCs w:val="18"/>
              </w:rPr>
              <w:t>7.64</w:t>
            </w:r>
          </w:p>
        </w:tc>
        <w:tc>
          <w:tcPr>
            <w:tcW w:w="1254" w:type="dxa"/>
            <w:shd w:val="clear" w:color="auto" w:fill="auto"/>
            <w:vAlign w:val="center"/>
            <w:hideMark/>
          </w:tcPr>
          <w:p w14:paraId="08C08C66" w14:textId="77777777" w:rsidR="00344F3B" w:rsidRPr="002C21B8" w:rsidRDefault="00344F3B" w:rsidP="00EB0FFD">
            <w:pPr>
              <w:spacing w:after="0" w:line="240" w:lineRule="auto"/>
              <w:rPr>
                <w:sz w:val="18"/>
                <w:szCs w:val="18"/>
              </w:rPr>
            </w:pPr>
            <w:r w:rsidRPr="002C21B8">
              <w:rPr>
                <w:sz w:val="18"/>
                <w:szCs w:val="18"/>
              </w:rPr>
              <w:t>0.052875696</w:t>
            </w:r>
          </w:p>
        </w:tc>
        <w:tc>
          <w:tcPr>
            <w:tcW w:w="2218" w:type="dxa"/>
            <w:shd w:val="clear" w:color="auto" w:fill="auto"/>
            <w:noWrap/>
            <w:vAlign w:val="center"/>
            <w:hideMark/>
          </w:tcPr>
          <w:p w14:paraId="5DD6CE30" w14:textId="77777777" w:rsidR="00344F3B" w:rsidRPr="002C21B8" w:rsidRDefault="00344F3B" w:rsidP="00EB0FFD">
            <w:pPr>
              <w:spacing w:after="0" w:line="240" w:lineRule="auto"/>
              <w:rPr>
                <w:sz w:val="18"/>
                <w:szCs w:val="18"/>
              </w:rPr>
            </w:pPr>
            <w:r w:rsidRPr="002C21B8">
              <w:rPr>
                <w:sz w:val="18"/>
                <w:szCs w:val="18"/>
              </w:rPr>
              <w:t>0.521084525</w:t>
            </w:r>
          </w:p>
        </w:tc>
        <w:tc>
          <w:tcPr>
            <w:tcW w:w="1688" w:type="dxa"/>
            <w:shd w:val="clear" w:color="auto" w:fill="auto"/>
            <w:vAlign w:val="center"/>
            <w:hideMark/>
          </w:tcPr>
          <w:p w14:paraId="14B0FCEE" w14:textId="77777777" w:rsidR="00344F3B" w:rsidRPr="002C21B8" w:rsidRDefault="00344F3B" w:rsidP="00EB0FFD">
            <w:pPr>
              <w:spacing w:after="0" w:line="240" w:lineRule="auto"/>
              <w:rPr>
                <w:sz w:val="18"/>
                <w:szCs w:val="18"/>
              </w:rPr>
            </w:pPr>
            <w:r w:rsidRPr="002C21B8">
              <w:rPr>
                <w:sz w:val="18"/>
                <w:szCs w:val="18"/>
              </w:rPr>
              <w:t>47.89%</w:t>
            </w:r>
          </w:p>
        </w:tc>
      </w:tr>
      <w:tr w:rsidR="00344F3B" w:rsidRPr="002C21B8" w14:paraId="3C96ABD2" w14:textId="77777777" w:rsidTr="00EB0FFD">
        <w:trPr>
          <w:trHeight w:val="300"/>
        </w:trPr>
        <w:tc>
          <w:tcPr>
            <w:tcW w:w="850" w:type="dxa"/>
            <w:shd w:val="clear" w:color="auto" w:fill="auto"/>
            <w:vAlign w:val="center"/>
            <w:hideMark/>
          </w:tcPr>
          <w:p w14:paraId="157E7A47" w14:textId="77777777" w:rsidR="00344F3B" w:rsidRPr="002C21B8" w:rsidRDefault="00344F3B" w:rsidP="00EB0FFD">
            <w:pPr>
              <w:spacing w:after="0" w:line="240" w:lineRule="auto"/>
              <w:rPr>
                <w:sz w:val="18"/>
                <w:szCs w:val="18"/>
              </w:rPr>
            </w:pPr>
            <w:r w:rsidRPr="002C21B8">
              <w:rPr>
                <w:sz w:val="18"/>
                <w:szCs w:val="18"/>
              </w:rPr>
              <w:t>6</w:t>
            </w:r>
          </w:p>
        </w:tc>
        <w:tc>
          <w:tcPr>
            <w:tcW w:w="791" w:type="dxa"/>
            <w:shd w:val="clear" w:color="auto" w:fill="auto"/>
            <w:noWrap/>
            <w:vAlign w:val="center"/>
            <w:hideMark/>
          </w:tcPr>
          <w:p w14:paraId="3025B4CF"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319639D3"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6B351836"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6EEEB12C"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560FD1DB"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37F2958D" w14:textId="77777777" w:rsidR="00344F3B" w:rsidRPr="002C21B8" w:rsidRDefault="00344F3B" w:rsidP="00EB0FFD">
            <w:pPr>
              <w:spacing w:after="0" w:line="240" w:lineRule="auto"/>
              <w:rPr>
                <w:sz w:val="18"/>
                <w:szCs w:val="18"/>
              </w:rPr>
            </w:pPr>
            <w:r w:rsidRPr="002C21B8">
              <w:rPr>
                <w:sz w:val="18"/>
                <w:szCs w:val="18"/>
              </w:rPr>
              <w:t>6.366666667</w:t>
            </w:r>
          </w:p>
        </w:tc>
        <w:tc>
          <w:tcPr>
            <w:tcW w:w="1254" w:type="dxa"/>
            <w:shd w:val="clear" w:color="auto" w:fill="auto"/>
            <w:vAlign w:val="center"/>
            <w:hideMark/>
          </w:tcPr>
          <w:p w14:paraId="706017A3" w14:textId="77777777" w:rsidR="00344F3B" w:rsidRPr="002C21B8" w:rsidRDefault="00344F3B" w:rsidP="00EB0FFD">
            <w:pPr>
              <w:spacing w:after="0" w:line="240" w:lineRule="auto"/>
              <w:rPr>
                <w:sz w:val="18"/>
                <w:szCs w:val="18"/>
              </w:rPr>
            </w:pPr>
            <w:r w:rsidRPr="002C21B8">
              <w:rPr>
                <w:sz w:val="18"/>
                <w:szCs w:val="18"/>
              </w:rPr>
              <w:t>-0.06524428</w:t>
            </w:r>
          </w:p>
        </w:tc>
        <w:tc>
          <w:tcPr>
            <w:tcW w:w="2218" w:type="dxa"/>
            <w:shd w:val="clear" w:color="auto" w:fill="auto"/>
            <w:noWrap/>
            <w:vAlign w:val="center"/>
            <w:hideMark/>
          </w:tcPr>
          <w:p w14:paraId="3177CB1E" w14:textId="77777777" w:rsidR="00344F3B" w:rsidRPr="002C21B8" w:rsidRDefault="00344F3B" w:rsidP="00EB0FFD">
            <w:pPr>
              <w:spacing w:after="0" w:line="240" w:lineRule="auto"/>
              <w:rPr>
                <w:sz w:val="18"/>
                <w:szCs w:val="18"/>
              </w:rPr>
            </w:pPr>
            <w:r w:rsidRPr="002C21B8">
              <w:rPr>
                <w:sz w:val="18"/>
                <w:szCs w:val="18"/>
              </w:rPr>
              <w:t>0.473989753</w:t>
            </w:r>
          </w:p>
        </w:tc>
        <w:tc>
          <w:tcPr>
            <w:tcW w:w="1688" w:type="dxa"/>
            <w:shd w:val="clear" w:color="auto" w:fill="auto"/>
            <w:vAlign w:val="center"/>
            <w:hideMark/>
          </w:tcPr>
          <w:p w14:paraId="5BB7FDF6" w14:textId="77777777" w:rsidR="00344F3B" w:rsidRPr="002C21B8" w:rsidRDefault="00344F3B" w:rsidP="00EB0FFD">
            <w:pPr>
              <w:spacing w:after="0" w:line="240" w:lineRule="auto"/>
              <w:rPr>
                <w:sz w:val="18"/>
                <w:szCs w:val="18"/>
              </w:rPr>
            </w:pPr>
            <w:r w:rsidRPr="002C21B8">
              <w:rPr>
                <w:sz w:val="18"/>
                <w:szCs w:val="18"/>
              </w:rPr>
              <w:t>52.60%</w:t>
            </w:r>
          </w:p>
        </w:tc>
      </w:tr>
      <w:tr w:rsidR="00344F3B" w:rsidRPr="002C21B8" w14:paraId="0D31431D" w14:textId="77777777" w:rsidTr="00EB0FFD">
        <w:trPr>
          <w:trHeight w:val="300"/>
        </w:trPr>
        <w:tc>
          <w:tcPr>
            <w:tcW w:w="850" w:type="dxa"/>
            <w:shd w:val="clear" w:color="auto" w:fill="auto"/>
            <w:vAlign w:val="center"/>
            <w:hideMark/>
          </w:tcPr>
          <w:p w14:paraId="7B4A6EE0" w14:textId="77777777" w:rsidR="00344F3B" w:rsidRPr="002C21B8" w:rsidRDefault="00344F3B" w:rsidP="00EB0FFD">
            <w:pPr>
              <w:spacing w:after="0" w:line="240" w:lineRule="auto"/>
              <w:rPr>
                <w:sz w:val="18"/>
                <w:szCs w:val="18"/>
              </w:rPr>
            </w:pPr>
            <w:r w:rsidRPr="002C21B8">
              <w:rPr>
                <w:sz w:val="18"/>
                <w:szCs w:val="18"/>
              </w:rPr>
              <w:t>7</w:t>
            </w:r>
          </w:p>
        </w:tc>
        <w:tc>
          <w:tcPr>
            <w:tcW w:w="791" w:type="dxa"/>
            <w:shd w:val="clear" w:color="auto" w:fill="auto"/>
            <w:noWrap/>
            <w:vAlign w:val="center"/>
            <w:hideMark/>
          </w:tcPr>
          <w:p w14:paraId="718C948A"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392B5411"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4E44D33C"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41689471"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64137F40"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5B05B009" w14:textId="77777777" w:rsidR="00344F3B" w:rsidRPr="002C21B8" w:rsidRDefault="00344F3B" w:rsidP="00EB0FFD">
            <w:pPr>
              <w:spacing w:after="0" w:line="240" w:lineRule="auto"/>
              <w:rPr>
                <w:sz w:val="18"/>
                <w:szCs w:val="18"/>
              </w:rPr>
            </w:pPr>
            <w:r w:rsidRPr="002C21B8">
              <w:rPr>
                <w:sz w:val="18"/>
                <w:szCs w:val="18"/>
              </w:rPr>
              <w:t>5.457142857</w:t>
            </w:r>
          </w:p>
        </w:tc>
        <w:tc>
          <w:tcPr>
            <w:tcW w:w="1254" w:type="dxa"/>
            <w:shd w:val="clear" w:color="auto" w:fill="auto"/>
            <w:vAlign w:val="center"/>
            <w:hideMark/>
          </w:tcPr>
          <w:p w14:paraId="043F37CB" w14:textId="77777777" w:rsidR="00344F3B" w:rsidRPr="002C21B8" w:rsidRDefault="00344F3B" w:rsidP="00EB0FFD">
            <w:pPr>
              <w:spacing w:after="0" w:line="240" w:lineRule="auto"/>
              <w:rPr>
                <w:sz w:val="18"/>
                <w:szCs w:val="18"/>
              </w:rPr>
            </w:pPr>
            <w:r w:rsidRPr="002C21B8">
              <w:rPr>
                <w:sz w:val="18"/>
                <w:szCs w:val="18"/>
              </w:rPr>
              <w:t>-0.14961569</w:t>
            </w:r>
          </w:p>
        </w:tc>
        <w:tc>
          <w:tcPr>
            <w:tcW w:w="2218" w:type="dxa"/>
            <w:shd w:val="clear" w:color="auto" w:fill="auto"/>
            <w:noWrap/>
            <w:vAlign w:val="center"/>
            <w:hideMark/>
          </w:tcPr>
          <w:p w14:paraId="084C1727" w14:textId="77777777" w:rsidR="00344F3B" w:rsidRPr="002C21B8" w:rsidRDefault="00344F3B" w:rsidP="00EB0FFD">
            <w:pPr>
              <w:spacing w:after="0" w:line="240" w:lineRule="auto"/>
              <w:rPr>
                <w:sz w:val="18"/>
                <w:szCs w:val="18"/>
              </w:rPr>
            </w:pPr>
            <w:r w:rsidRPr="002C21B8">
              <w:rPr>
                <w:sz w:val="18"/>
                <w:szCs w:val="18"/>
              </w:rPr>
              <w:t>0.440533914</w:t>
            </w:r>
          </w:p>
        </w:tc>
        <w:tc>
          <w:tcPr>
            <w:tcW w:w="1688" w:type="dxa"/>
            <w:shd w:val="clear" w:color="auto" w:fill="auto"/>
            <w:vAlign w:val="center"/>
            <w:hideMark/>
          </w:tcPr>
          <w:p w14:paraId="6A20F3AE" w14:textId="77777777" w:rsidR="00344F3B" w:rsidRPr="002C21B8" w:rsidRDefault="00344F3B" w:rsidP="00EB0FFD">
            <w:pPr>
              <w:spacing w:after="0" w:line="240" w:lineRule="auto"/>
              <w:rPr>
                <w:sz w:val="18"/>
                <w:szCs w:val="18"/>
              </w:rPr>
            </w:pPr>
            <w:r w:rsidRPr="002C21B8">
              <w:rPr>
                <w:sz w:val="18"/>
                <w:szCs w:val="18"/>
              </w:rPr>
              <w:t>55.95%</w:t>
            </w:r>
          </w:p>
        </w:tc>
      </w:tr>
      <w:tr w:rsidR="00344F3B" w:rsidRPr="002C21B8" w14:paraId="4780E934" w14:textId="77777777" w:rsidTr="00EB0FFD">
        <w:trPr>
          <w:trHeight w:val="300"/>
        </w:trPr>
        <w:tc>
          <w:tcPr>
            <w:tcW w:w="850" w:type="dxa"/>
            <w:shd w:val="clear" w:color="auto" w:fill="auto"/>
            <w:vAlign w:val="center"/>
            <w:hideMark/>
          </w:tcPr>
          <w:p w14:paraId="35E86E67" w14:textId="77777777" w:rsidR="00344F3B" w:rsidRPr="002C21B8" w:rsidRDefault="00344F3B" w:rsidP="00EB0FFD">
            <w:pPr>
              <w:spacing w:after="0" w:line="240" w:lineRule="auto"/>
              <w:rPr>
                <w:sz w:val="18"/>
                <w:szCs w:val="18"/>
              </w:rPr>
            </w:pPr>
            <w:r w:rsidRPr="002C21B8">
              <w:rPr>
                <w:sz w:val="18"/>
                <w:szCs w:val="18"/>
              </w:rPr>
              <w:t>8</w:t>
            </w:r>
          </w:p>
        </w:tc>
        <w:tc>
          <w:tcPr>
            <w:tcW w:w="791" w:type="dxa"/>
            <w:shd w:val="clear" w:color="auto" w:fill="auto"/>
            <w:noWrap/>
            <w:vAlign w:val="center"/>
            <w:hideMark/>
          </w:tcPr>
          <w:p w14:paraId="30E0281B"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226F609D"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25DA217B"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3C43393C"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79F78C8F"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28D83B05" w14:textId="77777777" w:rsidR="00344F3B" w:rsidRPr="002C21B8" w:rsidRDefault="00344F3B" w:rsidP="00EB0FFD">
            <w:pPr>
              <w:spacing w:after="0" w:line="240" w:lineRule="auto"/>
              <w:rPr>
                <w:sz w:val="18"/>
                <w:szCs w:val="18"/>
              </w:rPr>
            </w:pPr>
            <w:r w:rsidRPr="002C21B8">
              <w:rPr>
                <w:sz w:val="18"/>
                <w:szCs w:val="18"/>
              </w:rPr>
              <w:t>4.775</w:t>
            </w:r>
          </w:p>
        </w:tc>
        <w:tc>
          <w:tcPr>
            <w:tcW w:w="1254" w:type="dxa"/>
            <w:shd w:val="clear" w:color="auto" w:fill="auto"/>
            <w:vAlign w:val="center"/>
            <w:hideMark/>
          </w:tcPr>
          <w:p w14:paraId="0A5CE60B" w14:textId="77777777" w:rsidR="00344F3B" w:rsidRPr="002C21B8" w:rsidRDefault="00344F3B" w:rsidP="00EB0FFD">
            <w:pPr>
              <w:spacing w:after="0" w:line="240" w:lineRule="auto"/>
              <w:rPr>
                <w:sz w:val="18"/>
                <w:szCs w:val="18"/>
              </w:rPr>
            </w:pPr>
            <w:r w:rsidRPr="002C21B8">
              <w:rPr>
                <w:sz w:val="18"/>
                <w:szCs w:val="18"/>
              </w:rPr>
              <w:t>-0.212894249</w:t>
            </w:r>
          </w:p>
        </w:tc>
        <w:tc>
          <w:tcPr>
            <w:tcW w:w="2218" w:type="dxa"/>
            <w:shd w:val="clear" w:color="auto" w:fill="auto"/>
            <w:noWrap/>
            <w:vAlign w:val="center"/>
            <w:hideMark/>
          </w:tcPr>
          <w:p w14:paraId="28F1E274" w14:textId="77777777" w:rsidR="00344F3B" w:rsidRPr="002C21B8" w:rsidRDefault="00344F3B" w:rsidP="00EB0FFD">
            <w:pPr>
              <w:spacing w:after="0" w:line="240" w:lineRule="auto"/>
              <w:rPr>
                <w:sz w:val="18"/>
                <w:szCs w:val="18"/>
              </w:rPr>
            </w:pPr>
            <w:r w:rsidRPr="002C21B8">
              <w:rPr>
                <w:sz w:val="18"/>
                <w:szCs w:val="18"/>
              </w:rPr>
              <w:t>0.415704724</w:t>
            </w:r>
          </w:p>
        </w:tc>
        <w:tc>
          <w:tcPr>
            <w:tcW w:w="1688" w:type="dxa"/>
            <w:shd w:val="clear" w:color="auto" w:fill="auto"/>
            <w:vAlign w:val="center"/>
            <w:hideMark/>
          </w:tcPr>
          <w:p w14:paraId="6289474B" w14:textId="77777777" w:rsidR="00344F3B" w:rsidRPr="002C21B8" w:rsidRDefault="00344F3B" w:rsidP="00EB0FFD">
            <w:pPr>
              <w:spacing w:after="0" w:line="240" w:lineRule="auto"/>
              <w:rPr>
                <w:sz w:val="18"/>
                <w:szCs w:val="18"/>
              </w:rPr>
            </w:pPr>
            <w:r w:rsidRPr="002C21B8">
              <w:rPr>
                <w:sz w:val="18"/>
                <w:szCs w:val="18"/>
              </w:rPr>
              <w:t>58.43%</w:t>
            </w:r>
          </w:p>
        </w:tc>
      </w:tr>
      <w:tr w:rsidR="00344F3B" w:rsidRPr="002C21B8" w14:paraId="45498F8B" w14:textId="77777777" w:rsidTr="00EB0FFD">
        <w:trPr>
          <w:trHeight w:val="300"/>
        </w:trPr>
        <w:tc>
          <w:tcPr>
            <w:tcW w:w="850" w:type="dxa"/>
            <w:shd w:val="clear" w:color="auto" w:fill="auto"/>
            <w:vAlign w:val="center"/>
            <w:hideMark/>
          </w:tcPr>
          <w:p w14:paraId="377F4B61" w14:textId="77777777" w:rsidR="00344F3B" w:rsidRPr="002C21B8" w:rsidRDefault="00344F3B" w:rsidP="00EB0FFD">
            <w:pPr>
              <w:spacing w:after="0" w:line="240" w:lineRule="auto"/>
              <w:rPr>
                <w:sz w:val="18"/>
                <w:szCs w:val="18"/>
              </w:rPr>
            </w:pPr>
            <w:r w:rsidRPr="002C21B8">
              <w:rPr>
                <w:sz w:val="18"/>
                <w:szCs w:val="18"/>
              </w:rPr>
              <w:t>9</w:t>
            </w:r>
          </w:p>
        </w:tc>
        <w:tc>
          <w:tcPr>
            <w:tcW w:w="791" w:type="dxa"/>
            <w:shd w:val="clear" w:color="auto" w:fill="auto"/>
            <w:noWrap/>
            <w:vAlign w:val="center"/>
            <w:hideMark/>
          </w:tcPr>
          <w:p w14:paraId="297B99C3"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05C6994C"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2EF3A8B7"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49C3F7C"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093C4B12"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6918AEE7" w14:textId="77777777" w:rsidR="00344F3B" w:rsidRPr="002C21B8" w:rsidRDefault="00344F3B" w:rsidP="00EB0FFD">
            <w:pPr>
              <w:spacing w:after="0" w:line="240" w:lineRule="auto"/>
              <w:rPr>
                <w:sz w:val="18"/>
                <w:szCs w:val="18"/>
              </w:rPr>
            </w:pPr>
            <w:r w:rsidRPr="002C21B8">
              <w:rPr>
                <w:sz w:val="18"/>
                <w:szCs w:val="18"/>
              </w:rPr>
              <w:t>4.244444444</w:t>
            </w:r>
          </w:p>
        </w:tc>
        <w:tc>
          <w:tcPr>
            <w:tcW w:w="1254" w:type="dxa"/>
            <w:shd w:val="clear" w:color="auto" w:fill="auto"/>
            <w:vAlign w:val="center"/>
            <w:hideMark/>
          </w:tcPr>
          <w:p w14:paraId="72FACB0D" w14:textId="77777777" w:rsidR="00344F3B" w:rsidRPr="002C21B8" w:rsidRDefault="00344F3B" w:rsidP="00EB0FFD">
            <w:pPr>
              <w:spacing w:after="0" w:line="240" w:lineRule="auto"/>
              <w:rPr>
                <w:sz w:val="18"/>
                <w:szCs w:val="18"/>
              </w:rPr>
            </w:pPr>
            <w:r w:rsidRPr="002C21B8">
              <w:rPr>
                <w:sz w:val="18"/>
                <w:szCs w:val="18"/>
              </w:rPr>
              <w:t>-0.262110905</w:t>
            </w:r>
          </w:p>
        </w:tc>
        <w:tc>
          <w:tcPr>
            <w:tcW w:w="2218" w:type="dxa"/>
            <w:shd w:val="clear" w:color="auto" w:fill="auto"/>
            <w:noWrap/>
            <w:vAlign w:val="center"/>
            <w:hideMark/>
          </w:tcPr>
          <w:p w14:paraId="1A4CAA96" w14:textId="77777777" w:rsidR="00344F3B" w:rsidRPr="002C21B8" w:rsidRDefault="00344F3B" w:rsidP="00EB0FFD">
            <w:pPr>
              <w:spacing w:after="0" w:line="240" w:lineRule="auto"/>
              <w:rPr>
                <w:sz w:val="18"/>
                <w:szCs w:val="18"/>
              </w:rPr>
            </w:pPr>
            <w:r w:rsidRPr="002C21B8">
              <w:rPr>
                <w:sz w:val="18"/>
                <w:szCs w:val="18"/>
              </w:rPr>
              <w:t>0.39661797</w:t>
            </w:r>
          </w:p>
        </w:tc>
        <w:tc>
          <w:tcPr>
            <w:tcW w:w="1688" w:type="dxa"/>
            <w:shd w:val="clear" w:color="auto" w:fill="auto"/>
            <w:vAlign w:val="center"/>
            <w:hideMark/>
          </w:tcPr>
          <w:p w14:paraId="0A38EF86" w14:textId="77777777" w:rsidR="00344F3B" w:rsidRPr="002C21B8" w:rsidRDefault="00344F3B" w:rsidP="00EB0FFD">
            <w:pPr>
              <w:spacing w:after="0" w:line="240" w:lineRule="auto"/>
              <w:rPr>
                <w:sz w:val="18"/>
                <w:szCs w:val="18"/>
              </w:rPr>
            </w:pPr>
            <w:r w:rsidRPr="002C21B8">
              <w:rPr>
                <w:sz w:val="18"/>
                <w:szCs w:val="18"/>
              </w:rPr>
              <w:t>60.34%</w:t>
            </w:r>
          </w:p>
        </w:tc>
      </w:tr>
      <w:tr w:rsidR="00344F3B" w:rsidRPr="002C21B8" w14:paraId="7798BBF4" w14:textId="77777777" w:rsidTr="00EB0FFD">
        <w:trPr>
          <w:trHeight w:val="300"/>
        </w:trPr>
        <w:tc>
          <w:tcPr>
            <w:tcW w:w="850" w:type="dxa"/>
            <w:shd w:val="clear" w:color="auto" w:fill="auto"/>
            <w:vAlign w:val="center"/>
            <w:hideMark/>
          </w:tcPr>
          <w:p w14:paraId="32149340" w14:textId="77777777" w:rsidR="00344F3B" w:rsidRPr="002C21B8" w:rsidRDefault="00344F3B" w:rsidP="00EB0FFD">
            <w:pPr>
              <w:spacing w:after="0" w:line="240" w:lineRule="auto"/>
              <w:rPr>
                <w:sz w:val="18"/>
                <w:szCs w:val="18"/>
              </w:rPr>
            </w:pPr>
            <w:r w:rsidRPr="002C21B8">
              <w:rPr>
                <w:sz w:val="18"/>
                <w:szCs w:val="18"/>
              </w:rPr>
              <w:t>10</w:t>
            </w:r>
          </w:p>
        </w:tc>
        <w:tc>
          <w:tcPr>
            <w:tcW w:w="791" w:type="dxa"/>
            <w:shd w:val="clear" w:color="auto" w:fill="auto"/>
            <w:noWrap/>
            <w:vAlign w:val="center"/>
            <w:hideMark/>
          </w:tcPr>
          <w:p w14:paraId="5A61CA3A"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7497F3F3"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0476AC2A"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7B77689"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344B5736"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495D8C9B" w14:textId="77777777" w:rsidR="00344F3B" w:rsidRPr="002C21B8" w:rsidRDefault="00344F3B" w:rsidP="00EB0FFD">
            <w:pPr>
              <w:spacing w:after="0" w:line="240" w:lineRule="auto"/>
              <w:rPr>
                <w:sz w:val="18"/>
                <w:szCs w:val="18"/>
              </w:rPr>
            </w:pPr>
            <w:r w:rsidRPr="002C21B8">
              <w:rPr>
                <w:sz w:val="18"/>
                <w:szCs w:val="18"/>
              </w:rPr>
              <w:t>3.82</w:t>
            </w:r>
          </w:p>
        </w:tc>
        <w:tc>
          <w:tcPr>
            <w:tcW w:w="1254" w:type="dxa"/>
            <w:shd w:val="clear" w:color="auto" w:fill="auto"/>
            <w:vAlign w:val="center"/>
            <w:hideMark/>
          </w:tcPr>
          <w:p w14:paraId="24E7F5EB" w14:textId="77777777" w:rsidR="00344F3B" w:rsidRPr="002C21B8" w:rsidRDefault="00344F3B" w:rsidP="00EB0FFD">
            <w:pPr>
              <w:spacing w:after="0" w:line="240" w:lineRule="auto"/>
              <w:rPr>
                <w:sz w:val="18"/>
                <w:szCs w:val="18"/>
              </w:rPr>
            </w:pPr>
            <w:r w:rsidRPr="002C21B8">
              <w:rPr>
                <w:sz w:val="18"/>
                <w:szCs w:val="18"/>
              </w:rPr>
              <w:t>-0.30148423</w:t>
            </w:r>
          </w:p>
        </w:tc>
        <w:tc>
          <w:tcPr>
            <w:tcW w:w="2218" w:type="dxa"/>
            <w:shd w:val="clear" w:color="auto" w:fill="auto"/>
            <w:noWrap/>
            <w:vAlign w:val="center"/>
            <w:hideMark/>
          </w:tcPr>
          <w:p w14:paraId="71D20984" w14:textId="77777777" w:rsidR="00344F3B" w:rsidRPr="002C21B8" w:rsidRDefault="00344F3B" w:rsidP="00EB0FFD">
            <w:pPr>
              <w:spacing w:after="0" w:line="240" w:lineRule="auto"/>
              <w:rPr>
                <w:sz w:val="18"/>
                <w:szCs w:val="18"/>
              </w:rPr>
            </w:pPr>
            <w:r w:rsidRPr="002C21B8">
              <w:rPr>
                <w:sz w:val="18"/>
                <w:szCs w:val="18"/>
              </w:rPr>
              <w:t>0.381522637</w:t>
            </w:r>
          </w:p>
        </w:tc>
        <w:tc>
          <w:tcPr>
            <w:tcW w:w="1688" w:type="dxa"/>
            <w:shd w:val="clear" w:color="auto" w:fill="auto"/>
            <w:vAlign w:val="center"/>
            <w:hideMark/>
          </w:tcPr>
          <w:p w14:paraId="21C4024B" w14:textId="77777777" w:rsidR="00344F3B" w:rsidRPr="002C21B8" w:rsidRDefault="00344F3B" w:rsidP="00EB0FFD">
            <w:pPr>
              <w:spacing w:after="0" w:line="240" w:lineRule="auto"/>
              <w:rPr>
                <w:sz w:val="18"/>
                <w:szCs w:val="18"/>
              </w:rPr>
            </w:pPr>
            <w:r w:rsidRPr="002C21B8">
              <w:rPr>
                <w:sz w:val="18"/>
                <w:szCs w:val="18"/>
              </w:rPr>
              <w:t>61.85%</w:t>
            </w:r>
          </w:p>
        </w:tc>
      </w:tr>
      <w:tr w:rsidR="00344F3B" w:rsidRPr="002C21B8" w14:paraId="0620A97C" w14:textId="77777777" w:rsidTr="00EB0FFD">
        <w:trPr>
          <w:trHeight w:val="300"/>
        </w:trPr>
        <w:tc>
          <w:tcPr>
            <w:tcW w:w="850" w:type="dxa"/>
            <w:shd w:val="clear" w:color="auto" w:fill="auto"/>
            <w:vAlign w:val="center"/>
            <w:hideMark/>
          </w:tcPr>
          <w:p w14:paraId="396F6F22" w14:textId="77777777" w:rsidR="00344F3B" w:rsidRPr="002C21B8" w:rsidRDefault="00344F3B" w:rsidP="00EB0FFD">
            <w:pPr>
              <w:spacing w:after="0" w:line="240" w:lineRule="auto"/>
              <w:rPr>
                <w:sz w:val="18"/>
                <w:szCs w:val="18"/>
              </w:rPr>
            </w:pPr>
            <w:r w:rsidRPr="002C21B8">
              <w:rPr>
                <w:sz w:val="18"/>
                <w:szCs w:val="18"/>
              </w:rPr>
              <w:t>11</w:t>
            </w:r>
          </w:p>
        </w:tc>
        <w:tc>
          <w:tcPr>
            <w:tcW w:w="791" w:type="dxa"/>
            <w:shd w:val="clear" w:color="auto" w:fill="auto"/>
            <w:noWrap/>
            <w:vAlign w:val="center"/>
            <w:hideMark/>
          </w:tcPr>
          <w:p w14:paraId="03074FFC"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4A9427D9"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30C99D9B"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41B011C2"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1AA62023"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722B9E54" w14:textId="77777777" w:rsidR="00344F3B" w:rsidRPr="002C21B8" w:rsidRDefault="00344F3B" w:rsidP="00EB0FFD">
            <w:pPr>
              <w:spacing w:after="0" w:line="240" w:lineRule="auto"/>
              <w:rPr>
                <w:sz w:val="18"/>
                <w:szCs w:val="18"/>
              </w:rPr>
            </w:pPr>
            <w:r w:rsidRPr="002C21B8">
              <w:rPr>
                <w:sz w:val="18"/>
                <w:szCs w:val="18"/>
              </w:rPr>
              <w:t>3.472727273</w:t>
            </w:r>
          </w:p>
        </w:tc>
        <w:tc>
          <w:tcPr>
            <w:tcW w:w="1254" w:type="dxa"/>
            <w:shd w:val="clear" w:color="auto" w:fill="auto"/>
            <w:vAlign w:val="center"/>
            <w:hideMark/>
          </w:tcPr>
          <w:p w14:paraId="0E65DE86" w14:textId="77777777" w:rsidR="00344F3B" w:rsidRPr="002C21B8" w:rsidRDefault="00344F3B" w:rsidP="00EB0FFD">
            <w:pPr>
              <w:spacing w:after="0" w:line="240" w:lineRule="auto"/>
              <w:rPr>
                <w:sz w:val="18"/>
                <w:szCs w:val="18"/>
              </w:rPr>
            </w:pPr>
            <w:r w:rsidRPr="002C21B8">
              <w:rPr>
                <w:sz w:val="18"/>
                <w:szCs w:val="18"/>
              </w:rPr>
              <w:t>-0.333698769</w:t>
            </w:r>
          </w:p>
        </w:tc>
        <w:tc>
          <w:tcPr>
            <w:tcW w:w="2218" w:type="dxa"/>
            <w:shd w:val="clear" w:color="auto" w:fill="auto"/>
            <w:noWrap/>
            <w:vAlign w:val="center"/>
            <w:hideMark/>
          </w:tcPr>
          <w:p w14:paraId="751684A2" w14:textId="77777777" w:rsidR="00344F3B" w:rsidRPr="002C21B8" w:rsidRDefault="00344F3B" w:rsidP="00EB0FFD">
            <w:pPr>
              <w:spacing w:after="0" w:line="240" w:lineRule="auto"/>
              <w:rPr>
                <w:sz w:val="18"/>
                <w:szCs w:val="18"/>
              </w:rPr>
            </w:pPr>
            <w:r w:rsidRPr="002C21B8">
              <w:rPr>
                <w:sz w:val="18"/>
                <w:szCs w:val="18"/>
              </w:rPr>
              <w:t>0.369303439</w:t>
            </w:r>
          </w:p>
        </w:tc>
        <w:tc>
          <w:tcPr>
            <w:tcW w:w="1688" w:type="dxa"/>
            <w:shd w:val="clear" w:color="auto" w:fill="auto"/>
            <w:vAlign w:val="center"/>
            <w:hideMark/>
          </w:tcPr>
          <w:p w14:paraId="7BEB1F67" w14:textId="77777777" w:rsidR="00344F3B" w:rsidRPr="002C21B8" w:rsidRDefault="00344F3B" w:rsidP="00EB0FFD">
            <w:pPr>
              <w:spacing w:after="0" w:line="240" w:lineRule="auto"/>
              <w:rPr>
                <w:sz w:val="18"/>
                <w:szCs w:val="18"/>
              </w:rPr>
            </w:pPr>
            <w:r w:rsidRPr="002C21B8">
              <w:rPr>
                <w:sz w:val="18"/>
                <w:szCs w:val="18"/>
              </w:rPr>
              <w:t>63.07%</w:t>
            </w:r>
          </w:p>
        </w:tc>
      </w:tr>
      <w:tr w:rsidR="00344F3B" w:rsidRPr="002C21B8" w14:paraId="280953BA" w14:textId="77777777" w:rsidTr="00EB0FFD">
        <w:trPr>
          <w:trHeight w:val="300"/>
        </w:trPr>
        <w:tc>
          <w:tcPr>
            <w:tcW w:w="850" w:type="dxa"/>
            <w:shd w:val="clear" w:color="auto" w:fill="auto"/>
            <w:vAlign w:val="center"/>
            <w:hideMark/>
          </w:tcPr>
          <w:p w14:paraId="2E129F4A" w14:textId="77777777" w:rsidR="00344F3B" w:rsidRPr="002C21B8" w:rsidRDefault="00344F3B" w:rsidP="00EB0FFD">
            <w:pPr>
              <w:spacing w:after="0" w:line="240" w:lineRule="auto"/>
              <w:rPr>
                <w:sz w:val="18"/>
                <w:szCs w:val="18"/>
              </w:rPr>
            </w:pPr>
            <w:r w:rsidRPr="002C21B8">
              <w:rPr>
                <w:sz w:val="18"/>
                <w:szCs w:val="18"/>
              </w:rPr>
              <w:t>12</w:t>
            </w:r>
          </w:p>
        </w:tc>
        <w:tc>
          <w:tcPr>
            <w:tcW w:w="791" w:type="dxa"/>
            <w:shd w:val="clear" w:color="auto" w:fill="auto"/>
            <w:noWrap/>
            <w:vAlign w:val="center"/>
            <w:hideMark/>
          </w:tcPr>
          <w:p w14:paraId="1B7597ED"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095221DD"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2EE9C8B1"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9C50AFC"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774359D5"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6DDA3CFB" w14:textId="77777777" w:rsidR="00344F3B" w:rsidRPr="002C21B8" w:rsidRDefault="00344F3B" w:rsidP="00EB0FFD">
            <w:pPr>
              <w:spacing w:after="0" w:line="240" w:lineRule="auto"/>
              <w:rPr>
                <w:sz w:val="18"/>
                <w:szCs w:val="18"/>
              </w:rPr>
            </w:pPr>
            <w:r w:rsidRPr="002C21B8">
              <w:rPr>
                <w:sz w:val="18"/>
                <w:szCs w:val="18"/>
              </w:rPr>
              <w:t>3.183333333</w:t>
            </w:r>
          </w:p>
        </w:tc>
        <w:tc>
          <w:tcPr>
            <w:tcW w:w="1254" w:type="dxa"/>
            <w:shd w:val="clear" w:color="auto" w:fill="auto"/>
            <w:vAlign w:val="center"/>
            <w:hideMark/>
          </w:tcPr>
          <w:p w14:paraId="68626C15" w14:textId="77777777" w:rsidR="00344F3B" w:rsidRPr="002C21B8" w:rsidRDefault="00344F3B" w:rsidP="00EB0FFD">
            <w:pPr>
              <w:spacing w:after="0" w:line="240" w:lineRule="auto"/>
              <w:rPr>
                <w:sz w:val="18"/>
                <w:szCs w:val="18"/>
              </w:rPr>
            </w:pPr>
            <w:r w:rsidRPr="002C21B8">
              <w:rPr>
                <w:sz w:val="18"/>
                <w:szCs w:val="18"/>
              </w:rPr>
              <w:t>-0.360544218</w:t>
            </w:r>
          </w:p>
        </w:tc>
        <w:tc>
          <w:tcPr>
            <w:tcW w:w="2218" w:type="dxa"/>
            <w:shd w:val="clear" w:color="auto" w:fill="auto"/>
            <w:noWrap/>
            <w:vAlign w:val="center"/>
            <w:hideMark/>
          </w:tcPr>
          <w:p w14:paraId="22D9480F" w14:textId="77777777" w:rsidR="00344F3B" w:rsidRPr="002C21B8" w:rsidRDefault="00344F3B" w:rsidP="00EB0FFD">
            <w:pPr>
              <w:spacing w:after="0" w:line="240" w:lineRule="auto"/>
              <w:rPr>
                <w:sz w:val="18"/>
                <w:szCs w:val="18"/>
              </w:rPr>
            </w:pPr>
            <w:r w:rsidRPr="002C21B8">
              <w:rPr>
                <w:sz w:val="18"/>
                <w:szCs w:val="18"/>
              </w:rPr>
              <w:t>0.359220098</w:t>
            </w:r>
          </w:p>
        </w:tc>
        <w:tc>
          <w:tcPr>
            <w:tcW w:w="1688" w:type="dxa"/>
            <w:shd w:val="clear" w:color="auto" w:fill="auto"/>
            <w:vAlign w:val="center"/>
            <w:hideMark/>
          </w:tcPr>
          <w:p w14:paraId="04AE268B" w14:textId="77777777" w:rsidR="00344F3B" w:rsidRPr="002C21B8" w:rsidRDefault="00344F3B" w:rsidP="00EB0FFD">
            <w:pPr>
              <w:spacing w:after="0" w:line="240" w:lineRule="auto"/>
              <w:rPr>
                <w:sz w:val="18"/>
                <w:szCs w:val="18"/>
              </w:rPr>
            </w:pPr>
            <w:r w:rsidRPr="002C21B8">
              <w:rPr>
                <w:sz w:val="18"/>
                <w:szCs w:val="18"/>
              </w:rPr>
              <w:t>64.08%</w:t>
            </w:r>
          </w:p>
        </w:tc>
      </w:tr>
      <w:tr w:rsidR="00344F3B" w:rsidRPr="002C21B8" w14:paraId="06A1FB32" w14:textId="77777777" w:rsidTr="00EB0FFD">
        <w:trPr>
          <w:trHeight w:val="300"/>
        </w:trPr>
        <w:tc>
          <w:tcPr>
            <w:tcW w:w="850" w:type="dxa"/>
            <w:shd w:val="clear" w:color="auto" w:fill="auto"/>
            <w:vAlign w:val="center"/>
            <w:hideMark/>
          </w:tcPr>
          <w:p w14:paraId="08DDC703" w14:textId="77777777" w:rsidR="00344F3B" w:rsidRPr="002C21B8" w:rsidRDefault="00344F3B" w:rsidP="00EB0FFD">
            <w:pPr>
              <w:spacing w:after="0" w:line="240" w:lineRule="auto"/>
              <w:rPr>
                <w:sz w:val="18"/>
                <w:szCs w:val="18"/>
              </w:rPr>
            </w:pPr>
            <w:r w:rsidRPr="002C21B8">
              <w:rPr>
                <w:sz w:val="18"/>
                <w:szCs w:val="18"/>
              </w:rPr>
              <w:t>13</w:t>
            </w:r>
          </w:p>
        </w:tc>
        <w:tc>
          <w:tcPr>
            <w:tcW w:w="791" w:type="dxa"/>
            <w:shd w:val="clear" w:color="auto" w:fill="auto"/>
            <w:noWrap/>
            <w:vAlign w:val="center"/>
            <w:hideMark/>
          </w:tcPr>
          <w:p w14:paraId="3F2879A9"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0ED00B62"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5E5170E9"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75659154"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548538ED"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15E5CE37" w14:textId="77777777" w:rsidR="00344F3B" w:rsidRPr="002C21B8" w:rsidRDefault="00344F3B" w:rsidP="00EB0FFD">
            <w:pPr>
              <w:spacing w:after="0" w:line="240" w:lineRule="auto"/>
              <w:rPr>
                <w:sz w:val="18"/>
                <w:szCs w:val="18"/>
              </w:rPr>
            </w:pPr>
            <w:r w:rsidRPr="002C21B8">
              <w:rPr>
                <w:sz w:val="18"/>
                <w:szCs w:val="18"/>
              </w:rPr>
              <w:t>2.938461538</w:t>
            </w:r>
          </w:p>
        </w:tc>
        <w:tc>
          <w:tcPr>
            <w:tcW w:w="1254" w:type="dxa"/>
            <w:shd w:val="clear" w:color="auto" w:fill="auto"/>
            <w:vAlign w:val="center"/>
            <w:hideMark/>
          </w:tcPr>
          <w:p w14:paraId="2C24DFF6" w14:textId="77777777" w:rsidR="00344F3B" w:rsidRPr="002C21B8" w:rsidRDefault="00344F3B" w:rsidP="00EB0FFD">
            <w:pPr>
              <w:spacing w:after="0" w:line="240" w:lineRule="auto"/>
              <w:rPr>
                <w:sz w:val="18"/>
                <w:szCs w:val="18"/>
              </w:rPr>
            </w:pPr>
            <w:r w:rsidRPr="002C21B8">
              <w:rPr>
                <w:sz w:val="18"/>
                <w:szCs w:val="18"/>
              </w:rPr>
              <w:t>-0.383259598</w:t>
            </w:r>
          </w:p>
        </w:tc>
        <w:tc>
          <w:tcPr>
            <w:tcW w:w="2218" w:type="dxa"/>
            <w:shd w:val="clear" w:color="auto" w:fill="auto"/>
            <w:noWrap/>
            <w:vAlign w:val="center"/>
            <w:hideMark/>
          </w:tcPr>
          <w:p w14:paraId="1DB09AE3" w14:textId="77777777" w:rsidR="00344F3B" w:rsidRPr="002C21B8" w:rsidRDefault="00344F3B" w:rsidP="00EB0FFD">
            <w:pPr>
              <w:spacing w:after="0" w:line="240" w:lineRule="auto"/>
              <w:rPr>
                <w:sz w:val="18"/>
                <w:szCs w:val="18"/>
              </w:rPr>
            </w:pPr>
            <w:r w:rsidRPr="002C21B8">
              <w:rPr>
                <w:sz w:val="18"/>
                <w:szCs w:val="18"/>
              </w:rPr>
              <w:t>0.350763646</w:t>
            </w:r>
          </w:p>
        </w:tc>
        <w:tc>
          <w:tcPr>
            <w:tcW w:w="1688" w:type="dxa"/>
            <w:shd w:val="clear" w:color="auto" w:fill="auto"/>
            <w:vAlign w:val="center"/>
            <w:hideMark/>
          </w:tcPr>
          <w:p w14:paraId="1B32CAFD" w14:textId="77777777" w:rsidR="00344F3B" w:rsidRPr="002C21B8" w:rsidRDefault="00344F3B" w:rsidP="00EB0FFD">
            <w:pPr>
              <w:spacing w:after="0" w:line="240" w:lineRule="auto"/>
              <w:rPr>
                <w:sz w:val="18"/>
                <w:szCs w:val="18"/>
              </w:rPr>
            </w:pPr>
            <w:r w:rsidRPr="002C21B8">
              <w:rPr>
                <w:sz w:val="18"/>
                <w:szCs w:val="18"/>
              </w:rPr>
              <w:t>64.92%</w:t>
            </w:r>
          </w:p>
        </w:tc>
      </w:tr>
      <w:tr w:rsidR="00344F3B" w:rsidRPr="002C21B8" w14:paraId="0A55DC0D" w14:textId="77777777" w:rsidTr="00EB0FFD">
        <w:trPr>
          <w:trHeight w:val="300"/>
        </w:trPr>
        <w:tc>
          <w:tcPr>
            <w:tcW w:w="850" w:type="dxa"/>
            <w:shd w:val="clear" w:color="auto" w:fill="auto"/>
            <w:vAlign w:val="center"/>
            <w:hideMark/>
          </w:tcPr>
          <w:p w14:paraId="0F2E51E2" w14:textId="77777777" w:rsidR="00344F3B" w:rsidRPr="002C21B8" w:rsidRDefault="00344F3B" w:rsidP="00EB0FFD">
            <w:pPr>
              <w:spacing w:after="0" w:line="240" w:lineRule="auto"/>
              <w:rPr>
                <w:sz w:val="18"/>
                <w:szCs w:val="18"/>
              </w:rPr>
            </w:pPr>
            <w:r w:rsidRPr="002C21B8">
              <w:rPr>
                <w:sz w:val="18"/>
                <w:szCs w:val="18"/>
              </w:rPr>
              <w:t>14</w:t>
            </w:r>
          </w:p>
        </w:tc>
        <w:tc>
          <w:tcPr>
            <w:tcW w:w="791" w:type="dxa"/>
            <w:shd w:val="clear" w:color="auto" w:fill="auto"/>
            <w:noWrap/>
            <w:vAlign w:val="center"/>
            <w:hideMark/>
          </w:tcPr>
          <w:p w14:paraId="7F07FEB9"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70C4052D"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2B0786DC"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ACD74F8"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170D4023"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726243B9" w14:textId="77777777" w:rsidR="00344F3B" w:rsidRPr="002C21B8" w:rsidRDefault="00344F3B" w:rsidP="00EB0FFD">
            <w:pPr>
              <w:spacing w:after="0" w:line="240" w:lineRule="auto"/>
              <w:rPr>
                <w:sz w:val="18"/>
                <w:szCs w:val="18"/>
              </w:rPr>
            </w:pPr>
            <w:r w:rsidRPr="002C21B8">
              <w:rPr>
                <w:sz w:val="18"/>
                <w:szCs w:val="18"/>
              </w:rPr>
              <w:t>2.728571429</w:t>
            </w:r>
          </w:p>
        </w:tc>
        <w:tc>
          <w:tcPr>
            <w:tcW w:w="1254" w:type="dxa"/>
            <w:shd w:val="clear" w:color="auto" w:fill="auto"/>
            <w:vAlign w:val="center"/>
            <w:hideMark/>
          </w:tcPr>
          <w:p w14:paraId="3ECCF536" w14:textId="77777777" w:rsidR="00344F3B" w:rsidRPr="002C21B8" w:rsidRDefault="00344F3B" w:rsidP="00EB0FFD">
            <w:pPr>
              <w:spacing w:after="0" w:line="240" w:lineRule="auto"/>
              <w:rPr>
                <w:sz w:val="18"/>
                <w:szCs w:val="18"/>
              </w:rPr>
            </w:pPr>
            <w:r w:rsidRPr="002C21B8">
              <w:rPr>
                <w:sz w:val="18"/>
                <w:szCs w:val="18"/>
              </w:rPr>
              <w:t>-0.402729923</w:t>
            </w:r>
          </w:p>
        </w:tc>
        <w:tc>
          <w:tcPr>
            <w:tcW w:w="2218" w:type="dxa"/>
            <w:shd w:val="clear" w:color="auto" w:fill="auto"/>
            <w:noWrap/>
            <w:vAlign w:val="center"/>
            <w:hideMark/>
          </w:tcPr>
          <w:p w14:paraId="57E7ECC3" w14:textId="77777777" w:rsidR="00344F3B" w:rsidRPr="002C21B8" w:rsidRDefault="00344F3B" w:rsidP="00EB0FFD">
            <w:pPr>
              <w:spacing w:after="0" w:line="240" w:lineRule="auto"/>
              <w:rPr>
                <w:sz w:val="18"/>
                <w:szCs w:val="18"/>
              </w:rPr>
            </w:pPr>
            <w:r w:rsidRPr="002C21B8">
              <w:rPr>
                <w:sz w:val="18"/>
                <w:szCs w:val="18"/>
              </w:rPr>
              <w:t>0.343573459</w:t>
            </w:r>
          </w:p>
        </w:tc>
        <w:tc>
          <w:tcPr>
            <w:tcW w:w="1688" w:type="dxa"/>
            <w:shd w:val="clear" w:color="auto" w:fill="auto"/>
            <w:vAlign w:val="center"/>
            <w:hideMark/>
          </w:tcPr>
          <w:p w14:paraId="7772CE00" w14:textId="77777777" w:rsidR="00344F3B" w:rsidRPr="002C21B8" w:rsidRDefault="00344F3B" w:rsidP="00EB0FFD">
            <w:pPr>
              <w:spacing w:after="0" w:line="240" w:lineRule="auto"/>
              <w:rPr>
                <w:sz w:val="18"/>
                <w:szCs w:val="18"/>
              </w:rPr>
            </w:pPr>
            <w:r w:rsidRPr="002C21B8">
              <w:rPr>
                <w:sz w:val="18"/>
                <w:szCs w:val="18"/>
              </w:rPr>
              <w:t>65.64%</w:t>
            </w:r>
          </w:p>
        </w:tc>
      </w:tr>
      <w:tr w:rsidR="00344F3B" w:rsidRPr="002C21B8" w14:paraId="0BD5BEB7" w14:textId="77777777" w:rsidTr="00EB0FFD">
        <w:trPr>
          <w:trHeight w:val="300"/>
        </w:trPr>
        <w:tc>
          <w:tcPr>
            <w:tcW w:w="850" w:type="dxa"/>
            <w:shd w:val="clear" w:color="auto" w:fill="auto"/>
            <w:vAlign w:val="center"/>
            <w:hideMark/>
          </w:tcPr>
          <w:p w14:paraId="1AE7908D" w14:textId="77777777" w:rsidR="00344F3B" w:rsidRPr="002C21B8" w:rsidRDefault="00344F3B" w:rsidP="00EB0FFD">
            <w:pPr>
              <w:spacing w:after="0" w:line="240" w:lineRule="auto"/>
              <w:rPr>
                <w:sz w:val="18"/>
                <w:szCs w:val="18"/>
              </w:rPr>
            </w:pPr>
            <w:r w:rsidRPr="002C21B8">
              <w:rPr>
                <w:sz w:val="18"/>
                <w:szCs w:val="18"/>
              </w:rPr>
              <w:t>15</w:t>
            </w:r>
          </w:p>
        </w:tc>
        <w:tc>
          <w:tcPr>
            <w:tcW w:w="791" w:type="dxa"/>
            <w:shd w:val="clear" w:color="auto" w:fill="auto"/>
            <w:noWrap/>
            <w:vAlign w:val="center"/>
            <w:hideMark/>
          </w:tcPr>
          <w:p w14:paraId="40A1430B"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0595E453"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62650A22"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942AD37"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6DFC0246"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77F03BD3" w14:textId="77777777" w:rsidR="00344F3B" w:rsidRPr="002C21B8" w:rsidRDefault="00344F3B" w:rsidP="00EB0FFD">
            <w:pPr>
              <w:spacing w:after="0" w:line="240" w:lineRule="auto"/>
              <w:rPr>
                <w:sz w:val="18"/>
                <w:szCs w:val="18"/>
              </w:rPr>
            </w:pPr>
            <w:r w:rsidRPr="002C21B8">
              <w:rPr>
                <w:sz w:val="18"/>
                <w:szCs w:val="18"/>
              </w:rPr>
              <w:t>2.546666667</w:t>
            </w:r>
          </w:p>
        </w:tc>
        <w:tc>
          <w:tcPr>
            <w:tcW w:w="1254" w:type="dxa"/>
            <w:shd w:val="clear" w:color="auto" w:fill="auto"/>
            <w:vAlign w:val="center"/>
            <w:hideMark/>
          </w:tcPr>
          <w:p w14:paraId="56340C5B" w14:textId="77777777" w:rsidR="00344F3B" w:rsidRPr="002C21B8" w:rsidRDefault="00344F3B" w:rsidP="00EB0FFD">
            <w:pPr>
              <w:spacing w:after="0" w:line="240" w:lineRule="auto"/>
              <w:rPr>
                <w:sz w:val="18"/>
                <w:szCs w:val="18"/>
              </w:rPr>
            </w:pPr>
            <w:r w:rsidRPr="002C21B8">
              <w:rPr>
                <w:sz w:val="18"/>
                <w:szCs w:val="18"/>
              </w:rPr>
              <w:t>-0.419604205</w:t>
            </w:r>
          </w:p>
        </w:tc>
        <w:tc>
          <w:tcPr>
            <w:tcW w:w="2218" w:type="dxa"/>
            <w:shd w:val="clear" w:color="auto" w:fill="auto"/>
            <w:noWrap/>
            <w:vAlign w:val="center"/>
            <w:hideMark/>
          </w:tcPr>
          <w:p w14:paraId="25CADEE5" w14:textId="77777777" w:rsidR="00344F3B" w:rsidRPr="002C21B8" w:rsidRDefault="00344F3B" w:rsidP="00EB0FFD">
            <w:pPr>
              <w:spacing w:after="0" w:line="240" w:lineRule="auto"/>
              <w:rPr>
                <w:sz w:val="18"/>
                <w:szCs w:val="18"/>
              </w:rPr>
            </w:pPr>
            <w:r w:rsidRPr="002C21B8">
              <w:rPr>
                <w:sz w:val="18"/>
                <w:szCs w:val="18"/>
              </w:rPr>
              <w:t>0.337387308</w:t>
            </w:r>
          </w:p>
        </w:tc>
        <w:tc>
          <w:tcPr>
            <w:tcW w:w="1688" w:type="dxa"/>
            <w:shd w:val="clear" w:color="auto" w:fill="auto"/>
            <w:vAlign w:val="center"/>
            <w:hideMark/>
          </w:tcPr>
          <w:p w14:paraId="72D5B6E1" w14:textId="77777777" w:rsidR="00344F3B" w:rsidRPr="002C21B8" w:rsidRDefault="00344F3B" w:rsidP="00EB0FFD">
            <w:pPr>
              <w:spacing w:after="0" w:line="240" w:lineRule="auto"/>
              <w:rPr>
                <w:sz w:val="18"/>
                <w:szCs w:val="18"/>
              </w:rPr>
            </w:pPr>
            <w:r w:rsidRPr="002C21B8">
              <w:rPr>
                <w:sz w:val="18"/>
                <w:szCs w:val="18"/>
              </w:rPr>
              <w:t>66.26%</w:t>
            </w:r>
          </w:p>
        </w:tc>
      </w:tr>
      <w:tr w:rsidR="00344F3B" w:rsidRPr="002C21B8" w14:paraId="07B7A600" w14:textId="77777777" w:rsidTr="00EB0FFD">
        <w:trPr>
          <w:trHeight w:val="300"/>
        </w:trPr>
        <w:tc>
          <w:tcPr>
            <w:tcW w:w="850" w:type="dxa"/>
            <w:shd w:val="clear" w:color="auto" w:fill="auto"/>
            <w:noWrap/>
            <w:vAlign w:val="center"/>
            <w:hideMark/>
          </w:tcPr>
          <w:p w14:paraId="22023864" w14:textId="77777777" w:rsidR="00344F3B" w:rsidRPr="002C21B8" w:rsidRDefault="00344F3B" w:rsidP="00EB0FFD">
            <w:pPr>
              <w:spacing w:after="0" w:line="240" w:lineRule="auto"/>
              <w:rPr>
                <w:sz w:val="18"/>
                <w:szCs w:val="18"/>
              </w:rPr>
            </w:pPr>
            <w:r w:rsidRPr="002C21B8">
              <w:rPr>
                <w:sz w:val="18"/>
                <w:szCs w:val="18"/>
              </w:rPr>
              <w:t>5.40</w:t>
            </w:r>
          </w:p>
        </w:tc>
        <w:tc>
          <w:tcPr>
            <w:tcW w:w="791" w:type="dxa"/>
            <w:shd w:val="clear" w:color="auto" w:fill="auto"/>
            <w:noWrap/>
            <w:vAlign w:val="center"/>
            <w:hideMark/>
          </w:tcPr>
          <w:p w14:paraId="4A3A19DC" w14:textId="77777777" w:rsidR="00344F3B" w:rsidRPr="002C21B8" w:rsidRDefault="00344F3B" w:rsidP="00EB0FFD">
            <w:pPr>
              <w:spacing w:after="0" w:line="240" w:lineRule="auto"/>
              <w:rPr>
                <w:sz w:val="18"/>
                <w:szCs w:val="18"/>
              </w:rPr>
            </w:pPr>
            <w:r w:rsidRPr="002C21B8">
              <w:rPr>
                <w:sz w:val="18"/>
                <w:szCs w:val="18"/>
              </w:rPr>
              <w:t>47.5</w:t>
            </w:r>
          </w:p>
        </w:tc>
        <w:tc>
          <w:tcPr>
            <w:tcW w:w="850" w:type="dxa"/>
            <w:shd w:val="clear" w:color="auto" w:fill="auto"/>
            <w:noWrap/>
            <w:vAlign w:val="center"/>
            <w:hideMark/>
          </w:tcPr>
          <w:p w14:paraId="31FEFC57" w14:textId="77777777" w:rsidR="00344F3B" w:rsidRPr="002C21B8" w:rsidRDefault="00344F3B" w:rsidP="00EB0FFD">
            <w:pPr>
              <w:spacing w:after="0" w:line="240" w:lineRule="auto"/>
              <w:rPr>
                <w:sz w:val="18"/>
                <w:szCs w:val="18"/>
              </w:rPr>
            </w:pPr>
            <w:r w:rsidRPr="002C21B8">
              <w:rPr>
                <w:sz w:val="18"/>
                <w:szCs w:val="18"/>
              </w:rPr>
              <w:t>9.3</w:t>
            </w:r>
          </w:p>
        </w:tc>
        <w:tc>
          <w:tcPr>
            <w:tcW w:w="1967" w:type="dxa"/>
            <w:shd w:val="clear" w:color="auto" w:fill="auto"/>
            <w:vAlign w:val="center"/>
            <w:hideMark/>
          </w:tcPr>
          <w:p w14:paraId="1E237345" w14:textId="77777777" w:rsidR="00344F3B" w:rsidRPr="002C21B8" w:rsidRDefault="00344F3B" w:rsidP="00EB0FFD">
            <w:pPr>
              <w:spacing w:after="0" w:line="240" w:lineRule="auto"/>
              <w:rPr>
                <w:sz w:val="18"/>
                <w:szCs w:val="18"/>
              </w:rPr>
            </w:pPr>
            <w:r w:rsidRPr="002C21B8">
              <w:rPr>
                <w:sz w:val="18"/>
                <w:szCs w:val="18"/>
              </w:rPr>
              <w:t>38.2</w:t>
            </w:r>
          </w:p>
        </w:tc>
        <w:tc>
          <w:tcPr>
            <w:tcW w:w="1683" w:type="dxa"/>
            <w:shd w:val="clear" w:color="auto" w:fill="auto"/>
            <w:vAlign w:val="center"/>
            <w:hideMark/>
          </w:tcPr>
          <w:p w14:paraId="5109D37D" w14:textId="77777777" w:rsidR="00344F3B" w:rsidRPr="002C21B8" w:rsidRDefault="00344F3B" w:rsidP="00EB0FFD">
            <w:pPr>
              <w:spacing w:after="0" w:line="240" w:lineRule="auto"/>
              <w:rPr>
                <w:sz w:val="18"/>
                <w:szCs w:val="18"/>
              </w:rPr>
            </w:pPr>
            <w:r w:rsidRPr="002C21B8">
              <w:rPr>
                <w:sz w:val="18"/>
                <w:szCs w:val="18"/>
              </w:rPr>
              <w:t>7.07</w:t>
            </w:r>
          </w:p>
        </w:tc>
        <w:tc>
          <w:tcPr>
            <w:tcW w:w="1545" w:type="dxa"/>
            <w:shd w:val="clear" w:color="auto" w:fill="auto"/>
            <w:vAlign w:val="center"/>
            <w:hideMark/>
          </w:tcPr>
          <w:p w14:paraId="01034FCF" w14:textId="77777777" w:rsidR="00344F3B" w:rsidRPr="002C21B8" w:rsidRDefault="00344F3B" w:rsidP="00EB0FFD">
            <w:pPr>
              <w:spacing w:after="0" w:line="240" w:lineRule="auto"/>
              <w:rPr>
                <w:sz w:val="18"/>
                <w:szCs w:val="18"/>
              </w:rPr>
            </w:pPr>
            <w:r w:rsidRPr="002C21B8">
              <w:rPr>
                <w:sz w:val="18"/>
                <w:szCs w:val="18"/>
              </w:rPr>
              <w:t>10.78</w:t>
            </w:r>
          </w:p>
        </w:tc>
        <w:tc>
          <w:tcPr>
            <w:tcW w:w="1201" w:type="dxa"/>
            <w:shd w:val="clear" w:color="auto" w:fill="auto"/>
            <w:vAlign w:val="center"/>
            <w:hideMark/>
          </w:tcPr>
          <w:p w14:paraId="7719732A" w14:textId="77777777" w:rsidR="00344F3B" w:rsidRPr="002C21B8" w:rsidRDefault="00344F3B" w:rsidP="00EB0FFD">
            <w:pPr>
              <w:spacing w:after="0" w:line="240" w:lineRule="auto"/>
              <w:rPr>
                <w:sz w:val="18"/>
                <w:szCs w:val="18"/>
              </w:rPr>
            </w:pPr>
            <w:r w:rsidRPr="002C21B8">
              <w:rPr>
                <w:sz w:val="18"/>
                <w:szCs w:val="18"/>
              </w:rPr>
              <w:t>7.07</w:t>
            </w:r>
          </w:p>
        </w:tc>
        <w:tc>
          <w:tcPr>
            <w:tcW w:w="1254" w:type="dxa"/>
            <w:shd w:val="clear" w:color="auto" w:fill="auto"/>
            <w:vAlign w:val="center"/>
            <w:hideMark/>
          </w:tcPr>
          <w:p w14:paraId="26641097" w14:textId="77777777" w:rsidR="00344F3B" w:rsidRPr="002C21B8" w:rsidRDefault="00344F3B" w:rsidP="00EB0FFD">
            <w:pPr>
              <w:spacing w:after="0" w:line="240" w:lineRule="auto"/>
              <w:rPr>
                <w:sz w:val="18"/>
                <w:szCs w:val="18"/>
              </w:rPr>
            </w:pPr>
            <w:r w:rsidRPr="002C21B8">
              <w:rPr>
                <w:sz w:val="18"/>
                <w:szCs w:val="18"/>
              </w:rPr>
              <w:t>0</w:t>
            </w:r>
          </w:p>
        </w:tc>
        <w:tc>
          <w:tcPr>
            <w:tcW w:w="2218" w:type="dxa"/>
            <w:shd w:val="clear" w:color="auto" w:fill="auto"/>
            <w:noWrap/>
            <w:vAlign w:val="center"/>
            <w:hideMark/>
          </w:tcPr>
          <w:p w14:paraId="67DD394F" w14:textId="77777777" w:rsidR="00344F3B" w:rsidRPr="002C21B8" w:rsidRDefault="00344F3B" w:rsidP="00EB0FFD">
            <w:pPr>
              <w:spacing w:after="0" w:line="240" w:lineRule="auto"/>
              <w:rPr>
                <w:sz w:val="18"/>
                <w:szCs w:val="18"/>
              </w:rPr>
            </w:pPr>
            <w:r w:rsidRPr="002C21B8">
              <w:rPr>
                <w:sz w:val="18"/>
                <w:szCs w:val="18"/>
              </w:rPr>
              <w:t>0.5</w:t>
            </w:r>
          </w:p>
        </w:tc>
        <w:tc>
          <w:tcPr>
            <w:tcW w:w="1688" w:type="dxa"/>
            <w:shd w:val="clear" w:color="auto" w:fill="auto"/>
            <w:vAlign w:val="center"/>
            <w:hideMark/>
          </w:tcPr>
          <w:p w14:paraId="2CEC7E57" w14:textId="77777777" w:rsidR="00344F3B" w:rsidRPr="002C21B8" w:rsidRDefault="00344F3B" w:rsidP="00EB0FFD">
            <w:pPr>
              <w:spacing w:after="0" w:line="240" w:lineRule="auto"/>
              <w:rPr>
                <w:sz w:val="18"/>
                <w:szCs w:val="18"/>
              </w:rPr>
            </w:pPr>
            <w:r w:rsidRPr="002C21B8">
              <w:rPr>
                <w:sz w:val="18"/>
                <w:szCs w:val="18"/>
              </w:rPr>
              <w:t>50.00%</w:t>
            </w:r>
          </w:p>
        </w:tc>
      </w:tr>
    </w:tbl>
    <w:p w14:paraId="2B681209" w14:textId="77777777" w:rsidR="00344F3B" w:rsidRPr="002C21B8" w:rsidRDefault="00344F3B" w:rsidP="00344F3B">
      <w:pPr>
        <w:rPr>
          <w:rFonts w:eastAsiaTheme="majorEastAsia"/>
          <w:color w:val="000000" w:themeColor="text1"/>
          <w:sz w:val="28"/>
          <w:szCs w:val="28"/>
        </w:rPr>
      </w:pPr>
      <w:r w:rsidRPr="002C21B8">
        <w:br w:type="page"/>
      </w:r>
    </w:p>
    <w:p w14:paraId="5288BA69" w14:textId="77777777"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Cohort-level simulation of eGFR decline, kidney failure risk and treatment effect</w:t>
      </w:r>
    </w:p>
    <w:tbl>
      <w:tblPr>
        <w:tblW w:w="1466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16"/>
        <w:gridCol w:w="671"/>
        <w:gridCol w:w="834"/>
        <w:gridCol w:w="740"/>
        <w:gridCol w:w="1020"/>
        <w:gridCol w:w="907"/>
        <w:gridCol w:w="602"/>
        <w:gridCol w:w="964"/>
        <w:gridCol w:w="964"/>
        <w:gridCol w:w="882"/>
        <w:gridCol w:w="710"/>
        <w:gridCol w:w="1020"/>
        <w:gridCol w:w="907"/>
        <w:gridCol w:w="1191"/>
        <w:gridCol w:w="1191"/>
        <w:gridCol w:w="708"/>
        <w:gridCol w:w="1077"/>
      </w:tblGrid>
      <w:tr w:rsidR="00344F3B" w:rsidRPr="002C21B8" w14:paraId="5222A3CF" w14:textId="77777777" w:rsidTr="00EB0FFD">
        <w:trPr>
          <w:trHeight w:val="283"/>
        </w:trPr>
        <w:tc>
          <w:tcPr>
            <w:tcW w:w="441" w:type="dxa"/>
            <w:noWrap/>
            <w:vAlign w:val="center"/>
            <w:hideMark/>
          </w:tcPr>
          <w:p w14:paraId="6264317F" w14:textId="77777777" w:rsidR="00344F3B" w:rsidRPr="002C21B8" w:rsidRDefault="00344F3B" w:rsidP="00EB0FFD">
            <w:pPr>
              <w:spacing w:after="120" w:line="240" w:lineRule="auto"/>
              <w:rPr>
                <w:b/>
                <w:bCs/>
                <w:sz w:val="16"/>
                <w:szCs w:val="16"/>
              </w:rPr>
            </w:pPr>
            <w:r w:rsidRPr="002C21B8">
              <w:rPr>
                <w:b/>
                <w:bCs/>
                <w:sz w:val="16"/>
                <w:szCs w:val="16"/>
              </w:rPr>
              <w:t>Year</w:t>
            </w:r>
          </w:p>
        </w:tc>
        <w:tc>
          <w:tcPr>
            <w:tcW w:w="558" w:type="dxa"/>
            <w:noWrap/>
            <w:vAlign w:val="center"/>
            <w:hideMark/>
          </w:tcPr>
          <w:p w14:paraId="38CBCFCC" w14:textId="77777777" w:rsidR="00344F3B" w:rsidRPr="002C21B8" w:rsidRDefault="00344F3B" w:rsidP="00EB0FFD">
            <w:pPr>
              <w:spacing w:after="120" w:line="240" w:lineRule="auto"/>
              <w:rPr>
                <w:b/>
                <w:bCs/>
                <w:sz w:val="16"/>
                <w:szCs w:val="16"/>
              </w:rPr>
            </w:pPr>
            <w:r w:rsidRPr="002C21B8">
              <w:rPr>
                <w:b/>
                <w:bCs/>
                <w:sz w:val="16"/>
                <w:szCs w:val="16"/>
              </w:rPr>
              <w:t>Cohort</w:t>
            </w:r>
          </w:p>
        </w:tc>
        <w:tc>
          <w:tcPr>
            <w:tcW w:w="1146" w:type="dxa"/>
            <w:vAlign w:val="center"/>
          </w:tcPr>
          <w:p w14:paraId="7DEF85D8" w14:textId="77777777" w:rsidR="00344F3B" w:rsidRPr="002C21B8" w:rsidRDefault="00344F3B" w:rsidP="00EB0FFD">
            <w:pPr>
              <w:spacing w:after="120" w:line="240" w:lineRule="auto"/>
              <w:rPr>
                <w:b/>
                <w:bCs/>
                <w:sz w:val="16"/>
                <w:szCs w:val="16"/>
              </w:rPr>
            </w:pPr>
            <w:r w:rsidRPr="002C21B8">
              <w:rPr>
                <w:b/>
                <w:bCs/>
                <w:sz w:val="16"/>
                <w:szCs w:val="16"/>
              </w:rPr>
              <w:t>Adjusted for 1.84% annual mortality</w:t>
            </w:r>
          </w:p>
        </w:tc>
        <w:tc>
          <w:tcPr>
            <w:tcW w:w="624" w:type="dxa"/>
            <w:noWrap/>
            <w:vAlign w:val="center"/>
            <w:hideMark/>
          </w:tcPr>
          <w:p w14:paraId="68EEAD45" w14:textId="77777777" w:rsidR="00344F3B" w:rsidRPr="002C21B8" w:rsidRDefault="00344F3B" w:rsidP="00EB0FFD">
            <w:pPr>
              <w:spacing w:after="120" w:line="240" w:lineRule="auto"/>
              <w:rPr>
                <w:b/>
                <w:bCs/>
                <w:sz w:val="16"/>
                <w:szCs w:val="16"/>
              </w:rPr>
            </w:pPr>
            <w:r w:rsidRPr="002C21B8">
              <w:rPr>
                <w:b/>
                <w:bCs/>
                <w:sz w:val="16"/>
                <w:szCs w:val="16"/>
              </w:rPr>
              <w:t>Starting eGFR</w:t>
            </w:r>
          </w:p>
        </w:tc>
        <w:tc>
          <w:tcPr>
            <w:tcW w:w="1020" w:type="dxa"/>
            <w:noWrap/>
            <w:vAlign w:val="center"/>
            <w:hideMark/>
          </w:tcPr>
          <w:p w14:paraId="277A2F5F" w14:textId="77777777" w:rsidR="00344F3B" w:rsidRPr="002C21B8" w:rsidRDefault="00344F3B" w:rsidP="00EB0FFD">
            <w:pPr>
              <w:spacing w:after="120" w:line="240" w:lineRule="auto"/>
              <w:rPr>
                <w:b/>
                <w:bCs/>
                <w:sz w:val="16"/>
                <w:szCs w:val="16"/>
              </w:rPr>
            </w:pPr>
            <w:r w:rsidRPr="002C21B8">
              <w:rPr>
                <w:b/>
                <w:bCs/>
                <w:sz w:val="16"/>
                <w:szCs w:val="16"/>
              </w:rPr>
              <w:t>Annual decline eGFR mean (sd)</w:t>
            </w:r>
          </w:p>
        </w:tc>
        <w:tc>
          <w:tcPr>
            <w:tcW w:w="907" w:type="dxa"/>
            <w:noWrap/>
            <w:vAlign w:val="center"/>
            <w:hideMark/>
          </w:tcPr>
          <w:p w14:paraId="15781A4B" w14:textId="77777777" w:rsidR="00344F3B" w:rsidRPr="002C21B8" w:rsidRDefault="00344F3B" w:rsidP="00EB0FFD">
            <w:pPr>
              <w:spacing w:after="120" w:line="240" w:lineRule="auto"/>
              <w:rPr>
                <w:b/>
                <w:bCs/>
                <w:sz w:val="16"/>
                <w:szCs w:val="16"/>
              </w:rPr>
            </w:pPr>
            <w:r w:rsidRPr="002C21B8">
              <w:rPr>
                <w:b/>
                <w:bCs/>
                <w:sz w:val="16"/>
                <w:szCs w:val="16"/>
              </w:rPr>
              <w:t>Starting eGFR for HD</w:t>
            </w:r>
          </w:p>
        </w:tc>
        <w:tc>
          <w:tcPr>
            <w:tcW w:w="510" w:type="dxa"/>
            <w:noWrap/>
            <w:vAlign w:val="center"/>
            <w:hideMark/>
          </w:tcPr>
          <w:p w14:paraId="3B956D5D" w14:textId="77777777" w:rsidR="00344F3B" w:rsidRPr="002C21B8" w:rsidRDefault="00344F3B" w:rsidP="00EB0FFD">
            <w:pPr>
              <w:spacing w:after="120" w:line="240" w:lineRule="auto"/>
              <w:rPr>
                <w:b/>
                <w:bCs/>
                <w:sz w:val="16"/>
                <w:szCs w:val="16"/>
              </w:rPr>
            </w:pPr>
            <w:r w:rsidRPr="002C21B8">
              <w:rPr>
                <w:b/>
                <w:bCs/>
                <w:sz w:val="16"/>
                <w:szCs w:val="16"/>
              </w:rPr>
              <w:t>Mean effect</w:t>
            </w:r>
          </w:p>
        </w:tc>
        <w:tc>
          <w:tcPr>
            <w:tcW w:w="964" w:type="dxa"/>
            <w:noWrap/>
            <w:vAlign w:val="center"/>
            <w:hideMark/>
          </w:tcPr>
          <w:p w14:paraId="6E915283" w14:textId="77777777" w:rsidR="00344F3B" w:rsidRPr="002C21B8" w:rsidRDefault="00344F3B" w:rsidP="00EB0FFD">
            <w:pPr>
              <w:spacing w:after="120" w:line="240" w:lineRule="auto"/>
              <w:rPr>
                <w:b/>
                <w:bCs/>
                <w:sz w:val="16"/>
                <w:szCs w:val="16"/>
              </w:rPr>
            </w:pPr>
            <w:r w:rsidRPr="002C21B8">
              <w:rPr>
                <w:b/>
                <w:bCs/>
                <w:sz w:val="16"/>
                <w:szCs w:val="16"/>
              </w:rPr>
              <w:t>Expected eGFR untreated</w:t>
            </w:r>
          </w:p>
        </w:tc>
        <w:tc>
          <w:tcPr>
            <w:tcW w:w="964" w:type="dxa"/>
            <w:noWrap/>
            <w:vAlign w:val="center"/>
            <w:hideMark/>
          </w:tcPr>
          <w:p w14:paraId="5817619A" w14:textId="77777777" w:rsidR="00344F3B" w:rsidRPr="002C21B8" w:rsidRDefault="00344F3B" w:rsidP="00EB0FFD">
            <w:pPr>
              <w:spacing w:after="120" w:line="240" w:lineRule="auto"/>
              <w:rPr>
                <w:b/>
                <w:bCs/>
                <w:sz w:val="16"/>
                <w:szCs w:val="16"/>
              </w:rPr>
            </w:pPr>
            <w:r w:rsidRPr="002C21B8">
              <w:rPr>
                <w:b/>
                <w:bCs/>
                <w:sz w:val="16"/>
                <w:szCs w:val="16"/>
              </w:rPr>
              <w:t>Expected eGFR treated</w:t>
            </w:r>
          </w:p>
        </w:tc>
        <w:tc>
          <w:tcPr>
            <w:tcW w:w="850" w:type="dxa"/>
            <w:noWrap/>
            <w:vAlign w:val="center"/>
            <w:hideMark/>
          </w:tcPr>
          <w:p w14:paraId="14082E16" w14:textId="77777777" w:rsidR="00344F3B" w:rsidRPr="002C21B8" w:rsidRDefault="00344F3B" w:rsidP="00EB0FFD">
            <w:pPr>
              <w:spacing w:after="120" w:line="240" w:lineRule="auto"/>
              <w:rPr>
                <w:b/>
                <w:bCs/>
                <w:sz w:val="16"/>
                <w:szCs w:val="16"/>
              </w:rPr>
            </w:pPr>
            <w:r w:rsidRPr="002C21B8">
              <w:rPr>
                <w:b/>
                <w:bCs/>
                <w:sz w:val="16"/>
                <w:szCs w:val="16"/>
              </w:rPr>
              <w:t>Z untreated</w:t>
            </w:r>
          </w:p>
        </w:tc>
        <w:tc>
          <w:tcPr>
            <w:tcW w:w="680" w:type="dxa"/>
            <w:noWrap/>
            <w:vAlign w:val="center"/>
            <w:hideMark/>
          </w:tcPr>
          <w:p w14:paraId="18DCAD01" w14:textId="77777777" w:rsidR="00344F3B" w:rsidRPr="002C21B8" w:rsidRDefault="00344F3B" w:rsidP="00EB0FFD">
            <w:pPr>
              <w:spacing w:after="120" w:line="240" w:lineRule="auto"/>
              <w:rPr>
                <w:b/>
                <w:bCs/>
                <w:sz w:val="16"/>
                <w:szCs w:val="16"/>
              </w:rPr>
            </w:pPr>
            <w:r w:rsidRPr="002C21B8">
              <w:rPr>
                <w:b/>
                <w:bCs/>
                <w:sz w:val="16"/>
                <w:szCs w:val="16"/>
              </w:rPr>
              <w:t>Z treated</w:t>
            </w:r>
          </w:p>
        </w:tc>
        <w:tc>
          <w:tcPr>
            <w:tcW w:w="1020" w:type="dxa"/>
            <w:noWrap/>
            <w:vAlign w:val="center"/>
            <w:hideMark/>
          </w:tcPr>
          <w:p w14:paraId="64E5BCE1" w14:textId="77777777" w:rsidR="00344F3B" w:rsidRPr="002C21B8" w:rsidRDefault="00344F3B" w:rsidP="00EB0FFD">
            <w:pPr>
              <w:spacing w:after="120" w:line="240" w:lineRule="auto"/>
              <w:rPr>
                <w:b/>
                <w:bCs/>
                <w:sz w:val="16"/>
                <w:szCs w:val="16"/>
              </w:rPr>
            </w:pPr>
            <w:r w:rsidRPr="002C21B8">
              <w:rPr>
                <w:b/>
                <w:bCs/>
                <w:sz w:val="16"/>
                <w:szCs w:val="16"/>
              </w:rPr>
              <w:t>Cum Prob not KF untreated</w:t>
            </w:r>
          </w:p>
        </w:tc>
        <w:tc>
          <w:tcPr>
            <w:tcW w:w="907" w:type="dxa"/>
            <w:noWrap/>
            <w:vAlign w:val="center"/>
            <w:hideMark/>
          </w:tcPr>
          <w:p w14:paraId="5C8BE272" w14:textId="77777777" w:rsidR="00344F3B" w:rsidRPr="002C21B8" w:rsidRDefault="00344F3B" w:rsidP="00EB0FFD">
            <w:pPr>
              <w:spacing w:after="120" w:line="240" w:lineRule="auto"/>
              <w:rPr>
                <w:b/>
                <w:bCs/>
                <w:sz w:val="16"/>
                <w:szCs w:val="16"/>
              </w:rPr>
            </w:pPr>
            <w:r w:rsidRPr="002C21B8">
              <w:rPr>
                <w:b/>
                <w:bCs/>
                <w:sz w:val="16"/>
                <w:szCs w:val="16"/>
              </w:rPr>
              <w:t>Cum Prob not KF treated</w:t>
            </w:r>
          </w:p>
        </w:tc>
        <w:tc>
          <w:tcPr>
            <w:tcW w:w="1191" w:type="dxa"/>
            <w:noWrap/>
            <w:vAlign w:val="center"/>
            <w:hideMark/>
          </w:tcPr>
          <w:p w14:paraId="7D7B2007" w14:textId="77777777" w:rsidR="00344F3B" w:rsidRPr="002C21B8" w:rsidRDefault="00344F3B" w:rsidP="00EB0FFD">
            <w:pPr>
              <w:spacing w:after="120" w:line="240" w:lineRule="auto"/>
              <w:rPr>
                <w:b/>
                <w:bCs/>
                <w:sz w:val="16"/>
                <w:szCs w:val="16"/>
              </w:rPr>
            </w:pPr>
            <w:r w:rsidRPr="002C21B8">
              <w:rPr>
                <w:b/>
                <w:bCs/>
                <w:sz w:val="16"/>
                <w:szCs w:val="16"/>
              </w:rPr>
              <w:t>Annual Prob reach KF (untreated)</w:t>
            </w:r>
          </w:p>
        </w:tc>
        <w:tc>
          <w:tcPr>
            <w:tcW w:w="1191" w:type="dxa"/>
            <w:noWrap/>
            <w:vAlign w:val="center"/>
            <w:hideMark/>
          </w:tcPr>
          <w:p w14:paraId="7788ACF8" w14:textId="77777777" w:rsidR="00344F3B" w:rsidRPr="002C21B8" w:rsidRDefault="00344F3B" w:rsidP="00EB0FFD">
            <w:pPr>
              <w:spacing w:after="120" w:line="240" w:lineRule="auto"/>
              <w:rPr>
                <w:b/>
                <w:bCs/>
                <w:sz w:val="16"/>
                <w:szCs w:val="16"/>
              </w:rPr>
            </w:pPr>
            <w:r w:rsidRPr="002C21B8">
              <w:rPr>
                <w:b/>
                <w:bCs/>
                <w:sz w:val="16"/>
                <w:szCs w:val="16"/>
              </w:rPr>
              <w:t>Annual Prob reach KF (treated)</w:t>
            </w:r>
          </w:p>
        </w:tc>
        <w:tc>
          <w:tcPr>
            <w:tcW w:w="612" w:type="dxa"/>
            <w:noWrap/>
            <w:vAlign w:val="center"/>
            <w:hideMark/>
          </w:tcPr>
          <w:p w14:paraId="51608CAB" w14:textId="77777777" w:rsidR="00344F3B" w:rsidRPr="002C21B8" w:rsidRDefault="00344F3B" w:rsidP="00EB0FFD">
            <w:pPr>
              <w:spacing w:after="120" w:line="240" w:lineRule="auto"/>
              <w:rPr>
                <w:b/>
                <w:bCs/>
                <w:sz w:val="16"/>
                <w:szCs w:val="16"/>
              </w:rPr>
            </w:pPr>
            <w:r w:rsidRPr="002C21B8">
              <w:rPr>
                <w:b/>
                <w:bCs/>
                <w:sz w:val="16"/>
                <w:szCs w:val="16"/>
              </w:rPr>
              <w:t>Change N_KF</w:t>
            </w:r>
          </w:p>
        </w:tc>
        <w:tc>
          <w:tcPr>
            <w:tcW w:w="1077" w:type="dxa"/>
            <w:noWrap/>
            <w:vAlign w:val="center"/>
            <w:hideMark/>
          </w:tcPr>
          <w:p w14:paraId="00016F97" w14:textId="77777777" w:rsidR="00344F3B" w:rsidRPr="002C21B8" w:rsidRDefault="00344F3B" w:rsidP="00EB0FFD">
            <w:pPr>
              <w:spacing w:after="120" w:line="240" w:lineRule="auto"/>
              <w:rPr>
                <w:b/>
                <w:bCs/>
                <w:sz w:val="16"/>
                <w:szCs w:val="16"/>
              </w:rPr>
            </w:pPr>
            <w:r w:rsidRPr="002C21B8">
              <w:rPr>
                <w:b/>
                <w:bCs/>
                <w:sz w:val="16"/>
                <w:szCs w:val="16"/>
              </w:rPr>
              <w:t>Contribution to total years saved</w:t>
            </w:r>
          </w:p>
        </w:tc>
      </w:tr>
      <w:tr w:rsidR="00344F3B" w:rsidRPr="002C21B8" w14:paraId="02DEC5C6" w14:textId="77777777" w:rsidTr="00EB0FFD">
        <w:trPr>
          <w:trHeight w:val="283"/>
        </w:trPr>
        <w:tc>
          <w:tcPr>
            <w:tcW w:w="441" w:type="dxa"/>
            <w:noWrap/>
            <w:vAlign w:val="center"/>
            <w:hideMark/>
          </w:tcPr>
          <w:p w14:paraId="15F31FA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w:t>
            </w:r>
          </w:p>
        </w:tc>
        <w:tc>
          <w:tcPr>
            <w:tcW w:w="558" w:type="dxa"/>
            <w:noWrap/>
            <w:vAlign w:val="center"/>
            <w:hideMark/>
          </w:tcPr>
          <w:p w14:paraId="2B114C9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51B4F6C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624" w:type="dxa"/>
            <w:noWrap/>
            <w:vAlign w:val="center"/>
            <w:hideMark/>
          </w:tcPr>
          <w:p w14:paraId="266D19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4278F79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35BFCB8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19F0BCB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38364F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22C4ED9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40.43</w:t>
            </w:r>
          </w:p>
        </w:tc>
        <w:tc>
          <w:tcPr>
            <w:tcW w:w="850" w:type="dxa"/>
            <w:noWrap/>
            <w:vAlign w:val="center"/>
            <w:hideMark/>
          </w:tcPr>
          <w:p w14:paraId="77DC550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42.09</w:t>
            </w:r>
          </w:p>
        </w:tc>
        <w:tc>
          <w:tcPr>
            <w:tcW w:w="680" w:type="dxa"/>
            <w:noWrap/>
            <w:vAlign w:val="center"/>
            <w:hideMark/>
          </w:tcPr>
          <w:p w14:paraId="5AB617A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2.888</w:t>
            </w:r>
          </w:p>
        </w:tc>
        <w:tc>
          <w:tcPr>
            <w:tcW w:w="1020" w:type="dxa"/>
            <w:noWrap/>
            <w:vAlign w:val="center"/>
            <w:hideMark/>
          </w:tcPr>
          <w:p w14:paraId="16B71B8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3.042</w:t>
            </w:r>
          </w:p>
        </w:tc>
        <w:tc>
          <w:tcPr>
            <w:tcW w:w="907" w:type="dxa"/>
            <w:noWrap/>
            <w:vAlign w:val="center"/>
            <w:hideMark/>
          </w:tcPr>
          <w:p w14:paraId="09A8793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0.998</w:t>
            </w:r>
          </w:p>
        </w:tc>
        <w:tc>
          <w:tcPr>
            <w:tcW w:w="1191" w:type="dxa"/>
            <w:noWrap/>
            <w:vAlign w:val="center"/>
            <w:hideMark/>
          </w:tcPr>
          <w:p w14:paraId="1F3F050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0.999</w:t>
            </w:r>
          </w:p>
        </w:tc>
        <w:tc>
          <w:tcPr>
            <w:tcW w:w="1191" w:type="dxa"/>
            <w:noWrap/>
            <w:vAlign w:val="center"/>
            <w:hideMark/>
          </w:tcPr>
          <w:p w14:paraId="4FB0B36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0.002</w:t>
            </w:r>
          </w:p>
        </w:tc>
        <w:tc>
          <w:tcPr>
            <w:tcW w:w="612" w:type="dxa"/>
            <w:noWrap/>
            <w:vAlign w:val="center"/>
            <w:hideMark/>
          </w:tcPr>
          <w:p w14:paraId="48DFA32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1077" w:type="dxa"/>
            <w:noWrap/>
            <w:vAlign w:val="center"/>
            <w:hideMark/>
          </w:tcPr>
          <w:p w14:paraId="4681F69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1.059</w:t>
            </w:r>
          </w:p>
        </w:tc>
      </w:tr>
      <w:tr w:rsidR="00344F3B" w:rsidRPr="002C21B8" w14:paraId="2277C1A4" w14:textId="77777777" w:rsidTr="00EB0FFD">
        <w:trPr>
          <w:trHeight w:val="283"/>
        </w:trPr>
        <w:tc>
          <w:tcPr>
            <w:tcW w:w="441" w:type="dxa"/>
            <w:noWrap/>
            <w:vAlign w:val="center"/>
            <w:hideMark/>
          </w:tcPr>
          <w:p w14:paraId="3755DD2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w:t>
            </w:r>
          </w:p>
        </w:tc>
        <w:tc>
          <w:tcPr>
            <w:tcW w:w="558" w:type="dxa"/>
            <w:noWrap/>
            <w:vAlign w:val="center"/>
            <w:hideMark/>
          </w:tcPr>
          <w:p w14:paraId="7411D8B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6BB2DFA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1,361</w:t>
            </w:r>
          </w:p>
        </w:tc>
        <w:tc>
          <w:tcPr>
            <w:tcW w:w="624" w:type="dxa"/>
            <w:noWrap/>
            <w:vAlign w:val="center"/>
            <w:hideMark/>
          </w:tcPr>
          <w:p w14:paraId="483A21E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7933122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374C325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1341B1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6FFC88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5DBD8D7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33.36</w:t>
            </w:r>
          </w:p>
        </w:tc>
        <w:tc>
          <w:tcPr>
            <w:tcW w:w="850" w:type="dxa"/>
            <w:noWrap/>
            <w:vAlign w:val="center"/>
            <w:hideMark/>
          </w:tcPr>
          <w:p w14:paraId="4BE99F3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36.68</w:t>
            </w:r>
          </w:p>
        </w:tc>
        <w:tc>
          <w:tcPr>
            <w:tcW w:w="680" w:type="dxa"/>
            <w:noWrap/>
            <w:vAlign w:val="center"/>
            <w:hideMark/>
          </w:tcPr>
          <w:p w14:paraId="5C8D102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2.232</w:t>
            </w:r>
          </w:p>
        </w:tc>
        <w:tc>
          <w:tcPr>
            <w:tcW w:w="1020" w:type="dxa"/>
            <w:noWrap/>
            <w:vAlign w:val="center"/>
            <w:hideMark/>
          </w:tcPr>
          <w:p w14:paraId="2AB0F9C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2.540</w:t>
            </w:r>
          </w:p>
        </w:tc>
        <w:tc>
          <w:tcPr>
            <w:tcW w:w="907" w:type="dxa"/>
            <w:noWrap/>
            <w:vAlign w:val="center"/>
            <w:hideMark/>
          </w:tcPr>
          <w:p w14:paraId="626B838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0.987</w:t>
            </w:r>
          </w:p>
        </w:tc>
        <w:tc>
          <w:tcPr>
            <w:tcW w:w="1191" w:type="dxa"/>
            <w:noWrap/>
            <w:vAlign w:val="center"/>
            <w:hideMark/>
          </w:tcPr>
          <w:p w14:paraId="51A11D3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0.994</w:t>
            </w:r>
          </w:p>
        </w:tc>
        <w:tc>
          <w:tcPr>
            <w:tcW w:w="1191" w:type="dxa"/>
            <w:noWrap/>
            <w:vAlign w:val="center"/>
            <w:hideMark/>
          </w:tcPr>
          <w:p w14:paraId="2CEAC50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0.011</w:t>
            </w:r>
          </w:p>
        </w:tc>
        <w:tc>
          <w:tcPr>
            <w:tcW w:w="612" w:type="dxa"/>
            <w:noWrap/>
            <w:vAlign w:val="center"/>
            <w:hideMark/>
          </w:tcPr>
          <w:p w14:paraId="4594CB7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0.004</w:t>
            </w:r>
          </w:p>
        </w:tc>
        <w:tc>
          <w:tcPr>
            <w:tcW w:w="1077" w:type="dxa"/>
            <w:noWrap/>
            <w:vAlign w:val="center"/>
            <w:hideMark/>
          </w:tcPr>
          <w:p w14:paraId="784FA4F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9.017</w:t>
            </w:r>
          </w:p>
        </w:tc>
      </w:tr>
      <w:tr w:rsidR="00344F3B" w:rsidRPr="002C21B8" w14:paraId="26D1E09C" w14:textId="77777777" w:rsidTr="00EB0FFD">
        <w:trPr>
          <w:trHeight w:val="283"/>
        </w:trPr>
        <w:tc>
          <w:tcPr>
            <w:tcW w:w="441" w:type="dxa"/>
            <w:noWrap/>
            <w:vAlign w:val="center"/>
            <w:hideMark/>
          </w:tcPr>
          <w:p w14:paraId="674C6F7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w:t>
            </w:r>
          </w:p>
        </w:tc>
        <w:tc>
          <w:tcPr>
            <w:tcW w:w="558" w:type="dxa"/>
            <w:noWrap/>
            <w:vAlign w:val="center"/>
            <w:hideMark/>
          </w:tcPr>
          <w:p w14:paraId="7A5C2B1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3CEE513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1,336</w:t>
            </w:r>
          </w:p>
        </w:tc>
        <w:tc>
          <w:tcPr>
            <w:tcW w:w="624" w:type="dxa"/>
            <w:noWrap/>
            <w:vAlign w:val="center"/>
            <w:hideMark/>
          </w:tcPr>
          <w:p w14:paraId="1DAFBEC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7A36601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131101A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E78955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307181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02349F4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26.29</w:t>
            </w:r>
          </w:p>
        </w:tc>
        <w:tc>
          <w:tcPr>
            <w:tcW w:w="850" w:type="dxa"/>
            <w:noWrap/>
            <w:vAlign w:val="center"/>
            <w:hideMark/>
          </w:tcPr>
          <w:p w14:paraId="37CFF82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31.27</w:t>
            </w:r>
          </w:p>
        </w:tc>
        <w:tc>
          <w:tcPr>
            <w:tcW w:w="680" w:type="dxa"/>
            <w:noWrap/>
            <w:vAlign w:val="center"/>
            <w:hideMark/>
          </w:tcPr>
          <w:p w14:paraId="406EFBC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1.576</w:t>
            </w:r>
          </w:p>
        </w:tc>
        <w:tc>
          <w:tcPr>
            <w:tcW w:w="1020" w:type="dxa"/>
            <w:noWrap/>
            <w:vAlign w:val="center"/>
            <w:hideMark/>
          </w:tcPr>
          <w:p w14:paraId="7CBEFB4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2.038</w:t>
            </w:r>
          </w:p>
        </w:tc>
        <w:tc>
          <w:tcPr>
            <w:tcW w:w="907" w:type="dxa"/>
            <w:noWrap/>
            <w:vAlign w:val="center"/>
            <w:hideMark/>
          </w:tcPr>
          <w:p w14:paraId="45BBC7A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0.942</w:t>
            </w:r>
          </w:p>
        </w:tc>
        <w:tc>
          <w:tcPr>
            <w:tcW w:w="1191" w:type="dxa"/>
            <w:noWrap/>
            <w:vAlign w:val="center"/>
            <w:hideMark/>
          </w:tcPr>
          <w:p w14:paraId="4FE68C0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0.979</w:t>
            </w:r>
          </w:p>
        </w:tc>
        <w:tc>
          <w:tcPr>
            <w:tcW w:w="1191" w:type="dxa"/>
            <w:noWrap/>
            <w:vAlign w:val="center"/>
            <w:hideMark/>
          </w:tcPr>
          <w:p w14:paraId="5A97FF1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0.045</w:t>
            </w:r>
          </w:p>
        </w:tc>
        <w:tc>
          <w:tcPr>
            <w:tcW w:w="612" w:type="dxa"/>
            <w:noWrap/>
            <w:vAlign w:val="center"/>
            <w:hideMark/>
          </w:tcPr>
          <w:p w14:paraId="1422789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0.015</w:t>
            </w:r>
          </w:p>
        </w:tc>
        <w:tc>
          <w:tcPr>
            <w:tcW w:w="1077" w:type="dxa"/>
            <w:noWrap/>
            <w:vAlign w:val="center"/>
            <w:hideMark/>
          </w:tcPr>
          <w:p w14:paraId="0979F5A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40.864</w:t>
            </w:r>
          </w:p>
        </w:tc>
      </w:tr>
      <w:tr w:rsidR="00344F3B" w:rsidRPr="002C21B8" w14:paraId="3BF42D59" w14:textId="77777777" w:rsidTr="00EB0FFD">
        <w:trPr>
          <w:trHeight w:val="283"/>
        </w:trPr>
        <w:tc>
          <w:tcPr>
            <w:tcW w:w="441" w:type="dxa"/>
            <w:noWrap/>
            <w:vAlign w:val="center"/>
            <w:hideMark/>
          </w:tcPr>
          <w:p w14:paraId="5CA28B7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w:t>
            </w:r>
          </w:p>
        </w:tc>
        <w:tc>
          <w:tcPr>
            <w:tcW w:w="558" w:type="dxa"/>
            <w:noWrap/>
            <w:vAlign w:val="center"/>
            <w:hideMark/>
          </w:tcPr>
          <w:p w14:paraId="62CC9F4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5F0670B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1,312</w:t>
            </w:r>
          </w:p>
        </w:tc>
        <w:tc>
          <w:tcPr>
            <w:tcW w:w="624" w:type="dxa"/>
            <w:noWrap/>
            <w:vAlign w:val="center"/>
            <w:hideMark/>
          </w:tcPr>
          <w:p w14:paraId="151E9F6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52D60F7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791CAC1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5C02AFF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E26819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56470B7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19.22</w:t>
            </w:r>
          </w:p>
        </w:tc>
        <w:tc>
          <w:tcPr>
            <w:tcW w:w="850" w:type="dxa"/>
            <w:noWrap/>
            <w:vAlign w:val="center"/>
            <w:hideMark/>
          </w:tcPr>
          <w:p w14:paraId="7E8F031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25.86</w:t>
            </w:r>
          </w:p>
        </w:tc>
        <w:tc>
          <w:tcPr>
            <w:tcW w:w="680" w:type="dxa"/>
            <w:noWrap/>
            <w:vAlign w:val="center"/>
            <w:hideMark/>
          </w:tcPr>
          <w:p w14:paraId="4F76215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0.920</w:t>
            </w:r>
          </w:p>
        </w:tc>
        <w:tc>
          <w:tcPr>
            <w:tcW w:w="1020" w:type="dxa"/>
            <w:noWrap/>
            <w:vAlign w:val="center"/>
            <w:hideMark/>
          </w:tcPr>
          <w:p w14:paraId="01E9988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1.536</w:t>
            </w:r>
          </w:p>
        </w:tc>
        <w:tc>
          <w:tcPr>
            <w:tcW w:w="907" w:type="dxa"/>
            <w:noWrap/>
            <w:vAlign w:val="center"/>
            <w:hideMark/>
          </w:tcPr>
          <w:p w14:paraId="798CC33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0.821</w:t>
            </w:r>
          </w:p>
        </w:tc>
        <w:tc>
          <w:tcPr>
            <w:tcW w:w="1191" w:type="dxa"/>
            <w:noWrap/>
            <w:vAlign w:val="center"/>
            <w:hideMark/>
          </w:tcPr>
          <w:p w14:paraId="282AD95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0.938</w:t>
            </w:r>
          </w:p>
        </w:tc>
        <w:tc>
          <w:tcPr>
            <w:tcW w:w="1191" w:type="dxa"/>
            <w:noWrap/>
            <w:vAlign w:val="center"/>
            <w:hideMark/>
          </w:tcPr>
          <w:p w14:paraId="0EE1022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0.121</w:t>
            </w:r>
          </w:p>
        </w:tc>
        <w:tc>
          <w:tcPr>
            <w:tcW w:w="612" w:type="dxa"/>
            <w:noWrap/>
            <w:vAlign w:val="center"/>
            <w:hideMark/>
          </w:tcPr>
          <w:p w14:paraId="691D3FD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0.041</w:t>
            </w:r>
          </w:p>
        </w:tc>
        <w:tc>
          <w:tcPr>
            <w:tcW w:w="1077" w:type="dxa"/>
            <w:noWrap/>
            <w:vAlign w:val="center"/>
            <w:hideMark/>
          </w:tcPr>
          <w:p w14:paraId="22268CC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110.598</w:t>
            </w:r>
          </w:p>
        </w:tc>
      </w:tr>
      <w:tr w:rsidR="00344F3B" w:rsidRPr="002C21B8" w14:paraId="260AF066" w14:textId="77777777" w:rsidTr="00EB0FFD">
        <w:trPr>
          <w:trHeight w:val="283"/>
        </w:trPr>
        <w:tc>
          <w:tcPr>
            <w:tcW w:w="441" w:type="dxa"/>
            <w:noWrap/>
            <w:vAlign w:val="center"/>
            <w:hideMark/>
          </w:tcPr>
          <w:p w14:paraId="217C94D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w:t>
            </w:r>
          </w:p>
        </w:tc>
        <w:tc>
          <w:tcPr>
            <w:tcW w:w="558" w:type="dxa"/>
            <w:noWrap/>
            <w:vAlign w:val="center"/>
            <w:hideMark/>
          </w:tcPr>
          <w:p w14:paraId="43679A7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789E43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1,288</w:t>
            </w:r>
          </w:p>
        </w:tc>
        <w:tc>
          <w:tcPr>
            <w:tcW w:w="624" w:type="dxa"/>
            <w:noWrap/>
            <w:vAlign w:val="center"/>
            <w:hideMark/>
          </w:tcPr>
          <w:p w14:paraId="6A8B291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77B43D2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589C082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74F145A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709620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6E02318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12.15</w:t>
            </w:r>
          </w:p>
        </w:tc>
        <w:tc>
          <w:tcPr>
            <w:tcW w:w="850" w:type="dxa"/>
            <w:noWrap/>
            <w:vAlign w:val="center"/>
            <w:hideMark/>
          </w:tcPr>
          <w:p w14:paraId="6534095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20.45</w:t>
            </w:r>
          </w:p>
        </w:tc>
        <w:tc>
          <w:tcPr>
            <w:tcW w:w="680" w:type="dxa"/>
            <w:noWrap/>
            <w:vAlign w:val="center"/>
            <w:hideMark/>
          </w:tcPr>
          <w:p w14:paraId="18568ED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0.264</w:t>
            </w:r>
          </w:p>
        </w:tc>
        <w:tc>
          <w:tcPr>
            <w:tcW w:w="1020" w:type="dxa"/>
            <w:noWrap/>
            <w:vAlign w:val="center"/>
            <w:hideMark/>
          </w:tcPr>
          <w:p w14:paraId="4BB2B83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1.034</w:t>
            </w:r>
          </w:p>
        </w:tc>
        <w:tc>
          <w:tcPr>
            <w:tcW w:w="907" w:type="dxa"/>
            <w:noWrap/>
            <w:vAlign w:val="center"/>
            <w:hideMark/>
          </w:tcPr>
          <w:p w14:paraId="225184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0.604</w:t>
            </w:r>
          </w:p>
        </w:tc>
        <w:tc>
          <w:tcPr>
            <w:tcW w:w="1191" w:type="dxa"/>
            <w:noWrap/>
            <w:vAlign w:val="center"/>
            <w:hideMark/>
          </w:tcPr>
          <w:p w14:paraId="2C55D62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0.850</w:t>
            </w:r>
          </w:p>
        </w:tc>
        <w:tc>
          <w:tcPr>
            <w:tcW w:w="1191" w:type="dxa"/>
            <w:noWrap/>
            <w:vAlign w:val="center"/>
            <w:hideMark/>
          </w:tcPr>
          <w:p w14:paraId="74058F5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0.217</w:t>
            </w:r>
          </w:p>
        </w:tc>
        <w:tc>
          <w:tcPr>
            <w:tcW w:w="612" w:type="dxa"/>
            <w:noWrap/>
            <w:vAlign w:val="center"/>
            <w:hideMark/>
          </w:tcPr>
          <w:p w14:paraId="1458585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0.088</w:t>
            </w:r>
          </w:p>
        </w:tc>
        <w:tc>
          <w:tcPr>
            <w:tcW w:w="1077" w:type="dxa"/>
            <w:noWrap/>
            <w:vAlign w:val="center"/>
            <w:hideMark/>
          </w:tcPr>
          <w:p w14:paraId="1C41DEB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178.582</w:t>
            </w:r>
          </w:p>
        </w:tc>
      </w:tr>
      <w:tr w:rsidR="00344F3B" w:rsidRPr="002C21B8" w14:paraId="32A35BF6" w14:textId="77777777" w:rsidTr="00EB0FFD">
        <w:trPr>
          <w:trHeight w:val="283"/>
        </w:trPr>
        <w:tc>
          <w:tcPr>
            <w:tcW w:w="441" w:type="dxa"/>
            <w:noWrap/>
            <w:vAlign w:val="center"/>
            <w:hideMark/>
          </w:tcPr>
          <w:p w14:paraId="0CB5369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w:t>
            </w:r>
          </w:p>
        </w:tc>
        <w:tc>
          <w:tcPr>
            <w:tcW w:w="558" w:type="dxa"/>
            <w:noWrap/>
            <w:vAlign w:val="center"/>
            <w:hideMark/>
          </w:tcPr>
          <w:p w14:paraId="1EFB5DC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2C48590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1,264</w:t>
            </w:r>
          </w:p>
        </w:tc>
        <w:tc>
          <w:tcPr>
            <w:tcW w:w="624" w:type="dxa"/>
            <w:noWrap/>
            <w:vAlign w:val="center"/>
            <w:hideMark/>
          </w:tcPr>
          <w:p w14:paraId="6E8B556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72591D2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5FC1147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D3A562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12089A0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6F0988F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5.08</w:t>
            </w:r>
          </w:p>
        </w:tc>
        <w:tc>
          <w:tcPr>
            <w:tcW w:w="850" w:type="dxa"/>
            <w:noWrap/>
            <w:vAlign w:val="center"/>
            <w:hideMark/>
          </w:tcPr>
          <w:p w14:paraId="5BD802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15.04</w:t>
            </w:r>
          </w:p>
        </w:tc>
        <w:tc>
          <w:tcPr>
            <w:tcW w:w="680" w:type="dxa"/>
            <w:noWrap/>
            <w:vAlign w:val="center"/>
            <w:hideMark/>
          </w:tcPr>
          <w:p w14:paraId="08DF57B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-0.391</w:t>
            </w:r>
          </w:p>
        </w:tc>
        <w:tc>
          <w:tcPr>
            <w:tcW w:w="1020" w:type="dxa"/>
            <w:noWrap/>
            <w:vAlign w:val="center"/>
            <w:hideMark/>
          </w:tcPr>
          <w:p w14:paraId="7B34EE9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0.532</w:t>
            </w:r>
          </w:p>
        </w:tc>
        <w:tc>
          <w:tcPr>
            <w:tcW w:w="907" w:type="dxa"/>
            <w:noWrap/>
            <w:vAlign w:val="center"/>
            <w:hideMark/>
          </w:tcPr>
          <w:p w14:paraId="38B1A19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0.348</w:t>
            </w:r>
          </w:p>
        </w:tc>
        <w:tc>
          <w:tcPr>
            <w:tcW w:w="1191" w:type="dxa"/>
            <w:noWrap/>
            <w:vAlign w:val="center"/>
            <w:hideMark/>
          </w:tcPr>
          <w:p w14:paraId="119036F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0.703</w:t>
            </w:r>
          </w:p>
        </w:tc>
        <w:tc>
          <w:tcPr>
            <w:tcW w:w="1191" w:type="dxa"/>
            <w:noWrap/>
            <w:vAlign w:val="center"/>
            <w:hideMark/>
          </w:tcPr>
          <w:p w14:paraId="649A05F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0.257</w:t>
            </w:r>
          </w:p>
        </w:tc>
        <w:tc>
          <w:tcPr>
            <w:tcW w:w="612" w:type="dxa"/>
            <w:noWrap/>
            <w:vAlign w:val="center"/>
            <w:hideMark/>
          </w:tcPr>
          <w:p w14:paraId="03E392D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1077" w:type="dxa"/>
            <w:noWrap/>
            <w:vAlign w:val="center"/>
            <w:hideMark/>
          </w:tcPr>
          <w:p w14:paraId="4C85589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152.302</w:t>
            </w:r>
          </w:p>
        </w:tc>
      </w:tr>
      <w:tr w:rsidR="00344F3B" w:rsidRPr="002C21B8" w14:paraId="0C130F2D" w14:textId="77777777" w:rsidTr="00EB0FFD">
        <w:trPr>
          <w:trHeight w:val="283"/>
        </w:trPr>
        <w:tc>
          <w:tcPr>
            <w:tcW w:w="441" w:type="dxa"/>
            <w:noWrap/>
            <w:vAlign w:val="center"/>
            <w:hideMark/>
          </w:tcPr>
          <w:p w14:paraId="400BC96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w:t>
            </w:r>
          </w:p>
        </w:tc>
        <w:tc>
          <w:tcPr>
            <w:tcW w:w="558" w:type="dxa"/>
            <w:noWrap/>
            <w:vAlign w:val="center"/>
            <w:hideMark/>
          </w:tcPr>
          <w:p w14:paraId="1F3B4B5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40C716C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1,241</w:t>
            </w:r>
          </w:p>
        </w:tc>
        <w:tc>
          <w:tcPr>
            <w:tcW w:w="624" w:type="dxa"/>
            <w:noWrap/>
            <w:vAlign w:val="center"/>
            <w:hideMark/>
          </w:tcPr>
          <w:p w14:paraId="30C1FB5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1CD49FD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24049D0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6009BA1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7033D67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0FB6BD1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-1.99</w:t>
            </w:r>
          </w:p>
        </w:tc>
        <w:tc>
          <w:tcPr>
            <w:tcW w:w="850" w:type="dxa"/>
            <w:noWrap/>
            <w:vAlign w:val="center"/>
            <w:hideMark/>
          </w:tcPr>
          <w:p w14:paraId="707FECF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9.63</w:t>
            </w:r>
          </w:p>
        </w:tc>
        <w:tc>
          <w:tcPr>
            <w:tcW w:w="680" w:type="dxa"/>
            <w:noWrap/>
            <w:vAlign w:val="center"/>
            <w:hideMark/>
          </w:tcPr>
          <w:p w14:paraId="76B3D8D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-1.047</w:t>
            </w:r>
          </w:p>
        </w:tc>
        <w:tc>
          <w:tcPr>
            <w:tcW w:w="1020" w:type="dxa"/>
            <w:noWrap/>
            <w:vAlign w:val="center"/>
            <w:hideMark/>
          </w:tcPr>
          <w:p w14:paraId="6C9280A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0.031</w:t>
            </w:r>
          </w:p>
        </w:tc>
        <w:tc>
          <w:tcPr>
            <w:tcW w:w="907" w:type="dxa"/>
            <w:noWrap/>
            <w:vAlign w:val="center"/>
            <w:hideMark/>
          </w:tcPr>
          <w:p w14:paraId="4B5E6AB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1191" w:type="dxa"/>
            <w:noWrap/>
            <w:vAlign w:val="center"/>
            <w:hideMark/>
          </w:tcPr>
          <w:p w14:paraId="00301B6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0.512</w:t>
            </w:r>
          </w:p>
        </w:tc>
        <w:tc>
          <w:tcPr>
            <w:tcW w:w="1191" w:type="dxa"/>
            <w:noWrap/>
            <w:vAlign w:val="center"/>
            <w:hideMark/>
          </w:tcPr>
          <w:p w14:paraId="50976DF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0.200</w:t>
            </w:r>
          </w:p>
        </w:tc>
        <w:tc>
          <w:tcPr>
            <w:tcW w:w="612" w:type="dxa"/>
            <w:noWrap/>
            <w:vAlign w:val="center"/>
            <w:hideMark/>
          </w:tcPr>
          <w:p w14:paraId="5C61B39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0.191</w:t>
            </w:r>
          </w:p>
        </w:tc>
        <w:tc>
          <w:tcPr>
            <w:tcW w:w="1077" w:type="dxa"/>
            <w:noWrap/>
            <w:vAlign w:val="center"/>
            <w:hideMark/>
          </w:tcPr>
          <w:p w14:paraId="2B342F9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13.397</w:t>
            </w:r>
          </w:p>
        </w:tc>
      </w:tr>
      <w:tr w:rsidR="00344F3B" w:rsidRPr="002C21B8" w14:paraId="0A32CDC9" w14:textId="77777777" w:rsidTr="00EB0FFD">
        <w:trPr>
          <w:trHeight w:val="283"/>
        </w:trPr>
        <w:tc>
          <w:tcPr>
            <w:tcW w:w="441" w:type="dxa"/>
            <w:noWrap/>
            <w:vAlign w:val="center"/>
            <w:hideMark/>
          </w:tcPr>
          <w:p w14:paraId="5239D7D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8</w:t>
            </w:r>
          </w:p>
        </w:tc>
        <w:tc>
          <w:tcPr>
            <w:tcW w:w="558" w:type="dxa"/>
            <w:noWrap/>
            <w:vAlign w:val="center"/>
            <w:hideMark/>
          </w:tcPr>
          <w:p w14:paraId="101AFAB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76106E7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1,218</w:t>
            </w:r>
          </w:p>
        </w:tc>
        <w:tc>
          <w:tcPr>
            <w:tcW w:w="624" w:type="dxa"/>
            <w:noWrap/>
            <w:vAlign w:val="center"/>
            <w:hideMark/>
          </w:tcPr>
          <w:p w14:paraId="6F6A58A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5DD7793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2E51697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4483FE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2C7EE1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2B0691A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-9.06</w:t>
            </w:r>
          </w:p>
        </w:tc>
        <w:tc>
          <w:tcPr>
            <w:tcW w:w="850" w:type="dxa"/>
            <w:noWrap/>
            <w:vAlign w:val="center"/>
            <w:hideMark/>
          </w:tcPr>
          <w:p w14:paraId="360F43B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4.22</w:t>
            </w:r>
          </w:p>
        </w:tc>
        <w:tc>
          <w:tcPr>
            <w:tcW w:w="680" w:type="dxa"/>
            <w:noWrap/>
            <w:vAlign w:val="center"/>
            <w:hideMark/>
          </w:tcPr>
          <w:p w14:paraId="02A64B6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-1.703</w:t>
            </w:r>
          </w:p>
        </w:tc>
        <w:tc>
          <w:tcPr>
            <w:tcW w:w="1020" w:type="dxa"/>
            <w:noWrap/>
            <w:vAlign w:val="center"/>
            <w:hideMark/>
          </w:tcPr>
          <w:p w14:paraId="40A6980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-0.471</w:t>
            </w:r>
          </w:p>
        </w:tc>
        <w:tc>
          <w:tcPr>
            <w:tcW w:w="907" w:type="dxa"/>
            <w:noWrap/>
            <w:vAlign w:val="center"/>
            <w:hideMark/>
          </w:tcPr>
          <w:p w14:paraId="52237C4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0.044</w:t>
            </w:r>
          </w:p>
        </w:tc>
        <w:tc>
          <w:tcPr>
            <w:tcW w:w="1191" w:type="dxa"/>
            <w:noWrap/>
            <w:vAlign w:val="center"/>
            <w:hideMark/>
          </w:tcPr>
          <w:p w14:paraId="36633C3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0.319</w:t>
            </w:r>
          </w:p>
        </w:tc>
        <w:tc>
          <w:tcPr>
            <w:tcW w:w="1191" w:type="dxa"/>
            <w:noWrap/>
            <w:vAlign w:val="center"/>
            <w:hideMark/>
          </w:tcPr>
          <w:p w14:paraId="180A831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0.103</w:t>
            </w:r>
          </w:p>
        </w:tc>
        <w:tc>
          <w:tcPr>
            <w:tcW w:w="612" w:type="dxa"/>
            <w:noWrap/>
            <w:vAlign w:val="center"/>
            <w:hideMark/>
          </w:tcPr>
          <w:p w14:paraId="6654EE0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0.193</w:t>
            </w:r>
          </w:p>
        </w:tc>
        <w:tc>
          <w:tcPr>
            <w:tcW w:w="1077" w:type="dxa"/>
            <w:noWrap/>
            <w:vAlign w:val="center"/>
            <w:hideMark/>
          </w:tcPr>
          <w:p w14:paraId="633BDA4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7186C05D" w14:textId="77777777" w:rsidTr="00EB0FFD">
        <w:trPr>
          <w:trHeight w:val="283"/>
        </w:trPr>
        <w:tc>
          <w:tcPr>
            <w:tcW w:w="441" w:type="dxa"/>
            <w:noWrap/>
            <w:vAlign w:val="center"/>
            <w:hideMark/>
          </w:tcPr>
          <w:p w14:paraId="5A0D5DA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w:t>
            </w:r>
          </w:p>
        </w:tc>
        <w:tc>
          <w:tcPr>
            <w:tcW w:w="558" w:type="dxa"/>
            <w:noWrap/>
            <w:vAlign w:val="center"/>
            <w:hideMark/>
          </w:tcPr>
          <w:p w14:paraId="4DCDB98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vAlign w:val="center"/>
          </w:tcPr>
          <w:p w14:paraId="6852B02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1,195</w:t>
            </w:r>
          </w:p>
        </w:tc>
        <w:tc>
          <w:tcPr>
            <w:tcW w:w="624" w:type="dxa"/>
            <w:noWrap/>
            <w:vAlign w:val="center"/>
            <w:hideMark/>
          </w:tcPr>
          <w:p w14:paraId="473BBE2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59FAA1A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7F195CE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B0F3D0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2A5074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7015823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-16.13</w:t>
            </w:r>
          </w:p>
        </w:tc>
        <w:tc>
          <w:tcPr>
            <w:tcW w:w="850" w:type="dxa"/>
            <w:noWrap/>
            <w:vAlign w:val="center"/>
            <w:hideMark/>
          </w:tcPr>
          <w:p w14:paraId="04324EA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-1.19</w:t>
            </w:r>
          </w:p>
        </w:tc>
        <w:tc>
          <w:tcPr>
            <w:tcW w:w="680" w:type="dxa"/>
            <w:noWrap/>
            <w:vAlign w:val="center"/>
            <w:hideMark/>
          </w:tcPr>
          <w:p w14:paraId="18FF42B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-2.359</w:t>
            </w:r>
          </w:p>
        </w:tc>
        <w:tc>
          <w:tcPr>
            <w:tcW w:w="1020" w:type="dxa"/>
            <w:noWrap/>
            <w:vAlign w:val="center"/>
            <w:hideMark/>
          </w:tcPr>
          <w:p w14:paraId="13AE4FB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-0.973</w:t>
            </w:r>
          </w:p>
        </w:tc>
        <w:tc>
          <w:tcPr>
            <w:tcW w:w="907" w:type="dxa"/>
            <w:noWrap/>
            <w:vAlign w:val="center"/>
            <w:hideMark/>
          </w:tcPr>
          <w:p w14:paraId="21355AB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0.009</w:t>
            </w:r>
          </w:p>
        </w:tc>
        <w:tc>
          <w:tcPr>
            <w:tcW w:w="1191" w:type="dxa"/>
            <w:noWrap/>
            <w:vAlign w:val="center"/>
            <w:hideMark/>
          </w:tcPr>
          <w:p w14:paraId="16E6685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0.165</w:t>
            </w:r>
          </w:p>
        </w:tc>
        <w:tc>
          <w:tcPr>
            <w:tcW w:w="1191" w:type="dxa"/>
            <w:noWrap/>
            <w:vAlign w:val="center"/>
            <w:hideMark/>
          </w:tcPr>
          <w:p w14:paraId="203D921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0.035</w:t>
            </w:r>
          </w:p>
        </w:tc>
        <w:tc>
          <w:tcPr>
            <w:tcW w:w="612" w:type="dxa"/>
            <w:noWrap/>
            <w:vAlign w:val="center"/>
            <w:hideMark/>
          </w:tcPr>
          <w:p w14:paraId="751B71C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0.153</w:t>
            </w:r>
          </w:p>
        </w:tc>
        <w:tc>
          <w:tcPr>
            <w:tcW w:w="1077" w:type="dxa"/>
            <w:noWrap/>
            <w:vAlign w:val="center"/>
            <w:hideMark/>
          </w:tcPr>
          <w:p w14:paraId="38E9845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283DC381" w14:textId="77777777" w:rsidTr="00EB0FFD">
        <w:trPr>
          <w:trHeight w:val="283"/>
        </w:trPr>
        <w:tc>
          <w:tcPr>
            <w:tcW w:w="441" w:type="dxa"/>
            <w:tcBorders>
              <w:bottom w:val="single" w:sz="6" w:space="0" w:color="000000" w:themeColor="text1"/>
            </w:tcBorders>
            <w:noWrap/>
            <w:vAlign w:val="center"/>
            <w:hideMark/>
          </w:tcPr>
          <w:p w14:paraId="598EA9E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w:t>
            </w:r>
          </w:p>
        </w:tc>
        <w:tc>
          <w:tcPr>
            <w:tcW w:w="558" w:type="dxa"/>
            <w:tcBorders>
              <w:bottom w:val="single" w:sz="6" w:space="0" w:color="000000" w:themeColor="text1"/>
            </w:tcBorders>
            <w:noWrap/>
            <w:vAlign w:val="center"/>
            <w:hideMark/>
          </w:tcPr>
          <w:p w14:paraId="5119790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1,387</w:t>
            </w:r>
          </w:p>
        </w:tc>
        <w:tc>
          <w:tcPr>
            <w:tcW w:w="1146" w:type="dxa"/>
            <w:tcBorders>
              <w:bottom w:val="single" w:sz="6" w:space="0" w:color="000000" w:themeColor="text1"/>
            </w:tcBorders>
            <w:vAlign w:val="center"/>
          </w:tcPr>
          <w:p w14:paraId="5946026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1,173</w:t>
            </w:r>
          </w:p>
        </w:tc>
        <w:tc>
          <w:tcPr>
            <w:tcW w:w="624" w:type="dxa"/>
            <w:tcBorders>
              <w:bottom w:val="single" w:sz="6" w:space="0" w:color="000000" w:themeColor="text1"/>
            </w:tcBorders>
            <w:noWrap/>
            <w:vAlign w:val="center"/>
            <w:hideMark/>
          </w:tcPr>
          <w:p w14:paraId="6DD5F31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tcBorders>
              <w:bottom w:val="single" w:sz="6" w:space="0" w:color="000000" w:themeColor="text1"/>
            </w:tcBorders>
            <w:noWrap/>
            <w:vAlign w:val="center"/>
            <w:hideMark/>
          </w:tcPr>
          <w:p w14:paraId="43DCA2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tcBorders>
              <w:bottom w:val="single" w:sz="6" w:space="0" w:color="000000" w:themeColor="text1"/>
            </w:tcBorders>
            <w:noWrap/>
            <w:vAlign w:val="center"/>
            <w:hideMark/>
          </w:tcPr>
          <w:p w14:paraId="024D82C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tcBorders>
              <w:bottom w:val="single" w:sz="6" w:space="0" w:color="000000" w:themeColor="text1"/>
            </w:tcBorders>
            <w:vAlign w:val="center"/>
            <w:hideMark/>
          </w:tcPr>
          <w:p w14:paraId="729FFB7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tcBorders>
              <w:bottom w:val="single" w:sz="6" w:space="0" w:color="000000" w:themeColor="text1"/>
            </w:tcBorders>
            <w:noWrap/>
            <w:vAlign w:val="center"/>
            <w:hideMark/>
          </w:tcPr>
          <w:p w14:paraId="7E7DF96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tcBorders>
              <w:bottom w:val="single" w:sz="6" w:space="0" w:color="000000" w:themeColor="text1"/>
            </w:tcBorders>
            <w:noWrap/>
            <w:vAlign w:val="center"/>
            <w:hideMark/>
          </w:tcPr>
          <w:p w14:paraId="41D54BE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-23.2</w:t>
            </w:r>
          </w:p>
        </w:tc>
        <w:tc>
          <w:tcPr>
            <w:tcW w:w="850" w:type="dxa"/>
            <w:tcBorders>
              <w:bottom w:val="single" w:sz="6" w:space="0" w:color="000000" w:themeColor="text1"/>
            </w:tcBorders>
            <w:noWrap/>
            <w:vAlign w:val="center"/>
            <w:hideMark/>
          </w:tcPr>
          <w:p w14:paraId="2ECE411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-6.60</w:t>
            </w:r>
          </w:p>
        </w:tc>
        <w:tc>
          <w:tcPr>
            <w:tcW w:w="680" w:type="dxa"/>
            <w:tcBorders>
              <w:bottom w:val="single" w:sz="6" w:space="0" w:color="000000" w:themeColor="text1"/>
            </w:tcBorders>
            <w:noWrap/>
            <w:vAlign w:val="center"/>
            <w:hideMark/>
          </w:tcPr>
          <w:p w14:paraId="39A3536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-3.015</w:t>
            </w:r>
          </w:p>
        </w:tc>
        <w:tc>
          <w:tcPr>
            <w:tcW w:w="1020" w:type="dxa"/>
            <w:tcBorders>
              <w:bottom w:val="single" w:sz="6" w:space="0" w:color="000000" w:themeColor="text1"/>
            </w:tcBorders>
            <w:noWrap/>
            <w:vAlign w:val="center"/>
            <w:hideMark/>
          </w:tcPr>
          <w:p w14:paraId="49C3D7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-1.475</w:t>
            </w:r>
          </w:p>
        </w:tc>
        <w:tc>
          <w:tcPr>
            <w:tcW w:w="907" w:type="dxa"/>
            <w:tcBorders>
              <w:bottom w:val="single" w:sz="6" w:space="0" w:color="000000" w:themeColor="text1"/>
            </w:tcBorders>
            <w:noWrap/>
            <w:vAlign w:val="center"/>
            <w:hideMark/>
          </w:tcPr>
          <w:p w14:paraId="7929B3B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1191" w:type="dxa"/>
            <w:tcBorders>
              <w:bottom w:val="single" w:sz="6" w:space="0" w:color="000000" w:themeColor="text1"/>
            </w:tcBorders>
            <w:noWrap/>
            <w:vAlign w:val="center"/>
            <w:hideMark/>
          </w:tcPr>
          <w:p w14:paraId="4FDF943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0.070</w:t>
            </w:r>
          </w:p>
        </w:tc>
        <w:tc>
          <w:tcPr>
            <w:tcW w:w="1191" w:type="dxa"/>
            <w:tcBorders>
              <w:bottom w:val="single" w:sz="6" w:space="0" w:color="000000" w:themeColor="text1"/>
            </w:tcBorders>
            <w:noWrap/>
            <w:vAlign w:val="center"/>
            <w:hideMark/>
          </w:tcPr>
          <w:p w14:paraId="4F4713F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0.008</w:t>
            </w:r>
          </w:p>
        </w:tc>
        <w:tc>
          <w:tcPr>
            <w:tcW w:w="612" w:type="dxa"/>
            <w:tcBorders>
              <w:bottom w:val="single" w:sz="6" w:space="0" w:color="000000" w:themeColor="text1"/>
            </w:tcBorders>
            <w:noWrap/>
            <w:vAlign w:val="center"/>
            <w:hideMark/>
          </w:tcPr>
          <w:p w14:paraId="74D5FE3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0.095</w:t>
            </w:r>
          </w:p>
        </w:tc>
        <w:tc>
          <w:tcPr>
            <w:tcW w:w="1077" w:type="dxa"/>
            <w:noWrap/>
            <w:vAlign w:val="center"/>
            <w:hideMark/>
          </w:tcPr>
          <w:p w14:paraId="5085634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1FBDA44D" w14:textId="77777777" w:rsidTr="00EB0FFD">
        <w:trPr>
          <w:trHeight w:val="283"/>
        </w:trPr>
        <w:tc>
          <w:tcPr>
            <w:tcW w:w="441" w:type="dxa"/>
            <w:tcBorders>
              <w:top w:val="single" w:sz="6" w:space="0" w:color="000000" w:themeColor="text1"/>
              <w:left w:val="nil"/>
              <w:bottom w:val="nil"/>
              <w:right w:val="nil"/>
            </w:tcBorders>
            <w:noWrap/>
            <w:vAlign w:val="center"/>
          </w:tcPr>
          <w:p w14:paraId="6481EE3F" w14:textId="77777777" w:rsidR="00344F3B" w:rsidRPr="002C21B8" w:rsidRDefault="00344F3B" w:rsidP="00EB0FFD">
            <w:pPr>
              <w:spacing w:after="120" w:line="240" w:lineRule="auto"/>
              <w:rPr>
                <w:sz w:val="16"/>
                <w:szCs w:val="16"/>
              </w:rPr>
            </w:pPr>
          </w:p>
        </w:tc>
        <w:tc>
          <w:tcPr>
            <w:tcW w:w="558" w:type="dxa"/>
            <w:tcBorders>
              <w:top w:val="single" w:sz="6" w:space="0" w:color="000000" w:themeColor="text1"/>
              <w:left w:val="nil"/>
              <w:bottom w:val="nil"/>
              <w:right w:val="nil"/>
            </w:tcBorders>
            <w:noWrap/>
            <w:vAlign w:val="center"/>
          </w:tcPr>
          <w:p w14:paraId="679DE48A" w14:textId="77777777" w:rsidR="00344F3B" w:rsidRPr="002C21B8" w:rsidRDefault="00344F3B" w:rsidP="00EB0FFD">
            <w:pPr>
              <w:spacing w:after="120" w:line="240" w:lineRule="auto"/>
              <w:rPr>
                <w:sz w:val="16"/>
                <w:szCs w:val="16"/>
              </w:rPr>
            </w:pPr>
          </w:p>
        </w:tc>
        <w:tc>
          <w:tcPr>
            <w:tcW w:w="1146" w:type="dxa"/>
            <w:tcBorders>
              <w:top w:val="single" w:sz="6" w:space="0" w:color="000000" w:themeColor="text1"/>
              <w:left w:val="nil"/>
              <w:bottom w:val="nil"/>
              <w:right w:val="nil"/>
            </w:tcBorders>
            <w:vAlign w:val="center"/>
          </w:tcPr>
          <w:p w14:paraId="2F55736D" w14:textId="77777777" w:rsidR="00344F3B" w:rsidRPr="002C21B8" w:rsidRDefault="00344F3B" w:rsidP="00EB0FFD">
            <w:pPr>
              <w:spacing w:after="120" w:line="240" w:lineRule="auto"/>
              <w:rPr>
                <w:sz w:val="16"/>
                <w:szCs w:val="16"/>
              </w:rPr>
            </w:pPr>
          </w:p>
        </w:tc>
        <w:tc>
          <w:tcPr>
            <w:tcW w:w="624" w:type="dxa"/>
            <w:tcBorders>
              <w:top w:val="single" w:sz="6" w:space="0" w:color="000000" w:themeColor="text1"/>
              <w:left w:val="nil"/>
              <w:bottom w:val="nil"/>
              <w:right w:val="nil"/>
            </w:tcBorders>
            <w:noWrap/>
            <w:vAlign w:val="center"/>
          </w:tcPr>
          <w:p w14:paraId="7C39E8A6" w14:textId="77777777" w:rsidR="00344F3B" w:rsidRPr="002C21B8" w:rsidRDefault="00344F3B" w:rsidP="00EB0FFD">
            <w:pPr>
              <w:spacing w:after="120" w:line="240" w:lineRule="auto"/>
              <w:rPr>
                <w:sz w:val="16"/>
                <w:szCs w:val="16"/>
              </w:rPr>
            </w:pPr>
          </w:p>
        </w:tc>
        <w:tc>
          <w:tcPr>
            <w:tcW w:w="1020" w:type="dxa"/>
            <w:tcBorders>
              <w:top w:val="single" w:sz="6" w:space="0" w:color="000000" w:themeColor="text1"/>
              <w:left w:val="nil"/>
              <w:bottom w:val="nil"/>
              <w:right w:val="nil"/>
            </w:tcBorders>
            <w:noWrap/>
            <w:vAlign w:val="center"/>
          </w:tcPr>
          <w:p w14:paraId="549F1028" w14:textId="77777777" w:rsidR="00344F3B" w:rsidRPr="002C21B8" w:rsidRDefault="00344F3B" w:rsidP="00EB0FFD">
            <w:pPr>
              <w:spacing w:after="120" w:line="240" w:lineRule="auto"/>
              <w:rPr>
                <w:sz w:val="16"/>
                <w:szCs w:val="16"/>
              </w:rPr>
            </w:pPr>
          </w:p>
        </w:tc>
        <w:tc>
          <w:tcPr>
            <w:tcW w:w="907" w:type="dxa"/>
            <w:tcBorders>
              <w:top w:val="single" w:sz="6" w:space="0" w:color="000000" w:themeColor="text1"/>
              <w:left w:val="nil"/>
              <w:bottom w:val="nil"/>
              <w:right w:val="nil"/>
            </w:tcBorders>
            <w:noWrap/>
            <w:vAlign w:val="center"/>
          </w:tcPr>
          <w:p w14:paraId="753B9EED" w14:textId="77777777" w:rsidR="00344F3B" w:rsidRPr="002C21B8" w:rsidRDefault="00344F3B" w:rsidP="00EB0FFD">
            <w:pPr>
              <w:spacing w:after="120" w:line="240" w:lineRule="auto"/>
              <w:rPr>
                <w:sz w:val="16"/>
                <w:szCs w:val="16"/>
              </w:rPr>
            </w:pPr>
          </w:p>
        </w:tc>
        <w:tc>
          <w:tcPr>
            <w:tcW w:w="510" w:type="dxa"/>
            <w:tcBorders>
              <w:top w:val="single" w:sz="6" w:space="0" w:color="000000" w:themeColor="text1"/>
              <w:left w:val="nil"/>
              <w:bottom w:val="nil"/>
              <w:right w:val="nil"/>
            </w:tcBorders>
            <w:vAlign w:val="center"/>
          </w:tcPr>
          <w:p w14:paraId="0B4CE67B" w14:textId="77777777" w:rsidR="00344F3B" w:rsidRPr="002C21B8" w:rsidRDefault="00344F3B" w:rsidP="00EB0FFD">
            <w:pPr>
              <w:spacing w:after="120" w:line="240" w:lineRule="auto"/>
              <w:rPr>
                <w:sz w:val="16"/>
                <w:szCs w:val="16"/>
              </w:rPr>
            </w:pPr>
          </w:p>
        </w:tc>
        <w:tc>
          <w:tcPr>
            <w:tcW w:w="964" w:type="dxa"/>
            <w:tcBorders>
              <w:top w:val="single" w:sz="6" w:space="0" w:color="000000" w:themeColor="text1"/>
              <w:left w:val="nil"/>
              <w:bottom w:val="nil"/>
              <w:right w:val="nil"/>
            </w:tcBorders>
            <w:noWrap/>
            <w:vAlign w:val="center"/>
          </w:tcPr>
          <w:p w14:paraId="2032C43E" w14:textId="77777777" w:rsidR="00344F3B" w:rsidRPr="002C21B8" w:rsidRDefault="00344F3B" w:rsidP="00EB0FFD">
            <w:pPr>
              <w:spacing w:after="120" w:line="240" w:lineRule="auto"/>
              <w:rPr>
                <w:rFonts w:eastAsia="Arial Unicode MS"/>
                <w:sz w:val="16"/>
                <w:szCs w:val="16"/>
              </w:rPr>
            </w:pPr>
          </w:p>
        </w:tc>
        <w:tc>
          <w:tcPr>
            <w:tcW w:w="964" w:type="dxa"/>
            <w:tcBorders>
              <w:top w:val="single" w:sz="6" w:space="0" w:color="000000" w:themeColor="text1"/>
              <w:left w:val="nil"/>
              <w:bottom w:val="nil"/>
              <w:right w:val="nil"/>
            </w:tcBorders>
            <w:noWrap/>
            <w:vAlign w:val="center"/>
          </w:tcPr>
          <w:p w14:paraId="569F43E8" w14:textId="77777777" w:rsidR="00344F3B" w:rsidRPr="002C21B8" w:rsidRDefault="00344F3B" w:rsidP="00EB0FFD">
            <w:pPr>
              <w:spacing w:after="120" w:line="240" w:lineRule="auto"/>
              <w:rPr>
                <w:rFonts w:eastAsia="Arial Unicode MS"/>
                <w:sz w:val="16"/>
                <w:szCs w:val="16"/>
              </w:rPr>
            </w:pPr>
          </w:p>
        </w:tc>
        <w:tc>
          <w:tcPr>
            <w:tcW w:w="850" w:type="dxa"/>
            <w:tcBorders>
              <w:top w:val="single" w:sz="6" w:space="0" w:color="000000" w:themeColor="text1"/>
              <w:left w:val="nil"/>
              <w:bottom w:val="nil"/>
              <w:right w:val="nil"/>
            </w:tcBorders>
            <w:noWrap/>
            <w:vAlign w:val="center"/>
          </w:tcPr>
          <w:p w14:paraId="36FCFCC4" w14:textId="77777777" w:rsidR="00344F3B" w:rsidRPr="002C21B8" w:rsidRDefault="00344F3B" w:rsidP="00EB0FFD">
            <w:pPr>
              <w:spacing w:after="120" w:line="240" w:lineRule="auto"/>
              <w:rPr>
                <w:rFonts w:eastAsia="Arial Unicode MS"/>
                <w:sz w:val="16"/>
                <w:szCs w:val="16"/>
              </w:rPr>
            </w:pPr>
          </w:p>
        </w:tc>
        <w:tc>
          <w:tcPr>
            <w:tcW w:w="680" w:type="dxa"/>
            <w:tcBorders>
              <w:top w:val="single" w:sz="6" w:space="0" w:color="000000" w:themeColor="text1"/>
              <w:left w:val="nil"/>
              <w:bottom w:val="nil"/>
              <w:right w:val="nil"/>
            </w:tcBorders>
            <w:noWrap/>
            <w:vAlign w:val="center"/>
          </w:tcPr>
          <w:p w14:paraId="2279AABF" w14:textId="77777777" w:rsidR="00344F3B" w:rsidRPr="002C21B8" w:rsidRDefault="00344F3B" w:rsidP="00EB0FFD">
            <w:pPr>
              <w:spacing w:after="120" w:line="240" w:lineRule="auto"/>
              <w:rPr>
                <w:rFonts w:eastAsia="Arial Unicode MS"/>
                <w:sz w:val="16"/>
                <w:szCs w:val="16"/>
              </w:rPr>
            </w:pPr>
          </w:p>
        </w:tc>
        <w:tc>
          <w:tcPr>
            <w:tcW w:w="1020" w:type="dxa"/>
            <w:tcBorders>
              <w:top w:val="single" w:sz="6" w:space="0" w:color="000000" w:themeColor="text1"/>
              <w:left w:val="nil"/>
              <w:bottom w:val="nil"/>
              <w:right w:val="nil"/>
            </w:tcBorders>
            <w:noWrap/>
            <w:vAlign w:val="center"/>
          </w:tcPr>
          <w:p w14:paraId="30981610" w14:textId="77777777" w:rsidR="00344F3B" w:rsidRPr="002C21B8" w:rsidRDefault="00344F3B" w:rsidP="00EB0FFD">
            <w:pPr>
              <w:spacing w:after="120" w:line="240" w:lineRule="auto"/>
              <w:rPr>
                <w:rFonts w:eastAsia="Arial Unicode MS"/>
                <w:sz w:val="16"/>
                <w:szCs w:val="16"/>
              </w:rPr>
            </w:pPr>
          </w:p>
        </w:tc>
        <w:tc>
          <w:tcPr>
            <w:tcW w:w="907" w:type="dxa"/>
            <w:tcBorders>
              <w:top w:val="single" w:sz="6" w:space="0" w:color="000000" w:themeColor="text1"/>
              <w:left w:val="nil"/>
              <w:bottom w:val="nil"/>
              <w:right w:val="nil"/>
            </w:tcBorders>
            <w:noWrap/>
            <w:vAlign w:val="center"/>
          </w:tcPr>
          <w:p w14:paraId="559331E3"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0AEDB5A6"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5C5E4F29" w14:textId="77777777" w:rsidR="00344F3B" w:rsidRPr="002C21B8" w:rsidRDefault="00344F3B" w:rsidP="00EB0FFD">
            <w:pPr>
              <w:spacing w:after="120" w:line="240" w:lineRule="auto"/>
              <w:rPr>
                <w:rFonts w:eastAsia="Arial Unicode MS"/>
                <w:sz w:val="16"/>
                <w:szCs w:val="16"/>
              </w:rPr>
            </w:pPr>
          </w:p>
        </w:tc>
        <w:tc>
          <w:tcPr>
            <w:tcW w:w="612" w:type="dxa"/>
            <w:tcBorders>
              <w:top w:val="single" w:sz="6" w:space="0" w:color="000000" w:themeColor="text1"/>
              <w:left w:val="nil"/>
              <w:bottom w:val="nil"/>
              <w:right w:val="single" w:sz="6" w:space="0" w:color="000000" w:themeColor="text1"/>
            </w:tcBorders>
            <w:noWrap/>
            <w:vAlign w:val="center"/>
          </w:tcPr>
          <w:p w14:paraId="290FB807" w14:textId="77777777" w:rsidR="00344F3B" w:rsidRPr="002C21B8" w:rsidRDefault="00344F3B" w:rsidP="00EB0FFD">
            <w:pPr>
              <w:spacing w:after="120" w:line="240" w:lineRule="auto"/>
              <w:rPr>
                <w:rFonts w:eastAsia="Arial Unicode MS"/>
                <w:sz w:val="16"/>
                <w:szCs w:val="16"/>
              </w:rPr>
            </w:pPr>
          </w:p>
        </w:tc>
        <w:tc>
          <w:tcPr>
            <w:tcW w:w="1077" w:type="dxa"/>
            <w:tcBorders>
              <w:left w:val="single" w:sz="6" w:space="0" w:color="000000" w:themeColor="text1"/>
            </w:tcBorders>
            <w:shd w:val="clear" w:color="auto" w:fill="D9D9D9" w:themeFill="background1" w:themeFillShade="D9"/>
            <w:noWrap/>
            <w:vAlign w:val="center"/>
          </w:tcPr>
          <w:p w14:paraId="5B13C01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Total = 2,484</w:t>
            </w:r>
          </w:p>
        </w:tc>
      </w:tr>
    </w:tbl>
    <w:p w14:paraId="4954E54E" w14:textId="77777777" w:rsidR="00344F3B" w:rsidRPr="002C21B8" w:rsidRDefault="00344F3B" w:rsidP="00344F3B">
      <w:pPr>
        <w:spacing w:after="0" w:line="240" w:lineRule="auto"/>
        <w:jc w:val="left"/>
        <w:rPr>
          <w:b/>
          <w:bCs/>
        </w:rPr>
      </w:pPr>
      <w:r w:rsidRPr="002C21B8">
        <w:rPr>
          <w:b/>
          <w:bCs/>
        </w:rPr>
        <w:br w:type="page"/>
      </w:r>
    </w:p>
    <w:p w14:paraId="58EDB82D" w14:textId="77777777" w:rsidR="00344F3B" w:rsidRPr="002C21B8" w:rsidRDefault="00344F3B" w:rsidP="00344F3B">
      <w:pPr>
        <w:rPr>
          <w:b/>
          <w:bCs/>
        </w:rPr>
      </w:pPr>
      <w:r w:rsidRPr="002C21B8">
        <w:rPr>
          <w:b/>
          <w:bCs/>
        </w:rPr>
        <w:t>Upper 95% CI:</w:t>
      </w:r>
    </w:p>
    <w:tbl>
      <w:tblPr>
        <w:tblW w:w="1466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16"/>
        <w:gridCol w:w="671"/>
        <w:gridCol w:w="834"/>
        <w:gridCol w:w="740"/>
        <w:gridCol w:w="1020"/>
        <w:gridCol w:w="907"/>
        <w:gridCol w:w="602"/>
        <w:gridCol w:w="964"/>
        <w:gridCol w:w="964"/>
        <w:gridCol w:w="882"/>
        <w:gridCol w:w="710"/>
        <w:gridCol w:w="1020"/>
        <w:gridCol w:w="907"/>
        <w:gridCol w:w="1191"/>
        <w:gridCol w:w="1191"/>
        <w:gridCol w:w="708"/>
        <w:gridCol w:w="1077"/>
      </w:tblGrid>
      <w:tr w:rsidR="00344F3B" w:rsidRPr="002C21B8" w14:paraId="4C88A25D" w14:textId="77777777" w:rsidTr="00EB0FFD">
        <w:trPr>
          <w:trHeight w:val="283"/>
        </w:trPr>
        <w:tc>
          <w:tcPr>
            <w:tcW w:w="441" w:type="dxa"/>
            <w:noWrap/>
            <w:vAlign w:val="center"/>
            <w:hideMark/>
          </w:tcPr>
          <w:p w14:paraId="32BF8432" w14:textId="77777777" w:rsidR="00344F3B" w:rsidRPr="002C21B8" w:rsidRDefault="00344F3B" w:rsidP="00EB0FFD">
            <w:pPr>
              <w:spacing w:after="120" w:line="240" w:lineRule="auto"/>
              <w:jc w:val="left"/>
              <w:rPr>
                <w:b/>
                <w:bCs/>
                <w:sz w:val="16"/>
                <w:szCs w:val="16"/>
              </w:rPr>
            </w:pPr>
            <w:r w:rsidRPr="002C21B8">
              <w:rPr>
                <w:b/>
                <w:bCs/>
                <w:sz w:val="16"/>
                <w:szCs w:val="16"/>
              </w:rPr>
              <w:t>Year</w:t>
            </w:r>
          </w:p>
        </w:tc>
        <w:tc>
          <w:tcPr>
            <w:tcW w:w="558" w:type="dxa"/>
            <w:noWrap/>
            <w:vAlign w:val="center"/>
            <w:hideMark/>
          </w:tcPr>
          <w:p w14:paraId="783F3094" w14:textId="77777777" w:rsidR="00344F3B" w:rsidRPr="002C21B8" w:rsidRDefault="00344F3B" w:rsidP="00EB0FFD">
            <w:pPr>
              <w:spacing w:after="120" w:line="240" w:lineRule="auto"/>
              <w:jc w:val="left"/>
              <w:rPr>
                <w:b/>
                <w:bCs/>
                <w:sz w:val="16"/>
                <w:szCs w:val="16"/>
              </w:rPr>
            </w:pPr>
            <w:r w:rsidRPr="002C21B8">
              <w:rPr>
                <w:b/>
                <w:bCs/>
                <w:sz w:val="16"/>
                <w:szCs w:val="16"/>
              </w:rPr>
              <w:t>Cohort</w:t>
            </w:r>
          </w:p>
        </w:tc>
        <w:tc>
          <w:tcPr>
            <w:tcW w:w="1146" w:type="dxa"/>
            <w:vAlign w:val="center"/>
          </w:tcPr>
          <w:p w14:paraId="2B37835F" w14:textId="77777777" w:rsidR="00344F3B" w:rsidRPr="002C21B8" w:rsidRDefault="00344F3B" w:rsidP="00EB0FFD">
            <w:pPr>
              <w:spacing w:after="120" w:line="240" w:lineRule="auto"/>
              <w:jc w:val="left"/>
              <w:rPr>
                <w:b/>
                <w:bCs/>
                <w:sz w:val="16"/>
                <w:szCs w:val="16"/>
              </w:rPr>
            </w:pPr>
            <w:r w:rsidRPr="002C21B8">
              <w:rPr>
                <w:b/>
                <w:bCs/>
                <w:sz w:val="16"/>
                <w:szCs w:val="16"/>
              </w:rPr>
              <w:t>Adjusted for 1.84% annual mortality</w:t>
            </w:r>
          </w:p>
        </w:tc>
        <w:tc>
          <w:tcPr>
            <w:tcW w:w="624" w:type="dxa"/>
            <w:noWrap/>
            <w:vAlign w:val="center"/>
            <w:hideMark/>
          </w:tcPr>
          <w:p w14:paraId="0BB792AE" w14:textId="77777777" w:rsidR="00344F3B" w:rsidRPr="002C21B8" w:rsidRDefault="00344F3B" w:rsidP="00EB0FFD">
            <w:pPr>
              <w:spacing w:after="120" w:line="240" w:lineRule="auto"/>
              <w:jc w:val="left"/>
              <w:rPr>
                <w:b/>
                <w:bCs/>
                <w:sz w:val="16"/>
                <w:szCs w:val="16"/>
              </w:rPr>
            </w:pPr>
            <w:r w:rsidRPr="002C21B8">
              <w:rPr>
                <w:b/>
                <w:bCs/>
                <w:sz w:val="16"/>
                <w:szCs w:val="16"/>
              </w:rPr>
              <w:t>Starting eGFR</w:t>
            </w:r>
          </w:p>
        </w:tc>
        <w:tc>
          <w:tcPr>
            <w:tcW w:w="1020" w:type="dxa"/>
            <w:noWrap/>
            <w:vAlign w:val="center"/>
            <w:hideMark/>
          </w:tcPr>
          <w:p w14:paraId="1C82D569" w14:textId="77777777" w:rsidR="00344F3B" w:rsidRPr="002C21B8" w:rsidRDefault="00344F3B" w:rsidP="00EB0FFD">
            <w:pPr>
              <w:spacing w:after="120" w:line="240" w:lineRule="auto"/>
              <w:jc w:val="left"/>
              <w:rPr>
                <w:b/>
                <w:bCs/>
                <w:sz w:val="16"/>
                <w:szCs w:val="16"/>
              </w:rPr>
            </w:pPr>
            <w:r w:rsidRPr="002C21B8">
              <w:rPr>
                <w:b/>
                <w:bCs/>
                <w:sz w:val="16"/>
                <w:szCs w:val="16"/>
              </w:rPr>
              <w:t>Annual decline eGFR mean (sd)</w:t>
            </w:r>
          </w:p>
        </w:tc>
        <w:tc>
          <w:tcPr>
            <w:tcW w:w="907" w:type="dxa"/>
            <w:noWrap/>
            <w:vAlign w:val="center"/>
            <w:hideMark/>
          </w:tcPr>
          <w:p w14:paraId="6241D976" w14:textId="77777777" w:rsidR="00344F3B" w:rsidRPr="002C21B8" w:rsidRDefault="00344F3B" w:rsidP="00EB0FFD">
            <w:pPr>
              <w:spacing w:after="120" w:line="240" w:lineRule="auto"/>
              <w:jc w:val="left"/>
              <w:rPr>
                <w:b/>
                <w:bCs/>
                <w:sz w:val="16"/>
                <w:szCs w:val="16"/>
              </w:rPr>
            </w:pPr>
            <w:r w:rsidRPr="002C21B8">
              <w:rPr>
                <w:b/>
                <w:bCs/>
                <w:sz w:val="16"/>
                <w:szCs w:val="16"/>
              </w:rPr>
              <w:t>Starting eGFR for HD</w:t>
            </w:r>
          </w:p>
        </w:tc>
        <w:tc>
          <w:tcPr>
            <w:tcW w:w="510" w:type="dxa"/>
            <w:noWrap/>
            <w:vAlign w:val="center"/>
            <w:hideMark/>
          </w:tcPr>
          <w:p w14:paraId="1340662D" w14:textId="77777777" w:rsidR="00344F3B" w:rsidRPr="002C21B8" w:rsidRDefault="00344F3B" w:rsidP="00EB0FFD">
            <w:pPr>
              <w:spacing w:after="120" w:line="240" w:lineRule="auto"/>
              <w:jc w:val="left"/>
              <w:rPr>
                <w:b/>
                <w:bCs/>
                <w:sz w:val="16"/>
                <w:szCs w:val="16"/>
              </w:rPr>
            </w:pPr>
            <w:r w:rsidRPr="002C21B8">
              <w:rPr>
                <w:b/>
                <w:bCs/>
                <w:sz w:val="16"/>
                <w:szCs w:val="16"/>
              </w:rPr>
              <w:t>Mean effect</w:t>
            </w:r>
          </w:p>
        </w:tc>
        <w:tc>
          <w:tcPr>
            <w:tcW w:w="964" w:type="dxa"/>
            <w:noWrap/>
            <w:vAlign w:val="center"/>
            <w:hideMark/>
          </w:tcPr>
          <w:p w14:paraId="289C8BD0" w14:textId="77777777" w:rsidR="00344F3B" w:rsidRPr="002C21B8" w:rsidRDefault="00344F3B" w:rsidP="00EB0FFD">
            <w:pPr>
              <w:spacing w:after="120" w:line="240" w:lineRule="auto"/>
              <w:jc w:val="left"/>
              <w:rPr>
                <w:b/>
                <w:bCs/>
                <w:sz w:val="16"/>
                <w:szCs w:val="16"/>
              </w:rPr>
            </w:pPr>
            <w:r w:rsidRPr="002C21B8">
              <w:rPr>
                <w:b/>
                <w:bCs/>
                <w:sz w:val="16"/>
                <w:szCs w:val="16"/>
              </w:rPr>
              <w:t>Expected eGFR untreated</w:t>
            </w:r>
          </w:p>
        </w:tc>
        <w:tc>
          <w:tcPr>
            <w:tcW w:w="964" w:type="dxa"/>
            <w:noWrap/>
            <w:vAlign w:val="center"/>
            <w:hideMark/>
          </w:tcPr>
          <w:p w14:paraId="18AC7EA3" w14:textId="77777777" w:rsidR="00344F3B" w:rsidRPr="002C21B8" w:rsidRDefault="00344F3B" w:rsidP="00EB0FFD">
            <w:pPr>
              <w:spacing w:after="120" w:line="240" w:lineRule="auto"/>
              <w:jc w:val="left"/>
              <w:rPr>
                <w:b/>
                <w:bCs/>
                <w:sz w:val="16"/>
                <w:szCs w:val="16"/>
              </w:rPr>
            </w:pPr>
            <w:r w:rsidRPr="002C21B8">
              <w:rPr>
                <w:b/>
                <w:bCs/>
                <w:sz w:val="16"/>
                <w:szCs w:val="16"/>
              </w:rPr>
              <w:t>Expected eGFR treated</w:t>
            </w:r>
          </w:p>
        </w:tc>
        <w:tc>
          <w:tcPr>
            <w:tcW w:w="850" w:type="dxa"/>
            <w:noWrap/>
            <w:vAlign w:val="center"/>
            <w:hideMark/>
          </w:tcPr>
          <w:p w14:paraId="2C82DF0D" w14:textId="77777777" w:rsidR="00344F3B" w:rsidRPr="002C21B8" w:rsidRDefault="00344F3B" w:rsidP="00EB0FFD">
            <w:pPr>
              <w:spacing w:after="120" w:line="240" w:lineRule="auto"/>
              <w:jc w:val="left"/>
              <w:rPr>
                <w:b/>
                <w:bCs/>
                <w:sz w:val="16"/>
                <w:szCs w:val="16"/>
              </w:rPr>
            </w:pPr>
            <w:r w:rsidRPr="002C21B8">
              <w:rPr>
                <w:b/>
                <w:bCs/>
                <w:sz w:val="16"/>
                <w:szCs w:val="16"/>
              </w:rPr>
              <w:t>Z untreated</w:t>
            </w:r>
          </w:p>
        </w:tc>
        <w:tc>
          <w:tcPr>
            <w:tcW w:w="680" w:type="dxa"/>
            <w:noWrap/>
            <w:vAlign w:val="center"/>
            <w:hideMark/>
          </w:tcPr>
          <w:p w14:paraId="33B3B32A" w14:textId="77777777" w:rsidR="00344F3B" w:rsidRPr="002C21B8" w:rsidRDefault="00344F3B" w:rsidP="00EB0FFD">
            <w:pPr>
              <w:spacing w:after="120" w:line="240" w:lineRule="auto"/>
              <w:jc w:val="left"/>
              <w:rPr>
                <w:b/>
                <w:bCs/>
                <w:sz w:val="16"/>
                <w:szCs w:val="16"/>
              </w:rPr>
            </w:pPr>
            <w:r w:rsidRPr="002C21B8">
              <w:rPr>
                <w:b/>
                <w:bCs/>
                <w:sz w:val="16"/>
                <w:szCs w:val="16"/>
              </w:rPr>
              <w:t>Z treated</w:t>
            </w:r>
          </w:p>
        </w:tc>
        <w:tc>
          <w:tcPr>
            <w:tcW w:w="1020" w:type="dxa"/>
            <w:noWrap/>
            <w:vAlign w:val="center"/>
            <w:hideMark/>
          </w:tcPr>
          <w:p w14:paraId="0FED2A01" w14:textId="77777777" w:rsidR="00344F3B" w:rsidRPr="002C21B8" w:rsidRDefault="00344F3B" w:rsidP="00EB0FFD">
            <w:pPr>
              <w:spacing w:after="120" w:line="240" w:lineRule="auto"/>
              <w:jc w:val="left"/>
              <w:rPr>
                <w:b/>
                <w:bCs/>
                <w:sz w:val="16"/>
                <w:szCs w:val="16"/>
              </w:rPr>
            </w:pPr>
            <w:r w:rsidRPr="002C21B8">
              <w:rPr>
                <w:b/>
                <w:bCs/>
                <w:sz w:val="16"/>
                <w:szCs w:val="16"/>
              </w:rPr>
              <w:t>Cum Prob not KF untreated</w:t>
            </w:r>
          </w:p>
        </w:tc>
        <w:tc>
          <w:tcPr>
            <w:tcW w:w="907" w:type="dxa"/>
            <w:noWrap/>
            <w:vAlign w:val="center"/>
            <w:hideMark/>
          </w:tcPr>
          <w:p w14:paraId="18711061" w14:textId="77777777" w:rsidR="00344F3B" w:rsidRPr="002C21B8" w:rsidRDefault="00344F3B" w:rsidP="00EB0FFD">
            <w:pPr>
              <w:spacing w:after="120" w:line="240" w:lineRule="auto"/>
              <w:jc w:val="left"/>
              <w:rPr>
                <w:b/>
                <w:bCs/>
                <w:sz w:val="16"/>
                <w:szCs w:val="16"/>
              </w:rPr>
            </w:pPr>
            <w:r w:rsidRPr="002C21B8">
              <w:rPr>
                <w:b/>
                <w:bCs/>
                <w:sz w:val="16"/>
                <w:szCs w:val="16"/>
              </w:rPr>
              <w:t>Cum Prob not KF treated</w:t>
            </w:r>
          </w:p>
        </w:tc>
        <w:tc>
          <w:tcPr>
            <w:tcW w:w="1191" w:type="dxa"/>
            <w:noWrap/>
            <w:vAlign w:val="center"/>
            <w:hideMark/>
          </w:tcPr>
          <w:p w14:paraId="448E0C90" w14:textId="77777777" w:rsidR="00344F3B" w:rsidRPr="002C21B8" w:rsidRDefault="00344F3B" w:rsidP="00EB0FFD">
            <w:pPr>
              <w:spacing w:after="120" w:line="240" w:lineRule="auto"/>
              <w:jc w:val="left"/>
              <w:rPr>
                <w:b/>
                <w:bCs/>
                <w:sz w:val="16"/>
                <w:szCs w:val="16"/>
              </w:rPr>
            </w:pPr>
            <w:r w:rsidRPr="002C21B8">
              <w:rPr>
                <w:b/>
                <w:bCs/>
                <w:sz w:val="16"/>
                <w:szCs w:val="16"/>
              </w:rPr>
              <w:t>Annual Prob reach KF (untreated)</w:t>
            </w:r>
          </w:p>
        </w:tc>
        <w:tc>
          <w:tcPr>
            <w:tcW w:w="1191" w:type="dxa"/>
            <w:noWrap/>
            <w:vAlign w:val="center"/>
            <w:hideMark/>
          </w:tcPr>
          <w:p w14:paraId="1884DA6A" w14:textId="77777777" w:rsidR="00344F3B" w:rsidRPr="002C21B8" w:rsidRDefault="00344F3B" w:rsidP="00EB0FFD">
            <w:pPr>
              <w:spacing w:after="120" w:line="240" w:lineRule="auto"/>
              <w:jc w:val="left"/>
              <w:rPr>
                <w:b/>
                <w:bCs/>
                <w:sz w:val="16"/>
                <w:szCs w:val="16"/>
              </w:rPr>
            </w:pPr>
            <w:r w:rsidRPr="002C21B8">
              <w:rPr>
                <w:b/>
                <w:bCs/>
                <w:sz w:val="16"/>
                <w:szCs w:val="16"/>
              </w:rPr>
              <w:t>Annual Prob reach KF (treated)</w:t>
            </w:r>
          </w:p>
        </w:tc>
        <w:tc>
          <w:tcPr>
            <w:tcW w:w="612" w:type="dxa"/>
            <w:noWrap/>
            <w:vAlign w:val="center"/>
            <w:hideMark/>
          </w:tcPr>
          <w:p w14:paraId="3BBBCFC7" w14:textId="77777777" w:rsidR="00344F3B" w:rsidRPr="002C21B8" w:rsidRDefault="00344F3B" w:rsidP="00EB0FFD">
            <w:pPr>
              <w:spacing w:after="120" w:line="240" w:lineRule="auto"/>
              <w:jc w:val="left"/>
              <w:rPr>
                <w:b/>
                <w:bCs/>
                <w:sz w:val="16"/>
                <w:szCs w:val="16"/>
              </w:rPr>
            </w:pPr>
            <w:r w:rsidRPr="002C21B8">
              <w:rPr>
                <w:b/>
                <w:bCs/>
                <w:sz w:val="16"/>
                <w:szCs w:val="16"/>
              </w:rPr>
              <w:t>Change N_KF</w:t>
            </w:r>
          </w:p>
        </w:tc>
        <w:tc>
          <w:tcPr>
            <w:tcW w:w="1077" w:type="dxa"/>
            <w:noWrap/>
            <w:vAlign w:val="center"/>
            <w:hideMark/>
          </w:tcPr>
          <w:p w14:paraId="2F1ED2C5" w14:textId="77777777" w:rsidR="00344F3B" w:rsidRPr="002C21B8" w:rsidRDefault="00344F3B" w:rsidP="00EB0FFD">
            <w:pPr>
              <w:spacing w:after="120" w:line="240" w:lineRule="auto"/>
              <w:jc w:val="left"/>
              <w:rPr>
                <w:b/>
                <w:bCs/>
                <w:sz w:val="16"/>
                <w:szCs w:val="16"/>
              </w:rPr>
            </w:pPr>
            <w:r w:rsidRPr="002C21B8">
              <w:rPr>
                <w:b/>
                <w:bCs/>
                <w:sz w:val="16"/>
                <w:szCs w:val="16"/>
              </w:rPr>
              <w:t>Contribution to total years saved</w:t>
            </w:r>
          </w:p>
        </w:tc>
      </w:tr>
      <w:tr w:rsidR="00344F3B" w:rsidRPr="002C21B8" w14:paraId="351B706A" w14:textId="77777777" w:rsidTr="00EB0FFD">
        <w:trPr>
          <w:trHeight w:val="283"/>
        </w:trPr>
        <w:tc>
          <w:tcPr>
            <w:tcW w:w="441" w:type="dxa"/>
            <w:noWrap/>
            <w:vAlign w:val="center"/>
            <w:hideMark/>
          </w:tcPr>
          <w:p w14:paraId="30C9989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w:t>
            </w:r>
          </w:p>
        </w:tc>
        <w:tc>
          <w:tcPr>
            <w:tcW w:w="558" w:type="dxa"/>
            <w:noWrap/>
            <w:vAlign w:val="center"/>
            <w:hideMark/>
          </w:tcPr>
          <w:p w14:paraId="40F075C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63E4579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624" w:type="dxa"/>
            <w:noWrap/>
            <w:vAlign w:val="center"/>
            <w:hideMark/>
          </w:tcPr>
          <w:p w14:paraId="4A005FE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0B6C991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603984E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19ABAC2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9F8ADD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0431B7C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40.43</w:t>
            </w:r>
          </w:p>
        </w:tc>
        <w:tc>
          <w:tcPr>
            <w:tcW w:w="850" w:type="dxa"/>
            <w:noWrap/>
            <w:vAlign w:val="center"/>
            <w:hideMark/>
          </w:tcPr>
          <w:p w14:paraId="0263CFE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42.09</w:t>
            </w:r>
          </w:p>
        </w:tc>
        <w:tc>
          <w:tcPr>
            <w:tcW w:w="680" w:type="dxa"/>
            <w:noWrap/>
            <w:vAlign w:val="center"/>
            <w:hideMark/>
          </w:tcPr>
          <w:p w14:paraId="4A2C2B8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2.888</w:t>
            </w:r>
          </w:p>
        </w:tc>
        <w:tc>
          <w:tcPr>
            <w:tcW w:w="1020" w:type="dxa"/>
            <w:noWrap/>
            <w:vAlign w:val="center"/>
            <w:hideMark/>
          </w:tcPr>
          <w:p w14:paraId="1B8FE7D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3.042</w:t>
            </w:r>
          </w:p>
        </w:tc>
        <w:tc>
          <w:tcPr>
            <w:tcW w:w="907" w:type="dxa"/>
            <w:noWrap/>
            <w:vAlign w:val="center"/>
            <w:hideMark/>
          </w:tcPr>
          <w:p w14:paraId="7ABDFA3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0.998</w:t>
            </w:r>
          </w:p>
        </w:tc>
        <w:tc>
          <w:tcPr>
            <w:tcW w:w="1191" w:type="dxa"/>
            <w:noWrap/>
            <w:vAlign w:val="center"/>
            <w:hideMark/>
          </w:tcPr>
          <w:p w14:paraId="6536263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0.999</w:t>
            </w:r>
          </w:p>
        </w:tc>
        <w:tc>
          <w:tcPr>
            <w:tcW w:w="1191" w:type="dxa"/>
            <w:noWrap/>
            <w:vAlign w:val="center"/>
            <w:hideMark/>
          </w:tcPr>
          <w:p w14:paraId="6965ECD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0.002</w:t>
            </w:r>
          </w:p>
        </w:tc>
        <w:tc>
          <w:tcPr>
            <w:tcW w:w="612" w:type="dxa"/>
            <w:noWrap/>
            <w:vAlign w:val="center"/>
            <w:hideMark/>
          </w:tcPr>
          <w:p w14:paraId="063AF50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1077" w:type="dxa"/>
            <w:noWrap/>
            <w:vAlign w:val="center"/>
            <w:hideMark/>
          </w:tcPr>
          <w:p w14:paraId="1ED6E4F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1.143</w:t>
            </w:r>
          </w:p>
        </w:tc>
      </w:tr>
      <w:tr w:rsidR="00344F3B" w:rsidRPr="002C21B8" w14:paraId="23655EEA" w14:textId="77777777" w:rsidTr="00EB0FFD">
        <w:trPr>
          <w:trHeight w:val="283"/>
        </w:trPr>
        <w:tc>
          <w:tcPr>
            <w:tcW w:w="441" w:type="dxa"/>
            <w:noWrap/>
            <w:vAlign w:val="center"/>
            <w:hideMark/>
          </w:tcPr>
          <w:p w14:paraId="78B4565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w:t>
            </w:r>
          </w:p>
        </w:tc>
        <w:tc>
          <w:tcPr>
            <w:tcW w:w="558" w:type="dxa"/>
            <w:noWrap/>
            <w:vAlign w:val="center"/>
            <w:hideMark/>
          </w:tcPr>
          <w:p w14:paraId="39604A0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3E04B7E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1,468</w:t>
            </w:r>
          </w:p>
        </w:tc>
        <w:tc>
          <w:tcPr>
            <w:tcW w:w="624" w:type="dxa"/>
            <w:noWrap/>
            <w:vAlign w:val="center"/>
            <w:hideMark/>
          </w:tcPr>
          <w:p w14:paraId="560FC5B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36213BE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3402C8E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69E23F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27ABF05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0A2F17D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33.36</w:t>
            </w:r>
          </w:p>
        </w:tc>
        <w:tc>
          <w:tcPr>
            <w:tcW w:w="850" w:type="dxa"/>
            <w:noWrap/>
            <w:vAlign w:val="center"/>
            <w:hideMark/>
          </w:tcPr>
          <w:p w14:paraId="4BB2405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36.68</w:t>
            </w:r>
          </w:p>
        </w:tc>
        <w:tc>
          <w:tcPr>
            <w:tcW w:w="680" w:type="dxa"/>
            <w:noWrap/>
            <w:vAlign w:val="center"/>
            <w:hideMark/>
          </w:tcPr>
          <w:p w14:paraId="105BFE8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2.232</w:t>
            </w:r>
          </w:p>
        </w:tc>
        <w:tc>
          <w:tcPr>
            <w:tcW w:w="1020" w:type="dxa"/>
            <w:noWrap/>
            <w:vAlign w:val="center"/>
            <w:hideMark/>
          </w:tcPr>
          <w:p w14:paraId="3440A3F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2.540</w:t>
            </w:r>
          </w:p>
        </w:tc>
        <w:tc>
          <w:tcPr>
            <w:tcW w:w="907" w:type="dxa"/>
            <w:noWrap/>
            <w:vAlign w:val="center"/>
            <w:hideMark/>
          </w:tcPr>
          <w:p w14:paraId="2EDE03A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0.987</w:t>
            </w:r>
          </w:p>
        </w:tc>
        <w:tc>
          <w:tcPr>
            <w:tcW w:w="1191" w:type="dxa"/>
            <w:noWrap/>
            <w:vAlign w:val="center"/>
            <w:hideMark/>
          </w:tcPr>
          <w:p w14:paraId="16400DB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0.994</w:t>
            </w:r>
          </w:p>
        </w:tc>
        <w:tc>
          <w:tcPr>
            <w:tcW w:w="1191" w:type="dxa"/>
            <w:noWrap/>
            <w:vAlign w:val="center"/>
            <w:hideMark/>
          </w:tcPr>
          <w:p w14:paraId="325B07B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0.011</w:t>
            </w:r>
          </w:p>
        </w:tc>
        <w:tc>
          <w:tcPr>
            <w:tcW w:w="612" w:type="dxa"/>
            <w:noWrap/>
            <w:vAlign w:val="center"/>
            <w:hideMark/>
          </w:tcPr>
          <w:p w14:paraId="6943AFF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0.004</w:t>
            </w:r>
          </w:p>
        </w:tc>
        <w:tc>
          <w:tcPr>
            <w:tcW w:w="1077" w:type="dxa"/>
            <w:noWrap/>
            <w:vAlign w:val="center"/>
            <w:hideMark/>
          </w:tcPr>
          <w:p w14:paraId="64C2E20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9.726</w:t>
            </w:r>
          </w:p>
        </w:tc>
      </w:tr>
      <w:tr w:rsidR="00344F3B" w:rsidRPr="002C21B8" w14:paraId="03B34874" w14:textId="77777777" w:rsidTr="00EB0FFD">
        <w:trPr>
          <w:trHeight w:val="283"/>
        </w:trPr>
        <w:tc>
          <w:tcPr>
            <w:tcW w:w="441" w:type="dxa"/>
            <w:noWrap/>
            <w:vAlign w:val="center"/>
            <w:hideMark/>
          </w:tcPr>
          <w:p w14:paraId="02F6F7F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w:t>
            </w:r>
          </w:p>
        </w:tc>
        <w:tc>
          <w:tcPr>
            <w:tcW w:w="558" w:type="dxa"/>
            <w:noWrap/>
            <w:vAlign w:val="center"/>
            <w:hideMark/>
          </w:tcPr>
          <w:p w14:paraId="5793D17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5CD6A88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1,441</w:t>
            </w:r>
          </w:p>
        </w:tc>
        <w:tc>
          <w:tcPr>
            <w:tcW w:w="624" w:type="dxa"/>
            <w:noWrap/>
            <w:vAlign w:val="center"/>
            <w:hideMark/>
          </w:tcPr>
          <w:p w14:paraId="320D2B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3E4B88A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72C6216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35FBF86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1E758A0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1E3CAC4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26.29</w:t>
            </w:r>
          </w:p>
        </w:tc>
        <w:tc>
          <w:tcPr>
            <w:tcW w:w="850" w:type="dxa"/>
            <w:noWrap/>
            <w:vAlign w:val="center"/>
            <w:hideMark/>
          </w:tcPr>
          <w:p w14:paraId="18AAA83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31.27</w:t>
            </w:r>
          </w:p>
        </w:tc>
        <w:tc>
          <w:tcPr>
            <w:tcW w:w="680" w:type="dxa"/>
            <w:noWrap/>
            <w:vAlign w:val="center"/>
            <w:hideMark/>
          </w:tcPr>
          <w:p w14:paraId="6604203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1.576</w:t>
            </w:r>
          </w:p>
        </w:tc>
        <w:tc>
          <w:tcPr>
            <w:tcW w:w="1020" w:type="dxa"/>
            <w:noWrap/>
            <w:vAlign w:val="center"/>
            <w:hideMark/>
          </w:tcPr>
          <w:p w14:paraId="4753EC5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2.038</w:t>
            </w:r>
          </w:p>
        </w:tc>
        <w:tc>
          <w:tcPr>
            <w:tcW w:w="907" w:type="dxa"/>
            <w:noWrap/>
            <w:vAlign w:val="center"/>
            <w:hideMark/>
          </w:tcPr>
          <w:p w14:paraId="799DA43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0.942</w:t>
            </w:r>
          </w:p>
        </w:tc>
        <w:tc>
          <w:tcPr>
            <w:tcW w:w="1191" w:type="dxa"/>
            <w:noWrap/>
            <w:vAlign w:val="center"/>
            <w:hideMark/>
          </w:tcPr>
          <w:p w14:paraId="2FB17BB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0.979</w:t>
            </w:r>
          </w:p>
        </w:tc>
        <w:tc>
          <w:tcPr>
            <w:tcW w:w="1191" w:type="dxa"/>
            <w:noWrap/>
            <w:vAlign w:val="center"/>
            <w:hideMark/>
          </w:tcPr>
          <w:p w14:paraId="46E3FC1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0.045</w:t>
            </w:r>
          </w:p>
        </w:tc>
        <w:tc>
          <w:tcPr>
            <w:tcW w:w="612" w:type="dxa"/>
            <w:noWrap/>
            <w:vAlign w:val="center"/>
            <w:hideMark/>
          </w:tcPr>
          <w:p w14:paraId="3349D0D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0.015</w:t>
            </w:r>
          </w:p>
        </w:tc>
        <w:tc>
          <w:tcPr>
            <w:tcW w:w="1077" w:type="dxa"/>
            <w:noWrap/>
            <w:vAlign w:val="center"/>
            <w:hideMark/>
          </w:tcPr>
          <w:p w14:paraId="31DCEE6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44.076</w:t>
            </w:r>
          </w:p>
        </w:tc>
      </w:tr>
      <w:tr w:rsidR="00344F3B" w:rsidRPr="002C21B8" w14:paraId="2473B3E1" w14:textId="77777777" w:rsidTr="00EB0FFD">
        <w:trPr>
          <w:trHeight w:val="283"/>
        </w:trPr>
        <w:tc>
          <w:tcPr>
            <w:tcW w:w="441" w:type="dxa"/>
            <w:noWrap/>
            <w:vAlign w:val="center"/>
            <w:hideMark/>
          </w:tcPr>
          <w:p w14:paraId="0FEF4BD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w:t>
            </w:r>
          </w:p>
        </w:tc>
        <w:tc>
          <w:tcPr>
            <w:tcW w:w="558" w:type="dxa"/>
            <w:noWrap/>
            <w:vAlign w:val="center"/>
            <w:hideMark/>
          </w:tcPr>
          <w:p w14:paraId="6A3DCF7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604E2B2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1,415</w:t>
            </w:r>
          </w:p>
        </w:tc>
        <w:tc>
          <w:tcPr>
            <w:tcW w:w="624" w:type="dxa"/>
            <w:noWrap/>
            <w:vAlign w:val="center"/>
            <w:hideMark/>
          </w:tcPr>
          <w:p w14:paraId="31DA663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229006C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0A61B08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60BD0A0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F3654C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725E626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19.22</w:t>
            </w:r>
          </w:p>
        </w:tc>
        <w:tc>
          <w:tcPr>
            <w:tcW w:w="850" w:type="dxa"/>
            <w:noWrap/>
            <w:vAlign w:val="center"/>
            <w:hideMark/>
          </w:tcPr>
          <w:p w14:paraId="29F0FD2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25.86</w:t>
            </w:r>
          </w:p>
        </w:tc>
        <w:tc>
          <w:tcPr>
            <w:tcW w:w="680" w:type="dxa"/>
            <w:noWrap/>
            <w:vAlign w:val="center"/>
            <w:hideMark/>
          </w:tcPr>
          <w:p w14:paraId="1D2C99D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0.920</w:t>
            </w:r>
          </w:p>
        </w:tc>
        <w:tc>
          <w:tcPr>
            <w:tcW w:w="1020" w:type="dxa"/>
            <w:noWrap/>
            <w:vAlign w:val="center"/>
            <w:hideMark/>
          </w:tcPr>
          <w:p w14:paraId="53156F7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1.536</w:t>
            </w:r>
          </w:p>
        </w:tc>
        <w:tc>
          <w:tcPr>
            <w:tcW w:w="907" w:type="dxa"/>
            <w:noWrap/>
            <w:vAlign w:val="center"/>
            <w:hideMark/>
          </w:tcPr>
          <w:p w14:paraId="78621D3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0.821</w:t>
            </w:r>
          </w:p>
        </w:tc>
        <w:tc>
          <w:tcPr>
            <w:tcW w:w="1191" w:type="dxa"/>
            <w:noWrap/>
            <w:vAlign w:val="center"/>
            <w:hideMark/>
          </w:tcPr>
          <w:p w14:paraId="6706CF6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0.938</w:t>
            </w:r>
          </w:p>
        </w:tc>
        <w:tc>
          <w:tcPr>
            <w:tcW w:w="1191" w:type="dxa"/>
            <w:noWrap/>
            <w:vAlign w:val="center"/>
            <w:hideMark/>
          </w:tcPr>
          <w:p w14:paraId="0B4F336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0.121</w:t>
            </w:r>
          </w:p>
        </w:tc>
        <w:tc>
          <w:tcPr>
            <w:tcW w:w="612" w:type="dxa"/>
            <w:noWrap/>
            <w:vAlign w:val="center"/>
            <w:hideMark/>
          </w:tcPr>
          <w:p w14:paraId="7874BF5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0.041</w:t>
            </w:r>
          </w:p>
        </w:tc>
        <w:tc>
          <w:tcPr>
            <w:tcW w:w="1077" w:type="dxa"/>
            <w:noWrap/>
            <w:vAlign w:val="center"/>
            <w:hideMark/>
          </w:tcPr>
          <w:p w14:paraId="31DDC8F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119.292</w:t>
            </w:r>
          </w:p>
        </w:tc>
      </w:tr>
      <w:tr w:rsidR="00344F3B" w:rsidRPr="002C21B8" w14:paraId="54AA7984" w14:textId="77777777" w:rsidTr="00EB0FFD">
        <w:trPr>
          <w:trHeight w:val="283"/>
        </w:trPr>
        <w:tc>
          <w:tcPr>
            <w:tcW w:w="441" w:type="dxa"/>
            <w:noWrap/>
            <w:vAlign w:val="center"/>
            <w:hideMark/>
          </w:tcPr>
          <w:p w14:paraId="05C873C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w:t>
            </w:r>
          </w:p>
        </w:tc>
        <w:tc>
          <w:tcPr>
            <w:tcW w:w="558" w:type="dxa"/>
            <w:noWrap/>
            <w:vAlign w:val="center"/>
            <w:hideMark/>
          </w:tcPr>
          <w:p w14:paraId="760ED6E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325884C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1,389</w:t>
            </w:r>
          </w:p>
        </w:tc>
        <w:tc>
          <w:tcPr>
            <w:tcW w:w="624" w:type="dxa"/>
            <w:noWrap/>
            <w:vAlign w:val="center"/>
            <w:hideMark/>
          </w:tcPr>
          <w:p w14:paraId="08EA02F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147F595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749392F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5C79A2D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169B44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0F36DAC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12.15</w:t>
            </w:r>
          </w:p>
        </w:tc>
        <w:tc>
          <w:tcPr>
            <w:tcW w:w="850" w:type="dxa"/>
            <w:noWrap/>
            <w:vAlign w:val="center"/>
            <w:hideMark/>
          </w:tcPr>
          <w:p w14:paraId="4673878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20.45</w:t>
            </w:r>
          </w:p>
        </w:tc>
        <w:tc>
          <w:tcPr>
            <w:tcW w:w="680" w:type="dxa"/>
            <w:noWrap/>
            <w:vAlign w:val="center"/>
            <w:hideMark/>
          </w:tcPr>
          <w:p w14:paraId="5922A5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0.264</w:t>
            </w:r>
          </w:p>
        </w:tc>
        <w:tc>
          <w:tcPr>
            <w:tcW w:w="1020" w:type="dxa"/>
            <w:noWrap/>
            <w:vAlign w:val="center"/>
            <w:hideMark/>
          </w:tcPr>
          <w:p w14:paraId="2134E5F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1.034</w:t>
            </w:r>
          </w:p>
        </w:tc>
        <w:tc>
          <w:tcPr>
            <w:tcW w:w="907" w:type="dxa"/>
            <w:noWrap/>
            <w:vAlign w:val="center"/>
            <w:hideMark/>
          </w:tcPr>
          <w:p w14:paraId="0566F7D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0.604</w:t>
            </w:r>
          </w:p>
        </w:tc>
        <w:tc>
          <w:tcPr>
            <w:tcW w:w="1191" w:type="dxa"/>
            <w:noWrap/>
            <w:vAlign w:val="center"/>
            <w:hideMark/>
          </w:tcPr>
          <w:p w14:paraId="5A3FCFE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0.850</w:t>
            </w:r>
          </w:p>
        </w:tc>
        <w:tc>
          <w:tcPr>
            <w:tcW w:w="1191" w:type="dxa"/>
            <w:noWrap/>
            <w:vAlign w:val="center"/>
            <w:hideMark/>
          </w:tcPr>
          <w:p w14:paraId="5D1772A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0.217</w:t>
            </w:r>
          </w:p>
        </w:tc>
        <w:tc>
          <w:tcPr>
            <w:tcW w:w="612" w:type="dxa"/>
            <w:noWrap/>
            <w:vAlign w:val="center"/>
            <w:hideMark/>
          </w:tcPr>
          <w:p w14:paraId="6795A70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0.088</w:t>
            </w:r>
          </w:p>
        </w:tc>
        <w:tc>
          <w:tcPr>
            <w:tcW w:w="1077" w:type="dxa"/>
            <w:noWrap/>
            <w:vAlign w:val="center"/>
            <w:hideMark/>
          </w:tcPr>
          <w:p w14:paraId="7335091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192.621</w:t>
            </w:r>
          </w:p>
        </w:tc>
      </w:tr>
      <w:tr w:rsidR="00344F3B" w:rsidRPr="002C21B8" w14:paraId="67DF66E9" w14:textId="77777777" w:rsidTr="00EB0FFD">
        <w:trPr>
          <w:trHeight w:val="283"/>
        </w:trPr>
        <w:tc>
          <w:tcPr>
            <w:tcW w:w="441" w:type="dxa"/>
            <w:noWrap/>
            <w:vAlign w:val="center"/>
            <w:hideMark/>
          </w:tcPr>
          <w:p w14:paraId="2B04A5C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w:t>
            </w:r>
          </w:p>
        </w:tc>
        <w:tc>
          <w:tcPr>
            <w:tcW w:w="558" w:type="dxa"/>
            <w:noWrap/>
            <w:vAlign w:val="center"/>
            <w:hideMark/>
          </w:tcPr>
          <w:p w14:paraId="6C58A18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1F3A8B6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1,363</w:t>
            </w:r>
          </w:p>
        </w:tc>
        <w:tc>
          <w:tcPr>
            <w:tcW w:w="624" w:type="dxa"/>
            <w:noWrap/>
            <w:vAlign w:val="center"/>
            <w:hideMark/>
          </w:tcPr>
          <w:p w14:paraId="24026E3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0C4A391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167D521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60C4212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5F39210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2DB5AC9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5.08</w:t>
            </w:r>
          </w:p>
        </w:tc>
        <w:tc>
          <w:tcPr>
            <w:tcW w:w="850" w:type="dxa"/>
            <w:noWrap/>
            <w:vAlign w:val="center"/>
            <w:hideMark/>
          </w:tcPr>
          <w:p w14:paraId="2DA9FD0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15.04</w:t>
            </w:r>
          </w:p>
        </w:tc>
        <w:tc>
          <w:tcPr>
            <w:tcW w:w="680" w:type="dxa"/>
            <w:noWrap/>
            <w:vAlign w:val="center"/>
            <w:hideMark/>
          </w:tcPr>
          <w:p w14:paraId="6D5D0B3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-0.391</w:t>
            </w:r>
          </w:p>
        </w:tc>
        <w:tc>
          <w:tcPr>
            <w:tcW w:w="1020" w:type="dxa"/>
            <w:noWrap/>
            <w:vAlign w:val="center"/>
            <w:hideMark/>
          </w:tcPr>
          <w:p w14:paraId="25856CF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0.532</w:t>
            </w:r>
          </w:p>
        </w:tc>
        <w:tc>
          <w:tcPr>
            <w:tcW w:w="907" w:type="dxa"/>
            <w:noWrap/>
            <w:vAlign w:val="center"/>
            <w:hideMark/>
          </w:tcPr>
          <w:p w14:paraId="0AB1398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0.348</w:t>
            </w:r>
          </w:p>
        </w:tc>
        <w:tc>
          <w:tcPr>
            <w:tcW w:w="1191" w:type="dxa"/>
            <w:noWrap/>
            <w:vAlign w:val="center"/>
            <w:hideMark/>
          </w:tcPr>
          <w:p w14:paraId="4BF90A6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0.703</w:t>
            </w:r>
          </w:p>
        </w:tc>
        <w:tc>
          <w:tcPr>
            <w:tcW w:w="1191" w:type="dxa"/>
            <w:noWrap/>
            <w:vAlign w:val="center"/>
            <w:hideMark/>
          </w:tcPr>
          <w:p w14:paraId="2C10A56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0.257</w:t>
            </w:r>
          </w:p>
        </w:tc>
        <w:tc>
          <w:tcPr>
            <w:tcW w:w="612" w:type="dxa"/>
            <w:noWrap/>
            <w:vAlign w:val="center"/>
            <w:hideMark/>
          </w:tcPr>
          <w:p w14:paraId="15A70D2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1077" w:type="dxa"/>
            <w:noWrap/>
            <w:vAlign w:val="center"/>
            <w:hideMark/>
          </w:tcPr>
          <w:p w14:paraId="44B17B9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164.275</w:t>
            </w:r>
          </w:p>
        </w:tc>
      </w:tr>
      <w:tr w:rsidR="00344F3B" w:rsidRPr="002C21B8" w14:paraId="7C866851" w14:textId="77777777" w:rsidTr="00EB0FFD">
        <w:trPr>
          <w:trHeight w:val="283"/>
        </w:trPr>
        <w:tc>
          <w:tcPr>
            <w:tcW w:w="441" w:type="dxa"/>
            <w:noWrap/>
            <w:vAlign w:val="center"/>
            <w:hideMark/>
          </w:tcPr>
          <w:p w14:paraId="007BD9A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w:t>
            </w:r>
          </w:p>
        </w:tc>
        <w:tc>
          <w:tcPr>
            <w:tcW w:w="558" w:type="dxa"/>
            <w:noWrap/>
            <w:vAlign w:val="center"/>
            <w:hideMark/>
          </w:tcPr>
          <w:p w14:paraId="2A5AA44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725E11B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1,338</w:t>
            </w:r>
          </w:p>
        </w:tc>
        <w:tc>
          <w:tcPr>
            <w:tcW w:w="624" w:type="dxa"/>
            <w:noWrap/>
            <w:vAlign w:val="center"/>
            <w:hideMark/>
          </w:tcPr>
          <w:p w14:paraId="1DDB56F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02A5098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106BE6F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1688B14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1504F07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7988F31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-1.99</w:t>
            </w:r>
          </w:p>
        </w:tc>
        <w:tc>
          <w:tcPr>
            <w:tcW w:w="850" w:type="dxa"/>
            <w:noWrap/>
            <w:vAlign w:val="center"/>
            <w:hideMark/>
          </w:tcPr>
          <w:p w14:paraId="15E3BE7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9.63</w:t>
            </w:r>
          </w:p>
        </w:tc>
        <w:tc>
          <w:tcPr>
            <w:tcW w:w="680" w:type="dxa"/>
            <w:noWrap/>
            <w:vAlign w:val="center"/>
            <w:hideMark/>
          </w:tcPr>
          <w:p w14:paraId="5D0E726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-1.047</w:t>
            </w:r>
          </w:p>
        </w:tc>
        <w:tc>
          <w:tcPr>
            <w:tcW w:w="1020" w:type="dxa"/>
            <w:noWrap/>
            <w:vAlign w:val="center"/>
            <w:hideMark/>
          </w:tcPr>
          <w:p w14:paraId="0E46F85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0.031</w:t>
            </w:r>
          </w:p>
        </w:tc>
        <w:tc>
          <w:tcPr>
            <w:tcW w:w="907" w:type="dxa"/>
            <w:noWrap/>
            <w:vAlign w:val="center"/>
            <w:hideMark/>
          </w:tcPr>
          <w:p w14:paraId="53B0DF5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1191" w:type="dxa"/>
            <w:noWrap/>
            <w:vAlign w:val="center"/>
            <w:hideMark/>
          </w:tcPr>
          <w:p w14:paraId="4374007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0.512</w:t>
            </w:r>
          </w:p>
        </w:tc>
        <w:tc>
          <w:tcPr>
            <w:tcW w:w="1191" w:type="dxa"/>
            <w:noWrap/>
            <w:vAlign w:val="center"/>
            <w:hideMark/>
          </w:tcPr>
          <w:p w14:paraId="5443A1F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0.200</w:t>
            </w:r>
          </w:p>
        </w:tc>
        <w:tc>
          <w:tcPr>
            <w:tcW w:w="612" w:type="dxa"/>
            <w:noWrap/>
            <w:vAlign w:val="center"/>
            <w:hideMark/>
          </w:tcPr>
          <w:p w14:paraId="41AA33F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0.191</w:t>
            </w:r>
          </w:p>
        </w:tc>
        <w:tc>
          <w:tcPr>
            <w:tcW w:w="1077" w:type="dxa"/>
            <w:noWrap/>
            <w:vAlign w:val="center"/>
            <w:hideMark/>
          </w:tcPr>
          <w:p w14:paraId="39974D8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14.450</w:t>
            </w:r>
          </w:p>
        </w:tc>
      </w:tr>
      <w:tr w:rsidR="00344F3B" w:rsidRPr="002C21B8" w14:paraId="12AD2ED9" w14:textId="77777777" w:rsidTr="00EB0FFD">
        <w:trPr>
          <w:trHeight w:val="283"/>
        </w:trPr>
        <w:tc>
          <w:tcPr>
            <w:tcW w:w="441" w:type="dxa"/>
            <w:noWrap/>
            <w:vAlign w:val="center"/>
            <w:hideMark/>
          </w:tcPr>
          <w:p w14:paraId="4B5CECA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8</w:t>
            </w:r>
          </w:p>
        </w:tc>
        <w:tc>
          <w:tcPr>
            <w:tcW w:w="558" w:type="dxa"/>
            <w:noWrap/>
            <w:vAlign w:val="center"/>
            <w:hideMark/>
          </w:tcPr>
          <w:p w14:paraId="46F08F6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15BB15A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1,314</w:t>
            </w:r>
          </w:p>
        </w:tc>
        <w:tc>
          <w:tcPr>
            <w:tcW w:w="624" w:type="dxa"/>
            <w:noWrap/>
            <w:vAlign w:val="center"/>
            <w:hideMark/>
          </w:tcPr>
          <w:p w14:paraId="45396A7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46B68B8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6412D51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4186A00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64B665B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44680AC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-9.06</w:t>
            </w:r>
          </w:p>
        </w:tc>
        <w:tc>
          <w:tcPr>
            <w:tcW w:w="850" w:type="dxa"/>
            <w:noWrap/>
            <w:vAlign w:val="center"/>
            <w:hideMark/>
          </w:tcPr>
          <w:p w14:paraId="66720EB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4.22</w:t>
            </w:r>
          </w:p>
        </w:tc>
        <w:tc>
          <w:tcPr>
            <w:tcW w:w="680" w:type="dxa"/>
            <w:noWrap/>
            <w:vAlign w:val="center"/>
            <w:hideMark/>
          </w:tcPr>
          <w:p w14:paraId="40AC6D6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-1.703</w:t>
            </w:r>
          </w:p>
        </w:tc>
        <w:tc>
          <w:tcPr>
            <w:tcW w:w="1020" w:type="dxa"/>
            <w:noWrap/>
            <w:vAlign w:val="center"/>
            <w:hideMark/>
          </w:tcPr>
          <w:p w14:paraId="31EF101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-0.471</w:t>
            </w:r>
          </w:p>
        </w:tc>
        <w:tc>
          <w:tcPr>
            <w:tcW w:w="907" w:type="dxa"/>
            <w:noWrap/>
            <w:vAlign w:val="center"/>
            <w:hideMark/>
          </w:tcPr>
          <w:p w14:paraId="3B4846B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0.044</w:t>
            </w:r>
          </w:p>
        </w:tc>
        <w:tc>
          <w:tcPr>
            <w:tcW w:w="1191" w:type="dxa"/>
            <w:noWrap/>
            <w:vAlign w:val="center"/>
            <w:hideMark/>
          </w:tcPr>
          <w:p w14:paraId="5ECE0C4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0.319</w:t>
            </w:r>
          </w:p>
        </w:tc>
        <w:tc>
          <w:tcPr>
            <w:tcW w:w="1191" w:type="dxa"/>
            <w:noWrap/>
            <w:vAlign w:val="center"/>
            <w:hideMark/>
          </w:tcPr>
          <w:p w14:paraId="21BA27A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0.103</w:t>
            </w:r>
          </w:p>
        </w:tc>
        <w:tc>
          <w:tcPr>
            <w:tcW w:w="612" w:type="dxa"/>
            <w:noWrap/>
            <w:vAlign w:val="center"/>
            <w:hideMark/>
          </w:tcPr>
          <w:p w14:paraId="7D8F46E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0.193</w:t>
            </w:r>
          </w:p>
        </w:tc>
        <w:tc>
          <w:tcPr>
            <w:tcW w:w="1077" w:type="dxa"/>
            <w:noWrap/>
            <w:vAlign w:val="center"/>
            <w:hideMark/>
          </w:tcPr>
          <w:p w14:paraId="7C9F9F3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110F5BE1" w14:textId="77777777" w:rsidTr="00EB0FFD">
        <w:trPr>
          <w:trHeight w:val="283"/>
        </w:trPr>
        <w:tc>
          <w:tcPr>
            <w:tcW w:w="441" w:type="dxa"/>
            <w:noWrap/>
            <w:vAlign w:val="center"/>
            <w:hideMark/>
          </w:tcPr>
          <w:p w14:paraId="18EAF12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w:t>
            </w:r>
          </w:p>
        </w:tc>
        <w:tc>
          <w:tcPr>
            <w:tcW w:w="558" w:type="dxa"/>
            <w:noWrap/>
            <w:vAlign w:val="center"/>
            <w:hideMark/>
          </w:tcPr>
          <w:p w14:paraId="0832597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vAlign w:val="center"/>
          </w:tcPr>
          <w:p w14:paraId="0E9EB3C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1,289</w:t>
            </w:r>
          </w:p>
        </w:tc>
        <w:tc>
          <w:tcPr>
            <w:tcW w:w="624" w:type="dxa"/>
            <w:noWrap/>
            <w:vAlign w:val="center"/>
            <w:hideMark/>
          </w:tcPr>
          <w:p w14:paraId="796282D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noWrap/>
            <w:vAlign w:val="center"/>
            <w:hideMark/>
          </w:tcPr>
          <w:p w14:paraId="53429E3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noWrap/>
            <w:vAlign w:val="center"/>
            <w:hideMark/>
          </w:tcPr>
          <w:p w14:paraId="3DBC86A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vAlign w:val="center"/>
            <w:hideMark/>
          </w:tcPr>
          <w:p w14:paraId="0486E3B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noWrap/>
            <w:vAlign w:val="center"/>
            <w:hideMark/>
          </w:tcPr>
          <w:p w14:paraId="45DA2FD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5E6AB8A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-16.13</w:t>
            </w:r>
          </w:p>
        </w:tc>
        <w:tc>
          <w:tcPr>
            <w:tcW w:w="850" w:type="dxa"/>
            <w:noWrap/>
            <w:vAlign w:val="center"/>
            <w:hideMark/>
          </w:tcPr>
          <w:p w14:paraId="3F39CAA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-1.19</w:t>
            </w:r>
          </w:p>
        </w:tc>
        <w:tc>
          <w:tcPr>
            <w:tcW w:w="680" w:type="dxa"/>
            <w:noWrap/>
            <w:vAlign w:val="center"/>
            <w:hideMark/>
          </w:tcPr>
          <w:p w14:paraId="27217F6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-2.359</w:t>
            </w:r>
          </w:p>
        </w:tc>
        <w:tc>
          <w:tcPr>
            <w:tcW w:w="1020" w:type="dxa"/>
            <w:noWrap/>
            <w:vAlign w:val="center"/>
            <w:hideMark/>
          </w:tcPr>
          <w:p w14:paraId="4B2083F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-0.973</w:t>
            </w:r>
          </w:p>
        </w:tc>
        <w:tc>
          <w:tcPr>
            <w:tcW w:w="907" w:type="dxa"/>
            <w:noWrap/>
            <w:vAlign w:val="center"/>
            <w:hideMark/>
          </w:tcPr>
          <w:p w14:paraId="3974028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0.009</w:t>
            </w:r>
          </w:p>
        </w:tc>
        <w:tc>
          <w:tcPr>
            <w:tcW w:w="1191" w:type="dxa"/>
            <w:noWrap/>
            <w:vAlign w:val="center"/>
            <w:hideMark/>
          </w:tcPr>
          <w:p w14:paraId="329301A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0.165</w:t>
            </w:r>
          </w:p>
        </w:tc>
        <w:tc>
          <w:tcPr>
            <w:tcW w:w="1191" w:type="dxa"/>
            <w:noWrap/>
            <w:vAlign w:val="center"/>
            <w:hideMark/>
          </w:tcPr>
          <w:p w14:paraId="4CB2B45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0.035</w:t>
            </w:r>
          </w:p>
        </w:tc>
        <w:tc>
          <w:tcPr>
            <w:tcW w:w="612" w:type="dxa"/>
            <w:noWrap/>
            <w:vAlign w:val="center"/>
            <w:hideMark/>
          </w:tcPr>
          <w:p w14:paraId="7EBC42B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0.153</w:t>
            </w:r>
          </w:p>
        </w:tc>
        <w:tc>
          <w:tcPr>
            <w:tcW w:w="1077" w:type="dxa"/>
            <w:noWrap/>
            <w:vAlign w:val="center"/>
            <w:hideMark/>
          </w:tcPr>
          <w:p w14:paraId="1757742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41D05B04" w14:textId="77777777" w:rsidTr="00EB0FFD">
        <w:trPr>
          <w:trHeight w:val="283"/>
        </w:trPr>
        <w:tc>
          <w:tcPr>
            <w:tcW w:w="441" w:type="dxa"/>
            <w:tcBorders>
              <w:bottom w:val="single" w:sz="6" w:space="0" w:color="000000" w:themeColor="text1"/>
            </w:tcBorders>
            <w:noWrap/>
            <w:vAlign w:val="center"/>
            <w:hideMark/>
          </w:tcPr>
          <w:p w14:paraId="15446F3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w:t>
            </w:r>
          </w:p>
        </w:tc>
        <w:tc>
          <w:tcPr>
            <w:tcW w:w="558" w:type="dxa"/>
            <w:tcBorders>
              <w:bottom w:val="single" w:sz="6" w:space="0" w:color="000000" w:themeColor="text1"/>
            </w:tcBorders>
            <w:noWrap/>
            <w:vAlign w:val="center"/>
            <w:hideMark/>
          </w:tcPr>
          <w:p w14:paraId="7D6AD4A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1,496</w:t>
            </w:r>
          </w:p>
        </w:tc>
        <w:tc>
          <w:tcPr>
            <w:tcW w:w="1146" w:type="dxa"/>
            <w:tcBorders>
              <w:bottom w:val="single" w:sz="6" w:space="0" w:color="000000" w:themeColor="text1"/>
            </w:tcBorders>
            <w:vAlign w:val="center"/>
          </w:tcPr>
          <w:p w14:paraId="066D4F2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1,266</w:t>
            </w:r>
          </w:p>
        </w:tc>
        <w:tc>
          <w:tcPr>
            <w:tcW w:w="624" w:type="dxa"/>
            <w:tcBorders>
              <w:bottom w:val="single" w:sz="6" w:space="0" w:color="000000" w:themeColor="text1"/>
            </w:tcBorders>
            <w:noWrap/>
            <w:vAlign w:val="center"/>
            <w:hideMark/>
          </w:tcPr>
          <w:p w14:paraId="2A8188D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47.5</w:t>
            </w:r>
          </w:p>
        </w:tc>
        <w:tc>
          <w:tcPr>
            <w:tcW w:w="1020" w:type="dxa"/>
            <w:tcBorders>
              <w:bottom w:val="single" w:sz="6" w:space="0" w:color="000000" w:themeColor="text1"/>
            </w:tcBorders>
            <w:noWrap/>
            <w:vAlign w:val="center"/>
            <w:hideMark/>
          </w:tcPr>
          <w:p w14:paraId="466C8B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907" w:type="dxa"/>
            <w:tcBorders>
              <w:bottom w:val="single" w:sz="6" w:space="0" w:color="000000" w:themeColor="text1"/>
            </w:tcBorders>
            <w:noWrap/>
            <w:vAlign w:val="center"/>
            <w:hideMark/>
          </w:tcPr>
          <w:p w14:paraId="4D2B12A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510" w:type="dxa"/>
            <w:tcBorders>
              <w:bottom w:val="single" w:sz="6" w:space="0" w:color="000000" w:themeColor="text1"/>
            </w:tcBorders>
            <w:vAlign w:val="center"/>
            <w:hideMark/>
          </w:tcPr>
          <w:p w14:paraId="087850E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964" w:type="dxa"/>
            <w:tcBorders>
              <w:bottom w:val="single" w:sz="6" w:space="0" w:color="000000" w:themeColor="text1"/>
            </w:tcBorders>
            <w:noWrap/>
            <w:vAlign w:val="center"/>
            <w:hideMark/>
          </w:tcPr>
          <w:p w14:paraId="0AC4E13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tcBorders>
              <w:bottom w:val="single" w:sz="6" w:space="0" w:color="000000" w:themeColor="text1"/>
            </w:tcBorders>
            <w:noWrap/>
            <w:vAlign w:val="center"/>
            <w:hideMark/>
          </w:tcPr>
          <w:p w14:paraId="3E0114B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-23.2</w:t>
            </w:r>
          </w:p>
        </w:tc>
        <w:tc>
          <w:tcPr>
            <w:tcW w:w="850" w:type="dxa"/>
            <w:tcBorders>
              <w:bottom w:val="single" w:sz="6" w:space="0" w:color="000000" w:themeColor="text1"/>
            </w:tcBorders>
            <w:noWrap/>
            <w:vAlign w:val="center"/>
            <w:hideMark/>
          </w:tcPr>
          <w:p w14:paraId="4A853FA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-6.60</w:t>
            </w:r>
          </w:p>
        </w:tc>
        <w:tc>
          <w:tcPr>
            <w:tcW w:w="680" w:type="dxa"/>
            <w:tcBorders>
              <w:bottom w:val="single" w:sz="6" w:space="0" w:color="000000" w:themeColor="text1"/>
            </w:tcBorders>
            <w:noWrap/>
            <w:vAlign w:val="center"/>
            <w:hideMark/>
          </w:tcPr>
          <w:p w14:paraId="74E7847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-3.015</w:t>
            </w:r>
          </w:p>
        </w:tc>
        <w:tc>
          <w:tcPr>
            <w:tcW w:w="1020" w:type="dxa"/>
            <w:tcBorders>
              <w:bottom w:val="single" w:sz="6" w:space="0" w:color="000000" w:themeColor="text1"/>
            </w:tcBorders>
            <w:noWrap/>
            <w:vAlign w:val="center"/>
            <w:hideMark/>
          </w:tcPr>
          <w:p w14:paraId="70D2B0A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-1.475</w:t>
            </w:r>
          </w:p>
        </w:tc>
        <w:tc>
          <w:tcPr>
            <w:tcW w:w="907" w:type="dxa"/>
            <w:tcBorders>
              <w:bottom w:val="single" w:sz="6" w:space="0" w:color="000000" w:themeColor="text1"/>
            </w:tcBorders>
            <w:noWrap/>
            <w:vAlign w:val="center"/>
            <w:hideMark/>
          </w:tcPr>
          <w:p w14:paraId="5DD029F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1191" w:type="dxa"/>
            <w:tcBorders>
              <w:bottom w:val="single" w:sz="6" w:space="0" w:color="000000" w:themeColor="text1"/>
            </w:tcBorders>
            <w:noWrap/>
            <w:vAlign w:val="center"/>
            <w:hideMark/>
          </w:tcPr>
          <w:p w14:paraId="15E7029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0.070</w:t>
            </w:r>
          </w:p>
        </w:tc>
        <w:tc>
          <w:tcPr>
            <w:tcW w:w="1191" w:type="dxa"/>
            <w:tcBorders>
              <w:bottom w:val="single" w:sz="6" w:space="0" w:color="000000" w:themeColor="text1"/>
            </w:tcBorders>
            <w:noWrap/>
            <w:vAlign w:val="center"/>
            <w:hideMark/>
          </w:tcPr>
          <w:p w14:paraId="5A59FE4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0.008</w:t>
            </w:r>
          </w:p>
        </w:tc>
        <w:tc>
          <w:tcPr>
            <w:tcW w:w="612" w:type="dxa"/>
            <w:tcBorders>
              <w:bottom w:val="single" w:sz="6" w:space="0" w:color="000000" w:themeColor="text1"/>
            </w:tcBorders>
            <w:noWrap/>
            <w:vAlign w:val="center"/>
            <w:hideMark/>
          </w:tcPr>
          <w:p w14:paraId="497C5A2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0.095</w:t>
            </w:r>
          </w:p>
        </w:tc>
        <w:tc>
          <w:tcPr>
            <w:tcW w:w="1077" w:type="dxa"/>
            <w:noWrap/>
            <w:vAlign w:val="center"/>
            <w:hideMark/>
          </w:tcPr>
          <w:p w14:paraId="429AA59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r>
      <w:tr w:rsidR="00344F3B" w:rsidRPr="002C21B8" w14:paraId="285AAB0D" w14:textId="77777777" w:rsidTr="00EB0FFD">
        <w:trPr>
          <w:trHeight w:val="283"/>
        </w:trPr>
        <w:tc>
          <w:tcPr>
            <w:tcW w:w="441" w:type="dxa"/>
            <w:tcBorders>
              <w:top w:val="single" w:sz="6" w:space="0" w:color="000000" w:themeColor="text1"/>
              <w:left w:val="nil"/>
              <w:bottom w:val="nil"/>
              <w:right w:val="nil"/>
            </w:tcBorders>
            <w:noWrap/>
            <w:vAlign w:val="center"/>
          </w:tcPr>
          <w:p w14:paraId="71408044" w14:textId="77777777" w:rsidR="00344F3B" w:rsidRPr="002C21B8" w:rsidRDefault="00344F3B" w:rsidP="00EB0FFD">
            <w:pPr>
              <w:spacing w:after="120" w:line="240" w:lineRule="auto"/>
              <w:rPr>
                <w:sz w:val="16"/>
                <w:szCs w:val="16"/>
              </w:rPr>
            </w:pPr>
          </w:p>
        </w:tc>
        <w:tc>
          <w:tcPr>
            <w:tcW w:w="558" w:type="dxa"/>
            <w:tcBorders>
              <w:top w:val="single" w:sz="6" w:space="0" w:color="000000" w:themeColor="text1"/>
              <w:left w:val="nil"/>
              <w:bottom w:val="nil"/>
              <w:right w:val="nil"/>
            </w:tcBorders>
            <w:noWrap/>
            <w:vAlign w:val="center"/>
          </w:tcPr>
          <w:p w14:paraId="5285AC69" w14:textId="77777777" w:rsidR="00344F3B" w:rsidRPr="002C21B8" w:rsidRDefault="00344F3B" w:rsidP="00EB0FFD">
            <w:pPr>
              <w:spacing w:after="120" w:line="240" w:lineRule="auto"/>
              <w:rPr>
                <w:sz w:val="16"/>
                <w:szCs w:val="16"/>
              </w:rPr>
            </w:pPr>
          </w:p>
        </w:tc>
        <w:tc>
          <w:tcPr>
            <w:tcW w:w="1146" w:type="dxa"/>
            <w:tcBorders>
              <w:top w:val="single" w:sz="6" w:space="0" w:color="000000" w:themeColor="text1"/>
              <w:left w:val="nil"/>
              <w:bottom w:val="nil"/>
              <w:right w:val="nil"/>
            </w:tcBorders>
            <w:vAlign w:val="center"/>
          </w:tcPr>
          <w:p w14:paraId="6D340DC9" w14:textId="77777777" w:rsidR="00344F3B" w:rsidRPr="002C21B8" w:rsidRDefault="00344F3B" w:rsidP="00EB0FFD">
            <w:pPr>
              <w:spacing w:after="120" w:line="240" w:lineRule="auto"/>
              <w:rPr>
                <w:sz w:val="16"/>
                <w:szCs w:val="16"/>
              </w:rPr>
            </w:pPr>
          </w:p>
        </w:tc>
        <w:tc>
          <w:tcPr>
            <w:tcW w:w="624" w:type="dxa"/>
            <w:tcBorders>
              <w:top w:val="single" w:sz="6" w:space="0" w:color="000000" w:themeColor="text1"/>
              <w:left w:val="nil"/>
              <w:bottom w:val="nil"/>
              <w:right w:val="nil"/>
            </w:tcBorders>
            <w:noWrap/>
            <w:vAlign w:val="center"/>
          </w:tcPr>
          <w:p w14:paraId="0101C977" w14:textId="77777777" w:rsidR="00344F3B" w:rsidRPr="002C21B8" w:rsidRDefault="00344F3B" w:rsidP="00EB0FFD">
            <w:pPr>
              <w:spacing w:after="120" w:line="240" w:lineRule="auto"/>
              <w:rPr>
                <w:sz w:val="16"/>
                <w:szCs w:val="16"/>
              </w:rPr>
            </w:pPr>
          </w:p>
        </w:tc>
        <w:tc>
          <w:tcPr>
            <w:tcW w:w="1020" w:type="dxa"/>
            <w:tcBorders>
              <w:top w:val="single" w:sz="6" w:space="0" w:color="000000" w:themeColor="text1"/>
              <w:left w:val="nil"/>
              <w:bottom w:val="nil"/>
              <w:right w:val="nil"/>
            </w:tcBorders>
            <w:noWrap/>
            <w:vAlign w:val="center"/>
          </w:tcPr>
          <w:p w14:paraId="3C9A8DDB" w14:textId="77777777" w:rsidR="00344F3B" w:rsidRPr="002C21B8" w:rsidRDefault="00344F3B" w:rsidP="00EB0FFD">
            <w:pPr>
              <w:spacing w:after="120" w:line="240" w:lineRule="auto"/>
              <w:rPr>
                <w:sz w:val="16"/>
                <w:szCs w:val="16"/>
              </w:rPr>
            </w:pPr>
          </w:p>
        </w:tc>
        <w:tc>
          <w:tcPr>
            <w:tcW w:w="907" w:type="dxa"/>
            <w:tcBorders>
              <w:top w:val="single" w:sz="6" w:space="0" w:color="000000" w:themeColor="text1"/>
              <w:left w:val="nil"/>
              <w:bottom w:val="nil"/>
              <w:right w:val="nil"/>
            </w:tcBorders>
            <w:noWrap/>
            <w:vAlign w:val="center"/>
          </w:tcPr>
          <w:p w14:paraId="1040EA2C" w14:textId="77777777" w:rsidR="00344F3B" w:rsidRPr="002C21B8" w:rsidRDefault="00344F3B" w:rsidP="00EB0FFD">
            <w:pPr>
              <w:spacing w:after="120" w:line="240" w:lineRule="auto"/>
              <w:rPr>
                <w:sz w:val="16"/>
                <w:szCs w:val="16"/>
              </w:rPr>
            </w:pPr>
          </w:p>
        </w:tc>
        <w:tc>
          <w:tcPr>
            <w:tcW w:w="510" w:type="dxa"/>
            <w:tcBorders>
              <w:top w:val="single" w:sz="6" w:space="0" w:color="000000" w:themeColor="text1"/>
              <w:left w:val="nil"/>
              <w:bottom w:val="nil"/>
              <w:right w:val="nil"/>
            </w:tcBorders>
            <w:vAlign w:val="center"/>
          </w:tcPr>
          <w:p w14:paraId="2564503C" w14:textId="77777777" w:rsidR="00344F3B" w:rsidRPr="002C21B8" w:rsidRDefault="00344F3B" w:rsidP="00EB0FFD">
            <w:pPr>
              <w:spacing w:after="120" w:line="240" w:lineRule="auto"/>
              <w:rPr>
                <w:sz w:val="16"/>
                <w:szCs w:val="16"/>
              </w:rPr>
            </w:pPr>
          </w:p>
        </w:tc>
        <w:tc>
          <w:tcPr>
            <w:tcW w:w="964" w:type="dxa"/>
            <w:tcBorders>
              <w:top w:val="single" w:sz="6" w:space="0" w:color="000000" w:themeColor="text1"/>
              <w:left w:val="nil"/>
              <w:bottom w:val="nil"/>
              <w:right w:val="nil"/>
            </w:tcBorders>
            <w:noWrap/>
            <w:vAlign w:val="center"/>
          </w:tcPr>
          <w:p w14:paraId="1466D4C2" w14:textId="77777777" w:rsidR="00344F3B" w:rsidRPr="002C21B8" w:rsidRDefault="00344F3B" w:rsidP="00EB0FFD">
            <w:pPr>
              <w:spacing w:after="120" w:line="240" w:lineRule="auto"/>
              <w:rPr>
                <w:rFonts w:eastAsia="Arial Unicode MS"/>
                <w:sz w:val="16"/>
                <w:szCs w:val="16"/>
              </w:rPr>
            </w:pPr>
          </w:p>
        </w:tc>
        <w:tc>
          <w:tcPr>
            <w:tcW w:w="964" w:type="dxa"/>
            <w:tcBorders>
              <w:top w:val="single" w:sz="6" w:space="0" w:color="000000" w:themeColor="text1"/>
              <w:left w:val="nil"/>
              <w:bottom w:val="nil"/>
              <w:right w:val="nil"/>
            </w:tcBorders>
            <w:noWrap/>
            <w:vAlign w:val="center"/>
          </w:tcPr>
          <w:p w14:paraId="47FCCA7A" w14:textId="77777777" w:rsidR="00344F3B" w:rsidRPr="002C21B8" w:rsidRDefault="00344F3B" w:rsidP="00EB0FFD">
            <w:pPr>
              <w:spacing w:after="120" w:line="240" w:lineRule="auto"/>
              <w:rPr>
                <w:rFonts w:eastAsia="Arial Unicode MS"/>
                <w:sz w:val="16"/>
                <w:szCs w:val="16"/>
              </w:rPr>
            </w:pPr>
          </w:p>
        </w:tc>
        <w:tc>
          <w:tcPr>
            <w:tcW w:w="850" w:type="dxa"/>
            <w:tcBorders>
              <w:top w:val="single" w:sz="6" w:space="0" w:color="000000" w:themeColor="text1"/>
              <w:left w:val="nil"/>
              <w:bottom w:val="nil"/>
              <w:right w:val="nil"/>
            </w:tcBorders>
            <w:noWrap/>
            <w:vAlign w:val="center"/>
          </w:tcPr>
          <w:p w14:paraId="47F08668" w14:textId="77777777" w:rsidR="00344F3B" w:rsidRPr="002C21B8" w:rsidRDefault="00344F3B" w:rsidP="00EB0FFD">
            <w:pPr>
              <w:spacing w:after="120" w:line="240" w:lineRule="auto"/>
              <w:rPr>
                <w:rFonts w:eastAsia="Arial Unicode MS"/>
                <w:sz w:val="16"/>
                <w:szCs w:val="16"/>
              </w:rPr>
            </w:pPr>
          </w:p>
        </w:tc>
        <w:tc>
          <w:tcPr>
            <w:tcW w:w="680" w:type="dxa"/>
            <w:tcBorders>
              <w:top w:val="single" w:sz="6" w:space="0" w:color="000000" w:themeColor="text1"/>
              <w:left w:val="nil"/>
              <w:bottom w:val="nil"/>
              <w:right w:val="nil"/>
            </w:tcBorders>
            <w:noWrap/>
            <w:vAlign w:val="center"/>
          </w:tcPr>
          <w:p w14:paraId="716126AF" w14:textId="77777777" w:rsidR="00344F3B" w:rsidRPr="002C21B8" w:rsidRDefault="00344F3B" w:rsidP="00EB0FFD">
            <w:pPr>
              <w:spacing w:after="120" w:line="240" w:lineRule="auto"/>
              <w:rPr>
                <w:rFonts w:eastAsia="Arial Unicode MS"/>
                <w:sz w:val="16"/>
                <w:szCs w:val="16"/>
              </w:rPr>
            </w:pPr>
          </w:p>
        </w:tc>
        <w:tc>
          <w:tcPr>
            <w:tcW w:w="1020" w:type="dxa"/>
            <w:tcBorders>
              <w:top w:val="single" w:sz="6" w:space="0" w:color="000000" w:themeColor="text1"/>
              <w:left w:val="nil"/>
              <w:bottom w:val="nil"/>
              <w:right w:val="nil"/>
            </w:tcBorders>
            <w:noWrap/>
            <w:vAlign w:val="center"/>
          </w:tcPr>
          <w:p w14:paraId="3715FEC9" w14:textId="77777777" w:rsidR="00344F3B" w:rsidRPr="002C21B8" w:rsidRDefault="00344F3B" w:rsidP="00EB0FFD">
            <w:pPr>
              <w:spacing w:after="120" w:line="240" w:lineRule="auto"/>
              <w:rPr>
                <w:rFonts w:eastAsia="Arial Unicode MS"/>
                <w:sz w:val="16"/>
                <w:szCs w:val="16"/>
              </w:rPr>
            </w:pPr>
          </w:p>
        </w:tc>
        <w:tc>
          <w:tcPr>
            <w:tcW w:w="907" w:type="dxa"/>
            <w:tcBorders>
              <w:top w:val="single" w:sz="6" w:space="0" w:color="000000" w:themeColor="text1"/>
              <w:left w:val="nil"/>
              <w:bottom w:val="nil"/>
              <w:right w:val="nil"/>
            </w:tcBorders>
            <w:noWrap/>
            <w:vAlign w:val="center"/>
          </w:tcPr>
          <w:p w14:paraId="61DC3E8F"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5958D01C"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3F34AC0C" w14:textId="77777777" w:rsidR="00344F3B" w:rsidRPr="002C21B8" w:rsidRDefault="00344F3B" w:rsidP="00EB0FFD">
            <w:pPr>
              <w:spacing w:after="120" w:line="240" w:lineRule="auto"/>
              <w:rPr>
                <w:rFonts w:eastAsia="Arial Unicode MS"/>
                <w:sz w:val="16"/>
                <w:szCs w:val="16"/>
              </w:rPr>
            </w:pPr>
          </w:p>
        </w:tc>
        <w:tc>
          <w:tcPr>
            <w:tcW w:w="612" w:type="dxa"/>
            <w:tcBorders>
              <w:top w:val="single" w:sz="6" w:space="0" w:color="000000" w:themeColor="text1"/>
              <w:left w:val="nil"/>
              <w:bottom w:val="nil"/>
              <w:right w:val="single" w:sz="6" w:space="0" w:color="000000" w:themeColor="text1"/>
            </w:tcBorders>
            <w:noWrap/>
            <w:vAlign w:val="center"/>
          </w:tcPr>
          <w:p w14:paraId="62B91516" w14:textId="77777777" w:rsidR="00344F3B" w:rsidRPr="002C21B8" w:rsidRDefault="00344F3B" w:rsidP="00EB0FFD">
            <w:pPr>
              <w:spacing w:after="120" w:line="240" w:lineRule="auto"/>
              <w:rPr>
                <w:rFonts w:eastAsia="Arial Unicode MS"/>
                <w:sz w:val="16"/>
                <w:szCs w:val="16"/>
              </w:rPr>
            </w:pPr>
          </w:p>
        </w:tc>
        <w:tc>
          <w:tcPr>
            <w:tcW w:w="1077" w:type="dxa"/>
            <w:tcBorders>
              <w:left w:val="single" w:sz="6" w:space="0" w:color="000000" w:themeColor="text1"/>
            </w:tcBorders>
            <w:shd w:val="clear" w:color="auto" w:fill="D9D9D9" w:themeFill="background1" w:themeFillShade="D9"/>
            <w:noWrap/>
            <w:vAlign w:val="center"/>
          </w:tcPr>
          <w:p w14:paraId="716AC6D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Total = 2,680</w:t>
            </w:r>
          </w:p>
        </w:tc>
      </w:tr>
    </w:tbl>
    <w:p w14:paraId="3960EB1D" w14:textId="77777777" w:rsidR="00344F3B" w:rsidRPr="002C21B8" w:rsidRDefault="00344F3B" w:rsidP="00344F3B"/>
    <w:p w14:paraId="562885C2" w14:textId="77777777" w:rsidR="00344F3B" w:rsidRPr="002C21B8" w:rsidRDefault="00344F3B" w:rsidP="00344F3B"/>
    <w:p w14:paraId="6BA05597" w14:textId="77777777" w:rsidR="00344F3B" w:rsidRPr="002C21B8" w:rsidRDefault="00344F3B" w:rsidP="00344F3B"/>
    <w:p w14:paraId="01007433" w14:textId="77777777" w:rsidR="00344F3B" w:rsidRPr="002C21B8" w:rsidRDefault="00344F3B" w:rsidP="00344F3B"/>
    <w:p w14:paraId="0976830D" w14:textId="77777777" w:rsidR="00344F3B" w:rsidRPr="002C21B8" w:rsidRDefault="00344F3B" w:rsidP="00344F3B"/>
    <w:p w14:paraId="228E37E2" w14:textId="77777777" w:rsidR="00344F3B" w:rsidRPr="002C21B8" w:rsidRDefault="00344F3B" w:rsidP="00344F3B"/>
    <w:p w14:paraId="450293E2" w14:textId="77777777" w:rsidR="00344F3B" w:rsidRPr="002C21B8" w:rsidRDefault="00344F3B" w:rsidP="00344F3B">
      <w:pPr>
        <w:rPr>
          <w:b/>
          <w:bCs/>
        </w:rPr>
      </w:pPr>
      <w:r w:rsidRPr="002C21B8">
        <w:rPr>
          <w:b/>
          <w:bCs/>
        </w:rPr>
        <w:t>Lower 95% CI:</w:t>
      </w:r>
    </w:p>
    <w:tbl>
      <w:tblPr>
        <w:tblW w:w="1466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16"/>
        <w:gridCol w:w="671"/>
        <w:gridCol w:w="834"/>
        <w:gridCol w:w="740"/>
        <w:gridCol w:w="1020"/>
        <w:gridCol w:w="907"/>
        <w:gridCol w:w="602"/>
        <w:gridCol w:w="964"/>
        <w:gridCol w:w="964"/>
        <w:gridCol w:w="882"/>
        <w:gridCol w:w="710"/>
        <w:gridCol w:w="1020"/>
        <w:gridCol w:w="907"/>
        <w:gridCol w:w="1191"/>
        <w:gridCol w:w="1191"/>
        <w:gridCol w:w="743"/>
        <w:gridCol w:w="1077"/>
      </w:tblGrid>
      <w:tr w:rsidR="00344F3B" w:rsidRPr="002C21B8" w14:paraId="44B0FE9C" w14:textId="77777777" w:rsidTr="00EB0FFD">
        <w:trPr>
          <w:trHeight w:val="283"/>
        </w:trPr>
        <w:tc>
          <w:tcPr>
            <w:tcW w:w="441" w:type="dxa"/>
            <w:noWrap/>
            <w:vAlign w:val="center"/>
            <w:hideMark/>
          </w:tcPr>
          <w:p w14:paraId="0EF01ED5" w14:textId="77777777" w:rsidR="00344F3B" w:rsidRPr="002C21B8" w:rsidRDefault="00344F3B" w:rsidP="00EB0FFD">
            <w:pPr>
              <w:spacing w:after="120" w:line="240" w:lineRule="auto"/>
              <w:rPr>
                <w:b/>
                <w:bCs/>
                <w:sz w:val="16"/>
                <w:szCs w:val="16"/>
              </w:rPr>
            </w:pPr>
            <w:r w:rsidRPr="002C21B8">
              <w:rPr>
                <w:b/>
                <w:bCs/>
                <w:sz w:val="16"/>
                <w:szCs w:val="16"/>
              </w:rPr>
              <w:t>Year</w:t>
            </w:r>
          </w:p>
        </w:tc>
        <w:tc>
          <w:tcPr>
            <w:tcW w:w="558" w:type="dxa"/>
            <w:noWrap/>
            <w:vAlign w:val="center"/>
            <w:hideMark/>
          </w:tcPr>
          <w:p w14:paraId="2CDB8575" w14:textId="77777777" w:rsidR="00344F3B" w:rsidRPr="002C21B8" w:rsidRDefault="00344F3B" w:rsidP="00EB0FFD">
            <w:pPr>
              <w:spacing w:after="120" w:line="240" w:lineRule="auto"/>
              <w:rPr>
                <w:b/>
                <w:bCs/>
                <w:sz w:val="16"/>
                <w:szCs w:val="16"/>
              </w:rPr>
            </w:pPr>
            <w:r w:rsidRPr="002C21B8">
              <w:rPr>
                <w:b/>
                <w:bCs/>
                <w:sz w:val="16"/>
                <w:szCs w:val="16"/>
              </w:rPr>
              <w:t>Cohort</w:t>
            </w:r>
          </w:p>
        </w:tc>
        <w:tc>
          <w:tcPr>
            <w:tcW w:w="1146" w:type="dxa"/>
            <w:vAlign w:val="center"/>
          </w:tcPr>
          <w:p w14:paraId="7C9B9631" w14:textId="77777777" w:rsidR="00344F3B" w:rsidRPr="002C21B8" w:rsidRDefault="00344F3B" w:rsidP="00EB0FFD">
            <w:pPr>
              <w:spacing w:after="120" w:line="240" w:lineRule="auto"/>
              <w:rPr>
                <w:b/>
                <w:bCs/>
                <w:sz w:val="16"/>
                <w:szCs w:val="16"/>
              </w:rPr>
            </w:pPr>
            <w:r w:rsidRPr="002C21B8">
              <w:rPr>
                <w:b/>
                <w:bCs/>
                <w:sz w:val="16"/>
                <w:szCs w:val="16"/>
              </w:rPr>
              <w:t>Adjusted for 1.84% annual mortality</w:t>
            </w:r>
          </w:p>
        </w:tc>
        <w:tc>
          <w:tcPr>
            <w:tcW w:w="624" w:type="dxa"/>
            <w:noWrap/>
            <w:vAlign w:val="center"/>
            <w:hideMark/>
          </w:tcPr>
          <w:p w14:paraId="77DDDAF2" w14:textId="77777777" w:rsidR="00344F3B" w:rsidRPr="002C21B8" w:rsidRDefault="00344F3B" w:rsidP="00EB0FFD">
            <w:pPr>
              <w:spacing w:after="120" w:line="240" w:lineRule="auto"/>
              <w:rPr>
                <w:b/>
                <w:bCs/>
                <w:sz w:val="16"/>
                <w:szCs w:val="16"/>
              </w:rPr>
            </w:pPr>
            <w:r w:rsidRPr="002C21B8">
              <w:rPr>
                <w:b/>
                <w:bCs/>
                <w:sz w:val="16"/>
                <w:szCs w:val="16"/>
              </w:rPr>
              <w:t>Starting eGFR</w:t>
            </w:r>
          </w:p>
        </w:tc>
        <w:tc>
          <w:tcPr>
            <w:tcW w:w="1020" w:type="dxa"/>
            <w:noWrap/>
            <w:vAlign w:val="center"/>
            <w:hideMark/>
          </w:tcPr>
          <w:p w14:paraId="15256D94" w14:textId="77777777" w:rsidR="00344F3B" w:rsidRPr="002C21B8" w:rsidRDefault="00344F3B" w:rsidP="00EB0FFD">
            <w:pPr>
              <w:spacing w:after="120" w:line="240" w:lineRule="auto"/>
              <w:rPr>
                <w:b/>
                <w:bCs/>
                <w:sz w:val="16"/>
                <w:szCs w:val="16"/>
              </w:rPr>
            </w:pPr>
            <w:r w:rsidRPr="002C21B8">
              <w:rPr>
                <w:b/>
                <w:bCs/>
                <w:sz w:val="16"/>
                <w:szCs w:val="16"/>
              </w:rPr>
              <w:t>Annual decline eGFR mean (sd)</w:t>
            </w:r>
          </w:p>
        </w:tc>
        <w:tc>
          <w:tcPr>
            <w:tcW w:w="907" w:type="dxa"/>
            <w:noWrap/>
            <w:vAlign w:val="center"/>
            <w:hideMark/>
          </w:tcPr>
          <w:p w14:paraId="57E97D63" w14:textId="77777777" w:rsidR="00344F3B" w:rsidRPr="002C21B8" w:rsidRDefault="00344F3B" w:rsidP="00EB0FFD">
            <w:pPr>
              <w:spacing w:after="120" w:line="240" w:lineRule="auto"/>
              <w:rPr>
                <w:b/>
                <w:bCs/>
                <w:sz w:val="16"/>
                <w:szCs w:val="16"/>
              </w:rPr>
            </w:pPr>
            <w:r w:rsidRPr="002C21B8">
              <w:rPr>
                <w:b/>
                <w:bCs/>
                <w:sz w:val="16"/>
                <w:szCs w:val="16"/>
              </w:rPr>
              <w:t>Starting eGFR for HD</w:t>
            </w:r>
          </w:p>
        </w:tc>
        <w:tc>
          <w:tcPr>
            <w:tcW w:w="510" w:type="dxa"/>
            <w:noWrap/>
            <w:vAlign w:val="center"/>
            <w:hideMark/>
          </w:tcPr>
          <w:p w14:paraId="337C28C4" w14:textId="77777777" w:rsidR="00344F3B" w:rsidRPr="002C21B8" w:rsidRDefault="00344F3B" w:rsidP="00EB0FFD">
            <w:pPr>
              <w:spacing w:after="120" w:line="240" w:lineRule="auto"/>
              <w:rPr>
                <w:b/>
                <w:bCs/>
                <w:sz w:val="16"/>
                <w:szCs w:val="16"/>
              </w:rPr>
            </w:pPr>
            <w:r w:rsidRPr="002C21B8">
              <w:rPr>
                <w:b/>
                <w:bCs/>
                <w:sz w:val="16"/>
                <w:szCs w:val="16"/>
              </w:rPr>
              <w:t>Mean effect</w:t>
            </w:r>
          </w:p>
        </w:tc>
        <w:tc>
          <w:tcPr>
            <w:tcW w:w="964" w:type="dxa"/>
            <w:noWrap/>
            <w:vAlign w:val="center"/>
            <w:hideMark/>
          </w:tcPr>
          <w:p w14:paraId="3D34ACF6" w14:textId="77777777" w:rsidR="00344F3B" w:rsidRPr="002C21B8" w:rsidRDefault="00344F3B" w:rsidP="00EB0FFD">
            <w:pPr>
              <w:spacing w:after="120" w:line="240" w:lineRule="auto"/>
              <w:rPr>
                <w:b/>
                <w:bCs/>
                <w:sz w:val="16"/>
                <w:szCs w:val="16"/>
              </w:rPr>
            </w:pPr>
            <w:r w:rsidRPr="002C21B8">
              <w:rPr>
                <w:b/>
                <w:bCs/>
                <w:sz w:val="16"/>
                <w:szCs w:val="16"/>
              </w:rPr>
              <w:t>Expected eGFR untreated</w:t>
            </w:r>
          </w:p>
        </w:tc>
        <w:tc>
          <w:tcPr>
            <w:tcW w:w="964" w:type="dxa"/>
            <w:noWrap/>
            <w:vAlign w:val="center"/>
            <w:hideMark/>
          </w:tcPr>
          <w:p w14:paraId="28DC3754" w14:textId="77777777" w:rsidR="00344F3B" w:rsidRPr="002C21B8" w:rsidRDefault="00344F3B" w:rsidP="00EB0FFD">
            <w:pPr>
              <w:spacing w:after="120" w:line="240" w:lineRule="auto"/>
              <w:rPr>
                <w:b/>
                <w:bCs/>
                <w:sz w:val="16"/>
                <w:szCs w:val="16"/>
              </w:rPr>
            </w:pPr>
            <w:r w:rsidRPr="002C21B8">
              <w:rPr>
                <w:b/>
                <w:bCs/>
                <w:sz w:val="16"/>
                <w:szCs w:val="16"/>
              </w:rPr>
              <w:t>Expected eGFR treated</w:t>
            </w:r>
          </w:p>
        </w:tc>
        <w:tc>
          <w:tcPr>
            <w:tcW w:w="850" w:type="dxa"/>
            <w:noWrap/>
            <w:vAlign w:val="center"/>
            <w:hideMark/>
          </w:tcPr>
          <w:p w14:paraId="234362D1" w14:textId="77777777" w:rsidR="00344F3B" w:rsidRPr="002C21B8" w:rsidRDefault="00344F3B" w:rsidP="00EB0FFD">
            <w:pPr>
              <w:spacing w:after="120" w:line="240" w:lineRule="auto"/>
              <w:rPr>
                <w:b/>
                <w:bCs/>
                <w:sz w:val="16"/>
                <w:szCs w:val="16"/>
              </w:rPr>
            </w:pPr>
            <w:r w:rsidRPr="002C21B8">
              <w:rPr>
                <w:b/>
                <w:bCs/>
                <w:sz w:val="16"/>
                <w:szCs w:val="16"/>
              </w:rPr>
              <w:t>Z untreated</w:t>
            </w:r>
          </w:p>
        </w:tc>
        <w:tc>
          <w:tcPr>
            <w:tcW w:w="680" w:type="dxa"/>
            <w:noWrap/>
            <w:vAlign w:val="center"/>
            <w:hideMark/>
          </w:tcPr>
          <w:p w14:paraId="6B32A279" w14:textId="77777777" w:rsidR="00344F3B" w:rsidRPr="002C21B8" w:rsidRDefault="00344F3B" w:rsidP="00EB0FFD">
            <w:pPr>
              <w:spacing w:after="120" w:line="240" w:lineRule="auto"/>
              <w:rPr>
                <w:b/>
                <w:bCs/>
                <w:sz w:val="16"/>
                <w:szCs w:val="16"/>
              </w:rPr>
            </w:pPr>
            <w:r w:rsidRPr="002C21B8">
              <w:rPr>
                <w:b/>
                <w:bCs/>
                <w:sz w:val="16"/>
                <w:szCs w:val="16"/>
              </w:rPr>
              <w:t>Z treated</w:t>
            </w:r>
          </w:p>
        </w:tc>
        <w:tc>
          <w:tcPr>
            <w:tcW w:w="1020" w:type="dxa"/>
            <w:noWrap/>
            <w:vAlign w:val="center"/>
            <w:hideMark/>
          </w:tcPr>
          <w:p w14:paraId="108FDECA" w14:textId="77777777" w:rsidR="00344F3B" w:rsidRPr="002C21B8" w:rsidRDefault="00344F3B" w:rsidP="00EB0FFD">
            <w:pPr>
              <w:spacing w:after="120" w:line="240" w:lineRule="auto"/>
              <w:rPr>
                <w:b/>
                <w:bCs/>
                <w:sz w:val="16"/>
                <w:szCs w:val="16"/>
              </w:rPr>
            </w:pPr>
            <w:r w:rsidRPr="002C21B8">
              <w:rPr>
                <w:b/>
                <w:bCs/>
                <w:sz w:val="16"/>
                <w:szCs w:val="16"/>
              </w:rPr>
              <w:t>Cum Prob not KF untreated</w:t>
            </w:r>
          </w:p>
        </w:tc>
        <w:tc>
          <w:tcPr>
            <w:tcW w:w="907" w:type="dxa"/>
            <w:noWrap/>
            <w:vAlign w:val="center"/>
            <w:hideMark/>
          </w:tcPr>
          <w:p w14:paraId="7A62B555" w14:textId="77777777" w:rsidR="00344F3B" w:rsidRPr="002C21B8" w:rsidRDefault="00344F3B" w:rsidP="00EB0FFD">
            <w:pPr>
              <w:spacing w:after="120" w:line="240" w:lineRule="auto"/>
              <w:rPr>
                <w:b/>
                <w:bCs/>
                <w:sz w:val="16"/>
                <w:szCs w:val="16"/>
              </w:rPr>
            </w:pPr>
            <w:r w:rsidRPr="002C21B8">
              <w:rPr>
                <w:b/>
                <w:bCs/>
                <w:sz w:val="16"/>
                <w:szCs w:val="16"/>
              </w:rPr>
              <w:t>Cum Prob not KF treated</w:t>
            </w:r>
          </w:p>
        </w:tc>
        <w:tc>
          <w:tcPr>
            <w:tcW w:w="1191" w:type="dxa"/>
            <w:noWrap/>
            <w:vAlign w:val="center"/>
            <w:hideMark/>
          </w:tcPr>
          <w:p w14:paraId="37D388CC" w14:textId="77777777" w:rsidR="00344F3B" w:rsidRPr="002C21B8" w:rsidRDefault="00344F3B" w:rsidP="00EB0FFD">
            <w:pPr>
              <w:spacing w:after="120" w:line="240" w:lineRule="auto"/>
              <w:rPr>
                <w:b/>
                <w:bCs/>
                <w:sz w:val="16"/>
                <w:szCs w:val="16"/>
              </w:rPr>
            </w:pPr>
            <w:r w:rsidRPr="002C21B8">
              <w:rPr>
                <w:b/>
                <w:bCs/>
                <w:sz w:val="16"/>
                <w:szCs w:val="16"/>
              </w:rPr>
              <w:t>Annual Prob reach KF (untreated)</w:t>
            </w:r>
          </w:p>
        </w:tc>
        <w:tc>
          <w:tcPr>
            <w:tcW w:w="1191" w:type="dxa"/>
            <w:noWrap/>
            <w:vAlign w:val="center"/>
            <w:hideMark/>
          </w:tcPr>
          <w:p w14:paraId="4933CACF" w14:textId="77777777" w:rsidR="00344F3B" w:rsidRPr="002C21B8" w:rsidRDefault="00344F3B" w:rsidP="00EB0FFD">
            <w:pPr>
              <w:spacing w:after="120" w:line="240" w:lineRule="auto"/>
              <w:rPr>
                <w:b/>
                <w:bCs/>
                <w:sz w:val="16"/>
                <w:szCs w:val="16"/>
              </w:rPr>
            </w:pPr>
            <w:r w:rsidRPr="002C21B8">
              <w:rPr>
                <w:b/>
                <w:bCs/>
                <w:sz w:val="16"/>
                <w:szCs w:val="16"/>
              </w:rPr>
              <w:t>Annual Prob reach KF (treated)</w:t>
            </w:r>
          </w:p>
        </w:tc>
        <w:tc>
          <w:tcPr>
            <w:tcW w:w="612" w:type="dxa"/>
            <w:noWrap/>
            <w:vAlign w:val="center"/>
            <w:hideMark/>
          </w:tcPr>
          <w:p w14:paraId="62F832BA" w14:textId="77777777" w:rsidR="00344F3B" w:rsidRPr="002C21B8" w:rsidRDefault="00344F3B" w:rsidP="00EB0FFD">
            <w:pPr>
              <w:spacing w:after="120" w:line="240" w:lineRule="auto"/>
              <w:rPr>
                <w:b/>
                <w:bCs/>
                <w:sz w:val="16"/>
                <w:szCs w:val="16"/>
              </w:rPr>
            </w:pPr>
            <w:r w:rsidRPr="002C21B8">
              <w:rPr>
                <w:b/>
                <w:bCs/>
                <w:sz w:val="16"/>
                <w:szCs w:val="16"/>
              </w:rPr>
              <w:t>Change N_KF</w:t>
            </w:r>
          </w:p>
        </w:tc>
        <w:tc>
          <w:tcPr>
            <w:tcW w:w="1077" w:type="dxa"/>
            <w:noWrap/>
            <w:vAlign w:val="center"/>
            <w:hideMark/>
          </w:tcPr>
          <w:p w14:paraId="66BEE701" w14:textId="77777777" w:rsidR="00344F3B" w:rsidRPr="002C21B8" w:rsidRDefault="00344F3B" w:rsidP="00EB0FFD">
            <w:pPr>
              <w:spacing w:after="120" w:line="240" w:lineRule="auto"/>
              <w:rPr>
                <w:b/>
                <w:bCs/>
                <w:sz w:val="16"/>
                <w:szCs w:val="16"/>
              </w:rPr>
            </w:pPr>
            <w:r w:rsidRPr="002C21B8">
              <w:rPr>
                <w:b/>
                <w:bCs/>
                <w:sz w:val="16"/>
                <w:szCs w:val="16"/>
              </w:rPr>
              <w:t>Contribution to total years saved</w:t>
            </w:r>
          </w:p>
        </w:tc>
      </w:tr>
      <w:tr w:rsidR="00344F3B" w:rsidRPr="002C21B8" w14:paraId="074C6ACF" w14:textId="77777777" w:rsidTr="00EB0FFD">
        <w:trPr>
          <w:trHeight w:val="283"/>
        </w:trPr>
        <w:tc>
          <w:tcPr>
            <w:tcW w:w="441" w:type="dxa"/>
            <w:noWrap/>
            <w:vAlign w:val="center"/>
            <w:hideMark/>
          </w:tcPr>
          <w:p w14:paraId="55247A1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w:t>
            </w:r>
          </w:p>
        </w:tc>
        <w:tc>
          <w:tcPr>
            <w:tcW w:w="558" w:type="dxa"/>
            <w:noWrap/>
            <w:vAlign w:val="center"/>
            <w:hideMark/>
          </w:tcPr>
          <w:p w14:paraId="736BBE6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0773982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624" w:type="dxa"/>
            <w:noWrap/>
            <w:vAlign w:val="center"/>
            <w:hideMark/>
          </w:tcPr>
          <w:p w14:paraId="78A024C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32B074C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367D123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7730C7F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2573E52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40.43</w:t>
            </w:r>
          </w:p>
        </w:tc>
        <w:tc>
          <w:tcPr>
            <w:tcW w:w="964" w:type="dxa"/>
            <w:noWrap/>
            <w:vAlign w:val="center"/>
            <w:hideMark/>
          </w:tcPr>
          <w:p w14:paraId="6A2A2F2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42.09</w:t>
            </w:r>
          </w:p>
        </w:tc>
        <w:tc>
          <w:tcPr>
            <w:tcW w:w="850" w:type="dxa"/>
            <w:noWrap/>
            <w:vAlign w:val="center"/>
            <w:hideMark/>
          </w:tcPr>
          <w:p w14:paraId="6F60CBC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2.888</w:t>
            </w:r>
          </w:p>
        </w:tc>
        <w:tc>
          <w:tcPr>
            <w:tcW w:w="680" w:type="dxa"/>
            <w:noWrap/>
            <w:vAlign w:val="center"/>
            <w:hideMark/>
          </w:tcPr>
          <w:p w14:paraId="6F7689D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3.042</w:t>
            </w:r>
          </w:p>
        </w:tc>
        <w:tc>
          <w:tcPr>
            <w:tcW w:w="1020" w:type="dxa"/>
            <w:noWrap/>
            <w:vAlign w:val="center"/>
            <w:hideMark/>
          </w:tcPr>
          <w:p w14:paraId="3193541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0.998</w:t>
            </w:r>
          </w:p>
        </w:tc>
        <w:tc>
          <w:tcPr>
            <w:tcW w:w="907" w:type="dxa"/>
            <w:noWrap/>
            <w:vAlign w:val="center"/>
            <w:hideMark/>
          </w:tcPr>
          <w:p w14:paraId="7C0D3BA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0.999</w:t>
            </w:r>
          </w:p>
        </w:tc>
        <w:tc>
          <w:tcPr>
            <w:tcW w:w="1191" w:type="dxa"/>
            <w:noWrap/>
            <w:vAlign w:val="center"/>
            <w:hideMark/>
          </w:tcPr>
          <w:p w14:paraId="22B7A02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0.002</w:t>
            </w:r>
          </w:p>
        </w:tc>
        <w:tc>
          <w:tcPr>
            <w:tcW w:w="1191" w:type="dxa"/>
            <w:noWrap/>
            <w:vAlign w:val="center"/>
            <w:hideMark/>
          </w:tcPr>
          <w:p w14:paraId="79881AD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612" w:type="dxa"/>
            <w:noWrap/>
            <w:vAlign w:val="center"/>
            <w:hideMark/>
          </w:tcPr>
          <w:p w14:paraId="757A6AB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0.978</w:t>
            </w:r>
          </w:p>
        </w:tc>
        <w:tc>
          <w:tcPr>
            <w:tcW w:w="1077" w:type="dxa"/>
            <w:noWrap/>
            <w:vAlign w:val="center"/>
            <w:hideMark/>
          </w:tcPr>
          <w:p w14:paraId="745BF82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39AC967C" w14:textId="77777777" w:rsidTr="00EB0FFD">
        <w:trPr>
          <w:trHeight w:val="283"/>
        </w:trPr>
        <w:tc>
          <w:tcPr>
            <w:tcW w:w="441" w:type="dxa"/>
            <w:noWrap/>
            <w:vAlign w:val="center"/>
            <w:hideMark/>
          </w:tcPr>
          <w:p w14:paraId="19AA2AF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w:t>
            </w:r>
          </w:p>
        </w:tc>
        <w:tc>
          <w:tcPr>
            <w:tcW w:w="558" w:type="dxa"/>
            <w:noWrap/>
            <w:vAlign w:val="center"/>
            <w:hideMark/>
          </w:tcPr>
          <w:p w14:paraId="303E2BA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5C1E7AA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1,256</w:t>
            </w:r>
          </w:p>
        </w:tc>
        <w:tc>
          <w:tcPr>
            <w:tcW w:w="624" w:type="dxa"/>
            <w:noWrap/>
            <w:vAlign w:val="center"/>
            <w:hideMark/>
          </w:tcPr>
          <w:p w14:paraId="1854BE6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0619257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0DBE70D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5DFAB2B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75A686B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33.36</w:t>
            </w:r>
          </w:p>
        </w:tc>
        <w:tc>
          <w:tcPr>
            <w:tcW w:w="964" w:type="dxa"/>
            <w:noWrap/>
            <w:vAlign w:val="center"/>
            <w:hideMark/>
          </w:tcPr>
          <w:p w14:paraId="108C21A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36.68</w:t>
            </w:r>
          </w:p>
        </w:tc>
        <w:tc>
          <w:tcPr>
            <w:tcW w:w="850" w:type="dxa"/>
            <w:noWrap/>
            <w:vAlign w:val="center"/>
            <w:hideMark/>
          </w:tcPr>
          <w:p w14:paraId="6AF4F76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2.232</w:t>
            </w:r>
          </w:p>
        </w:tc>
        <w:tc>
          <w:tcPr>
            <w:tcW w:w="680" w:type="dxa"/>
            <w:noWrap/>
            <w:vAlign w:val="center"/>
            <w:hideMark/>
          </w:tcPr>
          <w:p w14:paraId="52C36F6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2.540</w:t>
            </w:r>
          </w:p>
        </w:tc>
        <w:tc>
          <w:tcPr>
            <w:tcW w:w="1020" w:type="dxa"/>
            <w:noWrap/>
            <w:vAlign w:val="center"/>
            <w:hideMark/>
          </w:tcPr>
          <w:p w14:paraId="2E948A9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0.987</w:t>
            </w:r>
          </w:p>
        </w:tc>
        <w:tc>
          <w:tcPr>
            <w:tcW w:w="907" w:type="dxa"/>
            <w:noWrap/>
            <w:vAlign w:val="center"/>
            <w:hideMark/>
          </w:tcPr>
          <w:p w14:paraId="1396B9F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0.994</w:t>
            </w:r>
          </w:p>
        </w:tc>
        <w:tc>
          <w:tcPr>
            <w:tcW w:w="1191" w:type="dxa"/>
            <w:noWrap/>
            <w:vAlign w:val="center"/>
            <w:hideMark/>
          </w:tcPr>
          <w:p w14:paraId="18685DF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0.011</w:t>
            </w:r>
          </w:p>
        </w:tc>
        <w:tc>
          <w:tcPr>
            <w:tcW w:w="1191" w:type="dxa"/>
            <w:noWrap/>
            <w:vAlign w:val="center"/>
            <w:hideMark/>
          </w:tcPr>
          <w:p w14:paraId="76EAB46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0.004</w:t>
            </w:r>
          </w:p>
        </w:tc>
        <w:tc>
          <w:tcPr>
            <w:tcW w:w="612" w:type="dxa"/>
            <w:noWrap/>
            <w:vAlign w:val="center"/>
            <w:hideMark/>
          </w:tcPr>
          <w:p w14:paraId="25170F0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8.325</w:t>
            </w:r>
          </w:p>
        </w:tc>
        <w:tc>
          <w:tcPr>
            <w:tcW w:w="1077" w:type="dxa"/>
            <w:noWrap/>
            <w:vAlign w:val="center"/>
            <w:hideMark/>
          </w:tcPr>
          <w:p w14:paraId="00A79FD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10C21A13" w14:textId="77777777" w:rsidTr="00EB0FFD">
        <w:trPr>
          <w:trHeight w:val="283"/>
        </w:trPr>
        <w:tc>
          <w:tcPr>
            <w:tcW w:w="441" w:type="dxa"/>
            <w:noWrap/>
            <w:vAlign w:val="center"/>
            <w:hideMark/>
          </w:tcPr>
          <w:p w14:paraId="2D15EB8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w:t>
            </w:r>
          </w:p>
        </w:tc>
        <w:tc>
          <w:tcPr>
            <w:tcW w:w="558" w:type="dxa"/>
            <w:noWrap/>
            <w:vAlign w:val="center"/>
            <w:hideMark/>
          </w:tcPr>
          <w:p w14:paraId="3CF9DFE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59107C4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1,233</w:t>
            </w:r>
          </w:p>
        </w:tc>
        <w:tc>
          <w:tcPr>
            <w:tcW w:w="624" w:type="dxa"/>
            <w:noWrap/>
            <w:vAlign w:val="center"/>
            <w:hideMark/>
          </w:tcPr>
          <w:p w14:paraId="687CD9A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18B6D36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38D8FA4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7707145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65A3580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26.29</w:t>
            </w:r>
          </w:p>
        </w:tc>
        <w:tc>
          <w:tcPr>
            <w:tcW w:w="964" w:type="dxa"/>
            <w:noWrap/>
            <w:vAlign w:val="center"/>
            <w:hideMark/>
          </w:tcPr>
          <w:p w14:paraId="4675782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31.27</w:t>
            </w:r>
          </w:p>
        </w:tc>
        <w:tc>
          <w:tcPr>
            <w:tcW w:w="850" w:type="dxa"/>
            <w:noWrap/>
            <w:vAlign w:val="center"/>
            <w:hideMark/>
          </w:tcPr>
          <w:p w14:paraId="238E9DE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1.576</w:t>
            </w:r>
          </w:p>
        </w:tc>
        <w:tc>
          <w:tcPr>
            <w:tcW w:w="680" w:type="dxa"/>
            <w:noWrap/>
            <w:vAlign w:val="center"/>
            <w:hideMark/>
          </w:tcPr>
          <w:p w14:paraId="314C497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2.038</w:t>
            </w:r>
          </w:p>
        </w:tc>
        <w:tc>
          <w:tcPr>
            <w:tcW w:w="1020" w:type="dxa"/>
            <w:noWrap/>
            <w:vAlign w:val="center"/>
            <w:hideMark/>
          </w:tcPr>
          <w:p w14:paraId="56AB039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0.942</w:t>
            </w:r>
          </w:p>
        </w:tc>
        <w:tc>
          <w:tcPr>
            <w:tcW w:w="907" w:type="dxa"/>
            <w:noWrap/>
            <w:vAlign w:val="center"/>
            <w:hideMark/>
          </w:tcPr>
          <w:p w14:paraId="79B59BE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0.979</w:t>
            </w:r>
          </w:p>
        </w:tc>
        <w:tc>
          <w:tcPr>
            <w:tcW w:w="1191" w:type="dxa"/>
            <w:noWrap/>
            <w:vAlign w:val="center"/>
            <w:hideMark/>
          </w:tcPr>
          <w:p w14:paraId="472A19B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0.045</w:t>
            </w:r>
          </w:p>
        </w:tc>
        <w:tc>
          <w:tcPr>
            <w:tcW w:w="1191" w:type="dxa"/>
            <w:noWrap/>
            <w:vAlign w:val="center"/>
            <w:hideMark/>
          </w:tcPr>
          <w:p w14:paraId="352A9CC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0.015</w:t>
            </w:r>
          </w:p>
        </w:tc>
        <w:tc>
          <w:tcPr>
            <w:tcW w:w="612" w:type="dxa"/>
            <w:noWrap/>
            <w:vAlign w:val="center"/>
            <w:hideMark/>
          </w:tcPr>
          <w:p w14:paraId="3ECCBFA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37.726</w:t>
            </w:r>
          </w:p>
        </w:tc>
        <w:tc>
          <w:tcPr>
            <w:tcW w:w="1077" w:type="dxa"/>
            <w:noWrap/>
            <w:vAlign w:val="center"/>
            <w:hideMark/>
          </w:tcPr>
          <w:p w14:paraId="4FE1493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164EF740" w14:textId="77777777" w:rsidTr="00EB0FFD">
        <w:trPr>
          <w:trHeight w:val="283"/>
        </w:trPr>
        <w:tc>
          <w:tcPr>
            <w:tcW w:w="441" w:type="dxa"/>
            <w:noWrap/>
            <w:vAlign w:val="center"/>
            <w:hideMark/>
          </w:tcPr>
          <w:p w14:paraId="016EF7A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w:t>
            </w:r>
          </w:p>
        </w:tc>
        <w:tc>
          <w:tcPr>
            <w:tcW w:w="558" w:type="dxa"/>
            <w:noWrap/>
            <w:vAlign w:val="center"/>
            <w:hideMark/>
          </w:tcPr>
          <w:p w14:paraId="191EEC8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5265A9E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1,211</w:t>
            </w:r>
          </w:p>
        </w:tc>
        <w:tc>
          <w:tcPr>
            <w:tcW w:w="624" w:type="dxa"/>
            <w:noWrap/>
            <w:vAlign w:val="center"/>
            <w:hideMark/>
          </w:tcPr>
          <w:p w14:paraId="2132D4C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361887D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6621196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1ED76DE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499F7A8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19.22</w:t>
            </w:r>
          </w:p>
        </w:tc>
        <w:tc>
          <w:tcPr>
            <w:tcW w:w="964" w:type="dxa"/>
            <w:noWrap/>
            <w:vAlign w:val="center"/>
            <w:hideMark/>
          </w:tcPr>
          <w:p w14:paraId="062C577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25.86</w:t>
            </w:r>
          </w:p>
        </w:tc>
        <w:tc>
          <w:tcPr>
            <w:tcW w:w="850" w:type="dxa"/>
            <w:noWrap/>
            <w:vAlign w:val="center"/>
            <w:hideMark/>
          </w:tcPr>
          <w:p w14:paraId="6E23986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0.920</w:t>
            </w:r>
          </w:p>
        </w:tc>
        <w:tc>
          <w:tcPr>
            <w:tcW w:w="680" w:type="dxa"/>
            <w:noWrap/>
            <w:vAlign w:val="center"/>
            <w:hideMark/>
          </w:tcPr>
          <w:p w14:paraId="669AF8D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1.536</w:t>
            </w:r>
          </w:p>
        </w:tc>
        <w:tc>
          <w:tcPr>
            <w:tcW w:w="1020" w:type="dxa"/>
            <w:noWrap/>
            <w:vAlign w:val="center"/>
            <w:hideMark/>
          </w:tcPr>
          <w:p w14:paraId="6249445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0.821</w:t>
            </w:r>
          </w:p>
        </w:tc>
        <w:tc>
          <w:tcPr>
            <w:tcW w:w="907" w:type="dxa"/>
            <w:noWrap/>
            <w:vAlign w:val="center"/>
            <w:hideMark/>
          </w:tcPr>
          <w:p w14:paraId="2FCECD1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0.938</w:t>
            </w:r>
          </w:p>
        </w:tc>
        <w:tc>
          <w:tcPr>
            <w:tcW w:w="1191" w:type="dxa"/>
            <w:noWrap/>
            <w:vAlign w:val="center"/>
            <w:hideMark/>
          </w:tcPr>
          <w:p w14:paraId="2B9DBF6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0.121</w:t>
            </w:r>
          </w:p>
        </w:tc>
        <w:tc>
          <w:tcPr>
            <w:tcW w:w="1191" w:type="dxa"/>
            <w:noWrap/>
            <w:vAlign w:val="center"/>
            <w:hideMark/>
          </w:tcPr>
          <w:p w14:paraId="5DC464B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0.041</w:t>
            </w:r>
          </w:p>
        </w:tc>
        <w:tc>
          <w:tcPr>
            <w:tcW w:w="612" w:type="dxa"/>
            <w:noWrap/>
            <w:vAlign w:val="center"/>
            <w:hideMark/>
          </w:tcPr>
          <w:p w14:paraId="52580D2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102.106</w:t>
            </w:r>
          </w:p>
        </w:tc>
        <w:tc>
          <w:tcPr>
            <w:tcW w:w="1077" w:type="dxa"/>
            <w:noWrap/>
            <w:vAlign w:val="center"/>
            <w:hideMark/>
          </w:tcPr>
          <w:p w14:paraId="16FD811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24C729E6" w14:textId="77777777" w:rsidTr="00EB0FFD">
        <w:trPr>
          <w:trHeight w:val="283"/>
        </w:trPr>
        <w:tc>
          <w:tcPr>
            <w:tcW w:w="441" w:type="dxa"/>
            <w:noWrap/>
            <w:vAlign w:val="center"/>
            <w:hideMark/>
          </w:tcPr>
          <w:p w14:paraId="6E70113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w:t>
            </w:r>
          </w:p>
        </w:tc>
        <w:tc>
          <w:tcPr>
            <w:tcW w:w="558" w:type="dxa"/>
            <w:noWrap/>
            <w:vAlign w:val="center"/>
            <w:hideMark/>
          </w:tcPr>
          <w:p w14:paraId="5C504E7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0FDEA74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1,188</w:t>
            </w:r>
          </w:p>
        </w:tc>
        <w:tc>
          <w:tcPr>
            <w:tcW w:w="624" w:type="dxa"/>
            <w:noWrap/>
            <w:vAlign w:val="center"/>
            <w:hideMark/>
          </w:tcPr>
          <w:p w14:paraId="6BC3772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44BDF2E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461C272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4117464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34F011B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12.15</w:t>
            </w:r>
          </w:p>
        </w:tc>
        <w:tc>
          <w:tcPr>
            <w:tcW w:w="964" w:type="dxa"/>
            <w:noWrap/>
            <w:vAlign w:val="center"/>
            <w:hideMark/>
          </w:tcPr>
          <w:p w14:paraId="78E3B5D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20.45</w:t>
            </w:r>
          </w:p>
        </w:tc>
        <w:tc>
          <w:tcPr>
            <w:tcW w:w="850" w:type="dxa"/>
            <w:noWrap/>
            <w:vAlign w:val="center"/>
            <w:hideMark/>
          </w:tcPr>
          <w:p w14:paraId="52C3498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0.264</w:t>
            </w:r>
          </w:p>
        </w:tc>
        <w:tc>
          <w:tcPr>
            <w:tcW w:w="680" w:type="dxa"/>
            <w:noWrap/>
            <w:vAlign w:val="center"/>
            <w:hideMark/>
          </w:tcPr>
          <w:p w14:paraId="28E88CD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1.034</w:t>
            </w:r>
          </w:p>
        </w:tc>
        <w:tc>
          <w:tcPr>
            <w:tcW w:w="1020" w:type="dxa"/>
            <w:noWrap/>
            <w:vAlign w:val="center"/>
            <w:hideMark/>
          </w:tcPr>
          <w:p w14:paraId="7C701B4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0.604</w:t>
            </w:r>
          </w:p>
        </w:tc>
        <w:tc>
          <w:tcPr>
            <w:tcW w:w="907" w:type="dxa"/>
            <w:noWrap/>
            <w:vAlign w:val="center"/>
            <w:hideMark/>
          </w:tcPr>
          <w:p w14:paraId="73D3405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0.850</w:t>
            </w:r>
          </w:p>
        </w:tc>
        <w:tc>
          <w:tcPr>
            <w:tcW w:w="1191" w:type="dxa"/>
            <w:noWrap/>
            <w:vAlign w:val="center"/>
            <w:hideMark/>
          </w:tcPr>
          <w:p w14:paraId="0A5849D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0.217</w:t>
            </w:r>
          </w:p>
        </w:tc>
        <w:tc>
          <w:tcPr>
            <w:tcW w:w="1191" w:type="dxa"/>
            <w:noWrap/>
            <w:vAlign w:val="center"/>
            <w:hideMark/>
          </w:tcPr>
          <w:p w14:paraId="78145BF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0.088</w:t>
            </w:r>
          </w:p>
        </w:tc>
        <w:tc>
          <w:tcPr>
            <w:tcW w:w="612" w:type="dxa"/>
            <w:noWrap/>
            <w:vAlign w:val="center"/>
            <w:hideMark/>
          </w:tcPr>
          <w:p w14:paraId="4018334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164.870</w:t>
            </w:r>
          </w:p>
        </w:tc>
        <w:tc>
          <w:tcPr>
            <w:tcW w:w="1077" w:type="dxa"/>
            <w:noWrap/>
            <w:vAlign w:val="center"/>
            <w:hideMark/>
          </w:tcPr>
          <w:p w14:paraId="7B73CE8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5705BE86" w14:textId="77777777" w:rsidTr="00EB0FFD">
        <w:trPr>
          <w:trHeight w:val="283"/>
        </w:trPr>
        <w:tc>
          <w:tcPr>
            <w:tcW w:w="441" w:type="dxa"/>
            <w:noWrap/>
            <w:vAlign w:val="center"/>
            <w:hideMark/>
          </w:tcPr>
          <w:p w14:paraId="079F250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w:t>
            </w:r>
          </w:p>
        </w:tc>
        <w:tc>
          <w:tcPr>
            <w:tcW w:w="558" w:type="dxa"/>
            <w:noWrap/>
            <w:vAlign w:val="center"/>
            <w:hideMark/>
          </w:tcPr>
          <w:p w14:paraId="7F5BB05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7B89DC8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1,166</w:t>
            </w:r>
          </w:p>
        </w:tc>
        <w:tc>
          <w:tcPr>
            <w:tcW w:w="624" w:type="dxa"/>
            <w:noWrap/>
            <w:vAlign w:val="center"/>
            <w:hideMark/>
          </w:tcPr>
          <w:p w14:paraId="72DE849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5D920C7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46F6240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6BD1DE3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6D47A9F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5.08</w:t>
            </w:r>
          </w:p>
        </w:tc>
        <w:tc>
          <w:tcPr>
            <w:tcW w:w="964" w:type="dxa"/>
            <w:noWrap/>
            <w:vAlign w:val="center"/>
            <w:hideMark/>
          </w:tcPr>
          <w:p w14:paraId="71515B6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15.04</w:t>
            </w:r>
          </w:p>
        </w:tc>
        <w:tc>
          <w:tcPr>
            <w:tcW w:w="850" w:type="dxa"/>
            <w:noWrap/>
            <w:vAlign w:val="center"/>
            <w:hideMark/>
          </w:tcPr>
          <w:p w14:paraId="592C481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-0.391</w:t>
            </w:r>
          </w:p>
        </w:tc>
        <w:tc>
          <w:tcPr>
            <w:tcW w:w="680" w:type="dxa"/>
            <w:noWrap/>
            <w:vAlign w:val="center"/>
            <w:hideMark/>
          </w:tcPr>
          <w:p w14:paraId="12D5C9A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0.532</w:t>
            </w:r>
          </w:p>
        </w:tc>
        <w:tc>
          <w:tcPr>
            <w:tcW w:w="1020" w:type="dxa"/>
            <w:noWrap/>
            <w:vAlign w:val="center"/>
            <w:hideMark/>
          </w:tcPr>
          <w:p w14:paraId="2EA61A2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0.348</w:t>
            </w:r>
          </w:p>
        </w:tc>
        <w:tc>
          <w:tcPr>
            <w:tcW w:w="907" w:type="dxa"/>
            <w:noWrap/>
            <w:vAlign w:val="center"/>
            <w:hideMark/>
          </w:tcPr>
          <w:p w14:paraId="354742F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0.703</w:t>
            </w:r>
          </w:p>
        </w:tc>
        <w:tc>
          <w:tcPr>
            <w:tcW w:w="1191" w:type="dxa"/>
            <w:noWrap/>
            <w:vAlign w:val="center"/>
            <w:hideMark/>
          </w:tcPr>
          <w:p w14:paraId="09E1831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0.257</w:t>
            </w:r>
          </w:p>
        </w:tc>
        <w:tc>
          <w:tcPr>
            <w:tcW w:w="1191" w:type="dxa"/>
            <w:noWrap/>
            <w:vAlign w:val="center"/>
            <w:hideMark/>
          </w:tcPr>
          <w:p w14:paraId="2B6E85B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612" w:type="dxa"/>
            <w:noWrap/>
            <w:vAlign w:val="center"/>
            <w:hideMark/>
          </w:tcPr>
          <w:p w14:paraId="4A0B683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140.608</w:t>
            </w:r>
          </w:p>
        </w:tc>
        <w:tc>
          <w:tcPr>
            <w:tcW w:w="1077" w:type="dxa"/>
            <w:noWrap/>
            <w:vAlign w:val="center"/>
            <w:hideMark/>
          </w:tcPr>
          <w:p w14:paraId="32AAA19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63DAAF55" w14:textId="77777777" w:rsidTr="00EB0FFD">
        <w:trPr>
          <w:trHeight w:val="283"/>
        </w:trPr>
        <w:tc>
          <w:tcPr>
            <w:tcW w:w="441" w:type="dxa"/>
            <w:noWrap/>
            <w:vAlign w:val="center"/>
            <w:hideMark/>
          </w:tcPr>
          <w:p w14:paraId="126AFC0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w:t>
            </w:r>
          </w:p>
        </w:tc>
        <w:tc>
          <w:tcPr>
            <w:tcW w:w="558" w:type="dxa"/>
            <w:noWrap/>
            <w:vAlign w:val="center"/>
            <w:hideMark/>
          </w:tcPr>
          <w:p w14:paraId="2D52D70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5E11175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1,145</w:t>
            </w:r>
          </w:p>
        </w:tc>
        <w:tc>
          <w:tcPr>
            <w:tcW w:w="624" w:type="dxa"/>
            <w:noWrap/>
            <w:vAlign w:val="center"/>
            <w:hideMark/>
          </w:tcPr>
          <w:p w14:paraId="50BA3E7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13FB932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354A22C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782508A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3FCAD3A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-1.99</w:t>
            </w:r>
          </w:p>
        </w:tc>
        <w:tc>
          <w:tcPr>
            <w:tcW w:w="964" w:type="dxa"/>
            <w:noWrap/>
            <w:vAlign w:val="center"/>
            <w:hideMark/>
          </w:tcPr>
          <w:p w14:paraId="632587D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9.63</w:t>
            </w:r>
          </w:p>
        </w:tc>
        <w:tc>
          <w:tcPr>
            <w:tcW w:w="850" w:type="dxa"/>
            <w:noWrap/>
            <w:vAlign w:val="center"/>
            <w:hideMark/>
          </w:tcPr>
          <w:p w14:paraId="31D9912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-1.047</w:t>
            </w:r>
          </w:p>
        </w:tc>
        <w:tc>
          <w:tcPr>
            <w:tcW w:w="680" w:type="dxa"/>
            <w:noWrap/>
            <w:vAlign w:val="center"/>
            <w:hideMark/>
          </w:tcPr>
          <w:p w14:paraId="02A2990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0.031</w:t>
            </w:r>
          </w:p>
        </w:tc>
        <w:tc>
          <w:tcPr>
            <w:tcW w:w="1020" w:type="dxa"/>
            <w:noWrap/>
            <w:vAlign w:val="center"/>
            <w:hideMark/>
          </w:tcPr>
          <w:p w14:paraId="32D47D4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0.147</w:t>
            </w:r>
          </w:p>
        </w:tc>
        <w:tc>
          <w:tcPr>
            <w:tcW w:w="907" w:type="dxa"/>
            <w:noWrap/>
            <w:vAlign w:val="center"/>
            <w:hideMark/>
          </w:tcPr>
          <w:p w14:paraId="1CD7C6D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0.512</w:t>
            </w:r>
          </w:p>
        </w:tc>
        <w:tc>
          <w:tcPr>
            <w:tcW w:w="1191" w:type="dxa"/>
            <w:noWrap/>
            <w:vAlign w:val="center"/>
            <w:hideMark/>
          </w:tcPr>
          <w:p w14:paraId="1CF33A9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0.200</w:t>
            </w:r>
          </w:p>
        </w:tc>
        <w:tc>
          <w:tcPr>
            <w:tcW w:w="1191" w:type="dxa"/>
            <w:noWrap/>
            <w:vAlign w:val="center"/>
            <w:hideMark/>
          </w:tcPr>
          <w:p w14:paraId="3A1B4D3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0.191</w:t>
            </w:r>
          </w:p>
        </w:tc>
        <w:tc>
          <w:tcPr>
            <w:tcW w:w="612" w:type="dxa"/>
            <w:noWrap/>
            <w:vAlign w:val="center"/>
            <w:hideMark/>
          </w:tcPr>
          <w:p w14:paraId="446EA7E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12.368</w:t>
            </w:r>
          </w:p>
        </w:tc>
        <w:tc>
          <w:tcPr>
            <w:tcW w:w="1077" w:type="dxa"/>
            <w:noWrap/>
            <w:vAlign w:val="center"/>
            <w:hideMark/>
          </w:tcPr>
          <w:p w14:paraId="642B153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06E9BD0D" w14:textId="77777777" w:rsidTr="00EB0FFD">
        <w:trPr>
          <w:trHeight w:val="283"/>
        </w:trPr>
        <w:tc>
          <w:tcPr>
            <w:tcW w:w="441" w:type="dxa"/>
            <w:noWrap/>
            <w:vAlign w:val="center"/>
            <w:hideMark/>
          </w:tcPr>
          <w:p w14:paraId="5785387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8</w:t>
            </w:r>
          </w:p>
        </w:tc>
        <w:tc>
          <w:tcPr>
            <w:tcW w:w="558" w:type="dxa"/>
            <w:noWrap/>
            <w:vAlign w:val="center"/>
            <w:hideMark/>
          </w:tcPr>
          <w:p w14:paraId="2CD4900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71A6A2C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1,124</w:t>
            </w:r>
          </w:p>
        </w:tc>
        <w:tc>
          <w:tcPr>
            <w:tcW w:w="624" w:type="dxa"/>
            <w:noWrap/>
            <w:vAlign w:val="center"/>
            <w:hideMark/>
          </w:tcPr>
          <w:p w14:paraId="20C0842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149A21B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780B10C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5B8FE38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3A18C3A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-9.06</w:t>
            </w:r>
          </w:p>
        </w:tc>
        <w:tc>
          <w:tcPr>
            <w:tcW w:w="964" w:type="dxa"/>
            <w:noWrap/>
            <w:vAlign w:val="center"/>
            <w:hideMark/>
          </w:tcPr>
          <w:p w14:paraId="6315CE8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4.22</w:t>
            </w:r>
          </w:p>
        </w:tc>
        <w:tc>
          <w:tcPr>
            <w:tcW w:w="850" w:type="dxa"/>
            <w:noWrap/>
            <w:vAlign w:val="center"/>
            <w:hideMark/>
          </w:tcPr>
          <w:p w14:paraId="56A1F9F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-1.703</w:t>
            </w:r>
          </w:p>
        </w:tc>
        <w:tc>
          <w:tcPr>
            <w:tcW w:w="680" w:type="dxa"/>
            <w:noWrap/>
            <w:vAlign w:val="center"/>
            <w:hideMark/>
          </w:tcPr>
          <w:p w14:paraId="1EFF9DE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-0.471</w:t>
            </w:r>
          </w:p>
        </w:tc>
        <w:tc>
          <w:tcPr>
            <w:tcW w:w="1020" w:type="dxa"/>
            <w:noWrap/>
            <w:vAlign w:val="center"/>
            <w:hideMark/>
          </w:tcPr>
          <w:p w14:paraId="4F585AB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0.044</w:t>
            </w:r>
          </w:p>
        </w:tc>
        <w:tc>
          <w:tcPr>
            <w:tcW w:w="907" w:type="dxa"/>
            <w:noWrap/>
            <w:vAlign w:val="center"/>
            <w:hideMark/>
          </w:tcPr>
          <w:p w14:paraId="0B9DDFA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0.319</w:t>
            </w:r>
          </w:p>
        </w:tc>
        <w:tc>
          <w:tcPr>
            <w:tcW w:w="1191" w:type="dxa"/>
            <w:noWrap/>
            <w:vAlign w:val="center"/>
            <w:hideMark/>
          </w:tcPr>
          <w:p w14:paraId="4298C43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0.103</w:t>
            </w:r>
          </w:p>
        </w:tc>
        <w:tc>
          <w:tcPr>
            <w:tcW w:w="1191" w:type="dxa"/>
            <w:noWrap/>
            <w:vAlign w:val="center"/>
            <w:hideMark/>
          </w:tcPr>
          <w:p w14:paraId="79ACF3B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0.193</w:t>
            </w:r>
          </w:p>
        </w:tc>
        <w:tc>
          <w:tcPr>
            <w:tcW w:w="612" w:type="dxa"/>
            <w:noWrap/>
            <w:vAlign w:val="center"/>
            <w:hideMark/>
          </w:tcPr>
          <w:p w14:paraId="7B0F472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c>
          <w:tcPr>
            <w:tcW w:w="1077" w:type="dxa"/>
            <w:noWrap/>
            <w:vAlign w:val="center"/>
            <w:hideMark/>
          </w:tcPr>
          <w:p w14:paraId="142913D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08EC21E9" w14:textId="77777777" w:rsidTr="00EB0FFD">
        <w:trPr>
          <w:trHeight w:val="283"/>
        </w:trPr>
        <w:tc>
          <w:tcPr>
            <w:tcW w:w="441" w:type="dxa"/>
            <w:noWrap/>
            <w:vAlign w:val="center"/>
            <w:hideMark/>
          </w:tcPr>
          <w:p w14:paraId="50064ED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w:t>
            </w:r>
          </w:p>
        </w:tc>
        <w:tc>
          <w:tcPr>
            <w:tcW w:w="558" w:type="dxa"/>
            <w:noWrap/>
            <w:vAlign w:val="center"/>
            <w:hideMark/>
          </w:tcPr>
          <w:p w14:paraId="1D0AC9D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vAlign w:val="center"/>
          </w:tcPr>
          <w:p w14:paraId="41EE517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1,103</w:t>
            </w:r>
          </w:p>
        </w:tc>
        <w:tc>
          <w:tcPr>
            <w:tcW w:w="624" w:type="dxa"/>
            <w:noWrap/>
            <w:vAlign w:val="center"/>
            <w:hideMark/>
          </w:tcPr>
          <w:p w14:paraId="6EB80E9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noWrap/>
            <w:vAlign w:val="center"/>
            <w:hideMark/>
          </w:tcPr>
          <w:p w14:paraId="2614477E"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noWrap/>
            <w:vAlign w:val="center"/>
            <w:hideMark/>
          </w:tcPr>
          <w:p w14:paraId="73076CA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vAlign w:val="center"/>
            <w:hideMark/>
          </w:tcPr>
          <w:p w14:paraId="7EE1737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noWrap/>
            <w:vAlign w:val="center"/>
            <w:hideMark/>
          </w:tcPr>
          <w:p w14:paraId="2A1708F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-16.13</w:t>
            </w:r>
          </w:p>
        </w:tc>
        <w:tc>
          <w:tcPr>
            <w:tcW w:w="964" w:type="dxa"/>
            <w:noWrap/>
            <w:vAlign w:val="center"/>
            <w:hideMark/>
          </w:tcPr>
          <w:p w14:paraId="50C01E9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-1.19</w:t>
            </w:r>
          </w:p>
        </w:tc>
        <w:tc>
          <w:tcPr>
            <w:tcW w:w="850" w:type="dxa"/>
            <w:noWrap/>
            <w:vAlign w:val="center"/>
            <w:hideMark/>
          </w:tcPr>
          <w:p w14:paraId="75622A1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-2.359</w:t>
            </w:r>
          </w:p>
        </w:tc>
        <w:tc>
          <w:tcPr>
            <w:tcW w:w="680" w:type="dxa"/>
            <w:noWrap/>
            <w:vAlign w:val="center"/>
            <w:hideMark/>
          </w:tcPr>
          <w:p w14:paraId="51F4DC9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-0.973</w:t>
            </w:r>
          </w:p>
        </w:tc>
        <w:tc>
          <w:tcPr>
            <w:tcW w:w="1020" w:type="dxa"/>
            <w:noWrap/>
            <w:vAlign w:val="center"/>
            <w:hideMark/>
          </w:tcPr>
          <w:p w14:paraId="39C0586A"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0.009</w:t>
            </w:r>
          </w:p>
        </w:tc>
        <w:tc>
          <w:tcPr>
            <w:tcW w:w="907" w:type="dxa"/>
            <w:noWrap/>
            <w:vAlign w:val="center"/>
            <w:hideMark/>
          </w:tcPr>
          <w:p w14:paraId="230CAB22"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0.165</w:t>
            </w:r>
          </w:p>
        </w:tc>
        <w:tc>
          <w:tcPr>
            <w:tcW w:w="1191" w:type="dxa"/>
            <w:noWrap/>
            <w:vAlign w:val="center"/>
            <w:hideMark/>
          </w:tcPr>
          <w:p w14:paraId="380DFBE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0.035</w:t>
            </w:r>
          </w:p>
        </w:tc>
        <w:tc>
          <w:tcPr>
            <w:tcW w:w="1191" w:type="dxa"/>
            <w:noWrap/>
            <w:vAlign w:val="center"/>
            <w:hideMark/>
          </w:tcPr>
          <w:p w14:paraId="0B85FB3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0.153</w:t>
            </w:r>
          </w:p>
        </w:tc>
        <w:tc>
          <w:tcPr>
            <w:tcW w:w="612" w:type="dxa"/>
            <w:noWrap/>
            <w:vAlign w:val="center"/>
            <w:hideMark/>
          </w:tcPr>
          <w:p w14:paraId="2E02C066"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c>
          <w:tcPr>
            <w:tcW w:w="1077" w:type="dxa"/>
            <w:noWrap/>
            <w:vAlign w:val="center"/>
            <w:hideMark/>
          </w:tcPr>
          <w:p w14:paraId="3A9BDFF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7901DAD7" w14:textId="77777777" w:rsidTr="00EB0FFD">
        <w:trPr>
          <w:trHeight w:val="283"/>
        </w:trPr>
        <w:tc>
          <w:tcPr>
            <w:tcW w:w="441" w:type="dxa"/>
            <w:tcBorders>
              <w:bottom w:val="single" w:sz="6" w:space="0" w:color="000000" w:themeColor="text1"/>
            </w:tcBorders>
            <w:noWrap/>
            <w:vAlign w:val="center"/>
            <w:hideMark/>
          </w:tcPr>
          <w:p w14:paraId="65DDA1F0"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w:t>
            </w:r>
          </w:p>
        </w:tc>
        <w:tc>
          <w:tcPr>
            <w:tcW w:w="558" w:type="dxa"/>
            <w:tcBorders>
              <w:bottom w:val="single" w:sz="6" w:space="0" w:color="000000" w:themeColor="text1"/>
            </w:tcBorders>
            <w:noWrap/>
            <w:vAlign w:val="center"/>
            <w:hideMark/>
          </w:tcPr>
          <w:p w14:paraId="029A5A2B"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c>
          <w:tcPr>
            <w:tcW w:w="1146" w:type="dxa"/>
            <w:tcBorders>
              <w:bottom w:val="single" w:sz="6" w:space="0" w:color="000000" w:themeColor="text1"/>
            </w:tcBorders>
            <w:vAlign w:val="center"/>
          </w:tcPr>
          <w:p w14:paraId="7681DF43"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1,083</w:t>
            </w:r>
          </w:p>
        </w:tc>
        <w:tc>
          <w:tcPr>
            <w:tcW w:w="624" w:type="dxa"/>
            <w:tcBorders>
              <w:bottom w:val="single" w:sz="6" w:space="0" w:color="000000" w:themeColor="text1"/>
            </w:tcBorders>
            <w:noWrap/>
            <w:vAlign w:val="center"/>
            <w:hideMark/>
          </w:tcPr>
          <w:p w14:paraId="6F5EFDA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7.07</w:t>
            </w:r>
          </w:p>
        </w:tc>
        <w:tc>
          <w:tcPr>
            <w:tcW w:w="1020" w:type="dxa"/>
            <w:tcBorders>
              <w:bottom w:val="single" w:sz="6" w:space="0" w:color="000000" w:themeColor="text1"/>
            </w:tcBorders>
            <w:noWrap/>
            <w:vAlign w:val="center"/>
            <w:hideMark/>
          </w:tcPr>
          <w:p w14:paraId="2A361197"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10.78</w:t>
            </w:r>
          </w:p>
        </w:tc>
        <w:tc>
          <w:tcPr>
            <w:tcW w:w="907" w:type="dxa"/>
            <w:tcBorders>
              <w:bottom w:val="single" w:sz="6" w:space="0" w:color="000000" w:themeColor="text1"/>
            </w:tcBorders>
            <w:noWrap/>
            <w:vAlign w:val="center"/>
            <w:hideMark/>
          </w:tcPr>
          <w:p w14:paraId="774D958F"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9.3</w:t>
            </w:r>
          </w:p>
        </w:tc>
        <w:tc>
          <w:tcPr>
            <w:tcW w:w="510" w:type="dxa"/>
            <w:tcBorders>
              <w:bottom w:val="single" w:sz="6" w:space="0" w:color="000000" w:themeColor="text1"/>
            </w:tcBorders>
            <w:vAlign w:val="center"/>
            <w:hideMark/>
          </w:tcPr>
          <w:p w14:paraId="766F88A1"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1.66</w:t>
            </w:r>
          </w:p>
        </w:tc>
        <w:tc>
          <w:tcPr>
            <w:tcW w:w="964" w:type="dxa"/>
            <w:tcBorders>
              <w:bottom w:val="single" w:sz="6" w:space="0" w:color="000000" w:themeColor="text1"/>
            </w:tcBorders>
            <w:noWrap/>
            <w:vAlign w:val="center"/>
            <w:hideMark/>
          </w:tcPr>
          <w:p w14:paraId="2FD98818"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-23.2</w:t>
            </w:r>
          </w:p>
        </w:tc>
        <w:tc>
          <w:tcPr>
            <w:tcW w:w="964" w:type="dxa"/>
            <w:tcBorders>
              <w:bottom w:val="single" w:sz="6" w:space="0" w:color="000000" w:themeColor="text1"/>
            </w:tcBorders>
            <w:noWrap/>
            <w:vAlign w:val="center"/>
            <w:hideMark/>
          </w:tcPr>
          <w:p w14:paraId="4746C11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-6.60</w:t>
            </w:r>
          </w:p>
        </w:tc>
        <w:tc>
          <w:tcPr>
            <w:tcW w:w="850" w:type="dxa"/>
            <w:tcBorders>
              <w:bottom w:val="single" w:sz="6" w:space="0" w:color="000000" w:themeColor="text1"/>
            </w:tcBorders>
            <w:noWrap/>
            <w:vAlign w:val="center"/>
            <w:hideMark/>
          </w:tcPr>
          <w:p w14:paraId="006A1D9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-3.015</w:t>
            </w:r>
          </w:p>
        </w:tc>
        <w:tc>
          <w:tcPr>
            <w:tcW w:w="680" w:type="dxa"/>
            <w:tcBorders>
              <w:bottom w:val="single" w:sz="6" w:space="0" w:color="000000" w:themeColor="text1"/>
            </w:tcBorders>
            <w:noWrap/>
            <w:vAlign w:val="center"/>
            <w:hideMark/>
          </w:tcPr>
          <w:p w14:paraId="01FE175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-1.475</w:t>
            </w:r>
          </w:p>
        </w:tc>
        <w:tc>
          <w:tcPr>
            <w:tcW w:w="1020" w:type="dxa"/>
            <w:tcBorders>
              <w:bottom w:val="single" w:sz="6" w:space="0" w:color="000000" w:themeColor="text1"/>
            </w:tcBorders>
            <w:noWrap/>
            <w:vAlign w:val="center"/>
            <w:hideMark/>
          </w:tcPr>
          <w:p w14:paraId="0BD1B375"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0.001</w:t>
            </w:r>
          </w:p>
        </w:tc>
        <w:tc>
          <w:tcPr>
            <w:tcW w:w="907" w:type="dxa"/>
            <w:tcBorders>
              <w:bottom w:val="single" w:sz="6" w:space="0" w:color="000000" w:themeColor="text1"/>
            </w:tcBorders>
            <w:noWrap/>
            <w:vAlign w:val="center"/>
            <w:hideMark/>
          </w:tcPr>
          <w:p w14:paraId="06DE487D"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0.070</w:t>
            </w:r>
          </w:p>
        </w:tc>
        <w:tc>
          <w:tcPr>
            <w:tcW w:w="1191" w:type="dxa"/>
            <w:tcBorders>
              <w:bottom w:val="single" w:sz="6" w:space="0" w:color="000000" w:themeColor="text1"/>
            </w:tcBorders>
            <w:noWrap/>
            <w:vAlign w:val="center"/>
            <w:hideMark/>
          </w:tcPr>
          <w:p w14:paraId="188F985C"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0.008</w:t>
            </w:r>
          </w:p>
        </w:tc>
        <w:tc>
          <w:tcPr>
            <w:tcW w:w="1191" w:type="dxa"/>
            <w:tcBorders>
              <w:bottom w:val="single" w:sz="6" w:space="0" w:color="000000" w:themeColor="text1"/>
            </w:tcBorders>
            <w:noWrap/>
            <w:vAlign w:val="center"/>
            <w:hideMark/>
          </w:tcPr>
          <w:p w14:paraId="57D4BD9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0.095</w:t>
            </w:r>
          </w:p>
        </w:tc>
        <w:tc>
          <w:tcPr>
            <w:tcW w:w="612" w:type="dxa"/>
            <w:tcBorders>
              <w:bottom w:val="single" w:sz="6" w:space="0" w:color="000000" w:themeColor="text1"/>
            </w:tcBorders>
            <w:noWrap/>
            <w:vAlign w:val="center"/>
            <w:hideMark/>
          </w:tcPr>
          <w:p w14:paraId="177A7A3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0.000</w:t>
            </w:r>
          </w:p>
        </w:tc>
        <w:tc>
          <w:tcPr>
            <w:tcW w:w="1077" w:type="dxa"/>
            <w:noWrap/>
            <w:vAlign w:val="center"/>
            <w:hideMark/>
          </w:tcPr>
          <w:p w14:paraId="50AF8804"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1,280</w:t>
            </w:r>
          </w:p>
        </w:tc>
      </w:tr>
      <w:tr w:rsidR="00344F3B" w:rsidRPr="002C21B8" w14:paraId="502104C1" w14:textId="77777777" w:rsidTr="00EB0FFD">
        <w:trPr>
          <w:trHeight w:val="283"/>
        </w:trPr>
        <w:tc>
          <w:tcPr>
            <w:tcW w:w="441" w:type="dxa"/>
            <w:tcBorders>
              <w:top w:val="single" w:sz="6" w:space="0" w:color="000000" w:themeColor="text1"/>
              <w:left w:val="nil"/>
              <w:bottom w:val="nil"/>
              <w:right w:val="nil"/>
            </w:tcBorders>
            <w:noWrap/>
            <w:vAlign w:val="center"/>
          </w:tcPr>
          <w:p w14:paraId="57355EB1" w14:textId="77777777" w:rsidR="00344F3B" w:rsidRPr="002C21B8" w:rsidRDefault="00344F3B" w:rsidP="00EB0FFD">
            <w:pPr>
              <w:spacing w:after="120" w:line="240" w:lineRule="auto"/>
              <w:rPr>
                <w:sz w:val="16"/>
                <w:szCs w:val="16"/>
              </w:rPr>
            </w:pPr>
          </w:p>
        </w:tc>
        <w:tc>
          <w:tcPr>
            <w:tcW w:w="558" w:type="dxa"/>
            <w:tcBorders>
              <w:top w:val="single" w:sz="6" w:space="0" w:color="000000" w:themeColor="text1"/>
              <w:left w:val="nil"/>
              <w:bottom w:val="nil"/>
              <w:right w:val="nil"/>
            </w:tcBorders>
            <w:noWrap/>
            <w:vAlign w:val="center"/>
          </w:tcPr>
          <w:p w14:paraId="357E9E6B" w14:textId="77777777" w:rsidR="00344F3B" w:rsidRPr="002C21B8" w:rsidRDefault="00344F3B" w:rsidP="00EB0FFD">
            <w:pPr>
              <w:spacing w:after="120" w:line="240" w:lineRule="auto"/>
              <w:rPr>
                <w:sz w:val="16"/>
                <w:szCs w:val="16"/>
              </w:rPr>
            </w:pPr>
          </w:p>
        </w:tc>
        <w:tc>
          <w:tcPr>
            <w:tcW w:w="1146" w:type="dxa"/>
            <w:tcBorders>
              <w:top w:val="single" w:sz="6" w:space="0" w:color="000000" w:themeColor="text1"/>
              <w:left w:val="nil"/>
              <w:bottom w:val="nil"/>
              <w:right w:val="nil"/>
            </w:tcBorders>
            <w:vAlign w:val="center"/>
          </w:tcPr>
          <w:p w14:paraId="55903AD9" w14:textId="77777777" w:rsidR="00344F3B" w:rsidRPr="002C21B8" w:rsidRDefault="00344F3B" w:rsidP="00EB0FFD">
            <w:pPr>
              <w:spacing w:after="120" w:line="240" w:lineRule="auto"/>
              <w:rPr>
                <w:sz w:val="16"/>
                <w:szCs w:val="16"/>
              </w:rPr>
            </w:pPr>
          </w:p>
        </w:tc>
        <w:tc>
          <w:tcPr>
            <w:tcW w:w="624" w:type="dxa"/>
            <w:tcBorders>
              <w:top w:val="single" w:sz="6" w:space="0" w:color="000000" w:themeColor="text1"/>
              <w:left w:val="nil"/>
              <w:bottom w:val="nil"/>
              <w:right w:val="nil"/>
            </w:tcBorders>
            <w:noWrap/>
            <w:vAlign w:val="center"/>
          </w:tcPr>
          <w:p w14:paraId="192E77B8" w14:textId="77777777" w:rsidR="00344F3B" w:rsidRPr="002C21B8" w:rsidRDefault="00344F3B" w:rsidP="00EB0FFD">
            <w:pPr>
              <w:spacing w:after="120" w:line="240" w:lineRule="auto"/>
              <w:rPr>
                <w:sz w:val="16"/>
                <w:szCs w:val="16"/>
              </w:rPr>
            </w:pPr>
          </w:p>
        </w:tc>
        <w:tc>
          <w:tcPr>
            <w:tcW w:w="1020" w:type="dxa"/>
            <w:tcBorders>
              <w:top w:val="single" w:sz="6" w:space="0" w:color="000000" w:themeColor="text1"/>
              <w:left w:val="nil"/>
              <w:bottom w:val="nil"/>
              <w:right w:val="nil"/>
            </w:tcBorders>
            <w:noWrap/>
            <w:vAlign w:val="center"/>
          </w:tcPr>
          <w:p w14:paraId="26B37C00" w14:textId="77777777" w:rsidR="00344F3B" w:rsidRPr="002C21B8" w:rsidRDefault="00344F3B" w:rsidP="00EB0FFD">
            <w:pPr>
              <w:spacing w:after="120" w:line="240" w:lineRule="auto"/>
              <w:rPr>
                <w:sz w:val="16"/>
                <w:szCs w:val="16"/>
              </w:rPr>
            </w:pPr>
          </w:p>
        </w:tc>
        <w:tc>
          <w:tcPr>
            <w:tcW w:w="907" w:type="dxa"/>
            <w:tcBorders>
              <w:top w:val="single" w:sz="6" w:space="0" w:color="000000" w:themeColor="text1"/>
              <w:left w:val="nil"/>
              <w:bottom w:val="nil"/>
              <w:right w:val="nil"/>
            </w:tcBorders>
            <w:noWrap/>
            <w:vAlign w:val="center"/>
          </w:tcPr>
          <w:p w14:paraId="4EA8E1A4" w14:textId="77777777" w:rsidR="00344F3B" w:rsidRPr="002C21B8" w:rsidRDefault="00344F3B" w:rsidP="00EB0FFD">
            <w:pPr>
              <w:spacing w:after="120" w:line="240" w:lineRule="auto"/>
              <w:rPr>
                <w:sz w:val="16"/>
                <w:szCs w:val="16"/>
              </w:rPr>
            </w:pPr>
          </w:p>
        </w:tc>
        <w:tc>
          <w:tcPr>
            <w:tcW w:w="510" w:type="dxa"/>
            <w:tcBorders>
              <w:top w:val="single" w:sz="6" w:space="0" w:color="000000" w:themeColor="text1"/>
              <w:left w:val="nil"/>
              <w:bottom w:val="nil"/>
              <w:right w:val="nil"/>
            </w:tcBorders>
            <w:vAlign w:val="center"/>
          </w:tcPr>
          <w:p w14:paraId="3FE54205" w14:textId="77777777" w:rsidR="00344F3B" w:rsidRPr="002C21B8" w:rsidRDefault="00344F3B" w:rsidP="00EB0FFD">
            <w:pPr>
              <w:spacing w:after="120" w:line="240" w:lineRule="auto"/>
              <w:rPr>
                <w:sz w:val="16"/>
                <w:szCs w:val="16"/>
              </w:rPr>
            </w:pPr>
          </w:p>
        </w:tc>
        <w:tc>
          <w:tcPr>
            <w:tcW w:w="964" w:type="dxa"/>
            <w:tcBorders>
              <w:top w:val="single" w:sz="6" w:space="0" w:color="000000" w:themeColor="text1"/>
              <w:left w:val="nil"/>
              <w:bottom w:val="nil"/>
              <w:right w:val="nil"/>
            </w:tcBorders>
            <w:noWrap/>
            <w:vAlign w:val="center"/>
          </w:tcPr>
          <w:p w14:paraId="592293CE" w14:textId="77777777" w:rsidR="00344F3B" w:rsidRPr="002C21B8" w:rsidRDefault="00344F3B" w:rsidP="00EB0FFD">
            <w:pPr>
              <w:spacing w:after="120" w:line="240" w:lineRule="auto"/>
              <w:rPr>
                <w:rFonts w:eastAsia="Arial Unicode MS"/>
                <w:sz w:val="16"/>
                <w:szCs w:val="16"/>
              </w:rPr>
            </w:pPr>
          </w:p>
        </w:tc>
        <w:tc>
          <w:tcPr>
            <w:tcW w:w="964" w:type="dxa"/>
            <w:tcBorders>
              <w:top w:val="single" w:sz="6" w:space="0" w:color="000000" w:themeColor="text1"/>
              <w:left w:val="nil"/>
              <w:bottom w:val="nil"/>
              <w:right w:val="nil"/>
            </w:tcBorders>
            <w:noWrap/>
            <w:vAlign w:val="center"/>
          </w:tcPr>
          <w:p w14:paraId="1E8D2572" w14:textId="77777777" w:rsidR="00344F3B" w:rsidRPr="002C21B8" w:rsidRDefault="00344F3B" w:rsidP="00EB0FFD">
            <w:pPr>
              <w:spacing w:after="120" w:line="240" w:lineRule="auto"/>
              <w:rPr>
                <w:rFonts w:eastAsia="Arial Unicode MS"/>
                <w:sz w:val="16"/>
                <w:szCs w:val="16"/>
              </w:rPr>
            </w:pPr>
          </w:p>
        </w:tc>
        <w:tc>
          <w:tcPr>
            <w:tcW w:w="850" w:type="dxa"/>
            <w:tcBorders>
              <w:top w:val="single" w:sz="6" w:space="0" w:color="000000" w:themeColor="text1"/>
              <w:left w:val="nil"/>
              <w:bottom w:val="nil"/>
              <w:right w:val="nil"/>
            </w:tcBorders>
            <w:noWrap/>
            <w:vAlign w:val="center"/>
          </w:tcPr>
          <w:p w14:paraId="27E25790" w14:textId="77777777" w:rsidR="00344F3B" w:rsidRPr="002C21B8" w:rsidRDefault="00344F3B" w:rsidP="00EB0FFD">
            <w:pPr>
              <w:spacing w:after="120" w:line="240" w:lineRule="auto"/>
              <w:rPr>
                <w:rFonts w:eastAsia="Arial Unicode MS"/>
                <w:sz w:val="16"/>
                <w:szCs w:val="16"/>
              </w:rPr>
            </w:pPr>
          </w:p>
        </w:tc>
        <w:tc>
          <w:tcPr>
            <w:tcW w:w="680" w:type="dxa"/>
            <w:tcBorders>
              <w:top w:val="single" w:sz="6" w:space="0" w:color="000000" w:themeColor="text1"/>
              <w:left w:val="nil"/>
              <w:bottom w:val="nil"/>
              <w:right w:val="nil"/>
            </w:tcBorders>
            <w:noWrap/>
            <w:vAlign w:val="center"/>
          </w:tcPr>
          <w:p w14:paraId="3145FE4A" w14:textId="77777777" w:rsidR="00344F3B" w:rsidRPr="002C21B8" w:rsidRDefault="00344F3B" w:rsidP="00EB0FFD">
            <w:pPr>
              <w:spacing w:after="120" w:line="240" w:lineRule="auto"/>
              <w:rPr>
                <w:rFonts w:eastAsia="Arial Unicode MS"/>
                <w:sz w:val="16"/>
                <w:szCs w:val="16"/>
              </w:rPr>
            </w:pPr>
          </w:p>
        </w:tc>
        <w:tc>
          <w:tcPr>
            <w:tcW w:w="1020" w:type="dxa"/>
            <w:tcBorders>
              <w:top w:val="single" w:sz="6" w:space="0" w:color="000000" w:themeColor="text1"/>
              <w:left w:val="nil"/>
              <w:bottom w:val="nil"/>
              <w:right w:val="nil"/>
            </w:tcBorders>
            <w:noWrap/>
            <w:vAlign w:val="center"/>
          </w:tcPr>
          <w:p w14:paraId="65392197" w14:textId="77777777" w:rsidR="00344F3B" w:rsidRPr="002C21B8" w:rsidRDefault="00344F3B" w:rsidP="00EB0FFD">
            <w:pPr>
              <w:spacing w:after="120" w:line="240" w:lineRule="auto"/>
              <w:rPr>
                <w:rFonts w:eastAsia="Arial Unicode MS"/>
                <w:sz w:val="16"/>
                <w:szCs w:val="16"/>
              </w:rPr>
            </w:pPr>
          </w:p>
        </w:tc>
        <w:tc>
          <w:tcPr>
            <w:tcW w:w="907" w:type="dxa"/>
            <w:tcBorders>
              <w:top w:val="single" w:sz="6" w:space="0" w:color="000000" w:themeColor="text1"/>
              <w:left w:val="nil"/>
              <w:bottom w:val="nil"/>
              <w:right w:val="nil"/>
            </w:tcBorders>
            <w:noWrap/>
            <w:vAlign w:val="center"/>
          </w:tcPr>
          <w:p w14:paraId="5BCA8D59"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049D73F7" w14:textId="77777777" w:rsidR="00344F3B" w:rsidRPr="002C21B8" w:rsidRDefault="00344F3B" w:rsidP="00EB0FFD">
            <w:pPr>
              <w:spacing w:after="120" w:line="240" w:lineRule="auto"/>
              <w:rPr>
                <w:rFonts w:eastAsia="Arial Unicode MS"/>
                <w:sz w:val="16"/>
                <w:szCs w:val="16"/>
              </w:rPr>
            </w:pPr>
          </w:p>
        </w:tc>
        <w:tc>
          <w:tcPr>
            <w:tcW w:w="1191" w:type="dxa"/>
            <w:tcBorders>
              <w:top w:val="single" w:sz="6" w:space="0" w:color="000000" w:themeColor="text1"/>
              <w:left w:val="nil"/>
              <w:bottom w:val="nil"/>
              <w:right w:val="nil"/>
            </w:tcBorders>
            <w:noWrap/>
            <w:vAlign w:val="center"/>
          </w:tcPr>
          <w:p w14:paraId="27767C09" w14:textId="77777777" w:rsidR="00344F3B" w:rsidRPr="002C21B8" w:rsidRDefault="00344F3B" w:rsidP="00EB0FFD">
            <w:pPr>
              <w:spacing w:after="120" w:line="240" w:lineRule="auto"/>
              <w:rPr>
                <w:rFonts w:eastAsia="Arial Unicode MS"/>
                <w:sz w:val="16"/>
                <w:szCs w:val="16"/>
              </w:rPr>
            </w:pPr>
          </w:p>
        </w:tc>
        <w:tc>
          <w:tcPr>
            <w:tcW w:w="612" w:type="dxa"/>
            <w:tcBorders>
              <w:top w:val="single" w:sz="6" w:space="0" w:color="000000" w:themeColor="text1"/>
              <w:left w:val="nil"/>
              <w:bottom w:val="nil"/>
              <w:right w:val="single" w:sz="6" w:space="0" w:color="000000" w:themeColor="text1"/>
            </w:tcBorders>
            <w:noWrap/>
            <w:vAlign w:val="center"/>
          </w:tcPr>
          <w:p w14:paraId="07812CAE" w14:textId="77777777" w:rsidR="00344F3B" w:rsidRPr="002C21B8" w:rsidRDefault="00344F3B" w:rsidP="00EB0FFD">
            <w:pPr>
              <w:spacing w:after="120" w:line="240" w:lineRule="auto"/>
              <w:rPr>
                <w:rFonts w:eastAsia="Arial Unicode MS"/>
                <w:sz w:val="16"/>
                <w:szCs w:val="16"/>
              </w:rPr>
            </w:pPr>
          </w:p>
        </w:tc>
        <w:tc>
          <w:tcPr>
            <w:tcW w:w="1077" w:type="dxa"/>
            <w:tcBorders>
              <w:left w:val="single" w:sz="6" w:space="0" w:color="000000" w:themeColor="text1"/>
            </w:tcBorders>
            <w:shd w:val="clear" w:color="auto" w:fill="D9D9D9" w:themeFill="background1" w:themeFillShade="D9"/>
            <w:noWrap/>
            <w:vAlign w:val="center"/>
          </w:tcPr>
          <w:p w14:paraId="019BC6A9" w14:textId="77777777" w:rsidR="00344F3B" w:rsidRPr="002C21B8" w:rsidRDefault="00344F3B" w:rsidP="00EB0FFD">
            <w:pPr>
              <w:spacing w:after="120" w:line="240" w:lineRule="auto"/>
              <w:rPr>
                <w:rFonts w:eastAsia="Arial Unicode MS"/>
                <w:sz w:val="16"/>
                <w:szCs w:val="16"/>
              </w:rPr>
            </w:pPr>
            <w:r w:rsidRPr="002C21B8">
              <w:rPr>
                <w:rFonts w:eastAsia="Arial Unicode MS"/>
                <w:sz w:val="16"/>
                <w:szCs w:val="16"/>
              </w:rPr>
              <w:t>Total = 2,294</w:t>
            </w:r>
          </w:p>
        </w:tc>
      </w:tr>
    </w:tbl>
    <w:p w14:paraId="1DC04545" w14:textId="77777777" w:rsidR="00344F3B" w:rsidRPr="002C21B8" w:rsidRDefault="00344F3B" w:rsidP="00344F3B"/>
    <w:p w14:paraId="742E2F3F" w14:textId="77777777" w:rsidR="00344F3B" w:rsidRPr="002C21B8" w:rsidRDefault="00344F3B" w:rsidP="00344F3B">
      <w:pPr>
        <w:sectPr w:rsidR="00344F3B" w:rsidRPr="002C21B8" w:rsidSect="0009672F">
          <w:headerReference w:type="default" r:id="rId194"/>
          <w:type w:val="continuous"/>
          <w:pgSz w:w="16838" w:h="11906" w:orient="landscape"/>
          <w:pgMar w:top="1440" w:right="1440" w:bottom="1440" w:left="1440" w:header="708" w:footer="708" w:gutter="0"/>
          <w:cols w:space="708"/>
          <w:docGrid w:linePitch="360"/>
        </w:sectPr>
      </w:pPr>
    </w:p>
    <w:p w14:paraId="2AD77328" w14:textId="77777777" w:rsidR="00344F3B" w:rsidRPr="002C21B8" w:rsidRDefault="00344F3B" w:rsidP="00344F3B">
      <w:pPr>
        <w:pStyle w:val="Caption"/>
        <w:rPr>
          <w:b/>
          <w:bCs/>
          <w:i w:val="0"/>
          <w:iCs w:val="0"/>
          <w:noProof w:val="0"/>
          <w:color w:val="000000" w:themeColor="text1"/>
          <w:sz w:val="24"/>
          <w:szCs w:val="24"/>
        </w:rPr>
      </w:pPr>
      <w:r w:rsidRPr="002C21B8">
        <w:rPr>
          <w:b/>
          <w:bCs/>
          <w:i w:val="0"/>
          <w:iCs w:val="0"/>
          <w:noProof w:val="0"/>
          <w:color w:val="000000" w:themeColor="text1"/>
          <w:sz w:val="24"/>
          <w:szCs w:val="24"/>
        </w:rPr>
        <w:t>Mean discounted base-case results per patient (probabilistic mean estimates)</w:t>
      </w:r>
      <w:r w:rsidRPr="002C21B8">
        <w:rPr>
          <w:rFonts w:eastAsiaTheme="majorEastAsia"/>
          <w:b/>
          <w:bCs/>
          <w:i w:val="0"/>
          <w:iCs w:val="0"/>
          <w:noProof w:val="0"/>
          <w:color w:val="000000" w:themeColor="text1"/>
          <w:sz w:val="24"/>
          <w:szCs w:val="24"/>
        </w:rPr>
        <w:t xml:space="preserve"> </w:t>
      </w:r>
      <w:r w:rsidRPr="002C21B8">
        <w:rPr>
          <w:b/>
          <w:bCs/>
          <w:i w:val="0"/>
          <w:iCs w:val="0"/>
          <w:noProof w:val="0"/>
          <w:color w:val="000000" w:themeColor="text1"/>
          <w:sz w:val="24"/>
          <w:szCs w:val="24"/>
        </w:rPr>
        <w:fldChar w:fldCharType="begin"/>
      </w:r>
      <w:r w:rsidRPr="002C21B8">
        <w:rPr>
          <w:b/>
          <w:bCs/>
          <w:i w:val="0"/>
          <w:iCs w:val="0"/>
          <w:noProof w:val="0"/>
          <w:color w:val="000000" w:themeColor="text1"/>
          <w:sz w:val="24"/>
          <w:szCs w:val="24"/>
        </w:rPr>
        <w:instrText xml:space="preserve"> ADDIN EN.CITE &lt;EndNote&gt;&lt;Cite&gt;&lt;Author&gt;National Institute for Health and Care Excellence&lt;/Author&gt;&lt;Year&gt;2015&lt;/Year&gt;&lt;RecNum&gt;124997&lt;/RecNum&gt;&lt;DisplayText&gt;(National Institute for Health and Care Excellence, 2015b)&lt;/DisplayText&gt;&lt;record&gt;&lt;rec-number&gt;124997&lt;/rec-number&gt;&lt;foreign-keys&gt;&lt;key app="EN" db-id="xpefzwa5hf9dt2ea9fax95x7xvxz90v09dtf" timestamp="1756925840"&gt;124997&lt;/key&gt;&lt;/foreign-keys&gt;&lt;ref-type name="Web Page"&gt;12&lt;/ref-type&gt;&lt;contributors&gt;&lt;authors&gt;&lt;author&gt;National Institute for Health and Care Excellence,&lt;/author&gt;&lt;/authors&gt;&lt;/contributors&gt;&lt;titles&gt;&lt;title&gt;Tolvaptan for treating autosomal dominant polycystic kidney disease (TA358)&lt;/title&gt;&lt;/titles&gt;&lt;number&gt;03/09/2025)&lt;/number&gt;&lt;dates&gt;&lt;year&gt;2015&lt;/year&gt;&lt;/dates&gt;&lt;urls&gt;&lt;related-urls&gt;&lt;url&gt;https://www.nice.org.uk/guidance/ta358/chapter/3-The-companys-submission&lt;/url&gt;&lt;/related-urls&gt;&lt;/urls&gt;&lt;/record&gt;&lt;/Cite&gt;&lt;/EndNote&gt;</w:instrText>
      </w:r>
      <w:r w:rsidRPr="002C21B8">
        <w:rPr>
          <w:b/>
          <w:bCs/>
          <w:i w:val="0"/>
          <w:iCs w:val="0"/>
          <w:noProof w:val="0"/>
          <w:color w:val="000000" w:themeColor="text1"/>
          <w:sz w:val="24"/>
          <w:szCs w:val="24"/>
        </w:rPr>
        <w:fldChar w:fldCharType="separate"/>
      </w:r>
      <w:r w:rsidRPr="002C21B8">
        <w:rPr>
          <w:b/>
          <w:bCs/>
          <w:i w:val="0"/>
          <w:iCs w:val="0"/>
          <w:color w:val="000000" w:themeColor="text1"/>
          <w:sz w:val="24"/>
          <w:szCs w:val="24"/>
        </w:rPr>
        <w:t>(National Institute for Health and Care Excellence, 2015b)</w:t>
      </w:r>
      <w:r w:rsidRPr="002C21B8">
        <w:rPr>
          <w:b/>
          <w:bCs/>
          <w:i w:val="0"/>
          <w:iCs w:val="0"/>
          <w:noProof w:val="0"/>
          <w:color w:val="000000" w:themeColor="text1"/>
          <w:sz w:val="24"/>
          <w:szCs w:val="24"/>
        </w:rPr>
        <w:fldChar w:fldCharType="end"/>
      </w:r>
    </w:p>
    <w:p w14:paraId="26699555" w14:textId="77777777" w:rsidR="00344F3B" w:rsidRPr="002C21B8" w:rsidRDefault="00344F3B" w:rsidP="00344F3B">
      <w:pPr>
        <w:spacing w:after="0"/>
        <w:rPr>
          <w:rFonts w:eastAsiaTheme="majorEastAsia"/>
          <w:sz w:val="18"/>
          <w:szCs w:val="18"/>
        </w:rPr>
      </w:pPr>
    </w:p>
    <w:tbl>
      <w:tblPr>
        <w:tblStyle w:val="TableGrid"/>
        <w:tblW w:w="949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246"/>
        <w:gridCol w:w="2254"/>
        <w:gridCol w:w="2490"/>
        <w:gridCol w:w="2508"/>
      </w:tblGrid>
      <w:tr w:rsidR="00344F3B" w:rsidRPr="002C21B8" w14:paraId="0A393E7F" w14:textId="77777777" w:rsidTr="00EB0FFD">
        <w:tc>
          <w:tcPr>
            <w:tcW w:w="2246" w:type="dxa"/>
          </w:tcPr>
          <w:p w14:paraId="3B92A284" w14:textId="77777777" w:rsidR="00344F3B" w:rsidRPr="002C21B8" w:rsidRDefault="00344F3B" w:rsidP="00EB0FFD">
            <w:pPr>
              <w:spacing w:before="20" w:after="120" w:line="240" w:lineRule="auto"/>
              <w:rPr>
                <w:b/>
                <w:bCs/>
                <w:sz w:val="20"/>
                <w:szCs w:val="20"/>
              </w:rPr>
            </w:pPr>
            <w:r w:rsidRPr="002C21B8">
              <w:rPr>
                <w:b/>
                <w:bCs/>
                <w:sz w:val="20"/>
                <w:szCs w:val="20"/>
              </w:rPr>
              <w:t>Parameter</w:t>
            </w:r>
          </w:p>
        </w:tc>
        <w:tc>
          <w:tcPr>
            <w:tcW w:w="2254" w:type="dxa"/>
          </w:tcPr>
          <w:p w14:paraId="0371641E" w14:textId="77777777" w:rsidR="00344F3B" w:rsidRPr="002C21B8" w:rsidRDefault="00344F3B" w:rsidP="00EB0FFD">
            <w:pPr>
              <w:spacing w:before="20" w:after="120" w:line="240" w:lineRule="auto"/>
              <w:rPr>
                <w:b/>
                <w:bCs/>
                <w:sz w:val="20"/>
                <w:szCs w:val="20"/>
              </w:rPr>
            </w:pPr>
            <w:r w:rsidRPr="002C21B8">
              <w:rPr>
                <w:b/>
                <w:bCs/>
                <w:sz w:val="20"/>
                <w:szCs w:val="20"/>
              </w:rPr>
              <w:t>No active treatment</w:t>
            </w:r>
          </w:p>
        </w:tc>
        <w:tc>
          <w:tcPr>
            <w:tcW w:w="2490" w:type="dxa"/>
          </w:tcPr>
          <w:p w14:paraId="301A9549" w14:textId="77777777" w:rsidR="00344F3B" w:rsidRPr="002C21B8" w:rsidRDefault="00344F3B" w:rsidP="00EB0FFD">
            <w:pPr>
              <w:spacing w:before="20" w:after="120" w:line="240" w:lineRule="auto"/>
              <w:rPr>
                <w:b/>
                <w:bCs/>
                <w:sz w:val="20"/>
                <w:szCs w:val="20"/>
              </w:rPr>
            </w:pPr>
            <w:r w:rsidRPr="002C21B8">
              <w:rPr>
                <w:b/>
                <w:bCs/>
                <w:sz w:val="20"/>
                <w:szCs w:val="20"/>
              </w:rPr>
              <w:t>Tolvaptan (Excl. PAS)</w:t>
            </w:r>
          </w:p>
        </w:tc>
        <w:tc>
          <w:tcPr>
            <w:tcW w:w="2508" w:type="dxa"/>
          </w:tcPr>
          <w:p w14:paraId="06DDE8D1" w14:textId="77777777" w:rsidR="00344F3B" w:rsidRPr="002C21B8" w:rsidRDefault="00344F3B" w:rsidP="00EB0FFD">
            <w:pPr>
              <w:spacing w:before="20" w:after="120" w:line="240" w:lineRule="auto"/>
              <w:rPr>
                <w:b/>
                <w:bCs/>
                <w:sz w:val="20"/>
                <w:szCs w:val="20"/>
              </w:rPr>
            </w:pPr>
            <w:r w:rsidRPr="002C21B8">
              <w:rPr>
                <w:b/>
                <w:bCs/>
                <w:sz w:val="20"/>
                <w:szCs w:val="20"/>
              </w:rPr>
              <w:t>Tolvaptan (Inc. PAS)</w:t>
            </w:r>
          </w:p>
        </w:tc>
      </w:tr>
      <w:tr w:rsidR="00344F3B" w:rsidRPr="002C21B8" w14:paraId="64C43EFA" w14:textId="77777777" w:rsidTr="00EB0FFD">
        <w:tc>
          <w:tcPr>
            <w:tcW w:w="2246" w:type="dxa"/>
          </w:tcPr>
          <w:p w14:paraId="511F33D3" w14:textId="77777777" w:rsidR="00344F3B" w:rsidRPr="002C21B8" w:rsidRDefault="00344F3B" w:rsidP="00EB0FFD">
            <w:pPr>
              <w:spacing w:before="20" w:after="120" w:line="240" w:lineRule="auto"/>
              <w:rPr>
                <w:sz w:val="20"/>
                <w:szCs w:val="20"/>
              </w:rPr>
            </w:pPr>
            <w:r w:rsidRPr="002C21B8">
              <w:rPr>
                <w:sz w:val="20"/>
                <w:szCs w:val="20"/>
              </w:rPr>
              <w:t>Total LYG</w:t>
            </w:r>
          </w:p>
        </w:tc>
        <w:tc>
          <w:tcPr>
            <w:tcW w:w="2254" w:type="dxa"/>
          </w:tcPr>
          <w:p w14:paraId="35140D81" w14:textId="77777777" w:rsidR="00344F3B" w:rsidRPr="002C21B8" w:rsidRDefault="00344F3B" w:rsidP="00EB0FFD">
            <w:pPr>
              <w:spacing w:before="20" w:after="120" w:line="240" w:lineRule="auto"/>
              <w:rPr>
                <w:sz w:val="20"/>
                <w:szCs w:val="20"/>
              </w:rPr>
            </w:pPr>
            <w:r w:rsidRPr="002C21B8">
              <w:rPr>
                <w:sz w:val="20"/>
                <w:szCs w:val="20"/>
              </w:rPr>
              <w:t>16.76</w:t>
            </w:r>
          </w:p>
        </w:tc>
        <w:tc>
          <w:tcPr>
            <w:tcW w:w="2490" w:type="dxa"/>
          </w:tcPr>
          <w:p w14:paraId="5D56DE43" w14:textId="77777777" w:rsidR="00344F3B" w:rsidRPr="002C21B8" w:rsidRDefault="00344F3B" w:rsidP="00EB0FFD">
            <w:pPr>
              <w:spacing w:before="20" w:after="120" w:line="240" w:lineRule="auto"/>
              <w:rPr>
                <w:sz w:val="20"/>
                <w:szCs w:val="20"/>
              </w:rPr>
            </w:pPr>
            <w:r w:rsidRPr="002C21B8">
              <w:rPr>
                <w:sz w:val="20"/>
                <w:szCs w:val="20"/>
              </w:rPr>
              <w:t>17.58</w:t>
            </w:r>
          </w:p>
        </w:tc>
        <w:tc>
          <w:tcPr>
            <w:tcW w:w="2508" w:type="dxa"/>
          </w:tcPr>
          <w:p w14:paraId="6899865B" w14:textId="77777777" w:rsidR="00344F3B" w:rsidRPr="002C21B8" w:rsidRDefault="00344F3B" w:rsidP="00EB0FFD">
            <w:pPr>
              <w:spacing w:before="20" w:after="120" w:line="240" w:lineRule="auto"/>
              <w:rPr>
                <w:sz w:val="20"/>
                <w:szCs w:val="20"/>
              </w:rPr>
            </w:pPr>
            <w:r w:rsidRPr="002C21B8">
              <w:rPr>
                <w:sz w:val="20"/>
                <w:szCs w:val="20"/>
              </w:rPr>
              <w:t>17.58</w:t>
            </w:r>
          </w:p>
        </w:tc>
      </w:tr>
      <w:tr w:rsidR="00344F3B" w:rsidRPr="002C21B8" w14:paraId="0FDA9EDD" w14:textId="77777777" w:rsidTr="00EB0FFD">
        <w:tc>
          <w:tcPr>
            <w:tcW w:w="2246" w:type="dxa"/>
          </w:tcPr>
          <w:p w14:paraId="57B0E891" w14:textId="77777777" w:rsidR="00344F3B" w:rsidRPr="002C21B8" w:rsidRDefault="00344F3B" w:rsidP="00EB0FFD">
            <w:pPr>
              <w:spacing w:before="20" w:after="120" w:line="240" w:lineRule="auto"/>
              <w:rPr>
                <w:sz w:val="20"/>
                <w:szCs w:val="20"/>
              </w:rPr>
            </w:pPr>
            <w:r w:rsidRPr="002C21B8">
              <w:rPr>
                <w:sz w:val="20"/>
                <w:szCs w:val="20"/>
              </w:rPr>
              <w:t>Incremental LYG</w:t>
            </w:r>
          </w:p>
        </w:tc>
        <w:tc>
          <w:tcPr>
            <w:tcW w:w="2254" w:type="dxa"/>
          </w:tcPr>
          <w:p w14:paraId="38D6E429" w14:textId="77777777" w:rsidR="00344F3B" w:rsidRPr="002C21B8" w:rsidRDefault="00344F3B" w:rsidP="00EB0FFD">
            <w:pPr>
              <w:spacing w:before="20" w:after="120" w:line="240" w:lineRule="auto"/>
              <w:rPr>
                <w:sz w:val="20"/>
                <w:szCs w:val="20"/>
              </w:rPr>
            </w:pPr>
            <w:r w:rsidRPr="002C21B8">
              <w:rPr>
                <w:sz w:val="20"/>
                <w:szCs w:val="20"/>
              </w:rPr>
              <w:t>12.63</w:t>
            </w:r>
          </w:p>
        </w:tc>
        <w:tc>
          <w:tcPr>
            <w:tcW w:w="2490" w:type="dxa"/>
          </w:tcPr>
          <w:p w14:paraId="26FBB870" w14:textId="77777777" w:rsidR="00344F3B" w:rsidRPr="002C21B8" w:rsidRDefault="00344F3B" w:rsidP="00EB0FFD">
            <w:pPr>
              <w:spacing w:before="20" w:after="120" w:line="240" w:lineRule="auto"/>
              <w:rPr>
                <w:sz w:val="20"/>
                <w:szCs w:val="20"/>
              </w:rPr>
            </w:pPr>
            <w:r w:rsidRPr="002C21B8">
              <w:rPr>
                <w:sz w:val="20"/>
                <w:szCs w:val="20"/>
              </w:rPr>
              <w:t>13.54</w:t>
            </w:r>
          </w:p>
        </w:tc>
        <w:tc>
          <w:tcPr>
            <w:tcW w:w="2508" w:type="dxa"/>
          </w:tcPr>
          <w:p w14:paraId="21DF555D" w14:textId="77777777" w:rsidR="00344F3B" w:rsidRPr="002C21B8" w:rsidRDefault="00344F3B" w:rsidP="00EB0FFD">
            <w:pPr>
              <w:spacing w:before="20" w:after="120" w:line="240" w:lineRule="auto"/>
              <w:rPr>
                <w:sz w:val="20"/>
                <w:szCs w:val="20"/>
              </w:rPr>
            </w:pPr>
            <w:r w:rsidRPr="002C21B8">
              <w:rPr>
                <w:sz w:val="20"/>
                <w:szCs w:val="20"/>
              </w:rPr>
              <w:t>13.54</w:t>
            </w:r>
          </w:p>
        </w:tc>
      </w:tr>
      <w:tr w:rsidR="00344F3B" w:rsidRPr="002C21B8" w14:paraId="522262D1" w14:textId="77777777" w:rsidTr="00EB0FFD">
        <w:tc>
          <w:tcPr>
            <w:tcW w:w="2246" w:type="dxa"/>
          </w:tcPr>
          <w:p w14:paraId="510D421A" w14:textId="77777777" w:rsidR="00344F3B" w:rsidRPr="002C21B8" w:rsidRDefault="00344F3B" w:rsidP="00EB0FFD">
            <w:pPr>
              <w:spacing w:before="20" w:after="120" w:line="240" w:lineRule="auto"/>
              <w:rPr>
                <w:sz w:val="20"/>
                <w:szCs w:val="20"/>
              </w:rPr>
            </w:pPr>
            <w:r w:rsidRPr="002C21B8">
              <w:rPr>
                <w:sz w:val="20"/>
                <w:szCs w:val="20"/>
              </w:rPr>
              <w:t>Total QALYs</w:t>
            </w:r>
          </w:p>
        </w:tc>
        <w:tc>
          <w:tcPr>
            <w:tcW w:w="2254" w:type="dxa"/>
          </w:tcPr>
          <w:p w14:paraId="04ADB3AB" w14:textId="77777777" w:rsidR="00344F3B" w:rsidRPr="002C21B8" w:rsidRDefault="00344F3B" w:rsidP="00EB0FFD">
            <w:pPr>
              <w:spacing w:before="20" w:after="120" w:line="240" w:lineRule="auto"/>
              <w:rPr>
                <w:sz w:val="20"/>
                <w:szCs w:val="20"/>
              </w:rPr>
            </w:pPr>
            <w:r w:rsidRPr="002C21B8">
              <w:rPr>
                <w:sz w:val="20"/>
                <w:szCs w:val="20"/>
              </w:rPr>
              <w:t>-</w:t>
            </w:r>
          </w:p>
        </w:tc>
        <w:tc>
          <w:tcPr>
            <w:tcW w:w="2490" w:type="dxa"/>
          </w:tcPr>
          <w:p w14:paraId="16D260E5" w14:textId="77777777" w:rsidR="00344F3B" w:rsidRPr="002C21B8" w:rsidRDefault="00344F3B" w:rsidP="00EB0FFD">
            <w:pPr>
              <w:spacing w:before="20" w:after="120" w:line="240" w:lineRule="auto"/>
              <w:rPr>
                <w:sz w:val="20"/>
                <w:szCs w:val="20"/>
              </w:rPr>
            </w:pPr>
            <w:r w:rsidRPr="002C21B8">
              <w:rPr>
                <w:sz w:val="20"/>
                <w:szCs w:val="20"/>
              </w:rPr>
              <w:t>0.82</w:t>
            </w:r>
          </w:p>
        </w:tc>
        <w:tc>
          <w:tcPr>
            <w:tcW w:w="2508" w:type="dxa"/>
          </w:tcPr>
          <w:p w14:paraId="1FDBE665" w14:textId="77777777" w:rsidR="00344F3B" w:rsidRPr="002C21B8" w:rsidRDefault="00344F3B" w:rsidP="00EB0FFD">
            <w:pPr>
              <w:spacing w:before="20" w:after="120" w:line="240" w:lineRule="auto"/>
              <w:rPr>
                <w:sz w:val="20"/>
                <w:szCs w:val="20"/>
              </w:rPr>
            </w:pPr>
            <w:r w:rsidRPr="002C21B8">
              <w:rPr>
                <w:sz w:val="20"/>
                <w:szCs w:val="20"/>
              </w:rPr>
              <w:t>0.82</w:t>
            </w:r>
          </w:p>
        </w:tc>
      </w:tr>
      <w:tr w:rsidR="00344F3B" w:rsidRPr="002C21B8" w14:paraId="11CB9080" w14:textId="77777777" w:rsidTr="00EB0FFD">
        <w:tc>
          <w:tcPr>
            <w:tcW w:w="2246" w:type="dxa"/>
          </w:tcPr>
          <w:p w14:paraId="0C35D9A0" w14:textId="77777777" w:rsidR="00344F3B" w:rsidRPr="002C21B8" w:rsidRDefault="00344F3B" w:rsidP="00EB0FFD">
            <w:pPr>
              <w:spacing w:before="20" w:after="120" w:line="240" w:lineRule="auto"/>
              <w:rPr>
                <w:sz w:val="20"/>
                <w:szCs w:val="20"/>
              </w:rPr>
            </w:pPr>
            <w:r w:rsidRPr="002C21B8">
              <w:rPr>
                <w:sz w:val="20"/>
                <w:szCs w:val="20"/>
              </w:rPr>
              <w:t>Incremental QALYs</w:t>
            </w:r>
          </w:p>
        </w:tc>
        <w:tc>
          <w:tcPr>
            <w:tcW w:w="2254" w:type="dxa"/>
          </w:tcPr>
          <w:p w14:paraId="08EA7F9B" w14:textId="77777777" w:rsidR="00344F3B" w:rsidRPr="002C21B8" w:rsidRDefault="00344F3B" w:rsidP="00EB0FFD">
            <w:pPr>
              <w:spacing w:before="20" w:after="120" w:line="240" w:lineRule="auto"/>
              <w:rPr>
                <w:sz w:val="20"/>
                <w:szCs w:val="20"/>
              </w:rPr>
            </w:pPr>
            <w:r w:rsidRPr="002C21B8">
              <w:rPr>
                <w:sz w:val="20"/>
                <w:szCs w:val="20"/>
              </w:rPr>
              <w:t>-</w:t>
            </w:r>
          </w:p>
        </w:tc>
        <w:tc>
          <w:tcPr>
            <w:tcW w:w="2490" w:type="dxa"/>
          </w:tcPr>
          <w:p w14:paraId="272E24CB" w14:textId="77777777" w:rsidR="00344F3B" w:rsidRPr="002C21B8" w:rsidRDefault="00344F3B" w:rsidP="00EB0FFD">
            <w:pPr>
              <w:spacing w:before="20" w:after="120" w:line="240" w:lineRule="auto"/>
              <w:rPr>
                <w:sz w:val="20"/>
                <w:szCs w:val="20"/>
              </w:rPr>
            </w:pPr>
            <w:r w:rsidRPr="002C21B8">
              <w:rPr>
                <w:sz w:val="20"/>
                <w:szCs w:val="20"/>
              </w:rPr>
              <w:t>0.91</w:t>
            </w:r>
          </w:p>
        </w:tc>
        <w:tc>
          <w:tcPr>
            <w:tcW w:w="2508" w:type="dxa"/>
          </w:tcPr>
          <w:p w14:paraId="30463E2A" w14:textId="77777777" w:rsidR="00344F3B" w:rsidRPr="002C21B8" w:rsidRDefault="00344F3B" w:rsidP="00EB0FFD">
            <w:pPr>
              <w:spacing w:before="20" w:after="120" w:line="240" w:lineRule="auto"/>
              <w:rPr>
                <w:sz w:val="20"/>
                <w:szCs w:val="20"/>
              </w:rPr>
            </w:pPr>
            <w:r w:rsidRPr="002C21B8">
              <w:rPr>
                <w:sz w:val="20"/>
                <w:szCs w:val="20"/>
              </w:rPr>
              <w:t>0.91</w:t>
            </w:r>
          </w:p>
        </w:tc>
      </w:tr>
      <w:tr w:rsidR="00344F3B" w:rsidRPr="002C21B8" w14:paraId="26BEEF5D" w14:textId="77777777" w:rsidTr="00EB0FFD">
        <w:tc>
          <w:tcPr>
            <w:tcW w:w="2246" w:type="dxa"/>
          </w:tcPr>
          <w:p w14:paraId="49733DAA" w14:textId="77777777" w:rsidR="00344F3B" w:rsidRPr="002C21B8" w:rsidRDefault="00344F3B" w:rsidP="00EB0FFD">
            <w:pPr>
              <w:spacing w:before="20" w:after="120" w:line="240" w:lineRule="auto"/>
              <w:rPr>
                <w:sz w:val="20"/>
                <w:szCs w:val="20"/>
              </w:rPr>
            </w:pPr>
            <w:r w:rsidRPr="002C21B8">
              <w:rPr>
                <w:sz w:val="20"/>
                <w:szCs w:val="20"/>
              </w:rPr>
              <w:t>Incremental Cost</w:t>
            </w:r>
          </w:p>
        </w:tc>
        <w:tc>
          <w:tcPr>
            <w:tcW w:w="2254" w:type="dxa"/>
          </w:tcPr>
          <w:p w14:paraId="65118151" w14:textId="77777777" w:rsidR="00344F3B" w:rsidRPr="002C21B8" w:rsidRDefault="00344F3B" w:rsidP="00EB0FFD">
            <w:pPr>
              <w:spacing w:before="20" w:after="120" w:line="240" w:lineRule="auto"/>
              <w:rPr>
                <w:sz w:val="20"/>
                <w:szCs w:val="20"/>
              </w:rPr>
            </w:pPr>
            <w:r w:rsidRPr="002C21B8">
              <w:rPr>
                <w:sz w:val="20"/>
                <w:szCs w:val="20"/>
              </w:rPr>
              <w:t>-</w:t>
            </w:r>
          </w:p>
        </w:tc>
        <w:tc>
          <w:tcPr>
            <w:tcW w:w="2490" w:type="dxa"/>
          </w:tcPr>
          <w:p w14:paraId="6B9AE31B" w14:textId="77777777" w:rsidR="00344F3B" w:rsidRPr="002C21B8" w:rsidRDefault="00344F3B" w:rsidP="00EB0FFD">
            <w:pPr>
              <w:spacing w:before="20" w:after="120" w:line="240" w:lineRule="auto"/>
              <w:rPr>
                <w:sz w:val="20"/>
                <w:szCs w:val="20"/>
              </w:rPr>
            </w:pPr>
            <w:r w:rsidRPr="002C21B8">
              <w:rPr>
                <w:sz w:val="20"/>
                <w:szCs w:val="20"/>
              </w:rPr>
              <w:t>[redacted]</w:t>
            </w:r>
          </w:p>
        </w:tc>
        <w:tc>
          <w:tcPr>
            <w:tcW w:w="2508" w:type="dxa"/>
          </w:tcPr>
          <w:p w14:paraId="3007651E" w14:textId="77777777" w:rsidR="00344F3B" w:rsidRPr="002C21B8" w:rsidRDefault="00344F3B" w:rsidP="00EB0FFD">
            <w:pPr>
              <w:spacing w:before="20" w:after="120" w:line="240" w:lineRule="auto"/>
              <w:rPr>
                <w:sz w:val="20"/>
                <w:szCs w:val="20"/>
              </w:rPr>
            </w:pPr>
            <w:r w:rsidRPr="002C21B8">
              <w:rPr>
                <w:sz w:val="20"/>
                <w:szCs w:val="20"/>
              </w:rPr>
              <w:t>[redacted]</w:t>
            </w:r>
          </w:p>
        </w:tc>
      </w:tr>
      <w:tr w:rsidR="00344F3B" w:rsidRPr="002C21B8" w14:paraId="1638C5EA" w14:textId="77777777" w:rsidTr="00EB0FFD">
        <w:tc>
          <w:tcPr>
            <w:tcW w:w="2246" w:type="dxa"/>
          </w:tcPr>
          <w:p w14:paraId="05F196DC" w14:textId="77777777" w:rsidR="00344F3B" w:rsidRPr="002C21B8" w:rsidRDefault="00344F3B" w:rsidP="00EB0FFD">
            <w:pPr>
              <w:spacing w:before="20" w:after="120" w:line="240" w:lineRule="auto"/>
              <w:rPr>
                <w:sz w:val="20"/>
                <w:szCs w:val="20"/>
              </w:rPr>
            </w:pPr>
            <w:r w:rsidRPr="002C21B8">
              <w:rPr>
                <w:sz w:val="20"/>
                <w:szCs w:val="20"/>
              </w:rPr>
              <w:t>ICER (£ per QALY)</w:t>
            </w:r>
          </w:p>
        </w:tc>
        <w:tc>
          <w:tcPr>
            <w:tcW w:w="2254" w:type="dxa"/>
          </w:tcPr>
          <w:p w14:paraId="203521C2" w14:textId="77777777" w:rsidR="00344F3B" w:rsidRPr="002C21B8" w:rsidRDefault="00344F3B" w:rsidP="00EB0FFD">
            <w:pPr>
              <w:spacing w:before="20" w:after="120" w:line="240" w:lineRule="auto"/>
              <w:rPr>
                <w:sz w:val="20"/>
                <w:szCs w:val="20"/>
              </w:rPr>
            </w:pPr>
            <w:r w:rsidRPr="002C21B8">
              <w:rPr>
                <w:sz w:val="20"/>
                <w:szCs w:val="20"/>
              </w:rPr>
              <w:t>-</w:t>
            </w:r>
          </w:p>
        </w:tc>
        <w:tc>
          <w:tcPr>
            <w:tcW w:w="2490" w:type="dxa"/>
          </w:tcPr>
          <w:p w14:paraId="315CCCEB" w14:textId="77777777" w:rsidR="00344F3B" w:rsidRPr="002C21B8" w:rsidRDefault="00344F3B" w:rsidP="00EB0FFD">
            <w:pPr>
              <w:spacing w:before="20" w:after="120" w:line="240" w:lineRule="auto"/>
              <w:rPr>
                <w:sz w:val="20"/>
                <w:szCs w:val="20"/>
              </w:rPr>
            </w:pPr>
            <w:r w:rsidRPr="002C21B8">
              <w:rPr>
                <w:sz w:val="20"/>
                <w:szCs w:val="20"/>
              </w:rPr>
              <w:t>£23,500</w:t>
            </w:r>
          </w:p>
        </w:tc>
        <w:tc>
          <w:tcPr>
            <w:tcW w:w="2508" w:type="dxa"/>
          </w:tcPr>
          <w:p w14:paraId="502E2B1D" w14:textId="77777777" w:rsidR="00344F3B" w:rsidRPr="002C21B8" w:rsidRDefault="00344F3B" w:rsidP="00EB0FFD">
            <w:pPr>
              <w:spacing w:before="20" w:after="120" w:line="240" w:lineRule="auto"/>
              <w:rPr>
                <w:sz w:val="20"/>
                <w:szCs w:val="20"/>
              </w:rPr>
            </w:pPr>
            <w:r w:rsidRPr="002C21B8">
              <w:rPr>
                <w:sz w:val="20"/>
                <w:szCs w:val="20"/>
              </w:rPr>
              <w:t>£34,769</w:t>
            </w:r>
          </w:p>
        </w:tc>
      </w:tr>
    </w:tbl>
    <w:p w14:paraId="1B0D5556" w14:textId="77777777" w:rsidR="00344F3B" w:rsidRPr="002C21B8" w:rsidRDefault="00344F3B" w:rsidP="00344F3B">
      <w:pPr>
        <w:rPr>
          <w:sz w:val="18"/>
          <w:szCs w:val="18"/>
        </w:rPr>
      </w:pPr>
    </w:p>
    <w:p w14:paraId="698F87FA" w14:textId="77777777" w:rsidR="00344F3B" w:rsidRPr="002C21B8" w:rsidRDefault="00344F3B" w:rsidP="00344F3B">
      <w:pPr>
        <w:rPr>
          <w:sz w:val="18"/>
          <w:szCs w:val="18"/>
        </w:rPr>
      </w:pPr>
      <w:r w:rsidRPr="002C21B8">
        <w:rPr>
          <w:sz w:val="18"/>
          <w:szCs w:val="18"/>
        </w:rPr>
        <w:t>Incremental Cost-Effectiveness Ratio (ICER), Life Years Gained (LYG), Patient Access Scheme (PAS), Quality Adjusted Life Years (QALYs)</w:t>
      </w:r>
    </w:p>
    <w:p w14:paraId="42606374" w14:textId="77777777" w:rsidR="00344F3B" w:rsidRPr="002C21B8" w:rsidRDefault="00344F3B" w:rsidP="00344F3B">
      <w:pPr>
        <w:rPr>
          <w:sz w:val="18"/>
          <w:szCs w:val="18"/>
        </w:rPr>
      </w:pPr>
      <w:r w:rsidRPr="002C21B8">
        <w:rPr>
          <w:sz w:val="18"/>
          <w:szCs w:val="18"/>
        </w:rPr>
        <w:t>*Values derived from probabilistic sensitivity analysis (1,000 iterations; 500 patients)</w:t>
      </w:r>
    </w:p>
    <w:p w14:paraId="06D4269F" w14:textId="77777777" w:rsidR="00344F3B" w:rsidRPr="002C21B8" w:rsidRDefault="00344F3B" w:rsidP="00344F3B">
      <w:pPr>
        <w:spacing w:after="0" w:line="240" w:lineRule="auto"/>
        <w:jc w:val="left"/>
        <w:rPr>
          <w:b/>
          <w:bCs/>
          <w:sz w:val="24"/>
          <w:szCs w:val="24"/>
        </w:rPr>
      </w:pPr>
      <w:r w:rsidRPr="002C21B8">
        <w:rPr>
          <w:b/>
          <w:bCs/>
          <w:sz w:val="24"/>
          <w:szCs w:val="24"/>
        </w:rPr>
        <w:br w:type="page"/>
      </w:r>
    </w:p>
    <w:p w14:paraId="6F0FC874" w14:textId="7070FDF7" w:rsidR="00A94F09" w:rsidRPr="002C21B8" w:rsidRDefault="00A94F09" w:rsidP="00581663">
      <w:pPr>
        <w:pStyle w:val="Heading2"/>
        <w:numPr>
          <w:ilvl w:val="0"/>
          <w:numId w:val="0"/>
        </w:numPr>
      </w:pPr>
      <w:bookmarkStart w:id="457" w:name="_Appendix_7._Additional_1"/>
      <w:bookmarkStart w:id="458" w:name="_Toc229687259"/>
      <w:bookmarkEnd w:id="457"/>
      <w:r w:rsidRPr="002C21B8">
        <w:t>Appendix 7. Additional detail</w:t>
      </w:r>
      <w:r w:rsidR="009D419B" w:rsidRPr="002C21B8">
        <w:t>s</w:t>
      </w:r>
      <w:r w:rsidRPr="002C21B8">
        <w:t xml:space="preserve"> </w:t>
      </w:r>
      <w:r w:rsidR="00725EDE" w:rsidRPr="002C21B8">
        <w:t xml:space="preserve">on </w:t>
      </w:r>
      <w:r w:rsidR="001821E0" w:rsidRPr="002C21B8">
        <w:t xml:space="preserve">the </w:t>
      </w:r>
      <w:r w:rsidR="00725EDE" w:rsidRPr="002C21B8">
        <w:t xml:space="preserve">methods for the </w:t>
      </w:r>
      <w:r w:rsidR="002C414E" w:rsidRPr="002C21B8">
        <w:t xml:space="preserve">multiple case study (Phase </w:t>
      </w:r>
      <w:r w:rsidR="00EE185E" w:rsidRPr="002C21B8">
        <w:t>3</w:t>
      </w:r>
      <w:r w:rsidR="002C414E" w:rsidRPr="002C21B8">
        <w:t>)</w:t>
      </w:r>
      <w:bookmarkEnd w:id="458"/>
    </w:p>
    <w:p w14:paraId="102919DA" w14:textId="265646D2" w:rsidR="006B2FBE" w:rsidRPr="002C21B8" w:rsidRDefault="006B2FBE" w:rsidP="006B2FBE">
      <w:r w:rsidRPr="002C21B8">
        <w:t>Within this appendix</w:t>
      </w:r>
      <w:r w:rsidR="004F0C86" w:rsidRPr="002C21B8">
        <w:t>,</w:t>
      </w:r>
      <w:r w:rsidRPr="002C21B8">
        <w:t xml:space="preserve"> the following additional details on the methods used for the </w:t>
      </w:r>
      <w:r w:rsidR="004175B8" w:rsidRPr="002C21B8">
        <w:t>multiple case study</w:t>
      </w:r>
      <w:r w:rsidRPr="002C21B8">
        <w:t xml:space="preserve"> (Chapter 6 &amp; 7) are included:</w:t>
      </w:r>
    </w:p>
    <w:p w14:paraId="12E7F005" w14:textId="64E001D3" w:rsidR="005F5F10" w:rsidRPr="002C21B8" w:rsidRDefault="005F7E40" w:rsidP="00A97F07">
      <w:pPr>
        <w:pStyle w:val="ListParagraph"/>
        <w:numPr>
          <w:ilvl w:val="0"/>
          <w:numId w:val="52"/>
        </w:numPr>
      </w:pPr>
      <w:r w:rsidRPr="002C21B8">
        <w:t>Selection of case study sites</w:t>
      </w:r>
    </w:p>
    <w:p w14:paraId="17CEC0BF" w14:textId="70FF5A8A" w:rsidR="0042180F" w:rsidRPr="002C21B8" w:rsidRDefault="005F7E40" w:rsidP="00A97F07">
      <w:pPr>
        <w:pStyle w:val="ListParagraph"/>
        <w:numPr>
          <w:ilvl w:val="0"/>
          <w:numId w:val="52"/>
        </w:numPr>
      </w:pPr>
      <w:r w:rsidRPr="002C21B8">
        <w:t>Data collection methods</w:t>
      </w:r>
    </w:p>
    <w:p w14:paraId="40A7F432" w14:textId="7B5B682E" w:rsidR="00932F0D" w:rsidRPr="002C21B8" w:rsidRDefault="00932F0D" w:rsidP="00A97F07">
      <w:pPr>
        <w:pStyle w:val="ListParagraph"/>
        <w:numPr>
          <w:ilvl w:val="0"/>
          <w:numId w:val="52"/>
        </w:numPr>
      </w:pPr>
      <w:r w:rsidRPr="002C21B8">
        <w:t>Data analysis</w:t>
      </w:r>
    </w:p>
    <w:p w14:paraId="7F2CDB94" w14:textId="36CC1506" w:rsidR="003029A6" w:rsidRPr="002C21B8" w:rsidRDefault="005F7E40" w:rsidP="004507C8">
      <w:pPr>
        <w:pStyle w:val="Heading3"/>
        <w:numPr>
          <w:ilvl w:val="0"/>
          <w:numId w:val="0"/>
        </w:numPr>
      </w:pPr>
      <w:r w:rsidRPr="002C21B8">
        <w:t>Selection of case study sites</w:t>
      </w:r>
    </w:p>
    <w:p w14:paraId="7215EFD4" w14:textId="121EC879" w:rsidR="00A371D7" w:rsidRPr="002C21B8" w:rsidRDefault="005F7E40" w:rsidP="006C2B22">
      <w:pPr>
        <w:tabs>
          <w:tab w:val="left" w:pos="2265"/>
        </w:tabs>
        <w:spacing w:before="240" w:after="0"/>
        <w:rPr>
          <w:b/>
          <w:bCs/>
          <w:sz w:val="24"/>
          <w:szCs w:val="24"/>
        </w:rPr>
      </w:pPr>
      <w:r w:rsidRPr="002C21B8">
        <w:rPr>
          <w:b/>
          <w:bCs/>
          <w:sz w:val="24"/>
          <w:szCs w:val="24"/>
        </w:rPr>
        <w:t>Case selection strategy</w:t>
      </w:r>
    </w:p>
    <w:p w14:paraId="541D3E84" w14:textId="14D63160" w:rsidR="006C2B22" w:rsidRPr="002C21B8" w:rsidRDefault="00F45804" w:rsidP="0042180F">
      <w:r w:rsidRPr="002C21B8">
        <w:t xml:space="preserve">Purposive selection is the intentional selection of cases to best address the research aims and explore the phenomenon of interest, rather than </w:t>
      </w:r>
      <w:r w:rsidR="00554EF1" w:rsidRPr="002C21B8">
        <w:t xml:space="preserve">be </w:t>
      </w:r>
      <w:r w:rsidRPr="002C21B8">
        <w:t>representati</w:t>
      </w:r>
      <w:r w:rsidR="002A4DE4" w:rsidRPr="002C21B8">
        <w:t>ve of the</w:t>
      </w:r>
      <w:r w:rsidR="003E2AF8" w:rsidRPr="002C21B8">
        <w:t xml:space="preserve"> wider</w:t>
      </w:r>
      <w:r w:rsidR="002A4DE4" w:rsidRPr="002C21B8">
        <w:t xml:space="preserve"> population</w:t>
      </w:r>
      <w:r w:rsidRPr="002C21B8">
        <w:t xml:space="preserve"> </w:t>
      </w:r>
      <w:r w:rsidRPr="002C21B8">
        <w:fldChar w:fldCharType="begin"/>
      </w:r>
      <w:r w:rsidRPr="002C21B8">
        <w:instrText xml:space="preserve"> ADDIN EN.CITE &lt;EndNote&gt;&lt;Cite&gt;&lt;Author&gt;Patton&lt;/Author&gt;&lt;Year&gt;2014&lt;/Year&gt;&lt;RecNum&gt;125409&lt;/RecNum&gt;&lt;DisplayText&gt;(Patton, 2014)&lt;/DisplayText&gt;&lt;record&gt;&lt;rec-number&gt;125409&lt;/rec-number&gt;&lt;foreign-keys&gt;&lt;key app="EN" db-id="xpefzwa5hf9dt2ea9fax95x7xvxz90v09dtf" timestamp="1775767184"&gt;125409&lt;/key&gt;&lt;/foreign-keys&gt;&lt;ref-type name="Book"&gt;6&lt;/ref-type&gt;&lt;contributors&gt;&lt;authors&gt;&lt;author&gt;Patton, Michael Quinn&lt;/author&gt;&lt;/authors&gt;&lt;/contributors&gt;&lt;titles&gt;&lt;title&gt;Qualitative research &amp;amp; evaluation methods: Integrating theory and practice&lt;/title&gt;&lt;/titles&gt;&lt;section&gt;1-832&lt;/section&gt;&lt;dates&gt;&lt;year&gt;2014&lt;/year&gt;&lt;/dates&gt;&lt;pub-location&gt;London, UK&lt;/pub-location&gt;&lt;publisher&gt;SAGE Publications Ltd&lt;/publisher&gt;&lt;isbn&gt;1483301451&lt;/isbn&gt;&lt;urls&gt;&lt;/urls&gt;&lt;/record&gt;&lt;/Cite&gt;&lt;/EndNote&gt;</w:instrText>
      </w:r>
      <w:r w:rsidRPr="002C21B8">
        <w:fldChar w:fldCharType="separate"/>
      </w:r>
      <w:r w:rsidRPr="002C21B8">
        <w:rPr>
          <w:noProof/>
        </w:rPr>
        <w:t>(Patton, 2014)</w:t>
      </w:r>
      <w:r w:rsidRPr="002C21B8">
        <w:fldChar w:fldCharType="end"/>
      </w:r>
      <w:r w:rsidRPr="002C21B8">
        <w:t>. C</w:t>
      </w:r>
      <w:r w:rsidR="005F7E40" w:rsidRPr="002C21B8">
        <w:t xml:space="preserve">ases were purposively selected from kidney centres in the quantitative </w:t>
      </w:r>
      <w:r w:rsidR="003B491E" w:rsidRPr="002C21B8">
        <w:t xml:space="preserve">component </w:t>
      </w:r>
      <w:r w:rsidR="005F7E40" w:rsidRPr="002C21B8">
        <w:t xml:space="preserve">(Phase </w:t>
      </w:r>
      <w:r w:rsidR="00EE185E" w:rsidRPr="002C21B8">
        <w:t>2</w:t>
      </w:r>
      <w:r w:rsidR="005F7E40" w:rsidRPr="002C21B8">
        <w:t xml:space="preserve">) of the qualitative residual analysis based on their deviation from modelled expected prescribing rates and the </w:t>
      </w:r>
      <w:r w:rsidR="0039370D" w:rsidRPr="002C21B8">
        <w:t>aim</w:t>
      </w:r>
      <w:r w:rsidR="005F7E40" w:rsidRPr="002C21B8">
        <w:t xml:space="preserve"> to </w:t>
      </w:r>
      <w:r w:rsidR="008F3997" w:rsidRPr="002C21B8">
        <w:t>identify</w:t>
      </w:r>
      <w:r w:rsidR="005F7E40" w:rsidRPr="002C21B8">
        <w:t xml:space="preserve"> </w:t>
      </w:r>
      <w:r w:rsidRPr="002C21B8">
        <w:t xml:space="preserve">centres with </w:t>
      </w:r>
      <w:r w:rsidR="005F7E40" w:rsidRPr="002C21B8">
        <w:t>contrasting patterns of variation.</w:t>
      </w:r>
    </w:p>
    <w:p w14:paraId="5C2AB454" w14:textId="77777777" w:rsidR="00DB3709" w:rsidRPr="002C21B8" w:rsidRDefault="005F7E40" w:rsidP="00693E00">
      <w:r w:rsidRPr="002C21B8">
        <w:t xml:space="preserve">Specifically, it was considered </w:t>
      </w:r>
      <w:r w:rsidR="00A371D7" w:rsidRPr="002C21B8">
        <w:t>whether th</w:t>
      </w:r>
      <w:r w:rsidRPr="002C21B8">
        <w:t>e kidney centres had</w:t>
      </w:r>
      <w:r w:rsidR="00A371D7" w:rsidRPr="002C21B8">
        <w:t xml:space="preserve"> prescribing</w:t>
      </w:r>
      <w:r w:rsidRPr="002C21B8">
        <w:t xml:space="preserve"> practices</w:t>
      </w:r>
      <w:r w:rsidR="00A371D7" w:rsidRPr="002C21B8">
        <w:t xml:space="preserve"> outside the 95% confidence interval control limits for </w:t>
      </w:r>
      <w:r w:rsidR="0039232E" w:rsidRPr="002C21B8">
        <w:t xml:space="preserve">centre-level </w:t>
      </w:r>
      <w:r w:rsidR="00A371D7" w:rsidRPr="002C21B8">
        <w:t>prescribing</w:t>
      </w:r>
      <w:r w:rsidR="0039232E" w:rsidRPr="002C21B8">
        <w:t xml:space="preserve">. </w:t>
      </w:r>
      <w:r w:rsidR="00A371D7" w:rsidRPr="002C21B8">
        <w:t>These kidney centres were considered “outliers”, with high residuals (high levels of variation not predicted by the model).</w:t>
      </w:r>
      <w:r w:rsidR="00F00D99" w:rsidRPr="002C21B8">
        <w:t xml:space="preserve"> </w:t>
      </w:r>
      <w:r w:rsidR="0039232E" w:rsidRPr="002C21B8">
        <w:t>Kidney centre characteristics were also considered in the selection, specifically kidney centre size.</w:t>
      </w:r>
      <w:r w:rsidR="00A371D7" w:rsidRPr="002C21B8">
        <w:fldChar w:fldCharType="begin"/>
      </w:r>
      <w:r w:rsidR="00A371D7" w:rsidRPr="002C21B8">
        <w:instrText xml:space="preserve"> REF _Ref217322609 \h  \* MERGEFORMAT </w:instrText>
      </w:r>
      <w:r w:rsidR="00A371D7" w:rsidRPr="002C21B8">
        <w:fldChar w:fldCharType="separate"/>
      </w:r>
    </w:p>
    <w:p w14:paraId="5630D71E" w14:textId="0797D4CF" w:rsidR="00360C40" w:rsidRPr="002C21B8" w:rsidRDefault="00A371D7" w:rsidP="00693E00">
      <w:r w:rsidRPr="002C21B8">
        <w:fldChar w:fldCharType="end"/>
      </w:r>
      <w:r w:rsidR="00251AE7" w:rsidRPr="002C21B8">
        <w:t>The figures below are t</w:t>
      </w:r>
      <w:r w:rsidRPr="002C21B8">
        <w:t xml:space="preserve">he </w:t>
      </w:r>
      <w:r w:rsidR="00251AE7" w:rsidRPr="002C21B8">
        <w:t xml:space="preserve">adjusted </w:t>
      </w:r>
      <w:r w:rsidRPr="002C21B8">
        <w:t xml:space="preserve">funnel plots </w:t>
      </w:r>
      <w:r w:rsidR="00251AE7" w:rsidRPr="002C21B8">
        <w:t>from Phase 2</w:t>
      </w:r>
      <w:r w:rsidRPr="002C21B8">
        <w:t>. The short-dashed lines</w:t>
      </w:r>
      <w:r w:rsidR="00F45804" w:rsidRPr="002C21B8">
        <w:t xml:space="preserve"> represent</w:t>
      </w:r>
      <w:r w:rsidRPr="002C21B8">
        <w:t xml:space="preserve"> the 95% control limits (±2SD), while the long-dashed lines </w:t>
      </w:r>
      <w:r w:rsidR="00F45804" w:rsidRPr="002C21B8">
        <w:t>represent</w:t>
      </w:r>
      <w:r w:rsidRPr="002C21B8">
        <w:t xml:space="preserve"> the 99.8% control limits (±3SD). Points falling outside the short-dashed line have ISRs more than 95% confidence limits away from their expected value, and those beyond the long-dashed lines </w:t>
      </w:r>
      <w:r w:rsidR="00544742" w:rsidRPr="002C21B8">
        <w:t>are outside</w:t>
      </w:r>
      <w:r w:rsidRPr="002C21B8">
        <w:t xml:space="preserve"> the 99.8% confidence limits. The cases selected for inclusion in the multiple case study are indicated by the circles.</w:t>
      </w:r>
      <w:bookmarkStart w:id="459" w:name="_Ref217322609"/>
    </w:p>
    <w:bookmarkEnd w:id="459"/>
    <w:p w14:paraId="3915268B" w14:textId="2FA394EF" w:rsidR="00A371D7" w:rsidRPr="002C21B8" w:rsidRDefault="00A371D7"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Tolvaptan initiation in eligible patients by kidney centre, adjusted for age, CKD stage, and year of eligibility</w:t>
      </w:r>
    </w:p>
    <w:p w14:paraId="2BAA695C" w14:textId="66CBB7A7" w:rsidR="00360C40" w:rsidRPr="00693E00" w:rsidRDefault="00810B58" w:rsidP="00693E00">
      <w:r w:rsidRPr="002C21B8">
        <w:rPr>
          <w:noProof/>
        </w:rPr>
        <w:drawing>
          <wp:inline distT="0" distB="0" distL="0" distR="0" wp14:anchorId="7CCCB1A3" wp14:editId="7BC90C59">
            <wp:extent cx="5400000" cy="3327585"/>
            <wp:effectExtent l="0" t="0" r="0" b="0"/>
            <wp:docPr id="596246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46493" name=""/>
                    <pic:cNvPicPr/>
                  </pic:nvPicPr>
                  <pic:blipFill>
                    <a:blip r:embed="rId195"/>
                    <a:stretch>
                      <a:fillRect/>
                    </a:stretch>
                  </pic:blipFill>
                  <pic:spPr>
                    <a:xfrm>
                      <a:off x="0" y="0"/>
                      <a:ext cx="5400000" cy="3327585"/>
                    </a:xfrm>
                    <a:prstGeom prst="rect">
                      <a:avLst/>
                    </a:prstGeom>
                  </pic:spPr>
                </pic:pic>
              </a:graphicData>
            </a:graphic>
          </wp:inline>
        </w:drawing>
      </w:r>
    </w:p>
    <w:p w14:paraId="1DFDD415" w14:textId="5FA064B3" w:rsidR="00A371D7" w:rsidRPr="002C21B8" w:rsidRDefault="00A371D7"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Tolvaptan eligibility in initiated patients by kidney centre, adjusted for CKD stage</w:t>
      </w:r>
    </w:p>
    <w:p w14:paraId="578202FF" w14:textId="591DE935" w:rsidR="006B2FBE" w:rsidRPr="002C21B8" w:rsidRDefault="00810B58" w:rsidP="00323C63">
      <w:pPr>
        <w:pStyle w:val="ListParagraph"/>
        <w:ind w:left="0"/>
        <w:rPr>
          <w:color w:val="000000" w:themeColor="text1"/>
        </w:rPr>
      </w:pPr>
      <w:r w:rsidRPr="002C21B8">
        <w:rPr>
          <w:noProof/>
          <w:color w:val="000000" w:themeColor="text1"/>
        </w:rPr>
        <w:drawing>
          <wp:inline distT="0" distB="0" distL="0" distR="0" wp14:anchorId="18F246E2" wp14:editId="6452A45F">
            <wp:extent cx="5400000" cy="3313827"/>
            <wp:effectExtent l="0" t="0" r="0" b="1270"/>
            <wp:docPr id="117730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08610" name=""/>
                    <pic:cNvPicPr/>
                  </pic:nvPicPr>
                  <pic:blipFill>
                    <a:blip r:embed="rId196"/>
                    <a:stretch>
                      <a:fillRect/>
                    </a:stretch>
                  </pic:blipFill>
                  <pic:spPr>
                    <a:xfrm>
                      <a:off x="0" y="0"/>
                      <a:ext cx="5400000" cy="3313827"/>
                    </a:xfrm>
                    <a:prstGeom prst="rect">
                      <a:avLst/>
                    </a:prstGeom>
                  </pic:spPr>
                </pic:pic>
              </a:graphicData>
            </a:graphic>
          </wp:inline>
        </w:drawing>
      </w:r>
    </w:p>
    <w:p w14:paraId="404E7E94" w14:textId="77777777" w:rsidR="00810BAF" w:rsidRDefault="00810BAF" w:rsidP="00A371D7"/>
    <w:p w14:paraId="1A441F5E" w14:textId="77777777" w:rsidR="00810BAF" w:rsidRDefault="00810BAF" w:rsidP="00A371D7"/>
    <w:p w14:paraId="0F5350D4" w14:textId="427408E1" w:rsidR="00A371D7" w:rsidRPr="002C21B8" w:rsidRDefault="00A371D7" w:rsidP="00A371D7">
      <w:r w:rsidRPr="002C21B8">
        <w:t xml:space="preserve">Cases 1 and 2 represented kidney centres of differing size, both showing higher than expected initiation among eligible patients (statistically significant) and higher than expected eligibility among initiated patients (not meeting statistical significance). Case 3 acted as a contrasting </w:t>
      </w:r>
      <w:r w:rsidR="00944641" w:rsidRPr="002C21B8">
        <w:t>kidney centre</w:t>
      </w:r>
      <w:r w:rsidRPr="002C21B8">
        <w:t xml:space="preserve"> with lower than expected rates for both (not meeting statistical significance). This selection of diverse cases aimed to allow in-depth exploration of how contextual and organisational factors may influence prescribing across different kidney centres </w:t>
      </w:r>
      <w:r w:rsidRPr="002C21B8">
        <w:fldChar w:fldCharType="begin"/>
      </w:r>
      <w:r w:rsidR="0060457F" w:rsidRPr="002C21B8">
        <w:instrText xml:space="preserve"> ADDIN EN.CITE &lt;EndNote&gt;&lt;Cite&gt;&lt;Author&gt;Yin&lt;/Author&gt;&lt;Year&gt;2009&lt;/Year&gt;&lt;RecNum&gt;5549&lt;/RecNum&gt;&lt;DisplayText&gt;(Yin,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Pr="002C21B8">
        <w:rPr>
          <w:noProof/>
        </w:rPr>
        <w:t>(Yin, 2009)</w:t>
      </w:r>
      <w:r w:rsidRPr="002C21B8">
        <w:fldChar w:fldCharType="end"/>
      </w:r>
      <w:r w:rsidRPr="002C21B8">
        <w:t>.</w:t>
      </w:r>
    </w:p>
    <w:p w14:paraId="1F241398" w14:textId="77777777" w:rsidR="005F7E40" w:rsidRPr="002C21B8" w:rsidRDefault="005F7E40" w:rsidP="005F7E40">
      <w:pPr>
        <w:spacing w:before="240" w:after="0"/>
        <w:rPr>
          <w:b/>
          <w:bCs/>
          <w:sz w:val="24"/>
          <w:szCs w:val="24"/>
        </w:rPr>
      </w:pPr>
      <w:r w:rsidRPr="002C21B8">
        <w:rPr>
          <w:b/>
          <w:bCs/>
          <w:sz w:val="24"/>
          <w:szCs w:val="24"/>
        </w:rPr>
        <w:t>Blinding</w:t>
      </w:r>
    </w:p>
    <w:p w14:paraId="32A1505B" w14:textId="634EE95F" w:rsidR="006E65B0" w:rsidRPr="002C21B8" w:rsidRDefault="005F7E40" w:rsidP="00367C31">
      <w:r w:rsidRPr="002C21B8">
        <w:t xml:space="preserve">Case selection was conducted using a blinded approach, where neither </w:t>
      </w:r>
      <w:r w:rsidR="00CB4751" w:rsidRPr="002C21B8">
        <w:t xml:space="preserve">I </w:t>
      </w:r>
      <w:r w:rsidRPr="002C21B8">
        <w:t xml:space="preserve">nor the participants at the sites were aware of the </w:t>
      </w:r>
      <w:r w:rsidR="00B7530C" w:rsidRPr="002C21B8">
        <w:t xml:space="preserve">prescribing practices </w:t>
      </w:r>
      <w:r w:rsidRPr="002C21B8">
        <w:t xml:space="preserve">of the centres. Suitable cases for inclusion in the multiple case study were identified </w:t>
      </w:r>
      <w:r w:rsidR="003A5868" w:rsidRPr="002C21B8">
        <w:t xml:space="preserve">by </w:t>
      </w:r>
      <w:r w:rsidR="00670E02" w:rsidRPr="002C21B8">
        <w:t xml:space="preserve">my primary </w:t>
      </w:r>
      <w:r w:rsidRPr="002C21B8">
        <w:t xml:space="preserve">supervisor </w:t>
      </w:r>
      <w:r w:rsidR="003A5868" w:rsidRPr="002C21B8">
        <w:t xml:space="preserve">in line with my description of the centres that would be of interest. </w:t>
      </w:r>
      <w:r w:rsidRPr="002C21B8">
        <w:t xml:space="preserve">The identities of the selected centres were only </w:t>
      </w:r>
      <w:r w:rsidR="00517847" w:rsidRPr="002C21B8">
        <w:t>revealed</w:t>
      </w:r>
      <w:r w:rsidRPr="002C21B8">
        <w:t xml:space="preserve"> after data collection and initial analysis for the multiple case study had been completed. This approach was adopted to minimise potential bias in data collection and interpretation, ensuring that participants’ responses and </w:t>
      </w:r>
      <w:r w:rsidR="00CB4751" w:rsidRPr="002C21B8">
        <w:t>my</w:t>
      </w:r>
      <w:r w:rsidRPr="002C21B8">
        <w:t xml:space="preserve"> </w:t>
      </w:r>
      <w:r w:rsidR="001B35F1" w:rsidRPr="002C21B8">
        <w:t>interpretatio</w:t>
      </w:r>
      <w:r w:rsidRPr="002C21B8">
        <w:t>ns were not influenced by prior knowledge of the centres and their prescribing pr</w:t>
      </w:r>
      <w:r w:rsidR="00B7530C" w:rsidRPr="002C21B8">
        <w:t>actices</w:t>
      </w:r>
      <w:r w:rsidRPr="002C21B8">
        <w:t>.</w:t>
      </w:r>
    </w:p>
    <w:p w14:paraId="00B3F67B" w14:textId="6437255D" w:rsidR="005F7E40" w:rsidRPr="002C21B8" w:rsidRDefault="005F7E40" w:rsidP="005F7E40">
      <w:pPr>
        <w:spacing w:before="240" w:after="0"/>
        <w:rPr>
          <w:b/>
          <w:bCs/>
          <w:sz w:val="24"/>
          <w:szCs w:val="24"/>
        </w:rPr>
      </w:pPr>
      <w:r w:rsidRPr="002C21B8">
        <w:rPr>
          <w:b/>
          <w:bCs/>
          <w:sz w:val="24"/>
          <w:szCs w:val="24"/>
        </w:rPr>
        <w:t>Case recruitment</w:t>
      </w:r>
      <w:r w:rsidR="008B3E2F" w:rsidRPr="002C21B8">
        <w:rPr>
          <w:b/>
          <w:bCs/>
          <w:sz w:val="24"/>
          <w:szCs w:val="24"/>
        </w:rPr>
        <w:t xml:space="preserve"> and access</w:t>
      </w:r>
    </w:p>
    <w:p w14:paraId="13038E79" w14:textId="5CB517D7" w:rsidR="005F7E40" w:rsidRPr="002C21B8" w:rsidRDefault="00CB4751" w:rsidP="005F7E40">
      <w:r w:rsidRPr="002C21B8">
        <w:t xml:space="preserve">I approached the </w:t>
      </w:r>
      <w:r w:rsidR="005F7E40" w:rsidRPr="002C21B8">
        <w:t xml:space="preserve">lead consultant responsible for ADPKD services </w:t>
      </w:r>
      <w:r w:rsidRPr="002C21B8">
        <w:t xml:space="preserve">at each centre </w:t>
      </w:r>
      <w:r w:rsidR="005F7E40" w:rsidRPr="002C21B8">
        <w:t>to enquire whether they would be interested in participating in the study. The initial approach included an introductory email</w:t>
      </w:r>
      <w:r w:rsidR="00B7530C" w:rsidRPr="002C21B8">
        <w:t xml:space="preserve"> with the project protocol attached. T</w:t>
      </w:r>
      <w:r w:rsidR="005F7E40" w:rsidRPr="002C21B8">
        <w:t>his was followed by an informal Microsoft Teams meeting to discuss the</w:t>
      </w:r>
      <w:r w:rsidR="00670E02" w:rsidRPr="002C21B8">
        <w:t xml:space="preserve"> s</w:t>
      </w:r>
      <w:r w:rsidR="005F7E40" w:rsidRPr="002C21B8">
        <w:t>t</w:t>
      </w:r>
      <w:r w:rsidR="00670E02" w:rsidRPr="002C21B8">
        <w:t>udy</w:t>
      </w:r>
      <w:r w:rsidR="005F7E40" w:rsidRPr="002C21B8">
        <w:t xml:space="preserve"> further.</w:t>
      </w:r>
    </w:p>
    <w:p w14:paraId="27A89B3C" w14:textId="5165BC5E" w:rsidR="00BE4CC1" w:rsidRPr="002C21B8" w:rsidRDefault="00BE4CC1" w:rsidP="004507C8">
      <w:pPr>
        <w:pStyle w:val="Heading3"/>
        <w:numPr>
          <w:ilvl w:val="0"/>
          <w:numId w:val="0"/>
        </w:numPr>
      </w:pPr>
      <w:r w:rsidRPr="002C21B8">
        <w:t>Data collection</w:t>
      </w:r>
      <w:r w:rsidR="009605C6" w:rsidRPr="002C21B8">
        <w:t xml:space="preserve"> methods</w:t>
      </w:r>
    </w:p>
    <w:p w14:paraId="307BDF2C" w14:textId="2B2CD3F2" w:rsidR="00630814" w:rsidRPr="002C21B8" w:rsidRDefault="007D1A20" w:rsidP="003335DE">
      <w:r w:rsidRPr="002C21B8">
        <w:t>Data collection and analysis were conducted iteratively</w:t>
      </w:r>
      <w:r w:rsidR="00A90D83" w:rsidRPr="002C21B8">
        <w:t xml:space="preserve"> throughout the case study</w:t>
      </w:r>
      <w:r w:rsidRPr="002C21B8">
        <w:t xml:space="preserve">, </w:t>
      </w:r>
      <w:r w:rsidR="003335DE" w:rsidRPr="002C21B8">
        <w:t xml:space="preserve">allowing ongoing refinement of the data collection processes in line with </w:t>
      </w:r>
      <w:r w:rsidR="00E82C4E" w:rsidRPr="002C21B8">
        <w:t xml:space="preserve">the </w:t>
      </w:r>
      <w:r w:rsidRPr="002C21B8">
        <w:t>case study methodology</w:t>
      </w:r>
      <w:r w:rsidR="00670E02" w:rsidRPr="002C21B8">
        <w:t xml:space="preserve"> described by</w:t>
      </w:r>
      <w:r w:rsidR="003335DE" w:rsidRPr="002C21B8">
        <w:t xml:space="preserve"> </w:t>
      </w:r>
      <w:r w:rsidR="003335DE"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3335DE" w:rsidRPr="002C21B8">
        <w:fldChar w:fldCharType="separate"/>
      </w:r>
      <w:r w:rsidR="00670E02" w:rsidRPr="002C21B8">
        <w:rPr>
          <w:noProof/>
        </w:rPr>
        <w:t>Yin (2009)</w:t>
      </w:r>
      <w:r w:rsidR="003335DE" w:rsidRPr="002C21B8">
        <w:fldChar w:fldCharType="end"/>
      </w:r>
      <w:r w:rsidR="00670E02" w:rsidRPr="002C21B8">
        <w:t>.</w:t>
      </w:r>
      <w:r w:rsidR="00CD013D" w:rsidRPr="002C21B8">
        <w:t xml:space="preserve"> A case study protocol</w:t>
      </w:r>
      <w:r w:rsidR="001129FA" w:rsidRPr="002C21B8">
        <w:t xml:space="preserve"> was used to guide and standardise data collection procedures across cases. This is recommended by </w:t>
      </w:r>
      <w:r w:rsidR="001129FA" w:rsidRPr="002C21B8">
        <w:fldChar w:fldCharType="begin"/>
      </w:r>
      <w:r w:rsidR="0060457F" w:rsidRPr="002C21B8">
        <w:instrText xml:space="preserve"> ADDIN EN.CITE &lt;EndNote&gt;&lt;Cite&gt;&lt;Author&gt;Yin&lt;/Author&gt;&lt;Year&gt;2009&lt;/Year&gt;&lt;RecNum&gt;5549&lt;/RecNum&gt;&lt;DisplayText&gt;(Yin,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1129FA" w:rsidRPr="002C21B8">
        <w:fldChar w:fldCharType="separate"/>
      </w:r>
      <w:r w:rsidR="001129FA" w:rsidRPr="002C21B8">
        <w:rPr>
          <w:noProof/>
        </w:rPr>
        <w:t>(Yin, 2009)</w:t>
      </w:r>
      <w:r w:rsidR="001129FA" w:rsidRPr="002C21B8">
        <w:fldChar w:fldCharType="end"/>
      </w:r>
      <w:r w:rsidR="001129FA" w:rsidRPr="002C21B8">
        <w:t xml:space="preserve"> to ensure consistency and contribute to the overall trustworthiness of the findings.</w:t>
      </w:r>
    </w:p>
    <w:p w14:paraId="33D83906" w14:textId="1478F149" w:rsidR="00A371D7" w:rsidRPr="002C21B8" w:rsidRDefault="00E043C6" w:rsidP="00A371D7">
      <w:r w:rsidRPr="002C21B8">
        <w:t>T</w:t>
      </w:r>
      <w:r w:rsidR="009605C6" w:rsidRPr="002C21B8">
        <w:t xml:space="preserve">hree data collection methods </w:t>
      </w:r>
      <w:r w:rsidRPr="002C21B8">
        <w:t xml:space="preserve">were </w:t>
      </w:r>
      <w:r w:rsidR="009605C6" w:rsidRPr="002C21B8">
        <w:t xml:space="preserve">employed </w:t>
      </w:r>
      <w:r w:rsidR="00C36D47" w:rsidRPr="002C21B8">
        <w:t>in</w:t>
      </w:r>
      <w:r w:rsidR="009605C6" w:rsidRPr="002C21B8">
        <w:t xml:space="preserve"> each case:</w:t>
      </w:r>
    </w:p>
    <w:p w14:paraId="09106DE7" w14:textId="77370570" w:rsidR="00A371D7" w:rsidRPr="002C21B8" w:rsidRDefault="00A371D7" w:rsidP="00A97F07">
      <w:pPr>
        <w:pStyle w:val="ListParagraph"/>
        <w:numPr>
          <w:ilvl w:val="0"/>
          <w:numId w:val="54"/>
        </w:numPr>
      </w:pPr>
      <w:r w:rsidRPr="002C21B8">
        <w:t>Semi-structure</w:t>
      </w:r>
      <w:r w:rsidR="002105D2" w:rsidRPr="002C21B8">
        <w:t>d</w:t>
      </w:r>
      <w:r w:rsidRPr="002C21B8">
        <w:t xml:space="preserve"> interviews</w:t>
      </w:r>
    </w:p>
    <w:p w14:paraId="5654FEC6" w14:textId="12D228C6" w:rsidR="00A371D7" w:rsidRPr="002C21B8" w:rsidRDefault="00A371D7" w:rsidP="00A97F07">
      <w:pPr>
        <w:pStyle w:val="ListParagraph"/>
        <w:numPr>
          <w:ilvl w:val="0"/>
          <w:numId w:val="54"/>
        </w:numPr>
      </w:pPr>
      <w:r w:rsidRPr="002C21B8">
        <w:t>Direct observations</w:t>
      </w:r>
    </w:p>
    <w:p w14:paraId="15BED331" w14:textId="77777777" w:rsidR="00A371D7" w:rsidRPr="002C21B8" w:rsidRDefault="00A371D7" w:rsidP="00A97F07">
      <w:pPr>
        <w:pStyle w:val="ListParagraph"/>
        <w:numPr>
          <w:ilvl w:val="0"/>
          <w:numId w:val="54"/>
        </w:numPr>
      </w:pPr>
      <w:r w:rsidRPr="002C21B8">
        <w:t>Document analysis</w:t>
      </w:r>
    </w:p>
    <w:p w14:paraId="54B8A96F" w14:textId="01D488A4" w:rsidR="00A371D7" w:rsidRPr="002C21B8" w:rsidRDefault="00A371D7" w:rsidP="00725EDE">
      <w:pPr>
        <w:spacing w:before="240" w:after="0"/>
        <w:rPr>
          <w:b/>
          <w:bCs/>
          <w:sz w:val="24"/>
          <w:szCs w:val="24"/>
        </w:rPr>
      </w:pPr>
      <w:r w:rsidRPr="002C21B8">
        <w:rPr>
          <w:b/>
          <w:bCs/>
          <w:sz w:val="24"/>
          <w:szCs w:val="24"/>
        </w:rPr>
        <w:t>Semi-structured interviews</w:t>
      </w:r>
    </w:p>
    <w:p w14:paraId="4B48EEBA" w14:textId="7E55D092" w:rsidR="00A371D7" w:rsidRPr="002C21B8" w:rsidRDefault="00670E02" w:rsidP="00A371D7">
      <w:r w:rsidRPr="002C21B8">
        <w:t>A semi-structured approach was used to support consistency</w:t>
      </w:r>
      <w:r w:rsidR="00D86405" w:rsidRPr="002C21B8">
        <w:t xml:space="preserve"> in interviewing</w:t>
      </w:r>
      <w:r w:rsidRPr="002C21B8">
        <w:t xml:space="preserve"> across participants </w:t>
      </w:r>
      <w:r w:rsidR="00D86405" w:rsidRPr="002C21B8">
        <w:t xml:space="preserve">and cases </w:t>
      </w:r>
      <w:r w:rsidRPr="002C21B8">
        <w:t xml:space="preserve">while retaining </w:t>
      </w:r>
      <w:r w:rsidR="000C6A63" w:rsidRPr="002C21B8">
        <w:t>a degree of</w:t>
      </w:r>
      <w:r w:rsidR="009D2242" w:rsidRPr="002C21B8">
        <w:t xml:space="preserve"> </w:t>
      </w:r>
      <w:r w:rsidRPr="002C21B8">
        <w:t xml:space="preserve">flexibility to explore </w:t>
      </w:r>
      <w:r w:rsidR="00DA3C20" w:rsidRPr="002C21B8">
        <w:t>topics introduced by participants in greater depth.</w:t>
      </w:r>
    </w:p>
    <w:p w14:paraId="47FB2286" w14:textId="77777777" w:rsidR="00A371D7" w:rsidRPr="002C21B8" w:rsidRDefault="00A371D7" w:rsidP="00EE2AAD">
      <w:pPr>
        <w:spacing w:after="0"/>
        <w:rPr>
          <w:b/>
          <w:bCs/>
          <w:i/>
          <w:iCs/>
        </w:rPr>
      </w:pPr>
      <w:r w:rsidRPr="002C21B8">
        <w:rPr>
          <w:b/>
          <w:bCs/>
          <w:i/>
          <w:iCs/>
        </w:rPr>
        <w:t>Sampling strategy</w:t>
      </w:r>
    </w:p>
    <w:p w14:paraId="08683710" w14:textId="6F682C41" w:rsidR="00A371D7" w:rsidRPr="002C21B8" w:rsidRDefault="00630814" w:rsidP="00A371D7">
      <w:pPr>
        <w:rPr>
          <w:color w:val="000000" w:themeColor="text1"/>
        </w:rPr>
      </w:pPr>
      <w:r w:rsidRPr="002C21B8">
        <w:t>A</w:t>
      </w:r>
      <w:r w:rsidR="00A371D7" w:rsidRPr="002C21B8">
        <w:t xml:space="preserve"> purposive sampling technique was used to identify and recruit suitable participants for </w:t>
      </w:r>
      <w:r w:rsidR="001D17EA" w:rsidRPr="002C21B8">
        <w:t xml:space="preserve">the </w:t>
      </w:r>
      <w:r w:rsidR="00A371D7" w:rsidRPr="002C21B8">
        <w:t xml:space="preserve">interviews </w:t>
      </w:r>
      <w:r w:rsidR="00A371D7" w:rsidRPr="002C21B8">
        <w:fldChar w:fldCharType="begin"/>
      </w:r>
      <w:r w:rsidR="0060457F" w:rsidRPr="002C21B8">
        <w:instrText xml:space="preserve"> ADDIN EN.CITE &lt;EndNote&gt;&lt;Cite&gt;&lt;Author&gt;Mason&lt;/Author&gt;&lt;Year&gt;2017&lt;/Year&gt;&lt;RecNum&gt;124985&lt;/RecNum&gt;&lt;DisplayText&gt;(Mason, 2017)&lt;/DisplayText&gt;&lt;record&gt;&lt;rec-number&gt;124985&lt;/rec-number&gt;&lt;foreign-keys&gt;&lt;key app="EN" db-id="xpefzwa5hf9dt2ea9fax95x7xvxz90v09dtf" timestamp="1755630355"&gt;124985&lt;/key&gt;&lt;/foreign-keys&gt;&lt;ref-type name="Book"&gt;6&lt;/ref-type&gt;&lt;contributors&gt;&lt;authors&gt;&lt;author&gt;Mason, Jennifer&lt;/author&gt;&lt;/authors&gt;&lt;/contributors&gt;&lt;titles&gt;&lt;title&gt;Qualitative researching&lt;/title&gt;&lt;/titles&gt;&lt;section&gt;1-224&lt;/section&gt;&lt;dates&gt;&lt;year&gt;2017&lt;/year&gt;&lt;/dates&gt;&lt;pub-location&gt;London, UK&lt;/pub-location&gt;&lt;publisher&gt;SAGE Publications Ltd&lt;/publisher&gt;&lt;urls&gt;&lt;/urls&gt;&lt;/record&gt;&lt;/Cite&gt;&lt;/EndNote&gt;</w:instrText>
      </w:r>
      <w:r w:rsidR="00A371D7" w:rsidRPr="002C21B8">
        <w:fldChar w:fldCharType="separate"/>
      </w:r>
      <w:r w:rsidR="00A371D7" w:rsidRPr="002C21B8">
        <w:rPr>
          <w:noProof/>
        </w:rPr>
        <w:t>(Mason, 2017)</w:t>
      </w:r>
      <w:r w:rsidR="00A371D7" w:rsidRPr="002C21B8">
        <w:fldChar w:fldCharType="end"/>
      </w:r>
      <w:r w:rsidR="00A371D7" w:rsidRPr="002C21B8">
        <w:t xml:space="preserve">. </w:t>
      </w:r>
      <w:r w:rsidR="00367C31" w:rsidRPr="002C21B8">
        <w:rPr>
          <w:color w:val="000000" w:themeColor="text1"/>
        </w:rPr>
        <w:t>P</w:t>
      </w:r>
      <w:r w:rsidR="00A371D7" w:rsidRPr="002C21B8">
        <w:rPr>
          <w:color w:val="000000" w:themeColor="text1"/>
        </w:rPr>
        <w:t xml:space="preserve">articipant recruitment </w:t>
      </w:r>
      <w:r w:rsidR="00367C31" w:rsidRPr="002C21B8">
        <w:rPr>
          <w:color w:val="000000" w:themeColor="text1"/>
        </w:rPr>
        <w:t xml:space="preserve">was undertaken </w:t>
      </w:r>
      <w:r w:rsidR="00A371D7" w:rsidRPr="002C21B8">
        <w:rPr>
          <w:color w:val="000000" w:themeColor="text1"/>
        </w:rPr>
        <w:t>pragmatic</w:t>
      </w:r>
      <w:r w:rsidR="00E96932" w:rsidRPr="002C21B8">
        <w:rPr>
          <w:color w:val="000000" w:themeColor="text1"/>
        </w:rPr>
        <w:t>ally and involve</w:t>
      </w:r>
      <w:r w:rsidR="008B4069" w:rsidRPr="002C21B8">
        <w:rPr>
          <w:color w:val="000000" w:themeColor="text1"/>
        </w:rPr>
        <w:t>d</w:t>
      </w:r>
      <w:r w:rsidR="00E96932" w:rsidRPr="002C21B8">
        <w:rPr>
          <w:color w:val="000000" w:themeColor="text1"/>
        </w:rPr>
        <w:t xml:space="preserve"> all </w:t>
      </w:r>
      <w:r w:rsidR="0049091E" w:rsidRPr="002C21B8">
        <w:rPr>
          <w:color w:val="000000" w:themeColor="text1"/>
        </w:rPr>
        <w:t>clinician</w:t>
      </w:r>
      <w:r w:rsidR="00E96932" w:rsidRPr="002C21B8">
        <w:rPr>
          <w:color w:val="000000" w:themeColor="text1"/>
        </w:rPr>
        <w:t xml:space="preserve">s at </w:t>
      </w:r>
      <w:r w:rsidR="008B4069" w:rsidRPr="002C21B8">
        <w:rPr>
          <w:color w:val="000000" w:themeColor="text1"/>
        </w:rPr>
        <w:t>the</w:t>
      </w:r>
      <w:r w:rsidR="00E96932" w:rsidRPr="002C21B8">
        <w:rPr>
          <w:color w:val="000000" w:themeColor="text1"/>
        </w:rPr>
        <w:t xml:space="preserve"> kidney centre</w:t>
      </w:r>
      <w:r w:rsidR="008B4069" w:rsidRPr="002C21B8">
        <w:rPr>
          <w:color w:val="000000" w:themeColor="text1"/>
        </w:rPr>
        <w:t>s</w:t>
      </w:r>
      <w:r w:rsidR="00E96932" w:rsidRPr="002C21B8">
        <w:rPr>
          <w:color w:val="000000" w:themeColor="text1"/>
        </w:rPr>
        <w:t xml:space="preserve"> </w:t>
      </w:r>
      <w:r w:rsidR="008B4069" w:rsidRPr="002C21B8">
        <w:rPr>
          <w:color w:val="000000" w:themeColor="text1"/>
        </w:rPr>
        <w:t xml:space="preserve">directly </w:t>
      </w:r>
      <w:r w:rsidR="00E96932" w:rsidRPr="002C21B8">
        <w:rPr>
          <w:color w:val="000000" w:themeColor="text1"/>
        </w:rPr>
        <w:t xml:space="preserve">involved in providing care to people with ADPKD. </w:t>
      </w:r>
      <w:r w:rsidR="000C6A63" w:rsidRPr="002C21B8">
        <w:rPr>
          <w:color w:val="000000" w:themeColor="text1"/>
        </w:rPr>
        <w:t xml:space="preserve">Prescribing tolvaptan can involve </w:t>
      </w:r>
      <w:r w:rsidRPr="002C21B8">
        <w:rPr>
          <w:color w:val="000000" w:themeColor="text1"/>
        </w:rPr>
        <w:t xml:space="preserve">a wide range of </w:t>
      </w:r>
      <w:r w:rsidR="0049091E" w:rsidRPr="002C21B8">
        <w:rPr>
          <w:color w:val="000000" w:themeColor="text1"/>
        </w:rPr>
        <w:t>clinician</w:t>
      </w:r>
      <w:r w:rsidRPr="002C21B8">
        <w:rPr>
          <w:color w:val="000000" w:themeColor="text1"/>
        </w:rPr>
        <w:t>s</w:t>
      </w:r>
      <w:r w:rsidR="000C6A63" w:rsidRPr="002C21B8">
        <w:rPr>
          <w:color w:val="000000" w:themeColor="text1"/>
        </w:rPr>
        <w:t xml:space="preserve"> so it was important to ensure they were represented in the interview participants. </w:t>
      </w:r>
      <w:r w:rsidR="00A371D7" w:rsidRPr="002C21B8">
        <w:t xml:space="preserve">The roles of these </w:t>
      </w:r>
      <w:r w:rsidRPr="002C21B8">
        <w:t xml:space="preserve">participants </w:t>
      </w:r>
      <w:r w:rsidR="008B4069" w:rsidRPr="002C21B8">
        <w:t xml:space="preserve">were </w:t>
      </w:r>
      <w:r w:rsidR="00A371D7" w:rsidRPr="002C21B8">
        <w:t xml:space="preserve">consultant nephrologists (general, clinical genetics or ADPKD-specific), specialist nephrology </w:t>
      </w:r>
      <w:r w:rsidR="00E96932" w:rsidRPr="002C21B8">
        <w:t>trainees</w:t>
      </w:r>
      <w:r w:rsidR="00A371D7" w:rsidRPr="002C21B8">
        <w:t xml:space="preserve">, specialist renal pharmacists </w:t>
      </w:r>
      <w:r w:rsidR="00367C31" w:rsidRPr="002C21B8">
        <w:t xml:space="preserve">and </w:t>
      </w:r>
      <w:r w:rsidR="00A371D7" w:rsidRPr="002C21B8">
        <w:t>specialist renal nurses.</w:t>
      </w:r>
    </w:p>
    <w:p w14:paraId="21152620" w14:textId="77777777" w:rsidR="00A371D7" w:rsidRPr="002C21B8" w:rsidRDefault="00A371D7" w:rsidP="00EE2AAD">
      <w:pPr>
        <w:spacing w:after="0"/>
        <w:rPr>
          <w:b/>
          <w:bCs/>
          <w:i/>
          <w:iCs/>
        </w:rPr>
      </w:pPr>
      <w:r w:rsidRPr="002C21B8">
        <w:rPr>
          <w:b/>
          <w:bCs/>
          <w:i/>
          <w:iCs/>
        </w:rPr>
        <w:t>Recruitment procedure</w:t>
      </w:r>
    </w:p>
    <w:p w14:paraId="43644DC6" w14:textId="4AFBAEA6" w:rsidR="00A371D7" w:rsidRPr="002C21B8" w:rsidRDefault="00A371D7" w:rsidP="00A371D7">
      <w:r w:rsidRPr="002C21B8">
        <w:t>The lead consultant responsible for ADPKD services act</w:t>
      </w:r>
      <w:r w:rsidR="005C09B8" w:rsidRPr="002C21B8">
        <w:t>ed</w:t>
      </w:r>
      <w:r w:rsidRPr="002C21B8">
        <w:t xml:space="preserve"> as a local collaborator</w:t>
      </w:r>
      <w:r w:rsidR="001B3434" w:rsidRPr="002C21B8">
        <w:t>. They</w:t>
      </w:r>
      <w:r w:rsidRPr="002C21B8">
        <w:t xml:space="preserve"> provided </w:t>
      </w:r>
      <w:r w:rsidR="001B3434" w:rsidRPr="002C21B8">
        <w:t xml:space="preserve">the </w:t>
      </w:r>
      <w:r w:rsidR="00620714" w:rsidRPr="002C21B8">
        <w:t xml:space="preserve">email addresses for all </w:t>
      </w:r>
      <w:r w:rsidR="0049091E" w:rsidRPr="002C21B8">
        <w:t>clinician</w:t>
      </w:r>
      <w:r w:rsidRPr="002C21B8">
        <w:t xml:space="preserve">s involved in ADPKD </w:t>
      </w:r>
      <w:r w:rsidR="001B3434" w:rsidRPr="002C21B8">
        <w:t xml:space="preserve">care </w:t>
      </w:r>
      <w:r w:rsidRPr="002C21B8">
        <w:t xml:space="preserve">at their kidney </w:t>
      </w:r>
      <w:r w:rsidR="001B3434" w:rsidRPr="002C21B8">
        <w:t>centre</w:t>
      </w:r>
      <w:r w:rsidRPr="002C21B8">
        <w:t xml:space="preserve">. </w:t>
      </w:r>
      <w:r w:rsidR="008B4069" w:rsidRPr="002C21B8">
        <w:t xml:space="preserve">I then </w:t>
      </w:r>
      <w:r w:rsidRPr="002C21B8">
        <w:t xml:space="preserve">approached </w:t>
      </w:r>
      <w:r w:rsidR="008B4069" w:rsidRPr="002C21B8">
        <w:t xml:space="preserve">the potential participants </w:t>
      </w:r>
      <w:r w:rsidRPr="002C21B8">
        <w:t>by email</w:t>
      </w:r>
      <w:r w:rsidR="008B4069" w:rsidRPr="002C21B8">
        <w:t xml:space="preserve">. The email sent </w:t>
      </w:r>
      <w:r w:rsidRPr="002C21B8">
        <w:t xml:space="preserve">included </w:t>
      </w:r>
      <w:r w:rsidR="008B4069" w:rsidRPr="002C21B8">
        <w:t>the</w:t>
      </w:r>
      <w:r w:rsidR="00620714" w:rsidRPr="002C21B8">
        <w:t xml:space="preserve"> </w:t>
      </w:r>
      <w:r w:rsidRPr="002C21B8">
        <w:t xml:space="preserve">participant consent form and </w:t>
      </w:r>
      <w:r w:rsidR="00AA2A83" w:rsidRPr="002C21B8">
        <w:t xml:space="preserve">the </w:t>
      </w:r>
      <w:r w:rsidRPr="002C21B8">
        <w:t xml:space="preserve">participant information sheet. </w:t>
      </w:r>
      <w:r w:rsidR="009448FB" w:rsidRPr="002C21B8">
        <w:t>Consent forms were sent 1</w:t>
      </w:r>
      <w:r w:rsidR="00633656" w:rsidRPr="002C21B8">
        <w:t>–</w:t>
      </w:r>
      <w:r w:rsidR="009448FB" w:rsidRPr="002C21B8">
        <w:t>2 weeks before the agreed date for the interview and were signed immediately before the interview.</w:t>
      </w:r>
    </w:p>
    <w:p w14:paraId="7A088EF3" w14:textId="77777777" w:rsidR="00A371D7" w:rsidRPr="002C21B8" w:rsidRDefault="00A371D7" w:rsidP="00EE2AAD">
      <w:pPr>
        <w:spacing w:after="0"/>
        <w:rPr>
          <w:b/>
          <w:bCs/>
          <w:i/>
          <w:iCs/>
        </w:rPr>
      </w:pPr>
      <w:r w:rsidRPr="002C21B8">
        <w:rPr>
          <w:b/>
          <w:bCs/>
          <w:i/>
          <w:iCs/>
        </w:rPr>
        <w:t>Sample size</w:t>
      </w:r>
    </w:p>
    <w:p w14:paraId="3561014E" w14:textId="58F432D2" w:rsidR="00A371D7" w:rsidRPr="002C21B8" w:rsidRDefault="00A371D7" w:rsidP="00A371D7">
      <w:r w:rsidRPr="002C21B8">
        <w:t xml:space="preserve">The aim of sampling was to achieve sufficient depth and diversity of perspectives rather than traditional data saturation, given the limited number of </w:t>
      </w:r>
      <w:r w:rsidR="0049091E" w:rsidRPr="002C21B8">
        <w:t>clinician</w:t>
      </w:r>
      <w:r w:rsidRPr="002C21B8">
        <w:t xml:space="preserve">s at each site. </w:t>
      </w:r>
      <w:r w:rsidR="00EA7E26" w:rsidRPr="002C21B8">
        <w:t xml:space="preserve">Before </w:t>
      </w:r>
      <w:r w:rsidRPr="002C21B8">
        <w:t xml:space="preserve">data collection </w:t>
      </w:r>
      <w:r w:rsidR="00EA7E26" w:rsidRPr="002C21B8">
        <w:t>took place at</w:t>
      </w:r>
      <w:r w:rsidRPr="002C21B8">
        <w:t xml:space="preserve"> the participating kidney centres, it was anticipated that </w:t>
      </w:r>
      <w:r w:rsidR="00EA7E26" w:rsidRPr="002C21B8">
        <w:t xml:space="preserve">between </w:t>
      </w:r>
      <w:r w:rsidRPr="002C21B8">
        <w:t>3</w:t>
      </w:r>
      <w:r w:rsidR="00EA7E26" w:rsidRPr="002C21B8">
        <w:t xml:space="preserve"> and </w:t>
      </w:r>
      <w:r w:rsidRPr="002C21B8">
        <w:t xml:space="preserve">5 </w:t>
      </w:r>
      <w:r w:rsidR="0049091E" w:rsidRPr="002C21B8">
        <w:t>clinician</w:t>
      </w:r>
      <w:r w:rsidRPr="002C21B8">
        <w:t xml:space="preserve">s would be </w:t>
      </w:r>
      <w:r w:rsidR="00EA7E26" w:rsidRPr="002C21B8">
        <w:t>involved in the prescribing process at each site</w:t>
      </w:r>
      <w:r w:rsidR="005C09B8" w:rsidRPr="002C21B8">
        <w:t>,</w:t>
      </w:r>
      <w:r w:rsidR="004A518C" w:rsidRPr="002C21B8">
        <w:t xml:space="preserve"> which </w:t>
      </w:r>
      <w:r w:rsidR="00EA7E26" w:rsidRPr="002C21B8">
        <w:t xml:space="preserve">formed the sample size for the interviews. </w:t>
      </w:r>
      <w:r w:rsidRPr="002C21B8">
        <w:t>This was considered sufficient to provide rich, informative insights into prescribing decision-making.</w:t>
      </w:r>
    </w:p>
    <w:p w14:paraId="657BDEEE" w14:textId="77777777" w:rsidR="00A371D7" w:rsidRPr="002C21B8" w:rsidRDefault="00A371D7" w:rsidP="00EE2AAD">
      <w:pPr>
        <w:spacing w:after="0"/>
        <w:rPr>
          <w:b/>
          <w:bCs/>
          <w:i/>
          <w:iCs/>
        </w:rPr>
      </w:pPr>
      <w:r w:rsidRPr="002C21B8">
        <w:rPr>
          <w:b/>
          <w:bCs/>
          <w:i/>
          <w:iCs/>
        </w:rPr>
        <w:t>The topic guide</w:t>
      </w:r>
    </w:p>
    <w:p w14:paraId="7434B98E" w14:textId="023BBC11" w:rsidR="00A371D7" w:rsidRPr="002C21B8" w:rsidRDefault="00A371D7" w:rsidP="00812F5D">
      <w:r w:rsidRPr="002C21B8">
        <w:t xml:space="preserve">The topic guide for the semi-structured interviews was </w:t>
      </w:r>
      <w:r w:rsidR="00303BA0" w:rsidRPr="002C21B8">
        <w:t>developed</w:t>
      </w:r>
      <w:r w:rsidR="0085478C" w:rsidRPr="002C21B8">
        <w:t xml:space="preserve"> before data collection</w:t>
      </w:r>
      <w:r w:rsidR="00AD2806" w:rsidRPr="002C21B8">
        <w:t xml:space="preserve"> started. This was</w:t>
      </w:r>
      <w:r w:rsidR="0085478C" w:rsidRPr="002C21B8">
        <w:t xml:space="preserve"> </w:t>
      </w:r>
      <w:r w:rsidR="006A7EFB" w:rsidRPr="002C21B8">
        <w:t xml:space="preserve">initially </w:t>
      </w:r>
      <w:r w:rsidR="0085478C" w:rsidRPr="002C21B8">
        <w:t xml:space="preserve">informed by </w:t>
      </w:r>
      <w:r w:rsidRPr="002C21B8">
        <w:t>the</w:t>
      </w:r>
      <w:r w:rsidR="0085478C" w:rsidRPr="002C21B8">
        <w:t xml:space="preserve"> overview of systematic reviews undertaken in Phase 1. </w:t>
      </w:r>
      <w:r w:rsidR="00AD2806" w:rsidRPr="002C21B8">
        <w:t xml:space="preserve">It </w:t>
      </w:r>
      <w:r w:rsidR="0085478C" w:rsidRPr="002C21B8">
        <w:t>was then revised through discussions with my supervision team and the</w:t>
      </w:r>
      <w:r w:rsidR="0087491E" w:rsidRPr="002C21B8">
        <w:t xml:space="preserve"> patient and public involvement</w:t>
      </w:r>
      <w:r w:rsidR="0085478C" w:rsidRPr="002C21B8">
        <w:t xml:space="preserve"> </w:t>
      </w:r>
      <w:r w:rsidR="00303BA0" w:rsidRPr="002C21B8">
        <w:t xml:space="preserve">(PPI) </w:t>
      </w:r>
      <w:r w:rsidR="0085478C" w:rsidRPr="002C21B8">
        <w:t>group</w:t>
      </w:r>
      <w:r w:rsidRPr="002C21B8">
        <w:t xml:space="preserve">. </w:t>
      </w:r>
      <w:r w:rsidR="00144933" w:rsidRPr="002C21B8">
        <w:t>Throughout the data collection process, i</w:t>
      </w:r>
      <w:r w:rsidRPr="002C21B8">
        <w:t xml:space="preserve">t developed </w:t>
      </w:r>
      <w:r w:rsidR="0077043A" w:rsidRPr="002C21B8">
        <w:t xml:space="preserve">iteratively </w:t>
      </w:r>
      <w:r w:rsidR="00144933" w:rsidRPr="002C21B8">
        <w:t>analysis was occurring concurrently</w:t>
      </w:r>
      <w:r w:rsidRPr="002C21B8">
        <w:t xml:space="preserve">. Both open-ended questions and more focused questions around </w:t>
      </w:r>
      <w:r w:rsidR="004E61AF" w:rsidRPr="002C21B8">
        <w:t>the factors</w:t>
      </w:r>
      <w:r w:rsidRPr="002C21B8">
        <w:t xml:space="preserve"> identified by the </w:t>
      </w:r>
      <w:r w:rsidR="00E06102" w:rsidRPr="002C21B8">
        <w:t>overview of systematic reviews</w:t>
      </w:r>
      <w:r w:rsidR="00646F77" w:rsidRPr="002C21B8">
        <w:t xml:space="preserve"> were included</w:t>
      </w:r>
      <w:r w:rsidRPr="002C21B8">
        <w:t>.</w:t>
      </w:r>
    </w:p>
    <w:p w14:paraId="6362C8A8" w14:textId="4D909904" w:rsidR="00D562D5" w:rsidRPr="002C21B8" w:rsidRDefault="00D562D5" w:rsidP="00EE2AAD">
      <w:pPr>
        <w:spacing w:after="0"/>
        <w:rPr>
          <w:b/>
          <w:bCs/>
          <w:i/>
          <w:iCs/>
        </w:rPr>
      </w:pPr>
      <w:r w:rsidRPr="002C21B8">
        <w:rPr>
          <w:b/>
          <w:bCs/>
          <w:i/>
          <w:iCs/>
        </w:rPr>
        <w:t>Case vignette</w:t>
      </w:r>
    </w:p>
    <w:p w14:paraId="4D215DDA" w14:textId="0B40A924" w:rsidR="003335DE" w:rsidRPr="002C21B8" w:rsidRDefault="00F567E4" w:rsidP="00A371D7">
      <w:r w:rsidRPr="002C21B8">
        <w:t xml:space="preserve">Vignettes have been widely used in health services research to compare how participants respond to hypothetical situations that reflect real-world practice </w:t>
      </w:r>
      <w:r w:rsidRPr="002C21B8">
        <w:fldChar w:fldCharType="begin"/>
      </w:r>
      <w:r w:rsidR="00763983" w:rsidRPr="002C21B8">
        <w:instrText xml:space="preserve"> ADDIN EN.CITE &lt;EndNote&gt;&lt;Cite&gt;&lt;Author&gt;Hughes&lt;/Author&gt;&lt;Year&gt;2002&lt;/Year&gt;&lt;RecNum&gt;125437&lt;/RecNum&gt;&lt;DisplayText&gt;(Hughes and Huby, 2002)&lt;/DisplayText&gt;&lt;record&gt;&lt;rec-number&gt;125437&lt;/rec-number&gt;&lt;foreign-keys&gt;&lt;key app="EN" db-id="xpefzwa5hf9dt2ea9fax95x7xvxz90v09dtf" timestamp="1775920488"&gt;125437&lt;/key&gt;&lt;/foreign-keys&gt;&lt;ref-type name="Journal Article"&gt;17&lt;/ref-type&gt;&lt;contributors&gt;&lt;authors&gt;&lt;author&gt;Hughes, Rhidian&lt;/author&gt;&lt;author&gt;Huby, Meg&lt;/author&gt;&lt;/authors&gt;&lt;/contributors&gt;&lt;titles&gt;&lt;title&gt;The application of vignettes in social and nursing research&lt;/title&gt;&lt;secondary-title&gt;Journal of Advanced Nursing&lt;/secondary-title&gt;&lt;/titles&gt;&lt;periodical&gt;&lt;full-title&gt;Journal of advanced nursing&lt;/full-title&gt;&lt;/periodical&gt;&lt;pages&gt;382-386&lt;/pages&gt;&lt;volume&gt;37&lt;/volume&gt;&lt;number&gt;4&lt;/number&gt;&lt;dates&gt;&lt;year&gt;2002&lt;/year&gt;&lt;/dates&gt;&lt;isbn&gt;0309-2402&lt;/isbn&gt;&lt;urls&gt;&lt;/urls&gt;&lt;/record&gt;&lt;/Cite&gt;&lt;/EndNote&gt;</w:instrText>
      </w:r>
      <w:r w:rsidRPr="002C21B8">
        <w:fldChar w:fldCharType="separate"/>
      </w:r>
      <w:r w:rsidRPr="002C21B8">
        <w:rPr>
          <w:noProof/>
        </w:rPr>
        <w:t>(Hughes and Huby, 2002)</w:t>
      </w:r>
      <w:r w:rsidRPr="002C21B8">
        <w:fldChar w:fldCharType="end"/>
      </w:r>
      <w:r w:rsidRPr="002C21B8">
        <w:t xml:space="preserve">. A case vignette was developed to reflect a real-life scenario </w:t>
      </w:r>
      <w:r w:rsidR="00303BA0" w:rsidRPr="002C21B8">
        <w:t xml:space="preserve">with input from the PPI group and </w:t>
      </w:r>
      <w:r w:rsidRPr="002C21B8">
        <w:t xml:space="preserve">included characteristics that would make them borderline for the eligibility criteria recommended in </w:t>
      </w:r>
      <w:r w:rsidR="00303BA0" w:rsidRPr="002C21B8">
        <w:t xml:space="preserve">the </w:t>
      </w:r>
      <w:r w:rsidRPr="002C21B8">
        <w:t xml:space="preserve">Renal Association guidelines. The primary reason for its inclusion was to act as a structured tool to elicit more details on the clinical decision-making </w:t>
      </w:r>
      <w:r w:rsidR="00303BA0" w:rsidRPr="002C21B8">
        <w:t xml:space="preserve">undertaken </w:t>
      </w:r>
      <w:r w:rsidRPr="002C21B8">
        <w:t xml:space="preserve">when determining </w:t>
      </w:r>
      <w:r w:rsidR="00303BA0" w:rsidRPr="002C21B8">
        <w:t xml:space="preserve">whether a </w:t>
      </w:r>
      <w:r w:rsidRPr="002C21B8">
        <w:t xml:space="preserve">patient </w:t>
      </w:r>
      <w:r w:rsidR="00303BA0" w:rsidRPr="002C21B8">
        <w:t xml:space="preserve">is </w:t>
      </w:r>
      <w:r w:rsidRPr="002C21B8">
        <w:t>eligibl</w:t>
      </w:r>
      <w:r w:rsidR="00303BA0" w:rsidRPr="002C21B8">
        <w:t>e</w:t>
      </w:r>
      <w:r w:rsidRPr="002C21B8">
        <w:t xml:space="preserve"> for tolvaptan. </w:t>
      </w:r>
      <w:r w:rsidR="00747FD8" w:rsidRPr="002C21B8">
        <w:t>T</w:t>
      </w:r>
      <w:r w:rsidRPr="002C21B8">
        <w:t xml:space="preserve">he vignette was piloted on two </w:t>
      </w:r>
      <w:r w:rsidR="00646F77" w:rsidRPr="002C21B8">
        <w:t>clinicians</w:t>
      </w:r>
      <w:r w:rsidRPr="002C21B8">
        <w:t xml:space="preserve"> with expertise in ADPKD at </w:t>
      </w:r>
      <w:r w:rsidR="00646F77" w:rsidRPr="002C21B8">
        <w:t xml:space="preserve">the </w:t>
      </w:r>
      <w:r w:rsidRPr="002C21B8">
        <w:t>Sheffield Teaching Hospitals Trust</w:t>
      </w:r>
      <w:r w:rsidR="005C09B8" w:rsidRPr="002C21B8">
        <w:t>,</w:t>
      </w:r>
      <w:r w:rsidRPr="002C21B8">
        <w:t xml:space="preserve"> identified through convenience sampling. </w:t>
      </w:r>
      <w:r w:rsidR="00747FD8" w:rsidRPr="002C21B8">
        <w:t>When used during the data collection, i</w:t>
      </w:r>
      <w:r w:rsidRPr="002C21B8">
        <w:t xml:space="preserve">t was presented to all participants </w:t>
      </w:r>
      <w:r w:rsidR="00747FD8" w:rsidRPr="002C21B8">
        <w:t>at</w:t>
      </w:r>
      <w:r w:rsidRPr="002C21B8">
        <w:t xml:space="preserve"> the end of the interview to avoid influencing participants’ accounts of their routine practice and to allow exploration of decision-making based on their own experiences.</w:t>
      </w:r>
      <w:r w:rsidR="00D562D5" w:rsidRPr="002C21B8">
        <w:t xml:space="preserve"> The case vignette is included in </w:t>
      </w:r>
      <w:hyperlink w:anchor="_Clinical_vignette_for_1" w:history="1">
        <w:r w:rsidR="00C83686" w:rsidRPr="002C21B8">
          <w:rPr>
            <w:rStyle w:val="Hyperlink"/>
          </w:rPr>
          <w:t>Appendix 8</w:t>
        </w:r>
      </w:hyperlink>
      <w:r w:rsidR="00D562D5" w:rsidRPr="002C21B8">
        <w:t>.</w:t>
      </w:r>
    </w:p>
    <w:p w14:paraId="05AA5963" w14:textId="78B56EE2" w:rsidR="00D562D5" w:rsidRPr="002C21B8" w:rsidRDefault="00D562D5" w:rsidP="00EE2AAD">
      <w:pPr>
        <w:spacing w:after="0"/>
        <w:rPr>
          <w:b/>
          <w:bCs/>
          <w:i/>
          <w:iCs/>
        </w:rPr>
      </w:pPr>
      <w:r w:rsidRPr="002C21B8">
        <w:rPr>
          <w:b/>
          <w:bCs/>
          <w:i/>
          <w:iCs/>
        </w:rPr>
        <w:t>Piloting</w:t>
      </w:r>
    </w:p>
    <w:p w14:paraId="60164324" w14:textId="0FABB668" w:rsidR="00D562D5" w:rsidRPr="002C21B8" w:rsidRDefault="00D562D5" w:rsidP="00A371D7">
      <w:r w:rsidRPr="002C21B8">
        <w:t xml:space="preserve">A pilot interview was conducted with one consultant nephrologist with expertise in </w:t>
      </w:r>
      <w:r w:rsidR="00F567E4" w:rsidRPr="002C21B8">
        <w:t xml:space="preserve">managing people with </w:t>
      </w:r>
      <w:r w:rsidRPr="002C21B8">
        <w:t xml:space="preserve">ADPKD at Sheffield Teaching Hospitals Trust </w:t>
      </w:r>
      <w:r w:rsidR="00AF68DA" w:rsidRPr="002C21B8">
        <w:t>before</w:t>
      </w:r>
      <w:r w:rsidRPr="002C21B8">
        <w:t xml:space="preserve"> formal data collection. </w:t>
      </w:r>
      <w:r w:rsidR="00DE6412" w:rsidRPr="002C21B8">
        <w:t>Piloting</w:t>
      </w:r>
      <w:r w:rsidRPr="002C21B8">
        <w:t xml:space="preserve"> was undertaken to test the topic guide and case vignette in practice. This interview was used to refine</w:t>
      </w:r>
      <w:r w:rsidR="00A87521" w:rsidRPr="002C21B8">
        <w:t xml:space="preserve"> the wording, </w:t>
      </w:r>
      <w:r w:rsidRPr="002C21B8">
        <w:t>structure and sequencing</w:t>
      </w:r>
      <w:r w:rsidR="00A87521" w:rsidRPr="002C21B8">
        <w:t xml:space="preserve"> of questions</w:t>
      </w:r>
      <w:r w:rsidRPr="002C21B8">
        <w:t>. It was not included in the final</w:t>
      </w:r>
      <w:r w:rsidR="00CC62E8" w:rsidRPr="002C21B8">
        <w:t xml:space="preserve"> </w:t>
      </w:r>
      <w:r w:rsidRPr="002C21B8">
        <w:t>dataset. Although pilot interview</w:t>
      </w:r>
      <w:r w:rsidR="00F567E4" w:rsidRPr="002C21B8">
        <w:t>s are</w:t>
      </w:r>
      <w:r w:rsidRPr="002C21B8">
        <w:t xml:space="preserve"> not </w:t>
      </w:r>
      <w:r w:rsidR="00F567E4" w:rsidRPr="002C21B8">
        <w:t xml:space="preserve">mandated </w:t>
      </w:r>
      <w:r w:rsidRPr="002C21B8">
        <w:t xml:space="preserve">by </w:t>
      </w:r>
      <w:r w:rsidRPr="002C21B8">
        <w:fldChar w:fldCharType="begin"/>
      </w:r>
      <w:r w:rsidR="0060457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Pr="002C21B8">
        <w:fldChar w:fldCharType="separate"/>
      </w:r>
      <w:r w:rsidR="00576234" w:rsidRPr="002C21B8">
        <w:rPr>
          <w:noProof/>
        </w:rPr>
        <w:t>Yin (2009)</w:t>
      </w:r>
      <w:r w:rsidRPr="002C21B8">
        <w:fldChar w:fldCharType="end"/>
      </w:r>
      <w:r w:rsidRPr="002C21B8">
        <w:t xml:space="preserve">, </w:t>
      </w:r>
      <w:r w:rsidR="00576234" w:rsidRPr="002C21B8">
        <w:t>he</w:t>
      </w:r>
      <w:r w:rsidRPr="002C21B8">
        <w:t xml:space="preserve"> do</w:t>
      </w:r>
      <w:r w:rsidR="00576234" w:rsidRPr="002C21B8">
        <w:t>es</w:t>
      </w:r>
      <w:r w:rsidRPr="002C21B8">
        <w:t xml:space="preserve"> advocate </w:t>
      </w:r>
      <w:r w:rsidR="00D01EC7" w:rsidRPr="002C21B8">
        <w:t xml:space="preserve">that data collection procedures should be </w:t>
      </w:r>
      <w:r w:rsidR="00F567E4" w:rsidRPr="002C21B8">
        <w:t>refin</w:t>
      </w:r>
      <w:r w:rsidR="00D01EC7" w:rsidRPr="002C21B8">
        <w:t>ed</w:t>
      </w:r>
      <w:r w:rsidRPr="002C21B8">
        <w:t xml:space="preserve"> and triall</w:t>
      </w:r>
      <w:r w:rsidR="00D01EC7" w:rsidRPr="002C21B8">
        <w:t>ed</w:t>
      </w:r>
      <w:r w:rsidRPr="002C21B8">
        <w:t xml:space="preserve"> </w:t>
      </w:r>
      <w:r w:rsidR="00AF68DA" w:rsidRPr="002C21B8">
        <w:t>before</w:t>
      </w:r>
      <w:r w:rsidR="00F567E4" w:rsidRPr="002C21B8">
        <w:t xml:space="preserve"> fieldwork. </w:t>
      </w:r>
      <w:r w:rsidR="00576234" w:rsidRPr="002C21B8">
        <w:t>Other authors</w:t>
      </w:r>
      <w:r w:rsidR="002839E8" w:rsidRPr="002C21B8">
        <w:t>,</w:t>
      </w:r>
      <w:r w:rsidR="00576234" w:rsidRPr="002C21B8">
        <w:t xml:space="preserve"> </w:t>
      </w:r>
      <w:r w:rsidR="002839E8" w:rsidRPr="002C21B8">
        <w:t>including</w:t>
      </w:r>
      <w:r w:rsidR="00576234" w:rsidRPr="002C21B8">
        <w:t xml:space="preserve"> </w:t>
      </w:r>
      <w:r w:rsidR="00576234" w:rsidRPr="002C21B8">
        <w:fldChar w:fldCharType="begin"/>
      </w:r>
      <w:r w:rsidR="00CC62E8" w:rsidRPr="002C21B8">
        <w:instrText xml:space="preserve"> ADDIN EN.CITE &lt;EndNote&gt;&lt;Cite AuthorYear="1"&gt;&lt;Author&gt;Kvale&lt;/Author&gt;&lt;Year&gt;2009&lt;/Year&gt;&lt;RecNum&gt;125431&lt;/RecNum&gt;&lt;DisplayText&gt;Kvale and Brinkmann (2009)&lt;/DisplayText&gt;&lt;record&gt;&lt;rec-number&gt;125431&lt;/rec-number&gt;&lt;foreign-keys&gt;&lt;key app="EN" db-id="xpefzwa5hf9dt2ea9fax95x7xvxz90v09dtf" timestamp="1775833068"&gt;125431&lt;/key&gt;&lt;/foreign-keys&gt;&lt;ref-type name="Book"&gt;6&lt;/ref-type&gt;&lt;contributors&gt;&lt;authors&gt;&lt;author&gt;Kvale, Steinar&lt;/author&gt;&lt;author&gt;Brinkmann, Svend&lt;/author&gt;&lt;/authors&gt;&lt;/contributors&gt;&lt;titles&gt;&lt;title&gt;Interviews: Learning the craft of qualitative research interviewing&lt;/title&gt;&lt;/titles&gt;&lt;section&gt;1-424&lt;/section&gt;&lt;dates&gt;&lt;year&gt;2009&lt;/year&gt;&lt;/dates&gt;&lt;pub-location&gt;London, UK&lt;/pub-location&gt;&lt;publisher&gt;SAGE Publications Ltd&lt;/publisher&gt;&lt;isbn&gt;0761925422&lt;/isbn&gt;&lt;urls&gt;&lt;/urls&gt;&lt;/record&gt;&lt;/Cite&gt;&lt;/EndNote&gt;</w:instrText>
      </w:r>
      <w:r w:rsidR="00576234" w:rsidRPr="002C21B8">
        <w:fldChar w:fldCharType="separate"/>
      </w:r>
      <w:r w:rsidR="00CC62E8" w:rsidRPr="002C21B8">
        <w:rPr>
          <w:noProof/>
        </w:rPr>
        <w:t>Kvale and Brinkmann (2009)</w:t>
      </w:r>
      <w:r w:rsidR="00576234" w:rsidRPr="002C21B8">
        <w:fldChar w:fldCharType="end"/>
      </w:r>
      <w:r w:rsidR="00576234" w:rsidRPr="002C21B8">
        <w:t xml:space="preserve">, </w:t>
      </w:r>
      <w:r w:rsidR="00576234" w:rsidRPr="002C21B8">
        <w:fldChar w:fldCharType="begin"/>
      </w:r>
      <w:r w:rsidR="00CC62E8" w:rsidRPr="002C21B8">
        <w:instrText xml:space="preserve"> ADDIN EN.CITE &lt;EndNote&gt;&lt;Cite AuthorYear="1"&gt;&lt;Author&gt;Flick&lt;/Author&gt;&lt;Year&gt;2022&lt;/Year&gt;&lt;RecNum&gt;125401&lt;/RecNum&gt;&lt;DisplayText&gt;Flick (2022)&lt;/DisplayText&gt;&lt;record&gt;&lt;rec-number&gt;125401&lt;/rec-number&gt;&lt;foreign-keys&gt;&lt;key app="EN" db-id="xpefzwa5hf9dt2ea9fax95x7xvxz90v09dtf" timestamp="1775650610"&gt;125401&lt;/key&gt;&lt;/foreign-keys&gt;&lt;ref-type name="Book"&gt;6&lt;/ref-type&gt;&lt;contributors&gt;&lt;authors&gt;&lt;author&gt;Flick, Uwe&lt;/author&gt;&lt;/authors&gt;&lt;/contributors&gt;&lt;titles&gt;&lt;title&gt;An introduction to qualitative research&lt;/title&gt;&lt;/titles&gt;&lt;section&gt;1-632&lt;/section&gt;&lt;dates&gt;&lt;year&gt;2022&lt;/year&gt;&lt;/dates&gt;&lt;pub-location&gt;London, UK&lt;/pub-location&gt;&lt;publisher&gt;SAGE Publications Ltd&lt;/publisher&gt;&lt;urls&gt;&lt;/urls&gt;&lt;/record&gt;&lt;/Cite&gt;&lt;/EndNote&gt;</w:instrText>
      </w:r>
      <w:r w:rsidR="00576234" w:rsidRPr="002C21B8">
        <w:fldChar w:fldCharType="separate"/>
      </w:r>
      <w:r w:rsidR="00CC62E8" w:rsidRPr="002C21B8">
        <w:rPr>
          <w:noProof/>
        </w:rPr>
        <w:t>Flick (2022)</w:t>
      </w:r>
      <w:r w:rsidR="00576234" w:rsidRPr="002C21B8">
        <w:fldChar w:fldCharType="end"/>
      </w:r>
      <w:r w:rsidR="00576234" w:rsidRPr="002C21B8">
        <w:t xml:space="preserve"> and </w:t>
      </w:r>
      <w:r w:rsidR="00576234" w:rsidRPr="002C21B8">
        <w:fldChar w:fldCharType="begin"/>
      </w:r>
      <w:r w:rsidR="00CC62E8" w:rsidRPr="002C21B8">
        <w:instrText xml:space="preserve"> ADDIN EN.CITE &lt;EndNote&gt;&lt;Cite AuthorYear="1"&gt;&lt;Author&gt;Mason&lt;/Author&gt;&lt;Year&gt;2017&lt;/Year&gt;&lt;RecNum&gt;124985&lt;/RecNum&gt;&lt;DisplayText&gt;Mason (2017)&lt;/DisplayText&gt;&lt;record&gt;&lt;rec-number&gt;124985&lt;/rec-number&gt;&lt;foreign-keys&gt;&lt;key app="EN" db-id="xpefzwa5hf9dt2ea9fax95x7xvxz90v09dtf" timestamp="1755630355"&gt;124985&lt;/key&gt;&lt;/foreign-keys&gt;&lt;ref-type name="Book"&gt;6&lt;/ref-type&gt;&lt;contributors&gt;&lt;authors&gt;&lt;author&gt;Mason, Jennifer&lt;/author&gt;&lt;/authors&gt;&lt;/contributors&gt;&lt;titles&gt;&lt;title&gt;Qualitative researching&lt;/title&gt;&lt;/titles&gt;&lt;section&gt;1-224&lt;/section&gt;&lt;dates&gt;&lt;year&gt;2017&lt;/year&gt;&lt;/dates&gt;&lt;pub-location&gt;London, UK&lt;/pub-location&gt;&lt;publisher&gt;SAGE Publications Ltd&lt;/publisher&gt;&lt;urls&gt;&lt;/urls&gt;&lt;/record&gt;&lt;/Cite&gt;&lt;/EndNote&gt;</w:instrText>
      </w:r>
      <w:r w:rsidR="00576234" w:rsidRPr="002C21B8">
        <w:fldChar w:fldCharType="separate"/>
      </w:r>
      <w:r w:rsidR="00CC62E8" w:rsidRPr="002C21B8">
        <w:rPr>
          <w:noProof/>
        </w:rPr>
        <w:t>Mason (2017)</w:t>
      </w:r>
      <w:r w:rsidR="00576234" w:rsidRPr="002C21B8">
        <w:fldChar w:fldCharType="end"/>
      </w:r>
      <w:r w:rsidR="002839E8" w:rsidRPr="002C21B8">
        <w:t xml:space="preserve">, </w:t>
      </w:r>
      <w:r w:rsidR="00576234" w:rsidRPr="002C21B8">
        <w:t>advocate for pilot or trial interviews</w:t>
      </w:r>
      <w:r w:rsidR="002839E8" w:rsidRPr="002C21B8">
        <w:t xml:space="preserve"> before</w:t>
      </w:r>
      <w:r w:rsidR="00576234" w:rsidRPr="002C21B8">
        <w:t xml:space="preserve"> formal data collection to ensure </w:t>
      </w:r>
      <w:r w:rsidR="001D3DA1" w:rsidRPr="002C21B8">
        <w:t xml:space="preserve">the </w:t>
      </w:r>
      <w:r w:rsidR="00576234" w:rsidRPr="002C21B8">
        <w:t xml:space="preserve">relevance </w:t>
      </w:r>
      <w:r w:rsidR="001D3DA1" w:rsidRPr="002C21B8">
        <w:t xml:space="preserve">of questions </w:t>
      </w:r>
      <w:r w:rsidR="00576234" w:rsidRPr="002C21B8">
        <w:t xml:space="preserve">and improve </w:t>
      </w:r>
      <w:r w:rsidR="001D3DA1" w:rsidRPr="002C21B8">
        <w:t xml:space="preserve">the overall </w:t>
      </w:r>
      <w:r w:rsidR="00576234" w:rsidRPr="002C21B8">
        <w:t>flow</w:t>
      </w:r>
      <w:r w:rsidR="001D3DA1" w:rsidRPr="002C21B8">
        <w:t xml:space="preserve"> of interviews</w:t>
      </w:r>
      <w:r w:rsidR="00576234" w:rsidRPr="002C21B8">
        <w:t>.</w:t>
      </w:r>
    </w:p>
    <w:p w14:paraId="2E8F747D" w14:textId="77777777" w:rsidR="00A371D7" w:rsidRPr="002C21B8" w:rsidRDefault="00A371D7" w:rsidP="00EE2AAD">
      <w:pPr>
        <w:spacing w:after="0"/>
        <w:rPr>
          <w:b/>
          <w:bCs/>
          <w:i/>
          <w:iCs/>
        </w:rPr>
      </w:pPr>
      <w:r w:rsidRPr="002C21B8">
        <w:rPr>
          <w:b/>
          <w:bCs/>
          <w:i/>
          <w:iCs/>
        </w:rPr>
        <w:t>Data collection</w:t>
      </w:r>
    </w:p>
    <w:p w14:paraId="5074BCD8" w14:textId="4684335A" w:rsidR="00A371D7" w:rsidRPr="002C21B8" w:rsidRDefault="00A371D7" w:rsidP="00A371D7">
      <w:r w:rsidRPr="002C21B8">
        <w:t>Most interviews took place face-to-face within the participating hospitals</w:t>
      </w:r>
      <w:r w:rsidR="009448FB" w:rsidRPr="002C21B8">
        <w:t xml:space="preserve"> </w:t>
      </w:r>
      <w:r w:rsidRPr="002C21B8">
        <w:t xml:space="preserve">in a </w:t>
      </w:r>
      <w:r w:rsidR="009448FB" w:rsidRPr="002C21B8">
        <w:t xml:space="preserve">neutral </w:t>
      </w:r>
      <w:r w:rsidRPr="002C21B8">
        <w:t xml:space="preserve">seminar or clinic room </w:t>
      </w:r>
      <w:r w:rsidR="009448FB" w:rsidRPr="002C21B8">
        <w:t xml:space="preserve">to </w:t>
      </w:r>
      <w:r w:rsidRPr="002C21B8">
        <w:t>ensur</w:t>
      </w:r>
      <w:r w:rsidR="005C09B8" w:rsidRPr="002C21B8">
        <w:t>e</w:t>
      </w:r>
      <w:r w:rsidRPr="002C21B8">
        <w:t xml:space="preserve"> a degree of privacy and minimis</w:t>
      </w:r>
      <w:r w:rsidR="00CC62E8" w:rsidRPr="002C21B8">
        <w:t>e</w:t>
      </w:r>
      <w:r w:rsidRPr="002C21B8">
        <w:t xml:space="preserve"> the risk of interruption. However, some staff preferred to be interviewed in their offices </w:t>
      </w:r>
      <w:r w:rsidR="009448FB" w:rsidRPr="002C21B8">
        <w:t>and on occasion</w:t>
      </w:r>
      <w:r w:rsidR="005C09B8" w:rsidRPr="002C21B8">
        <w:t>,</w:t>
      </w:r>
      <w:r w:rsidR="009448FB" w:rsidRPr="002C21B8">
        <w:t xml:space="preserve"> no </w:t>
      </w:r>
      <w:r w:rsidRPr="002C21B8">
        <w:t xml:space="preserve">alternative locations were available. </w:t>
      </w:r>
      <w:r w:rsidR="009448FB" w:rsidRPr="002C21B8">
        <w:t xml:space="preserve">A </w:t>
      </w:r>
      <w:r w:rsidRPr="002C21B8">
        <w:t>small number of interviews took place over Microsoft Teams</w:t>
      </w:r>
      <w:r w:rsidR="009448FB" w:rsidRPr="002C21B8">
        <w:t xml:space="preserve"> </w:t>
      </w:r>
      <w:r w:rsidRPr="002C21B8">
        <w:t xml:space="preserve">due to the availability of participants. </w:t>
      </w:r>
      <w:r w:rsidR="004D41ED" w:rsidRPr="002C21B8">
        <w:t>Interviews were audio</w:t>
      </w:r>
      <w:r w:rsidR="005C09B8" w:rsidRPr="002C21B8">
        <w:t>-</w:t>
      </w:r>
      <w:r w:rsidR="004D41ED" w:rsidRPr="002C21B8">
        <w:t xml:space="preserve">recorded using an encrypted handheld audio recorder. </w:t>
      </w:r>
      <w:r w:rsidRPr="002C21B8">
        <w:t>Following each interview, the audio recordings were transcribed by S</w:t>
      </w:r>
      <w:r w:rsidR="005D453A" w:rsidRPr="002C21B8">
        <w:t>c</w:t>
      </w:r>
      <w:r w:rsidRPr="002C21B8">
        <w:t>HARR transcription services and fieldnotes scanned.</w:t>
      </w:r>
      <w:r w:rsidR="004D41ED" w:rsidRPr="002C21B8">
        <w:t xml:space="preserve"> </w:t>
      </w:r>
      <w:r w:rsidRPr="002C21B8">
        <w:t xml:space="preserve">Instructions were provided to the transcription team to </w:t>
      </w:r>
      <w:r w:rsidR="00643E5C" w:rsidRPr="002C21B8">
        <w:t xml:space="preserve">ensure </w:t>
      </w:r>
      <w:r w:rsidRPr="002C21B8">
        <w:t xml:space="preserve">changes in tone, volume, gaps and other contextual noises </w:t>
      </w:r>
      <w:r w:rsidR="00643E5C" w:rsidRPr="002C21B8">
        <w:t>we</w:t>
      </w:r>
      <w:r w:rsidRPr="002C21B8">
        <w:t xml:space="preserve">re recorded. </w:t>
      </w:r>
      <w:r w:rsidR="00F567E4" w:rsidRPr="002C21B8">
        <w:t>All transcripts were anonymised and stored securely in line with the University of Sheffield</w:t>
      </w:r>
      <w:r w:rsidR="005C09B8" w:rsidRPr="002C21B8">
        <w:t>’s</w:t>
      </w:r>
      <w:r w:rsidR="00F567E4" w:rsidRPr="002C21B8">
        <w:t xml:space="preserve"> data governance procedures. </w:t>
      </w:r>
      <w:r w:rsidRPr="002C21B8">
        <w:t>Upon receiving the transcripts, they were reviewed to ensure accuracy before being formally</w:t>
      </w:r>
      <w:r w:rsidR="00643E5C" w:rsidRPr="002C21B8">
        <w:t xml:space="preserve"> analysed</w:t>
      </w:r>
      <w:r w:rsidRPr="002C21B8">
        <w:t>.</w:t>
      </w:r>
      <w:r w:rsidR="004D41ED" w:rsidRPr="002C21B8">
        <w:t xml:space="preserve"> Audio recordings were deleted from the audio recorder after transcription</w:t>
      </w:r>
      <w:r w:rsidR="00643E5C" w:rsidRPr="002C21B8">
        <w:t>s were returned</w:t>
      </w:r>
      <w:r w:rsidR="004D41ED" w:rsidRPr="002C21B8">
        <w:t>.</w:t>
      </w:r>
      <w:r w:rsidR="00637BAF" w:rsidRPr="002C21B8">
        <w:t xml:space="preserve"> Participants were not provided with a transcript of the interview </w:t>
      </w:r>
      <w:r w:rsidR="001127AE" w:rsidRPr="002C21B8">
        <w:t>as member checking was not undertaken</w:t>
      </w:r>
      <w:r w:rsidR="00063773" w:rsidRPr="002C21B8">
        <w:t>.</w:t>
      </w:r>
    </w:p>
    <w:p w14:paraId="4E2300C3" w14:textId="0CAF5760" w:rsidR="00A371D7" w:rsidRPr="002C21B8" w:rsidRDefault="00A927E0" w:rsidP="00A927E0">
      <w:r w:rsidRPr="002C21B8">
        <w:t>Handwritten f</w:t>
      </w:r>
      <w:r w:rsidR="00A371D7" w:rsidRPr="002C21B8">
        <w:t xml:space="preserve">ieldnotes were </w:t>
      </w:r>
      <w:r w:rsidRPr="002C21B8">
        <w:t xml:space="preserve">taken during the interviews to provide a descriptive account of events, context and key interactions. Key quotes were recorded verbatim. These were supplemented by analytic </w:t>
      </w:r>
      <w:r w:rsidR="0013099F" w:rsidRPr="002C21B8">
        <w:t>memos</w:t>
      </w:r>
      <w:r w:rsidRPr="002C21B8">
        <w:t xml:space="preserve"> that were written later on the same day to record early interpretative thinking, identif</w:t>
      </w:r>
      <w:r w:rsidR="0003244E" w:rsidRPr="002C21B8">
        <w:t>y</w:t>
      </w:r>
      <w:r w:rsidRPr="002C21B8">
        <w:t xml:space="preserve"> patterns and potential explanatory mechanisms. Reflexive </w:t>
      </w:r>
      <w:r w:rsidR="00E51A10" w:rsidRPr="002C21B8">
        <w:t xml:space="preserve">journal entries </w:t>
      </w:r>
      <w:r w:rsidRPr="002C21B8">
        <w:t>were added to the reflexive journal to</w:t>
      </w:r>
      <w:r w:rsidR="00F567E4" w:rsidRPr="002C21B8">
        <w:t xml:space="preserve"> document </w:t>
      </w:r>
      <w:r w:rsidRPr="002C21B8">
        <w:t xml:space="preserve">how my background may have </w:t>
      </w:r>
      <w:r w:rsidR="00F567E4" w:rsidRPr="002C21B8">
        <w:t>influence</w:t>
      </w:r>
      <w:r w:rsidRPr="002C21B8">
        <w:t>d</w:t>
      </w:r>
      <w:r w:rsidR="00F567E4" w:rsidRPr="002C21B8">
        <w:t xml:space="preserve"> </w:t>
      </w:r>
      <w:r w:rsidRPr="002C21B8">
        <w:t>data collection and interpretation.</w:t>
      </w:r>
    </w:p>
    <w:p w14:paraId="2FE126E9" w14:textId="2D194492" w:rsidR="00A371D7" w:rsidRPr="002C21B8" w:rsidRDefault="00A371D7" w:rsidP="00725EDE">
      <w:pPr>
        <w:spacing w:before="240" w:after="0"/>
        <w:rPr>
          <w:b/>
          <w:bCs/>
          <w:sz w:val="24"/>
          <w:szCs w:val="24"/>
        </w:rPr>
      </w:pPr>
      <w:r w:rsidRPr="002C21B8">
        <w:rPr>
          <w:b/>
          <w:bCs/>
          <w:sz w:val="24"/>
          <w:szCs w:val="24"/>
        </w:rPr>
        <w:t>Direct observations</w:t>
      </w:r>
    </w:p>
    <w:p w14:paraId="6B9E8BF6" w14:textId="7A3B5E37" w:rsidR="00A371D7" w:rsidRPr="002C21B8" w:rsidRDefault="00A371D7" w:rsidP="00A371D7">
      <w:r w:rsidRPr="002C21B8">
        <w:t>Non-participant observation</w:t>
      </w:r>
      <w:r w:rsidR="009448FB" w:rsidRPr="002C21B8">
        <w:t>s</w:t>
      </w:r>
      <w:r w:rsidRPr="002C21B8">
        <w:t xml:space="preserve"> were conducted to understand the interactions between </w:t>
      </w:r>
      <w:r w:rsidR="0049091E" w:rsidRPr="002C21B8">
        <w:t>clinicians</w:t>
      </w:r>
      <w:r w:rsidRPr="002C21B8">
        <w:t xml:space="preserve"> and patients within the setting where care is provided to people with ADPKD. </w:t>
      </w:r>
      <w:r w:rsidR="002A1BE9" w:rsidRPr="002C21B8">
        <w:t xml:space="preserve">Non-participant observations are those where observations are undertaken without actively participating in the activity </w:t>
      </w:r>
      <w:r w:rsidR="002A1BE9" w:rsidRPr="002C21B8">
        <w:fldChar w:fldCharType="begin"/>
      </w:r>
      <w:r w:rsidR="002A1BE9" w:rsidRPr="002C21B8">
        <w:instrText xml:space="preserve"> ADDIN EN.CITE &lt;EndNote&gt;&lt;Cite&gt;&lt;Author&gt;Williams&lt;/Author&gt;&lt;Year&gt;2008&lt;/Year&gt;&lt;RecNum&gt;125596&lt;/RecNum&gt;&lt;DisplayText&gt;(Williams, 2008)&lt;/DisplayText&gt;&lt;record&gt;&lt;rec-number&gt;125596&lt;/rec-number&gt;&lt;foreign-keys&gt;&lt;key app="EN" db-id="xpefzwa5hf9dt2ea9fax95x7xvxz90v09dtf" timestamp="1778748064"&gt;125596&lt;/key&gt;&lt;/foreign-keys&gt;&lt;ref-type name="Book Section"&gt;5&lt;/ref-type&gt;&lt;contributors&gt;&lt;authors&gt;&lt;author&gt;Williams, James Patrick&lt;/author&gt;&lt;/authors&gt;&lt;/contributors&gt;&lt;titles&gt;&lt;title&gt;Non-participant observation&lt;/title&gt;&lt;/titles&gt;&lt;dates&gt;&lt;year&gt;2008&lt;/year&gt;&lt;/dates&gt;&lt;pub-location&gt;Thousand Oaks, California, USA&lt;/pub-location&gt;&lt;publisher&gt;SAGE Publications Ltd&lt;/publisher&gt;&lt;isbn&gt;1412941636&lt;/isbn&gt;&lt;urls&gt;&lt;/urls&gt;&lt;/record&gt;&lt;/Cite&gt;&lt;/EndNote&gt;</w:instrText>
      </w:r>
      <w:r w:rsidR="002A1BE9" w:rsidRPr="002C21B8">
        <w:fldChar w:fldCharType="separate"/>
      </w:r>
      <w:r w:rsidR="002A1BE9" w:rsidRPr="002C21B8">
        <w:rPr>
          <w:noProof/>
        </w:rPr>
        <w:t>(Williams, 2008)</w:t>
      </w:r>
      <w:r w:rsidR="002A1BE9" w:rsidRPr="002C21B8">
        <w:fldChar w:fldCharType="end"/>
      </w:r>
      <w:r w:rsidR="002A1BE9" w:rsidRPr="002C21B8">
        <w:t xml:space="preserve">. </w:t>
      </w:r>
      <w:r w:rsidR="009448FB" w:rsidRPr="002C21B8">
        <w:t xml:space="preserve">Non-participant observation was chosen to minimise my influence on clinical interactions and to </w:t>
      </w:r>
      <w:r w:rsidR="008F3997" w:rsidRPr="002C21B8">
        <w:t>observe</w:t>
      </w:r>
      <w:r w:rsidR="009448FB" w:rsidRPr="002C21B8">
        <w:t xml:space="preserve"> routine clinical practice in its natural context.</w:t>
      </w:r>
      <w:r w:rsidR="002A1BE9" w:rsidRPr="002C21B8">
        <w:t xml:space="preserve"> The primary aim of this was to enable comparison with interview findings.</w:t>
      </w:r>
    </w:p>
    <w:p w14:paraId="3C6C5BF8" w14:textId="77777777" w:rsidR="00A371D7" w:rsidRPr="002C21B8" w:rsidRDefault="00A371D7" w:rsidP="00EE2AAD">
      <w:pPr>
        <w:spacing w:after="0"/>
        <w:rPr>
          <w:b/>
          <w:bCs/>
          <w:i/>
          <w:iCs/>
        </w:rPr>
      </w:pPr>
      <w:r w:rsidRPr="002C21B8">
        <w:rPr>
          <w:b/>
          <w:bCs/>
          <w:i/>
          <w:iCs/>
        </w:rPr>
        <w:t>Sampling strategy</w:t>
      </w:r>
    </w:p>
    <w:p w14:paraId="24111FD3" w14:textId="2AAB261C" w:rsidR="00A371D7" w:rsidRPr="002C21B8" w:rsidRDefault="00A371D7" w:rsidP="00A371D7">
      <w:r w:rsidRPr="002C21B8">
        <w:t xml:space="preserve">Visits for the direct observations were scheduled according to each site’s clinic schedule. The sampling strategy involved the local collaborator reviewing patient lists to identify suitable appointments for observation. People with ADPKD were flagged, and those meeting eligibility criteria for tolvaptan were prioritised to ensure that the observations </w:t>
      </w:r>
      <w:r w:rsidR="008F3997" w:rsidRPr="002C21B8">
        <w:t>include</w:t>
      </w:r>
      <w:r w:rsidRPr="002C21B8">
        <w:t>d the most relevant clinical interactions and decision-making processes.</w:t>
      </w:r>
    </w:p>
    <w:p w14:paraId="3FFE9641" w14:textId="77777777" w:rsidR="00A371D7" w:rsidRPr="002C21B8" w:rsidRDefault="00A371D7" w:rsidP="00EE2AAD">
      <w:pPr>
        <w:spacing w:after="0"/>
        <w:rPr>
          <w:b/>
          <w:bCs/>
          <w:i/>
          <w:iCs/>
        </w:rPr>
      </w:pPr>
      <w:r w:rsidRPr="002C21B8">
        <w:rPr>
          <w:b/>
          <w:bCs/>
          <w:i/>
          <w:iCs/>
        </w:rPr>
        <w:t>Recruitment procedure</w:t>
      </w:r>
    </w:p>
    <w:p w14:paraId="715DC490" w14:textId="09C1BCCD" w:rsidR="006A2C89" w:rsidRPr="002C21B8" w:rsidRDefault="00265468" w:rsidP="00A371D7">
      <w:r w:rsidRPr="002C21B8">
        <w:t>Clinician</w:t>
      </w:r>
      <w:r w:rsidR="00A371D7" w:rsidRPr="002C21B8">
        <w:t xml:space="preserve">s conducting the appointments were those </w:t>
      </w:r>
      <w:r w:rsidR="002E1958" w:rsidRPr="002C21B8">
        <w:t>who had</w:t>
      </w:r>
      <w:r w:rsidR="00A371D7" w:rsidRPr="002C21B8">
        <w:t xml:space="preserve"> participated in the interviews</w:t>
      </w:r>
      <w:r w:rsidR="002E1958" w:rsidRPr="002C21B8">
        <w:t>,</w:t>
      </w:r>
      <w:r w:rsidR="00A371D7" w:rsidRPr="002C21B8">
        <w:t xml:space="preserve"> so</w:t>
      </w:r>
      <w:r w:rsidR="002E1958" w:rsidRPr="002C21B8">
        <w:t xml:space="preserve"> they</w:t>
      </w:r>
      <w:r w:rsidR="00A371D7" w:rsidRPr="002C21B8">
        <w:t xml:space="preserve"> had already been consented </w:t>
      </w:r>
      <w:r w:rsidR="0032047F" w:rsidRPr="002C21B8">
        <w:t>to</w:t>
      </w:r>
      <w:r w:rsidR="00A371D7" w:rsidRPr="002C21B8">
        <w:t xml:space="preserve"> their participation. People with ADPKD attending the clinic were sent an introductory letter and patient information sheet 1</w:t>
      </w:r>
      <w:r w:rsidR="00633656" w:rsidRPr="002C21B8">
        <w:t>–</w:t>
      </w:r>
      <w:r w:rsidR="00A371D7" w:rsidRPr="002C21B8">
        <w:t xml:space="preserve">2 weeks before their appointment. This was sent via post by research nurses or administrative staff at the kidney </w:t>
      </w:r>
      <w:r w:rsidR="006A2C89" w:rsidRPr="002C21B8">
        <w:t>centre</w:t>
      </w:r>
      <w:r w:rsidR="00A371D7" w:rsidRPr="002C21B8">
        <w:t>.</w:t>
      </w:r>
      <w:r w:rsidR="00637BAF" w:rsidRPr="002C21B8">
        <w:t xml:space="preserve"> Patients were consented immediately </w:t>
      </w:r>
      <w:r w:rsidR="006A2C89" w:rsidRPr="002C21B8">
        <w:t>before</w:t>
      </w:r>
      <w:r w:rsidR="00637BAF" w:rsidRPr="002C21B8">
        <w:t xml:space="preserve"> their appointment</w:t>
      </w:r>
      <w:r w:rsidR="00C952C1" w:rsidRPr="002C21B8">
        <w:t>. I</w:t>
      </w:r>
      <w:r w:rsidR="00637BAF" w:rsidRPr="002C21B8">
        <w:t>n the case of the telephone clinic</w:t>
      </w:r>
      <w:r w:rsidR="00233A79" w:rsidRPr="002C21B8">
        <w:t>,</w:t>
      </w:r>
      <w:r w:rsidR="00637BAF" w:rsidRPr="002C21B8">
        <w:t xml:space="preserve"> th</w:t>
      </w:r>
      <w:r w:rsidR="00233A79" w:rsidRPr="002C21B8">
        <w:t>is</w:t>
      </w:r>
      <w:r w:rsidR="00637BAF" w:rsidRPr="002C21B8">
        <w:t xml:space="preserve"> patient</w:t>
      </w:r>
      <w:r w:rsidR="00D637DA" w:rsidRPr="002C21B8">
        <w:t xml:space="preserve"> </w:t>
      </w:r>
      <w:r w:rsidR="00637BAF" w:rsidRPr="002C21B8">
        <w:t>w</w:t>
      </w:r>
      <w:r w:rsidR="00D637DA" w:rsidRPr="002C21B8">
        <w:t>as</w:t>
      </w:r>
      <w:r w:rsidR="00637BAF" w:rsidRPr="002C21B8">
        <w:t xml:space="preserve"> sent a copy of the consent form</w:t>
      </w:r>
      <w:r w:rsidR="007D6AF7" w:rsidRPr="002C21B8">
        <w:t>,</w:t>
      </w:r>
      <w:r w:rsidR="00637BAF" w:rsidRPr="002C21B8">
        <w:t xml:space="preserve"> and this was completed over the phone</w:t>
      </w:r>
      <w:r w:rsidR="005C3553" w:rsidRPr="002C21B8">
        <w:t>. The signed consent form was</w:t>
      </w:r>
      <w:r w:rsidR="00D637DA" w:rsidRPr="002C21B8">
        <w:t xml:space="preserve"> then returned to the </w:t>
      </w:r>
      <w:r w:rsidR="00CB3DBD" w:rsidRPr="002C21B8">
        <w:t>case</w:t>
      </w:r>
      <w:r w:rsidR="008D1B3D" w:rsidRPr="002C21B8">
        <w:t xml:space="preserve"> </w:t>
      </w:r>
      <w:r w:rsidR="008E246B" w:rsidRPr="002C21B8">
        <w:t>via the post using a provided</w:t>
      </w:r>
      <w:r w:rsidR="008D1B3D" w:rsidRPr="002C21B8">
        <w:t xml:space="preserve"> envelope with a pre-paid stamp</w:t>
      </w:r>
      <w:r w:rsidR="00D637DA" w:rsidRPr="002C21B8">
        <w:t>.</w:t>
      </w:r>
    </w:p>
    <w:p w14:paraId="61BAC230" w14:textId="77777777" w:rsidR="008D1B3D" w:rsidRPr="002C21B8" w:rsidRDefault="008D1B3D" w:rsidP="00A371D7"/>
    <w:p w14:paraId="4AE58C87" w14:textId="77777777" w:rsidR="008D1B3D" w:rsidRPr="002C21B8" w:rsidRDefault="008D1B3D" w:rsidP="00A371D7"/>
    <w:p w14:paraId="67903524" w14:textId="77777777" w:rsidR="00A371D7" w:rsidRPr="002C21B8" w:rsidRDefault="00A371D7" w:rsidP="00EE2AAD">
      <w:pPr>
        <w:spacing w:after="0"/>
        <w:rPr>
          <w:b/>
          <w:bCs/>
          <w:i/>
          <w:iCs/>
        </w:rPr>
      </w:pPr>
      <w:r w:rsidRPr="002C21B8">
        <w:rPr>
          <w:b/>
          <w:bCs/>
          <w:i/>
          <w:iCs/>
        </w:rPr>
        <w:t>Sample size</w:t>
      </w:r>
    </w:p>
    <w:p w14:paraId="2253A04A" w14:textId="19AB09A3" w:rsidR="00A371D7" w:rsidRPr="002C21B8" w:rsidRDefault="00A371D7" w:rsidP="00637BAF">
      <w:r w:rsidRPr="002C21B8">
        <w:t xml:space="preserve">Direct observations were planned </w:t>
      </w:r>
      <w:r w:rsidR="008F3997" w:rsidRPr="002C21B8">
        <w:t>for</w:t>
      </w:r>
      <w:r w:rsidRPr="002C21B8">
        <w:t xml:space="preserve"> 5</w:t>
      </w:r>
      <w:r w:rsidR="004617FA" w:rsidRPr="002C21B8">
        <w:t>–</w:t>
      </w:r>
      <w:r w:rsidRPr="002C21B8">
        <w:t>10 clinic appointments per case</w:t>
      </w:r>
      <w:r w:rsidR="00B5300B" w:rsidRPr="002C21B8">
        <w:t>,</w:t>
      </w:r>
      <w:r w:rsidRPr="002C21B8">
        <w:t xml:space="preserve"> </w:t>
      </w:r>
      <w:r w:rsidR="00085E4F" w:rsidRPr="002C21B8">
        <w:t xml:space="preserve">as this was determined </w:t>
      </w:r>
      <w:r w:rsidRPr="002C21B8">
        <w:t>to provide sufficient breadth</w:t>
      </w:r>
      <w:r w:rsidR="00085E4F" w:rsidRPr="002C21B8">
        <w:t xml:space="preserve"> whilst remaining </w:t>
      </w:r>
      <w:r w:rsidR="004617FA" w:rsidRPr="002C21B8">
        <w:t>feasible</w:t>
      </w:r>
      <w:r w:rsidR="00085E4F" w:rsidRPr="002C21B8">
        <w:t xml:space="preserve"> within the constraints of a Doctoral Fellowship</w:t>
      </w:r>
      <w:r w:rsidRPr="002C21B8">
        <w:t xml:space="preserve">. For </w:t>
      </w:r>
      <w:r w:rsidR="008A0EB1" w:rsidRPr="002C21B8">
        <w:t>Ca</w:t>
      </w:r>
      <w:r w:rsidRPr="002C21B8">
        <w:t>ses 1 and 2</w:t>
      </w:r>
      <w:r w:rsidR="008A0EB1" w:rsidRPr="002C21B8">
        <w:t>,</w:t>
      </w:r>
      <w:r w:rsidRPr="002C21B8">
        <w:t xml:space="preserve"> the observations were conducted face-to-face</w:t>
      </w:r>
      <w:r w:rsidR="00637BAF" w:rsidRPr="002C21B8">
        <w:t xml:space="preserve">. However, </w:t>
      </w:r>
      <w:r w:rsidR="008A0EB1" w:rsidRPr="002C21B8">
        <w:t>C</w:t>
      </w:r>
      <w:r w:rsidRPr="002C21B8">
        <w:t xml:space="preserve">ase 3 </w:t>
      </w:r>
      <w:r w:rsidR="008A0EB1" w:rsidRPr="002C21B8">
        <w:t xml:space="preserve">only conducted </w:t>
      </w:r>
      <w:r w:rsidRPr="002C21B8">
        <w:t xml:space="preserve">the clinic </w:t>
      </w:r>
      <w:r w:rsidR="008A0EB1" w:rsidRPr="002C21B8">
        <w:t>over</w:t>
      </w:r>
      <w:r w:rsidR="00B5300B" w:rsidRPr="002C21B8">
        <w:t xml:space="preserve"> the</w:t>
      </w:r>
      <w:r w:rsidR="00637BAF" w:rsidRPr="002C21B8">
        <w:t xml:space="preserve"> telephone</w:t>
      </w:r>
      <w:r w:rsidR="007E6FAD" w:rsidRPr="002C21B8">
        <w:t>,</w:t>
      </w:r>
      <w:r w:rsidR="00637BAF" w:rsidRPr="002C21B8">
        <w:t xml:space="preserve"> so </w:t>
      </w:r>
      <w:r w:rsidR="007E6FAD" w:rsidRPr="002C21B8">
        <w:t xml:space="preserve">the </w:t>
      </w:r>
      <w:r w:rsidR="00637BAF" w:rsidRPr="002C21B8">
        <w:t>observation w</w:t>
      </w:r>
      <w:r w:rsidR="007E6FAD" w:rsidRPr="002C21B8">
        <w:t>as</w:t>
      </w:r>
      <w:r w:rsidR="00637BAF" w:rsidRPr="002C21B8">
        <w:t xml:space="preserve"> undertaken in</w:t>
      </w:r>
      <w:r w:rsidR="008A0EB1" w:rsidRPr="002C21B8">
        <w:t>-</w:t>
      </w:r>
      <w:r w:rsidR="00637BAF" w:rsidRPr="002C21B8">
        <w:t xml:space="preserve">person </w:t>
      </w:r>
      <w:r w:rsidR="008A0EB1" w:rsidRPr="002C21B8">
        <w:t xml:space="preserve">with the patient on </w:t>
      </w:r>
      <w:r w:rsidR="00637BAF" w:rsidRPr="002C21B8">
        <w:t>speakerphone.</w:t>
      </w:r>
    </w:p>
    <w:p w14:paraId="7D38F42C" w14:textId="77777777" w:rsidR="00A371D7" w:rsidRPr="002C21B8" w:rsidRDefault="00A371D7" w:rsidP="00EE2AAD">
      <w:pPr>
        <w:spacing w:after="0"/>
        <w:rPr>
          <w:b/>
          <w:bCs/>
          <w:i/>
          <w:iCs/>
        </w:rPr>
      </w:pPr>
      <w:r w:rsidRPr="002C21B8">
        <w:rPr>
          <w:b/>
          <w:bCs/>
          <w:i/>
          <w:iCs/>
        </w:rPr>
        <w:t>Data collection</w:t>
      </w:r>
    </w:p>
    <w:p w14:paraId="0CFC2C28" w14:textId="0BCA880C" w:rsidR="00A371D7" w:rsidRPr="002C21B8" w:rsidRDefault="00A371D7" w:rsidP="00637BAF">
      <w:r w:rsidRPr="002C21B8">
        <w:t xml:space="preserve">Both face-to-face and telephone observations were recorded using an encrypted handheld audio recorder. </w:t>
      </w:r>
      <w:r w:rsidR="00637BAF" w:rsidRPr="002C21B8">
        <w:t xml:space="preserve">Observation transcripts and fieldnotes were processed as described in the interviews section. </w:t>
      </w:r>
      <w:r w:rsidR="00C073C5" w:rsidRPr="002C21B8">
        <w:t xml:space="preserve">Similar analytic </w:t>
      </w:r>
      <w:r w:rsidR="004656F5" w:rsidRPr="002C21B8">
        <w:t xml:space="preserve">memos </w:t>
      </w:r>
      <w:r w:rsidR="00C073C5" w:rsidRPr="002C21B8">
        <w:t xml:space="preserve">and reflexive </w:t>
      </w:r>
      <w:r w:rsidR="004656F5" w:rsidRPr="002C21B8">
        <w:t>journal entries</w:t>
      </w:r>
      <w:r w:rsidR="00C073C5" w:rsidRPr="002C21B8">
        <w:t xml:space="preserve"> were made after data was collected. </w:t>
      </w:r>
      <w:r w:rsidR="00637BAF" w:rsidRPr="002C21B8">
        <w:t xml:space="preserve">Following each observation, a brief discussion was held with the </w:t>
      </w:r>
      <w:r w:rsidR="00D637DA" w:rsidRPr="002C21B8">
        <w:t>clinician</w:t>
      </w:r>
      <w:r w:rsidR="00637BAF" w:rsidRPr="002C21B8">
        <w:t xml:space="preserve"> </w:t>
      </w:r>
      <w:r w:rsidR="00C073C5" w:rsidRPr="002C21B8">
        <w:t xml:space="preserve">to </w:t>
      </w:r>
      <w:r w:rsidR="00637BAF" w:rsidRPr="002C21B8">
        <w:t>clarify my interpretation of events and address any questions that had arisen during the observation.</w:t>
      </w:r>
    </w:p>
    <w:p w14:paraId="4136AADC" w14:textId="02EB150D" w:rsidR="00A371D7" w:rsidRPr="002C21B8" w:rsidRDefault="00A371D7" w:rsidP="007E6FAD">
      <w:pPr>
        <w:spacing w:before="240" w:after="0"/>
        <w:rPr>
          <w:b/>
          <w:bCs/>
          <w:sz w:val="24"/>
          <w:szCs w:val="24"/>
        </w:rPr>
      </w:pPr>
      <w:r w:rsidRPr="002C21B8">
        <w:rPr>
          <w:b/>
          <w:bCs/>
          <w:sz w:val="24"/>
          <w:szCs w:val="24"/>
        </w:rPr>
        <w:t>Document analysis</w:t>
      </w:r>
    </w:p>
    <w:p w14:paraId="694599D4" w14:textId="4C6EF6EA" w:rsidR="00A371D7" w:rsidRPr="002C21B8" w:rsidRDefault="008A0EB1" w:rsidP="00A371D7">
      <w:r w:rsidRPr="002C21B8">
        <w:t>Organisational documents</w:t>
      </w:r>
      <w:r w:rsidR="00A371D7" w:rsidRPr="002C21B8">
        <w:t xml:space="preserve"> relat</w:t>
      </w:r>
      <w:r w:rsidRPr="002C21B8">
        <w:t xml:space="preserve">ed </w:t>
      </w:r>
      <w:r w:rsidR="00A371D7" w:rsidRPr="002C21B8">
        <w:t>to the prescri</w:t>
      </w:r>
      <w:r w:rsidRPr="002C21B8">
        <w:t>ption</w:t>
      </w:r>
      <w:r w:rsidR="00A371D7" w:rsidRPr="002C21B8">
        <w:t xml:space="preserve"> of tolvaptan w</w:t>
      </w:r>
      <w:r w:rsidRPr="002C21B8">
        <w:t>ere</w:t>
      </w:r>
      <w:r w:rsidR="00A371D7" w:rsidRPr="002C21B8">
        <w:t xml:space="preserve"> collected from each case site. </w:t>
      </w:r>
      <w:r w:rsidR="007F2735" w:rsidRPr="002C21B8">
        <w:t>P</w:t>
      </w:r>
      <w:r w:rsidR="00A371D7" w:rsidRPr="002C21B8">
        <w:t xml:space="preserve">urposive sampling was undertaken </w:t>
      </w:r>
      <w:r w:rsidR="006104A9" w:rsidRPr="002C21B8">
        <w:t xml:space="preserve">with specific </w:t>
      </w:r>
      <w:r w:rsidR="00A371D7" w:rsidRPr="002C21B8">
        <w:t>documents</w:t>
      </w:r>
      <w:r w:rsidR="006104A9" w:rsidRPr="002C21B8">
        <w:t xml:space="preserve"> for the analysis</w:t>
      </w:r>
      <w:r w:rsidR="00E27B35" w:rsidRPr="002C21B8">
        <w:t>,</w:t>
      </w:r>
      <w:r w:rsidR="006104A9" w:rsidRPr="002C21B8">
        <w:t xml:space="preserve"> including standard operating procedures, local guidelines and patient information leaflets. The local collaborator at each case was asked to provide these</w:t>
      </w:r>
      <w:r w:rsidR="00A371D7" w:rsidRPr="002C21B8">
        <w:t xml:space="preserve"> documents</w:t>
      </w:r>
      <w:r w:rsidR="00E27B35" w:rsidRPr="002C21B8">
        <w:t xml:space="preserve">, </w:t>
      </w:r>
      <w:r w:rsidR="006104A9" w:rsidRPr="002C21B8">
        <w:t xml:space="preserve">as they </w:t>
      </w:r>
      <w:r w:rsidR="00A371D7" w:rsidRPr="002C21B8">
        <w:t>are not readily available to the general public</w:t>
      </w:r>
      <w:r w:rsidR="006104A9" w:rsidRPr="002C21B8">
        <w:t xml:space="preserve">. </w:t>
      </w:r>
      <w:r w:rsidR="00A371D7" w:rsidRPr="002C21B8">
        <w:t xml:space="preserve">All documents were anonymised to prevent identification of the </w:t>
      </w:r>
      <w:r w:rsidR="006104A9" w:rsidRPr="002C21B8">
        <w:t xml:space="preserve">case </w:t>
      </w:r>
      <w:r w:rsidR="00A371D7" w:rsidRPr="002C21B8">
        <w:t>and scanned</w:t>
      </w:r>
      <w:r w:rsidR="006104A9" w:rsidRPr="002C21B8">
        <w:t xml:space="preserve"> before being uploaded to NVivo 15</w:t>
      </w:r>
      <w:r w:rsidR="00A371D7" w:rsidRPr="002C21B8">
        <w:t>. Hard copies were stored securely in a locked filing cabinet.</w:t>
      </w:r>
    </w:p>
    <w:p w14:paraId="05F9F997" w14:textId="77777777" w:rsidR="005F7E40" w:rsidRPr="002C21B8" w:rsidRDefault="005F7E40" w:rsidP="005F7E40">
      <w:pPr>
        <w:spacing w:before="240" w:after="0"/>
        <w:rPr>
          <w:b/>
          <w:bCs/>
          <w:sz w:val="24"/>
          <w:szCs w:val="24"/>
        </w:rPr>
      </w:pPr>
      <w:r w:rsidRPr="002C21B8">
        <w:rPr>
          <w:b/>
          <w:bCs/>
          <w:sz w:val="24"/>
          <w:szCs w:val="24"/>
        </w:rPr>
        <w:t>Conceptual sufficiency</w:t>
      </w:r>
    </w:p>
    <w:p w14:paraId="7D789B20" w14:textId="4771C6F6" w:rsidR="00461DE4" w:rsidRPr="002C21B8" w:rsidRDefault="00860F96" w:rsidP="00630814">
      <w:r w:rsidRPr="002C21B8">
        <w:t>The</w:t>
      </w:r>
      <w:r w:rsidR="00630814" w:rsidRPr="002C21B8">
        <w:t xml:space="preserve"> pragmatic approach of conceptual sufficiency was adopted rather than see</w:t>
      </w:r>
      <w:r w:rsidRPr="002C21B8">
        <w:t>k</w:t>
      </w:r>
      <w:r w:rsidR="00630814" w:rsidRPr="002C21B8">
        <w:t xml:space="preserve">ing traditional data saturation. Given the limited number of </w:t>
      </w:r>
      <w:r w:rsidR="00CA484B" w:rsidRPr="002C21B8">
        <w:t>clinicians</w:t>
      </w:r>
      <w:r w:rsidR="00630814" w:rsidRPr="002C21B8">
        <w:t xml:space="preserve"> available at each site, the aim was to achieve sufficient depth and diversity of perspectives to support explanatory analysis. </w:t>
      </w:r>
      <w:r w:rsidR="007E2AAE" w:rsidRPr="002C21B8">
        <w:t>T</w:t>
      </w:r>
      <w:r w:rsidR="00630814" w:rsidRPr="002C21B8">
        <w:t xml:space="preserve">his involved all </w:t>
      </w:r>
      <w:r w:rsidR="00CA484B" w:rsidRPr="002C21B8">
        <w:t>clinician</w:t>
      </w:r>
      <w:r w:rsidR="00630814" w:rsidRPr="002C21B8">
        <w:t xml:space="preserve">s directly involved in the management of people with ADPKD at the centre </w:t>
      </w:r>
      <w:r w:rsidR="004B586E" w:rsidRPr="002C21B8">
        <w:t xml:space="preserve">due to the small size </w:t>
      </w:r>
      <w:r w:rsidR="009C33ED" w:rsidRPr="002C21B8">
        <w:t xml:space="preserve">of the healthcare </w:t>
      </w:r>
      <w:r w:rsidR="004B586E" w:rsidRPr="002C21B8">
        <w:t>team</w:t>
      </w:r>
      <w:r w:rsidR="009C33ED" w:rsidRPr="002C21B8">
        <w:t>s</w:t>
      </w:r>
      <w:r w:rsidR="00FE1C4B" w:rsidRPr="002C21B8">
        <w:t xml:space="preserve">. It was also </w:t>
      </w:r>
      <w:r w:rsidR="00630814" w:rsidRPr="002C21B8">
        <w:t xml:space="preserve">extended to </w:t>
      </w:r>
      <w:r w:rsidR="00CA484B" w:rsidRPr="002C21B8">
        <w:t>clinicians</w:t>
      </w:r>
      <w:r w:rsidR="00630814" w:rsidRPr="002C21B8">
        <w:t xml:space="preserve"> indirectly involved</w:t>
      </w:r>
      <w:r w:rsidR="00FE1C4B" w:rsidRPr="002C21B8">
        <w:t xml:space="preserve"> in tolvaptan prescribing</w:t>
      </w:r>
      <w:r w:rsidR="008B4725" w:rsidRPr="002C21B8">
        <w:t xml:space="preserve"> in general nephrology clinics</w:t>
      </w:r>
      <w:r w:rsidR="00DE6412" w:rsidRPr="002C21B8">
        <w:t>,</w:t>
      </w:r>
      <w:r w:rsidR="008B4725" w:rsidRPr="002C21B8">
        <w:t xml:space="preserve"> where appropriate</w:t>
      </w:r>
      <w:r w:rsidR="00630814" w:rsidRPr="002C21B8">
        <w:t xml:space="preserve">. Data collection focused on ensuring that the </w:t>
      </w:r>
      <w:r w:rsidR="007D1A20" w:rsidRPr="002C21B8">
        <w:t>developing</w:t>
      </w:r>
      <w:r w:rsidR="00630814" w:rsidRPr="002C21B8">
        <w:t xml:space="preserve"> explanatory model </w:t>
      </w:r>
      <w:r w:rsidR="00936823" w:rsidRPr="002C21B8">
        <w:t xml:space="preserve">was able to </w:t>
      </w:r>
      <w:r w:rsidR="00630814" w:rsidRPr="002C21B8">
        <w:t xml:space="preserve">explain </w:t>
      </w:r>
      <w:r w:rsidR="00936823" w:rsidRPr="002C21B8">
        <w:t xml:space="preserve">the </w:t>
      </w:r>
      <w:r w:rsidR="00630814" w:rsidRPr="002C21B8">
        <w:t xml:space="preserve">mechanisms underlying variation. This approach prioritised conceptual rigour and theoretical completeness over exhaustive data collection </w:t>
      </w:r>
      <w:r w:rsidR="005F7E40" w:rsidRPr="002C21B8">
        <w:fldChar w:fldCharType="begin"/>
      </w:r>
      <w:r w:rsidR="005F7E40" w:rsidRPr="002C21B8">
        <w:instrText xml:space="preserve"> ADDIN EN.CITE &lt;EndNote&gt;&lt;Cite&gt;&lt;Author&gt;Low&lt;/Author&gt;&lt;Year&gt;2019&lt;/Year&gt;&lt;RecNum&gt;5556&lt;/RecNum&gt;&lt;DisplayText&gt;(Low, 2019)&lt;/DisplayText&gt;&lt;record&gt;&lt;rec-number&gt;5556&lt;/rec-number&gt;&lt;foreign-keys&gt;&lt;key app="EN" db-id="xpefzwa5hf9dt2ea9fax95x7xvxz90v09dtf" timestamp="1708081203"&gt;5556&lt;/key&gt;&lt;/foreign-keys&gt;&lt;ref-type name="Journal Article"&gt;17&lt;/ref-type&gt;&lt;contributors&gt;&lt;authors&gt;&lt;author&gt;Low, Jacqueline&lt;/author&gt;&lt;/authors&gt;&lt;/contributors&gt;&lt;titles&gt;&lt;title&gt;A pragmatic definition of the concept of theoretical saturation&lt;/title&gt;&lt;secondary-title&gt;Sociological Focus&lt;/secondary-title&gt;&lt;/titles&gt;&lt;periodical&gt;&lt;full-title&gt;Sociological Focus&lt;/full-title&gt;&lt;/periodical&gt;&lt;pages&gt;131-139&lt;/pages&gt;&lt;volume&gt;52&lt;/volume&gt;&lt;number&gt;2&lt;/number&gt;&lt;dates&gt;&lt;year&gt;2019&lt;/year&gt;&lt;/dates&gt;&lt;isbn&gt;0038-0237&lt;/isbn&gt;&lt;urls&gt;&lt;/urls&gt;&lt;/record&gt;&lt;/Cite&gt;&lt;/EndNote&gt;</w:instrText>
      </w:r>
      <w:r w:rsidR="005F7E40" w:rsidRPr="002C21B8">
        <w:fldChar w:fldCharType="separate"/>
      </w:r>
      <w:r w:rsidR="005F7E40" w:rsidRPr="002C21B8">
        <w:t>(Low, 2019)</w:t>
      </w:r>
      <w:r w:rsidR="005F7E40" w:rsidRPr="002C21B8">
        <w:fldChar w:fldCharType="end"/>
      </w:r>
      <w:r w:rsidR="005F7E40" w:rsidRPr="002C21B8">
        <w:t>.</w:t>
      </w:r>
    </w:p>
    <w:p w14:paraId="2AD5A8C9" w14:textId="77777777" w:rsidR="00936823" w:rsidRPr="002C21B8" w:rsidRDefault="00936823">
      <w:pPr>
        <w:spacing w:after="0" w:line="240" w:lineRule="auto"/>
        <w:jc w:val="left"/>
        <w:rPr>
          <w:rFonts w:eastAsiaTheme="majorEastAsia"/>
          <w:b/>
          <w:bCs/>
          <w:color w:val="000000" w:themeColor="text1"/>
          <w:sz w:val="28"/>
          <w:szCs w:val="28"/>
        </w:rPr>
      </w:pPr>
      <w:r w:rsidRPr="002C21B8">
        <w:br w:type="page"/>
      </w:r>
    </w:p>
    <w:p w14:paraId="2E2B470A" w14:textId="7055E8EC" w:rsidR="00A371D7" w:rsidRPr="002C21B8" w:rsidRDefault="00A371D7" w:rsidP="004507C8">
      <w:pPr>
        <w:pStyle w:val="Heading3"/>
        <w:numPr>
          <w:ilvl w:val="0"/>
          <w:numId w:val="0"/>
        </w:numPr>
      </w:pPr>
      <w:r w:rsidRPr="002C21B8">
        <w:t>Data Analysis</w:t>
      </w:r>
    </w:p>
    <w:p w14:paraId="6D32F382" w14:textId="3787E07C" w:rsidR="006A47F9" w:rsidRPr="002C21B8" w:rsidRDefault="00A371D7" w:rsidP="00A371D7">
      <w:r w:rsidRPr="002C21B8">
        <w:t xml:space="preserve">As mentioned above, data analysis occurred in parallel with data collection, and results of the analysis </w:t>
      </w:r>
      <w:r w:rsidR="008A25B4" w:rsidRPr="002C21B8">
        <w:t>being</w:t>
      </w:r>
      <w:r w:rsidRPr="002C21B8">
        <w:t xml:space="preserve"> used to further refine data collection. Interview transcripts, observation fieldnotes, and relevant documents were manag</w:t>
      </w:r>
      <w:r w:rsidR="00CD013D" w:rsidRPr="002C21B8">
        <w:t>ed</w:t>
      </w:r>
      <w:r w:rsidRPr="002C21B8">
        <w:t xml:space="preserve"> in </w:t>
      </w:r>
      <w:r w:rsidR="00630814" w:rsidRPr="002C21B8">
        <w:t xml:space="preserve">NVivo software (Lumivero, Version 15) </w:t>
      </w:r>
      <w:r w:rsidRPr="002C21B8">
        <w:t xml:space="preserve">and analysed using </w:t>
      </w:r>
      <w:r w:rsidR="00965EFB" w:rsidRPr="002C21B8">
        <w:t xml:space="preserve">the </w:t>
      </w:r>
      <w:r w:rsidR="00E82840" w:rsidRPr="002C21B8">
        <w:t>F</w:t>
      </w:r>
      <w:r w:rsidR="00965EFB" w:rsidRPr="002C21B8">
        <w:t xml:space="preserve">ramework </w:t>
      </w:r>
      <w:r w:rsidR="00E82840" w:rsidRPr="002C21B8">
        <w:t>M</w:t>
      </w:r>
      <w:r w:rsidR="00965EFB" w:rsidRPr="002C21B8">
        <w:t>ethod for the analysis of qualitative data</w:t>
      </w:r>
      <w:r w:rsidR="00630A34" w:rsidRPr="002C21B8">
        <w:t xml:space="preserve">. </w:t>
      </w:r>
      <w:r w:rsidR="00527E20" w:rsidRPr="002C21B8">
        <w:t xml:space="preserve">The </w:t>
      </w:r>
      <w:r w:rsidR="00EE0E24" w:rsidRPr="002C21B8">
        <w:t xml:space="preserve">steps involved in the </w:t>
      </w:r>
      <w:r w:rsidR="00527E20" w:rsidRPr="002C21B8">
        <w:t>Framework Method</w:t>
      </w:r>
      <w:r w:rsidR="00965EFB" w:rsidRPr="002C21B8">
        <w:t xml:space="preserve"> </w:t>
      </w:r>
      <w:r w:rsidR="00315241" w:rsidRPr="002C21B8">
        <w:t xml:space="preserve">are </w:t>
      </w:r>
      <w:r w:rsidR="006A47F9" w:rsidRPr="002C21B8">
        <w:t xml:space="preserve">illustrated below </w:t>
      </w:r>
      <w:r w:rsidRPr="002C21B8">
        <w:fldChar w:fldCharType="begin"/>
      </w:r>
      <w:r w:rsidR="00763983" w:rsidRPr="002C21B8">
        <w:instrText xml:space="preserve"> ADDIN EN.CITE &lt;EndNote&gt;&lt;Cite&gt;&lt;Author&gt;Gale&lt;/Author&gt;&lt;Year&gt;2013&lt;/Year&gt;&lt;RecNum&gt;17340&lt;/RecNum&gt;&lt;DisplayText&gt;(Gale&lt;style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methodology&lt;/full-title&gt;&lt;/periodical&gt;&lt;pages&gt;1-8&lt;/pages&gt;&lt;volume&gt;13&lt;/volume&gt;&lt;dates&gt;&lt;year&gt;2013&lt;/year&gt;&lt;/dates&gt;&lt;urls&gt;&lt;/urls&gt;&lt;/record&gt;&lt;/Cite&gt;&lt;/EndNote&gt;</w:instrText>
      </w:r>
      <w:r w:rsidRPr="002C21B8">
        <w:fldChar w:fldCharType="separate"/>
      </w:r>
      <w:r w:rsidRPr="002C21B8">
        <w:rPr>
          <w:noProof/>
        </w:rPr>
        <w:t>(Gale</w:t>
      </w:r>
      <w:r w:rsidRPr="002C21B8">
        <w:rPr>
          <w:i/>
          <w:noProof/>
        </w:rPr>
        <w:t xml:space="preserve"> et al.</w:t>
      </w:r>
      <w:r w:rsidRPr="002C21B8">
        <w:rPr>
          <w:noProof/>
        </w:rPr>
        <w:t>, 2013)</w:t>
      </w:r>
      <w:r w:rsidRPr="002C21B8">
        <w:fldChar w:fldCharType="end"/>
      </w:r>
      <w:r w:rsidRPr="002C21B8">
        <w:t>.</w:t>
      </w:r>
    </w:p>
    <w:p w14:paraId="48752D46" w14:textId="3BF256E8" w:rsidR="00076184" w:rsidRPr="002C21B8" w:rsidRDefault="00076184" w:rsidP="00323C63">
      <w:r w:rsidRPr="002C21B8">
        <w:rPr>
          <w:noProof/>
        </w:rPr>
        <w:drawing>
          <wp:inline distT="0" distB="0" distL="0" distR="0" wp14:anchorId="2F15A73E" wp14:editId="729B6FCE">
            <wp:extent cx="5369712" cy="3374265"/>
            <wp:effectExtent l="0" t="0" r="0" b="0"/>
            <wp:docPr id="381631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31660" name=""/>
                    <pic:cNvPicPr/>
                  </pic:nvPicPr>
                  <pic:blipFill rotWithShape="1">
                    <a:blip r:embed="rId197"/>
                    <a:srcRect l="6303" t="-6997" b="-7586"/>
                    <a:stretch/>
                  </pic:blipFill>
                  <pic:spPr bwMode="auto">
                    <a:xfrm>
                      <a:off x="0" y="0"/>
                      <a:ext cx="5370266" cy="3374613"/>
                    </a:xfrm>
                    <a:prstGeom prst="rect">
                      <a:avLst/>
                    </a:prstGeom>
                    <a:ln>
                      <a:noFill/>
                    </a:ln>
                    <a:extLst>
                      <a:ext uri="{53640926-AAD7-44D8-BBD7-CCE9431645EC}">
                        <a14:shadowObscured xmlns:a14="http://schemas.microsoft.com/office/drawing/2010/main"/>
                      </a:ext>
                    </a:extLst>
                  </pic:spPr>
                </pic:pic>
              </a:graphicData>
            </a:graphic>
          </wp:inline>
        </w:drawing>
      </w:r>
    </w:p>
    <w:p w14:paraId="452E1FF4" w14:textId="7D03B07C" w:rsidR="00A371D7" w:rsidRPr="002C21B8" w:rsidRDefault="001B4BB7" w:rsidP="00A371D7">
      <w:r w:rsidRPr="002C21B8">
        <w:t xml:space="preserve">The </w:t>
      </w:r>
      <w:r w:rsidR="00E82840" w:rsidRPr="002C21B8">
        <w:t>F</w:t>
      </w:r>
      <w:r w:rsidR="00A371D7" w:rsidRPr="002C21B8">
        <w:t xml:space="preserve">ramework </w:t>
      </w:r>
      <w:r w:rsidR="00E82840" w:rsidRPr="002C21B8">
        <w:t>M</w:t>
      </w:r>
      <w:r w:rsidRPr="002C21B8">
        <w:t xml:space="preserve">ethod </w:t>
      </w:r>
      <w:r w:rsidR="00A371D7" w:rsidRPr="002C21B8">
        <w:t>was chosen because it provides a transparent and pragmatic approach</w:t>
      </w:r>
      <w:r w:rsidR="008E49B4" w:rsidRPr="002C21B8">
        <w:t>,</w:t>
      </w:r>
      <w:r w:rsidR="00A371D7" w:rsidRPr="002C21B8">
        <w:t xml:space="preserve"> which is suited</w:t>
      </w:r>
      <w:r w:rsidR="008E49B4" w:rsidRPr="002C21B8">
        <w:t xml:space="preserve"> to examining</w:t>
      </w:r>
      <w:r w:rsidR="00A371D7" w:rsidRPr="002C21B8">
        <w:t xml:space="preserve"> real-world prescribing practices. It supports the use of pre-existing frameworks to guide systematic coding while retaining flexibility</w:t>
      </w:r>
      <w:r w:rsidR="009A43B7" w:rsidRPr="002C21B8">
        <w:t xml:space="preserve"> to include new factors</w:t>
      </w:r>
      <w:r w:rsidR="00A371D7" w:rsidRPr="002C21B8">
        <w:t>. In this study, two frameworks informed the analysis: the Consolidated Framework for Implementation Research (CFIR) 2.0 and the conceptual model</w:t>
      </w:r>
      <w:r w:rsidR="00620333" w:rsidRPr="002C21B8">
        <w:t xml:space="preserve"> of prescribing decision-making for chronic conditions</w:t>
      </w:r>
      <w:r w:rsidR="00A371D7" w:rsidRPr="002C21B8">
        <w:t xml:space="preserve"> developed in the </w:t>
      </w:r>
      <w:r w:rsidR="00E06102" w:rsidRPr="002C21B8">
        <w:t>overview of systematic reviews</w:t>
      </w:r>
      <w:r w:rsidR="00A371D7" w:rsidRPr="002C21B8">
        <w:t xml:space="preserve">. This approach allowed for deductive coding </w:t>
      </w:r>
      <w:r w:rsidRPr="002C21B8">
        <w:t>to</w:t>
      </w:r>
      <w:r w:rsidR="00A371D7" w:rsidRPr="002C21B8">
        <w:t xml:space="preserve"> predefined factors </w:t>
      </w:r>
      <w:r w:rsidRPr="002C21B8">
        <w:t>in</w:t>
      </w:r>
      <w:r w:rsidR="00A371D7" w:rsidRPr="002C21B8">
        <w:t xml:space="preserve"> both frameworks, alongside inductive coding </w:t>
      </w:r>
      <w:r w:rsidR="008F3997" w:rsidRPr="002C21B8">
        <w:t>of</w:t>
      </w:r>
      <w:r w:rsidR="00A371D7" w:rsidRPr="002C21B8">
        <w:t xml:space="preserve"> additional factors derived from the data. </w:t>
      </w:r>
      <w:r w:rsidR="00CD013D" w:rsidRPr="002C21B8">
        <w:t>This approach</w:t>
      </w:r>
      <w:r w:rsidR="00A371D7" w:rsidRPr="002C21B8">
        <w:t xml:space="preserve"> also facilitated comparison across multiple kidney centres and integrat</w:t>
      </w:r>
      <w:r w:rsidR="005462FE" w:rsidRPr="002C21B8">
        <w:t>ion</w:t>
      </w:r>
      <w:r w:rsidR="00A371D7" w:rsidRPr="002C21B8">
        <w:t xml:space="preserve"> of multiple data sources. </w:t>
      </w:r>
      <w:r w:rsidR="0009710D" w:rsidRPr="002C21B8">
        <w:t xml:space="preserve">The </w:t>
      </w:r>
      <w:r w:rsidR="00E82840" w:rsidRPr="002C21B8">
        <w:t>F</w:t>
      </w:r>
      <w:r w:rsidR="00CD013D" w:rsidRPr="002C21B8">
        <w:t xml:space="preserve">ramework </w:t>
      </w:r>
      <w:r w:rsidR="00E82840" w:rsidRPr="002C21B8">
        <w:t>M</w:t>
      </w:r>
      <w:r w:rsidR="0009710D" w:rsidRPr="002C21B8">
        <w:t>ethod</w:t>
      </w:r>
      <w:r w:rsidR="00CD013D" w:rsidRPr="002C21B8">
        <w:t xml:space="preserve"> </w:t>
      </w:r>
      <w:r w:rsidR="00A371D7" w:rsidRPr="002C21B8">
        <w:t>aligns with a critical realist approach</w:t>
      </w:r>
      <w:r w:rsidR="005C2573" w:rsidRPr="002C21B8">
        <w:t>.</w:t>
      </w:r>
      <w:r w:rsidR="00A371D7" w:rsidRPr="002C21B8">
        <w:t xml:space="preserve"> </w:t>
      </w:r>
      <w:r w:rsidR="005C2573" w:rsidRPr="002C21B8">
        <w:t>I</w:t>
      </w:r>
      <w:r w:rsidR="009F6281" w:rsidRPr="002C21B8">
        <w:t>t</w:t>
      </w:r>
      <w:r w:rsidR="00A371D7" w:rsidRPr="002C21B8">
        <w:t xml:space="preserve"> enabl</w:t>
      </w:r>
      <w:r w:rsidR="009F6281" w:rsidRPr="002C21B8">
        <w:t>es</w:t>
      </w:r>
      <w:r w:rsidR="00A371D7" w:rsidRPr="002C21B8">
        <w:t xml:space="preserve"> examination of </w:t>
      </w:r>
      <w:r w:rsidR="00E35887" w:rsidRPr="002C21B8">
        <w:t xml:space="preserve">observed practices using </w:t>
      </w:r>
      <w:r w:rsidR="00A371D7" w:rsidRPr="002C21B8">
        <w:t xml:space="preserve">theory-informed frameworks to identify </w:t>
      </w:r>
      <w:r w:rsidR="005C2573" w:rsidRPr="002C21B8">
        <w:t xml:space="preserve">the </w:t>
      </w:r>
      <w:r w:rsidR="00A371D7" w:rsidRPr="002C21B8">
        <w:t>mechanisms shaping prescribing behaviour</w:t>
      </w:r>
      <w:r w:rsidR="00E35887" w:rsidRPr="002C21B8">
        <w:t>s</w:t>
      </w:r>
      <w:r w:rsidR="00A371D7" w:rsidRPr="002C21B8">
        <w:t xml:space="preserve"> </w:t>
      </w:r>
      <w:r w:rsidR="00A371D7" w:rsidRPr="002C21B8">
        <w:fldChar w:fldCharType="begin"/>
      </w:r>
      <w:r w:rsidR="00455B2B" w:rsidRPr="002C21B8">
        <w:instrText xml:space="preserve"> ADDIN EN.CITE &lt;EndNote&gt;&lt;Cite&gt;&lt;Author&gt;Cruzes&lt;/Author&gt;&lt;Year&gt;2011&lt;/Year&gt;&lt;RecNum&gt;17342&lt;/RecNum&gt;&lt;DisplayText&gt;(Cruzes and Dybå, 2011)&lt;/DisplayText&gt;&lt;record&gt;&lt;rec-number&gt;17342&lt;/rec-number&gt;&lt;foreign-keys&gt;&lt;key app="EN" db-id="xpefzwa5hf9dt2ea9fax95x7xvxz90v09dtf" timestamp="1719217206"&gt;17342&lt;/key&gt;&lt;/foreign-keys&gt;&lt;ref-type name="Journal Article"&gt;17&lt;/ref-type&gt;&lt;contributors&gt;&lt;authors&gt;&lt;author&gt;Cruzes, Daniela&lt;/author&gt;&lt;author&gt;Dybå, Tore&lt;/author&gt;&lt;/authors&gt;&lt;/contributors&gt;&lt;titles&gt;&lt;title&gt;Recommended Steps for Thematic Synthesis in Software Engineering&lt;/title&gt;&lt;secondary-title&gt;ESEM 2011: Proceedings of the 2011 International Symposium on Empirical Software Engineering and Measurement&lt;/secondary-title&gt;&lt;/titles&gt;&lt;periodical&gt;&lt;full-title&gt;ESEM 2011: Proceedings of the 2011 International Symposium on Empirical Software Engineering and Measurement&lt;/full-title&gt;&lt;abbr-1&gt;International Symposium on Empirical Software Engineering and Measurement&lt;/abbr-1&gt;&lt;/periodical&gt;&lt;pages&gt;275-284&lt;/pages&gt;&lt;volume&gt;1&lt;/volume&gt;&lt;number&gt;1&lt;/number&gt;&lt;dates&gt;&lt;year&gt;2011&lt;/year&gt;&lt;/dates&gt;&lt;urls&gt;&lt;/urls&gt;&lt;electronic-resource-num&gt;10.1109/ESEM.2011.36&lt;/electronic-resource-num&gt;&lt;/record&gt;&lt;/Cite&gt;&lt;/EndNote&gt;</w:instrText>
      </w:r>
      <w:r w:rsidR="00A371D7" w:rsidRPr="002C21B8">
        <w:fldChar w:fldCharType="separate"/>
      </w:r>
      <w:r w:rsidR="00A371D7" w:rsidRPr="002C21B8">
        <w:rPr>
          <w:noProof/>
        </w:rPr>
        <w:t>(Cruzes and Dybå, 2011)</w:t>
      </w:r>
      <w:r w:rsidR="00A371D7" w:rsidRPr="002C21B8">
        <w:fldChar w:fldCharType="end"/>
      </w:r>
      <w:r w:rsidR="00A371D7" w:rsidRPr="002C21B8">
        <w:t>.</w:t>
      </w:r>
      <w:r w:rsidR="00CD013D" w:rsidRPr="002C21B8">
        <w:t xml:space="preserve"> A clear chain </w:t>
      </w:r>
      <w:r w:rsidR="009F6281" w:rsidRPr="002C21B8">
        <w:t xml:space="preserve">of </w:t>
      </w:r>
      <w:r w:rsidR="00CD013D" w:rsidRPr="002C21B8">
        <w:t xml:space="preserve">evidence was maintained from raw data through coding and analysis to interpretation, in line with case study methodological guidance by </w:t>
      </w:r>
      <w:r w:rsidR="00CD013D" w:rsidRPr="002C21B8">
        <w:fldChar w:fldCharType="begin"/>
      </w:r>
      <w:r w:rsidR="0034169F" w:rsidRPr="002C21B8">
        <w:instrText xml:space="preserve"> ADDIN EN.CITE &lt;EndNote&gt;&lt;Cite AuthorYear="1"&gt;&lt;Author&gt;Yin&lt;/Author&gt;&lt;Year&gt;2009&lt;/Year&gt;&lt;RecNum&gt;5549&lt;/RecNum&gt;&lt;DisplayText&gt;Yin (2009)&lt;/DisplayText&gt;&lt;record&gt;&lt;rec-number&gt;5549&lt;/rec-number&gt;&lt;foreign-keys&gt;&lt;key app="EN" db-id="xpefzwa5hf9dt2ea9fax95x7xvxz90v09dtf" timestamp="1707916673"&gt;5549&lt;/key&gt;&lt;/foreign-keys&gt;&lt;ref-type name="Book"&gt;6&lt;/ref-type&gt;&lt;contributors&gt;&lt;authors&gt;&lt;author&gt;Yin, Robert K&lt;/author&gt;&lt;/authors&gt;&lt;/contributors&gt;&lt;titles&gt;&lt;title&gt;Case study research: Design and methods&lt;/title&gt;&lt;/titles&gt;&lt;volume&gt;5&lt;/volume&gt;&lt;section&gt;1-250&lt;/section&gt;&lt;dates&gt;&lt;year&gt;2009&lt;/year&gt;&lt;/dates&gt;&lt;pub-location&gt;San Francisco, California, USA&lt;/pub-location&gt;&lt;publisher&gt;SAGE Publications Ltd&lt;/publisher&gt;&lt;isbn&gt;1412960991&lt;/isbn&gt;&lt;urls&gt;&lt;/urls&gt;&lt;/record&gt;&lt;/Cite&gt;&lt;/EndNote&gt;</w:instrText>
      </w:r>
      <w:r w:rsidR="00CD013D" w:rsidRPr="002C21B8">
        <w:fldChar w:fldCharType="separate"/>
      </w:r>
      <w:r w:rsidR="0034169F" w:rsidRPr="002C21B8">
        <w:rPr>
          <w:noProof/>
        </w:rPr>
        <w:t>Yin (2009)</w:t>
      </w:r>
      <w:r w:rsidR="00CD013D" w:rsidRPr="002C21B8">
        <w:fldChar w:fldCharType="end"/>
      </w:r>
      <w:r w:rsidR="00CD013D" w:rsidRPr="002C21B8">
        <w:t>.</w:t>
      </w:r>
    </w:p>
    <w:p w14:paraId="158CB2CD" w14:textId="77777777" w:rsidR="00A371D7" w:rsidRPr="002C21B8" w:rsidRDefault="00A371D7" w:rsidP="00A371D7">
      <w:r w:rsidRPr="002C21B8">
        <w:t>There were two stages of data analysis:</w:t>
      </w:r>
    </w:p>
    <w:p w14:paraId="51B4302C" w14:textId="77777777" w:rsidR="00A371D7" w:rsidRPr="002C21B8" w:rsidRDefault="00A371D7" w:rsidP="00E35887">
      <w:pPr>
        <w:pStyle w:val="ListParagraph"/>
        <w:numPr>
          <w:ilvl w:val="0"/>
          <w:numId w:val="51"/>
        </w:numPr>
        <w:ind w:left="714" w:hanging="357"/>
        <w:contextualSpacing w:val="0"/>
      </w:pPr>
      <w:r w:rsidRPr="002C21B8">
        <w:t>Implementation science framework-based framework analysis</w:t>
      </w:r>
    </w:p>
    <w:p w14:paraId="08A8EFB0" w14:textId="77777777" w:rsidR="00A371D7" w:rsidRPr="002C21B8" w:rsidRDefault="00A371D7" w:rsidP="00E35887">
      <w:pPr>
        <w:pStyle w:val="ListParagraph"/>
        <w:numPr>
          <w:ilvl w:val="0"/>
          <w:numId w:val="51"/>
        </w:numPr>
        <w:ind w:left="714" w:hanging="357"/>
        <w:contextualSpacing w:val="0"/>
      </w:pPr>
      <w:r w:rsidRPr="002C21B8">
        <w:t>Prescribing conceptual model-based framework analysis</w:t>
      </w:r>
    </w:p>
    <w:p w14:paraId="53FFF566" w14:textId="0EAC851D" w:rsidR="00A371D7" w:rsidRPr="002C21B8" w:rsidRDefault="00A371D7" w:rsidP="00725EDE">
      <w:pPr>
        <w:spacing w:before="240" w:after="0"/>
        <w:rPr>
          <w:b/>
          <w:bCs/>
          <w:sz w:val="24"/>
          <w:szCs w:val="24"/>
        </w:rPr>
      </w:pPr>
      <w:r w:rsidRPr="002C21B8">
        <w:rPr>
          <w:b/>
          <w:bCs/>
          <w:sz w:val="24"/>
          <w:szCs w:val="24"/>
        </w:rPr>
        <w:t xml:space="preserve">Implementation </w:t>
      </w:r>
      <w:r w:rsidR="0020562B" w:rsidRPr="002C21B8">
        <w:rPr>
          <w:b/>
          <w:bCs/>
          <w:sz w:val="24"/>
          <w:szCs w:val="24"/>
        </w:rPr>
        <w:t xml:space="preserve">science </w:t>
      </w:r>
      <w:r w:rsidRPr="002C21B8">
        <w:rPr>
          <w:b/>
          <w:bCs/>
          <w:sz w:val="24"/>
          <w:szCs w:val="24"/>
        </w:rPr>
        <w:t>framework-based framework analysis</w:t>
      </w:r>
    </w:p>
    <w:p w14:paraId="1D762851" w14:textId="3A052159" w:rsidR="00A371D7" w:rsidRPr="002C21B8" w:rsidRDefault="00A371D7" w:rsidP="00A371D7">
      <w:r w:rsidRPr="002C21B8">
        <w:t>The aim of this analysis was to explore how tolvaptan care pathways were implemented in different kidney centres in the UK using an established implementation science framework, the C</w:t>
      </w:r>
      <w:r w:rsidR="00D90E32" w:rsidRPr="002C21B8">
        <w:t xml:space="preserve">onsolidated </w:t>
      </w:r>
      <w:r w:rsidRPr="002C21B8">
        <w:t>F</w:t>
      </w:r>
      <w:r w:rsidR="00D90E32" w:rsidRPr="002C21B8">
        <w:t xml:space="preserve">ramework for </w:t>
      </w:r>
      <w:r w:rsidRPr="002C21B8">
        <w:t>I</w:t>
      </w:r>
      <w:r w:rsidR="00D90E32" w:rsidRPr="002C21B8">
        <w:t xml:space="preserve">mplementation </w:t>
      </w:r>
      <w:r w:rsidRPr="002C21B8">
        <w:t>R</w:t>
      </w:r>
      <w:r w:rsidR="00D90E32" w:rsidRPr="002C21B8">
        <w:t>esearch (CFIR)</w:t>
      </w:r>
      <w:r w:rsidRPr="002C21B8">
        <w:t xml:space="preserve"> 2.0.</w:t>
      </w:r>
    </w:p>
    <w:p w14:paraId="58F5723B" w14:textId="67B72272" w:rsidR="00A371D7" w:rsidRPr="002C21B8" w:rsidRDefault="00A371D7" w:rsidP="00A371D7">
      <w:r w:rsidRPr="002C21B8">
        <w:t>An analytical framework was developed by the primary researcher based on the CFIR 2.0</w:t>
      </w:r>
      <w:r w:rsidR="003F7E9C" w:rsidRPr="002C21B8">
        <w:t>,</w:t>
      </w:r>
      <w:r w:rsidRPr="002C21B8">
        <w:t xml:space="preserve"> which consists of 67 constructs across five domains: ‘Innovation’, ‘Outer Setting’, ‘Inner Setting’, ‘Individuals’ and ‘Implementation Process’. The CFIR </w:t>
      </w:r>
      <w:r w:rsidR="003B6534" w:rsidRPr="002C21B8">
        <w:t xml:space="preserve">2.0 </w:t>
      </w:r>
      <w:r w:rsidRPr="002C21B8">
        <w:t xml:space="preserve">was selected due to its widespread use in health services research and its comprehensive multi-level structure for examining implementation factors. </w:t>
      </w:r>
      <w:r w:rsidR="00227DA8" w:rsidRPr="002C21B8">
        <w:t>Data was</w:t>
      </w:r>
      <w:r w:rsidRPr="002C21B8">
        <w:t xml:space="preserve"> coded deductively to the CFIR constructs. Coded </w:t>
      </w:r>
      <w:r w:rsidR="00227DA8" w:rsidRPr="002C21B8">
        <w:t>data was</w:t>
      </w:r>
      <w:r w:rsidRPr="002C21B8">
        <w:t xml:space="preserve"> charted in </w:t>
      </w:r>
      <w:r w:rsidR="00F01237" w:rsidRPr="002C21B8">
        <w:t xml:space="preserve">Microsoft Excel for Mac (Microsoft Corporation, 2019, Version 16.78.3) </w:t>
      </w:r>
      <w:r w:rsidRPr="002C21B8">
        <w:t xml:space="preserve">to enable comparison within and between cases, followed by cross-case pattern-matching analysis </w:t>
      </w:r>
      <w:r w:rsidRPr="002C21B8">
        <w:fldChar w:fldCharType="begin"/>
      </w:r>
      <w:r w:rsidR="00763983" w:rsidRPr="002C21B8">
        <w:instrText xml:space="preserve"> ADDIN EN.CITE &lt;EndNote&gt;&lt;Cite&gt;&lt;Author&gt;Gale&lt;/Author&gt;&lt;Year&gt;2013&lt;/Year&gt;&lt;RecNum&gt;17340&lt;/RecNum&gt;&lt;DisplayText&gt;(Gale&lt;style face="italic"&gt; et al.&lt;/style&gt;, 2013)&lt;/DisplayText&gt;&lt;record&gt;&lt;rec-number&gt;17340&lt;/rec-number&gt;&lt;foreign-keys&gt;&lt;key app="EN" db-id="xpefzwa5hf9dt2ea9fax95x7xvxz90v09dtf" timestamp="1719214055"&gt;17340&lt;/key&gt;&lt;/foreign-keys&gt;&lt;ref-type name="Journal Article"&gt;17&lt;/ref-type&gt;&lt;contributors&gt;&lt;authors&gt;&lt;author&gt;Gale, Nicola K&lt;/author&gt;&lt;author&gt;Heath, Gemma&lt;/author&gt;&lt;author&gt;Cameron, Elaine&lt;/author&gt;&lt;author&gt;Rashid, Sabina&lt;/author&gt;&lt;author&gt;Redwood, Sabi&lt;/author&gt;&lt;/authors&gt;&lt;/contributors&gt;&lt;titles&gt;&lt;title&gt;Using the framework method for the analysis of qualitative data in multi-disciplinary health research&lt;/title&gt;&lt;secondary-title&gt;BMC Medical Research Methodology&lt;/secondary-title&gt;&lt;/titles&gt;&lt;periodical&gt;&lt;full-title&gt;BMC medical research methodology&lt;/full-title&gt;&lt;/periodical&gt;&lt;pages&gt;1-8&lt;/pages&gt;&lt;volume&gt;13&lt;/volume&gt;&lt;dates&gt;&lt;year&gt;2013&lt;/year&gt;&lt;/dates&gt;&lt;urls&gt;&lt;/urls&gt;&lt;/record&gt;&lt;/Cite&gt;&lt;/EndNote&gt;</w:instrText>
      </w:r>
      <w:r w:rsidRPr="002C21B8">
        <w:fldChar w:fldCharType="separate"/>
      </w:r>
      <w:r w:rsidRPr="002C21B8">
        <w:rPr>
          <w:noProof/>
        </w:rPr>
        <w:t>(Gale</w:t>
      </w:r>
      <w:r w:rsidRPr="002C21B8">
        <w:rPr>
          <w:i/>
          <w:noProof/>
        </w:rPr>
        <w:t xml:space="preserve"> et al.</w:t>
      </w:r>
      <w:r w:rsidRPr="002C21B8">
        <w:rPr>
          <w:noProof/>
        </w:rPr>
        <w:t>, 2013)</w:t>
      </w:r>
      <w:r w:rsidRPr="002C21B8">
        <w:fldChar w:fldCharType="end"/>
      </w:r>
      <w:r w:rsidRPr="002C21B8">
        <w:t>. Findings were then translated into high-level themes to facilitate interpretation</w:t>
      </w:r>
      <w:r w:rsidR="009757D4" w:rsidRPr="002C21B8">
        <w:t>,</w:t>
      </w:r>
      <w:r w:rsidRPr="002C21B8">
        <w:t xml:space="preserve"> with quotes labelled by case and participant type. An adapted CFIR </w:t>
      </w:r>
      <w:r w:rsidR="009757D4" w:rsidRPr="002C21B8">
        <w:t xml:space="preserve">2.0 </w:t>
      </w:r>
      <w:r w:rsidRPr="002C21B8">
        <w:t>diagram was used to map the constructs to the tolvaptan care pathway.</w:t>
      </w:r>
    </w:p>
    <w:p w14:paraId="5B2C3439" w14:textId="77777777" w:rsidR="00A371D7" w:rsidRPr="002C21B8" w:rsidRDefault="00A371D7" w:rsidP="00725EDE">
      <w:pPr>
        <w:spacing w:before="240" w:after="0"/>
        <w:rPr>
          <w:b/>
          <w:bCs/>
          <w:sz w:val="24"/>
          <w:szCs w:val="24"/>
        </w:rPr>
      </w:pPr>
      <w:r w:rsidRPr="002C21B8">
        <w:rPr>
          <w:b/>
          <w:bCs/>
          <w:sz w:val="24"/>
          <w:szCs w:val="24"/>
        </w:rPr>
        <w:t>Prescribing conceptual model-based framework analysis</w:t>
      </w:r>
    </w:p>
    <w:p w14:paraId="49DC5309" w14:textId="14137A08" w:rsidR="00A371D7" w:rsidRPr="002C21B8" w:rsidRDefault="00A371D7" w:rsidP="00A371D7">
      <w:r w:rsidRPr="002C21B8">
        <w:t xml:space="preserve">The aim of this analysis was to explore </w:t>
      </w:r>
      <w:r w:rsidR="00D36040" w:rsidRPr="002C21B8">
        <w:t xml:space="preserve">the </w:t>
      </w:r>
      <w:r w:rsidRPr="002C21B8">
        <w:t xml:space="preserve">factors influencing prescribing decisions for tolvaptan using the existing conceptual model of prescribing decision-making </w:t>
      </w:r>
      <w:r w:rsidR="009369AD" w:rsidRPr="002C21B8">
        <w:t xml:space="preserve">in </w:t>
      </w:r>
      <w:r w:rsidRPr="002C21B8">
        <w:t xml:space="preserve">chronic conditions presented </w:t>
      </w:r>
      <w:r w:rsidR="003F7E9C" w:rsidRPr="002C21B8">
        <w:t xml:space="preserve">that was </w:t>
      </w:r>
      <w:r w:rsidR="00A83237" w:rsidRPr="002C21B8">
        <w:t>developed in Phase 1</w:t>
      </w:r>
      <w:r w:rsidRPr="002C21B8">
        <w:t xml:space="preserve">. A secondary aim was to develop a conceptual model of prescribing decision-making </w:t>
      </w:r>
      <w:r w:rsidR="009369AD" w:rsidRPr="002C21B8">
        <w:t>in</w:t>
      </w:r>
      <w:r w:rsidRPr="002C21B8">
        <w:t xml:space="preserve"> rare diseases.</w:t>
      </w:r>
    </w:p>
    <w:p w14:paraId="0632A194" w14:textId="386A8F5E" w:rsidR="00A94F09" w:rsidRPr="002C21B8" w:rsidRDefault="00227DA8" w:rsidP="00A371D7">
      <w:r w:rsidRPr="002C21B8">
        <w:t>Data was</w:t>
      </w:r>
      <w:r w:rsidR="00A371D7" w:rsidRPr="002C21B8">
        <w:t xml:space="preserve"> initially coded deductively to the existing </w:t>
      </w:r>
      <w:r w:rsidR="009A5B48" w:rsidRPr="002C21B8">
        <w:t>model</w:t>
      </w:r>
      <w:r w:rsidR="00A96602" w:rsidRPr="002C21B8">
        <w:t>,</w:t>
      </w:r>
      <w:r w:rsidR="00A371D7" w:rsidRPr="002C21B8">
        <w:t xml:space="preserve"> with additional codes generated where information did not align with the </w:t>
      </w:r>
      <w:r w:rsidR="009A5B48" w:rsidRPr="002C21B8">
        <w:t>model</w:t>
      </w:r>
      <w:r w:rsidR="00A371D7" w:rsidRPr="002C21B8">
        <w:t xml:space="preserve">. The </w:t>
      </w:r>
      <w:r w:rsidR="009A5B48" w:rsidRPr="002C21B8">
        <w:t>model</w:t>
      </w:r>
      <w:r w:rsidR="00A371D7" w:rsidRPr="002C21B8">
        <w:t xml:space="preserve"> was then refined iteratively based on discussions with the wider research team to ensure the </w:t>
      </w:r>
      <w:r w:rsidR="009A5B48" w:rsidRPr="002C21B8">
        <w:t>model</w:t>
      </w:r>
      <w:r w:rsidR="00A371D7" w:rsidRPr="002C21B8">
        <w:t xml:space="preserve"> </w:t>
      </w:r>
      <w:r w:rsidR="008F3997" w:rsidRPr="002C21B8">
        <w:t>include</w:t>
      </w:r>
      <w:r w:rsidR="00A371D7" w:rsidRPr="002C21B8">
        <w:t xml:space="preserve">d newly identified factors relevant to the study aims. </w:t>
      </w:r>
      <w:r w:rsidRPr="002C21B8">
        <w:t>Data was</w:t>
      </w:r>
      <w:r w:rsidR="00A371D7" w:rsidRPr="002C21B8">
        <w:t xml:space="preserve"> coded using a similar approach to the first stage. However, cross-case comparison was not undertaken as the focus was on identifying mechanisms influencing prescribing decision-making rather than comparing implementation across sites. The conceptual model diagram was adapted to include the factors relevant to prescribing decision-making for rare diseases based on those influencing prescribing decisions for tolvaptan in the management of ADPKD</w:t>
      </w:r>
      <w:r w:rsidR="00D6090E" w:rsidRPr="002C21B8">
        <w:t>.</w:t>
      </w:r>
    </w:p>
    <w:p w14:paraId="1BE6D09E" w14:textId="77777777" w:rsidR="00D96F06" w:rsidRPr="002C21B8" w:rsidRDefault="00D96F06" w:rsidP="00581663">
      <w:pPr>
        <w:pStyle w:val="Heading2"/>
        <w:sectPr w:rsidR="00D96F06" w:rsidRPr="002C21B8" w:rsidSect="0009672F">
          <w:headerReference w:type="default" r:id="rId198"/>
          <w:type w:val="continuous"/>
          <w:pgSz w:w="11906" w:h="16838"/>
          <w:pgMar w:top="1440" w:right="1440" w:bottom="1440" w:left="1440" w:header="708" w:footer="708" w:gutter="0"/>
          <w:cols w:space="708"/>
          <w:docGrid w:linePitch="360"/>
        </w:sectPr>
      </w:pPr>
    </w:p>
    <w:p w14:paraId="2302EC9D" w14:textId="7F5518D5" w:rsidR="00AA4764" w:rsidRPr="002C21B8" w:rsidRDefault="00A94F09" w:rsidP="00581663">
      <w:pPr>
        <w:pStyle w:val="Heading2"/>
        <w:numPr>
          <w:ilvl w:val="0"/>
          <w:numId w:val="0"/>
        </w:numPr>
      </w:pPr>
      <w:bookmarkStart w:id="460" w:name="_Appendix_8._Publication"/>
      <w:bookmarkStart w:id="461" w:name="_Toc229687260"/>
      <w:bookmarkEnd w:id="460"/>
      <w:r w:rsidRPr="002C21B8">
        <w:t xml:space="preserve">Appendix 8. </w:t>
      </w:r>
      <w:r w:rsidR="00AA4764" w:rsidRPr="002C21B8">
        <w:t xml:space="preserve">Publication materials for </w:t>
      </w:r>
      <w:r w:rsidR="00760485" w:rsidRPr="002C21B8">
        <w:t>j</w:t>
      </w:r>
      <w:r w:rsidR="00F17C26" w:rsidRPr="002C21B8">
        <w:t xml:space="preserve">ournal </w:t>
      </w:r>
      <w:r w:rsidR="00760485" w:rsidRPr="002C21B8">
        <w:t>a</w:t>
      </w:r>
      <w:r w:rsidR="00F17C26" w:rsidRPr="002C21B8">
        <w:t>rticles</w:t>
      </w:r>
      <w:r w:rsidR="00AA4764" w:rsidRPr="002C21B8">
        <w:t xml:space="preserve"> </w:t>
      </w:r>
      <w:r w:rsidR="00BF54FB" w:rsidRPr="002C21B8">
        <w:t>3</w:t>
      </w:r>
      <w:r w:rsidRPr="002C21B8">
        <w:t xml:space="preserve"> &amp; 4</w:t>
      </w:r>
      <w:r w:rsidR="00AA4764" w:rsidRPr="002C21B8">
        <w:t xml:space="preserve"> (Chapters 6</w:t>
      </w:r>
      <w:r w:rsidRPr="002C21B8">
        <w:t xml:space="preserve"> &amp; 7</w:t>
      </w:r>
      <w:r w:rsidR="00AA4764" w:rsidRPr="002C21B8">
        <w:t>)</w:t>
      </w:r>
      <w:bookmarkEnd w:id="461"/>
    </w:p>
    <w:p w14:paraId="0211F273" w14:textId="6D5638EE" w:rsidR="000062F7" w:rsidRPr="002C21B8" w:rsidRDefault="00B151B4" w:rsidP="002D1C9B">
      <w:pPr>
        <w:pStyle w:val="Heading3"/>
        <w:numPr>
          <w:ilvl w:val="0"/>
          <w:numId w:val="0"/>
        </w:numPr>
        <w:spacing w:before="0" w:after="0"/>
      </w:pPr>
      <w:bookmarkStart w:id="462" w:name="_Clinical_vignette_for"/>
      <w:bookmarkStart w:id="463" w:name="_Case_study_data"/>
      <w:bookmarkEnd w:id="462"/>
      <w:bookmarkEnd w:id="463"/>
      <w:r w:rsidRPr="002C21B8">
        <w:t>Case study data collection materials</w:t>
      </w:r>
    </w:p>
    <w:p w14:paraId="49F0001F" w14:textId="5B3DA8B0" w:rsidR="002D1C9B" w:rsidRPr="002C21B8" w:rsidRDefault="002D1C9B" w:rsidP="000065C8">
      <w:pPr>
        <w:pStyle w:val="Heading4"/>
        <w:numPr>
          <w:ilvl w:val="0"/>
          <w:numId w:val="0"/>
        </w:numPr>
        <w:spacing w:after="240"/>
      </w:pPr>
      <w:bookmarkStart w:id="464" w:name="_Interview_topic_guide_1"/>
      <w:bookmarkEnd w:id="464"/>
      <w:r w:rsidRPr="002C21B8">
        <w:t>Interview topic guide</w:t>
      </w:r>
      <w:bookmarkStart w:id="465" w:name="_Interview_topic_guide"/>
      <w:bookmarkEnd w:id="465"/>
    </w:p>
    <w:p w14:paraId="4FE1028D" w14:textId="677D449F" w:rsidR="00B151B4" w:rsidRPr="002C21B8" w:rsidRDefault="000065C8" w:rsidP="00AB7FD6">
      <w:pPr>
        <w:pStyle w:val="Heading4"/>
        <w:keepNext w:val="0"/>
        <w:keepLines w:val="0"/>
        <w:numPr>
          <w:ilvl w:val="0"/>
          <w:numId w:val="0"/>
        </w:numPr>
        <w:spacing w:line="240" w:lineRule="auto"/>
      </w:pPr>
      <w:r w:rsidRPr="002C21B8">
        <w:rPr>
          <w:noProof/>
          <w14:ligatures w14:val="standardContextual"/>
        </w:rPr>
        <mc:AlternateContent>
          <mc:Choice Requires="wpg">
            <w:drawing>
              <wp:inline distT="0" distB="0" distL="0" distR="0" wp14:anchorId="4BBE7C0D" wp14:editId="18CF1166">
                <wp:extent cx="5040000" cy="6684334"/>
                <wp:effectExtent l="0" t="0" r="1905" b="0"/>
                <wp:docPr id="137070069"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40000" cy="6684334"/>
                          <a:chOff x="0" y="0"/>
                          <a:chExt cx="5438042" cy="7212240"/>
                        </a:xfrm>
                      </wpg:grpSpPr>
                      <pic:pic xmlns:pic="http://schemas.openxmlformats.org/drawingml/2006/picture">
                        <pic:nvPicPr>
                          <pic:cNvPr id="401340456" name="Picture 1"/>
                          <pic:cNvPicPr>
                            <a:picLocks noChangeAspect="1"/>
                          </pic:cNvPicPr>
                        </pic:nvPicPr>
                        <pic:blipFill rotWithShape="1">
                          <a:blip r:embed="rId199"/>
                          <a:srcRect t="11768"/>
                          <a:stretch/>
                        </pic:blipFill>
                        <pic:spPr bwMode="auto">
                          <a:xfrm>
                            <a:off x="0" y="450760"/>
                            <a:ext cx="5399405" cy="6761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3141492" name="Picture 1"/>
                          <pic:cNvPicPr>
                            <a:picLocks noChangeAspect="1"/>
                          </pic:cNvPicPr>
                        </pic:nvPicPr>
                        <pic:blipFill rotWithShape="1">
                          <a:blip r:embed="rId199"/>
                          <a:srcRect t="399" b="93158"/>
                          <a:stretch/>
                        </pic:blipFill>
                        <pic:spPr bwMode="auto">
                          <a:xfrm>
                            <a:off x="38637" y="0"/>
                            <a:ext cx="5399405" cy="49339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153A5B50" id="Group 2" o:spid="_x0000_s1026" style="width:396.85pt;height:526.35pt;mso-position-horizontal-relative:char;mso-position-vertical-relative:line" coordsize="54380,721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507;width:53994;height:676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">
                  <v:imagedata r:id="rId200" o:title="" croptop="7712f"/>
                </v:shape>
                <v:shape id="Picture 1" o:spid="_x0000_s1028" type="#_x0000_t75" style="position:absolute;left:386;width:53994;height:4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">
                  <v:imagedata r:id="rId200" o:title="" croptop="261f" cropbottom="61052f"/>
                </v:shape>
                <w10:anchorlock/>
              </v:group>
            </w:pict>
          </mc:Fallback>
        </mc:AlternateContent>
      </w:r>
    </w:p>
    <w:p w14:paraId="50E080C0" w14:textId="77777777" w:rsidR="00083481" w:rsidRPr="002C21B8" w:rsidRDefault="00083481" w:rsidP="00AB7FD6">
      <w:pPr>
        <w:spacing w:after="0" w:line="240" w:lineRule="auto"/>
        <w:jc w:val="left"/>
      </w:pPr>
      <w:r w:rsidRPr="002C21B8">
        <w:br w:type="page"/>
      </w:r>
    </w:p>
    <w:p w14:paraId="54E62A28" w14:textId="4FB832D8" w:rsidR="00A00FCB" w:rsidRPr="002C21B8" w:rsidRDefault="00A00FCB" w:rsidP="00AB7FD6"/>
    <w:p w14:paraId="05422CBD" w14:textId="77777777" w:rsidR="00335B86" w:rsidRPr="002C21B8" w:rsidRDefault="00335B86" w:rsidP="00AB7FD6"/>
    <w:p w14:paraId="69EFB579" w14:textId="614C36B9" w:rsidR="00A00FCB" w:rsidRPr="002C21B8" w:rsidRDefault="00083481" w:rsidP="00AB7FD6">
      <w:r w:rsidRPr="002C21B8">
        <w:rPr>
          <w:noProof/>
        </w:rPr>
        <w:drawing>
          <wp:inline distT="0" distB="0" distL="0" distR="0" wp14:anchorId="43DC3D8F" wp14:editId="2E52B771">
            <wp:extent cx="5040000" cy="7153125"/>
            <wp:effectExtent l="0" t="0" r="1905" b="0"/>
            <wp:docPr id="24382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29502" name=""/>
                    <pic:cNvPicPr/>
                  </pic:nvPicPr>
                  <pic:blipFill>
                    <a:blip r:embed="rId201"/>
                    <a:stretch>
                      <a:fillRect/>
                    </a:stretch>
                  </pic:blipFill>
                  <pic:spPr>
                    <a:xfrm>
                      <a:off x="0" y="0"/>
                      <a:ext cx="5040000" cy="7153125"/>
                    </a:xfrm>
                    <a:prstGeom prst="rect">
                      <a:avLst/>
                    </a:prstGeom>
                  </pic:spPr>
                </pic:pic>
              </a:graphicData>
            </a:graphic>
          </wp:inline>
        </w:drawing>
      </w:r>
    </w:p>
    <w:p w14:paraId="2D82111F" w14:textId="77777777" w:rsidR="00AB7FD6" w:rsidRPr="002C21B8" w:rsidRDefault="00AB7FD6">
      <w:pPr>
        <w:spacing w:after="0" w:line="240" w:lineRule="auto"/>
        <w:jc w:val="left"/>
        <w:rPr>
          <w:rFonts w:eastAsiaTheme="majorEastAsia"/>
          <w:b/>
          <w:bCs/>
          <w:color w:val="000000" w:themeColor="text1"/>
          <w:sz w:val="24"/>
          <w:szCs w:val="24"/>
        </w:rPr>
      </w:pPr>
      <w:bookmarkStart w:id="466" w:name="_Fieldnotes_template_used"/>
      <w:bookmarkStart w:id="467" w:name="_Toc213230724"/>
      <w:bookmarkEnd w:id="466"/>
      <w:r w:rsidRPr="002C21B8">
        <w:br w:type="page"/>
      </w:r>
    </w:p>
    <w:p w14:paraId="27CC0710" w14:textId="544D1DEE" w:rsidR="00467257" w:rsidRPr="002C21B8" w:rsidRDefault="00467257" w:rsidP="00ED2D36">
      <w:pPr>
        <w:pStyle w:val="Heading4"/>
        <w:numPr>
          <w:ilvl w:val="0"/>
          <w:numId w:val="0"/>
        </w:numPr>
      </w:pPr>
      <w:bookmarkStart w:id="468" w:name="_Fieldnotes_template_used_1"/>
      <w:bookmarkEnd w:id="468"/>
      <w:r w:rsidRPr="002C21B8">
        <w:t>Fieldnotes template used in interview</w:t>
      </w:r>
      <w:r w:rsidR="00014CDB" w:rsidRPr="002C21B8">
        <w:t>s</w:t>
      </w:r>
    </w:p>
    <w:p w14:paraId="0CB69A60" w14:textId="77777777" w:rsidR="00AB7FD6" w:rsidRPr="002C21B8" w:rsidRDefault="00AB7FD6" w:rsidP="00AB7FD6"/>
    <w:p w14:paraId="32E6CB4C" w14:textId="2A0B1F22" w:rsidR="00467257" w:rsidRPr="002C21B8" w:rsidRDefault="00014CDB" w:rsidP="00AB7FD6">
      <w:pPr>
        <w:spacing w:after="0" w:line="240" w:lineRule="auto"/>
        <w:jc w:val="left"/>
      </w:pPr>
      <w:r w:rsidRPr="002C21B8">
        <w:rPr>
          <w:noProof/>
        </w:rPr>
        <w:drawing>
          <wp:inline distT="0" distB="0" distL="0" distR="0" wp14:anchorId="07B61EF1" wp14:editId="671A1F3D">
            <wp:extent cx="5040000" cy="7121194"/>
            <wp:effectExtent l="0" t="0" r="1905" b="3810"/>
            <wp:docPr id="141264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45193" name=""/>
                    <pic:cNvPicPr/>
                  </pic:nvPicPr>
                  <pic:blipFill>
                    <a:blip r:embed="rId202"/>
                    <a:stretch>
                      <a:fillRect/>
                    </a:stretch>
                  </pic:blipFill>
                  <pic:spPr>
                    <a:xfrm>
                      <a:off x="0" y="0"/>
                      <a:ext cx="5040000" cy="7121194"/>
                    </a:xfrm>
                    <a:prstGeom prst="rect">
                      <a:avLst/>
                    </a:prstGeom>
                  </pic:spPr>
                </pic:pic>
              </a:graphicData>
            </a:graphic>
          </wp:inline>
        </w:drawing>
      </w:r>
      <w:r w:rsidR="00467257" w:rsidRPr="002C21B8">
        <w:br w:type="page"/>
      </w:r>
    </w:p>
    <w:p w14:paraId="114482E0" w14:textId="77777777" w:rsidR="00200F80" w:rsidRPr="002C21B8" w:rsidRDefault="00200F80" w:rsidP="00335B86">
      <w:pPr>
        <w:spacing w:after="0" w:line="240" w:lineRule="auto"/>
      </w:pPr>
    </w:p>
    <w:p w14:paraId="5FC964D3" w14:textId="77777777" w:rsidR="00335B86" w:rsidRPr="002C21B8" w:rsidRDefault="00335B86" w:rsidP="00335B86">
      <w:pPr>
        <w:spacing w:after="0" w:line="240" w:lineRule="auto"/>
      </w:pPr>
    </w:p>
    <w:p w14:paraId="135F8036" w14:textId="77777777" w:rsidR="00335B86" w:rsidRPr="002C21B8" w:rsidRDefault="00335B86" w:rsidP="00AB7FD6">
      <w:pPr>
        <w:spacing w:line="240" w:lineRule="auto"/>
      </w:pPr>
    </w:p>
    <w:p w14:paraId="478552C5" w14:textId="65FAB030" w:rsidR="008433C5" w:rsidRPr="002C21B8" w:rsidRDefault="00467257" w:rsidP="00AB7FD6">
      <w:pPr>
        <w:spacing w:after="0" w:line="240" w:lineRule="auto"/>
        <w:jc w:val="left"/>
      </w:pPr>
      <w:r w:rsidRPr="002C21B8">
        <w:rPr>
          <w:noProof/>
        </w:rPr>
        <w:drawing>
          <wp:inline distT="0" distB="0" distL="0" distR="0" wp14:anchorId="26CE83C9" wp14:editId="1D924406">
            <wp:extent cx="5040000" cy="7188838"/>
            <wp:effectExtent l="0" t="0" r="1905" b="0"/>
            <wp:docPr id="1720513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13275" name=""/>
                    <pic:cNvPicPr/>
                  </pic:nvPicPr>
                  <pic:blipFill>
                    <a:blip r:embed="rId203"/>
                    <a:stretch>
                      <a:fillRect/>
                    </a:stretch>
                  </pic:blipFill>
                  <pic:spPr>
                    <a:xfrm>
                      <a:off x="0" y="0"/>
                      <a:ext cx="5040000" cy="7188838"/>
                    </a:xfrm>
                    <a:prstGeom prst="rect">
                      <a:avLst/>
                    </a:prstGeom>
                  </pic:spPr>
                </pic:pic>
              </a:graphicData>
            </a:graphic>
          </wp:inline>
        </w:drawing>
      </w:r>
      <w:r w:rsidR="008433C5" w:rsidRPr="002C21B8">
        <w:br w:type="page"/>
      </w:r>
    </w:p>
    <w:p w14:paraId="40E95A26" w14:textId="77777777" w:rsidR="00AB7FD6" w:rsidRPr="002C21B8" w:rsidRDefault="00AB7FD6" w:rsidP="00AB7FD6">
      <w:pPr>
        <w:spacing w:after="0" w:line="240" w:lineRule="auto"/>
        <w:jc w:val="left"/>
      </w:pPr>
    </w:p>
    <w:p w14:paraId="162A1701" w14:textId="77777777" w:rsidR="00335B86" w:rsidRPr="002C21B8" w:rsidRDefault="00335B86" w:rsidP="00AB7FD6">
      <w:pPr>
        <w:spacing w:after="0" w:line="240" w:lineRule="auto"/>
        <w:jc w:val="left"/>
      </w:pPr>
    </w:p>
    <w:p w14:paraId="4115F40D" w14:textId="77777777" w:rsidR="00335B86" w:rsidRPr="002C21B8" w:rsidRDefault="00335B86" w:rsidP="00AB7FD6">
      <w:pPr>
        <w:spacing w:after="0" w:line="240" w:lineRule="auto"/>
        <w:jc w:val="left"/>
      </w:pPr>
    </w:p>
    <w:p w14:paraId="1432D235" w14:textId="5B758BE9" w:rsidR="000062F7" w:rsidRPr="002C21B8" w:rsidRDefault="00BD27DB" w:rsidP="00AB7FD6">
      <w:pPr>
        <w:spacing w:line="240" w:lineRule="auto"/>
        <w:sectPr w:rsidR="000062F7" w:rsidRPr="002C21B8" w:rsidSect="0009672F">
          <w:type w:val="continuous"/>
          <w:pgSz w:w="11906" w:h="16838"/>
          <w:pgMar w:top="1440" w:right="1440" w:bottom="1440" w:left="1440" w:header="708" w:footer="708" w:gutter="0"/>
          <w:cols w:space="708"/>
          <w:docGrid w:linePitch="360"/>
        </w:sectPr>
      </w:pPr>
      <w:r w:rsidRPr="002C21B8">
        <w:rPr>
          <w:noProof/>
        </w:rPr>
        <w:drawing>
          <wp:inline distT="0" distB="0" distL="0" distR="0" wp14:anchorId="709E9737" wp14:editId="58B87639">
            <wp:extent cx="5040000" cy="7196288"/>
            <wp:effectExtent l="0" t="0" r="1905" b="5080"/>
            <wp:docPr id="920859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59262" name=""/>
                    <pic:cNvPicPr/>
                  </pic:nvPicPr>
                  <pic:blipFill>
                    <a:blip r:embed="rId204"/>
                    <a:stretch>
                      <a:fillRect/>
                    </a:stretch>
                  </pic:blipFill>
                  <pic:spPr>
                    <a:xfrm>
                      <a:off x="0" y="0"/>
                      <a:ext cx="5040000" cy="7196288"/>
                    </a:xfrm>
                    <a:prstGeom prst="rect">
                      <a:avLst/>
                    </a:prstGeom>
                  </pic:spPr>
                </pic:pic>
              </a:graphicData>
            </a:graphic>
          </wp:inline>
        </w:drawing>
      </w:r>
    </w:p>
    <w:p w14:paraId="12F76C1E" w14:textId="77777777" w:rsidR="0099322A" w:rsidRPr="002C21B8" w:rsidRDefault="0099322A" w:rsidP="00AB7FD6">
      <w:pPr>
        <w:spacing w:after="0" w:line="240" w:lineRule="auto"/>
        <w:jc w:val="left"/>
      </w:pPr>
      <w:r w:rsidRPr="002C21B8">
        <w:br w:type="page"/>
      </w:r>
    </w:p>
    <w:p w14:paraId="4CA25F24" w14:textId="77777777" w:rsidR="00AB7FD6" w:rsidRPr="002C21B8" w:rsidRDefault="00AB7FD6" w:rsidP="00AB7FD6">
      <w:pPr>
        <w:spacing w:after="0" w:line="240" w:lineRule="auto"/>
        <w:jc w:val="left"/>
      </w:pPr>
    </w:p>
    <w:p w14:paraId="7E05E061" w14:textId="77777777" w:rsidR="00335B86" w:rsidRPr="002C21B8" w:rsidRDefault="00335B86" w:rsidP="00AB7FD6">
      <w:pPr>
        <w:spacing w:after="0" w:line="240" w:lineRule="auto"/>
        <w:jc w:val="left"/>
      </w:pPr>
    </w:p>
    <w:p w14:paraId="751232F8" w14:textId="77777777" w:rsidR="00335B86" w:rsidRPr="002C21B8" w:rsidRDefault="00335B86" w:rsidP="00AB7FD6">
      <w:pPr>
        <w:spacing w:after="0" w:line="240" w:lineRule="auto"/>
        <w:jc w:val="left"/>
      </w:pPr>
    </w:p>
    <w:p w14:paraId="7CB7073A" w14:textId="52AB5C0E" w:rsidR="000062F7" w:rsidRPr="002C21B8" w:rsidRDefault="00BD27DB" w:rsidP="00AB7FD6">
      <w:pPr>
        <w:spacing w:line="240" w:lineRule="auto"/>
        <w:sectPr w:rsidR="000062F7" w:rsidRPr="002C21B8" w:rsidSect="0009672F">
          <w:type w:val="continuous"/>
          <w:pgSz w:w="11906" w:h="16838"/>
          <w:pgMar w:top="1440" w:right="1440" w:bottom="1440" w:left="1440" w:header="708" w:footer="708" w:gutter="0"/>
          <w:cols w:space="708"/>
          <w:docGrid w:linePitch="360"/>
        </w:sectPr>
      </w:pPr>
      <w:r w:rsidRPr="002C21B8">
        <w:rPr>
          <w:noProof/>
        </w:rPr>
        <w:drawing>
          <wp:inline distT="0" distB="0" distL="0" distR="0" wp14:anchorId="52EF1A43" wp14:editId="6ACB0073">
            <wp:extent cx="5040000" cy="7196288"/>
            <wp:effectExtent l="0" t="0" r="1905" b="5080"/>
            <wp:docPr id="142536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64063" name=""/>
                    <pic:cNvPicPr/>
                  </pic:nvPicPr>
                  <pic:blipFill>
                    <a:blip r:embed="rId205"/>
                    <a:stretch>
                      <a:fillRect/>
                    </a:stretch>
                  </pic:blipFill>
                  <pic:spPr>
                    <a:xfrm>
                      <a:off x="0" y="0"/>
                      <a:ext cx="5040000" cy="7196288"/>
                    </a:xfrm>
                    <a:prstGeom prst="rect">
                      <a:avLst/>
                    </a:prstGeom>
                  </pic:spPr>
                </pic:pic>
              </a:graphicData>
            </a:graphic>
          </wp:inline>
        </w:drawing>
      </w:r>
    </w:p>
    <w:bookmarkEnd w:id="467"/>
    <w:p w14:paraId="1F5EDAB7" w14:textId="77777777" w:rsidR="0099322A" w:rsidRPr="002C21B8" w:rsidRDefault="0099322A" w:rsidP="00AB7FD6">
      <w:pPr>
        <w:spacing w:after="0" w:line="240" w:lineRule="auto"/>
        <w:jc w:val="left"/>
        <w:rPr>
          <w:rFonts w:eastAsiaTheme="majorEastAsia"/>
          <w:b/>
          <w:bCs/>
          <w:color w:val="000000" w:themeColor="text1"/>
          <w:sz w:val="24"/>
          <w:szCs w:val="24"/>
          <w:lang w:val="fr-FR"/>
        </w:rPr>
      </w:pPr>
      <w:r w:rsidRPr="002C21B8">
        <w:rPr>
          <w:lang w:val="fr-FR"/>
        </w:rPr>
        <w:br w:type="page"/>
      </w:r>
    </w:p>
    <w:p w14:paraId="396DFE68" w14:textId="428DA432" w:rsidR="00014CDB" w:rsidRPr="002C21B8" w:rsidRDefault="00014CDB" w:rsidP="00ED2D36">
      <w:pPr>
        <w:pStyle w:val="Heading4"/>
        <w:numPr>
          <w:ilvl w:val="0"/>
          <w:numId w:val="0"/>
        </w:numPr>
      </w:pPr>
      <w:r w:rsidRPr="002C21B8">
        <w:t>Fieldnotes template used in observations</w:t>
      </w:r>
    </w:p>
    <w:p w14:paraId="5B6B929C" w14:textId="77777777" w:rsidR="00AB7FD6" w:rsidRPr="002C21B8" w:rsidRDefault="00AB7FD6" w:rsidP="00AB7FD6">
      <w:pPr>
        <w:spacing w:line="240" w:lineRule="auto"/>
      </w:pPr>
    </w:p>
    <w:p w14:paraId="354CFF20" w14:textId="39866B3F" w:rsidR="00014CDB" w:rsidRPr="002C21B8" w:rsidRDefault="00FD0485" w:rsidP="00AB7FD6">
      <w:pPr>
        <w:spacing w:after="0" w:line="240" w:lineRule="auto"/>
        <w:jc w:val="left"/>
        <w:rPr>
          <w:lang w:val="fr-FR"/>
        </w:rPr>
      </w:pPr>
      <w:r w:rsidRPr="002C21B8">
        <w:rPr>
          <w:noProof/>
          <w:lang w:val="fr-FR"/>
        </w:rPr>
        <w:drawing>
          <wp:inline distT="0" distB="0" distL="0" distR="0" wp14:anchorId="74CD1E8F" wp14:editId="2DDD84AD">
            <wp:extent cx="5040000" cy="7126384"/>
            <wp:effectExtent l="0" t="0" r="1905" b="0"/>
            <wp:docPr id="252838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38203" name=""/>
                    <pic:cNvPicPr/>
                  </pic:nvPicPr>
                  <pic:blipFill>
                    <a:blip r:embed="rId206"/>
                    <a:stretch>
                      <a:fillRect/>
                    </a:stretch>
                  </pic:blipFill>
                  <pic:spPr>
                    <a:xfrm>
                      <a:off x="0" y="0"/>
                      <a:ext cx="5040000" cy="7126384"/>
                    </a:xfrm>
                    <a:prstGeom prst="rect">
                      <a:avLst/>
                    </a:prstGeom>
                  </pic:spPr>
                </pic:pic>
              </a:graphicData>
            </a:graphic>
          </wp:inline>
        </w:drawing>
      </w:r>
      <w:r w:rsidR="00014CDB" w:rsidRPr="002C21B8">
        <w:rPr>
          <w:lang w:val="fr-FR"/>
        </w:rPr>
        <w:br w:type="page"/>
      </w:r>
    </w:p>
    <w:p w14:paraId="73DC9E4A" w14:textId="77777777" w:rsidR="00AB7FD6" w:rsidRPr="002C21B8" w:rsidRDefault="00AB7FD6" w:rsidP="00AB7FD6">
      <w:pPr>
        <w:spacing w:after="0" w:line="240" w:lineRule="auto"/>
        <w:jc w:val="left"/>
        <w:rPr>
          <w:rFonts w:eastAsiaTheme="majorEastAsia"/>
          <w:b/>
          <w:bCs/>
          <w:color w:val="000000" w:themeColor="text1"/>
          <w:sz w:val="24"/>
          <w:szCs w:val="24"/>
          <w:lang w:val="fr-FR"/>
        </w:rPr>
      </w:pPr>
    </w:p>
    <w:p w14:paraId="7EAF2486" w14:textId="77777777" w:rsidR="00335B86" w:rsidRPr="002C21B8" w:rsidRDefault="00335B86" w:rsidP="00AB7FD6">
      <w:pPr>
        <w:spacing w:after="0" w:line="240" w:lineRule="auto"/>
        <w:jc w:val="left"/>
        <w:rPr>
          <w:rFonts w:eastAsiaTheme="majorEastAsia"/>
          <w:b/>
          <w:bCs/>
          <w:color w:val="000000" w:themeColor="text1"/>
          <w:sz w:val="24"/>
          <w:szCs w:val="24"/>
          <w:lang w:val="fr-FR"/>
        </w:rPr>
      </w:pPr>
    </w:p>
    <w:p w14:paraId="7D4E50B6" w14:textId="77777777" w:rsidR="00335B86" w:rsidRPr="002C21B8" w:rsidRDefault="00335B86" w:rsidP="00AB7FD6">
      <w:pPr>
        <w:spacing w:after="0" w:line="240" w:lineRule="auto"/>
        <w:jc w:val="left"/>
        <w:rPr>
          <w:rFonts w:eastAsiaTheme="majorEastAsia"/>
          <w:b/>
          <w:bCs/>
          <w:color w:val="000000" w:themeColor="text1"/>
          <w:sz w:val="24"/>
          <w:szCs w:val="24"/>
          <w:lang w:val="fr-FR"/>
        </w:rPr>
      </w:pPr>
    </w:p>
    <w:p w14:paraId="00B45ACE" w14:textId="481547B7" w:rsidR="00014CDB" w:rsidRPr="002C21B8" w:rsidRDefault="00FD0485" w:rsidP="00AB7FD6">
      <w:pPr>
        <w:spacing w:after="0" w:line="240" w:lineRule="auto"/>
        <w:jc w:val="left"/>
        <w:rPr>
          <w:rFonts w:eastAsiaTheme="majorEastAsia"/>
          <w:b/>
          <w:bCs/>
          <w:color w:val="000000" w:themeColor="text1"/>
          <w:sz w:val="24"/>
          <w:szCs w:val="24"/>
          <w:lang w:val="fr-FR"/>
        </w:rPr>
      </w:pPr>
      <w:r w:rsidRPr="002C21B8">
        <w:rPr>
          <w:noProof/>
          <w:lang w:val="fr-FR"/>
        </w:rPr>
        <w:drawing>
          <wp:inline distT="0" distB="0" distL="0" distR="0" wp14:anchorId="736D0CF9" wp14:editId="36DB1B10">
            <wp:extent cx="5040000" cy="7138953"/>
            <wp:effectExtent l="0" t="0" r="1905" b="0"/>
            <wp:docPr id="5924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9467" name=""/>
                    <pic:cNvPicPr/>
                  </pic:nvPicPr>
                  <pic:blipFill>
                    <a:blip r:embed="rId207"/>
                    <a:stretch>
                      <a:fillRect/>
                    </a:stretch>
                  </pic:blipFill>
                  <pic:spPr>
                    <a:xfrm>
                      <a:off x="0" y="0"/>
                      <a:ext cx="5040000" cy="7138953"/>
                    </a:xfrm>
                    <a:prstGeom prst="rect">
                      <a:avLst/>
                    </a:prstGeom>
                  </pic:spPr>
                </pic:pic>
              </a:graphicData>
            </a:graphic>
          </wp:inline>
        </w:drawing>
      </w:r>
      <w:r w:rsidR="00014CDB" w:rsidRPr="002C21B8">
        <w:rPr>
          <w:lang w:val="fr-FR"/>
        </w:rPr>
        <w:br w:type="page"/>
      </w:r>
    </w:p>
    <w:p w14:paraId="1A5337FF" w14:textId="220C3F5E" w:rsidR="00B151B4" w:rsidRPr="002C21B8" w:rsidRDefault="00B151B4" w:rsidP="00ED2D36">
      <w:pPr>
        <w:pStyle w:val="Heading4"/>
        <w:numPr>
          <w:ilvl w:val="0"/>
          <w:numId w:val="0"/>
        </w:numPr>
        <w:rPr>
          <w:lang w:val="fr-FR"/>
        </w:rPr>
      </w:pPr>
      <w:r w:rsidRPr="002C21B8">
        <w:rPr>
          <w:lang w:val="fr-FR"/>
        </w:rPr>
        <w:t>Participant consent form</w:t>
      </w:r>
    </w:p>
    <w:p w14:paraId="049B988B" w14:textId="77777777" w:rsidR="00AB7FD6" w:rsidRPr="002C21B8" w:rsidRDefault="00AB7FD6" w:rsidP="00AB7FD6">
      <w:pPr>
        <w:rPr>
          <w:lang w:val="fr-FR"/>
        </w:rPr>
      </w:pPr>
    </w:p>
    <w:p w14:paraId="4D9993B5" w14:textId="1C9CCCB2" w:rsidR="00B32FEA" w:rsidRPr="002C21B8" w:rsidRDefault="00BD27DB" w:rsidP="00AB7FD6">
      <w:pPr>
        <w:spacing w:before="240" w:after="0"/>
        <w:rPr>
          <w:b/>
          <w:bCs/>
          <w:sz w:val="28"/>
          <w:szCs w:val="28"/>
          <w:lang w:val="fr-FR"/>
        </w:rPr>
      </w:pPr>
      <w:r w:rsidRPr="002C21B8">
        <w:rPr>
          <w:noProof/>
        </w:rPr>
        <w:drawing>
          <wp:inline distT="0" distB="0" distL="0" distR="0" wp14:anchorId="46659611" wp14:editId="221434FA">
            <wp:extent cx="5040000" cy="7214884"/>
            <wp:effectExtent l="0" t="0" r="1905" b="0"/>
            <wp:docPr id="31393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35696" name=""/>
                    <pic:cNvPicPr/>
                  </pic:nvPicPr>
                  <pic:blipFill>
                    <a:blip r:embed="rId208"/>
                    <a:stretch>
                      <a:fillRect/>
                    </a:stretch>
                  </pic:blipFill>
                  <pic:spPr>
                    <a:xfrm>
                      <a:off x="0" y="0"/>
                      <a:ext cx="5040000" cy="7214884"/>
                    </a:xfrm>
                    <a:prstGeom prst="rect">
                      <a:avLst/>
                    </a:prstGeom>
                  </pic:spPr>
                </pic:pic>
              </a:graphicData>
            </a:graphic>
          </wp:inline>
        </w:drawing>
      </w:r>
      <w:r w:rsidR="00B32FEA" w:rsidRPr="002C21B8">
        <w:rPr>
          <w:lang w:val="fr-FR"/>
        </w:rPr>
        <w:br w:type="page"/>
      </w:r>
    </w:p>
    <w:p w14:paraId="61B2304C" w14:textId="5591D1A7" w:rsidR="00B32FEA" w:rsidRPr="002C21B8" w:rsidRDefault="000C7ADF" w:rsidP="00ED2D36">
      <w:pPr>
        <w:pStyle w:val="Heading4"/>
        <w:numPr>
          <w:ilvl w:val="0"/>
          <w:numId w:val="0"/>
        </w:numPr>
      </w:pPr>
      <w:r w:rsidRPr="002C21B8">
        <w:t>Participant information sheet for professionals (Interview)</w:t>
      </w:r>
    </w:p>
    <w:p w14:paraId="05E5997C" w14:textId="77777777" w:rsidR="00AB7FD6" w:rsidRPr="002C21B8" w:rsidRDefault="00AB7FD6" w:rsidP="00AB7FD6"/>
    <w:p w14:paraId="0BF3BE03" w14:textId="56586D6C" w:rsidR="00B32FEA" w:rsidRPr="002C21B8" w:rsidRDefault="00BD27DB" w:rsidP="00AB7FD6">
      <w:pPr>
        <w:spacing w:after="0"/>
        <w:jc w:val="left"/>
        <w:rPr>
          <w:lang w:val="fr-FR"/>
        </w:rPr>
      </w:pPr>
      <w:r w:rsidRPr="002C21B8">
        <w:rPr>
          <w:noProof/>
        </w:rPr>
        <w:drawing>
          <wp:inline distT="0" distB="0" distL="0" distR="0" wp14:anchorId="196AA84C" wp14:editId="0EE2F79D">
            <wp:extent cx="5040000" cy="7233575"/>
            <wp:effectExtent l="0" t="0" r="1905" b="5715"/>
            <wp:docPr id="169875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968" name=""/>
                    <pic:cNvPicPr/>
                  </pic:nvPicPr>
                  <pic:blipFill>
                    <a:blip r:embed="rId209"/>
                    <a:stretch>
                      <a:fillRect/>
                    </a:stretch>
                  </pic:blipFill>
                  <pic:spPr>
                    <a:xfrm>
                      <a:off x="0" y="0"/>
                      <a:ext cx="5040000" cy="7233575"/>
                    </a:xfrm>
                    <a:prstGeom prst="rect">
                      <a:avLst/>
                    </a:prstGeom>
                  </pic:spPr>
                </pic:pic>
              </a:graphicData>
            </a:graphic>
          </wp:inline>
        </w:drawing>
      </w:r>
    </w:p>
    <w:p w14:paraId="46767BAA" w14:textId="5B2B9E63" w:rsidR="00467257" w:rsidRPr="002C21B8" w:rsidRDefault="00467257" w:rsidP="00AB7FD6">
      <w:pPr>
        <w:spacing w:after="0"/>
        <w:jc w:val="left"/>
        <w:rPr>
          <w:b/>
          <w:bCs/>
          <w:sz w:val="28"/>
          <w:szCs w:val="28"/>
          <w:lang w:val="fr-FR"/>
        </w:rPr>
      </w:pPr>
    </w:p>
    <w:p w14:paraId="659321E6" w14:textId="77777777" w:rsidR="00AB7FD6" w:rsidRPr="002C21B8" w:rsidRDefault="00AB7FD6" w:rsidP="00AB7FD6">
      <w:pPr>
        <w:spacing w:after="0"/>
        <w:jc w:val="left"/>
        <w:rPr>
          <w:b/>
          <w:bCs/>
          <w:sz w:val="28"/>
          <w:szCs w:val="28"/>
          <w:lang w:val="fr-FR"/>
        </w:rPr>
      </w:pPr>
    </w:p>
    <w:p w14:paraId="04E5D44F" w14:textId="77777777" w:rsidR="00AB7FD6" w:rsidRPr="002C21B8" w:rsidRDefault="00AB7FD6" w:rsidP="00335B86">
      <w:pPr>
        <w:spacing w:after="0" w:line="240" w:lineRule="auto"/>
        <w:rPr>
          <w:lang w:val="fr-FR"/>
        </w:rPr>
      </w:pPr>
    </w:p>
    <w:p w14:paraId="3766D517" w14:textId="77777777" w:rsidR="00335B86" w:rsidRPr="002C21B8" w:rsidRDefault="00335B86" w:rsidP="00335B86">
      <w:pPr>
        <w:spacing w:after="0" w:line="240" w:lineRule="auto"/>
        <w:rPr>
          <w:lang w:val="fr-FR"/>
        </w:rPr>
      </w:pPr>
    </w:p>
    <w:p w14:paraId="2D5DD5D8" w14:textId="77777777" w:rsidR="00335B86" w:rsidRPr="002C21B8" w:rsidRDefault="00335B86" w:rsidP="00335B86">
      <w:pPr>
        <w:spacing w:after="0" w:line="240" w:lineRule="auto"/>
        <w:rPr>
          <w:lang w:val="fr-FR"/>
        </w:rPr>
      </w:pPr>
    </w:p>
    <w:p w14:paraId="7410F7E5" w14:textId="764B949D" w:rsidR="00467257" w:rsidRPr="002C21B8" w:rsidRDefault="00467257">
      <w:pPr>
        <w:spacing w:after="0" w:line="240" w:lineRule="auto"/>
        <w:jc w:val="left"/>
        <w:rPr>
          <w:b/>
          <w:bCs/>
          <w:sz w:val="28"/>
          <w:szCs w:val="28"/>
          <w:lang w:val="fr-FR"/>
        </w:rPr>
      </w:pPr>
      <w:r w:rsidRPr="002C21B8">
        <w:rPr>
          <w:b/>
          <w:bCs/>
          <w:noProof/>
          <w:sz w:val="28"/>
          <w:szCs w:val="28"/>
        </w:rPr>
        <w:drawing>
          <wp:inline distT="0" distB="0" distL="0" distR="0" wp14:anchorId="0AD22C5C" wp14:editId="002D6E15">
            <wp:extent cx="5040000" cy="7190745"/>
            <wp:effectExtent l="0" t="0" r="1905" b="0"/>
            <wp:docPr id="279999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99529" name=""/>
                    <pic:cNvPicPr/>
                  </pic:nvPicPr>
                  <pic:blipFill>
                    <a:blip r:embed="rId210"/>
                    <a:stretch>
                      <a:fillRect/>
                    </a:stretch>
                  </pic:blipFill>
                  <pic:spPr>
                    <a:xfrm>
                      <a:off x="0" y="0"/>
                      <a:ext cx="5040000" cy="7190745"/>
                    </a:xfrm>
                    <a:prstGeom prst="rect">
                      <a:avLst/>
                    </a:prstGeom>
                  </pic:spPr>
                </pic:pic>
              </a:graphicData>
            </a:graphic>
          </wp:inline>
        </w:drawing>
      </w:r>
      <w:r w:rsidRPr="002C21B8">
        <w:rPr>
          <w:b/>
          <w:bCs/>
          <w:sz w:val="28"/>
          <w:szCs w:val="28"/>
          <w:lang w:val="fr-FR"/>
        </w:rPr>
        <w:br w:type="page"/>
      </w:r>
    </w:p>
    <w:p w14:paraId="3B2BA2C0" w14:textId="0530434A" w:rsidR="00B32FEA" w:rsidRPr="002C21B8" w:rsidRDefault="00B32FEA" w:rsidP="00335B86">
      <w:pPr>
        <w:spacing w:after="0" w:line="240" w:lineRule="auto"/>
        <w:rPr>
          <w:lang w:val="fr-FR"/>
        </w:rPr>
      </w:pPr>
    </w:p>
    <w:p w14:paraId="0A78C5EE" w14:textId="77777777" w:rsidR="00335B86" w:rsidRPr="002C21B8" w:rsidRDefault="00335B86" w:rsidP="00335B86">
      <w:pPr>
        <w:spacing w:after="0" w:line="240" w:lineRule="auto"/>
        <w:rPr>
          <w:lang w:val="fr-FR"/>
        </w:rPr>
      </w:pPr>
    </w:p>
    <w:p w14:paraId="074A1990" w14:textId="77777777" w:rsidR="00335B86" w:rsidRPr="002C21B8" w:rsidRDefault="00335B86" w:rsidP="00335B86">
      <w:pPr>
        <w:spacing w:after="0" w:line="240" w:lineRule="auto"/>
        <w:rPr>
          <w:lang w:val="fr-FR"/>
        </w:rPr>
      </w:pPr>
    </w:p>
    <w:p w14:paraId="140F84FB" w14:textId="7BB773C7" w:rsidR="00B32FEA" w:rsidRPr="002C21B8" w:rsidRDefault="00467257" w:rsidP="00AB7FD6">
      <w:pPr>
        <w:spacing w:after="0" w:line="240" w:lineRule="auto"/>
        <w:jc w:val="left"/>
        <w:rPr>
          <w:b/>
          <w:bCs/>
          <w:sz w:val="28"/>
          <w:szCs w:val="28"/>
          <w:lang w:val="fr-FR"/>
        </w:rPr>
      </w:pPr>
      <w:r w:rsidRPr="002C21B8">
        <w:rPr>
          <w:b/>
          <w:bCs/>
          <w:noProof/>
          <w:sz w:val="28"/>
          <w:szCs w:val="28"/>
        </w:rPr>
        <w:drawing>
          <wp:inline distT="0" distB="0" distL="0" distR="0" wp14:anchorId="4D311927" wp14:editId="7B3ED1AE">
            <wp:extent cx="5040000" cy="7240931"/>
            <wp:effectExtent l="0" t="0" r="1905" b="0"/>
            <wp:docPr id="1715237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37271" name=""/>
                    <pic:cNvPicPr/>
                  </pic:nvPicPr>
                  <pic:blipFill>
                    <a:blip r:embed="rId211"/>
                    <a:stretch>
                      <a:fillRect/>
                    </a:stretch>
                  </pic:blipFill>
                  <pic:spPr>
                    <a:xfrm>
                      <a:off x="0" y="0"/>
                      <a:ext cx="5040000" cy="7240931"/>
                    </a:xfrm>
                    <a:prstGeom prst="rect">
                      <a:avLst/>
                    </a:prstGeom>
                  </pic:spPr>
                </pic:pic>
              </a:graphicData>
            </a:graphic>
          </wp:inline>
        </w:drawing>
      </w:r>
      <w:r w:rsidR="00B32FEA" w:rsidRPr="002C21B8">
        <w:rPr>
          <w:b/>
          <w:bCs/>
          <w:sz w:val="28"/>
          <w:szCs w:val="28"/>
          <w:lang w:val="fr-FR"/>
        </w:rPr>
        <w:br w:type="page"/>
      </w:r>
    </w:p>
    <w:p w14:paraId="027768A7" w14:textId="77777777" w:rsidR="00AB7FD6" w:rsidRPr="002C21B8" w:rsidRDefault="00AB7FD6" w:rsidP="00335B86">
      <w:pPr>
        <w:spacing w:after="0" w:line="240" w:lineRule="auto"/>
        <w:rPr>
          <w:lang w:val="fr-FR"/>
        </w:rPr>
      </w:pPr>
    </w:p>
    <w:p w14:paraId="05C8BE53" w14:textId="77777777" w:rsidR="00335B86" w:rsidRPr="002C21B8" w:rsidRDefault="00335B86" w:rsidP="00335B86">
      <w:pPr>
        <w:spacing w:after="0" w:line="240" w:lineRule="auto"/>
        <w:rPr>
          <w:lang w:val="fr-FR"/>
        </w:rPr>
      </w:pPr>
    </w:p>
    <w:p w14:paraId="096E64F2" w14:textId="77777777" w:rsidR="00335B86" w:rsidRPr="002C21B8" w:rsidRDefault="00335B86" w:rsidP="00335B86">
      <w:pPr>
        <w:spacing w:after="0" w:line="240" w:lineRule="auto"/>
        <w:rPr>
          <w:lang w:val="fr-FR"/>
        </w:rPr>
      </w:pPr>
    </w:p>
    <w:p w14:paraId="326D53DF" w14:textId="09744C7D" w:rsidR="00B32FEA" w:rsidRPr="002C21B8" w:rsidRDefault="00BD27DB" w:rsidP="00AB7FD6">
      <w:pPr>
        <w:spacing w:after="0" w:line="240" w:lineRule="auto"/>
        <w:jc w:val="left"/>
        <w:rPr>
          <w:b/>
          <w:bCs/>
          <w:sz w:val="28"/>
          <w:szCs w:val="28"/>
          <w:lang w:val="fr-FR"/>
        </w:rPr>
      </w:pPr>
      <w:r w:rsidRPr="002C21B8">
        <w:rPr>
          <w:b/>
          <w:bCs/>
          <w:noProof/>
          <w:sz w:val="28"/>
          <w:szCs w:val="28"/>
        </w:rPr>
        <w:drawing>
          <wp:inline distT="0" distB="0" distL="0" distR="0" wp14:anchorId="4DA70AE3" wp14:editId="2D97D251">
            <wp:extent cx="5040000" cy="7252364"/>
            <wp:effectExtent l="0" t="0" r="1905" b="0"/>
            <wp:docPr id="191350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07472" name=""/>
                    <pic:cNvPicPr/>
                  </pic:nvPicPr>
                  <pic:blipFill>
                    <a:blip r:embed="rId212"/>
                    <a:stretch>
                      <a:fillRect/>
                    </a:stretch>
                  </pic:blipFill>
                  <pic:spPr>
                    <a:xfrm>
                      <a:off x="0" y="0"/>
                      <a:ext cx="5040000" cy="7252364"/>
                    </a:xfrm>
                    <a:prstGeom prst="rect">
                      <a:avLst/>
                    </a:prstGeom>
                  </pic:spPr>
                </pic:pic>
              </a:graphicData>
            </a:graphic>
          </wp:inline>
        </w:drawing>
      </w:r>
      <w:r w:rsidR="00B32FEA" w:rsidRPr="002C21B8">
        <w:rPr>
          <w:b/>
          <w:bCs/>
          <w:sz w:val="28"/>
          <w:szCs w:val="28"/>
          <w:lang w:val="fr-FR"/>
        </w:rPr>
        <w:br w:type="page"/>
      </w:r>
    </w:p>
    <w:p w14:paraId="3F670282" w14:textId="25D865F7" w:rsidR="000C7ADF" w:rsidRPr="002C21B8" w:rsidRDefault="000C7ADF" w:rsidP="00ED2D36">
      <w:pPr>
        <w:pStyle w:val="Heading4"/>
        <w:numPr>
          <w:ilvl w:val="0"/>
          <w:numId w:val="0"/>
        </w:numPr>
      </w:pPr>
      <w:r w:rsidRPr="002C21B8">
        <w:t>Participant information sheet for professionals (Observation</w:t>
      </w:r>
      <w:r w:rsidR="003C0FF0" w:rsidRPr="002C21B8">
        <w:t>s</w:t>
      </w:r>
      <w:r w:rsidRPr="002C21B8">
        <w:t>)</w:t>
      </w:r>
    </w:p>
    <w:p w14:paraId="4A4DB1F9" w14:textId="77777777" w:rsidR="00AB7FD6" w:rsidRPr="002C21B8" w:rsidRDefault="00AB7FD6" w:rsidP="00AB7FD6"/>
    <w:p w14:paraId="05886A03" w14:textId="1FE1895F" w:rsidR="000C7ADF" w:rsidRPr="002C21B8" w:rsidRDefault="00BD27DB" w:rsidP="000C7ADF">
      <w:pPr>
        <w:spacing w:after="0" w:line="240" w:lineRule="auto"/>
        <w:jc w:val="left"/>
        <w:rPr>
          <w:b/>
          <w:bCs/>
          <w:sz w:val="28"/>
          <w:szCs w:val="28"/>
          <w:lang w:val="fr-FR"/>
        </w:rPr>
      </w:pPr>
      <w:r w:rsidRPr="002C21B8">
        <w:rPr>
          <w:b/>
          <w:bCs/>
          <w:noProof/>
          <w:sz w:val="28"/>
          <w:szCs w:val="28"/>
        </w:rPr>
        <w:drawing>
          <wp:inline distT="0" distB="0" distL="0" distR="0" wp14:anchorId="2A5FC76C" wp14:editId="640489E8">
            <wp:extent cx="5040000" cy="7201860"/>
            <wp:effectExtent l="0" t="0" r="1905" b="0"/>
            <wp:docPr id="27553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3817" name=""/>
                    <pic:cNvPicPr/>
                  </pic:nvPicPr>
                  <pic:blipFill>
                    <a:blip r:embed="rId213"/>
                    <a:stretch>
                      <a:fillRect/>
                    </a:stretch>
                  </pic:blipFill>
                  <pic:spPr>
                    <a:xfrm>
                      <a:off x="0" y="0"/>
                      <a:ext cx="5040000" cy="7201860"/>
                    </a:xfrm>
                    <a:prstGeom prst="rect">
                      <a:avLst/>
                    </a:prstGeom>
                  </pic:spPr>
                </pic:pic>
              </a:graphicData>
            </a:graphic>
          </wp:inline>
        </w:drawing>
      </w:r>
      <w:r w:rsidR="000C7ADF" w:rsidRPr="002C21B8">
        <w:rPr>
          <w:b/>
          <w:bCs/>
          <w:sz w:val="28"/>
          <w:szCs w:val="28"/>
          <w:lang w:val="fr-FR"/>
        </w:rPr>
        <w:br w:type="page"/>
      </w:r>
    </w:p>
    <w:p w14:paraId="15DAC4F8" w14:textId="77777777" w:rsidR="00AB7FD6" w:rsidRPr="002C21B8" w:rsidRDefault="00AB7FD6" w:rsidP="00335B86">
      <w:pPr>
        <w:spacing w:after="0" w:line="240" w:lineRule="auto"/>
        <w:rPr>
          <w:lang w:val="fr-FR"/>
        </w:rPr>
      </w:pPr>
    </w:p>
    <w:p w14:paraId="431A4ABD" w14:textId="77777777" w:rsidR="00335B86" w:rsidRPr="002C21B8" w:rsidRDefault="00335B86" w:rsidP="00335B86">
      <w:pPr>
        <w:spacing w:after="0" w:line="240" w:lineRule="auto"/>
        <w:rPr>
          <w:lang w:val="fr-FR"/>
        </w:rPr>
      </w:pPr>
    </w:p>
    <w:p w14:paraId="52504B70" w14:textId="77777777" w:rsidR="00335B86" w:rsidRPr="002C21B8" w:rsidRDefault="00335B86" w:rsidP="00335B86">
      <w:pPr>
        <w:spacing w:after="0" w:line="240" w:lineRule="auto"/>
        <w:rPr>
          <w:lang w:val="fr-FR"/>
        </w:rPr>
      </w:pPr>
    </w:p>
    <w:p w14:paraId="3D3ED68F" w14:textId="26947CB7" w:rsidR="000C7ADF" w:rsidRPr="002C21B8" w:rsidRDefault="00BD27DB">
      <w:pPr>
        <w:spacing w:after="0" w:line="240" w:lineRule="auto"/>
        <w:jc w:val="left"/>
        <w:rPr>
          <w:b/>
          <w:bCs/>
          <w:sz w:val="28"/>
          <w:szCs w:val="28"/>
          <w:lang w:val="fr-FR"/>
        </w:rPr>
      </w:pPr>
      <w:r w:rsidRPr="002C21B8">
        <w:rPr>
          <w:b/>
          <w:bCs/>
          <w:noProof/>
          <w:sz w:val="28"/>
          <w:szCs w:val="28"/>
        </w:rPr>
        <w:drawing>
          <wp:inline distT="0" distB="0" distL="0" distR="0" wp14:anchorId="29814030" wp14:editId="5FEEA81A">
            <wp:extent cx="5040000" cy="7175814"/>
            <wp:effectExtent l="0" t="0" r="1905" b="0"/>
            <wp:docPr id="1523833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33429" name=""/>
                    <pic:cNvPicPr/>
                  </pic:nvPicPr>
                  <pic:blipFill>
                    <a:blip r:embed="rId214"/>
                    <a:stretch>
                      <a:fillRect/>
                    </a:stretch>
                  </pic:blipFill>
                  <pic:spPr>
                    <a:xfrm>
                      <a:off x="0" y="0"/>
                      <a:ext cx="5040000" cy="7175814"/>
                    </a:xfrm>
                    <a:prstGeom prst="rect">
                      <a:avLst/>
                    </a:prstGeom>
                  </pic:spPr>
                </pic:pic>
              </a:graphicData>
            </a:graphic>
          </wp:inline>
        </w:drawing>
      </w:r>
      <w:r w:rsidR="000C7ADF" w:rsidRPr="002C21B8">
        <w:rPr>
          <w:b/>
          <w:bCs/>
          <w:sz w:val="28"/>
          <w:szCs w:val="28"/>
          <w:lang w:val="fr-FR"/>
        </w:rPr>
        <w:br w:type="page"/>
      </w:r>
    </w:p>
    <w:p w14:paraId="44C676E8" w14:textId="77777777" w:rsidR="00AB7FD6" w:rsidRPr="002C21B8" w:rsidRDefault="00AB7FD6" w:rsidP="00335B86">
      <w:pPr>
        <w:spacing w:after="0" w:line="240" w:lineRule="auto"/>
        <w:rPr>
          <w:lang w:val="fr-FR"/>
        </w:rPr>
      </w:pPr>
    </w:p>
    <w:p w14:paraId="25AD5E62" w14:textId="77777777" w:rsidR="00335B86" w:rsidRPr="002C21B8" w:rsidRDefault="00335B86" w:rsidP="00335B86">
      <w:pPr>
        <w:spacing w:after="0" w:line="240" w:lineRule="auto"/>
        <w:rPr>
          <w:lang w:val="fr-FR"/>
        </w:rPr>
      </w:pPr>
    </w:p>
    <w:p w14:paraId="3F415C00" w14:textId="77777777" w:rsidR="00335B86" w:rsidRPr="002C21B8" w:rsidRDefault="00335B86" w:rsidP="00335B86">
      <w:pPr>
        <w:spacing w:after="0" w:line="240" w:lineRule="auto"/>
        <w:rPr>
          <w:lang w:val="fr-FR"/>
        </w:rPr>
      </w:pPr>
    </w:p>
    <w:p w14:paraId="306334BB" w14:textId="37C7BD48" w:rsidR="000C7ADF" w:rsidRPr="002C21B8" w:rsidRDefault="00BD27DB">
      <w:pPr>
        <w:spacing w:after="0" w:line="240" w:lineRule="auto"/>
        <w:jc w:val="left"/>
        <w:rPr>
          <w:b/>
          <w:bCs/>
          <w:sz w:val="28"/>
          <w:szCs w:val="28"/>
          <w:lang w:val="fr-FR"/>
        </w:rPr>
      </w:pPr>
      <w:r w:rsidRPr="002C21B8">
        <w:rPr>
          <w:b/>
          <w:bCs/>
          <w:noProof/>
          <w:sz w:val="28"/>
          <w:szCs w:val="28"/>
        </w:rPr>
        <w:drawing>
          <wp:inline distT="0" distB="0" distL="0" distR="0" wp14:anchorId="04B54176" wp14:editId="0B49CBA2">
            <wp:extent cx="5040000" cy="7175814"/>
            <wp:effectExtent l="0" t="0" r="1905" b="0"/>
            <wp:docPr id="509588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88461" name=""/>
                    <pic:cNvPicPr/>
                  </pic:nvPicPr>
                  <pic:blipFill>
                    <a:blip r:embed="rId215"/>
                    <a:stretch>
                      <a:fillRect/>
                    </a:stretch>
                  </pic:blipFill>
                  <pic:spPr>
                    <a:xfrm>
                      <a:off x="0" y="0"/>
                      <a:ext cx="5040000" cy="7175814"/>
                    </a:xfrm>
                    <a:prstGeom prst="rect">
                      <a:avLst/>
                    </a:prstGeom>
                  </pic:spPr>
                </pic:pic>
              </a:graphicData>
            </a:graphic>
          </wp:inline>
        </w:drawing>
      </w:r>
      <w:r w:rsidR="000C7ADF" w:rsidRPr="002C21B8">
        <w:rPr>
          <w:b/>
          <w:bCs/>
          <w:sz w:val="28"/>
          <w:szCs w:val="28"/>
          <w:lang w:val="fr-FR"/>
        </w:rPr>
        <w:br w:type="page"/>
      </w:r>
    </w:p>
    <w:p w14:paraId="5ECC5917" w14:textId="77777777" w:rsidR="00335B86" w:rsidRPr="002C21B8" w:rsidRDefault="00335B86" w:rsidP="000C7ADF">
      <w:pPr>
        <w:spacing w:after="0" w:line="240" w:lineRule="auto"/>
        <w:jc w:val="left"/>
        <w:rPr>
          <w:lang w:val="fr-FR"/>
        </w:rPr>
      </w:pPr>
    </w:p>
    <w:p w14:paraId="108854A8" w14:textId="77777777" w:rsidR="00335B86" w:rsidRPr="002C21B8" w:rsidRDefault="00335B86" w:rsidP="000C7ADF">
      <w:pPr>
        <w:spacing w:after="0" w:line="240" w:lineRule="auto"/>
        <w:jc w:val="left"/>
        <w:rPr>
          <w:lang w:val="fr-FR"/>
        </w:rPr>
      </w:pPr>
    </w:p>
    <w:p w14:paraId="639E077E" w14:textId="77777777" w:rsidR="00335B86" w:rsidRPr="002C21B8" w:rsidRDefault="00335B86" w:rsidP="000C7ADF">
      <w:pPr>
        <w:spacing w:after="0" w:line="240" w:lineRule="auto"/>
        <w:jc w:val="left"/>
        <w:rPr>
          <w:lang w:val="fr-FR"/>
        </w:rPr>
      </w:pPr>
    </w:p>
    <w:p w14:paraId="06329CA1" w14:textId="592460AF" w:rsidR="000C7ADF" w:rsidRPr="002C21B8" w:rsidRDefault="00BD27DB" w:rsidP="000C7ADF">
      <w:pPr>
        <w:spacing w:after="0" w:line="240" w:lineRule="auto"/>
        <w:jc w:val="left"/>
        <w:rPr>
          <w:b/>
          <w:bCs/>
          <w:sz w:val="28"/>
          <w:szCs w:val="28"/>
          <w:lang w:val="fr-FR"/>
        </w:rPr>
      </w:pPr>
      <w:r w:rsidRPr="002C21B8">
        <w:rPr>
          <w:b/>
          <w:bCs/>
          <w:noProof/>
          <w:sz w:val="28"/>
          <w:szCs w:val="28"/>
        </w:rPr>
        <w:drawing>
          <wp:inline distT="0" distB="0" distL="0" distR="0" wp14:anchorId="50958605" wp14:editId="57A2B625">
            <wp:extent cx="5400000" cy="7770390"/>
            <wp:effectExtent l="0" t="0" r="0" b="2540"/>
            <wp:docPr id="197681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16711" name=""/>
                    <pic:cNvPicPr/>
                  </pic:nvPicPr>
                  <pic:blipFill>
                    <a:blip r:embed="rId216"/>
                    <a:stretch>
                      <a:fillRect/>
                    </a:stretch>
                  </pic:blipFill>
                  <pic:spPr>
                    <a:xfrm>
                      <a:off x="0" y="0"/>
                      <a:ext cx="5400000" cy="7770390"/>
                    </a:xfrm>
                    <a:prstGeom prst="rect">
                      <a:avLst/>
                    </a:prstGeom>
                  </pic:spPr>
                </pic:pic>
              </a:graphicData>
            </a:graphic>
          </wp:inline>
        </w:drawing>
      </w:r>
      <w:r w:rsidR="000C7ADF" w:rsidRPr="002C21B8">
        <w:rPr>
          <w:b/>
          <w:bCs/>
          <w:sz w:val="28"/>
          <w:szCs w:val="28"/>
          <w:lang w:val="fr-FR"/>
        </w:rPr>
        <w:br w:type="page"/>
      </w:r>
    </w:p>
    <w:p w14:paraId="27375ED1" w14:textId="2710E509" w:rsidR="00B32FEA" w:rsidRPr="002C21B8" w:rsidRDefault="000C7ADF" w:rsidP="00ED2D36">
      <w:pPr>
        <w:pStyle w:val="Heading4"/>
        <w:numPr>
          <w:ilvl w:val="0"/>
          <w:numId w:val="0"/>
        </w:numPr>
        <w:rPr>
          <w:lang w:val="fr-FR"/>
        </w:rPr>
      </w:pPr>
      <w:r w:rsidRPr="002C21B8">
        <w:rPr>
          <w:lang w:val="fr-FR"/>
        </w:rPr>
        <w:t>Participant information sheet for patients</w:t>
      </w:r>
    </w:p>
    <w:p w14:paraId="552AE870" w14:textId="77777777" w:rsidR="00AB7FD6" w:rsidRPr="002C21B8" w:rsidRDefault="00AB7FD6" w:rsidP="00AB7FD6">
      <w:pPr>
        <w:rPr>
          <w:lang w:val="fr-FR"/>
        </w:rPr>
      </w:pPr>
    </w:p>
    <w:p w14:paraId="123D325F" w14:textId="4E2F45FD" w:rsidR="00B32FEA" w:rsidRPr="002C21B8" w:rsidRDefault="00043CE6" w:rsidP="00B32FEA">
      <w:pPr>
        <w:spacing w:after="0" w:line="240" w:lineRule="auto"/>
        <w:jc w:val="left"/>
        <w:rPr>
          <w:b/>
          <w:bCs/>
          <w:sz w:val="28"/>
          <w:szCs w:val="28"/>
          <w:lang w:val="fr-FR"/>
        </w:rPr>
      </w:pPr>
      <w:r w:rsidRPr="002C21B8">
        <w:rPr>
          <w:b/>
          <w:bCs/>
          <w:noProof/>
          <w:sz w:val="28"/>
          <w:szCs w:val="28"/>
        </w:rPr>
        <w:drawing>
          <wp:inline distT="0" distB="0" distL="0" distR="0" wp14:anchorId="3E970DF5" wp14:editId="0778E931">
            <wp:extent cx="5040000" cy="7125964"/>
            <wp:effectExtent l="0" t="0" r="1905" b="0"/>
            <wp:docPr id="106667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75343" name=""/>
                    <pic:cNvPicPr/>
                  </pic:nvPicPr>
                  <pic:blipFill>
                    <a:blip r:embed="rId217"/>
                    <a:stretch>
                      <a:fillRect/>
                    </a:stretch>
                  </pic:blipFill>
                  <pic:spPr>
                    <a:xfrm>
                      <a:off x="0" y="0"/>
                      <a:ext cx="5040000" cy="7125964"/>
                    </a:xfrm>
                    <a:prstGeom prst="rect">
                      <a:avLst/>
                    </a:prstGeom>
                  </pic:spPr>
                </pic:pic>
              </a:graphicData>
            </a:graphic>
          </wp:inline>
        </w:drawing>
      </w:r>
      <w:r w:rsidR="00B32FEA" w:rsidRPr="002C21B8">
        <w:rPr>
          <w:b/>
          <w:bCs/>
          <w:sz w:val="28"/>
          <w:szCs w:val="28"/>
          <w:lang w:val="fr-FR"/>
        </w:rPr>
        <w:br w:type="page"/>
      </w:r>
    </w:p>
    <w:p w14:paraId="3FBF8330" w14:textId="77777777" w:rsidR="00AB7FD6" w:rsidRPr="002C21B8" w:rsidRDefault="00AB7FD6" w:rsidP="00335B86">
      <w:pPr>
        <w:spacing w:after="0" w:line="240" w:lineRule="auto"/>
        <w:rPr>
          <w:lang w:val="fr-FR"/>
        </w:rPr>
      </w:pPr>
    </w:p>
    <w:p w14:paraId="4FE04753" w14:textId="77777777" w:rsidR="00335B86" w:rsidRPr="002C21B8" w:rsidRDefault="00335B86" w:rsidP="00335B86">
      <w:pPr>
        <w:spacing w:after="0" w:line="240" w:lineRule="auto"/>
        <w:rPr>
          <w:lang w:val="fr-FR"/>
        </w:rPr>
      </w:pPr>
    </w:p>
    <w:p w14:paraId="78E923DF" w14:textId="77777777" w:rsidR="00335B86" w:rsidRPr="002C21B8" w:rsidRDefault="00335B86" w:rsidP="00335B86">
      <w:pPr>
        <w:spacing w:after="0" w:line="240" w:lineRule="auto"/>
        <w:rPr>
          <w:lang w:val="fr-FR"/>
        </w:rPr>
      </w:pPr>
    </w:p>
    <w:p w14:paraId="50C23410" w14:textId="75630464" w:rsidR="00B32FEA" w:rsidRPr="002C21B8" w:rsidRDefault="00C7459C" w:rsidP="00B32FEA">
      <w:pPr>
        <w:spacing w:after="0" w:line="240" w:lineRule="auto"/>
        <w:jc w:val="left"/>
        <w:rPr>
          <w:b/>
          <w:bCs/>
          <w:sz w:val="28"/>
          <w:szCs w:val="28"/>
          <w:lang w:val="fr-FR"/>
        </w:rPr>
      </w:pPr>
      <w:r w:rsidRPr="002C21B8">
        <w:rPr>
          <w:b/>
          <w:bCs/>
          <w:noProof/>
          <w:sz w:val="28"/>
          <w:szCs w:val="28"/>
        </w:rPr>
        <w:drawing>
          <wp:inline distT="0" distB="0" distL="0" distR="0" wp14:anchorId="72AC6969" wp14:editId="094E9F41">
            <wp:extent cx="5040000" cy="7172307"/>
            <wp:effectExtent l="0" t="0" r="1905" b="3810"/>
            <wp:docPr id="2063101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01072" name=""/>
                    <pic:cNvPicPr/>
                  </pic:nvPicPr>
                  <pic:blipFill>
                    <a:blip r:embed="rId218"/>
                    <a:stretch>
                      <a:fillRect/>
                    </a:stretch>
                  </pic:blipFill>
                  <pic:spPr>
                    <a:xfrm>
                      <a:off x="0" y="0"/>
                      <a:ext cx="5040000" cy="7172307"/>
                    </a:xfrm>
                    <a:prstGeom prst="rect">
                      <a:avLst/>
                    </a:prstGeom>
                  </pic:spPr>
                </pic:pic>
              </a:graphicData>
            </a:graphic>
          </wp:inline>
        </w:drawing>
      </w:r>
      <w:r w:rsidR="00B32FEA" w:rsidRPr="002C21B8">
        <w:rPr>
          <w:b/>
          <w:bCs/>
          <w:sz w:val="28"/>
          <w:szCs w:val="28"/>
          <w:lang w:val="fr-FR"/>
        </w:rPr>
        <w:br w:type="page"/>
      </w:r>
    </w:p>
    <w:p w14:paraId="167B6D79" w14:textId="77777777" w:rsidR="00AB7FD6" w:rsidRPr="002C21B8" w:rsidRDefault="00AB7FD6" w:rsidP="0068108D">
      <w:pPr>
        <w:spacing w:after="0" w:line="240" w:lineRule="auto"/>
        <w:rPr>
          <w:lang w:val="fr-FR"/>
        </w:rPr>
      </w:pPr>
    </w:p>
    <w:p w14:paraId="0BE63D14" w14:textId="77777777" w:rsidR="0068108D" w:rsidRPr="002C21B8" w:rsidRDefault="0068108D" w:rsidP="0068108D">
      <w:pPr>
        <w:spacing w:after="0" w:line="240" w:lineRule="auto"/>
        <w:rPr>
          <w:lang w:val="fr-FR"/>
        </w:rPr>
      </w:pPr>
    </w:p>
    <w:p w14:paraId="1D849241" w14:textId="77777777" w:rsidR="0068108D" w:rsidRPr="002C21B8" w:rsidRDefault="0068108D" w:rsidP="0068108D">
      <w:pPr>
        <w:spacing w:after="0" w:line="240" w:lineRule="auto"/>
        <w:rPr>
          <w:lang w:val="fr-FR"/>
        </w:rPr>
      </w:pPr>
    </w:p>
    <w:p w14:paraId="76697567" w14:textId="46C9D4E6" w:rsidR="00AB7FD6" w:rsidRPr="002C21B8" w:rsidRDefault="00C7459C" w:rsidP="00B32FEA">
      <w:pPr>
        <w:spacing w:after="0" w:line="240" w:lineRule="auto"/>
        <w:jc w:val="left"/>
        <w:rPr>
          <w:b/>
          <w:bCs/>
          <w:sz w:val="28"/>
          <w:szCs w:val="28"/>
          <w:lang w:val="fr-FR"/>
        </w:rPr>
      </w:pPr>
      <w:r w:rsidRPr="002C21B8">
        <w:rPr>
          <w:b/>
          <w:bCs/>
          <w:noProof/>
          <w:sz w:val="28"/>
          <w:szCs w:val="28"/>
        </w:rPr>
        <w:drawing>
          <wp:inline distT="0" distB="0" distL="0" distR="0" wp14:anchorId="0A7BC48B" wp14:editId="06F379FC">
            <wp:extent cx="5040000" cy="7196288"/>
            <wp:effectExtent l="0" t="0" r="1905" b="5080"/>
            <wp:docPr id="128054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47871" name=""/>
                    <pic:cNvPicPr/>
                  </pic:nvPicPr>
                  <pic:blipFill>
                    <a:blip r:embed="rId219"/>
                    <a:stretch>
                      <a:fillRect/>
                    </a:stretch>
                  </pic:blipFill>
                  <pic:spPr>
                    <a:xfrm>
                      <a:off x="0" y="0"/>
                      <a:ext cx="5040000" cy="7196288"/>
                    </a:xfrm>
                    <a:prstGeom prst="rect">
                      <a:avLst/>
                    </a:prstGeom>
                  </pic:spPr>
                </pic:pic>
              </a:graphicData>
            </a:graphic>
          </wp:inline>
        </w:drawing>
      </w:r>
      <w:r w:rsidR="00B32FEA" w:rsidRPr="002C21B8">
        <w:rPr>
          <w:b/>
          <w:bCs/>
          <w:sz w:val="28"/>
          <w:szCs w:val="28"/>
          <w:lang w:val="fr-FR"/>
        </w:rPr>
        <w:br w:type="page"/>
      </w:r>
    </w:p>
    <w:p w14:paraId="031CC667" w14:textId="77777777" w:rsidR="00214644" w:rsidRPr="002C21B8" w:rsidRDefault="00214644" w:rsidP="004507C8">
      <w:pPr>
        <w:pStyle w:val="Heading3"/>
        <w:numPr>
          <w:ilvl w:val="0"/>
          <w:numId w:val="0"/>
        </w:numPr>
      </w:pPr>
      <w:bookmarkStart w:id="469" w:name="_Clinical_vignette_for_1"/>
      <w:bookmarkEnd w:id="469"/>
      <w:r w:rsidRPr="002C21B8">
        <w:t>Clinical vignette for semi-structured interviews</w:t>
      </w:r>
    </w:p>
    <w:p w14:paraId="01F4091B" w14:textId="77777777" w:rsidR="00214644" w:rsidRPr="002C21B8" w:rsidRDefault="00214644" w:rsidP="00214644">
      <w:r w:rsidRPr="002C21B8">
        <w:t>Mrs Roberts, a 42 year old woman with ADPKD, presents for follow-up. Diagnosed incidentally at age 35, her family history includes her mother who was on dialysis by age 60. No other medical history other than well-controlled asthma.</w:t>
      </w:r>
    </w:p>
    <w:p w14:paraId="0A0E0052" w14:textId="77777777" w:rsidR="00214644" w:rsidRPr="002C21B8" w:rsidRDefault="00214644" w:rsidP="00214644">
      <w:r w:rsidRPr="002C21B8">
        <w:t xml:space="preserve">Her recent bloods show a serum creatinine of 110 umol/l (eGFR 48). The most recent ultrasound showed “numerous cysts”, the largest being 5cm on the left kidney. Her kidney volume on an MRI 12 months ago was 920ml. She’s asymptomatic other than occasional bilateral flank pain. No recent history of haematuria, UTIs or cyst rupture. </w:t>
      </w:r>
    </w:p>
    <w:p w14:paraId="562EF40B" w14:textId="77777777" w:rsidR="00214644" w:rsidRPr="002C21B8" w:rsidRDefault="00214644" w:rsidP="00214644">
      <w:r w:rsidRPr="002C21B8">
        <w:t xml:space="preserve">Mrs Roberts’ is concerned about disease progression and inquiries about interventions, particularly tolvaptan. But worries about its side effects affecting her quality of life and job. </w:t>
      </w:r>
    </w:p>
    <w:p w14:paraId="62552D4B" w14:textId="77777777" w:rsidR="00214644" w:rsidRPr="002C21B8" w:rsidRDefault="00214644" w:rsidP="00214644">
      <w:pPr>
        <w:spacing w:after="0" w:line="240" w:lineRule="auto"/>
        <w:jc w:val="left"/>
        <w:rPr>
          <w:b/>
          <w:bCs/>
          <w:sz w:val="28"/>
          <w:szCs w:val="28"/>
        </w:rPr>
      </w:pPr>
      <w:r w:rsidRPr="002C21B8">
        <w:rPr>
          <w:b/>
          <w:bCs/>
          <w:sz w:val="28"/>
          <w:szCs w:val="28"/>
        </w:rPr>
        <w:br w:type="page"/>
      </w:r>
    </w:p>
    <w:p w14:paraId="1379351E" w14:textId="6EF395B9" w:rsidR="000C7ADF" w:rsidRPr="002C21B8" w:rsidRDefault="000C7ADF" w:rsidP="004507C8">
      <w:pPr>
        <w:pStyle w:val="Heading3"/>
        <w:numPr>
          <w:ilvl w:val="0"/>
          <w:numId w:val="0"/>
        </w:numPr>
      </w:pPr>
      <w:bookmarkStart w:id="470" w:name="_Reporting_checklist_for_1"/>
      <w:bookmarkEnd w:id="470"/>
      <w:r w:rsidRPr="002C21B8">
        <w:t>Reporting checklist for qualitative stud</w:t>
      </w:r>
      <w:bookmarkStart w:id="471" w:name="_Toc213230726"/>
      <w:r w:rsidR="00D27AE9" w:rsidRPr="002C21B8">
        <w:t>ies</w:t>
      </w:r>
      <w:r w:rsidR="00270C31" w:rsidRPr="002C21B8">
        <w:t xml:space="preserve"> </w:t>
      </w:r>
      <w:r w:rsidR="00760485" w:rsidRPr="002C21B8">
        <w:t xml:space="preserve">for </w:t>
      </w:r>
      <w:r w:rsidR="004E1979" w:rsidRPr="002C21B8">
        <w:t>j</w:t>
      </w:r>
      <w:r w:rsidR="00F17C26" w:rsidRPr="002C21B8">
        <w:t xml:space="preserve">ournal </w:t>
      </w:r>
      <w:r w:rsidR="00251AE7" w:rsidRPr="002C21B8">
        <w:t>a</w:t>
      </w:r>
      <w:r w:rsidR="00F17C26" w:rsidRPr="002C21B8">
        <w:t>rticles</w:t>
      </w:r>
      <w:r w:rsidR="00270C31" w:rsidRPr="002C21B8">
        <w:t xml:space="preserve"> 3 &amp; 4</w:t>
      </w:r>
    </w:p>
    <w:p w14:paraId="41698A1A" w14:textId="71B66DCA" w:rsidR="006A47F9" w:rsidRPr="002C21B8" w:rsidRDefault="006A47F9" w:rsidP="006A47F9">
      <w:pPr>
        <w:pStyle w:val="Caption"/>
        <w:rPr>
          <w:b/>
          <w:bCs/>
          <w:i w:val="0"/>
          <w:iCs w:val="0"/>
          <w:noProof w:val="0"/>
          <w:color w:val="000000" w:themeColor="text1"/>
          <w:sz w:val="24"/>
          <w:szCs w:val="24"/>
        </w:rPr>
      </w:pPr>
      <w:r w:rsidRPr="002C21B8">
        <w:rPr>
          <w:b/>
          <w:bCs/>
          <w:i w:val="0"/>
          <w:iCs w:val="0"/>
          <w:noProof w:val="0"/>
          <w:color w:val="000000" w:themeColor="text1"/>
          <w:sz w:val="24"/>
          <w:szCs w:val="24"/>
        </w:rPr>
        <w:t>Consolidated criteria for reporting qualitative studies (COREQ checklist</w:t>
      </w:r>
      <w:r w:rsidR="00175D37" w:rsidRPr="002C21B8">
        <w:rPr>
          <w:b/>
          <w:bCs/>
          <w:i w:val="0"/>
          <w:iCs w:val="0"/>
          <w:noProof w:val="0"/>
          <w:color w:val="000000" w:themeColor="text1"/>
          <w:sz w:val="24"/>
          <w:szCs w:val="24"/>
        </w:rPr>
        <w:t>)</w:t>
      </w:r>
      <w:r w:rsidRPr="002C21B8">
        <w:rPr>
          <w:b/>
          <w:bCs/>
          <w:i w:val="0"/>
          <w:iCs w:val="0"/>
          <w:noProof w:val="0"/>
          <w:color w:val="000000" w:themeColor="text1"/>
          <w:sz w:val="24"/>
          <w:szCs w:val="24"/>
        </w:rPr>
        <w:t xml:space="preserve"> (</w:t>
      </w:r>
      <w:r w:rsidR="00760485" w:rsidRPr="002C21B8">
        <w:rPr>
          <w:b/>
          <w:bCs/>
          <w:i w:val="0"/>
          <w:iCs w:val="0"/>
          <w:noProof w:val="0"/>
          <w:color w:val="000000" w:themeColor="text1"/>
          <w:sz w:val="24"/>
          <w:szCs w:val="24"/>
        </w:rPr>
        <w:t>j</w:t>
      </w:r>
      <w:r w:rsidR="00F17C26" w:rsidRPr="002C21B8">
        <w:rPr>
          <w:b/>
          <w:bCs/>
          <w:i w:val="0"/>
          <w:iCs w:val="0"/>
          <w:noProof w:val="0"/>
          <w:color w:val="000000" w:themeColor="text1"/>
          <w:sz w:val="24"/>
          <w:szCs w:val="24"/>
        </w:rPr>
        <w:t xml:space="preserve">ournal </w:t>
      </w:r>
      <w:r w:rsidR="00760485" w:rsidRPr="002C21B8">
        <w:rPr>
          <w:b/>
          <w:bCs/>
          <w:i w:val="0"/>
          <w:iCs w:val="0"/>
          <w:noProof w:val="0"/>
          <w:color w:val="000000" w:themeColor="text1"/>
          <w:sz w:val="24"/>
          <w:szCs w:val="24"/>
        </w:rPr>
        <w:t>a</w:t>
      </w:r>
      <w:r w:rsidR="00F17C26" w:rsidRPr="002C21B8">
        <w:rPr>
          <w:b/>
          <w:bCs/>
          <w:i w:val="0"/>
          <w:iCs w:val="0"/>
          <w:noProof w:val="0"/>
          <w:color w:val="000000" w:themeColor="text1"/>
          <w:sz w:val="24"/>
          <w:szCs w:val="24"/>
        </w:rPr>
        <w:t>rticle</w:t>
      </w:r>
      <w:r w:rsidRPr="002C21B8">
        <w:rPr>
          <w:b/>
          <w:bCs/>
          <w:i w:val="0"/>
          <w:iCs w:val="0"/>
          <w:noProof w:val="0"/>
          <w:color w:val="000000" w:themeColor="text1"/>
          <w:sz w:val="24"/>
          <w:szCs w:val="24"/>
        </w:rPr>
        <w:t xml:space="preserve"> 4)</w:t>
      </w:r>
    </w:p>
    <w:tbl>
      <w:tblPr>
        <w:tblStyle w:val="TableGrid0"/>
        <w:tblW w:w="9206" w:type="dxa"/>
        <w:tblInd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top w:w="47" w:type="dxa"/>
          <w:left w:w="104" w:type="dxa"/>
          <w:right w:w="63" w:type="dxa"/>
        </w:tblCellMar>
        <w:tblLook w:val="04A0" w:firstRow="1" w:lastRow="0" w:firstColumn="1" w:lastColumn="0" w:noHBand="0" w:noVBand="1"/>
      </w:tblPr>
      <w:tblGrid>
        <w:gridCol w:w="11"/>
        <w:gridCol w:w="2108"/>
        <w:gridCol w:w="5386"/>
        <w:gridCol w:w="1701"/>
      </w:tblGrid>
      <w:tr w:rsidR="009A3EF9" w:rsidRPr="002C21B8" w14:paraId="5A3E0419" w14:textId="77777777" w:rsidTr="00CC3DCE">
        <w:trPr>
          <w:trHeight w:val="105"/>
          <w:tblHeader/>
        </w:trPr>
        <w:tc>
          <w:tcPr>
            <w:tcW w:w="2119" w:type="dxa"/>
            <w:gridSpan w:val="2"/>
            <w:shd w:val="clear" w:color="auto" w:fill="auto"/>
          </w:tcPr>
          <w:p w14:paraId="6C2C7EE2" w14:textId="77777777" w:rsidR="009A3EF9" w:rsidRPr="002C21B8" w:rsidRDefault="009A3EF9" w:rsidP="00CC3DCE">
            <w:pPr>
              <w:spacing w:after="0" w:line="240" w:lineRule="auto"/>
              <w:ind w:right="74"/>
              <w:jc w:val="left"/>
              <w:rPr>
                <w:b/>
                <w:bCs/>
                <w:sz w:val="16"/>
                <w:szCs w:val="16"/>
                <w:lang w:val="en-GB"/>
              </w:rPr>
            </w:pPr>
            <w:r w:rsidRPr="002C21B8">
              <w:rPr>
                <w:b/>
                <w:bCs/>
                <w:sz w:val="16"/>
                <w:szCs w:val="16"/>
                <w:lang w:val="en-GB"/>
              </w:rPr>
              <w:t>Item No</w:t>
            </w:r>
          </w:p>
        </w:tc>
        <w:tc>
          <w:tcPr>
            <w:tcW w:w="5386" w:type="dxa"/>
            <w:shd w:val="clear" w:color="auto" w:fill="auto"/>
          </w:tcPr>
          <w:p w14:paraId="020C8357" w14:textId="77777777" w:rsidR="009A3EF9" w:rsidRPr="002C21B8" w:rsidRDefault="009A3EF9" w:rsidP="00CC3DCE">
            <w:pPr>
              <w:spacing w:after="0" w:line="240" w:lineRule="auto"/>
              <w:ind w:right="74"/>
              <w:jc w:val="left"/>
              <w:rPr>
                <w:b/>
                <w:bCs/>
                <w:sz w:val="16"/>
                <w:szCs w:val="16"/>
                <w:lang w:val="en-GB"/>
              </w:rPr>
            </w:pPr>
            <w:r w:rsidRPr="002C21B8">
              <w:rPr>
                <w:b/>
                <w:bCs/>
                <w:sz w:val="16"/>
                <w:szCs w:val="16"/>
                <w:lang w:val="en-GB"/>
              </w:rPr>
              <w:t xml:space="preserve">Guide Questions/Description </w:t>
            </w:r>
          </w:p>
        </w:tc>
        <w:tc>
          <w:tcPr>
            <w:tcW w:w="1701" w:type="dxa"/>
            <w:shd w:val="clear" w:color="auto" w:fill="auto"/>
          </w:tcPr>
          <w:p w14:paraId="32E52935" w14:textId="77777777" w:rsidR="00864CDB" w:rsidRPr="002C21B8" w:rsidRDefault="009A3EF9" w:rsidP="00CC3DCE">
            <w:pPr>
              <w:spacing w:after="0" w:line="240" w:lineRule="auto"/>
              <w:ind w:right="74"/>
              <w:jc w:val="left"/>
              <w:rPr>
                <w:b/>
                <w:bCs/>
                <w:sz w:val="16"/>
                <w:szCs w:val="16"/>
                <w:lang w:val="en-GB"/>
              </w:rPr>
            </w:pPr>
            <w:r w:rsidRPr="002C21B8">
              <w:rPr>
                <w:b/>
                <w:bCs/>
                <w:sz w:val="16"/>
                <w:szCs w:val="16"/>
                <w:lang w:val="en-GB"/>
              </w:rPr>
              <w:t xml:space="preserve">Reported on </w:t>
            </w:r>
          </w:p>
          <w:p w14:paraId="35174EFD" w14:textId="624958EB" w:rsidR="009A3EF9" w:rsidRPr="002C21B8" w:rsidRDefault="009A3EF9" w:rsidP="00CC3DCE">
            <w:pPr>
              <w:spacing w:after="0" w:line="240" w:lineRule="auto"/>
              <w:ind w:right="74"/>
              <w:jc w:val="left"/>
              <w:rPr>
                <w:b/>
                <w:bCs/>
                <w:sz w:val="16"/>
                <w:szCs w:val="16"/>
                <w:lang w:val="en-GB"/>
              </w:rPr>
            </w:pPr>
            <w:r w:rsidRPr="002C21B8">
              <w:rPr>
                <w:b/>
                <w:bCs/>
                <w:sz w:val="16"/>
                <w:szCs w:val="16"/>
                <w:lang w:val="en-GB"/>
              </w:rPr>
              <w:t xml:space="preserve">Page # </w:t>
            </w:r>
          </w:p>
        </w:tc>
      </w:tr>
      <w:tr w:rsidR="009A3EF9" w:rsidRPr="002C21B8" w14:paraId="05CE7286" w14:textId="77777777" w:rsidTr="00864CDB">
        <w:trPr>
          <w:trHeight w:val="210"/>
        </w:trPr>
        <w:tc>
          <w:tcPr>
            <w:tcW w:w="9206" w:type="dxa"/>
            <w:gridSpan w:val="4"/>
            <w:shd w:val="clear" w:color="auto" w:fill="auto"/>
          </w:tcPr>
          <w:p w14:paraId="183008C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Domain 1: Research team and reflexivity </w:t>
            </w:r>
          </w:p>
        </w:tc>
      </w:tr>
      <w:tr w:rsidR="009A3EF9" w:rsidRPr="002C21B8" w14:paraId="5A54A10E" w14:textId="77777777" w:rsidTr="00864CDB">
        <w:trPr>
          <w:trHeight w:val="330"/>
        </w:trPr>
        <w:tc>
          <w:tcPr>
            <w:tcW w:w="9206" w:type="dxa"/>
            <w:gridSpan w:val="4"/>
            <w:shd w:val="clear" w:color="auto" w:fill="auto"/>
          </w:tcPr>
          <w:p w14:paraId="5C0C2E2F"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Personal Characteristics</w:t>
            </w:r>
          </w:p>
        </w:tc>
      </w:tr>
      <w:tr w:rsidR="009A3EF9" w:rsidRPr="002C21B8" w14:paraId="4B82C9DD" w14:textId="77777777" w:rsidTr="00CC3DCE">
        <w:trPr>
          <w:trHeight w:val="23"/>
        </w:trPr>
        <w:tc>
          <w:tcPr>
            <w:tcW w:w="2119" w:type="dxa"/>
            <w:gridSpan w:val="2"/>
            <w:shd w:val="clear" w:color="auto" w:fill="auto"/>
          </w:tcPr>
          <w:p w14:paraId="7BB38A12"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 Interviewer/ facilitator </w:t>
            </w:r>
          </w:p>
        </w:tc>
        <w:tc>
          <w:tcPr>
            <w:tcW w:w="5386" w:type="dxa"/>
            <w:shd w:val="clear" w:color="auto" w:fill="auto"/>
          </w:tcPr>
          <w:p w14:paraId="31C4DBA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Which author/s conducted the interview or focus group?</w:t>
            </w:r>
          </w:p>
        </w:tc>
        <w:tc>
          <w:tcPr>
            <w:tcW w:w="1701" w:type="dxa"/>
            <w:shd w:val="clear" w:color="auto" w:fill="auto"/>
          </w:tcPr>
          <w:p w14:paraId="682AC2DF" w14:textId="05945FD3"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collection</w:t>
            </w:r>
          </w:p>
        </w:tc>
      </w:tr>
      <w:tr w:rsidR="009A3EF9" w:rsidRPr="002C21B8" w14:paraId="67777FEA" w14:textId="77777777" w:rsidTr="00CC3DCE">
        <w:trPr>
          <w:trHeight w:val="23"/>
        </w:trPr>
        <w:tc>
          <w:tcPr>
            <w:tcW w:w="2119" w:type="dxa"/>
            <w:gridSpan w:val="2"/>
            <w:shd w:val="clear" w:color="auto" w:fill="auto"/>
          </w:tcPr>
          <w:p w14:paraId="73870FDA"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 Credentials </w:t>
            </w:r>
          </w:p>
        </w:tc>
        <w:tc>
          <w:tcPr>
            <w:tcW w:w="5386" w:type="dxa"/>
            <w:shd w:val="clear" w:color="auto" w:fill="auto"/>
          </w:tcPr>
          <w:p w14:paraId="1F7825F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were the researcher’s credentials? E.g., PhD, MD</w:t>
            </w:r>
          </w:p>
        </w:tc>
        <w:tc>
          <w:tcPr>
            <w:tcW w:w="1701" w:type="dxa"/>
            <w:shd w:val="clear" w:color="auto" w:fill="auto"/>
          </w:tcPr>
          <w:p w14:paraId="5F5553AA" w14:textId="6DF54714"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796EAFCE" w14:textId="77777777" w:rsidTr="00CC3DCE">
        <w:trPr>
          <w:trHeight w:val="16"/>
        </w:trPr>
        <w:tc>
          <w:tcPr>
            <w:tcW w:w="2119" w:type="dxa"/>
            <w:gridSpan w:val="2"/>
            <w:shd w:val="clear" w:color="auto" w:fill="auto"/>
          </w:tcPr>
          <w:p w14:paraId="6E732812"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3. Occupation </w:t>
            </w:r>
          </w:p>
        </w:tc>
        <w:tc>
          <w:tcPr>
            <w:tcW w:w="5386" w:type="dxa"/>
            <w:shd w:val="clear" w:color="auto" w:fill="auto"/>
          </w:tcPr>
          <w:p w14:paraId="52D5223D"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was their occupation at the time of the study?</w:t>
            </w:r>
          </w:p>
        </w:tc>
        <w:tc>
          <w:tcPr>
            <w:tcW w:w="1701" w:type="dxa"/>
            <w:shd w:val="clear" w:color="auto" w:fill="auto"/>
          </w:tcPr>
          <w:p w14:paraId="558F66FC" w14:textId="340B214A"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25DB1C2F" w14:textId="77777777" w:rsidTr="00CC3DCE">
        <w:trPr>
          <w:trHeight w:val="126"/>
        </w:trPr>
        <w:tc>
          <w:tcPr>
            <w:tcW w:w="2119" w:type="dxa"/>
            <w:gridSpan w:val="2"/>
            <w:shd w:val="clear" w:color="auto" w:fill="auto"/>
          </w:tcPr>
          <w:p w14:paraId="265B5F02"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4. Gender </w:t>
            </w:r>
          </w:p>
        </w:tc>
        <w:tc>
          <w:tcPr>
            <w:tcW w:w="5386" w:type="dxa"/>
            <w:shd w:val="clear" w:color="auto" w:fill="auto"/>
          </w:tcPr>
          <w:p w14:paraId="1A589C3B"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Was the researcher male or female?</w:t>
            </w:r>
          </w:p>
        </w:tc>
        <w:tc>
          <w:tcPr>
            <w:tcW w:w="1701" w:type="dxa"/>
            <w:shd w:val="clear" w:color="auto" w:fill="auto"/>
          </w:tcPr>
          <w:p w14:paraId="546E485E" w14:textId="7BEB9AF7"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5828CBE9" w14:textId="77777777" w:rsidTr="00CC3DCE">
        <w:trPr>
          <w:trHeight w:val="123"/>
        </w:trPr>
        <w:tc>
          <w:tcPr>
            <w:tcW w:w="2119" w:type="dxa"/>
            <w:gridSpan w:val="2"/>
            <w:shd w:val="clear" w:color="auto" w:fill="auto"/>
          </w:tcPr>
          <w:p w14:paraId="61D50F5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5. Experience and training </w:t>
            </w:r>
          </w:p>
        </w:tc>
        <w:tc>
          <w:tcPr>
            <w:tcW w:w="5386" w:type="dxa"/>
            <w:shd w:val="clear" w:color="auto" w:fill="auto"/>
          </w:tcPr>
          <w:p w14:paraId="45BA5565"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experience or training did the researcher have?</w:t>
            </w:r>
          </w:p>
        </w:tc>
        <w:tc>
          <w:tcPr>
            <w:tcW w:w="1701" w:type="dxa"/>
            <w:shd w:val="clear" w:color="auto" w:fill="auto"/>
          </w:tcPr>
          <w:p w14:paraId="186AE6E6" w14:textId="2B8F8638" w:rsidR="009A3EF9" w:rsidRPr="002C21B8" w:rsidRDefault="00CC3DCE" w:rsidP="00CC3DCE">
            <w:pPr>
              <w:spacing w:after="0" w:line="240" w:lineRule="auto"/>
              <w:ind w:right="74"/>
              <w:jc w:val="left"/>
              <w:rPr>
                <w:sz w:val="16"/>
                <w:szCs w:val="16"/>
                <w:lang w:val="en-GB"/>
              </w:rPr>
            </w:pPr>
            <w:r w:rsidRPr="002C21B8">
              <w:rPr>
                <w:sz w:val="16"/>
                <w:szCs w:val="16"/>
                <w:lang w:val="en-GB"/>
              </w:rPr>
              <w:t xml:space="preserve">Methods - research team and reflexivity </w:t>
            </w:r>
          </w:p>
        </w:tc>
      </w:tr>
      <w:tr w:rsidR="009A3EF9" w:rsidRPr="002C21B8" w14:paraId="60B0F89A" w14:textId="77777777" w:rsidTr="00864CDB">
        <w:trPr>
          <w:trHeight w:val="23"/>
        </w:trPr>
        <w:tc>
          <w:tcPr>
            <w:tcW w:w="9206" w:type="dxa"/>
            <w:gridSpan w:val="4"/>
            <w:shd w:val="clear" w:color="auto" w:fill="auto"/>
          </w:tcPr>
          <w:p w14:paraId="302398FD"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Relationship with participants </w:t>
            </w:r>
          </w:p>
        </w:tc>
      </w:tr>
      <w:tr w:rsidR="009A3EF9" w:rsidRPr="002C21B8" w14:paraId="07B8CF57" w14:textId="77777777" w:rsidTr="00CC3DCE">
        <w:tblPrEx>
          <w:tblCellMar>
            <w:top w:w="48" w:type="dxa"/>
            <w:left w:w="106" w:type="dxa"/>
            <w:right w:w="6" w:type="dxa"/>
          </w:tblCellMar>
        </w:tblPrEx>
        <w:trPr>
          <w:trHeight w:val="41"/>
        </w:trPr>
        <w:tc>
          <w:tcPr>
            <w:tcW w:w="2119" w:type="dxa"/>
            <w:gridSpan w:val="2"/>
            <w:shd w:val="clear" w:color="auto" w:fill="auto"/>
          </w:tcPr>
          <w:p w14:paraId="003E0BDC"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6. Relationship established </w:t>
            </w:r>
          </w:p>
        </w:tc>
        <w:tc>
          <w:tcPr>
            <w:tcW w:w="5386" w:type="dxa"/>
            <w:shd w:val="clear" w:color="auto" w:fill="auto"/>
          </w:tcPr>
          <w:p w14:paraId="6759973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Was a relationship established prior to study commencement?</w:t>
            </w:r>
          </w:p>
        </w:tc>
        <w:tc>
          <w:tcPr>
            <w:tcW w:w="1701" w:type="dxa"/>
            <w:shd w:val="clear" w:color="auto" w:fill="auto"/>
          </w:tcPr>
          <w:p w14:paraId="730AFDD5" w14:textId="2470B7A2"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54333BB7" w14:textId="77777777" w:rsidTr="00CC3DCE">
        <w:tblPrEx>
          <w:tblCellMar>
            <w:top w:w="48" w:type="dxa"/>
            <w:left w:w="106" w:type="dxa"/>
            <w:right w:w="6" w:type="dxa"/>
          </w:tblCellMar>
        </w:tblPrEx>
        <w:trPr>
          <w:trHeight w:val="212"/>
        </w:trPr>
        <w:tc>
          <w:tcPr>
            <w:tcW w:w="2119" w:type="dxa"/>
            <w:gridSpan w:val="2"/>
            <w:shd w:val="clear" w:color="auto" w:fill="auto"/>
          </w:tcPr>
          <w:p w14:paraId="57F6F2ED"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7. Participant knowledge of the interviewer</w:t>
            </w:r>
          </w:p>
        </w:tc>
        <w:tc>
          <w:tcPr>
            <w:tcW w:w="5386" w:type="dxa"/>
            <w:shd w:val="clear" w:color="auto" w:fill="auto"/>
          </w:tcPr>
          <w:p w14:paraId="37D2626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did the participants know about the researcher? e.g. personal goals, reasons for doing the research?</w:t>
            </w:r>
          </w:p>
        </w:tc>
        <w:tc>
          <w:tcPr>
            <w:tcW w:w="1701" w:type="dxa"/>
            <w:shd w:val="clear" w:color="auto" w:fill="auto"/>
          </w:tcPr>
          <w:p w14:paraId="1D154636" w14:textId="2892066F"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511C0535" w14:textId="77777777" w:rsidTr="00CC3DCE">
        <w:tblPrEx>
          <w:tblCellMar>
            <w:top w:w="48" w:type="dxa"/>
            <w:left w:w="106" w:type="dxa"/>
            <w:right w:w="6" w:type="dxa"/>
          </w:tblCellMar>
        </w:tblPrEx>
        <w:trPr>
          <w:trHeight w:val="701"/>
        </w:trPr>
        <w:tc>
          <w:tcPr>
            <w:tcW w:w="2119" w:type="dxa"/>
            <w:gridSpan w:val="2"/>
            <w:shd w:val="clear" w:color="auto" w:fill="auto"/>
          </w:tcPr>
          <w:p w14:paraId="4C86BADD"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8. Interviewer characteristics </w:t>
            </w:r>
          </w:p>
        </w:tc>
        <w:tc>
          <w:tcPr>
            <w:tcW w:w="5386" w:type="dxa"/>
            <w:shd w:val="clear" w:color="auto" w:fill="auto"/>
          </w:tcPr>
          <w:p w14:paraId="67BB92E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characteristics were reported about the interviewer/facilitator? e.g. Bias, assumptions, reasons and interests in the research topic</w:t>
            </w:r>
          </w:p>
        </w:tc>
        <w:tc>
          <w:tcPr>
            <w:tcW w:w="1701" w:type="dxa"/>
            <w:shd w:val="clear" w:color="auto" w:fill="auto"/>
          </w:tcPr>
          <w:p w14:paraId="21FF102B" w14:textId="08267637" w:rsidR="009A3EF9" w:rsidRPr="002C21B8" w:rsidRDefault="00CC3DCE" w:rsidP="00CC3DCE">
            <w:pPr>
              <w:spacing w:after="0" w:line="240" w:lineRule="auto"/>
              <w:ind w:right="74"/>
              <w:jc w:val="left"/>
              <w:rPr>
                <w:sz w:val="16"/>
                <w:szCs w:val="16"/>
                <w:lang w:val="en-GB"/>
              </w:rPr>
            </w:pPr>
            <w:r w:rsidRPr="002C21B8">
              <w:rPr>
                <w:sz w:val="16"/>
                <w:szCs w:val="16"/>
                <w:lang w:val="en-GB"/>
              </w:rPr>
              <w:t>Methods - research team and reflexivity</w:t>
            </w:r>
          </w:p>
        </w:tc>
      </w:tr>
      <w:tr w:rsidR="009A3EF9" w:rsidRPr="002C21B8" w14:paraId="208560FF" w14:textId="77777777" w:rsidTr="00864CDB">
        <w:tblPrEx>
          <w:tblCellMar>
            <w:top w:w="45" w:type="dxa"/>
            <w:left w:w="103" w:type="dxa"/>
            <w:right w:w="50" w:type="dxa"/>
          </w:tblCellMar>
        </w:tblPrEx>
        <w:trPr>
          <w:gridBefore w:val="1"/>
          <w:wBefore w:w="11" w:type="dxa"/>
          <w:trHeight w:val="56"/>
        </w:trPr>
        <w:tc>
          <w:tcPr>
            <w:tcW w:w="9195" w:type="dxa"/>
            <w:gridSpan w:val="3"/>
            <w:shd w:val="clear" w:color="auto" w:fill="auto"/>
          </w:tcPr>
          <w:p w14:paraId="3B0095F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 Domain 2: study design </w:t>
            </w:r>
          </w:p>
        </w:tc>
      </w:tr>
      <w:tr w:rsidR="009A3EF9" w:rsidRPr="002C21B8" w14:paraId="30795771" w14:textId="77777777" w:rsidTr="00864CDB">
        <w:tblPrEx>
          <w:tblCellMar>
            <w:top w:w="45" w:type="dxa"/>
            <w:left w:w="103" w:type="dxa"/>
            <w:right w:w="50" w:type="dxa"/>
          </w:tblCellMar>
        </w:tblPrEx>
        <w:trPr>
          <w:gridBefore w:val="1"/>
          <w:wBefore w:w="11" w:type="dxa"/>
          <w:trHeight w:val="25"/>
        </w:trPr>
        <w:tc>
          <w:tcPr>
            <w:tcW w:w="9195" w:type="dxa"/>
            <w:gridSpan w:val="3"/>
            <w:shd w:val="clear" w:color="auto" w:fill="auto"/>
          </w:tcPr>
          <w:p w14:paraId="37E6E8AF"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Theoretical framework </w:t>
            </w:r>
          </w:p>
        </w:tc>
      </w:tr>
      <w:tr w:rsidR="009A3EF9" w:rsidRPr="002C21B8" w14:paraId="3A22FFC1" w14:textId="77777777" w:rsidTr="00CC3DCE">
        <w:tblPrEx>
          <w:tblCellMar>
            <w:top w:w="45" w:type="dxa"/>
            <w:left w:w="103" w:type="dxa"/>
            <w:right w:w="50" w:type="dxa"/>
          </w:tblCellMar>
        </w:tblPrEx>
        <w:trPr>
          <w:gridBefore w:val="1"/>
          <w:wBefore w:w="11" w:type="dxa"/>
          <w:trHeight w:val="557"/>
        </w:trPr>
        <w:tc>
          <w:tcPr>
            <w:tcW w:w="2108" w:type="dxa"/>
            <w:shd w:val="clear" w:color="auto" w:fill="auto"/>
          </w:tcPr>
          <w:p w14:paraId="3A1C6A09"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9. Methodological orientation and Theory</w:t>
            </w:r>
          </w:p>
        </w:tc>
        <w:tc>
          <w:tcPr>
            <w:tcW w:w="5386" w:type="dxa"/>
            <w:shd w:val="clear" w:color="auto" w:fill="auto"/>
          </w:tcPr>
          <w:p w14:paraId="6F1CA8E5"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methodological orientation was stated to underpin the study? e.g. grounded theory, discourse analysis, ethnography, phenomenology, content analysis</w:t>
            </w:r>
          </w:p>
        </w:tc>
        <w:tc>
          <w:tcPr>
            <w:tcW w:w="1701" w:type="dxa"/>
            <w:shd w:val="clear" w:color="auto" w:fill="auto"/>
          </w:tcPr>
          <w:p w14:paraId="398839ED" w14:textId="22FD1736"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collection</w:t>
            </w:r>
          </w:p>
        </w:tc>
      </w:tr>
      <w:tr w:rsidR="009A3EF9" w:rsidRPr="002C21B8" w14:paraId="6AFFB74D" w14:textId="77777777" w:rsidTr="00864CDB">
        <w:tblPrEx>
          <w:tblCellMar>
            <w:top w:w="45" w:type="dxa"/>
            <w:left w:w="103" w:type="dxa"/>
            <w:right w:w="50" w:type="dxa"/>
          </w:tblCellMar>
        </w:tblPrEx>
        <w:trPr>
          <w:gridBefore w:val="1"/>
          <w:wBefore w:w="11" w:type="dxa"/>
          <w:trHeight w:val="215"/>
        </w:trPr>
        <w:tc>
          <w:tcPr>
            <w:tcW w:w="9195" w:type="dxa"/>
            <w:gridSpan w:val="3"/>
            <w:shd w:val="clear" w:color="auto" w:fill="auto"/>
          </w:tcPr>
          <w:p w14:paraId="6BBA73F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Participant selection</w:t>
            </w:r>
          </w:p>
        </w:tc>
      </w:tr>
      <w:tr w:rsidR="009A3EF9" w:rsidRPr="002C21B8" w14:paraId="4C28541B" w14:textId="77777777" w:rsidTr="00CC3DCE">
        <w:tblPrEx>
          <w:tblCellMar>
            <w:top w:w="45" w:type="dxa"/>
            <w:left w:w="103" w:type="dxa"/>
            <w:right w:w="50" w:type="dxa"/>
          </w:tblCellMar>
        </w:tblPrEx>
        <w:trPr>
          <w:gridBefore w:val="1"/>
          <w:wBefore w:w="11" w:type="dxa"/>
          <w:trHeight w:val="575"/>
        </w:trPr>
        <w:tc>
          <w:tcPr>
            <w:tcW w:w="2108" w:type="dxa"/>
            <w:shd w:val="clear" w:color="auto" w:fill="auto"/>
          </w:tcPr>
          <w:p w14:paraId="6F27E67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10. Sampling </w:t>
            </w:r>
          </w:p>
        </w:tc>
        <w:tc>
          <w:tcPr>
            <w:tcW w:w="5386" w:type="dxa"/>
            <w:shd w:val="clear" w:color="auto" w:fill="auto"/>
          </w:tcPr>
          <w:p w14:paraId="68C0D61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How were participants selected? e.g., purposive, convenience, consecutive, snowball</w:t>
            </w:r>
          </w:p>
        </w:tc>
        <w:tc>
          <w:tcPr>
            <w:tcW w:w="1701" w:type="dxa"/>
            <w:shd w:val="clear" w:color="auto" w:fill="auto"/>
          </w:tcPr>
          <w:p w14:paraId="48E31EFB" w14:textId="66F51620" w:rsidR="009A3EF9" w:rsidRPr="002C21B8" w:rsidRDefault="00CC3DCE" w:rsidP="00CC3DCE">
            <w:pPr>
              <w:spacing w:after="0" w:line="240" w:lineRule="auto"/>
              <w:ind w:right="74"/>
              <w:jc w:val="left"/>
              <w:rPr>
                <w:sz w:val="16"/>
                <w:szCs w:val="16"/>
                <w:lang w:val="en-GB"/>
              </w:rPr>
            </w:pPr>
            <w:r w:rsidRPr="002C21B8">
              <w:rPr>
                <w:sz w:val="16"/>
                <w:szCs w:val="16"/>
                <w:lang w:val="en-GB"/>
              </w:rPr>
              <w:t>Methods - setting and case selection</w:t>
            </w:r>
          </w:p>
        </w:tc>
      </w:tr>
      <w:tr w:rsidR="009A3EF9" w:rsidRPr="002C21B8" w14:paraId="29B18DB0" w14:textId="77777777" w:rsidTr="00CC3DCE">
        <w:tblPrEx>
          <w:tblCellMar>
            <w:top w:w="45" w:type="dxa"/>
            <w:left w:w="103" w:type="dxa"/>
            <w:right w:w="50" w:type="dxa"/>
          </w:tblCellMar>
        </w:tblPrEx>
        <w:trPr>
          <w:gridBefore w:val="1"/>
          <w:wBefore w:w="11" w:type="dxa"/>
          <w:trHeight w:val="404"/>
        </w:trPr>
        <w:tc>
          <w:tcPr>
            <w:tcW w:w="2108" w:type="dxa"/>
            <w:shd w:val="clear" w:color="auto" w:fill="auto"/>
          </w:tcPr>
          <w:p w14:paraId="422F703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11. Method of approach </w:t>
            </w:r>
          </w:p>
        </w:tc>
        <w:tc>
          <w:tcPr>
            <w:tcW w:w="5386" w:type="dxa"/>
            <w:shd w:val="clear" w:color="auto" w:fill="auto"/>
          </w:tcPr>
          <w:p w14:paraId="30F1CB99"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How were participants approached? e.g., face-to-face, telephone, mail, email</w:t>
            </w:r>
          </w:p>
        </w:tc>
        <w:tc>
          <w:tcPr>
            <w:tcW w:w="1701" w:type="dxa"/>
            <w:shd w:val="clear" w:color="auto" w:fill="auto"/>
          </w:tcPr>
          <w:p w14:paraId="471C7497" w14:textId="74FA008E" w:rsidR="009A3EF9" w:rsidRPr="002C21B8" w:rsidRDefault="00CC3DCE" w:rsidP="00CC3DCE">
            <w:pPr>
              <w:spacing w:after="0" w:line="240" w:lineRule="auto"/>
              <w:ind w:right="74"/>
              <w:jc w:val="left"/>
              <w:rPr>
                <w:sz w:val="16"/>
                <w:szCs w:val="16"/>
                <w:lang w:val="en-GB"/>
              </w:rPr>
            </w:pPr>
            <w:r w:rsidRPr="002C21B8">
              <w:rPr>
                <w:sz w:val="16"/>
                <w:szCs w:val="16"/>
                <w:lang w:val="en-GB"/>
              </w:rPr>
              <w:t>Methods - population and recruitment</w:t>
            </w:r>
          </w:p>
        </w:tc>
      </w:tr>
      <w:tr w:rsidR="009A3EF9" w:rsidRPr="002C21B8" w14:paraId="1FD18342" w14:textId="77777777" w:rsidTr="00CC3DCE">
        <w:tblPrEx>
          <w:tblCellMar>
            <w:top w:w="45" w:type="dxa"/>
            <w:left w:w="103" w:type="dxa"/>
            <w:right w:w="50" w:type="dxa"/>
          </w:tblCellMar>
        </w:tblPrEx>
        <w:trPr>
          <w:gridBefore w:val="1"/>
          <w:wBefore w:w="11" w:type="dxa"/>
          <w:trHeight w:val="101"/>
        </w:trPr>
        <w:tc>
          <w:tcPr>
            <w:tcW w:w="2108" w:type="dxa"/>
            <w:shd w:val="clear" w:color="auto" w:fill="auto"/>
          </w:tcPr>
          <w:p w14:paraId="1B9561B2"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12. Sample size </w:t>
            </w:r>
          </w:p>
        </w:tc>
        <w:tc>
          <w:tcPr>
            <w:tcW w:w="5386" w:type="dxa"/>
            <w:shd w:val="clear" w:color="auto" w:fill="auto"/>
          </w:tcPr>
          <w:p w14:paraId="4CD1AB7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How many participants were in the study?</w:t>
            </w:r>
          </w:p>
        </w:tc>
        <w:tc>
          <w:tcPr>
            <w:tcW w:w="1701" w:type="dxa"/>
            <w:shd w:val="clear" w:color="auto" w:fill="auto"/>
          </w:tcPr>
          <w:p w14:paraId="22AB470D" w14:textId="37E968C9" w:rsidR="009A3EF9" w:rsidRPr="002C21B8" w:rsidRDefault="00CC3DCE" w:rsidP="00CC3DCE">
            <w:pPr>
              <w:spacing w:after="0" w:line="240" w:lineRule="auto"/>
              <w:ind w:right="74"/>
              <w:jc w:val="left"/>
              <w:rPr>
                <w:sz w:val="16"/>
                <w:szCs w:val="16"/>
                <w:lang w:val="en-GB"/>
              </w:rPr>
            </w:pPr>
            <w:r w:rsidRPr="002C21B8">
              <w:rPr>
                <w:sz w:val="16"/>
                <w:szCs w:val="16"/>
                <w:lang w:val="en-GB"/>
              </w:rPr>
              <w:t>Methods - population and recruitment</w:t>
            </w:r>
          </w:p>
        </w:tc>
      </w:tr>
      <w:tr w:rsidR="009A3EF9" w:rsidRPr="002C21B8" w14:paraId="2427FE44" w14:textId="77777777" w:rsidTr="00CC3DCE">
        <w:tblPrEx>
          <w:tblCellMar>
            <w:top w:w="45" w:type="dxa"/>
            <w:left w:w="103" w:type="dxa"/>
            <w:right w:w="50" w:type="dxa"/>
          </w:tblCellMar>
        </w:tblPrEx>
        <w:trPr>
          <w:gridBefore w:val="1"/>
          <w:wBefore w:w="11" w:type="dxa"/>
          <w:trHeight w:val="242"/>
        </w:trPr>
        <w:tc>
          <w:tcPr>
            <w:tcW w:w="2108" w:type="dxa"/>
            <w:shd w:val="clear" w:color="auto" w:fill="auto"/>
          </w:tcPr>
          <w:p w14:paraId="43A5440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13. Non-participation Setting </w:t>
            </w:r>
          </w:p>
        </w:tc>
        <w:tc>
          <w:tcPr>
            <w:tcW w:w="5386" w:type="dxa"/>
            <w:shd w:val="clear" w:color="auto" w:fill="auto"/>
          </w:tcPr>
          <w:p w14:paraId="362FC491"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How many people refused to participate or dropped out? Reasons?</w:t>
            </w:r>
          </w:p>
        </w:tc>
        <w:tc>
          <w:tcPr>
            <w:tcW w:w="1701" w:type="dxa"/>
            <w:shd w:val="clear" w:color="auto" w:fill="auto"/>
          </w:tcPr>
          <w:p w14:paraId="6194CA76" w14:textId="1873D198" w:rsidR="009A3EF9" w:rsidRPr="002C21B8" w:rsidRDefault="00CC3DCE" w:rsidP="00CC3DCE">
            <w:pPr>
              <w:spacing w:after="0" w:line="240" w:lineRule="auto"/>
              <w:ind w:right="74"/>
              <w:jc w:val="left"/>
              <w:rPr>
                <w:sz w:val="16"/>
                <w:szCs w:val="16"/>
                <w:lang w:val="en-GB"/>
              </w:rPr>
            </w:pPr>
            <w:r w:rsidRPr="002C21B8">
              <w:rPr>
                <w:sz w:val="16"/>
                <w:szCs w:val="16"/>
                <w:lang w:val="en-GB"/>
              </w:rPr>
              <w:t>Results - description of participants and data sources</w:t>
            </w:r>
          </w:p>
        </w:tc>
      </w:tr>
      <w:tr w:rsidR="009A3EF9" w:rsidRPr="002C21B8" w14:paraId="1F7552C7" w14:textId="77777777" w:rsidTr="00CC3DCE">
        <w:tblPrEx>
          <w:tblCellMar>
            <w:top w:w="45" w:type="dxa"/>
            <w:left w:w="103" w:type="dxa"/>
            <w:right w:w="52" w:type="dxa"/>
          </w:tblCellMar>
        </w:tblPrEx>
        <w:trPr>
          <w:gridBefore w:val="1"/>
          <w:wBefore w:w="11" w:type="dxa"/>
          <w:trHeight w:val="323"/>
        </w:trPr>
        <w:tc>
          <w:tcPr>
            <w:tcW w:w="2108" w:type="dxa"/>
            <w:shd w:val="clear" w:color="auto" w:fill="auto"/>
          </w:tcPr>
          <w:p w14:paraId="2D5231AC"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14. Setting of data collection </w:t>
            </w:r>
          </w:p>
        </w:tc>
        <w:tc>
          <w:tcPr>
            <w:tcW w:w="5386" w:type="dxa"/>
            <w:shd w:val="clear" w:color="auto" w:fill="auto"/>
          </w:tcPr>
          <w:p w14:paraId="45486B7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Where was the data collected? e.g., home, clinic, workplace </w:t>
            </w:r>
          </w:p>
        </w:tc>
        <w:tc>
          <w:tcPr>
            <w:tcW w:w="1701" w:type="dxa"/>
            <w:shd w:val="clear" w:color="auto" w:fill="auto"/>
          </w:tcPr>
          <w:p w14:paraId="064EFE10" w14:textId="56969A3D" w:rsidR="009A3EF9" w:rsidRPr="002C21B8" w:rsidRDefault="00CC3DCE" w:rsidP="00CC3DCE">
            <w:pPr>
              <w:spacing w:after="0" w:line="240" w:lineRule="auto"/>
              <w:ind w:right="74"/>
              <w:jc w:val="left"/>
              <w:rPr>
                <w:sz w:val="16"/>
                <w:szCs w:val="16"/>
                <w:lang w:val="en-GB"/>
              </w:rPr>
            </w:pPr>
            <w:r w:rsidRPr="002C21B8">
              <w:rPr>
                <w:sz w:val="16"/>
                <w:szCs w:val="16"/>
                <w:lang w:val="en-GB"/>
              </w:rPr>
              <w:t>Methods - population and recruitment</w:t>
            </w:r>
          </w:p>
        </w:tc>
      </w:tr>
      <w:tr w:rsidR="009A3EF9" w:rsidRPr="002C21B8" w14:paraId="33D1617E" w14:textId="77777777" w:rsidTr="00CC3DCE">
        <w:tblPrEx>
          <w:tblCellMar>
            <w:top w:w="45" w:type="dxa"/>
            <w:left w:w="103" w:type="dxa"/>
            <w:right w:w="52" w:type="dxa"/>
          </w:tblCellMar>
        </w:tblPrEx>
        <w:trPr>
          <w:gridBefore w:val="1"/>
          <w:wBefore w:w="11" w:type="dxa"/>
          <w:trHeight w:val="134"/>
        </w:trPr>
        <w:tc>
          <w:tcPr>
            <w:tcW w:w="2108" w:type="dxa"/>
            <w:shd w:val="clear" w:color="auto" w:fill="auto"/>
          </w:tcPr>
          <w:p w14:paraId="72F56126"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15.Presence of non-participants </w:t>
            </w:r>
          </w:p>
        </w:tc>
        <w:tc>
          <w:tcPr>
            <w:tcW w:w="5386" w:type="dxa"/>
            <w:shd w:val="clear" w:color="auto" w:fill="auto"/>
          </w:tcPr>
          <w:p w14:paraId="4A9CEC3C"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Was anyone else present besides the participants and researchers?</w:t>
            </w:r>
          </w:p>
        </w:tc>
        <w:tc>
          <w:tcPr>
            <w:tcW w:w="1701" w:type="dxa"/>
            <w:shd w:val="clear" w:color="auto" w:fill="auto"/>
          </w:tcPr>
          <w:p w14:paraId="011F9630" w14:textId="6E048E3E" w:rsidR="009A3EF9" w:rsidRPr="002C21B8" w:rsidRDefault="00CC3DCE" w:rsidP="00CC3DCE">
            <w:pPr>
              <w:spacing w:after="0" w:line="240" w:lineRule="auto"/>
              <w:ind w:right="74"/>
              <w:jc w:val="left"/>
              <w:rPr>
                <w:sz w:val="16"/>
                <w:szCs w:val="16"/>
                <w:lang w:val="en-GB"/>
              </w:rPr>
            </w:pPr>
            <w:r w:rsidRPr="002C21B8">
              <w:rPr>
                <w:sz w:val="16"/>
                <w:szCs w:val="16"/>
                <w:lang w:val="en-GB"/>
              </w:rPr>
              <w:t>Methods - population and recruitment</w:t>
            </w:r>
          </w:p>
        </w:tc>
      </w:tr>
      <w:tr w:rsidR="009A3EF9" w:rsidRPr="002C21B8" w14:paraId="109ACEE9" w14:textId="77777777" w:rsidTr="00CC3DCE">
        <w:tblPrEx>
          <w:tblCellMar>
            <w:top w:w="45" w:type="dxa"/>
            <w:left w:w="103" w:type="dxa"/>
            <w:right w:w="52" w:type="dxa"/>
          </w:tblCellMar>
        </w:tblPrEx>
        <w:trPr>
          <w:gridBefore w:val="1"/>
          <w:wBefore w:w="11" w:type="dxa"/>
          <w:trHeight w:val="458"/>
        </w:trPr>
        <w:tc>
          <w:tcPr>
            <w:tcW w:w="2108" w:type="dxa"/>
            <w:shd w:val="clear" w:color="auto" w:fill="auto"/>
          </w:tcPr>
          <w:p w14:paraId="0295DF2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16. Description of sample </w:t>
            </w:r>
          </w:p>
        </w:tc>
        <w:tc>
          <w:tcPr>
            <w:tcW w:w="5386" w:type="dxa"/>
            <w:shd w:val="clear" w:color="auto" w:fill="auto"/>
          </w:tcPr>
          <w:p w14:paraId="4A9E282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are the important characteristics of the sample? e.g. demographic data, date</w:t>
            </w:r>
          </w:p>
        </w:tc>
        <w:tc>
          <w:tcPr>
            <w:tcW w:w="1701" w:type="dxa"/>
            <w:shd w:val="clear" w:color="auto" w:fill="auto"/>
          </w:tcPr>
          <w:p w14:paraId="30784278" w14:textId="4565AB65" w:rsidR="009A3EF9" w:rsidRPr="002C21B8" w:rsidRDefault="00CC3DCE" w:rsidP="00CC3DCE">
            <w:pPr>
              <w:spacing w:after="0" w:line="240" w:lineRule="auto"/>
              <w:ind w:right="74"/>
              <w:jc w:val="left"/>
              <w:rPr>
                <w:sz w:val="16"/>
                <w:szCs w:val="16"/>
                <w:lang w:val="en-GB"/>
              </w:rPr>
            </w:pPr>
            <w:r w:rsidRPr="002C21B8">
              <w:rPr>
                <w:sz w:val="16"/>
                <w:szCs w:val="16"/>
                <w:lang w:val="en-GB"/>
              </w:rPr>
              <w:t>Table 18</w:t>
            </w:r>
          </w:p>
        </w:tc>
      </w:tr>
      <w:tr w:rsidR="009A3EF9" w:rsidRPr="002C21B8" w14:paraId="57276DBC" w14:textId="77777777" w:rsidTr="00864CDB">
        <w:tblPrEx>
          <w:tblCellMar>
            <w:top w:w="45" w:type="dxa"/>
            <w:left w:w="103" w:type="dxa"/>
            <w:right w:w="52" w:type="dxa"/>
          </w:tblCellMar>
        </w:tblPrEx>
        <w:trPr>
          <w:gridBefore w:val="1"/>
          <w:wBefore w:w="11" w:type="dxa"/>
          <w:trHeight w:val="101"/>
        </w:trPr>
        <w:tc>
          <w:tcPr>
            <w:tcW w:w="9195" w:type="dxa"/>
            <w:gridSpan w:val="3"/>
            <w:shd w:val="clear" w:color="auto" w:fill="auto"/>
          </w:tcPr>
          <w:p w14:paraId="1E0087E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Data collection </w:t>
            </w:r>
          </w:p>
        </w:tc>
      </w:tr>
      <w:tr w:rsidR="009A3EF9" w:rsidRPr="002C21B8" w14:paraId="627998B9" w14:textId="77777777" w:rsidTr="00CC3DCE">
        <w:tblPrEx>
          <w:tblCellMar>
            <w:top w:w="45" w:type="dxa"/>
            <w:left w:w="103" w:type="dxa"/>
            <w:right w:w="52" w:type="dxa"/>
          </w:tblCellMar>
        </w:tblPrEx>
        <w:trPr>
          <w:gridBefore w:val="1"/>
          <w:wBefore w:w="11" w:type="dxa"/>
          <w:trHeight w:val="395"/>
        </w:trPr>
        <w:tc>
          <w:tcPr>
            <w:tcW w:w="2108" w:type="dxa"/>
            <w:shd w:val="clear" w:color="auto" w:fill="auto"/>
          </w:tcPr>
          <w:p w14:paraId="1EA9AE6C"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17. Interview guide </w:t>
            </w:r>
          </w:p>
        </w:tc>
        <w:tc>
          <w:tcPr>
            <w:tcW w:w="5386" w:type="dxa"/>
            <w:shd w:val="clear" w:color="auto" w:fill="auto"/>
          </w:tcPr>
          <w:p w14:paraId="6E953900"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Were questions, prompts, and guides provided by the authors? Was it pilot tested?</w:t>
            </w:r>
          </w:p>
        </w:tc>
        <w:tc>
          <w:tcPr>
            <w:tcW w:w="1701" w:type="dxa"/>
            <w:shd w:val="clear" w:color="auto" w:fill="auto"/>
          </w:tcPr>
          <w:p w14:paraId="6DB8B80C" w14:textId="73E63885"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Appendix </w:t>
            </w:r>
            <w:r w:rsidR="00CC3DCE" w:rsidRPr="002C21B8">
              <w:rPr>
                <w:sz w:val="16"/>
                <w:szCs w:val="16"/>
                <w:lang w:val="en-GB"/>
              </w:rPr>
              <w:t>8</w:t>
            </w:r>
          </w:p>
        </w:tc>
      </w:tr>
      <w:tr w:rsidR="009A3EF9" w:rsidRPr="002C21B8" w14:paraId="3CE0FC3D" w14:textId="77777777" w:rsidTr="00CC3DCE">
        <w:tblPrEx>
          <w:tblCellMar>
            <w:left w:w="103" w:type="dxa"/>
            <w:right w:w="51" w:type="dxa"/>
          </w:tblCellMar>
        </w:tblPrEx>
        <w:trPr>
          <w:gridBefore w:val="1"/>
          <w:wBefore w:w="11" w:type="dxa"/>
          <w:trHeight w:val="23"/>
        </w:trPr>
        <w:tc>
          <w:tcPr>
            <w:tcW w:w="2108" w:type="dxa"/>
            <w:shd w:val="clear" w:color="auto" w:fill="auto"/>
          </w:tcPr>
          <w:p w14:paraId="6DE4CE7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18. Repeat interviews </w:t>
            </w:r>
          </w:p>
        </w:tc>
        <w:tc>
          <w:tcPr>
            <w:tcW w:w="5386" w:type="dxa"/>
            <w:shd w:val="clear" w:color="auto" w:fill="auto"/>
          </w:tcPr>
          <w:p w14:paraId="7DD2971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Were repeat interviews carried out? If yes, how many?</w:t>
            </w:r>
          </w:p>
        </w:tc>
        <w:tc>
          <w:tcPr>
            <w:tcW w:w="1701" w:type="dxa"/>
            <w:shd w:val="clear" w:color="auto" w:fill="auto"/>
          </w:tcPr>
          <w:p w14:paraId="12FADC45"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NA</w:t>
            </w:r>
          </w:p>
        </w:tc>
      </w:tr>
      <w:tr w:rsidR="009A3EF9" w:rsidRPr="002C21B8" w14:paraId="6DCF7338" w14:textId="77777777" w:rsidTr="00CC3DCE">
        <w:tblPrEx>
          <w:tblCellMar>
            <w:left w:w="103" w:type="dxa"/>
            <w:right w:w="51" w:type="dxa"/>
          </w:tblCellMar>
        </w:tblPrEx>
        <w:trPr>
          <w:gridBefore w:val="1"/>
          <w:wBefore w:w="11" w:type="dxa"/>
          <w:trHeight w:val="33"/>
        </w:trPr>
        <w:tc>
          <w:tcPr>
            <w:tcW w:w="2108" w:type="dxa"/>
            <w:shd w:val="clear" w:color="auto" w:fill="auto"/>
          </w:tcPr>
          <w:p w14:paraId="1E397A5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19. Audio/visual recording </w:t>
            </w:r>
          </w:p>
        </w:tc>
        <w:tc>
          <w:tcPr>
            <w:tcW w:w="5386" w:type="dxa"/>
            <w:shd w:val="clear" w:color="auto" w:fill="auto"/>
          </w:tcPr>
          <w:p w14:paraId="1E172EB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Did the research use audio or visual recording to collect the data?</w:t>
            </w:r>
          </w:p>
        </w:tc>
        <w:tc>
          <w:tcPr>
            <w:tcW w:w="1701" w:type="dxa"/>
            <w:shd w:val="clear" w:color="auto" w:fill="auto"/>
          </w:tcPr>
          <w:p w14:paraId="7A6773B9" w14:textId="6D8993C6"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collection</w:t>
            </w:r>
          </w:p>
        </w:tc>
      </w:tr>
      <w:tr w:rsidR="009A3EF9" w:rsidRPr="002C21B8" w14:paraId="40050C92" w14:textId="77777777" w:rsidTr="00CC3DCE">
        <w:tblPrEx>
          <w:tblCellMar>
            <w:left w:w="103" w:type="dxa"/>
            <w:right w:w="51" w:type="dxa"/>
          </w:tblCellMar>
        </w:tblPrEx>
        <w:trPr>
          <w:gridBefore w:val="1"/>
          <w:wBefore w:w="11" w:type="dxa"/>
          <w:trHeight w:val="16"/>
        </w:trPr>
        <w:tc>
          <w:tcPr>
            <w:tcW w:w="2108" w:type="dxa"/>
            <w:shd w:val="clear" w:color="auto" w:fill="auto"/>
          </w:tcPr>
          <w:p w14:paraId="4A8424A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20. Field notes </w:t>
            </w:r>
          </w:p>
        </w:tc>
        <w:tc>
          <w:tcPr>
            <w:tcW w:w="5386" w:type="dxa"/>
            <w:shd w:val="clear" w:color="auto" w:fill="auto"/>
          </w:tcPr>
          <w:p w14:paraId="4A7EF781"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Were field notes made during and/or after the interview or focus group? </w:t>
            </w:r>
          </w:p>
        </w:tc>
        <w:tc>
          <w:tcPr>
            <w:tcW w:w="1701" w:type="dxa"/>
            <w:shd w:val="clear" w:color="auto" w:fill="auto"/>
          </w:tcPr>
          <w:p w14:paraId="03E9EBBB" w14:textId="04943409"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collection</w:t>
            </w:r>
          </w:p>
        </w:tc>
      </w:tr>
      <w:tr w:rsidR="009A3EF9" w:rsidRPr="002C21B8" w14:paraId="73AA8F1E" w14:textId="77777777" w:rsidTr="00CC3DCE">
        <w:tblPrEx>
          <w:tblCellMar>
            <w:left w:w="103" w:type="dxa"/>
            <w:right w:w="51" w:type="dxa"/>
          </w:tblCellMar>
        </w:tblPrEx>
        <w:trPr>
          <w:gridBefore w:val="1"/>
          <w:wBefore w:w="11" w:type="dxa"/>
          <w:trHeight w:val="285"/>
        </w:trPr>
        <w:tc>
          <w:tcPr>
            <w:tcW w:w="2108" w:type="dxa"/>
            <w:shd w:val="clear" w:color="auto" w:fill="auto"/>
          </w:tcPr>
          <w:p w14:paraId="1CC01A41"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21. Duration </w:t>
            </w:r>
          </w:p>
        </w:tc>
        <w:tc>
          <w:tcPr>
            <w:tcW w:w="5386" w:type="dxa"/>
            <w:shd w:val="clear" w:color="auto" w:fill="auto"/>
          </w:tcPr>
          <w:p w14:paraId="10BBE19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What was the duration of the interviews or focus group?</w:t>
            </w:r>
          </w:p>
        </w:tc>
        <w:tc>
          <w:tcPr>
            <w:tcW w:w="1701" w:type="dxa"/>
            <w:shd w:val="clear" w:color="auto" w:fill="auto"/>
          </w:tcPr>
          <w:p w14:paraId="12CA3D9E" w14:textId="6C89D00D" w:rsidR="009A3EF9" w:rsidRPr="002C21B8" w:rsidRDefault="00CC3DCE" w:rsidP="00CC3DCE">
            <w:pPr>
              <w:pStyle w:val="NoSpacing"/>
              <w:ind w:right="74"/>
              <w:jc w:val="left"/>
              <w:rPr>
                <w:sz w:val="16"/>
                <w:szCs w:val="16"/>
                <w:lang w:val="en-GB"/>
              </w:rPr>
            </w:pPr>
            <w:r w:rsidRPr="002C21B8">
              <w:rPr>
                <w:sz w:val="16"/>
                <w:szCs w:val="16"/>
                <w:lang w:val="en-GB"/>
              </w:rPr>
              <w:t>Methods - data collection</w:t>
            </w:r>
          </w:p>
        </w:tc>
      </w:tr>
      <w:tr w:rsidR="009A3EF9" w:rsidRPr="002C21B8" w14:paraId="2805C25A" w14:textId="77777777" w:rsidTr="00CC3DCE">
        <w:tblPrEx>
          <w:tblCellMar>
            <w:top w:w="45" w:type="dxa"/>
            <w:left w:w="103" w:type="dxa"/>
            <w:right w:w="51" w:type="dxa"/>
          </w:tblCellMar>
        </w:tblPrEx>
        <w:trPr>
          <w:gridBefore w:val="1"/>
          <w:wBefore w:w="11" w:type="dxa"/>
          <w:trHeight w:val="323"/>
        </w:trPr>
        <w:tc>
          <w:tcPr>
            <w:tcW w:w="2108" w:type="dxa"/>
            <w:shd w:val="clear" w:color="auto" w:fill="auto"/>
          </w:tcPr>
          <w:p w14:paraId="71415EF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22. Data saturation </w:t>
            </w:r>
          </w:p>
        </w:tc>
        <w:tc>
          <w:tcPr>
            <w:tcW w:w="5386" w:type="dxa"/>
            <w:shd w:val="clear" w:color="auto" w:fill="auto"/>
          </w:tcPr>
          <w:p w14:paraId="73E6221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Was data saturation discussed?</w:t>
            </w:r>
          </w:p>
        </w:tc>
        <w:tc>
          <w:tcPr>
            <w:tcW w:w="1701" w:type="dxa"/>
            <w:shd w:val="clear" w:color="auto" w:fill="auto"/>
          </w:tcPr>
          <w:p w14:paraId="5EB6DB3E" w14:textId="0911D15F"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collection</w:t>
            </w:r>
          </w:p>
        </w:tc>
      </w:tr>
      <w:tr w:rsidR="009A3EF9" w:rsidRPr="002C21B8" w14:paraId="17F14A4C" w14:textId="77777777" w:rsidTr="00CC3DCE">
        <w:tblPrEx>
          <w:tblCellMar>
            <w:top w:w="45" w:type="dxa"/>
            <w:left w:w="103" w:type="dxa"/>
            <w:right w:w="51" w:type="dxa"/>
          </w:tblCellMar>
        </w:tblPrEx>
        <w:trPr>
          <w:gridBefore w:val="1"/>
          <w:wBefore w:w="11" w:type="dxa"/>
          <w:trHeight w:val="107"/>
        </w:trPr>
        <w:tc>
          <w:tcPr>
            <w:tcW w:w="2108" w:type="dxa"/>
            <w:shd w:val="clear" w:color="auto" w:fill="auto"/>
          </w:tcPr>
          <w:p w14:paraId="7FFDAE9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23. Transcripts returned </w:t>
            </w:r>
          </w:p>
        </w:tc>
        <w:tc>
          <w:tcPr>
            <w:tcW w:w="5386" w:type="dxa"/>
            <w:shd w:val="clear" w:color="auto" w:fill="auto"/>
          </w:tcPr>
          <w:p w14:paraId="421FC40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Were transcripts returned to participants for comment and/or correction? – No</w:t>
            </w:r>
          </w:p>
        </w:tc>
        <w:tc>
          <w:tcPr>
            <w:tcW w:w="1701" w:type="dxa"/>
            <w:shd w:val="clear" w:color="auto" w:fill="auto"/>
          </w:tcPr>
          <w:p w14:paraId="57B00D0B" w14:textId="16AB6D72" w:rsidR="009A3EF9" w:rsidRPr="002C21B8" w:rsidRDefault="009A3EF9" w:rsidP="00CC3DCE">
            <w:pPr>
              <w:spacing w:after="0" w:line="240" w:lineRule="auto"/>
              <w:ind w:right="74"/>
              <w:jc w:val="left"/>
              <w:rPr>
                <w:sz w:val="16"/>
                <w:szCs w:val="16"/>
                <w:lang w:val="en-GB"/>
              </w:rPr>
            </w:pPr>
            <w:r w:rsidRPr="002C21B8">
              <w:rPr>
                <w:sz w:val="16"/>
                <w:szCs w:val="16"/>
                <w:lang w:val="en-GB"/>
              </w:rPr>
              <w:t>N</w:t>
            </w:r>
            <w:r w:rsidR="00CC3DCE" w:rsidRPr="002C21B8">
              <w:rPr>
                <w:sz w:val="16"/>
                <w:szCs w:val="16"/>
                <w:lang w:val="en-GB"/>
              </w:rPr>
              <w:t>A</w:t>
            </w:r>
          </w:p>
        </w:tc>
      </w:tr>
      <w:tr w:rsidR="009A3EF9" w:rsidRPr="002C21B8" w14:paraId="2CF08B6C" w14:textId="77777777" w:rsidTr="00864CDB">
        <w:tblPrEx>
          <w:tblCellMar>
            <w:top w:w="45" w:type="dxa"/>
            <w:left w:w="103" w:type="dxa"/>
            <w:right w:w="51" w:type="dxa"/>
          </w:tblCellMar>
        </w:tblPrEx>
        <w:trPr>
          <w:gridBefore w:val="1"/>
          <w:wBefore w:w="11" w:type="dxa"/>
          <w:trHeight w:val="200"/>
        </w:trPr>
        <w:tc>
          <w:tcPr>
            <w:tcW w:w="9195" w:type="dxa"/>
            <w:gridSpan w:val="3"/>
            <w:shd w:val="clear" w:color="auto" w:fill="auto"/>
          </w:tcPr>
          <w:p w14:paraId="1EBBFD49"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Domain 3: analysis and findings</w:t>
            </w:r>
          </w:p>
        </w:tc>
      </w:tr>
      <w:tr w:rsidR="009A3EF9" w:rsidRPr="002C21B8" w14:paraId="5845D462" w14:textId="77777777" w:rsidTr="00864CDB">
        <w:tblPrEx>
          <w:tblCellMar>
            <w:top w:w="45" w:type="dxa"/>
            <w:left w:w="103" w:type="dxa"/>
            <w:right w:w="51" w:type="dxa"/>
          </w:tblCellMar>
        </w:tblPrEx>
        <w:trPr>
          <w:gridBefore w:val="1"/>
          <w:wBefore w:w="11" w:type="dxa"/>
          <w:trHeight w:val="65"/>
        </w:trPr>
        <w:tc>
          <w:tcPr>
            <w:tcW w:w="9195" w:type="dxa"/>
            <w:gridSpan w:val="3"/>
            <w:shd w:val="clear" w:color="auto" w:fill="auto"/>
          </w:tcPr>
          <w:p w14:paraId="23218707"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Data analysis</w:t>
            </w:r>
          </w:p>
        </w:tc>
      </w:tr>
      <w:tr w:rsidR="009A3EF9" w:rsidRPr="002C21B8" w14:paraId="5DA739E7" w14:textId="77777777" w:rsidTr="00CC3DCE">
        <w:tblPrEx>
          <w:tblCellMar>
            <w:top w:w="45" w:type="dxa"/>
            <w:left w:w="103" w:type="dxa"/>
            <w:right w:w="51" w:type="dxa"/>
          </w:tblCellMar>
        </w:tblPrEx>
        <w:trPr>
          <w:gridBefore w:val="1"/>
          <w:wBefore w:w="11" w:type="dxa"/>
          <w:trHeight w:val="32"/>
        </w:trPr>
        <w:tc>
          <w:tcPr>
            <w:tcW w:w="2108" w:type="dxa"/>
            <w:shd w:val="clear" w:color="auto" w:fill="auto"/>
          </w:tcPr>
          <w:p w14:paraId="09F1A05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24. Number of data coders </w:t>
            </w:r>
          </w:p>
        </w:tc>
        <w:tc>
          <w:tcPr>
            <w:tcW w:w="5386" w:type="dxa"/>
            <w:shd w:val="clear" w:color="auto" w:fill="auto"/>
          </w:tcPr>
          <w:p w14:paraId="15A0592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How many data coders coded the data?</w:t>
            </w:r>
          </w:p>
        </w:tc>
        <w:tc>
          <w:tcPr>
            <w:tcW w:w="1701" w:type="dxa"/>
            <w:shd w:val="clear" w:color="auto" w:fill="auto"/>
          </w:tcPr>
          <w:p w14:paraId="4388440B" w14:textId="76F9C034" w:rsidR="009A3EF9" w:rsidRPr="002C21B8" w:rsidRDefault="00CC3DCE" w:rsidP="00CC3DCE">
            <w:pPr>
              <w:spacing w:after="0" w:line="240" w:lineRule="auto"/>
              <w:ind w:right="74"/>
              <w:jc w:val="left"/>
              <w:rPr>
                <w:sz w:val="16"/>
                <w:szCs w:val="16"/>
                <w:lang w:val="en-GB"/>
              </w:rPr>
            </w:pPr>
            <w:r w:rsidRPr="002C21B8">
              <w:rPr>
                <w:sz w:val="16"/>
                <w:szCs w:val="16"/>
                <w:lang w:val="en-GB"/>
              </w:rPr>
              <w:t>Methods - data analysis</w:t>
            </w:r>
          </w:p>
        </w:tc>
      </w:tr>
      <w:tr w:rsidR="00CC3DCE" w:rsidRPr="002C21B8" w14:paraId="6A54DF4C" w14:textId="77777777" w:rsidTr="00CC3DCE">
        <w:tblPrEx>
          <w:tblCellMar>
            <w:top w:w="45" w:type="dxa"/>
            <w:left w:w="103" w:type="dxa"/>
            <w:right w:w="51" w:type="dxa"/>
          </w:tblCellMar>
        </w:tblPrEx>
        <w:trPr>
          <w:gridBefore w:val="1"/>
          <w:wBefore w:w="11" w:type="dxa"/>
          <w:trHeight w:val="25"/>
        </w:trPr>
        <w:tc>
          <w:tcPr>
            <w:tcW w:w="2108" w:type="dxa"/>
            <w:shd w:val="clear" w:color="auto" w:fill="auto"/>
          </w:tcPr>
          <w:p w14:paraId="73653FF0"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 xml:space="preserve">25. Description of the coding tree </w:t>
            </w:r>
          </w:p>
        </w:tc>
        <w:tc>
          <w:tcPr>
            <w:tcW w:w="5386" w:type="dxa"/>
            <w:shd w:val="clear" w:color="auto" w:fill="auto"/>
          </w:tcPr>
          <w:p w14:paraId="0E52BF0B"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Did the authors provide a description of the coding tree?</w:t>
            </w:r>
          </w:p>
        </w:tc>
        <w:tc>
          <w:tcPr>
            <w:tcW w:w="1701" w:type="dxa"/>
            <w:shd w:val="clear" w:color="auto" w:fill="auto"/>
          </w:tcPr>
          <w:p w14:paraId="1777CF35" w14:textId="2DB7C486" w:rsidR="00CC3DCE" w:rsidRPr="002C21B8" w:rsidRDefault="00CC3DCE" w:rsidP="00CC3DCE">
            <w:pPr>
              <w:spacing w:after="0" w:line="240" w:lineRule="auto"/>
              <w:ind w:right="74"/>
              <w:jc w:val="left"/>
              <w:rPr>
                <w:sz w:val="16"/>
                <w:szCs w:val="16"/>
                <w:lang w:val="en-GB"/>
              </w:rPr>
            </w:pPr>
            <w:r w:rsidRPr="002C21B8">
              <w:rPr>
                <w:sz w:val="16"/>
                <w:szCs w:val="16"/>
                <w:lang w:val="en-GB"/>
              </w:rPr>
              <w:t>Methods - data analysis</w:t>
            </w:r>
          </w:p>
        </w:tc>
      </w:tr>
      <w:tr w:rsidR="00CC3DCE" w:rsidRPr="002C21B8" w14:paraId="0CB9A3A3" w14:textId="77777777" w:rsidTr="00CC3DCE">
        <w:tblPrEx>
          <w:tblCellMar>
            <w:top w:w="44" w:type="dxa"/>
            <w:left w:w="103" w:type="dxa"/>
            <w:right w:w="74" w:type="dxa"/>
          </w:tblCellMar>
        </w:tblPrEx>
        <w:trPr>
          <w:gridBefore w:val="1"/>
          <w:wBefore w:w="11" w:type="dxa"/>
          <w:trHeight w:val="207"/>
        </w:trPr>
        <w:tc>
          <w:tcPr>
            <w:tcW w:w="2108" w:type="dxa"/>
            <w:shd w:val="clear" w:color="auto" w:fill="auto"/>
          </w:tcPr>
          <w:p w14:paraId="5507458B"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 xml:space="preserve">26. Derivation of themes </w:t>
            </w:r>
          </w:p>
        </w:tc>
        <w:tc>
          <w:tcPr>
            <w:tcW w:w="5386" w:type="dxa"/>
            <w:shd w:val="clear" w:color="auto" w:fill="auto"/>
          </w:tcPr>
          <w:p w14:paraId="1303C4A8"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Were themes identified in advance or derived from the data?</w:t>
            </w:r>
          </w:p>
        </w:tc>
        <w:tc>
          <w:tcPr>
            <w:tcW w:w="1701" w:type="dxa"/>
            <w:shd w:val="clear" w:color="auto" w:fill="auto"/>
          </w:tcPr>
          <w:p w14:paraId="129C2EBC" w14:textId="269BD7AA" w:rsidR="00CC3DCE" w:rsidRPr="002C21B8" w:rsidRDefault="00CC3DCE" w:rsidP="00CC3DCE">
            <w:pPr>
              <w:spacing w:after="0" w:line="240" w:lineRule="auto"/>
              <w:ind w:right="74"/>
              <w:jc w:val="left"/>
              <w:rPr>
                <w:sz w:val="16"/>
                <w:szCs w:val="16"/>
                <w:lang w:val="en-GB"/>
              </w:rPr>
            </w:pPr>
            <w:r w:rsidRPr="002C21B8">
              <w:rPr>
                <w:sz w:val="16"/>
                <w:szCs w:val="16"/>
                <w:lang w:val="en-GB"/>
              </w:rPr>
              <w:t>Methods - data analysis</w:t>
            </w:r>
          </w:p>
        </w:tc>
      </w:tr>
      <w:tr w:rsidR="00CC3DCE" w:rsidRPr="002C21B8" w14:paraId="2515E29D" w14:textId="77777777" w:rsidTr="00CC3DCE">
        <w:tblPrEx>
          <w:tblCellMar>
            <w:top w:w="44" w:type="dxa"/>
            <w:left w:w="103" w:type="dxa"/>
            <w:right w:w="74" w:type="dxa"/>
          </w:tblCellMar>
        </w:tblPrEx>
        <w:trPr>
          <w:gridBefore w:val="1"/>
          <w:wBefore w:w="11" w:type="dxa"/>
          <w:trHeight w:val="16"/>
        </w:trPr>
        <w:tc>
          <w:tcPr>
            <w:tcW w:w="2108" w:type="dxa"/>
            <w:shd w:val="clear" w:color="auto" w:fill="auto"/>
          </w:tcPr>
          <w:p w14:paraId="48C766AD"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 xml:space="preserve">27. Software </w:t>
            </w:r>
          </w:p>
        </w:tc>
        <w:tc>
          <w:tcPr>
            <w:tcW w:w="5386" w:type="dxa"/>
            <w:shd w:val="clear" w:color="auto" w:fill="auto"/>
          </w:tcPr>
          <w:p w14:paraId="24BAD91C" w14:textId="77777777" w:rsidR="00CC3DCE" w:rsidRPr="002C21B8" w:rsidRDefault="00CC3DCE" w:rsidP="00CC3DCE">
            <w:pPr>
              <w:spacing w:after="0" w:line="240" w:lineRule="auto"/>
              <w:ind w:right="74"/>
              <w:jc w:val="left"/>
              <w:rPr>
                <w:sz w:val="16"/>
                <w:szCs w:val="16"/>
                <w:lang w:val="en-GB"/>
              </w:rPr>
            </w:pPr>
            <w:r w:rsidRPr="002C21B8">
              <w:rPr>
                <w:sz w:val="16"/>
                <w:szCs w:val="16"/>
                <w:lang w:val="en-GB"/>
              </w:rPr>
              <w:t>What software, if applicable, was used to manage the data?</w:t>
            </w:r>
          </w:p>
        </w:tc>
        <w:tc>
          <w:tcPr>
            <w:tcW w:w="1701" w:type="dxa"/>
            <w:shd w:val="clear" w:color="auto" w:fill="auto"/>
          </w:tcPr>
          <w:p w14:paraId="2F27CDFB" w14:textId="6A0973D8" w:rsidR="00CC3DCE" w:rsidRPr="002C21B8" w:rsidRDefault="00CC3DCE" w:rsidP="00CC3DCE">
            <w:pPr>
              <w:spacing w:after="0" w:line="240" w:lineRule="auto"/>
              <w:ind w:right="74"/>
              <w:jc w:val="left"/>
              <w:rPr>
                <w:sz w:val="16"/>
                <w:szCs w:val="16"/>
                <w:lang w:val="en-GB"/>
              </w:rPr>
            </w:pPr>
            <w:r w:rsidRPr="002C21B8">
              <w:rPr>
                <w:sz w:val="16"/>
                <w:szCs w:val="16"/>
                <w:lang w:val="en-GB"/>
              </w:rPr>
              <w:t>Methods - data analysis</w:t>
            </w:r>
          </w:p>
        </w:tc>
      </w:tr>
      <w:tr w:rsidR="009A3EF9" w:rsidRPr="002C21B8" w14:paraId="2C19168C" w14:textId="77777777" w:rsidTr="00CC3DCE">
        <w:tblPrEx>
          <w:tblCellMar>
            <w:top w:w="44" w:type="dxa"/>
            <w:left w:w="103" w:type="dxa"/>
            <w:right w:w="74" w:type="dxa"/>
          </w:tblCellMar>
        </w:tblPrEx>
        <w:trPr>
          <w:gridBefore w:val="1"/>
          <w:wBefore w:w="11" w:type="dxa"/>
          <w:trHeight w:val="16"/>
        </w:trPr>
        <w:tc>
          <w:tcPr>
            <w:tcW w:w="2108" w:type="dxa"/>
            <w:shd w:val="clear" w:color="auto" w:fill="auto"/>
          </w:tcPr>
          <w:p w14:paraId="53A35F00"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28. Participant checking </w:t>
            </w:r>
          </w:p>
        </w:tc>
        <w:tc>
          <w:tcPr>
            <w:tcW w:w="5386" w:type="dxa"/>
            <w:shd w:val="clear" w:color="auto" w:fill="auto"/>
          </w:tcPr>
          <w:p w14:paraId="3D80652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Did participants provide feedback on the findings?</w:t>
            </w:r>
          </w:p>
        </w:tc>
        <w:tc>
          <w:tcPr>
            <w:tcW w:w="1701" w:type="dxa"/>
            <w:shd w:val="clear" w:color="auto" w:fill="auto"/>
          </w:tcPr>
          <w:p w14:paraId="01B5876D"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NA</w:t>
            </w:r>
          </w:p>
        </w:tc>
      </w:tr>
      <w:tr w:rsidR="009A3EF9" w:rsidRPr="002C21B8" w14:paraId="09981431" w14:textId="77777777" w:rsidTr="00864CDB">
        <w:tblPrEx>
          <w:tblCellMar>
            <w:top w:w="44" w:type="dxa"/>
            <w:left w:w="103" w:type="dxa"/>
            <w:right w:w="74" w:type="dxa"/>
          </w:tblCellMar>
        </w:tblPrEx>
        <w:trPr>
          <w:gridBefore w:val="1"/>
          <w:wBefore w:w="11" w:type="dxa"/>
          <w:trHeight w:val="198"/>
        </w:trPr>
        <w:tc>
          <w:tcPr>
            <w:tcW w:w="9195" w:type="dxa"/>
            <w:gridSpan w:val="3"/>
            <w:shd w:val="clear" w:color="auto" w:fill="auto"/>
          </w:tcPr>
          <w:p w14:paraId="5982CA4F"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Reporting</w:t>
            </w:r>
          </w:p>
        </w:tc>
      </w:tr>
      <w:tr w:rsidR="009A3EF9" w:rsidRPr="002C21B8" w14:paraId="3D03797B" w14:textId="77777777" w:rsidTr="00CC3DCE">
        <w:tblPrEx>
          <w:tblCellMar>
            <w:top w:w="44" w:type="dxa"/>
            <w:left w:w="103" w:type="dxa"/>
            <w:right w:w="74" w:type="dxa"/>
          </w:tblCellMar>
        </w:tblPrEx>
        <w:trPr>
          <w:gridBefore w:val="1"/>
          <w:wBefore w:w="11" w:type="dxa"/>
          <w:trHeight w:val="423"/>
        </w:trPr>
        <w:tc>
          <w:tcPr>
            <w:tcW w:w="2108" w:type="dxa"/>
            <w:shd w:val="clear" w:color="auto" w:fill="auto"/>
          </w:tcPr>
          <w:p w14:paraId="2A4B46F6"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29. Quotations presented </w:t>
            </w:r>
          </w:p>
        </w:tc>
        <w:tc>
          <w:tcPr>
            <w:tcW w:w="5386" w:type="dxa"/>
            <w:shd w:val="clear" w:color="auto" w:fill="auto"/>
          </w:tcPr>
          <w:p w14:paraId="24EE16D2"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Were participant quotations presented to illustrate the themes/findings? Was each quotation identified? e.g., participant number</w:t>
            </w:r>
          </w:p>
        </w:tc>
        <w:tc>
          <w:tcPr>
            <w:tcW w:w="1701" w:type="dxa"/>
            <w:shd w:val="clear" w:color="auto" w:fill="auto"/>
          </w:tcPr>
          <w:p w14:paraId="5CEE4CC1" w14:textId="0D32A158" w:rsidR="009A3EF9" w:rsidRPr="002C21B8" w:rsidRDefault="00CC3DCE" w:rsidP="00CC3DCE">
            <w:pPr>
              <w:spacing w:after="0" w:line="240" w:lineRule="auto"/>
              <w:ind w:right="74"/>
              <w:jc w:val="left"/>
              <w:rPr>
                <w:sz w:val="16"/>
                <w:szCs w:val="16"/>
                <w:lang w:val="en-GB"/>
              </w:rPr>
            </w:pPr>
            <w:r w:rsidRPr="002C21B8">
              <w:rPr>
                <w:sz w:val="16"/>
                <w:szCs w:val="16"/>
                <w:lang w:val="en-GB"/>
              </w:rPr>
              <w:t>Results</w:t>
            </w:r>
          </w:p>
        </w:tc>
      </w:tr>
      <w:tr w:rsidR="009A3EF9" w:rsidRPr="002C21B8" w14:paraId="06489CC5" w14:textId="77777777" w:rsidTr="00CC3DCE">
        <w:tblPrEx>
          <w:tblCellMar>
            <w:top w:w="44" w:type="dxa"/>
            <w:left w:w="103" w:type="dxa"/>
            <w:right w:w="74" w:type="dxa"/>
          </w:tblCellMar>
        </w:tblPrEx>
        <w:trPr>
          <w:gridBefore w:val="1"/>
          <w:wBefore w:w="11" w:type="dxa"/>
          <w:trHeight w:val="503"/>
        </w:trPr>
        <w:tc>
          <w:tcPr>
            <w:tcW w:w="2108" w:type="dxa"/>
            <w:shd w:val="clear" w:color="auto" w:fill="auto"/>
          </w:tcPr>
          <w:p w14:paraId="495836B4"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30. Data and findings consistent </w:t>
            </w:r>
          </w:p>
        </w:tc>
        <w:tc>
          <w:tcPr>
            <w:tcW w:w="5386" w:type="dxa"/>
            <w:shd w:val="clear" w:color="auto" w:fill="auto"/>
          </w:tcPr>
          <w:p w14:paraId="58377B1E"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Was there consistency between the data presented and the findings?</w:t>
            </w:r>
          </w:p>
        </w:tc>
        <w:tc>
          <w:tcPr>
            <w:tcW w:w="1701" w:type="dxa"/>
            <w:shd w:val="clear" w:color="auto" w:fill="auto"/>
          </w:tcPr>
          <w:p w14:paraId="637B2508" w14:textId="67CA8737" w:rsidR="009A3EF9" w:rsidRPr="002C21B8" w:rsidRDefault="00CC3DCE" w:rsidP="00CC3DCE">
            <w:pPr>
              <w:spacing w:after="0" w:line="240" w:lineRule="auto"/>
              <w:ind w:right="74"/>
              <w:jc w:val="left"/>
              <w:rPr>
                <w:sz w:val="16"/>
                <w:szCs w:val="16"/>
                <w:lang w:val="en-GB"/>
              </w:rPr>
            </w:pPr>
            <w:r w:rsidRPr="002C21B8">
              <w:rPr>
                <w:sz w:val="16"/>
                <w:szCs w:val="16"/>
                <w:lang w:val="en-GB"/>
              </w:rPr>
              <w:t>Results</w:t>
            </w:r>
          </w:p>
        </w:tc>
      </w:tr>
      <w:tr w:rsidR="009A3EF9" w:rsidRPr="002C21B8" w14:paraId="23971B66" w14:textId="77777777" w:rsidTr="00CC3DCE">
        <w:tblPrEx>
          <w:tblCellMar>
            <w:top w:w="44" w:type="dxa"/>
            <w:left w:w="103" w:type="dxa"/>
            <w:right w:w="74" w:type="dxa"/>
          </w:tblCellMar>
        </w:tblPrEx>
        <w:trPr>
          <w:gridBefore w:val="1"/>
          <w:wBefore w:w="11" w:type="dxa"/>
          <w:trHeight w:val="16"/>
        </w:trPr>
        <w:tc>
          <w:tcPr>
            <w:tcW w:w="2108" w:type="dxa"/>
            <w:shd w:val="clear" w:color="auto" w:fill="auto"/>
          </w:tcPr>
          <w:p w14:paraId="2AB2E485"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31. Clarity of major themes </w:t>
            </w:r>
          </w:p>
        </w:tc>
        <w:tc>
          <w:tcPr>
            <w:tcW w:w="5386" w:type="dxa"/>
            <w:shd w:val="clear" w:color="auto" w:fill="auto"/>
          </w:tcPr>
          <w:p w14:paraId="2BF58993"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Were major themes clearly presented in the findings?</w:t>
            </w:r>
          </w:p>
        </w:tc>
        <w:tc>
          <w:tcPr>
            <w:tcW w:w="1701" w:type="dxa"/>
            <w:shd w:val="clear" w:color="auto" w:fill="auto"/>
          </w:tcPr>
          <w:p w14:paraId="05AB9C48" w14:textId="3C3EE02A" w:rsidR="009A3EF9" w:rsidRPr="002C21B8" w:rsidRDefault="00CC3DCE" w:rsidP="00CC3DCE">
            <w:pPr>
              <w:spacing w:after="0" w:line="240" w:lineRule="auto"/>
              <w:ind w:right="74"/>
              <w:jc w:val="left"/>
              <w:rPr>
                <w:sz w:val="16"/>
                <w:szCs w:val="16"/>
                <w:lang w:val="en-GB"/>
              </w:rPr>
            </w:pPr>
            <w:r w:rsidRPr="002C21B8">
              <w:rPr>
                <w:sz w:val="16"/>
                <w:szCs w:val="16"/>
                <w:lang w:val="en-GB"/>
              </w:rPr>
              <w:t>Results</w:t>
            </w:r>
          </w:p>
        </w:tc>
      </w:tr>
      <w:tr w:rsidR="009A3EF9" w:rsidRPr="002C21B8" w14:paraId="4A6081B8" w14:textId="77777777" w:rsidTr="00CC3DCE">
        <w:tblPrEx>
          <w:tblCellMar>
            <w:top w:w="44" w:type="dxa"/>
            <w:left w:w="103" w:type="dxa"/>
            <w:right w:w="74" w:type="dxa"/>
          </w:tblCellMar>
        </w:tblPrEx>
        <w:trPr>
          <w:gridBefore w:val="1"/>
          <w:wBefore w:w="11" w:type="dxa"/>
          <w:trHeight w:val="396"/>
        </w:trPr>
        <w:tc>
          <w:tcPr>
            <w:tcW w:w="2108" w:type="dxa"/>
            <w:shd w:val="clear" w:color="auto" w:fill="auto"/>
          </w:tcPr>
          <w:p w14:paraId="7702D61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 xml:space="preserve">32. Clarity of minor themes </w:t>
            </w:r>
          </w:p>
        </w:tc>
        <w:tc>
          <w:tcPr>
            <w:tcW w:w="5386" w:type="dxa"/>
            <w:shd w:val="clear" w:color="auto" w:fill="auto"/>
          </w:tcPr>
          <w:p w14:paraId="42DC3FD8" w14:textId="77777777" w:rsidR="009A3EF9" w:rsidRPr="002C21B8" w:rsidRDefault="009A3EF9" w:rsidP="00CC3DCE">
            <w:pPr>
              <w:spacing w:after="0" w:line="240" w:lineRule="auto"/>
              <w:ind w:right="74"/>
              <w:jc w:val="left"/>
              <w:rPr>
                <w:sz w:val="16"/>
                <w:szCs w:val="16"/>
                <w:lang w:val="en-GB"/>
              </w:rPr>
            </w:pPr>
            <w:r w:rsidRPr="002C21B8">
              <w:rPr>
                <w:sz w:val="16"/>
                <w:szCs w:val="16"/>
                <w:lang w:val="en-GB"/>
              </w:rPr>
              <w:t>Is there a description of diverse cases or a discussion of minor themes?</w:t>
            </w:r>
          </w:p>
        </w:tc>
        <w:tc>
          <w:tcPr>
            <w:tcW w:w="1701" w:type="dxa"/>
            <w:shd w:val="clear" w:color="auto" w:fill="auto"/>
          </w:tcPr>
          <w:p w14:paraId="168A1551" w14:textId="1ED47FF8" w:rsidR="009A3EF9" w:rsidRPr="002C21B8" w:rsidRDefault="00CC3DCE" w:rsidP="00CC3DCE">
            <w:pPr>
              <w:spacing w:after="0" w:line="240" w:lineRule="auto"/>
              <w:ind w:right="74"/>
              <w:jc w:val="left"/>
              <w:rPr>
                <w:sz w:val="16"/>
                <w:szCs w:val="16"/>
                <w:lang w:val="en-GB"/>
              </w:rPr>
            </w:pPr>
            <w:r w:rsidRPr="002C21B8">
              <w:rPr>
                <w:sz w:val="16"/>
                <w:szCs w:val="16"/>
                <w:lang w:val="en-GB"/>
              </w:rPr>
              <w:t>Results</w:t>
            </w:r>
          </w:p>
        </w:tc>
      </w:tr>
    </w:tbl>
    <w:bookmarkEnd w:id="471"/>
    <w:p w14:paraId="46225E99" w14:textId="2FFC0084" w:rsidR="0099322A" w:rsidRPr="002C21B8" w:rsidRDefault="00B475A7" w:rsidP="0099322A">
      <w:pPr>
        <w:spacing w:before="240"/>
        <w:rPr>
          <w:rFonts w:eastAsiaTheme="majorEastAsia"/>
          <w:color w:val="000000" w:themeColor="text1"/>
          <w:sz w:val="18"/>
          <w:szCs w:val="18"/>
        </w:rPr>
      </w:pPr>
      <w:r w:rsidRPr="002C21B8">
        <w:rPr>
          <w:color w:val="000000" w:themeColor="text1"/>
          <w:sz w:val="18"/>
          <w:szCs w:val="18"/>
        </w:rPr>
        <w:t xml:space="preserve">Locations indicate where each checklist item is </w:t>
      </w:r>
      <w:r w:rsidR="008D2E2F" w:rsidRPr="002C21B8">
        <w:rPr>
          <w:color w:val="000000" w:themeColor="text1"/>
          <w:sz w:val="18"/>
          <w:szCs w:val="18"/>
        </w:rPr>
        <w:t>includ</w:t>
      </w:r>
      <w:r w:rsidR="005C624D" w:rsidRPr="002C21B8">
        <w:rPr>
          <w:color w:val="000000" w:themeColor="text1"/>
          <w:sz w:val="18"/>
          <w:szCs w:val="18"/>
        </w:rPr>
        <w:t>e</w:t>
      </w:r>
      <w:r w:rsidRPr="002C21B8">
        <w:rPr>
          <w:color w:val="000000" w:themeColor="text1"/>
          <w:sz w:val="18"/>
          <w:szCs w:val="18"/>
        </w:rPr>
        <w:t>d in this thesi</w:t>
      </w:r>
      <w:r w:rsidR="00CC3DCE" w:rsidRPr="002C21B8">
        <w:rPr>
          <w:color w:val="000000" w:themeColor="text1"/>
          <w:sz w:val="18"/>
          <w:szCs w:val="18"/>
        </w:rPr>
        <w:t>s</w:t>
      </w:r>
    </w:p>
    <w:p w14:paraId="588F5F56" w14:textId="77777777" w:rsidR="0099322A" w:rsidRPr="002C21B8" w:rsidRDefault="0099322A">
      <w:pPr>
        <w:spacing w:after="0" w:line="240" w:lineRule="auto"/>
        <w:jc w:val="left"/>
        <w:rPr>
          <w:rFonts w:eastAsiaTheme="majorEastAsia"/>
          <w:color w:val="7B7B7B" w:themeColor="accent3" w:themeShade="BF"/>
          <w:sz w:val="18"/>
          <w:szCs w:val="18"/>
        </w:rPr>
      </w:pPr>
      <w:r w:rsidRPr="002C21B8">
        <w:rPr>
          <w:rFonts w:eastAsiaTheme="majorEastAsia"/>
          <w:color w:val="7B7B7B" w:themeColor="accent3" w:themeShade="BF"/>
          <w:sz w:val="18"/>
          <w:szCs w:val="18"/>
        </w:rPr>
        <w:br w:type="page"/>
      </w:r>
    </w:p>
    <w:p w14:paraId="7BA84686" w14:textId="2F93EA47" w:rsidR="009235D6" w:rsidRPr="002C21B8" w:rsidRDefault="009235D6" w:rsidP="0099322A">
      <w:pPr>
        <w:spacing w:before="240"/>
        <w:rPr>
          <w:b/>
          <w:bCs/>
          <w:i/>
          <w:iCs/>
          <w:color w:val="000000" w:themeColor="text1"/>
          <w:sz w:val="24"/>
          <w:szCs w:val="24"/>
        </w:rPr>
      </w:pPr>
      <w:r w:rsidRPr="002C21B8">
        <w:rPr>
          <w:b/>
          <w:bCs/>
          <w:color w:val="000000" w:themeColor="text1"/>
          <w:sz w:val="24"/>
          <w:szCs w:val="24"/>
        </w:rPr>
        <w:t>Consolidated criteria for reporting qualitative studies (COREQ</w:t>
      </w:r>
      <w:r w:rsidR="00175D37" w:rsidRPr="002C21B8">
        <w:rPr>
          <w:b/>
          <w:bCs/>
          <w:color w:val="000000" w:themeColor="text1"/>
          <w:sz w:val="24"/>
          <w:szCs w:val="24"/>
        </w:rPr>
        <w:t xml:space="preserve"> </w:t>
      </w:r>
      <w:r w:rsidRPr="002C21B8">
        <w:rPr>
          <w:b/>
          <w:bCs/>
          <w:color w:val="000000" w:themeColor="text1"/>
          <w:sz w:val="24"/>
          <w:szCs w:val="24"/>
        </w:rPr>
        <w:t>checklist</w:t>
      </w:r>
      <w:r w:rsidR="00175D37" w:rsidRPr="002C21B8">
        <w:rPr>
          <w:b/>
          <w:bCs/>
          <w:color w:val="000000" w:themeColor="text1"/>
          <w:sz w:val="24"/>
          <w:szCs w:val="24"/>
        </w:rPr>
        <w:t xml:space="preserve">) </w:t>
      </w:r>
      <w:r w:rsidRPr="002C21B8">
        <w:rPr>
          <w:b/>
          <w:bCs/>
          <w:color w:val="000000" w:themeColor="text1"/>
          <w:sz w:val="24"/>
          <w:szCs w:val="24"/>
        </w:rPr>
        <w:t>(</w:t>
      </w:r>
      <w:r w:rsidR="00760485" w:rsidRPr="002C21B8">
        <w:rPr>
          <w:b/>
          <w:bCs/>
          <w:color w:val="000000" w:themeColor="text1"/>
          <w:sz w:val="24"/>
          <w:szCs w:val="24"/>
        </w:rPr>
        <w:t>j</w:t>
      </w:r>
      <w:r w:rsidR="00F17C26" w:rsidRPr="002C21B8">
        <w:rPr>
          <w:b/>
          <w:bCs/>
          <w:color w:val="000000" w:themeColor="text1"/>
          <w:sz w:val="24"/>
          <w:szCs w:val="24"/>
        </w:rPr>
        <w:t xml:space="preserve">ournal </w:t>
      </w:r>
      <w:r w:rsidR="00760485" w:rsidRPr="002C21B8">
        <w:rPr>
          <w:b/>
          <w:bCs/>
          <w:color w:val="000000" w:themeColor="text1"/>
          <w:sz w:val="24"/>
          <w:szCs w:val="24"/>
        </w:rPr>
        <w:t>a</w:t>
      </w:r>
      <w:r w:rsidRPr="002C21B8">
        <w:rPr>
          <w:b/>
          <w:bCs/>
          <w:color w:val="000000" w:themeColor="text1"/>
          <w:sz w:val="24"/>
          <w:szCs w:val="24"/>
        </w:rPr>
        <w:t>r</w:t>
      </w:r>
      <w:r w:rsidR="00F17C26" w:rsidRPr="002C21B8">
        <w:rPr>
          <w:b/>
          <w:bCs/>
          <w:color w:val="000000" w:themeColor="text1"/>
          <w:sz w:val="24"/>
          <w:szCs w:val="24"/>
        </w:rPr>
        <w:t>ticle</w:t>
      </w:r>
      <w:r w:rsidRPr="002C21B8">
        <w:rPr>
          <w:b/>
          <w:bCs/>
          <w:color w:val="000000" w:themeColor="text1"/>
          <w:sz w:val="24"/>
          <w:szCs w:val="24"/>
        </w:rPr>
        <w:t xml:space="preserve"> 4)</w:t>
      </w:r>
    </w:p>
    <w:tbl>
      <w:tblPr>
        <w:tblStyle w:val="TableGrid0"/>
        <w:tblW w:w="9214"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top w:w="47" w:type="dxa"/>
          <w:left w:w="104" w:type="dxa"/>
          <w:right w:w="63" w:type="dxa"/>
        </w:tblCellMar>
        <w:tblLook w:val="04A0" w:firstRow="1" w:lastRow="0" w:firstColumn="1" w:lastColumn="0" w:noHBand="0" w:noVBand="1"/>
      </w:tblPr>
      <w:tblGrid>
        <w:gridCol w:w="2127"/>
        <w:gridCol w:w="5386"/>
        <w:gridCol w:w="1701"/>
      </w:tblGrid>
      <w:tr w:rsidR="00BF54FB" w:rsidRPr="002C21B8" w14:paraId="425FF08E" w14:textId="77777777" w:rsidTr="00FB59D5">
        <w:trPr>
          <w:trHeight w:val="105"/>
          <w:tblHeader/>
        </w:trPr>
        <w:tc>
          <w:tcPr>
            <w:tcW w:w="2127" w:type="dxa"/>
            <w:shd w:val="clear" w:color="auto" w:fill="auto"/>
          </w:tcPr>
          <w:p w14:paraId="2C0E989A"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Item No</w:t>
            </w:r>
          </w:p>
        </w:tc>
        <w:tc>
          <w:tcPr>
            <w:tcW w:w="5386" w:type="dxa"/>
            <w:shd w:val="clear" w:color="auto" w:fill="auto"/>
          </w:tcPr>
          <w:p w14:paraId="47010D35"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Guide Questions/Description </w:t>
            </w:r>
          </w:p>
        </w:tc>
        <w:tc>
          <w:tcPr>
            <w:tcW w:w="1701" w:type="dxa"/>
            <w:shd w:val="clear" w:color="auto" w:fill="auto"/>
          </w:tcPr>
          <w:p w14:paraId="0E648C1D"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Reported on Page # </w:t>
            </w:r>
          </w:p>
        </w:tc>
      </w:tr>
      <w:tr w:rsidR="00BF54FB" w:rsidRPr="002C21B8" w14:paraId="060415C5" w14:textId="77777777" w:rsidTr="00DB25FC">
        <w:trPr>
          <w:trHeight w:val="210"/>
        </w:trPr>
        <w:tc>
          <w:tcPr>
            <w:tcW w:w="9214" w:type="dxa"/>
            <w:gridSpan w:val="3"/>
            <w:shd w:val="clear" w:color="auto" w:fill="auto"/>
          </w:tcPr>
          <w:p w14:paraId="759C3E04"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Domain 1: Research team and reflexivity </w:t>
            </w:r>
          </w:p>
        </w:tc>
      </w:tr>
      <w:tr w:rsidR="00BF54FB" w:rsidRPr="002C21B8" w14:paraId="247CB616" w14:textId="77777777" w:rsidTr="00DB25FC">
        <w:trPr>
          <w:trHeight w:val="330"/>
        </w:trPr>
        <w:tc>
          <w:tcPr>
            <w:tcW w:w="9214" w:type="dxa"/>
            <w:gridSpan w:val="3"/>
            <w:shd w:val="clear" w:color="auto" w:fill="auto"/>
          </w:tcPr>
          <w:p w14:paraId="65C3D2D9"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Personal Characteristics</w:t>
            </w:r>
          </w:p>
        </w:tc>
      </w:tr>
      <w:tr w:rsidR="00BF54FB" w:rsidRPr="002C21B8" w14:paraId="3FEDCE2C" w14:textId="77777777" w:rsidTr="00FB59D5">
        <w:trPr>
          <w:trHeight w:val="23"/>
        </w:trPr>
        <w:tc>
          <w:tcPr>
            <w:tcW w:w="2127" w:type="dxa"/>
            <w:shd w:val="clear" w:color="auto" w:fill="auto"/>
          </w:tcPr>
          <w:p w14:paraId="5F622901"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 Interviewer/ facilitator </w:t>
            </w:r>
          </w:p>
        </w:tc>
        <w:tc>
          <w:tcPr>
            <w:tcW w:w="5386" w:type="dxa"/>
            <w:shd w:val="clear" w:color="auto" w:fill="auto"/>
          </w:tcPr>
          <w:p w14:paraId="53CC0259" w14:textId="77777777" w:rsidR="00BF54FB" w:rsidRPr="002C21B8" w:rsidRDefault="00BF54FB" w:rsidP="00FB59D5">
            <w:pPr>
              <w:spacing w:after="120" w:line="240" w:lineRule="auto"/>
              <w:jc w:val="left"/>
              <w:rPr>
                <w:sz w:val="16"/>
                <w:szCs w:val="16"/>
                <w:lang w:val="en-GB"/>
              </w:rPr>
            </w:pPr>
            <w:r w:rsidRPr="002C21B8">
              <w:rPr>
                <w:sz w:val="16"/>
                <w:szCs w:val="16"/>
                <w:lang w:val="en-GB"/>
              </w:rPr>
              <w:t>Which author/s conducted the interview or focus group?</w:t>
            </w:r>
          </w:p>
        </w:tc>
        <w:tc>
          <w:tcPr>
            <w:tcW w:w="1701" w:type="dxa"/>
            <w:shd w:val="clear" w:color="auto" w:fill="auto"/>
          </w:tcPr>
          <w:p w14:paraId="5482FB41" w14:textId="5EDF1566" w:rsidR="00BF54FB" w:rsidRPr="002C21B8" w:rsidRDefault="00FB59D5" w:rsidP="00FB59D5">
            <w:pPr>
              <w:spacing w:after="120" w:line="240" w:lineRule="auto"/>
              <w:jc w:val="left"/>
              <w:rPr>
                <w:sz w:val="16"/>
                <w:szCs w:val="16"/>
                <w:lang w:val="en-GB"/>
              </w:rPr>
            </w:pPr>
            <w:r w:rsidRPr="002C21B8">
              <w:rPr>
                <w:sz w:val="16"/>
                <w:szCs w:val="16"/>
                <w:lang w:val="en-GB"/>
              </w:rPr>
              <w:t>Methods - data collection</w:t>
            </w:r>
          </w:p>
        </w:tc>
      </w:tr>
      <w:tr w:rsidR="00BF54FB" w:rsidRPr="002C21B8" w14:paraId="0F82A669" w14:textId="77777777" w:rsidTr="00FB59D5">
        <w:trPr>
          <w:trHeight w:val="23"/>
        </w:trPr>
        <w:tc>
          <w:tcPr>
            <w:tcW w:w="2127" w:type="dxa"/>
            <w:shd w:val="clear" w:color="auto" w:fill="auto"/>
          </w:tcPr>
          <w:p w14:paraId="210B347E"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 Credentials </w:t>
            </w:r>
          </w:p>
        </w:tc>
        <w:tc>
          <w:tcPr>
            <w:tcW w:w="5386" w:type="dxa"/>
            <w:shd w:val="clear" w:color="auto" w:fill="auto"/>
          </w:tcPr>
          <w:p w14:paraId="45E99CB1" w14:textId="77777777" w:rsidR="00BF54FB" w:rsidRPr="002C21B8" w:rsidRDefault="00BF54FB" w:rsidP="00FB59D5">
            <w:pPr>
              <w:spacing w:after="120" w:line="240" w:lineRule="auto"/>
              <w:jc w:val="left"/>
              <w:rPr>
                <w:sz w:val="16"/>
                <w:szCs w:val="16"/>
                <w:lang w:val="en-GB"/>
              </w:rPr>
            </w:pPr>
            <w:r w:rsidRPr="002C21B8">
              <w:rPr>
                <w:sz w:val="16"/>
                <w:szCs w:val="16"/>
                <w:lang w:val="en-GB"/>
              </w:rPr>
              <w:t>What were the researcher’s credentials? E.g., PhD, MD</w:t>
            </w:r>
          </w:p>
        </w:tc>
        <w:tc>
          <w:tcPr>
            <w:tcW w:w="1701" w:type="dxa"/>
            <w:shd w:val="clear" w:color="auto" w:fill="auto"/>
          </w:tcPr>
          <w:p w14:paraId="2E2D00C1" w14:textId="03F9E11D"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19BAE88E" w14:textId="77777777" w:rsidTr="00FB59D5">
        <w:trPr>
          <w:trHeight w:val="16"/>
        </w:trPr>
        <w:tc>
          <w:tcPr>
            <w:tcW w:w="2127" w:type="dxa"/>
            <w:shd w:val="clear" w:color="auto" w:fill="auto"/>
          </w:tcPr>
          <w:p w14:paraId="2236C9C3"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3. Occupation </w:t>
            </w:r>
          </w:p>
        </w:tc>
        <w:tc>
          <w:tcPr>
            <w:tcW w:w="5386" w:type="dxa"/>
            <w:shd w:val="clear" w:color="auto" w:fill="auto"/>
          </w:tcPr>
          <w:p w14:paraId="2AE6F97C" w14:textId="77777777" w:rsidR="00BF54FB" w:rsidRPr="002C21B8" w:rsidRDefault="00BF54FB" w:rsidP="00FB59D5">
            <w:pPr>
              <w:spacing w:after="120" w:line="240" w:lineRule="auto"/>
              <w:jc w:val="left"/>
              <w:rPr>
                <w:sz w:val="16"/>
                <w:szCs w:val="16"/>
                <w:lang w:val="en-GB"/>
              </w:rPr>
            </w:pPr>
            <w:r w:rsidRPr="002C21B8">
              <w:rPr>
                <w:sz w:val="16"/>
                <w:szCs w:val="16"/>
                <w:lang w:val="en-GB"/>
              </w:rPr>
              <w:t>What was their occupation at the time of the study?</w:t>
            </w:r>
          </w:p>
        </w:tc>
        <w:tc>
          <w:tcPr>
            <w:tcW w:w="1701" w:type="dxa"/>
            <w:shd w:val="clear" w:color="auto" w:fill="auto"/>
          </w:tcPr>
          <w:p w14:paraId="79FDD3FF" w14:textId="71B037AD"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535D39FE" w14:textId="77777777" w:rsidTr="00FB59D5">
        <w:trPr>
          <w:trHeight w:val="126"/>
        </w:trPr>
        <w:tc>
          <w:tcPr>
            <w:tcW w:w="2127" w:type="dxa"/>
            <w:shd w:val="clear" w:color="auto" w:fill="auto"/>
          </w:tcPr>
          <w:p w14:paraId="32786049"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4. Gender </w:t>
            </w:r>
          </w:p>
        </w:tc>
        <w:tc>
          <w:tcPr>
            <w:tcW w:w="5386" w:type="dxa"/>
            <w:shd w:val="clear" w:color="auto" w:fill="auto"/>
          </w:tcPr>
          <w:p w14:paraId="4F129C0C" w14:textId="77777777" w:rsidR="00BF54FB" w:rsidRPr="002C21B8" w:rsidRDefault="00BF54FB" w:rsidP="00FB59D5">
            <w:pPr>
              <w:spacing w:after="120" w:line="240" w:lineRule="auto"/>
              <w:jc w:val="left"/>
              <w:rPr>
                <w:sz w:val="16"/>
                <w:szCs w:val="16"/>
                <w:lang w:val="en-GB"/>
              </w:rPr>
            </w:pPr>
            <w:r w:rsidRPr="002C21B8">
              <w:rPr>
                <w:sz w:val="16"/>
                <w:szCs w:val="16"/>
                <w:lang w:val="en-GB"/>
              </w:rPr>
              <w:t>Was the researcher male or female?</w:t>
            </w:r>
          </w:p>
        </w:tc>
        <w:tc>
          <w:tcPr>
            <w:tcW w:w="1701" w:type="dxa"/>
            <w:shd w:val="clear" w:color="auto" w:fill="auto"/>
          </w:tcPr>
          <w:p w14:paraId="17F955CC" w14:textId="22C04EBC"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0C610DBB" w14:textId="77777777" w:rsidTr="00FB59D5">
        <w:trPr>
          <w:trHeight w:val="123"/>
        </w:trPr>
        <w:tc>
          <w:tcPr>
            <w:tcW w:w="2127" w:type="dxa"/>
            <w:shd w:val="clear" w:color="auto" w:fill="auto"/>
          </w:tcPr>
          <w:p w14:paraId="3A8698AB"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5. Experience and training </w:t>
            </w:r>
          </w:p>
        </w:tc>
        <w:tc>
          <w:tcPr>
            <w:tcW w:w="5386" w:type="dxa"/>
            <w:shd w:val="clear" w:color="auto" w:fill="auto"/>
          </w:tcPr>
          <w:p w14:paraId="589BB854" w14:textId="77777777" w:rsidR="00BF54FB" w:rsidRPr="002C21B8" w:rsidRDefault="00BF54FB" w:rsidP="00FB59D5">
            <w:pPr>
              <w:spacing w:after="120" w:line="240" w:lineRule="auto"/>
              <w:jc w:val="left"/>
              <w:rPr>
                <w:sz w:val="16"/>
                <w:szCs w:val="16"/>
                <w:lang w:val="en-GB"/>
              </w:rPr>
            </w:pPr>
            <w:r w:rsidRPr="002C21B8">
              <w:rPr>
                <w:sz w:val="16"/>
                <w:szCs w:val="16"/>
                <w:lang w:val="en-GB"/>
              </w:rPr>
              <w:t>What experience or training did the researcher have?</w:t>
            </w:r>
          </w:p>
        </w:tc>
        <w:tc>
          <w:tcPr>
            <w:tcW w:w="1701" w:type="dxa"/>
            <w:shd w:val="clear" w:color="auto" w:fill="auto"/>
          </w:tcPr>
          <w:p w14:paraId="68FB510B" w14:textId="6862C1C4"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193214E7" w14:textId="77777777" w:rsidTr="00DB25FC">
        <w:trPr>
          <w:trHeight w:val="23"/>
        </w:trPr>
        <w:tc>
          <w:tcPr>
            <w:tcW w:w="9214" w:type="dxa"/>
            <w:gridSpan w:val="3"/>
            <w:shd w:val="clear" w:color="auto" w:fill="auto"/>
          </w:tcPr>
          <w:p w14:paraId="025886A5" w14:textId="306BA9E9" w:rsidR="00BF54FB" w:rsidRPr="002C21B8" w:rsidRDefault="00BF54FB" w:rsidP="00FB59D5">
            <w:pPr>
              <w:spacing w:after="120" w:line="240" w:lineRule="auto"/>
              <w:jc w:val="left"/>
              <w:rPr>
                <w:b/>
                <w:bCs/>
                <w:sz w:val="16"/>
                <w:szCs w:val="16"/>
                <w:lang w:val="en-GB"/>
              </w:rPr>
            </w:pPr>
            <w:r w:rsidRPr="002C21B8">
              <w:rPr>
                <w:b/>
                <w:bCs/>
                <w:sz w:val="16"/>
                <w:szCs w:val="16"/>
                <w:lang w:val="en-GB"/>
              </w:rPr>
              <w:t>Relationship with participant</w:t>
            </w:r>
          </w:p>
        </w:tc>
      </w:tr>
      <w:tr w:rsidR="00BF54FB" w:rsidRPr="002C21B8" w14:paraId="03EC8963" w14:textId="77777777" w:rsidTr="00FB59D5">
        <w:tblPrEx>
          <w:tblCellMar>
            <w:top w:w="48" w:type="dxa"/>
            <w:left w:w="106" w:type="dxa"/>
            <w:right w:w="6" w:type="dxa"/>
          </w:tblCellMar>
        </w:tblPrEx>
        <w:trPr>
          <w:trHeight w:val="41"/>
        </w:trPr>
        <w:tc>
          <w:tcPr>
            <w:tcW w:w="2127" w:type="dxa"/>
            <w:shd w:val="clear" w:color="auto" w:fill="auto"/>
          </w:tcPr>
          <w:p w14:paraId="315894CC"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6. Relationship established </w:t>
            </w:r>
          </w:p>
        </w:tc>
        <w:tc>
          <w:tcPr>
            <w:tcW w:w="5386" w:type="dxa"/>
            <w:shd w:val="clear" w:color="auto" w:fill="auto"/>
          </w:tcPr>
          <w:p w14:paraId="2E512D67" w14:textId="77777777" w:rsidR="00BF54FB" w:rsidRPr="002C21B8" w:rsidRDefault="00BF54FB" w:rsidP="00FB59D5">
            <w:pPr>
              <w:spacing w:after="120" w:line="240" w:lineRule="auto"/>
              <w:jc w:val="left"/>
              <w:rPr>
                <w:sz w:val="16"/>
                <w:szCs w:val="16"/>
                <w:lang w:val="en-GB"/>
              </w:rPr>
            </w:pPr>
            <w:r w:rsidRPr="002C21B8">
              <w:rPr>
                <w:sz w:val="16"/>
                <w:szCs w:val="16"/>
                <w:lang w:val="en-GB"/>
              </w:rPr>
              <w:t>Was a relationship established prior to study commencement?</w:t>
            </w:r>
          </w:p>
        </w:tc>
        <w:tc>
          <w:tcPr>
            <w:tcW w:w="1701" w:type="dxa"/>
            <w:shd w:val="clear" w:color="auto" w:fill="auto"/>
          </w:tcPr>
          <w:p w14:paraId="7B479358" w14:textId="03654F59"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607FF200" w14:textId="77777777" w:rsidTr="00FB59D5">
        <w:tblPrEx>
          <w:tblCellMar>
            <w:top w:w="48" w:type="dxa"/>
            <w:left w:w="106" w:type="dxa"/>
            <w:right w:w="6" w:type="dxa"/>
          </w:tblCellMar>
        </w:tblPrEx>
        <w:trPr>
          <w:trHeight w:val="212"/>
        </w:trPr>
        <w:tc>
          <w:tcPr>
            <w:tcW w:w="2127" w:type="dxa"/>
            <w:shd w:val="clear" w:color="auto" w:fill="auto"/>
          </w:tcPr>
          <w:p w14:paraId="245F5C87" w14:textId="77777777" w:rsidR="00BF54FB" w:rsidRPr="002C21B8" w:rsidRDefault="00BF54FB" w:rsidP="00FB59D5">
            <w:pPr>
              <w:spacing w:after="120" w:line="240" w:lineRule="auto"/>
              <w:jc w:val="left"/>
              <w:rPr>
                <w:sz w:val="16"/>
                <w:szCs w:val="16"/>
                <w:lang w:val="en-GB"/>
              </w:rPr>
            </w:pPr>
            <w:r w:rsidRPr="002C21B8">
              <w:rPr>
                <w:sz w:val="16"/>
                <w:szCs w:val="16"/>
                <w:lang w:val="en-GB"/>
              </w:rPr>
              <w:t>7. Participant knowledge of the interviewer</w:t>
            </w:r>
          </w:p>
        </w:tc>
        <w:tc>
          <w:tcPr>
            <w:tcW w:w="5386" w:type="dxa"/>
            <w:shd w:val="clear" w:color="auto" w:fill="auto"/>
          </w:tcPr>
          <w:p w14:paraId="796D7E68" w14:textId="77777777" w:rsidR="00BF54FB" w:rsidRPr="002C21B8" w:rsidRDefault="00BF54FB" w:rsidP="00FB59D5">
            <w:pPr>
              <w:spacing w:after="120" w:line="240" w:lineRule="auto"/>
              <w:jc w:val="left"/>
              <w:rPr>
                <w:sz w:val="16"/>
                <w:szCs w:val="16"/>
                <w:lang w:val="en-GB"/>
              </w:rPr>
            </w:pPr>
            <w:r w:rsidRPr="002C21B8">
              <w:rPr>
                <w:sz w:val="16"/>
                <w:szCs w:val="16"/>
                <w:lang w:val="en-GB"/>
              </w:rPr>
              <w:t>What did the participants know about the researcher? e.g. personal goals, reasons for doing the research?</w:t>
            </w:r>
          </w:p>
        </w:tc>
        <w:tc>
          <w:tcPr>
            <w:tcW w:w="1701" w:type="dxa"/>
            <w:shd w:val="clear" w:color="auto" w:fill="auto"/>
          </w:tcPr>
          <w:p w14:paraId="7897540A" w14:textId="73022520"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39E6A0CB" w14:textId="77777777" w:rsidTr="00FB59D5">
        <w:tblPrEx>
          <w:tblCellMar>
            <w:top w:w="48" w:type="dxa"/>
            <w:left w:w="106" w:type="dxa"/>
            <w:right w:w="6" w:type="dxa"/>
          </w:tblCellMar>
        </w:tblPrEx>
        <w:trPr>
          <w:trHeight w:val="701"/>
        </w:trPr>
        <w:tc>
          <w:tcPr>
            <w:tcW w:w="2127" w:type="dxa"/>
            <w:shd w:val="clear" w:color="auto" w:fill="auto"/>
          </w:tcPr>
          <w:p w14:paraId="2773D945"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8. Interviewer characteristics </w:t>
            </w:r>
          </w:p>
        </w:tc>
        <w:tc>
          <w:tcPr>
            <w:tcW w:w="5386" w:type="dxa"/>
            <w:shd w:val="clear" w:color="auto" w:fill="auto"/>
          </w:tcPr>
          <w:p w14:paraId="2262FBCB" w14:textId="77777777" w:rsidR="00BF54FB" w:rsidRPr="002C21B8" w:rsidRDefault="00BF54FB" w:rsidP="00FB59D5">
            <w:pPr>
              <w:spacing w:after="120" w:line="240" w:lineRule="auto"/>
              <w:jc w:val="left"/>
              <w:rPr>
                <w:sz w:val="16"/>
                <w:szCs w:val="16"/>
                <w:lang w:val="en-GB"/>
              </w:rPr>
            </w:pPr>
            <w:r w:rsidRPr="002C21B8">
              <w:rPr>
                <w:sz w:val="16"/>
                <w:szCs w:val="16"/>
                <w:lang w:val="en-GB"/>
              </w:rPr>
              <w:t>What characteristics were reported about the interviewer/facilitator? e.g. Bias, assumptions, reasons and interests in the research topic</w:t>
            </w:r>
          </w:p>
        </w:tc>
        <w:tc>
          <w:tcPr>
            <w:tcW w:w="1701" w:type="dxa"/>
            <w:shd w:val="clear" w:color="auto" w:fill="auto"/>
          </w:tcPr>
          <w:p w14:paraId="4A625869" w14:textId="02AD4DCC"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7CBAE649" w14:textId="77777777" w:rsidTr="00DB25FC">
        <w:tblPrEx>
          <w:tblCellMar>
            <w:top w:w="45" w:type="dxa"/>
            <w:left w:w="103" w:type="dxa"/>
            <w:right w:w="50" w:type="dxa"/>
          </w:tblCellMar>
        </w:tblPrEx>
        <w:trPr>
          <w:trHeight w:val="56"/>
        </w:trPr>
        <w:tc>
          <w:tcPr>
            <w:tcW w:w="9214" w:type="dxa"/>
            <w:gridSpan w:val="3"/>
            <w:shd w:val="clear" w:color="auto" w:fill="auto"/>
          </w:tcPr>
          <w:p w14:paraId="5FB34DC2"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 Domain 2: study design </w:t>
            </w:r>
          </w:p>
        </w:tc>
      </w:tr>
      <w:tr w:rsidR="00BF54FB" w:rsidRPr="002C21B8" w14:paraId="05E1C721" w14:textId="77777777" w:rsidTr="00DB25FC">
        <w:tblPrEx>
          <w:tblCellMar>
            <w:top w:w="45" w:type="dxa"/>
            <w:left w:w="103" w:type="dxa"/>
            <w:right w:w="50" w:type="dxa"/>
          </w:tblCellMar>
        </w:tblPrEx>
        <w:trPr>
          <w:trHeight w:val="25"/>
        </w:trPr>
        <w:tc>
          <w:tcPr>
            <w:tcW w:w="9214" w:type="dxa"/>
            <w:gridSpan w:val="3"/>
            <w:shd w:val="clear" w:color="auto" w:fill="auto"/>
          </w:tcPr>
          <w:p w14:paraId="2921846B"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Theoretical framework </w:t>
            </w:r>
          </w:p>
        </w:tc>
      </w:tr>
      <w:tr w:rsidR="00BF54FB" w:rsidRPr="002C21B8" w14:paraId="2A28D689" w14:textId="77777777" w:rsidTr="00FB59D5">
        <w:tblPrEx>
          <w:tblCellMar>
            <w:top w:w="45" w:type="dxa"/>
            <w:left w:w="103" w:type="dxa"/>
            <w:right w:w="50" w:type="dxa"/>
          </w:tblCellMar>
        </w:tblPrEx>
        <w:trPr>
          <w:trHeight w:val="557"/>
        </w:trPr>
        <w:tc>
          <w:tcPr>
            <w:tcW w:w="2127" w:type="dxa"/>
            <w:shd w:val="clear" w:color="auto" w:fill="auto"/>
          </w:tcPr>
          <w:p w14:paraId="41A0F0B0" w14:textId="77777777" w:rsidR="00BF54FB" w:rsidRPr="002C21B8" w:rsidRDefault="00BF54FB" w:rsidP="00FB59D5">
            <w:pPr>
              <w:spacing w:after="120" w:line="240" w:lineRule="auto"/>
              <w:jc w:val="left"/>
              <w:rPr>
                <w:sz w:val="16"/>
                <w:szCs w:val="16"/>
                <w:lang w:val="en-GB"/>
              </w:rPr>
            </w:pPr>
            <w:r w:rsidRPr="002C21B8">
              <w:rPr>
                <w:sz w:val="16"/>
                <w:szCs w:val="16"/>
                <w:lang w:val="en-GB"/>
              </w:rPr>
              <w:t>9. Methodological orientation and Theory</w:t>
            </w:r>
          </w:p>
        </w:tc>
        <w:tc>
          <w:tcPr>
            <w:tcW w:w="5386" w:type="dxa"/>
            <w:shd w:val="clear" w:color="auto" w:fill="auto"/>
          </w:tcPr>
          <w:p w14:paraId="563E7683" w14:textId="77777777" w:rsidR="00BF54FB" w:rsidRPr="002C21B8" w:rsidRDefault="00BF54FB" w:rsidP="00FB59D5">
            <w:pPr>
              <w:spacing w:after="120" w:line="240" w:lineRule="auto"/>
              <w:jc w:val="left"/>
              <w:rPr>
                <w:sz w:val="16"/>
                <w:szCs w:val="16"/>
                <w:lang w:val="en-GB"/>
              </w:rPr>
            </w:pPr>
            <w:r w:rsidRPr="002C21B8">
              <w:rPr>
                <w:sz w:val="16"/>
                <w:szCs w:val="16"/>
                <w:lang w:val="en-GB"/>
              </w:rPr>
              <w:t>What methodological orientation was stated to underpin the study? e.g. grounded theory, discourse analysis, ethnography, phenomenology, content analysis</w:t>
            </w:r>
          </w:p>
        </w:tc>
        <w:tc>
          <w:tcPr>
            <w:tcW w:w="1701" w:type="dxa"/>
            <w:shd w:val="clear" w:color="auto" w:fill="auto"/>
          </w:tcPr>
          <w:p w14:paraId="7C4E811D" w14:textId="77777777" w:rsidR="00A15369" w:rsidRPr="002C21B8" w:rsidRDefault="00FB59D5" w:rsidP="00FB59D5">
            <w:pPr>
              <w:spacing w:after="120" w:line="240" w:lineRule="auto"/>
              <w:jc w:val="left"/>
              <w:rPr>
                <w:sz w:val="16"/>
                <w:szCs w:val="16"/>
                <w:lang w:val="en-GB"/>
              </w:rPr>
            </w:pPr>
            <w:r w:rsidRPr="002C21B8">
              <w:rPr>
                <w:sz w:val="16"/>
                <w:szCs w:val="16"/>
                <w:lang w:val="en-GB"/>
              </w:rPr>
              <w:t>Methods - study</w:t>
            </w:r>
          </w:p>
          <w:p w14:paraId="355572FB" w14:textId="4CE80682" w:rsidR="00BF54FB" w:rsidRPr="002C21B8" w:rsidRDefault="00FB59D5" w:rsidP="00FB59D5">
            <w:pPr>
              <w:spacing w:after="120" w:line="240" w:lineRule="auto"/>
              <w:jc w:val="left"/>
              <w:rPr>
                <w:sz w:val="16"/>
                <w:szCs w:val="16"/>
                <w:lang w:val="en-GB"/>
              </w:rPr>
            </w:pPr>
            <w:r w:rsidRPr="002C21B8">
              <w:rPr>
                <w:sz w:val="16"/>
                <w:szCs w:val="16"/>
                <w:lang w:val="en-GB"/>
              </w:rPr>
              <w:t xml:space="preserve"> design</w:t>
            </w:r>
          </w:p>
        </w:tc>
      </w:tr>
      <w:tr w:rsidR="00BF54FB" w:rsidRPr="002C21B8" w14:paraId="5106BFE4" w14:textId="77777777" w:rsidTr="00DB25FC">
        <w:tblPrEx>
          <w:tblCellMar>
            <w:top w:w="45" w:type="dxa"/>
            <w:left w:w="103" w:type="dxa"/>
            <w:right w:w="50" w:type="dxa"/>
          </w:tblCellMar>
        </w:tblPrEx>
        <w:trPr>
          <w:trHeight w:val="215"/>
        </w:trPr>
        <w:tc>
          <w:tcPr>
            <w:tcW w:w="9214" w:type="dxa"/>
            <w:gridSpan w:val="3"/>
            <w:shd w:val="clear" w:color="auto" w:fill="auto"/>
          </w:tcPr>
          <w:p w14:paraId="7BBB06F4"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Participant selection</w:t>
            </w:r>
          </w:p>
        </w:tc>
      </w:tr>
      <w:tr w:rsidR="00BF54FB" w:rsidRPr="002C21B8" w14:paraId="64B71C69" w14:textId="77777777" w:rsidTr="00FB59D5">
        <w:tblPrEx>
          <w:tblCellMar>
            <w:top w:w="45" w:type="dxa"/>
            <w:left w:w="103" w:type="dxa"/>
            <w:right w:w="50" w:type="dxa"/>
          </w:tblCellMar>
        </w:tblPrEx>
        <w:trPr>
          <w:trHeight w:val="575"/>
        </w:trPr>
        <w:tc>
          <w:tcPr>
            <w:tcW w:w="2127" w:type="dxa"/>
            <w:shd w:val="clear" w:color="auto" w:fill="auto"/>
          </w:tcPr>
          <w:p w14:paraId="0AFC7469"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10. Sampling </w:t>
            </w:r>
          </w:p>
        </w:tc>
        <w:tc>
          <w:tcPr>
            <w:tcW w:w="5386" w:type="dxa"/>
            <w:shd w:val="clear" w:color="auto" w:fill="auto"/>
          </w:tcPr>
          <w:p w14:paraId="120A86D0" w14:textId="77777777" w:rsidR="00BF54FB" w:rsidRPr="002C21B8" w:rsidRDefault="00BF54FB" w:rsidP="00FB59D5">
            <w:pPr>
              <w:spacing w:after="120" w:line="240" w:lineRule="auto"/>
              <w:jc w:val="left"/>
              <w:rPr>
                <w:sz w:val="16"/>
                <w:szCs w:val="16"/>
                <w:lang w:val="en-GB"/>
              </w:rPr>
            </w:pPr>
            <w:r w:rsidRPr="002C21B8">
              <w:rPr>
                <w:sz w:val="16"/>
                <w:szCs w:val="16"/>
                <w:lang w:val="en-GB"/>
              </w:rPr>
              <w:t>How were participants selected? e.g., purposive, convenience, consecutive, snowball</w:t>
            </w:r>
          </w:p>
        </w:tc>
        <w:tc>
          <w:tcPr>
            <w:tcW w:w="1701" w:type="dxa"/>
            <w:shd w:val="clear" w:color="auto" w:fill="auto"/>
          </w:tcPr>
          <w:p w14:paraId="38E2828D" w14:textId="31A43C99"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358B485D" w14:textId="77777777" w:rsidTr="00FB59D5">
        <w:tblPrEx>
          <w:tblCellMar>
            <w:top w:w="45" w:type="dxa"/>
            <w:left w:w="103" w:type="dxa"/>
            <w:right w:w="50" w:type="dxa"/>
          </w:tblCellMar>
        </w:tblPrEx>
        <w:trPr>
          <w:trHeight w:val="404"/>
        </w:trPr>
        <w:tc>
          <w:tcPr>
            <w:tcW w:w="2127" w:type="dxa"/>
            <w:shd w:val="clear" w:color="auto" w:fill="auto"/>
          </w:tcPr>
          <w:p w14:paraId="5FC9C308"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11. Method of approach </w:t>
            </w:r>
          </w:p>
        </w:tc>
        <w:tc>
          <w:tcPr>
            <w:tcW w:w="5386" w:type="dxa"/>
            <w:shd w:val="clear" w:color="auto" w:fill="auto"/>
          </w:tcPr>
          <w:p w14:paraId="5A4BF068" w14:textId="77777777" w:rsidR="00BF54FB" w:rsidRPr="002C21B8" w:rsidRDefault="00BF54FB" w:rsidP="00FB59D5">
            <w:pPr>
              <w:spacing w:after="120" w:line="240" w:lineRule="auto"/>
              <w:jc w:val="left"/>
              <w:rPr>
                <w:sz w:val="16"/>
                <w:szCs w:val="16"/>
                <w:lang w:val="en-GB"/>
              </w:rPr>
            </w:pPr>
            <w:r w:rsidRPr="002C21B8">
              <w:rPr>
                <w:sz w:val="16"/>
                <w:szCs w:val="16"/>
                <w:lang w:val="en-GB"/>
              </w:rPr>
              <w:t>How were participants approached? e.g., face-to-face, telephone, mail, email</w:t>
            </w:r>
          </w:p>
        </w:tc>
        <w:tc>
          <w:tcPr>
            <w:tcW w:w="1701" w:type="dxa"/>
            <w:shd w:val="clear" w:color="auto" w:fill="auto"/>
          </w:tcPr>
          <w:p w14:paraId="2E52B234" w14:textId="391DA559"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6D355000" w14:textId="77777777" w:rsidTr="00FB59D5">
        <w:tblPrEx>
          <w:tblCellMar>
            <w:top w:w="45" w:type="dxa"/>
            <w:left w:w="103" w:type="dxa"/>
            <w:right w:w="50" w:type="dxa"/>
          </w:tblCellMar>
        </w:tblPrEx>
        <w:trPr>
          <w:trHeight w:val="101"/>
        </w:trPr>
        <w:tc>
          <w:tcPr>
            <w:tcW w:w="2127" w:type="dxa"/>
            <w:shd w:val="clear" w:color="auto" w:fill="auto"/>
          </w:tcPr>
          <w:p w14:paraId="3B63D899"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12. Sample size </w:t>
            </w:r>
          </w:p>
        </w:tc>
        <w:tc>
          <w:tcPr>
            <w:tcW w:w="5386" w:type="dxa"/>
            <w:shd w:val="clear" w:color="auto" w:fill="auto"/>
          </w:tcPr>
          <w:p w14:paraId="007943FF" w14:textId="77777777" w:rsidR="00BF54FB" w:rsidRPr="002C21B8" w:rsidRDefault="00BF54FB" w:rsidP="00FB59D5">
            <w:pPr>
              <w:spacing w:after="120" w:line="240" w:lineRule="auto"/>
              <w:jc w:val="left"/>
              <w:rPr>
                <w:sz w:val="16"/>
                <w:szCs w:val="16"/>
                <w:lang w:val="en-GB"/>
              </w:rPr>
            </w:pPr>
            <w:r w:rsidRPr="002C21B8">
              <w:rPr>
                <w:sz w:val="16"/>
                <w:szCs w:val="16"/>
                <w:lang w:val="en-GB"/>
              </w:rPr>
              <w:t>How many participants were in the study?</w:t>
            </w:r>
          </w:p>
        </w:tc>
        <w:tc>
          <w:tcPr>
            <w:tcW w:w="1701" w:type="dxa"/>
            <w:shd w:val="clear" w:color="auto" w:fill="auto"/>
          </w:tcPr>
          <w:p w14:paraId="47323C04" w14:textId="6E9F3731"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0ADBB23E" w14:textId="77777777" w:rsidTr="00FB59D5">
        <w:tblPrEx>
          <w:tblCellMar>
            <w:top w:w="45" w:type="dxa"/>
            <w:left w:w="103" w:type="dxa"/>
            <w:right w:w="50" w:type="dxa"/>
          </w:tblCellMar>
        </w:tblPrEx>
        <w:trPr>
          <w:trHeight w:val="242"/>
        </w:trPr>
        <w:tc>
          <w:tcPr>
            <w:tcW w:w="2127" w:type="dxa"/>
            <w:shd w:val="clear" w:color="auto" w:fill="auto"/>
          </w:tcPr>
          <w:p w14:paraId="314B008B"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13. Non-participation Setting </w:t>
            </w:r>
          </w:p>
        </w:tc>
        <w:tc>
          <w:tcPr>
            <w:tcW w:w="5386" w:type="dxa"/>
            <w:shd w:val="clear" w:color="auto" w:fill="auto"/>
          </w:tcPr>
          <w:p w14:paraId="2560A798" w14:textId="77777777" w:rsidR="00BF54FB" w:rsidRPr="002C21B8" w:rsidRDefault="00BF54FB" w:rsidP="00FB59D5">
            <w:pPr>
              <w:spacing w:after="120" w:line="240" w:lineRule="auto"/>
              <w:jc w:val="left"/>
              <w:rPr>
                <w:sz w:val="16"/>
                <w:szCs w:val="16"/>
                <w:lang w:val="en-GB"/>
              </w:rPr>
            </w:pPr>
            <w:r w:rsidRPr="002C21B8">
              <w:rPr>
                <w:sz w:val="16"/>
                <w:szCs w:val="16"/>
                <w:lang w:val="en-GB"/>
              </w:rPr>
              <w:t>How many people refused to participate or dropped out? Reasons?</w:t>
            </w:r>
          </w:p>
        </w:tc>
        <w:tc>
          <w:tcPr>
            <w:tcW w:w="1701" w:type="dxa"/>
            <w:shd w:val="clear" w:color="auto" w:fill="auto"/>
          </w:tcPr>
          <w:p w14:paraId="080A368F" w14:textId="07FAD921"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354C60BE" w14:textId="77777777" w:rsidTr="00FB59D5">
        <w:tblPrEx>
          <w:tblCellMar>
            <w:top w:w="45" w:type="dxa"/>
            <w:left w:w="103" w:type="dxa"/>
            <w:right w:w="52" w:type="dxa"/>
          </w:tblCellMar>
        </w:tblPrEx>
        <w:trPr>
          <w:trHeight w:val="323"/>
        </w:trPr>
        <w:tc>
          <w:tcPr>
            <w:tcW w:w="2127" w:type="dxa"/>
            <w:shd w:val="clear" w:color="auto" w:fill="auto"/>
          </w:tcPr>
          <w:p w14:paraId="2951A108"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14. Setting of data collection </w:t>
            </w:r>
          </w:p>
        </w:tc>
        <w:tc>
          <w:tcPr>
            <w:tcW w:w="5386" w:type="dxa"/>
            <w:shd w:val="clear" w:color="auto" w:fill="auto"/>
          </w:tcPr>
          <w:p w14:paraId="3B9B85B3"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Where was the data collected? e.g., home, clinic, workplace </w:t>
            </w:r>
          </w:p>
        </w:tc>
        <w:tc>
          <w:tcPr>
            <w:tcW w:w="1701" w:type="dxa"/>
            <w:shd w:val="clear" w:color="auto" w:fill="auto"/>
          </w:tcPr>
          <w:p w14:paraId="5864FD0A" w14:textId="1D486C11"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2BC9238F" w14:textId="77777777" w:rsidTr="00FB59D5">
        <w:tblPrEx>
          <w:tblCellMar>
            <w:top w:w="45" w:type="dxa"/>
            <w:left w:w="103" w:type="dxa"/>
            <w:right w:w="52" w:type="dxa"/>
          </w:tblCellMar>
        </w:tblPrEx>
        <w:trPr>
          <w:trHeight w:val="134"/>
        </w:trPr>
        <w:tc>
          <w:tcPr>
            <w:tcW w:w="2127" w:type="dxa"/>
            <w:shd w:val="clear" w:color="auto" w:fill="auto"/>
          </w:tcPr>
          <w:p w14:paraId="4E283961"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15.Presence of non-participants </w:t>
            </w:r>
          </w:p>
        </w:tc>
        <w:tc>
          <w:tcPr>
            <w:tcW w:w="5386" w:type="dxa"/>
            <w:shd w:val="clear" w:color="auto" w:fill="auto"/>
          </w:tcPr>
          <w:p w14:paraId="782E2EB4" w14:textId="77777777" w:rsidR="00BF54FB" w:rsidRPr="002C21B8" w:rsidRDefault="00BF54FB" w:rsidP="00FB59D5">
            <w:pPr>
              <w:spacing w:after="120" w:line="240" w:lineRule="auto"/>
              <w:jc w:val="left"/>
              <w:rPr>
                <w:sz w:val="16"/>
                <w:szCs w:val="16"/>
                <w:lang w:val="en-GB"/>
              </w:rPr>
            </w:pPr>
            <w:r w:rsidRPr="002C21B8">
              <w:rPr>
                <w:sz w:val="16"/>
                <w:szCs w:val="16"/>
                <w:lang w:val="en-GB"/>
              </w:rPr>
              <w:t>Was anyone else present besides the participants and researchers?</w:t>
            </w:r>
          </w:p>
        </w:tc>
        <w:tc>
          <w:tcPr>
            <w:tcW w:w="1701" w:type="dxa"/>
            <w:shd w:val="clear" w:color="auto" w:fill="auto"/>
          </w:tcPr>
          <w:p w14:paraId="1EC2A1E2" w14:textId="0951B594"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00C250D9" w14:textId="77777777" w:rsidTr="00FB59D5">
        <w:tblPrEx>
          <w:tblCellMar>
            <w:top w:w="45" w:type="dxa"/>
            <w:left w:w="103" w:type="dxa"/>
            <w:right w:w="52" w:type="dxa"/>
          </w:tblCellMar>
        </w:tblPrEx>
        <w:trPr>
          <w:trHeight w:val="458"/>
        </w:trPr>
        <w:tc>
          <w:tcPr>
            <w:tcW w:w="2127" w:type="dxa"/>
            <w:shd w:val="clear" w:color="auto" w:fill="auto"/>
          </w:tcPr>
          <w:p w14:paraId="5E65F13A"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16. Description of sample </w:t>
            </w:r>
          </w:p>
        </w:tc>
        <w:tc>
          <w:tcPr>
            <w:tcW w:w="5386" w:type="dxa"/>
            <w:shd w:val="clear" w:color="auto" w:fill="auto"/>
          </w:tcPr>
          <w:p w14:paraId="07E41477" w14:textId="77777777" w:rsidR="00BF54FB" w:rsidRPr="002C21B8" w:rsidRDefault="00BF54FB" w:rsidP="00FB59D5">
            <w:pPr>
              <w:spacing w:after="120" w:line="240" w:lineRule="auto"/>
              <w:jc w:val="left"/>
              <w:rPr>
                <w:sz w:val="16"/>
                <w:szCs w:val="16"/>
                <w:lang w:val="en-GB"/>
              </w:rPr>
            </w:pPr>
            <w:r w:rsidRPr="002C21B8">
              <w:rPr>
                <w:sz w:val="16"/>
                <w:szCs w:val="16"/>
                <w:lang w:val="en-GB"/>
              </w:rPr>
              <w:t>What are the important characteristics of the sample? e.g. demographic data, date</w:t>
            </w:r>
          </w:p>
        </w:tc>
        <w:tc>
          <w:tcPr>
            <w:tcW w:w="1701" w:type="dxa"/>
            <w:shd w:val="clear" w:color="auto" w:fill="auto"/>
          </w:tcPr>
          <w:p w14:paraId="53F1DD44" w14:textId="2C1DAA87" w:rsidR="00BF54FB" w:rsidRPr="002C21B8" w:rsidRDefault="00FB59D5" w:rsidP="00FB59D5">
            <w:pPr>
              <w:spacing w:after="120" w:line="240" w:lineRule="auto"/>
              <w:jc w:val="left"/>
              <w:rPr>
                <w:sz w:val="16"/>
                <w:szCs w:val="16"/>
                <w:lang w:val="en-GB"/>
              </w:rPr>
            </w:pPr>
            <w:r w:rsidRPr="002C21B8">
              <w:rPr>
                <w:sz w:val="16"/>
                <w:szCs w:val="16"/>
                <w:lang w:val="en-GB"/>
              </w:rPr>
              <w:t>Res</w:t>
            </w:r>
            <w:r w:rsidR="00996705" w:rsidRPr="002C21B8">
              <w:rPr>
                <w:sz w:val="16"/>
                <w:szCs w:val="16"/>
                <w:lang w:val="en-GB"/>
              </w:rPr>
              <w:t>u</w:t>
            </w:r>
            <w:r w:rsidRPr="002C21B8">
              <w:rPr>
                <w:sz w:val="16"/>
                <w:szCs w:val="16"/>
                <w:lang w:val="en-GB"/>
              </w:rPr>
              <w:t>lts - description of participants</w:t>
            </w:r>
          </w:p>
        </w:tc>
      </w:tr>
      <w:tr w:rsidR="00BF54FB" w:rsidRPr="002C21B8" w14:paraId="6FE3DFF2" w14:textId="77777777" w:rsidTr="00DB25FC">
        <w:tblPrEx>
          <w:tblCellMar>
            <w:top w:w="45" w:type="dxa"/>
            <w:left w:w="103" w:type="dxa"/>
            <w:right w:w="52" w:type="dxa"/>
          </w:tblCellMar>
        </w:tblPrEx>
        <w:trPr>
          <w:trHeight w:val="101"/>
        </w:trPr>
        <w:tc>
          <w:tcPr>
            <w:tcW w:w="9214" w:type="dxa"/>
            <w:gridSpan w:val="3"/>
            <w:shd w:val="clear" w:color="auto" w:fill="auto"/>
          </w:tcPr>
          <w:p w14:paraId="39A451D3"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 xml:space="preserve">Data collection </w:t>
            </w:r>
          </w:p>
        </w:tc>
      </w:tr>
      <w:tr w:rsidR="00BF54FB" w:rsidRPr="002C21B8" w14:paraId="65DC742C" w14:textId="77777777" w:rsidTr="00FB59D5">
        <w:tblPrEx>
          <w:tblCellMar>
            <w:top w:w="45" w:type="dxa"/>
            <w:left w:w="103" w:type="dxa"/>
            <w:right w:w="52" w:type="dxa"/>
          </w:tblCellMar>
        </w:tblPrEx>
        <w:trPr>
          <w:trHeight w:val="395"/>
        </w:trPr>
        <w:tc>
          <w:tcPr>
            <w:tcW w:w="2127" w:type="dxa"/>
            <w:shd w:val="clear" w:color="auto" w:fill="auto"/>
          </w:tcPr>
          <w:p w14:paraId="1413397C"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17. Interview guide </w:t>
            </w:r>
          </w:p>
        </w:tc>
        <w:tc>
          <w:tcPr>
            <w:tcW w:w="5386" w:type="dxa"/>
            <w:shd w:val="clear" w:color="auto" w:fill="auto"/>
          </w:tcPr>
          <w:p w14:paraId="4090F32F" w14:textId="77777777" w:rsidR="00BF54FB" w:rsidRPr="002C21B8" w:rsidRDefault="00BF54FB" w:rsidP="00FB59D5">
            <w:pPr>
              <w:spacing w:after="120" w:line="240" w:lineRule="auto"/>
              <w:jc w:val="left"/>
              <w:rPr>
                <w:sz w:val="16"/>
                <w:szCs w:val="16"/>
                <w:lang w:val="en-GB"/>
              </w:rPr>
            </w:pPr>
            <w:r w:rsidRPr="002C21B8">
              <w:rPr>
                <w:sz w:val="16"/>
                <w:szCs w:val="16"/>
                <w:lang w:val="en-GB"/>
              </w:rPr>
              <w:t>Were questions, prompts, and guides provided by the authors? Was it pilot tested?</w:t>
            </w:r>
          </w:p>
        </w:tc>
        <w:tc>
          <w:tcPr>
            <w:tcW w:w="1701" w:type="dxa"/>
            <w:shd w:val="clear" w:color="auto" w:fill="auto"/>
          </w:tcPr>
          <w:p w14:paraId="13CE2134" w14:textId="688DB6F0" w:rsidR="00BF54FB" w:rsidRPr="002C21B8" w:rsidRDefault="00FB59D5" w:rsidP="00FB59D5">
            <w:pPr>
              <w:spacing w:after="120" w:line="240" w:lineRule="auto"/>
              <w:jc w:val="left"/>
              <w:rPr>
                <w:sz w:val="16"/>
                <w:szCs w:val="16"/>
                <w:lang w:val="en-GB"/>
              </w:rPr>
            </w:pPr>
            <w:r w:rsidRPr="002C21B8">
              <w:rPr>
                <w:sz w:val="16"/>
                <w:szCs w:val="16"/>
                <w:lang w:val="en-GB"/>
              </w:rPr>
              <w:t>Methods - data collection</w:t>
            </w:r>
          </w:p>
        </w:tc>
      </w:tr>
      <w:tr w:rsidR="00BF54FB" w:rsidRPr="002C21B8" w14:paraId="6D671504" w14:textId="77777777" w:rsidTr="00FB59D5">
        <w:tblPrEx>
          <w:tblCellMar>
            <w:left w:w="103" w:type="dxa"/>
            <w:right w:w="51" w:type="dxa"/>
          </w:tblCellMar>
        </w:tblPrEx>
        <w:trPr>
          <w:trHeight w:val="23"/>
        </w:trPr>
        <w:tc>
          <w:tcPr>
            <w:tcW w:w="2127" w:type="dxa"/>
            <w:shd w:val="clear" w:color="auto" w:fill="auto"/>
          </w:tcPr>
          <w:p w14:paraId="5561A33C"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18. Repeat interviews </w:t>
            </w:r>
          </w:p>
        </w:tc>
        <w:tc>
          <w:tcPr>
            <w:tcW w:w="5386" w:type="dxa"/>
            <w:shd w:val="clear" w:color="auto" w:fill="auto"/>
          </w:tcPr>
          <w:p w14:paraId="1DC01A2D" w14:textId="52BA9F8D" w:rsidR="00BF54FB" w:rsidRPr="002C21B8" w:rsidRDefault="00BF54FB" w:rsidP="00FB59D5">
            <w:pPr>
              <w:spacing w:after="120" w:line="240" w:lineRule="auto"/>
              <w:jc w:val="left"/>
              <w:rPr>
                <w:sz w:val="16"/>
                <w:szCs w:val="16"/>
                <w:lang w:val="en-GB"/>
              </w:rPr>
            </w:pPr>
            <w:r w:rsidRPr="002C21B8">
              <w:rPr>
                <w:sz w:val="16"/>
                <w:szCs w:val="16"/>
                <w:lang w:val="en-GB"/>
              </w:rPr>
              <w:t>Were repeat interviews carried out? If yes, how many?</w:t>
            </w:r>
            <w:r w:rsidR="00FB59D5" w:rsidRPr="002C21B8">
              <w:rPr>
                <w:sz w:val="16"/>
                <w:szCs w:val="16"/>
                <w:lang w:val="en-GB"/>
              </w:rPr>
              <w:t xml:space="preserve"> – No</w:t>
            </w:r>
          </w:p>
        </w:tc>
        <w:tc>
          <w:tcPr>
            <w:tcW w:w="1701" w:type="dxa"/>
            <w:shd w:val="clear" w:color="auto" w:fill="auto"/>
          </w:tcPr>
          <w:p w14:paraId="6DB900F8" w14:textId="2A0F3F7C" w:rsidR="00BF54FB" w:rsidRPr="002C21B8" w:rsidRDefault="00FB59D5" w:rsidP="00FB59D5">
            <w:pPr>
              <w:spacing w:after="120" w:line="240" w:lineRule="auto"/>
              <w:jc w:val="left"/>
              <w:rPr>
                <w:sz w:val="16"/>
                <w:szCs w:val="16"/>
                <w:lang w:val="en-GB"/>
              </w:rPr>
            </w:pPr>
            <w:r w:rsidRPr="002C21B8">
              <w:rPr>
                <w:sz w:val="16"/>
                <w:szCs w:val="16"/>
                <w:lang w:val="en-GB"/>
              </w:rPr>
              <w:t>N/A</w:t>
            </w:r>
          </w:p>
        </w:tc>
      </w:tr>
      <w:tr w:rsidR="00BF54FB" w:rsidRPr="002C21B8" w14:paraId="1A36380C" w14:textId="77777777" w:rsidTr="00FB59D5">
        <w:tblPrEx>
          <w:tblCellMar>
            <w:left w:w="103" w:type="dxa"/>
            <w:right w:w="51" w:type="dxa"/>
          </w:tblCellMar>
        </w:tblPrEx>
        <w:trPr>
          <w:trHeight w:val="33"/>
        </w:trPr>
        <w:tc>
          <w:tcPr>
            <w:tcW w:w="2127" w:type="dxa"/>
            <w:shd w:val="clear" w:color="auto" w:fill="auto"/>
          </w:tcPr>
          <w:p w14:paraId="269E1C16"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19. Audio/visual recording </w:t>
            </w:r>
          </w:p>
        </w:tc>
        <w:tc>
          <w:tcPr>
            <w:tcW w:w="5386" w:type="dxa"/>
            <w:shd w:val="clear" w:color="auto" w:fill="auto"/>
          </w:tcPr>
          <w:p w14:paraId="1AA8458C" w14:textId="77777777" w:rsidR="00BF54FB" w:rsidRPr="002C21B8" w:rsidRDefault="00BF54FB" w:rsidP="00FB59D5">
            <w:pPr>
              <w:spacing w:after="120" w:line="240" w:lineRule="auto"/>
              <w:jc w:val="left"/>
              <w:rPr>
                <w:sz w:val="16"/>
                <w:szCs w:val="16"/>
                <w:lang w:val="en-GB"/>
              </w:rPr>
            </w:pPr>
            <w:r w:rsidRPr="002C21B8">
              <w:rPr>
                <w:sz w:val="16"/>
                <w:szCs w:val="16"/>
                <w:lang w:val="en-GB"/>
              </w:rPr>
              <w:t>Did the research use audio or visual recording to collect the data?</w:t>
            </w:r>
          </w:p>
        </w:tc>
        <w:tc>
          <w:tcPr>
            <w:tcW w:w="1701" w:type="dxa"/>
            <w:shd w:val="clear" w:color="auto" w:fill="auto"/>
          </w:tcPr>
          <w:p w14:paraId="4480BF43" w14:textId="290DC0A9" w:rsidR="00BF54FB" w:rsidRPr="002C21B8" w:rsidRDefault="00FB59D5" w:rsidP="00FB59D5">
            <w:pPr>
              <w:spacing w:after="120" w:line="240" w:lineRule="auto"/>
              <w:jc w:val="left"/>
              <w:rPr>
                <w:sz w:val="16"/>
                <w:szCs w:val="16"/>
                <w:lang w:val="en-GB"/>
              </w:rPr>
            </w:pPr>
            <w:r w:rsidRPr="002C21B8">
              <w:rPr>
                <w:sz w:val="16"/>
                <w:szCs w:val="16"/>
                <w:lang w:val="en-GB"/>
              </w:rPr>
              <w:t>Methods - data collection</w:t>
            </w:r>
          </w:p>
        </w:tc>
      </w:tr>
      <w:tr w:rsidR="00BF54FB" w:rsidRPr="002C21B8" w14:paraId="6F1DFCB6" w14:textId="77777777" w:rsidTr="00FB59D5">
        <w:tblPrEx>
          <w:tblCellMar>
            <w:left w:w="103" w:type="dxa"/>
            <w:right w:w="51" w:type="dxa"/>
          </w:tblCellMar>
        </w:tblPrEx>
        <w:trPr>
          <w:trHeight w:val="16"/>
        </w:trPr>
        <w:tc>
          <w:tcPr>
            <w:tcW w:w="2127" w:type="dxa"/>
            <w:shd w:val="clear" w:color="auto" w:fill="auto"/>
          </w:tcPr>
          <w:p w14:paraId="2D10DB82"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20. Field notes </w:t>
            </w:r>
          </w:p>
        </w:tc>
        <w:tc>
          <w:tcPr>
            <w:tcW w:w="5386" w:type="dxa"/>
            <w:shd w:val="clear" w:color="auto" w:fill="auto"/>
          </w:tcPr>
          <w:p w14:paraId="7AC1D813"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Were field notes made during and/or after the interview or focus group? </w:t>
            </w:r>
          </w:p>
        </w:tc>
        <w:tc>
          <w:tcPr>
            <w:tcW w:w="1701" w:type="dxa"/>
            <w:shd w:val="clear" w:color="auto" w:fill="auto"/>
          </w:tcPr>
          <w:p w14:paraId="798B4689" w14:textId="23029BAC" w:rsidR="00BF54FB" w:rsidRPr="002C21B8" w:rsidRDefault="00FB59D5" w:rsidP="00FB59D5">
            <w:pPr>
              <w:spacing w:after="120" w:line="240" w:lineRule="auto"/>
              <w:jc w:val="left"/>
              <w:rPr>
                <w:sz w:val="16"/>
                <w:szCs w:val="16"/>
                <w:lang w:val="en-GB"/>
              </w:rPr>
            </w:pPr>
            <w:r w:rsidRPr="002C21B8">
              <w:rPr>
                <w:sz w:val="16"/>
                <w:szCs w:val="16"/>
                <w:lang w:val="en-GB"/>
              </w:rPr>
              <w:t>Methods - data collection</w:t>
            </w:r>
          </w:p>
        </w:tc>
      </w:tr>
      <w:tr w:rsidR="00BF54FB" w:rsidRPr="002C21B8" w14:paraId="3F829F28" w14:textId="77777777" w:rsidTr="00FB59D5">
        <w:tblPrEx>
          <w:tblCellMar>
            <w:left w:w="103" w:type="dxa"/>
            <w:right w:w="51" w:type="dxa"/>
          </w:tblCellMar>
        </w:tblPrEx>
        <w:trPr>
          <w:trHeight w:val="285"/>
        </w:trPr>
        <w:tc>
          <w:tcPr>
            <w:tcW w:w="2127" w:type="dxa"/>
            <w:shd w:val="clear" w:color="auto" w:fill="auto"/>
          </w:tcPr>
          <w:p w14:paraId="6C74D790"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21. Duration </w:t>
            </w:r>
          </w:p>
        </w:tc>
        <w:tc>
          <w:tcPr>
            <w:tcW w:w="5386" w:type="dxa"/>
            <w:shd w:val="clear" w:color="auto" w:fill="auto"/>
          </w:tcPr>
          <w:p w14:paraId="597E9C7B" w14:textId="77777777" w:rsidR="00BF54FB" w:rsidRPr="002C21B8" w:rsidRDefault="00BF54FB" w:rsidP="00FB59D5">
            <w:pPr>
              <w:spacing w:after="120" w:line="240" w:lineRule="auto"/>
              <w:jc w:val="left"/>
              <w:rPr>
                <w:sz w:val="16"/>
                <w:szCs w:val="16"/>
                <w:lang w:val="en-GB"/>
              </w:rPr>
            </w:pPr>
            <w:r w:rsidRPr="002C21B8">
              <w:rPr>
                <w:sz w:val="16"/>
                <w:szCs w:val="16"/>
                <w:lang w:val="en-GB"/>
              </w:rPr>
              <w:t>What was the duration of the interviews or focus group?</w:t>
            </w:r>
          </w:p>
        </w:tc>
        <w:tc>
          <w:tcPr>
            <w:tcW w:w="1701" w:type="dxa"/>
            <w:shd w:val="clear" w:color="auto" w:fill="auto"/>
          </w:tcPr>
          <w:p w14:paraId="69460D8C" w14:textId="1F024A7D" w:rsidR="00BF54FB" w:rsidRPr="002C21B8" w:rsidRDefault="00FB59D5" w:rsidP="00FB59D5">
            <w:pPr>
              <w:pStyle w:val="NoSpacing"/>
              <w:spacing w:after="120"/>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613107CF" w14:textId="77777777" w:rsidTr="00FB59D5">
        <w:tblPrEx>
          <w:tblCellMar>
            <w:top w:w="45" w:type="dxa"/>
            <w:left w:w="103" w:type="dxa"/>
            <w:right w:w="51" w:type="dxa"/>
          </w:tblCellMar>
        </w:tblPrEx>
        <w:trPr>
          <w:trHeight w:val="323"/>
        </w:trPr>
        <w:tc>
          <w:tcPr>
            <w:tcW w:w="2127" w:type="dxa"/>
            <w:shd w:val="clear" w:color="auto" w:fill="auto"/>
          </w:tcPr>
          <w:p w14:paraId="11209F92"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22. Data saturation </w:t>
            </w:r>
          </w:p>
        </w:tc>
        <w:tc>
          <w:tcPr>
            <w:tcW w:w="5386" w:type="dxa"/>
            <w:shd w:val="clear" w:color="auto" w:fill="auto"/>
          </w:tcPr>
          <w:p w14:paraId="2B9655F1" w14:textId="77777777" w:rsidR="00BF54FB" w:rsidRPr="002C21B8" w:rsidRDefault="00BF54FB" w:rsidP="00FB59D5">
            <w:pPr>
              <w:spacing w:after="120" w:line="240" w:lineRule="auto"/>
              <w:jc w:val="left"/>
              <w:rPr>
                <w:sz w:val="16"/>
                <w:szCs w:val="16"/>
                <w:lang w:val="en-GB"/>
              </w:rPr>
            </w:pPr>
            <w:r w:rsidRPr="002C21B8">
              <w:rPr>
                <w:sz w:val="16"/>
                <w:szCs w:val="16"/>
                <w:lang w:val="en-GB"/>
              </w:rPr>
              <w:t>Was data saturation discussed?</w:t>
            </w:r>
          </w:p>
        </w:tc>
        <w:tc>
          <w:tcPr>
            <w:tcW w:w="1701" w:type="dxa"/>
            <w:shd w:val="clear" w:color="auto" w:fill="auto"/>
          </w:tcPr>
          <w:p w14:paraId="416BD757" w14:textId="604D5B46"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237D10E5" w14:textId="77777777" w:rsidTr="00FB59D5">
        <w:tblPrEx>
          <w:tblCellMar>
            <w:top w:w="45" w:type="dxa"/>
            <w:left w:w="103" w:type="dxa"/>
            <w:right w:w="51" w:type="dxa"/>
          </w:tblCellMar>
        </w:tblPrEx>
        <w:trPr>
          <w:trHeight w:val="107"/>
        </w:trPr>
        <w:tc>
          <w:tcPr>
            <w:tcW w:w="2127" w:type="dxa"/>
            <w:shd w:val="clear" w:color="auto" w:fill="auto"/>
          </w:tcPr>
          <w:p w14:paraId="31057CEC"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23. Transcripts returned </w:t>
            </w:r>
          </w:p>
        </w:tc>
        <w:tc>
          <w:tcPr>
            <w:tcW w:w="5386" w:type="dxa"/>
            <w:shd w:val="clear" w:color="auto" w:fill="auto"/>
          </w:tcPr>
          <w:p w14:paraId="3A9632B7" w14:textId="77777777" w:rsidR="00BF54FB" w:rsidRPr="002C21B8" w:rsidRDefault="00BF54FB" w:rsidP="00FB59D5">
            <w:pPr>
              <w:spacing w:after="120" w:line="240" w:lineRule="auto"/>
              <w:jc w:val="left"/>
              <w:rPr>
                <w:sz w:val="16"/>
                <w:szCs w:val="16"/>
                <w:lang w:val="en-GB"/>
              </w:rPr>
            </w:pPr>
            <w:r w:rsidRPr="002C21B8">
              <w:rPr>
                <w:sz w:val="16"/>
                <w:szCs w:val="16"/>
                <w:lang w:val="en-GB"/>
              </w:rPr>
              <w:t>Were transcripts returned to participants for comment and/or correction? – No</w:t>
            </w:r>
          </w:p>
        </w:tc>
        <w:tc>
          <w:tcPr>
            <w:tcW w:w="1701" w:type="dxa"/>
            <w:shd w:val="clear" w:color="auto" w:fill="auto"/>
          </w:tcPr>
          <w:p w14:paraId="2F246D2D" w14:textId="17E53504" w:rsidR="00BF54FB" w:rsidRPr="002C21B8" w:rsidRDefault="00FB59D5" w:rsidP="00FB59D5">
            <w:pPr>
              <w:spacing w:after="120" w:line="240" w:lineRule="auto"/>
              <w:jc w:val="left"/>
              <w:rPr>
                <w:sz w:val="16"/>
                <w:szCs w:val="16"/>
                <w:lang w:val="en-GB"/>
              </w:rPr>
            </w:pPr>
            <w:r w:rsidRPr="002C21B8">
              <w:rPr>
                <w:sz w:val="16"/>
                <w:szCs w:val="16"/>
                <w:lang w:val="en-GB"/>
              </w:rPr>
              <w:t>N/A</w:t>
            </w:r>
          </w:p>
        </w:tc>
      </w:tr>
      <w:tr w:rsidR="00BF54FB" w:rsidRPr="002C21B8" w14:paraId="1AB454B0" w14:textId="77777777" w:rsidTr="00DB25FC">
        <w:tblPrEx>
          <w:tblCellMar>
            <w:top w:w="45" w:type="dxa"/>
            <w:left w:w="103" w:type="dxa"/>
            <w:right w:w="51" w:type="dxa"/>
          </w:tblCellMar>
        </w:tblPrEx>
        <w:trPr>
          <w:trHeight w:val="200"/>
        </w:trPr>
        <w:tc>
          <w:tcPr>
            <w:tcW w:w="9214" w:type="dxa"/>
            <w:gridSpan w:val="3"/>
            <w:shd w:val="clear" w:color="auto" w:fill="auto"/>
          </w:tcPr>
          <w:p w14:paraId="0FFDE7DA"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Domain 3: analysis and findings</w:t>
            </w:r>
          </w:p>
        </w:tc>
      </w:tr>
      <w:tr w:rsidR="00BF54FB" w:rsidRPr="002C21B8" w14:paraId="0D892EDA" w14:textId="77777777" w:rsidTr="00DB25FC">
        <w:tblPrEx>
          <w:tblCellMar>
            <w:top w:w="45" w:type="dxa"/>
            <w:left w:w="103" w:type="dxa"/>
            <w:right w:w="51" w:type="dxa"/>
          </w:tblCellMar>
        </w:tblPrEx>
        <w:trPr>
          <w:trHeight w:val="65"/>
        </w:trPr>
        <w:tc>
          <w:tcPr>
            <w:tcW w:w="9214" w:type="dxa"/>
            <w:gridSpan w:val="3"/>
            <w:shd w:val="clear" w:color="auto" w:fill="auto"/>
          </w:tcPr>
          <w:p w14:paraId="1321AA26" w14:textId="77777777" w:rsidR="00BF54FB" w:rsidRPr="002C21B8" w:rsidRDefault="00BF54FB" w:rsidP="00FB59D5">
            <w:pPr>
              <w:spacing w:after="120" w:line="240" w:lineRule="auto"/>
              <w:jc w:val="left"/>
              <w:rPr>
                <w:b/>
                <w:bCs/>
                <w:sz w:val="16"/>
                <w:szCs w:val="16"/>
                <w:lang w:val="en-GB"/>
              </w:rPr>
            </w:pPr>
            <w:r w:rsidRPr="002C21B8">
              <w:rPr>
                <w:b/>
                <w:bCs/>
                <w:sz w:val="16"/>
                <w:szCs w:val="16"/>
                <w:lang w:val="en-GB"/>
              </w:rPr>
              <w:t>Data analysis</w:t>
            </w:r>
          </w:p>
        </w:tc>
      </w:tr>
      <w:tr w:rsidR="00BF54FB" w:rsidRPr="002C21B8" w14:paraId="469050D3" w14:textId="77777777" w:rsidTr="00FB59D5">
        <w:tblPrEx>
          <w:tblCellMar>
            <w:top w:w="45" w:type="dxa"/>
            <w:left w:w="103" w:type="dxa"/>
            <w:right w:w="51" w:type="dxa"/>
          </w:tblCellMar>
        </w:tblPrEx>
        <w:trPr>
          <w:trHeight w:val="32"/>
        </w:trPr>
        <w:tc>
          <w:tcPr>
            <w:tcW w:w="2127" w:type="dxa"/>
            <w:shd w:val="clear" w:color="auto" w:fill="auto"/>
          </w:tcPr>
          <w:p w14:paraId="62D719C4"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24. Number of data coders </w:t>
            </w:r>
          </w:p>
        </w:tc>
        <w:tc>
          <w:tcPr>
            <w:tcW w:w="5386" w:type="dxa"/>
            <w:shd w:val="clear" w:color="auto" w:fill="auto"/>
          </w:tcPr>
          <w:p w14:paraId="7104535C" w14:textId="77777777" w:rsidR="00BF54FB" w:rsidRPr="002C21B8" w:rsidRDefault="00BF54FB" w:rsidP="00FB59D5">
            <w:pPr>
              <w:spacing w:after="120" w:line="240" w:lineRule="auto"/>
              <w:jc w:val="left"/>
              <w:rPr>
                <w:sz w:val="16"/>
                <w:szCs w:val="16"/>
                <w:lang w:val="en-GB"/>
              </w:rPr>
            </w:pPr>
            <w:r w:rsidRPr="002C21B8">
              <w:rPr>
                <w:sz w:val="16"/>
                <w:szCs w:val="16"/>
                <w:lang w:val="en-GB"/>
              </w:rPr>
              <w:t>How many data coders coded the data?</w:t>
            </w:r>
          </w:p>
        </w:tc>
        <w:tc>
          <w:tcPr>
            <w:tcW w:w="1701" w:type="dxa"/>
            <w:shd w:val="clear" w:color="auto" w:fill="auto"/>
          </w:tcPr>
          <w:p w14:paraId="4DFEE47C" w14:textId="44B2DBCF" w:rsidR="00BF54FB" w:rsidRPr="002C21B8" w:rsidRDefault="00FB59D5" w:rsidP="00FB59D5">
            <w:pPr>
              <w:spacing w:after="120" w:line="240" w:lineRule="auto"/>
              <w:jc w:val="left"/>
              <w:rPr>
                <w:sz w:val="16"/>
                <w:szCs w:val="16"/>
                <w:lang w:val="en-GB"/>
              </w:rPr>
            </w:pPr>
            <w:r w:rsidRPr="002C21B8">
              <w:rPr>
                <w:sz w:val="16"/>
                <w:szCs w:val="16"/>
                <w:lang w:val="en-GB"/>
              </w:rPr>
              <w:t xml:space="preserve">See </w:t>
            </w:r>
            <w:r w:rsidR="00996705" w:rsidRPr="002C21B8">
              <w:rPr>
                <w:sz w:val="16"/>
                <w:szCs w:val="16"/>
                <w:lang w:val="en-GB"/>
              </w:rPr>
              <w:t>j</w:t>
            </w:r>
            <w:r w:rsidR="00F17C26" w:rsidRPr="002C21B8">
              <w:rPr>
                <w:sz w:val="16"/>
                <w:szCs w:val="16"/>
                <w:lang w:val="en-GB"/>
              </w:rPr>
              <w:t xml:space="preserve">ournal </w:t>
            </w:r>
            <w:r w:rsidR="00996705" w:rsidRPr="002C21B8">
              <w:rPr>
                <w:sz w:val="16"/>
                <w:szCs w:val="16"/>
                <w:lang w:val="en-GB"/>
              </w:rPr>
              <w:t>a</w:t>
            </w:r>
            <w:r w:rsidR="00F17C26" w:rsidRPr="002C21B8">
              <w:rPr>
                <w:sz w:val="16"/>
                <w:szCs w:val="16"/>
                <w:lang w:val="en-GB"/>
              </w:rPr>
              <w:t>rticle</w:t>
            </w:r>
            <w:r w:rsidRPr="002C21B8">
              <w:rPr>
                <w:sz w:val="16"/>
                <w:szCs w:val="16"/>
                <w:lang w:val="en-GB"/>
              </w:rPr>
              <w:t xml:space="preserve"> 3</w:t>
            </w:r>
          </w:p>
        </w:tc>
      </w:tr>
      <w:tr w:rsidR="00BF54FB" w:rsidRPr="002C21B8" w14:paraId="2DC0B9A8" w14:textId="77777777" w:rsidTr="00FB59D5">
        <w:tblPrEx>
          <w:tblCellMar>
            <w:top w:w="45" w:type="dxa"/>
            <w:left w:w="103" w:type="dxa"/>
            <w:right w:w="51" w:type="dxa"/>
          </w:tblCellMar>
        </w:tblPrEx>
        <w:trPr>
          <w:trHeight w:val="25"/>
        </w:trPr>
        <w:tc>
          <w:tcPr>
            <w:tcW w:w="2127" w:type="dxa"/>
            <w:shd w:val="clear" w:color="auto" w:fill="auto"/>
          </w:tcPr>
          <w:p w14:paraId="29797815"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25. Description of the coding tree </w:t>
            </w:r>
          </w:p>
        </w:tc>
        <w:tc>
          <w:tcPr>
            <w:tcW w:w="5386" w:type="dxa"/>
            <w:shd w:val="clear" w:color="auto" w:fill="auto"/>
          </w:tcPr>
          <w:p w14:paraId="340097C5" w14:textId="77777777" w:rsidR="00BF54FB" w:rsidRPr="002C21B8" w:rsidRDefault="00BF54FB" w:rsidP="00FB59D5">
            <w:pPr>
              <w:spacing w:after="120" w:line="240" w:lineRule="auto"/>
              <w:jc w:val="left"/>
              <w:rPr>
                <w:sz w:val="16"/>
                <w:szCs w:val="16"/>
                <w:lang w:val="en-GB"/>
              </w:rPr>
            </w:pPr>
            <w:r w:rsidRPr="002C21B8">
              <w:rPr>
                <w:sz w:val="16"/>
                <w:szCs w:val="16"/>
                <w:lang w:val="en-GB"/>
              </w:rPr>
              <w:t>Did the authors provide a description of the coding tree?</w:t>
            </w:r>
          </w:p>
        </w:tc>
        <w:tc>
          <w:tcPr>
            <w:tcW w:w="1701" w:type="dxa"/>
            <w:shd w:val="clear" w:color="auto" w:fill="auto"/>
          </w:tcPr>
          <w:p w14:paraId="15CB27C0" w14:textId="1564BA3A" w:rsidR="00BF54FB" w:rsidRPr="002C21B8" w:rsidRDefault="00FB59D5" w:rsidP="00FB59D5">
            <w:pPr>
              <w:spacing w:after="120" w:line="240" w:lineRule="auto"/>
              <w:jc w:val="left"/>
              <w:rPr>
                <w:sz w:val="16"/>
                <w:szCs w:val="16"/>
                <w:lang w:val="en-GB"/>
              </w:rPr>
            </w:pPr>
            <w:r w:rsidRPr="002C21B8">
              <w:rPr>
                <w:sz w:val="16"/>
                <w:szCs w:val="16"/>
                <w:lang w:val="en-GB"/>
              </w:rPr>
              <w:t>Appendix 8</w:t>
            </w:r>
          </w:p>
        </w:tc>
      </w:tr>
      <w:tr w:rsidR="00BF54FB" w:rsidRPr="002C21B8" w14:paraId="789E5394" w14:textId="77777777" w:rsidTr="00FB59D5">
        <w:tblPrEx>
          <w:tblCellMar>
            <w:top w:w="44" w:type="dxa"/>
            <w:left w:w="103" w:type="dxa"/>
            <w:right w:w="74" w:type="dxa"/>
          </w:tblCellMar>
        </w:tblPrEx>
        <w:trPr>
          <w:trHeight w:val="207"/>
        </w:trPr>
        <w:tc>
          <w:tcPr>
            <w:tcW w:w="2127" w:type="dxa"/>
            <w:shd w:val="clear" w:color="auto" w:fill="auto"/>
          </w:tcPr>
          <w:p w14:paraId="559F31C1" w14:textId="77777777" w:rsidR="00BF54FB" w:rsidRPr="002C21B8" w:rsidRDefault="00BF54FB" w:rsidP="00FB59D5">
            <w:pPr>
              <w:spacing w:after="120" w:line="240" w:lineRule="auto"/>
              <w:jc w:val="left"/>
              <w:rPr>
                <w:sz w:val="16"/>
                <w:szCs w:val="16"/>
                <w:lang w:val="en-GB"/>
              </w:rPr>
            </w:pPr>
            <w:r w:rsidRPr="002C21B8">
              <w:rPr>
                <w:sz w:val="16"/>
                <w:szCs w:val="16"/>
                <w:lang w:val="en-GB"/>
              </w:rPr>
              <w:t xml:space="preserve">26. Derivation of themes </w:t>
            </w:r>
          </w:p>
        </w:tc>
        <w:tc>
          <w:tcPr>
            <w:tcW w:w="5386" w:type="dxa"/>
            <w:shd w:val="clear" w:color="auto" w:fill="auto"/>
          </w:tcPr>
          <w:p w14:paraId="57449D24" w14:textId="77777777" w:rsidR="00BF54FB" w:rsidRPr="002C21B8" w:rsidRDefault="00BF54FB" w:rsidP="00FB59D5">
            <w:pPr>
              <w:spacing w:after="120" w:line="240" w:lineRule="auto"/>
              <w:jc w:val="left"/>
              <w:rPr>
                <w:sz w:val="16"/>
                <w:szCs w:val="16"/>
                <w:lang w:val="en-GB"/>
              </w:rPr>
            </w:pPr>
            <w:r w:rsidRPr="002C21B8">
              <w:rPr>
                <w:sz w:val="16"/>
                <w:szCs w:val="16"/>
                <w:lang w:val="en-GB"/>
              </w:rPr>
              <w:t>Were themes identified in advance or derived from the data?</w:t>
            </w:r>
          </w:p>
        </w:tc>
        <w:tc>
          <w:tcPr>
            <w:tcW w:w="1701" w:type="dxa"/>
            <w:shd w:val="clear" w:color="auto" w:fill="auto"/>
          </w:tcPr>
          <w:p w14:paraId="7E4D5AB8" w14:textId="65975DC8" w:rsidR="00BF54FB" w:rsidRPr="002C21B8" w:rsidRDefault="00FB59D5" w:rsidP="00FB59D5">
            <w:pPr>
              <w:spacing w:after="120" w:line="240" w:lineRule="auto"/>
              <w:jc w:val="left"/>
              <w:rPr>
                <w:sz w:val="16"/>
                <w:szCs w:val="16"/>
                <w:lang w:val="en-GB"/>
              </w:rPr>
            </w:pPr>
            <w:r w:rsidRPr="002C21B8">
              <w:rPr>
                <w:sz w:val="16"/>
                <w:szCs w:val="16"/>
                <w:lang w:val="en-GB"/>
              </w:rPr>
              <w:t>Methods - data analysis</w:t>
            </w:r>
          </w:p>
        </w:tc>
      </w:tr>
      <w:tr w:rsidR="00FB59D5" w:rsidRPr="002C21B8" w14:paraId="064B510C" w14:textId="77777777" w:rsidTr="00FB59D5">
        <w:tblPrEx>
          <w:tblCellMar>
            <w:top w:w="44" w:type="dxa"/>
            <w:left w:w="103" w:type="dxa"/>
            <w:right w:w="74" w:type="dxa"/>
          </w:tblCellMar>
        </w:tblPrEx>
        <w:trPr>
          <w:trHeight w:val="16"/>
        </w:trPr>
        <w:tc>
          <w:tcPr>
            <w:tcW w:w="2127" w:type="dxa"/>
            <w:shd w:val="clear" w:color="auto" w:fill="auto"/>
          </w:tcPr>
          <w:p w14:paraId="6CF95604"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27. Software </w:t>
            </w:r>
          </w:p>
        </w:tc>
        <w:tc>
          <w:tcPr>
            <w:tcW w:w="5386" w:type="dxa"/>
            <w:shd w:val="clear" w:color="auto" w:fill="auto"/>
          </w:tcPr>
          <w:p w14:paraId="3465BE08" w14:textId="77777777" w:rsidR="00FB59D5" w:rsidRPr="002C21B8" w:rsidRDefault="00FB59D5" w:rsidP="00FB59D5">
            <w:pPr>
              <w:spacing w:after="120" w:line="240" w:lineRule="auto"/>
              <w:jc w:val="left"/>
              <w:rPr>
                <w:sz w:val="16"/>
                <w:szCs w:val="16"/>
                <w:lang w:val="en-GB"/>
              </w:rPr>
            </w:pPr>
            <w:r w:rsidRPr="002C21B8">
              <w:rPr>
                <w:sz w:val="16"/>
                <w:szCs w:val="16"/>
                <w:lang w:val="en-GB"/>
              </w:rPr>
              <w:t>What software, if applicable, was used to manage the data?</w:t>
            </w:r>
          </w:p>
        </w:tc>
        <w:tc>
          <w:tcPr>
            <w:tcW w:w="1701" w:type="dxa"/>
            <w:shd w:val="clear" w:color="auto" w:fill="auto"/>
          </w:tcPr>
          <w:p w14:paraId="3E380602" w14:textId="11588330" w:rsidR="00FB59D5" w:rsidRPr="002C21B8" w:rsidRDefault="00FB59D5" w:rsidP="00FB59D5">
            <w:pPr>
              <w:spacing w:after="120" w:line="240" w:lineRule="auto"/>
              <w:jc w:val="left"/>
              <w:rPr>
                <w:sz w:val="16"/>
                <w:szCs w:val="16"/>
                <w:lang w:val="en-GB"/>
              </w:rPr>
            </w:pPr>
            <w:r w:rsidRPr="002C21B8">
              <w:rPr>
                <w:sz w:val="16"/>
                <w:szCs w:val="16"/>
                <w:lang w:val="en-GB"/>
              </w:rPr>
              <w:t>Methods - data analysis</w:t>
            </w:r>
          </w:p>
        </w:tc>
      </w:tr>
      <w:tr w:rsidR="00FB59D5" w:rsidRPr="002C21B8" w14:paraId="4DF325BC" w14:textId="77777777" w:rsidTr="00FB59D5">
        <w:tblPrEx>
          <w:tblCellMar>
            <w:top w:w="44" w:type="dxa"/>
            <w:left w:w="103" w:type="dxa"/>
            <w:right w:w="74" w:type="dxa"/>
          </w:tblCellMar>
        </w:tblPrEx>
        <w:trPr>
          <w:trHeight w:val="16"/>
        </w:trPr>
        <w:tc>
          <w:tcPr>
            <w:tcW w:w="2127" w:type="dxa"/>
            <w:shd w:val="clear" w:color="auto" w:fill="auto"/>
          </w:tcPr>
          <w:p w14:paraId="1270F66E"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28. Participant checking </w:t>
            </w:r>
          </w:p>
        </w:tc>
        <w:tc>
          <w:tcPr>
            <w:tcW w:w="5386" w:type="dxa"/>
            <w:shd w:val="clear" w:color="auto" w:fill="auto"/>
          </w:tcPr>
          <w:p w14:paraId="12AA8EDD" w14:textId="3B37A07D" w:rsidR="00FB59D5" w:rsidRPr="002C21B8" w:rsidRDefault="00FB59D5" w:rsidP="00FB59D5">
            <w:pPr>
              <w:spacing w:after="120" w:line="240" w:lineRule="auto"/>
              <w:jc w:val="left"/>
              <w:rPr>
                <w:sz w:val="16"/>
                <w:szCs w:val="16"/>
                <w:lang w:val="en-GB"/>
              </w:rPr>
            </w:pPr>
            <w:r w:rsidRPr="002C21B8">
              <w:rPr>
                <w:sz w:val="16"/>
                <w:szCs w:val="16"/>
                <w:lang w:val="en-GB"/>
              </w:rPr>
              <w:t>Did participants provide feedback on the findings? – No</w:t>
            </w:r>
          </w:p>
        </w:tc>
        <w:tc>
          <w:tcPr>
            <w:tcW w:w="1701" w:type="dxa"/>
            <w:shd w:val="clear" w:color="auto" w:fill="auto"/>
          </w:tcPr>
          <w:p w14:paraId="343770E7" w14:textId="7B0E5BF6" w:rsidR="00FB59D5" w:rsidRPr="002C21B8" w:rsidRDefault="00FB59D5" w:rsidP="00FB59D5">
            <w:pPr>
              <w:spacing w:after="120" w:line="240" w:lineRule="auto"/>
              <w:jc w:val="left"/>
              <w:rPr>
                <w:sz w:val="16"/>
                <w:szCs w:val="16"/>
                <w:lang w:val="en-GB"/>
              </w:rPr>
            </w:pPr>
            <w:r w:rsidRPr="002C21B8">
              <w:rPr>
                <w:sz w:val="16"/>
                <w:szCs w:val="16"/>
                <w:lang w:val="en-GB"/>
              </w:rPr>
              <w:t>N/A</w:t>
            </w:r>
          </w:p>
        </w:tc>
      </w:tr>
      <w:tr w:rsidR="00FB59D5" w:rsidRPr="002C21B8" w14:paraId="6069D325" w14:textId="77777777" w:rsidTr="00DB25FC">
        <w:tblPrEx>
          <w:tblCellMar>
            <w:top w:w="44" w:type="dxa"/>
            <w:left w:w="103" w:type="dxa"/>
            <w:right w:w="74" w:type="dxa"/>
          </w:tblCellMar>
        </w:tblPrEx>
        <w:trPr>
          <w:trHeight w:val="198"/>
        </w:trPr>
        <w:tc>
          <w:tcPr>
            <w:tcW w:w="9214" w:type="dxa"/>
            <w:gridSpan w:val="3"/>
            <w:shd w:val="clear" w:color="auto" w:fill="auto"/>
          </w:tcPr>
          <w:p w14:paraId="03FB72A5" w14:textId="77777777" w:rsidR="00FB59D5" w:rsidRPr="002C21B8" w:rsidRDefault="00FB59D5" w:rsidP="00FB59D5">
            <w:pPr>
              <w:spacing w:after="120" w:line="240" w:lineRule="auto"/>
              <w:jc w:val="left"/>
              <w:rPr>
                <w:b/>
                <w:bCs/>
                <w:sz w:val="16"/>
                <w:szCs w:val="16"/>
                <w:lang w:val="en-GB"/>
              </w:rPr>
            </w:pPr>
            <w:r w:rsidRPr="002C21B8">
              <w:rPr>
                <w:b/>
                <w:bCs/>
                <w:sz w:val="16"/>
                <w:szCs w:val="16"/>
                <w:lang w:val="en-GB"/>
              </w:rPr>
              <w:t>Reporting</w:t>
            </w:r>
          </w:p>
        </w:tc>
      </w:tr>
      <w:tr w:rsidR="00FB59D5" w:rsidRPr="002C21B8" w14:paraId="1D794619" w14:textId="77777777" w:rsidTr="00FB59D5">
        <w:tblPrEx>
          <w:tblCellMar>
            <w:top w:w="44" w:type="dxa"/>
            <w:left w:w="103" w:type="dxa"/>
            <w:right w:w="74" w:type="dxa"/>
          </w:tblCellMar>
        </w:tblPrEx>
        <w:trPr>
          <w:trHeight w:val="423"/>
        </w:trPr>
        <w:tc>
          <w:tcPr>
            <w:tcW w:w="2127" w:type="dxa"/>
            <w:shd w:val="clear" w:color="auto" w:fill="auto"/>
          </w:tcPr>
          <w:p w14:paraId="56D61CEA"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29. Quotations presented </w:t>
            </w:r>
          </w:p>
        </w:tc>
        <w:tc>
          <w:tcPr>
            <w:tcW w:w="5386" w:type="dxa"/>
            <w:shd w:val="clear" w:color="auto" w:fill="auto"/>
          </w:tcPr>
          <w:p w14:paraId="6F201B1D" w14:textId="77777777" w:rsidR="00FB59D5" w:rsidRPr="002C21B8" w:rsidRDefault="00FB59D5" w:rsidP="00FB59D5">
            <w:pPr>
              <w:spacing w:after="120" w:line="240" w:lineRule="auto"/>
              <w:jc w:val="left"/>
              <w:rPr>
                <w:sz w:val="16"/>
                <w:szCs w:val="16"/>
                <w:lang w:val="en-GB"/>
              </w:rPr>
            </w:pPr>
            <w:r w:rsidRPr="002C21B8">
              <w:rPr>
                <w:sz w:val="16"/>
                <w:szCs w:val="16"/>
                <w:lang w:val="en-GB"/>
              </w:rPr>
              <w:t>Were participant quotations presented to illustrate the themes/findings? Was each quotation identified? e.g., participant number</w:t>
            </w:r>
          </w:p>
        </w:tc>
        <w:tc>
          <w:tcPr>
            <w:tcW w:w="1701" w:type="dxa"/>
            <w:shd w:val="clear" w:color="auto" w:fill="auto"/>
          </w:tcPr>
          <w:p w14:paraId="3DBD2D22" w14:textId="6C920760" w:rsidR="00FB59D5" w:rsidRPr="002C21B8" w:rsidRDefault="00FB59D5" w:rsidP="00FB59D5">
            <w:pPr>
              <w:spacing w:after="120" w:line="240" w:lineRule="auto"/>
              <w:jc w:val="left"/>
              <w:rPr>
                <w:sz w:val="16"/>
                <w:szCs w:val="16"/>
                <w:lang w:val="en-GB"/>
              </w:rPr>
            </w:pPr>
            <w:r w:rsidRPr="002C21B8">
              <w:rPr>
                <w:sz w:val="16"/>
                <w:szCs w:val="16"/>
                <w:lang w:val="en-GB"/>
              </w:rPr>
              <w:t>Results</w:t>
            </w:r>
          </w:p>
        </w:tc>
      </w:tr>
      <w:tr w:rsidR="00FB59D5" w:rsidRPr="002C21B8" w14:paraId="5182339C" w14:textId="77777777" w:rsidTr="00FB59D5">
        <w:tblPrEx>
          <w:tblCellMar>
            <w:top w:w="44" w:type="dxa"/>
            <w:left w:w="103" w:type="dxa"/>
            <w:right w:w="74" w:type="dxa"/>
          </w:tblCellMar>
        </w:tblPrEx>
        <w:trPr>
          <w:trHeight w:val="503"/>
        </w:trPr>
        <w:tc>
          <w:tcPr>
            <w:tcW w:w="2127" w:type="dxa"/>
            <w:shd w:val="clear" w:color="auto" w:fill="auto"/>
          </w:tcPr>
          <w:p w14:paraId="5082F144"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30. Data and findings consistent </w:t>
            </w:r>
          </w:p>
        </w:tc>
        <w:tc>
          <w:tcPr>
            <w:tcW w:w="5386" w:type="dxa"/>
            <w:shd w:val="clear" w:color="auto" w:fill="auto"/>
          </w:tcPr>
          <w:p w14:paraId="4A6EA2C8" w14:textId="77777777" w:rsidR="00FB59D5" w:rsidRPr="002C21B8" w:rsidRDefault="00FB59D5" w:rsidP="00FB59D5">
            <w:pPr>
              <w:spacing w:after="120" w:line="240" w:lineRule="auto"/>
              <w:jc w:val="left"/>
              <w:rPr>
                <w:sz w:val="16"/>
                <w:szCs w:val="16"/>
                <w:lang w:val="en-GB"/>
              </w:rPr>
            </w:pPr>
            <w:r w:rsidRPr="002C21B8">
              <w:rPr>
                <w:sz w:val="16"/>
                <w:szCs w:val="16"/>
                <w:lang w:val="en-GB"/>
              </w:rPr>
              <w:t>Was there consistency between the data presented and the findings?</w:t>
            </w:r>
          </w:p>
        </w:tc>
        <w:tc>
          <w:tcPr>
            <w:tcW w:w="1701" w:type="dxa"/>
            <w:shd w:val="clear" w:color="auto" w:fill="auto"/>
          </w:tcPr>
          <w:p w14:paraId="1167ADC6" w14:textId="620F07F4" w:rsidR="00FB59D5" w:rsidRPr="002C21B8" w:rsidRDefault="00FB59D5" w:rsidP="00FB59D5">
            <w:pPr>
              <w:spacing w:after="120" w:line="240" w:lineRule="auto"/>
              <w:jc w:val="left"/>
              <w:rPr>
                <w:sz w:val="16"/>
                <w:szCs w:val="16"/>
                <w:lang w:val="en-GB"/>
              </w:rPr>
            </w:pPr>
            <w:r w:rsidRPr="002C21B8">
              <w:rPr>
                <w:sz w:val="16"/>
                <w:szCs w:val="16"/>
                <w:lang w:val="en-GB"/>
              </w:rPr>
              <w:t>Results</w:t>
            </w:r>
          </w:p>
        </w:tc>
      </w:tr>
      <w:tr w:rsidR="00FB59D5" w:rsidRPr="002C21B8" w14:paraId="69205BFC" w14:textId="77777777" w:rsidTr="00FB59D5">
        <w:tblPrEx>
          <w:tblCellMar>
            <w:top w:w="44" w:type="dxa"/>
            <w:left w:w="103" w:type="dxa"/>
            <w:right w:w="74" w:type="dxa"/>
          </w:tblCellMar>
        </w:tblPrEx>
        <w:trPr>
          <w:trHeight w:val="16"/>
        </w:trPr>
        <w:tc>
          <w:tcPr>
            <w:tcW w:w="2127" w:type="dxa"/>
            <w:shd w:val="clear" w:color="auto" w:fill="auto"/>
          </w:tcPr>
          <w:p w14:paraId="0B02C7BC"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31. Clarity of major themes </w:t>
            </w:r>
          </w:p>
        </w:tc>
        <w:tc>
          <w:tcPr>
            <w:tcW w:w="5386" w:type="dxa"/>
            <w:shd w:val="clear" w:color="auto" w:fill="auto"/>
          </w:tcPr>
          <w:p w14:paraId="04B52588" w14:textId="77777777" w:rsidR="00FB59D5" w:rsidRPr="002C21B8" w:rsidRDefault="00FB59D5" w:rsidP="00FB59D5">
            <w:pPr>
              <w:spacing w:after="120" w:line="240" w:lineRule="auto"/>
              <w:jc w:val="left"/>
              <w:rPr>
                <w:sz w:val="16"/>
                <w:szCs w:val="16"/>
                <w:lang w:val="en-GB"/>
              </w:rPr>
            </w:pPr>
            <w:r w:rsidRPr="002C21B8">
              <w:rPr>
                <w:sz w:val="16"/>
                <w:szCs w:val="16"/>
                <w:lang w:val="en-GB"/>
              </w:rPr>
              <w:t>Were major themes clearly presented in the findings?</w:t>
            </w:r>
          </w:p>
        </w:tc>
        <w:tc>
          <w:tcPr>
            <w:tcW w:w="1701" w:type="dxa"/>
            <w:shd w:val="clear" w:color="auto" w:fill="auto"/>
          </w:tcPr>
          <w:p w14:paraId="346D88A8" w14:textId="1230B4AC" w:rsidR="00FB59D5" w:rsidRPr="002C21B8" w:rsidRDefault="00FB59D5" w:rsidP="00FB59D5">
            <w:pPr>
              <w:spacing w:after="120" w:line="240" w:lineRule="auto"/>
              <w:jc w:val="left"/>
              <w:rPr>
                <w:sz w:val="16"/>
                <w:szCs w:val="16"/>
                <w:lang w:val="en-GB"/>
              </w:rPr>
            </w:pPr>
            <w:r w:rsidRPr="002C21B8">
              <w:rPr>
                <w:sz w:val="16"/>
                <w:szCs w:val="16"/>
                <w:lang w:val="en-GB"/>
              </w:rPr>
              <w:t>Results</w:t>
            </w:r>
          </w:p>
        </w:tc>
      </w:tr>
      <w:tr w:rsidR="00FB59D5" w:rsidRPr="002C21B8" w14:paraId="2D768AC5" w14:textId="77777777" w:rsidTr="00FB59D5">
        <w:tblPrEx>
          <w:tblCellMar>
            <w:top w:w="44" w:type="dxa"/>
            <w:left w:w="103" w:type="dxa"/>
            <w:right w:w="74" w:type="dxa"/>
          </w:tblCellMar>
        </w:tblPrEx>
        <w:trPr>
          <w:trHeight w:val="396"/>
        </w:trPr>
        <w:tc>
          <w:tcPr>
            <w:tcW w:w="2127" w:type="dxa"/>
            <w:shd w:val="clear" w:color="auto" w:fill="auto"/>
          </w:tcPr>
          <w:p w14:paraId="1975D347" w14:textId="77777777" w:rsidR="00FB59D5" w:rsidRPr="002C21B8" w:rsidRDefault="00FB59D5" w:rsidP="00FB59D5">
            <w:pPr>
              <w:spacing w:after="120" w:line="240" w:lineRule="auto"/>
              <w:jc w:val="left"/>
              <w:rPr>
                <w:sz w:val="16"/>
                <w:szCs w:val="16"/>
                <w:lang w:val="en-GB"/>
              </w:rPr>
            </w:pPr>
            <w:r w:rsidRPr="002C21B8">
              <w:rPr>
                <w:sz w:val="16"/>
                <w:szCs w:val="16"/>
                <w:lang w:val="en-GB"/>
              </w:rPr>
              <w:t xml:space="preserve">32. Clarity of minor themes </w:t>
            </w:r>
          </w:p>
        </w:tc>
        <w:tc>
          <w:tcPr>
            <w:tcW w:w="5386" w:type="dxa"/>
            <w:shd w:val="clear" w:color="auto" w:fill="auto"/>
          </w:tcPr>
          <w:p w14:paraId="58370084" w14:textId="77777777" w:rsidR="00FB59D5" w:rsidRPr="002C21B8" w:rsidRDefault="00FB59D5" w:rsidP="00FB59D5">
            <w:pPr>
              <w:spacing w:after="120" w:line="240" w:lineRule="auto"/>
              <w:jc w:val="left"/>
              <w:rPr>
                <w:sz w:val="16"/>
                <w:szCs w:val="16"/>
                <w:lang w:val="en-GB"/>
              </w:rPr>
            </w:pPr>
            <w:r w:rsidRPr="002C21B8">
              <w:rPr>
                <w:sz w:val="16"/>
                <w:szCs w:val="16"/>
                <w:lang w:val="en-GB"/>
              </w:rPr>
              <w:t>Is there a description of diverse cases or a discussion of minor themes?</w:t>
            </w:r>
          </w:p>
        </w:tc>
        <w:tc>
          <w:tcPr>
            <w:tcW w:w="1701" w:type="dxa"/>
            <w:shd w:val="clear" w:color="auto" w:fill="auto"/>
          </w:tcPr>
          <w:p w14:paraId="511BAADC" w14:textId="529A0EBE" w:rsidR="00FB59D5" w:rsidRPr="002C21B8" w:rsidRDefault="00FB59D5" w:rsidP="00FB59D5">
            <w:pPr>
              <w:spacing w:after="120" w:line="240" w:lineRule="auto"/>
              <w:jc w:val="left"/>
              <w:rPr>
                <w:sz w:val="16"/>
                <w:szCs w:val="16"/>
                <w:lang w:val="en-GB"/>
              </w:rPr>
            </w:pPr>
            <w:r w:rsidRPr="002C21B8">
              <w:rPr>
                <w:sz w:val="16"/>
                <w:szCs w:val="16"/>
                <w:lang w:val="en-GB"/>
              </w:rPr>
              <w:t>Results</w:t>
            </w:r>
          </w:p>
        </w:tc>
      </w:tr>
    </w:tbl>
    <w:p w14:paraId="097239FD" w14:textId="69A2C9EF" w:rsidR="0099322A" w:rsidRPr="002C21B8" w:rsidRDefault="00B475A7" w:rsidP="0099322A">
      <w:pPr>
        <w:spacing w:before="240"/>
        <w:rPr>
          <w:rFonts w:eastAsiaTheme="majorEastAsia"/>
          <w:b/>
          <w:bCs/>
          <w:color w:val="000000" w:themeColor="text1"/>
          <w:sz w:val="28"/>
          <w:szCs w:val="28"/>
        </w:rPr>
      </w:pPr>
      <w:r w:rsidRPr="002C21B8">
        <w:rPr>
          <w:color w:val="000000" w:themeColor="text1"/>
          <w:sz w:val="18"/>
          <w:szCs w:val="18"/>
        </w:rPr>
        <w:t xml:space="preserve">Locations indicate where each checklist item is </w:t>
      </w:r>
      <w:r w:rsidR="000A45AA" w:rsidRPr="002C21B8">
        <w:rPr>
          <w:color w:val="000000" w:themeColor="text1"/>
          <w:sz w:val="18"/>
          <w:szCs w:val="18"/>
        </w:rPr>
        <w:t>include</w:t>
      </w:r>
      <w:r w:rsidRPr="002C21B8">
        <w:rPr>
          <w:color w:val="000000" w:themeColor="text1"/>
          <w:sz w:val="18"/>
          <w:szCs w:val="18"/>
        </w:rPr>
        <w:t>d in this thesis</w:t>
      </w:r>
      <w:bookmarkStart w:id="472" w:name="_Coding_trees_–"/>
      <w:bookmarkEnd w:id="472"/>
      <w:r w:rsidR="0099322A" w:rsidRPr="002C21B8">
        <w:rPr>
          <w:color w:val="000000" w:themeColor="text1"/>
        </w:rPr>
        <w:br w:type="page"/>
      </w:r>
    </w:p>
    <w:p w14:paraId="7F9AB976" w14:textId="39D05C50" w:rsidR="00562E0E" w:rsidRPr="002C21B8" w:rsidRDefault="00562E0E" w:rsidP="004507C8">
      <w:pPr>
        <w:pStyle w:val="Heading3"/>
        <w:numPr>
          <w:ilvl w:val="0"/>
          <w:numId w:val="0"/>
        </w:numPr>
      </w:pPr>
      <w:bookmarkStart w:id="473" w:name="_Coding_trees_–_1"/>
      <w:bookmarkEnd w:id="473"/>
      <w:r w:rsidRPr="002C21B8">
        <w:t>Coding tree</w:t>
      </w:r>
      <w:r w:rsidR="009235D6" w:rsidRPr="002C21B8">
        <w:t>s</w:t>
      </w:r>
      <w:r w:rsidR="00BF54FB" w:rsidRPr="002C21B8">
        <w:t xml:space="preserve"> – </w:t>
      </w:r>
      <w:r w:rsidR="0039059C" w:rsidRPr="002C21B8">
        <w:t>j</w:t>
      </w:r>
      <w:r w:rsidR="00FC656C" w:rsidRPr="002C21B8">
        <w:t xml:space="preserve">ournal </w:t>
      </w:r>
      <w:r w:rsidR="00996705" w:rsidRPr="002C21B8">
        <w:t>a</w:t>
      </w:r>
      <w:r w:rsidR="00FC656C" w:rsidRPr="002C21B8">
        <w:t>rticles</w:t>
      </w:r>
      <w:r w:rsidR="00BF54FB" w:rsidRPr="002C21B8">
        <w:t xml:space="preserve"> 3</w:t>
      </w:r>
      <w:r w:rsidR="009235D6" w:rsidRPr="002C21B8">
        <w:t xml:space="preserve"> &amp; 4</w:t>
      </w:r>
    </w:p>
    <w:p w14:paraId="20B4B311" w14:textId="36FCFFDB" w:rsidR="00040A2F" w:rsidRPr="002C21B8" w:rsidRDefault="00040A2F" w:rsidP="00F059B4">
      <w:pPr>
        <w:pStyle w:val="Caption"/>
        <w:rPr>
          <w:b/>
          <w:bCs/>
          <w:i w:val="0"/>
          <w:iCs w:val="0"/>
          <w:noProof w:val="0"/>
          <w:color w:val="000000" w:themeColor="text1"/>
          <w:sz w:val="24"/>
          <w:szCs w:val="24"/>
        </w:rPr>
      </w:pPr>
      <w:r w:rsidRPr="002C21B8">
        <w:rPr>
          <w:b/>
          <w:bCs/>
          <w:i w:val="0"/>
          <w:iCs w:val="0"/>
          <w:noProof w:val="0"/>
          <w:color w:val="000000" w:themeColor="text1"/>
          <w:sz w:val="24"/>
          <w:szCs w:val="24"/>
        </w:rPr>
        <w:t>Coding tree for multiple case study using the Consolidated Framework of Implementation Research</w:t>
      </w:r>
      <w:r w:rsidR="009235D6" w:rsidRPr="002C21B8">
        <w:rPr>
          <w:b/>
          <w:bCs/>
          <w:i w:val="0"/>
          <w:iCs w:val="0"/>
          <w:noProof w:val="0"/>
          <w:color w:val="000000" w:themeColor="text1"/>
          <w:sz w:val="24"/>
          <w:szCs w:val="24"/>
        </w:rPr>
        <w:t xml:space="preserve"> (</w:t>
      </w:r>
      <w:r w:rsidR="00996705" w:rsidRPr="002C21B8">
        <w:rPr>
          <w:b/>
          <w:bCs/>
          <w:i w:val="0"/>
          <w:iCs w:val="0"/>
          <w:noProof w:val="0"/>
          <w:color w:val="000000" w:themeColor="text1"/>
          <w:sz w:val="24"/>
          <w:szCs w:val="24"/>
        </w:rPr>
        <w:t>j</w:t>
      </w:r>
      <w:r w:rsidR="00FC656C" w:rsidRPr="002C21B8">
        <w:rPr>
          <w:b/>
          <w:bCs/>
          <w:i w:val="0"/>
          <w:iCs w:val="0"/>
          <w:noProof w:val="0"/>
          <w:color w:val="000000" w:themeColor="text1"/>
          <w:sz w:val="24"/>
          <w:szCs w:val="24"/>
        </w:rPr>
        <w:t xml:space="preserve">ournal </w:t>
      </w:r>
      <w:r w:rsidR="00996705" w:rsidRPr="002C21B8">
        <w:rPr>
          <w:b/>
          <w:bCs/>
          <w:i w:val="0"/>
          <w:iCs w:val="0"/>
          <w:noProof w:val="0"/>
          <w:color w:val="000000" w:themeColor="text1"/>
          <w:sz w:val="24"/>
          <w:szCs w:val="24"/>
        </w:rPr>
        <w:t>a</w:t>
      </w:r>
      <w:r w:rsidR="00FC656C" w:rsidRPr="002C21B8">
        <w:rPr>
          <w:b/>
          <w:bCs/>
          <w:i w:val="0"/>
          <w:iCs w:val="0"/>
          <w:noProof w:val="0"/>
          <w:color w:val="000000" w:themeColor="text1"/>
          <w:sz w:val="24"/>
          <w:szCs w:val="24"/>
        </w:rPr>
        <w:t>rticle</w:t>
      </w:r>
      <w:r w:rsidR="009235D6" w:rsidRPr="002C21B8">
        <w:rPr>
          <w:b/>
          <w:bCs/>
          <w:i w:val="0"/>
          <w:iCs w:val="0"/>
          <w:noProof w:val="0"/>
          <w:color w:val="000000" w:themeColor="text1"/>
          <w:sz w:val="24"/>
          <w:szCs w:val="24"/>
        </w:rPr>
        <w:t xml:space="preserve"> 3)</w:t>
      </w:r>
    </w:p>
    <w:p w14:paraId="2910370B" w14:textId="6D7EA73E" w:rsidR="00DA1B2B" w:rsidRPr="002C21B8" w:rsidRDefault="00C7459C" w:rsidP="00F059B4">
      <w:pPr>
        <w:pStyle w:val="Caption"/>
        <w:rPr>
          <w:b/>
          <w:bCs/>
          <w:i w:val="0"/>
          <w:iCs w:val="0"/>
          <w:noProof w:val="0"/>
          <w:color w:val="000000" w:themeColor="text1"/>
          <w:sz w:val="24"/>
          <w:szCs w:val="24"/>
        </w:rPr>
      </w:pPr>
      <w:r w:rsidRPr="002C21B8">
        <w:rPr>
          <w:sz w:val="22"/>
          <w:szCs w:val="22"/>
        </w:rPr>
        <w:drawing>
          <wp:inline distT="0" distB="0" distL="0" distR="0" wp14:anchorId="5D50E5EB" wp14:editId="40E6B10A">
            <wp:extent cx="5731510" cy="7732395"/>
            <wp:effectExtent l="0" t="0" r="0" b="1905"/>
            <wp:docPr id="11182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5249" name=""/>
                    <pic:cNvPicPr/>
                  </pic:nvPicPr>
                  <pic:blipFill>
                    <a:blip r:embed="rId220"/>
                    <a:stretch>
                      <a:fillRect/>
                    </a:stretch>
                  </pic:blipFill>
                  <pic:spPr>
                    <a:xfrm>
                      <a:off x="0" y="0"/>
                      <a:ext cx="5731510" cy="7732395"/>
                    </a:xfrm>
                    <a:prstGeom prst="rect">
                      <a:avLst/>
                    </a:prstGeom>
                  </pic:spPr>
                </pic:pic>
              </a:graphicData>
            </a:graphic>
          </wp:inline>
        </w:drawing>
      </w:r>
      <w:r w:rsidR="00562E0E" w:rsidRPr="002C21B8">
        <w:rPr>
          <w:noProof w:val="0"/>
          <w:sz w:val="22"/>
          <w:szCs w:val="22"/>
        </w:rPr>
        <w:br w:type="page"/>
      </w:r>
      <w:r w:rsidR="00DA1B2B" w:rsidRPr="002C21B8">
        <w:rPr>
          <w:b/>
          <w:bCs/>
          <w:i w:val="0"/>
          <w:iCs w:val="0"/>
          <w:noProof w:val="0"/>
          <w:color w:val="000000" w:themeColor="text1"/>
          <w:sz w:val="24"/>
          <w:szCs w:val="24"/>
        </w:rPr>
        <w:t xml:space="preserve">Coding tree for multiple case study using the conceptual model </w:t>
      </w:r>
      <w:r w:rsidR="009369AD" w:rsidRPr="002C21B8">
        <w:rPr>
          <w:b/>
          <w:bCs/>
          <w:i w:val="0"/>
          <w:iCs w:val="0"/>
          <w:noProof w:val="0"/>
          <w:color w:val="000000" w:themeColor="text1"/>
          <w:sz w:val="24"/>
          <w:szCs w:val="24"/>
        </w:rPr>
        <w:t>of</w:t>
      </w:r>
      <w:r w:rsidR="00DA1B2B" w:rsidRPr="002C21B8">
        <w:rPr>
          <w:b/>
          <w:bCs/>
          <w:i w:val="0"/>
          <w:iCs w:val="0"/>
          <w:noProof w:val="0"/>
          <w:color w:val="000000" w:themeColor="text1"/>
          <w:sz w:val="24"/>
          <w:szCs w:val="24"/>
        </w:rPr>
        <w:t xml:space="preserve"> </w:t>
      </w:r>
      <w:r w:rsidR="00945BDC" w:rsidRPr="002C21B8">
        <w:rPr>
          <w:b/>
          <w:bCs/>
          <w:i w:val="0"/>
          <w:iCs w:val="0"/>
          <w:noProof w:val="0"/>
          <w:color w:val="000000" w:themeColor="text1"/>
          <w:sz w:val="24"/>
          <w:szCs w:val="24"/>
        </w:rPr>
        <w:t>prescribing</w:t>
      </w:r>
      <w:r w:rsidR="00DA1B2B" w:rsidRPr="002C21B8">
        <w:rPr>
          <w:b/>
          <w:bCs/>
          <w:i w:val="0"/>
          <w:iCs w:val="0"/>
          <w:noProof w:val="0"/>
          <w:color w:val="000000" w:themeColor="text1"/>
          <w:sz w:val="24"/>
          <w:szCs w:val="24"/>
        </w:rPr>
        <w:t xml:space="preserve"> decision-making in chronic </w:t>
      </w:r>
      <w:r w:rsidR="00717D3C" w:rsidRPr="002C21B8">
        <w:rPr>
          <w:b/>
          <w:bCs/>
          <w:i w:val="0"/>
          <w:iCs w:val="0"/>
          <w:noProof w:val="0"/>
          <w:color w:val="000000" w:themeColor="text1"/>
          <w:sz w:val="24"/>
          <w:szCs w:val="24"/>
        </w:rPr>
        <w:t>condition</w:t>
      </w:r>
      <w:r w:rsidR="00DA1B2B" w:rsidRPr="002C21B8">
        <w:rPr>
          <w:b/>
          <w:bCs/>
          <w:i w:val="0"/>
          <w:iCs w:val="0"/>
          <w:noProof w:val="0"/>
          <w:color w:val="000000" w:themeColor="text1"/>
          <w:sz w:val="24"/>
          <w:szCs w:val="24"/>
        </w:rPr>
        <w:t>s (</w:t>
      </w:r>
      <w:r w:rsidR="0039059C" w:rsidRPr="002C21B8">
        <w:rPr>
          <w:b/>
          <w:bCs/>
          <w:i w:val="0"/>
          <w:iCs w:val="0"/>
          <w:noProof w:val="0"/>
          <w:color w:val="000000" w:themeColor="text1"/>
          <w:sz w:val="24"/>
          <w:szCs w:val="24"/>
        </w:rPr>
        <w:t>j</w:t>
      </w:r>
      <w:r w:rsidR="00FC656C" w:rsidRPr="002C21B8">
        <w:rPr>
          <w:b/>
          <w:bCs/>
          <w:i w:val="0"/>
          <w:iCs w:val="0"/>
          <w:noProof w:val="0"/>
          <w:color w:val="000000" w:themeColor="text1"/>
          <w:sz w:val="24"/>
          <w:szCs w:val="24"/>
        </w:rPr>
        <w:t xml:space="preserve">ournal </w:t>
      </w:r>
      <w:r w:rsidR="0039059C" w:rsidRPr="002C21B8">
        <w:rPr>
          <w:b/>
          <w:bCs/>
          <w:i w:val="0"/>
          <w:iCs w:val="0"/>
          <w:noProof w:val="0"/>
          <w:color w:val="000000" w:themeColor="text1"/>
          <w:sz w:val="24"/>
          <w:szCs w:val="24"/>
        </w:rPr>
        <w:t>a</w:t>
      </w:r>
      <w:r w:rsidR="00FC656C" w:rsidRPr="002C21B8">
        <w:rPr>
          <w:b/>
          <w:bCs/>
          <w:i w:val="0"/>
          <w:iCs w:val="0"/>
          <w:noProof w:val="0"/>
          <w:color w:val="000000" w:themeColor="text1"/>
          <w:sz w:val="24"/>
          <w:szCs w:val="24"/>
        </w:rPr>
        <w:t>rticle</w:t>
      </w:r>
      <w:r w:rsidR="00DA1B2B" w:rsidRPr="002C21B8">
        <w:rPr>
          <w:b/>
          <w:bCs/>
          <w:i w:val="0"/>
          <w:iCs w:val="0"/>
          <w:noProof w:val="0"/>
          <w:color w:val="000000" w:themeColor="text1"/>
          <w:sz w:val="24"/>
          <w:szCs w:val="24"/>
        </w:rPr>
        <w:t xml:space="preserve"> </w:t>
      </w:r>
      <w:r w:rsidR="006A47F9" w:rsidRPr="002C21B8">
        <w:rPr>
          <w:b/>
          <w:bCs/>
          <w:i w:val="0"/>
          <w:iCs w:val="0"/>
          <w:noProof w:val="0"/>
          <w:color w:val="000000" w:themeColor="text1"/>
          <w:sz w:val="24"/>
          <w:szCs w:val="24"/>
        </w:rPr>
        <w:t>4</w:t>
      </w:r>
      <w:r w:rsidR="00DA1B2B" w:rsidRPr="002C21B8">
        <w:rPr>
          <w:b/>
          <w:bCs/>
          <w:i w:val="0"/>
          <w:iCs w:val="0"/>
          <w:noProof w:val="0"/>
          <w:color w:val="000000" w:themeColor="text1"/>
          <w:sz w:val="24"/>
          <w:szCs w:val="24"/>
        </w:rPr>
        <w:t>)</w:t>
      </w:r>
    </w:p>
    <w:p w14:paraId="44104188" w14:textId="5AA73DDE" w:rsidR="00AB7FD6" w:rsidRPr="002C21B8" w:rsidRDefault="00AB7FD6" w:rsidP="00AB7FD6">
      <w:r w:rsidRPr="002C21B8">
        <w:rPr>
          <w:noProof/>
        </w:rPr>
        <w:drawing>
          <wp:inline distT="0" distB="0" distL="0" distR="0" wp14:anchorId="5CFD4CA8" wp14:editId="19E030D7">
            <wp:extent cx="5731510" cy="6359525"/>
            <wp:effectExtent l="0" t="0" r="0" b="3175"/>
            <wp:docPr id="1134996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96157" name=""/>
                    <pic:cNvPicPr/>
                  </pic:nvPicPr>
                  <pic:blipFill>
                    <a:blip r:embed="rId221"/>
                    <a:stretch>
                      <a:fillRect/>
                    </a:stretch>
                  </pic:blipFill>
                  <pic:spPr>
                    <a:xfrm>
                      <a:off x="0" y="0"/>
                      <a:ext cx="5731510" cy="6359525"/>
                    </a:xfrm>
                    <a:prstGeom prst="rect">
                      <a:avLst/>
                    </a:prstGeom>
                  </pic:spPr>
                </pic:pic>
              </a:graphicData>
            </a:graphic>
          </wp:inline>
        </w:drawing>
      </w:r>
    </w:p>
    <w:p w14:paraId="5323D79C" w14:textId="77777777" w:rsidR="00AB7FD6" w:rsidRPr="002C21B8" w:rsidRDefault="00AB7FD6" w:rsidP="00AB7FD6"/>
    <w:p w14:paraId="3D808038" w14:textId="496C4BDD" w:rsidR="00DA1B2B" w:rsidRPr="002C21B8" w:rsidRDefault="00DA1B2B">
      <w:pPr>
        <w:spacing w:after="0" w:line="240" w:lineRule="auto"/>
        <w:jc w:val="left"/>
      </w:pPr>
      <w:r w:rsidRPr="002C21B8">
        <w:br w:type="page"/>
      </w:r>
    </w:p>
    <w:p w14:paraId="5CBEEA04" w14:textId="77777777" w:rsidR="00562E0E" w:rsidRPr="002C21B8" w:rsidRDefault="00562E0E" w:rsidP="00A94F09">
      <w:pPr>
        <w:sectPr w:rsidR="00562E0E" w:rsidRPr="002C21B8" w:rsidSect="0009672F">
          <w:headerReference w:type="default" r:id="rId222"/>
          <w:type w:val="continuous"/>
          <w:pgSz w:w="11906" w:h="16838"/>
          <w:pgMar w:top="1440" w:right="1440" w:bottom="1440" w:left="1440" w:header="708" w:footer="708" w:gutter="0"/>
          <w:cols w:space="708"/>
          <w:docGrid w:linePitch="360"/>
        </w:sectPr>
      </w:pPr>
    </w:p>
    <w:p w14:paraId="59D19505" w14:textId="6956AEAE" w:rsidR="00A66854" w:rsidRPr="002C21B8" w:rsidRDefault="00A66854" w:rsidP="004507C8">
      <w:pPr>
        <w:pStyle w:val="Heading3"/>
        <w:numPr>
          <w:ilvl w:val="0"/>
          <w:numId w:val="0"/>
        </w:numPr>
      </w:pPr>
      <w:bookmarkStart w:id="474" w:name="_Prescribing_pathways"/>
      <w:bookmarkEnd w:id="474"/>
      <w:r w:rsidRPr="002C21B8">
        <w:t>Prescribing pathways</w:t>
      </w:r>
    </w:p>
    <w:p w14:paraId="0DE1B203" w14:textId="158A83AE" w:rsidR="0067163F" w:rsidRPr="002C21B8" w:rsidRDefault="006A47F9" w:rsidP="00F059B4">
      <w:pPr>
        <w:pStyle w:val="Caption"/>
        <w:rPr>
          <w:b/>
          <w:bCs/>
          <w:i w:val="0"/>
          <w:iCs w:val="0"/>
          <w:noProof w:val="0"/>
          <w:sz w:val="24"/>
          <w:szCs w:val="24"/>
        </w:rPr>
      </w:pPr>
      <w:r w:rsidRPr="002C21B8">
        <w:rPr>
          <w:b/>
          <w:bCs/>
          <w:i w:val="0"/>
          <w:iCs w:val="0"/>
          <w:noProof w:val="0"/>
          <w:color w:val="000000" w:themeColor="text1"/>
          <w:sz w:val="24"/>
          <w:szCs w:val="24"/>
        </w:rPr>
        <w:t>Case 1 prescribing pathway</w:t>
      </w:r>
    </w:p>
    <w:p w14:paraId="584EBCAD" w14:textId="7DEA7A15" w:rsidR="00A66854" w:rsidRPr="002C21B8" w:rsidRDefault="006A47F9" w:rsidP="00A66854">
      <w:pPr>
        <w:spacing w:after="0"/>
        <w:jc w:val="left"/>
      </w:pPr>
      <w:r w:rsidRPr="002C21B8">
        <w:rPr>
          <w:b/>
          <w:bCs/>
          <w:noProof/>
          <w:color w:val="000000" w:themeColor="text1"/>
          <w:sz w:val="24"/>
          <w:szCs w:val="24"/>
        </w:rPr>
        <w:drawing>
          <wp:inline distT="0" distB="0" distL="0" distR="0" wp14:anchorId="6063EEBD" wp14:editId="65376A25">
            <wp:extent cx="6220460" cy="4116705"/>
            <wp:effectExtent l="0" t="0" r="2540" b="0"/>
            <wp:docPr id="1757224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24585" name=""/>
                    <pic:cNvPicPr/>
                  </pic:nvPicPr>
                  <pic:blipFill rotWithShape="1">
                    <a:blip r:embed="rId223"/>
                    <a:srcRect t="4704"/>
                    <a:stretch/>
                  </pic:blipFill>
                  <pic:spPr bwMode="auto">
                    <a:xfrm>
                      <a:off x="0" y="0"/>
                      <a:ext cx="6220460" cy="4116705"/>
                    </a:xfrm>
                    <a:prstGeom prst="rect">
                      <a:avLst/>
                    </a:prstGeom>
                    <a:ln>
                      <a:noFill/>
                    </a:ln>
                    <a:extLst>
                      <a:ext uri="{53640926-AAD7-44D8-BBD7-CCE9431645EC}">
                        <a14:shadowObscured xmlns:a14="http://schemas.microsoft.com/office/drawing/2010/main"/>
                      </a:ext>
                    </a:extLst>
                  </pic:spPr>
                </pic:pic>
              </a:graphicData>
            </a:graphic>
          </wp:inline>
        </w:drawing>
      </w:r>
    </w:p>
    <w:p w14:paraId="23D06399" w14:textId="77777777" w:rsidR="00AB7FD6" w:rsidRPr="002C21B8" w:rsidRDefault="00AB7FD6">
      <w:pPr>
        <w:spacing w:after="0" w:line="240" w:lineRule="auto"/>
        <w:jc w:val="left"/>
        <w:rPr>
          <w:b/>
          <w:bCs/>
          <w:color w:val="000000" w:themeColor="text1"/>
          <w:sz w:val="24"/>
          <w:szCs w:val="24"/>
        </w:rPr>
      </w:pPr>
      <w:r w:rsidRPr="002C21B8">
        <w:rPr>
          <w:b/>
          <w:bCs/>
          <w:i/>
          <w:iCs/>
          <w:color w:val="000000" w:themeColor="text1"/>
          <w:sz w:val="24"/>
          <w:szCs w:val="24"/>
        </w:rPr>
        <w:br w:type="page"/>
      </w:r>
    </w:p>
    <w:p w14:paraId="0CB85482" w14:textId="19EFE928" w:rsidR="006A47F9" w:rsidRPr="002C21B8" w:rsidRDefault="006A47F9" w:rsidP="006A47F9">
      <w:pPr>
        <w:pStyle w:val="Caption"/>
        <w:rPr>
          <w:b/>
          <w:bCs/>
          <w:i w:val="0"/>
          <w:iCs w:val="0"/>
          <w:noProof w:val="0"/>
          <w:sz w:val="24"/>
          <w:szCs w:val="24"/>
        </w:rPr>
      </w:pPr>
      <w:r w:rsidRPr="002C21B8">
        <w:rPr>
          <w:b/>
          <w:bCs/>
          <w:i w:val="0"/>
          <w:iCs w:val="0"/>
          <w:noProof w:val="0"/>
          <w:color w:val="000000" w:themeColor="text1"/>
          <w:sz w:val="24"/>
          <w:szCs w:val="24"/>
        </w:rPr>
        <w:t>Case 2 prescribing pathway</w:t>
      </w:r>
    </w:p>
    <w:p w14:paraId="3372925E" w14:textId="76C9CF21" w:rsidR="00A66854" w:rsidRPr="002C21B8" w:rsidRDefault="006A47F9" w:rsidP="00A66854">
      <w:pPr>
        <w:spacing w:after="0"/>
        <w:jc w:val="left"/>
      </w:pPr>
      <w:r w:rsidRPr="002C21B8">
        <w:rPr>
          <w:noProof/>
        </w:rPr>
        <w:drawing>
          <wp:inline distT="0" distB="0" distL="0" distR="0" wp14:anchorId="6127F0E7" wp14:editId="1758D514">
            <wp:extent cx="6323330" cy="1233170"/>
            <wp:effectExtent l="0" t="0" r="0" b="0"/>
            <wp:docPr id="105111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13956" name=""/>
                    <pic:cNvPicPr/>
                  </pic:nvPicPr>
                  <pic:blipFill rotWithShape="1">
                    <a:blip r:embed="rId224"/>
                    <a:srcRect t="13119"/>
                    <a:stretch/>
                  </pic:blipFill>
                  <pic:spPr bwMode="auto">
                    <a:xfrm>
                      <a:off x="0" y="0"/>
                      <a:ext cx="6323330" cy="1233170"/>
                    </a:xfrm>
                    <a:prstGeom prst="rect">
                      <a:avLst/>
                    </a:prstGeom>
                    <a:ln>
                      <a:noFill/>
                    </a:ln>
                    <a:extLst>
                      <a:ext uri="{53640926-AAD7-44D8-BBD7-CCE9431645EC}">
                        <a14:shadowObscured xmlns:a14="http://schemas.microsoft.com/office/drawing/2010/main"/>
                      </a:ext>
                    </a:extLst>
                  </pic:spPr>
                </pic:pic>
              </a:graphicData>
            </a:graphic>
          </wp:inline>
        </w:drawing>
      </w:r>
    </w:p>
    <w:p w14:paraId="57CD42AE" w14:textId="77777777" w:rsidR="00BF54FB" w:rsidRPr="002C21B8" w:rsidRDefault="00BF54FB">
      <w:pPr>
        <w:spacing w:after="0" w:line="240" w:lineRule="auto"/>
        <w:jc w:val="left"/>
      </w:pPr>
      <w:r w:rsidRPr="002C21B8">
        <w:br w:type="page"/>
      </w:r>
    </w:p>
    <w:p w14:paraId="27E98E44" w14:textId="66AECCCB" w:rsidR="006A47F9" w:rsidRPr="002C21B8" w:rsidRDefault="00F908BA" w:rsidP="006A47F9">
      <w:pPr>
        <w:pStyle w:val="Caption"/>
        <w:rPr>
          <w:b/>
          <w:bCs/>
          <w:i w:val="0"/>
          <w:iCs w:val="0"/>
          <w:noProof w:val="0"/>
          <w:sz w:val="24"/>
          <w:szCs w:val="24"/>
        </w:rPr>
      </w:pPr>
      <w:r w:rsidRPr="002C21B8">
        <w:rPr>
          <w:b/>
          <w:bCs/>
          <w:i w:val="0"/>
          <w:iCs w:val="0"/>
          <w:noProof w:val="0"/>
          <w:color w:val="000000" w:themeColor="text1"/>
          <w:sz w:val="24"/>
          <w:szCs w:val="24"/>
        </w:rPr>
        <w:t>C</w:t>
      </w:r>
      <w:r w:rsidR="006A47F9" w:rsidRPr="002C21B8">
        <w:rPr>
          <w:b/>
          <w:bCs/>
          <w:i w:val="0"/>
          <w:iCs w:val="0"/>
          <w:noProof w:val="0"/>
          <w:color w:val="000000" w:themeColor="text1"/>
          <w:sz w:val="24"/>
          <w:szCs w:val="24"/>
        </w:rPr>
        <w:t>ase 3 prescribing pathway</w:t>
      </w:r>
    </w:p>
    <w:p w14:paraId="0DA55B95" w14:textId="20C0349C" w:rsidR="0067163F" w:rsidRPr="002C21B8" w:rsidRDefault="006A47F9" w:rsidP="00AB7FD6">
      <w:pPr>
        <w:pStyle w:val="Caption"/>
        <w:keepNext w:val="0"/>
        <w:rPr>
          <w:noProof w:val="0"/>
          <w:sz w:val="22"/>
          <w:szCs w:val="22"/>
        </w:rPr>
      </w:pPr>
      <w:r w:rsidRPr="002C21B8">
        <w:drawing>
          <wp:inline distT="0" distB="0" distL="0" distR="0" wp14:anchorId="2226DCA8" wp14:editId="1B3A7B53">
            <wp:extent cx="7131685" cy="4192905"/>
            <wp:effectExtent l="0" t="0" r="5715" b="0"/>
            <wp:docPr id="1351862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62689" name=""/>
                    <pic:cNvPicPr/>
                  </pic:nvPicPr>
                  <pic:blipFill rotWithShape="1">
                    <a:blip r:embed="rId225"/>
                    <a:srcRect t="4988"/>
                    <a:stretch/>
                  </pic:blipFill>
                  <pic:spPr bwMode="auto">
                    <a:xfrm>
                      <a:off x="0" y="0"/>
                      <a:ext cx="7131685" cy="4192905"/>
                    </a:xfrm>
                    <a:prstGeom prst="rect">
                      <a:avLst/>
                    </a:prstGeom>
                    <a:ln>
                      <a:noFill/>
                    </a:ln>
                    <a:extLst>
                      <a:ext uri="{53640926-AAD7-44D8-BBD7-CCE9431645EC}">
                        <a14:shadowObscured xmlns:a14="http://schemas.microsoft.com/office/drawing/2010/main"/>
                      </a:ext>
                    </a:extLst>
                  </pic:spPr>
                </pic:pic>
              </a:graphicData>
            </a:graphic>
          </wp:inline>
        </w:drawing>
      </w:r>
    </w:p>
    <w:p w14:paraId="58358302" w14:textId="77777777" w:rsidR="00A66854" w:rsidRPr="002C21B8" w:rsidRDefault="00A66854" w:rsidP="00AB7FD6">
      <w:pPr>
        <w:spacing w:after="0" w:line="240" w:lineRule="auto"/>
        <w:jc w:val="left"/>
      </w:pPr>
    </w:p>
    <w:p w14:paraId="09F05956" w14:textId="77777777" w:rsidR="00A66854" w:rsidRPr="002C21B8" w:rsidRDefault="00A66854" w:rsidP="00820287">
      <w:pPr>
        <w:spacing w:before="240" w:after="0"/>
        <w:rPr>
          <w:b/>
          <w:bCs/>
          <w:sz w:val="28"/>
          <w:szCs w:val="28"/>
        </w:rPr>
        <w:sectPr w:rsidR="00A66854" w:rsidRPr="002C21B8" w:rsidSect="0009672F">
          <w:headerReference w:type="default" r:id="rId226"/>
          <w:headerReference w:type="first" r:id="rId227"/>
          <w:type w:val="continuous"/>
          <w:pgSz w:w="16838" w:h="11906" w:orient="landscape"/>
          <w:pgMar w:top="1440" w:right="1440" w:bottom="1440" w:left="1440" w:header="708" w:footer="708" w:gutter="0"/>
          <w:cols w:space="708"/>
          <w:titlePg/>
          <w:docGrid w:linePitch="360"/>
        </w:sectPr>
      </w:pPr>
    </w:p>
    <w:p w14:paraId="660DC194" w14:textId="6884853F" w:rsidR="0021525C" w:rsidRPr="002C21B8" w:rsidRDefault="0021525C" w:rsidP="00581663">
      <w:pPr>
        <w:pStyle w:val="Heading2"/>
        <w:numPr>
          <w:ilvl w:val="0"/>
          <w:numId w:val="0"/>
        </w:numPr>
      </w:pPr>
      <w:bookmarkStart w:id="475" w:name="_Appendix_9._Additional"/>
      <w:bookmarkStart w:id="476" w:name="_Toc229687261"/>
      <w:bookmarkEnd w:id="475"/>
      <w:r w:rsidRPr="002C21B8">
        <w:t xml:space="preserve">Appendix </w:t>
      </w:r>
      <w:r w:rsidR="00BF54FB" w:rsidRPr="002C21B8">
        <w:t>9</w:t>
      </w:r>
      <w:r w:rsidRPr="002C21B8">
        <w:t xml:space="preserve">. </w:t>
      </w:r>
      <w:r w:rsidR="001931F9" w:rsidRPr="002C21B8">
        <w:t>Additional detail</w:t>
      </w:r>
      <w:r w:rsidR="00292973" w:rsidRPr="002C21B8">
        <w:t>s</w:t>
      </w:r>
      <w:r w:rsidR="001931F9" w:rsidRPr="002C21B8">
        <w:t xml:space="preserve"> </w:t>
      </w:r>
      <w:r w:rsidR="00725EDE" w:rsidRPr="002C21B8">
        <w:t>on</w:t>
      </w:r>
      <w:r w:rsidR="001821E0" w:rsidRPr="002C21B8">
        <w:t xml:space="preserve"> the</w:t>
      </w:r>
      <w:r w:rsidR="00725EDE" w:rsidRPr="002C21B8">
        <w:t xml:space="preserve"> methods for </w:t>
      </w:r>
      <w:r w:rsidR="002C414E" w:rsidRPr="002C21B8">
        <w:t xml:space="preserve">the </w:t>
      </w:r>
      <w:r w:rsidR="00FC190F" w:rsidRPr="002C21B8">
        <w:t>survey of clinical practice</w:t>
      </w:r>
      <w:r w:rsidR="002C414E" w:rsidRPr="002C21B8">
        <w:t xml:space="preserve"> (Phase </w:t>
      </w:r>
      <w:r w:rsidR="00EE185E" w:rsidRPr="002C21B8">
        <w:t>4</w:t>
      </w:r>
      <w:r w:rsidR="002C414E" w:rsidRPr="002C21B8">
        <w:t>)</w:t>
      </w:r>
      <w:bookmarkEnd w:id="476"/>
    </w:p>
    <w:p w14:paraId="4266C550" w14:textId="175E1809" w:rsidR="006E65B0" w:rsidRPr="002C21B8" w:rsidRDefault="006E65B0" w:rsidP="006E65B0">
      <w:r w:rsidRPr="002C21B8">
        <w:t>Within this appendix</w:t>
      </w:r>
      <w:r w:rsidR="004F0C86" w:rsidRPr="002C21B8">
        <w:t>,</w:t>
      </w:r>
      <w:r w:rsidRPr="002C21B8">
        <w:t xml:space="preserve"> the following additional details on the methods used for </w:t>
      </w:r>
      <w:r w:rsidR="004E1979" w:rsidRPr="002C21B8">
        <w:t xml:space="preserve">national </w:t>
      </w:r>
      <w:r w:rsidR="004175B8" w:rsidRPr="002C21B8">
        <w:t>survey</w:t>
      </w:r>
      <w:r w:rsidR="004E1979" w:rsidRPr="002C21B8">
        <w:t xml:space="preserve"> of clinical practi</w:t>
      </w:r>
      <w:r w:rsidR="00196107" w:rsidRPr="002C21B8">
        <w:t>ce</w:t>
      </w:r>
      <w:r w:rsidRPr="002C21B8">
        <w:t xml:space="preserve"> are included:</w:t>
      </w:r>
    </w:p>
    <w:p w14:paraId="6C9D9A20" w14:textId="65B06012" w:rsidR="006E65B0" w:rsidRPr="002C21B8" w:rsidRDefault="006E65B0" w:rsidP="00A97F07">
      <w:pPr>
        <w:pStyle w:val="ListParagraph"/>
        <w:numPr>
          <w:ilvl w:val="0"/>
          <w:numId w:val="52"/>
        </w:numPr>
      </w:pPr>
      <w:r w:rsidRPr="002C21B8">
        <w:t>Questionnaire development</w:t>
      </w:r>
    </w:p>
    <w:p w14:paraId="7EBB75A9" w14:textId="1803FC47" w:rsidR="006E65B0" w:rsidRPr="002C21B8" w:rsidRDefault="006E65B0" w:rsidP="00A97F07">
      <w:pPr>
        <w:pStyle w:val="ListParagraph"/>
        <w:numPr>
          <w:ilvl w:val="0"/>
          <w:numId w:val="52"/>
        </w:numPr>
      </w:pPr>
      <w:r w:rsidRPr="002C21B8">
        <w:t>Piloting of the questionnaire</w:t>
      </w:r>
    </w:p>
    <w:p w14:paraId="0E10FE3F" w14:textId="77777777" w:rsidR="006E65B0" w:rsidRPr="002C21B8" w:rsidRDefault="006E65B0" w:rsidP="00A97F07">
      <w:pPr>
        <w:pStyle w:val="ListParagraph"/>
        <w:numPr>
          <w:ilvl w:val="0"/>
          <w:numId w:val="52"/>
        </w:numPr>
      </w:pPr>
      <w:r w:rsidRPr="002C21B8">
        <w:t>Sampling</w:t>
      </w:r>
    </w:p>
    <w:p w14:paraId="5CDDA5F3" w14:textId="56A12BB6" w:rsidR="006E65B0" w:rsidRPr="002C21B8" w:rsidRDefault="006E65B0" w:rsidP="00A97F07">
      <w:pPr>
        <w:pStyle w:val="ListParagraph"/>
        <w:numPr>
          <w:ilvl w:val="0"/>
          <w:numId w:val="52"/>
        </w:numPr>
      </w:pPr>
      <w:r w:rsidRPr="002C21B8">
        <w:t>Data collection</w:t>
      </w:r>
    </w:p>
    <w:p w14:paraId="7A60BC91" w14:textId="3755F293" w:rsidR="006E65B0" w:rsidRPr="002C21B8" w:rsidRDefault="006E65B0" w:rsidP="00A97F07">
      <w:pPr>
        <w:pStyle w:val="ListParagraph"/>
        <w:numPr>
          <w:ilvl w:val="0"/>
          <w:numId w:val="52"/>
        </w:numPr>
      </w:pPr>
      <w:r w:rsidRPr="002C21B8">
        <w:t>Data analysis</w:t>
      </w:r>
    </w:p>
    <w:p w14:paraId="2E25603F" w14:textId="1DD7DD75" w:rsidR="00426AE1" w:rsidRPr="002C21B8" w:rsidRDefault="00426AE1" w:rsidP="004507C8">
      <w:pPr>
        <w:pStyle w:val="Heading3"/>
        <w:numPr>
          <w:ilvl w:val="0"/>
          <w:numId w:val="0"/>
        </w:numPr>
      </w:pPr>
      <w:r w:rsidRPr="002C21B8">
        <w:t>Questionnaire development</w:t>
      </w:r>
    </w:p>
    <w:p w14:paraId="0EDE7C80" w14:textId="044EB2FF" w:rsidR="00426AE1" w:rsidRPr="002C21B8" w:rsidRDefault="00D562BC" w:rsidP="00426AE1">
      <w:pPr>
        <w:rPr>
          <w:color w:val="000000" w:themeColor="text1"/>
        </w:rPr>
      </w:pPr>
      <w:r w:rsidRPr="002C21B8">
        <w:rPr>
          <w:color w:val="000000" w:themeColor="text1"/>
        </w:rPr>
        <w:t xml:space="preserve">The questionnaire was developed to </w:t>
      </w:r>
      <w:r w:rsidR="008F3997" w:rsidRPr="002C21B8">
        <w:rPr>
          <w:color w:val="000000" w:themeColor="text1"/>
        </w:rPr>
        <w:t>examine</w:t>
      </w:r>
      <w:r w:rsidRPr="002C21B8">
        <w:rPr>
          <w:color w:val="000000" w:themeColor="text1"/>
        </w:rPr>
        <w:t xml:space="preserve"> variation in </w:t>
      </w:r>
      <w:r w:rsidR="00727C3C" w:rsidRPr="002C21B8">
        <w:rPr>
          <w:color w:val="000000" w:themeColor="text1"/>
        </w:rPr>
        <w:t xml:space="preserve">approaches to the prescribing of tolvaptan across </w:t>
      </w:r>
      <w:r w:rsidR="00A65B15" w:rsidRPr="002C21B8">
        <w:rPr>
          <w:color w:val="000000" w:themeColor="text1"/>
        </w:rPr>
        <w:t xml:space="preserve">kidney </w:t>
      </w:r>
      <w:r w:rsidR="00727C3C" w:rsidRPr="002C21B8">
        <w:rPr>
          <w:color w:val="000000" w:themeColor="text1"/>
        </w:rPr>
        <w:t>centres</w:t>
      </w:r>
      <w:r w:rsidRPr="002C21B8">
        <w:rPr>
          <w:color w:val="000000" w:themeColor="text1"/>
        </w:rPr>
        <w:t xml:space="preserve"> and to generate centre-level data that c</w:t>
      </w:r>
      <w:r w:rsidR="00245527" w:rsidRPr="002C21B8">
        <w:rPr>
          <w:color w:val="000000" w:themeColor="text1"/>
        </w:rPr>
        <w:t>ould</w:t>
      </w:r>
      <w:r w:rsidRPr="002C21B8">
        <w:rPr>
          <w:color w:val="000000" w:themeColor="text1"/>
        </w:rPr>
        <w:t xml:space="preserve"> be used in the reanalysis of </w:t>
      </w:r>
      <w:r w:rsidR="00163FA6" w:rsidRPr="002C21B8">
        <w:rPr>
          <w:color w:val="000000" w:themeColor="text1"/>
        </w:rPr>
        <w:t>registry data</w:t>
      </w:r>
      <w:r w:rsidRPr="002C21B8">
        <w:rPr>
          <w:color w:val="000000" w:themeColor="text1"/>
        </w:rPr>
        <w:t>. Questions were informed by</w:t>
      </w:r>
      <w:r w:rsidR="003F4EDA" w:rsidRPr="002C21B8">
        <w:rPr>
          <w:color w:val="000000" w:themeColor="text1"/>
        </w:rPr>
        <w:t xml:space="preserve"> the </w:t>
      </w:r>
      <w:r w:rsidRPr="002C21B8">
        <w:rPr>
          <w:color w:val="000000" w:themeColor="text1"/>
        </w:rPr>
        <w:t>findings</w:t>
      </w:r>
      <w:r w:rsidR="003F4EDA" w:rsidRPr="002C21B8">
        <w:rPr>
          <w:color w:val="000000" w:themeColor="text1"/>
        </w:rPr>
        <w:t xml:space="preserve"> from the multiple case study and </w:t>
      </w:r>
      <w:r w:rsidRPr="002C21B8">
        <w:rPr>
          <w:color w:val="000000" w:themeColor="text1"/>
        </w:rPr>
        <w:t xml:space="preserve">the conceptual </w:t>
      </w:r>
      <w:r w:rsidR="00832446" w:rsidRPr="002C21B8">
        <w:rPr>
          <w:color w:val="000000" w:themeColor="text1"/>
        </w:rPr>
        <w:t>model</w:t>
      </w:r>
      <w:r w:rsidRPr="002C21B8">
        <w:rPr>
          <w:color w:val="000000" w:themeColor="text1"/>
        </w:rPr>
        <w:t xml:space="preserve"> developed in Phase </w:t>
      </w:r>
      <w:r w:rsidR="00163FA6" w:rsidRPr="002C21B8">
        <w:rPr>
          <w:color w:val="000000" w:themeColor="text1"/>
        </w:rPr>
        <w:t>3</w:t>
      </w:r>
      <w:r w:rsidRPr="002C21B8">
        <w:rPr>
          <w:color w:val="000000" w:themeColor="text1"/>
        </w:rPr>
        <w:t xml:space="preserve"> (</w:t>
      </w:r>
      <w:hyperlink w:anchor="_–_Developing_a" w:history="1">
        <w:r w:rsidRPr="002C21B8">
          <w:rPr>
            <w:rStyle w:val="Hyperlink"/>
          </w:rPr>
          <w:t>Chapter 7</w:t>
        </w:r>
      </w:hyperlink>
      <w:r w:rsidRPr="002C21B8">
        <w:rPr>
          <w:color w:val="000000" w:themeColor="text1"/>
        </w:rPr>
        <w:t>).</w:t>
      </w:r>
    </w:p>
    <w:p w14:paraId="12BA2059" w14:textId="51327E5E" w:rsidR="00486909" w:rsidRPr="002C21B8" w:rsidRDefault="00D562BC" w:rsidP="00426AE1">
      <w:pPr>
        <w:rPr>
          <w:color w:val="000000" w:themeColor="text1"/>
        </w:rPr>
      </w:pPr>
      <w:r w:rsidRPr="002C21B8">
        <w:rPr>
          <w:color w:val="000000" w:themeColor="text1"/>
        </w:rPr>
        <w:t>The questionnaire was primarily structured using a closed</w:t>
      </w:r>
      <w:r w:rsidR="00C677E7" w:rsidRPr="002C21B8">
        <w:rPr>
          <w:color w:val="000000" w:themeColor="text1"/>
        </w:rPr>
        <w:t>-</w:t>
      </w:r>
      <w:r w:rsidRPr="002C21B8">
        <w:rPr>
          <w:color w:val="000000" w:themeColor="text1"/>
        </w:rPr>
        <w:t>response format (i.e. Likert-type scales, categorical options and binary responses) to facilitate standardised analysis and integration in the quantitative modelling</w:t>
      </w:r>
      <w:r w:rsidR="00163FA6" w:rsidRPr="002C21B8">
        <w:rPr>
          <w:color w:val="000000" w:themeColor="text1"/>
        </w:rPr>
        <w:t xml:space="preserve"> of the reanalysis of registry data</w:t>
      </w:r>
      <w:r w:rsidR="00C677E7" w:rsidRPr="002C21B8">
        <w:rPr>
          <w:color w:val="000000" w:themeColor="text1"/>
        </w:rPr>
        <w:t xml:space="preserve">. This </w:t>
      </w:r>
      <w:r w:rsidR="006F5E72" w:rsidRPr="002C21B8">
        <w:rPr>
          <w:color w:val="000000" w:themeColor="text1"/>
        </w:rPr>
        <w:t>an</w:t>
      </w:r>
      <w:r w:rsidR="00F0096E" w:rsidRPr="002C21B8">
        <w:rPr>
          <w:color w:val="000000" w:themeColor="text1"/>
        </w:rPr>
        <w:t>a</w:t>
      </w:r>
      <w:r w:rsidR="006F5E72" w:rsidRPr="002C21B8">
        <w:rPr>
          <w:color w:val="000000" w:themeColor="text1"/>
        </w:rPr>
        <w:t>lysis required</w:t>
      </w:r>
      <w:r w:rsidR="00BB1F98" w:rsidRPr="002C21B8">
        <w:rPr>
          <w:color w:val="000000" w:themeColor="text1"/>
        </w:rPr>
        <w:t xml:space="preserve"> binary or categorical responses</w:t>
      </w:r>
      <w:r w:rsidRPr="002C21B8">
        <w:rPr>
          <w:color w:val="000000" w:themeColor="text1"/>
        </w:rPr>
        <w:t>. Open</w:t>
      </w:r>
      <w:r w:rsidR="00727C3C" w:rsidRPr="002C21B8">
        <w:rPr>
          <w:color w:val="000000" w:themeColor="text1"/>
        </w:rPr>
        <w:t>-</w:t>
      </w:r>
      <w:r w:rsidRPr="002C21B8">
        <w:rPr>
          <w:color w:val="000000" w:themeColor="text1"/>
        </w:rPr>
        <w:t>text</w:t>
      </w:r>
      <w:r w:rsidR="00727C3C" w:rsidRPr="002C21B8">
        <w:rPr>
          <w:color w:val="000000" w:themeColor="text1"/>
        </w:rPr>
        <w:t xml:space="preserve"> </w:t>
      </w:r>
      <w:r w:rsidRPr="002C21B8">
        <w:rPr>
          <w:color w:val="000000" w:themeColor="text1"/>
        </w:rPr>
        <w:t>responses were included where additional detail was required.</w:t>
      </w:r>
    </w:p>
    <w:p w14:paraId="1C64661E" w14:textId="5C5E804E" w:rsidR="00486909" w:rsidRPr="002C21B8" w:rsidRDefault="00B52558" w:rsidP="00426AE1">
      <w:pPr>
        <w:rPr>
          <w:color w:val="000000" w:themeColor="text1"/>
        </w:rPr>
      </w:pPr>
      <w:r w:rsidRPr="002C21B8">
        <w:rPr>
          <w:color w:val="000000" w:themeColor="text1"/>
        </w:rPr>
        <w:t xml:space="preserve">The </w:t>
      </w:r>
      <w:r w:rsidR="00D562BC" w:rsidRPr="002C21B8">
        <w:rPr>
          <w:color w:val="000000" w:themeColor="text1"/>
        </w:rPr>
        <w:t xml:space="preserve">design </w:t>
      </w:r>
      <w:r w:rsidRPr="002C21B8">
        <w:rPr>
          <w:color w:val="000000" w:themeColor="text1"/>
        </w:rPr>
        <w:t xml:space="preserve">of the questionnaire </w:t>
      </w:r>
      <w:r w:rsidR="00D562BC" w:rsidRPr="002C21B8">
        <w:rPr>
          <w:color w:val="000000" w:themeColor="text1"/>
        </w:rPr>
        <w:t xml:space="preserve">was guided by </w:t>
      </w:r>
      <w:r w:rsidR="0071637F" w:rsidRPr="002C21B8">
        <w:rPr>
          <w:color w:val="000000" w:themeColor="text1"/>
        </w:rPr>
        <w:t xml:space="preserve">the </w:t>
      </w:r>
      <w:r w:rsidR="004C4205" w:rsidRPr="002C21B8">
        <w:rPr>
          <w:color w:val="000000" w:themeColor="text1"/>
        </w:rPr>
        <w:t xml:space="preserve">core </w:t>
      </w:r>
      <w:r w:rsidR="00D562BC" w:rsidRPr="002C21B8">
        <w:rPr>
          <w:color w:val="000000" w:themeColor="text1"/>
        </w:rPr>
        <w:t xml:space="preserve">principles </w:t>
      </w:r>
      <w:r w:rsidR="00486909" w:rsidRPr="002C21B8">
        <w:rPr>
          <w:color w:val="000000" w:themeColor="text1"/>
        </w:rPr>
        <w:t xml:space="preserve">described by </w:t>
      </w:r>
      <w:r w:rsidR="00486909" w:rsidRPr="002C21B8">
        <w:rPr>
          <w:color w:val="000000" w:themeColor="text1"/>
        </w:rPr>
        <w:fldChar w:fldCharType="begin"/>
      </w:r>
      <w:r w:rsidR="00046586" w:rsidRPr="002C21B8">
        <w:rPr>
          <w:color w:val="000000" w:themeColor="text1"/>
        </w:rPr>
        <w:instrText xml:space="preserve"> ADDIN EN.CITE &lt;EndNote&gt;&lt;Cite AuthorYear="1"&gt;&lt;Author&gt;Dillman&lt;/Author&gt;&lt;Year&gt;2014&lt;/Year&gt;&lt;RecNum&gt;125402&lt;/RecNum&gt;&lt;DisplayText&gt;Dillman, Smyth and Christian (2014)&lt;/DisplayText&gt;&lt;record&gt;&lt;rec-number&gt;125402&lt;/rec-number&gt;&lt;foreign-keys&gt;&lt;key app="EN" db-id="xpefzwa5hf9dt2ea9fax95x7xvxz90v09dtf" timestamp="1775652161"&gt;125402&lt;/key&gt;&lt;/foreign-keys&gt;&lt;ref-type name="Book"&gt;6&lt;/ref-type&gt;&lt;contributors&gt;&lt;authors&gt;&lt;author&gt;Dillman, Don A&lt;/author&gt;&lt;author&gt;Smyth, Jolene D&lt;/author&gt;&lt;author&gt;Christian, Leah Melani&lt;/author&gt;&lt;/authors&gt;&lt;/contributors&gt;&lt;titles&gt;&lt;title&gt;Internet, phone, mail, and mixed-mode surveys: The tailored design method&lt;/title&gt;&lt;/titles&gt;&lt;section&gt;1-528&lt;/section&gt;&lt;dates&gt;&lt;year&gt;2014&lt;/year&gt;&lt;/dates&gt;&lt;pub-location&gt;Indianapolis, Indiana, USA&lt;/pub-location&gt;&lt;publisher&gt;John Wiley &amp;amp; Sons&lt;/publisher&gt;&lt;urls&gt;&lt;/urls&gt;&lt;/record&gt;&lt;/Cite&gt;&lt;/EndNote&gt;</w:instrText>
      </w:r>
      <w:r w:rsidR="00486909" w:rsidRPr="002C21B8">
        <w:rPr>
          <w:color w:val="000000" w:themeColor="text1"/>
        </w:rPr>
        <w:fldChar w:fldCharType="separate"/>
      </w:r>
      <w:r w:rsidR="00F32D2D" w:rsidRPr="002C21B8">
        <w:rPr>
          <w:noProof/>
          <w:color w:val="000000" w:themeColor="text1"/>
        </w:rPr>
        <w:t>Dillman, Smyth and Christian (2014)</w:t>
      </w:r>
      <w:r w:rsidR="00486909" w:rsidRPr="002C21B8">
        <w:rPr>
          <w:color w:val="000000" w:themeColor="text1"/>
        </w:rPr>
        <w:fldChar w:fldCharType="end"/>
      </w:r>
      <w:r w:rsidR="00D562BC" w:rsidRPr="002C21B8">
        <w:rPr>
          <w:color w:val="000000" w:themeColor="text1"/>
        </w:rPr>
        <w:t>.</w:t>
      </w:r>
      <w:r w:rsidR="00486909" w:rsidRPr="002C21B8">
        <w:rPr>
          <w:color w:val="000000" w:themeColor="text1"/>
        </w:rPr>
        <w:t xml:space="preserve"> </w:t>
      </w:r>
      <w:r w:rsidR="007A53F7" w:rsidRPr="002C21B8">
        <w:rPr>
          <w:color w:val="000000" w:themeColor="text1"/>
        </w:rPr>
        <w:t>It</w:t>
      </w:r>
      <w:r w:rsidR="00486909" w:rsidRPr="002C21B8">
        <w:rPr>
          <w:color w:val="000000" w:themeColor="text1"/>
        </w:rPr>
        <w:t xml:space="preserve"> was kept as concise as possible</w:t>
      </w:r>
      <w:r w:rsidR="005F6B68" w:rsidRPr="002C21B8">
        <w:rPr>
          <w:color w:val="000000" w:themeColor="text1"/>
        </w:rPr>
        <w:t>. T</w:t>
      </w:r>
      <w:r w:rsidR="00044BD7" w:rsidRPr="002C21B8">
        <w:rPr>
          <w:color w:val="000000" w:themeColor="text1"/>
        </w:rPr>
        <w:t xml:space="preserve">he respondents were </w:t>
      </w:r>
      <w:r w:rsidR="005F6B68" w:rsidRPr="002C21B8">
        <w:rPr>
          <w:color w:val="000000" w:themeColor="text1"/>
        </w:rPr>
        <w:t xml:space="preserve">clinicians </w:t>
      </w:r>
      <w:r w:rsidR="00044BD7" w:rsidRPr="002C21B8">
        <w:rPr>
          <w:color w:val="000000" w:themeColor="text1"/>
        </w:rPr>
        <w:t>who are likely to be busy and have</w:t>
      </w:r>
      <w:r w:rsidR="007E1CC3" w:rsidRPr="002C21B8">
        <w:rPr>
          <w:color w:val="000000" w:themeColor="text1"/>
        </w:rPr>
        <w:t xml:space="preserve"> a</w:t>
      </w:r>
      <w:r w:rsidR="00044BD7" w:rsidRPr="002C21B8">
        <w:rPr>
          <w:color w:val="000000" w:themeColor="text1"/>
        </w:rPr>
        <w:t xml:space="preserve"> limited </w:t>
      </w:r>
      <w:r w:rsidR="007E1CC3" w:rsidRPr="002C21B8">
        <w:rPr>
          <w:color w:val="000000" w:themeColor="text1"/>
        </w:rPr>
        <w:t xml:space="preserve">amount of </w:t>
      </w:r>
      <w:r w:rsidR="00044BD7" w:rsidRPr="002C21B8">
        <w:rPr>
          <w:color w:val="000000" w:themeColor="text1"/>
        </w:rPr>
        <w:t>time to respond to surveys. L</w:t>
      </w:r>
      <w:r w:rsidR="00486909" w:rsidRPr="002C21B8">
        <w:rPr>
          <w:color w:val="000000" w:themeColor="text1"/>
        </w:rPr>
        <w:t xml:space="preserve">onger lengths have been found to add to </w:t>
      </w:r>
      <w:r w:rsidR="004C4205" w:rsidRPr="002C21B8">
        <w:rPr>
          <w:color w:val="000000" w:themeColor="text1"/>
        </w:rPr>
        <w:t>respondent</w:t>
      </w:r>
      <w:r w:rsidR="00486909" w:rsidRPr="002C21B8">
        <w:rPr>
          <w:color w:val="000000" w:themeColor="text1"/>
        </w:rPr>
        <w:t xml:space="preserve"> burden</w:t>
      </w:r>
      <w:r w:rsidR="00044BD7" w:rsidRPr="002C21B8">
        <w:rPr>
          <w:color w:val="000000" w:themeColor="text1"/>
        </w:rPr>
        <w:t xml:space="preserve"> and </w:t>
      </w:r>
      <w:r w:rsidR="00486909" w:rsidRPr="002C21B8">
        <w:rPr>
          <w:color w:val="000000" w:themeColor="text1"/>
        </w:rPr>
        <w:t xml:space="preserve">increase measurement error, as fatigue may lead respondents to skip questions or choose superficial reasons </w:t>
      </w:r>
      <w:r w:rsidR="00486909" w:rsidRPr="002C21B8">
        <w:fldChar w:fldCharType="begin"/>
      </w:r>
      <w:r w:rsidR="00046586" w:rsidRPr="002C21B8">
        <w:instrText xml:space="preserve"> ADDIN EN.CITE &lt;EndNote&gt;&lt;Cite&gt;&lt;Author&gt;Groves&lt;/Author&gt;&lt;Year&gt;2011&lt;/Year&gt;&lt;RecNum&gt;125373&lt;/RecNum&gt;&lt;DisplayText&gt;(Groves&lt;style face="italic"&gt; et al.&lt;/style&gt;, 2011)&lt;/DisplayText&gt;&lt;record&gt;&lt;rec-number&gt;125373&lt;/rec-number&gt;&lt;foreign-keys&gt;&lt;key app="EN" db-id="xpefzwa5hf9dt2ea9fax95x7xvxz90v09dtf" timestamp="1775377543"&gt;125373&lt;/key&gt;&lt;/foreign-keys&gt;&lt;ref-type name="Book"&gt;6&lt;/ref-type&gt;&lt;contributors&gt;&lt;authors&gt;&lt;author&gt;Groves, Robert M&lt;/author&gt;&lt;author&gt;Fowler Jr, Floyd J&lt;/author&gt;&lt;author&gt;Couper, Mick P&lt;/author&gt;&lt;author&gt;Lepkowski, James M&lt;/author&gt;&lt;author&gt;Singer, Eleanor&lt;/author&gt;&lt;author&gt;Tourangeau, Roger&lt;/author&gt;&lt;/authors&gt;&lt;/contributors&gt;&lt;titles&gt;&lt;title&gt;Survey Methodology&lt;/title&gt;&lt;/titles&gt;&lt;section&gt;1-496&lt;/section&gt;&lt;dates&gt;&lt;year&gt;2011&lt;/year&gt;&lt;/dates&gt;&lt;pub-location&gt;Hoboken, New Jersey, USA&lt;/pub-location&gt;&lt;publisher&gt;John Wiley &amp;amp; Sons&lt;/publisher&gt;&lt;isbn&gt;1118211340&lt;/isbn&gt;&lt;urls&gt;&lt;/urls&gt;&lt;/record&gt;&lt;/Cite&gt;&lt;/EndNote&gt;</w:instrText>
      </w:r>
      <w:r w:rsidR="00486909" w:rsidRPr="002C21B8">
        <w:fldChar w:fldCharType="separate"/>
      </w:r>
      <w:r w:rsidR="00486909" w:rsidRPr="002C21B8">
        <w:rPr>
          <w:noProof/>
        </w:rPr>
        <w:t>(Groves</w:t>
      </w:r>
      <w:r w:rsidR="00486909" w:rsidRPr="002C21B8">
        <w:rPr>
          <w:i/>
          <w:noProof/>
        </w:rPr>
        <w:t xml:space="preserve"> et al.</w:t>
      </w:r>
      <w:r w:rsidR="00486909" w:rsidRPr="002C21B8">
        <w:rPr>
          <w:noProof/>
        </w:rPr>
        <w:t>, 2011)</w:t>
      </w:r>
      <w:r w:rsidR="00486909" w:rsidRPr="002C21B8">
        <w:fldChar w:fldCharType="end"/>
      </w:r>
      <w:r w:rsidR="00486909" w:rsidRPr="002C21B8">
        <w:t xml:space="preserve">. This was particularly </w:t>
      </w:r>
      <w:r w:rsidR="007E1CC3" w:rsidRPr="002C21B8">
        <w:t>relevant to this</w:t>
      </w:r>
      <w:r w:rsidR="00486909" w:rsidRPr="002C21B8">
        <w:t xml:space="preserve"> </w:t>
      </w:r>
      <w:r w:rsidR="00A15369" w:rsidRPr="002C21B8">
        <w:t>programme of research</w:t>
      </w:r>
      <w:r w:rsidR="00EA644E" w:rsidRPr="002C21B8">
        <w:t>,</w:t>
      </w:r>
      <w:r w:rsidR="00486909" w:rsidRPr="002C21B8">
        <w:t xml:space="preserve"> as any incomplete or low-quality responses </w:t>
      </w:r>
      <w:r w:rsidR="00411A39" w:rsidRPr="002C21B8">
        <w:t>would result in the centre being excluded from that component of the analysis.</w:t>
      </w:r>
    </w:p>
    <w:p w14:paraId="6C977110" w14:textId="3E42C2F5" w:rsidR="004C4205" w:rsidRPr="002C21B8" w:rsidRDefault="0047145A" w:rsidP="00426AE1">
      <w:pPr>
        <w:rPr>
          <w:color w:val="000000" w:themeColor="text1"/>
        </w:rPr>
      </w:pPr>
      <w:r w:rsidRPr="002C21B8">
        <w:t xml:space="preserve">The questionnaire </w:t>
      </w:r>
      <w:r w:rsidR="004C4205" w:rsidRPr="002C21B8">
        <w:t>was developed in the Qualtrics online platform</w:t>
      </w:r>
      <w:r w:rsidRPr="002C21B8">
        <w:t xml:space="preserve"> </w:t>
      </w:r>
      <w:r w:rsidR="008B5E10" w:rsidRPr="002C21B8">
        <w:t xml:space="preserve">(Qualtrics XM, Provo, Utah, USA) </w:t>
      </w:r>
      <w:r w:rsidRPr="002C21B8">
        <w:t>using the University of Sheffield template</w:t>
      </w:r>
      <w:r w:rsidR="001232E8" w:rsidRPr="002C21B8">
        <w:t>,</w:t>
      </w:r>
      <w:r w:rsidRPr="002C21B8">
        <w:t xml:space="preserve"> which includes the colour scheme and logo for the University. This was undertaken to improve the</w:t>
      </w:r>
      <w:r w:rsidR="006D2394" w:rsidRPr="002C21B8">
        <w:t xml:space="preserve"> perceived trustworthiness</w:t>
      </w:r>
      <w:r w:rsidRPr="002C21B8">
        <w:t xml:space="preserve"> and legitimacy of the questionnaire.</w:t>
      </w:r>
      <w:r w:rsidR="0099322A" w:rsidRPr="002C21B8">
        <w:t xml:space="preserve"> </w:t>
      </w:r>
      <w:r w:rsidR="00A46BE0" w:rsidRPr="002C21B8">
        <w:t xml:space="preserve">The use of Qualtrics also </w:t>
      </w:r>
      <w:r w:rsidR="00EC0880" w:rsidRPr="002C21B8">
        <w:t xml:space="preserve">provided </w:t>
      </w:r>
      <w:r w:rsidR="00A46BE0" w:rsidRPr="002C21B8">
        <w:t xml:space="preserve">a clear layout and standardised format to improve </w:t>
      </w:r>
      <w:r w:rsidR="00EC0880" w:rsidRPr="002C21B8">
        <w:t xml:space="preserve">the </w:t>
      </w:r>
      <w:r w:rsidR="00A46BE0" w:rsidRPr="002C21B8">
        <w:t>usability of the questionnaire.</w:t>
      </w:r>
      <w:r w:rsidR="0099322A" w:rsidRPr="002C21B8">
        <w:rPr>
          <w:color w:val="000000" w:themeColor="text1"/>
        </w:rPr>
        <w:t xml:space="preserve"> </w:t>
      </w:r>
      <w:r w:rsidR="00D562BC" w:rsidRPr="002C21B8">
        <w:rPr>
          <w:color w:val="000000" w:themeColor="text1"/>
        </w:rPr>
        <w:t xml:space="preserve">Conditional logic was incorporated to ensure respondents </w:t>
      </w:r>
      <w:r w:rsidR="00D6090E" w:rsidRPr="002C21B8">
        <w:rPr>
          <w:color w:val="000000" w:themeColor="text1"/>
        </w:rPr>
        <w:t>were only presented</w:t>
      </w:r>
      <w:r w:rsidR="00407B12" w:rsidRPr="002C21B8">
        <w:rPr>
          <w:color w:val="000000" w:themeColor="text1"/>
        </w:rPr>
        <w:t xml:space="preserve"> with</w:t>
      </w:r>
      <w:r w:rsidR="00D6090E" w:rsidRPr="002C21B8">
        <w:rPr>
          <w:color w:val="000000" w:themeColor="text1"/>
        </w:rPr>
        <w:t xml:space="preserve"> questions that were relevant </w:t>
      </w:r>
      <w:r w:rsidR="00407B12" w:rsidRPr="002C21B8">
        <w:rPr>
          <w:color w:val="000000" w:themeColor="text1"/>
        </w:rPr>
        <w:t>based on their</w:t>
      </w:r>
      <w:r w:rsidR="00D562BC" w:rsidRPr="002C21B8">
        <w:rPr>
          <w:color w:val="000000" w:themeColor="text1"/>
        </w:rPr>
        <w:t xml:space="preserve"> prior response</w:t>
      </w:r>
      <w:r w:rsidR="00D6090E" w:rsidRPr="002C21B8">
        <w:rPr>
          <w:color w:val="000000" w:themeColor="text1"/>
        </w:rPr>
        <w:t>s</w:t>
      </w:r>
      <w:r w:rsidR="00D562BC" w:rsidRPr="002C21B8">
        <w:rPr>
          <w:color w:val="000000" w:themeColor="text1"/>
        </w:rPr>
        <w:t xml:space="preserve"> </w:t>
      </w:r>
      <w:r w:rsidR="00846981" w:rsidRPr="002C21B8">
        <w:rPr>
          <w:color w:val="000000" w:themeColor="text1"/>
        </w:rPr>
        <w:t xml:space="preserve">to further reduce respondent burden. For example, </w:t>
      </w:r>
      <w:r w:rsidR="00407B12" w:rsidRPr="002C21B8">
        <w:rPr>
          <w:color w:val="000000" w:themeColor="text1"/>
        </w:rPr>
        <w:t xml:space="preserve">a </w:t>
      </w:r>
      <w:r w:rsidR="00D562BC" w:rsidRPr="002C21B8">
        <w:rPr>
          <w:color w:val="000000" w:themeColor="text1"/>
        </w:rPr>
        <w:t xml:space="preserve">follow-up question on </w:t>
      </w:r>
      <w:r w:rsidR="00846981" w:rsidRPr="002C21B8">
        <w:rPr>
          <w:color w:val="000000" w:themeColor="text1"/>
        </w:rPr>
        <w:t xml:space="preserve">when </w:t>
      </w:r>
      <w:r w:rsidR="00407B12" w:rsidRPr="002C21B8">
        <w:rPr>
          <w:color w:val="000000" w:themeColor="text1"/>
        </w:rPr>
        <w:t>the tolvaptan clinic was introduced</w:t>
      </w:r>
      <w:r w:rsidR="00D562BC" w:rsidRPr="002C21B8">
        <w:rPr>
          <w:color w:val="000000" w:themeColor="text1"/>
        </w:rPr>
        <w:t xml:space="preserve"> w</w:t>
      </w:r>
      <w:r w:rsidR="00846981" w:rsidRPr="002C21B8">
        <w:rPr>
          <w:color w:val="000000" w:themeColor="text1"/>
        </w:rPr>
        <w:t>as</w:t>
      </w:r>
      <w:r w:rsidR="00D562BC" w:rsidRPr="002C21B8">
        <w:rPr>
          <w:color w:val="000000" w:themeColor="text1"/>
        </w:rPr>
        <w:t xml:space="preserve"> only presented </w:t>
      </w:r>
      <w:r w:rsidR="00846981" w:rsidRPr="002C21B8">
        <w:rPr>
          <w:color w:val="000000" w:themeColor="text1"/>
        </w:rPr>
        <w:t xml:space="preserve">if a dedicated </w:t>
      </w:r>
      <w:r w:rsidR="002D6BB0" w:rsidRPr="002C21B8">
        <w:rPr>
          <w:color w:val="000000" w:themeColor="text1"/>
        </w:rPr>
        <w:t>tolvaptan clinic</w:t>
      </w:r>
      <w:r w:rsidR="00846981" w:rsidRPr="002C21B8">
        <w:rPr>
          <w:color w:val="000000" w:themeColor="text1"/>
        </w:rPr>
        <w:t xml:space="preserve"> had been </w:t>
      </w:r>
      <w:r w:rsidR="002D6BB0" w:rsidRPr="002C21B8">
        <w:rPr>
          <w:color w:val="000000" w:themeColor="text1"/>
        </w:rPr>
        <w:t>identified at the centre</w:t>
      </w:r>
      <w:r w:rsidR="00846981" w:rsidRPr="002C21B8">
        <w:rPr>
          <w:color w:val="000000" w:themeColor="text1"/>
        </w:rPr>
        <w:t xml:space="preserve"> in an earlier question.</w:t>
      </w:r>
    </w:p>
    <w:p w14:paraId="4C4FA1B4" w14:textId="7D303A8A" w:rsidR="002D770A" w:rsidRPr="002C21B8" w:rsidRDefault="00D562BC" w:rsidP="00426AE1">
      <w:pPr>
        <w:rPr>
          <w:color w:val="000000" w:themeColor="text1"/>
        </w:rPr>
      </w:pPr>
      <w:r w:rsidRPr="002C21B8">
        <w:rPr>
          <w:color w:val="000000" w:themeColor="text1"/>
        </w:rPr>
        <w:t>The draft questionnaire was reviewed by the wider research team</w:t>
      </w:r>
      <w:r w:rsidR="004C4205" w:rsidRPr="002C21B8">
        <w:rPr>
          <w:color w:val="000000" w:themeColor="text1"/>
        </w:rPr>
        <w:t xml:space="preserve">. </w:t>
      </w:r>
      <w:r w:rsidR="00D6090E" w:rsidRPr="002C21B8">
        <w:rPr>
          <w:color w:val="000000" w:themeColor="text1"/>
        </w:rPr>
        <w:t>Through their feedback</w:t>
      </w:r>
      <w:r w:rsidR="001232E8" w:rsidRPr="002C21B8">
        <w:rPr>
          <w:color w:val="000000" w:themeColor="text1"/>
        </w:rPr>
        <w:t>,</w:t>
      </w:r>
      <w:r w:rsidR="00D6090E" w:rsidRPr="002C21B8">
        <w:rPr>
          <w:color w:val="000000" w:themeColor="text1"/>
        </w:rPr>
        <w:t xml:space="preserve"> it was </w:t>
      </w:r>
      <w:r w:rsidRPr="002C21B8">
        <w:rPr>
          <w:color w:val="000000" w:themeColor="text1"/>
        </w:rPr>
        <w:t>iteratively refined to improve clarity, re</w:t>
      </w:r>
      <w:r w:rsidR="00014F88" w:rsidRPr="002C21B8">
        <w:rPr>
          <w:color w:val="000000" w:themeColor="text1"/>
        </w:rPr>
        <w:t>move</w:t>
      </w:r>
      <w:r w:rsidRPr="002C21B8">
        <w:rPr>
          <w:color w:val="000000" w:themeColor="text1"/>
        </w:rPr>
        <w:t xml:space="preserve"> redundan</w:t>
      </w:r>
      <w:r w:rsidR="00014F88" w:rsidRPr="002C21B8">
        <w:rPr>
          <w:color w:val="000000" w:themeColor="text1"/>
        </w:rPr>
        <w:t xml:space="preserve">t questions </w:t>
      </w:r>
      <w:r w:rsidRPr="002C21B8">
        <w:rPr>
          <w:color w:val="000000" w:themeColor="text1"/>
        </w:rPr>
        <w:t>and ensure th</w:t>
      </w:r>
      <w:r w:rsidR="00014F88" w:rsidRPr="002C21B8">
        <w:rPr>
          <w:color w:val="000000" w:themeColor="text1"/>
        </w:rPr>
        <w:t>at</w:t>
      </w:r>
      <w:r w:rsidRPr="002C21B8">
        <w:rPr>
          <w:color w:val="000000" w:themeColor="text1"/>
        </w:rPr>
        <w:t xml:space="preserve"> questions </w:t>
      </w:r>
      <w:r w:rsidR="00014F88" w:rsidRPr="002C21B8">
        <w:rPr>
          <w:color w:val="000000" w:themeColor="text1"/>
        </w:rPr>
        <w:t xml:space="preserve">were </w:t>
      </w:r>
      <w:r w:rsidRPr="002C21B8">
        <w:rPr>
          <w:color w:val="000000" w:themeColor="text1"/>
        </w:rPr>
        <w:t xml:space="preserve">aligned with </w:t>
      </w:r>
      <w:r w:rsidR="00A95B29" w:rsidRPr="002C21B8">
        <w:rPr>
          <w:color w:val="000000" w:themeColor="text1"/>
        </w:rPr>
        <w:t xml:space="preserve">the </w:t>
      </w:r>
      <w:r w:rsidR="005065F8" w:rsidRPr="002C21B8">
        <w:rPr>
          <w:color w:val="000000" w:themeColor="text1"/>
        </w:rPr>
        <w:t xml:space="preserve">objectives of the </w:t>
      </w:r>
      <w:r w:rsidR="00A15369" w:rsidRPr="002C21B8">
        <w:t xml:space="preserve">programme of </w:t>
      </w:r>
      <w:r w:rsidR="005065F8" w:rsidRPr="002C21B8">
        <w:t>research</w:t>
      </w:r>
      <w:r w:rsidRPr="002C21B8">
        <w:rPr>
          <w:color w:val="000000" w:themeColor="text1"/>
        </w:rPr>
        <w:t>.</w:t>
      </w:r>
      <w:r w:rsidR="00B346CF" w:rsidRPr="002C21B8">
        <w:rPr>
          <w:color w:val="000000" w:themeColor="text1"/>
        </w:rPr>
        <w:t xml:space="preserve"> </w:t>
      </w:r>
      <w:r w:rsidR="002D770A" w:rsidRPr="002C21B8">
        <w:rPr>
          <w:color w:val="000000" w:themeColor="text1"/>
        </w:rPr>
        <w:t xml:space="preserve">The </w:t>
      </w:r>
      <w:r w:rsidR="00B346CF" w:rsidRPr="002C21B8">
        <w:rPr>
          <w:color w:val="000000" w:themeColor="text1"/>
        </w:rPr>
        <w:t xml:space="preserve">final </w:t>
      </w:r>
      <w:r w:rsidR="002D770A" w:rsidRPr="002C21B8">
        <w:rPr>
          <w:color w:val="000000" w:themeColor="text1"/>
        </w:rPr>
        <w:t xml:space="preserve">questionnaire is included in </w:t>
      </w:r>
      <w:hyperlink w:anchor="_Appendix_10._Publication" w:history="1">
        <w:r w:rsidR="00C83686" w:rsidRPr="002C21B8">
          <w:rPr>
            <w:rStyle w:val="Hyperlink"/>
          </w:rPr>
          <w:t>Appendix 10</w:t>
        </w:r>
      </w:hyperlink>
      <w:r w:rsidR="002D770A" w:rsidRPr="002C21B8">
        <w:rPr>
          <w:color w:val="000000" w:themeColor="text1"/>
        </w:rPr>
        <w:t>.</w:t>
      </w:r>
    </w:p>
    <w:p w14:paraId="28EDEF7F" w14:textId="15AFF180" w:rsidR="00426AE1" w:rsidRPr="002C21B8" w:rsidRDefault="00426AE1" w:rsidP="004507C8">
      <w:pPr>
        <w:pStyle w:val="Heading3"/>
        <w:numPr>
          <w:ilvl w:val="0"/>
          <w:numId w:val="0"/>
        </w:numPr>
      </w:pPr>
      <w:r w:rsidRPr="002C21B8">
        <w:t>Piloting</w:t>
      </w:r>
      <w:r w:rsidR="006E65B0" w:rsidRPr="002C21B8">
        <w:t xml:space="preserve"> of</w:t>
      </w:r>
      <w:r w:rsidRPr="002C21B8">
        <w:t xml:space="preserve"> the questionnaire</w:t>
      </w:r>
    </w:p>
    <w:p w14:paraId="446C288F" w14:textId="2345659A" w:rsidR="00623CEF" w:rsidRPr="002C21B8" w:rsidRDefault="00D562BC" w:rsidP="00BB7557">
      <w:r w:rsidRPr="002C21B8">
        <w:t xml:space="preserve">The initial version of the questionnaire was piloted with </w:t>
      </w:r>
      <w:r w:rsidR="00D6090E" w:rsidRPr="002C21B8">
        <w:t xml:space="preserve">two </w:t>
      </w:r>
      <w:r w:rsidR="003D2A97" w:rsidRPr="002C21B8">
        <w:t>clinicians</w:t>
      </w:r>
      <w:r w:rsidR="00D6090E" w:rsidRPr="002C21B8">
        <w:t xml:space="preserve"> from Sheffield Teaching Hospitals Trust with expertise in ADPKD </w:t>
      </w:r>
      <w:r w:rsidR="001232E8" w:rsidRPr="002C21B8">
        <w:t>who</w:t>
      </w:r>
      <w:r w:rsidR="00D6090E" w:rsidRPr="002C21B8">
        <w:t xml:space="preserve"> were identified through convenience sampling.</w:t>
      </w:r>
      <w:r w:rsidR="005F5562" w:rsidRPr="002C21B8">
        <w:t xml:space="preserve"> Participants were asked to complete the survey a</w:t>
      </w:r>
      <w:r w:rsidR="00BB7C45" w:rsidRPr="002C21B8">
        <w:t>cting as</w:t>
      </w:r>
      <w:r w:rsidR="005F5562" w:rsidRPr="002C21B8">
        <w:t xml:space="preserve"> the lead consultant for </w:t>
      </w:r>
      <w:r w:rsidR="00BB7C45" w:rsidRPr="002C21B8">
        <w:t>a</w:t>
      </w:r>
      <w:r w:rsidR="005F5562" w:rsidRPr="002C21B8">
        <w:t xml:space="preserve"> kidney centre. Feedback was requested on clarity, relevance, structure, sequencing and response options. </w:t>
      </w:r>
      <w:r w:rsidR="00CF4E7E" w:rsidRPr="002C21B8">
        <w:t>Based on this piloting some errors in the survey logic were detected</w:t>
      </w:r>
      <w:r w:rsidR="008504C2" w:rsidRPr="002C21B8">
        <w:t>,</w:t>
      </w:r>
      <w:r w:rsidR="00CF4E7E" w:rsidRPr="002C21B8">
        <w:t xml:space="preserve"> and </w:t>
      </w:r>
      <w:r w:rsidR="009E6476" w:rsidRPr="002C21B8">
        <w:t xml:space="preserve">the survey length was reduced to reduce </w:t>
      </w:r>
      <w:r w:rsidR="00E17A4C" w:rsidRPr="002C21B8">
        <w:t>respondent burden.</w:t>
      </w:r>
    </w:p>
    <w:p w14:paraId="4B09B606" w14:textId="19182E8D" w:rsidR="00426AE1" w:rsidRPr="002C21B8" w:rsidRDefault="00426AE1" w:rsidP="00BB7557">
      <w:r w:rsidRPr="002C21B8">
        <w:t xml:space="preserve">Three participants in the Patient and Public Involvement group were given a copy of the electronic questionnaire. </w:t>
      </w:r>
      <w:r w:rsidR="005F5562" w:rsidRPr="002C21B8">
        <w:t xml:space="preserve">They were asked to </w:t>
      </w:r>
      <w:r w:rsidR="00BB7557" w:rsidRPr="002C21B8">
        <w:t xml:space="preserve">give feedback on </w:t>
      </w:r>
      <w:r w:rsidR="00CB5DBD" w:rsidRPr="002C21B8">
        <w:t>the r</w:t>
      </w:r>
      <w:r w:rsidR="00BB7557" w:rsidRPr="002C21B8">
        <w:t>elevance</w:t>
      </w:r>
      <w:r w:rsidR="009F3CC4" w:rsidRPr="002C21B8">
        <w:t xml:space="preserve"> of the questions</w:t>
      </w:r>
      <w:r w:rsidR="00BB7557" w:rsidRPr="002C21B8">
        <w:t xml:space="preserve"> from the patient perspective and the clarity of the questionnaire.</w:t>
      </w:r>
      <w:r w:rsidR="00623CEF" w:rsidRPr="002C21B8">
        <w:t xml:space="preserve"> Based on this feedbac</w:t>
      </w:r>
      <w:r w:rsidR="00EF6A40" w:rsidRPr="002C21B8">
        <w:t>k</w:t>
      </w:r>
      <w:r w:rsidR="00623CEF" w:rsidRPr="002C21B8">
        <w:t xml:space="preserve"> the response categories for some questions were adjusted to ensure meaningful differentiation between the options. Additionally, “not sure” responses were removed to encourage definitive responses</w:t>
      </w:r>
      <w:r w:rsidR="00CB5DBD" w:rsidRPr="002C21B8">
        <w:t>,</w:t>
      </w:r>
      <w:r w:rsidR="00623CEF" w:rsidRPr="002C21B8">
        <w:t xml:space="preserve"> and improve the interpretability of the data.</w:t>
      </w:r>
    </w:p>
    <w:p w14:paraId="03EA8ED3" w14:textId="24CCF7DE" w:rsidR="006E65B0" w:rsidRPr="002C21B8" w:rsidRDefault="006E65B0" w:rsidP="004507C8">
      <w:pPr>
        <w:pStyle w:val="Heading3"/>
        <w:numPr>
          <w:ilvl w:val="0"/>
          <w:numId w:val="0"/>
        </w:numPr>
      </w:pPr>
      <w:r w:rsidRPr="002C21B8">
        <w:t>Sampling</w:t>
      </w:r>
    </w:p>
    <w:p w14:paraId="27E27522" w14:textId="38578250" w:rsidR="00B346CF" w:rsidRPr="002C21B8" w:rsidRDefault="008E29B3" w:rsidP="004651C3">
      <w:r w:rsidRPr="002C21B8">
        <w:t xml:space="preserve">The survey </w:t>
      </w:r>
      <w:r w:rsidR="00BB7C45" w:rsidRPr="002C21B8">
        <w:t>was given to</w:t>
      </w:r>
      <w:r w:rsidRPr="002C21B8">
        <w:t xml:space="preserve"> clinical leads responsible for ADPKD services a</w:t>
      </w:r>
      <w:r w:rsidR="00BB7C45" w:rsidRPr="002C21B8">
        <w:t>t</w:t>
      </w:r>
      <w:r w:rsidRPr="002C21B8">
        <w:t xml:space="preserve"> UK kidney centres. A sampling frame was constructed using RaDaR registry data to identify all UK kidney centres with active ADPKD cohorts. Within each centre, the consultant with the highest recorded number of ADPKD patients was identified and </w:t>
      </w:r>
      <w:r w:rsidR="00427CF0" w:rsidRPr="002C21B8">
        <w:t xml:space="preserve">used </w:t>
      </w:r>
      <w:r w:rsidR="00432963" w:rsidRPr="002C21B8">
        <w:t>as a proxy for the clinical lead. They were the</w:t>
      </w:r>
      <w:r w:rsidR="00427CF0" w:rsidRPr="002C21B8">
        <w:t xml:space="preserve"> primary contact</w:t>
      </w:r>
      <w:r w:rsidR="00432963" w:rsidRPr="002C21B8">
        <w:t xml:space="preserve"> for the survey at that centre</w:t>
      </w:r>
      <w:r w:rsidR="008504C2" w:rsidRPr="002C21B8">
        <w:t>,</w:t>
      </w:r>
      <w:r w:rsidR="00432963" w:rsidRPr="002C21B8">
        <w:t xml:space="preserve"> but they were asked in the invitation email to forward the email on to a colleague if they thought they </w:t>
      </w:r>
      <w:r w:rsidR="00BB7C45" w:rsidRPr="002C21B8">
        <w:t>may be</w:t>
      </w:r>
      <w:r w:rsidR="00432963" w:rsidRPr="002C21B8">
        <w:t xml:space="preserve"> better placed to complete the survey.</w:t>
      </w:r>
    </w:p>
    <w:p w14:paraId="5AC1DA99" w14:textId="0FD98C27" w:rsidR="00945BDC" w:rsidRPr="002C21B8" w:rsidRDefault="00945BDC" w:rsidP="004507C8">
      <w:pPr>
        <w:pStyle w:val="Heading3"/>
        <w:numPr>
          <w:ilvl w:val="0"/>
          <w:numId w:val="0"/>
        </w:numPr>
      </w:pPr>
      <w:r w:rsidRPr="002C21B8">
        <w:t>Data collection</w:t>
      </w:r>
    </w:p>
    <w:p w14:paraId="3C39C5BC" w14:textId="5769716E" w:rsidR="00044BD7" w:rsidRPr="002C21B8" w:rsidRDefault="00A46BE0" w:rsidP="00C17E5C">
      <w:r w:rsidRPr="002C21B8">
        <w:t xml:space="preserve">The distribution of </w:t>
      </w:r>
      <w:r w:rsidR="00432963" w:rsidRPr="002C21B8">
        <w:t>surveys</w:t>
      </w:r>
      <w:r w:rsidRPr="002C21B8">
        <w:t xml:space="preserve"> can be face-to-face, postal or electronic; these can be either filled in by the researcher </w:t>
      </w:r>
      <w:r w:rsidR="005C6B6F" w:rsidRPr="002C21B8">
        <w:t>(</w:t>
      </w:r>
      <w:r w:rsidRPr="002C21B8">
        <w:t xml:space="preserve">face-to-face) or </w:t>
      </w:r>
      <w:r w:rsidR="0065441B" w:rsidRPr="002C21B8">
        <w:t>completed</w:t>
      </w:r>
      <w:r w:rsidRPr="002C21B8">
        <w:t xml:space="preserve"> by the respondent. An electronic </w:t>
      </w:r>
      <w:r w:rsidR="0065441B" w:rsidRPr="002C21B8">
        <w:t xml:space="preserve">survey that participants could complete independently was </w:t>
      </w:r>
      <w:r w:rsidRPr="002C21B8">
        <w:t>chosen</w:t>
      </w:r>
      <w:r w:rsidR="0065441B" w:rsidRPr="002C21B8">
        <w:t xml:space="preserve">. </w:t>
      </w:r>
      <w:r w:rsidRPr="002C21B8">
        <w:t>Although online surveys may yield lower response rates than paper versions, they are more cost-effective</w:t>
      </w:r>
      <w:r w:rsidR="006926DD" w:rsidRPr="002C21B8">
        <w:t>, faster, easier to analyse</w:t>
      </w:r>
      <w:r w:rsidRPr="002C21B8">
        <w:t xml:space="preserve"> and</w:t>
      </w:r>
      <w:r w:rsidR="00AD2EEA" w:rsidRPr="002C21B8">
        <w:t xml:space="preserve"> have</w:t>
      </w:r>
      <w:r w:rsidR="007142CB" w:rsidRPr="002C21B8">
        <w:t xml:space="preserve"> better</w:t>
      </w:r>
      <w:r w:rsidR="008C019C" w:rsidRPr="002C21B8">
        <w:t xml:space="preserve"> </w:t>
      </w:r>
      <w:r w:rsidRPr="002C21B8">
        <w:t>complet</w:t>
      </w:r>
      <w:r w:rsidR="008C019C" w:rsidRPr="002C21B8">
        <w:t>ion</w:t>
      </w:r>
      <w:r w:rsidR="00BD5D5C" w:rsidRPr="002C21B8">
        <w:t xml:space="preserve"> rates</w:t>
      </w:r>
      <w:r w:rsidR="008C019C" w:rsidRPr="002C21B8">
        <w:t xml:space="preserve"> </w:t>
      </w:r>
      <w:r w:rsidRPr="002C21B8">
        <w:fldChar w:fldCharType="begin"/>
      </w:r>
      <w:r w:rsidR="00CE4967" w:rsidRPr="002C21B8">
        <w:instrText xml:space="preserve"> ADDIN EN.CITE &lt;EndNote&gt;&lt;Cite&gt;&lt;Author&gt;Ebert&lt;/Author&gt;&lt;Year&gt;2018&lt;/Year&gt;&lt;RecNum&gt;57&lt;/RecNum&gt;&lt;DisplayText&gt;(Ebert&lt;style face="italic"&gt; et al.&lt;/style&gt;, 2018)&lt;/DisplayText&gt;&lt;record&gt;&lt;rec-number&gt;57&lt;/rec-number&gt;&lt;foreign-keys&gt;&lt;key app="EN" db-id="xpefzwa5hf9dt2ea9fax95x7xvxz90v09dtf" timestamp="1693493216"&gt;57&lt;/key&gt;&lt;/foreign-keys&gt;&lt;ref-type name="Journal Article"&gt;17&lt;/ref-type&gt;&lt;contributors&gt;&lt;authors&gt;&lt;author&gt;Ebert, Jonas Fynboe&lt;/author&gt;&lt;author&gt;Huibers, Linda&lt;/author&gt;&lt;author&gt;Christensen, Bo&lt;/author&gt;&lt;author&gt;Christensen, Morten Bondo&lt;/author&gt;&lt;/authors&gt;&lt;/contributors&gt;&lt;titles&gt;&lt;title&gt;or web-based questionnaire invitations as a method for data collection: cross-sectional comparative study of differences in response rate, completeness of data, and financial cost&lt;/title&gt;&lt;secondary-title&gt;Journal of Medical Internet Research&lt;/secondary-title&gt;&lt;/titles&gt;&lt;periodical&gt;&lt;full-title&gt;Journal of medical Internet research&lt;/full-title&gt;&lt;/periodical&gt;&lt;pages&gt;e24&lt;/pages&gt;&lt;volume&gt;20&lt;/volume&gt;&lt;number&gt;1&lt;/number&gt;&lt;dates&gt;&lt;year&gt;2018&lt;/year&gt;&lt;/dates&gt;&lt;isbn&gt;1438-8871&lt;/isbn&gt;&lt;urls&gt;&lt;/urls&gt;&lt;/record&gt;&lt;/Cite&gt;&lt;/EndNote&gt;</w:instrText>
      </w:r>
      <w:r w:rsidRPr="002C21B8">
        <w:fldChar w:fldCharType="separate"/>
      </w:r>
      <w:r w:rsidRPr="002C21B8">
        <w:rPr>
          <w:noProof/>
        </w:rPr>
        <w:t>(Ebert</w:t>
      </w:r>
      <w:r w:rsidRPr="002C21B8">
        <w:rPr>
          <w:i/>
          <w:noProof/>
        </w:rPr>
        <w:t xml:space="preserve"> et al.</w:t>
      </w:r>
      <w:r w:rsidRPr="002C21B8">
        <w:rPr>
          <w:noProof/>
        </w:rPr>
        <w:t>, 2018)</w:t>
      </w:r>
      <w:r w:rsidRPr="002C21B8">
        <w:fldChar w:fldCharType="end"/>
      </w:r>
      <w:r w:rsidRPr="002C21B8">
        <w:t>.</w:t>
      </w:r>
      <w:r w:rsidR="00C17E5C" w:rsidRPr="002C21B8">
        <w:t xml:space="preserve"> </w:t>
      </w:r>
      <w:r w:rsidRPr="002C21B8">
        <w:t xml:space="preserve">Clinical leads were invited to respond to the </w:t>
      </w:r>
      <w:r w:rsidR="00432963" w:rsidRPr="002C21B8">
        <w:t>survey</w:t>
      </w:r>
      <w:r w:rsidRPr="002C21B8">
        <w:t xml:space="preserve"> via email </w:t>
      </w:r>
      <w:r w:rsidR="00ED4E7C" w:rsidRPr="002C21B8">
        <w:t>using</w:t>
      </w:r>
      <w:r w:rsidRPr="002C21B8">
        <w:t xml:space="preserve"> p</w:t>
      </w:r>
      <w:r w:rsidR="00044BD7" w:rsidRPr="002C21B8">
        <w:t>ersonalised invitations</w:t>
      </w:r>
      <w:r w:rsidR="00AD2EEA" w:rsidRPr="002C21B8">
        <w:t>,</w:t>
      </w:r>
      <w:r w:rsidR="00044BD7" w:rsidRPr="002C21B8">
        <w:t xml:space="preserve"> </w:t>
      </w:r>
      <w:r w:rsidRPr="002C21B8">
        <w:t xml:space="preserve">which have been found to </w:t>
      </w:r>
      <w:r w:rsidR="00044BD7" w:rsidRPr="002C21B8">
        <w:t>increase response rate</w:t>
      </w:r>
      <w:r w:rsidRPr="002C21B8">
        <w:t>s</w:t>
      </w:r>
      <w:r w:rsidR="00ED4E7C" w:rsidRPr="002C21B8">
        <w:t xml:space="preserve"> </w:t>
      </w:r>
      <w:r w:rsidR="00ED4E7C" w:rsidRPr="002C21B8">
        <w:fldChar w:fldCharType="begin"/>
      </w:r>
      <w:r w:rsidR="00ED4E7C" w:rsidRPr="002C21B8">
        <w:instrText xml:space="preserve"> ADDIN EN.CITE &lt;EndNote&gt;&lt;Cite&gt;&lt;Author&gt;Dillman&lt;/Author&gt;&lt;Year&gt;2014&lt;/Year&gt;&lt;RecNum&gt;125402&lt;/RecNum&gt;&lt;DisplayText&gt;(Dillman, Smyth and Christian, 2014)&lt;/DisplayText&gt;&lt;record&gt;&lt;rec-number&gt;125402&lt;/rec-number&gt;&lt;foreign-keys&gt;&lt;key app="EN" db-id="xpefzwa5hf9dt2ea9fax95x7xvxz90v09dtf" timestamp="1775652161"&gt;125402&lt;/key&gt;&lt;/foreign-keys&gt;&lt;ref-type name="Book"&gt;6&lt;/ref-type&gt;&lt;contributors&gt;&lt;authors&gt;&lt;author&gt;Dillman, Don A&lt;/author&gt;&lt;author&gt;Smyth, Jolene D&lt;/author&gt;&lt;author&gt;Christian, Leah Melani&lt;/author&gt;&lt;/authors&gt;&lt;/contributors&gt;&lt;titles&gt;&lt;title&gt;Internet, phone, mail, and mixed-mode surveys: The tailored design method&lt;/title&gt;&lt;/titles&gt;&lt;section&gt;1-528&lt;/section&gt;&lt;dates&gt;&lt;year&gt;2014&lt;/year&gt;&lt;/dates&gt;&lt;pub-location&gt;Indianapolis, Indiana, USA&lt;/pub-location&gt;&lt;publisher&gt;John Wiley &amp;amp; Sons&lt;/publisher&gt;&lt;urls&gt;&lt;/urls&gt;&lt;/record&gt;&lt;/Cite&gt;&lt;/EndNote&gt;</w:instrText>
      </w:r>
      <w:r w:rsidR="00ED4E7C" w:rsidRPr="002C21B8">
        <w:fldChar w:fldCharType="separate"/>
      </w:r>
      <w:r w:rsidR="00ED4E7C" w:rsidRPr="002C21B8">
        <w:rPr>
          <w:noProof/>
        </w:rPr>
        <w:t>(Dillman, Smyth and Christian, 2014)</w:t>
      </w:r>
      <w:r w:rsidR="00ED4E7C" w:rsidRPr="002C21B8">
        <w:fldChar w:fldCharType="end"/>
      </w:r>
      <w:r w:rsidR="00ED4E7C" w:rsidRPr="002C21B8">
        <w:t>.</w:t>
      </w:r>
      <w:r w:rsidR="00DB6558" w:rsidRPr="002C21B8">
        <w:t xml:space="preserve"> Using the Qualtrics platform allowed respondents to </w:t>
      </w:r>
      <w:r w:rsidR="00692425" w:rsidRPr="002C21B8">
        <w:t xml:space="preserve">access the </w:t>
      </w:r>
      <w:r w:rsidR="00432963" w:rsidRPr="002C21B8">
        <w:t xml:space="preserve">survey </w:t>
      </w:r>
      <w:r w:rsidR="00692425" w:rsidRPr="002C21B8">
        <w:t>through the web-based platform</w:t>
      </w:r>
      <w:r w:rsidR="00AD2EEA" w:rsidRPr="002C21B8">
        <w:t>,</w:t>
      </w:r>
      <w:r w:rsidR="00692425" w:rsidRPr="002C21B8">
        <w:t xml:space="preserve"> or via their mobile phone</w:t>
      </w:r>
      <w:r w:rsidR="00C17E5C" w:rsidRPr="002C21B8">
        <w:t>,</w:t>
      </w:r>
      <w:r w:rsidR="00692425" w:rsidRPr="002C21B8">
        <w:t xml:space="preserve"> which has been found</w:t>
      </w:r>
      <w:r w:rsidR="007142CB" w:rsidRPr="002C21B8">
        <w:t xml:space="preserve"> to</w:t>
      </w:r>
      <w:r w:rsidR="00692425" w:rsidRPr="002C21B8">
        <w:t xml:space="preserve"> improve accessibility and response rates </w:t>
      </w:r>
      <w:r w:rsidR="00692425" w:rsidRPr="002C21B8">
        <w:fldChar w:fldCharType="begin"/>
      </w:r>
      <w:r w:rsidR="00046586" w:rsidRPr="002C21B8">
        <w:instrText xml:space="preserve"> ADDIN EN.CITE &lt;EndNote&gt;&lt;Cite&gt;&lt;Author&gt;Dillman&lt;/Author&gt;&lt;Year&gt;2014&lt;/Year&gt;&lt;RecNum&gt;125402&lt;/RecNum&gt;&lt;DisplayText&gt;(Dillman, Smyth and Christian, 2014)&lt;/DisplayText&gt;&lt;record&gt;&lt;rec-number&gt;125402&lt;/rec-number&gt;&lt;foreign-keys&gt;&lt;key app="EN" db-id="xpefzwa5hf9dt2ea9fax95x7xvxz90v09dtf" timestamp="1775652161"&gt;125402&lt;/key&gt;&lt;/foreign-keys&gt;&lt;ref-type name="Book"&gt;6&lt;/ref-type&gt;&lt;contributors&gt;&lt;authors&gt;&lt;author&gt;Dillman, Don A&lt;/author&gt;&lt;author&gt;Smyth, Jolene D&lt;/author&gt;&lt;author&gt;Christian, Leah Melani&lt;/author&gt;&lt;/authors&gt;&lt;/contributors&gt;&lt;titles&gt;&lt;title&gt;Internet, phone, mail, and mixed-mode surveys: The tailored design method&lt;/title&gt;&lt;/titles&gt;&lt;section&gt;1-528&lt;/section&gt;&lt;dates&gt;&lt;year&gt;2014&lt;/year&gt;&lt;/dates&gt;&lt;pub-location&gt;Indianapolis, Indiana, USA&lt;/pub-location&gt;&lt;publisher&gt;John Wiley &amp;amp; Sons&lt;/publisher&gt;&lt;urls&gt;&lt;/urls&gt;&lt;/record&gt;&lt;/Cite&gt;&lt;/EndNote&gt;</w:instrText>
      </w:r>
      <w:r w:rsidR="00692425" w:rsidRPr="002C21B8">
        <w:fldChar w:fldCharType="separate"/>
      </w:r>
      <w:r w:rsidR="00692425" w:rsidRPr="002C21B8">
        <w:rPr>
          <w:noProof/>
        </w:rPr>
        <w:t>(Dillman, Smyth and Christian, 2014)</w:t>
      </w:r>
      <w:r w:rsidR="00692425" w:rsidRPr="002C21B8">
        <w:fldChar w:fldCharType="end"/>
      </w:r>
      <w:r w:rsidR="00DB6558" w:rsidRPr="002C21B8">
        <w:t xml:space="preserve">. As mentioned in the ethical considerations, it was not possible to fully anonymise responses as the centre identity was required </w:t>
      </w:r>
      <w:r w:rsidR="00C17E5C" w:rsidRPr="002C21B8">
        <w:t>to link the survey data to the registry data.</w:t>
      </w:r>
      <w:r w:rsidR="00DB6558" w:rsidRPr="002C21B8">
        <w:t xml:space="preserve"> This was described in the email invitation</w:t>
      </w:r>
      <w:r w:rsidR="007142CB" w:rsidRPr="002C21B8">
        <w:t>,</w:t>
      </w:r>
      <w:r w:rsidR="00DB6558" w:rsidRPr="002C21B8">
        <w:t xml:space="preserve"> </w:t>
      </w:r>
      <w:r w:rsidR="00C17E5C" w:rsidRPr="002C21B8">
        <w:t>with</w:t>
      </w:r>
      <w:r w:rsidR="00DB6558" w:rsidRPr="002C21B8">
        <w:t xml:space="preserve"> confidentiality assured so that those responding had informed consent and the process was transparent.</w:t>
      </w:r>
    </w:p>
    <w:p w14:paraId="0EF29FB1" w14:textId="77777777" w:rsidR="00945BDC" w:rsidRPr="002C21B8" w:rsidRDefault="00945BDC" w:rsidP="004507C8">
      <w:pPr>
        <w:pStyle w:val="Heading3"/>
        <w:numPr>
          <w:ilvl w:val="0"/>
          <w:numId w:val="0"/>
        </w:numPr>
      </w:pPr>
      <w:r w:rsidRPr="002C21B8">
        <w:t>Data analysis</w:t>
      </w:r>
    </w:p>
    <w:p w14:paraId="77EFCDA0" w14:textId="09BD0BF1" w:rsidR="00BD5D5C" w:rsidRPr="002C21B8" w:rsidRDefault="00227DA8" w:rsidP="00BD5D5C">
      <w:r w:rsidRPr="002C21B8">
        <w:t>Data was</w:t>
      </w:r>
      <w:r w:rsidR="00BD5D5C" w:rsidRPr="002C21B8">
        <w:t xml:space="preserve"> checked for completeness, consistency and coding </w:t>
      </w:r>
      <w:r w:rsidR="007142CB" w:rsidRPr="002C21B8">
        <w:t>before</w:t>
      </w:r>
      <w:r w:rsidR="00BD5D5C" w:rsidRPr="002C21B8">
        <w:t xml:space="preserve"> analysis. Partially completed surveys were included in the analysis. All available responses were used at the item level to maximise the use of available data. As a result, denominators varied across questions depending on</w:t>
      </w:r>
      <w:r w:rsidR="00941C2D" w:rsidRPr="002C21B8">
        <w:t xml:space="preserve"> the</w:t>
      </w:r>
      <w:r w:rsidR="00BD5D5C" w:rsidRPr="002C21B8">
        <w:t xml:space="preserve"> completion by respondents. Missing </w:t>
      </w:r>
      <w:r w:rsidRPr="002C21B8">
        <w:t>data was</w:t>
      </w:r>
      <w:r w:rsidR="00BD5D5C" w:rsidRPr="002C21B8">
        <w:t xml:space="preserve"> not included in the analysis. Where multiple responses were received from the same centre, duplicate responses were identified</w:t>
      </w:r>
      <w:r w:rsidR="00941C2D" w:rsidRPr="002C21B8">
        <w:t>,</w:t>
      </w:r>
      <w:r w:rsidR="00BD5D5C" w:rsidRPr="002C21B8">
        <w:t xml:space="preserve"> and only the first completed response was retained for analysis.</w:t>
      </w:r>
    </w:p>
    <w:p w14:paraId="4E4C7E33" w14:textId="347FE35C" w:rsidR="006C2050" w:rsidRPr="002C21B8" w:rsidRDefault="006C2050" w:rsidP="00BD35AF">
      <w:r w:rsidRPr="002C21B8">
        <w:t xml:space="preserve">Analyses were descriptive and exploratory in nature, with formal hypothesis testing reserved for </w:t>
      </w:r>
      <w:r w:rsidR="00163FA6" w:rsidRPr="002C21B8">
        <w:t>the reanalysis of registry data</w:t>
      </w:r>
      <w:r w:rsidRPr="002C21B8">
        <w:t xml:space="preserve">. </w:t>
      </w:r>
      <w:r w:rsidR="00BD76E0" w:rsidRPr="002C21B8">
        <w:t>Free-text responses were analysed using qualitative content analysis with inductive categorisation of responses to support interpretation of the quantitative results. This was selected as the responses were all short in nature</w:t>
      </w:r>
      <w:r w:rsidR="00941C2D" w:rsidRPr="002C21B8">
        <w:t>,</w:t>
      </w:r>
      <w:r w:rsidR="00BD76E0" w:rsidRPr="002C21B8">
        <w:t xml:space="preserve"> so a structured content analysis approach was more appropriate rather than fully interpretative thematic analysis </w:t>
      </w:r>
      <w:r w:rsidR="00BD76E0" w:rsidRPr="002C21B8">
        <w:fldChar w:fldCharType="begin"/>
      </w:r>
      <w:r w:rsidR="0060457F" w:rsidRPr="002C21B8">
        <w:instrText xml:space="preserve"> ADDIN EN.CITE &lt;EndNote&gt;&lt;Cite&gt;&lt;Author&gt;Schreier&lt;/Author&gt;&lt;Year&gt;2012&lt;/Year&gt;&lt;RecNum&gt;125436&lt;/RecNum&gt;&lt;DisplayText&gt;(Schreier, 2012)&lt;/DisplayText&gt;&lt;record&gt;&lt;rec-number&gt;125436&lt;/rec-number&gt;&lt;foreign-keys&gt;&lt;key app="EN" db-id="xpefzwa5hf9dt2ea9fax95x7xvxz90v09dtf" timestamp="1775909162"&gt;125436&lt;/key&gt;&lt;/foreign-keys&gt;&lt;ref-type name="Book"&gt;6&lt;/ref-type&gt;&lt;contributors&gt;&lt;authors&gt;&lt;author&gt;Schreier, Margrit&lt;/author&gt;&lt;/authors&gt;&lt;/contributors&gt;&lt;titles&gt;&lt;title&gt;Qualitative content analysis in practice&lt;/title&gt;&lt;/titles&gt;&lt;section&gt;1-280&lt;/section&gt;&lt;dates&gt;&lt;year&gt;2012&lt;/year&gt;&lt;/dates&gt;&lt;pub-location&gt;London, UK&lt;/pub-location&gt;&lt;publisher&gt;SAGE Publications Ltd&lt;/publisher&gt;&lt;urls&gt;&lt;/urls&gt;&lt;/record&gt;&lt;/Cite&gt;&lt;/EndNote&gt;</w:instrText>
      </w:r>
      <w:r w:rsidR="00BD76E0" w:rsidRPr="002C21B8">
        <w:fldChar w:fldCharType="separate"/>
      </w:r>
      <w:r w:rsidR="00BD76E0" w:rsidRPr="002C21B8">
        <w:rPr>
          <w:noProof/>
        </w:rPr>
        <w:t>(Schreier, 2012)</w:t>
      </w:r>
      <w:r w:rsidR="00BD76E0" w:rsidRPr="002C21B8">
        <w:fldChar w:fldCharType="end"/>
      </w:r>
      <w:r w:rsidR="00BD76E0" w:rsidRPr="002C21B8">
        <w:t>.</w:t>
      </w:r>
    </w:p>
    <w:p w14:paraId="76ADBD47" w14:textId="1CD94E97" w:rsidR="00BF54FB" w:rsidRPr="002C21B8" w:rsidRDefault="006C2050" w:rsidP="00BD35AF">
      <w:r w:rsidRPr="002C21B8">
        <w:t xml:space="preserve">Responses </w:t>
      </w:r>
      <w:r w:rsidR="00BD5D5C" w:rsidRPr="002C21B8">
        <w:t xml:space="preserve">were </w:t>
      </w:r>
      <w:r w:rsidRPr="002C21B8">
        <w:t>analys</w:t>
      </w:r>
      <w:r w:rsidR="00C17E5C" w:rsidRPr="002C21B8">
        <w:t>ed</w:t>
      </w:r>
      <w:r w:rsidRPr="002C21B8">
        <w:t xml:space="preserve"> in Python (Python Software Foundation, 2023, Version 3.14.2) with categorical variables derived from the structured responses and binary recording undertaken where required to facilitate comparison across centres and integration with</w:t>
      </w:r>
      <w:r w:rsidR="00163FA6" w:rsidRPr="002C21B8">
        <w:t xml:space="preserve"> registry data</w:t>
      </w:r>
      <w:r w:rsidRPr="002C21B8">
        <w:t>.</w:t>
      </w:r>
      <w:r w:rsidR="00360C40" w:rsidRPr="002C21B8">
        <w:t xml:space="preserve"> </w:t>
      </w:r>
      <w:r w:rsidRPr="002C21B8">
        <w:t>Graphical representation</w:t>
      </w:r>
      <w:r w:rsidR="00E37E86" w:rsidRPr="002C21B8">
        <w:t>s</w:t>
      </w:r>
      <w:r w:rsidRPr="002C21B8">
        <w:t xml:space="preserve"> of the </w:t>
      </w:r>
      <w:r w:rsidR="00227DA8" w:rsidRPr="002C21B8">
        <w:t>data w</w:t>
      </w:r>
      <w:r w:rsidR="00B77BC0" w:rsidRPr="002C21B8">
        <w:t>ere</w:t>
      </w:r>
      <w:r w:rsidRPr="002C21B8">
        <w:t xml:space="preserve"> produced using </w:t>
      </w:r>
      <w:r w:rsidR="007618A3" w:rsidRPr="002C21B8">
        <w:t>Microsoft Excel for Mac (Microsoft Corporation, 2019, Version 16.78.3)</w:t>
      </w:r>
      <w:r w:rsidRPr="002C21B8">
        <w:t xml:space="preserve"> and Pytho</w:t>
      </w:r>
      <w:r w:rsidR="007618A3" w:rsidRPr="002C21B8">
        <w:t>n (Python Software Foundation, 2023, Version 3.14.2).</w:t>
      </w:r>
      <w:r w:rsidR="00BF54FB" w:rsidRPr="002C21B8">
        <w:br w:type="page"/>
      </w:r>
    </w:p>
    <w:p w14:paraId="3A41DBFD" w14:textId="3D325A70" w:rsidR="00AB7FD6" w:rsidRPr="002C21B8" w:rsidRDefault="00BF54FB" w:rsidP="00AB7FD6">
      <w:pPr>
        <w:pStyle w:val="Heading2"/>
        <w:numPr>
          <w:ilvl w:val="0"/>
          <w:numId w:val="0"/>
        </w:numPr>
      </w:pPr>
      <w:bookmarkStart w:id="477" w:name="_Appendix_10._Publication"/>
      <w:bookmarkStart w:id="478" w:name="_Toc229687262"/>
      <w:bookmarkEnd w:id="477"/>
      <w:r w:rsidRPr="002C21B8">
        <w:t xml:space="preserve">Appendix 10. Publication materials for </w:t>
      </w:r>
      <w:r w:rsidR="00A163D8" w:rsidRPr="002C21B8">
        <w:t xml:space="preserve">the national survey of clinical practice </w:t>
      </w:r>
      <w:r w:rsidRPr="002C21B8">
        <w:t>(Chapter 8)</w:t>
      </w:r>
      <w:bookmarkStart w:id="479" w:name="_Email_invitation_for"/>
      <w:bookmarkEnd w:id="478"/>
      <w:bookmarkEnd w:id="479"/>
    </w:p>
    <w:p w14:paraId="64FD74A7" w14:textId="0BA14F88" w:rsidR="00F32D2D" w:rsidRPr="002C21B8" w:rsidRDefault="00F32D2D" w:rsidP="004507C8">
      <w:pPr>
        <w:pStyle w:val="Heading3"/>
        <w:numPr>
          <w:ilvl w:val="0"/>
          <w:numId w:val="0"/>
        </w:numPr>
      </w:pPr>
      <w:r w:rsidRPr="002C21B8">
        <w:t xml:space="preserve">Email invitation for </w:t>
      </w:r>
      <w:r w:rsidR="00432963" w:rsidRPr="002C21B8">
        <w:t>the survey</w:t>
      </w:r>
    </w:p>
    <w:p w14:paraId="22FA2F5C" w14:textId="1B132B77" w:rsidR="00F32D2D" w:rsidRPr="002C21B8" w:rsidRDefault="00AB7FD6">
      <w:pPr>
        <w:spacing w:after="0" w:line="240" w:lineRule="auto"/>
        <w:jc w:val="left"/>
        <w:rPr>
          <w:b/>
          <w:bCs/>
          <w:sz w:val="28"/>
          <w:szCs w:val="28"/>
        </w:rPr>
      </w:pPr>
      <w:r w:rsidRPr="002C21B8">
        <w:rPr>
          <w:noProof/>
        </w:rPr>
        <w:drawing>
          <wp:inline distT="0" distB="0" distL="0" distR="0" wp14:anchorId="497735DE" wp14:editId="7D5A63FB">
            <wp:extent cx="4915102" cy="6972300"/>
            <wp:effectExtent l="0" t="0" r="0" b="0"/>
            <wp:docPr id="106152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528423" name=""/>
                    <pic:cNvPicPr/>
                  </pic:nvPicPr>
                  <pic:blipFill>
                    <a:blip r:embed="rId228"/>
                    <a:stretch>
                      <a:fillRect/>
                    </a:stretch>
                  </pic:blipFill>
                  <pic:spPr>
                    <a:xfrm>
                      <a:off x="0" y="0"/>
                      <a:ext cx="4921206" cy="6980959"/>
                    </a:xfrm>
                    <a:prstGeom prst="rect">
                      <a:avLst/>
                    </a:prstGeom>
                  </pic:spPr>
                </pic:pic>
              </a:graphicData>
            </a:graphic>
          </wp:inline>
        </w:drawing>
      </w:r>
      <w:r w:rsidR="00F32D2D" w:rsidRPr="002C21B8">
        <w:rPr>
          <w:b/>
          <w:bCs/>
          <w:sz w:val="28"/>
          <w:szCs w:val="28"/>
        </w:rPr>
        <w:br w:type="page"/>
      </w:r>
    </w:p>
    <w:p w14:paraId="0AD3EDE2" w14:textId="06EBE699" w:rsidR="0067163F" w:rsidRPr="002C21B8" w:rsidRDefault="0067163F" w:rsidP="004507C8">
      <w:pPr>
        <w:pStyle w:val="Heading3"/>
        <w:numPr>
          <w:ilvl w:val="0"/>
          <w:numId w:val="0"/>
        </w:numPr>
      </w:pPr>
      <w:bookmarkStart w:id="480" w:name="_Questionnaire"/>
      <w:bookmarkEnd w:id="480"/>
      <w:r w:rsidRPr="002C21B8">
        <w:t>Questionnaire</w:t>
      </w:r>
    </w:p>
    <w:p w14:paraId="6CBB6E42" w14:textId="77777777" w:rsidR="0067163F" w:rsidRPr="002C21B8" w:rsidRDefault="0067163F" w:rsidP="00DE7E92">
      <w:pPr>
        <w:jc w:val="center"/>
        <w:rPr>
          <w:rStyle w:val="Strong"/>
          <w:sz w:val="20"/>
          <w:szCs w:val="20"/>
          <w:u w:val="single"/>
        </w:rPr>
      </w:pPr>
    </w:p>
    <w:p w14:paraId="4BD00E4D" w14:textId="1F5DCE2E" w:rsidR="007D6AF3" w:rsidRPr="002C21B8" w:rsidRDefault="007D6AF3" w:rsidP="00DE7E92">
      <w:pPr>
        <w:jc w:val="center"/>
        <w:rPr>
          <w:sz w:val="20"/>
          <w:szCs w:val="20"/>
        </w:rPr>
      </w:pPr>
      <w:r w:rsidRPr="002C21B8">
        <w:rPr>
          <w:rStyle w:val="Strong"/>
          <w:sz w:val="20"/>
          <w:szCs w:val="20"/>
          <w:u w:val="single"/>
        </w:rPr>
        <w:t>Information about this survey</w:t>
      </w:r>
    </w:p>
    <w:p w14:paraId="3D9F15A9" w14:textId="77777777" w:rsidR="00B70E6A" w:rsidRPr="002C21B8" w:rsidRDefault="007D6AF3" w:rsidP="00DE7E92">
      <w:pPr>
        <w:jc w:val="left"/>
        <w:rPr>
          <w:sz w:val="20"/>
          <w:szCs w:val="20"/>
        </w:rPr>
      </w:pPr>
      <w:r w:rsidRPr="002C21B8">
        <w:rPr>
          <w:sz w:val="20"/>
          <w:szCs w:val="20"/>
        </w:rPr>
        <w:t>This survey is part of a doctoral research project at the University of Sheffield, supported by The Healthcare Improvement Studies (THIS) Institute. The study explores variation in prescribing practices of tolvaptan for people with ADPKD and aims to understand potential reasons for differences in current practice.</w:t>
      </w:r>
    </w:p>
    <w:p w14:paraId="07C16CEE" w14:textId="125BE328" w:rsidR="007D6AF3" w:rsidRPr="002C21B8" w:rsidRDefault="007D6AF3" w:rsidP="00DE7E92">
      <w:pPr>
        <w:jc w:val="left"/>
        <w:rPr>
          <w:sz w:val="20"/>
          <w:szCs w:val="20"/>
        </w:rPr>
      </w:pPr>
      <w:r w:rsidRPr="002C21B8">
        <w:rPr>
          <w:sz w:val="20"/>
          <w:szCs w:val="20"/>
        </w:rPr>
        <w:br/>
        <w:t>More details about this survey, the wider study and your involvement can be found in</w:t>
      </w:r>
      <w:r w:rsidR="00B70E6A" w:rsidRPr="002C21B8">
        <w:rPr>
          <w:sz w:val="20"/>
          <w:szCs w:val="20"/>
        </w:rPr>
        <w:t xml:space="preserve"> </w:t>
      </w:r>
      <w:r w:rsidRPr="002C21B8">
        <w:rPr>
          <w:sz w:val="20"/>
          <w:szCs w:val="20"/>
        </w:rPr>
        <w:t>the</w:t>
      </w:r>
      <w:r w:rsidR="00B70E6A" w:rsidRPr="002C21B8">
        <w:rPr>
          <w:rStyle w:val="apple-converted-space"/>
          <w:color w:val="000000" w:themeColor="text1"/>
          <w:sz w:val="20"/>
          <w:szCs w:val="20"/>
        </w:rPr>
        <w:t xml:space="preserve"> </w:t>
      </w:r>
      <w:hyperlink r:id="rId229" w:history="1">
        <w:r w:rsidRPr="002C21B8">
          <w:rPr>
            <w:rStyle w:val="Hyperlink"/>
            <w:sz w:val="20"/>
            <w:szCs w:val="20"/>
          </w:rPr>
          <w:t>Participant Information Sheet</w:t>
        </w:r>
      </w:hyperlink>
      <w:r w:rsidRPr="002C21B8">
        <w:rPr>
          <w:sz w:val="20"/>
          <w:szCs w:val="20"/>
        </w:rPr>
        <w:t>.</w:t>
      </w:r>
      <w:r w:rsidRPr="002C21B8">
        <w:rPr>
          <w:sz w:val="20"/>
          <w:szCs w:val="20"/>
        </w:rPr>
        <w:br/>
      </w:r>
      <w:r w:rsidRPr="002C21B8">
        <w:rPr>
          <w:sz w:val="20"/>
          <w:szCs w:val="20"/>
        </w:rPr>
        <w:br/>
        <w:t>We ask you to tell us what kidney centre you work in to link your responses with RaDaR data. Your centre’s identity will be kept confidential, and no individuals or centres will be named or identifiable in any reports or publications. Without this information, we cannot answer whether the factors reported influence tolvaptan initiation.</w:t>
      </w:r>
      <w:r w:rsidRPr="002C21B8">
        <w:rPr>
          <w:sz w:val="20"/>
          <w:szCs w:val="20"/>
        </w:rPr>
        <w:br/>
      </w:r>
      <w:r w:rsidRPr="002C21B8">
        <w:rPr>
          <w:sz w:val="20"/>
          <w:szCs w:val="20"/>
        </w:rPr>
        <w:br/>
        <w:t>If you are happy to proceed, please press “Next page” to begin. To ensure your response is recorded, please complete to the end. The questionnaire should take approximately 10 minutes to complete.</w:t>
      </w:r>
      <w:r w:rsidRPr="002C21B8">
        <w:rPr>
          <w:sz w:val="20"/>
          <w:szCs w:val="20"/>
        </w:rPr>
        <w:br/>
      </w:r>
      <w:r w:rsidRPr="002C21B8">
        <w:rPr>
          <w:sz w:val="20"/>
          <w:szCs w:val="20"/>
        </w:rPr>
        <w:br/>
        <w:t>By starting this survey, you give your consent to take part in the study and for the data you provide to be used for research.</w:t>
      </w:r>
    </w:p>
    <w:p w14:paraId="227C887B" w14:textId="77777777" w:rsidR="007D6AF3" w:rsidRPr="002C21B8" w:rsidRDefault="007D6AF3" w:rsidP="00DE7E92">
      <w:pPr>
        <w:jc w:val="left"/>
        <w:rPr>
          <w:sz w:val="20"/>
          <w:szCs w:val="20"/>
        </w:rPr>
      </w:pPr>
      <w:r w:rsidRPr="002C21B8">
        <w:rPr>
          <w:sz w:val="20"/>
          <w:szCs w:val="20"/>
        </w:rPr>
        <w:t>--------------------------------------------------------------------------------------------------------------------------------------</w:t>
      </w:r>
    </w:p>
    <w:p w14:paraId="1E8C9BFF" w14:textId="49A9303B" w:rsidR="007D6AF3" w:rsidRPr="002C21B8" w:rsidRDefault="007D6AF3" w:rsidP="00DE7E92">
      <w:pPr>
        <w:jc w:val="left"/>
        <w:rPr>
          <w:sz w:val="20"/>
          <w:szCs w:val="20"/>
        </w:rPr>
      </w:pPr>
      <w:r w:rsidRPr="002C21B8">
        <w:rPr>
          <w:rStyle w:val="Strong"/>
          <w:sz w:val="20"/>
          <w:szCs w:val="20"/>
        </w:rPr>
        <w:t>Section 1 - ADPKD population and tolvaptan prescribing</w:t>
      </w:r>
      <w:r w:rsidR="002B27F4" w:rsidRPr="002C21B8">
        <w:rPr>
          <w:rStyle w:val="apple-converted-space"/>
          <w:sz w:val="20"/>
          <w:szCs w:val="20"/>
        </w:rPr>
        <w:t xml:space="preserve"> </w:t>
      </w:r>
      <w:r w:rsidRPr="002C21B8">
        <w:rPr>
          <w:rStyle w:val="Strong"/>
          <w:sz w:val="20"/>
          <w:szCs w:val="20"/>
          <w:u w:val="single"/>
        </w:rPr>
        <w:t>at your centre</w:t>
      </w:r>
    </w:p>
    <w:p w14:paraId="134939CA" w14:textId="77777777" w:rsidR="007D6AF3" w:rsidRPr="002C21B8" w:rsidRDefault="007D6AF3" w:rsidP="00DE7E92">
      <w:pPr>
        <w:jc w:val="left"/>
        <w:rPr>
          <w:sz w:val="20"/>
          <w:szCs w:val="20"/>
        </w:rPr>
      </w:pPr>
      <w:r w:rsidRPr="002C21B8">
        <w:rPr>
          <w:sz w:val="20"/>
          <w:szCs w:val="20"/>
        </w:rPr>
        <w:t>Q1. Please enter the name of your kidney centre</w:t>
      </w:r>
      <w:r w:rsidRPr="002C21B8">
        <w:rPr>
          <w:sz w:val="20"/>
          <w:szCs w:val="20"/>
        </w:rPr>
        <w:br/>
        <w:t>(Used only to link with RaDaR data; you or your centre will not be named in reports or publications)</w:t>
      </w:r>
    </w:p>
    <w:tbl>
      <w:tblPr>
        <w:tblStyle w:val="TableGrid"/>
        <w:tblW w:w="0" w:type="auto"/>
        <w:tblLook w:val="04A0" w:firstRow="1" w:lastRow="0" w:firstColumn="1" w:lastColumn="0" w:noHBand="0" w:noVBand="1"/>
      </w:tblPr>
      <w:tblGrid>
        <w:gridCol w:w="9016"/>
      </w:tblGrid>
      <w:tr w:rsidR="007D6AF3" w:rsidRPr="002C21B8" w14:paraId="179986AA" w14:textId="77777777" w:rsidTr="00BD586A">
        <w:tc>
          <w:tcPr>
            <w:tcW w:w="9016" w:type="dxa"/>
          </w:tcPr>
          <w:p w14:paraId="7B3ABE0A" w14:textId="77777777" w:rsidR="007D6AF3" w:rsidRPr="002C21B8" w:rsidRDefault="007D6AF3" w:rsidP="00DE7E92">
            <w:pPr>
              <w:jc w:val="left"/>
              <w:rPr>
                <w:sz w:val="20"/>
                <w:szCs w:val="20"/>
              </w:rPr>
            </w:pPr>
          </w:p>
        </w:tc>
      </w:tr>
    </w:tbl>
    <w:p w14:paraId="5E609392" w14:textId="77777777" w:rsidR="00432963" w:rsidRPr="002C21B8" w:rsidRDefault="00432963" w:rsidP="00DE7E92">
      <w:pPr>
        <w:jc w:val="left"/>
        <w:rPr>
          <w:sz w:val="20"/>
          <w:szCs w:val="20"/>
        </w:rPr>
      </w:pPr>
    </w:p>
    <w:p w14:paraId="5D661891" w14:textId="77777777" w:rsidR="00432963" w:rsidRPr="002C21B8" w:rsidRDefault="00432963">
      <w:pPr>
        <w:spacing w:after="0" w:line="240" w:lineRule="auto"/>
        <w:jc w:val="left"/>
        <w:rPr>
          <w:sz w:val="20"/>
          <w:szCs w:val="20"/>
        </w:rPr>
      </w:pPr>
      <w:r w:rsidRPr="002C21B8">
        <w:rPr>
          <w:sz w:val="20"/>
          <w:szCs w:val="20"/>
        </w:rPr>
        <w:br w:type="page"/>
      </w:r>
    </w:p>
    <w:p w14:paraId="7ADE2CB1" w14:textId="48AE2FA1" w:rsidR="007D6AF3" w:rsidRPr="002C21B8" w:rsidRDefault="007D6AF3" w:rsidP="00DE7E92">
      <w:pPr>
        <w:jc w:val="left"/>
        <w:rPr>
          <w:sz w:val="20"/>
          <w:szCs w:val="20"/>
        </w:rPr>
      </w:pPr>
      <w:r w:rsidRPr="002C21B8">
        <w:rPr>
          <w:sz w:val="20"/>
          <w:szCs w:val="20"/>
        </w:rPr>
        <w:t>Q2. To the best of your knowledge, approximately how many people with ADPKD (excluding those on dialysis or post-transplant) are currently under active follow-up at your centre?</w:t>
      </w:r>
      <w:r w:rsidRPr="002C21B8">
        <w:rPr>
          <w:sz w:val="20"/>
          <w:szCs w:val="20"/>
        </w:rPr>
        <w:br/>
      </w:r>
      <w:r w:rsidRPr="002C21B8">
        <w:rPr>
          <w:rStyle w:val="Emphasis"/>
          <w:rFonts w:eastAsiaTheme="majorEastAsia"/>
          <w:color w:val="000000" w:themeColor="text1"/>
          <w:sz w:val="20"/>
          <w:szCs w:val="20"/>
        </w:rPr>
        <w:t>(please select one option)</w:t>
      </w:r>
      <w:r w:rsidRPr="002C21B8">
        <w:rPr>
          <w:sz w:val="20"/>
          <w:szCs w:val="20"/>
        </w:rPr>
        <w:t> </w:t>
      </w:r>
    </w:p>
    <w:p w14:paraId="38657B03" w14:textId="77777777" w:rsidR="007D6AF3" w:rsidRPr="002C21B8" w:rsidRDefault="007D6AF3" w:rsidP="00A97F07">
      <w:pPr>
        <w:pStyle w:val="ListParagraph"/>
        <w:numPr>
          <w:ilvl w:val="0"/>
          <w:numId w:val="14"/>
        </w:numPr>
        <w:jc w:val="left"/>
        <w:rPr>
          <w:sz w:val="20"/>
          <w:szCs w:val="20"/>
        </w:rPr>
      </w:pPr>
      <w:r w:rsidRPr="002C21B8">
        <w:rPr>
          <w:rStyle w:val="labelwrapper"/>
          <w:color w:val="000000" w:themeColor="text1"/>
          <w:sz w:val="20"/>
          <w:szCs w:val="20"/>
        </w:rPr>
        <w:t>Less than 150</w:t>
      </w:r>
    </w:p>
    <w:p w14:paraId="282CED8B" w14:textId="77777777" w:rsidR="007D6AF3" w:rsidRPr="002C21B8" w:rsidRDefault="007D6AF3" w:rsidP="00A97F07">
      <w:pPr>
        <w:pStyle w:val="ListParagraph"/>
        <w:numPr>
          <w:ilvl w:val="0"/>
          <w:numId w:val="14"/>
        </w:numPr>
        <w:jc w:val="left"/>
        <w:rPr>
          <w:sz w:val="20"/>
          <w:szCs w:val="20"/>
        </w:rPr>
      </w:pPr>
      <w:r w:rsidRPr="002C21B8">
        <w:rPr>
          <w:rStyle w:val="labelwrapper"/>
          <w:color w:val="000000" w:themeColor="text1"/>
          <w:sz w:val="20"/>
          <w:szCs w:val="20"/>
        </w:rPr>
        <w:t>150 to 300</w:t>
      </w:r>
    </w:p>
    <w:p w14:paraId="5EA1C3F6" w14:textId="77777777" w:rsidR="007D6AF3" w:rsidRPr="002C21B8" w:rsidRDefault="007D6AF3" w:rsidP="00A97F07">
      <w:pPr>
        <w:pStyle w:val="ListParagraph"/>
        <w:numPr>
          <w:ilvl w:val="0"/>
          <w:numId w:val="14"/>
        </w:numPr>
        <w:jc w:val="left"/>
        <w:rPr>
          <w:sz w:val="20"/>
          <w:szCs w:val="20"/>
        </w:rPr>
      </w:pPr>
      <w:r w:rsidRPr="002C21B8">
        <w:rPr>
          <w:rStyle w:val="labelwrapper"/>
          <w:color w:val="000000" w:themeColor="text1"/>
          <w:sz w:val="20"/>
          <w:szCs w:val="20"/>
        </w:rPr>
        <w:t>301 to 600</w:t>
      </w:r>
    </w:p>
    <w:p w14:paraId="17CDF052" w14:textId="6316BDC4" w:rsidR="007D6AF3" w:rsidRPr="002C21B8" w:rsidRDefault="007D6AF3" w:rsidP="00A97F07">
      <w:pPr>
        <w:pStyle w:val="ListParagraph"/>
        <w:numPr>
          <w:ilvl w:val="0"/>
          <w:numId w:val="14"/>
        </w:numPr>
        <w:jc w:val="left"/>
        <w:rPr>
          <w:rStyle w:val="questionexporttag"/>
          <w:color w:val="000000" w:themeColor="text1"/>
          <w:sz w:val="20"/>
          <w:szCs w:val="20"/>
        </w:rPr>
      </w:pPr>
      <w:r w:rsidRPr="002C21B8">
        <w:rPr>
          <w:rStyle w:val="labelwrapper"/>
          <w:color w:val="000000" w:themeColor="text1"/>
          <w:sz w:val="20"/>
          <w:szCs w:val="20"/>
        </w:rPr>
        <w:t>More than 600</w:t>
      </w:r>
    </w:p>
    <w:p w14:paraId="52893728" w14:textId="77777777" w:rsidR="007D6AF3" w:rsidRPr="002C21B8" w:rsidRDefault="007D6AF3" w:rsidP="00DE7E92">
      <w:pPr>
        <w:jc w:val="left"/>
        <w:rPr>
          <w:sz w:val="20"/>
          <w:szCs w:val="20"/>
        </w:rPr>
      </w:pPr>
      <w:r w:rsidRPr="002C21B8">
        <w:rPr>
          <w:sz w:val="20"/>
          <w:szCs w:val="20"/>
        </w:rPr>
        <w:t>Q3. To the best of your knowledge, approximately how many people with ADPKD are currently receiving tolvaptan at your centre?</w:t>
      </w:r>
      <w:r w:rsidRPr="002C21B8">
        <w:rPr>
          <w:sz w:val="20"/>
          <w:szCs w:val="20"/>
        </w:rPr>
        <w:br/>
      </w:r>
      <w:r w:rsidRPr="002C21B8">
        <w:rPr>
          <w:rStyle w:val="Emphasis"/>
          <w:rFonts w:eastAsiaTheme="majorEastAsia"/>
          <w:color w:val="000000" w:themeColor="text1"/>
          <w:sz w:val="20"/>
          <w:szCs w:val="20"/>
        </w:rPr>
        <w:t>(please select one option)</w:t>
      </w:r>
    </w:p>
    <w:p w14:paraId="7515CA4D" w14:textId="77777777" w:rsidR="007D6AF3" w:rsidRPr="002C21B8" w:rsidRDefault="007D6AF3" w:rsidP="00A97F07">
      <w:pPr>
        <w:pStyle w:val="ListParagraph"/>
        <w:numPr>
          <w:ilvl w:val="0"/>
          <w:numId w:val="15"/>
        </w:numPr>
        <w:jc w:val="left"/>
        <w:rPr>
          <w:sz w:val="20"/>
          <w:szCs w:val="20"/>
        </w:rPr>
      </w:pPr>
      <w:r w:rsidRPr="002C21B8">
        <w:rPr>
          <w:rStyle w:val="labelwrapper"/>
          <w:color w:val="000000" w:themeColor="text1"/>
          <w:sz w:val="20"/>
          <w:szCs w:val="20"/>
        </w:rPr>
        <w:t>Less than 10</w:t>
      </w:r>
    </w:p>
    <w:p w14:paraId="5FFEE4D5" w14:textId="77777777" w:rsidR="007D6AF3" w:rsidRPr="002C21B8" w:rsidRDefault="007D6AF3" w:rsidP="00A97F07">
      <w:pPr>
        <w:pStyle w:val="ListParagraph"/>
        <w:numPr>
          <w:ilvl w:val="0"/>
          <w:numId w:val="15"/>
        </w:numPr>
        <w:jc w:val="left"/>
        <w:rPr>
          <w:sz w:val="20"/>
          <w:szCs w:val="20"/>
        </w:rPr>
      </w:pPr>
      <w:r w:rsidRPr="002C21B8">
        <w:rPr>
          <w:rStyle w:val="labelwrapper"/>
          <w:color w:val="000000" w:themeColor="text1"/>
          <w:sz w:val="20"/>
          <w:szCs w:val="20"/>
        </w:rPr>
        <w:t>10 to 20</w:t>
      </w:r>
    </w:p>
    <w:p w14:paraId="509D98C5" w14:textId="77777777" w:rsidR="007D6AF3" w:rsidRPr="002C21B8" w:rsidRDefault="007D6AF3" w:rsidP="00A97F07">
      <w:pPr>
        <w:pStyle w:val="ListParagraph"/>
        <w:numPr>
          <w:ilvl w:val="0"/>
          <w:numId w:val="15"/>
        </w:numPr>
        <w:jc w:val="left"/>
        <w:rPr>
          <w:sz w:val="20"/>
          <w:szCs w:val="20"/>
        </w:rPr>
      </w:pPr>
      <w:r w:rsidRPr="002C21B8">
        <w:rPr>
          <w:rStyle w:val="labelwrapper"/>
          <w:color w:val="000000" w:themeColor="text1"/>
          <w:sz w:val="20"/>
          <w:szCs w:val="20"/>
        </w:rPr>
        <w:t>21 to 40</w:t>
      </w:r>
    </w:p>
    <w:p w14:paraId="48FA8BCB" w14:textId="77777777" w:rsidR="007D6AF3" w:rsidRPr="002C21B8" w:rsidRDefault="007D6AF3" w:rsidP="00A97F07">
      <w:pPr>
        <w:pStyle w:val="ListParagraph"/>
        <w:numPr>
          <w:ilvl w:val="0"/>
          <w:numId w:val="15"/>
        </w:numPr>
        <w:jc w:val="left"/>
        <w:rPr>
          <w:sz w:val="20"/>
          <w:szCs w:val="20"/>
        </w:rPr>
      </w:pPr>
      <w:r w:rsidRPr="002C21B8">
        <w:rPr>
          <w:rStyle w:val="labelwrapper"/>
          <w:color w:val="000000" w:themeColor="text1"/>
          <w:sz w:val="20"/>
          <w:szCs w:val="20"/>
        </w:rPr>
        <w:t>41 to 60</w:t>
      </w:r>
    </w:p>
    <w:p w14:paraId="5E53187A" w14:textId="31AA4562" w:rsidR="007D6AF3" w:rsidRPr="002C21B8" w:rsidRDefault="007D6AF3" w:rsidP="00A97F07">
      <w:pPr>
        <w:pStyle w:val="ListParagraph"/>
        <w:numPr>
          <w:ilvl w:val="0"/>
          <w:numId w:val="15"/>
        </w:numPr>
        <w:jc w:val="left"/>
        <w:rPr>
          <w:rStyle w:val="message"/>
          <w:color w:val="000000" w:themeColor="text1"/>
          <w:sz w:val="20"/>
          <w:szCs w:val="20"/>
        </w:rPr>
      </w:pPr>
      <w:r w:rsidRPr="002C21B8">
        <w:rPr>
          <w:rStyle w:val="labelwrapper"/>
          <w:color w:val="000000" w:themeColor="text1"/>
          <w:sz w:val="20"/>
          <w:szCs w:val="20"/>
        </w:rPr>
        <w:t>More than 60</w:t>
      </w:r>
    </w:p>
    <w:p w14:paraId="34DEE134" w14:textId="77777777" w:rsidR="007D6AF3" w:rsidRPr="002C21B8" w:rsidRDefault="007D6AF3" w:rsidP="00DE7E92">
      <w:pPr>
        <w:jc w:val="left"/>
        <w:rPr>
          <w:sz w:val="20"/>
          <w:szCs w:val="20"/>
        </w:rPr>
      </w:pPr>
      <w:r w:rsidRPr="002C21B8">
        <w:rPr>
          <w:sz w:val="20"/>
          <w:szCs w:val="20"/>
        </w:rPr>
        <w:t>Q4. To the best of your knowledge, approximately how many people with ADPKD are started on tolvaptan each month at your centre?</w:t>
      </w:r>
      <w:r w:rsidRPr="002C21B8">
        <w:rPr>
          <w:sz w:val="20"/>
          <w:szCs w:val="20"/>
        </w:rPr>
        <w:br/>
      </w:r>
      <w:r w:rsidRPr="002C21B8">
        <w:rPr>
          <w:rStyle w:val="Emphasis"/>
          <w:rFonts w:eastAsiaTheme="majorEastAsia"/>
          <w:color w:val="000000" w:themeColor="text1"/>
          <w:sz w:val="20"/>
          <w:szCs w:val="20"/>
        </w:rPr>
        <w:t>(please select one option)</w:t>
      </w:r>
    </w:p>
    <w:p w14:paraId="65725C68" w14:textId="77777777" w:rsidR="007D6AF3" w:rsidRPr="002C21B8" w:rsidRDefault="007D6AF3" w:rsidP="00A97F07">
      <w:pPr>
        <w:pStyle w:val="ListParagraph"/>
        <w:numPr>
          <w:ilvl w:val="0"/>
          <w:numId w:val="16"/>
        </w:numPr>
        <w:jc w:val="left"/>
        <w:rPr>
          <w:sz w:val="20"/>
          <w:szCs w:val="20"/>
        </w:rPr>
      </w:pPr>
      <w:r w:rsidRPr="002C21B8">
        <w:rPr>
          <w:rStyle w:val="labelwrapper"/>
          <w:color w:val="000000" w:themeColor="text1"/>
          <w:sz w:val="20"/>
          <w:szCs w:val="20"/>
        </w:rPr>
        <w:t>0 to 1</w:t>
      </w:r>
    </w:p>
    <w:p w14:paraId="6F4FFDC9" w14:textId="77777777" w:rsidR="007D6AF3" w:rsidRPr="002C21B8" w:rsidRDefault="007D6AF3" w:rsidP="00A97F07">
      <w:pPr>
        <w:pStyle w:val="ListParagraph"/>
        <w:numPr>
          <w:ilvl w:val="0"/>
          <w:numId w:val="16"/>
        </w:numPr>
        <w:jc w:val="left"/>
        <w:rPr>
          <w:sz w:val="20"/>
          <w:szCs w:val="20"/>
        </w:rPr>
      </w:pPr>
      <w:r w:rsidRPr="002C21B8">
        <w:rPr>
          <w:rStyle w:val="labelwrapper"/>
          <w:color w:val="000000" w:themeColor="text1"/>
          <w:sz w:val="20"/>
          <w:szCs w:val="20"/>
        </w:rPr>
        <w:t>2 to 3</w:t>
      </w:r>
    </w:p>
    <w:p w14:paraId="6AC7F975" w14:textId="77777777" w:rsidR="007D6AF3" w:rsidRPr="002C21B8" w:rsidRDefault="007D6AF3" w:rsidP="00A97F07">
      <w:pPr>
        <w:pStyle w:val="ListParagraph"/>
        <w:numPr>
          <w:ilvl w:val="0"/>
          <w:numId w:val="16"/>
        </w:numPr>
        <w:jc w:val="left"/>
        <w:rPr>
          <w:sz w:val="20"/>
          <w:szCs w:val="20"/>
        </w:rPr>
      </w:pPr>
      <w:r w:rsidRPr="002C21B8">
        <w:rPr>
          <w:rStyle w:val="labelwrapper"/>
          <w:color w:val="000000" w:themeColor="text1"/>
          <w:sz w:val="20"/>
          <w:szCs w:val="20"/>
        </w:rPr>
        <w:t>4 to 5</w:t>
      </w:r>
    </w:p>
    <w:p w14:paraId="14B9FDDC" w14:textId="77777777" w:rsidR="007D6AF3" w:rsidRPr="002C21B8" w:rsidRDefault="007D6AF3" w:rsidP="00A97F07">
      <w:pPr>
        <w:pStyle w:val="ListParagraph"/>
        <w:numPr>
          <w:ilvl w:val="0"/>
          <w:numId w:val="16"/>
        </w:numPr>
        <w:jc w:val="left"/>
        <w:rPr>
          <w:sz w:val="20"/>
          <w:szCs w:val="20"/>
        </w:rPr>
      </w:pPr>
      <w:r w:rsidRPr="002C21B8">
        <w:rPr>
          <w:rStyle w:val="labelwrapper"/>
          <w:color w:val="000000" w:themeColor="text1"/>
          <w:sz w:val="20"/>
          <w:szCs w:val="20"/>
        </w:rPr>
        <w:t>6 to 7</w:t>
      </w:r>
    </w:p>
    <w:p w14:paraId="1BC614A4" w14:textId="0331B078" w:rsidR="007D6AF3" w:rsidRPr="002C21B8" w:rsidRDefault="007D6AF3" w:rsidP="00A97F07">
      <w:pPr>
        <w:pStyle w:val="ListParagraph"/>
        <w:numPr>
          <w:ilvl w:val="0"/>
          <w:numId w:val="16"/>
        </w:numPr>
        <w:jc w:val="left"/>
        <w:rPr>
          <w:rStyle w:val="message"/>
          <w:color w:val="000000" w:themeColor="text1"/>
          <w:sz w:val="20"/>
          <w:szCs w:val="20"/>
        </w:rPr>
      </w:pPr>
      <w:r w:rsidRPr="002C21B8">
        <w:rPr>
          <w:rStyle w:val="labelwrapper"/>
          <w:color w:val="000000" w:themeColor="text1"/>
          <w:sz w:val="20"/>
          <w:szCs w:val="20"/>
        </w:rPr>
        <w:t>More than 7</w:t>
      </w:r>
    </w:p>
    <w:p w14:paraId="1912A26F" w14:textId="77777777" w:rsidR="007D6AF3" w:rsidRPr="002C21B8" w:rsidRDefault="007D6AF3" w:rsidP="00DE7E92">
      <w:pPr>
        <w:jc w:val="left"/>
        <w:rPr>
          <w:sz w:val="20"/>
          <w:szCs w:val="20"/>
        </w:rPr>
      </w:pPr>
      <w:r w:rsidRPr="002C21B8">
        <w:rPr>
          <w:sz w:val="20"/>
          <w:szCs w:val="20"/>
        </w:rPr>
        <w:t>Q5. To the best of your knowledge, approximately what proportion of people with ADPKD at your centre start on tolvaptan after being deemed eligible and offered tolvaptan?</w:t>
      </w:r>
      <w:r w:rsidRPr="002C21B8">
        <w:rPr>
          <w:sz w:val="20"/>
          <w:szCs w:val="20"/>
        </w:rPr>
        <w:br/>
      </w:r>
      <w:r w:rsidRPr="002C21B8">
        <w:rPr>
          <w:rStyle w:val="Emphasis"/>
          <w:rFonts w:eastAsiaTheme="majorEastAsia"/>
          <w:color w:val="000000" w:themeColor="text1"/>
          <w:sz w:val="20"/>
          <w:szCs w:val="20"/>
        </w:rPr>
        <w:t>(please select one option)</w:t>
      </w:r>
    </w:p>
    <w:p w14:paraId="7AEE4168" w14:textId="77777777" w:rsidR="007D6AF3" w:rsidRPr="002C21B8" w:rsidRDefault="007D6AF3" w:rsidP="00A97F07">
      <w:pPr>
        <w:pStyle w:val="ListParagraph"/>
        <w:numPr>
          <w:ilvl w:val="0"/>
          <w:numId w:val="17"/>
        </w:numPr>
        <w:jc w:val="left"/>
        <w:rPr>
          <w:sz w:val="20"/>
          <w:szCs w:val="20"/>
        </w:rPr>
      </w:pPr>
      <w:r w:rsidRPr="002C21B8">
        <w:rPr>
          <w:rStyle w:val="labelwrapper"/>
          <w:color w:val="000000" w:themeColor="text1"/>
          <w:sz w:val="20"/>
          <w:szCs w:val="20"/>
        </w:rPr>
        <w:t>0 to 20%</w:t>
      </w:r>
    </w:p>
    <w:p w14:paraId="21501EC1" w14:textId="77777777" w:rsidR="007D6AF3" w:rsidRPr="002C21B8" w:rsidRDefault="007D6AF3" w:rsidP="00A97F07">
      <w:pPr>
        <w:pStyle w:val="ListParagraph"/>
        <w:numPr>
          <w:ilvl w:val="0"/>
          <w:numId w:val="17"/>
        </w:numPr>
        <w:jc w:val="left"/>
        <w:rPr>
          <w:sz w:val="20"/>
          <w:szCs w:val="20"/>
        </w:rPr>
      </w:pPr>
      <w:r w:rsidRPr="002C21B8">
        <w:rPr>
          <w:rStyle w:val="labelwrapper"/>
          <w:color w:val="000000" w:themeColor="text1"/>
          <w:sz w:val="20"/>
          <w:szCs w:val="20"/>
        </w:rPr>
        <w:t>21 to 40%</w:t>
      </w:r>
    </w:p>
    <w:p w14:paraId="19B8A237" w14:textId="77777777" w:rsidR="007D6AF3" w:rsidRPr="002C21B8" w:rsidRDefault="007D6AF3" w:rsidP="00A97F07">
      <w:pPr>
        <w:pStyle w:val="ListParagraph"/>
        <w:numPr>
          <w:ilvl w:val="0"/>
          <w:numId w:val="17"/>
        </w:numPr>
        <w:jc w:val="left"/>
        <w:rPr>
          <w:sz w:val="20"/>
          <w:szCs w:val="20"/>
        </w:rPr>
      </w:pPr>
      <w:r w:rsidRPr="002C21B8">
        <w:rPr>
          <w:rStyle w:val="labelwrapper"/>
          <w:color w:val="000000" w:themeColor="text1"/>
          <w:sz w:val="20"/>
          <w:szCs w:val="20"/>
        </w:rPr>
        <w:t>41 to 60%</w:t>
      </w:r>
    </w:p>
    <w:p w14:paraId="5B33D220" w14:textId="77777777" w:rsidR="007D6AF3" w:rsidRPr="002C21B8" w:rsidRDefault="007D6AF3" w:rsidP="00A97F07">
      <w:pPr>
        <w:pStyle w:val="ListParagraph"/>
        <w:numPr>
          <w:ilvl w:val="0"/>
          <w:numId w:val="17"/>
        </w:numPr>
        <w:jc w:val="left"/>
        <w:rPr>
          <w:sz w:val="20"/>
          <w:szCs w:val="20"/>
        </w:rPr>
      </w:pPr>
      <w:r w:rsidRPr="002C21B8">
        <w:rPr>
          <w:rStyle w:val="labelwrapper"/>
          <w:color w:val="000000" w:themeColor="text1"/>
          <w:sz w:val="20"/>
          <w:szCs w:val="20"/>
        </w:rPr>
        <w:t>61 to 80%</w:t>
      </w:r>
    </w:p>
    <w:p w14:paraId="1A7A7D02" w14:textId="51BC90CB" w:rsidR="007D6AF3" w:rsidRPr="002C21B8" w:rsidRDefault="007D6AF3" w:rsidP="00A97F07">
      <w:pPr>
        <w:pStyle w:val="ListParagraph"/>
        <w:numPr>
          <w:ilvl w:val="0"/>
          <w:numId w:val="17"/>
        </w:numPr>
        <w:jc w:val="left"/>
        <w:rPr>
          <w:rStyle w:val="message"/>
          <w:color w:val="000000" w:themeColor="text1"/>
          <w:sz w:val="20"/>
          <w:szCs w:val="20"/>
        </w:rPr>
      </w:pPr>
      <w:r w:rsidRPr="002C21B8">
        <w:rPr>
          <w:rStyle w:val="labelwrapper"/>
          <w:color w:val="000000" w:themeColor="text1"/>
          <w:sz w:val="20"/>
          <w:szCs w:val="20"/>
        </w:rPr>
        <w:t>81 to 100%</w:t>
      </w:r>
    </w:p>
    <w:p w14:paraId="089B4079" w14:textId="77777777" w:rsidR="00B70E6A" w:rsidRPr="002C21B8" w:rsidRDefault="00B70E6A" w:rsidP="00DE7E92">
      <w:pPr>
        <w:jc w:val="left"/>
        <w:rPr>
          <w:sz w:val="20"/>
          <w:szCs w:val="20"/>
        </w:rPr>
      </w:pPr>
      <w:r w:rsidRPr="002C21B8">
        <w:rPr>
          <w:sz w:val="20"/>
          <w:szCs w:val="20"/>
        </w:rPr>
        <w:br w:type="page"/>
      </w:r>
    </w:p>
    <w:p w14:paraId="681A7EEE" w14:textId="21746033" w:rsidR="007D6AF3" w:rsidRPr="002C21B8" w:rsidRDefault="007D6AF3" w:rsidP="00DE7E92">
      <w:pPr>
        <w:jc w:val="left"/>
        <w:rPr>
          <w:sz w:val="20"/>
          <w:szCs w:val="20"/>
        </w:rPr>
      </w:pPr>
      <w:r w:rsidRPr="002C21B8">
        <w:rPr>
          <w:sz w:val="20"/>
          <w:szCs w:val="20"/>
        </w:rPr>
        <w:t>Q6. Is there a limit to the number of people who can be on tolvaptan at your centre? (e.g. due to monitoring or other resource limitations)</w:t>
      </w:r>
      <w:r w:rsidRPr="002C21B8">
        <w:rPr>
          <w:sz w:val="20"/>
          <w:szCs w:val="20"/>
        </w:rPr>
        <w:br/>
      </w:r>
      <w:r w:rsidRPr="002C21B8">
        <w:rPr>
          <w:rStyle w:val="Emphasis"/>
          <w:rFonts w:eastAsiaTheme="majorEastAsia"/>
          <w:color w:val="000000" w:themeColor="text1"/>
          <w:sz w:val="20"/>
          <w:szCs w:val="20"/>
        </w:rPr>
        <w:t>(please select one option)</w:t>
      </w:r>
    </w:p>
    <w:p w14:paraId="5B845C0E" w14:textId="77777777" w:rsidR="007D6AF3" w:rsidRPr="002C21B8" w:rsidRDefault="007D6AF3" w:rsidP="00A97F07">
      <w:pPr>
        <w:pStyle w:val="ListParagraph"/>
        <w:numPr>
          <w:ilvl w:val="0"/>
          <w:numId w:val="18"/>
        </w:numPr>
        <w:jc w:val="left"/>
        <w:rPr>
          <w:sz w:val="20"/>
          <w:szCs w:val="20"/>
        </w:rPr>
      </w:pPr>
      <w:r w:rsidRPr="002C21B8">
        <w:rPr>
          <w:rStyle w:val="labelwrapper"/>
          <w:color w:val="000000" w:themeColor="text1"/>
          <w:sz w:val="20"/>
          <w:szCs w:val="20"/>
        </w:rPr>
        <w:t>Yes</w:t>
      </w:r>
    </w:p>
    <w:p w14:paraId="7FCC7EFE" w14:textId="77777777" w:rsidR="007D6AF3" w:rsidRPr="002C21B8" w:rsidRDefault="007D6AF3" w:rsidP="00A97F07">
      <w:pPr>
        <w:pStyle w:val="ListParagraph"/>
        <w:numPr>
          <w:ilvl w:val="0"/>
          <w:numId w:val="18"/>
        </w:numPr>
        <w:jc w:val="left"/>
        <w:rPr>
          <w:sz w:val="20"/>
          <w:szCs w:val="20"/>
        </w:rPr>
      </w:pPr>
      <w:r w:rsidRPr="002C21B8">
        <w:rPr>
          <w:rStyle w:val="labelwrapper"/>
          <w:color w:val="000000" w:themeColor="text1"/>
          <w:sz w:val="20"/>
          <w:szCs w:val="20"/>
        </w:rPr>
        <w:t>No</w:t>
      </w:r>
    </w:p>
    <w:p w14:paraId="60EC1728" w14:textId="2092D595" w:rsidR="007D6AF3" w:rsidRPr="002C21B8" w:rsidRDefault="007D6AF3" w:rsidP="00A97F07">
      <w:pPr>
        <w:pStyle w:val="ListParagraph"/>
        <w:numPr>
          <w:ilvl w:val="0"/>
          <w:numId w:val="18"/>
        </w:numPr>
        <w:jc w:val="left"/>
        <w:rPr>
          <w:rStyle w:val="conjdesc"/>
          <w:color w:val="000000" w:themeColor="text1"/>
          <w:sz w:val="20"/>
          <w:szCs w:val="20"/>
        </w:rPr>
      </w:pPr>
      <w:r w:rsidRPr="002C21B8">
        <w:rPr>
          <w:rStyle w:val="labelwrapper"/>
          <w:color w:val="000000" w:themeColor="text1"/>
          <w:sz w:val="20"/>
          <w:szCs w:val="20"/>
        </w:rPr>
        <w:t>Not sure</w:t>
      </w:r>
    </w:p>
    <w:p w14:paraId="5C415503" w14:textId="14F9D1C9" w:rsidR="007D6AF3" w:rsidRPr="002C21B8" w:rsidRDefault="007D6AF3" w:rsidP="00DE7E92">
      <w:pPr>
        <w:jc w:val="left"/>
        <w:rPr>
          <w:rStyle w:val="opdesc"/>
          <w:i/>
          <w:iCs/>
          <w:color w:val="000000" w:themeColor="text1"/>
          <w:sz w:val="20"/>
          <w:szCs w:val="20"/>
        </w:rPr>
      </w:pPr>
      <w:r w:rsidRPr="002C21B8">
        <w:rPr>
          <w:rStyle w:val="conjdesc"/>
          <w:i/>
          <w:iCs/>
          <w:color w:val="000000" w:themeColor="text1"/>
          <w:spacing w:val="5"/>
          <w:sz w:val="20"/>
          <w:szCs w:val="20"/>
        </w:rPr>
        <w:t>&gt;&gt; If</w:t>
      </w:r>
      <w:r w:rsidR="002B27F4" w:rsidRPr="002C21B8">
        <w:rPr>
          <w:rStyle w:val="apple-converted-space"/>
          <w:color w:val="000000" w:themeColor="text1"/>
          <w:sz w:val="20"/>
          <w:szCs w:val="20"/>
        </w:rPr>
        <w:t xml:space="preserve"> </w:t>
      </w:r>
      <w:r w:rsidRPr="002C21B8">
        <w:rPr>
          <w:rStyle w:val="questiondesc"/>
          <w:i/>
          <w:iCs/>
          <w:color w:val="000000" w:themeColor="text1"/>
          <w:sz w:val="20"/>
          <w:szCs w:val="20"/>
        </w:rPr>
        <w:t>Q6. Is there a limit to the number of people who can be on tolvaptan at your centre?...</w:t>
      </w:r>
      <w:r w:rsidR="002B27F4" w:rsidRPr="002C21B8">
        <w:rPr>
          <w:rStyle w:val="apple-converted-space"/>
          <w:color w:val="000000" w:themeColor="text1"/>
          <w:sz w:val="20"/>
          <w:szCs w:val="20"/>
        </w:rPr>
        <w:t xml:space="preserve"> </w:t>
      </w:r>
      <w:r w:rsidRPr="002C21B8">
        <w:rPr>
          <w:rStyle w:val="leftopdesc"/>
          <w:i/>
          <w:iCs/>
          <w:color w:val="000000" w:themeColor="text1"/>
          <w:sz w:val="20"/>
          <w:szCs w:val="20"/>
        </w:rPr>
        <w:t>Yes</w:t>
      </w:r>
      <w:r w:rsidR="002B27F4" w:rsidRPr="002C21B8">
        <w:rPr>
          <w:rStyle w:val="apple-converted-space"/>
          <w:i/>
          <w:iCs/>
          <w:color w:val="000000" w:themeColor="text1"/>
          <w:sz w:val="20"/>
          <w:szCs w:val="20"/>
        </w:rPr>
        <w:t xml:space="preserve"> </w:t>
      </w:r>
      <w:r w:rsidRPr="002C21B8">
        <w:rPr>
          <w:rStyle w:val="opdesc"/>
          <w:i/>
          <w:iCs/>
          <w:color w:val="000000" w:themeColor="text1"/>
          <w:sz w:val="20"/>
          <w:szCs w:val="20"/>
        </w:rPr>
        <w:t>Is Selected</w:t>
      </w:r>
    </w:p>
    <w:p w14:paraId="51673B1E" w14:textId="77777777" w:rsidR="007D6AF3" w:rsidRPr="002C21B8" w:rsidRDefault="007D6AF3" w:rsidP="00DE7E92">
      <w:pPr>
        <w:jc w:val="left"/>
        <w:rPr>
          <w:sz w:val="20"/>
          <w:szCs w:val="20"/>
        </w:rPr>
      </w:pPr>
      <w:r w:rsidRPr="002C21B8">
        <w:rPr>
          <w:sz w:val="20"/>
          <w:szCs w:val="20"/>
        </w:rPr>
        <w:t>Q6a. Is your centre currently at or near this limit, potentially restricting the number of new patients being initiated on tolvaptan?</w:t>
      </w:r>
      <w:r w:rsidRPr="002C21B8">
        <w:rPr>
          <w:sz w:val="20"/>
          <w:szCs w:val="20"/>
        </w:rPr>
        <w:br/>
      </w:r>
      <w:r w:rsidRPr="002C21B8">
        <w:rPr>
          <w:rStyle w:val="Emphasis"/>
          <w:rFonts w:eastAsiaTheme="majorEastAsia"/>
          <w:color w:val="000000" w:themeColor="text1"/>
          <w:sz w:val="20"/>
          <w:szCs w:val="20"/>
        </w:rPr>
        <w:t>(please select one option)</w:t>
      </w:r>
    </w:p>
    <w:p w14:paraId="0053BE60" w14:textId="77777777" w:rsidR="007D6AF3" w:rsidRPr="002C21B8" w:rsidRDefault="007D6AF3" w:rsidP="00A97F07">
      <w:pPr>
        <w:pStyle w:val="ListParagraph"/>
        <w:numPr>
          <w:ilvl w:val="0"/>
          <w:numId w:val="19"/>
        </w:numPr>
        <w:jc w:val="left"/>
        <w:rPr>
          <w:sz w:val="20"/>
          <w:szCs w:val="20"/>
        </w:rPr>
      </w:pPr>
      <w:r w:rsidRPr="002C21B8">
        <w:rPr>
          <w:rStyle w:val="labelwrapper"/>
          <w:color w:val="000000" w:themeColor="text1"/>
          <w:sz w:val="20"/>
          <w:szCs w:val="20"/>
        </w:rPr>
        <w:t>Yes</w:t>
      </w:r>
    </w:p>
    <w:p w14:paraId="27BB1F80" w14:textId="77777777" w:rsidR="007D6AF3" w:rsidRPr="002C21B8" w:rsidRDefault="007D6AF3" w:rsidP="00A97F07">
      <w:pPr>
        <w:pStyle w:val="ListParagraph"/>
        <w:numPr>
          <w:ilvl w:val="0"/>
          <w:numId w:val="19"/>
        </w:numPr>
        <w:jc w:val="left"/>
        <w:rPr>
          <w:sz w:val="20"/>
          <w:szCs w:val="20"/>
        </w:rPr>
      </w:pPr>
      <w:r w:rsidRPr="002C21B8">
        <w:rPr>
          <w:rStyle w:val="labelwrapper"/>
          <w:color w:val="000000" w:themeColor="text1"/>
          <w:sz w:val="20"/>
          <w:szCs w:val="20"/>
        </w:rPr>
        <w:t>No</w:t>
      </w:r>
    </w:p>
    <w:p w14:paraId="2C5FAF55" w14:textId="58F1F53E" w:rsidR="007D6AF3" w:rsidRPr="002C21B8" w:rsidRDefault="007D6AF3" w:rsidP="00A97F07">
      <w:pPr>
        <w:pStyle w:val="ListParagraph"/>
        <w:numPr>
          <w:ilvl w:val="0"/>
          <w:numId w:val="19"/>
        </w:numPr>
        <w:jc w:val="left"/>
        <w:rPr>
          <w:rStyle w:val="message"/>
          <w:color w:val="000000" w:themeColor="text1"/>
          <w:sz w:val="20"/>
          <w:szCs w:val="20"/>
        </w:rPr>
      </w:pPr>
      <w:r w:rsidRPr="002C21B8">
        <w:rPr>
          <w:rStyle w:val="labelwrapper"/>
          <w:color w:val="000000" w:themeColor="text1"/>
          <w:sz w:val="20"/>
          <w:szCs w:val="20"/>
        </w:rPr>
        <w:t>Not sure</w:t>
      </w:r>
    </w:p>
    <w:p w14:paraId="6DD6290B" w14:textId="77777777" w:rsidR="007D6AF3" w:rsidRPr="002C21B8" w:rsidRDefault="007D6AF3" w:rsidP="00DE7E92">
      <w:pPr>
        <w:jc w:val="left"/>
        <w:rPr>
          <w:sz w:val="20"/>
          <w:szCs w:val="20"/>
        </w:rPr>
      </w:pPr>
      <w:r w:rsidRPr="002C21B8">
        <w:rPr>
          <w:sz w:val="20"/>
          <w:szCs w:val="20"/>
        </w:rPr>
        <w:t>Q7. Was your centre a recruiting centre for any of the randomised controlled trials for tolvaptan?</w:t>
      </w:r>
      <w:r w:rsidRPr="002C21B8">
        <w:rPr>
          <w:sz w:val="20"/>
          <w:szCs w:val="20"/>
        </w:rPr>
        <w:br/>
      </w:r>
      <w:r w:rsidRPr="002C21B8">
        <w:rPr>
          <w:rStyle w:val="Emphasis"/>
          <w:rFonts w:eastAsiaTheme="majorEastAsia"/>
          <w:color w:val="000000" w:themeColor="text1"/>
          <w:sz w:val="20"/>
          <w:szCs w:val="20"/>
        </w:rPr>
        <w:t>(please select one option)</w:t>
      </w:r>
    </w:p>
    <w:p w14:paraId="4BF16AAE" w14:textId="77777777" w:rsidR="007D6AF3" w:rsidRPr="002C21B8" w:rsidRDefault="007D6AF3" w:rsidP="00A97F07">
      <w:pPr>
        <w:pStyle w:val="ListParagraph"/>
        <w:numPr>
          <w:ilvl w:val="0"/>
          <w:numId w:val="20"/>
        </w:numPr>
        <w:jc w:val="left"/>
        <w:rPr>
          <w:sz w:val="20"/>
          <w:szCs w:val="20"/>
        </w:rPr>
      </w:pPr>
      <w:r w:rsidRPr="002C21B8">
        <w:rPr>
          <w:rStyle w:val="labelwrapper"/>
          <w:color w:val="000000" w:themeColor="text1"/>
          <w:sz w:val="20"/>
          <w:szCs w:val="20"/>
        </w:rPr>
        <w:t>Yes</w:t>
      </w:r>
    </w:p>
    <w:p w14:paraId="07966D68" w14:textId="77777777" w:rsidR="007D6AF3" w:rsidRPr="002C21B8" w:rsidRDefault="007D6AF3" w:rsidP="00A97F07">
      <w:pPr>
        <w:pStyle w:val="ListParagraph"/>
        <w:numPr>
          <w:ilvl w:val="0"/>
          <w:numId w:val="20"/>
        </w:numPr>
        <w:jc w:val="left"/>
        <w:rPr>
          <w:sz w:val="20"/>
          <w:szCs w:val="20"/>
        </w:rPr>
      </w:pPr>
      <w:r w:rsidRPr="002C21B8">
        <w:rPr>
          <w:rStyle w:val="labelwrapper"/>
          <w:color w:val="000000" w:themeColor="text1"/>
          <w:sz w:val="20"/>
          <w:szCs w:val="20"/>
        </w:rPr>
        <w:t>No</w:t>
      </w:r>
    </w:p>
    <w:p w14:paraId="7C943D7C" w14:textId="5288E6FA" w:rsidR="007D6AF3" w:rsidRPr="002C21B8" w:rsidRDefault="007D6AF3" w:rsidP="00A97F07">
      <w:pPr>
        <w:pStyle w:val="ListParagraph"/>
        <w:numPr>
          <w:ilvl w:val="0"/>
          <w:numId w:val="20"/>
        </w:numPr>
        <w:jc w:val="left"/>
        <w:rPr>
          <w:sz w:val="20"/>
          <w:szCs w:val="20"/>
        </w:rPr>
      </w:pPr>
      <w:r w:rsidRPr="002C21B8">
        <w:rPr>
          <w:rStyle w:val="labelwrapper"/>
          <w:color w:val="000000" w:themeColor="text1"/>
          <w:sz w:val="20"/>
          <w:szCs w:val="20"/>
        </w:rPr>
        <w:t>Not sure</w:t>
      </w:r>
    </w:p>
    <w:p w14:paraId="5E07AA64" w14:textId="77777777" w:rsidR="007D6AF3" w:rsidRPr="002C21B8" w:rsidRDefault="007D6AF3" w:rsidP="00DE7E92">
      <w:pPr>
        <w:jc w:val="left"/>
        <w:rPr>
          <w:sz w:val="20"/>
          <w:szCs w:val="20"/>
        </w:rPr>
      </w:pPr>
      <w:r w:rsidRPr="002C21B8">
        <w:rPr>
          <w:sz w:val="20"/>
          <w:szCs w:val="20"/>
        </w:rPr>
        <w:t>Q8. Does your centre conduct local audits or service evaluations related to tolvaptan prescribing for ADPKD?</w:t>
      </w:r>
      <w:r w:rsidRPr="002C21B8">
        <w:rPr>
          <w:sz w:val="20"/>
          <w:szCs w:val="20"/>
        </w:rPr>
        <w:br/>
      </w:r>
      <w:r w:rsidRPr="002C21B8">
        <w:rPr>
          <w:rStyle w:val="Emphasis"/>
          <w:rFonts w:eastAsiaTheme="majorEastAsia"/>
          <w:color w:val="000000" w:themeColor="text1"/>
          <w:sz w:val="20"/>
          <w:szCs w:val="20"/>
        </w:rPr>
        <w:t>(please select one option)</w:t>
      </w:r>
    </w:p>
    <w:p w14:paraId="6720B131" w14:textId="77777777" w:rsidR="007D6AF3" w:rsidRPr="002C21B8" w:rsidRDefault="007D6AF3" w:rsidP="00A97F07">
      <w:pPr>
        <w:pStyle w:val="ListParagraph"/>
        <w:numPr>
          <w:ilvl w:val="0"/>
          <w:numId w:val="21"/>
        </w:numPr>
        <w:jc w:val="left"/>
        <w:rPr>
          <w:sz w:val="20"/>
          <w:szCs w:val="20"/>
        </w:rPr>
      </w:pPr>
      <w:r w:rsidRPr="002C21B8">
        <w:rPr>
          <w:rStyle w:val="labelwrapper"/>
          <w:color w:val="000000" w:themeColor="text1"/>
          <w:sz w:val="20"/>
          <w:szCs w:val="20"/>
        </w:rPr>
        <w:t>Yes, regularly</w:t>
      </w:r>
    </w:p>
    <w:p w14:paraId="6C3A9019" w14:textId="77777777" w:rsidR="007D6AF3" w:rsidRPr="002C21B8" w:rsidRDefault="007D6AF3" w:rsidP="00A97F07">
      <w:pPr>
        <w:pStyle w:val="ListParagraph"/>
        <w:numPr>
          <w:ilvl w:val="0"/>
          <w:numId w:val="21"/>
        </w:numPr>
        <w:jc w:val="left"/>
        <w:rPr>
          <w:sz w:val="20"/>
          <w:szCs w:val="20"/>
        </w:rPr>
      </w:pPr>
      <w:r w:rsidRPr="002C21B8">
        <w:rPr>
          <w:rStyle w:val="labelwrapper"/>
          <w:color w:val="000000" w:themeColor="text1"/>
          <w:sz w:val="20"/>
          <w:szCs w:val="20"/>
        </w:rPr>
        <w:t>Yes, occasionally</w:t>
      </w:r>
    </w:p>
    <w:p w14:paraId="1DB6ED1F" w14:textId="77777777" w:rsidR="007D6AF3" w:rsidRPr="002C21B8" w:rsidRDefault="007D6AF3" w:rsidP="00A97F07">
      <w:pPr>
        <w:pStyle w:val="ListParagraph"/>
        <w:numPr>
          <w:ilvl w:val="0"/>
          <w:numId w:val="21"/>
        </w:numPr>
        <w:jc w:val="left"/>
        <w:rPr>
          <w:sz w:val="20"/>
          <w:szCs w:val="20"/>
        </w:rPr>
      </w:pPr>
      <w:r w:rsidRPr="002C21B8">
        <w:rPr>
          <w:rStyle w:val="labelwrapper"/>
          <w:color w:val="000000" w:themeColor="text1"/>
          <w:sz w:val="20"/>
          <w:szCs w:val="20"/>
        </w:rPr>
        <w:t>No</w:t>
      </w:r>
    </w:p>
    <w:p w14:paraId="0DB3703E" w14:textId="77777777" w:rsidR="007D6AF3" w:rsidRPr="002C21B8" w:rsidRDefault="007D6AF3" w:rsidP="00A97F07">
      <w:pPr>
        <w:pStyle w:val="ListParagraph"/>
        <w:numPr>
          <w:ilvl w:val="0"/>
          <w:numId w:val="21"/>
        </w:numPr>
        <w:jc w:val="left"/>
        <w:rPr>
          <w:rStyle w:val="Strong"/>
          <w:b w:val="0"/>
          <w:bCs w:val="0"/>
          <w:color w:val="000000" w:themeColor="text1"/>
          <w:sz w:val="20"/>
          <w:szCs w:val="20"/>
        </w:rPr>
      </w:pPr>
      <w:r w:rsidRPr="002C21B8">
        <w:rPr>
          <w:rStyle w:val="labelwrapper"/>
          <w:color w:val="000000" w:themeColor="text1"/>
          <w:sz w:val="20"/>
          <w:szCs w:val="20"/>
        </w:rPr>
        <w:t>Not sure</w:t>
      </w:r>
    </w:p>
    <w:p w14:paraId="37E5B3EB" w14:textId="77777777" w:rsidR="007D6AF3" w:rsidRPr="002C21B8" w:rsidRDefault="007D6AF3" w:rsidP="00DE7E92">
      <w:pPr>
        <w:jc w:val="left"/>
        <w:rPr>
          <w:sz w:val="20"/>
          <w:szCs w:val="20"/>
        </w:rPr>
      </w:pPr>
      <w:r w:rsidRPr="002C21B8">
        <w:rPr>
          <w:sz w:val="20"/>
          <w:szCs w:val="20"/>
        </w:rPr>
        <w:t>--------------------------------------------------------------------------------------------------------------------------------------</w:t>
      </w:r>
    </w:p>
    <w:p w14:paraId="2B8450DA" w14:textId="77777777" w:rsidR="00A80CEF" w:rsidRPr="002C21B8" w:rsidRDefault="00A80CEF" w:rsidP="00DE7E92">
      <w:pPr>
        <w:jc w:val="left"/>
        <w:rPr>
          <w:rStyle w:val="Strong"/>
          <w:b w:val="0"/>
          <w:bCs w:val="0"/>
          <w:sz w:val="20"/>
          <w:szCs w:val="20"/>
        </w:rPr>
      </w:pPr>
      <w:r w:rsidRPr="002C21B8">
        <w:rPr>
          <w:rStyle w:val="Strong"/>
          <w:b w:val="0"/>
          <w:bCs w:val="0"/>
          <w:sz w:val="20"/>
          <w:szCs w:val="20"/>
        </w:rPr>
        <w:br w:type="page"/>
      </w:r>
    </w:p>
    <w:p w14:paraId="02341D76" w14:textId="2D43462E" w:rsidR="007D6AF3" w:rsidRPr="002C21B8" w:rsidRDefault="007D6AF3" w:rsidP="00DE7E92">
      <w:pPr>
        <w:jc w:val="left"/>
        <w:rPr>
          <w:sz w:val="20"/>
          <w:szCs w:val="20"/>
        </w:rPr>
      </w:pPr>
      <w:r w:rsidRPr="002C21B8">
        <w:rPr>
          <w:rStyle w:val="Strong"/>
          <w:sz w:val="20"/>
          <w:szCs w:val="20"/>
        </w:rPr>
        <w:t>Section 2 - Tolvaptan treatment pathways and decision-making</w:t>
      </w:r>
      <w:r w:rsidR="002B27F4" w:rsidRPr="002C21B8">
        <w:rPr>
          <w:rStyle w:val="apple-converted-space"/>
          <w:sz w:val="20"/>
          <w:szCs w:val="20"/>
        </w:rPr>
        <w:t xml:space="preserve"> </w:t>
      </w:r>
      <w:r w:rsidRPr="002C21B8">
        <w:rPr>
          <w:rStyle w:val="Strong"/>
          <w:sz w:val="20"/>
          <w:szCs w:val="20"/>
          <w:u w:val="single"/>
        </w:rPr>
        <w:t>at your centre</w:t>
      </w:r>
    </w:p>
    <w:p w14:paraId="245AD83D" w14:textId="77777777" w:rsidR="007D6AF3" w:rsidRPr="002C21B8" w:rsidRDefault="007D6AF3" w:rsidP="00DE7E92">
      <w:pPr>
        <w:jc w:val="left"/>
        <w:rPr>
          <w:sz w:val="20"/>
          <w:szCs w:val="20"/>
        </w:rPr>
      </w:pPr>
      <w:r w:rsidRPr="002C21B8">
        <w:rPr>
          <w:sz w:val="20"/>
          <w:szCs w:val="20"/>
        </w:rPr>
        <w:t>Q9. Who is involved in the tolvaptan treatment pathway at your centre? (includes all stages from eligibility assessment to monitoring)</w:t>
      </w:r>
      <w:r w:rsidRPr="002C21B8">
        <w:rPr>
          <w:sz w:val="20"/>
          <w:szCs w:val="20"/>
        </w:rPr>
        <w:br/>
      </w:r>
      <w:r w:rsidRPr="002C21B8">
        <w:rPr>
          <w:rStyle w:val="Emphasis"/>
          <w:rFonts w:eastAsiaTheme="majorEastAsia"/>
          <w:color w:val="000000" w:themeColor="text1"/>
          <w:sz w:val="20"/>
          <w:szCs w:val="20"/>
        </w:rPr>
        <w:t>(please select all that apply)</w:t>
      </w:r>
    </w:p>
    <w:p w14:paraId="4C26619F" w14:textId="77777777" w:rsidR="007D6AF3" w:rsidRPr="002C21B8" w:rsidRDefault="007D6AF3" w:rsidP="00A97F07">
      <w:pPr>
        <w:pStyle w:val="ListParagraph"/>
        <w:numPr>
          <w:ilvl w:val="0"/>
          <w:numId w:val="22"/>
        </w:numPr>
        <w:jc w:val="left"/>
        <w:rPr>
          <w:sz w:val="20"/>
          <w:szCs w:val="20"/>
        </w:rPr>
      </w:pPr>
      <w:r w:rsidRPr="002C21B8">
        <w:rPr>
          <w:rStyle w:val="labelwrapper"/>
          <w:color w:val="000000" w:themeColor="text1"/>
          <w:sz w:val="20"/>
          <w:szCs w:val="20"/>
        </w:rPr>
        <w:t>Consultant nephrologist(s)</w:t>
      </w:r>
    </w:p>
    <w:p w14:paraId="777BE9D9" w14:textId="77777777" w:rsidR="007D6AF3" w:rsidRPr="002C21B8" w:rsidRDefault="007D6AF3" w:rsidP="00A97F07">
      <w:pPr>
        <w:pStyle w:val="ListParagraph"/>
        <w:numPr>
          <w:ilvl w:val="0"/>
          <w:numId w:val="22"/>
        </w:numPr>
        <w:jc w:val="left"/>
        <w:rPr>
          <w:sz w:val="20"/>
          <w:szCs w:val="20"/>
        </w:rPr>
      </w:pPr>
      <w:r w:rsidRPr="002C21B8">
        <w:rPr>
          <w:rStyle w:val="labelwrapper"/>
          <w:color w:val="000000" w:themeColor="text1"/>
          <w:sz w:val="20"/>
          <w:szCs w:val="20"/>
        </w:rPr>
        <w:t>Nephrology specialist registrar(s)</w:t>
      </w:r>
    </w:p>
    <w:p w14:paraId="67C728E9" w14:textId="77777777" w:rsidR="007D6AF3" w:rsidRPr="002C21B8" w:rsidRDefault="007D6AF3" w:rsidP="00A97F07">
      <w:pPr>
        <w:pStyle w:val="ListParagraph"/>
        <w:numPr>
          <w:ilvl w:val="0"/>
          <w:numId w:val="22"/>
        </w:numPr>
        <w:jc w:val="left"/>
        <w:rPr>
          <w:sz w:val="20"/>
          <w:szCs w:val="20"/>
        </w:rPr>
      </w:pPr>
      <w:r w:rsidRPr="002C21B8">
        <w:rPr>
          <w:rStyle w:val="labelwrapper"/>
          <w:color w:val="000000" w:themeColor="text1"/>
          <w:sz w:val="20"/>
          <w:szCs w:val="20"/>
        </w:rPr>
        <w:t>Specialist renal pharmacist(s)</w:t>
      </w:r>
    </w:p>
    <w:p w14:paraId="5E794EE1" w14:textId="77777777" w:rsidR="007D6AF3" w:rsidRPr="002C21B8" w:rsidRDefault="007D6AF3" w:rsidP="00A97F07">
      <w:pPr>
        <w:pStyle w:val="ListParagraph"/>
        <w:numPr>
          <w:ilvl w:val="0"/>
          <w:numId w:val="22"/>
        </w:numPr>
        <w:jc w:val="left"/>
        <w:rPr>
          <w:sz w:val="20"/>
          <w:szCs w:val="20"/>
        </w:rPr>
      </w:pPr>
      <w:r w:rsidRPr="002C21B8">
        <w:rPr>
          <w:rStyle w:val="labelwrapper"/>
          <w:color w:val="000000" w:themeColor="text1"/>
          <w:sz w:val="20"/>
          <w:szCs w:val="20"/>
        </w:rPr>
        <w:t>Specialist renal nurse(s)</w:t>
      </w:r>
    </w:p>
    <w:p w14:paraId="6ED3FE94" w14:textId="77777777" w:rsidR="007D6AF3" w:rsidRPr="002C21B8" w:rsidRDefault="007D6AF3" w:rsidP="00A97F07">
      <w:pPr>
        <w:pStyle w:val="ListParagraph"/>
        <w:numPr>
          <w:ilvl w:val="0"/>
          <w:numId w:val="22"/>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360AA096" w14:textId="77777777" w:rsidTr="00BD586A">
        <w:tc>
          <w:tcPr>
            <w:tcW w:w="9016" w:type="dxa"/>
          </w:tcPr>
          <w:p w14:paraId="55DA62BC" w14:textId="77777777" w:rsidR="007D6AF3" w:rsidRPr="002C21B8" w:rsidRDefault="007D6AF3" w:rsidP="00DE7E92">
            <w:pPr>
              <w:jc w:val="left"/>
              <w:rPr>
                <w:rStyle w:val="labelwrapper"/>
                <w:color w:val="000000" w:themeColor="text1"/>
                <w:sz w:val="20"/>
                <w:szCs w:val="20"/>
              </w:rPr>
            </w:pPr>
          </w:p>
        </w:tc>
      </w:tr>
    </w:tbl>
    <w:p w14:paraId="50BF6F9C" w14:textId="77777777" w:rsidR="007D6AF3" w:rsidRPr="002C21B8" w:rsidRDefault="007D6AF3" w:rsidP="00DE7E92">
      <w:pPr>
        <w:jc w:val="left"/>
        <w:rPr>
          <w:rStyle w:val="labelwrapper"/>
          <w:color w:val="000000" w:themeColor="text1"/>
          <w:sz w:val="20"/>
          <w:szCs w:val="20"/>
        </w:rPr>
      </w:pPr>
    </w:p>
    <w:p w14:paraId="5B299AB2" w14:textId="77777777" w:rsidR="007D6AF3" w:rsidRPr="002C21B8" w:rsidRDefault="007D6AF3" w:rsidP="00DE7E92">
      <w:pPr>
        <w:jc w:val="left"/>
        <w:rPr>
          <w:sz w:val="20"/>
          <w:szCs w:val="20"/>
        </w:rPr>
      </w:pPr>
      <w:r w:rsidRPr="002C21B8">
        <w:rPr>
          <w:sz w:val="20"/>
          <w:szCs w:val="20"/>
        </w:rPr>
        <w:t>Q10. Where does the initial assessment of eligibility for tolvaptan take place at your centre?</w:t>
      </w:r>
      <w:r w:rsidRPr="002C21B8">
        <w:rPr>
          <w:sz w:val="20"/>
          <w:szCs w:val="20"/>
        </w:rPr>
        <w:br/>
      </w:r>
      <w:r w:rsidRPr="002C21B8">
        <w:rPr>
          <w:rStyle w:val="Emphasis"/>
          <w:rFonts w:eastAsiaTheme="majorEastAsia"/>
          <w:color w:val="000000" w:themeColor="text1"/>
          <w:sz w:val="20"/>
          <w:szCs w:val="20"/>
        </w:rPr>
        <w:t>(please select all that apply)</w:t>
      </w:r>
    </w:p>
    <w:p w14:paraId="66209580" w14:textId="77777777" w:rsidR="007D6AF3" w:rsidRPr="002C21B8" w:rsidRDefault="007D6AF3" w:rsidP="00A97F07">
      <w:pPr>
        <w:pStyle w:val="ListParagraph"/>
        <w:numPr>
          <w:ilvl w:val="0"/>
          <w:numId w:val="23"/>
        </w:numPr>
        <w:jc w:val="left"/>
        <w:rPr>
          <w:sz w:val="20"/>
          <w:szCs w:val="20"/>
        </w:rPr>
      </w:pPr>
      <w:r w:rsidRPr="002C21B8">
        <w:rPr>
          <w:rStyle w:val="labelwrapper"/>
          <w:color w:val="000000" w:themeColor="text1"/>
          <w:sz w:val="20"/>
          <w:szCs w:val="20"/>
        </w:rPr>
        <w:t>General nephrology clinic</w:t>
      </w:r>
    </w:p>
    <w:p w14:paraId="0B142C7D" w14:textId="77777777" w:rsidR="007D6AF3" w:rsidRPr="002C21B8" w:rsidRDefault="007D6AF3" w:rsidP="00A97F07">
      <w:pPr>
        <w:pStyle w:val="ListParagraph"/>
        <w:numPr>
          <w:ilvl w:val="0"/>
          <w:numId w:val="23"/>
        </w:numPr>
        <w:jc w:val="left"/>
        <w:rPr>
          <w:sz w:val="20"/>
          <w:szCs w:val="20"/>
        </w:rPr>
      </w:pPr>
      <w:r w:rsidRPr="002C21B8">
        <w:rPr>
          <w:rStyle w:val="labelwrapper"/>
          <w:color w:val="000000" w:themeColor="text1"/>
          <w:sz w:val="20"/>
          <w:szCs w:val="20"/>
        </w:rPr>
        <w:t>Clinical genetics clinic</w:t>
      </w:r>
    </w:p>
    <w:p w14:paraId="1FFB7AD9" w14:textId="77777777" w:rsidR="007D6AF3" w:rsidRPr="002C21B8" w:rsidRDefault="007D6AF3" w:rsidP="00A97F07">
      <w:pPr>
        <w:pStyle w:val="ListParagraph"/>
        <w:numPr>
          <w:ilvl w:val="0"/>
          <w:numId w:val="23"/>
        </w:numPr>
        <w:jc w:val="left"/>
        <w:rPr>
          <w:sz w:val="20"/>
          <w:szCs w:val="20"/>
        </w:rPr>
      </w:pPr>
      <w:r w:rsidRPr="002C21B8">
        <w:rPr>
          <w:rStyle w:val="labelwrapper"/>
          <w:color w:val="000000" w:themeColor="text1"/>
          <w:sz w:val="20"/>
          <w:szCs w:val="20"/>
        </w:rPr>
        <w:t>Polycystic kidney disease clinic</w:t>
      </w:r>
    </w:p>
    <w:p w14:paraId="0DA49C98" w14:textId="77777777" w:rsidR="007D6AF3" w:rsidRPr="002C21B8" w:rsidRDefault="007D6AF3" w:rsidP="00A97F07">
      <w:pPr>
        <w:pStyle w:val="ListParagraph"/>
        <w:numPr>
          <w:ilvl w:val="0"/>
          <w:numId w:val="23"/>
        </w:numPr>
        <w:jc w:val="left"/>
        <w:rPr>
          <w:sz w:val="20"/>
          <w:szCs w:val="20"/>
        </w:rPr>
      </w:pPr>
      <w:r w:rsidRPr="002C21B8">
        <w:rPr>
          <w:rStyle w:val="labelwrapper"/>
          <w:color w:val="000000" w:themeColor="text1"/>
          <w:sz w:val="20"/>
          <w:szCs w:val="20"/>
        </w:rPr>
        <w:t>Tolvaptan clinic</w:t>
      </w:r>
    </w:p>
    <w:p w14:paraId="7F182AD0" w14:textId="77777777" w:rsidR="007D6AF3" w:rsidRPr="002C21B8" w:rsidRDefault="007D6AF3" w:rsidP="00A97F07">
      <w:pPr>
        <w:pStyle w:val="ListParagraph"/>
        <w:numPr>
          <w:ilvl w:val="0"/>
          <w:numId w:val="23"/>
        </w:numPr>
        <w:jc w:val="left"/>
        <w:rPr>
          <w:rStyle w:val="labelwrapper"/>
          <w:color w:val="000000" w:themeColor="text1"/>
          <w:sz w:val="20"/>
          <w:szCs w:val="20"/>
        </w:rPr>
      </w:pPr>
      <w:r w:rsidRPr="002C21B8">
        <w:rPr>
          <w:rStyle w:val="labelwrapper"/>
          <w:color w:val="000000" w:themeColor="text1"/>
          <w:sz w:val="20"/>
          <w:szCs w:val="20"/>
        </w:rPr>
        <w:t xml:space="preserve">Other (please specify): </w:t>
      </w:r>
    </w:p>
    <w:tbl>
      <w:tblPr>
        <w:tblStyle w:val="TableGrid"/>
        <w:tblW w:w="0" w:type="auto"/>
        <w:tblInd w:w="720" w:type="dxa"/>
        <w:tblLook w:val="04A0" w:firstRow="1" w:lastRow="0" w:firstColumn="1" w:lastColumn="0" w:noHBand="0" w:noVBand="1"/>
      </w:tblPr>
      <w:tblGrid>
        <w:gridCol w:w="8296"/>
      </w:tblGrid>
      <w:tr w:rsidR="007D6AF3" w:rsidRPr="002C21B8" w14:paraId="7E4B18B1" w14:textId="77777777" w:rsidTr="00BD586A">
        <w:tc>
          <w:tcPr>
            <w:tcW w:w="9016" w:type="dxa"/>
          </w:tcPr>
          <w:p w14:paraId="5D2F6539" w14:textId="77777777" w:rsidR="007D6AF3" w:rsidRPr="002C21B8" w:rsidRDefault="007D6AF3" w:rsidP="00DE7E92">
            <w:pPr>
              <w:jc w:val="left"/>
              <w:rPr>
                <w:rStyle w:val="labelwrapper"/>
                <w:color w:val="000000" w:themeColor="text1"/>
                <w:sz w:val="20"/>
                <w:szCs w:val="20"/>
              </w:rPr>
            </w:pPr>
          </w:p>
        </w:tc>
      </w:tr>
    </w:tbl>
    <w:p w14:paraId="21FF281A" w14:textId="77777777" w:rsidR="007D6AF3" w:rsidRPr="002C21B8" w:rsidRDefault="007D6AF3" w:rsidP="00DE7E92">
      <w:pPr>
        <w:jc w:val="left"/>
        <w:rPr>
          <w:rStyle w:val="message"/>
          <w:color w:val="000000" w:themeColor="text1"/>
          <w:sz w:val="20"/>
          <w:szCs w:val="20"/>
        </w:rPr>
      </w:pPr>
    </w:p>
    <w:p w14:paraId="54B23334" w14:textId="77777777" w:rsidR="007D6AF3" w:rsidRPr="002C21B8" w:rsidRDefault="007D6AF3" w:rsidP="00DE7E92">
      <w:pPr>
        <w:jc w:val="left"/>
        <w:rPr>
          <w:sz w:val="20"/>
          <w:szCs w:val="20"/>
        </w:rPr>
      </w:pPr>
      <w:r w:rsidRPr="002C21B8">
        <w:rPr>
          <w:sz w:val="20"/>
          <w:szCs w:val="20"/>
        </w:rPr>
        <w:t>Q11. How are decisions about eligibility for tolvaptan made at your centre?</w:t>
      </w:r>
      <w:r w:rsidRPr="002C21B8">
        <w:rPr>
          <w:sz w:val="20"/>
          <w:szCs w:val="20"/>
        </w:rPr>
        <w:br/>
      </w:r>
      <w:r w:rsidRPr="002C21B8">
        <w:rPr>
          <w:rStyle w:val="Emphasis"/>
          <w:rFonts w:eastAsiaTheme="majorEastAsia"/>
          <w:color w:val="000000" w:themeColor="text1"/>
          <w:sz w:val="20"/>
          <w:szCs w:val="20"/>
        </w:rPr>
        <w:t>(please select one option)</w:t>
      </w:r>
    </w:p>
    <w:p w14:paraId="53632FDA" w14:textId="77777777" w:rsidR="007D6AF3" w:rsidRPr="002C21B8" w:rsidRDefault="007D6AF3" w:rsidP="00A97F07">
      <w:pPr>
        <w:pStyle w:val="ListParagraph"/>
        <w:numPr>
          <w:ilvl w:val="0"/>
          <w:numId w:val="24"/>
        </w:numPr>
        <w:jc w:val="left"/>
        <w:rPr>
          <w:sz w:val="20"/>
          <w:szCs w:val="20"/>
        </w:rPr>
      </w:pPr>
      <w:r w:rsidRPr="002C21B8">
        <w:rPr>
          <w:rStyle w:val="labelwrapper"/>
          <w:color w:val="000000" w:themeColor="text1"/>
          <w:sz w:val="20"/>
          <w:szCs w:val="20"/>
        </w:rPr>
        <w:t>By a single prescriber</w:t>
      </w:r>
    </w:p>
    <w:p w14:paraId="1F2F8F7F" w14:textId="77777777" w:rsidR="007D6AF3" w:rsidRPr="002C21B8" w:rsidRDefault="007D6AF3" w:rsidP="00A97F07">
      <w:pPr>
        <w:pStyle w:val="ListParagraph"/>
        <w:numPr>
          <w:ilvl w:val="0"/>
          <w:numId w:val="24"/>
        </w:numPr>
        <w:jc w:val="left"/>
        <w:rPr>
          <w:sz w:val="20"/>
          <w:szCs w:val="20"/>
        </w:rPr>
      </w:pPr>
      <w:r w:rsidRPr="002C21B8">
        <w:rPr>
          <w:rStyle w:val="labelwrapper"/>
          <w:color w:val="000000" w:themeColor="text1"/>
          <w:sz w:val="20"/>
          <w:szCs w:val="20"/>
        </w:rPr>
        <w:t>By multiple individual prescribers independently</w:t>
      </w:r>
    </w:p>
    <w:p w14:paraId="7EA0B1AE" w14:textId="77777777" w:rsidR="007D6AF3" w:rsidRPr="002C21B8" w:rsidRDefault="007D6AF3" w:rsidP="00A97F07">
      <w:pPr>
        <w:pStyle w:val="ListParagraph"/>
        <w:numPr>
          <w:ilvl w:val="0"/>
          <w:numId w:val="24"/>
        </w:numPr>
        <w:jc w:val="left"/>
        <w:rPr>
          <w:sz w:val="20"/>
          <w:szCs w:val="20"/>
        </w:rPr>
      </w:pPr>
      <w:r w:rsidRPr="002C21B8">
        <w:rPr>
          <w:rStyle w:val="labelwrapper"/>
          <w:color w:val="000000" w:themeColor="text1"/>
          <w:sz w:val="20"/>
          <w:szCs w:val="20"/>
        </w:rPr>
        <w:t>By a multi-disciplinary team (MDT) through joint discussion</w:t>
      </w:r>
    </w:p>
    <w:p w14:paraId="75CD6967" w14:textId="77777777" w:rsidR="007D6AF3" w:rsidRPr="002C21B8" w:rsidRDefault="007D6AF3" w:rsidP="00A97F07">
      <w:pPr>
        <w:pStyle w:val="ListParagraph"/>
        <w:numPr>
          <w:ilvl w:val="0"/>
          <w:numId w:val="24"/>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265E04ED" w14:textId="77777777" w:rsidTr="00BD586A">
        <w:tc>
          <w:tcPr>
            <w:tcW w:w="9016" w:type="dxa"/>
          </w:tcPr>
          <w:p w14:paraId="645184BC" w14:textId="77777777" w:rsidR="007D6AF3" w:rsidRPr="002C21B8" w:rsidRDefault="007D6AF3" w:rsidP="00DE7E92">
            <w:pPr>
              <w:jc w:val="left"/>
              <w:rPr>
                <w:rStyle w:val="labelwrapper"/>
                <w:color w:val="000000" w:themeColor="text1"/>
                <w:sz w:val="20"/>
                <w:szCs w:val="20"/>
              </w:rPr>
            </w:pPr>
          </w:p>
        </w:tc>
      </w:tr>
    </w:tbl>
    <w:p w14:paraId="7FEFCFC3" w14:textId="77777777" w:rsidR="007D6AF3" w:rsidRPr="002C21B8" w:rsidRDefault="007D6AF3" w:rsidP="00DE7E92">
      <w:pPr>
        <w:jc w:val="left"/>
        <w:rPr>
          <w:rStyle w:val="message"/>
          <w:color w:val="000000" w:themeColor="text1"/>
          <w:sz w:val="20"/>
          <w:szCs w:val="20"/>
        </w:rPr>
      </w:pPr>
    </w:p>
    <w:p w14:paraId="08396051" w14:textId="77777777" w:rsidR="00A80CEF" w:rsidRPr="002C21B8" w:rsidRDefault="00A80CEF" w:rsidP="00DE7E92">
      <w:pPr>
        <w:jc w:val="left"/>
        <w:rPr>
          <w:sz w:val="20"/>
          <w:szCs w:val="20"/>
        </w:rPr>
      </w:pPr>
      <w:r w:rsidRPr="002C21B8">
        <w:rPr>
          <w:sz w:val="20"/>
          <w:szCs w:val="20"/>
        </w:rPr>
        <w:br w:type="page"/>
      </w:r>
    </w:p>
    <w:p w14:paraId="2E02599C" w14:textId="17DCAF2F" w:rsidR="007D6AF3" w:rsidRPr="002C21B8" w:rsidRDefault="007D6AF3" w:rsidP="00DE7E92">
      <w:pPr>
        <w:jc w:val="left"/>
        <w:rPr>
          <w:sz w:val="20"/>
          <w:szCs w:val="20"/>
        </w:rPr>
      </w:pPr>
      <w:r w:rsidRPr="002C21B8">
        <w:rPr>
          <w:sz w:val="20"/>
          <w:szCs w:val="20"/>
        </w:rPr>
        <w:t>Q12. Who is primarily responsible for determining eligibility for tolvaptan at your centre?</w:t>
      </w:r>
      <w:r w:rsidRPr="002C21B8">
        <w:rPr>
          <w:sz w:val="20"/>
          <w:szCs w:val="20"/>
        </w:rPr>
        <w:br/>
      </w:r>
      <w:r w:rsidRPr="002C21B8">
        <w:rPr>
          <w:rStyle w:val="Emphasis"/>
          <w:rFonts w:eastAsiaTheme="majorEastAsia"/>
          <w:color w:val="000000" w:themeColor="text1"/>
          <w:sz w:val="20"/>
          <w:szCs w:val="20"/>
        </w:rPr>
        <w:t>(please select one option)</w:t>
      </w:r>
    </w:p>
    <w:p w14:paraId="2B34938F" w14:textId="77777777" w:rsidR="007D6AF3" w:rsidRPr="002C21B8" w:rsidRDefault="007D6AF3" w:rsidP="00A97F07">
      <w:pPr>
        <w:pStyle w:val="ListParagraph"/>
        <w:numPr>
          <w:ilvl w:val="0"/>
          <w:numId w:val="25"/>
        </w:numPr>
        <w:jc w:val="left"/>
        <w:rPr>
          <w:sz w:val="20"/>
          <w:szCs w:val="20"/>
        </w:rPr>
      </w:pPr>
      <w:r w:rsidRPr="002C21B8">
        <w:rPr>
          <w:rStyle w:val="labelwrapper"/>
          <w:color w:val="000000" w:themeColor="text1"/>
          <w:sz w:val="20"/>
          <w:szCs w:val="20"/>
        </w:rPr>
        <w:t>General nephrology consultant(s)</w:t>
      </w:r>
    </w:p>
    <w:p w14:paraId="1B0D9F48" w14:textId="77777777" w:rsidR="007D6AF3" w:rsidRPr="002C21B8" w:rsidRDefault="007D6AF3" w:rsidP="00A97F07">
      <w:pPr>
        <w:pStyle w:val="ListParagraph"/>
        <w:numPr>
          <w:ilvl w:val="0"/>
          <w:numId w:val="25"/>
        </w:numPr>
        <w:jc w:val="left"/>
        <w:rPr>
          <w:sz w:val="20"/>
          <w:szCs w:val="20"/>
        </w:rPr>
      </w:pPr>
      <w:r w:rsidRPr="002C21B8">
        <w:rPr>
          <w:rStyle w:val="labelwrapper"/>
          <w:color w:val="000000" w:themeColor="text1"/>
          <w:sz w:val="20"/>
          <w:szCs w:val="20"/>
        </w:rPr>
        <w:t>Nephrology consultant(s) with ADPKD/Clinical genetics interest</w:t>
      </w:r>
    </w:p>
    <w:p w14:paraId="74A447D2" w14:textId="77777777" w:rsidR="007D6AF3" w:rsidRPr="002C21B8" w:rsidRDefault="007D6AF3" w:rsidP="00A97F07">
      <w:pPr>
        <w:pStyle w:val="ListParagraph"/>
        <w:numPr>
          <w:ilvl w:val="0"/>
          <w:numId w:val="25"/>
        </w:numPr>
        <w:jc w:val="left"/>
        <w:rPr>
          <w:sz w:val="20"/>
          <w:szCs w:val="20"/>
        </w:rPr>
      </w:pPr>
      <w:r w:rsidRPr="002C21B8">
        <w:rPr>
          <w:rStyle w:val="labelwrapper"/>
          <w:color w:val="000000" w:themeColor="text1"/>
          <w:sz w:val="20"/>
          <w:szCs w:val="20"/>
        </w:rPr>
        <w:t>Nephrology specialist registrar(s)</w:t>
      </w:r>
    </w:p>
    <w:p w14:paraId="5D644C1B" w14:textId="77777777" w:rsidR="007D6AF3" w:rsidRPr="002C21B8" w:rsidRDefault="007D6AF3" w:rsidP="00A97F07">
      <w:pPr>
        <w:pStyle w:val="ListParagraph"/>
        <w:numPr>
          <w:ilvl w:val="0"/>
          <w:numId w:val="25"/>
        </w:numPr>
        <w:jc w:val="left"/>
        <w:rPr>
          <w:sz w:val="20"/>
          <w:szCs w:val="20"/>
        </w:rPr>
      </w:pPr>
      <w:r w:rsidRPr="002C21B8">
        <w:rPr>
          <w:rStyle w:val="labelwrapper"/>
          <w:color w:val="000000" w:themeColor="text1"/>
          <w:sz w:val="20"/>
          <w:szCs w:val="20"/>
        </w:rPr>
        <w:t>Specialist renal nurse(s)</w:t>
      </w:r>
    </w:p>
    <w:p w14:paraId="6BC89B92" w14:textId="77777777" w:rsidR="007D6AF3" w:rsidRPr="002C21B8" w:rsidRDefault="007D6AF3" w:rsidP="00A97F07">
      <w:pPr>
        <w:pStyle w:val="ListParagraph"/>
        <w:numPr>
          <w:ilvl w:val="0"/>
          <w:numId w:val="25"/>
        </w:numPr>
        <w:jc w:val="left"/>
        <w:rPr>
          <w:sz w:val="20"/>
          <w:szCs w:val="20"/>
        </w:rPr>
      </w:pPr>
      <w:r w:rsidRPr="002C21B8">
        <w:rPr>
          <w:rStyle w:val="labelwrapper"/>
          <w:color w:val="000000" w:themeColor="text1"/>
          <w:sz w:val="20"/>
          <w:szCs w:val="20"/>
        </w:rPr>
        <w:t>Specialist renal pharmacist(s)</w:t>
      </w:r>
    </w:p>
    <w:p w14:paraId="0A05223C" w14:textId="77777777" w:rsidR="007D6AF3" w:rsidRPr="002C21B8" w:rsidRDefault="007D6AF3" w:rsidP="00A97F07">
      <w:pPr>
        <w:pStyle w:val="ListParagraph"/>
        <w:numPr>
          <w:ilvl w:val="0"/>
          <w:numId w:val="25"/>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2F57DA00" w14:textId="77777777" w:rsidTr="00BD586A">
        <w:tc>
          <w:tcPr>
            <w:tcW w:w="9016" w:type="dxa"/>
          </w:tcPr>
          <w:p w14:paraId="01FF0462" w14:textId="77777777" w:rsidR="007D6AF3" w:rsidRPr="002C21B8" w:rsidRDefault="007D6AF3" w:rsidP="00DE7E92">
            <w:pPr>
              <w:jc w:val="left"/>
              <w:rPr>
                <w:rStyle w:val="labelwrapper"/>
                <w:color w:val="000000" w:themeColor="text1"/>
                <w:sz w:val="20"/>
                <w:szCs w:val="20"/>
              </w:rPr>
            </w:pPr>
          </w:p>
        </w:tc>
      </w:tr>
    </w:tbl>
    <w:p w14:paraId="585306E5" w14:textId="77777777" w:rsidR="007D6AF3" w:rsidRPr="002C21B8" w:rsidRDefault="007D6AF3" w:rsidP="00DE7E92">
      <w:pPr>
        <w:jc w:val="left"/>
        <w:rPr>
          <w:rStyle w:val="message"/>
          <w:color w:val="000000" w:themeColor="text1"/>
          <w:sz w:val="20"/>
          <w:szCs w:val="20"/>
        </w:rPr>
      </w:pPr>
    </w:p>
    <w:p w14:paraId="043C6852" w14:textId="61053E34" w:rsidR="007D6AF3" w:rsidRPr="002C21B8" w:rsidRDefault="007D6AF3" w:rsidP="00DE7E92">
      <w:pPr>
        <w:jc w:val="left"/>
        <w:rPr>
          <w:sz w:val="20"/>
          <w:szCs w:val="20"/>
        </w:rPr>
      </w:pPr>
      <w:r w:rsidRPr="002C21B8">
        <w:rPr>
          <w:sz w:val="20"/>
          <w:szCs w:val="20"/>
        </w:rPr>
        <w:t>Q13. If patients are determined to be eligible, where is tolvaptan</w:t>
      </w:r>
      <w:r w:rsidR="002B27F4" w:rsidRPr="002C21B8">
        <w:rPr>
          <w:rStyle w:val="apple-converted-space"/>
          <w:color w:val="000000" w:themeColor="text1"/>
          <w:sz w:val="20"/>
          <w:szCs w:val="20"/>
        </w:rPr>
        <w:t xml:space="preserve"> </w:t>
      </w:r>
      <w:r w:rsidRPr="002C21B8">
        <w:rPr>
          <w:rStyle w:val="Strong"/>
          <w:color w:val="000000" w:themeColor="text1"/>
          <w:sz w:val="20"/>
          <w:szCs w:val="20"/>
          <w:u w:val="single"/>
        </w:rPr>
        <w:t>initiated</w:t>
      </w:r>
      <w:r w:rsidR="002B27F4" w:rsidRPr="002C21B8">
        <w:rPr>
          <w:rStyle w:val="apple-converted-space"/>
          <w:color w:val="000000" w:themeColor="text1"/>
          <w:sz w:val="20"/>
          <w:szCs w:val="20"/>
        </w:rPr>
        <w:t xml:space="preserve"> </w:t>
      </w:r>
      <w:r w:rsidRPr="002C21B8">
        <w:rPr>
          <w:sz w:val="20"/>
          <w:szCs w:val="20"/>
        </w:rPr>
        <w:t>at your centre?</w:t>
      </w:r>
      <w:r w:rsidRPr="002C21B8">
        <w:rPr>
          <w:sz w:val="20"/>
          <w:szCs w:val="20"/>
        </w:rPr>
        <w:br/>
      </w:r>
      <w:r w:rsidRPr="002C21B8">
        <w:rPr>
          <w:rStyle w:val="Emphasis"/>
          <w:rFonts w:eastAsiaTheme="majorEastAsia"/>
          <w:color w:val="000000" w:themeColor="text1"/>
          <w:sz w:val="20"/>
          <w:szCs w:val="20"/>
        </w:rPr>
        <w:t>(please select all that apply)</w:t>
      </w:r>
    </w:p>
    <w:p w14:paraId="1C7ABF33" w14:textId="77777777" w:rsidR="007D6AF3" w:rsidRPr="002C21B8" w:rsidRDefault="007D6AF3" w:rsidP="00A97F07">
      <w:pPr>
        <w:pStyle w:val="ListParagraph"/>
        <w:numPr>
          <w:ilvl w:val="0"/>
          <w:numId w:val="27"/>
        </w:numPr>
        <w:jc w:val="left"/>
        <w:rPr>
          <w:sz w:val="20"/>
          <w:szCs w:val="20"/>
        </w:rPr>
      </w:pPr>
      <w:r w:rsidRPr="002C21B8">
        <w:rPr>
          <w:rStyle w:val="labelwrapper"/>
          <w:color w:val="000000" w:themeColor="text1"/>
          <w:sz w:val="20"/>
          <w:szCs w:val="20"/>
        </w:rPr>
        <w:t>General nephrology clinic</w:t>
      </w:r>
    </w:p>
    <w:p w14:paraId="2C05BDDA" w14:textId="77777777" w:rsidR="007D6AF3" w:rsidRPr="002C21B8" w:rsidRDefault="007D6AF3" w:rsidP="00A97F07">
      <w:pPr>
        <w:pStyle w:val="ListParagraph"/>
        <w:numPr>
          <w:ilvl w:val="0"/>
          <w:numId w:val="27"/>
        </w:numPr>
        <w:jc w:val="left"/>
        <w:rPr>
          <w:sz w:val="20"/>
          <w:szCs w:val="20"/>
        </w:rPr>
      </w:pPr>
      <w:r w:rsidRPr="002C21B8">
        <w:rPr>
          <w:rStyle w:val="labelwrapper"/>
          <w:color w:val="000000" w:themeColor="text1"/>
          <w:sz w:val="20"/>
          <w:szCs w:val="20"/>
        </w:rPr>
        <w:t>Clinical genetics clinic</w:t>
      </w:r>
    </w:p>
    <w:p w14:paraId="7351221E" w14:textId="77777777" w:rsidR="007D6AF3" w:rsidRPr="002C21B8" w:rsidRDefault="007D6AF3" w:rsidP="00A97F07">
      <w:pPr>
        <w:pStyle w:val="ListParagraph"/>
        <w:numPr>
          <w:ilvl w:val="0"/>
          <w:numId w:val="27"/>
        </w:numPr>
        <w:jc w:val="left"/>
        <w:rPr>
          <w:sz w:val="20"/>
          <w:szCs w:val="20"/>
        </w:rPr>
      </w:pPr>
      <w:r w:rsidRPr="002C21B8">
        <w:rPr>
          <w:rStyle w:val="labelwrapper"/>
          <w:color w:val="000000" w:themeColor="text1"/>
          <w:sz w:val="20"/>
          <w:szCs w:val="20"/>
        </w:rPr>
        <w:t>Polycystic kidney disease clinic</w:t>
      </w:r>
    </w:p>
    <w:p w14:paraId="0A96D582" w14:textId="77777777" w:rsidR="007D6AF3" w:rsidRPr="002C21B8" w:rsidRDefault="007D6AF3" w:rsidP="00A97F07">
      <w:pPr>
        <w:pStyle w:val="ListParagraph"/>
        <w:numPr>
          <w:ilvl w:val="0"/>
          <w:numId w:val="27"/>
        </w:numPr>
        <w:jc w:val="left"/>
        <w:rPr>
          <w:sz w:val="20"/>
          <w:szCs w:val="20"/>
        </w:rPr>
      </w:pPr>
      <w:r w:rsidRPr="002C21B8">
        <w:rPr>
          <w:rStyle w:val="labelwrapper"/>
          <w:color w:val="000000" w:themeColor="text1"/>
          <w:sz w:val="20"/>
          <w:szCs w:val="20"/>
        </w:rPr>
        <w:t>Tolvaptan clinic</w:t>
      </w:r>
    </w:p>
    <w:p w14:paraId="57899266" w14:textId="77777777" w:rsidR="007D6AF3" w:rsidRPr="002C21B8" w:rsidRDefault="007D6AF3" w:rsidP="00A97F07">
      <w:pPr>
        <w:pStyle w:val="ListParagraph"/>
        <w:numPr>
          <w:ilvl w:val="0"/>
          <w:numId w:val="27"/>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5D212944" w14:textId="77777777" w:rsidTr="00BD586A">
        <w:tc>
          <w:tcPr>
            <w:tcW w:w="9016" w:type="dxa"/>
          </w:tcPr>
          <w:p w14:paraId="53C23968" w14:textId="77777777" w:rsidR="007D6AF3" w:rsidRPr="002C21B8" w:rsidRDefault="007D6AF3" w:rsidP="00DE7E92">
            <w:pPr>
              <w:jc w:val="left"/>
              <w:rPr>
                <w:rStyle w:val="labelwrapper"/>
                <w:color w:val="000000" w:themeColor="text1"/>
                <w:sz w:val="20"/>
                <w:szCs w:val="20"/>
              </w:rPr>
            </w:pPr>
          </w:p>
        </w:tc>
      </w:tr>
    </w:tbl>
    <w:p w14:paraId="5C38F16A" w14:textId="77777777" w:rsidR="007D6AF3" w:rsidRPr="002C21B8" w:rsidRDefault="007D6AF3" w:rsidP="00DE7E92">
      <w:pPr>
        <w:jc w:val="left"/>
        <w:rPr>
          <w:rStyle w:val="message"/>
          <w:color w:val="000000" w:themeColor="text1"/>
          <w:sz w:val="20"/>
          <w:szCs w:val="20"/>
        </w:rPr>
      </w:pPr>
    </w:p>
    <w:p w14:paraId="0F9255F0" w14:textId="77777777" w:rsidR="007D6AF3" w:rsidRPr="002C21B8" w:rsidRDefault="007D6AF3" w:rsidP="00DE7E92">
      <w:pPr>
        <w:jc w:val="left"/>
        <w:rPr>
          <w:sz w:val="20"/>
          <w:szCs w:val="20"/>
        </w:rPr>
      </w:pPr>
      <w:r w:rsidRPr="002C21B8">
        <w:rPr>
          <w:sz w:val="20"/>
          <w:szCs w:val="20"/>
        </w:rPr>
        <w:t>Q14. To the best of your knowledge, what is the typical time between a patient being assessed as eligible for tolvaptan and initiated on treatment at your centre?</w:t>
      </w:r>
      <w:r w:rsidRPr="002C21B8">
        <w:rPr>
          <w:sz w:val="20"/>
          <w:szCs w:val="20"/>
        </w:rPr>
        <w:br/>
      </w:r>
      <w:r w:rsidRPr="002C21B8">
        <w:rPr>
          <w:rStyle w:val="Emphasis"/>
          <w:rFonts w:eastAsiaTheme="majorEastAsia"/>
          <w:color w:val="000000" w:themeColor="text1"/>
          <w:sz w:val="20"/>
          <w:szCs w:val="20"/>
        </w:rPr>
        <w:t>(please select one option)</w:t>
      </w:r>
    </w:p>
    <w:p w14:paraId="7BF79746" w14:textId="77777777" w:rsidR="007D6AF3" w:rsidRPr="002C21B8" w:rsidRDefault="007D6AF3" w:rsidP="00A97F07">
      <w:pPr>
        <w:pStyle w:val="ListParagraph"/>
        <w:numPr>
          <w:ilvl w:val="0"/>
          <w:numId w:val="26"/>
        </w:numPr>
        <w:jc w:val="left"/>
        <w:rPr>
          <w:sz w:val="20"/>
          <w:szCs w:val="20"/>
        </w:rPr>
      </w:pPr>
      <w:r w:rsidRPr="002C21B8">
        <w:rPr>
          <w:rStyle w:val="labelwrapper"/>
          <w:color w:val="000000" w:themeColor="text1"/>
          <w:sz w:val="20"/>
          <w:szCs w:val="20"/>
        </w:rPr>
        <w:t>Same day/same clinic visit</w:t>
      </w:r>
    </w:p>
    <w:p w14:paraId="64735662" w14:textId="77777777" w:rsidR="007D6AF3" w:rsidRPr="002C21B8" w:rsidRDefault="007D6AF3" w:rsidP="00A97F07">
      <w:pPr>
        <w:pStyle w:val="ListParagraph"/>
        <w:numPr>
          <w:ilvl w:val="0"/>
          <w:numId w:val="26"/>
        </w:numPr>
        <w:jc w:val="left"/>
        <w:rPr>
          <w:sz w:val="20"/>
          <w:szCs w:val="20"/>
        </w:rPr>
      </w:pPr>
      <w:r w:rsidRPr="002C21B8">
        <w:rPr>
          <w:rStyle w:val="labelwrapper"/>
          <w:color w:val="000000" w:themeColor="text1"/>
          <w:sz w:val="20"/>
          <w:szCs w:val="20"/>
        </w:rPr>
        <w:t>Within 1 week</w:t>
      </w:r>
    </w:p>
    <w:p w14:paraId="37C5D47B" w14:textId="77777777" w:rsidR="007D6AF3" w:rsidRPr="002C21B8" w:rsidRDefault="007D6AF3" w:rsidP="00A97F07">
      <w:pPr>
        <w:pStyle w:val="ListParagraph"/>
        <w:numPr>
          <w:ilvl w:val="0"/>
          <w:numId w:val="26"/>
        </w:numPr>
        <w:jc w:val="left"/>
        <w:rPr>
          <w:sz w:val="20"/>
          <w:szCs w:val="20"/>
        </w:rPr>
      </w:pPr>
      <w:r w:rsidRPr="002C21B8">
        <w:rPr>
          <w:rStyle w:val="labelwrapper"/>
          <w:color w:val="000000" w:themeColor="text1"/>
          <w:sz w:val="20"/>
          <w:szCs w:val="20"/>
        </w:rPr>
        <w:t>Between 1 and 4 weeks</w:t>
      </w:r>
    </w:p>
    <w:p w14:paraId="3B753538" w14:textId="77777777" w:rsidR="007D6AF3" w:rsidRPr="002C21B8" w:rsidRDefault="007D6AF3" w:rsidP="00A97F07">
      <w:pPr>
        <w:pStyle w:val="ListParagraph"/>
        <w:numPr>
          <w:ilvl w:val="0"/>
          <w:numId w:val="26"/>
        </w:numPr>
        <w:jc w:val="left"/>
        <w:rPr>
          <w:sz w:val="20"/>
          <w:szCs w:val="20"/>
        </w:rPr>
      </w:pPr>
      <w:r w:rsidRPr="002C21B8">
        <w:rPr>
          <w:rStyle w:val="labelwrapper"/>
          <w:color w:val="000000" w:themeColor="text1"/>
          <w:sz w:val="20"/>
          <w:szCs w:val="20"/>
        </w:rPr>
        <w:t>Between 1 and 3 months</w:t>
      </w:r>
    </w:p>
    <w:p w14:paraId="1A878A93" w14:textId="77777777" w:rsidR="007D6AF3" w:rsidRPr="002C21B8" w:rsidRDefault="007D6AF3" w:rsidP="00A97F07">
      <w:pPr>
        <w:pStyle w:val="ListParagraph"/>
        <w:numPr>
          <w:ilvl w:val="0"/>
          <w:numId w:val="26"/>
        </w:numPr>
        <w:jc w:val="left"/>
        <w:rPr>
          <w:sz w:val="20"/>
          <w:szCs w:val="20"/>
        </w:rPr>
      </w:pPr>
      <w:r w:rsidRPr="002C21B8">
        <w:rPr>
          <w:rStyle w:val="labelwrapper"/>
          <w:color w:val="000000" w:themeColor="text1"/>
          <w:sz w:val="20"/>
          <w:szCs w:val="20"/>
        </w:rPr>
        <w:t>Longer than 3 months</w:t>
      </w:r>
    </w:p>
    <w:p w14:paraId="7BFCFB27" w14:textId="3C632427" w:rsidR="007D6AF3" w:rsidRPr="002C21B8" w:rsidRDefault="007D6AF3" w:rsidP="00A97F07">
      <w:pPr>
        <w:pStyle w:val="ListParagraph"/>
        <w:numPr>
          <w:ilvl w:val="0"/>
          <w:numId w:val="26"/>
        </w:numPr>
        <w:jc w:val="left"/>
        <w:rPr>
          <w:rStyle w:val="message"/>
          <w:color w:val="000000" w:themeColor="text1"/>
          <w:sz w:val="20"/>
          <w:szCs w:val="20"/>
        </w:rPr>
      </w:pPr>
      <w:r w:rsidRPr="002C21B8">
        <w:rPr>
          <w:rStyle w:val="labelwrapper"/>
          <w:color w:val="000000" w:themeColor="text1"/>
          <w:sz w:val="20"/>
          <w:szCs w:val="20"/>
        </w:rPr>
        <w:t>Not sure</w:t>
      </w:r>
    </w:p>
    <w:p w14:paraId="154FB519" w14:textId="77777777" w:rsidR="00A80CEF" w:rsidRPr="002C21B8" w:rsidRDefault="00A80CEF" w:rsidP="00DE7E92">
      <w:pPr>
        <w:jc w:val="left"/>
        <w:rPr>
          <w:sz w:val="20"/>
          <w:szCs w:val="20"/>
        </w:rPr>
      </w:pPr>
      <w:r w:rsidRPr="002C21B8">
        <w:rPr>
          <w:sz w:val="20"/>
          <w:szCs w:val="20"/>
        </w:rPr>
        <w:br w:type="page"/>
      </w:r>
    </w:p>
    <w:p w14:paraId="333C0E57" w14:textId="181268EB" w:rsidR="007D6AF3" w:rsidRPr="002C21B8" w:rsidRDefault="007D6AF3" w:rsidP="00DE7E92">
      <w:pPr>
        <w:jc w:val="left"/>
        <w:rPr>
          <w:sz w:val="20"/>
          <w:szCs w:val="20"/>
        </w:rPr>
      </w:pPr>
      <w:r w:rsidRPr="002C21B8">
        <w:rPr>
          <w:sz w:val="20"/>
          <w:szCs w:val="20"/>
        </w:rPr>
        <w:t>Q15. What factors, if any, can influence the time from being assessed as eligible for tolvaptan to the medication being initiated?</w:t>
      </w:r>
      <w:r w:rsidRPr="002C21B8">
        <w:rPr>
          <w:sz w:val="20"/>
          <w:szCs w:val="20"/>
        </w:rPr>
        <w:br/>
      </w:r>
      <w:r w:rsidRPr="002C21B8">
        <w:rPr>
          <w:rStyle w:val="Emphasis"/>
          <w:rFonts w:eastAsiaTheme="majorEastAsia"/>
          <w:color w:val="000000" w:themeColor="text1"/>
          <w:sz w:val="20"/>
          <w:szCs w:val="20"/>
        </w:rPr>
        <w:t>(please select all that apply)</w:t>
      </w:r>
    </w:p>
    <w:p w14:paraId="21FEED29"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Appointment scheduling</w:t>
      </w:r>
    </w:p>
    <w:p w14:paraId="4BDCF14C"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Clinic capacity</w:t>
      </w:r>
    </w:p>
    <w:p w14:paraId="7621BB4F"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Administrative delays</w:t>
      </w:r>
    </w:p>
    <w:p w14:paraId="071BC994"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Patient decision-making</w:t>
      </w:r>
    </w:p>
    <w:p w14:paraId="5010DA41"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Coordination across service</w:t>
      </w:r>
    </w:p>
    <w:p w14:paraId="3191BEE3" w14:textId="77777777" w:rsidR="007D6AF3" w:rsidRPr="002C21B8" w:rsidRDefault="007D6AF3" w:rsidP="00A97F07">
      <w:pPr>
        <w:pStyle w:val="ListParagraph"/>
        <w:numPr>
          <w:ilvl w:val="0"/>
          <w:numId w:val="28"/>
        </w:numPr>
        <w:jc w:val="left"/>
        <w:rPr>
          <w:sz w:val="20"/>
          <w:szCs w:val="20"/>
        </w:rPr>
      </w:pPr>
      <w:r w:rsidRPr="002C21B8">
        <w:rPr>
          <w:rStyle w:val="labelwrapper"/>
          <w:color w:val="000000" w:themeColor="text1"/>
          <w:sz w:val="20"/>
          <w:szCs w:val="20"/>
        </w:rPr>
        <w:t>None of the above/usually not an issue</w:t>
      </w:r>
    </w:p>
    <w:p w14:paraId="3F54EB0C" w14:textId="77777777" w:rsidR="007D6AF3" w:rsidRPr="002C21B8" w:rsidRDefault="007D6AF3" w:rsidP="00A97F07">
      <w:pPr>
        <w:pStyle w:val="ListParagraph"/>
        <w:numPr>
          <w:ilvl w:val="0"/>
          <w:numId w:val="28"/>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5CFC9E46" w14:textId="77777777" w:rsidTr="00BD586A">
        <w:tc>
          <w:tcPr>
            <w:tcW w:w="9016" w:type="dxa"/>
          </w:tcPr>
          <w:p w14:paraId="37CA0A5F" w14:textId="77777777" w:rsidR="007D6AF3" w:rsidRPr="002C21B8" w:rsidRDefault="007D6AF3" w:rsidP="00DE7E92">
            <w:pPr>
              <w:jc w:val="left"/>
              <w:rPr>
                <w:rStyle w:val="labelwrapper"/>
                <w:color w:val="000000" w:themeColor="text1"/>
                <w:sz w:val="20"/>
                <w:szCs w:val="20"/>
              </w:rPr>
            </w:pPr>
          </w:p>
        </w:tc>
      </w:tr>
    </w:tbl>
    <w:p w14:paraId="6250D35F" w14:textId="77777777" w:rsidR="007D6AF3" w:rsidRPr="002C21B8" w:rsidRDefault="007D6AF3" w:rsidP="00DE7E92">
      <w:pPr>
        <w:jc w:val="left"/>
        <w:rPr>
          <w:rStyle w:val="questionexporttag"/>
          <w:color w:val="000000" w:themeColor="text1"/>
          <w:sz w:val="20"/>
          <w:szCs w:val="20"/>
        </w:rPr>
      </w:pPr>
    </w:p>
    <w:p w14:paraId="51C9CB96" w14:textId="77777777" w:rsidR="007D6AF3" w:rsidRPr="002C21B8" w:rsidRDefault="007D6AF3" w:rsidP="00DE7E92">
      <w:pPr>
        <w:jc w:val="left"/>
        <w:rPr>
          <w:sz w:val="20"/>
          <w:szCs w:val="20"/>
        </w:rPr>
      </w:pPr>
      <w:r w:rsidRPr="002C21B8">
        <w:rPr>
          <w:sz w:val="20"/>
          <w:szCs w:val="20"/>
        </w:rPr>
        <w:t>Q16. Who is primarily responsible for monitoring people with ADPKD whilst they are on tolvaptan at your centre?</w:t>
      </w:r>
      <w:r w:rsidRPr="002C21B8">
        <w:rPr>
          <w:sz w:val="20"/>
          <w:szCs w:val="20"/>
        </w:rPr>
        <w:br/>
      </w:r>
      <w:r w:rsidRPr="002C21B8">
        <w:rPr>
          <w:rStyle w:val="Emphasis"/>
          <w:rFonts w:eastAsiaTheme="majorEastAsia"/>
          <w:color w:val="000000" w:themeColor="text1"/>
          <w:sz w:val="20"/>
          <w:szCs w:val="20"/>
        </w:rPr>
        <w:t>(please select all that apply)</w:t>
      </w:r>
    </w:p>
    <w:p w14:paraId="45941ECC" w14:textId="77777777" w:rsidR="007D6AF3" w:rsidRPr="002C21B8" w:rsidRDefault="007D6AF3" w:rsidP="00A97F07">
      <w:pPr>
        <w:pStyle w:val="ListParagraph"/>
        <w:numPr>
          <w:ilvl w:val="0"/>
          <w:numId w:val="29"/>
        </w:numPr>
        <w:jc w:val="left"/>
        <w:rPr>
          <w:sz w:val="20"/>
          <w:szCs w:val="20"/>
        </w:rPr>
      </w:pPr>
      <w:r w:rsidRPr="002C21B8">
        <w:rPr>
          <w:rStyle w:val="labelwrapper"/>
          <w:color w:val="000000" w:themeColor="text1"/>
          <w:sz w:val="20"/>
          <w:szCs w:val="20"/>
        </w:rPr>
        <w:t>The individual prescriber</w:t>
      </w:r>
    </w:p>
    <w:p w14:paraId="5E6E41C3" w14:textId="77777777" w:rsidR="007D6AF3" w:rsidRPr="002C21B8" w:rsidRDefault="007D6AF3" w:rsidP="00A97F07">
      <w:pPr>
        <w:pStyle w:val="ListParagraph"/>
        <w:numPr>
          <w:ilvl w:val="0"/>
          <w:numId w:val="29"/>
        </w:numPr>
        <w:jc w:val="left"/>
        <w:rPr>
          <w:sz w:val="20"/>
          <w:szCs w:val="20"/>
        </w:rPr>
      </w:pPr>
      <w:r w:rsidRPr="002C21B8">
        <w:rPr>
          <w:rStyle w:val="labelwrapper"/>
          <w:color w:val="000000" w:themeColor="text1"/>
          <w:sz w:val="20"/>
          <w:szCs w:val="20"/>
        </w:rPr>
        <w:t>A named consultant with a specialist interest in ADPKD/Clinical genetics</w:t>
      </w:r>
    </w:p>
    <w:p w14:paraId="46DDC4E2" w14:textId="77777777" w:rsidR="007D6AF3" w:rsidRPr="002C21B8" w:rsidRDefault="007D6AF3" w:rsidP="00A97F07">
      <w:pPr>
        <w:pStyle w:val="ListParagraph"/>
        <w:numPr>
          <w:ilvl w:val="0"/>
          <w:numId w:val="29"/>
        </w:numPr>
        <w:jc w:val="left"/>
        <w:rPr>
          <w:sz w:val="20"/>
          <w:szCs w:val="20"/>
        </w:rPr>
      </w:pPr>
      <w:r w:rsidRPr="002C21B8">
        <w:rPr>
          <w:rStyle w:val="labelwrapper"/>
          <w:color w:val="000000" w:themeColor="text1"/>
          <w:sz w:val="20"/>
          <w:szCs w:val="20"/>
        </w:rPr>
        <w:t>Specialist renal nurse</w:t>
      </w:r>
    </w:p>
    <w:p w14:paraId="44D6F349" w14:textId="77777777" w:rsidR="007D6AF3" w:rsidRPr="002C21B8" w:rsidRDefault="007D6AF3" w:rsidP="00A97F07">
      <w:pPr>
        <w:pStyle w:val="ListParagraph"/>
        <w:numPr>
          <w:ilvl w:val="0"/>
          <w:numId w:val="29"/>
        </w:numPr>
        <w:jc w:val="left"/>
        <w:rPr>
          <w:sz w:val="20"/>
          <w:szCs w:val="20"/>
        </w:rPr>
      </w:pPr>
      <w:r w:rsidRPr="002C21B8">
        <w:rPr>
          <w:rStyle w:val="labelwrapper"/>
          <w:color w:val="000000" w:themeColor="text1"/>
          <w:sz w:val="20"/>
          <w:szCs w:val="20"/>
        </w:rPr>
        <w:t>Specialist renal pharmacist</w:t>
      </w:r>
    </w:p>
    <w:p w14:paraId="0540018D" w14:textId="77777777" w:rsidR="007D6AF3" w:rsidRPr="002C21B8" w:rsidRDefault="007D6AF3" w:rsidP="00A97F07">
      <w:pPr>
        <w:pStyle w:val="ListParagraph"/>
        <w:numPr>
          <w:ilvl w:val="0"/>
          <w:numId w:val="29"/>
        </w:numPr>
        <w:jc w:val="left"/>
        <w:rPr>
          <w:sz w:val="20"/>
          <w:szCs w:val="20"/>
        </w:rPr>
      </w:pPr>
      <w:r w:rsidRPr="002C21B8">
        <w:rPr>
          <w:rStyle w:val="labelwrapper"/>
          <w:color w:val="000000" w:themeColor="text1"/>
          <w:sz w:val="20"/>
          <w:szCs w:val="20"/>
        </w:rPr>
        <w:t>No clearly established responsibility - monitoring is informal or ad hoc</w:t>
      </w:r>
    </w:p>
    <w:p w14:paraId="03884363" w14:textId="77777777" w:rsidR="007D6AF3" w:rsidRPr="002C21B8" w:rsidRDefault="007D6AF3" w:rsidP="00A97F07">
      <w:pPr>
        <w:pStyle w:val="ListParagraph"/>
        <w:numPr>
          <w:ilvl w:val="0"/>
          <w:numId w:val="29"/>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64EB579D" w14:textId="77777777" w:rsidTr="00BD586A">
        <w:tc>
          <w:tcPr>
            <w:tcW w:w="9016" w:type="dxa"/>
          </w:tcPr>
          <w:p w14:paraId="1D8DD32E" w14:textId="77777777" w:rsidR="007D6AF3" w:rsidRPr="002C21B8" w:rsidRDefault="007D6AF3" w:rsidP="00DE7E92">
            <w:pPr>
              <w:jc w:val="left"/>
              <w:rPr>
                <w:rStyle w:val="labelwrapper"/>
                <w:color w:val="000000" w:themeColor="text1"/>
                <w:sz w:val="20"/>
                <w:szCs w:val="20"/>
              </w:rPr>
            </w:pPr>
          </w:p>
        </w:tc>
      </w:tr>
    </w:tbl>
    <w:p w14:paraId="338CFBF3" w14:textId="77777777" w:rsidR="007D6AF3" w:rsidRPr="002C21B8" w:rsidRDefault="007D6AF3" w:rsidP="00DE7E92">
      <w:pPr>
        <w:jc w:val="left"/>
        <w:rPr>
          <w:rStyle w:val="message"/>
          <w:color w:val="000000" w:themeColor="text1"/>
          <w:sz w:val="20"/>
          <w:szCs w:val="20"/>
        </w:rPr>
      </w:pPr>
    </w:p>
    <w:p w14:paraId="27A9E204" w14:textId="77777777" w:rsidR="00A80CEF" w:rsidRPr="002C21B8" w:rsidRDefault="00A80CEF" w:rsidP="00DE7E92">
      <w:pPr>
        <w:jc w:val="left"/>
        <w:rPr>
          <w:sz w:val="20"/>
          <w:szCs w:val="20"/>
        </w:rPr>
      </w:pPr>
      <w:r w:rsidRPr="002C21B8">
        <w:rPr>
          <w:sz w:val="20"/>
          <w:szCs w:val="20"/>
        </w:rPr>
        <w:br w:type="page"/>
      </w:r>
    </w:p>
    <w:p w14:paraId="42AA71EB" w14:textId="6B1E5516" w:rsidR="007D6AF3" w:rsidRPr="002C21B8" w:rsidRDefault="007D6AF3" w:rsidP="00DE7E92">
      <w:pPr>
        <w:jc w:val="left"/>
        <w:rPr>
          <w:sz w:val="20"/>
          <w:szCs w:val="20"/>
        </w:rPr>
      </w:pPr>
      <w:r w:rsidRPr="002C21B8">
        <w:rPr>
          <w:sz w:val="20"/>
          <w:szCs w:val="20"/>
        </w:rPr>
        <w:t>Q17. If patients are determined to be eligible and initiated, where are people on tolvaptan</w:t>
      </w:r>
      <w:r w:rsidR="002B27F4" w:rsidRPr="002C21B8">
        <w:rPr>
          <w:rStyle w:val="apple-converted-space"/>
          <w:color w:val="000000" w:themeColor="text1"/>
          <w:sz w:val="20"/>
          <w:szCs w:val="20"/>
        </w:rPr>
        <w:t xml:space="preserve"> </w:t>
      </w:r>
      <w:r w:rsidRPr="002C21B8">
        <w:rPr>
          <w:rStyle w:val="Strong"/>
          <w:color w:val="000000" w:themeColor="text1"/>
          <w:sz w:val="20"/>
          <w:szCs w:val="20"/>
          <w:u w:val="single"/>
        </w:rPr>
        <w:t>monitored</w:t>
      </w:r>
      <w:r w:rsidR="002B27F4" w:rsidRPr="002C21B8">
        <w:rPr>
          <w:rStyle w:val="apple-converted-space"/>
          <w:color w:val="000000" w:themeColor="text1"/>
          <w:sz w:val="20"/>
          <w:szCs w:val="20"/>
        </w:rPr>
        <w:t xml:space="preserve"> </w:t>
      </w:r>
      <w:r w:rsidRPr="002C21B8">
        <w:rPr>
          <w:sz w:val="20"/>
          <w:szCs w:val="20"/>
        </w:rPr>
        <w:t>at your centre?</w:t>
      </w:r>
      <w:r w:rsidRPr="002C21B8">
        <w:rPr>
          <w:sz w:val="20"/>
          <w:szCs w:val="20"/>
        </w:rPr>
        <w:br/>
      </w:r>
      <w:r w:rsidRPr="002C21B8">
        <w:rPr>
          <w:rStyle w:val="Emphasis"/>
          <w:rFonts w:eastAsiaTheme="majorEastAsia"/>
          <w:color w:val="000000" w:themeColor="text1"/>
          <w:sz w:val="20"/>
          <w:szCs w:val="20"/>
        </w:rPr>
        <w:t>(please select one option)</w:t>
      </w:r>
    </w:p>
    <w:p w14:paraId="1FE119A4" w14:textId="77777777" w:rsidR="007D6AF3" w:rsidRPr="002C21B8" w:rsidRDefault="007D6AF3" w:rsidP="00A97F07">
      <w:pPr>
        <w:pStyle w:val="ListParagraph"/>
        <w:numPr>
          <w:ilvl w:val="0"/>
          <w:numId w:val="30"/>
        </w:numPr>
        <w:jc w:val="left"/>
        <w:rPr>
          <w:sz w:val="20"/>
          <w:szCs w:val="20"/>
        </w:rPr>
      </w:pPr>
      <w:r w:rsidRPr="002C21B8">
        <w:rPr>
          <w:rStyle w:val="labelwrapper"/>
          <w:color w:val="000000" w:themeColor="text1"/>
          <w:sz w:val="20"/>
          <w:szCs w:val="20"/>
        </w:rPr>
        <w:t>General nephrology clinic</w:t>
      </w:r>
    </w:p>
    <w:p w14:paraId="19A1772E" w14:textId="77777777" w:rsidR="007D6AF3" w:rsidRPr="002C21B8" w:rsidRDefault="007D6AF3" w:rsidP="00A97F07">
      <w:pPr>
        <w:pStyle w:val="ListParagraph"/>
        <w:numPr>
          <w:ilvl w:val="0"/>
          <w:numId w:val="30"/>
        </w:numPr>
        <w:jc w:val="left"/>
        <w:rPr>
          <w:sz w:val="20"/>
          <w:szCs w:val="20"/>
        </w:rPr>
      </w:pPr>
      <w:r w:rsidRPr="002C21B8">
        <w:rPr>
          <w:rStyle w:val="labelwrapper"/>
          <w:color w:val="000000" w:themeColor="text1"/>
          <w:sz w:val="20"/>
          <w:szCs w:val="20"/>
        </w:rPr>
        <w:t>Clinical genetics clinic</w:t>
      </w:r>
    </w:p>
    <w:p w14:paraId="6265E7F1" w14:textId="77777777" w:rsidR="007D6AF3" w:rsidRPr="002C21B8" w:rsidRDefault="007D6AF3" w:rsidP="00A97F07">
      <w:pPr>
        <w:pStyle w:val="ListParagraph"/>
        <w:numPr>
          <w:ilvl w:val="0"/>
          <w:numId w:val="30"/>
        </w:numPr>
        <w:jc w:val="left"/>
        <w:rPr>
          <w:sz w:val="20"/>
          <w:szCs w:val="20"/>
        </w:rPr>
      </w:pPr>
      <w:r w:rsidRPr="002C21B8">
        <w:rPr>
          <w:rStyle w:val="labelwrapper"/>
          <w:color w:val="000000" w:themeColor="text1"/>
          <w:sz w:val="20"/>
          <w:szCs w:val="20"/>
        </w:rPr>
        <w:t>Polycystic kidney disease clinic</w:t>
      </w:r>
    </w:p>
    <w:p w14:paraId="7A7FE648" w14:textId="77777777" w:rsidR="007D6AF3" w:rsidRPr="002C21B8" w:rsidRDefault="007D6AF3" w:rsidP="00A97F07">
      <w:pPr>
        <w:pStyle w:val="ListParagraph"/>
        <w:numPr>
          <w:ilvl w:val="0"/>
          <w:numId w:val="30"/>
        </w:numPr>
        <w:jc w:val="left"/>
        <w:rPr>
          <w:sz w:val="20"/>
          <w:szCs w:val="20"/>
        </w:rPr>
      </w:pPr>
      <w:r w:rsidRPr="002C21B8">
        <w:rPr>
          <w:rStyle w:val="labelwrapper"/>
          <w:color w:val="000000" w:themeColor="text1"/>
          <w:sz w:val="20"/>
          <w:szCs w:val="20"/>
        </w:rPr>
        <w:t>Tolvaptan clinic</w:t>
      </w:r>
    </w:p>
    <w:p w14:paraId="17B26147" w14:textId="77777777" w:rsidR="007D6AF3" w:rsidRPr="002C21B8" w:rsidRDefault="007D6AF3" w:rsidP="00A97F07">
      <w:pPr>
        <w:pStyle w:val="ListParagraph"/>
        <w:numPr>
          <w:ilvl w:val="0"/>
          <w:numId w:val="30"/>
        </w:numPr>
        <w:jc w:val="left"/>
        <w:rPr>
          <w:sz w:val="20"/>
          <w:szCs w:val="20"/>
        </w:rPr>
      </w:pPr>
      <w:r w:rsidRPr="002C21B8">
        <w:rPr>
          <w:rStyle w:val="labelwrapper"/>
          <w:color w:val="000000" w:themeColor="text1"/>
          <w:sz w:val="20"/>
          <w:szCs w:val="20"/>
        </w:rPr>
        <w:t>Outside of a formal clinic</w:t>
      </w:r>
    </w:p>
    <w:p w14:paraId="314AA3B5" w14:textId="77777777" w:rsidR="007D6AF3" w:rsidRPr="002C21B8" w:rsidRDefault="007D6AF3" w:rsidP="00A97F07">
      <w:pPr>
        <w:pStyle w:val="ListParagraph"/>
        <w:numPr>
          <w:ilvl w:val="0"/>
          <w:numId w:val="30"/>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4DFE1D87" w14:textId="77777777" w:rsidTr="00BD586A">
        <w:tc>
          <w:tcPr>
            <w:tcW w:w="9016" w:type="dxa"/>
          </w:tcPr>
          <w:p w14:paraId="1777121A" w14:textId="77777777" w:rsidR="007D6AF3" w:rsidRPr="002C21B8" w:rsidRDefault="007D6AF3" w:rsidP="00DE7E92">
            <w:pPr>
              <w:jc w:val="left"/>
              <w:rPr>
                <w:rStyle w:val="labelwrapper"/>
                <w:color w:val="000000" w:themeColor="text1"/>
                <w:sz w:val="20"/>
                <w:szCs w:val="20"/>
              </w:rPr>
            </w:pPr>
          </w:p>
        </w:tc>
      </w:tr>
    </w:tbl>
    <w:p w14:paraId="28BF92B8" w14:textId="77777777" w:rsidR="007D6AF3" w:rsidRPr="002C21B8" w:rsidRDefault="007D6AF3" w:rsidP="00DE7E92">
      <w:pPr>
        <w:jc w:val="left"/>
        <w:rPr>
          <w:rStyle w:val="message"/>
          <w:color w:val="000000" w:themeColor="text1"/>
          <w:sz w:val="20"/>
          <w:szCs w:val="20"/>
        </w:rPr>
      </w:pPr>
    </w:p>
    <w:p w14:paraId="586C6C0B" w14:textId="0E061301" w:rsidR="007D6AF3" w:rsidRPr="002C21B8" w:rsidRDefault="007D6AF3" w:rsidP="00DE7E92">
      <w:pPr>
        <w:jc w:val="left"/>
        <w:rPr>
          <w:sz w:val="20"/>
          <w:szCs w:val="20"/>
        </w:rPr>
      </w:pPr>
      <w:r w:rsidRPr="002C21B8">
        <w:rPr>
          <w:rStyle w:val="conjdesc"/>
          <w:i/>
          <w:iCs/>
          <w:color w:val="000000" w:themeColor="text1"/>
          <w:spacing w:val="5"/>
          <w:sz w:val="20"/>
          <w:szCs w:val="20"/>
        </w:rPr>
        <w:t>&gt;&gt; If</w:t>
      </w:r>
      <w:r w:rsidR="002B27F4" w:rsidRPr="002C21B8">
        <w:rPr>
          <w:rStyle w:val="apple-converted-space"/>
          <w:color w:val="000000" w:themeColor="text1"/>
          <w:sz w:val="20"/>
          <w:szCs w:val="20"/>
        </w:rPr>
        <w:t xml:space="preserve"> </w:t>
      </w:r>
      <w:r w:rsidRPr="002C21B8">
        <w:rPr>
          <w:rStyle w:val="questiondesc"/>
          <w:i/>
          <w:iCs/>
          <w:color w:val="000000" w:themeColor="text1"/>
          <w:sz w:val="20"/>
          <w:szCs w:val="20"/>
        </w:rPr>
        <w:t>Q13. If patients are determined to be eligible, where is tolvaptan initiated at your centre?...</w:t>
      </w:r>
      <w:r w:rsidR="002B27F4" w:rsidRPr="002C21B8">
        <w:rPr>
          <w:rStyle w:val="apple-converted-space"/>
          <w:color w:val="000000" w:themeColor="text1"/>
          <w:sz w:val="20"/>
          <w:szCs w:val="20"/>
        </w:rPr>
        <w:t xml:space="preserve"> </w:t>
      </w:r>
      <w:r w:rsidRPr="002C21B8">
        <w:rPr>
          <w:rStyle w:val="leftopdesc"/>
          <w:i/>
          <w:iCs/>
          <w:color w:val="000000" w:themeColor="text1"/>
          <w:sz w:val="20"/>
          <w:szCs w:val="20"/>
        </w:rPr>
        <w:t>Tolvaptan clinic</w:t>
      </w:r>
      <w:r w:rsidR="002B27F4" w:rsidRPr="002C21B8">
        <w:rPr>
          <w:rStyle w:val="apple-converted-space"/>
          <w:color w:val="000000" w:themeColor="text1"/>
          <w:sz w:val="20"/>
          <w:szCs w:val="20"/>
        </w:rPr>
        <w:t xml:space="preserve"> </w:t>
      </w:r>
      <w:r w:rsidRPr="002C21B8">
        <w:rPr>
          <w:rStyle w:val="opdesc"/>
          <w:i/>
          <w:iCs/>
          <w:color w:val="000000" w:themeColor="text1"/>
          <w:sz w:val="20"/>
          <w:szCs w:val="20"/>
        </w:rPr>
        <w:t xml:space="preserve">Is Selected) </w:t>
      </w:r>
      <w:r w:rsidRPr="002C21B8">
        <w:rPr>
          <w:rStyle w:val="opdesc"/>
          <w:i/>
          <w:iCs/>
          <w:color w:val="000000" w:themeColor="text1"/>
          <w:sz w:val="20"/>
          <w:szCs w:val="20"/>
          <w:u w:val="single"/>
        </w:rPr>
        <w:t>or</w:t>
      </w:r>
      <w:r w:rsidR="002B27F4" w:rsidRPr="002C21B8">
        <w:rPr>
          <w:rStyle w:val="apple-converted-space"/>
          <w:color w:val="000000" w:themeColor="text1"/>
          <w:sz w:val="20"/>
          <w:szCs w:val="20"/>
        </w:rPr>
        <w:t xml:space="preserve"> </w:t>
      </w:r>
      <w:r w:rsidRPr="002C21B8">
        <w:rPr>
          <w:rStyle w:val="questiondesc"/>
          <w:i/>
          <w:iCs/>
          <w:color w:val="000000" w:themeColor="text1"/>
          <w:sz w:val="20"/>
          <w:szCs w:val="20"/>
        </w:rPr>
        <w:t>Q17. If patients are determined to be eligible and initiated, where are people on tolvaptan monit</w:t>
      </w:r>
      <w:r w:rsidR="00A80CEF" w:rsidRPr="002C21B8">
        <w:rPr>
          <w:rStyle w:val="questiondesc"/>
          <w:i/>
          <w:iCs/>
          <w:color w:val="000000" w:themeColor="text1"/>
          <w:sz w:val="20"/>
          <w:szCs w:val="20"/>
        </w:rPr>
        <w:t>ored</w:t>
      </w:r>
      <w:r w:rsidRPr="002C21B8">
        <w:rPr>
          <w:rStyle w:val="questiondesc"/>
          <w:i/>
          <w:iCs/>
          <w:color w:val="000000" w:themeColor="text1"/>
          <w:sz w:val="20"/>
          <w:szCs w:val="20"/>
        </w:rPr>
        <w:t>...</w:t>
      </w:r>
      <w:r w:rsidR="002B27F4" w:rsidRPr="002C21B8">
        <w:rPr>
          <w:rStyle w:val="apple-converted-space"/>
          <w:color w:val="000000" w:themeColor="text1"/>
          <w:sz w:val="20"/>
          <w:szCs w:val="20"/>
        </w:rPr>
        <w:t xml:space="preserve"> </w:t>
      </w:r>
      <w:r w:rsidRPr="002C21B8">
        <w:rPr>
          <w:rStyle w:val="leftopdesc"/>
          <w:i/>
          <w:iCs/>
          <w:color w:val="000000" w:themeColor="text1"/>
          <w:sz w:val="20"/>
          <w:szCs w:val="20"/>
        </w:rPr>
        <w:t>Tolvaptan clinic</w:t>
      </w:r>
      <w:r w:rsidR="002B27F4" w:rsidRPr="002C21B8">
        <w:rPr>
          <w:rStyle w:val="apple-converted-space"/>
          <w:color w:val="000000" w:themeColor="text1"/>
          <w:sz w:val="20"/>
          <w:szCs w:val="20"/>
        </w:rPr>
        <w:t xml:space="preserve"> </w:t>
      </w:r>
      <w:r w:rsidRPr="002C21B8">
        <w:rPr>
          <w:rStyle w:val="opdesc"/>
          <w:i/>
          <w:iCs/>
          <w:color w:val="000000" w:themeColor="text1"/>
          <w:sz w:val="20"/>
          <w:szCs w:val="20"/>
        </w:rPr>
        <w:t>Is Selected</w:t>
      </w:r>
    </w:p>
    <w:p w14:paraId="6241BAE9" w14:textId="7A6D2BCC" w:rsidR="00A80CEF" w:rsidRPr="002C21B8" w:rsidRDefault="007D6AF3" w:rsidP="00DE7E92">
      <w:pPr>
        <w:jc w:val="left"/>
        <w:rPr>
          <w:sz w:val="20"/>
          <w:szCs w:val="20"/>
        </w:rPr>
      </w:pPr>
      <w:r w:rsidRPr="002C21B8">
        <w:rPr>
          <w:sz w:val="20"/>
          <w:szCs w:val="20"/>
        </w:rPr>
        <w:t>Q17a. In which year was the tolvaptan clinic first introduced at your centre? (please provide the approximate year if the exact year is not known)</w:t>
      </w:r>
    </w:p>
    <w:p w14:paraId="231F32CE" w14:textId="77777777" w:rsidR="007D6AF3" w:rsidRPr="002C21B8" w:rsidRDefault="007D6AF3" w:rsidP="00DE7E92">
      <w:pPr>
        <w:jc w:val="left"/>
        <w:rPr>
          <w:sz w:val="20"/>
          <w:szCs w:val="20"/>
        </w:rPr>
      </w:pPr>
      <w:r w:rsidRPr="002C21B8">
        <w:rPr>
          <w:sz w:val="20"/>
          <w:szCs w:val="20"/>
        </w:rPr>
        <w:t>--------------------------------------------------------------------------------------------------------------------------------------</w:t>
      </w:r>
    </w:p>
    <w:p w14:paraId="7EECC839" w14:textId="77777777" w:rsidR="007D6AF3" w:rsidRPr="002C21B8" w:rsidRDefault="007D6AF3" w:rsidP="00DE7E92">
      <w:pPr>
        <w:jc w:val="left"/>
        <w:rPr>
          <w:sz w:val="20"/>
          <w:szCs w:val="20"/>
        </w:rPr>
      </w:pPr>
      <w:r w:rsidRPr="002C21B8">
        <w:rPr>
          <w:rStyle w:val="Strong"/>
          <w:sz w:val="20"/>
          <w:szCs w:val="20"/>
        </w:rPr>
        <w:t>Section 3 - Surveillance imaging and genetic testing</w:t>
      </w:r>
    </w:p>
    <w:p w14:paraId="5CCA262C" w14:textId="77777777" w:rsidR="007D6AF3" w:rsidRPr="002C21B8" w:rsidRDefault="007D6AF3" w:rsidP="00DE7E92">
      <w:pPr>
        <w:jc w:val="left"/>
        <w:rPr>
          <w:sz w:val="20"/>
          <w:szCs w:val="20"/>
        </w:rPr>
      </w:pPr>
      <w:r w:rsidRPr="002C21B8">
        <w:rPr>
          <w:sz w:val="20"/>
          <w:szCs w:val="20"/>
        </w:rPr>
        <w:t>Q18. To the best of your knowledge, approximately what proportion of people with ADPKD at your centre have had Magnetic Resonance Imaging (MRI) to determine kidney size/kidney volume?</w:t>
      </w:r>
      <w:r w:rsidRPr="002C21B8">
        <w:rPr>
          <w:sz w:val="20"/>
          <w:szCs w:val="20"/>
        </w:rPr>
        <w:br/>
      </w:r>
      <w:r w:rsidRPr="002C21B8">
        <w:rPr>
          <w:rStyle w:val="Emphasis"/>
          <w:rFonts w:eastAsiaTheme="majorEastAsia"/>
          <w:color w:val="000000" w:themeColor="text1"/>
          <w:sz w:val="20"/>
          <w:szCs w:val="20"/>
        </w:rPr>
        <w:t>(please select one option)</w:t>
      </w:r>
    </w:p>
    <w:p w14:paraId="52273C60" w14:textId="77777777" w:rsidR="007D6AF3" w:rsidRPr="002C21B8" w:rsidRDefault="007D6AF3" w:rsidP="00A97F07">
      <w:pPr>
        <w:pStyle w:val="ListParagraph"/>
        <w:numPr>
          <w:ilvl w:val="0"/>
          <w:numId w:val="31"/>
        </w:numPr>
        <w:jc w:val="left"/>
        <w:rPr>
          <w:sz w:val="20"/>
          <w:szCs w:val="20"/>
        </w:rPr>
      </w:pPr>
      <w:r w:rsidRPr="002C21B8">
        <w:rPr>
          <w:rStyle w:val="labelwrapper"/>
          <w:color w:val="000000" w:themeColor="text1"/>
          <w:sz w:val="20"/>
          <w:szCs w:val="20"/>
        </w:rPr>
        <w:t>0 to 25%</w:t>
      </w:r>
    </w:p>
    <w:p w14:paraId="46441946" w14:textId="77777777" w:rsidR="007D6AF3" w:rsidRPr="002C21B8" w:rsidRDefault="007D6AF3" w:rsidP="00A97F07">
      <w:pPr>
        <w:pStyle w:val="ListParagraph"/>
        <w:numPr>
          <w:ilvl w:val="0"/>
          <w:numId w:val="31"/>
        </w:numPr>
        <w:jc w:val="left"/>
        <w:rPr>
          <w:sz w:val="20"/>
          <w:szCs w:val="20"/>
        </w:rPr>
      </w:pPr>
      <w:r w:rsidRPr="002C21B8">
        <w:rPr>
          <w:rStyle w:val="labelwrapper"/>
          <w:color w:val="000000" w:themeColor="text1"/>
          <w:sz w:val="20"/>
          <w:szCs w:val="20"/>
        </w:rPr>
        <w:t>26 to 50%</w:t>
      </w:r>
    </w:p>
    <w:p w14:paraId="3D8A6992" w14:textId="77777777" w:rsidR="007D6AF3" w:rsidRPr="002C21B8" w:rsidRDefault="007D6AF3" w:rsidP="00A97F07">
      <w:pPr>
        <w:pStyle w:val="ListParagraph"/>
        <w:numPr>
          <w:ilvl w:val="0"/>
          <w:numId w:val="31"/>
        </w:numPr>
        <w:jc w:val="left"/>
        <w:rPr>
          <w:sz w:val="20"/>
          <w:szCs w:val="20"/>
        </w:rPr>
      </w:pPr>
      <w:r w:rsidRPr="002C21B8">
        <w:rPr>
          <w:rStyle w:val="labelwrapper"/>
          <w:color w:val="000000" w:themeColor="text1"/>
          <w:sz w:val="20"/>
          <w:szCs w:val="20"/>
        </w:rPr>
        <w:t>51 to 75%</w:t>
      </w:r>
    </w:p>
    <w:p w14:paraId="78069BFC" w14:textId="6CC3FDA6" w:rsidR="007D6AF3" w:rsidRPr="002C21B8" w:rsidRDefault="007D6AF3" w:rsidP="00A97F07">
      <w:pPr>
        <w:pStyle w:val="ListParagraph"/>
        <w:numPr>
          <w:ilvl w:val="0"/>
          <w:numId w:val="31"/>
        </w:numPr>
        <w:jc w:val="left"/>
        <w:rPr>
          <w:rStyle w:val="message"/>
          <w:color w:val="000000" w:themeColor="text1"/>
          <w:sz w:val="20"/>
          <w:szCs w:val="20"/>
        </w:rPr>
      </w:pPr>
      <w:r w:rsidRPr="002C21B8">
        <w:rPr>
          <w:rStyle w:val="labelwrapper"/>
          <w:color w:val="000000" w:themeColor="text1"/>
          <w:sz w:val="20"/>
          <w:szCs w:val="20"/>
        </w:rPr>
        <w:t>76 to 100%</w:t>
      </w:r>
    </w:p>
    <w:p w14:paraId="309AF9A7" w14:textId="77777777" w:rsidR="007D6AF3" w:rsidRPr="002C21B8" w:rsidRDefault="007D6AF3" w:rsidP="00DE7E92">
      <w:pPr>
        <w:jc w:val="left"/>
        <w:rPr>
          <w:sz w:val="20"/>
          <w:szCs w:val="20"/>
        </w:rPr>
      </w:pPr>
      <w:r w:rsidRPr="002C21B8">
        <w:rPr>
          <w:sz w:val="20"/>
          <w:szCs w:val="20"/>
        </w:rPr>
        <w:t>Q19. Do you routinely repeat kidney MRI scans for people with ADPKD?</w:t>
      </w:r>
      <w:r w:rsidRPr="002C21B8">
        <w:rPr>
          <w:sz w:val="20"/>
          <w:szCs w:val="20"/>
        </w:rPr>
        <w:br/>
      </w:r>
      <w:r w:rsidRPr="002C21B8">
        <w:rPr>
          <w:rStyle w:val="Emphasis"/>
          <w:rFonts w:eastAsiaTheme="majorEastAsia"/>
          <w:color w:val="000000" w:themeColor="text1"/>
          <w:sz w:val="20"/>
          <w:szCs w:val="20"/>
        </w:rPr>
        <w:t>(please select one option)</w:t>
      </w:r>
    </w:p>
    <w:p w14:paraId="446843AD" w14:textId="77777777" w:rsidR="007D6AF3" w:rsidRPr="002C21B8" w:rsidRDefault="007D6AF3" w:rsidP="00A97F07">
      <w:pPr>
        <w:pStyle w:val="ListParagraph"/>
        <w:numPr>
          <w:ilvl w:val="0"/>
          <w:numId w:val="32"/>
        </w:numPr>
        <w:jc w:val="left"/>
        <w:rPr>
          <w:sz w:val="20"/>
          <w:szCs w:val="20"/>
        </w:rPr>
      </w:pPr>
      <w:r w:rsidRPr="002C21B8">
        <w:rPr>
          <w:rStyle w:val="labelwrapper"/>
          <w:color w:val="000000" w:themeColor="text1"/>
          <w:sz w:val="20"/>
          <w:szCs w:val="20"/>
        </w:rPr>
        <w:t>Yes</w:t>
      </w:r>
    </w:p>
    <w:p w14:paraId="636837F7" w14:textId="154A53AE" w:rsidR="007D6AF3" w:rsidRPr="002C21B8" w:rsidRDefault="007D6AF3" w:rsidP="00A97F07">
      <w:pPr>
        <w:pStyle w:val="ListParagraph"/>
        <w:numPr>
          <w:ilvl w:val="0"/>
          <w:numId w:val="32"/>
        </w:numPr>
        <w:jc w:val="left"/>
        <w:rPr>
          <w:rStyle w:val="message"/>
          <w:color w:val="000000" w:themeColor="text1"/>
          <w:sz w:val="20"/>
          <w:szCs w:val="20"/>
        </w:rPr>
      </w:pPr>
      <w:r w:rsidRPr="002C21B8">
        <w:rPr>
          <w:rStyle w:val="labelwrapper"/>
          <w:color w:val="000000" w:themeColor="text1"/>
          <w:sz w:val="20"/>
          <w:szCs w:val="20"/>
        </w:rPr>
        <w:t>No</w:t>
      </w:r>
    </w:p>
    <w:p w14:paraId="3037E6F5" w14:textId="08B4110E" w:rsidR="007D6AF3" w:rsidRPr="002C21B8" w:rsidRDefault="007D6AF3" w:rsidP="00DE7E92">
      <w:pPr>
        <w:jc w:val="left"/>
        <w:rPr>
          <w:sz w:val="20"/>
          <w:szCs w:val="20"/>
        </w:rPr>
      </w:pPr>
      <w:r w:rsidRPr="002C21B8">
        <w:rPr>
          <w:sz w:val="20"/>
          <w:szCs w:val="20"/>
        </w:rPr>
        <w:t>&gt;&gt;</w:t>
      </w:r>
      <w:r w:rsidRPr="002C21B8">
        <w:rPr>
          <w:rStyle w:val="conjdesc"/>
          <w:color w:val="000000" w:themeColor="text1"/>
          <w:spacing w:val="5"/>
          <w:sz w:val="20"/>
          <w:szCs w:val="20"/>
        </w:rPr>
        <w:t xml:space="preserve"> If</w:t>
      </w:r>
      <w:r w:rsidR="002B27F4" w:rsidRPr="002C21B8">
        <w:rPr>
          <w:rStyle w:val="apple-converted-space"/>
          <w:color w:val="000000" w:themeColor="text1"/>
          <w:sz w:val="20"/>
          <w:szCs w:val="20"/>
        </w:rPr>
        <w:t xml:space="preserve"> </w:t>
      </w:r>
      <w:r w:rsidRPr="002C21B8">
        <w:rPr>
          <w:rStyle w:val="questiondesc"/>
          <w:color w:val="000000" w:themeColor="text1"/>
          <w:sz w:val="20"/>
          <w:szCs w:val="20"/>
        </w:rPr>
        <w:t>Q19. Do you routinely repeat kidney MRI scans for people with ADPKD? (please select one option)</w:t>
      </w:r>
      <w:r w:rsidR="002B27F4" w:rsidRPr="002C21B8">
        <w:rPr>
          <w:rStyle w:val="apple-converted-space"/>
          <w:color w:val="000000" w:themeColor="text1"/>
          <w:sz w:val="20"/>
          <w:szCs w:val="20"/>
        </w:rPr>
        <w:t xml:space="preserve"> </w:t>
      </w:r>
      <w:r w:rsidRPr="002C21B8">
        <w:rPr>
          <w:rStyle w:val="leftopdesc"/>
          <w:color w:val="000000" w:themeColor="text1"/>
          <w:sz w:val="20"/>
          <w:szCs w:val="20"/>
        </w:rPr>
        <w:t>Yes</w:t>
      </w:r>
      <w:r w:rsidR="002B27F4" w:rsidRPr="002C21B8">
        <w:rPr>
          <w:rStyle w:val="apple-converted-space"/>
          <w:color w:val="000000" w:themeColor="text1"/>
          <w:sz w:val="20"/>
          <w:szCs w:val="20"/>
        </w:rPr>
        <w:t xml:space="preserve"> </w:t>
      </w:r>
      <w:r w:rsidRPr="002C21B8">
        <w:rPr>
          <w:rStyle w:val="opdesc"/>
          <w:color w:val="000000" w:themeColor="text1"/>
          <w:sz w:val="20"/>
          <w:szCs w:val="20"/>
        </w:rPr>
        <w:t>Is Selected</w:t>
      </w:r>
    </w:p>
    <w:p w14:paraId="6BA411E1" w14:textId="162EE132" w:rsidR="007D6AF3" w:rsidRPr="002C21B8" w:rsidRDefault="007D6AF3" w:rsidP="00DE7E92">
      <w:pPr>
        <w:jc w:val="left"/>
        <w:rPr>
          <w:sz w:val="20"/>
          <w:szCs w:val="20"/>
        </w:rPr>
      </w:pPr>
      <w:r w:rsidRPr="002C21B8">
        <w:rPr>
          <w:sz w:val="20"/>
          <w:szCs w:val="20"/>
        </w:rPr>
        <w:t>Q19a.</w:t>
      </w:r>
      <w:r w:rsidR="002B27F4" w:rsidRPr="002C21B8">
        <w:rPr>
          <w:sz w:val="20"/>
          <w:szCs w:val="20"/>
        </w:rPr>
        <w:t xml:space="preserve"> </w:t>
      </w:r>
      <w:r w:rsidRPr="002C21B8">
        <w:rPr>
          <w:sz w:val="20"/>
          <w:szCs w:val="20"/>
        </w:rPr>
        <w:t>What is the usual interval for repeating magnetic resonance imaging (MRI) of kidneys in your centre?</w:t>
      </w:r>
      <w:r w:rsidRPr="002C21B8">
        <w:rPr>
          <w:sz w:val="20"/>
          <w:szCs w:val="20"/>
        </w:rPr>
        <w:br/>
      </w:r>
      <w:r w:rsidRPr="002C21B8">
        <w:rPr>
          <w:rStyle w:val="Emphasis"/>
          <w:rFonts w:eastAsiaTheme="majorEastAsia"/>
          <w:color w:val="000000" w:themeColor="text1"/>
          <w:sz w:val="20"/>
          <w:szCs w:val="20"/>
        </w:rPr>
        <w:t>(please select one option)</w:t>
      </w:r>
    </w:p>
    <w:p w14:paraId="104ECC84" w14:textId="77777777" w:rsidR="007D6AF3" w:rsidRPr="002C21B8" w:rsidRDefault="007D6AF3" w:rsidP="00A97F07">
      <w:pPr>
        <w:pStyle w:val="ListParagraph"/>
        <w:numPr>
          <w:ilvl w:val="0"/>
          <w:numId w:val="33"/>
        </w:numPr>
        <w:jc w:val="left"/>
        <w:rPr>
          <w:sz w:val="20"/>
          <w:szCs w:val="20"/>
        </w:rPr>
      </w:pPr>
      <w:r w:rsidRPr="002C21B8">
        <w:rPr>
          <w:rStyle w:val="labelwrapper"/>
          <w:color w:val="000000" w:themeColor="text1"/>
          <w:sz w:val="20"/>
          <w:szCs w:val="20"/>
        </w:rPr>
        <w:t>0 to 1 year</w:t>
      </w:r>
    </w:p>
    <w:p w14:paraId="3A08AD75" w14:textId="77777777" w:rsidR="007D6AF3" w:rsidRPr="002C21B8" w:rsidRDefault="007D6AF3" w:rsidP="00A97F07">
      <w:pPr>
        <w:pStyle w:val="ListParagraph"/>
        <w:numPr>
          <w:ilvl w:val="0"/>
          <w:numId w:val="33"/>
        </w:numPr>
        <w:jc w:val="left"/>
        <w:rPr>
          <w:sz w:val="20"/>
          <w:szCs w:val="20"/>
        </w:rPr>
      </w:pPr>
      <w:r w:rsidRPr="002C21B8">
        <w:rPr>
          <w:rStyle w:val="labelwrapper"/>
          <w:color w:val="000000" w:themeColor="text1"/>
          <w:sz w:val="20"/>
          <w:szCs w:val="20"/>
        </w:rPr>
        <w:t>1 to 2 years</w:t>
      </w:r>
    </w:p>
    <w:p w14:paraId="79F3429C" w14:textId="77777777" w:rsidR="007D6AF3" w:rsidRPr="002C21B8" w:rsidRDefault="007D6AF3" w:rsidP="00A97F07">
      <w:pPr>
        <w:pStyle w:val="ListParagraph"/>
        <w:numPr>
          <w:ilvl w:val="0"/>
          <w:numId w:val="33"/>
        </w:numPr>
        <w:jc w:val="left"/>
        <w:rPr>
          <w:sz w:val="20"/>
          <w:szCs w:val="20"/>
        </w:rPr>
      </w:pPr>
      <w:r w:rsidRPr="002C21B8">
        <w:rPr>
          <w:rStyle w:val="labelwrapper"/>
          <w:color w:val="000000" w:themeColor="text1"/>
          <w:sz w:val="20"/>
          <w:szCs w:val="20"/>
        </w:rPr>
        <w:t>2 to 5 years</w:t>
      </w:r>
    </w:p>
    <w:p w14:paraId="044F441A" w14:textId="77777777" w:rsidR="007D6AF3" w:rsidRPr="002C21B8" w:rsidRDefault="007D6AF3" w:rsidP="00A97F07">
      <w:pPr>
        <w:pStyle w:val="ListParagraph"/>
        <w:numPr>
          <w:ilvl w:val="0"/>
          <w:numId w:val="33"/>
        </w:numPr>
        <w:jc w:val="left"/>
        <w:rPr>
          <w:sz w:val="20"/>
          <w:szCs w:val="20"/>
        </w:rPr>
      </w:pPr>
      <w:r w:rsidRPr="002C21B8">
        <w:rPr>
          <w:rStyle w:val="labelwrapper"/>
          <w:color w:val="000000" w:themeColor="text1"/>
          <w:sz w:val="20"/>
          <w:szCs w:val="20"/>
        </w:rPr>
        <w:t>5 to 10 years</w:t>
      </w:r>
    </w:p>
    <w:p w14:paraId="07BF67DD" w14:textId="36CD3466" w:rsidR="007D6AF3" w:rsidRPr="002C21B8" w:rsidRDefault="007D6AF3" w:rsidP="00A97F07">
      <w:pPr>
        <w:pStyle w:val="ListParagraph"/>
        <w:numPr>
          <w:ilvl w:val="0"/>
          <w:numId w:val="33"/>
        </w:numPr>
        <w:jc w:val="left"/>
        <w:rPr>
          <w:rStyle w:val="Strong"/>
          <w:b w:val="0"/>
          <w:bCs w:val="0"/>
          <w:color w:val="000000" w:themeColor="text1"/>
          <w:sz w:val="20"/>
          <w:szCs w:val="20"/>
        </w:rPr>
      </w:pPr>
      <w:r w:rsidRPr="002C21B8">
        <w:rPr>
          <w:rStyle w:val="labelwrapper"/>
          <w:color w:val="000000" w:themeColor="text1"/>
          <w:sz w:val="20"/>
          <w:szCs w:val="20"/>
        </w:rPr>
        <w:t>No set pattern</w:t>
      </w:r>
    </w:p>
    <w:p w14:paraId="55002E39" w14:textId="578191AE" w:rsidR="007D6AF3" w:rsidRPr="002C21B8" w:rsidRDefault="007D6AF3" w:rsidP="00DE7E92">
      <w:pPr>
        <w:jc w:val="left"/>
        <w:rPr>
          <w:sz w:val="20"/>
          <w:szCs w:val="20"/>
        </w:rPr>
      </w:pPr>
      <w:r w:rsidRPr="002C21B8">
        <w:rPr>
          <w:sz w:val="20"/>
          <w:szCs w:val="20"/>
        </w:rPr>
        <w:t>Q20.</w:t>
      </w:r>
      <w:r w:rsidR="002B27F4" w:rsidRPr="002C21B8">
        <w:rPr>
          <w:sz w:val="20"/>
          <w:szCs w:val="20"/>
        </w:rPr>
        <w:t xml:space="preserve"> </w:t>
      </w:r>
      <w:r w:rsidRPr="002C21B8">
        <w:rPr>
          <w:sz w:val="20"/>
          <w:szCs w:val="20"/>
        </w:rPr>
        <w:t>Does your service offer diagnostic genetic testing for people with a clinical diagnosis of ADPKD?</w:t>
      </w:r>
      <w:r w:rsidRPr="002C21B8">
        <w:rPr>
          <w:sz w:val="20"/>
          <w:szCs w:val="20"/>
        </w:rPr>
        <w:br/>
      </w:r>
      <w:r w:rsidRPr="002C21B8">
        <w:rPr>
          <w:rStyle w:val="Emphasis"/>
          <w:rFonts w:eastAsiaTheme="majorEastAsia"/>
          <w:color w:val="000000" w:themeColor="text1"/>
          <w:sz w:val="20"/>
          <w:szCs w:val="20"/>
        </w:rPr>
        <w:t>(please select one option)</w:t>
      </w:r>
    </w:p>
    <w:p w14:paraId="02FA2F9B" w14:textId="77777777" w:rsidR="007D6AF3" w:rsidRPr="002C21B8" w:rsidRDefault="007D6AF3" w:rsidP="00A97F07">
      <w:pPr>
        <w:pStyle w:val="ListParagraph"/>
        <w:numPr>
          <w:ilvl w:val="0"/>
          <w:numId w:val="34"/>
        </w:numPr>
        <w:jc w:val="left"/>
        <w:rPr>
          <w:rStyle w:val="labelwrapper"/>
          <w:color w:val="000000" w:themeColor="text1"/>
          <w:sz w:val="20"/>
          <w:szCs w:val="20"/>
        </w:rPr>
      </w:pPr>
      <w:r w:rsidRPr="002C21B8">
        <w:rPr>
          <w:rStyle w:val="labelwrapper"/>
          <w:color w:val="000000" w:themeColor="text1"/>
          <w:sz w:val="20"/>
          <w:szCs w:val="20"/>
        </w:rPr>
        <w:t>Yes</w:t>
      </w:r>
    </w:p>
    <w:p w14:paraId="678AFC13" w14:textId="21676075" w:rsidR="007D6AF3" w:rsidRPr="002C21B8" w:rsidRDefault="007D6AF3" w:rsidP="00A97F07">
      <w:pPr>
        <w:pStyle w:val="ListParagraph"/>
        <w:numPr>
          <w:ilvl w:val="0"/>
          <w:numId w:val="34"/>
        </w:numPr>
        <w:jc w:val="left"/>
        <w:rPr>
          <w:sz w:val="20"/>
          <w:szCs w:val="20"/>
        </w:rPr>
      </w:pPr>
      <w:r w:rsidRPr="002C21B8">
        <w:rPr>
          <w:rStyle w:val="labelwrapper"/>
          <w:color w:val="000000" w:themeColor="text1"/>
          <w:sz w:val="20"/>
          <w:szCs w:val="20"/>
        </w:rPr>
        <w:t>No</w:t>
      </w:r>
    </w:p>
    <w:p w14:paraId="59F54050" w14:textId="50C5592B" w:rsidR="007D6AF3" w:rsidRPr="002C21B8" w:rsidRDefault="007D6AF3" w:rsidP="00DE7E92">
      <w:pPr>
        <w:jc w:val="left"/>
        <w:rPr>
          <w:sz w:val="20"/>
          <w:szCs w:val="20"/>
        </w:rPr>
      </w:pPr>
      <w:r w:rsidRPr="002C21B8">
        <w:rPr>
          <w:sz w:val="20"/>
          <w:szCs w:val="20"/>
        </w:rPr>
        <w:t>&gt;&gt;</w:t>
      </w:r>
      <w:r w:rsidRPr="002C21B8">
        <w:rPr>
          <w:rStyle w:val="conjdesc"/>
          <w:color w:val="000000" w:themeColor="text1"/>
          <w:spacing w:val="5"/>
          <w:sz w:val="20"/>
          <w:szCs w:val="20"/>
        </w:rPr>
        <w:t xml:space="preserve"> If</w:t>
      </w:r>
      <w:r w:rsidR="002B27F4" w:rsidRPr="002C21B8">
        <w:rPr>
          <w:rStyle w:val="apple-converted-space"/>
          <w:color w:val="000000" w:themeColor="text1"/>
          <w:sz w:val="20"/>
          <w:szCs w:val="20"/>
        </w:rPr>
        <w:t xml:space="preserve"> </w:t>
      </w:r>
      <w:r w:rsidRPr="002C21B8">
        <w:rPr>
          <w:rStyle w:val="questiondesc"/>
          <w:color w:val="000000" w:themeColor="text1"/>
          <w:sz w:val="20"/>
          <w:szCs w:val="20"/>
        </w:rPr>
        <w:t xml:space="preserve">Q20. </w:t>
      </w:r>
      <w:r w:rsidRPr="002C21B8">
        <w:rPr>
          <w:sz w:val="20"/>
          <w:szCs w:val="20"/>
        </w:rPr>
        <w:t>Does your service offer diagnostic genetic testing for people with a clinical diagnosis of ADPKD</w:t>
      </w:r>
      <w:r w:rsidRPr="002C21B8">
        <w:rPr>
          <w:rStyle w:val="questiondesc"/>
          <w:color w:val="000000" w:themeColor="text1"/>
          <w:sz w:val="20"/>
          <w:szCs w:val="20"/>
        </w:rPr>
        <w:t>? (please select one option)</w:t>
      </w:r>
      <w:r w:rsidR="002B27F4" w:rsidRPr="002C21B8">
        <w:rPr>
          <w:rStyle w:val="apple-converted-space"/>
          <w:color w:val="000000" w:themeColor="text1"/>
          <w:sz w:val="20"/>
          <w:szCs w:val="20"/>
        </w:rPr>
        <w:t xml:space="preserve"> </w:t>
      </w:r>
      <w:r w:rsidRPr="002C21B8">
        <w:rPr>
          <w:rStyle w:val="leftopdesc"/>
          <w:color w:val="000000" w:themeColor="text1"/>
          <w:sz w:val="20"/>
          <w:szCs w:val="20"/>
        </w:rPr>
        <w:t>Yes</w:t>
      </w:r>
      <w:r w:rsidR="002B27F4" w:rsidRPr="002C21B8">
        <w:rPr>
          <w:rStyle w:val="apple-converted-space"/>
          <w:color w:val="000000" w:themeColor="text1"/>
          <w:sz w:val="20"/>
          <w:szCs w:val="20"/>
        </w:rPr>
        <w:t xml:space="preserve"> </w:t>
      </w:r>
      <w:r w:rsidRPr="002C21B8">
        <w:rPr>
          <w:rStyle w:val="opdesc"/>
          <w:color w:val="000000" w:themeColor="text1"/>
          <w:sz w:val="20"/>
          <w:szCs w:val="20"/>
        </w:rPr>
        <w:t>Is Selected</w:t>
      </w:r>
    </w:p>
    <w:p w14:paraId="14D87992" w14:textId="53D655EF" w:rsidR="007D6AF3" w:rsidRPr="002C21B8" w:rsidRDefault="007D6AF3" w:rsidP="00DE7E92">
      <w:pPr>
        <w:jc w:val="left"/>
        <w:rPr>
          <w:sz w:val="20"/>
          <w:szCs w:val="20"/>
        </w:rPr>
      </w:pPr>
      <w:r w:rsidRPr="002C21B8">
        <w:rPr>
          <w:sz w:val="20"/>
          <w:szCs w:val="20"/>
        </w:rPr>
        <w:t>Q20a.</w:t>
      </w:r>
      <w:r w:rsidR="002B27F4" w:rsidRPr="002C21B8">
        <w:rPr>
          <w:sz w:val="20"/>
          <w:szCs w:val="20"/>
        </w:rPr>
        <w:t xml:space="preserve"> </w:t>
      </w:r>
      <w:r w:rsidRPr="002C21B8">
        <w:rPr>
          <w:sz w:val="20"/>
          <w:szCs w:val="20"/>
        </w:rPr>
        <w:t>What percentage are currently offered genetic testing?</w:t>
      </w:r>
      <w:r w:rsidRPr="002C21B8">
        <w:rPr>
          <w:sz w:val="20"/>
          <w:szCs w:val="20"/>
        </w:rPr>
        <w:br/>
      </w:r>
      <w:r w:rsidRPr="002C21B8">
        <w:rPr>
          <w:rStyle w:val="Emphasis"/>
          <w:rFonts w:eastAsiaTheme="majorEastAsia"/>
          <w:color w:val="000000" w:themeColor="text1"/>
          <w:sz w:val="20"/>
          <w:szCs w:val="20"/>
        </w:rPr>
        <w:t>(please indicate on slider in 5% intervals)</w:t>
      </w:r>
    </w:p>
    <w:p w14:paraId="00F4F9EA" w14:textId="77777777" w:rsidR="00A80CEF" w:rsidRPr="002C21B8" w:rsidRDefault="00A80CEF" w:rsidP="00DE7E92">
      <w:pPr>
        <w:jc w:val="left"/>
        <w:rPr>
          <w:sz w:val="20"/>
          <w:szCs w:val="20"/>
        </w:rPr>
      </w:pPr>
      <w:r w:rsidRPr="002C21B8">
        <w:rPr>
          <w:sz w:val="20"/>
          <w:szCs w:val="20"/>
        </w:rPr>
        <w:t>--------------------------------------------------------------------------------------------------------------------------------------</w:t>
      </w:r>
    </w:p>
    <w:p w14:paraId="4FBCA490" w14:textId="77777777" w:rsidR="007D6AF3" w:rsidRPr="002C21B8" w:rsidRDefault="007D6AF3" w:rsidP="00DE7E92">
      <w:pPr>
        <w:jc w:val="left"/>
        <w:rPr>
          <w:sz w:val="20"/>
          <w:szCs w:val="20"/>
        </w:rPr>
      </w:pPr>
      <w:r w:rsidRPr="002C21B8">
        <w:rPr>
          <w:rStyle w:val="Strong"/>
          <w:sz w:val="20"/>
          <w:szCs w:val="20"/>
        </w:rPr>
        <w:t>Section 4 - Local documentation and patient information</w:t>
      </w:r>
    </w:p>
    <w:p w14:paraId="13020FF1" w14:textId="77777777" w:rsidR="007D6AF3" w:rsidRPr="002C21B8" w:rsidRDefault="007D6AF3" w:rsidP="00DE7E92">
      <w:pPr>
        <w:jc w:val="left"/>
        <w:rPr>
          <w:sz w:val="20"/>
          <w:szCs w:val="20"/>
        </w:rPr>
      </w:pPr>
      <w:r w:rsidRPr="002C21B8">
        <w:rPr>
          <w:sz w:val="20"/>
          <w:szCs w:val="20"/>
        </w:rPr>
        <w:t>Q21. Does your centre have any local guidance that supports healthcare professionals making tolvaptan prescribing decisions for people with ADPKD?</w:t>
      </w:r>
      <w:r w:rsidRPr="002C21B8">
        <w:rPr>
          <w:sz w:val="20"/>
          <w:szCs w:val="20"/>
        </w:rPr>
        <w:br/>
      </w:r>
      <w:r w:rsidRPr="002C21B8">
        <w:rPr>
          <w:rStyle w:val="Emphasis"/>
          <w:rFonts w:eastAsiaTheme="majorEastAsia"/>
          <w:color w:val="000000" w:themeColor="text1"/>
          <w:sz w:val="20"/>
          <w:szCs w:val="20"/>
        </w:rPr>
        <w:t>(please select one option)</w:t>
      </w:r>
    </w:p>
    <w:p w14:paraId="512A4C0B" w14:textId="77777777" w:rsidR="007D6AF3" w:rsidRPr="002C21B8" w:rsidRDefault="007D6AF3" w:rsidP="00A97F07">
      <w:pPr>
        <w:pStyle w:val="ListParagraph"/>
        <w:numPr>
          <w:ilvl w:val="0"/>
          <w:numId w:val="35"/>
        </w:numPr>
        <w:jc w:val="left"/>
        <w:rPr>
          <w:sz w:val="20"/>
          <w:szCs w:val="20"/>
        </w:rPr>
      </w:pPr>
      <w:r w:rsidRPr="002C21B8">
        <w:rPr>
          <w:rStyle w:val="labelwrapper"/>
          <w:color w:val="000000" w:themeColor="text1"/>
          <w:sz w:val="20"/>
          <w:szCs w:val="20"/>
        </w:rPr>
        <w:t>Yes</w:t>
      </w:r>
    </w:p>
    <w:p w14:paraId="5EB42460" w14:textId="77777777" w:rsidR="007D6AF3" w:rsidRPr="002C21B8" w:rsidRDefault="007D6AF3" w:rsidP="00A97F07">
      <w:pPr>
        <w:pStyle w:val="ListParagraph"/>
        <w:numPr>
          <w:ilvl w:val="0"/>
          <w:numId w:val="35"/>
        </w:numPr>
        <w:jc w:val="left"/>
        <w:rPr>
          <w:sz w:val="20"/>
          <w:szCs w:val="20"/>
        </w:rPr>
      </w:pPr>
      <w:r w:rsidRPr="002C21B8">
        <w:rPr>
          <w:rStyle w:val="labelwrapper"/>
          <w:color w:val="000000" w:themeColor="text1"/>
          <w:sz w:val="20"/>
          <w:szCs w:val="20"/>
        </w:rPr>
        <w:t>No</w:t>
      </w:r>
    </w:p>
    <w:p w14:paraId="37D08D6F" w14:textId="662377E4" w:rsidR="007D6AF3" w:rsidRPr="002C21B8" w:rsidRDefault="007D6AF3" w:rsidP="00A97F07">
      <w:pPr>
        <w:pStyle w:val="ListParagraph"/>
        <w:numPr>
          <w:ilvl w:val="0"/>
          <w:numId w:val="35"/>
        </w:numPr>
        <w:jc w:val="left"/>
        <w:rPr>
          <w:sz w:val="20"/>
          <w:szCs w:val="20"/>
        </w:rPr>
      </w:pPr>
      <w:r w:rsidRPr="002C21B8">
        <w:rPr>
          <w:rStyle w:val="labelwrapper"/>
          <w:color w:val="000000" w:themeColor="text1"/>
          <w:sz w:val="20"/>
          <w:szCs w:val="20"/>
        </w:rPr>
        <w:t>Not sure</w:t>
      </w:r>
    </w:p>
    <w:p w14:paraId="5807E9CE" w14:textId="77777777" w:rsidR="00A80CEF" w:rsidRPr="002C21B8" w:rsidRDefault="00A80CEF" w:rsidP="00DE7E92">
      <w:pPr>
        <w:jc w:val="left"/>
        <w:rPr>
          <w:sz w:val="20"/>
          <w:szCs w:val="20"/>
        </w:rPr>
      </w:pPr>
      <w:r w:rsidRPr="002C21B8">
        <w:rPr>
          <w:sz w:val="20"/>
          <w:szCs w:val="20"/>
        </w:rPr>
        <w:br w:type="page"/>
      </w:r>
    </w:p>
    <w:p w14:paraId="56CEADE5" w14:textId="2908F767" w:rsidR="007D6AF3" w:rsidRPr="002C21B8" w:rsidRDefault="007D6AF3" w:rsidP="00DE7E92">
      <w:pPr>
        <w:jc w:val="left"/>
        <w:rPr>
          <w:sz w:val="20"/>
          <w:szCs w:val="20"/>
        </w:rPr>
      </w:pPr>
      <w:r w:rsidRPr="002C21B8">
        <w:rPr>
          <w:sz w:val="20"/>
          <w:szCs w:val="20"/>
        </w:rPr>
        <w:t>Q22. Which of the following, if any, do you use to inform your decision to prescribe tolvaptan for people with ADPKD?</w:t>
      </w:r>
      <w:r w:rsidRPr="002C21B8">
        <w:rPr>
          <w:sz w:val="20"/>
          <w:szCs w:val="20"/>
        </w:rPr>
        <w:br/>
      </w:r>
      <w:r w:rsidRPr="002C21B8">
        <w:rPr>
          <w:rStyle w:val="Emphasis"/>
          <w:rFonts w:eastAsiaTheme="majorEastAsia"/>
          <w:color w:val="000000" w:themeColor="text1"/>
          <w:sz w:val="20"/>
          <w:szCs w:val="20"/>
        </w:rPr>
        <w:t>(please select all that apply)</w:t>
      </w:r>
    </w:p>
    <w:p w14:paraId="51F20A79"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Local guidelines or standard operating procedures</w:t>
      </w:r>
    </w:p>
    <w:p w14:paraId="4D88AD75"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Guidelines from other kidney centres</w:t>
      </w:r>
    </w:p>
    <w:p w14:paraId="0F7331C1"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UKKA guidance</w:t>
      </w:r>
    </w:p>
    <w:p w14:paraId="51488132"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KDIGO guidance</w:t>
      </w:r>
    </w:p>
    <w:p w14:paraId="65912AF6"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NICE guidance</w:t>
      </w:r>
    </w:p>
    <w:p w14:paraId="0D2A0A5E"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Primary research outside of guidelines</w:t>
      </w:r>
    </w:p>
    <w:p w14:paraId="20DC7A50"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Expert opinion</w:t>
      </w:r>
    </w:p>
    <w:p w14:paraId="454D1173" w14:textId="77777777" w:rsidR="007D6AF3" w:rsidRPr="002C21B8" w:rsidRDefault="007D6AF3" w:rsidP="00A97F07">
      <w:pPr>
        <w:pStyle w:val="ListParagraph"/>
        <w:numPr>
          <w:ilvl w:val="0"/>
          <w:numId w:val="36"/>
        </w:numPr>
        <w:jc w:val="left"/>
        <w:rPr>
          <w:sz w:val="20"/>
          <w:szCs w:val="20"/>
        </w:rPr>
      </w:pPr>
      <w:r w:rsidRPr="002C21B8">
        <w:rPr>
          <w:rStyle w:val="labelwrapper"/>
          <w:color w:val="000000" w:themeColor="text1"/>
          <w:sz w:val="20"/>
          <w:szCs w:val="20"/>
        </w:rPr>
        <w:t>None of the above</w:t>
      </w:r>
    </w:p>
    <w:p w14:paraId="38A34012" w14:textId="77777777" w:rsidR="007D6AF3" w:rsidRPr="002C21B8" w:rsidRDefault="007D6AF3" w:rsidP="00A97F07">
      <w:pPr>
        <w:pStyle w:val="ListParagraph"/>
        <w:numPr>
          <w:ilvl w:val="0"/>
          <w:numId w:val="36"/>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7ABA70A5" w14:textId="77777777" w:rsidTr="00BD586A">
        <w:tc>
          <w:tcPr>
            <w:tcW w:w="9016" w:type="dxa"/>
          </w:tcPr>
          <w:p w14:paraId="69DDBD77" w14:textId="77777777" w:rsidR="007D6AF3" w:rsidRPr="002C21B8" w:rsidRDefault="007D6AF3" w:rsidP="00DE7E92">
            <w:pPr>
              <w:jc w:val="left"/>
              <w:rPr>
                <w:rStyle w:val="labelwrapper"/>
                <w:color w:val="000000" w:themeColor="text1"/>
                <w:sz w:val="20"/>
                <w:szCs w:val="20"/>
              </w:rPr>
            </w:pPr>
          </w:p>
        </w:tc>
      </w:tr>
    </w:tbl>
    <w:p w14:paraId="5D8051CA" w14:textId="77777777" w:rsidR="007D6AF3" w:rsidRPr="002C21B8" w:rsidRDefault="007D6AF3" w:rsidP="00DE7E92">
      <w:pPr>
        <w:jc w:val="left"/>
        <w:rPr>
          <w:rStyle w:val="message"/>
          <w:color w:val="000000" w:themeColor="text1"/>
          <w:sz w:val="20"/>
          <w:szCs w:val="20"/>
        </w:rPr>
      </w:pPr>
    </w:p>
    <w:p w14:paraId="1ECEA926" w14:textId="77777777" w:rsidR="007D6AF3" w:rsidRPr="002C21B8" w:rsidRDefault="007D6AF3" w:rsidP="00DE7E92">
      <w:pPr>
        <w:jc w:val="left"/>
        <w:rPr>
          <w:sz w:val="20"/>
          <w:szCs w:val="20"/>
        </w:rPr>
      </w:pPr>
      <w:r w:rsidRPr="002C21B8">
        <w:rPr>
          <w:sz w:val="20"/>
          <w:szCs w:val="20"/>
        </w:rPr>
        <w:t>Q23. How do people with ADPKD receive information about tolvaptan at your centre?</w:t>
      </w:r>
      <w:r w:rsidRPr="002C21B8">
        <w:rPr>
          <w:sz w:val="20"/>
          <w:szCs w:val="20"/>
        </w:rPr>
        <w:br/>
      </w:r>
      <w:r w:rsidRPr="002C21B8">
        <w:rPr>
          <w:rStyle w:val="Emphasis"/>
          <w:rFonts w:eastAsiaTheme="majorEastAsia"/>
          <w:color w:val="000000" w:themeColor="text1"/>
          <w:sz w:val="20"/>
          <w:szCs w:val="20"/>
        </w:rPr>
        <w:t>(please select all that apply)</w:t>
      </w:r>
    </w:p>
    <w:p w14:paraId="793BC675"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Verbal information in clinic (general nephrology clinic/clinical genetics clinic/polycystic kidney disease clinic)</w:t>
      </w:r>
    </w:p>
    <w:p w14:paraId="0539646D"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Verbal information in tolvaptan clinic</w:t>
      </w:r>
    </w:p>
    <w:p w14:paraId="05CE6F0F"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Locally developed patient information leaflet</w:t>
      </w:r>
    </w:p>
    <w:p w14:paraId="5B875489"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Pharmaceutical company patient information leaflet (e.g. Otsuka or Teva pharmaceuticals)</w:t>
      </w:r>
    </w:p>
    <w:p w14:paraId="71C2ED8C"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Patient information days</w:t>
      </w:r>
    </w:p>
    <w:p w14:paraId="5E2015A2" w14:textId="77777777" w:rsidR="007D6AF3" w:rsidRPr="002C21B8" w:rsidRDefault="007D6AF3" w:rsidP="00A97F07">
      <w:pPr>
        <w:pStyle w:val="ListParagraph"/>
        <w:numPr>
          <w:ilvl w:val="0"/>
          <w:numId w:val="37"/>
        </w:numPr>
        <w:jc w:val="left"/>
        <w:rPr>
          <w:sz w:val="20"/>
          <w:szCs w:val="20"/>
        </w:rPr>
      </w:pPr>
      <w:r w:rsidRPr="002C21B8">
        <w:rPr>
          <w:rStyle w:val="labelwrapper"/>
          <w:color w:val="000000" w:themeColor="text1"/>
          <w:sz w:val="20"/>
          <w:szCs w:val="20"/>
        </w:rPr>
        <w:t>PKD charity information</w:t>
      </w:r>
    </w:p>
    <w:p w14:paraId="0FEAD8C6" w14:textId="77777777" w:rsidR="007D6AF3" w:rsidRPr="002C21B8" w:rsidRDefault="007D6AF3" w:rsidP="00A97F07">
      <w:pPr>
        <w:pStyle w:val="ListParagraph"/>
        <w:numPr>
          <w:ilvl w:val="0"/>
          <w:numId w:val="37"/>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4AECB42C" w14:textId="77777777" w:rsidTr="00BD586A">
        <w:tc>
          <w:tcPr>
            <w:tcW w:w="8296" w:type="dxa"/>
          </w:tcPr>
          <w:p w14:paraId="3F8ACD24" w14:textId="77777777" w:rsidR="007D6AF3" w:rsidRPr="002C21B8" w:rsidRDefault="007D6AF3" w:rsidP="00DE7E92">
            <w:pPr>
              <w:jc w:val="left"/>
              <w:rPr>
                <w:rStyle w:val="labelwrapper"/>
                <w:color w:val="000000" w:themeColor="text1"/>
                <w:sz w:val="20"/>
                <w:szCs w:val="20"/>
              </w:rPr>
            </w:pPr>
          </w:p>
        </w:tc>
      </w:tr>
    </w:tbl>
    <w:p w14:paraId="4CB02A40" w14:textId="77777777" w:rsidR="00A80CEF" w:rsidRPr="002C21B8" w:rsidRDefault="00A80CEF" w:rsidP="00DE7E92">
      <w:pPr>
        <w:jc w:val="left"/>
        <w:rPr>
          <w:sz w:val="20"/>
          <w:szCs w:val="20"/>
        </w:rPr>
      </w:pPr>
    </w:p>
    <w:p w14:paraId="75C8CA82" w14:textId="03D2E537" w:rsidR="007D6AF3" w:rsidRPr="002C21B8" w:rsidRDefault="007D6AF3" w:rsidP="00DE7E92">
      <w:pPr>
        <w:jc w:val="left"/>
        <w:rPr>
          <w:sz w:val="20"/>
          <w:szCs w:val="20"/>
        </w:rPr>
      </w:pPr>
      <w:r w:rsidRPr="002C21B8">
        <w:rPr>
          <w:sz w:val="20"/>
          <w:szCs w:val="20"/>
        </w:rPr>
        <w:t>--------------------------------------------------------------------------------------------------------------------------------------</w:t>
      </w:r>
    </w:p>
    <w:p w14:paraId="5481C23D" w14:textId="77777777" w:rsidR="00A80CEF" w:rsidRPr="002C21B8" w:rsidRDefault="00A80CEF" w:rsidP="00DE7E92">
      <w:pPr>
        <w:jc w:val="left"/>
        <w:rPr>
          <w:rStyle w:val="Strong"/>
          <w:b w:val="0"/>
          <w:bCs w:val="0"/>
          <w:sz w:val="20"/>
          <w:szCs w:val="20"/>
        </w:rPr>
      </w:pPr>
      <w:r w:rsidRPr="002C21B8">
        <w:rPr>
          <w:rStyle w:val="Strong"/>
          <w:b w:val="0"/>
          <w:bCs w:val="0"/>
          <w:sz w:val="20"/>
          <w:szCs w:val="20"/>
        </w:rPr>
        <w:br w:type="page"/>
      </w:r>
    </w:p>
    <w:p w14:paraId="330DC4DA" w14:textId="268EEF5E" w:rsidR="007D6AF3" w:rsidRPr="002C21B8" w:rsidRDefault="007D6AF3" w:rsidP="00DE7E92">
      <w:pPr>
        <w:jc w:val="left"/>
        <w:rPr>
          <w:sz w:val="20"/>
          <w:szCs w:val="20"/>
        </w:rPr>
      </w:pPr>
      <w:r w:rsidRPr="002C21B8">
        <w:rPr>
          <w:rStyle w:val="Strong"/>
          <w:sz w:val="20"/>
          <w:szCs w:val="20"/>
        </w:rPr>
        <w:t>Section 5 - Eligibility of people with ADPKD for tolvaptan</w:t>
      </w:r>
    </w:p>
    <w:p w14:paraId="6A0F368D" w14:textId="237117E9" w:rsidR="00B55197" w:rsidRPr="002C21B8" w:rsidRDefault="00B55197" w:rsidP="00B55197">
      <w:pPr>
        <w:jc w:val="left"/>
        <w:rPr>
          <w:sz w:val="20"/>
          <w:szCs w:val="20"/>
        </w:rPr>
      </w:pPr>
      <w:r w:rsidRPr="002C21B8">
        <w:rPr>
          <w:sz w:val="20"/>
          <w:szCs w:val="20"/>
        </w:rPr>
        <w:t>Q24.Do you prescribe tolvaptan with an upper limit or lower limit eGFR?</w:t>
      </w:r>
    </w:p>
    <w:p w14:paraId="64ACA725" w14:textId="075C7B49" w:rsidR="00B55197" w:rsidRPr="002C21B8" w:rsidRDefault="00B55197" w:rsidP="00A97F07">
      <w:pPr>
        <w:pStyle w:val="ListParagraph"/>
        <w:numPr>
          <w:ilvl w:val="0"/>
          <w:numId w:val="39"/>
        </w:numPr>
        <w:jc w:val="left"/>
        <w:rPr>
          <w:sz w:val="20"/>
          <w:szCs w:val="20"/>
        </w:rPr>
      </w:pPr>
      <w:r w:rsidRPr="002C21B8">
        <w:rPr>
          <w:rStyle w:val="labelwrapper"/>
          <w:color w:val="000000" w:themeColor="text1"/>
          <w:sz w:val="20"/>
          <w:szCs w:val="20"/>
        </w:rPr>
        <w:t>Upper limit – Please specify: ________</w:t>
      </w:r>
    </w:p>
    <w:p w14:paraId="4E95342C" w14:textId="2A1160DB" w:rsidR="00B55197" w:rsidRPr="002C21B8" w:rsidRDefault="00B55197" w:rsidP="00A97F07">
      <w:pPr>
        <w:pStyle w:val="ListParagraph"/>
        <w:numPr>
          <w:ilvl w:val="0"/>
          <w:numId w:val="39"/>
        </w:numPr>
        <w:jc w:val="left"/>
        <w:rPr>
          <w:sz w:val="20"/>
          <w:szCs w:val="20"/>
        </w:rPr>
      </w:pPr>
      <w:r w:rsidRPr="002C21B8">
        <w:rPr>
          <w:rStyle w:val="labelwrapper"/>
          <w:color w:val="000000" w:themeColor="text1"/>
          <w:sz w:val="20"/>
          <w:szCs w:val="20"/>
        </w:rPr>
        <w:t>Lower limit – Please specify: ________</w:t>
      </w:r>
    </w:p>
    <w:p w14:paraId="3245C121" w14:textId="275E30F4" w:rsidR="007D6AF3" w:rsidRPr="002C21B8" w:rsidRDefault="007D6AF3" w:rsidP="00DE7E92">
      <w:pPr>
        <w:jc w:val="left"/>
        <w:rPr>
          <w:sz w:val="20"/>
          <w:szCs w:val="20"/>
        </w:rPr>
      </w:pPr>
      <w:r w:rsidRPr="002C21B8">
        <w:rPr>
          <w:sz w:val="20"/>
          <w:szCs w:val="20"/>
        </w:rPr>
        <w:t>Q2</w:t>
      </w:r>
      <w:r w:rsidR="00B55197" w:rsidRPr="002C21B8">
        <w:rPr>
          <w:sz w:val="20"/>
          <w:szCs w:val="20"/>
        </w:rPr>
        <w:t>5</w:t>
      </w:r>
      <w:r w:rsidRPr="002C21B8">
        <w:rPr>
          <w:sz w:val="20"/>
          <w:szCs w:val="20"/>
        </w:rPr>
        <w:t>. Are the following measures being routinely used at your centre when making decisions about eligibility for tolvaptan?</w:t>
      </w:r>
      <w:r w:rsidRPr="002C21B8">
        <w:rPr>
          <w:sz w:val="20"/>
          <w:szCs w:val="20"/>
        </w:rPr>
        <w:br/>
      </w:r>
      <w:r w:rsidRPr="002C21B8">
        <w:rPr>
          <w:rStyle w:val="Emphasis"/>
          <w:rFonts w:eastAsiaTheme="majorEastAsia"/>
          <w:color w:val="000000" w:themeColor="text1"/>
          <w:sz w:val="20"/>
          <w:szCs w:val="20"/>
        </w:rPr>
        <w:t>(please select one option for each measure listed)</w:t>
      </w:r>
    </w:p>
    <w:tbl>
      <w:tblPr>
        <w:tblW w:w="5000" w:type="pct"/>
        <w:tblCellSpacing w:w="0" w:type="dxa"/>
        <w:tblCellMar>
          <w:left w:w="0" w:type="dxa"/>
          <w:bottom w:w="30" w:type="dxa"/>
          <w:right w:w="0" w:type="dxa"/>
        </w:tblCellMar>
        <w:tblLook w:val="04A0" w:firstRow="1" w:lastRow="0" w:firstColumn="1" w:lastColumn="0" w:noHBand="0" w:noVBand="1"/>
      </w:tblPr>
      <w:tblGrid>
        <w:gridCol w:w="2261"/>
        <w:gridCol w:w="141"/>
        <w:gridCol w:w="126"/>
        <w:gridCol w:w="3249"/>
        <w:gridCol w:w="3249"/>
      </w:tblGrid>
      <w:tr w:rsidR="007D6AF3" w:rsidRPr="002C21B8" w14:paraId="75677ACE" w14:textId="77777777" w:rsidTr="00BD586A">
        <w:trPr>
          <w:tblHeader/>
          <w:tblCellSpacing w:w="0" w:type="dxa"/>
        </w:trPr>
        <w:tc>
          <w:tcPr>
            <w:tcW w:w="4335" w:type="dxa"/>
            <w:tcBorders>
              <w:top w:val="nil"/>
              <w:left w:val="nil"/>
              <w:bottom w:val="single" w:sz="6" w:space="0" w:color="DBDBDB"/>
              <w:right w:val="nil"/>
            </w:tcBorders>
            <w:tcMar>
              <w:top w:w="60" w:type="dxa"/>
              <w:left w:w="60" w:type="dxa"/>
              <w:bottom w:w="60" w:type="dxa"/>
              <w:right w:w="60" w:type="dxa"/>
            </w:tcMar>
            <w:vAlign w:val="bottom"/>
            <w:hideMark/>
          </w:tcPr>
          <w:p w14:paraId="390ED1FA" w14:textId="77777777" w:rsidR="007D6AF3" w:rsidRPr="002C21B8" w:rsidRDefault="007D6AF3" w:rsidP="00DE7E92">
            <w:pPr>
              <w:jc w:val="left"/>
              <w:rPr>
                <w:sz w:val="20"/>
                <w:szCs w:val="20"/>
              </w:rPr>
            </w:pPr>
          </w:p>
        </w:tc>
        <w:tc>
          <w:tcPr>
            <w:tcW w:w="15" w:type="dxa"/>
            <w:tcBorders>
              <w:top w:val="nil"/>
              <w:left w:val="nil"/>
              <w:bottom w:val="single" w:sz="6" w:space="0" w:color="DBDBDB"/>
              <w:right w:val="single" w:sz="6" w:space="0" w:color="DBDBDB"/>
            </w:tcBorders>
            <w:tcMar>
              <w:top w:w="0" w:type="dxa"/>
              <w:left w:w="60" w:type="dxa"/>
              <w:bottom w:w="0" w:type="dxa"/>
              <w:right w:w="60" w:type="dxa"/>
            </w:tcMar>
            <w:vAlign w:val="bottom"/>
            <w:hideMark/>
          </w:tcPr>
          <w:p w14:paraId="089A2623" w14:textId="77777777" w:rsidR="007D6AF3" w:rsidRPr="002C21B8" w:rsidRDefault="007D6AF3" w:rsidP="00DE7E92">
            <w:pPr>
              <w:jc w:val="left"/>
              <w:rPr>
                <w:sz w:val="20"/>
                <w:szCs w:val="20"/>
              </w:rPr>
            </w:pPr>
          </w:p>
        </w:tc>
        <w:tc>
          <w:tcPr>
            <w:tcW w:w="15" w:type="dxa"/>
            <w:tcBorders>
              <w:top w:val="nil"/>
              <w:left w:val="nil"/>
              <w:bottom w:val="single" w:sz="6" w:space="0" w:color="DBDBDB"/>
              <w:right w:val="nil"/>
            </w:tcBorders>
            <w:tcMar>
              <w:top w:w="0" w:type="dxa"/>
              <w:left w:w="60" w:type="dxa"/>
              <w:bottom w:w="0" w:type="dxa"/>
              <w:right w:w="60" w:type="dxa"/>
            </w:tcMar>
            <w:vAlign w:val="bottom"/>
            <w:hideMark/>
          </w:tcPr>
          <w:p w14:paraId="1CB5B6AD" w14:textId="77777777" w:rsidR="007D6AF3" w:rsidRPr="002C21B8" w:rsidRDefault="007D6AF3" w:rsidP="00DE7E92">
            <w:pPr>
              <w:jc w:val="left"/>
              <w:rPr>
                <w:sz w:val="20"/>
                <w:szCs w:val="20"/>
              </w:rPr>
            </w:pPr>
          </w:p>
        </w:tc>
        <w:tc>
          <w:tcPr>
            <w:tcW w:w="1800" w:type="pct"/>
            <w:tcBorders>
              <w:top w:val="nil"/>
              <w:left w:val="nil"/>
              <w:bottom w:val="single" w:sz="6" w:space="0" w:color="DBDBDB"/>
              <w:right w:val="nil"/>
            </w:tcBorders>
            <w:tcMar>
              <w:top w:w="60" w:type="dxa"/>
              <w:left w:w="60" w:type="dxa"/>
              <w:bottom w:w="60" w:type="dxa"/>
              <w:right w:w="60" w:type="dxa"/>
            </w:tcMar>
            <w:vAlign w:val="bottom"/>
            <w:hideMark/>
          </w:tcPr>
          <w:p w14:paraId="022DD9E7" w14:textId="77777777" w:rsidR="007D6AF3" w:rsidRPr="002C21B8" w:rsidRDefault="007D6AF3" w:rsidP="00356959">
            <w:pPr>
              <w:jc w:val="center"/>
              <w:rPr>
                <w:sz w:val="20"/>
                <w:szCs w:val="20"/>
              </w:rPr>
            </w:pPr>
            <w:r w:rsidRPr="002C21B8">
              <w:rPr>
                <w:sz w:val="20"/>
                <w:szCs w:val="20"/>
              </w:rPr>
              <w:t>Yes</w:t>
            </w:r>
          </w:p>
        </w:tc>
        <w:tc>
          <w:tcPr>
            <w:tcW w:w="1800" w:type="pct"/>
            <w:tcBorders>
              <w:top w:val="nil"/>
              <w:left w:val="nil"/>
              <w:bottom w:val="single" w:sz="6" w:space="0" w:color="DBDBDB"/>
              <w:right w:val="nil"/>
            </w:tcBorders>
            <w:tcMar>
              <w:top w:w="60" w:type="dxa"/>
              <w:left w:w="60" w:type="dxa"/>
              <w:bottom w:w="60" w:type="dxa"/>
              <w:right w:w="60" w:type="dxa"/>
            </w:tcMar>
            <w:vAlign w:val="bottom"/>
            <w:hideMark/>
          </w:tcPr>
          <w:p w14:paraId="340D183C" w14:textId="77777777" w:rsidR="007D6AF3" w:rsidRPr="002C21B8" w:rsidRDefault="007D6AF3" w:rsidP="00356959">
            <w:pPr>
              <w:jc w:val="center"/>
              <w:rPr>
                <w:sz w:val="20"/>
                <w:szCs w:val="20"/>
              </w:rPr>
            </w:pPr>
            <w:r w:rsidRPr="002C21B8">
              <w:rPr>
                <w:sz w:val="20"/>
                <w:szCs w:val="20"/>
              </w:rPr>
              <w:t>No</w:t>
            </w:r>
          </w:p>
        </w:tc>
      </w:tr>
      <w:tr w:rsidR="007D6AF3" w:rsidRPr="002C21B8" w14:paraId="7C0DE7DE" w14:textId="77777777" w:rsidTr="00BD586A">
        <w:trPr>
          <w:tblCellSpacing w:w="0" w:type="dxa"/>
        </w:trPr>
        <w:tc>
          <w:tcPr>
            <w:tcW w:w="0" w:type="auto"/>
            <w:tcMar>
              <w:top w:w="60" w:type="dxa"/>
              <w:left w:w="60" w:type="dxa"/>
              <w:bottom w:w="60" w:type="dxa"/>
              <w:right w:w="60" w:type="dxa"/>
            </w:tcMar>
            <w:vAlign w:val="center"/>
            <w:hideMark/>
          </w:tcPr>
          <w:p w14:paraId="1DDF2CD8" w14:textId="77777777" w:rsidR="007D6AF3" w:rsidRPr="002C21B8" w:rsidRDefault="007D6AF3" w:rsidP="00DE7E92">
            <w:pPr>
              <w:jc w:val="left"/>
              <w:rPr>
                <w:sz w:val="20"/>
                <w:szCs w:val="20"/>
              </w:rPr>
            </w:pPr>
            <w:r w:rsidRPr="002C21B8">
              <w:rPr>
                <w:sz w:val="20"/>
                <w:szCs w:val="20"/>
              </w:rPr>
              <w:t>eGFR slope</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15C825A0"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3A5825B8"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62ABDF54" w14:textId="6D6D9FDF"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76A39166" w14:textId="346DA55D" w:rsidR="007D6AF3" w:rsidRPr="002C21B8" w:rsidRDefault="007D6AF3" w:rsidP="00A97F07">
            <w:pPr>
              <w:pStyle w:val="ListParagraph"/>
              <w:numPr>
                <w:ilvl w:val="0"/>
                <w:numId w:val="38"/>
              </w:numPr>
              <w:jc w:val="center"/>
              <w:rPr>
                <w:sz w:val="20"/>
                <w:szCs w:val="20"/>
              </w:rPr>
            </w:pPr>
          </w:p>
        </w:tc>
      </w:tr>
      <w:tr w:rsidR="007D6AF3" w:rsidRPr="002C21B8" w14:paraId="2906B150" w14:textId="77777777" w:rsidTr="00BD586A">
        <w:trPr>
          <w:tblCellSpacing w:w="0" w:type="dxa"/>
        </w:trPr>
        <w:tc>
          <w:tcPr>
            <w:tcW w:w="0" w:type="auto"/>
            <w:tcMar>
              <w:top w:w="60" w:type="dxa"/>
              <w:left w:w="60" w:type="dxa"/>
              <w:bottom w:w="60" w:type="dxa"/>
              <w:right w:w="60" w:type="dxa"/>
            </w:tcMar>
            <w:vAlign w:val="center"/>
            <w:hideMark/>
          </w:tcPr>
          <w:p w14:paraId="3C852C8E" w14:textId="77777777" w:rsidR="007D6AF3" w:rsidRPr="002C21B8" w:rsidRDefault="007D6AF3" w:rsidP="00DE7E92">
            <w:pPr>
              <w:jc w:val="left"/>
              <w:rPr>
                <w:sz w:val="20"/>
                <w:szCs w:val="20"/>
              </w:rPr>
            </w:pPr>
            <w:r w:rsidRPr="002C21B8">
              <w:rPr>
                <w:sz w:val="20"/>
                <w:szCs w:val="20"/>
              </w:rPr>
              <w:t>Kidney length (ultrasound)</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5C0B15A2"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3049BDB8"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18001BD4" w14:textId="7D4F4ACF"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573861A4" w14:textId="1B7A0DBC" w:rsidR="007D6AF3" w:rsidRPr="002C21B8" w:rsidRDefault="007D6AF3" w:rsidP="00A97F07">
            <w:pPr>
              <w:pStyle w:val="ListParagraph"/>
              <w:numPr>
                <w:ilvl w:val="0"/>
                <w:numId w:val="38"/>
              </w:numPr>
              <w:jc w:val="center"/>
              <w:rPr>
                <w:sz w:val="20"/>
                <w:szCs w:val="20"/>
              </w:rPr>
            </w:pPr>
          </w:p>
        </w:tc>
      </w:tr>
      <w:tr w:rsidR="007D6AF3" w:rsidRPr="002C21B8" w14:paraId="09120B2F" w14:textId="77777777" w:rsidTr="00BD586A">
        <w:trPr>
          <w:tblCellSpacing w:w="0" w:type="dxa"/>
        </w:trPr>
        <w:tc>
          <w:tcPr>
            <w:tcW w:w="0" w:type="auto"/>
            <w:tcMar>
              <w:top w:w="60" w:type="dxa"/>
              <w:left w:w="60" w:type="dxa"/>
              <w:bottom w:w="60" w:type="dxa"/>
              <w:right w:w="60" w:type="dxa"/>
            </w:tcMar>
            <w:vAlign w:val="center"/>
            <w:hideMark/>
          </w:tcPr>
          <w:p w14:paraId="00CD10A6" w14:textId="77777777" w:rsidR="007D6AF3" w:rsidRPr="002C21B8" w:rsidRDefault="007D6AF3" w:rsidP="00DE7E92">
            <w:pPr>
              <w:jc w:val="left"/>
              <w:rPr>
                <w:sz w:val="20"/>
                <w:szCs w:val="20"/>
              </w:rPr>
            </w:pPr>
            <w:r w:rsidRPr="002C21B8">
              <w:rPr>
                <w:sz w:val="20"/>
                <w:szCs w:val="20"/>
              </w:rPr>
              <w:t>Total kidney volume (MRI)</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560467D3"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020FFA5A"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3A03EE77" w14:textId="0005E5D8"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43E025AC" w14:textId="42142FC9" w:rsidR="007D6AF3" w:rsidRPr="002C21B8" w:rsidRDefault="007D6AF3" w:rsidP="00A97F07">
            <w:pPr>
              <w:pStyle w:val="ListParagraph"/>
              <w:numPr>
                <w:ilvl w:val="0"/>
                <w:numId w:val="38"/>
              </w:numPr>
              <w:jc w:val="center"/>
              <w:rPr>
                <w:sz w:val="20"/>
                <w:szCs w:val="20"/>
              </w:rPr>
            </w:pPr>
          </w:p>
        </w:tc>
      </w:tr>
      <w:tr w:rsidR="007D6AF3" w:rsidRPr="002C21B8" w14:paraId="74239CAF" w14:textId="77777777" w:rsidTr="00BD586A">
        <w:trPr>
          <w:tblCellSpacing w:w="0" w:type="dxa"/>
        </w:trPr>
        <w:tc>
          <w:tcPr>
            <w:tcW w:w="0" w:type="auto"/>
            <w:tcMar>
              <w:top w:w="60" w:type="dxa"/>
              <w:left w:w="60" w:type="dxa"/>
              <w:bottom w:w="60" w:type="dxa"/>
              <w:right w:w="60" w:type="dxa"/>
            </w:tcMar>
            <w:vAlign w:val="center"/>
            <w:hideMark/>
          </w:tcPr>
          <w:p w14:paraId="1443B96F" w14:textId="77777777" w:rsidR="007D6AF3" w:rsidRPr="002C21B8" w:rsidRDefault="007D6AF3" w:rsidP="00DE7E92">
            <w:pPr>
              <w:jc w:val="left"/>
              <w:rPr>
                <w:sz w:val="20"/>
                <w:szCs w:val="20"/>
              </w:rPr>
            </w:pPr>
            <w:r w:rsidRPr="002C21B8">
              <w:rPr>
                <w:sz w:val="20"/>
                <w:szCs w:val="20"/>
              </w:rPr>
              <w:t>Mayo imaging classification</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052D8303"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3E07B998"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4967DC34" w14:textId="12C3E3C6"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30778485" w14:textId="16DD47B2" w:rsidR="007D6AF3" w:rsidRPr="002C21B8" w:rsidRDefault="007D6AF3" w:rsidP="00A97F07">
            <w:pPr>
              <w:pStyle w:val="ListParagraph"/>
              <w:numPr>
                <w:ilvl w:val="0"/>
                <w:numId w:val="38"/>
              </w:numPr>
              <w:jc w:val="center"/>
              <w:rPr>
                <w:sz w:val="20"/>
                <w:szCs w:val="20"/>
              </w:rPr>
            </w:pPr>
          </w:p>
        </w:tc>
      </w:tr>
      <w:tr w:rsidR="007D6AF3" w:rsidRPr="002C21B8" w14:paraId="3EEDA748" w14:textId="77777777" w:rsidTr="00BD586A">
        <w:trPr>
          <w:tblCellSpacing w:w="0" w:type="dxa"/>
        </w:trPr>
        <w:tc>
          <w:tcPr>
            <w:tcW w:w="0" w:type="auto"/>
            <w:tcMar>
              <w:top w:w="60" w:type="dxa"/>
              <w:left w:w="60" w:type="dxa"/>
              <w:bottom w:w="60" w:type="dxa"/>
              <w:right w:w="60" w:type="dxa"/>
            </w:tcMar>
            <w:vAlign w:val="center"/>
            <w:hideMark/>
          </w:tcPr>
          <w:p w14:paraId="153ED286" w14:textId="77777777" w:rsidR="007D6AF3" w:rsidRPr="002C21B8" w:rsidRDefault="007D6AF3" w:rsidP="00DE7E92">
            <w:pPr>
              <w:jc w:val="left"/>
              <w:rPr>
                <w:sz w:val="20"/>
                <w:szCs w:val="20"/>
              </w:rPr>
            </w:pPr>
            <w:r w:rsidRPr="002C21B8">
              <w:rPr>
                <w:sz w:val="20"/>
                <w:szCs w:val="20"/>
              </w:rPr>
              <w:t>PROPKD score</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261F1634"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11A39339"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4B53AC60" w14:textId="3E886CD4"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6408C154" w14:textId="24EC4344" w:rsidR="007D6AF3" w:rsidRPr="002C21B8" w:rsidRDefault="007D6AF3" w:rsidP="00A97F07">
            <w:pPr>
              <w:pStyle w:val="ListParagraph"/>
              <w:numPr>
                <w:ilvl w:val="0"/>
                <w:numId w:val="38"/>
              </w:numPr>
              <w:jc w:val="center"/>
              <w:rPr>
                <w:sz w:val="20"/>
                <w:szCs w:val="20"/>
              </w:rPr>
            </w:pPr>
          </w:p>
        </w:tc>
      </w:tr>
      <w:tr w:rsidR="007D6AF3" w:rsidRPr="002C21B8" w14:paraId="22327B94" w14:textId="77777777" w:rsidTr="00BD586A">
        <w:trPr>
          <w:tblCellSpacing w:w="0" w:type="dxa"/>
        </w:trPr>
        <w:tc>
          <w:tcPr>
            <w:tcW w:w="0" w:type="auto"/>
            <w:tcMar>
              <w:top w:w="60" w:type="dxa"/>
              <w:left w:w="60" w:type="dxa"/>
              <w:bottom w:w="60" w:type="dxa"/>
              <w:right w:w="60" w:type="dxa"/>
            </w:tcMar>
            <w:vAlign w:val="center"/>
            <w:hideMark/>
          </w:tcPr>
          <w:p w14:paraId="3E3740FC" w14:textId="77777777" w:rsidR="007D6AF3" w:rsidRPr="002C21B8" w:rsidRDefault="007D6AF3" w:rsidP="00DE7E92">
            <w:pPr>
              <w:jc w:val="left"/>
              <w:rPr>
                <w:sz w:val="20"/>
                <w:szCs w:val="20"/>
              </w:rPr>
            </w:pPr>
            <w:r w:rsidRPr="002C21B8">
              <w:rPr>
                <w:sz w:val="20"/>
                <w:szCs w:val="20"/>
              </w:rPr>
              <w:t>Total kidney volume (ultrasound)</w:t>
            </w:r>
          </w:p>
        </w:tc>
        <w:tc>
          <w:tcPr>
            <w:tcW w:w="15" w:type="dxa"/>
            <w:tcBorders>
              <w:top w:val="nil"/>
              <w:left w:val="nil"/>
              <w:bottom w:val="nil"/>
              <w:right w:val="single" w:sz="6" w:space="0" w:color="DBDBDB"/>
            </w:tcBorders>
            <w:tcMar>
              <w:top w:w="0" w:type="dxa"/>
              <w:left w:w="60" w:type="dxa"/>
              <w:bottom w:w="0" w:type="dxa"/>
              <w:right w:w="60" w:type="dxa"/>
            </w:tcMar>
            <w:vAlign w:val="center"/>
            <w:hideMark/>
          </w:tcPr>
          <w:p w14:paraId="68C4D67E" w14:textId="77777777" w:rsidR="007D6AF3" w:rsidRPr="002C21B8" w:rsidRDefault="007D6AF3" w:rsidP="00DE7E92">
            <w:pPr>
              <w:jc w:val="left"/>
              <w:rPr>
                <w:sz w:val="20"/>
                <w:szCs w:val="20"/>
              </w:rPr>
            </w:pPr>
          </w:p>
        </w:tc>
        <w:tc>
          <w:tcPr>
            <w:tcW w:w="15" w:type="dxa"/>
            <w:tcBorders>
              <w:top w:val="nil"/>
              <w:left w:val="nil"/>
              <w:bottom w:val="nil"/>
              <w:right w:val="nil"/>
            </w:tcBorders>
            <w:tcMar>
              <w:top w:w="0" w:type="dxa"/>
              <w:left w:w="60" w:type="dxa"/>
              <w:bottom w:w="0" w:type="dxa"/>
              <w:right w:w="60" w:type="dxa"/>
            </w:tcMar>
            <w:vAlign w:val="center"/>
            <w:hideMark/>
          </w:tcPr>
          <w:p w14:paraId="62657C88" w14:textId="77777777" w:rsidR="007D6AF3" w:rsidRPr="002C21B8" w:rsidRDefault="007D6AF3" w:rsidP="00DE7E92">
            <w:pPr>
              <w:jc w:val="left"/>
              <w:rPr>
                <w:sz w:val="20"/>
                <w:szCs w:val="20"/>
              </w:rPr>
            </w:pPr>
          </w:p>
        </w:tc>
        <w:tc>
          <w:tcPr>
            <w:tcW w:w="0" w:type="auto"/>
            <w:tcMar>
              <w:top w:w="60" w:type="dxa"/>
              <w:left w:w="60" w:type="dxa"/>
              <w:bottom w:w="60" w:type="dxa"/>
              <w:right w:w="60" w:type="dxa"/>
            </w:tcMar>
            <w:vAlign w:val="center"/>
            <w:hideMark/>
          </w:tcPr>
          <w:p w14:paraId="6A6768A9" w14:textId="2BDFA9F9" w:rsidR="007D6AF3" w:rsidRPr="002C21B8" w:rsidRDefault="007D6AF3" w:rsidP="00A97F07">
            <w:pPr>
              <w:pStyle w:val="ListParagraph"/>
              <w:numPr>
                <w:ilvl w:val="0"/>
                <w:numId w:val="38"/>
              </w:numPr>
              <w:jc w:val="center"/>
              <w:rPr>
                <w:sz w:val="20"/>
                <w:szCs w:val="20"/>
              </w:rPr>
            </w:pPr>
          </w:p>
        </w:tc>
        <w:tc>
          <w:tcPr>
            <w:tcW w:w="0" w:type="auto"/>
            <w:tcMar>
              <w:top w:w="60" w:type="dxa"/>
              <w:left w:w="60" w:type="dxa"/>
              <w:bottom w:w="60" w:type="dxa"/>
              <w:right w:w="60" w:type="dxa"/>
            </w:tcMar>
            <w:vAlign w:val="center"/>
            <w:hideMark/>
          </w:tcPr>
          <w:p w14:paraId="1C2713E2" w14:textId="65F5E202" w:rsidR="007D6AF3" w:rsidRPr="002C21B8" w:rsidRDefault="007D6AF3" w:rsidP="00A97F07">
            <w:pPr>
              <w:pStyle w:val="ListParagraph"/>
              <w:numPr>
                <w:ilvl w:val="0"/>
                <w:numId w:val="38"/>
              </w:numPr>
              <w:jc w:val="center"/>
              <w:rPr>
                <w:sz w:val="20"/>
                <w:szCs w:val="20"/>
              </w:rPr>
            </w:pPr>
          </w:p>
        </w:tc>
      </w:tr>
    </w:tbl>
    <w:p w14:paraId="07E708B5" w14:textId="6F2B7E48" w:rsidR="007D6AF3" w:rsidRPr="002C21B8" w:rsidRDefault="007D6AF3" w:rsidP="00DE7E92">
      <w:pPr>
        <w:jc w:val="left"/>
        <w:rPr>
          <w:sz w:val="20"/>
          <w:szCs w:val="20"/>
        </w:rPr>
      </w:pPr>
      <w:r w:rsidRPr="002C21B8">
        <w:rPr>
          <w:sz w:val="20"/>
          <w:szCs w:val="20"/>
        </w:rPr>
        <w:t>&gt;&gt;</w:t>
      </w:r>
      <w:r w:rsidRPr="002C21B8">
        <w:rPr>
          <w:rStyle w:val="conjdesc"/>
          <w:i/>
          <w:iCs/>
          <w:color w:val="000000" w:themeColor="text1"/>
          <w:spacing w:val="5"/>
          <w:sz w:val="20"/>
          <w:szCs w:val="20"/>
        </w:rPr>
        <w:t xml:space="preserve"> If</w:t>
      </w:r>
      <w:r w:rsidR="002B27F4" w:rsidRPr="002C21B8">
        <w:rPr>
          <w:rStyle w:val="apple-converted-space"/>
          <w:color w:val="000000" w:themeColor="text1"/>
          <w:sz w:val="20"/>
          <w:szCs w:val="20"/>
        </w:rPr>
        <w:t xml:space="preserve"> </w:t>
      </w:r>
      <w:r w:rsidRPr="002C21B8">
        <w:rPr>
          <w:rStyle w:val="questiondesc"/>
          <w:i/>
          <w:iCs/>
          <w:color w:val="000000" w:themeColor="text1"/>
          <w:sz w:val="20"/>
          <w:szCs w:val="20"/>
        </w:rPr>
        <w:t>Q2</w:t>
      </w:r>
      <w:r w:rsidR="00B55197" w:rsidRPr="002C21B8">
        <w:rPr>
          <w:rStyle w:val="questiondesc"/>
          <w:i/>
          <w:iCs/>
          <w:color w:val="000000" w:themeColor="text1"/>
          <w:sz w:val="20"/>
          <w:szCs w:val="20"/>
        </w:rPr>
        <w:t>5</w:t>
      </w:r>
      <w:r w:rsidRPr="002C21B8">
        <w:rPr>
          <w:rStyle w:val="questiondesc"/>
          <w:i/>
          <w:iCs/>
          <w:color w:val="000000" w:themeColor="text1"/>
          <w:sz w:val="20"/>
          <w:szCs w:val="20"/>
        </w:rPr>
        <w:t>. Are the following measures being routinely used at your centre when making decisions about eli</w:t>
      </w:r>
      <w:r w:rsidR="00A80CEF" w:rsidRPr="002C21B8">
        <w:rPr>
          <w:rStyle w:val="questiondesc"/>
          <w:i/>
          <w:iCs/>
          <w:color w:val="000000" w:themeColor="text1"/>
          <w:sz w:val="20"/>
          <w:szCs w:val="20"/>
        </w:rPr>
        <w:t>gibility</w:t>
      </w:r>
      <w:r w:rsidRPr="002C21B8">
        <w:rPr>
          <w:rStyle w:val="questiondesc"/>
          <w:i/>
          <w:iCs/>
          <w:color w:val="000000" w:themeColor="text1"/>
          <w:sz w:val="20"/>
          <w:szCs w:val="20"/>
        </w:rPr>
        <w:t>...</w:t>
      </w:r>
      <w:r w:rsidR="002B27F4" w:rsidRPr="002C21B8">
        <w:rPr>
          <w:rStyle w:val="apple-converted-space"/>
          <w:color w:val="000000" w:themeColor="text1"/>
          <w:sz w:val="20"/>
          <w:szCs w:val="20"/>
        </w:rPr>
        <w:t xml:space="preserve"> </w:t>
      </w:r>
      <w:r w:rsidR="002B27F4" w:rsidRPr="002C21B8">
        <w:rPr>
          <w:rStyle w:val="leftopdesc"/>
          <w:i/>
          <w:iCs/>
          <w:color w:val="000000" w:themeColor="text1"/>
          <w:sz w:val="20"/>
          <w:szCs w:val="20"/>
        </w:rPr>
        <w:t>–</w:t>
      </w:r>
      <w:r w:rsidRPr="002C21B8">
        <w:rPr>
          <w:rStyle w:val="leftopdesc"/>
          <w:i/>
          <w:iCs/>
          <w:color w:val="000000" w:themeColor="text1"/>
          <w:sz w:val="20"/>
          <w:szCs w:val="20"/>
        </w:rPr>
        <w:t xml:space="preserve"> No</w:t>
      </w:r>
      <w:r w:rsidR="002B27F4" w:rsidRPr="002C21B8">
        <w:rPr>
          <w:rStyle w:val="apple-converted-space"/>
          <w:color w:val="000000" w:themeColor="text1"/>
          <w:sz w:val="20"/>
          <w:szCs w:val="20"/>
        </w:rPr>
        <w:t xml:space="preserve"> </w:t>
      </w:r>
      <w:r w:rsidRPr="002C21B8">
        <w:rPr>
          <w:rStyle w:val="opdesc"/>
          <w:i/>
          <w:iCs/>
          <w:color w:val="000000" w:themeColor="text1"/>
          <w:sz w:val="20"/>
          <w:szCs w:val="20"/>
        </w:rPr>
        <w:t>Is Greater Than</w:t>
      </w:r>
      <w:r w:rsidR="002B27F4" w:rsidRPr="002C21B8">
        <w:rPr>
          <w:rStyle w:val="apple-converted-space"/>
          <w:color w:val="000000" w:themeColor="text1"/>
          <w:sz w:val="20"/>
          <w:szCs w:val="20"/>
        </w:rPr>
        <w:t xml:space="preserve"> </w:t>
      </w:r>
      <w:r w:rsidRPr="002C21B8">
        <w:rPr>
          <w:rStyle w:val="rightopdesc"/>
          <w:i/>
          <w:iCs/>
          <w:color w:val="000000" w:themeColor="text1"/>
          <w:sz w:val="20"/>
          <w:szCs w:val="20"/>
        </w:rPr>
        <w:t>0</w:t>
      </w:r>
      <w:r w:rsidR="002B27F4" w:rsidRPr="002C21B8">
        <w:rPr>
          <w:rStyle w:val="apple-converted-space"/>
          <w:color w:val="000000" w:themeColor="text1"/>
          <w:sz w:val="20"/>
          <w:szCs w:val="20"/>
        </w:rPr>
        <w:t xml:space="preserve"> </w:t>
      </w:r>
    </w:p>
    <w:p w14:paraId="30AFEB31" w14:textId="77777777" w:rsidR="00B55197" w:rsidRPr="002C21B8" w:rsidRDefault="00B55197">
      <w:pPr>
        <w:spacing w:after="0" w:line="240" w:lineRule="auto"/>
        <w:jc w:val="left"/>
        <w:rPr>
          <w:sz w:val="20"/>
          <w:szCs w:val="20"/>
        </w:rPr>
      </w:pPr>
      <w:r w:rsidRPr="002C21B8">
        <w:rPr>
          <w:sz w:val="20"/>
          <w:szCs w:val="20"/>
        </w:rPr>
        <w:br w:type="page"/>
      </w:r>
    </w:p>
    <w:p w14:paraId="4545BE9A" w14:textId="186FB8C9" w:rsidR="007D6AF3" w:rsidRPr="002C21B8" w:rsidRDefault="007D6AF3" w:rsidP="00DE7E92">
      <w:pPr>
        <w:jc w:val="left"/>
        <w:rPr>
          <w:sz w:val="20"/>
          <w:szCs w:val="20"/>
        </w:rPr>
      </w:pPr>
      <w:r w:rsidRPr="002C21B8">
        <w:rPr>
          <w:sz w:val="20"/>
          <w:szCs w:val="20"/>
        </w:rPr>
        <w:t>Q2</w:t>
      </w:r>
      <w:r w:rsidR="00B55197" w:rsidRPr="002C21B8">
        <w:rPr>
          <w:sz w:val="20"/>
          <w:szCs w:val="20"/>
        </w:rPr>
        <w:t>5</w:t>
      </w:r>
      <w:r w:rsidRPr="002C21B8">
        <w:rPr>
          <w:sz w:val="20"/>
          <w:szCs w:val="20"/>
        </w:rPr>
        <w:t>a. If any of the previous methods are</w:t>
      </w:r>
      <w:r w:rsidR="002B27F4" w:rsidRPr="002C21B8">
        <w:rPr>
          <w:rStyle w:val="apple-converted-space"/>
          <w:color w:val="000000" w:themeColor="text1"/>
          <w:sz w:val="20"/>
          <w:szCs w:val="20"/>
        </w:rPr>
        <w:t xml:space="preserve"> </w:t>
      </w:r>
      <w:r w:rsidRPr="002C21B8">
        <w:rPr>
          <w:rStyle w:val="Strong"/>
          <w:color w:val="000000" w:themeColor="text1"/>
          <w:sz w:val="20"/>
          <w:szCs w:val="20"/>
          <w:u w:val="single"/>
        </w:rPr>
        <w:t>not</w:t>
      </w:r>
      <w:r w:rsidR="002B27F4" w:rsidRPr="002C21B8">
        <w:rPr>
          <w:rStyle w:val="apple-converted-space"/>
          <w:color w:val="000000" w:themeColor="text1"/>
          <w:sz w:val="20"/>
          <w:szCs w:val="20"/>
        </w:rPr>
        <w:t xml:space="preserve"> </w:t>
      </w:r>
      <w:r w:rsidRPr="002C21B8">
        <w:rPr>
          <w:sz w:val="20"/>
          <w:szCs w:val="20"/>
        </w:rPr>
        <w:t>routinely used at your centre, what are the main reasons?</w:t>
      </w:r>
      <w:r w:rsidRPr="002C21B8">
        <w:rPr>
          <w:sz w:val="20"/>
          <w:szCs w:val="20"/>
        </w:rPr>
        <w:br/>
      </w:r>
      <w:r w:rsidRPr="002C21B8">
        <w:rPr>
          <w:rStyle w:val="Emphasis"/>
          <w:rFonts w:eastAsiaTheme="majorEastAsia"/>
          <w:color w:val="000000" w:themeColor="text1"/>
          <w:sz w:val="20"/>
          <w:szCs w:val="20"/>
        </w:rPr>
        <w:t>(please select all that apply)</w:t>
      </w:r>
    </w:p>
    <w:p w14:paraId="1FADF24A"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Not available locally (e.g. MRI or genetic testing not accessible)</w:t>
      </w:r>
    </w:p>
    <w:p w14:paraId="6F34BA46"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Lack of radiology support (e.g. to calculate Total Kidney Volume)</w:t>
      </w:r>
    </w:p>
    <w:p w14:paraId="54DB14E0"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Genetic testing not routinely performed</w:t>
      </w:r>
    </w:p>
    <w:p w14:paraId="73BCC28B"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Measure not included in local guidelines or protocol</w:t>
      </w:r>
    </w:p>
    <w:p w14:paraId="2B80414A"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Measure not felt to influence prescribing decisions</w:t>
      </w:r>
    </w:p>
    <w:p w14:paraId="725571D9"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Lack of time or staff resources to implement</w:t>
      </w:r>
    </w:p>
    <w:p w14:paraId="52FD73FD" w14:textId="77777777" w:rsidR="007D6AF3" w:rsidRPr="002C21B8" w:rsidRDefault="007D6AF3" w:rsidP="00A97F07">
      <w:pPr>
        <w:pStyle w:val="ListParagraph"/>
        <w:numPr>
          <w:ilvl w:val="0"/>
          <w:numId w:val="38"/>
        </w:numPr>
        <w:jc w:val="left"/>
        <w:rPr>
          <w:sz w:val="20"/>
          <w:szCs w:val="20"/>
        </w:rPr>
      </w:pPr>
      <w:r w:rsidRPr="002C21B8">
        <w:rPr>
          <w:rStyle w:val="labelwrapper"/>
          <w:color w:val="000000" w:themeColor="text1"/>
          <w:sz w:val="20"/>
          <w:szCs w:val="20"/>
        </w:rPr>
        <w:t>Unfamiliarity with how to calculate/use the measure</w:t>
      </w:r>
    </w:p>
    <w:p w14:paraId="605788CD" w14:textId="77777777" w:rsidR="007D6AF3" w:rsidRPr="002C21B8" w:rsidRDefault="007D6AF3" w:rsidP="00A97F07">
      <w:pPr>
        <w:pStyle w:val="ListParagraph"/>
        <w:numPr>
          <w:ilvl w:val="0"/>
          <w:numId w:val="38"/>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2E197C78" w14:textId="77777777" w:rsidTr="006F79E0">
        <w:tc>
          <w:tcPr>
            <w:tcW w:w="8296" w:type="dxa"/>
          </w:tcPr>
          <w:p w14:paraId="1927FCC9" w14:textId="77777777" w:rsidR="007D6AF3" w:rsidRPr="002C21B8" w:rsidRDefault="007D6AF3" w:rsidP="00DE7E92">
            <w:pPr>
              <w:jc w:val="left"/>
              <w:rPr>
                <w:rStyle w:val="labelwrapper"/>
                <w:color w:val="000000" w:themeColor="text1"/>
                <w:sz w:val="20"/>
                <w:szCs w:val="20"/>
              </w:rPr>
            </w:pPr>
          </w:p>
        </w:tc>
      </w:tr>
    </w:tbl>
    <w:p w14:paraId="3B0569C9" w14:textId="77777777" w:rsidR="00B55197" w:rsidRPr="002C21B8" w:rsidRDefault="00B55197" w:rsidP="006F79E0">
      <w:pPr>
        <w:jc w:val="left"/>
        <w:rPr>
          <w:sz w:val="20"/>
          <w:szCs w:val="20"/>
        </w:rPr>
      </w:pPr>
    </w:p>
    <w:p w14:paraId="6F2BF874" w14:textId="5EE3C668" w:rsidR="006F79E0" w:rsidRPr="002C21B8" w:rsidRDefault="006F79E0" w:rsidP="006F79E0">
      <w:pPr>
        <w:jc w:val="left"/>
        <w:rPr>
          <w:sz w:val="20"/>
          <w:szCs w:val="20"/>
        </w:rPr>
      </w:pPr>
      <w:r w:rsidRPr="002C21B8">
        <w:rPr>
          <w:sz w:val="20"/>
          <w:szCs w:val="20"/>
        </w:rPr>
        <w:t>Q2</w:t>
      </w:r>
      <w:r w:rsidR="00B55197" w:rsidRPr="002C21B8">
        <w:rPr>
          <w:sz w:val="20"/>
          <w:szCs w:val="20"/>
        </w:rPr>
        <w:t>6</w:t>
      </w:r>
      <w:r w:rsidRPr="002C21B8">
        <w:rPr>
          <w:sz w:val="20"/>
          <w:szCs w:val="20"/>
        </w:rPr>
        <w:t>.If a patient at your centre does not meet the eGFR slope threshold, do you ever use one of the other criteria in isolation?</w:t>
      </w:r>
    </w:p>
    <w:p w14:paraId="1823E15C" w14:textId="04F4AEBC" w:rsidR="00D417C5" w:rsidRPr="002C21B8" w:rsidRDefault="00D417C5" w:rsidP="00A97F07">
      <w:pPr>
        <w:pStyle w:val="ListParagraph"/>
        <w:numPr>
          <w:ilvl w:val="0"/>
          <w:numId w:val="39"/>
        </w:numPr>
        <w:jc w:val="left"/>
        <w:rPr>
          <w:sz w:val="20"/>
          <w:szCs w:val="20"/>
        </w:rPr>
      </w:pPr>
      <w:r w:rsidRPr="002C21B8">
        <w:rPr>
          <w:rStyle w:val="labelwrapper"/>
          <w:color w:val="000000" w:themeColor="text1"/>
          <w:sz w:val="20"/>
          <w:szCs w:val="20"/>
        </w:rPr>
        <w:t>Yes</w:t>
      </w:r>
    </w:p>
    <w:p w14:paraId="33893D32" w14:textId="67AEB15C" w:rsidR="00D417C5" w:rsidRPr="002C21B8" w:rsidRDefault="00D417C5" w:rsidP="00A97F07">
      <w:pPr>
        <w:pStyle w:val="ListParagraph"/>
        <w:numPr>
          <w:ilvl w:val="0"/>
          <w:numId w:val="39"/>
        </w:numPr>
        <w:jc w:val="left"/>
        <w:rPr>
          <w:sz w:val="20"/>
          <w:szCs w:val="20"/>
        </w:rPr>
      </w:pPr>
      <w:r w:rsidRPr="002C21B8">
        <w:rPr>
          <w:rStyle w:val="labelwrapper"/>
          <w:color w:val="000000" w:themeColor="text1"/>
          <w:sz w:val="20"/>
          <w:szCs w:val="20"/>
        </w:rPr>
        <w:t>No</w:t>
      </w:r>
    </w:p>
    <w:p w14:paraId="0C49F5DB" w14:textId="18E2CD42" w:rsidR="007D6AF3" w:rsidRPr="002C21B8" w:rsidRDefault="007D6AF3" w:rsidP="00DE7E92">
      <w:pPr>
        <w:jc w:val="left"/>
        <w:rPr>
          <w:sz w:val="20"/>
          <w:szCs w:val="20"/>
        </w:rPr>
      </w:pPr>
      <w:r w:rsidRPr="002C21B8">
        <w:rPr>
          <w:sz w:val="20"/>
          <w:szCs w:val="20"/>
        </w:rPr>
        <w:t>Q2</w:t>
      </w:r>
      <w:r w:rsidR="00B55197" w:rsidRPr="002C21B8">
        <w:rPr>
          <w:sz w:val="20"/>
          <w:szCs w:val="20"/>
        </w:rPr>
        <w:t>7</w:t>
      </w:r>
      <w:r w:rsidRPr="002C21B8">
        <w:rPr>
          <w:sz w:val="20"/>
          <w:szCs w:val="20"/>
        </w:rPr>
        <w:t>. Do you formally assess eligibility for tolvaptan at each outpatient appointment for people with ADPKD who are not currently on treatment?</w:t>
      </w:r>
      <w:r w:rsidRPr="002C21B8">
        <w:rPr>
          <w:sz w:val="20"/>
          <w:szCs w:val="20"/>
        </w:rPr>
        <w:br/>
      </w:r>
      <w:r w:rsidRPr="002C21B8">
        <w:rPr>
          <w:rStyle w:val="Emphasis"/>
          <w:rFonts w:eastAsiaTheme="majorEastAsia"/>
          <w:color w:val="000000" w:themeColor="text1"/>
          <w:sz w:val="20"/>
          <w:szCs w:val="20"/>
        </w:rPr>
        <w:t>(please select one option)</w:t>
      </w:r>
    </w:p>
    <w:p w14:paraId="0C699D31" w14:textId="77777777" w:rsidR="007D6AF3" w:rsidRPr="002C21B8" w:rsidRDefault="007D6AF3" w:rsidP="00A97F07">
      <w:pPr>
        <w:pStyle w:val="ListParagraph"/>
        <w:numPr>
          <w:ilvl w:val="0"/>
          <w:numId w:val="39"/>
        </w:numPr>
        <w:jc w:val="left"/>
        <w:rPr>
          <w:sz w:val="20"/>
          <w:szCs w:val="20"/>
        </w:rPr>
      </w:pPr>
      <w:r w:rsidRPr="002C21B8">
        <w:rPr>
          <w:rStyle w:val="labelwrapper"/>
          <w:color w:val="000000" w:themeColor="text1"/>
          <w:sz w:val="20"/>
          <w:szCs w:val="20"/>
        </w:rPr>
        <w:t>Yes</w:t>
      </w:r>
    </w:p>
    <w:p w14:paraId="4AC010FB" w14:textId="77777777" w:rsidR="007D6AF3" w:rsidRPr="002C21B8" w:rsidRDefault="007D6AF3" w:rsidP="00A97F07">
      <w:pPr>
        <w:pStyle w:val="ListParagraph"/>
        <w:numPr>
          <w:ilvl w:val="0"/>
          <w:numId w:val="39"/>
        </w:numPr>
        <w:jc w:val="left"/>
        <w:rPr>
          <w:sz w:val="20"/>
          <w:szCs w:val="20"/>
        </w:rPr>
      </w:pPr>
      <w:r w:rsidRPr="002C21B8">
        <w:rPr>
          <w:rStyle w:val="labelwrapper"/>
          <w:color w:val="000000" w:themeColor="text1"/>
          <w:sz w:val="20"/>
          <w:szCs w:val="20"/>
        </w:rPr>
        <w:t>No</w:t>
      </w:r>
    </w:p>
    <w:p w14:paraId="657BB06E" w14:textId="2C9D0325" w:rsidR="007D6AF3" w:rsidRPr="002C21B8" w:rsidRDefault="007D6AF3" w:rsidP="00A97F07">
      <w:pPr>
        <w:pStyle w:val="ListParagraph"/>
        <w:numPr>
          <w:ilvl w:val="0"/>
          <w:numId w:val="39"/>
        </w:numPr>
        <w:jc w:val="left"/>
        <w:rPr>
          <w:rStyle w:val="message"/>
          <w:color w:val="000000" w:themeColor="text1"/>
          <w:sz w:val="20"/>
          <w:szCs w:val="20"/>
        </w:rPr>
      </w:pPr>
      <w:r w:rsidRPr="002C21B8">
        <w:rPr>
          <w:rStyle w:val="labelwrapper"/>
          <w:color w:val="000000" w:themeColor="text1"/>
          <w:sz w:val="20"/>
          <w:szCs w:val="20"/>
        </w:rPr>
        <w:t>Not sure</w:t>
      </w:r>
    </w:p>
    <w:p w14:paraId="0E90C52B" w14:textId="77777777" w:rsidR="008B0E8A" w:rsidRPr="002C21B8" w:rsidRDefault="008B0E8A">
      <w:pPr>
        <w:spacing w:after="0" w:line="240" w:lineRule="auto"/>
        <w:jc w:val="left"/>
        <w:rPr>
          <w:sz w:val="20"/>
          <w:szCs w:val="20"/>
        </w:rPr>
      </w:pPr>
      <w:r w:rsidRPr="002C21B8">
        <w:rPr>
          <w:sz w:val="20"/>
          <w:szCs w:val="20"/>
        </w:rPr>
        <w:br w:type="page"/>
      </w:r>
    </w:p>
    <w:p w14:paraId="552C5010" w14:textId="2AB8CCAD" w:rsidR="007D6AF3" w:rsidRPr="002C21B8" w:rsidRDefault="007D6AF3" w:rsidP="00DE7E92">
      <w:pPr>
        <w:jc w:val="left"/>
        <w:rPr>
          <w:sz w:val="20"/>
          <w:szCs w:val="20"/>
        </w:rPr>
      </w:pPr>
      <w:r w:rsidRPr="002C21B8">
        <w:rPr>
          <w:sz w:val="20"/>
          <w:szCs w:val="20"/>
        </w:rPr>
        <w:t>Q2</w:t>
      </w:r>
      <w:r w:rsidR="00B55197" w:rsidRPr="002C21B8">
        <w:rPr>
          <w:sz w:val="20"/>
          <w:szCs w:val="20"/>
        </w:rPr>
        <w:t>8</w:t>
      </w:r>
      <w:r w:rsidRPr="002C21B8">
        <w:rPr>
          <w:sz w:val="20"/>
          <w:szCs w:val="20"/>
        </w:rPr>
        <w:t>. Which factors, if any, limit your ability to formally assess the eligibility of people with ADPKD for tolvaptan at your centre?</w:t>
      </w:r>
      <w:r w:rsidRPr="002C21B8">
        <w:rPr>
          <w:sz w:val="20"/>
          <w:szCs w:val="20"/>
        </w:rPr>
        <w:br/>
      </w:r>
      <w:r w:rsidRPr="002C21B8">
        <w:rPr>
          <w:rStyle w:val="Emphasis"/>
          <w:rFonts w:eastAsiaTheme="majorEastAsia"/>
          <w:color w:val="000000" w:themeColor="text1"/>
          <w:sz w:val="20"/>
          <w:szCs w:val="20"/>
        </w:rPr>
        <w:t>(please select all that apply)</w:t>
      </w:r>
    </w:p>
    <w:p w14:paraId="2008696E"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Limited clinic time</w:t>
      </w:r>
    </w:p>
    <w:p w14:paraId="7DC15ED9"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Patient complexity/co-morbidities</w:t>
      </w:r>
    </w:p>
    <w:p w14:paraId="7E60AC61"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Uncertainty about eligibility criteria</w:t>
      </w:r>
    </w:p>
    <w:p w14:paraId="5DC207B0"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Service limitations or delays</w:t>
      </w:r>
    </w:p>
    <w:p w14:paraId="77ADCDEA"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IT issues or limitations</w:t>
      </w:r>
    </w:p>
    <w:p w14:paraId="61C1882F"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Competing clinical priorities</w:t>
      </w:r>
    </w:p>
    <w:p w14:paraId="58926EC8"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Lack of prompts or reminders</w:t>
      </w:r>
    </w:p>
    <w:p w14:paraId="04B0C43A"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Insufficient expertise for calculating total kidney volume</w:t>
      </w:r>
    </w:p>
    <w:p w14:paraId="0C64A92F"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Insufficient information to calculate PROPKD score</w:t>
      </w:r>
    </w:p>
    <w:p w14:paraId="0CBB27D3" w14:textId="77777777" w:rsidR="007D6AF3" w:rsidRPr="002C21B8" w:rsidRDefault="007D6AF3" w:rsidP="00A97F07">
      <w:pPr>
        <w:pStyle w:val="ListParagraph"/>
        <w:numPr>
          <w:ilvl w:val="0"/>
          <w:numId w:val="40"/>
        </w:numPr>
        <w:jc w:val="left"/>
        <w:rPr>
          <w:sz w:val="20"/>
          <w:szCs w:val="20"/>
        </w:rPr>
      </w:pPr>
      <w:r w:rsidRPr="002C21B8">
        <w:rPr>
          <w:rStyle w:val="labelwrapper"/>
          <w:color w:val="000000" w:themeColor="text1"/>
          <w:sz w:val="20"/>
          <w:szCs w:val="20"/>
        </w:rPr>
        <w:t>None of these</w:t>
      </w:r>
    </w:p>
    <w:p w14:paraId="02F38287" w14:textId="77777777" w:rsidR="007D6AF3" w:rsidRPr="002C21B8" w:rsidRDefault="007D6AF3" w:rsidP="00A97F07">
      <w:pPr>
        <w:pStyle w:val="ListParagraph"/>
        <w:numPr>
          <w:ilvl w:val="0"/>
          <w:numId w:val="40"/>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6ECFF0E9" w14:textId="77777777" w:rsidTr="00BD586A">
        <w:tc>
          <w:tcPr>
            <w:tcW w:w="9016" w:type="dxa"/>
          </w:tcPr>
          <w:p w14:paraId="52E32359" w14:textId="77777777" w:rsidR="007D6AF3" w:rsidRPr="002C21B8" w:rsidRDefault="007D6AF3" w:rsidP="00DE7E92">
            <w:pPr>
              <w:jc w:val="left"/>
              <w:rPr>
                <w:rStyle w:val="labelwrapper"/>
                <w:color w:val="000000" w:themeColor="text1"/>
                <w:sz w:val="20"/>
                <w:szCs w:val="20"/>
              </w:rPr>
            </w:pPr>
          </w:p>
        </w:tc>
      </w:tr>
    </w:tbl>
    <w:p w14:paraId="120F5481" w14:textId="2931FDA8" w:rsidR="00B55197" w:rsidRPr="002C21B8" w:rsidRDefault="00B55197">
      <w:pPr>
        <w:spacing w:after="0" w:line="240" w:lineRule="auto"/>
        <w:jc w:val="left"/>
        <w:rPr>
          <w:sz w:val="20"/>
          <w:szCs w:val="20"/>
        </w:rPr>
      </w:pPr>
    </w:p>
    <w:p w14:paraId="6F8A4237" w14:textId="77777777" w:rsidR="008B0E8A" w:rsidRPr="002C21B8" w:rsidRDefault="008B0E8A">
      <w:pPr>
        <w:spacing w:after="0" w:line="240" w:lineRule="auto"/>
        <w:jc w:val="left"/>
        <w:rPr>
          <w:sz w:val="20"/>
          <w:szCs w:val="20"/>
        </w:rPr>
      </w:pPr>
    </w:p>
    <w:p w14:paraId="2DC4C895" w14:textId="45A5088E" w:rsidR="007D6AF3" w:rsidRPr="002C21B8" w:rsidRDefault="007D6AF3" w:rsidP="00DE7E92">
      <w:pPr>
        <w:jc w:val="left"/>
        <w:rPr>
          <w:sz w:val="20"/>
          <w:szCs w:val="20"/>
        </w:rPr>
      </w:pPr>
      <w:r w:rsidRPr="002C21B8">
        <w:rPr>
          <w:sz w:val="20"/>
          <w:szCs w:val="20"/>
        </w:rPr>
        <w:t>Q</w:t>
      </w:r>
      <w:r w:rsidR="00B55197" w:rsidRPr="002C21B8">
        <w:rPr>
          <w:sz w:val="20"/>
          <w:szCs w:val="20"/>
        </w:rPr>
        <w:t>29</w:t>
      </w:r>
      <w:r w:rsidRPr="002C21B8">
        <w:rPr>
          <w:sz w:val="20"/>
          <w:szCs w:val="20"/>
        </w:rPr>
        <w:t>. Does your centre use any automated tools to flag people with ADPKD who may be eligible for tolvaptan (e.g. a system that scans eGFR slopes or other criteria across all ADPKD patients, without clinician input)</w:t>
      </w:r>
      <w:r w:rsidRPr="002C21B8">
        <w:rPr>
          <w:sz w:val="20"/>
          <w:szCs w:val="20"/>
        </w:rPr>
        <w:br/>
      </w:r>
      <w:r w:rsidRPr="002C21B8">
        <w:rPr>
          <w:rStyle w:val="Emphasis"/>
          <w:rFonts w:eastAsiaTheme="majorEastAsia"/>
          <w:color w:val="000000" w:themeColor="text1"/>
          <w:sz w:val="20"/>
          <w:szCs w:val="20"/>
        </w:rPr>
        <w:t>(please select one option)</w:t>
      </w:r>
    </w:p>
    <w:p w14:paraId="714FB61F" w14:textId="77777777" w:rsidR="007D6AF3" w:rsidRPr="002C21B8" w:rsidRDefault="007D6AF3" w:rsidP="00A97F07">
      <w:pPr>
        <w:pStyle w:val="ListParagraph"/>
        <w:numPr>
          <w:ilvl w:val="0"/>
          <w:numId w:val="41"/>
        </w:numPr>
        <w:jc w:val="left"/>
        <w:rPr>
          <w:rStyle w:val="labelwrapper"/>
          <w:color w:val="000000" w:themeColor="text1"/>
          <w:sz w:val="20"/>
          <w:szCs w:val="20"/>
        </w:rPr>
      </w:pPr>
      <w:r w:rsidRPr="002C21B8">
        <w:rPr>
          <w:rStyle w:val="labelwrapper"/>
          <w:color w:val="000000" w:themeColor="text1"/>
          <w:sz w:val="20"/>
          <w:szCs w:val="20"/>
        </w:rPr>
        <w:t>Yes (please specify what automated tool or method you use)</w:t>
      </w:r>
    </w:p>
    <w:p w14:paraId="1A0AB3BB" w14:textId="77777777" w:rsidR="007D6AF3" w:rsidRPr="002C21B8" w:rsidRDefault="007D6AF3" w:rsidP="00A97F07">
      <w:pPr>
        <w:pStyle w:val="ListParagraph"/>
        <w:numPr>
          <w:ilvl w:val="0"/>
          <w:numId w:val="41"/>
        </w:numPr>
        <w:jc w:val="left"/>
        <w:rPr>
          <w:sz w:val="20"/>
          <w:szCs w:val="20"/>
        </w:rPr>
      </w:pPr>
      <w:r w:rsidRPr="002C21B8">
        <w:rPr>
          <w:rStyle w:val="labelwrapper"/>
          <w:color w:val="000000" w:themeColor="text1"/>
          <w:sz w:val="20"/>
          <w:szCs w:val="20"/>
        </w:rPr>
        <w:t>No - but I think it could be helpful</w:t>
      </w:r>
    </w:p>
    <w:p w14:paraId="279DD923" w14:textId="77777777" w:rsidR="007D6AF3" w:rsidRPr="002C21B8" w:rsidRDefault="007D6AF3" w:rsidP="00A97F07">
      <w:pPr>
        <w:pStyle w:val="ListParagraph"/>
        <w:numPr>
          <w:ilvl w:val="0"/>
          <w:numId w:val="41"/>
        </w:numPr>
        <w:jc w:val="left"/>
        <w:rPr>
          <w:sz w:val="20"/>
          <w:szCs w:val="20"/>
        </w:rPr>
      </w:pPr>
      <w:r w:rsidRPr="002C21B8">
        <w:rPr>
          <w:rStyle w:val="labelwrapper"/>
          <w:color w:val="000000" w:themeColor="text1"/>
          <w:sz w:val="20"/>
          <w:szCs w:val="20"/>
        </w:rPr>
        <w:t>No - and I don't think it is necessary</w:t>
      </w:r>
    </w:p>
    <w:p w14:paraId="465EBDC6" w14:textId="273DEAC1" w:rsidR="007C424C" w:rsidRPr="002C21B8" w:rsidRDefault="007D6AF3" w:rsidP="00A97F07">
      <w:pPr>
        <w:pStyle w:val="ListParagraph"/>
        <w:numPr>
          <w:ilvl w:val="0"/>
          <w:numId w:val="41"/>
        </w:numPr>
        <w:jc w:val="left"/>
        <w:rPr>
          <w:color w:val="000000" w:themeColor="text1"/>
          <w:sz w:val="20"/>
          <w:szCs w:val="20"/>
        </w:rPr>
      </w:pPr>
      <w:r w:rsidRPr="002C21B8">
        <w:rPr>
          <w:rStyle w:val="labelwrapper"/>
          <w:color w:val="000000" w:themeColor="text1"/>
          <w:sz w:val="20"/>
          <w:szCs w:val="20"/>
        </w:rPr>
        <w:t>Not sure</w:t>
      </w:r>
    </w:p>
    <w:p w14:paraId="1D7E68A4" w14:textId="1110A2DB" w:rsidR="007D6AF3" w:rsidRPr="002C21B8" w:rsidRDefault="007D6AF3" w:rsidP="00DE7E92">
      <w:pPr>
        <w:jc w:val="left"/>
        <w:rPr>
          <w:sz w:val="20"/>
          <w:szCs w:val="20"/>
        </w:rPr>
      </w:pPr>
      <w:r w:rsidRPr="002C21B8">
        <w:rPr>
          <w:sz w:val="20"/>
          <w:szCs w:val="20"/>
        </w:rPr>
        <w:t>Q</w:t>
      </w:r>
      <w:r w:rsidR="00B55197" w:rsidRPr="002C21B8">
        <w:rPr>
          <w:sz w:val="20"/>
          <w:szCs w:val="20"/>
        </w:rPr>
        <w:t>30</w:t>
      </w:r>
      <w:r w:rsidRPr="002C21B8">
        <w:rPr>
          <w:sz w:val="20"/>
          <w:szCs w:val="20"/>
        </w:rPr>
        <w:t>. Please indicate</w:t>
      </w:r>
      <w:r w:rsidR="00DE7E92" w:rsidRPr="002C21B8">
        <w:rPr>
          <w:rStyle w:val="apple-converted-space"/>
          <w:color w:val="000000" w:themeColor="text1"/>
          <w:sz w:val="20"/>
          <w:szCs w:val="20"/>
        </w:rPr>
        <w:t xml:space="preserve"> </w:t>
      </w:r>
      <w:r w:rsidRPr="002C21B8">
        <w:rPr>
          <w:b/>
          <w:bCs/>
          <w:sz w:val="20"/>
          <w:szCs w:val="20"/>
          <w:u w:val="single"/>
        </w:rPr>
        <w:t>your</w:t>
      </w:r>
      <w:r w:rsidR="00DE7E92" w:rsidRPr="002C21B8">
        <w:rPr>
          <w:rStyle w:val="apple-converted-space"/>
          <w:color w:val="000000" w:themeColor="text1"/>
          <w:sz w:val="20"/>
          <w:szCs w:val="20"/>
        </w:rPr>
        <w:t xml:space="preserve"> </w:t>
      </w:r>
      <w:r w:rsidRPr="002C21B8">
        <w:rPr>
          <w:sz w:val="20"/>
          <w:szCs w:val="20"/>
        </w:rPr>
        <w:t>views on the benefits of tolvaptan for people with ADPKD</w:t>
      </w:r>
      <w:r w:rsidRPr="002C21B8">
        <w:rPr>
          <w:sz w:val="20"/>
          <w:szCs w:val="20"/>
        </w:rPr>
        <w:br/>
      </w:r>
      <w:r w:rsidRPr="002C21B8">
        <w:rPr>
          <w:rStyle w:val="Emphasis"/>
          <w:rFonts w:eastAsiaTheme="majorEastAsia"/>
          <w:color w:val="000000" w:themeColor="text1"/>
          <w:sz w:val="20"/>
          <w:szCs w:val="20"/>
        </w:rPr>
        <w:t>(please select one option)</w:t>
      </w:r>
    </w:p>
    <w:p w14:paraId="15812310" w14:textId="77777777" w:rsidR="007D6AF3" w:rsidRPr="002C21B8" w:rsidRDefault="007D6AF3" w:rsidP="00A97F07">
      <w:pPr>
        <w:pStyle w:val="ListParagraph"/>
        <w:numPr>
          <w:ilvl w:val="0"/>
          <w:numId w:val="42"/>
        </w:numPr>
        <w:jc w:val="left"/>
        <w:rPr>
          <w:sz w:val="20"/>
          <w:szCs w:val="20"/>
        </w:rPr>
      </w:pPr>
      <w:r w:rsidRPr="002C21B8">
        <w:rPr>
          <w:rStyle w:val="labelwrapper"/>
          <w:color w:val="000000" w:themeColor="text1"/>
          <w:sz w:val="20"/>
          <w:szCs w:val="20"/>
        </w:rPr>
        <w:t>No benefit at all</w:t>
      </w:r>
    </w:p>
    <w:p w14:paraId="162ADB3B" w14:textId="77777777" w:rsidR="007D6AF3" w:rsidRPr="002C21B8" w:rsidRDefault="007D6AF3" w:rsidP="00A97F07">
      <w:pPr>
        <w:pStyle w:val="ListParagraph"/>
        <w:numPr>
          <w:ilvl w:val="0"/>
          <w:numId w:val="42"/>
        </w:numPr>
        <w:jc w:val="left"/>
        <w:rPr>
          <w:sz w:val="20"/>
          <w:szCs w:val="20"/>
        </w:rPr>
      </w:pPr>
      <w:r w:rsidRPr="002C21B8">
        <w:rPr>
          <w:rStyle w:val="labelwrapper"/>
          <w:color w:val="000000" w:themeColor="text1"/>
          <w:sz w:val="20"/>
          <w:szCs w:val="20"/>
        </w:rPr>
        <w:t>Limited benefit</w:t>
      </w:r>
    </w:p>
    <w:p w14:paraId="052925AD" w14:textId="77777777" w:rsidR="007D6AF3" w:rsidRPr="002C21B8" w:rsidRDefault="007D6AF3" w:rsidP="00A97F07">
      <w:pPr>
        <w:pStyle w:val="ListParagraph"/>
        <w:numPr>
          <w:ilvl w:val="0"/>
          <w:numId w:val="42"/>
        </w:numPr>
        <w:jc w:val="left"/>
        <w:rPr>
          <w:sz w:val="20"/>
          <w:szCs w:val="20"/>
        </w:rPr>
      </w:pPr>
      <w:r w:rsidRPr="002C21B8">
        <w:rPr>
          <w:rStyle w:val="labelwrapper"/>
          <w:color w:val="000000" w:themeColor="text1"/>
          <w:sz w:val="20"/>
          <w:szCs w:val="20"/>
        </w:rPr>
        <w:t>Moderate benefit</w:t>
      </w:r>
    </w:p>
    <w:p w14:paraId="16971D04" w14:textId="77777777" w:rsidR="007D6AF3" w:rsidRPr="002C21B8" w:rsidRDefault="007D6AF3" w:rsidP="00A97F07">
      <w:pPr>
        <w:pStyle w:val="ListParagraph"/>
        <w:numPr>
          <w:ilvl w:val="0"/>
          <w:numId w:val="42"/>
        </w:numPr>
        <w:jc w:val="left"/>
        <w:rPr>
          <w:sz w:val="20"/>
          <w:szCs w:val="20"/>
        </w:rPr>
      </w:pPr>
      <w:r w:rsidRPr="002C21B8">
        <w:rPr>
          <w:rStyle w:val="labelwrapper"/>
          <w:color w:val="000000" w:themeColor="text1"/>
          <w:sz w:val="20"/>
          <w:szCs w:val="20"/>
        </w:rPr>
        <w:t>Substantial benefit</w:t>
      </w:r>
    </w:p>
    <w:p w14:paraId="5910F4FC" w14:textId="7223F682" w:rsidR="007D6AF3" w:rsidRPr="002C21B8" w:rsidRDefault="007D6AF3" w:rsidP="00A97F07">
      <w:pPr>
        <w:pStyle w:val="ListParagraph"/>
        <w:numPr>
          <w:ilvl w:val="0"/>
          <w:numId w:val="42"/>
        </w:numPr>
        <w:jc w:val="left"/>
        <w:rPr>
          <w:rStyle w:val="message"/>
          <w:color w:val="000000" w:themeColor="text1"/>
          <w:sz w:val="20"/>
          <w:szCs w:val="20"/>
        </w:rPr>
      </w:pPr>
      <w:r w:rsidRPr="002C21B8">
        <w:rPr>
          <w:rStyle w:val="labelwrapper"/>
          <w:color w:val="000000" w:themeColor="text1"/>
          <w:sz w:val="20"/>
          <w:szCs w:val="20"/>
        </w:rPr>
        <w:t>Very significant benefit</w:t>
      </w:r>
    </w:p>
    <w:p w14:paraId="703A5257" w14:textId="77777777" w:rsidR="008B0E8A" w:rsidRPr="002C21B8" w:rsidRDefault="008B0E8A">
      <w:pPr>
        <w:spacing w:after="0" w:line="240" w:lineRule="auto"/>
        <w:jc w:val="left"/>
        <w:rPr>
          <w:sz w:val="20"/>
          <w:szCs w:val="20"/>
        </w:rPr>
      </w:pPr>
      <w:r w:rsidRPr="002C21B8">
        <w:rPr>
          <w:sz w:val="20"/>
          <w:szCs w:val="20"/>
        </w:rPr>
        <w:br w:type="page"/>
      </w:r>
    </w:p>
    <w:p w14:paraId="7A9349D9" w14:textId="758AFDDF" w:rsidR="007D6AF3" w:rsidRPr="002C21B8" w:rsidRDefault="007D6AF3" w:rsidP="00DE7E92">
      <w:pPr>
        <w:jc w:val="left"/>
        <w:rPr>
          <w:sz w:val="20"/>
          <w:szCs w:val="20"/>
        </w:rPr>
      </w:pPr>
      <w:r w:rsidRPr="002C21B8">
        <w:rPr>
          <w:sz w:val="20"/>
          <w:szCs w:val="20"/>
        </w:rPr>
        <w:t>Q</w:t>
      </w:r>
      <w:r w:rsidR="00B55197" w:rsidRPr="002C21B8">
        <w:rPr>
          <w:sz w:val="20"/>
          <w:szCs w:val="20"/>
        </w:rPr>
        <w:t>31</w:t>
      </w:r>
      <w:r w:rsidRPr="002C21B8">
        <w:rPr>
          <w:sz w:val="20"/>
          <w:szCs w:val="20"/>
        </w:rPr>
        <w:t>. Which of the following best fits your clinical role?</w:t>
      </w:r>
      <w:r w:rsidRPr="002C21B8">
        <w:rPr>
          <w:sz w:val="20"/>
          <w:szCs w:val="20"/>
        </w:rPr>
        <w:br/>
      </w:r>
      <w:r w:rsidRPr="002C21B8">
        <w:rPr>
          <w:rStyle w:val="Emphasis"/>
          <w:rFonts w:eastAsiaTheme="majorEastAsia"/>
          <w:color w:val="000000" w:themeColor="text1"/>
          <w:sz w:val="20"/>
          <w:szCs w:val="20"/>
        </w:rPr>
        <w:t>(please select one option)</w:t>
      </w:r>
    </w:p>
    <w:p w14:paraId="7F851605" w14:textId="77777777" w:rsidR="007D6AF3" w:rsidRPr="002C21B8" w:rsidRDefault="007D6AF3" w:rsidP="00A97F07">
      <w:pPr>
        <w:pStyle w:val="ListParagraph"/>
        <w:numPr>
          <w:ilvl w:val="0"/>
          <w:numId w:val="43"/>
        </w:numPr>
        <w:jc w:val="left"/>
        <w:rPr>
          <w:sz w:val="20"/>
          <w:szCs w:val="20"/>
        </w:rPr>
      </w:pPr>
      <w:r w:rsidRPr="002C21B8">
        <w:rPr>
          <w:rStyle w:val="labelwrapper"/>
          <w:color w:val="000000" w:themeColor="text1"/>
          <w:sz w:val="20"/>
          <w:szCs w:val="20"/>
        </w:rPr>
        <w:t>Consultant nephrologist</w:t>
      </w:r>
    </w:p>
    <w:p w14:paraId="2FAAB853" w14:textId="77777777" w:rsidR="007D6AF3" w:rsidRPr="002C21B8" w:rsidRDefault="007D6AF3" w:rsidP="00A97F07">
      <w:pPr>
        <w:pStyle w:val="ListParagraph"/>
        <w:numPr>
          <w:ilvl w:val="0"/>
          <w:numId w:val="43"/>
        </w:numPr>
        <w:jc w:val="left"/>
        <w:rPr>
          <w:sz w:val="20"/>
          <w:szCs w:val="20"/>
        </w:rPr>
      </w:pPr>
      <w:r w:rsidRPr="002C21B8">
        <w:rPr>
          <w:rStyle w:val="labelwrapper"/>
          <w:color w:val="000000" w:themeColor="text1"/>
          <w:sz w:val="20"/>
          <w:szCs w:val="20"/>
        </w:rPr>
        <w:t>Specialist registrar</w:t>
      </w:r>
    </w:p>
    <w:p w14:paraId="436E2164" w14:textId="77777777" w:rsidR="007D6AF3" w:rsidRPr="002C21B8" w:rsidRDefault="007D6AF3" w:rsidP="00A97F07">
      <w:pPr>
        <w:pStyle w:val="ListParagraph"/>
        <w:numPr>
          <w:ilvl w:val="0"/>
          <w:numId w:val="43"/>
        </w:numPr>
        <w:jc w:val="left"/>
        <w:rPr>
          <w:sz w:val="20"/>
          <w:szCs w:val="20"/>
        </w:rPr>
      </w:pPr>
      <w:r w:rsidRPr="002C21B8">
        <w:rPr>
          <w:rStyle w:val="labelwrapper"/>
          <w:color w:val="000000" w:themeColor="text1"/>
          <w:sz w:val="20"/>
          <w:szCs w:val="20"/>
        </w:rPr>
        <w:t>Specialist renal nurse</w:t>
      </w:r>
    </w:p>
    <w:p w14:paraId="7303DFFA" w14:textId="77777777" w:rsidR="007D6AF3" w:rsidRPr="002C21B8" w:rsidRDefault="007D6AF3" w:rsidP="00A97F07">
      <w:pPr>
        <w:pStyle w:val="ListParagraph"/>
        <w:numPr>
          <w:ilvl w:val="0"/>
          <w:numId w:val="43"/>
        </w:numPr>
        <w:jc w:val="left"/>
        <w:rPr>
          <w:sz w:val="20"/>
          <w:szCs w:val="20"/>
        </w:rPr>
      </w:pPr>
      <w:r w:rsidRPr="002C21B8">
        <w:rPr>
          <w:rStyle w:val="labelwrapper"/>
          <w:color w:val="000000" w:themeColor="text1"/>
          <w:sz w:val="20"/>
          <w:szCs w:val="20"/>
        </w:rPr>
        <w:t>Specialist renal pharmacist</w:t>
      </w:r>
    </w:p>
    <w:p w14:paraId="76B4742D" w14:textId="77777777" w:rsidR="007D6AF3" w:rsidRPr="002C21B8" w:rsidRDefault="007D6AF3" w:rsidP="00A97F07">
      <w:pPr>
        <w:pStyle w:val="ListParagraph"/>
        <w:numPr>
          <w:ilvl w:val="0"/>
          <w:numId w:val="43"/>
        </w:numPr>
        <w:jc w:val="left"/>
        <w:rPr>
          <w:rStyle w:val="labelwrapper"/>
          <w:color w:val="000000" w:themeColor="text1"/>
          <w:sz w:val="20"/>
          <w:szCs w:val="20"/>
        </w:rPr>
      </w:pPr>
      <w:r w:rsidRPr="002C21B8">
        <w:rPr>
          <w:rStyle w:val="labelwrapper"/>
          <w:color w:val="000000" w:themeColor="text1"/>
          <w:sz w:val="20"/>
          <w:szCs w:val="20"/>
        </w:rPr>
        <w:t>Other (please specify)</w:t>
      </w:r>
    </w:p>
    <w:tbl>
      <w:tblPr>
        <w:tblStyle w:val="TableGrid"/>
        <w:tblW w:w="0" w:type="auto"/>
        <w:tblInd w:w="720" w:type="dxa"/>
        <w:tblLook w:val="04A0" w:firstRow="1" w:lastRow="0" w:firstColumn="1" w:lastColumn="0" w:noHBand="0" w:noVBand="1"/>
      </w:tblPr>
      <w:tblGrid>
        <w:gridCol w:w="8296"/>
      </w:tblGrid>
      <w:tr w:rsidR="007D6AF3" w:rsidRPr="002C21B8" w14:paraId="56A7660F" w14:textId="77777777" w:rsidTr="00BD586A">
        <w:tc>
          <w:tcPr>
            <w:tcW w:w="9016" w:type="dxa"/>
          </w:tcPr>
          <w:p w14:paraId="03D9D405" w14:textId="77777777" w:rsidR="007D6AF3" w:rsidRPr="002C21B8" w:rsidRDefault="007D6AF3" w:rsidP="00DE7E92">
            <w:pPr>
              <w:jc w:val="left"/>
              <w:rPr>
                <w:rStyle w:val="labelwrapper"/>
                <w:color w:val="000000" w:themeColor="text1"/>
                <w:sz w:val="20"/>
                <w:szCs w:val="20"/>
              </w:rPr>
            </w:pPr>
          </w:p>
        </w:tc>
      </w:tr>
    </w:tbl>
    <w:p w14:paraId="6F0327A9" w14:textId="77777777" w:rsidR="007D6AF3" w:rsidRPr="002C21B8" w:rsidRDefault="007D6AF3" w:rsidP="00DE7E92">
      <w:pPr>
        <w:jc w:val="left"/>
        <w:rPr>
          <w:rStyle w:val="message"/>
          <w:color w:val="000000" w:themeColor="text1"/>
          <w:sz w:val="20"/>
          <w:szCs w:val="20"/>
        </w:rPr>
      </w:pPr>
    </w:p>
    <w:p w14:paraId="671572E8" w14:textId="67A8E650" w:rsidR="007D6AF3" w:rsidRPr="002C21B8" w:rsidRDefault="007D6AF3" w:rsidP="00DE7E92">
      <w:pPr>
        <w:jc w:val="left"/>
        <w:rPr>
          <w:sz w:val="20"/>
          <w:szCs w:val="20"/>
        </w:rPr>
      </w:pPr>
      <w:r w:rsidRPr="002C21B8">
        <w:rPr>
          <w:sz w:val="20"/>
          <w:szCs w:val="20"/>
        </w:rPr>
        <w:t>Q3</w:t>
      </w:r>
      <w:r w:rsidR="00B55197" w:rsidRPr="002C21B8">
        <w:rPr>
          <w:sz w:val="20"/>
          <w:szCs w:val="20"/>
        </w:rPr>
        <w:t>2</w:t>
      </w:r>
      <w:r w:rsidRPr="002C21B8">
        <w:rPr>
          <w:sz w:val="20"/>
          <w:szCs w:val="20"/>
        </w:rPr>
        <w:t>. Are you the lead for ADPKD at your centre?</w:t>
      </w:r>
      <w:r w:rsidRPr="002C21B8">
        <w:rPr>
          <w:sz w:val="20"/>
          <w:szCs w:val="20"/>
        </w:rPr>
        <w:br/>
      </w:r>
      <w:r w:rsidRPr="002C21B8">
        <w:rPr>
          <w:rStyle w:val="Emphasis"/>
          <w:rFonts w:eastAsiaTheme="majorEastAsia"/>
          <w:color w:val="000000" w:themeColor="text1"/>
          <w:sz w:val="20"/>
          <w:szCs w:val="20"/>
        </w:rPr>
        <w:t>(please select one option)</w:t>
      </w:r>
    </w:p>
    <w:p w14:paraId="3CE61981" w14:textId="77777777" w:rsidR="007D6AF3" w:rsidRPr="002C21B8" w:rsidRDefault="007D6AF3" w:rsidP="00A97F07">
      <w:pPr>
        <w:pStyle w:val="ListParagraph"/>
        <w:numPr>
          <w:ilvl w:val="0"/>
          <w:numId w:val="44"/>
        </w:numPr>
        <w:jc w:val="left"/>
        <w:rPr>
          <w:sz w:val="20"/>
          <w:szCs w:val="20"/>
        </w:rPr>
      </w:pPr>
      <w:r w:rsidRPr="002C21B8">
        <w:rPr>
          <w:rStyle w:val="labelwrapper"/>
          <w:color w:val="000000" w:themeColor="text1"/>
          <w:sz w:val="20"/>
          <w:szCs w:val="20"/>
        </w:rPr>
        <w:t>Yes</w:t>
      </w:r>
    </w:p>
    <w:p w14:paraId="626D40EE" w14:textId="77777777" w:rsidR="007D6AF3" w:rsidRPr="002C21B8" w:rsidRDefault="007D6AF3" w:rsidP="00A97F07">
      <w:pPr>
        <w:pStyle w:val="ListParagraph"/>
        <w:numPr>
          <w:ilvl w:val="0"/>
          <w:numId w:val="44"/>
        </w:numPr>
        <w:jc w:val="left"/>
        <w:rPr>
          <w:sz w:val="20"/>
          <w:szCs w:val="20"/>
        </w:rPr>
      </w:pPr>
      <w:r w:rsidRPr="002C21B8">
        <w:rPr>
          <w:rStyle w:val="labelwrapper"/>
          <w:color w:val="000000" w:themeColor="text1"/>
          <w:sz w:val="20"/>
          <w:szCs w:val="20"/>
        </w:rPr>
        <w:t>No</w:t>
      </w:r>
    </w:p>
    <w:p w14:paraId="1460C6DA" w14:textId="77777777" w:rsidR="007D6AF3" w:rsidRPr="002C21B8" w:rsidRDefault="007D6AF3" w:rsidP="00A97F07">
      <w:pPr>
        <w:pStyle w:val="ListParagraph"/>
        <w:numPr>
          <w:ilvl w:val="0"/>
          <w:numId w:val="44"/>
        </w:numPr>
        <w:jc w:val="left"/>
        <w:rPr>
          <w:sz w:val="20"/>
          <w:szCs w:val="20"/>
        </w:rPr>
      </w:pPr>
      <w:r w:rsidRPr="002C21B8">
        <w:rPr>
          <w:rStyle w:val="labelwrapper"/>
          <w:color w:val="000000" w:themeColor="text1"/>
          <w:sz w:val="20"/>
          <w:szCs w:val="20"/>
        </w:rPr>
        <w:t>Not sure</w:t>
      </w:r>
    </w:p>
    <w:p w14:paraId="5FB94B3F" w14:textId="77777777" w:rsidR="007D6AF3" w:rsidRPr="002C21B8" w:rsidRDefault="007D6AF3" w:rsidP="00A97F07">
      <w:pPr>
        <w:pStyle w:val="ListParagraph"/>
        <w:numPr>
          <w:ilvl w:val="0"/>
          <w:numId w:val="44"/>
        </w:numPr>
        <w:jc w:val="left"/>
        <w:rPr>
          <w:rStyle w:val="labelwrapper"/>
          <w:color w:val="000000" w:themeColor="text1"/>
          <w:sz w:val="20"/>
          <w:szCs w:val="20"/>
        </w:rPr>
      </w:pPr>
      <w:r w:rsidRPr="002C21B8">
        <w:rPr>
          <w:rStyle w:val="labelwrapper"/>
          <w:color w:val="000000" w:themeColor="text1"/>
          <w:sz w:val="20"/>
          <w:szCs w:val="20"/>
        </w:rPr>
        <w:t>Other</w:t>
      </w:r>
    </w:p>
    <w:tbl>
      <w:tblPr>
        <w:tblStyle w:val="TableGrid"/>
        <w:tblW w:w="0" w:type="auto"/>
        <w:tblInd w:w="720" w:type="dxa"/>
        <w:tblLook w:val="04A0" w:firstRow="1" w:lastRow="0" w:firstColumn="1" w:lastColumn="0" w:noHBand="0" w:noVBand="1"/>
      </w:tblPr>
      <w:tblGrid>
        <w:gridCol w:w="8296"/>
      </w:tblGrid>
      <w:tr w:rsidR="007D6AF3" w:rsidRPr="002C21B8" w14:paraId="2D06E000" w14:textId="77777777" w:rsidTr="00BD586A">
        <w:tc>
          <w:tcPr>
            <w:tcW w:w="9016" w:type="dxa"/>
          </w:tcPr>
          <w:p w14:paraId="6288969D" w14:textId="77777777" w:rsidR="007D6AF3" w:rsidRPr="002C21B8" w:rsidRDefault="007D6AF3" w:rsidP="00DE7E92">
            <w:pPr>
              <w:jc w:val="left"/>
              <w:rPr>
                <w:rStyle w:val="labelwrapper"/>
                <w:color w:val="000000" w:themeColor="text1"/>
                <w:sz w:val="20"/>
                <w:szCs w:val="20"/>
              </w:rPr>
            </w:pPr>
          </w:p>
        </w:tc>
      </w:tr>
    </w:tbl>
    <w:p w14:paraId="7BCC271B" w14:textId="77777777" w:rsidR="007D6AF3" w:rsidRPr="002C21B8" w:rsidRDefault="007D6AF3" w:rsidP="00DE7E92">
      <w:pPr>
        <w:jc w:val="left"/>
        <w:rPr>
          <w:rStyle w:val="message"/>
          <w:color w:val="000000" w:themeColor="text1"/>
          <w:sz w:val="20"/>
          <w:szCs w:val="20"/>
        </w:rPr>
      </w:pPr>
    </w:p>
    <w:p w14:paraId="62051F1B" w14:textId="77777777" w:rsidR="007D6AF3" w:rsidRPr="002C21B8" w:rsidRDefault="007D6AF3" w:rsidP="00DE7E92">
      <w:pPr>
        <w:jc w:val="left"/>
        <w:rPr>
          <w:sz w:val="20"/>
          <w:szCs w:val="20"/>
        </w:rPr>
      </w:pPr>
      <w:r w:rsidRPr="002C21B8">
        <w:rPr>
          <w:sz w:val="20"/>
          <w:szCs w:val="20"/>
        </w:rPr>
        <w:t>Please note any additional information or comments you think would be relevant below</w:t>
      </w:r>
    </w:p>
    <w:tbl>
      <w:tblPr>
        <w:tblStyle w:val="TableGrid"/>
        <w:tblW w:w="0" w:type="auto"/>
        <w:tblLook w:val="04A0" w:firstRow="1" w:lastRow="0" w:firstColumn="1" w:lastColumn="0" w:noHBand="0" w:noVBand="1"/>
      </w:tblPr>
      <w:tblGrid>
        <w:gridCol w:w="9016"/>
      </w:tblGrid>
      <w:tr w:rsidR="007D6AF3" w:rsidRPr="002C21B8" w14:paraId="5609021B" w14:textId="77777777" w:rsidTr="00BD586A">
        <w:tc>
          <w:tcPr>
            <w:tcW w:w="9016" w:type="dxa"/>
          </w:tcPr>
          <w:p w14:paraId="79874903" w14:textId="77777777" w:rsidR="007D6AF3" w:rsidRPr="002C21B8" w:rsidRDefault="007D6AF3" w:rsidP="00DE7E92">
            <w:pPr>
              <w:jc w:val="left"/>
              <w:rPr>
                <w:sz w:val="20"/>
                <w:szCs w:val="20"/>
              </w:rPr>
            </w:pPr>
          </w:p>
        </w:tc>
      </w:tr>
    </w:tbl>
    <w:p w14:paraId="32A2B5FA" w14:textId="77777777" w:rsidR="007D6AF3" w:rsidRPr="002C21B8" w:rsidRDefault="007D6AF3" w:rsidP="00DE7E92">
      <w:pPr>
        <w:jc w:val="left"/>
        <w:rPr>
          <w:sz w:val="20"/>
          <w:szCs w:val="20"/>
        </w:rPr>
      </w:pPr>
      <w:r w:rsidRPr="002C21B8">
        <w:rPr>
          <w:sz w:val="20"/>
          <w:szCs w:val="20"/>
        </w:rPr>
        <w:t>--------------------------------------------------------------------------------------------------------------------------------------</w:t>
      </w:r>
    </w:p>
    <w:p w14:paraId="272C0E70" w14:textId="2D938B2E" w:rsidR="00B70E6A" w:rsidRPr="002C21B8" w:rsidRDefault="007D6AF3" w:rsidP="00DE7E92">
      <w:pPr>
        <w:jc w:val="left"/>
        <w:rPr>
          <w:sz w:val="20"/>
          <w:szCs w:val="20"/>
        </w:rPr>
      </w:pPr>
      <w:r w:rsidRPr="002C21B8">
        <w:rPr>
          <w:sz w:val="20"/>
          <w:szCs w:val="20"/>
        </w:rPr>
        <w:t>Thank you for completing the survey.</w:t>
      </w:r>
      <w:r w:rsidR="007C424C" w:rsidRPr="002C21B8">
        <w:rPr>
          <w:sz w:val="20"/>
          <w:szCs w:val="20"/>
        </w:rPr>
        <w:t xml:space="preserve"> </w:t>
      </w:r>
      <w:r w:rsidRPr="002C21B8">
        <w:rPr>
          <w:sz w:val="20"/>
          <w:szCs w:val="20"/>
        </w:rPr>
        <w:t>Your responses have been submitted.</w:t>
      </w:r>
      <w:r w:rsidR="007C424C" w:rsidRPr="002C21B8">
        <w:rPr>
          <w:sz w:val="20"/>
          <w:szCs w:val="20"/>
        </w:rPr>
        <w:t xml:space="preserve"> </w:t>
      </w:r>
      <w:r w:rsidRPr="002C21B8">
        <w:rPr>
          <w:sz w:val="20"/>
          <w:szCs w:val="20"/>
        </w:rPr>
        <w:t>If you have any questions or would like further information about the study,</w:t>
      </w:r>
      <w:r w:rsidR="007C424C" w:rsidRPr="002C21B8">
        <w:rPr>
          <w:sz w:val="20"/>
          <w:szCs w:val="20"/>
        </w:rPr>
        <w:t xml:space="preserve"> </w:t>
      </w:r>
      <w:r w:rsidRPr="002C21B8">
        <w:rPr>
          <w:sz w:val="20"/>
          <w:szCs w:val="20"/>
        </w:rPr>
        <w:t>please contact Dr Matt Gittus (mjgittus1@sheffield.ac.uk).</w:t>
      </w:r>
    </w:p>
    <w:p w14:paraId="299E5CC1" w14:textId="55BDB90C" w:rsidR="00B70E6A" w:rsidRPr="002C21B8" w:rsidRDefault="00B70E6A" w:rsidP="00DE7E92">
      <w:pPr>
        <w:jc w:val="left"/>
        <w:sectPr w:rsidR="00B70E6A" w:rsidRPr="002C21B8" w:rsidSect="0009672F">
          <w:headerReference w:type="default" r:id="rId230"/>
          <w:headerReference w:type="first" r:id="rId231"/>
          <w:type w:val="continuous"/>
          <w:pgSz w:w="11906" w:h="16838"/>
          <w:pgMar w:top="1440" w:right="1440" w:bottom="1440" w:left="1440" w:header="708" w:footer="708" w:gutter="0"/>
          <w:cols w:space="708"/>
          <w:titlePg/>
          <w:docGrid w:linePitch="360"/>
        </w:sectPr>
      </w:pPr>
    </w:p>
    <w:p w14:paraId="5446F48E" w14:textId="62175AA0" w:rsidR="007C424C" w:rsidRPr="002C21B8" w:rsidRDefault="007C424C" w:rsidP="004507C8">
      <w:pPr>
        <w:pStyle w:val="Heading3"/>
        <w:numPr>
          <w:ilvl w:val="0"/>
          <w:numId w:val="0"/>
        </w:numPr>
      </w:pPr>
      <w:bookmarkStart w:id="481" w:name="_Rationale_for_survey"/>
      <w:bookmarkEnd w:id="481"/>
      <w:r w:rsidRPr="002C21B8">
        <w:t>Rationale for survey questions</w:t>
      </w:r>
    </w:p>
    <w:tbl>
      <w:tblPr>
        <w:tblStyle w:val="TableGrid"/>
        <w:tblW w:w="138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18"/>
        <w:gridCol w:w="1945"/>
        <w:gridCol w:w="6518"/>
        <w:gridCol w:w="1987"/>
        <w:gridCol w:w="3116"/>
      </w:tblGrid>
      <w:tr w:rsidR="00B70E6A" w:rsidRPr="002C21B8" w14:paraId="04A9897A" w14:textId="77777777" w:rsidTr="002878DB">
        <w:tc>
          <w:tcPr>
            <w:tcW w:w="2263" w:type="dxa"/>
            <w:gridSpan w:val="2"/>
            <w:vAlign w:val="center"/>
          </w:tcPr>
          <w:p w14:paraId="4227CA7E" w14:textId="77777777" w:rsidR="00B70E6A" w:rsidRPr="002C21B8" w:rsidRDefault="00B70E6A" w:rsidP="003223A7">
            <w:pPr>
              <w:spacing w:after="120" w:line="240" w:lineRule="auto"/>
              <w:jc w:val="left"/>
              <w:rPr>
                <w:b/>
                <w:bCs/>
                <w:sz w:val="18"/>
                <w:szCs w:val="18"/>
              </w:rPr>
            </w:pPr>
            <w:r w:rsidRPr="002C21B8">
              <w:rPr>
                <w:b/>
                <w:bCs/>
                <w:sz w:val="18"/>
                <w:szCs w:val="18"/>
              </w:rPr>
              <w:t>Section</w:t>
            </w:r>
          </w:p>
        </w:tc>
        <w:tc>
          <w:tcPr>
            <w:tcW w:w="6518" w:type="dxa"/>
            <w:vAlign w:val="center"/>
          </w:tcPr>
          <w:p w14:paraId="0B90185F" w14:textId="77777777" w:rsidR="00B70E6A" w:rsidRPr="002C21B8" w:rsidRDefault="00B70E6A" w:rsidP="003223A7">
            <w:pPr>
              <w:spacing w:after="120" w:line="240" w:lineRule="auto"/>
              <w:jc w:val="left"/>
              <w:rPr>
                <w:b/>
                <w:bCs/>
                <w:sz w:val="18"/>
                <w:szCs w:val="18"/>
              </w:rPr>
            </w:pPr>
            <w:r w:rsidRPr="002C21B8">
              <w:rPr>
                <w:b/>
                <w:bCs/>
                <w:sz w:val="18"/>
                <w:szCs w:val="18"/>
              </w:rPr>
              <w:t>Question</w:t>
            </w:r>
          </w:p>
        </w:tc>
        <w:tc>
          <w:tcPr>
            <w:tcW w:w="1987" w:type="dxa"/>
            <w:vAlign w:val="center"/>
          </w:tcPr>
          <w:p w14:paraId="3203AAC3" w14:textId="77777777" w:rsidR="00B70E6A" w:rsidRPr="002C21B8" w:rsidRDefault="00B70E6A" w:rsidP="003223A7">
            <w:pPr>
              <w:spacing w:after="120" w:line="240" w:lineRule="auto"/>
              <w:jc w:val="left"/>
              <w:rPr>
                <w:b/>
                <w:bCs/>
                <w:sz w:val="18"/>
                <w:szCs w:val="18"/>
              </w:rPr>
            </w:pPr>
            <w:r w:rsidRPr="002C21B8">
              <w:rPr>
                <w:b/>
                <w:bCs/>
                <w:sz w:val="18"/>
                <w:szCs w:val="18"/>
              </w:rPr>
              <w:t>Question Type (Response Type)</w:t>
            </w:r>
          </w:p>
        </w:tc>
        <w:tc>
          <w:tcPr>
            <w:tcW w:w="3116" w:type="dxa"/>
            <w:vAlign w:val="center"/>
          </w:tcPr>
          <w:p w14:paraId="51BAC1CC" w14:textId="77777777" w:rsidR="00B70E6A" w:rsidRPr="002C21B8" w:rsidRDefault="00B70E6A" w:rsidP="003223A7">
            <w:pPr>
              <w:spacing w:after="120" w:line="240" w:lineRule="auto"/>
              <w:jc w:val="left"/>
              <w:rPr>
                <w:b/>
                <w:bCs/>
                <w:sz w:val="18"/>
                <w:szCs w:val="18"/>
              </w:rPr>
            </w:pPr>
            <w:r w:rsidRPr="002C21B8">
              <w:rPr>
                <w:b/>
                <w:bCs/>
                <w:sz w:val="18"/>
                <w:szCs w:val="18"/>
              </w:rPr>
              <w:t>Rationale</w:t>
            </w:r>
          </w:p>
        </w:tc>
      </w:tr>
      <w:tr w:rsidR="00B70E6A" w:rsidRPr="002C21B8" w14:paraId="07771910" w14:textId="77777777" w:rsidTr="002878DB">
        <w:tc>
          <w:tcPr>
            <w:tcW w:w="318" w:type="dxa"/>
            <w:vMerge w:val="restart"/>
          </w:tcPr>
          <w:p w14:paraId="770BC30A" w14:textId="77777777" w:rsidR="00B70E6A" w:rsidRPr="002C21B8" w:rsidRDefault="00B70E6A" w:rsidP="003223A7">
            <w:pPr>
              <w:spacing w:after="120" w:line="240" w:lineRule="auto"/>
              <w:jc w:val="left"/>
              <w:rPr>
                <w:sz w:val="18"/>
                <w:szCs w:val="18"/>
              </w:rPr>
            </w:pPr>
            <w:r w:rsidRPr="002C21B8">
              <w:rPr>
                <w:sz w:val="18"/>
                <w:szCs w:val="18"/>
              </w:rPr>
              <w:t>1</w:t>
            </w:r>
          </w:p>
        </w:tc>
        <w:tc>
          <w:tcPr>
            <w:tcW w:w="1945" w:type="dxa"/>
            <w:vMerge w:val="restart"/>
          </w:tcPr>
          <w:p w14:paraId="19465FE7" w14:textId="77777777" w:rsidR="00B70E6A" w:rsidRPr="002C21B8" w:rsidRDefault="00B70E6A" w:rsidP="003223A7">
            <w:pPr>
              <w:spacing w:after="120" w:line="240" w:lineRule="auto"/>
              <w:jc w:val="left"/>
              <w:rPr>
                <w:sz w:val="18"/>
                <w:szCs w:val="18"/>
              </w:rPr>
            </w:pPr>
            <w:r w:rsidRPr="002C21B8">
              <w:rPr>
                <w:sz w:val="18"/>
                <w:szCs w:val="18"/>
              </w:rPr>
              <w:t xml:space="preserve">ADPKD population and tolvaptan prescribing at </w:t>
            </w:r>
            <w:r w:rsidRPr="002C21B8">
              <w:rPr>
                <w:sz w:val="18"/>
                <w:szCs w:val="18"/>
                <w:u w:val="single"/>
              </w:rPr>
              <w:t>your centre</w:t>
            </w:r>
          </w:p>
        </w:tc>
        <w:tc>
          <w:tcPr>
            <w:tcW w:w="6518" w:type="dxa"/>
          </w:tcPr>
          <w:p w14:paraId="3BD9F1C4" w14:textId="77777777" w:rsidR="00B70E6A" w:rsidRPr="002C21B8" w:rsidRDefault="00B70E6A" w:rsidP="003223A7">
            <w:pPr>
              <w:spacing w:after="120" w:line="240" w:lineRule="auto"/>
              <w:jc w:val="left"/>
              <w:rPr>
                <w:sz w:val="18"/>
                <w:szCs w:val="18"/>
              </w:rPr>
            </w:pPr>
            <w:r w:rsidRPr="002C21B8">
              <w:rPr>
                <w:sz w:val="18"/>
                <w:szCs w:val="18"/>
              </w:rPr>
              <w:t>Q1. Please enter the name of the kidney centre where you are employed?</w:t>
            </w:r>
          </w:p>
        </w:tc>
        <w:tc>
          <w:tcPr>
            <w:tcW w:w="1987" w:type="dxa"/>
          </w:tcPr>
          <w:p w14:paraId="331CC5AB" w14:textId="77777777" w:rsidR="00B70E6A" w:rsidRPr="002C21B8" w:rsidRDefault="00B70E6A" w:rsidP="003223A7">
            <w:pPr>
              <w:spacing w:after="120" w:line="240" w:lineRule="auto"/>
              <w:jc w:val="left"/>
              <w:rPr>
                <w:sz w:val="18"/>
                <w:szCs w:val="18"/>
              </w:rPr>
            </w:pPr>
            <w:r w:rsidRPr="002C21B8">
              <w:rPr>
                <w:sz w:val="18"/>
                <w:szCs w:val="18"/>
              </w:rPr>
              <w:t>Open (free text)</w:t>
            </w:r>
          </w:p>
        </w:tc>
        <w:tc>
          <w:tcPr>
            <w:tcW w:w="3116" w:type="dxa"/>
          </w:tcPr>
          <w:p w14:paraId="71D80650" w14:textId="77777777" w:rsidR="00B70E6A" w:rsidRPr="002C21B8" w:rsidRDefault="00B70E6A" w:rsidP="003223A7">
            <w:pPr>
              <w:spacing w:after="120" w:line="240" w:lineRule="auto"/>
              <w:jc w:val="left"/>
              <w:rPr>
                <w:sz w:val="18"/>
                <w:szCs w:val="18"/>
              </w:rPr>
            </w:pPr>
            <w:r w:rsidRPr="002C21B8">
              <w:rPr>
                <w:sz w:val="18"/>
                <w:szCs w:val="18"/>
              </w:rPr>
              <w:t>To link responses with RaDaR data while keeping centre identity confidential.</w:t>
            </w:r>
          </w:p>
        </w:tc>
      </w:tr>
      <w:tr w:rsidR="00B70E6A" w:rsidRPr="002C21B8" w14:paraId="0F3F1C5B" w14:textId="77777777" w:rsidTr="002878DB">
        <w:tc>
          <w:tcPr>
            <w:tcW w:w="318" w:type="dxa"/>
            <w:vMerge/>
          </w:tcPr>
          <w:p w14:paraId="7F0920CC" w14:textId="77777777" w:rsidR="00B70E6A" w:rsidRPr="002C21B8" w:rsidRDefault="00B70E6A" w:rsidP="003223A7">
            <w:pPr>
              <w:spacing w:after="120" w:line="240" w:lineRule="auto"/>
              <w:jc w:val="left"/>
              <w:rPr>
                <w:sz w:val="18"/>
                <w:szCs w:val="18"/>
              </w:rPr>
            </w:pPr>
          </w:p>
        </w:tc>
        <w:tc>
          <w:tcPr>
            <w:tcW w:w="1945" w:type="dxa"/>
            <w:vMerge/>
          </w:tcPr>
          <w:p w14:paraId="1C3C35D6" w14:textId="77777777" w:rsidR="00B70E6A" w:rsidRPr="002C21B8" w:rsidRDefault="00B70E6A" w:rsidP="003223A7">
            <w:pPr>
              <w:spacing w:after="120" w:line="240" w:lineRule="auto"/>
              <w:jc w:val="left"/>
              <w:rPr>
                <w:sz w:val="18"/>
                <w:szCs w:val="18"/>
              </w:rPr>
            </w:pPr>
          </w:p>
        </w:tc>
        <w:tc>
          <w:tcPr>
            <w:tcW w:w="6518" w:type="dxa"/>
          </w:tcPr>
          <w:p w14:paraId="4CEA12A8" w14:textId="77777777" w:rsidR="00B70E6A" w:rsidRPr="002C21B8" w:rsidRDefault="00B70E6A" w:rsidP="003223A7">
            <w:pPr>
              <w:spacing w:after="120" w:line="240" w:lineRule="auto"/>
              <w:jc w:val="left"/>
              <w:rPr>
                <w:sz w:val="18"/>
                <w:szCs w:val="18"/>
              </w:rPr>
            </w:pPr>
            <w:r w:rsidRPr="002C21B8">
              <w:rPr>
                <w:sz w:val="18"/>
                <w:szCs w:val="18"/>
              </w:rPr>
              <w:t>Q2. To the best of your knowledge, approximately how many people with ADPKD (excluding those on dialysis or post-transplant) are currently under active follow-up at your centre?</w:t>
            </w:r>
          </w:p>
        </w:tc>
        <w:tc>
          <w:tcPr>
            <w:tcW w:w="1987" w:type="dxa"/>
          </w:tcPr>
          <w:p w14:paraId="4ADA8E8C"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3D9B70B1" w14:textId="2D463139" w:rsidR="00B70E6A" w:rsidRPr="002C21B8" w:rsidRDefault="00B70E6A" w:rsidP="003223A7">
            <w:pPr>
              <w:spacing w:after="120" w:line="240" w:lineRule="auto"/>
              <w:jc w:val="left"/>
              <w:rPr>
                <w:sz w:val="18"/>
                <w:szCs w:val="18"/>
              </w:rPr>
            </w:pPr>
            <w:r w:rsidRPr="002C21B8">
              <w:rPr>
                <w:sz w:val="18"/>
                <w:szCs w:val="18"/>
              </w:rPr>
              <w:t xml:space="preserve">To </w:t>
            </w:r>
            <w:r w:rsidR="008F3997" w:rsidRPr="002C21B8">
              <w:rPr>
                <w:sz w:val="18"/>
                <w:szCs w:val="18"/>
              </w:rPr>
              <w:t>quantify</w:t>
            </w:r>
            <w:r w:rsidRPr="002C21B8">
              <w:rPr>
                <w:sz w:val="18"/>
                <w:szCs w:val="18"/>
              </w:rPr>
              <w:t xml:space="preserve"> centre caseload variation.</w:t>
            </w:r>
          </w:p>
        </w:tc>
      </w:tr>
      <w:tr w:rsidR="00A44334" w:rsidRPr="002C21B8" w14:paraId="1FDA01F1" w14:textId="77777777" w:rsidTr="002878DB">
        <w:tc>
          <w:tcPr>
            <w:tcW w:w="318" w:type="dxa"/>
            <w:vMerge/>
          </w:tcPr>
          <w:p w14:paraId="3707C72E" w14:textId="77777777" w:rsidR="00A44334" w:rsidRPr="002C21B8" w:rsidRDefault="00A44334" w:rsidP="003223A7">
            <w:pPr>
              <w:spacing w:after="120" w:line="240" w:lineRule="auto"/>
              <w:jc w:val="left"/>
              <w:rPr>
                <w:sz w:val="18"/>
                <w:szCs w:val="18"/>
              </w:rPr>
            </w:pPr>
          </w:p>
        </w:tc>
        <w:tc>
          <w:tcPr>
            <w:tcW w:w="1945" w:type="dxa"/>
            <w:vMerge/>
          </w:tcPr>
          <w:p w14:paraId="4070FE9C" w14:textId="77777777" w:rsidR="00A44334" w:rsidRPr="002C21B8" w:rsidRDefault="00A44334" w:rsidP="003223A7">
            <w:pPr>
              <w:spacing w:after="120" w:line="240" w:lineRule="auto"/>
              <w:jc w:val="left"/>
              <w:rPr>
                <w:sz w:val="18"/>
                <w:szCs w:val="18"/>
              </w:rPr>
            </w:pPr>
          </w:p>
        </w:tc>
        <w:tc>
          <w:tcPr>
            <w:tcW w:w="6518" w:type="dxa"/>
          </w:tcPr>
          <w:p w14:paraId="49E48AC7" w14:textId="68384E97" w:rsidR="00A44334" w:rsidRPr="002C21B8" w:rsidRDefault="00A44334" w:rsidP="003223A7">
            <w:pPr>
              <w:spacing w:after="120" w:line="240" w:lineRule="auto"/>
              <w:jc w:val="left"/>
              <w:rPr>
                <w:sz w:val="18"/>
                <w:szCs w:val="18"/>
              </w:rPr>
            </w:pPr>
            <w:r w:rsidRPr="002C21B8">
              <w:rPr>
                <w:sz w:val="18"/>
                <w:szCs w:val="18"/>
              </w:rPr>
              <w:t xml:space="preserve">Q3. </w:t>
            </w:r>
            <w:r w:rsidR="00C30535" w:rsidRPr="002C21B8">
              <w:rPr>
                <w:sz w:val="18"/>
                <w:szCs w:val="18"/>
              </w:rPr>
              <w:t>To the best of your knowledge, approximately how many people with ADPKD are currently receiving tolvaptan at your centre?</w:t>
            </w:r>
          </w:p>
        </w:tc>
        <w:tc>
          <w:tcPr>
            <w:tcW w:w="1987" w:type="dxa"/>
          </w:tcPr>
          <w:p w14:paraId="5FACC18B" w14:textId="19A8FAFC" w:rsidR="00A44334" w:rsidRPr="002C21B8" w:rsidRDefault="00C30535" w:rsidP="003223A7">
            <w:pPr>
              <w:spacing w:after="120" w:line="240" w:lineRule="auto"/>
              <w:jc w:val="left"/>
              <w:rPr>
                <w:sz w:val="18"/>
                <w:szCs w:val="18"/>
              </w:rPr>
            </w:pPr>
            <w:r w:rsidRPr="002C21B8">
              <w:rPr>
                <w:sz w:val="18"/>
                <w:szCs w:val="18"/>
              </w:rPr>
              <w:t>Closed (categorical, single choice)</w:t>
            </w:r>
          </w:p>
        </w:tc>
        <w:tc>
          <w:tcPr>
            <w:tcW w:w="3116" w:type="dxa"/>
          </w:tcPr>
          <w:p w14:paraId="0189D5C1" w14:textId="527D7A30" w:rsidR="00A44334" w:rsidRPr="002C21B8" w:rsidRDefault="002878DB" w:rsidP="003223A7">
            <w:pPr>
              <w:spacing w:after="120" w:line="240" w:lineRule="auto"/>
              <w:jc w:val="left"/>
              <w:rPr>
                <w:sz w:val="18"/>
                <w:szCs w:val="18"/>
              </w:rPr>
            </w:pPr>
            <w:r w:rsidRPr="002C21B8">
              <w:rPr>
                <w:sz w:val="18"/>
                <w:szCs w:val="18"/>
              </w:rPr>
              <w:t>To quantify tolvaptan cohort at centres.</w:t>
            </w:r>
          </w:p>
        </w:tc>
      </w:tr>
      <w:tr w:rsidR="00B70E6A" w:rsidRPr="002C21B8" w14:paraId="1577113F" w14:textId="77777777" w:rsidTr="002878DB">
        <w:tc>
          <w:tcPr>
            <w:tcW w:w="318" w:type="dxa"/>
            <w:vMerge/>
          </w:tcPr>
          <w:p w14:paraId="032F91AD" w14:textId="77777777" w:rsidR="00B70E6A" w:rsidRPr="002C21B8" w:rsidRDefault="00B70E6A" w:rsidP="003223A7">
            <w:pPr>
              <w:spacing w:after="120" w:line="240" w:lineRule="auto"/>
              <w:jc w:val="left"/>
              <w:rPr>
                <w:sz w:val="18"/>
                <w:szCs w:val="18"/>
              </w:rPr>
            </w:pPr>
          </w:p>
        </w:tc>
        <w:tc>
          <w:tcPr>
            <w:tcW w:w="1945" w:type="dxa"/>
            <w:vMerge/>
          </w:tcPr>
          <w:p w14:paraId="52F43951" w14:textId="77777777" w:rsidR="00B70E6A" w:rsidRPr="002C21B8" w:rsidRDefault="00B70E6A" w:rsidP="003223A7">
            <w:pPr>
              <w:spacing w:after="120" w:line="240" w:lineRule="auto"/>
              <w:jc w:val="left"/>
              <w:rPr>
                <w:sz w:val="18"/>
                <w:szCs w:val="18"/>
              </w:rPr>
            </w:pPr>
          </w:p>
        </w:tc>
        <w:tc>
          <w:tcPr>
            <w:tcW w:w="6518" w:type="dxa"/>
          </w:tcPr>
          <w:p w14:paraId="7E47BD5A" w14:textId="6314A1DB"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4</w:t>
            </w:r>
            <w:r w:rsidRPr="002C21B8">
              <w:rPr>
                <w:sz w:val="18"/>
                <w:szCs w:val="18"/>
              </w:rPr>
              <w:t>. To the best of your knowledge, approximately how many people with ADPKD are started on tolvaptan each month at your centre?</w:t>
            </w:r>
          </w:p>
        </w:tc>
        <w:tc>
          <w:tcPr>
            <w:tcW w:w="1987" w:type="dxa"/>
          </w:tcPr>
          <w:p w14:paraId="2138303D"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039F6875" w14:textId="77777777" w:rsidR="00B70E6A" w:rsidRPr="002C21B8" w:rsidRDefault="00B70E6A" w:rsidP="003223A7">
            <w:pPr>
              <w:spacing w:after="120" w:line="240" w:lineRule="auto"/>
              <w:jc w:val="left"/>
              <w:rPr>
                <w:sz w:val="18"/>
                <w:szCs w:val="18"/>
              </w:rPr>
            </w:pPr>
            <w:r w:rsidRPr="002C21B8">
              <w:rPr>
                <w:sz w:val="18"/>
                <w:szCs w:val="18"/>
              </w:rPr>
              <w:t>To explore prescribing rates across centres.</w:t>
            </w:r>
          </w:p>
        </w:tc>
      </w:tr>
      <w:tr w:rsidR="00B70E6A" w:rsidRPr="002C21B8" w14:paraId="266E3719" w14:textId="77777777" w:rsidTr="002878DB">
        <w:tc>
          <w:tcPr>
            <w:tcW w:w="318" w:type="dxa"/>
            <w:vMerge/>
          </w:tcPr>
          <w:p w14:paraId="13DD4EF8" w14:textId="77777777" w:rsidR="00B70E6A" w:rsidRPr="002C21B8" w:rsidRDefault="00B70E6A" w:rsidP="003223A7">
            <w:pPr>
              <w:spacing w:after="120" w:line="240" w:lineRule="auto"/>
              <w:jc w:val="left"/>
              <w:rPr>
                <w:sz w:val="18"/>
                <w:szCs w:val="18"/>
              </w:rPr>
            </w:pPr>
          </w:p>
        </w:tc>
        <w:tc>
          <w:tcPr>
            <w:tcW w:w="1945" w:type="dxa"/>
            <w:vMerge/>
          </w:tcPr>
          <w:p w14:paraId="2C2B3299" w14:textId="77777777" w:rsidR="00B70E6A" w:rsidRPr="002C21B8" w:rsidRDefault="00B70E6A" w:rsidP="003223A7">
            <w:pPr>
              <w:spacing w:after="120" w:line="240" w:lineRule="auto"/>
              <w:jc w:val="left"/>
              <w:rPr>
                <w:sz w:val="18"/>
                <w:szCs w:val="18"/>
              </w:rPr>
            </w:pPr>
          </w:p>
        </w:tc>
        <w:tc>
          <w:tcPr>
            <w:tcW w:w="6518" w:type="dxa"/>
          </w:tcPr>
          <w:p w14:paraId="1040DB65" w14:textId="6AED6E25"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5</w:t>
            </w:r>
            <w:r w:rsidRPr="002C21B8">
              <w:rPr>
                <w:sz w:val="18"/>
                <w:szCs w:val="18"/>
              </w:rPr>
              <w:t xml:space="preserve">. To the best of your knowledge, approximately what proportion of people with ADPKD at your centre start on tolvaptan after being deemed eligible and offered tolvaptan? </w:t>
            </w:r>
          </w:p>
        </w:tc>
        <w:tc>
          <w:tcPr>
            <w:tcW w:w="1987" w:type="dxa"/>
          </w:tcPr>
          <w:p w14:paraId="232D73EE"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21C53AD1" w14:textId="77777777" w:rsidR="00B70E6A" w:rsidRPr="002C21B8" w:rsidRDefault="00B70E6A" w:rsidP="003223A7">
            <w:pPr>
              <w:spacing w:after="120" w:line="240" w:lineRule="auto"/>
              <w:jc w:val="left"/>
              <w:rPr>
                <w:sz w:val="18"/>
                <w:szCs w:val="18"/>
              </w:rPr>
            </w:pPr>
            <w:r w:rsidRPr="002C21B8">
              <w:rPr>
                <w:sz w:val="18"/>
                <w:szCs w:val="18"/>
              </w:rPr>
              <w:t>To assess uptake once eligibility is established.</w:t>
            </w:r>
          </w:p>
        </w:tc>
      </w:tr>
      <w:tr w:rsidR="00B70E6A" w:rsidRPr="002C21B8" w14:paraId="69A9EC87" w14:textId="77777777" w:rsidTr="002878DB">
        <w:tc>
          <w:tcPr>
            <w:tcW w:w="318" w:type="dxa"/>
            <w:vMerge/>
          </w:tcPr>
          <w:p w14:paraId="6D448562" w14:textId="77777777" w:rsidR="00B70E6A" w:rsidRPr="002C21B8" w:rsidRDefault="00B70E6A" w:rsidP="003223A7">
            <w:pPr>
              <w:spacing w:after="120" w:line="240" w:lineRule="auto"/>
              <w:jc w:val="left"/>
              <w:rPr>
                <w:sz w:val="18"/>
                <w:szCs w:val="18"/>
              </w:rPr>
            </w:pPr>
          </w:p>
        </w:tc>
        <w:tc>
          <w:tcPr>
            <w:tcW w:w="1945" w:type="dxa"/>
            <w:vMerge/>
          </w:tcPr>
          <w:p w14:paraId="78BDEF7E" w14:textId="77777777" w:rsidR="00B70E6A" w:rsidRPr="002C21B8" w:rsidRDefault="00B70E6A" w:rsidP="003223A7">
            <w:pPr>
              <w:spacing w:after="120" w:line="240" w:lineRule="auto"/>
              <w:jc w:val="left"/>
              <w:rPr>
                <w:sz w:val="18"/>
                <w:szCs w:val="18"/>
              </w:rPr>
            </w:pPr>
          </w:p>
        </w:tc>
        <w:tc>
          <w:tcPr>
            <w:tcW w:w="6518" w:type="dxa"/>
          </w:tcPr>
          <w:p w14:paraId="2999AE62" w14:textId="7F90466E"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6</w:t>
            </w:r>
            <w:r w:rsidRPr="002C21B8">
              <w:rPr>
                <w:sz w:val="18"/>
                <w:szCs w:val="18"/>
              </w:rPr>
              <w:t>. Is there a limit to how many people can be on tolvaptan at your centre? (e.g. due to monitoring or other resource limitations)</w:t>
            </w:r>
          </w:p>
        </w:tc>
        <w:tc>
          <w:tcPr>
            <w:tcW w:w="1987" w:type="dxa"/>
          </w:tcPr>
          <w:p w14:paraId="07C3B7F4"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7A74B0A7" w14:textId="77777777" w:rsidR="00B70E6A" w:rsidRPr="002C21B8" w:rsidRDefault="00B70E6A" w:rsidP="003223A7">
            <w:pPr>
              <w:spacing w:after="120" w:line="240" w:lineRule="auto"/>
              <w:jc w:val="left"/>
              <w:rPr>
                <w:sz w:val="18"/>
                <w:szCs w:val="18"/>
              </w:rPr>
            </w:pPr>
            <w:r w:rsidRPr="002C21B8">
              <w:rPr>
                <w:sz w:val="18"/>
                <w:szCs w:val="18"/>
              </w:rPr>
              <w:t>To identify service/resource capacity constraints.</w:t>
            </w:r>
          </w:p>
        </w:tc>
      </w:tr>
      <w:tr w:rsidR="00B70E6A" w:rsidRPr="002C21B8" w14:paraId="7B13019C" w14:textId="77777777" w:rsidTr="002878DB">
        <w:tc>
          <w:tcPr>
            <w:tcW w:w="318" w:type="dxa"/>
            <w:vMerge/>
          </w:tcPr>
          <w:p w14:paraId="36E3EC9B" w14:textId="77777777" w:rsidR="00B70E6A" w:rsidRPr="002C21B8" w:rsidRDefault="00B70E6A" w:rsidP="003223A7">
            <w:pPr>
              <w:spacing w:after="120" w:line="240" w:lineRule="auto"/>
              <w:jc w:val="left"/>
              <w:rPr>
                <w:sz w:val="18"/>
                <w:szCs w:val="18"/>
              </w:rPr>
            </w:pPr>
          </w:p>
        </w:tc>
        <w:tc>
          <w:tcPr>
            <w:tcW w:w="1945" w:type="dxa"/>
            <w:vMerge/>
          </w:tcPr>
          <w:p w14:paraId="60F8CFEC" w14:textId="77777777" w:rsidR="00B70E6A" w:rsidRPr="002C21B8" w:rsidRDefault="00B70E6A" w:rsidP="003223A7">
            <w:pPr>
              <w:spacing w:after="120" w:line="240" w:lineRule="auto"/>
              <w:jc w:val="left"/>
              <w:rPr>
                <w:sz w:val="18"/>
                <w:szCs w:val="18"/>
              </w:rPr>
            </w:pPr>
          </w:p>
        </w:tc>
        <w:tc>
          <w:tcPr>
            <w:tcW w:w="6518" w:type="dxa"/>
          </w:tcPr>
          <w:p w14:paraId="444D73DD" w14:textId="3A710714"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6</w:t>
            </w:r>
            <w:r w:rsidRPr="002C21B8">
              <w:rPr>
                <w:sz w:val="18"/>
                <w:szCs w:val="18"/>
              </w:rPr>
              <w:t>a. Is your centre currently at or near this limit, potentially restricting the number of new patients being initiated on tolvaptan?</w:t>
            </w:r>
          </w:p>
        </w:tc>
        <w:tc>
          <w:tcPr>
            <w:tcW w:w="1987" w:type="dxa"/>
          </w:tcPr>
          <w:p w14:paraId="6A62CB09"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6B140BBB" w14:textId="77777777" w:rsidR="00B70E6A" w:rsidRPr="002C21B8" w:rsidRDefault="00B70E6A" w:rsidP="003223A7">
            <w:pPr>
              <w:spacing w:after="120" w:line="240" w:lineRule="auto"/>
              <w:jc w:val="left"/>
              <w:rPr>
                <w:sz w:val="18"/>
                <w:szCs w:val="18"/>
              </w:rPr>
            </w:pPr>
            <w:r w:rsidRPr="002C21B8">
              <w:rPr>
                <w:sz w:val="18"/>
                <w:szCs w:val="18"/>
              </w:rPr>
              <w:t>To establish whether prescribing is currently constrained by limits.</w:t>
            </w:r>
          </w:p>
        </w:tc>
      </w:tr>
      <w:tr w:rsidR="00B70E6A" w:rsidRPr="002C21B8" w14:paraId="21DB88C6" w14:textId="77777777" w:rsidTr="002878DB">
        <w:tc>
          <w:tcPr>
            <w:tcW w:w="318" w:type="dxa"/>
            <w:vMerge/>
          </w:tcPr>
          <w:p w14:paraId="2331C778" w14:textId="77777777" w:rsidR="00B70E6A" w:rsidRPr="002C21B8" w:rsidRDefault="00B70E6A" w:rsidP="003223A7">
            <w:pPr>
              <w:spacing w:after="120" w:line="240" w:lineRule="auto"/>
              <w:jc w:val="left"/>
              <w:rPr>
                <w:sz w:val="18"/>
                <w:szCs w:val="18"/>
              </w:rPr>
            </w:pPr>
          </w:p>
        </w:tc>
        <w:tc>
          <w:tcPr>
            <w:tcW w:w="1945" w:type="dxa"/>
            <w:vMerge/>
          </w:tcPr>
          <w:p w14:paraId="47BDFB91" w14:textId="77777777" w:rsidR="00B70E6A" w:rsidRPr="002C21B8" w:rsidRDefault="00B70E6A" w:rsidP="003223A7">
            <w:pPr>
              <w:spacing w:after="120" w:line="240" w:lineRule="auto"/>
              <w:jc w:val="left"/>
              <w:rPr>
                <w:sz w:val="18"/>
                <w:szCs w:val="18"/>
              </w:rPr>
            </w:pPr>
          </w:p>
        </w:tc>
        <w:tc>
          <w:tcPr>
            <w:tcW w:w="6518" w:type="dxa"/>
          </w:tcPr>
          <w:p w14:paraId="5E68D39F" w14:textId="568AE1A5"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7</w:t>
            </w:r>
            <w:r w:rsidRPr="002C21B8">
              <w:rPr>
                <w:sz w:val="18"/>
                <w:szCs w:val="18"/>
              </w:rPr>
              <w:t>. Was your centre a recruiting centre for any of the randomised controlled trials for tolvaptan?</w:t>
            </w:r>
          </w:p>
        </w:tc>
        <w:tc>
          <w:tcPr>
            <w:tcW w:w="1987" w:type="dxa"/>
          </w:tcPr>
          <w:p w14:paraId="768B74D1"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5F0D7201" w14:textId="77777777" w:rsidR="00B70E6A" w:rsidRPr="002C21B8" w:rsidRDefault="00B70E6A" w:rsidP="003223A7">
            <w:pPr>
              <w:spacing w:after="120" w:line="240" w:lineRule="auto"/>
              <w:jc w:val="left"/>
              <w:rPr>
                <w:sz w:val="18"/>
                <w:szCs w:val="18"/>
              </w:rPr>
            </w:pPr>
            <w:r w:rsidRPr="002C21B8">
              <w:rPr>
                <w:sz w:val="18"/>
                <w:szCs w:val="18"/>
              </w:rPr>
              <w:t>To see if research participation influences practice.</w:t>
            </w:r>
          </w:p>
        </w:tc>
      </w:tr>
      <w:tr w:rsidR="00B70E6A" w:rsidRPr="002C21B8" w14:paraId="09ED368C" w14:textId="77777777" w:rsidTr="002878DB">
        <w:tc>
          <w:tcPr>
            <w:tcW w:w="318" w:type="dxa"/>
            <w:vMerge/>
          </w:tcPr>
          <w:p w14:paraId="7E1AE9CB" w14:textId="77777777" w:rsidR="00B70E6A" w:rsidRPr="002C21B8" w:rsidRDefault="00B70E6A" w:rsidP="003223A7">
            <w:pPr>
              <w:spacing w:after="120" w:line="240" w:lineRule="auto"/>
              <w:jc w:val="left"/>
              <w:rPr>
                <w:sz w:val="18"/>
                <w:szCs w:val="18"/>
              </w:rPr>
            </w:pPr>
          </w:p>
        </w:tc>
        <w:tc>
          <w:tcPr>
            <w:tcW w:w="1945" w:type="dxa"/>
            <w:vMerge/>
          </w:tcPr>
          <w:p w14:paraId="69881717" w14:textId="77777777" w:rsidR="00B70E6A" w:rsidRPr="002C21B8" w:rsidRDefault="00B70E6A" w:rsidP="003223A7">
            <w:pPr>
              <w:spacing w:after="120" w:line="240" w:lineRule="auto"/>
              <w:jc w:val="left"/>
              <w:rPr>
                <w:sz w:val="18"/>
                <w:szCs w:val="18"/>
              </w:rPr>
            </w:pPr>
          </w:p>
        </w:tc>
        <w:tc>
          <w:tcPr>
            <w:tcW w:w="6518" w:type="dxa"/>
          </w:tcPr>
          <w:p w14:paraId="24EAC16C" w14:textId="682F1EC8"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8</w:t>
            </w:r>
            <w:r w:rsidRPr="002C21B8">
              <w:rPr>
                <w:sz w:val="18"/>
                <w:szCs w:val="18"/>
              </w:rPr>
              <w:t>. Does your centre conduct local audits or service evaluations related to tolvaptan prescribing for ADPKD?</w:t>
            </w:r>
          </w:p>
        </w:tc>
        <w:tc>
          <w:tcPr>
            <w:tcW w:w="1987" w:type="dxa"/>
          </w:tcPr>
          <w:p w14:paraId="5D0B0D92"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0C1482DE" w14:textId="77777777" w:rsidR="00B70E6A" w:rsidRPr="002C21B8" w:rsidRDefault="00B70E6A" w:rsidP="003223A7">
            <w:pPr>
              <w:spacing w:after="120" w:line="240" w:lineRule="auto"/>
              <w:jc w:val="left"/>
              <w:rPr>
                <w:sz w:val="18"/>
                <w:szCs w:val="18"/>
              </w:rPr>
            </w:pPr>
            <w:r w:rsidRPr="002C21B8">
              <w:rPr>
                <w:sz w:val="18"/>
                <w:szCs w:val="18"/>
              </w:rPr>
              <w:t>To identify quality improvement activities related to prescribing.</w:t>
            </w:r>
          </w:p>
        </w:tc>
      </w:tr>
      <w:tr w:rsidR="00B70E6A" w:rsidRPr="002C21B8" w14:paraId="451F367C" w14:textId="77777777" w:rsidTr="002878DB">
        <w:trPr>
          <w:cantSplit/>
        </w:trPr>
        <w:tc>
          <w:tcPr>
            <w:tcW w:w="318" w:type="dxa"/>
            <w:vMerge w:val="restart"/>
          </w:tcPr>
          <w:p w14:paraId="6C525FAA" w14:textId="77777777" w:rsidR="00B70E6A" w:rsidRPr="002C21B8" w:rsidRDefault="00B70E6A" w:rsidP="003223A7">
            <w:pPr>
              <w:spacing w:after="120" w:line="240" w:lineRule="auto"/>
              <w:jc w:val="left"/>
              <w:rPr>
                <w:sz w:val="18"/>
                <w:szCs w:val="18"/>
              </w:rPr>
            </w:pPr>
            <w:r w:rsidRPr="002C21B8">
              <w:rPr>
                <w:sz w:val="18"/>
                <w:szCs w:val="18"/>
              </w:rPr>
              <w:t>2</w:t>
            </w:r>
          </w:p>
        </w:tc>
        <w:tc>
          <w:tcPr>
            <w:tcW w:w="1945" w:type="dxa"/>
            <w:vMerge w:val="restart"/>
          </w:tcPr>
          <w:p w14:paraId="2F2CEF8D" w14:textId="77777777" w:rsidR="00B70E6A" w:rsidRPr="002C21B8" w:rsidRDefault="00B70E6A" w:rsidP="003223A7">
            <w:pPr>
              <w:spacing w:after="120" w:line="240" w:lineRule="auto"/>
              <w:jc w:val="left"/>
              <w:rPr>
                <w:sz w:val="18"/>
                <w:szCs w:val="18"/>
              </w:rPr>
            </w:pPr>
            <w:r w:rsidRPr="002C21B8">
              <w:rPr>
                <w:sz w:val="18"/>
                <w:szCs w:val="18"/>
              </w:rPr>
              <w:t xml:space="preserve">Tolvaptan treatment pathways and decision-making at </w:t>
            </w:r>
            <w:r w:rsidRPr="002C21B8">
              <w:rPr>
                <w:sz w:val="18"/>
                <w:szCs w:val="18"/>
                <w:u w:val="single"/>
              </w:rPr>
              <w:t>your centre</w:t>
            </w:r>
          </w:p>
        </w:tc>
        <w:tc>
          <w:tcPr>
            <w:tcW w:w="6518" w:type="dxa"/>
          </w:tcPr>
          <w:p w14:paraId="69EEB230" w14:textId="4D9CCAB2"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9</w:t>
            </w:r>
            <w:r w:rsidRPr="002C21B8">
              <w:rPr>
                <w:sz w:val="18"/>
                <w:szCs w:val="18"/>
              </w:rPr>
              <w:t xml:space="preserve">. Who is involved in the tolvaptan treatment pathway at your centre? (includes all stages from eligibility assessment to monitoring) </w:t>
            </w:r>
          </w:p>
        </w:tc>
        <w:tc>
          <w:tcPr>
            <w:tcW w:w="1987" w:type="dxa"/>
          </w:tcPr>
          <w:p w14:paraId="0536BD99"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3116" w:type="dxa"/>
          </w:tcPr>
          <w:p w14:paraId="2014481D" w14:textId="1D908A0F" w:rsidR="00B70E6A" w:rsidRPr="002C21B8" w:rsidRDefault="00B70E6A" w:rsidP="003223A7">
            <w:pPr>
              <w:spacing w:after="120" w:line="240" w:lineRule="auto"/>
              <w:jc w:val="left"/>
              <w:rPr>
                <w:sz w:val="18"/>
                <w:szCs w:val="18"/>
              </w:rPr>
            </w:pPr>
            <w:r w:rsidRPr="002C21B8">
              <w:rPr>
                <w:sz w:val="18"/>
                <w:szCs w:val="18"/>
              </w:rPr>
              <w:t xml:space="preserve">To </w:t>
            </w:r>
            <w:r w:rsidR="008F3997" w:rsidRPr="002C21B8">
              <w:rPr>
                <w:sz w:val="18"/>
                <w:szCs w:val="18"/>
              </w:rPr>
              <w:t>identify</w:t>
            </w:r>
            <w:r w:rsidRPr="002C21B8">
              <w:rPr>
                <w:sz w:val="18"/>
                <w:szCs w:val="18"/>
              </w:rPr>
              <w:t xml:space="preserve"> </w:t>
            </w:r>
            <w:r w:rsidR="008F3997" w:rsidRPr="002C21B8">
              <w:rPr>
                <w:sz w:val="18"/>
                <w:szCs w:val="18"/>
              </w:rPr>
              <w:t xml:space="preserve">the relevant </w:t>
            </w:r>
            <w:r w:rsidRPr="002C21B8">
              <w:rPr>
                <w:sz w:val="18"/>
                <w:szCs w:val="18"/>
              </w:rPr>
              <w:t>workforce roles across eligibility assessment, initiation, and monitoring.</w:t>
            </w:r>
          </w:p>
        </w:tc>
      </w:tr>
      <w:tr w:rsidR="00B70E6A" w:rsidRPr="002C21B8" w14:paraId="0D5D51A4" w14:textId="77777777" w:rsidTr="002878DB">
        <w:tc>
          <w:tcPr>
            <w:tcW w:w="318" w:type="dxa"/>
            <w:vMerge/>
          </w:tcPr>
          <w:p w14:paraId="597A047E" w14:textId="77777777" w:rsidR="00B70E6A" w:rsidRPr="002C21B8" w:rsidRDefault="00B70E6A" w:rsidP="003223A7">
            <w:pPr>
              <w:spacing w:after="120" w:line="240" w:lineRule="auto"/>
              <w:jc w:val="left"/>
              <w:rPr>
                <w:sz w:val="18"/>
                <w:szCs w:val="18"/>
              </w:rPr>
            </w:pPr>
          </w:p>
        </w:tc>
        <w:tc>
          <w:tcPr>
            <w:tcW w:w="1945" w:type="dxa"/>
            <w:vMerge/>
          </w:tcPr>
          <w:p w14:paraId="390B409F" w14:textId="77777777" w:rsidR="00B70E6A" w:rsidRPr="002C21B8" w:rsidRDefault="00B70E6A" w:rsidP="003223A7">
            <w:pPr>
              <w:spacing w:after="120" w:line="240" w:lineRule="auto"/>
              <w:jc w:val="left"/>
              <w:rPr>
                <w:sz w:val="18"/>
                <w:szCs w:val="18"/>
              </w:rPr>
            </w:pPr>
          </w:p>
        </w:tc>
        <w:tc>
          <w:tcPr>
            <w:tcW w:w="6518" w:type="dxa"/>
          </w:tcPr>
          <w:p w14:paraId="7FBAEE59" w14:textId="4CD6B691"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10</w:t>
            </w:r>
            <w:r w:rsidRPr="002C21B8">
              <w:rPr>
                <w:sz w:val="18"/>
                <w:szCs w:val="18"/>
              </w:rPr>
              <w:t>. Where does the initial assessment of eligibility for tolvaptan take place at your centre?</w:t>
            </w:r>
          </w:p>
        </w:tc>
        <w:tc>
          <w:tcPr>
            <w:tcW w:w="1987" w:type="dxa"/>
          </w:tcPr>
          <w:p w14:paraId="4156BD53" w14:textId="77777777" w:rsidR="00B70E6A" w:rsidRPr="002C21B8" w:rsidRDefault="00B70E6A" w:rsidP="003223A7">
            <w:pPr>
              <w:spacing w:after="120" w:line="240" w:lineRule="auto"/>
              <w:jc w:val="left"/>
              <w:rPr>
                <w:sz w:val="18"/>
                <w:szCs w:val="18"/>
              </w:rPr>
            </w:pPr>
            <w:r w:rsidRPr="002C21B8">
              <w:rPr>
                <w:sz w:val="18"/>
                <w:szCs w:val="18"/>
              </w:rPr>
              <w:t>Closed (categorical, single/multiple choice)</w:t>
            </w:r>
          </w:p>
        </w:tc>
        <w:tc>
          <w:tcPr>
            <w:tcW w:w="3116" w:type="dxa"/>
          </w:tcPr>
          <w:p w14:paraId="37A9EFB2" w14:textId="77777777" w:rsidR="00B70E6A" w:rsidRPr="002C21B8" w:rsidRDefault="00B70E6A" w:rsidP="003223A7">
            <w:pPr>
              <w:spacing w:after="120" w:line="240" w:lineRule="auto"/>
              <w:jc w:val="left"/>
              <w:rPr>
                <w:sz w:val="18"/>
                <w:szCs w:val="18"/>
              </w:rPr>
            </w:pPr>
            <w:r w:rsidRPr="002C21B8">
              <w:rPr>
                <w:sz w:val="18"/>
                <w:szCs w:val="18"/>
              </w:rPr>
              <w:t>To understand variation in clinical settings for assessment.</w:t>
            </w:r>
          </w:p>
        </w:tc>
      </w:tr>
      <w:tr w:rsidR="00B70E6A" w:rsidRPr="002C21B8" w14:paraId="232BC5A1" w14:textId="77777777" w:rsidTr="002878DB">
        <w:tc>
          <w:tcPr>
            <w:tcW w:w="318" w:type="dxa"/>
            <w:vMerge/>
          </w:tcPr>
          <w:p w14:paraId="5011A91D" w14:textId="77777777" w:rsidR="00B70E6A" w:rsidRPr="002C21B8" w:rsidRDefault="00B70E6A" w:rsidP="003223A7">
            <w:pPr>
              <w:spacing w:after="120" w:line="240" w:lineRule="auto"/>
              <w:jc w:val="left"/>
              <w:rPr>
                <w:sz w:val="18"/>
                <w:szCs w:val="18"/>
              </w:rPr>
            </w:pPr>
          </w:p>
        </w:tc>
        <w:tc>
          <w:tcPr>
            <w:tcW w:w="1945" w:type="dxa"/>
            <w:vMerge/>
          </w:tcPr>
          <w:p w14:paraId="5091A1A3" w14:textId="77777777" w:rsidR="00B70E6A" w:rsidRPr="002C21B8" w:rsidRDefault="00B70E6A" w:rsidP="003223A7">
            <w:pPr>
              <w:spacing w:after="120" w:line="240" w:lineRule="auto"/>
              <w:jc w:val="left"/>
              <w:rPr>
                <w:sz w:val="18"/>
                <w:szCs w:val="18"/>
              </w:rPr>
            </w:pPr>
          </w:p>
        </w:tc>
        <w:tc>
          <w:tcPr>
            <w:tcW w:w="6518" w:type="dxa"/>
          </w:tcPr>
          <w:p w14:paraId="7DF2DDD3" w14:textId="736E12FA"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1</w:t>
            </w:r>
            <w:r w:rsidRPr="002C21B8">
              <w:rPr>
                <w:sz w:val="18"/>
                <w:szCs w:val="18"/>
              </w:rPr>
              <w:t>. How is the decision about eligibility for tolvaptan typically made in your centre?</w:t>
            </w:r>
          </w:p>
        </w:tc>
        <w:tc>
          <w:tcPr>
            <w:tcW w:w="1987" w:type="dxa"/>
          </w:tcPr>
          <w:p w14:paraId="6934F244"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2F3F1C41" w14:textId="77777777" w:rsidR="00B70E6A" w:rsidRPr="002C21B8" w:rsidRDefault="00B70E6A" w:rsidP="003223A7">
            <w:pPr>
              <w:spacing w:after="120" w:line="240" w:lineRule="auto"/>
              <w:jc w:val="left"/>
              <w:rPr>
                <w:sz w:val="18"/>
                <w:szCs w:val="18"/>
              </w:rPr>
            </w:pPr>
            <w:r w:rsidRPr="002C21B8">
              <w:rPr>
                <w:sz w:val="18"/>
                <w:szCs w:val="18"/>
              </w:rPr>
              <w:t>To assess whether decisions are made individually or via MDT.</w:t>
            </w:r>
          </w:p>
        </w:tc>
      </w:tr>
      <w:tr w:rsidR="00B70E6A" w:rsidRPr="002C21B8" w14:paraId="1685230E" w14:textId="77777777" w:rsidTr="002878DB">
        <w:tc>
          <w:tcPr>
            <w:tcW w:w="318" w:type="dxa"/>
            <w:vMerge/>
          </w:tcPr>
          <w:p w14:paraId="6149670F" w14:textId="77777777" w:rsidR="00B70E6A" w:rsidRPr="002C21B8" w:rsidRDefault="00B70E6A" w:rsidP="003223A7">
            <w:pPr>
              <w:spacing w:after="120" w:line="240" w:lineRule="auto"/>
              <w:jc w:val="left"/>
              <w:rPr>
                <w:sz w:val="18"/>
                <w:szCs w:val="18"/>
              </w:rPr>
            </w:pPr>
          </w:p>
        </w:tc>
        <w:tc>
          <w:tcPr>
            <w:tcW w:w="1945" w:type="dxa"/>
            <w:vMerge/>
          </w:tcPr>
          <w:p w14:paraId="5803A5C8" w14:textId="77777777" w:rsidR="00B70E6A" w:rsidRPr="002C21B8" w:rsidRDefault="00B70E6A" w:rsidP="003223A7">
            <w:pPr>
              <w:spacing w:after="120" w:line="240" w:lineRule="auto"/>
              <w:jc w:val="left"/>
              <w:rPr>
                <w:sz w:val="18"/>
                <w:szCs w:val="18"/>
              </w:rPr>
            </w:pPr>
          </w:p>
        </w:tc>
        <w:tc>
          <w:tcPr>
            <w:tcW w:w="6518" w:type="dxa"/>
          </w:tcPr>
          <w:p w14:paraId="1EFBC2C0" w14:textId="49115F66"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2</w:t>
            </w:r>
            <w:r w:rsidRPr="002C21B8">
              <w:rPr>
                <w:sz w:val="18"/>
                <w:szCs w:val="18"/>
              </w:rPr>
              <w:t>. Who is primarily responsible for determining eligibility for tolvaptan at your centre?</w:t>
            </w:r>
          </w:p>
        </w:tc>
        <w:tc>
          <w:tcPr>
            <w:tcW w:w="1987" w:type="dxa"/>
          </w:tcPr>
          <w:p w14:paraId="3B6AF21A"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3116" w:type="dxa"/>
          </w:tcPr>
          <w:p w14:paraId="10D6ABAF" w14:textId="77777777" w:rsidR="00B70E6A" w:rsidRPr="002C21B8" w:rsidRDefault="00B70E6A" w:rsidP="003223A7">
            <w:pPr>
              <w:spacing w:after="120" w:line="240" w:lineRule="auto"/>
              <w:jc w:val="left"/>
              <w:rPr>
                <w:sz w:val="18"/>
                <w:szCs w:val="18"/>
              </w:rPr>
            </w:pPr>
            <w:r w:rsidRPr="002C21B8">
              <w:rPr>
                <w:sz w:val="18"/>
                <w:szCs w:val="18"/>
              </w:rPr>
              <w:t>To identify main clinical roles in eligibility assessment.</w:t>
            </w:r>
          </w:p>
        </w:tc>
      </w:tr>
      <w:tr w:rsidR="00B70E6A" w:rsidRPr="002C21B8" w14:paraId="313F34EF" w14:textId="77777777" w:rsidTr="002878DB">
        <w:tc>
          <w:tcPr>
            <w:tcW w:w="318" w:type="dxa"/>
            <w:vMerge/>
          </w:tcPr>
          <w:p w14:paraId="0C9E98B2" w14:textId="77777777" w:rsidR="00B70E6A" w:rsidRPr="002C21B8" w:rsidRDefault="00B70E6A" w:rsidP="003223A7">
            <w:pPr>
              <w:spacing w:after="120" w:line="240" w:lineRule="auto"/>
              <w:jc w:val="left"/>
              <w:rPr>
                <w:sz w:val="18"/>
                <w:szCs w:val="18"/>
              </w:rPr>
            </w:pPr>
          </w:p>
        </w:tc>
        <w:tc>
          <w:tcPr>
            <w:tcW w:w="1945" w:type="dxa"/>
            <w:vMerge/>
          </w:tcPr>
          <w:p w14:paraId="3B549884" w14:textId="77777777" w:rsidR="00B70E6A" w:rsidRPr="002C21B8" w:rsidRDefault="00B70E6A" w:rsidP="003223A7">
            <w:pPr>
              <w:spacing w:after="120" w:line="240" w:lineRule="auto"/>
              <w:jc w:val="left"/>
              <w:rPr>
                <w:sz w:val="18"/>
                <w:szCs w:val="18"/>
              </w:rPr>
            </w:pPr>
          </w:p>
        </w:tc>
        <w:tc>
          <w:tcPr>
            <w:tcW w:w="6518" w:type="dxa"/>
          </w:tcPr>
          <w:p w14:paraId="376BCE1B" w14:textId="361FDE02"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3</w:t>
            </w:r>
            <w:r w:rsidRPr="002C21B8">
              <w:rPr>
                <w:sz w:val="18"/>
                <w:szCs w:val="18"/>
              </w:rPr>
              <w:t>. If patients are determined to be eligible, where is tolvaptan initiated at your centre?</w:t>
            </w:r>
          </w:p>
        </w:tc>
        <w:tc>
          <w:tcPr>
            <w:tcW w:w="1987" w:type="dxa"/>
          </w:tcPr>
          <w:p w14:paraId="3DCEA698" w14:textId="77777777" w:rsidR="00B70E6A" w:rsidRPr="002C21B8" w:rsidRDefault="00B70E6A" w:rsidP="003223A7">
            <w:pPr>
              <w:spacing w:after="120" w:line="240" w:lineRule="auto"/>
              <w:jc w:val="left"/>
              <w:rPr>
                <w:sz w:val="18"/>
                <w:szCs w:val="18"/>
              </w:rPr>
            </w:pPr>
            <w:r w:rsidRPr="002C21B8">
              <w:rPr>
                <w:sz w:val="18"/>
                <w:szCs w:val="18"/>
              </w:rPr>
              <w:t>Closed (categorical, single/multiple choice)</w:t>
            </w:r>
          </w:p>
        </w:tc>
        <w:tc>
          <w:tcPr>
            <w:tcW w:w="3116" w:type="dxa"/>
          </w:tcPr>
          <w:p w14:paraId="3BD9E551" w14:textId="77777777" w:rsidR="00B70E6A" w:rsidRPr="002C21B8" w:rsidRDefault="00B70E6A" w:rsidP="003223A7">
            <w:pPr>
              <w:spacing w:after="120" w:line="240" w:lineRule="auto"/>
              <w:jc w:val="left"/>
              <w:rPr>
                <w:sz w:val="18"/>
                <w:szCs w:val="18"/>
              </w:rPr>
            </w:pPr>
            <w:r w:rsidRPr="002C21B8">
              <w:rPr>
                <w:sz w:val="18"/>
                <w:szCs w:val="18"/>
              </w:rPr>
              <w:t>To understand service pathways for treatment initiation.</w:t>
            </w:r>
          </w:p>
        </w:tc>
      </w:tr>
      <w:tr w:rsidR="00B70E6A" w:rsidRPr="002C21B8" w14:paraId="54209AA2" w14:textId="77777777" w:rsidTr="002878DB">
        <w:tc>
          <w:tcPr>
            <w:tcW w:w="318" w:type="dxa"/>
            <w:vMerge/>
          </w:tcPr>
          <w:p w14:paraId="60DE8CDD" w14:textId="77777777" w:rsidR="00B70E6A" w:rsidRPr="002C21B8" w:rsidRDefault="00B70E6A" w:rsidP="003223A7">
            <w:pPr>
              <w:spacing w:after="120" w:line="240" w:lineRule="auto"/>
              <w:jc w:val="left"/>
              <w:rPr>
                <w:sz w:val="18"/>
                <w:szCs w:val="18"/>
              </w:rPr>
            </w:pPr>
          </w:p>
        </w:tc>
        <w:tc>
          <w:tcPr>
            <w:tcW w:w="1945" w:type="dxa"/>
            <w:vMerge/>
          </w:tcPr>
          <w:p w14:paraId="54CEE488" w14:textId="77777777" w:rsidR="00B70E6A" w:rsidRPr="002C21B8" w:rsidRDefault="00B70E6A" w:rsidP="003223A7">
            <w:pPr>
              <w:spacing w:after="120" w:line="240" w:lineRule="auto"/>
              <w:jc w:val="left"/>
              <w:rPr>
                <w:sz w:val="18"/>
                <w:szCs w:val="18"/>
              </w:rPr>
            </w:pPr>
          </w:p>
        </w:tc>
        <w:tc>
          <w:tcPr>
            <w:tcW w:w="6518" w:type="dxa"/>
          </w:tcPr>
          <w:p w14:paraId="202224FA" w14:textId="09845358"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4</w:t>
            </w:r>
            <w:r w:rsidRPr="002C21B8">
              <w:rPr>
                <w:sz w:val="18"/>
                <w:szCs w:val="18"/>
              </w:rPr>
              <w:t>. To the best of your knowledge, what is the typical time between a patient being assessed as eligible for Tolvaptan and initiated on treatment at your centre?</w:t>
            </w:r>
          </w:p>
        </w:tc>
        <w:tc>
          <w:tcPr>
            <w:tcW w:w="1987" w:type="dxa"/>
          </w:tcPr>
          <w:p w14:paraId="58F1500E"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3116" w:type="dxa"/>
          </w:tcPr>
          <w:p w14:paraId="3C98FCA2" w14:textId="6410743F" w:rsidR="00B70E6A" w:rsidRPr="002C21B8" w:rsidRDefault="00B70E6A" w:rsidP="003223A7">
            <w:pPr>
              <w:spacing w:after="120" w:line="240" w:lineRule="auto"/>
              <w:jc w:val="left"/>
              <w:rPr>
                <w:sz w:val="18"/>
                <w:szCs w:val="18"/>
              </w:rPr>
            </w:pPr>
            <w:r w:rsidRPr="002C21B8">
              <w:rPr>
                <w:sz w:val="18"/>
                <w:szCs w:val="18"/>
              </w:rPr>
              <w:t xml:space="preserve">To </w:t>
            </w:r>
            <w:r w:rsidR="008F3997" w:rsidRPr="002C21B8">
              <w:rPr>
                <w:sz w:val="18"/>
                <w:szCs w:val="18"/>
              </w:rPr>
              <w:t>explore</w:t>
            </w:r>
            <w:r w:rsidRPr="002C21B8">
              <w:rPr>
                <w:sz w:val="18"/>
                <w:szCs w:val="18"/>
              </w:rPr>
              <w:t xml:space="preserve"> potential delays between assessment and treatment.</w:t>
            </w:r>
          </w:p>
        </w:tc>
      </w:tr>
      <w:tr w:rsidR="00B70E6A" w:rsidRPr="002C21B8" w14:paraId="1330CCBE" w14:textId="77777777" w:rsidTr="002878DB">
        <w:tc>
          <w:tcPr>
            <w:tcW w:w="318" w:type="dxa"/>
            <w:vMerge/>
          </w:tcPr>
          <w:p w14:paraId="01D91325" w14:textId="77777777" w:rsidR="00B70E6A" w:rsidRPr="002C21B8" w:rsidRDefault="00B70E6A" w:rsidP="003223A7">
            <w:pPr>
              <w:spacing w:after="120" w:line="240" w:lineRule="auto"/>
              <w:jc w:val="left"/>
              <w:rPr>
                <w:sz w:val="18"/>
                <w:szCs w:val="18"/>
              </w:rPr>
            </w:pPr>
          </w:p>
        </w:tc>
        <w:tc>
          <w:tcPr>
            <w:tcW w:w="1945" w:type="dxa"/>
            <w:vMerge/>
          </w:tcPr>
          <w:p w14:paraId="7FC02131" w14:textId="77777777" w:rsidR="00B70E6A" w:rsidRPr="002C21B8" w:rsidRDefault="00B70E6A" w:rsidP="003223A7">
            <w:pPr>
              <w:spacing w:after="120" w:line="240" w:lineRule="auto"/>
              <w:jc w:val="left"/>
              <w:rPr>
                <w:sz w:val="18"/>
                <w:szCs w:val="18"/>
              </w:rPr>
            </w:pPr>
          </w:p>
        </w:tc>
        <w:tc>
          <w:tcPr>
            <w:tcW w:w="6518" w:type="dxa"/>
          </w:tcPr>
          <w:p w14:paraId="08C66232" w14:textId="6315C111"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5</w:t>
            </w:r>
            <w:r w:rsidRPr="002C21B8">
              <w:rPr>
                <w:sz w:val="18"/>
                <w:szCs w:val="18"/>
              </w:rPr>
              <w:t>. What factors most commonly influence this timing at your centre?</w:t>
            </w:r>
          </w:p>
        </w:tc>
        <w:tc>
          <w:tcPr>
            <w:tcW w:w="1987" w:type="dxa"/>
          </w:tcPr>
          <w:p w14:paraId="3DB1D947"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3116" w:type="dxa"/>
          </w:tcPr>
          <w:p w14:paraId="6AE94CB6" w14:textId="77777777" w:rsidR="00B70E6A" w:rsidRPr="002C21B8" w:rsidRDefault="00B70E6A" w:rsidP="003223A7">
            <w:pPr>
              <w:spacing w:after="120" w:line="240" w:lineRule="auto"/>
              <w:jc w:val="left"/>
              <w:rPr>
                <w:sz w:val="18"/>
                <w:szCs w:val="18"/>
              </w:rPr>
            </w:pPr>
            <w:r w:rsidRPr="002C21B8">
              <w:rPr>
                <w:sz w:val="18"/>
                <w:szCs w:val="18"/>
              </w:rPr>
              <w:t>To identify barriers (service, patient, administrative).</w:t>
            </w:r>
          </w:p>
        </w:tc>
      </w:tr>
      <w:tr w:rsidR="00B70E6A" w:rsidRPr="002C21B8" w14:paraId="0123E42F" w14:textId="77777777" w:rsidTr="002878DB">
        <w:tc>
          <w:tcPr>
            <w:tcW w:w="318" w:type="dxa"/>
            <w:vMerge/>
          </w:tcPr>
          <w:p w14:paraId="522B5AC8" w14:textId="77777777" w:rsidR="00B70E6A" w:rsidRPr="002C21B8" w:rsidRDefault="00B70E6A" w:rsidP="003223A7">
            <w:pPr>
              <w:spacing w:after="120" w:line="240" w:lineRule="auto"/>
              <w:jc w:val="left"/>
              <w:rPr>
                <w:sz w:val="18"/>
                <w:szCs w:val="18"/>
              </w:rPr>
            </w:pPr>
          </w:p>
        </w:tc>
        <w:tc>
          <w:tcPr>
            <w:tcW w:w="1945" w:type="dxa"/>
            <w:vMerge/>
          </w:tcPr>
          <w:p w14:paraId="6446889D" w14:textId="77777777" w:rsidR="00B70E6A" w:rsidRPr="002C21B8" w:rsidRDefault="00B70E6A" w:rsidP="003223A7">
            <w:pPr>
              <w:spacing w:after="120" w:line="240" w:lineRule="auto"/>
              <w:jc w:val="left"/>
              <w:rPr>
                <w:sz w:val="18"/>
                <w:szCs w:val="18"/>
              </w:rPr>
            </w:pPr>
          </w:p>
        </w:tc>
        <w:tc>
          <w:tcPr>
            <w:tcW w:w="6518" w:type="dxa"/>
          </w:tcPr>
          <w:p w14:paraId="00F3E6B3" w14:textId="19F78CBF"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6</w:t>
            </w:r>
            <w:r w:rsidRPr="002C21B8">
              <w:rPr>
                <w:sz w:val="18"/>
                <w:szCs w:val="18"/>
              </w:rPr>
              <w:t>. Who is primarily responsible for monitoring people with ADPKD whilst they are on Tolvaptan at your centre?</w:t>
            </w:r>
          </w:p>
        </w:tc>
        <w:tc>
          <w:tcPr>
            <w:tcW w:w="1987" w:type="dxa"/>
          </w:tcPr>
          <w:p w14:paraId="27E61794"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3116" w:type="dxa"/>
          </w:tcPr>
          <w:p w14:paraId="4123453C" w14:textId="23487EBC" w:rsidR="00B70E6A" w:rsidRPr="002C21B8" w:rsidRDefault="00B70E6A" w:rsidP="003223A7">
            <w:pPr>
              <w:spacing w:after="120" w:line="240" w:lineRule="auto"/>
              <w:jc w:val="left"/>
              <w:rPr>
                <w:sz w:val="18"/>
                <w:szCs w:val="18"/>
              </w:rPr>
            </w:pPr>
            <w:r w:rsidRPr="002C21B8">
              <w:rPr>
                <w:sz w:val="18"/>
                <w:szCs w:val="18"/>
              </w:rPr>
              <w:t xml:space="preserve">To </w:t>
            </w:r>
            <w:r w:rsidR="008F3997" w:rsidRPr="002C21B8">
              <w:rPr>
                <w:sz w:val="18"/>
                <w:szCs w:val="18"/>
              </w:rPr>
              <w:t>explore</w:t>
            </w:r>
            <w:r w:rsidRPr="002C21B8">
              <w:rPr>
                <w:sz w:val="18"/>
                <w:szCs w:val="18"/>
              </w:rPr>
              <w:t xml:space="preserve"> variation in responsibility for monitoring.</w:t>
            </w:r>
          </w:p>
        </w:tc>
      </w:tr>
      <w:tr w:rsidR="00B70E6A" w:rsidRPr="002C21B8" w14:paraId="37877752" w14:textId="77777777" w:rsidTr="002878DB">
        <w:tc>
          <w:tcPr>
            <w:tcW w:w="318" w:type="dxa"/>
            <w:vMerge/>
          </w:tcPr>
          <w:p w14:paraId="58F57E9E" w14:textId="77777777" w:rsidR="00B70E6A" w:rsidRPr="002C21B8" w:rsidRDefault="00B70E6A" w:rsidP="003223A7">
            <w:pPr>
              <w:spacing w:after="120" w:line="240" w:lineRule="auto"/>
              <w:jc w:val="left"/>
              <w:rPr>
                <w:sz w:val="18"/>
                <w:szCs w:val="18"/>
              </w:rPr>
            </w:pPr>
          </w:p>
        </w:tc>
        <w:tc>
          <w:tcPr>
            <w:tcW w:w="1945" w:type="dxa"/>
            <w:vMerge/>
          </w:tcPr>
          <w:p w14:paraId="5D075F4B" w14:textId="77777777" w:rsidR="00B70E6A" w:rsidRPr="002C21B8" w:rsidRDefault="00B70E6A" w:rsidP="003223A7">
            <w:pPr>
              <w:spacing w:after="120" w:line="240" w:lineRule="auto"/>
              <w:jc w:val="left"/>
              <w:rPr>
                <w:sz w:val="18"/>
                <w:szCs w:val="18"/>
              </w:rPr>
            </w:pPr>
          </w:p>
        </w:tc>
        <w:tc>
          <w:tcPr>
            <w:tcW w:w="6518" w:type="dxa"/>
          </w:tcPr>
          <w:p w14:paraId="7EDFBB20" w14:textId="364C17FE"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7</w:t>
            </w:r>
            <w:r w:rsidRPr="002C21B8">
              <w:rPr>
                <w:sz w:val="18"/>
                <w:szCs w:val="18"/>
              </w:rPr>
              <w:t>. If patients are determined to be eligible, where are people on tolvaptan monitored at your centre?</w:t>
            </w:r>
          </w:p>
        </w:tc>
        <w:tc>
          <w:tcPr>
            <w:tcW w:w="1987" w:type="dxa"/>
          </w:tcPr>
          <w:p w14:paraId="681AB6A1" w14:textId="77777777" w:rsidR="00B70E6A" w:rsidRPr="002C21B8" w:rsidRDefault="00B70E6A" w:rsidP="003223A7">
            <w:pPr>
              <w:spacing w:after="120" w:line="240" w:lineRule="auto"/>
              <w:jc w:val="left"/>
              <w:rPr>
                <w:sz w:val="18"/>
                <w:szCs w:val="18"/>
              </w:rPr>
            </w:pPr>
            <w:r w:rsidRPr="002C21B8">
              <w:rPr>
                <w:sz w:val="18"/>
                <w:szCs w:val="18"/>
              </w:rPr>
              <w:t>Closed (categorical, single/multiple choice)</w:t>
            </w:r>
          </w:p>
        </w:tc>
        <w:tc>
          <w:tcPr>
            <w:tcW w:w="3116" w:type="dxa"/>
          </w:tcPr>
          <w:p w14:paraId="63DD3001" w14:textId="77777777" w:rsidR="00B70E6A" w:rsidRPr="002C21B8" w:rsidRDefault="00B70E6A" w:rsidP="003223A7">
            <w:pPr>
              <w:spacing w:after="120" w:line="240" w:lineRule="auto"/>
              <w:jc w:val="left"/>
              <w:rPr>
                <w:sz w:val="18"/>
                <w:szCs w:val="18"/>
              </w:rPr>
            </w:pPr>
            <w:r w:rsidRPr="002C21B8">
              <w:rPr>
                <w:sz w:val="18"/>
                <w:szCs w:val="18"/>
              </w:rPr>
              <w:t>To assess follow-up pathways across centres.</w:t>
            </w:r>
          </w:p>
        </w:tc>
      </w:tr>
      <w:tr w:rsidR="00B70E6A" w:rsidRPr="002C21B8" w14:paraId="0AEE8C00" w14:textId="77777777" w:rsidTr="002878DB">
        <w:tc>
          <w:tcPr>
            <w:tcW w:w="318" w:type="dxa"/>
            <w:vMerge/>
          </w:tcPr>
          <w:p w14:paraId="62F96046" w14:textId="77777777" w:rsidR="00B70E6A" w:rsidRPr="002C21B8" w:rsidRDefault="00B70E6A" w:rsidP="003223A7">
            <w:pPr>
              <w:spacing w:after="120" w:line="240" w:lineRule="auto"/>
              <w:jc w:val="left"/>
              <w:rPr>
                <w:sz w:val="18"/>
                <w:szCs w:val="18"/>
              </w:rPr>
            </w:pPr>
          </w:p>
        </w:tc>
        <w:tc>
          <w:tcPr>
            <w:tcW w:w="1945" w:type="dxa"/>
            <w:vMerge/>
          </w:tcPr>
          <w:p w14:paraId="13EF5551" w14:textId="77777777" w:rsidR="00B70E6A" w:rsidRPr="002C21B8" w:rsidRDefault="00B70E6A" w:rsidP="003223A7">
            <w:pPr>
              <w:spacing w:after="120" w:line="240" w:lineRule="auto"/>
              <w:jc w:val="left"/>
              <w:rPr>
                <w:sz w:val="18"/>
                <w:szCs w:val="18"/>
              </w:rPr>
            </w:pPr>
          </w:p>
        </w:tc>
        <w:tc>
          <w:tcPr>
            <w:tcW w:w="6518" w:type="dxa"/>
          </w:tcPr>
          <w:p w14:paraId="5FA8CFE1" w14:textId="7F7EA3D0" w:rsidR="00B70E6A" w:rsidRPr="002C21B8" w:rsidRDefault="00B70E6A" w:rsidP="003223A7">
            <w:pPr>
              <w:spacing w:after="120" w:line="240" w:lineRule="auto"/>
              <w:jc w:val="left"/>
              <w:rPr>
                <w:sz w:val="18"/>
                <w:szCs w:val="18"/>
              </w:rPr>
            </w:pPr>
            <w:r w:rsidRPr="002C21B8">
              <w:rPr>
                <w:sz w:val="18"/>
                <w:szCs w:val="18"/>
              </w:rPr>
              <w:t>Q1</w:t>
            </w:r>
            <w:r w:rsidR="00A44334" w:rsidRPr="002C21B8">
              <w:rPr>
                <w:sz w:val="18"/>
                <w:szCs w:val="18"/>
              </w:rPr>
              <w:t>7</w:t>
            </w:r>
            <w:r w:rsidRPr="002C21B8">
              <w:rPr>
                <w:sz w:val="18"/>
                <w:szCs w:val="18"/>
              </w:rPr>
              <w:t xml:space="preserve">a. Which year was the tolvaptan clinic introduced at your centre? </w:t>
            </w:r>
          </w:p>
        </w:tc>
        <w:tc>
          <w:tcPr>
            <w:tcW w:w="1987" w:type="dxa"/>
          </w:tcPr>
          <w:p w14:paraId="6A3BC134" w14:textId="77777777" w:rsidR="00B70E6A" w:rsidRPr="002C21B8" w:rsidRDefault="00B70E6A" w:rsidP="003223A7">
            <w:pPr>
              <w:spacing w:after="120" w:line="240" w:lineRule="auto"/>
              <w:jc w:val="left"/>
              <w:rPr>
                <w:sz w:val="18"/>
                <w:szCs w:val="18"/>
              </w:rPr>
            </w:pPr>
            <w:r w:rsidRPr="002C21B8">
              <w:rPr>
                <w:sz w:val="18"/>
                <w:szCs w:val="18"/>
              </w:rPr>
              <w:t>Open (free text)</w:t>
            </w:r>
          </w:p>
        </w:tc>
        <w:tc>
          <w:tcPr>
            <w:tcW w:w="3116" w:type="dxa"/>
          </w:tcPr>
          <w:p w14:paraId="116FD943" w14:textId="77777777" w:rsidR="00B70E6A" w:rsidRPr="002C21B8" w:rsidRDefault="00B70E6A" w:rsidP="003223A7">
            <w:pPr>
              <w:spacing w:after="120" w:line="240" w:lineRule="auto"/>
              <w:jc w:val="left"/>
              <w:rPr>
                <w:sz w:val="18"/>
                <w:szCs w:val="18"/>
              </w:rPr>
            </w:pPr>
            <w:r w:rsidRPr="002C21B8">
              <w:rPr>
                <w:sz w:val="18"/>
                <w:szCs w:val="18"/>
              </w:rPr>
              <w:t>To document when dedicated clinics were established.</w:t>
            </w:r>
          </w:p>
        </w:tc>
      </w:tr>
      <w:tr w:rsidR="00A44334" w:rsidRPr="002C21B8" w14:paraId="14E44A7E" w14:textId="77777777" w:rsidTr="002878DB">
        <w:tc>
          <w:tcPr>
            <w:tcW w:w="318" w:type="dxa"/>
            <w:vMerge w:val="restart"/>
          </w:tcPr>
          <w:p w14:paraId="7C7D995D" w14:textId="77777777" w:rsidR="00A44334" w:rsidRPr="002C21B8" w:rsidRDefault="00A44334" w:rsidP="003223A7">
            <w:pPr>
              <w:spacing w:after="120" w:line="240" w:lineRule="auto"/>
              <w:jc w:val="left"/>
              <w:rPr>
                <w:sz w:val="18"/>
                <w:szCs w:val="18"/>
              </w:rPr>
            </w:pPr>
            <w:r w:rsidRPr="002C21B8">
              <w:rPr>
                <w:sz w:val="18"/>
                <w:szCs w:val="18"/>
              </w:rPr>
              <w:t>3</w:t>
            </w:r>
          </w:p>
        </w:tc>
        <w:tc>
          <w:tcPr>
            <w:tcW w:w="1945" w:type="dxa"/>
            <w:vMerge w:val="restart"/>
          </w:tcPr>
          <w:p w14:paraId="79717BEB" w14:textId="77777777" w:rsidR="00A44334" w:rsidRPr="002C21B8" w:rsidRDefault="00A44334" w:rsidP="003223A7">
            <w:pPr>
              <w:spacing w:after="120" w:line="240" w:lineRule="auto"/>
              <w:jc w:val="left"/>
              <w:rPr>
                <w:sz w:val="18"/>
                <w:szCs w:val="18"/>
              </w:rPr>
            </w:pPr>
            <w:r w:rsidRPr="002C21B8">
              <w:rPr>
                <w:sz w:val="18"/>
                <w:szCs w:val="18"/>
              </w:rPr>
              <w:t>Surveillance imaging and genetic testing</w:t>
            </w:r>
          </w:p>
        </w:tc>
        <w:tc>
          <w:tcPr>
            <w:tcW w:w="6518" w:type="dxa"/>
          </w:tcPr>
          <w:p w14:paraId="11ABDF3C" w14:textId="3CBEDD93" w:rsidR="00A44334" w:rsidRPr="002C21B8" w:rsidRDefault="00A44334" w:rsidP="003223A7">
            <w:pPr>
              <w:spacing w:after="120" w:line="240" w:lineRule="auto"/>
              <w:jc w:val="left"/>
              <w:rPr>
                <w:sz w:val="18"/>
                <w:szCs w:val="18"/>
              </w:rPr>
            </w:pPr>
            <w:r w:rsidRPr="002C21B8">
              <w:rPr>
                <w:sz w:val="18"/>
                <w:szCs w:val="18"/>
              </w:rPr>
              <w:t>Q18. To the best of your knowledge, approximately what proportion of people with ADPKD at your centre have had magnetic resonance imaging (MRI) to determine kidney size/kidney volume?</w:t>
            </w:r>
          </w:p>
        </w:tc>
        <w:tc>
          <w:tcPr>
            <w:tcW w:w="1987" w:type="dxa"/>
          </w:tcPr>
          <w:p w14:paraId="099FB3D4" w14:textId="77777777" w:rsidR="00A44334" w:rsidRPr="002C21B8" w:rsidRDefault="00A44334" w:rsidP="003223A7">
            <w:pPr>
              <w:spacing w:after="120" w:line="240" w:lineRule="auto"/>
              <w:jc w:val="left"/>
              <w:rPr>
                <w:sz w:val="18"/>
                <w:szCs w:val="18"/>
              </w:rPr>
            </w:pPr>
            <w:r w:rsidRPr="002C21B8">
              <w:rPr>
                <w:sz w:val="18"/>
                <w:szCs w:val="18"/>
              </w:rPr>
              <w:t>Closed (categorical, single choice)</w:t>
            </w:r>
          </w:p>
        </w:tc>
        <w:tc>
          <w:tcPr>
            <w:tcW w:w="3116" w:type="dxa"/>
          </w:tcPr>
          <w:p w14:paraId="4EC273E0" w14:textId="77777777" w:rsidR="00A44334" w:rsidRPr="002C21B8" w:rsidRDefault="00A44334" w:rsidP="003223A7">
            <w:pPr>
              <w:spacing w:after="120" w:line="240" w:lineRule="auto"/>
              <w:jc w:val="left"/>
              <w:rPr>
                <w:sz w:val="18"/>
                <w:szCs w:val="18"/>
              </w:rPr>
            </w:pPr>
            <w:r w:rsidRPr="002C21B8">
              <w:rPr>
                <w:sz w:val="18"/>
                <w:szCs w:val="18"/>
              </w:rPr>
              <w:t>To assess uptake of imaging-based risk stratification.</w:t>
            </w:r>
          </w:p>
        </w:tc>
      </w:tr>
      <w:tr w:rsidR="00A44334" w:rsidRPr="002C21B8" w14:paraId="4FBED1A9" w14:textId="77777777" w:rsidTr="002878DB">
        <w:tc>
          <w:tcPr>
            <w:tcW w:w="318" w:type="dxa"/>
            <w:vMerge/>
          </w:tcPr>
          <w:p w14:paraId="150A8FC1" w14:textId="77777777" w:rsidR="00A44334" w:rsidRPr="002C21B8" w:rsidRDefault="00A44334" w:rsidP="003223A7">
            <w:pPr>
              <w:spacing w:after="120" w:line="240" w:lineRule="auto"/>
              <w:jc w:val="left"/>
              <w:rPr>
                <w:sz w:val="18"/>
                <w:szCs w:val="18"/>
              </w:rPr>
            </w:pPr>
          </w:p>
        </w:tc>
        <w:tc>
          <w:tcPr>
            <w:tcW w:w="1945" w:type="dxa"/>
            <w:vMerge/>
          </w:tcPr>
          <w:p w14:paraId="513999A2" w14:textId="77777777" w:rsidR="00A44334" w:rsidRPr="002C21B8" w:rsidRDefault="00A44334" w:rsidP="003223A7">
            <w:pPr>
              <w:spacing w:after="120" w:line="240" w:lineRule="auto"/>
              <w:jc w:val="left"/>
              <w:rPr>
                <w:sz w:val="18"/>
                <w:szCs w:val="18"/>
              </w:rPr>
            </w:pPr>
          </w:p>
        </w:tc>
        <w:tc>
          <w:tcPr>
            <w:tcW w:w="6518" w:type="dxa"/>
          </w:tcPr>
          <w:p w14:paraId="29C7B05F" w14:textId="2018961F" w:rsidR="00A44334" w:rsidRPr="002C21B8" w:rsidRDefault="00A44334" w:rsidP="003223A7">
            <w:pPr>
              <w:spacing w:after="120" w:line="240" w:lineRule="auto"/>
              <w:jc w:val="left"/>
              <w:rPr>
                <w:sz w:val="18"/>
                <w:szCs w:val="18"/>
              </w:rPr>
            </w:pPr>
            <w:r w:rsidRPr="002C21B8">
              <w:rPr>
                <w:sz w:val="18"/>
                <w:szCs w:val="18"/>
              </w:rPr>
              <w:t>Q19. Do you routinely repeat MRI of kidneys after people with ADPKD have been diagnosed?</w:t>
            </w:r>
          </w:p>
        </w:tc>
        <w:tc>
          <w:tcPr>
            <w:tcW w:w="1987" w:type="dxa"/>
          </w:tcPr>
          <w:p w14:paraId="6CC60227" w14:textId="77777777" w:rsidR="00A44334" w:rsidRPr="002C21B8" w:rsidRDefault="00A44334" w:rsidP="003223A7">
            <w:pPr>
              <w:spacing w:after="120" w:line="240" w:lineRule="auto"/>
              <w:jc w:val="left"/>
              <w:rPr>
                <w:sz w:val="18"/>
                <w:szCs w:val="18"/>
              </w:rPr>
            </w:pPr>
            <w:r w:rsidRPr="002C21B8">
              <w:rPr>
                <w:sz w:val="18"/>
                <w:szCs w:val="18"/>
              </w:rPr>
              <w:t>Closed (categorical, single choice)</w:t>
            </w:r>
          </w:p>
        </w:tc>
        <w:tc>
          <w:tcPr>
            <w:tcW w:w="3116" w:type="dxa"/>
          </w:tcPr>
          <w:p w14:paraId="034D839D" w14:textId="77777777" w:rsidR="00A44334" w:rsidRPr="002C21B8" w:rsidRDefault="00A44334" w:rsidP="003223A7">
            <w:pPr>
              <w:spacing w:after="120" w:line="240" w:lineRule="auto"/>
              <w:jc w:val="left"/>
              <w:rPr>
                <w:sz w:val="18"/>
                <w:szCs w:val="18"/>
              </w:rPr>
            </w:pPr>
            <w:r w:rsidRPr="002C21B8">
              <w:rPr>
                <w:sz w:val="18"/>
                <w:szCs w:val="18"/>
              </w:rPr>
              <w:t>To explore surveillance practices.</w:t>
            </w:r>
          </w:p>
        </w:tc>
      </w:tr>
      <w:tr w:rsidR="00A44334" w:rsidRPr="002C21B8" w14:paraId="25CAB4A2" w14:textId="77777777" w:rsidTr="002878DB">
        <w:tc>
          <w:tcPr>
            <w:tcW w:w="318" w:type="dxa"/>
            <w:vMerge/>
          </w:tcPr>
          <w:p w14:paraId="667E2001" w14:textId="77777777" w:rsidR="00A44334" w:rsidRPr="002C21B8" w:rsidRDefault="00A44334" w:rsidP="003223A7">
            <w:pPr>
              <w:spacing w:after="120" w:line="240" w:lineRule="auto"/>
              <w:jc w:val="left"/>
              <w:rPr>
                <w:sz w:val="18"/>
                <w:szCs w:val="18"/>
              </w:rPr>
            </w:pPr>
          </w:p>
        </w:tc>
        <w:tc>
          <w:tcPr>
            <w:tcW w:w="1945" w:type="dxa"/>
            <w:vMerge/>
          </w:tcPr>
          <w:p w14:paraId="0F9EAE84" w14:textId="77777777" w:rsidR="00A44334" w:rsidRPr="002C21B8" w:rsidRDefault="00A44334" w:rsidP="003223A7">
            <w:pPr>
              <w:spacing w:after="120" w:line="240" w:lineRule="auto"/>
              <w:jc w:val="left"/>
              <w:rPr>
                <w:sz w:val="18"/>
                <w:szCs w:val="18"/>
              </w:rPr>
            </w:pPr>
          </w:p>
        </w:tc>
        <w:tc>
          <w:tcPr>
            <w:tcW w:w="6518" w:type="dxa"/>
          </w:tcPr>
          <w:p w14:paraId="5599C3DC" w14:textId="5D2CE15F" w:rsidR="00A44334" w:rsidRPr="002C21B8" w:rsidRDefault="00A44334" w:rsidP="003223A7">
            <w:pPr>
              <w:spacing w:after="120" w:line="240" w:lineRule="auto"/>
              <w:jc w:val="left"/>
              <w:rPr>
                <w:sz w:val="18"/>
                <w:szCs w:val="18"/>
              </w:rPr>
            </w:pPr>
            <w:r w:rsidRPr="002C21B8">
              <w:rPr>
                <w:sz w:val="18"/>
                <w:szCs w:val="18"/>
              </w:rPr>
              <w:t>Q19a.</w:t>
            </w:r>
            <w:r w:rsidR="00A72D97" w:rsidRPr="002C21B8">
              <w:rPr>
                <w:sz w:val="18"/>
                <w:szCs w:val="18"/>
              </w:rPr>
              <w:t xml:space="preserve"> </w:t>
            </w:r>
            <w:r w:rsidRPr="002C21B8">
              <w:rPr>
                <w:sz w:val="18"/>
                <w:szCs w:val="18"/>
              </w:rPr>
              <w:t>What is the usual interval for repeating MRI of kidneys in your centre?</w:t>
            </w:r>
          </w:p>
        </w:tc>
        <w:tc>
          <w:tcPr>
            <w:tcW w:w="1987" w:type="dxa"/>
          </w:tcPr>
          <w:p w14:paraId="06FBBAD3" w14:textId="77777777" w:rsidR="00A44334" w:rsidRPr="002C21B8" w:rsidRDefault="00A44334" w:rsidP="003223A7">
            <w:pPr>
              <w:spacing w:after="120" w:line="240" w:lineRule="auto"/>
              <w:jc w:val="left"/>
              <w:rPr>
                <w:sz w:val="18"/>
                <w:szCs w:val="18"/>
              </w:rPr>
            </w:pPr>
            <w:r w:rsidRPr="002C21B8">
              <w:rPr>
                <w:sz w:val="18"/>
                <w:szCs w:val="18"/>
              </w:rPr>
              <w:t>Closed (categorical, single choice)</w:t>
            </w:r>
          </w:p>
        </w:tc>
        <w:tc>
          <w:tcPr>
            <w:tcW w:w="3116" w:type="dxa"/>
          </w:tcPr>
          <w:p w14:paraId="023AD359" w14:textId="372F66D7" w:rsidR="00A44334" w:rsidRPr="002C21B8" w:rsidRDefault="00A44334" w:rsidP="003223A7">
            <w:pPr>
              <w:spacing w:after="120" w:line="240" w:lineRule="auto"/>
              <w:jc w:val="left"/>
              <w:rPr>
                <w:sz w:val="18"/>
                <w:szCs w:val="18"/>
              </w:rPr>
            </w:pPr>
            <w:r w:rsidRPr="002C21B8">
              <w:rPr>
                <w:sz w:val="18"/>
                <w:szCs w:val="18"/>
              </w:rPr>
              <w:t>To explore variation in imaging frequency across centres.</w:t>
            </w:r>
          </w:p>
        </w:tc>
      </w:tr>
      <w:tr w:rsidR="00A44334" w:rsidRPr="002C21B8" w14:paraId="156C6C67" w14:textId="77777777" w:rsidTr="002878DB">
        <w:tc>
          <w:tcPr>
            <w:tcW w:w="318" w:type="dxa"/>
            <w:vMerge/>
          </w:tcPr>
          <w:p w14:paraId="35EEC66C" w14:textId="77777777" w:rsidR="00A44334" w:rsidRPr="002C21B8" w:rsidRDefault="00A44334" w:rsidP="003223A7">
            <w:pPr>
              <w:spacing w:after="120" w:line="240" w:lineRule="auto"/>
              <w:jc w:val="left"/>
              <w:rPr>
                <w:sz w:val="18"/>
                <w:szCs w:val="18"/>
              </w:rPr>
            </w:pPr>
          </w:p>
        </w:tc>
        <w:tc>
          <w:tcPr>
            <w:tcW w:w="1945" w:type="dxa"/>
            <w:vMerge/>
          </w:tcPr>
          <w:p w14:paraId="243EE6AB" w14:textId="77777777" w:rsidR="00A44334" w:rsidRPr="002C21B8" w:rsidRDefault="00A44334" w:rsidP="003223A7">
            <w:pPr>
              <w:spacing w:after="120" w:line="240" w:lineRule="auto"/>
              <w:jc w:val="left"/>
              <w:rPr>
                <w:sz w:val="18"/>
                <w:szCs w:val="18"/>
              </w:rPr>
            </w:pPr>
          </w:p>
        </w:tc>
        <w:tc>
          <w:tcPr>
            <w:tcW w:w="6518" w:type="dxa"/>
          </w:tcPr>
          <w:p w14:paraId="1C23E1E6" w14:textId="5D02C1A7" w:rsidR="00A44334" w:rsidRPr="002C21B8" w:rsidRDefault="00A44334" w:rsidP="003223A7">
            <w:pPr>
              <w:spacing w:after="120" w:line="240" w:lineRule="auto"/>
              <w:jc w:val="left"/>
              <w:rPr>
                <w:sz w:val="18"/>
                <w:szCs w:val="18"/>
              </w:rPr>
            </w:pPr>
            <w:r w:rsidRPr="002C21B8">
              <w:rPr>
                <w:sz w:val="18"/>
                <w:szCs w:val="18"/>
              </w:rPr>
              <w:t xml:space="preserve">Q20. </w:t>
            </w:r>
            <w:r w:rsidR="00A72D97" w:rsidRPr="002C21B8">
              <w:rPr>
                <w:sz w:val="18"/>
                <w:szCs w:val="18"/>
              </w:rPr>
              <w:t>Does your service offer diagnostic genetic testing for people with a clinical diagnosis of ADPKD?</w:t>
            </w:r>
          </w:p>
        </w:tc>
        <w:tc>
          <w:tcPr>
            <w:tcW w:w="1987" w:type="dxa"/>
          </w:tcPr>
          <w:p w14:paraId="279DFBBD" w14:textId="5E93F83D" w:rsidR="00A44334" w:rsidRPr="002C21B8" w:rsidRDefault="001B713A" w:rsidP="003223A7">
            <w:pPr>
              <w:spacing w:after="120" w:line="240" w:lineRule="auto"/>
              <w:jc w:val="left"/>
              <w:rPr>
                <w:sz w:val="18"/>
                <w:szCs w:val="18"/>
              </w:rPr>
            </w:pPr>
            <w:r w:rsidRPr="002C21B8">
              <w:rPr>
                <w:sz w:val="18"/>
                <w:szCs w:val="18"/>
              </w:rPr>
              <w:t>Closed (categorical, single choice)</w:t>
            </w:r>
          </w:p>
        </w:tc>
        <w:tc>
          <w:tcPr>
            <w:tcW w:w="3116" w:type="dxa"/>
          </w:tcPr>
          <w:p w14:paraId="72CF4A90" w14:textId="6301B1C8" w:rsidR="00A44334" w:rsidRPr="002C21B8" w:rsidRDefault="001B713A" w:rsidP="003223A7">
            <w:pPr>
              <w:spacing w:after="120" w:line="240" w:lineRule="auto"/>
              <w:jc w:val="left"/>
              <w:rPr>
                <w:sz w:val="18"/>
                <w:szCs w:val="18"/>
              </w:rPr>
            </w:pPr>
            <w:r w:rsidRPr="002C21B8">
              <w:rPr>
                <w:sz w:val="18"/>
                <w:szCs w:val="18"/>
              </w:rPr>
              <w:t>To explore how genetic testing is used which could inform PROPKD</w:t>
            </w:r>
            <w:r w:rsidR="009A3937" w:rsidRPr="002C21B8">
              <w:rPr>
                <w:sz w:val="18"/>
                <w:szCs w:val="18"/>
              </w:rPr>
              <w:t xml:space="preserve"> scores</w:t>
            </w:r>
            <w:r w:rsidRPr="002C21B8">
              <w:rPr>
                <w:sz w:val="18"/>
                <w:szCs w:val="18"/>
              </w:rPr>
              <w:t>.</w:t>
            </w:r>
          </w:p>
        </w:tc>
      </w:tr>
    </w:tbl>
    <w:p w14:paraId="18297815" w14:textId="77777777" w:rsidR="0099322A" w:rsidRPr="002C21B8" w:rsidRDefault="0099322A">
      <w:r w:rsidRPr="002C21B8">
        <w:br w:type="page"/>
      </w:r>
    </w:p>
    <w:tbl>
      <w:tblPr>
        <w:tblStyle w:val="TableGrid"/>
        <w:tblW w:w="1388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18"/>
        <w:gridCol w:w="1945"/>
        <w:gridCol w:w="6663"/>
        <w:gridCol w:w="1981"/>
        <w:gridCol w:w="2977"/>
      </w:tblGrid>
      <w:tr w:rsidR="00B70E6A" w:rsidRPr="002C21B8" w14:paraId="57225AD3" w14:textId="77777777" w:rsidTr="00C30535">
        <w:tc>
          <w:tcPr>
            <w:tcW w:w="318" w:type="dxa"/>
            <w:vMerge w:val="restart"/>
          </w:tcPr>
          <w:p w14:paraId="6C806046" w14:textId="35019121" w:rsidR="00B70E6A" w:rsidRPr="002C21B8" w:rsidRDefault="00B70E6A" w:rsidP="003223A7">
            <w:pPr>
              <w:spacing w:after="120" w:line="240" w:lineRule="auto"/>
              <w:jc w:val="left"/>
              <w:rPr>
                <w:sz w:val="18"/>
                <w:szCs w:val="18"/>
              </w:rPr>
            </w:pPr>
            <w:r w:rsidRPr="002C21B8">
              <w:rPr>
                <w:sz w:val="18"/>
                <w:szCs w:val="18"/>
              </w:rPr>
              <w:t>4</w:t>
            </w:r>
          </w:p>
        </w:tc>
        <w:tc>
          <w:tcPr>
            <w:tcW w:w="1945" w:type="dxa"/>
            <w:vMerge w:val="restart"/>
          </w:tcPr>
          <w:p w14:paraId="13FA61D5" w14:textId="77777777" w:rsidR="00B70E6A" w:rsidRPr="002C21B8" w:rsidRDefault="00B70E6A" w:rsidP="003223A7">
            <w:pPr>
              <w:spacing w:after="120" w:line="240" w:lineRule="auto"/>
              <w:jc w:val="left"/>
              <w:rPr>
                <w:sz w:val="18"/>
                <w:szCs w:val="18"/>
              </w:rPr>
            </w:pPr>
            <w:r w:rsidRPr="002C21B8">
              <w:rPr>
                <w:sz w:val="18"/>
                <w:szCs w:val="18"/>
              </w:rPr>
              <w:t>Local documentation and patient information</w:t>
            </w:r>
          </w:p>
        </w:tc>
        <w:tc>
          <w:tcPr>
            <w:tcW w:w="6663" w:type="dxa"/>
          </w:tcPr>
          <w:p w14:paraId="0787DA5C" w14:textId="04786BB9" w:rsidR="00B70E6A" w:rsidRPr="002C21B8" w:rsidRDefault="00B70E6A" w:rsidP="003223A7">
            <w:pPr>
              <w:spacing w:after="120" w:line="240" w:lineRule="auto"/>
              <w:jc w:val="left"/>
              <w:rPr>
                <w:sz w:val="18"/>
                <w:szCs w:val="18"/>
              </w:rPr>
            </w:pPr>
            <w:r w:rsidRPr="002C21B8">
              <w:rPr>
                <w:sz w:val="18"/>
                <w:szCs w:val="18"/>
              </w:rPr>
              <w:t>Q</w:t>
            </w:r>
            <w:r w:rsidR="00A44334" w:rsidRPr="002C21B8">
              <w:rPr>
                <w:sz w:val="18"/>
                <w:szCs w:val="18"/>
              </w:rPr>
              <w:t>21</w:t>
            </w:r>
            <w:r w:rsidRPr="002C21B8">
              <w:rPr>
                <w:sz w:val="18"/>
                <w:szCs w:val="18"/>
              </w:rPr>
              <w:t>. Does your centre have any local guidance that supports healthcare professionals making tolvaptan prescribing decisions for people with ADPKD?</w:t>
            </w:r>
          </w:p>
        </w:tc>
        <w:tc>
          <w:tcPr>
            <w:tcW w:w="1981" w:type="dxa"/>
          </w:tcPr>
          <w:p w14:paraId="01D0B4D2" w14:textId="77777777" w:rsidR="00B70E6A" w:rsidRPr="002C21B8" w:rsidRDefault="00B70E6A" w:rsidP="003223A7">
            <w:pPr>
              <w:spacing w:after="120" w:line="240" w:lineRule="auto"/>
              <w:jc w:val="left"/>
              <w:rPr>
                <w:sz w:val="18"/>
                <w:szCs w:val="18"/>
              </w:rPr>
            </w:pPr>
            <w:r w:rsidRPr="002C21B8">
              <w:rPr>
                <w:sz w:val="18"/>
                <w:szCs w:val="18"/>
              </w:rPr>
              <w:t>Closed (categorical, single choice)</w:t>
            </w:r>
          </w:p>
        </w:tc>
        <w:tc>
          <w:tcPr>
            <w:tcW w:w="2977" w:type="dxa"/>
          </w:tcPr>
          <w:p w14:paraId="3EB59503" w14:textId="77777777" w:rsidR="00B70E6A" w:rsidRPr="002C21B8" w:rsidRDefault="00B70E6A" w:rsidP="003223A7">
            <w:pPr>
              <w:spacing w:after="120" w:line="240" w:lineRule="auto"/>
              <w:jc w:val="left"/>
              <w:rPr>
                <w:sz w:val="18"/>
                <w:szCs w:val="18"/>
              </w:rPr>
            </w:pPr>
            <w:r w:rsidRPr="002C21B8">
              <w:rPr>
                <w:sz w:val="18"/>
                <w:szCs w:val="18"/>
              </w:rPr>
              <w:t>To identify presence of local clinical governance.</w:t>
            </w:r>
          </w:p>
        </w:tc>
      </w:tr>
      <w:tr w:rsidR="00B70E6A" w:rsidRPr="002C21B8" w14:paraId="26D73591" w14:textId="77777777" w:rsidTr="00C30535">
        <w:tc>
          <w:tcPr>
            <w:tcW w:w="318" w:type="dxa"/>
            <w:vMerge/>
          </w:tcPr>
          <w:p w14:paraId="5C032D1D" w14:textId="77777777" w:rsidR="00B70E6A" w:rsidRPr="002C21B8" w:rsidRDefault="00B70E6A" w:rsidP="003223A7">
            <w:pPr>
              <w:spacing w:after="120" w:line="240" w:lineRule="auto"/>
              <w:jc w:val="left"/>
              <w:rPr>
                <w:sz w:val="18"/>
                <w:szCs w:val="18"/>
              </w:rPr>
            </w:pPr>
          </w:p>
        </w:tc>
        <w:tc>
          <w:tcPr>
            <w:tcW w:w="1945" w:type="dxa"/>
            <w:vMerge/>
          </w:tcPr>
          <w:p w14:paraId="00E690EC" w14:textId="77777777" w:rsidR="00B70E6A" w:rsidRPr="002C21B8" w:rsidRDefault="00B70E6A" w:rsidP="003223A7">
            <w:pPr>
              <w:spacing w:after="120" w:line="240" w:lineRule="auto"/>
              <w:jc w:val="left"/>
              <w:rPr>
                <w:sz w:val="18"/>
                <w:szCs w:val="18"/>
              </w:rPr>
            </w:pPr>
          </w:p>
        </w:tc>
        <w:tc>
          <w:tcPr>
            <w:tcW w:w="6663" w:type="dxa"/>
          </w:tcPr>
          <w:p w14:paraId="285269FA" w14:textId="3954D422" w:rsidR="00B70E6A" w:rsidRPr="002C21B8" w:rsidRDefault="00B70E6A" w:rsidP="003223A7">
            <w:pPr>
              <w:spacing w:after="120" w:line="240" w:lineRule="auto"/>
              <w:jc w:val="left"/>
              <w:rPr>
                <w:sz w:val="18"/>
                <w:szCs w:val="18"/>
              </w:rPr>
            </w:pPr>
            <w:r w:rsidRPr="002C21B8">
              <w:rPr>
                <w:sz w:val="18"/>
                <w:szCs w:val="18"/>
              </w:rPr>
              <w:t>Q2</w:t>
            </w:r>
            <w:r w:rsidR="00A44334" w:rsidRPr="002C21B8">
              <w:rPr>
                <w:sz w:val="18"/>
                <w:szCs w:val="18"/>
              </w:rPr>
              <w:t>2</w:t>
            </w:r>
            <w:r w:rsidRPr="002C21B8">
              <w:rPr>
                <w:sz w:val="18"/>
                <w:szCs w:val="18"/>
              </w:rPr>
              <w:t>. Which of the following do you use to inform your decision to prescribe tolvaptan for people with ADPKD?</w:t>
            </w:r>
          </w:p>
        </w:tc>
        <w:tc>
          <w:tcPr>
            <w:tcW w:w="1981" w:type="dxa"/>
          </w:tcPr>
          <w:p w14:paraId="7CB87728"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2977" w:type="dxa"/>
          </w:tcPr>
          <w:p w14:paraId="4BC02EFB" w14:textId="77777777" w:rsidR="00B70E6A" w:rsidRPr="002C21B8" w:rsidRDefault="00B70E6A" w:rsidP="003223A7">
            <w:pPr>
              <w:spacing w:after="120" w:line="240" w:lineRule="auto"/>
              <w:jc w:val="left"/>
              <w:rPr>
                <w:sz w:val="18"/>
                <w:szCs w:val="18"/>
              </w:rPr>
            </w:pPr>
            <w:r w:rsidRPr="002C21B8">
              <w:rPr>
                <w:sz w:val="18"/>
                <w:szCs w:val="18"/>
              </w:rPr>
              <w:t>To assess influence of guidelines, research, and expert opinion.</w:t>
            </w:r>
          </w:p>
        </w:tc>
      </w:tr>
      <w:tr w:rsidR="00B70E6A" w:rsidRPr="002C21B8" w14:paraId="4A3957BC" w14:textId="77777777" w:rsidTr="00C30535">
        <w:tc>
          <w:tcPr>
            <w:tcW w:w="318" w:type="dxa"/>
            <w:vMerge/>
          </w:tcPr>
          <w:p w14:paraId="292EC21C" w14:textId="77777777" w:rsidR="00B70E6A" w:rsidRPr="002C21B8" w:rsidRDefault="00B70E6A" w:rsidP="003223A7">
            <w:pPr>
              <w:spacing w:after="120" w:line="240" w:lineRule="auto"/>
              <w:jc w:val="left"/>
              <w:rPr>
                <w:sz w:val="18"/>
                <w:szCs w:val="18"/>
              </w:rPr>
            </w:pPr>
          </w:p>
        </w:tc>
        <w:tc>
          <w:tcPr>
            <w:tcW w:w="1945" w:type="dxa"/>
            <w:vMerge/>
          </w:tcPr>
          <w:p w14:paraId="01D97C20" w14:textId="77777777" w:rsidR="00B70E6A" w:rsidRPr="002C21B8" w:rsidRDefault="00B70E6A" w:rsidP="003223A7">
            <w:pPr>
              <w:spacing w:after="120" w:line="240" w:lineRule="auto"/>
              <w:jc w:val="left"/>
              <w:rPr>
                <w:sz w:val="18"/>
                <w:szCs w:val="18"/>
              </w:rPr>
            </w:pPr>
          </w:p>
        </w:tc>
        <w:tc>
          <w:tcPr>
            <w:tcW w:w="6663" w:type="dxa"/>
          </w:tcPr>
          <w:p w14:paraId="0F7B83D6" w14:textId="687300B0" w:rsidR="00B70E6A" w:rsidRPr="002C21B8" w:rsidRDefault="00B70E6A" w:rsidP="003223A7">
            <w:pPr>
              <w:spacing w:after="120" w:line="240" w:lineRule="auto"/>
              <w:jc w:val="left"/>
              <w:rPr>
                <w:sz w:val="18"/>
                <w:szCs w:val="18"/>
              </w:rPr>
            </w:pPr>
            <w:r w:rsidRPr="002C21B8">
              <w:rPr>
                <w:sz w:val="18"/>
                <w:szCs w:val="18"/>
              </w:rPr>
              <w:t>Q2</w:t>
            </w:r>
            <w:r w:rsidR="00A44334" w:rsidRPr="002C21B8">
              <w:rPr>
                <w:sz w:val="18"/>
                <w:szCs w:val="18"/>
              </w:rPr>
              <w:t>3</w:t>
            </w:r>
            <w:r w:rsidRPr="002C21B8">
              <w:rPr>
                <w:sz w:val="18"/>
                <w:szCs w:val="18"/>
              </w:rPr>
              <w:t>. How do people with ADPKD receive information about tolvaptan at your centre?</w:t>
            </w:r>
          </w:p>
        </w:tc>
        <w:tc>
          <w:tcPr>
            <w:tcW w:w="1981" w:type="dxa"/>
          </w:tcPr>
          <w:p w14:paraId="107D62AB" w14:textId="77777777" w:rsidR="00B70E6A" w:rsidRPr="002C21B8" w:rsidRDefault="00B70E6A" w:rsidP="003223A7">
            <w:pPr>
              <w:spacing w:after="120" w:line="240" w:lineRule="auto"/>
              <w:jc w:val="left"/>
              <w:rPr>
                <w:sz w:val="18"/>
                <w:szCs w:val="18"/>
              </w:rPr>
            </w:pPr>
            <w:r w:rsidRPr="002C21B8">
              <w:rPr>
                <w:sz w:val="18"/>
                <w:szCs w:val="18"/>
              </w:rPr>
              <w:t>Closed (multiple choice, tick all that apply)</w:t>
            </w:r>
          </w:p>
        </w:tc>
        <w:tc>
          <w:tcPr>
            <w:tcW w:w="2977" w:type="dxa"/>
          </w:tcPr>
          <w:p w14:paraId="353EEDE6" w14:textId="77777777" w:rsidR="00B70E6A" w:rsidRPr="002C21B8" w:rsidRDefault="00B70E6A" w:rsidP="003223A7">
            <w:pPr>
              <w:spacing w:after="120" w:line="240" w:lineRule="auto"/>
              <w:jc w:val="left"/>
              <w:rPr>
                <w:sz w:val="18"/>
                <w:szCs w:val="18"/>
              </w:rPr>
            </w:pPr>
            <w:r w:rsidRPr="002C21B8">
              <w:rPr>
                <w:sz w:val="18"/>
                <w:szCs w:val="18"/>
              </w:rPr>
              <w:t>To explore variation in patient information provision.</w:t>
            </w:r>
          </w:p>
        </w:tc>
      </w:tr>
      <w:tr w:rsidR="00B70E6A" w:rsidRPr="002C21B8" w14:paraId="1D2A95A7" w14:textId="77777777" w:rsidTr="00C30535">
        <w:tc>
          <w:tcPr>
            <w:tcW w:w="318" w:type="dxa"/>
            <w:vMerge w:val="restart"/>
          </w:tcPr>
          <w:p w14:paraId="14E7B691" w14:textId="77777777" w:rsidR="00B70E6A" w:rsidRPr="002C21B8" w:rsidRDefault="00B70E6A" w:rsidP="003223A7">
            <w:pPr>
              <w:spacing w:after="120" w:line="240" w:lineRule="auto"/>
              <w:jc w:val="left"/>
              <w:rPr>
                <w:sz w:val="18"/>
                <w:szCs w:val="18"/>
              </w:rPr>
            </w:pPr>
            <w:r w:rsidRPr="002C21B8">
              <w:rPr>
                <w:sz w:val="18"/>
                <w:szCs w:val="18"/>
              </w:rPr>
              <w:t>5</w:t>
            </w:r>
          </w:p>
        </w:tc>
        <w:tc>
          <w:tcPr>
            <w:tcW w:w="1945" w:type="dxa"/>
            <w:vMerge w:val="restart"/>
          </w:tcPr>
          <w:p w14:paraId="1853A867" w14:textId="77777777" w:rsidR="00B70E6A" w:rsidRPr="002C21B8" w:rsidRDefault="00B70E6A" w:rsidP="003223A7">
            <w:pPr>
              <w:spacing w:after="120" w:line="240" w:lineRule="auto"/>
              <w:jc w:val="left"/>
              <w:rPr>
                <w:sz w:val="18"/>
                <w:szCs w:val="18"/>
              </w:rPr>
            </w:pPr>
            <w:r w:rsidRPr="002C21B8">
              <w:rPr>
                <w:sz w:val="18"/>
                <w:szCs w:val="18"/>
              </w:rPr>
              <w:t>Eligibility of people with ADPKD for tolvaptan</w:t>
            </w:r>
          </w:p>
        </w:tc>
        <w:tc>
          <w:tcPr>
            <w:tcW w:w="6663" w:type="dxa"/>
          </w:tcPr>
          <w:p w14:paraId="5C703515" w14:textId="1FC8855F" w:rsidR="00B70E6A" w:rsidRPr="002C21B8" w:rsidRDefault="00A44334" w:rsidP="003223A7">
            <w:pPr>
              <w:spacing w:after="120" w:line="240" w:lineRule="auto"/>
              <w:jc w:val="left"/>
              <w:rPr>
                <w:sz w:val="18"/>
                <w:szCs w:val="18"/>
              </w:rPr>
            </w:pPr>
            <w:r w:rsidRPr="002C21B8">
              <w:rPr>
                <w:sz w:val="18"/>
                <w:szCs w:val="18"/>
              </w:rPr>
              <w:t xml:space="preserve">Q24. </w:t>
            </w:r>
            <w:r w:rsidR="0080084B" w:rsidRPr="002C21B8">
              <w:rPr>
                <w:sz w:val="18"/>
                <w:szCs w:val="18"/>
              </w:rPr>
              <w:t>Do you prescribe tolvaptan with an upper limit or lower limit eGFR?</w:t>
            </w:r>
          </w:p>
        </w:tc>
        <w:tc>
          <w:tcPr>
            <w:tcW w:w="1981" w:type="dxa"/>
          </w:tcPr>
          <w:p w14:paraId="57B15346" w14:textId="457F4158" w:rsidR="00B70E6A" w:rsidRPr="002C21B8" w:rsidRDefault="0080084B" w:rsidP="003223A7">
            <w:pPr>
              <w:spacing w:after="120" w:line="240" w:lineRule="auto"/>
              <w:jc w:val="left"/>
              <w:rPr>
                <w:sz w:val="18"/>
                <w:szCs w:val="18"/>
              </w:rPr>
            </w:pPr>
            <w:r w:rsidRPr="002C21B8">
              <w:rPr>
                <w:sz w:val="18"/>
                <w:szCs w:val="18"/>
              </w:rPr>
              <w:t>Open (free text)</w:t>
            </w:r>
          </w:p>
        </w:tc>
        <w:tc>
          <w:tcPr>
            <w:tcW w:w="2977" w:type="dxa"/>
          </w:tcPr>
          <w:p w14:paraId="48D48CCE" w14:textId="1271A29D" w:rsidR="00B70E6A" w:rsidRPr="002C21B8" w:rsidRDefault="0080084B" w:rsidP="003223A7">
            <w:pPr>
              <w:spacing w:after="120" w:line="240" w:lineRule="auto"/>
              <w:jc w:val="left"/>
              <w:rPr>
                <w:sz w:val="18"/>
                <w:szCs w:val="18"/>
              </w:rPr>
            </w:pPr>
            <w:r w:rsidRPr="002C21B8">
              <w:rPr>
                <w:sz w:val="18"/>
                <w:szCs w:val="18"/>
              </w:rPr>
              <w:t>To ascertain whether prescribing outside NICE CKD thresholds occurs.</w:t>
            </w:r>
          </w:p>
        </w:tc>
      </w:tr>
      <w:tr w:rsidR="00A44334" w:rsidRPr="002C21B8" w14:paraId="77B6DF25" w14:textId="77777777" w:rsidTr="00C30535">
        <w:tc>
          <w:tcPr>
            <w:tcW w:w="318" w:type="dxa"/>
            <w:vMerge/>
          </w:tcPr>
          <w:p w14:paraId="05BBE0D8" w14:textId="77777777" w:rsidR="00A44334" w:rsidRPr="002C21B8" w:rsidRDefault="00A44334" w:rsidP="00A44334">
            <w:pPr>
              <w:spacing w:after="120" w:line="240" w:lineRule="auto"/>
              <w:jc w:val="left"/>
              <w:rPr>
                <w:sz w:val="18"/>
                <w:szCs w:val="18"/>
              </w:rPr>
            </w:pPr>
          </w:p>
        </w:tc>
        <w:tc>
          <w:tcPr>
            <w:tcW w:w="1945" w:type="dxa"/>
            <w:vMerge/>
          </w:tcPr>
          <w:p w14:paraId="13AD624A" w14:textId="77777777" w:rsidR="00A44334" w:rsidRPr="002C21B8" w:rsidRDefault="00A44334" w:rsidP="00A44334">
            <w:pPr>
              <w:spacing w:after="120" w:line="240" w:lineRule="auto"/>
              <w:jc w:val="left"/>
              <w:rPr>
                <w:sz w:val="18"/>
                <w:szCs w:val="18"/>
              </w:rPr>
            </w:pPr>
          </w:p>
        </w:tc>
        <w:tc>
          <w:tcPr>
            <w:tcW w:w="6663" w:type="dxa"/>
          </w:tcPr>
          <w:p w14:paraId="7DA05D9D" w14:textId="1D105D79" w:rsidR="00A44334" w:rsidRPr="002C21B8" w:rsidRDefault="00A44334" w:rsidP="00A44334">
            <w:pPr>
              <w:spacing w:after="120" w:line="240" w:lineRule="auto"/>
              <w:jc w:val="left"/>
              <w:rPr>
                <w:sz w:val="18"/>
                <w:szCs w:val="18"/>
              </w:rPr>
            </w:pPr>
            <w:r w:rsidRPr="002C21B8">
              <w:rPr>
                <w:sz w:val="18"/>
                <w:szCs w:val="18"/>
              </w:rPr>
              <w:t>Q25. Are the following measures being routinely used at your centre when making decisions about eligibility for tolvaptan?: eGFR slopes, Kidney length (ultrasound), Total kidney volume (MRI), Mayo imaging classification, PROPKD score</w:t>
            </w:r>
          </w:p>
        </w:tc>
        <w:tc>
          <w:tcPr>
            <w:tcW w:w="1981" w:type="dxa"/>
          </w:tcPr>
          <w:p w14:paraId="0C343ABD" w14:textId="17DEB31E" w:rsidR="00A44334" w:rsidRPr="002C21B8" w:rsidRDefault="00A44334" w:rsidP="00A44334">
            <w:pPr>
              <w:spacing w:after="120" w:line="240" w:lineRule="auto"/>
              <w:jc w:val="left"/>
              <w:rPr>
                <w:sz w:val="18"/>
                <w:szCs w:val="18"/>
              </w:rPr>
            </w:pPr>
            <w:r w:rsidRPr="002C21B8">
              <w:rPr>
                <w:sz w:val="18"/>
                <w:szCs w:val="18"/>
              </w:rPr>
              <w:t>Closed (matrix, Yes/No for each measure)</w:t>
            </w:r>
          </w:p>
        </w:tc>
        <w:tc>
          <w:tcPr>
            <w:tcW w:w="2977" w:type="dxa"/>
          </w:tcPr>
          <w:p w14:paraId="4ABE0AF3" w14:textId="558A364D" w:rsidR="00A44334" w:rsidRPr="002C21B8" w:rsidRDefault="00A44334" w:rsidP="00A44334">
            <w:pPr>
              <w:spacing w:after="120" w:line="240" w:lineRule="auto"/>
              <w:jc w:val="left"/>
              <w:rPr>
                <w:sz w:val="18"/>
                <w:szCs w:val="18"/>
              </w:rPr>
            </w:pPr>
            <w:r w:rsidRPr="002C21B8">
              <w:rPr>
                <w:sz w:val="18"/>
                <w:szCs w:val="18"/>
              </w:rPr>
              <w:t>To explore adoption of different eligibility measures.</w:t>
            </w:r>
          </w:p>
        </w:tc>
      </w:tr>
      <w:tr w:rsidR="00A44334" w:rsidRPr="002C21B8" w14:paraId="3D57CA0D" w14:textId="77777777" w:rsidTr="00C30535">
        <w:tc>
          <w:tcPr>
            <w:tcW w:w="318" w:type="dxa"/>
            <w:vMerge/>
          </w:tcPr>
          <w:p w14:paraId="3D9B8A99" w14:textId="77777777" w:rsidR="00A44334" w:rsidRPr="002C21B8" w:rsidRDefault="00A44334" w:rsidP="00A44334">
            <w:pPr>
              <w:spacing w:after="120" w:line="240" w:lineRule="auto"/>
              <w:jc w:val="left"/>
              <w:rPr>
                <w:sz w:val="18"/>
                <w:szCs w:val="18"/>
              </w:rPr>
            </w:pPr>
          </w:p>
        </w:tc>
        <w:tc>
          <w:tcPr>
            <w:tcW w:w="1945" w:type="dxa"/>
            <w:vMerge/>
          </w:tcPr>
          <w:p w14:paraId="1320E8AD" w14:textId="77777777" w:rsidR="00A44334" w:rsidRPr="002C21B8" w:rsidRDefault="00A44334" w:rsidP="00A44334">
            <w:pPr>
              <w:spacing w:after="120" w:line="240" w:lineRule="auto"/>
              <w:jc w:val="left"/>
              <w:rPr>
                <w:sz w:val="18"/>
                <w:szCs w:val="18"/>
              </w:rPr>
            </w:pPr>
          </w:p>
        </w:tc>
        <w:tc>
          <w:tcPr>
            <w:tcW w:w="6663" w:type="dxa"/>
          </w:tcPr>
          <w:p w14:paraId="708AE732" w14:textId="32520EDA" w:rsidR="00A44334" w:rsidRPr="002C21B8" w:rsidRDefault="00A44334" w:rsidP="00A44334">
            <w:pPr>
              <w:spacing w:after="120" w:line="240" w:lineRule="auto"/>
              <w:jc w:val="left"/>
              <w:rPr>
                <w:sz w:val="18"/>
                <w:szCs w:val="18"/>
              </w:rPr>
            </w:pPr>
            <w:r w:rsidRPr="002C21B8">
              <w:rPr>
                <w:sz w:val="18"/>
                <w:szCs w:val="18"/>
              </w:rPr>
              <w:t>Q25a. If any of the previous methods are not routinely used at your centre, what are the main reasons?</w:t>
            </w:r>
          </w:p>
        </w:tc>
        <w:tc>
          <w:tcPr>
            <w:tcW w:w="1981" w:type="dxa"/>
          </w:tcPr>
          <w:p w14:paraId="1BD46BC4" w14:textId="111083BC" w:rsidR="00A44334" w:rsidRPr="002C21B8" w:rsidRDefault="00A44334" w:rsidP="00A44334">
            <w:pPr>
              <w:spacing w:after="120" w:line="240" w:lineRule="auto"/>
              <w:jc w:val="left"/>
              <w:rPr>
                <w:sz w:val="18"/>
                <w:szCs w:val="18"/>
              </w:rPr>
            </w:pPr>
            <w:r w:rsidRPr="002C21B8">
              <w:rPr>
                <w:sz w:val="18"/>
                <w:szCs w:val="18"/>
              </w:rPr>
              <w:t>Closed (multiple choice, tick all that apply)</w:t>
            </w:r>
          </w:p>
        </w:tc>
        <w:tc>
          <w:tcPr>
            <w:tcW w:w="2977" w:type="dxa"/>
          </w:tcPr>
          <w:p w14:paraId="3F3708C2" w14:textId="419A8229" w:rsidR="00A44334" w:rsidRPr="002C21B8" w:rsidRDefault="00A44334" w:rsidP="00A44334">
            <w:pPr>
              <w:spacing w:after="120" w:line="240" w:lineRule="auto"/>
              <w:jc w:val="left"/>
              <w:rPr>
                <w:sz w:val="18"/>
                <w:szCs w:val="18"/>
              </w:rPr>
            </w:pPr>
            <w:r w:rsidRPr="002C21B8">
              <w:rPr>
                <w:sz w:val="18"/>
                <w:szCs w:val="18"/>
              </w:rPr>
              <w:t>To identify barriers to using specific eligibility measures.</w:t>
            </w:r>
          </w:p>
        </w:tc>
      </w:tr>
      <w:tr w:rsidR="00A44334" w:rsidRPr="002C21B8" w14:paraId="01E2BF00" w14:textId="77777777" w:rsidTr="00C30535">
        <w:trPr>
          <w:trHeight w:val="289"/>
        </w:trPr>
        <w:tc>
          <w:tcPr>
            <w:tcW w:w="318" w:type="dxa"/>
            <w:vMerge/>
          </w:tcPr>
          <w:p w14:paraId="6BEF2AD0" w14:textId="77777777" w:rsidR="00A44334" w:rsidRPr="002C21B8" w:rsidRDefault="00A44334" w:rsidP="00A44334">
            <w:pPr>
              <w:spacing w:after="120" w:line="240" w:lineRule="auto"/>
              <w:jc w:val="left"/>
              <w:rPr>
                <w:sz w:val="18"/>
                <w:szCs w:val="18"/>
              </w:rPr>
            </w:pPr>
          </w:p>
        </w:tc>
        <w:tc>
          <w:tcPr>
            <w:tcW w:w="1945" w:type="dxa"/>
            <w:vMerge/>
          </w:tcPr>
          <w:p w14:paraId="514A6273" w14:textId="77777777" w:rsidR="00A44334" w:rsidRPr="002C21B8" w:rsidRDefault="00A44334" w:rsidP="00A44334">
            <w:pPr>
              <w:spacing w:after="120" w:line="240" w:lineRule="auto"/>
              <w:jc w:val="left"/>
              <w:rPr>
                <w:sz w:val="18"/>
                <w:szCs w:val="18"/>
              </w:rPr>
            </w:pPr>
          </w:p>
        </w:tc>
        <w:tc>
          <w:tcPr>
            <w:tcW w:w="6663" w:type="dxa"/>
          </w:tcPr>
          <w:p w14:paraId="2DAFBD68" w14:textId="643A3925" w:rsidR="00A44334" w:rsidRPr="002C21B8" w:rsidRDefault="00A44334" w:rsidP="00A44334">
            <w:pPr>
              <w:spacing w:after="120" w:line="240" w:lineRule="auto"/>
              <w:jc w:val="left"/>
              <w:rPr>
                <w:sz w:val="18"/>
                <w:szCs w:val="18"/>
              </w:rPr>
            </w:pPr>
            <w:r w:rsidRPr="002C21B8">
              <w:rPr>
                <w:sz w:val="18"/>
                <w:szCs w:val="18"/>
              </w:rPr>
              <w:t xml:space="preserve">Q26. </w:t>
            </w:r>
            <w:r w:rsidR="00A05C05" w:rsidRPr="002C21B8">
              <w:rPr>
                <w:sz w:val="18"/>
                <w:szCs w:val="18"/>
              </w:rPr>
              <w:t>If a patient at your centre does not meet the eGFR slope threshold, do you ever use one of the other criteria in isolation?</w:t>
            </w:r>
          </w:p>
        </w:tc>
        <w:tc>
          <w:tcPr>
            <w:tcW w:w="1981" w:type="dxa"/>
          </w:tcPr>
          <w:p w14:paraId="4A01FA46" w14:textId="3881ECD4" w:rsidR="00A44334" w:rsidRPr="002C21B8" w:rsidRDefault="00A05C05" w:rsidP="00A44334">
            <w:pPr>
              <w:spacing w:after="120" w:line="240" w:lineRule="auto"/>
              <w:jc w:val="left"/>
              <w:rPr>
                <w:sz w:val="18"/>
                <w:szCs w:val="18"/>
              </w:rPr>
            </w:pPr>
            <w:r w:rsidRPr="002C21B8">
              <w:rPr>
                <w:sz w:val="18"/>
                <w:szCs w:val="18"/>
              </w:rPr>
              <w:t>Closed (categorical, single choice)</w:t>
            </w:r>
          </w:p>
        </w:tc>
        <w:tc>
          <w:tcPr>
            <w:tcW w:w="2977" w:type="dxa"/>
          </w:tcPr>
          <w:p w14:paraId="48EB31CF" w14:textId="49074D72" w:rsidR="00A44334" w:rsidRPr="002C21B8" w:rsidRDefault="00A05C05" w:rsidP="00A44334">
            <w:pPr>
              <w:spacing w:after="120" w:line="240" w:lineRule="auto"/>
              <w:jc w:val="left"/>
              <w:rPr>
                <w:sz w:val="18"/>
                <w:szCs w:val="18"/>
              </w:rPr>
            </w:pPr>
            <w:r w:rsidRPr="002C21B8">
              <w:rPr>
                <w:sz w:val="18"/>
                <w:szCs w:val="18"/>
              </w:rPr>
              <w:t>To determine relationship between eGFR and non-eGFR criteria.</w:t>
            </w:r>
          </w:p>
        </w:tc>
      </w:tr>
      <w:tr w:rsidR="00A44334" w:rsidRPr="002C21B8" w14:paraId="60A491FE" w14:textId="77777777" w:rsidTr="00C30535">
        <w:tc>
          <w:tcPr>
            <w:tcW w:w="318" w:type="dxa"/>
            <w:vMerge/>
          </w:tcPr>
          <w:p w14:paraId="5B8AF0A3" w14:textId="77777777" w:rsidR="00A44334" w:rsidRPr="002C21B8" w:rsidRDefault="00A44334" w:rsidP="00A44334">
            <w:pPr>
              <w:spacing w:after="120" w:line="240" w:lineRule="auto"/>
              <w:jc w:val="left"/>
              <w:rPr>
                <w:sz w:val="18"/>
                <w:szCs w:val="18"/>
              </w:rPr>
            </w:pPr>
          </w:p>
        </w:tc>
        <w:tc>
          <w:tcPr>
            <w:tcW w:w="1945" w:type="dxa"/>
            <w:vMerge/>
          </w:tcPr>
          <w:p w14:paraId="7C3E8882" w14:textId="77777777" w:rsidR="00A44334" w:rsidRPr="002C21B8" w:rsidRDefault="00A44334" w:rsidP="00A44334">
            <w:pPr>
              <w:spacing w:after="120" w:line="240" w:lineRule="auto"/>
              <w:jc w:val="left"/>
              <w:rPr>
                <w:sz w:val="18"/>
                <w:szCs w:val="18"/>
              </w:rPr>
            </w:pPr>
          </w:p>
        </w:tc>
        <w:tc>
          <w:tcPr>
            <w:tcW w:w="6663" w:type="dxa"/>
          </w:tcPr>
          <w:p w14:paraId="0607E7A1" w14:textId="454CDAA9" w:rsidR="00A44334" w:rsidRPr="002C21B8" w:rsidRDefault="00A44334" w:rsidP="00A44334">
            <w:pPr>
              <w:spacing w:after="120" w:line="240" w:lineRule="auto"/>
              <w:jc w:val="left"/>
              <w:rPr>
                <w:sz w:val="18"/>
                <w:szCs w:val="18"/>
              </w:rPr>
            </w:pPr>
            <w:r w:rsidRPr="002C21B8">
              <w:rPr>
                <w:sz w:val="18"/>
                <w:szCs w:val="18"/>
              </w:rPr>
              <w:t>Q27. Do you formally assess eligibility for tolvaptan at each outpatient appointment for people with ADPKD who are not currently on treatment?</w:t>
            </w:r>
          </w:p>
        </w:tc>
        <w:tc>
          <w:tcPr>
            <w:tcW w:w="1981" w:type="dxa"/>
          </w:tcPr>
          <w:p w14:paraId="784DBD76" w14:textId="1F1E0AAF" w:rsidR="00A44334" w:rsidRPr="002C21B8" w:rsidRDefault="00A44334" w:rsidP="00A44334">
            <w:pPr>
              <w:spacing w:after="120" w:line="240" w:lineRule="auto"/>
              <w:jc w:val="left"/>
              <w:rPr>
                <w:sz w:val="18"/>
                <w:szCs w:val="18"/>
              </w:rPr>
            </w:pPr>
            <w:r w:rsidRPr="002C21B8">
              <w:rPr>
                <w:sz w:val="18"/>
                <w:szCs w:val="18"/>
              </w:rPr>
              <w:t>Closed (categorical, single choice)</w:t>
            </w:r>
          </w:p>
        </w:tc>
        <w:tc>
          <w:tcPr>
            <w:tcW w:w="2977" w:type="dxa"/>
          </w:tcPr>
          <w:p w14:paraId="596A5DFD" w14:textId="5E8C9D49" w:rsidR="00A44334" w:rsidRPr="002C21B8" w:rsidRDefault="00A44334" w:rsidP="00A44334">
            <w:pPr>
              <w:spacing w:after="120" w:line="240" w:lineRule="auto"/>
              <w:jc w:val="left"/>
              <w:rPr>
                <w:sz w:val="18"/>
                <w:szCs w:val="18"/>
              </w:rPr>
            </w:pPr>
            <w:r w:rsidRPr="002C21B8">
              <w:rPr>
                <w:sz w:val="18"/>
                <w:szCs w:val="18"/>
              </w:rPr>
              <w:t>To assess consistency of eligibility reassessment.</w:t>
            </w:r>
          </w:p>
        </w:tc>
      </w:tr>
      <w:tr w:rsidR="00A44334" w:rsidRPr="002C21B8" w14:paraId="69507A59" w14:textId="77777777" w:rsidTr="00C30535">
        <w:tc>
          <w:tcPr>
            <w:tcW w:w="318" w:type="dxa"/>
            <w:vMerge/>
          </w:tcPr>
          <w:p w14:paraId="2F11C435" w14:textId="77777777" w:rsidR="00A44334" w:rsidRPr="002C21B8" w:rsidRDefault="00A44334" w:rsidP="00A44334">
            <w:pPr>
              <w:spacing w:after="120" w:line="240" w:lineRule="auto"/>
              <w:jc w:val="left"/>
              <w:rPr>
                <w:sz w:val="18"/>
                <w:szCs w:val="18"/>
              </w:rPr>
            </w:pPr>
          </w:p>
        </w:tc>
        <w:tc>
          <w:tcPr>
            <w:tcW w:w="1945" w:type="dxa"/>
            <w:vMerge/>
          </w:tcPr>
          <w:p w14:paraId="57A0FFEB" w14:textId="77777777" w:rsidR="00A44334" w:rsidRPr="002C21B8" w:rsidRDefault="00A44334" w:rsidP="00A44334">
            <w:pPr>
              <w:spacing w:after="120" w:line="240" w:lineRule="auto"/>
              <w:jc w:val="left"/>
              <w:rPr>
                <w:sz w:val="18"/>
                <w:szCs w:val="18"/>
              </w:rPr>
            </w:pPr>
          </w:p>
        </w:tc>
        <w:tc>
          <w:tcPr>
            <w:tcW w:w="6663" w:type="dxa"/>
          </w:tcPr>
          <w:p w14:paraId="5686ABF8" w14:textId="62459856" w:rsidR="00A44334" w:rsidRPr="002C21B8" w:rsidRDefault="00A44334" w:rsidP="00A44334">
            <w:pPr>
              <w:spacing w:after="120" w:line="240" w:lineRule="auto"/>
              <w:jc w:val="left"/>
              <w:rPr>
                <w:sz w:val="18"/>
                <w:szCs w:val="18"/>
              </w:rPr>
            </w:pPr>
            <w:r w:rsidRPr="002C21B8">
              <w:rPr>
                <w:sz w:val="18"/>
                <w:szCs w:val="18"/>
              </w:rPr>
              <w:t>Q28. What do you think are the main factors that could limit formal eligibility assessment in each outpatient appointment at your centre?</w:t>
            </w:r>
          </w:p>
        </w:tc>
        <w:tc>
          <w:tcPr>
            <w:tcW w:w="1981" w:type="dxa"/>
          </w:tcPr>
          <w:p w14:paraId="07801B85" w14:textId="481741CE" w:rsidR="00A44334" w:rsidRPr="002C21B8" w:rsidRDefault="00A44334" w:rsidP="00A44334">
            <w:pPr>
              <w:spacing w:after="120" w:line="240" w:lineRule="auto"/>
              <w:jc w:val="left"/>
              <w:rPr>
                <w:sz w:val="18"/>
                <w:szCs w:val="18"/>
              </w:rPr>
            </w:pPr>
            <w:r w:rsidRPr="002C21B8">
              <w:rPr>
                <w:sz w:val="18"/>
                <w:szCs w:val="18"/>
              </w:rPr>
              <w:t>Closed (multiple choice, tick all that apply)</w:t>
            </w:r>
          </w:p>
        </w:tc>
        <w:tc>
          <w:tcPr>
            <w:tcW w:w="2977" w:type="dxa"/>
          </w:tcPr>
          <w:p w14:paraId="58AC694C" w14:textId="3F44627E" w:rsidR="00A44334" w:rsidRPr="002C21B8" w:rsidRDefault="00A44334" w:rsidP="00A44334">
            <w:pPr>
              <w:spacing w:after="120" w:line="240" w:lineRule="auto"/>
              <w:jc w:val="left"/>
              <w:rPr>
                <w:sz w:val="18"/>
                <w:szCs w:val="18"/>
              </w:rPr>
            </w:pPr>
            <w:r w:rsidRPr="002C21B8">
              <w:rPr>
                <w:sz w:val="18"/>
                <w:szCs w:val="18"/>
              </w:rPr>
              <w:t>To identify service, resource, or knowledge barriers.</w:t>
            </w:r>
          </w:p>
        </w:tc>
      </w:tr>
      <w:tr w:rsidR="00A44334" w:rsidRPr="002C21B8" w14:paraId="74A9BA58" w14:textId="77777777" w:rsidTr="00C30535">
        <w:tc>
          <w:tcPr>
            <w:tcW w:w="318" w:type="dxa"/>
            <w:vMerge/>
          </w:tcPr>
          <w:p w14:paraId="72C60C95" w14:textId="77777777" w:rsidR="00A44334" w:rsidRPr="002C21B8" w:rsidRDefault="00A44334" w:rsidP="00A44334">
            <w:pPr>
              <w:spacing w:after="120" w:line="240" w:lineRule="auto"/>
              <w:jc w:val="left"/>
              <w:rPr>
                <w:sz w:val="18"/>
                <w:szCs w:val="18"/>
              </w:rPr>
            </w:pPr>
          </w:p>
        </w:tc>
        <w:tc>
          <w:tcPr>
            <w:tcW w:w="1945" w:type="dxa"/>
            <w:vMerge/>
          </w:tcPr>
          <w:p w14:paraId="32DDA911" w14:textId="77777777" w:rsidR="00A44334" w:rsidRPr="002C21B8" w:rsidRDefault="00A44334" w:rsidP="00A44334">
            <w:pPr>
              <w:spacing w:after="120" w:line="240" w:lineRule="auto"/>
              <w:jc w:val="left"/>
              <w:rPr>
                <w:sz w:val="18"/>
                <w:szCs w:val="18"/>
              </w:rPr>
            </w:pPr>
          </w:p>
        </w:tc>
        <w:tc>
          <w:tcPr>
            <w:tcW w:w="6663" w:type="dxa"/>
          </w:tcPr>
          <w:p w14:paraId="7CABC205" w14:textId="63ADD248" w:rsidR="00A44334" w:rsidRPr="002C21B8" w:rsidRDefault="00A44334" w:rsidP="00A44334">
            <w:pPr>
              <w:spacing w:after="120" w:line="240" w:lineRule="auto"/>
              <w:jc w:val="left"/>
              <w:rPr>
                <w:sz w:val="18"/>
                <w:szCs w:val="18"/>
              </w:rPr>
            </w:pPr>
            <w:r w:rsidRPr="002C21B8">
              <w:rPr>
                <w:sz w:val="18"/>
                <w:szCs w:val="18"/>
              </w:rPr>
              <w:t>Q29. Does your centre use any automated tools to flag people with ADPKD who may be eligible for tolvaptan (e.g. a system that scans eGFR slopes or other criteria without clinicians having to manually review)</w:t>
            </w:r>
          </w:p>
        </w:tc>
        <w:tc>
          <w:tcPr>
            <w:tcW w:w="1981" w:type="dxa"/>
          </w:tcPr>
          <w:p w14:paraId="643F39A4" w14:textId="77777777" w:rsidR="00A44334" w:rsidRPr="002C21B8" w:rsidRDefault="00A44334" w:rsidP="00A44334">
            <w:pPr>
              <w:spacing w:after="120" w:line="240" w:lineRule="auto"/>
              <w:jc w:val="left"/>
              <w:rPr>
                <w:sz w:val="18"/>
                <w:szCs w:val="18"/>
              </w:rPr>
            </w:pPr>
            <w:r w:rsidRPr="002C21B8">
              <w:rPr>
                <w:sz w:val="18"/>
                <w:szCs w:val="18"/>
              </w:rPr>
              <w:t>Closed (categorical, single choice)</w:t>
            </w:r>
          </w:p>
        </w:tc>
        <w:tc>
          <w:tcPr>
            <w:tcW w:w="2977" w:type="dxa"/>
          </w:tcPr>
          <w:p w14:paraId="68934422" w14:textId="77777777" w:rsidR="00A44334" w:rsidRPr="002C21B8" w:rsidRDefault="00A44334" w:rsidP="00A44334">
            <w:pPr>
              <w:spacing w:after="120" w:line="240" w:lineRule="auto"/>
              <w:jc w:val="left"/>
              <w:rPr>
                <w:sz w:val="18"/>
                <w:szCs w:val="18"/>
              </w:rPr>
            </w:pPr>
            <w:r w:rsidRPr="002C21B8">
              <w:rPr>
                <w:sz w:val="18"/>
                <w:szCs w:val="18"/>
              </w:rPr>
              <w:t>To assess use of decision-support technology.</w:t>
            </w:r>
          </w:p>
        </w:tc>
      </w:tr>
      <w:tr w:rsidR="00A44334" w:rsidRPr="002C21B8" w14:paraId="29C24C52" w14:textId="77777777" w:rsidTr="00C30535">
        <w:tc>
          <w:tcPr>
            <w:tcW w:w="318" w:type="dxa"/>
            <w:vMerge/>
          </w:tcPr>
          <w:p w14:paraId="2E5EB4AF" w14:textId="77777777" w:rsidR="00A44334" w:rsidRPr="002C21B8" w:rsidRDefault="00A44334" w:rsidP="00A44334">
            <w:pPr>
              <w:spacing w:after="120" w:line="240" w:lineRule="auto"/>
              <w:jc w:val="left"/>
              <w:rPr>
                <w:sz w:val="18"/>
                <w:szCs w:val="18"/>
              </w:rPr>
            </w:pPr>
          </w:p>
        </w:tc>
        <w:tc>
          <w:tcPr>
            <w:tcW w:w="1945" w:type="dxa"/>
            <w:vMerge/>
          </w:tcPr>
          <w:p w14:paraId="02467B04" w14:textId="77777777" w:rsidR="00A44334" w:rsidRPr="002C21B8" w:rsidRDefault="00A44334" w:rsidP="00A44334">
            <w:pPr>
              <w:spacing w:after="120" w:line="240" w:lineRule="auto"/>
              <w:jc w:val="left"/>
              <w:rPr>
                <w:sz w:val="18"/>
                <w:szCs w:val="18"/>
              </w:rPr>
            </w:pPr>
          </w:p>
        </w:tc>
        <w:tc>
          <w:tcPr>
            <w:tcW w:w="6663" w:type="dxa"/>
          </w:tcPr>
          <w:p w14:paraId="64E9E8F8" w14:textId="6875FCAE" w:rsidR="00A44334" w:rsidRPr="002C21B8" w:rsidRDefault="00A44334" w:rsidP="00A44334">
            <w:pPr>
              <w:spacing w:after="120" w:line="240" w:lineRule="auto"/>
              <w:jc w:val="left"/>
              <w:rPr>
                <w:sz w:val="18"/>
                <w:szCs w:val="18"/>
              </w:rPr>
            </w:pPr>
            <w:r w:rsidRPr="002C21B8">
              <w:rPr>
                <w:sz w:val="18"/>
                <w:szCs w:val="18"/>
              </w:rPr>
              <w:t xml:space="preserve">Q30. Please indicate your views on the benefits of tolvaptan for people with ADPKD. </w:t>
            </w:r>
          </w:p>
        </w:tc>
        <w:tc>
          <w:tcPr>
            <w:tcW w:w="1981" w:type="dxa"/>
          </w:tcPr>
          <w:p w14:paraId="7C9B6BDA" w14:textId="77777777" w:rsidR="00A44334" w:rsidRPr="002C21B8" w:rsidRDefault="00A44334" w:rsidP="00A44334">
            <w:pPr>
              <w:spacing w:after="120" w:line="240" w:lineRule="auto"/>
              <w:jc w:val="left"/>
              <w:rPr>
                <w:sz w:val="18"/>
                <w:szCs w:val="18"/>
              </w:rPr>
            </w:pPr>
            <w:r w:rsidRPr="002C21B8">
              <w:rPr>
                <w:sz w:val="18"/>
                <w:szCs w:val="18"/>
              </w:rPr>
              <w:t>Closed (categorical, Likert-type scale)</w:t>
            </w:r>
          </w:p>
        </w:tc>
        <w:tc>
          <w:tcPr>
            <w:tcW w:w="2977" w:type="dxa"/>
          </w:tcPr>
          <w:p w14:paraId="71858167" w14:textId="42A8E1D2" w:rsidR="00A44334" w:rsidRPr="002C21B8" w:rsidRDefault="00A44334" w:rsidP="00A44334">
            <w:pPr>
              <w:spacing w:after="120" w:line="240" w:lineRule="auto"/>
              <w:jc w:val="left"/>
              <w:rPr>
                <w:sz w:val="18"/>
                <w:szCs w:val="18"/>
              </w:rPr>
            </w:pPr>
            <w:r w:rsidRPr="002C21B8">
              <w:rPr>
                <w:sz w:val="18"/>
                <w:szCs w:val="18"/>
              </w:rPr>
              <w:t>To explore clinicians’ perception of treatment benefit.</w:t>
            </w:r>
          </w:p>
        </w:tc>
      </w:tr>
      <w:tr w:rsidR="00A44334" w:rsidRPr="002C21B8" w14:paraId="7CBBF60F" w14:textId="77777777" w:rsidTr="00C30535">
        <w:tc>
          <w:tcPr>
            <w:tcW w:w="318" w:type="dxa"/>
            <w:vMerge/>
          </w:tcPr>
          <w:p w14:paraId="1DF6C207" w14:textId="77777777" w:rsidR="00A44334" w:rsidRPr="002C21B8" w:rsidRDefault="00A44334" w:rsidP="00A44334">
            <w:pPr>
              <w:spacing w:after="120" w:line="240" w:lineRule="auto"/>
              <w:jc w:val="left"/>
              <w:rPr>
                <w:sz w:val="18"/>
                <w:szCs w:val="18"/>
              </w:rPr>
            </w:pPr>
          </w:p>
        </w:tc>
        <w:tc>
          <w:tcPr>
            <w:tcW w:w="1945" w:type="dxa"/>
            <w:vMerge/>
          </w:tcPr>
          <w:p w14:paraId="1E7E5106" w14:textId="77777777" w:rsidR="00A44334" w:rsidRPr="002C21B8" w:rsidRDefault="00A44334" w:rsidP="00A44334">
            <w:pPr>
              <w:spacing w:after="120" w:line="240" w:lineRule="auto"/>
              <w:jc w:val="left"/>
              <w:rPr>
                <w:sz w:val="18"/>
                <w:szCs w:val="18"/>
              </w:rPr>
            </w:pPr>
          </w:p>
        </w:tc>
        <w:tc>
          <w:tcPr>
            <w:tcW w:w="6663" w:type="dxa"/>
          </w:tcPr>
          <w:p w14:paraId="6EF71BC8" w14:textId="7F86B44F" w:rsidR="00A44334" w:rsidRPr="002C21B8" w:rsidRDefault="00A44334" w:rsidP="00A44334">
            <w:pPr>
              <w:spacing w:after="120" w:line="240" w:lineRule="auto"/>
              <w:jc w:val="left"/>
              <w:rPr>
                <w:sz w:val="18"/>
                <w:szCs w:val="18"/>
              </w:rPr>
            </w:pPr>
            <w:r w:rsidRPr="002C21B8">
              <w:rPr>
                <w:sz w:val="18"/>
                <w:szCs w:val="18"/>
              </w:rPr>
              <w:t>Q31. Which of the following best fits your clinical role?</w:t>
            </w:r>
          </w:p>
        </w:tc>
        <w:tc>
          <w:tcPr>
            <w:tcW w:w="1981" w:type="dxa"/>
          </w:tcPr>
          <w:p w14:paraId="18F1C83C" w14:textId="77777777" w:rsidR="00A44334" w:rsidRPr="002C21B8" w:rsidRDefault="00A44334" w:rsidP="00A44334">
            <w:pPr>
              <w:spacing w:after="120" w:line="240" w:lineRule="auto"/>
              <w:jc w:val="left"/>
              <w:rPr>
                <w:sz w:val="18"/>
                <w:szCs w:val="18"/>
              </w:rPr>
            </w:pPr>
            <w:r w:rsidRPr="002C21B8">
              <w:rPr>
                <w:sz w:val="18"/>
                <w:szCs w:val="18"/>
              </w:rPr>
              <w:t>Closed (categorical, single choice)</w:t>
            </w:r>
          </w:p>
        </w:tc>
        <w:tc>
          <w:tcPr>
            <w:tcW w:w="2977" w:type="dxa"/>
          </w:tcPr>
          <w:p w14:paraId="0E9B73F3" w14:textId="77777777" w:rsidR="00A44334" w:rsidRPr="002C21B8" w:rsidRDefault="00A44334" w:rsidP="00A44334">
            <w:pPr>
              <w:spacing w:after="120" w:line="240" w:lineRule="auto"/>
              <w:jc w:val="left"/>
              <w:rPr>
                <w:sz w:val="18"/>
                <w:szCs w:val="18"/>
              </w:rPr>
            </w:pPr>
            <w:r w:rsidRPr="002C21B8">
              <w:rPr>
                <w:sz w:val="18"/>
                <w:szCs w:val="18"/>
              </w:rPr>
              <w:t>To profile respondent roles.</w:t>
            </w:r>
          </w:p>
        </w:tc>
      </w:tr>
      <w:tr w:rsidR="00A44334" w:rsidRPr="002C21B8" w14:paraId="3EA86A24" w14:textId="77777777" w:rsidTr="00C30535">
        <w:tc>
          <w:tcPr>
            <w:tcW w:w="318" w:type="dxa"/>
            <w:vMerge/>
          </w:tcPr>
          <w:p w14:paraId="51DB93E9" w14:textId="77777777" w:rsidR="00A44334" w:rsidRPr="002C21B8" w:rsidRDefault="00A44334" w:rsidP="00A44334">
            <w:pPr>
              <w:spacing w:after="120" w:line="240" w:lineRule="auto"/>
              <w:jc w:val="left"/>
              <w:rPr>
                <w:sz w:val="18"/>
                <w:szCs w:val="18"/>
              </w:rPr>
            </w:pPr>
          </w:p>
        </w:tc>
        <w:tc>
          <w:tcPr>
            <w:tcW w:w="1945" w:type="dxa"/>
            <w:vMerge/>
          </w:tcPr>
          <w:p w14:paraId="6FC63239" w14:textId="77777777" w:rsidR="00A44334" w:rsidRPr="002C21B8" w:rsidRDefault="00A44334" w:rsidP="00A44334">
            <w:pPr>
              <w:spacing w:after="120" w:line="240" w:lineRule="auto"/>
              <w:jc w:val="left"/>
              <w:rPr>
                <w:sz w:val="18"/>
                <w:szCs w:val="18"/>
              </w:rPr>
            </w:pPr>
          </w:p>
        </w:tc>
        <w:tc>
          <w:tcPr>
            <w:tcW w:w="6663" w:type="dxa"/>
          </w:tcPr>
          <w:p w14:paraId="2181BA15" w14:textId="0C8D4E5C" w:rsidR="00A44334" w:rsidRPr="002C21B8" w:rsidRDefault="00A44334" w:rsidP="00A44334">
            <w:pPr>
              <w:spacing w:after="120" w:line="240" w:lineRule="auto"/>
              <w:jc w:val="left"/>
              <w:rPr>
                <w:sz w:val="18"/>
                <w:szCs w:val="18"/>
              </w:rPr>
            </w:pPr>
            <w:r w:rsidRPr="002C21B8">
              <w:rPr>
                <w:sz w:val="18"/>
                <w:szCs w:val="18"/>
              </w:rPr>
              <w:t>Q32. Are you the ADPKD lead at your centre?</w:t>
            </w:r>
          </w:p>
        </w:tc>
        <w:tc>
          <w:tcPr>
            <w:tcW w:w="1981" w:type="dxa"/>
          </w:tcPr>
          <w:p w14:paraId="08CC7766" w14:textId="77777777" w:rsidR="00A44334" w:rsidRPr="002C21B8" w:rsidRDefault="00A44334" w:rsidP="00A44334">
            <w:pPr>
              <w:spacing w:after="120" w:line="240" w:lineRule="auto"/>
              <w:jc w:val="left"/>
              <w:rPr>
                <w:sz w:val="18"/>
                <w:szCs w:val="18"/>
              </w:rPr>
            </w:pPr>
            <w:r w:rsidRPr="002C21B8">
              <w:rPr>
                <w:sz w:val="18"/>
                <w:szCs w:val="18"/>
              </w:rPr>
              <w:t>Closed (categorical, single choice)</w:t>
            </w:r>
          </w:p>
        </w:tc>
        <w:tc>
          <w:tcPr>
            <w:tcW w:w="2977" w:type="dxa"/>
          </w:tcPr>
          <w:p w14:paraId="270D2746" w14:textId="77777777" w:rsidR="00A44334" w:rsidRPr="002C21B8" w:rsidRDefault="00A44334" w:rsidP="00A44334">
            <w:pPr>
              <w:spacing w:after="120" w:line="240" w:lineRule="auto"/>
              <w:jc w:val="left"/>
              <w:rPr>
                <w:sz w:val="18"/>
                <w:szCs w:val="18"/>
              </w:rPr>
            </w:pPr>
            <w:r w:rsidRPr="002C21B8">
              <w:rPr>
                <w:sz w:val="18"/>
                <w:szCs w:val="18"/>
              </w:rPr>
              <w:t>To determine leadership responsibilities among respondents.</w:t>
            </w:r>
          </w:p>
        </w:tc>
      </w:tr>
    </w:tbl>
    <w:p w14:paraId="6032B7A0" w14:textId="43750EE5" w:rsidR="00786C06" w:rsidRPr="002C21B8" w:rsidRDefault="00786C06" w:rsidP="003374F4"/>
    <w:p w14:paraId="69CFBFBB" w14:textId="77777777" w:rsidR="0051138D" w:rsidRPr="002C21B8" w:rsidRDefault="0051138D" w:rsidP="003374F4">
      <w:pPr>
        <w:sectPr w:rsidR="0051138D" w:rsidRPr="002C21B8" w:rsidSect="0009672F">
          <w:headerReference w:type="default" r:id="rId232"/>
          <w:headerReference w:type="first" r:id="rId233"/>
          <w:type w:val="continuous"/>
          <w:pgSz w:w="16838" w:h="11906" w:orient="landscape"/>
          <w:pgMar w:top="1440" w:right="1440" w:bottom="1440" w:left="1440" w:header="708" w:footer="708" w:gutter="0"/>
          <w:cols w:space="708"/>
          <w:titlePg/>
          <w:docGrid w:linePitch="360"/>
        </w:sectPr>
      </w:pPr>
    </w:p>
    <w:p w14:paraId="49D0D3D5" w14:textId="62931A2B" w:rsidR="00786C06" w:rsidRPr="002C21B8" w:rsidRDefault="00786C06" w:rsidP="004507C8">
      <w:pPr>
        <w:pStyle w:val="Heading3"/>
        <w:numPr>
          <w:ilvl w:val="0"/>
          <w:numId w:val="0"/>
        </w:numPr>
      </w:pPr>
      <w:r w:rsidRPr="002C21B8">
        <w:t xml:space="preserve">Mapping of questions to </w:t>
      </w:r>
      <w:r w:rsidR="00761CFF" w:rsidRPr="002C21B8">
        <w:t>conceptual model</w:t>
      </w:r>
      <w:r w:rsidR="00175D37" w:rsidRPr="002C21B8">
        <w:t xml:space="preserve"> of prescribing decision</w:t>
      </w:r>
      <w:r w:rsidR="00A977BF" w:rsidRPr="002C21B8">
        <w:t>-making</w:t>
      </w:r>
      <w:r w:rsidR="00175D37" w:rsidRPr="002C21B8">
        <w:t xml:space="preserve"> </w:t>
      </w:r>
      <w:r w:rsidR="00A977BF" w:rsidRPr="002C21B8">
        <w:t>in</w:t>
      </w:r>
      <w:r w:rsidR="00175D37" w:rsidRPr="002C21B8">
        <w:t xml:space="preserve"> rare diseases</w:t>
      </w:r>
    </w:p>
    <w:tbl>
      <w:tblPr>
        <w:tblW w:w="1360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102"/>
        <w:gridCol w:w="2835"/>
        <w:gridCol w:w="5669"/>
      </w:tblGrid>
      <w:tr w:rsidR="0051138D" w:rsidRPr="002C21B8" w14:paraId="06AD75FE" w14:textId="77777777" w:rsidTr="0051138D">
        <w:trPr>
          <w:trHeight w:val="283"/>
        </w:trPr>
        <w:tc>
          <w:tcPr>
            <w:tcW w:w="5102" w:type="dxa"/>
            <w:shd w:val="clear" w:color="auto" w:fill="auto"/>
            <w:noWrap/>
            <w:vAlign w:val="center"/>
            <w:hideMark/>
          </w:tcPr>
          <w:p w14:paraId="2FE913B4" w14:textId="77777777" w:rsidR="0051138D" w:rsidRPr="002C21B8" w:rsidRDefault="0051138D" w:rsidP="0051138D">
            <w:pPr>
              <w:spacing w:after="0" w:line="240" w:lineRule="auto"/>
              <w:jc w:val="left"/>
              <w:rPr>
                <w:b/>
                <w:bCs/>
                <w:color w:val="000000"/>
                <w:sz w:val="16"/>
                <w:szCs w:val="16"/>
              </w:rPr>
            </w:pPr>
            <w:r w:rsidRPr="002C21B8">
              <w:rPr>
                <w:b/>
                <w:bCs/>
                <w:color w:val="000000"/>
                <w:sz w:val="16"/>
                <w:szCs w:val="16"/>
              </w:rPr>
              <w:t>Survey Question (brief summary)</w:t>
            </w:r>
          </w:p>
        </w:tc>
        <w:tc>
          <w:tcPr>
            <w:tcW w:w="2835" w:type="dxa"/>
            <w:shd w:val="clear" w:color="auto" w:fill="auto"/>
            <w:noWrap/>
            <w:vAlign w:val="center"/>
            <w:hideMark/>
          </w:tcPr>
          <w:p w14:paraId="1BA5ACAC" w14:textId="77777777" w:rsidR="0051138D" w:rsidRPr="002C21B8" w:rsidRDefault="0051138D" w:rsidP="0051138D">
            <w:pPr>
              <w:spacing w:after="0" w:line="240" w:lineRule="auto"/>
              <w:jc w:val="left"/>
              <w:rPr>
                <w:b/>
                <w:bCs/>
                <w:color w:val="000000"/>
                <w:sz w:val="16"/>
                <w:szCs w:val="16"/>
              </w:rPr>
            </w:pPr>
            <w:r w:rsidRPr="002C21B8">
              <w:rPr>
                <w:b/>
                <w:bCs/>
                <w:color w:val="000000"/>
                <w:sz w:val="16"/>
                <w:szCs w:val="16"/>
              </w:rPr>
              <w:t>Model Domain</w:t>
            </w:r>
          </w:p>
        </w:tc>
        <w:tc>
          <w:tcPr>
            <w:tcW w:w="5669" w:type="dxa"/>
            <w:shd w:val="clear" w:color="auto" w:fill="auto"/>
            <w:noWrap/>
            <w:vAlign w:val="center"/>
            <w:hideMark/>
          </w:tcPr>
          <w:p w14:paraId="3DDDF284" w14:textId="77777777" w:rsidR="0051138D" w:rsidRPr="002C21B8" w:rsidRDefault="0051138D" w:rsidP="0051138D">
            <w:pPr>
              <w:spacing w:after="0" w:line="240" w:lineRule="auto"/>
              <w:jc w:val="left"/>
              <w:rPr>
                <w:b/>
                <w:bCs/>
                <w:color w:val="000000"/>
                <w:sz w:val="16"/>
                <w:szCs w:val="16"/>
              </w:rPr>
            </w:pPr>
            <w:r w:rsidRPr="002C21B8">
              <w:rPr>
                <w:b/>
                <w:bCs/>
                <w:color w:val="000000"/>
                <w:sz w:val="16"/>
                <w:szCs w:val="16"/>
              </w:rPr>
              <w:t>Factor</w:t>
            </w:r>
          </w:p>
        </w:tc>
      </w:tr>
      <w:tr w:rsidR="0051138D" w:rsidRPr="002C21B8" w14:paraId="454D4C0D" w14:textId="77777777" w:rsidTr="0051138D">
        <w:trPr>
          <w:trHeight w:val="283"/>
        </w:trPr>
        <w:tc>
          <w:tcPr>
            <w:tcW w:w="5102" w:type="dxa"/>
            <w:shd w:val="clear" w:color="auto" w:fill="auto"/>
            <w:noWrap/>
            <w:vAlign w:val="center"/>
            <w:hideMark/>
          </w:tcPr>
          <w:p w14:paraId="4794420D" w14:textId="77777777" w:rsidR="0051138D" w:rsidRPr="002C21B8" w:rsidRDefault="0051138D" w:rsidP="0051138D">
            <w:pPr>
              <w:spacing w:after="0" w:line="240" w:lineRule="auto"/>
              <w:jc w:val="left"/>
              <w:rPr>
                <w:color w:val="000000"/>
                <w:sz w:val="16"/>
                <w:szCs w:val="16"/>
              </w:rPr>
            </w:pPr>
            <w:r w:rsidRPr="002C21B8">
              <w:rPr>
                <w:color w:val="000000"/>
                <w:sz w:val="16"/>
                <w:szCs w:val="16"/>
              </w:rPr>
              <w:t>Q1. Name of kidney centre</w:t>
            </w:r>
          </w:p>
        </w:tc>
        <w:tc>
          <w:tcPr>
            <w:tcW w:w="2835" w:type="dxa"/>
            <w:shd w:val="clear" w:color="auto" w:fill="auto"/>
            <w:noWrap/>
            <w:vAlign w:val="center"/>
            <w:hideMark/>
          </w:tcPr>
          <w:p w14:paraId="1DB6D014"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Contextual factors</w:t>
            </w:r>
          </w:p>
        </w:tc>
        <w:tc>
          <w:tcPr>
            <w:tcW w:w="5669" w:type="dxa"/>
            <w:shd w:val="clear" w:color="auto" w:fill="auto"/>
            <w:noWrap/>
            <w:vAlign w:val="center"/>
            <w:hideMark/>
          </w:tcPr>
          <w:p w14:paraId="09596390"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Condition factors (centre-level)</w:t>
            </w:r>
          </w:p>
        </w:tc>
      </w:tr>
      <w:tr w:rsidR="0051138D" w:rsidRPr="002C21B8" w14:paraId="0C1CBFED" w14:textId="77777777" w:rsidTr="0051138D">
        <w:trPr>
          <w:trHeight w:val="283"/>
        </w:trPr>
        <w:tc>
          <w:tcPr>
            <w:tcW w:w="5102" w:type="dxa"/>
            <w:shd w:val="clear" w:color="auto" w:fill="auto"/>
            <w:noWrap/>
            <w:vAlign w:val="center"/>
            <w:hideMark/>
          </w:tcPr>
          <w:p w14:paraId="416B662A" w14:textId="77777777" w:rsidR="0051138D" w:rsidRPr="002C21B8" w:rsidRDefault="0051138D" w:rsidP="0051138D">
            <w:pPr>
              <w:spacing w:after="0" w:line="240" w:lineRule="auto"/>
              <w:jc w:val="left"/>
              <w:rPr>
                <w:color w:val="000000"/>
                <w:sz w:val="16"/>
                <w:szCs w:val="16"/>
              </w:rPr>
            </w:pPr>
            <w:r w:rsidRPr="002C21B8">
              <w:rPr>
                <w:color w:val="000000"/>
                <w:sz w:val="16"/>
                <w:szCs w:val="16"/>
              </w:rPr>
              <w:t>Q2. Number of ADPKD patients under follow-up</w:t>
            </w:r>
          </w:p>
        </w:tc>
        <w:tc>
          <w:tcPr>
            <w:tcW w:w="2835" w:type="dxa"/>
            <w:shd w:val="clear" w:color="auto" w:fill="auto"/>
            <w:noWrap/>
            <w:vAlign w:val="center"/>
            <w:hideMark/>
          </w:tcPr>
          <w:p w14:paraId="503B321F"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Contextual factors</w:t>
            </w:r>
          </w:p>
        </w:tc>
        <w:tc>
          <w:tcPr>
            <w:tcW w:w="5669" w:type="dxa"/>
            <w:shd w:val="clear" w:color="auto" w:fill="auto"/>
            <w:noWrap/>
            <w:vAlign w:val="center"/>
            <w:hideMark/>
          </w:tcPr>
          <w:p w14:paraId="09FEB970"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Condition factors (small patient numbers / patient volume)</w:t>
            </w:r>
          </w:p>
        </w:tc>
      </w:tr>
      <w:tr w:rsidR="0051138D" w:rsidRPr="002C21B8" w14:paraId="530E93AE" w14:textId="77777777" w:rsidTr="0051138D">
        <w:trPr>
          <w:trHeight w:val="283"/>
        </w:trPr>
        <w:tc>
          <w:tcPr>
            <w:tcW w:w="5102" w:type="dxa"/>
            <w:shd w:val="clear" w:color="auto" w:fill="auto"/>
            <w:noWrap/>
            <w:vAlign w:val="center"/>
            <w:hideMark/>
          </w:tcPr>
          <w:p w14:paraId="45FBB074" w14:textId="77777777" w:rsidR="0051138D" w:rsidRPr="002C21B8" w:rsidRDefault="0051138D" w:rsidP="0051138D">
            <w:pPr>
              <w:spacing w:after="0" w:line="240" w:lineRule="auto"/>
              <w:jc w:val="left"/>
              <w:rPr>
                <w:color w:val="000000"/>
                <w:sz w:val="16"/>
                <w:szCs w:val="16"/>
              </w:rPr>
            </w:pPr>
            <w:r w:rsidRPr="002C21B8">
              <w:rPr>
                <w:color w:val="000000"/>
                <w:sz w:val="16"/>
                <w:szCs w:val="16"/>
              </w:rPr>
              <w:t>Q3. Number currently receiving tolvaptan</w:t>
            </w:r>
          </w:p>
        </w:tc>
        <w:tc>
          <w:tcPr>
            <w:tcW w:w="2835" w:type="dxa"/>
            <w:shd w:val="clear" w:color="auto" w:fill="auto"/>
            <w:noWrap/>
            <w:vAlign w:val="center"/>
            <w:hideMark/>
          </w:tcPr>
          <w:p w14:paraId="63AD254F"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Contextual factors</w:t>
            </w:r>
          </w:p>
        </w:tc>
        <w:tc>
          <w:tcPr>
            <w:tcW w:w="5669" w:type="dxa"/>
            <w:shd w:val="clear" w:color="auto" w:fill="auto"/>
            <w:noWrap/>
            <w:vAlign w:val="center"/>
            <w:hideMark/>
          </w:tcPr>
          <w:p w14:paraId="047D395F"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Condition factors (patient volume)</w:t>
            </w:r>
          </w:p>
        </w:tc>
      </w:tr>
      <w:tr w:rsidR="0051138D" w:rsidRPr="002C21B8" w14:paraId="2EA87603" w14:textId="77777777" w:rsidTr="0051138D">
        <w:trPr>
          <w:trHeight w:val="283"/>
        </w:trPr>
        <w:tc>
          <w:tcPr>
            <w:tcW w:w="5102" w:type="dxa"/>
            <w:shd w:val="clear" w:color="auto" w:fill="auto"/>
            <w:noWrap/>
            <w:vAlign w:val="center"/>
            <w:hideMark/>
          </w:tcPr>
          <w:p w14:paraId="71444D74" w14:textId="77777777" w:rsidR="0051138D" w:rsidRPr="002C21B8" w:rsidRDefault="0051138D" w:rsidP="0051138D">
            <w:pPr>
              <w:spacing w:after="0" w:line="240" w:lineRule="auto"/>
              <w:jc w:val="left"/>
              <w:rPr>
                <w:color w:val="000000"/>
                <w:sz w:val="16"/>
                <w:szCs w:val="16"/>
              </w:rPr>
            </w:pPr>
            <w:r w:rsidRPr="002C21B8">
              <w:rPr>
                <w:color w:val="000000"/>
                <w:sz w:val="16"/>
                <w:szCs w:val="16"/>
              </w:rPr>
              <w:t>Q4. Number started on tolvaptan each month</w:t>
            </w:r>
          </w:p>
        </w:tc>
        <w:tc>
          <w:tcPr>
            <w:tcW w:w="2835" w:type="dxa"/>
            <w:shd w:val="clear" w:color="auto" w:fill="auto"/>
            <w:noWrap/>
            <w:vAlign w:val="center"/>
            <w:hideMark/>
          </w:tcPr>
          <w:p w14:paraId="645C53C6"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Contextual factors</w:t>
            </w:r>
          </w:p>
        </w:tc>
        <w:tc>
          <w:tcPr>
            <w:tcW w:w="5669" w:type="dxa"/>
            <w:shd w:val="clear" w:color="auto" w:fill="auto"/>
            <w:noWrap/>
            <w:vAlign w:val="center"/>
            <w:hideMark/>
          </w:tcPr>
          <w:p w14:paraId="4506BDB4"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Condition factors (patient volume, clinical burden)</w:t>
            </w:r>
          </w:p>
        </w:tc>
      </w:tr>
      <w:tr w:rsidR="0051138D" w:rsidRPr="002C21B8" w14:paraId="0897A451" w14:textId="77777777" w:rsidTr="0051138D">
        <w:trPr>
          <w:trHeight w:val="283"/>
        </w:trPr>
        <w:tc>
          <w:tcPr>
            <w:tcW w:w="5102" w:type="dxa"/>
            <w:shd w:val="clear" w:color="auto" w:fill="auto"/>
            <w:noWrap/>
            <w:vAlign w:val="center"/>
            <w:hideMark/>
          </w:tcPr>
          <w:p w14:paraId="0FC41FD8" w14:textId="77777777" w:rsidR="0051138D" w:rsidRPr="002C21B8" w:rsidRDefault="0051138D" w:rsidP="0051138D">
            <w:pPr>
              <w:spacing w:after="0" w:line="240" w:lineRule="auto"/>
              <w:jc w:val="left"/>
              <w:rPr>
                <w:color w:val="000000"/>
                <w:sz w:val="16"/>
                <w:szCs w:val="16"/>
              </w:rPr>
            </w:pPr>
            <w:r w:rsidRPr="002C21B8">
              <w:rPr>
                <w:color w:val="000000"/>
                <w:sz w:val="16"/>
                <w:szCs w:val="16"/>
              </w:rPr>
              <w:t>Q5. Proportion starting tolvaptan after eligibility</w:t>
            </w:r>
          </w:p>
        </w:tc>
        <w:tc>
          <w:tcPr>
            <w:tcW w:w="2835" w:type="dxa"/>
            <w:shd w:val="clear" w:color="auto" w:fill="auto"/>
            <w:noWrap/>
            <w:vAlign w:val="center"/>
            <w:hideMark/>
          </w:tcPr>
          <w:p w14:paraId="72065145" w14:textId="77777777" w:rsidR="0051138D" w:rsidRPr="002C21B8" w:rsidRDefault="0051138D" w:rsidP="0051138D">
            <w:pPr>
              <w:spacing w:after="0" w:line="240" w:lineRule="auto"/>
              <w:jc w:val="left"/>
              <w:rPr>
                <w:color w:val="000000"/>
                <w:sz w:val="16"/>
                <w:szCs w:val="16"/>
              </w:rPr>
            </w:pPr>
            <w:r w:rsidRPr="002C21B8">
              <w:rPr>
                <w:color w:val="000000"/>
                <w:sz w:val="16"/>
                <w:szCs w:val="16"/>
              </w:rPr>
              <w:t>Contextual factors</w:t>
            </w:r>
          </w:p>
        </w:tc>
        <w:tc>
          <w:tcPr>
            <w:tcW w:w="5669" w:type="dxa"/>
            <w:shd w:val="clear" w:color="auto" w:fill="auto"/>
            <w:noWrap/>
            <w:vAlign w:val="center"/>
            <w:hideMark/>
          </w:tcPr>
          <w:p w14:paraId="7768BFEB" w14:textId="77777777" w:rsidR="0051138D" w:rsidRPr="002C21B8" w:rsidRDefault="0051138D" w:rsidP="0051138D">
            <w:pPr>
              <w:spacing w:after="0" w:line="240" w:lineRule="auto"/>
              <w:jc w:val="left"/>
              <w:rPr>
                <w:color w:val="000000"/>
                <w:sz w:val="16"/>
                <w:szCs w:val="16"/>
              </w:rPr>
            </w:pPr>
            <w:r w:rsidRPr="002C21B8">
              <w:rPr>
                <w:color w:val="000000"/>
                <w:sz w:val="16"/>
                <w:szCs w:val="16"/>
              </w:rPr>
              <w:t>Risk-benefit assessment, Clinical inertia</w:t>
            </w:r>
          </w:p>
        </w:tc>
      </w:tr>
      <w:tr w:rsidR="0051138D" w:rsidRPr="002C21B8" w14:paraId="682453E1" w14:textId="77777777" w:rsidTr="0051138D">
        <w:trPr>
          <w:trHeight w:val="283"/>
        </w:trPr>
        <w:tc>
          <w:tcPr>
            <w:tcW w:w="5102" w:type="dxa"/>
            <w:shd w:val="clear" w:color="auto" w:fill="auto"/>
            <w:noWrap/>
            <w:vAlign w:val="center"/>
            <w:hideMark/>
          </w:tcPr>
          <w:p w14:paraId="3C877A56" w14:textId="77777777" w:rsidR="0051138D" w:rsidRPr="002C21B8" w:rsidRDefault="0051138D" w:rsidP="0051138D">
            <w:pPr>
              <w:spacing w:after="0" w:line="240" w:lineRule="auto"/>
              <w:jc w:val="left"/>
              <w:rPr>
                <w:color w:val="000000"/>
                <w:sz w:val="16"/>
                <w:szCs w:val="16"/>
              </w:rPr>
            </w:pPr>
            <w:r w:rsidRPr="002C21B8">
              <w:rPr>
                <w:color w:val="000000"/>
                <w:sz w:val="16"/>
                <w:szCs w:val="16"/>
              </w:rPr>
              <w:t>Q6. Limit on number of people on tolvaptan</w:t>
            </w:r>
          </w:p>
        </w:tc>
        <w:tc>
          <w:tcPr>
            <w:tcW w:w="2835" w:type="dxa"/>
            <w:shd w:val="clear" w:color="auto" w:fill="auto"/>
            <w:noWrap/>
            <w:vAlign w:val="center"/>
            <w:hideMark/>
          </w:tcPr>
          <w:p w14:paraId="346D16F3"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58163CB8"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Availability of staff, Patient volume, Time constraints</w:t>
            </w:r>
          </w:p>
        </w:tc>
      </w:tr>
      <w:tr w:rsidR="0051138D" w:rsidRPr="002C21B8" w14:paraId="74266196" w14:textId="77777777" w:rsidTr="0051138D">
        <w:trPr>
          <w:trHeight w:val="283"/>
        </w:trPr>
        <w:tc>
          <w:tcPr>
            <w:tcW w:w="5102" w:type="dxa"/>
            <w:shd w:val="clear" w:color="auto" w:fill="auto"/>
            <w:noWrap/>
            <w:vAlign w:val="center"/>
            <w:hideMark/>
          </w:tcPr>
          <w:p w14:paraId="54B2D44D" w14:textId="77777777" w:rsidR="0051138D" w:rsidRPr="002C21B8" w:rsidRDefault="0051138D" w:rsidP="0051138D">
            <w:pPr>
              <w:spacing w:after="0" w:line="240" w:lineRule="auto"/>
              <w:jc w:val="left"/>
              <w:rPr>
                <w:color w:val="000000"/>
                <w:sz w:val="16"/>
                <w:szCs w:val="16"/>
              </w:rPr>
            </w:pPr>
            <w:r w:rsidRPr="002C21B8">
              <w:rPr>
                <w:color w:val="000000"/>
                <w:sz w:val="16"/>
                <w:szCs w:val="16"/>
              </w:rPr>
              <w:t>Q6a. Centre at/near limit?</w:t>
            </w:r>
          </w:p>
        </w:tc>
        <w:tc>
          <w:tcPr>
            <w:tcW w:w="2835" w:type="dxa"/>
            <w:shd w:val="clear" w:color="auto" w:fill="auto"/>
            <w:noWrap/>
            <w:vAlign w:val="center"/>
            <w:hideMark/>
          </w:tcPr>
          <w:p w14:paraId="6B876796"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449DC89F"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Availability of staff, Patient volume, Resource limitation</w:t>
            </w:r>
          </w:p>
        </w:tc>
      </w:tr>
      <w:tr w:rsidR="0051138D" w:rsidRPr="002C21B8" w14:paraId="74DAA255" w14:textId="77777777" w:rsidTr="0051138D">
        <w:trPr>
          <w:trHeight w:val="283"/>
        </w:trPr>
        <w:tc>
          <w:tcPr>
            <w:tcW w:w="5102" w:type="dxa"/>
            <w:shd w:val="clear" w:color="auto" w:fill="auto"/>
            <w:noWrap/>
            <w:vAlign w:val="center"/>
            <w:hideMark/>
          </w:tcPr>
          <w:p w14:paraId="7F7AB1EC" w14:textId="77777777" w:rsidR="0051138D" w:rsidRPr="002C21B8" w:rsidRDefault="0051138D" w:rsidP="0051138D">
            <w:pPr>
              <w:spacing w:after="0" w:line="240" w:lineRule="auto"/>
              <w:jc w:val="left"/>
              <w:rPr>
                <w:color w:val="000000"/>
                <w:sz w:val="16"/>
                <w:szCs w:val="16"/>
              </w:rPr>
            </w:pPr>
            <w:r w:rsidRPr="002C21B8">
              <w:rPr>
                <w:color w:val="000000"/>
                <w:sz w:val="16"/>
                <w:szCs w:val="16"/>
              </w:rPr>
              <w:t>Q7. Centre recruited to RCTs</w:t>
            </w:r>
          </w:p>
        </w:tc>
        <w:tc>
          <w:tcPr>
            <w:tcW w:w="2835" w:type="dxa"/>
            <w:shd w:val="clear" w:color="auto" w:fill="auto"/>
            <w:noWrap/>
            <w:vAlign w:val="center"/>
            <w:hideMark/>
          </w:tcPr>
          <w:p w14:paraId="2108A34C" w14:textId="77777777" w:rsidR="0051138D" w:rsidRPr="002C21B8" w:rsidRDefault="0051138D" w:rsidP="0051138D">
            <w:pPr>
              <w:spacing w:after="0" w:line="240" w:lineRule="auto"/>
              <w:jc w:val="left"/>
              <w:rPr>
                <w:color w:val="000000"/>
                <w:sz w:val="16"/>
                <w:szCs w:val="16"/>
              </w:rPr>
            </w:pPr>
            <w:r w:rsidRPr="002C21B8">
              <w:rPr>
                <w:color w:val="000000"/>
                <w:sz w:val="16"/>
                <w:szCs w:val="16"/>
              </w:rPr>
              <w:t>External factors</w:t>
            </w:r>
          </w:p>
        </w:tc>
        <w:tc>
          <w:tcPr>
            <w:tcW w:w="5669" w:type="dxa"/>
            <w:shd w:val="clear" w:color="auto" w:fill="auto"/>
            <w:noWrap/>
            <w:vAlign w:val="center"/>
            <w:hideMark/>
          </w:tcPr>
          <w:p w14:paraId="636D5820" w14:textId="77777777" w:rsidR="0051138D" w:rsidRPr="002C21B8" w:rsidRDefault="0051138D" w:rsidP="0051138D">
            <w:pPr>
              <w:spacing w:after="0" w:line="240" w:lineRule="auto"/>
              <w:jc w:val="left"/>
              <w:rPr>
                <w:color w:val="000000"/>
                <w:sz w:val="16"/>
                <w:szCs w:val="16"/>
              </w:rPr>
            </w:pPr>
            <w:r w:rsidRPr="002C21B8">
              <w:rPr>
                <w:color w:val="000000"/>
                <w:sz w:val="16"/>
                <w:szCs w:val="16"/>
              </w:rPr>
              <w:t>Clinical trials, Expert opinion</w:t>
            </w:r>
          </w:p>
        </w:tc>
      </w:tr>
      <w:tr w:rsidR="0051138D" w:rsidRPr="002C21B8" w14:paraId="2BA6EDBB" w14:textId="77777777" w:rsidTr="0051138D">
        <w:trPr>
          <w:trHeight w:val="283"/>
        </w:trPr>
        <w:tc>
          <w:tcPr>
            <w:tcW w:w="5102" w:type="dxa"/>
            <w:shd w:val="clear" w:color="auto" w:fill="auto"/>
            <w:noWrap/>
            <w:vAlign w:val="center"/>
            <w:hideMark/>
          </w:tcPr>
          <w:p w14:paraId="02928780" w14:textId="77777777" w:rsidR="0051138D" w:rsidRPr="002C21B8" w:rsidRDefault="0051138D" w:rsidP="0051138D">
            <w:pPr>
              <w:spacing w:after="0" w:line="240" w:lineRule="auto"/>
              <w:jc w:val="left"/>
              <w:rPr>
                <w:color w:val="000000"/>
                <w:sz w:val="16"/>
                <w:szCs w:val="16"/>
              </w:rPr>
            </w:pPr>
            <w:r w:rsidRPr="002C21B8">
              <w:rPr>
                <w:color w:val="000000"/>
                <w:sz w:val="16"/>
                <w:szCs w:val="16"/>
              </w:rPr>
              <w:t>Q8. Local audits/service evaluations</w:t>
            </w:r>
          </w:p>
        </w:tc>
        <w:tc>
          <w:tcPr>
            <w:tcW w:w="2835" w:type="dxa"/>
            <w:shd w:val="clear" w:color="auto" w:fill="auto"/>
            <w:noWrap/>
            <w:vAlign w:val="center"/>
            <w:hideMark/>
          </w:tcPr>
          <w:p w14:paraId="4A64ED46"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CEF83FB" w14:textId="77777777" w:rsidR="0051138D" w:rsidRPr="002C21B8" w:rsidRDefault="0051138D" w:rsidP="0051138D">
            <w:pPr>
              <w:spacing w:after="0" w:line="240" w:lineRule="auto"/>
              <w:jc w:val="left"/>
              <w:rPr>
                <w:color w:val="000000"/>
                <w:sz w:val="16"/>
                <w:szCs w:val="16"/>
              </w:rPr>
            </w:pPr>
            <w:r w:rsidRPr="002C21B8">
              <w:rPr>
                <w:color w:val="000000"/>
                <w:sz w:val="16"/>
                <w:szCs w:val="16"/>
              </w:rPr>
              <w:t>Internal audit, Local guidelines</w:t>
            </w:r>
          </w:p>
        </w:tc>
      </w:tr>
      <w:tr w:rsidR="0051138D" w:rsidRPr="002C21B8" w14:paraId="25509390" w14:textId="77777777" w:rsidTr="0051138D">
        <w:trPr>
          <w:trHeight w:val="283"/>
        </w:trPr>
        <w:tc>
          <w:tcPr>
            <w:tcW w:w="5102" w:type="dxa"/>
            <w:shd w:val="clear" w:color="auto" w:fill="auto"/>
            <w:noWrap/>
            <w:vAlign w:val="center"/>
            <w:hideMark/>
          </w:tcPr>
          <w:p w14:paraId="3DFAE597" w14:textId="77777777" w:rsidR="0051138D" w:rsidRPr="002C21B8" w:rsidRDefault="0051138D" w:rsidP="0051138D">
            <w:pPr>
              <w:spacing w:after="0" w:line="240" w:lineRule="auto"/>
              <w:jc w:val="left"/>
              <w:rPr>
                <w:color w:val="000000"/>
                <w:sz w:val="16"/>
                <w:szCs w:val="16"/>
              </w:rPr>
            </w:pPr>
            <w:r w:rsidRPr="002C21B8">
              <w:rPr>
                <w:color w:val="000000"/>
                <w:sz w:val="16"/>
                <w:szCs w:val="16"/>
              </w:rPr>
              <w:t>Q9. Who is involved in treatment pathway</w:t>
            </w:r>
          </w:p>
        </w:tc>
        <w:tc>
          <w:tcPr>
            <w:tcW w:w="2835" w:type="dxa"/>
            <w:shd w:val="clear" w:color="auto" w:fill="auto"/>
            <w:noWrap/>
            <w:vAlign w:val="center"/>
            <w:hideMark/>
          </w:tcPr>
          <w:p w14:paraId="5D46B6B5"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 / Other HCPs</w:t>
            </w:r>
          </w:p>
        </w:tc>
        <w:tc>
          <w:tcPr>
            <w:tcW w:w="5669" w:type="dxa"/>
            <w:shd w:val="clear" w:color="auto" w:fill="auto"/>
            <w:noWrap/>
            <w:vAlign w:val="center"/>
            <w:hideMark/>
          </w:tcPr>
          <w:p w14:paraId="7CDC2A52" w14:textId="77777777" w:rsidR="0051138D" w:rsidRPr="002C21B8" w:rsidRDefault="0051138D" w:rsidP="0051138D">
            <w:pPr>
              <w:spacing w:after="0" w:line="240" w:lineRule="auto"/>
              <w:jc w:val="left"/>
              <w:rPr>
                <w:color w:val="000000"/>
                <w:sz w:val="16"/>
                <w:szCs w:val="16"/>
              </w:rPr>
            </w:pPr>
            <w:r w:rsidRPr="002C21B8">
              <w:rPr>
                <w:color w:val="000000"/>
                <w:sz w:val="16"/>
                <w:szCs w:val="16"/>
              </w:rPr>
              <w:t>Knowledge &amp; experience, Expert power, Shared responsibility</w:t>
            </w:r>
          </w:p>
        </w:tc>
      </w:tr>
      <w:tr w:rsidR="0051138D" w:rsidRPr="002C21B8" w14:paraId="6B9EC355" w14:textId="77777777" w:rsidTr="0051138D">
        <w:trPr>
          <w:trHeight w:val="283"/>
        </w:trPr>
        <w:tc>
          <w:tcPr>
            <w:tcW w:w="5102" w:type="dxa"/>
            <w:shd w:val="clear" w:color="auto" w:fill="auto"/>
            <w:noWrap/>
            <w:vAlign w:val="center"/>
            <w:hideMark/>
          </w:tcPr>
          <w:p w14:paraId="1F39B3E3" w14:textId="77777777" w:rsidR="0051138D" w:rsidRPr="002C21B8" w:rsidRDefault="0051138D" w:rsidP="0051138D">
            <w:pPr>
              <w:spacing w:after="0" w:line="240" w:lineRule="auto"/>
              <w:jc w:val="left"/>
              <w:rPr>
                <w:color w:val="000000"/>
                <w:sz w:val="16"/>
                <w:szCs w:val="16"/>
              </w:rPr>
            </w:pPr>
            <w:r w:rsidRPr="002C21B8">
              <w:rPr>
                <w:color w:val="000000"/>
                <w:sz w:val="16"/>
                <w:szCs w:val="16"/>
              </w:rPr>
              <w:t>Q10. Location of initial eligibility assessment</w:t>
            </w:r>
          </w:p>
        </w:tc>
        <w:tc>
          <w:tcPr>
            <w:tcW w:w="2835" w:type="dxa"/>
            <w:shd w:val="clear" w:color="auto" w:fill="auto"/>
            <w:noWrap/>
            <w:vAlign w:val="center"/>
            <w:hideMark/>
          </w:tcPr>
          <w:p w14:paraId="03B6C444"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5940C0B" w14:textId="3BB78B2E" w:rsidR="0051138D" w:rsidRPr="002C21B8" w:rsidRDefault="0051138D" w:rsidP="0051138D">
            <w:pPr>
              <w:spacing w:after="0" w:line="240" w:lineRule="auto"/>
              <w:jc w:val="left"/>
              <w:rPr>
                <w:color w:val="000000"/>
                <w:sz w:val="16"/>
                <w:szCs w:val="16"/>
              </w:rPr>
            </w:pPr>
            <w:r w:rsidRPr="002C21B8">
              <w:rPr>
                <w:color w:val="000000"/>
                <w:sz w:val="16"/>
                <w:szCs w:val="16"/>
              </w:rPr>
              <w:t>Decision location, C</w:t>
            </w:r>
            <w:r w:rsidR="0045139D" w:rsidRPr="002C21B8">
              <w:rPr>
                <w:color w:val="000000"/>
                <w:sz w:val="16"/>
                <w:szCs w:val="16"/>
              </w:rPr>
              <w:t>ohorting</w:t>
            </w:r>
          </w:p>
        </w:tc>
      </w:tr>
      <w:tr w:rsidR="0051138D" w:rsidRPr="002C21B8" w14:paraId="540C32A3" w14:textId="77777777" w:rsidTr="0051138D">
        <w:trPr>
          <w:trHeight w:val="283"/>
        </w:trPr>
        <w:tc>
          <w:tcPr>
            <w:tcW w:w="5102" w:type="dxa"/>
            <w:shd w:val="clear" w:color="auto" w:fill="auto"/>
            <w:noWrap/>
            <w:vAlign w:val="center"/>
            <w:hideMark/>
          </w:tcPr>
          <w:p w14:paraId="44B87CB4" w14:textId="77777777" w:rsidR="0051138D" w:rsidRPr="002C21B8" w:rsidRDefault="0051138D" w:rsidP="0051138D">
            <w:pPr>
              <w:spacing w:after="0" w:line="240" w:lineRule="auto"/>
              <w:jc w:val="left"/>
              <w:rPr>
                <w:color w:val="000000"/>
                <w:sz w:val="16"/>
                <w:szCs w:val="16"/>
              </w:rPr>
            </w:pPr>
            <w:r w:rsidRPr="002C21B8">
              <w:rPr>
                <w:color w:val="000000"/>
                <w:sz w:val="16"/>
                <w:szCs w:val="16"/>
              </w:rPr>
              <w:t>Q11. How eligibility decisions are made</w:t>
            </w:r>
          </w:p>
        </w:tc>
        <w:tc>
          <w:tcPr>
            <w:tcW w:w="2835" w:type="dxa"/>
            <w:shd w:val="clear" w:color="auto" w:fill="auto"/>
            <w:noWrap/>
            <w:vAlign w:val="center"/>
            <w:hideMark/>
          </w:tcPr>
          <w:p w14:paraId="7494E3B9"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w:t>
            </w:r>
          </w:p>
        </w:tc>
        <w:tc>
          <w:tcPr>
            <w:tcW w:w="5669" w:type="dxa"/>
            <w:shd w:val="clear" w:color="auto" w:fill="auto"/>
            <w:noWrap/>
            <w:vAlign w:val="center"/>
            <w:hideMark/>
          </w:tcPr>
          <w:p w14:paraId="0EF12459" w14:textId="77777777" w:rsidR="0051138D" w:rsidRPr="002C21B8" w:rsidRDefault="0051138D" w:rsidP="0051138D">
            <w:pPr>
              <w:spacing w:after="0" w:line="240" w:lineRule="auto"/>
              <w:jc w:val="left"/>
              <w:rPr>
                <w:color w:val="000000"/>
                <w:sz w:val="16"/>
                <w:szCs w:val="16"/>
              </w:rPr>
            </w:pPr>
            <w:r w:rsidRPr="002C21B8">
              <w:rPr>
                <w:color w:val="000000"/>
                <w:sz w:val="16"/>
                <w:szCs w:val="16"/>
              </w:rPr>
              <w:t>Approach to risk, Attitudes &amp; beliefs, Shared responsibility</w:t>
            </w:r>
          </w:p>
        </w:tc>
      </w:tr>
      <w:tr w:rsidR="0051138D" w:rsidRPr="002C21B8" w14:paraId="5A43AE25" w14:textId="77777777" w:rsidTr="0051138D">
        <w:trPr>
          <w:trHeight w:val="283"/>
        </w:trPr>
        <w:tc>
          <w:tcPr>
            <w:tcW w:w="5102" w:type="dxa"/>
            <w:shd w:val="clear" w:color="auto" w:fill="auto"/>
            <w:noWrap/>
            <w:vAlign w:val="center"/>
            <w:hideMark/>
          </w:tcPr>
          <w:p w14:paraId="72FF7BEA" w14:textId="77777777" w:rsidR="0051138D" w:rsidRPr="002C21B8" w:rsidRDefault="0051138D" w:rsidP="0051138D">
            <w:pPr>
              <w:spacing w:after="0" w:line="240" w:lineRule="auto"/>
              <w:jc w:val="left"/>
              <w:rPr>
                <w:color w:val="000000"/>
                <w:sz w:val="16"/>
                <w:szCs w:val="16"/>
              </w:rPr>
            </w:pPr>
            <w:r w:rsidRPr="002C21B8">
              <w:rPr>
                <w:color w:val="000000"/>
                <w:sz w:val="16"/>
                <w:szCs w:val="16"/>
              </w:rPr>
              <w:t>Q12. Who is primarily responsible for eligibility</w:t>
            </w:r>
          </w:p>
        </w:tc>
        <w:tc>
          <w:tcPr>
            <w:tcW w:w="2835" w:type="dxa"/>
            <w:shd w:val="clear" w:color="auto" w:fill="auto"/>
            <w:noWrap/>
            <w:vAlign w:val="center"/>
            <w:hideMark/>
          </w:tcPr>
          <w:p w14:paraId="4E41C501"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w:t>
            </w:r>
          </w:p>
        </w:tc>
        <w:tc>
          <w:tcPr>
            <w:tcW w:w="5669" w:type="dxa"/>
            <w:shd w:val="clear" w:color="auto" w:fill="auto"/>
            <w:noWrap/>
            <w:vAlign w:val="center"/>
            <w:hideMark/>
          </w:tcPr>
          <w:p w14:paraId="4C2FA116" w14:textId="77777777" w:rsidR="0051138D" w:rsidRPr="002C21B8" w:rsidRDefault="0051138D" w:rsidP="0051138D">
            <w:pPr>
              <w:spacing w:after="0" w:line="240" w:lineRule="auto"/>
              <w:jc w:val="left"/>
              <w:rPr>
                <w:color w:val="000000"/>
                <w:sz w:val="16"/>
                <w:szCs w:val="16"/>
              </w:rPr>
            </w:pPr>
            <w:r w:rsidRPr="002C21B8">
              <w:rPr>
                <w:color w:val="000000"/>
                <w:sz w:val="16"/>
                <w:szCs w:val="16"/>
              </w:rPr>
              <w:t>Knowledge &amp; experience, Specialty/Level of specialism</w:t>
            </w:r>
          </w:p>
        </w:tc>
      </w:tr>
      <w:tr w:rsidR="0051138D" w:rsidRPr="002C21B8" w14:paraId="2E0EFA50" w14:textId="77777777" w:rsidTr="0051138D">
        <w:trPr>
          <w:trHeight w:val="283"/>
        </w:trPr>
        <w:tc>
          <w:tcPr>
            <w:tcW w:w="5102" w:type="dxa"/>
            <w:shd w:val="clear" w:color="auto" w:fill="auto"/>
            <w:noWrap/>
            <w:vAlign w:val="center"/>
            <w:hideMark/>
          </w:tcPr>
          <w:p w14:paraId="717CA385" w14:textId="77777777" w:rsidR="0051138D" w:rsidRPr="002C21B8" w:rsidRDefault="0051138D" w:rsidP="0051138D">
            <w:pPr>
              <w:spacing w:after="0" w:line="240" w:lineRule="auto"/>
              <w:jc w:val="left"/>
              <w:rPr>
                <w:color w:val="000000"/>
                <w:sz w:val="16"/>
                <w:szCs w:val="16"/>
              </w:rPr>
            </w:pPr>
            <w:r w:rsidRPr="002C21B8">
              <w:rPr>
                <w:color w:val="000000"/>
                <w:sz w:val="16"/>
                <w:szCs w:val="16"/>
              </w:rPr>
              <w:t>Q13. Where is tolvaptan initiated</w:t>
            </w:r>
          </w:p>
        </w:tc>
        <w:tc>
          <w:tcPr>
            <w:tcW w:w="2835" w:type="dxa"/>
            <w:shd w:val="clear" w:color="auto" w:fill="auto"/>
            <w:noWrap/>
            <w:vAlign w:val="center"/>
            <w:hideMark/>
          </w:tcPr>
          <w:p w14:paraId="559A1C9A"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4482062" w14:textId="75847C5F" w:rsidR="0051138D" w:rsidRPr="002C21B8" w:rsidRDefault="0051138D" w:rsidP="0051138D">
            <w:pPr>
              <w:spacing w:after="0" w:line="240" w:lineRule="auto"/>
              <w:jc w:val="left"/>
              <w:rPr>
                <w:color w:val="000000"/>
                <w:sz w:val="16"/>
                <w:szCs w:val="16"/>
              </w:rPr>
            </w:pPr>
            <w:r w:rsidRPr="002C21B8">
              <w:rPr>
                <w:color w:val="000000"/>
                <w:sz w:val="16"/>
                <w:szCs w:val="16"/>
              </w:rPr>
              <w:t xml:space="preserve">Decision location, </w:t>
            </w:r>
            <w:r w:rsidR="0045139D" w:rsidRPr="002C21B8">
              <w:rPr>
                <w:color w:val="000000"/>
                <w:sz w:val="16"/>
                <w:szCs w:val="16"/>
              </w:rPr>
              <w:t>Cohorting</w:t>
            </w:r>
          </w:p>
        </w:tc>
      </w:tr>
      <w:tr w:rsidR="0051138D" w:rsidRPr="002C21B8" w14:paraId="09D06FDB" w14:textId="77777777" w:rsidTr="0051138D">
        <w:trPr>
          <w:trHeight w:val="283"/>
        </w:trPr>
        <w:tc>
          <w:tcPr>
            <w:tcW w:w="5102" w:type="dxa"/>
            <w:shd w:val="clear" w:color="auto" w:fill="auto"/>
            <w:noWrap/>
            <w:vAlign w:val="center"/>
            <w:hideMark/>
          </w:tcPr>
          <w:p w14:paraId="0FA59712" w14:textId="77777777" w:rsidR="0051138D" w:rsidRPr="002C21B8" w:rsidRDefault="0051138D" w:rsidP="0051138D">
            <w:pPr>
              <w:spacing w:after="0" w:line="240" w:lineRule="auto"/>
              <w:jc w:val="left"/>
              <w:rPr>
                <w:color w:val="000000"/>
                <w:sz w:val="16"/>
                <w:szCs w:val="16"/>
              </w:rPr>
            </w:pPr>
            <w:r w:rsidRPr="002C21B8">
              <w:rPr>
                <w:color w:val="000000"/>
                <w:sz w:val="16"/>
                <w:szCs w:val="16"/>
              </w:rPr>
              <w:t>Q14. Typical time from eligibility to initiation</w:t>
            </w:r>
          </w:p>
        </w:tc>
        <w:tc>
          <w:tcPr>
            <w:tcW w:w="2835" w:type="dxa"/>
            <w:shd w:val="clear" w:color="auto" w:fill="auto"/>
            <w:noWrap/>
            <w:vAlign w:val="center"/>
            <w:hideMark/>
          </w:tcPr>
          <w:p w14:paraId="5EA1565E"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6E7B4344" w14:textId="77777777" w:rsidR="0051138D" w:rsidRPr="002C21B8" w:rsidRDefault="0051138D" w:rsidP="0051138D">
            <w:pPr>
              <w:spacing w:after="0" w:line="240" w:lineRule="auto"/>
              <w:jc w:val="left"/>
              <w:rPr>
                <w:color w:val="000000"/>
                <w:sz w:val="16"/>
                <w:szCs w:val="16"/>
              </w:rPr>
            </w:pPr>
            <w:r w:rsidRPr="002C21B8">
              <w:rPr>
                <w:color w:val="000000"/>
                <w:sz w:val="16"/>
                <w:szCs w:val="16"/>
              </w:rPr>
              <w:t>Time, Other care priorities, Patient volume</w:t>
            </w:r>
          </w:p>
        </w:tc>
      </w:tr>
      <w:tr w:rsidR="0051138D" w:rsidRPr="002C21B8" w14:paraId="6B938DA7" w14:textId="77777777" w:rsidTr="0051138D">
        <w:trPr>
          <w:trHeight w:val="283"/>
        </w:trPr>
        <w:tc>
          <w:tcPr>
            <w:tcW w:w="5102" w:type="dxa"/>
            <w:shd w:val="clear" w:color="auto" w:fill="auto"/>
            <w:noWrap/>
            <w:vAlign w:val="center"/>
            <w:hideMark/>
          </w:tcPr>
          <w:p w14:paraId="1C5FEA78" w14:textId="77777777" w:rsidR="0051138D" w:rsidRPr="002C21B8" w:rsidRDefault="0051138D" w:rsidP="0051138D">
            <w:pPr>
              <w:spacing w:after="0" w:line="240" w:lineRule="auto"/>
              <w:jc w:val="left"/>
              <w:rPr>
                <w:color w:val="000000"/>
                <w:sz w:val="16"/>
                <w:szCs w:val="16"/>
              </w:rPr>
            </w:pPr>
            <w:r w:rsidRPr="002C21B8">
              <w:rPr>
                <w:color w:val="000000"/>
                <w:sz w:val="16"/>
                <w:szCs w:val="16"/>
              </w:rPr>
              <w:t>Q15. Factors influencing initiation time</w:t>
            </w:r>
          </w:p>
        </w:tc>
        <w:tc>
          <w:tcPr>
            <w:tcW w:w="2835" w:type="dxa"/>
            <w:shd w:val="clear" w:color="auto" w:fill="auto"/>
            <w:noWrap/>
            <w:vAlign w:val="center"/>
            <w:hideMark/>
          </w:tcPr>
          <w:p w14:paraId="26B2C321"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 Healthcare system</w:t>
            </w:r>
          </w:p>
        </w:tc>
        <w:tc>
          <w:tcPr>
            <w:tcW w:w="5669" w:type="dxa"/>
            <w:shd w:val="clear" w:color="auto" w:fill="auto"/>
            <w:noWrap/>
            <w:vAlign w:val="center"/>
            <w:hideMark/>
          </w:tcPr>
          <w:p w14:paraId="32F4920B"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behaviours, Time, Administrative delays, Other care priorities</w:t>
            </w:r>
          </w:p>
        </w:tc>
      </w:tr>
      <w:tr w:rsidR="0051138D" w:rsidRPr="002C21B8" w14:paraId="464E421E" w14:textId="77777777" w:rsidTr="0051138D">
        <w:trPr>
          <w:trHeight w:val="283"/>
        </w:trPr>
        <w:tc>
          <w:tcPr>
            <w:tcW w:w="5102" w:type="dxa"/>
            <w:shd w:val="clear" w:color="auto" w:fill="auto"/>
            <w:noWrap/>
            <w:vAlign w:val="center"/>
            <w:hideMark/>
          </w:tcPr>
          <w:p w14:paraId="16AE41D2" w14:textId="77777777" w:rsidR="0051138D" w:rsidRPr="002C21B8" w:rsidRDefault="0051138D" w:rsidP="0051138D">
            <w:pPr>
              <w:spacing w:after="0" w:line="240" w:lineRule="auto"/>
              <w:jc w:val="left"/>
              <w:rPr>
                <w:color w:val="000000"/>
                <w:sz w:val="16"/>
                <w:szCs w:val="16"/>
              </w:rPr>
            </w:pPr>
            <w:r w:rsidRPr="002C21B8">
              <w:rPr>
                <w:color w:val="000000"/>
                <w:sz w:val="16"/>
                <w:szCs w:val="16"/>
              </w:rPr>
              <w:t>Q16. Who is responsible for monitoring</w:t>
            </w:r>
          </w:p>
        </w:tc>
        <w:tc>
          <w:tcPr>
            <w:tcW w:w="2835" w:type="dxa"/>
            <w:shd w:val="clear" w:color="auto" w:fill="auto"/>
            <w:noWrap/>
            <w:vAlign w:val="center"/>
            <w:hideMark/>
          </w:tcPr>
          <w:p w14:paraId="361FDC66" w14:textId="77777777" w:rsidR="0051138D" w:rsidRPr="002C21B8" w:rsidRDefault="0051138D" w:rsidP="0051138D">
            <w:pPr>
              <w:spacing w:after="0" w:line="240" w:lineRule="auto"/>
              <w:jc w:val="left"/>
              <w:rPr>
                <w:color w:val="000000"/>
                <w:sz w:val="16"/>
                <w:szCs w:val="16"/>
              </w:rPr>
            </w:pPr>
            <w:r w:rsidRPr="002C21B8">
              <w:rPr>
                <w:color w:val="000000"/>
                <w:sz w:val="16"/>
                <w:szCs w:val="16"/>
              </w:rPr>
              <w:t>Other HCPs</w:t>
            </w:r>
          </w:p>
        </w:tc>
        <w:tc>
          <w:tcPr>
            <w:tcW w:w="5669" w:type="dxa"/>
            <w:shd w:val="clear" w:color="auto" w:fill="auto"/>
            <w:noWrap/>
            <w:vAlign w:val="center"/>
            <w:hideMark/>
          </w:tcPr>
          <w:p w14:paraId="7F56F6FD" w14:textId="77777777" w:rsidR="0051138D" w:rsidRPr="002C21B8" w:rsidRDefault="0051138D" w:rsidP="0051138D">
            <w:pPr>
              <w:spacing w:after="0" w:line="240" w:lineRule="auto"/>
              <w:jc w:val="left"/>
              <w:rPr>
                <w:color w:val="000000"/>
                <w:sz w:val="16"/>
                <w:szCs w:val="16"/>
              </w:rPr>
            </w:pPr>
            <w:r w:rsidRPr="002C21B8">
              <w:rPr>
                <w:color w:val="000000"/>
                <w:sz w:val="16"/>
                <w:szCs w:val="16"/>
              </w:rPr>
              <w:t>Expert power, Shared responsibility, Pharmacist-physician collaboration</w:t>
            </w:r>
          </w:p>
        </w:tc>
      </w:tr>
      <w:tr w:rsidR="0051138D" w:rsidRPr="002C21B8" w14:paraId="4069DC0F" w14:textId="77777777" w:rsidTr="0051138D">
        <w:trPr>
          <w:trHeight w:val="283"/>
        </w:trPr>
        <w:tc>
          <w:tcPr>
            <w:tcW w:w="5102" w:type="dxa"/>
            <w:shd w:val="clear" w:color="auto" w:fill="auto"/>
            <w:noWrap/>
            <w:vAlign w:val="center"/>
            <w:hideMark/>
          </w:tcPr>
          <w:p w14:paraId="434B5CA1" w14:textId="77777777" w:rsidR="0051138D" w:rsidRPr="002C21B8" w:rsidRDefault="0051138D" w:rsidP="0051138D">
            <w:pPr>
              <w:spacing w:after="0" w:line="240" w:lineRule="auto"/>
              <w:jc w:val="left"/>
              <w:rPr>
                <w:color w:val="000000"/>
                <w:sz w:val="16"/>
                <w:szCs w:val="16"/>
              </w:rPr>
            </w:pPr>
            <w:r w:rsidRPr="002C21B8">
              <w:rPr>
                <w:color w:val="000000"/>
                <w:sz w:val="16"/>
                <w:szCs w:val="16"/>
              </w:rPr>
              <w:t>Q17. Where are patients monitored</w:t>
            </w:r>
          </w:p>
        </w:tc>
        <w:tc>
          <w:tcPr>
            <w:tcW w:w="2835" w:type="dxa"/>
            <w:shd w:val="clear" w:color="auto" w:fill="auto"/>
            <w:noWrap/>
            <w:vAlign w:val="center"/>
            <w:hideMark/>
          </w:tcPr>
          <w:p w14:paraId="3D2D5D43"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05FA5D7" w14:textId="43E023BA" w:rsidR="0051138D" w:rsidRPr="002C21B8" w:rsidRDefault="0051138D" w:rsidP="0051138D">
            <w:pPr>
              <w:spacing w:after="0" w:line="240" w:lineRule="auto"/>
              <w:jc w:val="left"/>
              <w:rPr>
                <w:color w:val="000000"/>
                <w:sz w:val="16"/>
                <w:szCs w:val="16"/>
              </w:rPr>
            </w:pPr>
            <w:r w:rsidRPr="002C21B8">
              <w:rPr>
                <w:color w:val="000000"/>
                <w:sz w:val="16"/>
                <w:szCs w:val="16"/>
              </w:rPr>
              <w:t xml:space="preserve">Decision location, </w:t>
            </w:r>
            <w:r w:rsidR="00B82948" w:rsidRPr="002C21B8">
              <w:rPr>
                <w:color w:val="000000"/>
                <w:sz w:val="16"/>
                <w:szCs w:val="16"/>
              </w:rPr>
              <w:t>Cohorting</w:t>
            </w:r>
          </w:p>
        </w:tc>
      </w:tr>
      <w:tr w:rsidR="0051138D" w:rsidRPr="002C21B8" w14:paraId="753B73C2" w14:textId="77777777" w:rsidTr="0051138D">
        <w:trPr>
          <w:trHeight w:val="283"/>
        </w:trPr>
        <w:tc>
          <w:tcPr>
            <w:tcW w:w="5102" w:type="dxa"/>
            <w:shd w:val="clear" w:color="auto" w:fill="auto"/>
            <w:noWrap/>
            <w:vAlign w:val="center"/>
            <w:hideMark/>
          </w:tcPr>
          <w:p w14:paraId="382BF2B5" w14:textId="77777777" w:rsidR="0051138D" w:rsidRPr="002C21B8" w:rsidRDefault="0051138D" w:rsidP="0051138D">
            <w:pPr>
              <w:spacing w:after="0" w:line="240" w:lineRule="auto"/>
              <w:jc w:val="left"/>
              <w:rPr>
                <w:color w:val="000000"/>
                <w:sz w:val="16"/>
                <w:szCs w:val="16"/>
              </w:rPr>
            </w:pPr>
            <w:r w:rsidRPr="002C21B8">
              <w:rPr>
                <w:color w:val="000000"/>
                <w:sz w:val="16"/>
                <w:szCs w:val="16"/>
              </w:rPr>
              <w:t>Q17a. Year tolvaptan clinic introduced</w:t>
            </w:r>
          </w:p>
        </w:tc>
        <w:tc>
          <w:tcPr>
            <w:tcW w:w="2835" w:type="dxa"/>
            <w:shd w:val="clear" w:color="auto" w:fill="auto"/>
            <w:noWrap/>
            <w:vAlign w:val="center"/>
            <w:hideMark/>
          </w:tcPr>
          <w:p w14:paraId="090AD9A2"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004BC118" w14:textId="303C3BD7" w:rsidR="0051138D" w:rsidRPr="002C21B8" w:rsidRDefault="0051138D" w:rsidP="0051138D">
            <w:pPr>
              <w:spacing w:after="0" w:line="240" w:lineRule="auto"/>
              <w:jc w:val="left"/>
              <w:rPr>
                <w:color w:val="000000"/>
                <w:sz w:val="16"/>
                <w:szCs w:val="16"/>
              </w:rPr>
            </w:pPr>
            <w:r w:rsidRPr="002C21B8">
              <w:rPr>
                <w:color w:val="000000"/>
                <w:sz w:val="16"/>
                <w:szCs w:val="16"/>
              </w:rPr>
              <w:t xml:space="preserve">Local leadership, </w:t>
            </w:r>
            <w:r w:rsidR="00B82948" w:rsidRPr="002C21B8">
              <w:rPr>
                <w:color w:val="000000"/>
                <w:sz w:val="16"/>
                <w:szCs w:val="16"/>
              </w:rPr>
              <w:t>Cohorting</w:t>
            </w:r>
          </w:p>
        </w:tc>
      </w:tr>
      <w:tr w:rsidR="0051138D" w:rsidRPr="002C21B8" w14:paraId="1987EEAA" w14:textId="77777777" w:rsidTr="0051138D">
        <w:trPr>
          <w:trHeight w:val="283"/>
        </w:trPr>
        <w:tc>
          <w:tcPr>
            <w:tcW w:w="5102" w:type="dxa"/>
            <w:shd w:val="clear" w:color="auto" w:fill="auto"/>
            <w:noWrap/>
            <w:vAlign w:val="center"/>
            <w:hideMark/>
          </w:tcPr>
          <w:p w14:paraId="04D4C29B" w14:textId="77777777" w:rsidR="0051138D" w:rsidRPr="002C21B8" w:rsidRDefault="0051138D" w:rsidP="0051138D">
            <w:pPr>
              <w:spacing w:after="0" w:line="240" w:lineRule="auto"/>
              <w:jc w:val="left"/>
              <w:rPr>
                <w:color w:val="000000"/>
                <w:sz w:val="16"/>
                <w:szCs w:val="16"/>
              </w:rPr>
            </w:pPr>
            <w:r w:rsidRPr="002C21B8">
              <w:rPr>
                <w:color w:val="000000"/>
                <w:sz w:val="16"/>
                <w:szCs w:val="16"/>
              </w:rPr>
              <w:t>Q18. Proportion of patients with MRI</w:t>
            </w:r>
          </w:p>
        </w:tc>
        <w:tc>
          <w:tcPr>
            <w:tcW w:w="2835" w:type="dxa"/>
            <w:shd w:val="clear" w:color="auto" w:fill="auto"/>
            <w:noWrap/>
            <w:vAlign w:val="center"/>
            <w:hideMark/>
          </w:tcPr>
          <w:p w14:paraId="713A7006"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69E88D77"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w:t>
            </w:r>
          </w:p>
        </w:tc>
      </w:tr>
      <w:tr w:rsidR="0051138D" w:rsidRPr="002C21B8" w14:paraId="29320BDE" w14:textId="77777777" w:rsidTr="0051138D">
        <w:trPr>
          <w:trHeight w:val="283"/>
        </w:trPr>
        <w:tc>
          <w:tcPr>
            <w:tcW w:w="5102" w:type="dxa"/>
            <w:shd w:val="clear" w:color="auto" w:fill="auto"/>
            <w:noWrap/>
            <w:vAlign w:val="center"/>
            <w:hideMark/>
          </w:tcPr>
          <w:p w14:paraId="0EDBC0D5" w14:textId="77777777" w:rsidR="0051138D" w:rsidRPr="002C21B8" w:rsidRDefault="0051138D" w:rsidP="0051138D">
            <w:pPr>
              <w:spacing w:after="0" w:line="240" w:lineRule="auto"/>
              <w:jc w:val="left"/>
              <w:rPr>
                <w:color w:val="000000"/>
                <w:sz w:val="16"/>
                <w:szCs w:val="16"/>
              </w:rPr>
            </w:pPr>
            <w:r w:rsidRPr="002C21B8">
              <w:rPr>
                <w:color w:val="000000"/>
                <w:sz w:val="16"/>
                <w:szCs w:val="16"/>
              </w:rPr>
              <w:t>Q19. Routine MRI repeats</w:t>
            </w:r>
          </w:p>
        </w:tc>
        <w:tc>
          <w:tcPr>
            <w:tcW w:w="2835" w:type="dxa"/>
            <w:shd w:val="clear" w:color="auto" w:fill="auto"/>
            <w:noWrap/>
            <w:vAlign w:val="center"/>
            <w:hideMark/>
          </w:tcPr>
          <w:p w14:paraId="1F817363"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443465CC"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w:t>
            </w:r>
          </w:p>
        </w:tc>
      </w:tr>
      <w:tr w:rsidR="0051138D" w:rsidRPr="002C21B8" w14:paraId="6486C5D3" w14:textId="77777777" w:rsidTr="0051138D">
        <w:trPr>
          <w:trHeight w:val="283"/>
        </w:trPr>
        <w:tc>
          <w:tcPr>
            <w:tcW w:w="5102" w:type="dxa"/>
            <w:shd w:val="clear" w:color="auto" w:fill="auto"/>
            <w:noWrap/>
            <w:vAlign w:val="center"/>
            <w:hideMark/>
          </w:tcPr>
          <w:p w14:paraId="7FFE056F" w14:textId="77777777" w:rsidR="0051138D" w:rsidRPr="002C21B8" w:rsidRDefault="0051138D" w:rsidP="0051138D">
            <w:pPr>
              <w:spacing w:after="0" w:line="240" w:lineRule="auto"/>
              <w:jc w:val="left"/>
              <w:rPr>
                <w:color w:val="000000"/>
                <w:sz w:val="16"/>
                <w:szCs w:val="16"/>
              </w:rPr>
            </w:pPr>
            <w:r w:rsidRPr="002C21B8">
              <w:rPr>
                <w:color w:val="000000"/>
                <w:sz w:val="16"/>
                <w:szCs w:val="16"/>
              </w:rPr>
              <w:t>Q19a. MRI repeat interval</w:t>
            </w:r>
          </w:p>
        </w:tc>
        <w:tc>
          <w:tcPr>
            <w:tcW w:w="2835" w:type="dxa"/>
            <w:shd w:val="clear" w:color="auto" w:fill="auto"/>
            <w:noWrap/>
            <w:vAlign w:val="center"/>
            <w:hideMark/>
          </w:tcPr>
          <w:p w14:paraId="4F235F98"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B173631"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w:t>
            </w:r>
          </w:p>
        </w:tc>
      </w:tr>
      <w:tr w:rsidR="0051138D" w:rsidRPr="002C21B8" w14:paraId="32209A53" w14:textId="77777777" w:rsidTr="0051138D">
        <w:trPr>
          <w:trHeight w:val="283"/>
        </w:trPr>
        <w:tc>
          <w:tcPr>
            <w:tcW w:w="5102" w:type="dxa"/>
            <w:shd w:val="clear" w:color="auto" w:fill="auto"/>
            <w:noWrap/>
            <w:vAlign w:val="center"/>
            <w:hideMark/>
          </w:tcPr>
          <w:p w14:paraId="21600932" w14:textId="77777777" w:rsidR="0051138D" w:rsidRPr="002C21B8" w:rsidRDefault="0051138D" w:rsidP="0051138D">
            <w:pPr>
              <w:spacing w:after="0" w:line="240" w:lineRule="auto"/>
              <w:jc w:val="left"/>
              <w:rPr>
                <w:color w:val="000000"/>
                <w:sz w:val="16"/>
                <w:szCs w:val="16"/>
              </w:rPr>
            </w:pPr>
            <w:r w:rsidRPr="002C21B8">
              <w:rPr>
                <w:color w:val="000000"/>
                <w:sz w:val="16"/>
                <w:szCs w:val="16"/>
              </w:rPr>
              <w:t>Q20. Diagnostic genetic testing availability</w:t>
            </w:r>
          </w:p>
        </w:tc>
        <w:tc>
          <w:tcPr>
            <w:tcW w:w="2835" w:type="dxa"/>
            <w:shd w:val="clear" w:color="auto" w:fill="auto"/>
            <w:noWrap/>
            <w:vAlign w:val="center"/>
            <w:hideMark/>
          </w:tcPr>
          <w:p w14:paraId="7C4D78F6"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 / External factors</w:t>
            </w:r>
          </w:p>
        </w:tc>
        <w:tc>
          <w:tcPr>
            <w:tcW w:w="5669" w:type="dxa"/>
            <w:shd w:val="clear" w:color="auto" w:fill="auto"/>
            <w:noWrap/>
            <w:vAlign w:val="center"/>
            <w:hideMark/>
          </w:tcPr>
          <w:p w14:paraId="43265F3E"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 Expert opinion</w:t>
            </w:r>
          </w:p>
        </w:tc>
      </w:tr>
      <w:tr w:rsidR="0051138D" w:rsidRPr="002C21B8" w14:paraId="0120FA6C" w14:textId="77777777" w:rsidTr="0051138D">
        <w:trPr>
          <w:trHeight w:val="283"/>
        </w:trPr>
        <w:tc>
          <w:tcPr>
            <w:tcW w:w="5102" w:type="dxa"/>
            <w:shd w:val="clear" w:color="auto" w:fill="auto"/>
            <w:noWrap/>
            <w:vAlign w:val="center"/>
            <w:hideMark/>
          </w:tcPr>
          <w:p w14:paraId="27CD42F6" w14:textId="77777777" w:rsidR="0051138D" w:rsidRPr="002C21B8" w:rsidRDefault="0051138D" w:rsidP="0051138D">
            <w:pPr>
              <w:spacing w:after="0" w:line="240" w:lineRule="auto"/>
              <w:jc w:val="left"/>
              <w:rPr>
                <w:color w:val="000000"/>
                <w:sz w:val="16"/>
                <w:szCs w:val="16"/>
              </w:rPr>
            </w:pPr>
            <w:r w:rsidRPr="002C21B8">
              <w:rPr>
                <w:color w:val="000000"/>
                <w:sz w:val="16"/>
                <w:szCs w:val="16"/>
              </w:rPr>
              <w:t>Q20a. Percentage offered genetic testing</w:t>
            </w:r>
          </w:p>
        </w:tc>
        <w:tc>
          <w:tcPr>
            <w:tcW w:w="2835" w:type="dxa"/>
            <w:shd w:val="clear" w:color="auto" w:fill="auto"/>
            <w:noWrap/>
            <w:vAlign w:val="center"/>
            <w:hideMark/>
          </w:tcPr>
          <w:p w14:paraId="088EA4EC"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 / External factors</w:t>
            </w:r>
          </w:p>
        </w:tc>
        <w:tc>
          <w:tcPr>
            <w:tcW w:w="5669" w:type="dxa"/>
            <w:shd w:val="clear" w:color="auto" w:fill="auto"/>
            <w:noWrap/>
            <w:vAlign w:val="center"/>
            <w:hideMark/>
          </w:tcPr>
          <w:p w14:paraId="6359A522"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 Expert opinion</w:t>
            </w:r>
          </w:p>
        </w:tc>
      </w:tr>
      <w:tr w:rsidR="0051138D" w:rsidRPr="002C21B8" w14:paraId="66B3194E" w14:textId="77777777" w:rsidTr="0051138D">
        <w:trPr>
          <w:trHeight w:val="283"/>
        </w:trPr>
        <w:tc>
          <w:tcPr>
            <w:tcW w:w="5102" w:type="dxa"/>
            <w:shd w:val="clear" w:color="auto" w:fill="auto"/>
            <w:noWrap/>
            <w:vAlign w:val="center"/>
            <w:hideMark/>
          </w:tcPr>
          <w:p w14:paraId="6933B861" w14:textId="77777777" w:rsidR="0051138D" w:rsidRPr="002C21B8" w:rsidRDefault="0051138D" w:rsidP="0051138D">
            <w:pPr>
              <w:spacing w:after="0" w:line="240" w:lineRule="auto"/>
              <w:jc w:val="left"/>
              <w:rPr>
                <w:color w:val="000000"/>
                <w:sz w:val="16"/>
                <w:szCs w:val="16"/>
              </w:rPr>
            </w:pPr>
            <w:r w:rsidRPr="002C21B8">
              <w:rPr>
                <w:color w:val="000000"/>
                <w:sz w:val="16"/>
                <w:szCs w:val="16"/>
              </w:rPr>
              <w:t>Q21. Local guidance exists</w:t>
            </w:r>
          </w:p>
        </w:tc>
        <w:tc>
          <w:tcPr>
            <w:tcW w:w="2835" w:type="dxa"/>
            <w:shd w:val="clear" w:color="auto" w:fill="auto"/>
            <w:noWrap/>
            <w:vAlign w:val="center"/>
            <w:hideMark/>
          </w:tcPr>
          <w:p w14:paraId="00355575"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191C1DE2" w14:textId="77777777" w:rsidR="0051138D" w:rsidRPr="002C21B8" w:rsidRDefault="0051138D" w:rsidP="0051138D">
            <w:pPr>
              <w:spacing w:after="0" w:line="240" w:lineRule="auto"/>
              <w:jc w:val="left"/>
              <w:rPr>
                <w:color w:val="000000"/>
                <w:sz w:val="16"/>
                <w:szCs w:val="16"/>
              </w:rPr>
            </w:pPr>
            <w:r w:rsidRPr="002C21B8">
              <w:rPr>
                <w:color w:val="000000"/>
                <w:sz w:val="16"/>
                <w:szCs w:val="16"/>
              </w:rPr>
              <w:t>Local guidelines</w:t>
            </w:r>
          </w:p>
        </w:tc>
      </w:tr>
      <w:tr w:rsidR="0051138D" w:rsidRPr="002C21B8" w14:paraId="080DCD7B" w14:textId="77777777" w:rsidTr="0051138D">
        <w:trPr>
          <w:trHeight w:val="283"/>
        </w:trPr>
        <w:tc>
          <w:tcPr>
            <w:tcW w:w="5102" w:type="dxa"/>
            <w:shd w:val="clear" w:color="auto" w:fill="auto"/>
            <w:noWrap/>
            <w:vAlign w:val="center"/>
            <w:hideMark/>
          </w:tcPr>
          <w:p w14:paraId="7FDEA200" w14:textId="77777777" w:rsidR="0051138D" w:rsidRPr="002C21B8" w:rsidRDefault="0051138D" w:rsidP="0051138D">
            <w:pPr>
              <w:spacing w:after="0" w:line="240" w:lineRule="auto"/>
              <w:jc w:val="left"/>
              <w:rPr>
                <w:color w:val="000000"/>
                <w:sz w:val="16"/>
                <w:szCs w:val="16"/>
              </w:rPr>
            </w:pPr>
            <w:r w:rsidRPr="002C21B8">
              <w:rPr>
                <w:color w:val="000000"/>
                <w:sz w:val="16"/>
                <w:szCs w:val="16"/>
              </w:rPr>
              <w:t>Q22. Sources used to inform prescribing</w:t>
            </w:r>
          </w:p>
        </w:tc>
        <w:tc>
          <w:tcPr>
            <w:tcW w:w="2835" w:type="dxa"/>
            <w:shd w:val="clear" w:color="auto" w:fill="auto"/>
            <w:noWrap/>
            <w:vAlign w:val="center"/>
            <w:hideMark/>
          </w:tcPr>
          <w:p w14:paraId="1AF9D629" w14:textId="77777777" w:rsidR="0051138D" w:rsidRPr="002C21B8" w:rsidRDefault="0051138D" w:rsidP="0051138D">
            <w:pPr>
              <w:spacing w:after="0" w:line="240" w:lineRule="auto"/>
              <w:jc w:val="left"/>
              <w:rPr>
                <w:color w:val="000000"/>
                <w:sz w:val="16"/>
                <w:szCs w:val="16"/>
              </w:rPr>
            </w:pPr>
            <w:r w:rsidRPr="002C21B8">
              <w:rPr>
                <w:color w:val="000000"/>
                <w:sz w:val="16"/>
                <w:szCs w:val="16"/>
              </w:rPr>
              <w:t>External factors</w:t>
            </w:r>
          </w:p>
        </w:tc>
        <w:tc>
          <w:tcPr>
            <w:tcW w:w="5669" w:type="dxa"/>
            <w:shd w:val="clear" w:color="auto" w:fill="auto"/>
            <w:noWrap/>
            <w:vAlign w:val="center"/>
            <w:hideMark/>
          </w:tcPr>
          <w:p w14:paraId="7D99959E" w14:textId="77777777" w:rsidR="0051138D" w:rsidRPr="002C21B8" w:rsidRDefault="0051138D" w:rsidP="0051138D">
            <w:pPr>
              <w:spacing w:after="0" w:line="240" w:lineRule="auto"/>
              <w:jc w:val="left"/>
              <w:rPr>
                <w:color w:val="000000"/>
                <w:sz w:val="16"/>
                <w:szCs w:val="16"/>
              </w:rPr>
            </w:pPr>
            <w:r w:rsidRPr="002C21B8">
              <w:rPr>
                <w:color w:val="000000"/>
                <w:sz w:val="16"/>
                <w:szCs w:val="16"/>
              </w:rPr>
              <w:t>Guidelines, Expert opinion, Academia</w:t>
            </w:r>
          </w:p>
        </w:tc>
      </w:tr>
      <w:tr w:rsidR="0051138D" w:rsidRPr="002C21B8" w14:paraId="6E8D51E3" w14:textId="77777777" w:rsidTr="0051138D">
        <w:trPr>
          <w:trHeight w:val="283"/>
        </w:trPr>
        <w:tc>
          <w:tcPr>
            <w:tcW w:w="5102" w:type="dxa"/>
            <w:shd w:val="clear" w:color="auto" w:fill="auto"/>
            <w:noWrap/>
            <w:vAlign w:val="center"/>
            <w:hideMark/>
          </w:tcPr>
          <w:p w14:paraId="14909D8F" w14:textId="77777777" w:rsidR="0051138D" w:rsidRPr="002C21B8" w:rsidRDefault="0051138D" w:rsidP="0051138D">
            <w:pPr>
              <w:spacing w:after="0" w:line="240" w:lineRule="auto"/>
              <w:jc w:val="left"/>
              <w:rPr>
                <w:color w:val="000000"/>
                <w:sz w:val="16"/>
                <w:szCs w:val="16"/>
              </w:rPr>
            </w:pPr>
            <w:r w:rsidRPr="002C21B8">
              <w:rPr>
                <w:color w:val="000000"/>
                <w:sz w:val="16"/>
                <w:szCs w:val="16"/>
              </w:rPr>
              <w:t>Q23. How patients receive information</w:t>
            </w:r>
          </w:p>
        </w:tc>
        <w:tc>
          <w:tcPr>
            <w:tcW w:w="2835" w:type="dxa"/>
            <w:shd w:val="clear" w:color="auto" w:fill="auto"/>
            <w:noWrap/>
            <w:vAlign w:val="center"/>
            <w:hideMark/>
          </w:tcPr>
          <w:p w14:paraId="0AF9416E"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 Sales &amp; marketing</w:t>
            </w:r>
          </w:p>
        </w:tc>
        <w:tc>
          <w:tcPr>
            <w:tcW w:w="5669" w:type="dxa"/>
            <w:shd w:val="clear" w:color="auto" w:fill="auto"/>
            <w:noWrap/>
            <w:vAlign w:val="center"/>
            <w:hideMark/>
          </w:tcPr>
          <w:p w14:paraId="174FE192"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knowledge, Shared decision-making, Promotional events</w:t>
            </w:r>
          </w:p>
        </w:tc>
      </w:tr>
      <w:tr w:rsidR="0051138D" w:rsidRPr="002C21B8" w14:paraId="1F6A9634" w14:textId="77777777" w:rsidTr="0051138D">
        <w:trPr>
          <w:trHeight w:val="283"/>
        </w:trPr>
        <w:tc>
          <w:tcPr>
            <w:tcW w:w="5102" w:type="dxa"/>
            <w:shd w:val="clear" w:color="auto" w:fill="auto"/>
            <w:noWrap/>
            <w:vAlign w:val="center"/>
            <w:hideMark/>
          </w:tcPr>
          <w:p w14:paraId="3E8B65FB" w14:textId="77777777" w:rsidR="0051138D" w:rsidRPr="002C21B8" w:rsidRDefault="0051138D" w:rsidP="0051138D">
            <w:pPr>
              <w:spacing w:after="0" w:line="240" w:lineRule="auto"/>
              <w:jc w:val="left"/>
              <w:rPr>
                <w:color w:val="000000"/>
                <w:sz w:val="16"/>
                <w:szCs w:val="16"/>
              </w:rPr>
            </w:pPr>
            <w:r w:rsidRPr="002C21B8">
              <w:rPr>
                <w:color w:val="000000"/>
                <w:sz w:val="16"/>
                <w:szCs w:val="16"/>
              </w:rPr>
              <w:t>Q24. eGFR limits for prescribing</w:t>
            </w:r>
          </w:p>
        </w:tc>
        <w:tc>
          <w:tcPr>
            <w:tcW w:w="2835" w:type="dxa"/>
            <w:shd w:val="clear" w:color="auto" w:fill="auto"/>
            <w:noWrap/>
            <w:vAlign w:val="center"/>
            <w:hideMark/>
          </w:tcPr>
          <w:p w14:paraId="04D4130C"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 Contextual factors</w:t>
            </w:r>
          </w:p>
        </w:tc>
        <w:tc>
          <w:tcPr>
            <w:tcW w:w="5669" w:type="dxa"/>
            <w:shd w:val="clear" w:color="auto" w:fill="auto"/>
            <w:noWrap/>
            <w:vAlign w:val="center"/>
            <w:hideMark/>
          </w:tcPr>
          <w:p w14:paraId="56EB6410" w14:textId="77777777" w:rsidR="0051138D" w:rsidRPr="002C21B8" w:rsidRDefault="0051138D" w:rsidP="0051138D">
            <w:pPr>
              <w:spacing w:after="0" w:line="240" w:lineRule="auto"/>
              <w:jc w:val="left"/>
              <w:rPr>
                <w:color w:val="000000"/>
                <w:sz w:val="16"/>
                <w:szCs w:val="16"/>
              </w:rPr>
            </w:pPr>
            <w:r w:rsidRPr="002C21B8">
              <w:rPr>
                <w:color w:val="000000"/>
                <w:sz w:val="16"/>
                <w:szCs w:val="16"/>
              </w:rPr>
              <w:t>Demographics, Risk-benefit assessment</w:t>
            </w:r>
          </w:p>
        </w:tc>
      </w:tr>
      <w:tr w:rsidR="0051138D" w:rsidRPr="002C21B8" w14:paraId="797BA595" w14:textId="77777777" w:rsidTr="0051138D">
        <w:trPr>
          <w:trHeight w:val="283"/>
        </w:trPr>
        <w:tc>
          <w:tcPr>
            <w:tcW w:w="5102" w:type="dxa"/>
            <w:shd w:val="clear" w:color="auto" w:fill="auto"/>
            <w:noWrap/>
            <w:vAlign w:val="center"/>
            <w:hideMark/>
          </w:tcPr>
          <w:p w14:paraId="5710FAF1" w14:textId="77777777" w:rsidR="0051138D" w:rsidRPr="002C21B8" w:rsidRDefault="0051138D" w:rsidP="0051138D">
            <w:pPr>
              <w:spacing w:after="0" w:line="240" w:lineRule="auto"/>
              <w:jc w:val="left"/>
              <w:rPr>
                <w:color w:val="000000"/>
                <w:sz w:val="16"/>
                <w:szCs w:val="16"/>
              </w:rPr>
            </w:pPr>
            <w:r w:rsidRPr="002C21B8">
              <w:rPr>
                <w:color w:val="000000"/>
                <w:sz w:val="16"/>
                <w:szCs w:val="16"/>
              </w:rPr>
              <w:t>Q25. Measures used for eligibility (eGFR, kidney size, TKV, Mayo, PROPKD)</w:t>
            </w:r>
          </w:p>
        </w:tc>
        <w:tc>
          <w:tcPr>
            <w:tcW w:w="2835" w:type="dxa"/>
            <w:shd w:val="clear" w:color="auto" w:fill="auto"/>
            <w:noWrap/>
            <w:vAlign w:val="center"/>
            <w:hideMark/>
          </w:tcPr>
          <w:p w14:paraId="4177D647"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 Prescriber / Healthcare system</w:t>
            </w:r>
          </w:p>
        </w:tc>
        <w:tc>
          <w:tcPr>
            <w:tcW w:w="5669" w:type="dxa"/>
            <w:shd w:val="clear" w:color="auto" w:fill="auto"/>
            <w:noWrap/>
            <w:vAlign w:val="center"/>
            <w:hideMark/>
          </w:tcPr>
          <w:p w14:paraId="2D643CC2" w14:textId="77777777" w:rsidR="0051138D" w:rsidRPr="002C21B8" w:rsidRDefault="0051138D" w:rsidP="0051138D">
            <w:pPr>
              <w:spacing w:after="0" w:line="240" w:lineRule="auto"/>
              <w:jc w:val="left"/>
              <w:rPr>
                <w:color w:val="000000"/>
                <w:sz w:val="16"/>
                <w:szCs w:val="16"/>
              </w:rPr>
            </w:pPr>
            <w:r w:rsidRPr="002C21B8">
              <w:rPr>
                <w:color w:val="000000"/>
                <w:sz w:val="16"/>
                <w:szCs w:val="16"/>
              </w:rPr>
              <w:t>Demographics, Condition factors, Available resources, Knowledge &amp; experience</w:t>
            </w:r>
          </w:p>
        </w:tc>
      </w:tr>
      <w:tr w:rsidR="0051138D" w:rsidRPr="002C21B8" w14:paraId="670C0D93" w14:textId="77777777" w:rsidTr="0051138D">
        <w:trPr>
          <w:trHeight w:val="283"/>
        </w:trPr>
        <w:tc>
          <w:tcPr>
            <w:tcW w:w="5102" w:type="dxa"/>
            <w:shd w:val="clear" w:color="auto" w:fill="auto"/>
            <w:noWrap/>
            <w:vAlign w:val="center"/>
            <w:hideMark/>
          </w:tcPr>
          <w:p w14:paraId="178C2D6F" w14:textId="77777777" w:rsidR="0051138D" w:rsidRPr="002C21B8" w:rsidRDefault="0051138D" w:rsidP="0051138D">
            <w:pPr>
              <w:spacing w:after="0" w:line="240" w:lineRule="auto"/>
              <w:jc w:val="left"/>
              <w:rPr>
                <w:color w:val="000000"/>
                <w:sz w:val="16"/>
                <w:szCs w:val="16"/>
              </w:rPr>
            </w:pPr>
            <w:r w:rsidRPr="002C21B8">
              <w:rPr>
                <w:color w:val="000000"/>
                <w:sz w:val="16"/>
                <w:szCs w:val="16"/>
              </w:rPr>
              <w:t>Q25a. Reasons measures not used</w:t>
            </w:r>
          </w:p>
        </w:tc>
        <w:tc>
          <w:tcPr>
            <w:tcW w:w="2835" w:type="dxa"/>
            <w:shd w:val="clear" w:color="auto" w:fill="auto"/>
            <w:noWrap/>
            <w:vAlign w:val="center"/>
            <w:hideMark/>
          </w:tcPr>
          <w:p w14:paraId="77B7A8CD"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w:t>
            </w:r>
          </w:p>
        </w:tc>
        <w:tc>
          <w:tcPr>
            <w:tcW w:w="5669" w:type="dxa"/>
            <w:shd w:val="clear" w:color="auto" w:fill="auto"/>
            <w:noWrap/>
            <w:vAlign w:val="center"/>
            <w:hideMark/>
          </w:tcPr>
          <w:p w14:paraId="5BD3CA7D"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 Time, Staff availability</w:t>
            </w:r>
          </w:p>
        </w:tc>
      </w:tr>
      <w:tr w:rsidR="0051138D" w:rsidRPr="002C21B8" w14:paraId="50CE9DE8" w14:textId="77777777" w:rsidTr="0051138D">
        <w:trPr>
          <w:trHeight w:val="283"/>
        </w:trPr>
        <w:tc>
          <w:tcPr>
            <w:tcW w:w="5102" w:type="dxa"/>
            <w:shd w:val="clear" w:color="auto" w:fill="auto"/>
            <w:noWrap/>
            <w:vAlign w:val="center"/>
            <w:hideMark/>
          </w:tcPr>
          <w:p w14:paraId="5471BD62" w14:textId="77777777" w:rsidR="0051138D" w:rsidRPr="002C21B8" w:rsidRDefault="0051138D" w:rsidP="0051138D">
            <w:pPr>
              <w:spacing w:after="0" w:line="240" w:lineRule="auto"/>
              <w:jc w:val="left"/>
              <w:rPr>
                <w:color w:val="000000"/>
                <w:sz w:val="16"/>
                <w:szCs w:val="16"/>
              </w:rPr>
            </w:pPr>
            <w:r w:rsidRPr="002C21B8">
              <w:rPr>
                <w:color w:val="000000"/>
                <w:sz w:val="16"/>
                <w:szCs w:val="16"/>
              </w:rPr>
              <w:t>Q26. Use other criteria if eGFR slope not met</w:t>
            </w:r>
          </w:p>
        </w:tc>
        <w:tc>
          <w:tcPr>
            <w:tcW w:w="2835" w:type="dxa"/>
            <w:shd w:val="clear" w:color="auto" w:fill="auto"/>
            <w:noWrap/>
            <w:vAlign w:val="center"/>
            <w:hideMark/>
          </w:tcPr>
          <w:p w14:paraId="2A7B318B"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w:t>
            </w:r>
          </w:p>
        </w:tc>
        <w:tc>
          <w:tcPr>
            <w:tcW w:w="5669" w:type="dxa"/>
            <w:shd w:val="clear" w:color="auto" w:fill="auto"/>
            <w:noWrap/>
            <w:vAlign w:val="center"/>
            <w:hideMark/>
          </w:tcPr>
          <w:p w14:paraId="53286C46" w14:textId="77777777" w:rsidR="0051138D" w:rsidRPr="002C21B8" w:rsidRDefault="0051138D" w:rsidP="0051138D">
            <w:pPr>
              <w:spacing w:after="0" w:line="240" w:lineRule="auto"/>
              <w:jc w:val="left"/>
              <w:rPr>
                <w:color w:val="000000"/>
                <w:sz w:val="16"/>
                <w:szCs w:val="16"/>
              </w:rPr>
            </w:pPr>
            <w:r w:rsidRPr="002C21B8">
              <w:rPr>
                <w:color w:val="000000"/>
                <w:sz w:val="16"/>
                <w:szCs w:val="16"/>
              </w:rPr>
              <w:t>Risk-benefit assessment, Clinical inertia</w:t>
            </w:r>
          </w:p>
        </w:tc>
      </w:tr>
      <w:tr w:rsidR="0051138D" w:rsidRPr="002C21B8" w14:paraId="6692C36D" w14:textId="77777777" w:rsidTr="0051138D">
        <w:trPr>
          <w:trHeight w:val="283"/>
        </w:trPr>
        <w:tc>
          <w:tcPr>
            <w:tcW w:w="5102" w:type="dxa"/>
            <w:shd w:val="clear" w:color="auto" w:fill="auto"/>
            <w:noWrap/>
            <w:vAlign w:val="center"/>
            <w:hideMark/>
          </w:tcPr>
          <w:p w14:paraId="218CBD60" w14:textId="77777777" w:rsidR="0051138D" w:rsidRPr="002C21B8" w:rsidRDefault="0051138D" w:rsidP="0051138D">
            <w:pPr>
              <w:spacing w:after="0" w:line="240" w:lineRule="auto"/>
              <w:jc w:val="left"/>
              <w:rPr>
                <w:color w:val="000000"/>
                <w:sz w:val="16"/>
                <w:szCs w:val="16"/>
              </w:rPr>
            </w:pPr>
            <w:r w:rsidRPr="002C21B8">
              <w:rPr>
                <w:color w:val="000000"/>
                <w:sz w:val="16"/>
                <w:szCs w:val="16"/>
              </w:rPr>
              <w:t>Q27. Formal assessment at each appointment</w:t>
            </w:r>
          </w:p>
        </w:tc>
        <w:tc>
          <w:tcPr>
            <w:tcW w:w="2835" w:type="dxa"/>
            <w:shd w:val="clear" w:color="auto" w:fill="auto"/>
            <w:noWrap/>
            <w:vAlign w:val="center"/>
            <w:hideMark/>
          </w:tcPr>
          <w:p w14:paraId="2F49DB86"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 / Healthcare system</w:t>
            </w:r>
          </w:p>
        </w:tc>
        <w:tc>
          <w:tcPr>
            <w:tcW w:w="5669" w:type="dxa"/>
            <w:shd w:val="clear" w:color="auto" w:fill="auto"/>
            <w:noWrap/>
            <w:vAlign w:val="center"/>
            <w:hideMark/>
          </w:tcPr>
          <w:p w14:paraId="3F7780BE" w14:textId="77777777" w:rsidR="0051138D" w:rsidRPr="002C21B8" w:rsidRDefault="0051138D" w:rsidP="0051138D">
            <w:pPr>
              <w:spacing w:after="0" w:line="240" w:lineRule="auto"/>
              <w:jc w:val="left"/>
              <w:rPr>
                <w:color w:val="000000"/>
                <w:sz w:val="16"/>
                <w:szCs w:val="16"/>
              </w:rPr>
            </w:pPr>
            <w:r w:rsidRPr="002C21B8">
              <w:rPr>
                <w:color w:val="000000"/>
                <w:sz w:val="16"/>
                <w:szCs w:val="16"/>
              </w:rPr>
              <w:t>Knowledge &amp; experience, Time, Other care priorities</w:t>
            </w:r>
          </w:p>
        </w:tc>
      </w:tr>
      <w:tr w:rsidR="0051138D" w:rsidRPr="002C21B8" w14:paraId="1DBC121D" w14:textId="77777777" w:rsidTr="0051138D">
        <w:trPr>
          <w:trHeight w:val="283"/>
        </w:trPr>
        <w:tc>
          <w:tcPr>
            <w:tcW w:w="5102" w:type="dxa"/>
            <w:shd w:val="clear" w:color="auto" w:fill="auto"/>
            <w:noWrap/>
            <w:vAlign w:val="center"/>
            <w:hideMark/>
          </w:tcPr>
          <w:p w14:paraId="2760149A" w14:textId="77777777" w:rsidR="0051138D" w:rsidRPr="002C21B8" w:rsidRDefault="0051138D" w:rsidP="0051138D">
            <w:pPr>
              <w:spacing w:after="0" w:line="240" w:lineRule="auto"/>
              <w:jc w:val="left"/>
              <w:rPr>
                <w:color w:val="000000"/>
                <w:sz w:val="16"/>
                <w:szCs w:val="16"/>
              </w:rPr>
            </w:pPr>
            <w:r w:rsidRPr="002C21B8">
              <w:rPr>
                <w:color w:val="000000"/>
                <w:sz w:val="16"/>
                <w:szCs w:val="16"/>
              </w:rPr>
              <w:t>Q28. Factors limiting eligibility assessment</w:t>
            </w:r>
          </w:p>
        </w:tc>
        <w:tc>
          <w:tcPr>
            <w:tcW w:w="2835" w:type="dxa"/>
            <w:shd w:val="clear" w:color="auto" w:fill="auto"/>
            <w:noWrap/>
            <w:vAlign w:val="center"/>
            <w:hideMark/>
          </w:tcPr>
          <w:p w14:paraId="2C030FEB"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 / Patient / Healthcare system</w:t>
            </w:r>
          </w:p>
        </w:tc>
        <w:tc>
          <w:tcPr>
            <w:tcW w:w="5669" w:type="dxa"/>
            <w:shd w:val="clear" w:color="auto" w:fill="auto"/>
            <w:noWrap/>
            <w:vAlign w:val="center"/>
            <w:hideMark/>
          </w:tcPr>
          <w:p w14:paraId="0C867826" w14:textId="77777777" w:rsidR="0051138D" w:rsidRPr="002C21B8" w:rsidRDefault="0051138D" w:rsidP="0051138D">
            <w:pPr>
              <w:spacing w:after="0" w:line="240" w:lineRule="auto"/>
              <w:jc w:val="left"/>
              <w:rPr>
                <w:color w:val="000000"/>
                <w:sz w:val="16"/>
                <w:szCs w:val="16"/>
              </w:rPr>
            </w:pPr>
            <w:r w:rsidRPr="002C21B8">
              <w:rPr>
                <w:color w:val="000000"/>
                <w:sz w:val="16"/>
                <w:szCs w:val="16"/>
              </w:rPr>
              <w:t>Knowledge &amp; experience, Patient complexity, Time, Available resources</w:t>
            </w:r>
          </w:p>
        </w:tc>
      </w:tr>
      <w:tr w:rsidR="0051138D" w:rsidRPr="002C21B8" w14:paraId="495FEF0F" w14:textId="77777777" w:rsidTr="0051138D">
        <w:trPr>
          <w:trHeight w:val="283"/>
        </w:trPr>
        <w:tc>
          <w:tcPr>
            <w:tcW w:w="5102" w:type="dxa"/>
            <w:shd w:val="clear" w:color="auto" w:fill="auto"/>
            <w:noWrap/>
            <w:vAlign w:val="center"/>
            <w:hideMark/>
          </w:tcPr>
          <w:p w14:paraId="530FA0E0" w14:textId="77777777" w:rsidR="0051138D" w:rsidRPr="002C21B8" w:rsidRDefault="0051138D" w:rsidP="0051138D">
            <w:pPr>
              <w:spacing w:after="0" w:line="240" w:lineRule="auto"/>
              <w:jc w:val="left"/>
              <w:rPr>
                <w:color w:val="000000"/>
                <w:sz w:val="16"/>
                <w:szCs w:val="16"/>
              </w:rPr>
            </w:pPr>
            <w:r w:rsidRPr="002C21B8">
              <w:rPr>
                <w:color w:val="000000"/>
                <w:sz w:val="16"/>
                <w:szCs w:val="16"/>
              </w:rPr>
              <w:t>Q29. Automated tools to flag eligibility</w:t>
            </w:r>
          </w:p>
        </w:tc>
        <w:tc>
          <w:tcPr>
            <w:tcW w:w="2835" w:type="dxa"/>
            <w:shd w:val="clear" w:color="auto" w:fill="auto"/>
            <w:noWrap/>
            <w:vAlign w:val="center"/>
            <w:hideMark/>
          </w:tcPr>
          <w:p w14:paraId="199B9003" w14:textId="77777777" w:rsidR="0051138D" w:rsidRPr="002C21B8" w:rsidRDefault="0051138D" w:rsidP="0051138D">
            <w:pPr>
              <w:spacing w:after="0" w:line="240" w:lineRule="auto"/>
              <w:jc w:val="left"/>
              <w:rPr>
                <w:color w:val="000000"/>
                <w:sz w:val="16"/>
                <w:szCs w:val="16"/>
              </w:rPr>
            </w:pPr>
            <w:r w:rsidRPr="002C21B8">
              <w:rPr>
                <w:color w:val="000000"/>
                <w:sz w:val="16"/>
                <w:szCs w:val="16"/>
              </w:rPr>
              <w:t>Healthcare system / Prescriber</w:t>
            </w:r>
          </w:p>
        </w:tc>
        <w:tc>
          <w:tcPr>
            <w:tcW w:w="5669" w:type="dxa"/>
            <w:shd w:val="clear" w:color="auto" w:fill="auto"/>
            <w:noWrap/>
            <w:vAlign w:val="center"/>
            <w:hideMark/>
          </w:tcPr>
          <w:p w14:paraId="7FF0865F" w14:textId="77777777" w:rsidR="0051138D" w:rsidRPr="002C21B8" w:rsidRDefault="0051138D" w:rsidP="0051138D">
            <w:pPr>
              <w:spacing w:after="0" w:line="240" w:lineRule="auto"/>
              <w:jc w:val="left"/>
              <w:rPr>
                <w:color w:val="000000"/>
                <w:sz w:val="16"/>
                <w:szCs w:val="16"/>
              </w:rPr>
            </w:pPr>
            <w:r w:rsidRPr="002C21B8">
              <w:rPr>
                <w:color w:val="000000"/>
                <w:sz w:val="16"/>
                <w:szCs w:val="16"/>
              </w:rPr>
              <w:t>Available resources, Knowledge &amp; experience, Shared responsibility</w:t>
            </w:r>
          </w:p>
        </w:tc>
      </w:tr>
      <w:tr w:rsidR="0051138D" w:rsidRPr="002C21B8" w14:paraId="7D2FB903" w14:textId="77777777" w:rsidTr="0051138D">
        <w:trPr>
          <w:trHeight w:val="283"/>
        </w:trPr>
        <w:tc>
          <w:tcPr>
            <w:tcW w:w="5102" w:type="dxa"/>
            <w:shd w:val="clear" w:color="auto" w:fill="auto"/>
            <w:noWrap/>
            <w:vAlign w:val="center"/>
            <w:hideMark/>
          </w:tcPr>
          <w:p w14:paraId="0062F8BB" w14:textId="77777777" w:rsidR="0051138D" w:rsidRPr="002C21B8" w:rsidRDefault="0051138D" w:rsidP="0051138D">
            <w:pPr>
              <w:spacing w:after="0" w:line="240" w:lineRule="auto"/>
              <w:jc w:val="left"/>
              <w:rPr>
                <w:color w:val="000000"/>
                <w:sz w:val="16"/>
                <w:szCs w:val="16"/>
              </w:rPr>
            </w:pPr>
            <w:r w:rsidRPr="002C21B8">
              <w:rPr>
                <w:color w:val="000000"/>
                <w:sz w:val="16"/>
                <w:szCs w:val="16"/>
              </w:rPr>
              <w:t>Q30. Views on tolvaptan benefits</w:t>
            </w:r>
          </w:p>
        </w:tc>
        <w:tc>
          <w:tcPr>
            <w:tcW w:w="2835" w:type="dxa"/>
            <w:shd w:val="clear" w:color="auto" w:fill="auto"/>
            <w:noWrap/>
            <w:vAlign w:val="center"/>
            <w:hideMark/>
          </w:tcPr>
          <w:p w14:paraId="6FECCF15" w14:textId="77777777" w:rsidR="0051138D" w:rsidRPr="002C21B8" w:rsidRDefault="0051138D" w:rsidP="0051138D">
            <w:pPr>
              <w:spacing w:after="0" w:line="240" w:lineRule="auto"/>
              <w:jc w:val="left"/>
              <w:rPr>
                <w:color w:val="000000"/>
                <w:sz w:val="16"/>
                <w:szCs w:val="16"/>
              </w:rPr>
            </w:pPr>
            <w:r w:rsidRPr="002C21B8">
              <w:rPr>
                <w:color w:val="000000"/>
                <w:sz w:val="16"/>
                <w:szCs w:val="16"/>
              </w:rPr>
              <w:t>Patient / Prescriber / Contextual factors</w:t>
            </w:r>
          </w:p>
        </w:tc>
        <w:tc>
          <w:tcPr>
            <w:tcW w:w="5669" w:type="dxa"/>
            <w:shd w:val="clear" w:color="auto" w:fill="auto"/>
            <w:noWrap/>
            <w:vAlign w:val="center"/>
            <w:hideMark/>
          </w:tcPr>
          <w:p w14:paraId="6AD15ED3" w14:textId="77777777" w:rsidR="0051138D" w:rsidRPr="002C21B8" w:rsidRDefault="0051138D" w:rsidP="0051138D">
            <w:pPr>
              <w:spacing w:after="0" w:line="240" w:lineRule="auto"/>
              <w:jc w:val="left"/>
              <w:rPr>
                <w:color w:val="000000"/>
                <w:sz w:val="16"/>
                <w:szCs w:val="16"/>
              </w:rPr>
            </w:pPr>
            <w:r w:rsidRPr="002C21B8">
              <w:rPr>
                <w:color w:val="000000"/>
                <w:sz w:val="16"/>
                <w:szCs w:val="16"/>
              </w:rPr>
              <w:t>Risk-benefit assessment, Clinical inertia, Patient expectations</w:t>
            </w:r>
          </w:p>
        </w:tc>
      </w:tr>
      <w:tr w:rsidR="0051138D" w:rsidRPr="002C21B8" w14:paraId="77B5F048" w14:textId="77777777" w:rsidTr="0051138D">
        <w:trPr>
          <w:trHeight w:val="283"/>
        </w:trPr>
        <w:tc>
          <w:tcPr>
            <w:tcW w:w="5102" w:type="dxa"/>
            <w:shd w:val="clear" w:color="auto" w:fill="auto"/>
            <w:noWrap/>
            <w:vAlign w:val="center"/>
            <w:hideMark/>
          </w:tcPr>
          <w:p w14:paraId="2AD9ABBE" w14:textId="77777777" w:rsidR="0051138D" w:rsidRPr="002C21B8" w:rsidRDefault="0051138D" w:rsidP="0051138D">
            <w:pPr>
              <w:spacing w:after="0" w:line="240" w:lineRule="auto"/>
              <w:jc w:val="left"/>
              <w:rPr>
                <w:color w:val="000000"/>
                <w:sz w:val="16"/>
                <w:szCs w:val="16"/>
              </w:rPr>
            </w:pPr>
            <w:r w:rsidRPr="002C21B8">
              <w:rPr>
                <w:color w:val="000000"/>
                <w:sz w:val="16"/>
                <w:szCs w:val="16"/>
              </w:rPr>
              <w:t>Q31. Clinical role</w:t>
            </w:r>
          </w:p>
        </w:tc>
        <w:tc>
          <w:tcPr>
            <w:tcW w:w="2835" w:type="dxa"/>
            <w:shd w:val="clear" w:color="auto" w:fill="auto"/>
            <w:noWrap/>
            <w:vAlign w:val="center"/>
            <w:hideMark/>
          </w:tcPr>
          <w:p w14:paraId="7B9E510A"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w:t>
            </w:r>
          </w:p>
        </w:tc>
        <w:tc>
          <w:tcPr>
            <w:tcW w:w="5669" w:type="dxa"/>
            <w:shd w:val="clear" w:color="auto" w:fill="auto"/>
            <w:noWrap/>
            <w:vAlign w:val="center"/>
            <w:hideMark/>
          </w:tcPr>
          <w:p w14:paraId="0397F59B" w14:textId="77777777" w:rsidR="0051138D" w:rsidRPr="002C21B8" w:rsidRDefault="0051138D" w:rsidP="0051138D">
            <w:pPr>
              <w:spacing w:after="0" w:line="240" w:lineRule="auto"/>
              <w:jc w:val="left"/>
              <w:rPr>
                <w:color w:val="000000"/>
                <w:sz w:val="16"/>
                <w:szCs w:val="16"/>
              </w:rPr>
            </w:pPr>
            <w:r w:rsidRPr="002C21B8">
              <w:rPr>
                <w:color w:val="000000"/>
                <w:sz w:val="16"/>
                <w:szCs w:val="16"/>
              </w:rPr>
              <w:t>Specialty/Level of specialism</w:t>
            </w:r>
          </w:p>
        </w:tc>
      </w:tr>
      <w:tr w:rsidR="0051138D" w:rsidRPr="002C21B8" w14:paraId="291FF32D" w14:textId="77777777" w:rsidTr="0051138D">
        <w:trPr>
          <w:trHeight w:val="283"/>
        </w:trPr>
        <w:tc>
          <w:tcPr>
            <w:tcW w:w="5102" w:type="dxa"/>
            <w:shd w:val="clear" w:color="auto" w:fill="auto"/>
            <w:noWrap/>
            <w:vAlign w:val="center"/>
            <w:hideMark/>
          </w:tcPr>
          <w:p w14:paraId="19CFE41C" w14:textId="77777777" w:rsidR="0051138D" w:rsidRPr="002C21B8" w:rsidRDefault="0051138D" w:rsidP="0051138D">
            <w:pPr>
              <w:spacing w:after="0" w:line="240" w:lineRule="auto"/>
              <w:jc w:val="left"/>
              <w:rPr>
                <w:color w:val="000000"/>
                <w:sz w:val="16"/>
                <w:szCs w:val="16"/>
              </w:rPr>
            </w:pPr>
            <w:r w:rsidRPr="002C21B8">
              <w:rPr>
                <w:color w:val="000000"/>
                <w:sz w:val="16"/>
                <w:szCs w:val="16"/>
              </w:rPr>
              <w:t>Q32. Lead for ADPKD</w:t>
            </w:r>
          </w:p>
        </w:tc>
        <w:tc>
          <w:tcPr>
            <w:tcW w:w="2835" w:type="dxa"/>
            <w:shd w:val="clear" w:color="auto" w:fill="auto"/>
            <w:noWrap/>
            <w:vAlign w:val="center"/>
            <w:hideMark/>
          </w:tcPr>
          <w:p w14:paraId="576EB381" w14:textId="77777777" w:rsidR="0051138D" w:rsidRPr="002C21B8" w:rsidRDefault="0051138D" w:rsidP="0051138D">
            <w:pPr>
              <w:spacing w:after="0" w:line="240" w:lineRule="auto"/>
              <w:jc w:val="left"/>
              <w:rPr>
                <w:color w:val="000000"/>
                <w:sz w:val="16"/>
                <w:szCs w:val="16"/>
              </w:rPr>
            </w:pPr>
            <w:r w:rsidRPr="002C21B8">
              <w:rPr>
                <w:color w:val="000000"/>
                <w:sz w:val="16"/>
                <w:szCs w:val="16"/>
              </w:rPr>
              <w:t>Prescriber / Healthcare system</w:t>
            </w:r>
          </w:p>
        </w:tc>
        <w:tc>
          <w:tcPr>
            <w:tcW w:w="5669" w:type="dxa"/>
            <w:shd w:val="clear" w:color="auto" w:fill="auto"/>
            <w:noWrap/>
            <w:vAlign w:val="center"/>
            <w:hideMark/>
          </w:tcPr>
          <w:p w14:paraId="4CE93195" w14:textId="77777777" w:rsidR="0051138D" w:rsidRPr="002C21B8" w:rsidRDefault="0051138D" w:rsidP="0051138D">
            <w:pPr>
              <w:spacing w:after="0" w:line="240" w:lineRule="auto"/>
              <w:jc w:val="left"/>
              <w:rPr>
                <w:color w:val="000000"/>
                <w:sz w:val="16"/>
                <w:szCs w:val="16"/>
              </w:rPr>
            </w:pPr>
            <w:r w:rsidRPr="002C21B8">
              <w:rPr>
                <w:color w:val="000000"/>
                <w:sz w:val="16"/>
                <w:szCs w:val="16"/>
              </w:rPr>
              <w:t>Local leadership, Knowledge &amp; experience</w:t>
            </w:r>
          </w:p>
        </w:tc>
      </w:tr>
    </w:tbl>
    <w:p w14:paraId="6804CC6B" w14:textId="77777777" w:rsidR="0099322A" w:rsidRPr="002C21B8" w:rsidRDefault="0099322A" w:rsidP="004507C8">
      <w:pPr>
        <w:pStyle w:val="Heading3"/>
        <w:numPr>
          <w:ilvl w:val="0"/>
          <w:numId w:val="0"/>
        </w:numPr>
        <w:rPr>
          <w:rFonts w:eastAsia="Times New Roman"/>
          <w:b w:val="0"/>
          <w:bCs w:val="0"/>
          <w:color w:val="auto"/>
          <w:sz w:val="22"/>
          <w:szCs w:val="22"/>
        </w:rPr>
      </w:pPr>
    </w:p>
    <w:p w14:paraId="2C04D616" w14:textId="77777777" w:rsidR="0099322A" w:rsidRPr="002C21B8" w:rsidRDefault="0099322A">
      <w:pPr>
        <w:spacing w:after="0" w:line="240" w:lineRule="auto"/>
        <w:jc w:val="left"/>
      </w:pPr>
      <w:r w:rsidRPr="002C21B8">
        <w:rPr>
          <w:b/>
          <w:bCs/>
        </w:rPr>
        <w:br w:type="page"/>
      </w:r>
    </w:p>
    <w:p w14:paraId="7ECB1331" w14:textId="1B2315B7" w:rsidR="0068379D" w:rsidRPr="002C21B8" w:rsidRDefault="008B0E8A" w:rsidP="004507C8">
      <w:pPr>
        <w:pStyle w:val="Heading3"/>
        <w:numPr>
          <w:ilvl w:val="0"/>
          <w:numId w:val="0"/>
        </w:numPr>
      </w:pPr>
      <w:bookmarkStart w:id="482" w:name="_Upset_diagram_of"/>
      <w:bookmarkEnd w:id="482"/>
      <w:r w:rsidRPr="002C21B8">
        <w:t>Upset diagram of s</w:t>
      </w:r>
      <w:r w:rsidR="0068379D" w:rsidRPr="002C21B8">
        <w:t xml:space="preserve">ources of information </w:t>
      </w:r>
      <w:r w:rsidRPr="002C21B8">
        <w:t xml:space="preserve">used </w:t>
      </w:r>
      <w:r w:rsidR="0068379D" w:rsidRPr="002C21B8">
        <w:t>to inform decision-making</w:t>
      </w:r>
    </w:p>
    <w:p w14:paraId="515363EE" w14:textId="77777777" w:rsidR="00FC7775" w:rsidRPr="002C21B8" w:rsidRDefault="00FC7775" w:rsidP="00FC7775"/>
    <w:p w14:paraId="2D1EFF74" w14:textId="2DAB468A" w:rsidR="0009049C" w:rsidRPr="002C21B8" w:rsidRDefault="00175D37" w:rsidP="003374F4">
      <w:r w:rsidRPr="002C21B8">
        <w:rPr>
          <w:noProof/>
          <w14:ligatures w14:val="standardContextual"/>
        </w:rPr>
        <w:drawing>
          <wp:inline distT="0" distB="0" distL="0" distR="0" wp14:anchorId="116B5AD6" wp14:editId="4DD63490">
            <wp:extent cx="8622128" cy="3384467"/>
            <wp:effectExtent l="0" t="0" r="1270" b="0"/>
            <wp:docPr id="154507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7749" name=""/>
                    <pic:cNvPicPr/>
                  </pic:nvPicPr>
                  <pic:blipFill>
                    <a:blip r:embed="rId234"/>
                    <a:stretch>
                      <a:fillRect/>
                    </a:stretch>
                  </pic:blipFill>
                  <pic:spPr>
                    <a:xfrm>
                      <a:off x="0" y="0"/>
                      <a:ext cx="8622128" cy="3384467"/>
                    </a:xfrm>
                    <a:prstGeom prst="rect">
                      <a:avLst/>
                    </a:prstGeom>
                  </pic:spPr>
                </pic:pic>
              </a:graphicData>
            </a:graphic>
          </wp:inline>
        </w:drawing>
      </w:r>
    </w:p>
    <w:p w14:paraId="59CD4725" w14:textId="2CCA7F0D" w:rsidR="00730D60" w:rsidRPr="002C21B8" w:rsidRDefault="00730D60">
      <w:pPr>
        <w:spacing w:after="0" w:line="240" w:lineRule="auto"/>
        <w:jc w:val="left"/>
      </w:pPr>
      <w:r w:rsidRPr="002C21B8">
        <w:br w:type="page"/>
      </w:r>
    </w:p>
    <w:p w14:paraId="1C93F981" w14:textId="2DBEB51D" w:rsidR="0009049C" w:rsidRPr="002C21B8" w:rsidRDefault="00730D60" w:rsidP="004507C8">
      <w:pPr>
        <w:pStyle w:val="Heading3"/>
        <w:numPr>
          <w:ilvl w:val="0"/>
          <w:numId w:val="0"/>
        </w:numPr>
      </w:pPr>
      <w:bookmarkStart w:id="483" w:name="_Service_configurations_and"/>
      <w:bookmarkEnd w:id="483"/>
      <w:r w:rsidRPr="002C21B8">
        <w:t>Service configurations and staffing</w:t>
      </w:r>
    </w:p>
    <w:p w14:paraId="44466ECA" w14:textId="162DA6A7" w:rsidR="0093797B" w:rsidRPr="002C21B8" w:rsidRDefault="0093797B" w:rsidP="0093797B"/>
    <w:tbl>
      <w:tblPr>
        <w:tblStyle w:val="TableGrid"/>
        <w:tblW w:w="13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211"/>
        <w:gridCol w:w="199"/>
        <w:gridCol w:w="1906"/>
        <w:gridCol w:w="2105"/>
        <w:gridCol w:w="2105"/>
        <w:gridCol w:w="2106"/>
      </w:tblGrid>
      <w:tr w:rsidR="00313008" w:rsidRPr="002C21B8" w14:paraId="62C3B785" w14:textId="77777777" w:rsidTr="0089205D">
        <w:trPr>
          <w:trHeight w:val="170"/>
        </w:trPr>
        <w:tc>
          <w:tcPr>
            <w:tcW w:w="2835" w:type="dxa"/>
            <w:tcBorders>
              <w:top w:val="single" w:sz="12" w:space="0" w:color="auto"/>
            </w:tcBorders>
          </w:tcPr>
          <w:p w14:paraId="5585EB30" w14:textId="77777777" w:rsidR="00730D60" w:rsidRPr="002C21B8" w:rsidRDefault="00730D60" w:rsidP="00EB0FFD">
            <w:pPr>
              <w:spacing w:beforeLines="20" w:before="48" w:after="120" w:line="240" w:lineRule="auto"/>
              <w:rPr>
                <w:b/>
                <w:bCs/>
              </w:rPr>
            </w:pPr>
          </w:p>
        </w:tc>
        <w:tc>
          <w:tcPr>
            <w:tcW w:w="2410" w:type="dxa"/>
            <w:gridSpan w:val="2"/>
            <w:tcBorders>
              <w:top w:val="single" w:sz="12" w:space="0" w:color="auto"/>
            </w:tcBorders>
          </w:tcPr>
          <w:p w14:paraId="0D9C7D89" w14:textId="77777777" w:rsidR="00730D60" w:rsidRPr="002C21B8" w:rsidRDefault="00730D60" w:rsidP="00EB0FFD">
            <w:pPr>
              <w:spacing w:beforeLines="20" w:before="48" w:after="120" w:line="240" w:lineRule="auto"/>
              <w:rPr>
                <w:b/>
                <w:bCs/>
              </w:rPr>
            </w:pPr>
          </w:p>
        </w:tc>
        <w:tc>
          <w:tcPr>
            <w:tcW w:w="8222" w:type="dxa"/>
            <w:gridSpan w:val="4"/>
            <w:tcBorders>
              <w:top w:val="single" w:sz="12" w:space="0" w:color="auto"/>
              <w:left w:val="nil"/>
              <w:bottom w:val="single" w:sz="6" w:space="0" w:color="000000" w:themeColor="text1"/>
            </w:tcBorders>
          </w:tcPr>
          <w:p w14:paraId="4788B63A" w14:textId="02A6B048" w:rsidR="00730D60" w:rsidRPr="002C21B8" w:rsidRDefault="0089205D" w:rsidP="00EB0FFD">
            <w:pPr>
              <w:spacing w:beforeLines="20" w:before="48" w:after="120" w:line="240" w:lineRule="auto"/>
              <w:jc w:val="center"/>
              <w:rPr>
                <w:b/>
                <w:bCs/>
              </w:rPr>
            </w:pPr>
            <w:r w:rsidRPr="002C21B8">
              <w:rPr>
                <w:b/>
                <w:bCs/>
              </w:rPr>
              <w:t>P</w:t>
            </w:r>
            <w:r w:rsidR="00730D60" w:rsidRPr="002C21B8">
              <w:rPr>
                <w:b/>
                <w:bCs/>
              </w:rPr>
              <w:t>rofessionals involved in tolvaptan pathway</w:t>
            </w:r>
          </w:p>
        </w:tc>
      </w:tr>
      <w:tr w:rsidR="00313008" w:rsidRPr="002C21B8" w14:paraId="47908765" w14:textId="77777777" w:rsidTr="00313008">
        <w:trPr>
          <w:trHeight w:val="170"/>
        </w:trPr>
        <w:tc>
          <w:tcPr>
            <w:tcW w:w="2835" w:type="dxa"/>
            <w:tcBorders>
              <w:bottom w:val="single" w:sz="4" w:space="0" w:color="auto"/>
            </w:tcBorders>
          </w:tcPr>
          <w:p w14:paraId="09644B1A" w14:textId="77777777" w:rsidR="00730D60" w:rsidRPr="002C21B8" w:rsidRDefault="00730D60" w:rsidP="00EB0FFD">
            <w:pPr>
              <w:spacing w:beforeLines="20" w:before="48" w:after="120" w:line="240" w:lineRule="auto"/>
              <w:rPr>
                <w:b/>
                <w:bCs/>
              </w:rPr>
            </w:pPr>
            <w:r w:rsidRPr="002C21B8">
              <w:rPr>
                <w:b/>
                <w:bCs/>
              </w:rPr>
              <w:t>Decision-making model</w:t>
            </w:r>
          </w:p>
        </w:tc>
        <w:tc>
          <w:tcPr>
            <w:tcW w:w="2211" w:type="dxa"/>
            <w:tcBorders>
              <w:bottom w:val="single" w:sz="4" w:space="0" w:color="auto"/>
            </w:tcBorders>
          </w:tcPr>
          <w:p w14:paraId="67A1D97E" w14:textId="77777777" w:rsidR="00730D60" w:rsidRPr="002C21B8" w:rsidRDefault="00730D60" w:rsidP="00EB0FFD">
            <w:pPr>
              <w:spacing w:beforeLines="20" w:before="48" w:after="120" w:line="240" w:lineRule="auto"/>
              <w:rPr>
                <w:b/>
                <w:bCs/>
              </w:rPr>
            </w:pPr>
            <w:r w:rsidRPr="002C21B8">
              <w:rPr>
                <w:b/>
                <w:bCs/>
              </w:rPr>
              <w:t>Consultant lead type</w:t>
            </w:r>
          </w:p>
        </w:tc>
        <w:tc>
          <w:tcPr>
            <w:tcW w:w="2105" w:type="dxa"/>
            <w:gridSpan w:val="2"/>
            <w:tcBorders>
              <w:bottom w:val="single" w:sz="4" w:space="0" w:color="auto"/>
            </w:tcBorders>
          </w:tcPr>
          <w:p w14:paraId="4721A7B1" w14:textId="7278F35D" w:rsidR="00730D60" w:rsidRPr="002C21B8" w:rsidRDefault="0089205D" w:rsidP="00EB0FFD">
            <w:pPr>
              <w:spacing w:beforeLines="20" w:before="48" w:after="120" w:line="240" w:lineRule="auto"/>
              <w:jc w:val="center"/>
              <w:rPr>
                <w:b/>
                <w:bCs/>
              </w:rPr>
            </w:pPr>
            <w:r w:rsidRPr="002C21B8">
              <w:rPr>
                <w:b/>
                <w:bCs/>
              </w:rPr>
              <w:t>Consultant-only</w:t>
            </w:r>
          </w:p>
        </w:tc>
        <w:tc>
          <w:tcPr>
            <w:tcW w:w="2105" w:type="dxa"/>
            <w:tcBorders>
              <w:top w:val="single" w:sz="6" w:space="0" w:color="000000" w:themeColor="text1"/>
              <w:bottom w:val="single" w:sz="4" w:space="0" w:color="auto"/>
            </w:tcBorders>
          </w:tcPr>
          <w:p w14:paraId="712B00DF" w14:textId="77777777" w:rsidR="00730D60" w:rsidRPr="002C21B8" w:rsidRDefault="00730D60" w:rsidP="00EB0FFD">
            <w:pPr>
              <w:spacing w:beforeLines="20" w:before="48" w:after="120" w:line="240" w:lineRule="auto"/>
              <w:jc w:val="center"/>
              <w:rPr>
                <w:b/>
                <w:bCs/>
              </w:rPr>
            </w:pPr>
            <w:r w:rsidRPr="002C21B8">
              <w:rPr>
                <w:b/>
                <w:bCs/>
              </w:rPr>
              <w:t>Pharmacist</w:t>
            </w:r>
          </w:p>
        </w:tc>
        <w:tc>
          <w:tcPr>
            <w:tcW w:w="2105" w:type="dxa"/>
            <w:tcBorders>
              <w:top w:val="single" w:sz="6" w:space="0" w:color="000000" w:themeColor="text1"/>
              <w:left w:val="nil"/>
              <w:bottom w:val="single" w:sz="4" w:space="0" w:color="auto"/>
            </w:tcBorders>
          </w:tcPr>
          <w:p w14:paraId="19CD6778" w14:textId="77777777" w:rsidR="00730D60" w:rsidRPr="002C21B8" w:rsidRDefault="00730D60" w:rsidP="00EB0FFD">
            <w:pPr>
              <w:spacing w:beforeLines="20" w:before="48" w:after="120" w:line="240" w:lineRule="auto"/>
              <w:jc w:val="center"/>
              <w:rPr>
                <w:b/>
                <w:bCs/>
              </w:rPr>
            </w:pPr>
            <w:r w:rsidRPr="002C21B8">
              <w:rPr>
                <w:b/>
                <w:bCs/>
              </w:rPr>
              <w:t>Nurse</w:t>
            </w:r>
          </w:p>
        </w:tc>
        <w:tc>
          <w:tcPr>
            <w:tcW w:w="2106" w:type="dxa"/>
            <w:tcBorders>
              <w:top w:val="single" w:sz="6" w:space="0" w:color="000000" w:themeColor="text1"/>
              <w:bottom w:val="single" w:sz="4" w:space="0" w:color="auto"/>
            </w:tcBorders>
          </w:tcPr>
          <w:p w14:paraId="78073531" w14:textId="77777777" w:rsidR="00730D60" w:rsidRPr="002C21B8" w:rsidRDefault="00730D60" w:rsidP="00EB0FFD">
            <w:pPr>
              <w:spacing w:beforeLines="20" w:before="48" w:after="120" w:line="240" w:lineRule="auto"/>
              <w:jc w:val="center"/>
              <w:rPr>
                <w:b/>
                <w:bCs/>
              </w:rPr>
            </w:pPr>
            <w:r w:rsidRPr="002C21B8">
              <w:rPr>
                <w:b/>
                <w:bCs/>
              </w:rPr>
              <w:t>Pharmacist &amp; Nurse</w:t>
            </w:r>
          </w:p>
        </w:tc>
      </w:tr>
      <w:tr w:rsidR="00313008" w:rsidRPr="002C21B8" w14:paraId="1A204C90" w14:textId="77777777" w:rsidTr="00313008">
        <w:trPr>
          <w:trHeight w:val="170"/>
        </w:trPr>
        <w:tc>
          <w:tcPr>
            <w:tcW w:w="2835" w:type="dxa"/>
          </w:tcPr>
          <w:p w14:paraId="0EA70B6E" w14:textId="77777777" w:rsidR="00730D60" w:rsidRPr="002C21B8" w:rsidRDefault="00730D60" w:rsidP="00EB0FFD">
            <w:pPr>
              <w:spacing w:beforeLines="20" w:before="48" w:after="120" w:line="240" w:lineRule="auto"/>
            </w:pPr>
            <w:r w:rsidRPr="002C21B8">
              <w:t>Single (n = 17)</w:t>
            </w:r>
          </w:p>
        </w:tc>
        <w:tc>
          <w:tcPr>
            <w:tcW w:w="2211" w:type="dxa"/>
          </w:tcPr>
          <w:p w14:paraId="396E375B" w14:textId="77777777" w:rsidR="00730D60" w:rsidRPr="002C21B8" w:rsidRDefault="00730D60" w:rsidP="00EB0FFD">
            <w:pPr>
              <w:spacing w:beforeLines="20" w:before="48" w:after="120" w:line="240" w:lineRule="auto"/>
            </w:pPr>
            <w:r w:rsidRPr="002C21B8">
              <w:t>Specialist (n = 11)</w:t>
            </w:r>
          </w:p>
        </w:tc>
        <w:tc>
          <w:tcPr>
            <w:tcW w:w="2105" w:type="dxa"/>
            <w:gridSpan w:val="2"/>
          </w:tcPr>
          <w:p w14:paraId="544E60F8" w14:textId="77777777" w:rsidR="00730D60" w:rsidRPr="002C21B8" w:rsidRDefault="00730D60" w:rsidP="00EB0FFD">
            <w:pPr>
              <w:spacing w:beforeLines="20" w:before="48" w:after="120" w:line="240" w:lineRule="auto"/>
              <w:jc w:val="center"/>
            </w:pPr>
            <w:r w:rsidRPr="002C21B8">
              <w:t>5</w:t>
            </w:r>
          </w:p>
        </w:tc>
        <w:tc>
          <w:tcPr>
            <w:tcW w:w="2105" w:type="dxa"/>
          </w:tcPr>
          <w:p w14:paraId="5DEAEBCC" w14:textId="77777777" w:rsidR="00730D60" w:rsidRPr="002C21B8" w:rsidRDefault="00730D60" w:rsidP="00EB0FFD">
            <w:pPr>
              <w:spacing w:beforeLines="20" w:before="48" w:after="120" w:line="240" w:lineRule="auto"/>
              <w:jc w:val="center"/>
            </w:pPr>
            <w:r w:rsidRPr="002C21B8">
              <w:t>3</w:t>
            </w:r>
          </w:p>
        </w:tc>
        <w:tc>
          <w:tcPr>
            <w:tcW w:w="2105" w:type="dxa"/>
            <w:tcBorders>
              <w:left w:val="nil"/>
            </w:tcBorders>
          </w:tcPr>
          <w:p w14:paraId="1864EBEB" w14:textId="77777777" w:rsidR="00730D60" w:rsidRPr="002C21B8" w:rsidRDefault="00730D60" w:rsidP="00EB0FFD">
            <w:pPr>
              <w:spacing w:beforeLines="20" w:before="48" w:after="120" w:line="240" w:lineRule="auto"/>
              <w:jc w:val="center"/>
            </w:pPr>
            <w:r w:rsidRPr="002C21B8">
              <w:t>0</w:t>
            </w:r>
          </w:p>
        </w:tc>
        <w:tc>
          <w:tcPr>
            <w:tcW w:w="2106" w:type="dxa"/>
          </w:tcPr>
          <w:p w14:paraId="72BB650B" w14:textId="77777777" w:rsidR="00730D60" w:rsidRPr="002C21B8" w:rsidRDefault="00730D60" w:rsidP="00EB0FFD">
            <w:pPr>
              <w:spacing w:beforeLines="20" w:before="48" w:after="120" w:line="240" w:lineRule="auto"/>
              <w:jc w:val="center"/>
            </w:pPr>
            <w:r w:rsidRPr="002C21B8">
              <w:t>3</w:t>
            </w:r>
          </w:p>
        </w:tc>
      </w:tr>
      <w:tr w:rsidR="00313008" w:rsidRPr="002C21B8" w14:paraId="1662E6AB" w14:textId="77777777" w:rsidTr="00313008">
        <w:trPr>
          <w:trHeight w:val="170"/>
        </w:trPr>
        <w:tc>
          <w:tcPr>
            <w:tcW w:w="2835" w:type="dxa"/>
          </w:tcPr>
          <w:p w14:paraId="6425E3A3" w14:textId="77777777" w:rsidR="00730D60" w:rsidRPr="002C21B8" w:rsidRDefault="00730D60" w:rsidP="00EB0FFD">
            <w:pPr>
              <w:spacing w:beforeLines="20" w:before="48" w:after="120" w:line="240" w:lineRule="auto"/>
            </w:pPr>
          </w:p>
        </w:tc>
        <w:tc>
          <w:tcPr>
            <w:tcW w:w="2211" w:type="dxa"/>
          </w:tcPr>
          <w:p w14:paraId="1C9ACE51" w14:textId="77777777" w:rsidR="00730D60" w:rsidRPr="002C21B8" w:rsidRDefault="00730D60" w:rsidP="00EB0FFD">
            <w:pPr>
              <w:spacing w:beforeLines="20" w:before="48" w:after="120" w:line="240" w:lineRule="auto"/>
            </w:pPr>
            <w:r w:rsidRPr="002C21B8">
              <w:t>Generalist (n = 6)</w:t>
            </w:r>
          </w:p>
        </w:tc>
        <w:tc>
          <w:tcPr>
            <w:tcW w:w="2105" w:type="dxa"/>
            <w:gridSpan w:val="2"/>
          </w:tcPr>
          <w:p w14:paraId="79E9B4B1" w14:textId="77777777" w:rsidR="00730D60" w:rsidRPr="002C21B8" w:rsidRDefault="00730D60" w:rsidP="00EB0FFD">
            <w:pPr>
              <w:spacing w:beforeLines="20" w:before="48" w:after="120" w:line="240" w:lineRule="auto"/>
              <w:jc w:val="center"/>
            </w:pPr>
            <w:r w:rsidRPr="002C21B8">
              <w:t>2</w:t>
            </w:r>
          </w:p>
        </w:tc>
        <w:tc>
          <w:tcPr>
            <w:tcW w:w="2105" w:type="dxa"/>
          </w:tcPr>
          <w:p w14:paraId="15C5DE25" w14:textId="77777777" w:rsidR="00730D60" w:rsidRPr="002C21B8" w:rsidRDefault="00730D60" w:rsidP="00EB0FFD">
            <w:pPr>
              <w:spacing w:beforeLines="20" w:before="48" w:after="120" w:line="240" w:lineRule="auto"/>
              <w:jc w:val="center"/>
            </w:pPr>
            <w:r w:rsidRPr="002C21B8">
              <w:t>3</w:t>
            </w:r>
          </w:p>
        </w:tc>
        <w:tc>
          <w:tcPr>
            <w:tcW w:w="2105" w:type="dxa"/>
            <w:tcBorders>
              <w:left w:val="nil"/>
            </w:tcBorders>
          </w:tcPr>
          <w:p w14:paraId="62E7DDDF" w14:textId="77777777" w:rsidR="00730D60" w:rsidRPr="002C21B8" w:rsidRDefault="00730D60" w:rsidP="00EB0FFD">
            <w:pPr>
              <w:spacing w:beforeLines="20" w:before="48" w:after="120" w:line="240" w:lineRule="auto"/>
              <w:jc w:val="center"/>
            </w:pPr>
            <w:r w:rsidRPr="002C21B8">
              <w:t>1</w:t>
            </w:r>
          </w:p>
        </w:tc>
        <w:tc>
          <w:tcPr>
            <w:tcW w:w="2106" w:type="dxa"/>
          </w:tcPr>
          <w:p w14:paraId="7437A932" w14:textId="77777777" w:rsidR="00730D60" w:rsidRPr="002C21B8" w:rsidRDefault="00730D60" w:rsidP="00EB0FFD">
            <w:pPr>
              <w:spacing w:beforeLines="20" w:before="48" w:after="120" w:line="240" w:lineRule="auto"/>
              <w:jc w:val="center"/>
            </w:pPr>
            <w:r w:rsidRPr="002C21B8">
              <w:t>0</w:t>
            </w:r>
          </w:p>
        </w:tc>
      </w:tr>
      <w:tr w:rsidR="00313008" w:rsidRPr="002C21B8" w14:paraId="52FD4EE3" w14:textId="77777777" w:rsidTr="00313008">
        <w:trPr>
          <w:trHeight w:val="170"/>
        </w:trPr>
        <w:tc>
          <w:tcPr>
            <w:tcW w:w="2835" w:type="dxa"/>
          </w:tcPr>
          <w:p w14:paraId="6B37D934" w14:textId="77777777" w:rsidR="00730D60" w:rsidRPr="002C21B8" w:rsidRDefault="00730D60" w:rsidP="00EB0FFD">
            <w:pPr>
              <w:spacing w:beforeLines="20" w:before="48" w:after="120" w:line="240" w:lineRule="auto"/>
            </w:pPr>
            <w:r w:rsidRPr="002C21B8">
              <w:t>Multiple ( n = 12)</w:t>
            </w:r>
          </w:p>
        </w:tc>
        <w:tc>
          <w:tcPr>
            <w:tcW w:w="2211" w:type="dxa"/>
          </w:tcPr>
          <w:p w14:paraId="58948ABD" w14:textId="77777777" w:rsidR="00730D60" w:rsidRPr="002C21B8" w:rsidRDefault="00730D60" w:rsidP="00EB0FFD">
            <w:pPr>
              <w:spacing w:beforeLines="20" w:before="48" w:after="120" w:line="240" w:lineRule="auto"/>
            </w:pPr>
            <w:r w:rsidRPr="002C21B8">
              <w:t>Specialist (n = 7)</w:t>
            </w:r>
          </w:p>
        </w:tc>
        <w:tc>
          <w:tcPr>
            <w:tcW w:w="2105" w:type="dxa"/>
            <w:gridSpan w:val="2"/>
          </w:tcPr>
          <w:p w14:paraId="559B4F3F" w14:textId="77777777" w:rsidR="00730D60" w:rsidRPr="002C21B8" w:rsidRDefault="00730D60" w:rsidP="00EB0FFD">
            <w:pPr>
              <w:spacing w:beforeLines="20" w:before="48" w:after="120" w:line="240" w:lineRule="auto"/>
              <w:jc w:val="center"/>
            </w:pPr>
            <w:r w:rsidRPr="002C21B8">
              <w:t>2</w:t>
            </w:r>
          </w:p>
        </w:tc>
        <w:tc>
          <w:tcPr>
            <w:tcW w:w="2105" w:type="dxa"/>
          </w:tcPr>
          <w:p w14:paraId="423C14E1" w14:textId="77777777" w:rsidR="00730D60" w:rsidRPr="002C21B8" w:rsidRDefault="00730D60" w:rsidP="00EB0FFD">
            <w:pPr>
              <w:spacing w:beforeLines="20" w:before="48" w:after="120" w:line="240" w:lineRule="auto"/>
              <w:jc w:val="center"/>
            </w:pPr>
            <w:r w:rsidRPr="002C21B8">
              <w:t>3</w:t>
            </w:r>
          </w:p>
        </w:tc>
        <w:tc>
          <w:tcPr>
            <w:tcW w:w="2105" w:type="dxa"/>
            <w:tcBorders>
              <w:left w:val="nil"/>
            </w:tcBorders>
          </w:tcPr>
          <w:p w14:paraId="15F9D249" w14:textId="77777777" w:rsidR="00730D60" w:rsidRPr="002C21B8" w:rsidRDefault="00730D60" w:rsidP="00EB0FFD">
            <w:pPr>
              <w:spacing w:beforeLines="20" w:before="48" w:after="120" w:line="240" w:lineRule="auto"/>
              <w:jc w:val="center"/>
            </w:pPr>
            <w:r w:rsidRPr="002C21B8">
              <w:t>2</w:t>
            </w:r>
          </w:p>
        </w:tc>
        <w:tc>
          <w:tcPr>
            <w:tcW w:w="2106" w:type="dxa"/>
          </w:tcPr>
          <w:p w14:paraId="2C04E621" w14:textId="77777777" w:rsidR="00730D60" w:rsidRPr="002C21B8" w:rsidRDefault="00730D60" w:rsidP="00EB0FFD">
            <w:pPr>
              <w:spacing w:beforeLines="20" w:before="48" w:after="120" w:line="240" w:lineRule="auto"/>
              <w:jc w:val="center"/>
            </w:pPr>
            <w:r w:rsidRPr="002C21B8">
              <w:t>0</w:t>
            </w:r>
          </w:p>
        </w:tc>
      </w:tr>
      <w:tr w:rsidR="00313008" w:rsidRPr="002C21B8" w14:paraId="54C6C2EA" w14:textId="77777777" w:rsidTr="00313008">
        <w:trPr>
          <w:trHeight w:val="170"/>
        </w:trPr>
        <w:tc>
          <w:tcPr>
            <w:tcW w:w="2835" w:type="dxa"/>
          </w:tcPr>
          <w:p w14:paraId="5AC83E91" w14:textId="77777777" w:rsidR="00730D60" w:rsidRPr="002C21B8" w:rsidRDefault="00730D60" w:rsidP="00EB0FFD">
            <w:pPr>
              <w:spacing w:beforeLines="20" w:before="48" w:after="120" w:line="240" w:lineRule="auto"/>
            </w:pPr>
          </w:p>
        </w:tc>
        <w:tc>
          <w:tcPr>
            <w:tcW w:w="2211" w:type="dxa"/>
          </w:tcPr>
          <w:p w14:paraId="4F15344A" w14:textId="77777777" w:rsidR="00730D60" w:rsidRPr="002C21B8" w:rsidRDefault="00730D60" w:rsidP="00EB0FFD">
            <w:pPr>
              <w:spacing w:beforeLines="20" w:before="48" w:after="120" w:line="240" w:lineRule="auto"/>
            </w:pPr>
            <w:r w:rsidRPr="002C21B8">
              <w:t>Generalist (n =5 )</w:t>
            </w:r>
          </w:p>
        </w:tc>
        <w:tc>
          <w:tcPr>
            <w:tcW w:w="2105" w:type="dxa"/>
            <w:gridSpan w:val="2"/>
          </w:tcPr>
          <w:p w14:paraId="7B83DF22" w14:textId="77777777" w:rsidR="00730D60" w:rsidRPr="002C21B8" w:rsidRDefault="00730D60" w:rsidP="00EB0FFD">
            <w:pPr>
              <w:spacing w:beforeLines="20" w:before="48" w:after="120" w:line="240" w:lineRule="auto"/>
              <w:jc w:val="center"/>
            </w:pPr>
            <w:r w:rsidRPr="002C21B8">
              <w:t>0</w:t>
            </w:r>
          </w:p>
        </w:tc>
        <w:tc>
          <w:tcPr>
            <w:tcW w:w="2105" w:type="dxa"/>
          </w:tcPr>
          <w:p w14:paraId="0D141CE8" w14:textId="77777777" w:rsidR="00730D60" w:rsidRPr="002C21B8" w:rsidRDefault="00730D60" w:rsidP="00EB0FFD">
            <w:pPr>
              <w:spacing w:beforeLines="20" w:before="48" w:after="120" w:line="240" w:lineRule="auto"/>
              <w:jc w:val="center"/>
            </w:pPr>
            <w:r w:rsidRPr="002C21B8">
              <w:t>3</w:t>
            </w:r>
          </w:p>
        </w:tc>
        <w:tc>
          <w:tcPr>
            <w:tcW w:w="2105" w:type="dxa"/>
            <w:tcBorders>
              <w:left w:val="nil"/>
            </w:tcBorders>
          </w:tcPr>
          <w:p w14:paraId="57A5A601" w14:textId="77777777" w:rsidR="00730D60" w:rsidRPr="002C21B8" w:rsidRDefault="00730D60" w:rsidP="00EB0FFD">
            <w:pPr>
              <w:spacing w:beforeLines="20" w:before="48" w:after="120" w:line="240" w:lineRule="auto"/>
              <w:jc w:val="center"/>
            </w:pPr>
            <w:r w:rsidRPr="002C21B8">
              <w:t>0</w:t>
            </w:r>
          </w:p>
        </w:tc>
        <w:tc>
          <w:tcPr>
            <w:tcW w:w="2106" w:type="dxa"/>
          </w:tcPr>
          <w:p w14:paraId="08DE5746" w14:textId="77777777" w:rsidR="00730D60" w:rsidRPr="002C21B8" w:rsidRDefault="00730D60" w:rsidP="00EB0FFD">
            <w:pPr>
              <w:spacing w:beforeLines="20" w:before="48" w:after="120" w:line="240" w:lineRule="auto"/>
              <w:jc w:val="center"/>
            </w:pPr>
            <w:r w:rsidRPr="002C21B8">
              <w:t>2</w:t>
            </w:r>
          </w:p>
        </w:tc>
      </w:tr>
      <w:tr w:rsidR="00313008" w:rsidRPr="002C21B8" w14:paraId="13D270AB" w14:textId="77777777" w:rsidTr="00313008">
        <w:trPr>
          <w:trHeight w:val="170"/>
        </w:trPr>
        <w:tc>
          <w:tcPr>
            <w:tcW w:w="2835" w:type="dxa"/>
            <w:tcBorders>
              <w:bottom w:val="single" w:sz="6" w:space="0" w:color="000000" w:themeColor="text1"/>
            </w:tcBorders>
          </w:tcPr>
          <w:p w14:paraId="68306478" w14:textId="77777777" w:rsidR="00730D60" w:rsidRPr="002C21B8" w:rsidRDefault="00730D60" w:rsidP="00EB0FFD">
            <w:pPr>
              <w:spacing w:beforeLines="20" w:before="48" w:after="120" w:line="240" w:lineRule="auto"/>
            </w:pPr>
            <w:r w:rsidRPr="002C21B8">
              <w:t>MDT (n = 11)</w:t>
            </w:r>
          </w:p>
        </w:tc>
        <w:tc>
          <w:tcPr>
            <w:tcW w:w="2211" w:type="dxa"/>
            <w:tcBorders>
              <w:bottom w:val="single" w:sz="6" w:space="0" w:color="000000" w:themeColor="text1"/>
            </w:tcBorders>
          </w:tcPr>
          <w:p w14:paraId="238B4B27" w14:textId="77777777" w:rsidR="00730D60" w:rsidRPr="002C21B8" w:rsidRDefault="00730D60" w:rsidP="00EB0FFD">
            <w:pPr>
              <w:spacing w:beforeLines="20" w:before="48" w:after="120" w:line="240" w:lineRule="auto"/>
            </w:pPr>
            <w:r w:rsidRPr="002C21B8">
              <w:t>Specialist (n = 11)</w:t>
            </w:r>
          </w:p>
        </w:tc>
        <w:tc>
          <w:tcPr>
            <w:tcW w:w="2105" w:type="dxa"/>
            <w:gridSpan w:val="2"/>
            <w:tcBorders>
              <w:bottom w:val="single" w:sz="6" w:space="0" w:color="000000" w:themeColor="text1"/>
            </w:tcBorders>
          </w:tcPr>
          <w:p w14:paraId="31CEDECD" w14:textId="77777777" w:rsidR="00730D60" w:rsidRPr="002C21B8" w:rsidRDefault="00730D60" w:rsidP="00EB0FFD">
            <w:pPr>
              <w:spacing w:beforeLines="20" w:before="48" w:after="120" w:line="240" w:lineRule="auto"/>
              <w:jc w:val="center"/>
            </w:pPr>
            <w:r w:rsidRPr="002C21B8">
              <w:t>0</w:t>
            </w:r>
          </w:p>
        </w:tc>
        <w:tc>
          <w:tcPr>
            <w:tcW w:w="2105" w:type="dxa"/>
            <w:tcBorders>
              <w:bottom w:val="single" w:sz="6" w:space="0" w:color="000000" w:themeColor="text1"/>
            </w:tcBorders>
          </w:tcPr>
          <w:p w14:paraId="68462AD3" w14:textId="77777777" w:rsidR="00730D60" w:rsidRPr="002C21B8" w:rsidRDefault="00730D60" w:rsidP="00EB0FFD">
            <w:pPr>
              <w:spacing w:beforeLines="20" w:before="48" w:after="120" w:line="240" w:lineRule="auto"/>
              <w:jc w:val="center"/>
            </w:pPr>
            <w:r w:rsidRPr="002C21B8">
              <w:t>6</w:t>
            </w:r>
          </w:p>
        </w:tc>
        <w:tc>
          <w:tcPr>
            <w:tcW w:w="2105" w:type="dxa"/>
            <w:tcBorders>
              <w:left w:val="nil"/>
              <w:bottom w:val="single" w:sz="6" w:space="0" w:color="000000" w:themeColor="text1"/>
            </w:tcBorders>
          </w:tcPr>
          <w:p w14:paraId="66E5BE03" w14:textId="77777777" w:rsidR="00730D60" w:rsidRPr="002C21B8" w:rsidRDefault="00730D60" w:rsidP="00EB0FFD">
            <w:pPr>
              <w:spacing w:beforeLines="20" w:before="48" w:after="120" w:line="240" w:lineRule="auto"/>
              <w:jc w:val="center"/>
            </w:pPr>
            <w:r w:rsidRPr="002C21B8">
              <w:t>0</w:t>
            </w:r>
          </w:p>
        </w:tc>
        <w:tc>
          <w:tcPr>
            <w:tcW w:w="2106" w:type="dxa"/>
            <w:tcBorders>
              <w:bottom w:val="single" w:sz="6" w:space="0" w:color="000000" w:themeColor="text1"/>
            </w:tcBorders>
          </w:tcPr>
          <w:p w14:paraId="16B75F5F" w14:textId="77777777" w:rsidR="00730D60" w:rsidRPr="002C21B8" w:rsidRDefault="00730D60" w:rsidP="00EB0FFD">
            <w:pPr>
              <w:spacing w:beforeLines="20" w:before="48" w:after="120" w:line="240" w:lineRule="auto"/>
              <w:jc w:val="center"/>
            </w:pPr>
            <w:r w:rsidRPr="002C21B8">
              <w:t>5</w:t>
            </w:r>
          </w:p>
        </w:tc>
      </w:tr>
      <w:tr w:rsidR="00313008" w:rsidRPr="002C21B8" w14:paraId="5849BE8B" w14:textId="77777777" w:rsidTr="00313008">
        <w:trPr>
          <w:trHeight w:val="170"/>
        </w:trPr>
        <w:tc>
          <w:tcPr>
            <w:tcW w:w="2835" w:type="dxa"/>
            <w:tcBorders>
              <w:top w:val="single" w:sz="6" w:space="0" w:color="000000" w:themeColor="text1"/>
              <w:bottom w:val="single" w:sz="12" w:space="0" w:color="000000" w:themeColor="text1"/>
            </w:tcBorders>
          </w:tcPr>
          <w:p w14:paraId="0B390998" w14:textId="77777777" w:rsidR="00730D60" w:rsidRPr="002C21B8" w:rsidRDefault="00730D60" w:rsidP="00EB0FFD">
            <w:pPr>
              <w:spacing w:beforeLines="20" w:before="48" w:after="120" w:line="240" w:lineRule="auto"/>
            </w:pPr>
            <w:r w:rsidRPr="002C21B8">
              <w:t>All models (n = 40)</w:t>
            </w:r>
          </w:p>
        </w:tc>
        <w:tc>
          <w:tcPr>
            <w:tcW w:w="2211" w:type="dxa"/>
            <w:tcBorders>
              <w:top w:val="single" w:sz="6" w:space="0" w:color="000000" w:themeColor="text1"/>
              <w:bottom w:val="single" w:sz="12" w:space="0" w:color="000000" w:themeColor="text1"/>
            </w:tcBorders>
          </w:tcPr>
          <w:p w14:paraId="2631CBE9" w14:textId="77777777" w:rsidR="00730D60" w:rsidRPr="002C21B8" w:rsidRDefault="00730D60" w:rsidP="00EB0FFD">
            <w:pPr>
              <w:spacing w:beforeLines="20" w:before="48" w:after="120" w:line="240" w:lineRule="auto"/>
            </w:pPr>
            <w:r w:rsidRPr="002C21B8">
              <w:t>All types (n = 40)</w:t>
            </w:r>
          </w:p>
        </w:tc>
        <w:tc>
          <w:tcPr>
            <w:tcW w:w="2105" w:type="dxa"/>
            <w:gridSpan w:val="2"/>
            <w:tcBorders>
              <w:top w:val="single" w:sz="6" w:space="0" w:color="000000" w:themeColor="text1"/>
              <w:bottom w:val="single" w:sz="12" w:space="0" w:color="000000" w:themeColor="text1"/>
            </w:tcBorders>
          </w:tcPr>
          <w:p w14:paraId="5F686C41" w14:textId="77777777" w:rsidR="00730D60" w:rsidRPr="002C21B8" w:rsidRDefault="00730D60" w:rsidP="00EB0FFD">
            <w:pPr>
              <w:spacing w:beforeLines="20" w:before="48" w:after="120" w:line="240" w:lineRule="auto"/>
              <w:jc w:val="center"/>
            </w:pPr>
            <w:r w:rsidRPr="002C21B8">
              <w:t>9</w:t>
            </w:r>
          </w:p>
        </w:tc>
        <w:tc>
          <w:tcPr>
            <w:tcW w:w="2105" w:type="dxa"/>
            <w:tcBorders>
              <w:top w:val="single" w:sz="6" w:space="0" w:color="000000" w:themeColor="text1"/>
              <w:bottom w:val="single" w:sz="12" w:space="0" w:color="000000" w:themeColor="text1"/>
            </w:tcBorders>
          </w:tcPr>
          <w:p w14:paraId="440DE5CF" w14:textId="77777777" w:rsidR="00730D60" w:rsidRPr="002C21B8" w:rsidRDefault="00730D60" w:rsidP="00EB0FFD">
            <w:pPr>
              <w:spacing w:beforeLines="20" w:before="48" w:after="120" w:line="240" w:lineRule="auto"/>
              <w:jc w:val="center"/>
            </w:pPr>
            <w:r w:rsidRPr="002C21B8">
              <w:t>18</w:t>
            </w:r>
          </w:p>
        </w:tc>
        <w:tc>
          <w:tcPr>
            <w:tcW w:w="2105" w:type="dxa"/>
            <w:tcBorders>
              <w:top w:val="single" w:sz="6" w:space="0" w:color="000000" w:themeColor="text1"/>
              <w:left w:val="nil"/>
              <w:bottom w:val="single" w:sz="12" w:space="0" w:color="000000" w:themeColor="text1"/>
            </w:tcBorders>
          </w:tcPr>
          <w:p w14:paraId="64361B20" w14:textId="77777777" w:rsidR="00730D60" w:rsidRPr="002C21B8" w:rsidRDefault="00730D60" w:rsidP="00EB0FFD">
            <w:pPr>
              <w:spacing w:beforeLines="20" w:before="48" w:after="120" w:line="240" w:lineRule="auto"/>
              <w:jc w:val="center"/>
            </w:pPr>
            <w:r w:rsidRPr="002C21B8">
              <w:t>3</w:t>
            </w:r>
          </w:p>
        </w:tc>
        <w:tc>
          <w:tcPr>
            <w:tcW w:w="2106" w:type="dxa"/>
            <w:tcBorders>
              <w:top w:val="single" w:sz="6" w:space="0" w:color="000000" w:themeColor="text1"/>
              <w:bottom w:val="single" w:sz="12" w:space="0" w:color="000000" w:themeColor="text1"/>
            </w:tcBorders>
          </w:tcPr>
          <w:p w14:paraId="0ABB8E2B" w14:textId="77777777" w:rsidR="00730D60" w:rsidRPr="002C21B8" w:rsidRDefault="00730D60" w:rsidP="00EB0FFD">
            <w:pPr>
              <w:spacing w:beforeLines="20" w:before="48" w:after="120" w:line="240" w:lineRule="auto"/>
              <w:jc w:val="center"/>
            </w:pPr>
            <w:r w:rsidRPr="002C21B8">
              <w:t>10</w:t>
            </w:r>
          </w:p>
        </w:tc>
      </w:tr>
    </w:tbl>
    <w:p w14:paraId="317F4FC6" w14:textId="77777777" w:rsidR="00730D60" w:rsidRPr="002C21B8" w:rsidRDefault="00730D60" w:rsidP="003374F4"/>
    <w:p w14:paraId="110AD8A0" w14:textId="77777777" w:rsidR="00730D60" w:rsidRPr="002C21B8" w:rsidRDefault="00730D60" w:rsidP="003374F4"/>
    <w:p w14:paraId="7636FE8F" w14:textId="77777777" w:rsidR="00730D60" w:rsidRPr="002C21B8" w:rsidRDefault="00730D60" w:rsidP="003374F4"/>
    <w:p w14:paraId="5053451B" w14:textId="77777777" w:rsidR="0099322A" w:rsidRPr="002C21B8" w:rsidRDefault="0099322A" w:rsidP="003374F4">
      <w:pPr>
        <w:sectPr w:rsidR="0099322A" w:rsidRPr="002C21B8" w:rsidSect="0009672F">
          <w:headerReference w:type="default" r:id="rId235"/>
          <w:type w:val="continuous"/>
          <w:pgSz w:w="16838" w:h="11906" w:orient="landscape"/>
          <w:pgMar w:top="1440" w:right="1440" w:bottom="1440" w:left="1440" w:header="708" w:footer="708" w:gutter="0"/>
          <w:cols w:space="708"/>
          <w:docGrid w:linePitch="360"/>
        </w:sectPr>
      </w:pPr>
    </w:p>
    <w:p w14:paraId="55F04156" w14:textId="639AE597" w:rsidR="008B0E8A" w:rsidRPr="002C21B8" w:rsidRDefault="008B0E8A" w:rsidP="004507C8">
      <w:pPr>
        <w:pStyle w:val="Heading3"/>
        <w:numPr>
          <w:ilvl w:val="0"/>
          <w:numId w:val="0"/>
        </w:numPr>
      </w:pPr>
      <w:bookmarkStart w:id="484" w:name="_Reporting_checklist_for_2"/>
      <w:bookmarkEnd w:id="484"/>
      <w:r w:rsidRPr="002C21B8">
        <w:t>Reporting checklist for survey</w:t>
      </w:r>
      <w:r w:rsidR="00175D37" w:rsidRPr="002C21B8">
        <w:t xml:space="preserve"> (CROSS checklist)</w:t>
      </w:r>
    </w:p>
    <w:tbl>
      <w:tblPr>
        <w:tblW w:w="8505"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000" w:firstRow="0" w:lastRow="0" w:firstColumn="0" w:lastColumn="0" w:noHBand="0" w:noVBand="0"/>
      </w:tblPr>
      <w:tblGrid>
        <w:gridCol w:w="1756"/>
        <w:gridCol w:w="662"/>
        <w:gridCol w:w="4528"/>
        <w:gridCol w:w="1559"/>
      </w:tblGrid>
      <w:tr w:rsidR="00C72665" w:rsidRPr="002C21B8" w14:paraId="79AE0FDD" w14:textId="77777777" w:rsidTr="00A6476D">
        <w:trPr>
          <w:trHeight w:val="583"/>
        </w:trPr>
        <w:tc>
          <w:tcPr>
            <w:tcW w:w="1756" w:type="dxa"/>
            <w:vAlign w:val="center"/>
          </w:tcPr>
          <w:p w14:paraId="0E45C262" w14:textId="77777777" w:rsidR="00C72665" w:rsidRPr="002C21B8" w:rsidRDefault="00C72665" w:rsidP="004617FA">
            <w:pPr>
              <w:spacing w:beforeLines="20" w:before="48" w:afterLines="20" w:after="48" w:line="240" w:lineRule="auto"/>
              <w:ind w:left="95"/>
              <w:rPr>
                <w:b/>
                <w:bCs/>
                <w:sz w:val="16"/>
                <w:szCs w:val="16"/>
              </w:rPr>
            </w:pPr>
            <w:r w:rsidRPr="002C21B8">
              <w:rPr>
                <w:b/>
                <w:bCs/>
                <w:sz w:val="16"/>
                <w:szCs w:val="16"/>
              </w:rPr>
              <w:t xml:space="preserve">Section/topic </w:t>
            </w:r>
          </w:p>
        </w:tc>
        <w:tc>
          <w:tcPr>
            <w:tcW w:w="662" w:type="dxa"/>
            <w:vAlign w:val="center"/>
          </w:tcPr>
          <w:p w14:paraId="253ED24A" w14:textId="77777777" w:rsidR="00C72665" w:rsidRPr="002C21B8" w:rsidRDefault="00C72665" w:rsidP="004617FA">
            <w:pPr>
              <w:spacing w:beforeLines="20" w:before="48" w:afterLines="20" w:after="48" w:line="240" w:lineRule="auto"/>
              <w:ind w:left="95"/>
              <w:rPr>
                <w:b/>
                <w:bCs/>
                <w:sz w:val="16"/>
                <w:szCs w:val="16"/>
              </w:rPr>
            </w:pPr>
            <w:r w:rsidRPr="002C21B8">
              <w:rPr>
                <w:b/>
                <w:bCs/>
                <w:sz w:val="16"/>
                <w:szCs w:val="16"/>
              </w:rPr>
              <w:t>Item</w:t>
            </w:r>
          </w:p>
        </w:tc>
        <w:tc>
          <w:tcPr>
            <w:tcW w:w="4528" w:type="dxa"/>
            <w:vAlign w:val="center"/>
          </w:tcPr>
          <w:p w14:paraId="76162C8F" w14:textId="77777777" w:rsidR="00C72665" w:rsidRPr="002C21B8" w:rsidRDefault="00C72665" w:rsidP="004617FA">
            <w:pPr>
              <w:spacing w:beforeLines="20" w:before="48" w:afterLines="20" w:after="48" w:line="240" w:lineRule="auto"/>
              <w:ind w:left="95" w:right="150"/>
              <w:rPr>
                <w:b/>
                <w:bCs/>
                <w:sz w:val="16"/>
                <w:szCs w:val="16"/>
              </w:rPr>
            </w:pPr>
            <w:r w:rsidRPr="002C21B8">
              <w:rPr>
                <w:b/>
                <w:bCs/>
                <w:sz w:val="16"/>
                <w:szCs w:val="16"/>
              </w:rPr>
              <w:t>Item description</w:t>
            </w:r>
          </w:p>
        </w:tc>
        <w:tc>
          <w:tcPr>
            <w:tcW w:w="1559" w:type="dxa"/>
            <w:vAlign w:val="center"/>
          </w:tcPr>
          <w:p w14:paraId="4BB85552" w14:textId="77777777" w:rsidR="00C72665" w:rsidRPr="002C21B8" w:rsidDel="002142BE" w:rsidRDefault="00C72665" w:rsidP="004617FA">
            <w:pPr>
              <w:spacing w:beforeLines="20" w:before="48" w:afterLines="20" w:after="48" w:line="240" w:lineRule="auto"/>
              <w:ind w:left="95" w:right="143"/>
              <w:jc w:val="left"/>
              <w:rPr>
                <w:b/>
                <w:bCs/>
                <w:sz w:val="16"/>
                <w:szCs w:val="16"/>
              </w:rPr>
            </w:pPr>
            <w:r w:rsidRPr="002C21B8">
              <w:rPr>
                <w:b/>
                <w:bCs/>
                <w:sz w:val="16"/>
                <w:szCs w:val="16"/>
              </w:rPr>
              <w:t>Reported on page #</w:t>
            </w:r>
          </w:p>
        </w:tc>
      </w:tr>
      <w:tr w:rsidR="009D76EB" w:rsidRPr="002C21B8" w14:paraId="759B1928" w14:textId="77777777" w:rsidTr="00E311FE">
        <w:trPr>
          <w:trHeight w:val="290"/>
        </w:trPr>
        <w:tc>
          <w:tcPr>
            <w:tcW w:w="8505" w:type="dxa"/>
            <w:gridSpan w:val="4"/>
            <w:vAlign w:val="center"/>
          </w:tcPr>
          <w:p w14:paraId="0F4217E3" w14:textId="544618EB" w:rsidR="009D76EB" w:rsidRPr="002C21B8" w:rsidRDefault="009D76EB" w:rsidP="004617FA">
            <w:pPr>
              <w:spacing w:beforeLines="20" w:before="48" w:afterLines="20" w:after="48" w:line="240" w:lineRule="auto"/>
              <w:ind w:left="95" w:right="426"/>
              <w:jc w:val="left"/>
              <w:rPr>
                <w:b/>
                <w:bCs/>
                <w:sz w:val="16"/>
                <w:szCs w:val="16"/>
              </w:rPr>
            </w:pPr>
            <w:r w:rsidRPr="002C21B8">
              <w:rPr>
                <w:b/>
                <w:bCs/>
                <w:sz w:val="16"/>
                <w:szCs w:val="16"/>
              </w:rPr>
              <w:t>Title and abstract</w:t>
            </w:r>
          </w:p>
        </w:tc>
      </w:tr>
      <w:tr w:rsidR="00C72665" w:rsidRPr="002C21B8" w14:paraId="2D177B8F" w14:textId="77777777" w:rsidTr="00A6476D">
        <w:trPr>
          <w:trHeight w:val="510"/>
        </w:trPr>
        <w:tc>
          <w:tcPr>
            <w:tcW w:w="1756" w:type="dxa"/>
            <w:vMerge w:val="restart"/>
            <w:vAlign w:val="center"/>
          </w:tcPr>
          <w:p w14:paraId="5A210E7D"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Title and abstract</w:t>
            </w:r>
          </w:p>
        </w:tc>
        <w:tc>
          <w:tcPr>
            <w:tcW w:w="662" w:type="dxa"/>
            <w:vAlign w:val="center"/>
          </w:tcPr>
          <w:p w14:paraId="4135AE19"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1a</w:t>
            </w:r>
          </w:p>
        </w:tc>
        <w:tc>
          <w:tcPr>
            <w:tcW w:w="4528" w:type="dxa"/>
            <w:vAlign w:val="center"/>
          </w:tcPr>
          <w:p w14:paraId="4364C302" w14:textId="77777777" w:rsidR="00C72665" w:rsidRPr="002C21B8" w:rsidRDefault="00C72665" w:rsidP="004617FA">
            <w:pPr>
              <w:spacing w:beforeLines="20" w:before="48" w:afterLines="20" w:after="48" w:line="240" w:lineRule="auto"/>
              <w:ind w:left="95" w:right="150"/>
              <w:rPr>
                <w:sz w:val="16"/>
                <w:szCs w:val="16"/>
              </w:rPr>
            </w:pPr>
            <w:r w:rsidRPr="002C21B8">
              <w:rPr>
                <w:sz w:val="16"/>
                <w:szCs w:val="16"/>
              </w:rPr>
              <w:t>State the word “survey” along with a commonly used term in title or abstract to introduce the study’s design.</w:t>
            </w:r>
          </w:p>
        </w:tc>
        <w:tc>
          <w:tcPr>
            <w:tcW w:w="1559" w:type="dxa"/>
            <w:vAlign w:val="center"/>
          </w:tcPr>
          <w:p w14:paraId="0B99F9F9" w14:textId="29623A73" w:rsidR="00C72665" w:rsidRPr="002C21B8" w:rsidRDefault="001441CD" w:rsidP="004617FA">
            <w:pPr>
              <w:spacing w:beforeLines="20" w:before="48" w:afterLines="20" w:after="48" w:line="240" w:lineRule="auto"/>
              <w:ind w:left="95" w:right="426"/>
              <w:jc w:val="left"/>
              <w:rPr>
                <w:sz w:val="16"/>
                <w:szCs w:val="16"/>
              </w:rPr>
            </w:pPr>
            <w:r w:rsidRPr="002C21B8">
              <w:rPr>
                <w:sz w:val="16"/>
                <w:szCs w:val="16"/>
              </w:rPr>
              <w:t>Title page</w:t>
            </w:r>
          </w:p>
        </w:tc>
      </w:tr>
      <w:tr w:rsidR="00C72665" w:rsidRPr="002C21B8" w14:paraId="205393FE" w14:textId="77777777" w:rsidTr="00A6476D">
        <w:trPr>
          <w:trHeight w:val="475"/>
        </w:trPr>
        <w:tc>
          <w:tcPr>
            <w:tcW w:w="1756" w:type="dxa"/>
            <w:vMerge/>
            <w:vAlign w:val="center"/>
          </w:tcPr>
          <w:p w14:paraId="78EBD5F7" w14:textId="77777777" w:rsidR="00C72665" w:rsidRPr="002C21B8" w:rsidRDefault="00C72665" w:rsidP="004617FA">
            <w:pPr>
              <w:spacing w:beforeLines="20" w:before="48" w:afterLines="20" w:after="48" w:line="240" w:lineRule="auto"/>
              <w:ind w:left="95"/>
              <w:rPr>
                <w:sz w:val="16"/>
                <w:szCs w:val="16"/>
              </w:rPr>
            </w:pPr>
          </w:p>
        </w:tc>
        <w:tc>
          <w:tcPr>
            <w:tcW w:w="662" w:type="dxa"/>
            <w:vAlign w:val="center"/>
          </w:tcPr>
          <w:p w14:paraId="0A7C6DB4"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1b</w:t>
            </w:r>
          </w:p>
        </w:tc>
        <w:tc>
          <w:tcPr>
            <w:tcW w:w="4528" w:type="dxa"/>
            <w:vAlign w:val="center"/>
          </w:tcPr>
          <w:p w14:paraId="6289475D" w14:textId="77777777" w:rsidR="00C72665" w:rsidRPr="002C21B8" w:rsidRDefault="00C72665" w:rsidP="004617FA">
            <w:pPr>
              <w:spacing w:beforeLines="20" w:before="48" w:afterLines="20" w:after="48" w:line="240" w:lineRule="auto"/>
              <w:ind w:left="95" w:right="150"/>
              <w:rPr>
                <w:sz w:val="16"/>
                <w:szCs w:val="16"/>
              </w:rPr>
            </w:pPr>
            <w:r w:rsidRPr="002C21B8">
              <w:rPr>
                <w:sz w:val="16"/>
                <w:szCs w:val="16"/>
              </w:rPr>
              <w:t>Provide an informative summary in the abstract, covering background, objectives, methods, findings/results, interpretation/discussion, and conclusions.</w:t>
            </w:r>
          </w:p>
        </w:tc>
        <w:tc>
          <w:tcPr>
            <w:tcW w:w="1559" w:type="dxa"/>
            <w:vAlign w:val="center"/>
          </w:tcPr>
          <w:p w14:paraId="4783A4BC" w14:textId="0E15C9BE" w:rsidR="00C72665" w:rsidRPr="002C21B8" w:rsidRDefault="001441CD" w:rsidP="004617FA">
            <w:pPr>
              <w:spacing w:beforeLines="20" w:before="48" w:afterLines="20" w:after="48" w:line="240" w:lineRule="auto"/>
              <w:ind w:left="95" w:right="426"/>
              <w:jc w:val="left"/>
              <w:rPr>
                <w:sz w:val="16"/>
                <w:szCs w:val="16"/>
              </w:rPr>
            </w:pPr>
            <w:r w:rsidRPr="002C21B8">
              <w:rPr>
                <w:sz w:val="16"/>
                <w:szCs w:val="16"/>
              </w:rPr>
              <w:t>Abstract</w:t>
            </w:r>
          </w:p>
        </w:tc>
      </w:tr>
      <w:tr w:rsidR="00C72665" w:rsidRPr="002C21B8" w14:paraId="68A1E5A8" w14:textId="77777777" w:rsidTr="00A6476D">
        <w:trPr>
          <w:trHeight w:val="290"/>
        </w:trPr>
        <w:tc>
          <w:tcPr>
            <w:tcW w:w="6946" w:type="dxa"/>
            <w:gridSpan w:val="3"/>
            <w:vAlign w:val="center"/>
          </w:tcPr>
          <w:p w14:paraId="41614CFE" w14:textId="77777777" w:rsidR="00C72665" w:rsidRPr="002C21B8" w:rsidRDefault="00C72665" w:rsidP="004617FA">
            <w:pPr>
              <w:spacing w:beforeLines="20" w:before="48" w:afterLines="20" w:after="48" w:line="240" w:lineRule="auto"/>
              <w:ind w:left="95" w:right="150"/>
              <w:rPr>
                <w:b/>
                <w:bCs/>
                <w:sz w:val="16"/>
                <w:szCs w:val="16"/>
              </w:rPr>
            </w:pPr>
            <w:r w:rsidRPr="002C21B8">
              <w:rPr>
                <w:b/>
                <w:bCs/>
                <w:sz w:val="16"/>
                <w:szCs w:val="16"/>
              </w:rPr>
              <w:t>Introduction</w:t>
            </w:r>
          </w:p>
        </w:tc>
        <w:tc>
          <w:tcPr>
            <w:tcW w:w="1559" w:type="dxa"/>
            <w:vAlign w:val="center"/>
          </w:tcPr>
          <w:p w14:paraId="4CD37E52" w14:textId="77777777" w:rsidR="00C72665" w:rsidRPr="002C21B8" w:rsidRDefault="00C72665" w:rsidP="004617FA">
            <w:pPr>
              <w:spacing w:beforeLines="20" w:before="48" w:afterLines="20" w:after="48" w:line="240" w:lineRule="auto"/>
              <w:ind w:left="95" w:right="426"/>
              <w:jc w:val="left"/>
              <w:rPr>
                <w:b/>
                <w:bCs/>
                <w:sz w:val="16"/>
                <w:szCs w:val="16"/>
              </w:rPr>
            </w:pPr>
          </w:p>
        </w:tc>
      </w:tr>
      <w:tr w:rsidR="00C72665" w:rsidRPr="002C21B8" w14:paraId="5215A103" w14:textId="77777777" w:rsidTr="00A6476D">
        <w:trPr>
          <w:trHeight w:val="454"/>
        </w:trPr>
        <w:tc>
          <w:tcPr>
            <w:tcW w:w="1756" w:type="dxa"/>
            <w:vAlign w:val="center"/>
          </w:tcPr>
          <w:p w14:paraId="25F43E04"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Background</w:t>
            </w:r>
          </w:p>
        </w:tc>
        <w:tc>
          <w:tcPr>
            <w:tcW w:w="662" w:type="dxa"/>
            <w:vAlign w:val="center"/>
          </w:tcPr>
          <w:p w14:paraId="25FBED15"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2</w:t>
            </w:r>
          </w:p>
        </w:tc>
        <w:tc>
          <w:tcPr>
            <w:tcW w:w="4528" w:type="dxa"/>
            <w:vAlign w:val="center"/>
          </w:tcPr>
          <w:p w14:paraId="4CC2F8FF" w14:textId="77777777" w:rsidR="00C72665" w:rsidRPr="002C21B8" w:rsidRDefault="00C72665" w:rsidP="004617FA">
            <w:pPr>
              <w:spacing w:beforeLines="20" w:before="48" w:afterLines="20" w:after="48" w:line="240" w:lineRule="auto"/>
              <w:ind w:left="95" w:right="150"/>
              <w:rPr>
                <w:sz w:val="16"/>
                <w:szCs w:val="16"/>
              </w:rPr>
            </w:pPr>
            <w:r w:rsidRPr="002C21B8">
              <w:rPr>
                <w:sz w:val="16"/>
                <w:szCs w:val="16"/>
              </w:rPr>
              <w:t>Provide a background about the rationale of study, what has been previously done, and why this survey is needed.</w:t>
            </w:r>
          </w:p>
        </w:tc>
        <w:tc>
          <w:tcPr>
            <w:tcW w:w="1559" w:type="dxa"/>
            <w:vAlign w:val="center"/>
          </w:tcPr>
          <w:p w14:paraId="6ED73B94" w14:textId="344F18BF" w:rsidR="00C72665" w:rsidRPr="002C21B8" w:rsidRDefault="001441CD" w:rsidP="004617FA">
            <w:pPr>
              <w:spacing w:beforeLines="20" w:before="48" w:afterLines="20" w:after="48" w:line="240" w:lineRule="auto"/>
              <w:ind w:left="95" w:right="426"/>
              <w:jc w:val="left"/>
              <w:rPr>
                <w:sz w:val="16"/>
                <w:szCs w:val="16"/>
              </w:rPr>
            </w:pPr>
            <w:r w:rsidRPr="002C21B8">
              <w:rPr>
                <w:sz w:val="16"/>
                <w:szCs w:val="16"/>
              </w:rPr>
              <w:t>Introduction</w:t>
            </w:r>
            <w:r w:rsidR="004617FA" w:rsidRPr="002C21B8">
              <w:rPr>
                <w:sz w:val="16"/>
                <w:szCs w:val="16"/>
              </w:rPr>
              <w:t xml:space="preserve"> -</w:t>
            </w:r>
            <w:r w:rsidRPr="002C21B8">
              <w:rPr>
                <w:sz w:val="16"/>
                <w:szCs w:val="16"/>
              </w:rPr>
              <w:t xml:space="preserve"> paragraph 3</w:t>
            </w:r>
          </w:p>
        </w:tc>
      </w:tr>
      <w:tr w:rsidR="00C72665" w:rsidRPr="002C21B8" w14:paraId="2F6A3ADD" w14:textId="77777777" w:rsidTr="00A6476D">
        <w:trPr>
          <w:trHeight w:val="372"/>
        </w:trPr>
        <w:tc>
          <w:tcPr>
            <w:tcW w:w="1756" w:type="dxa"/>
            <w:vAlign w:val="center"/>
          </w:tcPr>
          <w:p w14:paraId="22CEE0DC"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Purpose/aim</w:t>
            </w:r>
          </w:p>
        </w:tc>
        <w:tc>
          <w:tcPr>
            <w:tcW w:w="662" w:type="dxa"/>
            <w:vAlign w:val="center"/>
          </w:tcPr>
          <w:p w14:paraId="7595198E"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3</w:t>
            </w:r>
          </w:p>
        </w:tc>
        <w:tc>
          <w:tcPr>
            <w:tcW w:w="4528" w:type="dxa"/>
            <w:vAlign w:val="center"/>
          </w:tcPr>
          <w:p w14:paraId="74026148" w14:textId="77777777" w:rsidR="00C72665" w:rsidRPr="002C21B8" w:rsidRDefault="00C72665" w:rsidP="004617FA">
            <w:pPr>
              <w:spacing w:beforeLines="20" w:before="48" w:afterLines="20" w:after="48" w:line="240" w:lineRule="auto"/>
              <w:ind w:left="95" w:right="150"/>
              <w:rPr>
                <w:sz w:val="16"/>
                <w:szCs w:val="16"/>
              </w:rPr>
            </w:pPr>
            <w:r w:rsidRPr="002C21B8">
              <w:rPr>
                <w:sz w:val="16"/>
                <w:szCs w:val="16"/>
              </w:rPr>
              <w:t>Identify specific purposes, aims, goals, or objectives of the study.</w:t>
            </w:r>
          </w:p>
        </w:tc>
        <w:tc>
          <w:tcPr>
            <w:tcW w:w="1559" w:type="dxa"/>
            <w:vAlign w:val="center"/>
          </w:tcPr>
          <w:p w14:paraId="1A5AFB5F" w14:textId="118C6824" w:rsidR="00C72665" w:rsidRPr="002C21B8" w:rsidRDefault="001441CD" w:rsidP="004617FA">
            <w:pPr>
              <w:spacing w:beforeLines="20" w:before="48" w:afterLines="20" w:after="48" w:line="240" w:lineRule="auto"/>
              <w:ind w:left="95" w:right="426"/>
              <w:jc w:val="left"/>
              <w:rPr>
                <w:sz w:val="16"/>
                <w:szCs w:val="16"/>
              </w:rPr>
            </w:pPr>
            <w:r w:rsidRPr="002C21B8">
              <w:rPr>
                <w:sz w:val="16"/>
                <w:szCs w:val="16"/>
              </w:rPr>
              <w:t>Introduction</w:t>
            </w:r>
            <w:r w:rsidR="004617FA" w:rsidRPr="002C21B8">
              <w:rPr>
                <w:sz w:val="16"/>
                <w:szCs w:val="16"/>
              </w:rPr>
              <w:t xml:space="preserve"> - </w:t>
            </w:r>
            <w:r w:rsidRPr="002C21B8">
              <w:rPr>
                <w:sz w:val="16"/>
                <w:szCs w:val="16"/>
              </w:rPr>
              <w:t>paragraph 3</w:t>
            </w:r>
          </w:p>
        </w:tc>
      </w:tr>
      <w:tr w:rsidR="009D76EB" w:rsidRPr="002C21B8" w14:paraId="5CE109F8" w14:textId="77777777" w:rsidTr="00E311FE">
        <w:trPr>
          <w:trHeight w:val="290"/>
        </w:trPr>
        <w:tc>
          <w:tcPr>
            <w:tcW w:w="8505" w:type="dxa"/>
            <w:gridSpan w:val="4"/>
            <w:vAlign w:val="center"/>
          </w:tcPr>
          <w:p w14:paraId="371C89D9" w14:textId="40487542" w:rsidR="009D76EB" w:rsidRPr="002C21B8" w:rsidRDefault="009D76EB" w:rsidP="004617FA">
            <w:pPr>
              <w:spacing w:beforeLines="20" w:before="48" w:afterLines="20" w:after="48" w:line="240" w:lineRule="auto"/>
              <w:ind w:left="95" w:right="426"/>
              <w:jc w:val="left"/>
              <w:rPr>
                <w:b/>
                <w:bCs/>
                <w:sz w:val="16"/>
                <w:szCs w:val="16"/>
              </w:rPr>
            </w:pPr>
            <w:r w:rsidRPr="002C21B8">
              <w:rPr>
                <w:b/>
                <w:bCs/>
                <w:sz w:val="16"/>
                <w:szCs w:val="16"/>
              </w:rPr>
              <w:t>Methods</w:t>
            </w:r>
          </w:p>
        </w:tc>
      </w:tr>
      <w:tr w:rsidR="00C72665" w:rsidRPr="002C21B8" w14:paraId="19E0A655" w14:textId="77777777" w:rsidTr="00A6476D">
        <w:trPr>
          <w:trHeight w:val="558"/>
        </w:trPr>
        <w:tc>
          <w:tcPr>
            <w:tcW w:w="1756" w:type="dxa"/>
            <w:vMerge w:val="restart"/>
            <w:vAlign w:val="center"/>
          </w:tcPr>
          <w:p w14:paraId="40485B84"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Study design</w:t>
            </w:r>
          </w:p>
        </w:tc>
        <w:tc>
          <w:tcPr>
            <w:tcW w:w="662" w:type="dxa"/>
            <w:vAlign w:val="center"/>
          </w:tcPr>
          <w:p w14:paraId="32EBAA6D" w14:textId="77777777" w:rsidR="00C72665" w:rsidRPr="002C21B8" w:rsidRDefault="00C72665" w:rsidP="004617FA">
            <w:pPr>
              <w:spacing w:beforeLines="20" w:before="48" w:afterLines="20" w:after="48" w:line="240" w:lineRule="auto"/>
              <w:ind w:left="95"/>
              <w:rPr>
                <w:sz w:val="16"/>
                <w:szCs w:val="16"/>
              </w:rPr>
            </w:pPr>
            <w:r w:rsidRPr="002C21B8">
              <w:rPr>
                <w:sz w:val="16"/>
                <w:szCs w:val="16"/>
              </w:rPr>
              <w:t>4</w:t>
            </w:r>
          </w:p>
        </w:tc>
        <w:tc>
          <w:tcPr>
            <w:tcW w:w="4528" w:type="dxa"/>
            <w:vAlign w:val="center"/>
          </w:tcPr>
          <w:p w14:paraId="15F5D86A" w14:textId="77777777" w:rsidR="00C72665" w:rsidRPr="002C21B8" w:rsidRDefault="00C72665" w:rsidP="004617FA">
            <w:pPr>
              <w:spacing w:beforeLines="20" w:before="48" w:afterLines="20" w:after="48" w:line="240" w:lineRule="auto"/>
              <w:ind w:left="95" w:right="150"/>
              <w:rPr>
                <w:sz w:val="16"/>
                <w:szCs w:val="16"/>
              </w:rPr>
            </w:pPr>
            <w:r w:rsidRPr="002C21B8">
              <w:rPr>
                <w:sz w:val="16"/>
                <w:szCs w:val="16"/>
              </w:rPr>
              <w:t>Specify the study design in the methods section with a commonly used term (e.g., cross-sectional or longitudinal).</w:t>
            </w:r>
          </w:p>
        </w:tc>
        <w:tc>
          <w:tcPr>
            <w:tcW w:w="1559" w:type="dxa"/>
            <w:vAlign w:val="center"/>
          </w:tcPr>
          <w:p w14:paraId="137C128F" w14:textId="2C06203C" w:rsidR="00C72665" w:rsidRPr="002C21B8" w:rsidRDefault="001441C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paragraph 1</w:t>
            </w:r>
          </w:p>
        </w:tc>
      </w:tr>
      <w:tr w:rsidR="00A6476D" w:rsidRPr="002C21B8" w14:paraId="462AEF47" w14:textId="77777777" w:rsidTr="00A6476D">
        <w:trPr>
          <w:trHeight w:val="613"/>
        </w:trPr>
        <w:tc>
          <w:tcPr>
            <w:tcW w:w="1756" w:type="dxa"/>
            <w:vMerge/>
            <w:vAlign w:val="center"/>
          </w:tcPr>
          <w:p w14:paraId="5A59CF10"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42697DE4"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5a</w:t>
            </w:r>
          </w:p>
        </w:tc>
        <w:tc>
          <w:tcPr>
            <w:tcW w:w="4528" w:type="dxa"/>
            <w:vAlign w:val="center"/>
          </w:tcPr>
          <w:p w14:paraId="640F6EF0"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the questionnaire (e.g., number of sections, number of questions, number and names of instruments used).</w:t>
            </w:r>
          </w:p>
        </w:tc>
        <w:tc>
          <w:tcPr>
            <w:tcW w:w="1559" w:type="dxa"/>
            <w:vAlign w:val="center"/>
          </w:tcPr>
          <w:p w14:paraId="3F1FE898" w14:textId="7E63FE66" w:rsidR="00A6476D" w:rsidRPr="002C21B8" w:rsidRDefault="00A6476D" w:rsidP="004617FA">
            <w:pPr>
              <w:spacing w:beforeLines="20" w:before="48" w:afterLines="20" w:after="48" w:line="240" w:lineRule="auto"/>
              <w:ind w:left="137"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questionnaire development</w:t>
            </w:r>
          </w:p>
        </w:tc>
      </w:tr>
      <w:tr w:rsidR="00A6476D" w:rsidRPr="002C21B8" w14:paraId="06966D21" w14:textId="77777777" w:rsidTr="00A6476D">
        <w:trPr>
          <w:trHeight w:val="889"/>
        </w:trPr>
        <w:tc>
          <w:tcPr>
            <w:tcW w:w="1756" w:type="dxa"/>
            <w:vMerge w:val="restart"/>
            <w:vAlign w:val="center"/>
          </w:tcPr>
          <w:p w14:paraId="782A4B62"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Data collection methods</w:t>
            </w:r>
          </w:p>
        </w:tc>
        <w:tc>
          <w:tcPr>
            <w:tcW w:w="662" w:type="dxa"/>
            <w:vAlign w:val="center"/>
          </w:tcPr>
          <w:p w14:paraId="099AF194"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5b</w:t>
            </w:r>
          </w:p>
        </w:tc>
        <w:tc>
          <w:tcPr>
            <w:tcW w:w="4528" w:type="dxa"/>
            <w:vAlign w:val="center"/>
          </w:tcPr>
          <w:p w14:paraId="183281BA"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all questionnaire instruments that were used in the survey to measure particular concepts. Report target population, reported validity and reliability information, scoring/classification procedure, and reference links (if any).</w:t>
            </w:r>
          </w:p>
        </w:tc>
        <w:tc>
          <w:tcPr>
            <w:tcW w:w="1559" w:type="dxa"/>
            <w:vAlign w:val="center"/>
          </w:tcPr>
          <w:p w14:paraId="64A77092" w14:textId="5CADAFBE"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Appendix 10</w:t>
            </w:r>
          </w:p>
        </w:tc>
      </w:tr>
      <w:tr w:rsidR="00A6476D" w:rsidRPr="002C21B8" w14:paraId="2F03FA80" w14:textId="77777777" w:rsidTr="00A6476D">
        <w:trPr>
          <w:trHeight w:val="959"/>
        </w:trPr>
        <w:tc>
          <w:tcPr>
            <w:tcW w:w="1756" w:type="dxa"/>
            <w:vMerge/>
            <w:vAlign w:val="center"/>
          </w:tcPr>
          <w:p w14:paraId="53E54788"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1DF5FD42"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5c</w:t>
            </w:r>
          </w:p>
        </w:tc>
        <w:tc>
          <w:tcPr>
            <w:tcW w:w="4528" w:type="dxa"/>
            <w:vAlign w:val="center"/>
          </w:tcPr>
          <w:p w14:paraId="01018015"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1559" w:type="dxa"/>
            <w:vAlign w:val="center"/>
          </w:tcPr>
          <w:p w14:paraId="319B5476" w14:textId="5038E74B"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questionnaire development</w:t>
            </w:r>
          </w:p>
        </w:tc>
      </w:tr>
      <w:tr w:rsidR="00A6476D" w:rsidRPr="002C21B8" w14:paraId="6CF97A64" w14:textId="77777777" w:rsidTr="00A6476D">
        <w:trPr>
          <w:trHeight w:val="544"/>
        </w:trPr>
        <w:tc>
          <w:tcPr>
            <w:tcW w:w="1756" w:type="dxa"/>
            <w:vMerge/>
            <w:vAlign w:val="center"/>
          </w:tcPr>
          <w:p w14:paraId="46ADD85A"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1651E0B5"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5d</w:t>
            </w:r>
          </w:p>
        </w:tc>
        <w:tc>
          <w:tcPr>
            <w:tcW w:w="4528" w:type="dxa"/>
            <w:vAlign w:val="center"/>
          </w:tcPr>
          <w:p w14:paraId="5E26401E"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 xml:space="preserve">Questionnaire if possible, should be fully provided (in the article, or as appendices or as an online supplement). </w:t>
            </w:r>
          </w:p>
        </w:tc>
        <w:tc>
          <w:tcPr>
            <w:tcW w:w="1559" w:type="dxa"/>
            <w:vAlign w:val="center"/>
          </w:tcPr>
          <w:p w14:paraId="7C7699DC" w14:textId="392EB499"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Appendix 10</w:t>
            </w:r>
          </w:p>
        </w:tc>
      </w:tr>
      <w:tr w:rsidR="00A6476D" w:rsidRPr="002C21B8" w14:paraId="014223E8" w14:textId="77777777" w:rsidTr="00A6476D">
        <w:trPr>
          <w:trHeight w:val="544"/>
        </w:trPr>
        <w:tc>
          <w:tcPr>
            <w:tcW w:w="1756" w:type="dxa"/>
            <w:vMerge w:val="restart"/>
            <w:vAlign w:val="center"/>
          </w:tcPr>
          <w:p w14:paraId="39D936B4"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Sample characteristics</w:t>
            </w:r>
          </w:p>
          <w:p w14:paraId="5D147247"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7470F44B"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6a</w:t>
            </w:r>
          </w:p>
        </w:tc>
        <w:tc>
          <w:tcPr>
            <w:tcW w:w="4528" w:type="dxa"/>
            <w:vAlign w:val="center"/>
          </w:tcPr>
          <w:p w14:paraId="2C58CDAB"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the study population (i.e., background, locations, eligibility criteria for participant inclusion in survey, exclusion criteria).</w:t>
            </w:r>
          </w:p>
        </w:tc>
        <w:tc>
          <w:tcPr>
            <w:tcW w:w="1559" w:type="dxa"/>
            <w:vAlign w:val="center"/>
          </w:tcPr>
          <w:p w14:paraId="65D6ECAA" w14:textId="2F8FA65A"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participants and sampling</w:t>
            </w:r>
          </w:p>
        </w:tc>
      </w:tr>
      <w:tr w:rsidR="00A6476D" w:rsidRPr="002C21B8" w14:paraId="0A4CDEA5" w14:textId="77777777" w:rsidTr="00A6476D">
        <w:trPr>
          <w:trHeight w:val="1028"/>
        </w:trPr>
        <w:tc>
          <w:tcPr>
            <w:tcW w:w="1756" w:type="dxa"/>
            <w:vMerge/>
            <w:vAlign w:val="center"/>
          </w:tcPr>
          <w:p w14:paraId="61682F34"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74E7D95F"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6b</w:t>
            </w:r>
          </w:p>
        </w:tc>
        <w:tc>
          <w:tcPr>
            <w:tcW w:w="4528" w:type="dxa"/>
            <w:vAlign w:val="center"/>
          </w:tcPr>
          <w:p w14:paraId="7D8B0400"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1559" w:type="dxa"/>
            <w:vAlign w:val="center"/>
          </w:tcPr>
          <w:p w14:paraId="592562D1" w14:textId="2F4A01C7"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participants and sampling</w:t>
            </w:r>
          </w:p>
        </w:tc>
      </w:tr>
      <w:tr w:rsidR="00A6476D" w:rsidRPr="002C21B8" w14:paraId="5B81C078" w14:textId="77777777" w:rsidTr="00A6476D">
        <w:trPr>
          <w:trHeight w:val="544"/>
        </w:trPr>
        <w:tc>
          <w:tcPr>
            <w:tcW w:w="1756" w:type="dxa"/>
            <w:vMerge/>
            <w:vAlign w:val="center"/>
          </w:tcPr>
          <w:p w14:paraId="420616F0"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7EAADB76"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6c</w:t>
            </w:r>
          </w:p>
        </w:tc>
        <w:tc>
          <w:tcPr>
            <w:tcW w:w="4528" w:type="dxa"/>
            <w:vAlign w:val="center"/>
          </w:tcPr>
          <w:p w14:paraId="7BB23BBE"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Provide information on sample size, along with details of sample size calculation.</w:t>
            </w:r>
          </w:p>
        </w:tc>
        <w:tc>
          <w:tcPr>
            <w:tcW w:w="1559" w:type="dxa"/>
            <w:vAlign w:val="center"/>
          </w:tcPr>
          <w:p w14:paraId="7FAAEE37" w14:textId="0BBCC757"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participants and sampling</w:t>
            </w:r>
          </w:p>
        </w:tc>
      </w:tr>
      <w:tr w:rsidR="00A6476D" w:rsidRPr="002C21B8" w14:paraId="23DADC6A" w14:textId="77777777" w:rsidTr="00A6476D">
        <w:trPr>
          <w:trHeight w:val="558"/>
        </w:trPr>
        <w:tc>
          <w:tcPr>
            <w:tcW w:w="1756" w:type="dxa"/>
            <w:vMerge/>
            <w:vAlign w:val="center"/>
          </w:tcPr>
          <w:p w14:paraId="1BC1AB9D"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6FE16EB7"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6d</w:t>
            </w:r>
          </w:p>
        </w:tc>
        <w:tc>
          <w:tcPr>
            <w:tcW w:w="4528" w:type="dxa"/>
            <w:vAlign w:val="center"/>
          </w:tcPr>
          <w:p w14:paraId="366143AA"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how representative the sample is of the study population (or target population if possible), particularly for population-based surveys.</w:t>
            </w:r>
          </w:p>
        </w:tc>
        <w:tc>
          <w:tcPr>
            <w:tcW w:w="1559" w:type="dxa"/>
            <w:vAlign w:val="center"/>
          </w:tcPr>
          <w:p w14:paraId="4C6D9ADD" w14:textId="0107C51F"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participants and sampling</w:t>
            </w:r>
          </w:p>
        </w:tc>
      </w:tr>
      <w:tr w:rsidR="00A6476D" w:rsidRPr="002C21B8" w14:paraId="3138891B" w14:textId="77777777" w:rsidTr="00A6476D">
        <w:trPr>
          <w:trHeight w:val="544"/>
        </w:trPr>
        <w:tc>
          <w:tcPr>
            <w:tcW w:w="1756" w:type="dxa"/>
            <w:vMerge w:val="restart"/>
            <w:vAlign w:val="center"/>
          </w:tcPr>
          <w:p w14:paraId="1E4696F7"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 xml:space="preserve">Survey </w:t>
            </w:r>
          </w:p>
          <w:p w14:paraId="151A4E03"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administration</w:t>
            </w:r>
          </w:p>
        </w:tc>
        <w:tc>
          <w:tcPr>
            <w:tcW w:w="662" w:type="dxa"/>
            <w:vAlign w:val="center"/>
          </w:tcPr>
          <w:p w14:paraId="2D2F791F"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7a</w:t>
            </w:r>
          </w:p>
        </w:tc>
        <w:tc>
          <w:tcPr>
            <w:tcW w:w="4528" w:type="dxa"/>
            <w:vAlign w:val="center"/>
          </w:tcPr>
          <w:p w14:paraId="11465E4D"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 xml:space="preserve">Provide information on modes of questionnaire administration, including the type and number of contacts, the location where the survey was conducted (e.g., outpatient room or by use of online tools, such as SurveyMonkey). </w:t>
            </w:r>
          </w:p>
        </w:tc>
        <w:tc>
          <w:tcPr>
            <w:tcW w:w="1559" w:type="dxa"/>
            <w:vAlign w:val="center"/>
          </w:tcPr>
          <w:p w14:paraId="539C60C0" w14:textId="6AEE111A" w:rsidR="00A6476D" w:rsidRPr="002C21B8" w:rsidDel="00C9596E"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paragraph 1</w:t>
            </w:r>
          </w:p>
        </w:tc>
      </w:tr>
      <w:tr w:rsidR="00A6476D" w:rsidRPr="002C21B8" w14:paraId="66BA28EA" w14:textId="77777777" w:rsidTr="00A6476D">
        <w:trPr>
          <w:trHeight w:val="558"/>
        </w:trPr>
        <w:tc>
          <w:tcPr>
            <w:tcW w:w="1756" w:type="dxa"/>
            <w:vMerge/>
            <w:vAlign w:val="center"/>
          </w:tcPr>
          <w:p w14:paraId="60F0A51A"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0AFABD8D"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7b</w:t>
            </w:r>
          </w:p>
        </w:tc>
        <w:tc>
          <w:tcPr>
            <w:tcW w:w="4528" w:type="dxa"/>
            <w:vAlign w:val="center"/>
          </w:tcPr>
          <w:p w14:paraId="50467B4D"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Provide information of survey’s time frame, such as periods of recruitment, exposure, and follow-up days.</w:t>
            </w:r>
          </w:p>
        </w:tc>
        <w:tc>
          <w:tcPr>
            <w:tcW w:w="1559" w:type="dxa"/>
            <w:vAlign w:val="center"/>
          </w:tcPr>
          <w:p w14:paraId="3AF511D7" w14:textId="029B5AFA"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paragraph 1</w:t>
            </w:r>
          </w:p>
        </w:tc>
      </w:tr>
      <w:tr w:rsidR="00A6476D" w:rsidRPr="002C21B8" w14:paraId="47A36DDD" w14:textId="77777777" w:rsidTr="00A6476D">
        <w:trPr>
          <w:trHeight w:val="1152"/>
        </w:trPr>
        <w:tc>
          <w:tcPr>
            <w:tcW w:w="1756" w:type="dxa"/>
            <w:vMerge/>
            <w:vAlign w:val="center"/>
          </w:tcPr>
          <w:p w14:paraId="0EC0819C"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0A390708"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7c</w:t>
            </w:r>
          </w:p>
        </w:tc>
        <w:tc>
          <w:tcPr>
            <w:tcW w:w="4528" w:type="dxa"/>
            <w:vAlign w:val="center"/>
          </w:tcPr>
          <w:p w14:paraId="48CF6AB7"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Provide information on the entry process:</w:t>
            </w:r>
          </w:p>
          <w:p w14:paraId="583DB9C8"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–&gt;For non-web-based surveys, provide approaches to minimize human error in data entry.</w:t>
            </w:r>
          </w:p>
          <w:p w14:paraId="530D1C8D"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–&gt;For web-based surveys, provide approaches to prevent “multiple participation” of participants.</w:t>
            </w:r>
          </w:p>
        </w:tc>
        <w:tc>
          <w:tcPr>
            <w:tcW w:w="1559" w:type="dxa"/>
            <w:vAlign w:val="center"/>
          </w:tcPr>
          <w:p w14:paraId="390D2078" w14:textId="04DC877D"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 </w:t>
            </w:r>
            <w:r w:rsidRPr="002C21B8">
              <w:rPr>
                <w:sz w:val="16"/>
                <w:szCs w:val="16"/>
              </w:rPr>
              <w:t xml:space="preserve"> data collection</w:t>
            </w:r>
          </w:p>
        </w:tc>
      </w:tr>
      <w:tr w:rsidR="00A6476D" w:rsidRPr="002C21B8" w14:paraId="2A06CB38" w14:textId="77777777" w:rsidTr="00A6476D">
        <w:trPr>
          <w:trHeight w:val="583"/>
        </w:trPr>
        <w:tc>
          <w:tcPr>
            <w:tcW w:w="1756" w:type="dxa"/>
            <w:vAlign w:val="center"/>
          </w:tcPr>
          <w:p w14:paraId="63BAA20E"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Study preparation</w:t>
            </w:r>
          </w:p>
        </w:tc>
        <w:tc>
          <w:tcPr>
            <w:tcW w:w="662" w:type="dxa"/>
            <w:vAlign w:val="center"/>
          </w:tcPr>
          <w:p w14:paraId="09E7ED13"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8</w:t>
            </w:r>
          </w:p>
        </w:tc>
        <w:tc>
          <w:tcPr>
            <w:tcW w:w="4528" w:type="dxa"/>
            <w:vAlign w:val="center"/>
          </w:tcPr>
          <w:p w14:paraId="217E9A4A"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Describe any preparation process before conducting the survey (e.g., interviewers’ training process, advertising the survey).</w:t>
            </w:r>
          </w:p>
        </w:tc>
        <w:tc>
          <w:tcPr>
            <w:tcW w:w="1559" w:type="dxa"/>
            <w:vAlign w:val="center"/>
          </w:tcPr>
          <w:p w14:paraId="10F1DF0E" w14:textId="77777777" w:rsidR="00A6476D" w:rsidRPr="002C21B8" w:rsidRDefault="00A6476D" w:rsidP="004617FA">
            <w:pPr>
              <w:spacing w:beforeLines="20" w:before="48" w:afterLines="20" w:after="48" w:line="240" w:lineRule="auto"/>
              <w:ind w:left="95" w:right="426"/>
              <w:jc w:val="left"/>
              <w:rPr>
                <w:sz w:val="16"/>
                <w:szCs w:val="16"/>
              </w:rPr>
            </w:pPr>
            <w:r w:rsidRPr="002C21B8">
              <w:rPr>
                <w:sz w:val="16"/>
                <w:szCs w:val="16"/>
              </w:rPr>
              <w:t>NA</w:t>
            </w:r>
          </w:p>
        </w:tc>
      </w:tr>
      <w:tr w:rsidR="00A6476D" w:rsidRPr="002C21B8" w14:paraId="023EC45B" w14:textId="77777777" w:rsidTr="00A6476D">
        <w:trPr>
          <w:trHeight w:val="583"/>
        </w:trPr>
        <w:tc>
          <w:tcPr>
            <w:tcW w:w="1756" w:type="dxa"/>
            <w:vMerge w:val="restart"/>
            <w:vAlign w:val="center"/>
          </w:tcPr>
          <w:p w14:paraId="61AEE07C"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Ethical considerations</w:t>
            </w:r>
          </w:p>
          <w:p w14:paraId="0CE6D748" w14:textId="77777777" w:rsidR="00A6476D" w:rsidRPr="002C21B8" w:rsidRDefault="00A6476D" w:rsidP="004617FA">
            <w:pPr>
              <w:spacing w:beforeLines="20" w:before="48" w:afterLines="20" w:after="48" w:line="240" w:lineRule="auto"/>
              <w:ind w:left="95"/>
              <w:rPr>
                <w:sz w:val="16"/>
                <w:szCs w:val="16"/>
              </w:rPr>
            </w:pPr>
          </w:p>
        </w:tc>
        <w:tc>
          <w:tcPr>
            <w:tcW w:w="662" w:type="dxa"/>
            <w:vAlign w:val="center"/>
          </w:tcPr>
          <w:p w14:paraId="0EDD9DA8" w14:textId="77777777" w:rsidR="00A6476D" w:rsidRPr="002C21B8" w:rsidRDefault="00A6476D" w:rsidP="004617FA">
            <w:pPr>
              <w:spacing w:beforeLines="20" w:before="48" w:afterLines="20" w:after="48" w:line="240" w:lineRule="auto"/>
              <w:ind w:left="95"/>
              <w:rPr>
                <w:sz w:val="16"/>
                <w:szCs w:val="16"/>
              </w:rPr>
            </w:pPr>
            <w:r w:rsidRPr="002C21B8">
              <w:rPr>
                <w:sz w:val="16"/>
                <w:szCs w:val="16"/>
              </w:rPr>
              <w:t>9a</w:t>
            </w:r>
          </w:p>
        </w:tc>
        <w:tc>
          <w:tcPr>
            <w:tcW w:w="4528" w:type="dxa"/>
            <w:vAlign w:val="center"/>
          </w:tcPr>
          <w:p w14:paraId="66F5E7DB" w14:textId="77777777" w:rsidR="00A6476D" w:rsidRPr="002C21B8" w:rsidRDefault="00A6476D" w:rsidP="004617FA">
            <w:pPr>
              <w:spacing w:beforeLines="20" w:before="48" w:afterLines="20" w:after="48" w:line="240" w:lineRule="auto"/>
              <w:ind w:left="95" w:right="150"/>
              <w:rPr>
                <w:sz w:val="16"/>
                <w:szCs w:val="16"/>
              </w:rPr>
            </w:pPr>
            <w:r w:rsidRPr="002C21B8">
              <w:rPr>
                <w:sz w:val="16"/>
                <w:szCs w:val="16"/>
              </w:rPr>
              <w:t>Provide information on ethical approval for the survey if obtained, including informed consent, institutional review board [IRB] approval, Helsinki declaration, and good clinical practice [GCP] declaration (as appropriate).</w:t>
            </w:r>
          </w:p>
        </w:tc>
        <w:tc>
          <w:tcPr>
            <w:tcW w:w="1559" w:type="dxa"/>
            <w:vAlign w:val="center"/>
          </w:tcPr>
          <w:p w14:paraId="02CCB4BF" w14:textId="10E6FC73" w:rsidR="00A6476D" w:rsidRPr="002C21B8" w:rsidRDefault="00774194"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 </w:t>
            </w:r>
            <w:r w:rsidRPr="002C21B8">
              <w:rPr>
                <w:sz w:val="16"/>
                <w:szCs w:val="16"/>
              </w:rPr>
              <w:t>ethics and confidentiality</w:t>
            </w:r>
          </w:p>
        </w:tc>
      </w:tr>
      <w:tr w:rsidR="00B07C68" w:rsidRPr="002C21B8" w14:paraId="4674CC25" w14:textId="77777777" w:rsidTr="00A6476D">
        <w:trPr>
          <w:trHeight w:val="583"/>
        </w:trPr>
        <w:tc>
          <w:tcPr>
            <w:tcW w:w="1756" w:type="dxa"/>
            <w:vMerge/>
            <w:vAlign w:val="center"/>
          </w:tcPr>
          <w:p w14:paraId="3CFF76AE"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2F78D4B6"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9b</w:t>
            </w:r>
          </w:p>
        </w:tc>
        <w:tc>
          <w:tcPr>
            <w:tcW w:w="4528" w:type="dxa"/>
            <w:vAlign w:val="center"/>
          </w:tcPr>
          <w:p w14:paraId="498524B5"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information about survey anonymity and confidentiality and describe what mechanisms were used to protect unauthorized access.</w:t>
            </w:r>
          </w:p>
        </w:tc>
        <w:tc>
          <w:tcPr>
            <w:tcW w:w="1559" w:type="dxa"/>
            <w:vAlign w:val="center"/>
          </w:tcPr>
          <w:p w14:paraId="13DDFE63" w14:textId="0F426CEE"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ethics and confidentiality</w:t>
            </w:r>
          </w:p>
        </w:tc>
      </w:tr>
      <w:tr w:rsidR="00B07C68" w:rsidRPr="002C21B8" w14:paraId="1FEB137D" w14:textId="77777777" w:rsidTr="00A6476D">
        <w:trPr>
          <w:trHeight w:val="583"/>
        </w:trPr>
        <w:tc>
          <w:tcPr>
            <w:tcW w:w="1756" w:type="dxa"/>
            <w:vMerge w:val="restart"/>
            <w:vAlign w:val="center"/>
          </w:tcPr>
          <w:p w14:paraId="09C8796B"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Statistical</w:t>
            </w:r>
          </w:p>
          <w:p w14:paraId="6AE6A668"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analysis</w:t>
            </w:r>
          </w:p>
        </w:tc>
        <w:tc>
          <w:tcPr>
            <w:tcW w:w="662" w:type="dxa"/>
            <w:vAlign w:val="center"/>
          </w:tcPr>
          <w:p w14:paraId="2D8AC7E3"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10a</w:t>
            </w:r>
          </w:p>
        </w:tc>
        <w:tc>
          <w:tcPr>
            <w:tcW w:w="4528" w:type="dxa"/>
            <w:vAlign w:val="center"/>
          </w:tcPr>
          <w:p w14:paraId="40231CB7"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Describe statistical methods and analytical approach. Report the statistical software that was used for data analysis.</w:t>
            </w:r>
          </w:p>
        </w:tc>
        <w:tc>
          <w:tcPr>
            <w:tcW w:w="1559" w:type="dxa"/>
            <w:vAlign w:val="center"/>
          </w:tcPr>
          <w:p w14:paraId="1E117CBD" w14:textId="713C42C3"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data analysis</w:t>
            </w:r>
          </w:p>
        </w:tc>
      </w:tr>
      <w:tr w:rsidR="00B07C68" w:rsidRPr="002C21B8" w14:paraId="594827CC" w14:textId="77777777" w:rsidTr="00A6476D">
        <w:trPr>
          <w:trHeight w:val="489"/>
        </w:trPr>
        <w:tc>
          <w:tcPr>
            <w:tcW w:w="1756" w:type="dxa"/>
            <w:vMerge/>
            <w:vAlign w:val="center"/>
          </w:tcPr>
          <w:p w14:paraId="18575810"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69DA1362"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10b</w:t>
            </w:r>
          </w:p>
        </w:tc>
        <w:tc>
          <w:tcPr>
            <w:tcW w:w="4528" w:type="dxa"/>
            <w:vAlign w:val="center"/>
          </w:tcPr>
          <w:p w14:paraId="6E2691EE"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Report any modification of variables used in the analysis, along with reference (if available).</w:t>
            </w:r>
          </w:p>
        </w:tc>
        <w:tc>
          <w:tcPr>
            <w:tcW w:w="1559" w:type="dxa"/>
            <w:vAlign w:val="center"/>
          </w:tcPr>
          <w:p w14:paraId="58B956EA"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6A0F7935" w14:textId="77777777" w:rsidTr="00A6476D">
        <w:trPr>
          <w:trHeight w:val="583"/>
        </w:trPr>
        <w:tc>
          <w:tcPr>
            <w:tcW w:w="1756" w:type="dxa"/>
            <w:vMerge/>
            <w:vAlign w:val="center"/>
          </w:tcPr>
          <w:p w14:paraId="402BA051"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64B209C8"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10c</w:t>
            </w:r>
          </w:p>
        </w:tc>
        <w:tc>
          <w:tcPr>
            <w:tcW w:w="4528" w:type="dxa"/>
            <w:vAlign w:val="center"/>
          </w:tcPr>
          <w:p w14:paraId="1D2E2D01"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1559" w:type="dxa"/>
            <w:vAlign w:val="center"/>
          </w:tcPr>
          <w:p w14:paraId="0F812FB2"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350B28C1" w14:textId="77777777" w:rsidTr="00A6476D">
        <w:trPr>
          <w:trHeight w:val="583"/>
        </w:trPr>
        <w:tc>
          <w:tcPr>
            <w:tcW w:w="1756" w:type="dxa"/>
            <w:vMerge/>
            <w:vAlign w:val="center"/>
          </w:tcPr>
          <w:p w14:paraId="6EA9D346"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041B094A"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10d</w:t>
            </w:r>
          </w:p>
        </w:tc>
        <w:tc>
          <w:tcPr>
            <w:tcW w:w="4528" w:type="dxa"/>
            <w:vAlign w:val="center"/>
          </w:tcPr>
          <w:p w14:paraId="1C3FFBBB"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State how non-response error was addressed.</w:t>
            </w:r>
          </w:p>
        </w:tc>
        <w:tc>
          <w:tcPr>
            <w:tcW w:w="1559" w:type="dxa"/>
            <w:vAlign w:val="center"/>
          </w:tcPr>
          <w:p w14:paraId="5DA8EFFA" w14:textId="79596FCD"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data analysis</w:t>
            </w:r>
          </w:p>
        </w:tc>
      </w:tr>
      <w:tr w:rsidR="00B07C68" w:rsidRPr="002C21B8" w14:paraId="07E3DA1A" w14:textId="77777777" w:rsidTr="00A6476D">
        <w:trPr>
          <w:trHeight w:val="583"/>
        </w:trPr>
        <w:tc>
          <w:tcPr>
            <w:tcW w:w="1756" w:type="dxa"/>
            <w:vMerge/>
            <w:vAlign w:val="center"/>
          </w:tcPr>
          <w:p w14:paraId="08275347"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67B27221"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10e</w:t>
            </w:r>
          </w:p>
        </w:tc>
        <w:tc>
          <w:tcPr>
            <w:tcW w:w="4528" w:type="dxa"/>
            <w:vAlign w:val="center"/>
          </w:tcPr>
          <w:p w14:paraId="43D143B0"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For longitudinal surveys, state how loss to follow-up was addressed.</w:t>
            </w:r>
          </w:p>
        </w:tc>
        <w:tc>
          <w:tcPr>
            <w:tcW w:w="1559" w:type="dxa"/>
            <w:vAlign w:val="center"/>
          </w:tcPr>
          <w:p w14:paraId="4E1E9FC3"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160CDA72" w14:textId="77777777" w:rsidTr="00A6476D">
        <w:trPr>
          <w:trHeight w:val="351"/>
        </w:trPr>
        <w:tc>
          <w:tcPr>
            <w:tcW w:w="1756" w:type="dxa"/>
            <w:vMerge/>
            <w:vAlign w:val="center"/>
          </w:tcPr>
          <w:p w14:paraId="4B32DE41"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79853009"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10f</w:t>
            </w:r>
          </w:p>
        </w:tc>
        <w:tc>
          <w:tcPr>
            <w:tcW w:w="4528" w:type="dxa"/>
            <w:vAlign w:val="center"/>
          </w:tcPr>
          <w:p w14:paraId="0590D3F7"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Indicate whether any methods such as weighting of items or propensity scores have been used to adjust for non-representativeness of the sample.</w:t>
            </w:r>
          </w:p>
        </w:tc>
        <w:tc>
          <w:tcPr>
            <w:tcW w:w="1559" w:type="dxa"/>
            <w:vAlign w:val="center"/>
          </w:tcPr>
          <w:p w14:paraId="2020669A"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22245CB9" w14:textId="77777777" w:rsidTr="00A6476D">
        <w:trPr>
          <w:trHeight w:val="583"/>
        </w:trPr>
        <w:tc>
          <w:tcPr>
            <w:tcW w:w="1756" w:type="dxa"/>
            <w:vMerge/>
            <w:vAlign w:val="center"/>
          </w:tcPr>
          <w:p w14:paraId="0624F93F"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537A9158"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10g</w:t>
            </w:r>
          </w:p>
        </w:tc>
        <w:tc>
          <w:tcPr>
            <w:tcW w:w="4528" w:type="dxa"/>
            <w:vAlign w:val="center"/>
          </w:tcPr>
          <w:p w14:paraId="2026C44C"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Describe any sensitivity analysis conducted.</w:t>
            </w:r>
          </w:p>
        </w:tc>
        <w:tc>
          <w:tcPr>
            <w:tcW w:w="1559" w:type="dxa"/>
            <w:vAlign w:val="center"/>
          </w:tcPr>
          <w:p w14:paraId="0A455D99" w14:textId="7439AFF9"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Methods</w:t>
            </w:r>
            <w:r w:rsidR="004617FA" w:rsidRPr="002C21B8">
              <w:rPr>
                <w:sz w:val="16"/>
                <w:szCs w:val="16"/>
              </w:rPr>
              <w:t xml:space="preserve"> -</w:t>
            </w:r>
            <w:r w:rsidRPr="002C21B8">
              <w:rPr>
                <w:sz w:val="16"/>
                <w:szCs w:val="16"/>
              </w:rPr>
              <w:t xml:space="preserve"> data analysis</w:t>
            </w:r>
          </w:p>
        </w:tc>
      </w:tr>
      <w:tr w:rsidR="00B07C68" w:rsidRPr="002C21B8" w14:paraId="470C41CD" w14:textId="77777777" w:rsidTr="00E311FE">
        <w:trPr>
          <w:trHeight w:val="80"/>
        </w:trPr>
        <w:tc>
          <w:tcPr>
            <w:tcW w:w="8505" w:type="dxa"/>
            <w:gridSpan w:val="4"/>
            <w:vAlign w:val="center"/>
          </w:tcPr>
          <w:p w14:paraId="45F4451D" w14:textId="6A7A9EC7" w:rsidR="00B07C68" w:rsidRPr="002C21B8" w:rsidRDefault="00B07C68" w:rsidP="004617FA">
            <w:pPr>
              <w:spacing w:beforeLines="20" w:before="48" w:afterLines="20" w:after="48" w:line="240" w:lineRule="auto"/>
              <w:ind w:left="95" w:right="426"/>
              <w:jc w:val="left"/>
              <w:rPr>
                <w:b/>
                <w:bCs/>
                <w:sz w:val="16"/>
                <w:szCs w:val="16"/>
              </w:rPr>
            </w:pPr>
            <w:r w:rsidRPr="002C21B8">
              <w:rPr>
                <w:b/>
                <w:bCs/>
                <w:sz w:val="16"/>
                <w:szCs w:val="16"/>
              </w:rPr>
              <w:t>Results</w:t>
            </w:r>
          </w:p>
        </w:tc>
      </w:tr>
      <w:tr w:rsidR="00B07C68" w:rsidRPr="002C21B8" w14:paraId="7AEFD960" w14:textId="77777777" w:rsidTr="00A6476D">
        <w:trPr>
          <w:trHeight w:val="583"/>
        </w:trPr>
        <w:tc>
          <w:tcPr>
            <w:tcW w:w="1756" w:type="dxa"/>
            <w:vMerge w:val="restart"/>
            <w:vAlign w:val="center"/>
          </w:tcPr>
          <w:p w14:paraId="3C452E43"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Respondent characteristics</w:t>
            </w:r>
          </w:p>
          <w:p w14:paraId="450CA38B"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10EAF838"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11a</w:t>
            </w:r>
          </w:p>
        </w:tc>
        <w:tc>
          <w:tcPr>
            <w:tcW w:w="4528" w:type="dxa"/>
            <w:vAlign w:val="center"/>
          </w:tcPr>
          <w:p w14:paraId="21414553"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Report numbers of individuals at each stage of the study. Consider using a flow diagram, if possible.</w:t>
            </w:r>
          </w:p>
        </w:tc>
        <w:tc>
          <w:tcPr>
            <w:tcW w:w="1559" w:type="dxa"/>
            <w:vAlign w:val="center"/>
          </w:tcPr>
          <w:p w14:paraId="600D57D8" w14:textId="0D5DF5EE"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Results</w:t>
            </w:r>
            <w:r w:rsidR="004617FA" w:rsidRPr="002C21B8">
              <w:rPr>
                <w:sz w:val="16"/>
                <w:szCs w:val="16"/>
              </w:rPr>
              <w:t xml:space="preserve"> -</w:t>
            </w:r>
            <w:r w:rsidRPr="002C21B8">
              <w:rPr>
                <w:sz w:val="16"/>
                <w:szCs w:val="16"/>
              </w:rPr>
              <w:t xml:space="preserve"> survey response and completion</w:t>
            </w:r>
          </w:p>
        </w:tc>
      </w:tr>
      <w:tr w:rsidR="00B07C68" w:rsidRPr="002C21B8" w14:paraId="66EA2BC3" w14:textId="77777777" w:rsidTr="00A6476D">
        <w:trPr>
          <w:trHeight w:val="441"/>
        </w:trPr>
        <w:tc>
          <w:tcPr>
            <w:tcW w:w="1756" w:type="dxa"/>
            <w:vMerge/>
            <w:vAlign w:val="center"/>
          </w:tcPr>
          <w:p w14:paraId="5E7324E5"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025B4A20"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11b</w:t>
            </w:r>
          </w:p>
        </w:tc>
        <w:tc>
          <w:tcPr>
            <w:tcW w:w="4528" w:type="dxa"/>
            <w:vAlign w:val="center"/>
          </w:tcPr>
          <w:p w14:paraId="03375471"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reasons for non-participation at each stage, if possible.</w:t>
            </w:r>
          </w:p>
        </w:tc>
        <w:tc>
          <w:tcPr>
            <w:tcW w:w="1559" w:type="dxa"/>
            <w:vAlign w:val="center"/>
          </w:tcPr>
          <w:p w14:paraId="7CAF29F9" w14:textId="77777777" w:rsidR="00B07C68" w:rsidRPr="002C21B8" w:rsidDel="005F5180"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51979801" w14:textId="77777777" w:rsidTr="00A6476D">
        <w:trPr>
          <w:trHeight w:val="682"/>
        </w:trPr>
        <w:tc>
          <w:tcPr>
            <w:tcW w:w="1756" w:type="dxa"/>
            <w:vMerge/>
            <w:vAlign w:val="center"/>
          </w:tcPr>
          <w:p w14:paraId="409DC935"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003CC947"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11c</w:t>
            </w:r>
          </w:p>
        </w:tc>
        <w:tc>
          <w:tcPr>
            <w:tcW w:w="4528" w:type="dxa"/>
            <w:vAlign w:val="center"/>
          </w:tcPr>
          <w:p w14:paraId="37026629"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Report response rate, present the definition of response rate or the formula used to calculate response rate.</w:t>
            </w:r>
          </w:p>
        </w:tc>
        <w:tc>
          <w:tcPr>
            <w:tcW w:w="1559" w:type="dxa"/>
            <w:vAlign w:val="center"/>
          </w:tcPr>
          <w:p w14:paraId="721603AA" w14:textId="1B3DE2F0"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Results</w:t>
            </w:r>
            <w:r w:rsidR="004617FA" w:rsidRPr="002C21B8">
              <w:rPr>
                <w:sz w:val="16"/>
                <w:szCs w:val="16"/>
              </w:rPr>
              <w:t xml:space="preserve"> -</w:t>
            </w:r>
            <w:r w:rsidRPr="002C21B8">
              <w:rPr>
                <w:sz w:val="16"/>
                <w:szCs w:val="16"/>
              </w:rPr>
              <w:t xml:space="preserve"> survey response and completion</w:t>
            </w:r>
          </w:p>
        </w:tc>
      </w:tr>
      <w:tr w:rsidR="00B07C68" w:rsidRPr="002C21B8" w14:paraId="4E833952" w14:textId="77777777" w:rsidTr="00A6476D">
        <w:trPr>
          <w:trHeight w:val="841"/>
        </w:trPr>
        <w:tc>
          <w:tcPr>
            <w:tcW w:w="1756" w:type="dxa"/>
            <w:vMerge/>
            <w:vAlign w:val="center"/>
          </w:tcPr>
          <w:p w14:paraId="3FAF32F5"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3F42BD9E"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11d</w:t>
            </w:r>
          </w:p>
        </w:tc>
        <w:tc>
          <w:tcPr>
            <w:tcW w:w="4528" w:type="dxa"/>
            <w:vAlign w:val="center"/>
          </w:tcPr>
          <w:p w14:paraId="7E711D5A"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information to define how unique visitors are determined. Report number of unique visitors along with relevant proportions (e.g., view proportion, participation proportion, completion proportion).</w:t>
            </w:r>
          </w:p>
        </w:tc>
        <w:tc>
          <w:tcPr>
            <w:tcW w:w="1559" w:type="dxa"/>
            <w:vAlign w:val="center"/>
          </w:tcPr>
          <w:p w14:paraId="5480066C" w14:textId="6ED210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Results</w:t>
            </w:r>
            <w:r w:rsidR="004617FA" w:rsidRPr="002C21B8">
              <w:rPr>
                <w:sz w:val="16"/>
                <w:szCs w:val="16"/>
              </w:rPr>
              <w:t xml:space="preserve"> -</w:t>
            </w:r>
            <w:r w:rsidRPr="002C21B8">
              <w:rPr>
                <w:sz w:val="16"/>
                <w:szCs w:val="16"/>
              </w:rPr>
              <w:t xml:space="preserve"> survey response and completion</w:t>
            </w:r>
          </w:p>
        </w:tc>
      </w:tr>
      <w:tr w:rsidR="00B07C68" w:rsidRPr="002C21B8" w14:paraId="20B05DBD" w14:textId="77777777" w:rsidTr="00A6476D">
        <w:trPr>
          <w:trHeight w:val="583"/>
        </w:trPr>
        <w:tc>
          <w:tcPr>
            <w:tcW w:w="1756" w:type="dxa"/>
            <w:vAlign w:val="center"/>
          </w:tcPr>
          <w:p w14:paraId="1B3AE1B2"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Descriptive</w:t>
            </w:r>
          </w:p>
          <w:p w14:paraId="3CF13A83"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results</w:t>
            </w:r>
          </w:p>
        </w:tc>
        <w:tc>
          <w:tcPr>
            <w:tcW w:w="662" w:type="dxa"/>
            <w:vAlign w:val="center"/>
          </w:tcPr>
          <w:p w14:paraId="0D5E8D0F"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12</w:t>
            </w:r>
          </w:p>
        </w:tc>
        <w:tc>
          <w:tcPr>
            <w:tcW w:w="4528" w:type="dxa"/>
            <w:vAlign w:val="center"/>
          </w:tcPr>
          <w:p w14:paraId="7F562747"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characteristics of study participants, as well as information on potential confounders and assessed outcomes.</w:t>
            </w:r>
          </w:p>
        </w:tc>
        <w:tc>
          <w:tcPr>
            <w:tcW w:w="1559" w:type="dxa"/>
            <w:vAlign w:val="center"/>
          </w:tcPr>
          <w:p w14:paraId="272DBCCA" w14:textId="2D39E9D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Results</w:t>
            </w:r>
            <w:r w:rsidR="004617FA" w:rsidRPr="002C21B8">
              <w:rPr>
                <w:sz w:val="16"/>
                <w:szCs w:val="16"/>
              </w:rPr>
              <w:t xml:space="preserve"> -</w:t>
            </w:r>
            <w:r w:rsidRPr="002C21B8">
              <w:rPr>
                <w:sz w:val="16"/>
                <w:szCs w:val="16"/>
              </w:rPr>
              <w:t xml:space="preserve"> characteristics of respondents</w:t>
            </w:r>
          </w:p>
        </w:tc>
      </w:tr>
      <w:tr w:rsidR="00B07C68" w:rsidRPr="002C21B8" w14:paraId="2144099E" w14:textId="77777777" w:rsidTr="00A6476D">
        <w:trPr>
          <w:trHeight w:val="583"/>
        </w:trPr>
        <w:tc>
          <w:tcPr>
            <w:tcW w:w="1756" w:type="dxa"/>
            <w:vMerge w:val="restart"/>
            <w:vAlign w:val="center"/>
          </w:tcPr>
          <w:p w14:paraId="2908D2A9"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Main findings</w:t>
            </w:r>
          </w:p>
        </w:tc>
        <w:tc>
          <w:tcPr>
            <w:tcW w:w="662" w:type="dxa"/>
            <w:vAlign w:val="center"/>
          </w:tcPr>
          <w:p w14:paraId="52865D4F"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13a</w:t>
            </w:r>
          </w:p>
        </w:tc>
        <w:tc>
          <w:tcPr>
            <w:tcW w:w="4528" w:type="dxa"/>
            <w:vAlign w:val="center"/>
          </w:tcPr>
          <w:p w14:paraId="07B67738"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Give unadjusted estimates and, if applicable, confounder-adjusted estimates along with 95% confidence intervals and p-values.</w:t>
            </w:r>
          </w:p>
        </w:tc>
        <w:tc>
          <w:tcPr>
            <w:tcW w:w="1559" w:type="dxa"/>
            <w:vAlign w:val="center"/>
          </w:tcPr>
          <w:p w14:paraId="7E0858CF"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1386AAFC" w14:textId="77777777" w:rsidTr="00A6476D">
        <w:trPr>
          <w:trHeight w:val="903"/>
        </w:trPr>
        <w:tc>
          <w:tcPr>
            <w:tcW w:w="1756" w:type="dxa"/>
            <w:vMerge/>
            <w:vAlign w:val="center"/>
          </w:tcPr>
          <w:p w14:paraId="4A31B502"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6FF9F9EC"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13b</w:t>
            </w:r>
          </w:p>
        </w:tc>
        <w:tc>
          <w:tcPr>
            <w:tcW w:w="4528" w:type="dxa"/>
            <w:vAlign w:val="center"/>
          </w:tcPr>
          <w:p w14:paraId="63F5B7A9" w14:textId="1221A0FD" w:rsidR="00B07C68" w:rsidRPr="002C21B8" w:rsidRDefault="00B07C68" w:rsidP="004617FA">
            <w:pPr>
              <w:spacing w:beforeLines="20" w:before="48" w:afterLines="20" w:after="48" w:line="240" w:lineRule="auto"/>
              <w:ind w:left="95" w:right="150"/>
              <w:rPr>
                <w:sz w:val="16"/>
                <w:szCs w:val="16"/>
              </w:rPr>
            </w:pPr>
            <w:r w:rsidRPr="002C21B8">
              <w:rPr>
                <w:sz w:val="16"/>
                <w:szCs w:val="16"/>
              </w:rPr>
              <w:t xml:space="preserve">For multivariable analysis, provide information on the model building process, model fit statistics, and model assumptions (as appropriate). </w:t>
            </w:r>
          </w:p>
        </w:tc>
        <w:tc>
          <w:tcPr>
            <w:tcW w:w="1559" w:type="dxa"/>
            <w:vAlign w:val="center"/>
          </w:tcPr>
          <w:p w14:paraId="6493C202"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11FD6B3E" w14:textId="77777777" w:rsidTr="00A6476D">
        <w:trPr>
          <w:trHeight w:val="406"/>
        </w:trPr>
        <w:tc>
          <w:tcPr>
            <w:tcW w:w="1756" w:type="dxa"/>
            <w:vMerge/>
            <w:vAlign w:val="center"/>
          </w:tcPr>
          <w:p w14:paraId="305A3A5F" w14:textId="77777777" w:rsidR="00B07C68" w:rsidRPr="002C21B8" w:rsidRDefault="00B07C68" w:rsidP="004617FA">
            <w:pPr>
              <w:spacing w:beforeLines="20" w:before="48" w:afterLines="20" w:after="48" w:line="240" w:lineRule="auto"/>
              <w:ind w:left="95"/>
              <w:rPr>
                <w:sz w:val="16"/>
                <w:szCs w:val="16"/>
              </w:rPr>
            </w:pPr>
          </w:p>
        </w:tc>
        <w:tc>
          <w:tcPr>
            <w:tcW w:w="662" w:type="dxa"/>
            <w:vAlign w:val="center"/>
          </w:tcPr>
          <w:p w14:paraId="107E2A87"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13c</w:t>
            </w:r>
          </w:p>
        </w:tc>
        <w:tc>
          <w:tcPr>
            <w:tcW w:w="4528" w:type="dxa"/>
            <w:vAlign w:val="center"/>
          </w:tcPr>
          <w:p w14:paraId="5332329E"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details about any sensitivity analysis performed. If there are considerable amount of missing data, report sensitivity analyses comparing the results of complete cases with that of the imputed dataset (if possible).</w:t>
            </w:r>
          </w:p>
        </w:tc>
        <w:tc>
          <w:tcPr>
            <w:tcW w:w="1559" w:type="dxa"/>
            <w:vAlign w:val="center"/>
          </w:tcPr>
          <w:p w14:paraId="47CCAC5E" w14:textId="77777777" w:rsidR="00B07C68" w:rsidRPr="002C21B8" w:rsidRDefault="00B07C68" w:rsidP="004617FA">
            <w:pPr>
              <w:spacing w:beforeLines="20" w:before="48" w:afterLines="20" w:after="48" w:line="240" w:lineRule="auto"/>
              <w:ind w:left="95" w:right="426"/>
              <w:jc w:val="left"/>
              <w:rPr>
                <w:sz w:val="16"/>
                <w:szCs w:val="16"/>
              </w:rPr>
            </w:pPr>
            <w:r w:rsidRPr="002C21B8">
              <w:rPr>
                <w:sz w:val="16"/>
                <w:szCs w:val="16"/>
              </w:rPr>
              <w:t>NA</w:t>
            </w:r>
          </w:p>
        </w:tc>
      </w:tr>
      <w:tr w:rsidR="00B07C68" w:rsidRPr="002C21B8" w14:paraId="6909DD83" w14:textId="77777777" w:rsidTr="00E311FE">
        <w:trPr>
          <w:trHeight w:val="80"/>
        </w:trPr>
        <w:tc>
          <w:tcPr>
            <w:tcW w:w="8505" w:type="dxa"/>
            <w:gridSpan w:val="4"/>
            <w:vAlign w:val="center"/>
          </w:tcPr>
          <w:p w14:paraId="428AFC9D" w14:textId="5FD72607" w:rsidR="00B07C68" w:rsidRPr="002C21B8" w:rsidRDefault="00B07C68" w:rsidP="004617FA">
            <w:pPr>
              <w:spacing w:beforeLines="20" w:before="48" w:afterLines="20" w:after="48" w:line="240" w:lineRule="auto"/>
              <w:ind w:left="95" w:right="426"/>
              <w:jc w:val="left"/>
              <w:rPr>
                <w:b/>
                <w:bCs/>
                <w:sz w:val="16"/>
                <w:szCs w:val="16"/>
              </w:rPr>
            </w:pPr>
            <w:r w:rsidRPr="002C21B8">
              <w:rPr>
                <w:b/>
                <w:bCs/>
                <w:sz w:val="16"/>
                <w:szCs w:val="16"/>
              </w:rPr>
              <w:t>Discussion</w:t>
            </w:r>
          </w:p>
        </w:tc>
      </w:tr>
      <w:tr w:rsidR="00B07C68" w:rsidRPr="002C21B8" w14:paraId="4BE00C6E" w14:textId="77777777" w:rsidTr="00A6476D">
        <w:trPr>
          <w:trHeight w:val="406"/>
        </w:trPr>
        <w:tc>
          <w:tcPr>
            <w:tcW w:w="1756" w:type="dxa"/>
            <w:vAlign w:val="center"/>
          </w:tcPr>
          <w:p w14:paraId="3A83D98F"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Limitations</w:t>
            </w:r>
          </w:p>
        </w:tc>
        <w:tc>
          <w:tcPr>
            <w:tcW w:w="662" w:type="dxa"/>
            <w:vAlign w:val="center"/>
          </w:tcPr>
          <w:p w14:paraId="6F3E1D29"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14</w:t>
            </w:r>
          </w:p>
        </w:tc>
        <w:tc>
          <w:tcPr>
            <w:tcW w:w="4528" w:type="dxa"/>
            <w:vAlign w:val="center"/>
          </w:tcPr>
          <w:p w14:paraId="3CF1A269"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Discuss the limitations of the study, considering sources of potential biases and imprecisions, such as non-representativeness of sample, study design, important uncontrolled confounders.</w:t>
            </w:r>
          </w:p>
        </w:tc>
        <w:tc>
          <w:tcPr>
            <w:tcW w:w="1559" w:type="dxa"/>
            <w:vAlign w:val="center"/>
          </w:tcPr>
          <w:p w14:paraId="1CF05B02" w14:textId="7341522A" w:rsidR="00B07C68" w:rsidRPr="002C21B8" w:rsidRDefault="00194BE7" w:rsidP="004617FA">
            <w:pPr>
              <w:spacing w:beforeLines="20" w:before="48" w:afterLines="20" w:after="48" w:line="240" w:lineRule="auto"/>
              <w:ind w:left="95" w:right="426"/>
              <w:jc w:val="left"/>
              <w:rPr>
                <w:sz w:val="16"/>
                <w:szCs w:val="16"/>
              </w:rPr>
            </w:pPr>
            <w:r w:rsidRPr="002C21B8">
              <w:rPr>
                <w:sz w:val="16"/>
                <w:szCs w:val="16"/>
              </w:rPr>
              <w:t xml:space="preserve">Discussion </w:t>
            </w:r>
            <w:r w:rsidR="004617FA" w:rsidRPr="002C21B8">
              <w:rPr>
                <w:sz w:val="16"/>
                <w:szCs w:val="16"/>
              </w:rPr>
              <w:t xml:space="preserve">- </w:t>
            </w:r>
            <w:r w:rsidRPr="002C21B8">
              <w:rPr>
                <w:sz w:val="16"/>
                <w:szCs w:val="16"/>
              </w:rPr>
              <w:t>strengths and limitations</w:t>
            </w:r>
          </w:p>
        </w:tc>
      </w:tr>
      <w:tr w:rsidR="00B07C68" w:rsidRPr="002C21B8" w14:paraId="39848C9C" w14:textId="77777777" w:rsidTr="00A6476D">
        <w:trPr>
          <w:trHeight w:val="406"/>
        </w:trPr>
        <w:tc>
          <w:tcPr>
            <w:tcW w:w="1756" w:type="dxa"/>
            <w:vAlign w:val="center"/>
          </w:tcPr>
          <w:p w14:paraId="6D49B458"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Interpretations</w:t>
            </w:r>
          </w:p>
        </w:tc>
        <w:tc>
          <w:tcPr>
            <w:tcW w:w="662" w:type="dxa"/>
            <w:vAlign w:val="center"/>
          </w:tcPr>
          <w:p w14:paraId="3F9892BF"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15</w:t>
            </w:r>
          </w:p>
        </w:tc>
        <w:tc>
          <w:tcPr>
            <w:tcW w:w="4528" w:type="dxa"/>
            <w:vAlign w:val="center"/>
          </w:tcPr>
          <w:p w14:paraId="5B42901D"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Give a cautious overall interpretation of results, based on potential biases and imprecisions and suggest areas for future research.</w:t>
            </w:r>
          </w:p>
        </w:tc>
        <w:tc>
          <w:tcPr>
            <w:tcW w:w="1559" w:type="dxa"/>
            <w:vAlign w:val="center"/>
          </w:tcPr>
          <w:p w14:paraId="239F8380" w14:textId="189ABEB9" w:rsidR="00B07C68" w:rsidRPr="002C21B8" w:rsidRDefault="00194BE7" w:rsidP="004617FA">
            <w:pPr>
              <w:spacing w:beforeLines="20" w:before="48" w:afterLines="20" w:after="48" w:line="240" w:lineRule="auto"/>
              <w:ind w:left="95" w:right="426"/>
              <w:jc w:val="left"/>
              <w:rPr>
                <w:sz w:val="16"/>
                <w:szCs w:val="16"/>
              </w:rPr>
            </w:pPr>
            <w:r w:rsidRPr="002C21B8">
              <w:rPr>
                <w:sz w:val="16"/>
                <w:szCs w:val="16"/>
              </w:rPr>
              <w:t>Discussion</w:t>
            </w:r>
            <w:r w:rsidR="004617FA" w:rsidRPr="002C21B8">
              <w:rPr>
                <w:sz w:val="16"/>
                <w:szCs w:val="16"/>
              </w:rPr>
              <w:t xml:space="preserve"> - </w:t>
            </w:r>
            <w:r w:rsidRPr="002C21B8">
              <w:rPr>
                <w:sz w:val="16"/>
                <w:szCs w:val="16"/>
              </w:rPr>
              <w:t>implications</w:t>
            </w:r>
          </w:p>
        </w:tc>
      </w:tr>
      <w:tr w:rsidR="00B07C68" w:rsidRPr="002C21B8" w14:paraId="326C05F0" w14:textId="77777777" w:rsidTr="00A6476D">
        <w:trPr>
          <w:trHeight w:val="406"/>
        </w:trPr>
        <w:tc>
          <w:tcPr>
            <w:tcW w:w="1756" w:type="dxa"/>
            <w:vAlign w:val="center"/>
          </w:tcPr>
          <w:p w14:paraId="2D12FE9C"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Generalizability</w:t>
            </w:r>
          </w:p>
        </w:tc>
        <w:tc>
          <w:tcPr>
            <w:tcW w:w="662" w:type="dxa"/>
            <w:vAlign w:val="center"/>
          </w:tcPr>
          <w:p w14:paraId="4CBE7A84"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16</w:t>
            </w:r>
          </w:p>
        </w:tc>
        <w:tc>
          <w:tcPr>
            <w:tcW w:w="4528" w:type="dxa"/>
            <w:vAlign w:val="center"/>
          </w:tcPr>
          <w:p w14:paraId="426EFD9C"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Discuss the external validity of the results.</w:t>
            </w:r>
          </w:p>
        </w:tc>
        <w:tc>
          <w:tcPr>
            <w:tcW w:w="1559" w:type="dxa"/>
            <w:vAlign w:val="center"/>
          </w:tcPr>
          <w:p w14:paraId="3704137A" w14:textId="4D204231" w:rsidR="00B07C68" w:rsidRPr="002C21B8" w:rsidRDefault="00194BE7" w:rsidP="004617FA">
            <w:pPr>
              <w:spacing w:beforeLines="20" w:before="48" w:afterLines="20" w:after="48" w:line="240" w:lineRule="auto"/>
              <w:ind w:left="95" w:right="426"/>
              <w:jc w:val="left"/>
              <w:rPr>
                <w:sz w:val="16"/>
                <w:szCs w:val="16"/>
              </w:rPr>
            </w:pPr>
            <w:r w:rsidRPr="002C21B8">
              <w:rPr>
                <w:sz w:val="16"/>
                <w:szCs w:val="16"/>
              </w:rPr>
              <w:t>Discussion</w:t>
            </w:r>
            <w:r w:rsidR="004617FA" w:rsidRPr="002C21B8">
              <w:rPr>
                <w:sz w:val="16"/>
                <w:szCs w:val="16"/>
              </w:rPr>
              <w:t xml:space="preserve"> - </w:t>
            </w:r>
            <w:r w:rsidRPr="002C21B8">
              <w:rPr>
                <w:sz w:val="16"/>
                <w:szCs w:val="16"/>
              </w:rPr>
              <w:t>strengths and limitations</w:t>
            </w:r>
          </w:p>
        </w:tc>
      </w:tr>
      <w:tr w:rsidR="00B07C68" w:rsidRPr="002C21B8" w14:paraId="246AF8AF" w14:textId="77777777" w:rsidTr="00E311FE">
        <w:trPr>
          <w:trHeight w:val="80"/>
        </w:trPr>
        <w:tc>
          <w:tcPr>
            <w:tcW w:w="8505" w:type="dxa"/>
            <w:gridSpan w:val="4"/>
            <w:vAlign w:val="center"/>
          </w:tcPr>
          <w:p w14:paraId="4C2E39C4" w14:textId="43BBCBE3" w:rsidR="00B07C68" w:rsidRPr="002C21B8" w:rsidRDefault="00B07C68" w:rsidP="004617FA">
            <w:pPr>
              <w:spacing w:beforeLines="20" w:before="48" w:afterLines="20" w:after="48" w:line="240" w:lineRule="auto"/>
              <w:ind w:left="95" w:right="426"/>
              <w:jc w:val="left"/>
              <w:rPr>
                <w:b/>
                <w:bCs/>
                <w:sz w:val="16"/>
                <w:szCs w:val="16"/>
              </w:rPr>
            </w:pPr>
            <w:r w:rsidRPr="002C21B8">
              <w:rPr>
                <w:b/>
                <w:bCs/>
                <w:sz w:val="16"/>
                <w:szCs w:val="16"/>
              </w:rPr>
              <w:t>Other sections</w:t>
            </w:r>
          </w:p>
        </w:tc>
      </w:tr>
      <w:tr w:rsidR="00B07C68" w:rsidRPr="002C21B8" w14:paraId="5A5D85E7" w14:textId="77777777" w:rsidTr="00A6476D">
        <w:trPr>
          <w:trHeight w:val="406"/>
        </w:trPr>
        <w:tc>
          <w:tcPr>
            <w:tcW w:w="1756" w:type="dxa"/>
            <w:vAlign w:val="center"/>
          </w:tcPr>
          <w:p w14:paraId="36D31B4E"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Role of funding source</w:t>
            </w:r>
          </w:p>
        </w:tc>
        <w:tc>
          <w:tcPr>
            <w:tcW w:w="662" w:type="dxa"/>
            <w:vAlign w:val="center"/>
          </w:tcPr>
          <w:p w14:paraId="5BCB4EFC"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17</w:t>
            </w:r>
          </w:p>
        </w:tc>
        <w:tc>
          <w:tcPr>
            <w:tcW w:w="4528" w:type="dxa"/>
            <w:vAlign w:val="center"/>
          </w:tcPr>
          <w:p w14:paraId="21A1F69C"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State whether any funding organization has had any roles in the survey’s design, implementation, and analysis.</w:t>
            </w:r>
          </w:p>
        </w:tc>
        <w:tc>
          <w:tcPr>
            <w:tcW w:w="1559" w:type="dxa"/>
            <w:vAlign w:val="center"/>
          </w:tcPr>
          <w:p w14:paraId="5D7E8913" w14:textId="1EA19DD5" w:rsidR="00B07C68" w:rsidRPr="002C21B8" w:rsidRDefault="00194BE7" w:rsidP="004617FA">
            <w:pPr>
              <w:spacing w:beforeLines="20" w:before="48" w:afterLines="20" w:after="48" w:line="240" w:lineRule="auto"/>
              <w:ind w:left="95" w:right="426"/>
              <w:jc w:val="left"/>
              <w:rPr>
                <w:sz w:val="16"/>
                <w:szCs w:val="16"/>
              </w:rPr>
            </w:pPr>
            <w:r w:rsidRPr="002C21B8">
              <w:rPr>
                <w:sz w:val="16"/>
                <w:szCs w:val="16"/>
              </w:rPr>
              <w:t>None</w:t>
            </w:r>
          </w:p>
        </w:tc>
      </w:tr>
      <w:tr w:rsidR="00B07C68" w:rsidRPr="002C21B8" w14:paraId="3E76BD39" w14:textId="77777777" w:rsidTr="00A6476D">
        <w:trPr>
          <w:trHeight w:val="406"/>
        </w:trPr>
        <w:tc>
          <w:tcPr>
            <w:tcW w:w="1756" w:type="dxa"/>
            <w:vAlign w:val="center"/>
          </w:tcPr>
          <w:p w14:paraId="50E6CD41"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Conflict of interest</w:t>
            </w:r>
          </w:p>
        </w:tc>
        <w:tc>
          <w:tcPr>
            <w:tcW w:w="662" w:type="dxa"/>
            <w:vAlign w:val="center"/>
          </w:tcPr>
          <w:p w14:paraId="415D0464"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18</w:t>
            </w:r>
          </w:p>
        </w:tc>
        <w:tc>
          <w:tcPr>
            <w:tcW w:w="4528" w:type="dxa"/>
            <w:vAlign w:val="center"/>
          </w:tcPr>
          <w:p w14:paraId="287E38A3"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Declare any potential conflict of interest.</w:t>
            </w:r>
          </w:p>
        </w:tc>
        <w:tc>
          <w:tcPr>
            <w:tcW w:w="1559" w:type="dxa"/>
            <w:vAlign w:val="center"/>
          </w:tcPr>
          <w:p w14:paraId="0D4F838F" w14:textId="5DC87E95" w:rsidR="00B07C68" w:rsidRPr="002C21B8" w:rsidRDefault="00194BE7" w:rsidP="004617FA">
            <w:pPr>
              <w:spacing w:beforeLines="20" w:before="48" w:afterLines="20" w:after="48" w:line="240" w:lineRule="auto"/>
              <w:ind w:left="95" w:right="426"/>
              <w:jc w:val="left"/>
              <w:rPr>
                <w:sz w:val="16"/>
                <w:szCs w:val="16"/>
              </w:rPr>
            </w:pPr>
            <w:r w:rsidRPr="002C21B8">
              <w:rPr>
                <w:sz w:val="16"/>
                <w:szCs w:val="16"/>
              </w:rPr>
              <w:t>None</w:t>
            </w:r>
          </w:p>
        </w:tc>
      </w:tr>
      <w:tr w:rsidR="00B07C68" w:rsidRPr="002C21B8" w14:paraId="6FA1E1D1" w14:textId="77777777" w:rsidTr="00A6476D">
        <w:trPr>
          <w:trHeight w:val="406"/>
        </w:trPr>
        <w:tc>
          <w:tcPr>
            <w:tcW w:w="1756" w:type="dxa"/>
            <w:vAlign w:val="center"/>
          </w:tcPr>
          <w:p w14:paraId="6C45F6FE"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Acknowledgements</w:t>
            </w:r>
          </w:p>
        </w:tc>
        <w:tc>
          <w:tcPr>
            <w:tcW w:w="662" w:type="dxa"/>
            <w:vAlign w:val="center"/>
          </w:tcPr>
          <w:p w14:paraId="53214C75" w14:textId="77777777" w:rsidR="00B07C68" w:rsidRPr="002C21B8" w:rsidRDefault="00B07C68" w:rsidP="004617FA">
            <w:pPr>
              <w:spacing w:beforeLines="20" w:before="48" w:afterLines="20" w:after="48" w:line="240" w:lineRule="auto"/>
              <w:ind w:left="95"/>
              <w:rPr>
                <w:sz w:val="16"/>
                <w:szCs w:val="16"/>
              </w:rPr>
            </w:pPr>
            <w:r w:rsidRPr="002C21B8">
              <w:rPr>
                <w:sz w:val="16"/>
                <w:szCs w:val="16"/>
              </w:rPr>
              <w:t>19</w:t>
            </w:r>
          </w:p>
        </w:tc>
        <w:tc>
          <w:tcPr>
            <w:tcW w:w="4528" w:type="dxa"/>
            <w:vAlign w:val="center"/>
          </w:tcPr>
          <w:p w14:paraId="3F7F0AC8" w14:textId="77777777" w:rsidR="00B07C68" w:rsidRPr="002C21B8" w:rsidRDefault="00B07C68" w:rsidP="004617FA">
            <w:pPr>
              <w:spacing w:beforeLines="20" w:before="48" w:afterLines="20" w:after="48" w:line="240" w:lineRule="auto"/>
              <w:ind w:left="95" w:right="150"/>
              <w:rPr>
                <w:sz w:val="16"/>
                <w:szCs w:val="16"/>
              </w:rPr>
            </w:pPr>
            <w:r w:rsidRPr="002C21B8">
              <w:rPr>
                <w:sz w:val="16"/>
                <w:szCs w:val="16"/>
              </w:rPr>
              <w:t>Provide names of organizations/persons that are acknowledged along with their contribution to the research.</w:t>
            </w:r>
          </w:p>
        </w:tc>
        <w:tc>
          <w:tcPr>
            <w:tcW w:w="1559" w:type="dxa"/>
            <w:vAlign w:val="center"/>
          </w:tcPr>
          <w:p w14:paraId="07CD722D" w14:textId="7FAE937F" w:rsidR="00B07C68" w:rsidRPr="002C21B8" w:rsidDel="001E61EB" w:rsidRDefault="00085265" w:rsidP="004617FA">
            <w:pPr>
              <w:spacing w:beforeLines="20" w:before="48" w:afterLines="20" w:after="48" w:line="240" w:lineRule="auto"/>
              <w:ind w:left="95" w:right="426"/>
              <w:jc w:val="left"/>
              <w:rPr>
                <w:sz w:val="16"/>
                <w:szCs w:val="16"/>
              </w:rPr>
            </w:pPr>
            <w:r w:rsidRPr="002C21B8">
              <w:rPr>
                <w:sz w:val="16"/>
                <w:szCs w:val="16"/>
              </w:rPr>
              <w:t>NA</w:t>
            </w:r>
          </w:p>
        </w:tc>
      </w:tr>
    </w:tbl>
    <w:p w14:paraId="37D05DC5" w14:textId="3F850D21" w:rsidR="00971A2E" w:rsidRPr="002C21B8" w:rsidRDefault="00B475A7" w:rsidP="00971A2E">
      <w:pPr>
        <w:spacing w:before="240"/>
        <w:rPr>
          <w:rFonts w:eastAsiaTheme="majorEastAsia"/>
          <w:b/>
          <w:bCs/>
          <w:noProof/>
          <w:color w:val="000000" w:themeColor="text1"/>
          <w:sz w:val="28"/>
          <w:szCs w:val="28"/>
        </w:rPr>
      </w:pPr>
      <w:r w:rsidRPr="002C21B8">
        <w:rPr>
          <w:color w:val="000000" w:themeColor="text1"/>
          <w:sz w:val="18"/>
          <w:szCs w:val="18"/>
        </w:rPr>
        <w:t xml:space="preserve">Locations indicate where each checklist item is </w:t>
      </w:r>
      <w:r w:rsidR="004A79C0" w:rsidRPr="002C21B8">
        <w:rPr>
          <w:color w:val="000000" w:themeColor="text1"/>
          <w:sz w:val="18"/>
          <w:szCs w:val="18"/>
        </w:rPr>
        <w:t>include</w:t>
      </w:r>
      <w:r w:rsidRPr="002C21B8">
        <w:rPr>
          <w:color w:val="000000" w:themeColor="text1"/>
          <w:sz w:val="18"/>
          <w:szCs w:val="18"/>
        </w:rPr>
        <w:t>d in this thesis</w:t>
      </w:r>
      <w:bookmarkStart w:id="485" w:name="_Survey_responses_by"/>
      <w:bookmarkEnd w:id="485"/>
      <w:r w:rsidR="00971A2E" w:rsidRPr="002C21B8">
        <w:rPr>
          <w:rFonts w:eastAsiaTheme="majorEastAsia"/>
          <w:b/>
          <w:bCs/>
          <w:noProof/>
          <w:color w:val="000000" w:themeColor="text1"/>
          <w:sz w:val="28"/>
          <w:szCs w:val="28"/>
        </w:rPr>
        <w:br w:type="page"/>
      </w:r>
    </w:p>
    <w:p w14:paraId="423EC2D0" w14:textId="4499EEBB" w:rsidR="00175D37" w:rsidRPr="002C21B8" w:rsidRDefault="007D2EBE" w:rsidP="00544513">
      <w:pPr>
        <w:pStyle w:val="Heading3"/>
        <w:numPr>
          <w:ilvl w:val="0"/>
          <w:numId w:val="0"/>
        </w:numPr>
      </w:pPr>
      <w:bookmarkStart w:id="486" w:name="_Survey_responses_by_1"/>
      <w:bookmarkEnd w:id="486"/>
      <w:r w:rsidRPr="002C21B8">
        <w:t>Survey responses</w:t>
      </w:r>
      <w:r w:rsidR="00875143" w:rsidRPr="002C21B8">
        <w:t xml:space="preserve"> by approximate kidney centre catchment area</w:t>
      </w:r>
    </w:p>
    <w:p w14:paraId="336D286C" w14:textId="137B583D" w:rsidR="003F6290" w:rsidRPr="002C21B8" w:rsidRDefault="00AB7FD6" w:rsidP="005B18C0">
      <w:pPr>
        <w:rPr>
          <w:color w:val="7B7B7B" w:themeColor="accent3" w:themeShade="BF"/>
          <w:sz w:val="20"/>
          <w:szCs w:val="20"/>
        </w:rPr>
      </w:pPr>
      <w:r w:rsidRPr="002C21B8">
        <w:rPr>
          <w:noProof/>
        </w:rPr>
        <w:drawing>
          <wp:inline distT="0" distB="0" distL="0" distR="0" wp14:anchorId="1F198E4F" wp14:editId="0E8EFB18">
            <wp:extent cx="5688000" cy="7036869"/>
            <wp:effectExtent l="0" t="0" r="1905" b="0"/>
            <wp:docPr id="864146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46890" name=""/>
                    <pic:cNvPicPr/>
                  </pic:nvPicPr>
                  <pic:blipFill>
                    <a:blip r:embed="rId236"/>
                    <a:stretch>
                      <a:fillRect/>
                    </a:stretch>
                  </pic:blipFill>
                  <pic:spPr>
                    <a:xfrm>
                      <a:off x="0" y="0"/>
                      <a:ext cx="5688000" cy="7036869"/>
                    </a:xfrm>
                    <a:prstGeom prst="rect">
                      <a:avLst/>
                    </a:prstGeom>
                  </pic:spPr>
                </pic:pic>
              </a:graphicData>
            </a:graphic>
          </wp:inline>
        </w:drawing>
      </w:r>
    </w:p>
    <w:p w14:paraId="07ABADE5" w14:textId="2403ECA6" w:rsidR="00AB7FD6" w:rsidRPr="002C21B8" w:rsidRDefault="0002782B" w:rsidP="005B18C0">
      <w:pPr>
        <w:rPr>
          <w:color w:val="7B7B7B" w:themeColor="accent3" w:themeShade="BF"/>
          <w:sz w:val="13"/>
          <w:szCs w:val="13"/>
        </w:rPr>
      </w:pPr>
      <w:r w:rsidRPr="002C21B8">
        <w:rPr>
          <w:noProof/>
          <w:color w:val="7B7B7B" w:themeColor="accent3" w:themeShade="BF"/>
          <w:sz w:val="13"/>
          <w:szCs w:val="13"/>
        </w:rPr>
        <w:drawing>
          <wp:inline distT="0" distB="0" distL="0" distR="0" wp14:anchorId="459A68A8" wp14:editId="651C8DDE">
            <wp:extent cx="4152900" cy="660400"/>
            <wp:effectExtent l="0" t="0" r="0" b="0"/>
            <wp:docPr id="121502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22822" name=""/>
                    <pic:cNvPicPr/>
                  </pic:nvPicPr>
                  <pic:blipFill>
                    <a:blip r:embed="rId237"/>
                    <a:stretch>
                      <a:fillRect/>
                    </a:stretch>
                  </pic:blipFill>
                  <pic:spPr>
                    <a:xfrm>
                      <a:off x="0" y="0"/>
                      <a:ext cx="4152900" cy="660400"/>
                    </a:xfrm>
                    <a:prstGeom prst="rect">
                      <a:avLst/>
                    </a:prstGeom>
                  </pic:spPr>
                </pic:pic>
              </a:graphicData>
            </a:graphic>
          </wp:inline>
        </w:drawing>
      </w:r>
    </w:p>
    <w:p w14:paraId="68CAF901" w14:textId="2C938BF6" w:rsidR="005B18C0" w:rsidRPr="005E7039" w:rsidRDefault="005B18C0" w:rsidP="005B18C0">
      <w:pPr>
        <w:rPr>
          <w:color w:val="000000" w:themeColor="text1"/>
          <w:sz w:val="20"/>
          <w:szCs w:val="20"/>
        </w:rPr>
      </w:pPr>
      <w:r w:rsidRPr="002C21B8">
        <w:rPr>
          <w:color w:val="000000" w:themeColor="text1"/>
          <w:sz w:val="20"/>
          <w:szCs w:val="20"/>
        </w:rPr>
        <w:t xml:space="preserve">NHS Acute Trust catchment areas derived from </w:t>
      </w:r>
      <w:r w:rsidRPr="002C21B8">
        <w:rPr>
          <w:color w:val="000000" w:themeColor="text1"/>
          <w:sz w:val="20"/>
          <w:szCs w:val="20"/>
        </w:rPr>
        <w:fldChar w:fldCharType="begin"/>
      </w:r>
      <w:r w:rsidR="00331F66" w:rsidRPr="002C21B8">
        <w:rPr>
          <w:color w:val="000000" w:themeColor="text1"/>
          <w:sz w:val="20"/>
          <w:szCs w:val="20"/>
        </w:rPr>
        <w:instrText xml:space="preserve"> ADDIN EN.CITE &lt;EndNote&gt;&lt;Cite AuthorYear="1"&gt;&lt;Author&gt;Office for Health Improvement and Disparities&lt;/Author&gt;&lt;Year&gt;2022&lt;/Year&gt;&lt;RecNum&gt;125288&lt;/RecNum&gt;&lt;DisplayText&gt;Office for Health Improvement and Disparities (2022)&lt;/DisplayText&gt;&lt;record&gt;&lt;rec-number&gt;125288&lt;/rec-number&gt;&lt;foreign-keys&gt;&lt;key app="EN" db-id="xpefzwa5hf9dt2ea9fax95x7xvxz90v09dtf" timestamp="1774788352"&gt;125288&lt;/key&gt;&lt;/foreign-keys&gt;&lt;ref-type name="Web Page"&gt;12&lt;/ref-type&gt;&lt;contributors&gt;&lt;authors&gt;&lt;author&gt;Office for Health Improvement and Disparities,&lt;/author&gt;&lt;/authors&gt;&lt;/contributors&gt;&lt;titles&gt;&lt;title&gt;NHS Acute (Hospital) Trust Catchment Populations&lt;/title&gt;&lt;/titles&gt;&lt;number&gt;29/03/2026)&lt;/number&gt;&lt;dates&gt;&lt;year&gt;2022&lt;/year&gt;&lt;/dates&gt;&lt;urls&gt;&lt;related-urls&gt;&lt;url&gt;https://app.powerbi.com/view?r=eyJrIjoiODZmNGQ0YzItZDAwZi00MzFiLWE4NzAtMzVmNTUwMThmMTVlIiwidCI6ImVlNGUxNDk5LTRhMzUtNGIyZS1hZDQ3LTVmM2NmOWRlODY2NiIsImMiOjh9&lt;/url&gt;&lt;/related-urls&gt;&lt;/urls&gt;&lt;/record&gt;&lt;/Cite&gt;&lt;/EndNote&gt;</w:instrText>
      </w:r>
      <w:r w:rsidRPr="002C21B8">
        <w:rPr>
          <w:color w:val="000000" w:themeColor="text1"/>
          <w:sz w:val="20"/>
          <w:szCs w:val="20"/>
        </w:rPr>
        <w:fldChar w:fldCharType="separate"/>
      </w:r>
      <w:r w:rsidRPr="002C21B8">
        <w:rPr>
          <w:noProof/>
          <w:color w:val="000000" w:themeColor="text1"/>
          <w:sz w:val="20"/>
          <w:szCs w:val="20"/>
        </w:rPr>
        <w:t>Office for Health Improvement and Disparities (2022)</w:t>
      </w:r>
      <w:r w:rsidRPr="002C21B8">
        <w:rPr>
          <w:color w:val="000000" w:themeColor="text1"/>
          <w:sz w:val="20"/>
          <w:szCs w:val="20"/>
        </w:rPr>
        <w:fldChar w:fldCharType="end"/>
      </w:r>
    </w:p>
    <w:sectPr w:rsidR="005B18C0" w:rsidRPr="005E7039" w:rsidSect="0009672F">
      <w:headerReference w:type="default" r:id="rId23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0BD0" w14:textId="77777777" w:rsidR="008B554F" w:rsidRDefault="008B554F" w:rsidP="003374F4">
      <w:r>
        <w:separator/>
      </w:r>
    </w:p>
  </w:endnote>
  <w:endnote w:type="continuationSeparator" w:id="0">
    <w:p w14:paraId="00039514" w14:textId="77777777" w:rsidR="008B554F" w:rsidRDefault="008B554F" w:rsidP="0033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Noto Sans Symbols">
    <w:altName w:val="Calibri"/>
    <w:panose1 w:val="020B0604020202020204"/>
    <w:charset w:val="00"/>
    <w:family w:val="auto"/>
    <w:pitch w:val="default"/>
  </w:font>
  <w:font w:name="Times New Roman (Body CS)">
    <w:altName w:val="Times New Roman"/>
    <w:panose1 w:val="020B0604020202020204"/>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panose1 w:val="020B0503030403020204"/>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337169"/>
      <w:docPartObj>
        <w:docPartGallery w:val="Page Numbers (Bottom of Page)"/>
        <w:docPartUnique/>
      </w:docPartObj>
    </w:sdtPr>
    <w:sdtContent>
      <w:p w14:paraId="787BD322" w14:textId="77777777" w:rsidR="0029797A" w:rsidRDefault="0029797A" w:rsidP="000E7F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5FBD02" w14:textId="77777777" w:rsidR="0029797A" w:rsidRDefault="00297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1759214"/>
      <w:docPartObj>
        <w:docPartGallery w:val="Page Numbers (Bottom of Page)"/>
        <w:docPartUnique/>
      </w:docPartObj>
    </w:sdtPr>
    <w:sdtContent>
      <w:p w14:paraId="660898F4" w14:textId="77777777" w:rsidR="0029797A" w:rsidRDefault="0029797A" w:rsidP="000E7F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E0AC5E" w14:textId="77777777" w:rsidR="0029797A" w:rsidRDefault="00297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8024300"/>
      <w:docPartObj>
        <w:docPartGallery w:val="Page Numbers (Bottom of Page)"/>
        <w:docPartUnique/>
      </w:docPartObj>
    </w:sdtPr>
    <w:sdtContent>
      <w:p w14:paraId="5C43621B" w14:textId="02CD0660" w:rsidR="008F4F9A" w:rsidRDefault="008F4F9A" w:rsidP="007146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sdtContent>
  </w:sdt>
  <w:p w14:paraId="20DB727E" w14:textId="77777777" w:rsidR="008F4F9A" w:rsidRDefault="008F4F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864737"/>
      <w:docPartObj>
        <w:docPartGallery w:val="Page Numbers (Bottom of Page)"/>
        <w:docPartUnique/>
      </w:docPartObj>
    </w:sdtPr>
    <w:sdtContent>
      <w:p w14:paraId="4A5E9FBA" w14:textId="77777777" w:rsidR="005E4945" w:rsidRDefault="005E4945" w:rsidP="00F113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228E8B" w14:textId="77777777" w:rsidR="005E4945" w:rsidRDefault="005E49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6488266"/>
      <w:docPartObj>
        <w:docPartGallery w:val="Page Numbers (Bottom of Page)"/>
        <w:docPartUnique/>
      </w:docPartObj>
    </w:sdtPr>
    <w:sdtContent>
      <w:p w14:paraId="5541454D" w14:textId="77777777" w:rsidR="006D799D" w:rsidRDefault="006D799D" w:rsidP="003374F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0C7FFA" w14:textId="77777777" w:rsidR="006D799D" w:rsidRDefault="006D799D" w:rsidP="003374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1983588"/>
      <w:docPartObj>
        <w:docPartGallery w:val="Page Numbers (Bottom of Page)"/>
        <w:docPartUnique/>
      </w:docPartObj>
    </w:sdtPr>
    <w:sdtContent>
      <w:p w14:paraId="5C0575E5" w14:textId="77777777" w:rsidR="006D799D" w:rsidRDefault="006D799D" w:rsidP="0087500D">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88B1E0" w14:textId="77777777" w:rsidR="006D799D" w:rsidRDefault="006D799D" w:rsidP="00337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3A680" w14:textId="77777777" w:rsidR="008B554F" w:rsidRDefault="008B554F" w:rsidP="003374F4">
      <w:r>
        <w:separator/>
      </w:r>
    </w:p>
  </w:footnote>
  <w:footnote w:type="continuationSeparator" w:id="0">
    <w:p w14:paraId="7AF47CB6" w14:textId="77777777" w:rsidR="008B554F" w:rsidRDefault="008B554F" w:rsidP="00337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9797A" w:rsidRPr="00D0296C" w14:paraId="78D313F7" w14:textId="77777777" w:rsidTr="00865A03">
      <w:trPr>
        <w:trHeight w:val="79"/>
      </w:trPr>
      <w:tc>
        <w:tcPr>
          <w:tcW w:w="4508" w:type="dxa"/>
        </w:tcPr>
        <w:p w14:paraId="69C8534E" w14:textId="77777777" w:rsidR="0029797A" w:rsidRPr="00D0296C" w:rsidRDefault="0029797A" w:rsidP="00AA79C4">
          <w:pPr>
            <w:spacing w:line="240" w:lineRule="auto"/>
          </w:pPr>
          <w:r w:rsidRPr="00D0296C">
            <w:t>Front matter</w:t>
          </w:r>
        </w:p>
      </w:tc>
      <w:tc>
        <w:tcPr>
          <w:tcW w:w="4564" w:type="dxa"/>
        </w:tcPr>
        <w:p w14:paraId="4530B66C" w14:textId="77777777" w:rsidR="0029797A" w:rsidRPr="00D0296C" w:rsidRDefault="0029797A" w:rsidP="00AA79C4">
          <w:pPr>
            <w:spacing w:line="240" w:lineRule="auto"/>
            <w:jc w:val="right"/>
          </w:pPr>
        </w:p>
      </w:tc>
    </w:tr>
  </w:tbl>
  <w:p w14:paraId="54B1D68D" w14:textId="77777777" w:rsidR="0029797A" w:rsidRPr="00D0296C" w:rsidRDefault="0029797A" w:rsidP="00041AED">
    <w:pPr>
      <w:pStyle w:val="Header"/>
      <w:spacing w:after="120" w:line="36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2F0740" w:rsidRPr="00D0296C" w14:paraId="4EE4A406" w14:textId="77777777" w:rsidTr="00DA7613">
      <w:trPr>
        <w:trHeight w:val="79"/>
      </w:trPr>
      <w:tc>
        <w:tcPr>
          <w:tcW w:w="4508" w:type="dxa"/>
        </w:tcPr>
        <w:p w14:paraId="308632F5" w14:textId="4E3EFA66" w:rsidR="002F0740" w:rsidRPr="00D0296C" w:rsidRDefault="002F0740" w:rsidP="00AA79C4">
          <w:pPr>
            <w:spacing w:line="240" w:lineRule="auto"/>
          </w:pPr>
          <w:r>
            <w:t xml:space="preserve">Chapter </w:t>
          </w:r>
          <w:r w:rsidR="008A0A1B">
            <w:t>4</w:t>
          </w:r>
        </w:p>
      </w:tc>
      <w:tc>
        <w:tcPr>
          <w:tcW w:w="9384" w:type="dxa"/>
        </w:tcPr>
        <w:p w14:paraId="275DA737" w14:textId="7A77AD95" w:rsidR="002F0740" w:rsidRPr="00D0296C" w:rsidRDefault="0075097F" w:rsidP="00AA79C4">
          <w:pPr>
            <w:spacing w:line="240" w:lineRule="auto"/>
            <w:jc w:val="right"/>
          </w:pPr>
          <w:r>
            <w:t xml:space="preserve">Phase 1 – </w:t>
          </w:r>
          <w:r w:rsidRPr="00753E7F">
            <w:t xml:space="preserve">Systematic </w:t>
          </w:r>
          <w:r>
            <w:t>r</w:t>
          </w:r>
          <w:r w:rsidRPr="00753E7F">
            <w:t>eview</w:t>
          </w:r>
        </w:p>
      </w:tc>
    </w:tr>
  </w:tbl>
  <w:p w14:paraId="3475591D" w14:textId="77777777" w:rsidR="002F0740" w:rsidRPr="00D0296C" w:rsidRDefault="002F0740" w:rsidP="00B425C5">
    <w:pPr>
      <w:pStyle w:val="Header"/>
      <w:spacing w:after="120" w:line="36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2F0740" w:rsidRPr="00D0296C" w14:paraId="66C51EDF" w14:textId="77777777" w:rsidTr="00C57707">
      <w:trPr>
        <w:trHeight w:val="79"/>
      </w:trPr>
      <w:tc>
        <w:tcPr>
          <w:tcW w:w="4508" w:type="dxa"/>
        </w:tcPr>
        <w:p w14:paraId="386A565E" w14:textId="0BE93FB5" w:rsidR="002F0740" w:rsidRPr="00D0296C" w:rsidRDefault="002F0740" w:rsidP="00AA79C4">
          <w:pPr>
            <w:spacing w:line="240" w:lineRule="auto"/>
          </w:pPr>
          <w:r>
            <w:t xml:space="preserve">Chapter </w:t>
          </w:r>
          <w:r w:rsidR="008A0A1B">
            <w:t>4</w:t>
          </w:r>
        </w:p>
      </w:tc>
      <w:tc>
        <w:tcPr>
          <w:tcW w:w="9384" w:type="dxa"/>
        </w:tcPr>
        <w:p w14:paraId="6280157C" w14:textId="5D0D6162" w:rsidR="002F0740" w:rsidRPr="00D0296C" w:rsidRDefault="0075097F" w:rsidP="00AA79C4">
          <w:pPr>
            <w:spacing w:line="240" w:lineRule="auto"/>
            <w:jc w:val="right"/>
          </w:pPr>
          <w:r>
            <w:t xml:space="preserve">Phase 1 – </w:t>
          </w:r>
          <w:r w:rsidRPr="00753E7F">
            <w:t xml:space="preserve">Systematic </w:t>
          </w:r>
          <w:r>
            <w:t>r</w:t>
          </w:r>
          <w:r w:rsidRPr="00753E7F">
            <w:t>eview</w:t>
          </w:r>
        </w:p>
      </w:tc>
    </w:tr>
  </w:tbl>
  <w:p w14:paraId="333E2F46" w14:textId="77777777" w:rsidR="002F0740" w:rsidRPr="005676C7" w:rsidRDefault="002F0740" w:rsidP="00B425C5">
    <w:pPr>
      <w:spacing w:after="12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F0740" w:rsidRPr="00D0296C" w14:paraId="38A4A372" w14:textId="77777777" w:rsidTr="00C57707">
      <w:trPr>
        <w:trHeight w:val="79"/>
      </w:trPr>
      <w:tc>
        <w:tcPr>
          <w:tcW w:w="4508" w:type="dxa"/>
        </w:tcPr>
        <w:p w14:paraId="1C278B97" w14:textId="25D80792" w:rsidR="002F0740" w:rsidRPr="00D0296C" w:rsidRDefault="002F0740" w:rsidP="00576CD7">
          <w:pPr>
            <w:spacing w:line="240" w:lineRule="auto"/>
          </w:pPr>
          <w:r>
            <w:t xml:space="preserve">Chapter </w:t>
          </w:r>
          <w:r w:rsidR="008A0A1B">
            <w:t>4</w:t>
          </w:r>
        </w:p>
      </w:tc>
      <w:tc>
        <w:tcPr>
          <w:tcW w:w="4564" w:type="dxa"/>
        </w:tcPr>
        <w:p w14:paraId="3422DDD2" w14:textId="47F451F2" w:rsidR="002F0740" w:rsidRPr="00D0296C" w:rsidRDefault="0075097F" w:rsidP="00576CD7">
          <w:pPr>
            <w:spacing w:line="240" w:lineRule="auto"/>
            <w:jc w:val="right"/>
          </w:pPr>
          <w:r>
            <w:t xml:space="preserve">Phase 1 – </w:t>
          </w:r>
          <w:r w:rsidRPr="00753E7F">
            <w:t xml:space="preserve">Systematic </w:t>
          </w:r>
          <w:r>
            <w:t>r</w:t>
          </w:r>
          <w:r w:rsidRPr="00753E7F">
            <w:t>eview</w:t>
          </w:r>
        </w:p>
      </w:tc>
    </w:tr>
  </w:tbl>
  <w:p w14:paraId="1F1F244F" w14:textId="77777777" w:rsidR="002F0740" w:rsidRPr="005676C7" w:rsidRDefault="002F0740" w:rsidP="00B425C5">
    <w:pPr>
      <w:spacing w:after="12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034"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526"/>
    </w:tblGrid>
    <w:tr w:rsidR="00DA7613" w:rsidRPr="00D0296C" w14:paraId="6570D12B" w14:textId="77777777" w:rsidTr="00DA7613">
      <w:trPr>
        <w:trHeight w:val="79"/>
      </w:trPr>
      <w:tc>
        <w:tcPr>
          <w:tcW w:w="4508" w:type="dxa"/>
        </w:tcPr>
        <w:p w14:paraId="60DFD1C0" w14:textId="1A30A26E" w:rsidR="002F0740" w:rsidRPr="00D0296C" w:rsidRDefault="002F0740" w:rsidP="00AA79C4">
          <w:pPr>
            <w:spacing w:line="240" w:lineRule="auto"/>
          </w:pPr>
          <w:r>
            <w:t xml:space="preserve">Chapter </w:t>
          </w:r>
          <w:r w:rsidR="008A0A1B">
            <w:t>4</w:t>
          </w:r>
        </w:p>
      </w:tc>
      <w:tc>
        <w:tcPr>
          <w:tcW w:w="9526" w:type="dxa"/>
        </w:tcPr>
        <w:p w14:paraId="057E9D9A" w14:textId="0A3C0D5B" w:rsidR="002F0740" w:rsidRPr="00D0296C" w:rsidRDefault="0075097F" w:rsidP="00AA79C4">
          <w:pPr>
            <w:spacing w:line="240" w:lineRule="auto"/>
            <w:jc w:val="right"/>
          </w:pPr>
          <w:r>
            <w:t xml:space="preserve">Phase 1 – </w:t>
          </w:r>
          <w:r w:rsidRPr="00753E7F">
            <w:t xml:space="preserve">Systematic </w:t>
          </w:r>
          <w:r>
            <w:t>r</w:t>
          </w:r>
          <w:r w:rsidRPr="00753E7F">
            <w:t>eview</w:t>
          </w:r>
        </w:p>
      </w:tc>
    </w:tr>
  </w:tbl>
  <w:p w14:paraId="34154F9D" w14:textId="77777777" w:rsidR="002F0740" w:rsidRPr="005676C7" w:rsidRDefault="002F0740" w:rsidP="00B425C5">
    <w:pPr>
      <w:spacing w:after="12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F0740" w:rsidRPr="00D0296C" w14:paraId="0942D622" w14:textId="77777777" w:rsidTr="009738C7">
      <w:trPr>
        <w:trHeight w:val="79"/>
      </w:trPr>
      <w:tc>
        <w:tcPr>
          <w:tcW w:w="4508" w:type="dxa"/>
        </w:tcPr>
        <w:p w14:paraId="6E34CFBC" w14:textId="166A28D0" w:rsidR="002F0740" w:rsidRPr="00D0296C" w:rsidRDefault="002F0740" w:rsidP="00576CD7">
          <w:pPr>
            <w:spacing w:line="240" w:lineRule="auto"/>
          </w:pPr>
          <w:r>
            <w:t xml:space="preserve">Chapter </w:t>
          </w:r>
          <w:r w:rsidR="008A0A1B">
            <w:t>4</w:t>
          </w:r>
        </w:p>
      </w:tc>
      <w:tc>
        <w:tcPr>
          <w:tcW w:w="4564" w:type="dxa"/>
        </w:tcPr>
        <w:p w14:paraId="7B12548E" w14:textId="2C84FA9F" w:rsidR="002F0740" w:rsidRPr="00D0296C" w:rsidRDefault="0075097F" w:rsidP="00576CD7">
          <w:pPr>
            <w:spacing w:line="240" w:lineRule="auto"/>
            <w:jc w:val="right"/>
          </w:pPr>
          <w:r>
            <w:t xml:space="preserve">Phase 1 – </w:t>
          </w:r>
          <w:r w:rsidRPr="00753E7F">
            <w:t xml:space="preserve">Systematic </w:t>
          </w:r>
          <w:r>
            <w:t>r</w:t>
          </w:r>
          <w:r w:rsidRPr="00753E7F">
            <w:t>eview</w:t>
          </w:r>
        </w:p>
      </w:tc>
    </w:tr>
  </w:tbl>
  <w:p w14:paraId="641D8448" w14:textId="77777777" w:rsidR="002F0740" w:rsidRPr="00D0296C" w:rsidRDefault="002F0740" w:rsidP="00B425C5">
    <w:pPr>
      <w:pStyle w:val="Header"/>
      <w:spacing w:after="120" w:line="36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034"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526"/>
    </w:tblGrid>
    <w:tr w:rsidR="002F0740" w:rsidRPr="00D0296C" w14:paraId="58E7DF78" w14:textId="77777777" w:rsidTr="00A9639D">
      <w:trPr>
        <w:trHeight w:val="79"/>
      </w:trPr>
      <w:tc>
        <w:tcPr>
          <w:tcW w:w="4508" w:type="dxa"/>
        </w:tcPr>
        <w:p w14:paraId="5898AC6B" w14:textId="475983DD" w:rsidR="002F0740" w:rsidRPr="00D0296C" w:rsidRDefault="002F0740" w:rsidP="00576CD7">
          <w:pPr>
            <w:spacing w:line="240" w:lineRule="auto"/>
          </w:pPr>
          <w:r>
            <w:t xml:space="preserve">Chapter </w:t>
          </w:r>
          <w:r w:rsidR="008A0A1B">
            <w:t>4</w:t>
          </w:r>
        </w:p>
      </w:tc>
      <w:tc>
        <w:tcPr>
          <w:tcW w:w="9526" w:type="dxa"/>
        </w:tcPr>
        <w:p w14:paraId="741B5DBC" w14:textId="4B5808F2" w:rsidR="002F0740" w:rsidRPr="00D0296C" w:rsidRDefault="0075097F" w:rsidP="00576CD7">
          <w:pPr>
            <w:spacing w:line="240" w:lineRule="auto"/>
            <w:jc w:val="right"/>
          </w:pPr>
          <w:r>
            <w:t xml:space="preserve">Phase 1 – </w:t>
          </w:r>
          <w:r w:rsidRPr="00753E7F">
            <w:t xml:space="preserve">Systematic </w:t>
          </w:r>
          <w:r>
            <w:t>r</w:t>
          </w:r>
          <w:r w:rsidRPr="00753E7F">
            <w:t>eview</w:t>
          </w:r>
        </w:p>
      </w:tc>
    </w:tr>
  </w:tbl>
  <w:p w14:paraId="5274E745" w14:textId="77777777" w:rsidR="002F0740" w:rsidRPr="00D0296C" w:rsidRDefault="002F0740" w:rsidP="00B425C5">
    <w:pPr>
      <w:pStyle w:val="Header"/>
      <w:spacing w:after="120" w:line="36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F0740" w:rsidRPr="00D0296C" w14:paraId="42943D61" w14:textId="77777777" w:rsidTr="00A9639D">
      <w:trPr>
        <w:trHeight w:val="79"/>
      </w:trPr>
      <w:tc>
        <w:tcPr>
          <w:tcW w:w="4508" w:type="dxa"/>
        </w:tcPr>
        <w:p w14:paraId="47A35561" w14:textId="249C5B6C" w:rsidR="002F0740" w:rsidRPr="00D0296C" w:rsidRDefault="002F0740" w:rsidP="003860CA">
          <w:pPr>
            <w:spacing w:line="240" w:lineRule="auto"/>
          </w:pPr>
          <w:r>
            <w:t xml:space="preserve">Chapter </w:t>
          </w:r>
          <w:r w:rsidR="008A0A1B">
            <w:t>4</w:t>
          </w:r>
        </w:p>
      </w:tc>
      <w:tc>
        <w:tcPr>
          <w:tcW w:w="4564" w:type="dxa"/>
        </w:tcPr>
        <w:p w14:paraId="600F35EA" w14:textId="65C29E5C" w:rsidR="002F0740" w:rsidRPr="00D0296C" w:rsidRDefault="0075097F" w:rsidP="003860CA">
          <w:pPr>
            <w:spacing w:line="240" w:lineRule="auto"/>
            <w:jc w:val="right"/>
          </w:pPr>
          <w:r>
            <w:t xml:space="preserve">Phase 1 – </w:t>
          </w:r>
          <w:r w:rsidRPr="00753E7F">
            <w:t xml:space="preserve">Systematic </w:t>
          </w:r>
          <w:r>
            <w:t>r</w:t>
          </w:r>
          <w:r w:rsidRPr="00753E7F">
            <w:t>eview</w:t>
          </w:r>
        </w:p>
      </w:tc>
    </w:tr>
  </w:tbl>
  <w:p w14:paraId="4C03973E" w14:textId="77777777" w:rsidR="002F0740" w:rsidRPr="00D0296C" w:rsidRDefault="002F0740" w:rsidP="00B425C5">
    <w:pPr>
      <w:pStyle w:val="Header"/>
      <w:spacing w:after="120" w:line="36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876C67" w:rsidRPr="00D0296C" w14:paraId="33161E75" w14:textId="77777777" w:rsidTr="00BD586A">
      <w:trPr>
        <w:trHeight w:val="79"/>
      </w:trPr>
      <w:tc>
        <w:tcPr>
          <w:tcW w:w="4508" w:type="dxa"/>
        </w:tcPr>
        <w:p w14:paraId="081CF847" w14:textId="735F3E5A" w:rsidR="00876C67" w:rsidRPr="00D0296C" w:rsidRDefault="00876C67" w:rsidP="00876C67">
          <w:pPr>
            <w:spacing w:line="240" w:lineRule="auto"/>
          </w:pPr>
          <w:r>
            <w:t>Chapter 5</w:t>
          </w:r>
        </w:p>
      </w:tc>
      <w:tc>
        <w:tcPr>
          <w:tcW w:w="4564" w:type="dxa"/>
        </w:tcPr>
        <w:p w14:paraId="5A6D6DB2" w14:textId="21A96849" w:rsidR="00876C67" w:rsidRPr="00D0296C" w:rsidRDefault="0075097F" w:rsidP="00876C67">
          <w:pPr>
            <w:spacing w:line="240" w:lineRule="auto"/>
            <w:jc w:val="right"/>
          </w:pPr>
          <w:r>
            <w:t>Phase 2 – Analysis of registry data</w:t>
          </w:r>
        </w:p>
      </w:tc>
    </w:tr>
  </w:tbl>
  <w:p w14:paraId="51DA5376" w14:textId="77777777" w:rsidR="00331AB4" w:rsidRPr="00876C67" w:rsidRDefault="00331AB4" w:rsidP="00B425C5">
    <w:pPr>
      <w:pStyle w:val="Header"/>
      <w:spacing w:after="120" w:line="36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52"/>
      <w:gridCol w:w="6520"/>
    </w:tblGrid>
    <w:tr w:rsidR="00D068AB" w:rsidRPr="00D0296C" w14:paraId="22C91D69" w14:textId="77777777" w:rsidTr="0075097F">
      <w:trPr>
        <w:trHeight w:val="79"/>
      </w:trPr>
      <w:tc>
        <w:tcPr>
          <w:tcW w:w="2552" w:type="dxa"/>
        </w:tcPr>
        <w:p w14:paraId="60A5276A" w14:textId="62BAC467" w:rsidR="00D068AB" w:rsidRPr="00D0296C" w:rsidRDefault="00D068AB" w:rsidP="00EE2A09">
          <w:pPr>
            <w:spacing w:line="240" w:lineRule="auto"/>
          </w:pPr>
          <w:r>
            <w:t xml:space="preserve">Chapter </w:t>
          </w:r>
          <w:r w:rsidR="00625376">
            <w:t>5</w:t>
          </w:r>
        </w:p>
      </w:tc>
      <w:tc>
        <w:tcPr>
          <w:tcW w:w="6520" w:type="dxa"/>
        </w:tcPr>
        <w:p w14:paraId="3AE5F3DC" w14:textId="79A7F2C7" w:rsidR="00D068AB" w:rsidRPr="00D0296C" w:rsidRDefault="00625376" w:rsidP="00EE2A09">
          <w:pPr>
            <w:spacing w:line="240" w:lineRule="auto"/>
            <w:jc w:val="right"/>
          </w:pPr>
          <w:r>
            <w:t>Phase 2 – Analysis of registry data</w:t>
          </w:r>
        </w:p>
      </w:tc>
    </w:tr>
  </w:tbl>
  <w:p w14:paraId="1879FA7F" w14:textId="77777777" w:rsidR="00D068AB" w:rsidRPr="00EE2A09" w:rsidRDefault="00D068AB" w:rsidP="00B425C5">
    <w:pPr>
      <w:pStyle w:val="Header"/>
      <w:spacing w:after="120" w:line="36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52"/>
      <w:gridCol w:w="6520"/>
    </w:tblGrid>
    <w:tr w:rsidR="00213B32" w:rsidRPr="00D0296C" w14:paraId="210A2EEE" w14:textId="77777777" w:rsidTr="0075097F">
      <w:trPr>
        <w:trHeight w:val="79"/>
      </w:trPr>
      <w:tc>
        <w:tcPr>
          <w:tcW w:w="2552" w:type="dxa"/>
        </w:tcPr>
        <w:p w14:paraId="6854D6E1" w14:textId="4614F924" w:rsidR="00213B32" w:rsidRPr="00D0296C" w:rsidRDefault="00213B32" w:rsidP="00EE2A09">
          <w:pPr>
            <w:spacing w:line="240" w:lineRule="auto"/>
          </w:pPr>
          <w:r>
            <w:t>Chapter 6</w:t>
          </w:r>
        </w:p>
      </w:tc>
      <w:tc>
        <w:tcPr>
          <w:tcW w:w="6520" w:type="dxa"/>
        </w:tcPr>
        <w:p w14:paraId="19C476B1" w14:textId="603A50B4" w:rsidR="00213B32" w:rsidRPr="00D0296C" w:rsidRDefault="00213B32" w:rsidP="00EE2A09">
          <w:pPr>
            <w:spacing w:line="240" w:lineRule="auto"/>
            <w:jc w:val="right"/>
          </w:pPr>
          <w:r>
            <w:t>Phase 3 – Multiple case study: variation between centres</w:t>
          </w:r>
        </w:p>
      </w:tc>
    </w:tr>
  </w:tbl>
  <w:p w14:paraId="1EB73701" w14:textId="77777777" w:rsidR="00213B32" w:rsidRPr="00EE2A09" w:rsidRDefault="00213B32" w:rsidP="00B425C5">
    <w:pPr>
      <w:pStyle w:val="Header"/>
      <w:spacing w:after="12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3376C" w:rsidRPr="00D0296C" w14:paraId="5A348E07" w14:textId="77777777" w:rsidTr="00DD388F">
      <w:trPr>
        <w:trHeight w:val="79"/>
      </w:trPr>
      <w:tc>
        <w:tcPr>
          <w:tcW w:w="4508" w:type="dxa"/>
        </w:tcPr>
        <w:p w14:paraId="4D656DB4" w14:textId="75BD656D" w:rsidR="0023376C" w:rsidRPr="00D0296C" w:rsidRDefault="0029797A" w:rsidP="00AA79C4">
          <w:pPr>
            <w:spacing w:line="240" w:lineRule="auto"/>
          </w:pPr>
          <w:r>
            <w:t>Front matter</w:t>
          </w:r>
        </w:p>
      </w:tc>
      <w:tc>
        <w:tcPr>
          <w:tcW w:w="4564" w:type="dxa"/>
        </w:tcPr>
        <w:p w14:paraId="472E670F" w14:textId="7DE8F929" w:rsidR="0023376C" w:rsidRPr="00D0296C" w:rsidRDefault="0023376C" w:rsidP="00AA79C4">
          <w:pPr>
            <w:spacing w:line="240" w:lineRule="auto"/>
            <w:jc w:val="right"/>
          </w:pPr>
        </w:p>
      </w:tc>
    </w:tr>
  </w:tbl>
  <w:p w14:paraId="2D398BBE" w14:textId="77777777" w:rsidR="0023376C" w:rsidRPr="00D0296C" w:rsidRDefault="0023376C" w:rsidP="001D0B38">
    <w:pPr>
      <w:pStyle w:val="Header"/>
      <w:spacing w:after="120" w:line="36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261"/>
      <w:gridCol w:w="5811"/>
    </w:tblGrid>
    <w:tr w:rsidR="00C45257" w:rsidRPr="00D0296C" w14:paraId="6C308151" w14:textId="77777777" w:rsidTr="0075097F">
      <w:trPr>
        <w:trHeight w:val="79"/>
      </w:trPr>
      <w:tc>
        <w:tcPr>
          <w:tcW w:w="3261" w:type="dxa"/>
        </w:tcPr>
        <w:p w14:paraId="1E552E73" w14:textId="77777777" w:rsidR="00C45257" w:rsidRPr="00D0296C" w:rsidRDefault="00C45257" w:rsidP="00EE2A09">
          <w:pPr>
            <w:spacing w:line="240" w:lineRule="auto"/>
          </w:pPr>
          <w:r>
            <w:t>Chapter 6</w:t>
          </w:r>
        </w:p>
      </w:tc>
      <w:tc>
        <w:tcPr>
          <w:tcW w:w="5811" w:type="dxa"/>
        </w:tcPr>
        <w:p w14:paraId="44E3A4A7" w14:textId="0DB962C4" w:rsidR="00C45257" w:rsidRPr="00D0296C" w:rsidRDefault="0075097F" w:rsidP="00EE2A09">
          <w:pPr>
            <w:spacing w:line="240" w:lineRule="auto"/>
            <w:jc w:val="right"/>
          </w:pPr>
          <w:r>
            <w:t>Phase 3 – Multiple case study: variation between centres</w:t>
          </w:r>
        </w:p>
      </w:tc>
    </w:tr>
  </w:tbl>
  <w:p w14:paraId="1BDDFAC9" w14:textId="77777777" w:rsidR="00C45257" w:rsidRPr="00EE2A09" w:rsidRDefault="00C45257" w:rsidP="00B425C5">
    <w:pPr>
      <w:pStyle w:val="Header"/>
      <w:spacing w:after="120" w:line="36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835"/>
      <w:gridCol w:w="6237"/>
    </w:tblGrid>
    <w:tr w:rsidR="003A5753" w:rsidRPr="00D0296C" w14:paraId="34EB14C9" w14:textId="77777777" w:rsidTr="0075097F">
      <w:trPr>
        <w:trHeight w:val="79"/>
      </w:trPr>
      <w:tc>
        <w:tcPr>
          <w:tcW w:w="2835" w:type="dxa"/>
        </w:tcPr>
        <w:p w14:paraId="3DD33C48" w14:textId="2BB58263" w:rsidR="003A5753" w:rsidRPr="00D0296C" w:rsidRDefault="003A5753" w:rsidP="00AA79C4">
          <w:pPr>
            <w:spacing w:line="240" w:lineRule="auto"/>
          </w:pPr>
          <w:r>
            <w:t>Chapter 6</w:t>
          </w:r>
        </w:p>
      </w:tc>
      <w:tc>
        <w:tcPr>
          <w:tcW w:w="6237" w:type="dxa"/>
        </w:tcPr>
        <w:p w14:paraId="6BBC613B" w14:textId="43A05530" w:rsidR="003A5753" w:rsidRPr="00D0296C" w:rsidRDefault="0075097F" w:rsidP="00AA79C4">
          <w:pPr>
            <w:spacing w:line="240" w:lineRule="auto"/>
            <w:jc w:val="right"/>
          </w:pPr>
          <w:r>
            <w:t>Phase 3 – Multiple case study: variation between centres</w:t>
          </w:r>
        </w:p>
      </w:tc>
    </w:tr>
  </w:tbl>
  <w:p w14:paraId="398942B4" w14:textId="77777777" w:rsidR="003A5753" w:rsidRPr="005676C7" w:rsidRDefault="003A5753" w:rsidP="005A7D52">
    <w:pPr>
      <w:spacing w:after="120" w:line="24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C45257" w:rsidRPr="00D0296C" w14:paraId="7907E63B" w14:textId="77777777" w:rsidTr="00C45257">
      <w:trPr>
        <w:trHeight w:val="79"/>
      </w:trPr>
      <w:tc>
        <w:tcPr>
          <w:tcW w:w="4508" w:type="dxa"/>
        </w:tcPr>
        <w:p w14:paraId="1960BEF7" w14:textId="77777777" w:rsidR="00C45257" w:rsidRPr="00D0296C" w:rsidRDefault="00C45257" w:rsidP="00EE2A09">
          <w:pPr>
            <w:spacing w:line="240" w:lineRule="auto"/>
          </w:pPr>
          <w:r>
            <w:t>Chapter 6</w:t>
          </w:r>
        </w:p>
      </w:tc>
      <w:tc>
        <w:tcPr>
          <w:tcW w:w="9384" w:type="dxa"/>
        </w:tcPr>
        <w:p w14:paraId="2F8AC081" w14:textId="53E116BE" w:rsidR="00C45257" w:rsidRPr="00D0296C" w:rsidRDefault="0075097F" w:rsidP="00EE2A09">
          <w:pPr>
            <w:spacing w:line="240" w:lineRule="auto"/>
            <w:jc w:val="right"/>
          </w:pPr>
          <w:r>
            <w:t>Phase 3 – Multiple case study: variation between centres</w:t>
          </w:r>
        </w:p>
      </w:tc>
    </w:tr>
  </w:tbl>
  <w:p w14:paraId="3F186FAD" w14:textId="77777777" w:rsidR="00C45257" w:rsidRPr="00EE2A09" w:rsidRDefault="00C45257" w:rsidP="00B425C5">
    <w:pPr>
      <w:pStyle w:val="Header"/>
      <w:spacing w:after="120" w:line="36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52"/>
      <w:gridCol w:w="6520"/>
    </w:tblGrid>
    <w:tr w:rsidR="00C45257" w:rsidRPr="00D0296C" w14:paraId="21E8A31F" w14:textId="77777777" w:rsidTr="0075097F">
      <w:trPr>
        <w:trHeight w:val="79"/>
      </w:trPr>
      <w:tc>
        <w:tcPr>
          <w:tcW w:w="2552" w:type="dxa"/>
        </w:tcPr>
        <w:p w14:paraId="7704D37E" w14:textId="77777777" w:rsidR="00C45257" w:rsidRPr="00D0296C" w:rsidRDefault="00C45257" w:rsidP="00EE2A09">
          <w:pPr>
            <w:spacing w:line="240" w:lineRule="auto"/>
          </w:pPr>
          <w:r>
            <w:t>Chapter 6</w:t>
          </w:r>
        </w:p>
      </w:tc>
      <w:tc>
        <w:tcPr>
          <w:tcW w:w="6520" w:type="dxa"/>
        </w:tcPr>
        <w:p w14:paraId="0F3290C6" w14:textId="0DF90419" w:rsidR="00C45257" w:rsidRPr="00D0296C" w:rsidRDefault="0075097F" w:rsidP="00EE2A09">
          <w:pPr>
            <w:spacing w:line="240" w:lineRule="auto"/>
            <w:jc w:val="right"/>
          </w:pPr>
          <w:r>
            <w:t>Phase 3 – Multiple case study: variation between centres</w:t>
          </w:r>
        </w:p>
      </w:tc>
    </w:tr>
  </w:tbl>
  <w:p w14:paraId="74C68FA9" w14:textId="77777777" w:rsidR="00C45257" w:rsidRPr="00EE2A09" w:rsidRDefault="00C45257" w:rsidP="00B425C5">
    <w:pPr>
      <w:pStyle w:val="Header"/>
      <w:spacing w:after="120" w:line="360"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667"/>
    </w:tblGrid>
    <w:tr w:rsidR="00EA11DA" w:rsidRPr="00D0296C" w14:paraId="05AE15D1" w14:textId="77777777" w:rsidTr="00AA5057">
      <w:trPr>
        <w:trHeight w:val="79"/>
      </w:trPr>
      <w:tc>
        <w:tcPr>
          <w:tcW w:w="4508" w:type="dxa"/>
        </w:tcPr>
        <w:p w14:paraId="0F9918F6" w14:textId="77777777" w:rsidR="00EA11DA" w:rsidRPr="00D0296C" w:rsidRDefault="00EA11DA" w:rsidP="00EE2A09">
          <w:pPr>
            <w:spacing w:line="240" w:lineRule="auto"/>
          </w:pPr>
          <w:r>
            <w:t>Chapter 6</w:t>
          </w:r>
        </w:p>
      </w:tc>
      <w:tc>
        <w:tcPr>
          <w:tcW w:w="9667" w:type="dxa"/>
        </w:tcPr>
        <w:p w14:paraId="7F5F4A30" w14:textId="7BCE2206" w:rsidR="00EA11DA" w:rsidRPr="00D0296C" w:rsidRDefault="0075097F" w:rsidP="00EE2A09">
          <w:pPr>
            <w:spacing w:line="240" w:lineRule="auto"/>
            <w:jc w:val="right"/>
          </w:pPr>
          <w:r>
            <w:t>Phase 3 – Multiple case study: variation between centres</w:t>
          </w:r>
        </w:p>
      </w:tc>
    </w:tr>
  </w:tbl>
  <w:p w14:paraId="0287A881" w14:textId="77777777" w:rsidR="00EA11DA" w:rsidRPr="00EE2A09" w:rsidRDefault="00EA11DA" w:rsidP="00B425C5">
    <w:pPr>
      <w:pStyle w:val="Header"/>
      <w:spacing w:after="120" w:line="360"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EA11DA" w:rsidRPr="00D0296C" w14:paraId="68D62500" w14:textId="77777777" w:rsidTr="0075097F">
      <w:trPr>
        <w:trHeight w:val="79"/>
      </w:trPr>
      <w:tc>
        <w:tcPr>
          <w:tcW w:w="3402" w:type="dxa"/>
        </w:tcPr>
        <w:p w14:paraId="0D047E02" w14:textId="77777777" w:rsidR="00EA11DA" w:rsidRPr="00D0296C" w:rsidRDefault="00EA11DA" w:rsidP="00EE2A09">
          <w:pPr>
            <w:spacing w:line="240" w:lineRule="auto"/>
          </w:pPr>
          <w:r>
            <w:t>Chapter 6</w:t>
          </w:r>
        </w:p>
      </w:tc>
      <w:tc>
        <w:tcPr>
          <w:tcW w:w="5670" w:type="dxa"/>
        </w:tcPr>
        <w:p w14:paraId="0062C96E" w14:textId="7CD94E74" w:rsidR="00EA11DA" w:rsidRPr="00D0296C" w:rsidRDefault="0075097F" w:rsidP="00EE2A09">
          <w:pPr>
            <w:spacing w:line="240" w:lineRule="auto"/>
            <w:jc w:val="right"/>
          </w:pPr>
          <w:r>
            <w:t>Phase 3 – Multiple case study: variation between centres</w:t>
          </w:r>
        </w:p>
      </w:tc>
    </w:tr>
  </w:tbl>
  <w:p w14:paraId="7A565900" w14:textId="77777777" w:rsidR="00EA11DA" w:rsidRPr="00EE2A09" w:rsidRDefault="00EA11DA" w:rsidP="00B425C5">
    <w:pPr>
      <w:pStyle w:val="Header"/>
      <w:spacing w:after="120" w:line="360"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667"/>
    </w:tblGrid>
    <w:tr w:rsidR="00335733" w:rsidRPr="00D0296C" w14:paraId="64DC67BE" w14:textId="77777777" w:rsidTr="00AA5057">
      <w:trPr>
        <w:trHeight w:val="79"/>
      </w:trPr>
      <w:tc>
        <w:tcPr>
          <w:tcW w:w="4508" w:type="dxa"/>
        </w:tcPr>
        <w:p w14:paraId="7FF808C7" w14:textId="77777777" w:rsidR="00335733" w:rsidRPr="00D0296C" w:rsidRDefault="00335733" w:rsidP="00EE2A09">
          <w:pPr>
            <w:spacing w:line="240" w:lineRule="auto"/>
          </w:pPr>
          <w:r>
            <w:t>Chapter 6</w:t>
          </w:r>
        </w:p>
      </w:tc>
      <w:tc>
        <w:tcPr>
          <w:tcW w:w="9667" w:type="dxa"/>
        </w:tcPr>
        <w:p w14:paraId="6975BCE4" w14:textId="57F07E53" w:rsidR="00335733" w:rsidRPr="00D0296C" w:rsidRDefault="00DC743C" w:rsidP="00EE2A09">
          <w:pPr>
            <w:spacing w:line="240" w:lineRule="auto"/>
            <w:jc w:val="right"/>
          </w:pPr>
          <w:r>
            <w:t>Phase 3 – Multiple case study: variation between centres</w:t>
          </w:r>
        </w:p>
      </w:tc>
    </w:tr>
  </w:tbl>
  <w:p w14:paraId="7684D9F5" w14:textId="77777777" w:rsidR="00335733" w:rsidRPr="00EE2A09" w:rsidRDefault="00335733" w:rsidP="00B425C5">
    <w:pPr>
      <w:pStyle w:val="Header"/>
      <w:spacing w:after="120" w:line="360"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A902F5" w:rsidRPr="00D0296C" w14:paraId="1D3DA775" w14:textId="77777777" w:rsidTr="002D6123">
      <w:trPr>
        <w:trHeight w:val="79"/>
      </w:trPr>
      <w:tc>
        <w:tcPr>
          <w:tcW w:w="1560" w:type="dxa"/>
        </w:tcPr>
        <w:p w14:paraId="01FD5F50" w14:textId="0F4F3562" w:rsidR="00A902F5" w:rsidRPr="00D0296C" w:rsidRDefault="00A902F5" w:rsidP="00EE2A09">
          <w:pPr>
            <w:spacing w:line="240" w:lineRule="auto"/>
          </w:pPr>
          <w:r>
            <w:t xml:space="preserve">Chapter </w:t>
          </w:r>
          <w:r w:rsidR="006C5276">
            <w:t>6</w:t>
          </w:r>
        </w:p>
      </w:tc>
      <w:tc>
        <w:tcPr>
          <w:tcW w:w="7512" w:type="dxa"/>
        </w:tcPr>
        <w:p w14:paraId="703E3329" w14:textId="3C22F407" w:rsidR="00A902F5" w:rsidRPr="00D0296C" w:rsidRDefault="006C5276" w:rsidP="00EE2A09">
          <w:pPr>
            <w:spacing w:line="240" w:lineRule="auto"/>
            <w:jc w:val="right"/>
          </w:pPr>
          <w:r>
            <w:t>Phase 3 – Multiple case study: variation between centres</w:t>
          </w:r>
        </w:p>
      </w:tc>
    </w:tr>
  </w:tbl>
  <w:p w14:paraId="614DEBC6" w14:textId="77777777" w:rsidR="00A902F5" w:rsidRPr="00EE2A09" w:rsidRDefault="00A902F5" w:rsidP="00B425C5">
    <w:pPr>
      <w:pStyle w:val="Header"/>
      <w:spacing w:after="120" w:line="360" w:lineRule="aut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E11308" w:rsidRPr="00D0296C" w14:paraId="4C064148" w14:textId="77777777" w:rsidTr="002D6123">
      <w:trPr>
        <w:trHeight w:val="79"/>
      </w:trPr>
      <w:tc>
        <w:tcPr>
          <w:tcW w:w="1560" w:type="dxa"/>
        </w:tcPr>
        <w:p w14:paraId="7ACF2FB2" w14:textId="2D328453" w:rsidR="00E11308" w:rsidRPr="00D0296C" w:rsidRDefault="00E11308" w:rsidP="00EE2A09">
          <w:pPr>
            <w:spacing w:line="240" w:lineRule="auto"/>
          </w:pPr>
          <w:r>
            <w:t>Chapter 7</w:t>
          </w:r>
        </w:p>
      </w:tc>
      <w:tc>
        <w:tcPr>
          <w:tcW w:w="7512" w:type="dxa"/>
        </w:tcPr>
        <w:p w14:paraId="7965A8B6" w14:textId="5CE855A2" w:rsidR="00E11308" w:rsidRPr="00D0296C" w:rsidRDefault="00E11308" w:rsidP="00EE2A09">
          <w:pPr>
            <w:spacing w:line="240" w:lineRule="auto"/>
            <w:jc w:val="right"/>
          </w:pPr>
          <w:r>
            <w:t>Phase 3 – Multiple case study: conceptual model in rare diseases</w:t>
          </w:r>
        </w:p>
      </w:tc>
    </w:tr>
  </w:tbl>
  <w:p w14:paraId="2703480A" w14:textId="77777777" w:rsidR="00E11308" w:rsidRPr="00EE2A09" w:rsidRDefault="00E11308" w:rsidP="00B425C5">
    <w:pPr>
      <w:pStyle w:val="Header"/>
      <w:spacing w:after="120" w:line="360"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364E09" w:rsidRPr="00D0296C" w14:paraId="25AB6A07" w14:textId="77777777" w:rsidTr="0082332F">
      <w:trPr>
        <w:trHeight w:val="79"/>
      </w:trPr>
      <w:tc>
        <w:tcPr>
          <w:tcW w:w="4508" w:type="dxa"/>
        </w:tcPr>
        <w:p w14:paraId="71BA39B1" w14:textId="44596A14" w:rsidR="00364E09" w:rsidRPr="00D0296C" w:rsidRDefault="00364E09" w:rsidP="00EE2A09">
          <w:pPr>
            <w:spacing w:line="240" w:lineRule="auto"/>
          </w:pPr>
          <w:r>
            <w:t>Chapter 7</w:t>
          </w:r>
        </w:p>
      </w:tc>
      <w:tc>
        <w:tcPr>
          <w:tcW w:w="9384" w:type="dxa"/>
        </w:tcPr>
        <w:p w14:paraId="1044422D" w14:textId="659E891F" w:rsidR="00364E09" w:rsidRPr="00D0296C" w:rsidRDefault="00EA74DC" w:rsidP="00EE2A09">
          <w:pPr>
            <w:spacing w:line="240" w:lineRule="auto"/>
            <w:jc w:val="right"/>
          </w:pPr>
          <w:r>
            <w:t xml:space="preserve">Phase 3 – Multiple case study: conceptual model </w:t>
          </w:r>
          <w:r w:rsidR="00C33CF7">
            <w:t>in</w:t>
          </w:r>
          <w:r>
            <w:t xml:space="preserve"> rare diseases</w:t>
          </w:r>
        </w:p>
      </w:tc>
    </w:tr>
  </w:tbl>
  <w:p w14:paraId="3C0F526E" w14:textId="77777777" w:rsidR="00364E09" w:rsidRPr="00EE2A09" w:rsidRDefault="00364E09" w:rsidP="00D508D9">
    <w:pPr>
      <w:pStyle w:val="Header"/>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9797A" w:rsidRPr="00D0296C" w14:paraId="2F6202C7" w14:textId="77777777" w:rsidTr="00DD388F">
      <w:trPr>
        <w:trHeight w:val="79"/>
      </w:trPr>
      <w:tc>
        <w:tcPr>
          <w:tcW w:w="4508" w:type="dxa"/>
        </w:tcPr>
        <w:p w14:paraId="482DE913" w14:textId="77777777" w:rsidR="0029797A" w:rsidRPr="00D0296C" w:rsidRDefault="0029797A" w:rsidP="00AA79C4">
          <w:pPr>
            <w:spacing w:line="240" w:lineRule="auto"/>
          </w:pPr>
          <w:r>
            <w:t>Chapter 1</w:t>
          </w:r>
        </w:p>
      </w:tc>
      <w:tc>
        <w:tcPr>
          <w:tcW w:w="4564" w:type="dxa"/>
        </w:tcPr>
        <w:p w14:paraId="24536BF9" w14:textId="77777777" w:rsidR="0029797A" w:rsidRPr="00D0296C" w:rsidRDefault="0029797A" w:rsidP="00AA79C4">
          <w:pPr>
            <w:spacing w:line="240" w:lineRule="auto"/>
            <w:jc w:val="right"/>
          </w:pPr>
          <w:r>
            <w:t>Introduction</w:t>
          </w:r>
        </w:p>
      </w:tc>
    </w:tr>
  </w:tbl>
  <w:p w14:paraId="5E116588" w14:textId="77777777" w:rsidR="0029797A" w:rsidRPr="00D0296C" w:rsidRDefault="0029797A" w:rsidP="001D0B38">
    <w:pPr>
      <w:pStyle w:val="Header"/>
      <w:spacing w:after="120" w:line="360" w:lineRule="auto"/>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64E09" w:rsidRPr="00D0296C" w14:paraId="55EF66A6" w14:textId="77777777" w:rsidTr="00EA74DC">
      <w:trPr>
        <w:trHeight w:val="79"/>
      </w:trPr>
      <w:tc>
        <w:tcPr>
          <w:tcW w:w="2268" w:type="dxa"/>
        </w:tcPr>
        <w:p w14:paraId="56647C14" w14:textId="77777777" w:rsidR="00364E09" w:rsidRPr="00D0296C" w:rsidRDefault="00364E09" w:rsidP="00EE2A09">
          <w:pPr>
            <w:spacing w:line="240" w:lineRule="auto"/>
          </w:pPr>
          <w:r>
            <w:t>Chapter 7</w:t>
          </w:r>
        </w:p>
      </w:tc>
      <w:tc>
        <w:tcPr>
          <w:tcW w:w="6804" w:type="dxa"/>
        </w:tcPr>
        <w:p w14:paraId="67F8FC2E" w14:textId="53D5AB6B" w:rsidR="00364E09" w:rsidRPr="00D0296C" w:rsidRDefault="00EA74DC" w:rsidP="00EE2A09">
          <w:pPr>
            <w:spacing w:line="240" w:lineRule="auto"/>
            <w:jc w:val="right"/>
          </w:pPr>
          <w:r>
            <w:t xml:space="preserve">Phase 3 – Multiple case study: conceptual model </w:t>
          </w:r>
          <w:r w:rsidR="00C33CF7">
            <w:t>in</w:t>
          </w:r>
          <w:r>
            <w:t xml:space="preserve"> rare diseases</w:t>
          </w:r>
        </w:p>
      </w:tc>
    </w:tr>
  </w:tbl>
  <w:p w14:paraId="5C41C465" w14:textId="77777777" w:rsidR="00364E09" w:rsidRPr="00EE2A09" w:rsidRDefault="00364E09" w:rsidP="00B425C5">
    <w:pPr>
      <w:pStyle w:val="Header"/>
      <w:spacing w:after="120" w:line="360" w:lineRule="aut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667"/>
    </w:tblGrid>
    <w:tr w:rsidR="00374561" w:rsidRPr="00D0296C" w14:paraId="24410A33" w14:textId="77777777" w:rsidTr="008A1A9D">
      <w:trPr>
        <w:trHeight w:val="79"/>
      </w:trPr>
      <w:tc>
        <w:tcPr>
          <w:tcW w:w="4508" w:type="dxa"/>
        </w:tcPr>
        <w:p w14:paraId="5DDB2920" w14:textId="5767D129" w:rsidR="00374561" w:rsidRPr="00D0296C" w:rsidRDefault="00374561" w:rsidP="00374561">
          <w:pPr>
            <w:spacing w:line="240" w:lineRule="auto"/>
          </w:pPr>
          <w:r>
            <w:t>Chapter 7</w:t>
          </w:r>
        </w:p>
      </w:tc>
      <w:tc>
        <w:tcPr>
          <w:tcW w:w="9667" w:type="dxa"/>
        </w:tcPr>
        <w:p w14:paraId="3BC589B7" w14:textId="1AE80A5A" w:rsidR="00374561" w:rsidRPr="00D0296C" w:rsidRDefault="0039059C" w:rsidP="00374561">
          <w:pPr>
            <w:spacing w:line="240" w:lineRule="auto"/>
            <w:jc w:val="right"/>
          </w:pPr>
          <w:r>
            <w:t xml:space="preserve">Phase 3 – Multiple case study: conceptual model </w:t>
          </w:r>
          <w:r w:rsidR="00C33CF7">
            <w:t>in</w:t>
          </w:r>
          <w:r>
            <w:t xml:space="preserve"> rare diseases</w:t>
          </w:r>
        </w:p>
      </w:tc>
    </w:tr>
  </w:tbl>
  <w:p w14:paraId="46F622E8" w14:textId="77777777" w:rsidR="00E6381E" w:rsidRPr="00374561" w:rsidRDefault="00E6381E" w:rsidP="00B425C5">
    <w:pPr>
      <w:pStyle w:val="Header"/>
      <w:spacing w:after="120" w:line="360" w:lineRule="aut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82424E" w:rsidRPr="00D0296C" w14:paraId="7DD018AF" w14:textId="77777777" w:rsidTr="00162FC8">
      <w:trPr>
        <w:trHeight w:val="79"/>
      </w:trPr>
      <w:tc>
        <w:tcPr>
          <w:tcW w:w="2977" w:type="dxa"/>
        </w:tcPr>
        <w:p w14:paraId="05049CC6" w14:textId="4DFE6394" w:rsidR="0082424E" w:rsidRPr="00D0296C" w:rsidRDefault="0082424E" w:rsidP="0082424E">
          <w:pPr>
            <w:spacing w:line="240" w:lineRule="auto"/>
          </w:pPr>
          <w:r>
            <w:t xml:space="preserve">Chapter </w:t>
          </w:r>
          <w:r w:rsidR="00162FC8">
            <w:t>7</w:t>
          </w:r>
        </w:p>
      </w:tc>
      <w:tc>
        <w:tcPr>
          <w:tcW w:w="6095" w:type="dxa"/>
        </w:tcPr>
        <w:p w14:paraId="1CFF00D8" w14:textId="1A1DFD03" w:rsidR="0082424E" w:rsidRPr="00D0296C" w:rsidRDefault="00162FC8" w:rsidP="0082424E">
          <w:pPr>
            <w:spacing w:line="240" w:lineRule="auto"/>
            <w:jc w:val="right"/>
          </w:pPr>
          <w:r>
            <w:t>Phase 3 – Multiple case study: conceptual model in rare diseases</w:t>
          </w:r>
        </w:p>
      </w:tc>
    </w:tr>
  </w:tbl>
  <w:p w14:paraId="7C2C18DE" w14:textId="77777777" w:rsidR="0008220D" w:rsidRDefault="0008220D" w:rsidP="00B425C5">
    <w:pPr>
      <w:spacing w:after="12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A84291" w:rsidRPr="00D0296C" w14:paraId="01F4AC87" w14:textId="77777777" w:rsidTr="00162FC8">
      <w:trPr>
        <w:trHeight w:val="79"/>
      </w:trPr>
      <w:tc>
        <w:tcPr>
          <w:tcW w:w="2977" w:type="dxa"/>
        </w:tcPr>
        <w:p w14:paraId="02B7DB3F" w14:textId="5159F3C3" w:rsidR="00A84291" w:rsidRPr="00D0296C" w:rsidRDefault="00A84291" w:rsidP="0082424E">
          <w:pPr>
            <w:spacing w:line="240" w:lineRule="auto"/>
          </w:pPr>
          <w:r>
            <w:t>Chapter 8</w:t>
          </w:r>
        </w:p>
      </w:tc>
      <w:tc>
        <w:tcPr>
          <w:tcW w:w="6095" w:type="dxa"/>
        </w:tcPr>
        <w:p w14:paraId="6262C38C" w14:textId="26615BA2" w:rsidR="00A84291" w:rsidRPr="00D0296C" w:rsidRDefault="00A84291" w:rsidP="0082424E">
          <w:pPr>
            <w:spacing w:line="240" w:lineRule="auto"/>
            <w:jc w:val="right"/>
          </w:pPr>
          <w:r>
            <w:t>Phase 4 – National survey of clinical practice</w:t>
          </w:r>
        </w:p>
      </w:tc>
    </w:tr>
  </w:tbl>
  <w:p w14:paraId="228B7948" w14:textId="77777777" w:rsidR="00A84291" w:rsidRDefault="00A84291" w:rsidP="00B425C5">
    <w:pPr>
      <w:spacing w:after="12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B815EF" w:rsidRPr="00D0296C" w14:paraId="32FF1FA5" w14:textId="77777777" w:rsidTr="00162FC8">
      <w:trPr>
        <w:trHeight w:val="79"/>
      </w:trPr>
      <w:tc>
        <w:tcPr>
          <w:tcW w:w="2977" w:type="dxa"/>
        </w:tcPr>
        <w:p w14:paraId="0A998821" w14:textId="72F3DC96" w:rsidR="00B815EF" w:rsidRPr="00D0296C" w:rsidRDefault="00B815EF" w:rsidP="0082424E">
          <w:pPr>
            <w:spacing w:line="240" w:lineRule="auto"/>
          </w:pPr>
          <w:r>
            <w:t>Chapter 9</w:t>
          </w:r>
        </w:p>
      </w:tc>
      <w:tc>
        <w:tcPr>
          <w:tcW w:w="6095" w:type="dxa"/>
        </w:tcPr>
        <w:p w14:paraId="3F080D9D" w14:textId="47A84E9C" w:rsidR="00B815EF" w:rsidRPr="00D0296C" w:rsidRDefault="00B815EF" w:rsidP="0082424E">
          <w:pPr>
            <w:spacing w:line="240" w:lineRule="auto"/>
            <w:jc w:val="right"/>
          </w:pPr>
          <w:r>
            <w:t>Discussion</w:t>
          </w:r>
        </w:p>
      </w:tc>
    </w:tr>
  </w:tbl>
  <w:p w14:paraId="006DCE18" w14:textId="77777777" w:rsidR="00B815EF" w:rsidRDefault="00B815EF" w:rsidP="00B425C5">
    <w:pPr>
      <w:spacing w:after="12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5D7C16" w:rsidRPr="00D0296C" w14:paraId="6E2CBC0D" w14:textId="77777777" w:rsidTr="007B5D87">
      <w:trPr>
        <w:trHeight w:val="79"/>
      </w:trPr>
      <w:tc>
        <w:tcPr>
          <w:tcW w:w="4508" w:type="dxa"/>
        </w:tcPr>
        <w:p w14:paraId="173C1926" w14:textId="77777777" w:rsidR="005D7C16" w:rsidRPr="00D0296C" w:rsidRDefault="005D7C16" w:rsidP="0082424E">
          <w:pPr>
            <w:spacing w:line="240" w:lineRule="auto"/>
          </w:pPr>
          <w:r>
            <w:t>Chapter 9</w:t>
          </w:r>
        </w:p>
      </w:tc>
      <w:tc>
        <w:tcPr>
          <w:tcW w:w="9384" w:type="dxa"/>
        </w:tcPr>
        <w:p w14:paraId="779D7209" w14:textId="77777777" w:rsidR="005D7C16" w:rsidRPr="00D0296C" w:rsidRDefault="005D7C16" w:rsidP="0082424E">
          <w:pPr>
            <w:spacing w:line="240" w:lineRule="auto"/>
            <w:jc w:val="right"/>
          </w:pPr>
          <w:r>
            <w:t>Discussion</w:t>
          </w:r>
        </w:p>
      </w:tc>
    </w:tr>
  </w:tbl>
  <w:p w14:paraId="4537376F" w14:textId="1E541D98" w:rsidR="005D7C16" w:rsidRPr="0012505E" w:rsidRDefault="005D7C16" w:rsidP="00136525">
    <w:pPr>
      <w:tabs>
        <w:tab w:val="left" w:pos="3592"/>
      </w:tabs>
      <w:spacing w:after="0" w:line="240" w:lineRule="auto"/>
      <w:rPr>
        <w:sz w:val="11"/>
        <w:szCs w:val="11"/>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82424E" w:rsidRPr="00D0296C" w14:paraId="578B4514" w14:textId="77777777" w:rsidTr="00BD586A">
      <w:trPr>
        <w:trHeight w:val="79"/>
      </w:trPr>
      <w:tc>
        <w:tcPr>
          <w:tcW w:w="4508" w:type="dxa"/>
        </w:tcPr>
        <w:p w14:paraId="3501FBA3" w14:textId="2020C3BB" w:rsidR="0082424E" w:rsidRPr="00D0296C" w:rsidRDefault="00DF5836" w:rsidP="0082424E">
          <w:pPr>
            <w:spacing w:line="240" w:lineRule="auto"/>
          </w:pPr>
          <w:r>
            <w:t>Chapter 9</w:t>
          </w:r>
        </w:p>
      </w:tc>
      <w:tc>
        <w:tcPr>
          <w:tcW w:w="4564" w:type="dxa"/>
        </w:tcPr>
        <w:p w14:paraId="281F65A5" w14:textId="397FF985" w:rsidR="0082424E" w:rsidRPr="00D0296C" w:rsidRDefault="00DF5836" w:rsidP="0082424E">
          <w:pPr>
            <w:spacing w:line="240" w:lineRule="auto"/>
            <w:jc w:val="right"/>
          </w:pPr>
          <w:r>
            <w:t>Discussion</w:t>
          </w:r>
        </w:p>
      </w:tc>
    </w:tr>
  </w:tbl>
  <w:p w14:paraId="08BC6855" w14:textId="77777777" w:rsidR="008E258A" w:rsidRPr="0082424E" w:rsidRDefault="008E258A" w:rsidP="00B425C5">
    <w:pPr>
      <w:pStyle w:val="Header"/>
      <w:spacing w:after="120" w:line="360" w:lineRule="aut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DF5836" w:rsidRPr="00D0296C" w14:paraId="07061A24" w14:textId="77777777" w:rsidTr="00BD586A">
      <w:trPr>
        <w:trHeight w:val="79"/>
      </w:trPr>
      <w:tc>
        <w:tcPr>
          <w:tcW w:w="4508" w:type="dxa"/>
        </w:tcPr>
        <w:p w14:paraId="39F2C237" w14:textId="77777777" w:rsidR="00DF5836" w:rsidRPr="00D0296C" w:rsidRDefault="00DF5836" w:rsidP="0082424E">
          <w:pPr>
            <w:spacing w:line="240" w:lineRule="auto"/>
          </w:pPr>
          <w:r>
            <w:t>References</w:t>
          </w:r>
        </w:p>
      </w:tc>
      <w:tc>
        <w:tcPr>
          <w:tcW w:w="4564" w:type="dxa"/>
        </w:tcPr>
        <w:p w14:paraId="31117D71" w14:textId="77777777" w:rsidR="00DF5836" w:rsidRPr="00D0296C" w:rsidRDefault="00DF5836" w:rsidP="0082424E">
          <w:pPr>
            <w:spacing w:line="240" w:lineRule="auto"/>
            <w:jc w:val="right"/>
          </w:pPr>
        </w:p>
      </w:tc>
    </w:tr>
  </w:tbl>
  <w:p w14:paraId="10259280" w14:textId="77777777" w:rsidR="00DF5836" w:rsidRPr="0082424E" w:rsidRDefault="00DF5836" w:rsidP="00B425C5">
    <w:pPr>
      <w:pStyle w:val="Header"/>
      <w:spacing w:after="120" w:line="360" w:lineRule="aut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100573" w:rsidRPr="00D0296C" w14:paraId="3B9ADEAD" w14:textId="77777777" w:rsidTr="00100573">
      <w:trPr>
        <w:trHeight w:val="79"/>
      </w:trPr>
      <w:tc>
        <w:tcPr>
          <w:tcW w:w="4508" w:type="dxa"/>
        </w:tcPr>
        <w:p w14:paraId="2BCC66F5" w14:textId="77777777" w:rsidR="00100573" w:rsidRPr="00D0296C" w:rsidRDefault="00100573" w:rsidP="0087500D">
          <w:pPr>
            <w:spacing w:line="240" w:lineRule="auto"/>
          </w:pPr>
          <w:r>
            <w:t>Appendices</w:t>
          </w:r>
        </w:p>
      </w:tc>
      <w:tc>
        <w:tcPr>
          <w:tcW w:w="9384" w:type="dxa"/>
        </w:tcPr>
        <w:p w14:paraId="5B9699E5" w14:textId="77777777" w:rsidR="00100573" w:rsidRPr="00D0296C" w:rsidRDefault="00100573" w:rsidP="0087500D">
          <w:pPr>
            <w:spacing w:line="240" w:lineRule="auto"/>
            <w:jc w:val="right"/>
          </w:pPr>
        </w:p>
      </w:tc>
    </w:tr>
  </w:tbl>
  <w:p w14:paraId="3F5D6FAF" w14:textId="77777777" w:rsidR="00100573" w:rsidRPr="0087500D" w:rsidRDefault="00100573" w:rsidP="00B425C5">
    <w:pPr>
      <w:pStyle w:val="Header"/>
      <w:spacing w:after="120" w:line="360" w:lineRule="aut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87500D" w:rsidRPr="00D0296C" w14:paraId="7155DC3E" w14:textId="77777777" w:rsidTr="00BD586A">
      <w:trPr>
        <w:trHeight w:val="79"/>
      </w:trPr>
      <w:tc>
        <w:tcPr>
          <w:tcW w:w="4508" w:type="dxa"/>
        </w:tcPr>
        <w:p w14:paraId="7A45168D" w14:textId="7289A439" w:rsidR="0087500D" w:rsidRPr="00D0296C" w:rsidRDefault="0087500D" w:rsidP="0087500D">
          <w:pPr>
            <w:spacing w:line="240" w:lineRule="auto"/>
          </w:pPr>
          <w:r>
            <w:t>Appendices</w:t>
          </w:r>
        </w:p>
      </w:tc>
      <w:tc>
        <w:tcPr>
          <w:tcW w:w="4564" w:type="dxa"/>
        </w:tcPr>
        <w:p w14:paraId="477F1503" w14:textId="256E1459" w:rsidR="0087500D" w:rsidRPr="00D0296C" w:rsidRDefault="0087500D" w:rsidP="0087500D">
          <w:pPr>
            <w:spacing w:line="240" w:lineRule="auto"/>
            <w:jc w:val="right"/>
          </w:pPr>
        </w:p>
      </w:tc>
    </w:tr>
  </w:tbl>
  <w:p w14:paraId="2D661CE0" w14:textId="77777777" w:rsidR="0021525C" w:rsidRPr="0087500D" w:rsidRDefault="0021525C" w:rsidP="00B425C5">
    <w:pPr>
      <w:pStyle w:val="Header"/>
      <w:spacing w:after="12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5A4F71" w:rsidRPr="00D0296C" w14:paraId="0B17EA81" w14:textId="77777777" w:rsidTr="00BD586A">
      <w:trPr>
        <w:trHeight w:val="79"/>
      </w:trPr>
      <w:tc>
        <w:tcPr>
          <w:tcW w:w="4508" w:type="dxa"/>
        </w:tcPr>
        <w:p w14:paraId="235883F0" w14:textId="7D60DF25" w:rsidR="005A4F71" w:rsidRPr="00D0296C" w:rsidRDefault="005A4F71" w:rsidP="005A4F71">
          <w:pPr>
            <w:spacing w:line="240" w:lineRule="auto"/>
          </w:pPr>
          <w:r>
            <w:t xml:space="preserve">Chapter </w:t>
          </w:r>
          <w:r w:rsidR="00FD5B53">
            <w:t>2</w:t>
          </w:r>
        </w:p>
      </w:tc>
      <w:tc>
        <w:tcPr>
          <w:tcW w:w="4564" w:type="dxa"/>
        </w:tcPr>
        <w:p w14:paraId="15CA4078" w14:textId="2711FE52" w:rsidR="005A4F71" w:rsidRPr="00D0296C" w:rsidRDefault="00FD5B53" w:rsidP="005A4F71">
          <w:pPr>
            <w:spacing w:line="240" w:lineRule="auto"/>
            <w:jc w:val="right"/>
          </w:pPr>
          <w:r>
            <w:t>Background</w:t>
          </w:r>
        </w:p>
      </w:tc>
    </w:tr>
  </w:tbl>
  <w:p w14:paraId="77E40C94" w14:textId="77777777" w:rsidR="00D601A5" w:rsidRPr="006615F3" w:rsidRDefault="00D601A5" w:rsidP="00B425C5">
    <w:pPr>
      <w:spacing w:after="12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6D799D" w:rsidRPr="00D0296C" w14:paraId="2B651A60" w14:textId="77777777" w:rsidTr="00BD586A">
      <w:trPr>
        <w:trHeight w:val="79"/>
      </w:trPr>
      <w:tc>
        <w:tcPr>
          <w:tcW w:w="4508" w:type="dxa"/>
        </w:tcPr>
        <w:p w14:paraId="1F0BF595" w14:textId="77777777" w:rsidR="006D799D" w:rsidRPr="00D0296C" w:rsidRDefault="006D799D" w:rsidP="0087500D">
          <w:pPr>
            <w:spacing w:line="240" w:lineRule="auto"/>
          </w:pPr>
          <w:r>
            <w:t>Appendices</w:t>
          </w:r>
        </w:p>
      </w:tc>
      <w:tc>
        <w:tcPr>
          <w:tcW w:w="4564" w:type="dxa"/>
        </w:tcPr>
        <w:p w14:paraId="28D91771" w14:textId="77777777" w:rsidR="006D799D" w:rsidRPr="00D0296C" w:rsidRDefault="006D799D" w:rsidP="0087500D">
          <w:pPr>
            <w:spacing w:line="240" w:lineRule="auto"/>
            <w:jc w:val="right"/>
          </w:pPr>
        </w:p>
      </w:tc>
    </w:tr>
  </w:tbl>
  <w:p w14:paraId="60B1A3EC" w14:textId="77777777" w:rsidR="006D799D" w:rsidRPr="0087500D" w:rsidRDefault="006D799D" w:rsidP="00C107DA">
    <w:pPr>
      <w:pStyle w:val="Header"/>
      <w:spacing w:after="120" w:line="360" w:lineRule="auto"/>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57033F" w:rsidRPr="00D0296C" w14:paraId="7664E9CB" w14:textId="77777777" w:rsidTr="00B7125A">
      <w:trPr>
        <w:trHeight w:val="79"/>
      </w:trPr>
      <w:tc>
        <w:tcPr>
          <w:tcW w:w="4508" w:type="dxa"/>
        </w:tcPr>
        <w:p w14:paraId="10CE7190" w14:textId="69342D59" w:rsidR="0057033F" w:rsidRPr="00D0296C" w:rsidRDefault="0057033F" w:rsidP="0057033F">
          <w:pPr>
            <w:spacing w:line="240" w:lineRule="auto"/>
          </w:pPr>
          <w:r>
            <w:t>Appendices</w:t>
          </w:r>
        </w:p>
      </w:tc>
      <w:tc>
        <w:tcPr>
          <w:tcW w:w="9384" w:type="dxa"/>
        </w:tcPr>
        <w:p w14:paraId="5AE74C3F" w14:textId="11BCAC8A" w:rsidR="0057033F" w:rsidRPr="00D0296C" w:rsidRDefault="0057033F" w:rsidP="0057033F">
          <w:pPr>
            <w:spacing w:line="240" w:lineRule="auto"/>
            <w:jc w:val="right"/>
          </w:pPr>
        </w:p>
      </w:tc>
    </w:tr>
  </w:tbl>
  <w:p w14:paraId="00CD4924" w14:textId="77777777" w:rsidR="0021525C" w:rsidRPr="0057033F" w:rsidRDefault="0021525C" w:rsidP="00C107DA">
    <w:pPr>
      <w:pStyle w:val="Header"/>
      <w:spacing w:after="120" w:line="360" w:lineRule="auto"/>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706"/>
    </w:tblGrid>
    <w:tr w:rsidR="00B7125A" w:rsidRPr="00D0296C" w14:paraId="2A5D016D" w14:textId="77777777" w:rsidTr="00B7125A">
      <w:trPr>
        <w:trHeight w:val="79"/>
      </w:trPr>
      <w:tc>
        <w:tcPr>
          <w:tcW w:w="4508" w:type="dxa"/>
        </w:tcPr>
        <w:p w14:paraId="7509E922" w14:textId="77777777" w:rsidR="004141C2" w:rsidRPr="00D0296C" w:rsidRDefault="004141C2" w:rsidP="00212D46">
          <w:pPr>
            <w:spacing w:line="240" w:lineRule="auto"/>
          </w:pPr>
          <w:r>
            <w:t>Appendices</w:t>
          </w:r>
        </w:p>
      </w:tc>
      <w:tc>
        <w:tcPr>
          <w:tcW w:w="4706" w:type="dxa"/>
        </w:tcPr>
        <w:p w14:paraId="1841AB80" w14:textId="77777777" w:rsidR="004141C2" w:rsidRPr="00D0296C" w:rsidRDefault="004141C2" w:rsidP="00212D46">
          <w:pPr>
            <w:spacing w:line="240" w:lineRule="auto"/>
            <w:jc w:val="right"/>
          </w:pPr>
        </w:p>
      </w:tc>
    </w:tr>
  </w:tbl>
  <w:p w14:paraId="4D0C87B7" w14:textId="77777777" w:rsidR="004141C2" w:rsidRPr="00212D46" w:rsidRDefault="004141C2" w:rsidP="00C83686">
    <w:pPr>
      <w:pStyle w:val="Header"/>
      <w:spacing w:line="360" w:lineRule="auto"/>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4141C2" w:rsidRPr="00D0296C" w14:paraId="5491C349" w14:textId="77777777" w:rsidTr="00555471">
      <w:trPr>
        <w:trHeight w:val="79"/>
      </w:trPr>
      <w:tc>
        <w:tcPr>
          <w:tcW w:w="4508" w:type="dxa"/>
        </w:tcPr>
        <w:p w14:paraId="0A5CDD99" w14:textId="77777777" w:rsidR="004141C2" w:rsidRPr="00D0296C" w:rsidRDefault="004141C2" w:rsidP="00212D46">
          <w:pPr>
            <w:spacing w:line="240" w:lineRule="auto"/>
          </w:pPr>
          <w:r>
            <w:t>Appendices</w:t>
          </w:r>
        </w:p>
      </w:tc>
      <w:tc>
        <w:tcPr>
          <w:tcW w:w="9384" w:type="dxa"/>
        </w:tcPr>
        <w:p w14:paraId="27ADE0B2" w14:textId="77777777" w:rsidR="004141C2" w:rsidRPr="00D0296C" w:rsidRDefault="004141C2" w:rsidP="00212D46">
          <w:pPr>
            <w:spacing w:line="240" w:lineRule="auto"/>
            <w:jc w:val="right"/>
          </w:pPr>
        </w:p>
      </w:tc>
    </w:tr>
  </w:tbl>
  <w:p w14:paraId="76FDB151" w14:textId="77777777" w:rsidR="004141C2" w:rsidRPr="00212D46" w:rsidRDefault="004141C2" w:rsidP="00C83686">
    <w:pPr>
      <w:pStyle w:val="Header"/>
      <w:spacing w:line="360" w:lineRule="aut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667"/>
    </w:tblGrid>
    <w:tr w:rsidR="003801FF" w:rsidRPr="00D0296C" w14:paraId="7CEFE187" w14:textId="77777777" w:rsidTr="00BD586A">
      <w:trPr>
        <w:trHeight w:val="79"/>
      </w:trPr>
      <w:tc>
        <w:tcPr>
          <w:tcW w:w="4508" w:type="dxa"/>
        </w:tcPr>
        <w:p w14:paraId="5AA1B1B4" w14:textId="77777777" w:rsidR="003801FF" w:rsidRPr="00D0296C" w:rsidRDefault="003801FF" w:rsidP="00212D46">
          <w:pPr>
            <w:spacing w:line="240" w:lineRule="auto"/>
          </w:pPr>
          <w:r>
            <w:t>Appendices</w:t>
          </w:r>
        </w:p>
      </w:tc>
      <w:tc>
        <w:tcPr>
          <w:tcW w:w="9667" w:type="dxa"/>
        </w:tcPr>
        <w:p w14:paraId="082B3729" w14:textId="77777777" w:rsidR="003801FF" w:rsidRPr="00D0296C" w:rsidRDefault="003801FF" w:rsidP="00212D46">
          <w:pPr>
            <w:spacing w:line="240" w:lineRule="auto"/>
            <w:jc w:val="right"/>
          </w:pPr>
        </w:p>
      </w:tc>
    </w:tr>
  </w:tbl>
  <w:p w14:paraId="19ABFCBE" w14:textId="77777777" w:rsidR="003801FF" w:rsidRPr="00212D46" w:rsidRDefault="003801FF" w:rsidP="00212D46">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985CB4" w:rsidRPr="00D0296C" w14:paraId="7B3A842F" w14:textId="77777777" w:rsidTr="00C462E8">
      <w:trPr>
        <w:trHeight w:val="79"/>
      </w:trPr>
      <w:tc>
        <w:tcPr>
          <w:tcW w:w="4508" w:type="dxa"/>
        </w:tcPr>
        <w:p w14:paraId="38B30937" w14:textId="77777777" w:rsidR="00985CB4" w:rsidRPr="00D0296C" w:rsidRDefault="00985CB4" w:rsidP="00985CB4">
          <w:pPr>
            <w:spacing w:line="240" w:lineRule="auto"/>
          </w:pPr>
          <w:r>
            <w:t>Appendices</w:t>
          </w:r>
        </w:p>
      </w:tc>
      <w:tc>
        <w:tcPr>
          <w:tcW w:w="4564" w:type="dxa"/>
        </w:tcPr>
        <w:p w14:paraId="47755494" w14:textId="77777777" w:rsidR="00985CB4" w:rsidRPr="00D0296C" w:rsidRDefault="00985CB4" w:rsidP="00985CB4">
          <w:pPr>
            <w:spacing w:line="240" w:lineRule="auto"/>
            <w:jc w:val="right"/>
          </w:pPr>
        </w:p>
      </w:tc>
    </w:tr>
  </w:tbl>
  <w:p w14:paraId="07463265" w14:textId="77777777" w:rsidR="0021525C" w:rsidRPr="00985CB4" w:rsidRDefault="0021525C" w:rsidP="00251AE7">
    <w:pPr>
      <w:pStyle w:val="Header"/>
      <w:spacing w:line="360" w:lineRule="auto"/>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344F3B" w:rsidRPr="00D0296C" w14:paraId="2EE57FB7" w14:textId="77777777" w:rsidTr="00E55101">
      <w:trPr>
        <w:trHeight w:val="79"/>
      </w:trPr>
      <w:tc>
        <w:tcPr>
          <w:tcW w:w="4508" w:type="dxa"/>
        </w:tcPr>
        <w:p w14:paraId="6BFF1945" w14:textId="77777777" w:rsidR="00344F3B" w:rsidRPr="00D0296C" w:rsidRDefault="00344F3B" w:rsidP="00607014">
          <w:pPr>
            <w:spacing w:line="240" w:lineRule="auto"/>
          </w:pPr>
          <w:r>
            <w:t>Appendices</w:t>
          </w:r>
        </w:p>
      </w:tc>
      <w:tc>
        <w:tcPr>
          <w:tcW w:w="9384" w:type="dxa"/>
        </w:tcPr>
        <w:p w14:paraId="34795CAF" w14:textId="77777777" w:rsidR="00344F3B" w:rsidRPr="00D0296C" w:rsidRDefault="00344F3B" w:rsidP="00607014">
          <w:pPr>
            <w:spacing w:line="240" w:lineRule="auto"/>
            <w:jc w:val="right"/>
          </w:pPr>
        </w:p>
      </w:tc>
    </w:tr>
  </w:tbl>
  <w:p w14:paraId="356156AA" w14:textId="77777777" w:rsidR="00344F3B" w:rsidRPr="00212D46" w:rsidRDefault="00344F3B" w:rsidP="003F042D">
    <w:pPr>
      <w:pStyle w:val="Header"/>
      <w:spacing w:line="360" w:lineRule="auto"/>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706"/>
    </w:tblGrid>
    <w:tr w:rsidR="00853DE3" w:rsidRPr="00D0296C" w14:paraId="1EADA1E1" w14:textId="77777777" w:rsidTr="00853DE3">
      <w:trPr>
        <w:trHeight w:val="79"/>
      </w:trPr>
      <w:tc>
        <w:tcPr>
          <w:tcW w:w="4508" w:type="dxa"/>
        </w:tcPr>
        <w:p w14:paraId="33CAD314" w14:textId="77777777" w:rsidR="00853DE3" w:rsidRPr="00D0296C" w:rsidRDefault="00853DE3" w:rsidP="00607014">
          <w:pPr>
            <w:spacing w:line="240" w:lineRule="auto"/>
          </w:pPr>
          <w:r>
            <w:t>Appendices</w:t>
          </w:r>
        </w:p>
      </w:tc>
      <w:tc>
        <w:tcPr>
          <w:tcW w:w="4706" w:type="dxa"/>
        </w:tcPr>
        <w:p w14:paraId="07107D90" w14:textId="77777777" w:rsidR="00853DE3" w:rsidRPr="00D0296C" w:rsidRDefault="00853DE3" w:rsidP="00607014">
          <w:pPr>
            <w:spacing w:line="240" w:lineRule="auto"/>
            <w:jc w:val="right"/>
          </w:pPr>
        </w:p>
      </w:tc>
    </w:tr>
  </w:tbl>
  <w:p w14:paraId="062800CB" w14:textId="77777777" w:rsidR="00853DE3" w:rsidRPr="00212D46" w:rsidRDefault="00853DE3" w:rsidP="003F042D">
    <w:pPr>
      <w:pStyle w:val="Header"/>
      <w:spacing w:line="360" w:lineRule="auto"/>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B475A7" w:rsidRPr="00D0296C" w14:paraId="6D0DF282" w14:textId="77777777" w:rsidTr="00BD586A">
      <w:trPr>
        <w:trHeight w:val="79"/>
      </w:trPr>
      <w:tc>
        <w:tcPr>
          <w:tcW w:w="4508" w:type="dxa"/>
        </w:tcPr>
        <w:p w14:paraId="2CD3AEBF" w14:textId="77777777" w:rsidR="00B475A7" w:rsidRPr="00D0296C" w:rsidRDefault="00B475A7" w:rsidP="00212D46">
          <w:pPr>
            <w:spacing w:line="240" w:lineRule="auto"/>
          </w:pPr>
          <w:r>
            <w:t>Appendices</w:t>
          </w:r>
        </w:p>
      </w:tc>
      <w:tc>
        <w:tcPr>
          <w:tcW w:w="4564" w:type="dxa"/>
        </w:tcPr>
        <w:p w14:paraId="4FE3B119" w14:textId="77777777" w:rsidR="00B475A7" w:rsidRPr="00D0296C" w:rsidRDefault="00B475A7" w:rsidP="00212D46">
          <w:pPr>
            <w:spacing w:line="240" w:lineRule="auto"/>
            <w:jc w:val="right"/>
          </w:pPr>
        </w:p>
      </w:tc>
    </w:tr>
  </w:tbl>
  <w:p w14:paraId="4B1D4AAE" w14:textId="77777777" w:rsidR="00B475A7" w:rsidRPr="00212D46" w:rsidRDefault="00B475A7" w:rsidP="00251AE7">
    <w:pPr>
      <w:pStyle w:val="Header"/>
      <w:spacing w:line="360" w:lineRule="auto"/>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985CB4" w:rsidRPr="00D0296C" w14:paraId="6FD3606D" w14:textId="77777777" w:rsidTr="00985CB4">
      <w:trPr>
        <w:trHeight w:val="79"/>
      </w:trPr>
      <w:tc>
        <w:tcPr>
          <w:tcW w:w="4508" w:type="dxa"/>
        </w:tcPr>
        <w:p w14:paraId="10E5A5BB" w14:textId="77777777" w:rsidR="00985CB4" w:rsidRPr="00D0296C" w:rsidRDefault="00985CB4" w:rsidP="00985CB4">
          <w:pPr>
            <w:spacing w:line="240" w:lineRule="auto"/>
          </w:pPr>
          <w:r>
            <w:t>Appendices</w:t>
          </w:r>
        </w:p>
      </w:tc>
      <w:tc>
        <w:tcPr>
          <w:tcW w:w="9384" w:type="dxa"/>
        </w:tcPr>
        <w:p w14:paraId="5513B353" w14:textId="77777777" w:rsidR="00985CB4" w:rsidRPr="00D0296C" w:rsidRDefault="00985CB4" w:rsidP="00985CB4">
          <w:pPr>
            <w:spacing w:line="240" w:lineRule="auto"/>
            <w:jc w:val="right"/>
          </w:pPr>
        </w:p>
      </w:tc>
    </w:tr>
  </w:tbl>
  <w:p w14:paraId="1B27174F" w14:textId="77777777" w:rsidR="00985CB4" w:rsidRPr="00985CB4" w:rsidRDefault="00985CB4" w:rsidP="00C107DA">
    <w:pPr>
      <w:pStyle w:val="Header"/>
      <w:spacing w:after="12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0B67CA" w:rsidRPr="00D0296C" w14:paraId="7BCEFA0F" w14:textId="77777777" w:rsidTr="00BD586A">
      <w:trPr>
        <w:trHeight w:val="79"/>
      </w:trPr>
      <w:tc>
        <w:tcPr>
          <w:tcW w:w="4508" w:type="dxa"/>
        </w:tcPr>
        <w:p w14:paraId="56D71621" w14:textId="3002FC96" w:rsidR="000B67CA" w:rsidRPr="00D0296C" w:rsidRDefault="000B67CA" w:rsidP="005A4F71">
          <w:pPr>
            <w:spacing w:line="240" w:lineRule="auto"/>
          </w:pPr>
          <w:r>
            <w:t>Chapter 3</w:t>
          </w:r>
        </w:p>
      </w:tc>
      <w:tc>
        <w:tcPr>
          <w:tcW w:w="4564" w:type="dxa"/>
        </w:tcPr>
        <w:p w14:paraId="1478DD50" w14:textId="0DCE997E" w:rsidR="000B67CA" w:rsidRPr="00D0296C" w:rsidRDefault="000B67CA" w:rsidP="005A4F71">
          <w:pPr>
            <w:spacing w:line="240" w:lineRule="auto"/>
            <w:jc w:val="right"/>
          </w:pPr>
          <w:r>
            <w:t>Methodology</w:t>
          </w:r>
        </w:p>
      </w:tc>
    </w:tr>
  </w:tbl>
  <w:p w14:paraId="4E5C13E6" w14:textId="77777777" w:rsidR="000B67CA" w:rsidRPr="006615F3" w:rsidRDefault="000B67CA" w:rsidP="00B425C5">
    <w:pPr>
      <w:spacing w:after="120"/>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985CB4" w:rsidRPr="00D0296C" w14:paraId="1BAF655C" w14:textId="77777777" w:rsidTr="00BD586A">
      <w:trPr>
        <w:trHeight w:val="79"/>
      </w:trPr>
      <w:tc>
        <w:tcPr>
          <w:tcW w:w="4508" w:type="dxa"/>
        </w:tcPr>
        <w:p w14:paraId="770D7E7D" w14:textId="15159FEF" w:rsidR="00985CB4" w:rsidRPr="00D0296C" w:rsidRDefault="00985CB4" w:rsidP="00AA79C4">
          <w:pPr>
            <w:spacing w:line="240" w:lineRule="auto"/>
          </w:pPr>
          <w:r>
            <w:t>Appendices</w:t>
          </w:r>
        </w:p>
      </w:tc>
      <w:tc>
        <w:tcPr>
          <w:tcW w:w="9384" w:type="dxa"/>
        </w:tcPr>
        <w:p w14:paraId="5BBA788B" w14:textId="79A55ADA" w:rsidR="00985CB4" w:rsidRPr="00D0296C" w:rsidRDefault="00985CB4" w:rsidP="00AA79C4">
          <w:pPr>
            <w:spacing w:line="240" w:lineRule="auto"/>
            <w:jc w:val="right"/>
          </w:pPr>
        </w:p>
      </w:tc>
    </w:tr>
  </w:tbl>
  <w:p w14:paraId="32D02D60" w14:textId="77777777" w:rsidR="00985CB4" w:rsidRPr="005676C7" w:rsidRDefault="00985CB4" w:rsidP="00251AE7">
    <w:pPr>
      <w:spacing w:after="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B346CF" w:rsidRPr="00D0296C" w14:paraId="4F40566E" w14:textId="77777777" w:rsidTr="00B346CF">
      <w:trPr>
        <w:trHeight w:val="79"/>
      </w:trPr>
      <w:tc>
        <w:tcPr>
          <w:tcW w:w="4508" w:type="dxa"/>
        </w:tcPr>
        <w:p w14:paraId="542CBEA0" w14:textId="77777777" w:rsidR="00B346CF" w:rsidRPr="00D0296C" w:rsidRDefault="00B346CF" w:rsidP="00985CB4">
          <w:pPr>
            <w:spacing w:line="240" w:lineRule="auto"/>
          </w:pPr>
          <w:r>
            <w:t>Appendices</w:t>
          </w:r>
        </w:p>
      </w:tc>
      <w:tc>
        <w:tcPr>
          <w:tcW w:w="4564" w:type="dxa"/>
        </w:tcPr>
        <w:p w14:paraId="5399D2FF" w14:textId="77777777" w:rsidR="00B346CF" w:rsidRPr="00D0296C" w:rsidRDefault="00B346CF" w:rsidP="00B346CF">
          <w:pPr>
            <w:spacing w:line="240" w:lineRule="auto"/>
            <w:ind w:right="4719"/>
            <w:jc w:val="right"/>
          </w:pPr>
        </w:p>
      </w:tc>
    </w:tr>
  </w:tbl>
  <w:p w14:paraId="724092F9" w14:textId="77777777" w:rsidR="00B346CF" w:rsidRPr="00985CB4" w:rsidRDefault="00B346CF" w:rsidP="00C107DA">
    <w:pPr>
      <w:pStyle w:val="Header"/>
      <w:spacing w:after="120" w:line="360" w:lineRule="auto"/>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A66854" w:rsidRPr="00D0296C" w14:paraId="29292F66" w14:textId="77777777" w:rsidTr="00C462E8">
      <w:trPr>
        <w:trHeight w:val="79"/>
      </w:trPr>
      <w:tc>
        <w:tcPr>
          <w:tcW w:w="4508" w:type="dxa"/>
        </w:tcPr>
        <w:p w14:paraId="067F3A45" w14:textId="77777777" w:rsidR="00A66854" w:rsidRPr="00D0296C" w:rsidRDefault="00A66854" w:rsidP="00A66854">
          <w:pPr>
            <w:spacing w:line="240" w:lineRule="auto"/>
          </w:pPr>
          <w:r>
            <w:t>Appendices</w:t>
          </w:r>
        </w:p>
      </w:tc>
      <w:tc>
        <w:tcPr>
          <w:tcW w:w="4564" w:type="dxa"/>
        </w:tcPr>
        <w:p w14:paraId="59EB0B9B" w14:textId="77777777" w:rsidR="00A66854" w:rsidRPr="00D0296C" w:rsidRDefault="00A66854" w:rsidP="00A66854">
          <w:pPr>
            <w:spacing w:line="240" w:lineRule="auto"/>
            <w:jc w:val="right"/>
          </w:pPr>
        </w:p>
      </w:tc>
    </w:tr>
  </w:tbl>
  <w:p w14:paraId="78AA3764" w14:textId="77777777" w:rsidR="00A66854" w:rsidRPr="005676C7" w:rsidRDefault="00A66854" w:rsidP="004E1979">
    <w:pPr>
      <w:spacing w:after="12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750"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242"/>
    </w:tblGrid>
    <w:tr w:rsidR="00175D37" w:rsidRPr="00D0296C" w14:paraId="2F5892A9" w14:textId="77777777" w:rsidTr="00175D37">
      <w:trPr>
        <w:trHeight w:val="79"/>
      </w:trPr>
      <w:tc>
        <w:tcPr>
          <w:tcW w:w="4508" w:type="dxa"/>
        </w:tcPr>
        <w:p w14:paraId="4E5EC405" w14:textId="77777777" w:rsidR="00175D37" w:rsidRPr="00D0296C" w:rsidRDefault="00175D37" w:rsidP="00985CB4">
          <w:pPr>
            <w:spacing w:line="240" w:lineRule="auto"/>
          </w:pPr>
          <w:r>
            <w:t>Appendices</w:t>
          </w:r>
        </w:p>
      </w:tc>
      <w:tc>
        <w:tcPr>
          <w:tcW w:w="9242" w:type="dxa"/>
        </w:tcPr>
        <w:p w14:paraId="2492D094" w14:textId="77777777" w:rsidR="00175D37" w:rsidRPr="00D0296C" w:rsidRDefault="00175D37" w:rsidP="00B346CF">
          <w:pPr>
            <w:spacing w:line="240" w:lineRule="auto"/>
            <w:ind w:right="4719"/>
            <w:jc w:val="right"/>
          </w:pPr>
        </w:p>
      </w:tc>
    </w:tr>
  </w:tbl>
  <w:p w14:paraId="73FF2F83" w14:textId="77777777" w:rsidR="00175D37" w:rsidRPr="00985CB4" w:rsidRDefault="00175D37" w:rsidP="00C107DA">
    <w:pPr>
      <w:pStyle w:val="Header"/>
      <w:spacing w:after="120" w:line="360" w:lineRule="auto"/>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3223A7" w:rsidRPr="00D0296C" w14:paraId="57C2DB91" w14:textId="77777777" w:rsidTr="008A1A9D">
      <w:trPr>
        <w:trHeight w:val="79"/>
      </w:trPr>
      <w:tc>
        <w:tcPr>
          <w:tcW w:w="4508" w:type="dxa"/>
        </w:tcPr>
        <w:p w14:paraId="5AB64163" w14:textId="77777777" w:rsidR="003223A7" w:rsidRPr="00D0296C" w:rsidRDefault="003223A7" w:rsidP="003223A7">
          <w:pPr>
            <w:spacing w:line="240" w:lineRule="auto"/>
          </w:pPr>
          <w:r>
            <w:t>Appendices</w:t>
          </w:r>
        </w:p>
      </w:tc>
      <w:tc>
        <w:tcPr>
          <w:tcW w:w="9384" w:type="dxa"/>
        </w:tcPr>
        <w:p w14:paraId="1CF7569F" w14:textId="77777777" w:rsidR="003223A7" w:rsidRPr="00D0296C" w:rsidRDefault="003223A7" w:rsidP="003223A7">
          <w:pPr>
            <w:spacing w:line="240" w:lineRule="auto"/>
            <w:jc w:val="right"/>
          </w:pPr>
        </w:p>
      </w:tc>
    </w:tr>
  </w:tbl>
  <w:p w14:paraId="48034444" w14:textId="77777777" w:rsidR="00B70E6A" w:rsidRPr="003223A7" w:rsidRDefault="00B70E6A" w:rsidP="00C107DA">
    <w:pPr>
      <w:pStyle w:val="Header"/>
      <w:spacing w:after="120" w:line="360" w:lineRule="auto"/>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B475A7" w:rsidRPr="00D0296C" w14:paraId="5821C233" w14:textId="77777777" w:rsidTr="00E55101">
      <w:trPr>
        <w:trHeight w:val="79"/>
      </w:trPr>
      <w:tc>
        <w:tcPr>
          <w:tcW w:w="4508" w:type="dxa"/>
        </w:tcPr>
        <w:p w14:paraId="05771898" w14:textId="77777777" w:rsidR="00B475A7" w:rsidRPr="00D0296C" w:rsidRDefault="00B475A7" w:rsidP="00212D46">
          <w:pPr>
            <w:spacing w:line="240" w:lineRule="auto"/>
          </w:pPr>
          <w:r>
            <w:t>Appendices</w:t>
          </w:r>
        </w:p>
      </w:tc>
      <w:tc>
        <w:tcPr>
          <w:tcW w:w="9384" w:type="dxa"/>
        </w:tcPr>
        <w:p w14:paraId="44F723B5" w14:textId="194987FE" w:rsidR="00B475A7" w:rsidRPr="00D0296C" w:rsidRDefault="00E55101" w:rsidP="00E55101">
          <w:pPr>
            <w:tabs>
              <w:tab w:val="left" w:pos="7929"/>
            </w:tabs>
            <w:spacing w:line="240" w:lineRule="auto"/>
          </w:pPr>
          <w:r>
            <w:tab/>
          </w:r>
        </w:p>
      </w:tc>
    </w:tr>
  </w:tbl>
  <w:p w14:paraId="22240A80" w14:textId="77777777" w:rsidR="00B475A7" w:rsidRPr="00212D46" w:rsidRDefault="00B475A7" w:rsidP="00C107DA">
    <w:pPr>
      <w:pStyle w:val="Header"/>
      <w:spacing w:after="120" w:line="360" w:lineRule="auto"/>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A11FDD" w:rsidRPr="00D0296C" w14:paraId="3B275CD1" w14:textId="77777777" w:rsidTr="00C462E8">
      <w:trPr>
        <w:trHeight w:val="79"/>
      </w:trPr>
      <w:tc>
        <w:tcPr>
          <w:tcW w:w="4508" w:type="dxa"/>
        </w:tcPr>
        <w:p w14:paraId="43A5C5AE" w14:textId="77777777" w:rsidR="00A11FDD" w:rsidRPr="00D0296C" w:rsidRDefault="00A11FDD" w:rsidP="00A11FDD">
          <w:pPr>
            <w:spacing w:line="240" w:lineRule="auto"/>
          </w:pPr>
          <w:r>
            <w:t>Appendices</w:t>
          </w:r>
        </w:p>
      </w:tc>
      <w:tc>
        <w:tcPr>
          <w:tcW w:w="4564" w:type="dxa"/>
        </w:tcPr>
        <w:p w14:paraId="499D85EB" w14:textId="77777777" w:rsidR="00A11FDD" w:rsidRPr="00D0296C" w:rsidRDefault="00A11FDD" w:rsidP="00A11FDD">
          <w:pPr>
            <w:spacing w:line="240" w:lineRule="auto"/>
            <w:jc w:val="right"/>
          </w:pPr>
        </w:p>
      </w:tc>
    </w:tr>
  </w:tbl>
  <w:p w14:paraId="3FF8B788" w14:textId="77777777" w:rsidR="00A11FDD" w:rsidRPr="00A11FDD" w:rsidRDefault="00A11FDD" w:rsidP="00C107DA">
    <w:pPr>
      <w:pStyle w:val="Header"/>
      <w:spacing w:after="12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9384"/>
    </w:tblGrid>
    <w:tr w:rsidR="00EE09A4" w:rsidRPr="00D0296C" w14:paraId="283E2B85" w14:textId="77777777" w:rsidTr="00C10A30">
      <w:trPr>
        <w:trHeight w:val="79"/>
      </w:trPr>
      <w:tc>
        <w:tcPr>
          <w:tcW w:w="4508" w:type="dxa"/>
        </w:tcPr>
        <w:p w14:paraId="206DCCB7" w14:textId="6424ED18" w:rsidR="00EE09A4" w:rsidRPr="00D0296C" w:rsidRDefault="00EE09A4" w:rsidP="005A4F71">
          <w:pPr>
            <w:spacing w:line="240" w:lineRule="auto"/>
          </w:pPr>
          <w:r>
            <w:t xml:space="preserve">Chapter </w:t>
          </w:r>
          <w:r w:rsidR="00D50E4C">
            <w:t>3</w:t>
          </w:r>
        </w:p>
      </w:tc>
      <w:tc>
        <w:tcPr>
          <w:tcW w:w="9384" w:type="dxa"/>
        </w:tcPr>
        <w:p w14:paraId="2F534300" w14:textId="6D367FE2" w:rsidR="00EE09A4" w:rsidRPr="00D0296C" w:rsidRDefault="00EE09A4" w:rsidP="005A4F71">
          <w:pPr>
            <w:spacing w:line="240" w:lineRule="auto"/>
            <w:jc w:val="right"/>
          </w:pPr>
          <w:r>
            <w:t>Methodology</w:t>
          </w:r>
        </w:p>
      </w:tc>
    </w:tr>
  </w:tbl>
  <w:p w14:paraId="741862F5" w14:textId="77777777" w:rsidR="00EE09A4" w:rsidRPr="006615F3" w:rsidRDefault="00EE09A4" w:rsidP="00B425C5">
    <w:pPr>
      <w:spacing w:after="1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EE09A4" w:rsidRPr="00D0296C" w14:paraId="69031FE6" w14:textId="77777777" w:rsidTr="00FA1162">
      <w:trPr>
        <w:trHeight w:val="79"/>
      </w:trPr>
      <w:tc>
        <w:tcPr>
          <w:tcW w:w="4508" w:type="dxa"/>
        </w:tcPr>
        <w:p w14:paraId="61439280" w14:textId="670A6C7C" w:rsidR="00EE09A4" w:rsidRPr="00D0296C" w:rsidRDefault="00EE09A4" w:rsidP="005A4F71">
          <w:pPr>
            <w:spacing w:line="240" w:lineRule="auto"/>
          </w:pPr>
          <w:r>
            <w:t xml:space="preserve">Chapter </w:t>
          </w:r>
          <w:r w:rsidR="00D50E4C">
            <w:t>3</w:t>
          </w:r>
        </w:p>
      </w:tc>
      <w:tc>
        <w:tcPr>
          <w:tcW w:w="4564" w:type="dxa"/>
        </w:tcPr>
        <w:p w14:paraId="785827FD" w14:textId="2C93A459" w:rsidR="00EE09A4" w:rsidRPr="00D0296C" w:rsidRDefault="00EE09A4" w:rsidP="005A4F71">
          <w:pPr>
            <w:spacing w:line="240" w:lineRule="auto"/>
            <w:jc w:val="right"/>
          </w:pPr>
          <w:r>
            <w:t>Methodology</w:t>
          </w:r>
        </w:p>
      </w:tc>
    </w:tr>
  </w:tbl>
  <w:p w14:paraId="37EBB8A9" w14:textId="77777777" w:rsidR="00EE09A4" w:rsidRPr="006615F3" w:rsidRDefault="00EE09A4" w:rsidP="005A7D52">
    <w:pP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2869F0" w:rsidRPr="00D0296C" w14:paraId="48DE38D4" w14:textId="77777777" w:rsidTr="00BD586A">
      <w:trPr>
        <w:trHeight w:val="79"/>
      </w:trPr>
      <w:tc>
        <w:tcPr>
          <w:tcW w:w="4508" w:type="dxa"/>
        </w:tcPr>
        <w:p w14:paraId="75C1B8E6" w14:textId="25683F9B" w:rsidR="002869F0" w:rsidRPr="00D0296C" w:rsidRDefault="002869F0" w:rsidP="002869F0">
          <w:pPr>
            <w:spacing w:line="240" w:lineRule="auto"/>
          </w:pPr>
          <w:r>
            <w:t>Chapter 4</w:t>
          </w:r>
        </w:p>
      </w:tc>
      <w:tc>
        <w:tcPr>
          <w:tcW w:w="4564" w:type="dxa"/>
        </w:tcPr>
        <w:p w14:paraId="23DF4EC9" w14:textId="66951E80" w:rsidR="002869F0" w:rsidRPr="00D0296C" w:rsidRDefault="0075097F" w:rsidP="002869F0">
          <w:pPr>
            <w:spacing w:line="240" w:lineRule="auto"/>
            <w:jc w:val="right"/>
          </w:pPr>
          <w:r>
            <w:t xml:space="preserve">Phase 1 – </w:t>
          </w:r>
          <w:r w:rsidR="002869F0" w:rsidRPr="00753E7F">
            <w:t xml:space="preserve">Systematic </w:t>
          </w:r>
          <w:r>
            <w:t>r</w:t>
          </w:r>
          <w:r w:rsidR="002869F0" w:rsidRPr="00753E7F">
            <w:t>eview</w:t>
          </w:r>
        </w:p>
      </w:tc>
    </w:tr>
  </w:tbl>
  <w:p w14:paraId="1037059E" w14:textId="77777777" w:rsidR="002869F0" w:rsidRPr="006615F3" w:rsidRDefault="002869F0" w:rsidP="00B425C5">
    <w:pPr>
      <w:spacing w:after="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31"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508"/>
      <w:gridCol w:w="4423"/>
    </w:tblGrid>
    <w:tr w:rsidR="002F0740" w:rsidRPr="00D0296C" w14:paraId="11E53E6E" w14:textId="77777777" w:rsidTr="00C52074">
      <w:trPr>
        <w:trHeight w:val="79"/>
      </w:trPr>
      <w:tc>
        <w:tcPr>
          <w:tcW w:w="4508" w:type="dxa"/>
        </w:tcPr>
        <w:p w14:paraId="5515582D" w14:textId="351661FB" w:rsidR="002F0740" w:rsidRPr="00D0296C" w:rsidRDefault="002F0740" w:rsidP="00AA79C4">
          <w:pPr>
            <w:spacing w:line="240" w:lineRule="auto"/>
          </w:pPr>
          <w:r>
            <w:t xml:space="preserve">Chapter </w:t>
          </w:r>
          <w:r w:rsidR="008A0A1B">
            <w:t>4</w:t>
          </w:r>
        </w:p>
      </w:tc>
      <w:tc>
        <w:tcPr>
          <w:tcW w:w="4423" w:type="dxa"/>
        </w:tcPr>
        <w:p w14:paraId="2EE492EC" w14:textId="751F121B" w:rsidR="002F0740" w:rsidRPr="00D0296C" w:rsidRDefault="002869F0" w:rsidP="00AA79C4">
          <w:pPr>
            <w:spacing w:line="240" w:lineRule="auto"/>
            <w:jc w:val="right"/>
          </w:pPr>
          <w:r>
            <w:t>Systematic Review</w:t>
          </w:r>
        </w:p>
      </w:tc>
    </w:tr>
  </w:tbl>
  <w:p w14:paraId="2298BB82" w14:textId="77777777" w:rsidR="002F0740" w:rsidRPr="00C52074" w:rsidRDefault="002F0740" w:rsidP="00B425C5">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F8F"/>
    <w:multiLevelType w:val="hybridMultilevel"/>
    <w:tmpl w:val="616853E6"/>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74E7E"/>
    <w:multiLevelType w:val="multilevel"/>
    <w:tmpl w:val="9432E3EA"/>
    <w:lvl w:ilvl="0">
      <w:start w:val="1"/>
      <w:numFmt w:val="decimal"/>
      <w:pStyle w:val="Heading1"/>
      <w:suff w:val="space"/>
      <w:lvlText w:val="Chapter %1"/>
      <w:lvlJc w:val="left"/>
      <w:pPr>
        <w:ind w:left="4471" w:hanging="360"/>
      </w:pPr>
      <w:rPr>
        <w:rFonts w:hint="default"/>
      </w:rPr>
    </w:lvl>
    <w:lvl w:ilvl="1">
      <w:start w:val="1"/>
      <w:numFmt w:val="decimal"/>
      <w:pStyle w:val="Heading2"/>
      <w:suff w:val="space"/>
      <w:lvlText w:val="%1.%2"/>
      <w:lvlJc w:val="left"/>
      <w:pPr>
        <w:ind w:left="1844" w:firstLine="0"/>
      </w:pPr>
      <w:rPr>
        <w:rFonts w:hint="default"/>
      </w:rPr>
    </w:lvl>
    <w:lvl w:ilvl="2">
      <w:start w:val="1"/>
      <w:numFmt w:val="decimal"/>
      <w:pStyle w:val="Heading3"/>
      <w:suff w:val="space"/>
      <w:lvlText w:val="%1.%2.%3"/>
      <w:lvlJc w:val="left"/>
      <w:pPr>
        <w:ind w:left="3828" w:firstLine="0"/>
      </w:pPr>
      <w:rPr>
        <w:rFonts w:hint="default"/>
      </w:rPr>
    </w:lvl>
    <w:lvl w:ilvl="3">
      <w:start w:val="1"/>
      <w:numFmt w:val="decimal"/>
      <w:pStyle w:val="Heading4"/>
      <w:suff w:val="space"/>
      <w:lvlText w:val="%1.%2.%3.%4"/>
      <w:lvlJc w:val="left"/>
      <w:pPr>
        <w:ind w:left="1135"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83228E"/>
    <w:multiLevelType w:val="hybridMultilevel"/>
    <w:tmpl w:val="CE60BBF8"/>
    <w:lvl w:ilvl="0" w:tplc="08090001">
      <w:start w:val="1"/>
      <w:numFmt w:val="bullet"/>
      <w:lvlText w:val=""/>
      <w:lvlJc w:val="left"/>
      <w:pPr>
        <w:ind w:left="720" w:hanging="360"/>
      </w:pPr>
      <w:rPr>
        <w:rFonts w:ascii="Symbol" w:hAnsi="Symbol" w:hint="default"/>
      </w:rPr>
    </w:lvl>
    <w:lvl w:ilvl="1" w:tplc="1C9CEC02">
      <w:start w:val="2"/>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B1C44"/>
    <w:multiLevelType w:val="hybridMultilevel"/>
    <w:tmpl w:val="3662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80E0E"/>
    <w:multiLevelType w:val="hybridMultilevel"/>
    <w:tmpl w:val="C92C2122"/>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803F0"/>
    <w:multiLevelType w:val="hybridMultilevel"/>
    <w:tmpl w:val="920C6394"/>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9218B"/>
    <w:multiLevelType w:val="hybridMultilevel"/>
    <w:tmpl w:val="CE0ADBB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A054D8"/>
    <w:multiLevelType w:val="hybridMultilevel"/>
    <w:tmpl w:val="45229950"/>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54606"/>
    <w:multiLevelType w:val="hybridMultilevel"/>
    <w:tmpl w:val="413A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62059"/>
    <w:multiLevelType w:val="hybridMultilevel"/>
    <w:tmpl w:val="584A8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7B7F74"/>
    <w:multiLevelType w:val="hybridMultilevel"/>
    <w:tmpl w:val="A2E6E4C2"/>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C5058"/>
    <w:multiLevelType w:val="hybridMultilevel"/>
    <w:tmpl w:val="03ECE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A27FA2"/>
    <w:multiLevelType w:val="hybridMultilevel"/>
    <w:tmpl w:val="9AB0CB78"/>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63549"/>
    <w:multiLevelType w:val="hybridMultilevel"/>
    <w:tmpl w:val="E6DACC04"/>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4B1EE9"/>
    <w:multiLevelType w:val="hybridMultilevel"/>
    <w:tmpl w:val="349EE8D4"/>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24C8E"/>
    <w:multiLevelType w:val="hybridMultilevel"/>
    <w:tmpl w:val="32648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EF3B52"/>
    <w:multiLevelType w:val="hybridMultilevel"/>
    <w:tmpl w:val="C74A0DD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DED3F75"/>
    <w:multiLevelType w:val="hybridMultilevel"/>
    <w:tmpl w:val="5FD2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40974"/>
    <w:multiLevelType w:val="hybridMultilevel"/>
    <w:tmpl w:val="D3E6A826"/>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3C5805"/>
    <w:multiLevelType w:val="hybridMultilevel"/>
    <w:tmpl w:val="0B669D1A"/>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5208D"/>
    <w:multiLevelType w:val="hybridMultilevel"/>
    <w:tmpl w:val="1018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5902F4"/>
    <w:multiLevelType w:val="hybridMultilevel"/>
    <w:tmpl w:val="E9DC3178"/>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7E1C0A"/>
    <w:multiLevelType w:val="hybridMultilevel"/>
    <w:tmpl w:val="CFB8649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3B23E8"/>
    <w:multiLevelType w:val="multilevel"/>
    <w:tmpl w:val="0CB4AB72"/>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651F9"/>
    <w:multiLevelType w:val="hybridMultilevel"/>
    <w:tmpl w:val="24C60AD2"/>
    <w:lvl w:ilvl="0" w:tplc="08090011">
      <w:start w:val="1"/>
      <w:numFmt w:val="decimal"/>
      <w:lvlText w:val="%1)"/>
      <w:lvlJc w:val="left"/>
      <w:pPr>
        <w:ind w:left="720" w:hanging="360"/>
      </w:pPr>
      <w:rPr>
        <w:rFonts w:hint="default"/>
      </w:rPr>
    </w:lvl>
    <w:lvl w:ilvl="1" w:tplc="1C9CEC02">
      <w:start w:val="2"/>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FF3EDC"/>
    <w:multiLevelType w:val="hybridMultilevel"/>
    <w:tmpl w:val="91947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8E6EFE"/>
    <w:multiLevelType w:val="hybridMultilevel"/>
    <w:tmpl w:val="B7A4C84C"/>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E206D1"/>
    <w:multiLevelType w:val="hybridMultilevel"/>
    <w:tmpl w:val="499414CE"/>
    <w:lvl w:ilvl="0" w:tplc="9B54615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96F1EFC"/>
    <w:multiLevelType w:val="hybridMultilevel"/>
    <w:tmpl w:val="F1FE4FB2"/>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CF453A"/>
    <w:multiLevelType w:val="hybridMultilevel"/>
    <w:tmpl w:val="D116B96E"/>
    <w:lvl w:ilvl="0" w:tplc="0809000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EA3249D"/>
    <w:multiLevelType w:val="hybridMultilevel"/>
    <w:tmpl w:val="9DC05792"/>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87493A"/>
    <w:multiLevelType w:val="hybridMultilevel"/>
    <w:tmpl w:val="0764C1EE"/>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4C31A7"/>
    <w:multiLevelType w:val="hybridMultilevel"/>
    <w:tmpl w:val="140A28C0"/>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2D4ADD"/>
    <w:multiLevelType w:val="hybridMultilevel"/>
    <w:tmpl w:val="EE7814E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4" w15:restartNumberingAfterBreak="0">
    <w:nsid w:val="49120583"/>
    <w:multiLevelType w:val="hybridMultilevel"/>
    <w:tmpl w:val="2FA2CFA0"/>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422B16"/>
    <w:multiLevelType w:val="hybridMultilevel"/>
    <w:tmpl w:val="68944CDA"/>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ED3754"/>
    <w:multiLevelType w:val="hybridMultilevel"/>
    <w:tmpl w:val="67E8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9273DC"/>
    <w:multiLevelType w:val="multilevel"/>
    <w:tmpl w:val="254674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4F76166E"/>
    <w:multiLevelType w:val="hybridMultilevel"/>
    <w:tmpl w:val="3C841494"/>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F73034"/>
    <w:multiLevelType w:val="hybridMultilevel"/>
    <w:tmpl w:val="0E6C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2153B64"/>
    <w:multiLevelType w:val="hybridMultilevel"/>
    <w:tmpl w:val="B7607908"/>
    <w:lvl w:ilvl="0" w:tplc="999A0FE0">
      <w:start w:val="1"/>
      <w:numFmt w:val="bullet"/>
      <w:lvlText w:val=""/>
      <w:lvlJc w:val="left"/>
      <w:pPr>
        <w:ind w:left="360" w:hanging="360"/>
      </w:pPr>
      <w:rPr>
        <w:rFonts w:ascii="Symbol" w:hAnsi="Symbol" w:hint="default"/>
        <w:color w:val="000000" w:themeColor="text1"/>
      </w:rPr>
    </w:lvl>
    <w:lvl w:ilvl="1" w:tplc="FFFFFFFF">
      <w:start w:val="1"/>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3A53771"/>
    <w:multiLevelType w:val="hybridMultilevel"/>
    <w:tmpl w:val="6F06DC5E"/>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9A5037"/>
    <w:multiLevelType w:val="hybridMultilevel"/>
    <w:tmpl w:val="381AA7B8"/>
    <w:lvl w:ilvl="0" w:tplc="08090001">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6443B15"/>
    <w:multiLevelType w:val="hybridMultilevel"/>
    <w:tmpl w:val="12663ECC"/>
    <w:lvl w:ilvl="0" w:tplc="08090011">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659511A"/>
    <w:multiLevelType w:val="hybridMultilevel"/>
    <w:tmpl w:val="0E4A962C"/>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691316"/>
    <w:multiLevelType w:val="hybridMultilevel"/>
    <w:tmpl w:val="30405B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CDE77C8"/>
    <w:multiLevelType w:val="hybridMultilevel"/>
    <w:tmpl w:val="916E9E4A"/>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EA938D5"/>
    <w:multiLevelType w:val="hybridMultilevel"/>
    <w:tmpl w:val="17C64E7C"/>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AD741D"/>
    <w:multiLevelType w:val="hybridMultilevel"/>
    <w:tmpl w:val="59188A8A"/>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EE04C5"/>
    <w:multiLevelType w:val="hybridMultilevel"/>
    <w:tmpl w:val="3C32BF9C"/>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E50A19"/>
    <w:multiLevelType w:val="hybridMultilevel"/>
    <w:tmpl w:val="381A9596"/>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101C61"/>
    <w:multiLevelType w:val="hybridMultilevel"/>
    <w:tmpl w:val="C46E4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1E450D"/>
    <w:multiLevelType w:val="hybridMultilevel"/>
    <w:tmpl w:val="9194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8E0C64"/>
    <w:multiLevelType w:val="hybridMultilevel"/>
    <w:tmpl w:val="F81E5DA2"/>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212211"/>
    <w:multiLevelType w:val="hybridMultilevel"/>
    <w:tmpl w:val="362A44A8"/>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99270C"/>
    <w:multiLevelType w:val="hybridMultilevel"/>
    <w:tmpl w:val="5FA243D8"/>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E226A9"/>
    <w:multiLevelType w:val="hybridMultilevel"/>
    <w:tmpl w:val="EEC0CC4E"/>
    <w:lvl w:ilvl="0" w:tplc="9E8611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49163D"/>
    <w:multiLevelType w:val="hybridMultilevel"/>
    <w:tmpl w:val="A866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2E2463"/>
    <w:multiLevelType w:val="hybridMultilevel"/>
    <w:tmpl w:val="3328EA7A"/>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137286"/>
    <w:multiLevelType w:val="hybridMultilevel"/>
    <w:tmpl w:val="7B6C7C0E"/>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4C5FB4"/>
    <w:multiLevelType w:val="hybridMultilevel"/>
    <w:tmpl w:val="83387AA6"/>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754012"/>
    <w:multiLevelType w:val="hybridMultilevel"/>
    <w:tmpl w:val="5D5E34E0"/>
    <w:lvl w:ilvl="0" w:tplc="7B863FC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D031D8"/>
    <w:multiLevelType w:val="hybridMultilevel"/>
    <w:tmpl w:val="8774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EEE4DE1"/>
    <w:multiLevelType w:val="hybridMultilevel"/>
    <w:tmpl w:val="D73A76D8"/>
    <w:lvl w:ilvl="0" w:tplc="9B54615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1683873">
    <w:abstractNumId w:val="37"/>
  </w:num>
  <w:num w:numId="2" w16cid:durableId="1652979011">
    <w:abstractNumId w:val="23"/>
  </w:num>
  <w:num w:numId="3" w16cid:durableId="651448080">
    <w:abstractNumId w:val="52"/>
  </w:num>
  <w:num w:numId="4" w16cid:durableId="1861505064">
    <w:abstractNumId w:val="16"/>
  </w:num>
  <w:num w:numId="5" w16cid:durableId="1323392306">
    <w:abstractNumId w:val="3"/>
  </w:num>
  <w:num w:numId="6" w16cid:durableId="1240675095">
    <w:abstractNumId w:val="2"/>
  </w:num>
  <w:num w:numId="7" w16cid:durableId="1436096944">
    <w:abstractNumId w:val="11"/>
  </w:num>
  <w:num w:numId="8" w16cid:durableId="2060863357">
    <w:abstractNumId w:val="46"/>
  </w:num>
  <w:num w:numId="9" w16cid:durableId="1886017989">
    <w:abstractNumId w:val="25"/>
  </w:num>
  <w:num w:numId="10" w16cid:durableId="795024197">
    <w:abstractNumId w:val="40"/>
  </w:num>
  <w:num w:numId="11" w16cid:durableId="311450833">
    <w:abstractNumId w:val="42"/>
  </w:num>
  <w:num w:numId="12" w16cid:durableId="464128055">
    <w:abstractNumId w:val="39"/>
  </w:num>
  <w:num w:numId="13" w16cid:durableId="921455817">
    <w:abstractNumId w:val="57"/>
  </w:num>
  <w:num w:numId="14" w16cid:durableId="566765159">
    <w:abstractNumId w:val="49"/>
  </w:num>
  <w:num w:numId="15" w16cid:durableId="1875337779">
    <w:abstractNumId w:val="60"/>
  </w:num>
  <w:num w:numId="16" w16cid:durableId="1892300015">
    <w:abstractNumId w:val="54"/>
  </w:num>
  <w:num w:numId="17" w16cid:durableId="1474525356">
    <w:abstractNumId w:val="26"/>
  </w:num>
  <w:num w:numId="18" w16cid:durableId="1255287972">
    <w:abstractNumId w:val="34"/>
  </w:num>
  <w:num w:numId="19" w16cid:durableId="1467046900">
    <w:abstractNumId w:val="61"/>
  </w:num>
  <w:num w:numId="20" w16cid:durableId="695738169">
    <w:abstractNumId w:val="0"/>
  </w:num>
  <w:num w:numId="21" w16cid:durableId="2125414981">
    <w:abstractNumId w:val="14"/>
  </w:num>
  <w:num w:numId="22" w16cid:durableId="978649721">
    <w:abstractNumId w:val="7"/>
  </w:num>
  <w:num w:numId="23" w16cid:durableId="1643970605">
    <w:abstractNumId w:val="47"/>
  </w:num>
  <w:num w:numId="24" w16cid:durableId="494420258">
    <w:abstractNumId w:val="55"/>
  </w:num>
  <w:num w:numId="25" w16cid:durableId="843473665">
    <w:abstractNumId w:val="44"/>
  </w:num>
  <w:num w:numId="26" w16cid:durableId="626856060">
    <w:abstractNumId w:val="12"/>
  </w:num>
  <w:num w:numId="27" w16cid:durableId="1722167047">
    <w:abstractNumId w:val="50"/>
  </w:num>
  <w:num w:numId="28" w16cid:durableId="444470887">
    <w:abstractNumId w:val="18"/>
  </w:num>
  <w:num w:numId="29" w16cid:durableId="2017418621">
    <w:abstractNumId w:val="35"/>
  </w:num>
  <w:num w:numId="30" w16cid:durableId="342828631">
    <w:abstractNumId w:val="13"/>
  </w:num>
  <w:num w:numId="31" w16cid:durableId="1588999784">
    <w:abstractNumId w:val="53"/>
  </w:num>
  <w:num w:numId="32" w16cid:durableId="516575998">
    <w:abstractNumId w:val="21"/>
  </w:num>
  <w:num w:numId="33" w16cid:durableId="1166554500">
    <w:abstractNumId w:val="30"/>
  </w:num>
  <w:num w:numId="34" w16cid:durableId="271398740">
    <w:abstractNumId w:val="32"/>
  </w:num>
  <w:num w:numId="35" w16cid:durableId="675766758">
    <w:abstractNumId w:val="58"/>
  </w:num>
  <w:num w:numId="36" w16cid:durableId="955672697">
    <w:abstractNumId w:val="19"/>
  </w:num>
  <w:num w:numId="37" w16cid:durableId="190921958">
    <w:abstractNumId w:val="59"/>
  </w:num>
  <w:num w:numId="38" w16cid:durableId="132138764">
    <w:abstractNumId w:val="48"/>
  </w:num>
  <w:num w:numId="39" w16cid:durableId="1475490710">
    <w:abstractNumId w:val="38"/>
  </w:num>
  <w:num w:numId="40" w16cid:durableId="1082609215">
    <w:abstractNumId w:val="4"/>
  </w:num>
  <w:num w:numId="41" w16cid:durableId="647781003">
    <w:abstractNumId w:val="31"/>
  </w:num>
  <w:num w:numId="42" w16cid:durableId="777601798">
    <w:abstractNumId w:val="5"/>
  </w:num>
  <w:num w:numId="43" w16cid:durableId="1431048987">
    <w:abstractNumId w:val="10"/>
  </w:num>
  <w:num w:numId="44" w16cid:durableId="1709211344">
    <w:abstractNumId w:val="41"/>
  </w:num>
  <w:num w:numId="45" w16cid:durableId="1401831894">
    <w:abstractNumId w:val="33"/>
  </w:num>
  <w:num w:numId="46" w16cid:durableId="2031223431">
    <w:abstractNumId w:val="8"/>
  </w:num>
  <w:num w:numId="47" w16cid:durableId="1684697561">
    <w:abstractNumId w:val="51"/>
  </w:num>
  <w:num w:numId="48" w16cid:durableId="811941198">
    <w:abstractNumId w:val="9"/>
  </w:num>
  <w:num w:numId="49" w16cid:durableId="2126191460">
    <w:abstractNumId w:val="62"/>
  </w:num>
  <w:num w:numId="50" w16cid:durableId="1976526709">
    <w:abstractNumId w:val="24"/>
  </w:num>
  <w:num w:numId="51" w16cid:durableId="1516530637">
    <w:abstractNumId w:val="45"/>
  </w:num>
  <w:num w:numId="52" w16cid:durableId="129248088">
    <w:abstractNumId w:val="15"/>
  </w:num>
  <w:num w:numId="53" w16cid:durableId="1681007154">
    <w:abstractNumId w:val="43"/>
  </w:num>
  <w:num w:numId="54" w16cid:durableId="1578831488">
    <w:abstractNumId w:val="22"/>
  </w:num>
  <w:num w:numId="55" w16cid:durableId="139465565">
    <w:abstractNumId w:val="1"/>
  </w:num>
  <w:num w:numId="56" w16cid:durableId="376586809">
    <w:abstractNumId w:val="56"/>
  </w:num>
  <w:num w:numId="57" w16cid:durableId="798378306">
    <w:abstractNumId w:val="27"/>
  </w:num>
  <w:num w:numId="58" w16cid:durableId="1932398108">
    <w:abstractNumId w:val="29"/>
  </w:num>
  <w:num w:numId="59" w16cid:durableId="2085486680">
    <w:abstractNumId w:val="6"/>
  </w:num>
  <w:num w:numId="60" w16cid:durableId="1482117311">
    <w:abstractNumId w:val="28"/>
  </w:num>
  <w:num w:numId="61" w16cid:durableId="1365981191">
    <w:abstractNumId w:val="20"/>
  </w:num>
  <w:num w:numId="62" w16cid:durableId="157425585">
    <w:abstractNumId w:val="63"/>
  </w:num>
  <w:num w:numId="63" w16cid:durableId="4522782">
    <w:abstractNumId w:val="36"/>
  </w:num>
  <w:num w:numId="64" w16cid:durableId="708653740">
    <w:abstractNumId w:val="17"/>
  </w:num>
  <w:num w:numId="65" w16cid:durableId="1246115579">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ite Them Right-Harvard (ord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pefzwa5hf9dt2ea9fax95x7xvxz90v09dtf&quot;&gt;My EndNote Library&lt;record-ids&gt;&lt;item&gt;3&lt;/item&gt;&lt;item&gt;19&lt;/item&gt;&lt;item&gt;30&lt;/item&gt;&lt;item&gt;37&lt;/item&gt;&lt;item&gt;39&lt;/item&gt;&lt;item&gt;43&lt;/item&gt;&lt;item&gt;57&lt;/item&gt;&lt;item&gt;61&lt;/item&gt;&lt;item&gt;62&lt;/item&gt;&lt;item&gt;2091&lt;/item&gt;&lt;item&gt;4953&lt;/item&gt;&lt;item&gt;4954&lt;/item&gt;&lt;item&gt;4955&lt;/item&gt;&lt;item&gt;4956&lt;/item&gt;&lt;item&gt;4959&lt;/item&gt;&lt;item&gt;4960&lt;/item&gt;&lt;item&gt;4965&lt;/item&gt;&lt;item&gt;4967&lt;/item&gt;&lt;item&gt;4971&lt;/item&gt;&lt;item&gt;4972&lt;/item&gt;&lt;item&gt;4976&lt;/item&gt;&lt;item&gt;4984&lt;/item&gt;&lt;item&gt;4990&lt;/item&gt;&lt;item&gt;4992&lt;/item&gt;&lt;item&gt;4994&lt;/item&gt;&lt;item&gt;4996&lt;/item&gt;&lt;item&gt;4999&lt;/item&gt;&lt;item&gt;5000&lt;/item&gt;&lt;item&gt;5009&lt;/item&gt;&lt;item&gt;5010&lt;/item&gt;&lt;item&gt;5012&lt;/item&gt;&lt;item&gt;5013&lt;/item&gt;&lt;item&gt;5014&lt;/item&gt;&lt;item&gt;5017&lt;/item&gt;&lt;item&gt;5018&lt;/item&gt;&lt;item&gt;5019&lt;/item&gt;&lt;item&gt;5021&lt;/item&gt;&lt;item&gt;5029&lt;/item&gt;&lt;item&gt;5041&lt;/item&gt;&lt;item&gt;5043&lt;/item&gt;&lt;item&gt;5046&lt;/item&gt;&lt;item&gt;5047&lt;/item&gt;&lt;item&gt;5048&lt;/item&gt;&lt;item&gt;5049&lt;/item&gt;&lt;item&gt;5050&lt;/item&gt;&lt;item&gt;5051&lt;/item&gt;&lt;item&gt;5080&lt;/item&gt;&lt;item&gt;5082&lt;/item&gt;&lt;item&gt;5083&lt;/item&gt;&lt;item&gt;5085&lt;/item&gt;&lt;item&gt;5098&lt;/item&gt;&lt;item&gt;5100&lt;/item&gt;&lt;item&gt;5108&lt;/item&gt;&lt;item&gt;5121&lt;/item&gt;&lt;item&gt;5122&lt;/item&gt;&lt;item&gt;5154&lt;/item&gt;&lt;item&gt;5168&lt;/item&gt;&lt;item&gt;5188&lt;/item&gt;&lt;item&gt;5191&lt;/item&gt;&lt;item&gt;5195&lt;/item&gt;&lt;item&gt;5196&lt;/item&gt;&lt;item&gt;5200&lt;/item&gt;&lt;item&gt;5213&lt;/item&gt;&lt;item&gt;5223&lt;/item&gt;&lt;item&gt;5233&lt;/item&gt;&lt;item&gt;5234&lt;/item&gt;&lt;item&gt;5235&lt;/item&gt;&lt;item&gt;5236&lt;/item&gt;&lt;item&gt;5237&lt;/item&gt;&lt;item&gt;5238&lt;/item&gt;&lt;item&gt;5239&lt;/item&gt;&lt;item&gt;5240&lt;/item&gt;&lt;item&gt;5242&lt;/item&gt;&lt;item&gt;5244&lt;/item&gt;&lt;item&gt;5248&lt;/item&gt;&lt;item&gt;5250&lt;/item&gt;&lt;item&gt;5256&lt;/item&gt;&lt;item&gt;5260&lt;/item&gt;&lt;item&gt;5268&lt;/item&gt;&lt;item&gt;5274&lt;/item&gt;&lt;item&gt;5283&lt;/item&gt;&lt;item&gt;5285&lt;/item&gt;&lt;item&gt;5296&lt;/item&gt;&lt;item&gt;5297&lt;/item&gt;&lt;item&gt;5340&lt;/item&gt;&lt;item&gt;5358&lt;/item&gt;&lt;item&gt;5369&lt;/item&gt;&lt;item&gt;5398&lt;/item&gt;&lt;item&gt;5435&lt;/item&gt;&lt;item&gt;5442&lt;/item&gt;&lt;item&gt;5452&lt;/item&gt;&lt;item&gt;5453&lt;/item&gt;&lt;item&gt;5467&lt;/item&gt;&lt;item&gt;5476&lt;/item&gt;&lt;item&gt;5522&lt;/item&gt;&lt;item&gt;5523&lt;/item&gt;&lt;item&gt;5528&lt;/item&gt;&lt;item&gt;5529&lt;/item&gt;&lt;item&gt;5536&lt;/item&gt;&lt;item&gt;5537&lt;/item&gt;&lt;item&gt;5549&lt;/item&gt;&lt;item&gt;5556&lt;/item&gt;&lt;item&gt;5571&lt;/item&gt;&lt;item&gt;5597&lt;/item&gt;&lt;item&gt;15208&lt;/item&gt;&lt;item&gt;15209&lt;/item&gt;&lt;item&gt;15210&lt;/item&gt;&lt;item&gt;15213&lt;/item&gt;&lt;item&gt;15214&lt;/item&gt;&lt;item&gt;15215&lt;/item&gt;&lt;item&gt;15216&lt;/item&gt;&lt;item&gt;15217&lt;/item&gt;&lt;item&gt;15218&lt;/item&gt;&lt;item&gt;15219&lt;/item&gt;&lt;item&gt;15220&lt;/item&gt;&lt;item&gt;15221&lt;/item&gt;&lt;item&gt;15226&lt;/item&gt;&lt;item&gt;15227&lt;/item&gt;&lt;item&gt;15228&lt;/item&gt;&lt;item&gt;15229&lt;/item&gt;&lt;item&gt;15230&lt;/item&gt;&lt;item&gt;15231&lt;/item&gt;&lt;item&gt;15232&lt;/item&gt;&lt;item&gt;15233&lt;/item&gt;&lt;item&gt;15234&lt;/item&gt;&lt;item&gt;15235&lt;/item&gt;&lt;item&gt;15236&lt;/item&gt;&lt;item&gt;15238&lt;/item&gt;&lt;item&gt;15239&lt;/item&gt;&lt;item&gt;15240&lt;/item&gt;&lt;item&gt;17246&lt;/item&gt;&lt;item&gt;17251&lt;/item&gt;&lt;item&gt;17299&lt;/item&gt;&lt;item&gt;17300&lt;/item&gt;&lt;item&gt;17301&lt;/item&gt;&lt;item&gt;17327&lt;/item&gt;&lt;item&gt;17338&lt;/item&gt;&lt;item&gt;17340&lt;/item&gt;&lt;item&gt;17342&lt;/item&gt;&lt;item&gt;17358&lt;/item&gt;&lt;item&gt;17360&lt;/item&gt;&lt;item&gt;17399&lt;/item&gt;&lt;item&gt;17400&lt;/item&gt;&lt;item&gt;17403&lt;/item&gt;&lt;item&gt;17404&lt;/item&gt;&lt;item&gt;17419&lt;/item&gt;&lt;item&gt;17420&lt;/item&gt;&lt;item&gt;17471&lt;/item&gt;&lt;item&gt;17472&lt;/item&gt;&lt;item&gt;17491&lt;/item&gt;&lt;item&gt;17492&lt;/item&gt;&lt;item&gt;17496&lt;/item&gt;&lt;item&gt;17499&lt;/item&gt;&lt;item&gt;17501&lt;/item&gt;&lt;item&gt;17517&lt;/item&gt;&lt;item&gt;17518&lt;/item&gt;&lt;item&gt;17519&lt;/item&gt;&lt;item&gt;17561&lt;/item&gt;&lt;item&gt;17563&lt;/item&gt;&lt;item&gt;17572&lt;/item&gt;&lt;item&gt;17580&lt;/item&gt;&lt;item&gt;17581&lt;/item&gt;&lt;item&gt;17582&lt;/item&gt;&lt;item&gt;17584&lt;/item&gt;&lt;item&gt;17585&lt;/item&gt;&lt;item&gt;17588&lt;/item&gt;&lt;item&gt;17589&lt;/item&gt;&lt;item&gt;17590&lt;/item&gt;&lt;item&gt;17591&lt;/item&gt;&lt;item&gt;17592&lt;/item&gt;&lt;item&gt;17593&lt;/item&gt;&lt;item&gt;17594&lt;/item&gt;&lt;item&gt;17596&lt;/item&gt;&lt;item&gt;17602&lt;/item&gt;&lt;item&gt;17603&lt;/item&gt;&lt;item&gt;17604&lt;/item&gt;&lt;item&gt;17605&lt;/item&gt;&lt;item&gt;17606&lt;/item&gt;&lt;item&gt;17607&lt;/item&gt;&lt;item&gt;17608&lt;/item&gt;&lt;item&gt;17609&lt;/item&gt;&lt;item&gt;17610&lt;/item&gt;&lt;item&gt;101027&lt;/item&gt;&lt;item&gt;101028&lt;/item&gt;&lt;item&gt;101044&lt;/item&gt;&lt;item&gt;101048&lt;/item&gt;&lt;item&gt;101049&lt;/item&gt;&lt;item&gt;101050&lt;/item&gt;&lt;item&gt;124521&lt;/item&gt;&lt;item&gt;124524&lt;/item&gt;&lt;item&gt;124525&lt;/item&gt;&lt;item&gt;124526&lt;/item&gt;&lt;item&gt;124527&lt;/item&gt;&lt;item&gt;124550&lt;/item&gt;&lt;item&gt;124552&lt;/item&gt;&lt;item&gt;124561&lt;/item&gt;&lt;item&gt;124572&lt;/item&gt;&lt;item&gt;124573&lt;/item&gt;&lt;item&gt;124574&lt;/item&gt;&lt;item&gt;124575&lt;/item&gt;&lt;item&gt;124576&lt;/item&gt;&lt;item&gt;124581&lt;/item&gt;&lt;item&gt;124583&lt;/item&gt;&lt;item&gt;124585&lt;/item&gt;&lt;item&gt;124586&lt;/item&gt;&lt;item&gt;124595&lt;/item&gt;&lt;item&gt;124596&lt;/item&gt;&lt;item&gt;124597&lt;/item&gt;&lt;item&gt;124598&lt;/item&gt;&lt;item&gt;124599&lt;/item&gt;&lt;item&gt;124600&lt;/item&gt;&lt;item&gt;124900&lt;/item&gt;&lt;item&gt;124901&lt;/item&gt;&lt;item&gt;124902&lt;/item&gt;&lt;item&gt;124905&lt;/item&gt;&lt;item&gt;124951&lt;/item&gt;&lt;item&gt;124954&lt;/item&gt;&lt;item&gt;124956&lt;/item&gt;&lt;item&gt;124965&lt;/item&gt;&lt;item&gt;124966&lt;/item&gt;&lt;item&gt;124968&lt;/item&gt;&lt;item&gt;124972&lt;/item&gt;&lt;item&gt;124978&lt;/item&gt;&lt;item&gt;124980&lt;/item&gt;&lt;item&gt;124984&lt;/item&gt;&lt;item&gt;124985&lt;/item&gt;&lt;item&gt;124993&lt;/item&gt;&lt;item&gt;124994&lt;/item&gt;&lt;item&gt;124997&lt;/item&gt;&lt;item&gt;124998&lt;/item&gt;&lt;item&gt;124999&lt;/item&gt;&lt;item&gt;125000&lt;/item&gt;&lt;item&gt;125001&lt;/item&gt;&lt;item&gt;125002&lt;/item&gt;&lt;item&gt;125003&lt;/item&gt;&lt;item&gt;125007&lt;/item&gt;&lt;item&gt;125017&lt;/item&gt;&lt;item&gt;125020&lt;/item&gt;&lt;item&gt;125021&lt;/item&gt;&lt;item&gt;125023&lt;/item&gt;&lt;item&gt;125030&lt;/item&gt;&lt;item&gt;125032&lt;/item&gt;&lt;item&gt;125033&lt;/item&gt;&lt;item&gt;125034&lt;/item&gt;&lt;item&gt;125035&lt;/item&gt;&lt;item&gt;125036&lt;/item&gt;&lt;item&gt;125037&lt;/item&gt;&lt;item&gt;125040&lt;/item&gt;&lt;item&gt;125044&lt;/item&gt;&lt;item&gt;125045&lt;/item&gt;&lt;item&gt;125054&lt;/item&gt;&lt;item&gt;125055&lt;/item&gt;&lt;item&gt;125069&lt;/item&gt;&lt;item&gt;125078&lt;/item&gt;&lt;item&gt;125086&lt;/item&gt;&lt;item&gt;125087&lt;/item&gt;&lt;item&gt;125090&lt;/item&gt;&lt;item&gt;125091&lt;/item&gt;&lt;item&gt;125096&lt;/item&gt;&lt;item&gt;125099&lt;/item&gt;&lt;item&gt;125100&lt;/item&gt;&lt;item&gt;125101&lt;/item&gt;&lt;item&gt;125103&lt;/item&gt;&lt;item&gt;125104&lt;/item&gt;&lt;item&gt;125105&lt;/item&gt;&lt;item&gt;125119&lt;/item&gt;&lt;item&gt;125126&lt;/item&gt;&lt;item&gt;125129&lt;/item&gt;&lt;item&gt;125130&lt;/item&gt;&lt;item&gt;125132&lt;/item&gt;&lt;item&gt;125143&lt;/item&gt;&lt;item&gt;125150&lt;/item&gt;&lt;item&gt;125151&lt;/item&gt;&lt;item&gt;125152&lt;/item&gt;&lt;item&gt;125156&lt;/item&gt;&lt;item&gt;125157&lt;/item&gt;&lt;item&gt;125158&lt;/item&gt;&lt;item&gt;125159&lt;/item&gt;&lt;item&gt;125165&lt;/item&gt;&lt;item&gt;125166&lt;/item&gt;&lt;item&gt;125177&lt;/item&gt;&lt;item&gt;125179&lt;/item&gt;&lt;item&gt;125186&lt;/item&gt;&lt;item&gt;125187&lt;/item&gt;&lt;item&gt;125188&lt;/item&gt;&lt;item&gt;125189&lt;/item&gt;&lt;item&gt;125192&lt;/item&gt;&lt;item&gt;125193&lt;/item&gt;&lt;item&gt;125202&lt;/item&gt;&lt;item&gt;125203&lt;/item&gt;&lt;item&gt;125209&lt;/item&gt;&lt;item&gt;125210&lt;/item&gt;&lt;item&gt;125211&lt;/item&gt;&lt;item&gt;125233&lt;/item&gt;&lt;item&gt;125234&lt;/item&gt;&lt;item&gt;125235&lt;/item&gt;&lt;item&gt;125236&lt;/item&gt;&lt;item&gt;125237&lt;/item&gt;&lt;item&gt;125241&lt;/item&gt;&lt;item&gt;125242&lt;/item&gt;&lt;item&gt;125250&lt;/item&gt;&lt;item&gt;125251&lt;/item&gt;&lt;item&gt;125252&lt;/item&gt;&lt;item&gt;125253&lt;/item&gt;&lt;item&gt;125254&lt;/item&gt;&lt;item&gt;125258&lt;/item&gt;&lt;item&gt;125259&lt;/item&gt;&lt;item&gt;125261&lt;/item&gt;&lt;item&gt;125262&lt;/item&gt;&lt;item&gt;125263&lt;/item&gt;&lt;item&gt;125264&lt;/item&gt;&lt;item&gt;125265&lt;/item&gt;&lt;item&gt;125266&lt;/item&gt;&lt;item&gt;125268&lt;/item&gt;&lt;item&gt;125269&lt;/item&gt;&lt;item&gt;125270&lt;/item&gt;&lt;item&gt;125271&lt;/item&gt;&lt;item&gt;125272&lt;/item&gt;&lt;item&gt;125274&lt;/item&gt;&lt;item&gt;125275&lt;/item&gt;&lt;item&gt;125276&lt;/item&gt;&lt;item&gt;125277&lt;/item&gt;&lt;item&gt;125278&lt;/item&gt;&lt;item&gt;125279&lt;/item&gt;&lt;item&gt;125280&lt;/item&gt;&lt;item&gt;125281&lt;/item&gt;&lt;item&gt;125285&lt;/item&gt;&lt;item&gt;125286&lt;/item&gt;&lt;item&gt;125287&lt;/item&gt;&lt;item&gt;125288&lt;/item&gt;&lt;item&gt;125293&lt;/item&gt;&lt;item&gt;125295&lt;/item&gt;&lt;item&gt;125296&lt;/item&gt;&lt;item&gt;125297&lt;/item&gt;&lt;item&gt;125298&lt;/item&gt;&lt;item&gt;125299&lt;/item&gt;&lt;item&gt;125300&lt;/item&gt;&lt;item&gt;125301&lt;/item&gt;&lt;item&gt;125303&lt;/item&gt;&lt;item&gt;125304&lt;/item&gt;&lt;item&gt;125305&lt;/item&gt;&lt;item&gt;125306&lt;/item&gt;&lt;item&gt;125308&lt;/item&gt;&lt;item&gt;125310&lt;/item&gt;&lt;item&gt;125313&lt;/item&gt;&lt;item&gt;125314&lt;/item&gt;&lt;item&gt;125315&lt;/item&gt;&lt;item&gt;125316&lt;/item&gt;&lt;item&gt;125317&lt;/item&gt;&lt;item&gt;125318&lt;/item&gt;&lt;item&gt;125320&lt;/item&gt;&lt;item&gt;125321&lt;/item&gt;&lt;item&gt;125323&lt;/item&gt;&lt;item&gt;125325&lt;/item&gt;&lt;item&gt;125326&lt;/item&gt;&lt;item&gt;125327&lt;/item&gt;&lt;item&gt;125328&lt;/item&gt;&lt;item&gt;125329&lt;/item&gt;&lt;item&gt;125331&lt;/item&gt;&lt;item&gt;125332&lt;/item&gt;&lt;item&gt;125333&lt;/item&gt;&lt;item&gt;125335&lt;/item&gt;&lt;item&gt;125336&lt;/item&gt;&lt;item&gt;125337&lt;/item&gt;&lt;item&gt;125339&lt;/item&gt;&lt;item&gt;125340&lt;/item&gt;&lt;item&gt;125342&lt;/item&gt;&lt;item&gt;125343&lt;/item&gt;&lt;item&gt;125344&lt;/item&gt;&lt;item&gt;125345&lt;/item&gt;&lt;item&gt;125346&lt;/item&gt;&lt;item&gt;125347&lt;/item&gt;&lt;item&gt;125348&lt;/item&gt;&lt;item&gt;125352&lt;/item&gt;&lt;item&gt;125353&lt;/item&gt;&lt;item&gt;125354&lt;/item&gt;&lt;item&gt;125355&lt;/item&gt;&lt;item&gt;125356&lt;/item&gt;&lt;item&gt;125357&lt;/item&gt;&lt;item&gt;125359&lt;/item&gt;&lt;item&gt;125362&lt;/item&gt;&lt;item&gt;125363&lt;/item&gt;&lt;item&gt;125364&lt;/item&gt;&lt;item&gt;125366&lt;/item&gt;&lt;item&gt;125367&lt;/item&gt;&lt;item&gt;125368&lt;/item&gt;&lt;item&gt;125369&lt;/item&gt;&lt;item&gt;125371&lt;/item&gt;&lt;item&gt;125372&lt;/item&gt;&lt;item&gt;125373&lt;/item&gt;&lt;item&gt;125374&lt;/item&gt;&lt;item&gt;125376&lt;/item&gt;&lt;item&gt;125377&lt;/item&gt;&lt;item&gt;125379&lt;/item&gt;&lt;item&gt;125380&lt;/item&gt;&lt;item&gt;125382&lt;/item&gt;&lt;item&gt;125384&lt;/item&gt;&lt;item&gt;125386&lt;/item&gt;&lt;item&gt;125388&lt;/item&gt;&lt;item&gt;125389&lt;/item&gt;&lt;item&gt;125391&lt;/item&gt;&lt;item&gt;125392&lt;/item&gt;&lt;item&gt;125393&lt;/item&gt;&lt;item&gt;125394&lt;/item&gt;&lt;item&gt;125395&lt;/item&gt;&lt;item&gt;125396&lt;/item&gt;&lt;item&gt;125398&lt;/item&gt;&lt;item&gt;125399&lt;/item&gt;&lt;item&gt;125400&lt;/item&gt;&lt;item&gt;125401&lt;/item&gt;&lt;item&gt;125402&lt;/item&gt;&lt;item&gt;125403&lt;/item&gt;&lt;item&gt;125404&lt;/item&gt;&lt;item&gt;125405&lt;/item&gt;&lt;item&gt;125407&lt;/item&gt;&lt;item&gt;125409&lt;/item&gt;&lt;item&gt;125411&lt;/item&gt;&lt;item&gt;125412&lt;/item&gt;&lt;item&gt;125414&lt;/item&gt;&lt;item&gt;125415&lt;/item&gt;&lt;item&gt;125416&lt;/item&gt;&lt;item&gt;125417&lt;/item&gt;&lt;item&gt;125418&lt;/item&gt;&lt;item&gt;125419&lt;/item&gt;&lt;item&gt;125420&lt;/item&gt;&lt;item&gt;125421&lt;/item&gt;&lt;item&gt;125424&lt;/item&gt;&lt;item&gt;125425&lt;/item&gt;&lt;item&gt;125428&lt;/item&gt;&lt;item&gt;125429&lt;/item&gt;&lt;item&gt;125430&lt;/item&gt;&lt;item&gt;125431&lt;/item&gt;&lt;item&gt;125433&lt;/item&gt;&lt;item&gt;125434&lt;/item&gt;&lt;item&gt;125435&lt;/item&gt;&lt;item&gt;125436&lt;/item&gt;&lt;item&gt;125437&lt;/item&gt;&lt;item&gt;125438&lt;/item&gt;&lt;item&gt;125441&lt;/item&gt;&lt;item&gt;125445&lt;/item&gt;&lt;item&gt;125452&lt;/item&gt;&lt;item&gt;125453&lt;/item&gt;&lt;item&gt;125455&lt;/item&gt;&lt;item&gt;125457&lt;/item&gt;&lt;item&gt;125458&lt;/item&gt;&lt;item&gt;125460&lt;/item&gt;&lt;item&gt;125461&lt;/item&gt;&lt;item&gt;125465&lt;/item&gt;&lt;item&gt;125467&lt;/item&gt;&lt;item&gt;125468&lt;/item&gt;&lt;item&gt;125469&lt;/item&gt;&lt;item&gt;125472&lt;/item&gt;&lt;item&gt;125474&lt;/item&gt;&lt;item&gt;125475&lt;/item&gt;&lt;item&gt;125477&lt;/item&gt;&lt;item&gt;125480&lt;/item&gt;&lt;item&gt;125482&lt;/item&gt;&lt;item&gt;125483&lt;/item&gt;&lt;item&gt;125484&lt;/item&gt;&lt;item&gt;125485&lt;/item&gt;&lt;item&gt;125486&lt;/item&gt;&lt;item&gt;125487&lt;/item&gt;&lt;item&gt;125488&lt;/item&gt;&lt;item&gt;125489&lt;/item&gt;&lt;item&gt;125490&lt;/item&gt;&lt;item&gt;125491&lt;/item&gt;&lt;item&gt;125493&lt;/item&gt;&lt;item&gt;125494&lt;/item&gt;&lt;item&gt;125495&lt;/item&gt;&lt;item&gt;125497&lt;/item&gt;&lt;item&gt;125498&lt;/item&gt;&lt;item&gt;125500&lt;/item&gt;&lt;item&gt;125501&lt;/item&gt;&lt;item&gt;125502&lt;/item&gt;&lt;item&gt;125504&lt;/item&gt;&lt;item&gt;125505&lt;/item&gt;&lt;item&gt;125506&lt;/item&gt;&lt;item&gt;125507&lt;/item&gt;&lt;item&gt;125508&lt;/item&gt;&lt;item&gt;125509&lt;/item&gt;&lt;item&gt;125513&lt;/item&gt;&lt;item&gt;125515&lt;/item&gt;&lt;item&gt;125516&lt;/item&gt;&lt;item&gt;125517&lt;/item&gt;&lt;item&gt;125518&lt;/item&gt;&lt;item&gt;125519&lt;/item&gt;&lt;item&gt;125520&lt;/item&gt;&lt;item&gt;125521&lt;/item&gt;&lt;item&gt;125522&lt;/item&gt;&lt;item&gt;125524&lt;/item&gt;&lt;item&gt;125525&lt;/item&gt;&lt;item&gt;125526&lt;/item&gt;&lt;item&gt;125527&lt;/item&gt;&lt;item&gt;125528&lt;/item&gt;&lt;item&gt;125529&lt;/item&gt;&lt;item&gt;125530&lt;/item&gt;&lt;item&gt;125531&lt;/item&gt;&lt;item&gt;125532&lt;/item&gt;&lt;item&gt;125533&lt;/item&gt;&lt;item&gt;125536&lt;/item&gt;&lt;item&gt;125537&lt;/item&gt;&lt;item&gt;125539&lt;/item&gt;&lt;item&gt;125540&lt;/item&gt;&lt;item&gt;125542&lt;/item&gt;&lt;item&gt;125544&lt;/item&gt;&lt;item&gt;125546&lt;/item&gt;&lt;item&gt;125547&lt;/item&gt;&lt;item&gt;125548&lt;/item&gt;&lt;item&gt;125549&lt;/item&gt;&lt;item&gt;125553&lt;/item&gt;&lt;item&gt;125554&lt;/item&gt;&lt;item&gt;125555&lt;/item&gt;&lt;item&gt;125556&lt;/item&gt;&lt;item&gt;125557&lt;/item&gt;&lt;item&gt;125558&lt;/item&gt;&lt;item&gt;125560&lt;/item&gt;&lt;item&gt;125563&lt;/item&gt;&lt;item&gt;125564&lt;/item&gt;&lt;item&gt;125565&lt;/item&gt;&lt;item&gt;125566&lt;/item&gt;&lt;item&gt;125567&lt;/item&gt;&lt;item&gt;125568&lt;/item&gt;&lt;item&gt;125569&lt;/item&gt;&lt;item&gt;125570&lt;/item&gt;&lt;item&gt;125571&lt;/item&gt;&lt;item&gt;125572&lt;/item&gt;&lt;item&gt;125573&lt;/item&gt;&lt;item&gt;125574&lt;/item&gt;&lt;item&gt;125575&lt;/item&gt;&lt;item&gt;125576&lt;/item&gt;&lt;item&gt;125577&lt;/item&gt;&lt;item&gt;125579&lt;/item&gt;&lt;item&gt;125580&lt;/item&gt;&lt;item&gt;125581&lt;/item&gt;&lt;item&gt;125582&lt;/item&gt;&lt;item&gt;125583&lt;/item&gt;&lt;item&gt;125584&lt;/item&gt;&lt;item&gt;125585&lt;/item&gt;&lt;item&gt;125586&lt;/item&gt;&lt;item&gt;125587&lt;/item&gt;&lt;item&gt;125588&lt;/item&gt;&lt;item&gt;125589&lt;/item&gt;&lt;item&gt;125590&lt;/item&gt;&lt;item&gt;125591&lt;/item&gt;&lt;item&gt;125592&lt;/item&gt;&lt;item&gt;125593&lt;/item&gt;&lt;item&gt;125594&lt;/item&gt;&lt;item&gt;125595&lt;/item&gt;&lt;item&gt;125596&lt;/item&gt;&lt;item&gt;125597&lt;/item&gt;&lt;item&gt;125598&lt;/item&gt;&lt;item&gt;125599&lt;/item&gt;&lt;item&gt;125600&lt;/item&gt;&lt;item&gt;125601&lt;/item&gt;&lt;item&gt;125602&lt;/item&gt;&lt;item&gt;125603&lt;/item&gt;&lt;item&gt;125634&lt;/item&gt;&lt;item&gt;125635&lt;/item&gt;&lt;item&gt;125636&lt;/item&gt;&lt;item&gt;125637&lt;/item&gt;&lt;item&gt;125638&lt;/item&gt;&lt;item&gt;125639&lt;/item&gt;&lt;/record-ids&gt;&lt;/item&gt;&lt;/Libraries&gt;"/>
  </w:docVars>
  <w:rsids>
    <w:rsidRoot w:val="00E8684A"/>
    <w:rsid w:val="000005A2"/>
    <w:rsid w:val="00000DFB"/>
    <w:rsid w:val="00001214"/>
    <w:rsid w:val="00001785"/>
    <w:rsid w:val="00002005"/>
    <w:rsid w:val="000028B9"/>
    <w:rsid w:val="000028CF"/>
    <w:rsid w:val="00002CAD"/>
    <w:rsid w:val="00003034"/>
    <w:rsid w:val="000030A1"/>
    <w:rsid w:val="0000312F"/>
    <w:rsid w:val="00003288"/>
    <w:rsid w:val="00003C6D"/>
    <w:rsid w:val="00005E61"/>
    <w:rsid w:val="00005E7B"/>
    <w:rsid w:val="00005E96"/>
    <w:rsid w:val="000061CF"/>
    <w:rsid w:val="000062F7"/>
    <w:rsid w:val="000065C8"/>
    <w:rsid w:val="0000664D"/>
    <w:rsid w:val="00006762"/>
    <w:rsid w:val="000073EE"/>
    <w:rsid w:val="0001063D"/>
    <w:rsid w:val="000107FB"/>
    <w:rsid w:val="00010BFB"/>
    <w:rsid w:val="00010CA3"/>
    <w:rsid w:val="00010FD3"/>
    <w:rsid w:val="000111CD"/>
    <w:rsid w:val="000116C0"/>
    <w:rsid w:val="00011E85"/>
    <w:rsid w:val="00012114"/>
    <w:rsid w:val="000122E7"/>
    <w:rsid w:val="000124D5"/>
    <w:rsid w:val="00012A3E"/>
    <w:rsid w:val="000131C9"/>
    <w:rsid w:val="0001339A"/>
    <w:rsid w:val="00013D8F"/>
    <w:rsid w:val="000142C4"/>
    <w:rsid w:val="00014CDB"/>
    <w:rsid w:val="00014F88"/>
    <w:rsid w:val="00015086"/>
    <w:rsid w:val="00015088"/>
    <w:rsid w:val="00015170"/>
    <w:rsid w:val="00015684"/>
    <w:rsid w:val="00016130"/>
    <w:rsid w:val="00016593"/>
    <w:rsid w:val="00016E58"/>
    <w:rsid w:val="000177A1"/>
    <w:rsid w:val="000179D0"/>
    <w:rsid w:val="00017A39"/>
    <w:rsid w:val="000202C2"/>
    <w:rsid w:val="000202F1"/>
    <w:rsid w:val="0002040D"/>
    <w:rsid w:val="00020819"/>
    <w:rsid w:val="00020A04"/>
    <w:rsid w:val="00020EE4"/>
    <w:rsid w:val="000215B0"/>
    <w:rsid w:val="00021E4A"/>
    <w:rsid w:val="0002225F"/>
    <w:rsid w:val="0002247C"/>
    <w:rsid w:val="00022E8D"/>
    <w:rsid w:val="00022FCF"/>
    <w:rsid w:val="00024324"/>
    <w:rsid w:val="0002470C"/>
    <w:rsid w:val="00024F5F"/>
    <w:rsid w:val="00026004"/>
    <w:rsid w:val="00026222"/>
    <w:rsid w:val="000262E2"/>
    <w:rsid w:val="0002632D"/>
    <w:rsid w:val="000267A9"/>
    <w:rsid w:val="00026815"/>
    <w:rsid w:val="00026820"/>
    <w:rsid w:val="00026A81"/>
    <w:rsid w:val="0002782B"/>
    <w:rsid w:val="00027C50"/>
    <w:rsid w:val="0003086E"/>
    <w:rsid w:val="0003113B"/>
    <w:rsid w:val="0003126F"/>
    <w:rsid w:val="0003244E"/>
    <w:rsid w:val="000329DB"/>
    <w:rsid w:val="000331BE"/>
    <w:rsid w:val="000336AD"/>
    <w:rsid w:val="00033731"/>
    <w:rsid w:val="00033A17"/>
    <w:rsid w:val="00033AFD"/>
    <w:rsid w:val="00033DBF"/>
    <w:rsid w:val="00033DF7"/>
    <w:rsid w:val="0003426B"/>
    <w:rsid w:val="0003443C"/>
    <w:rsid w:val="000351A8"/>
    <w:rsid w:val="00035D00"/>
    <w:rsid w:val="00035D5C"/>
    <w:rsid w:val="00035E56"/>
    <w:rsid w:val="00036C07"/>
    <w:rsid w:val="00036F12"/>
    <w:rsid w:val="000373F5"/>
    <w:rsid w:val="00037C05"/>
    <w:rsid w:val="000402A8"/>
    <w:rsid w:val="00040318"/>
    <w:rsid w:val="00040A2F"/>
    <w:rsid w:val="00040B32"/>
    <w:rsid w:val="00040BFF"/>
    <w:rsid w:val="0004124B"/>
    <w:rsid w:val="00041AED"/>
    <w:rsid w:val="00041B46"/>
    <w:rsid w:val="000420AE"/>
    <w:rsid w:val="00042412"/>
    <w:rsid w:val="00043662"/>
    <w:rsid w:val="00043CE6"/>
    <w:rsid w:val="00044932"/>
    <w:rsid w:val="00044BD7"/>
    <w:rsid w:val="00044CDF"/>
    <w:rsid w:val="00045388"/>
    <w:rsid w:val="00045E2B"/>
    <w:rsid w:val="00046356"/>
    <w:rsid w:val="000463C3"/>
    <w:rsid w:val="00046586"/>
    <w:rsid w:val="00046A73"/>
    <w:rsid w:val="00046E20"/>
    <w:rsid w:val="000471FF"/>
    <w:rsid w:val="00047486"/>
    <w:rsid w:val="000475A1"/>
    <w:rsid w:val="0004779B"/>
    <w:rsid w:val="00050390"/>
    <w:rsid w:val="00050E9E"/>
    <w:rsid w:val="000511CD"/>
    <w:rsid w:val="00051370"/>
    <w:rsid w:val="000518E9"/>
    <w:rsid w:val="000521DC"/>
    <w:rsid w:val="000522C7"/>
    <w:rsid w:val="000526C1"/>
    <w:rsid w:val="000526D0"/>
    <w:rsid w:val="0005277A"/>
    <w:rsid w:val="00053037"/>
    <w:rsid w:val="0005337D"/>
    <w:rsid w:val="000533BB"/>
    <w:rsid w:val="00053646"/>
    <w:rsid w:val="0005473D"/>
    <w:rsid w:val="00054BC0"/>
    <w:rsid w:val="00054CA8"/>
    <w:rsid w:val="00054CEF"/>
    <w:rsid w:val="0005532A"/>
    <w:rsid w:val="0005570A"/>
    <w:rsid w:val="000558C9"/>
    <w:rsid w:val="00055ADF"/>
    <w:rsid w:val="00055DEC"/>
    <w:rsid w:val="00056401"/>
    <w:rsid w:val="000579F9"/>
    <w:rsid w:val="00057B4F"/>
    <w:rsid w:val="0006021F"/>
    <w:rsid w:val="0006040C"/>
    <w:rsid w:val="00060F29"/>
    <w:rsid w:val="00062561"/>
    <w:rsid w:val="00062791"/>
    <w:rsid w:val="00062812"/>
    <w:rsid w:val="00062CD8"/>
    <w:rsid w:val="00063400"/>
    <w:rsid w:val="00063773"/>
    <w:rsid w:val="00063E25"/>
    <w:rsid w:val="000641B4"/>
    <w:rsid w:val="00064498"/>
    <w:rsid w:val="00064D69"/>
    <w:rsid w:val="00065149"/>
    <w:rsid w:val="0006557E"/>
    <w:rsid w:val="000655BD"/>
    <w:rsid w:val="0006586F"/>
    <w:rsid w:val="00065AE4"/>
    <w:rsid w:val="0006623C"/>
    <w:rsid w:val="000663E4"/>
    <w:rsid w:val="00066868"/>
    <w:rsid w:val="00066944"/>
    <w:rsid w:val="00066D77"/>
    <w:rsid w:val="000673B1"/>
    <w:rsid w:val="00067EB6"/>
    <w:rsid w:val="00070115"/>
    <w:rsid w:val="00070925"/>
    <w:rsid w:val="00071075"/>
    <w:rsid w:val="00071700"/>
    <w:rsid w:val="00071972"/>
    <w:rsid w:val="00072057"/>
    <w:rsid w:val="000725FE"/>
    <w:rsid w:val="00072AF3"/>
    <w:rsid w:val="00072B36"/>
    <w:rsid w:val="00073787"/>
    <w:rsid w:val="00073B05"/>
    <w:rsid w:val="00073C63"/>
    <w:rsid w:val="00074075"/>
    <w:rsid w:val="00074394"/>
    <w:rsid w:val="000743E9"/>
    <w:rsid w:val="000745D7"/>
    <w:rsid w:val="0007463F"/>
    <w:rsid w:val="00074665"/>
    <w:rsid w:val="000750F8"/>
    <w:rsid w:val="00075704"/>
    <w:rsid w:val="0007590C"/>
    <w:rsid w:val="00076184"/>
    <w:rsid w:val="00076263"/>
    <w:rsid w:val="000764D9"/>
    <w:rsid w:val="0007674D"/>
    <w:rsid w:val="0007689E"/>
    <w:rsid w:val="0007690E"/>
    <w:rsid w:val="000775D5"/>
    <w:rsid w:val="0007763F"/>
    <w:rsid w:val="00077B55"/>
    <w:rsid w:val="0008081D"/>
    <w:rsid w:val="00080889"/>
    <w:rsid w:val="00080F78"/>
    <w:rsid w:val="0008179B"/>
    <w:rsid w:val="00081B5D"/>
    <w:rsid w:val="00081BB2"/>
    <w:rsid w:val="00081DAE"/>
    <w:rsid w:val="0008220D"/>
    <w:rsid w:val="00082430"/>
    <w:rsid w:val="000828CA"/>
    <w:rsid w:val="00082FF3"/>
    <w:rsid w:val="0008346C"/>
    <w:rsid w:val="00083481"/>
    <w:rsid w:val="00083ACC"/>
    <w:rsid w:val="00084127"/>
    <w:rsid w:val="00084B1A"/>
    <w:rsid w:val="00084D5B"/>
    <w:rsid w:val="00084D68"/>
    <w:rsid w:val="00084EEB"/>
    <w:rsid w:val="00085079"/>
    <w:rsid w:val="000851CC"/>
    <w:rsid w:val="000851F6"/>
    <w:rsid w:val="00085265"/>
    <w:rsid w:val="00085E4F"/>
    <w:rsid w:val="000864A3"/>
    <w:rsid w:val="00086669"/>
    <w:rsid w:val="00086796"/>
    <w:rsid w:val="00087950"/>
    <w:rsid w:val="00087B97"/>
    <w:rsid w:val="0009049C"/>
    <w:rsid w:val="000905FC"/>
    <w:rsid w:val="0009087D"/>
    <w:rsid w:val="00090E02"/>
    <w:rsid w:val="00091838"/>
    <w:rsid w:val="00091DC4"/>
    <w:rsid w:val="00092445"/>
    <w:rsid w:val="000924B7"/>
    <w:rsid w:val="00092973"/>
    <w:rsid w:val="00092BF3"/>
    <w:rsid w:val="00092CFF"/>
    <w:rsid w:val="00093178"/>
    <w:rsid w:val="000933FD"/>
    <w:rsid w:val="00093B9E"/>
    <w:rsid w:val="000943FF"/>
    <w:rsid w:val="00094EE0"/>
    <w:rsid w:val="00095277"/>
    <w:rsid w:val="00095343"/>
    <w:rsid w:val="0009584D"/>
    <w:rsid w:val="00095A41"/>
    <w:rsid w:val="00095A50"/>
    <w:rsid w:val="00096286"/>
    <w:rsid w:val="0009672F"/>
    <w:rsid w:val="00096C37"/>
    <w:rsid w:val="00096F9B"/>
    <w:rsid w:val="00097080"/>
    <w:rsid w:val="000970DF"/>
    <w:rsid w:val="0009710D"/>
    <w:rsid w:val="0009712B"/>
    <w:rsid w:val="0009729F"/>
    <w:rsid w:val="00097751"/>
    <w:rsid w:val="00097BC1"/>
    <w:rsid w:val="00097D3F"/>
    <w:rsid w:val="000A04D4"/>
    <w:rsid w:val="000A088A"/>
    <w:rsid w:val="000A0E08"/>
    <w:rsid w:val="000A0F36"/>
    <w:rsid w:val="000A143A"/>
    <w:rsid w:val="000A14A4"/>
    <w:rsid w:val="000A157C"/>
    <w:rsid w:val="000A15E2"/>
    <w:rsid w:val="000A1CC0"/>
    <w:rsid w:val="000A2E31"/>
    <w:rsid w:val="000A31E0"/>
    <w:rsid w:val="000A42E8"/>
    <w:rsid w:val="000A43B1"/>
    <w:rsid w:val="000A44D0"/>
    <w:rsid w:val="000A45AA"/>
    <w:rsid w:val="000A4FA6"/>
    <w:rsid w:val="000A533A"/>
    <w:rsid w:val="000A5473"/>
    <w:rsid w:val="000A631B"/>
    <w:rsid w:val="000A6758"/>
    <w:rsid w:val="000A7232"/>
    <w:rsid w:val="000A7815"/>
    <w:rsid w:val="000B07CD"/>
    <w:rsid w:val="000B0DFA"/>
    <w:rsid w:val="000B0EAB"/>
    <w:rsid w:val="000B188A"/>
    <w:rsid w:val="000B18C0"/>
    <w:rsid w:val="000B1F80"/>
    <w:rsid w:val="000B2573"/>
    <w:rsid w:val="000B29EF"/>
    <w:rsid w:val="000B2C1C"/>
    <w:rsid w:val="000B2D52"/>
    <w:rsid w:val="000B2E5E"/>
    <w:rsid w:val="000B35BE"/>
    <w:rsid w:val="000B3B7A"/>
    <w:rsid w:val="000B3EAD"/>
    <w:rsid w:val="000B4B0D"/>
    <w:rsid w:val="000B4BB4"/>
    <w:rsid w:val="000B4ED1"/>
    <w:rsid w:val="000B5737"/>
    <w:rsid w:val="000B67CA"/>
    <w:rsid w:val="000B6B49"/>
    <w:rsid w:val="000B7181"/>
    <w:rsid w:val="000B7C70"/>
    <w:rsid w:val="000B7CD5"/>
    <w:rsid w:val="000C0074"/>
    <w:rsid w:val="000C0726"/>
    <w:rsid w:val="000C0A05"/>
    <w:rsid w:val="000C0E14"/>
    <w:rsid w:val="000C15C0"/>
    <w:rsid w:val="000C1A8C"/>
    <w:rsid w:val="000C1C3A"/>
    <w:rsid w:val="000C1C8F"/>
    <w:rsid w:val="000C1EE2"/>
    <w:rsid w:val="000C283C"/>
    <w:rsid w:val="000C2A42"/>
    <w:rsid w:val="000C2F0E"/>
    <w:rsid w:val="000C2F53"/>
    <w:rsid w:val="000C39BD"/>
    <w:rsid w:val="000C3A97"/>
    <w:rsid w:val="000C3F64"/>
    <w:rsid w:val="000C426A"/>
    <w:rsid w:val="000C4298"/>
    <w:rsid w:val="000C485B"/>
    <w:rsid w:val="000C4B27"/>
    <w:rsid w:val="000C4B38"/>
    <w:rsid w:val="000C5525"/>
    <w:rsid w:val="000C57DF"/>
    <w:rsid w:val="000C6350"/>
    <w:rsid w:val="000C6A63"/>
    <w:rsid w:val="000C7039"/>
    <w:rsid w:val="000C7078"/>
    <w:rsid w:val="000C743C"/>
    <w:rsid w:val="000C76E2"/>
    <w:rsid w:val="000C7ADF"/>
    <w:rsid w:val="000C7BC0"/>
    <w:rsid w:val="000C7C3D"/>
    <w:rsid w:val="000C7C77"/>
    <w:rsid w:val="000C7EC9"/>
    <w:rsid w:val="000C7F3A"/>
    <w:rsid w:val="000C7FF6"/>
    <w:rsid w:val="000D08E9"/>
    <w:rsid w:val="000D0DDE"/>
    <w:rsid w:val="000D134F"/>
    <w:rsid w:val="000D1AFC"/>
    <w:rsid w:val="000D24AA"/>
    <w:rsid w:val="000D2CA8"/>
    <w:rsid w:val="000D3F52"/>
    <w:rsid w:val="000D46F1"/>
    <w:rsid w:val="000D5BBD"/>
    <w:rsid w:val="000D67D8"/>
    <w:rsid w:val="000D6BA0"/>
    <w:rsid w:val="000D6D8D"/>
    <w:rsid w:val="000D7186"/>
    <w:rsid w:val="000D7898"/>
    <w:rsid w:val="000D7C46"/>
    <w:rsid w:val="000D7ED8"/>
    <w:rsid w:val="000E01E8"/>
    <w:rsid w:val="000E0A3B"/>
    <w:rsid w:val="000E0D59"/>
    <w:rsid w:val="000E1072"/>
    <w:rsid w:val="000E11A9"/>
    <w:rsid w:val="000E133A"/>
    <w:rsid w:val="000E1881"/>
    <w:rsid w:val="000E1DFB"/>
    <w:rsid w:val="000E20EB"/>
    <w:rsid w:val="000E217B"/>
    <w:rsid w:val="000E27B7"/>
    <w:rsid w:val="000E2B01"/>
    <w:rsid w:val="000E2BF7"/>
    <w:rsid w:val="000E2EAF"/>
    <w:rsid w:val="000E30F7"/>
    <w:rsid w:val="000E32D2"/>
    <w:rsid w:val="000E349D"/>
    <w:rsid w:val="000E3524"/>
    <w:rsid w:val="000E4283"/>
    <w:rsid w:val="000E44F5"/>
    <w:rsid w:val="000E5198"/>
    <w:rsid w:val="000E5534"/>
    <w:rsid w:val="000E58B3"/>
    <w:rsid w:val="000E5F34"/>
    <w:rsid w:val="000E63E3"/>
    <w:rsid w:val="000E6427"/>
    <w:rsid w:val="000E6908"/>
    <w:rsid w:val="000E6B08"/>
    <w:rsid w:val="000E6DC3"/>
    <w:rsid w:val="000E6EE9"/>
    <w:rsid w:val="000E7A36"/>
    <w:rsid w:val="000E7B9E"/>
    <w:rsid w:val="000E7C1D"/>
    <w:rsid w:val="000E7D1F"/>
    <w:rsid w:val="000E7D25"/>
    <w:rsid w:val="000E7F32"/>
    <w:rsid w:val="000F0316"/>
    <w:rsid w:val="000F04AD"/>
    <w:rsid w:val="000F0B56"/>
    <w:rsid w:val="000F185E"/>
    <w:rsid w:val="000F1C32"/>
    <w:rsid w:val="000F2045"/>
    <w:rsid w:val="000F21F6"/>
    <w:rsid w:val="000F2A80"/>
    <w:rsid w:val="000F2F95"/>
    <w:rsid w:val="000F3720"/>
    <w:rsid w:val="000F3D58"/>
    <w:rsid w:val="000F4667"/>
    <w:rsid w:val="000F4969"/>
    <w:rsid w:val="000F4CF6"/>
    <w:rsid w:val="000F4E8D"/>
    <w:rsid w:val="000F52EB"/>
    <w:rsid w:val="000F5365"/>
    <w:rsid w:val="000F53C2"/>
    <w:rsid w:val="000F5DC1"/>
    <w:rsid w:val="000F6392"/>
    <w:rsid w:val="000F66CF"/>
    <w:rsid w:val="000F6C05"/>
    <w:rsid w:val="000F796C"/>
    <w:rsid w:val="000F79BD"/>
    <w:rsid w:val="00100573"/>
    <w:rsid w:val="001005D6"/>
    <w:rsid w:val="0010128E"/>
    <w:rsid w:val="00101896"/>
    <w:rsid w:val="0010246F"/>
    <w:rsid w:val="00102FE9"/>
    <w:rsid w:val="00103202"/>
    <w:rsid w:val="00103210"/>
    <w:rsid w:val="00103235"/>
    <w:rsid w:val="00103588"/>
    <w:rsid w:val="001035FE"/>
    <w:rsid w:val="00103687"/>
    <w:rsid w:val="00103E38"/>
    <w:rsid w:val="00103E72"/>
    <w:rsid w:val="00104166"/>
    <w:rsid w:val="00104944"/>
    <w:rsid w:val="00104C34"/>
    <w:rsid w:val="00104FBA"/>
    <w:rsid w:val="00105995"/>
    <w:rsid w:val="001063D8"/>
    <w:rsid w:val="00106C15"/>
    <w:rsid w:val="0011012A"/>
    <w:rsid w:val="00110517"/>
    <w:rsid w:val="001105DD"/>
    <w:rsid w:val="001105EE"/>
    <w:rsid w:val="001108F8"/>
    <w:rsid w:val="001112CE"/>
    <w:rsid w:val="00111643"/>
    <w:rsid w:val="00111D1F"/>
    <w:rsid w:val="00112182"/>
    <w:rsid w:val="001122B8"/>
    <w:rsid w:val="001124FD"/>
    <w:rsid w:val="001127AE"/>
    <w:rsid w:val="001129FA"/>
    <w:rsid w:val="00112B04"/>
    <w:rsid w:val="00112D21"/>
    <w:rsid w:val="00112D35"/>
    <w:rsid w:val="001132A1"/>
    <w:rsid w:val="001132A7"/>
    <w:rsid w:val="0011357C"/>
    <w:rsid w:val="00113C3D"/>
    <w:rsid w:val="00113C45"/>
    <w:rsid w:val="00114110"/>
    <w:rsid w:val="00114202"/>
    <w:rsid w:val="001149F7"/>
    <w:rsid w:val="00114AB0"/>
    <w:rsid w:val="00114BC4"/>
    <w:rsid w:val="00114C5F"/>
    <w:rsid w:val="00114F31"/>
    <w:rsid w:val="00114F6F"/>
    <w:rsid w:val="001156C3"/>
    <w:rsid w:val="0011577A"/>
    <w:rsid w:val="00115E62"/>
    <w:rsid w:val="00116134"/>
    <w:rsid w:val="00116427"/>
    <w:rsid w:val="0011668F"/>
    <w:rsid w:val="0012080E"/>
    <w:rsid w:val="00120EBA"/>
    <w:rsid w:val="00120EC1"/>
    <w:rsid w:val="00121103"/>
    <w:rsid w:val="00121258"/>
    <w:rsid w:val="00121269"/>
    <w:rsid w:val="0012177F"/>
    <w:rsid w:val="00121D05"/>
    <w:rsid w:val="00122128"/>
    <w:rsid w:val="00122394"/>
    <w:rsid w:val="00122447"/>
    <w:rsid w:val="001225EE"/>
    <w:rsid w:val="0012316D"/>
    <w:rsid w:val="001232E8"/>
    <w:rsid w:val="00123D09"/>
    <w:rsid w:val="00124098"/>
    <w:rsid w:val="00124520"/>
    <w:rsid w:val="001246ED"/>
    <w:rsid w:val="0012472B"/>
    <w:rsid w:val="00124C67"/>
    <w:rsid w:val="00124ECA"/>
    <w:rsid w:val="0012505E"/>
    <w:rsid w:val="001259F4"/>
    <w:rsid w:val="001260A0"/>
    <w:rsid w:val="001262CE"/>
    <w:rsid w:val="0012647C"/>
    <w:rsid w:val="00126805"/>
    <w:rsid w:val="00126B32"/>
    <w:rsid w:val="001273EF"/>
    <w:rsid w:val="001275D1"/>
    <w:rsid w:val="00127B50"/>
    <w:rsid w:val="001301FB"/>
    <w:rsid w:val="0013099F"/>
    <w:rsid w:val="00130B9A"/>
    <w:rsid w:val="00131882"/>
    <w:rsid w:val="001319E3"/>
    <w:rsid w:val="001319E8"/>
    <w:rsid w:val="00131A61"/>
    <w:rsid w:val="00131F08"/>
    <w:rsid w:val="0013214A"/>
    <w:rsid w:val="00132454"/>
    <w:rsid w:val="001333B1"/>
    <w:rsid w:val="00133425"/>
    <w:rsid w:val="0013434E"/>
    <w:rsid w:val="0013435B"/>
    <w:rsid w:val="0013472A"/>
    <w:rsid w:val="00134A34"/>
    <w:rsid w:val="00134BE9"/>
    <w:rsid w:val="00134D26"/>
    <w:rsid w:val="00134EDD"/>
    <w:rsid w:val="0013571A"/>
    <w:rsid w:val="00135932"/>
    <w:rsid w:val="00135DC9"/>
    <w:rsid w:val="00135EF4"/>
    <w:rsid w:val="0013600C"/>
    <w:rsid w:val="00136328"/>
    <w:rsid w:val="00136525"/>
    <w:rsid w:val="00136B90"/>
    <w:rsid w:val="0013717C"/>
    <w:rsid w:val="001371E8"/>
    <w:rsid w:val="001373AA"/>
    <w:rsid w:val="001375C7"/>
    <w:rsid w:val="00137DD0"/>
    <w:rsid w:val="0014044D"/>
    <w:rsid w:val="00140798"/>
    <w:rsid w:val="00140B84"/>
    <w:rsid w:val="0014118D"/>
    <w:rsid w:val="00141322"/>
    <w:rsid w:val="00141BBD"/>
    <w:rsid w:val="001426FD"/>
    <w:rsid w:val="00142CCA"/>
    <w:rsid w:val="0014305C"/>
    <w:rsid w:val="00143822"/>
    <w:rsid w:val="00143861"/>
    <w:rsid w:val="00143DEB"/>
    <w:rsid w:val="00143DF0"/>
    <w:rsid w:val="001441CD"/>
    <w:rsid w:val="001445A3"/>
    <w:rsid w:val="001445B8"/>
    <w:rsid w:val="001445FE"/>
    <w:rsid w:val="00144933"/>
    <w:rsid w:val="001449EF"/>
    <w:rsid w:val="00144B24"/>
    <w:rsid w:val="00145355"/>
    <w:rsid w:val="0014579F"/>
    <w:rsid w:val="00145CDE"/>
    <w:rsid w:val="001462D4"/>
    <w:rsid w:val="00146DC9"/>
    <w:rsid w:val="00147085"/>
    <w:rsid w:val="00147206"/>
    <w:rsid w:val="00147649"/>
    <w:rsid w:val="00147720"/>
    <w:rsid w:val="0014789E"/>
    <w:rsid w:val="00147AE7"/>
    <w:rsid w:val="00150399"/>
    <w:rsid w:val="001509C6"/>
    <w:rsid w:val="00151380"/>
    <w:rsid w:val="00151521"/>
    <w:rsid w:val="001517F6"/>
    <w:rsid w:val="00151B55"/>
    <w:rsid w:val="00151E9A"/>
    <w:rsid w:val="00152141"/>
    <w:rsid w:val="001533A8"/>
    <w:rsid w:val="00153950"/>
    <w:rsid w:val="00153C98"/>
    <w:rsid w:val="0015409B"/>
    <w:rsid w:val="00154246"/>
    <w:rsid w:val="001545E6"/>
    <w:rsid w:val="00154984"/>
    <w:rsid w:val="00154F18"/>
    <w:rsid w:val="00155147"/>
    <w:rsid w:val="00155B24"/>
    <w:rsid w:val="00156120"/>
    <w:rsid w:val="001566DB"/>
    <w:rsid w:val="00156999"/>
    <w:rsid w:val="00156C62"/>
    <w:rsid w:val="00156E14"/>
    <w:rsid w:val="00156E68"/>
    <w:rsid w:val="00157354"/>
    <w:rsid w:val="001574E1"/>
    <w:rsid w:val="00157633"/>
    <w:rsid w:val="001579D2"/>
    <w:rsid w:val="00161081"/>
    <w:rsid w:val="00161084"/>
    <w:rsid w:val="00161943"/>
    <w:rsid w:val="0016239D"/>
    <w:rsid w:val="0016254D"/>
    <w:rsid w:val="00162D57"/>
    <w:rsid w:val="00162FC8"/>
    <w:rsid w:val="00163E1C"/>
    <w:rsid w:val="00163F4B"/>
    <w:rsid w:val="00163FA6"/>
    <w:rsid w:val="0016405F"/>
    <w:rsid w:val="00164DDB"/>
    <w:rsid w:val="00165038"/>
    <w:rsid w:val="001650E8"/>
    <w:rsid w:val="00165656"/>
    <w:rsid w:val="00165716"/>
    <w:rsid w:val="00165949"/>
    <w:rsid w:val="00165F19"/>
    <w:rsid w:val="00166069"/>
    <w:rsid w:val="00166296"/>
    <w:rsid w:val="001663EE"/>
    <w:rsid w:val="00166572"/>
    <w:rsid w:val="0016713E"/>
    <w:rsid w:val="00167464"/>
    <w:rsid w:val="0016773D"/>
    <w:rsid w:val="00167ADB"/>
    <w:rsid w:val="00167AFA"/>
    <w:rsid w:val="00167F7C"/>
    <w:rsid w:val="00170027"/>
    <w:rsid w:val="00170CE9"/>
    <w:rsid w:val="00171766"/>
    <w:rsid w:val="001719F2"/>
    <w:rsid w:val="0017236D"/>
    <w:rsid w:val="00172758"/>
    <w:rsid w:val="00172A4B"/>
    <w:rsid w:val="00173264"/>
    <w:rsid w:val="0017346B"/>
    <w:rsid w:val="00173753"/>
    <w:rsid w:val="00173F5D"/>
    <w:rsid w:val="0017414F"/>
    <w:rsid w:val="0017451B"/>
    <w:rsid w:val="0017469D"/>
    <w:rsid w:val="00174D89"/>
    <w:rsid w:val="00174EA4"/>
    <w:rsid w:val="00175368"/>
    <w:rsid w:val="00175669"/>
    <w:rsid w:val="001756BD"/>
    <w:rsid w:val="0017589B"/>
    <w:rsid w:val="00175C90"/>
    <w:rsid w:val="00175D37"/>
    <w:rsid w:val="001761EF"/>
    <w:rsid w:val="001761FC"/>
    <w:rsid w:val="0017643F"/>
    <w:rsid w:val="00176BCE"/>
    <w:rsid w:val="00176C84"/>
    <w:rsid w:val="001776C5"/>
    <w:rsid w:val="00177A6A"/>
    <w:rsid w:val="0018045B"/>
    <w:rsid w:val="00180A0E"/>
    <w:rsid w:val="00180C4C"/>
    <w:rsid w:val="00180F75"/>
    <w:rsid w:val="00181684"/>
    <w:rsid w:val="0018168B"/>
    <w:rsid w:val="00181E51"/>
    <w:rsid w:val="00182196"/>
    <w:rsid w:val="001821E0"/>
    <w:rsid w:val="001824CC"/>
    <w:rsid w:val="001825DF"/>
    <w:rsid w:val="0018265A"/>
    <w:rsid w:val="00182B39"/>
    <w:rsid w:val="00183798"/>
    <w:rsid w:val="00183D42"/>
    <w:rsid w:val="00184A91"/>
    <w:rsid w:val="00184ABE"/>
    <w:rsid w:val="001856AA"/>
    <w:rsid w:val="0018580A"/>
    <w:rsid w:val="00185A6E"/>
    <w:rsid w:val="00185EDE"/>
    <w:rsid w:val="00186238"/>
    <w:rsid w:val="00186432"/>
    <w:rsid w:val="00186B5E"/>
    <w:rsid w:val="00186C98"/>
    <w:rsid w:val="00187823"/>
    <w:rsid w:val="0019059C"/>
    <w:rsid w:val="00190A43"/>
    <w:rsid w:val="0019112F"/>
    <w:rsid w:val="00191CE6"/>
    <w:rsid w:val="00191E0E"/>
    <w:rsid w:val="0019283F"/>
    <w:rsid w:val="00192A6E"/>
    <w:rsid w:val="00193172"/>
    <w:rsid w:val="001931F9"/>
    <w:rsid w:val="001932FB"/>
    <w:rsid w:val="00193C3C"/>
    <w:rsid w:val="00193E69"/>
    <w:rsid w:val="00194260"/>
    <w:rsid w:val="00194637"/>
    <w:rsid w:val="00194BE7"/>
    <w:rsid w:val="00194F35"/>
    <w:rsid w:val="001951CB"/>
    <w:rsid w:val="00195AD4"/>
    <w:rsid w:val="00195F30"/>
    <w:rsid w:val="00196107"/>
    <w:rsid w:val="001A01D2"/>
    <w:rsid w:val="001A0271"/>
    <w:rsid w:val="001A054F"/>
    <w:rsid w:val="001A0600"/>
    <w:rsid w:val="001A0759"/>
    <w:rsid w:val="001A08B1"/>
    <w:rsid w:val="001A0DAE"/>
    <w:rsid w:val="001A0E72"/>
    <w:rsid w:val="001A1537"/>
    <w:rsid w:val="001A1E83"/>
    <w:rsid w:val="001A270E"/>
    <w:rsid w:val="001A2969"/>
    <w:rsid w:val="001A2C8B"/>
    <w:rsid w:val="001A30A3"/>
    <w:rsid w:val="001A3594"/>
    <w:rsid w:val="001A3689"/>
    <w:rsid w:val="001A3B1C"/>
    <w:rsid w:val="001A3EC7"/>
    <w:rsid w:val="001A4009"/>
    <w:rsid w:val="001A5091"/>
    <w:rsid w:val="001A534D"/>
    <w:rsid w:val="001A5401"/>
    <w:rsid w:val="001A54AE"/>
    <w:rsid w:val="001A55B4"/>
    <w:rsid w:val="001A57A4"/>
    <w:rsid w:val="001A5CAC"/>
    <w:rsid w:val="001A5E46"/>
    <w:rsid w:val="001A6143"/>
    <w:rsid w:val="001A63C2"/>
    <w:rsid w:val="001A6E12"/>
    <w:rsid w:val="001A70B6"/>
    <w:rsid w:val="001A7488"/>
    <w:rsid w:val="001A786B"/>
    <w:rsid w:val="001A7F5D"/>
    <w:rsid w:val="001A7F7B"/>
    <w:rsid w:val="001B0744"/>
    <w:rsid w:val="001B07FC"/>
    <w:rsid w:val="001B084D"/>
    <w:rsid w:val="001B088F"/>
    <w:rsid w:val="001B0F1D"/>
    <w:rsid w:val="001B104F"/>
    <w:rsid w:val="001B1260"/>
    <w:rsid w:val="001B1E3D"/>
    <w:rsid w:val="001B21B5"/>
    <w:rsid w:val="001B24CB"/>
    <w:rsid w:val="001B2526"/>
    <w:rsid w:val="001B2B1A"/>
    <w:rsid w:val="001B2BDF"/>
    <w:rsid w:val="001B2D09"/>
    <w:rsid w:val="001B321B"/>
    <w:rsid w:val="001B3434"/>
    <w:rsid w:val="001B35F1"/>
    <w:rsid w:val="001B3620"/>
    <w:rsid w:val="001B3C90"/>
    <w:rsid w:val="001B4380"/>
    <w:rsid w:val="001B4831"/>
    <w:rsid w:val="001B4BB7"/>
    <w:rsid w:val="001B4E80"/>
    <w:rsid w:val="001B509F"/>
    <w:rsid w:val="001B51D5"/>
    <w:rsid w:val="001B5362"/>
    <w:rsid w:val="001B5AD9"/>
    <w:rsid w:val="001B5ADC"/>
    <w:rsid w:val="001B5E25"/>
    <w:rsid w:val="001B5F90"/>
    <w:rsid w:val="001B6629"/>
    <w:rsid w:val="001B6892"/>
    <w:rsid w:val="001B6A84"/>
    <w:rsid w:val="001B713A"/>
    <w:rsid w:val="001B723A"/>
    <w:rsid w:val="001B724B"/>
    <w:rsid w:val="001B725E"/>
    <w:rsid w:val="001B73E3"/>
    <w:rsid w:val="001B75C8"/>
    <w:rsid w:val="001B7646"/>
    <w:rsid w:val="001B7C07"/>
    <w:rsid w:val="001B7F85"/>
    <w:rsid w:val="001C0300"/>
    <w:rsid w:val="001C0465"/>
    <w:rsid w:val="001C0775"/>
    <w:rsid w:val="001C1591"/>
    <w:rsid w:val="001C1CC9"/>
    <w:rsid w:val="001C20C4"/>
    <w:rsid w:val="001C28AF"/>
    <w:rsid w:val="001C319C"/>
    <w:rsid w:val="001C3ABE"/>
    <w:rsid w:val="001C4095"/>
    <w:rsid w:val="001C456D"/>
    <w:rsid w:val="001C492E"/>
    <w:rsid w:val="001C4A16"/>
    <w:rsid w:val="001C4EA6"/>
    <w:rsid w:val="001C4FE2"/>
    <w:rsid w:val="001C54C0"/>
    <w:rsid w:val="001C5558"/>
    <w:rsid w:val="001C557E"/>
    <w:rsid w:val="001C5D3B"/>
    <w:rsid w:val="001C5EF6"/>
    <w:rsid w:val="001C6AE3"/>
    <w:rsid w:val="001C7D42"/>
    <w:rsid w:val="001D034F"/>
    <w:rsid w:val="001D0AF5"/>
    <w:rsid w:val="001D0B38"/>
    <w:rsid w:val="001D0FDB"/>
    <w:rsid w:val="001D1349"/>
    <w:rsid w:val="001D16CC"/>
    <w:rsid w:val="001D17EA"/>
    <w:rsid w:val="001D18F9"/>
    <w:rsid w:val="001D1982"/>
    <w:rsid w:val="001D294C"/>
    <w:rsid w:val="001D307C"/>
    <w:rsid w:val="001D38FA"/>
    <w:rsid w:val="001D3DA1"/>
    <w:rsid w:val="001D3DD8"/>
    <w:rsid w:val="001D4451"/>
    <w:rsid w:val="001D46D2"/>
    <w:rsid w:val="001D4754"/>
    <w:rsid w:val="001D4819"/>
    <w:rsid w:val="001D4BCF"/>
    <w:rsid w:val="001D4D90"/>
    <w:rsid w:val="001D4E07"/>
    <w:rsid w:val="001D5A2D"/>
    <w:rsid w:val="001D5C99"/>
    <w:rsid w:val="001D5DA1"/>
    <w:rsid w:val="001D5E02"/>
    <w:rsid w:val="001D5F5F"/>
    <w:rsid w:val="001D5FD3"/>
    <w:rsid w:val="001D6B6F"/>
    <w:rsid w:val="001D6DDA"/>
    <w:rsid w:val="001D6EF8"/>
    <w:rsid w:val="001D7271"/>
    <w:rsid w:val="001D7AEE"/>
    <w:rsid w:val="001D7F59"/>
    <w:rsid w:val="001E0665"/>
    <w:rsid w:val="001E0DC2"/>
    <w:rsid w:val="001E0FA9"/>
    <w:rsid w:val="001E10EC"/>
    <w:rsid w:val="001E116D"/>
    <w:rsid w:val="001E1BBC"/>
    <w:rsid w:val="001E1E77"/>
    <w:rsid w:val="001E2456"/>
    <w:rsid w:val="001E27D8"/>
    <w:rsid w:val="001E3247"/>
    <w:rsid w:val="001E32C7"/>
    <w:rsid w:val="001E37E9"/>
    <w:rsid w:val="001E3F2A"/>
    <w:rsid w:val="001E422D"/>
    <w:rsid w:val="001E4236"/>
    <w:rsid w:val="001E4386"/>
    <w:rsid w:val="001E44A4"/>
    <w:rsid w:val="001E48AB"/>
    <w:rsid w:val="001E4F91"/>
    <w:rsid w:val="001E511B"/>
    <w:rsid w:val="001E5186"/>
    <w:rsid w:val="001E51E0"/>
    <w:rsid w:val="001E53CD"/>
    <w:rsid w:val="001E554A"/>
    <w:rsid w:val="001E5B46"/>
    <w:rsid w:val="001E5DCA"/>
    <w:rsid w:val="001E5E0C"/>
    <w:rsid w:val="001E6852"/>
    <w:rsid w:val="001E72EA"/>
    <w:rsid w:val="001E796A"/>
    <w:rsid w:val="001E79A1"/>
    <w:rsid w:val="001E7CB6"/>
    <w:rsid w:val="001F0422"/>
    <w:rsid w:val="001F1213"/>
    <w:rsid w:val="001F1272"/>
    <w:rsid w:val="001F16BB"/>
    <w:rsid w:val="001F2287"/>
    <w:rsid w:val="001F2814"/>
    <w:rsid w:val="001F395A"/>
    <w:rsid w:val="001F455D"/>
    <w:rsid w:val="001F4895"/>
    <w:rsid w:val="001F489F"/>
    <w:rsid w:val="001F4C74"/>
    <w:rsid w:val="001F4D9D"/>
    <w:rsid w:val="001F4F03"/>
    <w:rsid w:val="001F5EC7"/>
    <w:rsid w:val="001F71D9"/>
    <w:rsid w:val="001F7C50"/>
    <w:rsid w:val="00200387"/>
    <w:rsid w:val="00200395"/>
    <w:rsid w:val="00200531"/>
    <w:rsid w:val="0020053B"/>
    <w:rsid w:val="00200627"/>
    <w:rsid w:val="0020080D"/>
    <w:rsid w:val="00200F80"/>
    <w:rsid w:val="002016F3"/>
    <w:rsid w:val="00201AD4"/>
    <w:rsid w:val="00201B37"/>
    <w:rsid w:val="00201C9D"/>
    <w:rsid w:val="00201E8B"/>
    <w:rsid w:val="00201EB2"/>
    <w:rsid w:val="0020209E"/>
    <w:rsid w:val="00202F0E"/>
    <w:rsid w:val="00203193"/>
    <w:rsid w:val="0020323B"/>
    <w:rsid w:val="00203581"/>
    <w:rsid w:val="002043C5"/>
    <w:rsid w:val="002043C6"/>
    <w:rsid w:val="002047E4"/>
    <w:rsid w:val="002048E2"/>
    <w:rsid w:val="00204B8E"/>
    <w:rsid w:val="0020562B"/>
    <w:rsid w:val="00205DFF"/>
    <w:rsid w:val="002061EB"/>
    <w:rsid w:val="00206788"/>
    <w:rsid w:val="00207330"/>
    <w:rsid w:val="00207659"/>
    <w:rsid w:val="002105D2"/>
    <w:rsid w:val="002108FB"/>
    <w:rsid w:val="0021093C"/>
    <w:rsid w:val="002111E2"/>
    <w:rsid w:val="00211541"/>
    <w:rsid w:val="002117D7"/>
    <w:rsid w:val="00211DCD"/>
    <w:rsid w:val="00211E42"/>
    <w:rsid w:val="00211FC4"/>
    <w:rsid w:val="00212051"/>
    <w:rsid w:val="00212395"/>
    <w:rsid w:val="00212D46"/>
    <w:rsid w:val="002130D5"/>
    <w:rsid w:val="0021342D"/>
    <w:rsid w:val="002135D0"/>
    <w:rsid w:val="00213785"/>
    <w:rsid w:val="00213881"/>
    <w:rsid w:val="00213A44"/>
    <w:rsid w:val="00213B32"/>
    <w:rsid w:val="00213E42"/>
    <w:rsid w:val="00213EFF"/>
    <w:rsid w:val="0021402D"/>
    <w:rsid w:val="0021402F"/>
    <w:rsid w:val="002145E7"/>
    <w:rsid w:val="00214644"/>
    <w:rsid w:val="0021474F"/>
    <w:rsid w:val="0021485F"/>
    <w:rsid w:val="00214EFA"/>
    <w:rsid w:val="0021525C"/>
    <w:rsid w:val="00215AA4"/>
    <w:rsid w:val="00215AD2"/>
    <w:rsid w:val="00215EE5"/>
    <w:rsid w:val="0021602C"/>
    <w:rsid w:val="00216229"/>
    <w:rsid w:val="0021663A"/>
    <w:rsid w:val="0021674B"/>
    <w:rsid w:val="00216872"/>
    <w:rsid w:val="002169D7"/>
    <w:rsid w:val="00216E8E"/>
    <w:rsid w:val="002178F3"/>
    <w:rsid w:val="00220AB3"/>
    <w:rsid w:val="00220C55"/>
    <w:rsid w:val="00220CF0"/>
    <w:rsid w:val="00220E1D"/>
    <w:rsid w:val="00221BEF"/>
    <w:rsid w:val="00221D70"/>
    <w:rsid w:val="00222241"/>
    <w:rsid w:val="00223118"/>
    <w:rsid w:val="00223B4D"/>
    <w:rsid w:val="00224AB8"/>
    <w:rsid w:val="00224B93"/>
    <w:rsid w:val="00224CB4"/>
    <w:rsid w:val="00225A43"/>
    <w:rsid w:val="00225CA9"/>
    <w:rsid w:val="0022618E"/>
    <w:rsid w:val="00226933"/>
    <w:rsid w:val="002269BE"/>
    <w:rsid w:val="00226C78"/>
    <w:rsid w:val="0022720B"/>
    <w:rsid w:val="00227242"/>
    <w:rsid w:val="0022745F"/>
    <w:rsid w:val="00227728"/>
    <w:rsid w:val="00227DA8"/>
    <w:rsid w:val="0023005D"/>
    <w:rsid w:val="002304A3"/>
    <w:rsid w:val="0023077D"/>
    <w:rsid w:val="002309B1"/>
    <w:rsid w:val="00230CBF"/>
    <w:rsid w:val="00230D6C"/>
    <w:rsid w:val="00230F54"/>
    <w:rsid w:val="002315E5"/>
    <w:rsid w:val="00231D3A"/>
    <w:rsid w:val="00231F21"/>
    <w:rsid w:val="002335A5"/>
    <w:rsid w:val="0023376C"/>
    <w:rsid w:val="00233833"/>
    <w:rsid w:val="00233A79"/>
    <w:rsid w:val="00233B81"/>
    <w:rsid w:val="00233ECA"/>
    <w:rsid w:val="00233FB2"/>
    <w:rsid w:val="00234047"/>
    <w:rsid w:val="002344AB"/>
    <w:rsid w:val="00234E91"/>
    <w:rsid w:val="002351C0"/>
    <w:rsid w:val="002355BF"/>
    <w:rsid w:val="00235697"/>
    <w:rsid w:val="002357BC"/>
    <w:rsid w:val="00235B41"/>
    <w:rsid w:val="002360AB"/>
    <w:rsid w:val="002368BA"/>
    <w:rsid w:val="0023788E"/>
    <w:rsid w:val="00237965"/>
    <w:rsid w:val="00237AEB"/>
    <w:rsid w:val="00237D06"/>
    <w:rsid w:val="002400B3"/>
    <w:rsid w:val="002408E3"/>
    <w:rsid w:val="00240E2C"/>
    <w:rsid w:val="002416FA"/>
    <w:rsid w:val="00241EED"/>
    <w:rsid w:val="00242045"/>
    <w:rsid w:val="002420D8"/>
    <w:rsid w:val="0024212C"/>
    <w:rsid w:val="0024223E"/>
    <w:rsid w:val="002426D2"/>
    <w:rsid w:val="002427C9"/>
    <w:rsid w:val="00242BF1"/>
    <w:rsid w:val="002433EB"/>
    <w:rsid w:val="00243D23"/>
    <w:rsid w:val="00243E92"/>
    <w:rsid w:val="00244081"/>
    <w:rsid w:val="00244175"/>
    <w:rsid w:val="00244351"/>
    <w:rsid w:val="002448E1"/>
    <w:rsid w:val="00244D0F"/>
    <w:rsid w:val="00245007"/>
    <w:rsid w:val="00245235"/>
    <w:rsid w:val="00245527"/>
    <w:rsid w:val="00246552"/>
    <w:rsid w:val="00246AC8"/>
    <w:rsid w:val="002473D6"/>
    <w:rsid w:val="00247A26"/>
    <w:rsid w:val="0025002D"/>
    <w:rsid w:val="002510B4"/>
    <w:rsid w:val="00251188"/>
    <w:rsid w:val="002518EC"/>
    <w:rsid w:val="00251AE7"/>
    <w:rsid w:val="0025255F"/>
    <w:rsid w:val="002527CC"/>
    <w:rsid w:val="00252D40"/>
    <w:rsid w:val="00253149"/>
    <w:rsid w:val="002537DF"/>
    <w:rsid w:val="002539CD"/>
    <w:rsid w:val="00254452"/>
    <w:rsid w:val="002545DB"/>
    <w:rsid w:val="002546AD"/>
    <w:rsid w:val="002548CD"/>
    <w:rsid w:val="00254A93"/>
    <w:rsid w:val="00254D98"/>
    <w:rsid w:val="00254EBE"/>
    <w:rsid w:val="0025535D"/>
    <w:rsid w:val="00255AB4"/>
    <w:rsid w:val="00255E82"/>
    <w:rsid w:val="00256247"/>
    <w:rsid w:val="00257373"/>
    <w:rsid w:val="002574D2"/>
    <w:rsid w:val="00257A66"/>
    <w:rsid w:val="00257D61"/>
    <w:rsid w:val="00260141"/>
    <w:rsid w:val="0026018C"/>
    <w:rsid w:val="00260782"/>
    <w:rsid w:val="00260787"/>
    <w:rsid w:val="00261200"/>
    <w:rsid w:val="002612DC"/>
    <w:rsid w:val="00261AB6"/>
    <w:rsid w:val="0026228D"/>
    <w:rsid w:val="00262990"/>
    <w:rsid w:val="002631DA"/>
    <w:rsid w:val="002635BE"/>
    <w:rsid w:val="0026361D"/>
    <w:rsid w:val="0026362B"/>
    <w:rsid w:val="00263DE5"/>
    <w:rsid w:val="00264B45"/>
    <w:rsid w:val="00264DF8"/>
    <w:rsid w:val="00264F29"/>
    <w:rsid w:val="00265062"/>
    <w:rsid w:val="00265078"/>
    <w:rsid w:val="00265468"/>
    <w:rsid w:val="00266345"/>
    <w:rsid w:val="00266AAF"/>
    <w:rsid w:val="00266B60"/>
    <w:rsid w:val="002671C5"/>
    <w:rsid w:val="002677BD"/>
    <w:rsid w:val="00267AEE"/>
    <w:rsid w:val="00270693"/>
    <w:rsid w:val="0027079E"/>
    <w:rsid w:val="002707BC"/>
    <w:rsid w:val="002708AD"/>
    <w:rsid w:val="0027093B"/>
    <w:rsid w:val="00270BEB"/>
    <w:rsid w:val="00270C31"/>
    <w:rsid w:val="002726AE"/>
    <w:rsid w:val="00272AA0"/>
    <w:rsid w:val="0027311E"/>
    <w:rsid w:val="00273206"/>
    <w:rsid w:val="00273F02"/>
    <w:rsid w:val="0027404C"/>
    <w:rsid w:val="00274746"/>
    <w:rsid w:val="00274E61"/>
    <w:rsid w:val="00275938"/>
    <w:rsid w:val="00275C88"/>
    <w:rsid w:val="00275EB1"/>
    <w:rsid w:val="00275F9F"/>
    <w:rsid w:val="00276261"/>
    <w:rsid w:val="002765CA"/>
    <w:rsid w:val="00276D8E"/>
    <w:rsid w:val="00276DCA"/>
    <w:rsid w:val="00276E82"/>
    <w:rsid w:val="0027755B"/>
    <w:rsid w:val="00277B75"/>
    <w:rsid w:val="00277D94"/>
    <w:rsid w:val="00280453"/>
    <w:rsid w:val="0028065A"/>
    <w:rsid w:val="00280CBD"/>
    <w:rsid w:val="00280E01"/>
    <w:rsid w:val="00280FA0"/>
    <w:rsid w:val="00280FC6"/>
    <w:rsid w:val="00281249"/>
    <w:rsid w:val="0028169C"/>
    <w:rsid w:val="00281B10"/>
    <w:rsid w:val="00281B3C"/>
    <w:rsid w:val="00281C43"/>
    <w:rsid w:val="00282676"/>
    <w:rsid w:val="00282FD1"/>
    <w:rsid w:val="00283081"/>
    <w:rsid w:val="002838D9"/>
    <w:rsid w:val="002839E8"/>
    <w:rsid w:val="00283B21"/>
    <w:rsid w:val="0028422A"/>
    <w:rsid w:val="00284594"/>
    <w:rsid w:val="0028487E"/>
    <w:rsid w:val="00284A15"/>
    <w:rsid w:val="00284DCA"/>
    <w:rsid w:val="002854BB"/>
    <w:rsid w:val="00286412"/>
    <w:rsid w:val="002865B5"/>
    <w:rsid w:val="0028678D"/>
    <w:rsid w:val="002867D7"/>
    <w:rsid w:val="002869F0"/>
    <w:rsid w:val="00286A21"/>
    <w:rsid w:val="00286CE9"/>
    <w:rsid w:val="00286E64"/>
    <w:rsid w:val="00286EE2"/>
    <w:rsid w:val="002874E5"/>
    <w:rsid w:val="00287562"/>
    <w:rsid w:val="002876CF"/>
    <w:rsid w:val="002878DB"/>
    <w:rsid w:val="0028799C"/>
    <w:rsid w:val="00287BEF"/>
    <w:rsid w:val="00287FDA"/>
    <w:rsid w:val="00290017"/>
    <w:rsid w:val="00290820"/>
    <w:rsid w:val="00290AA4"/>
    <w:rsid w:val="00290FBF"/>
    <w:rsid w:val="00290FEA"/>
    <w:rsid w:val="00291AB1"/>
    <w:rsid w:val="00291DEB"/>
    <w:rsid w:val="00291E17"/>
    <w:rsid w:val="00291F10"/>
    <w:rsid w:val="002923BC"/>
    <w:rsid w:val="00292519"/>
    <w:rsid w:val="002927E1"/>
    <w:rsid w:val="00292973"/>
    <w:rsid w:val="0029314A"/>
    <w:rsid w:val="002932ED"/>
    <w:rsid w:val="00293D17"/>
    <w:rsid w:val="00293E85"/>
    <w:rsid w:val="00294476"/>
    <w:rsid w:val="002945C2"/>
    <w:rsid w:val="00294699"/>
    <w:rsid w:val="00295211"/>
    <w:rsid w:val="00296C00"/>
    <w:rsid w:val="00297031"/>
    <w:rsid w:val="00297285"/>
    <w:rsid w:val="00297358"/>
    <w:rsid w:val="0029797A"/>
    <w:rsid w:val="002A0358"/>
    <w:rsid w:val="002A06FB"/>
    <w:rsid w:val="002A0762"/>
    <w:rsid w:val="002A08FB"/>
    <w:rsid w:val="002A0A51"/>
    <w:rsid w:val="002A0A9D"/>
    <w:rsid w:val="002A0B04"/>
    <w:rsid w:val="002A0CF2"/>
    <w:rsid w:val="002A124D"/>
    <w:rsid w:val="002A12E6"/>
    <w:rsid w:val="002A1BE9"/>
    <w:rsid w:val="002A215B"/>
    <w:rsid w:val="002A2247"/>
    <w:rsid w:val="002A2E44"/>
    <w:rsid w:val="002A2F71"/>
    <w:rsid w:val="002A3553"/>
    <w:rsid w:val="002A3B35"/>
    <w:rsid w:val="002A4828"/>
    <w:rsid w:val="002A4B8E"/>
    <w:rsid w:val="002A4DE4"/>
    <w:rsid w:val="002A5403"/>
    <w:rsid w:val="002A58AF"/>
    <w:rsid w:val="002A58C3"/>
    <w:rsid w:val="002A5A17"/>
    <w:rsid w:val="002A5CFC"/>
    <w:rsid w:val="002A5E0E"/>
    <w:rsid w:val="002A5FF8"/>
    <w:rsid w:val="002A60F2"/>
    <w:rsid w:val="002A6AD5"/>
    <w:rsid w:val="002A6BFD"/>
    <w:rsid w:val="002A6C39"/>
    <w:rsid w:val="002A72FD"/>
    <w:rsid w:val="002A7326"/>
    <w:rsid w:val="002A77EE"/>
    <w:rsid w:val="002A7818"/>
    <w:rsid w:val="002A78C1"/>
    <w:rsid w:val="002A78CA"/>
    <w:rsid w:val="002A79FC"/>
    <w:rsid w:val="002B0CD2"/>
    <w:rsid w:val="002B1348"/>
    <w:rsid w:val="002B1832"/>
    <w:rsid w:val="002B1AAE"/>
    <w:rsid w:val="002B1B8C"/>
    <w:rsid w:val="002B1F7A"/>
    <w:rsid w:val="002B1FA5"/>
    <w:rsid w:val="002B2029"/>
    <w:rsid w:val="002B220A"/>
    <w:rsid w:val="002B2570"/>
    <w:rsid w:val="002B2790"/>
    <w:rsid w:val="002B27F4"/>
    <w:rsid w:val="002B2D40"/>
    <w:rsid w:val="002B2E7B"/>
    <w:rsid w:val="002B305A"/>
    <w:rsid w:val="002B3994"/>
    <w:rsid w:val="002B39AB"/>
    <w:rsid w:val="002B4278"/>
    <w:rsid w:val="002B4AE7"/>
    <w:rsid w:val="002B50AB"/>
    <w:rsid w:val="002B5BDB"/>
    <w:rsid w:val="002B5EE1"/>
    <w:rsid w:val="002B6020"/>
    <w:rsid w:val="002B6265"/>
    <w:rsid w:val="002B63E5"/>
    <w:rsid w:val="002B665D"/>
    <w:rsid w:val="002B6B18"/>
    <w:rsid w:val="002B6B4E"/>
    <w:rsid w:val="002B6D9F"/>
    <w:rsid w:val="002B6E5B"/>
    <w:rsid w:val="002B78F5"/>
    <w:rsid w:val="002B7AC5"/>
    <w:rsid w:val="002B7D36"/>
    <w:rsid w:val="002B7E8C"/>
    <w:rsid w:val="002B7F67"/>
    <w:rsid w:val="002C0DAC"/>
    <w:rsid w:val="002C199C"/>
    <w:rsid w:val="002C1F13"/>
    <w:rsid w:val="002C21B8"/>
    <w:rsid w:val="002C23CD"/>
    <w:rsid w:val="002C274D"/>
    <w:rsid w:val="002C294C"/>
    <w:rsid w:val="002C2F71"/>
    <w:rsid w:val="002C3149"/>
    <w:rsid w:val="002C344E"/>
    <w:rsid w:val="002C34FC"/>
    <w:rsid w:val="002C35F0"/>
    <w:rsid w:val="002C4074"/>
    <w:rsid w:val="002C414E"/>
    <w:rsid w:val="002C4460"/>
    <w:rsid w:val="002C479C"/>
    <w:rsid w:val="002C484E"/>
    <w:rsid w:val="002C4934"/>
    <w:rsid w:val="002C4E3C"/>
    <w:rsid w:val="002C5060"/>
    <w:rsid w:val="002C555F"/>
    <w:rsid w:val="002C5964"/>
    <w:rsid w:val="002C63A1"/>
    <w:rsid w:val="002C6946"/>
    <w:rsid w:val="002C6BED"/>
    <w:rsid w:val="002C6CB8"/>
    <w:rsid w:val="002C7434"/>
    <w:rsid w:val="002C79B8"/>
    <w:rsid w:val="002D0110"/>
    <w:rsid w:val="002D098B"/>
    <w:rsid w:val="002D0D2E"/>
    <w:rsid w:val="002D0D33"/>
    <w:rsid w:val="002D149C"/>
    <w:rsid w:val="002D19A0"/>
    <w:rsid w:val="002D1B7B"/>
    <w:rsid w:val="002D1C9B"/>
    <w:rsid w:val="002D1E1A"/>
    <w:rsid w:val="002D1F40"/>
    <w:rsid w:val="002D2008"/>
    <w:rsid w:val="002D2795"/>
    <w:rsid w:val="002D279A"/>
    <w:rsid w:val="002D366F"/>
    <w:rsid w:val="002D3B35"/>
    <w:rsid w:val="002D3E53"/>
    <w:rsid w:val="002D4209"/>
    <w:rsid w:val="002D4369"/>
    <w:rsid w:val="002D460A"/>
    <w:rsid w:val="002D49CD"/>
    <w:rsid w:val="002D4F00"/>
    <w:rsid w:val="002D51DA"/>
    <w:rsid w:val="002D583B"/>
    <w:rsid w:val="002D5BA4"/>
    <w:rsid w:val="002D5E51"/>
    <w:rsid w:val="002D5E59"/>
    <w:rsid w:val="002D605C"/>
    <w:rsid w:val="002D6123"/>
    <w:rsid w:val="002D660F"/>
    <w:rsid w:val="002D675F"/>
    <w:rsid w:val="002D6BB0"/>
    <w:rsid w:val="002D6E66"/>
    <w:rsid w:val="002D6E71"/>
    <w:rsid w:val="002D7023"/>
    <w:rsid w:val="002D770A"/>
    <w:rsid w:val="002D7DD5"/>
    <w:rsid w:val="002D7FCF"/>
    <w:rsid w:val="002E0687"/>
    <w:rsid w:val="002E09AE"/>
    <w:rsid w:val="002E1084"/>
    <w:rsid w:val="002E11B1"/>
    <w:rsid w:val="002E1958"/>
    <w:rsid w:val="002E1EA3"/>
    <w:rsid w:val="002E2302"/>
    <w:rsid w:val="002E25A6"/>
    <w:rsid w:val="002E288F"/>
    <w:rsid w:val="002E29F6"/>
    <w:rsid w:val="002E2BD9"/>
    <w:rsid w:val="002E2CF1"/>
    <w:rsid w:val="002E3212"/>
    <w:rsid w:val="002E346D"/>
    <w:rsid w:val="002E3AF1"/>
    <w:rsid w:val="002E3E45"/>
    <w:rsid w:val="002E4264"/>
    <w:rsid w:val="002E42CB"/>
    <w:rsid w:val="002E448D"/>
    <w:rsid w:val="002E4791"/>
    <w:rsid w:val="002E4C83"/>
    <w:rsid w:val="002E5335"/>
    <w:rsid w:val="002E5784"/>
    <w:rsid w:val="002E60A1"/>
    <w:rsid w:val="002E64BA"/>
    <w:rsid w:val="002E69B0"/>
    <w:rsid w:val="002E71CF"/>
    <w:rsid w:val="002E79B2"/>
    <w:rsid w:val="002E7E00"/>
    <w:rsid w:val="002F0740"/>
    <w:rsid w:val="002F08B3"/>
    <w:rsid w:val="002F08C8"/>
    <w:rsid w:val="002F1507"/>
    <w:rsid w:val="002F1BAD"/>
    <w:rsid w:val="002F2103"/>
    <w:rsid w:val="002F23F1"/>
    <w:rsid w:val="002F2E44"/>
    <w:rsid w:val="002F37FB"/>
    <w:rsid w:val="002F391F"/>
    <w:rsid w:val="002F3A34"/>
    <w:rsid w:val="002F3E41"/>
    <w:rsid w:val="002F3F6A"/>
    <w:rsid w:val="002F44BC"/>
    <w:rsid w:val="002F46AE"/>
    <w:rsid w:val="002F4941"/>
    <w:rsid w:val="002F558A"/>
    <w:rsid w:val="002F6167"/>
    <w:rsid w:val="002F652D"/>
    <w:rsid w:val="002F65BC"/>
    <w:rsid w:val="002F70A3"/>
    <w:rsid w:val="002F7899"/>
    <w:rsid w:val="002F7BB0"/>
    <w:rsid w:val="002F7D81"/>
    <w:rsid w:val="00300A04"/>
    <w:rsid w:val="00301B4C"/>
    <w:rsid w:val="00301CC2"/>
    <w:rsid w:val="003020D4"/>
    <w:rsid w:val="0030210C"/>
    <w:rsid w:val="003027A1"/>
    <w:rsid w:val="00302830"/>
    <w:rsid w:val="00302964"/>
    <w:rsid w:val="003029A6"/>
    <w:rsid w:val="003029C9"/>
    <w:rsid w:val="00302CBB"/>
    <w:rsid w:val="00303918"/>
    <w:rsid w:val="00303B17"/>
    <w:rsid w:val="00303BA0"/>
    <w:rsid w:val="00303F6D"/>
    <w:rsid w:val="00304064"/>
    <w:rsid w:val="0030411C"/>
    <w:rsid w:val="00304623"/>
    <w:rsid w:val="003046E3"/>
    <w:rsid w:val="00305360"/>
    <w:rsid w:val="00305477"/>
    <w:rsid w:val="00305606"/>
    <w:rsid w:val="00305B86"/>
    <w:rsid w:val="00305C8D"/>
    <w:rsid w:val="00305FFD"/>
    <w:rsid w:val="0030636C"/>
    <w:rsid w:val="00306527"/>
    <w:rsid w:val="00306AF1"/>
    <w:rsid w:val="00306BC6"/>
    <w:rsid w:val="00306CF0"/>
    <w:rsid w:val="0030742A"/>
    <w:rsid w:val="00307D3C"/>
    <w:rsid w:val="00310C22"/>
    <w:rsid w:val="00310F01"/>
    <w:rsid w:val="0031110A"/>
    <w:rsid w:val="00311310"/>
    <w:rsid w:val="00311490"/>
    <w:rsid w:val="0031174F"/>
    <w:rsid w:val="003117F3"/>
    <w:rsid w:val="003121D5"/>
    <w:rsid w:val="00312BBB"/>
    <w:rsid w:val="00312C21"/>
    <w:rsid w:val="00313008"/>
    <w:rsid w:val="003133A3"/>
    <w:rsid w:val="0031363B"/>
    <w:rsid w:val="003138EB"/>
    <w:rsid w:val="00314450"/>
    <w:rsid w:val="00314511"/>
    <w:rsid w:val="00315235"/>
    <w:rsid w:val="00315241"/>
    <w:rsid w:val="0031587A"/>
    <w:rsid w:val="0031600A"/>
    <w:rsid w:val="0031605A"/>
    <w:rsid w:val="003164D8"/>
    <w:rsid w:val="003164D9"/>
    <w:rsid w:val="00316E52"/>
    <w:rsid w:val="00316EC8"/>
    <w:rsid w:val="00317B24"/>
    <w:rsid w:val="00317B2A"/>
    <w:rsid w:val="0032047F"/>
    <w:rsid w:val="003209D3"/>
    <w:rsid w:val="00320FDB"/>
    <w:rsid w:val="00321C79"/>
    <w:rsid w:val="003222E3"/>
    <w:rsid w:val="003223A7"/>
    <w:rsid w:val="00322406"/>
    <w:rsid w:val="0032260D"/>
    <w:rsid w:val="0032275A"/>
    <w:rsid w:val="00322AA9"/>
    <w:rsid w:val="00322DC3"/>
    <w:rsid w:val="0032328B"/>
    <w:rsid w:val="00323C63"/>
    <w:rsid w:val="00323D72"/>
    <w:rsid w:val="003240DC"/>
    <w:rsid w:val="003246B4"/>
    <w:rsid w:val="00325106"/>
    <w:rsid w:val="003254DE"/>
    <w:rsid w:val="00325A7A"/>
    <w:rsid w:val="003261A9"/>
    <w:rsid w:val="003279B3"/>
    <w:rsid w:val="00327BE7"/>
    <w:rsid w:val="00327D5E"/>
    <w:rsid w:val="00327F4F"/>
    <w:rsid w:val="00330398"/>
    <w:rsid w:val="003311CF"/>
    <w:rsid w:val="00331542"/>
    <w:rsid w:val="00331AB4"/>
    <w:rsid w:val="00331F66"/>
    <w:rsid w:val="00332941"/>
    <w:rsid w:val="00332A43"/>
    <w:rsid w:val="00332A9C"/>
    <w:rsid w:val="003330B7"/>
    <w:rsid w:val="0033311C"/>
    <w:rsid w:val="003332E0"/>
    <w:rsid w:val="003335DE"/>
    <w:rsid w:val="00333B5F"/>
    <w:rsid w:val="00334045"/>
    <w:rsid w:val="003341B4"/>
    <w:rsid w:val="00334489"/>
    <w:rsid w:val="0033465E"/>
    <w:rsid w:val="00334814"/>
    <w:rsid w:val="00334F7D"/>
    <w:rsid w:val="003354AD"/>
    <w:rsid w:val="00335733"/>
    <w:rsid w:val="00335B86"/>
    <w:rsid w:val="003367B2"/>
    <w:rsid w:val="003369E7"/>
    <w:rsid w:val="00336F61"/>
    <w:rsid w:val="00337148"/>
    <w:rsid w:val="003374F4"/>
    <w:rsid w:val="003375FD"/>
    <w:rsid w:val="00337702"/>
    <w:rsid w:val="0033772C"/>
    <w:rsid w:val="0034034F"/>
    <w:rsid w:val="003408F8"/>
    <w:rsid w:val="00340C2D"/>
    <w:rsid w:val="0034169F"/>
    <w:rsid w:val="00341AC4"/>
    <w:rsid w:val="003421C2"/>
    <w:rsid w:val="003421CD"/>
    <w:rsid w:val="00342359"/>
    <w:rsid w:val="003424EC"/>
    <w:rsid w:val="003428FE"/>
    <w:rsid w:val="00342A7F"/>
    <w:rsid w:val="00342CD5"/>
    <w:rsid w:val="00342F2C"/>
    <w:rsid w:val="00343701"/>
    <w:rsid w:val="0034376F"/>
    <w:rsid w:val="003440E6"/>
    <w:rsid w:val="00344152"/>
    <w:rsid w:val="0034427D"/>
    <w:rsid w:val="00344F3B"/>
    <w:rsid w:val="00345025"/>
    <w:rsid w:val="003450EC"/>
    <w:rsid w:val="003451B5"/>
    <w:rsid w:val="00345347"/>
    <w:rsid w:val="00346011"/>
    <w:rsid w:val="00346D73"/>
    <w:rsid w:val="00347509"/>
    <w:rsid w:val="00347825"/>
    <w:rsid w:val="0035037D"/>
    <w:rsid w:val="00351822"/>
    <w:rsid w:val="00351896"/>
    <w:rsid w:val="003519A5"/>
    <w:rsid w:val="00351E86"/>
    <w:rsid w:val="00352121"/>
    <w:rsid w:val="00352342"/>
    <w:rsid w:val="0035339B"/>
    <w:rsid w:val="0035339D"/>
    <w:rsid w:val="00353790"/>
    <w:rsid w:val="00353BD7"/>
    <w:rsid w:val="00354336"/>
    <w:rsid w:val="003546BE"/>
    <w:rsid w:val="00354F06"/>
    <w:rsid w:val="0035538B"/>
    <w:rsid w:val="00355D08"/>
    <w:rsid w:val="00355F99"/>
    <w:rsid w:val="003562FB"/>
    <w:rsid w:val="00356959"/>
    <w:rsid w:val="00356B26"/>
    <w:rsid w:val="00356D66"/>
    <w:rsid w:val="00356E50"/>
    <w:rsid w:val="00356EFF"/>
    <w:rsid w:val="003571AD"/>
    <w:rsid w:val="0035720F"/>
    <w:rsid w:val="003576D7"/>
    <w:rsid w:val="00357720"/>
    <w:rsid w:val="00357B27"/>
    <w:rsid w:val="0036065B"/>
    <w:rsid w:val="0036093A"/>
    <w:rsid w:val="00360C40"/>
    <w:rsid w:val="003611FA"/>
    <w:rsid w:val="003612A4"/>
    <w:rsid w:val="003612BC"/>
    <w:rsid w:val="003614CB"/>
    <w:rsid w:val="003630B0"/>
    <w:rsid w:val="00363297"/>
    <w:rsid w:val="003639BA"/>
    <w:rsid w:val="0036431C"/>
    <w:rsid w:val="0036438B"/>
    <w:rsid w:val="00364E09"/>
    <w:rsid w:val="003661F5"/>
    <w:rsid w:val="0036675B"/>
    <w:rsid w:val="00366948"/>
    <w:rsid w:val="003673E7"/>
    <w:rsid w:val="0036769D"/>
    <w:rsid w:val="00367763"/>
    <w:rsid w:val="0036794C"/>
    <w:rsid w:val="00367C31"/>
    <w:rsid w:val="00367E48"/>
    <w:rsid w:val="00370192"/>
    <w:rsid w:val="00370B60"/>
    <w:rsid w:val="00370DE1"/>
    <w:rsid w:val="003717AD"/>
    <w:rsid w:val="00371AC2"/>
    <w:rsid w:val="00371E0B"/>
    <w:rsid w:val="003722B9"/>
    <w:rsid w:val="0037268A"/>
    <w:rsid w:val="00372778"/>
    <w:rsid w:val="00372B1B"/>
    <w:rsid w:val="00372C29"/>
    <w:rsid w:val="0037335E"/>
    <w:rsid w:val="00373DD3"/>
    <w:rsid w:val="003741D7"/>
    <w:rsid w:val="00374499"/>
    <w:rsid w:val="003744DA"/>
    <w:rsid w:val="00374561"/>
    <w:rsid w:val="00374A69"/>
    <w:rsid w:val="0037527C"/>
    <w:rsid w:val="00375490"/>
    <w:rsid w:val="00375609"/>
    <w:rsid w:val="003758D9"/>
    <w:rsid w:val="00375C4B"/>
    <w:rsid w:val="00376A50"/>
    <w:rsid w:val="00376A57"/>
    <w:rsid w:val="00376C79"/>
    <w:rsid w:val="00376F07"/>
    <w:rsid w:val="003771E5"/>
    <w:rsid w:val="0037732E"/>
    <w:rsid w:val="00377E53"/>
    <w:rsid w:val="00377E64"/>
    <w:rsid w:val="003801FF"/>
    <w:rsid w:val="00380396"/>
    <w:rsid w:val="00381279"/>
    <w:rsid w:val="003816F1"/>
    <w:rsid w:val="003817A6"/>
    <w:rsid w:val="00381AA9"/>
    <w:rsid w:val="00382312"/>
    <w:rsid w:val="003827E6"/>
    <w:rsid w:val="00382A06"/>
    <w:rsid w:val="00382D50"/>
    <w:rsid w:val="00382FA8"/>
    <w:rsid w:val="00383376"/>
    <w:rsid w:val="0038342E"/>
    <w:rsid w:val="003834BA"/>
    <w:rsid w:val="00383790"/>
    <w:rsid w:val="00384033"/>
    <w:rsid w:val="003846FE"/>
    <w:rsid w:val="00385376"/>
    <w:rsid w:val="00385764"/>
    <w:rsid w:val="00385A7E"/>
    <w:rsid w:val="00385E67"/>
    <w:rsid w:val="003860CA"/>
    <w:rsid w:val="003868EA"/>
    <w:rsid w:val="0038728A"/>
    <w:rsid w:val="0038737A"/>
    <w:rsid w:val="00387732"/>
    <w:rsid w:val="00387A5C"/>
    <w:rsid w:val="00387BF2"/>
    <w:rsid w:val="00387C96"/>
    <w:rsid w:val="003902B0"/>
    <w:rsid w:val="0039059C"/>
    <w:rsid w:val="0039091A"/>
    <w:rsid w:val="00390A4C"/>
    <w:rsid w:val="00390C6D"/>
    <w:rsid w:val="00390E64"/>
    <w:rsid w:val="0039137A"/>
    <w:rsid w:val="00391696"/>
    <w:rsid w:val="003917C6"/>
    <w:rsid w:val="00391F76"/>
    <w:rsid w:val="00392215"/>
    <w:rsid w:val="0039232E"/>
    <w:rsid w:val="003923CA"/>
    <w:rsid w:val="00392917"/>
    <w:rsid w:val="00392D8C"/>
    <w:rsid w:val="00393638"/>
    <w:rsid w:val="0039370D"/>
    <w:rsid w:val="00393946"/>
    <w:rsid w:val="00393AEE"/>
    <w:rsid w:val="00394487"/>
    <w:rsid w:val="00394DEB"/>
    <w:rsid w:val="00395C5F"/>
    <w:rsid w:val="00395D8B"/>
    <w:rsid w:val="0039648E"/>
    <w:rsid w:val="00396538"/>
    <w:rsid w:val="00396DE3"/>
    <w:rsid w:val="00396FFE"/>
    <w:rsid w:val="00397C34"/>
    <w:rsid w:val="00397FF1"/>
    <w:rsid w:val="003A0CCA"/>
    <w:rsid w:val="003A10D1"/>
    <w:rsid w:val="003A1344"/>
    <w:rsid w:val="003A1747"/>
    <w:rsid w:val="003A245F"/>
    <w:rsid w:val="003A2AB3"/>
    <w:rsid w:val="003A32C8"/>
    <w:rsid w:val="003A3924"/>
    <w:rsid w:val="003A396C"/>
    <w:rsid w:val="003A3EAF"/>
    <w:rsid w:val="003A3FA7"/>
    <w:rsid w:val="003A42CB"/>
    <w:rsid w:val="003A437F"/>
    <w:rsid w:val="003A448B"/>
    <w:rsid w:val="003A4755"/>
    <w:rsid w:val="003A4A9D"/>
    <w:rsid w:val="003A4E04"/>
    <w:rsid w:val="003A4F3F"/>
    <w:rsid w:val="003A5287"/>
    <w:rsid w:val="003A529C"/>
    <w:rsid w:val="003A52E3"/>
    <w:rsid w:val="003A5360"/>
    <w:rsid w:val="003A53D2"/>
    <w:rsid w:val="003A5679"/>
    <w:rsid w:val="003A5753"/>
    <w:rsid w:val="003A5867"/>
    <w:rsid w:val="003A5868"/>
    <w:rsid w:val="003A5BBF"/>
    <w:rsid w:val="003A5BDF"/>
    <w:rsid w:val="003A5C3C"/>
    <w:rsid w:val="003A642F"/>
    <w:rsid w:val="003A66B8"/>
    <w:rsid w:val="003A67CC"/>
    <w:rsid w:val="003A68F9"/>
    <w:rsid w:val="003A6F6C"/>
    <w:rsid w:val="003A7138"/>
    <w:rsid w:val="003A7262"/>
    <w:rsid w:val="003A72D9"/>
    <w:rsid w:val="003A7409"/>
    <w:rsid w:val="003B0188"/>
    <w:rsid w:val="003B0B70"/>
    <w:rsid w:val="003B0C1B"/>
    <w:rsid w:val="003B0E1F"/>
    <w:rsid w:val="003B3558"/>
    <w:rsid w:val="003B3CD1"/>
    <w:rsid w:val="003B4177"/>
    <w:rsid w:val="003B491E"/>
    <w:rsid w:val="003B5134"/>
    <w:rsid w:val="003B5889"/>
    <w:rsid w:val="003B5AC8"/>
    <w:rsid w:val="003B6534"/>
    <w:rsid w:val="003B65CB"/>
    <w:rsid w:val="003B675D"/>
    <w:rsid w:val="003B6AA4"/>
    <w:rsid w:val="003B6AD5"/>
    <w:rsid w:val="003B6AFD"/>
    <w:rsid w:val="003B729B"/>
    <w:rsid w:val="003B729E"/>
    <w:rsid w:val="003B72B6"/>
    <w:rsid w:val="003B7324"/>
    <w:rsid w:val="003B78FC"/>
    <w:rsid w:val="003B7D08"/>
    <w:rsid w:val="003B7DDF"/>
    <w:rsid w:val="003C0519"/>
    <w:rsid w:val="003C0FF0"/>
    <w:rsid w:val="003C163F"/>
    <w:rsid w:val="003C1BA8"/>
    <w:rsid w:val="003C2145"/>
    <w:rsid w:val="003C2902"/>
    <w:rsid w:val="003C31E6"/>
    <w:rsid w:val="003C3430"/>
    <w:rsid w:val="003C363E"/>
    <w:rsid w:val="003C3830"/>
    <w:rsid w:val="003C3B5D"/>
    <w:rsid w:val="003C3F5A"/>
    <w:rsid w:val="003C4039"/>
    <w:rsid w:val="003C407B"/>
    <w:rsid w:val="003C4186"/>
    <w:rsid w:val="003C42B0"/>
    <w:rsid w:val="003C4484"/>
    <w:rsid w:val="003C4634"/>
    <w:rsid w:val="003C46C0"/>
    <w:rsid w:val="003C47F3"/>
    <w:rsid w:val="003C4838"/>
    <w:rsid w:val="003C4E38"/>
    <w:rsid w:val="003C4E74"/>
    <w:rsid w:val="003C54E6"/>
    <w:rsid w:val="003C5E71"/>
    <w:rsid w:val="003C6318"/>
    <w:rsid w:val="003C6952"/>
    <w:rsid w:val="003C6F81"/>
    <w:rsid w:val="003C7869"/>
    <w:rsid w:val="003C7979"/>
    <w:rsid w:val="003C7D56"/>
    <w:rsid w:val="003D09ED"/>
    <w:rsid w:val="003D0B4F"/>
    <w:rsid w:val="003D0B7A"/>
    <w:rsid w:val="003D0D81"/>
    <w:rsid w:val="003D108D"/>
    <w:rsid w:val="003D12B5"/>
    <w:rsid w:val="003D14CA"/>
    <w:rsid w:val="003D1D9A"/>
    <w:rsid w:val="003D2283"/>
    <w:rsid w:val="003D24AA"/>
    <w:rsid w:val="003D2717"/>
    <w:rsid w:val="003D2A4B"/>
    <w:rsid w:val="003D2A97"/>
    <w:rsid w:val="003D2D93"/>
    <w:rsid w:val="003D35E6"/>
    <w:rsid w:val="003D3ACD"/>
    <w:rsid w:val="003D438A"/>
    <w:rsid w:val="003D43F3"/>
    <w:rsid w:val="003D4518"/>
    <w:rsid w:val="003D4F46"/>
    <w:rsid w:val="003D50DA"/>
    <w:rsid w:val="003D55CB"/>
    <w:rsid w:val="003D5B1B"/>
    <w:rsid w:val="003D5B6F"/>
    <w:rsid w:val="003D6073"/>
    <w:rsid w:val="003D6A41"/>
    <w:rsid w:val="003D7112"/>
    <w:rsid w:val="003D7A44"/>
    <w:rsid w:val="003E0279"/>
    <w:rsid w:val="003E0699"/>
    <w:rsid w:val="003E0802"/>
    <w:rsid w:val="003E0C74"/>
    <w:rsid w:val="003E0DC0"/>
    <w:rsid w:val="003E1845"/>
    <w:rsid w:val="003E1A05"/>
    <w:rsid w:val="003E1BD1"/>
    <w:rsid w:val="003E22D2"/>
    <w:rsid w:val="003E2527"/>
    <w:rsid w:val="003E2537"/>
    <w:rsid w:val="003E2888"/>
    <w:rsid w:val="003E28A4"/>
    <w:rsid w:val="003E2AF8"/>
    <w:rsid w:val="003E2CC9"/>
    <w:rsid w:val="003E31B6"/>
    <w:rsid w:val="003E3D54"/>
    <w:rsid w:val="003E419C"/>
    <w:rsid w:val="003E437C"/>
    <w:rsid w:val="003E4461"/>
    <w:rsid w:val="003E454F"/>
    <w:rsid w:val="003E4CB6"/>
    <w:rsid w:val="003E4E5A"/>
    <w:rsid w:val="003E5311"/>
    <w:rsid w:val="003E53BE"/>
    <w:rsid w:val="003E658D"/>
    <w:rsid w:val="003E65A9"/>
    <w:rsid w:val="003E68A5"/>
    <w:rsid w:val="003E6F0E"/>
    <w:rsid w:val="003E6FDB"/>
    <w:rsid w:val="003E7051"/>
    <w:rsid w:val="003E78D5"/>
    <w:rsid w:val="003E7A21"/>
    <w:rsid w:val="003E7DF3"/>
    <w:rsid w:val="003F042D"/>
    <w:rsid w:val="003F0BB4"/>
    <w:rsid w:val="003F15FD"/>
    <w:rsid w:val="003F1680"/>
    <w:rsid w:val="003F2013"/>
    <w:rsid w:val="003F261E"/>
    <w:rsid w:val="003F297E"/>
    <w:rsid w:val="003F2B07"/>
    <w:rsid w:val="003F2EAE"/>
    <w:rsid w:val="003F32C5"/>
    <w:rsid w:val="003F3C44"/>
    <w:rsid w:val="003F3D51"/>
    <w:rsid w:val="003F3DC3"/>
    <w:rsid w:val="003F3FE1"/>
    <w:rsid w:val="003F46F2"/>
    <w:rsid w:val="003F48AB"/>
    <w:rsid w:val="003F4EDA"/>
    <w:rsid w:val="003F58EB"/>
    <w:rsid w:val="003F5DDD"/>
    <w:rsid w:val="003F5DF3"/>
    <w:rsid w:val="003F60E5"/>
    <w:rsid w:val="003F6290"/>
    <w:rsid w:val="003F660E"/>
    <w:rsid w:val="003F6E34"/>
    <w:rsid w:val="003F71B2"/>
    <w:rsid w:val="003F7A04"/>
    <w:rsid w:val="003F7DCA"/>
    <w:rsid w:val="003F7E9C"/>
    <w:rsid w:val="003F7EBA"/>
    <w:rsid w:val="00400696"/>
    <w:rsid w:val="00400CE9"/>
    <w:rsid w:val="00400DD3"/>
    <w:rsid w:val="004013B1"/>
    <w:rsid w:val="004013B9"/>
    <w:rsid w:val="00401726"/>
    <w:rsid w:val="00401A07"/>
    <w:rsid w:val="00401DCC"/>
    <w:rsid w:val="004024ED"/>
    <w:rsid w:val="0040251A"/>
    <w:rsid w:val="00402607"/>
    <w:rsid w:val="0040297D"/>
    <w:rsid w:val="00402D06"/>
    <w:rsid w:val="00402D18"/>
    <w:rsid w:val="00403439"/>
    <w:rsid w:val="00403B41"/>
    <w:rsid w:val="00403D27"/>
    <w:rsid w:val="00403DC8"/>
    <w:rsid w:val="0040455D"/>
    <w:rsid w:val="00405536"/>
    <w:rsid w:val="004056A8"/>
    <w:rsid w:val="00405709"/>
    <w:rsid w:val="00405C98"/>
    <w:rsid w:val="00405F1F"/>
    <w:rsid w:val="00406262"/>
    <w:rsid w:val="0040697A"/>
    <w:rsid w:val="00406ED5"/>
    <w:rsid w:val="0040708C"/>
    <w:rsid w:val="004071E8"/>
    <w:rsid w:val="004077F5"/>
    <w:rsid w:val="00407B12"/>
    <w:rsid w:val="00407FED"/>
    <w:rsid w:val="00407FF4"/>
    <w:rsid w:val="00410095"/>
    <w:rsid w:val="00410491"/>
    <w:rsid w:val="00410915"/>
    <w:rsid w:val="00411641"/>
    <w:rsid w:val="004118E9"/>
    <w:rsid w:val="00411A39"/>
    <w:rsid w:val="00411F8F"/>
    <w:rsid w:val="004125DD"/>
    <w:rsid w:val="0041278B"/>
    <w:rsid w:val="00412C8D"/>
    <w:rsid w:val="00412D4B"/>
    <w:rsid w:val="0041371A"/>
    <w:rsid w:val="00413EEF"/>
    <w:rsid w:val="00414104"/>
    <w:rsid w:val="004141C2"/>
    <w:rsid w:val="004142E7"/>
    <w:rsid w:val="00414495"/>
    <w:rsid w:val="00414A6D"/>
    <w:rsid w:val="00414AB0"/>
    <w:rsid w:val="00414AB5"/>
    <w:rsid w:val="00414BD8"/>
    <w:rsid w:val="00414FC3"/>
    <w:rsid w:val="004150E4"/>
    <w:rsid w:val="00415690"/>
    <w:rsid w:val="004158D4"/>
    <w:rsid w:val="00415A1C"/>
    <w:rsid w:val="00415ADA"/>
    <w:rsid w:val="00415E34"/>
    <w:rsid w:val="004164FB"/>
    <w:rsid w:val="00416B8D"/>
    <w:rsid w:val="00416EA1"/>
    <w:rsid w:val="00416F26"/>
    <w:rsid w:val="0041714A"/>
    <w:rsid w:val="00417280"/>
    <w:rsid w:val="004175B8"/>
    <w:rsid w:val="004178EC"/>
    <w:rsid w:val="00417BC0"/>
    <w:rsid w:val="00417D4B"/>
    <w:rsid w:val="00417DB6"/>
    <w:rsid w:val="0042003C"/>
    <w:rsid w:val="004215FE"/>
    <w:rsid w:val="0042180F"/>
    <w:rsid w:val="004226A3"/>
    <w:rsid w:val="00422961"/>
    <w:rsid w:val="0042304E"/>
    <w:rsid w:val="00423591"/>
    <w:rsid w:val="00423DC8"/>
    <w:rsid w:val="004240D6"/>
    <w:rsid w:val="004241BE"/>
    <w:rsid w:val="004246BB"/>
    <w:rsid w:val="00424C4F"/>
    <w:rsid w:val="00424F33"/>
    <w:rsid w:val="00424F65"/>
    <w:rsid w:val="004253B7"/>
    <w:rsid w:val="00425411"/>
    <w:rsid w:val="004254CD"/>
    <w:rsid w:val="004255DC"/>
    <w:rsid w:val="004259A1"/>
    <w:rsid w:val="004267F2"/>
    <w:rsid w:val="0042693B"/>
    <w:rsid w:val="00426AE1"/>
    <w:rsid w:val="00427CF0"/>
    <w:rsid w:val="00427E93"/>
    <w:rsid w:val="0043103B"/>
    <w:rsid w:val="0043115B"/>
    <w:rsid w:val="0043135A"/>
    <w:rsid w:val="004314D6"/>
    <w:rsid w:val="00431554"/>
    <w:rsid w:val="00431A04"/>
    <w:rsid w:val="00431CE4"/>
    <w:rsid w:val="00432421"/>
    <w:rsid w:val="004325FB"/>
    <w:rsid w:val="00432963"/>
    <w:rsid w:val="00432AAD"/>
    <w:rsid w:val="00433DFB"/>
    <w:rsid w:val="00433EF5"/>
    <w:rsid w:val="00434297"/>
    <w:rsid w:val="0043453B"/>
    <w:rsid w:val="00434DFC"/>
    <w:rsid w:val="00434E93"/>
    <w:rsid w:val="00435983"/>
    <w:rsid w:val="00435AEC"/>
    <w:rsid w:val="00436586"/>
    <w:rsid w:val="004371DB"/>
    <w:rsid w:val="00437508"/>
    <w:rsid w:val="00437827"/>
    <w:rsid w:val="00437943"/>
    <w:rsid w:val="0044048E"/>
    <w:rsid w:val="00440875"/>
    <w:rsid w:val="0044094E"/>
    <w:rsid w:val="00440A41"/>
    <w:rsid w:val="00441208"/>
    <w:rsid w:val="00441364"/>
    <w:rsid w:val="00441C63"/>
    <w:rsid w:val="00441C6B"/>
    <w:rsid w:val="00442170"/>
    <w:rsid w:val="004422BA"/>
    <w:rsid w:val="004423E8"/>
    <w:rsid w:val="00442CB6"/>
    <w:rsid w:val="00442F3E"/>
    <w:rsid w:val="004431D5"/>
    <w:rsid w:val="00443949"/>
    <w:rsid w:val="00443B36"/>
    <w:rsid w:val="00444763"/>
    <w:rsid w:val="00444D9A"/>
    <w:rsid w:val="004451A8"/>
    <w:rsid w:val="00445309"/>
    <w:rsid w:val="004466EE"/>
    <w:rsid w:val="00446A5C"/>
    <w:rsid w:val="00446C74"/>
    <w:rsid w:val="00446D34"/>
    <w:rsid w:val="00446E2E"/>
    <w:rsid w:val="00446EFF"/>
    <w:rsid w:val="00446F55"/>
    <w:rsid w:val="004471FB"/>
    <w:rsid w:val="0044735B"/>
    <w:rsid w:val="00447571"/>
    <w:rsid w:val="00447576"/>
    <w:rsid w:val="00447CF1"/>
    <w:rsid w:val="00447D3F"/>
    <w:rsid w:val="004501D4"/>
    <w:rsid w:val="004505F4"/>
    <w:rsid w:val="004507C8"/>
    <w:rsid w:val="00450B6D"/>
    <w:rsid w:val="0045139D"/>
    <w:rsid w:val="00452002"/>
    <w:rsid w:val="004521A9"/>
    <w:rsid w:val="00452968"/>
    <w:rsid w:val="00453304"/>
    <w:rsid w:val="0045401E"/>
    <w:rsid w:val="0045413B"/>
    <w:rsid w:val="004542EC"/>
    <w:rsid w:val="0045455E"/>
    <w:rsid w:val="00454766"/>
    <w:rsid w:val="004547DE"/>
    <w:rsid w:val="00454BE2"/>
    <w:rsid w:val="00454F55"/>
    <w:rsid w:val="00454FAD"/>
    <w:rsid w:val="004550B7"/>
    <w:rsid w:val="0045524C"/>
    <w:rsid w:val="00455310"/>
    <w:rsid w:val="0045565E"/>
    <w:rsid w:val="00455A6A"/>
    <w:rsid w:val="00455B2B"/>
    <w:rsid w:val="00455B4F"/>
    <w:rsid w:val="0045613F"/>
    <w:rsid w:val="00456372"/>
    <w:rsid w:val="00456A7E"/>
    <w:rsid w:val="00456C0C"/>
    <w:rsid w:val="0045706C"/>
    <w:rsid w:val="00457500"/>
    <w:rsid w:val="00457767"/>
    <w:rsid w:val="00457AB6"/>
    <w:rsid w:val="00457F8B"/>
    <w:rsid w:val="00460135"/>
    <w:rsid w:val="00460149"/>
    <w:rsid w:val="004607C7"/>
    <w:rsid w:val="00460AB1"/>
    <w:rsid w:val="00460F74"/>
    <w:rsid w:val="00460F86"/>
    <w:rsid w:val="0046115B"/>
    <w:rsid w:val="004611BD"/>
    <w:rsid w:val="00461443"/>
    <w:rsid w:val="00461691"/>
    <w:rsid w:val="004617FA"/>
    <w:rsid w:val="00461930"/>
    <w:rsid w:val="00461DE4"/>
    <w:rsid w:val="00461FB2"/>
    <w:rsid w:val="0046219E"/>
    <w:rsid w:val="00462655"/>
    <w:rsid w:val="00462772"/>
    <w:rsid w:val="00462D42"/>
    <w:rsid w:val="00463135"/>
    <w:rsid w:val="00463E8E"/>
    <w:rsid w:val="00464401"/>
    <w:rsid w:val="004651C3"/>
    <w:rsid w:val="004656F5"/>
    <w:rsid w:val="004665D0"/>
    <w:rsid w:val="004665D9"/>
    <w:rsid w:val="00466CF8"/>
    <w:rsid w:val="00466F80"/>
    <w:rsid w:val="00467257"/>
    <w:rsid w:val="00467470"/>
    <w:rsid w:val="0046797B"/>
    <w:rsid w:val="00467DE5"/>
    <w:rsid w:val="004702D5"/>
    <w:rsid w:val="004707A6"/>
    <w:rsid w:val="004708C9"/>
    <w:rsid w:val="00470B97"/>
    <w:rsid w:val="00470D0F"/>
    <w:rsid w:val="0047145A"/>
    <w:rsid w:val="00471702"/>
    <w:rsid w:val="00471B10"/>
    <w:rsid w:val="00471D6F"/>
    <w:rsid w:val="0047255E"/>
    <w:rsid w:val="004727CB"/>
    <w:rsid w:val="00472A94"/>
    <w:rsid w:val="00472ADE"/>
    <w:rsid w:val="00472E8E"/>
    <w:rsid w:val="0047366F"/>
    <w:rsid w:val="00473AC6"/>
    <w:rsid w:val="00473B59"/>
    <w:rsid w:val="00473EAF"/>
    <w:rsid w:val="00473FA4"/>
    <w:rsid w:val="00475286"/>
    <w:rsid w:val="004752FE"/>
    <w:rsid w:val="00475502"/>
    <w:rsid w:val="00475B06"/>
    <w:rsid w:val="00476630"/>
    <w:rsid w:val="00476652"/>
    <w:rsid w:val="00476CE6"/>
    <w:rsid w:val="00477201"/>
    <w:rsid w:val="0047764F"/>
    <w:rsid w:val="00477A66"/>
    <w:rsid w:val="00477B36"/>
    <w:rsid w:val="00477D6D"/>
    <w:rsid w:val="0048019E"/>
    <w:rsid w:val="004809C9"/>
    <w:rsid w:val="00480A3F"/>
    <w:rsid w:val="00481023"/>
    <w:rsid w:val="0048173A"/>
    <w:rsid w:val="00481F48"/>
    <w:rsid w:val="004827D8"/>
    <w:rsid w:val="00482B4A"/>
    <w:rsid w:val="00482B80"/>
    <w:rsid w:val="0048315B"/>
    <w:rsid w:val="004833EE"/>
    <w:rsid w:val="00483A5F"/>
    <w:rsid w:val="00483BAD"/>
    <w:rsid w:val="00483C88"/>
    <w:rsid w:val="004840F0"/>
    <w:rsid w:val="00484896"/>
    <w:rsid w:val="0048497C"/>
    <w:rsid w:val="00484CC3"/>
    <w:rsid w:val="00484DED"/>
    <w:rsid w:val="0048507E"/>
    <w:rsid w:val="0048620F"/>
    <w:rsid w:val="004866A9"/>
    <w:rsid w:val="0048671C"/>
    <w:rsid w:val="00486909"/>
    <w:rsid w:val="0048693B"/>
    <w:rsid w:val="004875D1"/>
    <w:rsid w:val="0048772D"/>
    <w:rsid w:val="00487795"/>
    <w:rsid w:val="00487930"/>
    <w:rsid w:val="00487961"/>
    <w:rsid w:val="004904DE"/>
    <w:rsid w:val="0049091E"/>
    <w:rsid w:val="004909DE"/>
    <w:rsid w:val="00491051"/>
    <w:rsid w:val="00491C02"/>
    <w:rsid w:val="00491D45"/>
    <w:rsid w:val="00492B64"/>
    <w:rsid w:val="00492DC7"/>
    <w:rsid w:val="0049393B"/>
    <w:rsid w:val="00493C11"/>
    <w:rsid w:val="0049434F"/>
    <w:rsid w:val="004944D7"/>
    <w:rsid w:val="004951CC"/>
    <w:rsid w:val="00495946"/>
    <w:rsid w:val="00495F75"/>
    <w:rsid w:val="0049657B"/>
    <w:rsid w:val="004967F9"/>
    <w:rsid w:val="00496A2A"/>
    <w:rsid w:val="004974CC"/>
    <w:rsid w:val="004976F9"/>
    <w:rsid w:val="0049795E"/>
    <w:rsid w:val="00497BDC"/>
    <w:rsid w:val="00497C80"/>
    <w:rsid w:val="004A068C"/>
    <w:rsid w:val="004A0701"/>
    <w:rsid w:val="004A1260"/>
    <w:rsid w:val="004A140F"/>
    <w:rsid w:val="004A147B"/>
    <w:rsid w:val="004A1572"/>
    <w:rsid w:val="004A2019"/>
    <w:rsid w:val="004A223A"/>
    <w:rsid w:val="004A2811"/>
    <w:rsid w:val="004A29BE"/>
    <w:rsid w:val="004A304D"/>
    <w:rsid w:val="004A347B"/>
    <w:rsid w:val="004A379F"/>
    <w:rsid w:val="004A3CCA"/>
    <w:rsid w:val="004A446E"/>
    <w:rsid w:val="004A465C"/>
    <w:rsid w:val="004A4730"/>
    <w:rsid w:val="004A4C62"/>
    <w:rsid w:val="004A4EF6"/>
    <w:rsid w:val="004A5034"/>
    <w:rsid w:val="004A518C"/>
    <w:rsid w:val="004A56E9"/>
    <w:rsid w:val="004A61AF"/>
    <w:rsid w:val="004A6D18"/>
    <w:rsid w:val="004A7020"/>
    <w:rsid w:val="004A7054"/>
    <w:rsid w:val="004A72C3"/>
    <w:rsid w:val="004A79C0"/>
    <w:rsid w:val="004A7B4B"/>
    <w:rsid w:val="004A7EFF"/>
    <w:rsid w:val="004B0567"/>
    <w:rsid w:val="004B06A4"/>
    <w:rsid w:val="004B0B38"/>
    <w:rsid w:val="004B0CE8"/>
    <w:rsid w:val="004B0D1C"/>
    <w:rsid w:val="004B1017"/>
    <w:rsid w:val="004B265C"/>
    <w:rsid w:val="004B2C65"/>
    <w:rsid w:val="004B2E95"/>
    <w:rsid w:val="004B309C"/>
    <w:rsid w:val="004B346F"/>
    <w:rsid w:val="004B3502"/>
    <w:rsid w:val="004B3D85"/>
    <w:rsid w:val="004B45C7"/>
    <w:rsid w:val="004B47E4"/>
    <w:rsid w:val="004B4C86"/>
    <w:rsid w:val="004B4CC3"/>
    <w:rsid w:val="004B4E1D"/>
    <w:rsid w:val="004B4E4F"/>
    <w:rsid w:val="004B586E"/>
    <w:rsid w:val="004B5C60"/>
    <w:rsid w:val="004B5D3C"/>
    <w:rsid w:val="004B5DFE"/>
    <w:rsid w:val="004B5F5D"/>
    <w:rsid w:val="004B6A49"/>
    <w:rsid w:val="004B6B94"/>
    <w:rsid w:val="004B6D3E"/>
    <w:rsid w:val="004B6EDA"/>
    <w:rsid w:val="004B712A"/>
    <w:rsid w:val="004B7899"/>
    <w:rsid w:val="004B7E43"/>
    <w:rsid w:val="004C08C7"/>
    <w:rsid w:val="004C0B64"/>
    <w:rsid w:val="004C0E8F"/>
    <w:rsid w:val="004C19C1"/>
    <w:rsid w:val="004C1D1F"/>
    <w:rsid w:val="004C2EB7"/>
    <w:rsid w:val="004C3A0E"/>
    <w:rsid w:val="004C4059"/>
    <w:rsid w:val="004C4205"/>
    <w:rsid w:val="004C45AC"/>
    <w:rsid w:val="004C4EDD"/>
    <w:rsid w:val="004C516B"/>
    <w:rsid w:val="004C5CD8"/>
    <w:rsid w:val="004C60ED"/>
    <w:rsid w:val="004C7992"/>
    <w:rsid w:val="004C7BBF"/>
    <w:rsid w:val="004D0C0E"/>
    <w:rsid w:val="004D125D"/>
    <w:rsid w:val="004D15D3"/>
    <w:rsid w:val="004D1770"/>
    <w:rsid w:val="004D2152"/>
    <w:rsid w:val="004D2330"/>
    <w:rsid w:val="004D2DCE"/>
    <w:rsid w:val="004D342A"/>
    <w:rsid w:val="004D36C3"/>
    <w:rsid w:val="004D386B"/>
    <w:rsid w:val="004D3CF6"/>
    <w:rsid w:val="004D3D51"/>
    <w:rsid w:val="004D403C"/>
    <w:rsid w:val="004D41ED"/>
    <w:rsid w:val="004D4459"/>
    <w:rsid w:val="004D4A79"/>
    <w:rsid w:val="004D5213"/>
    <w:rsid w:val="004D59A8"/>
    <w:rsid w:val="004D6103"/>
    <w:rsid w:val="004D64D8"/>
    <w:rsid w:val="004D6699"/>
    <w:rsid w:val="004D66AB"/>
    <w:rsid w:val="004D6FB0"/>
    <w:rsid w:val="004D76F5"/>
    <w:rsid w:val="004E0050"/>
    <w:rsid w:val="004E0365"/>
    <w:rsid w:val="004E09DB"/>
    <w:rsid w:val="004E0A89"/>
    <w:rsid w:val="004E0AA9"/>
    <w:rsid w:val="004E134A"/>
    <w:rsid w:val="004E1979"/>
    <w:rsid w:val="004E2589"/>
    <w:rsid w:val="004E2626"/>
    <w:rsid w:val="004E27E4"/>
    <w:rsid w:val="004E32C1"/>
    <w:rsid w:val="004E341F"/>
    <w:rsid w:val="004E3958"/>
    <w:rsid w:val="004E3E5C"/>
    <w:rsid w:val="004E46CA"/>
    <w:rsid w:val="004E4830"/>
    <w:rsid w:val="004E4932"/>
    <w:rsid w:val="004E4CB7"/>
    <w:rsid w:val="004E4F01"/>
    <w:rsid w:val="004E4FC9"/>
    <w:rsid w:val="004E5032"/>
    <w:rsid w:val="004E5292"/>
    <w:rsid w:val="004E5953"/>
    <w:rsid w:val="004E5AF4"/>
    <w:rsid w:val="004E61AF"/>
    <w:rsid w:val="004E6847"/>
    <w:rsid w:val="004E6FF4"/>
    <w:rsid w:val="004E7703"/>
    <w:rsid w:val="004F0247"/>
    <w:rsid w:val="004F063D"/>
    <w:rsid w:val="004F0BEC"/>
    <w:rsid w:val="004F0C86"/>
    <w:rsid w:val="004F0E92"/>
    <w:rsid w:val="004F1C38"/>
    <w:rsid w:val="004F1CAB"/>
    <w:rsid w:val="004F1CAF"/>
    <w:rsid w:val="004F2D9E"/>
    <w:rsid w:val="004F2EE8"/>
    <w:rsid w:val="004F2FBD"/>
    <w:rsid w:val="004F340B"/>
    <w:rsid w:val="004F3679"/>
    <w:rsid w:val="004F3899"/>
    <w:rsid w:val="004F38C1"/>
    <w:rsid w:val="004F3E5E"/>
    <w:rsid w:val="004F3F81"/>
    <w:rsid w:val="004F41E2"/>
    <w:rsid w:val="004F4602"/>
    <w:rsid w:val="004F48DF"/>
    <w:rsid w:val="004F4F14"/>
    <w:rsid w:val="004F4FD0"/>
    <w:rsid w:val="004F5067"/>
    <w:rsid w:val="004F52CF"/>
    <w:rsid w:val="004F543B"/>
    <w:rsid w:val="004F55AD"/>
    <w:rsid w:val="004F5E88"/>
    <w:rsid w:val="004F629C"/>
    <w:rsid w:val="004F65FA"/>
    <w:rsid w:val="004F6736"/>
    <w:rsid w:val="004F68A4"/>
    <w:rsid w:val="004F6912"/>
    <w:rsid w:val="004F7619"/>
    <w:rsid w:val="004F768F"/>
    <w:rsid w:val="004F7A3F"/>
    <w:rsid w:val="004F7A46"/>
    <w:rsid w:val="004F7AD6"/>
    <w:rsid w:val="004F7CB1"/>
    <w:rsid w:val="00500EF9"/>
    <w:rsid w:val="00501017"/>
    <w:rsid w:val="005014BD"/>
    <w:rsid w:val="00501785"/>
    <w:rsid w:val="00501852"/>
    <w:rsid w:val="00501879"/>
    <w:rsid w:val="00501D74"/>
    <w:rsid w:val="00502307"/>
    <w:rsid w:val="00502953"/>
    <w:rsid w:val="00502B1D"/>
    <w:rsid w:val="00503527"/>
    <w:rsid w:val="00503D3C"/>
    <w:rsid w:val="00503D71"/>
    <w:rsid w:val="00504156"/>
    <w:rsid w:val="0050435D"/>
    <w:rsid w:val="005043AE"/>
    <w:rsid w:val="00504594"/>
    <w:rsid w:val="005045A7"/>
    <w:rsid w:val="00504653"/>
    <w:rsid w:val="00504668"/>
    <w:rsid w:val="00505269"/>
    <w:rsid w:val="005054F2"/>
    <w:rsid w:val="00505B55"/>
    <w:rsid w:val="00505DD4"/>
    <w:rsid w:val="00506581"/>
    <w:rsid w:val="005065F8"/>
    <w:rsid w:val="005065FD"/>
    <w:rsid w:val="005067FA"/>
    <w:rsid w:val="00506802"/>
    <w:rsid w:val="005069A3"/>
    <w:rsid w:val="00506AA4"/>
    <w:rsid w:val="00506C61"/>
    <w:rsid w:val="00507018"/>
    <w:rsid w:val="00507912"/>
    <w:rsid w:val="00507923"/>
    <w:rsid w:val="00507A61"/>
    <w:rsid w:val="00510D20"/>
    <w:rsid w:val="0051138D"/>
    <w:rsid w:val="00511474"/>
    <w:rsid w:val="0051179E"/>
    <w:rsid w:val="00511F07"/>
    <w:rsid w:val="00511F16"/>
    <w:rsid w:val="005129C2"/>
    <w:rsid w:val="00512B90"/>
    <w:rsid w:val="00512C45"/>
    <w:rsid w:val="00513136"/>
    <w:rsid w:val="0051319C"/>
    <w:rsid w:val="005135A9"/>
    <w:rsid w:val="00513A4A"/>
    <w:rsid w:val="0051416A"/>
    <w:rsid w:val="00514243"/>
    <w:rsid w:val="00514262"/>
    <w:rsid w:val="00514538"/>
    <w:rsid w:val="00514732"/>
    <w:rsid w:val="00514D2C"/>
    <w:rsid w:val="005150CF"/>
    <w:rsid w:val="00515102"/>
    <w:rsid w:val="00515453"/>
    <w:rsid w:val="00515782"/>
    <w:rsid w:val="00515832"/>
    <w:rsid w:val="00515E93"/>
    <w:rsid w:val="0051607B"/>
    <w:rsid w:val="00516541"/>
    <w:rsid w:val="0051679D"/>
    <w:rsid w:val="00516C53"/>
    <w:rsid w:val="00517384"/>
    <w:rsid w:val="00517847"/>
    <w:rsid w:val="00520ED4"/>
    <w:rsid w:val="00521774"/>
    <w:rsid w:val="005225A5"/>
    <w:rsid w:val="00522625"/>
    <w:rsid w:val="0052360F"/>
    <w:rsid w:val="00523B64"/>
    <w:rsid w:val="005240DF"/>
    <w:rsid w:val="005248DB"/>
    <w:rsid w:val="00524FB1"/>
    <w:rsid w:val="005252D0"/>
    <w:rsid w:val="0052536A"/>
    <w:rsid w:val="00525676"/>
    <w:rsid w:val="00525681"/>
    <w:rsid w:val="00526F12"/>
    <w:rsid w:val="00527165"/>
    <w:rsid w:val="00527A97"/>
    <w:rsid w:val="00527E20"/>
    <w:rsid w:val="0053016C"/>
    <w:rsid w:val="00530337"/>
    <w:rsid w:val="005305C5"/>
    <w:rsid w:val="00530F01"/>
    <w:rsid w:val="00531059"/>
    <w:rsid w:val="00531548"/>
    <w:rsid w:val="005315E2"/>
    <w:rsid w:val="00531C9F"/>
    <w:rsid w:val="00531CE4"/>
    <w:rsid w:val="005320F3"/>
    <w:rsid w:val="0053388F"/>
    <w:rsid w:val="00533F44"/>
    <w:rsid w:val="00534173"/>
    <w:rsid w:val="00534924"/>
    <w:rsid w:val="00535066"/>
    <w:rsid w:val="005350AF"/>
    <w:rsid w:val="005351A1"/>
    <w:rsid w:val="0053612C"/>
    <w:rsid w:val="005361A3"/>
    <w:rsid w:val="0053637A"/>
    <w:rsid w:val="0053659D"/>
    <w:rsid w:val="0053682D"/>
    <w:rsid w:val="00536B43"/>
    <w:rsid w:val="005372AB"/>
    <w:rsid w:val="00537FB3"/>
    <w:rsid w:val="005400AE"/>
    <w:rsid w:val="00540223"/>
    <w:rsid w:val="005411A8"/>
    <w:rsid w:val="00541D74"/>
    <w:rsid w:val="005420BE"/>
    <w:rsid w:val="005422A1"/>
    <w:rsid w:val="005444AB"/>
    <w:rsid w:val="00544513"/>
    <w:rsid w:val="00544742"/>
    <w:rsid w:val="00544A6F"/>
    <w:rsid w:val="00544ACE"/>
    <w:rsid w:val="00544BC8"/>
    <w:rsid w:val="00544CBF"/>
    <w:rsid w:val="00544F7F"/>
    <w:rsid w:val="00545323"/>
    <w:rsid w:val="005453B8"/>
    <w:rsid w:val="00545A10"/>
    <w:rsid w:val="005460BD"/>
    <w:rsid w:val="005462FE"/>
    <w:rsid w:val="00546422"/>
    <w:rsid w:val="005467C2"/>
    <w:rsid w:val="005467CF"/>
    <w:rsid w:val="00546ED0"/>
    <w:rsid w:val="0054759E"/>
    <w:rsid w:val="005475A6"/>
    <w:rsid w:val="00547889"/>
    <w:rsid w:val="00547F51"/>
    <w:rsid w:val="005501DE"/>
    <w:rsid w:val="0055052F"/>
    <w:rsid w:val="005505DB"/>
    <w:rsid w:val="00550A66"/>
    <w:rsid w:val="00550DE1"/>
    <w:rsid w:val="005512CA"/>
    <w:rsid w:val="005513D9"/>
    <w:rsid w:val="005519A0"/>
    <w:rsid w:val="00551E9F"/>
    <w:rsid w:val="00552607"/>
    <w:rsid w:val="00552827"/>
    <w:rsid w:val="00552D19"/>
    <w:rsid w:val="00552FD7"/>
    <w:rsid w:val="00553884"/>
    <w:rsid w:val="00553D2F"/>
    <w:rsid w:val="00553D32"/>
    <w:rsid w:val="00553D8E"/>
    <w:rsid w:val="005541BA"/>
    <w:rsid w:val="00554282"/>
    <w:rsid w:val="00554C60"/>
    <w:rsid w:val="00554D34"/>
    <w:rsid w:val="00554DC2"/>
    <w:rsid w:val="00554ED8"/>
    <w:rsid w:val="00554EF1"/>
    <w:rsid w:val="00555406"/>
    <w:rsid w:val="0055544A"/>
    <w:rsid w:val="00555471"/>
    <w:rsid w:val="00555A0A"/>
    <w:rsid w:val="00555B36"/>
    <w:rsid w:val="00555E8D"/>
    <w:rsid w:val="00555EFE"/>
    <w:rsid w:val="00556553"/>
    <w:rsid w:val="005565F6"/>
    <w:rsid w:val="00556A27"/>
    <w:rsid w:val="00556C36"/>
    <w:rsid w:val="00557501"/>
    <w:rsid w:val="00557D88"/>
    <w:rsid w:val="00560347"/>
    <w:rsid w:val="00560B98"/>
    <w:rsid w:val="00561986"/>
    <w:rsid w:val="00561A42"/>
    <w:rsid w:val="00561DA1"/>
    <w:rsid w:val="00561DC5"/>
    <w:rsid w:val="005625FD"/>
    <w:rsid w:val="00562E0E"/>
    <w:rsid w:val="005632A0"/>
    <w:rsid w:val="005636BA"/>
    <w:rsid w:val="00564FB0"/>
    <w:rsid w:val="0056537F"/>
    <w:rsid w:val="00565DB2"/>
    <w:rsid w:val="00565F01"/>
    <w:rsid w:val="00565F62"/>
    <w:rsid w:val="005660A7"/>
    <w:rsid w:val="005663FA"/>
    <w:rsid w:val="00566B48"/>
    <w:rsid w:val="00566C1C"/>
    <w:rsid w:val="00566C28"/>
    <w:rsid w:val="00566E9C"/>
    <w:rsid w:val="00567013"/>
    <w:rsid w:val="00567F52"/>
    <w:rsid w:val="0057033F"/>
    <w:rsid w:val="005704E3"/>
    <w:rsid w:val="005705C1"/>
    <w:rsid w:val="005705C6"/>
    <w:rsid w:val="005705DB"/>
    <w:rsid w:val="00570B71"/>
    <w:rsid w:val="00571065"/>
    <w:rsid w:val="005714F1"/>
    <w:rsid w:val="00571703"/>
    <w:rsid w:val="005724E3"/>
    <w:rsid w:val="00572F7D"/>
    <w:rsid w:val="00573501"/>
    <w:rsid w:val="00573ADE"/>
    <w:rsid w:val="0057417D"/>
    <w:rsid w:val="005747FA"/>
    <w:rsid w:val="005755DD"/>
    <w:rsid w:val="00575C96"/>
    <w:rsid w:val="00575F8B"/>
    <w:rsid w:val="00576155"/>
    <w:rsid w:val="00576234"/>
    <w:rsid w:val="005767B5"/>
    <w:rsid w:val="005769F0"/>
    <w:rsid w:val="00576CD7"/>
    <w:rsid w:val="00576CFA"/>
    <w:rsid w:val="005772EC"/>
    <w:rsid w:val="005773F4"/>
    <w:rsid w:val="005774CD"/>
    <w:rsid w:val="00577CCE"/>
    <w:rsid w:val="00577D3B"/>
    <w:rsid w:val="0058040A"/>
    <w:rsid w:val="005806B3"/>
    <w:rsid w:val="00580D2B"/>
    <w:rsid w:val="00580DB1"/>
    <w:rsid w:val="00580F5D"/>
    <w:rsid w:val="00581663"/>
    <w:rsid w:val="00581732"/>
    <w:rsid w:val="00581813"/>
    <w:rsid w:val="00581822"/>
    <w:rsid w:val="0058185E"/>
    <w:rsid w:val="00581E5B"/>
    <w:rsid w:val="00581E87"/>
    <w:rsid w:val="0058248F"/>
    <w:rsid w:val="00582F12"/>
    <w:rsid w:val="005831A6"/>
    <w:rsid w:val="00583861"/>
    <w:rsid w:val="00583A2F"/>
    <w:rsid w:val="0058462C"/>
    <w:rsid w:val="0058483D"/>
    <w:rsid w:val="00584B28"/>
    <w:rsid w:val="00584B41"/>
    <w:rsid w:val="005854B4"/>
    <w:rsid w:val="00585515"/>
    <w:rsid w:val="005856E6"/>
    <w:rsid w:val="00585F6D"/>
    <w:rsid w:val="00586096"/>
    <w:rsid w:val="0058627A"/>
    <w:rsid w:val="005862D3"/>
    <w:rsid w:val="0058668E"/>
    <w:rsid w:val="005868C4"/>
    <w:rsid w:val="00586D12"/>
    <w:rsid w:val="0058751C"/>
    <w:rsid w:val="005903E3"/>
    <w:rsid w:val="00590814"/>
    <w:rsid w:val="005908FB"/>
    <w:rsid w:val="00590BCA"/>
    <w:rsid w:val="00590E88"/>
    <w:rsid w:val="00591557"/>
    <w:rsid w:val="00591DF1"/>
    <w:rsid w:val="0059251B"/>
    <w:rsid w:val="0059277A"/>
    <w:rsid w:val="005928AF"/>
    <w:rsid w:val="00592AB5"/>
    <w:rsid w:val="00592E3B"/>
    <w:rsid w:val="005938E1"/>
    <w:rsid w:val="00593A44"/>
    <w:rsid w:val="00593CBA"/>
    <w:rsid w:val="00593F56"/>
    <w:rsid w:val="0059404F"/>
    <w:rsid w:val="00594365"/>
    <w:rsid w:val="005943C8"/>
    <w:rsid w:val="00594498"/>
    <w:rsid w:val="0059497A"/>
    <w:rsid w:val="00594E99"/>
    <w:rsid w:val="0059508D"/>
    <w:rsid w:val="005952D2"/>
    <w:rsid w:val="00595CC2"/>
    <w:rsid w:val="00595E0C"/>
    <w:rsid w:val="0059601D"/>
    <w:rsid w:val="00596153"/>
    <w:rsid w:val="00596929"/>
    <w:rsid w:val="00596EDE"/>
    <w:rsid w:val="00596F84"/>
    <w:rsid w:val="00597AB2"/>
    <w:rsid w:val="00597F06"/>
    <w:rsid w:val="00597F60"/>
    <w:rsid w:val="005A003C"/>
    <w:rsid w:val="005A01E9"/>
    <w:rsid w:val="005A02E4"/>
    <w:rsid w:val="005A0486"/>
    <w:rsid w:val="005A0BBF"/>
    <w:rsid w:val="005A0FC3"/>
    <w:rsid w:val="005A12A8"/>
    <w:rsid w:val="005A13FD"/>
    <w:rsid w:val="005A1BD4"/>
    <w:rsid w:val="005A278C"/>
    <w:rsid w:val="005A381E"/>
    <w:rsid w:val="005A4573"/>
    <w:rsid w:val="005A457B"/>
    <w:rsid w:val="005A495C"/>
    <w:rsid w:val="005A4F71"/>
    <w:rsid w:val="005A56A2"/>
    <w:rsid w:val="005A5993"/>
    <w:rsid w:val="005A60A1"/>
    <w:rsid w:val="005A6AE6"/>
    <w:rsid w:val="005A6D40"/>
    <w:rsid w:val="005A7237"/>
    <w:rsid w:val="005A73C1"/>
    <w:rsid w:val="005A755B"/>
    <w:rsid w:val="005A760D"/>
    <w:rsid w:val="005A7729"/>
    <w:rsid w:val="005A77CC"/>
    <w:rsid w:val="005A7957"/>
    <w:rsid w:val="005A7D52"/>
    <w:rsid w:val="005B0D46"/>
    <w:rsid w:val="005B17DA"/>
    <w:rsid w:val="005B18C0"/>
    <w:rsid w:val="005B1ECE"/>
    <w:rsid w:val="005B23D8"/>
    <w:rsid w:val="005B26F8"/>
    <w:rsid w:val="005B2817"/>
    <w:rsid w:val="005B2860"/>
    <w:rsid w:val="005B291B"/>
    <w:rsid w:val="005B2CEC"/>
    <w:rsid w:val="005B2FF6"/>
    <w:rsid w:val="005B31CE"/>
    <w:rsid w:val="005B3E54"/>
    <w:rsid w:val="005B3F80"/>
    <w:rsid w:val="005B442E"/>
    <w:rsid w:val="005B4AC3"/>
    <w:rsid w:val="005B4E72"/>
    <w:rsid w:val="005B4EDA"/>
    <w:rsid w:val="005B4EDE"/>
    <w:rsid w:val="005B53AA"/>
    <w:rsid w:val="005B567A"/>
    <w:rsid w:val="005B6246"/>
    <w:rsid w:val="005B6A4B"/>
    <w:rsid w:val="005B758E"/>
    <w:rsid w:val="005B76DC"/>
    <w:rsid w:val="005B77A3"/>
    <w:rsid w:val="005B77F1"/>
    <w:rsid w:val="005B795F"/>
    <w:rsid w:val="005C0489"/>
    <w:rsid w:val="005C072A"/>
    <w:rsid w:val="005C09B8"/>
    <w:rsid w:val="005C09D5"/>
    <w:rsid w:val="005C102B"/>
    <w:rsid w:val="005C1139"/>
    <w:rsid w:val="005C116B"/>
    <w:rsid w:val="005C1B3E"/>
    <w:rsid w:val="005C2573"/>
    <w:rsid w:val="005C2707"/>
    <w:rsid w:val="005C29E0"/>
    <w:rsid w:val="005C3553"/>
    <w:rsid w:val="005C3A5C"/>
    <w:rsid w:val="005C3B67"/>
    <w:rsid w:val="005C4289"/>
    <w:rsid w:val="005C483B"/>
    <w:rsid w:val="005C49A6"/>
    <w:rsid w:val="005C57E3"/>
    <w:rsid w:val="005C5B46"/>
    <w:rsid w:val="005C60AF"/>
    <w:rsid w:val="005C624D"/>
    <w:rsid w:val="005C6B6F"/>
    <w:rsid w:val="005C6B8A"/>
    <w:rsid w:val="005C729F"/>
    <w:rsid w:val="005D03D7"/>
    <w:rsid w:val="005D0E38"/>
    <w:rsid w:val="005D17AA"/>
    <w:rsid w:val="005D17E9"/>
    <w:rsid w:val="005D1D73"/>
    <w:rsid w:val="005D2B4E"/>
    <w:rsid w:val="005D3043"/>
    <w:rsid w:val="005D3880"/>
    <w:rsid w:val="005D3D2E"/>
    <w:rsid w:val="005D4485"/>
    <w:rsid w:val="005D453A"/>
    <w:rsid w:val="005D4A52"/>
    <w:rsid w:val="005D4DE6"/>
    <w:rsid w:val="005D56BC"/>
    <w:rsid w:val="005D5AA3"/>
    <w:rsid w:val="005D5E97"/>
    <w:rsid w:val="005D62D1"/>
    <w:rsid w:val="005D731A"/>
    <w:rsid w:val="005D731C"/>
    <w:rsid w:val="005D75D7"/>
    <w:rsid w:val="005D7C16"/>
    <w:rsid w:val="005D7DBC"/>
    <w:rsid w:val="005E09A7"/>
    <w:rsid w:val="005E0FDD"/>
    <w:rsid w:val="005E1143"/>
    <w:rsid w:val="005E16FA"/>
    <w:rsid w:val="005E217D"/>
    <w:rsid w:val="005E2379"/>
    <w:rsid w:val="005E2858"/>
    <w:rsid w:val="005E2E3F"/>
    <w:rsid w:val="005E3CFA"/>
    <w:rsid w:val="005E3D0F"/>
    <w:rsid w:val="005E4250"/>
    <w:rsid w:val="005E4550"/>
    <w:rsid w:val="005E4806"/>
    <w:rsid w:val="005E48A2"/>
    <w:rsid w:val="005E4945"/>
    <w:rsid w:val="005E4E0B"/>
    <w:rsid w:val="005E4E1B"/>
    <w:rsid w:val="005E510E"/>
    <w:rsid w:val="005E5719"/>
    <w:rsid w:val="005E5A85"/>
    <w:rsid w:val="005E60F9"/>
    <w:rsid w:val="005E6680"/>
    <w:rsid w:val="005E6A75"/>
    <w:rsid w:val="005E7031"/>
    <w:rsid w:val="005E7039"/>
    <w:rsid w:val="005E77F9"/>
    <w:rsid w:val="005E7C94"/>
    <w:rsid w:val="005F1239"/>
    <w:rsid w:val="005F14E5"/>
    <w:rsid w:val="005F15DF"/>
    <w:rsid w:val="005F16D6"/>
    <w:rsid w:val="005F27B8"/>
    <w:rsid w:val="005F2B98"/>
    <w:rsid w:val="005F2C98"/>
    <w:rsid w:val="005F3488"/>
    <w:rsid w:val="005F35EF"/>
    <w:rsid w:val="005F3B18"/>
    <w:rsid w:val="005F444E"/>
    <w:rsid w:val="005F4CD6"/>
    <w:rsid w:val="005F4D6F"/>
    <w:rsid w:val="005F5562"/>
    <w:rsid w:val="005F5AC6"/>
    <w:rsid w:val="005F5F10"/>
    <w:rsid w:val="005F6A37"/>
    <w:rsid w:val="005F6B68"/>
    <w:rsid w:val="005F6C89"/>
    <w:rsid w:val="005F783C"/>
    <w:rsid w:val="005F7E40"/>
    <w:rsid w:val="005F7FFB"/>
    <w:rsid w:val="006011F4"/>
    <w:rsid w:val="0060161B"/>
    <w:rsid w:val="0060177C"/>
    <w:rsid w:val="00601A38"/>
    <w:rsid w:val="00601DA5"/>
    <w:rsid w:val="00601FBB"/>
    <w:rsid w:val="00602412"/>
    <w:rsid w:val="00602699"/>
    <w:rsid w:val="006026B5"/>
    <w:rsid w:val="00602993"/>
    <w:rsid w:val="006030B6"/>
    <w:rsid w:val="00603460"/>
    <w:rsid w:val="00603489"/>
    <w:rsid w:val="006035B4"/>
    <w:rsid w:val="00603778"/>
    <w:rsid w:val="006037B9"/>
    <w:rsid w:val="00603A91"/>
    <w:rsid w:val="00603D52"/>
    <w:rsid w:val="0060457F"/>
    <w:rsid w:val="00604918"/>
    <w:rsid w:val="00604DB0"/>
    <w:rsid w:val="00604EE0"/>
    <w:rsid w:val="00605072"/>
    <w:rsid w:val="00605331"/>
    <w:rsid w:val="00605A13"/>
    <w:rsid w:val="00605A3F"/>
    <w:rsid w:val="006065E7"/>
    <w:rsid w:val="0060699E"/>
    <w:rsid w:val="00607014"/>
    <w:rsid w:val="0060729F"/>
    <w:rsid w:val="00607A34"/>
    <w:rsid w:val="00607BD2"/>
    <w:rsid w:val="00607D31"/>
    <w:rsid w:val="00607FA6"/>
    <w:rsid w:val="00610218"/>
    <w:rsid w:val="006104A9"/>
    <w:rsid w:val="00610A8D"/>
    <w:rsid w:val="00610D11"/>
    <w:rsid w:val="00610D20"/>
    <w:rsid w:val="00610E29"/>
    <w:rsid w:val="00610EAD"/>
    <w:rsid w:val="0061197D"/>
    <w:rsid w:val="00611992"/>
    <w:rsid w:val="00611D78"/>
    <w:rsid w:val="00611D9E"/>
    <w:rsid w:val="006124B3"/>
    <w:rsid w:val="006125EB"/>
    <w:rsid w:val="006126F3"/>
    <w:rsid w:val="00612761"/>
    <w:rsid w:val="00612B23"/>
    <w:rsid w:val="00612B69"/>
    <w:rsid w:val="00612C48"/>
    <w:rsid w:val="0061334D"/>
    <w:rsid w:val="006139ED"/>
    <w:rsid w:val="00613F74"/>
    <w:rsid w:val="00614320"/>
    <w:rsid w:val="00614750"/>
    <w:rsid w:val="00614D2E"/>
    <w:rsid w:val="00614DFC"/>
    <w:rsid w:val="006152A4"/>
    <w:rsid w:val="00615500"/>
    <w:rsid w:val="006157F7"/>
    <w:rsid w:val="006158A9"/>
    <w:rsid w:val="00615BED"/>
    <w:rsid w:val="00615D87"/>
    <w:rsid w:val="00615E37"/>
    <w:rsid w:val="00615FD4"/>
    <w:rsid w:val="00616340"/>
    <w:rsid w:val="006164D7"/>
    <w:rsid w:val="00616E26"/>
    <w:rsid w:val="00617B20"/>
    <w:rsid w:val="00617B81"/>
    <w:rsid w:val="00617D4C"/>
    <w:rsid w:val="00620333"/>
    <w:rsid w:val="00620714"/>
    <w:rsid w:val="006207E0"/>
    <w:rsid w:val="00620E6E"/>
    <w:rsid w:val="00620ED7"/>
    <w:rsid w:val="00620FE5"/>
    <w:rsid w:val="0062136B"/>
    <w:rsid w:val="006215D2"/>
    <w:rsid w:val="00621BAC"/>
    <w:rsid w:val="00621BD8"/>
    <w:rsid w:val="00622D74"/>
    <w:rsid w:val="00622E9E"/>
    <w:rsid w:val="00623602"/>
    <w:rsid w:val="0062365E"/>
    <w:rsid w:val="006236B7"/>
    <w:rsid w:val="0062396C"/>
    <w:rsid w:val="00623CEF"/>
    <w:rsid w:val="00623F01"/>
    <w:rsid w:val="00624078"/>
    <w:rsid w:val="00624624"/>
    <w:rsid w:val="006246F9"/>
    <w:rsid w:val="006248BD"/>
    <w:rsid w:val="00624B61"/>
    <w:rsid w:val="00625151"/>
    <w:rsid w:val="00625376"/>
    <w:rsid w:val="0062555F"/>
    <w:rsid w:val="0062596D"/>
    <w:rsid w:val="00625BBC"/>
    <w:rsid w:val="00626284"/>
    <w:rsid w:val="00626595"/>
    <w:rsid w:val="00626606"/>
    <w:rsid w:val="006270DF"/>
    <w:rsid w:val="00627288"/>
    <w:rsid w:val="006277B3"/>
    <w:rsid w:val="006302EE"/>
    <w:rsid w:val="0063056F"/>
    <w:rsid w:val="00630814"/>
    <w:rsid w:val="00630A34"/>
    <w:rsid w:val="0063145B"/>
    <w:rsid w:val="006315FD"/>
    <w:rsid w:val="006316C5"/>
    <w:rsid w:val="00631967"/>
    <w:rsid w:val="00631C4E"/>
    <w:rsid w:val="0063247F"/>
    <w:rsid w:val="00632CF1"/>
    <w:rsid w:val="00632FEC"/>
    <w:rsid w:val="00633656"/>
    <w:rsid w:val="0063374C"/>
    <w:rsid w:val="00633968"/>
    <w:rsid w:val="0063400F"/>
    <w:rsid w:val="0063422B"/>
    <w:rsid w:val="006347B6"/>
    <w:rsid w:val="0063518A"/>
    <w:rsid w:val="0063556B"/>
    <w:rsid w:val="0063569A"/>
    <w:rsid w:val="0063596A"/>
    <w:rsid w:val="00635D60"/>
    <w:rsid w:val="00635EF7"/>
    <w:rsid w:val="00635F2F"/>
    <w:rsid w:val="00636D83"/>
    <w:rsid w:val="006374DF"/>
    <w:rsid w:val="006375A5"/>
    <w:rsid w:val="00637BAF"/>
    <w:rsid w:val="00637E34"/>
    <w:rsid w:val="006404FD"/>
    <w:rsid w:val="00640590"/>
    <w:rsid w:val="006406F8"/>
    <w:rsid w:val="00640B65"/>
    <w:rsid w:val="00640CA5"/>
    <w:rsid w:val="00640D57"/>
    <w:rsid w:val="00640FF5"/>
    <w:rsid w:val="0064148E"/>
    <w:rsid w:val="0064188A"/>
    <w:rsid w:val="00641A45"/>
    <w:rsid w:val="00641B52"/>
    <w:rsid w:val="00642838"/>
    <w:rsid w:val="00642A4B"/>
    <w:rsid w:val="00643DA6"/>
    <w:rsid w:val="00643E5C"/>
    <w:rsid w:val="00644165"/>
    <w:rsid w:val="00644358"/>
    <w:rsid w:val="006444CB"/>
    <w:rsid w:val="00644FA4"/>
    <w:rsid w:val="0064520C"/>
    <w:rsid w:val="00645367"/>
    <w:rsid w:val="006457FC"/>
    <w:rsid w:val="0064615E"/>
    <w:rsid w:val="006463C1"/>
    <w:rsid w:val="00646F77"/>
    <w:rsid w:val="00647893"/>
    <w:rsid w:val="00647A60"/>
    <w:rsid w:val="00647F05"/>
    <w:rsid w:val="0065045E"/>
    <w:rsid w:val="00650CC9"/>
    <w:rsid w:val="00650E59"/>
    <w:rsid w:val="00650F7D"/>
    <w:rsid w:val="006515AF"/>
    <w:rsid w:val="00651743"/>
    <w:rsid w:val="00651827"/>
    <w:rsid w:val="00651A42"/>
    <w:rsid w:val="00651DFE"/>
    <w:rsid w:val="00652322"/>
    <w:rsid w:val="006528D5"/>
    <w:rsid w:val="00652E02"/>
    <w:rsid w:val="0065301F"/>
    <w:rsid w:val="006540F6"/>
    <w:rsid w:val="0065441B"/>
    <w:rsid w:val="00654431"/>
    <w:rsid w:val="00654A5E"/>
    <w:rsid w:val="00655244"/>
    <w:rsid w:val="00655256"/>
    <w:rsid w:val="0065563D"/>
    <w:rsid w:val="00655CF4"/>
    <w:rsid w:val="0065668B"/>
    <w:rsid w:val="00656DFE"/>
    <w:rsid w:val="00657524"/>
    <w:rsid w:val="0065755B"/>
    <w:rsid w:val="00657876"/>
    <w:rsid w:val="006608BF"/>
    <w:rsid w:val="006608EF"/>
    <w:rsid w:val="00660A44"/>
    <w:rsid w:val="00661654"/>
    <w:rsid w:val="006616C6"/>
    <w:rsid w:val="006618A9"/>
    <w:rsid w:val="006619B2"/>
    <w:rsid w:val="00663499"/>
    <w:rsid w:val="006635BA"/>
    <w:rsid w:val="00663F5A"/>
    <w:rsid w:val="006641BE"/>
    <w:rsid w:val="0066434E"/>
    <w:rsid w:val="00664F42"/>
    <w:rsid w:val="00664FA4"/>
    <w:rsid w:val="006650EE"/>
    <w:rsid w:val="0066594D"/>
    <w:rsid w:val="00665BF0"/>
    <w:rsid w:val="00665CCC"/>
    <w:rsid w:val="00665DC7"/>
    <w:rsid w:val="006662AB"/>
    <w:rsid w:val="006664E7"/>
    <w:rsid w:val="00666902"/>
    <w:rsid w:val="00666A15"/>
    <w:rsid w:val="00666E28"/>
    <w:rsid w:val="006671B4"/>
    <w:rsid w:val="00670818"/>
    <w:rsid w:val="006708C1"/>
    <w:rsid w:val="00670B7F"/>
    <w:rsid w:val="00670E02"/>
    <w:rsid w:val="0067163F"/>
    <w:rsid w:val="00671843"/>
    <w:rsid w:val="00671955"/>
    <w:rsid w:val="006719C9"/>
    <w:rsid w:val="00672459"/>
    <w:rsid w:val="006734A8"/>
    <w:rsid w:val="0067373D"/>
    <w:rsid w:val="00673965"/>
    <w:rsid w:val="00673BE2"/>
    <w:rsid w:val="00674252"/>
    <w:rsid w:val="00674473"/>
    <w:rsid w:val="00674619"/>
    <w:rsid w:val="006746D9"/>
    <w:rsid w:val="00674B88"/>
    <w:rsid w:val="00675CEF"/>
    <w:rsid w:val="00675FE7"/>
    <w:rsid w:val="006763AD"/>
    <w:rsid w:val="0067645D"/>
    <w:rsid w:val="00676AB9"/>
    <w:rsid w:val="00676C03"/>
    <w:rsid w:val="006770AF"/>
    <w:rsid w:val="00677B57"/>
    <w:rsid w:val="006807BF"/>
    <w:rsid w:val="006807FA"/>
    <w:rsid w:val="00680879"/>
    <w:rsid w:val="0068094F"/>
    <w:rsid w:val="00680AB6"/>
    <w:rsid w:val="0068108D"/>
    <w:rsid w:val="0068166C"/>
    <w:rsid w:val="006816D3"/>
    <w:rsid w:val="00681BE2"/>
    <w:rsid w:val="00681EF5"/>
    <w:rsid w:val="00681F7B"/>
    <w:rsid w:val="006820FF"/>
    <w:rsid w:val="00682900"/>
    <w:rsid w:val="006829B5"/>
    <w:rsid w:val="00682C80"/>
    <w:rsid w:val="0068306D"/>
    <w:rsid w:val="0068379D"/>
    <w:rsid w:val="006837E3"/>
    <w:rsid w:val="00683DB5"/>
    <w:rsid w:val="006841C8"/>
    <w:rsid w:val="0068491D"/>
    <w:rsid w:val="00685D49"/>
    <w:rsid w:val="006861FF"/>
    <w:rsid w:val="0068643A"/>
    <w:rsid w:val="006868CC"/>
    <w:rsid w:val="00686BCB"/>
    <w:rsid w:val="00687762"/>
    <w:rsid w:val="006878CF"/>
    <w:rsid w:val="00687B88"/>
    <w:rsid w:val="00687DA9"/>
    <w:rsid w:val="00687FFA"/>
    <w:rsid w:val="00690022"/>
    <w:rsid w:val="006907A0"/>
    <w:rsid w:val="00690B27"/>
    <w:rsid w:val="00690D27"/>
    <w:rsid w:val="00690D43"/>
    <w:rsid w:val="0069117D"/>
    <w:rsid w:val="00691F1B"/>
    <w:rsid w:val="00692168"/>
    <w:rsid w:val="00692243"/>
    <w:rsid w:val="00692425"/>
    <w:rsid w:val="006926DD"/>
    <w:rsid w:val="00692AA4"/>
    <w:rsid w:val="00692D40"/>
    <w:rsid w:val="0069315A"/>
    <w:rsid w:val="00693E00"/>
    <w:rsid w:val="006951F2"/>
    <w:rsid w:val="0069682D"/>
    <w:rsid w:val="00696972"/>
    <w:rsid w:val="00696BE7"/>
    <w:rsid w:val="00696D34"/>
    <w:rsid w:val="00697039"/>
    <w:rsid w:val="00697902"/>
    <w:rsid w:val="00697F94"/>
    <w:rsid w:val="006A0434"/>
    <w:rsid w:val="006A068A"/>
    <w:rsid w:val="006A0C34"/>
    <w:rsid w:val="006A12EF"/>
    <w:rsid w:val="006A14D1"/>
    <w:rsid w:val="006A17A7"/>
    <w:rsid w:val="006A181A"/>
    <w:rsid w:val="006A2C89"/>
    <w:rsid w:val="006A2EBD"/>
    <w:rsid w:val="006A2FF3"/>
    <w:rsid w:val="006A3276"/>
    <w:rsid w:val="006A3A76"/>
    <w:rsid w:val="006A3CE5"/>
    <w:rsid w:val="006A47F9"/>
    <w:rsid w:val="006A499D"/>
    <w:rsid w:val="006A4A99"/>
    <w:rsid w:val="006A5D3B"/>
    <w:rsid w:val="006A630D"/>
    <w:rsid w:val="006A66B1"/>
    <w:rsid w:val="006A6820"/>
    <w:rsid w:val="006A714F"/>
    <w:rsid w:val="006A7575"/>
    <w:rsid w:val="006A766F"/>
    <w:rsid w:val="006A7892"/>
    <w:rsid w:val="006A7A68"/>
    <w:rsid w:val="006A7B8A"/>
    <w:rsid w:val="006A7CD8"/>
    <w:rsid w:val="006A7EFB"/>
    <w:rsid w:val="006A7F93"/>
    <w:rsid w:val="006B0884"/>
    <w:rsid w:val="006B0983"/>
    <w:rsid w:val="006B0A9C"/>
    <w:rsid w:val="006B0E7B"/>
    <w:rsid w:val="006B1AC6"/>
    <w:rsid w:val="006B2659"/>
    <w:rsid w:val="006B2B13"/>
    <w:rsid w:val="006B2CD4"/>
    <w:rsid w:val="006B2FBE"/>
    <w:rsid w:val="006B37ED"/>
    <w:rsid w:val="006B3EAE"/>
    <w:rsid w:val="006B41A5"/>
    <w:rsid w:val="006B4524"/>
    <w:rsid w:val="006B4531"/>
    <w:rsid w:val="006B4982"/>
    <w:rsid w:val="006B4BD1"/>
    <w:rsid w:val="006B5468"/>
    <w:rsid w:val="006B58DC"/>
    <w:rsid w:val="006B5E0E"/>
    <w:rsid w:val="006B606E"/>
    <w:rsid w:val="006B70F4"/>
    <w:rsid w:val="006B7636"/>
    <w:rsid w:val="006B76B7"/>
    <w:rsid w:val="006B786C"/>
    <w:rsid w:val="006B7C3A"/>
    <w:rsid w:val="006C00A2"/>
    <w:rsid w:val="006C0C04"/>
    <w:rsid w:val="006C14EF"/>
    <w:rsid w:val="006C161E"/>
    <w:rsid w:val="006C1A9C"/>
    <w:rsid w:val="006C1B6B"/>
    <w:rsid w:val="006C2050"/>
    <w:rsid w:val="006C2B22"/>
    <w:rsid w:val="006C3143"/>
    <w:rsid w:val="006C387E"/>
    <w:rsid w:val="006C4932"/>
    <w:rsid w:val="006C4E5C"/>
    <w:rsid w:val="006C5047"/>
    <w:rsid w:val="006C504D"/>
    <w:rsid w:val="006C5110"/>
    <w:rsid w:val="006C5276"/>
    <w:rsid w:val="006C5562"/>
    <w:rsid w:val="006C5CFB"/>
    <w:rsid w:val="006C5D35"/>
    <w:rsid w:val="006C5D83"/>
    <w:rsid w:val="006C5FF9"/>
    <w:rsid w:val="006C6595"/>
    <w:rsid w:val="006C72E2"/>
    <w:rsid w:val="006C7A15"/>
    <w:rsid w:val="006C7A55"/>
    <w:rsid w:val="006C7DF9"/>
    <w:rsid w:val="006C7FA4"/>
    <w:rsid w:val="006D0055"/>
    <w:rsid w:val="006D036D"/>
    <w:rsid w:val="006D0572"/>
    <w:rsid w:val="006D0F1F"/>
    <w:rsid w:val="006D1C96"/>
    <w:rsid w:val="006D1D27"/>
    <w:rsid w:val="006D1F21"/>
    <w:rsid w:val="006D2394"/>
    <w:rsid w:val="006D24BA"/>
    <w:rsid w:val="006D25D3"/>
    <w:rsid w:val="006D2C9C"/>
    <w:rsid w:val="006D2F3D"/>
    <w:rsid w:val="006D30F2"/>
    <w:rsid w:val="006D3451"/>
    <w:rsid w:val="006D3561"/>
    <w:rsid w:val="006D368C"/>
    <w:rsid w:val="006D378A"/>
    <w:rsid w:val="006D4101"/>
    <w:rsid w:val="006D5381"/>
    <w:rsid w:val="006D5550"/>
    <w:rsid w:val="006D55B2"/>
    <w:rsid w:val="006D5B43"/>
    <w:rsid w:val="006D6EA9"/>
    <w:rsid w:val="006D7096"/>
    <w:rsid w:val="006D7249"/>
    <w:rsid w:val="006D7433"/>
    <w:rsid w:val="006D76FC"/>
    <w:rsid w:val="006D776F"/>
    <w:rsid w:val="006D799D"/>
    <w:rsid w:val="006D7CD1"/>
    <w:rsid w:val="006E09D4"/>
    <w:rsid w:val="006E0B67"/>
    <w:rsid w:val="006E1020"/>
    <w:rsid w:val="006E14A5"/>
    <w:rsid w:val="006E1594"/>
    <w:rsid w:val="006E1736"/>
    <w:rsid w:val="006E17AC"/>
    <w:rsid w:val="006E1A3F"/>
    <w:rsid w:val="006E217F"/>
    <w:rsid w:val="006E233F"/>
    <w:rsid w:val="006E2515"/>
    <w:rsid w:val="006E2861"/>
    <w:rsid w:val="006E2DA0"/>
    <w:rsid w:val="006E3A46"/>
    <w:rsid w:val="006E4057"/>
    <w:rsid w:val="006E4413"/>
    <w:rsid w:val="006E4835"/>
    <w:rsid w:val="006E48C3"/>
    <w:rsid w:val="006E5134"/>
    <w:rsid w:val="006E5DEA"/>
    <w:rsid w:val="006E6040"/>
    <w:rsid w:val="006E60CB"/>
    <w:rsid w:val="006E62C4"/>
    <w:rsid w:val="006E64CB"/>
    <w:rsid w:val="006E65B0"/>
    <w:rsid w:val="006E68B5"/>
    <w:rsid w:val="006E6A38"/>
    <w:rsid w:val="006E745F"/>
    <w:rsid w:val="006E75A1"/>
    <w:rsid w:val="006E7614"/>
    <w:rsid w:val="006E7870"/>
    <w:rsid w:val="006E7F83"/>
    <w:rsid w:val="006F0561"/>
    <w:rsid w:val="006F0679"/>
    <w:rsid w:val="006F0C13"/>
    <w:rsid w:val="006F158C"/>
    <w:rsid w:val="006F1BFD"/>
    <w:rsid w:val="006F21FB"/>
    <w:rsid w:val="006F24F9"/>
    <w:rsid w:val="006F278F"/>
    <w:rsid w:val="006F2D44"/>
    <w:rsid w:val="006F2F23"/>
    <w:rsid w:val="006F38A2"/>
    <w:rsid w:val="006F38B6"/>
    <w:rsid w:val="006F3A7A"/>
    <w:rsid w:val="006F3B21"/>
    <w:rsid w:val="006F3B39"/>
    <w:rsid w:val="006F3CF5"/>
    <w:rsid w:val="006F409F"/>
    <w:rsid w:val="006F4A20"/>
    <w:rsid w:val="006F51F3"/>
    <w:rsid w:val="006F51FD"/>
    <w:rsid w:val="006F5252"/>
    <w:rsid w:val="006F5707"/>
    <w:rsid w:val="006F57F2"/>
    <w:rsid w:val="006F5939"/>
    <w:rsid w:val="006F5CDF"/>
    <w:rsid w:val="006F5D35"/>
    <w:rsid w:val="006F5E72"/>
    <w:rsid w:val="006F61C5"/>
    <w:rsid w:val="006F61D4"/>
    <w:rsid w:val="006F691C"/>
    <w:rsid w:val="006F6B63"/>
    <w:rsid w:val="006F7195"/>
    <w:rsid w:val="006F71F8"/>
    <w:rsid w:val="006F76DF"/>
    <w:rsid w:val="006F79E0"/>
    <w:rsid w:val="006F7BF8"/>
    <w:rsid w:val="006F7EBB"/>
    <w:rsid w:val="00700606"/>
    <w:rsid w:val="00700805"/>
    <w:rsid w:val="00700F97"/>
    <w:rsid w:val="007018A4"/>
    <w:rsid w:val="00702CC4"/>
    <w:rsid w:val="00702F66"/>
    <w:rsid w:val="007035B0"/>
    <w:rsid w:val="00703A79"/>
    <w:rsid w:val="00703C32"/>
    <w:rsid w:val="00703E0C"/>
    <w:rsid w:val="0070403C"/>
    <w:rsid w:val="00704047"/>
    <w:rsid w:val="00704058"/>
    <w:rsid w:val="007042C3"/>
    <w:rsid w:val="00704588"/>
    <w:rsid w:val="00704D41"/>
    <w:rsid w:val="00704FC4"/>
    <w:rsid w:val="007067A3"/>
    <w:rsid w:val="00706B9C"/>
    <w:rsid w:val="00707A76"/>
    <w:rsid w:val="007103D8"/>
    <w:rsid w:val="00710812"/>
    <w:rsid w:val="00710E80"/>
    <w:rsid w:val="0071115D"/>
    <w:rsid w:val="0071126C"/>
    <w:rsid w:val="007113EF"/>
    <w:rsid w:val="00713229"/>
    <w:rsid w:val="0071338C"/>
    <w:rsid w:val="007138F2"/>
    <w:rsid w:val="00713E4D"/>
    <w:rsid w:val="007142CB"/>
    <w:rsid w:val="00714748"/>
    <w:rsid w:val="00714DC2"/>
    <w:rsid w:val="00714EC9"/>
    <w:rsid w:val="007153B6"/>
    <w:rsid w:val="00716253"/>
    <w:rsid w:val="0071637F"/>
    <w:rsid w:val="00716684"/>
    <w:rsid w:val="00716961"/>
    <w:rsid w:val="00716999"/>
    <w:rsid w:val="00716D6D"/>
    <w:rsid w:val="00716EE2"/>
    <w:rsid w:val="00717D3C"/>
    <w:rsid w:val="00717DB0"/>
    <w:rsid w:val="00717F0F"/>
    <w:rsid w:val="00720268"/>
    <w:rsid w:val="00720289"/>
    <w:rsid w:val="007202E2"/>
    <w:rsid w:val="0072030A"/>
    <w:rsid w:val="00720413"/>
    <w:rsid w:val="00720449"/>
    <w:rsid w:val="00720533"/>
    <w:rsid w:val="007207FF"/>
    <w:rsid w:val="00720AA9"/>
    <w:rsid w:val="00720D59"/>
    <w:rsid w:val="007212A0"/>
    <w:rsid w:val="00721563"/>
    <w:rsid w:val="007218EE"/>
    <w:rsid w:val="00721D31"/>
    <w:rsid w:val="00722B47"/>
    <w:rsid w:val="00724693"/>
    <w:rsid w:val="00724B7B"/>
    <w:rsid w:val="00725009"/>
    <w:rsid w:val="00725291"/>
    <w:rsid w:val="00725751"/>
    <w:rsid w:val="00725AE2"/>
    <w:rsid w:val="00725EDE"/>
    <w:rsid w:val="0072606D"/>
    <w:rsid w:val="0072649E"/>
    <w:rsid w:val="00726CE5"/>
    <w:rsid w:val="0072750C"/>
    <w:rsid w:val="0072764B"/>
    <w:rsid w:val="007276A1"/>
    <w:rsid w:val="00727C3C"/>
    <w:rsid w:val="00727F06"/>
    <w:rsid w:val="0073031D"/>
    <w:rsid w:val="00730D60"/>
    <w:rsid w:val="00730F1F"/>
    <w:rsid w:val="00730FF6"/>
    <w:rsid w:val="007314C6"/>
    <w:rsid w:val="00731500"/>
    <w:rsid w:val="0073155D"/>
    <w:rsid w:val="0073197B"/>
    <w:rsid w:val="00731A52"/>
    <w:rsid w:val="00732625"/>
    <w:rsid w:val="00732D65"/>
    <w:rsid w:val="00732EE1"/>
    <w:rsid w:val="007336E4"/>
    <w:rsid w:val="0073398F"/>
    <w:rsid w:val="00733ECF"/>
    <w:rsid w:val="007343C9"/>
    <w:rsid w:val="007343FE"/>
    <w:rsid w:val="00735422"/>
    <w:rsid w:val="00735946"/>
    <w:rsid w:val="00735EAE"/>
    <w:rsid w:val="007360AD"/>
    <w:rsid w:val="007363D7"/>
    <w:rsid w:val="00736511"/>
    <w:rsid w:val="007368B1"/>
    <w:rsid w:val="00736920"/>
    <w:rsid w:val="007370B9"/>
    <w:rsid w:val="0073736D"/>
    <w:rsid w:val="007379A4"/>
    <w:rsid w:val="00740009"/>
    <w:rsid w:val="0074031E"/>
    <w:rsid w:val="0074042B"/>
    <w:rsid w:val="0074060C"/>
    <w:rsid w:val="00740649"/>
    <w:rsid w:val="00740E31"/>
    <w:rsid w:val="00740F61"/>
    <w:rsid w:val="00741665"/>
    <w:rsid w:val="00741942"/>
    <w:rsid w:val="00742176"/>
    <w:rsid w:val="007422FC"/>
    <w:rsid w:val="00743081"/>
    <w:rsid w:val="00743C6E"/>
    <w:rsid w:val="00744775"/>
    <w:rsid w:val="00744FD9"/>
    <w:rsid w:val="00745496"/>
    <w:rsid w:val="00745C47"/>
    <w:rsid w:val="007464BC"/>
    <w:rsid w:val="007465D1"/>
    <w:rsid w:val="007466EE"/>
    <w:rsid w:val="00746916"/>
    <w:rsid w:val="00746EB6"/>
    <w:rsid w:val="007473B6"/>
    <w:rsid w:val="00747691"/>
    <w:rsid w:val="00747884"/>
    <w:rsid w:val="007479BC"/>
    <w:rsid w:val="00747AEC"/>
    <w:rsid w:val="00747BE2"/>
    <w:rsid w:val="00747E4F"/>
    <w:rsid w:val="00747FD8"/>
    <w:rsid w:val="007500E5"/>
    <w:rsid w:val="0075097F"/>
    <w:rsid w:val="00750B5B"/>
    <w:rsid w:val="00751221"/>
    <w:rsid w:val="0075148E"/>
    <w:rsid w:val="007514B9"/>
    <w:rsid w:val="007517C3"/>
    <w:rsid w:val="0075181E"/>
    <w:rsid w:val="0075189D"/>
    <w:rsid w:val="0075193A"/>
    <w:rsid w:val="00751B9D"/>
    <w:rsid w:val="007528AB"/>
    <w:rsid w:val="0075295B"/>
    <w:rsid w:val="00752C2D"/>
    <w:rsid w:val="00752F2B"/>
    <w:rsid w:val="0075318F"/>
    <w:rsid w:val="007531F5"/>
    <w:rsid w:val="007532B9"/>
    <w:rsid w:val="007536ED"/>
    <w:rsid w:val="007545D4"/>
    <w:rsid w:val="007551DE"/>
    <w:rsid w:val="007555E8"/>
    <w:rsid w:val="00755A46"/>
    <w:rsid w:val="007564F0"/>
    <w:rsid w:val="007567FC"/>
    <w:rsid w:val="0075754D"/>
    <w:rsid w:val="00757615"/>
    <w:rsid w:val="00757921"/>
    <w:rsid w:val="00757AFF"/>
    <w:rsid w:val="0076009C"/>
    <w:rsid w:val="00760446"/>
    <w:rsid w:val="00760485"/>
    <w:rsid w:val="007606BF"/>
    <w:rsid w:val="007618A3"/>
    <w:rsid w:val="00761C50"/>
    <w:rsid w:val="00761C9C"/>
    <w:rsid w:val="00761CFF"/>
    <w:rsid w:val="00761E51"/>
    <w:rsid w:val="0076231C"/>
    <w:rsid w:val="00762407"/>
    <w:rsid w:val="007624DA"/>
    <w:rsid w:val="00762F21"/>
    <w:rsid w:val="00762F9A"/>
    <w:rsid w:val="00763983"/>
    <w:rsid w:val="00764623"/>
    <w:rsid w:val="0076465F"/>
    <w:rsid w:val="00764B0B"/>
    <w:rsid w:val="00764B29"/>
    <w:rsid w:val="00766659"/>
    <w:rsid w:val="007667E5"/>
    <w:rsid w:val="00766DF9"/>
    <w:rsid w:val="00766F30"/>
    <w:rsid w:val="007671DF"/>
    <w:rsid w:val="00767383"/>
    <w:rsid w:val="00767752"/>
    <w:rsid w:val="007679AF"/>
    <w:rsid w:val="007679C6"/>
    <w:rsid w:val="007701F8"/>
    <w:rsid w:val="007703D6"/>
    <w:rsid w:val="0077043A"/>
    <w:rsid w:val="00770CDA"/>
    <w:rsid w:val="00770D84"/>
    <w:rsid w:val="007711DC"/>
    <w:rsid w:val="00772561"/>
    <w:rsid w:val="0077318A"/>
    <w:rsid w:val="00774194"/>
    <w:rsid w:val="00774349"/>
    <w:rsid w:val="007745D9"/>
    <w:rsid w:val="007748AF"/>
    <w:rsid w:val="00774E60"/>
    <w:rsid w:val="0077588F"/>
    <w:rsid w:val="00775E80"/>
    <w:rsid w:val="0077642C"/>
    <w:rsid w:val="00776E55"/>
    <w:rsid w:val="00776FC7"/>
    <w:rsid w:val="007778F8"/>
    <w:rsid w:val="00780C7D"/>
    <w:rsid w:val="00781190"/>
    <w:rsid w:val="007811BF"/>
    <w:rsid w:val="0078145D"/>
    <w:rsid w:val="007817FD"/>
    <w:rsid w:val="00781952"/>
    <w:rsid w:val="00781B92"/>
    <w:rsid w:val="00781D5E"/>
    <w:rsid w:val="007827E3"/>
    <w:rsid w:val="00782CBB"/>
    <w:rsid w:val="00783B1D"/>
    <w:rsid w:val="00783CFA"/>
    <w:rsid w:val="00784115"/>
    <w:rsid w:val="00784286"/>
    <w:rsid w:val="0078449E"/>
    <w:rsid w:val="007854C6"/>
    <w:rsid w:val="0078550C"/>
    <w:rsid w:val="00785CF3"/>
    <w:rsid w:val="00786B07"/>
    <w:rsid w:val="00786C06"/>
    <w:rsid w:val="00786DB1"/>
    <w:rsid w:val="00786FD8"/>
    <w:rsid w:val="0078737C"/>
    <w:rsid w:val="0078749E"/>
    <w:rsid w:val="00787AC0"/>
    <w:rsid w:val="0079049C"/>
    <w:rsid w:val="00791341"/>
    <w:rsid w:val="00791430"/>
    <w:rsid w:val="0079149E"/>
    <w:rsid w:val="0079188C"/>
    <w:rsid w:val="00791C69"/>
    <w:rsid w:val="00791C70"/>
    <w:rsid w:val="00792450"/>
    <w:rsid w:val="00792761"/>
    <w:rsid w:val="00792F42"/>
    <w:rsid w:val="00792F7A"/>
    <w:rsid w:val="007935BC"/>
    <w:rsid w:val="00793C45"/>
    <w:rsid w:val="00793C4A"/>
    <w:rsid w:val="00793D14"/>
    <w:rsid w:val="00794042"/>
    <w:rsid w:val="007943CC"/>
    <w:rsid w:val="00794723"/>
    <w:rsid w:val="00794BD7"/>
    <w:rsid w:val="00794C3B"/>
    <w:rsid w:val="00794E01"/>
    <w:rsid w:val="00794EF3"/>
    <w:rsid w:val="00795B37"/>
    <w:rsid w:val="007961F0"/>
    <w:rsid w:val="00796961"/>
    <w:rsid w:val="00796AAC"/>
    <w:rsid w:val="007973F1"/>
    <w:rsid w:val="00797565"/>
    <w:rsid w:val="00797950"/>
    <w:rsid w:val="007A02B6"/>
    <w:rsid w:val="007A02EF"/>
    <w:rsid w:val="007A1410"/>
    <w:rsid w:val="007A1538"/>
    <w:rsid w:val="007A168C"/>
    <w:rsid w:val="007A1740"/>
    <w:rsid w:val="007A1E2D"/>
    <w:rsid w:val="007A2945"/>
    <w:rsid w:val="007A29B7"/>
    <w:rsid w:val="007A326A"/>
    <w:rsid w:val="007A344B"/>
    <w:rsid w:val="007A3A64"/>
    <w:rsid w:val="007A3FBD"/>
    <w:rsid w:val="007A4216"/>
    <w:rsid w:val="007A449A"/>
    <w:rsid w:val="007A45E0"/>
    <w:rsid w:val="007A4606"/>
    <w:rsid w:val="007A46D5"/>
    <w:rsid w:val="007A49A0"/>
    <w:rsid w:val="007A53F7"/>
    <w:rsid w:val="007A55B4"/>
    <w:rsid w:val="007A5662"/>
    <w:rsid w:val="007A5794"/>
    <w:rsid w:val="007A5C4C"/>
    <w:rsid w:val="007A62F0"/>
    <w:rsid w:val="007A6D26"/>
    <w:rsid w:val="007A71E0"/>
    <w:rsid w:val="007A7240"/>
    <w:rsid w:val="007A783C"/>
    <w:rsid w:val="007B0269"/>
    <w:rsid w:val="007B05C1"/>
    <w:rsid w:val="007B0A9A"/>
    <w:rsid w:val="007B0B09"/>
    <w:rsid w:val="007B0B42"/>
    <w:rsid w:val="007B12D7"/>
    <w:rsid w:val="007B14AA"/>
    <w:rsid w:val="007B2067"/>
    <w:rsid w:val="007B232B"/>
    <w:rsid w:val="007B2480"/>
    <w:rsid w:val="007B29CA"/>
    <w:rsid w:val="007B2FDF"/>
    <w:rsid w:val="007B3682"/>
    <w:rsid w:val="007B3F7D"/>
    <w:rsid w:val="007B4194"/>
    <w:rsid w:val="007B41BF"/>
    <w:rsid w:val="007B432C"/>
    <w:rsid w:val="007B470D"/>
    <w:rsid w:val="007B4B7D"/>
    <w:rsid w:val="007B5045"/>
    <w:rsid w:val="007B57A3"/>
    <w:rsid w:val="007B5909"/>
    <w:rsid w:val="007B5AAD"/>
    <w:rsid w:val="007B5D87"/>
    <w:rsid w:val="007B64BB"/>
    <w:rsid w:val="007B673D"/>
    <w:rsid w:val="007B7188"/>
    <w:rsid w:val="007B7DC8"/>
    <w:rsid w:val="007B7FEA"/>
    <w:rsid w:val="007C05EF"/>
    <w:rsid w:val="007C05F4"/>
    <w:rsid w:val="007C0716"/>
    <w:rsid w:val="007C0AA8"/>
    <w:rsid w:val="007C0DFD"/>
    <w:rsid w:val="007C0F2C"/>
    <w:rsid w:val="007C0F67"/>
    <w:rsid w:val="007C199D"/>
    <w:rsid w:val="007C1C27"/>
    <w:rsid w:val="007C1D4A"/>
    <w:rsid w:val="007C2235"/>
    <w:rsid w:val="007C27C2"/>
    <w:rsid w:val="007C2902"/>
    <w:rsid w:val="007C2B87"/>
    <w:rsid w:val="007C2D06"/>
    <w:rsid w:val="007C32D3"/>
    <w:rsid w:val="007C37E1"/>
    <w:rsid w:val="007C3C0A"/>
    <w:rsid w:val="007C424C"/>
    <w:rsid w:val="007C445A"/>
    <w:rsid w:val="007C44C2"/>
    <w:rsid w:val="007C4A82"/>
    <w:rsid w:val="007C4B37"/>
    <w:rsid w:val="007C5647"/>
    <w:rsid w:val="007C5A4C"/>
    <w:rsid w:val="007C6063"/>
    <w:rsid w:val="007C6193"/>
    <w:rsid w:val="007C64E5"/>
    <w:rsid w:val="007C6C26"/>
    <w:rsid w:val="007C6D90"/>
    <w:rsid w:val="007C6F5D"/>
    <w:rsid w:val="007C7261"/>
    <w:rsid w:val="007C731E"/>
    <w:rsid w:val="007C79C7"/>
    <w:rsid w:val="007C7B57"/>
    <w:rsid w:val="007D07F5"/>
    <w:rsid w:val="007D1028"/>
    <w:rsid w:val="007D1A20"/>
    <w:rsid w:val="007D1E50"/>
    <w:rsid w:val="007D1ECF"/>
    <w:rsid w:val="007D2156"/>
    <w:rsid w:val="007D25FD"/>
    <w:rsid w:val="007D2BB9"/>
    <w:rsid w:val="007D2BD5"/>
    <w:rsid w:val="007D2EBE"/>
    <w:rsid w:val="007D345A"/>
    <w:rsid w:val="007D3606"/>
    <w:rsid w:val="007D3C11"/>
    <w:rsid w:val="007D4726"/>
    <w:rsid w:val="007D5462"/>
    <w:rsid w:val="007D5657"/>
    <w:rsid w:val="007D5813"/>
    <w:rsid w:val="007D5EAB"/>
    <w:rsid w:val="007D6278"/>
    <w:rsid w:val="007D6633"/>
    <w:rsid w:val="007D6663"/>
    <w:rsid w:val="007D6AF3"/>
    <w:rsid w:val="007D6AF7"/>
    <w:rsid w:val="007E0B58"/>
    <w:rsid w:val="007E0E1C"/>
    <w:rsid w:val="007E1334"/>
    <w:rsid w:val="007E1678"/>
    <w:rsid w:val="007E193F"/>
    <w:rsid w:val="007E1CC3"/>
    <w:rsid w:val="007E229B"/>
    <w:rsid w:val="007E22D7"/>
    <w:rsid w:val="007E24DE"/>
    <w:rsid w:val="007E2A96"/>
    <w:rsid w:val="007E2AAE"/>
    <w:rsid w:val="007E3070"/>
    <w:rsid w:val="007E395B"/>
    <w:rsid w:val="007E3EFF"/>
    <w:rsid w:val="007E50A8"/>
    <w:rsid w:val="007E5486"/>
    <w:rsid w:val="007E6078"/>
    <w:rsid w:val="007E6465"/>
    <w:rsid w:val="007E6BC5"/>
    <w:rsid w:val="007E6C2F"/>
    <w:rsid w:val="007E6DEE"/>
    <w:rsid w:val="007E6FAD"/>
    <w:rsid w:val="007E730B"/>
    <w:rsid w:val="007E7314"/>
    <w:rsid w:val="007E737A"/>
    <w:rsid w:val="007E77DE"/>
    <w:rsid w:val="007E78DD"/>
    <w:rsid w:val="007E7BAE"/>
    <w:rsid w:val="007F062D"/>
    <w:rsid w:val="007F0984"/>
    <w:rsid w:val="007F0F1C"/>
    <w:rsid w:val="007F10E4"/>
    <w:rsid w:val="007F1616"/>
    <w:rsid w:val="007F1949"/>
    <w:rsid w:val="007F1DF0"/>
    <w:rsid w:val="007F2199"/>
    <w:rsid w:val="007F269D"/>
    <w:rsid w:val="007F2735"/>
    <w:rsid w:val="007F3657"/>
    <w:rsid w:val="007F3E38"/>
    <w:rsid w:val="007F4F1D"/>
    <w:rsid w:val="007F5686"/>
    <w:rsid w:val="007F5859"/>
    <w:rsid w:val="007F5F2A"/>
    <w:rsid w:val="007F6779"/>
    <w:rsid w:val="007F7213"/>
    <w:rsid w:val="007F7269"/>
    <w:rsid w:val="007F7CE4"/>
    <w:rsid w:val="007F7E93"/>
    <w:rsid w:val="0080084B"/>
    <w:rsid w:val="00800B40"/>
    <w:rsid w:val="00800E17"/>
    <w:rsid w:val="00800F14"/>
    <w:rsid w:val="00801127"/>
    <w:rsid w:val="00801B98"/>
    <w:rsid w:val="00801E8A"/>
    <w:rsid w:val="008021EB"/>
    <w:rsid w:val="008024D5"/>
    <w:rsid w:val="00802575"/>
    <w:rsid w:val="008027C1"/>
    <w:rsid w:val="0080346D"/>
    <w:rsid w:val="00804004"/>
    <w:rsid w:val="00804303"/>
    <w:rsid w:val="0080478F"/>
    <w:rsid w:val="00805B7F"/>
    <w:rsid w:val="00805DC7"/>
    <w:rsid w:val="00805F19"/>
    <w:rsid w:val="008061DA"/>
    <w:rsid w:val="0080682E"/>
    <w:rsid w:val="008068C9"/>
    <w:rsid w:val="00806AA8"/>
    <w:rsid w:val="00807510"/>
    <w:rsid w:val="00807992"/>
    <w:rsid w:val="00807D7D"/>
    <w:rsid w:val="00807F88"/>
    <w:rsid w:val="00810303"/>
    <w:rsid w:val="00810B58"/>
    <w:rsid w:val="00810BAF"/>
    <w:rsid w:val="00810BC3"/>
    <w:rsid w:val="00811208"/>
    <w:rsid w:val="008114DF"/>
    <w:rsid w:val="008117EF"/>
    <w:rsid w:val="00811CBF"/>
    <w:rsid w:val="00811F8E"/>
    <w:rsid w:val="008122C7"/>
    <w:rsid w:val="008126B4"/>
    <w:rsid w:val="0081283B"/>
    <w:rsid w:val="00812F5D"/>
    <w:rsid w:val="008131E1"/>
    <w:rsid w:val="0081330D"/>
    <w:rsid w:val="008135A0"/>
    <w:rsid w:val="008141D1"/>
    <w:rsid w:val="0081476E"/>
    <w:rsid w:val="00814BA2"/>
    <w:rsid w:val="00814BA4"/>
    <w:rsid w:val="00814C55"/>
    <w:rsid w:val="008152B5"/>
    <w:rsid w:val="008153CF"/>
    <w:rsid w:val="00815617"/>
    <w:rsid w:val="00816DDD"/>
    <w:rsid w:val="00817116"/>
    <w:rsid w:val="0081787E"/>
    <w:rsid w:val="00820287"/>
    <w:rsid w:val="00821016"/>
    <w:rsid w:val="008214DB"/>
    <w:rsid w:val="008217E9"/>
    <w:rsid w:val="00821BD5"/>
    <w:rsid w:val="008223DD"/>
    <w:rsid w:val="00822764"/>
    <w:rsid w:val="00822A39"/>
    <w:rsid w:val="00822B2B"/>
    <w:rsid w:val="00822CF1"/>
    <w:rsid w:val="00823017"/>
    <w:rsid w:val="0082332F"/>
    <w:rsid w:val="008236DB"/>
    <w:rsid w:val="0082424E"/>
    <w:rsid w:val="00824EC6"/>
    <w:rsid w:val="00824FBE"/>
    <w:rsid w:val="00825214"/>
    <w:rsid w:val="008261B8"/>
    <w:rsid w:val="00826258"/>
    <w:rsid w:val="00826BD2"/>
    <w:rsid w:val="00826F33"/>
    <w:rsid w:val="00827309"/>
    <w:rsid w:val="0082762A"/>
    <w:rsid w:val="00827A52"/>
    <w:rsid w:val="0083024C"/>
    <w:rsid w:val="008305C9"/>
    <w:rsid w:val="00830856"/>
    <w:rsid w:val="00831061"/>
    <w:rsid w:val="008310AD"/>
    <w:rsid w:val="008316E2"/>
    <w:rsid w:val="00831DC0"/>
    <w:rsid w:val="00831FAB"/>
    <w:rsid w:val="00832446"/>
    <w:rsid w:val="00832573"/>
    <w:rsid w:val="00832925"/>
    <w:rsid w:val="00832985"/>
    <w:rsid w:val="00832C50"/>
    <w:rsid w:val="008338D5"/>
    <w:rsid w:val="00833E2A"/>
    <w:rsid w:val="00834664"/>
    <w:rsid w:val="00834EF4"/>
    <w:rsid w:val="0083573C"/>
    <w:rsid w:val="00835C5B"/>
    <w:rsid w:val="00835CBD"/>
    <w:rsid w:val="00836448"/>
    <w:rsid w:val="00837353"/>
    <w:rsid w:val="00840105"/>
    <w:rsid w:val="00840A95"/>
    <w:rsid w:val="00840B10"/>
    <w:rsid w:val="00840CEB"/>
    <w:rsid w:val="00841476"/>
    <w:rsid w:val="00841614"/>
    <w:rsid w:val="008422FA"/>
    <w:rsid w:val="00842F13"/>
    <w:rsid w:val="00842FD7"/>
    <w:rsid w:val="00843087"/>
    <w:rsid w:val="008433C5"/>
    <w:rsid w:val="00843413"/>
    <w:rsid w:val="00843D8F"/>
    <w:rsid w:val="00844AC3"/>
    <w:rsid w:val="00844D30"/>
    <w:rsid w:val="00844E77"/>
    <w:rsid w:val="00844F6B"/>
    <w:rsid w:val="008453E9"/>
    <w:rsid w:val="008454AF"/>
    <w:rsid w:val="00845566"/>
    <w:rsid w:val="00845C25"/>
    <w:rsid w:val="00845EF4"/>
    <w:rsid w:val="00846482"/>
    <w:rsid w:val="00846981"/>
    <w:rsid w:val="00847761"/>
    <w:rsid w:val="00847877"/>
    <w:rsid w:val="00847C2E"/>
    <w:rsid w:val="008500CF"/>
    <w:rsid w:val="008504C2"/>
    <w:rsid w:val="008508F1"/>
    <w:rsid w:val="0085110F"/>
    <w:rsid w:val="00851C0A"/>
    <w:rsid w:val="00851C13"/>
    <w:rsid w:val="00851DE8"/>
    <w:rsid w:val="00852298"/>
    <w:rsid w:val="00852445"/>
    <w:rsid w:val="00853455"/>
    <w:rsid w:val="00853AA4"/>
    <w:rsid w:val="00853AEE"/>
    <w:rsid w:val="00853CD6"/>
    <w:rsid w:val="00853DE3"/>
    <w:rsid w:val="00853DE4"/>
    <w:rsid w:val="008541F3"/>
    <w:rsid w:val="008544F4"/>
    <w:rsid w:val="0085478C"/>
    <w:rsid w:val="00854823"/>
    <w:rsid w:val="00854BE9"/>
    <w:rsid w:val="00854DCA"/>
    <w:rsid w:val="008550BF"/>
    <w:rsid w:val="008561D3"/>
    <w:rsid w:val="00856754"/>
    <w:rsid w:val="00856A07"/>
    <w:rsid w:val="00856C5E"/>
    <w:rsid w:val="00856C83"/>
    <w:rsid w:val="00856D81"/>
    <w:rsid w:val="00856F32"/>
    <w:rsid w:val="008578C2"/>
    <w:rsid w:val="00860509"/>
    <w:rsid w:val="00860557"/>
    <w:rsid w:val="008606E7"/>
    <w:rsid w:val="008608BE"/>
    <w:rsid w:val="008609CF"/>
    <w:rsid w:val="00860F96"/>
    <w:rsid w:val="008616E4"/>
    <w:rsid w:val="008621D0"/>
    <w:rsid w:val="00863BF7"/>
    <w:rsid w:val="00863D34"/>
    <w:rsid w:val="00864101"/>
    <w:rsid w:val="008649F5"/>
    <w:rsid w:val="00864CDB"/>
    <w:rsid w:val="008650E4"/>
    <w:rsid w:val="00865450"/>
    <w:rsid w:val="00865902"/>
    <w:rsid w:val="0086598B"/>
    <w:rsid w:val="0086655E"/>
    <w:rsid w:val="00866713"/>
    <w:rsid w:val="008668A4"/>
    <w:rsid w:val="00866D1A"/>
    <w:rsid w:val="00866D3D"/>
    <w:rsid w:val="00867B0F"/>
    <w:rsid w:val="00867BBB"/>
    <w:rsid w:val="00867E0D"/>
    <w:rsid w:val="008704B3"/>
    <w:rsid w:val="00870B43"/>
    <w:rsid w:val="00870E43"/>
    <w:rsid w:val="00871453"/>
    <w:rsid w:val="00871B4B"/>
    <w:rsid w:val="00871BC3"/>
    <w:rsid w:val="00871EE8"/>
    <w:rsid w:val="008720D0"/>
    <w:rsid w:val="0087226F"/>
    <w:rsid w:val="008725AC"/>
    <w:rsid w:val="00872BEA"/>
    <w:rsid w:val="00872EC7"/>
    <w:rsid w:val="00873157"/>
    <w:rsid w:val="00873ABF"/>
    <w:rsid w:val="00873B45"/>
    <w:rsid w:val="0087491E"/>
    <w:rsid w:val="0087500D"/>
    <w:rsid w:val="00875143"/>
    <w:rsid w:val="008752C8"/>
    <w:rsid w:val="00875A42"/>
    <w:rsid w:val="00875B05"/>
    <w:rsid w:val="008760B1"/>
    <w:rsid w:val="00876677"/>
    <w:rsid w:val="00876785"/>
    <w:rsid w:val="00876C67"/>
    <w:rsid w:val="00876C7C"/>
    <w:rsid w:val="00876E08"/>
    <w:rsid w:val="0087788B"/>
    <w:rsid w:val="00877D86"/>
    <w:rsid w:val="00877F04"/>
    <w:rsid w:val="0088035D"/>
    <w:rsid w:val="00880433"/>
    <w:rsid w:val="0088043C"/>
    <w:rsid w:val="008805DA"/>
    <w:rsid w:val="00880C5A"/>
    <w:rsid w:val="00881091"/>
    <w:rsid w:val="0088143C"/>
    <w:rsid w:val="00881692"/>
    <w:rsid w:val="0088189D"/>
    <w:rsid w:val="00881BCB"/>
    <w:rsid w:val="00881CA5"/>
    <w:rsid w:val="00882030"/>
    <w:rsid w:val="00882226"/>
    <w:rsid w:val="0088285F"/>
    <w:rsid w:val="00883777"/>
    <w:rsid w:val="00883782"/>
    <w:rsid w:val="008838A7"/>
    <w:rsid w:val="00884DA7"/>
    <w:rsid w:val="00884DDF"/>
    <w:rsid w:val="00884F71"/>
    <w:rsid w:val="0088564E"/>
    <w:rsid w:val="008856F9"/>
    <w:rsid w:val="00885AFF"/>
    <w:rsid w:val="00885E0D"/>
    <w:rsid w:val="008864D5"/>
    <w:rsid w:val="008865E7"/>
    <w:rsid w:val="00886BA9"/>
    <w:rsid w:val="00886DDD"/>
    <w:rsid w:val="00886F9A"/>
    <w:rsid w:val="008873F1"/>
    <w:rsid w:val="0088785B"/>
    <w:rsid w:val="00887A2D"/>
    <w:rsid w:val="00887A5A"/>
    <w:rsid w:val="00887C19"/>
    <w:rsid w:val="00890274"/>
    <w:rsid w:val="008906D8"/>
    <w:rsid w:val="00890792"/>
    <w:rsid w:val="0089087D"/>
    <w:rsid w:val="00891218"/>
    <w:rsid w:val="0089205D"/>
    <w:rsid w:val="00892373"/>
    <w:rsid w:val="00892505"/>
    <w:rsid w:val="00892EE2"/>
    <w:rsid w:val="008933A3"/>
    <w:rsid w:val="00893463"/>
    <w:rsid w:val="008935C9"/>
    <w:rsid w:val="008946BB"/>
    <w:rsid w:val="00894E80"/>
    <w:rsid w:val="0089507C"/>
    <w:rsid w:val="0089548A"/>
    <w:rsid w:val="008954EE"/>
    <w:rsid w:val="0089572E"/>
    <w:rsid w:val="00895A3C"/>
    <w:rsid w:val="00895B19"/>
    <w:rsid w:val="00895B2B"/>
    <w:rsid w:val="00895E0E"/>
    <w:rsid w:val="00896583"/>
    <w:rsid w:val="008967A6"/>
    <w:rsid w:val="00896A38"/>
    <w:rsid w:val="00896DF6"/>
    <w:rsid w:val="0089752C"/>
    <w:rsid w:val="0089792B"/>
    <w:rsid w:val="0089797D"/>
    <w:rsid w:val="00897995"/>
    <w:rsid w:val="008A034A"/>
    <w:rsid w:val="008A056D"/>
    <w:rsid w:val="008A06D6"/>
    <w:rsid w:val="008A0A1B"/>
    <w:rsid w:val="008A0EB1"/>
    <w:rsid w:val="008A121A"/>
    <w:rsid w:val="008A128D"/>
    <w:rsid w:val="008A156D"/>
    <w:rsid w:val="008A1A9D"/>
    <w:rsid w:val="008A1C1C"/>
    <w:rsid w:val="008A1EE2"/>
    <w:rsid w:val="008A22E8"/>
    <w:rsid w:val="008A25B4"/>
    <w:rsid w:val="008A2875"/>
    <w:rsid w:val="008A2F67"/>
    <w:rsid w:val="008A40C0"/>
    <w:rsid w:val="008A4153"/>
    <w:rsid w:val="008A424A"/>
    <w:rsid w:val="008A445A"/>
    <w:rsid w:val="008A467A"/>
    <w:rsid w:val="008A4AB8"/>
    <w:rsid w:val="008A4B09"/>
    <w:rsid w:val="008A4BB9"/>
    <w:rsid w:val="008A4D38"/>
    <w:rsid w:val="008A5235"/>
    <w:rsid w:val="008A554E"/>
    <w:rsid w:val="008A5824"/>
    <w:rsid w:val="008A5924"/>
    <w:rsid w:val="008A5ADA"/>
    <w:rsid w:val="008A5B41"/>
    <w:rsid w:val="008A5BC7"/>
    <w:rsid w:val="008A6E47"/>
    <w:rsid w:val="008A76EC"/>
    <w:rsid w:val="008A7863"/>
    <w:rsid w:val="008B0BBE"/>
    <w:rsid w:val="008B0E8A"/>
    <w:rsid w:val="008B10A8"/>
    <w:rsid w:val="008B110A"/>
    <w:rsid w:val="008B1782"/>
    <w:rsid w:val="008B1AAC"/>
    <w:rsid w:val="008B29C3"/>
    <w:rsid w:val="008B2B5B"/>
    <w:rsid w:val="008B2E06"/>
    <w:rsid w:val="008B3E2F"/>
    <w:rsid w:val="008B4069"/>
    <w:rsid w:val="008B440A"/>
    <w:rsid w:val="008B4725"/>
    <w:rsid w:val="008B4B83"/>
    <w:rsid w:val="008B4B85"/>
    <w:rsid w:val="008B4BED"/>
    <w:rsid w:val="008B4C67"/>
    <w:rsid w:val="008B5385"/>
    <w:rsid w:val="008B53A5"/>
    <w:rsid w:val="008B554F"/>
    <w:rsid w:val="008B59BE"/>
    <w:rsid w:val="008B5E10"/>
    <w:rsid w:val="008B65B2"/>
    <w:rsid w:val="008B6B2E"/>
    <w:rsid w:val="008B70C4"/>
    <w:rsid w:val="008B716F"/>
    <w:rsid w:val="008B7886"/>
    <w:rsid w:val="008B79DE"/>
    <w:rsid w:val="008B7A13"/>
    <w:rsid w:val="008B7AD9"/>
    <w:rsid w:val="008C0121"/>
    <w:rsid w:val="008C019C"/>
    <w:rsid w:val="008C0286"/>
    <w:rsid w:val="008C0570"/>
    <w:rsid w:val="008C0F28"/>
    <w:rsid w:val="008C1816"/>
    <w:rsid w:val="008C19D6"/>
    <w:rsid w:val="008C2217"/>
    <w:rsid w:val="008C2227"/>
    <w:rsid w:val="008C2245"/>
    <w:rsid w:val="008C3331"/>
    <w:rsid w:val="008C3E43"/>
    <w:rsid w:val="008C3EDF"/>
    <w:rsid w:val="008C4436"/>
    <w:rsid w:val="008C479C"/>
    <w:rsid w:val="008C48E2"/>
    <w:rsid w:val="008C48EF"/>
    <w:rsid w:val="008C4BBE"/>
    <w:rsid w:val="008C4F2B"/>
    <w:rsid w:val="008C5625"/>
    <w:rsid w:val="008C6322"/>
    <w:rsid w:val="008C6F98"/>
    <w:rsid w:val="008C771C"/>
    <w:rsid w:val="008C7956"/>
    <w:rsid w:val="008C7E9D"/>
    <w:rsid w:val="008D01A5"/>
    <w:rsid w:val="008D05FB"/>
    <w:rsid w:val="008D0889"/>
    <w:rsid w:val="008D0DA3"/>
    <w:rsid w:val="008D0F27"/>
    <w:rsid w:val="008D1B3D"/>
    <w:rsid w:val="008D1D22"/>
    <w:rsid w:val="008D2028"/>
    <w:rsid w:val="008D21A8"/>
    <w:rsid w:val="008D28D7"/>
    <w:rsid w:val="008D2E2F"/>
    <w:rsid w:val="008D2F10"/>
    <w:rsid w:val="008D3A14"/>
    <w:rsid w:val="008D3AE4"/>
    <w:rsid w:val="008D3C8A"/>
    <w:rsid w:val="008D3E42"/>
    <w:rsid w:val="008D4C22"/>
    <w:rsid w:val="008D5151"/>
    <w:rsid w:val="008D5596"/>
    <w:rsid w:val="008D5C4F"/>
    <w:rsid w:val="008D5E1F"/>
    <w:rsid w:val="008D6758"/>
    <w:rsid w:val="008D6EB4"/>
    <w:rsid w:val="008D7401"/>
    <w:rsid w:val="008D7EC1"/>
    <w:rsid w:val="008E0082"/>
    <w:rsid w:val="008E08E1"/>
    <w:rsid w:val="008E0C47"/>
    <w:rsid w:val="008E1CFF"/>
    <w:rsid w:val="008E20CC"/>
    <w:rsid w:val="008E246B"/>
    <w:rsid w:val="008E258A"/>
    <w:rsid w:val="008E2981"/>
    <w:rsid w:val="008E29B3"/>
    <w:rsid w:val="008E2A2E"/>
    <w:rsid w:val="008E2B8C"/>
    <w:rsid w:val="008E2C23"/>
    <w:rsid w:val="008E2D67"/>
    <w:rsid w:val="008E37D8"/>
    <w:rsid w:val="008E3E4F"/>
    <w:rsid w:val="008E3F73"/>
    <w:rsid w:val="008E421B"/>
    <w:rsid w:val="008E49B4"/>
    <w:rsid w:val="008E55D2"/>
    <w:rsid w:val="008E58A5"/>
    <w:rsid w:val="008E5CF9"/>
    <w:rsid w:val="008E746F"/>
    <w:rsid w:val="008E7AAA"/>
    <w:rsid w:val="008E7AD3"/>
    <w:rsid w:val="008E7B1D"/>
    <w:rsid w:val="008F057E"/>
    <w:rsid w:val="008F0778"/>
    <w:rsid w:val="008F17F7"/>
    <w:rsid w:val="008F18C0"/>
    <w:rsid w:val="008F1C43"/>
    <w:rsid w:val="008F1EBC"/>
    <w:rsid w:val="008F2727"/>
    <w:rsid w:val="008F281D"/>
    <w:rsid w:val="008F28C3"/>
    <w:rsid w:val="008F28DA"/>
    <w:rsid w:val="008F2A37"/>
    <w:rsid w:val="008F2DFA"/>
    <w:rsid w:val="008F2EAC"/>
    <w:rsid w:val="008F3203"/>
    <w:rsid w:val="008F3997"/>
    <w:rsid w:val="008F45AA"/>
    <w:rsid w:val="008F4F9A"/>
    <w:rsid w:val="008F4FB6"/>
    <w:rsid w:val="008F5431"/>
    <w:rsid w:val="008F54BE"/>
    <w:rsid w:val="008F5828"/>
    <w:rsid w:val="008F5A9D"/>
    <w:rsid w:val="008F5C53"/>
    <w:rsid w:val="008F5F0C"/>
    <w:rsid w:val="008F6E69"/>
    <w:rsid w:val="008F704A"/>
    <w:rsid w:val="008F707B"/>
    <w:rsid w:val="008F78A7"/>
    <w:rsid w:val="008F7C22"/>
    <w:rsid w:val="00900501"/>
    <w:rsid w:val="0090088C"/>
    <w:rsid w:val="00900DD0"/>
    <w:rsid w:val="00900EB4"/>
    <w:rsid w:val="00900FD4"/>
    <w:rsid w:val="009019C8"/>
    <w:rsid w:val="0090211D"/>
    <w:rsid w:val="00902353"/>
    <w:rsid w:val="009028E4"/>
    <w:rsid w:val="00902D3F"/>
    <w:rsid w:val="00902F25"/>
    <w:rsid w:val="00903878"/>
    <w:rsid w:val="00903A22"/>
    <w:rsid w:val="00903B9E"/>
    <w:rsid w:val="00904086"/>
    <w:rsid w:val="00904490"/>
    <w:rsid w:val="00904907"/>
    <w:rsid w:val="00904BB6"/>
    <w:rsid w:val="0090540C"/>
    <w:rsid w:val="00906327"/>
    <w:rsid w:val="009079BF"/>
    <w:rsid w:val="00907CB1"/>
    <w:rsid w:val="00907F73"/>
    <w:rsid w:val="00910235"/>
    <w:rsid w:val="00910281"/>
    <w:rsid w:val="009106A2"/>
    <w:rsid w:val="00910CC0"/>
    <w:rsid w:val="0091115B"/>
    <w:rsid w:val="0091144B"/>
    <w:rsid w:val="009114E3"/>
    <w:rsid w:val="00911995"/>
    <w:rsid w:val="009121F7"/>
    <w:rsid w:val="00912780"/>
    <w:rsid w:val="00912B0D"/>
    <w:rsid w:val="00913336"/>
    <w:rsid w:val="00913837"/>
    <w:rsid w:val="0091387C"/>
    <w:rsid w:val="009141AC"/>
    <w:rsid w:val="0091448E"/>
    <w:rsid w:val="00914817"/>
    <w:rsid w:val="00914A60"/>
    <w:rsid w:val="009155C0"/>
    <w:rsid w:val="00915B11"/>
    <w:rsid w:val="00915CB5"/>
    <w:rsid w:val="00915F3A"/>
    <w:rsid w:val="009160E5"/>
    <w:rsid w:val="009166FA"/>
    <w:rsid w:val="00916D72"/>
    <w:rsid w:val="0091712F"/>
    <w:rsid w:val="00917758"/>
    <w:rsid w:val="00917900"/>
    <w:rsid w:val="00917976"/>
    <w:rsid w:val="00917CBF"/>
    <w:rsid w:val="0092023C"/>
    <w:rsid w:val="0092086D"/>
    <w:rsid w:val="00921417"/>
    <w:rsid w:val="0092222C"/>
    <w:rsid w:val="00922391"/>
    <w:rsid w:val="009235D6"/>
    <w:rsid w:val="009235DB"/>
    <w:rsid w:val="009236C2"/>
    <w:rsid w:val="0092394D"/>
    <w:rsid w:val="00923B93"/>
    <w:rsid w:val="00923D13"/>
    <w:rsid w:val="009243D6"/>
    <w:rsid w:val="00924668"/>
    <w:rsid w:val="00924C68"/>
    <w:rsid w:val="00924E98"/>
    <w:rsid w:val="00925699"/>
    <w:rsid w:val="009257A5"/>
    <w:rsid w:val="00925C2B"/>
    <w:rsid w:val="00926AC5"/>
    <w:rsid w:val="00926AFE"/>
    <w:rsid w:val="00926F1A"/>
    <w:rsid w:val="00927470"/>
    <w:rsid w:val="00930253"/>
    <w:rsid w:val="009305F2"/>
    <w:rsid w:val="00930834"/>
    <w:rsid w:val="00930CB8"/>
    <w:rsid w:val="0093109D"/>
    <w:rsid w:val="00931889"/>
    <w:rsid w:val="00931F10"/>
    <w:rsid w:val="00931F76"/>
    <w:rsid w:val="00932027"/>
    <w:rsid w:val="009325B3"/>
    <w:rsid w:val="00932F0D"/>
    <w:rsid w:val="00932FD8"/>
    <w:rsid w:val="0093338B"/>
    <w:rsid w:val="0093481B"/>
    <w:rsid w:val="00934854"/>
    <w:rsid w:val="00934949"/>
    <w:rsid w:val="00935132"/>
    <w:rsid w:val="00935161"/>
    <w:rsid w:val="0093571E"/>
    <w:rsid w:val="009360D3"/>
    <w:rsid w:val="009364AF"/>
    <w:rsid w:val="00936823"/>
    <w:rsid w:val="009369AD"/>
    <w:rsid w:val="0093797B"/>
    <w:rsid w:val="0094022D"/>
    <w:rsid w:val="009404B4"/>
    <w:rsid w:val="00940537"/>
    <w:rsid w:val="009409C6"/>
    <w:rsid w:val="00941235"/>
    <w:rsid w:val="00941555"/>
    <w:rsid w:val="009416FE"/>
    <w:rsid w:val="00941C2D"/>
    <w:rsid w:val="00941CD0"/>
    <w:rsid w:val="00942445"/>
    <w:rsid w:val="009427F9"/>
    <w:rsid w:val="00943AD0"/>
    <w:rsid w:val="00943F7B"/>
    <w:rsid w:val="009443F1"/>
    <w:rsid w:val="00944641"/>
    <w:rsid w:val="009448FB"/>
    <w:rsid w:val="00944D13"/>
    <w:rsid w:val="0094529B"/>
    <w:rsid w:val="00945593"/>
    <w:rsid w:val="0094585F"/>
    <w:rsid w:val="00945BDC"/>
    <w:rsid w:val="00945FF8"/>
    <w:rsid w:val="0094637E"/>
    <w:rsid w:val="00946ADB"/>
    <w:rsid w:val="00946C2F"/>
    <w:rsid w:val="00946DB0"/>
    <w:rsid w:val="009470D3"/>
    <w:rsid w:val="00947223"/>
    <w:rsid w:val="0094727B"/>
    <w:rsid w:val="009474D6"/>
    <w:rsid w:val="009475F3"/>
    <w:rsid w:val="009500DC"/>
    <w:rsid w:val="0095044D"/>
    <w:rsid w:val="00950B01"/>
    <w:rsid w:val="00950CA8"/>
    <w:rsid w:val="00950DA6"/>
    <w:rsid w:val="00950E4D"/>
    <w:rsid w:val="00951197"/>
    <w:rsid w:val="00951349"/>
    <w:rsid w:val="009513B3"/>
    <w:rsid w:val="00951F38"/>
    <w:rsid w:val="00952D5E"/>
    <w:rsid w:val="00952EB5"/>
    <w:rsid w:val="00952FAA"/>
    <w:rsid w:val="009544EE"/>
    <w:rsid w:val="009546EA"/>
    <w:rsid w:val="0095478E"/>
    <w:rsid w:val="00955A7A"/>
    <w:rsid w:val="00955B2F"/>
    <w:rsid w:val="00955CCB"/>
    <w:rsid w:val="00956495"/>
    <w:rsid w:val="009566EA"/>
    <w:rsid w:val="00956AE2"/>
    <w:rsid w:val="009571F7"/>
    <w:rsid w:val="009576BC"/>
    <w:rsid w:val="009579B9"/>
    <w:rsid w:val="00960320"/>
    <w:rsid w:val="009605C6"/>
    <w:rsid w:val="00961770"/>
    <w:rsid w:val="009617B4"/>
    <w:rsid w:val="0096188E"/>
    <w:rsid w:val="009618C1"/>
    <w:rsid w:val="00962495"/>
    <w:rsid w:val="00962689"/>
    <w:rsid w:val="0096297A"/>
    <w:rsid w:val="00962E5D"/>
    <w:rsid w:val="0096316F"/>
    <w:rsid w:val="009633AC"/>
    <w:rsid w:val="0096345C"/>
    <w:rsid w:val="009636BD"/>
    <w:rsid w:val="00963CB3"/>
    <w:rsid w:val="00964025"/>
    <w:rsid w:val="00964155"/>
    <w:rsid w:val="009645B3"/>
    <w:rsid w:val="0096470B"/>
    <w:rsid w:val="00965BE3"/>
    <w:rsid w:val="00965EFB"/>
    <w:rsid w:val="009660AD"/>
    <w:rsid w:val="009660EB"/>
    <w:rsid w:val="009663F5"/>
    <w:rsid w:val="00966531"/>
    <w:rsid w:val="0096719D"/>
    <w:rsid w:val="0096723D"/>
    <w:rsid w:val="0096725D"/>
    <w:rsid w:val="00967ACD"/>
    <w:rsid w:val="00967DDC"/>
    <w:rsid w:val="00967E41"/>
    <w:rsid w:val="0097003E"/>
    <w:rsid w:val="009702F2"/>
    <w:rsid w:val="0097093E"/>
    <w:rsid w:val="00970C45"/>
    <w:rsid w:val="00970F8B"/>
    <w:rsid w:val="00971348"/>
    <w:rsid w:val="00971980"/>
    <w:rsid w:val="00971A2E"/>
    <w:rsid w:val="00971F94"/>
    <w:rsid w:val="009723AA"/>
    <w:rsid w:val="0097248E"/>
    <w:rsid w:val="0097292A"/>
    <w:rsid w:val="00972B37"/>
    <w:rsid w:val="009738C7"/>
    <w:rsid w:val="00974A1D"/>
    <w:rsid w:val="00974CB0"/>
    <w:rsid w:val="00974CB9"/>
    <w:rsid w:val="00974D4D"/>
    <w:rsid w:val="00974EFE"/>
    <w:rsid w:val="009750F2"/>
    <w:rsid w:val="0097555E"/>
    <w:rsid w:val="009757D4"/>
    <w:rsid w:val="009758D4"/>
    <w:rsid w:val="0097614F"/>
    <w:rsid w:val="00976EFF"/>
    <w:rsid w:val="009770E0"/>
    <w:rsid w:val="00977543"/>
    <w:rsid w:val="00977937"/>
    <w:rsid w:val="00977FF7"/>
    <w:rsid w:val="00980163"/>
    <w:rsid w:val="00980277"/>
    <w:rsid w:val="009802B4"/>
    <w:rsid w:val="0098055B"/>
    <w:rsid w:val="00980824"/>
    <w:rsid w:val="0098087A"/>
    <w:rsid w:val="00980FA8"/>
    <w:rsid w:val="009817F2"/>
    <w:rsid w:val="00981CB6"/>
    <w:rsid w:val="009820ED"/>
    <w:rsid w:val="00982116"/>
    <w:rsid w:val="009825B2"/>
    <w:rsid w:val="00982964"/>
    <w:rsid w:val="009830CE"/>
    <w:rsid w:val="0098382E"/>
    <w:rsid w:val="00983F41"/>
    <w:rsid w:val="00984E50"/>
    <w:rsid w:val="009857FF"/>
    <w:rsid w:val="00985CB4"/>
    <w:rsid w:val="00985D37"/>
    <w:rsid w:val="00986639"/>
    <w:rsid w:val="009866AA"/>
    <w:rsid w:val="00986D5A"/>
    <w:rsid w:val="00986F10"/>
    <w:rsid w:val="00986FF0"/>
    <w:rsid w:val="0098749A"/>
    <w:rsid w:val="00987685"/>
    <w:rsid w:val="00987BAE"/>
    <w:rsid w:val="00987FCB"/>
    <w:rsid w:val="00990566"/>
    <w:rsid w:val="00991923"/>
    <w:rsid w:val="009923A2"/>
    <w:rsid w:val="00992741"/>
    <w:rsid w:val="00992A4C"/>
    <w:rsid w:val="009930E9"/>
    <w:rsid w:val="0099322A"/>
    <w:rsid w:val="009941EE"/>
    <w:rsid w:val="0099438F"/>
    <w:rsid w:val="009946C0"/>
    <w:rsid w:val="009946E5"/>
    <w:rsid w:val="009953FA"/>
    <w:rsid w:val="00995A69"/>
    <w:rsid w:val="00995FF4"/>
    <w:rsid w:val="009966FD"/>
    <w:rsid w:val="00996705"/>
    <w:rsid w:val="00996B14"/>
    <w:rsid w:val="00996BEA"/>
    <w:rsid w:val="00997289"/>
    <w:rsid w:val="009A08C0"/>
    <w:rsid w:val="009A0B87"/>
    <w:rsid w:val="009A0DA8"/>
    <w:rsid w:val="009A0EB0"/>
    <w:rsid w:val="009A121D"/>
    <w:rsid w:val="009A12B7"/>
    <w:rsid w:val="009A2366"/>
    <w:rsid w:val="009A27C9"/>
    <w:rsid w:val="009A2C99"/>
    <w:rsid w:val="009A33C8"/>
    <w:rsid w:val="009A3446"/>
    <w:rsid w:val="009A3937"/>
    <w:rsid w:val="009A3CB4"/>
    <w:rsid w:val="009A3E23"/>
    <w:rsid w:val="009A3EF9"/>
    <w:rsid w:val="009A4098"/>
    <w:rsid w:val="009A43B7"/>
    <w:rsid w:val="009A47EF"/>
    <w:rsid w:val="009A4C15"/>
    <w:rsid w:val="009A4C67"/>
    <w:rsid w:val="009A5425"/>
    <w:rsid w:val="009A54F5"/>
    <w:rsid w:val="009A5520"/>
    <w:rsid w:val="009A5B48"/>
    <w:rsid w:val="009A5C12"/>
    <w:rsid w:val="009A5DED"/>
    <w:rsid w:val="009A6249"/>
    <w:rsid w:val="009A62F5"/>
    <w:rsid w:val="009A6FFE"/>
    <w:rsid w:val="009A71DD"/>
    <w:rsid w:val="009B05DC"/>
    <w:rsid w:val="009B068D"/>
    <w:rsid w:val="009B0856"/>
    <w:rsid w:val="009B0DEF"/>
    <w:rsid w:val="009B0ED6"/>
    <w:rsid w:val="009B0F36"/>
    <w:rsid w:val="009B0FCB"/>
    <w:rsid w:val="009B13F2"/>
    <w:rsid w:val="009B1556"/>
    <w:rsid w:val="009B223C"/>
    <w:rsid w:val="009B2A6D"/>
    <w:rsid w:val="009B2D18"/>
    <w:rsid w:val="009B35E4"/>
    <w:rsid w:val="009B379D"/>
    <w:rsid w:val="009B3ACB"/>
    <w:rsid w:val="009B3FFE"/>
    <w:rsid w:val="009B4069"/>
    <w:rsid w:val="009B40F6"/>
    <w:rsid w:val="009B46CF"/>
    <w:rsid w:val="009B4AFC"/>
    <w:rsid w:val="009B4B7B"/>
    <w:rsid w:val="009B4E03"/>
    <w:rsid w:val="009B502F"/>
    <w:rsid w:val="009B50A9"/>
    <w:rsid w:val="009B5734"/>
    <w:rsid w:val="009B576F"/>
    <w:rsid w:val="009B57F3"/>
    <w:rsid w:val="009B6437"/>
    <w:rsid w:val="009B67C3"/>
    <w:rsid w:val="009B683C"/>
    <w:rsid w:val="009B7248"/>
    <w:rsid w:val="009B7C0B"/>
    <w:rsid w:val="009B7DDF"/>
    <w:rsid w:val="009B7FAE"/>
    <w:rsid w:val="009C0421"/>
    <w:rsid w:val="009C0ADF"/>
    <w:rsid w:val="009C0D72"/>
    <w:rsid w:val="009C0DDD"/>
    <w:rsid w:val="009C0E0B"/>
    <w:rsid w:val="009C103E"/>
    <w:rsid w:val="009C110E"/>
    <w:rsid w:val="009C13D7"/>
    <w:rsid w:val="009C1732"/>
    <w:rsid w:val="009C2010"/>
    <w:rsid w:val="009C2CBE"/>
    <w:rsid w:val="009C3220"/>
    <w:rsid w:val="009C33ED"/>
    <w:rsid w:val="009C3D1E"/>
    <w:rsid w:val="009C3E64"/>
    <w:rsid w:val="009C4687"/>
    <w:rsid w:val="009C59B7"/>
    <w:rsid w:val="009C63B2"/>
    <w:rsid w:val="009C6676"/>
    <w:rsid w:val="009C6AC5"/>
    <w:rsid w:val="009C6D8A"/>
    <w:rsid w:val="009C708F"/>
    <w:rsid w:val="009C731D"/>
    <w:rsid w:val="009C7817"/>
    <w:rsid w:val="009C7BD6"/>
    <w:rsid w:val="009C7F3F"/>
    <w:rsid w:val="009D05D6"/>
    <w:rsid w:val="009D12AE"/>
    <w:rsid w:val="009D2242"/>
    <w:rsid w:val="009D2BF2"/>
    <w:rsid w:val="009D3425"/>
    <w:rsid w:val="009D398A"/>
    <w:rsid w:val="009D419B"/>
    <w:rsid w:val="009D4904"/>
    <w:rsid w:val="009D4A47"/>
    <w:rsid w:val="009D4E71"/>
    <w:rsid w:val="009D5176"/>
    <w:rsid w:val="009D54C1"/>
    <w:rsid w:val="009D6256"/>
    <w:rsid w:val="009D6664"/>
    <w:rsid w:val="009D6C73"/>
    <w:rsid w:val="009D762C"/>
    <w:rsid w:val="009D76EB"/>
    <w:rsid w:val="009D7EAA"/>
    <w:rsid w:val="009E02CE"/>
    <w:rsid w:val="009E27D6"/>
    <w:rsid w:val="009E28F5"/>
    <w:rsid w:val="009E37E3"/>
    <w:rsid w:val="009E4BB0"/>
    <w:rsid w:val="009E5202"/>
    <w:rsid w:val="009E525B"/>
    <w:rsid w:val="009E529E"/>
    <w:rsid w:val="009E5A44"/>
    <w:rsid w:val="009E5E78"/>
    <w:rsid w:val="009E6164"/>
    <w:rsid w:val="009E63CB"/>
    <w:rsid w:val="009E6476"/>
    <w:rsid w:val="009E6643"/>
    <w:rsid w:val="009E69EB"/>
    <w:rsid w:val="009E6A4E"/>
    <w:rsid w:val="009E6EBA"/>
    <w:rsid w:val="009E7942"/>
    <w:rsid w:val="009E7CCD"/>
    <w:rsid w:val="009E7D3A"/>
    <w:rsid w:val="009F002A"/>
    <w:rsid w:val="009F0479"/>
    <w:rsid w:val="009F06F8"/>
    <w:rsid w:val="009F0F73"/>
    <w:rsid w:val="009F11FF"/>
    <w:rsid w:val="009F122B"/>
    <w:rsid w:val="009F1341"/>
    <w:rsid w:val="009F1464"/>
    <w:rsid w:val="009F192F"/>
    <w:rsid w:val="009F1A4C"/>
    <w:rsid w:val="009F1BDF"/>
    <w:rsid w:val="009F1CF7"/>
    <w:rsid w:val="009F1EE3"/>
    <w:rsid w:val="009F211D"/>
    <w:rsid w:val="009F241A"/>
    <w:rsid w:val="009F2A95"/>
    <w:rsid w:val="009F2FAF"/>
    <w:rsid w:val="009F324F"/>
    <w:rsid w:val="009F3358"/>
    <w:rsid w:val="009F3561"/>
    <w:rsid w:val="009F3860"/>
    <w:rsid w:val="009F388F"/>
    <w:rsid w:val="009F3B49"/>
    <w:rsid w:val="009F3CC4"/>
    <w:rsid w:val="009F3D96"/>
    <w:rsid w:val="009F3F64"/>
    <w:rsid w:val="009F3FE9"/>
    <w:rsid w:val="009F4367"/>
    <w:rsid w:val="009F4F8D"/>
    <w:rsid w:val="009F541E"/>
    <w:rsid w:val="009F5A64"/>
    <w:rsid w:val="009F5D18"/>
    <w:rsid w:val="009F6012"/>
    <w:rsid w:val="009F6035"/>
    <w:rsid w:val="009F6281"/>
    <w:rsid w:val="009F6F07"/>
    <w:rsid w:val="009F7580"/>
    <w:rsid w:val="009F7661"/>
    <w:rsid w:val="009F78A1"/>
    <w:rsid w:val="009F7A53"/>
    <w:rsid w:val="009F7EC3"/>
    <w:rsid w:val="00A00383"/>
    <w:rsid w:val="00A0084C"/>
    <w:rsid w:val="00A00FCB"/>
    <w:rsid w:val="00A01210"/>
    <w:rsid w:val="00A015B9"/>
    <w:rsid w:val="00A01641"/>
    <w:rsid w:val="00A019E7"/>
    <w:rsid w:val="00A01C8C"/>
    <w:rsid w:val="00A02179"/>
    <w:rsid w:val="00A02EFC"/>
    <w:rsid w:val="00A0307A"/>
    <w:rsid w:val="00A03308"/>
    <w:rsid w:val="00A036CA"/>
    <w:rsid w:val="00A049A1"/>
    <w:rsid w:val="00A04B4C"/>
    <w:rsid w:val="00A04CD8"/>
    <w:rsid w:val="00A04CF7"/>
    <w:rsid w:val="00A0504B"/>
    <w:rsid w:val="00A05412"/>
    <w:rsid w:val="00A056E7"/>
    <w:rsid w:val="00A05B97"/>
    <w:rsid w:val="00A05C05"/>
    <w:rsid w:val="00A05EB2"/>
    <w:rsid w:val="00A05F28"/>
    <w:rsid w:val="00A064A8"/>
    <w:rsid w:val="00A06B1A"/>
    <w:rsid w:val="00A0732B"/>
    <w:rsid w:val="00A1031F"/>
    <w:rsid w:val="00A1039D"/>
    <w:rsid w:val="00A109F7"/>
    <w:rsid w:val="00A11162"/>
    <w:rsid w:val="00A1124F"/>
    <w:rsid w:val="00A11588"/>
    <w:rsid w:val="00A11796"/>
    <w:rsid w:val="00A11FDD"/>
    <w:rsid w:val="00A1218E"/>
    <w:rsid w:val="00A126C4"/>
    <w:rsid w:val="00A1276D"/>
    <w:rsid w:val="00A1378E"/>
    <w:rsid w:val="00A13E45"/>
    <w:rsid w:val="00A142A5"/>
    <w:rsid w:val="00A145C7"/>
    <w:rsid w:val="00A14E50"/>
    <w:rsid w:val="00A15020"/>
    <w:rsid w:val="00A15369"/>
    <w:rsid w:val="00A153AD"/>
    <w:rsid w:val="00A15C75"/>
    <w:rsid w:val="00A15CDE"/>
    <w:rsid w:val="00A160F7"/>
    <w:rsid w:val="00A162A2"/>
    <w:rsid w:val="00A16331"/>
    <w:rsid w:val="00A163D8"/>
    <w:rsid w:val="00A16529"/>
    <w:rsid w:val="00A16999"/>
    <w:rsid w:val="00A16D29"/>
    <w:rsid w:val="00A17AD8"/>
    <w:rsid w:val="00A17C6D"/>
    <w:rsid w:val="00A209EF"/>
    <w:rsid w:val="00A21701"/>
    <w:rsid w:val="00A222BE"/>
    <w:rsid w:val="00A22C41"/>
    <w:rsid w:val="00A22EB8"/>
    <w:rsid w:val="00A235A4"/>
    <w:rsid w:val="00A23656"/>
    <w:rsid w:val="00A23AB1"/>
    <w:rsid w:val="00A2423C"/>
    <w:rsid w:val="00A24467"/>
    <w:rsid w:val="00A24A87"/>
    <w:rsid w:val="00A24AE2"/>
    <w:rsid w:val="00A252BC"/>
    <w:rsid w:val="00A25313"/>
    <w:rsid w:val="00A25BD2"/>
    <w:rsid w:val="00A25D2F"/>
    <w:rsid w:val="00A26766"/>
    <w:rsid w:val="00A26AEB"/>
    <w:rsid w:val="00A26C5A"/>
    <w:rsid w:val="00A270DF"/>
    <w:rsid w:val="00A2759A"/>
    <w:rsid w:val="00A27634"/>
    <w:rsid w:val="00A27F21"/>
    <w:rsid w:val="00A309B0"/>
    <w:rsid w:val="00A31178"/>
    <w:rsid w:val="00A31DA2"/>
    <w:rsid w:val="00A325BA"/>
    <w:rsid w:val="00A328ED"/>
    <w:rsid w:val="00A32BDD"/>
    <w:rsid w:val="00A334FA"/>
    <w:rsid w:val="00A33C4A"/>
    <w:rsid w:val="00A3400F"/>
    <w:rsid w:val="00A341A8"/>
    <w:rsid w:val="00A341D5"/>
    <w:rsid w:val="00A34389"/>
    <w:rsid w:val="00A34C55"/>
    <w:rsid w:val="00A3561D"/>
    <w:rsid w:val="00A35AB3"/>
    <w:rsid w:val="00A361EB"/>
    <w:rsid w:val="00A3645E"/>
    <w:rsid w:val="00A366A3"/>
    <w:rsid w:val="00A36C29"/>
    <w:rsid w:val="00A371D7"/>
    <w:rsid w:val="00A3748A"/>
    <w:rsid w:val="00A374B9"/>
    <w:rsid w:val="00A37846"/>
    <w:rsid w:val="00A378FB"/>
    <w:rsid w:val="00A37BD2"/>
    <w:rsid w:val="00A404B8"/>
    <w:rsid w:val="00A405D5"/>
    <w:rsid w:val="00A407D0"/>
    <w:rsid w:val="00A40DAA"/>
    <w:rsid w:val="00A40F0D"/>
    <w:rsid w:val="00A40FF5"/>
    <w:rsid w:val="00A4177E"/>
    <w:rsid w:val="00A419BF"/>
    <w:rsid w:val="00A41E8D"/>
    <w:rsid w:val="00A41F2D"/>
    <w:rsid w:val="00A430F0"/>
    <w:rsid w:val="00A43738"/>
    <w:rsid w:val="00A4389A"/>
    <w:rsid w:val="00A43B87"/>
    <w:rsid w:val="00A43F89"/>
    <w:rsid w:val="00A44334"/>
    <w:rsid w:val="00A445B6"/>
    <w:rsid w:val="00A4493F"/>
    <w:rsid w:val="00A44B49"/>
    <w:rsid w:val="00A4533A"/>
    <w:rsid w:val="00A4589D"/>
    <w:rsid w:val="00A45F27"/>
    <w:rsid w:val="00A46115"/>
    <w:rsid w:val="00A46482"/>
    <w:rsid w:val="00A46BE0"/>
    <w:rsid w:val="00A46FB8"/>
    <w:rsid w:val="00A4783C"/>
    <w:rsid w:val="00A47A0D"/>
    <w:rsid w:val="00A47B61"/>
    <w:rsid w:val="00A47D17"/>
    <w:rsid w:val="00A502AE"/>
    <w:rsid w:val="00A5064B"/>
    <w:rsid w:val="00A50904"/>
    <w:rsid w:val="00A50E56"/>
    <w:rsid w:val="00A51C1E"/>
    <w:rsid w:val="00A51D18"/>
    <w:rsid w:val="00A521FE"/>
    <w:rsid w:val="00A5270A"/>
    <w:rsid w:val="00A52720"/>
    <w:rsid w:val="00A5278B"/>
    <w:rsid w:val="00A528E2"/>
    <w:rsid w:val="00A53709"/>
    <w:rsid w:val="00A53A30"/>
    <w:rsid w:val="00A53CBD"/>
    <w:rsid w:val="00A542E1"/>
    <w:rsid w:val="00A545D2"/>
    <w:rsid w:val="00A54994"/>
    <w:rsid w:val="00A549CC"/>
    <w:rsid w:val="00A54C03"/>
    <w:rsid w:val="00A54F8D"/>
    <w:rsid w:val="00A5673C"/>
    <w:rsid w:val="00A56E52"/>
    <w:rsid w:val="00A57E61"/>
    <w:rsid w:val="00A57F7E"/>
    <w:rsid w:val="00A60039"/>
    <w:rsid w:val="00A6026F"/>
    <w:rsid w:val="00A6033A"/>
    <w:rsid w:val="00A60697"/>
    <w:rsid w:val="00A60896"/>
    <w:rsid w:val="00A614E4"/>
    <w:rsid w:val="00A620D6"/>
    <w:rsid w:val="00A62423"/>
    <w:rsid w:val="00A6243B"/>
    <w:rsid w:val="00A630CE"/>
    <w:rsid w:val="00A6311D"/>
    <w:rsid w:val="00A633E8"/>
    <w:rsid w:val="00A634F4"/>
    <w:rsid w:val="00A63613"/>
    <w:rsid w:val="00A64149"/>
    <w:rsid w:val="00A6476D"/>
    <w:rsid w:val="00A648E5"/>
    <w:rsid w:val="00A64B2D"/>
    <w:rsid w:val="00A64C4F"/>
    <w:rsid w:val="00A64F51"/>
    <w:rsid w:val="00A6534A"/>
    <w:rsid w:val="00A6578D"/>
    <w:rsid w:val="00A65A4D"/>
    <w:rsid w:val="00A65B15"/>
    <w:rsid w:val="00A6602E"/>
    <w:rsid w:val="00A66133"/>
    <w:rsid w:val="00A66176"/>
    <w:rsid w:val="00A662D0"/>
    <w:rsid w:val="00A664D6"/>
    <w:rsid w:val="00A66854"/>
    <w:rsid w:val="00A6685F"/>
    <w:rsid w:val="00A6746A"/>
    <w:rsid w:val="00A67607"/>
    <w:rsid w:val="00A6773E"/>
    <w:rsid w:val="00A67ACD"/>
    <w:rsid w:val="00A70050"/>
    <w:rsid w:val="00A70246"/>
    <w:rsid w:val="00A703EE"/>
    <w:rsid w:val="00A70403"/>
    <w:rsid w:val="00A7076F"/>
    <w:rsid w:val="00A70A47"/>
    <w:rsid w:val="00A70A4A"/>
    <w:rsid w:val="00A70B21"/>
    <w:rsid w:val="00A71218"/>
    <w:rsid w:val="00A713F3"/>
    <w:rsid w:val="00A71580"/>
    <w:rsid w:val="00A71631"/>
    <w:rsid w:val="00A7196C"/>
    <w:rsid w:val="00A71B65"/>
    <w:rsid w:val="00A722FF"/>
    <w:rsid w:val="00A72388"/>
    <w:rsid w:val="00A7249F"/>
    <w:rsid w:val="00A72796"/>
    <w:rsid w:val="00A728F6"/>
    <w:rsid w:val="00A72D97"/>
    <w:rsid w:val="00A72DB6"/>
    <w:rsid w:val="00A73B1C"/>
    <w:rsid w:val="00A73F84"/>
    <w:rsid w:val="00A74263"/>
    <w:rsid w:val="00A743F3"/>
    <w:rsid w:val="00A7440D"/>
    <w:rsid w:val="00A745A0"/>
    <w:rsid w:val="00A74EDE"/>
    <w:rsid w:val="00A75716"/>
    <w:rsid w:val="00A7577B"/>
    <w:rsid w:val="00A75B3C"/>
    <w:rsid w:val="00A761AB"/>
    <w:rsid w:val="00A766ED"/>
    <w:rsid w:val="00A7694D"/>
    <w:rsid w:val="00A76C58"/>
    <w:rsid w:val="00A76E23"/>
    <w:rsid w:val="00A770AD"/>
    <w:rsid w:val="00A7756A"/>
    <w:rsid w:val="00A77BDD"/>
    <w:rsid w:val="00A8004B"/>
    <w:rsid w:val="00A8019E"/>
    <w:rsid w:val="00A803D7"/>
    <w:rsid w:val="00A80423"/>
    <w:rsid w:val="00A807C5"/>
    <w:rsid w:val="00A80CEF"/>
    <w:rsid w:val="00A80F5B"/>
    <w:rsid w:val="00A811BC"/>
    <w:rsid w:val="00A811E3"/>
    <w:rsid w:val="00A81455"/>
    <w:rsid w:val="00A81A6F"/>
    <w:rsid w:val="00A81F30"/>
    <w:rsid w:val="00A82070"/>
    <w:rsid w:val="00A82094"/>
    <w:rsid w:val="00A8286B"/>
    <w:rsid w:val="00A82D45"/>
    <w:rsid w:val="00A83237"/>
    <w:rsid w:val="00A83D7C"/>
    <w:rsid w:val="00A83F20"/>
    <w:rsid w:val="00A84291"/>
    <w:rsid w:val="00A84709"/>
    <w:rsid w:val="00A85103"/>
    <w:rsid w:val="00A856BE"/>
    <w:rsid w:val="00A86360"/>
    <w:rsid w:val="00A86784"/>
    <w:rsid w:val="00A86E13"/>
    <w:rsid w:val="00A8741E"/>
    <w:rsid w:val="00A87521"/>
    <w:rsid w:val="00A87B44"/>
    <w:rsid w:val="00A87BDD"/>
    <w:rsid w:val="00A87EE1"/>
    <w:rsid w:val="00A901F5"/>
    <w:rsid w:val="00A902F5"/>
    <w:rsid w:val="00A909FF"/>
    <w:rsid w:val="00A90D83"/>
    <w:rsid w:val="00A910BD"/>
    <w:rsid w:val="00A91758"/>
    <w:rsid w:val="00A91853"/>
    <w:rsid w:val="00A919A0"/>
    <w:rsid w:val="00A91DB3"/>
    <w:rsid w:val="00A91EB5"/>
    <w:rsid w:val="00A923FF"/>
    <w:rsid w:val="00A927E0"/>
    <w:rsid w:val="00A92982"/>
    <w:rsid w:val="00A933A5"/>
    <w:rsid w:val="00A93620"/>
    <w:rsid w:val="00A93698"/>
    <w:rsid w:val="00A93FCD"/>
    <w:rsid w:val="00A94176"/>
    <w:rsid w:val="00A94E9B"/>
    <w:rsid w:val="00A94F09"/>
    <w:rsid w:val="00A94F0B"/>
    <w:rsid w:val="00A9525F"/>
    <w:rsid w:val="00A95267"/>
    <w:rsid w:val="00A9597F"/>
    <w:rsid w:val="00A95B13"/>
    <w:rsid w:val="00A95B29"/>
    <w:rsid w:val="00A95B8C"/>
    <w:rsid w:val="00A95E7C"/>
    <w:rsid w:val="00A961C6"/>
    <w:rsid w:val="00A9639D"/>
    <w:rsid w:val="00A96602"/>
    <w:rsid w:val="00A969ED"/>
    <w:rsid w:val="00A96CF9"/>
    <w:rsid w:val="00A977BF"/>
    <w:rsid w:val="00A97BC9"/>
    <w:rsid w:val="00A97F07"/>
    <w:rsid w:val="00AA0CB0"/>
    <w:rsid w:val="00AA147F"/>
    <w:rsid w:val="00AA14D4"/>
    <w:rsid w:val="00AA22B6"/>
    <w:rsid w:val="00AA2464"/>
    <w:rsid w:val="00AA25DD"/>
    <w:rsid w:val="00AA2A83"/>
    <w:rsid w:val="00AA2B4B"/>
    <w:rsid w:val="00AA2BB1"/>
    <w:rsid w:val="00AA2CD9"/>
    <w:rsid w:val="00AA2D75"/>
    <w:rsid w:val="00AA2FD1"/>
    <w:rsid w:val="00AA3C7A"/>
    <w:rsid w:val="00AA3EAF"/>
    <w:rsid w:val="00AA4087"/>
    <w:rsid w:val="00AA42DC"/>
    <w:rsid w:val="00AA4345"/>
    <w:rsid w:val="00AA4730"/>
    <w:rsid w:val="00AA4764"/>
    <w:rsid w:val="00AA4CD6"/>
    <w:rsid w:val="00AA5057"/>
    <w:rsid w:val="00AA53D6"/>
    <w:rsid w:val="00AA5501"/>
    <w:rsid w:val="00AA55D7"/>
    <w:rsid w:val="00AA56A7"/>
    <w:rsid w:val="00AA5805"/>
    <w:rsid w:val="00AA5C2E"/>
    <w:rsid w:val="00AA5E59"/>
    <w:rsid w:val="00AA6284"/>
    <w:rsid w:val="00AA6824"/>
    <w:rsid w:val="00AA6C5C"/>
    <w:rsid w:val="00AA6F48"/>
    <w:rsid w:val="00AA6FA5"/>
    <w:rsid w:val="00AA79C4"/>
    <w:rsid w:val="00AA7CDE"/>
    <w:rsid w:val="00AA7F2E"/>
    <w:rsid w:val="00AB0E89"/>
    <w:rsid w:val="00AB1011"/>
    <w:rsid w:val="00AB1154"/>
    <w:rsid w:val="00AB1316"/>
    <w:rsid w:val="00AB157E"/>
    <w:rsid w:val="00AB1D16"/>
    <w:rsid w:val="00AB2037"/>
    <w:rsid w:val="00AB21CB"/>
    <w:rsid w:val="00AB240C"/>
    <w:rsid w:val="00AB260A"/>
    <w:rsid w:val="00AB2BA7"/>
    <w:rsid w:val="00AB3883"/>
    <w:rsid w:val="00AB3918"/>
    <w:rsid w:val="00AB434A"/>
    <w:rsid w:val="00AB4369"/>
    <w:rsid w:val="00AB44F4"/>
    <w:rsid w:val="00AB4AC9"/>
    <w:rsid w:val="00AB4C0D"/>
    <w:rsid w:val="00AB512C"/>
    <w:rsid w:val="00AB5BCF"/>
    <w:rsid w:val="00AB5D3C"/>
    <w:rsid w:val="00AB5DC2"/>
    <w:rsid w:val="00AB63A6"/>
    <w:rsid w:val="00AB6884"/>
    <w:rsid w:val="00AB74F1"/>
    <w:rsid w:val="00AB7FD6"/>
    <w:rsid w:val="00AC0245"/>
    <w:rsid w:val="00AC0EF1"/>
    <w:rsid w:val="00AC1460"/>
    <w:rsid w:val="00AC1746"/>
    <w:rsid w:val="00AC17DC"/>
    <w:rsid w:val="00AC1ABF"/>
    <w:rsid w:val="00AC2488"/>
    <w:rsid w:val="00AC2593"/>
    <w:rsid w:val="00AC26F8"/>
    <w:rsid w:val="00AC2887"/>
    <w:rsid w:val="00AC3697"/>
    <w:rsid w:val="00AC43F2"/>
    <w:rsid w:val="00AC49A4"/>
    <w:rsid w:val="00AC4ADD"/>
    <w:rsid w:val="00AC4CFA"/>
    <w:rsid w:val="00AC509A"/>
    <w:rsid w:val="00AC55B5"/>
    <w:rsid w:val="00AC56FD"/>
    <w:rsid w:val="00AC59FC"/>
    <w:rsid w:val="00AC5A79"/>
    <w:rsid w:val="00AC5B6B"/>
    <w:rsid w:val="00AC5DDE"/>
    <w:rsid w:val="00AC654C"/>
    <w:rsid w:val="00AC672A"/>
    <w:rsid w:val="00AC67BA"/>
    <w:rsid w:val="00AC682E"/>
    <w:rsid w:val="00AC6B75"/>
    <w:rsid w:val="00AC75B3"/>
    <w:rsid w:val="00AC7B48"/>
    <w:rsid w:val="00AD02B2"/>
    <w:rsid w:val="00AD03A8"/>
    <w:rsid w:val="00AD0805"/>
    <w:rsid w:val="00AD0F99"/>
    <w:rsid w:val="00AD12F5"/>
    <w:rsid w:val="00AD14C1"/>
    <w:rsid w:val="00AD1868"/>
    <w:rsid w:val="00AD1F60"/>
    <w:rsid w:val="00AD241B"/>
    <w:rsid w:val="00AD244C"/>
    <w:rsid w:val="00AD2547"/>
    <w:rsid w:val="00AD2806"/>
    <w:rsid w:val="00AD2A91"/>
    <w:rsid w:val="00AD2EEA"/>
    <w:rsid w:val="00AD32F1"/>
    <w:rsid w:val="00AD35F5"/>
    <w:rsid w:val="00AD3D38"/>
    <w:rsid w:val="00AD3D71"/>
    <w:rsid w:val="00AD4577"/>
    <w:rsid w:val="00AD495F"/>
    <w:rsid w:val="00AD4D3A"/>
    <w:rsid w:val="00AD4DAB"/>
    <w:rsid w:val="00AD4F43"/>
    <w:rsid w:val="00AD563A"/>
    <w:rsid w:val="00AD5661"/>
    <w:rsid w:val="00AD5E54"/>
    <w:rsid w:val="00AD64C7"/>
    <w:rsid w:val="00AD6909"/>
    <w:rsid w:val="00AD6EF3"/>
    <w:rsid w:val="00AD74F0"/>
    <w:rsid w:val="00AD78CB"/>
    <w:rsid w:val="00AD78ED"/>
    <w:rsid w:val="00AD7B40"/>
    <w:rsid w:val="00AE0E73"/>
    <w:rsid w:val="00AE0F92"/>
    <w:rsid w:val="00AE1132"/>
    <w:rsid w:val="00AE1265"/>
    <w:rsid w:val="00AE219D"/>
    <w:rsid w:val="00AE278F"/>
    <w:rsid w:val="00AE32D9"/>
    <w:rsid w:val="00AE36A1"/>
    <w:rsid w:val="00AE3C02"/>
    <w:rsid w:val="00AE3C53"/>
    <w:rsid w:val="00AE3F6E"/>
    <w:rsid w:val="00AE4174"/>
    <w:rsid w:val="00AE4A79"/>
    <w:rsid w:val="00AE4B8F"/>
    <w:rsid w:val="00AE4FC9"/>
    <w:rsid w:val="00AE5156"/>
    <w:rsid w:val="00AE51F1"/>
    <w:rsid w:val="00AE580D"/>
    <w:rsid w:val="00AE5B5F"/>
    <w:rsid w:val="00AE6A4C"/>
    <w:rsid w:val="00AE6CB3"/>
    <w:rsid w:val="00AE6DE1"/>
    <w:rsid w:val="00AE6E01"/>
    <w:rsid w:val="00AE70E8"/>
    <w:rsid w:val="00AE73FB"/>
    <w:rsid w:val="00AE7654"/>
    <w:rsid w:val="00AE796C"/>
    <w:rsid w:val="00AF03C9"/>
    <w:rsid w:val="00AF068A"/>
    <w:rsid w:val="00AF0C61"/>
    <w:rsid w:val="00AF11D2"/>
    <w:rsid w:val="00AF14CE"/>
    <w:rsid w:val="00AF15BF"/>
    <w:rsid w:val="00AF21B1"/>
    <w:rsid w:val="00AF254A"/>
    <w:rsid w:val="00AF29E8"/>
    <w:rsid w:val="00AF2B1F"/>
    <w:rsid w:val="00AF2D98"/>
    <w:rsid w:val="00AF2E68"/>
    <w:rsid w:val="00AF3111"/>
    <w:rsid w:val="00AF3A69"/>
    <w:rsid w:val="00AF3BD2"/>
    <w:rsid w:val="00AF3D70"/>
    <w:rsid w:val="00AF3E32"/>
    <w:rsid w:val="00AF4E84"/>
    <w:rsid w:val="00AF548C"/>
    <w:rsid w:val="00AF57E9"/>
    <w:rsid w:val="00AF5ACE"/>
    <w:rsid w:val="00AF5F73"/>
    <w:rsid w:val="00AF63DD"/>
    <w:rsid w:val="00AF68B8"/>
    <w:rsid w:val="00AF68DA"/>
    <w:rsid w:val="00AF7016"/>
    <w:rsid w:val="00AF769D"/>
    <w:rsid w:val="00AF7B37"/>
    <w:rsid w:val="00B000BA"/>
    <w:rsid w:val="00B0032E"/>
    <w:rsid w:val="00B0041E"/>
    <w:rsid w:val="00B009EC"/>
    <w:rsid w:val="00B00C1B"/>
    <w:rsid w:val="00B00C86"/>
    <w:rsid w:val="00B00D0E"/>
    <w:rsid w:val="00B0179A"/>
    <w:rsid w:val="00B01E43"/>
    <w:rsid w:val="00B02160"/>
    <w:rsid w:val="00B0270A"/>
    <w:rsid w:val="00B02B6F"/>
    <w:rsid w:val="00B0340C"/>
    <w:rsid w:val="00B034DB"/>
    <w:rsid w:val="00B035BE"/>
    <w:rsid w:val="00B0383E"/>
    <w:rsid w:val="00B03F0E"/>
    <w:rsid w:val="00B04532"/>
    <w:rsid w:val="00B046B3"/>
    <w:rsid w:val="00B0484C"/>
    <w:rsid w:val="00B04B47"/>
    <w:rsid w:val="00B052BE"/>
    <w:rsid w:val="00B0572B"/>
    <w:rsid w:val="00B05C32"/>
    <w:rsid w:val="00B06462"/>
    <w:rsid w:val="00B0667D"/>
    <w:rsid w:val="00B06DF6"/>
    <w:rsid w:val="00B06F3A"/>
    <w:rsid w:val="00B079E2"/>
    <w:rsid w:val="00B07C68"/>
    <w:rsid w:val="00B10FE5"/>
    <w:rsid w:val="00B11BA3"/>
    <w:rsid w:val="00B11E5F"/>
    <w:rsid w:val="00B12297"/>
    <w:rsid w:val="00B125DE"/>
    <w:rsid w:val="00B12847"/>
    <w:rsid w:val="00B12C5C"/>
    <w:rsid w:val="00B12F12"/>
    <w:rsid w:val="00B13123"/>
    <w:rsid w:val="00B13164"/>
    <w:rsid w:val="00B14153"/>
    <w:rsid w:val="00B14549"/>
    <w:rsid w:val="00B147E3"/>
    <w:rsid w:val="00B148CD"/>
    <w:rsid w:val="00B14ED0"/>
    <w:rsid w:val="00B14FBB"/>
    <w:rsid w:val="00B14FC8"/>
    <w:rsid w:val="00B151B4"/>
    <w:rsid w:val="00B153D7"/>
    <w:rsid w:val="00B15C1C"/>
    <w:rsid w:val="00B15C5D"/>
    <w:rsid w:val="00B16054"/>
    <w:rsid w:val="00B163FA"/>
    <w:rsid w:val="00B16727"/>
    <w:rsid w:val="00B16AD8"/>
    <w:rsid w:val="00B16B1D"/>
    <w:rsid w:val="00B16FA9"/>
    <w:rsid w:val="00B17646"/>
    <w:rsid w:val="00B20147"/>
    <w:rsid w:val="00B2033D"/>
    <w:rsid w:val="00B20504"/>
    <w:rsid w:val="00B20756"/>
    <w:rsid w:val="00B20C3C"/>
    <w:rsid w:val="00B215FB"/>
    <w:rsid w:val="00B216D7"/>
    <w:rsid w:val="00B21FCF"/>
    <w:rsid w:val="00B22166"/>
    <w:rsid w:val="00B22328"/>
    <w:rsid w:val="00B2232B"/>
    <w:rsid w:val="00B2241D"/>
    <w:rsid w:val="00B22822"/>
    <w:rsid w:val="00B22A7E"/>
    <w:rsid w:val="00B22AD4"/>
    <w:rsid w:val="00B22CCC"/>
    <w:rsid w:val="00B22E6C"/>
    <w:rsid w:val="00B23467"/>
    <w:rsid w:val="00B23597"/>
    <w:rsid w:val="00B23D5E"/>
    <w:rsid w:val="00B24322"/>
    <w:rsid w:val="00B244F3"/>
    <w:rsid w:val="00B25593"/>
    <w:rsid w:val="00B25C41"/>
    <w:rsid w:val="00B25E61"/>
    <w:rsid w:val="00B261B5"/>
    <w:rsid w:val="00B26649"/>
    <w:rsid w:val="00B278E1"/>
    <w:rsid w:val="00B30207"/>
    <w:rsid w:val="00B30BC1"/>
    <w:rsid w:val="00B312A5"/>
    <w:rsid w:val="00B325FC"/>
    <w:rsid w:val="00B32613"/>
    <w:rsid w:val="00B328EE"/>
    <w:rsid w:val="00B328F5"/>
    <w:rsid w:val="00B32C30"/>
    <w:rsid w:val="00B32FEA"/>
    <w:rsid w:val="00B332AF"/>
    <w:rsid w:val="00B3370D"/>
    <w:rsid w:val="00B33F5C"/>
    <w:rsid w:val="00B342D7"/>
    <w:rsid w:val="00B3439A"/>
    <w:rsid w:val="00B34584"/>
    <w:rsid w:val="00B3458D"/>
    <w:rsid w:val="00B34659"/>
    <w:rsid w:val="00B346CF"/>
    <w:rsid w:val="00B349FA"/>
    <w:rsid w:val="00B34C9C"/>
    <w:rsid w:val="00B34EC9"/>
    <w:rsid w:val="00B359F0"/>
    <w:rsid w:val="00B35EA7"/>
    <w:rsid w:val="00B3631B"/>
    <w:rsid w:val="00B363E3"/>
    <w:rsid w:val="00B364CF"/>
    <w:rsid w:val="00B3730E"/>
    <w:rsid w:val="00B37632"/>
    <w:rsid w:val="00B377D9"/>
    <w:rsid w:val="00B378D5"/>
    <w:rsid w:val="00B37E58"/>
    <w:rsid w:val="00B37EA7"/>
    <w:rsid w:val="00B40392"/>
    <w:rsid w:val="00B404C9"/>
    <w:rsid w:val="00B4072E"/>
    <w:rsid w:val="00B40EC0"/>
    <w:rsid w:val="00B418C5"/>
    <w:rsid w:val="00B42115"/>
    <w:rsid w:val="00B4218B"/>
    <w:rsid w:val="00B42305"/>
    <w:rsid w:val="00B425C5"/>
    <w:rsid w:val="00B42690"/>
    <w:rsid w:val="00B427D3"/>
    <w:rsid w:val="00B429FD"/>
    <w:rsid w:val="00B42D64"/>
    <w:rsid w:val="00B42D67"/>
    <w:rsid w:val="00B4309C"/>
    <w:rsid w:val="00B4390D"/>
    <w:rsid w:val="00B43989"/>
    <w:rsid w:val="00B43DCC"/>
    <w:rsid w:val="00B43F98"/>
    <w:rsid w:val="00B443EE"/>
    <w:rsid w:val="00B44813"/>
    <w:rsid w:val="00B45CEC"/>
    <w:rsid w:val="00B4641D"/>
    <w:rsid w:val="00B469BA"/>
    <w:rsid w:val="00B469E6"/>
    <w:rsid w:val="00B46C0C"/>
    <w:rsid w:val="00B46D5F"/>
    <w:rsid w:val="00B4710C"/>
    <w:rsid w:val="00B47294"/>
    <w:rsid w:val="00B475A7"/>
    <w:rsid w:val="00B477C3"/>
    <w:rsid w:val="00B47A91"/>
    <w:rsid w:val="00B50155"/>
    <w:rsid w:val="00B502FD"/>
    <w:rsid w:val="00B50E39"/>
    <w:rsid w:val="00B50E9C"/>
    <w:rsid w:val="00B51089"/>
    <w:rsid w:val="00B513DB"/>
    <w:rsid w:val="00B516C4"/>
    <w:rsid w:val="00B51A63"/>
    <w:rsid w:val="00B51A7C"/>
    <w:rsid w:val="00B52558"/>
    <w:rsid w:val="00B527C8"/>
    <w:rsid w:val="00B52B34"/>
    <w:rsid w:val="00B52F0C"/>
    <w:rsid w:val="00B5300B"/>
    <w:rsid w:val="00B5311E"/>
    <w:rsid w:val="00B53663"/>
    <w:rsid w:val="00B53C16"/>
    <w:rsid w:val="00B53C57"/>
    <w:rsid w:val="00B53D76"/>
    <w:rsid w:val="00B5430D"/>
    <w:rsid w:val="00B54536"/>
    <w:rsid w:val="00B54633"/>
    <w:rsid w:val="00B54CAE"/>
    <w:rsid w:val="00B5506B"/>
    <w:rsid w:val="00B55168"/>
    <w:rsid w:val="00B55197"/>
    <w:rsid w:val="00B554A1"/>
    <w:rsid w:val="00B559F1"/>
    <w:rsid w:val="00B55AA1"/>
    <w:rsid w:val="00B55CD7"/>
    <w:rsid w:val="00B56060"/>
    <w:rsid w:val="00B56694"/>
    <w:rsid w:val="00B56EC1"/>
    <w:rsid w:val="00B575EC"/>
    <w:rsid w:val="00B57FA4"/>
    <w:rsid w:val="00B6048E"/>
    <w:rsid w:val="00B60509"/>
    <w:rsid w:val="00B606C2"/>
    <w:rsid w:val="00B60AB5"/>
    <w:rsid w:val="00B6113A"/>
    <w:rsid w:val="00B616EE"/>
    <w:rsid w:val="00B61F6C"/>
    <w:rsid w:val="00B61FEE"/>
    <w:rsid w:val="00B62268"/>
    <w:rsid w:val="00B631CC"/>
    <w:rsid w:val="00B634A4"/>
    <w:rsid w:val="00B637D0"/>
    <w:rsid w:val="00B637FD"/>
    <w:rsid w:val="00B63AD0"/>
    <w:rsid w:val="00B63D7D"/>
    <w:rsid w:val="00B64225"/>
    <w:rsid w:val="00B644F7"/>
    <w:rsid w:val="00B64E37"/>
    <w:rsid w:val="00B65813"/>
    <w:rsid w:val="00B65937"/>
    <w:rsid w:val="00B65A38"/>
    <w:rsid w:val="00B66237"/>
    <w:rsid w:val="00B6645E"/>
    <w:rsid w:val="00B6652E"/>
    <w:rsid w:val="00B668DB"/>
    <w:rsid w:val="00B6694D"/>
    <w:rsid w:val="00B66BE0"/>
    <w:rsid w:val="00B66BEF"/>
    <w:rsid w:val="00B671B7"/>
    <w:rsid w:val="00B6769F"/>
    <w:rsid w:val="00B67885"/>
    <w:rsid w:val="00B6797A"/>
    <w:rsid w:val="00B70212"/>
    <w:rsid w:val="00B70A9E"/>
    <w:rsid w:val="00B70CDD"/>
    <w:rsid w:val="00B70E6A"/>
    <w:rsid w:val="00B7125A"/>
    <w:rsid w:val="00B7144D"/>
    <w:rsid w:val="00B71744"/>
    <w:rsid w:val="00B720F0"/>
    <w:rsid w:val="00B723BA"/>
    <w:rsid w:val="00B7283D"/>
    <w:rsid w:val="00B729DD"/>
    <w:rsid w:val="00B72AE4"/>
    <w:rsid w:val="00B72C37"/>
    <w:rsid w:val="00B7373F"/>
    <w:rsid w:val="00B73C3E"/>
    <w:rsid w:val="00B74274"/>
    <w:rsid w:val="00B74F0D"/>
    <w:rsid w:val="00B7530C"/>
    <w:rsid w:val="00B76924"/>
    <w:rsid w:val="00B77266"/>
    <w:rsid w:val="00B775D0"/>
    <w:rsid w:val="00B77A38"/>
    <w:rsid w:val="00B77BB3"/>
    <w:rsid w:val="00B77BC0"/>
    <w:rsid w:val="00B800DB"/>
    <w:rsid w:val="00B803B8"/>
    <w:rsid w:val="00B8047B"/>
    <w:rsid w:val="00B806DF"/>
    <w:rsid w:val="00B809F1"/>
    <w:rsid w:val="00B80D52"/>
    <w:rsid w:val="00B80DFA"/>
    <w:rsid w:val="00B80E87"/>
    <w:rsid w:val="00B815EF"/>
    <w:rsid w:val="00B81607"/>
    <w:rsid w:val="00B81CB1"/>
    <w:rsid w:val="00B82948"/>
    <w:rsid w:val="00B8311A"/>
    <w:rsid w:val="00B8313E"/>
    <w:rsid w:val="00B832CE"/>
    <w:rsid w:val="00B8361C"/>
    <w:rsid w:val="00B8478E"/>
    <w:rsid w:val="00B84DC9"/>
    <w:rsid w:val="00B850AB"/>
    <w:rsid w:val="00B85476"/>
    <w:rsid w:val="00B856C2"/>
    <w:rsid w:val="00B8581F"/>
    <w:rsid w:val="00B85909"/>
    <w:rsid w:val="00B86093"/>
    <w:rsid w:val="00B86A2F"/>
    <w:rsid w:val="00B87480"/>
    <w:rsid w:val="00B87D87"/>
    <w:rsid w:val="00B905E8"/>
    <w:rsid w:val="00B908B6"/>
    <w:rsid w:val="00B90959"/>
    <w:rsid w:val="00B90CD2"/>
    <w:rsid w:val="00B90FCC"/>
    <w:rsid w:val="00B914C9"/>
    <w:rsid w:val="00B91658"/>
    <w:rsid w:val="00B91BDB"/>
    <w:rsid w:val="00B9211A"/>
    <w:rsid w:val="00B923F7"/>
    <w:rsid w:val="00B92B6E"/>
    <w:rsid w:val="00B934CB"/>
    <w:rsid w:val="00B93CF7"/>
    <w:rsid w:val="00B93F06"/>
    <w:rsid w:val="00B94297"/>
    <w:rsid w:val="00B945C7"/>
    <w:rsid w:val="00B947CB"/>
    <w:rsid w:val="00B94B1D"/>
    <w:rsid w:val="00B94EA0"/>
    <w:rsid w:val="00B959A9"/>
    <w:rsid w:val="00B96020"/>
    <w:rsid w:val="00B96A34"/>
    <w:rsid w:val="00B9736E"/>
    <w:rsid w:val="00B977A6"/>
    <w:rsid w:val="00B97859"/>
    <w:rsid w:val="00BA038B"/>
    <w:rsid w:val="00BA09E6"/>
    <w:rsid w:val="00BA0C62"/>
    <w:rsid w:val="00BA0DB0"/>
    <w:rsid w:val="00BA1178"/>
    <w:rsid w:val="00BA1B14"/>
    <w:rsid w:val="00BA1EDB"/>
    <w:rsid w:val="00BA3C44"/>
    <w:rsid w:val="00BA4F36"/>
    <w:rsid w:val="00BA57A1"/>
    <w:rsid w:val="00BA5AAD"/>
    <w:rsid w:val="00BA5E06"/>
    <w:rsid w:val="00BA6134"/>
    <w:rsid w:val="00BA72CA"/>
    <w:rsid w:val="00BA74DB"/>
    <w:rsid w:val="00BA7F00"/>
    <w:rsid w:val="00BB05FA"/>
    <w:rsid w:val="00BB0A58"/>
    <w:rsid w:val="00BB0C5D"/>
    <w:rsid w:val="00BB0DD3"/>
    <w:rsid w:val="00BB1D08"/>
    <w:rsid w:val="00BB1EA8"/>
    <w:rsid w:val="00BB1F98"/>
    <w:rsid w:val="00BB2844"/>
    <w:rsid w:val="00BB2A70"/>
    <w:rsid w:val="00BB2B32"/>
    <w:rsid w:val="00BB3BFC"/>
    <w:rsid w:val="00BB4628"/>
    <w:rsid w:val="00BB4BA3"/>
    <w:rsid w:val="00BB4E43"/>
    <w:rsid w:val="00BB4E71"/>
    <w:rsid w:val="00BB4FE8"/>
    <w:rsid w:val="00BB5B54"/>
    <w:rsid w:val="00BB5B78"/>
    <w:rsid w:val="00BB5F7B"/>
    <w:rsid w:val="00BB653D"/>
    <w:rsid w:val="00BB67F7"/>
    <w:rsid w:val="00BB70CB"/>
    <w:rsid w:val="00BB70EA"/>
    <w:rsid w:val="00BB74D4"/>
    <w:rsid w:val="00BB7557"/>
    <w:rsid w:val="00BB7699"/>
    <w:rsid w:val="00BB775D"/>
    <w:rsid w:val="00BB7C45"/>
    <w:rsid w:val="00BC0090"/>
    <w:rsid w:val="00BC02EF"/>
    <w:rsid w:val="00BC040E"/>
    <w:rsid w:val="00BC04F6"/>
    <w:rsid w:val="00BC10A2"/>
    <w:rsid w:val="00BC1329"/>
    <w:rsid w:val="00BC1577"/>
    <w:rsid w:val="00BC1770"/>
    <w:rsid w:val="00BC1FF8"/>
    <w:rsid w:val="00BC25DF"/>
    <w:rsid w:val="00BC31A5"/>
    <w:rsid w:val="00BC3616"/>
    <w:rsid w:val="00BC3886"/>
    <w:rsid w:val="00BC38D2"/>
    <w:rsid w:val="00BC4821"/>
    <w:rsid w:val="00BC5152"/>
    <w:rsid w:val="00BC5801"/>
    <w:rsid w:val="00BC5AA4"/>
    <w:rsid w:val="00BC5C2A"/>
    <w:rsid w:val="00BC6CA8"/>
    <w:rsid w:val="00BC6CFD"/>
    <w:rsid w:val="00BC6F26"/>
    <w:rsid w:val="00BC7282"/>
    <w:rsid w:val="00BC73ED"/>
    <w:rsid w:val="00BC76A6"/>
    <w:rsid w:val="00BC7DF9"/>
    <w:rsid w:val="00BC7E65"/>
    <w:rsid w:val="00BC7F3C"/>
    <w:rsid w:val="00BD029C"/>
    <w:rsid w:val="00BD0888"/>
    <w:rsid w:val="00BD0B0E"/>
    <w:rsid w:val="00BD0C52"/>
    <w:rsid w:val="00BD0CA3"/>
    <w:rsid w:val="00BD13C2"/>
    <w:rsid w:val="00BD22ED"/>
    <w:rsid w:val="00BD2408"/>
    <w:rsid w:val="00BD27DB"/>
    <w:rsid w:val="00BD2927"/>
    <w:rsid w:val="00BD2EAD"/>
    <w:rsid w:val="00BD30DA"/>
    <w:rsid w:val="00BD35AF"/>
    <w:rsid w:val="00BD364D"/>
    <w:rsid w:val="00BD3CFE"/>
    <w:rsid w:val="00BD3D70"/>
    <w:rsid w:val="00BD3D93"/>
    <w:rsid w:val="00BD3F48"/>
    <w:rsid w:val="00BD454E"/>
    <w:rsid w:val="00BD4639"/>
    <w:rsid w:val="00BD4973"/>
    <w:rsid w:val="00BD4FE1"/>
    <w:rsid w:val="00BD5381"/>
    <w:rsid w:val="00BD5A59"/>
    <w:rsid w:val="00BD5BF2"/>
    <w:rsid w:val="00BD5D5C"/>
    <w:rsid w:val="00BD6189"/>
    <w:rsid w:val="00BD66BB"/>
    <w:rsid w:val="00BD6C3A"/>
    <w:rsid w:val="00BD76E0"/>
    <w:rsid w:val="00BD799D"/>
    <w:rsid w:val="00BE0709"/>
    <w:rsid w:val="00BE091C"/>
    <w:rsid w:val="00BE0E8D"/>
    <w:rsid w:val="00BE0F7E"/>
    <w:rsid w:val="00BE1492"/>
    <w:rsid w:val="00BE18B5"/>
    <w:rsid w:val="00BE18EB"/>
    <w:rsid w:val="00BE18FE"/>
    <w:rsid w:val="00BE2012"/>
    <w:rsid w:val="00BE2102"/>
    <w:rsid w:val="00BE25DC"/>
    <w:rsid w:val="00BE2963"/>
    <w:rsid w:val="00BE30C1"/>
    <w:rsid w:val="00BE3A35"/>
    <w:rsid w:val="00BE3B94"/>
    <w:rsid w:val="00BE43B6"/>
    <w:rsid w:val="00BE455E"/>
    <w:rsid w:val="00BE45E0"/>
    <w:rsid w:val="00BE4964"/>
    <w:rsid w:val="00BE4CC1"/>
    <w:rsid w:val="00BE5119"/>
    <w:rsid w:val="00BE5F6C"/>
    <w:rsid w:val="00BE619E"/>
    <w:rsid w:val="00BE633C"/>
    <w:rsid w:val="00BE67CB"/>
    <w:rsid w:val="00BE6CC7"/>
    <w:rsid w:val="00BE6DBB"/>
    <w:rsid w:val="00BE6FD8"/>
    <w:rsid w:val="00BE7077"/>
    <w:rsid w:val="00BE7646"/>
    <w:rsid w:val="00BE77BF"/>
    <w:rsid w:val="00BE7DA6"/>
    <w:rsid w:val="00BE7EEE"/>
    <w:rsid w:val="00BF014E"/>
    <w:rsid w:val="00BF0449"/>
    <w:rsid w:val="00BF0820"/>
    <w:rsid w:val="00BF0B50"/>
    <w:rsid w:val="00BF1257"/>
    <w:rsid w:val="00BF2430"/>
    <w:rsid w:val="00BF2A42"/>
    <w:rsid w:val="00BF2D23"/>
    <w:rsid w:val="00BF3129"/>
    <w:rsid w:val="00BF3396"/>
    <w:rsid w:val="00BF345F"/>
    <w:rsid w:val="00BF3891"/>
    <w:rsid w:val="00BF44AB"/>
    <w:rsid w:val="00BF54FB"/>
    <w:rsid w:val="00BF5618"/>
    <w:rsid w:val="00BF582C"/>
    <w:rsid w:val="00BF5AFB"/>
    <w:rsid w:val="00BF6367"/>
    <w:rsid w:val="00BF6531"/>
    <w:rsid w:val="00BF683C"/>
    <w:rsid w:val="00BF6A91"/>
    <w:rsid w:val="00BF6B13"/>
    <w:rsid w:val="00BF6D77"/>
    <w:rsid w:val="00BF74F5"/>
    <w:rsid w:val="00BF754C"/>
    <w:rsid w:val="00BF7AEC"/>
    <w:rsid w:val="00BF7CF1"/>
    <w:rsid w:val="00C0035F"/>
    <w:rsid w:val="00C008C6"/>
    <w:rsid w:val="00C008DB"/>
    <w:rsid w:val="00C008FC"/>
    <w:rsid w:val="00C0099A"/>
    <w:rsid w:val="00C00C2A"/>
    <w:rsid w:val="00C00C47"/>
    <w:rsid w:val="00C0113C"/>
    <w:rsid w:val="00C026E7"/>
    <w:rsid w:val="00C0296C"/>
    <w:rsid w:val="00C02CAA"/>
    <w:rsid w:val="00C02F9D"/>
    <w:rsid w:val="00C03621"/>
    <w:rsid w:val="00C03A15"/>
    <w:rsid w:val="00C03DFE"/>
    <w:rsid w:val="00C03E05"/>
    <w:rsid w:val="00C03EB1"/>
    <w:rsid w:val="00C0413C"/>
    <w:rsid w:val="00C044A0"/>
    <w:rsid w:val="00C044D0"/>
    <w:rsid w:val="00C045DB"/>
    <w:rsid w:val="00C04C25"/>
    <w:rsid w:val="00C058F3"/>
    <w:rsid w:val="00C05A8B"/>
    <w:rsid w:val="00C05F2C"/>
    <w:rsid w:val="00C05FE7"/>
    <w:rsid w:val="00C06740"/>
    <w:rsid w:val="00C067B2"/>
    <w:rsid w:val="00C06AE5"/>
    <w:rsid w:val="00C06CB6"/>
    <w:rsid w:val="00C07160"/>
    <w:rsid w:val="00C073C5"/>
    <w:rsid w:val="00C07A79"/>
    <w:rsid w:val="00C07D4B"/>
    <w:rsid w:val="00C100C0"/>
    <w:rsid w:val="00C10516"/>
    <w:rsid w:val="00C107AC"/>
    <w:rsid w:val="00C107DA"/>
    <w:rsid w:val="00C10A30"/>
    <w:rsid w:val="00C10E32"/>
    <w:rsid w:val="00C114F6"/>
    <w:rsid w:val="00C11B24"/>
    <w:rsid w:val="00C11E35"/>
    <w:rsid w:val="00C11E40"/>
    <w:rsid w:val="00C11E46"/>
    <w:rsid w:val="00C11F09"/>
    <w:rsid w:val="00C1267C"/>
    <w:rsid w:val="00C138BA"/>
    <w:rsid w:val="00C13ABB"/>
    <w:rsid w:val="00C13E96"/>
    <w:rsid w:val="00C13F8B"/>
    <w:rsid w:val="00C1431B"/>
    <w:rsid w:val="00C14382"/>
    <w:rsid w:val="00C14793"/>
    <w:rsid w:val="00C14AC4"/>
    <w:rsid w:val="00C14BCF"/>
    <w:rsid w:val="00C15255"/>
    <w:rsid w:val="00C1549C"/>
    <w:rsid w:val="00C15CC6"/>
    <w:rsid w:val="00C1697D"/>
    <w:rsid w:val="00C16B54"/>
    <w:rsid w:val="00C173DF"/>
    <w:rsid w:val="00C176EC"/>
    <w:rsid w:val="00C1798A"/>
    <w:rsid w:val="00C17C1F"/>
    <w:rsid w:val="00C17E5C"/>
    <w:rsid w:val="00C17F90"/>
    <w:rsid w:val="00C20C49"/>
    <w:rsid w:val="00C2131A"/>
    <w:rsid w:val="00C21574"/>
    <w:rsid w:val="00C21788"/>
    <w:rsid w:val="00C21EB3"/>
    <w:rsid w:val="00C21F67"/>
    <w:rsid w:val="00C223A8"/>
    <w:rsid w:val="00C223FA"/>
    <w:rsid w:val="00C227A8"/>
    <w:rsid w:val="00C2287C"/>
    <w:rsid w:val="00C22EAB"/>
    <w:rsid w:val="00C2359B"/>
    <w:rsid w:val="00C2370A"/>
    <w:rsid w:val="00C24245"/>
    <w:rsid w:val="00C2440E"/>
    <w:rsid w:val="00C25184"/>
    <w:rsid w:val="00C25283"/>
    <w:rsid w:val="00C25616"/>
    <w:rsid w:val="00C25A89"/>
    <w:rsid w:val="00C25AEF"/>
    <w:rsid w:val="00C25BA9"/>
    <w:rsid w:val="00C26164"/>
    <w:rsid w:val="00C268EC"/>
    <w:rsid w:val="00C26B65"/>
    <w:rsid w:val="00C273FD"/>
    <w:rsid w:val="00C27F85"/>
    <w:rsid w:val="00C304CD"/>
    <w:rsid w:val="00C30535"/>
    <w:rsid w:val="00C305C3"/>
    <w:rsid w:val="00C31442"/>
    <w:rsid w:val="00C32BE1"/>
    <w:rsid w:val="00C32EAE"/>
    <w:rsid w:val="00C32F61"/>
    <w:rsid w:val="00C3346B"/>
    <w:rsid w:val="00C33B04"/>
    <w:rsid w:val="00C33CF7"/>
    <w:rsid w:val="00C33FCF"/>
    <w:rsid w:val="00C34016"/>
    <w:rsid w:val="00C34138"/>
    <w:rsid w:val="00C341B0"/>
    <w:rsid w:val="00C34BC3"/>
    <w:rsid w:val="00C353A0"/>
    <w:rsid w:val="00C353AC"/>
    <w:rsid w:val="00C355E6"/>
    <w:rsid w:val="00C3567E"/>
    <w:rsid w:val="00C358BF"/>
    <w:rsid w:val="00C36036"/>
    <w:rsid w:val="00C36420"/>
    <w:rsid w:val="00C364FC"/>
    <w:rsid w:val="00C3671B"/>
    <w:rsid w:val="00C36A7F"/>
    <w:rsid w:val="00C36A90"/>
    <w:rsid w:val="00C36C87"/>
    <w:rsid w:val="00C36D47"/>
    <w:rsid w:val="00C372ED"/>
    <w:rsid w:val="00C3773A"/>
    <w:rsid w:val="00C37884"/>
    <w:rsid w:val="00C37D3F"/>
    <w:rsid w:val="00C40375"/>
    <w:rsid w:val="00C403CE"/>
    <w:rsid w:val="00C40D85"/>
    <w:rsid w:val="00C4120A"/>
    <w:rsid w:val="00C418AF"/>
    <w:rsid w:val="00C41DE2"/>
    <w:rsid w:val="00C41F20"/>
    <w:rsid w:val="00C42176"/>
    <w:rsid w:val="00C423CE"/>
    <w:rsid w:val="00C4243D"/>
    <w:rsid w:val="00C42478"/>
    <w:rsid w:val="00C42500"/>
    <w:rsid w:val="00C42604"/>
    <w:rsid w:val="00C42B99"/>
    <w:rsid w:val="00C42C95"/>
    <w:rsid w:val="00C43075"/>
    <w:rsid w:val="00C4344D"/>
    <w:rsid w:val="00C43749"/>
    <w:rsid w:val="00C43D7F"/>
    <w:rsid w:val="00C44148"/>
    <w:rsid w:val="00C4430C"/>
    <w:rsid w:val="00C44347"/>
    <w:rsid w:val="00C444B7"/>
    <w:rsid w:val="00C444BA"/>
    <w:rsid w:val="00C44867"/>
    <w:rsid w:val="00C4510E"/>
    <w:rsid w:val="00C45257"/>
    <w:rsid w:val="00C458E8"/>
    <w:rsid w:val="00C45D60"/>
    <w:rsid w:val="00C46042"/>
    <w:rsid w:val="00C46E14"/>
    <w:rsid w:val="00C474BE"/>
    <w:rsid w:val="00C4788A"/>
    <w:rsid w:val="00C50071"/>
    <w:rsid w:val="00C50905"/>
    <w:rsid w:val="00C509BD"/>
    <w:rsid w:val="00C512BF"/>
    <w:rsid w:val="00C51501"/>
    <w:rsid w:val="00C515A9"/>
    <w:rsid w:val="00C51957"/>
    <w:rsid w:val="00C51AC3"/>
    <w:rsid w:val="00C51EBC"/>
    <w:rsid w:val="00C51FB7"/>
    <w:rsid w:val="00C51FD2"/>
    <w:rsid w:val="00C52074"/>
    <w:rsid w:val="00C525EA"/>
    <w:rsid w:val="00C52840"/>
    <w:rsid w:val="00C52BCA"/>
    <w:rsid w:val="00C53520"/>
    <w:rsid w:val="00C53A5A"/>
    <w:rsid w:val="00C53AE5"/>
    <w:rsid w:val="00C53CF6"/>
    <w:rsid w:val="00C53D79"/>
    <w:rsid w:val="00C53EEA"/>
    <w:rsid w:val="00C54038"/>
    <w:rsid w:val="00C541CF"/>
    <w:rsid w:val="00C54D18"/>
    <w:rsid w:val="00C550CE"/>
    <w:rsid w:val="00C55446"/>
    <w:rsid w:val="00C557D3"/>
    <w:rsid w:val="00C55B65"/>
    <w:rsid w:val="00C55D0B"/>
    <w:rsid w:val="00C560C5"/>
    <w:rsid w:val="00C566B8"/>
    <w:rsid w:val="00C56C29"/>
    <w:rsid w:val="00C57350"/>
    <w:rsid w:val="00C57366"/>
    <w:rsid w:val="00C5755E"/>
    <w:rsid w:val="00C57707"/>
    <w:rsid w:val="00C57F83"/>
    <w:rsid w:val="00C57FD1"/>
    <w:rsid w:val="00C60069"/>
    <w:rsid w:val="00C60142"/>
    <w:rsid w:val="00C60436"/>
    <w:rsid w:val="00C60717"/>
    <w:rsid w:val="00C60A2F"/>
    <w:rsid w:val="00C60F6B"/>
    <w:rsid w:val="00C60FDE"/>
    <w:rsid w:val="00C613F6"/>
    <w:rsid w:val="00C6152E"/>
    <w:rsid w:val="00C619B7"/>
    <w:rsid w:val="00C621A7"/>
    <w:rsid w:val="00C622DC"/>
    <w:rsid w:val="00C626B2"/>
    <w:rsid w:val="00C628DF"/>
    <w:rsid w:val="00C62FE3"/>
    <w:rsid w:val="00C63391"/>
    <w:rsid w:val="00C647A8"/>
    <w:rsid w:val="00C649DF"/>
    <w:rsid w:val="00C64B2C"/>
    <w:rsid w:val="00C655A0"/>
    <w:rsid w:val="00C65A89"/>
    <w:rsid w:val="00C65FA9"/>
    <w:rsid w:val="00C663D7"/>
    <w:rsid w:val="00C66535"/>
    <w:rsid w:val="00C66552"/>
    <w:rsid w:val="00C6660C"/>
    <w:rsid w:val="00C66B81"/>
    <w:rsid w:val="00C66E11"/>
    <w:rsid w:val="00C66EC7"/>
    <w:rsid w:val="00C66FE3"/>
    <w:rsid w:val="00C67027"/>
    <w:rsid w:val="00C670A4"/>
    <w:rsid w:val="00C6720C"/>
    <w:rsid w:val="00C677E7"/>
    <w:rsid w:val="00C67C71"/>
    <w:rsid w:val="00C7030A"/>
    <w:rsid w:val="00C70976"/>
    <w:rsid w:val="00C70B5F"/>
    <w:rsid w:val="00C70C71"/>
    <w:rsid w:val="00C713E3"/>
    <w:rsid w:val="00C71B04"/>
    <w:rsid w:val="00C71D81"/>
    <w:rsid w:val="00C71FD0"/>
    <w:rsid w:val="00C72665"/>
    <w:rsid w:val="00C72B21"/>
    <w:rsid w:val="00C72F25"/>
    <w:rsid w:val="00C72FA6"/>
    <w:rsid w:val="00C738E8"/>
    <w:rsid w:val="00C73A01"/>
    <w:rsid w:val="00C73B11"/>
    <w:rsid w:val="00C73E44"/>
    <w:rsid w:val="00C7450B"/>
    <w:rsid w:val="00C7459C"/>
    <w:rsid w:val="00C7474B"/>
    <w:rsid w:val="00C748B3"/>
    <w:rsid w:val="00C749DF"/>
    <w:rsid w:val="00C74C0E"/>
    <w:rsid w:val="00C74D3A"/>
    <w:rsid w:val="00C74E56"/>
    <w:rsid w:val="00C74E8D"/>
    <w:rsid w:val="00C74FD7"/>
    <w:rsid w:val="00C75276"/>
    <w:rsid w:val="00C7527E"/>
    <w:rsid w:val="00C75B06"/>
    <w:rsid w:val="00C75E0B"/>
    <w:rsid w:val="00C75F20"/>
    <w:rsid w:val="00C7634B"/>
    <w:rsid w:val="00C76A87"/>
    <w:rsid w:val="00C76E49"/>
    <w:rsid w:val="00C7740D"/>
    <w:rsid w:val="00C77501"/>
    <w:rsid w:val="00C776A4"/>
    <w:rsid w:val="00C7782F"/>
    <w:rsid w:val="00C77BFC"/>
    <w:rsid w:val="00C8067D"/>
    <w:rsid w:val="00C819D9"/>
    <w:rsid w:val="00C81E0D"/>
    <w:rsid w:val="00C81E9B"/>
    <w:rsid w:val="00C820ED"/>
    <w:rsid w:val="00C82289"/>
    <w:rsid w:val="00C82A50"/>
    <w:rsid w:val="00C83555"/>
    <w:rsid w:val="00C83686"/>
    <w:rsid w:val="00C847B3"/>
    <w:rsid w:val="00C849DD"/>
    <w:rsid w:val="00C84A5C"/>
    <w:rsid w:val="00C84DD7"/>
    <w:rsid w:val="00C84FBF"/>
    <w:rsid w:val="00C85473"/>
    <w:rsid w:val="00C85A84"/>
    <w:rsid w:val="00C85B58"/>
    <w:rsid w:val="00C85D1B"/>
    <w:rsid w:val="00C86096"/>
    <w:rsid w:val="00C86278"/>
    <w:rsid w:val="00C8640E"/>
    <w:rsid w:val="00C86428"/>
    <w:rsid w:val="00C86523"/>
    <w:rsid w:val="00C86A59"/>
    <w:rsid w:val="00C86FB1"/>
    <w:rsid w:val="00C870BA"/>
    <w:rsid w:val="00C90199"/>
    <w:rsid w:val="00C903C4"/>
    <w:rsid w:val="00C9080A"/>
    <w:rsid w:val="00C90844"/>
    <w:rsid w:val="00C909D0"/>
    <w:rsid w:val="00C90DAB"/>
    <w:rsid w:val="00C910D9"/>
    <w:rsid w:val="00C91117"/>
    <w:rsid w:val="00C9126D"/>
    <w:rsid w:val="00C9147D"/>
    <w:rsid w:val="00C92974"/>
    <w:rsid w:val="00C932FC"/>
    <w:rsid w:val="00C93430"/>
    <w:rsid w:val="00C9359C"/>
    <w:rsid w:val="00C93604"/>
    <w:rsid w:val="00C93D71"/>
    <w:rsid w:val="00C941DE"/>
    <w:rsid w:val="00C9487F"/>
    <w:rsid w:val="00C952C1"/>
    <w:rsid w:val="00C95536"/>
    <w:rsid w:val="00C95D08"/>
    <w:rsid w:val="00C95F82"/>
    <w:rsid w:val="00C96430"/>
    <w:rsid w:val="00C9704C"/>
    <w:rsid w:val="00C97424"/>
    <w:rsid w:val="00C97C85"/>
    <w:rsid w:val="00C97EFF"/>
    <w:rsid w:val="00CA032E"/>
    <w:rsid w:val="00CA1B2F"/>
    <w:rsid w:val="00CA1F13"/>
    <w:rsid w:val="00CA201C"/>
    <w:rsid w:val="00CA2025"/>
    <w:rsid w:val="00CA266F"/>
    <w:rsid w:val="00CA28A0"/>
    <w:rsid w:val="00CA2B46"/>
    <w:rsid w:val="00CA2B75"/>
    <w:rsid w:val="00CA349A"/>
    <w:rsid w:val="00CA3C59"/>
    <w:rsid w:val="00CA4157"/>
    <w:rsid w:val="00CA41B3"/>
    <w:rsid w:val="00CA4236"/>
    <w:rsid w:val="00CA484B"/>
    <w:rsid w:val="00CA4F07"/>
    <w:rsid w:val="00CA5C3E"/>
    <w:rsid w:val="00CA604D"/>
    <w:rsid w:val="00CA680F"/>
    <w:rsid w:val="00CA6ADE"/>
    <w:rsid w:val="00CA6F26"/>
    <w:rsid w:val="00CA7136"/>
    <w:rsid w:val="00CB0350"/>
    <w:rsid w:val="00CB09F5"/>
    <w:rsid w:val="00CB10A3"/>
    <w:rsid w:val="00CB141F"/>
    <w:rsid w:val="00CB1619"/>
    <w:rsid w:val="00CB166E"/>
    <w:rsid w:val="00CB1F1A"/>
    <w:rsid w:val="00CB2119"/>
    <w:rsid w:val="00CB2B31"/>
    <w:rsid w:val="00CB2BBC"/>
    <w:rsid w:val="00CB3413"/>
    <w:rsid w:val="00CB3A78"/>
    <w:rsid w:val="00CB3DBD"/>
    <w:rsid w:val="00CB4751"/>
    <w:rsid w:val="00CB506D"/>
    <w:rsid w:val="00CB5DBD"/>
    <w:rsid w:val="00CB5EF7"/>
    <w:rsid w:val="00CB62EA"/>
    <w:rsid w:val="00CB654D"/>
    <w:rsid w:val="00CB6D33"/>
    <w:rsid w:val="00CB6F1A"/>
    <w:rsid w:val="00CB7421"/>
    <w:rsid w:val="00CB7911"/>
    <w:rsid w:val="00CC0156"/>
    <w:rsid w:val="00CC0260"/>
    <w:rsid w:val="00CC0333"/>
    <w:rsid w:val="00CC1006"/>
    <w:rsid w:val="00CC1507"/>
    <w:rsid w:val="00CC16D5"/>
    <w:rsid w:val="00CC1E3F"/>
    <w:rsid w:val="00CC229B"/>
    <w:rsid w:val="00CC22AC"/>
    <w:rsid w:val="00CC2938"/>
    <w:rsid w:val="00CC3280"/>
    <w:rsid w:val="00CC3497"/>
    <w:rsid w:val="00CC3A99"/>
    <w:rsid w:val="00CC3C75"/>
    <w:rsid w:val="00CC3DCE"/>
    <w:rsid w:val="00CC410E"/>
    <w:rsid w:val="00CC4516"/>
    <w:rsid w:val="00CC4685"/>
    <w:rsid w:val="00CC4789"/>
    <w:rsid w:val="00CC4AD1"/>
    <w:rsid w:val="00CC4C61"/>
    <w:rsid w:val="00CC5378"/>
    <w:rsid w:val="00CC54B3"/>
    <w:rsid w:val="00CC5E6C"/>
    <w:rsid w:val="00CC62E8"/>
    <w:rsid w:val="00CC6E60"/>
    <w:rsid w:val="00CC7265"/>
    <w:rsid w:val="00CC728A"/>
    <w:rsid w:val="00CC736C"/>
    <w:rsid w:val="00CC75A0"/>
    <w:rsid w:val="00CC7702"/>
    <w:rsid w:val="00CC7787"/>
    <w:rsid w:val="00CC795E"/>
    <w:rsid w:val="00CC7B08"/>
    <w:rsid w:val="00CD0050"/>
    <w:rsid w:val="00CD013D"/>
    <w:rsid w:val="00CD054A"/>
    <w:rsid w:val="00CD0F39"/>
    <w:rsid w:val="00CD1286"/>
    <w:rsid w:val="00CD1CC3"/>
    <w:rsid w:val="00CD31EF"/>
    <w:rsid w:val="00CD3488"/>
    <w:rsid w:val="00CD3ACF"/>
    <w:rsid w:val="00CD3DC2"/>
    <w:rsid w:val="00CD48FE"/>
    <w:rsid w:val="00CD49EB"/>
    <w:rsid w:val="00CD4BC1"/>
    <w:rsid w:val="00CD4E66"/>
    <w:rsid w:val="00CD4F67"/>
    <w:rsid w:val="00CD546D"/>
    <w:rsid w:val="00CD5492"/>
    <w:rsid w:val="00CD54EB"/>
    <w:rsid w:val="00CD561A"/>
    <w:rsid w:val="00CD56B1"/>
    <w:rsid w:val="00CD5748"/>
    <w:rsid w:val="00CD5917"/>
    <w:rsid w:val="00CD598D"/>
    <w:rsid w:val="00CD5D1F"/>
    <w:rsid w:val="00CD5D74"/>
    <w:rsid w:val="00CD6544"/>
    <w:rsid w:val="00CD71C5"/>
    <w:rsid w:val="00CD72D2"/>
    <w:rsid w:val="00CD76B0"/>
    <w:rsid w:val="00CD7AFE"/>
    <w:rsid w:val="00CE0009"/>
    <w:rsid w:val="00CE02FE"/>
    <w:rsid w:val="00CE03D7"/>
    <w:rsid w:val="00CE0448"/>
    <w:rsid w:val="00CE05D1"/>
    <w:rsid w:val="00CE060D"/>
    <w:rsid w:val="00CE103B"/>
    <w:rsid w:val="00CE1492"/>
    <w:rsid w:val="00CE1C21"/>
    <w:rsid w:val="00CE1D8A"/>
    <w:rsid w:val="00CE22F9"/>
    <w:rsid w:val="00CE238A"/>
    <w:rsid w:val="00CE26F1"/>
    <w:rsid w:val="00CE290B"/>
    <w:rsid w:val="00CE2D5F"/>
    <w:rsid w:val="00CE2FF3"/>
    <w:rsid w:val="00CE309E"/>
    <w:rsid w:val="00CE367E"/>
    <w:rsid w:val="00CE4967"/>
    <w:rsid w:val="00CE4B46"/>
    <w:rsid w:val="00CE4E2D"/>
    <w:rsid w:val="00CE50E2"/>
    <w:rsid w:val="00CE54A9"/>
    <w:rsid w:val="00CE57DB"/>
    <w:rsid w:val="00CE6012"/>
    <w:rsid w:val="00CE6F4C"/>
    <w:rsid w:val="00CE733A"/>
    <w:rsid w:val="00CE769C"/>
    <w:rsid w:val="00CE76C0"/>
    <w:rsid w:val="00CE7F66"/>
    <w:rsid w:val="00CF018D"/>
    <w:rsid w:val="00CF0296"/>
    <w:rsid w:val="00CF029F"/>
    <w:rsid w:val="00CF0446"/>
    <w:rsid w:val="00CF08B0"/>
    <w:rsid w:val="00CF0DA9"/>
    <w:rsid w:val="00CF1752"/>
    <w:rsid w:val="00CF1DCC"/>
    <w:rsid w:val="00CF207C"/>
    <w:rsid w:val="00CF20EE"/>
    <w:rsid w:val="00CF2BEE"/>
    <w:rsid w:val="00CF3236"/>
    <w:rsid w:val="00CF338D"/>
    <w:rsid w:val="00CF3689"/>
    <w:rsid w:val="00CF39A6"/>
    <w:rsid w:val="00CF45DD"/>
    <w:rsid w:val="00CF4731"/>
    <w:rsid w:val="00CF4750"/>
    <w:rsid w:val="00CF4A00"/>
    <w:rsid w:val="00CF4C23"/>
    <w:rsid w:val="00CF4E7E"/>
    <w:rsid w:val="00CF4F30"/>
    <w:rsid w:val="00CF5363"/>
    <w:rsid w:val="00CF65B5"/>
    <w:rsid w:val="00CF67AE"/>
    <w:rsid w:val="00CF698E"/>
    <w:rsid w:val="00CF6A56"/>
    <w:rsid w:val="00CF6DA4"/>
    <w:rsid w:val="00CF7003"/>
    <w:rsid w:val="00CF7513"/>
    <w:rsid w:val="00CF7614"/>
    <w:rsid w:val="00CF7652"/>
    <w:rsid w:val="00CF7FF6"/>
    <w:rsid w:val="00D00270"/>
    <w:rsid w:val="00D006F4"/>
    <w:rsid w:val="00D00848"/>
    <w:rsid w:val="00D00974"/>
    <w:rsid w:val="00D00B9F"/>
    <w:rsid w:val="00D018E3"/>
    <w:rsid w:val="00D01EC7"/>
    <w:rsid w:val="00D02B70"/>
    <w:rsid w:val="00D03009"/>
    <w:rsid w:val="00D03EE3"/>
    <w:rsid w:val="00D0412A"/>
    <w:rsid w:val="00D041A2"/>
    <w:rsid w:val="00D04280"/>
    <w:rsid w:val="00D044D5"/>
    <w:rsid w:val="00D04C22"/>
    <w:rsid w:val="00D04DA0"/>
    <w:rsid w:val="00D04E66"/>
    <w:rsid w:val="00D04ED1"/>
    <w:rsid w:val="00D04FFF"/>
    <w:rsid w:val="00D0508D"/>
    <w:rsid w:val="00D051B3"/>
    <w:rsid w:val="00D05C54"/>
    <w:rsid w:val="00D05E0B"/>
    <w:rsid w:val="00D068AB"/>
    <w:rsid w:val="00D06A4E"/>
    <w:rsid w:val="00D06B9B"/>
    <w:rsid w:val="00D07329"/>
    <w:rsid w:val="00D07AB9"/>
    <w:rsid w:val="00D07C2B"/>
    <w:rsid w:val="00D106B8"/>
    <w:rsid w:val="00D1089B"/>
    <w:rsid w:val="00D10E5F"/>
    <w:rsid w:val="00D111DB"/>
    <w:rsid w:val="00D113ED"/>
    <w:rsid w:val="00D1245B"/>
    <w:rsid w:val="00D129C5"/>
    <w:rsid w:val="00D12F69"/>
    <w:rsid w:val="00D1314D"/>
    <w:rsid w:val="00D136A4"/>
    <w:rsid w:val="00D1385E"/>
    <w:rsid w:val="00D1390B"/>
    <w:rsid w:val="00D139DA"/>
    <w:rsid w:val="00D13ADC"/>
    <w:rsid w:val="00D14419"/>
    <w:rsid w:val="00D14434"/>
    <w:rsid w:val="00D14F33"/>
    <w:rsid w:val="00D1544F"/>
    <w:rsid w:val="00D157F0"/>
    <w:rsid w:val="00D165E2"/>
    <w:rsid w:val="00D16862"/>
    <w:rsid w:val="00D169B9"/>
    <w:rsid w:val="00D16B06"/>
    <w:rsid w:val="00D17554"/>
    <w:rsid w:val="00D17E66"/>
    <w:rsid w:val="00D20A62"/>
    <w:rsid w:val="00D20C65"/>
    <w:rsid w:val="00D21370"/>
    <w:rsid w:val="00D21540"/>
    <w:rsid w:val="00D21896"/>
    <w:rsid w:val="00D218AD"/>
    <w:rsid w:val="00D218DA"/>
    <w:rsid w:val="00D21DC1"/>
    <w:rsid w:val="00D22114"/>
    <w:rsid w:val="00D22A89"/>
    <w:rsid w:val="00D22B77"/>
    <w:rsid w:val="00D22BF0"/>
    <w:rsid w:val="00D22FB6"/>
    <w:rsid w:val="00D2311C"/>
    <w:rsid w:val="00D233DD"/>
    <w:rsid w:val="00D23B6F"/>
    <w:rsid w:val="00D23BAB"/>
    <w:rsid w:val="00D23E35"/>
    <w:rsid w:val="00D24395"/>
    <w:rsid w:val="00D24456"/>
    <w:rsid w:val="00D24635"/>
    <w:rsid w:val="00D2488A"/>
    <w:rsid w:val="00D24936"/>
    <w:rsid w:val="00D24CBB"/>
    <w:rsid w:val="00D24F0B"/>
    <w:rsid w:val="00D24FA3"/>
    <w:rsid w:val="00D25006"/>
    <w:rsid w:val="00D251A4"/>
    <w:rsid w:val="00D252A1"/>
    <w:rsid w:val="00D26107"/>
    <w:rsid w:val="00D26A56"/>
    <w:rsid w:val="00D26AB3"/>
    <w:rsid w:val="00D26DF4"/>
    <w:rsid w:val="00D273B2"/>
    <w:rsid w:val="00D27777"/>
    <w:rsid w:val="00D27AE9"/>
    <w:rsid w:val="00D27BCE"/>
    <w:rsid w:val="00D27F9A"/>
    <w:rsid w:val="00D27FD1"/>
    <w:rsid w:val="00D3089A"/>
    <w:rsid w:val="00D30ED1"/>
    <w:rsid w:val="00D313A3"/>
    <w:rsid w:val="00D3149A"/>
    <w:rsid w:val="00D31A79"/>
    <w:rsid w:val="00D31C0E"/>
    <w:rsid w:val="00D3219D"/>
    <w:rsid w:val="00D321E4"/>
    <w:rsid w:val="00D32309"/>
    <w:rsid w:val="00D329CE"/>
    <w:rsid w:val="00D33299"/>
    <w:rsid w:val="00D337A9"/>
    <w:rsid w:val="00D3385D"/>
    <w:rsid w:val="00D33DB8"/>
    <w:rsid w:val="00D34081"/>
    <w:rsid w:val="00D34781"/>
    <w:rsid w:val="00D34BE7"/>
    <w:rsid w:val="00D34F4A"/>
    <w:rsid w:val="00D35774"/>
    <w:rsid w:val="00D3598D"/>
    <w:rsid w:val="00D35E03"/>
    <w:rsid w:val="00D36040"/>
    <w:rsid w:val="00D3610D"/>
    <w:rsid w:val="00D3613D"/>
    <w:rsid w:val="00D36569"/>
    <w:rsid w:val="00D367E9"/>
    <w:rsid w:val="00D36CBB"/>
    <w:rsid w:val="00D379FF"/>
    <w:rsid w:val="00D37D44"/>
    <w:rsid w:val="00D401F3"/>
    <w:rsid w:val="00D404D5"/>
    <w:rsid w:val="00D40946"/>
    <w:rsid w:val="00D40BCC"/>
    <w:rsid w:val="00D417C5"/>
    <w:rsid w:val="00D418D8"/>
    <w:rsid w:val="00D419C9"/>
    <w:rsid w:val="00D41D97"/>
    <w:rsid w:val="00D41DAC"/>
    <w:rsid w:val="00D41DED"/>
    <w:rsid w:val="00D41E98"/>
    <w:rsid w:val="00D41FE8"/>
    <w:rsid w:val="00D420D7"/>
    <w:rsid w:val="00D425D1"/>
    <w:rsid w:val="00D4277B"/>
    <w:rsid w:val="00D434FE"/>
    <w:rsid w:val="00D43833"/>
    <w:rsid w:val="00D43ADE"/>
    <w:rsid w:val="00D43C19"/>
    <w:rsid w:val="00D43C2B"/>
    <w:rsid w:val="00D441F1"/>
    <w:rsid w:val="00D444D4"/>
    <w:rsid w:val="00D44C6D"/>
    <w:rsid w:val="00D455EE"/>
    <w:rsid w:val="00D45650"/>
    <w:rsid w:val="00D4572C"/>
    <w:rsid w:val="00D459FE"/>
    <w:rsid w:val="00D469A1"/>
    <w:rsid w:val="00D46AF1"/>
    <w:rsid w:val="00D46DB5"/>
    <w:rsid w:val="00D46EBE"/>
    <w:rsid w:val="00D47561"/>
    <w:rsid w:val="00D47D55"/>
    <w:rsid w:val="00D5039D"/>
    <w:rsid w:val="00D508D9"/>
    <w:rsid w:val="00D50E4C"/>
    <w:rsid w:val="00D514EF"/>
    <w:rsid w:val="00D51739"/>
    <w:rsid w:val="00D517EE"/>
    <w:rsid w:val="00D523EC"/>
    <w:rsid w:val="00D52976"/>
    <w:rsid w:val="00D52B29"/>
    <w:rsid w:val="00D52DA5"/>
    <w:rsid w:val="00D52F30"/>
    <w:rsid w:val="00D53B08"/>
    <w:rsid w:val="00D53D1D"/>
    <w:rsid w:val="00D54502"/>
    <w:rsid w:val="00D54BE7"/>
    <w:rsid w:val="00D54EDC"/>
    <w:rsid w:val="00D55489"/>
    <w:rsid w:val="00D562BC"/>
    <w:rsid w:val="00D562D5"/>
    <w:rsid w:val="00D574B5"/>
    <w:rsid w:val="00D5773A"/>
    <w:rsid w:val="00D57C3B"/>
    <w:rsid w:val="00D57DD6"/>
    <w:rsid w:val="00D601A5"/>
    <w:rsid w:val="00D603AC"/>
    <w:rsid w:val="00D6090E"/>
    <w:rsid w:val="00D60CCD"/>
    <w:rsid w:val="00D612E3"/>
    <w:rsid w:val="00D6146D"/>
    <w:rsid w:val="00D61E93"/>
    <w:rsid w:val="00D61EE2"/>
    <w:rsid w:val="00D6256F"/>
    <w:rsid w:val="00D62B48"/>
    <w:rsid w:val="00D63680"/>
    <w:rsid w:val="00D637DA"/>
    <w:rsid w:val="00D63A35"/>
    <w:rsid w:val="00D63E10"/>
    <w:rsid w:val="00D63F69"/>
    <w:rsid w:val="00D64476"/>
    <w:rsid w:val="00D645FF"/>
    <w:rsid w:val="00D64812"/>
    <w:rsid w:val="00D65B7A"/>
    <w:rsid w:val="00D6618C"/>
    <w:rsid w:val="00D6623B"/>
    <w:rsid w:val="00D6657C"/>
    <w:rsid w:val="00D66AF8"/>
    <w:rsid w:val="00D66B43"/>
    <w:rsid w:val="00D67084"/>
    <w:rsid w:val="00D67C94"/>
    <w:rsid w:val="00D7012F"/>
    <w:rsid w:val="00D701A4"/>
    <w:rsid w:val="00D70210"/>
    <w:rsid w:val="00D707EF"/>
    <w:rsid w:val="00D70922"/>
    <w:rsid w:val="00D70BAE"/>
    <w:rsid w:val="00D70DCB"/>
    <w:rsid w:val="00D71745"/>
    <w:rsid w:val="00D71E0F"/>
    <w:rsid w:val="00D7233C"/>
    <w:rsid w:val="00D7270D"/>
    <w:rsid w:val="00D72C80"/>
    <w:rsid w:val="00D73BEB"/>
    <w:rsid w:val="00D74058"/>
    <w:rsid w:val="00D74316"/>
    <w:rsid w:val="00D743BB"/>
    <w:rsid w:val="00D74970"/>
    <w:rsid w:val="00D74DA1"/>
    <w:rsid w:val="00D74ED9"/>
    <w:rsid w:val="00D75527"/>
    <w:rsid w:val="00D755BC"/>
    <w:rsid w:val="00D75E75"/>
    <w:rsid w:val="00D7664A"/>
    <w:rsid w:val="00D7771F"/>
    <w:rsid w:val="00D777B5"/>
    <w:rsid w:val="00D77C50"/>
    <w:rsid w:val="00D802FA"/>
    <w:rsid w:val="00D805CD"/>
    <w:rsid w:val="00D80950"/>
    <w:rsid w:val="00D8109C"/>
    <w:rsid w:val="00D81200"/>
    <w:rsid w:val="00D816C3"/>
    <w:rsid w:val="00D81AB7"/>
    <w:rsid w:val="00D81DDF"/>
    <w:rsid w:val="00D8216A"/>
    <w:rsid w:val="00D8282D"/>
    <w:rsid w:val="00D82866"/>
    <w:rsid w:val="00D82986"/>
    <w:rsid w:val="00D83825"/>
    <w:rsid w:val="00D83854"/>
    <w:rsid w:val="00D83BC4"/>
    <w:rsid w:val="00D84353"/>
    <w:rsid w:val="00D84387"/>
    <w:rsid w:val="00D8446D"/>
    <w:rsid w:val="00D8447C"/>
    <w:rsid w:val="00D847D3"/>
    <w:rsid w:val="00D84833"/>
    <w:rsid w:val="00D84B88"/>
    <w:rsid w:val="00D84FF9"/>
    <w:rsid w:val="00D853AD"/>
    <w:rsid w:val="00D8541E"/>
    <w:rsid w:val="00D854EA"/>
    <w:rsid w:val="00D85789"/>
    <w:rsid w:val="00D85863"/>
    <w:rsid w:val="00D85C55"/>
    <w:rsid w:val="00D85D4F"/>
    <w:rsid w:val="00D86405"/>
    <w:rsid w:val="00D86B4D"/>
    <w:rsid w:val="00D873FD"/>
    <w:rsid w:val="00D8751B"/>
    <w:rsid w:val="00D87595"/>
    <w:rsid w:val="00D875C0"/>
    <w:rsid w:val="00D87764"/>
    <w:rsid w:val="00D878CC"/>
    <w:rsid w:val="00D8792C"/>
    <w:rsid w:val="00D90570"/>
    <w:rsid w:val="00D90829"/>
    <w:rsid w:val="00D90D04"/>
    <w:rsid w:val="00D90D5C"/>
    <w:rsid w:val="00D90E32"/>
    <w:rsid w:val="00D912F3"/>
    <w:rsid w:val="00D91987"/>
    <w:rsid w:val="00D932DA"/>
    <w:rsid w:val="00D93695"/>
    <w:rsid w:val="00D93791"/>
    <w:rsid w:val="00D94030"/>
    <w:rsid w:val="00D94214"/>
    <w:rsid w:val="00D943A8"/>
    <w:rsid w:val="00D94825"/>
    <w:rsid w:val="00D95143"/>
    <w:rsid w:val="00D9541B"/>
    <w:rsid w:val="00D960CF"/>
    <w:rsid w:val="00D96207"/>
    <w:rsid w:val="00D96F06"/>
    <w:rsid w:val="00DA09F8"/>
    <w:rsid w:val="00DA0A70"/>
    <w:rsid w:val="00DA0B1F"/>
    <w:rsid w:val="00DA14E2"/>
    <w:rsid w:val="00DA15BF"/>
    <w:rsid w:val="00DA1AA4"/>
    <w:rsid w:val="00DA1B2B"/>
    <w:rsid w:val="00DA213B"/>
    <w:rsid w:val="00DA214F"/>
    <w:rsid w:val="00DA21A7"/>
    <w:rsid w:val="00DA29A9"/>
    <w:rsid w:val="00DA2C2C"/>
    <w:rsid w:val="00DA373D"/>
    <w:rsid w:val="00DA3C20"/>
    <w:rsid w:val="00DA46C9"/>
    <w:rsid w:val="00DA498E"/>
    <w:rsid w:val="00DA49D3"/>
    <w:rsid w:val="00DA54CC"/>
    <w:rsid w:val="00DA5529"/>
    <w:rsid w:val="00DA5AEF"/>
    <w:rsid w:val="00DA5ECB"/>
    <w:rsid w:val="00DA61E9"/>
    <w:rsid w:val="00DA650F"/>
    <w:rsid w:val="00DA6520"/>
    <w:rsid w:val="00DA65AE"/>
    <w:rsid w:val="00DA66B2"/>
    <w:rsid w:val="00DA675E"/>
    <w:rsid w:val="00DA6884"/>
    <w:rsid w:val="00DA7199"/>
    <w:rsid w:val="00DA7613"/>
    <w:rsid w:val="00DA777F"/>
    <w:rsid w:val="00DA7E69"/>
    <w:rsid w:val="00DB0105"/>
    <w:rsid w:val="00DB0559"/>
    <w:rsid w:val="00DB0733"/>
    <w:rsid w:val="00DB07BF"/>
    <w:rsid w:val="00DB0E84"/>
    <w:rsid w:val="00DB1235"/>
    <w:rsid w:val="00DB12EE"/>
    <w:rsid w:val="00DB1499"/>
    <w:rsid w:val="00DB19B7"/>
    <w:rsid w:val="00DB1D12"/>
    <w:rsid w:val="00DB1D3C"/>
    <w:rsid w:val="00DB20DC"/>
    <w:rsid w:val="00DB2182"/>
    <w:rsid w:val="00DB254E"/>
    <w:rsid w:val="00DB2587"/>
    <w:rsid w:val="00DB2F59"/>
    <w:rsid w:val="00DB306B"/>
    <w:rsid w:val="00DB3583"/>
    <w:rsid w:val="00DB3709"/>
    <w:rsid w:val="00DB378C"/>
    <w:rsid w:val="00DB3A50"/>
    <w:rsid w:val="00DB3B4E"/>
    <w:rsid w:val="00DB3BC1"/>
    <w:rsid w:val="00DB3E07"/>
    <w:rsid w:val="00DB4075"/>
    <w:rsid w:val="00DB4A6F"/>
    <w:rsid w:val="00DB4CA7"/>
    <w:rsid w:val="00DB4D27"/>
    <w:rsid w:val="00DB618F"/>
    <w:rsid w:val="00DB6520"/>
    <w:rsid w:val="00DB6558"/>
    <w:rsid w:val="00DB693B"/>
    <w:rsid w:val="00DB6BDC"/>
    <w:rsid w:val="00DB6C19"/>
    <w:rsid w:val="00DB6F77"/>
    <w:rsid w:val="00DB7287"/>
    <w:rsid w:val="00DB76F2"/>
    <w:rsid w:val="00DB7990"/>
    <w:rsid w:val="00DB7DD2"/>
    <w:rsid w:val="00DC0C3A"/>
    <w:rsid w:val="00DC1D5E"/>
    <w:rsid w:val="00DC20E1"/>
    <w:rsid w:val="00DC2423"/>
    <w:rsid w:val="00DC2879"/>
    <w:rsid w:val="00DC3093"/>
    <w:rsid w:val="00DC35DE"/>
    <w:rsid w:val="00DC3A55"/>
    <w:rsid w:val="00DC3B08"/>
    <w:rsid w:val="00DC3B5C"/>
    <w:rsid w:val="00DC3F5E"/>
    <w:rsid w:val="00DC3FFA"/>
    <w:rsid w:val="00DC4A69"/>
    <w:rsid w:val="00DC5BA0"/>
    <w:rsid w:val="00DC5BB3"/>
    <w:rsid w:val="00DC5CEE"/>
    <w:rsid w:val="00DC6A57"/>
    <w:rsid w:val="00DC6AA1"/>
    <w:rsid w:val="00DC7407"/>
    <w:rsid w:val="00DC743C"/>
    <w:rsid w:val="00DD01EE"/>
    <w:rsid w:val="00DD02B1"/>
    <w:rsid w:val="00DD0679"/>
    <w:rsid w:val="00DD08FC"/>
    <w:rsid w:val="00DD0C2E"/>
    <w:rsid w:val="00DD15E8"/>
    <w:rsid w:val="00DD24CE"/>
    <w:rsid w:val="00DD2657"/>
    <w:rsid w:val="00DD2A75"/>
    <w:rsid w:val="00DD2E4F"/>
    <w:rsid w:val="00DD3579"/>
    <w:rsid w:val="00DD388F"/>
    <w:rsid w:val="00DD3920"/>
    <w:rsid w:val="00DD42D6"/>
    <w:rsid w:val="00DD48D7"/>
    <w:rsid w:val="00DD4E9D"/>
    <w:rsid w:val="00DD4F37"/>
    <w:rsid w:val="00DD4F45"/>
    <w:rsid w:val="00DD50E3"/>
    <w:rsid w:val="00DD54C2"/>
    <w:rsid w:val="00DD5DE2"/>
    <w:rsid w:val="00DD6B7F"/>
    <w:rsid w:val="00DD6D14"/>
    <w:rsid w:val="00DD6EA3"/>
    <w:rsid w:val="00DD7062"/>
    <w:rsid w:val="00DD7105"/>
    <w:rsid w:val="00DE061C"/>
    <w:rsid w:val="00DE0961"/>
    <w:rsid w:val="00DE0ABF"/>
    <w:rsid w:val="00DE0F5D"/>
    <w:rsid w:val="00DE1D78"/>
    <w:rsid w:val="00DE26AA"/>
    <w:rsid w:val="00DE28AE"/>
    <w:rsid w:val="00DE2E50"/>
    <w:rsid w:val="00DE2E52"/>
    <w:rsid w:val="00DE3330"/>
    <w:rsid w:val="00DE391F"/>
    <w:rsid w:val="00DE3B2E"/>
    <w:rsid w:val="00DE45A2"/>
    <w:rsid w:val="00DE468C"/>
    <w:rsid w:val="00DE49B1"/>
    <w:rsid w:val="00DE4CFB"/>
    <w:rsid w:val="00DE4DFE"/>
    <w:rsid w:val="00DE5C35"/>
    <w:rsid w:val="00DE5FEB"/>
    <w:rsid w:val="00DE6412"/>
    <w:rsid w:val="00DE6608"/>
    <w:rsid w:val="00DE7024"/>
    <w:rsid w:val="00DE7743"/>
    <w:rsid w:val="00DE7BD7"/>
    <w:rsid w:val="00DE7DCB"/>
    <w:rsid w:val="00DE7E92"/>
    <w:rsid w:val="00DF01CB"/>
    <w:rsid w:val="00DF02D1"/>
    <w:rsid w:val="00DF0D36"/>
    <w:rsid w:val="00DF101D"/>
    <w:rsid w:val="00DF10ED"/>
    <w:rsid w:val="00DF1AEF"/>
    <w:rsid w:val="00DF239F"/>
    <w:rsid w:val="00DF245E"/>
    <w:rsid w:val="00DF2EDC"/>
    <w:rsid w:val="00DF3FE6"/>
    <w:rsid w:val="00DF44CE"/>
    <w:rsid w:val="00DF4760"/>
    <w:rsid w:val="00DF4C05"/>
    <w:rsid w:val="00DF5670"/>
    <w:rsid w:val="00DF5766"/>
    <w:rsid w:val="00DF5772"/>
    <w:rsid w:val="00DF5836"/>
    <w:rsid w:val="00DF6393"/>
    <w:rsid w:val="00DF64EC"/>
    <w:rsid w:val="00DF6538"/>
    <w:rsid w:val="00DF6A12"/>
    <w:rsid w:val="00DF6C93"/>
    <w:rsid w:val="00DF761B"/>
    <w:rsid w:val="00DF7E3A"/>
    <w:rsid w:val="00E0012E"/>
    <w:rsid w:val="00E00A03"/>
    <w:rsid w:val="00E00FFB"/>
    <w:rsid w:val="00E014E4"/>
    <w:rsid w:val="00E01940"/>
    <w:rsid w:val="00E01F5A"/>
    <w:rsid w:val="00E0213F"/>
    <w:rsid w:val="00E02A04"/>
    <w:rsid w:val="00E02F15"/>
    <w:rsid w:val="00E031F0"/>
    <w:rsid w:val="00E0335E"/>
    <w:rsid w:val="00E036AC"/>
    <w:rsid w:val="00E041A3"/>
    <w:rsid w:val="00E043C6"/>
    <w:rsid w:val="00E048CA"/>
    <w:rsid w:val="00E049F4"/>
    <w:rsid w:val="00E051CB"/>
    <w:rsid w:val="00E0526D"/>
    <w:rsid w:val="00E05348"/>
    <w:rsid w:val="00E05B5B"/>
    <w:rsid w:val="00E06102"/>
    <w:rsid w:val="00E06522"/>
    <w:rsid w:val="00E0661C"/>
    <w:rsid w:val="00E06764"/>
    <w:rsid w:val="00E06799"/>
    <w:rsid w:val="00E06804"/>
    <w:rsid w:val="00E07393"/>
    <w:rsid w:val="00E07A66"/>
    <w:rsid w:val="00E07B79"/>
    <w:rsid w:val="00E102F0"/>
    <w:rsid w:val="00E10470"/>
    <w:rsid w:val="00E1079C"/>
    <w:rsid w:val="00E1093F"/>
    <w:rsid w:val="00E10A60"/>
    <w:rsid w:val="00E10E67"/>
    <w:rsid w:val="00E11048"/>
    <w:rsid w:val="00E110DA"/>
    <w:rsid w:val="00E11308"/>
    <w:rsid w:val="00E114A9"/>
    <w:rsid w:val="00E11C1F"/>
    <w:rsid w:val="00E12161"/>
    <w:rsid w:val="00E12CEA"/>
    <w:rsid w:val="00E1303C"/>
    <w:rsid w:val="00E132CA"/>
    <w:rsid w:val="00E1352F"/>
    <w:rsid w:val="00E1354D"/>
    <w:rsid w:val="00E14853"/>
    <w:rsid w:val="00E14B35"/>
    <w:rsid w:val="00E151CE"/>
    <w:rsid w:val="00E154F3"/>
    <w:rsid w:val="00E15CE2"/>
    <w:rsid w:val="00E15D94"/>
    <w:rsid w:val="00E16729"/>
    <w:rsid w:val="00E17145"/>
    <w:rsid w:val="00E1718A"/>
    <w:rsid w:val="00E17A4C"/>
    <w:rsid w:val="00E203E9"/>
    <w:rsid w:val="00E20831"/>
    <w:rsid w:val="00E208E7"/>
    <w:rsid w:val="00E20A63"/>
    <w:rsid w:val="00E20F6F"/>
    <w:rsid w:val="00E22281"/>
    <w:rsid w:val="00E222C9"/>
    <w:rsid w:val="00E226D2"/>
    <w:rsid w:val="00E22C4E"/>
    <w:rsid w:val="00E22D9A"/>
    <w:rsid w:val="00E23386"/>
    <w:rsid w:val="00E236C7"/>
    <w:rsid w:val="00E236EE"/>
    <w:rsid w:val="00E2370C"/>
    <w:rsid w:val="00E237C0"/>
    <w:rsid w:val="00E23EC6"/>
    <w:rsid w:val="00E25C71"/>
    <w:rsid w:val="00E25D02"/>
    <w:rsid w:val="00E260E6"/>
    <w:rsid w:val="00E263B6"/>
    <w:rsid w:val="00E2695F"/>
    <w:rsid w:val="00E26AAA"/>
    <w:rsid w:val="00E26B99"/>
    <w:rsid w:val="00E2717A"/>
    <w:rsid w:val="00E27340"/>
    <w:rsid w:val="00E27382"/>
    <w:rsid w:val="00E273AA"/>
    <w:rsid w:val="00E27B35"/>
    <w:rsid w:val="00E27F6D"/>
    <w:rsid w:val="00E3004B"/>
    <w:rsid w:val="00E306D4"/>
    <w:rsid w:val="00E306E2"/>
    <w:rsid w:val="00E311FE"/>
    <w:rsid w:val="00E31955"/>
    <w:rsid w:val="00E3197E"/>
    <w:rsid w:val="00E321DA"/>
    <w:rsid w:val="00E32925"/>
    <w:rsid w:val="00E32D1A"/>
    <w:rsid w:val="00E32F9E"/>
    <w:rsid w:val="00E3327B"/>
    <w:rsid w:val="00E334AF"/>
    <w:rsid w:val="00E33541"/>
    <w:rsid w:val="00E3379D"/>
    <w:rsid w:val="00E33CEC"/>
    <w:rsid w:val="00E33D64"/>
    <w:rsid w:val="00E34747"/>
    <w:rsid w:val="00E34A67"/>
    <w:rsid w:val="00E34AD6"/>
    <w:rsid w:val="00E34BFA"/>
    <w:rsid w:val="00E35887"/>
    <w:rsid w:val="00E35C9D"/>
    <w:rsid w:val="00E36D82"/>
    <w:rsid w:val="00E37267"/>
    <w:rsid w:val="00E372AF"/>
    <w:rsid w:val="00E373DD"/>
    <w:rsid w:val="00E379D7"/>
    <w:rsid w:val="00E37E86"/>
    <w:rsid w:val="00E404EF"/>
    <w:rsid w:val="00E40636"/>
    <w:rsid w:val="00E40C37"/>
    <w:rsid w:val="00E42BD4"/>
    <w:rsid w:val="00E43115"/>
    <w:rsid w:val="00E43353"/>
    <w:rsid w:val="00E43929"/>
    <w:rsid w:val="00E43F85"/>
    <w:rsid w:val="00E442AF"/>
    <w:rsid w:val="00E451A1"/>
    <w:rsid w:val="00E452A7"/>
    <w:rsid w:val="00E45623"/>
    <w:rsid w:val="00E463BF"/>
    <w:rsid w:val="00E46AA7"/>
    <w:rsid w:val="00E46F92"/>
    <w:rsid w:val="00E47131"/>
    <w:rsid w:val="00E47DC3"/>
    <w:rsid w:val="00E47F38"/>
    <w:rsid w:val="00E50184"/>
    <w:rsid w:val="00E50802"/>
    <w:rsid w:val="00E5112F"/>
    <w:rsid w:val="00E51893"/>
    <w:rsid w:val="00E51997"/>
    <w:rsid w:val="00E51A10"/>
    <w:rsid w:val="00E51D10"/>
    <w:rsid w:val="00E51D69"/>
    <w:rsid w:val="00E52556"/>
    <w:rsid w:val="00E53610"/>
    <w:rsid w:val="00E5373E"/>
    <w:rsid w:val="00E537B9"/>
    <w:rsid w:val="00E5413C"/>
    <w:rsid w:val="00E5429F"/>
    <w:rsid w:val="00E546C8"/>
    <w:rsid w:val="00E54F57"/>
    <w:rsid w:val="00E54FD9"/>
    <w:rsid w:val="00E55101"/>
    <w:rsid w:val="00E55113"/>
    <w:rsid w:val="00E551F4"/>
    <w:rsid w:val="00E55882"/>
    <w:rsid w:val="00E56033"/>
    <w:rsid w:val="00E56864"/>
    <w:rsid w:val="00E56B3E"/>
    <w:rsid w:val="00E56D0E"/>
    <w:rsid w:val="00E5702F"/>
    <w:rsid w:val="00E571F8"/>
    <w:rsid w:val="00E57FA3"/>
    <w:rsid w:val="00E600CF"/>
    <w:rsid w:val="00E602E7"/>
    <w:rsid w:val="00E604DA"/>
    <w:rsid w:val="00E60725"/>
    <w:rsid w:val="00E60ACF"/>
    <w:rsid w:val="00E60C21"/>
    <w:rsid w:val="00E60E6D"/>
    <w:rsid w:val="00E60F71"/>
    <w:rsid w:val="00E61C36"/>
    <w:rsid w:val="00E61CAF"/>
    <w:rsid w:val="00E61FDD"/>
    <w:rsid w:val="00E62281"/>
    <w:rsid w:val="00E6338E"/>
    <w:rsid w:val="00E6381E"/>
    <w:rsid w:val="00E63917"/>
    <w:rsid w:val="00E63957"/>
    <w:rsid w:val="00E63A29"/>
    <w:rsid w:val="00E6419D"/>
    <w:rsid w:val="00E646A9"/>
    <w:rsid w:val="00E647D0"/>
    <w:rsid w:val="00E64ADB"/>
    <w:rsid w:val="00E64C81"/>
    <w:rsid w:val="00E65547"/>
    <w:rsid w:val="00E65E8A"/>
    <w:rsid w:val="00E6614E"/>
    <w:rsid w:val="00E6632B"/>
    <w:rsid w:val="00E66B0A"/>
    <w:rsid w:val="00E66DD0"/>
    <w:rsid w:val="00E66DEF"/>
    <w:rsid w:val="00E67386"/>
    <w:rsid w:val="00E6753D"/>
    <w:rsid w:val="00E70492"/>
    <w:rsid w:val="00E70821"/>
    <w:rsid w:val="00E70F10"/>
    <w:rsid w:val="00E71D27"/>
    <w:rsid w:val="00E71EF1"/>
    <w:rsid w:val="00E7209C"/>
    <w:rsid w:val="00E720C9"/>
    <w:rsid w:val="00E72957"/>
    <w:rsid w:val="00E729A8"/>
    <w:rsid w:val="00E731FA"/>
    <w:rsid w:val="00E733F1"/>
    <w:rsid w:val="00E73B7A"/>
    <w:rsid w:val="00E73BF2"/>
    <w:rsid w:val="00E73C15"/>
    <w:rsid w:val="00E73C41"/>
    <w:rsid w:val="00E7429D"/>
    <w:rsid w:val="00E75034"/>
    <w:rsid w:val="00E760CB"/>
    <w:rsid w:val="00E7663C"/>
    <w:rsid w:val="00E76971"/>
    <w:rsid w:val="00E76E5E"/>
    <w:rsid w:val="00E76F2D"/>
    <w:rsid w:val="00E77AC5"/>
    <w:rsid w:val="00E77CB0"/>
    <w:rsid w:val="00E80118"/>
    <w:rsid w:val="00E8011D"/>
    <w:rsid w:val="00E80127"/>
    <w:rsid w:val="00E80170"/>
    <w:rsid w:val="00E8047D"/>
    <w:rsid w:val="00E80691"/>
    <w:rsid w:val="00E80E2B"/>
    <w:rsid w:val="00E815BC"/>
    <w:rsid w:val="00E8194C"/>
    <w:rsid w:val="00E820F8"/>
    <w:rsid w:val="00E8225A"/>
    <w:rsid w:val="00E82275"/>
    <w:rsid w:val="00E82840"/>
    <w:rsid w:val="00E82C4E"/>
    <w:rsid w:val="00E83205"/>
    <w:rsid w:val="00E833A2"/>
    <w:rsid w:val="00E83660"/>
    <w:rsid w:val="00E83985"/>
    <w:rsid w:val="00E83B91"/>
    <w:rsid w:val="00E83CA1"/>
    <w:rsid w:val="00E85311"/>
    <w:rsid w:val="00E863FE"/>
    <w:rsid w:val="00E8684A"/>
    <w:rsid w:val="00E86866"/>
    <w:rsid w:val="00E86A33"/>
    <w:rsid w:val="00E86CA7"/>
    <w:rsid w:val="00E86EFE"/>
    <w:rsid w:val="00E87068"/>
    <w:rsid w:val="00E900F5"/>
    <w:rsid w:val="00E90871"/>
    <w:rsid w:val="00E90A96"/>
    <w:rsid w:val="00E90EE8"/>
    <w:rsid w:val="00E90F2C"/>
    <w:rsid w:val="00E91567"/>
    <w:rsid w:val="00E916FA"/>
    <w:rsid w:val="00E91753"/>
    <w:rsid w:val="00E919D7"/>
    <w:rsid w:val="00E91D68"/>
    <w:rsid w:val="00E92258"/>
    <w:rsid w:val="00E9259F"/>
    <w:rsid w:val="00E925DC"/>
    <w:rsid w:val="00E928CA"/>
    <w:rsid w:val="00E93088"/>
    <w:rsid w:val="00E9340F"/>
    <w:rsid w:val="00E938B4"/>
    <w:rsid w:val="00E93D1B"/>
    <w:rsid w:val="00E93E6B"/>
    <w:rsid w:val="00E94823"/>
    <w:rsid w:val="00E9488B"/>
    <w:rsid w:val="00E951A5"/>
    <w:rsid w:val="00E9534B"/>
    <w:rsid w:val="00E958B9"/>
    <w:rsid w:val="00E95DC7"/>
    <w:rsid w:val="00E9654D"/>
    <w:rsid w:val="00E96679"/>
    <w:rsid w:val="00E96932"/>
    <w:rsid w:val="00E969E0"/>
    <w:rsid w:val="00E96B17"/>
    <w:rsid w:val="00E96BFE"/>
    <w:rsid w:val="00E96CE4"/>
    <w:rsid w:val="00E96ED7"/>
    <w:rsid w:val="00E974CA"/>
    <w:rsid w:val="00EA09D0"/>
    <w:rsid w:val="00EA0DC4"/>
    <w:rsid w:val="00EA11DA"/>
    <w:rsid w:val="00EA147C"/>
    <w:rsid w:val="00EA1D8A"/>
    <w:rsid w:val="00EA2738"/>
    <w:rsid w:val="00EA3100"/>
    <w:rsid w:val="00EA3811"/>
    <w:rsid w:val="00EA38DA"/>
    <w:rsid w:val="00EA434A"/>
    <w:rsid w:val="00EA4C2B"/>
    <w:rsid w:val="00EA4FC2"/>
    <w:rsid w:val="00EA5933"/>
    <w:rsid w:val="00EA6237"/>
    <w:rsid w:val="00EA644E"/>
    <w:rsid w:val="00EA71BB"/>
    <w:rsid w:val="00EA73B9"/>
    <w:rsid w:val="00EA74DC"/>
    <w:rsid w:val="00EA76CB"/>
    <w:rsid w:val="00EA7826"/>
    <w:rsid w:val="00EA7A7E"/>
    <w:rsid w:val="00EA7E26"/>
    <w:rsid w:val="00EA7EF9"/>
    <w:rsid w:val="00EB020C"/>
    <w:rsid w:val="00EB209A"/>
    <w:rsid w:val="00EB2245"/>
    <w:rsid w:val="00EB3420"/>
    <w:rsid w:val="00EB3A27"/>
    <w:rsid w:val="00EB3D82"/>
    <w:rsid w:val="00EB4511"/>
    <w:rsid w:val="00EB4832"/>
    <w:rsid w:val="00EB484C"/>
    <w:rsid w:val="00EB4CC3"/>
    <w:rsid w:val="00EB53F9"/>
    <w:rsid w:val="00EB5EE8"/>
    <w:rsid w:val="00EB61B1"/>
    <w:rsid w:val="00EB6436"/>
    <w:rsid w:val="00EB796C"/>
    <w:rsid w:val="00EB7A92"/>
    <w:rsid w:val="00EB7F0D"/>
    <w:rsid w:val="00EC0149"/>
    <w:rsid w:val="00EC0751"/>
    <w:rsid w:val="00EC0880"/>
    <w:rsid w:val="00EC29A5"/>
    <w:rsid w:val="00EC31D3"/>
    <w:rsid w:val="00EC38EC"/>
    <w:rsid w:val="00EC3AFF"/>
    <w:rsid w:val="00EC42AD"/>
    <w:rsid w:val="00EC437B"/>
    <w:rsid w:val="00EC4437"/>
    <w:rsid w:val="00EC4AFA"/>
    <w:rsid w:val="00EC4BDC"/>
    <w:rsid w:val="00EC4F61"/>
    <w:rsid w:val="00EC546B"/>
    <w:rsid w:val="00EC5489"/>
    <w:rsid w:val="00EC552C"/>
    <w:rsid w:val="00EC5B1A"/>
    <w:rsid w:val="00EC5CCD"/>
    <w:rsid w:val="00EC5E9D"/>
    <w:rsid w:val="00EC6333"/>
    <w:rsid w:val="00EC6348"/>
    <w:rsid w:val="00EC68E1"/>
    <w:rsid w:val="00EC69C4"/>
    <w:rsid w:val="00ED01DB"/>
    <w:rsid w:val="00ED0503"/>
    <w:rsid w:val="00ED08DA"/>
    <w:rsid w:val="00ED1908"/>
    <w:rsid w:val="00ED1B9F"/>
    <w:rsid w:val="00ED1CFA"/>
    <w:rsid w:val="00ED1E7F"/>
    <w:rsid w:val="00ED2D36"/>
    <w:rsid w:val="00ED2FC0"/>
    <w:rsid w:val="00ED36A2"/>
    <w:rsid w:val="00ED3B75"/>
    <w:rsid w:val="00ED3EAA"/>
    <w:rsid w:val="00ED3F25"/>
    <w:rsid w:val="00ED48C6"/>
    <w:rsid w:val="00ED4E7C"/>
    <w:rsid w:val="00ED4F37"/>
    <w:rsid w:val="00ED5B6E"/>
    <w:rsid w:val="00ED661E"/>
    <w:rsid w:val="00ED6A0E"/>
    <w:rsid w:val="00ED6A55"/>
    <w:rsid w:val="00ED6CCD"/>
    <w:rsid w:val="00ED6F12"/>
    <w:rsid w:val="00ED7204"/>
    <w:rsid w:val="00ED7593"/>
    <w:rsid w:val="00EE043E"/>
    <w:rsid w:val="00EE048A"/>
    <w:rsid w:val="00EE07A7"/>
    <w:rsid w:val="00EE09A4"/>
    <w:rsid w:val="00EE0E24"/>
    <w:rsid w:val="00EE106B"/>
    <w:rsid w:val="00EE1545"/>
    <w:rsid w:val="00EE185E"/>
    <w:rsid w:val="00EE24A2"/>
    <w:rsid w:val="00EE255B"/>
    <w:rsid w:val="00EE28F1"/>
    <w:rsid w:val="00EE2A09"/>
    <w:rsid w:val="00EE2AAD"/>
    <w:rsid w:val="00EE37DE"/>
    <w:rsid w:val="00EE3A44"/>
    <w:rsid w:val="00EE3B2D"/>
    <w:rsid w:val="00EE45C1"/>
    <w:rsid w:val="00EE460F"/>
    <w:rsid w:val="00EE5022"/>
    <w:rsid w:val="00EE6027"/>
    <w:rsid w:val="00EE6186"/>
    <w:rsid w:val="00EE6446"/>
    <w:rsid w:val="00EE6459"/>
    <w:rsid w:val="00EE65C3"/>
    <w:rsid w:val="00EE68F8"/>
    <w:rsid w:val="00EE6A03"/>
    <w:rsid w:val="00EE77A5"/>
    <w:rsid w:val="00EE787B"/>
    <w:rsid w:val="00EE7885"/>
    <w:rsid w:val="00EE7C05"/>
    <w:rsid w:val="00EE7D6B"/>
    <w:rsid w:val="00EE7D9B"/>
    <w:rsid w:val="00EF098F"/>
    <w:rsid w:val="00EF0A21"/>
    <w:rsid w:val="00EF11FE"/>
    <w:rsid w:val="00EF218D"/>
    <w:rsid w:val="00EF2F5A"/>
    <w:rsid w:val="00EF3304"/>
    <w:rsid w:val="00EF3633"/>
    <w:rsid w:val="00EF388B"/>
    <w:rsid w:val="00EF3A99"/>
    <w:rsid w:val="00EF3D89"/>
    <w:rsid w:val="00EF3E5E"/>
    <w:rsid w:val="00EF4CB7"/>
    <w:rsid w:val="00EF4D41"/>
    <w:rsid w:val="00EF503D"/>
    <w:rsid w:val="00EF50D3"/>
    <w:rsid w:val="00EF54A4"/>
    <w:rsid w:val="00EF58BB"/>
    <w:rsid w:val="00EF5A27"/>
    <w:rsid w:val="00EF6345"/>
    <w:rsid w:val="00EF6511"/>
    <w:rsid w:val="00EF660A"/>
    <w:rsid w:val="00EF6650"/>
    <w:rsid w:val="00EF6A40"/>
    <w:rsid w:val="00EF6C6D"/>
    <w:rsid w:val="00EF6DC9"/>
    <w:rsid w:val="00EF6DFF"/>
    <w:rsid w:val="00EF788E"/>
    <w:rsid w:val="00F00552"/>
    <w:rsid w:val="00F0096E"/>
    <w:rsid w:val="00F00B21"/>
    <w:rsid w:val="00F00D80"/>
    <w:rsid w:val="00F00D99"/>
    <w:rsid w:val="00F00ECA"/>
    <w:rsid w:val="00F01237"/>
    <w:rsid w:val="00F015E7"/>
    <w:rsid w:val="00F01A41"/>
    <w:rsid w:val="00F0235A"/>
    <w:rsid w:val="00F02743"/>
    <w:rsid w:val="00F028AD"/>
    <w:rsid w:val="00F035A1"/>
    <w:rsid w:val="00F03A50"/>
    <w:rsid w:val="00F0450A"/>
    <w:rsid w:val="00F04A37"/>
    <w:rsid w:val="00F050CA"/>
    <w:rsid w:val="00F05294"/>
    <w:rsid w:val="00F05598"/>
    <w:rsid w:val="00F05779"/>
    <w:rsid w:val="00F059B4"/>
    <w:rsid w:val="00F05A29"/>
    <w:rsid w:val="00F05CE7"/>
    <w:rsid w:val="00F06945"/>
    <w:rsid w:val="00F06959"/>
    <w:rsid w:val="00F06BC4"/>
    <w:rsid w:val="00F06C20"/>
    <w:rsid w:val="00F06F84"/>
    <w:rsid w:val="00F06FFA"/>
    <w:rsid w:val="00F073EC"/>
    <w:rsid w:val="00F0775B"/>
    <w:rsid w:val="00F0784F"/>
    <w:rsid w:val="00F07ABD"/>
    <w:rsid w:val="00F07D5A"/>
    <w:rsid w:val="00F07FF6"/>
    <w:rsid w:val="00F1012D"/>
    <w:rsid w:val="00F1035E"/>
    <w:rsid w:val="00F10C27"/>
    <w:rsid w:val="00F10E36"/>
    <w:rsid w:val="00F10F1D"/>
    <w:rsid w:val="00F11156"/>
    <w:rsid w:val="00F11CD5"/>
    <w:rsid w:val="00F13118"/>
    <w:rsid w:val="00F13129"/>
    <w:rsid w:val="00F138BF"/>
    <w:rsid w:val="00F13B65"/>
    <w:rsid w:val="00F14E46"/>
    <w:rsid w:val="00F15B53"/>
    <w:rsid w:val="00F15C99"/>
    <w:rsid w:val="00F1624D"/>
    <w:rsid w:val="00F16EAC"/>
    <w:rsid w:val="00F16F97"/>
    <w:rsid w:val="00F16FA8"/>
    <w:rsid w:val="00F170CD"/>
    <w:rsid w:val="00F17231"/>
    <w:rsid w:val="00F179AC"/>
    <w:rsid w:val="00F17C26"/>
    <w:rsid w:val="00F17F59"/>
    <w:rsid w:val="00F21002"/>
    <w:rsid w:val="00F215D6"/>
    <w:rsid w:val="00F219E7"/>
    <w:rsid w:val="00F21A40"/>
    <w:rsid w:val="00F2215B"/>
    <w:rsid w:val="00F2263C"/>
    <w:rsid w:val="00F22652"/>
    <w:rsid w:val="00F22B19"/>
    <w:rsid w:val="00F22BBE"/>
    <w:rsid w:val="00F22E02"/>
    <w:rsid w:val="00F238BA"/>
    <w:rsid w:val="00F23913"/>
    <w:rsid w:val="00F23B47"/>
    <w:rsid w:val="00F23F85"/>
    <w:rsid w:val="00F23FD1"/>
    <w:rsid w:val="00F2525B"/>
    <w:rsid w:val="00F25D62"/>
    <w:rsid w:val="00F268E1"/>
    <w:rsid w:val="00F26BD9"/>
    <w:rsid w:val="00F26F64"/>
    <w:rsid w:val="00F270A2"/>
    <w:rsid w:val="00F277B0"/>
    <w:rsid w:val="00F27B7D"/>
    <w:rsid w:val="00F3052D"/>
    <w:rsid w:val="00F30AE0"/>
    <w:rsid w:val="00F3123C"/>
    <w:rsid w:val="00F324B2"/>
    <w:rsid w:val="00F32A86"/>
    <w:rsid w:val="00F32D2D"/>
    <w:rsid w:val="00F32D8B"/>
    <w:rsid w:val="00F33015"/>
    <w:rsid w:val="00F338D9"/>
    <w:rsid w:val="00F33BCD"/>
    <w:rsid w:val="00F33C44"/>
    <w:rsid w:val="00F340FF"/>
    <w:rsid w:val="00F34309"/>
    <w:rsid w:val="00F3434D"/>
    <w:rsid w:val="00F3458B"/>
    <w:rsid w:val="00F34D56"/>
    <w:rsid w:val="00F34E22"/>
    <w:rsid w:val="00F34ED7"/>
    <w:rsid w:val="00F35563"/>
    <w:rsid w:val="00F35710"/>
    <w:rsid w:val="00F35940"/>
    <w:rsid w:val="00F35B51"/>
    <w:rsid w:val="00F36909"/>
    <w:rsid w:val="00F36A24"/>
    <w:rsid w:val="00F371E3"/>
    <w:rsid w:val="00F37417"/>
    <w:rsid w:val="00F40300"/>
    <w:rsid w:val="00F403C8"/>
    <w:rsid w:val="00F40A22"/>
    <w:rsid w:val="00F40CDC"/>
    <w:rsid w:val="00F413AB"/>
    <w:rsid w:val="00F41BD6"/>
    <w:rsid w:val="00F421C9"/>
    <w:rsid w:val="00F42938"/>
    <w:rsid w:val="00F42A7F"/>
    <w:rsid w:val="00F42A88"/>
    <w:rsid w:val="00F42C90"/>
    <w:rsid w:val="00F42F51"/>
    <w:rsid w:val="00F4316F"/>
    <w:rsid w:val="00F432B1"/>
    <w:rsid w:val="00F43FC0"/>
    <w:rsid w:val="00F44755"/>
    <w:rsid w:val="00F44CA4"/>
    <w:rsid w:val="00F45266"/>
    <w:rsid w:val="00F45804"/>
    <w:rsid w:val="00F4623B"/>
    <w:rsid w:val="00F4655E"/>
    <w:rsid w:val="00F46CDD"/>
    <w:rsid w:val="00F4718A"/>
    <w:rsid w:val="00F47776"/>
    <w:rsid w:val="00F478BB"/>
    <w:rsid w:val="00F50411"/>
    <w:rsid w:val="00F505F4"/>
    <w:rsid w:val="00F50D99"/>
    <w:rsid w:val="00F50E6F"/>
    <w:rsid w:val="00F50FDB"/>
    <w:rsid w:val="00F5135F"/>
    <w:rsid w:val="00F51396"/>
    <w:rsid w:val="00F51C75"/>
    <w:rsid w:val="00F5225F"/>
    <w:rsid w:val="00F52520"/>
    <w:rsid w:val="00F52900"/>
    <w:rsid w:val="00F52F22"/>
    <w:rsid w:val="00F54497"/>
    <w:rsid w:val="00F54511"/>
    <w:rsid w:val="00F552D5"/>
    <w:rsid w:val="00F55634"/>
    <w:rsid w:val="00F558FF"/>
    <w:rsid w:val="00F55A97"/>
    <w:rsid w:val="00F55F89"/>
    <w:rsid w:val="00F564A7"/>
    <w:rsid w:val="00F5668D"/>
    <w:rsid w:val="00F567E4"/>
    <w:rsid w:val="00F569FC"/>
    <w:rsid w:val="00F56D94"/>
    <w:rsid w:val="00F5784D"/>
    <w:rsid w:val="00F57AFA"/>
    <w:rsid w:val="00F601C1"/>
    <w:rsid w:val="00F603F5"/>
    <w:rsid w:val="00F606F6"/>
    <w:rsid w:val="00F60765"/>
    <w:rsid w:val="00F61C4D"/>
    <w:rsid w:val="00F6218D"/>
    <w:rsid w:val="00F621BD"/>
    <w:rsid w:val="00F6225E"/>
    <w:rsid w:val="00F62BFF"/>
    <w:rsid w:val="00F62D1B"/>
    <w:rsid w:val="00F630EC"/>
    <w:rsid w:val="00F63609"/>
    <w:rsid w:val="00F63E6D"/>
    <w:rsid w:val="00F64A43"/>
    <w:rsid w:val="00F64DF6"/>
    <w:rsid w:val="00F64FF5"/>
    <w:rsid w:val="00F65300"/>
    <w:rsid w:val="00F65517"/>
    <w:rsid w:val="00F65637"/>
    <w:rsid w:val="00F6577F"/>
    <w:rsid w:val="00F6661E"/>
    <w:rsid w:val="00F67434"/>
    <w:rsid w:val="00F679AB"/>
    <w:rsid w:val="00F67D07"/>
    <w:rsid w:val="00F710C7"/>
    <w:rsid w:val="00F71536"/>
    <w:rsid w:val="00F71867"/>
    <w:rsid w:val="00F7190C"/>
    <w:rsid w:val="00F72EC2"/>
    <w:rsid w:val="00F730A4"/>
    <w:rsid w:val="00F73892"/>
    <w:rsid w:val="00F739B7"/>
    <w:rsid w:val="00F73E65"/>
    <w:rsid w:val="00F74009"/>
    <w:rsid w:val="00F74344"/>
    <w:rsid w:val="00F74351"/>
    <w:rsid w:val="00F748F6"/>
    <w:rsid w:val="00F74C1A"/>
    <w:rsid w:val="00F75015"/>
    <w:rsid w:val="00F7512A"/>
    <w:rsid w:val="00F75679"/>
    <w:rsid w:val="00F758D6"/>
    <w:rsid w:val="00F75A9A"/>
    <w:rsid w:val="00F75B88"/>
    <w:rsid w:val="00F75F51"/>
    <w:rsid w:val="00F766E3"/>
    <w:rsid w:val="00F767CF"/>
    <w:rsid w:val="00F76835"/>
    <w:rsid w:val="00F769FB"/>
    <w:rsid w:val="00F76AC3"/>
    <w:rsid w:val="00F76C37"/>
    <w:rsid w:val="00F770D3"/>
    <w:rsid w:val="00F77709"/>
    <w:rsid w:val="00F779D4"/>
    <w:rsid w:val="00F77BAA"/>
    <w:rsid w:val="00F80386"/>
    <w:rsid w:val="00F8046A"/>
    <w:rsid w:val="00F805E0"/>
    <w:rsid w:val="00F81BFB"/>
    <w:rsid w:val="00F82AC2"/>
    <w:rsid w:val="00F82C54"/>
    <w:rsid w:val="00F8307A"/>
    <w:rsid w:val="00F8321A"/>
    <w:rsid w:val="00F8345D"/>
    <w:rsid w:val="00F83503"/>
    <w:rsid w:val="00F83546"/>
    <w:rsid w:val="00F838FD"/>
    <w:rsid w:val="00F83D1F"/>
    <w:rsid w:val="00F847AE"/>
    <w:rsid w:val="00F85901"/>
    <w:rsid w:val="00F85EC7"/>
    <w:rsid w:val="00F86001"/>
    <w:rsid w:val="00F86CD4"/>
    <w:rsid w:val="00F87157"/>
    <w:rsid w:val="00F871C4"/>
    <w:rsid w:val="00F87D95"/>
    <w:rsid w:val="00F90271"/>
    <w:rsid w:val="00F908BA"/>
    <w:rsid w:val="00F90A0F"/>
    <w:rsid w:val="00F90CD9"/>
    <w:rsid w:val="00F9167D"/>
    <w:rsid w:val="00F92079"/>
    <w:rsid w:val="00F9208E"/>
    <w:rsid w:val="00F922B2"/>
    <w:rsid w:val="00F922B6"/>
    <w:rsid w:val="00F922F4"/>
    <w:rsid w:val="00F92648"/>
    <w:rsid w:val="00F92673"/>
    <w:rsid w:val="00F92856"/>
    <w:rsid w:val="00F92928"/>
    <w:rsid w:val="00F92FAD"/>
    <w:rsid w:val="00F930A9"/>
    <w:rsid w:val="00F93408"/>
    <w:rsid w:val="00F938BB"/>
    <w:rsid w:val="00F93D3D"/>
    <w:rsid w:val="00F93D57"/>
    <w:rsid w:val="00F93DB4"/>
    <w:rsid w:val="00F942B6"/>
    <w:rsid w:val="00F94C03"/>
    <w:rsid w:val="00F955B3"/>
    <w:rsid w:val="00F960D4"/>
    <w:rsid w:val="00F962A1"/>
    <w:rsid w:val="00F967A5"/>
    <w:rsid w:val="00F9699B"/>
    <w:rsid w:val="00F96D39"/>
    <w:rsid w:val="00F97143"/>
    <w:rsid w:val="00F973AC"/>
    <w:rsid w:val="00F97826"/>
    <w:rsid w:val="00F97D2F"/>
    <w:rsid w:val="00FA095C"/>
    <w:rsid w:val="00FA1162"/>
    <w:rsid w:val="00FA1301"/>
    <w:rsid w:val="00FA138D"/>
    <w:rsid w:val="00FA1764"/>
    <w:rsid w:val="00FA187F"/>
    <w:rsid w:val="00FA18DF"/>
    <w:rsid w:val="00FA1B50"/>
    <w:rsid w:val="00FA25F0"/>
    <w:rsid w:val="00FA2950"/>
    <w:rsid w:val="00FA2D24"/>
    <w:rsid w:val="00FA3000"/>
    <w:rsid w:val="00FA366A"/>
    <w:rsid w:val="00FA4972"/>
    <w:rsid w:val="00FA5F90"/>
    <w:rsid w:val="00FA6037"/>
    <w:rsid w:val="00FA6D62"/>
    <w:rsid w:val="00FA6EA6"/>
    <w:rsid w:val="00FA7729"/>
    <w:rsid w:val="00FB0272"/>
    <w:rsid w:val="00FB0811"/>
    <w:rsid w:val="00FB0858"/>
    <w:rsid w:val="00FB0938"/>
    <w:rsid w:val="00FB0A67"/>
    <w:rsid w:val="00FB0CAC"/>
    <w:rsid w:val="00FB111E"/>
    <w:rsid w:val="00FB1510"/>
    <w:rsid w:val="00FB1F19"/>
    <w:rsid w:val="00FB20A9"/>
    <w:rsid w:val="00FB2128"/>
    <w:rsid w:val="00FB248B"/>
    <w:rsid w:val="00FB2B92"/>
    <w:rsid w:val="00FB2C24"/>
    <w:rsid w:val="00FB2C37"/>
    <w:rsid w:val="00FB2EA4"/>
    <w:rsid w:val="00FB32E9"/>
    <w:rsid w:val="00FB33CE"/>
    <w:rsid w:val="00FB3402"/>
    <w:rsid w:val="00FB392B"/>
    <w:rsid w:val="00FB3AFA"/>
    <w:rsid w:val="00FB4119"/>
    <w:rsid w:val="00FB41B1"/>
    <w:rsid w:val="00FB41E2"/>
    <w:rsid w:val="00FB5560"/>
    <w:rsid w:val="00FB59D5"/>
    <w:rsid w:val="00FB5C0C"/>
    <w:rsid w:val="00FB5CDA"/>
    <w:rsid w:val="00FB6D29"/>
    <w:rsid w:val="00FB6E8D"/>
    <w:rsid w:val="00FC01A1"/>
    <w:rsid w:val="00FC094C"/>
    <w:rsid w:val="00FC0A76"/>
    <w:rsid w:val="00FC0C1F"/>
    <w:rsid w:val="00FC121D"/>
    <w:rsid w:val="00FC16F6"/>
    <w:rsid w:val="00FC18A5"/>
    <w:rsid w:val="00FC190F"/>
    <w:rsid w:val="00FC1E5D"/>
    <w:rsid w:val="00FC1F1D"/>
    <w:rsid w:val="00FC26BD"/>
    <w:rsid w:val="00FC29CE"/>
    <w:rsid w:val="00FC2D12"/>
    <w:rsid w:val="00FC338B"/>
    <w:rsid w:val="00FC33BC"/>
    <w:rsid w:val="00FC3DDD"/>
    <w:rsid w:val="00FC3E30"/>
    <w:rsid w:val="00FC417E"/>
    <w:rsid w:val="00FC4560"/>
    <w:rsid w:val="00FC4682"/>
    <w:rsid w:val="00FC4E62"/>
    <w:rsid w:val="00FC4EBD"/>
    <w:rsid w:val="00FC5923"/>
    <w:rsid w:val="00FC5F2A"/>
    <w:rsid w:val="00FC6210"/>
    <w:rsid w:val="00FC656C"/>
    <w:rsid w:val="00FC6E89"/>
    <w:rsid w:val="00FC7775"/>
    <w:rsid w:val="00FC7F89"/>
    <w:rsid w:val="00FD0485"/>
    <w:rsid w:val="00FD04C3"/>
    <w:rsid w:val="00FD0F51"/>
    <w:rsid w:val="00FD142A"/>
    <w:rsid w:val="00FD15AB"/>
    <w:rsid w:val="00FD15D8"/>
    <w:rsid w:val="00FD194C"/>
    <w:rsid w:val="00FD261D"/>
    <w:rsid w:val="00FD2C37"/>
    <w:rsid w:val="00FD2D81"/>
    <w:rsid w:val="00FD362C"/>
    <w:rsid w:val="00FD4667"/>
    <w:rsid w:val="00FD59E1"/>
    <w:rsid w:val="00FD5B53"/>
    <w:rsid w:val="00FD5BB2"/>
    <w:rsid w:val="00FD6049"/>
    <w:rsid w:val="00FD63C2"/>
    <w:rsid w:val="00FD6718"/>
    <w:rsid w:val="00FD744F"/>
    <w:rsid w:val="00FD7518"/>
    <w:rsid w:val="00FE01E4"/>
    <w:rsid w:val="00FE02C7"/>
    <w:rsid w:val="00FE0A51"/>
    <w:rsid w:val="00FE0C68"/>
    <w:rsid w:val="00FE0D40"/>
    <w:rsid w:val="00FE0D47"/>
    <w:rsid w:val="00FE1934"/>
    <w:rsid w:val="00FE1C4B"/>
    <w:rsid w:val="00FE1D63"/>
    <w:rsid w:val="00FE2274"/>
    <w:rsid w:val="00FE2570"/>
    <w:rsid w:val="00FE268B"/>
    <w:rsid w:val="00FE2CCA"/>
    <w:rsid w:val="00FE3246"/>
    <w:rsid w:val="00FE3EB6"/>
    <w:rsid w:val="00FE4037"/>
    <w:rsid w:val="00FE47D5"/>
    <w:rsid w:val="00FE4A0A"/>
    <w:rsid w:val="00FE4AD0"/>
    <w:rsid w:val="00FE4CF7"/>
    <w:rsid w:val="00FE4DF2"/>
    <w:rsid w:val="00FE5276"/>
    <w:rsid w:val="00FE53B2"/>
    <w:rsid w:val="00FE5852"/>
    <w:rsid w:val="00FE61C9"/>
    <w:rsid w:val="00FE640D"/>
    <w:rsid w:val="00FE641C"/>
    <w:rsid w:val="00FE6599"/>
    <w:rsid w:val="00FE6D3B"/>
    <w:rsid w:val="00FE7301"/>
    <w:rsid w:val="00FE760C"/>
    <w:rsid w:val="00FE789F"/>
    <w:rsid w:val="00FE793A"/>
    <w:rsid w:val="00FE7C86"/>
    <w:rsid w:val="00FE7F41"/>
    <w:rsid w:val="00FF0140"/>
    <w:rsid w:val="00FF0504"/>
    <w:rsid w:val="00FF0817"/>
    <w:rsid w:val="00FF085E"/>
    <w:rsid w:val="00FF08B4"/>
    <w:rsid w:val="00FF0998"/>
    <w:rsid w:val="00FF0A99"/>
    <w:rsid w:val="00FF279E"/>
    <w:rsid w:val="00FF2BEA"/>
    <w:rsid w:val="00FF3412"/>
    <w:rsid w:val="00FF3B35"/>
    <w:rsid w:val="00FF4605"/>
    <w:rsid w:val="00FF4658"/>
    <w:rsid w:val="00FF4B97"/>
    <w:rsid w:val="00FF52C9"/>
    <w:rsid w:val="00FF5E24"/>
    <w:rsid w:val="00FF60C2"/>
    <w:rsid w:val="00FF60C3"/>
    <w:rsid w:val="00FF6111"/>
    <w:rsid w:val="00FF62FA"/>
    <w:rsid w:val="00FF6334"/>
    <w:rsid w:val="00FF6AD8"/>
    <w:rsid w:val="00FF6C31"/>
    <w:rsid w:val="00FF7C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2199875"/>
  <w14:defaultImageDpi w14:val="32767"/>
  <w15:chartTrackingRefBased/>
  <w15:docId w15:val="{1739A7B7-017E-FA4C-BD01-544B3711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BB"/>
    <w:pPr>
      <w:spacing w:after="200" w:line="360" w:lineRule="auto"/>
      <w:jc w:val="both"/>
    </w:pPr>
    <w:rPr>
      <w:rFonts w:ascii="Calibri" w:eastAsia="Times New Roman" w:hAnsi="Calibri" w:cs="Calibri"/>
      <w:kern w:val="0"/>
      <w:sz w:val="22"/>
      <w:szCs w:val="22"/>
      <w:lang w:eastAsia="en-GB"/>
      <w14:ligatures w14:val="none"/>
    </w:rPr>
  </w:style>
  <w:style w:type="paragraph" w:styleId="Heading1">
    <w:name w:val="heading 1"/>
    <w:basedOn w:val="Normal"/>
    <w:next w:val="Normal"/>
    <w:link w:val="Heading1Char"/>
    <w:uiPriority w:val="9"/>
    <w:qFormat/>
    <w:rsid w:val="007F1616"/>
    <w:pPr>
      <w:keepNext/>
      <w:keepLines/>
      <w:numPr>
        <w:numId w:val="55"/>
      </w:numPr>
      <w:spacing w:before="240" w:after="0"/>
      <w:ind w:left="0" w:firstLine="1"/>
      <w:outlineLvl w:val="0"/>
    </w:pPr>
    <w:rPr>
      <w:rFonts w:eastAsiaTheme="majorEastAsia"/>
      <w:b/>
      <w:bCs/>
      <w:color w:val="000000" w:themeColor="text1"/>
      <w:sz w:val="36"/>
      <w:szCs w:val="36"/>
    </w:rPr>
  </w:style>
  <w:style w:type="paragraph" w:styleId="Heading2">
    <w:name w:val="heading 2"/>
    <w:basedOn w:val="Heading3"/>
    <w:link w:val="Heading2Char"/>
    <w:autoRedefine/>
    <w:uiPriority w:val="9"/>
    <w:unhideWhenUsed/>
    <w:qFormat/>
    <w:rsid w:val="00581663"/>
    <w:pPr>
      <w:numPr>
        <w:ilvl w:val="1"/>
      </w:numPr>
      <w:spacing w:after="80"/>
      <w:ind w:left="0"/>
      <w:outlineLvl w:val="1"/>
    </w:pPr>
    <w:rPr>
      <w:sz w:val="32"/>
      <w:szCs w:val="32"/>
    </w:rPr>
  </w:style>
  <w:style w:type="paragraph" w:styleId="Heading3">
    <w:name w:val="heading 3"/>
    <w:basedOn w:val="Heading1"/>
    <w:next w:val="Normal"/>
    <w:link w:val="Heading3Char"/>
    <w:uiPriority w:val="9"/>
    <w:unhideWhenUsed/>
    <w:qFormat/>
    <w:rsid w:val="004507C8"/>
    <w:pPr>
      <w:numPr>
        <w:ilvl w:val="2"/>
      </w:numPr>
      <w:spacing w:before="360" w:after="120"/>
      <w:ind w:left="0"/>
      <w:outlineLvl w:val="2"/>
    </w:pPr>
    <w:rPr>
      <w:sz w:val="28"/>
      <w:szCs w:val="28"/>
    </w:rPr>
  </w:style>
  <w:style w:type="paragraph" w:styleId="Heading4">
    <w:name w:val="heading 4"/>
    <w:basedOn w:val="Normal"/>
    <w:next w:val="Normal"/>
    <w:link w:val="Heading4Char"/>
    <w:uiPriority w:val="9"/>
    <w:unhideWhenUsed/>
    <w:qFormat/>
    <w:rsid w:val="00ED2D36"/>
    <w:pPr>
      <w:keepNext/>
      <w:keepLines/>
      <w:numPr>
        <w:ilvl w:val="3"/>
        <w:numId w:val="55"/>
      </w:numPr>
      <w:spacing w:after="0"/>
      <w:ind w:left="0"/>
      <w:outlineLvl w:val="3"/>
    </w:pPr>
    <w:rPr>
      <w:rFonts w:eastAsiaTheme="majorEastAsia"/>
      <w:b/>
      <w:bCs/>
      <w:color w:val="000000" w:themeColor="text1"/>
      <w:sz w:val="24"/>
      <w:szCs w:val="24"/>
    </w:rPr>
  </w:style>
  <w:style w:type="paragraph" w:styleId="Heading5">
    <w:name w:val="heading 5"/>
    <w:basedOn w:val="Normal"/>
    <w:next w:val="Normal"/>
    <w:link w:val="Heading5Char"/>
    <w:uiPriority w:val="9"/>
    <w:unhideWhenUsed/>
    <w:qFormat/>
    <w:rsid w:val="00C10516"/>
    <w:pPr>
      <w:keepNext/>
      <w:keepLines/>
      <w:spacing w:before="40" w:after="0"/>
      <w:outlineLvl w:val="4"/>
    </w:pPr>
    <w:rPr>
      <w:rFonts w:eastAsiaTheme="majorEastAsia"/>
      <w:b/>
      <w:bCs/>
      <w:color w:val="000000" w:themeColor="text1"/>
    </w:rPr>
  </w:style>
  <w:style w:type="paragraph" w:styleId="Heading6">
    <w:name w:val="heading 6"/>
    <w:basedOn w:val="Normal"/>
    <w:next w:val="Normal"/>
    <w:link w:val="Heading6Char"/>
    <w:uiPriority w:val="9"/>
    <w:unhideWhenUsed/>
    <w:qFormat/>
    <w:rsid w:val="00C10516"/>
    <w:pPr>
      <w:keepNext/>
      <w:keepLines/>
      <w:spacing w:before="200" w:after="40"/>
      <w:outlineLvl w:val="5"/>
    </w:pPr>
    <w:rPr>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Dformatting">
    <w:name w:val="PhD formatting"/>
    <w:basedOn w:val="Heading1"/>
    <w:next w:val="Heading1"/>
    <w:autoRedefine/>
    <w:qFormat/>
    <w:rsid w:val="00526F12"/>
    <w:pPr>
      <w:spacing w:after="120" w:line="480" w:lineRule="auto"/>
    </w:pPr>
    <w:rPr>
      <w:rFonts w:ascii="Arial" w:hAnsi="Arial" w:cs="Arial"/>
      <w:b w:val="0"/>
      <w:bCs w:val="0"/>
    </w:rPr>
  </w:style>
  <w:style w:type="character" w:customStyle="1" w:styleId="Heading1Char">
    <w:name w:val="Heading 1 Char"/>
    <w:basedOn w:val="DefaultParagraphFont"/>
    <w:link w:val="Heading1"/>
    <w:uiPriority w:val="9"/>
    <w:rsid w:val="007F1616"/>
    <w:rPr>
      <w:rFonts w:ascii="Calibri" w:eastAsiaTheme="majorEastAsia" w:hAnsi="Calibri" w:cs="Calibri"/>
      <w:b/>
      <w:bCs/>
      <w:color w:val="000000" w:themeColor="text1"/>
      <w:kern w:val="0"/>
      <w:sz w:val="36"/>
      <w:szCs w:val="36"/>
      <w:lang w:eastAsia="en-GB"/>
      <w14:ligatures w14:val="none"/>
    </w:rPr>
  </w:style>
  <w:style w:type="character" w:customStyle="1" w:styleId="Heading2Char">
    <w:name w:val="Heading 2 Char"/>
    <w:basedOn w:val="DefaultParagraphFont"/>
    <w:link w:val="Heading2"/>
    <w:uiPriority w:val="9"/>
    <w:rsid w:val="00581663"/>
    <w:rPr>
      <w:rFonts w:ascii="Calibri" w:eastAsiaTheme="majorEastAsia" w:hAnsi="Calibri" w:cs="Calibri"/>
      <w:b/>
      <w:bCs/>
      <w:color w:val="000000" w:themeColor="text1"/>
      <w:kern w:val="0"/>
      <w:sz w:val="32"/>
      <w:szCs w:val="32"/>
      <w:lang w:eastAsia="en-GB"/>
      <w14:ligatures w14:val="none"/>
    </w:rPr>
  </w:style>
  <w:style w:type="character" w:customStyle="1" w:styleId="Heading3Char">
    <w:name w:val="Heading 3 Char"/>
    <w:basedOn w:val="DefaultParagraphFont"/>
    <w:link w:val="Heading3"/>
    <w:uiPriority w:val="9"/>
    <w:rsid w:val="004507C8"/>
    <w:rPr>
      <w:rFonts w:ascii="Calibri" w:eastAsiaTheme="majorEastAsia" w:hAnsi="Calibri" w:cs="Calibri"/>
      <w:b/>
      <w:bCs/>
      <w:color w:val="000000" w:themeColor="text1"/>
      <w:kern w:val="0"/>
      <w:sz w:val="28"/>
      <w:szCs w:val="28"/>
      <w:lang w:eastAsia="en-GB"/>
      <w14:ligatures w14:val="none"/>
    </w:rPr>
  </w:style>
  <w:style w:type="character" w:customStyle="1" w:styleId="Heading4Char">
    <w:name w:val="Heading 4 Char"/>
    <w:basedOn w:val="DefaultParagraphFont"/>
    <w:link w:val="Heading4"/>
    <w:uiPriority w:val="9"/>
    <w:rsid w:val="00ED2D36"/>
    <w:rPr>
      <w:rFonts w:ascii="Calibri" w:eastAsiaTheme="majorEastAsia" w:hAnsi="Calibri" w:cs="Calibri"/>
      <w:b/>
      <w:bCs/>
      <w:color w:val="000000" w:themeColor="text1"/>
      <w:kern w:val="0"/>
      <w:lang w:eastAsia="en-GB"/>
      <w14:ligatures w14:val="none"/>
    </w:rPr>
  </w:style>
  <w:style w:type="paragraph" w:styleId="ListParagraph">
    <w:name w:val="List Paragraph"/>
    <w:basedOn w:val="Normal"/>
    <w:uiPriority w:val="34"/>
    <w:qFormat/>
    <w:rsid w:val="00E8684A"/>
    <w:pPr>
      <w:ind w:left="720"/>
      <w:contextualSpacing/>
    </w:pPr>
  </w:style>
  <w:style w:type="character" w:styleId="Hyperlink">
    <w:name w:val="Hyperlink"/>
    <w:basedOn w:val="DefaultParagraphFont"/>
    <w:uiPriority w:val="99"/>
    <w:unhideWhenUsed/>
    <w:rsid w:val="006E6A38"/>
    <w:rPr>
      <w:color w:val="000000" w:themeColor="text1"/>
      <w:u w:val="none"/>
    </w:rPr>
  </w:style>
  <w:style w:type="paragraph" w:styleId="Header">
    <w:name w:val="header"/>
    <w:basedOn w:val="Normal"/>
    <w:link w:val="HeaderChar"/>
    <w:uiPriority w:val="99"/>
    <w:unhideWhenUsed/>
    <w:rsid w:val="00E86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84A"/>
    <w:rPr>
      <w:rFonts w:eastAsia="Times New Roman" w:cs="Arial"/>
      <w:kern w:val="0"/>
      <w:sz w:val="22"/>
      <w:szCs w:val="22"/>
      <w:lang w:eastAsia="en-GB"/>
      <w14:ligatures w14:val="none"/>
    </w:rPr>
  </w:style>
  <w:style w:type="paragraph" w:styleId="Footer">
    <w:name w:val="footer"/>
    <w:basedOn w:val="Normal"/>
    <w:link w:val="FooterChar"/>
    <w:uiPriority w:val="99"/>
    <w:unhideWhenUsed/>
    <w:rsid w:val="00E868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84A"/>
    <w:rPr>
      <w:rFonts w:eastAsia="Times New Roman" w:cs="Arial"/>
      <w:kern w:val="0"/>
      <w:sz w:val="22"/>
      <w:szCs w:val="22"/>
      <w:lang w:eastAsia="en-GB"/>
      <w14:ligatures w14:val="none"/>
    </w:rPr>
  </w:style>
  <w:style w:type="paragraph" w:styleId="Title">
    <w:name w:val="Title"/>
    <w:basedOn w:val="Normal"/>
    <w:next w:val="Normal"/>
    <w:link w:val="TitleChar"/>
    <w:uiPriority w:val="10"/>
    <w:qFormat/>
    <w:rsid w:val="00E8684A"/>
    <w:pPr>
      <w:spacing w:after="0" w:line="240" w:lineRule="auto"/>
      <w:contextualSpacing/>
      <w:jc w:val="center"/>
    </w:pPr>
    <w:rPr>
      <w:rFonts w:eastAsiaTheme="majorEastAsia"/>
      <w:spacing w:val="-10"/>
      <w:kern w:val="28"/>
      <w:sz w:val="52"/>
      <w:szCs w:val="52"/>
    </w:rPr>
  </w:style>
  <w:style w:type="character" w:customStyle="1" w:styleId="TitleChar">
    <w:name w:val="Title Char"/>
    <w:basedOn w:val="DefaultParagraphFont"/>
    <w:link w:val="Title"/>
    <w:uiPriority w:val="10"/>
    <w:rsid w:val="00E8684A"/>
    <w:rPr>
      <w:rFonts w:eastAsiaTheme="majorEastAsia" w:cs="Arial"/>
      <w:spacing w:val="-10"/>
      <w:kern w:val="28"/>
      <w:sz w:val="52"/>
      <w:szCs w:val="52"/>
      <w:lang w:eastAsia="en-GB"/>
      <w14:ligatures w14:val="none"/>
    </w:rPr>
  </w:style>
  <w:style w:type="table" w:styleId="TableGrid">
    <w:name w:val="Table Grid"/>
    <w:basedOn w:val="TableNormal"/>
    <w:uiPriority w:val="39"/>
    <w:rsid w:val="00E8684A"/>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8684A"/>
  </w:style>
  <w:style w:type="paragraph" w:styleId="TableofFigures">
    <w:name w:val="table of figures"/>
    <w:basedOn w:val="Normal"/>
    <w:next w:val="Normal"/>
    <w:uiPriority w:val="99"/>
    <w:unhideWhenUsed/>
    <w:rsid w:val="00D54EDC"/>
    <w:pPr>
      <w:spacing w:after="0"/>
    </w:pPr>
    <w:rPr>
      <w:rFonts w:asciiTheme="minorHAnsi" w:hAnsiTheme="minorHAnsi"/>
    </w:rPr>
  </w:style>
  <w:style w:type="paragraph" w:styleId="Caption">
    <w:name w:val="caption"/>
    <w:basedOn w:val="Normal"/>
    <w:next w:val="Normal"/>
    <w:uiPriority w:val="35"/>
    <w:unhideWhenUsed/>
    <w:qFormat/>
    <w:rsid w:val="00F059B4"/>
    <w:pPr>
      <w:keepNext/>
      <w:spacing w:line="240" w:lineRule="auto"/>
    </w:pPr>
    <w:rPr>
      <w:i/>
      <w:iCs/>
      <w:noProof/>
      <w:color w:val="7B7B7B" w:themeColor="accent3" w:themeShade="BF"/>
      <w:sz w:val="18"/>
      <w:szCs w:val="18"/>
    </w:rPr>
  </w:style>
  <w:style w:type="table" w:styleId="ListTable1Light-Accent3">
    <w:name w:val="List Table 1 Light Accent 3"/>
    <w:basedOn w:val="TableNormal"/>
    <w:uiPriority w:val="46"/>
    <w:rsid w:val="0036794C"/>
    <w:pPr>
      <w:jc w:val="both"/>
    </w:pPr>
    <w:rPr>
      <w:rFonts w:eastAsia="Arial" w:cs="Arial"/>
      <w:kern w:val="0"/>
      <w:lang w:eastAsia="en-GB"/>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uiPriority w:val="9"/>
    <w:rsid w:val="00C10516"/>
    <w:rPr>
      <w:rFonts w:ascii="Calibri" w:eastAsiaTheme="majorEastAsia" w:hAnsi="Calibri" w:cs="Calibri"/>
      <w:b/>
      <w:bCs/>
      <w:color w:val="000000" w:themeColor="text1"/>
      <w:kern w:val="0"/>
      <w:sz w:val="22"/>
      <w:szCs w:val="22"/>
      <w:lang w:eastAsia="en-GB"/>
      <w14:ligatures w14:val="none"/>
    </w:rPr>
  </w:style>
  <w:style w:type="character" w:customStyle="1" w:styleId="Heading6Char">
    <w:name w:val="Heading 6 Char"/>
    <w:basedOn w:val="DefaultParagraphFont"/>
    <w:link w:val="Heading6"/>
    <w:uiPriority w:val="9"/>
    <w:rsid w:val="00C10516"/>
    <w:rPr>
      <w:rFonts w:eastAsia="Times New Roman" w:cs="Arial"/>
      <w:bCs/>
      <w:kern w:val="0"/>
      <w:sz w:val="20"/>
      <w:szCs w:val="20"/>
      <w:u w:val="single"/>
      <w:lang w:eastAsia="en-GB"/>
      <w14:ligatures w14:val="none"/>
    </w:rPr>
  </w:style>
  <w:style w:type="paragraph" w:customStyle="1" w:styleId="EndNoteBibliography">
    <w:name w:val="EndNote Bibliography"/>
    <w:basedOn w:val="Normal"/>
    <w:link w:val="EndNoteBibliographyChar"/>
    <w:rsid w:val="00E95DC7"/>
    <w:pPr>
      <w:spacing w:line="240" w:lineRule="auto"/>
      <w:jc w:val="left"/>
    </w:pPr>
  </w:style>
  <w:style w:type="character" w:customStyle="1" w:styleId="EndNoteBibliographyChar">
    <w:name w:val="EndNote Bibliography Char"/>
    <w:basedOn w:val="DefaultParagraphFont"/>
    <w:link w:val="EndNoteBibliography"/>
    <w:rsid w:val="00E95DC7"/>
    <w:rPr>
      <w:rFonts w:ascii="Calibri" w:eastAsia="Times New Roman" w:hAnsi="Calibri" w:cs="Calibri"/>
      <w:kern w:val="0"/>
      <w:sz w:val="22"/>
      <w:szCs w:val="22"/>
      <w:lang w:eastAsia="en-GB"/>
      <w14:ligatures w14:val="none"/>
    </w:rPr>
  </w:style>
  <w:style w:type="character" w:styleId="CommentReference">
    <w:name w:val="annotation reference"/>
    <w:basedOn w:val="DefaultParagraphFont"/>
    <w:uiPriority w:val="99"/>
    <w:semiHidden/>
    <w:unhideWhenUsed/>
    <w:rsid w:val="00394487"/>
    <w:rPr>
      <w:sz w:val="16"/>
      <w:szCs w:val="16"/>
    </w:rPr>
  </w:style>
  <w:style w:type="paragraph" w:styleId="CommentText">
    <w:name w:val="annotation text"/>
    <w:basedOn w:val="Normal"/>
    <w:link w:val="CommentTextChar"/>
    <w:uiPriority w:val="99"/>
    <w:unhideWhenUsed/>
    <w:rsid w:val="00394487"/>
    <w:pPr>
      <w:spacing w:line="240" w:lineRule="auto"/>
    </w:pPr>
    <w:rPr>
      <w:sz w:val="20"/>
      <w:szCs w:val="20"/>
    </w:rPr>
  </w:style>
  <w:style w:type="character" w:customStyle="1" w:styleId="CommentTextChar">
    <w:name w:val="Comment Text Char"/>
    <w:basedOn w:val="DefaultParagraphFont"/>
    <w:link w:val="CommentText"/>
    <w:uiPriority w:val="99"/>
    <w:rsid w:val="00394487"/>
    <w:rPr>
      <w:rFonts w:eastAsia="Times New Roman" w:cs="Arial"/>
      <w:kern w:val="0"/>
      <w:sz w:val="20"/>
      <w:szCs w:val="20"/>
      <w:lang w:eastAsia="en-GB"/>
      <w14:ligatures w14:val="none"/>
    </w:rPr>
  </w:style>
  <w:style w:type="paragraph" w:styleId="BodyText">
    <w:name w:val="Body Text"/>
    <w:basedOn w:val="Normal"/>
    <w:link w:val="BodyTextChar"/>
    <w:rsid w:val="00394487"/>
    <w:pPr>
      <w:spacing w:after="0" w:line="240" w:lineRule="auto"/>
      <w:ind w:right="-334"/>
      <w:jc w:val="left"/>
    </w:pPr>
    <w:rPr>
      <w:sz w:val="24"/>
      <w:szCs w:val="24"/>
      <w:lang w:eastAsia="en-US"/>
    </w:rPr>
  </w:style>
  <w:style w:type="character" w:customStyle="1" w:styleId="BodyTextChar">
    <w:name w:val="Body Text Char"/>
    <w:basedOn w:val="DefaultParagraphFont"/>
    <w:link w:val="BodyText"/>
    <w:rsid w:val="00394487"/>
    <w:rPr>
      <w:rFonts w:eastAsia="Times New Roman" w:cs="Arial"/>
      <w:kern w:val="0"/>
      <w14:ligatures w14:val="none"/>
    </w:rPr>
  </w:style>
  <w:style w:type="paragraph" w:styleId="NormalWeb">
    <w:name w:val="Normal (Web)"/>
    <w:basedOn w:val="Normal"/>
    <w:uiPriority w:val="99"/>
    <w:unhideWhenUsed/>
    <w:rsid w:val="00394487"/>
    <w:pPr>
      <w:spacing w:before="100" w:beforeAutospacing="1" w:after="100" w:afterAutospacing="1" w:line="240" w:lineRule="auto"/>
      <w:jc w:val="left"/>
    </w:pPr>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394487"/>
    <w:pPr>
      <w:spacing w:after="0"/>
      <w:jc w:val="center"/>
    </w:pPr>
  </w:style>
  <w:style w:type="character" w:customStyle="1" w:styleId="EndNoteBibliographyTitleChar">
    <w:name w:val="EndNote Bibliography Title Char"/>
    <w:basedOn w:val="DefaultParagraphFont"/>
    <w:link w:val="EndNoteBibliographyTitle"/>
    <w:rsid w:val="00394487"/>
    <w:rPr>
      <w:rFonts w:ascii="Calibri" w:eastAsia="Times New Roman" w:hAnsi="Calibri" w:cs="Calibri"/>
      <w:kern w:val="0"/>
      <w:sz w:val="22"/>
      <w:szCs w:val="22"/>
      <w:lang w:eastAsia="en-GB"/>
      <w14:ligatures w14:val="none"/>
    </w:rPr>
  </w:style>
  <w:style w:type="character" w:styleId="UnresolvedMention">
    <w:name w:val="Unresolved Mention"/>
    <w:basedOn w:val="DefaultParagraphFont"/>
    <w:uiPriority w:val="99"/>
    <w:semiHidden/>
    <w:unhideWhenUsed/>
    <w:rsid w:val="0039448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4487"/>
    <w:rPr>
      <w:b/>
      <w:bCs/>
    </w:rPr>
  </w:style>
  <w:style w:type="character" w:customStyle="1" w:styleId="CommentSubjectChar">
    <w:name w:val="Comment Subject Char"/>
    <w:basedOn w:val="CommentTextChar"/>
    <w:link w:val="CommentSubject"/>
    <w:uiPriority w:val="99"/>
    <w:semiHidden/>
    <w:rsid w:val="00394487"/>
    <w:rPr>
      <w:rFonts w:eastAsia="Times New Roman" w:cs="Arial"/>
      <w:b/>
      <w:bCs/>
      <w:kern w:val="0"/>
      <w:sz w:val="20"/>
      <w:szCs w:val="20"/>
      <w:lang w:eastAsia="en-GB"/>
      <w14:ligatures w14:val="none"/>
    </w:rPr>
  </w:style>
  <w:style w:type="paragraph" w:styleId="Revision">
    <w:name w:val="Revision"/>
    <w:hidden/>
    <w:uiPriority w:val="99"/>
    <w:semiHidden/>
    <w:rsid w:val="00394487"/>
    <w:rPr>
      <w:rFonts w:eastAsia="Times New Roman" w:cs="Arial"/>
      <w:kern w:val="0"/>
      <w:sz w:val="22"/>
      <w:szCs w:val="22"/>
      <w:lang w:eastAsia="en-GB"/>
      <w14:ligatures w14:val="none"/>
    </w:rPr>
  </w:style>
  <w:style w:type="paragraph" w:styleId="TOCHeading">
    <w:name w:val="TOC Heading"/>
    <w:basedOn w:val="Heading1"/>
    <w:next w:val="Normal"/>
    <w:uiPriority w:val="39"/>
    <w:unhideWhenUsed/>
    <w:qFormat/>
    <w:rsid w:val="00394487"/>
    <w:pPr>
      <w:numPr>
        <w:numId w:val="0"/>
      </w:numPr>
      <w:spacing w:before="480" w:after="120"/>
      <w:jc w:val="left"/>
      <w:outlineLvl w:val="9"/>
    </w:pPr>
    <w:rPr>
      <w:rFonts w:asciiTheme="majorHAnsi" w:hAnsiTheme="majorHAnsi" w:cstheme="majorBidi"/>
      <w:color w:val="2F5496" w:themeColor="accent1" w:themeShade="BF"/>
      <w:sz w:val="28"/>
      <w:szCs w:val="28"/>
      <w:lang w:val="en-US" w:eastAsia="en-US"/>
    </w:rPr>
  </w:style>
  <w:style w:type="paragraph" w:styleId="TOC1">
    <w:name w:val="toc 1"/>
    <w:basedOn w:val="Heading1"/>
    <w:next w:val="Normal"/>
    <w:autoRedefine/>
    <w:uiPriority w:val="39"/>
    <w:unhideWhenUsed/>
    <w:rsid w:val="0002632D"/>
    <w:pPr>
      <w:keepNext w:val="0"/>
      <w:keepLines w:val="0"/>
      <w:numPr>
        <w:numId w:val="0"/>
      </w:numPr>
      <w:tabs>
        <w:tab w:val="right" w:leader="dot" w:pos="9016"/>
      </w:tabs>
      <w:spacing w:before="120"/>
      <w:jc w:val="left"/>
      <w:outlineLvl w:val="9"/>
    </w:pPr>
    <w:rPr>
      <w:rFonts w:asciiTheme="minorHAnsi" w:eastAsia="Times New Roman" w:hAnsiTheme="minorHAnsi" w:cstheme="minorHAnsi"/>
      <w:iCs/>
      <w:color w:val="auto"/>
      <w:sz w:val="24"/>
      <w:szCs w:val="24"/>
    </w:rPr>
  </w:style>
  <w:style w:type="paragraph" w:styleId="TOC2">
    <w:name w:val="toc 2"/>
    <w:basedOn w:val="Normal"/>
    <w:next w:val="Normal"/>
    <w:autoRedefine/>
    <w:uiPriority w:val="39"/>
    <w:unhideWhenUsed/>
    <w:rsid w:val="00DB378C"/>
    <w:pPr>
      <w:tabs>
        <w:tab w:val="right" w:leader="dot" w:pos="9016"/>
      </w:tabs>
      <w:spacing w:beforeLines="80" w:before="192" w:after="0" w:line="240" w:lineRule="auto"/>
      <w:ind w:left="220"/>
      <w:jc w:val="left"/>
    </w:pPr>
    <w:rPr>
      <w:rFonts w:asciiTheme="minorHAnsi" w:hAnsiTheme="minorHAnsi" w:cstheme="minorHAnsi"/>
      <w:b/>
      <w:bCs/>
    </w:rPr>
  </w:style>
  <w:style w:type="paragraph" w:styleId="TOC3">
    <w:name w:val="toc 3"/>
    <w:basedOn w:val="Normal"/>
    <w:next w:val="Normal"/>
    <w:autoRedefine/>
    <w:uiPriority w:val="39"/>
    <w:unhideWhenUsed/>
    <w:rsid w:val="00394487"/>
    <w:pPr>
      <w:spacing w:after="0"/>
      <w:ind w:left="44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394487"/>
    <w:pPr>
      <w:spacing w:after="0"/>
      <w:ind w:left="66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394487"/>
    <w:pPr>
      <w:spacing w:after="0"/>
      <w:ind w:left="88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394487"/>
    <w:pPr>
      <w:spacing w:after="0"/>
      <w:ind w:left="11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394487"/>
    <w:pPr>
      <w:spacing w:after="0"/>
      <w:ind w:left="132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394487"/>
    <w:pPr>
      <w:spacing w:after="0"/>
      <w:ind w:left="15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394487"/>
    <w:pPr>
      <w:spacing w:after="0"/>
      <w:ind w:left="1760"/>
      <w:jc w:val="left"/>
    </w:pPr>
    <w:rPr>
      <w:rFonts w:asciiTheme="minorHAnsi" w:hAnsiTheme="minorHAnsi" w:cstheme="minorHAnsi"/>
      <w:sz w:val="20"/>
      <w:szCs w:val="20"/>
    </w:rPr>
  </w:style>
  <w:style w:type="table" w:styleId="ListTable6ColourfulAccent4">
    <w:name w:val="List Table 6 Colorful Accent 4"/>
    <w:basedOn w:val="TableNormal"/>
    <w:uiPriority w:val="51"/>
    <w:rsid w:val="00394487"/>
    <w:pPr>
      <w:spacing w:after="200" w:line="360" w:lineRule="auto"/>
      <w:jc w:val="both"/>
    </w:pPr>
    <w:rPr>
      <w:rFonts w:eastAsia="Arial" w:cs="Arial"/>
      <w:color w:val="BF8F00" w:themeColor="accent4" w:themeShade="BF"/>
      <w:kern w:val="0"/>
      <w:lang w:eastAsia="en-GB"/>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
    <w:name w:val="List Table 6 Colorful"/>
    <w:basedOn w:val="TableNormal"/>
    <w:uiPriority w:val="51"/>
    <w:rsid w:val="00394487"/>
    <w:pPr>
      <w:spacing w:after="200" w:line="360" w:lineRule="auto"/>
      <w:jc w:val="both"/>
    </w:pPr>
    <w:rPr>
      <w:rFonts w:eastAsia="Arial" w:cs="Arial"/>
      <w:color w:val="000000" w:themeColor="text1"/>
      <w:kern w:val="0"/>
      <w:lang w:eastAsia="en-GB"/>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394487"/>
    <w:rPr>
      <w:color w:val="954F72" w:themeColor="followedHyperlink"/>
      <w:u w:val="single"/>
    </w:rPr>
  </w:style>
  <w:style w:type="paragraph" w:styleId="Subtitle">
    <w:name w:val="Subtitle"/>
    <w:basedOn w:val="Normal"/>
    <w:next w:val="Normal"/>
    <w:link w:val="SubtitleChar"/>
    <w:uiPriority w:val="11"/>
    <w:qFormat/>
    <w:rsid w:val="0039448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94487"/>
    <w:rPr>
      <w:rFonts w:ascii="Georgia" w:eastAsia="Georgia" w:hAnsi="Georgia" w:cs="Georgia"/>
      <w:i/>
      <w:color w:val="666666"/>
      <w:kern w:val="0"/>
      <w:sz w:val="48"/>
      <w:szCs w:val="48"/>
      <w:lang w:eastAsia="en-GB"/>
      <w14:ligatures w14:val="none"/>
    </w:rPr>
  </w:style>
  <w:style w:type="paragraph" w:styleId="TableofAuthorities">
    <w:name w:val="table of authorities"/>
    <w:basedOn w:val="Normal"/>
    <w:next w:val="Normal"/>
    <w:uiPriority w:val="99"/>
    <w:unhideWhenUsed/>
    <w:rsid w:val="00394487"/>
    <w:pPr>
      <w:spacing w:after="0"/>
      <w:ind w:left="240" w:hanging="240"/>
      <w:jc w:val="left"/>
    </w:pPr>
    <w:rPr>
      <w:rFonts w:asciiTheme="minorHAnsi" w:hAnsiTheme="minorHAnsi" w:cstheme="minorHAnsi"/>
      <w:sz w:val="20"/>
      <w:szCs w:val="20"/>
    </w:rPr>
  </w:style>
  <w:style w:type="paragraph" w:styleId="TOAHeading">
    <w:name w:val="toa heading"/>
    <w:basedOn w:val="Normal"/>
    <w:next w:val="Normal"/>
    <w:uiPriority w:val="99"/>
    <w:unhideWhenUsed/>
    <w:rsid w:val="00394487"/>
    <w:pPr>
      <w:spacing w:before="240" w:after="120"/>
      <w:jc w:val="left"/>
    </w:pPr>
    <w:rPr>
      <w:rFonts w:asciiTheme="minorHAnsi" w:hAnsiTheme="minorHAnsi" w:cstheme="minorHAnsi"/>
      <w:b/>
      <w:bCs/>
      <w:caps/>
      <w:sz w:val="20"/>
      <w:szCs w:val="20"/>
    </w:rPr>
  </w:style>
  <w:style w:type="table" w:styleId="PlainTable5">
    <w:name w:val="Plain Table 5"/>
    <w:basedOn w:val="TableNormal"/>
    <w:uiPriority w:val="45"/>
    <w:rsid w:val="00394487"/>
    <w:pPr>
      <w:jc w:val="both"/>
    </w:pPr>
    <w:rPr>
      <w:rFonts w:eastAsia="Arial" w:cs="Arial"/>
      <w:kern w:val="0"/>
      <w:lang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94487"/>
    <w:pPr>
      <w:jc w:val="both"/>
    </w:pPr>
    <w:rPr>
      <w:rFonts w:eastAsia="Arial" w:cs="Arial"/>
      <w:kern w:val="0"/>
      <w:lang w:eastAsia="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94487"/>
    <w:pPr>
      <w:jc w:val="both"/>
    </w:pPr>
    <w:rPr>
      <w:rFonts w:eastAsia="Arial" w:cs="Arial"/>
      <w:kern w:val="0"/>
      <w:lang w:eastAsia="en-GB"/>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394487"/>
    <w:pPr>
      <w:jc w:val="both"/>
    </w:pPr>
    <w:rPr>
      <w:rFonts w:eastAsia="Arial" w:cs="Arial"/>
      <w:kern w:val="0"/>
      <w:lang w:eastAsia="en-GB"/>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5">
    <w:name w:val="List Table 1 Light Accent 5"/>
    <w:basedOn w:val="TableNormal"/>
    <w:uiPriority w:val="46"/>
    <w:rsid w:val="00394487"/>
    <w:pPr>
      <w:jc w:val="both"/>
    </w:pPr>
    <w:rPr>
      <w:rFonts w:eastAsia="Arial" w:cs="Arial"/>
      <w:kern w:val="0"/>
      <w:lang w:eastAsia="en-GB"/>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
    <w:name w:val="List Table 3"/>
    <w:basedOn w:val="TableNormal"/>
    <w:uiPriority w:val="48"/>
    <w:rsid w:val="00394487"/>
    <w:pPr>
      <w:jc w:val="both"/>
    </w:pPr>
    <w:rPr>
      <w:rFonts w:eastAsia="Arial" w:cs="Arial"/>
      <w:kern w:val="0"/>
      <w:lang w:eastAsia="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3">
    <w:name w:val="List Table 3 Accent 3"/>
    <w:basedOn w:val="TableNormal"/>
    <w:uiPriority w:val="48"/>
    <w:rsid w:val="00394487"/>
    <w:pPr>
      <w:jc w:val="both"/>
    </w:pPr>
    <w:rPr>
      <w:rFonts w:eastAsia="Arial" w:cs="Arial"/>
      <w:kern w:val="0"/>
      <w:lang w:eastAsia="en-GB"/>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4-Accent3">
    <w:name w:val="List Table 4 Accent 3"/>
    <w:basedOn w:val="TableNormal"/>
    <w:uiPriority w:val="49"/>
    <w:rsid w:val="00394487"/>
    <w:pPr>
      <w:jc w:val="both"/>
    </w:pPr>
    <w:rPr>
      <w:rFonts w:eastAsia="Arial" w:cs="Arial"/>
      <w:kern w:val="0"/>
      <w:lang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394487"/>
    <w:pPr>
      <w:jc w:val="both"/>
    </w:pPr>
    <w:rPr>
      <w:rFonts w:eastAsia="Arial" w:cs="Arial"/>
      <w:kern w:val="0"/>
      <w:lang w:eastAsia="en-GB"/>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ookTitle">
    <w:name w:val="Book Title"/>
    <w:basedOn w:val="DefaultParagraphFont"/>
    <w:uiPriority w:val="33"/>
    <w:qFormat/>
    <w:rsid w:val="00394487"/>
    <w:rPr>
      <w:b/>
      <w:bCs/>
      <w:i/>
      <w:iCs/>
      <w:spacing w:val="5"/>
    </w:rPr>
  </w:style>
  <w:style w:type="character" w:styleId="PlaceholderText">
    <w:name w:val="Placeholder Text"/>
    <w:basedOn w:val="DefaultParagraphFont"/>
    <w:uiPriority w:val="99"/>
    <w:semiHidden/>
    <w:rsid w:val="00394487"/>
    <w:rPr>
      <w:color w:val="666666"/>
    </w:rPr>
  </w:style>
  <w:style w:type="paragraph" w:styleId="BalloonText">
    <w:name w:val="Balloon Text"/>
    <w:basedOn w:val="Normal"/>
    <w:link w:val="BalloonTextChar"/>
    <w:uiPriority w:val="99"/>
    <w:semiHidden/>
    <w:unhideWhenUsed/>
    <w:rsid w:val="00394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487"/>
    <w:rPr>
      <w:rFonts w:ascii="Segoe UI" w:eastAsia="Times New Roman" w:hAnsi="Segoe UI" w:cs="Segoe UI"/>
      <w:kern w:val="0"/>
      <w:sz w:val="18"/>
      <w:szCs w:val="18"/>
      <w:lang w:eastAsia="en-GB"/>
      <w14:ligatures w14:val="none"/>
    </w:rPr>
  </w:style>
  <w:style w:type="character" w:styleId="PageNumber">
    <w:name w:val="page number"/>
    <w:basedOn w:val="DefaultParagraphFont"/>
    <w:uiPriority w:val="99"/>
    <w:semiHidden/>
    <w:unhideWhenUsed/>
    <w:rsid w:val="00394487"/>
  </w:style>
  <w:style w:type="character" w:styleId="Emphasis">
    <w:name w:val="Emphasis"/>
    <w:basedOn w:val="DefaultParagraphFont"/>
    <w:uiPriority w:val="20"/>
    <w:qFormat/>
    <w:rsid w:val="00394487"/>
    <w:rPr>
      <w:i/>
      <w:iCs/>
    </w:rPr>
  </w:style>
  <w:style w:type="character" w:styleId="LineNumber">
    <w:name w:val="line number"/>
    <w:basedOn w:val="DefaultParagraphFont"/>
    <w:uiPriority w:val="99"/>
    <w:semiHidden/>
    <w:unhideWhenUsed/>
    <w:rsid w:val="00394487"/>
  </w:style>
  <w:style w:type="character" w:styleId="Strong">
    <w:name w:val="Strong"/>
    <w:basedOn w:val="DefaultParagraphFont"/>
    <w:uiPriority w:val="22"/>
    <w:qFormat/>
    <w:rsid w:val="00D601A5"/>
    <w:rPr>
      <w:b/>
      <w:bCs/>
    </w:rPr>
  </w:style>
  <w:style w:type="paragraph" w:styleId="z-TopofForm">
    <w:name w:val="HTML Top of Form"/>
    <w:basedOn w:val="Normal"/>
    <w:next w:val="Normal"/>
    <w:link w:val="z-TopofFormChar"/>
    <w:hidden/>
    <w:uiPriority w:val="99"/>
    <w:semiHidden/>
    <w:unhideWhenUsed/>
    <w:rsid w:val="00D601A5"/>
    <w:pPr>
      <w:pBdr>
        <w:bottom w:val="single" w:sz="6" w:space="1" w:color="auto"/>
      </w:pBdr>
      <w:spacing w:after="0" w:line="240" w:lineRule="auto"/>
      <w:jc w:val="center"/>
    </w:pPr>
    <w:rPr>
      <w:vanish/>
      <w:sz w:val="16"/>
      <w:szCs w:val="16"/>
    </w:rPr>
  </w:style>
  <w:style w:type="character" w:customStyle="1" w:styleId="z-TopofFormChar">
    <w:name w:val="z-Top of Form Char"/>
    <w:basedOn w:val="DefaultParagraphFont"/>
    <w:link w:val="z-TopofForm"/>
    <w:uiPriority w:val="99"/>
    <w:semiHidden/>
    <w:rsid w:val="00D601A5"/>
    <w:rPr>
      <w:rFonts w:eastAsia="Times New Roman" w:cs="Arial"/>
      <w:vanish/>
      <w:kern w:val="0"/>
      <w:sz w:val="16"/>
      <w:szCs w:val="16"/>
      <w:lang w:eastAsia="en-GB"/>
      <w14:ligatures w14:val="none"/>
    </w:rPr>
  </w:style>
  <w:style w:type="paragraph" w:customStyle="1" w:styleId="placeholder">
    <w:name w:val="placeholder"/>
    <w:basedOn w:val="Normal"/>
    <w:rsid w:val="00D601A5"/>
    <w:pPr>
      <w:spacing w:before="100" w:beforeAutospacing="1" w:after="100" w:afterAutospacing="1" w:line="240" w:lineRule="auto"/>
      <w:jc w:val="left"/>
    </w:pPr>
    <w:rPr>
      <w:rFonts w:ascii="Times New Roman" w:hAnsi="Times New Roman" w:cs="Times New Roman"/>
      <w:sz w:val="24"/>
      <w:szCs w:val="24"/>
    </w:rPr>
  </w:style>
  <w:style w:type="character" w:customStyle="1" w:styleId="ms-15">
    <w:name w:val="ms-1.5"/>
    <w:basedOn w:val="DefaultParagraphFont"/>
    <w:rsid w:val="00D601A5"/>
  </w:style>
  <w:style w:type="paragraph" w:styleId="z-BottomofForm">
    <w:name w:val="HTML Bottom of Form"/>
    <w:basedOn w:val="Normal"/>
    <w:next w:val="Normal"/>
    <w:link w:val="z-BottomofFormChar"/>
    <w:hidden/>
    <w:uiPriority w:val="99"/>
    <w:semiHidden/>
    <w:unhideWhenUsed/>
    <w:rsid w:val="00D601A5"/>
    <w:pPr>
      <w:pBdr>
        <w:top w:val="single" w:sz="6" w:space="1" w:color="auto"/>
      </w:pBdr>
      <w:spacing w:after="0" w:line="240" w:lineRule="auto"/>
      <w:jc w:val="center"/>
    </w:pPr>
    <w:rPr>
      <w:vanish/>
      <w:sz w:val="16"/>
      <w:szCs w:val="16"/>
    </w:rPr>
  </w:style>
  <w:style w:type="character" w:customStyle="1" w:styleId="z-BottomofFormChar">
    <w:name w:val="z-Bottom of Form Char"/>
    <w:basedOn w:val="DefaultParagraphFont"/>
    <w:link w:val="z-BottomofForm"/>
    <w:uiPriority w:val="99"/>
    <w:semiHidden/>
    <w:rsid w:val="00D601A5"/>
    <w:rPr>
      <w:rFonts w:eastAsia="Times New Roman" w:cs="Arial"/>
      <w:vanish/>
      <w:kern w:val="0"/>
      <w:sz w:val="16"/>
      <w:szCs w:val="16"/>
      <w:lang w:eastAsia="en-GB"/>
      <w14:ligatures w14:val="none"/>
    </w:rPr>
  </w:style>
  <w:style w:type="paragraph" w:customStyle="1" w:styleId="p1">
    <w:name w:val="p1"/>
    <w:basedOn w:val="Normal"/>
    <w:rsid w:val="00D601A5"/>
    <w:pPr>
      <w:spacing w:after="0" w:line="240" w:lineRule="auto"/>
      <w:jc w:val="left"/>
    </w:pPr>
    <w:rPr>
      <w:color w:val="000000"/>
      <w:sz w:val="17"/>
      <w:szCs w:val="17"/>
    </w:rPr>
  </w:style>
  <w:style w:type="character" w:customStyle="1" w:styleId="katex-mathml">
    <w:name w:val="katex-mathml"/>
    <w:basedOn w:val="DefaultParagraphFont"/>
    <w:rsid w:val="00FA366A"/>
  </w:style>
  <w:style w:type="character" w:customStyle="1" w:styleId="mord">
    <w:name w:val="mord"/>
    <w:basedOn w:val="DefaultParagraphFont"/>
    <w:rsid w:val="00FA366A"/>
  </w:style>
  <w:style w:type="character" w:customStyle="1" w:styleId="mrel">
    <w:name w:val="mrel"/>
    <w:basedOn w:val="DefaultParagraphFont"/>
    <w:rsid w:val="00FA366A"/>
  </w:style>
  <w:style w:type="character" w:customStyle="1" w:styleId="vlist-s">
    <w:name w:val="vlist-s"/>
    <w:basedOn w:val="DefaultParagraphFont"/>
    <w:rsid w:val="00FA366A"/>
  </w:style>
  <w:style w:type="character" w:customStyle="1" w:styleId="mbin">
    <w:name w:val="mbin"/>
    <w:basedOn w:val="DefaultParagraphFont"/>
    <w:rsid w:val="00FA366A"/>
  </w:style>
  <w:style w:type="table" w:styleId="PlainTable2">
    <w:name w:val="Plain Table 2"/>
    <w:basedOn w:val="TableNormal"/>
    <w:uiPriority w:val="42"/>
    <w:rsid w:val="00FA366A"/>
    <w:rPr>
      <w:rFonts w:ascii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pen">
    <w:name w:val="mopen"/>
    <w:basedOn w:val="DefaultParagraphFont"/>
    <w:rsid w:val="00FA366A"/>
  </w:style>
  <w:style w:type="character" w:customStyle="1" w:styleId="mclose">
    <w:name w:val="mclose"/>
    <w:basedOn w:val="DefaultParagraphFont"/>
    <w:rsid w:val="00FA366A"/>
  </w:style>
  <w:style w:type="table" w:customStyle="1" w:styleId="TableGrid0">
    <w:name w:val="TableGrid"/>
    <w:rsid w:val="00F564A7"/>
    <w:rPr>
      <w:rFonts w:asciiTheme="minorHAnsi" w:eastAsiaTheme="minorEastAsia" w:hAnsiTheme="minorHAnsi" w:cstheme="minorBidi"/>
      <w:kern w:val="0"/>
      <w:sz w:val="22"/>
      <w:szCs w:val="22"/>
      <w:lang w:val="en-US"/>
      <w14:ligatures w14:val="none"/>
    </w:rPr>
    <w:tblPr>
      <w:tblCellMar>
        <w:top w:w="0" w:type="dxa"/>
        <w:left w:w="0" w:type="dxa"/>
        <w:bottom w:w="0" w:type="dxa"/>
        <w:right w:w="0" w:type="dxa"/>
      </w:tblCellMar>
    </w:tblPr>
  </w:style>
  <w:style w:type="paragraph" w:styleId="NoSpacing">
    <w:name w:val="No Spacing"/>
    <w:uiPriority w:val="1"/>
    <w:qFormat/>
    <w:rsid w:val="00F564A7"/>
    <w:pPr>
      <w:jc w:val="both"/>
    </w:pPr>
    <w:rPr>
      <w:rFonts w:ascii="Calibri" w:eastAsia="Times New Roman" w:hAnsi="Calibri" w:cs="Calibri"/>
      <w:kern w:val="0"/>
      <w:sz w:val="22"/>
      <w:szCs w:val="22"/>
      <w:lang w:eastAsia="en-GB"/>
      <w14:ligatures w14:val="none"/>
    </w:rPr>
  </w:style>
  <w:style w:type="character" w:customStyle="1" w:styleId="blocktitle">
    <w:name w:val="blocktitle"/>
    <w:basedOn w:val="DefaultParagraphFont"/>
    <w:rsid w:val="00C41DE2"/>
  </w:style>
  <w:style w:type="character" w:customStyle="1" w:styleId="wib0o">
    <w:name w:val="_wib0o"/>
    <w:basedOn w:val="DefaultParagraphFont"/>
    <w:rsid w:val="00C41DE2"/>
  </w:style>
  <w:style w:type="character" w:customStyle="1" w:styleId="questionexporttag">
    <w:name w:val="questionexporttag"/>
    <w:basedOn w:val="DefaultParagraphFont"/>
    <w:rsid w:val="00C41DE2"/>
  </w:style>
  <w:style w:type="character" w:customStyle="1" w:styleId="message">
    <w:name w:val="message"/>
    <w:basedOn w:val="DefaultParagraphFont"/>
    <w:rsid w:val="00C41DE2"/>
  </w:style>
  <w:style w:type="paragraph" w:customStyle="1" w:styleId="selection">
    <w:name w:val="selection"/>
    <w:basedOn w:val="Normal"/>
    <w:rsid w:val="00C41DE2"/>
    <w:pPr>
      <w:spacing w:before="100" w:beforeAutospacing="1" w:after="100" w:afterAutospacing="1" w:line="240" w:lineRule="auto"/>
      <w:jc w:val="left"/>
    </w:pPr>
    <w:rPr>
      <w:rFonts w:ascii="Times New Roman" w:hAnsi="Times New Roman" w:cs="Times New Roman"/>
      <w:sz w:val="24"/>
      <w:szCs w:val="24"/>
    </w:rPr>
  </w:style>
  <w:style w:type="character" w:customStyle="1" w:styleId="labelwrapper">
    <w:name w:val="labelwrapper"/>
    <w:basedOn w:val="DefaultParagraphFont"/>
    <w:rsid w:val="00C41DE2"/>
  </w:style>
  <w:style w:type="character" w:customStyle="1" w:styleId="conjdesc">
    <w:name w:val="conjdesc"/>
    <w:basedOn w:val="DefaultParagraphFont"/>
    <w:rsid w:val="00C41DE2"/>
  </w:style>
  <w:style w:type="character" w:customStyle="1" w:styleId="questiondesc">
    <w:name w:val="questiondesc"/>
    <w:basedOn w:val="DefaultParagraphFont"/>
    <w:rsid w:val="00C41DE2"/>
  </w:style>
  <w:style w:type="character" w:customStyle="1" w:styleId="leftopdesc">
    <w:name w:val="leftopdesc"/>
    <w:basedOn w:val="DefaultParagraphFont"/>
    <w:rsid w:val="00C41DE2"/>
  </w:style>
  <w:style w:type="character" w:customStyle="1" w:styleId="opdesc">
    <w:name w:val="opdesc"/>
    <w:basedOn w:val="DefaultParagraphFont"/>
    <w:rsid w:val="00C41DE2"/>
  </w:style>
  <w:style w:type="character" w:customStyle="1" w:styleId="rightopdesc">
    <w:name w:val="rightopdesc"/>
    <w:basedOn w:val="DefaultParagraphFont"/>
    <w:rsid w:val="00C41DE2"/>
  </w:style>
  <w:style w:type="table" w:styleId="PlainTable3">
    <w:name w:val="Plain Table 3"/>
    <w:basedOn w:val="TableNormal"/>
    <w:uiPriority w:val="43"/>
    <w:rsid w:val="005E4945"/>
    <w:rPr>
      <w:rFonts w:asciiTheme="minorHAnsi" w:hAnsi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2">
    <w:name w:val="List Table 2"/>
    <w:basedOn w:val="TableNormal"/>
    <w:uiPriority w:val="47"/>
    <w:rsid w:val="005E4945"/>
    <w:rPr>
      <w:rFonts w:asciiTheme="minorHAnsi" w:hAnsiTheme="minorHAnsi" w:cstheme="minorBid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3">
    <w:name w:val="List Table 6 Colorful Accent 3"/>
    <w:basedOn w:val="TableNormal"/>
    <w:uiPriority w:val="51"/>
    <w:rsid w:val="005E4945"/>
    <w:rPr>
      <w:rFonts w:asciiTheme="minorHAnsi" w:hAnsiTheme="minorHAnsi" w:cstheme="minorBid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SubtleEmphasis">
    <w:name w:val="Subtle Emphasis"/>
    <w:basedOn w:val="DefaultParagraphFont"/>
    <w:uiPriority w:val="19"/>
    <w:qFormat/>
    <w:rsid w:val="005E4945"/>
    <w:rPr>
      <w:i/>
      <w:iCs/>
      <w:color w:val="404040" w:themeColor="text1" w:themeTint="BF"/>
    </w:rPr>
  </w:style>
  <w:style w:type="character" w:customStyle="1" w:styleId="whitespace-normal">
    <w:name w:val="whitespace-normal"/>
    <w:basedOn w:val="DefaultParagraphFont"/>
    <w:rsid w:val="00AC1746"/>
  </w:style>
  <w:style w:type="paragraph" w:customStyle="1" w:styleId="pdq2pgselectionanchorcontainer">
    <w:name w:val="pdq2pg_selectionanchorcontainer"/>
    <w:basedOn w:val="Normal"/>
    <w:rsid w:val="00D853AD"/>
    <w:pPr>
      <w:spacing w:before="100" w:beforeAutospacing="1" w:after="100" w:afterAutospacing="1" w:line="240" w:lineRule="auto"/>
      <w:jc w:val="lef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4460">
      <w:bodyDiv w:val="1"/>
      <w:marLeft w:val="0"/>
      <w:marRight w:val="0"/>
      <w:marTop w:val="0"/>
      <w:marBottom w:val="0"/>
      <w:divBdr>
        <w:top w:val="none" w:sz="0" w:space="0" w:color="auto"/>
        <w:left w:val="none" w:sz="0" w:space="0" w:color="auto"/>
        <w:bottom w:val="none" w:sz="0" w:space="0" w:color="auto"/>
        <w:right w:val="none" w:sz="0" w:space="0" w:color="auto"/>
      </w:divBdr>
    </w:div>
    <w:div w:id="32924289">
      <w:bodyDiv w:val="1"/>
      <w:marLeft w:val="0"/>
      <w:marRight w:val="0"/>
      <w:marTop w:val="0"/>
      <w:marBottom w:val="0"/>
      <w:divBdr>
        <w:top w:val="none" w:sz="0" w:space="0" w:color="auto"/>
        <w:left w:val="none" w:sz="0" w:space="0" w:color="auto"/>
        <w:bottom w:val="none" w:sz="0" w:space="0" w:color="auto"/>
        <w:right w:val="none" w:sz="0" w:space="0" w:color="auto"/>
      </w:divBdr>
    </w:div>
    <w:div w:id="45642623">
      <w:bodyDiv w:val="1"/>
      <w:marLeft w:val="0"/>
      <w:marRight w:val="0"/>
      <w:marTop w:val="0"/>
      <w:marBottom w:val="0"/>
      <w:divBdr>
        <w:top w:val="none" w:sz="0" w:space="0" w:color="auto"/>
        <w:left w:val="none" w:sz="0" w:space="0" w:color="auto"/>
        <w:bottom w:val="none" w:sz="0" w:space="0" w:color="auto"/>
        <w:right w:val="none" w:sz="0" w:space="0" w:color="auto"/>
      </w:divBdr>
    </w:div>
    <w:div w:id="82726330">
      <w:bodyDiv w:val="1"/>
      <w:marLeft w:val="0"/>
      <w:marRight w:val="0"/>
      <w:marTop w:val="0"/>
      <w:marBottom w:val="0"/>
      <w:divBdr>
        <w:top w:val="none" w:sz="0" w:space="0" w:color="auto"/>
        <w:left w:val="none" w:sz="0" w:space="0" w:color="auto"/>
        <w:bottom w:val="none" w:sz="0" w:space="0" w:color="auto"/>
        <w:right w:val="none" w:sz="0" w:space="0" w:color="auto"/>
      </w:divBdr>
    </w:div>
    <w:div w:id="88964569">
      <w:bodyDiv w:val="1"/>
      <w:marLeft w:val="0"/>
      <w:marRight w:val="0"/>
      <w:marTop w:val="0"/>
      <w:marBottom w:val="0"/>
      <w:divBdr>
        <w:top w:val="none" w:sz="0" w:space="0" w:color="auto"/>
        <w:left w:val="none" w:sz="0" w:space="0" w:color="auto"/>
        <w:bottom w:val="none" w:sz="0" w:space="0" w:color="auto"/>
        <w:right w:val="none" w:sz="0" w:space="0" w:color="auto"/>
      </w:divBdr>
    </w:div>
    <w:div w:id="128983033">
      <w:bodyDiv w:val="1"/>
      <w:marLeft w:val="0"/>
      <w:marRight w:val="0"/>
      <w:marTop w:val="0"/>
      <w:marBottom w:val="0"/>
      <w:divBdr>
        <w:top w:val="none" w:sz="0" w:space="0" w:color="auto"/>
        <w:left w:val="none" w:sz="0" w:space="0" w:color="auto"/>
        <w:bottom w:val="none" w:sz="0" w:space="0" w:color="auto"/>
        <w:right w:val="none" w:sz="0" w:space="0" w:color="auto"/>
      </w:divBdr>
      <w:divsChild>
        <w:div w:id="225843058">
          <w:marLeft w:val="0"/>
          <w:marRight w:val="0"/>
          <w:marTop w:val="0"/>
          <w:marBottom w:val="0"/>
          <w:divBdr>
            <w:top w:val="none" w:sz="0" w:space="0" w:color="auto"/>
            <w:left w:val="none" w:sz="0" w:space="0" w:color="auto"/>
            <w:bottom w:val="none" w:sz="0" w:space="0" w:color="auto"/>
            <w:right w:val="none" w:sz="0" w:space="0" w:color="auto"/>
          </w:divBdr>
          <w:divsChild>
            <w:div w:id="1275819190">
              <w:marLeft w:val="0"/>
              <w:marRight w:val="0"/>
              <w:marTop w:val="0"/>
              <w:marBottom w:val="0"/>
              <w:divBdr>
                <w:top w:val="none" w:sz="0" w:space="0" w:color="auto"/>
                <w:left w:val="none" w:sz="0" w:space="0" w:color="auto"/>
                <w:bottom w:val="none" w:sz="0" w:space="0" w:color="auto"/>
                <w:right w:val="none" w:sz="0" w:space="0" w:color="auto"/>
              </w:divBdr>
              <w:divsChild>
                <w:div w:id="1063717954">
                  <w:marLeft w:val="0"/>
                  <w:marRight w:val="0"/>
                  <w:marTop w:val="0"/>
                  <w:marBottom w:val="0"/>
                  <w:divBdr>
                    <w:top w:val="none" w:sz="0" w:space="0" w:color="auto"/>
                    <w:left w:val="none" w:sz="0" w:space="0" w:color="auto"/>
                    <w:bottom w:val="none" w:sz="0" w:space="0" w:color="auto"/>
                    <w:right w:val="none" w:sz="0" w:space="0" w:color="auto"/>
                  </w:divBdr>
                  <w:divsChild>
                    <w:div w:id="127408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0035">
      <w:bodyDiv w:val="1"/>
      <w:marLeft w:val="0"/>
      <w:marRight w:val="0"/>
      <w:marTop w:val="0"/>
      <w:marBottom w:val="0"/>
      <w:divBdr>
        <w:top w:val="none" w:sz="0" w:space="0" w:color="auto"/>
        <w:left w:val="none" w:sz="0" w:space="0" w:color="auto"/>
        <w:bottom w:val="none" w:sz="0" w:space="0" w:color="auto"/>
        <w:right w:val="none" w:sz="0" w:space="0" w:color="auto"/>
      </w:divBdr>
    </w:div>
    <w:div w:id="147480653">
      <w:bodyDiv w:val="1"/>
      <w:marLeft w:val="0"/>
      <w:marRight w:val="0"/>
      <w:marTop w:val="0"/>
      <w:marBottom w:val="0"/>
      <w:divBdr>
        <w:top w:val="none" w:sz="0" w:space="0" w:color="auto"/>
        <w:left w:val="none" w:sz="0" w:space="0" w:color="auto"/>
        <w:bottom w:val="none" w:sz="0" w:space="0" w:color="auto"/>
        <w:right w:val="none" w:sz="0" w:space="0" w:color="auto"/>
      </w:divBdr>
    </w:div>
    <w:div w:id="160122859">
      <w:bodyDiv w:val="1"/>
      <w:marLeft w:val="0"/>
      <w:marRight w:val="0"/>
      <w:marTop w:val="0"/>
      <w:marBottom w:val="0"/>
      <w:divBdr>
        <w:top w:val="none" w:sz="0" w:space="0" w:color="auto"/>
        <w:left w:val="none" w:sz="0" w:space="0" w:color="auto"/>
        <w:bottom w:val="none" w:sz="0" w:space="0" w:color="auto"/>
        <w:right w:val="none" w:sz="0" w:space="0" w:color="auto"/>
      </w:divBdr>
    </w:div>
    <w:div w:id="237323363">
      <w:bodyDiv w:val="1"/>
      <w:marLeft w:val="0"/>
      <w:marRight w:val="0"/>
      <w:marTop w:val="0"/>
      <w:marBottom w:val="0"/>
      <w:divBdr>
        <w:top w:val="none" w:sz="0" w:space="0" w:color="auto"/>
        <w:left w:val="none" w:sz="0" w:space="0" w:color="auto"/>
        <w:bottom w:val="none" w:sz="0" w:space="0" w:color="auto"/>
        <w:right w:val="none" w:sz="0" w:space="0" w:color="auto"/>
      </w:divBdr>
    </w:div>
    <w:div w:id="263272128">
      <w:bodyDiv w:val="1"/>
      <w:marLeft w:val="0"/>
      <w:marRight w:val="0"/>
      <w:marTop w:val="0"/>
      <w:marBottom w:val="0"/>
      <w:divBdr>
        <w:top w:val="none" w:sz="0" w:space="0" w:color="auto"/>
        <w:left w:val="none" w:sz="0" w:space="0" w:color="auto"/>
        <w:bottom w:val="none" w:sz="0" w:space="0" w:color="auto"/>
        <w:right w:val="none" w:sz="0" w:space="0" w:color="auto"/>
      </w:divBdr>
    </w:div>
    <w:div w:id="375397508">
      <w:bodyDiv w:val="1"/>
      <w:marLeft w:val="0"/>
      <w:marRight w:val="0"/>
      <w:marTop w:val="0"/>
      <w:marBottom w:val="0"/>
      <w:divBdr>
        <w:top w:val="none" w:sz="0" w:space="0" w:color="auto"/>
        <w:left w:val="none" w:sz="0" w:space="0" w:color="auto"/>
        <w:bottom w:val="none" w:sz="0" w:space="0" w:color="auto"/>
        <w:right w:val="none" w:sz="0" w:space="0" w:color="auto"/>
      </w:divBdr>
    </w:div>
    <w:div w:id="491917387">
      <w:bodyDiv w:val="1"/>
      <w:marLeft w:val="0"/>
      <w:marRight w:val="0"/>
      <w:marTop w:val="0"/>
      <w:marBottom w:val="0"/>
      <w:divBdr>
        <w:top w:val="none" w:sz="0" w:space="0" w:color="auto"/>
        <w:left w:val="none" w:sz="0" w:space="0" w:color="auto"/>
        <w:bottom w:val="none" w:sz="0" w:space="0" w:color="auto"/>
        <w:right w:val="none" w:sz="0" w:space="0" w:color="auto"/>
      </w:divBdr>
    </w:div>
    <w:div w:id="493880057">
      <w:bodyDiv w:val="1"/>
      <w:marLeft w:val="0"/>
      <w:marRight w:val="0"/>
      <w:marTop w:val="0"/>
      <w:marBottom w:val="0"/>
      <w:divBdr>
        <w:top w:val="none" w:sz="0" w:space="0" w:color="auto"/>
        <w:left w:val="none" w:sz="0" w:space="0" w:color="auto"/>
        <w:bottom w:val="none" w:sz="0" w:space="0" w:color="auto"/>
        <w:right w:val="none" w:sz="0" w:space="0" w:color="auto"/>
      </w:divBdr>
    </w:div>
    <w:div w:id="519662161">
      <w:bodyDiv w:val="1"/>
      <w:marLeft w:val="0"/>
      <w:marRight w:val="0"/>
      <w:marTop w:val="0"/>
      <w:marBottom w:val="0"/>
      <w:divBdr>
        <w:top w:val="none" w:sz="0" w:space="0" w:color="auto"/>
        <w:left w:val="none" w:sz="0" w:space="0" w:color="auto"/>
        <w:bottom w:val="none" w:sz="0" w:space="0" w:color="auto"/>
        <w:right w:val="none" w:sz="0" w:space="0" w:color="auto"/>
      </w:divBdr>
    </w:div>
    <w:div w:id="524633065">
      <w:bodyDiv w:val="1"/>
      <w:marLeft w:val="0"/>
      <w:marRight w:val="0"/>
      <w:marTop w:val="0"/>
      <w:marBottom w:val="0"/>
      <w:divBdr>
        <w:top w:val="none" w:sz="0" w:space="0" w:color="auto"/>
        <w:left w:val="none" w:sz="0" w:space="0" w:color="auto"/>
        <w:bottom w:val="none" w:sz="0" w:space="0" w:color="auto"/>
        <w:right w:val="none" w:sz="0" w:space="0" w:color="auto"/>
      </w:divBdr>
    </w:div>
    <w:div w:id="527333720">
      <w:bodyDiv w:val="1"/>
      <w:marLeft w:val="0"/>
      <w:marRight w:val="0"/>
      <w:marTop w:val="0"/>
      <w:marBottom w:val="0"/>
      <w:divBdr>
        <w:top w:val="none" w:sz="0" w:space="0" w:color="auto"/>
        <w:left w:val="none" w:sz="0" w:space="0" w:color="auto"/>
        <w:bottom w:val="none" w:sz="0" w:space="0" w:color="auto"/>
        <w:right w:val="none" w:sz="0" w:space="0" w:color="auto"/>
      </w:divBdr>
    </w:div>
    <w:div w:id="529613288">
      <w:bodyDiv w:val="1"/>
      <w:marLeft w:val="0"/>
      <w:marRight w:val="0"/>
      <w:marTop w:val="0"/>
      <w:marBottom w:val="0"/>
      <w:divBdr>
        <w:top w:val="none" w:sz="0" w:space="0" w:color="auto"/>
        <w:left w:val="none" w:sz="0" w:space="0" w:color="auto"/>
        <w:bottom w:val="none" w:sz="0" w:space="0" w:color="auto"/>
        <w:right w:val="none" w:sz="0" w:space="0" w:color="auto"/>
      </w:divBdr>
    </w:div>
    <w:div w:id="573587547">
      <w:bodyDiv w:val="1"/>
      <w:marLeft w:val="0"/>
      <w:marRight w:val="0"/>
      <w:marTop w:val="0"/>
      <w:marBottom w:val="0"/>
      <w:divBdr>
        <w:top w:val="none" w:sz="0" w:space="0" w:color="auto"/>
        <w:left w:val="none" w:sz="0" w:space="0" w:color="auto"/>
        <w:bottom w:val="none" w:sz="0" w:space="0" w:color="auto"/>
        <w:right w:val="none" w:sz="0" w:space="0" w:color="auto"/>
      </w:divBdr>
    </w:div>
    <w:div w:id="576281606">
      <w:bodyDiv w:val="1"/>
      <w:marLeft w:val="0"/>
      <w:marRight w:val="0"/>
      <w:marTop w:val="0"/>
      <w:marBottom w:val="0"/>
      <w:divBdr>
        <w:top w:val="none" w:sz="0" w:space="0" w:color="auto"/>
        <w:left w:val="none" w:sz="0" w:space="0" w:color="auto"/>
        <w:bottom w:val="none" w:sz="0" w:space="0" w:color="auto"/>
        <w:right w:val="none" w:sz="0" w:space="0" w:color="auto"/>
      </w:divBdr>
    </w:div>
    <w:div w:id="596597534">
      <w:bodyDiv w:val="1"/>
      <w:marLeft w:val="0"/>
      <w:marRight w:val="0"/>
      <w:marTop w:val="0"/>
      <w:marBottom w:val="0"/>
      <w:divBdr>
        <w:top w:val="none" w:sz="0" w:space="0" w:color="auto"/>
        <w:left w:val="none" w:sz="0" w:space="0" w:color="auto"/>
        <w:bottom w:val="none" w:sz="0" w:space="0" w:color="auto"/>
        <w:right w:val="none" w:sz="0" w:space="0" w:color="auto"/>
      </w:divBdr>
    </w:div>
    <w:div w:id="606809792">
      <w:bodyDiv w:val="1"/>
      <w:marLeft w:val="0"/>
      <w:marRight w:val="0"/>
      <w:marTop w:val="0"/>
      <w:marBottom w:val="0"/>
      <w:divBdr>
        <w:top w:val="none" w:sz="0" w:space="0" w:color="auto"/>
        <w:left w:val="none" w:sz="0" w:space="0" w:color="auto"/>
        <w:bottom w:val="none" w:sz="0" w:space="0" w:color="auto"/>
        <w:right w:val="none" w:sz="0" w:space="0" w:color="auto"/>
      </w:divBdr>
    </w:div>
    <w:div w:id="638000339">
      <w:bodyDiv w:val="1"/>
      <w:marLeft w:val="0"/>
      <w:marRight w:val="0"/>
      <w:marTop w:val="0"/>
      <w:marBottom w:val="0"/>
      <w:divBdr>
        <w:top w:val="none" w:sz="0" w:space="0" w:color="auto"/>
        <w:left w:val="none" w:sz="0" w:space="0" w:color="auto"/>
        <w:bottom w:val="none" w:sz="0" w:space="0" w:color="auto"/>
        <w:right w:val="none" w:sz="0" w:space="0" w:color="auto"/>
      </w:divBdr>
    </w:div>
    <w:div w:id="646974487">
      <w:bodyDiv w:val="1"/>
      <w:marLeft w:val="0"/>
      <w:marRight w:val="0"/>
      <w:marTop w:val="0"/>
      <w:marBottom w:val="0"/>
      <w:divBdr>
        <w:top w:val="none" w:sz="0" w:space="0" w:color="auto"/>
        <w:left w:val="none" w:sz="0" w:space="0" w:color="auto"/>
        <w:bottom w:val="none" w:sz="0" w:space="0" w:color="auto"/>
        <w:right w:val="none" w:sz="0" w:space="0" w:color="auto"/>
      </w:divBdr>
    </w:div>
    <w:div w:id="668093547">
      <w:bodyDiv w:val="1"/>
      <w:marLeft w:val="0"/>
      <w:marRight w:val="0"/>
      <w:marTop w:val="0"/>
      <w:marBottom w:val="0"/>
      <w:divBdr>
        <w:top w:val="none" w:sz="0" w:space="0" w:color="auto"/>
        <w:left w:val="none" w:sz="0" w:space="0" w:color="auto"/>
        <w:bottom w:val="none" w:sz="0" w:space="0" w:color="auto"/>
        <w:right w:val="none" w:sz="0" w:space="0" w:color="auto"/>
      </w:divBdr>
    </w:div>
    <w:div w:id="669406473">
      <w:bodyDiv w:val="1"/>
      <w:marLeft w:val="0"/>
      <w:marRight w:val="0"/>
      <w:marTop w:val="0"/>
      <w:marBottom w:val="0"/>
      <w:divBdr>
        <w:top w:val="none" w:sz="0" w:space="0" w:color="auto"/>
        <w:left w:val="none" w:sz="0" w:space="0" w:color="auto"/>
        <w:bottom w:val="none" w:sz="0" w:space="0" w:color="auto"/>
        <w:right w:val="none" w:sz="0" w:space="0" w:color="auto"/>
      </w:divBdr>
    </w:div>
    <w:div w:id="736367351">
      <w:bodyDiv w:val="1"/>
      <w:marLeft w:val="0"/>
      <w:marRight w:val="0"/>
      <w:marTop w:val="0"/>
      <w:marBottom w:val="0"/>
      <w:divBdr>
        <w:top w:val="none" w:sz="0" w:space="0" w:color="auto"/>
        <w:left w:val="none" w:sz="0" w:space="0" w:color="auto"/>
        <w:bottom w:val="none" w:sz="0" w:space="0" w:color="auto"/>
        <w:right w:val="none" w:sz="0" w:space="0" w:color="auto"/>
      </w:divBdr>
    </w:div>
    <w:div w:id="746998121">
      <w:bodyDiv w:val="1"/>
      <w:marLeft w:val="0"/>
      <w:marRight w:val="0"/>
      <w:marTop w:val="0"/>
      <w:marBottom w:val="0"/>
      <w:divBdr>
        <w:top w:val="none" w:sz="0" w:space="0" w:color="auto"/>
        <w:left w:val="none" w:sz="0" w:space="0" w:color="auto"/>
        <w:bottom w:val="none" w:sz="0" w:space="0" w:color="auto"/>
        <w:right w:val="none" w:sz="0" w:space="0" w:color="auto"/>
      </w:divBdr>
      <w:divsChild>
        <w:div w:id="1649782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287654">
              <w:marLeft w:val="0"/>
              <w:marRight w:val="0"/>
              <w:marTop w:val="0"/>
              <w:marBottom w:val="0"/>
              <w:divBdr>
                <w:top w:val="none" w:sz="0" w:space="0" w:color="auto"/>
                <w:left w:val="none" w:sz="0" w:space="0" w:color="auto"/>
                <w:bottom w:val="none" w:sz="0" w:space="0" w:color="auto"/>
                <w:right w:val="none" w:sz="0" w:space="0" w:color="auto"/>
              </w:divBdr>
              <w:divsChild>
                <w:div w:id="7912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373436">
      <w:bodyDiv w:val="1"/>
      <w:marLeft w:val="0"/>
      <w:marRight w:val="0"/>
      <w:marTop w:val="0"/>
      <w:marBottom w:val="0"/>
      <w:divBdr>
        <w:top w:val="none" w:sz="0" w:space="0" w:color="auto"/>
        <w:left w:val="none" w:sz="0" w:space="0" w:color="auto"/>
        <w:bottom w:val="none" w:sz="0" w:space="0" w:color="auto"/>
        <w:right w:val="none" w:sz="0" w:space="0" w:color="auto"/>
      </w:divBdr>
    </w:div>
    <w:div w:id="860360133">
      <w:bodyDiv w:val="1"/>
      <w:marLeft w:val="0"/>
      <w:marRight w:val="0"/>
      <w:marTop w:val="0"/>
      <w:marBottom w:val="0"/>
      <w:divBdr>
        <w:top w:val="none" w:sz="0" w:space="0" w:color="auto"/>
        <w:left w:val="none" w:sz="0" w:space="0" w:color="auto"/>
        <w:bottom w:val="none" w:sz="0" w:space="0" w:color="auto"/>
        <w:right w:val="none" w:sz="0" w:space="0" w:color="auto"/>
      </w:divBdr>
    </w:div>
    <w:div w:id="893809549">
      <w:bodyDiv w:val="1"/>
      <w:marLeft w:val="0"/>
      <w:marRight w:val="0"/>
      <w:marTop w:val="0"/>
      <w:marBottom w:val="0"/>
      <w:divBdr>
        <w:top w:val="none" w:sz="0" w:space="0" w:color="auto"/>
        <w:left w:val="none" w:sz="0" w:space="0" w:color="auto"/>
        <w:bottom w:val="none" w:sz="0" w:space="0" w:color="auto"/>
        <w:right w:val="none" w:sz="0" w:space="0" w:color="auto"/>
      </w:divBdr>
    </w:div>
    <w:div w:id="895625100">
      <w:bodyDiv w:val="1"/>
      <w:marLeft w:val="0"/>
      <w:marRight w:val="0"/>
      <w:marTop w:val="0"/>
      <w:marBottom w:val="0"/>
      <w:divBdr>
        <w:top w:val="none" w:sz="0" w:space="0" w:color="auto"/>
        <w:left w:val="none" w:sz="0" w:space="0" w:color="auto"/>
        <w:bottom w:val="none" w:sz="0" w:space="0" w:color="auto"/>
        <w:right w:val="none" w:sz="0" w:space="0" w:color="auto"/>
      </w:divBdr>
    </w:div>
    <w:div w:id="1101727055">
      <w:bodyDiv w:val="1"/>
      <w:marLeft w:val="0"/>
      <w:marRight w:val="0"/>
      <w:marTop w:val="0"/>
      <w:marBottom w:val="0"/>
      <w:divBdr>
        <w:top w:val="none" w:sz="0" w:space="0" w:color="auto"/>
        <w:left w:val="none" w:sz="0" w:space="0" w:color="auto"/>
        <w:bottom w:val="none" w:sz="0" w:space="0" w:color="auto"/>
        <w:right w:val="none" w:sz="0" w:space="0" w:color="auto"/>
      </w:divBdr>
    </w:div>
    <w:div w:id="1123690482">
      <w:bodyDiv w:val="1"/>
      <w:marLeft w:val="0"/>
      <w:marRight w:val="0"/>
      <w:marTop w:val="0"/>
      <w:marBottom w:val="0"/>
      <w:divBdr>
        <w:top w:val="none" w:sz="0" w:space="0" w:color="auto"/>
        <w:left w:val="none" w:sz="0" w:space="0" w:color="auto"/>
        <w:bottom w:val="none" w:sz="0" w:space="0" w:color="auto"/>
        <w:right w:val="none" w:sz="0" w:space="0" w:color="auto"/>
      </w:divBdr>
    </w:div>
    <w:div w:id="1154879210">
      <w:bodyDiv w:val="1"/>
      <w:marLeft w:val="0"/>
      <w:marRight w:val="0"/>
      <w:marTop w:val="0"/>
      <w:marBottom w:val="0"/>
      <w:divBdr>
        <w:top w:val="none" w:sz="0" w:space="0" w:color="auto"/>
        <w:left w:val="none" w:sz="0" w:space="0" w:color="auto"/>
        <w:bottom w:val="none" w:sz="0" w:space="0" w:color="auto"/>
        <w:right w:val="none" w:sz="0" w:space="0" w:color="auto"/>
      </w:divBdr>
    </w:div>
    <w:div w:id="1155950822">
      <w:bodyDiv w:val="1"/>
      <w:marLeft w:val="0"/>
      <w:marRight w:val="0"/>
      <w:marTop w:val="0"/>
      <w:marBottom w:val="0"/>
      <w:divBdr>
        <w:top w:val="none" w:sz="0" w:space="0" w:color="auto"/>
        <w:left w:val="none" w:sz="0" w:space="0" w:color="auto"/>
        <w:bottom w:val="none" w:sz="0" w:space="0" w:color="auto"/>
        <w:right w:val="none" w:sz="0" w:space="0" w:color="auto"/>
      </w:divBdr>
    </w:div>
    <w:div w:id="1157381739">
      <w:bodyDiv w:val="1"/>
      <w:marLeft w:val="0"/>
      <w:marRight w:val="0"/>
      <w:marTop w:val="0"/>
      <w:marBottom w:val="0"/>
      <w:divBdr>
        <w:top w:val="none" w:sz="0" w:space="0" w:color="auto"/>
        <w:left w:val="none" w:sz="0" w:space="0" w:color="auto"/>
        <w:bottom w:val="none" w:sz="0" w:space="0" w:color="auto"/>
        <w:right w:val="none" w:sz="0" w:space="0" w:color="auto"/>
      </w:divBdr>
    </w:div>
    <w:div w:id="1201936724">
      <w:bodyDiv w:val="1"/>
      <w:marLeft w:val="0"/>
      <w:marRight w:val="0"/>
      <w:marTop w:val="0"/>
      <w:marBottom w:val="0"/>
      <w:divBdr>
        <w:top w:val="none" w:sz="0" w:space="0" w:color="auto"/>
        <w:left w:val="none" w:sz="0" w:space="0" w:color="auto"/>
        <w:bottom w:val="none" w:sz="0" w:space="0" w:color="auto"/>
        <w:right w:val="none" w:sz="0" w:space="0" w:color="auto"/>
      </w:divBdr>
    </w:div>
    <w:div w:id="1206798258">
      <w:bodyDiv w:val="1"/>
      <w:marLeft w:val="0"/>
      <w:marRight w:val="0"/>
      <w:marTop w:val="0"/>
      <w:marBottom w:val="0"/>
      <w:divBdr>
        <w:top w:val="none" w:sz="0" w:space="0" w:color="auto"/>
        <w:left w:val="none" w:sz="0" w:space="0" w:color="auto"/>
        <w:bottom w:val="none" w:sz="0" w:space="0" w:color="auto"/>
        <w:right w:val="none" w:sz="0" w:space="0" w:color="auto"/>
      </w:divBdr>
    </w:div>
    <w:div w:id="1235504298">
      <w:bodyDiv w:val="1"/>
      <w:marLeft w:val="0"/>
      <w:marRight w:val="0"/>
      <w:marTop w:val="0"/>
      <w:marBottom w:val="0"/>
      <w:divBdr>
        <w:top w:val="none" w:sz="0" w:space="0" w:color="auto"/>
        <w:left w:val="none" w:sz="0" w:space="0" w:color="auto"/>
        <w:bottom w:val="none" w:sz="0" w:space="0" w:color="auto"/>
        <w:right w:val="none" w:sz="0" w:space="0" w:color="auto"/>
      </w:divBdr>
    </w:div>
    <w:div w:id="1279291467">
      <w:bodyDiv w:val="1"/>
      <w:marLeft w:val="0"/>
      <w:marRight w:val="0"/>
      <w:marTop w:val="0"/>
      <w:marBottom w:val="0"/>
      <w:divBdr>
        <w:top w:val="none" w:sz="0" w:space="0" w:color="auto"/>
        <w:left w:val="none" w:sz="0" w:space="0" w:color="auto"/>
        <w:bottom w:val="none" w:sz="0" w:space="0" w:color="auto"/>
        <w:right w:val="none" w:sz="0" w:space="0" w:color="auto"/>
      </w:divBdr>
    </w:div>
    <w:div w:id="1304967332">
      <w:bodyDiv w:val="1"/>
      <w:marLeft w:val="0"/>
      <w:marRight w:val="0"/>
      <w:marTop w:val="0"/>
      <w:marBottom w:val="0"/>
      <w:divBdr>
        <w:top w:val="none" w:sz="0" w:space="0" w:color="auto"/>
        <w:left w:val="none" w:sz="0" w:space="0" w:color="auto"/>
        <w:bottom w:val="none" w:sz="0" w:space="0" w:color="auto"/>
        <w:right w:val="none" w:sz="0" w:space="0" w:color="auto"/>
      </w:divBdr>
    </w:div>
    <w:div w:id="1460034016">
      <w:bodyDiv w:val="1"/>
      <w:marLeft w:val="0"/>
      <w:marRight w:val="0"/>
      <w:marTop w:val="0"/>
      <w:marBottom w:val="0"/>
      <w:divBdr>
        <w:top w:val="none" w:sz="0" w:space="0" w:color="auto"/>
        <w:left w:val="none" w:sz="0" w:space="0" w:color="auto"/>
        <w:bottom w:val="none" w:sz="0" w:space="0" w:color="auto"/>
        <w:right w:val="none" w:sz="0" w:space="0" w:color="auto"/>
      </w:divBdr>
    </w:div>
    <w:div w:id="1462647310">
      <w:bodyDiv w:val="1"/>
      <w:marLeft w:val="0"/>
      <w:marRight w:val="0"/>
      <w:marTop w:val="0"/>
      <w:marBottom w:val="0"/>
      <w:divBdr>
        <w:top w:val="none" w:sz="0" w:space="0" w:color="auto"/>
        <w:left w:val="none" w:sz="0" w:space="0" w:color="auto"/>
        <w:bottom w:val="none" w:sz="0" w:space="0" w:color="auto"/>
        <w:right w:val="none" w:sz="0" w:space="0" w:color="auto"/>
      </w:divBdr>
    </w:div>
    <w:div w:id="1482308625">
      <w:bodyDiv w:val="1"/>
      <w:marLeft w:val="0"/>
      <w:marRight w:val="0"/>
      <w:marTop w:val="0"/>
      <w:marBottom w:val="0"/>
      <w:divBdr>
        <w:top w:val="none" w:sz="0" w:space="0" w:color="auto"/>
        <w:left w:val="none" w:sz="0" w:space="0" w:color="auto"/>
        <w:bottom w:val="none" w:sz="0" w:space="0" w:color="auto"/>
        <w:right w:val="none" w:sz="0" w:space="0" w:color="auto"/>
      </w:divBdr>
    </w:div>
    <w:div w:id="1600681634">
      <w:bodyDiv w:val="1"/>
      <w:marLeft w:val="0"/>
      <w:marRight w:val="0"/>
      <w:marTop w:val="0"/>
      <w:marBottom w:val="0"/>
      <w:divBdr>
        <w:top w:val="none" w:sz="0" w:space="0" w:color="auto"/>
        <w:left w:val="none" w:sz="0" w:space="0" w:color="auto"/>
        <w:bottom w:val="none" w:sz="0" w:space="0" w:color="auto"/>
        <w:right w:val="none" w:sz="0" w:space="0" w:color="auto"/>
      </w:divBdr>
    </w:div>
    <w:div w:id="1680081152">
      <w:bodyDiv w:val="1"/>
      <w:marLeft w:val="0"/>
      <w:marRight w:val="0"/>
      <w:marTop w:val="0"/>
      <w:marBottom w:val="0"/>
      <w:divBdr>
        <w:top w:val="none" w:sz="0" w:space="0" w:color="auto"/>
        <w:left w:val="none" w:sz="0" w:space="0" w:color="auto"/>
        <w:bottom w:val="none" w:sz="0" w:space="0" w:color="auto"/>
        <w:right w:val="none" w:sz="0" w:space="0" w:color="auto"/>
      </w:divBdr>
      <w:divsChild>
        <w:div w:id="1745761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8775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562744">
      <w:bodyDiv w:val="1"/>
      <w:marLeft w:val="0"/>
      <w:marRight w:val="0"/>
      <w:marTop w:val="0"/>
      <w:marBottom w:val="0"/>
      <w:divBdr>
        <w:top w:val="none" w:sz="0" w:space="0" w:color="auto"/>
        <w:left w:val="none" w:sz="0" w:space="0" w:color="auto"/>
        <w:bottom w:val="none" w:sz="0" w:space="0" w:color="auto"/>
        <w:right w:val="none" w:sz="0" w:space="0" w:color="auto"/>
      </w:divBdr>
    </w:div>
    <w:div w:id="1723597321">
      <w:bodyDiv w:val="1"/>
      <w:marLeft w:val="0"/>
      <w:marRight w:val="0"/>
      <w:marTop w:val="0"/>
      <w:marBottom w:val="0"/>
      <w:divBdr>
        <w:top w:val="none" w:sz="0" w:space="0" w:color="auto"/>
        <w:left w:val="none" w:sz="0" w:space="0" w:color="auto"/>
        <w:bottom w:val="none" w:sz="0" w:space="0" w:color="auto"/>
        <w:right w:val="none" w:sz="0" w:space="0" w:color="auto"/>
      </w:divBdr>
    </w:div>
    <w:div w:id="1766917218">
      <w:bodyDiv w:val="1"/>
      <w:marLeft w:val="0"/>
      <w:marRight w:val="0"/>
      <w:marTop w:val="0"/>
      <w:marBottom w:val="0"/>
      <w:divBdr>
        <w:top w:val="none" w:sz="0" w:space="0" w:color="auto"/>
        <w:left w:val="none" w:sz="0" w:space="0" w:color="auto"/>
        <w:bottom w:val="none" w:sz="0" w:space="0" w:color="auto"/>
        <w:right w:val="none" w:sz="0" w:space="0" w:color="auto"/>
      </w:divBdr>
    </w:div>
    <w:div w:id="1799372341">
      <w:bodyDiv w:val="1"/>
      <w:marLeft w:val="0"/>
      <w:marRight w:val="0"/>
      <w:marTop w:val="0"/>
      <w:marBottom w:val="0"/>
      <w:divBdr>
        <w:top w:val="none" w:sz="0" w:space="0" w:color="auto"/>
        <w:left w:val="none" w:sz="0" w:space="0" w:color="auto"/>
        <w:bottom w:val="none" w:sz="0" w:space="0" w:color="auto"/>
        <w:right w:val="none" w:sz="0" w:space="0" w:color="auto"/>
      </w:divBdr>
    </w:div>
    <w:div w:id="1799495898">
      <w:bodyDiv w:val="1"/>
      <w:marLeft w:val="0"/>
      <w:marRight w:val="0"/>
      <w:marTop w:val="0"/>
      <w:marBottom w:val="0"/>
      <w:divBdr>
        <w:top w:val="none" w:sz="0" w:space="0" w:color="auto"/>
        <w:left w:val="none" w:sz="0" w:space="0" w:color="auto"/>
        <w:bottom w:val="none" w:sz="0" w:space="0" w:color="auto"/>
        <w:right w:val="none" w:sz="0" w:space="0" w:color="auto"/>
      </w:divBdr>
      <w:divsChild>
        <w:div w:id="1490441200">
          <w:marLeft w:val="0"/>
          <w:marRight w:val="0"/>
          <w:marTop w:val="0"/>
          <w:marBottom w:val="0"/>
          <w:divBdr>
            <w:top w:val="none" w:sz="0" w:space="0" w:color="auto"/>
            <w:left w:val="none" w:sz="0" w:space="0" w:color="auto"/>
            <w:bottom w:val="none" w:sz="0" w:space="0" w:color="auto"/>
            <w:right w:val="none" w:sz="0" w:space="0" w:color="auto"/>
          </w:divBdr>
          <w:divsChild>
            <w:div w:id="871890999">
              <w:marLeft w:val="0"/>
              <w:marRight w:val="0"/>
              <w:marTop w:val="0"/>
              <w:marBottom w:val="0"/>
              <w:divBdr>
                <w:top w:val="none" w:sz="0" w:space="0" w:color="auto"/>
                <w:left w:val="none" w:sz="0" w:space="0" w:color="auto"/>
                <w:bottom w:val="none" w:sz="0" w:space="0" w:color="auto"/>
                <w:right w:val="none" w:sz="0" w:space="0" w:color="auto"/>
              </w:divBdr>
              <w:divsChild>
                <w:div w:id="1175344926">
                  <w:marLeft w:val="0"/>
                  <w:marRight w:val="0"/>
                  <w:marTop w:val="0"/>
                  <w:marBottom w:val="0"/>
                  <w:divBdr>
                    <w:top w:val="none" w:sz="0" w:space="0" w:color="auto"/>
                    <w:left w:val="none" w:sz="0" w:space="0" w:color="auto"/>
                    <w:bottom w:val="none" w:sz="0" w:space="0" w:color="auto"/>
                    <w:right w:val="none" w:sz="0" w:space="0" w:color="auto"/>
                  </w:divBdr>
                  <w:divsChild>
                    <w:div w:id="8414343">
                      <w:marLeft w:val="0"/>
                      <w:marRight w:val="0"/>
                      <w:marTop w:val="0"/>
                      <w:marBottom w:val="0"/>
                      <w:divBdr>
                        <w:top w:val="none" w:sz="0" w:space="0" w:color="auto"/>
                        <w:left w:val="none" w:sz="0" w:space="0" w:color="auto"/>
                        <w:bottom w:val="none" w:sz="0" w:space="0" w:color="auto"/>
                        <w:right w:val="none" w:sz="0" w:space="0" w:color="auto"/>
                      </w:divBdr>
                      <w:divsChild>
                        <w:div w:id="624700339">
                          <w:marLeft w:val="0"/>
                          <w:marRight w:val="0"/>
                          <w:marTop w:val="0"/>
                          <w:marBottom w:val="0"/>
                          <w:divBdr>
                            <w:top w:val="none" w:sz="0" w:space="0" w:color="auto"/>
                            <w:left w:val="none" w:sz="0" w:space="0" w:color="auto"/>
                            <w:bottom w:val="none" w:sz="0" w:space="0" w:color="auto"/>
                            <w:right w:val="none" w:sz="0" w:space="0" w:color="auto"/>
                          </w:divBdr>
                          <w:divsChild>
                            <w:div w:id="1230924548">
                              <w:marLeft w:val="0"/>
                              <w:marRight w:val="0"/>
                              <w:marTop w:val="0"/>
                              <w:marBottom w:val="0"/>
                              <w:divBdr>
                                <w:top w:val="none" w:sz="0" w:space="0" w:color="auto"/>
                                <w:left w:val="none" w:sz="0" w:space="0" w:color="auto"/>
                                <w:bottom w:val="none" w:sz="0" w:space="0" w:color="auto"/>
                                <w:right w:val="none" w:sz="0" w:space="0" w:color="auto"/>
                              </w:divBdr>
                              <w:divsChild>
                                <w:div w:id="1240754846">
                                  <w:marLeft w:val="0"/>
                                  <w:marRight w:val="0"/>
                                  <w:marTop w:val="0"/>
                                  <w:marBottom w:val="0"/>
                                  <w:divBdr>
                                    <w:top w:val="none" w:sz="0" w:space="0" w:color="auto"/>
                                    <w:left w:val="none" w:sz="0" w:space="0" w:color="auto"/>
                                    <w:bottom w:val="none" w:sz="0" w:space="0" w:color="auto"/>
                                    <w:right w:val="none" w:sz="0" w:space="0" w:color="auto"/>
                                  </w:divBdr>
                                  <w:divsChild>
                                    <w:div w:id="1614745960">
                                      <w:marLeft w:val="0"/>
                                      <w:marRight w:val="0"/>
                                      <w:marTop w:val="0"/>
                                      <w:marBottom w:val="0"/>
                                      <w:divBdr>
                                        <w:top w:val="none" w:sz="0" w:space="0" w:color="auto"/>
                                        <w:left w:val="none" w:sz="0" w:space="0" w:color="auto"/>
                                        <w:bottom w:val="none" w:sz="0" w:space="0" w:color="auto"/>
                                        <w:right w:val="none" w:sz="0" w:space="0" w:color="auto"/>
                                      </w:divBdr>
                                      <w:divsChild>
                                        <w:div w:id="9919574">
                                          <w:marLeft w:val="0"/>
                                          <w:marRight w:val="0"/>
                                          <w:marTop w:val="0"/>
                                          <w:marBottom w:val="0"/>
                                          <w:divBdr>
                                            <w:top w:val="none" w:sz="0" w:space="0" w:color="auto"/>
                                            <w:left w:val="none" w:sz="0" w:space="0" w:color="auto"/>
                                            <w:bottom w:val="none" w:sz="0" w:space="0" w:color="auto"/>
                                            <w:right w:val="none" w:sz="0" w:space="0" w:color="auto"/>
                                          </w:divBdr>
                                          <w:divsChild>
                                            <w:div w:id="851459293">
                                              <w:marLeft w:val="0"/>
                                              <w:marRight w:val="0"/>
                                              <w:marTop w:val="0"/>
                                              <w:marBottom w:val="0"/>
                                              <w:divBdr>
                                                <w:top w:val="none" w:sz="0" w:space="0" w:color="auto"/>
                                                <w:left w:val="none" w:sz="0" w:space="0" w:color="auto"/>
                                                <w:bottom w:val="none" w:sz="0" w:space="0" w:color="auto"/>
                                                <w:right w:val="none" w:sz="0" w:space="0" w:color="auto"/>
                                              </w:divBdr>
                                              <w:divsChild>
                                                <w:div w:id="15578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0125649">
          <w:marLeft w:val="0"/>
          <w:marRight w:val="0"/>
          <w:marTop w:val="0"/>
          <w:marBottom w:val="0"/>
          <w:divBdr>
            <w:top w:val="none" w:sz="0" w:space="0" w:color="auto"/>
            <w:left w:val="none" w:sz="0" w:space="0" w:color="auto"/>
            <w:bottom w:val="none" w:sz="0" w:space="0" w:color="auto"/>
            <w:right w:val="none" w:sz="0" w:space="0" w:color="auto"/>
          </w:divBdr>
          <w:divsChild>
            <w:div w:id="1051733743">
              <w:marLeft w:val="0"/>
              <w:marRight w:val="0"/>
              <w:marTop w:val="0"/>
              <w:marBottom w:val="0"/>
              <w:divBdr>
                <w:top w:val="none" w:sz="0" w:space="0" w:color="auto"/>
                <w:left w:val="none" w:sz="0" w:space="0" w:color="auto"/>
                <w:bottom w:val="none" w:sz="0" w:space="0" w:color="auto"/>
                <w:right w:val="none" w:sz="0" w:space="0" w:color="auto"/>
              </w:divBdr>
              <w:divsChild>
                <w:div w:id="1681470546">
                  <w:marLeft w:val="0"/>
                  <w:marRight w:val="0"/>
                  <w:marTop w:val="0"/>
                  <w:marBottom w:val="0"/>
                  <w:divBdr>
                    <w:top w:val="none" w:sz="0" w:space="0" w:color="auto"/>
                    <w:left w:val="none" w:sz="0" w:space="0" w:color="auto"/>
                    <w:bottom w:val="none" w:sz="0" w:space="0" w:color="auto"/>
                    <w:right w:val="none" w:sz="0" w:space="0" w:color="auto"/>
                  </w:divBdr>
                  <w:divsChild>
                    <w:div w:id="1421684588">
                      <w:marLeft w:val="0"/>
                      <w:marRight w:val="0"/>
                      <w:marTop w:val="0"/>
                      <w:marBottom w:val="0"/>
                      <w:divBdr>
                        <w:top w:val="none" w:sz="0" w:space="0" w:color="auto"/>
                        <w:left w:val="none" w:sz="0" w:space="0" w:color="auto"/>
                        <w:bottom w:val="none" w:sz="0" w:space="0" w:color="auto"/>
                        <w:right w:val="none" w:sz="0" w:space="0" w:color="auto"/>
                      </w:divBdr>
                      <w:divsChild>
                        <w:div w:id="897520653">
                          <w:marLeft w:val="0"/>
                          <w:marRight w:val="0"/>
                          <w:marTop w:val="0"/>
                          <w:marBottom w:val="0"/>
                          <w:divBdr>
                            <w:top w:val="none" w:sz="0" w:space="0" w:color="auto"/>
                            <w:left w:val="none" w:sz="0" w:space="0" w:color="auto"/>
                            <w:bottom w:val="none" w:sz="0" w:space="0" w:color="auto"/>
                            <w:right w:val="none" w:sz="0" w:space="0" w:color="auto"/>
                          </w:divBdr>
                          <w:divsChild>
                            <w:div w:id="814641398">
                              <w:marLeft w:val="0"/>
                              <w:marRight w:val="0"/>
                              <w:marTop w:val="0"/>
                              <w:marBottom w:val="0"/>
                              <w:divBdr>
                                <w:top w:val="none" w:sz="0" w:space="0" w:color="auto"/>
                                <w:left w:val="none" w:sz="0" w:space="0" w:color="auto"/>
                                <w:bottom w:val="none" w:sz="0" w:space="0" w:color="auto"/>
                                <w:right w:val="none" w:sz="0" w:space="0" w:color="auto"/>
                              </w:divBdr>
                              <w:divsChild>
                                <w:div w:id="1264920356">
                                  <w:marLeft w:val="0"/>
                                  <w:marRight w:val="0"/>
                                  <w:marTop w:val="0"/>
                                  <w:marBottom w:val="0"/>
                                  <w:divBdr>
                                    <w:top w:val="none" w:sz="0" w:space="0" w:color="auto"/>
                                    <w:left w:val="none" w:sz="0" w:space="0" w:color="auto"/>
                                    <w:bottom w:val="none" w:sz="0" w:space="0" w:color="auto"/>
                                    <w:right w:val="none" w:sz="0" w:space="0" w:color="auto"/>
                                  </w:divBdr>
                                  <w:divsChild>
                                    <w:div w:id="986982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089118">
      <w:bodyDiv w:val="1"/>
      <w:marLeft w:val="0"/>
      <w:marRight w:val="0"/>
      <w:marTop w:val="0"/>
      <w:marBottom w:val="0"/>
      <w:divBdr>
        <w:top w:val="none" w:sz="0" w:space="0" w:color="auto"/>
        <w:left w:val="none" w:sz="0" w:space="0" w:color="auto"/>
        <w:bottom w:val="none" w:sz="0" w:space="0" w:color="auto"/>
        <w:right w:val="none" w:sz="0" w:space="0" w:color="auto"/>
      </w:divBdr>
    </w:div>
    <w:div w:id="1875074944">
      <w:bodyDiv w:val="1"/>
      <w:marLeft w:val="0"/>
      <w:marRight w:val="0"/>
      <w:marTop w:val="0"/>
      <w:marBottom w:val="0"/>
      <w:divBdr>
        <w:top w:val="none" w:sz="0" w:space="0" w:color="auto"/>
        <w:left w:val="none" w:sz="0" w:space="0" w:color="auto"/>
        <w:bottom w:val="none" w:sz="0" w:space="0" w:color="auto"/>
        <w:right w:val="none" w:sz="0" w:space="0" w:color="auto"/>
      </w:divBdr>
    </w:div>
    <w:div w:id="1886720568">
      <w:bodyDiv w:val="1"/>
      <w:marLeft w:val="0"/>
      <w:marRight w:val="0"/>
      <w:marTop w:val="0"/>
      <w:marBottom w:val="0"/>
      <w:divBdr>
        <w:top w:val="none" w:sz="0" w:space="0" w:color="auto"/>
        <w:left w:val="none" w:sz="0" w:space="0" w:color="auto"/>
        <w:bottom w:val="none" w:sz="0" w:space="0" w:color="auto"/>
        <w:right w:val="none" w:sz="0" w:space="0" w:color="auto"/>
      </w:divBdr>
    </w:div>
    <w:div w:id="1894542660">
      <w:bodyDiv w:val="1"/>
      <w:marLeft w:val="0"/>
      <w:marRight w:val="0"/>
      <w:marTop w:val="0"/>
      <w:marBottom w:val="0"/>
      <w:divBdr>
        <w:top w:val="none" w:sz="0" w:space="0" w:color="auto"/>
        <w:left w:val="none" w:sz="0" w:space="0" w:color="auto"/>
        <w:bottom w:val="none" w:sz="0" w:space="0" w:color="auto"/>
        <w:right w:val="none" w:sz="0" w:space="0" w:color="auto"/>
      </w:divBdr>
    </w:div>
    <w:div w:id="1947999567">
      <w:bodyDiv w:val="1"/>
      <w:marLeft w:val="0"/>
      <w:marRight w:val="0"/>
      <w:marTop w:val="0"/>
      <w:marBottom w:val="0"/>
      <w:divBdr>
        <w:top w:val="none" w:sz="0" w:space="0" w:color="auto"/>
        <w:left w:val="none" w:sz="0" w:space="0" w:color="auto"/>
        <w:bottom w:val="none" w:sz="0" w:space="0" w:color="auto"/>
        <w:right w:val="none" w:sz="0" w:space="0" w:color="auto"/>
      </w:divBdr>
    </w:div>
    <w:div w:id="1961759828">
      <w:bodyDiv w:val="1"/>
      <w:marLeft w:val="0"/>
      <w:marRight w:val="0"/>
      <w:marTop w:val="0"/>
      <w:marBottom w:val="0"/>
      <w:divBdr>
        <w:top w:val="none" w:sz="0" w:space="0" w:color="auto"/>
        <w:left w:val="none" w:sz="0" w:space="0" w:color="auto"/>
        <w:bottom w:val="none" w:sz="0" w:space="0" w:color="auto"/>
        <w:right w:val="none" w:sz="0" w:space="0" w:color="auto"/>
      </w:divBdr>
    </w:div>
    <w:div w:id="1981491705">
      <w:bodyDiv w:val="1"/>
      <w:marLeft w:val="0"/>
      <w:marRight w:val="0"/>
      <w:marTop w:val="0"/>
      <w:marBottom w:val="0"/>
      <w:divBdr>
        <w:top w:val="none" w:sz="0" w:space="0" w:color="auto"/>
        <w:left w:val="none" w:sz="0" w:space="0" w:color="auto"/>
        <w:bottom w:val="none" w:sz="0" w:space="0" w:color="auto"/>
        <w:right w:val="none" w:sz="0" w:space="0" w:color="auto"/>
      </w:divBdr>
    </w:div>
    <w:div w:id="1986622531">
      <w:bodyDiv w:val="1"/>
      <w:marLeft w:val="0"/>
      <w:marRight w:val="0"/>
      <w:marTop w:val="0"/>
      <w:marBottom w:val="0"/>
      <w:divBdr>
        <w:top w:val="none" w:sz="0" w:space="0" w:color="auto"/>
        <w:left w:val="none" w:sz="0" w:space="0" w:color="auto"/>
        <w:bottom w:val="none" w:sz="0" w:space="0" w:color="auto"/>
        <w:right w:val="none" w:sz="0" w:space="0" w:color="auto"/>
      </w:divBdr>
    </w:div>
    <w:div w:id="2082867995">
      <w:bodyDiv w:val="1"/>
      <w:marLeft w:val="0"/>
      <w:marRight w:val="0"/>
      <w:marTop w:val="0"/>
      <w:marBottom w:val="0"/>
      <w:divBdr>
        <w:top w:val="none" w:sz="0" w:space="0" w:color="auto"/>
        <w:left w:val="none" w:sz="0" w:space="0" w:color="auto"/>
        <w:bottom w:val="none" w:sz="0" w:space="0" w:color="auto"/>
        <w:right w:val="none" w:sz="0" w:space="0" w:color="auto"/>
      </w:divBdr>
    </w:div>
    <w:div w:id="21166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hw.nhs.wales/use-of-site/contact-us/freedom-of-information/disclosure-log/foi-2023-50-hip-replacement-costs/" TargetMode="External"/><Relationship Id="rId21" Type="http://schemas.openxmlformats.org/officeDocument/2006/relationships/image" Target="media/image6.png"/><Relationship Id="rId42" Type="http://schemas.openxmlformats.org/officeDocument/2006/relationships/header" Target="header18.xml"/><Relationship Id="rId63" Type="http://schemas.openxmlformats.org/officeDocument/2006/relationships/image" Target="media/image19.png"/><Relationship Id="rId84" Type="http://schemas.openxmlformats.org/officeDocument/2006/relationships/hyperlink" Target="https://www.gov.uk/government/publications/uk-rare-diseases-framework/the-uk-rare-diseases-framework" TargetMode="External"/><Relationship Id="rId138" Type="http://schemas.openxmlformats.org/officeDocument/2006/relationships/hyperlink" Target="https://ukkidney.org/audit-research/annual-report" TargetMode="External"/><Relationship Id="rId159" Type="http://schemas.openxmlformats.org/officeDocument/2006/relationships/header" Target="header40.xml"/><Relationship Id="rId170" Type="http://schemas.openxmlformats.org/officeDocument/2006/relationships/image" Target="media/image35.emf"/><Relationship Id="rId191" Type="http://schemas.openxmlformats.org/officeDocument/2006/relationships/image" Target="media/image54.png"/><Relationship Id="rId205" Type="http://schemas.openxmlformats.org/officeDocument/2006/relationships/image" Target="media/image65.png"/><Relationship Id="rId226" Type="http://schemas.openxmlformats.org/officeDocument/2006/relationships/header" Target="header49.xml"/><Relationship Id="rId107" Type="http://schemas.openxmlformats.org/officeDocument/2006/relationships/hyperlink" Target="https://www.nihr.ac.uk/get-involved/public-involvement" TargetMode="External"/><Relationship Id="rId11" Type="http://schemas.openxmlformats.org/officeDocument/2006/relationships/footer" Target="footer2.xml"/><Relationship Id="rId32" Type="http://schemas.openxmlformats.org/officeDocument/2006/relationships/image" Target="media/image8.png"/><Relationship Id="rId53" Type="http://schemas.openxmlformats.org/officeDocument/2006/relationships/header" Target="header24.xml"/><Relationship Id="rId74" Type="http://schemas.openxmlformats.org/officeDocument/2006/relationships/hyperlink" Target="https://www.health.gov.au/topics/chronic-conditions/what-were-doing-about-chronic-conditions/what-were-doing-about-rare-diseases" TargetMode="External"/><Relationship Id="rId128" Type="http://schemas.openxmlformats.org/officeDocument/2006/relationships/hyperlink" Target="https://oxfordbrc.nihr.ac.uk/wp-content/uploads/2017/03/A-Researchers-Guide-to-PPI.pdf" TargetMode="External"/><Relationship Id="rId149" Type="http://schemas.openxmlformats.org/officeDocument/2006/relationships/header" Target="header38.xml"/><Relationship Id="rId5" Type="http://schemas.openxmlformats.org/officeDocument/2006/relationships/webSettings" Target="webSettings.xml"/><Relationship Id="rId95" Type="http://schemas.openxmlformats.org/officeDocument/2006/relationships/hyperlink" Target="https://ico.org.uk/for-organisations/uk-gdpr-guidance-and-resources/data-protection-principles/a-guide-to-the-data-protection-principles/" TargetMode="External"/><Relationship Id="rId160" Type="http://schemas.openxmlformats.org/officeDocument/2006/relationships/footer" Target="footer5.xml"/><Relationship Id="rId181" Type="http://schemas.openxmlformats.org/officeDocument/2006/relationships/image" Target="media/image44.png"/><Relationship Id="rId216" Type="http://schemas.openxmlformats.org/officeDocument/2006/relationships/image" Target="media/image76.png"/><Relationship Id="rId237" Type="http://schemas.openxmlformats.org/officeDocument/2006/relationships/image" Target="media/image88.png"/><Relationship Id="rId22" Type="http://schemas.openxmlformats.org/officeDocument/2006/relationships/header" Target="header5.xml"/><Relationship Id="rId43" Type="http://schemas.openxmlformats.org/officeDocument/2006/relationships/header" Target="header19.xml"/><Relationship Id="rId64" Type="http://schemas.openxmlformats.org/officeDocument/2006/relationships/image" Target="media/image20.png"/><Relationship Id="rId118" Type="http://schemas.openxmlformats.org/officeDocument/2006/relationships/hyperlink" Target="https://www.qualtrics.com/platform/security/" TargetMode="External"/><Relationship Id="rId139" Type="http://schemas.openxmlformats.org/officeDocument/2006/relationships/hyperlink" Target="https://www.ukri.org/councils/esrc/guidance-for-applicants/research-ethics-guidance/consent/" TargetMode="External"/><Relationship Id="rId85" Type="http://schemas.openxmlformats.org/officeDocument/2006/relationships/hyperlink" Target="https://www.kff.org/wp-content/uploads/2019/11/Understanding-the-Medicaid-Prescription-Drug-Rebate-Program-updated-3.2021.pdf" TargetMode="External"/><Relationship Id="rId150" Type="http://schemas.openxmlformats.org/officeDocument/2006/relationships/image" Target="media/image24.png"/><Relationship Id="rId171" Type="http://schemas.openxmlformats.org/officeDocument/2006/relationships/package" Target="embeddings/Microsoft_Excel_Worksheet.xlsx"/><Relationship Id="rId192" Type="http://schemas.openxmlformats.org/officeDocument/2006/relationships/header" Target="header45.xml"/><Relationship Id="rId206" Type="http://schemas.openxmlformats.org/officeDocument/2006/relationships/image" Target="media/image66.png"/><Relationship Id="rId227" Type="http://schemas.openxmlformats.org/officeDocument/2006/relationships/header" Target="header50.xml"/><Relationship Id="rId12" Type="http://schemas.openxmlformats.org/officeDocument/2006/relationships/footer" Target="footer3.xml"/><Relationship Id="rId33" Type="http://schemas.openxmlformats.org/officeDocument/2006/relationships/header" Target="header14.xml"/><Relationship Id="rId108" Type="http://schemas.openxmlformats.org/officeDocument/2006/relationships/hyperlink" Target="https://www.nhs.uk/conditions/autosomal-dominant-polycystic-kidney-disease-adpkd.com" TargetMode="External"/><Relationship Id="rId129" Type="http://schemas.openxmlformats.org/officeDocument/2006/relationships/hyperlink" Target="https://www.legislation.gov.uk/uksi/2013/259/pdfs/uksi_20130259_en.pdf" TargetMode="External"/><Relationship Id="rId54" Type="http://schemas.openxmlformats.org/officeDocument/2006/relationships/header" Target="header25.xml"/><Relationship Id="rId75" Type="http://schemas.openxmlformats.org/officeDocument/2006/relationships/hyperlink" Target="https://treasury.gov.au/policy-topics/measuring-what-matters/dashboard/prevalence-chronic-conditions" TargetMode="External"/><Relationship Id="rId96" Type="http://schemas.openxmlformats.org/officeDocument/2006/relationships/hyperlink" Target="https://rarediseases.org/wp-content/uploads/2021/03/orphan-drugs-in-the-united-states-NRD-2020.pdf" TargetMode="External"/><Relationship Id="rId140" Type="http://schemas.openxmlformats.org/officeDocument/2006/relationships/hyperlink" Target="https://www.uhbw.nhs.uk/assets/1/21-438_-_self_pay_tariff.pdf" TargetMode="External"/><Relationship Id="rId161" Type="http://schemas.openxmlformats.org/officeDocument/2006/relationships/footer" Target="footer6.xml"/><Relationship Id="rId182" Type="http://schemas.openxmlformats.org/officeDocument/2006/relationships/image" Target="media/image45.png"/><Relationship Id="rId217" Type="http://schemas.openxmlformats.org/officeDocument/2006/relationships/image" Target="media/image77.png"/><Relationship Id="rId6" Type="http://schemas.openxmlformats.org/officeDocument/2006/relationships/footnotes" Target="footnotes.xml"/><Relationship Id="rId238" Type="http://schemas.openxmlformats.org/officeDocument/2006/relationships/header" Target="header56.xml"/><Relationship Id="rId23" Type="http://schemas.openxmlformats.org/officeDocument/2006/relationships/header" Target="header6.xml"/><Relationship Id="rId119" Type="http://schemas.openxmlformats.org/officeDocument/2006/relationships/hyperlink" Target="https://ukkidney.org/health-professionals/guidelines/commentary-nice-guideline-tolvaptan-treating-autosomal-dominant" TargetMode="External"/><Relationship Id="rId44" Type="http://schemas.openxmlformats.org/officeDocument/2006/relationships/header" Target="header20.xml"/><Relationship Id="rId65" Type="http://schemas.openxmlformats.org/officeDocument/2006/relationships/image" Target="media/image21.png"/><Relationship Id="rId86" Type="http://schemas.openxmlformats.org/officeDocument/2006/relationships/hyperlink" Target="https://pkdinternational.org/downloads/eaf-brusseles-declaration-2016/EAF_Brussels_Declaration_ENGLISH_March_2016.pdf" TargetMode="External"/><Relationship Id="rId130" Type="http://schemas.openxmlformats.org/officeDocument/2006/relationships/hyperlink" Target="https://www.legislation.gov.uk/ukpga/2018/12/contents" TargetMode="External"/><Relationship Id="rId151" Type="http://schemas.openxmlformats.org/officeDocument/2006/relationships/image" Target="media/image25.png"/><Relationship Id="rId172" Type="http://schemas.openxmlformats.org/officeDocument/2006/relationships/image" Target="media/image36.png"/><Relationship Id="rId193" Type="http://schemas.openxmlformats.org/officeDocument/2006/relationships/image" Target="media/image55.png"/><Relationship Id="rId207" Type="http://schemas.openxmlformats.org/officeDocument/2006/relationships/image" Target="media/image67.png"/><Relationship Id="rId228" Type="http://schemas.openxmlformats.org/officeDocument/2006/relationships/image" Target="media/image85.png"/><Relationship Id="rId13" Type="http://schemas.openxmlformats.org/officeDocument/2006/relationships/header" Target="header2.xml"/><Relationship Id="rId109" Type="http://schemas.openxmlformats.org/officeDocument/2006/relationships/hyperlink" Target="https://www.nhsbsa.nhs.uk/statistical-collections/prescribing-costs-hospitals-and-community-england/prescribing-costs-hospitals-and-community-england-2023-24" TargetMode="External"/><Relationship Id="rId34" Type="http://schemas.openxmlformats.org/officeDocument/2006/relationships/header" Target="header15.xml"/><Relationship Id="rId55" Type="http://schemas.openxmlformats.org/officeDocument/2006/relationships/header" Target="header26.xml"/><Relationship Id="rId76" Type="http://schemas.openxmlformats.org/officeDocument/2006/relationships/hyperlink" Target="https://www.medicinesuk.com/view-news/uk-generic-medicines-market-functioning-well-and-delivering-significant-savings-oxera.php" TargetMode="External"/><Relationship Id="rId97" Type="http://schemas.openxmlformats.org/officeDocument/2006/relationships/hyperlink" Target="https://www.kidneyresearchuk.org/wp-content/uploads/2023/06/Economics-of-Kidney-Disease-full-report_accessible.pdf" TargetMode="External"/><Relationship Id="rId120" Type="http://schemas.openxmlformats.org/officeDocument/2006/relationships/hyperlink" Target="https://www.rcpharm.org/medicines-safety/medicines-optimisation.asp" TargetMode="External"/><Relationship Id="rId141" Type="http://schemas.openxmlformats.org/officeDocument/2006/relationships/hyperlink" Target="https://sheffield.ac.uk/rpi/pgr/examination/formats" TargetMode="External"/><Relationship Id="rId7" Type="http://schemas.openxmlformats.org/officeDocument/2006/relationships/endnotes" Target="endnotes.xml"/><Relationship Id="rId162" Type="http://schemas.openxmlformats.org/officeDocument/2006/relationships/header" Target="header41.xml"/><Relationship Id="rId183" Type="http://schemas.openxmlformats.org/officeDocument/2006/relationships/image" Target="media/image46.png"/><Relationship Id="rId218" Type="http://schemas.openxmlformats.org/officeDocument/2006/relationships/image" Target="media/image78.png"/><Relationship Id="rId239" Type="http://schemas.openxmlformats.org/officeDocument/2006/relationships/fontTable" Target="fontTable.xml"/><Relationship Id="rId24" Type="http://schemas.openxmlformats.org/officeDocument/2006/relationships/header" Target="header7.xml"/><Relationship Id="rId45" Type="http://schemas.openxmlformats.org/officeDocument/2006/relationships/header" Target="header21.xml"/><Relationship Id="rId66" Type="http://schemas.openxmlformats.org/officeDocument/2006/relationships/image" Target="media/image22.png"/><Relationship Id="rId87" Type="http://schemas.openxmlformats.org/officeDocument/2006/relationships/hyperlink" Target="https://health.ec.europa.eu/rare-diseases-and-european-reference-networks/european-reference-networks" TargetMode="External"/><Relationship Id="rId110" Type="http://schemas.openxmlformats.org/officeDocument/2006/relationships/hyperlink" Target="https://digital.nhs.uk/data-and-information/areas-of-interest/prescribing" TargetMode="External"/><Relationship Id="rId131" Type="http://schemas.openxmlformats.org/officeDocument/2006/relationships/hyperlink" Target="https://www.ethnicity-facts-figures.service.gov.uk/uk-population-by-ethnicity/national-and-regional-populations/population-of-england-and-wales/latest/" TargetMode="External"/><Relationship Id="rId152" Type="http://schemas.openxmlformats.org/officeDocument/2006/relationships/header" Target="header39.xml"/><Relationship Id="rId173" Type="http://schemas.openxmlformats.org/officeDocument/2006/relationships/header" Target="header44.xml"/><Relationship Id="rId194" Type="http://schemas.openxmlformats.org/officeDocument/2006/relationships/header" Target="header46.xml"/><Relationship Id="rId208" Type="http://schemas.openxmlformats.org/officeDocument/2006/relationships/image" Target="media/image68.png"/><Relationship Id="rId229" Type="http://schemas.openxmlformats.org/officeDocument/2006/relationships/hyperlink" Target="https://drive.google.com/file/d/125rCYf4lQjGpk4mupHvIlIOQeho9obnO/view?usp=share_link" TargetMode="External"/><Relationship Id="rId240" Type="http://schemas.openxmlformats.org/officeDocument/2006/relationships/theme" Target="theme/theme1.xml"/><Relationship Id="rId14" Type="http://schemas.openxmlformats.org/officeDocument/2006/relationships/hyperlink" Target="https://www.sheffield.ac.uk/study-skills/assessment/academic-integrity/academic-integrity" TargetMode="External"/><Relationship Id="rId35" Type="http://schemas.openxmlformats.org/officeDocument/2006/relationships/header" Target="header16.xml"/><Relationship Id="rId56" Type="http://schemas.openxmlformats.org/officeDocument/2006/relationships/header" Target="header27.xml"/><Relationship Id="rId77" Type="http://schemas.openxmlformats.org/officeDocument/2006/relationships/hyperlink" Target="https://bnf.nice.org.uk/drugs/tolvaptan/" TargetMode="External"/><Relationship Id="rId100" Type="http://schemas.openxmlformats.org/officeDocument/2006/relationships/hyperlink" Target="file:///Users/mattgittus/Documents/www.nice.org.uk/process/pmg6" TargetMode="External"/><Relationship Id="rId8" Type="http://schemas.openxmlformats.org/officeDocument/2006/relationships/image" Target="media/image1.png"/><Relationship Id="rId98" Type="http://schemas.openxmlformats.org/officeDocument/2006/relationships/hyperlink" Target="https://www.gov.uk/drug-safety-update/tolvaptan-samsca-risk-of-liver-injury.com" TargetMode="External"/><Relationship Id="rId121" Type="http://schemas.openxmlformats.org/officeDocument/2006/relationships/hyperlink" Target="https://www.rand.org/pubs/technical_reports/TR443.html" TargetMode="External"/><Relationship Id="rId142" Type="http://schemas.openxmlformats.org/officeDocument/2006/relationships/hyperlink" Target="https://data.worldbank.org/indicator/SP.POP.TOTL?end=2024&amp;start=2024&amp;view=map" TargetMode="External"/><Relationship Id="rId163" Type="http://schemas.openxmlformats.org/officeDocument/2006/relationships/header" Target="header42.xml"/><Relationship Id="rId184" Type="http://schemas.openxmlformats.org/officeDocument/2006/relationships/image" Target="media/image47.png"/><Relationship Id="rId219" Type="http://schemas.openxmlformats.org/officeDocument/2006/relationships/image" Target="media/image79.png"/><Relationship Id="rId230" Type="http://schemas.openxmlformats.org/officeDocument/2006/relationships/header" Target="header51.xml"/><Relationship Id="rId25" Type="http://schemas.openxmlformats.org/officeDocument/2006/relationships/image" Target="media/image7.png"/><Relationship Id="rId46" Type="http://schemas.openxmlformats.org/officeDocument/2006/relationships/footer" Target="footer4.xml"/><Relationship Id="rId67" Type="http://schemas.openxmlformats.org/officeDocument/2006/relationships/image" Target="media/image23.png"/><Relationship Id="rId88" Type="http://schemas.openxmlformats.org/officeDocument/2006/relationships/hyperlink" Target="https://ec.europa.eu/info/research-and-innovation/research-area/health/rare-diseases_en" TargetMode="External"/><Relationship Id="rId111" Type="http://schemas.openxmlformats.org/officeDocument/2006/relationships/hyperlink" Target="https://www.england.nhs.uk/commissioning/spec-services/npc-crg/group-a/renal-services/" TargetMode="External"/><Relationship Id="rId132" Type="http://schemas.openxmlformats.org/officeDocument/2006/relationships/hyperlink" Target="https://ukkidney.org/rare-renal/radar" TargetMode="External"/><Relationship Id="rId153" Type="http://schemas.openxmlformats.org/officeDocument/2006/relationships/image" Target="media/image26.png"/><Relationship Id="rId174" Type="http://schemas.openxmlformats.org/officeDocument/2006/relationships/image" Target="media/image37.png"/><Relationship Id="rId195" Type="http://schemas.openxmlformats.org/officeDocument/2006/relationships/image" Target="media/image56.png"/><Relationship Id="rId209" Type="http://schemas.openxmlformats.org/officeDocument/2006/relationships/image" Target="media/image69.png"/><Relationship Id="rId190" Type="http://schemas.openxmlformats.org/officeDocument/2006/relationships/image" Target="media/image53.png"/><Relationship Id="rId204" Type="http://schemas.openxmlformats.org/officeDocument/2006/relationships/image" Target="media/image64.png"/><Relationship Id="rId220" Type="http://schemas.openxmlformats.org/officeDocument/2006/relationships/image" Target="media/image80.png"/><Relationship Id="rId225" Type="http://schemas.openxmlformats.org/officeDocument/2006/relationships/image" Target="media/image84.png"/><Relationship Id="rId15" Type="http://schemas.openxmlformats.org/officeDocument/2006/relationships/header" Target="header3.xml"/><Relationship Id="rId36" Type="http://schemas.openxmlformats.org/officeDocument/2006/relationships/header" Target="header17.xml"/><Relationship Id="rId57" Type="http://schemas.openxmlformats.org/officeDocument/2006/relationships/header" Target="header28.xml"/><Relationship Id="rId106" Type="http://schemas.openxmlformats.org/officeDocument/2006/relationships/hyperlink" Target="https://www.nice.org.uk/what-nice-does/faqs/changes-to-nice-s-cost-effectiveness-thresholds" TargetMode="External"/><Relationship Id="rId127" Type="http://schemas.openxmlformats.org/officeDocument/2006/relationships/hyperlink" Target="https://files.magicapp.org/guideline/fd9f0bf4-a6d4-414f-9d99-d1faee62f90f/published_guideline_7280-1_1.pdf" TargetMode="External"/><Relationship Id="rId10" Type="http://schemas.openxmlformats.org/officeDocument/2006/relationships/footer" Target="footer1.xml"/><Relationship Id="rId31" Type="http://schemas.openxmlformats.org/officeDocument/2006/relationships/header" Target="header13.xml"/><Relationship Id="rId52" Type="http://schemas.openxmlformats.org/officeDocument/2006/relationships/image" Target="media/image17.png"/><Relationship Id="rId73" Type="http://schemas.openxmlformats.org/officeDocument/2006/relationships/hyperlink" Target="https://jsn.or.jp/en/guideline/pdf/PKD_eng.pdf" TargetMode="External"/><Relationship Id="rId78" Type="http://schemas.openxmlformats.org/officeDocument/2006/relationships/hyperlink" Target="https://www.raredisorders.ca/about-cord/" TargetMode="External"/><Relationship Id="rId94" Type="http://schemas.openxmlformats.org/officeDocument/2006/relationships/hyperlink" Target="https://uk.indeed.com/cmp/Nhs-1/salaries/Clinical-Nurse-Specialist" TargetMode="External"/><Relationship Id="rId99" Type="http://schemas.openxmlformats.org/officeDocument/2006/relationships/hyperlink" Target="https://www.cdc.gov/chronicdisease/about/index.htm" TargetMode="External"/><Relationship Id="rId101" Type="http://schemas.openxmlformats.org/officeDocument/2006/relationships/hyperlink" Target="file:///Users/mattgittus/Documents/www.nice.org.uk/guidance/ng5" TargetMode="External"/><Relationship Id="rId122" Type="http://schemas.openxmlformats.org/officeDocument/2006/relationships/hyperlink" Target="https://scottishmedicines.org.uk/medicines-advice/tolvaptan-jinarc-fullsubmission-111415/" TargetMode="External"/><Relationship Id="rId143" Type="http://schemas.openxmlformats.org/officeDocument/2006/relationships/hyperlink" Target="https://iris.who.int/bitstreams/ebff79d2-720d-4a20-b954-f513f9b8c9b8/download" TargetMode="External"/><Relationship Id="rId148" Type="http://schemas.openxmlformats.org/officeDocument/2006/relationships/header" Target="header37.xml"/><Relationship Id="rId164" Type="http://schemas.openxmlformats.org/officeDocument/2006/relationships/image" Target="media/image32.png"/><Relationship Id="rId169" Type="http://schemas.openxmlformats.org/officeDocument/2006/relationships/image" Target="media/image34.png"/><Relationship Id="rId185"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43.png"/><Relationship Id="rId210" Type="http://schemas.openxmlformats.org/officeDocument/2006/relationships/image" Target="media/image70.png"/><Relationship Id="rId215" Type="http://schemas.openxmlformats.org/officeDocument/2006/relationships/image" Target="media/image75.png"/><Relationship Id="rId236" Type="http://schemas.openxmlformats.org/officeDocument/2006/relationships/image" Target="media/image87.png"/><Relationship Id="rId26" Type="http://schemas.openxmlformats.org/officeDocument/2006/relationships/header" Target="header8.xml"/><Relationship Id="rId231" Type="http://schemas.openxmlformats.org/officeDocument/2006/relationships/header" Target="header52.xml"/><Relationship Id="rId47" Type="http://schemas.openxmlformats.org/officeDocument/2006/relationships/image" Target="media/image14.png"/><Relationship Id="rId68" Type="http://schemas.openxmlformats.org/officeDocument/2006/relationships/header" Target="header33.xml"/><Relationship Id="rId89" Type="http://schemas.openxmlformats.org/officeDocument/2006/relationships/hyperlink" Target="https://www.europarl.europa.eu/RegData/etudes/STUD/2026/774708/EPRS_STU(2026)774708_EN.pdf" TargetMode="External"/><Relationship Id="rId112" Type="http://schemas.openxmlformats.org/officeDocument/2006/relationships/hyperlink" Target="https://www.england.nhs.uk/wp-content/uploads/2018/03/responsibility-prescribing-between-primary-secondary-care-v2.pdf" TargetMode="External"/><Relationship Id="rId133" Type="http://schemas.openxmlformats.org/officeDocument/2006/relationships/hyperlink" Target="https://www.ukkidney.org/sites/default/files/Kidney%20PREM%20Report%202023%20Final.pdf" TargetMode="External"/><Relationship Id="rId154" Type="http://schemas.openxmlformats.org/officeDocument/2006/relationships/image" Target="media/image27.png"/><Relationship Id="rId175" Type="http://schemas.openxmlformats.org/officeDocument/2006/relationships/image" Target="media/image38.png"/><Relationship Id="rId196" Type="http://schemas.openxmlformats.org/officeDocument/2006/relationships/image" Target="media/image57.png"/><Relationship Id="rId200" Type="http://schemas.openxmlformats.org/officeDocument/2006/relationships/image" Target="media/image60.png"/><Relationship Id="rId16" Type="http://schemas.openxmlformats.org/officeDocument/2006/relationships/header" Target="header4.xml"/><Relationship Id="rId221" Type="http://schemas.openxmlformats.org/officeDocument/2006/relationships/image" Target="media/image81.png"/><Relationship Id="rId37" Type="http://schemas.openxmlformats.org/officeDocument/2006/relationships/image" Target="media/image9.png"/><Relationship Id="rId58" Type="http://schemas.openxmlformats.org/officeDocument/2006/relationships/header" Target="header29.xml"/><Relationship Id="rId79" Type="http://schemas.openxmlformats.org/officeDocument/2006/relationships/hyperlink" Target="https://www.epoc.cochrane.org/resources/epoc-specific-resources-review-authors" TargetMode="External"/><Relationship Id="rId102" Type="http://schemas.openxmlformats.org/officeDocument/2006/relationships/hyperlink" Target="https://www.nice.org.uk/guidance/ta358/chapter/3-The-companys-submission" TargetMode="External"/><Relationship Id="rId123" Type="http://schemas.openxmlformats.org/officeDocument/2006/relationships/hyperlink" Target="https://sso.agc.gov.sg/SL/MA1975-OR12?DocDate=20050331&amp;ValidDate=20160122&amp;TransactionDate=20160122" TargetMode="External"/><Relationship Id="rId144" Type="http://schemas.openxmlformats.org/officeDocument/2006/relationships/hyperlink" Target="https://www.who.int/publications/i/item/9789241509763" TargetMode="External"/><Relationship Id="rId90" Type="http://schemas.openxmlformats.org/officeDocument/2006/relationships/hyperlink" Target="http://www.consultant.ru/document/cons_doc_LAW_121895/" TargetMode="External"/><Relationship Id="rId165" Type="http://schemas.openxmlformats.org/officeDocument/2006/relationships/header" Target="header43.xml"/><Relationship Id="rId186" Type="http://schemas.openxmlformats.org/officeDocument/2006/relationships/image" Target="media/image49.png"/><Relationship Id="rId211" Type="http://schemas.openxmlformats.org/officeDocument/2006/relationships/image" Target="media/image71.png"/><Relationship Id="rId232" Type="http://schemas.openxmlformats.org/officeDocument/2006/relationships/header" Target="header53.xml"/><Relationship Id="rId27" Type="http://schemas.openxmlformats.org/officeDocument/2006/relationships/header" Target="header9.xml"/><Relationship Id="rId48" Type="http://schemas.openxmlformats.org/officeDocument/2006/relationships/image" Target="media/image15.png"/><Relationship Id="rId69" Type="http://schemas.openxmlformats.org/officeDocument/2006/relationships/header" Target="header34.xml"/><Relationship Id="rId113" Type="http://schemas.openxmlformats.org/officeDocument/2006/relationships/hyperlink" Target="https://app.powerbi.com/view?r=eyJrIjoiODZmNGQ0YzItZDAwZi00MzFiLWE4NzAtMzVmNTUwMThmMTVlIiwidCI6ImVlNGUxNDk5LTRhMzUtNGIyZS1hZDQ3LTVmM2NmOWRlODY2NiIsImMiOjh9" TargetMode="External"/><Relationship Id="rId134" Type="http://schemas.openxmlformats.org/officeDocument/2006/relationships/hyperlink" Target="https://ukkidney.org/audit-research/data-permissions/data/radar-database" TargetMode="External"/><Relationship Id="rId80" Type="http://schemas.openxmlformats.org/officeDocument/2006/relationships/hyperlink" Target="https://www.kingsfund.org.uk/insight-and-analysis/reports/making-shared-decision-making-reality" TargetMode="External"/><Relationship Id="rId155" Type="http://schemas.openxmlformats.org/officeDocument/2006/relationships/image" Target="media/image28.png"/><Relationship Id="rId176" Type="http://schemas.openxmlformats.org/officeDocument/2006/relationships/image" Target="media/image39.png"/><Relationship Id="rId197" Type="http://schemas.openxmlformats.org/officeDocument/2006/relationships/image" Target="media/image58.png"/><Relationship Id="rId201" Type="http://schemas.openxmlformats.org/officeDocument/2006/relationships/image" Target="media/image61.png"/><Relationship Id="rId222" Type="http://schemas.openxmlformats.org/officeDocument/2006/relationships/header" Target="header48.xml"/><Relationship Id="rId17" Type="http://schemas.openxmlformats.org/officeDocument/2006/relationships/image" Target="media/image2.png"/><Relationship Id="rId38" Type="http://schemas.openxmlformats.org/officeDocument/2006/relationships/image" Target="media/image10.png"/><Relationship Id="rId59" Type="http://schemas.openxmlformats.org/officeDocument/2006/relationships/header" Target="header30.xml"/><Relationship Id="rId103" Type="http://schemas.openxmlformats.org/officeDocument/2006/relationships/hyperlink" Target="https://www.nice.org.uk/guidance/ta588" TargetMode="External"/><Relationship Id="rId124" Type="http://schemas.openxmlformats.org/officeDocument/2006/relationships/hyperlink" Target="https://www.thisinstitute.cam.ac.uk/about/" TargetMode="External"/><Relationship Id="rId70" Type="http://schemas.openxmlformats.org/officeDocument/2006/relationships/header" Target="header35.xml"/><Relationship Id="rId91" Type="http://schemas.openxmlformats.org/officeDocument/2006/relationships/hyperlink" Target="https://www.fda.gov/patients/rare-diseases-fda" TargetMode="External"/><Relationship Id="rId145" Type="http://schemas.openxmlformats.org/officeDocument/2006/relationships/hyperlink" Target="https://icd.who.int/browse11" TargetMode="External"/><Relationship Id="rId166" Type="http://schemas.openxmlformats.org/officeDocument/2006/relationships/hyperlink" Target="http://libkey.io/https:/dx.doi.org/10.1007/s11096-021-01269-4" TargetMode="External"/><Relationship Id="rId187" Type="http://schemas.openxmlformats.org/officeDocument/2006/relationships/image" Target="media/image50.png"/><Relationship Id="rId1" Type="http://schemas.openxmlformats.org/officeDocument/2006/relationships/customXml" Target="../customXml/item1.xml"/><Relationship Id="rId212" Type="http://schemas.openxmlformats.org/officeDocument/2006/relationships/image" Target="media/image72.png"/><Relationship Id="rId233" Type="http://schemas.openxmlformats.org/officeDocument/2006/relationships/header" Target="header54.xml"/><Relationship Id="rId28" Type="http://schemas.openxmlformats.org/officeDocument/2006/relationships/header" Target="header10.xml"/><Relationship Id="rId49" Type="http://schemas.openxmlformats.org/officeDocument/2006/relationships/image" Target="media/image16.png"/><Relationship Id="rId114" Type="http://schemas.openxmlformats.org/officeDocument/2006/relationships/hyperlink" Target="https://www.ons.gov.uk/aboutus/transparencyandgovernance/datastrategy/datapolicies/statisticaldisclosurecontrol" TargetMode="External"/><Relationship Id="rId60" Type="http://schemas.openxmlformats.org/officeDocument/2006/relationships/image" Target="media/image18.png"/><Relationship Id="rId81" Type="http://schemas.openxmlformats.org/officeDocument/2006/relationships/hyperlink" Target="https://iris.who.int/bitstreams/4e79820f-9519-4687-91f6-38b89f96d334/download" TargetMode="External"/><Relationship Id="rId135" Type="http://schemas.openxmlformats.org/officeDocument/2006/relationships/hyperlink" Target="https://ukkidneyhistory.org/units/" TargetMode="External"/><Relationship Id="rId156" Type="http://schemas.openxmlformats.org/officeDocument/2006/relationships/image" Target="media/image29.png"/><Relationship Id="rId177" Type="http://schemas.openxmlformats.org/officeDocument/2006/relationships/image" Target="media/image40.png"/><Relationship Id="rId198" Type="http://schemas.openxmlformats.org/officeDocument/2006/relationships/header" Target="header47.xml"/><Relationship Id="rId202" Type="http://schemas.openxmlformats.org/officeDocument/2006/relationships/image" Target="media/image62.png"/><Relationship Id="rId223" Type="http://schemas.openxmlformats.org/officeDocument/2006/relationships/image" Target="media/image82.png"/><Relationship Id="rId18" Type="http://schemas.openxmlformats.org/officeDocument/2006/relationships/image" Target="media/image3.png"/><Relationship Id="rId39" Type="http://schemas.openxmlformats.org/officeDocument/2006/relationships/image" Target="media/image11.png"/><Relationship Id="rId50" Type="http://schemas.openxmlformats.org/officeDocument/2006/relationships/header" Target="header22.xml"/><Relationship Id="rId104" Type="http://schemas.openxmlformats.org/officeDocument/2006/relationships/hyperlink" Target="https://www.nice.org.uk/corporate/ecd9/chapter/introduction-to-real-world-evidence-in-nice-decision-making" TargetMode="External"/><Relationship Id="rId125" Type="http://schemas.openxmlformats.org/officeDocument/2006/relationships/hyperlink" Target="https://pmcpa.org.uk/media/eb3coriz/3751-case-report-26-september-2024.pdf" TargetMode="External"/><Relationship Id="rId146" Type="http://schemas.openxmlformats.org/officeDocument/2006/relationships/hyperlink" Target="https://www.who.int/news-room/fact-sheets/detail/noncommunicable-diseases" TargetMode="External"/><Relationship Id="rId167" Type="http://schemas.openxmlformats.org/officeDocument/2006/relationships/image" Target="media/image33.png"/><Relationship Id="rId188" Type="http://schemas.openxmlformats.org/officeDocument/2006/relationships/image" Target="media/image51.png"/><Relationship Id="rId71" Type="http://schemas.openxmlformats.org/officeDocument/2006/relationships/header" Target="header36.xml"/><Relationship Id="rId92" Type="http://schemas.openxmlformats.org/officeDocument/2006/relationships/hyperlink" Target="https://gettingitrightfirsttime.co.uk/wp-content/uploads/2021/09/Renal-Medicine-Sept21k.pdf" TargetMode="External"/><Relationship Id="rId213" Type="http://schemas.openxmlformats.org/officeDocument/2006/relationships/image" Target="media/image73.png"/><Relationship Id="rId234" Type="http://schemas.openxmlformats.org/officeDocument/2006/relationships/image" Target="media/image86.png"/><Relationship Id="rId2" Type="http://schemas.openxmlformats.org/officeDocument/2006/relationships/numbering" Target="numbering.xml"/><Relationship Id="rId29" Type="http://schemas.openxmlformats.org/officeDocument/2006/relationships/header" Target="header11.xml"/><Relationship Id="rId40" Type="http://schemas.openxmlformats.org/officeDocument/2006/relationships/image" Target="media/image12.png"/><Relationship Id="rId115" Type="http://schemas.openxmlformats.org/officeDocument/2006/relationships/hyperlink" Target="https://ordindia.in/about-rd/rare-disease-definition/" TargetMode="External"/><Relationship Id="rId136" Type="http://schemas.openxmlformats.org/officeDocument/2006/relationships/hyperlink" Target="https://www.ukkidney.org/audit-research/data-permissions/data/radar-database" TargetMode="External"/><Relationship Id="rId157" Type="http://schemas.openxmlformats.org/officeDocument/2006/relationships/image" Target="media/image30.png"/><Relationship Id="rId178" Type="http://schemas.openxmlformats.org/officeDocument/2006/relationships/image" Target="media/image41.png"/><Relationship Id="rId61" Type="http://schemas.openxmlformats.org/officeDocument/2006/relationships/header" Target="header31.xml"/><Relationship Id="rId82" Type="http://schemas.openxmlformats.org/officeDocument/2006/relationships/hyperlink" Target="https://assets.publishing.service.gov.uk/media/5a7c638340f0b62aff6c154e/dh_134486.pdf" TargetMode="External"/><Relationship Id="rId199" Type="http://schemas.openxmlformats.org/officeDocument/2006/relationships/image" Target="media/image59.png"/><Relationship Id="rId203" Type="http://schemas.openxmlformats.org/officeDocument/2006/relationships/image" Target="media/image63.png"/><Relationship Id="rId19" Type="http://schemas.openxmlformats.org/officeDocument/2006/relationships/image" Target="media/image4.png"/><Relationship Id="rId224" Type="http://schemas.openxmlformats.org/officeDocument/2006/relationships/image" Target="media/image83.png"/><Relationship Id="rId30" Type="http://schemas.openxmlformats.org/officeDocument/2006/relationships/header" Target="header12.xml"/><Relationship Id="rId105" Type="http://schemas.openxmlformats.org/officeDocument/2006/relationships/hyperlink" Target="https://www.nice.org.uk/about/what-we-do/our-programmes/nice-guidance/nice-technology-appraisal-guidance" TargetMode="External"/><Relationship Id="rId126" Type="http://schemas.openxmlformats.org/officeDocument/2006/relationships/hyperlink" Target="https://scottishmedicines.org.uk/media/2726/safe-and-effective-use-of-new-medicines.pdf" TargetMode="External"/><Relationship Id="rId147" Type="http://schemas.openxmlformats.org/officeDocument/2006/relationships/hyperlink" Target="https://apps.who.int/gb/ebwha/pdf_files/EB156/B156_CONF2-en.pdf" TargetMode="External"/><Relationship Id="rId168" Type="http://schemas.openxmlformats.org/officeDocument/2006/relationships/hyperlink" Target="https://scholar.google.com/scholar?q=Thromboprophylaxis+for+patients+with+atrial+fibrillation%3A+A+systematic+review+of+strategies+to+improve+guideline+adherence+in+primary+care" TargetMode="External"/><Relationship Id="rId51" Type="http://schemas.openxmlformats.org/officeDocument/2006/relationships/header" Target="header23.xml"/><Relationship Id="rId72" Type="http://schemas.openxmlformats.org/officeDocument/2006/relationships/hyperlink" Target="https://www.aomrc.org.uk/wp-content/uploads/2023/05/GPSC_Working_better_together_0323.pdf" TargetMode="External"/><Relationship Id="rId93" Type="http://schemas.openxmlformats.org/officeDocument/2006/relationships/hyperlink" Target="https://effectivehealthcare.ahrq.gov/sites/default/files/pdf/registries-evaluating-patient-outcomes-4th-edition.pdf" TargetMode="External"/><Relationship Id="rId189" Type="http://schemas.openxmlformats.org/officeDocument/2006/relationships/image" Target="media/image52.png"/><Relationship Id="rId3" Type="http://schemas.openxmlformats.org/officeDocument/2006/relationships/styles" Target="styles.xml"/><Relationship Id="rId214" Type="http://schemas.openxmlformats.org/officeDocument/2006/relationships/image" Target="media/image74.png"/><Relationship Id="rId235" Type="http://schemas.openxmlformats.org/officeDocument/2006/relationships/header" Target="header55.xml"/><Relationship Id="rId116" Type="http://schemas.openxmlformats.org/officeDocument/2006/relationships/hyperlink" Target="https://www.otsuka.co.jp/en/company/newsreleases/2018/20180425_1.html" TargetMode="External"/><Relationship Id="rId137" Type="http://schemas.openxmlformats.org/officeDocument/2006/relationships/hyperlink" Target="https://hansard.parliament.uk/commons/2023-05-03/debates/637A370B-DDA4-4946-9550-532B4E1B69A5/BrandedMedicinesVoluntarySchemeAndTheLifeSciencesVision" TargetMode="External"/><Relationship Id="rId158"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13.png"/><Relationship Id="rId62" Type="http://schemas.openxmlformats.org/officeDocument/2006/relationships/header" Target="header32.xml"/><Relationship Id="rId83" Type="http://schemas.openxmlformats.org/officeDocument/2006/relationships/hyperlink" Target="https://www.google.com/url?sa=t&amp;source=web&amp;rct=j&amp;opi=89978449&amp;url=https://fingertips.phe.org.uk/documents/DiagnosticAtlas_FINAL.pdf&amp;ved=2ahUKEwjn_cbF2feTAxXmSkEAHTdlJp0QFnoECBwQAQ&amp;usg=AOvVaw1HnQoExgfgq504KGqRssLY" TargetMode="External"/><Relationship Id="rId17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8B30ED2-381E-7642-819E-82ED5A4E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233552</Words>
  <Characters>1331247</Characters>
  <Application>Microsoft Office Word</Application>
  <DocSecurity>0</DocSecurity>
  <Lines>11093</Lines>
  <Paragraphs>3123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cp:lastModifiedBy>
  <cp:revision>2</cp:revision>
  <cp:lastPrinted>2026-05-15T12:14:00Z</cp:lastPrinted>
  <dcterms:created xsi:type="dcterms:W3CDTF">2026-08-14T13:18:00Z</dcterms:created>
  <dcterms:modified xsi:type="dcterms:W3CDTF">2026-08-14T13:18:00Z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7fd155d2ea8d0c9d067564bb373f14819b1ebd31bc0c98eff229e0d58798b955</vt:lpwstr>
  </property>
</Properties>
</file>